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spacing w:before="150"/>
        <w:ind w:right="451"/>
      </w:pPr>
      <w:r>
        <w:rPr/>
        <w:drawing>
          <wp:anchor distT="0" distB="0" distL="0" distR="0" allowOverlap="1" layoutInCell="1" locked="0" behindDoc="0" simplePos="0" relativeHeight="15729152">
            <wp:simplePos x="0" y="0"/>
            <wp:positionH relativeFrom="page">
              <wp:posOffset>733746</wp:posOffset>
            </wp:positionH>
            <wp:positionV relativeFrom="paragraph">
              <wp:posOffset>-4235</wp:posOffset>
            </wp:positionV>
            <wp:extent cx="1969088" cy="56043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969088" cy="560430"/>
                    </a:xfrm>
                    <a:prstGeom prst="rect">
                      <a:avLst/>
                    </a:prstGeom>
                  </pic:spPr>
                </pic:pic>
              </a:graphicData>
            </a:graphic>
          </wp:anchor>
        </w:drawing>
      </w:r>
      <w:r>
        <w:rPr>
          <w:spacing w:val="-1"/>
        </w:rPr>
        <w:t>71M6543F/71M6543G</w:t>
      </w:r>
    </w:p>
    <w:p>
      <w:pPr>
        <w:pStyle w:val="Title"/>
      </w:pPr>
      <w:r>
        <w:rPr/>
        <w:t>Energy Meter</w:t>
      </w:r>
      <w:r>
        <w:rPr>
          <w:spacing w:val="-7"/>
        </w:rPr>
        <w:t> </w:t>
      </w:r>
      <w:r>
        <w:rPr/>
        <w:t>ICs</w:t>
      </w:r>
    </w:p>
    <w:p>
      <w:pPr>
        <w:pStyle w:val="BodyText"/>
        <w:spacing w:before="1"/>
        <w:rPr>
          <w:b/>
          <w:sz w:val="24"/>
        </w:rPr>
      </w:pPr>
    </w:p>
    <w:p>
      <w:pPr>
        <w:spacing w:after="0"/>
        <w:rPr>
          <w:sz w:val="24"/>
        </w:rPr>
        <w:sectPr>
          <w:type w:val="continuous"/>
          <w:pgSz w:w="12240" w:h="15840"/>
          <w:pgMar w:top="940" w:bottom="280" w:left="820" w:right="860"/>
        </w:sectPr>
      </w:pPr>
    </w:p>
    <w:p>
      <w:pPr>
        <w:spacing w:before="93"/>
        <w:ind w:left="260" w:right="0" w:firstLine="0"/>
        <w:jc w:val="both"/>
        <w:rPr>
          <w:b/>
          <w:sz w:val="22"/>
        </w:rPr>
      </w:pPr>
      <w:r>
        <w:rPr>
          <w:b/>
          <w:sz w:val="22"/>
        </w:rPr>
        <w:t>GENERAL DESCRIPTION</w:t>
      </w:r>
    </w:p>
    <w:p>
      <w:pPr>
        <w:spacing w:line="240" w:lineRule="auto" w:before="124"/>
        <w:ind w:left="260" w:right="40" w:firstLine="0"/>
        <w:jc w:val="both"/>
        <w:rPr>
          <w:sz w:val="19"/>
        </w:rPr>
      </w:pPr>
      <w:r>
        <w:rPr>
          <w:spacing w:val="-4"/>
          <w:sz w:val="19"/>
        </w:rPr>
        <w:t>The 71M6543F/71M6543G are 4th-generation polyphase </w:t>
      </w:r>
      <w:r>
        <w:rPr>
          <w:sz w:val="19"/>
        </w:rPr>
        <w:t>metering systems-on-chips (SoCs) with a 5MHz 8051-compatible MPU core, low-power real-time clock (RTC) with digital temperature compensation, </w:t>
      </w:r>
      <w:r>
        <w:rPr>
          <w:spacing w:val="2"/>
          <w:sz w:val="19"/>
        </w:rPr>
        <w:t>flash memory, </w:t>
      </w:r>
      <w:r>
        <w:rPr>
          <w:sz w:val="19"/>
        </w:rPr>
        <w:t>and </w:t>
      </w:r>
      <w:r>
        <w:rPr>
          <w:spacing w:val="2"/>
          <w:sz w:val="19"/>
        </w:rPr>
        <w:t>LCD driver. </w:t>
      </w:r>
      <w:r>
        <w:rPr>
          <w:sz w:val="19"/>
        </w:rPr>
        <w:t>Our </w:t>
      </w:r>
      <w:r>
        <w:rPr>
          <w:spacing w:val="2"/>
          <w:sz w:val="19"/>
        </w:rPr>
        <w:t>Single </w:t>
      </w:r>
      <w:r>
        <w:rPr>
          <w:sz w:val="19"/>
        </w:rPr>
        <w:t>Converter Technology® with a 22-bit delta-sigma ADC, seven analog </w:t>
      </w:r>
      <w:r>
        <w:rPr>
          <w:spacing w:val="2"/>
          <w:sz w:val="19"/>
        </w:rPr>
        <w:t>inputs, digital metrology temperature compensation, precision </w:t>
      </w:r>
      <w:r>
        <w:rPr>
          <w:sz w:val="19"/>
        </w:rPr>
        <w:t>voltage reference, and a 32-bit computation engine (CE) supports a wide range of metering applications with very few external components.</w:t>
      </w:r>
    </w:p>
    <w:p>
      <w:pPr>
        <w:spacing w:before="81"/>
        <w:ind w:left="260" w:right="41" w:firstLine="0"/>
        <w:jc w:val="both"/>
        <w:rPr>
          <w:sz w:val="19"/>
        </w:rPr>
      </w:pPr>
      <w:r>
        <w:rPr>
          <w:sz w:val="19"/>
        </w:rPr>
        <w:t>The 71M6543F/71M6543G support optional interfaces to the 71M6xx3 series of isolated sensors that offer BOM cost reduction, immunity to magnetic tamper, and enhanced reliability. The ICs feature ultra-low-power operation in active and battery modes, 5KB shared RAM, and 64KB (71M6543F) or 128KB (71M6543G) of</w:t>
      </w:r>
    </w:p>
    <w:p>
      <w:pPr>
        <w:spacing w:before="0"/>
        <w:ind w:left="260" w:right="40" w:hanging="1"/>
        <w:jc w:val="both"/>
        <w:rPr>
          <w:sz w:val="19"/>
        </w:rPr>
      </w:pPr>
      <w:r>
        <w:rPr>
          <w:sz w:val="19"/>
        </w:rPr>
        <w:t>flash memory, which can be programmed with code and/or data during meter operation.</w:t>
      </w:r>
    </w:p>
    <w:p>
      <w:pPr>
        <w:spacing w:line="240" w:lineRule="auto" w:before="79"/>
        <w:ind w:left="261" w:right="38" w:hanging="1"/>
        <w:jc w:val="both"/>
        <w:rPr>
          <w:sz w:val="19"/>
        </w:rPr>
      </w:pPr>
      <w:r>
        <w:rPr/>
        <w:pict>
          <v:group style="position:absolute;margin-left:54.807648pt;margin-top:54.692131pt;width:269.6pt;height:263.7pt;mso-position-horizontal-relative:page;mso-position-vertical-relative:paragraph;z-index:15729664" coordorigin="1096,1094" coordsize="5392,5274">
            <v:rect style="position:absolute;left:3036;top:3256;width:2136;height:3100" filled="false" stroked="true" strokeweight="1.136808pt" strokecolor="#2f2f2f">
              <v:stroke dashstyle="solid"/>
            </v:rect>
            <v:shape style="position:absolute;left:3038;top:3255;width:2136;height:3100" coordorigin="3038,3256" coordsize="2136,3100" path="m4543,4266l5174,4266,5174,3870,4543,3870,4543,4266xm3766,6131l4543,6131,4543,5532,3766,5532,3766,6131xm4543,5816l5174,5816,5174,4558,4543,4558,4543,5816xm3038,5906l3766,5906,3766,5622,3038,5622,3038,5906xm4543,6355l5174,6355,5174,5816,4543,5816,4543,6355xm3038,4558l3766,4558,3766,3256,3038,3256,3038,4558xm3038,5622l3766,5622,3766,4783,3038,4783,3038,5622xe" filled="false" stroked="true" strokeweight=".1246pt" strokecolor="#2f2f2f">
              <v:path arrowok="t"/>
              <v:stroke dashstyle="solid"/>
            </v:shape>
            <v:line style="position:absolute" from="2958,3705" to="2602,3705" stroked="true" strokeweight=".119798pt" strokecolor="#2f2f2f">
              <v:stroke dashstyle="solid"/>
            </v:line>
            <v:shape style="position:absolute;left:1144;top:1099;width:2087;height:1079" coordorigin="1144,1100" coordsize="2087,1079" path="m1290,2178l3085,2178,3142,2168,3188,2139,3220,2096,3231,2043,3231,1235,3220,1182,3188,1139,3142,1111,3085,1100,1290,1100,1233,1111,1187,1139,1156,1182,1144,1235,1144,2043,1156,2096,1187,2139,1233,2168,1290,2178e" filled="false" stroked="true" strokeweight=".609110pt" strokecolor="#2f2f2f">
              <v:path arrowok="t"/>
              <v:stroke dashstyle="shortdash"/>
            </v:shape>
            <v:shape style="position:absolute;left:1194;top:1278;width:631;height:2022" coordorigin="1194,1279" coordsize="631,2022" path="m1777,3121l1825,3143,1728,3188,1825,3233,1728,3278,1777,3300m1777,3121l1777,1279,1194,1279e" filled="false" stroked="true" strokeweight=".1246pt" strokecolor="#2f2f2f">
              <v:path arrowok="t"/>
              <v:stroke dashstyle="solid"/>
            </v:shape>
            <v:shape style="position:absolute;left:1763;top:3604;width:25;height:23" coordorigin="1763,3604" coordsize="25,23" path="m1782,3627l1769,3627,1763,3622,1763,3616,1763,3609,1769,3604,1782,3604,1787,3609,1787,3622,1782,3627xe" filled="true" fillcolor="#000000" stroked="false">
              <v:path arrowok="t"/>
              <v:fill type="solid"/>
            </v:shape>
            <v:shape style="position:absolute;left:1763;top:3604;width:25;height:23" coordorigin="1763,3604" coordsize="25,23" path="m1763,3616l1763,3609,1769,3604,1775,3604,1782,3604,1787,3609,1787,3616,1787,3622,1782,3627,1775,3627,1769,3627,1763,3622,1763,3616xe" filled="false" stroked="true" strokeweight=".372692pt" strokecolor="#2f2f2f">
              <v:path arrowok="t"/>
              <v:stroke dashstyle="solid"/>
            </v:shape>
            <v:line style="position:absolute" from="1777,3300" to="1777,3615" stroked="true" strokeweight=".129402pt" strokecolor="#2f2f2f">
              <v:stroke dashstyle="solid"/>
            </v:line>
            <v:line style="position:absolute" from="1777,1279" to="2335,1279" stroked="true" strokeweight=".119798pt" strokecolor="#2f2f2f">
              <v:stroke dashstyle="solid"/>
            </v:line>
            <v:shape style="position:absolute;left:1763;top:1268;width:25;height:23" coordorigin="1763,1268" coordsize="25,23" path="m1782,1291l1769,1291,1763,1286,1763,1280,1763,1273,1769,1268,1782,1268,1787,1273,1787,1286,1782,1291xe" filled="true" fillcolor="#000000" stroked="false">
              <v:path arrowok="t"/>
              <v:fill type="solid"/>
            </v:shape>
            <v:shape style="position:absolute;left:1763;top:1268;width:25;height:23" coordorigin="1763,1268" coordsize="25,23" path="m1763,1280l1763,1273,1769,1268,1775,1268,1782,1268,1787,1273,1787,1280,1787,1286,1782,1291,1775,1291,1769,1291,1763,1286,1763,1280xe" filled="false" stroked="true" strokeweight=".372692pt" strokecolor="#2f2f2f">
              <v:path arrowok="t"/>
              <v:stroke dashstyle="solid"/>
            </v:shape>
            <v:shape style="position:absolute;left:2844;top:1278;width:1214;height:53" coordorigin="2844,1279" coordsize="1214,53" path="m2844,1279l4057,1279,4057,1331e" filled="false" stroked="true" strokeweight=".119816pt" strokecolor="#2f2f2f">
              <v:path arrowok="t"/>
              <v:stroke dashstyle="solid"/>
            </v:shape>
            <v:shape style="position:absolute;left:2949;top:3674;width:89;height:60" coordorigin="2949,3675" coordsize="89,60" path="m2949,3735l2949,3675,3038,3705,2949,3735xe" filled="true" fillcolor="#2f2f2f" stroked="false">
              <v:path arrowok="t"/>
              <v:fill type="solid"/>
            </v:shape>
            <v:line style="position:absolute" from="2311,2222" to="2311,2672" stroked="true" strokeweight=".129402pt" strokecolor="#2f2f2f">
              <v:stroke dashstyle="solid"/>
            </v:line>
            <v:shape style="position:absolute;left:1582;top:3435;width:98;height:180" coordorigin="1583,3435" coordsize="98,180" path="m1631,3435l1680,3458,1583,3503,1680,3548,1583,3592,1631,3615e" filled="false" stroked="true" strokeweight=".127234pt" strokecolor="#2f2f2f">
              <v:path arrowok="t"/>
              <v:stroke dashstyle="solid"/>
            </v:shape>
            <v:shape style="position:absolute;left:1582;top:4019;width:98;height:180" coordorigin="1583,4019" coordsize="98,180" path="m1631,4019l1680,4042,1583,4087,1680,4132,1583,4176,1631,4199e" filled="false" stroked="true" strokeweight=".127234pt" strokecolor="#2f2f2f">
              <v:path arrowok="t"/>
              <v:stroke dashstyle="solid"/>
            </v:shape>
            <v:shape style="position:absolute;left:1437;top:3749;width:98;height:180" coordorigin="1437,3750" coordsize="98,180" path="m1486,3750l1534,3772,1437,3817,1534,3862,1437,3907,1486,3929e" filled="false" stroked="true" strokeweight=".127234pt" strokecolor="#2f2f2f">
              <v:path arrowok="t"/>
              <v:stroke dashstyle="solid"/>
            </v:shape>
            <v:shape style="position:absolute;left:1437;top:4333;width:98;height:180" coordorigin="1437,4334" coordsize="98,180" path="m1486,4334l1534,4356,1437,4401,1534,4446,1437,4491,1486,4513e" filled="false" stroked="true" strokeweight=".127234pt" strokecolor="#2f2f2f">
              <v:path arrowok="t"/>
              <v:stroke dashstyle="solid"/>
            </v:shape>
            <v:shape style="position:absolute;left:1631;top:1638;width:2;height:1797" coordorigin="1631,1638" coordsize="0,1797" path="m1631,2222l1631,3435m1631,1638l1631,2132e" filled="false" stroked="true" strokeweight=".129402pt" strokecolor="#2f2f2f">
              <v:path arrowok="t"/>
              <v:stroke dashstyle="solid"/>
            </v:shape>
            <v:line style="position:absolute" from="1631,3615" to="1631,3929" stroked="true" strokeweight=".129402pt" strokecolor="#2f2f2f">
              <v:stroke dashstyle="solid"/>
            </v:line>
            <v:shape style="position:absolute;left:1728;top:3704;width:98;height:180" coordorigin="1728,3705" coordsize="98,180" path="m1777,3705l1825,3727,1728,3772,1825,3817,1728,3862,1777,3884e" filled="false" stroked="true" strokeweight=".127234pt" strokecolor="#2f2f2f">
              <v:path arrowok="t"/>
              <v:stroke dashstyle="solid"/>
            </v:shape>
            <v:line style="position:absolute" from="2958,3929" to="1631,3929" stroked="true" strokeweight=".119798pt" strokecolor="#2f2f2f">
              <v:stroke dashstyle="solid"/>
            </v:line>
            <v:shape style="position:absolute;left:2949;top:3899;width:89;height:60" coordorigin="2949,3899" coordsize="89,60" path="m2949,3959l2949,3899,3038,3929,2949,3959xe" filled="true" fillcolor="#2f2f2f" stroked="false">
              <v:path arrowok="t"/>
              <v:fill type="solid"/>
            </v:shape>
            <v:line style="position:absolute" from="1631,4356" to="1631,4648" stroked="true" strokeweight=".129402pt" strokecolor="#2f2f2f">
              <v:stroke dashstyle="solid"/>
            </v:line>
            <v:line style="position:absolute" from="1486,3929" to="1486,4334" stroked="true" strokeweight=".129402pt" strokecolor="#2f2f2f">
              <v:stroke dashstyle="solid"/>
            </v:line>
            <v:line style="position:absolute" from="1486,4513" to="1486,4648" stroked="true" strokeweight=".129402pt" strokecolor="#2f2f2f">
              <v:stroke dashstyle="solid"/>
            </v:line>
            <v:shape style="position:absolute;left:1617;top:3918;width:25;height:23" coordorigin="1618,3919" coordsize="25,23" path="m1636,3941l1623,3941,1618,3936,1618,3930,1618,3924,1623,3919,1636,3919,1642,3924,1642,3936,1636,3941xe" filled="true" fillcolor="#000000" stroked="false">
              <v:path arrowok="t"/>
              <v:fill type="solid"/>
            </v:shape>
            <v:shape style="position:absolute;left:1617;top:3918;width:25;height:23" coordorigin="1618,3919" coordsize="25,23" path="m1618,3930l1618,3924,1623,3919,1630,3919,1636,3919,1642,3924,1642,3930,1642,3936,1636,3941,1630,3941,1623,3941,1618,3936,1618,3930xe" filled="false" stroked="true" strokeweight=".372692pt" strokecolor="#2f2f2f">
              <v:path arrowok="t"/>
              <v:stroke dashstyle="solid"/>
            </v:shape>
            <v:line style="position:absolute" from="2958,4244" to="1486,4244" stroked="true" strokeweight=".119798pt" strokecolor="#2f2f2f">
              <v:stroke dashstyle="solid"/>
            </v:line>
            <v:shape style="position:absolute;left:2949;top:4213;width:89;height:60" coordorigin="2949,4214" coordsize="89,60" path="m2949,4274l2949,4214,3038,4244,2949,4274xe" filled="true" fillcolor="#2f2f2f" stroked="false">
              <v:path arrowok="t"/>
              <v:fill type="solid"/>
            </v:shape>
            <v:shape style="position:absolute;left:1474;top:4233;width:25;height:23" coordorigin="1474,4233" coordsize="25,23" path="m1493,4256l1479,4256,1474,4251,1474,4245,1474,4238,1479,4233,1493,4233,1498,4238,1498,4251,1493,4256xe" filled="true" fillcolor="#000000" stroked="false">
              <v:path arrowok="t"/>
              <v:fill type="solid"/>
            </v:shape>
            <v:shape style="position:absolute;left:1474;top:4233;width:25;height:23" coordorigin="1474,4233" coordsize="25,23" path="m1474,4245l1474,4238,1479,4233,1486,4233,1493,4233,1498,4238,1498,4245,1498,4251,1493,4256,1486,4256,1479,4256,1474,4251,1474,4245xe" filled="false" stroked="true" strokeweight=".372692pt" strokecolor="#2f2f2f">
              <v:path arrowok="t"/>
              <v:stroke dashstyle="solid"/>
            </v:shape>
            <v:shape style="position:absolute;left:1617;top:1627;width:25;height:23" coordorigin="1618,1628" coordsize="25,23" path="m1636,1650l1623,1650,1618,1645,1618,1639,1618,1633,1623,1628,1636,1628,1642,1633,1642,1645,1636,1650xe" filled="true" fillcolor="#000000" stroked="false">
              <v:path arrowok="t"/>
              <v:fill type="solid"/>
            </v:shape>
            <v:shape style="position:absolute;left:1617;top:1627;width:25;height:23" coordorigin="1618,1628" coordsize="25,23" path="m1618,1639l1618,1633,1623,1628,1630,1628,1636,1628,1642,1633,1642,1639,1642,1645,1636,1650,1630,1650,1623,1650,1618,1645,1618,1639xe" filled="false" stroked="true" strokeweight=".372692pt" strokecolor="#2f2f2f">
              <v:path arrowok="t"/>
              <v:stroke dashstyle="solid"/>
            </v:shape>
            <v:shape style="position:absolute;left:1472;top:1897;width:25;height:23" coordorigin="1472,1897" coordsize="25,23" path="m1491,1920l1477,1920,1472,1915,1472,1909,1472,1902,1477,1897,1491,1897,1496,1902,1496,1915,1491,1920xe" filled="true" fillcolor="#000000" stroked="false">
              <v:path arrowok="t"/>
              <v:fill type="solid"/>
            </v:shape>
            <v:shape style="position:absolute;left:1472;top:1897;width:25;height:23" coordorigin="1472,1897" coordsize="25,23" path="m1472,1909l1472,1902,1477,1897,1484,1897,1491,1897,1496,1902,1496,1909,1496,1915,1491,1920,1484,1920,1477,1920,1472,1915,1472,1909xe" filled="false" stroked="true" strokeweight=".372692pt" strokecolor="#2f2f2f">
              <v:path arrowok="t"/>
              <v:stroke dashstyle="solid"/>
            </v:shape>
            <v:shape style="position:absolute;left:1617;top:4637;width:25;height:23" coordorigin="1618,4638" coordsize="25,23" path="m1636,4660l1623,4660,1618,4655,1618,4649,1618,4643,1623,4638,1636,4638,1642,4643,1642,4655,1636,4660xe" filled="true" fillcolor="#000000" stroked="false">
              <v:path arrowok="t"/>
              <v:fill type="solid"/>
            </v:shape>
            <v:shape style="position:absolute;left:1617;top:4637;width:25;height:23" coordorigin="1618,4638" coordsize="25,23" path="m1618,4649l1618,4643,1623,4638,1630,4638,1636,4638,1642,4643,1642,4649,1642,4655,1636,4660,1630,4660,1623,4660,1618,4655,1618,4649xe" filled="false" stroked="true" strokeweight=".372692pt" strokecolor="#2f2f2f">
              <v:path arrowok="t"/>
              <v:stroke dashstyle="solid"/>
            </v:shape>
            <v:line style="position:absolute" from="5174,4738" to="5578,4738" stroked="true" strokeweight=".119798pt" strokecolor="#2f2f2f">
              <v:stroke dashstyle="solid"/>
            </v:line>
            <v:shape style="position:absolute;left:5569;top:4708;width:89;height:195" coordorigin="5570,4708" coordsize="89,195" path="m5659,4873l5570,4843,5570,4903,5659,4873xm5659,4738l5570,4708,5570,4768,5659,4738xe" filled="true" fillcolor="#2f2f2f" stroked="false">
              <v:path arrowok="t"/>
              <v:fill type="solid"/>
            </v:shape>
            <v:line style="position:absolute" from="5222,5008" to="5578,5008" stroked="true" strokeweight=".119798pt" strokecolor="#2f2f2f">
              <v:stroke dashstyle="solid"/>
            </v:line>
            <v:shape style="position:absolute;left:5173;top:4977;width:486;height:60" coordorigin="5174,4978" coordsize="486,60" path="m5230,4978l5174,5008,5230,5037,5230,4978xm5659,5008l5570,4978,5570,5037,5659,5008xe" filled="true" fillcolor="#2f2f2f" stroked="false">
              <v:path arrowok="t"/>
              <v:fill type="solid"/>
            </v:shape>
            <v:line style="position:absolute" from="5254,5367" to="5578,5367" stroked="true" strokeweight=".119798pt" strokecolor="#2f2f2f">
              <v:stroke dashstyle="solid"/>
            </v:line>
            <v:shape style="position:absolute;left:5173;top:5337;width:486;height:60" coordorigin="5174,5337" coordsize="486,60" path="m5263,5337l5174,5367,5263,5397,5263,5337xm5659,5367l5570,5337,5570,5397,5659,5367xe" filled="true" fillcolor="#2f2f2f" stroked="false">
              <v:path arrowok="t"/>
              <v:fill type="solid"/>
            </v:shape>
            <v:shape style="position:absolute;left:2042;top:5426;width:197;height:105" type="#_x0000_t75" stroked="false">
              <v:imagedata r:id="rId6" o:title=""/>
            </v:shape>
            <v:line style="position:absolute" from="2958,5412" to="2602,5412" stroked="true" strokeweight=".119798pt" strokecolor="#2f2f2f">
              <v:stroke dashstyle="solid"/>
            </v:line>
            <v:shape style="position:absolute;left:2949;top:5381;width:89;height:60" coordorigin="2949,5382" coordsize="89,60" path="m2949,5442l2949,5382,3038,5412,2949,5442xe" filled="true" fillcolor="#2f2f2f" stroked="false">
              <v:path arrowok="t"/>
              <v:fill type="solid"/>
            </v:shape>
            <v:line style="position:absolute" from="3038,5008" to="2683,5008" stroked="true" strokeweight=".119798pt" strokecolor="#2f2f2f">
              <v:stroke dashstyle="solid"/>
            </v:line>
            <v:shape style="position:absolute;left:2601;top:4977;width:89;height:60" coordorigin="2602,4978" coordsize="89,60" path="m2691,5037l2602,5008,2691,4978,2691,5037xe" filled="true" fillcolor="#2f2f2f" stroked="false">
              <v:path arrowok="t"/>
              <v:fill type="solid"/>
            </v:shape>
            <v:line style="position:absolute" from="2602,5142" to="2958,5142" stroked="true" strokeweight=".119798pt" strokecolor="#2f2f2f">
              <v:stroke dashstyle="solid"/>
            </v:line>
            <v:shape style="position:absolute;left:2949;top:5112;width:89;height:60" coordorigin="2949,5112" coordsize="89,60" path="m2949,5172l2949,5112,3038,5142,2949,5172xe" filled="true" fillcolor="#2f2f2f" stroked="false">
              <v:path arrowok="t"/>
              <v:fill type="solid"/>
            </v:shape>
            <v:line style="position:absolute" from="5028,3121" to="5028,3255" stroked="true" strokeweight=".129402pt" strokecolor="#2f2f2f">
              <v:stroke dashstyle="solid"/>
            </v:line>
            <v:line style="position:absolute" from="4300,3181" to="4300,2582" stroked="true" strokeweight=".129402pt" strokecolor="#2f2f2f">
              <v:stroke dashstyle="solid"/>
            </v:line>
            <v:shape style="position:absolute;left:4267;top:3173;width:65;height:83" coordorigin="4268,3173" coordsize="65,83" path="m4300,3255l4268,3173,4332,3173,4300,3255xe" filled="true" fillcolor="#2f2f2f" stroked="false">
              <v:path arrowok="t"/>
              <v:fill type="solid"/>
            </v:shape>
            <v:line style="position:absolute" from="4737,2469" to="4737,3255" stroked="true" strokeweight=".129402pt" strokecolor="#2f2f2f">
              <v:stroke dashstyle="solid"/>
            </v:line>
            <v:rect style="position:absolute;left:3038;top:5321;width:437;height:300" filled="false" stroked="true" strokeweight=".12287pt" strokecolor="#2f2f2f">
              <v:stroke dashstyle="solid"/>
            </v:rect>
            <v:rect style="position:absolute;left:5545;top:6093;width:122;height:53" filled="true" fillcolor="#000000" stroked="false">
              <v:fill type="solid"/>
            </v:rect>
            <v:rect style="position:absolute;left:5545;top:6093;width:122;height:53" filled="false" stroked="true" strokeweight=".121309pt" strokecolor="#2f2f2f">
              <v:stroke dashstyle="solid"/>
            </v:rect>
            <v:line style="position:absolute" from="5546,6063" to="5667,6063" stroked="true" strokeweight=".119798pt" strokecolor="#2f2f2f">
              <v:stroke dashstyle="solid"/>
            </v:line>
            <v:line style="position:absolute" from="5546,6176" to="5667,6176" stroked="true" strokeweight=".119798pt" strokecolor="#2f2f2f">
              <v:stroke dashstyle="solid"/>
            </v:line>
            <v:shape style="position:absolute;left:5173;top:6018;width:437;height:45" coordorigin="5174,6018" coordsize="437,45" path="m5610,6063l5610,6018,5174,6018e" filled="false" stroked="true" strokeweight=".119899pt" strokecolor="#2f2f2f">
              <v:path arrowok="t"/>
              <v:stroke dashstyle="solid"/>
            </v:shape>
            <v:shape style="position:absolute;left:5173;top:6175;width:437;height:68" coordorigin="5174,6176" coordsize="437,68" path="m5610,6176l5610,6243,5174,6243e" filled="false" stroked="true" strokeweight=".120021pt" strokecolor="#2f2f2f">
              <v:path arrowok="t"/>
              <v:stroke dashstyle="solid"/>
            </v:shape>
            <v:shape style="position:absolute;left:3766;top:4558;width:777;height:974" coordorigin="3766,4558" coordsize="777,974" path="m3766,5142l4543,5142,4543,4783,3766,4783,3766,5142xm3766,5532l4543,5532,4543,5142,3766,5142,3766,5532xm3766,4783l4543,4783,4543,4558,3766,4558,3766,4783xe" filled="false" stroked="true" strokeweight=".1246pt" strokecolor="#2f2f2f">
              <v:path arrowok="t"/>
              <v:stroke dashstyle="solid"/>
            </v:shape>
            <v:shape style="position:absolute;left:2601;top:5516;width:89;height:60" coordorigin="2602,5517" coordsize="89,60" path="m2691,5577l2602,5547,2691,5517,2691,5577xe" filled="true" fillcolor="#2f2f2f" stroked="false">
              <v:path arrowok="t"/>
              <v:fill type="solid"/>
            </v:shape>
            <v:shape style="position:absolute;left:5416;top:5097;width:162;height:270" coordorigin="5416,5097" coordsize="162,270" path="m5416,5367l5416,5097,5578,5097e" filled="false" stroked="true" strokeweight=".12686pt" strokecolor="#2f2f2f">
              <v:path arrowok="t"/>
              <v:stroke dashstyle="shortdash"/>
            </v:shape>
            <v:shape style="position:absolute;left:5569;top:5067;width:89;height:60" coordorigin="5570,5067" coordsize="89,60" path="m5570,5127l5570,5067,5659,5097,5570,5127xe" filled="true" fillcolor="#2f2f2f" stroked="false">
              <v:path arrowok="t"/>
              <v:fill type="solid"/>
            </v:shape>
            <v:line style="position:absolute" from="4009,3181" to="4009,2469" stroked="true" strokeweight=".129402pt" strokecolor="#2f2f2f">
              <v:stroke dashstyle="solid"/>
            </v:line>
            <v:shape style="position:absolute;left:3976;top:3173;width:65;height:83" coordorigin="3977,3173" coordsize="65,83" path="m4009,3255l3977,3173,4041,3173,4009,3255xe" filled="true" fillcolor="#2f2f2f" stroked="false">
              <v:path arrowok="t"/>
              <v:fill type="solid"/>
            </v:shape>
            <v:line style="position:absolute" from="2844,3435" to="2958,3435" stroked="true" strokeweight=".119798pt" strokecolor="#2f2f2f">
              <v:stroke dashstyle="solid"/>
            </v:line>
            <v:shape style="position:absolute;left:2949;top:3405;width:89;height:60" coordorigin="2949,3405" coordsize="89,60" path="m2949,3465l2949,3405,3038,3435,2949,3465xe" filled="true" fillcolor="#2f2f2f" stroked="false">
              <v:path arrowok="t"/>
              <v:fill type="solid"/>
            </v:shape>
            <v:line style="position:absolute" from="1777,2357" to="3831,2357" stroked="true" strokeweight=".119798pt" strokecolor="#2f2f2f">
              <v:stroke dashstyle="solid"/>
            </v:line>
            <v:shape style="position:absolute;left:3822;top:2327;width:89;height:60" coordorigin="3823,2327" coordsize="89,60" path="m3823,2387l3823,2327,3912,2357,3823,2387xe" filled="true" fillcolor="#2f2f2f" stroked="false">
              <v:path arrowok="t"/>
              <v:fill type="solid"/>
            </v:shape>
            <v:shape style="position:absolute;left:1763;top:2346;width:25;height:23" coordorigin="1763,2346" coordsize="25,23" path="m1782,2369l1769,2369,1763,2364,1763,2358,1763,2352,1769,2346,1782,2346,1787,2352,1787,2364,1782,2369xe" filled="true" fillcolor="#000000" stroked="false">
              <v:path arrowok="t"/>
              <v:fill type="solid"/>
            </v:shape>
            <v:shape style="position:absolute;left:1763;top:2346;width:25;height:23" coordorigin="1763,2346" coordsize="25,23" path="m1763,2358l1763,2352,1769,2346,1775,2346,1782,2346,1787,2352,1787,2358,1787,2364,1782,2369,1775,2369,1769,2369,1763,2364,1763,2358xe" filled="false" stroked="true" strokeweight=".372692pt" strokecolor="#2f2f2f">
              <v:path arrowok="t"/>
              <v:stroke dashstyle="solid"/>
            </v:shape>
            <v:line style="position:absolute" from="4252,1908" to="3281,1908" stroked="true" strokeweight=".119798pt" strokecolor="#2f2f2f">
              <v:stroke dashstyle="solid"/>
            </v:line>
            <v:rect style="position:absolute;left:1097;top:1233;width:98;height:90" filled="true" fillcolor="#ffffff" stroked="false">
              <v:fill type="solid"/>
            </v:rect>
            <v:rect style="position:absolute;left:1097;top:1233;width:98;height:90" filled="false" stroked="true" strokeweight=".124231pt" strokecolor="#2f2f2f">
              <v:stroke dashstyle="solid"/>
            </v:rect>
            <v:rect style="position:absolute;left:1097;top:1413;width:98;height:90" filled="true" fillcolor="#ffffff" stroked="false">
              <v:fill type="solid"/>
            </v:rect>
            <v:rect style="position:absolute;left:1097;top:1413;width:98;height:90" filled="false" stroked="true" strokeweight=".124231pt" strokecolor="#2f2f2f">
              <v:stroke dashstyle="solid"/>
            </v:rect>
            <v:rect style="position:absolute;left:1097;top:1593;width:98;height:90" filled="true" fillcolor="#ffffff" stroked="false">
              <v:fill type="solid"/>
            </v:rect>
            <v:rect style="position:absolute;left:1097;top:1593;width:98;height:90" filled="false" stroked="true" strokeweight=".124231pt" strokecolor="#2f2f2f">
              <v:stroke dashstyle="solid"/>
            </v:rect>
            <v:rect style="position:absolute;left:1097;top:1862;width:98;height:90" filled="true" fillcolor="#ffffff" stroked="false">
              <v:fill type="solid"/>
            </v:rect>
            <v:rect style="position:absolute;left:1097;top:1862;width:98;height:90" filled="false" stroked="true" strokeweight=".124231pt" strokecolor="#2f2f2f">
              <v:stroke dashstyle="solid"/>
            </v:rect>
            <v:rect style="position:absolute;left:1437;top:2132;width:98;height:90" filled="true" fillcolor="#ffffff" stroked="false">
              <v:fill type="solid"/>
            </v:rect>
            <v:rect style="position:absolute;left:1437;top:2132;width:98;height:90" filled="false" stroked="true" strokeweight=".124231pt" strokecolor="#2f2f2f">
              <v:stroke dashstyle="solid"/>
            </v:rect>
            <v:rect style="position:absolute;left:1582;top:2132;width:98;height:90" filled="true" fillcolor="#ffffff" stroked="false">
              <v:fill type="solid"/>
            </v:rect>
            <v:rect style="position:absolute;left:1582;top:2132;width:98;height:90" filled="false" stroked="true" strokeweight=".124231pt" strokecolor="#2f2f2f">
              <v:stroke dashstyle="solid"/>
            </v:rect>
            <v:rect style="position:absolute;left:1728;top:2132;width:98;height:90" filled="true" fillcolor="#ffffff" stroked="false">
              <v:fill type="solid"/>
            </v:rect>
            <v:rect style="position:absolute;left:1728;top:2132;width:98;height:90" filled="false" stroked="true" strokeweight=".124231pt" strokecolor="#2f2f2f">
              <v:stroke dashstyle="solid"/>
            </v:rect>
            <v:line style="position:absolute" from="3281,1638" to="3847,1638" stroked="true" strokeweight=".119798pt" strokecolor="#2f2f2f">
              <v:stroke dashstyle="solid"/>
            </v:line>
            <v:line style="position:absolute" from="4252,1638" to="4252,1908" stroked="true" strokeweight=".129402pt" strokecolor="#2f2f2f">
              <v:stroke dashstyle="solid"/>
            </v:line>
            <v:rect style="position:absolute;left:3911;top:2177;width:1262;height:292" filled="false" stroked="true" strokeweight=".360859pt" strokecolor="#2f2f2f">
              <v:stroke dashstyle="solid"/>
            </v:rect>
            <v:rect style="position:absolute;left:3184;top:1233;width:98;height:90" filled="true" fillcolor="#ffffff" stroked="false">
              <v:fill type="solid"/>
            </v:rect>
            <v:rect style="position:absolute;left:3184;top:1233;width:98;height:90" filled="false" stroked="true" strokeweight=".124231pt" strokecolor="#2f2f2f">
              <v:stroke dashstyle="solid"/>
            </v:rect>
            <v:rect style="position:absolute;left:3184;top:1593;width:98;height:90" filled="true" fillcolor="#ffffff" stroked="false">
              <v:fill type="solid"/>
            </v:rect>
            <v:rect style="position:absolute;left:3184;top:1593;width:98;height:90" filled="false" stroked="true" strokeweight=".124231pt" strokecolor="#2f2f2f">
              <v:stroke dashstyle="solid"/>
            </v:rect>
            <v:rect style="position:absolute;left:3184;top:1862;width:98;height:90" filled="true" fillcolor="#ffffff" stroked="false">
              <v:fill type="solid"/>
            </v:rect>
            <v:rect style="position:absolute;left:3184;top:1862;width:98;height:90" filled="false" stroked="true" strokeweight=".124231pt" strokecolor="#2f2f2f">
              <v:stroke dashstyle="solid"/>
            </v:rect>
            <v:shape style="position:absolute;left:3845;top:1329;width:407;height:310" type="#_x0000_t75" stroked="false">
              <v:imagedata r:id="rId7" o:title=""/>
            </v:shape>
            <v:rect style="position:absolute;left:1291;top:2132;width:98;height:90" filled="true" fillcolor="#ffffff" stroked="false">
              <v:fill type="solid"/>
            </v:rect>
            <v:rect style="position:absolute;left:1291;top:2132;width:98;height:90" filled="false" stroked="true" strokeweight=".124231pt" strokecolor="#2f2f2f">
              <v:stroke dashstyle="solid"/>
            </v:rect>
            <v:line style="position:absolute" from="1340,1458" to="1340,2132" stroked="true" strokeweight=".129402pt" strokecolor="#2f2f2f">
              <v:stroke dashstyle="solid"/>
            </v:line>
            <v:shape style="position:absolute;left:1340;top:2222;width:437;height:2426" coordorigin="1340,2222" coordsize="437,2426" path="m1340,2222l1340,4648,1777,4648e" filled="false" stroked="true" strokeweight=".129101pt" strokecolor="#2f2f2f">
              <v:path arrowok="t"/>
              <v:stroke dashstyle="solid"/>
            </v:shape>
            <v:shape style="position:absolute;left:1472;top:4637;width:25;height:23" coordorigin="1472,4638" coordsize="25,23" path="m1491,4660l1477,4660,1472,4655,1472,4649,1472,4643,1477,4638,1491,4638,1496,4643,1496,4655,1491,4660xe" filled="true" fillcolor="#000000" stroked="false">
              <v:path arrowok="t"/>
              <v:fill type="solid"/>
            </v:shape>
            <v:shape style="position:absolute;left:1472;top:4637;width:25;height:23" coordorigin="1472,4638" coordsize="25,23" path="m1472,4649l1472,4643,1477,4638,1484,4638,1491,4638,1496,4643,1496,4649,1496,4655,1491,4660,1484,4660,1477,4660,1472,4655,1472,4649xe" filled="false" stroked="true" strokeweight=".372692pt" strokecolor="#2f2f2f">
              <v:path arrowok="t"/>
              <v:stroke dashstyle="solid"/>
            </v:shape>
            <v:line style="position:absolute" from="1389,2582" to="4300,2582" stroked="true" strokeweight=".119798pt" strokecolor="#2f2f2f">
              <v:stroke dashstyle="solid"/>
            </v:line>
            <v:rect style="position:absolute;left:3184;top:1413;width:98;height:90" filled="true" fillcolor="#ffffff" stroked="false">
              <v:fill type="solid"/>
            </v:rect>
            <v:rect style="position:absolute;left:3184;top:1413;width:98;height:90" filled="false" stroked="true" strokeweight=".124231pt" strokecolor="#2f2f2f">
              <v:stroke dashstyle="solid"/>
            </v:rect>
            <v:line style="position:absolute" from="1389,2582" to="1340,2537" stroked="true" strokeweight=".124231pt" strokecolor="#2f2f2f">
              <v:stroke dashstyle="solid"/>
            </v:line>
            <v:rect style="position:absolute;left:3766;top:4266;width:777;height:292" filled="false" stroked="true" strokeweight=".120988pt" strokecolor="#2f2f2f">
              <v:stroke dashstyle="solid"/>
            </v:rect>
            <v:line style="position:absolute" from="6047,3121" to="4737,3121" stroked="true" strokeweight=".119798pt" strokecolor="#000000">
              <v:stroke dashstyle="solid"/>
            </v:line>
            <v:shape style="position:absolute;left:3995;top:2571;width:25;height:23" coordorigin="3995,2571" coordsize="25,23" path="m4014,2594l4001,2594,3995,2588,3995,2582,3995,2576,4001,2571,4014,2571,4020,2576,4020,2588,4014,2594xe" filled="true" fillcolor="#000000" stroked="false">
              <v:path arrowok="t"/>
              <v:fill type="solid"/>
            </v:shape>
            <v:shape style="position:absolute;left:3995;top:2571;width:25;height:23" coordorigin="3995,2571" coordsize="25,23" path="m3995,2582l3995,2576,4001,2571,4008,2571,4014,2571,4020,2576,4020,2582,4020,2588,4014,2593,4008,2593,4001,2593,3995,2588,3995,2582xe" filled="false" stroked="true" strokeweight=".372692pt" strokecolor="#2f2f2f">
              <v:path arrowok="t"/>
              <v:stroke dashstyle="solid"/>
            </v:shape>
            <v:shape style="position:absolute;left:4723;top:3110;width:25;height:23" coordorigin="4723,3110" coordsize="25,23" path="m4742,3133l4729,3133,4723,3128,4723,3121,4723,3115,4729,3110,4742,3110,4748,3115,4748,3128,4742,3133xe" filled="true" fillcolor="#000000" stroked="false">
              <v:path arrowok="t"/>
              <v:fill type="solid"/>
            </v:shape>
            <v:shape style="position:absolute;left:4723;top:3110;width:25;height:23" coordorigin="4723,3110" coordsize="25,23" path="m4723,3121l4723,3115,4729,3110,4735,3110,4742,3110,4748,3115,4748,3121,4748,3128,4742,3133,4735,3133,4729,3133,4723,3128,4723,3121xe" filled="false" stroked="true" strokeweight=".372692pt" strokecolor="#2f2f2f">
              <v:path arrowok="t"/>
              <v:stroke dashstyle="solid"/>
            </v:shape>
            <v:line style="position:absolute" from="4049,1473" to="4025,1458" stroked="true" strokeweight=".122447pt" strokecolor="#000000">
              <v:stroke dashstyle="solid"/>
            </v:line>
            <v:line style="position:absolute" from="3184,1638" to="2238,1638" stroked="true" strokeweight=".119798pt" strokecolor="#000000">
              <v:stroke dashstyle="solid"/>
            </v:line>
            <v:line style="position:absolute" from="3184,1908" to="2092,1908" stroked="true" strokeweight=".119798pt" strokecolor="#000000">
              <v:stroke dashstyle="solid"/>
            </v:line>
            <v:line style="position:absolute" from="1486,1908" to="1486,2132" stroked="true" strokeweight=".129402pt" strokecolor="#000000">
              <v:stroke dashstyle="solid"/>
            </v:line>
            <v:line style="position:absolute" from="1194,1908" to="1486,1908" stroked="true" strokeweight=".119798pt" strokecolor="#000000">
              <v:stroke dashstyle="solid"/>
            </v:line>
            <v:line style="position:absolute" from="1194,1638" to="1631,1638" stroked="true" strokeweight=".119798pt" strokecolor="#000000">
              <v:stroke dashstyle="solid"/>
            </v:line>
            <v:line style="position:absolute" from="1194,1458" to="2650,1458" stroked="true" strokeweight=".119798pt" strokecolor="#000000">
              <v:stroke dashstyle="solid"/>
            </v:line>
            <v:line style="position:absolute" from="1486,3750" to="1486,2222" stroked="true" strokeweight=".129402pt" strokecolor="#000000">
              <v:stroke dashstyle="solid"/>
            </v:line>
            <v:line style="position:absolute" from="1631,3929" to="1631,4019" stroked="true" strokeweight=".129402pt" strokecolor="#000000">
              <v:stroke dashstyle="solid"/>
            </v:line>
            <v:line style="position:absolute" from="1631,4199" to="1631,4356" stroked="true" strokeweight=".129402pt" strokecolor="#000000">
              <v:stroke dashstyle="solid"/>
            </v:line>
            <v:line style="position:absolute" from="1777,3615" to="1777,3705" stroked="true" strokeweight=".129402pt" strokecolor="#000000">
              <v:stroke dashstyle="solid"/>
            </v:line>
            <v:line style="position:absolute" from="1777,4648" to="1777,3884" stroked="true" strokeweight=".129402pt" strokecolor="#000000">
              <v:stroke dashstyle="solid"/>
            </v:line>
            <v:shape style="position:absolute;left:1326;top:1448;width:25;height:23" coordorigin="1326,1449" coordsize="25,23" path="m1345,1471l1332,1471,1326,1466,1326,1460,1326,1454,1332,1449,1345,1449,1351,1454,1351,1466,1345,1471xe" filled="true" fillcolor="#000000" stroked="false">
              <v:path arrowok="t"/>
              <v:fill type="solid"/>
            </v:shape>
            <v:shape style="position:absolute;left:1326;top:1448;width:25;height:23" coordorigin="1326,1449" coordsize="25,23" path="m1326,1460l1326,1454,1332,1449,1339,1449,1345,1449,1351,1454,1351,1460,1351,1466,1345,1471,1339,1471,1332,1471,1326,1466,1326,1460xe" filled="false" stroked="true" strokeweight=".372692pt" strokecolor="#2f2f2f">
              <v:path arrowok="t"/>
              <v:stroke dashstyle="solid"/>
            </v:shape>
            <v:shape style="position:absolute;left:5561;top:5673;width:98;height:60" coordorigin="5562,5674" coordsize="98,60" path="m5562,5734l5562,5674,5659,5704,5562,5734xe" filled="true" fillcolor="#2f2f2f" stroked="false">
              <v:path arrowok="t"/>
              <v:fill type="solid"/>
            </v:shape>
            <v:line style="position:absolute" from="2958,3615" to="1777,3615" stroked="true" strokeweight=".119798pt" strokecolor="#2f2f2f">
              <v:stroke dashstyle="solid"/>
            </v:line>
            <v:shape style="position:absolute;left:2949;top:3584;width:89;height:60" coordorigin="2949,3585" coordsize="89,60" path="m2949,3645l2949,3585,3038,3615,2949,3645xe" filled="true" fillcolor="#2f2f2f" stroked="false">
              <v:path arrowok="t"/>
              <v:fill type="solid"/>
            </v:shape>
            <v:line style="position:absolute" from="5246,4064" to="5651,4064" stroked="true" strokeweight=".119798pt" strokecolor="#2f2f2f">
              <v:stroke dashstyle="solid"/>
            </v:line>
            <v:shape style="position:absolute;left:5165;top:3742;width:89;height:352" coordorigin="5166,3742" coordsize="89,352" path="m5254,4034l5166,4064,5254,4094,5254,4034xm5254,3742l5166,3772,5254,3802,5254,3742xe" filled="true" fillcolor="#2f2f2f" stroked="false">
              <v:path arrowok="t"/>
              <v:fill type="solid"/>
            </v:shape>
            <v:shape style="position:absolute;left:5650;top:3974;width:195;height:180" coordorigin="5651,3974" coordsize="195,180" path="m5651,4064l5732,4064m5764,4064l5845,4064m5732,3974l5732,4154m5764,4004l5764,4124m5699,3989l5699,4019m5683,4004l5707,4004m5780,4004l5804,4004e" filled="false" stroked="true" strokeweight=".373801pt" strokecolor="#000000">
              <v:path arrowok="t"/>
              <v:stroke dashstyle="solid"/>
            </v:shape>
            <v:line style="position:absolute" from="5845,4064" to="6047,4064" stroked="true" strokeweight=".119798pt" strokecolor="#000000">
              <v:stroke dashstyle="solid"/>
            </v:line>
            <v:shape style="position:absolute;left:6047;top:3120;width:2;height:1079" coordorigin="6047,3121" coordsize="0,1079" path="m6047,3772l6047,4199m6047,3772l6047,3121e" filled="false" stroked="true" strokeweight=".1246pt" strokecolor="#000000">
              <v:path arrowok="t"/>
              <v:stroke dashstyle="solid"/>
            </v:shape>
            <v:rect style="position:absolute;left:4542;top:3465;width:631;height:405" filled="false" stroked="true" strokeweight=".122595pt" strokecolor="#2f2f2f">
              <v:stroke dashstyle="solid"/>
            </v:rect>
            <v:shape style="position:absolute;left:5015;top:3110;width:25;height:23" coordorigin="5015,3110" coordsize="25,23" path="m5034,3133l5021,3133,5015,3128,5015,3121,5015,3115,5021,3110,5034,3110,5040,3115,5040,3128,5034,3133xe" filled="true" fillcolor="#000000" stroked="false">
              <v:path arrowok="t"/>
              <v:fill type="solid"/>
            </v:shape>
            <v:shape style="position:absolute;left:5015;top:3110;width:25;height:23" coordorigin="5015,3110" coordsize="25,23" path="m5015,3121l5015,3115,5021,3110,5028,3110,5034,3110,5040,3115,5040,3121,5040,3128,5034,3133,5028,3133,5021,3133,5015,3128,5015,3121xe" filled="false" stroked="true" strokeweight=".372692pt" strokecolor="#2f2f2f">
              <v:path arrowok="t"/>
              <v:stroke dashstyle="solid"/>
            </v:shape>
            <v:line style="position:absolute" from="2626,1548" to="2626,1458" stroked="true" strokeweight=".129402pt" strokecolor="#2f2f2f">
              <v:stroke dashstyle="solid"/>
            </v:line>
            <v:shape style="position:absolute;left:2723;top:1548;width:2;height:1977" coordorigin="2723,1548" coordsize="0,1977" path="m2723,2222l2723,3525m2723,1548l2723,2132e" filled="false" stroked="true" strokeweight=".129402pt" strokecolor="#2f2f2f">
              <v:path arrowok="t"/>
              <v:stroke dashstyle="solid"/>
            </v:shape>
            <v:shape style="position:absolute;left:2949;top:3494;width:89;height:60" coordorigin="2949,3495" coordsize="89,60" path="m2949,3555l2949,3495,3038,3525,2949,3555xe" filled="true" fillcolor="#2f2f2f" stroked="false">
              <v:path arrowok="t"/>
              <v:fill type="solid"/>
            </v:shape>
            <v:rect style="position:absolute;left:2674;top:2132;width:98;height:90" filled="true" fillcolor="#ffffff" stroked="false">
              <v:fill type="solid"/>
            </v:rect>
            <v:rect style="position:absolute;left:2674;top:2132;width:98;height:90" filled="false" stroked="true" strokeweight=".124231pt" strokecolor="#2f2f2f">
              <v:stroke dashstyle="solid"/>
            </v:rect>
            <v:shape style="position:absolute;left:2577;top:1278;width:267;height:2157" coordorigin="2577,1279" coordsize="267,2157" path="m2577,2222l2577,2671m2577,1279l2577,2132m2844,2222l2844,3435m2844,1548l2844,2132e" filled="false" stroked="true" strokeweight=".129402pt" strokecolor="#2f2f2f">
              <v:path arrowok="t"/>
              <v:stroke dashstyle="solid"/>
            </v:shape>
            <v:rect style="position:absolute;left:2795;top:2132;width:98;height:90" filled="true" fillcolor="#ffffff" stroked="false">
              <v:fill type="solid"/>
            </v:rect>
            <v:rect style="position:absolute;left:2795;top:2132;width:98;height:90" filled="false" stroked="true" strokeweight=".124231pt" strokecolor="#2f2f2f">
              <v:stroke dashstyle="solid"/>
            </v:rect>
            <v:line style="position:absolute" from="2626,1548" to="2723,1548" stroked="true" strokeweight=".119798pt" strokecolor="#2f2f2f">
              <v:stroke dashstyle="solid"/>
            </v:line>
            <v:rect style="position:absolute;left:2528;top:2132;width:98;height:90" filled="true" fillcolor="#ffffff" stroked="false">
              <v:fill type="solid"/>
            </v:rect>
            <v:rect style="position:absolute;left:2528;top:2132;width:98;height:90" filled="false" stroked="true" strokeweight=".124231pt" strokecolor="#2f2f2f">
              <v:stroke dashstyle="solid"/>
            </v:rect>
            <v:line style="position:absolute" from="2958,3794" to="2456,3794" stroked="true" strokeweight=".119798pt" strokecolor="#2f2f2f">
              <v:stroke dashstyle="solid"/>
            </v:line>
            <v:shape style="position:absolute;left:2949;top:3764;width:89;height:60" coordorigin="2949,3764" coordsize="89,60" path="m2949,3824l2949,3764,3038,3794,2949,3824xe" filled="true" fillcolor="#2f2f2f" stroked="false">
              <v:path arrowok="t"/>
              <v:fill type="solid"/>
            </v:shape>
            <v:shape style="position:absolute;left:2310;top:1278;width:146;height:270" coordorigin="2311,1279" coordsize="146,270" path="m2311,1548l2311,1279m2311,1548l2456,1548e" filled="false" stroked="true" strokeweight=".1246pt" strokecolor="#2f2f2f">
              <v:path arrowok="t"/>
              <v:stroke dashstyle="solid"/>
            </v:shape>
            <v:shape style="position:absolute;left:1995;top:1623;width:195;height:128" coordorigin="1995,1623" coordsize="195,128" path="m1995,1750l1995,1623m1995,1750l2189,1750e" filled="false" stroked="true" strokeweight=".1246pt" strokecolor="#2f2f2f">
              <v:path arrowok="t"/>
              <v:stroke dashstyle="solid"/>
            </v:shape>
            <v:shape style="position:absolute;left:2456;top:1548;width:2;height:1124" coordorigin="2456,1548" coordsize="0,1124" path="m2456,2222l2456,2671m2456,1548l2456,2132e" filled="false" stroked="true" strokeweight=".129402pt" strokecolor="#2f2f2f">
              <v:path arrowok="t"/>
              <v:stroke dashstyle="solid"/>
            </v:shape>
            <v:rect style="position:absolute;left:2407;top:2132;width:98;height:90" filled="true" fillcolor="#ffffff" stroked="false">
              <v:fill type="solid"/>
            </v:rect>
            <v:rect style="position:absolute;left:2407;top:2132;width:98;height:90" filled="false" stroked="true" strokeweight=".124231pt" strokecolor="#2f2f2f">
              <v:stroke dashstyle="solid"/>
            </v:rect>
            <v:rect style="position:absolute;left:2262;top:2132;width:98;height:90" filled="true" fillcolor="#ffffff" stroked="false">
              <v:fill type="solid"/>
            </v:rect>
            <v:rect style="position:absolute;left:2262;top:2132;width:98;height:90" filled="false" stroked="true" strokeweight=".124231pt" strokecolor="#2f2f2f">
              <v:stroke dashstyle="solid"/>
            </v:rect>
            <v:line style="position:absolute" from="2958,4019" to="2335,4019" stroked="true" strokeweight=".119798pt" strokecolor="#2f2f2f">
              <v:stroke dashstyle="solid"/>
            </v:line>
            <v:shape style="position:absolute;left:2949;top:3989;width:89;height:60" coordorigin="2949,3989" coordsize="89,60" path="m2949,4049l2949,3989,3038,4019,2949,4049xe" filled="true" fillcolor="#2f2f2f" stroked="false">
              <v:path arrowok="t"/>
              <v:fill type="solid"/>
            </v:shape>
            <v:line style="position:absolute" from="2958,4109" to="2189,4109" stroked="true" strokeweight=".119798pt" strokecolor="#2f2f2f">
              <v:stroke dashstyle="solid"/>
            </v:line>
            <v:shape style="position:absolute;left:2949;top:4078;width:89;height:60" coordorigin="2949,4079" coordsize="89,60" path="m2949,4139l2949,4079,3038,4109,2949,4139xe" filled="true" fillcolor="#2f2f2f" stroked="false">
              <v:path arrowok="t"/>
              <v:fill type="solid"/>
            </v:shape>
            <v:line style="position:absolute" from="2189,2671" to="2189,2222" stroked="true" strokeweight=".129402pt" strokecolor="#2f2f2f">
              <v:stroke dashstyle="solid"/>
            </v:line>
            <v:rect style="position:absolute;left:2140;top:2132;width:98;height:90" filled="true" fillcolor="#ffffff" stroked="false">
              <v:fill type="solid"/>
            </v:rect>
            <v:rect style="position:absolute;left:2140;top:2132;width:98;height:90" filled="false" stroked="true" strokeweight=".124231pt" strokecolor="#2f2f2f">
              <v:stroke dashstyle="solid"/>
            </v:rect>
            <v:line style="position:absolute" from="2958,4333" to="2068,4333" stroked="true" strokeweight=".119798pt" strokecolor="#2f2f2f">
              <v:stroke dashstyle="solid"/>
            </v:line>
            <v:shape style="position:absolute;left:2949;top:4303;width:89;height:60" coordorigin="2949,4304" coordsize="89,60" path="m2949,4363l2949,4304,3038,4333,2949,4363xe" filled="true" fillcolor="#2f2f2f" stroked="false">
              <v:path arrowok="t"/>
              <v:fill type="solid"/>
            </v:shape>
            <v:line style="position:absolute" from="2958,4423" to="1922,4423" stroked="true" strokeweight=".119798pt" strokecolor="#2f2f2f">
              <v:stroke dashstyle="solid"/>
            </v:line>
            <v:shape style="position:absolute;left:2949;top:4393;width:89;height:60" coordorigin="2949,4393" coordsize="89,60" path="m2949,4453l2949,4393,3038,4423,2949,4453xe" filled="true" fillcolor="#2f2f2f" stroked="false">
              <v:path arrowok="t"/>
              <v:fill type="solid"/>
            </v:shape>
            <v:shape style="position:absolute;left:1922;top:2222;width:122;height:450" coordorigin="1922,2222" coordsize="122,450" path="m2044,2222l2044,2671m1922,2222l1922,2671e" filled="false" stroked="true" strokeweight=".129402pt" strokecolor="#2f2f2f">
              <v:path arrowok="t"/>
              <v:stroke dashstyle="solid"/>
            </v:shape>
            <v:rect style="position:absolute;left:1873;top:2132;width:98;height:90" filled="true" fillcolor="#ffffff" stroked="false">
              <v:fill type="solid"/>
            </v:rect>
            <v:rect style="position:absolute;left:1873;top:2132;width:98;height:90" filled="false" stroked="true" strokeweight=".124231pt" strokecolor="#2f2f2f">
              <v:stroke dashstyle="solid"/>
            </v:rect>
            <v:rect style="position:absolute;left:1995;top:2132;width:98;height:90" filled="true" fillcolor="#ffffff" stroked="false">
              <v:fill type="solid"/>
            </v:rect>
            <v:rect style="position:absolute;left:1995;top:2132;width:98;height:90" filled="false" stroked="true" strokeweight=".124231pt" strokecolor="#2f2f2f">
              <v:stroke dashstyle="solid"/>
            </v:rect>
            <v:shape style="position:absolute;left:1849;top:1907;width:73;height:90" coordorigin="1850,1908" coordsize="73,90" path="m1850,1997l1850,1908m1850,1997l1922,1997e" filled="false" stroked="true" strokeweight=".1246pt" strokecolor="#2f2f2f">
              <v:path arrowok="t"/>
              <v:stroke dashstyle="solid"/>
            </v:shape>
            <v:line style="position:absolute" from="2044,1997" to="2116,1997" stroked="true" strokeweight=".119798pt" strokecolor="#2f2f2f">
              <v:stroke dashstyle="solid"/>
            </v:line>
            <v:line style="position:absolute" from="2116,1997" to="2116,1908" stroked="true" strokeweight=".129402pt" strokecolor="#2f2f2f">
              <v:stroke dashstyle="solid"/>
            </v:line>
            <v:shape style="position:absolute;left:5402;top:3761;width:25;height:23" coordorigin="5403,3761" coordsize="25,23" path="m5421,3784l5408,3784,5403,3779,5403,3773,5403,3766,5408,3761,5421,3761,5427,3766,5427,3779,5421,3784xe" filled="true" fillcolor="#000000" stroked="false">
              <v:path arrowok="t"/>
              <v:fill type="solid"/>
            </v:shape>
            <v:shape style="position:absolute;left:5402;top:3761;width:25;height:23" coordorigin="5403,3761" coordsize="25,23" path="m5403,3773l5403,3766,5408,3761,5415,3761,5421,3761,5427,3766,5427,3773,5427,3779,5421,3784,5415,3784,5408,3784,5403,3779,5403,3773xe" filled="false" stroked="true" strokeweight=".372692pt" strokecolor="#2f2f2f">
              <v:path arrowok="t"/>
              <v:stroke dashstyle="solid"/>
            </v:shape>
            <v:shape style="position:absolute;left:5499;top:3761;width:25;height:23" coordorigin="5500,3761" coordsize="25,23" path="m5519,3784l5505,3784,5500,3779,5500,3773,5500,3766,5505,3761,5519,3761,5524,3766,5524,3779,5519,3784xe" filled="true" fillcolor="#000000" stroked="false">
              <v:path arrowok="t"/>
              <v:fill type="solid"/>
            </v:shape>
            <v:shape style="position:absolute;left:5499;top:3761;width:25;height:23" coordorigin="5500,3761" coordsize="25,23" path="m5500,3773l5500,3766,5505,3761,5512,3761,5519,3761,5524,3766,5524,3773,5524,3779,5519,3784,5512,3784,5505,3784,5500,3779,5500,3773xe" filled="false" stroked="true" strokeweight=".372692pt" strokecolor="#2f2f2f">
              <v:path arrowok="t"/>
              <v:stroke dashstyle="solid"/>
            </v:shape>
            <v:line style="position:absolute" from="5391,3728" to="5536,3728" stroked="true" strokeweight=".59899pt" strokecolor="#000000">
              <v:stroke dashstyle="solid"/>
            </v:line>
            <v:line style="position:absolute" from="5415,3660" to="5512,3660" stroked="true" strokeweight="1.078182pt" strokecolor="#000000">
              <v:stroke dashstyle="solid"/>
            </v:line>
            <v:line style="position:absolute" from="5463,3660" to="5463,3728" stroked="true" strokeweight=".647012pt" strokecolor="#000000">
              <v:stroke dashstyle="solid"/>
            </v:line>
            <v:line style="position:absolute" from="5610,3772" to="5513,3772" stroked="true" strokeweight=".119798pt" strokecolor="#000000">
              <v:stroke dashstyle="solid"/>
            </v:line>
            <v:line style="position:absolute" from="5610,4064" to="5610,3772" stroked="true" strokeweight=".129402pt" strokecolor="#000000">
              <v:stroke dashstyle="solid"/>
            </v:line>
            <v:shape style="position:absolute;left:5596;top:4053;width:25;height:23" coordorigin="5597,4053" coordsize="25,23" path="m5616,4076l5602,4076,5597,4071,5597,4065,5597,4058,5602,4053,5616,4053,5621,4058,5621,4071,5616,4076xe" filled="true" fillcolor="#000000" stroked="false">
              <v:path arrowok="t"/>
              <v:fill type="solid"/>
            </v:shape>
            <v:shape style="position:absolute;left:5596;top:4053;width:25;height:23" coordorigin="5597,4053" coordsize="25,23" path="m5597,4065l5597,4058,5602,4053,5609,4053,5616,4053,5621,4058,5621,4065,5621,4071,5616,4076,5609,4076,5602,4076,5597,4071,5597,4065xe" filled="false" stroked="true" strokeweight=".372692pt" strokecolor="#2f2f2f">
              <v:path arrowok="t"/>
              <v:stroke dashstyle="solid"/>
            </v:shape>
            <v:shape style="position:absolute;left:5391;top:4108;width:195;height:180" coordorigin="5392,4109" coordsize="195,180" path="m5392,4199l5473,4199m5505,4199l5586,4199m5473,4109l5473,4289m5505,4139l5505,4259m5440,4124l5440,4154m5432,4139l5457,4139m5529,4139l5554,4139e" filled="false" stroked="true" strokeweight=".373801pt" strokecolor="#000000">
              <v:path arrowok="t"/>
              <v:stroke dashstyle="solid"/>
            </v:shape>
            <v:line style="position:absolute" from="5586,4199" to="6047,4199" stroked="true" strokeweight=".119798pt" strokecolor="#000000">
              <v:stroke dashstyle="solid"/>
            </v:line>
            <v:shape style="position:absolute;left:6033;top:4053;width:25;height:23" coordorigin="6033,4053" coordsize="25,23" path="m6052,4076l6039,4076,6033,4071,6033,4065,6033,4058,6039,4053,6052,4053,6058,4058,6058,4071,6052,4076xe" filled="true" fillcolor="#000000" stroked="false">
              <v:path arrowok="t"/>
              <v:fill type="solid"/>
            </v:shape>
            <v:shape style="position:absolute;left:6033;top:4053;width:25;height:23" coordorigin="6033,4053" coordsize="25,23" path="m6033,4065l6033,4058,6039,4053,6046,4053,6052,4053,6058,4058,6058,4065,6058,4071,6052,4076,6046,4076,6039,4076,6033,4071,6033,4065xe" filled="false" stroked="true" strokeweight=".372692pt" strokecolor="#2f2f2f">
              <v:path arrowok="t"/>
              <v:stroke dashstyle="solid"/>
            </v:shape>
            <v:line style="position:absolute" from="5254,4199" to="5392,4199" stroked="true" strokeweight=".119798pt" strokecolor="#2f2f2f">
              <v:stroke dashstyle="solid"/>
            </v:line>
            <v:shape style="position:absolute;left:5173;top:4168;width:89;height:60" coordorigin="5174,4169" coordsize="89,60" path="m5263,4229l5174,4199,5263,4169,5263,4229xe" filled="true" fillcolor="#2f2f2f" stroked="false">
              <v:path arrowok="t"/>
              <v:fill type="solid"/>
            </v:shape>
            <v:line style="position:absolute" from="5174,5771" to="5578,5771" stroked="true" strokeweight=".119798pt" strokecolor="#2f2f2f">
              <v:stroke dashstyle="solid"/>
            </v:line>
            <v:shape style="position:absolute;left:5569;top:5741;width:89;height:60" coordorigin="5570,5741" coordsize="89,60" path="m5570,5801l5570,5741,5659,5771,5570,5801xe" filled="true" fillcolor="#2f2f2f" stroked="false">
              <v:path arrowok="t"/>
              <v:fill type="solid"/>
            </v:shape>
            <v:rect style="position:absolute;left:3038;top:5905;width:728;height:450" filled="false" stroked="true" strokeweight=".122447pt" strokecolor="#2f2f2f">
              <v:stroke dashstyle="solid"/>
            </v:rect>
            <v:shape style="position:absolute;left:2601;top:5965;width:437;height:330" type="#_x0000_t75" stroked="false">
              <v:imagedata r:id="rId8" o:title=""/>
            </v:shape>
            <v:shape style="position:absolute;left:1919;top:3237;width:149;height:104" type="#_x0000_t75" stroked="false">
              <v:imagedata r:id="rId9" o:title=""/>
            </v:shape>
            <v:shape style="position:absolute;left:1890;top:1862;width:203;height:90" coordorigin="1890,1863" coordsize="203,90" path="m1890,1907l1914,1863,1971,1952,2019,1863,2068,1952,2092,1907e" filled="false" stroked="true" strokeweight=".364146pt" strokecolor="#2f2f2f">
              <v:path arrowok="t"/>
              <v:stroke dashstyle="solid"/>
            </v:shape>
            <v:line style="position:absolute" from="1890,1907" to="1486,1907" stroked="true" strokeweight=".119798pt" strokecolor="#000000">
              <v:stroke dashstyle="solid"/>
            </v:line>
            <v:shape style="position:absolute;left:2102;top:1897;width:25;height:23" coordorigin="2103,1897" coordsize="25,23" path="m2122,1919l2108,1919,2103,1914,2103,1908,2103,1902,2108,1897,2122,1897,2127,1902,2127,1914,2122,1919xe" filled="true" fillcolor="#000000" stroked="false">
              <v:path arrowok="t"/>
              <v:fill type="solid"/>
            </v:shape>
            <v:shape style="position:absolute;left:2102;top:1897;width:25;height:23" coordorigin="2103,1897" coordsize="25,23" path="m2103,1908l2103,1902,2108,1897,2115,1897,2122,1897,2127,1902,2127,1908,2127,1914,2122,1919,2115,1919,2108,1919,2103,1914,2103,1908xe" filled="false" stroked="true" strokeweight=".372692pt" strokecolor="#2f2f2f">
              <v:path arrowok="t"/>
              <v:stroke dashstyle="solid"/>
            </v:shape>
            <v:shape style="position:absolute;left:1836;top:1897;width:25;height:23" coordorigin="1836,1897" coordsize="25,23" path="m1855,1919l1841,1919,1836,1914,1836,1908,1836,1902,1841,1897,1855,1897,1860,1902,1860,1914,1855,1919xe" filled="true" fillcolor="#000000" stroked="false">
              <v:path arrowok="t"/>
              <v:fill type="solid"/>
            </v:shape>
            <v:shape style="position:absolute;left:1836;top:1897;width:25;height:23" coordorigin="1836,1897" coordsize="25,23" path="m1836,1908l1836,1902,1841,1897,1848,1897,1855,1897,1860,1902,1860,1908,1860,1914,1855,1919,1848,1919,1841,1919,1836,1914,1836,1908xe" filled="false" stroked="true" strokeweight=".372692pt" strokecolor="#2f2f2f">
              <v:path arrowok="t"/>
              <v:stroke dashstyle="solid"/>
            </v:shape>
            <v:shape style="position:absolute;left:2035;top:1593;width:203;height:90" coordorigin="2036,1593" coordsize="203,90" path="m2036,1638l2060,1593,2116,1683,2165,1593,2214,1683,2238,1638e" filled="false" stroked="true" strokeweight=".364146pt" strokecolor="#2f2f2f">
              <v:path arrowok="t"/>
              <v:stroke dashstyle="solid"/>
            </v:shape>
            <v:shape style="position:absolute;left:2297;top:1627;width:25;height:23" coordorigin="2297,1627" coordsize="25,23" path="m2316,1650l2302,1650,2297,1645,2297,1639,2297,1632,2302,1627,2316,1627,2321,1632,2321,1645,2316,1650xe" filled="true" fillcolor="#000000" stroked="false">
              <v:path arrowok="t"/>
              <v:fill type="solid"/>
            </v:shape>
            <v:shape style="position:absolute;left:2297;top:1627;width:25;height:23" coordorigin="2297,1627" coordsize="25,23" path="m2297,1639l2297,1632,2302,1627,2309,1627,2316,1627,2321,1632,2321,1639,2321,1645,2316,1650,2309,1650,2302,1650,2297,1645,2297,1639xe" filled="false" stroked="true" strokeweight=".372692pt" strokecolor="#2f2f2f">
              <v:path arrowok="t"/>
              <v:stroke dashstyle="solid"/>
            </v:shape>
            <v:shape style="position:absolute;left:1981;top:1627;width:25;height:23" coordorigin="1982,1627" coordsize="25,23" path="m2000,1650l1987,1650,1982,1645,1982,1639,1982,1632,1987,1627,2000,1627,2006,1632,2006,1645,2000,1650xe" filled="true" fillcolor="#000000" stroked="false">
              <v:path arrowok="t"/>
              <v:fill type="solid"/>
            </v:shape>
            <v:shape style="position:absolute;left:1981;top:1627;width:25;height:23" coordorigin="1982,1627" coordsize="25,23" path="m1982,1639l1982,1632,1987,1627,1994,1627,2000,1627,2006,1632,2006,1639,2006,1645,2000,1650,1994,1650,1987,1650,1982,1645,1982,1639xe" filled="false" stroked="true" strokeweight=".372692pt" strokecolor="#2f2f2f">
              <v:path arrowok="t"/>
              <v:stroke dashstyle="solid"/>
            </v:shape>
            <v:line style="position:absolute" from="2036,1638" to="1631,1638" stroked="true" strokeweight=".119798pt" strokecolor="#000000">
              <v:stroke dashstyle="solid"/>
            </v:line>
            <v:line style="position:absolute" from="3184,1458" to="2844,1458" stroked="true" strokeweight=".119798pt" strokecolor="#000000">
              <v:stroke dashstyle="solid"/>
            </v:line>
            <v:line style="position:absolute" from="2529,1279" to="2966,1279" stroked="true" strokeweight=".119798pt" strokecolor="#2f2f2f">
              <v:stroke dashstyle="solid"/>
            </v:line>
            <v:line style="position:absolute" from="2189,2132" to="2189,1750" stroked="true" strokeweight=".129402pt" strokecolor="#2f2f2f">
              <v:stroke dashstyle="solid"/>
            </v:line>
            <v:line style="position:absolute" from="2311,2132" to="2311,1638" stroked="true" strokeweight=".129402pt" strokecolor="#2f2f2f">
              <v:stroke dashstyle="solid"/>
            </v:line>
            <v:line style="position:absolute" from="1922,2132" to="1922,1997" stroked="true" strokeweight=".129402pt" strokecolor="#2f2f2f">
              <v:stroke dashstyle="solid"/>
            </v:line>
            <v:line style="position:absolute" from="2044,2132" to="2044,1997" stroked="true" strokeweight=".129402pt" strokecolor="#2f2f2f">
              <v:stroke dashstyle="solid"/>
            </v:line>
            <v:rect style="position:absolute;left:1890;top:2671;width:211;height:360" filled="false" stroked="true" strokeweight=".380859pt" strokecolor="#2f2f2f">
              <v:stroke dashstyle="solid"/>
            </v:rect>
            <v:shape style="position:absolute;left:2334;top:1233;width:195;height:90" coordorigin="2335,1234" coordsize="195,90" path="m2335,1279l2359,1234,2408,1323,2456,1234,2505,1323,2529,1279e" filled="false" stroked="true" strokeweight=".364478pt" strokecolor="#2f2f2f">
              <v:path arrowok="t"/>
              <v:stroke dashstyle="solid"/>
            </v:shape>
            <v:shape style="position:absolute;left:2297;top:1268;width:25;height:23" coordorigin="2297,1268" coordsize="25,23" path="m2316,1291l2302,1291,2297,1285,2297,1279,2297,1273,2302,1268,2316,1268,2321,1273,2321,1285,2316,1291xe" filled="true" fillcolor="#000000" stroked="false">
              <v:path arrowok="t"/>
              <v:fill type="solid"/>
            </v:shape>
            <v:shape style="position:absolute;left:2297;top:1268;width:25;height:23" coordorigin="2297,1268" coordsize="25,23" path="m2297,1279l2297,1273,2302,1268,2309,1268,2316,1268,2321,1273,2321,1279,2321,1285,2316,1291,2309,1291,2302,1291,2297,1285,2297,1279xe" filled="false" stroked="true" strokeweight=".372692pt" strokecolor="#2f2f2f">
              <v:path arrowok="t"/>
              <v:stroke dashstyle="solid"/>
            </v:shape>
            <v:shape style="position:absolute;left:2563;top:1268;width:25;height:23" coordorigin="2564,1268" coordsize="25,23" path="m2583,1291l2569,1291,2564,1285,2564,1279,2564,1273,2569,1268,2583,1268,2588,1273,2588,1285,2583,1291xe" filled="true" fillcolor="#000000" stroked="false">
              <v:path arrowok="t"/>
              <v:fill type="solid"/>
            </v:shape>
            <v:shape style="position:absolute;left:2563;top:1268;width:25;height:23" coordorigin="2564,1268" coordsize="25,23" path="m2564,1279l2564,1273,2569,1268,2576,1268,2583,1268,2588,1273,2588,1279,2588,1285,2583,1291,2576,1291,2569,1291,2564,1285,2564,1279xe" filled="false" stroked="true" strokeweight=".372692pt" strokecolor="#2f2f2f">
              <v:path arrowok="t"/>
              <v:stroke dashstyle="solid"/>
            </v:shape>
            <v:shape style="position:absolute;left:2608;top:1409;width:275;height:140" type="#_x0000_t75" stroked="false">
              <v:imagedata r:id="rId10" o:title=""/>
            </v:shape>
            <v:shape style="position:absolute;left:2186;top:3237;width:149;height:104" type="#_x0000_t75" stroked="false">
              <v:imagedata r:id="rId11" o:title=""/>
            </v:shape>
            <v:shape style="position:absolute;left:2453;top:3237;width:149;height:104" type="#_x0000_t75" stroked="false">
              <v:imagedata r:id="rId12" o:title=""/>
            </v:shape>
            <v:line style="position:absolute" from="2068,3255" to="2068,3030" stroked="true" strokeweight=".129402pt" strokecolor="#000000">
              <v:stroke dashstyle="solid"/>
            </v:line>
            <v:line style="position:absolute" from="1922,3255" to="1922,3030" stroked="true" strokeweight=".129402pt" strokecolor="#000000">
              <v:stroke dashstyle="solid"/>
            </v:line>
            <v:line style="position:absolute" from="1922,4423" to="1922,3323" stroked="true" strokeweight=".129402pt" strokecolor="#000000">
              <v:stroke dashstyle="solid"/>
            </v:line>
            <v:line style="position:absolute" from="2068,4333" to="2068,3323" stroked="true" strokeweight=".129402pt" strokecolor="#000000">
              <v:stroke dashstyle="solid"/>
            </v:line>
            <v:line style="position:absolute" from="2335,3255" to="2335,3030" stroked="true" strokeweight=".129402pt" strokecolor="#000000">
              <v:stroke dashstyle="solid"/>
            </v:line>
            <v:line style="position:absolute" from="2189,3255" to="2189,3030" stroked="true" strokeweight=".129402pt" strokecolor="#000000">
              <v:stroke dashstyle="solid"/>
            </v:line>
            <v:line style="position:absolute" from="2189,4109" to="2189,3330" stroked="true" strokeweight=".129402pt" strokecolor="#000000">
              <v:stroke dashstyle="solid"/>
            </v:line>
            <v:line style="position:absolute" from="2335,4019" to="2335,3322" stroked="true" strokeweight=".129402pt" strokecolor="#000000">
              <v:stroke dashstyle="solid"/>
            </v:line>
            <v:line style="position:absolute" from="2456,3794" to="2456,3322" stroked="true" strokeweight=".129402pt" strokecolor="#000000">
              <v:stroke dashstyle="solid"/>
            </v:line>
            <v:line style="position:absolute" from="2602,3263" to="2602,3038" stroked="true" strokeweight=".129402pt" strokecolor="#000000">
              <v:stroke dashstyle="solid"/>
            </v:line>
            <v:line style="position:absolute" from="2456,3263" to="2456,3030" stroked="true" strokeweight=".129402pt" strokecolor="#000000">
              <v:stroke dashstyle="solid"/>
            </v:line>
            <v:line style="position:absolute" from="2602,3704" to="2602,3322" stroked="true" strokeweight=".129402pt" strokecolor="#000000">
              <v:stroke dashstyle="solid"/>
            </v:line>
            <v:shape style="position:absolute;left:1326;top:2525;width:25;height:23" coordorigin="1326,2526" coordsize="25,23" path="m1345,2548l1332,2548,1326,2543,1326,2537,1326,2531,1332,2526,1345,2526,1351,2531,1351,2543,1345,2548xe" filled="true" fillcolor="#000000" stroked="false">
              <v:path arrowok="t"/>
              <v:fill type="solid"/>
            </v:shape>
            <v:shape style="position:absolute;left:1326;top:2525;width:25;height:23" coordorigin="1326,2526" coordsize="25,23" path="m1326,2537l1326,2531,1332,2526,1339,2526,1345,2526,1351,2531,1351,2537,1351,2543,1345,2548,1339,2548,1332,2548,1326,2543,1326,2537xe" filled="false" stroked="true" strokeweight=".372692pt" strokecolor="#2f2f2f">
              <v:path arrowok="t"/>
              <v:stroke dashstyle="solid"/>
            </v:shape>
            <v:shape style="position:absolute;left:2148;top:2671;width:486;height:360" coordorigin="2149,2671" coordsize="486,360" path="m2149,3030l2367,3030,2367,2671,2149,2671,2149,3030xm2416,3030l2634,3030,2634,2671,2416,2671,2416,3030xe" filled="false" stroked="true" strokeweight=".373801pt" strokecolor="#2f2f2f">
              <v:path arrowok="t"/>
              <v:stroke dashstyle="solid"/>
            </v:shape>
            <v:shapetype id="_x0000_t202" o:spt="202" coordsize="21600,21600" path="m,l,21600r21600,l21600,xe">
              <v:stroke joinstyle="miter"/>
              <v:path gradientshapeok="t" o:connecttype="rect"/>
            </v:shapetype>
            <v:shape style="position:absolute;left:1833;top:1112;width:1117;height:112" type="#_x0000_t202" filled="false" stroked="false">
              <v:textbox inset="0,0,0,0">
                <w:txbxContent>
                  <w:p>
                    <w:pPr>
                      <w:spacing w:line="112" w:lineRule="exact" w:before="0"/>
                      <w:ind w:left="0" w:right="0" w:firstLine="0"/>
                      <w:jc w:val="left"/>
                      <w:rPr>
                        <w:sz w:val="10"/>
                      </w:rPr>
                    </w:pPr>
                    <w:r>
                      <w:rPr>
                        <w:w w:val="110"/>
                        <w:sz w:val="10"/>
                      </w:rPr>
                      <w:t>Shunt Current</w:t>
                    </w:r>
                    <w:r>
                      <w:rPr>
                        <w:spacing w:val="-20"/>
                        <w:w w:val="110"/>
                        <w:sz w:val="10"/>
                      </w:rPr>
                      <w:t> </w:t>
                    </w:r>
                    <w:r>
                      <w:rPr>
                        <w:w w:val="110"/>
                        <w:sz w:val="10"/>
                      </w:rPr>
                      <w:t>Sensors</w:t>
                    </w:r>
                  </w:p>
                </w:txbxContent>
              </v:textbox>
              <w10:wrap type="none"/>
            </v:shape>
            <v:shape style="position:absolute;left:1350;top:1191;width:433;height:269" type="#_x0000_t202" filled="false" stroked="false">
              <v:textbox inset="0,0,0,0">
                <w:txbxContent>
                  <w:p>
                    <w:pPr>
                      <w:spacing w:line="89" w:lineRule="exact" w:before="0"/>
                      <w:ind w:left="115" w:right="0" w:firstLine="0"/>
                      <w:jc w:val="left"/>
                      <w:rPr>
                        <w:b/>
                        <w:sz w:val="8"/>
                      </w:rPr>
                    </w:pPr>
                    <w:r>
                      <w:rPr>
                        <w:b/>
                        <w:w w:val="108"/>
                        <w:sz w:val="8"/>
                      </w:rPr>
                      <w:t>C</w:t>
                    </w:r>
                  </w:p>
                  <w:p>
                    <w:pPr>
                      <w:spacing w:line="240" w:lineRule="auto" w:before="7"/>
                      <w:rPr>
                        <w:b/>
                        <w:sz w:val="7"/>
                      </w:rPr>
                    </w:pPr>
                  </w:p>
                  <w:p>
                    <w:pPr>
                      <w:spacing w:before="0"/>
                      <w:ind w:left="0" w:right="0" w:firstLine="0"/>
                      <w:jc w:val="left"/>
                      <w:rPr>
                        <w:b/>
                        <w:sz w:val="8"/>
                      </w:rPr>
                    </w:pPr>
                    <w:r>
                      <w:rPr>
                        <w:b/>
                        <w:w w:val="110"/>
                        <w:sz w:val="8"/>
                      </w:rPr>
                      <w:t>NEUTRAL</w:t>
                    </w:r>
                  </w:p>
                </w:txbxContent>
              </v:textbox>
              <w10:wrap type="none"/>
            </v:shape>
            <v:shape style="position:absolute;left:3281;top:1362;width:1272;height:112" type="#_x0000_t202" filled="false" stroked="false">
              <v:textbox inset="0,0,0,0">
                <w:txbxContent>
                  <w:p>
                    <w:pPr>
                      <w:tabs>
                        <w:tab w:pos="743" w:val="left" w:leader="none"/>
                        <w:tab w:pos="958" w:val="left" w:leader="none"/>
                      </w:tabs>
                      <w:spacing w:line="112" w:lineRule="exact" w:before="0"/>
                      <w:ind w:left="0" w:right="0" w:firstLine="0"/>
                      <w:jc w:val="left"/>
                      <w:rPr>
                        <w:sz w:val="10"/>
                      </w:rPr>
                    </w:pPr>
                    <w:r>
                      <w:rPr>
                        <w:rFonts w:ascii="Times New Roman"/>
                        <w:w w:val="108"/>
                        <w:sz w:val="10"/>
                        <w:u w:val="single"/>
                      </w:rPr>
                      <w:t> </w:t>
                    </w:r>
                    <w:r>
                      <w:rPr>
                        <w:rFonts w:ascii="Times New Roman"/>
                        <w:sz w:val="10"/>
                        <w:u w:val="single"/>
                      </w:rPr>
                      <w:tab/>
                    </w:r>
                    <w:r>
                      <w:rPr>
                        <w:rFonts w:ascii="Times New Roman"/>
                        <w:sz w:val="10"/>
                      </w:rPr>
                      <w:tab/>
                    </w:r>
                    <w:r>
                      <w:rPr>
                        <w:w w:val="110"/>
                        <w:sz w:val="10"/>
                      </w:rPr>
                      <w:t>LOAD</w:t>
                    </w:r>
                  </w:p>
                </w:txbxContent>
              </v:textbox>
              <w10:wrap type="none"/>
            </v:shape>
            <v:shape style="position:absolute;left:1464;top:1551;width:83;height:358" type="#_x0000_t202" filled="false" stroked="false">
              <v:textbox inset="0,0,0,0">
                <w:txbxContent>
                  <w:p>
                    <w:pPr>
                      <w:spacing w:line="89" w:lineRule="exact" w:before="0"/>
                      <w:ind w:left="0" w:right="0" w:firstLine="0"/>
                      <w:jc w:val="left"/>
                      <w:rPr>
                        <w:b/>
                        <w:sz w:val="8"/>
                      </w:rPr>
                    </w:pPr>
                    <w:r>
                      <w:rPr>
                        <w:b/>
                        <w:w w:val="108"/>
                        <w:sz w:val="8"/>
                      </w:rPr>
                      <w:t>B</w:t>
                    </w:r>
                  </w:p>
                  <w:p>
                    <w:pPr>
                      <w:spacing w:line="240" w:lineRule="auto" w:before="0"/>
                      <w:rPr>
                        <w:b/>
                        <w:sz w:val="8"/>
                      </w:rPr>
                    </w:pPr>
                  </w:p>
                  <w:p>
                    <w:pPr>
                      <w:spacing w:line="240" w:lineRule="auto" w:before="3"/>
                      <w:rPr>
                        <w:b/>
                        <w:sz w:val="7"/>
                      </w:rPr>
                    </w:pPr>
                  </w:p>
                  <w:p>
                    <w:pPr>
                      <w:spacing w:before="0"/>
                      <w:ind w:left="0" w:right="0" w:firstLine="0"/>
                      <w:jc w:val="left"/>
                      <w:rPr>
                        <w:b/>
                        <w:sz w:val="8"/>
                      </w:rPr>
                    </w:pPr>
                    <w:r>
                      <w:rPr>
                        <w:b/>
                        <w:w w:val="108"/>
                        <w:sz w:val="8"/>
                      </w:rPr>
                      <w:t>A</w:t>
                    </w:r>
                  </w:p>
                </w:txbxContent>
              </v:textbox>
              <w10:wrap type="none"/>
            </v:shape>
            <v:shape style="position:absolute;left:2677;top:2263;width:2799;height:1135" type="#_x0000_t202" filled="false" stroked="false">
              <v:textbox inset="0,0,0,0">
                <w:txbxContent>
                  <w:p>
                    <w:pPr>
                      <w:spacing w:line="112" w:lineRule="exact" w:before="0"/>
                      <w:ind w:left="1429" w:right="0" w:firstLine="0"/>
                      <w:jc w:val="left"/>
                      <w:rPr>
                        <w:b/>
                        <w:sz w:val="10"/>
                      </w:rPr>
                    </w:pPr>
                    <w:r>
                      <w:rPr>
                        <w:b/>
                        <w:w w:val="110"/>
                        <w:sz w:val="10"/>
                      </w:rPr>
                      <w:t>POWER SUPPLY</w:t>
                    </w:r>
                  </w:p>
                  <w:p>
                    <w:pPr>
                      <w:spacing w:line="240" w:lineRule="auto" w:before="7"/>
                      <w:rPr>
                        <w:b/>
                        <w:sz w:val="9"/>
                      </w:rPr>
                    </w:pPr>
                  </w:p>
                  <w:p>
                    <w:pPr>
                      <w:spacing w:before="0"/>
                      <w:ind w:left="381" w:right="0" w:firstLine="0"/>
                      <w:jc w:val="left"/>
                      <w:rPr>
                        <w:sz w:val="8"/>
                      </w:rPr>
                    </w:pPr>
                    <w:r>
                      <w:rPr>
                        <w:w w:val="110"/>
                        <w:sz w:val="8"/>
                      </w:rPr>
                      <w:t>NEUTRAL</w:t>
                    </w:r>
                  </w:p>
                  <w:p>
                    <w:pPr>
                      <w:spacing w:before="17"/>
                      <w:ind w:left="361" w:right="0" w:firstLine="0"/>
                      <w:jc w:val="left"/>
                      <w:rPr>
                        <w:sz w:val="12"/>
                      </w:rPr>
                    </w:pPr>
                    <w:r>
                      <w:rPr>
                        <w:w w:val="110"/>
                        <w:sz w:val="12"/>
                      </w:rPr>
                      <w:t>Note:</w:t>
                    </w:r>
                    <w:r>
                      <w:rPr>
                        <w:spacing w:val="-10"/>
                        <w:w w:val="110"/>
                        <w:sz w:val="12"/>
                      </w:rPr>
                      <w:t> </w:t>
                    </w:r>
                    <w:r>
                      <w:rPr>
                        <w:w w:val="110"/>
                        <w:sz w:val="12"/>
                      </w:rPr>
                      <w:t>This</w:t>
                    </w:r>
                    <w:r>
                      <w:rPr>
                        <w:spacing w:val="-9"/>
                        <w:w w:val="110"/>
                        <w:sz w:val="12"/>
                      </w:rPr>
                      <w:t> </w:t>
                    </w:r>
                    <w:r>
                      <w:rPr>
                        <w:w w:val="110"/>
                        <w:sz w:val="12"/>
                      </w:rPr>
                      <w:t>system</w:t>
                    </w:r>
                    <w:r>
                      <w:rPr>
                        <w:spacing w:val="-9"/>
                        <w:w w:val="110"/>
                        <w:sz w:val="12"/>
                      </w:rPr>
                      <w:t> </w:t>
                    </w:r>
                    <w:r>
                      <w:rPr>
                        <w:w w:val="110"/>
                        <w:sz w:val="12"/>
                      </w:rPr>
                      <w:t>is</w:t>
                    </w:r>
                    <w:r>
                      <w:rPr>
                        <w:spacing w:val="-10"/>
                        <w:w w:val="110"/>
                        <w:sz w:val="12"/>
                      </w:rPr>
                      <w:t> </w:t>
                    </w:r>
                    <w:r>
                      <w:rPr>
                        <w:w w:val="110"/>
                        <w:sz w:val="12"/>
                      </w:rPr>
                      <w:t>referenced</w:t>
                    </w:r>
                    <w:r>
                      <w:rPr>
                        <w:spacing w:val="-9"/>
                        <w:w w:val="110"/>
                        <w:sz w:val="12"/>
                      </w:rPr>
                      <w:t> </w:t>
                    </w:r>
                    <w:r>
                      <w:rPr>
                        <w:w w:val="110"/>
                        <w:sz w:val="12"/>
                      </w:rPr>
                      <w:t>to</w:t>
                    </w:r>
                    <w:r>
                      <w:rPr>
                        <w:spacing w:val="-9"/>
                        <w:w w:val="110"/>
                        <w:sz w:val="12"/>
                      </w:rPr>
                      <w:t> </w:t>
                    </w:r>
                    <w:r>
                      <w:rPr>
                        <w:w w:val="110"/>
                        <w:sz w:val="12"/>
                      </w:rPr>
                      <w:t>Neutral</w:t>
                    </w:r>
                  </w:p>
                  <w:p>
                    <w:pPr>
                      <w:spacing w:before="87"/>
                      <w:ind w:left="0" w:right="0" w:firstLine="0"/>
                      <w:jc w:val="left"/>
                      <w:rPr>
                        <w:b/>
                        <w:sz w:val="12"/>
                      </w:rPr>
                    </w:pPr>
                    <w:r>
                      <w:rPr>
                        <w:b/>
                        <w:w w:val="110"/>
                        <w:sz w:val="12"/>
                      </w:rPr>
                      <w:t>3x 71M6xx3</w:t>
                    </w:r>
                  </w:p>
                  <w:p>
                    <w:pPr>
                      <w:spacing w:line="240" w:lineRule="auto" w:before="0"/>
                      <w:rPr>
                        <w:b/>
                        <w:sz w:val="12"/>
                      </w:rPr>
                    </w:pPr>
                  </w:p>
                  <w:p>
                    <w:pPr>
                      <w:spacing w:line="240" w:lineRule="auto" w:before="5"/>
                      <w:rPr>
                        <w:b/>
                        <w:sz w:val="17"/>
                      </w:rPr>
                    </w:pPr>
                  </w:p>
                  <w:p>
                    <w:pPr>
                      <w:spacing w:before="0"/>
                      <w:ind w:left="433" w:right="0" w:firstLine="0"/>
                      <w:jc w:val="left"/>
                      <w:rPr>
                        <w:sz w:val="8"/>
                      </w:rPr>
                    </w:pPr>
                    <w:r>
                      <w:rPr>
                        <w:b/>
                        <w:w w:val="110"/>
                        <w:position w:val="1"/>
                        <w:sz w:val="8"/>
                      </w:rPr>
                      <w:t>MUX and ADC </w:t>
                    </w:r>
                    <w:r>
                      <w:rPr>
                        <w:w w:val="110"/>
                        <w:position w:val="1"/>
                        <w:sz w:val="8"/>
                      </w:rPr>
                      <w:t>V3P3A V3P3SYS </w:t>
                    </w:r>
                    <w:r>
                      <w:rPr>
                        <w:w w:val="110"/>
                        <w:sz w:val="8"/>
                      </w:rPr>
                      <w:t>GNDA GNDD</w:t>
                    </w:r>
                  </w:p>
                </w:txbxContent>
              </v:textbox>
              <w10:wrap type="none"/>
            </v:shape>
            <v:shape style="position:absolute;left:1871;top:3387;width:1686;height:149" type="#_x0000_t202" filled="false" stroked="false">
              <v:textbox inset="0,0,0,0">
                <w:txbxContent>
                  <w:p>
                    <w:pPr>
                      <w:tabs>
                        <w:tab w:pos="1085" w:val="left" w:leader="none"/>
                      </w:tabs>
                      <w:spacing w:line="153" w:lineRule="auto" w:before="19"/>
                      <w:ind w:left="0" w:right="0" w:firstLine="0"/>
                      <w:jc w:val="left"/>
                      <w:rPr>
                        <w:sz w:val="8"/>
                      </w:rPr>
                    </w:pPr>
                    <w:r>
                      <w:rPr>
                        <w:w w:val="110"/>
                        <w:sz w:val="8"/>
                      </w:rPr>
                      <w:t>Pulse</w:t>
                    </w:r>
                    <w:r>
                      <w:rPr>
                        <w:spacing w:val="-5"/>
                        <w:w w:val="110"/>
                        <w:sz w:val="8"/>
                      </w:rPr>
                      <w:t> </w:t>
                    </w:r>
                    <w:r>
                      <w:rPr>
                        <w:w w:val="110"/>
                        <w:sz w:val="8"/>
                      </w:rPr>
                      <w:t>Transformers</w:t>
                    </w:r>
                    <w:r>
                      <w:rPr>
                        <w:w w:val="110"/>
                        <w:sz w:val="8"/>
                        <w:u w:val="single" w:color="2F2F2F"/>
                      </w:rPr>
                      <w:t> </w:t>
                      <w:tab/>
                    </w:r>
                    <w:r>
                      <w:rPr>
                        <w:w w:val="110"/>
                        <w:sz w:val="8"/>
                      </w:rPr>
                      <w:t>IADC0</w:t>
                    </w:r>
                    <w:r>
                      <w:rPr>
                        <w:spacing w:val="16"/>
                        <w:w w:val="110"/>
                        <w:sz w:val="8"/>
                      </w:rPr>
                      <w:t> </w:t>
                    </w:r>
                    <w:r>
                      <w:rPr>
                        <w:w w:val="110"/>
                        <w:position w:val="-4"/>
                        <w:sz w:val="12"/>
                      </w:rPr>
                      <w:t>}</w:t>
                    </w:r>
                    <w:r>
                      <w:rPr>
                        <w:w w:val="110"/>
                        <w:position w:val="-4"/>
                        <w:sz w:val="8"/>
                      </w:rPr>
                      <w:t>IN*</w:t>
                    </w:r>
                  </w:p>
                </w:txbxContent>
              </v:textbox>
              <w10:wrap type="none"/>
            </v:shape>
            <v:shape style="position:absolute;left:3070;top:3477;width:557;height:180" type="#_x0000_t202" filled="false" stroked="false">
              <v:textbox inset="0,0,0,0">
                <w:txbxContent>
                  <w:p>
                    <w:pPr>
                      <w:spacing w:line="235" w:lineRule="auto" w:before="0"/>
                      <w:ind w:left="0" w:right="-11" w:firstLine="3"/>
                      <w:jc w:val="left"/>
                      <w:rPr>
                        <w:sz w:val="8"/>
                      </w:rPr>
                    </w:pPr>
                    <w:r>
                      <w:rPr>
                        <w:w w:val="110"/>
                        <w:sz w:val="8"/>
                      </w:rPr>
                      <w:t>IADC1 VADC10 (VC)</w:t>
                    </w:r>
                  </w:p>
                </w:txbxContent>
              </v:textbox>
              <w10:wrap type="none"/>
            </v:shape>
            <v:shape style="position:absolute;left:3068;top:3746;width:505;height:225" type="#_x0000_t202" filled="false" stroked="false">
              <v:textbox inset="0,0,0,0">
                <w:txbxContent>
                  <w:p>
                    <w:pPr>
                      <w:spacing w:line="89" w:lineRule="exact" w:before="0"/>
                      <w:ind w:left="9" w:right="0" w:firstLine="0"/>
                      <w:jc w:val="left"/>
                      <w:rPr>
                        <w:sz w:val="8"/>
                      </w:rPr>
                    </w:pPr>
                    <w:r>
                      <w:rPr>
                        <w:w w:val="110"/>
                        <w:sz w:val="8"/>
                      </w:rPr>
                      <w:t>IADC7</w:t>
                    </w:r>
                  </w:p>
                  <w:p>
                    <w:pPr>
                      <w:spacing w:before="43"/>
                      <w:ind w:left="0" w:right="0" w:firstLine="0"/>
                      <w:jc w:val="left"/>
                      <w:rPr>
                        <w:sz w:val="8"/>
                      </w:rPr>
                    </w:pPr>
                    <w:r>
                      <w:rPr>
                        <w:w w:val="110"/>
                        <w:sz w:val="8"/>
                      </w:rPr>
                      <w:t>VADC9 (VB)</w:t>
                    </w:r>
                  </w:p>
                </w:txbxContent>
              </v:textbox>
              <w10:wrap type="none"/>
            </v:shape>
            <v:shape style="position:absolute;left:3077;top:3657;width:451;height:149" type="#_x0000_t202" filled="false" stroked="false">
              <v:textbox inset="0,0,0,0">
                <w:txbxContent>
                  <w:p>
                    <w:pPr>
                      <w:spacing w:line="153" w:lineRule="auto" w:before="19"/>
                      <w:ind w:left="0" w:right="0" w:firstLine="0"/>
                      <w:jc w:val="left"/>
                      <w:rPr>
                        <w:sz w:val="8"/>
                      </w:rPr>
                    </w:pPr>
                    <w:r>
                      <w:rPr>
                        <w:w w:val="110"/>
                        <w:sz w:val="8"/>
                      </w:rPr>
                      <w:t>IADC6 </w:t>
                    </w:r>
                    <w:r>
                      <w:rPr>
                        <w:w w:val="110"/>
                        <w:position w:val="-4"/>
                        <w:sz w:val="12"/>
                      </w:rPr>
                      <w:t>}</w:t>
                    </w:r>
                    <w:r>
                      <w:rPr>
                        <w:w w:val="110"/>
                        <w:position w:val="-4"/>
                        <w:sz w:val="8"/>
                      </w:rPr>
                      <w:t>IC</w:t>
                    </w:r>
                  </w:p>
                </w:txbxContent>
              </v:textbox>
              <w10:wrap type="none"/>
            </v:shape>
            <v:shape style="position:absolute;left:3832;top:3467;width:1318;height:492" type="#_x0000_t202" filled="false" stroked="false">
              <v:textbox inset="0,0,0,0">
                <w:txbxContent>
                  <w:p>
                    <w:pPr>
                      <w:spacing w:line="249" w:lineRule="auto" w:before="0"/>
                      <w:ind w:left="815" w:right="38" w:hanging="29"/>
                      <w:jc w:val="left"/>
                      <w:rPr>
                        <w:b/>
                        <w:sz w:val="8"/>
                      </w:rPr>
                    </w:pPr>
                    <w:r>
                      <w:rPr>
                        <w:b/>
                        <w:w w:val="110"/>
                        <w:sz w:val="8"/>
                      </w:rPr>
                      <w:t>PWR </w:t>
                    </w:r>
                    <w:r>
                      <w:rPr>
                        <w:b/>
                        <w:spacing w:val="-5"/>
                        <w:w w:val="110"/>
                        <w:sz w:val="8"/>
                      </w:rPr>
                      <w:t>MODE </w:t>
                    </w:r>
                    <w:r>
                      <w:rPr>
                        <w:b/>
                        <w:w w:val="110"/>
                        <w:sz w:val="8"/>
                      </w:rPr>
                      <w:t>CONTROL</w:t>
                    </w:r>
                  </w:p>
                  <w:p>
                    <w:pPr>
                      <w:spacing w:line="88" w:lineRule="exact" w:before="56"/>
                      <w:ind w:left="844" w:right="0" w:firstLine="0"/>
                      <w:jc w:val="left"/>
                      <w:rPr>
                        <w:sz w:val="8"/>
                      </w:rPr>
                    </w:pPr>
                    <w:r>
                      <w:rPr>
                        <w:w w:val="110"/>
                        <w:sz w:val="8"/>
                      </w:rPr>
                      <w:t>WAKE-UP</w:t>
                    </w:r>
                  </w:p>
                  <w:p>
                    <w:pPr>
                      <w:spacing w:line="156" w:lineRule="exact" w:before="0"/>
                      <w:ind w:left="0" w:right="0" w:firstLine="0"/>
                      <w:jc w:val="left"/>
                      <w:rPr>
                        <w:b/>
                        <w:sz w:val="8"/>
                      </w:rPr>
                    </w:pPr>
                    <w:r>
                      <w:rPr>
                        <w:b/>
                        <w:w w:val="110"/>
                        <w:sz w:val="12"/>
                      </w:rPr>
                      <w:t>71M6543F/</w:t>
                    </w:r>
                    <w:r>
                      <w:rPr>
                        <w:b/>
                        <w:spacing w:val="21"/>
                        <w:w w:val="110"/>
                        <w:sz w:val="12"/>
                      </w:rPr>
                      <w:t> </w:t>
                    </w:r>
                    <w:r>
                      <w:rPr>
                        <w:b/>
                        <w:w w:val="110"/>
                        <w:position w:val="-2"/>
                        <w:sz w:val="8"/>
                      </w:rPr>
                      <w:t>REGULATOR</w:t>
                    </w:r>
                  </w:p>
                </w:txbxContent>
              </v:textbox>
              <w10:wrap type="none"/>
            </v:shape>
            <v:shape style="position:absolute;left:5246;top:3719;width:190;height:89" type="#_x0000_t202" filled="false" stroked="false">
              <v:textbox inset="0,0,0,0">
                <w:txbxContent>
                  <w:p>
                    <w:pPr>
                      <w:spacing w:line="88" w:lineRule="exact" w:before="0"/>
                      <w:ind w:left="0" w:right="0" w:firstLine="0"/>
                      <w:jc w:val="left"/>
                      <w:rPr>
                        <w:rFonts w:ascii="Times New Roman"/>
                        <w:sz w:val="8"/>
                      </w:rPr>
                    </w:pPr>
                    <w:r>
                      <w:rPr>
                        <w:rFonts w:ascii="Times New Roman"/>
                        <w:w w:val="108"/>
                        <w:sz w:val="8"/>
                        <w:u w:val="single" w:color="2F2F2F"/>
                      </w:rPr>
                      <w:t> </w:t>
                    </w:r>
                    <w:r>
                      <w:rPr>
                        <w:rFonts w:ascii="Times New Roman"/>
                        <w:spacing w:val="8"/>
                        <w:sz w:val="8"/>
                        <w:u w:val="single" w:color="2F2F2F"/>
                      </w:rPr>
                      <w:t> </w:t>
                    </w:r>
                  </w:p>
                </w:txbxContent>
              </v:textbox>
              <w10:wrap type="none"/>
            </v:shape>
            <v:shape style="position:absolute;left:5630;top:3881;width:418;height:90" type="#_x0000_t202" filled="false" stroked="false">
              <v:textbox inset="0,0,0,0">
                <w:txbxContent>
                  <w:p>
                    <w:pPr>
                      <w:spacing w:line="89" w:lineRule="exact" w:before="0"/>
                      <w:ind w:left="0" w:right="0" w:firstLine="0"/>
                      <w:jc w:val="left"/>
                      <w:rPr>
                        <w:sz w:val="8"/>
                      </w:rPr>
                    </w:pPr>
                    <w:r>
                      <w:rPr>
                        <w:w w:val="110"/>
                        <w:sz w:val="8"/>
                      </w:rPr>
                      <w:t>BATTERY</w:t>
                    </w:r>
                  </w:p>
                </w:txbxContent>
              </v:textbox>
              <w10:wrap type="none"/>
            </v:shape>
            <v:shape style="position:absolute;left:3071;top:3947;width:1429;height:173" type="#_x0000_t202" filled="false" stroked="false">
              <v:textbox inset="0,0,0,0">
                <w:txbxContent>
                  <w:p>
                    <w:pPr>
                      <w:tabs>
                        <w:tab w:pos="768" w:val="left" w:leader="none"/>
                      </w:tabs>
                      <w:spacing w:line="230" w:lineRule="auto" w:before="0"/>
                      <w:ind w:left="0" w:right="0" w:firstLine="0"/>
                      <w:jc w:val="left"/>
                      <w:rPr>
                        <w:b/>
                        <w:sz w:val="12"/>
                      </w:rPr>
                    </w:pPr>
                    <w:r>
                      <w:rPr>
                        <w:spacing w:val="4"/>
                        <w:w w:val="110"/>
                        <w:position w:val="1"/>
                        <w:sz w:val="8"/>
                      </w:rPr>
                      <w:t>IADC4</w:t>
                    </w:r>
                    <w:r>
                      <w:rPr>
                        <w:spacing w:val="7"/>
                        <w:w w:val="110"/>
                        <w:position w:val="1"/>
                        <w:sz w:val="8"/>
                      </w:rPr>
                      <w:t> </w:t>
                    </w:r>
                    <w:r>
                      <w:rPr>
                        <w:w w:val="110"/>
                        <w:position w:val="-3"/>
                        <w:sz w:val="12"/>
                      </w:rPr>
                      <w:t>}</w:t>
                    </w:r>
                    <w:r>
                      <w:rPr>
                        <w:w w:val="110"/>
                        <w:position w:val="-3"/>
                        <w:sz w:val="8"/>
                      </w:rPr>
                      <w:t>IB</w:t>
                      <w:tab/>
                    </w:r>
                    <w:r>
                      <w:rPr>
                        <w:b/>
                        <w:w w:val="105"/>
                        <w:sz w:val="12"/>
                      </w:rPr>
                      <w:t>71M6543G</w:t>
                    </w:r>
                  </w:p>
                </w:txbxContent>
              </v:textbox>
              <w10:wrap type="none"/>
            </v:shape>
            <v:shape style="position:absolute;left:3071;top:4061;width:421;height:225" type="#_x0000_t202" filled="false" stroked="false">
              <v:textbox inset="0,0,0,0">
                <w:txbxContent>
                  <w:p>
                    <w:pPr>
                      <w:spacing w:line="89" w:lineRule="exact" w:before="0"/>
                      <w:ind w:left="0" w:right="0" w:firstLine="0"/>
                      <w:jc w:val="left"/>
                      <w:rPr>
                        <w:sz w:val="8"/>
                      </w:rPr>
                    </w:pPr>
                    <w:r>
                      <w:rPr>
                        <w:w w:val="110"/>
                        <w:sz w:val="8"/>
                      </w:rPr>
                      <w:t>IADC5</w:t>
                    </w:r>
                  </w:p>
                  <w:p>
                    <w:pPr>
                      <w:spacing w:before="43"/>
                      <w:ind w:left="0" w:right="0" w:firstLine="0"/>
                      <w:jc w:val="left"/>
                      <w:rPr>
                        <w:sz w:val="8"/>
                      </w:rPr>
                    </w:pPr>
                    <w:r>
                      <w:rPr>
                        <w:spacing w:val="-9"/>
                        <w:w w:val="110"/>
                        <w:sz w:val="8"/>
                      </w:rPr>
                      <w:t>VADC8 (VA)</w:t>
                    </w:r>
                  </w:p>
                </w:txbxContent>
              </v:textbox>
              <w10:wrap type="none"/>
            </v:shape>
            <v:shape style="position:absolute;left:4820;top:4027;width:246;height:90" type="#_x0000_t202" filled="false" stroked="false">
              <v:textbox inset="0,0,0,0">
                <w:txbxContent>
                  <w:p>
                    <w:pPr>
                      <w:spacing w:line="89" w:lineRule="exact" w:before="0"/>
                      <w:ind w:left="0" w:right="0" w:firstLine="0"/>
                      <w:jc w:val="left"/>
                      <w:rPr>
                        <w:sz w:val="8"/>
                      </w:rPr>
                    </w:pPr>
                    <w:r>
                      <w:rPr>
                        <w:w w:val="110"/>
                        <w:sz w:val="8"/>
                      </w:rPr>
                      <w:t>VBAT</w:t>
                    </w:r>
                  </w:p>
                </w:txbxContent>
              </v:textbox>
              <w10:wrap type="none"/>
            </v:shape>
            <v:shape style="position:absolute;left:3071;top:4162;width:2009;height:272" type="#_x0000_t202" filled="false" stroked="false">
              <v:textbox inset="0,0,0,0">
                <w:txbxContent>
                  <w:p>
                    <w:pPr>
                      <w:spacing w:line="89" w:lineRule="exact" w:before="0"/>
                      <w:ind w:left="0" w:right="27" w:firstLine="0"/>
                      <w:jc w:val="right"/>
                      <w:rPr>
                        <w:sz w:val="8"/>
                      </w:rPr>
                    </w:pPr>
                    <w:r>
                      <w:rPr>
                        <w:w w:val="105"/>
                        <w:sz w:val="8"/>
                      </w:rPr>
                      <w:t>VBAT_RTC</w:t>
                    </w:r>
                  </w:p>
                  <w:p>
                    <w:pPr>
                      <w:tabs>
                        <w:tab w:pos="712" w:val="left" w:leader="none"/>
                      </w:tabs>
                      <w:spacing w:before="31"/>
                      <w:ind w:left="0" w:right="0" w:firstLine="0"/>
                      <w:jc w:val="left"/>
                      <w:rPr>
                        <w:b/>
                        <w:sz w:val="8"/>
                      </w:rPr>
                    </w:pPr>
                    <w:r>
                      <w:rPr>
                        <w:spacing w:val="4"/>
                        <w:w w:val="110"/>
                        <w:sz w:val="8"/>
                      </w:rPr>
                      <w:t>IADC2</w:t>
                    </w:r>
                    <w:r>
                      <w:rPr>
                        <w:spacing w:val="6"/>
                        <w:w w:val="110"/>
                        <w:sz w:val="8"/>
                      </w:rPr>
                      <w:t> </w:t>
                    </w:r>
                    <w:r>
                      <w:rPr>
                        <w:w w:val="110"/>
                        <w:position w:val="-4"/>
                        <w:sz w:val="12"/>
                      </w:rPr>
                      <w:t>}</w:t>
                    </w:r>
                    <w:r>
                      <w:rPr>
                        <w:w w:val="110"/>
                        <w:position w:val="-4"/>
                        <w:sz w:val="8"/>
                      </w:rPr>
                      <w:t>IA</w:t>
                      <w:tab/>
                    </w:r>
                    <w:r>
                      <w:rPr>
                        <w:b/>
                        <w:w w:val="110"/>
                        <w:position w:val="-2"/>
                        <w:sz w:val="9"/>
                      </w:rPr>
                      <w:t>TEMPERATURE  </w:t>
                    </w:r>
                    <w:r>
                      <w:rPr>
                        <w:b/>
                        <w:spacing w:val="20"/>
                        <w:w w:val="110"/>
                        <w:position w:val="-2"/>
                        <w:sz w:val="9"/>
                      </w:rPr>
                      <w:t> </w:t>
                    </w:r>
                    <w:r>
                      <w:rPr>
                        <w:b/>
                        <w:w w:val="110"/>
                        <w:sz w:val="8"/>
                      </w:rPr>
                      <w:t>BATTERY</w:t>
                    </w:r>
                  </w:p>
                </w:txbxContent>
              </v:textbox>
              <w10:wrap type="none"/>
            </v:shape>
            <v:shape style="position:absolute;left:5631;top:4215;width:418;height:186" type="#_x0000_t202" filled="false" stroked="false">
              <v:textbox inset="0,0,0,0">
                <w:txbxContent>
                  <w:p>
                    <w:pPr>
                      <w:spacing w:line="249" w:lineRule="auto" w:before="0"/>
                      <w:ind w:left="0" w:right="10" w:firstLine="0"/>
                      <w:jc w:val="left"/>
                      <w:rPr>
                        <w:sz w:val="8"/>
                      </w:rPr>
                    </w:pPr>
                    <w:r>
                      <w:rPr>
                        <w:w w:val="110"/>
                        <w:sz w:val="8"/>
                      </w:rPr>
                      <w:t>RTC </w:t>
                    </w:r>
                    <w:r>
                      <w:rPr>
                        <w:w w:val="105"/>
                        <w:sz w:val="8"/>
                      </w:rPr>
                      <w:t>BATTERY</w:t>
                    </w:r>
                  </w:p>
                </w:txbxContent>
              </v:textbox>
              <w10:wrap type="none"/>
            </v:shape>
            <v:shape style="position:absolute;left:3073;top:4375;width:296;height:90" type="#_x0000_t202" filled="false" stroked="false">
              <v:textbox inset="0,0,0,0">
                <w:txbxContent>
                  <w:p>
                    <w:pPr>
                      <w:spacing w:line="89" w:lineRule="exact" w:before="0"/>
                      <w:ind w:left="0" w:right="0" w:firstLine="0"/>
                      <w:jc w:val="left"/>
                      <w:rPr>
                        <w:sz w:val="8"/>
                      </w:rPr>
                    </w:pPr>
                    <w:r>
                      <w:rPr>
                        <w:w w:val="110"/>
                        <w:sz w:val="8"/>
                      </w:rPr>
                      <w:t>IADC3</w:t>
                    </w:r>
                  </w:p>
                </w:txbxContent>
              </v:textbox>
              <w10:wrap type="none"/>
            </v:shape>
            <v:shape style="position:absolute;left:3948;top:4412;width:430;height:101" type="#_x0000_t202" filled="false" stroked="false">
              <v:textbox inset="0,0,0,0">
                <w:txbxContent>
                  <w:p>
                    <w:pPr>
                      <w:spacing w:line="100" w:lineRule="exact" w:before="0"/>
                      <w:ind w:left="0" w:right="0" w:firstLine="0"/>
                      <w:jc w:val="left"/>
                      <w:rPr>
                        <w:b/>
                        <w:sz w:val="9"/>
                      </w:rPr>
                    </w:pPr>
                    <w:r>
                      <w:rPr>
                        <w:b/>
                        <w:w w:val="110"/>
                        <w:sz w:val="9"/>
                      </w:rPr>
                      <w:t>SENSOR</w:t>
                    </w:r>
                  </w:p>
                </w:txbxContent>
              </v:textbox>
              <w10:wrap type="none"/>
            </v:shape>
            <v:shape style="position:absolute;left:4653;top:4378;width:428;height:90" type="#_x0000_t202" filled="false" stroked="false">
              <v:textbox inset="0,0,0,0">
                <w:txbxContent>
                  <w:p>
                    <w:pPr>
                      <w:spacing w:line="89" w:lineRule="exact" w:before="0"/>
                      <w:ind w:left="0" w:right="0" w:firstLine="0"/>
                      <w:jc w:val="left"/>
                      <w:rPr>
                        <w:b/>
                        <w:sz w:val="8"/>
                      </w:rPr>
                    </w:pPr>
                    <w:r>
                      <w:rPr>
                        <w:b/>
                        <w:w w:val="110"/>
                        <w:sz w:val="8"/>
                      </w:rPr>
                      <w:t>MONITOR</w:t>
                    </w:r>
                  </w:p>
                </w:txbxContent>
              </v:textbox>
              <w10:wrap type="none"/>
            </v:shape>
            <v:shape style="position:absolute;left:3283;top:4599;width:251;height:90" type="#_x0000_t202" filled="false" stroked="false">
              <v:textbox inset="0,0,0,0">
                <w:txbxContent>
                  <w:p>
                    <w:pPr>
                      <w:spacing w:line="89" w:lineRule="exact" w:before="0"/>
                      <w:ind w:left="0" w:right="0" w:firstLine="0"/>
                      <w:jc w:val="left"/>
                      <w:rPr>
                        <w:b/>
                        <w:sz w:val="8"/>
                      </w:rPr>
                    </w:pPr>
                    <w:r>
                      <w:rPr>
                        <w:b/>
                        <w:w w:val="110"/>
                        <w:sz w:val="8"/>
                      </w:rPr>
                      <w:t>VREF</w:t>
                    </w:r>
                  </w:p>
                </w:txbxContent>
              </v:textbox>
              <w10:wrap type="none"/>
            </v:shape>
            <v:shape style="position:absolute;left:4030;top:4610;width:266;height:112" type="#_x0000_t202" filled="false" stroked="false">
              <v:textbox inset="0,0,0,0">
                <w:txbxContent>
                  <w:p>
                    <w:pPr>
                      <w:spacing w:line="112" w:lineRule="exact" w:before="0"/>
                      <w:ind w:left="0" w:right="0" w:firstLine="0"/>
                      <w:jc w:val="left"/>
                      <w:rPr>
                        <w:b/>
                        <w:sz w:val="10"/>
                      </w:rPr>
                    </w:pPr>
                    <w:r>
                      <w:rPr>
                        <w:b/>
                        <w:w w:val="110"/>
                        <w:sz w:val="10"/>
                      </w:rPr>
                      <w:t>RAM</w:t>
                    </w:r>
                  </w:p>
                </w:txbxContent>
              </v:textbox>
              <w10:wrap type="none"/>
            </v:shape>
            <v:shape style="position:absolute;left:3082;top:4801;width:658;height:394" type="#_x0000_t202" filled="false" stroked="false">
              <v:textbox inset="0,0,0,0">
                <w:txbxContent>
                  <w:p>
                    <w:pPr>
                      <w:spacing w:line="89" w:lineRule="exact" w:before="0"/>
                      <w:ind w:left="0" w:right="0" w:firstLine="0"/>
                      <w:jc w:val="left"/>
                      <w:rPr>
                        <w:b/>
                        <w:sz w:val="8"/>
                      </w:rPr>
                    </w:pPr>
                    <w:r>
                      <w:rPr>
                        <w:b/>
                        <w:w w:val="110"/>
                        <w:sz w:val="8"/>
                      </w:rPr>
                      <w:t>SERIAL PORTS</w:t>
                    </w:r>
                  </w:p>
                  <w:p>
                    <w:pPr>
                      <w:spacing w:line="140" w:lineRule="atLeast" w:before="18"/>
                      <w:ind w:left="76" w:right="445" w:firstLine="0"/>
                      <w:jc w:val="left"/>
                      <w:rPr>
                        <w:sz w:val="8"/>
                      </w:rPr>
                    </w:pPr>
                    <w:r>
                      <w:rPr>
                        <w:w w:val="110"/>
                        <w:sz w:val="8"/>
                      </w:rPr>
                      <w:t>TX </w:t>
                    </w:r>
                    <w:r>
                      <w:rPr>
                        <w:w w:val="105"/>
                        <w:sz w:val="8"/>
                      </w:rPr>
                      <w:t>RX</w:t>
                    </w:r>
                  </w:p>
                </w:txbxContent>
              </v:textbox>
              <w10:wrap type="none"/>
            </v:shape>
            <v:shape style="position:absolute;left:3883;top:4843;width:559;height:232" type="#_x0000_t202" filled="false" stroked="false">
              <v:textbox inset="0,0,0,0">
                <w:txbxContent>
                  <w:p>
                    <w:pPr>
                      <w:spacing w:line="249" w:lineRule="auto" w:before="0"/>
                      <w:ind w:left="62" w:right="15" w:hanging="63"/>
                      <w:jc w:val="left"/>
                      <w:rPr>
                        <w:b/>
                        <w:sz w:val="10"/>
                      </w:rPr>
                    </w:pPr>
                    <w:r>
                      <w:rPr>
                        <w:b/>
                        <w:w w:val="105"/>
                        <w:sz w:val="10"/>
                      </w:rPr>
                      <w:t>COMPUTE </w:t>
                    </w:r>
                    <w:r>
                      <w:rPr>
                        <w:b/>
                        <w:w w:val="110"/>
                        <w:sz w:val="10"/>
                      </w:rPr>
                      <w:t>ENGINE</w:t>
                    </w:r>
                  </w:p>
                </w:txbxContent>
              </v:textbox>
              <w10:wrap type="none"/>
            </v:shape>
            <v:shape style="position:absolute;left:4583;top:4690;width:1015;height:719" type="#_x0000_t202" filled="false" stroked="false">
              <v:textbox inset="0,0,0,0">
                <w:txbxContent>
                  <w:p>
                    <w:pPr>
                      <w:spacing w:line="89" w:lineRule="exact" w:before="0"/>
                      <w:ind w:left="177" w:right="0" w:firstLine="0"/>
                      <w:jc w:val="left"/>
                      <w:rPr>
                        <w:sz w:val="8"/>
                      </w:rPr>
                    </w:pPr>
                    <w:r>
                      <w:rPr>
                        <w:w w:val="110"/>
                        <w:sz w:val="8"/>
                      </w:rPr>
                      <w:t>COM0...5</w:t>
                    </w:r>
                  </w:p>
                  <w:p>
                    <w:pPr>
                      <w:tabs>
                        <w:tab w:pos="994" w:val="left" w:leader="none"/>
                      </w:tabs>
                      <w:spacing w:before="42"/>
                      <w:ind w:left="364" w:right="0" w:firstLine="0"/>
                      <w:jc w:val="left"/>
                      <w:rPr>
                        <w:rFonts w:ascii="Times New Roman"/>
                        <w:sz w:val="8"/>
                      </w:rPr>
                    </w:pPr>
                    <w:r>
                      <w:rPr>
                        <w:w w:val="110"/>
                        <w:sz w:val="8"/>
                      </w:rPr>
                      <w:t>SEG</w:t>
                    </w:r>
                    <w:r>
                      <w:rPr>
                        <w:sz w:val="8"/>
                      </w:rPr>
                      <w:t> </w:t>
                    </w:r>
                    <w:r>
                      <w:rPr>
                        <w:spacing w:val="-1"/>
                        <w:sz w:val="8"/>
                      </w:rPr>
                      <w:t> </w:t>
                    </w:r>
                    <w:r>
                      <w:rPr>
                        <w:rFonts w:ascii="Times New Roman"/>
                        <w:w w:val="108"/>
                        <w:sz w:val="8"/>
                        <w:u w:val="single" w:color="2F2F2F"/>
                      </w:rPr>
                      <w:t> </w:t>
                    </w:r>
                    <w:r>
                      <w:rPr>
                        <w:rFonts w:ascii="Times New Roman"/>
                        <w:sz w:val="8"/>
                        <w:u w:val="single" w:color="2F2F2F"/>
                      </w:rPr>
                      <w:tab/>
                    </w:r>
                  </w:p>
                  <w:p>
                    <w:pPr>
                      <w:spacing w:before="43"/>
                      <w:ind w:left="0" w:right="466" w:firstLine="0"/>
                      <w:jc w:val="right"/>
                      <w:rPr>
                        <w:sz w:val="8"/>
                      </w:rPr>
                    </w:pPr>
                    <w:r>
                      <w:rPr>
                        <w:w w:val="105"/>
                        <w:sz w:val="8"/>
                      </w:rPr>
                      <w:t>SEG/DIO</w:t>
                    </w:r>
                  </w:p>
                  <w:p>
                    <w:pPr>
                      <w:spacing w:line="249" w:lineRule="auto" w:before="40"/>
                      <w:ind w:left="0" w:right="466" w:firstLine="9"/>
                      <w:jc w:val="right"/>
                      <w:rPr>
                        <w:b/>
                        <w:sz w:val="8"/>
                      </w:rPr>
                    </w:pPr>
                    <w:r>
                      <w:rPr>
                        <w:b/>
                        <w:w w:val="110"/>
                        <w:sz w:val="8"/>
                      </w:rPr>
                      <w:t>LCD</w:t>
                    </w:r>
                    <w:r>
                      <w:rPr>
                        <w:b/>
                        <w:spacing w:val="-17"/>
                        <w:w w:val="110"/>
                        <w:sz w:val="8"/>
                      </w:rPr>
                      <w:t> </w:t>
                    </w:r>
                    <w:r>
                      <w:rPr>
                        <w:b/>
                        <w:w w:val="110"/>
                        <w:sz w:val="8"/>
                      </w:rPr>
                      <w:t>DRIVER</w:t>
                    </w:r>
                    <w:r>
                      <w:rPr>
                        <w:b/>
                        <w:spacing w:val="-1"/>
                        <w:w w:val="108"/>
                        <w:sz w:val="8"/>
                      </w:rPr>
                      <w:t> </w:t>
                    </w:r>
                    <w:r>
                      <w:rPr>
                        <w:b/>
                        <w:w w:val="110"/>
                        <w:sz w:val="8"/>
                      </w:rPr>
                      <w:t>DIO,</w:t>
                    </w:r>
                    <w:r>
                      <w:rPr>
                        <w:b/>
                        <w:spacing w:val="-11"/>
                        <w:w w:val="110"/>
                        <w:sz w:val="8"/>
                      </w:rPr>
                      <w:t> </w:t>
                    </w:r>
                    <w:r>
                      <w:rPr>
                        <w:b/>
                        <w:spacing w:val="-3"/>
                        <w:w w:val="110"/>
                        <w:sz w:val="8"/>
                      </w:rPr>
                      <w:t>PULSES</w:t>
                    </w:r>
                  </w:p>
                  <w:p>
                    <w:pPr>
                      <w:spacing w:before="36"/>
                      <w:ind w:left="0" w:right="472" w:firstLine="0"/>
                      <w:jc w:val="right"/>
                      <w:rPr>
                        <w:sz w:val="8"/>
                      </w:rPr>
                    </w:pPr>
                    <w:r>
                      <w:rPr>
                        <w:spacing w:val="-2"/>
                        <w:w w:val="110"/>
                        <w:sz w:val="8"/>
                      </w:rPr>
                      <w:t>DIO</w:t>
                    </w:r>
                  </w:p>
                </w:txbxContent>
              </v:textbox>
              <w10:wrap type="none"/>
            </v:shape>
            <v:shape style="position:absolute;left:2682;top:5420;width:946;height:168" type="#_x0000_t202" filled="false" stroked="false">
              <v:textbox inset="0,0,0,0">
                <w:txbxContent>
                  <w:p>
                    <w:pPr>
                      <w:tabs>
                        <w:tab w:pos="355" w:val="left" w:leader="none"/>
                      </w:tabs>
                      <w:spacing w:line="228" w:lineRule="auto" w:before="49"/>
                      <w:ind w:left="0" w:right="0" w:firstLine="0"/>
                      <w:jc w:val="left"/>
                      <w:rPr>
                        <w:sz w:val="8"/>
                      </w:rPr>
                    </w:pPr>
                    <w:r>
                      <w:rPr>
                        <w:rFonts w:ascii="Times New Roman"/>
                        <w:w w:val="108"/>
                        <w:position w:val="3"/>
                        <w:sz w:val="10"/>
                        <w:u w:val="single" w:color="2F2F2F"/>
                      </w:rPr>
                      <w:t> </w:t>
                    </w:r>
                    <w:r>
                      <w:rPr>
                        <w:rFonts w:ascii="Times New Roman"/>
                        <w:position w:val="3"/>
                        <w:sz w:val="10"/>
                        <w:u w:val="single" w:color="2F2F2F"/>
                      </w:rPr>
                      <w:tab/>
                    </w:r>
                    <w:r>
                      <w:rPr>
                        <w:rFonts w:ascii="Times New Roman"/>
                        <w:position w:val="3"/>
                        <w:sz w:val="10"/>
                      </w:rPr>
                      <w:t>   </w:t>
                    </w:r>
                    <w:r>
                      <w:rPr>
                        <w:rFonts w:ascii="Times New Roman"/>
                        <w:spacing w:val="-3"/>
                        <w:position w:val="3"/>
                        <w:sz w:val="10"/>
                      </w:rPr>
                      <w:t> </w:t>
                    </w:r>
                    <w:r>
                      <w:rPr>
                        <w:w w:val="110"/>
                        <w:sz w:val="8"/>
                      </w:rPr>
                      <w:t>ATOR</w:t>
                    </w:r>
                    <w:r>
                      <w:rPr>
                        <w:spacing w:val="19"/>
                        <w:w w:val="110"/>
                        <w:sz w:val="8"/>
                      </w:rPr>
                      <w:t> </w:t>
                    </w:r>
                    <w:r>
                      <w:rPr>
                        <w:w w:val="110"/>
                        <w:position w:val="-2"/>
                        <w:sz w:val="8"/>
                      </w:rPr>
                      <w:t>TX</w:t>
                    </w:r>
                  </w:p>
                </w:txbxContent>
              </v:textbox>
              <w10:wrap type="none"/>
            </v:shape>
            <v:shape style="position:absolute;left:3085;top:5375;width:565;height:101" type="#_x0000_t202" filled="false" stroked="false">
              <v:textbox inset="0,0,0,0">
                <w:txbxContent>
                  <w:p>
                    <w:pPr>
                      <w:spacing w:line="101" w:lineRule="exact" w:before="0"/>
                      <w:ind w:left="0" w:right="0" w:firstLine="0"/>
                      <w:jc w:val="left"/>
                      <w:rPr>
                        <w:sz w:val="8"/>
                      </w:rPr>
                    </w:pPr>
                    <w:r>
                      <w:rPr>
                        <w:w w:val="110"/>
                        <w:position w:val="1"/>
                        <w:sz w:val="8"/>
                      </w:rPr>
                      <w:t>MODUL- </w:t>
                    </w:r>
                    <w:r>
                      <w:rPr>
                        <w:w w:val="110"/>
                        <w:sz w:val="8"/>
                      </w:rPr>
                      <w:t>RX</w:t>
                    </w:r>
                  </w:p>
                </w:txbxContent>
              </v:textbox>
              <w10:wrap type="none"/>
            </v:shape>
            <v:shape style="position:absolute;left:3910;top:5216;width:506;height:232" type="#_x0000_t202" filled="false" stroked="false">
              <v:textbox inset="0,0,0,0">
                <w:txbxContent>
                  <w:p>
                    <w:pPr>
                      <w:spacing w:line="249" w:lineRule="auto" w:before="0"/>
                      <w:ind w:left="0" w:right="13" w:firstLine="62"/>
                      <w:jc w:val="left"/>
                      <w:rPr>
                        <w:b/>
                        <w:sz w:val="10"/>
                      </w:rPr>
                    </w:pPr>
                    <w:r>
                      <w:rPr>
                        <w:b/>
                        <w:w w:val="110"/>
                        <w:sz w:val="10"/>
                      </w:rPr>
                      <w:t>FLASH </w:t>
                    </w:r>
                    <w:r>
                      <w:rPr>
                        <w:b/>
                        <w:w w:val="105"/>
                        <w:sz w:val="10"/>
                      </w:rPr>
                      <w:t>MEMORY</w:t>
                    </w:r>
                  </w:p>
                </w:txbxContent>
              </v:textbox>
              <w10:wrap type="none"/>
            </v:shape>
            <v:shape style="position:absolute;left:3084;top:5670;width:653;height:186" type="#_x0000_t202" filled="false" stroked="false">
              <v:textbox inset="0,0,0,0">
                <w:txbxContent>
                  <w:p>
                    <w:pPr>
                      <w:spacing w:line="249" w:lineRule="auto" w:before="0"/>
                      <w:ind w:left="2" w:right="-12" w:hanging="3"/>
                      <w:jc w:val="left"/>
                      <w:rPr>
                        <w:b/>
                        <w:sz w:val="8"/>
                      </w:rPr>
                    </w:pPr>
                    <w:r>
                      <w:rPr>
                        <w:b/>
                        <w:w w:val="110"/>
                        <w:sz w:val="8"/>
                      </w:rPr>
                      <w:t>POWER FAULT </w:t>
                    </w:r>
                    <w:r>
                      <w:rPr>
                        <w:b/>
                        <w:w w:val="105"/>
                        <w:sz w:val="8"/>
                      </w:rPr>
                      <w:t>COMPARATOR</w:t>
                    </w:r>
                  </w:p>
                </w:txbxContent>
              </v:textbox>
              <w10:wrap type="none"/>
            </v:shape>
            <v:shape style="position:absolute;left:3949;top:5638;width:428;height:376" type="#_x0000_t202" filled="false" stroked="false">
              <v:textbox inset="0,0,0,0">
                <w:txbxContent>
                  <w:p>
                    <w:pPr>
                      <w:spacing w:line="249" w:lineRule="auto" w:before="0"/>
                      <w:ind w:left="0" w:right="18" w:hanging="1"/>
                      <w:jc w:val="center"/>
                      <w:rPr>
                        <w:b/>
                        <w:sz w:val="10"/>
                      </w:rPr>
                    </w:pPr>
                    <w:r>
                      <w:rPr>
                        <w:b/>
                        <w:w w:val="110"/>
                        <w:sz w:val="12"/>
                      </w:rPr>
                      <w:t>MPU </w:t>
                    </w:r>
                    <w:r>
                      <w:rPr>
                        <w:b/>
                        <w:w w:val="110"/>
                        <w:sz w:val="10"/>
                      </w:rPr>
                      <w:t>RTC </w:t>
                    </w:r>
                    <w:r>
                      <w:rPr>
                        <w:b/>
                        <w:w w:val="105"/>
                        <w:sz w:val="10"/>
                      </w:rPr>
                      <w:t>TIMERS</w:t>
                    </w:r>
                  </w:p>
                </w:txbxContent>
              </v:textbox>
              <w10:wrap type="none"/>
            </v:shape>
            <v:shape style="position:absolute;left:5367;top:5608;width:223;height:111" type="#_x0000_t202" filled="false" stroked="false">
              <v:textbox inset="0,0,0,0">
                <w:txbxContent>
                  <w:p>
                    <w:pPr>
                      <w:spacing w:line="111" w:lineRule="exact" w:before="0"/>
                      <w:ind w:left="0" w:right="0" w:firstLine="0"/>
                      <w:jc w:val="left"/>
                      <w:rPr>
                        <w:rFonts w:ascii="Times New Roman"/>
                        <w:sz w:val="10"/>
                      </w:rPr>
                    </w:pPr>
                    <w:r>
                      <w:rPr>
                        <w:rFonts w:ascii="Times New Roman"/>
                        <w:w w:val="108"/>
                        <w:sz w:val="10"/>
                        <w:u w:val="dotted" w:color="2F2F2F"/>
                      </w:rPr>
                      <w:t> </w:t>
                    </w:r>
                    <w:r>
                      <w:rPr>
                        <w:rFonts w:ascii="Times New Roman"/>
                        <w:sz w:val="10"/>
                        <w:u w:val="dotted" w:color="2F2F2F"/>
                      </w:rPr>
                      <w:t> </w:t>
                    </w:r>
                  </w:p>
                </w:txbxContent>
              </v:textbox>
              <w10:wrap type="none"/>
            </v:shape>
            <v:shape style="position:absolute;left:4564;top:5723;width:605;height:337" type="#_x0000_t202" filled="false" stroked="false">
              <v:textbox inset="0,0,0,0">
                <w:txbxContent>
                  <w:p>
                    <w:pPr>
                      <w:spacing w:line="254" w:lineRule="auto" w:before="0"/>
                      <w:ind w:left="0" w:right="18" w:firstLine="298"/>
                      <w:jc w:val="right"/>
                      <w:rPr>
                        <w:sz w:val="8"/>
                      </w:rPr>
                    </w:pPr>
                    <w:r>
                      <w:rPr>
                        <w:w w:val="105"/>
                        <w:sz w:val="8"/>
                      </w:rPr>
                      <w:t>V3P3D </w:t>
                    </w:r>
                    <w:r>
                      <w:rPr>
                        <w:b/>
                        <w:w w:val="105"/>
                        <w:sz w:val="8"/>
                      </w:rPr>
                      <w:t>OSCILLATOR/ </w:t>
                    </w:r>
                    <w:r>
                      <w:rPr>
                        <w:b/>
                        <w:w w:val="110"/>
                        <w:sz w:val="8"/>
                      </w:rPr>
                      <w:t>PLL </w:t>
                    </w:r>
                    <w:r>
                      <w:rPr>
                        <w:w w:val="110"/>
                        <w:position w:val="-4"/>
                        <w:sz w:val="8"/>
                      </w:rPr>
                      <w:t>XIN</w:t>
                    </w:r>
                  </w:p>
                </w:txbxContent>
              </v:textbox>
              <w10:wrap type="none"/>
            </v:shape>
            <v:shape style="position:absolute;left:3072;top:6082;width:677;height:90" type="#_x0000_t202" filled="false" stroked="false">
              <v:textbox inset="0,0,0,0">
                <w:txbxContent>
                  <w:p>
                    <w:pPr>
                      <w:spacing w:line="89" w:lineRule="exact" w:before="0"/>
                      <w:ind w:left="0" w:right="0" w:firstLine="0"/>
                      <w:jc w:val="left"/>
                      <w:rPr>
                        <w:b/>
                        <w:sz w:val="8"/>
                      </w:rPr>
                    </w:pPr>
                    <w:r>
                      <w:rPr>
                        <w:b/>
                        <w:w w:val="110"/>
                        <w:sz w:val="8"/>
                      </w:rPr>
                      <w:t>SPI INTERFACE</w:t>
                    </w:r>
                  </w:p>
                </w:txbxContent>
              </v:textbox>
              <w10:wrap type="none"/>
            </v:shape>
            <v:shape style="position:absolute;left:5744;top:6065;width:356;height:112" type="#_x0000_t202" filled="false" stroked="false">
              <v:textbox inset="0,0,0,0">
                <w:txbxContent>
                  <w:p>
                    <w:pPr>
                      <w:spacing w:line="112" w:lineRule="exact" w:before="0"/>
                      <w:ind w:left="0" w:right="0" w:firstLine="0"/>
                      <w:jc w:val="left"/>
                      <w:rPr>
                        <w:sz w:val="10"/>
                      </w:rPr>
                    </w:pPr>
                    <w:r>
                      <w:rPr>
                        <w:w w:val="110"/>
                        <w:sz w:val="10"/>
                      </w:rPr>
                      <w:t>32 kHz</w:t>
                    </w:r>
                  </w:p>
                </w:txbxContent>
              </v:textbox>
              <w10:wrap type="none"/>
            </v:shape>
            <v:shape style="position:absolute;left:4081;top:6172;width:164;height:90" type="#_x0000_t202" filled="false" stroked="false">
              <v:textbox inset="0,0,0,0">
                <w:txbxContent>
                  <w:p>
                    <w:pPr>
                      <w:spacing w:line="89" w:lineRule="exact" w:before="0"/>
                      <w:ind w:left="0" w:right="0" w:firstLine="0"/>
                      <w:jc w:val="left"/>
                      <w:rPr>
                        <w:b/>
                        <w:sz w:val="8"/>
                      </w:rPr>
                    </w:pPr>
                    <w:r>
                      <w:rPr>
                        <w:b/>
                        <w:w w:val="110"/>
                        <w:sz w:val="8"/>
                      </w:rPr>
                      <w:t>ICE</w:t>
                    </w:r>
                  </w:p>
                </w:txbxContent>
              </v:textbox>
              <w10:wrap type="none"/>
            </v:shape>
            <v:shape style="position:absolute;left:4902;top:6195;width:260;height:90" type="#_x0000_t202" filled="false" stroked="false">
              <v:textbox inset="0,0,0,0">
                <w:txbxContent>
                  <w:p>
                    <w:pPr>
                      <w:spacing w:line="89" w:lineRule="exact" w:before="0"/>
                      <w:ind w:left="0" w:right="0" w:firstLine="0"/>
                      <w:jc w:val="left"/>
                      <w:rPr>
                        <w:sz w:val="8"/>
                      </w:rPr>
                    </w:pPr>
                    <w:r>
                      <w:rPr>
                        <w:w w:val="110"/>
                        <w:sz w:val="8"/>
                      </w:rPr>
                      <w:t>XOUT</w:t>
                    </w:r>
                  </w:p>
                </w:txbxContent>
              </v:textbox>
              <w10:wrap type="none"/>
            </v:shape>
            <v:shape style="position:absolute;left:1999;top:5322;width:603;height:315" type="#_x0000_t202" filled="false" stroked="true" strokeweight=".366709pt" strokecolor="#2f2f2f">
              <v:textbox inset="0,0,0,0">
                <w:txbxContent>
                  <w:p>
                    <w:pPr>
                      <w:spacing w:line="240" w:lineRule="auto" w:before="9"/>
                      <w:rPr>
                        <w:i/>
                        <w:sz w:val="7"/>
                      </w:rPr>
                    </w:pPr>
                  </w:p>
                  <w:p>
                    <w:pPr>
                      <w:spacing w:before="1"/>
                      <w:ind w:left="297" w:right="0" w:firstLine="0"/>
                      <w:jc w:val="left"/>
                      <w:rPr>
                        <w:sz w:val="10"/>
                      </w:rPr>
                    </w:pPr>
                    <w:r>
                      <w:rPr>
                        <w:w w:val="110"/>
                        <w:sz w:val="10"/>
                      </w:rPr>
                      <w:t>IR</w:t>
                    </w:r>
                  </w:p>
                </w:txbxContent>
              </v:textbox>
              <v:stroke dashstyle="solid"/>
              <w10:wrap type="none"/>
            </v:shape>
            <v:shape style="position:absolute;left:1999;top:4917;width:603;height:315" type="#_x0000_t202" filled="false" stroked="true" strokeweight=".366709pt" strokecolor="#2f2f2f">
              <v:textbox inset="0,0,0,0">
                <w:txbxContent>
                  <w:p>
                    <w:pPr>
                      <w:spacing w:line="240" w:lineRule="auto" w:before="9"/>
                      <w:rPr>
                        <w:i/>
                        <w:sz w:val="7"/>
                      </w:rPr>
                    </w:pPr>
                  </w:p>
                  <w:p>
                    <w:pPr>
                      <w:spacing w:before="1"/>
                      <w:ind w:left="186" w:right="0" w:firstLine="0"/>
                      <w:jc w:val="left"/>
                      <w:rPr>
                        <w:sz w:val="10"/>
                      </w:rPr>
                    </w:pPr>
                    <w:r>
                      <w:rPr>
                        <w:w w:val="110"/>
                        <w:sz w:val="10"/>
                      </w:rPr>
                      <w:t>AMR</w:t>
                    </w:r>
                  </w:p>
                </w:txbxContent>
              </v:textbox>
              <v:stroke dashstyle="solid"/>
              <w10:wrap type="none"/>
            </v:shape>
            <v:shape style="position:absolute;left:5658;top:5591;width:825;height:270" type="#_x0000_t202" filled="false" stroked="true" strokeweight=".362586pt" strokecolor="#2f2f2f">
              <v:textbox inset="0,0,0,0">
                <w:txbxContent>
                  <w:p>
                    <w:pPr>
                      <w:spacing w:line="249" w:lineRule="auto" w:before="8"/>
                      <w:ind w:left="173" w:right="0" w:hanging="60"/>
                      <w:jc w:val="left"/>
                      <w:rPr>
                        <w:sz w:val="10"/>
                      </w:rPr>
                    </w:pPr>
                    <w:r>
                      <w:rPr>
                        <w:w w:val="110"/>
                        <w:sz w:val="10"/>
                      </w:rPr>
                      <w:t>I</w:t>
                    </w:r>
                    <w:r>
                      <w:rPr>
                        <w:w w:val="110"/>
                        <w:sz w:val="10"/>
                        <w:vertAlign w:val="superscript"/>
                      </w:rPr>
                      <w:t>2</w:t>
                    </w:r>
                    <w:r>
                      <w:rPr>
                        <w:w w:val="110"/>
                        <w:sz w:val="10"/>
                        <w:vertAlign w:val="baseline"/>
                      </w:rPr>
                      <w:t>C or µWire EEPROM</w:t>
                    </w:r>
                  </w:p>
                </w:txbxContent>
              </v:textbox>
              <v:stroke dashstyle="solid"/>
              <w10:wrap type="none"/>
            </v:shape>
            <v:shape style="position:absolute;left:5658;top:5232;width:825;height:270" type="#_x0000_t202" filled="false" stroked="true" strokeweight=".362586pt" strokecolor="#2f2f2f">
              <v:textbox inset="0,0,0,0">
                <w:txbxContent>
                  <w:p>
                    <w:pPr>
                      <w:spacing w:line="249" w:lineRule="auto" w:before="8"/>
                      <w:ind w:left="311" w:right="175" w:hanging="132"/>
                      <w:jc w:val="left"/>
                      <w:rPr>
                        <w:sz w:val="10"/>
                      </w:rPr>
                    </w:pPr>
                    <w:r>
                      <w:rPr>
                        <w:w w:val="105"/>
                        <w:sz w:val="10"/>
                      </w:rPr>
                      <w:t>PULSES, </w:t>
                    </w:r>
                    <w:r>
                      <w:rPr>
                        <w:w w:val="110"/>
                        <w:sz w:val="10"/>
                      </w:rPr>
                      <w:t>DIO</w:t>
                    </w:r>
                  </w:p>
                </w:txbxContent>
              </v:textbox>
              <v:stroke dashstyle="solid"/>
              <w10:wrap type="none"/>
            </v:shape>
            <v:shape style="position:absolute;left:5658;top:4693;width:825;height:450" type="#_x0000_t202" filled="false" stroked="true" strokeweight=".366801pt" strokecolor="#2f2f2f">
              <v:textbox inset="0,0,0,0">
                <w:txbxContent>
                  <w:p>
                    <w:pPr>
                      <w:spacing w:before="23"/>
                      <w:ind w:left="59" w:right="0" w:firstLine="0"/>
                      <w:jc w:val="left"/>
                      <w:rPr>
                        <w:sz w:val="10"/>
                      </w:rPr>
                    </w:pPr>
                    <w:r>
                      <w:rPr>
                        <w:w w:val="110"/>
                        <w:sz w:val="10"/>
                      </w:rPr>
                      <w:t>LCD DISPLAY</w:t>
                    </w:r>
                  </w:p>
                  <w:p>
                    <w:pPr>
                      <w:spacing w:before="45"/>
                      <w:ind w:left="-3" w:right="-15" w:firstLine="0"/>
                      <w:jc w:val="left"/>
                      <w:rPr>
                        <w:rFonts w:ascii="Lucida Console"/>
                        <w:sz w:val="14"/>
                      </w:rPr>
                    </w:pPr>
                    <w:r>
                      <w:rPr>
                        <w:rFonts w:ascii="Lucida Console"/>
                        <w:w w:val="105"/>
                        <w:sz w:val="14"/>
                      </w:rPr>
                      <w:t>8888.8888</w:t>
                    </w:r>
                  </w:p>
                </w:txbxContent>
              </v:textbox>
              <v:stroke dashstyle="solid"/>
              <w10:wrap type="none"/>
            </v:shape>
            <v:shape style="position:absolute;left:1999;top:5973;width:603;height:315" type="#_x0000_t202" filled="false" stroked="true" strokeweight=".366709pt" strokecolor="#2f2f2f">
              <v:textbox inset="0,0,0,0">
                <w:txbxContent>
                  <w:p>
                    <w:pPr>
                      <w:spacing w:line="240" w:lineRule="auto" w:before="9"/>
                      <w:rPr>
                        <w:i/>
                        <w:sz w:val="7"/>
                      </w:rPr>
                    </w:pPr>
                  </w:p>
                  <w:p>
                    <w:pPr>
                      <w:spacing w:before="1"/>
                      <w:ind w:left="156" w:right="0" w:firstLine="0"/>
                      <w:jc w:val="left"/>
                      <w:rPr>
                        <w:sz w:val="10"/>
                      </w:rPr>
                    </w:pPr>
                    <w:r>
                      <w:rPr>
                        <w:w w:val="110"/>
                        <w:sz w:val="10"/>
                      </w:rPr>
                      <w:t>HOST</w:t>
                    </w:r>
                  </w:p>
                </w:txbxContent>
              </v:textbox>
              <v:stroke dashstyle="solid"/>
              <w10:wrap type="none"/>
            </v:shape>
            <w10:wrap type="none"/>
          </v:group>
        </w:pict>
      </w:r>
      <w:r>
        <w:rPr/>
        <w:pict>
          <v:shape style="position:absolute;margin-left:96.727638pt;margin-top:134.676941pt;width:5.65pt;height:14.15pt;mso-position-horizontal-relative:page;mso-position-vertical-relative:paragraph;z-index:15730688" type="#_x0000_t202" filled="false" stroked="false">
            <v:textbox inset="0,0,0,0" style="layout-flow:vertical;mso-layout-flow-alt:bottom-to-top">
              <w:txbxContent>
                <w:p>
                  <w:pPr>
                    <w:spacing w:before="22"/>
                    <w:ind w:left="20" w:right="0" w:firstLine="0"/>
                    <w:jc w:val="left"/>
                    <w:rPr>
                      <w:sz w:val="6"/>
                    </w:rPr>
                  </w:pPr>
                  <w:r>
                    <w:rPr>
                      <w:sz w:val="6"/>
                    </w:rPr>
                    <w:t>71M6xx3</w:t>
                  </w:r>
                </w:p>
              </w:txbxContent>
            </v:textbox>
            <w10:wrap type="none"/>
          </v:shape>
        </w:pict>
      </w:r>
      <w:r>
        <w:rPr/>
        <w:pict>
          <v:shape style="position:absolute;margin-left:110.072014pt;margin-top:134.676941pt;width:5.65pt;height:14.15pt;mso-position-horizontal-relative:page;mso-position-vertical-relative:paragraph;z-index:15731200" type="#_x0000_t202" filled="false" stroked="false">
            <v:textbox inset="0,0,0,0" style="layout-flow:vertical;mso-layout-flow-alt:bottom-to-top">
              <w:txbxContent>
                <w:p>
                  <w:pPr>
                    <w:spacing w:before="22"/>
                    <w:ind w:left="20" w:right="0" w:firstLine="0"/>
                    <w:jc w:val="left"/>
                    <w:rPr>
                      <w:sz w:val="6"/>
                    </w:rPr>
                  </w:pPr>
                  <w:r>
                    <w:rPr>
                      <w:sz w:val="6"/>
                    </w:rPr>
                    <w:t>71M6xx3</w:t>
                  </w:r>
                </w:p>
              </w:txbxContent>
            </v:textbox>
            <w10:wrap type="none"/>
          </v:shape>
        </w:pict>
      </w:r>
      <w:r>
        <w:rPr/>
        <w:pict>
          <v:shape style="position:absolute;margin-left:122.743507pt;margin-top:135.207031pt;width:5.65pt;height:14.15pt;mso-position-horizontal-relative:page;mso-position-vertical-relative:paragraph;z-index:15731712" type="#_x0000_t202" filled="false" stroked="false">
            <v:textbox inset="0,0,0,0" style="layout-flow:vertical;mso-layout-flow-alt:bottom-to-top">
              <w:txbxContent>
                <w:p>
                  <w:pPr>
                    <w:spacing w:before="22"/>
                    <w:ind w:left="20" w:right="0" w:firstLine="0"/>
                    <w:jc w:val="left"/>
                    <w:rPr>
                      <w:sz w:val="6"/>
                    </w:rPr>
                  </w:pPr>
                  <w:r>
                    <w:rPr>
                      <w:sz w:val="6"/>
                    </w:rPr>
                    <w:t>71M6xx3</w:t>
                  </w:r>
                </w:p>
              </w:txbxContent>
            </v:textbox>
            <w10:wrap type="none"/>
          </v:shape>
        </w:pict>
      </w:r>
      <w:r>
        <w:rPr>
          <w:sz w:val="19"/>
        </w:rPr>
        <w:t>A complete array of code development tools, demonstration code, and reference designs enable rapid development and certification of meters that meet all ANSI and IEC electricity metering standards worldwide.</w:t>
      </w:r>
    </w:p>
    <w:p>
      <w:pPr>
        <w:spacing w:before="93"/>
        <w:ind w:left="260" w:right="0" w:firstLine="0"/>
        <w:jc w:val="left"/>
        <w:rPr>
          <w:b/>
          <w:sz w:val="22"/>
        </w:rPr>
      </w:pPr>
      <w:r>
        <w:rPr/>
        <w:br w:type="column"/>
      </w:r>
      <w:r>
        <w:rPr>
          <w:b/>
          <w:sz w:val="22"/>
        </w:rPr>
        <w:t>FEATURES</w:t>
      </w:r>
    </w:p>
    <w:p>
      <w:pPr>
        <w:pStyle w:val="ListParagraph"/>
        <w:numPr>
          <w:ilvl w:val="0"/>
          <w:numId w:val="1"/>
        </w:numPr>
        <w:tabs>
          <w:tab w:pos="441" w:val="left" w:leader="none"/>
        </w:tabs>
        <w:spacing w:line="240" w:lineRule="auto" w:before="108" w:after="0"/>
        <w:ind w:left="440" w:right="295" w:hanging="180"/>
        <w:jc w:val="left"/>
        <w:rPr>
          <w:rFonts w:ascii="Symbol" w:hAnsi="Symbol"/>
          <w:sz w:val="19"/>
        </w:rPr>
      </w:pPr>
      <w:r>
        <w:rPr>
          <w:sz w:val="19"/>
        </w:rPr>
        <w:t>0.1% Typical Accuracy Over 2000:1</w:t>
      </w:r>
      <w:r>
        <w:rPr>
          <w:spacing w:val="-15"/>
          <w:sz w:val="19"/>
        </w:rPr>
        <w:t> </w:t>
      </w:r>
      <w:r>
        <w:rPr>
          <w:sz w:val="19"/>
        </w:rPr>
        <w:t>Current Range</w:t>
      </w:r>
    </w:p>
    <w:p>
      <w:pPr>
        <w:pStyle w:val="ListParagraph"/>
        <w:numPr>
          <w:ilvl w:val="0"/>
          <w:numId w:val="1"/>
        </w:numPr>
        <w:tabs>
          <w:tab w:pos="440" w:val="left" w:leader="none"/>
        </w:tabs>
        <w:spacing w:line="240" w:lineRule="auto" w:before="51" w:after="0"/>
        <w:ind w:left="439" w:right="0" w:hanging="180"/>
        <w:jc w:val="left"/>
        <w:rPr>
          <w:rFonts w:ascii="Symbol" w:hAnsi="Symbol"/>
          <w:sz w:val="19"/>
        </w:rPr>
      </w:pPr>
      <w:r>
        <w:rPr>
          <w:spacing w:val="-4"/>
          <w:sz w:val="19"/>
        </w:rPr>
        <w:t>Exceeds IEC 62053/ANSI C12.20</w:t>
      </w:r>
      <w:r>
        <w:rPr>
          <w:spacing w:val="-17"/>
          <w:sz w:val="19"/>
        </w:rPr>
        <w:t> </w:t>
      </w:r>
      <w:r>
        <w:rPr>
          <w:spacing w:val="-5"/>
          <w:sz w:val="19"/>
        </w:rPr>
        <w:t>Standards</w:t>
      </w:r>
    </w:p>
    <w:p>
      <w:pPr>
        <w:pStyle w:val="ListParagraph"/>
        <w:numPr>
          <w:ilvl w:val="0"/>
          <w:numId w:val="1"/>
        </w:numPr>
        <w:tabs>
          <w:tab w:pos="441" w:val="left" w:leader="none"/>
        </w:tabs>
        <w:spacing w:line="242" w:lineRule="auto" w:before="45" w:after="0"/>
        <w:ind w:left="440" w:right="353" w:hanging="181"/>
        <w:jc w:val="left"/>
        <w:rPr>
          <w:rFonts w:ascii="Symbol" w:hAnsi="Symbol"/>
          <w:sz w:val="19"/>
        </w:rPr>
      </w:pPr>
      <w:r>
        <w:rPr>
          <w:sz w:val="19"/>
        </w:rPr>
        <w:t>Seven Sensor Inputs with Neutral Current Measurement, Differential Mode Selectable for Current</w:t>
      </w:r>
      <w:r>
        <w:rPr>
          <w:spacing w:val="-3"/>
          <w:sz w:val="19"/>
        </w:rPr>
        <w:t> </w:t>
      </w:r>
      <w:r>
        <w:rPr>
          <w:sz w:val="19"/>
        </w:rPr>
        <w:t>Inputs</w:t>
      </w:r>
    </w:p>
    <w:p>
      <w:pPr>
        <w:pStyle w:val="ListParagraph"/>
        <w:numPr>
          <w:ilvl w:val="0"/>
          <w:numId w:val="1"/>
        </w:numPr>
        <w:tabs>
          <w:tab w:pos="440" w:val="left" w:leader="none"/>
        </w:tabs>
        <w:spacing w:line="240" w:lineRule="auto" w:before="44" w:after="0"/>
        <w:ind w:left="439" w:right="415" w:hanging="180"/>
        <w:jc w:val="left"/>
        <w:rPr>
          <w:rFonts w:ascii="Symbol" w:hAnsi="Symbol"/>
          <w:sz w:val="19"/>
        </w:rPr>
      </w:pPr>
      <w:r>
        <w:rPr>
          <w:spacing w:val="2"/>
          <w:sz w:val="19"/>
        </w:rPr>
        <w:t>Selectable </w:t>
      </w:r>
      <w:r>
        <w:rPr>
          <w:sz w:val="19"/>
        </w:rPr>
        <w:t>Gain of 1 or 8 </w:t>
      </w:r>
      <w:r>
        <w:rPr>
          <w:spacing w:val="2"/>
          <w:sz w:val="19"/>
        </w:rPr>
        <w:t>for </w:t>
      </w:r>
      <w:r>
        <w:rPr>
          <w:sz w:val="19"/>
        </w:rPr>
        <w:t>One </w:t>
      </w:r>
      <w:r>
        <w:rPr>
          <w:spacing w:val="2"/>
          <w:sz w:val="19"/>
        </w:rPr>
        <w:t>Current </w:t>
      </w:r>
      <w:r>
        <w:rPr>
          <w:sz w:val="19"/>
        </w:rPr>
        <w:t>Input to </w:t>
      </w:r>
      <w:r>
        <w:rPr>
          <w:spacing w:val="2"/>
          <w:sz w:val="19"/>
        </w:rPr>
        <w:t>Support</w:t>
      </w:r>
      <w:r>
        <w:rPr>
          <w:spacing w:val="19"/>
          <w:sz w:val="19"/>
        </w:rPr>
        <w:t> </w:t>
      </w:r>
      <w:r>
        <w:rPr>
          <w:spacing w:val="2"/>
          <w:sz w:val="19"/>
        </w:rPr>
        <w:t>Shunts</w:t>
      </w:r>
    </w:p>
    <w:p>
      <w:pPr>
        <w:pStyle w:val="ListParagraph"/>
        <w:numPr>
          <w:ilvl w:val="0"/>
          <w:numId w:val="1"/>
        </w:numPr>
        <w:tabs>
          <w:tab w:pos="441" w:val="left" w:leader="none"/>
        </w:tabs>
        <w:spacing w:line="240" w:lineRule="auto" w:before="50" w:after="0"/>
        <w:ind w:left="440" w:right="470" w:hanging="181"/>
        <w:jc w:val="left"/>
        <w:rPr>
          <w:rFonts w:ascii="Symbol" w:hAnsi="Symbol"/>
          <w:sz w:val="19"/>
        </w:rPr>
      </w:pPr>
      <w:r>
        <w:rPr>
          <w:sz w:val="19"/>
        </w:rPr>
        <w:t>High-Speed Wh/VARh Pulse Outputs with Programmable</w:t>
      </w:r>
      <w:r>
        <w:rPr>
          <w:spacing w:val="-5"/>
          <w:sz w:val="19"/>
        </w:rPr>
        <w:t> </w:t>
      </w:r>
      <w:r>
        <w:rPr>
          <w:sz w:val="19"/>
        </w:rPr>
        <w:t>Width</w:t>
      </w:r>
    </w:p>
    <w:p>
      <w:pPr>
        <w:pStyle w:val="ListParagraph"/>
        <w:numPr>
          <w:ilvl w:val="0"/>
          <w:numId w:val="1"/>
        </w:numPr>
        <w:tabs>
          <w:tab w:pos="441" w:val="left" w:leader="none"/>
        </w:tabs>
        <w:spacing w:line="240" w:lineRule="auto" w:before="48" w:after="0"/>
        <w:ind w:left="440" w:right="0" w:hanging="181"/>
        <w:jc w:val="left"/>
        <w:rPr>
          <w:rFonts w:ascii="Symbol" w:hAnsi="Symbol"/>
          <w:sz w:val="19"/>
        </w:rPr>
      </w:pPr>
      <w:r>
        <w:rPr>
          <w:sz w:val="19"/>
        </w:rPr>
        <w:t>64KB Flash, 5KB RAM</w:t>
      </w:r>
      <w:r>
        <w:rPr>
          <w:spacing w:val="-5"/>
          <w:sz w:val="19"/>
        </w:rPr>
        <w:t> </w:t>
      </w:r>
      <w:r>
        <w:rPr>
          <w:sz w:val="19"/>
        </w:rPr>
        <w:t>(71M6543F)</w:t>
      </w:r>
    </w:p>
    <w:p>
      <w:pPr>
        <w:pStyle w:val="ListParagraph"/>
        <w:numPr>
          <w:ilvl w:val="0"/>
          <w:numId w:val="1"/>
        </w:numPr>
        <w:tabs>
          <w:tab w:pos="441" w:val="left" w:leader="none"/>
        </w:tabs>
        <w:spacing w:line="240" w:lineRule="auto" w:before="48" w:after="0"/>
        <w:ind w:left="440" w:right="0" w:hanging="181"/>
        <w:jc w:val="left"/>
        <w:rPr>
          <w:rFonts w:ascii="Symbol" w:hAnsi="Symbol"/>
          <w:sz w:val="19"/>
        </w:rPr>
      </w:pPr>
      <w:r>
        <w:rPr>
          <w:sz w:val="19"/>
        </w:rPr>
        <w:t>128KB Flash, 5KB RAM</w:t>
      </w:r>
      <w:r>
        <w:rPr>
          <w:spacing w:val="-5"/>
          <w:sz w:val="19"/>
        </w:rPr>
        <w:t> </w:t>
      </w:r>
      <w:r>
        <w:rPr>
          <w:sz w:val="19"/>
        </w:rPr>
        <w:t>(71M6543G)</w:t>
      </w:r>
    </w:p>
    <w:p>
      <w:pPr>
        <w:pStyle w:val="ListParagraph"/>
        <w:numPr>
          <w:ilvl w:val="0"/>
          <w:numId w:val="1"/>
        </w:numPr>
        <w:tabs>
          <w:tab w:pos="441" w:val="left" w:leader="none"/>
        </w:tabs>
        <w:spacing w:line="240" w:lineRule="auto" w:before="59" w:after="0"/>
        <w:ind w:left="440" w:right="0" w:hanging="181"/>
        <w:jc w:val="left"/>
        <w:rPr>
          <w:rFonts w:ascii="Symbol" w:hAnsi="Symbol"/>
          <w:sz w:val="17"/>
        </w:rPr>
      </w:pPr>
      <w:r>
        <w:rPr>
          <w:sz w:val="19"/>
        </w:rPr>
        <w:t>Up to Four Pulse Outputs with Pulse</w:t>
      </w:r>
      <w:r>
        <w:rPr>
          <w:spacing w:val="-7"/>
          <w:sz w:val="19"/>
        </w:rPr>
        <w:t> </w:t>
      </w:r>
      <w:r>
        <w:rPr>
          <w:sz w:val="19"/>
        </w:rPr>
        <w:t>Co</w:t>
      </w:r>
      <w:r>
        <w:rPr>
          <w:sz w:val="17"/>
        </w:rPr>
        <w:t>unt</w:t>
      </w:r>
    </w:p>
    <w:p>
      <w:pPr>
        <w:pStyle w:val="ListParagraph"/>
        <w:numPr>
          <w:ilvl w:val="0"/>
          <w:numId w:val="1"/>
        </w:numPr>
        <w:tabs>
          <w:tab w:pos="441" w:val="left" w:leader="none"/>
        </w:tabs>
        <w:spacing w:line="240" w:lineRule="auto" w:before="49" w:after="0"/>
        <w:ind w:left="440" w:right="0" w:hanging="181"/>
        <w:jc w:val="left"/>
        <w:rPr>
          <w:rFonts w:ascii="Symbol" w:hAnsi="Symbol"/>
          <w:sz w:val="19"/>
        </w:rPr>
      </w:pPr>
      <w:r>
        <w:rPr>
          <w:sz w:val="19"/>
        </w:rPr>
        <w:t>Four-Quadrant Metering, Phase</w:t>
      </w:r>
      <w:r>
        <w:rPr>
          <w:spacing w:val="-2"/>
          <w:sz w:val="19"/>
        </w:rPr>
        <w:t> </w:t>
      </w:r>
      <w:r>
        <w:rPr>
          <w:sz w:val="19"/>
        </w:rPr>
        <w:t>Sequencing</w:t>
      </w:r>
    </w:p>
    <w:p>
      <w:pPr>
        <w:pStyle w:val="ListParagraph"/>
        <w:numPr>
          <w:ilvl w:val="0"/>
          <w:numId w:val="1"/>
        </w:numPr>
        <w:tabs>
          <w:tab w:pos="441" w:val="left" w:leader="none"/>
        </w:tabs>
        <w:spacing w:line="300" w:lineRule="auto" w:before="48" w:after="0"/>
        <w:ind w:left="620" w:right="997" w:hanging="361"/>
        <w:jc w:val="left"/>
        <w:rPr>
          <w:rFonts w:ascii="Symbol" w:hAnsi="Symbol"/>
          <w:sz w:val="19"/>
        </w:rPr>
      </w:pPr>
      <w:r>
        <w:rPr>
          <w:sz w:val="19"/>
        </w:rPr>
        <w:t>Digital Temperature Compensation: Metrology</w:t>
      </w:r>
      <w:r>
        <w:rPr>
          <w:spacing w:val="-3"/>
          <w:sz w:val="19"/>
        </w:rPr>
        <w:t> </w:t>
      </w:r>
      <w:r>
        <w:rPr>
          <w:sz w:val="19"/>
        </w:rPr>
        <w:t>Compensation</w:t>
      </w:r>
    </w:p>
    <w:p>
      <w:pPr>
        <w:spacing w:line="242" w:lineRule="auto" w:before="8"/>
        <w:ind w:left="800" w:right="357" w:hanging="180"/>
        <w:jc w:val="left"/>
        <w:rPr>
          <w:sz w:val="19"/>
        </w:rPr>
      </w:pPr>
      <w:r>
        <w:rPr>
          <w:sz w:val="19"/>
        </w:rPr>
        <w:t>Accurate RTC for TOU Functions with Automatic Temperature Compensation for Crystal in All Power Modes</w:t>
      </w:r>
    </w:p>
    <w:p>
      <w:pPr>
        <w:pStyle w:val="ListParagraph"/>
        <w:numPr>
          <w:ilvl w:val="0"/>
          <w:numId w:val="1"/>
        </w:numPr>
        <w:tabs>
          <w:tab w:pos="441" w:val="left" w:leader="none"/>
        </w:tabs>
        <w:spacing w:line="240" w:lineRule="auto" w:before="45" w:after="0"/>
        <w:ind w:left="440" w:right="0" w:hanging="181"/>
        <w:jc w:val="left"/>
        <w:rPr>
          <w:rFonts w:ascii="Symbol" w:hAnsi="Symbol"/>
          <w:sz w:val="19"/>
        </w:rPr>
      </w:pPr>
      <w:r>
        <w:rPr>
          <w:sz w:val="19"/>
        </w:rPr>
        <w:t>Independent 32-Bit Compute</w:t>
      </w:r>
      <w:r>
        <w:rPr>
          <w:spacing w:val="-2"/>
          <w:sz w:val="19"/>
        </w:rPr>
        <w:t> </w:t>
      </w:r>
      <w:r>
        <w:rPr>
          <w:sz w:val="19"/>
        </w:rPr>
        <w:t>Engine</w:t>
      </w:r>
    </w:p>
    <w:p>
      <w:pPr>
        <w:pStyle w:val="ListParagraph"/>
        <w:numPr>
          <w:ilvl w:val="0"/>
          <w:numId w:val="1"/>
        </w:numPr>
        <w:tabs>
          <w:tab w:pos="441" w:val="left" w:leader="none"/>
        </w:tabs>
        <w:spacing w:line="240" w:lineRule="auto" w:before="48" w:after="0"/>
        <w:ind w:left="440" w:right="169" w:hanging="181"/>
        <w:jc w:val="left"/>
        <w:rPr>
          <w:rFonts w:ascii="Symbol" w:hAnsi="Symbol"/>
          <w:sz w:val="19"/>
        </w:rPr>
      </w:pPr>
      <w:r>
        <w:rPr>
          <w:spacing w:val="-3"/>
          <w:sz w:val="19"/>
        </w:rPr>
        <w:t>46-64Hz Line </w:t>
      </w:r>
      <w:r>
        <w:rPr>
          <w:spacing w:val="-4"/>
          <w:sz w:val="19"/>
        </w:rPr>
        <w:t>Frequency </w:t>
      </w:r>
      <w:r>
        <w:rPr>
          <w:spacing w:val="-3"/>
          <w:sz w:val="19"/>
        </w:rPr>
        <w:t>Range with the Same Calibration</w:t>
      </w:r>
    </w:p>
    <w:p>
      <w:pPr>
        <w:pStyle w:val="ListParagraph"/>
        <w:numPr>
          <w:ilvl w:val="0"/>
          <w:numId w:val="1"/>
        </w:numPr>
        <w:tabs>
          <w:tab w:pos="442" w:val="left" w:leader="none"/>
        </w:tabs>
        <w:spacing w:line="240" w:lineRule="auto" w:before="48" w:after="0"/>
        <w:ind w:left="441" w:right="0" w:hanging="182"/>
        <w:jc w:val="left"/>
        <w:rPr>
          <w:rFonts w:ascii="Symbol" w:hAnsi="Symbol"/>
          <w:sz w:val="19"/>
        </w:rPr>
      </w:pPr>
      <w:r>
        <w:rPr>
          <w:sz w:val="19"/>
        </w:rPr>
        <w:t>Phase </w:t>
      </w:r>
      <w:r>
        <w:rPr>
          <w:spacing w:val="-3"/>
          <w:sz w:val="19"/>
        </w:rPr>
        <w:t>Compensation</w:t>
      </w:r>
      <w:r>
        <w:rPr>
          <w:spacing w:val="-9"/>
          <w:sz w:val="19"/>
        </w:rPr>
        <w:t> </w:t>
      </w:r>
      <w:r>
        <w:rPr>
          <w:sz w:val="19"/>
        </w:rPr>
        <w:t>(</w:t>
      </w:r>
      <w:r>
        <w:rPr>
          <w:rFonts w:ascii="Symbol" w:hAnsi="Symbol"/>
          <w:sz w:val="19"/>
        </w:rPr>
        <w:t></w:t>
      </w:r>
      <w:r>
        <w:rPr>
          <w:sz w:val="19"/>
        </w:rPr>
        <w:t>7</w:t>
      </w:r>
      <w:r>
        <w:rPr>
          <w:rFonts w:ascii="Symbol" w:hAnsi="Symbol"/>
          <w:sz w:val="19"/>
        </w:rPr>
        <w:t></w:t>
      </w:r>
      <w:r>
        <w:rPr>
          <w:sz w:val="19"/>
        </w:rPr>
        <w:t>)</w:t>
      </w:r>
    </w:p>
    <w:p>
      <w:pPr>
        <w:pStyle w:val="ListParagraph"/>
        <w:numPr>
          <w:ilvl w:val="0"/>
          <w:numId w:val="1"/>
        </w:numPr>
        <w:tabs>
          <w:tab w:pos="449" w:val="left" w:leader="none"/>
        </w:tabs>
        <w:spacing w:line="283" w:lineRule="auto" w:before="48" w:after="0"/>
        <w:ind w:left="620" w:right="1465" w:hanging="361"/>
        <w:jc w:val="left"/>
        <w:rPr>
          <w:rFonts w:ascii="Symbol" w:hAnsi="Symbol"/>
          <w:sz w:val="19"/>
        </w:rPr>
      </w:pPr>
      <w:r>
        <w:rPr>
          <w:sz w:val="19"/>
        </w:rPr>
        <w:t>Three Battery-Backup Modes: Brownout</w:t>
      </w:r>
      <w:r>
        <w:rPr>
          <w:spacing w:val="-2"/>
          <w:sz w:val="19"/>
        </w:rPr>
        <w:t> </w:t>
      </w:r>
      <w:r>
        <w:rPr>
          <w:sz w:val="19"/>
        </w:rPr>
        <w:t>Mode</w:t>
      </w:r>
    </w:p>
    <w:p>
      <w:pPr>
        <w:spacing w:line="179" w:lineRule="exact" w:before="0"/>
        <w:ind w:left="620" w:right="0" w:firstLine="0"/>
        <w:jc w:val="left"/>
        <w:rPr>
          <w:sz w:val="19"/>
        </w:rPr>
      </w:pPr>
      <w:r>
        <w:rPr>
          <w:sz w:val="19"/>
        </w:rPr>
        <w:t>LCD Mode</w:t>
      </w:r>
    </w:p>
    <w:p>
      <w:pPr>
        <w:spacing w:before="0"/>
        <w:ind w:left="620" w:right="0" w:firstLine="0"/>
        <w:jc w:val="left"/>
        <w:rPr>
          <w:sz w:val="19"/>
        </w:rPr>
      </w:pPr>
      <w:r>
        <w:rPr>
          <w:sz w:val="19"/>
        </w:rPr>
        <w:t>Sleep Mode</w:t>
      </w:r>
    </w:p>
    <w:p>
      <w:pPr>
        <w:pStyle w:val="ListParagraph"/>
        <w:numPr>
          <w:ilvl w:val="0"/>
          <w:numId w:val="1"/>
        </w:numPr>
        <w:tabs>
          <w:tab w:pos="442" w:val="left" w:leader="none"/>
        </w:tabs>
        <w:spacing w:line="240" w:lineRule="auto" w:before="45" w:after="0"/>
        <w:ind w:left="441" w:right="0" w:hanging="182"/>
        <w:jc w:val="left"/>
        <w:rPr>
          <w:rFonts w:ascii="Symbol" w:hAnsi="Symbol"/>
          <w:sz w:val="19"/>
        </w:rPr>
      </w:pPr>
      <w:r>
        <w:rPr>
          <w:sz w:val="19"/>
        </w:rPr>
        <w:t>Wake-Up on Pin Events and</w:t>
      </w:r>
      <w:r>
        <w:rPr>
          <w:spacing w:val="-7"/>
          <w:sz w:val="19"/>
        </w:rPr>
        <w:t> </w:t>
      </w:r>
      <w:r>
        <w:rPr>
          <w:sz w:val="19"/>
        </w:rPr>
        <w:t>Wake-on-Timer</w:t>
      </w:r>
    </w:p>
    <w:p>
      <w:pPr>
        <w:pStyle w:val="ListParagraph"/>
        <w:numPr>
          <w:ilvl w:val="0"/>
          <w:numId w:val="1"/>
        </w:numPr>
        <w:tabs>
          <w:tab w:pos="442" w:val="left" w:leader="none"/>
        </w:tabs>
        <w:spacing w:line="240" w:lineRule="auto" w:before="48" w:after="0"/>
        <w:ind w:left="441" w:right="0" w:hanging="181"/>
        <w:jc w:val="left"/>
        <w:rPr>
          <w:rFonts w:ascii="Symbol" w:hAnsi="Symbol"/>
          <w:sz w:val="19"/>
        </w:rPr>
      </w:pPr>
      <w:r>
        <w:rPr>
          <w:sz w:val="19"/>
        </w:rPr>
        <w:t>1µA in Sleep</w:t>
      </w:r>
      <w:r>
        <w:rPr>
          <w:spacing w:val="-1"/>
          <w:sz w:val="19"/>
        </w:rPr>
        <w:t> </w:t>
      </w:r>
      <w:r>
        <w:rPr>
          <w:sz w:val="19"/>
        </w:rPr>
        <w:t>Mode</w:t>
      </w:r>
    </w:p>
    <w:p>
      <w:pPr>
        <w:pStyle w:val="ListParagraph"/>
        <w:numPr>
          <w:ilvl w:val="0"/>
          <w:numId w:val="1"/>
        </w:numPr>
        <w:tabs>
          <w:tab w:pos="442" w:val="left" w:leader="none"/>
        </w:tabs>
        <w:spacing w:line="240" w:lineRule="auto" w:before="46" w:after="0"/>
        <w:ind w:left="441" w:right="0" w:hanging="181"/>
        <w:jc w:val="left"/>
        <w:rPr>
          <w:rFonts w:ascii="Symbol" w:hAnsi="Symbol"/>
          <w:sz w:val="19"/>
        </w:rPr>
      </w:pPr>
      <w:r>
        <w:rPr>
          <w:sz w:val="19"/>
        </w:rPr>
        <w:t>Flash Security</w:t>
      </w:r>
    </w:p>
    <w:p>
      <w:pPr>
        <w:pStyle w:val="ListParagraph"/>
        <w:numPr>
          <w:ilvl w:val="0"/>
          <w:numId w:val="1"/>
        </w:numPr>
        <w:tabs>
          <w:tab w:pos="442" w:val="left" w:leader="none"/>
        </w:tabs>
        <w:spacing w:line="240" w:lineRule="auto" w:before="48" w:after="0"/>
        <w:ind w:left="441" w:right="0" w:hanging="181"/>
        <w:jc w:val="left"/>
        <w:rPr>
          <w:rFonts w:ascii="Symbol" w:hAnsi="Symbol"/>
          <w:sz w:val="19"/>
        </w:rPr>
      </w:pPr>
      <w:r>
        <w:rPr>
          <w:sz w:val="19"/>
        </w:rPr>
        <w:t>In-System Program</w:t>
      </w:r>
      <w:r>
        <w:rPr>
          <w:spacing w:val="-6"/>
          <w:sz w:val="19"/>
        </w:rPr>
        <w:t> </w:t>
      </w:r>
      <w:r>
        <w:rPr>
          <w:sz w:val="19"/>
        </w:rPr>
        <w:t>Update</w:t>
      </w:r>
    </w:p>
    <w:p>
      <w:pPr>
        <w:pStyle w:val="ListParagraph"/>
        <w:numPr>
          <w:ilvl w:val="0"/>
          <w:numId w:val="1"/>
        </w:numPr>
        <w:tabs>
          <w:tab w:pos="442" w:val="left" w:leader="none"/>
        </w:tabs>
        <w:spacing w:line="240" w:lineRule="auto" w:before="48" w:after="0"/>
        <w:ind w:left="441" w:right="0" w:hanging="181"/>
        <w:jc w:val="left"/>
        <w:rPr>
          <w:rFonts w:ascii="Symbol" w:hAnsi="Symbol"/>
          <w:sz w:val="19"/>
        </w:rPr>
      </w:pPr>
      <w:r>
        <w:rPr>
          <w:sz w:val="19"/>
        </w:rPr>
        <w:t>8-Bit MPU (80515), Up to</w:t>
      </w:r>
      <w:r>
        <w:rPr>
          <w:spacing w:val="-4"/>
          <w:sz w:val="19"/>
        </w:rPr>
        <w:t> </w:t>
      </w:r>
      <w:r>
        <w:rPr>
          <w:sz w:val="19"/>
        </w:rPr>
        <w:t>5MIPS</w:t>
      </w:r>
    </w:p>
    <w:p>
      <w:pPr>
        <w:pStyle w:val="ListParagraph"/>
        <w:numPr>
          <w:ilvl w:val="0"/>
          <w:numId w:val="1"/>
        </w:numPr>
        <w:tabs>
          <w:tab w:pos="442" w:val="left" w:leader="none"/>
        </w:tabs>
        <w:spacing w:line="240" w:lineRule="auto" w:before="45" w:after="0"/>
        <w:ind w:left="441" w:right="0" w:hanging="181"/>
        <w:jc w:val="left"/>
        <w:rPr>
          <w:rFonts w:ascii="Symbol" w:hAnsi="Symbol"/>
          <w:sz w:val="19"/>
        </w:rPr>
      </w:pPr>
      <w:r>
        <w:rPr>
          <w:sz w:val="19"/>
        </w:rPr>
        <w:t>Full-Speed MPU Clock in Brownout</w:t>
      </w:r>
      <w:r>
        <w:rPr>
          <w:spacing w:val="-6"/>
          <w:sz w:val="19"/>
        </w:rPr>
        <w:t> </w:t>
      </w:r>
      <w:r>
        <w:rPr>
          <w:sz w:val="19"/>
        </w:rPr>
        <w:t>Mode</w:t>
      </w:r>
    </w:p>
    <w:p>
      <w:pPr>
        <w:pStyle w:val="ListParagraph"/>
        <w:numPr>
          <w:ilvl w:val="0"/>
          <w:numId w:val="1"/>
        </w:numPr>
        <w:tabs>
          <w:tab w:pos="450" w:val="left" w:leader="none"/>
        </w:tabs>
        <w:spacing w:line="240" w:lineRule="auto" w:before="48" w:after="0"/>
        <w:ind w:left="449" w:right="0" w:hanging="189"/>
        <w:jc w:val="left"/>
        <w:rPr>
          <w:rFonts w:ascii="Symbol" w:hAnsi="Symbol"/>
          <w:sz w:val="19"/>
        </w:rPr>
      </w:pPr>
      <w:r>
        <w:rPr>
          <w:sz w:val="19"/>
        </w:rPr>
        <w:t>LCD</w:t>
      </w:r>
      <w:r>
        <w:rPr>
          <w:spacing w:val="-2"/>
          <w:sz w:val="19"/>
        </w:rPr>
        <w:t> </w:t>
      </w:r>
      <w:r>
        <w:rPr>
          <w:sz w:val="19"/>
        </w:rPr>
        <w:t>Driver:</w:t>
      </w:r>
    </w:p>
    <w:p>
      <w:pPr>
        <w:spacing w:line="288" w:lineRule="auto" w:before="40"/>
        <w:ind w:left="621" w:right="1403" w:firstLine="0"/>
        <w:jc w:val="left"/>
        <w:rPr>
          <w:sz w:val="19"/>
        </w:rPr>
      </w:pPr>
      <w:r>
        <w:rPr>
          <w:sz w:val="19"/>
        </w:rPr>
        <w:t>6 Common Segment Drivers Up to 56 Selectable Pins</w:t>
      </w:r>
    </w:p>
    <w:p>
      <w:pPr>
        <w:pStyle w:val="ListParagraph"/>
        <w:numPr>
          <w:ilvl w:val="0"/>
          <w:numId w:val="1"/>
        </w:numPr>
        <w:tabs>
          <w:tab w:pos="442" w:val="left" w:leader="none"/>
        </w:tabs>
        <w:spacing w:line="240" w:lineRule="auto" w:before="0" w:after="0"/>
        <w:ind w:left="441" w:right="0" w:hanging="181"/>
        <w:jc w:val="left"/>
        <w:rPr>
          <w:rFonts w:ascii="Symbol" w:hAnsi="Symbol"/>
          <w:sz w:val="19"/>
        </w:rPr>
      </w:pPr>
      <w:r>
        <w:rPr>
          <w:sz w:val="19"/>
        </w:rPr>
        <w:t>Up to 51 Multifunction DIO</w:t>
      </w:r>
      <w:r>
        <w:rPr>
          <w:spacing w:val="-2"/>
          <w:sz w:val="19"/>
        </w:rPr>
        <w:t> </w:t>
      </w:r>
      <w:r>
        <w:rPr>
          <w:sz w:val="19"/>
        </w:rPr>
        <w:t>Pins</w:t>
      </w:r>
    </w:p>
    <w:p>
      <w:pPr>
        <w:pStyle w:val="ListParagraph"/>
        <w:numPr>
          <w:ilvl w:val="0"/>
          <w:numId w:val="1"/>
        </w:numPr>
        <w:tabs>
          <w:tab w:pos="442" w:val="left" w:leader="none"/>
        </w:tabs>
        <w:spacing w:line="240" w:lineRule="auto" w:before="48" w:after="0"/>
        <w:ind w:left="441" w:right="0" w:hanging="181"/>
        <w:jc w:val="left"/>
        <w:rPr>
          <w:rFonts w:ascii="Symbol" w:hAnsi="Symbol"/>
          <w:sz w:val="19"/>
        </w:rPr>
      </w:pPr>
      <w:r>
        <w:rPr>
          <w:spacing w:val="-4"/>
          <w:sz w:val="19"/>
        </w:rPr>
        <w:t>Hardware </w:t>
      </w:r>
      <w:r>
        <w:rPr>
          <w:spacing w:val="-3"/>
          <w:sz w:val="19"/>
        </w:rPr>
        <w:t>Watchdog </w:t>
      </w:r>
      <w:r>
        <w:rPr>
          <w:spacing w:val="-4"/>
          <w:sz w:val="19"/>
        </w:rPr>
        <w:t>Timer</w:t>
      </w:r>
      <w:r>
        <w:rPr>
          <w:spacing w:val="-24"/>
          <w:sz w:val="19"/>
        </w:rPr>
        <w:t> </w:t>
      </w:r>
      <w:r>
        <w:rPr>
          <w:spacing w:val="-3"/>
          <w:sz w:val="19"/>
        </w:rPr>
        <w:t>(WDT)</w:t>
      </w:r>
    </w:p>
    <w:p>
      <w:pPr>
        <w:spacing w:after="0" w:line="240" w:lineRule="auto"/>
        <w:jc w:val="left"/>
        <w:rPr>
          <w:rFonts w:ascii="Symbol" w:hAnsi="Symbol"/>
          <w:sz w:val="19"/>
        </w:rPr>
        <w:sectPr>
          <w:type w:val="continuous"/>
          <w:pgSz w:w="12240" w:h="15840"/>
          <w:pgMar w:top="940" w:bottom="280" w:left="820" w:right="860"/>
          <w:cols w:num="2" w:equalWidth="0">
            <w:col w:w="6063" w:space="56"/>
            <w:col w:w="4441"/>
          </w:cols>
        </w:sectPr>
      </w:pPr>
    </w:p>
    <w:p>
      <w:pPr>
        <w:spacing w:before="44"/>
        <w:ind w:left="0" w:right="0" w:firstLine="0"/>
        <w:jc w:val="right"/>
        <w:rPr>
          <w:sz w:val="8"/>
        </w:rPr>
      </w:pPr>
      <w:r>
        <w:rPr>
          <w:w w:val="110"/>
          <w:sz w:val="8"/>
        </w:rPr>
        <w:t>*IN = Neutral Current</w:t>
      </w:r>
    </w:p>
    <w:p>
      <w:pPr>
        <w:pStyle w:val="BodyText"/>
        <w:spacing w:before="8"/>
        <w:rPr>
          <w:sz w:val="5"/>
        </w:rPr>
      </w:pPr>
      <w:r>
        <w:rPr/>
        <w:br w:type="column"/>
      </w:r>
      <w:r>
        <w:rPr>
          <w:sz w:val="5"/>
        </w:rPr>
      </w:r>
    </w:p>
    <w:p>
      <w:pPr>
        <w:spacing w:before="0"/>
        <w:ind w:left="0" w:right="0" w:firstLine="0"/>
        <w:jc w:val="right"/>
        <w:rPr>
          <w:sz w:val="6"/>
        </w:rPr>
      </w:pPr>
      <w:r>
        <w:rPr>
          <w:w w:val="105"/>
          <w:sz w:val="6"/>
        </w:rPr>
        <w:t>9/17/2010</w:t>
      </w:r>
    </w:p>
    <w:p>
      <w:pPr>
        <w:pStyle w:val="ListParagraph"/>
        <w:numPr>
          <w:ilvl w:val="1"/>
          <w:numId w:val="1"/>
        </w:numPr>
        <w:tabs>
          <w:tab w:pos="2220" w:val="left" w:leader="none"/>
        </w:tabs>
        <w:spacing w:line="240" w:lineRule="auto" w:before="46" w:after="0"/>
        <w:ind w:left="2219" w:right="0" w:hanging="181"/>
        <w:jc w:val="left"/>
        <w:rPr>
          <w:rFonts w:ascii="Symbol" w:hAnsi="Symbol"/>
          <w:sz w:val="19"/>
        </w:rPr>
      </w:pPr>
      <w:r>
        <w:rPr>
          <w:spacing w:val="-7"/>
          <w:w w:val="99"/>
          <w:sz w:val="19"/>
        </w:rPr>
        <w:br w:type="column"/>
      </w:r>
      <w:r>
        <w:rPr>
          <w:spacing w:val="-5"/>
          <w:sz w:val="19"/>
        </w:rPr>
        <w:t>I</w:t>
      </w:r>
      <w:r>
        <w:rPr>
          <w:spacing w:val="-5"/>
          <w:sz w:val="19"/>
          <w:vertAlign w:val="superscript"/>
        </w:rPr>
        <w:t>2</w:t>
      </w:r>
      <w:r>
        <w:rPr>
          <w:spacing w:val="-5"/>
          <w:sz w:val="19"/>
          <w:vertAlign w:val="baseline"/>
        </w:rPr>
        <w:t>C/MICROWIRE® </w:t>
      </w:r>
      <w:r>
        <w:rPr>
          <w:spacing w:val="-3"/>
          <w:sz w:val="19"/>
          <w:vertAlign w:val="baseline"/>
        </w:rPr>
        <w:t>EEPROM</w:t>
      </w:r>
      <w:r>
        <w:rPr>
          <w:spacing w:val="-16"/>
          <w:sz w:val="19"/>
          <w:vertAlign w:val="baseline"/>
        </w:rPr>
        <w:t> </w:t>
      </w:r>
      <w:r>
        <w:rPr>
          <w:spacing w:val="-4"/>
          <w:sz w:val="19"/>
          <w:vertAlign w:val="baseline"/>
        </w:rPr>
        <w:t>Interface</w:t>
      </w:r>
    </w:p>
    <w:p>
      <w:pPr>
        <w:spacing w:after="0" w:line="240" w:lineRule="auto"/>
        <w:jc w:val="left"/>
        <w:rPr>
          <w:rFonts w:ascii="Symbol" w:hAnsi="Symbol"/>
          <w:sz w:val="19"/>
        </w:rPr>
        <w:sectPr>
          <w:type w:val="continuous"/>
          <w:pgSz w:w="12240" w:h="15840"/>
          <w:pgMar w:top="940" w:bottom="280" w:left="820" w:right="860"/>
          <w:cols w:num="3" w:equalWidth="0">
            <w:col w:w="3120" w:space="40"/>
            <w:col w:w="1143" w:space="39"/>
            <w:col w:w="6218"/>
          </w:cols>
        </w:sectPr>
      </w:pPr>
    </w:p>
    <w:p>
      <w:pPr>
        <w:spacing w:before="122"/>
        <w:ind w:left="243" w:right="23" w:firstLine="0"/>
        <w:jc w:val="left"/>
        <w:rPr>
          <w:i/>
          <w:sz w:val="15"/>
        </w:rPr>
      </w:pPr>
      <w:r>
        <w:rPr>
          <w:i/>
          <w:sz w:val="15"/>
        </w:rPr>
        <w:t>Single Converter Technology is a registered trademark of Maxim Integrated </w:t>
      </w:r>
      <w:r>
        <w:rPr>
          <w:i/>
          <w:sz w:val="15"/>
        </w:rPr>
        <w:t>Products, Inc.</w:t>
      </w:r>
    </w:p>
    <w:p>
      <w:pPr>
        <w:spacing w:before="3"/>
        <w:ind w:left="243" w:right="0" w:firstLine="0"/>
        <w:jc w:val="left"/>
        <w:rPr>
          <w:i/>
          <w:sz w:val="15"/>
        </w:rPr>
      </w:pPr>
      <w:r>
        <w:rPr>
          <w:i/>
          <w:sz w:val="15"/>
        </w:rPr>
        <w:t>MICROWIRE is a registered trademark of National Semiconductor Corp.</w:t>
      </w:r>
    </w:p>
    <w:p>
      <w:pPr>
        <w:pStyle w:val="ListParagraph"/>
        <w:numPr>
          <w:ilvl w:val="0"/>
          <w:numId w:val="1"/>
        </w:numPr>
        <w:tabs>
          <w:tab w:pos="424" w:val="left" w:leader="none"/>
        </w:tabs>
        <w:spacing w:line="240" w:lineRule="auto" w:before="48" w:after="0"/>
        <w:ind w:left="423" w:right="0" w:hanging="181"/>
        <w:jc w:val="left"/>
        <w:rPr>
          <w:rFonts w:ascii="Symbol" w:hAnsi="Symbol"/>
          <w:sz w:val="19"/>
        </w:rPr>
      </w:pPr>
      <w:r>
        <w:rPr>
          <w:spacing w:val="-4"/>
          <w:w w:val="99"/>
          <w:sz w:val="19"/>
        </w:rPr>
        <w:br w:type="column"/>
      </w:r>
      <w:r>
        <w:rPr>
          <w:spacing w:val="-3"/>
          <w:sz w:val="19"/>
        </w:rPr>
        <w:t>SPI </w:t>
      </w:r>
      <w:r>
        <w:rPr>
          <w:spacing w:val="-4"/>
          <w:sz w:val="19"/>
        </w:rPr>
        <w:t>Interface with Flash Program</w:t>
      </w:r>
      <w:r>
        <w:rPr>
          <w:spacing w:val="-26"/>
          <w:sz w:val="19"/>
        </w:rPr>
        <w:t> </w:t>
      </w:r>
      <w:r>
        <w:rPr>
          <w:spacing w:val="-4"/>
          <w:sz w:val="19"/>
        </w:rPr>
        <w:t>Capability</w:t>
      </w:r>
    </w:p>
    <w:p>
      <w:pPr>
        <w:pStyle w:val="ListParagraph"/>
        <w:numPr>
          <w:ilvl w:val="0"/>
          <w:numId w:val="1"/>
        </w:numPr>
        <w:tabs>
          <w:tab w:pos="424" w:val="left" w:leader="none"/>
        </w:tabs>
        <w:spacing w:line="240" w:lineRule="auto" w:before="48" w:after="0"/>
        <w:ind w:left="423" w:right="0" w:hanging="181"/>
        <w:jc w:val="left"/>
        <w:rPr>
          <w:rFonts w:ascii="Symbol" w:hAnsi="Symbol"/>
          <w:sz w:val="19"/>
        </w:rPr>
      </w:pPr>
      <w:r>
        <w:rPr>
          <w:sz w:val="19"/>
        </w:rPr>
        <w:t>Two UARTs for IR and</w:t>
      </w:r>
      <w:r>
        <w:rPr>
          <w:spacing w:val="-3"/>
          <w:sz w:val="19"/>
        </w:rPr>
        <w:t> </w:t>
      </w:r>
      <w:r>
        <w:rPr>
          <w:sz w:val="19"/>
        </w:rPr>
        <w:t>AMR</w:t>
      </w:r>
    </w:p>
    <w:p>
      <w:pPr>
        <w:pStyle w:val="ListParagraph"/>
        <w:numPr>
          <w:ilvl w:val="0"/>
          <w:numId w:val="1"/>
        </w:numPr>
        <w:tabs>
          <w:tab w:pos="424" w:val="left" w:leader="none"/>
        </w:tabs>
        <w:spacing w:line="240" w:lineRule="auto" w:before="45" w:after="0"/>
        <w:ind w:left="423" w:right="0" w:hanging="181"/>
        <w:jc w:val="left"/>
        <w:rPr>
          <w:rFonts w:ascii="Symbol" w:hAnsi="Symbol"/>
          <w:sz w:val="19"/>
        </w:rPr>
      </w:pPr>
      <w:r>
        <w:rPr>
          <w:sz w:val="19"/>
        </w:rPr>
        <w:t>IR LED Driver with</w:t>
      </w:r>
      <w:r>
        <w:rPr>
          <w:spacing w:val="-9"/>
          <w:sz w:val="19"/>
        </w:rPr>
        <w:t> </w:t>
      </w:r>
      <w:r>
        <w:rPr>
          <w:sz w:val="19"/>
        </w:rPr>
        <w:t>Modulation</w:t>
      </w:r>
    </w:p>
    <w:p>
      <w:pPr>
        <w:pStyle w:val="ListParagraph"/>
        <w:numPr>
          <w:ilvl w:val="0"/>
          <w:numId w:val="1"/>
        </w:numPr>
        <w:tabs>
          <w:tab w:pos="424" w:val="left" w:leader="none"/>
        </w:tabs>
        <w:spacing w:line="240" w:lineRule="auto" w:before="48" w:after="0"/>
        <w:ind w:left="423" w:right="0" w:hanging="181"/>
        <w:jc w:val="left"/>
        <w:rPr>
          <w:rFonts w:ascii="Symbol" w:hAnsi="Symbol"/>
          <w:sz w:val="19"/>
        </w:rPr>
      </w:pPr>
      <w:r>
        <w:rPr>
          <w:sz w:val="19"/>
        </w:rPr>
        <w:t>Industrial Temperature</w:t>
      </w:r>
      <w:r>
        <w:rPr>
          <w:spacing w:val="-7"/>
          <w:sz w:val="19"/>
        </w:rPr>
        <w:t> </w:t>
      </w:r>
      <w:r>
        <w:rPr>
          <w:sz w:val="19"/>
        </w:rPr>
        <w:t>Range</w:t>
      </w:r>
    </w:p>
    <w:p>
      <w:pPr>
        <w:pStyle w:val="ListParagraph"/>
        <w:numPr>
          <w:ilvl w:val="0"/>
          <w:numId w:val="1"/>
        </w:numPr>
        <w:tabs>
          <w:tab w:pos="424" w:val="left" w:leader="none"/>
        </w:tabs>
        <w:spacing w:line="240" w:lineRule="auto" w:before="48" w:after="0"/>
        <w:ind w:left="423" w:right="0" w:hanging="181"/>
        <w:jc w:val="left"/>
        <w:rPr>
          <w:rFonts w:ascii="Symbol" w:hAnsi="Symbol"/>
          <w:sz w:val="19"/>
        </w:rPr>
      </w:pPr>
      <w:r>
        <w:rPr>
          <w:sz w:val="19"/>
        </w:rPr>
        <w:t>100-Pin Lead-Free LQFP</w:t>
      </w:r>
      <w:r>
        <w:rPr>
          <w:spacing w:val="-1"/>
          <w:sz w:val="19"/>
        </w:rPr>
        <w:t> </w:t>
      </w:r>
      <w:r>
        <w:rPr>
          <w:sz w:val="19"/>
        </w:rPr>
        <w:t>Package</w:t>
      </w:r>
    </w:p>
    <w:p>
      <w:pPr>
        <w:spacing w:after="0" w:line="240" w:lineRule="auto"/>
        <w:jc w:val="left"/>
        <w:rPr>
          <w:rFonts w:ascii="Symbol" w:hAnsi="Symbol"/>
          <w:sz w:val="19"/>
        </w:rPr>
        <w:sectPr>
          <w:type w:val="continuous"/>
          <w:pgSz w:w="12240" w:h="15840"/>
          <w:pgMar w:top="940" w:bottom="280" w:left="820" w:right="860"/>
          <w:cols w:num="2" w:equalWidth="0">
            <w:col w:w="5289" w:space="848"/>
            <w:col w:w="4423"/>
          </w:cols>
        </w:sectPr>
      </w:pPr>
    </w:p>
    <w:p>
      <w:pPr>
        <w:pStyle w:val="BodyText"/>
      </w:pPr>
    </w:p>
    <w:p>
      <w:pPr>
        <w:pStyle w:val="BodyText"/>
        <w:spacing w:before="1"/>
        <w:rPr>
          <w:sz w:val="22"/>
        </w:rPr>
      </w:pPr>
    </w:p>
    <w:p>
      <w:pPr>
        <w:pStyle w:val="BodyText"/>
        <w:spacing w:line="20" w:lineRule="exact"/>
        <w:ind w:left="231"/>
        <w:rPr>
          <w:sz w:val="2"/>
        </w:rPr>
      </w:pPr>
      <w:r>
        <w:rPr>
          <w:sz w:val="2"/>
        </w:rPr>
        <w:pict>
          <v:group style="width:510.5pt;height:.5pt;mso-position-horizontal-relative:char;mso-position-vertical-relative:line" coordorigin="0,0" coordsize="10210,10">
            <v:rect style="position:absolute;left:0;top:0;width:10210;height:10" filled="true" fillcolor="#000000" stroked="false">
              <v:fill type="solid"/>
            </v:rect>
          </v:group>
        </w:pict>
      </w:r>
      <w:r>
        <w:rPr>
          <w:sz w:val="2"/>
        </w:rPr>
      </w:r>
    </w:p>
    <w:p>
      <w:pPr>
        <w:spacing w:after="0" w:line="20" w:lineRule="exact"/>
        <w:rPr>
          <w:sz w:val="2"/>
        </w:rPr>
        <w:sectPr>
          <w:type w:val="continuous"/>
          <w:pgSz w:w="12240" w:h="15840"/>
          <w:pgMar w:top="940" w:bottom="280" w:left="820" w:right="860"/>
        </w:sectPr>
      </w:pPr>
    </w:p>
    <w:p>
      <w:pPr>
        <w:spacing w:line="229" w:lineRule="exact" w:before="47"/>
        <w:ind w:left="118" w:right="0" w:firstLine="0"/>
        <w:jc w:val="left"/>
        <w:rPr>
          <w:b/>
          <w:sz w:val="20"/>
        </w:rPr>
      </w:pPr>
      <w:r>
        <w:rPr/>
        <w:pict>
          <v:shape style="position:absolute;margin-left:58.892246pt;margin-top:480.912628pt;width:8.0500pt;height:39.75pt;mso-position-horizontal-relative:page;mso-position-vertical-relative:page;z-index:15730176" type="#_x0000_t202" filled="false" stroked="false">
            <v:textbox inset="0,0,0,0" style="layout-flow:vertical;mso-layout-flow-alt:bottom-to-top">
              <w:txbxContent>
                <w:p>
                  <w:pPr>
                    <w:spacing w:before="24"/>
                    <w:ind w:left="20" w:right="0" w:firstLine="0"/>
                    <w:jc w:val="left"/>
                    <w:rPr>
                      <w:sz w:val="10"/>
                    </w:rPr>
                  </w:pPr>
                  <w:r>
                    <w:rPr>
                      <w:sz w:val="10"/>
                    </w:rPr>
                    <w:t>Resistor Dividers</w:t>
                  </w:r>
                </w:p>
              </w:txbxContent>
            </v:textbox>
            <w10:wrap type="none"/>
          </v:shape>
        </w:pict>
      </w:r>
      <w:r>
        <w:rPr>
          <w:b/>
          <w:color w:val="221E1F"/>
          <w:sz w:val="20"/>
        </w:rPr>
        <w:t>For pricing, delivery, and ordering information, please contact Maxim Direct at</w:t>
      </w:r>
    </w:p>
    <w:p>
      <w:pPr>
        <w:spacing w:line="229" w:lineRule="exact" w:before="0"/>
        <w:ind w:left="118" w:right="0" w:firstLine="0"/>
        <w:jc w:val="left"/>
        <w:rPr>
          <w:b/>
          <w:sz w:val="20"/>
        </w:rPr>
      </w:pPr>
      <w:r>
        <w:rPr>
          <w:b/>
          <w:color w:val="221E1F"/>
          <w:sz w:val="20"/>
        </w:rPr>
        <w:t>1-888-629-4642, or visit Maxim Integrated’s website at </w:t>
      </w:r>
      <w:hyperlink r:id="rId13">
        <w:r>
          <w:rPr>
            <w:b/>
            <w:color w:val="221E1F"/>
            <w:sz w:val="20"/>
          </w:rPr>
          <w:t>www.maximintegrated.com.</w:t>
        </w:r>
      </w:hyperlink>
    </w:p>
    <w:p>
      <w:pPr>
        <w:spacing w:before="47"/>
        <w:ind w:left="118" w:right="0" w:firstLine="0"/>
        <w:jc w:val="left"/>
        <w:rPr>
          <w:i/>
          <w:sz w:val="20"/>
        </w:rPr>
      </w:pPr>
      <w:r>
        <w:rPr/>
        <w:br w:type="column"/>
      </w:r>
      <w:r>
        <w:rPr>
          <w:i/>
          <w:sz w:val="20"/>
        </w:rPr>
        <w:t>19-5375; Rev 2; 10/13</w:t>
      </w:r>
    </w:p>
    <w:p>
      <w:pPr>
        <w:spacing w:after="0"/>
        <w:jc w:val="left"/>
        <w:rPr>
          <w:sz w:val="20"/>
        </w:rPr>
        <w:sectPr>
          <w:type w:val="continuous"/>
          <w:pgSz w:w="12240" w:h="15840"/>
          <w:pgMar w:top="940" w:bottom="280" w:left="820" w:right="860"/>
          <w:cols w:num="2" w:equalWidth="0">
            <w:col w:w="7934" w:space="365"/>
            <w:col w:w="2261"/>
          </w:cols>
        </w:sectPr>
      </w:pPr>
    </w:p>
    <w:p>
      <w:pPr>
        <w:pStyle w:val="BodyText"/>
        <w:rPr>
          <w:i/>
          <w:sz w:val="13"/>
        </w:rPr>
      </w:pPr>
    </w:p>
    <w:p>
      <w:pPr>
        <w:spacing w:before="92"/>
        <w:ind w:left="1317" w:right="1278" w:firstLine="0"/>
        <w:jc w:val="center"/>
        <w:rPr>
          <w:b/>
          <w:sz w:val="28"/>
        </w:rPr>
      </w:pPr>
      <w:r>
        <w:rPr>
          <w:b/>
          <w:sz w:val="28"/>
        </w:rPr>
        <w:t>Table of Contents</w:t>
      </w:r>
    </w:p>
    <w:p>
      <w:pPr>
        <w:pStyle w:val="Heading1"/>
        <w:numPr>
          <w:ilvl w:val="0"/>
          <w:numId w:val="2"/>
        </w:numPr>
        <w:tabs>
          <w:tab w:pos="1071" w:val="left" w:leader="none"/>
          <w:tab w:pos="1072" w:val="left" w:leader="none"/>
          <w:tab w:pos="9967" w:val="right" w:leader="dot"/>
        </w:tabs>
        <w:spacing w:line="240" w:lineRule="auto" w:before="117" w:after="0"/>
        <w:ind w:left="1071" w:right="0" w:hanging="452"/>
        <w:jc w:val="left"/>
      </w:pPr>
      <w:hyperlink w:history="true" w:anchor="_bookmark1">
        <w:r>
          <w:rPr/>
          <w:t>Introduction</w:t>
          <w:tab/>
          <w:t>10</w:t>
        </w:r>
      </w:hyperlink>
    </w:p>
    <w:p>
      <w:pPr>
        <w:pStyle w:val="Heading1"/>
        <w:numPr>
          <w:ilvl w:val="0"/>
          <w:numId w:val="2"/>
        </w:numPr>
        <w:tabs>
          <w:tab w:pos="1071" w:val="left" w:leader="none"/>
          <w:tab w:pos="1072" w:val="left" w:leader="none"/>
          <w:tab w:pos="9967" w:val="right" w:leader="dot"/>
        </w:tabs>
        <w:spacing w:line="240" w:lineRule="auto" w:before="42" w:after="0"/>
        <w:ind w:left="1071" w:right="0" w:hanging="452"/>
        <w:jc w:val="left"/>
      </w:pPr>
      <w:hyperlink w:history="true" w:anchor="_bookmark2">
        <w:r>
          <w:rPr/>
          <w:t>Hardware</w:t>
        </w:r>
        <w:r>
          <w:rPr>
            <w:spacing w:val="-2"/>
          </w:rPr>
          <w:t> </w:t>
        </w:r>
        <w:r>
          <w:rPr/>
          <w:t>Description</w:t>
          <w:tab/>
          <w:t>11</w:t>
        </w:r>
      </w:hyperlink>
    </w:p>
    <w:p>
      <w:pPr>
        <w:pStyle w:val="ListParagraph"/>
        <w:numPr>
          <w:ilvl w:val="1"/>
          <w:numId w:val="2"/>
        </w:numPr>
        <w:tabs>
          <w:tab w:pos="1570" w:val="left" w:leader="none"/>
          <w:tab w:pos="1571" w:val="left" w:leader="none"/>
          <w:tab w:pos="9967" w:val="right" w:leader="dot"/>
        </w:tabs>
        <w:spacing w:line="240" w:lineRule="auto" w:before="41" w:after="0"/>
        <w:ind w:left="1570" w:right="0" w:hanging="505"/>
        <w:jc w:val="left"/>
        <w:rPr>
          <w:sz w:val="20"/>
        </w:rPr>
      </w:pPr>
      <w:hyperlink w:history="true" w:anchor="_bookmark3">
        <w:r>
          <w:rPr>
            <w:sz w:val="20"/>
          </w:rPr>
          <w:t>Hardware</w:t>
        </w:r>
        <w:r>
          <w:rPr>
            <w:spacing w:val="-2"/>
            <w:sz w:val="20"/>
          </w:rPr>
          <w:t> </w:t>
        </w:r>
        <w:r>
          <w:rPr>
            <w:sz w:val="20"/>
          </w:rPr>
          <w:t>Overview</w:t>
          <w:tab/>
          <w:t>11</w:t>
        </w:r>
      </w:hyperlink>
    </w:p>
    <w:p>
      <w:pPr>
        <w:pStyle w:val="ListParagraph"/>
        <w:numPr>
          <w:ilvl w:val="1"/>
          <w:numId w:val="2"/>
        </w:numPr>
        <w:tabs>
          <w:tab w:pos="1570" w:val="left" w:leader="none"/>
          <w:tab w:pos="1571" w:val="left" w:leader="none"/>
          <w:tab w:pos="9967" w:val="right" w:leader="dot"/>
        </w:tabs>
        <w:spacing w:line="240" w:lineRule="auto" w:before="41" w:after="0"/>
        <w:ind w:left="1570" w:right="0" w:hanging="505"/>
        <w:jc w:val="left"/>
        <w:rPr>
          <w:sz w:val="20"/>
        </w:rPr>
      </w:pPr>
      <w:hyperlink w:history="true" w:anchor="_bookmark4">
        <w:r>
          <w:rPr>
            <w:sz w:val="20"/>
          </w:rPr>
          <w:t>Analog</w:t>
        </w:r>
        <w:r>
          <w:rPr>
            <w:spacing w:val="-2"/>
            <w:sz w:val="20"/>
          </w:rPr>
          <w:t> </w:t>
        </w:r>
        <w:r>
          <w:rPr>
            <w:sz w:val="20"/>
          </w:rPr>
          <w:t>Front-End</w:t>
        </w:r>
        <w:r>
          <w:rPr>
            <w:spacing w:val="-1"/>
            <w:sz w:val="20"/>
          </w:rPr>
          <w:t> </w:t>
        </w:r>
        <w:r>
          <w:rPr>
            <w:sz w:val="20"/>
          </w:rPr>
          <w:t>(AFE)</w:t>
          <w:tab/>
          <w:t>12</w:t>
        </w:r>
      </w:hyperlink>
    </w:p>
    <w:p>
      <w:pPr>
        <w:pStyle w:val="ListParagraph"/>
        <w:numPr>
          <w:ilvl w:val="2"/>
          <w:numId w:val="2"/>
        </w:numPr>
        <w:tabs>
          <w:tab w:pos="2240" w:val="left" w:leader="none"/>
          <w:tab w:pos="9967" w:val="right" w:leader="dot"/>
        </w:tabs>
        <w:spacing w:line="240" w:lineRule="auto" w:before="39" w:after="0"/>
        <w:ind w:left="2240" w:right="0" w:hanging="627"/>
        <w:jc w:val="left"/>
        <w:rPr>
          <w:sz w:val="20"/>
        </w:rPr>
      </w:pPr>
      <w:hyperlink w:history="true" w:anchor="_bookmark6">
        <w:r>
          <w:rPr>
            <w:sz w:val="20"/>
          </w:rPr>
          <w:t>Signal</w:t>
        </w:r>
        <w:r>
          <w:rPr>
            <w:spacing w:val="-3"/>
            <w:sz w:val="20"/>
          </w:rPr>
          <w:t> </w:t>
        </w:r>
        <w:r>
          <w:rPr>
            <w:sz w:val="20"/>
          </w:rPr>
          <w:t>Input</w:t>
        </w:r>
        <w:r>
          <w:rPr>
            <w:spacing w:val="1"/>
            <w:sz w:val="20"/>
          </w:rPr>
          <w:t> </w:t>
        </w:r>
        <w:r>
          <w:rPr>
            <w:sz w:val="20"/>
          </w:rPr>
          <w:t>Pins</w:t>
          <w:tab/>
          <w:t>13</w:t>
        </w:r>
      </w:hyperlink>
    </w:p>
    <w:p>
      <w:pPr>
        <w:pStyle w:val="ListParagraph"/>
        <w:numPr>
          <w:ilvl w:val="2"/>
          <w:numId w:val="2"/>
        </w:numPr>
        <w:tabs>
          <w:tab w:pos="2240" w:val="left" w:leader="none"/>
          <w:tab w:pos="9967" w:val="right" w:leader="dot"/>
        </w:tabs>
        <w:spacing w:line="240" w:lineRule="auto" w:before="41" w:after="0"/>
        <w:ind w:left="2240" w:right="0" w:hanging="627"/>
        <w:jc w:val="left"/>
        <w:rPr>
          <w:sz w:val="20"/>
        </w:rPr>
      </w:pPr>
      <w:hyperlink w:history="true" w:anchor="_bookmark8">
        <w:r>
          <w:rPr>
            <w:sz w:val="20"/>
          </w:rPr>
          <w:t>Input Multiplexer</w:t>
          <w:tab/>
          <w:t>14</w:t>
        </w:r>
      </w:hyperlink>
    </w:p>
    <w:p>
      <w:pPr>
        <w:pStyle w:val="ListParagraph"/>
        <w:numPr>
          <w:ilvl w:val="2"/>
          <w:numId w:val="2"/>
        </w:numPr>
        <w:tabs>
          <w:tab w:pos="2240" w:val="left" w:leader="none"/>
          <w:tab w:pos="9967" w:val="right" w:leader="dot"/>
        </w:tabs>
        <w:spacing w:line="240" w:lineRule="auto" w:before="39" w:after="0"/>
        <w:ind w:left="2240" w:right="0" w:hanging="627"/>
        <w:jc w:val="left"/>
        <w:rPr>
          <w:sz w:val="20"/>
        </w:rPr>
      </w:pPr>
      <w:hyperlink w:history="true" w:anchor="_bookmark14">
        <w:r>
          <w:rPr>
            <w:sz w:val="20"/>
          </w:rPr>
          <w:t>Delay</w:t>
        </w:r>
        <w:r>
          <w:rPr>
            <w:spacing w:val="-5"/>
            <w:sz w:val="20"/>
          </w:rPr>
          <w:t> </w:t>
        </w:r>
        <w:r>
          <w:rPr>
            <w:sz w:val="20"/>
          </w:rPr>
          <w:t>Compensation</w:t>
          <w:tab/>
          <w:t>19</w:t>
        </w:r>
      </w:hyperlink>
    </w:p>
    <w:p>
      <w:pPr>
        <w:pStyle w:val="ListParagraph"/>
        <w:numPr>
          <w:ilvl w:val="2"/>
          <w:numId w:val="2"/>
        </w:numPr>
        <w:tabs>
          <w:tab w:pos="2240" w:val="left" w:leader="none"/>
          <w:tab w:pos="9967" w:val="right" w:leader="dot"/>
        </w:tabs>
        <w:spacing w:line="240" w:lineRule="auto" w:before="41" w:after="0"/>
        <w:ind w:left="2240" w:right="0" w:hanging="627"/>
        <w:jc w:val="left"/>
        <w:rPr>
          <w:sz w:val="20"/>
        </w:rPr>
      </w:pPr>
      <w:hyperlink w:history="true" w:anchor="_bookmark15">
        <w:r>
          <w:rPr>
            <w:sz w:val="20"/>
          </w:rPr>
          <w:t>ADC</w:t>
        </w:r>
        <w:r>
          <w:rPr>
            <w:spacing w:val="1"/>
            <w:sz w:val="20"/>
          </w:rPr>
          <w:t> </w:t>
        </w:r>
        <w:r>
          <w:rPr>
            <w:sz w:val="20"/>
          </w:rPr>
          <w:t>Pre-Amplifier</w:t>
          <w:tab/>
          <w:t>20</w:t>
        </w:r>
      </w:hyperlink>
    </w:p>
    <w:p>
      <w:pPr>
        <w:pStyle w:val="ListParagraph"/>
        <w:numPr>
          <w:ilvl w:val="2"/>
          <w:numId w:val="2"/>
        </w:numPr>
        <w:tabs>
          <w:tab w:pos="2240" w:val="left" w:leader="none"/>
          <w:tab w:pos="9967" w:val="right" w:leader="dot"/>
        </w:tabs>
        <w:spacing w:line="240" w:lineRule="auto" w:before="39" w:after="0"/>
        <w:ind w:left="2240" w:right="0" w:hanging="627"/>
        <w:jc w:val="left"/>
        <w:rPr>
          <w:sz w:val="20"/>
        </w:rPr>
      </w:pPr>
      <w:hyperlink w:history="true" w:anchor="_bookmark16">
        <w:r>
          <w:rPr>
            <w:sz w:val="20"/>
          </w:rPr>
          <w:t>A/D</w:t>
        </w:r>
        <w:r>
          <w:rPr>
            <w:spacing w:val="-2"/>
            <w:sz w:val="20"/>
          </w:rPr>
          <w:t> </w:t>
        </w:r>
        <w:r>
          <w:rPr>
            <w:sz w:val="20"/>
          </w:rPr>
          <w:t>Converter (ADC)</w:t>
          <w:tab/>
          <w:t>20</w:t>
        </w:r>
      </w:hyperlink>
    </w:p>
    <w:p>
      <w:pPr>
        <w:pStyle w:val="ListParagraph"/>
        <w:numPr>
          <w:ilvl w:val="2"/>
          <w:numId w:val="2"/>
        </w:numPr>
        <w:tabs>
          <w:tab w:pos="2240" w:val="left" w:leader="none"/>
          <w:tab w:pos="9968" w:val="right" w:leader="dot"/>
        </w:tabs>
        <w:spacing w:line="240" w:lineRule="auto" w:before="41" w:after="0"/>
        <w:ind w:left="2240" w:right="0" w:hanging="627"/>
        <w:jc w:val="left"/>
        <w:rPr>
          <w:sz w:val="20"/>
        </w:rPr>
      </w:pPr>
      <w:hyperlink w:history="true" w:anchor="_bookmark17">
        <w:r>
          <w:rPr>
            <w:sz w:val="20"/>
          </w:rPr>
          <w:t>FIR</w:t>
        </w:r>
        <w:r>
          <w:rPr>
            <w:spacing w:val="-2"/>
            <w:sz w:val="20"/>
          </w:rPr>
          <w:t> </w:t>
        </w:r>
        <w:r>
          <w:rPr>
            <w:sz w:val="20"/>
          </w:rPr>
          <w:t>Filter</w:t>
          <w:tab/>
          <w:t>20</w:t>
        </w:r>
      </w:hyperlink>
    </w:p>
    <w:p>
      <w:pPr>
        <w:pStyle w:val="ListParagraph"/>
        <w:numPr>
          <w:ilvl w:val="2"/>
          <w:numId w:val="2"/>
        </w:numPr>
        <w:tabs>
          <w:tab w:pos="2240" w:val="left" w:leader="none"/>
          <w:tab w:pos="9967" w:val="right" w:leader="dot"/>
        </w:tabs>
        <w:spacing w:line="240" w:lineRule="auto" w:before="39" w:after="0"/>
        <w:ind w:left="2240" w:right="0" w:hanging="627"/>
        <w:jc w:val="left"/>
        <w:rPr>
          <w:sz w:val="20"/>
        </w:rPr>
      </w:pPr>
      <w:hyperlink w:history="true" w:anchor="_bookmark18">
        <w:r>
          <w:rPr>
            <w:sz w:val="20"/>
          </w:rPr>
          <w:t>Voltage</w:t>
        </w:r>
        <w:r>
          <w:rPr>
            <w:spacing w:val="-2"/>
            <w:sz w:val="20"/>
          </w:rPr>
          <w:t> </w:t>
        </w:r>
        <w:r>
          <w:rPr>
            <w:sz w:val="20"/>
          </w:rPr>
          <w:t>References</w:t>
          <w:tab/>
          <w:t>20</w:t>
        </w:r>
      </w:hyperlink>
    </w:p>
    <w:p>
      <w:pPr>
        <w:pStyle w:val="ListParagraph"/>
        <w:numPr>
          <w:ilvl w:val="2"/>
          <w:numId w:val="2"/>
        </w:numPr>
        <w:tabs>
          <w:tab w:pos="2240" w:val="left" w:leader="none"/>
          <w:tab w:pos="9967" w:val="right" w:leader="dot"/>
        </w:tabs>
        <w:spacing w:line="240" w:lineRule="auto" w:before="41" w:after="0"/>
        <w:ind w:left="2240" w:right="0" w:hanging="627"/>
        <w:jc w:val="left"/>
        <w:rPr>
          <w:sz w:val="20"/>
        </w:rPr>
      </w:pPr>
      <w:hyperlink w:history="true" w:anchor="_bookmark21">
        <w:r>
          <w:rPr>
            <w:sz w:val="20"/>
          </w:rPr>
          <w:t>71M6xx3 Isolated</w:t>
        </w:r>
        <w:r>
          <w:rPr>
            <w:spacing w:val="-1"/>
            <w:sz w:val="20"/>
          </w:rPr>
          <w:t> </w:t>
        </w:r>
        <w:r>
          <w:rPr>
            <w:sz w:val="20"/>
          </w:rPr>
          <w:t>Sensor Interface</w:t>
          <w:tab/>
          <w:t>22</w:t>
        </w:r>
      </w:hyperlink>
    </w:p>
    <w:p>
      <w:pPr>
        <w:pStyle w:val="ListParagraph"/>
        <w:numPr>
          <w:ilvl w:val="1"/>
          <w:numId w:val="2"/>
        </w:numPr>
        <w:tabs>
          <w:tab w:pos="1570" w:val="left" w:leader="none"/>
          <w:tab w:pos="1571" w:val="left" w:leader="none"/>
          <w:tab w:pos="9967" w:val="right" w:leader="dot"/>
        </w:tabs>
        <w:spacing w:line="240" w:lineRule="auto" w:before="39" w:after="0"/>
        <w:ind w:left="1570" w:right="0" w:hanging="505"/>
        <w:jc w:val="left"/>
        <w:rPr>
          <w:sz w:val="20"/>
        </w:rPr>
      </w:pPr>
      <w:hyperlink w:history="true" w:anchor="_bookmark26">
        <w:r>
          <w:rPr>
            <w:sz w:val="20"/>
          </w:rPr>
          <w:t>Digital Computation</w:t>
        </w:r>
        <w:r>
          <w:rPr>
            <w:spacing w:val="-2"/>
            <w:sz w:val="20"/>
          </w:rPr>
          <w:t> </w:t>
        </w:r>
        <w:r>
          <w:rPr>
            <w:sz w:val="20"/>
          </w:rPr>
          <w:t>Engine</w:t>
        </w:r>
        <w:r>
          <w:rPr>
            <w:spacing w:val="1"/>
            <w:sz w:val="20"/>
          </w:rPr>
          <w:t> </w:t>
        </w:r>
        <w:r>
          <w:rPr>
            <w:sz w:val="20"/>
          </w:rPr>
          <w:t>(CE)</w:t>
          <w:tab/>
          <w:t>25</w:t>
        </w:r>
      </w:hyperlink>
    </w:p>
    <w:p>
      <w:pPr>
        <w:pStyle w:val="ListParagraph"/>
        <w:numPr>
          <w:ilvl w:val="2"/>
          <w:numId w:val="2"/>
        </w:numPr>
        <w:tabs>
          <w:tab w:pos="2240" w:val="left" w:leader="none"/>
          <w:tab w:pos="9967" w:val="right" w:leader="dot"/>
        </w:tabs>
        <w:spacing w:line="240" w:lineRule="auto" w:before="41" w:after="0"/>
        <w:ind w:left="2240" w:right="0" w:hanging="627"/>
        <w:jc w:val="left"/>
        <w:rPr>
          <w:sz w:val="20"/>
        </w:rPr>
      </w:pPr>
      <w:hyperlink w:history="true" w:anchor="_bookmark27">
        <w:r>
          <w:rPr>
            <w:sz w:val="20"/>
          </w:rPr>
          <w:t>CE Program</w:t>
        </w:r>
        <w:r>
          <w:rPr>
            <w:spacing w:val="3"/>
            <w:sz w:val="20"/>
          </w:rPr>
          <w:t> </w:t>
        </w:r>
        <w:r>
          <w:rPr>
            <w:sz w:val="20"/>
          </w:rPr>
          <w:t>Memory</w:t>
          <w:tab/>
          <w:t>25</w:t>
        </w:r>
      </w:hyperlink>
    </w:p>
    <w:p>
      <w:pPr>
        <w:pStyle w:val="ListParagraph"/>
        <w:numPr>
          <w:ilvl w:val="2"/>
          <w:numId w:val="2"/>
        </w:numPr>
        <w:tabs>
          <w:tab w:pos="2240" w:val="left" w:leader="none"/>
          <w:tab w:pos="9967" w:val="right" w:leader="dot"/>
        </w:tabs>
        <w:spacing w:line="240" w:lineRule="auto" w:before="39" w:after="0"/>
        <w:ind w:left="2240" w:right="0" w:hanging="627"/>
        <w:jc w:val="left"/>
        <w:rPr>
          <w:sz w:val="20"/>
        </w:rPr>
      </w:pPr>
      <w:hyperlink w:history="true" w:anchor="_bookmark28">
        <w:r>
          <w:rPr>
            <w:sz w:val="20"/>
          </w:rPr>
          <w:t>CE</w:t>
        </w:r>
        <w:r>
          <w:rPr>
            <w:spacing w:val="-3"/>
            <w:sz w:val="20"/>
          </w:rPr>
          <w:t> </w:t>
        </w:r>
        <w:r>
          <w:rPr>
            <w:sz w:val="20"/>
          </w:rPr>
          <w:t>Data</w:t>
        </w:r>
        <w:r>
          <w:rPr>
            <w:spacing w:val="1"/>
            <w:sz w:val="20"/>
          </w:rPr>
          <w:t> </w:t>
        </w:r>
        <w:r>
          <w:rPr>
            <w:sz w:val="20"/>
          </w:rPr>
          <w:t>Memory</w:t>
          <w:tab/>
          <w:t>25</w:t>
        </w:r>
      </w:hyperlink>
    </w:p>
    <w:p>
      <w:pPr>
        <w:pStyle w:val="ListParagraph"/>
        <w:numPr>
          <w:ilvl w:val="2"/>
          <w:numId w:val="2"/>
        </w:numPr>
        <w:tabs>
          <w:tab w:pos="2240" w:val="left" w:leader="none"/>
          <w:tab w:pos="9967" w:val="right" w:leader="dot"/>
        </w:tabs>
        <w:spacing w:line="240" w:lineRule="auto" w:before="41" w:after="0"/>
        <w:ind w:left="2240" w:right="0" w:hanging="627"/>
        <w:jc w:val="left"/>
        <w:rPr>
          <w:sz w:val="20"/>
        </w:rPr>
      </w:pPr>
      <w:hyperlink w:history="true" w:anchor="_bookmark29">
        <w:r>
          <w:rPr>
            <w:sz w:val="20"/>
          </w:rPr>
          <w:t>CE Communication with</w:t>
        </w:r>
        <w:r>
          <w:rPr>
            <w:spacing w:val="-1"/>
            <w:sz w:val="20"/>
          </w:rPr>
          <w:t> </w:t>
        </w:r>
        <w:r>
          <w:rPr>
            <w:sz w:val="20"/>
          </w:rPr>
          <w:t>the</w:t>
        </w:r>
        <w:r>
          <w:rPr>
            <w:spacing w:val="-1"/>
            <w:sz w:val="20"/>
          </w:rPr>
          <w:t> </w:t>
        </w:r>
        <w:r>
          <w:rPr>
            <w:sz w:val="20"/>
          </w:rPr>
          <w:t>MPU</w:t>
          <w:tab/>
          <w:t>25</w:t>
        </w:r>
      </w:hyperlink>
    </w:p>
    <w:p>
      <w:pPr>
        <w:pStyle w:val="ListParagraph"/>
        <w:numPr>
          <w:ilvl w:val="2"/>
          <w:numId w:val="2"/>
        </w:numPr>
        <w:tabs>
          <w:tab w:pos="2240" w:val="left" w:leader="none"/>
          <w:tab w:pos="9967" w:val="right" w:leader="dot"/>
        </w:tabs>
        <w:spacing w:line="240" w:lineRule="auto" w:before="39" w:after="0"/>
        <w:ind w:left="2240" w:right="0" w:hanging="627"/>
        <w:jc w:val="left"/>
        <w:rPr>
          <w:sz w:val="20"/>
        </w:rPr>
      </w:pPr>
      <w:hyperlink w:history="true" w:anchor="_bookmark30">
        <w:r>
          <w:rPr>
            <w:sz w:val="20"/>
          </w:rPr>
          <w:t>Meter</w:t>
        </w:r>
        <w:r>
          <w:rPr>
            <w:spacing w:val="1"/>
            <w:sz w:val="20"/>
          </w:rPr>
          <w:t> </w:t>
        </w:r>
        <w:r>
          <w:rPr>
            <w:sz w:val="20"/>
          </w:rPr>
          <w:t>Equations</w:t>
          <w:tab/>
          <w:t>26</w:t>
        </w:r>
      </w:hyperlink>
    </w:p>
    <w:p>
      <w:pPr>
        <w:pStyle w:val="ListParagraph"/>
        <w:numPr>
          <w:ilvl w:val="2"/>
          <w:numId w:val="2"/>
        </w:numPr>
        <w:tabs>
          <w:tab w:pos="2240" w:val="left" w:leader="none"/>
          <w:tab w:pos="9967" w:val="right" w:leader="dot"/>
        </w:tabs>
        <w:spacing w:line="240" w:lineRule="auto" w:before="41" w:after="0"/>
        <w:ind w:left="2240" w:right="0" w:hanging="627"/>
        <w:jc w:val="left"/>
        <w:rPr>
          <w:sz w:val="20"/>
        </w:rPr>
      </w:pPr>
      <w:hyperlink w:history="true" w:anchor="_bookmark32">
        <w:r>
          <w:rPr>
            <w:sz w:val="20"/>
          </w:rPr>
          <w:t>Real-Time</w:t>
        </w:r>
        <w:r>
          <w:rPr>
            <w:spacing w:val="-2"/>
            <w:sz w:val="20"/>
          </w:rPr>
          <w:t> </w:t>
        </w:r>
        <w:r>
          <w:rPr>
            <w:sz w:val="20"/>
          </w:rPr>
          <w:t>Monitor (RTM)</w:t>
          <w:tab/>
          <w:t>26</w:t>
        </w:r>
      </w:hyperlink>
    </w:p>
    <w:p>
      <w:pPr>
        <w:pStyle w:val="ListParagraph"/>
        <w:numPr>
          <w:ilvl w:val="2"/>
          <w:numId w:val="2"/>
        </w:numPr>
        <w:tabs>
          <w:tab w:pos="2240" w:val="left" w:leader="none"/>
          <w:tab w:pos="9967" w:val="right" w:leader="dot"/>
        </w:tabs>
        <w:spacing w:line="240" w:lineRule="auto" w:before="39" w:after="0"/>
        <w:ind w:left="2240" w:right="0" w:hanging="627"/>
        <w:jc w:val="left"/>
        <w:rPr>
          <w:sz w:val="20"/>
        </w:rPr>
      </w:pPr>
      <w:hyperlink w:history="true" w:anchor="_bookmark33">
        <w:r>
          <w:rPr>
            <w:sz w:val="20"/>
          </w:rPr>
          <w:t>Pulse Generators</w:t>
          <w:tab/>
          <w:t>26</w:t>
        </w:r>
      </w:hyperlink>
    </w:p>
    <w:p>
      <w:pPr>
        <w:pStyle w:val="ListParagraph"/>
        <w:numPr>
          <w:ilvl w:val="2"/>
          <w:numId w:val="2"/>
        </w:numPr>
        <w:tabs>
          <w:tab w:pos="2240" w:val="left" w:leader="none"/>
          <w:tab w:pos="9967" w:val="right" w:leader="dot"/>
        </w:tabs>
        <w:spacing w:line="240" w:lineRule="auto" w:before="41" w:after="0"/>
        <w:ind w:left="2240" w:right="0" w:hanging="627"/>
        <w:jc w:val="left"/>
        <w:rPr>
          <w:sz w:val="20"/>
        </w:rPr>
      </w:pPr>
      <w:hyperlink w:history="true" w:anchor="_bookmark37">
        <w:r>
          <w:rPr>
            <w:sz w:val="20"/>
          </w:rPr>
          <w:t>CE</w:t>
        </w:r>
        <w:r>
          <w:rPr>
            <w:spacing w:val="-3"/>
            <w:sz w:val="20"/>
          </w:rPr>
          <w:t> </w:t>
        </w:r>
        <w:r>
          <w:rPr>
            <w:sz w:val="20"/>
          </w:rPr>
          <w:t>Functional Overview</w:t>
          <w:tab/>
          <w:t>28</w:t>
        </w:r>
      </w:hyperlink>
    </w:p>
    <w:p>
      <w:pPr>
        <w:pStyle w:val="BodyText"/>
        <w:tabs>
          <w:tab w:pos="1570" w:val="left" w:leader="none"/>
          <w:tab w:pos="9967" w:val="right" w:leader="dot"/>
        </w:tabs>
        <w:spacing w:before="39"/>
        <w:ind w:left="1066"/>
      </w:pPr>
      <w:hyperlink w:history="true" w:anchor="_bookmark40">
        <w:r>
          <w:rPr/>
          <w:t>2.4</w:t>
          <w:tab/>
          <w:t>80515</w:t>
        </w:r>
        <w:r>
          <w:rPr>
            <w:spacing w:val="-2"/>
          </w:rPr>
          <w:t> </w:t>
        </w:r>
        <w:r>
          <w:rPr/>
          <w:t>MPU</w:t>
        </w:r>
        <w:r>
          <w:rPr>
            <w:spacing w:val="-1"/>
          </w:rPr>
          <w:t> </w:t>
        </w:r>
        <w:r>
          <w:rPr/>
          <w:t>Core</w:t>
          <w:tab/>
          <w:t>30</w:t>
        </w:r>
      </w:hyperlink>
    </w:p>
    <w:p>
      <w:pPr>
        <w:pStyle w:val="ListParagraph"/>
        <w:numPr>
          <w:ilvl w:val="2"/>
          <w:numId w:val="3"/>
        </w:numPr>
        <w:tabs>
          <w:tab w:pos="2240" w:val="left" w:leader="none"/>
          <w:tab w:pos="9967" w:val="right" w:leader="dot"/>
        </w:tabs>
        <w:spacing w:line="240" w:lineRule="auto" w:before="39" w:after="0"/>
        <w:ind w:left="2240" w:right="0" w:hanging="627"/>
        <w:jc w:val="left"/>
        <w:rPr>
          <w:sz w:val="20"/>
        </w:rPr>
      </w:pPr>
      <w:hyperlink w:history="true" w:anchor="_bookmark42">
        <w:r>
          <w:rPr>
            <w:sz w:val="20"/>
          </w:rPr>
          <w:t>Memory Organization</w:t>
        </w:r>
        <w:r>
          <w:rPr>
            <w:spacing w:val="-9"/>
            <w:sz w:val="20"/>
          </w:rPr>
          <w:t> </w:t>
        </w:r>
        <w:r>
          <w:rPr>
            <w:sz w:val="20"/>
          </w:rPr>
          <w:t>and</w:t>
        </w:r>
        <w:r>
          <w:rPr>
            <w:spacing w:val="1"/>
            <w:sz w:val="20"/>
          </w:rPr>
          <w:t> </w:t>
        </w:r>
        <w:r>
          <w:rPr>
            <w:sz w:val="20"/>
          </w:rPr>
          <w:t>Addressing</w:t>
          <w:tab/>
          <w:t>30</w:t>
        </w:r>
      </w:hyperlink>
    </w:p>
    <w:p>
      <w:pPr>
        <w:pStyle w:val="ListParagraph"/>
        <w:numPr>
          <w:ilvl w:val="2"/>
          <w:numId w:val="3"/>
        </w:numPr>
        <w:tabs>
          <w:tab w:pos="2240" w:val="left" w:leader="none"/>
          <w:tab w:pos="9967" w:val="right" w:leader="dot"/>
        </w:tabs>
        <w:spacing w:line="240" w:lineRule="auto" w:before="41" w:after="0"/>
        <w:ind w:left="2240" w:right="0" w:hanging="627"/>
        <w:jc w:val="left"/>
        <w:rPr>
          <w:sz w:val="20"/>
        </w:rPr>
      </w:pPr>
      <w:hyperlink w:history="true" w:anchor="_bookmark47">
        <w:r>
          <w:rPr>
            <w:sz w:val="20"/>
          </w:rPr>
          <w:t>Special Function</w:t>
        </w:r>
        <w:r>
          <w:rPr>
            <w:spacing w:val="-4"/>
            <w:sz w:val="20"/>
          </w:rPr>
          <w:t> </w:t>
        </w:r>
        <w:r>
          <w:rPr>
            <w:sz w:val="20"/>
          </w:rPr>
          <w:t>Registers (SFRs)</w:t>
          <w:tab/>
          <w:t>32</w:t>
        </w:r>
      </w:hyperlink>
    </w:p>
    <w:p>
      <w:pPr>
        <w:pStyle w:val="ListParagraph"/>
        <w:numPr>
          <w:ilvl w:val="2"/>
          <w:numId w:val="3"/>
        </w:numPr>
        <w:tabs>
          <w:tab w:pos="2240" w:val="left" w:leader="none"/>
          <w:tab w:pos="9967" w:val="right" w:leader="dot"/>
        </w:tabs>
        <w:spacing w:line="240" w:lineRule="auto" w:before="39" w:after="0"/>
        <w:ind w:left="2240" w:right="0" w:hanging="627"/>
        <w:jc w:val="left"/>
        <w:rPr>
          <w:sz w:val="20"/>
        </w:rPr>
      </w:pPr>
      <w:hyperlink w:history="true" w:anchor="_bookmark49">
        <w:r>
          <w:rPr>
            <w:sz w:val="20"/>
          </w:rPr>
          <w:t>Generic 80515 Special</w:t>
        </w:r>
        <w:r>
          <w:rPr>
            <w:spacing w:val="-4"/>
            <w:sz w:val="20"/>
          </w:rPr>
          <w:t> </w:t>
        </w:r>
        <w:r>
          <w:rPr>
            <w:sz w:val="20"/>
          </w:rPr>
          <w:t>Function</w:t>
        </w:r>
        <w:r>
          <w:rPr>
            <w:spacing w:val="-2"/>
            <w:sz w:val="20"/>
          </w:rPr>
          <w:t> </w:t>
        </w:r>
        <w:r>
          <w:rPr>
            <w:sz w:val="20"/>
          </w:rPr>
          <w:t>Registers</w:t>
          <w:tab/>
          <w:t>33</w:t>
        </w:r>
      </w:hyperlink>
    </w:p>
    <w:p>
      <w:pPr>
        <w:pStyle w:val="ListParagraph"/>
        <w:numPr>
          <w:ilvl w:val="2"/>
          <w:numId w:val="3"/>
        </w:numPr>
        <w:tabs>
          <w:tab w:pos="2240" w:val="left" w:leader="none"/>
          <w:tab w:pos="9967" w:val="right" w:leader="dot"/>
        </w:tabs>
        <w:spacing w:line="240" w:lineRule="auto" w:before="41" w:after="0"/>
        <w:ind w:left="2240" w:right="0" w:hanging="627"/>
        <w:jc w:val="left"/>
        <w:rPr>
          <w:sz w:val="20"/>
        </w:rPr>
      </w:pPr>
      <w:hyperlink w:history="true" w:anchor="_bookmark60">
        <w:r>
          <w:rPr>
            <w:sz w:val="20"/>
          </w:rPr>
          <w:t>Instruction Set</w:t>
          <w:tab/>
          <w:t>35</w:t>
        </w:r>
      </w:hyperlink>
    </w:p>
    <w:p>
      <w:pPr>
        <w:pStyle w:val="ListParagraph"/>
        <w:numPr>
          <w:ilvl w:val="2"/>
          <w:numId w:val="3"/>
        </w:numPr>
        <w:tabs>
          <w:tab w:pos="2240" w:val="left" w:leader="none"/>
          <w:tab w:pos="9967" w:val="right" w:leader="dot"/>
        </w:tabs>
        <w:spacing w:line="240" w:lineRule="auto" w:before="39" w:after="0"/>
        <w:ind w:left="2240" w:right="0" w:hanging="627"/>
        <w:jc w:val="left"/>
        <w:rPr>
          <w:sz w:val="20"/>
        </w:rPr>
      </w:pPr>
      <w:hyperlink w:history="true" w:anchor="_bookmark61">
        <w:r>
          <w:rPr>
            <w:sz w:val="20"/>
          </w:rPr>
          <w:t>UARTs</w:t>
          <w:tab/>
          <w:t>35</w:t>
        </w:r>
      </w:hyperlink>
    </w:p>
    <w:p>
      <w:pPr>
        <w:pStyle w:val="ListParagraph"/>
        <w:numPr>
          <w:ilvl w:val="2"/>
          <w:numId w:val="3"/>
        </w:numPr>
        <w:tabs>
          <w:tab w:pos="2240" w:val="left" w:leader="none"/>
          <w:tab w:pos="9967" w:val="right" w:leader="dot"/>
        </w:tabs>
        <w:spacing w:line="240" w:lineRule="auto" w:before="41" w:after="0"/>
        <w:ind w:left="2240" w:right="0" w:hanging="627"/>
        <w:jc w:val="left"/>
        <w:rPr>
          <w:sz w:val="20"/>
        </w:rPr>
      </w:pPr>
      <w:hyperlink w:history="true" w:anchor="_bookmark68">
        <w:r>
          <w:rPr>
            <w:sz w:val="20"/>
          </w:rPr>
          <w:t>Timers</w:t>
        </w:r>
        <w:r>
          <w:rPr>
            <w:spacing w:val="-1"/>
            <w:sz w:val="20"/>
          </w:rPr>
          <w:t> </w:t>
        </w:r>
        <w:r>
          <w:rPr>
            <w:sz w:val="20"/>
          </w:rPr>
          <w:t>and</w:t>
        </w:r>
        <w:r>
          <w:rPr>
            <w:spacing w:val="-1"/>
            <w:sz w:val="20"/>
          </w:rPr>
          <w:t> </w:t>
        </w:r>
        <w:r>
          <w:rPr>
            <w:sz w:val="20"/>
          </w:rPr>
          <w:t>Counters</w:t>
          <w:tab/>
          <w:t>38</w:t>
        </w:r>
      </w:hyperlink>
    </w:p>
    <w:p>
      <w:pPr>
        <w:pStyle w:val="ListParagraph"/>
        <w:numPr>
          <w:ilvl w:val="2"/>
          <w:numId w:val="3"/>
        </w:numPr>
        <w:tabs>
          <w:tab w:pos="2240" w:val="left" w:leader="none"/>
          <w:tab w:pos="9967" w:val="right" w:leader="dot"/>
        </w:tabs>
        <w:spacing w:line="240" w:lineRule="auto" w:before="39" w:after="0"/>
        <w:ind w:left="2240" w:right="0" w:hanging="627"/>
        <w:jc w:val="left"/>
        <w:rPr>
          <w:sz w:val="20"/>
        </w:rPr>
      </w:pPr>
      <w:hyperlink w:history="true" w:anchor="_bookmark74">
        <w:r>
          <w:rPr>
            <w:spacing w:val="3"/>
            <w:sz w:val="20"/>
          </w:rPr>
          <w:t>WD </w:t>
        </w:r>
        <w:r>
          <w:rPr>
            <w:sz w:val="20"/>
          </w:rPr>
          <w:t>Timer (Software</w:t>
        </w:r>
        <w:r>
          <w:rPr>
            <w:spacing w:val="-13"/>
            <w:sz w:val="20"/>
          </w:rPr>
          <w:t> </w:t>
        </w:r>
        <w:r>
          <w:rPr>
            <w:sz w:val="20"/>
          </w:rPr>
          <w:t>Watchdog</w:t>
        </w:r>
        <w:r>
          <w:rPr>
            <w:spacing w:val="-1"/>
            <w:sz w:val="20"/>
          </w:rPr>
          <w:t> </w:t>
        </w:r>
        <w:r>
          <w:rPr>
            <w:sz w:val="20"/>
          </w:rPr>
          <w:t>Timer)</w:t>
          <w:tab/>
          <w:t>39</w:t>
        </w:r>
      </w:hyperlink>
    </w:p>
    <w:p>
      <w:pPr>
        <w:pStyle w:val="ListParagraph"/>
        <w:numPr>
          <w:ilvl w:val="2"/>
          <w:numId w:val="3"/>
        </w:numPr>
        <w:tabs>
          <w:tab w:pos="2240" w:val="left" w:leader="none"/>
          <w:tab w:pos="9967" w:val="right" w:leader="dot"/>
        </w:tabs>
        <w:spacing w:line="240" w:lineRule="auto" w:before="41" w:after="0"/>
        <w:ind w:left="2240" w:right="0" w:hanging="627"/>
        <w:jc w:val="left"/>
        <w:rPr>
          <w:sz w:val="20"/>
        </w:rPr>
      </w:pPr>
      <w:hyperlink w:history="true" w:anchor="_bookmark75">
        <w:r>
          <w:rPr>
            <w:sz w:val="20"/>
          </w:rPr>
          <w:t>Interrupts</w:t>
          <w:tab/>
          <w:t>39</w:t>
        </w:r>
      </w:hyperlink>
    </w:p>
    <w:p>
      <w:pPr>
        <w:pStyle w:val="ListParagraph"/>
        <w:numPr>
          <w:ilvl w:val="1"/>
          <w:numId w:val="4"/>
        </w:numPr>
        <w:tabs>
          <w:tab w:pos="1570" w:val="left" w:leader="none"/>
          <w:tab w:pos="1571" w:val="left" w:leader="none"/>
          <w:tab w:pos="9967" w:val="right" w:leader="dot"/>
        </w:tabs>
        <w:spacing w:line="240" w:lineRule="auto" w:before="39" w:after="0"/>
        <w:ind w:left="1570" w:right="0" w:hanging="505"/>
        <w:jc w:val="left"/>
        <w:rPr>
          <w:sz w:val="20"/>
        </w:rPr>
      </w:pPr>
      <w:hyperlink w:history="true" w:anchor="_bookmark93">
        <w:r>
          <w:rPr>
            <w:sz w:val="20"/>
          </w:rPr>
          <w:t>On-Chip Resources</w:t>
          <w:tab/>
          <w:t>46</w:t>
        </w:r>
      </w:hyperlink>
    </w:p>
    <w:p>
      <w:pPr>
        <w:pStyle w:val="ListParagraph"/>
        <w:numPr>
          <w:ilvl w:val="2"/>
          <w:numId w:val="4"/>
        </w:numPr>
        <w:tabs>
          <w:tab w:pos="2240" w:val="left" w:leader="none"/>
          <w:tab w:pos="9967" w:val="right" w:leader="dot"/>
        </w:tabs>
        <w:spacing w:line="240" w:lineRule="auto" w:before="41" w:after="0"/>
        <w:ind w:left="2240" w:right="0" w:hanging="627"/>
        <w:jc w:val="left"/>
        <w:rPr>
          <w:sz w:val="20"/>
        </w:rPr>
      </w:pPr>
      <w:hyperlink w:history="true" w:anchor="_bookmark94">
        <w:r>
          <w:rPr>
            <w:sz w:val="20"/>
          </w:rPr>
          <w:t>Physical</w:t>
        </w:r>
        <w:r>
          <w:rPr>
            <w:spacing w:val="-1"/>
            <w:sz w:val="20"/>
          </w:rPr>
          <w:t> </w:t>
        </w:r>
        <w:r>
          <w:rPr>
            <w:sz w:val="20"/>
          </w:rPr>
          <w:t>Memory</w:t>
          <w:tab/>
          <w:t>46</w:t>
        </w:r>
      </w:hyperlink>
    </w:p>
    <w:p>
      <w:pPr>
        <w:pStyle w:val="ListParagraph"/>
        <w:numPr>
          <w:ilvl w:val="2"/>
          <w:numId w:val="4"/>
        </w:numPr>
        <w:tabs>
          <w:tab w:pos="2240" w:val="left" w:leader="none"/>
          <w:tab w:pos="9968" w:val="right" w:leader="dot"/>
        </w:tabs>
        <w:spacing w:line="240" w:lineRule="auto" w:before="39" w:after="0"/>
        <w:ind w:left="2240" w:right="0" w:hanging="627"/>
        <w:jc w:val="left"/>
        <w:rPr>
          <w:sz w:val="20"/>
        </w:rPr>
      </w:pPr>
      <w:hyperlink w:history="true" w:anchor="_bookmark99">
        <w:r>
          <w:rPr>
            <w:sz w:val="20"/>
          </w:rPr>
          <w:t>Oscillator</w:t>
          <w:tab/>
          <w:t>48</w:t>
        </w:r>
      </w:hyperlink>
    </w:p>
    <w:p>
      <w:pPr>
        <w:pStyle w:val="ListParagraph"/>
        <w:numPr>
          <w:ilvl w:val="2"/>
          <w:numId w:val="4"/>
        </w:numPr>
        <w:tabs>
          <w:tab w:pos="2240" w:val="left" w:leader="none"/>
          <w:tab w:pos="9967" w:val="right" w:leader="dot"/>
        </w:tabs>
        <w:spacing w:line="240" w:lineRule="auto" w:before="41" w:after="0"/>
        <w:ind w:left="2240" w:right="0" w:hanging="627"/>
        <w:jc w:val="left"/>
        <w:rPr>
          <w:sz w:val="20"/>
        </w:rPr>
      </w:pPr>
      <w:hyperlink w:history="true" w:anchor="_bookmark100">
        <w:r>
          <w:rPr>
            <w:sz w:val="20"/>
          </w:rPr>
          <w:t>PLL and</w:t>
        </w:r>
        <w:r>
          <w:rPr>
            <w:spacing w:val="1"/>
            <w:sz w:val="20"/>
          </w:rPr>
          <w:t> </w:t>
        </w:r>
        <w:r>
          <w:rPr>
            <w:sz w:val="20"/>
          </w:rPr>
          <w:t>Internal</w:t>
        </w:r>
        <w:r>
          <w:rPr>
            <w:spacing w:val="-2"/>
            <w:sz w:val="20"/>
          </w:rPr>
          <w:t> </w:t>
        </w:r>
        <w:r>
          <w:rPr>
            <w:sz w:val="20"/>
          </w:rPr>
          <w:t>Clocks</w:t>
          <w:tab/>
          <w:t>49</w:t>
        </w:r>
      </w:hyperlink>
    </w:p>
    <w:p>
      <w:pPr>
        <w:pStyle w:val="ListParagraph"/>
        <w:numPr>
          <w:ilvl w:val="2"/>
          <w:numId w:val="4"/>
        </w:numPr>
        <w:tabs>
          <w:tab w:pos="2240" w:val="left" w:leader="none"/>
          <w:tab w:pos="9967" w:val="right" w:leader="dot"/>
        </w:tabs>
        <w:spacing w:line="240" w:lineRule="auto" w:before="39" w:after="0"/>
        <w:ind w:left="2240" w:right="0" w:hanging="627"/>
        <w:jc w:val="left"/>
        <w:rPr>
          <w:sz w:val="20"/>
        </w:rPr>
      </w:pPr>
      <w:hyperlink w:history="true" w:anchor="_bookmark102">
        <w:r>
          <w:rPr>
            <w:sz w:val="20"/>
          </w:rPr>
          <w:t>Real-Time</w:t>
        </w:r>
        <w:r>
          <w:rPr>
            <w:spacing w:val="-2"/>
            <w:sz w:val="20"/>
          </w:rPr>
          <w:t> </w:t>
        </w:r>
        <w:r>
          <w:rPr>
            <w:sz w:val="20"/>
          </w:rPr>
          <w:t>Clock</w:t>
        </w:r>
        <w:r>
          <w:rPr>
            <w:spacing w:val="3"/>
            <w:sz w:val="20"/>
          </w:rPr>
          <w:t> </w:t>
        </w:r>
        <w:r>
          <w:rPr>
            <w:sz w:val="20"/>
          </w:rPr>
          <w:t>(RTC)</w:t>
          <w:tab/>
          <w:t>49</w:t>
        </w:r>
      </w:hyperlink>
    </w:p>
    <w:p>
      <w:pPr>
        <w:pStyle w:val="ListParagraph"/>
        <w:numPr>
          <w:ilvl w:val="2"/>
          <w:numId w:val="4"/>
        </w:numPr>
        <w:tabs>
          <w:tab w:pos="2240" w:val="left" w:leader="none"/>
          <w:tab w:pos="9967" w:val="right" w:leader="dot"/>
        </w:tabs>
        <w:spacing w:line="240" w:lineRule="auto" w:before="42" w:after="0"/>
        <w:ind w:left="2240" w:right="0" w:hanging="627"/>
        <w:jc w:val="left"/>
        <w:rPr>
          <w:sz w:val="20"/>
        </w:rPr>
      </w:pPr>
      <w:hyperlink w:history="true" w:anchor="_bookmark109">
        <w:r>
          <w:rPr>
            <w:sz w:val="20"/>
          </w:rPr>
          <w:t>71M6543</w:t>
        </w:r>
        <w:r>
          <w:rPr>
            <w:spacing w:val="-2"/>
            <w:sz w:val="20"/>
          </w:rPr>
          <w:t> </w:t>
        </w:r>
        <w:r>
          <w:rPr>
            <w:sz w:val="20"/>
          </w:rPr>
          <w:t>Temperature</w:t>
        </w:r>
        <w:r>
          <w:rPr>
            <w:spacing w:val="1"/>
            <w:sz w:val="20"/>
          </w:rPr>
          <w:t> </w:t>
        </w:r>
        <w:r>
          <w:rPr>
            <w:sz w:val="20"/>
          </w:rPr>
          <w:t>Sensor</w:t>
          <w:tab/>
          <w:t>53</w:t>
        </w:r>
      </w:hyperlink>
    </w:p>
    <w:p>
      <w:pPr>
        <w:pStyle w:val="ListParagraph"/>
        <w:numPr>
          <w:ilvl w:val="2"/>
          <w:numId w:val="4"/>
        </w:numPr>
        <w:tabs>
          <w:tab w:pos="2240" w:val="left" w:leader="none"/>
          <w:tab w:pos="9967" w:val="right" w:leader="dot"/>
        </w:tabs>
        <w:spacing w:line="240" w:lineRule="auto" w:before="38" w:after="0"/>
        <w:ind w:left="2240" w:right="0" w:hanging="627"/>
        <w:jc w:val="left"/>
        <w:rPr>
          <w:sz w:val="20"/>
        </w:rPr>
      </w:pPr>
      <w:hyperlink w:history="true" w:anchor="_bookmark111">
        <w:r>
          <w:rPr>
            <w:sz w:val="20"/>
          </w:rPr>
          <w:t>71M6xx3</w:t>
        </w:r>
        <w:r>
          <w:rPr>
            <w:spacing w:val="-2"/>
            <w:sz w:val="20"/>
          </w:rPr>
          <w:t> </w:t>
        </w:r>
        <w:r>
          <w:rPr>
            <w:sz w:val="20"/>
          </w:rPr>
          <w:t>Temperature</w:t>
        </w:r>
        <w:r>
          <w:rPr>
            <w:spacing w:val="-1"/>
            <w:sz w:val="20"/>
          </w:rPr>
          <w:t> </w:t>
        </w:r>
        <w:r>
          <w:rPr>
            <w:sz w:val="20"/>
          </w:rPr>
          <w:t>Sensor</w:t>
          <w:tab/>
          <w:t>56</w:t>
        </w:r>
      </w:hyperlink>
    </w:p>
    <w:p>
      <w:pPr>
        <w:pStyle w:val="ListParagraph"/>
        <w:numPr>
          <w:ilvl w:val="2"/>
          <w:numId w:val="4"/>
        </w:numPr>
        <w:tabs>
          <w:tab w:pos="2240" w:val="left" w:leader="none"/>
          <w:tab w:pos="9967" w:val="right" w:leader="dot"/>
        </w:tabs>
        <w:spacing w:line="240" w:lineRule="auto" w:before="42" w:after="0"/>
        <w:ind w:left="2240" w:right="0" w:hanging="627"/>
        <w:jc w:val="left"/>
        <w:rPr>
          <w:sz w:val="20"/>
        </w:rPr>
      </w:pPr>
      <w:hyperlink w:history="true" w:anchor="_bookmark112">
        <w:r>
          <w:rPr>
            <w:sz w:val="20"/>
          </w:rPr>
          <w:t>71M6543</w:t>
        </w:r>
        <w:r>
          <w:rPr>
            <w:spacing w:val="-2"/>
            <w:sz w:val="20"/>
          </w:rPr>
          <w:t> </w:t>
        </w:r>
        <w:r>
          <w:rPr>
            <w:sz w:val="20"/>
          </w:rPr>
          <w:t>Battery</w:t>
        </w:r>
        <w:r>
          <w:rPr>
            <w:spacing w:val="-4"/>
            <w:sz w:val="20"/>
          </w:rPr>
          <w:t> </w:t>
        </w:r>
        <w:r>
          <w:rPr>
            <w:sz w:val="20"/>
          </w:rPr>
          <w:t>Monitor</w:t>
          <w:tab/>
          <w:t>56</w:t>
        </w:r>
      </w:hyperlink>
    </w:p>
    <w:p>
      <w:pPr>
        <w:pStyle w:val="ListParagraph"/>
        <w:numPr>
          <w:ilvl w:val="2"/>
          <w:numId w:val="4"/>
        </w:numPr>
        <w:tabs>
          <w:tab w:pos="2240" w:val="left" w:leader="none"/>
          <w:tab w:pos="9967" w:val="right" w:leader="dot"/>
        </w:tabs>
        <w:spacing w:line="240" w:lineRule="auto" w:before="38" w:after="0"/>
        <w:ind w:left="2240" w:right="0" w:hanging="627"/>
        <w:jc w:val="left"/>
        <w:rPr>
          <w:sz w:val="20"/>
        </w:rPr>
      </w:pPr>
      <w:hyperlink w:history="true" w:anchor="_bookmark113">
        <w:r>
          <w:rPr>
            <w:sz w:val="20"/>
          </w:rPr>
          <w:t>71M6xx3 VCC</w:t>
        </w:r>
        <w:r>
          <w:rPr>
            <w:spacing w:val="2"/>
            <w:sz w:val="20"/>
          </w:rPr>
          <w:t> </w:t>
        </w:r>
        <w:r>
          <w:rPr>
            <w:sz w:val="20"/>
          </w:rPr>
          <w:t>Monitor</w:t>
          <w:tab/>
          <w:t>56</w:t>
        </w:r>
      </w:hyperlink>
    </w:p>
    <w:p>
      <w:pPr>
        <w:pStyle w:val="ListParagraph"/>
        <w:numPr>
          <w:ilvl w:val="2"/>
          <w:numId w:val="4"/>
        </w:numPr>
        <w:tabs>
          <w:tab w:pos="2240" w:val="left" w:leader="none"/>
          <w:tab w:pos="9967" w:val="right" w:leader="dot"/>
        </w:tabs>
        <w:spacing w:line="240" w:lineRule="auto" w:before="42" w:after="0"/>
        <w:ind w:left="2240" w:right="0" w:hanging="627"/>
        <w:jc w:val="left"/>
        <w:rPr>
          <w:sz w:val="20"/>
        </w:rPr>
      </w:pPr>
      <w:hyperlink w:history="true" w:anchor="_bookmark114">
        <w:r>
          <w:rPr>
            <w:sz w:val="20"/>
          </w:rPr>
          <w:t>UART and Optical</w:t>
        </w:r>
        <w:r>
          <w:rPr>
            <w:spacing w:val="-2"/>
            <w:sz w:val="20"/>
          </w:rPr>
          <w:t> </w:t>
        </w:r>
        <w:r>
          <w:rPr>
            <w:sz w:val="20"/>
          </w:rPr>
          <w:t>Interface</w:t>
          <w:tab/>
          <w:t>56</w:t>
        </w:r>
      </w:hyperlink>
    </w:p>
    <w:p>
      <w:pPr>
        <w:pStyle w:val="ListParagraph"/>
        <w:numPr>
          <w:ilvl w:val="2"/>
          <w:numId w:val="4"/>
        </w:numPr>
        <w:tabs>
          <w:tab w:pos="2240" w:val="left" w:leader="none"/>
          <w:tab w:pos="9967" w:val="right" w:leader="dot"/>
        </w:tabs>
        <w:spacing w:line="240" w:lineRule="auto" w:before="38" w:after="0"/>
        <w:ind w:left="2240" w:right="0" w:hanging="627"/>
        <w:jc w:val="left"/>
        <w:rPr>
          <w:sz w:val="20"/>
        </w:rPr>
      </w:pPr>
      <w:hyperlink w:history="true" w:anchor="_bookmark117">
        <w:r>
          <w:rPr>
            <w:sz w:val="20"/>
          </w:rPr>
          <w:t>Digital I/O and LCD</w:t>
        </w:r>
        <w:r>
          <w:rPr>
            <w:spacing w:val="-1"/>
            <w:sz w:val="20"/>
          </w:rPr>
          <w:t> </w:t>
        </w:r>
        <w:r>
          <w:rPr>
            <w:sz w:val="20"/>
          </w:rPr>
          <w:t>Segment</w:t>
        </w:r>
        <w:r>
          <w:rPr>
            <w:spacing w:val="-1"/>
            <w:sz w:val="20"/>
          </w:rPr>
          <w:t> </w:t>
        </w:r>
        <w:r>
          <w:rPr>
            <w:sz w:val="20"/>
          </w:rPr>
          <w:t>Drivers</w:t>
          <w:tab/>
          <w:t>57</w:t>
        </w:r>
      </w:hyperlink>
    </w:p>
    <w:p>
      <w:pPr>
        <w:pStyle w:val="ListParagraph"/>
        <w:numPr>
          <w:ilvl w:val="2"/>
          <w:numId w:val="4"/>
        </w:numPr>
        <w:tabs>
          <w:tab w:pos="2240" w:val="left" w:leader="none"/>
          <w:tab w:pos="9967" w:val="right" w:leader="dot"/>
        </w:tabs>
        <w:spacing w:line="240" w:lineRule="auto" w:before="42" w:after="0"/>
        <w:ind w:left="2240" w:right="0" w:hanging="627"/>
        <w:jc w:val="left"/>
        <w:rPr>
          <w:sz w:val="20"/>
        </w:rPr>
      </w:pPr>
      <w:hyperlink w:history="true" w:anchor="_bookmark130">
        <w:r>
          <w:rPr>
            <w:sz w:val="20"/>
          </w:rPr>
          <w:t>EEPROM Interface</w:t>
          <w:tab/>
          <w:t>65</w:t>
        </w:r>
      </w:hyperlink>
    </w:p>
    <w:p>
      <w:pPr>
        <w:pStyle w:val="ListParagraph"/>
        <w:numPr>
          <w:ilvl w:val="2"/>
          <w:numId w:val="4"/>
        </w:numPr>
        <w:tabs>
          <w:tab w:pos="2240" w:val="left" w:leader="none"/>
          <w:tab w:pos="9967" w:val="right" w:leader="dot"/>
        </w:tabs>
        <w:spacing w:line="240" w:lineRule="auto" w:before="38" w:after="0"/>
        <w:ind w:left="2240" w:right="0" w:hanging="627"/>
        <w:jc w:val="left"/>
        <w:rPr>
          <w:sz w:val="20"/>
        </w:rPr>
      </w:pPr>
      <w:hyperlink w:history="true" w:anchor="_bookmark138">
        <w:r>
          <w:rPr>
            <w:sz w:val="20"/>
          </w:rPr>
          <w:t>SPI Slave</w:t>
        </w:r>
        <w:r>
          <w:rPr>
            <w:spacing w:val="1"/>
            <w:sz w:val="20"/>
          </w:rPr>
          <w:t> </w:t>
        </w:r>
        <w:r>
          <w:rPr>
            <w:sz w:val="20"/>
          </w:rPr>
          <w:t>Port</w:t>
          <w:tab/>
          <w:t>67</w:t>
        </w:r>
      </w:hyperlink>
    </w:p>
    <w:p>
      <w:pPr>
        <w:pStyle w:val="ListParagraph"/>
        <w:numPr>
          <w:ilvl w:val="2"/>
          <w:numId w:val="4"/>
        </w:numPr>
        <w:tabs>
          <w:tab w:pos="2240" w:val="left" w:leader="none"/>
          <w:tab w:pos="9967" w:val="right" w:leader="dot"/>
        </w:tabs>
        <w:spacing w:line="240" w:lineRule="auto" w:before="42" w:after="0"/>
        <w:ind w:left="2240" w:right="0" w:hanging="627"/>
        <w:jc w:val="left"/>
        <w:rPr>
          <w:sz w:val="20"/>
        </w:rPr>
      </w:pPr>
      <w:hyperlink w:history="true" w:anchor="_bookmark144">
        <w:r>
          <w:rPr>
            <w:sz w:val="20"/>
          </w:rPr>
          <w:t>Hardware</w:t>
        </w:r>
        <w:r>
          <w:rPr>
            <w:spacing w:val="-5"/>
            <w:sz w:val="20"/>
          </w:rPr>
          <w:t> </w:t>
        </w:r>
        <w:r>
          <w:rPr>
            <w:sz w:val="20"/>
          </w:rPr>
          <w:t>Watchdog</w:t>
        </w:r>
        <w:r>
          <w:rPr>
            <w:spacing w:val="-1"/>
            <w:sz w:val="20"/>
          </w:rPr>
          <w:t> </w:t>
        </w:r>
        <w:r>
          <w:rPr>
            <w:sz w:val="20"/>
          </w:rPr>
          <w:t>Timer</w:t>
          <w:tab/>
          <w:t>71</w:t>
        </w:r>
      </w:hyperlink>
    </w:p>
    <w:p>
      <w:pPr>
        <w:pStyle w:val="ListParagraph"/>
        <w:numPr>
          <w:ilvl w:val="2"/>
          <w:numId w:val="4"/>
        </w:numPr>
        <w:tabs>
          <w:tab w:pos="2240" w:val="left" w:leader="none"/>
          <w:tab w:pos="9967" w:val="right" w:leader="dot"/>
        </w:tabs>
        <w:spacing w:line="240" w:lineRule="auto" w:before="38" w:after="0"/>
        <w:ind w:left="2240" w:right="0" w:hanging="627"/>
        <w:jc w:val="left"/>
        <w:rPr>
          <w:sz w:val="20"/>
        </w:rPr>
      </w:pPr>
      <w:hyperlink w:history="true" w:anchor="_bookmark145">
        <w:r>
          <w:rPr>
            <w:sz w:val="20"/>
          </w:rPr>
          <w:t>Test Ports (TMUXOUT and</w:t>
        </w:r>
        <w:r>
          <w:rPr>
            <w:spacing w:val="-2"/>
            <w:sz w:val="20"/>
          </w:rPr>
          <w:t> </w:t>
        </w:r>
        <w:r>
          <w:rPr>
            <w:sz w:val="20"/>
          </w:rPr>
          <w:t>TMUX2OUT</w:t>
        </w:r>
        <w:r>
          <w:rPr>
            <w:spacing w:val="2"/>
            <w:sz w:val="20"/>
          </w:rPr>
          <w:t> </w:t>
        </w:r>
        <w:r>
          <w:rPr>
            <w:sz w:val="20"/>
          </w:rPr>
          <w:t>Pins)</w:t>
          <w:tab/>
          <w:t>72</w:t>
        </w:r>
      </w:hyperlink>
    </w:p>
    <w:p>
      <w:pPr>
        <w:pStyle w:val="Heading1"/>
        <w:numPr>
          <w:ilvl w:val="0"/>
          <w:numId w:val="2"/>
        </w:numPr>
        <w:tabs>
          <w:tab w:pos="1071" w:val="left" w:leader="none"/>
          <w:tab w:pos="1072" w:val="left" w:leader="none"/>
          <w:tab w:pos="9967" w:val="right" w:leader="dot"/>
        </w:tabs>
        <w:spacing w:line="240" w:lineRule="auto" w:before="39" w:after="0"/>
        <w:ind w:left="1071" w:right="0" w:hanging="452"/>
        <w:jc w:val="left"/>
      </w:pPr>
      <w:hyperlink w:history="true" w:anchor="_bookmark148">
        <w:r>
          <w:rPr/>
          <w:t>Functional</w:t>
        </w:r>
        <w:r>
          <w:rPr>
            <w:spacing w:val="-2"/>
          </w:rPr>
          <w:t> </w:t>
        </w:r>
        <w:r>
          <w:rPr/>
          <w:t>Description</w:t>
          <w:tab/>
          <w:t>74</w:t>
        </w:r>
      </w:hyperlink>
    </w:p>
    <w:p>
      <w:pPr>
        <w:pStyle w:val="ListParagraph"/>
        <w:numPr>
          <w:ilvl w:val="1"/>
          <w:numId w:val="2"/>
        </w:numPr>
        <w:tabs>
          <w:tab w:pos="1570" w:val="left" w:leader="none"/>
          <w:tab w:pos="1571" w:val="left" w:leader="none"/>
          <w:tab w:pos="9967" w:val="right" w:leader="dot"/>
        </w:tabs>
        <w:spacing w:line="240" w:lineRule="auto" w:before="42" w:after="0"/>
        <w:ind w:left="1570" w:right="0" w:hanging="505"/>
        <w:jc w:val="left"/>
        <w:rPr>
          <w:sz w:val="20"/>
        </w:rPr>
      </w:pPr>
      <w:hyperlink w:history="true" w:anchor="_bookmark149">
        <w:r>
          <w:rPr>
            <w:sz w:val="20"/>
          </w:rPr>
          <w:t>Theory</w:t>
        </w:r>
        <w:r>
          <w:rPr>
            <w:spacing w:val="-5"/>
            <w:sz w:val="20"/>
          </w:rPr>
          <w:t> </w:t>
        </w:r>
        <w:r>
          <w:rPr>
            <w:sz w:val="20"/>
          </w:rPr>
          <w:t>of</w:t>
        </w:r>
        <w:r>
          <w:rPr>
            <w:spacing w:val="1"/>
            <w:sz w:val="20"/>
          </w:rPr>
          <w:t> </w:t>
        </w:r>
        <w:r>
          <w:rPr>
            <w:sz w:val="20"/>
          </w:rPr>
          <w:t>Operation</w:t>
          <w:tab/>
          <w:t>74</w:t>
        </w:r>
      </w:hyperlink>
    </w:p>
    <w:p>
      <w:pPr>
        <w:pStyle w:val="ListParagraph"/>
        <w:numPr>
          <w:ilvl w:val="1"/>
          <w:numId w:val="2"/>
        </w:numPr>
        <w:tabs>
          <w:tab w:pos="1570" w:val="left" w:leader="none"/>
          <w:tab w:pos="1571" w:val="left" w:leader="none"/>
          <w:tab w:pos="9967" w:val="right" w:leader="dot"/>
        </w:tabs>
        <w:spacing w:line="240" w:lineRule="auto" w:before="41" w:after="0"/>
        <w:ind w:left="1570" w:right="0" w:hanging="505"/>
        <w:jc w:val="left"/>
        <w:rPr>
          <w:sz w:val="20"/>
        </w:rPr>
      </w:pPr>
      <w:hyperlink w:history="true" w:anchor="_bookmark151">
        <w:r>
          <w:rPr>
            <w:sz w:val="20"/>
          </w:rPr>
          <w:t>Battery</w:t>
        </w:r>
        <w:r>
          <w:rPr>
            <w:spacing w:val="-3"/>
            <w:sz w:val="20"/>
          </w:rPr>
          <w:t> </w:t>
        </w:r>
        <w:r>
          <w:rPr>
            <w:sz w:val="20"/>
          </w:rPr>
          <w:t>Modes</w:t>
          <w:tab/>
          <w:t>74</w:t>
        </w:r>
      </w:hyperlink>
    </w:p>
    <w:p>
      <w:pPr>
        <w:pStyle w:val="ListParagraph"/>
        <w:numPr>
          <w:ilvl w:val="2"/>
          <w:numId w:val="2"/>
        </w:numPr>
        <w:tabs>
          <w:tab w:pos="2240" w:val="left" w:leader="none"/>
          <w:tab w:pos="9967" w:val="right" w:leader="dot"/>
        </w:tabs>
        <w:spacing w:line="240" w:lineRule="auto" w:before="39" w:after="0"/>
        <w:ind w:left="2240" w:right="0" w:hanging="627"/>
        <w:jc w:val="left"/>
        <w:rPr>
          <w:sz w:val="20"/>
        </w:rPr>
      </w:pPr>
      <w:hyperlink w:history="true" w:anchor="_bookmark154">
        <w:r>
          <w:rPr>
            <w:sz w:val="20"/>
          </w:rPr>
          <w:t>BRN</w:t>
        </w:r>
        <w:r>
          <w:rPr>
            <w:spacing w:val="1"/>
            <w:sz w:val="20"/>
          </w:rPr>
          <w:t> </w:t>
        </w:r>
        <w:r>
          <w:rPr>
            <w:sz w:val="20"/>
          </w:rPr>
          <w:t>Mode</w:t>
          <w:tab/>
          <w:t>77</w:t>
        </w:r>
      </w:hyperlink>
    </w:p>
    <w:p>
      <w:pPr>
        <w:spacing w:after="0" w:line="240" w:lineRule="auto"/>
        <w:jc w:val="left"/>
        <w:rPr>
          <w:sz w:val="20"/>
        </w:rPr>
        <w:sectPr>
          <w:headerReference w:type="even" r:id="rId14"/>
          <w:headerReference w:type="default" r:id="rId15"/>
          <w:footerReference w:type="even" r:id="rId16"/>
          <w:footerReference w:type="default" r:id="rId17"/>
          <w:pgSz w:w="12240" w:h="15840"/>
          <w:pgMar w:header="727" w:footer="819" w:top="960" w:bottom="1000" w:left="820" w:right="860"/>
          <w:pgNumType w:start="2"/>
        </w:sectPr>
      </w:pPr>
    </w:p>
    <w:p>
      <w:pPr>
        <w:pStyle w:val="ListParagraph"/>
        <w:numPr>
          <w:ilvl w:val="2"/>
          <w:numId w:val="2"/>
        </w:numPr>
        <w:tabs>
          <w:tab w:pos="2240" w:val="left" w:leader="none"/>
          <w:tab w:pos="9967" w:val="right" w:leader="dot"/>
        </w:tabs>
        <w:spacing w:line="240" w:lineRule="auto" w:before="242" w:after="0"/>
        <w:ind w:left="2240" w:right="0" w:hanging="627"/>
        <w:jc w:val="left"/>
        <w:rPr>
          <w:sz w:val="20"/>
        </w:rPr>
      </w:pPr>
      <w:hyperlink w:history="true" w:anchor="_bookmark155">
        <w:r>
          <w:rPr>
            <w:sz w:val="20"/>
          </w:rPr>
          <w:t>LCD</w:t>
        </w:r>
        <w:r>
          <w:rPr>
            <w:spacing w:val="-2"/>
            <w:sz w:val="20"/>
          </w:rPr>
          <w:t> </w:t>
        </w:r>
        <w:r>
          <w:rPr>
            <w:sz w:val="20"/>
          </w:rPr>
          <w:t>Mode</w:t>
          <w:tab/>
          <w:t>77</w:t>
        </w:r>
      </w:hyperlink>
    </w:p>
    <w:p>
      <w:pPr>
        <w:pStyle w:val="ListParagraph"/>
        <w:numPr>
          <w:ilvl w:val="2"/>
          <w:numId w:val="2"/>
        </w:numPr>
        <w:tabs>
          <w:tab w:pos="2240" w:val="left" w:leader="none"/>
          <w:tab w:pos="9967" w:val="right" w:leader="dot"/>
        </w:tabs>
        <w:spacing w:line="240" w:lineRule="auto" w:before="39" w:after="0"/>
        <w:ind w:left="2240" w:right="0" w:hanging="627"/>
        <w:jc w:val="left"/>
        <w:rPr>
          <w:sz w:val="20"/>
        </w:rPr>
      </w:pPr>
      <w:hyperlink w:history="true" w:anchor="_bookmark156">
        <w:r>
          <w:rPr>
            <w:sz w:val="20"/>
          </w:rPr>
          <w:t>SLP</w:t>
        </w:r>
        <w:r>
          <w:rPr>
            <w:spacing w:val="-3"/>
            <w:sz w:val="20"/>
          </w:rPr>
          <w:t> </w:t>
        </w:r>
        <w:r>
          <w:rPr>
            <w:sz w:val="20"/>
          </w:rPr>
          <w:t>Mode</w:t>
          <w:tab/>
          <w:t>78</w:t>
        </w:r>
      </w:hyperlink>
    </w:p>
    <w:p>
      <w:pPr>
        <w:pStyle w:val="ListParagraph"/>
        <w:numPr>
          <w:ilvl w:val="1"/>
          <w:numId w:val="2"/>
        </w:numPr>
        <w:tabs>
          <w:tab w:pos="1570" w:val="left" w:leader="none"/>
          <w:tab w:pos="1571" w:val="left" w:leader="none"/>
          <w:tab w:pos="9967" w:val="right" w:leader="dot"/>
        </w:tabs>
        <w:spacing w:line="240" w:lineRule="auto" w:before="41" w:after="0"/>
        <w:ind w:left="1570" w:right="0" w:hanging="505"/>
        <w:jc w:val="left"/>
        <w:rPr>
          <w:sz w:val="20"/>
        </w:rPr>
      </w:pPr>
      <w:hyperlink w:history="true" w:anchor="_bookmark157">
        <w:r>
          <w:rPr>
            <w:sz w:val="20"/>
          </w:rPr>
          <w:t>Fault and</w:t>
        </w:r>
        <w:r>
          <w:rPr>
            <w:spacing w:val="1"/>
            <w:sz w:val="20"/>
          </w:rPr>
          <w:t> </w:t>
        </w:r>
        <w:r>
          <w:rPr>
            <w:sz w:val="20"/>
          </w:rPr>
          <w:t>Reset</w:t>
        </w:r>
        <w:r>
          <w:rPr>
            <w:spacing w:val="1"/>
            <w:sz w:val="20"/>
          </w:rPr>
          <w:t> </w:t>
        </w:r>
        <w:r>
          <w:rPr>
            <w:sz w:val="20"/>
          </w:rPr>
          <w:t>Behavior</w:t>
          <w:tab/>
          <w:t>79</w:t>
        </w:r>
      </w:hyperlink>
    </w:p>
    <w:p>
      <w:pPr>
        <w:pStyle w:val="ListParagraph"/>
        <w:numPr>
          <w:ilvl w:val="2"/>
          <w:numId w:val="2"/>
        </w:numPr>
        <w:tabs>
          <w:tab w:pos="2240" w:val="left" w:leader="none"/>
          <w:tab w:pos="9967" w:val="right" w:leader="dot"/>
        </w:tabs>
        <w:spacing w:line="240" w:lineRule="auto" w:before="39" w:after="0"/>
        <w:ind w:left="2240" w:right="0" w:hanging="627"/>
        <w:jc w:val="left"/>
        <w:rPr>
          <w:sz w:val="20"/>
        </w:rPr>
      </w:pPr>
      <w:hyperlink w:history="true" w:anchor="_bookmark158">
        <w:r>
          <w:rPr>
            <w:sz w:val="20"/>
          </w:rPr>
          <w:t>Events</w:t>
        </w:r>
        <w:r>
          <w:rPr>
            <w:spacing w:val="-1"/>
            <w:sz w:val="20"/>
          </w:rPr>
          <w:t> </w:t>
        </w:r>
        <w:r>
          <w:rPr>
            <w:sz w:val="20"/>
          </w:rPr>
          <w:t>at</w:t>
        </w:r>
        <w:r>
          <w:rPr>
            <w:spacing w:val="1"/>
            <w:sz w:val="20"/>
          </w:rPr>
          <w:t> </w:t>
        </w:r>
        <w:r>
          <w:rPr>
            <w:sz w:val="20"/>
          </w:rPr>
          <w:t>Power-Down</w:t>
          <w:tab/>
          <w:t>79</w:t>
        </w:r>
      </w:hyperlink>
    </w:p>
    <w:p>
      <w:pPr>
        <w:pStyle w:val="ListParagraph"/>
        <w:numPr>
          <w:ilvl w:val="2"/>
          <w:numId w:val="2"/>
        </w:numPr>
        <w:tabs>
          <w:tab w:pos="2240" w:val="left" w:leader="none"/>
          <w:tab w:pos="9967" w:val="right" w:leader="dot"/>
        </w:tabs>
        <w:spacing w:line="240" w:lineRule="auto" w:before="41" w:after="0"/>
        <w:ind w:left="2240" w:right="0" w:hanging="627"/>
        <w:jc w:val="left"/>
        <w:rPr>
          <w:sz w:val="20"/>
        </w:rPr>
      </w:pPr>
      <w:hyperlink w:history="true" w:anchor="_bookmark160">
        <w:r>
          <w:rPr>
            <w:sz w:val="20"/>
          </w:rPr>
          <w:t>IC Behavior at Low</w:t>
        </w:r>
        <w:r>
          <w:rPr>
            <w:spacing w:val="-2"/>
            <w:sz w:val="20"/>
          </w:rPr>
          <w:t> </w:t>
        </w:r>
        <w:r>
          <w:rPr>
            <w:sz w:val="20"/>
          </w:rPr>
          <w:t>Battery</w:t>
        </w:r>
        <w:r>
          <w:rPr>
            <w:spacing w:val="-3"/>
            <w:sz w:val="20"/>
          </w:rPr>
          <w:t> </w:t>
        </w:r>
        <w:r>
          <w:rPr>
            <w:sz w:val="20"/>
          </w:rPr>
          <w:t>Voltage</w:t>
          <w:tab/>
          <w:t>80</w:t>
        </w:r>
      </w:hyperlink>
    </w:p>
    <w:p>
      <w:pPr>
        <w:pStyle w:val="ListParagraph"/>
        <w:numPr>
          <w:ilvl w:val="2"/>
          <w:numId w:val="2"/>
        </w:numPr>
        <w:tabs>
          <w:tab w:pos="2240" w:val="left" w:leader="none"/>
          <w:tab w:pos="9967" w:val="right" w:leader="dot"/>
        </w:tabs>
        <w:spacing w:line="240" w:lineRule="auto" w:before="39" w:after="0"/>
        <w:ind w:left="2240" w:right="0" w:hanging="627"/>
        <w:jc w:val="left"/>
        <w:rPr>
          <w:sz w:val="20"/>
        </w:rPr>
      </w:pPr>
      <w:hyperlink w:history="true" w:anchor="_bookmark161">
        <w:r>
          <w:rPr>
            <w:sz w:val="20"/>
          </w:rPr>
          <w:t>Reset</w:t>
        </w:r>
        <w:r>
          <w:rPr>
            <w:spacing w:val="-2"/>
            <w:sz w:val="20"/>
          </w:rPr>
          <w:t> </w:t>
        </w:r>
        <w:r>
          <w:rPr>
            <w:sz w:val="20"/>
          </w:rPr>
          <w:t>Sequence</w:t>
          <w:tab/>
          <w:t>80</w:t>
        </w:r>
      </w:hyperlink>
    </w:p>
    <w:p>
      <w:pPr>
        <w:pStyle w:val="ListParagraph"/>
        <w:numPr>
          <w:ilvl w:val="2"/>
          <w:numId w:val="2"/>
        </w:numPr>
        <w:tabs>
          <w:tab w:pos="2240" w:val="left" w:leader="none"/>
          <w:tab w:pos="9967" w:val="right" w:leader="dot"/>
        </w:tabs>
        <w:spacing w:line="240" w:lineRule="auto" w:before="41" w:after="0"/>
        <w:ind w:left="2240" w:right="0" w:hanging="627"/>
        <w:jc w:val="left"/>
        <w:rPr>
          <w:sz w:val="20"/>
        </w:rPr>
      </w:pPr>
      <w:hyperlink w:history="true" w:anchor="_bookmark162">
        <w:r>
          <w:rPr>
            <w:sz w:val="20"/>
          </w:rPr>
          <w:t>Watchdog Timer</w:t>
        </w:r>
        <w:r>
          <w:rPr>
            <w:spacing w:val="-2"/>
            <w:sz w:val="20"/>
          </w:rPr>
          <w:t> </w:t>
        </w:r>
        <w:r>
          <w:rPr>
            <w:sz w:val="20"/>
          </w:rPr>
          <w:t>(WDT) Reset</w:t>
          <w:tab/>
          <w:t>80</w:t>
        </w:r>
      </w:hyperlink>
    </w:p>
    <w:p>
      <w:pPr>
        <w:pStyle w:val="ListParagraph"/>
        <w:numPr>
          <w:ilvl w:val="1"/>
          <w:numId w:val="2"/>
        </w:numPr>
        <w:tabs>
          <w:tab w:pos="1570" w:val="left" w:leader="none"/>
          <w:tab w:pos="1571" w:val="left" w:leader="none"/>
          <w:tab w:pos="9967" w:val="right" w:leader="dot"/>
        </w:tabs>
        <w:spacing w:line="240" w:lineRule="auto" w:before="39" w:after="0"/>
        <w:ind w:left="1570" w:right="0" w:hanging="505"/>
        <w:jc w:val="left"/>
        <w:rPr>
          <w:sz w:val="20"/>
        </w:rPr>
      </w:pPr>
      <w:hyperlink w:history="true" w:anchor="_bookmark163">
        <w:r>
          <w:rPr>
            <w:sz w:val="20"/>
          </w:rPr>
          <w:t>Wake-Up</w:t>
        </w:r>
        <w:r>
          <w:rPr>
            <w:spacing w:val="-2"/>
            <w:sz w:val="20"/>
          </w:rPr>
          <w:t> </w:t>
        </w:r>
        <w:r>
          <w:rPr>
            <w:sz w:val="20"/>
          </w:rPr>
          <w:t>Behavior</w:t>
          <w:tab/>
          <w:t>81</w:t>
        </w:r>
      </w:hyperlink>
    </w:p>
    <w:p>
      <w:pPr>
        <w:pStyle w:val="ListParagraph"/>
        <w:numPr>
          <w:ilvl w:val="2"/>
          <w:numId w:val="2"/>
        </w:numPr>
        <w:tabs>
          <w:tab w:pos="2240" w:val="left" w:leader="none"/>
          <w:tab w:pos="9967" w:val="right" w:leader="dot"/>
        </w:tabs>
        <w:spacing w:line="240" w:lineRule="auto" w:before="41" w:after="0"/>
        <w:ind w:left="2240" w:right="0" w:hanging="627"/>
        <w:jc w:val="left"/>
        <w:rPr>
          <w:sz w:val="20"/>
        </w:rPr>
      </w:pPr>
      <w:hyperlink w:history="true" w:anchor="_bookmark164">
        <w:r>
          <w:rPr>
            <w:sz w:val="20"/>
          </w:rPr>
          <w:t>Wake on</w:t>
        </w:r>
        <w:r>
          <w:rPr>
            <w:spacing w:val="-3"/>
            <w:sz w:val="20"/>
          </w:rPr>
          <w:t> </w:t>
        </w:r>
        <w:r>
          <w:rPr>
            <w:sz w:val="20"/>
          </w:rPr>
          <w:t>Hardware</w:t>
        </w:r>
        <w:r>
          <w:rPr>
            <w:spacing w:val="1"/>
            <w:sz w:val="20"/>
          </w:rPr>
          <w:t> </w:t>
        </w:r>
        <w:r>
          <w:rPr>
            <w:sz w:val="20"/>
          </w:rPr>
          <w:t>Events</w:t>
          <w:tab/>
          <w:t>81</w:t>
        </w:r>
      </w:hyperlink>
    </w:p>
    <w:p>
      <w:pPr>
        <w:pStyle w:val="ListParagraph"/>
        <w:numPr>
          <w:ilvl w:val="2"/>
          <w:numId w:val="2"/>
        </w:numPr>
        <w:tabs>
          <w:tab w:pos="2240" w:val="left" w:leader="none"/>
          <w:tab w:pos="9967" w:val="right" w:leader="dot"/>
        </w:tabs>
        <w:spacing w:line="240" w:lineRule="auto" w:before="39" w:after="0"/>
        <w:ind w:left="2240" w:right="0" w:hanging="627"/>
        <w:jc w:val="left"/>
        <w:rPr>
          <w:sz w:val="20"/>
        </w:rPr>
      </w:pPr>
      <w:hyperlink w:history="true" w:anchor="_bookmark168">
        <w:r>
          <w:rPr>
            <w:sz w:val="20"/>
          </w:rPr>
          <w:t>Wake</w:t>
        </w:r>
        <w:r>
          <w:rPr>
            <w:spacing w:val="-2"/>
            <w:sz w:val="20"/>
          </w:rPr>
          <w:t> </w:t>
        </w:r>
        <w:r>
          <w:rPr>
            <w:sz w:val="20"/>
          </w:rPr>
          <w:t>on</w:t>
        </w:r>
        <w:r>
          <w:rPr>
            <w:spacing w:val="-1"/>
            <w:sz w:val="20"/>
          </w:rPr>
          <w:t> </w:t>
        </w:r>
        <w:r>
          <w:rPr>
            <w:sz w:val="20"/>
          </w:rPr>
          <w:t>Timer</w:t>
          <w:tab/>
          <w:t>83</w:t>
        </w:r>
      </w:hyperlink>
    </w:p>
    <w:p>
      <w:pPr>
        <w:pStyle w:val="ListParagraph"/>
        <w:numPr>
          <w:ilvl w:val="1"/>
          <w:numId w:val="2"/>
        </w:numPr>
        <w:tabs>
          <w:tab w:pos="1570" w:val="left" w:leader="none"/>
          <w:tab w:pos="1571" w:val="left" w:leader="none"/>
          <w:tab w:pos="9967" w:val="right" w:leader="dot"/>
        </w:tabs>
        <w:spacing w:line="240" w:lineRule="auto" w:before="41" w:after="0"/>
        <w:ind w:left="1570" w:right="0" w:hanging="505"/>
        <w:jc w:val="left"/>
        <w:rPr>
          <w:sz w:val="20"/>
        </w:rPr>
      </w:pPr>
      <w:hyperlink w:history="true" w:anchor="_bookmark169">
        <w:r>
          <w:rPr>
            <w:sz w:val="20"/>
          </w:rPr>
          <w:t>Data Flow and</w:t>
        </w:r>
        <w:r>
          <w:rPr>
            <w:spacing w:val="-2"/>
            <w:sz w:val="20"/>
          </w:rPr>
          <w:t> </w:t>
        </w:r>
        <w:r>
          <w:rPr>
            <w:sz w:val="20"/>
          </w:rPr>
          <w:t>MPU/CE</w:t>
        </w:r>
        <w:r>
          <w:rPr>
            <w:spacing w:val="-2"/>
            <w:sz w:val="20"/>
          </w:rPr>
          <w:t> </w:t>
        </w:r>
        <w:r>
          <w:rPr>
            <w:sz w:val="20"/>
          </w:rPr>
          <w:t>Communication</w:t>
          <w:tab/>
          <w:t>83</w:t>
        </w:r>
      </w:hyperlink>
    </w:p>
    <w:p>
      <w:pPr>
        <w:pStyle w:val="Heading1"/>
        <w:numPr>
          <w:ilvl w:val="0"/>
          <w:numId w:val="2"/>
        </w:numPr>
        <w:tabs>
          <w:tab w:pos="1071" w:val="left" w:leader="none"/>
          <w:tab w:pos="1072" w:val="left" w:leader="none"/>
          <w:tab w:pos="9967" w:val="right" w:leader="dot"/>
        </w:tabs>
        <w:spacing w:line="240" w:lineRule="auto" w:before="36" w:after="0"/>
        <w:ind w:left="1071" w:right="0" w:hanging="452"/>
        <w:jc w:val="left"/>
      </w:pPr>
      <w:hyperlink w:history="true" w:anchor="_bookmark171">
        <w:r>
          <w:rPr/>
          <w:t>Application</w:t>
        </w:r>
        <w:r>
          <w:rPr>
            <w:spacing w:val="-1"/>
          </w:rPr>
          <w:t> </w:t>
        </w:r>
        <w:r>
          <w:rPr/>
          <w:t>Information</w:t>
          <w:tab/>
          <w:t>85</w:t>
        </w:r>
      </w:hyperlink>
    </w:p>
    <w:p>
      <w:pPr>
        <w:pStyle w:val="ListParagraph"/>
        <w:numPr>
          <w:ilvl w:val="1"/>
          <w:numId w:val="2"/>
        </w:numPr>
        <w:tabs>
          <w:tab w:pos="1570" w:val="left" w:leader="none"/>
          <w:tab w:pos="1571" w:val="left" w:leader="none"/>
          <w:tab w:pos="9967" w:val="right" w:leader="dot"/>
        </w:tabs>
        <w:spacing w:line="240" w:lineRule="auto" w:before="44" w:after="0"/>
        <w:ind w:left="1570" w:right="0" w:hanging="505"/>
        <w:jc w:val="left"/>
        <w:rPr>
          <w:sz w:val="20"/>
        </w:rPr>
      </w:pPr>
      <w:hyperlink w:history="true" w:anchor="_bookmark172">
        <w:r>
          <w:rPr>
            <w:sz w:val="20"/>
          </w:rPr>
          <w:t>Connecting 5</w:t>
        </w:r>
        <w:r>
          <w:rPr>
            <w:spacing w:val="-1"/>
            <w:sz w:val="20"/>
          </w:rPr>
          <w:t> </w:t>
        </w:r>
        <w:r>
          <w:rPr>
            <w:sz w:val="20"/>
          </w:rPr>
          <w:t>V</w:t>
        </w:r>
        <w:r>
          <w:rPr>
            <w:spacing w:val="-2"/>
            <w:sz w:val="20"/>
          </w:rPr>
          <w:t> </w:t>
        </w:r>
        <w:r>
          <w:rPr>
            <w:sz w:val="20"/>
          </w:rPr>
          <w:t>Devices</w:t>
          <w:tab/>
          <w:t>85</w:t>
        </w:r>
      </w:hyperlink>
    </w:p>
    <w:p>
      <w:pPr>
        <w:pStyle w:val="ListParagraph"/>
        <w:numPr>
          <w:ilvl w:val="1"/>
          <w:numId w:val="2"/>
        </w:numPr>
        <w:tabs>
          <w:tab w:pos="1570" w:val="left" w:leader="none"/>
          <w:tab w:pos="1571" w:val="left" w:leader="none"/>
          <w:tab w:pos="9967" w:val="right" w:leader="dot"/>
        </w:tabs>
        <w:spacing w:line="240" w:lineRule="auto" w:before="39" w:after="0"/>
        <w:ind w:left="1570" w:right="0" w:hanging="505"/>
        <w:jc w:val="left"/>
        <w:rPr>
          <w:sz w:val="20"/>
        </w:rPr>
      </w:pPr>
      <w:hyperlink w:history="true" w:anchor="_bookmark173">
        <w:r>
          <w:rPr>
            <w:sz w:val="20"/>
          </w:rPr>
          <w:t>Directly</w:t>
        </w:r>
        <w:r>
          <w:rPr>
            <w:spacing w:val="-5"/>
            <w:sz w:val="20"/>
          </w:rPr>
          <w:t> </w:t>
        </w:r>
        <w:r>
          <w:rPr>
            <w:sz w:val="20"/>
          </w:rPr>
          <w:t>Connected</w:t>
        </w:r>
        <w:r>
          <w:rPr>
            <w:spacing w:val="1"/>
            <w:sz w:val="20"/>
          </w:rPr>
          <w:t> </w:t>
        </w:r>
        <w:r>
          <w:rPr>
            <w:sz w:val="20"/>
          </w:rPr>
          <w:t>Sensors</w:t>
          <w:tab/>
          <w:t>85</w:t>
        </w:r>
      </w:hyperlink>
    </w:p>
    <w:p>
      <w:pPr>
        <w:pStyle w:val="ListParagraph"/>
        <w:numPr>
          <w:ilvl w:val="1"/>
          <w:numId w:val="2"/>
        </w:numPr>
        <w:tabs>
          <w:tab w:pos="1570" w:val="left" w:leader="none"/>
          <w:tab w:pos="1571" w:val="left" w:leader="none"/>
          <w:tab w:pos="9967" w:val="right" w:leader="dot"/>
        </w:tabs>
        <w:spacing w:line="240" w:lineRule="auto" w:before="41" w:after="0"/>
        <w:ind w:left="1570" w:right="0" w:hanging="505"/>
        <w:jc w:val="left"/>
        <w:rPr>
          <w:sz w:val="20"/>
        </w:rPr>
      </w:pPr>
      <w:hyperlink w:history="true" w:anchor="_bookmark178">
        <w:r>
          <w:rPr>
            <w:sz w:val="20"/>
          </w:rPr>
          <w:t>Systems Using 71M6xx3 Isolated Sensors and</w:t>
        </w:r>
        <w:r>
          <w:rPr>
            <w:spacing w:val="-6"/>
            <w:sz w:val="20"/>
          </w:rPr>
          <w:t> </w:t>
        </w:r>
        <w:r>
          <w:rPr>
            <w:sz w:val="20"/>
          </w:rPr>
          <w:t>Current Shunts</w:t>
          <w:tab/>
          <w:t>86</w:t>
        </w:r>
      </w:hyperlink>
    </w:p>
    <w:p>
      <w:pPr>
        <w:pStyle w:val="ListParagraph"/>
        <w:numPr>
          <w:ilvl w:val="1"/>
          <w:numId w:val="2"/>
        </w:numPr>
        <w:tabs>
          <w:tab w:pos="1570" w:val="left" w:leader="none"/>
          <w:tab w:pos="1571" w:val="left" w:leader="none"/>
          <w:tab w:pos="9967" w:val="right" w:leader="dot"/>
        </w:tabs>
        <w:spacing w:line="240" w:lineRule="auto" w:before="39" w:after="0"/>
        <w:ind w:left="1570" w:right="0" w:hanging="505"/>
        <w:jc w:val="left"/>
        <w:rPr>
          <w:sz w:val="20"/>
        </w:rPr>
      </w:pPr>
      <w:hyperlink w:history="true" w:anchor="_bookmark180">
        <w:r>
          <w:rPr>
            <w:sz w:val="20"/>
          </w:rPr>
          <w:t>System Using</w:t>
        </w:r>
        <w:r>
          <w:rPr>
            <w:spacing w:val="1"/>
            <w:sz w:val="20"/>
          </w:rPr>
          <w:t> </w:t>
        </w:r>
        <w:r>
          <w:rPr>
            <w:sz w:val="20"/>
          </w:rPr>
          <w:t>Current</w:t>
        </w:r>
        <w:r>
          <w:rPr>
            <w:spacing w:val="-1"/>
            <w:sz w:val="20"/>
          </w:rPr>
          <w:t> </w:t>
        </w:r>
        <w:r>
          <w:rPr>
            <w:sz w:val="20"/>
          </w:rPr>
          <w:t>Transformers</w:t>
          <w:tab/>
          <w:t>87</w:t>
        </w:r>
      </w:hyperlink>
    </w:p>
    <w:p>
      <w:pPr>
        <w:pStyle w:val="ListParagraph"/>
        <w:numPr>
          <w:ilvl w:val="1"/>
          <w:numId w:val="2"/>
        </w:numPr>
        <w:tabs>
          <w:tab w:pos="1570" w:val="left" w:leader="none"/>
          <w:tab w:pos="1571" w:val="left" w:leader="none"/>
          <w:tab w:pos="9967" w:val="right" w:leader="dot"/>
        </w:tabs>
        <w:spacing w:line="240" w:lineRule="auto" w:before="41" w:after="0"/>
        <w:ind w:left="1570" w:right="0" w:hanging="505"/>
        <w:jc w:val="left"/>
        <w:rPr>
          <w:sz w:val="20"/>
        </w:rPr>
      </w:pPr>
      <w:hyperlink w:history="true" w:anchor="_bookmark182">
        <w:r>
          <w:rPr>
            <w:sz w:val="20"/>
          </w:rPr>
          <w:t>Metrology</w:t>
        </w:r>
        <w:r>
          <w:rPr>
            <w:spacing w:val="-5"/>
            <w:sz w:val="20"/>
          </w:rPr>
          <w:t> </w:t>
        </w:r>
        <w:r>
          <w:rPr>
            <w:sz w:val="20"/>
          </w:rPr>
          <w:t>Temperature</w:t>
        </w:r>
        <w:r>
          <w:rPr>
            <w:spacing w:val="-1"/>
            <w:sz w:val="20"/>
          </w:rPr>
          <w:t> </w:t>
        </w:r>
        <w:r>
          <w:rPr>
            <w:sz w:val="20"/>
          </w:rPr>
          <w:t>Compensation</w:t>
          <w:tab/>
          <w:t>88</w:t>
        </w:r>
      </w:hyperlink>
    </w:p>
    <w:p>
      <w:pPr>
        <w:pStyle w:val="ListParagraph"/>
        <w:numPr>
          <w:ilvl w:val="2"/>
          <w:numId w:val="2"/>
        </w:numPr>
        <w:tabs>
          <w:tab w:pos="2240" w:val="left" w:leader="none"/>
          <w:tab w:pos="9967" w:val="right" w:leader="dot"/>
        </w:tabs>
        <w:spacing w:line="240" w:lineRule="auto" w:before="39" w:after="0"/>
        <w:ind w:left="2240" w:right="0" w:hanging="627"/>
        <w:jc w:val="left"/>
        <w:rPr>
          <w:sz w:val="20"/>
        </w:rPr>
      </w:pPr>
      <w:hyperlink w:history="true" w:anchor="_bookmark183">
        <w:r>
          <w:rPr>
            <w:sz w:val="20"/>
          </w:rPr>
          <w:t>Temperature</w:t>
        </w:r>
        <w:r>
          <w:rPr>
            <w:spacing w:val="-2"/>
            <w:sz w:val="20"/>
          </w:rPr>
          <w:t> </w:t>
        </w:r>
        <w:r>
          <w:rPr>
            <w:sz w:val="20"/>
          </w:rPr>
          <w:t>Compensation</w:t>
          <w:tab/>
          <w:t>88</w:t>
        </w:r>
      </w:hyperlink>
    </w:p>
    <w:p>
      <w:pPr>
        <w:pStyle w:val="ListParagraph"/>
        <w:numPr>
          <w:ilvl w:val="2"/>
          <w:numId w:val="2"/>
        </w:numPr>
        <w:tabs>
          <w:tab w:pos="2240" w:val="left" w:leader="none"/>
          <w:tab w:pos="9967" w:val="right" w:leader="dot"/>
        </w:tabs>
        <w:spacing w:line="240" w:lineRule="auto" w:before="41" w:after="0"/>
        <w:ind w:left="2240" w:right="0" w:hanging="627"/>
        <w:jc w:val="left"/>
        <w:rPr>
          <w:sz w:val="20"/>
        </w:rPr>
      </w:pPr>
      <w:hyperlink w:history="true" w:anchor="_bookmark184">
        <w:r>
          <w:rPr>
            <w:sz w:val="20"/>
          </w:rPr>
          <w:t>Temperature Coefficients for the 71M6543F</w:t>
        </w:r>
        <w:r>
          <w:rPr>
            <w:spacing w:val="-4"/>
            <w:sz w:val="20"/>
          </w:rPr>
          <w:t> </w:t>
        </w:r>
        <w:r>
          <w:rPr>
            <w:sz w:val="20"/>
          </w:rPr>
          <w:t>and</w:t>
        </w:r>
        <w:r>
          <w:rPr>
            <w:spacing w:val="-2"/>
            <w:sz w:val="20"/>
          </w:rPr>
          <w:t> </w:t>
        </w:r>
        <w:r>
          <w:rPr>
            <w:sz w:val="20"/>
          </w:rPr>
          <w:t>71M6543G</w:t>
          <w:tab/>
          <w:t>88</w:t>
        </w:r>
      </w:hyperlink>
    </w:p>
    <w:p>
      <w:pPr>
        <w:pStyle w:val="ListParagraph"/>
        <w:numPr>
          <w:ilvl w:val="2"/>
          <w:numId w:val="2"/>
        </w:numPr>
        <w:tabs>
          <w:tab w:pos="2240" w:val="left" w:leader="none"/>
          <w:tab w:pos="9967" w:val="right" w:leader="dot"/>
        </w:tabs>
        <w:spacing w:line="240" w:lineRule="auto" w:before="39" w:after="0"/>
        <w:ind w:left="2240" w:right="0" w:hanging="627"/>
        <w:jc w:val="left"/>
        <w:rPr>
          <w:sz w:val="20"/>
        </w:rPr>
      </w:pPr>
      <w:hyperlink w:history="true" w:anchor="_bookmark185">
        <w:r>
          <w:rPr>
            <w:sz w:val="20"/>
          </w:rPr>
          <w:t>Temperature Coefficients for</w:t>
        </w:r>
        <w:r>
          <w:rPr>
            <w:spacing w:val="-2"/>
            <w:sz w:val="20"/>
          </w:rPr>
          <w:t> </w:t>
        </w:r>
        <w:r>
          <w:rPr>
            <w:sz w:val="20"/>
          </w:rPr>
          <w:t>the 71M6xx3</w:t>
          <w:tab/>
          <w:t>89</w:t>
        </w:r>
      </w:hyperlink>
    </w:p>
    <w:p>
      <w:pPr>
        <w:pStyle w:val="ListParagraph"/>
        <w:numPr>
          <w:ilvl w:val="2"/>
          <w:numId w:val="2"/>
        </w:numPr>
        <w:tabs>
          <w:tab w:pos="2240" w:val="left" w:leader="none"/>
          <w:tab w:pos="9967" w:val="right" w:leader="dot"/>
        </w:tabs>
        <w:spacing w:line="240" w:lineRule="auto" w:before="41" w:after="0"/>
        <w:ind w:left="2240" w:right="0" w:hanging="627"/>
        <w:jc w:val="left"/>
        <w:rPr>
          <w:sz w:val="20"/>
        </w:rPr>
      </w:pPr>
      <w:hyperlink w:history="true" w:anchor="_bookmark186">
        <w:r>
          <w:rPr>
            <w:sz w:val="20"/>
          </w:rPr>
          <w:t>Temperature Compensation for VREF and</w:t>
        </w:r>
        <w:r>
          <w:rPr>
            <w:spacing w:val="-2"/>
            <w:sz w:val="20"/>
          </w:rPr>
          <w:t> </w:t>
        </w:r>
        <w:r>
          <w:rPr>
            <w:sz w:val="20"/>
          </w:rPr>
          <w:t>Shunt Sensors</w:t>
          <w:tab/>
          <w:t>89</w:t>
        </w:r>
      </w:hyperlink>
    </w:p>
    <w:p>
      <w:pPr>
        <w:pStyle w:val="ListParagraph"/>
        <w:numPr>
          <w:ilvl w:val="2"/>
          <w:numId w:val="2"/>
        </w:numPr>
        <w:tabs>
          <w:tab w:pos="2240" w:val="left" w:leader="none"/>
          <w:tab w:pos="9967" w:val="right" w:leader="dot"/>
        </w:tabs>
        <w:spacing w:line="240" w:lineRule="auto" w:before="39" w:after="0"/>
        <w:ind w:left="2240" w:right="0" w:hanging="627"/>
        <w:jc w:val="left"/>
        <w:rPr>
          <w:sz w:val="20"/>
        </w:rPr>
      </w:pPr>
      <w:hyperlink w:history="true" w:anchor="_bookmark188">
        <w:r>
          <w:rPr>
            <w:sz w:val="20"/>
          </w:rPr>
          <w:t>Temperature Compensation of VREF and</w:t>
        </w:r>
        <w:r>
          <w:rPr>
            <w:spacing w:val="-6"/>
            <w:sz w:val="20"/>
          </w:rPr>
          <w:t> </w:t>
        </w:r>
        <w:r>
          <w:rPr>
            <w:sz w:val="20"/>
          </w:rPr>
          <w:t>Current</w:t>
        </w:r>
        <w:r>
          <w:rPr>
            <w:spacing w:val="-2"/>
            <w:sz w:val="20"/>
          </w:rPr>
          <w:t> </w:t>
        </w:r>
        <w:r>
          <w:rPr>
            <w:sz w:val="20"/>
          </w:rPr>
          <w:t>Transformers</w:t>
          <w:tab/>
          <w:t>90</w:t>
        </w:r>
      </w:hyperlink>
    </w:p>
    <w:p>
      <w:pPr>
        <w:pStyle w:val="ListParagraph"/>
        <w:numPr>
          <w:ilvl w:val="1"/>
          <w:numId w:val="2"/>
        </w:numPr>
        <w:tabs>
          <w:tab w:pos="1570" w:val="left" w:leader="none"/>
          <w:tab w:pos="1571" w:val="left" w:leader="none"/>
          <w:tab w:pos="9967" w:val="right" w:leader="dot"/>
        </w:tabs>
        <w:spacing w:line="240" w:lineRule="auto" w:before="41" w:after="0"/>
        <w:ind w:left="1570" w:right="0" w:hanging="505"/>
        <w:jc w:val="left"/>
        <w:rPr>
          <w:sz w:val="20"/>
        </w:rPr>
      </w:pPr>
      <w:hyperlink w:history="true" w:anchor="_bookmark190">
        <w:r>
          <w:rPr>
            <w:sz w:val="20"/>
          </w:rPr>
          <w:t>Connecting</w:t>
        </w:r>
        <w:r>
          <w:rPr>
            <w:spacing w:val="-2"/>
            <w:sz w:val="20"/>
          </w:rPr>
          <w:t> </w:t>
        </w:r>
        <w:r>
          <w:rPr>
            <w:sz w:val="20"/>
          </w:rPr>
          <w:t>I</w:t>
        </w:r>
        <w:r>
          <w:rPr>
            <w:sz w:val="20"/>
            <w:vertAlign w:val="superscript"/>
          </w:rPr>
          <w:t>2</w:t>
        </w:r>
        <w:r>
          <w:rPr>
            <w:sz w:val="20"/>
            <w:vertAlign w:val="baseline"/>
          </w:rPr>
          <w:t>C</w:t>
        </w:r>
        <w:r>
          <w:rPr>
            <w:spacing w:val="2"/>
            <w:sz w:val="20"/>
            <w:vertAlign w:val="baseline"/>
          </w:rPr>
          <w:t> </w:t>
        </w:r>
        <w:r>
          <w:rPr>
            <w:sz w:val="20"/>
            <w:vertAlign w:val="baseline"/>
          </w:rPr>
          <w:t>EEPROMs</w:t>
          <w:tab/>
          <w:t>92</w:t>
        </w:r>
      </w:hyperlink>
    </w:p>
    <w:p>
      <w:pPr>
        <w:pStyle w:val="ListParagraph"/>
        <w:numPr>
          <w:ilvl w:val="1"/>
          <w:numId w:val="2"/>
        </w:numPr>
        <w:tabs>
          <w:tab w:pos="1570" w:val="left" w:leader="none"/>
          <w:tab w:pos="1571" w:val="left" w:leader="none"/>
          <w:tab w:pos="9967" w:val="right" w:leader="dot"/>
        </w:tabs>
        <w:spacing w:line="240" w:lineRule="auto" w:before="39" w:after="0"/>
        <w:ind w:left="1570" w:right="0" w:hanging="505"/>
        <w:jc w:val="left"/>
        <w:rPr>
          <w:sz w:val="20"/>
        </w:rPr>
      </w:pPr>
      <w:hyperlink w:history="true" w:anchor="_bookmark192">
        <w:r>
          <w:rPr>
            <w:sz w:val="20"/>
          </w:rPr>
          <w:t>Connecting</w:t>
        </w:r>
        <w:r>
          <w:rPr>
            <w:spacing w:val="-2"/>
            <w:sz w:val="20"/>
          </w:rPr>
          <w:t> </w:t>
        </w:r>
        <w:r>
          <w:rPr>
            <w:sz w:val="20"/>
          </w:rPr>
          <w:t>Three-Wire</w:t>
        </w:r>
        <w:r>
          <w:rPr>
            <w:spacing w:val="-1"/>
            <w:sz w:val="20"/>
          </w:rPr>
          <w:t> </w:t>
        </w:r>
        <w:r>
          <w:rPr>
            <w:sz w:val="20"/>
          </w:rPr>
          <w:t>EEPROMs</w:t>
          <w:tab/>
          <w:t>92</w:t>
        </w:r>
      </w:hyperlink>
    </w:p>
    <w:p>
      <w:pPr>
        <w:pStyle w:val="ListParagraph"/>
        <w:numPr>
          <w:ilvl w:val="1"/>
          <w:numId w:val="2"/>
        </w:numPr>
        <w:tabs>
          <w:tab w:pos="1570" w:val="left" w:leader="none"/>
          <w:tab w:pos="1571" w:val="left" w:leader="none"/>
          <w:tab w:pos="9967" w:val="right" w:leader="dot"/>
        </w:tabs>
        <w:spacing w:line="240" w:lineRule="auto" w:before="41" w:after="0"/>
        <w:ind w:left="1570" w:right="0" w:hanging="505"/>
        <w:jc w:val="left"/>
        <w:rPr>
          <w:sz w:val="20"/>
        </w:rPr>
      </w:pPr>
      <w:hyperlink w:history="true" w:anchor="_bookmark193">
        <w:r>
          <w:rPr>
            <w:sz w:val="20"/>
          </w:rPr>
          <w:t>UART0</w:t>
        </w:r>
        <w:r>
          <w:rPr>
            <w:spacing w:val="-2"/>
            <w:sz w:val="20"/>
          </w:rPr>
          <w:t> </w:t>
        </w:r>
        <w:r>
          <w:rPr>
            <w:sz w:val="20"/>
          </w:rPr>
          <w:t>(TX/RX)</w:t>
          <w:tab/>
          <w:t>92</w:t>
        </w:r>
      </w:hyperlink>
    </w:p>
    <w:p>
      <w:pPr>
        <w:pStyle w:val="ListParagraph"/>
        <w:numPr>
          <w:ilvl w:val="1"/>
          <w:numId w:val="2"/>
        </w:numPr>
        <w:tabs>
          <w:tab w:pos="1570" w:val="left" w:leader="none"/>
          <w:tab w:pos="1571" w:val="left" w:leader="none"/>
          <w:tab w:pos="9968" w:val="right" w:leader="dot"/>
        </w:tabs>
        <w:spacing w:line="240" w:lineRule="auto" w:before="39" w:after="0"/>
        <w:ind w:left="1570" w:right="0" w:hanging="505"/>
        <w:jc w:val="left"/>
        <w:rPr>
          <w:sz w:val="20"/>
        </w:rPr>
      </w:pPr>
      <w:hyperlink w:history="true" w:anchor="_bookmark195">
        <w:r>
          <w:rPr>
            <w:sz w:val="20"/>
          </w:rPr>
          <w:t>Optical</w:t>
        </w:r>
        <w:r>
          <w:rPr>
            <w:spacing w:val="-1"/>
            <w:sz w:val="20"/>
          </w:rPr>
          <w:t> </w:t>
        </w:r>
        <w:r>
          <w:rPr>
            <w:sz w:val="20"/>
          </w:rPr>
          <w:t>Interface</w:t>
        </w:r>
        <w:r>
          <w:rPr>
            <w:spacing w:val="-1"/>
            <w:sz w:val="20"/>
          </w:rPr>
          <w:t> </w:t>
        </w:r>
        <w:r>
          <w:rPr>
            <w:sz w:val="20"/>
          </w:rPr>
          <w:t>(UART1)</w:t>
          <w:tab/>
          <w:t>93</w:t>
        </w:r>
      </w:hyperlink>
    </w:p>
    <w:p>
      <w:pPr>
        <w:pStyle w:val="ListParagraph"/>
        <w:numPr>
          <w:ilvl w:val="1"/>
          <w:numId w:val="2"/>
        </w:numPr>
        <w:tabs>
          <w:tab w:pos="1571" w:val="left" w:leader="none"/>
          <w:tab w:pos="9967" w:val="right" w:leader="dot"/>
        </w:tabs>
        <w:spacing w:line="240" w:lineRule="auto" w:before="41" w:after="0"/>
        <w:ind w:left="1570" w:right="0" w:hanging="505"/>
        <w:jc w:val="left"/>
        <w:rPr>
          <w:sz w:val="20"/>
        </w:rPr>
      </w:pPr>
      <w:hyperlink w:history="true" w:anchor="_bookmark197">
        <w:r>
          <w:rPr>
            <w:sz w:val="20"/>
          </w:rPr>
          <w:t>Connecting the</w:t>
        </w:r>
        <w:r>
          <w:rPr>
            <w:spacing w:val="-3"/>
            <w:sz w:val="20"/>
          </w:rPr>
          <w:t> </w:t>
        </w:r>
        <w:r>
          <w:rPr>
            <w:sz w:val="20"/>
          </w:rPr>
          <w:t>Reset</w:t>
        </w:r>
        <w:r>
          <w:rPr>
            <w:spacing w:val="1"/>
            <w:sz w:val="20"/>
          </w:rPr>
          <w:t> </w:t>
        </w:r>
        <w:r>
          <w:rPr>
            <w:sz w:val="20"/>
          </w:rPr>
          <w:t>Pin</w:t>
          <w:tab/>
          <w:t>93</w:t>
        </w:r>
      </w:hyperlink>
    </w:p>
    <w:p>
      <w:pPr>
        <w:pStyle w:val="ListParagraph"/>
        <w:numPr>
          <w:ilvl w:val="1"/>
          <w:numId w:val="2"/>
        </w:numPr>
        <w:tabs>
          <w:tab w:pos="1571" w:val="left" w:leader="none"/>
          <w:tab w:pos="9967" w:val="right" w:leader="dot"/>
        </w:tabs>
        <w:spacing w:line="240" w:lineRule="auto" w:before="39" w:after="0"/>
        <w:ind w:left="1570" w:right="0" w:hanging="505"/>
        <w:jc w:val="left"/>
        <w:rPr>
          <w:sz w:val="20"/>
        </w:rPr>
      </w:pPr>
      <w:hyperlink w:history="true" w:anchor="_bookmark199">
        <w:r>
          <w:rPr>
            <w:sz w:val="20"/>
          </w:rPr>
          <w:t>Connecting the Emulator</w:t>
        </w:r>
        <w:r>
          <w:rPr>
            <w:spacing w:val="-3"/>
            <w:sz w:val="20"/>
          </w:rPr>
          <w:t> </w:t>
        </w:r>
        <w:r>
          <w:rPr>
            <w:sz w:val="20"/>
          </w:rPr>
          <w:t>Port</w:t>
        </w:r>
        <w:r>
          <w:rPr>
            <w:spacing w:val="-1"/>
            <w:sz w:val="20"/>
          </w:rPr>
          <w:t> </w:t>
        </w:r>
        <w:r>
          <w:rPr>
            <w:sz w:val="20"/>
          </w:rPr>
          <w:t>Pins</w:t>
          <w:tab/>
          <w:t>94</w:t>
        </w:r>
      </w:hyperlink>
    </w:p>
    <w:p>
      <w:pPr>
        <w:pStyle w:val="ListParagraph"/>
        <w:numPr>
          <w:ilvl w:val="1"/>
          <w:numId w:val="2"/>
        </w:numPr>
        <w:tabs>
          <w:tab w:pos="1571" w:val="left" w:leader="none"/>
          <w:tab w:pos="9967" w:val="right" w:leader="dot"/>
        </w:tabs>
        <w:spacing w:line="240" w:lineRule="auto" w:before="41" w:after="0"/>
        <w:ind w:left="1570" w:right="0" w:hanging="505"/>
        <w:jc w:val="left"/>
        <w:rPr>
          <w:sz w:val="20"/>
        </w:rPr>
      </w:pPr>
      <w:hyperlink w:history="true" w:anchor="_bookmark201">
        <w:r>
          <w:rPr>
            <w:sz w:val="20"/>
          </w:rPr>
          <w:t>Flash Programming</w:t>
          <w:tab/>
          <w:t>94</w:t>
        </w:r>
      </w:hyperlink>
    </w:p>
    <w:p>
      <w:pPr>
        <w:pStyle w:val="ListParagraph"/>
        <w:numPr>
          <w:ilvl w:val="2"/>
          <w:numId w:val="2"/>
        </w:numPr>
        <w:tabs>
          <w:tab w:pos="2240" w:val="left" w:leader="none"/>
          <w:tab w:pos="9967" w:val="right" w:leader="dot"/>
        </w:tabs>
        <w:spacing w:line="240" w:lineRule="auto" w:before="39" w:after="0"/>
        <w:ind w:left="2240" w:right="0" w:hanging="627"/>
        <w:jc w:val="left"/>
        <w:rPr>
          <w:sz w:val="20"/>
        </w:rPr>
      </w:pPr>
      <w:hyperlink w:history="true" w:anchor="_bookmark202">
        <w:r>
          <w:rPr>
            <w:sz w:val="20"/>
          </w:rPr>
          <w:t>Flash Programming via the</w:t>
        </w:r>
        <w:r>
          <w:rPr>
            <w:spacing w:val="-2"/>
            <w:sz w:val="20"/>
          </w:rPr>
          <w:t> </w:t>
        </w:r>
        <w:r>
          <w:rPr>
            <w:sz w:val="20"/>
          </w:rPr>
          <w:t>ICE</w:t>
        </w:r>
        <w:r>
          <w:rPr>
            <w:spacing w:val="1"/>
            <w:sz w:val="20"/>
          </w:rPr>
          <w:t> </w:t>
        </w:r>
        <w:r>
          <w:rPr>
            <w:sz w:val="20"/>
          </w:rPr>
          <w:t>Port</w:t>
          <w:tab/>
          <w:t>94</w:t>
        </w:r>
      </w:hyperlink>
    </w:p>
    <w:p>
      <w:pPr>
        <w:pStyle w:val="ListParagraph"/>
        <w:numPr>
          <w:ilvl w:val="2"/>
          <w:numId w:val="2"/>
        </w:numPr>
        <w:tabs>
          <w:tab w:pos="2240" w:val="left" w:leader="none"/>
          <w:tab w:pos="9967" w:val="right" w:leader="dot"/>
        </w:tabs>
        <w:spacing w:line="240" w:lineRule="auto" w:before="41" w:after="0"/>
        <w:ind w:left="2240" w:right="0" w:hanging="627"/>
        <w:jc w:val="left"/>
        <w:rPr>
          <w:sz w:val="20"/>
        </w:rPr>
      </w:pPr>
      <w:hyperlink w:history="true" w:anchor="_bookmark203">
        <w:r>
          <w:rPr>
            <w:sz w:val="20"/>
          </w:rPr>
          <w:t>Flash Programming via the</w:t>
        </w:r>
        <w:r>
          <w:rPr>
            <w:spacing w:val="-2"/>
            <w:sz w:val="20"/>
          </w:rPr>
          <w:t> </w:t>
        </w:r>
        <w:r>
          <w:rPr>
            <w:sz w:val="20"/>
          </w:rPr>
          <w:t>SPI</w:t>
        </w:r>
        <w:r>
          <w:rPr>
            <w:spacing w:val="1"/>
            <w:sz w:val="20"/>
          </w:rPr>
          <w:t> </w:t>
        </w:r>
        <w:r>
          <w:rPr>
            <w:sz w:val="20"/>
          </w:rPr>
          <w:t>Port</w:t>
          <w:tab/>
          <w:t>94</w:t>
        </w:r>
      </w:hyperlink>
    </w:p>
    <w:p>
      <w:pPr>
        <w:pStyle w:val="ListParagraph"/>
        <w:numPr>
          <w:ilvl w:val="1"/>
          <w:numId w:val="2"/>
        </w:numPr>
        <w:tabs>
          <w:tab w:pos="1571" w:val="left" w:leader="none"/>
          <w:tab w:pos="9967" w:val="right" w:leader="dot"/>
        </w:tabs>
        <w:spacing w:line="240" w:lineRule="auto" w:before="39" w:after="0"/>
        <w:ind w:left="1570" w:right="0" w:hanging="505"/>
        <w:jc w:val="left"/>
        <w:rPr>
          <w:sz w:val="20"/>
        </w:rPr>
      </w:pPr>
      <w:hyperlink w:history="true" w:anchor="_bookmark204">
        <w:r>
          <w:rPr>
            <w:sz w:val="20"/>
          </w:rPr>
          <w:t>MPU</w:t>
        </w:r>
        <w:r>
          <w:rPr>
            <w:spacing w:val="1"/>
            <w:sz w:val="20"/>
          </w:rPr>
          <w:t> </w:t>
        </w:r>
        <w:r>
          <w:rPr>
            <w:sz w:val="20"/>
          </w:rPr>
          <w:t>Demonstration</w:t>
        </w:r>
        <w:r>
          <w:rPr>
            <w:spacing w:val="1"/>
            <w:sz w:val="20"/>
          </w:rPr>
          <w:t> </w:t>
        </w:r>
        <w:r>
          <w:rPr>
            <w:sz w:val="20"/>
          </w:rPr>
          <w:t>Code</w:t>
          <w:tab/>
          <w:t>94</w:t>
        </w:r>
      </w:hyperlink>
    </w:p>
    <w:p>
      <w:pPr>
        <w:pStyle w:val="ListParagraph"/>
        <w:numPr>
          <w:ilvl w:val="1"/>
          <w:numId w:val="2"/>
        </w:numPr>
        <w:tabs>
          <w:tab w:pos="1571" w:val="left" w:leader="none"/>
          <w:tab w:pos="9967" w:val="right" w:leader="dot"/>
        </w:tabs>
        <w:spacing w:line="240" w:lineRule="auto" w:before="41" w:after="0"/>
        <w:ind w:left="1570" w:right="0" w:hanging="505"/>
        <w:jc w:val="left"/>
        <w:rPr>
          <w:sz w:val="20"/>
        </w:rPr>
      </w:pPr>
      <w:hyperlink w:history="true" w:anchor="_bookmark205">
        <w:r>
          <w:rPr>
            <w:sz w:val="20"/>
          </w:rPr>
          <w:t>Crystal</w:t>
        </w:r>
        <w:r>
          <w:rPr>
            <w:spacing w:val="-3"/>
            <w:sz w:val="20"/>
          </w:rPr>
          <w:t> </w:t>
        </w:r>
        <w:r>
          <w:rPr>
            <w:sz w:val="20"/>
          </w:rPr>
          <w:t>Oscillator</w:t>
          <w:tab/>
          <w:t>95</w:t>
        </w:r>
      </w:hyperlink>
    </w:p>
    <w:p>
      <w:pPr>
        <w:pStyle w:val="ListParagraph"/>
        <w:numPr>
          <w:ilvl w:val="1"/>
          <w:numId w:val="2"/>
        </w:numPr>
        <w:tabs>
          <w:tab w:pos="1571" w:val="left" w:leader="none"/>
          <w:tab w:pos="9967" w:val="right" w:leader="dot"/>
        </w:tabs>
        <w:spacing w:line="240" w:lineRule="auto" w:before="39" w:after="0"/>
        <w:ind w:left="1570" w:right="0" w:hanging="505"/>
        <w:jc w:val="left"/>
        <w:rPr>
          <w:sz w:val="20"/>
        </w:rPr>
      </w:pPr>
      <w:hyperlink w:history="true" w:anchor="_bookmark206">
        <w:r>
          <w:rPr>
            <w:sz w:val="20"/>
          </w:rPr>
          <w:t>Meter</w:t>
        </w:r>
        <w:r>
          <w:rPr>
            <w:spacing w:val="-1"/>
            <w:sz w:val="20"/>
          </w:rPr>
          <w:t> </w:t>
        </w:r>
        <w:r>
          <w:rPr>
            <w:sz w:val="20"/>
          </w:rPr>
          <w:t>Calibration</w:t>
          <w:tab/>
          <w:t>95</w:t>
        </w:r>
      </w:hyperlink>
    </w:p>
    <w:p>
      <w:pPr>
        <w:pStyle w:val="Heading1"/>
        <w:numPr>
          <w:ilvl w:val="0"/>
          <w:numId w:val="2"/>
        </w:numPr>
        <w:tabs>
          <w:tab w:pos="1071" w:val="left" w:leader="none"/>
          <w:tab w:pos="1072" w:val="left" w:leader="none"/>
          <w:tab w:pos="9967" w:val="right" w:leader="dot"/>
        </w:tabs>
        <w:spacing w:line="240" w:lineRule="auto" w:before="39" w:after="0"/>
        <w:ind w:left="1071" w:right="0" w:hanging="452"/>
        <w:jc w:val="left"/>
      </w:pPr>
      <w:hyperlink w:history="true" w:anchor="_bookmark207">
        <w:r>
          <w:rPr/>
          <w:t>Firmware</w:t>
        </w:r>
        <w:r>
          <w:rPr>
            <w:spacing w:val="-2"/>
          </w:rPr>
          <w:t> </w:t>
        </w:r>
        <w:r>
          <w:rPr/>
          <w:t>Interface</w:t>
          <w:tab/>
          <w:t>96</w:t>
        </w:r>
      </w:hyperlink>
    </w:p>
    <w:p>
      <w:pPr>
        <w:pStyle w:val="ListParagraph"/>
        <w:numPr>
          <w:ilvl w:val="1"/>
          <w:numId w:val="2"/>
        </w:numPr>
        <w:tabs>
          <w:tab w:pos="1570" w:val="left" w:leader="none"/>
          <w:tab w:pos="1571" w:val="left" w:leader="none"/>
          <w:tab w:pos="9967" w:val="right" w:leader="dot"/>
        </w:tabs>
        <w:spacing w:line="240" w:lineRule="auto" w:before="41" w:after="0"/>
        <w:ind w:left="1570" w:right="0" w:hanging="505"/>
        <w:jc w:val="left"/>
        <w:rPr>
          <w:sz w:val="20"/>
        </w:rPr>
      </w:pPr>
      <w:hyperlink w:history="true" w:anchor="_bookmark208">
        <w:r>
          <w:rPr>
            <w:sz w:val="20"/>
          </w:rPr>
          <w:t>I/O RAM Map</w:t>
        </w:r>
        <w:r>
          <w:rPr>
            <w:spacing w:val="-1"/>
            <w:sz w:val="20"/>
          </w:rPr>
          <w:t> </w:t>
        </w:r>
        <w:r>
          <w:rPr>
            <w:sz w:val="20"/>
          </w:rPr>
          <w:t>–Functional Order</w:t>
          <w:tab/>
          <w:t>96</w:t>
        </w:r>
      </w:hyperlink>
    </w:p>
    <w:p>
      <w:pPr>
        <w:pStyle w:val="ListParagraph"/>
        <w:numPr>
          <w:ilvl w:val="1"/>
          <w:numId w:val="2"/>
        </w:numPr>
        <w:tabs>
          <w:tab w:pos="1570" w:val="left" w:leader="none"/>
          <w:tab w:pos="1571" w:val="left" w:leader="none"/>
          <w:tab w:pos="9967" w:val="right" w:leader="dot"/>
        </w:tabs>
        <w:spacing w:line="240" w:lineRule="auto" w:before="41" w:after="0"/>
        <w:ind w:left="1570" w:right="0" w:hanging="505"/>
        <w:jc w:val="left"/>
        <w:rPr>
          <w:sz w:val="20"/>
        </w:rPr>
      </w:pPr>
      <w:hyperlink w:history="true" w:anchor="_bookmark211">
        <w:r>
          <w:rPr>
            <w:sz w:val="20"/>
          </w:rPr>
          <w:t>I/O RAM Map – Alphabetical</w:t>
        </w:r>
        <w:r>
          <w:rPr>
            <w:spacing w:val="-3"/>
            <w:sz w:val="20"/>
          </w:rPr>
          <w:t> </w:t>
        </w:r>
        <w:r>
          <w:rPr>
            <w:sz w:val="20"/>
          </w:rPr>
          <w:t>Order</w:t>
          <w:tab/>
          <w:t>102</w:t>
        </w:r>
      </w:hyperlink>
    </w:p>
    <w:p>
      <w:pPr>
        <w:pStyle w:val="ListParagraph"/>
        <w:numPr>
          <w:ilvl w:val="1"/>
          <w:numId w:val="2"/>
        </w:numPr>
        <w:tabs>
          <w:tab w:pos="1570" w:val="left" w:leader="none"/>
          <w:tab w:pos="1571" w:val="left" w:leader="none"/>
          <w:tab w:pos="9967" w:val="right" w:leader="dot"/>
        </w:tabs>
        <w:spacing w:line="240" w:lineRule="auto" w:before="39" w:after="0"/>
        <w:ind w:left="1570" w:right="0" w:hanging="505"/>
        <w:jc w:val="left"/>
        <w:rPr>
          <w:sz w:val="20"/>
        </w:rPr>
      </w:pPr>
      <w:hyperlink w:history="true" w:anchor="_bookmark213">
        <w:r>
          <w:rPr>
            <w:sz w:val="20"/>
          </w:rPr>
          <w:t>CE</w:t>
        </w:r>
        <w:r>
          <w:rPr>
            <w:spacing w:val="-3"/>
            <w:sz w:val="20"/>
          </w:rPr>
          <w:t> </w:t>
        </w:r>
        <w:r>
          <w:rPr>
            <w:sz w:val="20"/>
          </w:rPr>
          <w:t>Interface</w:t>
        </w:r>
        <w:r>
          <w:rPr>
            <w:spacing w:val="-1"/>
            <w:sz w:val="20"/>
          </w:rPr>
          <w:t> </w:t>
        </w:r>
        <w:r>
          <w:rPr>
            <w:sz w:val="20"/>
          </w:rPr>
          <w:t>Description</w:t>
          <w:tab/>
          <w:t>116</w:t>
        </w:r>
      </w:hyperlink>
    </w:p>
    <w:p>
      <w:pPr>
        <w:pStyle w:val="ListParagraph"/>
        <w:numPr>
          <w:ilvl w:val="2"/>
          <w:numId w:val="2"/>
        </w:numPr>
        <w:tabs>
          <w:tab w:pos="2240" w:val="left" w:leader="none"/>
          <w:tab w:pos="9967" w:val="right" w:leader="dot"/>
        </w:tabs>
        <w:spacing w:line="240" w:lineRule="auto" w:before="41" w:after="0"/>
        <w:ind w:left="2240" w:right="0" w:hanging="627"/>
        <w:jc w:val="left"/>
        <w:rPr>
          <w:sz w:val="20"/>
        </w:rPr>
      </w:pPr>
      <w:hyperlink w:history="true" w:anchor="_bookmark214">
        <w:r>
          <w:rPr>
            <w:sz w:val="20"/>
          </w:rPr>
          <w:t>CE Program</w:t>
          <w:tab/>
          <w:t>116</w:t>
        </w:r>
      </w:hyperlink>
    </w:p>
    <w:p>
      <w:pPr>
        <w:pStyle w:val="ListParagraph"/>
        <w:numPr>
          <w:ilvl w:val="2"/>
          <w:numId w:val="2"/>
        </w:numPr>
        <w:tabs>
          <w:tab w:pos="2240" w:val="left" w:leader="none"/>
          <w:tab w:pos="9967" w:val="right" w:leader="dot"/>
        </w:tabs>
        <w:spacing w:line="240" w:lineRule="auto" w:before="39" w:after="0"/>
        <w:ind w:left="2240" w:right="0" w:hanging="627"/>
        <w:jc w:val="left"/>
        <w:rPr>
          <w:sz w:val="20"/>
        </w:rPr>
      </w:pPr>
      <w:hyperlink w:history="true" w:anchor="_bookmark215">
        <w:r>
          <w:rPr>
            <w:sz w:val="20"/>
          </w:rPr>
          <w:t>CE</w:t>
        </w:r>
        <w:r>
          <w:rPr>
            <w:spacing w:val="-3"/>
            <w:sz w:val="20"/>
          </w:rPr>
          <w:t> </w:t>
        </w:r>
        <w:r>
          <w:rPr>
            <w:sz w:val="20"/>
          </w:rPr>
          <w:t>Data</w:t>
        </w:r>
        <w:r>
          <w:rPr>
            <w:spacing w:val="-1"/>
            <w:sz w:val="20"/>
          </w:rPr>
          <w:t> </w:t>
        </w:r>
        <w:r>
          <w:rPr>
            <w:sz w:val="20"/>
          </w:rPr>
          <w:t>Format</w:t>
          <w:tab/>
          <w:t>116</w:t>
        </w:r>
      </w:hyperlink>
    </w:p>
    <w:p>
      <w:pPr>
        <w:pStyle w:val="ListParagraph"/>
        <w:numPr>
          <w:ilvl w:val="2"/>
          <w:numId w:val="2"/>
        </w:numPr>
        <w:tabs>
          <w:tab w:pos="2240" w:val="left" w:leader="none"/>
          <w:tab w:pos="9967" w:val="right" w:leader="dot"/>
        </w:tabs>
        <w:spacing w:line="240" w:lineRule="auto" w:before="41" w:after="0"/>
        <w:ind w:left="2240" w:right="0" w:hanging="627"/>
        <w:jc w:val="left"/>
        <w:rPr>
          <w:sz w:val="20"/>
        </w:rPr>
      </w:pPr>
      <w:hyperlink w:history="true" w:anchor="_bookmark216">
        <w:r>
          <w:rPr>
            <w:sz w:val="20"/>
          </w:rPr>
          <w:t>Constants</w:t>
          <w:tab/>
          <w:t>116</w:t>
        </w:r>
      </w:hyperlink>
    </w:p>
    <w:p>
      <w:pPr>
        <w:pStyle w:val="ListParagraph"/>
        <w:numPr>
          <w:ilvl w:val="2"/>
          <w:numId w:val="2"/>
        </w:numPr>
        <w:tabs>
          <w:tab w:pos="2240" w:val="left" w:leader="none"/>
          <w:tab w:pos="9967" w:val="right" w:leader="dot"/>
        </w:tabs>
        <w:spacing w:line="240" w:lineRule="auto" w:before="39" w:after="0"/>
        <w:ind w:left="2240" w:right="0" w:hanging="627"/>
        <w:jc w:val="left"/>
        <w:rPr>
          <w:sz w:val="20"/>
        </w:rPr>
      </w:pPr>
      <w:hyperlink w:history="true" w:anchor="_bookmark217">
        <w:r>
          <w:rPr>
            <w:sz w:val="20"/>
          </w:rPr>
          <w:t>Environment</w:t>
          <w:tab/>
          <w:t>117</w:t>
        </w:r>
      </w:hyperlink>
    </w:p>
    <w:p>
      <w:pPr>
        <w:pStyle w:val="ListParagraph"/>
        <w:numPr>
          <w:ilvl w:val="2"/>
          <w:numId w:val="2"/>
        </w:numPr>
        <w:tabs>
          <w:tab w:pos="2240" w:val="left" w:leader="none"/>
          <w:tab w:pos="9967" w:val="right" w:leader="dot"/>
        </w:tabs>
        <w:spacing w:line="240" w:lineRule="auto" w:before="42" w:after="0"/>
        <w:ind w:left="2240" w:right="0" w:hanging="627"/>
        <w:jc w:val="left"/>
        <w:rPr>
          <w:sz w:val="20"/>
        </w:rPr>
      </w:pPr>
      <w:hyperlink w:history="true" w:anchor="_bookmark218">
        <w:r>
          <w:rPr>
            <w:sz w:val="20"/>
          </w:rPr>
          <w:t>CE</w:t>
        </w:r>
        <w:r>
          <w:rPr>
            <w:spacing w:val="-3"/>
            <w:sz w:val="20"/>
          </w:rPr>
          <w:t> </w:t>
        </w:r>
        <w:r>
          <w:rPr>
            <w:sz w:val="20"/>
          </w:rPr>
          <w:t>Calculations</w:t>
          <w:tab/>
          <w:t>117</w:t>
        </w:r>
      </w:hyperlink>
    </w:p>
    <w:p>
      <w:pPr>
        <w:pStyle w:val="ListParagraph"/>
        <w:numPr>
          <w:ilvl w:val="2"/>
          <w:numId w:val="2"/>
        </w:numPr>
        <w:tabs>
          <w:tab w:pos="2240" w:val="left" w:leader="none"/>
          <w:tab w:pos="9967" w:val="right" w:leader="dot"/>
        </w:tabs>
        <w:spacing w:line="240" w:lineRule="auto" w:before="38" w:after="0"/>
        <w:ind w:left="2240" w:right="0" w:hanging="627"/>
        <w:jc w:val="left"/>
        <w:rPr>
          <w:sz w:val="20"/>
        </w:rPr>
      </w:pPr>
      <w:hyperlink w:history="true" w:anchor="_bookmark220">
        <w:r>
          <w:rPr>
            <w:sz w:val="20"/>
          </w:rPr>
          <w:t>CE Front-End Data</w:t>
        </w:r>
        <w:r>
          <w:rPr>
            <w:spacing w:val="-3"/>
            <w:sz w:val="20"/>
          </w:rPr>
          <w:t> </w:t>
        </w:r>
        <w:r>
          <w:rPr>
            <w:sz w:val="20"/>
          </w:rPr>
          <w:t>(Raw</w:t>
        </w:r>
        <w:r>
          <w:rPr>
            <w:spacing w:val="-1"/>
            <w:sz w:val="20"/>
          </w:rPr>
          <w:t> </w:t>
        </w:r>
        <w:r>
          <w:rPr>
            <w:sz w:val="20"/>
          </w:rPr>
          <w:t>Data)</w:t>
          <w:tab/>
          <w:t>118</w:t>
        </w:r>
      </w:hyperlink>
    </w:p>
    <w:p>
      <w:pPr>
        <w:pStyle w:val="ListParagraph"/>
        <w:numPr>
          <w:ilvl w:val="2"/>
          <w:numId w:val="2"/>
        </w:numPr>
        <w:tabs>
          <w:tab w:pos="2240" w:val="left" w:leader="none"/>
          <w:tab w:pos="9967" w:val="right" w:leader="dot"/>
        </w:tabs>
        <w:spacing w:line="240" w:lineRule="auto" w:before="42" w:after="0"/>
        <w:ind w:left="2240" w:right="0" w:hanging="627"/>
        <w:jc w:val="left"/>
        <w:rPr>
          <w:sz w:val="20"/>
        </w:rPr>
      </w:pPr>
      <w:hyperlink w:history="true" w:anchor="_bookmark222">
        <w:r>
          <w:rPr>
            <w:sz w:val="20"/>
          </w:rPr>
          <w:t>CE Status and</w:t>
        </w:r>
        <w:r>
          <w:rPr>
            <w:spacing w:val="1"/>
            <w:sz w:val="20"/>
          </w:rPr>
          <w:t> </w:t>
        </w:r>
        <w:r>
          <w:rPr>
            <w:sz w:val="20"/>
          </w:rPr>
          <w:t>Control</w:t>
          <w:tab/>
          <w:t>119</w:t>
        </w:r>
      </w:hyperlink>
    </w:p>
    <w:p>
      <w:pPr>
        <w:pStyle w:val="ListParagraph"/>
        <w:numPr>
          <w:ilvl w:val="2"/>
          <w:numId w:val="2"/>
        </w:numPr>
        <w:tabs>
          <w:tab w:pos="2240" w:val="left" w:leader="none"/>
          <w:tab w:pos="9967" w:val="right" w:leader="dot"/>
        </w:tabs>
        <w:spacing w:line="240" w:lineRule="auto" w:before="38" w:after="0"/>
        <w:ind w:left="2240" w:right="0" w:hanging="627"/>
        <w:jc w:val="left"/>
        <w:rPr>
          <w:sz w:val="20"/>
        </w:rPr>
      </w:pPr>
      <w:hyperlink w:history="true" w:anchor="_bookmark228">
        <w:r>
          <w:rPr>
            <w:sz w:val="20"/>
          </w:rPr>
          <w:t>CE</w:t>
        </w:r>
        <w:r>
          <w:rPr>
            <w:spacing w:val="-3"/>
            <w:sz w:val="20"/>
          </w:rPr>
          <w:t> </w:t>
        </w:r>
        <w:r>
          <w:rPr>
            <w:sz w:val="20"/>
          </w:rPr>
          <w:t>Transfer Variables</w:t>
          <w:tab/>
          <w:t>121</w:t>
        </w:r>
      </w:hyperlink>
    </w:p>
    <w:p>
      <w:pPr>
        <w:pStyle w:val="ListParagraph"/>
        <w:numPr>
          <w:ilvl w:val="2"/>
          <w:numId w:val="2"/>
        </w:numPr>
        <w:tabs>
          <w:tab w:pos="2240" w:val="left" w:leader="none"/>
          <w:tab w:pos="9967" w:val="right" w:leader="dot"/>
        </w:tabs>
        <w:spacing w:line="240" w:lineRule="auto" w:before="42" w:after="0"/>
        <w:ind w:left="2240" w:right="0" w:hanging="627"/>
        <w:jc w:val="left"/>
        <w:rPr>
          <w:sz w:val="20"/>
        </w:rPr>
      </w:pPr>
      <w:hyperlink w:history="true" w:anchor="_bookmark234">
        <w:r>
          <w:rPr>
            <w:sz w:val="20"/>
          </w:rPr>
          <w:t>Pulse Generation</w:t>
          <w:tab/>
          <w:t>123</w:t>
        </w:r>
      </w:hyperlink>
    </w:p>
    <w:p>
      <w:pPr>
        <w:pStyle w:val="ListParagraph"/>
        <w:numPr>
          <w:ilvl w:val="2"/>
          <w:numId w:val="2"/>
        </w:numPr>
        <w:tabs>
          <w:tab w:pos="2240" w:val="left" w:leader="none"/>
          <w:tab w:pos="9967" w:val="right" w:leader="dot"/>
        </w:tabs>
        <w:spacing w:line="240" w:lineRule="auto" w:before="38" w:after="0"/>
        <w:ind w:left="2240" w:right="0" w:hanging="627"/>
        <w:jc w:val="left"/>
        <w:rPr>
          <w:sz w:val="20"/>
        </w:rPr>
      </w:pPr>
      <w:hyperlink w:history="true" w:anchor="_bookmark237">
        <w:r>
          <w:rPr>
            <w:sz w:val="20"/>
          </w:rPr>
          <w:t>CE</w:t>
        </w:r>
        <w:r>
          <w:rPr>
            <w:spacing w:val="-3"/>
            <w:sz w:val="20"/>
          </w:rPr>
          <w:t> </w:t>
        </w:r>
        <w:r>
          <w:rPr>
            <w:sz w:val="20"/>
          </w:rPr>
          <w:t>Calibration</w:t>
        </w:r>
        <w:r>
          <w:rPr>
            <w:spacing w:val="1"/>
            <w:sz w:val="20"/>
          </w:rPr>
          <w:t> </w:t>
        </w:r>
        <w:r>
          <w:rPr>
            <w:sz w:val="20"/>
          </w:rPr>
          <w:t>Parameters</w:t>
          <w:tab/>
          <w:t>127</w:t>
        </w:r>
      </w:hyperlink>
    </w:p>
    <w:p>
      <w:pPr>
        <w:pStyle w:val="ListParagraph"/>
        <w:numPr>
          <w:ilvl w:val="2"/>
          <w:numId w:val="2"/>
        </w:numPr>
        <w:tabs>
          <w:tab w:pos="2240" w:val="left" w:leader="none"/>
          <w:tab w:pos="9967" w:val="right" w:leader="dot"/>
        </w:tabs>
        <w:spacing w:line="240" w:lineRule="auto" w:before="42" w:after="0"/>
        <w:ind w:left="2240" w:right="0" w:hanging="627"/>
        <w:jc w:val="left"/>
        <w:rPr>
          <w:sz w:val="20"/>
        </w:rPr>
      </w:pPr>
      <w:hyperlink w:history="true" w:anchor="_bookmark239">
        <w:r>
          <w:rPr>
            <w:sz w:val="20"/>
          </w:rPr>
          <w:t>CE</w:t>
        </w:r>
        <w:r>
          <w:rPr>
            <w:spacing w:val="-3"/>
            <w:sz w:val="20"/>
          </w:rPr>
          <w:t> </w:t>
        </w:r>
        <w:r>
          <w:rPr>
            <w:sz w:val="20"/>
          </w:rPr>
          <w:t>Flow</w:t>
        </w:r>
        <w:r>
          <w:rPr>
            <w:spacing w:val="-3"/>
            <w:sz w:val="20"/>
          </w:rPr>
          <w:t> </w:t>
        </w:r>
        <w:r>
          <w:rPr>
            <w:sz w:val="20"/>
          </w:rPr>
          <w:t>Diagrams</w:t>
          <w:tab/>
          <w:t>128</w:t>
        </w:r>
      </w:hyperlink>
    </w:p>
    <w:p>
      <w:pPr>
        <w:spacing w:after="0" w:line="240" w:lineRule="auto"/>
        <w:jc w:val="left"/>
        <w:rPr>
          <w:sz w:val="20"/>
        </w:rPr>
        <w:sectPr>
          <w:pgSz w:w="12240" w:h="15840"/>
          <w:pgMar w:header="727" w:footer="819" w:top="960" w:bottom="1000" w:left="820" w:right="860"/>
        </w:sectPr>
      </w:pPr>
    </w:p>
    <w:p>
      <w:pPr>
        <w:pStyle w:val="Heading1"/>
        <w:numPr>
          <w:ilvl w:val="0"/>
          <w:numId w:val="2"/>
        </w:numPr>
        <w:tabs>
          <w:tab w:pos="1071" w:val="left" w:leader="none"/>
          <w:tab w:pos="1072" w:val="left" w:leader="none"/>
          <w:tab w:pos="9967" w:val="right" w:leader="dot"/>
        </w:tabs>
        <w:spacing w:line="240" w:lineRule="auto" w:before="239" w:after="0"/>
        <w:ind w:left="1071" w:right="0" w:hanging="452"/>
        <w:jc w:val="left"/>
      </w:pPr>
      <w:hyperlink w:history="true" w:anchor="_bookmark243">
        <w:r>
          <w:rPr/>
          <w:t>71M6543</w:t>
        </w:r>
        <w:r>
          <w:rPr>
            <w:spacing w:val="-2"/>
          </w:rPr>
          <w:t> </w:t>
        </w:r>
        <w:r>
          <w:rPr/>
          <w:t>Specifications</w:t>
          <w:tab/>
          <w:t>130</w:t>
        </w:r>
      </w:hyperlink>
    </w:p>
    <w:p>
      <w:pPr>
        <w:pStyle w:val="ListParagraph"/>
        <w:numPr>
          <w:ilvl w:val="1"/>
          <w:numId w:val="2"/>
        </w:numPr>
        <w:tabs>
          <w:tab w:pos="1570" w:val="left" w:leader="none"/>
          <w:tab w:pos="1571" w:val="left" w:leader="none"/>
          <w:tab w:pos="9967" w:val="right" w:leader="dot"/>
        </w:tabs>
        <w:spacing w:line="240" w:lineRule="auto" w:before="42" w:after="0"/>
        <w:ind w:left="1570" w:right="0" w:hanging="505"/>
        <w:jc w:val="left"/>
        <w:rPr>
          <w:sz w:val="20"/>
        </w:rPr>
      </w:pPr>
      <w:hyperlink w:history="true" w:anchor="_bookmark244">
        <w:r>
          <w:rPr>
            <w:sz w:val="20"/>
          </w:rPr>
          <w:t>Absolute Maximum</w:t>
        </w:r>
        <w:r>
          <w:rPr>
            <w:spacing w:val="3"/>
            <w:sz w:val="20"/>
          </w:rPr>
          <w:t> </w:t>
        </w:r>
        <w:r>
          <w:rPr>
            <w:sz w:val="20"/>
          </w:rPr>
          <w:t>Ratings</w:t>
          <w:tab/>
          <w:t>130</w:t>
        </w:r>
      </w:hyperlink>
    </w:p>
    <w:p>
      <w:pPr>
        <w:pStyle w:val="ListParagraph"/>
        <w:numPr>
          <w:ilvl w:val="1"/>
          <w:numId w:val="2"/>
        </w:numPr>
        <w:tabs>
          <w:tab w:pos="1570" w:val="left" w:leader="none"/>
          <w:tab w:pos="1571" w:val="left" w:leader="none"/>
          <w:tab w:pos="9967" w:val="right" w:leader="dot"/>
        </w:tabs>
        <w:spacing w:line="240" w:lineRule="auto" w:before="41" w:after="0"/>
        <w:ind w:left="1570" w:right="0" w:hanging="505"/>
        <w:jc w:val="left"/>
        <w:rPr>
          <w:sz w:val="20"/>
        </w:rPr>
      </w:pPr>
      <w:hyperlink w:history="true" w:anchor="_bookmark246">
        <w:r>
          <w:rPr>
            <w:sz w:val="20"/>
          </w:rPr>
          <w:t>Recommended</w:t>
        </w:r>
        <w:r>
          <w:rPr>
            <w:spacing w:val="-2"/>
            <w:sz w:val="20"/>
          </w:rPr>
          <w:t> </w:t>
        </w:r>
        <w:r>
          <w:rPr>
            <w:sz w:val="20"/>
          </w:rPr>
          <w:t>External</w:t>
        </w:r>
        <w:r>
          <w:rPr>
            <w:spacing w:val="-2"/>
            <w:sz w:val="20"/>
          </w:rPr>
          <w:t> </w:t>
        </w:r>
        <w:r>
          <w:rPr>
            <w:sz w:val="20"/>
          </w:rPr>
          <w:t>Components</w:t>
          <w:tab/>
          <w:t>131</w:t>
        </w:r>
      </w:hyperlink>
    </w:p>
    <w:p>
      <w:pPr>
        <w:pStyle w:val="ListParagraph"/>
        <w:numPr>
          <w:ilvl w:val="1"/>
          <w:numId w:val="2"/>
        </w:numPr>
        <w:tabs>
          <w:tab w:pos="1570" w:val="left" w:leader="none"/>
          <w:tab w:pos="1571" w:val="left" w:leader="none"/>
          <w:tab w:pos="9967" w:val="right" w:leader="dot"/>
        </w:tabs>
        <w:spacing w:line="240" w:lineRule="auto" w:before="39" w:after="0"/>
        <w:ind w:left="1570" w:right="0" w:hanging="505"/>
        <w:jc w:val="left"/>
        <w:rPr>
          <w:sz w:val="20"/>
        </w:rPr>
      </w:pPr>
      <w:hyperlink w:history="true" w:anchor="_bookmark248">
        <w:r>
          <w:rPr>
            <w:sz w:val="20"/>
          </w:rPr>
          <w:t>Recommended</w:t>
        </w:r>
        <w:r>
          <w:rPr>
            <w:spacing w:val="-2"/>
            <w:sz w:val="20"/>
          </w:rPr>
          <w:t> </w:t>
        </w:r>
        <w:r>
          <w:rPr>
            <w:sz w:val="20"/>
          </w:rPr>
          <w:t>Operating</w:t>
        </w:r>
        <w:r>
          <w:rPr>
            <w:spacing w:val="1"/>
            <w:sz w:val="20"/>
          </w:rPr>
          <w:t> </w:t>
        </w:r>
        <w:r>
          <w:rPr>
            <w:sz w:val="20"/>
          </w:rPr>
          <w:t>Conditions</w:t>
          <w:tab/>
          <w:t>131</w:t>
        </w:r>
      </w:hyperlink>
    </w:p>
    <w:p>
      <w:pPr>
        <w:pStyle w:val="ListParagraph"/>
        <w:numPr>
          <w:ilvl w:val="1"/>
          <w:numId w:val="2"/>
        </w:numPr>
        <w:tabs>
          <w:tab w:pos="1570" w:val="left" w:leader="none"/>
          <w:tab w:pos="1571" w:val="left" w:leader="none"/>
          <w:tab w:pos="9967" w:val="right" w:leader="dot"/>
        </w:tabs>
        <w:spacing w:line="240" w:lineRule="auto" w:before="41" w:after="0"/>
        <w:ind w:left="1570" w:right="0" w:hanging="505"/>
        <w:jc w:val="left"/>
        <w:rPr>
          <w:sz w:val="20"/>
        </w:rPr>
      </w:pPr>
      <w:hyperlink w:history="true" w:anchor="_bookmark250">
        <w:r>
          <w:rPr>
            <w:sz w:val="20"/>
          </w:rPr>
          <w:t>Performance</w:t>
        </w:r>
        <w:r>
          <w:rPr>
            <w:spacing w:val="-2"/>
            <w:sz w:val="20"/>
          </w:rPr>
          <w:t> </w:t>
        </w:r>
        <w:r>
          <w:rPr>
            <w:sz w:val="20"/>
          </w:rPr>
          <w:t>Specifications</w:t>
          <w:tab/>
          <w:t>132</w:t>
        </w:r>
      </w:hyperlink>
    </w:p>
    <w:p>
      <w:pPr>
        <w:pStyle w:val="ListParagraph"/>
        <w:numPr>
          <w:ilvl w:val="2"/>
          <w:numId w:val="2"/>
        </w:numPr>
        <w:tabs>
          <w:tab w:pos="2240" w:val="left" w:leader="none"/>
          <w:tab w:pos="9967" w:val="right" w:leader="dot"/>
        </w:tabs>
        <w:spacing w:line="240" w:lineRule="auto" w:before="39" w:after="0"/>
        <w:ind w:left="2240" w:right="0" w:hanging="627"/>
        <w:jc w:val="left"/>
        <w:rPr>
          <w:sz w:val="20"/>
        </w:rPr>
      </w:pPr>
      <w:hyperlink w:history="true" w:anchor="_bookmark251">
        <w:r>
          <w:rPr>
            <w:sz w:val="20"/>
          </w:rPr>
          <w:t>Input Logic Levels</w:t>
          <w:tab/>
          <w:t>132</w:t>
        </w:r>
      </w:hyperlink>
    </w:p>
    <w:p>
      <w:pPr>
        <w:pStyle w:val="ListParagraph"/>
        <w:numPr>
          <w:ilvl w:val="2"/>
          <w:numId w:val="2"/>
        </w:numPr>
        <w:tabs>
          <w:tab w:pos="2240" w:val="left" w:leader="none"/>
          <w:tab w:pos="9967" w:val="right" w:leader="dot"/>
        </w:tabs>
        <w:spacing w:line="240" w:lineRule="auto" w:before="41" w:after="0"/>
        <w:ind w:left="2240" w:right="0" w:hanging="627"/>
        <w:jc w:val="left"/>
        <w:rPr>
          <w:sz w:val="20"/>
        </w:rPr>
      </w:pPr>
      <w:hyperlink w:history="true" w:anchor="_bookmark253">
        <w:r>
          <w:rPr>
            <w:sz w:val="20"/>
          </w:rPr>
          <w:t>Output Logic Levels</w:t>
          <w:tab/>
          <w:t>132</w:t>
        </w:r>
      </w:hyperlink>
    </w:p>
    <w:p>
      <w:pPr>
        <w:pStyle w:val="ListParagraph"/>
        <w:numPr>
          <w:ilvl w:val="2"/>
          <w:numId w:val="2"/>
        </w:numPr>
        <w:tabs>
          <w:tab w:pos="2240" w:val="left" w:leader="none"/>
          <w:tab w:pos="9967" w:val="right" w:leader="dot"/>
        </w:tabs>
        <w:spacing w:line="240" w:lineRule="auto" w:before="39" w:after="0"/>
        <w:ind w:left="2240" w:right="0" w:hanging="627"/>
        <w:jc w:val="left"/>
        <w:rPr>
          <w:sz w:val="20"/>
        </w:rPr>
      </w:pPr>
      <w:hyperlink w:history="true" w:anchor="_bookmark255">
        <w:r>
          <w:rPr>
            <w:sz w:val="20"/>
          </w:rPr>
          <w:t>Battery</w:t>
        </w:r>
        <w:r>
          <w:rPr>
            <w:spacing w:val="-3"/>
            <w:sz w:val="20"/>
          </w:rPr>
          <w:t> </w:t>
        </w:r>
        <w:r>
          <w:rPr>
            <w:sz w:val="20"/>
          </w:rPr>
          <w:t>Monitor</w:t>
          <w:tab/>
          <w:t>133</w:t>
        </w:r>
      </w:hyperlink>
    </w:p>
    <w:p>
      <w:pPr>
        <w:pStyle w:val="ListParagraph"/>
        <w:numPr>
          <w:ilvl w:val="2"/>
          <w:numId w:val="2"/>
        </w:numPr>
        <w:tabs>
          <w:tab w:pos="2240" w:val="left" w:leader="none"/>
          <w:tab w:pos="9967" w:val="right" w:leader="dot"/>
        </w:tabs>
        <w:spacing w:line="240" w:lineRule="auto" w:before="41" w:after="0"/>
        <w:ind w:left="2240" w:right="0" w:hanging="627"/>
        <w:jc w:val="left"/>
        <w:rPr>
          <w:sz w:val="20"/>
        </w:rPr>
      </w:pPr>
      <w:hyperlink w:history="true" w:anchor="_bookmark257">
        <w:r>
          <w:rPr>
            <w:sz w:val="20"/>
          </w:rPr>
          <w:t>Temperature</w:t>
        </w:r>
        <w:r>
          <w:rPr>
            <w:spacing w:val="-2"/>
            <w:sz w:val="20"/>
          </w:rPr>
          <w:t> </w:t>
        </w:r>
        <w:r>
          <w:rPr>
            <w:sz w:val="20"/>
          </w:rPr>
          <w:t>Monitor</w:t>
          <w:tab/>
          <w:t>134</w:t>
        </w:r>
      </w:hyperlink>
    </w:p>
    <w:p>
      <w:pPr>
        <w:pStyle w:val="ListParagraph"/>
        <w:numPr>
          <w:ilvl w:val="2"/>
          <w:numId w:val="2"/>
        </w:numPr>
        <w:tabs>
          <w:tab w:pos="2240" w:val="left" w:leader="none"/>
          <w:tab w:pos="9967" w:val="right" w:leader="dot"/>
        </w:tabs>
        <w:spacing w:line="240" w:lineRule="auto" w:before="39" w:after="0"/>
        <w:ind w:left="2240" w:right="0" w:hanging="627"/>
        <w:jc w:val="left"/>
        <w:rPr>
          <w:sz w:val="20"/>
        </w:rPr>
      </w:pPr>
      <w:hyperlink w:history="true" w:anchor="_bookmark259">
        <w:r>
          <w:rPr>
            <w:sz w:val="20"/>
          </w:rPr>
          <w:t>Supply</w:t>
        </w:r>
        <w:r>
          <w:rPr>
            <w:spacing w:val="-5"/>
            <w:sz w:val="20"/>
          </w:rPr>
          <w:t> </w:t>
        </w:r>
        <w:r>
          <w:rPr>
            <w:sz w:val="20"/>
          </w:rPr>
          <w:t>Current</w:t>
          <w:tab/>
          <w:t>135</w:t>
        </w:r>
      </w:hyperlink>
    </w:p>
    <w:p>
      <w:pPr>
        <w:pStyle w:val="ListParagraph"/>
        <w:numPr>
          <w:ilvl w:val="2"/>
          <w:numId w:val="2"/>
        </w:numPr>
        <w:tabs>
          <w:tab w:pos="2240" w:val="left" w:leader="none"/>
          <w:tab w:pos="9967" w:val="right" w:leader="dot"/>
        </w:tabs>
        <w:spacing w:line="240" w:lineRule="auto" w:before="41" w:after="0"/>
        <w:ind w:left="2240" w:right="0" w:hanging="627"/>
        <w:jc w:val="left"/>
        <w:rPr>
          <w:sz w:val="20"/>
        </w:rPr>
      </w:pPr>
      <w:hyperlink w:history="true" w:anchor="_bookmark261">
        <w:r>
          <w:rPr>
            <w:sz w:val="20"/>
          </w:rPr>
          <w:t>V3P3D</w:t>
        </w:r>
        <w:r>
          <w:rPr>
            <w:spacing w:val="1"/>
            <w:sz w:val="20"/>
          </w:rPr>
          <w:t> </w:t>
        </w:r>
        <w:r>
          <w:rPr>
            <w:sz w:val="20"/>
          </w:rPr>
          <w:t>Switch</w:t>
          <w:tab/>
          <w:t>136</w:t>
        </w:r>
      </w:hyperlink>
    </w:p>
    <w:p>
      <w:pPr>
        <w:pStyle w:val="ListParagraph"/>
        <w:numPr>
          <w:ilvl w:val="2"/>
          <w:numId w:val="2"/>
        </w:numPr>
        <w:tabs>
          <w:tab w:pos="2240" w:val="left" w:leader="none"/>
          <w:tab w:pos="9967" w:val="right" w:leader="dot"/>
        </w:tabs>
        <w:spacing w:line="240" w:lineRule="auto" w:before="39" w:after="0"/>
        <w:ind w:left="2240" w:right="0" w:hanging="627"/>
        <w:jc w:val="left"/>
        <w:rPr>
          <w:sz w:val="20"/>
        </w:rPr>
      </w:pPr>
      <w:hyperlink w:history="true" w:anchor="_bookmark263">
        <w:r>
          <w:rPr>
            <w:sz w:val="20"/>
          </w:rPr>
          <w:t>Internal Power</w:t>
        </w:r>
        <w:r>
          <w:rPr>
            <w:spacing w:val="-1"/>
            <w:sz w:val="20"/>
          </w:rPr>
          <w:t> </w:t>
        </w:r>
        <w:r>
          <w:rPr>
            <w:sz w:val="20"/>
          </w:rPr>
          <w:t>Fault</w:t>
        </w:r>
        <w:r>
          <w:rPr>
            <w:spacing w:val="-1"/>
            <w:sz w:val="20"/>
          </w:rPr>
          <w:t> </w:t>
        </w:r>
        <w:r>
          <w:rPr>
            <w:sz w:val="20"/>
          </w:rPr>
          <w:t>Comparators</w:t>
          <w:tab/>
          <w:t>136</w:t>
        </w:r>
      </w:hyperlink>
    </w:p>
    <w:p>
      <w:pPr>
        <w:pStyle w:val="ListParagraph"/>
        <w:numPr>
          <w:ilvl w:val="2"/>
          <w:numId w:val="2"/>
        </w:numPr>
        <w:tabs>
          <w:tab w:pos="2240" w:val="left" w:leader="none"/>
          <w:tab w:pos="9967" w:val="right" w:leader="dot"/>
        </w:tabs>
        <w:spacing w:line="240" w:lineRule="auto" w:before="41" w:after="0"/>
        <w:ind w:left="2240" w:right="0" w:hanging="627"/>
        <w:jc w:val="left"/>
        <w:rPr>
          <w:sz w:val="20"/>
        </w:rPr>
      </w:pPr>
      <w:hyperlink w:history="true" w:anchor="_bookmark265">
        <w:r>
          <w:rPr>
            <w:sz w:val="20"/>
          </w:rPr>
          <w:t>2.5 V Voltage Regulator –</w:t>
        </w:r>
        <w:r>
          <w:rPr>
            <w:spacing w:val="1"/>
            <w:sz w:val="20"/>
          </w:rPr>
          <w:t> </w:t>
        </w:r>
        <w:r>
          <w:rPr>
            <w:sz w:val="20"/>
          </w:rPr>
          <w:t>System</w:t>
        </w:r>
        <w:r>
          <w:rPr>
            <w:spacing w:val="3"/>
            <w:sz w:val="20"/>
          </w:rPr>
          <w:t> </w:t>
        </w:r>
        <w:r>
          <w:rPr>
            <w:sz w:val="20"/>
          </w:rPr>
          <w:t>Power</w:t>
          <w:tab/>
          <w:t>136</w:t>
        </w:r>
      </w:hyperlink>
    </w:p>
    <w:p>
      <w:pPr>
        <w:pStyle w:val="ListParagraph"/>
        <w:numPr>
          <w:ilvl w:val="2"/>
          <w:numId w:val="2"/>
        </w:numPr>
        <w:tabs>
          <w:tab w:pos="2240" w:val="left" w:leader="none"/>
          <w:tab w:pos="9967" w:val="right" w:leader="dot"/>
        </w:tabs>
        <w:spacing w:line="240" w:lineRule="auto" w:before="39" w:after="0"/>
        <w:ind w:left="2240" w:right="0" w:hanging="627"/>
        <w:jc w:val="left"/>
        <w:rPr>
          <w:sz w:val="20"/>
        </w:rPr>
      </w:pPr>
      <w:hyperlink w:history="true" w:anchor="_bookmark267">
        <w:r>
          <w:rPr>
            <w:sz w:val="20"/>
          </w:rPr>
          <w:t>2.5 V Voltage Regulator –</w:t>
        </w:r>
        <w:r>
          <w:rPr>
            <w:spacing w:val="2"/>
            <w:sz w:val="20"/>
          </w:rPr>
          <w:t> </w:t>
        </w:r>
        <w:r>
          <w:rPr>
            <w:sz w:val="20"/>
          </w:rPr>
          <w:t>Battery</w:t>
        </w:r>
        <w:r>
          <w:rPr>
            <w:spacing w:val="-3"/>
            <w:sz w:val="20"/>
          </w:rPr>
          <w:t> </w:t>
        </w:r>
        <w:r>
          <w:rPr>
            <w:sz w:val="20"/>
          </w:rPr>
          <w:t>Power</w:t>
          <w:tab/>
          <w:t>137</w:t>
        </w:r>
      </w:hyperlink>
    </w:p>
    <w:p>
      <w:pPr>
        <w:pStyle w:val="ListParagraph"/>
        <w:numPr>
          <w:ilvl w:val="2"/>
          <w:numId w:val="2"/>
        </w:numPr>
        <w:tabs>
          <w:tab w:pos="2240" w:val="left" w:leader="none"/>
          <w:tab w:pos="9967" w:val="right" w:leader="dot"/>
        </w:tabs>
        <w:spacing w:line="240" w:lineRule="auto" w:before="41" w:after="0"/>
        <w:ind w:left="2240" w:right="0" w:hanging="627"/>
        <w:jc w:val="left"/>
        <w:rPr>
          <w:sz w:val="20"/>
        </w:rPr>
      </w:pPr>
      <w:hyperlink w:history="true" w:anchor="_bookmark269">
        <w:r>
          <w:rPr>
            <w:sz w:val="20"/>
          </w:rPr>
          <w:t>Crystal</w:t>
        </w:r>
        <w:r>
          <w:rPr>
            <w:spacing w:val="-3"/>
            <w:sz w:val="20"/>
          </w:rPr>
          <w:t> </w:t>
        </w:r>
        <w:r>
          <w:rPr>
            <w:sz w:val="20"/>
          </w:rPr>
          <w:t>Oscillator</w:t>
          <w:tab/>
          <w:t>137</w:t>
        </w:r>
      </w:hyperlink>
    </w:p>
    <w:p>
      <w:pPr>
        <w:pStyle w:val="ListParagraph"/>
        <w:numPr>
          <w:ilvl w:val="2"/>
          <w:numId w:val="2"/>
        </w:numPr>
        <w:tabs>
          <w:tab w:pos="2240" w:val="left" w:leader="none"/>
          <w:tab w:pos="9967" w:val="right" w:leader="dot"/>
        </w:tabs>
        <w:spacing w:line="240" w:lineRule="auto" w:before="39" w:after="0"/>
        <w:ind w:left="2240" w:right="0" w:hanging="627"/>
        <w:jc w:val="left"/>
        <w:rPr>
          <w:sz w:val="20"/>
        </w:rPr>
      </w:pPr>
      <w:hyperlink w:history="true" w:anchor="_bookmark271">
        <w:r>
          <w:rPr>
            <w:sz w:val="20"/>
          </w:rPr>
          <w:t>Phase-Locked</w:t>
        </w:r>
        <w:r>
          <w:rPr>
            <w:spacing w:val="-2"/>
            <w:sz w:val="20"/>
          </w:rPr>
          <w:t> </w:t>
        </w:r>
        <w:r>
          <w:rPr>
            <w:sz w:val="20"/>
          </w:rPr>
          <w:t>Loop</w:t>
        </w:r>
        <w:r>
          <w:rPr>
            <w:spacing w:val="1"/>
            <w:sz w:val="20"/>
          </w:rPr>
          <w:t> </w:t>
        </w:r>
        <w:r>
          <w:rPr>
            <w:sz w:val="20"/>
          </w:rPr>
          <w:t>(PLL)</w:t>
          <w:tab/>
          <w:t>137</w:t>
        </w:r>
      </w:hyperlink>
    </w:p>
    <w:p>
      <w:pPr>
        <w:pStyle w:val="ListParagraph"/>
        <w:numPr>
          <w:ilvl w:val="2"/>
          <w:numId w:val="2"/>
        </w:numPr>
        <w:tabs>
          <w:tab w:pos="2240" w:val="left" w:leader="none"/>
          <w:tab w:pos="9967" w:val="right" w:leader="dot"/>
        </w:tabs>
        <w:spacing w:line="240" w:lineRule="auto" w:before="41" w:after="0"/>
        <w:ind w:left="2240" w:right="0" w:hanging="627"/>
        <w:jc w:val="left"/>
        <w:rPr>
          <w:sz w:val="20"/>
        </w:rPr>
      </w:pPr>
      <w:hyperlink w:history="true" w:anchor="_bookmark273">
        <w:r>
          <w:rPr>
            <w:sz w:val="20"/>
          </w:rPr>
          <w:t>LCD</w:t>
        </w:r>
        <w:r>
          <w:rPr>
            <w:spacing w:val="-2"/>
            <w:sz w:val="20"/>
          </w:rPr>
          <w:t> </w:t>
        </w:r>
        <w:r>
          <w:rPr>
            <w:sz w:val="20"/>
          </w:rPr>
          <w:t>Drivers</w:t>
          <w:tab/>
          <w:t>137</w:t>
        </w:r>
      </w:hyperlink>
    </w:p>
    <w:p>
      <w:pPr>
        <w:pStyle w:val="ListParagraph"/>
        <w:numPr>
          <w:ilvl w:val="2"/>
          <w:numId w:val="2"/>
        </w:numPr>
        <w:tabs>
          <w:tab w:pos="2240" w:val="left" w:leader="none"/>
          <w:tab w:pos="9967" w:val="right" w:leader="dot"/>
        </w:tabs>
        <w:spacing w:line="240" w:lineRule="auto" w:before="39" w:after="0"/>
        <w:ind w:left="2240" w:right="0" w:hanging="627"/>
        <w:jc w:val="left"/>
        <w:rPr>
          <w:sz w:val="20"/>
        </w:rPr>
      </w:pPr>
      <w:hyperlink w:history="true" w:anchor="_bookmark275">
        <w:r>
          <w:rPr>
            <w:sz w:val="20"/>
          </w:rPr>
          <w:t>VLCD</w:t>
        </w:r>
        <w:r>
          <w:rPr>
            <w:spacing w:val="-2"/>
            <w:sz w:val="20"/>
          </w:rPr>
          <w:t> </w:t>
        </w:r>
        <w:r>
          <w:rPr>
            <w:sz w:val="20"/>
          </w:rPr>
          <w:t>Generator</w:t>
          <w:tab/>
          <w:t>138</w:t>
        </w:r>
      </w:hyperlink>
    </w:p>
    <w:p>
      <w:pPr>
        <w:pStyle w:val="BodyText"/>
        <w:tabs>
          <w:tab w:pos="9967" w:val="right" w:leader="dot"/>
        </w:tabs>
        <w:spacing w:before="41"/>
        <w:ind w:left="1613"/>
      </w:pPr>
      <w:hyperlink w:history="true" w:anchor="_bookmark277">
        <w:r>
          <w:rPr/>
          <w:t>6.4.14</w:t>
        </w:r>
        <w:r>
          <w:rPr>
            <w:spacing w:val="15"/>
          </w:rPr>
          <w:t> </w:t>
        </w:r>
        <w:r>
          <w:rPr/>
          <w:t>71M6543</w:t>
        </w:r>
        <w:r>
          <w:rPr>
            <w:spacing w:val="-1"/>
          </w:rPr>
          <w:t> </w:t>
        </w:r>
        <w:r>
          <w:rPr/>
          <w:t>VREF</w:t>
          <w:tab/>
          <w:t>140</w:t>
        </w:r>
      </w:hyperlink>
    </w:p>
    <w:p>
      <w:pPr>
        <w:pStyle w:val="ListParagraph"/>
        <w:numPr>
          <w:ilvl w:val="2"/>
          <w:numId w:val="5"/>
        </w:numPr>
        <w:tabs>
          <w:tab w:pos="2240" w:val="left" w:leader="none"/>
          <w:tab w:pos="9967" w:val="right" w:leader="dot"/>
        </w:tabs>
        <w:spacing w:line="240" w:lineRule="auto" w:before="39" w:after="0"/>
        <w:ind w:left="2240" w:right="0" w:hanging="627"/>
        <w:jc w:val="left"/>
        <w:rPr>
          <w:sz w:val="20"/>
        </w:rPr>
      </w:pPr>
      <w:hyperlink w:history="true" w:anchor="_bookmark279">
        <w:r>
          <w:rPr>
            <w:sz w:val="20"/>
          </w:rPr>
          <w:t>ADC</w:t>
        </w:r>
        <w:r>
          <w:rPr>
            <w:spacing w:val="-2"/>
            <w:sz w:val="20"/>
          </w:rPr>
          <w:t> </w:t>
        </w:r>
        <w:r>
          <w:rPr>
            <w:sz w:val="20"/>
          </w:rPr>
          <w:t>Converter</w:t>
          <w:tab/>
          <w:t>141</w:t>
        </w:r>
      </w:hyperlink>
    </w:p>
    <w:p>
      <w:pPr>
        <w:pStyle w:val="ListParagraph"/>
        <w:numPr>
          <w:ilvl w:val="2"/>
          <w:numId w:val="5"/>
        </w:numPr>
        <w:tabs>
          <w:tab w:pos="2240" w:val="left" w:leader="none"/>
          <w:tab w:pos="9967" w:val="right" w:leader="dot"/>
        </w:tabs>
        <w:spacing w:line="240" w:lineRule="auto" w:before="41" w:after="0"/>
        <w:ind w:left="2240" w:right="0" w:hanging="627"/>
        <w:jc w:val="left"/>
        <w:rPr>
          <w:sz w:val="20"/>
        </w:rPr>
      </w:pPr>
      <w:hyperlink w:history="true" w:anchor="_bookmark281">
        <w:r>
          <w:rPr>
            <w:sz w:val="20"/>
          </w:rPr>
          <w:t>Pre-Amplifier</w:t>
        </w:r>
        <w:r>
          <w:rPr>
            <w:spacing w:val="-1"/>
            <w:sz w:val="20"/>
          </w:rPr>
          <w:t> </w:t>
        </w:r>
        <w:r>
          <w:rPr>
            <w:sz w:val="20"/>
          </w:rPr>
          <w:t>for IADC0-IADC1</w:t>
          <w:tab/>
          <w:t>142</w:t>
        </w:r>
      </w:hyperlink>
    </w:p>
    <w:p>
      <w:pPr>
        <w:pStyle w:val="ListParagraph"/>
        <w:numPr>
          <w:ilvl w:val="1"/>
          <w:numId w:val="2"/>
        </w:numPr>
        <w:tabs>
          <w:tab w:pos="1570" w:val="left" w:leader="none"/>
          <w:tab w:pos="1571" w:val="left" w:leader="none"/>
          <w:tab w:pos="9967" w:val="right" w:leader="dot"/>
        </w:tabs>
        <w:spacing w:line="240" w:lineRule="auto" w:before="39" w:after="0"/>
        <w:ind w:left="1570" w:right="0" w:hanging="505"/>
        <w:jc w:val="left"/>
        <w:rPr>
          <w:sz w:val="20"/>
        </w:rPr>
      </w:pPr>
      <w:hyperlink w:history="true" w:anchor="_bookmark283">
        <w:r>
          <w:rPr>
            <w:sz w:val="20"/>
          </w:rPr>
          <w:t>Timing</w:t>
        </w:r>
        <w:r>
          <w:rPr>
            <w:spacing w:val="-2"/>
            <w:sz w:val="20"/>
          </w:rPr>
          <w:t> </w:t>
        </w:r>
        <w:r>
          <w:rPr>
            <w:sz w:val="20"/>
          </w:rPr>
          <w:t>Specifications</w:t>
          <w:tab/>
          <w:t>143</w:t>
        </w:r>
      </w:hyperlink>
    </w:p>
    <w:p>
      <w:pPr>
        <w:pStyle w:val="ListParagraph"/>
        <w:numPr>
          <w:ilvl w:val="2"/>
          <w:numId w:val="2"/>
        </w:numPr>
        <w:tabs>
          <w:tab w:pos="2240" w:val="left" w:leader="none"/>
          <w:tab w:pos="9967" w:val="right" w:leader="dot"/>
        </w:tabs>
        <w:spacing w:line="240" w:lineRule="auto" w:before="41" w:after="0"/>
        <w:ind w:left="2240" w:right="0" w:hanging="627"/>
        <w:jc w:val="left"/>
        <w:rPr>
          <w:sz w:val="20"/>
        </w:rPr>
      </w:pPr>
      <w:hyperlink w:history="true" w:anchor="_bookmark284">
        <w:r>
          <w:rPr>
            <w:sz w:val="20"/>
          </w:rPr>
          <w:t>Flash</w:t>
        </w:r>
        <w:r>
          <w:rPr>
            <w:spacing w:val="-2"/>
            <w:sz w:val="20"/>
          </w:rPr>
          <w:t> </w:t>
        </w:r>
        <w:r>
          <w:rPr>
            <w:sz w:val="20"/>
          </w:rPr>
          <w:t>Memory</w:t>
          <w:tab/>
          <w:t>143</w:t>
        </w:r>
      </w:hyperlink>
    </w:p>
    <w:p>
      <w:pPr>
        <w:pStyle w:val="ListParagraph"/>
        <w:numPr>
          <w:ilvl w:val="2"/>
          <w:numId w:val="2"/>
        </w:numPr>
        <w:tabs>
          <w:tab w:pos="2240" w:val="left" w:leader="none"/>
          <w:tab w:pos="9967" w:val="right" w:leader="dot"/>
        </w:tabs>
        <w:spacing w:line="240" w:lineRule="auto" w:before="39" w:after="0"/>
        <w:ind w:left="2240" w:right="0" w:hanging="627"/>
        <w:jc w:val="left"/>
        <w:rPr>
          <w:sz w:val="20"/>
        </w:rPr>
      </w:pPr>
      <w:hyperlink w:history="true" w:anchor="_bookmark286">
        <w:r>
          <w:rPr>
            <w:sz w:val="20"/>
          </w:rPr>
          <w:t>SPI Slave</w:t>
          <w:tab/>
          <w:t>143</w:t>
        </w:r>
      </w:hyperlink>
    </w:p>
    <w:p>
      <w:pPr>
        <w:pStyle w:val="ListParagraph"/>
        <w:numPr>
          <w:ilvl w:val="2"/>
          <w:numId w:val="2"/>
        </w:numPr>
        <w:tabs>
          <w:tab w:pos="2240" w:val="left" w:leader="none"/>
          <w:tab w:pos="9967" w:val="right" w:leader="dot"/>
        </w:tabs>
        <w:spacing w:line="240" w:lineRule="auto" w:before="41" w:after="0"/>
        <w:ind w:left="2240" w:right="0" w:hanging="627"/>
        <w:jc w:val="left"/>
        <w:rPr>
          <w:sz w:val="20"/>
        </w:rPr>
      </w:pPr>
      <w:hyperlink w:history="true" w:anchor="_bookmark288">
        <w:r>
          <w:rPr>
            <w:sz w:val="20"/>
          </w:rPr>
          <w:t>EEPROM Interface</w:t>
          <w:tab/>
          <w:t>143</w:t>
        </w:r>
      </w:hyperlink>
    </w:p>
    <w:p>
      <w:pPr>
        <w:pStyle w:val="ListParagraph"/>
        <w:numPr>
          <w:ilvl w:val="2"/>
          <w:numId w:val="2"/>
        </w:numPr>
        <w:tabs>
          <w:tab w:pos="2240" w:val="left" w:leader="none"/>
          <w:tab w:pos="9967" w:val="right" w:leader="dot"/>
        </w:tabs>
        <w:spacing w:line="240" w:lineRule="auto" w:before="39" w:after="0"/>
        <w:ind w:left="2240" w:right="0" w:hanging="627"/>
        <w:jc w:val="left"/>
        <w:rPr>
          <w:sz w:val="20"/>
        </w:rPr>
      </w:pPr>
      <w:hyperlink w:history="true" w:anchor="_bookmark290">
        <w:r>
          <w:rPr>
            <w:sz w:val="20"/>
          </w:rPr>
          <w:t>RESET</w:t>
        </w:r>
        <w:r>
          <w:rPr>
            <w:spacing w:val="1"/>
            <w:sz w:val="20"/>
          </w:rPr>
          <w:t> </w:t>
        </w:r>
        <w:r>
          <w:rPr>
            <w:sz w:val="20"/>
          </w:rPr>
          <w:t>Pin</w:t>
          <w:tab/>
          <w:t>144</w:t>
        </w:r>
      </w:hyperlink>
    </w:p>
    <w:p>
      <w:pPr>
        <w:pStyle w:val="ListParagraph"/>
        <w:numPr>
          <w:ilvl w:val="2"/>
          <w:numId w:val="2"/>
        </w:numPr>
        <w:tabs>
          <w:tab w:pos="2240" w:val="left" w:leader="none"/>
          <w:tab w:pos="9967" w:val="right" w:leader="dot"/>
        </w:tabs>
        <w:spacing w:line="240" w:lineRule="auto" w:before="41" w:after="0"/>
        <w:ind w:left="2240" w:right="0" w:hanging="627"/>
        <w:jc w:val="left"/>
        <w:rPr>
          <w:sz w:val="20"/>
        </w:rPr>
      </w:pPr>
      <w:hyperlink w:history="true" w:anchor="_bookmark292">
        <w:r>
          <w:rPr>
            <w:sz w:val="20"/>
          </w:rPr>
          <w:t>Real-Time</w:t>
        </w:r>
        <w:r>
          <w:rPr>
            <w:spacing w:val="-2"/>
            <w:sz w:val="20"/>
          </w:rPr>
          <w:t> </w:t>
        </w:r>
        <w:r>
          <w:rPr>
            <w:sz w:val="20"/>
          </w:rPr>
          <w:t>Clock</w:t>
        </w:r>
        <w:r>
          <w:rPr>
            <w:spacing w:val="3"/>
            <w:sz w:val="20"/>
          </w:rPr>
          <w:t> </w:t>
        </w:r>
        <w:r>
          <w:rPr>
            <w:sz w:val="20"/>
          </w:rPr>
          <w:t>(RTC)</w:t>
          <w:tab/>
          <w:t>144</w:t>
        </w:r>
      </w:hyperlink>
    </w:p>
    <w:p>
      <w:pPr>
        <w:pStyle w:val="ListParagraph"/>
        <w:numPr>
          <w:ilvl w:val="1"/>
          <w:numId w:val="2"/>
        </w:numPr>
        <w:tabs>
          <w:tab w:pos="1570" w:val="left" w:leader="none"/>
          <w:tab w:pos="1571" w:val="left" w:leader="none"/>
          <w:tab w:pos="9967" w:val="right" w:leader="dot"/>
        </w:tabs>
        <w:spacing w:line="240" w:lineRule="auto" w:before="39" w:after="0"/>
        <w:ind w:left="1570" w:right="0" w:hanging="505"/>
        <w:jc w:val="left"/>
        <w:rPr>
          <w:sz w:val="20"/>
        </w:rPr>
      </w:pPr>
      <w:hyperlink w:history="true" w:anchor="_bookmark294">
        <w:r>
          <w:rPr>
            <w:sz w:val="20"/>
          </w:rPr>
          <w:t>100-Pin LQFP Package Outline</w:t>
        </w:r>
        <w:r>
          <w:rPr>
            <w:spacing w:val="-2"/>
            <w:sz w:val="20"/>
          </w:rPr>
          <w:t> </w:t>
        </w:r>
        <w:r>
          <w:rPr>
            <w:sz w:val="20"/>
          </w:rPr>
          <w:t>Drawing</w:t>
          <w:tab/>
          <w:t>145</w:t>
        </w:r>
      </w:hyperlink>
    </w:p>
    <w:p>
      <w:pPr>
        <w:pStyle w:val="BodyText"/>
        <w:tabs>
          <w:tab w:pos="1570" w:val="left" w:leader="none"/>
          <w:tab w:pos="9967" w:val="right" w:leader="dot"/>
        </w:tabs>
        <w:spacing w:before="41"/>
        <w:ind w:left="1066"/>
      </w:pPr>
      <w:hyperlink w:history="true" w:anchor="_bookmark296">
        <w:r>
          <w:rPr/>
          <w:t>6.7</w:t>
          <w:tab/>
          <w:t>71M6543</w:t>
        </w:r>
        <w:r>
          <w:rPr>
            <w:spacing w:val="-2"/>
          </w:rPr>
          <w:t> </w:t>
        </w:r>
        <w:r>
          <w:rPr/>
          <w:t>Pinout</w:t>
          <w:tab/>
          <w:t>146</w:t>
        </w:r>
      </w:hyperlink>
    </w:p>
    <w:p>
      <w:pPr>
        <w:pStyle w:val="ListParagraph"/>
        <w:numPr>
          <w:ilvl w:val="1"/>
          <w:numId w:val="6"/>
        </w:numPr>
        <w:tabs>
          <w:tab w:pos="1570" w:val="left" w:leader="none"/>
          <w:tab w:pos="1571" w:val="left" w:leader="none"/>
          <w:tab w:pos="9967" w:val="right" w:leader="dot"/>
        </w:tabs>
        <w:spacing w:line="240" w:lineRule="auto" w:before="39" w:after="0"/>
        <w:ind w:left="1570" w:right="0" w:hanging="505"/>
        <w:jc w:val="left"/>
        <w:rPr>
          <w:sz w:val="20"/>
        </w:rPr>
      </w:pPr>
      <w:hyperlink w:history="true" w:anchor="_bookmark298">
        <w:r>
          <w:rPr>
            <w:sz w:val="20"/>
          </w:rPr>
          <w:t>71M6543</w:t>
        </w:r>
        <w:r>
          <w:rPr>
            <w:spacing w:val="-2"/>
            <w:sz w:val="20"/>
          </w:rPr>
          <w:t> </w:t>
        </w:r>
        <w:r>
          <w:rPr>
            <w:sz w:val="20"/>
          </w:rPr>
          <w:t>Pin</w:t>
        </w:r>
        <w:r>
          <w:rPr>
            <w:spacing w:val="-1"/>
            <w:sz w:val="20"/>
          </w:rPr>
          <w:t> </w:t>
        </w:r>
        <w:r>
          <w:rPr>
            <w:sz w:val="20"/>
          </w:rPr>
          <w:t>Descriptions</w:t>
          <w:tab/>
          <w:t>147</w:t>
        </w:r>
      </w:hyperlink>
    </w:p>
    <w:p>
      <w:pPr>
        <w:pStyle w:val="ListParagraph"/>
        <w:numPr>
          <w:ilvl w:val="2"/>
          <w:numId w:val="6"/>
        </w:numPr>
        <w:tabs>
          <w:tab w:pos="2240" w:val="left" w:leader="none"/>
          <w:tab w:pos="9967" w:val="right" w:leader="dot"/>
        </w:tabs>
        <w:spacing w:line="240" w:lineRule="auto" w:before="41" w:after="0"/>
        <w:ind w:left="2240" w:right="0" w:hanging="627"/>
        <w:jc w:val="left"/>
        <w:rPr>
          <w:sz w:val="20"/>
        </w:rPr>
      </w:pPr>
      <w:hyperlink w:history="true" w:anchor="_bookmark299">
        <w:r>
          <w:rPr>
            <w:sz w:val="20"/>
          </w:rPr>
          <w:t>71M6543 Power and</w:t>
        </w:r>
        <w:r>
          <w:rPr>
            <w:spacing w:val="-3"/>
            <w:sz w:val="20"/>
          </w:rPr>
          <w:t> </w:t>
        </w:r>
        <w:r>
          <w:rPr>
            <w:sz w:val="20"/>
          </w:rPr>
          <w:t>Ground</w:t>
        </w:r>
        <w:r>
          <w:rPr>
            <w:spacing w:val="-1"/>
            <w:sz w:val="20"/>
          </w:rPr>
          <w:t> </w:t>
        </w:r>
        <w:r>
          <w:rPr>
            <w:sz w:val="20"/>
          </w:rPr>
          <w:t>Pins</w:t>
          <w:tab/>
          <w:t>147</w:t>
        </w:r>
      </w:hyperlink>
    </w:p>
    <w:p>
      <w:pPr>
        <w:pStyle w:val="ListParagraph"/>
        <w:numPr>
          <w:ilvl w:val="2"/>
          <w:numId w:val="6"/>
        </w:numPr>
        <w:tabs>
          <w:tab w:pos="2240" w:val="left" w:leader="none"/>
          <w:tab w:pos="9967" w:val="right" w:leader="dot"/>
        </w:tabs>
        <w:spacing w:line="240" w:lineRule="auto" w:before="39" w:after="0"/>
        <w:ind w:left="2240" w:right="0" w:hanging="627"/>
        <w:jc w:val="left"/>
        <w:rPr>
          <w:sz w:val="20"/>
        </w:rPr>
      </w:pPr>
      <w:hyperlink w:history="true" w:anchor="_bookmark301">
        <w:r>
          <w:rPr>
            <w:sz w:val="20"/>
          </w:rPr>
          <w:t>71M6543</w:t>
        </w:r>
        <w:r>
          <w:rPr>
            <w:spacing w:val="-2"/>
            <w:sz w:val="20"/>
          </w:rPr>
          <w:t> </w:t>
        </w:r>
        <w:r>
          <w:rPr>
            <w:sz w:val="20"/>
          </w:rPr>
          <w:t>Analog</w:t>
        </w:r>
        <w:r>
          <w:rPr>
            <w:spacing w:val="1"/>
            <w:sz w:val="20"/>
          </w:rPr>
          <w:t> </w:t>
        </w:r>
        <w:r>
          <w:rPr>
            <w:sz w:val="20"/>
          </w:rPr>
          <w:t>Pins</w:t>
          <w:tab/>
          <w:t>148</w:t>
        </w:r>
      </w:hyperlink>
    </w:p>
    <w:p>
      <w:pPr>
        <w:pStyle w:val="ListParagraph"/>
        <w:numPr>
          <w:ilvl w:val="2"/>
          <w:numId w:val="6"/>
        </w:numPr>
        <w:tabs>
          <w:tab w:pos="2240" w:val="left" w:leader="none"/>
          <w:tab w:pos="9967" w:val="right" w:leader="dot"/>
        </w:tabs>
        <w:spacing w:line="240" w:lineRule="auto" w:before="41" w:after="0"/>
        <w:ind w:left="2240" w:right="0" w:hanging="627"/>
        <w:jc w:val="left"/>
        <w:rPr>
          <w:sz w:val="20"/>
        </w:rPr>
      </w:pPr>
      <w:hyperlink w:history="true" w:anchor="_bookmark303">
        <w:r>
          <w:rPr>
            <w:sz w:val="20"/>
          </w:rPr>
          <w:t>71M6543</w:t>
        </w:r>
        <w:r>
          <w:rPr>
            <w:spacing w:val="-2"/>
            <w:sz w:val="20"/>
          </w:rPr>
          <w:t> </w:t>
        </w:r>
        <w:r>
          <w:rPr>
            <w:sz w:val="20"/>
          </w:rPr>
          <w:t>Digital Pins</w:t>
          <w:tab/>
          <w:t>149</w:t>
        </w:r>
      </w:hyperlink>
    </w:p>
    <w:p>
      <w:pPr>
        <w:pStyle w:val="ListParagraph"/>
        <w:numPr>
          <w:ilvl w:val="2"/>
          <w:numId w:val="6"/>
        </w:numPr>
        <w:tabs>
          <w:tab w:pos="2240" w:val="left" w:leader="none"/>
          <w:tab w:pos="9967" w:val="right" w:leader="dot"/>
        </w:tabs>
        <w:spacing w:line="240" w:lineRule="auto" w:before="39" w:after="0"/>
        <w:ind w:left="2240" w:right="0" w:hanging="627"/>
        <w:jc w:val="left"/>
        <w:rPr>
          <w:sz w:val="20"/>
        </w:rPr>
      </w:pPr>
      <w:hyperlink w:history="true" w:anchor="_bookmark305">
        <w:r>
          <w:rPr>
            <w:sz w:val="20"/>
          </w:rPr>
          <w:t>I/O</w:t>
        </w:r>
        <w:r>
          <w:rPr>
            <w:spacing w:val="-1"/>
            <w:sz w:val="20"/>
          </w:rPr>
          <w:t> </w:t>
        </w:r>
        <w:r>
          <w:rPr>
            <w:sz w:val="20"/>
          </w:rPr>
          <w:t>Equivalent</w:t>
        </w:r>
        <w:r>
          <w:rPr>
            <w:spacing w:val="1"/>
            <w:sz w:val="20"/>
          </w:rPr>
          <w:t> </w:t>
        </w:r>
        <w:r>
          <w:rPr>
            <w:sz w:val="20"/>
          </w:rPr>
          <w:t>Circuits</w:t>
          <w:tab/>
          <w:t>151</w:t>
        </w:r>
      </w:hyperlink>
    </w:p>
    <w:p>
      <w:pPr>
        <w:pStyle w:val="Heading1"/>
        <w:numPr>
          <w:ilvl w:val="0"/>
          <w:numId w:val="2"/>
        </w:numPr>
        <w:tabs>
          <w:tab w:pos="1071" w:val="left" w:leader="none"/>
          <w:tab w:pos="1072" w:val="left" w:leader="none"/>
          <w:tab w:pos="9967" w:val="right" w:leader="dot"/>
        </w:tabs>
        <w:spacing w:line="240" w:lineRule="auto" w:before="39" w:after="0"/>
        <w:ind w:left="1071" w:right="0" w:hanging="452"/>
        <w:jc w:val="left"/>
      </w:pPr>
      <w:hyperlink w:history="true" w:anchor="_bookmark307">
        <w:r>
          <w:rPr/>
          <w:t>Ordering</w:t>
        </w:r>
        <w:r>
          <w:rPr>
            <w:spacing w:val="-1"/>
          </w:rPr>
          <w:t> </w:t>
        </w:r>
        <w:r>
          <w:rPr/>
          <w:t>Information</w:t>
          <w:tab/>
          <w:t>152</w:t>
        </w:r>
      </w:hyperlink>
    </w:p>
    <w:p>
      <w:pPr>
        <w:pStyle w:val="ListParagraph"/>
        <w:numPr>
          <w:ilvl w:val="1"/>
          <w:numId w:val="2"/>
        </w:numPr>
        <w:tabs>
          <w:tab w:pos="1570" w:val="left" w:leader="none"/>
          <w:tab w:pos="1571" w:val="left" w:leader="none"/>
          <w:tab w:pos="9967" w:val="right" w:leader="dot"/>
        </w:tabs>
        <w:spacing w:line="240" w:lineRule="auto" w:before="41" w:after="0"/>
        <w:ind w:left="1570" w:right="0" w:hanging="505"/>
        <w:jc w:val="left"/>
        <w:rPr>
          <w:sz w:val="20"/>
        </w:rPr>
      </w:pPr>
      <w:hyperlink w:history="true" w:anchor="_bookmark308">
        <w:r>
          <w:rPr>
            <w:sz w:val="20"/>
          </w:rPr>
          <w:t>71M6543</w:t>
        </w:r>
        <w:r>
          <w:rPr>
            <w:spacing w:val="-2"/>
            <w:sz w:val="20"/>
          </w:rPr>
          <w:t> </w:t>
        </w:r>
        <w:r>
          <w:rPr>
            <w:sz w:val="20"/>
          </w:rPr>
          <w:t>Ordering</w:t>
        </w:r>
        <w:r>
          <w:rPr>
            <w:spacing w:val="-1"/>
            <w:sz w:val="20"/>
          </w:rPr>
          <w:t> </w:t>
        </w:r>
        <w:r>
          <w:rPr>
            <w:sz w:val="20"/>
          </w:rPr>
          <w:t>Guide</w:t>
          <w:tab/>
          <w:t>152</w:t>
        </w:r>
      </w:hyperlink>
    </w:p>
    <w:p>
      <w:pPr>
        <w:pStyle w:val="Heading1"/>
        <w:numPr>
          <w:ilvl w:val="0"/>
          <w:numId w:val="2"/>
        </w:numPr>
        <w:tabs>
          <w:tab w:pos="1071" w:val="left" w:leader="none"/>
          <w:tab w:pos="1072" w:val="left" w:leader="none"/>
          <w:tab w:pos="9967" w:val="right" w:leader="dot"/>
        </w:tabs>
        <w:spacing w:line="240" w:lineRule="auto" w:before="39" w:after="0"/>
        <w:ind w:left="1071" w:right="0" w:hanging="452"/>
        <w:jc w:val="left"/>
      </w:pPr>
      <w:hyperlink w:history="true" w:anchor="_bookmark310">
        <w:r>
          <w:rPr>
            <w:spacing w:val="6"/>
          </w:rPr>
          <w:t>Related</w:t>
        </w:r>
        <w:r>
          <w:rPr>
            <w:spacing w:val="16"/>
          </w:rPr>
          <w:t> </w:t>
        </w:r>
        <w:r>
          <w:rPr>
            <w:spacing w:val="7"/>
          </w:rPr>
          <w:t>Information</w:t>
          <w:tab/>
        </w:r>
        <w:r>
          <w:rPr/>
          <w:t>152</w:t>
        </w:r>
      </w:hyperlink>
    </w:p>
    <w:p>
      <w:pPr>
        <w:pStyle w:val="Heading1"/>
        <w:numPr>
          <w:ilvl w:val="0"/>
          <w:numId w:val="2"/>
        </w:numPr>
        <w:tabs>
          <w:tab w:pos="1071" w:val="left" w:leader="none"/>
          <w:tab w:pos="1072" w:val="left" w:leader="none"/>
          <w:tab w:pos="9967" w:val="right" w:leader="dot"/>
        </w:tabs>
        <w:spacing w:line="240" w:lineRule="auto" w:before="39" w:after="0"/>
        <w:ind w:left="1071" w:right="0" w:hanging="452"/>
        <w:jc w:val="left"/>
      </w:pPr>
      <w:hyperlink w:history="true" w:anchor="_bookmark311">
        <w:r>
          <w:rPr>
            <w:spacing w:val="6"/>
          </w:rPr>
          <w:t>Contact</w:t>
        </w:r>
        <w:r>
          <w:rPr>
            <w:spacing w:val="16"/>
          </w:rPr>
          <w:t> </w:t>
        </w:r>
        <w:r>
          <w:rPr>
            <w:spacing w:val="8"/>
          </w:rPr>
          <w:t>Information</w:t>
          <w:tab/>
        </w:r>
        <w:r>
          <w:rPr/>
          <w:t>152</w:t>
        </w:r>
      </w:hyperlink>
    </w:p>
    <w:p>
      <w:pPr>
        <w:pStyle w:val="Heading1"/>
        <w:tabs>
          <w:tab w:pos="9967" w:val="right" w:leader="dot"/>
        </w:tabs>
        <w:spacing w:before="41"/>
        <w:ind w:left="620"/>
        <w:jc w:val="left"/>
      </w:pPr>
      <w:hyperlink w:history="true" w:anchor="_bookmark312">
        <w:r>
          <w:rPr/>
          <w:t>Appendix</w:t>
        </w:r>
        <w:r>
          <w:rPr>
            <w:spacing w:val="2"/>
          </w:rPr>
          <w:t> </w:t>
        </w:r>
        <w:r>
          <w:rPr>
            <w:spacing w:val="-3"/>
          </w:rPr>
          <w:t>A:</w:t>
        </w:r>
        <w:r>
          <w:rPr>
            <w:spacing w:val="5"/>
          </w:rPr>
          <w:t> </w:t>
        </w:r>
        <w:r>
          <w:rPr/>
          <w:t>Acronyms</w:t>
          <w:tab/>
          <w:t>153</w:t>
        </w:r>
      </w:hyperlink>
    </w:p>
    <w:p>
      <w:pPr>
        <w:pStyle w:val="Heading1"/>
        <w:tabs>
          <w:tab w:pos="9967" w:val="right" w:leader="dot"/>
        </w:tabs>
        <w:spacing w:before="39"/>
        <w:ind w:left="620"/>
        <w:jc w:val="left"/>
      </w:pPr>
      <w:hyperlink w:history="true" w:anchor="_bookmark313">
        <w:r>
          <w:rPr/>
          <w:t>Appendix B:</w:t>
        </w:r>
        <w:r>
          <w:rPr>
            <w:spacing w:val="-2"/>
          </w:rPr>
          <w:t> </w:t>
        </w:r>
        <w:r>
          <w:rPr/>
          <w:t>Revision</w:t>
        </w:r>
        <w:r>
          <w:rPr>
            <w:spacing w:val="2"/>
          </w:rPr>
          <w:t> </w:t>
        </w:r>
        <w:r>
          <w:rPr/>
          <w:t>History</w:t>
          <w:tab/>
          <w:t>154</w:t>
        </w:r>
      </w:hyperlink>
    </w:p>
    <w:p>
      <w:pPr>
        <w:spacing w:after="0"/>
        <w:jc w:val="left"/>
        <w:sectPr>
          <w:pgSz w:w="12240" w:h="15840"/>
          <w:pgMar w:header="727" w:footer="819" w:top="960" w:bottom="1000" w:left="820" w:right="860"/>
        </w:sectPr>
      </w:pPr>
    </w:p>
    <w:p>
      <w:pPr>
        <w:pStyle w:val="BodyText"/>
        <w:spacing w:before="10"/>
        <w:rPr>
          <w:b/>
        </w:rPr>
      </w:pPr>
    </w:p>
    <w:p>
      <w:pPr>
        <w:spacing w:before="0"/>
        <w:ind w:left="620" w:right="0" w:firstLine="0"/>
        <w:jc w:val="left"/>
        <w:rPr>
          <w:b/>
          <w:sz w:val="24"/>
        </w:rPr>
      </w:pPr>
      <w:r>
        <w:rPr>
          <w:b/>
          <w:sz w:val="24"/>
        </w:rPr>
        <w:t>Figures</w:t>
      </w:r>
    </w:p>
    <w:p>
      <w:pPr>
        <w:pStyle w:val="BodyText"/>
        <w:tabs>
          <w:tab w:pos="9860" w:val="left" w:leader="dot"/>
        </w:tabs>
        <w:spacing w:before="43"/>
        <w:ind w:left="620"/>
      </w:pPr>
      <w:hyperlink w:history="true" w:anchor="_bookmark0">
        <w:r>
          <w:rPr/>
          <w:t>Figure 1: IC Functional</w:t>
        </w:r>
        <w:r>
          <w:rPr>
            <w:spacing w:val="-14"/>
          </w:rPr>
          <w:t> </w:t>
        </w:r>
        <w:r>
          <w:rPr/>
          <w:t>Block</w:t>
        </w:r>
        <w:r>
          <w:rPr>
            <w:spacing w:val="-1"/>
          </w:rPr>
          <w:t> </w:t>
        </w:r>
        <w:r>
          <w:rPr/>
          <w:t>Diagram</w:t>
          <w:tab/>
          <w:t>9</w:t>
        </w:r>
      </w:hyperlink>
    </w:p>
    <w:p>
      <w:pPr>
        <w:pStyle w:val="BodyText"/>
        <w:tabs>
          <w:tab w:pos="9747" w:val="left" w:leader="dot"/>
        </w:tabs>
        <w:spacing w:before="38"/>
        <w:ind w:left="620"/>
      </w:pPr>
      <w:hyperlink w:history="true" w:anchor="_bookmark5">
        <w:r>
          <w:rPr/>
          <w:t>Figure 2: AFE Block Diagram (Shunts:</w:t>
        </w:r>
        <w:r>
          <w:rPr>
            <w:spacing w:val="-16"/>
          </w:rPr>
          <w:t> </w:t>
        </w:r>
        <w:r>
          <w:rPr/>
          <w:t>One-Local,</w:t>
        </w:r>
        <w:r>
          <w:rPr>
            <w:spacing w:val="-4"/>
          </w:rPr>
          <w:t> </w:t>
        </w:r>
        <w:r>
          <w:rPr/>
          <w:t>Three-Remotes)</w:t>
          <w:tab/>
          <w:t>12</w:t>
        </w:r>
      </w:hyperlink>
    </w:p>
    <w:p>
      <w:pPr>
        <w:pStyle w:val="BodyText"/>
        <w:tabs>
          <w:tab w:pos="9747" w:val="left" w:leader="dot"/>
        </w:tabs>
        <w:spacing w:before="42"/>
        <w:ind w:left="620"/>
      </w:pPr>
      <w:hyperlink w:history="true" w:anchor="_bookmark7">
        <w:r>
          <w:rPr/>
          <w:t>Figure 3. AFE Block Diagram</w:t>
        </w:r>
        <w:r>
          <w:rPr>
            <w:spacing w:val="-8"/>
          </w:rPr>
          <w:t> </w:t>
        </w:r>
        <w:r>
          <w:rPr/>
          <w:t>(Four</w:t>
        </w:r>
        <w:r>
          <w:rPr>
            <w:spacing w:val="-3"/>
          </w:rPr>
          <w:t> </w:t>
        </w:r>
        <w:r>
          <w:rPr/>
          <w:t>CTs)</w:t>
          <w:tab/>
          <w:t>13</w:t>
        </w:r>
      </w:hyperlink>
    </w:p>
    <w:p>
      <w:pPr>
        <w:tabs>
          <w:tab w:pos="9747" w:val="left" w:leader="dot"/>
        </w:tabs>
        <w:spacing w:before="34"/>
        <w:ind w:left="620" w:right="0" w:firstLine="0"/>
        <w:jc w:val="left"/>
        <w:rPr>
          <w:sz w:val="20"/>
        </w:rPr>
      </w:pPr>
      <w:hyperlink w:history="true" w:anchor="_bookmark11">
        <w:r>
          <w:rPr>
            <w:sz w:val="20"/>
          </w:rPr>
          <w:t>Figure 4: States in a Multiplexer Frame (</w:t>
        </w:r>
        <w:r>
          <w:rPr>
            <w:rFonts w:ascii="Times New Roman"/>
            <w:i/>
            <w:sz w:val="20"/>
          </w:rPr>
          <w:t>MUX_DIV[3:0]</w:t>
        </w:r>
        <w:r>
          <w:rPr>
            <w:rFonts w:ascii="Times New Roman"/>
            <w:i/>
            <w:spacing w:val="-13"/>
            <w:sz w:val="20"/>
          </w:rPr>
          <w:t> </w:t>
        </w:r>
        <w:r>
          <w:rPr>
            <w:sz w:val="20"/>
          </w:rPr>
          <w:t>=</w:t>
        </w:r>
        <w:r>
          <w:rPr>
            <w:spacing w:val="-4"/>
            <w:sz w:val="20"/>
          </w:rPr>
          <w:t> </w:t>
        </w:r>
        <w:r>
          <w:rPr>
            <w:sz w:val="20"/>
          </w:rPr>
          <w:t>6)</w:t>
          <w:tab/>
          <w:t>17</w:t>
        </w:r>
      </w:hyperlink>
    </w:p>
    <w:p>
      <w:pPr>
        <w:tabs>
          <w:tab w:pos="9747" w:val="left" w:leader="dot"/>
        </w:tabs>
        <w:spacing w:before="40"/>
        <w:ind w:left="620" w:right="0" w:firstLine="0"/>
        <w:jc w:val="left"/>
        <w:rPr>
          <w:sz w:val="20"/>
        </w:rPr>
      </w:pPr>
      <w:hyperlink w:history="true" w:anchor="_bookmark12">
        <w:r>
          <w:rPr>
            <w:sz w:val="20"/>
          </w:rPr>
          <w:t>Figure 5: States in a Multiplexer Frame (</w:t>
        </w:r>
        <w:r>
          <w:rPr>
            <w:rFonts w:ascii="Times New Roman"/>
            <w:i/>
            <w:sz w:val="20"/>
          </w:rPr>
          <w:t>MUX_DIV[3:0]</w:t>
        </w:r>
        <w:r>
          <w:rPr>
            <w:rFonts w:ascii="Times New Roman"/>
            <w:i/>
            <w:spacing w:val="-13"/>
            <w:sz w:val="20"/>
          </w:rPr>
          <w:t> </w:t>
        </w:r>
        <w:r>
          <w:rPr>
            <w:sz w:val="20"/>
          </w:rPr>
          <w:t>=</w:t>
        </w:r>
        <w:r>
          <w:rPr>
            <w:spacing w:val="-4"/>
            <w:sz w:val="20"/>
          </w:rPr>
          <w:t> </w:t>
        </w:r>
        <w:r>
          <w:rPr>
            <w:sz w:val="20"/>
          </w:rPr>
          <w:t>7)</w:t>
          <w:tab/>
          <w:t>17</w:t>
        </w:r>
      </w:hyperlink>
    </w:p>
    <w:p>
      <w:pPr>
        <w:pStyle w:val="BodyText"/>
        <w:tabs>
          <w:tab w:pos="9747" w:val="left" w:leader="dot"/>
        </w:tabs>
        <w:spacing w:before="45"/>
        <w:ind w:left="620"/>
      </w:pPr>
      <w:hyperlink w:history="true" w:anchor="_bookmark19">
        <w:r>
          <w:rPr/>
          <w:t>Figure 6: General Topology of a</w:t>
        </w:r>
        <w:r>
          <w:rPr>
            <w:spacing w:val="-19"/>
          </w:rPr>
          <w:t> </w:t>
        </w:r>
        <w:r>
          <w:rPr/>
          <w:t>Chopped</w:t>
        </w:r>
        <w:r>
          <w:rPr>
            <w:spacing w:val="-3"/>
          </w:rPr>
          <w:t> </w:t>
        </w:r>
        <w:r>
          <w:rPr/>
          <w:t>Amplifier</w:t>
          <w:tab/>
          <w:t>21</w:t>
        </w:r>
      </w:hyperlink>
    </w:p>
    <w:p>
      <w:pPr>
        <w:pStyle w:val="BodyText"/>
        <w:tabs>
          <w:tab w:pos="9747" w:val="left" w:leader="dot"/>
        </w:tabs>
        <w:spacing w:before="34"/>
        <w:ind w:left="620"/>
      </w:pPr>
      <w:hyperlink w:history="true" w:anchor="_bookmark20">
        <w:r>
          <w:rPr/>
          <w:t>Figure 7: CROSS Signal with </w:t>
        </w:r>
        <w:r>
          <w:rPr>
            <w:rFonts w:ascii="Times New Roman"/>
            <w:i/>
          </w:rPr>
          <w:t>CHOP_E</w:t>
        </w:r>
        <w:r>
          <w:rPr>
            <w:rFonts w:ascii="Times New Roman"/>
            <w:i/>
            <w:spacing w:val="-5"/>
          </w:rPr>
          <w:t> </w:t>
        </w:r>
        <w:r>
          <w:rPr/>
          <w:t>=</w:t>
        </w:r>
        <w:r>
          <w:rPr>
            <w:spacing w:val="-4"/>
          </w:rPr>
          <w:t> </w:t>
        </w:r>
        <w:r>
          <w:rPr/>
          <w:t>00</w:t>
          <w:tab/>
          <w:t>21</w:t>
        </w:r>
      </w:hyperlink>
    </w:p>
    <w:p>
      <w:pPr>
        <w:pStyle w:val="BodyText"/>
        <w:tabs>
          <w:tab w:pos="9747" w:val="left" w:leader="dot"/>
        </w:tabs>
        <w:spacing w:before="45"/>
        <w:ind w:left="620"/>
      </w:pPr>
      <w:hyperlink w:history="true" w:anchor="_bookmark34">
        <w:r>
          <w:rPr/>
          <w:t>Figure 8:</w:t>
        </w:r>
        <w:r>
          <w:rPr>
            <w:spacing w:val="-4"/>
          </w:rPr>
          <w:t> </w:t>
        </w:r>
        <w:r>
          <w:rPr/>
          <w:t>RTM</w:t>
        </w:r>
        <w:r>
          <w:rPr>
            <w:spacing w:val="-2"/>
          </w:rPr>
          <w:t> </w:t>
        </w:r>
        <w:r>
          <w:rPr/>
          <w:t>Timing</w:t>
          <w:tab/>
          <w:t>26</w:t>
        </w:r>
      </w:hyperlink>
    </w:p>
    <w:p>
      <w:pPr>
        <w:pStyle w:val="BodyText"/>
        <w:tabs>
          <w:tab w:pos="9747" w:val="left" w:leader="dot"/>
        </w:tabs>
        <w:spacing w:before="41"/>
        <w:ind w:left="620"/>
      </w:pPr>
      <w:hyperlink w:history="true" w:anchor="_bookmark36">
        <w:r>
          <w:rPr/>
          <w:t>Figure 9. Pulse Generator</w:t>
        </w:r>
        <w:r>
          <w:rPr>
            <w:spacing w:val="-11"/>
          </w:rPr>
          <w:t> </w:t>
        </w:r>
        <w:r>
          <w:rPr/>
          <w:t>FIFO</w:t>
        </w:r>
        <w:r>
          <w:rPr>
            <w:spacing w:val="-3"/>
          </w:rPr>
          <w:t> </w:t>
        </w:r>
        <w:r>
          <w:rPr/>
          <w:t>Timing</w:t>
          <w:tab/>
          <w:t>28</w:t>
        </w:r>
      </w:hyperlink>
    </w:p>
    <w:p>
      <w:pPr>
        <w:pStyle w:val="BodyText"/>
        <w:tabs>
          <w:tab w:pos="9747" w:val="left" w:leader="dot"/>
        </w:tabs>
        <w:spacing w:before="39"/>
        <w:ind w:left="620"/>
      </w:pPr>
      <w:hyperlink w:history="true" w:anchor="_bookmark38">
        <w:r>
          <w:rPr/>
          <w:t>Figure 10: Samples from Multiplexer</w:t>
        </w:r>
        <w:r>
          <w:rPr>
            <w:spacing w:val="-13"/>
          </w:rPr>
          <w:t> </w:t>
        </w:r>
        <w:r>
          <w:rPr/>
          <w:t>Cycle</w:t>
        </w:r>
        <w:r>
          <w:rPr>
            <w:spacing w:val="-5"/>
          </w:rPr>
          <w:t> </w:t>
        </w:r>
        <w:r>
          <w:rPr/>
          <w:t>(Frame)</w:t>
          <w:tab/>
          <w:t>29</w:t>
        </w:r>
      </w:hyperlink>
    </w:p>
    <w:p>
      <w:pPr>
        <w:pStyle w:val="BodyText"/>
        <w:tabs>
          <w:tab w:pos="9747" w:val="left" w:leader="dot"/>
        </w:tabs>
        <w:spacing w:before="42"/>
        <w:ind w:left="620"/>
      </w:pPr>
      <w:hyperlink w:history="true" w:anchor="_bookmark39">
        <w:r>
          <w:rPr/>
          <w:t>Figure 11:</w:t>
        </w:r>
        <w:r>
          <w:rPr>
            <w:spacing w:val="-7"/>
          </w:rPr>
          <w:t> </w:t>
        </w:r>
        <w:r>
          <w:rPr/>
          <w:t>Accumulation</w:t>
        </w:r>
        <w:r>
          <w:rPr>
            <w:spacing w:val="-5"/>
          </w:rPr>
          <w:t> </w:t>
        </w:r>
        <w:r>
          <w:rPr/>
          <w:t>Interval</w:t>
          <w:tab/>
          <w:t>29</w:t>
        </w:r>
      </w:hyperlink>
    </w:p>
    <w:p>
      <w:pPr>
        <w:pStyle w:val="BodyText"/>
        <w:tabs>
          <w:tab w:pos="9747" w:val="left" w:leader="dot"/>
        </w:tabs>
        <w:spacing w:before="38"/>
        <w:ind w:left="620"/>
      </w:pPr>
      <w:hyperlink w:history="true" w:anchor="_bookmark92">
        <w:r>
          <w:rPr/>
          <w:t>Figure 12:</w:t>
        </w:r>
        <w:r>
          <w:rPr>
            <w:spacing w:val="-6"/>
          </w:rPr>
          <w:t> </w:t>
        </w:r>
        <w:r>
          <w:rPr/>
          <w:t>Interrupt</w:t>
        </w:r>
        <w:r>
          <w:rPr>
            <w:spacing w:val="-5"/>
          </w:rPr>
          <w:t> </w:t>
        </w:r>
        <w:r>
          <w:rPr/>
          <w:t>Structure</w:t>
          <w:tab/>
          <w:t>45</w:t>
        </w:r>
      </w:hyperlink>
    </w:p>
    <w:p>
      <w:pPr>
        <w:pStyle w:val="BodyText"/>
        <w:tabs>
          <w:tab w:pos="9747" w:val="left" w:leader="dot"/>
        </w:tabs>
        <w:spacing w:before="42"/>
        <w:ind w:left="620"/>
      </w:pPr>
      <w:hyperlink w:history="true" w:anchor="_bookmark107">
        <w:r>
          <w:rPr/>
          <w:t>Figure 13: Automatic</w:t>
        </w:r>
        <w:r>
          <w:rPr>
            <w:spacing w:val="-12"/>
          </w:rPr>
          <w:t> </w:t>
        </w:r>
        <w:r>
          <w:rPr/>
          <w:t>Temperature</w:t>
        </w:r>
        <w:r>
          <w:rPr>
            <w:spacing w:val="-5"/>
          </w:rPr>
          <w:t> </w:t>
        </w:r>
        <w:r>
          <w:rPr/>
          <w:t>Compensation</w:t>
          <w:tab/>
          <w:t>52</w:t>
        </w:r>
      </w:hyperlink>
    </w:p>
    <w:p>
      <w:pPr>
        <w:pStyle w:val="BodyText"/>
        <w:tabs>
          <w:tab w:pos="9747" w:val="left" w:leader="dot"/>
        </w:tabs>
        <w:spacing w:before="38"/>
        <w:ind w:left="620"/>
      </w:pPr>
      <w:hyperlink w:history="true" w:anchor="_bookmark115">
        <w:r>
          <w:rPr/>
          <w:t>Figure 14:</w:t>
        </w:r>
        <w:r>
          <w:rPr>
            <w:spacing w:val="-6"/>
          </w:rPr>
          <w:t> </w:t>
        </w:r>
        <w:r>
          <w:rPr/>
          <w:t>Optical</w:t>
        </w:r>
        <w:r>
          <w:rPr>
            <w:spacing w:val="-5"/>
          </w:rPr>
          <w:t> </w:t>
        </w:r>
        <w:r>
          <w:rPr/>
          <w:t>Interface</w:t>
          <w:tab/>
          <w:t>57</w:t>
        </w:r>
      </w:hyperlink>
    </w:p>
    <w:p>
      <w:pPr>
        <w:pStyle w:val="BodyText"/>
        <w:tabs>
          <w:tab w:pos="9747" w:val="left" w:leader="dot"/>
        </w:tabs>
        <w:spacing w:before="42"/>
        <w:ind w:left="620"/>
      </w:pPr>
      <w:hyperlink w:history="true" w:anchor="_bookmark116">
        <w:r>
          <w:rPr/>
          <w:t>Figure 15: Optical</w:t>
        </w:r>
        <w:r>
          <w:rPr>
            <w:spacing w:val="-11"/>
          </w:rPr>
          <w:t> </w:t>
        </w:r>
        <w:r>
          <w:rPr/>
          <w:t>Interface</w:t>
        </w:r>
        <w:r>
          <w:rPr>
            <w:spacing w:val="-4"/>
          </w:rPr>
          <w:t> </w:t>
        </w:r>
        <w:r>
          <w:rPr/>
          <w:t>(UART1)</w:t>
          <w:tab/>
          <w:t>57</w:t>
        </w:r>
      </w:hyperlink>
    </w:p>
    <w:p>
      <w:pPr>
        <w:pStyle w:val="BodyText"/>
        <w:tabs>
          <w:tab w:pos="9747" w:val="left" w:leader="dot"/>
        </w:tabs>
        <w:spacing w:before="38"/>
        <w:ind w:left="620"/>
      </w:pPr>
      <w:hyperlink w:history="true" w:anchor="_bookmark119">
        <w:r>
          <w:rPr/>
          <w:t>Figure 16: Connecting an External Load to</w:t>
        </w:r>
        <w:r>
          <w:rPr>
            <w:spacing w:val="-20"/>
          </w:rPr>
          <w:t> </w:t>
        </w:r>
        <w:r>
          <w:rPr/>
          <w:t>DIO</w:t>
        </w:r>
        <w:r>
          <w:rPr>
            <w:spacing w:val="-3"/>
          </w:rPr>
          <w:t> </w:t>
        </w:r>
        <w:r>
          <w:rPr/>
          <w:t>Pins</w:t>
          <w:tab/>
          <w:t>59</w:t>
        </w:r>
      </w:hyperlink>
    </w:p>
    <w:p>
      <w:pPr>
        <w:pStyle w:val="BodyText"/>
        <w:tabs>
          <w:tab w:pos="9747" w:val="left" w:leader="dot"/>
        </w:tabs>
        <w:spacing w:before="42"/>
        <w:ind w:left="620"/>
      </w:pPr>
      <w:hyperlink w:history="true" w:anchor="_bookmark128">
        <w:r>
          <w:rPr/>
          <w:t>Figure 17:</w:t>
        </w:r>
        <w:r>
          <w:rPr>
            <w:spacing w:val="-2"/>
          </w:rPr>
          <w:t> </w:t>
        </w:r>
        <w:r>
          <w:rPr/>
          <w:t>LCD</w:t>
        </w:r>
        <w:r>
          <w:rPr>
            <w:spacing w:val="-5"/>
          </w:rPr>
          <w:t> </w:t>
        </w:r>
        <w:r>
          <w:rPr/>
          <w:t>Waveforms</w:t>
          <w:tab/>
          <w:t>64</w:t>
        </w:r>
      </w:hyperlink>
    </w:p>
    <w:p>
      <w:pPr>
        <w:pStyle w:val="BodyText"/>
        <w:tabs>
          <w:tab w:pos="9747" w:val="left" w:leader="dot"/>
        </w:tabs>
        <w:spacing w:before="38"/>
        <w:ind w:left="620"/>
      </w:pPr>
      <w:hyperlink w:history="true" w:anchor="_bookmark133">
        <w:r>
          <w:rPr/>
          <w:t>Figure 18: 3-wire Interface.  Write</w:t>
        </w:r>
        <w:r>
          <w:rPr>
            <w:spacing w:val="-21"/>
          </w:rPr>
          <w:t> </w:t>
        </w:r>
        <w:r>
          <w:rPr/>
          <w:t>Command,</w:t>
        </w:r>
        <w:r>
          <w:rPr>
            <w:spacing w:val="-4"/>
          </w:rPr>
          <w:t> </w:t>
        </w:r>
        <w:r>
          <w:rPr/>
          <w:t>HiZ=0.</w:t>
          <w:tab/>
          <w:t>66</w:t>
        </w:r>
      </w:hyperlink>
    </w:p>
    <w:p>
      <w:pPr>
        <w:pStyle w:val="BodyText"/>
        <w:tabs>
          <w:tab w:pos="9747" w:val="left" w:leader="dot"/>
        </w:tabs>
        <w:spacing w:before="42"/>
        <w:ind w:left="620"/>
      </w:pPr>
      <w:hyperlink w:history="true" w:anchor="_bookmark134">
        <w:r>
          <w:rPr/>
          <w:t>Figure 19: 3-wire Interface.  Write</w:t>
        </w:r>
        <w:r>
          <w:rPr>
            <w:spacing w:val="-20"/>
          </w:rPr>
          <w:t> </w:t>
        </w:r>
        <w:r>
          <w:rPr/>
          <w:t>Command,</w:t>
        </w:r>
        <w:r>
          <w:rPr>
            <w:spacing w:val="-3"/>
          </w:rPr>
          <w:t> </w:t>
        </w:r>
        <w:r>
          <w:rPr/>
          <w:t>HiZ=1</w:t>
          <w:tab/>
          <w:t>67</w:t>
        </w:r>
      </w:hyperlink>
    </w:p>
    <w:p>
      <w:pPr>
        <w:pStyle w:val="BodyText"/>
        <w:tabs>
          <w:tab w:pos="9747" w:val="left" w:leader="dot"/>
        </w:tabs>
        <w:spacing w:before="38"/>
        <w:ind w:left="620"/>
      </w:pPr>
      <w:hyperlink w:history="true" w:anchor="_bookmark135">
        <w:r>
          <w:rPr/>
          <w:t>Figure 20: 3-wire Interface.</w:t>
        </w:r>
        <w:r>
          <w:rPr>
            <w:spacing w:val="41"/>
          </w:rPr>
          <w:t> </w:t>
        </w:r>
        <w:r>
          <w:rPr/>
          <w:t>Read</w:t>
        </w:r>
        <w:r>
          <w:rPr>
            <w:spacing w:val="-2"/>
          </w:rPr>
          <w:t> </w:t>
        </w:r>
        <w:r>
          <w:rPr/>
          <w:t>Command.</w:t>
          <w:tab/>
          <w:t>67</w:t>
        </w:r>
      </w:hyperlink>
    </w:p>
    <w:p>
      <w:pPr>
        <w:pStyle w:val="BodyText"/>
        <w:tabs>
          <w:tab w:pos="9747" w:val="left" w:leader="dot"/>
        </w:tabs>
        <w:spacing w:before="42"/>
        <w:ind w:left="620"/>
      </w:pPr>
      <w:hyperlink w:history="true" w:anchor="_bookmark136">
        <w:r>
          <w:rPr/>
          <w:t>Figure 21: 3-Wire Interface.  Write Command</w:t>
        </w:r>
        <w:r>
          <w:rPr>
            <w:spacing w:val="-21"/>
          </w:rPr>
          <w:t> </w:t>
        </w:r>
        <w:r>
          <w:rPr/>
          <w:t>when</w:t>
        </w:r>
        <w:r>
          <w:rPr>
            <w:spacing w:val="-3"/>
          </w:rPr>
          <w:t> </w:t>
        </w:r>
        <w:r>
          <w:rPr/>
          <w:t>CNT=0</w:t>
          <w:tab/>
          <w:t>67</w:t>
        </w:r>
      </w:hyperlink>
    </w:p>
    <w:p>
      <w:pPr>
        <w:pStyle w:val="BodyText"/>
        <w:tabs>
          <w:tab w:pos="9747" w:val="left" w:leader="dot"/>
        </w:tabs>
        <w:spacing w:before="39"/>
        <w:ind w:left="620"/>
      </w:pPr>
      <w:hyperlink w:history="true" w:anchor="_bookmark137">
        <w:r>
          <w:rPr/>
          <w:t>Figure 22: 3-wire Interface.  Write Command when HiZ=1</w:t>
        </w:r>
        <w:r>
          <w:rPr>
            <w:spacing w:val="-25"/>
          </w:rPr>
          <w:t> </w:t>
        </w:r>
        <w:r>
          <w:rPr/>
          <w:t>and</w:t>
        </w:r>
        <w:r>
          <w:rPr>
            <w:spacing w:val="-7"/>
          </w:rPr>
          <w:t> </w:t>
        </w:r>
        <w:r>
          <w:rPr/>
          <w:t>WFR=1.</w:t>
          <w:tab/>
          <w:t>67</w:t>
        </w:r>
      </w:hyperlink>
    </w:p>
    <w:p>
      <w:pPr>
        <w:pStyle w:val="BodyText"/>
        <w:tabs>
          <w:tab w:pos="9746" w:val="left" w:leader="dot"/>
        </w:tabs>
        <w:spacing w:before="41"/>
        <w:ind w:left="620"/>
      </w:pPr>
      <w:hyperlink w:history="true" w:anchor="_bookmark141">
        <w:r>
          <w:rPr/>
          <w:t>Figure 23: SPI Slave Port - Typical Multi-Byte Read and</w:t>
        </w:r>
        <w:r>
          <w:rPr>
            <w:spacing w:val="-31"/>
          </w:rPr>
          <w:t> </w:t>
        </w:r>
        <w:r>
          <w:rPr/>
          <w:t>Write</w:t>
        </w:r>
        <w:r>
          <w:rPr>
            <w:spacing w:val="-4"/>
          </w:rPr>
          <w:t> </w:t>
        </w:r>
        <w:r>
          <w:rPr/>
          <w:t>operations</w:t>
          <w:tab/>
          <w:t>69</w:t>
        </w:r>
      </w:hyperlink>
    </w:p>
    <w:p>
      <w:pPr>
        <w:pStyle w:val="BodyText"/>
        <w:tabs>
          <w:tab w:pos="9747" w:val="left" w:leader="dot"/>
        </w:tabs>
        <w:spacing w:before="39"/>
        <w:ind w:left="620"/>
      </w:pPr>
      <w:hyperlink w:history="true" w:anchor="_bookmark150">
        <w:r>
          <w:rPr/>
          <w:t>Figure 24: Voltage, Current, Momentary and</w:t>
        </w:r>
        <w:r>
          <w:rPr>
            <w:spacing w:val="-22"/>
          </w:rPr>
          <w:t> </w:t>
        </w:r>
        <w:r>
          <w:rPr/>
          <w:t>Accumulated</w:t>
        </w:r>
        <w:r>
          <w:rPr>
            <w:spacing w:val="-3"/>
          </w:rPr>
          <w:t> </w:t>
        </w:r>
        <w:r>
          <w:rPr/>
          <w:t>Energy</w:t>
          <w:tab/>
          <w:t>74</w:t>
        </w:r>
      </w:hyperlink>
    </w:p>
    <w:p>
      <w:pPr>
        <w:pStyle w:val="BodyText"/>
        <w:tabs>
          <w:tab w:pos="9747" w:val="left" w:leader="dot"/>
        </w:tabs>
        <w:spacing w:before="41"/>
        <w:ind w:left="620"/>
      </w:pPr>
      <w:hyperlink w:history="true" w:anchor="_bookmark152">
        <w:r>
          <w:rPr/>
          <w:t>Figure 25: Operation Modes</w:t>
        </w:r>
        <w:r>
          <w:rPr>
            <w:spacing w:val="-14"/>
          </w:rPr>
          <w:t> </w:t>
        </w:r>
        <w:r>
          <w:rPr/>
          <w:t>State</w:t>
        </w:r>
        <w:r>
          <w:rPr>
            <w:spacing w:val="-3"/>
          </w:rPr>
          <w:t> </w:t>
        </w:r>
        <w:r>
          <w:rPr/>
          <w:t>Diagram</w:t>
          <w:tab/>
          <w:t>75</w:t>
        </w:r>
      </w:hyperlink>
    </w:p>
    <w:p>
      <w:pPr>
        <w:pStyle w:val="BodyText"/>
        <w:tabs>
          <w:tab w:pos="9747" w:val="left" w:leader="dot"/>
        </w:tabs>
        <w:spacing w:before="39"/>
        <w:ind w:left="620"/>
      </w:pPr>
      <w:hyperlink w:history="true" w:anchor="_bookmark170">
        <w:r>
          <w:rPr/>
          <w:t>Figure 26: MPU/CE</w:t>
        </w:r>
        <w:r>
          <w:rPr>
            <w:spacing w:val="-6"/>
          </w:rPr>
          <w:t> </w:t>
        </w:r>
        <w:r>
          <w:rPr/>
          <w:t>Data</w:t>
        </w:r>
        <w:r>
          <w:rPr>
            <w:spacing w:val="-3"/>
          </w:rPr>
          <w:t> </w:t>
        </w:r>
        <w:r>
          <w:rPr/>
          <w:t>Flow</w:t>
          <w:tab/>
          <w:t>84</w:t>
        </w:r>
      </w:hyperlink>
    </w:p>
    <w:p>
      <w:pPr>
        <w:pStyle w:val="BodyText"/>
        <w:tabs>
          <w:tab w:pos="9747" w:val="left" w:leader="dot"/>
        </w:tabs>
        <w:spacing w:before="41"/>
        <w:ind w:left="620"/>
      </w:pPr>
      <w:hyperlink w:history="true" w:anchor="_bookmark174">
        <w:r>
          <w:rPr/>
          <w:t>Figure 27: Resistive Voltage Divider</w:t>
        </w:r>
        <w:r>
          <w:rPr>
            <w:spacing w:val="-19"/>
          </w:rPr>
          <w:t> </w:t>
        </w:r>
        <w:r>
          <w:rPr/>
          <w:t>(Voltage</w:t>
        </w:r>
        <w:r>
          <w:rPr>
            <w:spacing w:val="-4"/>
          </w:rPr>
          <w:t> </w:t>
        </w:r>
        <w:r>
          <w:rPr/>
          <w:t>Sensing)</w:t>
          <w:tab/>
          <w:t>85</w:t>
        </w:r>
      </w:hyperlink>
    </w:p>
    <w:p>
      <w:pPr>
        <w:pStyle w:val="BodyText"/>
        <w:tabs>
          <w:tab w:pos="9747" w:val="left" w:leader="dot"/>
        </w:tabs>
        <w:spacing w:before="39"/>
        <w:ind w:left="620"/>
      </w:pPr>
      <w:hyperlink w:history="true" w:anchor="_bookmark175">
        <w:r>
          <w:rPr/>
          <w:t>Figure 28. CT with Single-Ended Input Connection</w:t>
        </w:r>
        <w:r>
          <w:rPr>
            <w:spacing w:val="-26"/>
          </w:rPr>
          <w:t> </w:t>
        </w:r>
        <w:r>
          <w:rPr/>
          <w:t>(Current</w:t>
        </w:r>
        <w:r>
          <w:rPr>
            <w:spacing w:val="-5"/>
          </w:rPr>
          <w:t> </w:t>
        </w:r>
        <w:r>
          <w:rPr/>
          <w:t>Sensing)</w:t>
          <w:tab/>
          <w:t>85</w:t>
        </w:r>
      </w:hyperlink>
    </w:p>
    <w:p>
      <w:pPr>
        <w:pStyle w:val="BodyText"/>
        <w:tabs>
          <w:tab w:pos="9747" w:val="left" w:leader="dot"/>
        </w:tabs>
        <w:spacing w:before="41"/>
        <w:ind w:left="620"/>
      </w:pPr>
      <w:hyperlink w:history="true" w:anchor="_bookmark176">
        <w:r>
          <w:rPr/>
          <w:t>Figure 29: CT with Differential Input Connection</w:t>
        </w:r>
        <w:r>
          <w:rPr>
            <w:spacing w:val="-28"/>
          </w:rPr>
          <w:t> </w:t>
        </w:r>
        <w:r>
          <w:rPr/>
          <w:t>(Current</w:t>
        </w:r>
        <w:r>
          <w:rPr>
            <w:spacing w:val="-5"/>
          </w:rPr>
          <w:t> </w:t>
        </w:r>
        <w:r>
          <w:rPr/>
          <w:t>Sensing)</w:t>
          <w:tab/>
          <w:t>85</w:t>
        </w:r>
      </w:hyperlink>
    </w:p>
    <w:p>
      <w:pPr>
        <w:pStyle w:val="BodyText"/>
        <w:tabs>
          <w:tab w:pos="9747" w:val="left" w:leader="dot"/>
        </w:tabs>
        <w:spacing w:before="39"/>
        <w:ind w:left="620"/>
      </w:pPr>
      <w:hyperlink w:history="true" w:anchor="_bookmark177">
        <w:r>
          <w:rPr/>
          <w:t>Figure 30: Differential Resistive Shunt Connections</w:t>
        </w:r>
        <w:r>
          <w:rPr>
            <w:spacing w:val="-26"/>
          </w:rPr>
          <w:t> </w:t>
        </w:r>
        <w:r>
          <w:rPr/>
          <w:t>(Current</w:t>
        </w:r>
        <w:r>
          <w:rPr>
            <w:spacing w:val="-5"/>
          </w:rPr>
          <w:t> </w:t>
        </w:r>
        <w:r>
          <w:rPr/>
          <w:t>Sensing)</w:t>
          <w:tab/>
          <w:t>85</w:t>
        </w:r>
      </w:hyperlink>
    </w:p>
    <w:p>
      <w:pPr>
        <w:pStyle w:val="BodyText"/>
        <w:tabs>
          <w:tab w:pos="9747" w:val="left" w:leader="dot"/>
        </w:tabs>
        <w:spacing w:before="41"/>
        <w:ind w:left="620"/>
      </w:pPr>
      <w:hyperlink w:history="true" w:anchor="_bookmark179">
        <w:r>
          <w:rPr/>
          <w:t>Figure 31: System Using Three-Remotes and One-Local</w:t>
        </w:r>
        <w:r>
          <w:rPr>
            <w:spacing w:val="-26"/>
          </w:rPr>
          <w:t> </w:t>
        </w:r>
        <w:r>
          <w:rPr/>
          <w:t>(Neutral)</w:t>
        </w:r>
        <w:r>
          <w:rPr>
            <w:spacing w:val="-2"/>
          </w:rPr>
          <w:t> </w:t>
        </w:r>
        <w:r>
          <w:rPr/>
          <w:t>Sensor</w:t>
          <w:tab/>
          <w:t>86</w:t>
        </w:r>
      </w:hyperlink>
    </w:p>
    <w:p>
      <w:pPr>
        <w:pStyle w:val="BodyText"/>
        <w:tabs>
          <w:tab w:pos="9747" w:val="left" w:leader="dot"/>
        </w:tabs>
        <w:spacing w:before="39"/>
        <w:ind w:left="620"/>
      </w:pPr>
      <w:hyperlink w:history="true" w:anchor="_bookmark181">
        <w:r>
          <w:rPr/>
          <w:t>Figure 32. System Using</w:t>
        </w:r>
        <w:r>
          <w:rPr>
            <w:spacing w:val="-10"/>
          </w:rPr>
          <w:t> </w:t>
        </w:r>
        <w:r>
          <w:rPr/>
          <w:t>Current</w:t>
        </w:r>
        <w:r>
          <w:rPr>
            <w:spacing w:val="-4"/>
          </w:rPr>
          <w:t> </w:t>
        </w:r>
        <w:r>
          <w:rPr/>
          <w:t>Transformers</w:t>
          <w:tab/>
          <w:t>87</w:t>
        </w:r>
      </w:hyperlink>
    </w:p>
    <w:p>
      <w:pPr>
        <w:pStyle w:val="BodyText"/>
        <w:tabs>
          <w:tab w:pos="9747" w:val="left" w:leader="dot"/>
        </w:tabs>
        <w:spacing w:before="39"/>
        <w:ind w:left="620"/>
      </w:pPr>
      <w:hyperlink w:history="true" w:anchor="_bookmark191">
        <w:r>
          <w:rPr/>
          <w:t>Figure 33: I</w:t>
        </w:r>
        <w:r>
          <w:rPr>
            <w:vertAlign w:val="superscript"/>
          </w:rPr>
          <w:t>2</w:t>
        </w:r>
        <w:r>
          <w:rPr>
            <w:vertAlign w:val="baseline"/>
          </w:rPr>
          <w:t>C</w:t>
        </w:r>
        <w:r>
          <w:rPr>
            <w:spacing w:val="-7"/>
            <w:vertAlign w:val="baseline"/>
          </w:rPr>
          <w:t> </w:t>
        </w:r>
        <w:r>
          <w:rPr>
            <w:vertAlign w:val="baseline"/>
          </w:rPr>
          <w:t>EEPROM</w:t>
        </w:r>
        <w:r>
          <w:rPr>
            <w:spacing w:val="-3"/>
            <w:vertAlign w:val="baseline"/>
          </w:rPr>
          <w:t> </w:t>
        </w:r>
        <w:r>
          <w:rPr>
            <w:vertAlign w:val="baseline"/>
          </w:rPr>
          <w:t>Connection</w:t>
          <w:tab/>
          <w:t>92</w:t>
        </w:r>
      </w:hyperlink>
    </w:p>
    <w:p>
      <w:pPr>
        <w:pStyle w:val="BodyText"/>
        <w:tabs>
          <w:tab w:pos="9747" w:val="left" w:leader="dot"/>
        </w:tabs>
        <w:spacing w:before="41"/>
        <w:ind w:left="620"/>
      </w:pPr>
      <w:hyperlink w:history="true" w:anchor="_bookmark194">
        <w:r>
          <w:rPr/>
          <w:t>Figure 34: Connections</w:t>
        </w:r>
        <w:r>
          <w:rPr>
            <w:spacing w:val="-7"/>
          </w:rPr>
          <w:t> </w:t>
        </w:r>
        <w:r>
          <w:rPr/>
          <w:t>for</w:t>
        </w:r>
        <w:r>
          <w:rPr>
            <w:spacing w:val="-3"/>
          </w:rPr>
          <w:t> </w:t>
        </w:r>
        <w:r>
          <w:rPr/>
          <w:t>UART0</w:t>
          <w:tab/>
          <w:t>92</w:t>
        </w:r>
      </w:hyperlink>
    </w:p>
    <w:p>
      <w:pPr>
        <w:pStyle w:val="BodyText"/>
        <w:tabs>
          <w:tab w:pos="9747" w:val="left" w:leader="dot"/>
        </w:tabs>
        <w:spacing w:before="39"/>
        <w:ind w:left="620"/>
      </w:pPr>
      <w:hyperlink w:history="true" w:anchor="_bookmark196">
        <w:r>
          <w:rPr/>
          <w:t>Figure 35: Connection for</w:t>
        </w:r>
        <w:r>
          <w:rPr>
            <w:spacing w:val="-14"/>
          </w:rPr>
          <w:t> </w:t>
        </w:r>
        <w:r>
          <w:rPr/>
          <w:t>Optical</w:t>
        </w:r>
        <w:r>
          <w:rPr>
            <w:spacing w:val="-4"/>
          </w:rPr>
          <w:t> </w:t>
        </w:r>
        <w:r>
          <w:rPr/>
          <w:t>Components</w:t>
          <w:tab/>
          <w:t>93</w:t>
        </w:r>
      </w:hyperlink>
    </w:p>
    <w:p>
      <w:pPr>
        <w:pStyle w:val="BodyText"/>
        <w:tabs>
          <w:tab w:pos="9746" w:val="left" w:leader="dot"/>
        </w:tabs>
        <w:spacing w:before="41"/>
        <w:ind w:left="620"/>
      </w:pPr>
      <w:hyperlink w:history="true" w:anchor="_bookmark198">
        <w:r>
          <w:rPr/>
          <w:t>Figure 36: External Components for the RESET Pin: Push-Button (Left), Production</w:t>
        </w:r>
        <w:r>
          <w:rPr>
            <w:spacing w:val="-38"/>
          </w:rPr>
          <w:t> </w:t>
        </w:r>
        <w:r>
          <w:rPr/>
          <w:t>Circuit</w:t>
        </w:r>
        <w:r>
          <w:rPr>
            <w:spacing w:val="-4"/>
          </w:rPr>
          <w:t> </w:t>
        </w:r>
        <w:r>
          <w:rPr/>
          <w:t>(Right)</w:t>
          <w:tab/>
          <w:t>94</w:t>
        </w:r>
      </w:hyperlink>
    </w:p>
    <w:p>
      <w:pPr>
        <w:pStyle w:val="BodyText"/>
        <w:tabs>
          <w:tab w:pos="9747" w:val="left" w:leader="dot"/>
        </w:tabs>
        <w:spacing w:before="39"/>
        <w:ind w:left="620"/>
      </w:pPr>
      <w:hyperlink w:history="true" w:anchor="_bookmark200">
        <w:r>
          <w:rPr/>
          <w:t>Figure 37: External Components for the</w:t>
        </w:r>
        <w:r>
          <w:rPr>
            <w:spacing w:val="-18"/>
          </w:rPr>
          <w:t> </w:t>
        </w:r>
        <w:r>
          <w:rPr/>
          <w:t>Emulator</w:t>
        </w:r>
        <w:r>
          <w:rPr>
            <w:spacing w:val="-3"/>
          </w:rPr>
          <w:t> </w:t>
        </w:r>
        <w:r>
          <w:rPr/>
          <w:t>Interface</w:t>
          <w:tab/>
          <w:t>94</w:t>
        </w:r>
      </w:hyperlink>
    </w:p>
    <w:p>
      <w:pPr>
        <w:pStyle w:val="BodyText"/>
        <w:tabs>
          <w:tab w:pos="9636" w:val="left" w:leader="dot"/>
        </w:tabs>
        <w:spacing w:before="41"/>
        <w:ind w:left="620"/>
      </w:pPr>
      <w:hyperlink w:history="true" w:anchor="_bookmark240">
        <w:r>
          <w:rPr/>
          <w:t>Figure 38: CE Data Flow: Multiplexer</w:t>
        </w:r>
        <w:r>
          <w:rPr>
            <w:spacing w:val="-16"/>
          </w:rPr>
          <w:t> </w:t>
        </w:r>
        <w:r>
          <w:rPr/>
          <w:t>and</w:t>
        </w:r>
        <w:r>
          <w:rPr>
            <w:spacing w:val="-2"/>
          </w:rPr>
          <w:t> </w:t>
        </w:r>
        <w:r>
          <w:rPr/>
          <w:t>ADC</w:t>
          <w:tab/>
          <w:t>128</w:t>
        </w:r>
      </w:hyperlink>
    </w:p>
    <w:p>
      <w:pPr>
        <w:pStyle w:val="BodyText"/>
        <w:tabs>
          <w:tab w:pos="9636" w:val="left" w:leader="dot"/>
        </w:tabs>
        <w:spacing w:before="39"/>
        <w:ind w:left="620"/>
      </w:pPr>
      <w:hyperlink w:history="true" w:anchor="_bookmark241">
        <w:r>
          <w:rPr/>
          <w:t>Figure 39: CE Data Flow: Scaling, Gain Control, Intermediate Variables for</w:t>
        </w:r>
        <w:r>
          <w:rPr>
            <w:spacing w:val="-39"/>
          </w:rPr>
          <w:t> </w:t>
        </w:r>
        <w:r>
          <w:rPr/>
          <w:t>one</w:t>
        </w:r>
        <w:r>
          <w:rPr>
            <w:spacing w:val="-2"/>
          </w:rPr>
          <w:t> </w:t>
        </w:r>
        <w:r>
          <w:rPr/>
          <w:t>Phase</w:t>
          <w:tab/>
          <w:t>128</w:t>
        </w:r>
      </w:hyperlink>
    </w:p>
    <w:p>
      <w:pPr>
        <w:pStyle w:val="BodyText"/>
        <w:tabs>
          <w:tab w:pos="9636" w:val="left" w:leader="dot"/>
        </w:tabs>
        <w:spacing w:before="41"/>
        <w:ind w:left="620"/>
      </w:pPr>
      <w:hyperlink w:history="true" w:anchor="_bookmark242">
        <w:r>
          <w:rPr/>
          <w:t>Figure 40: CE Data Flow: Squaring and</w:t>
        </w:r>
        <w:r>
          <w:rPr>
            <w:spacing w:val="-23"/>
          </w:rPr>
          <w:t> </w:t>
        </w:r>
        <w:r>
          <w:rPr/>
          <w:t>Summation</w:t>
        </w:r>
        <w:r>
          <w:rPr>
            <w:spacing w:val="-2"/>
          </w:rPr>
          <w:t> </w:t>
        </w:r>
        <w:r>
          <w:rPr/>
          <w:t>Stages</w:t>
          <w:tab/>
          <w:t>129</w:t>
        </w:r>
      </w:hyperlink>
    </w:p>
    <w:p>
      <w:pPr>
        <w:pStyle w:val="BodyText"/>
        <w:tabs>
          <w:tab w:pos="9636" w:val="left" w:leader="dot"/>
        </w:tabs>
        <w:spacing w:before="39"/>
        <w:ind w:left="620"/>
      </w:pPr>
      <w:hyperlink w:history="true" w:anchor="_bookmark295">
        <w:r>
          <w:rPr/>
          <w:t>Figure 41: 100-pin LQFP</w:t>
        </w:r>
        <w:r>
          <w:rPr>
            <w:spacing w:val="-11"/>
          </w:rPr>
          <w:t> </w:t>
        </w:r>
        <w:r>
          <w:rPr/>
          <w:t>Package</w:t>
        </w:r>
        <w:r>
          <w:rPr>
            <w:spacing w:val="-5"/>
          </w:rPr>
          <w:t> </w:t>
        </w:r>
        <w:r>
          <w:rPr/>
          <w:t>Outline</w:t>
          <w:tab/>
          <w:t>145</w:t>
        </w:r>
      </w:hyperlink>
    </w:p>
    <w:p>
      <w:pPr>
        <w:pStyle w:val="BodyText"/>
        <w:tabs>
          <w:tab w:pos="9636" w:val="left" w:leader="dot"/>
        </w:tabs>
        <w:spacing w:before="41"/>
        <w:ind w:left="620"/>
      </w:pPr>
      <w:hyperlink w:history="true" w:anchor="_bookmark297">
        <w:r>
          <w:rPr/>
          <w:t>Figure 42: Pinout for the</w:t>
        </w:r>
        <w:r>
          <w:rPr>
            <w:spacing w:val="-13"/>
          </w:rPr>
          <w:t> </w:t>
        </w:r>
        <w:r>
          <w:rPr/>
          <w:t>LQFP-100</w:t>
        </w:r>
        <w:r>
          <w:rPr>
            <w:spacing w:val="-2"/>
          </w:rPr>
          <w:t> </w:t>
        </w:r>
        <w:r>
          <w:rPr/>
          <w:t>Package</w:t>
          <w:tab/>
          <w:t>146</w:t>
        </w:r>
      </w:hyperlink>
    </w:p>
    <w:p>
      <w:pPr>
        <w:pStyle w:val="BodyText"/>
        <w:tabs>
          <w:tab w:pos="9636" w:val="left" w:leader="dot"/>
        </w:tabs>
        <w:spacing w:before="39"/>
        <w:ind w:left="620"/>
      </w:pPr>
      <w:hyperlink w:history="true" w:anchor="_bookmark306">
        <w:r>
          <w:rPr/>
          <w:t>Figure 43: I/O</w:t>
        </w:r>
        <w:r>
          <w:rPr>
            <w:spacing w:val="-11"/>
          </w:rPr>
          <w:t> </w:t>
        </w:r>
        <w:r>
          <w:rPr/>
          <w:t>Equivalent</w:t>
        </w:r>
        <w:r>
          <w:rPr>
            <w:spacing w:val="-5"/>
          </w:rPr>
          <w:t> </w:t>
        </w:r>
        <w:r>
          <w:rPr/>
          <w:t>Circuits</w:t>
          <w:tab/>
          <w:t>151</w:t>
        </w:r>
      </w:hyperlink>
    </w:p>
    <w:p>
      <w:pPr>
        <w:spacing w:after="0"/>
        <w:sectPr>
          <w:pgSz w:w="12240" w:h="15840"/>
          <w:pgMar w:header="727" w:footer="819" w:top="960" w:bottom="1000" w:left="820" w:right="860"/>
        </w:sectPr>
      </w:pPr>
    </w:p>
    <w:p>
      <w:pPr>
        <w:pStyle w:val="BodyText"/>
        <w:spacing w:before="10"/>
        <w:rPr>
          <w:sz w:val="12"/>
        </w:rPr>
      </w:pPr>
    </w:p>
    <w:p>
      <w:pPr>
        <w:spacing w:before="92"/>
        <w:ind w:left="620" w:right="0" w:firstLine="0"/>
        <w:jc w:val="left"/>
        <w:rPr>
          <w:b/>
          <w:sz w:val="24"/>
        </w:rPr>
      </w:pPr>
      <w:r>
        <w:rPr>
          <w:b/>
          <w:sz w:val="24"/>
        </w:rPr>
        <w:t>Tables</w:t>
      </w:r>
    </w:p>
    <w:p>
      <w:pPr>
        <w:spacing w:after="0"/>
        <w:jc w:val="left"/>
        <w:rPr>
          <w:sz w:val="24"/>
        </w:rPr>
        <w:sectPr>
          <w:pgSz w:w="12240" w:h="15840"/>
          <w:pgMar w:header="727" w:footer="819" w:top="960" w:bottom="1130" w:left="820" w:right="860"/>
        </w:sectPr>
      </w:pPr>
    </w:p>
    <w:sdt>
      <w:sdtPr>
        <w:docPartObj>
          <w:docPartGallery w:val="Table of Contents"/>
          <w:docPartUnique/>
        </w:docPartObj>
      </w:sdtPr>
      <w:sdtEndPr/>
      <w:sdtContent>
        <w:p>
          <w:pPr>
            <w:pStyle w:val="TOC1"/>
            <w:tabs>
              <w:tab w:pos="9967" w:val="right" w:leader="dot"/>
            </w:tabs>
            <w:spacing w:before="43"/>
          </w:pPr>
          <w:hyperlink w:history="true" w:anchor="_bookmark9">
            <w:r>
              <w:rPr/>
              <w:t>Table 1. Required CE Code and Settings for 1-Local</w:t>
            </w:r>
            <w:r>
              <w:rPr>
                <w:spacing w:val="-8"/>
              </w:rPr>
              <w:t> </w:t>
            </w:r>
            <w:r>
              <w:rPr/>
              <w:t>/ 3-Remotes</w:t>
              <w:tab/>
              <w:t>15</w:t>
            </w:r>
          </w:hyperlink>
        </w:p>
        <w:p>
          <w:pPr>
            <w:pStyle w:val="TOC1"/>
            <w:tabs>
              <w:tab w:pos="9967" w:val="right" w:leader="dot"/>
            </w:tabs>
            <w:spacing w:before="38"/>
          </w:pPr>
          <w:hyperlink w:history="true" w:anchor="_bookmark10">
            <w:r>
              <w:rPr/>
              <w:t>Table 2. Required CE Code and Settings for</w:t>
            </w:r>
            <w:r>
              <w:rPr>
                <w:spacing w:val="-5"/>
              </w:rPr>
              <w:t> </w:t>
            </w:r>
            <w:r>
              <w:rPr/>
              <w:t>CT</w:t>
            </w:r>
            <w:r>
              <w:rPr>
                <w:spacing w:val="1"/>
              </w:rPr>
              <w:t> </w:t>
            </w:r>
            <w:r>
              <w:rPr/>
              <w:t>Sensors</w:t>
              <w:tab/>
              <w:t>16</w:t>
            </w:r>
          </w:hyperlink>
        </w:p>
        <w:p>
          <w:pPr>
            <w:pStyle w:val="TOC1"/>
            <w:tabs>
              <w:tab w:pos="9967" w:val="right" w:leader="dot"/>
            </w:tabs>
            <w:spacing w:before="42"/>
          </w:pPr>
          <w:hyperlink w:history="true" w:anchor="_bookmark13">
            <w:r>
              <w:rPr/>
              <w:t>Table 3: Multiplexer and ADC Configuration Bits</w:t>
              <w:tab/>
              <w:t>19</w:t>
            </w:r>
          </w:hyperlink>
        </w:p>
        <w:p>
          <w:pPr>
            <w:pStyle w:val="TOC2"/>
            <w:tabs>
              <w:tab w:pos="9967" w:val="right" w:leader="dot"/>
            </w:tabs>
            <w:rPr>
              <w:b w:val="0"/>
              <w:i w:val="0"/>
              <w:sz w:val="20"/>
            </w:rPr>
          </w:pPr>
          <w:hyperlink w:history="true" w:anchor="_bookmark23">
            <w:r>
              <w:rPr>
                <w:b w:val="0"/>
                <w:i w:val="0"/>
                <w:sz w:val="20"/>
              </w:rPr>
              <w:t>Table 4.</w:t>
            </w:r>
            <w:r>
              <w:rPr>
                <w:b w:val="0"/>
                <w:i w:val="0"/>
                <w:spacing w:val="-3"/>
                <w:sz w:val="20"/>
              </w:rPr>
              <w:t> </w:t>
            </w:r>
            <w:r>
              <w:rPr>
                <w:rFonts w:ascii="Times New Roman"/>
                <w:b w:val="0"/>
                <w:i/>
                <w:sz w:val="20"/>
              </w:rPr>
              <w:t>RCMD[4:0]</w:t>
            </w:r>
            <w:r>
              <w:rPr>
                <w:rFonts w:ascii="Times New Roman"/>
                <w:b w:val="0"/>
                <w:i/>
                <w:spacing w:val="12"/>
                <w:sz w:val="20"/>
              </w:rPr>
              <w:t> </w:t>
            </w:r>
            <w:r>
              <w:rPr>
                <w:b w:val="0"/>
                <w:i w:val="0"/>
                <w:sz w:val="20"/>
              </w:rPr>
              <w:t>Bits</w:t>
              <w:tab/>
              <w:t>23</w:t>
            </w:r>
          </w:hyperlink>
        </w:p>
        <w:p>
          <w:pPr>
            <w:pStyle w:val="TOC1"/>
            <w:tabs>
              <w:tab w:pos="9967" w:val="right" w:leader="dot"/>
            </w:tabs>
            <w:spacing w:before="45"/>
          </w:pPr>
          <w:hyperlink w:history="true" w:anchor="_bookmark24">
            <w:r>
              <w:rPr/>
              <w:t>Table 5: Remote Interface</w:t>
            </w:r>
            <w:r>
              <w:rPr>
                <w:spacing w:val="-3"/>
              </w:rPr>
              <w:t> </w:t>
            </w:r>
            <w:r>
              <w:rPr/>
              <w:t>Read Commands</w:t>
              <w:tab/>
              <w:t>23</w:t>
            </w:r>
          </w:hyperlink>
        </w:p>
        <w:p>
          <w:pPr>
            <w:pStyle w:val="TOC1"/>
            <w:tabs>
              <w:tab w:pos="9967" w:val="right" w:leader="dot"/>
            </w:tabs>
          </w:pPr>
          <w:hyperlink w:history="true" w:anchor="_bookmark25">
            <w:r>
              <w:rPr/>
              <w:t>Table 6: I/O RAM Control Bits for</w:t>
            </w:r>
            <w:r>
              <w:rPr>
                <w:spacing w:val="-8"/>
              </w:rPr>
              <w:t> </w:t>
            </w:r>
            <w:r>
              <w:rPr/>
              <w:t>Isolated</w:t>
            </w:r>
            <w:r>
              <w:rPr>
                <w:spacing w:val="1"/>
              </w:rPr>
              <w:t> </w:t>
            </w:r>
            <w:r>
              <w:rPr/>
              <w:t>Sensor</w:t>
              <w:tab/>
              <w:t>24</w:t>
            </w:r>
          </w:hyperlink>
        </w:p>
        <w:p>
          <w:pPr>
            <w:pStyle w:val="TOC1"/>
            <w:tabs>
              <w:tab w:pos="9967" w:val="right" w:leader="dot"/>
            </w:tabs>
            <w:spacing w:before="41"/>
          </w:pPr>
          <w:hyperlink w:history="true" w:anchor="_bookmark31">
            <w:r>
              <w:rPr/>
              <w:t>Table 7: Inputs Selected in</w:t>
            </w:r>
            <w:r>
              <w:rPr>
                <w:spacing w:val="-4"/>
              </w:rPr>
              <w:t> </w:t>
            </w:r>
            <w:r>
              <w:rPr/>
              <w:t>Multiplexer Cycles</w:t>
              <w:tab/>
              <w:t>26</w:t>
            </w:r>
          </w:hyperlink>
        </w:p>
        <w:p>
          <w:pPr>
            <w:pStyle w:val="TOC1"/>
            <w:tabs>
              <w:tab w:pos="9967" w:val="right" w:leader="dot"/>
            </w:tabs>
          </w:pPr>
          <w:hyperlink w:history="true" w:anchor="_bookmark41">
            <w:r>
              <w:rPr/>
              <w:t>Table 8: CKMPU</w:t>
            </w:r>
            <w:r>
              <w:rPr>
                <w:spacing w:val="-1"/>
              </w:rPr>
              <w:t> </w:t>
            </w:r>
            <w:r>
              <w:rPr/>
              <w:t>Clock</w:t>
            </w:r>
            <w:r>
              <w:rPr>
                <w:spacing w:val="3"/>
              </w:rPr>
              <w:t> </w:t>
            </w:r>
            <w:r>
              <w:rPr/>
              <w:t>Frequencies</w:t>
              <w:tab/>
              <w:t>30</w:t>
            </w:r>
          </w:hyperlink>
        </w:p>
        <w:p>
          <w:pPr>
            <w:pStyle w:val="TOC1"/>
            <w:tabs>
              <w:tab w:pos="9967" w:val="right" w:leader="dot"/>
            </w:tabs>
            <w:spacing w:before="41"/>
          </w:pPr>
          <w:hyperlink w:history="true" w:anchor="_bookmark43">
            <w:r>
              <w:rPr/>
              <w:t>Table 9:</w:t>
            </w:r>
            <w:r>
              <w:rPr>
                <w:spacing w:val="-1"/>
              </w:rPr>
              <w:t> </w:t>
            </w:r>
            <w:r>
              <w:rPr/>
              <w:t>Memory</w:t>
            </w:r>
            <w:r>
              <w:rPr>
                <w:spacing w:val="-4"/>
              </w:rPr>
              <w:t> </w:t>
            </w:r>
            <w:r>
              <w:rPr/>
              <w:t>Map</w:t>
              <w:tab/>
              <w:t>31</w:t>
            </w:r>
          </w:hyperlink>
        </w:p>
        <w:p>
          <w:pPr>
            <w:pStyle w:val="TOC1"/>
            <w:tabs>
              <w:tab w:pos="9967" w:val="right" w:leader="dot"/>
            </w:tabs>
          </w:pPr>
          <w:hyperlink w:history="true" w:anchor="_bookmark46">
            <w:r>
              <w:rPr/>
              <w:t>Table 10: Internal Data</w:t>
            </w:r>
            <w:r>
              <w:rPr>
                <w:spacing w:val="-4"/>
              </w:rPr>
              <w:t> </w:t>
            </w:r>
            <w:r>
              <w:rPr/>
              <w:t>Memory</w:t>
            </w:r>
            <w:r>
              <w:rPr>
                <w:spacing w:val="-4"/>
              </w:rPr>
              <w:t> </w:t>
            </w:r>
            <w:r>
              <w:rPr/>
              <w:t>Map</w:t>
              <w:tab/>
              <w:t>32</w:t>
            </w:r>
          </w:hyperlink>
        </w:p>
        <w:p>
          <w:pPr>
            <w:pStyle w:val="TOC1"/>
            <w:tabs>
              <w:tab w:pos="9967" w:val="right" w:leader="dot"/>
            </w:tabs>
            <w:spacing w:before="41"/>
          </w:pPr>
          <w:hyperlink w:history="true" w:anchor="_bookmark48">
            <w:r>
              <w:rPr/>
              <w:t>Table 11: Special Function</w:t>
            </w:r>
            <w:r>
              <w:rPr>
                <w:spacing w:val="-2"/>
              </w:rPr>
              <w:t> </w:t>
            </w:r>
            <w:r>
              <w:rPr/>
              <w:t>Register</w:t>
            </w:r>
            <w:r>
              <w:rPr>
                <w:spacing w:val="-1"/>
              </w:rPr>
              <w:t> </w:t>
            </w:r>
            <w:r>
              <w:rPr/>
              <w:t>Map</w:t>
              <w:tab/>
              <w:t>32</w:t>
            </w:r>
          </w:hyperlink>
        </w:p>
        <w:p>
          <w:pPr>
            <w:pStyle w:val="TOC1"/>
            <w:tabs>
              <w:tab w:pos="9967" w:val="right" w:leader="dot"/>
            </w:tabs>
          </w:pPr>
          <w:hyperlink w:history="true" w:anchor="_bookmark50">
            <w:r>
              <w:rPr/>
              <w:t>Table 12: Generic 80515 SFRs - Location and</w:t>
            </w:r>
            <w:r>
              <w:rPr>
                <w:spacing w:val="-4"/>
              </w:rPr>
              <w:t> </w:t>
            </w:r>
            <w:r>
              <w:rPr/>
              <w:t>Reset</w:t>
            </w:r>
            <w:r>
              <w:rPr>
                <w:spacing w:val="1"/>
              </w:rPr>
              <w:t> </w:t>
            </w:r>
            <w:r>
              <w:rPr/>
              <w:t>Values</w:t>
              <w:tab/>
              <w:t>33</w:t>
            </w:r>
          </w:hyperlink>
        </w:p>
        <w:p>
          <w:pPr>
            <w:pStyle w:val="TOC1"/>
            <w:tabs>
              <w:tab w:pos="9967" w:val="right" w:leader="dot"/>
            </w:tabs>
            <w:spacing w:before="36"/>
          </w:pPr>
          <w:hyperlink w:history="true" w:anchor="_bookmark53">
            <w:r>
              <w:rPr/>
              <w:t>Table 13: </w:t>
            </w:r>
            <w:r>
              <w:rPr>
                <w:rFonts w:ascii="Times New Roman"/>
                <w:i/>
              </w:rPr>
              <w:t>PSW </w:t>
            </w:r>
            <w:r>
              <w:rPr/>
              <w:t>Bit Functions (SFR</w:t>
            </w:r>
            <w:r>
              <w:rPr>
                <w:spacing w:val="-2"/>
              </w:rPr>
              <w:t> </w:t>
            </w:r>
            <w:r>
              <w:rPr/>
              <w:t>0xD0)</w:t>
              <w:tab/>
              <w:t>34</w:t>
            </w:r>
          </w:hyperlink>
        </w:p>
        <w:p>
          <w:pPr>
            <w:pStyle w:val="TOC1"/>
            <w:tabs>
              <w:tab w:pos="9967" w:val="right" w:leader="dot"/>
            </w:tabs>
            <w:spacing w:before="45"/>
          </w:pPr>
          <w:hyperlink w:history="true" w:anchor="_bookmark56">
            <w:r>
              <w:rPr/>
              <w:t>Table 14: Port</w:t>
            </w:r>
            <w:r>
              <w:rPr>
                <w:spacing w:val="-2"/>
              </w:rPr>
              <w:t> </w:t>
            </w:r>
            <w:r>
              <w:rPr/>
              <w:t>Registers (SEGDIO0-15)</w:t>
              <w:tab/>
              <w:t>35</w:t>
            </w:r>
          </w:hyperlink>
        </w:p>
        <w:p>
          <w:pPr>
            <w:pStyle w:val="TOC1"/>
            <w:tabs>
              <w:tab w:pos="9967" w:val="right" w:leader="dot"/>
            </w:tabs>
          </w:pPr>
          <w:hyperlink w:history="true" w:anchor="_bookmark59">
            <w:r>
              <w:rPr/>
              <w:t>Table 15: Stretch Memory</w:t>
            </w:r>
            <w:r>
              <w:rPr>
                <w:spacing w:val="-6"/>
              </w:rPr>
              <w:t> </w:t>
            </w:r>
            <w:r>
              <w:rPr/>
              <w:t>Cycle</w:t>
            </w:r>
            <w:r>
              <w:rPr>
                <w:spacing w:val="-4"/>
              </w:rPr>
              <w:t> </w:t>
            </w:r>
            <w:r>
              <w:rPr/>
              <w:t>Width</w:t>
              <w:tab/>
              <w:t>35</w:t>
            </w:r>
          </w:hyperlink>
        </w:p>
        <w:p>
          <w:pPr>
            <w:pStyle w:val="TOC1"/>
            <w:tabs>
              <w:tab w:pos="9967" w:val="right" w:leader="dot"/>
            </w:tabs>
            <w:spacing w:before="41"/>
          </w:pPr>
          <w:hyperlink w:history="true" w:anchor="_bookmark62">
            <w:r>
              <w:rPr/>
              <w:t>Table 16: Baud Rate</w:t>
            </w:r>
            <w:r>
              <w:rPr>
                <w:spacing w:val="1"/>
              </w:rPr>
              <w:t> </w:t>
            </w:r>
            <w:r>
              <w:rPr/>
              <w:t>Generation</w:t>
              <w:tab/>
              <w:t>36</w:t>
            </w:r>
          </w:hyperlink>
        </w:p>
        <w:p>
          <w:pPr>
            <w:pStyle w:val="TOC1"/>
            <w:tabs>
              <w:tab w:pos="9967" w:val="right" w:leader="dot"/>
            </w:tabs>
          </w:pPr>
          <w:hyperlink w:history="true" w:anchor="_bookmark63">
            <w:r>
              <w:rPr/>
              <w:t>Table 17:</w:t>
            </w:r>
            <w:r>
              <w:rPr>
                <w:spacing w:val="-1"/>
              </w:rPr>
              <w:t> </w:t>
            </w:r>
            <w:r>
              <w:rPr/>
              <w:t>UART</w:t>
            </w:r>
            <w:r>
              <w:rPr>
                <w:spacing w:val="2"/>
              </w:rPr>
              <w:t> </w:t>
            </w:r>
            <w:r>
              <w:rPr/>
              <w:t>Modes</w:t>
              <w:tab/>
              <w:t>36</w:t>
            </w:r>
          </w:hyperlink>
        </w:p>
        <w:p>
          <w:pPr>
            <w:pStyle w:val="TOC1"/>
            <w:tabs>
              <w:tab w:pos="9967" w:val="right" w:leader="dot"/>
            </w:tabs>
            <w:spacing w:before="37"/>
          </w:pPr>
          <w:hyperlink w:history="true" w:anchor="_bookmark64">
            <w:r>
              <w:rPr/>
              <w:t>Table 18: The </w:t>
            </w:r>
            <w:r>
              <w:rPr>
                <w:rFonts w:ascii="Times New Roman"/>
                <w:i/>
              </w:rPr>
              <w:t>S0CON </w:t>
            </w:r>
            <w:r>
              <w:rPr/>
              <w:t>(UART0) Register</w:t>
            </w:r>
            <w:r>
              <w:rPr>
                <w:spacing w:val="1"/>
              </w:rPr>
              <w:t> </w:t>
            </w:r>
            <w:r>
              <w:rPr/>
              <w:t>(SFR</w:t>
            </w:r>
            <w:r>
              <w:rPr>
                <w:spacing w:val="2"/>
              </w:rPr>
              <w:t> </w:t>
            </w:r>
            <w:r>
              <w:rPr/>
              <w:t>0x98)</w:t>
              <w:tab/>
              <w:t>37</w:t>
            </w:r>
          </w:hyperlink>
        </w:p>
        <w:p>
          <w:pPr>
            <w:pStyle w:val="TOC1"/>
            <w:tabs>
              <w:tab w:pos="9967" w:val="right" w:leader="dot"/>
            </w:tabs>
            <w:spacing w:before="40"/>
          </w:pPr>
          <w:hyperlink w:history="true" w:anchor="_bookmark65">
            <w:r>
              <w:rPr/>
              <w:t>Table 19: The </w:t>
            </w:r>
            <w:r>
              <w:rPr>
                <w:rFonts w:ascii="Times New Roman"/>
                <w:i/>
              </w:rPr>
              <w:t>S1CON </w:t>
            </w:r>
            <w:r>
              <w:rPr/>
              <w:t>(UART1) Register</w:t>
            </w:r>
            <w:r>
              <w:rPr>
                <w:spacing w:val="1"/>
              </w:rPr>
              <w:t> </w:t>
            </w:r>
            <w:r>
              <w:rPr/>
              <w:t>(SFR</w:t>
            </w:r>
            <w:r>
              <w:rPr>
                <w:spacing w:val="2"/>
              </w:rPr>
              <w:t> </w:t>
            </w:r>
            <w:r>
              <w:rPr/>
              <w:t>0x9B)</w:t>
              <w:tab/>
              <w:t>37</w:t>
            </w:r>
          </w:hyperlink>
        </w:p>
        <w:p>
          <w:pPr>
            <w:pStyle w:val="TOC2"/>
            <w:tabs>
              <w:tab w:pos="9967" w:val="right" w:leader="dot"/>
            </w:tabs>
            <w:spacing w:before="38"/>
            <w:rPr>
              <w:b w:val="0"/>
              <w:i w:val="0"/>
              <w:sz w:val="20"/>
            </w:rPr>
          </w:pPr>
          <w:hyperlink w:history="true" w:anchor="_bookmark67">
            <w:r>
              <w:rPr>
                <w:b w:val="0"/>
                <w:i w:val="0"/>
                <w:sz w:val="20"/>
              </w:rPr>
              <w:t>Table 20: </w:t>
            </w:r>
            <w:r>
              <w:rPr>
                <w:b w:val="0"/>
                <w:i/>
                <w:sz w:val="20"/>
              </w:rPr>
              <w:t>PCON </w:t>
            </w:r>
            <w:r>
              <w:rPr>
                <w:b w:val="0"/>
                <w:i w:val="0"/>
                <w:sz w:val="20"/>
              </w:rPr>
              <w:t>Register Bit Description</w:t>
            </w:r>
            <w:r>
              <w:rPr>
                <w:b w:val="0"/>
                <w:i w:val="0"/>
                <w:spacing w:val="2"/>
                <w:sz w:val="20"/>
              </w:rPr>
              <w:t> </w:t>
            </w:r>
            <w:r>
              <w:rPr>
                <w:b w:val="0"/>
                <w:i w:val="0"/>
                <w:sz w:val="20"/>
              </w:rPr>
              <w:t>(</w:t>
            </w:r>
            <w:r>
              <w:rPr>
                <w:rFonts w:ascii="Times New Roman"/>
                <w:b w:val="0"/>
                <w:i/>
                <w:sz w:val="20"/>
              </w:rPr>
              <w:t>SFR 0x87</w:t>
            </w:r>
            <w:r>
              <w:rPr>
                <w:b w:val="0"/>
                <w:i w:val="0"/>
                <w:sz w:val="20"/>
              </w:rPr>
              <w:t>)</w:t>
              <w:tab/>
              <w:t>38</w:t>
            </w:r>
          </w:hyperlink>
        </w:p>
        <w:p>
          <w:pPr>
            <w:pStyle w:val="TOC1"/>
            <w:tabs>
              <w:tab w:pos="9967" w:val="right" w:leader="dot"/>
            </w:tabs>
            <w:spacing w:before="45"/>
          </w:pPr>
          <w:hyperlink w:history="true" w:anchor="_bookmark69">
            <w:r>
              <w:rPr/>
              <w:t>Table 21: Timers/Counters</w:t>
            </w:r>
            <w:r>
              <w:rPr>
                <w:spacing w:val="2"/>
              </w:rPr>
              <w:t> </w:t>
            </w:r>
            <w:r>
              <w:rPr/>
              <w:t>Mode Description</w:t>
              <w:tab/>
              <w:t>38</w:t>
            </w:r>
          </w:hyperlink>
        </w:p>
        <w:p>
          <w:pPr>
            <w:pStyle w:val="TOC1"/>
            <w:tabs>
              <w:tab w:pos="9967" w:val="right" w:leader="dot"/>
            </w:tabs>
            <w:spacing w:before="41"/>
          </w:pPr>
          <w:hyperlink w:history="true" w:anchor="_bookmark70">
            <w:r>
              <w:rPr/>
              <w:t>Table 22: Allowed Timer/Counter</w:t>
            </w:r>
            <w:r>
              <w:rPr>
                <w:spacing w:val="-1"/>
              </w:rPr>
              <w:t> </w:t>
            </w:r>
            <w:r>
              <w:rPr/>
              <w:t>Mode</w:t>
            </w:r>
            <w:r>
              <w:rPr>
                <w:spacing w:val="-1"/>
              </w:rPr>
              <w:t> </w:t>
            </w:r>
            <w:r>
              <w:rPr/>
              <w:t>Combinations</w:t>
              <w:tab/>
              <w:t>38</w:t>
            </w:r>
          </w:hyperlink>
        </w:p>
        <w:p>
          <w:pPr>
            <w:pStyle w:val="TOC1"/>
            <w:tabs>
              <w:tab w:pos="9967" w:val="right" w:leader="dot"/>
            </w:tabs>
            <w:spacing w:before="34"/>
          </w:pPr>
          <w:hyperlink w:history="true" w:anchor="_bookmark72">
            <w:r>
              <w:rPr/>
              <w:t>Table 23: </w:t>
            </w:r>
            <w:r>
              <w:rPr>
                <w:rFonts w:ascii="Times New Roman"/>
                <w:i/>
              </w:rPr>
              <w:t>TMOD </w:t>
            </w:r>
            <w:r>
              <w:rPr/>
              <w:t>Register Bit Description</w:t>
            </w:r>
            <w:r>
              <w:rPr>
                <w:spacing w:val="1"/>
              </w:rPr>
              <w:t> </w:t>
            </w:r>
            <w:r>
              <w:rPr/>
              <w:t>(SFR</w:t>
            </w:r>
            <w:r>
              <w:rPr>
                <w:spacing w:val="1"/>
              </w:rPr>
              <w:t> </w:t>
            </w:r>
            <w:r>
              <w:rPr/>
              <w:t>0x89)</w:t>
              <w:tab/>
              <w:t>39</w:t>
            </w:r>
          </w:hyperlink>
        </w:p>
        <w:p>
          <w:pPr>
            <w:pStyle w:val="TOC1"/>
            <w:tabs>
              <w:tab w:pos="9967" w:val="right" w:leader="dot"/>
            </w:tabs>
            <w:spacing w:before="41"/>
          </w:pPr>
          <w:hyperlink w:history="true" w:anchor="_bookmark73">
            <w:r>
              <w:rPr/>
              <w:t>Table 24: The </w:t>
            </w:r>
            <w:r>
              <w:rPr>
                <w:rFonts w:ascii="Times New Roman"/>
                <w:i/>
              </w:rPr>
              <w:t>TCON </w:t>
            </w:r>
            <w:r>
              <w:rPr/>
              <w:t>Register Bit Functions (SFR</w:t>
            </w:r>
            <w:r>
              <w:rPr>
                <w:spacing w:val="-2"/>
              </w:rPr>
              <w:t> </w:t>
            </w:r>
            <w:r>
              <w:rPr/>
              <w:t>0x88)</w:t>
              <w:tab/>
              <w:t>39</w:t>
            </w:r>
          </w:hyperlink>
        </w:p>
        <w:p>
          <w:pPr>
            <w:pStyle w:val="TOC1"/>
            <w:tabs>
              <w:tab w:pos="9967" w:val="right" w:leader="dot"/>
            </w:tabs>
            <w:spacing w:before="40"/>
          </w:pPr>
          <w:hyperlink w:history="true" w:anchor="_bookmark76">
            <w:r>
              <w:rPr/>
              <w:t>Table 25: The </w:t>
            </w:r>
            <w:r>
              <w:rPr>
                <w:rFonts w:ascii="Times New Roman"/>
                <w:i/>
              </w:rPr>
              <w:t>IEN0 </w:t>
            </w:r>
            <w:r>
              <w:rPr/>
              <w:t>Bit Functions</w:t>
            </w:r>
            <w:r>
              <w:rPr>
                <w:spacing w:val="3"/>
              </w:rPr>
              <w:t> </w:t>
            </w:r>
            <w:r>
              <w:rPr/>
              <w:t>(SFR</w:t>
            </w:r>
            <w:r>
              <w:rPr>
                <w:spacing w:val="1"/>
              </w:rPr>
              <w:t> </w:t>
            </w:r>
            <w:r>
              <w:rPr/>
              <w:t>0xA8)</w:t>
              <w:tab/>
              <w:t>40</w:t>
            </w:r>
          </w:hyperlink>
        </w:p>
        <w:p>
          <w:pPr>
            <w:pStyle w:val="TOC1"/>
            <w:tabs>
              <w:tab w:pos="9967" w:val="right" w:leader="dot"/>
            </w:tabs>
            <w:spacing w:before="40"/>
          </w:pPr>
          <w:hyperlink w:history="true" w:anchor="_bookmark77">
            <w:r>
              <w:rPr/>
              <w:t>Table 26: The </w:t>
            </w:r>
            <w:r>
              <w:rPr>
                <w:rFonts w:ascii="Times New Roman"/>
                <w:i/>
              </w:rPr>
              <w:t>IEN1 </w:t>
            </w:r>
            <w:r>
              <w:rPr/>
              <w:t>Bit Functions</w:t>
            </w:r>
            <w:r>
              <w:rPr>
                <w:spacing w:val="2"/>
              </w:rPr>
              <w:t> </w:t>
            </w:r>
            <w:r>
              <w:rPr/>
              <w:t>(SFR</w:t>
            </w:r>
            <w:r>
              <w:rPr>
                <w:spacing w:val="2"/>
              </w:rPr>
              <w:t> </w:t>
            </w:r>
            <w:r>
              <w:rPr/>
              <w:t>0xB8)</w:t>
              <w:tab/>
              <w:t>40</w:t>
            </w:r>
          </w:hyperlink>
        </w:p>
        <w:p>
          <w:pPr>
            <w:pStyle w:val="TOC1"/>
            <w:tabs>
              <w:tab w:pos="9967" w:val="right" w:leader="dot"/>
            </w:tabs>
            <w:spacing w:before="41"/>
          </w:pPr>
          <w:hyperlink w:history="true" w:anchor="_bookmark79">
            <w:r>
              <w:rPr/>
              <w:t>Table 27: The </w:t>
            </w:r>
            <w:r>
              <w:rPr>
                <w:rFonts w:ascii="Times New Roman"/>
                <w:i/>
              </w:rPr>
              <w:t>IEN2 </w:t>
            </w:r>
            <w:r>
              <w:rPr/>
              <w:t>Bit Functions</w:t>
            </w:r>
            <w:r>
              <w:rPr>
                <w:spacing w:val="2"/>
              </w:rPr>
              <w:t> </w:t>
            </w:r>
            <w:r>
              <w:rPr/>
              <w:t>(SFR</w:t>
            </w:r>
            <w:r>
              <w:rPr>
                <w:spacing w:val="2"/>
              </w:rPr>
              <w:t> </w:t>
            </w:r>
            <w:r>
              <w:rPr/>
              <w:t>0x9A)</w:t>
              <w:tab/>
              <w:t>41</w:t>
            </w:r>
          </w:hyperlink>
        </w:p>
        <w:p>
          <w:pPr>
            <w:pStyle w:val="TOC1"/>
            <w:tabs>
              <w:tab w:pos="9967" w:val="right" w:leader="dot"/>
            </w:tabs>
            <w:spacing w:before="40"/>
          </w:pPr>
          <w:hyperlink w:history="true" w:anchor="_bookmark80">
            <w:r>
              <w:rPr/>
              <w:t>Table 28: </w:t>
            </w:r>
            <w:r>
              <w:rPr>
                <w:rFonts w:ascii="Times New Roman"/>
                <w:i/>
              </w:rPr>
              <w:t>TCON </w:t>
            </w:r>
            <w:r>
              <w:rPr/>
              <w:t>Bit Functions</w:t>
            </w:r>
            <w:r>
              <w:rPr>
                <w:spacing w:val="3"/>
              </w:rPr>
              <w:t> </w:t>
            </w:r>
            <w:r>
              <w:rPr/>
              <w:t>(SFR</w:t>
            </w:r>
            <w:r>
              <w:rPr>
                <w:spacing w:val="-1"/>
              </w:rPr>
              <w:t> </w:t>
            </w:r>
            <w:r>
              <w:rPr/>
              <w:t>0x88)</w:t>
              <w:tab/>
              <w:t>41</w:t>
            </w:r>
          </w:hyperlink>
        </w:p>
        <w:p>
          <w:pPr>
            <w:pStyle w:val="TOC1"/>
            <w:tabs>
              <w:tab w:pos="9967" w:val="right" w:leader="dot"/>
            </w:tabs>
            <w:spacing w:before="38"/>
          </w:pPr>
          <w:hyperlink w:history="true" w:anchor="_bookmark81">
            <w:r>
              <w:rPr/>
              <w:t>Table 29: The </w:t>
            </w:r>
            <w:r>
              <w:rPr>
                <w:rFonts w:ascii="Times New Roman"/>
                <w:i/>
              </w:rPr>
              <w:t>T2CON </w:t>
            </w:r>
            <w:r>
              <w:rPr/>
              <w:t>Bit Functions</w:t>
            </w:r>
            <w:r>
              <w:rPr>
                <w:spacing w:val="2"/>
              </w:rPr>
              <w:t> </w:t>
            </w:r>
            <w:r>
              <w:rPr/>
              <w:t>(SFR</w:t>
            </w:r>
            <w:r>
              <w:rPr>
                <w:spacing w:val="-1"/>
              </w:rPr>
              <w:t> </w:t>
            </w:r>
            <w:r>
              <w:rPr/>
              <w:t>0xC8)</w:t>
              <w:tab/>
              <w:t>41</w:t>
            </w:r>
          </w:hyperlink>
        </w:p>
        <w:p>
          <w:pPr>
            <w:pStyle w:val="TOC1"/>
            <w:tabs>
              <w:tab w:pos="9967" w:val="right" w:leader="dot"/>
            </w:tabs>
            <w:spacing w:before="40"/>
          </w:pPr>
          <w:hyperlink w:history="true" w:anchor="_bookmark82">
            <w:r>
              <w:rPr/>
              <w:t>Table 30: The </w:t>
            </w:r>
            <w:r>
              <w:rPr>
                <w:rFonts w:ascii="Times New Roman"/>
                <w:i/>
              </w:rPr>
              <w:t>IRCON </w:t>
            </w:r>
            <w:r>
              <w:rPr/>
              <w:t>Bit Functions</w:t>
            </w:r>
            <w:r>
              <w:rPr>
                <w:spacing w:val="2"/>
              </w:rPr>
              <w:t> </w:t>
            </w:r>
            <w:r>
              <w:rPr/>
              <w:t>(SFR</w:t>
            </w:r>
            <w:r>
              <w:rPr>
                <w:spacing w:val="-1"/>
              </w:rPr>
              <w:t> </w:t>
            </w:r>
            <w:r>
              <w:rPr/>
              <w:t>0xC0)</w:t>
              <w:tab/>
              <w:t>41</w:t>
            </w:r>
          </w:hyperlink>
        </w:p>
        <w:p>
          <w:pPr>
            <w:pStyle w:val="TOC1"/>
            <w:tabs>
              <w:tab w:pos="9967" w:val="right" w:leader="dot"/>
            </w:tabs>
            <w:spacing w:before="45"/>
          </w:pPr>
          <w:hyperlink w:history="true" w:anchor="_bookmark84">
            <w:r>
              <w:rPr/>
              <w:t>Table 31: External</w:t>
            </w:r>
            <w:r>
              <w:rPr>
                <w:spacing w:val="-1"/>
              </w:rPr>
              <w:t> </w:t>
            </w:r>
            <w:r>
              <w:rPr/>
              <w:t>MPU</w:t>
            </w:r>
            <w:r>
              <w:rPr>
                <w:spacing w:val="-1"/>
              </w:rPr>
              <w:t> </w:t>
            </w:r>
            <w:r>
              <w:rPr/>
              <w:t>Interrupts</w:t>
              <w:tab/>
              <w:t>42</w:t>
            </w:r>
          </w:hyperlink>
        </w:p>
        <w:p>
          <w:pPr>
            <w:pStyle w:val="TOC1"/>
            <w:tabs>
              <w:tab w:pos="9967" w:val="right" w:leader="dot"/>
            </w:tabs>
            <w:spacing w:before="42"/>
          </w:pPr>
          <w:hyperlink w:history="true" w:anchor="_bookmark85">
            <w:r>
              <w:rPr/>
              <w:t>Table 32: Interrupt Enable and</w:t>
            </w:r>
            <w:r>
              <w:rPr>
                <w:spacing w:val="-1"/>
              </w:rPr>
              <w:t> </w:t>
            </w:r>
            <w:r>
              <w:rPr/>
              <w:t>Flag</w:t>
            </w:r>
            <w:r>
              <w:rPr>
                <w:spacing w:val="1"/>
              </w:rPr>
              <w:t> </w:t>
            </w:r>
            <w:r>
              <w:rPr/>
              <w:t>Bits</w:t>
              <w:tab/>
              <w:t>42</w:t>
            </w:r>
          </w:hyperlink>
        </w:p>
        <w:p>
          <w:pPr>
            <w:pStyle w:val="TOC1"/>
            <w:tabs>
              <w:tab w:pos="9967" w:val="right" w:leader="dot"/>
            </w:tabs>
            <w:spacing w:before="38"/>
          </w:pPr>
          <w:hyperlink w:history="true" w:anchor="_bookmark87">
            <w:r>
              <w:rPr/>
              <w:t>Table 33: Interrupt Priority Level</w:t>
            </w:r>
            <w:r>
              <w:rPr>
                <w:spacing w:val="-3"/>
              </w:rPr>
              <w:t> </w:t>
            </w:r>
            <w:r>
              <w:rPr/>
              <w:t>Groups</w:t>
              <w:tab/>
              <w:t>43</w:t>
            </w:r>
          </w:hyperlink>
        </w:p>
        <w:p>
          <w:pPr>
            <w:pStyle w:val="TOC1"/>
            <w:tabs>
              <w:tab w:pos="9967" w:val="right" w:leader="dot"/>
            </w:tabs>
            <w:spacing w:before="42"/>
          </w:pPr>
          <w:hyperlink w:history="true" w:anchor="_bookmark88">
            <w:r>
              <w:rPr/>
              <w:t>Table 34: Interrupt Priority Levels</w:t>
              <w:tab/>
              <w:t>43</w:t>
            </w:r>
          </w:hyperlink>
        </w:p>
        <w:p>
          <w:pPr>
            <w:pStyle w:val="TOC1"/>
            <w:tabs>
              <w:tab w:pos="9967" w:val="right" w:leader="dot"/>
            </w:tabs>
            <w:spacing w:before="34"/>
          </w:pPr>
          <w:hyperlink w:history="true" w:anchor="_bookmark89">
            <w:r>
              <w:rPr/>
              <w:t>Table 35: Interrupt Priority Registers (</w:t>
            </w:r>
            <w:r>
              <w:rPr>
                <w:rFonts w:ascii="Times New Roman"/>
                <w:i/>
              </w:rPr>
              <w:t>IP0</w:t>
            </w:r>
            <w:r>
              <w:rPr>
                <w:rFonts w:ascii="Times New Roman"/>
                <w:i/>
                <w:spacing w:val="5"/>
              </w:rPr>
              <w:t> </w:t>
            </w:r>
            <w:r>
              <w:rPr/>
              <w:t>and</w:t>
            </w:r>
            <w:r>
              <w:rPr>
                <w:spacing w:val="-2"/>
              </w:rPr>
              <w:t> </w:t>
            </w:r>
            <w:r>
              <w:rPr>
                <w:rFonts w:ascii="Times New Roman"/>
                <w:i/>
              </w:rPr>
              <w:t>IP1</w:t>
            </w:r>
            <w:r>
              <w:rPr/>
              <w:t>)</w:t>
              <w:tab/>
              <w:t>43</w:t>
            </w:r>
          </w:hyperlink>
        </w:p>
        <w:p>
          <w:pPr>
            <w:pStyle w:val="TOC1"/>
            <w:tabs>
              <w:tab w:pos="9967" w:val="right" w:leader="dot"/>
            </w:tabs>
            <w:spacing w:before="45"/>
          </w:pPr>
          <w:hyperlink w:history="true" w:anchor="_bookmark90">
            <w:r>
              <w:rPr/>
              <w:t>Table 36: Interrupt Polling Sequence</w:t>
              <w:tab/>
              <w:t>44</w:t>
            </w:r>
          </w:hyperlink>
        </w:p>
        <w:p>
          <w:pPr>
            <w:pStyle w:val="TOC1"/>
            <w:tabs>
              <w:tab w:pos="9967" w:val="right" w:leader="dot"/>
            </w:tabs>
          </w:pPr>
          <w:hyperlink w:history="true" w:anchor="_bookmark91">
            <w:r>
              <w:rPr/>
              <w:t>Table 37:</w:t>
            </w:r>
            <w:r>
              <w:rPr>
                <w:spacing w:val="-1"/>
              </w:rPr>
              <w:t> </w:t>
            </w:r>
            <w:r>
              <w:rPr/>
              <w:t>Interrupt</w:t>
            </w:r>
            <w:r>
              <w:rPr>
                <w:spacing w:val="1"/>
              </w:rPr>
              <w:t> </w:t>
            </w:r>
            <w:r>
              <w:rPr/>
              <w:t>Vectors</w:t>
              <w:tab/>
              <w:t>44</w:t>
            </w:r>
          </w:hyperlink>
        </w:p>
        <w:p>
          <w:pPr>
            <w:pStyle w:val="TOC1"/>
            <w:tabs>
              <w:tab w:pos="9967" w:val="right" w:leader="dot"/>
            </w:tabs>
            <w:spacing w:before="41"/>
          </w:pPr>
          <w:hyperlink w:history="true" w:anchor="_bookmark96">
            <w:r>
              <w:rPr/>
              <w:t>Table 38: Flash Memory</w:t>
            </w:r>
            <w:r>
              <w:rPr>
                <w:spacing w:val="-4"/>
              </w:rPr>
              <w:t> </w:t>
            </w:r>
            <w:r>
              <w:rPr/>
              <w:t>Access</w:t>
              <w:tab/>
              <w:t>46</w:t>
            </w:r>
          </w:hyperlink>
        </w:p>
        <w:p>
          <w:pPr>
            <w:pStyle w:val="TOC2"/>
            <w:tabs>
              <w:tab w:pos="9967" w:val="right" w:leader="dot"/>
            </w:tabs>
            <w:rPr>
              <w:b w:val="0"/>
              <w:i w:val="0"/>
              <w:sz w:val="20"/>
            </w:rPr>
          </w:pPr>
          <w:hyperlink w:history="true" w:anchor="_bookmark97">
            <w:r>
              <w:rPr>
                <w:b w:val="0"/>
                <w:i w:val="0"/>
                <w:sz w:val="20"/>
              </w:rPr>
              <w:t>Table 39: Bank Switching with </w:t>
            </w:r>
            <w:r>
              <w:rPr>
                <w:rFonts w:ascii="Times New Roman"/>
                <w:b w:val="0"/>
                <w:i/>
                <w:sz w:val="20"/>
              </w:rPr>
              <w:t>FL_BANK[1:0] (SFR 0xB6[1:0])</w:t>
            </w:r>
            <w:r>
              <w:rPr>
                <w:b w:val="0"/>
                <w:i w:val="0"/>
                <w:sz w:val="20"/>
              </w:rPr>
              <w:t>in</w:t>
            </w:r>
            <w:r>
              <w:rPr>
                <w:b w:val="0"/>
                <w:i w:val="0"/>
                <w:spacing w:val="2"/>
                <w:sz w:val="20"/>
              </w:rPr>
              <w:t> </w:t>
            </w:r>
            <w:r>
              <w:rPr>
                <w:b w:val="0"/>
                <w:i w:val="0"/>
                <w:sz w:val="20"/>
              </w:rPr>
              <w:t>the 71M6543G</w:t>
              <w:tab/>
              <w:t>47</w:t>
            </w:r>
          </w:hyperlink>
        </w:p>
        <w:p>
          <w:pPr>
            <w:pStyle w:val="TOC1"/>
            <w:tabs>
              <w:tab w:pos="9967" w:val="right" w:leader="dot"/>
            </w:tabs>
            <w:spacing w:before="45"/>
          </w:pPr>
          <w:hyperlink w:history="true" w:anchor="_bookmark98">
            <w:r>
              <w:rPr/>
              <w:t>Table 40:</w:t>
            </w:r>
            <w:r>
              <w:rPr>
                <w:spacing w:val="-1"/>
              </w:rPr>
              <w:t> </w:t>
            </w:r>
            <w:r>
              <w:rPr/>
              <w:t>Flash</w:t>
            </w:r>
            <w:r>
              <w:rPr>
                <w:spacing w:val="1"/>
              </w:rPr>
              <w:t> </w:t>
            </w:r>
            <w:r>
              <w:rPr/>
              <w:t>Security</w:t>
              <w:tab/>
              <w:t>48</w:t>
            </w:r>
          </w:hyperlink>
        </w:p>
        <w:p>
          <w:pPr>
            <w:pStyle w:val="TOC1"/>
            <w:tabs>
              <w:tab w:pos="9967" w:val="right" w:leader="dot"/>
            </w:tabs>
            <w:spacing w:before="41"/>
          </w:pPr>
          <w:hyperlink w:history="true" w:anchor="_bookmark101">
            <w:r>
              <w:rPr/>
              <w:t>Table 41: Clock</w:t>
            </w:r>
            <w:r>
              <w:rPr>
                <w:spacing w:val="2"/>
              </w:rPr>
              <w:t> </w:t>
            </w:r>
            <w:r>
              <w:rPr/>
              <w:t>System</w:t>
            </w:r>
            <w:r>
              <w:rPr>
                <w:spacing w:val="3"/>
              </w:rPr>
              <w:t> </w:t>
            </w:r>
            <w:r>
              <w:rPr/>
              <w:t>Summary</w:t>
              <w:tab/>
              <w:t>49</w:t>
            </w:r>
          </w:hyperlink>
        </w:p>
        <w:p>
          <w:pPr>
            <w:pStyle w:val="TOC1"/>
            <w:tabs>
              <w:tab w:pos="9967" w:val="right" w:leader="dot"/>
            </w:tabs>
          </w:pPr>
          <w:hyperlink w:history="true" w:anchor="_bookmark103">
            <w:r>
              <w:rPr/>
              <w:t>Table 42: RTC</w:t>
            </w:r>
            <w:r>
              <w:rPr>
                <w:spacing w:val="-2"/>
              </w:rPr>
              <w:t> </w:t>
            </w:r>
            <w:r>
              <w:rPr/>
              <w:t>Control</w:t>
            </w:r>
            <w:r>
              <w:rPr>
                <w:spacing w:val="-2"/>
              </w:rPr>
              <w:t> </w:t>
            </w:r>
            <w:r>
              <w:rPr/>
              <w:t>Registers</w:t>
              <w:tab/>
              <w:t>50</w:t>
            </w:r>
          </w:hyperlink>
        </w:p>
        <w:p>
          <w:pPr>
            <w:pStyle w:val="TOC1"/>
            <w:tabs>
              <w:tab w:pos="9967" w:val="right" w:leader="dot"/>
            </w:tabs>
            <w:spacing w:before="41"/>
          </w:pPr>
          <w:hyperlink w:history="true" w:anchor="_bookmark106">
            <w:r>
              <w:rPr/>
              <w:t>Table 43: I/O RAM Registers for RTC</w:t>
            </w:r>
            <w:r>
              <w:rPr>
                <w:spacing w:val="-8"/>
              </w:rPr>
              <w:t> </w:t>
            </w:r>
            <w:r>
              <w:rPr/>
              <w:t>Temperature</w:t>
            </w:r>
            <w:r>
              <w:rPr>
                <w:spacing w:val="-1"/>
              </w:rPr>
              <w:t> </w:t>
            </w:r>
            <w:r>
              <w:rPr/>
              <w:t>Compensation</w:t>
              <w:tab/>
              <w:t>52</w:t>
            </w:r>
          </w:hyperlink>
        </w:p>
        <w:p>
          <w:pPr>
            <w:pStyle w:val="TOC1"/>
            <w:tabs>
              <w:tab w:pos="9967" w:val="right" w:leader="dot"/>
            </w:tabs>
          </w:pPr>
          <w:hyperlink w:history="true" w:anchor="_bookmark108">
            <w:r>
              <w:rPr/>
              <w:t>Table 44: I/O RAM Registers for</w:t>
            </w:r>
            <w:r>
              <w:rPr>
                <w:spacing w:val="-3"/>
              </w:rPr>
              <w:t> </w:t>
            </w:r>
            <w:r>
              <w:rPr/>
              <w:t>RTC</w:t>
            </w:r>
            <w:r>
              <w:rPr>
                <w:spacing w:val="-1"/>
              </w:rPr>
              <w:t> </w:t>
            </w:r>
            <w:r>
              <w:rPr/>
              <w:t>Interrupts</w:t>
              <w:tab/>
              <w:t>53</w:t>
            </w:r>
          </w:hyperlink>
        </w:p>
        <w:p>
          <w:pPr>
            <w:pStyle w:val="TOC1"/>
            <w:tabs>
              <w:tab w:pos="9967" w:val="right" w:leader="dot"/>
            </w:tabs>
            <w:spacing w:before="41"/>
          </w:pPr>
          <w:hyperlink w:history="true" w:anchor="_bookmark110">
            <w:r>
              <w:rPr/>
              <w:t>Table 45: I/O RAM Registers for Temperature and</w:t>
            </w:r>
            <w:r>
              <w:rPr>
                <w:spacing w:val="-9"/>
              </w:rPr>
              <w:t> </w:t>
            </w:r>
            <w:r>
              <w:rPr/>
              <w:t>Battery</w:t>
            </w:r>
            <w:r>
              <w:rPr>
                <w:spacing w:val="-2"/>
              </w:rPr>
              <w:t> </w:t>
            </w:r>
            <w:r>
              <w:rPr/>
              <w:t>Measurement</w:t>
              <w:tab/>
              <w:t>55</w:t>
            </w:r>
          </w:hyperlink>
        </w:p>
        <w:p>
          <w:pPr>
            <w:pStyle w:val="TOC1"/>
            <w:tabs>
              <w:tab w:pos="9967" w:val="right" w:leader="dot"/>
            </w:tabs>
            <w:spacing w:before="34"/>
          </w:pPr>
          <w:hyperlink w:history="true" w:anchor="_bookmark118">
            <w:r>
              <w:rPr/>
              <w:t>Table 46: Selectable Resources using the</w:t>
            </w:r>
            <w:r>
              <w:rPr>
                <w:spacing w:val="-3"/>
              </w:rPr>
              <w:t> </w:t>
            </w:r>
            <w:r>
              <w:rPr>
                <w:rFonts w:ascii="Times New Roman"/>
                <w:i/>
              </w:rPr>
              <w:t>DIO_Rn[2:0]</w:t>
            </w:r>
            <w:r>
              <w:rPr>
                <w:rFonts w:ascii="Times New Roman"/>
                <w:i/>
                <w:spacing w:val="9"/>
              </w:rPr>
              <w:t> </w:t>
            </w:r>
            <w:r>
              <w:rPr/>
              <w:t>Bits</w:t>
              <w:tab/>
              <w:t>58</w:t>
            </w:r>
          </w:hyperlink>
        </w:p>
        <w:p>
          <w:pPr>
            <w:pStyle w:val="TOC1"/>
            <w:tabs>
              <w:tab w:pos="9967" w:val="right" w:leader="dot"/>
            </w:tabs>
            <w:spacing w:before="45"/>
          </w:pPr>
          <w:hyperlink w:history="true" w:anchor="_bookmark121">
            <w:r>
              <w:rPr/>
              <w:t>Table 47: Data/Direction Registers and Internal Resources for SEGDIO0</w:t>
            </w:r>
            <w:r>
              <w:rPr>
                <w:spacing w:val="-16"/>
              </w:rPr>
              <w:t> </w:t>
            </w:r>
            <w:r>
              <w:rPr/>
              <w:t>to SEGDIO15</w:t>
              <w:tab/>
              <w:t>60</w:t>
            </w:r>
          </w:hyperlink>
        </w:p>
        <w:p>
          <w:pPr>
            <w:pStyle w:val="TOC1"/>
            <w:tabs>
              <w:tab w:pos="9967" w:val="right" w:leader="dot"/>
            </w:tabs>
            <w:spacing w:before="42" w:after="238"/>
          </w:pPr>
          <w:hyperlink w:history="true" w:anchor="_bookmark122">
            <w:r>
              <w:rPr/>
              <w:t>Table 48: Data/Direction Registers for SEGDIO16</w:t>
            </w:r>
            <w:r>
              <w:rPr>
                <w:spacing w:val="-3"/>
              </w:rPr>
              <w:t> </w:t>
            </w:r>
            <w:r>
              <w:rPr/>
              <w:t>to SEGDIO31</w:t>
              <w:tab/>
              <w:t>60</w:t>
            </w:r>
          </w:hyperlink>
        </w:p>
        <w:p>
          <w:pPr>
            <w:pStyle w:val="TOC1"/>
            <w:tabs>
              <w:tab w:pos="9967" w:val="right" w:leader="dot"/>
            </w:tabs>
            <w:spacing w:before="242"/>
          </w:pPr>
          <w:hyperlink w:history="true" w:anchor="_bookmark123">
            <w:r>
              <w:rPr/>
              <w:t>Table 49: Data/Direction Registers for SEGDIO32</w:t>
            </w:r>
            <w:r>
              <w:rPr>
                <w:spacing w:val="-3"/>
              </w:rPr>
              <w:t> </w:t>
            </w:r>
            <w:r>
              <w:rPr/>
              <w:t>to SEGDIO45</w:t>
              <w:tab/>
              <w:t>60</w:t>
            </w:r>
          </w:hyperlink>
        </w:p>
        <w:p>
          <w:pPr>
            <w:pStyle w:val="TOC1"/>
            <w:tabs>
              <w:tab w:pos="9967" w:val="right" w:leader="dot"/>
            </w:tabs>
          </w:pPr>
          <w:hyperlink w:history="true" w:anchor="_bookmark124">
            <w:r>
              <w:rPr/>
              <w:t>Table 50: Data/Direction Registers for SEGDIO51</w:t>
            </w:r>
            <w:r>
              <w:rPr>
                <w:spacing w:val="-3"/>
              </w:rPr>
              <w:t> </w:t>
            </w:r>
            <w:r>
              <w:rPr/>
              <w:t>to SEGDIO55</w:t>
              <w:tab/>
              <w:t>61</w:t>
            </w:r>
          </w:hyperlink>
        </w:p>
        <w:p>
          <w:pPr>
            <w:pStyle w:val="TOC2"/>
            <w:tabs>
              <w:tab w:pos="9967" w:val="right" w:leader="dot"/>
            </w:tabs>
            <w:spacing w:before="36"/>
            <w:rPr>
              <w:b w:val="0"/>
              <w:i w:val="0"/>
              <w:sz w:val="20"/>
            </w:rPr>
          </w:pPr>
          <w:hyperlink w:history="true" w:anchor="_bookmark126">
            <w:r>
              <w:rPr>
                <w:b w:val="0"/>
                <w:i w:val="0"/>
                <w:sz w:val="20"/>
              </w:rPr>
              <w:t>Table 51:</w:t>
            </w:r>
            <w:r>
              <w:rPr>
                <w:b w:val="0"/>
                <w:i w:val="0"/>
                <w:spacing w:val="-1"/>
                <w:sz w:val="20"/>
              </w:rPr>
              <w:t> </w:t>
            </w:r>
            <w:r>
              <w:rPr>
                <w:rFonts w:ascii="Times New Roman"/>
                <w:b w:val="0"/>
                <w:i/>
                <w:sz w:val="20"/>
              </w:rPr>
              <w:t>LCD_VMODE</w:t>
            </w:r>
            <w:r>
              <w:rPr>
                <w:rFonts w:ascii="Times New Roman"/>
                <w:b w:val="0"/>
                <w:i/>
                <w:spacing w:val="6"/>
                <w:sz w:val="20"/>
              </w:rPr>
              <w:t> </w:t>
            </w:r>
            <w:r>
              <w:rPr>
                <w:b w:val="0"/>
                <w:i w:val="0"/>
                <w:sz w:val="20"/>
              </w:rPr>
              <w:t>Configurations</w:t>
              <w:tab/>
              <w:t>61</w:t>
            </w:r>
          </w:hyperlink>
        </w:p>
        <w:p>
          <w:pPr>
            <w:pStyle w:val="TOC1"/>
            <w:tabs>
              <w:tab w:pos="9967" w:val="right" w:leader="dot"/>
            </w:tabs>
            <w:spacing w:before="45"/>
          </w:pPr>
          <w:hyperlink w:history="true" w:anchor="_bookmark127">
            <w:r>
              <w:rPr/>
              <w:t>Table 52:</w:t>
            </w:r>
            <w:r>
              <w:rPr>
                <w:spacing w:val="-1"/>
              </w:rPr>
              <w:t> </w:t>
            </w:r>
            <w:r>
              <w:rPr/>
              <w:t>LCD</w:t>
            </w:r>
            <w:r>
              <w:rPr>
                <w:spacing w:val="2"/>
              </w:rPr>
              <w:t> </w:t>
            </w:r>
            <w:r>
              <w:rPr/>
              <w:t>Configurations</w:t>
              <w:tab/>
              <w:t>63</w:t>
            </w:r>
          </w:hyperlink>
        </w:p>
        <w:p>
          <w:pPr>
            <w:pStyle w:val="TOC1"/>
            <w:tabs>
              <w:tab w:pos="9967" w:val="right" w:leader="dot"/>
            </w:tabs>
          </w:pPr>
          <w:hyperlink w:history="true" w:anchor="_bookmark129">
            <w:r>
              <w:rPr/>
              <w:t>Table 53: LCD Data Registers for SEGDIO46</w:t>
            </w:r>
            <w:r>
              <w:rPr>
                <w:spacing w:val="-1"/>
              </w:rPr>
              <w:t> </w:t>
            </w:r>
            <w:r>
              <w:rPr/>
              <w:t>to</w:t>
            </w:r>
            <w:r>
              <w:rPr>
                <w:spacing w:val="1"/>
              </w:rPr>
              <w:t> </w:t>
            </w:r>
            <w:r>
              <w:rPr/>
              <w:t>SEGDIO55</w:t>
              <w:tab/>
              <w:t>64</w:t>
            </w:r>
          </w:hyperlink>
        </w:p>
        <w:p>
          <w:pPr>
            <w:pStyle w:val="TOC1"/>
            <w:tabs>
              <w:tab w:pos="9967" w:val="right" w:leader="dot"/>
            </w:tabs>
            <w:spacing w:before="36"/>
          </w:pPr>
          <w:hyperlink w:history="true" w:anchor="_bookmark131">
            <w:r>
              <w:rPr/>
              <w:t>Table 54: </w:t>
            </w:r>
            <w:r>
              <w:rPr>
                <w:rFonts w:ascii="Times New Roman"/>
                <w:i/>
              </w:rPr>
              <w:t>EECTRL </w:t>
            </w:r>
            <w:r>
              <w:rPr/>
              <w:t>Bits for</w:t>
            </w:r>
            <w:r>
              <w:rPr>
                <w:spacing w:val="3"/>
              </w:rPr>
              <w:t> </w:t>
            </w:r>
            <w:r>
              <w:rPr/>
              <w:t>2-pin</w:t>
            </w:r>
            <w:r>
              <w:rPr>
                <w:spacing w:val="1"/>
              </w:rPr>
              <w:t> </w:t>
            </w:r>
            <w:r>
              <w:rPr/>
              <w:t>Interface</w:t>
              <w:tab/>
              <w:t>65</w:t>
            </w:r>
          </w:hyperlink>
        </w:p>
        <w:p>
          <w:pPr>
            <w:pStyle w:val="TOC1"/>
            <w:tabs>
              <w:tab w:pos="9967" w:val="right" w:leader="dot"/>
            </w:tabs>
            <w:spacing w:before="41"/>
          </w:pPr>
          <w:hyperlink w:history="true" w:anchor="_bookmark132">
            <w:r>
              <w:rPr/>
              <w:t>Table 55: </w:t>
            </w:r>
            <w:r>
              <w:rPr>
                <w:rFonts w:ascii="Times New Roman"/>
                <w:i/>
              </w:rPr>
              <w:t>EECTRL </w:t>
            </w:r>
            <w:r>
              <w:rPr/>
              <w:t>Bits for the</w:t>
            </w:r>
            <w:r>
              <w:rPr>
                <w:spacing w:val="2"/>
              </w:rPr>
              <w:t> </w:t>
            </w:r>
            <w:r>
              <w:rPr/>
              <w:t>3-wire</w:t>
            </w:r>
            <w:r>
              <w:rPr>
                <w:spacing w:val="-1"/>
              </w:rPr>
              <w:t> </w:t>
            </w:r>
            <w:r>
              <w:rPr/>
              <w:t>Interface</w:t>
              <w:tab/>
              <w:t>66</w:t>
            </w:r>
          </w:hyperlink>
        </w:p>
        <w:p>
          <w:pPr>
            <w:pStyle w:val="TOC1"/>
            <w:tabs>
              <w:tab w:pos="9967" w:val="right" w:leader="dot"/>
            </w:tabs>
            <w:spacing w:before="45"/>
          </w:pPr>
          <w:hyperlink w:history="true" w:anchor="_bookmark140">
            <w:r>
              <w:rPr/>
              <w:t>Table 56: SPI</w:t>
            </w:r>
            <w:r>
              <w:rPr>
                <w:spacing w:val="-2"/>
              </w:rPr>
              <w:t> </w:t>
            </w:r>
            <w:r>
              <w:rPr/>
              <w:t>Transaction</w:t>
            </w:r>
            <w:r>
              <w:rPr>
                <w:spacing w:val="1"/>
              </w:rPr>
              <w:t> </w:t>
            </w:r>
            <w:r>
              <w:rPr/>
              <w:t>Fields</w:t>
              <w:tab/>
              <w:t>68</w:t>
            </w:r>
          </w:hyperlink>
        </w:p>
        <w:p>
          <w:pPr>
            <w:pStyle w:val="TOC1"/>
            <w:tabs>
              <w:tab w:pos="9967" w:val="right" w:leader="dot"/>
            </w:tabs>
          </w:pPr>
          <w:hyperlink w:history="true" w:anchor="_bookmark142">
            <w:r>
              <w:rPr/>
              <w:t>Table 57: SPI</w:t>
            </w:r>
            <w:r>
              <w:rPr>
                <w:spacing w:val="-2"/>
              </w:rPr>
              <w:t> </w:t>
            </w:r>
            <w:r>
              <w:rPr/>
              <w:t>Command</w:t>
            </w:r>
            <w:r>
              <w:rPr>
                <w:spacing w:val="-1"/>
              </w:rPr>
              <w:t> </w:t>
            </w:r>
            <w:r>
              <w:rPr/>
              <w:t>Sequences</w:t>
              <w:tab/>
              <w:t>69</w:t>
            </w:r>
          </w:hyperlink>
        </w:p>
        <w:p>
          <w:pPr>
            <w:pStyle w:val="TOC1"/>
            <w:tabs>
              <w:tab w:pos="9967" w:val="right" w:leader="dot"/>
            </w:tabs>
            <w:spacing w:before="41"/>
          </w:pPr>
          <w:hyperlink w:history="true" w:anchor="_bookmark143">
            <w:r>
              <w:rPr/>
              <w:t>Table 58:</w:t>
            </w:r>
            <w:r>
              <w:rPr>
                <w:spacing w:val="-1"/>
              </w:rPr>
              <w:t> </w:t>
            </w:r>
            <w:r>
              <w:rPr/>
              <w:t>SPI</w:t>
            </w:r>
            <w:r>
              <w:rPr>
                <w:spacing w:val="-1"/>
              </w:rPr>
              <w:t> </w:t>
            </w:r>
            <w:r>
              <w:rPr/>
              <w:t>Registers</w:t>
              <w:tab/>
              <w:t>69</w:t>
            </w:r>
          </w:hyperlink>
        </w:p>
        <w:p>
          <w:pPr>
            <w:pStyle w:val="TOC2"/>
            <w:tabs>
              <w:tab w:pos="9967" w:val="right" w:leader="dot"/>
            </w:tabs>
            <w:rPr>
              <w:b w:val="0"/>
              <w:i w:val="0"/>
              <w:sz w:val="20"/>
            </w:rPr>
          </w:pPr>
          <w:hyperlink w:history="true" w:anchor="_bookmark146">
            <w:r>
              <w:rPr>
                <w:b w:val="0"/>
                <w:i w:val="0"/>
                <w:sz w:val="20"/>
              </w:rPr>
              <w:t>Table 59:</w:t>
            </w:r>
            <w:r>
              <w:rPr>
                <w:b w:val="0"/>
                <w:i w:val="0"/>
                <w:spacing w:val="-1"/>
                <w:sz w:val="20"/>
              </w:rPr>
              <w:t> </w:t>
            </w:r>
            <w:r>
              <w:rPr>
                <w:rFonts w:ascii="Times New Roman"/>
                <w:b w:val="0"/>
                <w:i/>
                <w:sz w:val="20"/>
              </w:rPr>
              <w:t>TMUX[4:0]</w:t>
            </w:r>
            <w:r>
              <w:rPr>
                <w:rFonts w:ascii="Times New Roman"/>
                <w:b w:val="0"/>
                <w:i/>
                <w:spacing w:val="7"/>
                <w:sz w:val="20"/>
              </w:rPr>
              <w:t> </w:t>
            </w:r>
            <w:r>
              <w:rPr>
                <w:b w:val="0"/>
                <w:i w:val="0"/>
                <w:sz w:val="20"/>
              </w:rPr>
              <w:t>Selections</w:t>
              <w:tab/>
              <w:t>72</w:t>
            </w:r>
          </w:hyperlink>
        </w:p>
        <w:p>
          <w:pPr>
            <w:pStyle w:val="TOC2"/>
            <w:tabs>
              <w:tab w:pos="9967" w:val="right" w:leader="dot"/>
            </w:tabs>
            <w:spacing w:before="40"/>
            <w:rPr>
              <w:b w:val="0"/>
              <w:i w:val="0"/>
              <w:sz w:val="20"/>
            </w:rPr>
          </w:pPr>
          <w:hyperlink w:history="true" w:anchor="_bookmark147">
            <w:r>
              <w:rPr>
                <w:b w:val="0"/>
                <w:i w:val="0"/>
                <w:sz w:val="20"/>
              </w:rPr>
              <w:t>Table 60:</w:t>
            </w:r>
            <w:r>
              <w:rPr>
                <w:b w:val="0"/>
                <w:i w:val="0"/>
                <w:spacing w:val="-1"/>
                <w:sz w:val="20"/>
              </w:rPr>
              <w:t> </w:t>
            </w:r>
            <w:r>
              <w:rPr>
                <w:rFonts w:ascii="Times New Roman"/>
                <w:b w:val="0"/>
                <w:i/>
                <w:sz w:val="20"/>
              </w:rPr>
              <w:t>TMUX2[4:0]</w:t>
            </w:r>
            <w:r>
              <w:rPr>
                <w:rFonts w:ascii="Times New Roman"/>
                <w:b w:val="0"/>
                <w:i/>
                <w:spacing w:val="7"/>
                <w:sz w:val="20"/>
              </w:rPr>
              <w:t> </w:t>
            </w:r>
            <w:r>
              <w:rPr>
                <w:b w:val="0"/>
                <w:i w:val="0"/>
                <w:sz w:val="20"/>
              </w:rPr>
              <w:t>Selections</w:t>
              <w:tab/>
              <w:t>73</w:t>
            </w:r>
          </w:hyperlink>
        </w:p>
        <w:p>
          <w:pPr>
            <w:pStyle w:val="TOC1"/>
            <w:tabs>
              <w:tab w:pos="9967" w:val="right" w:leader="dot"/>
            </w:tabs>
            <w:spacing w:before="45"/>
          </w:pPr>
          <w:hyperlink w:history="true" w:anchor="_bookmark153">
            <w:r>
              <w:rPr/>
              <w:t>Table 61: Available</w:t>
            </w:r>
            <w:r>
              <w:rPr>
                <w:spacing w:val="-2"/>
              </w:rPr>
              <w:t> </w:t>
            </w:r>
            <w:r>
              <w:rPr/>
              <w:t>Circuit</w:t>
            </w:r>
            <w:r>
              <w:rPr>
                <w:spacing w:val="1"/>
              </w:rPr>
              <w:t> </w:t>
            </w:r>
            <w:r>
              <w:rPr/>
              <w:t>Functions</w:t>
              <w:tab/>
              <w:t>76</w:t>
            </w:r>
          </w:hyperlink>
        </w:p>
        <w:p>
          <w:pPr>
            <w:pStyle w:val="TOC2"/>
            <w:tabs>
              <w:tab w:pos="9967" w:val="right" w:leader="dot"/>
            </w:tabs>
            <w:rPr>
              <w:b w:val="0"/>
              <w:i w:val="0"/>
              <w:sz w:val="20"/>
            </w:rPr>
          </w:pPr>
          <w:hyperlink w:history="true" w:anchor="_bookmark159">
            <w:r>
              <w:rPr>
                <w:b w:val="0"/>
                <w:i w:val="0"/>
                <w:sz w:val="20"/>
              </w:rPr>
              <w:t>Table 62: </w:t>
            </w:r>
            <w:r>
              <w:rPr>
                <w:rFonts w:ascii="Times New Roman"/>
                <w:b w:val="0"/>
                <w:i/>
                <w:sz w:val="20"/>
              </w:rPr>
              <w:t>VSTAT[2:0]</w:t>
            </w:r>
            <w:r>
              <w:rPr>
                <w:rFonts w:ascii="Times New Roman"/>
                <w:b w:val="0"/>
                <w:i/>
                <w:spacing w:val="4"/>
                <w:sz w:val="20"/>
              </w:rPr>
              <w:t> </w:t>
            </w:r>
            <w:r>
              <w:rPr>
                <w:b w:val="0"/>
                <w:i w:val="0"/>
                <w:sz w:val="20"/>
              </w:rPr>
              <w:t>(SFR</w:t>
            </w:r>
            <w:r>
              <w:rPr>
                <w:b w:val="0"/>
                <w:i w:val="0"/>
                <w:spacing w:val="-2"/>
                <w:sz w:val="20"/>
              </w:rPr>
              <w:t> </w:t>
            </w:r>
            <w:r>
              <w:rPr>
                <w:b w:val="0"/>
                <w:i w:val="0"/>
                <w:sz w:val="20"/>
              </w:rPr>
              <w:t>0xF9[2:0])</w:t>
              <w:tab/>
              <w:t>79</w:t>
            </w:r>
          </w:hyperlink>
        </w:p>
        <w:p>
          <w:pPr>
            <w:pStyle w:val="TOC1"/>
            <w:tabs>
              <w:tab w:pos="9967" w:val="right" w:leader="dot"/>
            </w:tabs>
            <w:spacing w:before="46"/>
          </w:pPr>
          <w:hyperlink w:history="true" w:anchor="_bookmark165">
            <w:r>
              <w:rPr/>
              <w:t>Table 63: </w:t>
            </w:r>
            <w:r>
              <w:rPr>
                <w:spacing w:val="2"/>
              </w:rPr>
              <w:t>Wake </w:t>
            </w:r>
            <w:r>
              <w:rPr/>
              <w:t>Enable and</w:t>
            </w:r>
            <w:r>
              <w:rPr>
                <w:spacing w:val="-9"/>
              </w:rPr>
              <w:t> </w:t>
            </w:r>
            <w:r>
              <w:rPr/>
              <w:t>Flag</w:t>
            </w:r>
            <w:r>
              <w:rPr>
                <w:spacing w:val="-1"/>
              </w:rPr>
              <w:t> </w:t>
            </w:r>
            <w:r>
              <w:rPr/>
              <w:t>Bits</w:t>
              <w:tab/>
              <w:t>81</w:t>
            </w:r>
          </w:hyperlink>
        </w:p>
        <w:p>
          <w:pPr>
            <w:pStyle w:val="TOC1"/>
            <w:tabs>
              <w:tab w:pos="9967" w:val="right" w:leader="dot"/>
            </w:tabs>
            <w:spacing w:before="41"/>
          </w:pPr>
          <w:hyperlink w:history="true" w:anchor="_bookmark166">
            <w:r>
              <w:rPr/>
              <w:t>Table 64:</w:t>
            </w:r>
            <w:r>
              <w:rPr>
                <w:spacing w:val="-5"/>
              </w:rPr>
              <w:t> </w:t>
            </w:r>
            <w:r>
              <w:rPr>
                <w:spacing w:val="2"/>
              </w:rPr>
              <w:t>Wake</w:t>
            </w:r>
            <w:r>
              <w:rPr>
                <w:spacing w:val="-1"/>
              </w:rPr>
              <w:t> </w:t>
            </w:r>
            <w:r>
              <w:rPr/>
              <w:t>Bits</w:t>
              <w:tab/>
              <w:t>82</w:t>
            </w:r>
          </w:hyperlink>
        </w:p>
        <w:p>
          <w:pPr>
            <w:pStyle w:val="TOC1"/>
            <w:tabs>
              <w:tab w:pos="9968" w:val="right" w:leader="dot"/>
            </w:tabs>
          </w:pPr>
          <w:hyperlink w:history="true" w:anchor="_bookmark167">
            <w:r>
              <w:rPr/>
              <w:t>Table 65: Clear Events for</w:t>
            </w:r>
            <w:r>
              <w:rPr>
                <w:spacing w:val="1"/>
              </w:rPr>
              <w:t> </w:t>
            </w:r>
            <w:r>
              <w:rPr/>
              <w:t>WAKE</w:t>
            </w:r>
            <w:r>
              <w:rPr>
                <w:spacing w:val="-3"/>
              </w:rPr>
              <w:t> </w:t>
            </w:r>
            <w:r>
              <w:rPr/>
              <w:t>flags</w:t>
              <w:tab/>
              <w:t>83</w:t>
            </w:r>
          </w:hyperlink>
        </w:p>
        <w:p>
          <w:pPr>
            <w:pStyle w:val="TOC1"/>
            <w:tabs>
              <w:tab w:pos="9967" w:val="right" w:leader="dot"/>
            </w:tabs>
            <w:spacing w:before="41"/>
          </w:pPr>
          <w:hyperlink w:history="true" w:anchor="_bookmark187">
            <w:r>
              <w:rPr/>
              <w:t>Table 66: GAIN_ADJn Compensation Channels (Figure 2, Figure 31,</w:t>
            </w:r>
            <w:r>
              <w:rPr>
                <w:spacing w:val="-11"/>
              </w:rPr>
              <w:t> </w:t>
            </w:r>
            <w:r>
              <w:rPr/>
              <w:t>Table</w:t>
            </w:r>
            <w:r>
              <w:rPr>
                <w:spacing w:val="-2"/>
              </w:rPr>
              <w:t> </w:t>
            </w:r>
            <w:r>
              <w:rPr/>
              <w:t>1)</w:t>
              <w:tab/>
              <w:t>90</w:t>
            </w:r>
          </w:hyperlink>
        </w:p>
        <w:p>
          <w:pPr>
            <w:pStyle w:val="TOC1"/>
            <w:tabs>
              <w:tab w:pos="9967" w:val="right" w:leader="dot"/>
            </w:tabs>
          </w:pPr>
          <w:hyperlink w:history="true" w:anchor="_bookmark189">
            <w:r>
              <w:rPr/>
              <w:t>Table 67: GAIN_ADJx Compensation Channels (Figure 3, Figure 32,</w:t>
            </w:r>
            <w:r>
              <w:rPr>
                <w:spacing w:val="-7"/>
              </w:rPr>
              <w:t> </w:t>
            </w:r>
            <w:r>
              <w:rPr/>
              <w:t>Table 2)</w:t>
              <w:tab/>
              <w:t>91</w:t>
            </w:r>
          </w:hyperlink>
        </w:p>
        <w:p>
          <w:pPr>
            <w:pStyle w:val="TOC1"/>
            <w:tabs>
              <w:tab w:pos="9967" w:val="right" w:leader="dot"/>
            </w:tabs>
            <w:spacing w:before="41"/>
          </w:pPr>
          <w:hyperlink w:history="true" w:anchor="_bookmark209">
            <w:r>
              <w:rPr/>
              <w:t>Table 68: I/O RAM Map – Functional Order,</w:t>
            </w:r>
            <w:r>
              <w:rPr>
                <w:spacing w:val="-4"/>
              </w:rPr>
              <w:t> </w:t>
            </w:r>
            <w:r>
              <w:rPr/>
              <w:t>Basic</w:t>
            </w:r>
            <w:r>
              <w:rPr>
                <w:spacing w:val="-1"/>
              </w:rPr>
              <w:t> </w:t>
            </w:r>
            <w:r>
              <w:rPr/>
              <w:t>Configuration</w:t>
              <w:tab/>
              <w:t>96</w:t>
            </w:r>
          </w:hyperlink>
        </w:p>
        <w:p>
          <w:pPr>
            <w:pStyle w:val="TOC1"/>
            <w:tabs>
              <w:tab w:pos="9967" w:val="right" w:leader="dot"/>
            </w:tabs>
          </w:pPr>
          <w:hyperlink w:history="true" w:anchor="_bookmark210">
            <w:r>
              <w:rPr/>
              <w:t>Table 69: I/O RAM Map –</w:t>
            </w:r>
            <w:r>
              <w:rPr>
                <w:spacing w:val="-1"/>
              </w:rPr>
              <w:t> </w:t>
            </w:r>
            <w:r>
              <w:rPr/>
              <w:t>Functional</w:t>
            </w:r>
            <w:r>
              <w:rPr>
                <w:spacing w:val="-2"/>
              </w:rPr>
              <w:t> </w:t>
            </w:r>
            <w:r>
              <w:rPr/>
              <w:t>Order</w:t>
              <w:tab/>
              <w:t>98</w:t>
            </w:r>
          </w:hyperlink>
        </w:p>
        <w:p>
          <w:pPr>
            <w:pStyle w:val="TOC1"/>
            <w:tabs>
              <w:tab w:pos="9967" w:val="right" w:leader="dot"/>
            </w:tabs>
            <w:spacing w:before="41"/>
          </w:pPr>
          <w:hyperlink w:history="true" w:anchor="_bookmark212">
            <w:r>
              <w:rPr/>
              <w:t>Table 70: I/O RAM Map –</w:t>
            </w:r>
            <w:r>
              <w:rPr>
                <w:spacing w:val="2"/>
              </w:rPr>
              <w:t> </w:t>
            </w:r>
            <w:r>
              <w:rPr/>
              <w:t>Alphabetical</w:t>
            </w:r>
            <w:r>
              <w:rPr>
                <w:spacing w:val="-3"/>
              </w:rPr>
              <w:t> </w:t>
            </w:r>
            <w:r>
              <w:rPr/>
              <w:t>Order</w:t>
              <w:tab/>
              <w:t>102</w:t>
            </w:r>
          </w:hyperlink>
        </w:p>
        <w:p>
          <w:pPr>
            <w:pStyle w:val="TOC1"/>
            <w:tabs>
              <w:tab w:pos="9967" w:val="right" w:leader="dot"/>
            </w:tabs>
            <w:spacing w:before="34"/>
          </w:pPr>
          <w:hyperlink w:history="true" w:anchor="_bookmark219">
            <w:r>
              <w:rPr/>
              <w:t>Table 71: CE </w:t>
            </w:r>
            <w:r>
              <w:rPr>
                <w:rFonts w:ascii="Times New Roman"/>
                <w:i/>
              </w:rPr>
              <w:t>EQU[2:0] </w:t>
            </w:r>
            <w:r>
              <w:rPr/>
              <w:t>Equations and Element</w:t>
            </w:r>
            <w:r>
              <w:rPr>
                <w:spacing w:val="7"/>
              </w:rPr>
              <w:t> </w:t>
            </w:r>
            <w:r>
              <w:rPr/>
              <w:t>Input</w:t>
            </w:r>
            <w:r>
              <w:rPr>
                <w:spacing w:val="1"/>
              </w:rPr>
              <w:t> </w:t>
            </w:r>
            <w:r>
              <w:rPr/>
              <w:t>Mapping</w:t>
              <w:tab/>
              <w:t>117</w:t>
            </w:r>
          </w:hyperlink>
        </w:p>
        <w:p>
          <w:pPr>
            <w:pStyle w:val="TOC1"/>
            <w:tabs>
              <w:tab w:pos="9967" w:val="right" w:leader="dot"/>
            </w:tabs>
            <w:spacing w:before="45"/>
          </w:pPr>
          <w:hyperlink w:history="true" w:anchor="_bookmark221">
            <w:r>
              <w:rPr/>
              <w:t>Table 72: CE Raw Data</w:t>
            </w:r>
            <w:r>
              <w:rPr>
                <w:spacing w:val="-1"/>
              </w:rPr>
              <w:t> </w:t>
            </w:r>
            <w:r>
              <w:rPr/>
              <w:t>Access Locations</w:t>
              <w:tab/>
              <w:t>118</w:t>
            </w:r>
          </w:hyperlink>
        </w:p>
        <w:p>
          <w:pPr>
            <w:pStyle w:val="TOC2"/>
            <w:tabs>
              <w:tab w:pos="9967" w:val="right" w:leader="dot"/>
            </w:tabs>
            <w:rPr>
              <w:b w:val="0"/>
              <w:i w:val="0"/>
              <w:sz w:val="20"/>
            </w:rPr>
          </w:pPr>
          <w:hyperlink w:history="true" w:anchor="_bookmark223">
            <w:r>
              <w:rPr>
                <w:b w:val="0"/>
                <w:i w:val="0"/>
                <w:sz w:val="20"/>
              </w:rPr>
              <w:t>Table 73:</w:t>
            </w:r>
            <w:r>
              <w:rPr>
                <w:b w:val="0"/>
                <w:i w:val="0"/>
                <w:spacing w:val="-1"/>
                <w:sz w:val="20"/>
              </w:rPr>
              <w:t> </w:t>
            </w:r>
            <w:r>
              <w:rPr>
                <w:rFonts w:ascii="Times New Roman"/>
                <w:b w:val="0"/>
                <w:i/>
                <w:sz w:val="20"/>
              </w:rPr>
              <w:t>CESTATUS</w:t>
            </w:r>
            <w:r>
              <w:rPr>
                <w:rFonts w:ascii="Times New Roman"/>
                <w:b w:val="0"/>
                <w:i/>
                <w:spacing w:val="6"/>
                <w:sz w:val="20"/>
              </w:rPr>
              <w:t> </w:t>
            </w:r>
            <w:r>
              <w:rPr>
                <w:b w:val="0"/>
                <w:i w:val="0"/>
                <w:sz w:val="20"/>
              </w:rPr>
              <w:t>Register</w:t>
              <w:tab/>
              <w:t>119</w:t>
            </w:r>
          </w:hyperlink>
        </w:p>
        <w:p>
          <w:pPr>
            <w:pStyle w:val="TOC2"/>
            <w:tabs>
              <w:tab w:pos="9967" w:val="right" w:leader="dot"/>
            </w:tabs>
            <w:spacing w:before="40"/>
            <w:rPr>
              <w:b w:val="0"/>
              <w:i w:val="0"/>
              <w:sz w:val="20"/>
            </w:rPr>
          </w:pPr>
          <w:hyperlink w:history="true" w:anchor="_bookmark224">
            <w:r>
              <w:rPr>
                <w:b w:val="0"/>
                <w:i w:val="0"/>
                <w:sz w:val="20"/>
              </w:rPr>
              <w:t>Table 74: </w:t>
            </w:r>
            <w:r>
              <w:rPr>
                <w:rFonts w:ascii="Times New Roman"/>
                <w:b w:val="0"/>
                <w:i/>
                <w:sz w:val="20"/>
              </w:rPr>
              <w:t>CESTATUS</w:t>
            </w:r>
            <w:r>
              <w:rPr>
                <w:rFonts w:ascii="Times New Roman"/>
                <w:b w:val="0"/>
                <w:i/>
                <w:spacing w:val="5"/>
                <w:sz w:val="20"/>
              </w:rPr>
              <w:t> </w:t>
            </w:r>
            <w:r>
              <w:rPr>
                <w:b w:val="0"/>
                <w:i w:val="0"/>
                <w:sz w:val="20"/>
              </w:rPr>
              <w:t>Bit</w:t>
            </w:r>
            <w:r>
              <w:rPr>
                <w:b w:val="0"/>
                <w:i w:val="0"/>
                <w:spacing w:val="-1"/>
                <w:sz w:val="20"/>
              </w:rPr>
              <w:t> </w:t>
            </w:r>
            <w:r>
              <w:rPr>
                <w:b w:val="0"/>
                <w:i w:val="0"/>
                <w:sz w:val="20"/>
              </w:rPr>
              <w:t>Definitions</w:t>
              <w:tab/>
              <w:t>119</w:t>
            </w:r>
          </w:hyperlink>
        </w:p>
        <w:p>
          <w:pPr>
            <w:pStyle w:val="TOC2"/>
            <w:tabs>
              <w:tab w:pos="9967" w:val="right" w:leader="dot"/>
            </w:tabs>
            <w:spacing w:before="41"/>
            <w:rPr>
              <w:b w:val="0"/>
              <w:i w:val="0"/>
              <w:sz w:val="20"/>
            </w:rPr>
          </w:pPr>
          <w:hyperlink w:history="true" w:anchor="_bookmark225">
            <w:r>
              <w:rPr>
                <w:b w:val="0"/>
                <w:i w:val="0"/>
                <w:sz w:val="20"/>
              </w:rPr>
              <w:t>Table 75:</w:t>
            </w:r>
            <w:r>
              <w:rPr>
                <w:b w:val="0"/>
                <w:i w:val="0"/>
                <w:spacing w:val="-1"/>
                <w:sz w:val="20"/>
              </w:rPr>
              <w:t> </w:t>
            </w:r>
            <w:r>
              <w:rPr>
                <w:rFonts w:ascii="Times New Roman"/>
                <w:b w:val="0"/>
                <w:i/>
                <w:sz w:val="20"/>
              </w:rPr>
              <w:t>CECONFIG</w:t>
            </w:r>
            <w:r>
              <w:rPr>
                <w:rFonts w:ascii="Times New Roman"/>
                <w:b w:val="0"/>
                <w:i/>
                <w:spacing w:val="7"/>
                <w:sz w:val="20"/>
              </w:rPr>
              <w:t> </w:t>
            </w:r>
            <w:r>
              <w:rPr>
                <w:b w:val="0"/>
                <w:i w:val="0"/>
                <w:sz w:val="20"/>
              </w:rPr>
              <w:t>Register</w:t>
              <w:tab/>
              <w:t>119</w:t>
            </w:r>
          </w:hyperlink>
        </w:p>
        <w:p>
          <w:pPr>
            <w:pStyle w:val="TOC1"/>
            <w:tabs>
              <w:tab w:pos="9967" w:val="right" w:leader="dot"/>
            </w:tabs>
            <w:spacing w:before="40"/>
          </w:pPr>
          <w:hyperlink w:history="true" w:anchor="_bookmark226">
            <w:r>
              <w:rPr/>
              <w:t>Table 76: </w:t>
            </w:r>
            <w:r>
              <w:rPr>
                <w:rFonts w:ascii="Times New Roman"/>
                <w:i/>
              </w:rPr>
              <w:t>CECONFIG </w:t>
            </w:r>
            <w:r>
              <w:rPr/>
              <w:t>Bit Definitions (CE</w:t>
            </w:r>
            <w:r>
              <w:rPr>
                <w:spacing w:val="2"/>
              </w:rPr>
              <w:t> </w:t>
            </w:r>
            <w:r>
              <w:rPr/>
              <w:t>RAM</w:t>
            </w:r>
            <w:r>
              <w:rPr>
                <w:spacing w:val="-2"/>
              </w:rPr>
              <w:t> </w:t>
            </w:r>
            <w:r>
              <w:rPr/>
              <w:t>0x20)</w:t>
              <w:tab/>
              <w:t>120</w:t>
            </w:r>
          </w:hyperlink>
        </w:p>
        <w:p>
          <w:pPr>
            <w:pStyle w:val="TOC1"/>
            <w:tabs>
              <w:tab w:pos="9967" w:val="right" w:leader="dot"/>
            </w:tabs>
            <w:spacing w:before="45"/>
          </w:pPr>
          <w:hyperlink w:history="true" w:anchor="_bookmark227">
            <w:r>
              <w:rPr/>
              <w:t>Table 77: Sag Threshold, Phase Measurement, and Gain</w:t>
            </w:r>
            <w:r>
              <w:rPr>
                <w:spacing w:val="-7"/>
              </w:rPr>
              <w:t> </w:t>
            </w:r>
            <w:r>
              <w:rPr/>
              <w:t>Adjust</w:t>
            </w:r>
            <w:r>
              <w:rPr>
                <w:spacing w:val="-1"/>
              </w:rPr>
              <w:t> </w:t>
            </w:r>
            <w:r>
              <w:rPr/>
              <w:t>Control</w:t>
              <w:tab/>
              <w:t>121</w:t>
            </w:r>
          </w:hyperlink>
        </w:p>
        <w:p>
          <w:pPr>
            <w:pStyle w:val="TOC1"/>
            <w:tabs>
              <w:tab w:pos="9967" w:val="right" w:leader="dot"/>
            </w:tabs>
          </w:pPr>
          <w:hyperlink w:history="true" w:anchor="_bookmark229">
            <w:r>
              <w:rPr/>
              <w:t>Table 78: CE Transfer Variables</w:t>
            </w:r>
            <w:r>
              <w:rPr>
                <w:spacing w:val="-1"/>
              </w:rPr>
              <w:t> </w:t>
            </w:r>
            <w:r>
              <w:rPr/>
              <w:t>(with</w:t>
            </w:r>
            <w:r>
              <w:rPr>
                <w:spacing w:val="1"/>
              </w:rPr>
              <w:t> </w:t>
            </w:r>
            <w:r>
              <w:rPr/>
              <w:t>Shunts)</w:t>
              <w:tab/>
              <w:t>121</w:t>
            </w:r>
          </w:hyperlink>
        </w:p>
        <w:p>
          <w:pPr>
            <w:pStyle w:val="TOC1"/>
            <w:tabs>
              <w:tab w:pos="9967" w:val="right" w:leader="dot"/>
            </w:tabs>
            <w:spacing w:before="41"/>
          </w:pPr>
          <w:hyperlink w:history="true" w:anchor="_bookmark230">
            <w:r>
              <w:rPr/>
              <w:t>Table 79: CE Transfer Variables</w:t>
            </w:r>
            <w:r>
              <w:rPr>
                <w:spacing w:val="-1"/>
              </w:rPr>
              <w:t> </w:t>
            </w:r>
            <w:r>
              <w:rPr/>
              <w:t>(with</w:t>
            </w:r>
            <w:r>
              <w:rPr>
                <w:spacing w:val="1"/>
              </w:rPr>
              <w:t> </w:t>
            </w:r>
            <w:r>
              <w:rPr/>
              <w:t>CTs)</w:t>
              <w:tab/>
              <w:t>122</w:t>
            </w:r>
          </w:hyperlink>
        </w:p>
        <w:p>
          <w:pPr>
            <w:pStyle w:val="TOC1"/>
            <w:tabs>
              <w:tab w:pos="9967" w:val="right" w:leader="dot"/>
            </w:tabs>
          </w:pPr>
          <w:hyperlink w:history="true" w:anchor="_bookmark231">
            <w:r>
              <w:rPr/>
              <w:t>Table 80: CE Energy Measurement Variables</w:t>
            </w:r>
            <w:r>
              <w:rPr>
                <w:spacing w:val="-7"/>
              </w:rPr>
              <w:t> </w:t>
            </w:r>
            <w:r>
              <w:rPr/>
              <w:t>(with</w:t>
            </w:r>
            <w:r>
              <w:rPr>
                <w:spacing w:val="1"/>
              </w:rPr>
              <w:t> </w:t>
            </w:r>
            <w:r>
              <w:rPr/>
              <w:t>Shunts)</w:t>
              <w:tab/>
              <w:t>122</w:t>
            </w:r>
          </w:hyperlink>
        </w:p>
        <w:p>
          <w:pPr>
            <w:pStyle w:val="TOC1"/>
            <w:tabs>
              <w:tab w:pos="9967" w:val="right" w:leader="dot"/>
            </w:tabs>
            <w:spacing w:before="41"/>
          </w:pPr>
          <w:hyperlink w:history="true" w:anchor="_bookmark232">
            <w:r>
              <w:rPr/>
              <w:t>Table 81: CE Energy Measurement Variables</w:t>
            </w:r>
            <w:r>
              <w:rPr>
                <w:spacing w:val="-6"/>
              </w:rPr>
              <w:t> </w:t>
            </w:r>
            <w:r>
              <w:rPr/>
              <w:t>(with</w:t>
            </w:r>
            <w:r>
              <w:rPr>
                <w:spacing w:val="1"/>
              </w:rPr>
              <w:t> </w:t>
            </w:r>
            <w:r>
              <w:rPr/>
              <w:t>CTs)</w:t>
              <w:tab/>
              <w:t>122</w:t>
            </w:r>
          </w:hyperlink>
        </w:p>
        <w:p>
          <w:pPr>
            <w:pStyle w:val="TOC1"/>
            <w:tabs>
              <w:tab w:pos="9967" w:val="right" w:leader="dot"/>
            </w:tabs>
          </w:pPr>
          <w:hyperlink w:history="true" w:anchor="_bookmark233">
            <w:r>
              <w:rPr/>
              <w:t>Table 82: Other</w:t>
            </w:r>
            <w:r>
              <w:rPr>
                <w:spacing w:val="-1"/>
              </w:rPr>
              <w:t> </w:t>
            </w:r>
            <w:r>
              <w:rPr/>
              <w:t>Transfer Variables</w:t>
              <w:tab/>
              <w:t>123</w:t>
            </w:r>
          </w:hyperlink>
        </w:p>
        <w:p>
          <w:pPr>
            <w:pStyle w:val="TOC1"/>
            <w:tabs>
              <w:tab w:pos="9967" w:val="right" w:leader="dot"/>
            </w:tabs>
            <w:spacing w:before="41"/>
          </w:pPr>
          <w:hyperlink w:history="true" w:anchor="_bookmark235">
            <w:r>
              <w:rPr/>
              <w:t>Table 83: CE Pulse</w:t>
            </w:r>
            <w:r>
              <w:rPr>
                <w:spacing w:val="-1"/>
              </w:rPr>
              <w:t> </w:t>
            </w:r>
            <w:r>
              <w:rPr/>
              <w:t>Generation Parameters</w:t>
              <w:tab/>
              <w:t>125</w:t>
            </w:r>
          </w:hyperlink>
        </w:p>
        <w:p>
          <w:pPr>
            <w:pStyle w:val="TOC1"/>
            <w:tabs>
              <w:tab w:pos="9967" w:val="right" w:leader="dot"/>
            </w:tabs>
          </w:pPr>
          <w:hyperlink w:history="true" w:anchor="_bookmark236">
            <w:r>
              <w:rPr/>
              <w:t>Table 84: CE Parameters for Noise Suppression and</w:t>
            </w:r>
            <w:r>
              <w:rPr>
                <w:spacing w:val="-3"/>
              </w:rPr>
              <w:t> </w:t>
            </w:r>
            <w:r>
              <w:rPr/>
              <w:t>Code Version</w:t>
              <w:tab/>
              <w:t>126</w:t>
            </w:r>
          </w:hyperlink>
        </w:p>
        <w:p>
          <w:pPr>
            <w:pStyle w:val="TOC1"/>
            <w:tabs>
              <w:tab w:pos="9967" w:val="right" w:leader="dot"/>
            </w:tabs>
            <w:spacing w:before="41"/>
          </w:pPr>
          <w:hyperlink w:history="true" w:anchor="_bookmark238">
            <w:r>
              <w:rPr/>
              <w:t>Table 85: CE Calibration</w:t>
            </w:r>
            <w:r>
              <w:rPr>
                <w:spacing w:val="1"/>
              </w:rPr>
              <w:t> </w:t>
            </w:r>
            <w:r>
              <w:rPr/>
              <w:t>Parameters</w:t>
              <w:tab/>
              <w:t>127</w:t>
            </w:r>
          </w:hyperlink>
        </w:p>
        <w:p>
          <w:pPr>
            <w:pStyle w:val="TOC1"/>
            <w:tabs>
              <w:tab w:pos="9967" w:val="right" w:leader="dot"/>
            </w:tabs>
          </w:pPr>
          <w:hyperlink w:history="true" w:anchor="_bookmark245">
            <w:r>
              <w:rPr/>
              <w:t>Table 86: Absolute Maximum</w:t>
            </w:r>
            <w:r>
              <w:rPr>
                <w:spacing w:val="2"/>
              </w:rPr>
              <w:t> </w:t>
            </w:r>
            <w:r>
              <w:rPr/>
              <w:t>Ratings</w:t>
              <w:tab/>
              <w:t>130</w:t>
            </w:r>
          </w:hyperlink>
        </w:p>
        <w:p>
          <w:pPr>
            <w:pStyle w:val="TOC1"/>
            <w:tabs>
              <w:tab w:pos="9967" w:val="right" w:leader="dot"/>
            </w:tabs>
            <w:spacing w:before="41"/>
          </w:pPr>
          <w:hyperlink w:history="true" w:anchor="_bookmark247">
            <w:r>
              <w:rPr/>
              <w:t>Table 87: Recommended External</w:t>
            </w:r>
            <w:r>
              <w:rPr>
                <w:spacing w:val="-3"/>
              </w:rPr>
              <w:t> </w:t>
            </w:r>
            <w:r>
              <w:rPr/>
              <w:t>Components</w:t>
              <w:tab/>
              <w:t>131</w:t>
            </w:r>
          </w:hyperlink>
        </w:p>
        <w:p>
          <w:pPr>
            <w:pStyle w:val="TOC1"/>
            <w:tabs>
              <w:tab w:pos="9967" w:val="right" w:leader="dot"/>
            </w:tabs>
          </w:pPr>
          <w:hyperlink w:history="true" w:anchor="_bookmark249">
            <w:r>
              <w:rPr/>
              <w:t>Table 88: Recommended Operating</w:t>
            </w:r>
            <w:r>
              <w:rPr>
                <w:spacing w:val="-2"/>
              </w:rPr>
              <w:t> </w:t>
            </w:r>
            <w:r>
              <w:rPr/>
              <w:t>Conditions</w:t>
              <w:tab/>
              <w:t>131</w:t>
            </w:r>
          </w:hyperlink>
        </w:p>
        <w:p>
          <w:pPr>
            <w:pStyle w:val="TOC1"/>
            <w:tabs>
              <w:tab w:pos="9967" w:val="right" w:leader="dot"/>
            </w:tabs>
            <w:spacing w:before="41"/>
          </w:pPr>
          <w:hyperlink w:history="true" w:anchor="_bookmark252">
            <w:r>
              <w:rPr/>
              <w:t>Table 89: Input</w:t>
            </w:r>
            <w:r>
              <w:rPr>
                <w:spacing w:val="-2"/>
              </w:rPr>
              <w:t> </w:t>
            </w:r>
            <w:r>
              <w:rPr/>
              <w:t>Logic Levels</w:t>
              <w:tab/>
              <w:t>132</w:t>
            </w:r>
          </w:hyperlink>
        </w:p>
        <w:p>
          <w:pPr>
            <w:pStyle w:val="TOC1"/>
            <w:tabs>
              <w:tab w:pos="9967" w:val="right" w:leader="dot"/>
            </w:tabs>
          </w:pPr>
          <w:hyperlink w:history="true" w:anchor="_bookmark254">
            <w:r>
              <w:rPr/>
              <w:t>Table 90: Output</w:t>
            </w:r>
            <w:r>
              <w:rPr>
                <w:spacing w:val="-2"/>
              </w:rPr>
              <w:t> </w:t>
            </w:r>
            <w:r>
              <w:rPr/>
              <w:t>Logic Levels</w:t>
              <w:tab/>
              <w:t>132</w:t>
            </w:r>
          </w:hyperlink>
        </w:p>
        <w:p>
          <w:pPr>
            <w:pStyle w:val="TOC1"/>
            <w:tabs>
              <w:tab w:pos="9967" w:val="right" w:leader="dot"/>
            </w:tabs>
            <w:spacing w:before="37"/>
          </w:pPr>
          <w:hyperlink w:history="true" w:anchor="_bookmark256">
            <w:r>
              <w:rPr/>
              <w:t>Table 91: Battery Monitor Performance Specifications (</w:t>
            </w:r>
            <w:r>
              <w:rPr>
                <w:rFonts w:ascii="Times New Roman"/>
                <w:i/>
              </w:rPr>
              <w:t>TEMP_BAT</w:t>
            </w:r>
            <w:r>
              <w:rPr>
                <w:rFonts w:ascii="Times New Roman"/>
                <w:i/>
                <w:spacing w:val="-9"/>
              </w:rPr>
              <w:t> </w:t>
            </w:r>
            <w:r>
              <w:rPr/>
              <w:t>=</w:t>
            </w:r>
            <w:r>
              <w:rPr>
                <w:spacing w:val="-3"/>
              </w:rPr>
              <w:t> </w:t>
            </w:r>
            <w:r>
              <w:rPr/>
              <w:t>1)</w:t>
              <w:tab/>
              <w:t>133</w:t>
            </w:r>
          </w:hyperlink>
        </w:p>
        <w:p>
          <w:pPr>
            <w:pStyle w:val="TOC1"/>
            <w:tabs>
              <w:tab w:pos="9967" w:val="right" w:leader="dot"/>
            </w:tabs>
            <w:spacing w:before="45"/>
          </w:pPr>
          <w:hyperlink w:history="true" w:anchor="_bookmark258">
            <w:r>
              <w:rPr/>
              <w:t>Table 92:</w:t>
            </w:r>
            <w:r>
              <w:rPr>
                <w:spacing w:val="-1"/>
              </w:rPr>
              <w:t> </w:t>
            </w:r>
            <w:r>
              <w:rPr/>
              <w:t>Temperature</w:t>
            </w:r>
            <w:r>
              <w:rPr>
                <w:spacing w:val="-1"/>
              </w:rPr>
              <w:t> </w:t>
            </w:r>
            <w:r>
              <w:rPr/>
              <w:t>Monitor</w:t>
              <w:tab/>
              <w:t>134</w:t>
            </w:r>
          </w:hyperlink>
        </w:p>
        <w:p>
          <w:pPr>
            <w:pStyle w:val="TOC1"/>
            <w:tabs>
              <w:tab w:pos="9967" w:val="right" w:leader="dot"/>
            </w:tabs>
          </w:pPr>
          <w:hyperlink w:history="true" w:anchor="_bookmark260">
            <w:r>
              <w:rPr/>
              <w:t>Table 93: Supply Current</w:t>
            </w:r>
            <w:r>
              <w:rPr>
                <w:spacing w:val="-5"/>
              </w:rPr>
              <w:t> </w:t>
            </w:r>
            <w:r>
              <w:rPr/>
              <w:t>Performance</w:t>
            </w:r>
            <w:r>
              <w:rPr>
                <w:spacing w:val="-1"/>
              </w:rPr>
              <w:t> </w:t>
            </w:r>
            <w:r>
              <w:rPr/>
              <w:t>Specifications</w:t>
              <w:tab/>
              <w:t>135</w:t>
            </w:r>
          </w:hyperlink>
        </w:p>
        <w:p>
          <w:pPr>
            <w:pStyle w:val="TOC1"/>
            <w:tabs>
              <w:tab w:pos="9967" w:val="right" w:leader="dot"/>
            </w:tabs>
            <w:spacing w:before="41"/>
          </w:pPr>
          <w:hyperlink w:history="true" w:anchor="_bookmark262">
            <w:r>
              <w:rPr/>
              <w:t>Table 94: V3P3D Switch</w:t>
            </w:r>
            <w:r>
              <w:rPr>
                <w:spacing w:val="-2"/>
              </w:rPr>
              <w:t> </w:t>
            </w:r>
            <w:r>
              <w:rPr/>
              <w:t>Performance</w:t>
            </w:r>
            <w:r>
              <w:rPr>
                <w:spacing w:val="-1"/>
              </w:rPr>
              <w:t> </w:t>
            </w:r>
            <w:r>
              <w:rPr/>
              <w:t>Specifications</w:t>
              <w:tab/>
              <w:t>136</w:t>
            </w:r>
          </w:hyperlink>
        </w:p>
        <w:p>
          <w:pPr>
            <w:pStyle w:val="TOC1"/>
            <w:tabs>
              <w:tab w:pos="9967" w:val="right" w:leader="dot"/>
            </w:tabs>
          </w:pPr>
          <w:hyperlink w:history="true" w:anchor="_bookmark264">
            <w:r>
              <w:rPr/>
              <w:t>Table 95: Internal Power Fault Comparators</w:t>
            </w:r>
            <w:r>
              <w:rPr>
                <w:spacing w:val="-6"/>
              </w:rPr>
              <w:t> </w:t>
            </w:r>
            <w:r>
              <w:rPr/>
              <w:t>Performance</w:t>
            </w:r>
            <w:r>
              <w:rPr>
                <w:spacing w:val="-2"/>
              </w:rPr>
              <w:t> </w:t>
            </w:r>
            <w:r>
              <w:rPr/>
              <w:t>Specifications</w:t>
              <w:tab/>
              <w:t>136</w:t>
            </w:r>
          </w:hyperlink>
        </w:p>
        <w:p>
          <w:pPr>
            <w:pStyle w:val="TOC1"/>
            <w:tabs>
              <w:tab w:pos="9967" w:val="right" w:leader="dot"/>
            </w:tabs>
            <w:spacing w:before="41"/>
          </w:pPr>
          <w:hyperlink w:history="true" w:anchor="_bookmark266">
            <w:r>
              <w:rPr/>
              <w:t>Table 96: 2.5 V Voltage Regulator</w:t>
            </w:r>
            <w:r>
              <w:rPr>
                <w:spacing w:val="-1"/>
              </w:rPr>
              <w:t> </w:t>
            </w:r>
            <w:r>
              <w:rPr/>
              <w:t>Performance</w:t>
            </w:r>
            <w:r>
              <w:rPr>
                <w:spacing w:val="-1"/>
              </w:rPr>
              <w:t> </w:t>
            </w:r>
            <w:r>
              <w:rPr/>
              <w:t>Specifications</w:t>
              <w:tab/>
              <w:t>136</w:t>
            </w:r>
          </w:hyperlink>
        </w:p>
        <w:p>
          <w:pPr>
            <w:pStyle w:val="TOC1"/>
            <w:tabs>
              <w:tab w:pos="9967" w:val="right" w:leader="dot"/>
            </w:tabs>
          </w:pPr>
          <w:hyperlink w:history="true" w:anchor="_bookmark268">
            <w:r>
              <w:rPr/>
              <w:t>Table 97: Low-Power Voltage Regulator</w:t>
            </w:r>
            <w:r>
              <w:rPr>
                <w:spacing w:val="-3"/>
              </w:rPr>
              <w:t> </w:t>
            </w:r>
            <w:r>
              <w:rPr/>
              <w:t>Performance</w:t>
            </w:r>
            <w:r>
              <w:rPr>
                <w:spacing w:val="-1"/>
              </w:rPr>
              <w:t> </w:t>
            </w:r>
            <w:r>
              <w:rPr/>
              <w:t>Specifications</w:t>
              <w:tab/>
              <w:t>137</w:t>
            </w:r>
          </w:hyperlink>
        </w:p>
        <w:p>
          <w:pPr>
            <w:pStyle w:val="TOC1"/>
            <w:tabs>
              <w:tab w:pos="9967" w:val="right" w:leader="dot"/>
            </w:tabs>
            <w:spacing w:after="20"/>
          </w:pPr>
          <w:hyperlink w:history="true" w:anchor="_bookmark270">
            <w:r>
              <w:rPr/>
              <w:t>Table 98: Crystal Oscillator</w:t>
            </w:r>
            <w:r>
              <w:rPr>
                <w:spacing w:val="-4"/>
              </w:rPr>
              <w:t> </w:t>
            </w:r>
            <w:r>
              <w:rPr/>
              <w:t>Performance</w:t>
            </w:r>
            <w:r>
              <w:rPr>
                <w:spacing w:val="-1"/>
              </w:rPr>
              <w:t> </w:t>
            </w:r>
            <w:r>
              <w:rPr/>
              <w:t>Specifications</w:t>
              <w:tab/>
              <w:t>137</w:t>
            </w:r>
          </w:hyperlink>
        </w:p>
        <w:p>
          <w:pPr>
            <w:pStyle w:val="TOC1"/>
            <w:tabs>
              <w:tab w:pos="9967" w:val="right" w:leader="dot"/>
            </w:tabs>
            <w:spacing w:before="242"/>
          </w:pPr>
          <w:hyperlink w:history="true" w:anchor="_bookmark272">
            <w:r>
              <w:rPr/>
              <w:t>Table 99: PLL Performance</w:t>
            </w:r>
            <w:r>
              <w:rPr>
                <w:spacing w:val="-2"/>
              </w:rPr>
              <w:t> </w:t>
            </w:r>
            <w:r>
              <w:rPr/>
              <w:t>Specifications</w:t>
              <w:tab/>
              <w:t>137</w:t>
            </w:r>
          </w:hyperlink>
        </w:p>
        <w:p>
          <w:pPr>
            <w:pStyle w:val="TOC1"/>
            <w:tabs>
              <w:tab w:pos="9967" w:val="right" w:leader="dot"/>
            </w:tabs>
          </w:pPr>
          <w:hyperlink w:history="true" w:anchor="_bookmark274">
            <w:r>
              <w:rPr/>
              <w:t>Table 100: LCD Drivers</w:t>
            </w:r>
            <w:r>
              <w:rPr>
                <w:spacing w:val="-5"/>
              </w:rPr>
              <w:t> </w:t>
            </w:r>
            <w:r>
              <w:rPr/>
              <w:t>Performance</w:t>
            </w:r>
            <w:r>
              <w:rPr>
                <w:spacing w:val="-1"/>
              </w:rPr>
              <w:t> </w:t>
            </w:r>
            <w:r>
              <w:rPr/>
              <w:t>Specifications</w:t>
              <w:tab/>
              <w:t>137</w:t>
            </w:r>
          </w:hyperlink>
        </w:p>
        <w:p>
          <w:pPr>
            <w:pStyle w:val="TOC1"/>
            <w:tabs>
              <w:tab w:pos="9967" w:val="right" w:leader="dot"/>
            </w:tabs>
            <w:spacing w:before="41"/>
          </w:pPr>
          <w:hyperlink w:history="true" w:anchor="_bookmark276">
            <w:r>
              <w:rPr/>
              <w:t>Table 101: VLCD</w:t>
            </w:r>
            <w:r>
              <w:rPr>
                <w:spacing w:val="-2"/>
              </w:rPr>
              <w:t> </w:t>
            </w:r>
            <w:r>
              <w:rPr/>
              <w:t>Generator</w:t>
            </w:r>
            <w:r>
              <w:rPr>
                <w:spacing w:val="-1"/>
              </w:rPr>
              <w:t> </w:t>
            </w:r>
            <w:r>
              <w:rPr/>
              <w:t>Specifications</w:t>
              <w:tab/>
              <w:t>138</w:t>
            </w:r>
          </w:hyperlink>
        </w:p>
        <w:p>
          <w:pPr>
            <w:pStyle w:val="TOC1"/>
            <w:tabs>
              <w:tab w:pos="9967" w:val="right" w:leader="dot"/>
            </w:tabs>
          </w:pPr>
          <w:hyperlink w:history="true" w:anchor="_bookmark278">
            <w:r>
              <w:rPr/>
              <w:t>Table 102: 71M6543 VREF</w:t>
            </w:r>
            <w:r>
              <w:rPr>
                <w:spacing w:val="-3"/>
              </w:rPr>
              <w:t> </w:t>
            </w:r>
            <w:r>
              <w:rPr/>
              <w:t>Performance</w:t>
            </w:r>
            <w:r>
              <w:rPr>
                <w:spacing w:val="-1"/>
              </w:rPr>
              <w:t> </w:t>
            </w:r>
            <w:r>
              <w:rPr/>
              <w:t>Specifications</w:t>
              <w:tab/>
              <w:t>140</w:t>
            </w:r>
          </w:hyperlink>
        </w:p>
        <w:p>
          <w:pPr>
            <w:pStyle w:val="TOC1"/>
            <w:tabs>
              <w:tab w:pos="9967" w:val="right" w:leader="dot"/>
            </w:tabs>
            <w:spacing w:before="41"/>
          </w:pPr>
          <w:hyperlink w:history="true" w:anchor="_bookmark280">
            <w:r>
              <w:rPr/>
              <w:t>Table 103: ADC Converter</w:t>
            </w:r>
            <w:r>
              <w:rPr>
                <w:spacing w:val="-1"/>
              </w:rPr>
              <w:t> </w:t>
            </w:r>
            <w:r>
              <w:rPr/>
              <w:t>Performance</w:t>
            </w:r>
            <w:r>
              <w:rPr>
                <w:spacing w:val="-2"/>
              </w:rPr>
              <w:t> </w:t>
            </w:r>
            <w:r>
              <w:rPr/>
              <w:t>Specifications</w:t>
              <w:tab/>
              <w:t>141</w:t>
            </w:r>
          </w:hyperlink>
        </w:p>
        <w:p>
          <w:pPr>
            <w:pStyle w:val="TOC1"/>
            <w:tabs>
              <w:tab w:pos="9967" w:val="right" w:leader="dot"/>
            </w:tabs>
          </w:pPr>
          <w:hyperlink w:history="true" w:anchor="_bookmark282">
            <w:r>
              <w:rPr/>
              <w:t>Table 104: Pre-Amplifier</w:t>
            </w:r>
            <w:r>
              <w:rPr>
                <w:spacing w:val="-2"/>
              </w:rPr>
              <w:t> </w:t>
            </w:r>
            <w:r>
              <w:rPr/>
              <w:t>Performance</w:t>
            </w:r>
            <w:r>
              <w:rPr>
                <w:spacing w:val="-1"/>
              </w:rPr>
              <w:t> </w:t>
            </w:r>
            <w:r>
              <w:rPr/>
              <w:t>Specifications</w:t>
              <w:tab/>
              <w:t>142</w:t>
            </w:r>
          </w:hyperlink>
        </w:p>
        <w:p>
          <w:pPr>
            <w:pStyle w:val="TOC1"/>
            <w:tabs>
              <w:tab w:pos="9967" w:val="right" w:leader="dot"/>
            </w:tabs>
            <w:spacing w:before="41"/>
          </w:pPr>
          <w:hyperlink w:history="true" w:anchor="_bookmark285">
            <w:r>
              <w:rPr/>
              <w:t>Table 105: Flash Memory</w:t>
            </w:r>
            <w:r>
              <w:rPr>
                <w:spacing w:val="-11"/>
              </w:rPr>
              <w:t> </w:t>
            </w:r>
            <w:r>
              <w:rPr/>
              <w:t>Timing</w:t>
            </w:r>
            <w:r>
              <w:rPr>
                <w:spacing w:val="-1"/>
              </w:rPr>
              <w:t> </w:t>
            </w:r>
            <w:r>
              <w:rPr/>
              <w:t>Specifications</w:t>
              <w:tab/>
              <w:t>143</w:t>
            </w:r>
          </w:hyperlink>
        </w:p>
        <w:p>
          <w:pPr>
            <w:pStyle w:val="TOC1"/>
            <w:tabs>
              <w:tab w:pos="9967" w:val="right" w:leader="dot"/>
            </w:tabs>
          </w:pPr>
          <w:hyperlink w:history="true" w:anchor="_bookmark287">
            <w:r>
              <w:rPr/>
              <w:t>Table 106. SPI Slave</w:t>
            </w:r>
            <w:r>
              <w:rPr>
                <w:spacing w:val="-2"/>
              </w:rPr>
              <w:t> </w:t>
            </w:r>
            <w:r>
              <w:rPr/>
              <w:t>Timing</w:t>
            </w:r>
            <w:r>
              <w:rPr>
                <w:spacing w:val="-1"/>
              </w:rPr>
              <w:t> </w:t>
            </w:r>
            <w:r>
              <w:rPr/>
              <w:t>Specifications</w:t>
              <w:tab/>
              <w:t>143</w:t>
            </w:r>
          </w:hyperlink>
        </w:p>
        <w:p>
          <w:pPr>
            <w:pStyle w:val="TOC1"/>
            <w:tabs>
              <w:tab w:pos="9967" w:val="right" w:leader="dot"/>
            </w:tabs>
            <w:spacing w:before="41"/>
          </w:pPr>
          <w:hyperlink w:history="true" w:anchor="_bookmark289">
            <w:r>
              <w:rPr/>
              <w:t>Table 107: EEPROM</w:t>
            </w:r>
            <w:r>
              <w:rPr>
                <w:spacing w:val="-2"/>
              </w:rPr>
              <w:t> </w:t>
            </w:r>
            <w:r>
              <w:rPr/>
              <w:t>Interface</w:t>
            </w:r>
            <w:r>
              <w:rPr>
                <w:spacing w:val="-1"/>
              </w:rPr>
              <w:t> </w:t>
            </w:r>
            <w:r>
              <w:rPr/>
              <w:t>Timing</w:t>
              <w:tab/>
              <w:t>143</w:t>
            </w:r>
          </w:hyperlink>
        </w:p>
        <w:p>
          <w:pPr>
            <w:pStyle w:val="TOC1"/>
            <w:tabs>
              <w:tab w:pos="9967" w:val="right" w:leader="dot"/>
            </w:tabs>
          </w:pPr>
          <w:hyperlink w:history="true" w:anchor="_bookmark291">
            <w:r>
              <w:rPr/>
              <w:t>Table 108: RESET</w:t>
            </w:r>
            <w:r>
              <w:rPr>
                <w:spacing w:val="-1"/>
              </w:rPr>
              <w:t> </w:t>
            </w:r>
            <w:r>
              <w:rPr/>
              <w:t>Pin</w:t>
            </w:r>
            <w:r>
              <w:rPr>
                <w:spacing w:val="1"/>
              </w:rPr>
              <w:t> </w:t>
            </w:r>
            <w:r>
              <w:rPr/>
              <w:t>Timing</w:t>
              <w:tab/>
              <w:t>144</w:t>
            </w:r>
          </w:hyperlink>
        </w:p>
        <w:p>
          <w:pPr>
            <w:pStyle w:val="TOC1"/>
            <w:tabs>
              <w:tab w:pos="9967" w:val="right" w:leader="dot"/>
            </w:tabs>
            <w:spacing w:before="41"/>
          </w:pPr>
          <w:hyperlink w:history="true" w:anchor="_bookmark293">
            <w:r>
              <w:rPr/>
              <w:t>Table 109: RTC Range</w:t>
            </w:r>
            <w:r>
              <w:rPr>
                <w:spacing w:val="-5"/>
              </w:rPr>
              <w:t> </w:t>
            </w:r>
            <w:r>
              <w:rPr/>
              <w:t>for</w:t>
            </w:r>
            <w:r>
              <w:rPr>
                <w:spacing w:val="2"/>
              </w:rPr>
              <w:t> </w:t>
            </w:r>
            <w:r>
              <w:rPr/>
              <w:t>Date</w:t>
              <w:tab/>
              <w:t>144</w:t>
            </w:r>
          </w:hyperlink>
        </w:p>
        <w:p>
          <w:pPr>
            <w:pStyle w:val="TOC1"/>
            <w:tabs>
              <w:tab w:pos="9967" w:val="right" w:leader="dot"/>
            </w:tabs>
          </w:pPr>
          <w:hyperlink w:history="true" w:anchor="_bookmark300">
            <w:r>
              <w:rPr/>
              <w:t>Table 110: 71M6543 Power and</w:t>
            </w:r>
            <w:r>
              <w:rPr>
                <w:spacing w:val="-6"/>
              </w:rPr>
              <w:t> </w:t>
            </w:r>
            <w:r>
              <w:rPr/>
              <w:t>Ground</w:t>
            </w:r>
            <w:r>
              <w:rPr>
                <w:spacing w:val="1"/>
              </w:rPr>
              <w:t> </w:t>
            </w:r>
            <w:r>
              <w:rPr/>
              <w:t>Pins</w:t>
              <w:tab/>
              <w:t>147</w:t>
            </w:r>
          </w:hyperlink>
        </w:p>
        <w:p>
          <w:pPr>
            <w:pStyle w:val="TOC1"/>
            <w:tabs>
              <w:tab w:pos="9967" w:val="right" w:leader="dot"/>
            </w:tabs>
            <w:spacing w:before="41"/>
          </w:pPr>
          <w:hyperlink w:history="true" w:anchor="_bookmark302">
            <w:r>
              <w:rPr/>
              <w:t>Table 111: 71M6543</w:t>
            </w:r>
            <w:r>
              <w:rPr>
                <w:spacing w:val="-4"/>
              </w:rPr>
              <w:t> </w:t>
            </w:r>
            <w:r>
              <w:rPr/>
              <w:t>Analog</w:t>
            </w:r>
            <w:r>
              <w:rPr>
                <w:spacing w:val="-1"/>
              </w:rPr>
              <w:t> </w:t>
            </w:r>
            <w:r>
              <w:rPr/>
              <w:t>Pins</w:t>
              <w:tab/>
              <w:t>148</w:t>
            </w:r>
          </w:hyperlink>
        </w:p>
        <w:p>
          <w:pPr>
            <w:pStyle w:val="TOC1"/>
            <w:tabs>
              <w:tab w:pos="9967" w:val="right" w:leader="dot"/>
            </w:tabs>
          </w:pPr>
          <w:hyperlink w:history="true" w:anchor="_bookmark304">
            <w:r>
              <w:rPr/>
              <w:t>Table 112: 71M6543</w:t>
            </w:r>
            <w:r>
              <w:rPr>
                <w:spacing w:val="-4"/>
              </w:rPr>
              <w:t> </w:t>
            </w:r>
            <w:r>
              <w:rPr/>
              <w:t>Digital Pins</w:t>
              <w:tab/>
              <w:t>149</w:t>
            </w:r>
          </w:hyperlink>
        </w:p>
        <w:p>
          <w:pPr>
            <w:pStyle w:val="TOC1"/>
            <w:tabs>
              <w:tab w:pos="9967" w:val="right" w:leader="dot"/>
            </w:tabs>
            <w:spacing w:before="41"/>
          </w:pPr>
          <w:hyperlink w:history="true" w:anchor="_bookmark309">
            <w:r>
              <w:rPr/>
              <w:t>Table 113. 71M6543</w:t>
            </w:r>
            <w:r>
              <w:rPr>
                <w:spacing w:val="-4"/>
              </w:rPr>
              <w:t> </w:t>
            </w:r>
            <w:r>
              <w:rPr/>
              <w:t>Ordering</w:t>
            </w:r>
            <w:r>
              <w:rPr>
                <w:spacing w:val="-1"/>
              </w:rPr>
              <w:t> </w:t>
            </w:r>
            <w:r>
              <w:rPr/>
              <w:t>Guide</w:t>
              <w:tab/>
              <w:t>152</w:t>
            </w:r>
          </w:hyperlink>
        </w:p>
      </w:sdtContent>
    </w:sdt>
    <w:p>
      <w:pPr>
        <w:spacing w:after="0"/>
        <w:sectPr>
          <w:type w:val="continuous"/>
          <w:pgSz w:w="12240" w:h="15840"/>
          <w:pgMar w:top="979" w:bottom="1130" w:left="820" w:right="860"/>
        </w:sectPr>
      </w:pPr>
    </w:p>
    <w:p>
      <w:pPr>
        <w:spacing w:line="228" w:lineRule="auto" w:before="869"/>
        <w:ind w:left="706" w:right="40" w:firstLine="338"/>
        <w:jc w:val="right"/>
        <w:rPr>
          <w:sz w:val="14"/>
        </w:rPr>
      </w:pPr>
      <w:r>
        <w:rPr>
          <w:spacing w:val="-5"/>
          <w:sz w:val="14"/>
        </w:rPr>
        <w:t>IADC0</w:t>
      </w:r>
      <w:r>
        <w:rPr>
          <w:w w:val="99"/>
          <w:sz w:val="14"/>
        </w:rPr>
        <w:t> </w:t>
      </w:r>
      <w:r>
        <w:rPr>
          <w:spacing w:val="-5"/>
          <w:sz w:val="14"/>
        </w:rPr>
        <w:t>IADC1</w:t>
      </w:r>
      <w:r>
        <w:rPr>
          <w:w w:val="99"/>
          <w:sz w:val="14"/>
        </w:rPr>
        <w:t> </w:t>
      </w:r>
      <w:r>
        <w:rPr>
          <w:spacing w:val="-5"/>
          <w:sz w:val="14"/>
        </w:rPr>
        <w:t>IADC2</w:t>
      </w:r>
      <w:r>
        <w:rPr>
          <w:w w:val="99"/>
          <w:sz w:val="14"/>
        </w:rPr>
        <w:t> </w:t>
      </w:r>
      <w:r>
        <w:rPr>
          <w:spacing w:val="-5"/>
          <w:sz w:val="14"/>
        </w:rPr>
        <w:t>IADC3</w:t>
      </w:r>
      <w:r>
        <w:rPr>
          <w:w w:val="99"/>
          <w:sz w:val="14"/>
        </w:rPr>
        <w:t> </w:t>
      </w:r>
      <w:r>
        <w:rPr>
          <w:spacing w:val="-5"/>
          <w:sz w:val="14"/>
        </w:rPr>
        <w:t>IADC4</w:t>
      </w:r>
      <w:r>
        <w:rPr>
          <w:w w:val="99"/>
          <w:sz w:val="14"/>
        </w:rPr>
        <w:t> </w:t>
      </w:r>
      <w:r>
        <w:rPr>
          <w:spacing w:val="-5"/>
          <w:sz w:val="14"/>
        </w:rPr>
        <w:t>IADC5</w:t>
      </w:r>
      <w:r>
        <w:rPr>
          <w:w w:val="99"/>
          <w:sz w:val="14"/>
        </w:rPr>
        <w:t> </w:t>
      </w:r>
      <w:r>
        <w:rPr>
          <w:spacing w:val="-5"/>
          <w:sz w:val="14"/>
        </w:rPr>
        <w:t>IADC6</w:t>
      </w:r>
      <w:r>
        <w:rPr>
          <w:w w:val="99"/>
          <w:sz w:val="14"/>
        </w:rPr>
        <w:t> </w:t>
      </w:r>
      <w:r>
        <w:rPr>
          <w:spacing w:val="-5"/>
          <w:sz w:val="14"/>
        </w:rPr>
        <w:t>IADC7</w:t>
      </w:r>
      <w:r>
        <w:rPr>
          <w:w w:val="99"/>
          <w:sz w:val="14"/>
        </w:rPr>
        <w:t> </w:t>
      </w:r>
      <w:r>
        <w:rPr>
          <w:spacing w:val="-5"/>
          <w:sz w:val="14"/>
        </w:rPr>
        <w:t>VADC8</w:t>
      </w:r>
      <w:r>
        <w:rPr>
          <w:spacing w:val="-10"/>
          <w:sz w:val="14"/>
        </w:rPr>
        <w:t> </w:t>
      </w:r>
      <w:r>
        <w:rPr>
          <w:spacing w:val="-4"/>
          <w:sz w:val="14"/>
        </w:rPr>
        <w:t>(VA)</w:t>
      </w:r>
      <w:r>
        <w:rPr>
          <w:w w:val="99"/>
          <w:sz w:val="14"/>
        </w:rPr>
        <w:t> </w:t>
      </w:r>
      <w:r>
        <w:rPr>
          <w:spacing w:val="-5"/>
          <w:sz w:val="14"/>
        </w:rPr>
        <w:t>VADC9</w:t>
      </w:r>
      <w:r>
        <w:rPr>
          <w:spacing w:val="-10"/>
          <w:sz w:val="14"/>
        </w:rPr>
        <w:t> </w:t>
      </w:r>
      <w:r>
        <w:rPr>
          <w:spacing w:val="-4"/>
          <w:sz w:val="14"/>
        </w:rPr>
        <w:t>(VB)</w:t>
      </w:r>
    </w:p>
    <w:p>
      <w:pPr>
        <w:spacing w:line="154" w:lineRule="exact" w:before="0"/>
        <w:ind w:left="0" w:right="38" w:firstLine="0"/>
        <w:jc w:val="right"/>
        <w:rPr>
          <w:sz w:val="14"/>
        </w:rPr>
      </w:pPr>
      <w:r>
        <w:rPr>
          <w:spacing w:val="-5"/>
          <w:sz w:val="14"/>
        </w:rPr>
        <w:t>VADC10</w:t>
      </w:r>
      <w:r>
        <w:rPr>
          <w:spacing w:val="-11"/>
          <w:sz w:val="14"/>
        </w:rPr>
        <w:t> </w:t>
      </w:r>
      <w:r>
        <w:rPr>
          <w:spacing w:val="-4"/>
          <w:sz w:val="14"/>
        </w:rPr>
        <w:t>(VC)</w:t>
      </w:r>
    </w:p>
    <w:p>
      <w:pPr>
        <w:spacing w:before="552"/>
        <w:ind w:left="639" w:right="0" w:firstLine="0"/>
        <w:jc w:val="left"/>
        <w:rPr>
          <w:sz w:val="14"/>
        </w:rPr>
      </w:pPr>
      <w:r>
        <w:rPr/>
        <w:br w:type="column"/>
      </w:r>
      <w:r>
        <w:rPr>
          <w:sz w:val="14"/>
        </w:rPr>
        <w:t>VREF</w:t>
      </w:r>
    </w:p>
    <w:p>
      <w:pPr>
        <w:spacing w:before="552"/>
        <w:ind w:left="639" w:right="0" w:firstLine="0"/>
        <w:jc w:val="left"/>
        <w:rPr>
          <w:sz w:val="14"/>
        </w:rPr>
      </w:pPr>
      <w:r>
        <w:rPr/>
        <w:br w:type="column"/>
      </w:r>
      <w:r>
        <w:rPr>
          <w:spacing w:val="-5"/>
          <w:sz w:val="14"/>
        </w:rPr>
        <w:t>V3P3A</w:t>
      </w:r>
    </w:p>
    <w:p>
      <w:pPr>
        <w:spacing w:before="555"/>
        <w:ind w:left="133" w:right="0" w:firstLine="0"/>
        <w:jc w:val="left"/>
        <w:rPr>
          <w:sz w:val="14"/>
        </w:rPr>
      </w:pPr>
      <w:r>
        <w:rPr/>
        <w:br w:type="column"/>
      </w:r>
      <w:r>
        <w:rPr>
          <w:sz w:val="14"/>
        </w:rPr>
        <w:t>GNDA GNDD</w:t>
      </w:r>
    </w:p>
    <w:p>
      <w:pPr>
        <w:spacing w:before="555"/>
        <w:ind w:left="106" w:right="0" w:firstLine="0"/>
        <w:jc w:val="left"/>
        <w:rPr>
          <w:sz w:val="14"/>
        </w:rPr>
      </w:pPr>
      <w:r>
        <w:rPr/>
        <w:br w:type="column"/>
      </w:r>
      <w:r>
        <w:rPr>
          <w:w w:val="95"/>
          <w:sz w:val="14"/>
        </w:rPr>
        <w:t>VLCD</w:t>
      </w:r>
    </w:p>
    <w:p>
      <w:pPr>
        <w:spacing w:before="555"/>
        <w:ind w:left="75" w:right="0" w:firstLine="0"/>
        <w:jc w:val="left"/>
        <w:rPr>
          <w:sz w:val="14"/>
        </w:rPr>
      </w:pPr>
      <w:r>
        <w:rPr/>
        <w:br w:type="column"/>
      </w:r>
      <w:r>
        <w:rPr>
          <w:spacing w:val="-4"/>
          <w:sz w:val="14"/>
        </w:rPr>
        <w:t>V3P3SYS</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6"/>
        <w:rPr>
          <w:sz w:val="12"/>
        </w:rPr>
      </w:pPr>
    </w:p>
    <w:p>
      <w:pPr>
        <w:spacing w:before="0"/>
        <w:ind w:left="504" w:right="0" w:firstLine="0"/>
        <w:jc w:val="left"/>
        <w:rPr>
          <w:sz w:val="14"/>
        </w:rPr>
      </w:pPr>
      <w:r>
        <w:rPr>
          <w:sz w:val="14"/>
        </w:rPr>
        <w:t>V3P3D</w:t>
      </w:r>
    </w:p>
    <w:p>
      <w:pPr>
        <w:pStyle w:val="BodyText"/>
        <w:rPr>
          <w:sz w:val="16"/>
        </w:rPr>
      </w:pPr>
    </w:p>
    <w:p>
      <w:pPr>
        <w:pStyle w:val="BodyText"/>
        <w:rPr>
          <w:sz w:val="16"/>
        </w:rPr>
      </w:pPr>
    </w:p>
    <w:p>
      <w:pPr>
        <w:spacing w:before="136"/>
        <w:ind w:left="500" w:right="0" w:firstLine="0"/>
        <w:jc w:val="left"/>
        <w:rPr>
          <w:sz w:val="14"/>
        </w:rPr>
      </w:pPr>
      <w:r>
        <w:rPr>
          <w:sz w:val="14"/>
        </w:rPr>
        <w:t>VBAT</w:t>
      </w:r>
    </w:p>
    <w:p>
      <w:pPr>
        <w:spacing w:after="0"/>
        <w:jc w:val="left"/>
        <w:rPr>
          <w:sz w:val="14"/>
        </w:rPr>
        <w:sectPr>
          <w:pgSz w:w="12240" w:h="15840"/>
          <w:pgMar w:header="727" w:footer="819" w:top="960" w:bottom="1000" w:left="820" w:right="860"/>
          <w:cols w:num="7" w:equalWidth="0">
            <w:col w:w="1499" w:space="1679"/>
            <w:col w:w="1053" w:space="1161"/>
            <w:col w:w="1052" w:space="40"/>
            <w:col w:w="1000" w:space="40"/>
            <w:col w:w="479" w:space="39"/>
            <w:col w:w="674" w:space="40"/>
            <w:col w:w="1804"/>
          </w:cols>
        </w:sectPr>
      </w:pPr>
    </w:p>
    <w:p>
      <w:pPr>
        <w:pStyle w:val="BodyText"/>
      </w:pPr>
    </w:p>
    <w:p>
      <w:pPr>
        <w:pStyle w:val="BodyText"/>
      </w:pPr>
    </w:p>
    <w:p>
      <w:pPr>
        <w:pStyle w:val="BodyText"/>
      </w:pPr>
    </w:p>
    <w:p>
      <w:pPr>
        <w:spacing w:after="0"/>
        <w:sectPr>
          <w:type w:val="continuous"/>
          <w:pgSz w:w="12240" w:h="15840"/>
          <w:pgMar w:top="940" w:bottom="280" w:left="820" w:right="860"/>
        </w:sectPr>
      </w:pPr>
    </w:p>
    <w:p>
      <w:pPr>
        <w:pStyle w:val="BodyText"/>
        <w:spacing w:before="9"/>
        <w:rPr>
          <w:sz w:val="18"/>
        </w:rPr>
      </w:pPr>
    </w:p>
    <w:p>
      <w:pPr>
        <w:spacing w:line="328" w:lineRule="auto" w:before="1"/>
        <w:ind w:left="1088" w:right="38" w:firstLine="120"/>
        <w:jc w:val="right"/>
        <w:rPr>
          <w:sz w:val="14"/>
        </w:rPr>
      </w:pPr>
      <w:r>
        <w:rPr>
          <w:w w:val="95"/>
          <w:sz w:val="14"/>
        </w:rPr>
        <w:t>XIN XOUT</w:t>
      </w:r>
    </w:p>
    <w:p>
      <w:pPr>
        <w:pStyle w:val="BodyText"/>
        <w:rPr>
          <w:sz w:val="16"/>
        </w:rPr>
      </w:pPr>
      <w:r>
        <w:rPr/>
        <w:br w:type="column"/>
      </w:r>
      <w:r>
        <w:rPr>
          <w:sz w:val="16"/>
        </w:rPr>
      </w:r>
    </w:p>
    <w:p>
      <w:pPr>
        <w:pStyle w:val="BodyText"/>
        <w:rPr>
          <w:sz w:val="16"/>
        </w:rPr>
      </w:pPr>
    </w:p>
    <w:p>
      <w:pPr>
        <w:pStyle w:val="BodyText"/>
        <w:spacing w:before="5"/>
      </w:pPr>
    </w:p>
    <w:p>
      <w:pPr>
        <w:spacing w:before="0"/>
        <w:ind w:left="1067" w:right="992" w:firstLine="0"/>
        <w:jc w:val="center"/>
        <w:rPr>
          <w:sz w:val="14"/>
        </w:rPr>
      </w:pPr>
      <w:r>
        <w:rPr>
          <w:sz w:val="14"/>
        </w:rPr>
        <w:t>VDD</w:t>
      </w:r>
    </w:p>
    <w:p>
      <w:pPr>
        <w:spacing w:after="0"/>
        <w:jc w:val="center"/>
        <w:rPr>
          <w:sz w:val="14"/>
        </w:rPr>
        <w:sectPr>
          <w:type w:val="continuous"/>
          <w:pgSz w:w="12240" w:h="15840"/>
          <w:pgMar w:top="940" w:bottom="280" w:left="820" w:right="860"/>
          <w:cols w:num="2" w:equalWidth="0">
            <w:col w:w="1513" w:space="6651"/>
            <w:col w:w="2396"/>
          </w:cols>
        </w:sectPr>
      </w:pPr>
    </w:p>
    <w:p>
      <w:pPr>
        <w:pStyle w:val="BodyText"/>
      </w:pPr>
    </w:p>
    <w:p>
      <w:pPr>
        <w:pStyle w:val="BodyText"/>
      </w:pPr>
    </w:p>
    <w:p>
      <w:pPr>
        <w:pStyle w:val="BodyText"/>
      </w:pPr>
    </w:p>
    <w:p>
      <w:pPr>
        <w:pStyle w:val="BodyText"/>
      </w:pPr>
    </w:p>
    <w:p>
      <w:pPr>
        <w:pStyle w:val="BodyText"/>
      </w:pPr>
    </w:p>
    <w:p>
      <w:pPr>
        <w:pStyle w:val="BodyText"/>
        <w:spacing w:before="1"/>
        <w:rPr>
          <w:sz w:val="24"/>
        </w:rPr>
      </w:pPr>
    </w:p>
    <w:p>
      <w:pPr>
        <w:spacing w:before="95"/>
        <w:ind w:left="1047" w:right="0" w:firstLine="0"/>
        <w:jc w:val="left"/>
        <w:rPr>
          <w:sz w:val="14"/>
        </w:rPr>
      </w:pPr>
      <w:r>
        <w:rPr>
          <w:sz w:val="14"/>
        </w:rPr>
        <w:t>TEST</w:t>
      </w:r>
    </w:p>
    <w:p>
      <w:pPr>
        <w:spacing w:before="141"/>
        <w:ind w:left="0" w:right="788" w:firstLine="0"/>
        <w:jc w:val="right"/>
        <w:rPr>
          <w:sz w:val="14"/>
        </w:rPr>
      </w:pPr>
      <w:r>
        <w:rPr>
          <w:spacing w:val="-3"/>
          <w:sz w:val="14"/>
        </w:rPr>
        <w:t>COM0..5</w:t>
      </w:r>
    </w:p>
    <w:p>
      <w:pPr>
        <w:pStyle w:val="BodyText"/>
        <w:spacing w:before="11"/>
        <w:rPr>
          <w:sz w:val="13"/>
        </w:rPr>
      </w:pPr>
    </w:p>
    <w:p>
      <w:pPr>
        <w:spacing w:before="0"/>
        <w:ind w:left="0" w:right="819" w:firstLine="0"/>
        <w:jc w:val="right"/>
        <w:rPr>
          <w:sz w:val="12"/>
        </w:rPr>
      </w:pPr>
      <w:r>
        <w:rPr>
          <w:sz w:val="12"/>
        </w:rPr>
        <w:t>SEG</w:t>
      </w:r>
      <w:r>
        <w:rPr>
          <w:spacing w:val="-1"/>
          <w:sz w:val="12"/>
        </w:rPr>
        <w:t> </w:t>
      </w:r>
      <w:r>
        <w:rPr>
          <w:sz w:val="12"/>
        </w:rPr>
        <w:t>Pins</w:t>
      </w:r>
    </w:p>
    <w:p>
      <w:pPr>
        <w:pStyle w:val="BodyText"/>
        <w:spacing w:before="1"/>
        <w:rPr>
          <w:sz w:val="16"/>
        </w:rPr>
      </w:pPr>
    </w:p>
    <w:p>
      <w:pPr>
        <w:spacing w:before="97"/>
        <w:ind w:left="0" w:right="611" w:firstLine="0"/>
        <w:jc w:val="right"/>
        <w:rPr>
          <w:sz w:val="12"/>
        </w:rPr>
      </w:pPr>
      <w:r>
        <w:rPr>
          <w:sz w:val="12"/>
        </w:rPr>
        <w:t>SEGDIO</w:t>
      </w:r>
      <w:r>
        <w:rPr>
          <w:spacing w:val="-2"/>
          <w:sz w:val="12"/>
        </w:rPr>
        <w:t> </w:t>
      </w:r>
      <w:r>
        <w:rPr>
          <w:sz w:val="12"/>
        </w:rPr>
        <w:t>Pins</w:t>
      </w:r>
    </w:p>
    <w:p>
      <w:pPr>
        <w:pStyle w:val="BodyText"/>
      </w:pPr>
    </w:p>
    <w:p>
      <w:pPr>
        <w:pStyle w:val="BodyText"/>
      </w:pPr>
    </w:p>
    <w:p>
      <w:pPr>
        <w:pStyle w:val="BodyText"/>
        <w:spacing w:before="4"/>
        <w:rPr>
          <w:sz w:val="21"/>
        </w:rPr>
      </w:pPr>
    </w:p>
    <w:p>
      <w:pPr>
        <w:spacing w:line="326" w:lineRule="auto" w:before="95"/>
        <w:ind w:left="9281" w:right="559" w:hanging="44"/>
        <w:jc w:val="left"/>
        <w:rPr>
          <w:sz w:val="14"/>
        </w:rPr>
      </w:pPr>
      <w:r>
        <w:rPr>
          <w:sz w:val="14"/>
        </w:rPr>
        <w:t>PB </w:t>
      </w:r>
      <w:r>
        <w:rPr>
          <w:spacing w:val="-4"/>
          <w:sz w:val="14"/>
        </w:rPr>
        <w:t>VBAT_RTC</w:t>
      </w:r>
    </w:p>
    <w:p>
      <w:pPr>
        <w:pStyle w:val="BodyText"/>
        <w:spacing w:before="9"/>
        <w:rPr>
          <w:sz w:val="23"/>
        </w:rPr>
      </w:pPr>
    </w:p>
    <w:p>
      <w:pPr>
        <w:spacing w:line="400" w:lineRule="auto" w:before="95"/>
        <w:ind w:left="1265" w:right="9090" w:hanging="15"/>
        <w:jc w:val="left"/>
        <w:rPr>
          <w:sz w:val="14"/>
        </w:rPr>
      </w:pPr>
      <w:r>
        <w:rPr>
          <w:sz w:val="14"/>
        </w:rPr>
        <w:t>RX </w:t>
      </w:r>
      <w:r>
        <w:rPr>
          <w:spacing w:val="3"/>
          <w:sz w:val="14"/>
        </w:rPr>
        <w:t>TX</w:t>
      </w:r>
    </w:p>
    <w:p>
      <w:pPr>
        <w:pStyle w:val="BodyText"/>
        <w:spacing w:before="9"/>
        <w:rPr>
          <w:sz w:val="12"/>
        </w:rPr>
      </w:pPr>
    </w:p>
    <w:p>
      <w:pPr>
        <w:spacing w:line="232" w:lineRule="auto" w:before="0"/>
        <w:ind w:left="857" w:right="9124" w:hanging="8"/>
        <w:jc w:val="center"/>
        <w:rPr>
          <w:sz w:val="12"/>
        </w:rPr>
      </w:pPr>
      <w:r>
        <w:rPr>
          <w:spacing w:val="-5"/>
          <w:sz w:val="12"/>
        </w:rPr>
        <w:t>OPT_RX/ </w:t>
      </w:r>
      <w:r>
        <w:rPr>
          <w:spacing w:val="-4"/>
          <w:sz w:val="12"/>
        </w:rPr>
        <w:t>SEGDIO55</w:t>
      </w:r>
    </w:p>
    <w:p>
      <w:pPr>
        <w:pStyle w:val="BodyText"/>
        <w:spacing w:before="1"/>
        <w:rPr>
          <w:sz w:val="12"/>
        </w:rPr>
      </w:pPr>
    </w:p>
    <w:p>
      <w:pPr>
        <w:spacing w:before="0"/>
        <w:ind w:left="819" w:right="9136" w:hanging="3"/>
        <w:jc w:val="center"/>
        <w:rPr>
          <w:sz w:val="12"/>
        </w:rPr>
      </w:pPr>
      <w:r>
        <w:rPr>
          <w:spacing w:val="-4"/>
          <w:sz w:val="12"/>
        </w:rPr>
        <w:t>OPT_TX/ SEGDIO51/ </w:t>
      </w:r>
      <w:r>
        <w:rPr>
          <w:spacing w:val="-5"/>
          <w:sz w:val="12"/>
        </w:rPr>
        <w:t>WPULSE/ </w:t>
      </w:r>
      <w:r>
        <w:rPr>
          <w:sz w:val="12"/>
        </w:rPr>
        <w:t>VPULSE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3"/>
        </w:rPr>
      </w:pPr>
    </w:p>
    <w:p>
      <w:pPr>
        <w:pStyle w:val="BodyText"/>
        <w:spacing w:before="93"/>
        <w:ind w:left="1314" w:right="1278"/>
        <w:jc w:val="center"/>
      </w:pPr>
      <w:r>
        <w:rPr/>
        <w:pict>
          <v:group style="position:absolute;margin-left:114.290001pt;margin-top:-556.512146pt;width:385.45pt;height:550.450pt;mso-position-horizontal-relative:page;mso-position-vertical-relative:paragraph;z-index:15732224" coordorigin="2286,-11130" coordsize="7709,11009">
            <v:shape style="position:absolute;left:2974;top:-7462;width:6103;height:6575" coordorigin="2974,-7461" coordsize="6103,6575" path="m8542,-886l9077,-886,9077,-1345,8542,-1345,8542,-886xm2974,-6926l3661,-6926,3661,-7461,2974,-7461,2974,-6926xe" filled="false" stroked="true" strokeweight=".12pt" strokecolor="#000000">
              <v:path arrowok="t"/>
              <v:stroke dashstyle="solid"/>
            </v:shape>
            <v:shape style="position:absolute;left:2349;top:-2263;width:2379;height:1617" coordorigin="2349,-2262" coordsize="2379,1617" path="m2386,-2262l2349,-2262,2349,-679,2386,-679,2386,-2262xm4728,-679l2386,-679,2349,-679,2349,-645,2386,-645,4728,-645,4728,-679xe" filled="true" fillcolor="#131313" stroked="false">
              <v:path arrowok="t"/>
              <v:fill type="solid"/>
            </v:shape>
            <v:shape style="position:absolute;left:4348;top:-6965;width:914;height:5313" coordorigin="4348,-6964" coordsize="914,5313" path="m4348,-1651l5262,-1651,5262,-3677,4348,-3677,4348,-1651xm4500,-4861l5262,-4861,5262,-6964,4500,-6964,4500,-4861xe" filled="false" stroked="true" strokeweight=".12pt" strokecolor="#000000">
              <v:path arrowok="t"/>
              <v:stroke dashstyle="solid"/>
            </v:shape>
            <v:line style="position:absolute" from="4805,-4861" to="4806,-3677" stroked="true" strokeweight=".12pt" strokecolor="#000000">
              <v:stroke dashstyle="solid"/>
            </v:line>
            <v:shape style="position:absolute;left:4759;top:-3768;width:93;height:90" coordorigin="4759,-3767" coordsize="93,90" path="m4852,-3767l4847,-3765,4843,-3763,4836,-3761,4831,-3761,4827,-3759,4820,-3757,4792,-3757,4786,-3759,4779,-3761,4775,-3761,4763,-3765,4759,-3767,4806,-3677,4852,-3767xe" filled="true" fillcolor="#000000" stroked="false">
              <v:path arrowok="t"/>
              <v:fill type="solid"/>
            </v:shape>
            <v:shape style="position:absolute;left:4273;top:-5452;width:228;height:153" coordorigin="4273,-5451" coordsize="228,153" path="m4501,-5374l4344,-5451,4348,-5443,4352,-5433,4353,-5425,4356,-5416,4357,-5407,4360,-5399,4361,-5392,4273,-5392,4273,-5357,4361,-5357,4360,-5352,4357,-5341,4356,-5334,4353,-5323,4352,-5315,4348,-5306,4344,-5298,4501,-5374xe" filled="true" fillcolor="#9c9c9c" stroked="false">
              <v:path arrowok="t"/>
              <v:fill type="solid"/>
            </v:shape>
            <v:rect style="position:absolute;left:2978;top:-1422;width:989;height:535" filled="false" stroked="true" strokeweight=".12pt" strokecolor="#000000">
              <v:stroke dashstyle="solid"/>
            </v:rect>
            <v:line style="position:absolute" from="3661,-1913" to="3662,-1421" stroked="true" strokeweight=".12pt" strokecolor="#000000">
              <v:stroke dashstyle="solid"/>
            </v:line>
            <v:shape style="position:absolute;left:3614;top:-1514;width:94;height:92" coordorigin="3614,-1513" coordsize="94,92" path="m3708,-1513l3704,-1510,3697,-1509,3691,-1506,3686,-1504,3681,-1504,3674,-1502,3646,-1502,3642,-1504,3637,-1504,3630,-1506,3625,-1509,3621,-1510,3614,-1513,3661,-1421,3708,-1513xe" filled="true" fillcolor="#000000" stroked="false">
              <v:path arrowok="t"/>
              <v:fill type="solid"/>
            </v:shape>
            <v:rect style="position:absolute;left:2748;top:-2875;width:687;height:1107" filled="false" stroked="true" strokeweight=".12pt" strokecolor="#000000">
              <v:stroke dashstyle="solid"/>
            </v:rect>
            <v:line style="position:absolute" from="5110,-4861" to="5111,-3677" stroked="true" strokeweight=".12pt" strokecolor="#000000">
              <v:stroke dashstyle="solid"/>
            </v:line>
            <v:shape style="position:absolute;left:5064;top:-3768;width:93;height:90" coordorigin="5064,-3767" coordsize="93,90" path="m5157,-3767l5152,-3765,5148,-3763,5141,-3761,5136,-3761,5132,-3759,5125,-3757,5097,-3757,5085,-3761,5081,-3761,5074,-3763,5064,-3767,5112,-3677,5157,-3767xe" filled="true" fillcolor="#000000" stroked="false">
              <v:path arrowok="t"/>
              <v:fill type="solid"/>
            </v:shape>
            <v:shape style="position:absolute;left:5263;top:-6438;width:2229;height:582" coordorigin="5263,-6437" coordsize="2229,582" path="m7492,-6437l7456,-6437,7456,-6128,7455,-6128,7455,-6093,7456,-6093,7456,-5948,5422,-5948,5422,-6009,5263,-5932,5422,-5855,5422,-5913,7475,-5913,7475,-5932,7492,-5932,7492,-6093,7492,-6128,7492,-6437xe" filled="true" fillcolor="#9c9c9c" stroked="false">
              <v:path arrowok="t"/>
              <v:fill type="solid"/>
            </v:shape>
            <v:shape style="position:absolute;left:7396;top:-6544;width:158;height:153" type="#_x0000_t75" stroked="false">
              <v:imagedata r:id="rId18" o:title=""/>
            </v:shape>
            <v:shape style="position:absolute;left:5339;top:-5186;width:1297;height:2939" coordorigin="5339,-5185" coordsize="1297,2939" path="m6636,-2281l6425,-2281,6426,-5167,6421,-5167,6421,-5185,5339,-5185,5339,-5150,6390,-5150,6387,-2262,6408,-2262,6408,-2246,6636,-2246,6636,-2281xe" filled="true" fillcolor="#9c9c9c" stroked="false">
              <v:path arrowok="t"/>
              <v:fill type="solid"/>
            </v:shape>
            <v:shape style="position:absolute;left:5257;top:-5245;width:158;height:153" type="#_x0000_t75" stroked="false">
              <v:imagedata r:id="rId19" o:title=""/>
            </v:shape>
            <v:shape style="position:absolute;left:5378;top:-5744;width:1429;height:3327" coordorigin="5378,-5743" coordsize="1429,3327" path="m6662,-2510l5378,-2510,5378,-2475,6662,-2475,6662,-2510xm6807,-5743l6770,-5743,6770,-2416,6807,-2416,6807,-5743xe" filled="true" fillcolor="#9c9c9c" stroked="false">
              <v:path arrowok="t"/>
              <v:fill type="solid"/>
            </v:shape>
            <v:shape style="position:absolute;left:5263;top:-2570;width:159;height:153" type="#_x0000_t75" stroked="false">
              <v:imagedata r:id="rId20" o:title=""/>
            </v:shape>
            <v:shape style="position:absolute;left:6629;top:-2570;width:159;height:153" type="#_x0000_t75" stroked="false">
              <v:imagedata r:id="rId21" o:title=""/>
            </v:shape>
            <v:rect style="position:absolute;left:6909;top:-2513;width:827;height:35" filled="true" fillcolor="#9c9c9c" stroked="false">
              <v:fill type="solid"/>
            </v:rect>
            <v:shape style="position:absolute;left:7697;top:-2571;width:158;height:153" type="#_x0000_t75" stroked="false">
              <v:imagedata r:id="rId22" o:title=""/>
            </v:shape>
            <v:shape style="position:absolute;left:6788;top:-2571;width:159;height:153" type="#_x0000_t75" stroked="false">
              <v:imagedata r:id="rId23" o:title=""/>
            </v:shape>
            <v:rect style="position:absolute;left:7838;top:-5561;width:36;height:3144" filled="true" fillcolor="#9c9c9c" stroked="false">
              <v:fill type="solid"/>
            </v:rect>
            <v:shape style="position:absolute;left:8085;top:-3946;width:1846;height:3300" coordorigin="8085,-3945" coordsize="1846,3300" path="m9931,-679l9895,-679,8085,-679,8085,-645,9895,-645,9931,-645,9931,-679xm9931,-3945l9895,-3945,9895,-679,9931,-679,9931,-3945xe" filled="true" fillcolor="#131313" stroked="false">
              <v:path arrowok="t"/>
              <v:fill type="solid"/>
            </v:shape>
            <v:rect style="position:absolute;left:8314;top:-3028;width:839;height:458" filled="false" stroked="true" strokeweight=".12pt" strokecolor="#000000">
              <v:stroke dashstyle="solid"/>
            </v:rect>
            <v:shape style="position:absolute;left:7855;top:-3946;width:462;height:154" type="#_x0000_t75" stroked="false">
              <v:imagedata r:id="rId24" o:title=""/>
            </v:shape>
            <v:shape style="position:absolute;left:7850;top:-4634;width:471;height:154" type="#_x0000_t75" stroked="false">
              <v:imagedata r:id="rId25" o:title=""/>
            </v:shape>
            <v:rect style="position:absolute;left:8314;top:-6544;width:763;height:1299" filled="false" stroked="true" strokeweight=".12pt" strokecolor="#000000">
              <v:stroke dashstyle="solid"/>
            </v:rect>
            <v:shape style="position:absolute;left:7855;top:-5520;width:458;height:153" type="#_x0000_t75" stroked="false">
              <v:imagedata r:id="rId26" o:title=""/>
            </v:shape>
            <v:shape style="position:absolute;left:6909;top:-6438;width:813;height:830" coordorigin="6909,-6437" coordsize="813,830" path="m7722,-6437l7686,-6437,7686,-5642,6909,-5642,6909,-5607,7703,-5607,7703,-5626,7722,-5626,7722,-6437xe" filled="true" fillcolor="#9c9c9c" stroked="false">
              <v:path arrowok="t"/>
              <v:fill type="solid"/>
            </v:shape>
            <v:shape style="position:absolute;left:6788;top:-5703;width:159;height:153" type="#_x0000_t75" stroked="false">
              <v:imagedata r:id="rId27" o:title=""/>
            </v:shape>
            <v:shape style="position:absolute;left:7624;top:-6544;width:159;height:153" type="#_x0000_t75" stroked="false">
              <v:imagedata r:id="rId28" o:title=""/>
            </v:shape>
            <v:line style="position:absolute" from="5836,-5202" to="5758,-5128" stroked="true" strokeweight=".12pt" strokecolor="#000000">
              <v:stroke dashstyle="solid"/>
            </v:line>
            <v:line style="position:absolute" from="7284,-5661" to="7207,-5588" stroked="true" strokeweight=".12pt" strokecolor="#000000">
              <v:stroke dashstyle="solid"/>
            </v:line>
            <v:shape style="position:absolute;left:4501;top:-6581;width:39;height:73" coordorigin="4501,-6580" coordsize="39,73" path="m4501,-6580l4540,-6542,4501,-6507e" filled="false" stroked="true" strokeweight=".12pt" strokecolor="#000000">
              <v:path arrowok="t"/>
              <v:stroke dashstyle="solid"/>
            </v:shape>
            <v:shape style="position:absolute;left:3202;top:-3983;width:1298;height:305" coordorigin="3202,-3982" coordsize="1298,305" path="m3202,-3982l4500,-3982,4500,-3677e" filled="false" stroked="true" strokeweight=".12pt" strokecolor="#000000">
              <v:path arrowok="t"/>
              <v:stroke dashstyle="solid"/>
            </v:shape>
            <v:shape style="position:absolute;left:4462;top:-3678;width:77;height:36" coordorigin="4462,-3677" coordsize="77,36" path="m4462,-3677l4500,-3641,4539,-3677e" filled="false" stroked="true" strokeweight=".12pt" strokecolor="#000000">
              <v:path arrowok="t"/>
              <v:stroke dashstyle="solid"/>
            </v:shape>
            <v:line style="position:absolute" from="6178,-5970" to="6101,-5894" stroked="true" strokeweight=".12pt" strokecolor="#000000">
              <v:stroke dashstyle="solid"/>
            </v:line>
            <v:line style="position:absolute" from="7209,-2531" to="7132,-2459" stroked="true" strokeweight=".12pt" strokecolor="#000000">
              <v:stroke dashstyle="solid"/>
            </v:line>
            <v:line style="position:absolute" from="5836,-2530" to="5758,-2456" stroked="true" strokeweight=".12pt" strokecolor="#000000">
              <v:stroke dashstyle="solid"/>
            </v:line>
            <v:line style="position:absolute" from="5760,-1995" to="5683,-1920" stroked="true" strokeweight=".12pt" strokecolor="#000000">
              <v:stroke dashstyle="solid"/>
            </v:line>
            <v:line style="position:absolute" from="3584,-6926" to="3585,-6543" stroked="true" strokeweight=".12pt" strokecolor="#000000">
              <v:stroke dashstyle="solid"/>
            </v:line>
            <v:shape style="position:absolute;left:7703;top:-9925;width:323;height:2814" coordorigin="7703,-9924" coordsize="323,2814" path="m8026,-9907l8009,-9907,8009,-9924,7703,-9924,7703,-9889,7990,-9889,7990,-7110,8026,-7110,8026,-9907xe" filled="true" fillcolor="#9c9c9c" stroked="false">
              <v:path arrowok="t"/>
              <v:fill type="solid"/>
            </v:shape>
            <v:shape style="position:absolute;left:7927;top:-7156;width:158;height:153" type="#_x0000_t75" stroked="false">
              <v:imagedata r:id="rId29" o:title=""/>
            </v:shape>
            <v:shape style="position:absolute;left:9297;top:-8227;width:445;height:317" coordorigin="9297,-8226" coordsize="445,317" path="m9742,-7929l9317,-7929,9317,-8226,9297,-8226,9297,-7919,9313,-7919,9313,-7909,9742,-7909,9742,-7929xe" filled="true" fillcolor="#000000" stroked="false">
              <v:path arrowok="t"/>
              <v:fill type="solid"/>
            </v:shape>
            <v:shape style="position:absolute;left:9895;top:-9411;width:36;height:3401" coordorigin="9895,-9410" coordsize="36,3401" path="m9931,-7843l9895,-7843,9895,-6009,9931,-6009,9931,-7843xm9931,-9410l9895,-9410,9895,-7996,9931,-7996,9931,-9410xe" filled="true" fillcolor="#131313" stroked="false">
              <v:path arrowok="t"/>
              <v:fill type="solid"/>
            </v:shape>
            <v:shape style="position:absolute;left:9712;top:-7981;width:125;height:121" type="#_x0000_t75" stroked="false">
              <v:imagedata r:id="rId30" o:title=""/>
            </v:shape>
            <v:shape style="position:absolute;left:9114;top:-7937;width:213;height:243" type="#_x0000_t75" stroked="false">
              <v:imagedata r:id="rId31" o:title=""/>
            </v:shape>
            <v:shape style="position:absolute;left:4272;top:-5746;width:3431;height:3653" coordorigin="4273,-5745" coordsize="3431,3653" path="m4501,-5687l4413,-5687,4414,-5693,4418,-5710,4421,-5720,4425,-5728,4427,-5739,4431,-5745,4273,-5669,4431,-5592,4427,-5600,4425,-5611,4421,-5618,4418,-5628,4416,-5636,4413,-5651,4501,-5651,4501,-5687xm7703,-2127l7288,-2127,7288,-2092,7703,-2092,7703,-2127xe" filled="true" fillcolor="#9c9c9c" stroked="false">
              <v:path arrowok="t"/>
              <v:fill type="solid"/>
            </v:shape>
            <v:shape style="position:absolute;left:7624;top:-2187;width:159;height:153" type="#_x0000_t75" stroked="false">
              <v:imagedata r:id="rId32" o:title=""/>
            </v:shape>
            <v:shape style="position:absolute;left:7170;top:-2187;width:158;height:153" type="#_x0000_t75" stroked="false">
              <v:imagedata r:id="rId33" o:title=""/>
            </v:shape>
            <v:shape style="position:absolute;left:4882;top:-680;width:3051;height:34" coordorigin="4882,-679" coordsize="3051,34" path="m6713,-679l4882,-679,4882,-645,6713,-645,6713,-679xm7933,-679l6865,-679,6865,-645,7933,-645,7933,-679xe" filled="true" fillcolor="#131313" stroked="false">
              <v:path arrowok="t"/>
              <v:fill type="solid"/>
            </v:shape>
            <v:shape style="position:absolute;left:6709;top:-1194;width:158;height:458" type="#_x0000_t75" stroked="false">
              <v:imagedata r:id="rId34" o:title=""/>
            </v:shape>
            <v:line style="position:absolute" from="6827,-1001" to="6750,-925" stroked="true" strokeweight=".12pt" strokecolor="#000000">
              <v:stroke dashstyle="solid"/>
            </v:line>
            <v:shape style="position:absolute;left:4689;top:-1400;width:155;height:224" type="#_x0000_t75" stroked="false">
              <v:imagedata r:id="rId35" o:title=""/>
            </v:shape>
            <v:line style="position:absolute" from="3506,-2502" to="4278,-2501" stroked="true" strokeweight=".12pt" strokecolor="#000000">
              <v:stroke dashstyle="solid"/>
            </v:line>
            <v:shape style="position:absolute;left:3357;top:-3379;width:992;height:922" coordorigin="3357,-3378" coordsize="992,922" path="m3451,-3378l3357,-3333,3451,-3288,3449,-3292,3444,-3304,3443,-3308,3443,-3313,3440,-3318,3440,-3347,3443,-3352,3443,-3356,3444,-3361,3447,-3368,3449,-3372,3451,-3378xm3528,-2547l3435,-2502,3528,-2457,3524,-2469,3522,-2473,3520,-2479,3518,-2484,3518,-2495,3516,-2500,3516,-2506,3518,-2512,3518,-2522,3520,-2527,3522,-2534,3524,-2538,3526,-2543,3528,-2547xm4349,-2502l4256,-2547,4258,-2543,4261,-2538,4262,-2534,4265,-2527,4265,-2522,4266,-2516,4266,-2488,4265,-2484,4265,-2479,4262,-2473,4261,-2469,4258,-2463,4256,-2457,4349,-2502xm4349,-3333l4256,-3378,4258,-3372,4261,-3368,4262,-3361,4265,-3356,4265,-3352,4266,-3347,4266,-3318,4265,-3313,4265,-3308,4262,-3304,4261,-3297,4258,-3292,4256,-3288,4349,-3333xe" filled="true" fillcolor="#000000" stroked="false">
              <v:path arrowok="t"/>
              <v:fill type="solid"/>
            </v:shape>
            <v:line style="position:absolute" from="4767,-1400" to="4768,-1613" stroked="true" strokeweight=".12pt" strokecolor="#000000">
              <v:stroke dashstyle="solid"/>
            </v:line>
            <v:shape style="position:absolute;left:3967;top:-1231;width:761;height:267" coordorigin="3967,-1230" coordsize="761,267" path="m3967,-963l4728,-963,4728,-1230e" filled="false" stroked="true" strokeweight=".12pt" strokecolor="#000000">
              <v:path arrowok="t"/>
              <v:stroke dashstyle="solid"/>
            </v:shape>
            <v:shape style="position:absolute;left:4750;top:-1652;width:36;height:35" coordorigin="4750,-1651" coordsize="36,35" path="m4750,-1633l4751,-1646,4762,-1651,4774,-1651,4783,-1646,4786,-1633,4783,-1621,4774,-1616,4762,-1616,4751,-1621,4750,-1633xe" filled="false" stroked="true" strokeweight=".12pt" strokecolor="#000000">
              <v:path arrowok="t"/>
              <v:stroke dashstyle="solid"/>
            </v:shape>
            <v:shape style="position:absolute;left:3889;top:-1843;width:458;height:421" coordorigin="3889,-1842" coordsize="458,421" path="m3889,-1421l3889,-1842,4347,-1842e" filled="false" stroked="true" strokeweight=".12pt" strokecolor="#000000">
              <v:path arrowok="t"/>
              <v:stroke dashstyle="solid"/>
            </v:shape>
            <v:shape style="position:absolute;left:3845;top:-1887;width:503;height:465" coordorigin="3845,-1886" coordsize="503,465" path="m3939,-1513l3932,-1510,3928,-1509,3923,-1506,3916,-1504,3912,-1504,3906,-1502,3877,-1502,3872,-1504,3865,-1504,3861,-1506,3856,-1509,3849,-1510,3845,-1513,3892,-1421,3939,-1513xm4348,-1840l4254,-1886,4255,-1879,4258,-1875,4261,-1870,4262,-1865,4262,-1861,4265,-1854,4265,-1827,4262,-1820,4262,-1815,4261,-1811,4255,-1799,4254,-1795,4348,-1840xe" filled="true" fillcolor="#000000" stroked="false">
              <v:path arrowok="t"/>
              <v:fill type="solid"/>
            </v:shape>
            <v:shape style="position:absolute;left:3965;top:-1652;width:535;height:382" coordorigin="3965,-1651" coordsize="535,382" path="m3965,-1269l4500,-1269,4500,-1651e" filled="false" stroked="true" strokeweight=".12pt" strokecolor="#000000">
              <v:path arrowok="t"/>
              <v:stroke dashstyle="solid"/>
            </v:shape>
            <v:shape style="position:absolute;left:4455;top:-1652;width:93;height:90" coordorigin="4455,-1651" coordsize="93,90" path="m4501,-1651l4455,-1561,4459,-1565,4465,-1566,4472,-1569,4476,-1569,4481,-1570,4488,-1570,4493,-1573,4511,-1573,4516,-1570,4523,-1570,4527,-1569,4532,-1569,4539,-1566,4543,-1565,4548,-1561,4501,-1651xe" filled="true" fillcolor="#000000" stroked="false">
              <v:path arrowok="t"/>
              <v:fill type="solid"/>
            </v:shape>
            <v:shape style="position:absolute;left:2349;top:-11073;width:2379;height:94" coordorigin="2349,-11072" coordsize="2379,94" path="m4728,-11072l2385,-11072,2385,-11061,2349,-11061,2349,-11026,2349,-10978,2386,-10978,2386,-11026,2385,-11026,2385,-11035,4728,-11035,4728,-11072xe" filled="true" fillcolor="#131313" stroked="false">
              <v:path arrowok="t"/>
              <v:fill type="solid"/>
            </v:shape>
            <v:rect style="position:absolute;left:2897;top:-10979;width:611;height:1683" filled="false" stroked="true" strokeweight=".12pt" strokecolor="#000000">
              <v:stroke dashstyle="solid"/>
            </v:rect>
            <v:line style="position:absolute" from="2440,-10901" to="2827,-10900" stroked="true" strokeweight=".12pt" strokecolor="#000000">
              <v:stroke dashstyle="solid"/>
            </v:line>
            <v:shape style="position:absolute;left:2805;top:-10949;width:92;height:94" coordorigin="2805,-10948" coordsize="92,94" path="m2805,-10948l2809,-10936,2813,-10925,2815,-10901,2813,-10877,2809,-10865,2805,-10854,2897,-10901,2805,-10948xe" filled="true" fillcolor="#000000" stroked="false">
              <v:path arrowok="t"/>
              <v:fill type="solid"/>
            </v:shape>
            <v:line style="position:absolute" from="3510,-9946" to="5573,-9945" stroked="true" strokeweight=".12pt" strokecolor="#000000">
              <v:stroke dashstyle="solid"/>
            </v:line>
            <v:shape style="position:absolute;left:5551;top:-9986;width:93;height:90" coordorigin="5551,-9985" coordsize="93,90" path="m5551,-9985l5552,-9979,5557,-9975,5557,-9970,5559,-9963,5561,-9959,5561,-9954,5563,-9948,5563,-9932,5561,-9927,5561,-9920,5559,-9915,5557,-9911,5557,-9905,5552,-9899,5551,-9895,5644,-9940,5551,-9985xe" filled="true" fillcolor="#000000" stroked="false">
              <v:path arrowok="t"/>
              <v:fill type="solid"/>
            </v:shape>
            <v:line style="position:absolute" from="4805,-9869" to="4806,-10902" stroked="true" strokeweight=".12pt" strokecolor="#000000">
              <v:stroke dashstyle="solid"/>
            </v:line>
            <v:rect style="position:absolute;left:4882;top:-11073;width:1983;height:37" filled="true" fillcolor="#131313" stroked="false">
              <v:fill type="solid"/>
            </v:rect>
            <v:shape style="position:absolute;left:4759;top:-10972;width:94;height:90" coordorigin="4759,-10971" coordsize="94,90" path="m4806,-10971l4759,-10881,4763,-10882,4770,-10885,4775,-10886,4779,-10889,4786,-10889,4793,-10890,4821,-10890,4827,-10889,4831,-10889,4837,-10886,4843,-10885,4847,-10882,4853,-10881,4806,-10971xe" filled="true" fillcolor="#000000" stroked="false">
              <v:path arrowok="t"/>
              <v:fill type="solid"/>
            </v:shape>
            <v:rect style="position:absolute;left:3966;top:-10596;width:610;height:421" filled="false" stroked="true" strokeweight=".12pt" strokecolor="#000000">
              <v:stroke dashstyle="solid"/>
            </v:rect>
            <v:line style="position:absolute" from="4576,-9602" to="5573,-9601" stroked="true" strokeweight=".12pt" strokecolor="#000000">
              <v:stroke dashstyle="solid"/>
            </v:line>
            <v:line style="position:absolute" from="3510,-8302" to="4505,-8301" stroked="true" strokeweight=".12pt" strokecolor="#000000">
              <v:stroke dashstyle="solid"/>
            </v:line>
            <v:shape style="position:absolute;left:3946;top:-8348;width:630;height:90" coordorigin="3946,-8347" coordsize="630,90" path="m3985,-8300l3981,-8310,3973,-8318,3961,-8318,3950,-8310,3946,-8300,3950,-8289,3961,-8282,3973,-8282,3981,-8289,3985,-8300xm4576,-8302l4484,-8347,4485,-8341,4489,-8337,4489,-8331,4492,-8325,4493,-8321,4493,-8316,4496,-8309,4496,-8294,4493,-8288,4493,-8282,4492,-8277,4489,-8273,4489,-8266,4485,-8261,4484,-8257,4576,-8302xe" filled="true" fillcolor="#000000" stroked="false">
              <v:path arrowok="t"/>
              <v:fill type="solid"/>
            </v:shape>
            <v:shape style="position:absolute;left:3946;top:-8319;width:39;height:36" coordorigin="3946,-8318" coordsize="39,36" path="m3946,-8300l3950,-8310,3961,-8318,3973,-8318,3981,-8310,3985,-8300,3981,-8289,3973,-8282,3961,-8282,3950,-8289,3946,-8300xe" filled="false" stroked="true" strokeweight=".12pt" strokecolor="#000000">
              <v:path arrowok="t"/>
              <v:stroke dashstyle="solid"/>
            </v:shape>
            <v:shape style="position:absolute;left:6484;top:-9526;width:991;height:1796" coordorigin="6484,-9525" coordsize="991,1796" path="m6484,-7729l7475,-7729,7475,-9525e" filled="false" stroked="true" strokeweight=".12pt" strokecolor="#000000">
              <v:path arrowok="t"/>
              <v:stroke dashstyle="solid"/>
            </v:shape>
            <v:shape style="position:absolute;left:7427;top:-9526;width:94;height:91" coordorigin="7427,-9525" coordsize="94,91" path="m7474,-9525l7427,-9434,7433,-9436,7437,-9438,7449,-9442,7455,-9442,7459,-9444,7487,-9444,7494,-9442,7500,-9442,7510,-9438,7517,-9436,7521,-9434,7474,-9525xe" filled="true" fillcolor="#000000" stroked="false">
              <v:path arrowok="t"/>
              <v:fill type="solid"/>
            </v:shape>
            <v:line style="position:absolute" from="6178,-7919" to="6179,-9448" stroked="true" strokeweight=".12pt" strokecolor="#000000">
              <v:stroke dashstyle="solid"/>
            </v:line>
            <v:shape style="position:absolute;left:6131;top:-9449;width:94;height:90" coordorigin="6131,-9448" coordsize="94,90" path="m6178,-9448l6131,-9358,6141,-9362,6148,-9364,6152,-9367,6157,-9367,6164,-9368,6192,-9368,6198,-9367,6202,-9367,6209,-9364,6219,-9360,6225,-9358,6178,-9448xe" filled="true" fillcolor="#000000" stroked="false">
              <v:path arrowok="t"/>
              <v:fill type="solid"/>
            </v:shape>
            <v:shape style="position:absolute;left:3317;top:-8318;width:3166;height:588" coordorigin="3317,-8317" coordsize="3166,588" path="m6483,-8317l6483,-7729,3317,-7729e" filled="false" stroked="true" strokeweight=".12pt" strokecolor="#000000">
              <v:path arrowok="t"/>
              <v:stroke dashstyle="solid"/>
            </v:shape>
            <v:line style="position:absolute" from="5034,-7919" to="6179,-7918" stroked="true" strokeweight=".12pt" strokecolor="#000000">
              <v:stroke dashstyle="solid"/>
            </v:line>
            <v:line style="position:absolute" from="6483,-8302" to="6097,-8301" stroked="true" strokeweight=".12pt" strokecolor="#000000">
              <v:stroke dashstyle="solid"/>
            </v:line>
            <v:shape style="position:absolute;left:4786;top:-9647;width:1334;height:1389" coordorigin="4786,-9646" coordsize="1334,1389" path="m4824,-9602l4820,-9612,4812,-9619,4800,-9619,4790,-9612,4786,-9602,4790,-9591,4800,-9584,4812,-9584,4820,-9591,4824,-9602xm5644,-9602l5551,-9646,5552,-9642,5557,-9637,5557,-9633,5559,-9627,5561,-9620,5561,-9615,5563,-9611,5563,-9594,5561,-9587,5561,-9584,5559,-9577,5557,-9572,5557,-9568,5552,-9561,5551,-9556,5644,-9602xm6120,-8347l6026,-8302,6120,-8257,6117,-8261,6116,-8266,6113,-8273,6112,-8277,6109,-8282,6109,-8294,6108,-8300,6108,-8304,6109,-8309,6109,-8321,6112,-8325,6113,-8331,6116,-8337,6117,-8341,6120,-8347xe" filled="true" fillcolor="#000000" stroked="false">
              <v:path arrowok="t"/>
              <v:fill type="solid"/>
            </v:shape>
            <v:shape style="position:absolute;left:4786;top:-9620;width:38;height:35" coordorigin="4786,-9619" coordsize="38,35" path="m4786,-9602l4790,-9612,4800,-9619,4812,-9619,4820,-9612,4824,-9602,4820,-9591,4812,-9584,4800,-9584,4790,-9591,4786,-9602xe" filled="false" stroked="true" strokeweight=".12pt" strokecolor="#000000">
              <v:path arrowok="t"/>
              <v:stroke dashstyle="solid"/>
            </v:shape>
            <v:shape style="position:absolute;left:3510;top:-9373;width:761;height:382" coordorigin="3510,-9372" coordsize="761,382" path="m3510,-8990l4271,-8990,4271,-9372e" filled="false" stroked="true" strokeweight=".12pt" strokecolor="#000000">
              <v:path arrowok="t"/>
              <v:stroke dashstyle="solid"/>
            </v:shape>
            <v:shape style="position:absolute;left:4224;top:-9373;width:93;height:90" coordorigin="4224,-9372" coordsize="93,90" path="m4271,-9372l4224,-9282,4230,-9283,4234,-9286,4240,-9287,4247,-9290,4252,-9290,4256,-9291,4285,-9291,4291,-9290,4297,-9290,4301,-9287,4308,-9286,4313,-9283,4317,-9282,4271,-9372xe" filled="true" fillcolor="#000000" stroked="false">
              <v:path arrowok="t"/>
              <v:fill type="solid"/>
            </v:shape>
            <v:rect style="position:absolute;left:2897;top:-8379;width:611;height:382" filled="false" stroked="true" strokeweight=".12pt" strokecolor="#000000">
              <v:stroke dashstyle="solid"/>
            </v:rect>
            <v:shape style="position:absolute;left:7703;top:-9755;width:77;height:2691" coordorigin="7703,-9754" coordsize="77,2691" path="m7703,-9754l7780,-9754,7780,-7063e" filled="false" stroked="true" strokeweight=".12pt" strokecolor="#000000">
              <v:path arrowok="t"/>
              <v:stroke dashstyle="solid"/>
            </v:shape>
            <v:shape style="position:absolute;left:7733;top:-7086;width:93;height:90" coordorigin="7733,-7085" coordsize="93,90" path="m7826,-7085l7820,-7084,7816,-7081,7810,-7080,7803,-7077,7799,-7076,7787,-7076,7781,-7074,7775,-7074,7771,-7076,7759,-7076,7753,-7077,7749,-7080,7742,-7081,7737,-7084,7733,-7085,7779,-6995,7826,-7085xe" filled="true" fillcolor="#000000" stroked="false">
              <v:path arrowok="t"/>
              <v:fill type="solid"/>
            </v:shape>
            <v:line style="position:absolute" from="5569,-8302" to="5105,-8301" stroked="true" strokeweight=".12pt" strokecolor="#000000">
              <v:stroke dashstyle="solid"/>
            </v:line>
            <v:shape style="position:absolute;left:5034;top:-8348;width:94;height:90" coordorigin="5034,-8347" coordsize="94,90" path="m5128,-8347l5034,-8302,5128,-8257,5126,-8261,5121,-8273,5120,-8277,5120,-8282,5117,-8288,5117,-8316,5120,-8321,5120,-8325,5121,-8331,5126,-8341,5128,-8347xe" filled="true" fillcolor="#000000" stroked="false">
              <v:path arrowok="t"/>
              <v:fill type="solid"/>
            </v:shape>
            <v:line style="position:absolute" from="3739,-8684" to="3509,-8683" stroked="true" strokeweight=".12pt" strokecolor="#000000">
              <v:stroke dashstyle="solid"/>
            </v:line>
            <v:shape style="position:absolute;left:3966;top:-9831;width:2060;height:1987" coordorigin="3966,-9830" coordsize="2060,1987" path="m4576,-7843l5034,-7843,5034,-8531,4576,-8531,4576,-7843xm3966,-9372l4576,-9372,4576,-9830,3966,-9830,3966,-9372xm5567,-8073l6026,-8073,6026,-8531,5567,-8531,5567,-8073xe" filled="false" stroked="true" strokeweight=".12pt" strokecolor="#000000">
              <v:path arrowok="t"/>
              <v:stroke dashstyle="solid"/>
            </v:shape>
            <v:line style="position:absolute" from="2897,-8684" to="2670,-8683" stroked="true" strokeweight=".12pt" strokecolor="#000000">
              <v:stroke dashstyle="solid"/>
            </v:line>
            <v:rect style="position:absolute;left:2897;top:-9067;width:611;height:612" filled="false" stroked="true" strokeweight=".12pt" strokecolor="#000000">
              <v:stroke dashstyle="solid"/>
            </v:rect>
            <v:shape style="position:absolute;left:3471;top:-8723;width:37;height:76" coordorigin="3471,-8722" coordsize="37,76" path="m3508,-8722l3471,-8684,3508,-8646e" filled="false" stroked="true" strokeweight=".12pt" strokecolor="#000000">
              <v:path arrowok="t"/>
              <v:stroke dashstyle="solid"/>
            </v:shape>
            <v:shape style="position:absolute;left:2669;top:-8685;width:1758;height:1911" coordorigin="2669,-8684" coordsize="1758,1911" path="m2669,-8684l2669,-6773,4427,-6773e" filled="false" stroked="true" strokeweight=".12pt" strokecolor="#000000">
              <v:path arrowok="t"/>
              <v:stroke dashstyle="solid"/>
            </v:shape>
            <v:shape style="position:absolute;left:4408;top:-6819;width:93;height:91" coordorigin="4408,-6818" coordsize="93,91" path="m4408,-6818l4410,-6815,4412,-6808,4414,-6804,4416,-6799,4416,-6792,4418,-6787,4418,-6760,4416,-6756,4416,-6749,4414,-6744,4412,-6740,4410,-6734,4408,-6727,4501,-6773,4408,-6818xe" filled="true" fillcolor="#000000" stroked="false">
              <v:path arrowok="t"/>
              <v:fill type="solid"/>
            </v:shape>
            <v:line style="position:absolute" from="7475,-7231" to="7476,-7004" stroked="true" strokeweight=".12pt" strokecolor="#000000">
              <v:stroke dashstyle="solid"/>
            </v:line>
            <v:shape style="position:absolute;left:7428;top:-7094;width:94;height:91" coordorigin="7428,-7093" coordsize="94,91" path="m7522,-7093l7515,-7090,7511,-7089,7506,-7086,7499,-7085,7495,-7082,7483,-7082,7478,-7081,7471,-7081,7467,-7082,7455,-7082,7448,-7085,7444,-7086,7439,-7089,7432,-7090,7428,-7093,7475,-7002,7522,-7093xe" filled="true" fillcolor="#000000" stroked="false">
              <v:path arrowok="t"/>
              <v:fill type="solid"/>
            </v:shape>
            <v:line style="position:absolute" from="6483,-9448" to="6484,-8320" stroked="true" strokeweight=".12pt" strokecolor="#000000">
              <v:stroke dashstyle="solid"/>
            </v:line>
            <v:shape style="position:absolute;left:6463;top:-8321;width:39;height:37" coordorigin="6463,-8320" coordsize="39,37" path="m6490,-8320l6477,-8320,6467,-8312,6463,-8302,6467,-8290,6477,-8283,6490,-8283,6498,-8290,6502,-8302,6498,-8312,6490,-8320xe" filled="true" fillcolor="#000000" stroked="false">
              <v:path arrowok="t"/>
              <v:fill type="solid"/>
            </v:shape>
            <v:shape style="position:absolute;left:6463;top:-8321;width:39;height:37" coordorigin="6463,-8320" coordsize="39,37" path="m6463,-8302l6467,-8312,6477,-8320,6490,-8320,6498,-8312,6502,-8302,6498,-8290,6490,-8283,6477,-8283,6467,-8290,6463,-8302xe" filled="false" stroked="true" strokeweight=".12pt" strokecolor="#000000">
              <v:path arrowok="t"/>
              <v:stroke dashstyle="solid"/>
            </v:shape>
            <v:shape style="position:absolute;left:6463;top:-7750;width:39;height:35" coordorigin="6463,-7749" coordsize="39,35" path="m6490,-7749l6477,-7749,6467,-7741,6463,-7731,6467,-7719,6477,-7714,6490,-7714,6498,-7719,6502,-7731,6498,-7741,6490,-7749xe" filled="true" fillcolor="#000000" stroked="false">
              <v:path arrowok="t"/>
              <v:fill type="solid"/>
            </v:shape>
            <v:shape style="position:absolute;left:6463;top:-7750;width:39;height:35" coordorigin="6463,-7749" coordsize="39,35" path="m6463,-7731l6467,-7741,6477,-7749,6490,-7749,6498,-7741,6502,-7731,6498,-7719,6490,-7714,6477,-7714,6467,-7719,6463,-7731xe" filled="false" stroked="true" strokeweight=".12pt" strokecolor="#000000">
              <v:path arrowok="t"/>
              <v:stroke dashstyle="solid"/>
            </v:shape>
            <v:line style="position:absolute" from="5263,-6467" to="5497,-6466" stroked="true" strokeweight=".12pt" strokecolor="#000000">
              <v:stroke dashstyle="solid"/>
            </v:line>
            <v:shape style="position:absolute;left:5476;top:-6513;width:93;height:90" coordorigin="5476,-6512" coordsize="93,90" path="m5476,-6512l5477,-6508,5480,-6502,5481,-6499,5484,-6492,5484,-6487,5485,-6480,5485,-6453,5484,-6449,5484,-6444,5481,-6437,5480,-6433,5477,-6428,5476,-6422,5569,-6467,5476,-6512xe" filled="true" fillcolor="#000000" stroked="false">
              <v:path arrowok="t"/>
              <v:fill type="solid"/>
            </v:shape>
            <v:shape style="position:absolute;left:9077;top:-5436;width:458;height:230" coordorigin="9077,-5435" coordsize="458,230" path="m9077,-5435l9535,-5435,9535,-5205e" filled="false" stroked="true" strokeweight=".12pt" strokecolor="#000000">
              <v:path arrowok="t"/>
              <v:stroke dashstyle="solid"/>
            </v:shape>
            <v:shape style="position:absolute;left:9895;top:-5550;width:36;height:1223" coordorigin="9895,-5549" coordsize="36,1223" path="m9931,-5128l9895,-5128,9895,-4326,9931,-4326,9931,-5128xm9931,-5549l9895,-5549,9895,-5282,9931,-5282,9931,-5549xe" filled="true" fillcolor="#131313" stroked="false">
              <v:path arrowok="t"/>
              <v:fill type="solid"/>
            </v:shape>
            <v:shape style="position:absolute;left:9151;top:-5297;width:687;height:403" type="#_x0000_t75" stroked="false">
              <v:imagedata r:id="rId36" o:title=""/>
            </v:shape>
            <v:line style="position:absolute" from="5263,-6773" to="5497,-6772" stroked="true" strokeweight=".12pt" strokecolor="#000000">
              <v:stroke dashstyle="solid"/>
            </v:line>
            <v:shape style="position:absolute;left:5476;top:-6819;width:93;height:91" coordorigin="5476,-6818" coordsize="93,91" path="m5476,-6818l5477,-6815,5480,-6808,5481,-6804,5484,-6799,5484,-6792,5485,-6787,5485,-6760,5484,-6756,5484,-6749,5481,-6744,5480,-6740,5477,-6734,5476,-6727,5569,-6773,5476,-6818xe" filled="true" fillcolor="#000000" stroked="false">
              <v:path arrowok="t"/>
              <v:fill type="solid"/>
            </v:shape>
            <v:line style="position:absolute" from="5263,-6620" to="5497,-6619" stroked="true" strokeweight=".12pt" strokecolor="#000000">
              <v:stroke dashstyle="solid"/>
            </v:line>
            <v:shape style="position:absolute;left:5476;top:-6669;width:93;height:91" coordorigin="5476,-6668" coordsize="93,91" path="m5476,-6668l5477,-6664,5480,-6658,5481,-6654,5484,-6648,5484,-6643,5485,-6636,5485,-6609,5484,-6605,5484,-6598,5481,-6593,5480,-6589,5477,-6584,5476,-6577,5569,-6623,5476,-6668xe" filled="true" fillcolor="#000000" stroked="false">
              <v:path arrowok="t"/>
              <v:fill type="solid"/>
            </v:shape>
            <v:rect style="position:absolute;left:8315;top:-7309;width:762;height:688" filled="false" stroked="true" strokeweight=".12pt" strokecolor="#000000">
              <v:stroke dashstyle="solid"/>
            </v:rect>
            <v:shape style="position:absolute;left:9077;top:-6926;width:534;height:840" coordorigin="9077,-6925" coordsize="534,840" path="m9147,-6925l9611,-6925,9611,-6085,9077,-6085e" filled="false" stroked="true" strokeweight=".12pt" strokecolor="#000000">
              <v:path arrowok="t"/>
              <v:stroke dashstyle="solid"/>
            </v:shape>
            <v:shape style="position:absolute;left:9077;top:-6131;width:93;height:90" coordorigin="9077,-6130" coordsize="93,90" path="m9170,-6130l9077,-6085,9170,-6040,9169,-6045,9166,-6052,9165,-6056,9162,-6061,9162,-6066,9161,-6070,9161,-6099,9162,-6104,9162,-6111,9165,-6116,9166,-6120,9169,-6126,9170,-6130xe" filled="true" fillcolor="#000000" stroked="false">
              <v:path arrowok="t"/>
              <v:fill type="solid"/>
            </v:shape>
            <v:shape style="position:absolute;left:9077;top:-6812;width:420;height:612" coordorigin="9077,-6811" coordsize="420,612" path="m9150,-6811l9497,-6811,9497,-6199,9077,-6199e" filled="false" stroked="true" strokeweight=".12pt" strokecolor="#000000">
              <v:path arrowok="t"/>
              <v:stroke dashstyle="solid"/>
            </v:shape>
            <v:shape style="position:absolute;left:9077;top:-6246;width:93;height:91" coordorigin="9077,-6245" coordsize="93,91" path="m9170,-6245l9077,-6199,9170,-6154,9169,-6160,9166,-6166,9165,-6170,9162,-6175,9162,-6182,9161,-6186,9161,-6213,9162,-6220,9162,-6225,9165,-6230,9166,-6234,9169,-6241,9170,-6245xe" filled="true" fillcolor="#000000" stroked="false">
              <v:path arrowok="t"/>
              <v:fill type="solid"/>
            </v:shape>
            <v:shape style="position:absolute;left:9077;top:-6698;width:306;height:383" coordorigin="9077,-6697" coordsize="306,383" path="m9157,-6697l9383,-6697,9383,-6314,9077,-6314e" filled="false" stroked="true" strokeweight=".12pt" strokecolor="#000000">
              <v:path arrowok="t"/>
              <v:stroke dashstyle="solid"/>
            </v:shape>
            <v:shape style="position:absolute;left:9077;top:-6360;width:93;height:90" coordorigin="9077,-6359" coordsize="93,90" path="m9170,-6359l9077,-6314,9170,-6269,9169,-6275,9166,-6280,9165,-6284,9162,-6291,9162,-6296,9161,-6300,9161,-6328,9162,-6334,9162,-6339,9165,-6346,9166,-6350,9169,-6355,9170,-6359xe" filled="true" fillcolor="#000000" stroked="false">
              <v:path arrowok="t"/>
              <v:fill type="solid"/>
            </v:shape>
            <v:shape style="position:absolute;left:3280;top:-7462;width:76;height:55" coordorigin="3280,-7461" coordsize="76,55" path="m3280,-7461l3317,-7406,3356,-7461e" filled="false" stroked="true" strokeweight=".12pt" strokecolor="#000000">
              <v:path arrowok="t"/>
              <v:stroke dashstyle="solid"/>
            </v:shape>
            <v:line style="position:absolute" from="3202,-6925" to="3203,-3982" stroked="true" strokeweight=".12pt" strokecolor="#000000">
              <v:stroke dashstyle="solid"/>
            </v:line>
            <v:shape style="position:absolute;left:3734;top:-7844;width:1071;height:535" coordorigin="3734,-7843" coordsize="1071,535" path="m4805,-7843l4805,-7308,3734,-7308e" filled="false" stroked="true" strokeweight=".12pt" strokecolor="#000000">
              <v:path arrowok="t"/>
              <v:stroke dashstyle="solid"/>
            </v:shape>
            <v:shape style="position:absolute;left:3662;top:-7355;width:93;height:92" coordorigin="3662,-7354" coordsize="93,92" path="m3755,-7354l3662,-7308,3755,-7262,3754,-7266,3751,-7273,3750,-7277,3747,-7282,3747,-7288,3746,-7295,3746,-7321,3747,-7325,3747,-7332,3750,-7338,3751,-7343,3754,-7347,3755,-7354xe" filled="true" fillcolor="#000000" stroked="false">
              <v:path arrowok="t"/>
              <v:fill type="solid"/>
            </v:shape>
            <v:shape style="position:absolute;left:4806;top:-1194;width:1678;height:230" coordorigin="4806,-1193" coordsize="1678,230" path="m4806,-963l6484,-963,6484,-1193e" filled="false" stroked="true" strokeweight=".12pt" strokecolor="#000000">
              <v:path arrowok="t"/>
              <v:stroke dashstyle="solid"/>
            </v:shape>
            <v:shape style="position:absolute;left:4786;top:-1194;width:1744;height:247" coordorigin="4786,-1193" coordsize="1744,247" path="m4825,-963l4821,-972,4813,-980,4801,-980,4790,-972,4786,-963,4790,-951,4801,-946,4813,-946,4821,-951,4825,-963xm6530,-1101l6483,-1193,6437,-1101,6441,-1104,6446,-1105,6453,-1108,6457,-1109,6463,-1109,6469,-1112,6498,-1112,6503,-1109,6508,-1109,6514,-1108,6520,-1105,6524,-1104,6530,-1101xe" filled="true" fillcolor="#000000" stroked="false">
              <v:path arrowok="t"/>
              <v:fill type="solid"/>
            </v:shape>
            <v:shape style="position:absolute;left:4786;top:-981;width:39;height:34" coordorigin="4786,-980" coordsize="39,34" path="m4786,-963l4790,-972,4801,-980,4813,-980,4821,-972,4825,-963,4821,-951,4813,-946,4801,-946,4790,-951,4786,-963xe" filled="false" stroked="true" strokeweight=".12pt" strokecolor="#000000">
              <v:path arrowok="t"/>
              <v:stroke dashstyle="solid"/>
            </v:shape>
            <v:line style="position:absolute" from="3662,-7041" to="3896,-7040" stroked="true" strokeweight=".12pt" strokecolor="#000000">
              <v:stroke dashstyle="solid"/>
            </v:line>
            <v:shape style="position:absolute;left:3873;top:-7086;width:94;height:90" coordorigin="3873,-7085" coordsize="94,90" path="m3873,-7085l3876,-7080,3880,-7076,3880,-7070,3881,-7063,3884,-7058,3884,-7054,3885,-7049,3885,-7031,3884,-7027,3884,-7020,3881,-7015,3880,-7008,3880,-7006,3876,-6999,3873,-6995,3967,-7041,3873,-7085xe" filled="true" fillcolor="#000000" stroked="false">
              <v:path arrowok="t"/>
              <v:fill type="solid"/>
            </v:shape>
            <v:shape style="position:absolute;left:6408;top:-1612;width:75;height:73" coordorigin="6408,-1611" coordsize="75,73" path="m6408,-1611l6483,-1576,6408,-1538e" filled="false" stroked="true" strokeweight=".12pt" strokecolor="#000000">
              <v:path arrowok="t"/>
              <v:stroke dashstyle="solid"/>
            </v:shape>
            <v:line style="position:absolute" from="5263,-3601" to="5872,-3600" stroked="true" strokeweight=".12pt" strokecolor="#000000">
              <v:stroke dashstyle="solid"/>
            </v:line>
            <v:line style="position:absolute" from="5263,-3447" to="5872,-3446" stroked="true" strokeweight=".12pt" strokecolor="#000000">
              <v:stroke dashstyle="solid"/>
            </v:line>
            <v:line style="position:absolute" from="5874,-3292" to="5262,-3291" stroked="true" strokeweight=".12pt" strokecolor="#000000">
              <v:stroke dashstyle="solid"/>
            </v:line>
            <v:shape style="position:absolute;left:5263;top:-3338;width:95;height:90" coordorigin="5263,-3337" coordsize="95,90" path="m5358,-3337l5263,-3292,5358,-3247,5355,-3250,5354,-3257,5351,-3262,5349,-3266,5347,-3273,5347,-3284,5345,-3288,5345,-3294,5347,-3300,5347,-3312,5349,-3316,5351,-3321,5354,-3327,5355,-3331,5358,-3337xe" filled="true" fillcolor="#000000" stroked="false">
              <v:path arrowok="t"/>
              <v:fill type="solid"/>
            </v:shape>
            <v:rect style="position:absolute;left:6770;top:-581;width:37;height:458" filled="true" fillcolor="#9c9c9c" stroked="false">
              <v:fill type="solid"/>
            </v:rect>
            <v:rect style="position:absolute;left:6941;top:-10366;width:762;height:840" filled="false" stroked="true" strokeweight=".12pt" strokecolor="#000000">
              <v:stroke dashstyle="solid"/>
            </v:rect>
            <v:shape style="position:absolute;left:7437;top:-9599;width:76;height:73" coordorigin="7437,-9598" coordsize="76,73" path="m7437,-9525l7474,-9598,7513,-9525e" filled="false" stroked="true" strokeweight=".12pt" strokecolor="#000000">
              <v:path arrowok="t"/>
              <v:stroke dashstyle="solid"/>
            </v:shape>
            <v:shape style="position:absolute;left:5855;top:-4421;width:2319;height:1182" coordorigin="5855,-4420" coordsize="2319,1182" path="m8174,-4420l5872,-4420,5872,-4403,5855,-4403,5855,-3238,5893,-3238,5893,-4385,8174,-4385,8174,-4420xe" filled="true" fillcolor="#9c9c9c" stroked="false">
              <v:path arrowok="t"/>
              <v:fill type="solid"/>
            </v:shape>
            <v:shape style="position:absolute;left:8155;top:-4480;width:159;height:153" type="#_x0000_t75" stroked="false">
              <v:imagedata r:id="rId37" o:title=""/>
            </v:shape>
            <v:shape style="position:absolute;left:2556;top:-6003;width:75;height:148" coordorigin="2556,-6002" coordsize="75,148" path="m2592,-6002l2631,-5982,2556,-5947,2631,-5909,2556,-5872,2592,-5854e" filled="false" stroked="true" strokeweight=".12pt" strokecolor="#000000">
              <v:path arrowok="t"/>
              <v:stroke dashstyle="solid"/>
            </v:shape>
            <v:line style="position:absolute" from="2592,-6238" to="2593,-6002" stroked="true" strokeweight=".12pt" strokecolor="#000000">
              <v:stroke dashstyle="solid"/>
            </v:line>
            <v:line style="position:absolute" from="2592,-5854" to="2593,-5743" stroked="true" strokeweight=".12pt" strokecolor="#000000">
              <v:stroke dashstyle="solid"/>
            </v:line>
            <v:line style="position:absolute" from="2517,-5743" to="2669,-5742" stroked="true" strokeweight=".12pt" strokecolor="#000000">
              <v:stroke dashstyle="solid"/>
            </v:line>
            <v:line style="position:absolute" from="2554,-5706" to="2630,-5705" stroked="true" strokeweight=".12pt" strokecolor="#000000">
              <v:stroke dashstyle="solid"/>
            </v:line>
            <v:line style="position:absolute" from="2583,-5669" to="2603,-5669" stroked="true" strokeweight=".17pt" strokecolor="#000000">
              <v:stroke dashstyle="solid"/>
            </v:line>
            <v:shape style="position:absolute;left:2573;top:-6255;width:39;height:36" coordorigin="2573,-6254" coordsize="39,36" path="m2598,-6254l2585,-6254,2577,-6246,2573,-6236,2577,-6225,2585,-6218,2598,-6218,2608,-6225,2612,-6236,2608,-6246,2598,-6254xe" filled="true" fillcolor="#000000" stroked="false">
              <v:path arrowok="t"/>
              <v:fill type="solid"/>
            </v:shape>
            <v:shape style="position:absolute;left:2573;top:-6255;width:39;height:36" coordorigin="2573,-6254" coordsize="39,36" path="m2573,-6236l2577,-6246,2585,-6254,2598,-6254,2608,-6246,2612,-6236,2608,-6225,2598,-6218,2585,-6218,2577,-6225,2573,-6236xe" filled="false" stroked="true" strokeweight=".12pt" strokecolor="#000000">
              <v:path arrowok="t"/>
              <v:stroke dashstyle="solid"/>
            </v:shape>
            <v:shape style="position:absolute;left:9115;top:-3907;width:39;height:74" coordorigin="9115,-3906" coordsize="39,74" path="m9154,-3906l9115,-3868,9154,-3832e" filled="false" stroked="true" strokeweight=".12pt" strokecolor="#000000">
              <v:path arrowok="t"/>
              <v:stroke dashstyle="solid"/>
            </v:shape>
            <v:shape style="position:absolute;left:4766;top:-9870;width:78;height:267" coordorigin="4766,-9869" coordsize="78,267" path="m4805,-9716l4766,-9735,4844,-9772,4766,-9811,4844,-9849,4805,-9869m4805,-9716l4806,-9602e" filled="false" stroked="true" strokeweight=".12pt" strokecolor="#000000">
              <v:path arrowok="t"/>
              <v:stroke dashstyle="solid"/>
            </v:shape>
            <v:rect style="position:absolute;left:6636;top:-2340;width:534;height:458" filled="false" stroked="true" strokeweight=".12pt" strokecolor="#000000">
              <v:stroke dashstyle="solid"/>
            </v:rect>
            <v:line style="position:absolute" from="7437,-2147" to="7361,-2073" stroked="true" strokeweight=".12pt" strokecolor="#000000">
              <v:stroke dashstyle="solid"/>
            </v:line>
            <v:rect style="position:absolute;left:5383;top:-1976;width:1132;height:36" filled="true" fillcolor="#9c9c9c" stroked="false">
              <v:fill type="solid"/>
            </v:rect>
            <v:shape style="position:absolute;left:6477;top:-2035;width:159;height:153" type="#_x0000_t75" stroked="false">
              <v:imagedata r:id="rId38" o:title=""/>
            </v:shape>
            <v:shape style="position:absolute;left:5263;top:-2035;width:159;height:153" type="#_x0000_t75" stroked="false">
              <v:imagedata r:id="rId39" o:title=""/>
            </v:shape>
            <v:shape style="position:absolute;left:4786;top:-1215;width:39;height:35" coordorigin="4786,-1214" coordsize="39,35" path="m4813,-1214l4801,-1214,4790,-1206,4786,-1197,4790,-1185,4801,-1179,4813,-1179,4821,-1185,4825,-1197,4821,-1206,4813,-1214xe" filled="true" fillcolor="#ffffff" stroked="false">
              <v:path arrowok="t"/>
              <v:fill type="solid"/>
            </v:shape>
            <v:shape style="position:absolute;left:4786;top:-1231;width:39;height:35" coordorigin="4786,-1230" coordsize="39,35" path="m4786,-1213l4790,-1222,4801,-1230,4813,-1230,4821,-1222,4825,-1213,4821,-1201,4813,-1195,4801,-1195,4790,-1201,4786,-1213xe" filled="false" stroked="true" strokeweight=".12pt" strokecolor="#000000">
              <v:path arrowok="t"/>
              <v:stroke dashstyle="solid"/>
            </v:shape>
            <v:shape style="position:absolute;left:7170;top:-1346;width:839;height:612" coordorigin="7170,-1345" coordsize="839,612" path="m8009,-733l8009,-1345,7170,-1345e" filled="false" stroked="true" strokeweight=".12pt" strokecolor="#000000">
              <v:path arrowok="t"/>
              <v:stroke dashstyle="solid"/>
            </v:shape>
            <v:shape style="position:absolute;left:7171;top:-1391;width:93;height:90" coordorigin="7171,-1390" coordsize="93,90" path="m7264,-1390l7171,-1345,7264,-1300,7263,-1304,7260,-1310,7259,-1316,7256,-1319,7254,-1326,7254,-1338,7252,-1342,7252,-1347,7254,-1353,7254,-1365,7256,-1369,7259,-1374,7260,-1381,7263,-1385,7264,-1390xe" filled="true" fillcolor="#000000" stroked="false">
              <v:path arrowok="t"/>
              <v:fill type="solid"/>
            </v:shape>
            <v:rect style="position:absolute;left:5644;top:-10825;width:915;height:1376" filled="false" stroked="true" strokeweight=".12pt" strokecolor="#000000">
              <v:stroke dashstyle="solid"/>
            </v:rect>
            <v:shape style="position:absolute;left:6140;top:-9522;width:75;height:73" coordorigin="6140,-9521" coordsize="75,73" path="m6140,-9448l6176,-9521,6215,-9448e" filled="false" stroked="true" strokeweight=".12pt" strokecolor="#000000">
              <v:path arrowok="t"/>
              <v:stroke dashstyle="solid"/>
            </v:shape>
            <v:shape style="position:absolute;left:5644;top:-10175;width:305;height:305" coordorigin="5644,-10174" coordsize="305,305" path="m5644,-10174l5949,-10022,5644,-9869e" filled="false" stroked="true" strokeweight=".12pt" strokecolor="#000000">
              <v:path arrowok="t"/>
              <v:stroke dashstyle="solid"/>
            </v:shape>
            <v:rect style="position:absolute;left:9895;top:-10099;width:36;height:535" filled="true" fillcolor="#131313" stroked="false">
              <v:fill type="solid"/>
            </v:rect>
            <v:rect style="position:absolute;left:9323;top:-9498;width:514;height:20" filled="true" fillcolor="#000000" stroked="false">
              <v:fill type="solid"/>
            </v:rect>
            <v:shape style="position:absolute;left:9228;top:-9549;width:125;height:122" type="#_x0000_t75" stroked="false">
              <v:imagedata r:id="rId40" o:title=""/>
            </v:shape>
            <v:shape style="position:absolute;left:8696;top:-11073;width:1235;height:821" coordorigin="8696,-11072" coordsize="1235,821" path="m9153,-11072l8696,-11072,8696,-11035,9153,-11035,9153,-11072xm9931,-11061l9895,-11061,9895,-11072,9306,-11072,9306,-11035,9895,-11035,9895,-11026,9895,-10251,9931,-10251,9931,-11026,9931,-11061xe" filled="true" fillcolor="#131313" stroked="false">
              <v:path arrowok="t"/>
              <v:fill type="solid"/>
            </v:shape>
            <v:shape style="position:absolute;left:9219;top:-10972;width:21;height:1822" coordorigin="9219,-10971" coordsize="21,1822" path="m9239,-10050l9219,-10050,9219,-9149,9239,-9149,9239,-10050xm9240,-10971l9220,-10971,9220,-10272,9240,-10272,9240,-10971xe" filled="true" fillcolor="#000000" stroked="false">
              <v:path arrowok="t"/>
              <v:fill type="solid"/>
            </v:shape>
            <v:shape style="position:absolute;left:9165;top:-9179;width:126;height:112" type="#_x0000_t75" stroked="false">
              <v:imagedata r:id="rId41" o:title=""/>
            </v:shape>
            <v:shape style="position:absolute;left:9209;top:-10309;width:628;height:205" type="#_x0000_t75" stroked="false">
              <v:imagedata r:id="rId42" o:title=""/>
            </v:shape>
            <v:shape style="position:absolute;left:9211;top:-10051;width:37;height:36" coordorigin="9211,-10050" coordsize="37,36" path="m9236,-10050l9224,-10050,9215,-10042,9211,-10032,9215,-10021,9224,-10014,9236,-10014,9244,-10021,9248,-10032,9244,-10042,9236,-10050xe" filled="true" fillcolor="#000000" stroked="false">
              <v:path arrowok="t"/>
              <v:fill type="solid"/>
            </v:shape>
            <v:shape style="position:absolute;left:9211;top:-10051;width:37;height:36" coordorigin="9211,-10050" coordsize="37,36" path="m9211,-10032l9215,-10042,9224,-10050,9236,-10050,9244,-10042,9248,-10032,9244,-10021,9236,-10014,9224,-10014,9215,-10021,9211,-10032xe" filled="false" stroked="true" strokeweight=".12pt" strokecolor="#000000">
              <v:path arrowok="t"/>
              <v:stroke dashstyle="solid"/>
            </v:shape>
            <v:shape style="position:absolute;left:9001;top:-10031;width:114;height:964" coordorigin="9001,-10030" coordsize="114,964" path="m9001,-9066l9001,-9866,9115,-10030e" filled="false" stroked="true" strokeweight=".12pt" strokecolor="#000000">
              <v:path arrowok="t"/>
              <v:stroke dashstyle="solid"/>
            </v:shape>
            <v:shape style="position:absolute;left:9061;top:-10088;width:89;height:100" coordorigin="9061,-10087" coordsize="89,100" path="m9150,-10087l9061,-10036,9065,-10036,9071,-10034,9077,-10034,9083,-10032,9087,-10030,9094,-10028,9098,-10025,9103,-10022,9107,-10018,9112,-10017,9120,-10009,9125,-10005,9133,-9997,9134,-9991,9138,-9987,9150,-10087xe" filled="true" fillcolor="#000000" stroked="false">
              <v:path arrowok="t"/>
              <v:fill type="solid"/>
            </v:shape>
            <v:shape style="position:absolute;left:8848;top:-10271;width:337;height:156" type="#_x0000_t75" stroked="false">
              <v:imagedata r:id="rId43" o:title=""/>
            </v:shape>
            <v:shape style="position:absolute;left:9345;top:-10031;width:113;height:964" coordorigin="9345,-10030" coordsize="113,964" path="m9458,-9066l9458,-9866,9345,-10030e" filled="false" stroked="true" strokeweight=".12pt" strokecolor="#000000">
              <v:path arrowok="t"/>
              <v:stroke dashstyle="solid"/>
            </v:shape>
            <v:shape style="position:absolute;left:9303;top:-10088;width:92;height:100" coordorigin="9303,-10087" coordsize="92,100" path="m9303,-10087l9317,-9987,9319,-9991,9323,-9997,9325,-10001,9341,-10017,9348,-10018,9352,-10022,9356,-10025,9361,-10028,9367,-10030,9372,-10032,9379,-10034,9383,-10034,9388,-10036,9395,-10036,9303,-10087xe" filled="true" fillcolor="#000000" stroked="false">
              <v:path arrowok="t"/>
              <v:fill type="solid"/>
            </v:shape>
            <v:rect style="position:absolute;left:8353;top:-10442;width:495;height:687" filled="false" stroked="true" strokeweight=".12pt" strokecolor="#000000">
              <v:stroke dashstyle="solid"/>
            </v:rect>
            <v:line style="position:absolute" from="8619,-10441" to="8620,-10902" stroked="true" strokeweight=".12pt" strokecolor="#000000">
              <v:stroke dashstyle="solid"/>
            </v:line>
            <v:rect style="position:absolute;left:8162;top:-11073;width:380;height:37" filled="true" fillcolor="#131313" stroked="false">
              <v:fill type="solid"/>
            </v:rect>
            <v:shape style="position:absolute;left:8571;top:-10972;width:94;height:90" coordorigin="8571,-10971" coordsize="94,90" path="m8618,-10971l8571,-10881,8575,-10882,8581,-10885,8587,-10886,8591,-10888,8598,-10888,8604,-10890,8632,-10890,8638,-10888,8642,-10888,8649,-10886,8654,-10885,8658,-10882,8665,-10881,8618,-10971xe" filled="true" fillcolor="#000000" stroked="false">
              <v:path arrowok="t"/>
              <v:fill type="solid"/>
            </v:shape>
            <v:shape style="position:absolute;left:8237;top:-10672;width:381;height:3133" coordorigin="8237,-10671" coordsize="381,3133" path="m8618,-10671l8237,-10671,8237,-7538,8319,-7538e" filled="false" stroked="true" strokeweight=".12pt" strokecolor="#000000">
              <v:path arrowok="t"/>
              <v:stroke dashstyle="solid"/>
            </v:shape>
            <v:shape style="position:absolute;left:8345;top:-10695;width:292;height:3386" coordorigin="8345,-10694" coordsize="292,3386" path="m8436,-7402l8429,-7399,8425,-7395,8420,-7395,8413,-7394,8411,-7391,8404,-7391,8399,-7389,8382,-7389,8377,-7391,8370,-7391,8365,-7394,8361,-7395,8356,-7395,8349,-7399,8345,-7402,8390,-7308,8436,-7402xm8637,-10677l8632,-10686,8624,-10694,8612,-10694,8602,-10686,8598,-10677,8602,-10665,8612,-10659,8624,-10659,8632,-10665,8637,-10677xe" filled="true" fillcolor="#000000" stroked="false">
              <v:path arrowok="t"/>
              <v:fill type="solid"/>
            </v:shape>
            <v:shape style="position:absolute;left:8598;top:-10695;width:39;height:35" coordorigin="8598,-10694" coordsize="39,35" path="m8598,-10677l8602,-10686,8612,-10694,8624,-10694,8632,-10686,8637,-10677,8632,-10665,8624,-10659,8612,-10659,8602,-10665,8598,-10677xe" filled="false" stroked="true" strokeweight=".12pt" strokecolor="#000000">
              <v:path arrowok="t"/>
              <v:stroke dashstyle="solid"/>
            </v:shape>
            <v:line style="position:absolute" from="8046,-7769" to="7971,-7694" stroked="true" strokeweight=".12pt" strokecolor="#000000">
              <v:stroke dashstyle="solid"/>
            </v:line>
            <v:shape style="position:absolute;left:6863;top:-6851;width:459;height:153" type="#_x0000_t75" stroked="false">
              <v:imagedata r:id="rId44" o:title=""/>
            </v:shape>
            <v:shape style="position:absolute;left:8065;top:-6438;width:128;height:1365" coordorigin="8065,-6437" coordsize="128,1365" path="m8193,-5107l8101,-5107,8101,-5108,8101,-6437,8065,-6437,8065,-5108,8065,-5091,8065,-5073,8101,-5073,8101,-5072,8193,-5072,8193,-5107xe" filled="true" fillcolor="#9c9c9c" stroked="false">
              <v:path arrowok="t"/>
              <v:fill type="solid"/>
            </v:shape>
            <v:shape style="position:absolute;left:8154;top:-5168;width:159;height:153" type="#_x0000_t75" stroked="false">
              <v:imagedata r:id="rId45" o:title=""/>
            </v:shape>
            <v:shape style="position:absolute;left:8005;top:-6544;width:157;height:153" type="#_x0000_t75" stroked="false">
              <v:imagedata r:id="rId46" o:title=""/>
            </v:shape>
            <v:shape style="position:absolute;left:3887;top:-888;width:310;height:124" type="#_x0000_t75" stroked="false">
              <v:imagedata r:id="rId47" o:title=""/>
            </v:shape>
            <v:shape style="position:absolute;left:2287;top:-11130;width:7706;height:1719" coordorigin="2287,-11129" coordsize="7706,1719" path="m9840,-10098l9993,-10098,9993,-10251,9840,-10251,9840,-10098xm9840,-9410l9993,-9410,9993,-9563,9840,-9563,9840,-9410xm4728,-10978l4882,-10978,4882,-11129,4728,-11129,4728,-10978xm2287,-10824l2440,-10824,2440,-10978,2287,-10978,2287,-10824xm2287,-10671l2440,-10671,2440,-10824,2287,-10824,2287,-10671xm2287,-10518l2440,-10518,2440,-10671,2287,-10671,2287,-10518xm2287,-10366l2440,-10366,2440,-10518,2287,-10518,2287,-10366xm2287,-10213l2440,-10213,2440,-10366,2287,-10366,2287,-10213xm2287,-10060l2440,-10060,2440,-10213,2287,-10213,2287,-10060xm2287,-9907l2440,-9907,2440,-10060,2287,-10060,2287,-9907xm2287,-9755l2440,-9755,2440,-9907,2287,-9907,2287,-9755xm2287,-9602l2440,-9602,2440,-9755,2287,-9755,2287,-9602xm2287,-9448l2440,-9448,2440,-9602,2287,-9602,2287,-9448xe" filled="false" stroked="true" strokeweight=".12pt" strokecolor="#000000">
              <v:path arrowok="t"/>
              <v:stroke dashstyle="solid"/>
            </v:shape>
            <v:rect style="position:absolute;left:2349;top:-9296;width:37;height:917" filled="true" fillcolor="#131313" stroked="false">
              <v:fill type="solid"/>
            </v:rect>
            <v:rect style="position:absolute;left:2287;top:-9449;width:153;height:153" filled="false" stroked="true" strokeweight=".12pt" strokecolor="#000000">
              <v:stroke dashstyle="solid"/>
            </v:rect>
            <v:line style="position:absolute" from="2440,-10748" to="2827,-10747" stroked="true" strokeweight=".12pt" strokecolor="#000000">
              <v:stroke dashstyle="solid"/>
            </v:line>
            <v:shape style="position:absolute;left:2805;top:-10796;width:92;height:94" coordorigin="2805,-10795" coordsize="92,94" path="m2805,-10795l2809,-10784,2813,-10772,2815,-10748,2813,-10724,2809,-10713,2805,-10701,2897,-10748,2805,-10795xe" filled="true" fillcolor="#000000" stroked="false">
              <v:path arrowok="t"/>
              <v:fill type="solid"/>
            </v:shape>
            <v:line style="position:absolute" from="2440,-10595" to="2827,-10594" stroked="true" strokeweight=".12pt" strokecolor="#000000">
              <v:stroke dashstyle="solid"/>
            </v:line>
            <v:shape style="position:absolute;left:2805;top:-10643;width:92;height:94" coordorigin="2805,-10642" coordsize="92,94" path="m2805,-10642l2809,-10631,2813,-10619,2815,-10595,2813,-10572,2805,-10548,2897,-10595,2805,-10642xe" filled="true" fillcolor="#000000" stroked="false">
              <v:path arrowok="t"/>
              <v:fill type="solid"/>
            </v:shape>
            <v:line style="position:absolute" from="2440,-10443" to="2827,-10442" stroked="true" strokeweight=".12pt" strokecolor="#000000">
              <v:stroke dashstyle="solid"/>
            </v:line>
            <v:shape style="position:absolute;left:2805;top:-10490;width:92;height:93" coordorigin="2805,-10489" coordsize="92,93" path="m2805,-10489l2809,-10478,2813,-10466,2815,-10441,2813,-10419,2809,-10407,2805,-10396,2897,-10443,2805,-10489xe" filled="true" fillcolor="#000000" stroked="false">
              <v:path arrowok="t"/>
              <v:fill type="solid"/>
            </v:shape>
            <v:line style="position:absolute" from="2440,-10290" to="2827,-10289" stroked="true" strokeweight=".12pt" strokecolor="#000000">
              <v:stroke dashstyle="solid"/>
            </v:line>
            <v:shape style="position:absolute;left:2805;top:-10338;width:92;height:94" coordorigin="2805,-10337" coordsize="92,94" path="m2805,-10337l2809,-10325,2813,-10314,2815,-10290,2813,-10265,2809,-10253,2805,-10243,2897,-10290,2805,-10337xe" filled="true" fillcolor="#000000" stroked="false">
              <v:path arrowok="t"/>
              <v:fill type="solid"/>
            </v:shape>
            <v:line style="position:absolute" from="2440,-10136" to="2827,-10135" stroked="true" strokeweight=".12pt" strokecolor="#000000">
              <v:stroke dashstyle="solid"/>
            </v:line>
            <v:shape style="position:absolute;left:2805;top:-10185;width:92;height:95" coordorigin="2805,-10184" coordsize="92,95" path="m2805,-10184l2809,-10171,2813,-10161,2815,-10136,2813,-10112,2809,-10100,2805,-10089,2897,-10136,2805,-10184xe" filled="true" fillcolor="#000000" stroked="false">
              <v:path arrowok="t"/>
              <v:fill type="solid"/>
            </v:shape>
            <v:line style="position:absolute" from="2440,-9983" to="2827,-9982" stroked="true" strokeweight=".12pt" strokecolor="#000000">
              <v:stroke dashstyle="solid"/>
            </v:line>
            <v:shape style="position:absolute;left:2805;top:-10031;width:92;height:94" coordorigin="2805,-10030" coordsize="92,94" path="m2805,-10030l2809,-10020,2813,-10007,2815,-9983,2813,-9959,2809,-9948,2805,-9936,2897,-9983,2805,-10030xe" filled="true" fillcolor="#000000" stroked="false">
              <v:path arrowok="t"/>
              <v:fill type="solid"/>
            </v:shape>
            <v:line style="position:absolute" from="2440,-9830" to="2827,-9829" stroked="true" strokeweight=".12pt" strokecolor="#000000">
              <v:stroke dashstyle="solid"/>
            </v:line>
            <v:shape style="position:absolute;left:2805;top:-9878;width:92;height:93" coordorigin="2805,-9877" coordsize="92,93" path="m2805,-9877l2809,-9866,2813,-9854,2815,-9830,2813,-9807,2809,-9795,2805,-9784,2897,-9830,2805,-9877xe" filled="true" fillcolor="#000000" stroked="false">
              <v:path arrowok="t"/>
              <v:fill type="solid"/>
            </v:shape>
            <v:line style="position:absolute" from="2440,-9678" to="2827,-9677" stroked="true" strokeweight=".12pt" strokecolor="#000000">
              <v:stroke dashstyle="solid"/>
            </v:line>
            <v:shape style="position:absolute;left:2805;top:-9725;width:92;height:93" coordorigin="2805,-9724" coordsize="92,93" path="m2805,-9724l2809,-9713,2813,-9701,2815,-9678,2813,-9654,2809,-9642,2805,-9631,2897,-9678,2805,-9724xe" filled="true" fillcolor="#000000" stroked="false">
              <v:path arrowok="t"/>
              <v:fill type="solid"/>
            </v:shape>
            <v:line style="position:absolute" from="2440,-9525" to="2827,-9524" stroked="true" strokeweight=".12pt" strokecolor="#000000">
              <v:stroke dashstyle="solid"/>
            </v:line>
            <v:shape style="position:absolute;left:2805;top:-9573;width:92;height:94" coordorigin="2805,-9572" coordsize="92,94" path="m2805,-9572l2809,-9560,2813,-9549,2815,-9525,2813,-9501,2809,-9489,2805,-9478,2897,-9525,2805,-9572xe" filled="true" fillcolor="#000000" stroked="false">
              <v:path arrowok="t"/>
              <v:fill type="solid"/>
            </v:shape>
            <v:line style="position:absolute" from="2440,-9372" to="2827,-9371" stroked="true" strokeweight=".12pt" strokecolor="#000000">
              <v:stroke dashstyle="solid"/>
            </v:line>
            <v:shape style="position:absolute;left:2805;top:-9420;width:92;height:94" coordorigin="2805,-9419" coordsize="92,94" path="m2805,-9419l2809,-9408,2813,-9396,2815,-9372,2813,-9348,2809,-9337,2805,-9325,2897,-9372,2805,-9419xe" filled="true" fillcolor="#000000" stroked="false">
              <v:path arrowok="t"/>
              <v:fill type="solid"/>
            </v:shape>
            <v:rect style="position:absolute;left:2349;top:-8227;width:37;height:77" filled="true" fillcolor="#131313" stroked="false">
              <v:fill type="solid"/>
            </v:rect>
            <v:rect style="position:absolute;left:2287;top:-8379;width:153;height:152" filled="false" stroked="true" strokeweight=".12pt" strokecolor="#000000">
              <v:stroke dashstyle="solid"/>
            </v:rect>
            <v:rect style="position:absolute;left:2349;top:-7997;width:37;height:1682" filled="true" fillcolor="#131313" stroked="false">
              <v:fill type="solid"/>
            </v:rect>
            <v:shape style="position:absolute;left:2285;top:-8151;width:613;height:156" type="#_x0000_t75" stroked="false">
              <v:imagedata r:id="rId48" o:title=""/>
            </v:shape>
            <v:line style="position:absolute" from="2440,-8302" to="2827,-8301" stroked="true" strokeweight=".12pt" strokecolor="#000000">
              <v:stroke dashstyle="solid"/>
            </v:line>
            <v:shape style="position:absolute;left:2805;top:-8349;width:92;height:93" coordorigin="2805,-8348" coordsize="92,93" path="m2805,-8348l2809,-8337,2813,-8325,2815,-8302,2813,-8278,2809,-8266,2805,-8255,2897,-8302,2805,-8348xe" filled="true" fillcolor="#000000" stroked="false">
              <v:path arrowok="t"/>
              <v:fill type="solid"/>
            </v:shape>
            <v:line style="position:absolute" from="3051,-9066" to="3052,-9224" stroked="true" strokeweight=".12pt" strokecolor="#000000">
              <v:stroke dashstyle="solid"/>
            </v:line>
            <v:shape style="position:absolute;left:3004;top:-9296;width:92;height:94" coordorigin="3004,-9295" coordsize="92,94" path="m3051,-9295l3004,-9201,3014,-9207,3026,-9211,3051,-9213,3073,-9211,3086,-9207,3096,-9201,3051,-9295xe" filled="true" fillcolor="#000000" stroked="false">
              <v:path arrowok="t"/>
              <v:fill type="solid"/>
            </v:shape>
            <v:rect style="position:absolute;left:2349;top:-6163;width:37;height:2638" filled="true" fillcolor="#131313" stroked="false">
              <v:fill type="solid"/>
            </v:rect>
            <v:shape style="position:absolute;left:2285;top:-6316;width:460;height:155" type="#_x0000_t75" stroked="false">
              <v:imagedata r:id="rId49" o:title=""/>
            </v:shape>
            <v:rect style="position:absolute;left:2349;top:-3372;width:37;height:114" filled="true" fillcolor="#131313" stroked="false">
              <v:fill type="solid"/>
            </v:rect>
            <v:rect style="position:absolute;left:2287;top:-3525;width:153;height:153" filled="false" stroked="true" strokeweight=".12pt" strokecolor="#000000">
              <v:stroke dashstyle="solid"/>
            </v:rect>
            <v:rect style="position:absolute;left:2349;top:-3105;width:37;height:383" filled="true" fillcolor="#131313" stroked="false">
              <v:fill type="solid"/>
            </v:rect>
            <v:rect style="position:absolute;left:2287;top:-3258;width:153;height:153" filled="false" stroked="true" strokeweight=".12pt" strokecolor="#000000">
              <v:stroke dashstyle="solid"/>
            </v:rect>
            <v:shape style="position:absolute;left:2651;top:-3496;width:94;height:95" coordorigin="2651,-3495" coordsize="94,95" path="m2651,-3495l2657,-3482,2661,-3472,2663,-3447,2661,-3423,2657,-3411,2651,-3400,2745,-3447,2651,-3495xe" filled="true" fillcolor="#000000" stroked="false">
              <v:path arrowok="t"/>
              <v:fill type="solid"/>
            </v:shape>
            <v:line style="position:absolute" from="2745,-3180" to="2511,-3179" stroked="true" strokeweight=".12pt" strokecolor="#000000">
              <v:stroke dashstyle="solid"/>
            </v:line>
            <v:shape style="position:absolute;left:2440;top:-3228;width:93;height:94" coordorigin="2440,-3227" coordsize="93,94" path="m2533,-3227l2440,-3180,2533,-3133,2529,-3144,2525,-3156,2524,-3168,2522,-3180,2524,-3192,2525,-3204,2529,-3215,2533,-3227xe" filled="true" fillcolor="#000000" stroked="false">
              <v:path arrowok="t"/>
              <v:fill type="solid"/>
            </v:shape>
            <v:rect style="position:absolute;left:2349;top:-2570;width:37;height:153" filled="true" fillcolor="#131313" stroked="false">
              <v:fill type="solid"/>
            </v:rect>
            <v:shape style="position:absolute;left:2287;top:-2722;width:153;height:459" coordorigin="2287,-2721" coordsize="153,459" path="m2287,-2569l2440,-2569,2440,-2721,2287,-2721,2287,-2569xm2287,-2262l2440,-2262,2440,-2416,2287,-2416,2287,-2262xe" filled="false" stroked="true" strokeweight=".12pt" strokecolor="#000000">
              <v:path arrowok="t"/>
              <v:stroke dashstyle="solid"/>
            </v:shape>
            <v:line style="position:absolute" from="2440,-2645" to="2674,-2644" stroked="true" strokeweight=".12pt" strokecolor="#000000">
              <v:stroke dashstyle="solid"/>
            </v:line>
            <v:shape style="position:absolute;left:2651;top:-2692;width:94;height:93" coordorigin="2651,-2691" coordsize="94,93" path="m2651,-2691l2657,-2680,2661,-2668,2663,-2644,2661,-2621,2657,-2609,2651,-2598,2745,-2645,2651,-2691xe" filled="true" fillcolor="#000000" stroked="false">
              <v:path arrowok="t"/>
              <v:fill type="solid"/>
            </v:shape>
            <v:line style="position:absolute" from="2745,-2339" to="2511,-2338" stroked="true" strokeweight=".12pt" strokecolor="#000000">
              <v:stroke dashstyle="solid"/>
            </v:line>
            <v:shape style="position:absolute;left:2440;top:-2387;width:93;height:94" coordorigin="2440,-2386" coordsize="93,94" path="m2533,-2386l2440,-2339,2533,-2292,2529,-2304,2525,-2315,2524,-2327,2522,-2339,2524,-2351,2525,-2363,2529,-2374,2533,-2386xe" filled="true" fillcolor="#000000" stroked="false">
              <v:path arrowok="t"/>
              <v:fill type="solid"/>
            </v:shape>
            <v:rect style="position:absolute;left:7018;top:-11073;width:75;height:37" filled="true" fillcolor="#131313" stroked="false">
              <v:fill type="solid"/>
            </v:rect>
            <v:rect style="position:absolute;left:6865;top:-11130;width:153;height:151" filled="false" stroked="true" strokeweight=".12pt" strokecolor="#000000">
              <v:stroke dashstyle="solid"/>
            </v:rect>
            <v:rect style="position:absolute;left:7246;top:-11073;width:306;height:37" filled="true" fillcolor="#131313" stroked="false">
              <v:fill type="solid"/>
            </v:rect>
            <v:rect style="position:absolute;left:7093;top:-11130;width:153;height:151" filled="false" stroked="true" strokeweight=".12pt" strokecolor="#000000">
              <v:stroke dashstyle="solid"/>
            </v:rect>
            <v:rect style="position:absolute;left:7703;top:-11073;width:306;height:37" filled="true" fillcolor="#131313" stroked="false">
              <v:fill type="solid"/>
            </v:rect>
            <v:shape style="position:absolute;left:7552;top:-11130;width:1754;height:151" coordorigin="7552,-11129" coordsize="1754,151" path="m7552,-10978l7703,-10978,7703,-11129,7552,-11129,7552,-10978xm8542,-10978l8696,-10978,8696,-11129,8542,-11129,8542,-10978xm9153,-10978l9306,-10978,9306,-11129,9153,-11129,9153,-10978xe" filled="false" stroked="true" strokeweight=".12pt" strokecolor="#000000">
              <v:path arrowok="t"/>
              <v:stroke dashstyle="solid"/>
            </v:shape>
            <v:line style="position:absolute" from="3317,-7531" to="3318,-7729" stroked="true" strokeweight=".12pt" strokecolor="#000000">
              <v:stroke dashstyle="solid"/>
            </v:line>
            <v:shape style="position:absolute;left:3271;top:-7555;width:93;height:93" coordorigin="3271,-7554" coordsize="93,93" path="m3364,-7554l3353,-7550,3341,-7546,3329,-7544,3317,-7543,3305,-7544,3294,-7546,3282,-7550,3271,-7554,3317,-7461,3364,-7554xe" filled="true" fillcolor="#000000" stroked="false">
              <v:path arrowok="t"/>
              <v:fill type="solid"/>
            </v:shape>
            <v:line style="position:absolute" from="3966,-8105" to="3967,-8302" stroked="true" strokeweight=".12pt" strokecolor="#000000">
              <v:stroke dashstyle="solid"/>
            </v:line>
            <v:shape style="position:absolute;left:3919;top:-10146;width:1725;height:2111" coordorigin="3919,-10145" coordsize="1725,2111" path="m4012,-8128l4001,-8122,3989,-8120,3978,-8117,3954,-8117,3942,-8120,3930,-8122,3919,-8128,3966,-8034,4012,-8128xm5644,-10098l5551,-10145,5555,-10134,5559,-10122,5561,-10110,5562,-10098,5561,-10085,5559,-10075,5555,-10063,5551,-10052,5644,-10098xe" filled="true" fillcolor="#000000" stroked="false">
              <v:path arrowok="t"/>
              <v:fill type="solid"/>
            </v:shape>
            <v:line style="position:absolute" from="6559,-10060" to="6870,-10059" stroked="true" strokeweight=".12pt" strokecolor="#000000">
              <v:stroke dashstyle="solid"/>
            </v:line>
            <v:shape style="position:absolute;left:6847;top:-10108;width:94;height:94" coordorigin="6847,-10107" coordsize="94,94" path="m6847,-10107l6853,-10095,6855,-10084,6858,-10072,6858,-10048,6855,-10036,6853,-10025,6847,-10013,6941,-10060,6847,-10107xe" filled="true" fillcolor="#000000" stroked="false">
              <v:path arrowok="t"/>
              <v:fill type="solid"/>
            </v:shape>
            <v:line style="position:absolute" from="5497,-6467" to="5569,-6466" stroked="true" strokeweight=".12pt" strokecolor="#000000">
              <v:stroke dashstyle="solid"/>
            </v:line>
            <v:line style="position:absolute" from="3584,-6543" to="4429,-6542" stroked="true" strokeweight=".12pt" strokecolor="#000000">
              <v:stroke dashstyle="solid"/>
            </v:line>
            <v:shape style="position:absolute;left:4406;top:-6591;width:94;height:94" coordorigin="4406,-6590" coordsize="94,94" path="m4406,-6590l4415,-6568,4416,-6555,4418,-6543,4416,-6531,4415,-6519,4411,-6508,4406,-6496,4500,-6543,4406,-6590xe" filled="true" fillcolor="#000000" stroked="false">
              <v:path arrowok="t"/>
              <v:fill type="solid"/>
            </v:shape>
            <v:shape style="position:absolute;left:4728;top:-734;width:2137;height:152" coordorigin="4728,-733" coordsize="2137,152" path="m6713,-581l6865,-581,6865,-733,6713,-733,6713,-581xm4728,-581l4882,-581,4882,-733,4728,-733,4728,-581xe" filled="false" stroked="true" strokeweight=".12pt" strokecolor="#000000">
              <v:path arrowok="t"/>
              <v:stroke dashstyle="solid"/>
            </v:shape>
            <v:line style="position:absolute" from="3661,-1913" to="3662,-1917" stroked="true" strokeweight=".12pt" strokecolor="#000000">
              <v:stroke dashstyle="solid"/>
            </v:line>
            <v:line style="position:absolute" from="4805,-1193" to="4806,-733" stroked="true" strokeweight=".12pt" strokecolor="#000000">
              <v:stroke dashstyle="solid"/>
            </v:line>
            <v:line style="position:absolute" from="6102,-1574" to="6336,-1573" stroked="true" strokeweight=".12pt" strokecolor="#000000">
              <v:stroke dashstyle="solid"/>
            </v:line>
            <v:shape style="position:absolute;left:6313;top:-1622;width:95;height:94" coordorigin="6313,-1621" coordsize="95,94" path="m6313,-1621l6319,-1611,6321,-1599,6324,-1586,6324,-1562,6321,-1550,6319,-1539,6313,-1527,6408,-1574,6313,-1621xe" filled="true" fillcolor="#000000" stroked="false">
              <v:path arrowok="t"/>
              <v:fill type="solid"/>
            </v:shape>
            <v:rect style="position:absolute;left:7933;top:-734;width:152;height:152" filled="false" stroked="true" strokeweight=".12pt" strokecolor="#000000">
              <v:stroke dashstyle="solid"/>
            </v:rect>
            <v:shape style="position:absolute;left:5780;top:-3646;width:94;height:244" coordorigin="5780,-3645" coordsize="94,244" path="m5874,-3447l5780,-3493,5782,-3486,5784,-3482,5789,-3470,5789,-3468,5790,-3461,5790,-3434,5789,-3427,5789,-3422,5786,-3418,5784,-3413,5782,-3406,5780,-3402,5874,-3447xm5874,-3601l5780,-3645,5782,-3640,5784,-3636,5786,-3630,5789,-3624,5789,-3619,5790,-3614,5790,-3586,5789,-3581,5789,-3575,5786,-3571,5784,-3564,5782,-3559,5780,-3555,5874,-3601xe" filled="true" fillcolor="#000000" stroked="false">
              <v:path arrowok="t"/>
              <v:fill type="solid"/>
            </v:shape>
            <v:line style="position:absolute" from="7703,-4784" to="8244,-4783" stroked="true" strokeweight=".12pt" strokecolor="#000000">
              <v:stroke dashstyle="solid"/>
            </v:line>
            <v:shape style="position:absolute;left:8221;top:-4833;width:93;height:93" coordorigin="8221,-4832" coordsize="93,93" path="m8221,-4832l8225,-4821,8229,-4809,8230,-4797,8232,-4784,8230,-4774,8229,-4762,8225,-4750,8221,-4739,8314,-4784,8221,-4832xe" filled="true" fillcolor="#000000" stroked="false">
              <v:path arrowok="t"/>
              <v:fill type="solid"/>
            </v:shape>
            <v:line style="position:absolute" from="7703,-4938" to="8244,-4937" stroked="true" strokeweight=".12pt" strokecolor="#000000">
              <v:stroke dashstyle="solid"/>
            </v:line>
            <v:shape style="position:absolute;left:8221;top:-4986;width:93;height:94" coordorigin="8221,-4985" coordsize="93,94" path="m8221,-4985l8225,-4974,8229,-4962,8230,-4950,8232,-4938,8230,-4926,8229,-4913,8225,-4903,8221,-4891,8314,-4938,8221,-4985xe" filled="true" fillcolor="#000000" stroked="false">
              <v:path arrowok="t"/>
              <v:fill type="solid"/>
            </v:shape>
            <v:line style="position:absolute" from="8772,-2569" to="8773,-2066" stroked="true" strokeweight=".12pt" strokecolor="#000000">
              <v:stroke dashstyle="solid"/>
            </v:line>
            <v:shape style="position:absolute;left:8725;top:-2090;width:93;height:94" coordorigin="8725,-2089" coordsize="93,94" path="m8818,-2089l8807,-2084,8795,-2080,8784,-2078,8772,-2077,8760,-2078,8748,-2080,8736,-2084,8725,-2089,8772,-1995,8818,-2089xe" filled="true" fillcolor="#000000" stroked="false">
              <v:path arrowok="t"/>
              <v:fill type="solid"/>
            </v:shape>
            <v:rect style="position:absolute;left:9895;top:-4174;width:36;height:76" filled="true" fillcolor="#131313" stroked="false">
              <v:fill type="solid"/>
            </v:rect>
            <v:rect style="position:absolute;left:9840;top:-4098;width:153;height:152" filled="false" stroked="true" strokeweight=".12pt" strokecolor="#000000">
              <v:stroke dashstyle="solid"/>
            </v:rect>
            <v:line style="position:absolute" from="9840,-4021" to="9224,-4020" stroked="true" strokeweight=".12pt" strokecolor="#000000">
              <v:stroke dashstyle="solid"/>
            </v:line>
            <v:shape style="position:absolute;left:9153;top:-4068;width:94;height:93" coordorigin="9153,-4067" coordsize="94,93" path="m9247,-4067l9153,-4021,9247,-3974,9241,-3985,9239,-3997,9236,-4009,9236,-4032,9239,-4044,9241,-4056,9247,-4067xe" filled="true" fillcolor="#000000" stroked="false">
              <v:path arrowok="t"/>
              <v:fill type="solid"/>
            </v:shape>
            <v:rect style="position:absolute;left:9840;top:-4327;width:153;height:153" filled="false" stroked="true" strokeweight=".12pt" strokecolor="#000000">
              <v:stroke dashstyle="solid"/>
            </v:rect>
            <v:line style="position:absolute" from="9840,-4250" to="9224,-4249" stroked="true" strokeweight=".12pt" strokecolor="#000000">
              <v:stroke dashstyle="solid"/>
            </v:line>
            <v:shape style="position:absolute;left:9153;top:-4298;width:94;height:94" coordorigin="9153,-4297" coordsize="94,94" path="m9247,-4297l9153,-4250,9247,-4203,9241,-4215,9239,-4225,9236,-4238,9236,-4262,9239,-4274,9241,-4286,9247,-4297xe" filled="true" fillcolor="#000000" stroked="false">
              <v:path arrowok="t"/>
              <v:fill type="solid"/>
            </v:shape>
            <v:rect style="position:absolute;left:9840;top:-5283;width:153;height:154" filled="false" stroked="true" strokeweight=".12pt" strokecolor="#000000">
              <v:stroke dashstyle="solid"/>
            </v:rect>
            <v:rect style="position:absolute;left:9895;top:-5856;width:36;height:153" filled="true" fillcolor="#131313" stroked="false">
              <v:fill type="solid"/>
            </v:rect>
            <v:rect style="position:absolute;left:9840;top:-6010;width:153;height:154" filled="false" stroked="true" strokeweight=".12pt" strokecolor="#000000">
              <v:stroke dashstyle="solid"/>
            </v:rect>
            <v:line style="position:absolute" from="9344,-5970" to="9268,-5896" stroked="true" strokeweight=".12pt" strokecolor="#000000">
              <v:stroke dashstyle="solid"/>
            </v:line>
            <v:line style="position:absolute" from="9077,-5932" to="9770,-5931" stroked="true" strokeweight=".12pt" strokecolor="#000000">
              <v:stroke dashstyle="solid"/>
            </v:line>
            <v:shape style="position:absolute;left:9747;top:-5980;width:93;height:94" coordorigin="9747,-5979" coordsize="93,94" path="m9747,-5979l9751,-5967,9755,-5956,9756,-5944,9758,-5932,9756,-5920,9755,-5908,9751,-5896,9747,-5885,9840,-5932,9747,-5979xe" filled="true" fillcolor="#000000" stroked="false">
              <v:path arrowok="t"/>
              <v:fill type="solid"/>
            </v:shape>
            <v:shape style="position:absolute;left:8009;top:-11130;width:1984;height:3286" coordorigin="8009,-11129" coordsize="1984,3286" path="m8009,-10978l8162,-10978,8162,-11129,8009,-11129,8009,-10978xm9840,-7843l9993,-7843,9993,-7996,9840,-7996,9840,-7843xe" filled="false" stroked="true" strokeweight=".12pt" strokecolor="#000000">
              <v:path arrowok="t"/>
              <v:stroke dashstyle="solid"/>
            </v:shape>
            <v:line style="position:absolute" from="8390,-7535" to="8391,-7308" stroked="true" strokeweight=".12pt" strokecolor="#000000">
              <v:stroke dashstyle="solid"/>
            </v:line>
            <v:line style="position:absolute" from="8237,-7538" to="8390,-7537" stroked="true" strokeweight=".12pt" strokecolor="#000000">
              <v:stroke dashstyle="solid"/>
            </v:line>
            <v:line style="position:absolute" from="9077,-6925" to="9229,-6924" stroked="true" strokeweight=".12pt" strokecolor="#000000">
              <v:stroke dashstyle="solid"/>
            </v:line>
            <v:line style="position:absolute" from="9077,-6811" to="9229,-6810" stroked="true" strokeweight=".12pt" strokecolor="#000000">
              <v:stroke dashstyle="solid"/>
            </v:line>
            <v:line style="position:absolute" from="9077,-6697" to="9229,-6696" stroked="true" strokeweight=".12pt" strokecolor="#000000">
              <v:stroke dashstyle="solid"/>
            </v:line>
            <v:shape style="position:absolute;left:5855;top:-5950;width:1867;height:1564" coordorigin="5855,-5949" coordsize="1867,1564" path="m5891,-4420l5855,-4420,5855,-4385,5891,-4385,5891,-4420xm6425,-5185l6389,-5185,6389,-5150,6425,-5150,6425,-5185xm7492,-5949l7456,-5949,7456,-5915,7492,-5915,7492,-5949xm7722,-5643l7686,-5643,7686,-5608,7722,-5608,7722,-5643xe" filled="true" fillcolor="#9c9c9c" stroked="false">
              <v:path arrowok="t"/>
              <v:fill type="solid"/>
            </v:shape>
            <v:line style="position:absolute" from="4576,-10366" to="5573,-10365" stroked="true" strokeweight=".12pt" strokecolor="#000000">
              <v:stroke dashstyle="solid"/>
            </v:line>
            <v:shape style="position:absolute;left:5551;top:-10413;width:93;height:93" coordorigin="5551,-10412" coordsize="93,93" path="m5551,-10412l5555,-10401,5559,-10389,5561,-10377,5562,-10366,5561,-10354,5559,-10342,5555,-10330,5551,-10319,5644,-10366,5551,-10412xe" filled="true" fillcolor="#000000" stroked="false">
              <v:path arrowok="t"/>
              <v:fill type="solid"/>
            </v:shape>
            <v:shape style="position:absolute;left:6408;top:-476;width:383;height:324" type="#_x0000_t75" stroked="false">
              <v:imagedata r:id="rId50" o:title=""/>
            </v:shape>
            <v:rect style="position:absolute;left:9840;top:-5703;width:153;height:153" filled="false" stroked="true" strokeweight=".12pt" strokecolor="#000000">
              <v:stroke dashstyle="solid"/>
            </v:rect>
            <v:line style="position:absolute" from="9611,-5626" to="9770,-5625" stroked="true" strokeweight=".12pt" strokecolor="#000000">
              <v:stroke dashstyle="solid"/>
            </v:line>
            <v:shape style="position:absolute;left:9747;top:-5674;width:93;height:94" coordorigin="9747,-5673" coordsize="93,94" path="m9747,-5673l9751,-5662,9755,-5650,9756,-5638,9758,-5626,9756,-5614,9755,-5601,9751,-5591,9747,-5579,9840,-5626,9747,-5673xe" filled="true" fillcolor="#000000" stroked="false">
              <v:path arrowok="t"/>
              <v:fill type="solid"/>
            </v:shape>
            <v:shape style="position:absolute;left:9077;top:-5780;width:611;height:153" coordorigin="9077,-5779" coordsize="611,153" path="m9077,-5779l9688,-5779,9688,-5626e" filled="false" stroked="true" strokeweight=".12pt" strokecolor="#000000">
              <v:path arrowok="t"/>
              <v:stroke dashstyle="solid"/>
            </v:shape>
            <v:shape style="position:absolute;left:9638;top:-5717;width:95;height:180" coordorigin="9639,-5716" coordsize="95,180" path="m9734,-5536l9688,-5626,9641,-5536,9645,-5538,9650,-5540,9657,-5541,9661,-5544,9668,-5544,9673,-5545,9701,-5545,9708,-5544,9712,-5544,9717,-5541,9724,-5540,9728,-5538,9734,-5536xm9734,-5716l9723,-5713,9717,-5710,9711,-5709,9707,-5706,9695,-5706,9688,-5705,9682,-5705,9678,-5706,9666,-5706,9660,-5709,9656,-5710,9650,-5713,9643,-5714,9639,-5716,9686,-5626,9734,-5716xe" filled="true" fillcolor="#000000" stroked="false">
              <v:path arrowok="t"/>
              <v:fill type="solid"/>
            </v:shape>
            <v:line style="position:absolute" from="9763,-1498" to="9764,-5472" stroked="true" strokeweight=".12pt" strokecolor="#000000">
              <v:stroke dashstyle="solid"/>
            </v:line>
            <v:line style="position:absolute" from="9801,-4897" to="9725,-4823" stroked="true" strokeweight=".12pt" strokecolor="#000000">
              <v:stroke dashstyle="solid"/>
            </v:line>
            <v:rect style="position:absolute;left:9153;top:-1346;width:535;height:459" filled="false" stroked="true" strokeweight=".12pt" strokecolor="#000000">
              <v:stroke dashstyle="solid"/>
            </v:rect>
            <v:line style="position:absolute" from="9763,-1498" to="8810,-1497" stroked="true" strokeweight=".12pt" strokecolor="#000000">
              <v:stroke dashstyle="solid"/>
            </v:line>
            <v:line style="position:absolute" from="8810,-1345" to="8811,-1427" stroked="true" strokeweight=".12pt" strokecolor="#000000">
              <v:stroke dashstyle="solid"/>
            </v:line>
            <v:shape style="position:absolute;left:8763;top:-1499;width:94;height:93" coordorigin="8763,-1498" coordsize="94,93" path="m8810,-1498l8763,-1405,8775,-1409,8786,-1413,8798,-1414,8810,-1416,8822,-1414,8834,-1413,8845,-1409,8857,-1405,8810,-1498xe" filled="true" fillcolor="#000000" stroked="false">
              <v:path arrowok="t"/>
              <v:fill type="solid"/>
            </v:shape>
            <v:line style="position:absolute" from="9420,-1345" to="9421,-1427" stroked="true" strokeweight=".12pt" strokecolor="#000000">
              <v:stroke dashstyle="solid"/>
            </v:line>
            <v:shape style="position:absolute;left:9373;top:-1499;width:94;height:93" coordorigin="9373,-1498" coordsize="94,93" path="m9420,-1498l9373,-1405,9385,-1409,9396,-1413,9408,-1414,9420,-1416,9432,-1414,9444,-1413,9455,-1409,9467,-1405,9420,-1498xe" filled="true" fillcolor="#000000" stroked="false">
              <v:path arrowok="t"/>
              <v:fill type="solid"/>
            </v:shape>
            <v:rect style="position:absolute;left:7991;top:-9925;width:36;height:35" filled="true" fillcolor="#9c9c9c" stroked="false">
              <v:fill type="solid"/>
            </v:rect>
            <v:shape style="position:absolute;left:7857;top:-2875;width:458;height:153" type="#_x0000_t75" stroked="false">
              <v:imagedata r:id="rId51" o:title=""/>
            </v:shape>
            <v:shape style="position:absolute;left:7855;top:-3411;width:459;height:153" type="#_x0000_t75" stroked="false">
              <v:imagedata r:id="rId52" o:title=""/>
            </v:shape>
            <v:line style="position:absolute" from="9611,-3333" to="9224,-3332" stroked="true" strokeweight=".12pt" strokecolor="#000000">
              <v:stroke dashstyle="solid"/>
            </v:line>
            <v:shape style="position:absolute;left:9153;top:-3380;width:94;height:93" coordorigin="9153,-3379" coordsize="94,93" path="m9247,-3379l9153,-3333,9247,-3286,9241,-3297,9239,-3309,9236,-3321,9236,-3344,9239,-3356,9241,-3368,9247,-3379xe" filled="true" fillcolor="#000000" stroked="false">
              <v:path arrowok="t"/>
              <v:fill type="solid"/>
            </v:shape>
            <v:line style="position:absolute" from="9611,-4020" to="9612,-3333" stroked="true" strokeweight=".12pt" strokecolor="#000000">
              <v:stroke dashstyle="solid"/>
            </v:line>
            <v:line style="position:absolute" from="9344,-3868" to="9224,-3867" stroked="true" strokeweight=".12pt" strokecolor="#000000">
              <v:stroke dashstyle="solid"/>
            </v:line>
            <v:shape style="position:absolute;left:9152;top:-4040;width:478;height:218" coordorigin="9153,-4039" coordsize="478,218" path="m9247,-3915l9153,-3868,9247,-3821,9241,-3832,9239,-3844,9236,-3856,9236,-3880,9239,-3892,9241,-3903,9247,-3915xm9630,-4021l9626,-4031,9617,-4039,9604,-4039,9596,-4031,9592,-4021,9596,-4009,9604,-4002,9617,-4002,9626,-4009,9630,-4021xe" filled="true" fillcolor="#000000" stroked="false">
              <v:path arrowok="t"/>
              <v:fill type="solid"/>
            </v:shape>
            <v:shape style="position:absolute;left:9592;top:-4040;width:38;height:37" coordorigin="9592,-4039" coordsize="38,37" path="m9592,-4021l9596,-4031,9604,-4039,9617,-4039,9626,-4031,9630,-4021,9626,-4009,9617,-4002,9604,-4002,9596,-4009,9592,-4021xe" filled="false" stroked="true" strokeweight=".12pt" strokecolor="#000000">
              <v:path arrowok="t"/>
              <v:stroke dashstyle="solid"/>
            </v:shape>
            <v:rect style="position:absolute;left:9306;top:-3028;width:382;height:458" filled="false" stroked="true" strokeweight=".12pt" strokecolor="#000000">
              <v:stroke dashstyle="solid"/>
            </v:rect>
            <v:line style="position:absolute" from="9458,-3333" to="9459,-3098" stroked="true" strokeweight=".12pt" strokecolor="#000000">
              <v:stroke dashstyle="solid"/>
            </v:line>
            <v:shape style="position:absolute;left:9411;top:-3352;width:93;height:325" coordorigin="9412,-3351" coordsize="93,325" path="m9478,-3333l9474,-3343,9463,-3351,9451,-3351,9443,-3343,9439,-3333,9443,-3321,9451,-3314,9463,-3314,9474,-3321,9478,-3333xm9505,-3121l9494,-3116,9482,-3112,9470,-3110,9459,-3109,9447,-3110,9435,-3112,9423,-3116,9412,-3121,9458,-3027,9505,-3121xe" filled="true" fillcolor="#000000" stroked="false">
              <v:path arrowok="t"/>
              <v:fill type="solid"/>
            </v:shape>
            <v:shape style="position:absolute;left:9439;top:-3352;width:39;height:37" coordorigin="9439,-3351" coordsize="39,37" path="m9439,-3333l9443,-3343,9451,-3351,9463,-3351,9474,-3343,9478,-3333,9474,-3321,9463,-3314,9451,-3314,9443,-3321,9439,-3333xe" filled="false" stroked="true" strokeweight=".12pt" strokecolor="#000000">
              <v:path arrowok="t"/>
              <v:stroke dashstyle="solid"/>
            </v:shape>
            <v:shape style="position:absolute;left:9688;top:-5627;width:75;height:154" coordorigin="9688,-5626" coordsize="75,154" path="m9763,-5472l9688,-5472,9688,-5626e" filled="false" stroked="true" strokeweight=".12pt" strokecolor="#000000">
              <v:path arrowok="t"/>
              <v:stroke dashstyle="solid"/>
            </v:shape>
            <v:shape style="position:absolute;left:8954;top:-2571;width:277;height:310" type="#_x0000_t75" stroked="false">
              <v:imagedata r:id="rId53" o:title=""/>
            </v:shape>
            <v:line style="position:absolute" from="9306,-2797" to="9224,-2796" stroked="true" strokeweight=".12pt" strokecolor="#000000">
              <v:stroke dashstyle="solid"/>
            </v:line>
            <v:shape style="position:absolute;left:9153;top:-2845;width:94;height:93" coordorigin="9153,-2844" coordsize="94,93" path="m9247,-2844l9153,-2797,9247,-2751,9241,-2762,9239,-2774,9236,-2785,9236,-2809,9239,-2821,9241,-2833,9247,-2844xe" filled="true" fillcolor="#000000" stroked="false">
              <v:path arrowok="t"/>
              <v:fill type="solid"/>
            </v:shape>
            <v:line style="position:absolute" from="8237,-1193" to="8472,-1192" stroked="true" strokeweight=".12pt" strokecolor="#000000">
              <v:stroke dashstyle="solid"/>
            </v:line>
            <v:shape style="position:absolute;left:8450;top:-1239;width:92;height:92" coordorigin="8450,-1238" coordsize="92,92" path="m8450,-1238l8455,-1228,8458,-1216,8460,-1205,8460,-1181,8458,-1169,8455,-1156,8450,-1146,8542,-1193,8450,-1238xe" filled="true" fillcolor="#000000" stroked="false">
              <v:path arrowok="t"/>
              <v:fill type="solid"/>
            </v:shape>
            <v:line style="position:absolute" from="8619,-3104" to="8620,-2066" stroked="true" strokeweight=".12pt" strokecolor="#000000">
              <v:stroke dashstyle="solid"/>
            </v:line>
            <v:shape style="position:absolute;left:8572;top:-2090;width:94;height:94" coordorigin="8572,-2089" coordsize="94,94" path="m8666,-2089l8655,-2084,8643,-2080,8631,-2078,8619,-2077,8607,-2078,8595,-2080,8584,-2084,8572,-2089,8619,-1995,8666,-2089xe" filled="true" fillcolor="#000000" stroked="false">
              <v:path arrowok="t"/>
              <v:fill type="solid"/>
            </v:shape>
            <v:line style="position:absolute" from="8542,-9754" to="8543,-7379" stroked="true" strokeweight=".12pt" strokecolor="#000000">
              <v:stroke dashstyle="solid"/>
            </v:line>
            <v:shape style="position:absolute;left:8497;top:-7403;width:92;height:94" coordorigin="8497,-7402" coordsize="92,94" path="m8589,-7402l8579,-7397,8567,-7393,8554,-7391,8544,-7390,8532,-7391,8520,-7393,8507,-7397,8497,-7402,8542,-7308,8589,-7402xe" filled="true" fillcolor="#000000" stroked="false">
              <v:path arrowok="t"/>
              <v:fill type="solid"/>
            </v:shape>
            <v:shape style="position:absolute;left:5726;top:-10835;width:818;height:217" type="#_x0000_t202" filled="false" stroked="false">
              <v:textbox inset="0,0,0,0">
                <w:txbxContent>
                  <w:p>
                    <w:pPr>
                      <w:spacing w:line="111" w:lineRule="exact" w:before="1"/>
                      <w:ind w:left="0" w:right="9" w:firstLine="0"/>
                      <w:jc w:val="center"/>
                      <w:rPr>
                        <w:rFonts w:ascii="Symbol" w:hAnsi="Symbol"/>
                        <w:sz w:val="10"/>
                      </w:rPr>
                    </w:pPr>
                    <w:r>
                      <w:rPr>
                        <w:rFonts w:ascii="Symbol" w:hAnsi="Symbol"/>
                        <w:sz w:val="10"/>
                      </w:rPr>
                      <w:t></w:t>
                    </w:r>
                  </w:p>
                  <w:p>
                    <w:pPr>
                      <w:spacing w:line="104" w:lineRule="exact" w:before="0"/>
                      <w:ind w:left="0" w:right="18" w:firstLine="0"/>
                      <w:jc w:val="center"/>
                      <w:rPr>
                        <w:sz w:val="10"/>
                      </w:rPr>
                    </w:pPr>
                    <w:r>
                      <w:rPr>
                        <w:sz w:val="10"/>
                      </w:rPr>
                      <w:t>AD CONVERTER</w:t>
                    </w:r>
                  </w:p>
                </w:txbxContent>
              </v:textbox>
              <w10:wrap type="none"/>
            </v:shape>
            <v:shape style="position:absolute;left:3040;top:-10549;width:445;height:351" type="#_x0000_t202" filled="false" stroked="false">
              <v:textbox inset="0,0,0,0">
                <w:txbxContent>
                  <w:p>
                    <w:pPr>
                      <w:spacing w:line="112" w:lineRule="exact" w:before="0"/>
                      <w:ind w:left="84" w:right="0" w:firstLine="0"/>
                      <w:jc w:val="left"/>
                      <w:rPr>
                        <w:sz w:val="10"/>
                      </w:rPr>
                    </w:pPr>
                    <w:r>
                      <w:rPr>
                        <w:sz w:val="10"/>
                      </w:rPr>
                      <w:t>MUX</w:t>
                    </w:r>
                  </w:p>
                  <w:p>
                    <w:pPr>
                      <w:spacing w:line="249" w:lineRule="auto" w:before="2"/>
                      <w:ind w:left="0" w:right="2" w:firstLine="105"/>
                      <w:jc w:val="left"/>
                      <w:rPr>
                        <w:sz w:val="10"/>
                      </w:rPr>
                    </w:pPr>
                    <w:r>
                      <w:rPr>
                        <w:sz w:val="10"/>
                      </w:rPr>
                      <w:t>and PREAMP</w:t>
                    </w:r>
                  </w:p>
                </w:txbxContent>
              </v:textbox>
              <w10:wrap type="none"/>
            </v:shape>
            <v:shape style="position:absolute;left:4125;top:-10597;width:318;height:113" type="#_x0000_t202" filled="false" stroked="false">
              <v:textbox inset="0,0,0,0">
                <w:txbxContent>
                  <w:p>
                    <w:pPr>
                      <w:spacing w:line="112" w:lineRule="exact" w:before="0"/>
                      <w:ind w:left="0" w:right="0" w:firstLine="0"/>
                      <w:jc w:val="left"/>
                      <w:rPr>
                        <w:sz w:val="10"/>
                      </w:rPr>
                    </w:pPr>
                    <w:r>
                      <w:rPr>
                        <w:sz w:val="10"/>
                      </w:rPr>
                      <w:t>VBIAS</w:t>
                    </w:r>
                  </w:p>
                </w:txbxContent>
              </v:textbox>
              <w10:wrap type="none"/>
            </v:shape>
            <v:shape style="position:absolute;left:5191;top:-10486;width:318;height:113" type="#_x0000_t202" filled="false" stroked="false">
              <v:textbox inset="0,0,0,0">
                <w:txbxContent>
                  <w:p>
                    <w:pPr>
                      <w:spacing w:line="112" w:lineRule="exact" w:before="0"/>
                      <w:ind w:left="0" w:right="0" w:firstLine="0"/>
                      <w:jc w:val="left"/>
                      <w:rPr>
                        <w:sz w:val="10"/>
                      </w:rPr>
                    </w:pPr>
                    <w:r>
                      <w:rPr>
                        <w:sz w:val="10"/>
                      </w:rPr>
                      <w:t>VBIAS</w:t>
                    </w:r>
                  </w:p>
                </w:txbxContent>
              </v:textbox>
              <w10:wrap type="none"/>
            </v:shape>
            <v:shape style="position:absolute;left:7243;top:-10369;width:185;height:113" type="#_x0000_t202" filled="false" stroked="false">
              <v:textbox inset="0,0,0,0">
                <w:txbxContent>
                  <w:p>
                    <w:pPr>
                      <w:spacing w:line="112" w:lineRule="exact" w:before="0"/>
                      <w:ind w:left="0" w:right="0" w:firstLine="0"/>
                      <w:jc w:val="left"/>
                      <w:rPr>
                        <w:sz w:val="10"/>
                      </w:rPr>
                    </w:pPr>
                    <w:r>
                      <w:rPr>
                        <w:sz w:val="10"/>
                      </w:rPr>
                      <w:t>FIR</w:t>
                    </w:r>
                  </w:p>
                </w:txbxContent>
              </v:textbox>
              <w10:wrap type="none"/>
            </v:shape>
            <v:shape style="position:absolute;left:5109;top:-10213;width:624;height:329" type="#_x0000_t202" filled="false" stroked="false">
              <v:textbox inset="0,0,0,0">
                <w:txbxContent>
                  <w:p>
                    <w:pPr>
                      <w:spacing w:line="232" w:lineRule="auto" w:before="0"/>
                      <w:ind w:left="0" w:right="0" w:firstLine="0"/>
                      <w:jc w:val="left"/>
                      <w:rPr>
                        <w:sz w:val="10"/>
                      </w:rPr>
                    </w:pPr>
                    <w:r>
                      <w:rPr>
                        <w:sz w:val="10"/>
                      </w:rPr>
                      <w:t>V</w:t>
                    </w:r>
                    <w:r>
                      <w:rPr>
                        <w:sz w:val="10"/>
                        <w:u w:val="single"/>
                      </w:rPr>
                      <w:t>3P3A</w:t>
                    </w:r>
                    <w:r>
                      <w:rPr>
                        <w:sz w:val="10"/>
                      </w:rPr>
                      <w:t> </w:t>
                    </w:r>
                    <w:r>
                      <w:rPr>
                        <w:position w:val="-4"/>
                        <w:sz w:val="10"/>
                      </w:rPr>
                      <w:t>-</w:t>
                    </w:r>
                  </w:p>
                  <w:p>
                    <w:pPr>
                      <w:spacing w:before="52"/>
                      <w:ind w:left="0" w:right="18" w:firstLine="0"/>
                      <w:jc w:val="right"/>
                      <w:rPr>
                        <w:sz w:val="10"/>
                      </w:rPr>
                    </w:pPr>
                    <w:r>
                      <w:rPr>
                        <w:w w:val="100"/>
                        <w:sz w:val="10"/>
                      </w:rPr>
                      <w:t>+</w:t>
                    </w:r>
                  </w:p>
                </w:txbxContent>
              </v:textbox>
              <w10:wrap type="none"/>
            </v:shape>
            <v:shape style="position:absolute;left:8433;top:-10450;width:361;height:351" type="#_x0000_t202" filled="false" stroked="false">
              <v:textbox inset="0,0,0,0">
                <w:txbxContent>
                  <w:p>
                    <w:pPr>
                      <w:spacing w:line="112" w:lineRule="exact" w:before="0"/>
                      <w:ind w:left="36" w:right="0" w:firstLine="0"/>
                      <w:jc w:val="left"/>
                      <w:rPr>
                        <w:sz w:val="10"/>
                      </w:rPr>
                    </w:pPr>
                    <w:r>
                      <w:rPr>
                        <w:sz w:val="10"/>
                      </w:rPr>
                      <w:t>VLCD</w:t>
                    </w:r>
                  </w:p>
                  <w:p>
                    <w:pPr>
                      <w:spacing w:line="249" w:lineRule="auto" w:before="2"/>
                      <w:ind w:left="40" w:right="2" w:hanging="41"/>
                      <w:jc w:val="left"/>
                      <w:rPr>
                        <w:sz w:val="10"/>
                      </w:rPr>
                    </w:pPr>
                    <w:r>
                      <w:rPr>
                        <w:sz w:val="10"/>
                      </w:rPr>
                      <w:t>Voltage Boost</w:t>
                    </w:r>
                  </w:p>
                </w:txbxContent>
              </v:textbox>
              <w10:wrap type="none"/>
            </v:shape>
            <v:shape style="position:absolute;left:4140;top:-9834;width:289;height:113" type="#_x0000_t202" filled="false" stroked="false">
              <v:textbox inset="0,0,0,0">
                <w:txbxContent>
                  <w:p>
                    <w:pPr>
                      <w:spacing w:line="112" w:lineRule="exact" w:before="0"/>
                      <w:ind w:left="0" w:right="0" w:firstLine="0"/>
                      <w:jc w:val="left"/>
                      <w:rPr>
                        <w:sz w:val="10"/>
                      </w:rPr>
                    </w:pPr>
                    <w:r>
                      <w:rPr>
                        <w:sz w:val="10"/>
                      </w:rPr>
                      <w:t>VREF</w:t>
                    </w:r>
                  </w:p>
                </w:txbxContent>
              </v:textbox>
              <w10:wrap type="none"/>
            </v:shape>
            <v:shape style="position:absolute;left:5678;top:-9661;width:289;height:113" type="#_x0000_t202" filled="false" stroked="false">
              <v:textbox inset="0,0,0,0">
                <w:txbxContent>
                  <w:p>
                    <w:pPr>
                      <w:spacing w:line="112" w:lineRule="exact" w:before="0"/>
                      <w:ind w:left="0" w:right="0" w:firstLine="0"/>
                      <w:jc w:val="left"/>
                      <w:rPr>
                        <w:sz w:val="10"/>
                      </w:rPr>
                    </w:pPr>
                    <w:r>
                      <w:rPr>
                        <w:sz w:val="10"/>
                      </w:rPr>
                      <w:t>VREF</w:t>
                    </w:r>
                  </w:p>
                </w:txbxContent>
              </v:textbox>
              <w10:wrap type="none"/>
            </v:shape>
            <v:shape style="position:absolute;left:2815;top:-9205;width:668;height:248" type="#_x0000_t202" filled="false" stroked="false">
              <v:textbox inset="0,0,0,0">
                <w:txbxContent>
                  <w:p>
                    <w:pPr>
                      <w:spacing w:line="112" w:lineRule="exact" w:before="0"/>
                      <w:ind w:left="0" w:right="0" w:firstLine="0"/>
                      <w:jc w:val="left"/>
                      <w:rPr>
                        <w:sz w:val="10"/>
                      </w:rPr>
                    </w:pPr>
                    <w:r>
                      <w:rPr>
                        <w:sz w:val="10"/>
                      </w:rPr>
                      <w:t>MUX</w:t>
                    </w:r>
                  </w:p>
                  <w:p>
                    <w:pPr>
                      <w:spacing w:before="19"/>
                      <w:ind w:left="136" w:right="0" w:firstLine="0"/>
                      <w:jc w:val="left"/>
                      <w:rPr>
                        <w:sz w:val="10"/>
                      </w:rPr>
                    </w:pPr>
                    <w:r>
                      <w:rPr>
                        <w:sz w:val="10"/>
                      </w:rPr>
                      <w:t>MUX CTRL</w:t>
                    </w:r>
                  </w:p>
                </w:txbxContent>
              </v:textbox>
              <w10:wrap type="none"/>
            </v:shape>
            <v:shape style="position:absolute;left:3703;top:-9109;width:378;height:113" type="#_x0000_t202" filled="false" stroked="false">
              <v:textbox inset="0,0,0,0">
                <w:txbxContent>
                  <w:p>
                    <w:pPr>
                      <w:spacing w:line="112" w:lineRule="exact" w:before="0"/>
                      <w:ind w:left="0" w:right="0" w:firstLine="0"/>
                      <w:jc w:val="left"/>
                      <w:rPr>
                        <w:sz w:val="10"/>
                      </w:rPr>
                    </w:pPr>
                    <w:r>
                      <w:rPr>
                        <w:sz w:val="10"/>
                      </w:rPr>
                      <w:t>CROSS</w:t>
                    </w:r>
                  </w:p>
                </w:txbxContent>
              </v:textbox>
              <w10:wrap type="none"/>
            </v:shape>
            <v:shape style="position:absolute;left:3746;top:-8734;width:728;height:425" type="#_x0000_t202" filled="false" stroked="false">
              <v:textbox inset="0,0,0,0">
                <w:txbxContent>
                  <w:p>
                    <w:pPr>
                      <w:spacing w:line="112" w:lineRule="exact" w:before="0"/>
                      <w:ind w:left="24" w:right="0" w:firstLine="0"/>
                      <w:jc w:val="left"/>
                      <w:rPr>
                        <w:sz w:val="10"/>
                      </w:rPr>
                    </w:pPr>
                    <w:r>
                      <w:rPr>
                        <w:sz w:val="10"/>
                      </w:rPr>
                      <w:t>CK32</w:t>
                    </w:r>
                  </w:p>
                  <w:p>
                    <w:pPr>
                      <w:spacing w:line="240" w:lineRule="auto" w:before="0"/>
                      <w:rPr>
                        <w:sz w:val="10"/>
                      </w:rPr>
                    </w:pPr>
                  </w:p>
                  <w:p>
                    <w:pPr>
                      <w:spacing w:before="82"/>
                      <w:ind w:left="0" w:right="0" w:firstLine="0"/>
                      <w:jc w:val="left"/>
                      <w:rPr>
                        <w:sz w:val="10"/>
                      </w:rPr>
                    </w:pPr>
                    <w:r>
                      <w:rPr>
                        <w:sz w:val="10"/>
                      </w:rPr>
                      <w:t>RTCLK (32KHz)</w:t>
                    </w:r>
                  </w:p>
                </w:txbxContent>
              </v:textbox>
              <w10:wrap type="none"/>
            </v:shape>
            <v:shape style="position:absolute;left:4728;top:-8482;width:243;height:231" type="#_x0000_t202" filled="false" stroked="false">
              <v:textbox inset="0,0,0,0">
                <w:txbxContent>
                  <w:p>
                    <w:pPr>
                      <w:spacing w:line="244" w:lineRule="auto" w:before="0"/>
                      <w:ind w:left="14" w:right="1" w:hanging="15"/>
                      <w:jc w:val="left"/>
                      <w:rPr>
                        <w:sz w:val="10"/>
                      </w:rPr>
                    </w:pPr>
                    <w:r>
                      <w:rPr>
                        <w:sz w:val="10"/>
                      </w:rPr>
                      <w:t>MCK PLL</w:t>
                    </w:r>
                  </w:p>
                </w:txbxContent>
              </v:textbox>
              <w10:wrap type="none"/>
            </v:shape>
            <v:shape style="position:absolute;left:5188;top:-8533;width:736;height:353" type="#_x0000_t202" filled="false" stroked="false">
              <v:textbox inset="0,0,0,0">
                <w:txbxContent>
                  <w:p>
                    <w:pPr>
                      <w:spacing w:line="112" w:lineRule="exact" w:before="0"/>
                      <w:ind w:left="525" w:right="0" w:firstLine="0"/>
                      <w:jc w:val="left"/>
                      <w:rPr>
                        <w:sz w:val="10"/>
                      </w:rPr>
                    </w:pPr>
                    <w:r>
                      <w:rPr>
                        <w:sz w:val="10"/>
                      </w:rPr>
                      <w:t>DIV</w:t>
                    </w:r>
                  </w:p>
                  <w:p>
                    <w:pPr>
                      <w:tabs>
                        <w:tab w:pos="503" w:val="left" w:leader="none"/>
                      </w:tabs>
                      <w:spacing w:line="261" w:lineRule="auto" w:before="0"/>
                      <w:ind w:left="0" w:right="18" w:firstLine="26"/>
                      <w:jc w:val="left"/>
                      <w:rPr>
                        <w:sz w:val="10"/>
                      </w:rPr>
                    </w:pPr>
                    <w:r>
                      <w:rPr>
                        <w:sz w:val="10"/>
                      </w:rPr>
                      <w:t>CK32</w:t>
                      <w:tab/>
                    </w:r>
                    <w:r>
                      <w:rPr>
                        <w:spacing w:val="-7"/>
                        <w:sz w:val="10"/>
                      </w:rPr>
                      <w:t>ADC </w:t>
                    </w:r>
                    <w:r>
                      <w:rPr>
                        <w:sz w:val="10"/>
                      </w:rPr>
                      <w:t>32KHz</w:t>
                    </w:r>
                  </w:p>
                </w:txbxContent>
              </v:textbox>
              <w10:wrap type="none"/>
            </v:shape>
            <v:shape style="position:absolute;left:5131;top:-8038;width:403;height:113" type="#_x0000_t202" filled="false" stroked="false">
              <v:textbox inset="0,0,0,0">
                <w:txbxContent>
                  <w:p>
                    <w:pPr>
                      <w:spacing w:line="112" w:lineRule="exact" w:before="0"/>
                      <w:ind w:left="0" w:right="0" w:firstLine="0"/>
                      <w:jc w:val="left"/>
                      <w:rPr>
                        <w:sz w:val="10"/>
                      </w:rPr>
                    </w:pPr>
                    <w:r>
                      <w:rPr>
                        <w:sz w:val="10"/>
                      </w:rPr>
                      <w:t>4.9 MHZ</w:t>
                    </w:r>
                  </w:p>
                </w:txbxContent>
              </v:textbox>
              <w10:wrap type="none"/>
            </v:shape>
            <v:shape style="position:absolute;left:5757;top:-8038;width:371;height:113" type="#_x0000_t202" filled="false" stroked="false">
              <v:textbox inset="0,0,0,0">
                <w:txbxContent>
                  <w:p>
                    <w:pPr>
                      <w:spacing w:line="112" w:lineRule="exact" w:before="0"/>
                      <w:ind w:left="0" w:right="0" w:firstLine="0"/>
                      <w:jc w:val="left"/>
                      <w:rPr>
                        <w:sz w:val="10"/>
                      </w:rPr>
                    </w:pPr>
                    <w:r>
                      <w:rPr>
                        <w:sz w:val="10"/>
                      </w:rPr>
                      <w:t>CKADC</w:t>
                    </w:r>
                  </w:p>
                </w:txbxContent>
              </v:textbox>
              <w10:wrap type="none"/>
            </v:shape>
            <v:shape style="position:absolute;left:3621;top:-7849;width:392;height:113" type="#_x0000_t202" filled="false" stroked="false">
              <v:textbox inset="0,0,0,0">
                <w:txbxContent>
                  <w:p>
                    <w:pPr>
                      <w:spacing w:line="112" w:lineRule="exact" w:before="0"/>
                      <w:ind w:left="0" w:right="0" w:firstLine="0"/>
                      <w:jc w:val="left"/>
                      <w:rPr>
                        <w:sz w:val="10"/>
                      </w:rPr>
                    </w:pPr>
                    <w:r>
                      <w:rPr>
                        <w:sz w:val="10"/>
                      </w:rPr>
                      <w:t>4.9 MHz</w:t>
                    </w:r>
                  </w:p>
                </w:txbxContent>
              </v:textbox>
              <w10:wrap type="none"/>
            </v:shape>
            <v:shape style="position:absolute;left:6825;top:-7849;width:325;height:113" type="#_x0000_t202" filled="false" stroked="false">
              <v:textbox inset="0,0,0,0">
                <w:txbxContent>
                  <w:p>
                    <w:pPr>
                      <w:spacing w:line="112" w:lineRule="exact" w:before="0"/>
                      <w:ind w:left="0" w:right="0" w:firstLine="0"/>
                      <w:jc w:val="left"/>
                      <w:rPr>
                        <w:sz w:val="10"/>
                      </w:rPr>
                    </w:pPr>
                    <w:r>
                      <w:rPr>
                        <w:sz w:val="10"/>
                      </w:rPr>
                      <w:t>CKFIR</w:t>
                    </w:r>
                  </w:p>
                </w:txbxContent>
              </v:textbox>
              <w10:wrap type="none"/>
            </v:shape>
            <v:shape style="position:absolute;left:7850;top:-7765;width:131;height:113" type="#_x0000_t202" filled="false" stroked="false">
              <v:textbox inset="0,0,0,0">
                <w:txbxContent>
                  <w:p>
                    <w:pPr>
                      <w:spacing w:line="112" w:lineRule="exact" w:before="0"/>
                      <w:ind w:left="0" w:right="0" w:firstLine="0"/>
                      <w:jc w:val="left"/>
                      <w:rPr>
                        <w:sz w:val="10"/>
                      </w:rPr>
                    </w:pPr>
                    <w:r>
                      <w:rPr>
                        <w:sz w:val="10"/>
                      </w:rPr>
                      <w:t>22</w:t>
                    </w:r>
                  </w:p>
                </w:txbxContent>
              </v:textbox>
              <w10:wrap type="none"/>
            </v:shape>
            <v:shape style="position:absolute;left:8810;top:-7671;width:569;height:113" type="#_x0000_t202" filled="false" stroked="false">
              <v:textbox inset="0,0,0,0">
                <w:txbxContent>
                  <w:p>
                    <w:pPr>
                      <w:spacing w:line="112" w:lineRule="exact" w:before="0"/>
                      <w:ind w:left="0" w:right="0" w:firstLine="0"/>
                      <w:jc w:val="left"/>
                      <w:rPr>
                        <w:sz w:val="10"/>
                      </w:rPr>
                    </w:pPr>
                    <w:r>
                      <w:rPr>
                        <w:sz w:val="10"/>
                      </w:rPr>
                      <w:t>2.5V to logic</w:t>
                    </w:r>
                  </w:p>
                </w:txbxContent>
              </v:textbox>
              <w10:wrap type="none"/>
            </v:shape>
            <v:shape style="position:absolute;left:3028;top:-7424;width:612;height:113" type="#_x0000_t202" filled="false" stroked="false">
              <v:textbox inset="0,0,0,0">
                <w:txbxContent>
                  <w:p>
                    <w:pPr>
                      <w:spacing w:line="112" w:lineRule="exact" w:before="0"/>
                      <w:ind w:left="0" w:right="0" w:firstLine="0"/>
                      <w:jc w:val="left"/>
                      <w:rPr>
                        <w:sz w:val="10"/>
                      </w:rPr>
                    </w:pPr>
                    <w:r>
                      <w:rPr>
                        <w:sz w:val="10"/>
                      </w:rPr>
                      <w:t>CLOCK GEN</w:t>
                    </w:r>
                  </w:p>
                </w:txbxContent>
              </v:textbox>
              <w10:wrap type="none"/>
            </v:shape>
            <v:shape style="position:absolute;left:3892;top:-7448;width:333;height:113" type="#_x0000_t202" filled="false" stroked="false">
              <v:textbox inset="0,0,0,0">
                <w:txbxContent>
                  <w:p>
                    <w:pPr>
                      <w:spacing w:line="112" w:lineRule="exact" w:before="0"/>
                      <w:ind w:left="0" w:right="0" w:firstLine="0"/>
                      <w:jc w:val="left"/>
                      <w:rPr>
                        <w:sz w:val="10"/>
                      </w:rPr>
                    </w:pPr>
                    <w:r>
                      <w:rPr>
                        <w:sz w:val="10"/>
                      </w:rPr>
                      <w:t>CK_4X</w:t>
                    </w:r>
                  </w:p>
                </w:txbxContent>
              </v:textbox>
              <w10:wrap type="none"/>
            </v:shape>
            <v:shape style="position:absolute;left:7365;top:-7350;width:243;height:113" type="#_x0000_t202" filled="false" stroked="false">
              <v:textbox inset="0,0,0,0">
                <w:txbxContent>
                  <w:p>
                    <w:pPr>
                      <w:spacing w:line="112" w:lineRule="exact" w:before="0"/>
                      <w:ind w:left="0" w:right="0" w:firstLine="0"/>
                      <w:jc w:val="left"/>
                      <w:rPr>
                        <w:sz w:val="10"/>
                      </w:rPr>
                    </w:pPr>
                    <w:r>
                      <w:rPr>
                        <w:sz w:val="10"/>
                      </w:rPr>
                      <w:t>MUX</w:t>
                    </w:r>
                  </w:p>
                </w:txbxContent>
              </v:textbox>
              <w10:wrap type="none"/>
            </v:shape>
            <v:shape style="position:absolute;left:8464;top:-7309;width:489;height:113" type="#_x0000_t202" filled="false" stroked="false">
              <v:textbox inset="0,0,0,0">
                <w:txbxContent>
                  <w:p>
                    <w:pPr>
                      <w:spacing w:line="112" w:lineRule="exact" w:before="0"/>
                      <w:ind w:left="0" w:right="0" w:firstLine="0"/>
                      <w:jc w:val="left"/>
                      <w:rPr>
                        <w:sz w:val="10"/>
                      </w:rPr>
                    </w:pPr>
                    <w:r>
                      <w:rPr>
                        <w:sz w:val="10"/>
                      </w:rPr>
                      <w:t>LCD_GEN</w:t>
                    </w:r>
                  </w:p>
                </w:txbxContent>
              </v:textbox>
              <w10:wrap type="none"/>
            </v:shape>
            <v:shape style="position:absolute;left:3847;top:-7100;width:683;height:320" type="#_x0000_t202" filled="false" stroked="false">
              <v:textbox inset="0,0,0,0">
                <w:txbxContent>
                  <w:p>
                    <w:pPr>
                      <w:spacing w:line="112" w:lineRule="exact" w:before="0"/>
                      <w:ind w:left="148" w:right="0" w:firstLine="0"/>
                      <w:jc w:val="left"/>
                      <w:rPr>
                        <w:sz w:val="10"/>
                      </w:rPr>
                    </w:pPr>
                    <w:r>
                      <w:rPr>
                        <w:sz w:val="10"/>
                      </w:rPr>
                      <w:t>CKMPU_2x</w:t>
                    </w:r>
                  </w:p>
                  <w:p>
                    <w:pPr>
                      <w:spacing w:line="240" w:lineRule="auto" w:before="10"/>
                      <w:rPr>
                        <w:sz w:val="7"/>
                      </w:rPr>
                    </w:pPr>
                  </w:p>
                  <w:p>
                    <w:pPr>
                      <w:spacing w:before="1"/>
                      <w:ind w:left="0" w:right="0" w:firstLine="0"/>
                      <w:jc w:val="left"/>
                      <w:rPr>
                        <w:sz w:val="10"/>
                      </w:rPr>
                    </w:pPr>
                    <w:r>
                      <w:rPr>
                        <w:sz w:val="10"/>
                      </w:rPr>
                      <w:t>MUX_SYNC</w:t>
                    </w:r>
                  </w:p>
                </w:txbxContent>
              </v:textbox>
              <w10:wrap type="none"/>
            </v:shape>
            <v:shape style="position:absolute;left:4812;top:-6966;width:159;height:113" type="#_x0000_t202" filled="false" stroked="false">
              <v:textbox inset="0,0,0,0">
                <w:txbxContent>
                  <w:p>
                    <w:pPr>
                      <w:spacing w:line="112" w:lineRule="exact" w:before="0"/>
                      <w:ind w:left="0" w:right="0" w:firstLine="0"/>
                      <w:jc w:val="left"/>
                      <w:rPr>
                        <w:sz w:val="10"/>
                      </w:rPr>
                    </w:pPr>
                    <w:r>
                      <w:rPr>
                        <w:sz w:val="10"/>
                      </w:rPr>
                      <w:t>CE</w:t>
                    </w:r>
                  </w:p>
                </w:txbxContent>
              </v:textbox>
              <w10:wrap type="none"/>
            </v:shape>
            <v:shape style="position:absolute;left:4536;top:-6822;width:283;height:113" type="#_x0000_t202" filled="false" stroked="false">
              <v:textbox inset="0,0,0,0">
                <w:txbxContent>
                  <w:p>
                    <w:pPr>
                      <w:spacing w:line="112" w:lineRule="exact" w:before="0"/>
                      <w:ind w:left="0" w:right="0" w:firstLine="0"/>
                      <w:jc w:val="left"/>
                      <w:rPr>
                        <w:sz w:val="10"/>
                      </w:rPr>
                    </w:pPr>
                    <w:r>
                      <w:rPr>
                        <w:sz w:val="10"/>
                      </w:rPr>
                      <w:t>STRT</w:t>
                    </w:r>
                  </w:p>
                </w:txbxContent>
              </v:textbox>
              <w10:wrap type="none"/>
            </v:shape>
            <v:shape style="position:absolute;left:9110;top:-7045;width:269;height:344" type="#_x0000_t202" filled="false" stroked="false">
              <v:textbox inset="0,0,0,0">
                <w:txbxContent>
                  <w:p>
                    <w:pPr>
                      <w:spacing w:line="240" w:lineRule="auto" w:before="0"/>
                      <w:ind w:left="0" w:right="18" w:firstLine="0"/>
                      <w:jc w:val="both"/>
                      <w:rPr>
                        <w:sz w:val="10"/>
                      </w:rPr>
                    </w:pPr>
                    <w:r>
                      <w:rPr>
                        <w:sz w:val="10"/>
                      </w:rPr>
                      <w:t>VLC2 VLC1 VLC0</w:t>
                    </w:r>
                  </w:p>
                </w:txbxContent>
              </v:textbox>
              <w10:wrap type="none"/>
            </v:shape>
            <v:shape style="position:absolute;left:3832;top:-6663;width:440;height:250" type="#_x0000_t202" filled="false" stroked="false">
              <v:textbox inset="0,0,0,0">
                <w:txbxContent>
                  <w:p>
                    <w:pPr>
                      <w:spacing w:line="112" w:lineRule="exact" w:before="0"/>
                      <w:ind w:left="14" w:right="0" w:firstLine="0"/>
                      <w:jc w:val="left"/>
                      <w:rPr>
                        <w:sz w:val="10"/>
                      </w:rPr>
                    </w:pPr>
                    <w:r>
                      <w:rPr>
                        <w:sz w:val="10"/>
                      </w:rPr>
                      <w:t>CKCE</w:t>
                    </w:r>
                  </w:p>
                  <w:p>
                    <w:pPr>
                      <w:spacing w:before="22"/>
                      <w:ind w:left="0" w:right="0" w:firstLine="0"/>
                      <w:jc w:val="left"/>
                      <w:rPr>
                        <w:sz w:val="10"/>
                      </w:rPr>
                    </w:pPr>
                    <w:r>
                      <w:rPr>
                        <w:sz w:val="10"/>
                        <w:u w:val="single"/>
                      </w:rPr>
                      <w:t>&lt;</w:t>
                    </w:r>
                    <w:r>
                      <w:rPr>
                        <w:sz w:val="10"/>
                      </w:rPr>
                      <w:t> 4.9MHz</w:t>
                    </w:r>
                  </w:p>
                </w:txbxContent>
              </v:textbox>
              <w10:wrap type="none"/>
            </v:shape>
            <v:shape style="position:absolute;left:5599;top:-6831;width:580;height:418" type="#_x0000_t202" filled="false" stroked="false">
              <v:textbox inset="0,0,0,0">
                <w:txbxContent>
                  <w:p>
                    <w:pPr>
                      <w:spacing w:line="112" w:lineRule="exact" w:before="0"/>
                      <w:ind w:left="16" w:right="0" w:firstLine="0"/>
                      <w:jc w:val="left"/>
                      <w:rPr>
                        <w:sz w:val="10"/>
                      </w:rPr>
                    </w:pPr>
                    <w:r>
                      <w:rPr>
                        <w:sz w:val="10"/>
                      </w:rPr>
                      <w:t>WPULSE</w:t>
                    </w:r>
                  </w:p>
                  <w:p>
                    <w:pPr>
                      <w:spacing w:line="150" w:lineRule="atLeast" w:before="3"/>
                      <w:ind w:left="0" w:right="2" w:firstLine="24"/>
                      <w:jc w:val="left"/>
                      <w:rPr>
                        <w:sz w:val="10"/>
                      </w:rPr>
                    </w:pPr>
                    <w:r>
                      <w:rPr>
                        <w:sz w:val="10"/>
                      </w:rPr>
                      <w:t>VARPULSE RTM</w:t>
                    </w:r>
                  </w:p>
                </w:txbxContent>
              </v:textbox>
              <w10:wrap type="none"/>
            </v:shape>
            <v:shape style="position:absolute;left:8400;top:-6546;width:628;height:113" type="#_x0000_t202" filled="false" stroked="false">
              <v:textbox inset="0,0,0,0">
                <w:txbxContent>
                  <w:p>
                    <w:pPr>
                      <w:spacing w:line="112" w:lineRule="exact" w:before="0"/>
                      <w:ind w:left="0" w:right="0" w:firstLine="0"/>
                      <w:jc w:val="left"/>
                      <w:rPr>
                        <w:sz w:val="10"/>
                      </w:rPr>
                    </w:pPr>
                    <w:r>
                      <w:rPr>
                        <w:sz w:val="10"/>
                      </w:rPr>
                      <w:t>LCD DRIVER</w:t>
                    </w:r>
                  </w:p>
                </w:txbxContent>
              </v:textbox>
              <w10:wrap type="none"/>
            </v:shape>
            <v:shape style="position:absolute;left:2757;top:-6433;width:2491;height:308" type="#_x0000_t202" filled="false" stroked="false">
              <v:textbox inset="0,0,0,0">
                <w:txbxContent>
                  <w:p>
                    <w:pPr>
                      <w:tabs>
                        <w:tab w:pos="1787" w:val="left" w:leader="none"/>
                      </w:tabs>
                      <w:spacing w:line="151" w:lineRule="auto" w:before="6"/>
                      <w:ind w:left="21" w:right="0" w:firstLine="0"/>
                      <w:jc w:val="left"/>
                      <w:rPr>
                        <w:sz w:val="10"/>
                      </w:rPr>
                    </w:pPr>
                    <w:r>
                      <w:rPr>
                        <w:position w:val="-6"/>
                        <w:sz w:val="10"/>
                      </w:rPr>
                      <w:t>TEST</w:t>
                      <w:tab/>
                    </w:r>
                    <w:r>
                      <w:rPr>
                        <w:sz w:val="10"/>
                      </w:rPr>
                      <w:t>32-bit</w:t>
                    </w:r>
                    <w:r>
                      <w:rPr>
                        <w:spacing w:val="-3"/>
                        <w:sz w:val="10"/>
                      </w:rPr>
                      <w:t> </w:t>
                    </w:r>
                    <w:r>
                      <w:rPr>
                        <w:sz w:val="10"/>
                      </w:rPr>
                      <w:t>Compute</w:t>
                    </w:r>
                  </w:p>
                  <w:p>
                    <w:pPr>
                      <w:spacing w:line="62" w:lineRule="exact" w:before="0"/>
                      <w:ind w:left="0" w:right="206" w:firstLine="0"/>
                      <w:jc w:val="right"/>
                      <w:rPr>
                        <w:sz w:val="10"/>
                      </w:rPr>
                    </w:pPr>
                    <w:r>
                      <w:rPr>
                        <w:sz w:val="10"/>
                      </w:rPr>
                      <w:t>Engine</w:t>
                    </w:r>
                  </w:p>
                  <w:p>
                    <w:pPr>
                      <w:spacing w:line="96" w:lineRule="exact" w:before="0"/>
                      <w:ind w:left="0" w:right="0" w:firstLine="0"/>
                      <w:jc w:val="left"/>
                      <w:rPr>
                        <w:sz w:val="10"/>
                      </w:rPr>
                    </w:pPr>
                    <w:r>
                      <w:rPr>
                        <w:sz w:val="10"/>
                      </w:rPr>
                      <w:t>MODE</w:t>
                    </w:r>
                  </w:p>
                </w:txbxContent>
              </v:textbox>
              <w10:wrap type="none"/>
            </v:shape>
            <v:shape style="position:absolute;left:6184;top:-6166;width:853;height:231" type="#_x0000_t202" filled="false" stroked="false">
              <v:textbox inset="0,0,0,0">
                <w:txbxContent>
                  <w:p>
                    <w:pPr>
                      <w:spacing w:line="244" w:lineRule="auto" w:before="0"/>
                      <w:ind w:left="0" w:right="20" w:firstLine="316"/>
                      <w:jc w:val="left"/>
                      <w:rPr>
                        <w:sz w:val="10"/>
                      </w:rPr>
                    </w:pPr>
                    <w:r>
                      <w:rPr>
                        <w:sz w:val="10"/>
                      </w:rPr>
                      <w:t>CEDATA 32</w:t>
                    </w:r>
                    <w:r>
                      <w:rPr>
                        <w:spacing w:val="17"/>
                        <w:sz w:val="10"/>
                      </w:rPr>
                      <w:t> </w:t>
                    </w:r>
                    <w:r>
                      <w:rPr>
                        <w:spacing w:val="-3"/>
                        <w:sz w:val="10"/>
                      </w:rPr>
                      <w:t>0x000...0x2FF</w:t>
                    </w:r>
                  </w:p>
                </w:txbxContent>
              </v:textbox>
              <w10:wrap type="none"/>
            </v:shape>
            <v:shape style="position:absolute;left:7946;top:-5890;width:90;height:142" type="#_x0000_t202" filled="false" stroked="false">
              <v:textbox inset="0,0,0,0">
                <w:txbxContent>
                  <w:p>
                    <w:pPr>
                      <w:spacing w:line="232" w:lineRule="auto" w:before="0"/>
                      <w:ind w:left="0" w:right="0" w:firstLine="0"/>
                      <w:jc w:val="left"/>
                      <w:rPr>
                        <w:sz w:val="10"/>
                      </w:rPr>
                    </w:pPr>
                    <w:r>
                      <w:rPr>
                        <w:spacing w:val="-13"/>
                        <w:sz w:val="10"/>
                      </w:rPr>
                      <w:t>I</w:t>
                    </w:r>
                    <w:r>
                      <w:rPr>
                        <w:spacing w:val="-13"/>
                        <w:position w:val="-2"/>
                        <w:sz w:val="10"/>
                      </w:rPr>
                      <w:t>P</w:t>
                    </w:r>
                  </w:p>
                </w:txbxContent>
              </v:textbox>
              <w10:wrap type="none"/>
            </v:shape>
            <v:shape style="position:absolute;left:9271;top:-5895;width:77;height:113" type="#_x0000_t202" filled="false" stroked="false">
              <v:textbox inset="0,0,0,0">
                <w:txbxContent>
                  <w:p>
                    <w:pPr>
                      <w:spacing w:line="112" w:lineRule="exact" w:before="0"/>
                      <w:ind w:left="0" w:right="0" w:firstLine="0"/>
                      <w:jc w:val="left"/>
                      <w:rPr>
                        <w:sz w:val="10"/>
                      </w:rPr>
                    </w:pPr>
                    <w:r>
                      <w:rPr>
                        <w:w w:val="100"/>
                        <w:sz w:val="10"/>
                      </w:rPr>
                      <w:t>6</w:t>
                    </w:r>
                  </w:p>
                </w:txbxContent>
              </v:textbox>
              <w10:wrap type="none"/>
            </v:shape>
            <v:shape style="position:absolute;left:6955;top:-5751;width:760;height:276" type="#_x0000_t202" filled="false" stroked="false">
              <v:textbox inset="0,0,0,0">
                <w:txbxContent>
                  <w:p>
                    <w:pPr>
                      <w:spacing w:line="112" w:lineRule="exact" w:before="0"/>
                      <w:ind w:left="0" w:right="18" w:firstLine="0"/>
                      <w:jc w:val="center"/>
                      <w:rPr>
                        <w:sz w:val="10"/>
                      </w:rPr>
                    </w:pPr>
                    <w:r>
                      <w:rPr>
                        <w:spacing w:val="-2"/>
                        <w:sz w:val="10"/>
                      </w:rPr>
                      <w:t>0x0000...0x13FF</w:t>
                    </w:r>
                  </w:p>
                  <w:p>
                    <w:pPr>
                      <w:spacing w:before="48"/>
                      <w:ind w:left="0" w:right="153" w:firstLine="0"/>
                      <w:jc w:val="center"/>
                      <w:rPr>
                        <w:sz w:val="10"/>
                      </w:rPr>
                    </w:pPr>
                    <w:r>
                      <w:rPr>
                        <w:w w:val="100"/>
                        <w:sz w:val="10"/>
                      </w:rPr>
                      <w:t>8</w:t>
                    </w:r>
                  </w:p>
                </w:txbxContent>
              </v:textbox>
              <w10:wrap type="none"/>
            </v:shape>
            <v:shape style="position:absolute;left:7948;top:-5794;width:88;height:113" type="#_x0000_t202" filled="false" stroked="false">
              <v:textbox inset="0,0,0,0">
                <w:txbxContent>
                  <w:p>
                    <w:pPr>
                      <w:spacing w:line="112" w:lineRule="exact" w:before="0"/>
                      <w:ind w:left="0" w:right="0" w:firstLine="0"/>
                      <w:jc w:val="left"/>
                      <w:rPr>
                        <w:sz w:val="10"/>
                      </w:rPr>
                    </w:pPr>
                    <w:r>
                      <w:rPr>
                        <w:w w:val="100"/>
                        <w:sz w:val="10"/>
                      </w:rPr>
                      <w:t>S</w:t>
                    </w:r>
                  </w:p>
                </w:txbxContent>
              </v:textbox>
              <w10:wrap type="none"/>
            </v:shape>
            <v:shape style="position:absolute;left:5652;top:-5439;width:652;height:449" type="#_x0000_t202" filled="false" stroked="false">
              <v:textbox inset="0,0,0,0">
                <w:txbxContent>
                  <w:p>
                    <w:pPr>
                      <w:spacing w:line="244" w:lineRule="auto" w:before="0"/>
                      <w:ind w:left="0" w:right="-8" w:firstLine="168"/>
                      <w:jc w:val="left"/>
                      <w:rPr>
                        <w:sz w:val="10"/>
                      </w:rPr>
                    </w:pPr>
                    <w:r>
                      <w:rPr>
                        <w:sz w:val="10"/>
                      </w:rPr>
                      <w:t>PROG 0x000...0x3FF</w:t>
                    </w:r>
                  </w:p>
                  <w:p>
                    <w:pPr>
                      <w:spacing w:line="240" w:lineRule="auto" w:before="6"/>
                      <w:rPr>
                        <w:sz w:val="8"/>
                      </w:rPr>
                    </w:pPr>
                  </w:p>
                  <w:p>
                    <w:pPr>
                      <w:spacing w:before="1"/>
                      <w:ind w:left="91" w:right="0" w:firstLine="0"/>
                      <w:jc w:val="left"/>
                      <w:rPr>
                        <w:sz w:val="10"/>
                      </w:rPr>
                    </w:pPr>
                    <w:r>
                      <w:rPr>
                        <w:sz w:val="10"/>
                      </w:rPr>
                      <w:t>16</w:t>
                    </w:r>
                  </w:p>
                </w:txbxContent>
              </v:textbox>
              <w10:wrap type="none"/>
            </v:shape>
            <v:shape style="position:absolute;left:4684;top:-4842;width:88;height:113" type="#_x0000_t202" filled="false" stroked="false">
              <v:textbox inset="0,0,0,0">
                <w:txbxContent>
                  <w:p>
                    <w:pPr>
                      <w:spacing w:line="112" w:lineRule="exact" w:before="0"/>
                      <w:ind w:left="0" w:right="0" w:firstLine="0"/>
                      <w:jc w:val="left"/>
                      <w:rPr>
                        <w:sz w:val="10"/>
                      </w:rPr>
                    </w:pPr>
                    <w:r>
                      <w:rPr>
                        <w:w w:val="100"/>
                        <w:sz w:val="10"/>
                      </w:rPr>
                      <w:t>Y</w:t>
                    </w:r>
                  </w:p>
                </w:txbxContent>
              </v:textbox>
              <w10:wrap type="none"/>
            </v:shape>
            <v:shape style="position:absolute;left:4992;top:-4885;width:88;height:113" type="#_x0000_t202" filled="false" stroked="false">
              <v:textbox inset="0,0,0,0">
                <w:txbxContent>
                  <w:p>
                    <w:pPr>
                      <w:spacing w:line="112" w:lineRule="exact" w:before="0"/>
                      <w:ind w:left="0" w:right="0" w:firstLine="0"/>
                      <w:jc w:val="left"/>
                      <w:rPr>
                        <w:sz w:val="10"/>
                      </w:rPr>
                    </w:pPr>
                    <w:r>
                      <w:rPr>
                        <w:w w:val="100"/>
                        <w:sz w:val="10"/>
                      </w:rPr>
                      <w:t>Y</w:t>
                    </w:r>
                  </w:p>
                </w:txbxContent>
              </v:textbox>
              <w10:wrap type="none"/>
            </v:shape>
            <v:shape style="position:absolute;left:4684;top:-4774;width:88;height:113" type="#_x0000_t202" filled="false" stroked="false">
              <v:textbox inset="0,0,0,0">
                <w:txbxContent>
                  <w:p>
                    <w:pPr>
                      <w:spacing w:line="112" w:lineRule="exact" w:before="0"/>
                      <w:ind w:left="0" w:right="0" w:firstLine="0"/>
                      <w:jc w:val="left"/>
                      <w:rPr>
                        <w:sz w:val="10"/>
                      </w:rPr>
                    </w:pPr>
                    <w:r>
                      <w:rPr>
                        <w:w w:val="100"/>
                        <w:sz w:val="10"/>
                      </w:rPr>
                      <w:t>S</w:t>
                    </w:r>
                  </w:p>
                </w:txbxContent>
              </v:textbox>
              <w10:wrap type="none"/>
            </v:shape>
            <v:shape style="position:absolute;left:4992;top:-4820;width:88;height:113" type="#_x0000_t202" filled="false" stroked="false">
              <v:textbox inset="0,0,0,0">
                <w:txbxContent>
                  <w:p>
                    <w:pPr>
                      <w:spacing w:line="112" w:lineRule="exact" w:before="0"/>
                      <w:ind w:left="0" w:right="0" w:firstLine="0"/>
                      <w:jc w:val="left"/>
                      <w:rPr>
                        <w:sz w:val="10"/>
                      </w:rPr>
                    </w:pPr>
                    <w:r>
                      <w:rPr>
                        <w:w w:val="100"/>
                        <w:sz w:val="10"/>
                      </w:rPr>
                      <w:t>S</w:t>
                    </w:r>
                  </w:p>
                </w:txbxContent>
              </v:textbox>
              <w10:wrap type="none"/>
            </v:shape>
            <v:shape style="position:absolute;left:7164;top:-4998;width:556;height:264" type="#_x0000_t202" filled="false" stroked="false">
              <v:textbox inset="0,0,0,0">
                <w:txbxContent>
                  <w:p>
                    <w:pPr>
                      <w:spacing w:line="112" w:lineRule="exact" w:before="0"/>
                      <w:ind w:left="0" w:right="25" w:firstLine="0"/>
                      <w:jc w:val="right"/>
                      <w:rPr>
                        <w:sz w:val="10"/>
                      </w:rPr>
                    </w:pPr>
                    <w:r>
                      <w:rPr>
                        <w:spacing w:val="-1"/>
                        <w:sz w:val="10"/>
                      </w:rPr>
                      <w:t>WPULSE</w:t>
                    </w:r>
                  </w:p>
                  <w:p>
                    <w:pPr>
                      <w:spacing w:before="36"/>
                      <w:ind w:left="0" w:right="18" w:firstLine="0"/>
                      <w:jc w:val="right"/>
                      <w:rPr>
                        <w:sz w:val="10"/>
                      </w:rPr>
                    </w:pPr>
                    <w:r>
                      <w:rPr>
                        <w:spacing w:val="-1"/>
                        <w:sz w:val="10"/>
                      </w:rPr>
                      <w:t>VARPULSE</w:t>
                    </w:r>
                  </w:p>
                </w:txbxContent>
              </v:textbox>
              <w10:wrap type="none"/>
            </v:shape>
            <v:shape style="position:absolute;left:9782;top:-4873;width:77;height:113" type="#_x0000_t202" filled="false" stroked="false">
              <v:textbox inset="0,0,0,0">
                <w:txbxContent>
                  <w:p>
                    <w:pPr>
                      <w:spacing w:line="112" w:lineRule="exact" w:before="0"/>
                      <w:ind w:left="0" w:right="0" w:firstLine="0"/>
                      <w:jc w:val="left"/>
                      <w:rPr>
                        <w:sz w:val="10"/>
                      </w:rPr>
                    </w:pPr>
                    <w:r>
                      <w:rPr>
                        <w:w w:val="100"/>
                        <w:sz w:val="10"/>
                      </w:rPr>
                      <w:t>2</w:t>
                    </w:r>
                  </w:p>
                </w:txbxContent>
              </v:textbox>
              <w10:wrap type="none"/>
            </v:shape>
            <v:shape style="position:absolute;left:4682;top:-4638;width:88;height:113" type="#_x0000_t202" filled="false" stroked="false">
              <v:textbox inset="0,0,0,0">
                <w:txbxContent>
                  <w:p>
                    <w:pPr>
                      <w:spacing w:line="112" w:lineRule="exact" w:before="0"/>
                      <w:ind w:left="0" w:right="0" w:firstLine="0"/>
                      <w:jc w:val="left"/>
                      <w:rPr>
                        <w:sz w:val="10"/>
                      </w:rPr>
                    </w:pPr>
                    <w:r>
                      <w:rPr>
                        <w:w w:val="100"/>
                        <w:sz w:val="10"/>
                      </w:rPr>
                      <w:t>B</w:t>
                    </w:r>
                  </w:p>
                </w:txbxContent>
              </v:textbox>
              <w10:wrap type="none"/>
            </v:shape>
            <v:shape style="position:absolute;left:4684;top:-4710;width:93;height:113" type="#_x0000_t202" filled="false" stroked="false">
              <v:textbox inset="0,0,0,0">
                <w:txbxContent>
                  <w:p>
                    <w:pPr>
                      <w:spacing w:line="112" w:lineRule="exact" w:before="0"/>
                      <w:ind w:left="0" w:right="0" w:firstLine="0"/>
                      <w:jc w:val="left"/>
                      <w:rPr>
                        <w:sz w:val="10"/>
                      </w:rPr>
                    </w:pPr>
                    <w:r>
                      <w:rPr>
                        <w:w w:val="100"/>
                        <w:sz w:val="10"/>
                      </w:rPr>
                      <w:t>U</w:t>
                    </w:r>
                  </w:p>
                </w:txbxContent>
              </v:textbox>
              <w10:wrap type="none"/>
            </v:shape>
            <v:shape style="position:absolute;left:4992;top:-4755;width:93;height:113" type="#_x0000_t202" filled="false" stroked="false">
              <v:textbox inset="0,0,0,0">
                <w:txbxContent>
                  <w:p>
                    <w:pPr>
                      <w:spacing w:line="112" w:lineRule="exact" w:before="0"/>
                      <w:ind w:left="0" w:right="0" w:firstLine="0"/>
                      <w:jc w:val="left"/>
                      <w:rPr>
                        <w:sz w:val="10"/>
                      </w:rPr>
                    </w:pPr>
                    <w:r>
                      <w:rPr>
                        <w:w w:val="100"/>
                        <w:sz w:val="10"/>
                      </w:rPr>
                      <w:t>U</w:t>
                    </w:r>
                  </w:p>
                </w:txbxContent>
              </v:textbox>
              <w10:wrap type="none"/>
            </v:shape>
            <v:shape style="position:absolute;left:4992;top:-4686;width:88;height:113" type="#_x0000_t202" filled="false" stroked="false">
              <v:textbox inset="0,0,0,0">
                <w:txbxContent>
                  <w:p>
                    <w:pPr>
                      <w:spacing w:line="112" w:lineRule="exact" w:before="0"/>
                      <w:ind w:left="0" w:right="0" w:firstLine="0"/>
                      <w:jc w:val="left"/>
                      <w:rPr>
                        <w:sz w:val="10"/>
                      </w:rPr>
                    </w:pPr>
                    <w:r>
                      <w:rPr>
                        <w:w w:val="100"/>
                        <w:sz w:val="10"/>
                      </w:rPr>
                      <w:t>B</w:t>
                    </w:r>
                  </w:p>
                </w:txbxContent>
              </v:textbox>
              <w10:wrap type="none"/>
            </v:shape>
            <v:shape style="position:absolute;left:4682;top:-4575;width:77;height:113" type="#_x0000_t202" filled="false" stroked="false">
              <v:textbox inset="0,0,0,0">
                <w:txbxContent>
                  <w:p>
                    <w:pPr>
                      <w:spacing w:line="112" w:lineRule="exact" w:before="0"/>
                      <w:ind w:left="0" w:right="0" w:firstLine="0"/>
                      <w:jc w:val="left"/>
                      <w:rPr>
                        <w:sz w:val="10"/>
                      </w:rPr>
                    </w:pPr>
                    <w:r>
                      <w:rPr>
                        <w:w w:val="100"/>
                        <w:sz w:val="10"/>
                      </w:rPr>
                      <w:t>_</w:t>
                    </w:r>
                  </w:p>
                </w:txbxContent>
              </v:textbox>
              <w10:wrap type="none"/>
            </v:shape>
            <v:shape style="position:absolute;left:4682;top:-4518;width:88;height:113" type="#_x0000_t202" filled="false" stroked="false">
              <v:textbox inset="0,0,0,0">
                <w:txbxContent>
                  <w:p>
                    <w:pPr>
                      <w:spacing w:line="112" w:lineRule="exact" w:before="0"/>
                      <w:ind w:left="0" w:right="0" w:firstLine="0"/>
                      <w:jc w:val="left"/>
                      <w:rPr>
                        <w:sz w:val="10"/>
                      </w:rPr>
                    </w:pPr>
                    <w:r>
                      <w:rPr>
                        <w:w w:val="100"/>
                        <w:sz w:val="10"/>
                      </w:rPr>
                      <w:t>E</w:t>
                    </w:r>
                  </w:p>
                </w:txbxContent>
              </v:textbox>
              <w10:wrap type="none"/>
            </v:shape>
            <v:shape style="position:absolute;left:4992;top:-4592;width:93;height:113" type="#_x0000_t202" filled="false" stroked="false">
              <v:textbox inset="0,0,0,0">
                <w:txbxContent>
                  <w:p>
                    <w:pPr>
                      <w:spacing w:line="112" w:lineRule="exact" w:before="0"/>
                      <w:ind w:left="0" w:right="0" w:firstLine="0"/>
                      <w:jc w:val="left"/>
                      <w:rPr>
                        <w:sz w:val="10"/>
                      </w:rPr>
                    </w:pPr>
                    <w:r>
                      <w:rPr>
                        <w:w w:val="100"/>
                        <w:sz w:val="10"/>
                      </w:rPr>
                      <w:t>R</w:t>
                    </w:r>
                  </w:p>
                </w:txbxContent>
              </v:textbox>
              <w10:wrap type="none"/>
            </v:shape>
            <v:shape style="position:absolute;left:4682;top:-4453;width:93;height:113" type="#_x0000_t202" filled="false" stroked="false">
              <v:textbox inset="0,0,0,0">
                <w:txbxContent>
                  <w:p>
                    <w:pPr>
                      <w:spacing w:line="112" w:lineRule="exact" w:before="0"/>
                      <w:ind w:left="0" w:right="0" w:firstLine="0"/>
                      <w:jc w:val="left"/>
                      <w:rPr>
                        <w:sz w:val="10"/>
                      </w:rPr>
                    </w:pPr>
                    <w:r>
                      <w:rPr>
                        <w:w w:val="100"/>
                        <w:sz w:val="10"/>
                      </w:rPr>
                      <w:t>C</w:t>
                    </w:r>
                  </w:p>
                </w:txbxContent>
              </v:textbox>
              <w10:wrap type="none"/>
            </v:shape>
            <v:shape style="position:absolute;left:4989;top:-4455;width:82;height:113" type="#_x0000_t202" filled="false" stroked="false">
              <v:textbox inset="0,0,0,0">
                <w:txbxContent>
                  <w:p>
                    <w:pPr>
                      <w:spacing w:line="112" w:lineRule="exact" w:before="0"/>
                      <w:ind w:left="0" w:right="0" w:firstLine="0"/>
                      <w:jc w:val="left"/>
                      <w:rPr>
                        <w:sz w:val="10"/>
                      </w:rPr>
                    </w:pPr>
                    <w:r>
                      <w:rPr>
                        <w:w w:val="100"/>
                        <w:sz w:val="10"/>
                      </w:rPr>
                      <w:t>F</w:t>
                    </w:r>
                  </w:p>
                </w:txbxContent>
              </v:textbox>
              <w10:wrap type="none"/>
            </v:shape>
            <v:shape style="position:absolute;left:4992;top:-4520;width:88;height:113" type="#_x0000_t202" filled="false" stroked="false">
              <v:textbox inset="0,0,0,0">
                <w:txbxContent>
                  <w:p>
                    <w:pPr>
                      <w:spacing w:line="112" w:lineRule="exact" w:before="0"/>
                      <w:ind w:left="0" w:right="0" w:firstLine="0"/>
                      <w:jc w:val="left"/>
                      <w:rPr>
                        <w:sz w:val="10"/>
                      </w:rPr>
                    </w:pPr>
                    <w:r>
                      <w:rPr>
                        <w:w w:val="100"/>
                        <w:sz w:val="10"/>
                      </w:rPr>
                      <w:t>E</w:t>
                    </w:r>
                  </w:p>
                </w:txbxContent>
              </v:textbox>
              <w10:wrap type="none"/>
            </v:shape>
            <v:shape style="position:absolute;left:4992;top:-4393;width:88;height:113" type="#_x0000_t202" filled="false" stroked="false">
              <v:textbox inset="0,0,0,0">
                <w:txbxContent>
                  <w:p>
                    <w:pPr>
                      <w:spacing w:line="112" w:lineRule="exact" w:before="0"/>
                      <w:ind w:left="0" w:right="0" w:firstLine="0"/>
                      <w:jc w:val="left"/>
                      <w:rPr>
                        <w:sz w:val="10"/>
                      </w:rPr>
                    </w:pPr>
                    <w:r>
                      <w:rPr>
                        <w:w w:val="100"/>
                        <w:sz w:val="10"/>
                      </w:rPr>
                      <w:t>X</w:t>
                    </w:r>
                  </w:p>
                </w:txbxContent>
              </v:textbox>
              <w10:wrap type="none"/>
            </v:shape>
            <v:shape style="position:absolute;left:7716;top:-4400;width:104;height:113" type="#_x0000_t202" filled="false" stroked="false">
              <v:textbox inset="0,0,0,0">
                <w:txbxContent>
                  <w:p>
                    <w:pPr>
                      <w:spacing w:line="112" w:lineRule="exact" w:before="0"/>
                      <w:ind w:left="0" w:right="0" w:firstLine="0"/>
                      <w:jc w:val="left"/>
                      <w:rPr>
                        <w:sz w:val="10"/>
                      </w:rPr>
                    </w:pPr>
                    <w:r>
                      <w:rPr>
                        <w:w w:val="100"/>
                        <w:sz w:val="10"/>
                      </w:rPr>
                      <w:t>M</w:t>
                    </w:r>
                  </w:p>
                </w:txbxContent>
              </v:textbox>
              <w10:wrap type="none"/>
            </v:shape>
            <v:shape style="position:absolute;left:7718;top:-4318;width:88;height:113" type="#_x0000_t202" filled="false" stroked="false">
              <v:textbox inset="0,0,0,0">
                <w:txbxContent>
                  <w:p>
                    <w:pPr>
                      <w:spacing w:line="112" w:lineRule="exact" w:before="0"/>
                      <w:ind w:left="0" w:right="0" w:firstLine="0"/>
                      <w:jc w:val="left"/>
                      <w:rPr>
                        <w:sz w:val="10"/>
                      </w:rPr>
                    </w:pPr>
                    <w:r>
                      <w:rPr>
                        <w:w w:val="100"/>
                        <w:sz w:val="10"/>
                      </w:rPr>
                      <w:t>A</w:t>
                    </w:r>
                  </w:p>
                </w:txbxContent>
              </v:textbox>
              <w10:wrap type="none"/>
            </v:shape>
            <v:shape style="position:absolute;left:3832;top:-4098;width:444;height:260" type="#_x0000_t202" filled="false" stroked="false">
              <v:textbox inset="0,0,0,0">
                <w:txbxContent>
                  <w:p>
                    <w:pPr>
                      <w:spacing w:line="112" w:lineRule="exact" w:before="0"/>
                      <w:ind w:left="33" w:right="0" w:firstLine="0"/>
                      <w:jc w:val="left"/>
                      <w:rPr>
                        <w:sz w:val="10"/>
                      </w:rPr>
                    </w:pPr>
                    <w:r>
                      <w:rPr>
                        <w:sz w:val="10"/>
                      </w:rPr>
                      <w:t>CKMPU</w:t>
                    </w:r>
                  </w:p>
                  <w:p>
                    <w:pPr>
                      <w:spacing w:before="31"/>
                      <w:ind w:left="0" w:right="0" w:firstLine="0"/>
                      <w:jc w:val="left"/>
                      <w:rPr>
                        <w:sz w:val="10"/>
                      </w:rPr>
                    </w:pPr>
                    <w:r>
                      <w:rPr>
                        <w:sz w:val="10"/>
                        <w:u w:val="single"/>
                      </w:rPr>
                      <w:t>&lt;</w:t>
                    </w:r>
                    <w:r>
                      <w:rPr>
                        <w:spacing w:val="-9"/>
                        <w:sz w:val="10"/>
                      </w:rPr>
                      <w:t> </w:t>
                    </w:r>
                    <w:r>
                      <w:rPr>
                        <w:sz w:val="10"/>
                      </w:rPr>
                      <w:t>4.9MHz</w:t>
                    </w:r>
                  </w:p>
                </w:txbxContent>
              </v:textbox>
              <w10:wrap type="none"/>
            </v:shape>
            <v:shape style="position:absolute;left:5280;top:-4218;width:589;height:233" type="#_x0000_t202" filled="false" stroked="false">
              <v:textbox inset="0,0,0,0">
                <w:txbxContent>
                  <w:p>
                    <w:pPr>
                      <w:spacing w:line="249" w:lineRule="auto" w:before="0"/>
                      <w:ind w:left="0" w:right="2" w:firstLine="129"/>
                      <w:jc w:val="left"/>
                      <w:rPr>
                        <w:sz w:val="10"/>
                      </w:rPr>
                    </w:pPr>
                    <w:r>
                      <w:rPr>
                        <w:sz w:val="10"/>
                      </w:rPr>
                      <w:t>EEPROM INTERFACE</w:t>
                    </w:r>
                  </w:p>
                </w:txbxContent>
              </v:textbox>
              <w10:wrap type="none"/>
            </v:shape>
            <v:shape style="position:absolute;left:7716;top:-4254;width:96;height:312" type="#_x0000_t202" filled="false" stroked="false">
              <v:textbox inset="0,0,0,0">
                <w:txbxContent>
                  <w:p>
                    <w:pPr>
                      <w:spacing w:line="112" w:lineRule="exact" w:before="0"/>
                      <w:ind w:left="2" w:right="0" w:firstLine="0"/>
                      <w:jc w:val="left"/>
                      <w:rPr>
                        <w:sz w:val="10"/>
                      </w:rPr>
                    </w:pPr>
                    <w:r>
                      <w:rPr>
                        <w:w w:val="100"/>
                        <w:sz w:val="10"/>
                      </w:rPr>
                      <w:t>R</w:t>
                    </w:r>
                  </w:p>
                  <w:p>
                    <w:pPr>
                      <w:spacing w:before="84"/>
                      <w:ind w:left="0" w:right="0" w:firstLine="0"/>
                      <w:jc w:val="left"/>
                      <w:rPr>
                        <w:sz w:val="10"/>
                      </w:rPr>
                    </w:pPr>
                    <w:r>
                      <w:rPr>
                        <w:w w:val="100"/>
                        <w:sz w:val="10"/>
                      </w:rPr>
                      <w:t>I</w:t>
                    </w:r>
                  </w:p>
                </w:txbxContent>
              </v:textbox>
              <w10:wrap type="none"/>
            </v:shape>
            <v:shape style="position:absolute;left:9271;top:-3850;width:348;height:113" type="#_x0000_t202" filled="false" stroked="false">
              <v:textbox inset="0,0,0,0">
                <w:txbxContent>
                  <w:p>
                    <w:pPr>
                      <w:spacing w:line="112" w:lineRule="exact" w:before="0"/>
                      <w:ind w:left="0" w:right="0" w:firstLine="0"/>
                      <w:jc w:val="left"/>
                      <w:rPr>
                        <w:sz w:val="10"/>
                      </w:rPr>
                    </w:pPr>
                    <w:r>
                      <w:rPr>
                        <w:sz w:val="10"/>
                      </w:rPr>
                      <w:t>RTCLK</w:t>
                    </w:r>
                  </w:p>
                </w:txbxContent>
              </v:textbox>
              <w10:wrap type="none"/>
            </v:shape>
            <v:shape style="position:absolute;left:2438;top:-3544;width:257;height:112" type="#_x0000_t202" filled="false" stroked="false">
              <v:textbox inset="0,0,0,0">
                <w:txbxContent>
                  <w:p>
                    <w:pPr>
                      <w:tabs>
                        <w:tab w:pos="236" w:val="left" w:leader="none"/>
                      </w:tabs>
                      <w:spacing w:line="111" w:lineRule="exact" w:before="0"/>
                      <w:ind w:left="0" w:right="0" w:firstLine="0"/>
                      <w:jc w:val="left"/>
                      <w:rPr>
                        <w:rFonts w:ascii="Times New Roman"/>
                        <w:sz w:val="10"/>
                      </w:rPr>
                    </w:pPr>
                    <w:r>
                      <w:rPr>
                        <w:rFonts w:ascii="Times New Roman"/>
                        <w:w w:val="100"/>
                        <w:sz w:val="10"/>
                        <w:u w:val="single"/>
                      </w:rPr>
                      <w:t> </w:t>
                    </w:r>
                    <w:r>
                      <w:rPr>
                        <w:rFonts w:ascii="Times New Roman"/>
                        <w:sz w:val="10"/>
                        <w:u w:val="single"/>
                      </w:rPr>
                      <w:tab/>
                    </w:r>
                  </w:p>
                </w:txbxContent>
              </v:textbox>
              <w10:wrap type="none"/>
            </v:shape>
            <v:shape style="position:absolute;left:3426;top:-3518;width:873;height:155" type="#_x0000_t202" filled="false" stroked="false">
              <v:textbox inset="0,0,0,0">
                <w:txbxContent>
                  <w:p>
                    <w:pPr>
                      <w:tabs>
                        <w:tab w:pos="852" w:val="left" w:leader="none"/>
                      </w:tabs>
                      <w:spacing w:line="154" w:lineRule="exact" w:before="0"/>
                      <w:ind w:left="0" w:right="0" w:firstLine="0"/>
                      <w:jc w:val="left"/>
                      <w:rPr>
                        <w:rFonts w:ascii="Times New Roman"/>
                        <w:sz w:val="14"/>
                      </w:rPr>
                    </w:pPr>
                    <w:r>
                      <w:rPr>
                        <w:rFonts w:ascii="Times New Roman"/>
                        <w:w w:val="99"/>
                        <w:sz w:val="14"/>
                        <w:u w:val="single"/>
                      </w:rPr>
                      <w:t> </w:t>
                    </w:r>
                    <w:r>
                      <w:rPr>
                        <w:rFonts w:ascii="Times New Roman"/>
                        <w:sz w:val="14"/>
                        <w:u w:val="single"/>
                      </w:rPr>
                      <w:tab/>
                    </w:r>
                  </w:p>
                </w:txbxContent>
              </v:textbox>
              <w10:wrap type="none"/>
            </v:shape>
            <v:shape style="position:absolute;left:4636;top:-3601;width:359;height:226" type="#_x0000_t202" filled="false" stroked="false">
              <v:textbox inset="0,0,0,0">
                <w:txbxContent>
                  <w:p>
                    <w:pPr>
                      <w:spacing w:line="235" w:lineRule="auto" w:before="0"/>
                      <w:ind w:left="0" w:right="-6" w:firstLine="60"/>
                      <w:jc w:val="left"/>
                      <w:rPr>
                        <w:sz w:val="10"/>
                      </w:rPr>
                    </w:pPr>
                    <w:r>
                      <w:rPr>
                        <w:sz w:val="10"/>
                      </w:rPr>
                      <w:t>MPU (80515)</w:t>
                    </w:r>
                  </w:p>
                </w:txbxContent>
              </v:textbox>
              <w10:wrap type="none"/>
            </v:shape>
            <v:shape style="position:absolute;left:5412;top:-3718;width:372;height:420" type="#_x0000_t202" filled="false" stroked="false">
              <v:textbox inset="0,0,0,0">
                <w:txbxContent>
                  <w:p>
                    <w:pPr>
                      <w:spacing w:line="321" w:lineRule="auto" w:before="0"/>
                      <w:ind w:left="0" w:right="2" w:firstLine="31"/>
                      <w:jc w:val="left"/>
                      <w:rPr>
                        <w:sz w:val="10"/>
                      </w:rPr>
                    </w:pPr>
                    <w:r>
                      <w:rPr>
                        <w:sz w:val="10"/>
                      </w:rPr>
                      <w:t>SDCK SDOUT</w:t>
                    </w:r>
                  </w:p>
                  <w:p>
                    <w:pPr>
                      <w:spacing w:line="114" w:lineRule="exact" w:before="0"/>
                      <w:ind w:left="47" w:right="0" w:firstLine="0"/>
                      <w:jc w:val="left"/>
                      <w:rPr>
                        <w:sz w:val="10"/>
                      </w:rPr>
                    </w:pPr>
                    <w:r>
                      <w:rPr>
                        <w:sz w:val="10"/>
                      </w:rPr>
                      <w:t>SDIN</w:t>
                    </w:r>
                  </w:p>
                </w:txbxContent>
              </v:textbox>
              <w10:wrap type="none"/>
            </v:shape>
            <v:shape style="position:absolute;left:2810;top:-2840;width:589;height:231" type="#_x0000_t202" filled="false" stroked="false">
              <v:textbox inset="0,0,0,0">
                <w:txbxContent>
                  <w:p>
                    <w:pPr>
                      <w:spacing w:line="244" w:lineRule="auto" w:before="0"/>
                      <w:ind w:left="0" w:right="2" w:firstLine="67"/>
                      <w:jc w:val="left"/>
                      <w:rPr>
                        <w:sz w:val="10"/>
                      </w:rPr>
                    </w:pPr>
                    <w:r>
                      <w:rPr>
                        <w:sz w:val="10"/>
                      </w:rPr>
                      <w:t>OPTICAL INTERFACE</w:t>
                    </w:r>
                  </w:p>
                </w:txbxContent>
              </v:textbox>
              <w10:wrap type="none"/>
            </v:shape>
            <v:shape style="position:absolute;left:9333;top:-3015;width:274;height:231" type="#_x0000_t202" filled="false" stroked="false">
              <v:textbox inset="0,0,0,0">
                <w:txbxContent>
                  <w:p>
                    <w:pPr>
                      <w:spacing w:line="244" w:lineRule="auto" w:before="0"/>
                      <w:ind w:left="0" w:right="-2" w:firstLine="28"/>
                      <w:jc w:val="left"/>
                      <w:rPr>
                        <w:sz w:val="10"/>
                      </w:rPr>
                    </w:pPr>
                    <w:r>
                      <w:rPr>
                        <w:sz w:val="10"/>
                      </w:rPr>
                      <w:t>BAT TEST</w:t>
                    </w:r>
                  </w:p>
                </w:txbxContent>
              </v:textbox>
              <w10:wrap type="none"/>
            </v:shape>
            <v:shape style="position:absolute;left:5460;top:-2782;width:776;height:420" type="#_x0000_t202" filled="false" stroked="false">
              <v:textbox inset="0,0,0,0">
                <w:txbxContent>
                  <w:p>
                    <w:pPr>
                      <w:spacing w:line="240" w:lineRule="auto" w:before="0"/>
                      <w:ind w:left="0" w:right="18" w:firstLine="50"/>
                      <w:jc w:val="center"/>
                      <w:rPr>
                        <w:sz w:val="10"/>
                      </w:rPr>
                    </w:pPr>
                    <w:r>
                      <w:rPr>
                        <w:sz w:val="10"/>
                      </w:rPr>
                      <w:t>DATA </w:t>
                    </w:r>
                    <w:r>
                      <w:rPr>
                        <w:spacing w:val="-2"/>
                        <w:sz w:val="10"/>
                      </w:rPr>
                      <w:t>0x0000...0xFFFF</w:t>
                    </w:r>
                  </w:p>
                  <w:p>
                    <w:pPr>
                      <w:spacing w:before="74"/>
                      <w:ind w:left="0" w:right="98" w:firstLine="0"/>
                      <w:jc w:val="center"/>
                      <w:rPr>
                        <w:sz w:val="10"/>
                      </w:rPr>
                    </w:pPr>
                    <w:r>
                      <w:rPr>
                        <w:w w:val="100"/>
                        <w:sz w:val="10"/>
                      </w:rPr>
                      <w:t>8</w:t>
                    </w:r>
                  </w:p>
                </w:txbxContent>
              </v:textbox>
              <w10:wrap type="none"/>
            </v:shape>
            <v:shape style="position:absolute;left:6972;top:-2636;width:762;height:113" type="#_x0000_t202" filled="false" stroked="false">
              <v:textbox inset="0,0,0,0">
                <w:txbxContent>
                  <w:p>
                    <w:pPr>
                      <w:spacing w:line="112" w:lineRule="exact" w:before="0"/>
                      <w:ind w:left="0" w:right="0" w:firstLine="0"/>
                      <w:jc w:val="left"/>
                      <w:rPr>
                        <w:sz w:val="10"/>
                      </w:rPr>
                    </w:pPr>
                    <w:r>
                      <w:rPr>
                        <w:sz w:val="10"/>
                      </w:rPr>
                      <w:t>0x2000...0x20FF</w:t>
                    </w:r>
                  </w:p>
                </w:txbxContent>
              </v:textbox>
              <w10:wrap type="none"/>
            </v:shape>
            <v:shape style="position:absolute;left:6681;top:-2343;width:474;height:231" type="#_x0000_t202" filled="false" stroked="false">
              <v:textbox inset="0,0,0,0">
                <w:txbxContent>
                  <w:p>
                    <w:pPr>
                      <w:spacing w:line="244" w:lineRule="auto" w:before="0"/>
                      <w:ind w:left="52" w:right="5" w:hanging="53"/>
                      <w:jc w:val="left"/>
                      <w:rPr>
                        <w:sz w:val="10"/>
                      </w:rPr>
                    </w:pPr>
                    <w:r>
                      <w:rPr>
                        <w:sz w:val="10"/>
                      </w:rPr>
                      <w:t>MEMORY SHARE</w:t>
                    </w:r>
                  </w:p>
                </w:txbxContent>
              </v:textbox>
              <w10:wrap type="none"/>
            </v:shape>
            <v:shape style="position:absolute;left:7142;top:-2458;width:628;height:291" type="#_x0000_t202" filled="false" stroked="false">
              <v:textbox inset="0,0,0,0">
                <w:txbxContent>
                  <w:p>
                    <w:pPr>
                      <w:spacing w:line="172" w:lineRule="exact" w:before="0"/>
                      <w:ind w:left="0" w:right="0" w:firstLine="0"/>
                      <w:jc w:val="left"/>
                      <w:rPr>
                        <w:sz w:val="10"/>
                      </w:rPr>
                    </w:pPr>
                    <w:r>
                      <w:rPr>
                        <w:w w:val="100"/>
                        <w:position w:val="6"/>
                        <w:sz w:val="10"/>
                      </w:rPr>
                      <w:t>8</w:t>
                    </w:r>
                    <w:r>
                      <w:rPr>
                        <w:position w:val="6"/>
                        <w:sz w:val="10"/>
                      </w:rPr>
                      <w:t>  </w:t>
                    </w:r>
                    <w:r>
                      <w:rPr>
                        <w:spacing w:val="7"/>
                        <w:position w:val="6"/>
                        <w:sz w:val="10"/>
                      </w:rPr>
                      <w:t> </w:t>
                    </w:r>
                    <w:r>
                      <w:rPr>
                        <w:spacing w:val="-4"/>
                        <w:w w:val="100"/>
                        <w:sz w:val="10"/>
                      </w:rPr>
                      <w:t>0</w:t>
                    </w:r>
                    <w:r>
                      <w:rPr>
                        <w:w w:val="100"/>
                        <w:sz w:val="10"/>
                      </w:rPr>
                      <w:t>x</w:t>
                    </w:r>
                    <w:r>
                      <w:rPr>
                        <w:spacing w:val="-1"/>
                        <w:w w:val="100"/>
                        <w:sz w:val="10"/>
                      </w:rPr>
                      <w:t>000</w:t>
                    </w:r>
                    <w:r>
                      <w:rPr>
                        <w:spacing w:val="-6"/>
                        <w:w w:val="100"/>
                        <w:sz w:val="10"/>
                      </w:rPr>
                      <w:t>0</w:t>
                    </w:r>
                    <w:r>
                      <w:rPr>
                        <w:spacing w:val="-96"/>
                        <w:w w:val="100"/>
                        <w:sz w:val="10"/>
                      </w:rPr>
                      <w:t>…</w:t>
                    </w:r>
                    <w:r>
                      <w:rPr>
                        <w:spacing w:val="-1"/>
                        <w:w w:val="100"/>
                        <w:sz w:val="10"/>
                      </w:rPr>
                      <w:t>0</w:t>
                    </w:r>
                  </w:p>
                  <w:p>
                    <w:pPr>
                      <w:spacing w:before="2"/>
                      <w:ind w:left="184" w:right="0" w:firstLine="0"/>
                      <w:jc w:val="left"/>
                      <w:rPr>
                        <w:sz w:val="10"/>
                      </w:rPr>
                    </w:pPr>
                    <w:r>
                      <w:rPr>
                        <w:sz w:val="10"/>
                      </w:rPr>
                      <w:t>0X1FFFF</w:t>
                    </w:r>
                  </w:p>
                </w:txbxContent>
              </v:textbox>
              <w10:wrap type="none"/>
            </v:shape>
            <v:shape style="position:absolute;left:3516;top:-2036;width:318;height:113" type="#_x0000_t202" filled="false" stroked="false">
              <v:textbox inset="0,0,0,0">
                <w:txbxContent>
                  <w:p>
                    <w:pPr>
                      <w:spacing w:line="112" w:lineRule="exact" w:before="0"/>
                      <w:ind w:left="0" w:right="0" w:firstLine="0"/>
                      <w:jc w:val="left"/>
                      <w:rPr>
                        <w:sz w:val="10"/>
                      </w:rPr>
                    </w:pPr>
                    <w:r>
                      <w:rPr>
                        <w:sz w:val="10"/>
                      </w:rPr>
                      <w:t>VBIAS</w:t>
                    </w:r>
                  </w:p>
                </w:txbxContent>
              </v:textbox>
              <w10:wrap type="none"/>
            </v:shape>
            <v:shape style="position:absolute;left:5668;top:-2230;width:776;height:423" type="#_x0000_t202" filled="false" stroked="false">
              <v:textbox inset="0,0,0,0">
                <w:txbxContent>
                  <w:p>
                    <w:pPr>
                      <w:spacing w:line="240" w:lineRule="auto" w:before="0"/>
                      <w:ind w:left="0" w:right="-6" w:firstLine="19"/>
                      <w:jc w:val="left"/>
                      <w:rPr>
                        <w:sz w:val="10"/>
                      </w:rPr>
                    </w:pPr>
                    <w:r>
                      <w:rPr>
                        <w:sz w:val="10"/>
                      </w:rPr>
                      <w:t>PROGRAM 0x0000...0xFFFF</w:t>
                    </w:r>
                  </w:p>
                  <w:p>
                    <w:pPr>
                      <w:spacing w:before="77"/>
                      <w:ind w:left="81" w:right="0" w:firstLine="0"/>
                      <w:jc w:val="left"/>
                      <w:rPr>
                        <w:sz w:val="10"/>
                      </w:rPr>
                    </w:pPr>
                    <w:r>
                      <w:rPr>
                        <w:w w:val="100"/>
                        <w:sz w:val="10"/>
                      </w:rPr>
                      <w:t>8</w:t>
                    </w:r>
                  </w:p>
                </w:txbxContent>
              </v:textbox>
              <w10:wrap type="none"/>
            </v:shape>
            <v:shape style="position:absolute;left:7346;top:-2053;width:131;height:113" type="#_x0000_t202" filled="false" stroked="false">
              <v:textbox inset="0,0,0,0">
                <w:txbxContent>
                  <w:p>
                    <w:pPr>
                      <w:spacing w:line="112" w:lineRule="exact" w:before="0"/>
                      <w:ind w:left="0" w:right="0" w:firstLine="0"/>
                      <w:jc w:val="left"/>
                      <w:rPr>
                        <w:sz w:val="10"/>
                      </w:rPr>
                    </w:pPr>
                    <w:r>
                      <w:rPr>
                        <w:sz w:val="10"/>
                      </w:rPr>
                      <w:t>17</w:t>
                    </w:r>
                  </w:p>
                </w:txbxContent>
              </v:textbox>
              <w10:wrap type="none"/>
            </v:shape>
            <v:shape style="position:absolute;left:8392;top:-1982;width:640;height:350" type="#_x0000_t202" filled="false" stroked="false">
              <v:textbox inset="0,0,0,0">
                <w:txbxContent>
                  <w:p>
                    <w:pPr>
                      <w:spacing w:line="247" w:lineRule="auto" w:before="0"/>
                      <w:ind w:left="0" w:right="3" w:firstLine="187"/>
                      <w:jc w:val="left"/>
                      <w:rPr>
                        <w:rFonts w:ascii="Times New Roman"/>
                        <w:i/>
                        <w:sz w:val="10"/>
                      </w:rPr>
                    </w:pPr>
                    <w:r>
                      <w:rPr>
                        <w:rFonts w:ascii="Times New Roman"/>
                        <w:i/>
                        <w:color w:val="0000FF"/>
                        <w:sz w:val="10"/>
                      </w:rPr>
                      <w:t>CON- </w:t>
                    </w:r>
                    <w:r>
                      <w:rPr>
                        <w:rFonts w:ascii="Times New Roman"/>
                        <w:i/>
                        <w:color w:val="0000FF"/>
                        <w:sz w:val="10"/>
                      </w:rPr>
                      <w:t>FIGURATION PARAMETERS</w:t>
                    </w:r>
                  </w:p>
                </w:txbxContent>
              </v:textbox>
              <w10:wrap type="none"/>
            </v:shape>
            <v:shape style="position:absolute;left:4788;top:-1578;width:555;height:113" type="#_x0000_t202" filled="false" stroked="false">
              <v:textbox inset="0,0,0,0">
                <w:txbxContent>
                  <w:p>
                    <w:pPr>
                      <w:spacing w:line="112" w:lineRule="exact" w:before="0"/>
                      <w:ind w:left="0" w:right="0" w:firstLine="0"/>
                      <w:jc w:val="left"/>
                      <w:rPr>
                        <w:sz w:val="10"/>
                      </w:rPr>
                    </w:pPr>
                    <w:r>
                      <w:rPr>
                        <w:sz w:val="10"/>
                      </w:rPr>
                      <w:t>MPU_RSTZ</w:t>
                    </w:r>
                  </w:p>
                </w:txbxContent>
              </v:textbox>
              <w10:wrap type="none"/>
            </v:shape>
            <v:shape style="position:absolute;left:5577;top:-1635;width:536;height:113" type="#_x0000_t202" filled="false" stroked="false">
              <v:textbox inset="0,0,0,0">
                <w:txbxContent>
                  <w:p>
                    <w:pPr>
                      <w:spacing w:line="112" w:lineRule="exact" w:before="0"/>
                      <w:ind w:left="0" w:right="0" w:firstLine="0"/>
                      <w:jc w:val="left"/>
                      <w:rPr>
                        <w:sz w:val="10"/>
                      </w:rPr>
                    </w:pPr>
                    <w:r>
                      <w:rPr>
                        <w:sz w:val="10"/>
                      </w:rPr>
                      <w:t>CKMPU_2x</w:t>
                    </w:r>
                  </w:p>
                </w:txbxContent>
              </v:textbox>
              <w10:wrap type="none"/>
            </v:shape>
            <v:shape style="position:absolute;left:3115;top:-1426;width:744;height:231" type="#_x0000_t202" filled="false" stroked="false">
              <v:textbox inset="0,0,0,0">
                <w:txbxContent>
                  <w:p>
                    <w:pPr>
                      <w:spacing w:line="244" w:lineRule="auto" w:before="0"/>
                      <w:ind w:left="72" w:right="1" w:hanging="72"/>
                      <w:jc w:val="left"/>
                      <w:rPr>
                        <w:sz w:val="10"/>
                      </w:rPr>
                    </w:pPr>
                    <w:r>
                      <w:rPr>
                        <w:sz w:val="10"/>
                      </w:rPr>
                      <w:t>POWER FAULT DETECTION</w:t>
                    </w:r>
                  </w:p>
                </w:txbxContent>
              </v:textbox>
              <w10:wrap type="none"/>
            </v:shape>
            <v:shape style="position:absolute;left:4096;top:-1388;width:318;height:113" type="#_x0000_t202" filled="false" stroked="false">
              <v:textbox inset="0,0,0,0">
                <w:txbxContent>
                  <w:p>
                    <w:pPr>
                      <w:spacing w:line="112" w:lineRule="exact" w:before="0"/>
                      <w:ind w:left="0" w:right="0" w:firstLine="0"/>
                      <w:jc w:val="left"/>
                      <w:rPr>
                        <w:sz w:val="10"/>
                      </w:rPr>
                    </w:pPr>
                    <w:r>
                      <w:rPr>
                        <w:sz w:val="10"/>
                      </w:rPr>
                      <w:t>WAKE</w:t>
                    </w:r>
                  </w:p>
                </w:txbxContent>
              </v:textbox>
              <w10:wrap type="none"/>
            </v:shape>
            <v:shape style="position:absolute;left:8193;top:-1330;width:239;height:113" type="#_x0000_t202" filled="false" stroked="false">
              <v:textbox inset="0,0,0,0">
                <w:txbxContent>
                  <w:p>
                    <w:pPr>
                      <w:spacing w:line="112" w:lineRule="exact" w:before="0"/>
                      <w:ind w:left="0" w:right="0" w:firstLine="0"/>
                      <w:jc w:val="left"/>
                      <w:rPr>
                        <w:sz w:val="10"/>
                      </w:rPr>
                    </w:pPr>
                    <w:r>
                      <w:rPr>
                        <w:sz w:val="10"/>
                      </w:rPr>
                      <w:t>RTM</w:t>
                    </w:r>
                  </w:p>
                </w:txbxContent>
              </v:textbox>
              <w10:wrap type="none"/>
            </v:shape>
            <v:shape style="position:absolute;left:8563;top:-1350;width:1139;height:231" type="#_x0000_t202" filled="false" stroked="false">
              <v:textbox inset="0,0,0,0">
                <w:txbxContent>
                  <w:p>
                    <w:pPr>
                      <w:spacing w:line="112" w:lineRule="exact" w:before="0"/>
                      <w:ind w:left="0" w:right="0" w:firstLine="0"/>
                      <w:jc w:val="left"/>
                      <w:rPr>
                        <w:sz w:val="10"/>
                      </w:rPr>
                    </w:pPr>
                    <w:r>
                      <w:rPr>
                        <w:sz w:val="10"/>
                      </w:rPr>
                      <w:t>TEST MUX TEST MUX</w:t>
                    </w:r>
                  </w:p>
                  <w:p>
                    <w:pPr>
                      <w:spacing w:before="2"/>
                      <w:ind w:left="0" w:right="249" w:firstLine="0"/>
                      <w:jc w:val="right"/>
                      <w:rPr>
                        <w:sz w:val="10"/>
                      </w:rPr>
                    </w:pPr>
                    <w:r>
                      <w:rPr>
                        <w:w w:val="100"/>
                        <w:sz w:val="10"/>
                      </w:rPr>
                      <w:t>2</w:t>
                    </w:r>
                  </w:p>
                </w:txbxContent>
              </v:textbox>
              <w10:wrap type="none"/>
            </v:shape>
            <v:shape style="position:absolute;left:4123;top:-1083;width:399;height:113" type="#_x0000_t202" filled="false" stroked="false">
              <v:textbox inset="0,0,0,0">
                <w:txbxContent>
                  <w:p>
                    <w:pPr>
                      <w:spacing w:line="112" w:lineRule="exact" w:before="0"/>
                      <w:ind w:left="0" w:right="0" w:firstLine="0"/>
                      <w:jc w:val="left"/>
                      <w:rPr>
                        <w:sz w:val="10"/>
                      </w:rPr>
                    </w:pPr>
                    <w:r>
                      <w:rPr>
                        <w:sz w:val="10"/>
                      </w:rPr>
                      <w:t>FAULTZ</w:t>
                    </w:r>
                  </w:p>
                </w:txbxContent>
              </v:textbox>
              <w10:wrap type="none"/>
            </v:shape>
            <v:shape style="position:absolute;left:6684;top:-1023;width:77;height:113" type="#_x0000_t202" filled="false" stroked="false">
              <v:textbox inset="0,0,0,0">
                <w:txbxContent>
                  <w:p>
                    <w:pPr>
                      <w:spacing w:line="112" w:lineRule="exact" w:before="0"/>
                      <w:ind w:left="0" w:right="0" w:firstLine="0"/>
                      <w:jc w:val="left"/>
                      <w:rPr>
                        <w:sz w:val="10"/>
                      </w:rPr>
                    </w:pPr>
                    <w:r>
                      <w:rPr>
                        <w:w w:val="100"/>
                        <w:sz w:val="10"/>
                      </w:rPr>
                      <w:t>3</w:t>
                    </w:r>
                  </w:p>
                </w:txbxContent>
              </v:textbox>
              <w10:wrap type="none"/>
            </v:shape>
            <v:shape style="position:absolute;left:4252;top:-858;width:344;height:113" type="#_x0000_t202" filled="false" stroked="false">
              <v:textbox inset="0,0,0,0">
                <w:txbxContent>
                  <w:p>
                    <w:pPr>
                      <w:spacing w:line="112" w:lineRule="exact" w:before="0"/>
                      <w:ind w:left="0" w:right="0" w:firstLine="0"/>
                      <w:jc w:val="left"/>
                      <w:rPr>
                        <w:sz w:val="10"/>
                      </w:rPr>
                    </w:pPr>
                    <w:r>
                      <w:rPr>
                        <w:sz w:val="10"/>
                      </w:rPr>
                      <w:t>VSTAT</w:t>
                    </w:r>
                  </w:p>
                </w:txbxContent>
              </v:textbox>
              <w10:wrap type="none"/>
            </v:shape>
            <v:shape style="position:absolute;left:6921;top:-1086;width:908;height:348" type="#_x0000_t202" filled="false" stroked="false">
              <v:textbox inset="0,0,0,0">
                <w:txbxContent>
                  <w:p>
                    <w:pPr>
                      <w:spacing w:line="244" w:lineRule="auto" w:before="0"/>
                      <w:ind w:left="4" w:right="499" w:hanging="5"/>
                      <w:jc w:val="left"/>
                      <w:rPr>
                        <w:sz w:val="10"/>
                      </w:rPr>
                    </w:pPr>
                    <w:r>
                      <w:rPr>
                        <w:sz w:val="10"/>
                      </w:rPr>
                      <w:t>E_RXTX E_TCLK</w:t>
                    </w:r>
                  </w:p>
                  <w:p>
                    <w:pPr>
                      <w:spacing w:before="0"/>
                      <w:ind w:left="7" w:right="0" w:firstLine="0"/>
                      <w:jc w:val="left"/>
                      <w:rPr>
                        <w:sz w:val="10"/>
                      </w:rPr>
                    </w:pPr>
                    <w:r>
                      <w:rPr>
                        <w:sz w:val="10"/>
                      </w:rPr>
                      <w:t>E_RST(Open Drain)</w:t>
                    </w:r>
                  </w:p>
                </w:txbxContent>
              </v:textbox>
              <w10:wrap type="none"/>
            </v:shape>
            <v:shape style="position:absolute;left:4591;top:-537;width:488;height:156" type="#_x0000_t202" filled="false" stroked="false">
              <v:textbox inset="0,0,0,0">
                <w:txbxContent>
                  <w:p>
                    <w:pPr>
                      <w:spacing w:line="156" w:lineRule="exact" w:before="0"/>
                      <w:ind w:left="0" w:right="0" w:firstLine="0"/>
                      <w:jc w:val="left"/>
                      <w:rPr>
                        <w:sz w:val="14"/>
                      </w:rPr>
                    </w:pPr>
                    <w:r>
                      <w:rPr>
                        <w:sz w:val="14"/>
                      </w:rPr>
                      <w:t>RESET</w:t>
                    </w:r>
                  </w:p>
                </w:txbxContent>
              </v:textbox>
              <w10:wrap type="none"/>
            </v:shape>
            <v:shape style="position:absolute;left:5659;top:-488;width:748;height:344" type="#_x0000_t202" filled="false" stroked="false">
              <v:textbox inset="0,0,0,0">
                <w:txbxContent>
                  <w:p>
                    <w:pPr>
                      <w:spacing w:line="240" w:lineRule="auto" w:before="0"/>
                      <w:ind w:left="0" w:right="18" w:hanging="10"/>
                      <w:jc w:val="right"/>
                      <w:rPr>
                        <w:sz w:val="10"/>
                      </w:rPr>
                    </w:pPr>
                    <w:r>
                      <w:rPr>
                        <w:sz w:val="10"/>
                      </w:rPr>
                      <w:t>E_RXTX/SEG48 E_TCLK/SEG49 E_RST/SEG50</w:t>
                    </w:r>
                  </w:p>
                </w:txbxContent>
              </v:textbox>
              <w10:wrap type="none"/>
            </v:shape>
            <v:shape style="position:absolute;left:7821;top:-537;width:406;height:156" type="#_x0000_t202" filled="false" stroked="false">
              <v:textbox inset="0,0,0,0">
                <w:txbxContent>
                  <w:p>
                    <w:pPr>
                      <w:spacing w:line="156" w:lineRule="exact" w:before="0"/>
                      <w:ind w:left="0" w:right="0" w:firstLine="0"/>
                      <w:jc w:val="left"/>
                      <w:rPr>
                        <w:sz w:val="14"/>
                      </w:rPr>
                    </w:pPr>
                    <w:r>
                      <w:rPr>
                        <w:sz w:val="14"/>
                      </w:rPr>
                      <w:t>ICE_E</w:t>
                    </w:r>
                  </w:p>
                </w:txbxContent>
              </v:textbox>
              <w10:wrap type="none"/>
            </v:shape>
            <v:shape style="position:absolute;left:9240;top:-565;width:460;height:113" type="#_x0000_t202" filled="false" stroked="false">
              <v:textbox inset="0,0,0,0">
                <w:txbxContent>
                  <w:p>
                    <w:pPr>
                      <w:spacing w:line="112" w:lineRule="exact" w:before="0"/>
                      <w:ind w:left="0" w:right="0" w:firstLine="0"/>
                      <w:jc w:val="left"/>
                      <w:rPr>
                        <w:sz w:val="10"/>
                      </w:rPr>
                    </w:pPr>
                    <w:r>
                      <w:rPr>
                        <w:sz w:val="10"/>
                      </w:rPr>
                      <w:t>9/20/2010</w:t>
                    </w:r>
                  </w:p>
                </w:txbxContent>
              </v:textbox>
              <w10:wrap type="none"/>
            </v:shape>
            <v:shape style="position:absolute;left:6408;top:-1729;width:762;height:535" type="#_x0000_t202" filled="false" stroked="true" strokeweight=".12pt" strokecolor="#000000">
              <v:textbox inset="0,0,0,0">
                <w:txbxContent>
                  <w:p>
                    <w:pPr>
                      <w:spacing w:line="106" w:lineRule="exact" w:before="0"/>
                      <w:ind w:left="126" w:right="38" w:firstLine="0"/>
                      <w:jc w:val="center"/>
                      <w:rPr>
                        <w:sz w:val="10"/>
                      </w:rPr>
                    </w:pPr>
                    <w:r>
                      <w:rPr>
                        <w:sz w:val="10"/>
                      </w:rPr>
                      <w:t>EMULATOR</w:t>
                    </w:r>
                  </w:p>
                  <w:p>
                    <w:pPr>
                      <w:spacing w:before="5"/>
                      <w:ind w:left="121" w:right="38" w:firstLine="0"/>
                      <w:jc w:val="center"/>
                      <w:rPr>
                        <w:sz w:val="10"/>
                      </w:rPr>
                    </w:pPr>
                    <w:r>
                      <w:rPr>
                        <w:sz w:val="10"/>
                      </w:rPr>
                      <w:t>PORT</w:t>
                    </w:r>
                  </w:p>
                </w:txbxContent>
              </v:textbox>
              <v:stroke dashstyle="solid"/>
              <w10:wrap type="none"/>
            </v:shape>
            <v:shape style="position:absolute;left:2745;top:-3563;width:611;height:497" type="#_x0000_t202" filled="false" stroked="true" strokeweight=".12pt" strokecolor="#000000">
              <v:textbox inset="0,0,0,0">
                <w:txbxContent>
                  <w:p>
                    <w:pPr>
                      <w:spacing w:before="13"/>
                      <w:ind w:left="143" w:right="0" w:firstLine="0"/>
                      <w:jc w:val="left"/>
                      <w:rPr>
                        <w:sz w:val="10"/>
                      </w:rPr>
                    </w:pPr>
                    <w:r>
                      <w:rPr>
                        <w:sz w:val="10"/>
                      </w:rPr>
                      <w:t>UART0</w:t>
                    </w:r>
                  </w:p>
                </w:txbxContent>
              </v:textbox>
              <v:stroke dashstyle="solid"/>
              <w10:wrap type="none"/>
            </v:shape>
            <v:shape style="position:absolute;left:3508;top:-6086;width:763;height:1224" type="#_x0000_t202" filled="false" stroked="true" strokeweight=".12pt" strokecolor="#000000">
              <v:textbox inset="0,0,0,0">
                <w:txbxContent>
                  <w:p>
                    <w:pPr>
                      <w:spacing w:line="110" w:lineRule="exact" w:before="0"/>
                      <w:ind w:left="59" w:right="0" w:firstLine="0"/>
                      <w:jc w:val="left"/>
                      <w:rPr>
                        <w:sz w:val="10"/>
                      </w:rPr>
                    </w:pPr>
                    <w:r>
                      <w:rPr>
                        <w:sz w:val="10"/>
                      </w:rPr>
                      <w:t>CE CONTROL</w:t>
                    </w:r>
                  </w:p>
                </w:txbxContent>
              </v:textbox>
              <v:stroke dashstyle="solid"/>
              <w10:wrap type="none"/>
            </v:shape>
            <v:shape style="position:absolute;left:7323;top:-7003;width:839;height:459" type="#_x0000_t202" filled="false" stroked="true" strokeweight=".12pt" strokecolor="#000000">
              <v:textbox inset="0,0,0,0">
                <w:txbxContent>
                  <w:p>
                    <w:pPr>
                      <w:spacing w:line="110" w:lineRule="exact" w:before="0"/>
                      <w:ind w:left="12" w:right="-15" w:firstLine="0"/>
                      <w:jc w:val="left"/>
                      <w:rPr>
                        <w:sz w:val="10"/>
                      </w:rPr>
                    </w:pPr>
                    <w:r>
                      <w:rPr>
                        <w:sz w:val="10"/>
                      </w:rPr>
                      <w:t>MEMORY SHARE</w:t>
                    </w:r>
                  </w:p>
                </w:txbxContent>
              </v:textbox>
              <v:stroke dashstyle="solid"/>
              <w10:wrap type="none"/>
            </v:shape>
            <v:shape style="position:absolute;left:8619;top:-3028;width:534;height:458" type="#_x0000_t202" filled="false" stroked="true" strokeweight=".12pt" strokecolor="#000000">
              <v:textbox inset="0,0,0,0">
                <w:txbxContent>
                  <w:p>
                    <w:pPr>
                      <w:spacing w:line="244" w:lineRule="auto" w:before="8"/>
                      <w:ind w:left="2" w:right="-22" w:hanging="15"/>
                      <w:jc w:val="left"/>
                      <w:rPr>
                        <w:sz w:val="10"/>
                      </w:rPr>
                    </w:pPr>
                    <w:r>
                      <w:rPr>
                        <w:spacing w:val="-1"/>
                        <w:sz w:val="10"/>
                      </w:rPr>
                      <w:t>IGURATION </w:t>
                    </w:r>
                    <w:r>
                      <w:rPr>
                        <w:sz w:val="10"/>
                      </w:rPr>
                      <w:t>RAM</w:t>
                    </w:r>
                  </w:p>
                  <w:p>
                    <w:pPr>
                      <w:spacing w:before="3"/>
                      <w:ind w:left="-22" w:right="0" w:firstLine="0"/>
                      <w:jc w:val="left"/>
                      <w:rPr>
                        <w:sz w:val="10"/>
                      </w:rPr>
                    </w:pPr>
                    <w:r>
                      <w:rPr>
                        <w:sz w:val="10"/>
                      </w:rPr>
                      <w:t>O RAM)</w:t>
                    </w:r>
                  </w:p>
                </w:txbxContent>
              </v:textbox>
              <v:stroke dashstyle="solid"/>
              <w10:wrap type="none"/>
            </v:shape>
            <v:shape style="position:absolute;left:8314;top:-3028;width:306;height:458" type="#_x0000_t202" filled="false" stroked="true" strokeweight=".17pt" strokecolor="#000000">
              <v:textbox inset="0,0,0,0">
                <w:txbxContent>
                  <w:p>
                    <w:pPr>
                      <w:spacing w:before="8"/>
                      <w:ind w:left="0" w:right="8" w:firstLine="0"/>
                      <w:jc w:val="right"/>
                      <w:rPr>
                        <w:sz w:val="10"/>
                      </w:rPr>
                    </w:pPr>
                    <w:r>
                      <w:rPr>
                        <w:spacing w:val="-1"/>
                        <w:sz w:val="10"/>
                      </w:rPr>
                      <w:t>CONF</w:t>
                    </w:r>
                  </w:p>
                  <w:p>
                    <w:pPr>
                      <w:spacing w:line="240" w:lineRule="auto" w:before="7"/>
                      <w:rPr>
                        <w:sz w:val="10"/>
                      </w:rPr>
                    </w:pPr>
                  </w:p>
                  <w:p>
                    <w:pPr>
                      <w:spacing w:before="0"/>
                      <w:ind w:left="0" w:right="16" w:firstLine="0"/>
                      <w:jc w:val="right"/>
                      <w:rPr>
                        <w:sz w:val="10"/>
                      </w:rPr>
                    </w:pPr>
                    <w:r>
                      <w:rPr>
                        <w:spacing w:val="-1"/>
                        <w:sz w:val="10"/>
                      </w:rPr>
                      <w:t>(I/</w:t>
                    </w:r>
                  </w:p>
                </w:txbxContent>
              </v:textbox>
              <v:stroke dashstyle="solid"/>
              <w10:wrap type="none"/>
            </v:shape>
            <v:shape style="position:absolute;left:8314;top:-3563;width:839;height:458" type="#_x0000_t202" filled="false" stroked="true" strokeweight=".12pt" strokecolor="#000000">
              <v:textbox inset="0,0,0,0">
                <w:txbxContent>
                  <w:p>
                    <w:pPr>
                      <w:spacing w:line="247" w:lineRule="auto" w:before="8"/>
                      <w:ind w:left="8" w:right="-15" w:hanging="10"/>
                      <w:jc w:val="center"/>
                      <w:rPr>
                        <w:sz w:val="10"/>
                      </w:rPr>
                    </w:pPr>
                    <w:r>
                      <w:rPr>
                        <w:sz w:val="10"/>
                      </w:rPr>
                      <w:t>Non-Volatile CONFIGURATION RAM</w:t>
                    </w:r>
                  </w:p>
                </w:txbxContent>
              </v:textbox>
              <v:stroke dashstyle="solid"/>
              <w10:wrap type="none"/>
            </v:shape>
            <v:shape style="position:absolute;left:2897;top:-8379;width:611;height:382" type="#_x0000_t202" filled="false" stroked="true" strokeweight=".12pt" strokecolor="#000000">
              <v:textbox inset="0,0,0,0">
                <w:txbxContent>
                  <w:p>
                    <w:pPr>
                      <w:spacing w:line="111" w:lineRule="exact" w:before="0"/>
                      <w:ind w:left="99" w:right="0" w:firstLine="0"/>
                      <w:jc w:val="left"/>
                      <w:rPr>
                        <w:sz w:val="10"/>
                      </w:rPr>
                    </w:pPr>
                    <w:r>
                      <w:rPr>
                        <w:sz w:val="10"/>
                      </w:rPr>
                      <w:t>Oscillator</w:t>
                    </w:r>
                  </w:p>
                  <w:p>
                    <w:pPr>
                      <w:spacing w:line="240" w:lineRule="auto" w:before="11"/>
                      <w:rPr>
                        <w:sz w:val="12"/>
                      </w:rPr>
                    </w:pPr>
                  </w:p>
                  <w:p>
                    <w:pPr>
                      <w:spacing w:before="0"/>
                      <w:ind w:left="145" w:right="0" w:firstLine="0"/>
                      <w:jc w:val="left"/>
                      <w:rPr>
                        <w:sz w:val="10"/>
                      </w:rPr>
                    </w:pPr>
                    <w:r>
                      <w:rPr>
                        <w:sz w:val="10"/>
                      </w:rPr>
                      <w:t>32 KHz</w:t>
                    </w:r>
                  </w:p>
                </w:txbxContent>
              </v:textbox>
              <v:stroke dashstyle="solid"/>
              <w10:wrap type="none"/>
            </v:shape>
            <v:shape style="position:absolute;left:8848;top:-9067;width:763;height:840" type="#_x0000_t202" filled="false" stroked="true" strokeweight=".12pt" strokecolor="#000000">
              <v:textbox inset="0,0,0,0">
                <w:txbxContent>
                  <w:p>
                    <w:pPr>
                      <w:spacing w:line="107" w:lineRule="exact" w:before="0"/>
                      <w:ind w:left="213" w:right="0" w:firstLine="0"/>
                      <w:jc w:val="left"/>
                      <w:rPr>
                        <w:sz w:val="10"/>
                      </w:rPr>
                    </w:pPr>
                    <w:r>
                      <w:rPr>
                        <w:sz w:val="10"/>
                      </w:rPr>
                      <w:t>Voltage</w:t>
                    </w:r>
                  </w:p>
                  <w:p>
                    <w:pPr>
                      <w:spacing w:before="0"/>
                      <w:ind w:left="167" w:right="0" w:firstLine="0"/>
                      <w:jc w:val="left"/>
                      <w:rPr>
                        <w:sz w:val="10"/>
                      </w:rPr>
                    </w:pPr>
                    <w:r>
                      <w:rPr>
                        <w:sz w:val="10"/>
                      </w:rPr>
                      <w:t>Regulator</w:t>
                    </w:r>
                  </w:p>
                </w:txbxContent>
              </v:textbox>
              <v:stroke dashstyle="solid"/>
              <w10:wrap type="none"/>
            </v:shape>
            <v:shape style="position:absolute;left:7780;top:-2340;width:608;height:458" type="#_x0000_t202" filled="false" stroked="true" strokeweight=".12pt" strokecolor="#000000">
              <v:textbox inset="0,0,0,0">
                <w:txbxContent>
                  <w:p>
                    <w:pPr>
                      <w:spacing w:line="108" w:lineRule="exact" w:before="0"/>
                      <w:ind w:left="-1" w:right="-15" w:firstLine="0"/>
                      <w:jc w:val="left"/>
                      <w:rPr>
                        <w:sz w:val="10"/>
                      </w:rPr>
                    </w:pPr>
                    <w:r>
                      <w:rPr>
                        <w:sz w:val="10"/>
                      </w:rPr>
                      <w:t>FLASH</w:t>
                    </w:r>
                    <w:r>
                      <w:rPr>
                        <w:spacing w:val="-9"/>
                        <w:sz w:val="10"/>
                      </w:rPr>
                      <w:t> </w:t>
                    </w:r>
                    <w:r>
                      <w:rPr>
                        <w:spacing w:val="-7"/>
                        <w:sz w:val="10"/>
                      </w:rPr>
                      <w:t>128KB</w:t>
                    </w:r>
                  </w:p>
                </w:txbxContent>
              </v:textbox>
              <v:stroke dashstyle="solid"/>
              <w10:wrap type="none"/>
            </v:shape>
            <v:shape style="position:absolute;left:6331;top:-7003;width:534;height:459" type="#_x0000_t202" filled="false" stroked="true" strokeweight=".12pt" strokecolor="#000000">
              <v:textbox inset="0,0,0,0">
                <w:txbxContent>
                  <w:p>
                    <w:pPr>
                      <w:spacing w:line="244" w:lineRule="auto" w:before="0"/>
                      <w:ind w:left="126" w:right="5" w:hanging="92"/>
                      <w:jc w:val="left"/>
                      <w:rPr>
                        <w:sz w:val="10"/>
                      </w:rPr>
                    </w:pPr>
                    <w:r>
                      <w:rPr>
                        <w:sz w:val="10"/>
                      </w:rPr>
                      <w:t>MPU RAM (5 KB)</w:t>
                    </w:r>
                  </w:p>
                </w:txbxContent>
              </v:textbox>
              <v:stroke dashstyle="solid"/>
              <w10:wrap type="none"/>
            </v:shape>
            <v:shape style="position:absolute;left:9229;top:-2493;width:459;height:459" type="#_x0000_t202" filled="false" stroked="true" strokeweight=".12pt" strokecolor="#000000">
              <v:textbox inset="0,0,0,0">
                <w:txbxContent>
                  <w:p>
                    <w:pPr>
                      <w:spacing w:line="107" w:lineRule="exact" w:before="0"/>
                      <w:ind w:left="91" w:right="0" w:firstLine="0"/>
                      <w:jc w:val="left"/>
                      <w:rPr>
                        <w:sz w:val="10"/>
                      </w:rPr>
                    </w:pPr>
                    <w:r>
                      <w:rPr>
                        <w:sz w:val="10"/>
                      </w:rPr>
                      <w:t>TEMP</w:t>
                    </w:r>
                  </w:p>
                  <w:p>
                    <w:pPr>
                      <w:spacing w:before="2"/>
                      <w:ind w:left="21" w:right="0" w:firstLine="0"/>
                      <w:jc w:val="left"/>
                      <w:rPr>
                        <w:sz w:val="10"/>
                      </w:rPr>
                    </w:pPr>
                    <w:r>
                      <w:rPr>
                        <w:sz w:val="10"/>
                      </w:rPr>
                      <w:t>SENSOR</w:t>
                    </w:r>
                  </w:p>
                </w:txbxContent>
              </v:textbox>
              <v:stroke dashstyle="solid"/>
              <w10:wrap type="none"/>
            </v:shape>
            <v:shape style="position:absolute;left:8314;top:-4098;width:839;height:459" type="#_x0000_t202" filled="false" stroked="true" strokeweight=".12pt" strokecolor="#000000">
              <v:textbox inset="0,0,0,0">
                <w:txbxContent>
                  <w:p>
                    <w:pPr>
                      <w:spacing w:line="111" w:lineRule="exact" w:before="0"/>
                      <w:ind w:left="298" w:right="293" w:firstLine="0"/>
                      <w:jc w:val="center"/>
                      <w:rPr>
                        <w:sz w:val="10"/>
                      </w:rPr>
                    </w:pPr>
                    <w:r>
                      <w:rPr>
                        <w:sz w:val="10"/>
                      </w:rPr>
                      <w:t>RTC</w:t>
                    </w:r>
                  </w:p>
                </w:txbxContent>
              </v:textbox>
              <v:stroke dashstyle="solid"/>
              <w10:wrap type="none"/>
            </v:shape>
            <v:shape style="position:absolute;left:8314;top:-5168;width:839;height:994" type="#_x0000_t202" filled="false" stroked="true" strokeweight=".12pt" strokecolor="#000000">
              <v:textbox inset="0,0,0,0">
                <w:txbxContent>
                  <w:p>
                    <w:pPr>
                      <w:spacing w:line="111" w:lineRule="exact" w:before="0"/>
                      <w:ind w:left="149" w:right="0" w:firstLine="0"/>
                      <w:jc w:val="left"/>
                      <w:rPr>
                        <w:sz w:val="10"/>
                      </w:rPr>
                    </w:pPr>
                    <w:r>
                      <w:rPr>
                        <w:sz w:val="10"/>
                      </w:rPr>
                      <w:t>DIGITAL I/O</w:t>
                    </w:r>
                  </w:p>
                </w:txbxContent>
              </v:textbox>
              <v:stroke dashstyle="solid"/>
              <w10:wrap type="none"/>
            </v:shape>
            <w10:wrap type="none"/>
          </v:group>
        </w:pict>
      </w:r>
      <w:bookmarkStart w:name="_bookmark0" w:id="1"/>
      <w:bookmarkEnd w:id="1"/>
      <w:r>
        <w:rPr/>
      </w:r>
      <w:r>
        <w:rPr/>
        <w:t>Figure 1: IC Functional Block Diagram</w:t>
      </w:r>
    </w:p>
    <w:p>
      <w:pPr>
        <w:spacing w:after="0"/>
        <w:jc w:val="center"/>
        <w:sectPr>
          <w:type w:val="continuous"/>
          <w:pgSz w:w="12240" w:h="15840"/>
          <w:pgMar w:top="940" w:bottom="280" w:left="820" w:right="860"/>
        </w:sectPr>
      </w:pPr>
    </w:p>
    <w:p>
      <w:pPr>
        <w:pStyle w:val="BodyText"/>
        <w:rPr>
          <w:sz w:val="13"/>
        </w:rPr>
      </w:pPr>
    </w:p>
    <w:p>
      <w:pPr>
        <w:pStyle w:val="ListParagraph"/>
        <w:numPr>
          <w:ilvl w:val="0"/>
          <w:numId w:val="7"/>
        </w:numPr>
        <w:tabs>
          <w:tab w:pos="1339" w:val="left" w:leader="none"/>
          <w:tab w:pos="1340" w:val="left" w:leader="none"/>
        </w:tabs>
        <w:spacing w:line="240" w:lineRule="auto" w:before="92" w:after="0"/>
        <w:ind w:left="1339" w:right="0" w:hanging="720"/>
        <w:jc w:val="left"/>
        <w:rPr>
          <w:b/>
          <w:sz w:val="28"/>
        </w:rPr>
      </w:pPr>
      <w:bookmarkStart w:name="1 Introduction" w:id="2"/>
      <w:bookmarkEnd w:id="2"/>
      <w:r>
        <w:rPr/>
      </w:r>
      <w:bookmarkStart w:name="_bookmark1" w:id="3"/>
      <w:bookmarkEnd w:id="3"/>
      <w:r>
        <w:rPr/>
      </w:r>
      <w:bookmarkStart w:name="_bookmark1" w:id="4"/>
      <w:bookmarkEnd w:id="4"/>
      <w:r>
        <w:rPr>
          <w:b/>
          <w:sz w:val="28"/>
        </w:rPr>
        <w:t>I</w:t>
      </w:r>
      <w:r>
        <w:rPr>
          <w:b/>
          <w:sz w:val="28"/>
        </w:rPr>
        <w:t>ntroduction</w:t>
      </w:r>
    </w:p>
    <w:p>
      <w:pPr>
        <w:pStyle w:val="BodyText"/>
        <w:spacing w:before="120"/>
        <w:ind w:left="619" w:right="559"/>
      </w:pPr>
      <w:r>
        <w:rPr/>
        <w:t>This data sheet covers the 71M6543F (64KB) and 71M6543G (128KB) 4th-generation polyphase energy measurement system-on-chips (SoCs). The term “71M6543” is used when discussing a device feature or behavior that is applicable to all four part numbers. The specific part numbers are used when discussing those features that apply only to specific part numbers. This data sheet also covers details about the companion 71M6xx3 isolated current sensor device.</w:t>
      </w:r>
    </w:p>
    <w:p>
      <w:pPr>
        <w:pStyle w:val="BodyText"/>
        <w:spacing w:before="120"/>
        <w:ind w:left="619" w:right="559"/>
      </w:pPr>
      <w:r>
        <w:rPr/>
        <w:t>This document covers the use of the 71M6543 in conjunction with the 71M6xx3 isolated current sensor. The 71M6543 and 71M6xx3 ICs make it possible to use one non-isolated and three additional isolated shunt current sensors to create polyphase energy meters using inexpensive shunt resistors, while achieving unprecedented performance with this type of sensor technology. The 71M6543 SoCs also support Current Transformers (CT).</w:t>
      </w:r>
    </w:p>
    <w:p>
      <w:pPr>
        <w:pStyle w:val="BodyText"/>
        <w:spacing w:before="120"/>
        <w:ind w:left="619" w:right="582"/>
      </w:pPr>
      <w:r>
        <w:rPr/>
        <w:t>To facilitate document navigation, hyperlinks are often used to reference figures, tables and section headings that are located in other parts of the document. All hyperlinks in this document are highlighted in </w:t>
      </w:r>
      <w:r>
        <w:rPr>
          <w:color w:val="0000FF"/>
        </w:rPr>
        <w:t>blue</w:t>
      </w:r>
      <w:r>
        <w:rPr/>
        <w:t>. Hyperlinks are used extensively to increase the level of detail and clarity provided within each section by referencing other relevant parts of the document. To further facilitate document navigation, this document is published as a PDF document with bookmarks enabled.</w:t>
      </w:r>
    </w:p>
    <w:p>
      <w:pPr>
        <w:pStyle w:val="BodyText"/>
        <w:spacing w:before="122"/>
        <w:ind w:left="619" w:right="856"/>
      </w:pPr>
      <w:r>
        <w:rPr/>
        <w:t>The reader is also encouraged to obtain and review the documents listed in </w:t>
      </w:r>
      <w:hyperlink w:history="true" w:anchor="_bookmark310">
        <w:r>
          <w:rPr/>
          <w:t>8 </w:t>
        </w:r>
      </w:hyperlink>
      <w:hyperlink w:history="true" w:anchor="_bookmark310">
        <w:r>
          <w:rPr>
            <w:color w:val="0000FF"/>
          </w:rPr>
          <w:t>Related Information </w:t>
        </w:r>
      </w:hyperlink>
      <w:r>
        <w:rPr/>
        <w:t>on page </w:t>
      </w:r>
      <w:hyperlink w:history="true" w:anchor="_bookmark310">
        <w:r>
          <w:rPr>
            <w:color w:val="0000FF"/>
          </w:rPr>
          <w:t>152 </w:t>
        </w:r>
      </w:hyperlink>
      <w:r>
        <w:rPr/>
        <w:t>of this document.</w:t>
      </w:r>
    </w:p>
    <w:p>
      <w:pPr>
        <w:spacing w:after="0"/>
        <w:sectPr>
          <w:pgSz w:w="12240" w:h="15840"/>
          <w:pgMar w:header="727" w:footer="819" w:top="960" w:bottom="1000" w:left="820" w:right="860"/>
        </w:sectPr>
      </w:pPr>
    </w:p>
    <w:p>
      <w:pPr>
        <w:pStyle w:val="BodyText"/>
        <w:rPr>
          <w:sz w:val="13"/>
        </w:rPr>
      </w:pPr>
    </w:p>
    <w:p>
      <w:pPr>
        <w:pStyle w:val="ListParagraph"/>
        <w:numPr>
          <w:ilvl w:val="0"/>
          <w:numId w:val="7"/>
        </w:numPr>
        <w:tabs>
          <w:tab w:pos="1339" w:val="left" w:leader="none"/>
          <w:tab w:pos="1340" w:val="left" w:leader="none"/>
        </w:tabs>
        <w:spacing w:line="240" w:lineRule="auto" w:before="92" w:after="0"/>
        <w:ind w:left="1339" w:right="0" w:hanging="720"/>
        <w:jc w:val="left"/>
        <w:rPr>
          <w:b/>
          <w:sz w:val="28"/>
        </w:rPr>
      </w:pPr>
      <w:bookmarkStart w:name="2 Hardware Description" w:id="5"/>
      <w:bookmarkEnd w:id="5"/>
      <w:r>
        <w:rPr/>
      </w:r>
      <w:bookmarkStart w:name="_bookmark2" w:id="6"/>
      <w:bookmarkEnd w:id="6"/>
      <w:r>
        <w:rPr/>
      </w:r>
      <w:bookmarkStart w:name="_bookmark2" w:id="7"/>
      <w:bookmarkEnd w:id="7"/>
      <w:r>
        <w:rPr>
          <w:b/>
          <w:sz w:val="28"/>
        </w:rPr>
        <w:t>H</w:t>
      </w:r>
      <w:r>
        <w:rPr>
          <w:b/>
          <w:sz w:val="28"/>
        </w:rPr>
        <w:t>ardware</w:t>
      </w:r>
      <w:r>
        <w:rPr>
          <w:b/>
          <w:spacing w:val="-3"/>
          <w:sz w:val="28"/>
        </w:rPr>
        <w:t> </w:t>
      </w:r>
      <w:r>
        <w:rPr>
          <w:b/>
          <w:sz w:val="28"/>
        </w:rPr>
        <w:t>Description</w:t>
      </w:r>
    </w:p>
    <w:p>
      <w:pPr>
        <w:pStyle w:val="ListParagraph"/>
        <w:numPr>
          <w:ilvl w:val="1"/>
          <w:numId w:val="7"/>
        </w:numPr>
        <w:tabs>
          <w:tab w:pos="1339" w:val="left" w:leader="none"/>
          <w:tab w:pos="1340" w:val="left" w:leader="none"/>
        </w:tabs>
        <w:spacing w:line="240" w:lineRule="auto" w:before="118" w:after="0"/>
        <w:ind w:left="1340" w:right="0" w:hanging="720"/>
        <w:jc w:val="left"/>
        <w:rPr>
          <w:b/>
          <w:sz w:val="24"/>
        </w:rPr>
      </w:pPr>
      <w:bookmarkStart w:name="2.1 Hardware Overview" w:id="8"/>
      <w:bookmarkEnd w:id="8"/>
      <w:r>
        <w:rPr/>
      </w:r>
      <w:bookmarkStart w:name="_bookmark3" w:id="9"/>
      <w:bookmarkEnd w:id="9"/>
      <w:r>
        <w:rPr/>
      </w:r>
      <w:bookmarkStart w:name="_bookmark3" w:id="10"/>
      <w:bookmarkEnd w:id="10"/>
      <w:r>
        <w:rPr>
          <w:b/>
          <w:sz w:val="24"/>
        </w:rPr>
        <w:t>H</w:t>
      </w:r>
      <w:r>
        <w:rPr>
          <w:b/>
          <w:sz w:val="24"/>
        </w:rPr>
        <w:t>ardware</w:t>
      </w:r>
      <w:r>
        <w:rPr>
          <w:b/>
          <w:spacing w:val="-2"/>
          <w:sz w:val="24"/>
        </w:rPr>
        <w:t> </w:t>
      </w:r>
      <w:r>
        <w:rPr>
          <w:b/>
          <w:sz w:val="24"/>
        </w:rPr>
        <w:t>Overview</w:t>
      </w:r>
    </w:p>
    <w:p>
      <w:pPr>
        <w:pStyle w:val="BodyText"/>
        <w:spacing w:before="122"/>
        <w:ind w:left="620" w:right="856"/>
      </w:pPr>
      <w:r>
        <w:rPr/>
        <w:t>The 71M6543 single-chip energy meter integrates all primary functional blocks required to implement a solid-state electricity meter. Included on the chip are:</w:t>
      </w:r>
    </w:p>
    <w:p>
      <w:pPr>
        <w:pStyle w:val="ListParagraph"/>
        <w:numPr>
          <w:ilvl w:val="1"/>
          <w:numId w:val="1"/>
        </w:numPr>
        <w:tabs>
          <w:tab w:pos="979" w:val="left" w:leader="none"/>
          <w:tab w:pos="980" w:val="left" w:leader="none"/>
        </w:tabs>
        <w:spacing w:line="240" w:lineRule="auto" w:before="122" w:after="0"/>
        <w:ind w:left="979" w:right="0" w:hanging="361"/>
        <w:jc w:val="left"/>
        <w:rPr>
          <w:rFonts w:ascii="Symbol" w:hAnsi="Symbol"/>
          <w:sz w:val="20"/>
        </w:rPr>
      </w:pPr>
      <w:r>
        <w:rPr>
          <w:sz w:val="20"/>
        </w:rPr>
        <w:t>An analog front-end (AFE) featuring a 22-bit second-order sigma-delta</w:t>
      </w:r>
      <w:r>
        <w:rPr>
          <w:spacing w:val="-7"/>
          <w:sz w:val="20"/>
        </w:rPr>
        <w:t> </w:t>
      </w:r>
      <w:r>
        <w:rPr>
          <w:sz w:val="20"/>
        </w:rPr>
        <w:t>ADC</w:t>
      </w:r>
    </w:p>
    <w:p>
      <w:pPr>
        <w:pStyle w:val="ListParagraph"/>
        <w:numPr>
          <w:ilvl w:val="1"/>
          <w:numId w:val="1"/>
        </w:numPr>
        <w:tabs>
          <w:tab w:pos="979" w:val="left" w:leader="none"/>
          <w:tab w:pos="980" w:val="left" w:leader="none"/>
        </w:tabs>
        <w:spacing w:line="240" w:lineRule="auto" w:before="38" w:after="0"/>
        <w:ind w:left="979" w:right="0" w:hanging="361"/>
        <w:jc w:val="left"/>
        <w:rPr>
          <w:rFonts w:ascii="Symbol" w:hAnsi="Symbol"/>
          <w:sz w:val="20"/>
        </w:rPr>
      </w:pPr>
      <w:r>
        <w:rPr>
          <w:sz w:val="20"/>
        </w:rPr>
        <w:t>An independent 32-bit digital computation engine (CE) to implement DSP</w:t>
      </w:r>
      <w:r>
        <w:rPr>
          <w:spacing w:val="-10"/>
          <w:sz w:val="20"/>
        </w:rPr>
        <w:t> </w:t>
      </w:r>
      <w:r>
        <w:rPr>
          <w:sz w:val="20"/>
        </w:rPr>
        <w:t>functions</w:t>
      </w:r>
    </w:p>
    <w:p>
      <w:pPr>
        <w:pStyle w:val="ListParagraph"/>
        <w:numPr>
          <w:ilvl w:val="1"/>
          <w:numId w:val="1"/>
        </w:numPr>
        <w:tabs>
          <w:tab w:pos="979" w:val="left" w:leader="none"/>
          <w:tab w:pos="980" w:val="left" w:leader="none"/>
        </w:tabs>
        <w:spacing w:line="240" w:lineRule="auto" w:before="38" w:after="0"/>
        <w:ind w:left="979" w:right="0" w:hanging="361"/>
        <w:jc w:val="left"/>
        <w:rPr>
          <w:rFonts w:ascii="Symbol" w:hAnsi="Symbol"/>
          <w:sz w:val="20"/>
        </w:rPr>
      </w:pPr>
      <w:r>
        <w:rPr>
          <w:sz w:val="20"/>
        </w:rPr>
        <w:t>An 8051-compatible microprocessor (MPU) which executes one instruction per clock cycle</w:t>
      </w:r>
      <w:r>
        <w:rPr>
          <w:spacing w:val="-20"/>
          <w:sz w:val="20"/>
        </w:rPr>
        <w:t> </w:t>
      </w:r>
      <w:r>
        <w:rPr>
          <w:sz w:val="20"/>
        </w:rPr>
        <w:t>(80515)</w:t>
      </w:r>
    </w:p>
    <w:p>
      <w:pPr>
        <w:pStyle w:val="ListParagraph"/>
        <w:numPr>
          <w:ilvl w:val="1"/>
          <w:numId w:val="1"/>
        </w:numPr>
        <w:tabs>
          <w:tab w:pos="979" w:val="left" w:leader="none"/>
          <w:tab w:pos="980" w:val="left" w:leader="none"/>
        </w:tabs>
        <w:spacing w:line="240" w:lineRule="auto" w:before="38" w:after="0"/>
        <w:ind w:left="979" w:right="0" w:hanging="361"/>
        <w:jc w:val="left"/>
        <w:rPr>
          <w:rFonts w:ascii="Symbol" w:hAnsi="Symbol"/>
          <w:sz w:val="20"/>
        </w:rPr>
      </w:pPr>
      <w:r>
        <w:rPr>
          <w:sz w:val="20"/>
        </w:rPr>
        <w:t>A precision voltage reference</w:t>
      </w:r>
      <w:r>
        <w:rPr>
          <w:spacing w:val="-4"/>
          <w:sz w:val="20"/>
        </w:rPr>
        <w:t> </w:t>
      </w:r>
      <w:r>
        <w:rPr>
          <w:sz w:val="20"/>
        </w:rPr>
        <w:t>(VREF)</w:t>
      </w:r>
    </w:p>
    <w:p>
      <w:pPr>
        <w:pStyle w:val="ListParagraph"/>
        <w:numPr>
          <w:ilvl w:val="1"/>
          <w:numId w:val="1"/>
        </w:numPr>
        <w:tabs>
          <w:tab w:pos="979" w:val="left" w:leader="none"/>
          <w:tab w:pos="980" w:val="left" w:leader="none"/>
        </w:tabs>
        <w:spacing w:line="240" w:lineRule="auto" w:before="39" w:after="0"/>
        <w:ind w:left="979" w:right="0" w:hanging="361"/>
        <w:jc w:val="left"/>
        <w:rPr>
          <w:rFonts w:ascii="Symbol" w:hAnsi="Symbol"/>
          <w:sz w:val="20"/>
        </w:rPr>
      </w:pPr>
      <w:r>
        <w:rPr>
          <w:sz w:val="20"/>
        </w:rPr>
        <w:t>A temperature sensor for digital temperature compensation</w:t>
      </w:r>
      <w:r>
        <w:rPr>
          <w:spacing w:val="-8"/>
          <w:sz w:val="20"/>
        </w:rPr>
        <w:t> </w:t>
      </w:r>
      <w:r>
        <w:rPr>
          <w:sz w:val="20"/>
        </w:rPr>
        <w:t>of:</w:t>
      </w:r>
    </w:p>
    <w:p>
      <w:pPr>
        <w:pStyle w:val="ListParagraph"/>
        <w:numPr>
          <w:ilvl w:val="2"/>
          <w:numId w:val="1"/>
        </w:numPr>
        <w:tabs>
          <w:tab w:pos="1339" w:val="left" w:leader="none"/>
          <w:tab w:pos="1340" w:val="left" w:leader="none"/>
        </w:tabs>
        <w:spacing w:line="240" w:lineRule="auto" w:before="37" w:after="0"/>
        <w:ind w:left="1339" w:right="0" w:hanging="361"/>
        <w:jc w:val="left"/>
        <w:rPr>
          <w:sz w:val="20"/>
        </w:rPr>
      </w:pPr>
      <w:r>
        <w:rPr>
          <w:sz w:val="20"/>
        </w:rPr>
        <w:t>Metrology</w:t>
      </w:r>
      <w:r>
        <w:rPr>
          <w:spacing w:val="-5"/>
          <w:sz w:val="20"/>
        </w:rPr>
        <w:t> </w:t>
      </w:r>
      <w:r>
        <w:rPr>
          <w:sz w:val="20"/>
        </w:rPr>
        <w:t>(MPU)</w:t>
      </w:r>
    </w:p>
    <w:p>
      <w:pPr>
        <w:pStyle w:val="ListParagraph"/>
        <w:numPr>
          <w:ilvl w:val="2"/>
          <w:numId w:val="1"/>
        </w:numPr>
        <w:tabs>
          <w:tab w:pos="1338" w:val="left" w:leader="none"/>
          <w:tab w:pos="1339" w:val="left" w:leader="none"/>
        </w:tabs>
        <w:spacing w:line="240" w:lineRule="auto" w:before="41" w:after="0"/>
        <w:ind w:left="1338" w:right="0" w:hanging="361"/>
        <w:jc w:val="left"/>
        <w:rPr>
          <w:sz w:val="20"/>
        </w:rPr>
      </w:pPr>
      <w:r>
        <w:rPr>
          <w:sz w:val="20"/>
        </w:rPr>
        <w:t>Automatic RTC in all power</w:t>
      </w:r>
      <w:r>
        <w:rPr>
          <w:spacing w:val="-19"/>
          <w:sz w:val="20"/>
        </w:rPr>
        <w:t> </w:t>
      </w:r>
      <w:r>
        <w:rPr>
          <w:sz w:val="20"/>
        </w:rPr>
        <w:t>states</w:t>
      </w:r>
    </w:p>
    <w:p>
      <w:pPr>
        <w:pStyle w:val="ListParagraph"/>
        <w:numPr>
          <w:ilvl w:val="2"/>
          <w:numId w:val="1"/>
        </w:numPr>
        <w:tabs>
          <w:tab w:pos="1338" w:val="left" w:leader="none"/>
          <w:tab w:pos="1339" w:val="left" w:leader="none"/>
        </w:tabs>
        <w:spacing w:line="240" w:lineRule="auto" w:before="39" w:after="0"/>
        <w:ind w:left="1338" w:right="0" w:hanging="361"/>
        <w:jc w:val="left"/>
        <w:rPr>
          <w:sz w:val="20"/>
        </w:rPr>
      </w:pPr>
      <w:r>
        <w:rPr>
          <w:sz w:val="20"/>
        </w:rPr>
        <w:t>MPU assisted RTC</w:t>
      </w:r>
      <w:r>
        <w:rPr>
          <w:spacing w:val="-14"/>
          <w:sz w:val="20"/>
        </w:rPr>
        <w:t> </w:t>
      </w:r>
      <w:r>
        <w:rPr>
          <w:sz w:val="20"/>
        </w:rPr>
        <w:t>compensation</w:t>
      </w:r>
    </w:p>
    <w:p>
      <w:pPr>
        <w:pStyle w:val="ListParagraph"/>
        <w:numPr>
          <w:ilvl w:val="1"/>
          <w:numId w:val="1"/>
        </w:numPr>
        <w:tabs>
          <w:tab w:pos="978" w:val="left" w:leader="none"/>
          <w:tab w:pos="979" w:val="left" w:leader="none"/>
        </w:tabs>
        <w:spacing w:line="240" w:lineRule="auto" w:before="42" w:after="0"/>
        <w:ind w:left="978" w:right="0" w:hanging="361"/>
        <w:jc w:val="left"/>
        <w:rPr>
          <w:rFonts w:ascii="Symbol" w:hAnsi="Symbol"/>
          <w:sz w:val="20"/>
        </w:rPr>
      </w:pPr>
      <w:r>
        <w:rPr>
          <w:sz w:val="20"/>
        </w:rPr>
        <w:t>LCD</w:t>
      </w:r>
      <w:r>
        <w:rPr>
          <w:spacing w:val="-2"/>
          <w:sz w:val="20"/>
        </w:rPr>
        <w:t> </w:t>
      </w:r>
      <w:r>
        <w:rPr>
          <w:sz w:val="20"/>
        </w:rPr>
        <w:t>Driver</w:t>
      </w:r>
    </w:p>
    <w:p>
      <w:pPr>
        <w:pStyle w:val="ListParagraph"/>
        <w:numPr>
          <w:ilvl w:val="1"/>
          <w:numId w:val="1"/>
        </w:numPr>
        <w:tabs>
          <w:tab w:pos="978" w:val="left" w:leader="none"/>
          <w:tab w:pos="979" w:val="left" w:leader="none"/>
        </w:tabs>
        <w:spacing w:line="240" w:lineRule="auto" w:before="38" w:after="0"/>
        <w:ind w:left="978" w:right="0" w:hanging="361"/>
        <w:jc w:val="left"/>
        <w:rPr>
          <w:rFonts w:ascii="Symbol" w:hAnsi="Symbol"/>
          <w:sz w:val="20"/>
        </w:rPr>
      </w:pPr>
      <w:r>
        <w:rPr>
          <w:sz w:val="20"/>
        </w:rPr>
        <w:t>RAM and Flash memory</w:t>
      </w:r>
    </w:p>
    <w:p>
      <w:pPr>
        <w:pStyle w:val="ListParagraph"/>
        <w:numPr>
          <w:ilvl w:val="1"/>
          <w:numId w:val="1"/>
        </w:numPr>
        <w:tabs>
          <w:tab w:pos="978" w:val="left" w:leader="none"/>
          <w:tab w:pos="979" w:val="left" w:leader="none"/>
        </w:tabs>
        <w:spacing w:line="240" w:lineRule="auto" w:before="38" w:after="0"/>
        <w:ind w:left="978" w:right="0" w:hanging="361"/>
        <w:jc w:val="left"/>
        <w:rPr>
          <w:rFonts w:ascii="Symbol" w:hAnsi="Symbol"/>
          <w:sz w:val="20"/>
        </w:rPr>
      </w:pPr>
      <w:r>
        <w:rPr>
          <w:sz w:val="20"/>
        </w:rPr>
        <w:t>A real time clock</w:t>
      </w:r>
      <w:r>
        <w:rPr>
          <w:spacing w:val="-3"/>
          <w:sz w:val="20"/>
        </w:rPr>
        <w:t> </w:t>
      </w:r>
      <w:r>
        <w:rPr>
          <w:sz w:val="20"/>
        </w:rPr>
        <w:t>(RTC)</w:t>
      </w:r>
    </w:p>
    <w:p>
      <w:pPr>
        <w:pStyle w:val="ListParagraph"/>
        <w:numPr>
          <w:ilvl w:val="1"/>
          <w:numId w:val="1"/>
        </w:numPr>
        <w:tabs>
          <w:tab w:pos="978" w:val="left" w:leader="none"/>
          <w:tab w:pos="979" w:val="left" w:leader="none"/>
        </w:tabs>
        <w:spacing w:line="240" w:lineRule="auto" w:before="39" w:after="0"/>
        <w:ind w:left="978" w:right="0" w:hanging="361"/>
        <w:jc w:val="left"/>
        <w:rPr>
          <w:rFonts w:ascii="Symbol" w:hAnsi="Symbol"/>
          <w:sz w:val="20"/>
        </w:rPr>
      </w:pPr>
      <w:r>
        <w:rPr>
          <w:sz w:val="20"/>
        </w:rPr>
        <w:t>A variety of I/O</w:t>
      </w:r>
      <w:r>
        <w:rPr>
          <w:spacing w:val="-4"/>
          <w:sz w:val="20"/>
        </w:rPr>
        <w:t> </w:t>
      </w:r>
      <w:r>
        <w:rPr>
          <w:sz w:val="20"/>
        </w:rPr>
        <w:t>pins</w:t>
      </w:r>
    </w:p>
    <w:p>
      <w:pPr>
        <w:pStyle w:val="ListParagraph"/>
        <w:numPr>
          <w:ilvl w:val="1"/>
          <w:numId w:val="1"/>
        </w:numPr>
        <w:tabs>
          <w:tab w:pos="978" w:val="left" w:leader="none"/>
          <w:tab w:pos="979" w:val="left" w:leader="none"/>
        </w:tabs>
        <w:spacing w:line="240" w:lineRule="auto" w:before="38" w:after="0"/>
        <w:ind w:left="978" w:right="0" w:hanging="361"/>
        <w:jc w:val="left"/>
        <w:rPr>
          <w:rFonts w:ascii="Symbol" w:hAnsi="Symbol"/>
          <w:sz w:val="20"/>
        </w:rPr>
      </w:pPr>
      <w:r>
        <w:rPr>
          <w:sz w:val="20"/>
        </w:rPr>
        <w:t>A power failure</w:t>
      </w:r>
      <w:r>
        <w:rPr>
          <w:spacing w:val="-2"/>
          <w:sz w:val="20"/>
        </w:rPr>
        <w:t> </w:t>
      </w:r>
      <w:r>
        <w:rPr>
          <w:sz w:val="20"/>
        </w:rPr>
        <w:t>interrupt</w:t>
      </w:r>
    </w:p>
    <w:p>
      <w:pPr>
        <w:pStyle w:val="ListParagraph"/>
        <w:numPr>
          <w:ilvl w:val="1"/>
          <w:numId w:val="1"/>
        </w:numPr>
        <w:tabs>
          <w:tab w:pos="978" w:val="left" w:leader="none"/>
          <w:tab w:pos="979" w:val="left" w:leader="none"/>
        </w:tabs>
        <w:spacing w:line="245" w:lineRule="exact" w:before="38" w:after="0"/>
        <w:ind w:left="978" w:right="0" w:hanging="361"/>
        <w:jc w:val="left"/>
        <w:rPr>
          <w:rFonts w:ascii="Symbol" w:hAnsi="Symbol"/>
          <w:sz w:val="20"/>
        </w:rPr>
      </w:pPr>
      <w:r>
        <w:rPr>
          <w:sz w:val="20"/>
        </w:rPr>
        <w:t>A zero-crossing</w:t>
      </w:r>
      <w:r>
        <w:rPr>
          <w:spacing w:val="1"/>
          <w:sz w:val="20"/>
        </w:rPr>
        <w:t> </w:t>
      </w:r>
      <w:r>
        <w:rPr>
          <w:sz w:val="20"/>
        </w:rPr>
        <w:t>interrupt</w:t>
      </w:r>
    </w:p>
    <w:p>
      <w:pPr>
        <w:pStyle w:val="ListParagraph"/>
        <w:numPr>
          <w:ilvl w:val="1"/>
          <w:numId w:val="1"/>
        </w:numPr>
        <w:tabs>
          <w:tab w:pos="978" w:val="left" w:leader="none"/>
          <w:tab w:pos="979" w:val="left" w:leader="none"/>
        </w:tabs>
        <w:spacing w:line="237" w:lineRule="auto" w:before="2" w:after="0"/>
        <w:ind w:left="978" w:right="867" w:hanging="361"/>
        <w:jc w:val="left"/>
        <w:rPr>
          <w:rFonts w:ascii="Symbol" w:hAnsi="Symbol"/>
          <w:sz w:val="20"/>
        </w:rPr>
      </w:pPr>
      <w:r>
        <w:rPr>
          <w:sz w:val="20"/>
        </w:rPr>
        <w:t>Selectable</w:t>
      </w:r>
      <w:r>
        <w:rPr>
          <w:spacing w:val="-6"/>
          <w:sz w:val="20"/>
        </w:rPr>
        <w:t> </w:t>
      </w:r>
      <w:r>
        <w:rPr>
          <w:sz w:val="20"/>
        </w:rPr>
        <w:t>current</w:t>
      </w:r>
      <w:r>
        <w:rPr>
          <w:spacing w:val="-5"/>
          <w:sz w:val="20"/>
        </w:rPr>
        <w:t> </w:t>
      </w:r>
      <w:r>
        <w:rPr>
          <w:sz w:val="20"/>
        </w:rPr>
        <w:t>sensor</w:t>
      </w:r>
      <w:r>
        <w:rPr>
          <w:spacing w:val="-2"/>
          <w:sz w:val="20"/>
        </w:rPr>
        <w:t> </w:t>
      </w:r>
      <w:r>
        <w:rPr>
          <w:sz w:val="20"/>
        </w:rPr>
        <w:t>interfaces</w:t>
      </w:r>
      <w:r>
        <w:rPr>
          <w:spacing w:val="-4"/>
          <w:sz w:val="20"/>
        </w:rPr>
        <w:t> </w:t>
      </w:r>
      <w:r>
        <w:rPr>
          <w:sz w:val="20"/>
        </w:rPr>
        <w:t>for</w:t>
      </w:r>
      <w:r>
        <w:rPr>
          <w:spacing w:val="-3"/>
          <w:sz w:val="20"/>
        </w:rPr>
        <w:t> </w:t>
      </w:r>
      <w:r>
        <w:rPr>
          <w:sz w:val="20"/>
        </w:rPr>
        <w:t>locally-connected</w:t>
      </w:r>
      <w:r>
        <w:rPr>
          <w:spacing w:val="-5"/>
          <w:sz w:val="20"/>
        </w:rPr>
        <w:t> </w:t>
      </w:r>
      <w:r>
        <w:rPr>
          <w:sz w:val="20"/>
        </w:rPr>
        <w:t>sensors</w:t>
      </w:r>
      <w:r>
        <w:rPr>
          <w:spacing w:val="-4"/>
          <w:sz w:val="20"/>
        </w:rPr>
        <w:t> </w:t>
      </w:r>
      <w:r>
        <w:rPr>
          <w:sz w:val="20"/>
        </w:rPr>
        <w:t>as</w:t>
      </w:r>
      <w:r>
        <w:rPr>
          <w:spacing w:val="-1"/>
          <w:sz w:val="20"/>
        </w:rPr>
        <w:t> </w:t>
      </w:r>
      <w:r>
        <w:rPr>
          <w:sz w:val="20"/>
        </w:rPr>
        <w:t>well</w:t>
      </w:r>
      <w:r>
        <w:rPr>
          <w:spacing w:val="-7"/>
          <w:sz w:val="20"/>
        </w:rPr>
        <w:t> </w:t>
      </w:r>
      <w:r>
        <w:rPr>
          <w:sz w:val="20"/>
        </w:rPr>
        <w:t>as</w:t>
      </w:r>
      <w:r>
        <w:rPr>
          <w:spacing w:val="-1"/>
          <w:sz w:val="20"/>
        </w:rPr>
        <w:t> </w:t>
      </w:r>
      <w:r>
        <w:rPr>
          <w:sz w:val="20"/>
        </w:rPr>
        <w:t>isolated</w:t>
      </w:r>
      <w:r>
        <w:rPr>
          <w:spacing w:val="-5"/>
          <w:sz w:val="20"/>
        </w:rPr>
        <w:t> </w:t>
      </w:r>
      <w:r>
        <w:rPr>
          <w:sz w:val="20"/>
        </w:rPr>
        <w:t>sensors</w:t>
      </w:r>
      <w:r>
        <w:rPr>
          <w:spacing w:val="-5"/>
          <w:sz w:val="20"/>
        </w:rPr>
        <w:t> </w:t>
      </w:r>
      <w:r>
        <w:rPr>
          <w:sz w:val="20"/>
        </w:rPr>
        <w:t>(i.e., using the 71M6xx3 companion IC with a shunt resistor</w:t>
      </w:r>
      <w:r>
        <w:rPr>
          <w:spacing w:val="1"/>
          <w:sz w:val="20"/>
        </w:rPr>
        <w:t> </w:t>
      </w:r>
      <w:r>
        <w:rPr>
          <w:sz w:val="20"/>
        </w:rPr>
        <w:t>sensor)</w:t>
      </w:r>
    </w:p>
    <w:p>
      <w:pPr>
        <w:pStyle w:val="ListParagraph"/>
        <w:numPr>
          <w:ilvl w:val="1"/>
          <w:numId w:val="1"/>
        </w:numPr>
        <w:tabs>
          <w:tab w:pos="978" w:val="left" w:leader="none"/>
          <w:tab w:pos="979" w:val="left" w:leader="none"/>
        </w:tabs>
        <w:spacing w:line="240" w:lineRule="auto" w:before="1" w:after="0"/>
        <w:ind w:left="978" w:right="0" w:hanging="361"/>
        <w:jc w:val="left"/>
        <w:rPr>
          <w:rFonts w:ascii="Symbol" w:hAnsi="Symbol"/>
          <w:sz w:val="20"/>
        </w:rPr>
      </w:pPr>
      <w:r>
        <w:rPr>
          <w:sz w:val="20"/>
        </w:rPr>
        <w:t>Resistive Shunt and Current Transformers are supported</w:t>
      </w:r>
    </w:p>
    <w:p>
      <w:pPr>
        <w:pStyle w:val="BodyText"/>
        <w:spacing w:before="116"/>
        <w:ind w:left="618" w:right="595"/>
      </w:pPr>
      <w:r>
        <w:rPr/>
        <w:t>In order to implement a polyphase meter with or without neutral current sensing, one resistive shunt current sensor may be connected directly (non-isolated) to the 71M6543 device, while up to three additional current shunts are isolated using a companion 71M6xx3 isolated sensor IC. An inexpensive, small size pulse transformer is used to electrically isolate the 71M6xx3 remote sensor from the 71M6543. The 71M6543 performs digital communications bi-directionally with the 71M6xx3 and also provides power to the 71M6xx3 through the isolating pulse transformer. Isolated (remote) shunt current sensors are connected to the differential input of the 71M6xx3. The 71M6543 may also be used with Current Transformers; in this case the 71M6xx3 isolated sensors are not required. Included on the 71M6xx3 companion isolator chip are:</w:t>
      </w:r>
    </w:p>
    <w:p>
      <w:pPr>
        <w:pStyle w:val="ListParagraph"/>
        <w:numPr>
          <w:ilvl w:val="1"/>
          <w:numId w:val="1"/>
        </w:numPr>
        <w:tabs>
          <w:tab w:pos="978" w:val="left" w:leader="none"/>
          <w:tab w:pos="979" w:val="left" w:leader="none"/>
        </w:tabs>
        <w:spacing w:line="244" w:lineRule="exact" w:before="123" w:after="0"/>
        <w:ind w:left="978" w:right="0" w:hanging="361"/>
        <w:jc w:val="left"/>
        <w:rPr>
          <w:rFonts w:ascii="Symbol" w:hAnsi="Symbol"/>
          <w:sz w:val="20"/>
        </w:rPr>
      </w:pPr>
      <w:r>
        <w:rPr>
          <w:sz w:val="20"/>
        </w:rPr>
        <w:t>Digital isolation communications</w:t>
      </w:r>
      <w:r>
        <w:rPr>
          <w:spacing w:val="-1"/>
          <w:sz w:val="20"/>
        </w:rPr>
        <w:t> </w:t>
      </w:r>
      <w:r>
        <w:rPr>
          <w:sz w:val="20"/>
        </w:rPr>
        <w:t>interface</w:t>
      </w:r>
    </w:p>
    <w:p>
      <w:pPr>
        <w:pStyle w:val="ListParagraph"/>
        <w:numPr>
          <w:ilvl w:val="1"/>
          <w:numId w:val="1"/>
        </w:numPr>
        <w:tabs>
          <w:tab w:pos="978" w:val="left" w:leader="none"/>
          <w:tab w:pos="979" w:val="left" w:leader="none"/>
        </w:tabs>
        <w:spacing w:line="244" w:lineRule="exact" w:before="0" w:after="0"/>
        <w:ind w:left="978" w:right="0" w:hanging="361"/>
        <w:jc w:val="left"/>
        <w:rPr>
          <w:rFonts w:ascii="Symbol" w:hAnsi="Symbol"/>
          <w:sz w:val="20"/>
        </w:rPr>
      </w:pPr>
      <w:r>
        <w:rPr>
          <w:sz w:val="20"/>
        </w:rPr>
        <w:t>An analog front-end (AFE) featuring a 22-bit second-order sigma-delta</w:t>
      </w:r>
      <w:r>
        <w:rPr>
          <w:spacing w:val="-7"/>
          <w:sz w:val="20"/>
        </w:rPr>
        <w:t> </w:t>
      </w:r>
      <w:r>
        <w:rPr>
          <w:sz w:val="20"/>
        </w:rPr>
        <w:t>ADC</w:t>
      </w:r>
    </w:p>
    <w:p>
      <w:pPr>
        <w:pStyle w:val="ListParagraph"/>
        <w:numPr>
          <w:ilvl w:val="1"/>
          <w:numId w:val="1"/>
        </w:numPr>
        <w:tabs>
          <w:tab w:pos="978" w:val="left" w:leader="none"/>
          <w:tab w:pos="979" w:val="left" w:leader="none"/>
        </w:tabs>
        <w:spacing w:line="244" w:lineRule="exact" w:before="0" w:after="0"/>
        <w:ind w:left="978" w:right="0" w:hanging="361"/>
        <w:jc w:val="left"/>
        <w:rPr>
          <w:rFonts w:ascii="Symbol" w:hAnsi="Symbol"/>
          <w:sz w:val="20"/>
        </w:rPr>
      </w:pPr>
      <w:r>
        <w:rPr>
          <w:sz w:val="20"/>
        </w:rPr>
        <w:t>A precision voltage reference</w:t>
      </w:r>
      <w:r>
        <w:rPr>
          <w:spacing w:val="-4"/>
          <w:sz w:val="20"/>
        </w:rPr>
        <w:t> </w:t>
      </w:r>
      <w:r>
        <w:rPr>
          <w:sz w:val="20"/>
        </w:rPr>
        <w:t>(VREF)</w:t>
      </w:r>
    </w:p>
    <w:p>
      <w:pPr>
        <w:pStyle w:val="ListParagraph"/>
        <w:numPr>
          <w:ilvl w:val="1"/>
          <w:numId w:val="1"/>
        </w:numPr>
        <w:tabs>
          <w:tab w:pos="978" w:val="left" w:leader="none"/>
          <w:tab w:pos="979" w:val="left" w:leader="none"/>
        </w:tabs>
        <w:spacing w:line="244" w:lineRule="exact" w:before="0" w:after="0"/>
        <w:ind w:left="978" w:right="0" w:hanging="361"/>
        <w:jc w:val="left"/>
        <w:rPr>
          <w:rFonts w:ascii="Symbol" w:hAnsi="Symbol"/>
          <w:sz w:val="20"/>
        </w:rPr>
      </w:pPr>
      <w:r>
        <w:rPr>
          <w:sz w:val="20"/>
        </w:rPr>
        <w:t>A temperature sensor (for current-sensing digital temperature</w:t>
      </w:r>
      <w:r>
        <w:rPr>
          <w:spacing w:val="-12"/>
          <w:sz w:val="20"/>
        </w:rPr>
        <w:t> </w:t>
      </w:r>
      <w:r>
        <w:rPr>
          <w:sz w:val="20"/>
        </w:rPr>
        <w:t>compensation)</w:t>
      </w:r>
    </w:p>
    <w:p>
      <w:pPr>
        <w:pStyle w:val="ListParagraph"/>
        <w:numPr>
          <w:ilvl w:val="1"/>
          <w:numId w:val="1"/>
        </w:numPr>
        <w:tabs>
          <w:tab w:pos="978" w:val="left" w:leader="none"/>
          <w:tab w:pos="979" w:val="left" w:leader="none"/>
        </w:tabs>
        <w:spacing w:line="244" w:lineRule="exact" w:before="0" w:after="0"/>
        <w:ind w:left="978" w:right="0" w:hanging="361"/>
        <w:jc w:val="left"/>
        <w:rPr>
          <w:rFonts w:ascii="Symbol" w:hAnsi="Symbol"/>
          <w:sz w:val="20"/>
        </w:rPr>
      </w:pPr>
      <w:r>
        <w:rPr>
          <w:sz w:val="20"/>
        </w:rPr>
        <w:t>A fully differential shunt resistor sensor</w:t>
      </w:r>
      <w:r>
        <w:rPr>
          <w:spacing w:val="-11"/>
          <w:sz w:val="20"/>
        </w:rPr>
        <w:t> </w:t>
      </w:r>
      <w:r>
        <w:rPr>
          <w:sz w:val="20"/>
        </w:rPr>
        <w:t>input</w:t>
      </w:r>
    </w:p>
    <w:p>
      <w:pPr>
        <w:pStyle w:val="ListParagraph"/>
        <w:numPr>
          <w:ilvl w:val="1"/>
          <w:numId w:val="1"/>
        </w:numPr>
        <w:tabs>
          <w:tab w:pos="978" w:val="left" w:leader="none"/>
          <w:tab w:pos="979" w:val="left" w:leader="none"/>
        </w:tabs>
        <w:spacing w:line="244" w:lineRule="exact" w:before="0" w:after="0"/>
        <w:ind w:left="978" w:right="0" w:hanging="361"/>
        <w:jc w:val="left"/>
        <w:rPr>
          <w:rFonts w:ascii="Symbol" w:hAnsi="Symbol"/>
          <w:sz w:val="20"/>
        </w:rPr>
      </w:pPr>
      <w:r>
        <w:rPr>
          <w:sz w:val="20"/>
        </w:rPr>
        <w:t>A pre-amplifier to optimize shunt current sensor</w:t>
      </w:r>
      <w:r>
        <w:rPr>
          <w:spacing w:val="-5"/>
          <w:sz w:val="20"/>
        </w:rPr>
        <w:t> </w:t>
      </w:r>
      <w:r>
        <w:rPr>
          <w:sz w:val="20"/>
        </w:rPr>
        <w:t>performance</w:t>
      </w:r>
    </w:p>
    <w:p>
      <w:pPr>
        <w:pStyle w:val="ListParagraph"/>
        <w:numPr>
          <w:ilvl w:val="1"/>
          <w:numId w:val="1"/>
        </w:numPr>
        <w:tabs>
          <w:tab w:pos="978" w:val="left" w:leader="none"/>
          <w:tab w:pos="979" w:val="left" w:leader="none"/>
        </w:tabs>
        <w:spacing w:line="240" w:lineRule="auto" w:before="0" w:after="0"/>
        <w:ind w:left="978" w:right="0" w:hanging="361"/>
        <w:jc w:val="left"/>
        <w:rPr>
          <w:rFonts w:ascii="Symbol" w:hAnsi="Symbol"/>
          <w:sz w:val="20"/>
        </w:rPr>
      </w:pPr>
      <w:r>
        <w:rPr>
          <w:sz w:val="20"/>
        </w:rPr>
        <w:t>Isolated power circuitry obtains dc power from pulses sent by the</w:t>
      </w:r>
      <w:r>
        <w:rPr>
          <w:spacing w:val="-10"/>
          <w:sz w:val="20"/>
        </w:rPr>
        <w:t> </w:t>
      </w:r>
      <w:r>
        <w:rPr>
          <w:sz w:val="20"/>
        </w:rPr>
        <w:t>71M6543</w:t>
      </w:r>
    </w:p>
    <w:p>
      <w:pPr>
        <w:pStyle w:val="BodyText"/>
        <w:spacing w:before="116"/>
        <w:ind w:left="618" w:right="522"/>
      </w:pPr>
      <w:r>
        <w:rPr/>
        <w:t>In a typical application, the 32-bit compute engine (CE) of the 71M6543 sequentially processes the samples from the voltage inputs on analog input pins and performs calculations to measure active energy (Wh) and </w:t>
      </w:r>
      <w:r>
        <w:rPr>
          <w:spacing w:val="-3"/>
        </w:rPr>
        <w:t>reactive </w:t>
      </w:r>
      <w:r>
        <w:rPr/>
        <w:t>energy </w:t>
      </w:r>
      <w:r>
        <w:rPr>
          <w:spacing w:val="-3"/>
        </w:rPr>
        <w:t>(VARh), </w:t>
      </w:r>
      <w:r>
        <w:rPr/>
        <w:t>as </w:t>
      </w:r>
      <w:r>
        <w:rPr>
          <w:spacing w:val="-3"/>
        </w:rPr>
        <w:t>well </w:t>
      </w:r>
      <w:r>
        <w:rPr/>
        <w:t>as A</w:t>
      </w:r>
      <w:r>
        <w:rPr>
          <w:vertAlign w:val="superscript"/>
        </w:rPr>
        <w:t>2</w:t>
      </w:r>
      <w:r>
        <w:rPr>
          <w:vertAlign w:val="baseline"/>
        </w:rPr>
        <w:t>h, and V</w:t>
      </w:r>
      <w:r>
        <w:rPr>
          <w:vertAlign w:val="superscript"/>
        </w:rPr>
        <w:t>2</w:t>
      </w:r>
      <w:r>
        <w:rPr>
          <w:vertAlign w:val="baseline"/>
        </w:rPr>
        <w:t>h for </w:t>
      </w:r>
      <w:r>
        <w:rPr>
          <w:spacing w:val="-3"/>
          <w:vertAlign w:val="baseline"/>
        </w:rPr>
        <w:t>four-quadrant metering. </w:t>
      </w:r>
      <w:r>
        <w:rPr>
          <w:vertAlign w:val="baseline"/>
        </w:rPr>
        <w:t>These </w:t>
      </w:r>
      <w:r>
        <w:rPr>
          <w:spacing w:val="-3"/>
          <w:vertAlign w:val="baseline"/>
        </w:rPr>
        <w:t>measurements </w:t>
      </w:r>
      <w:r>
        <w:rPr>
          <w:vertAlign w:val="baseline"/>
        </w:rPr>
        <w:t>are then accessed by the MPU, processed further and output using the peripheral devices available to the MPU.</w:t>
      </w:r>
    </w:p>
    <w:p>
      <w:pPr>
        <w:pStyle w:val="BodyText"/>
        <w:spacing w:before="119"/>
        <w:ind w:left="620" w:right="559"/>
      </w:pPr>
      <w:r>
        <w:rPr/>
        <w:t>In </w:t>
      </w:r>
      <w:r>
        <w:rPr>
          <w:spacing w:val="-3"/>
        </w:rPr>
        <w:t>addition </w:t>
      </w:r>
      <w:r>
        <w:rPr/>
        <w:t>to advanced measurement functions, the real time </w:t>
      </w:r>
      <w:r>
        <w:rPr>
          <w:spacing w:val="-3"/>
        </w:rPr>
        <w:t>clock </w:t>
      </w:r>
      <w:r>
        <w:rPr/>
        <w:t>(RTC) </w:t>
      </w:r>
      <w:r>
        <w:rPr>
          <w:spacing w:val="-3"/>
        </w:rPr>
        <w:t>function allows </w:t>
      </w:r>
      <w:r>
        <w:rPr/>
        <w:t>the 71M6543 </w:t>
      </w:r>
      <w:r>
        <w:rPr>
          <w:spacing w:val="-3"/>
        </w:rPr>
        <w:t>to </w:t>
      </w:r>
      <w:r>
        <w:rPr/>
        <w:t>record</w:t>
      </w:r>
      <w:r>
        <w:rPr>
          <w:spacing w:val="-14"/>
        </w:rPr>
        <w:t> </w:t>
      </w:r>
      <w:r>
        <w:rPr/>
        <w:t>time</w:t>
      </w:r>
      <w:r>
        <w:rPr>
          <w:spacing w:val="-16"/>
        </w:rPr>
        <w:t> </w:t>
      </w:r>
      <w:r>
        <w:rPr/>
        <w:t>of</w:t>
      </w:r>
      <w:r>
        <w:rPr>
          <w:spacing w:val="-13"/>
        </w:rPr>
        <w:t> </w:t>
      </w:r>
      <w:r>
        <w:rPr/>
        <w:t>use</w:t>
      </w:r>
      <w:r>
        <w:rPr>
          <w:spacing w:val="-15"/>
        </w:rPr>
        <w:t> </w:t>
      </w:r>
      <w:r>
        <w:rPr/>
        <w:t>(TOU)</w:t>
      </w:r>
      <w:r>
        <w:rPr>
          <w:spacing w:val="-15"/>
        </w:rPr>
        <w:t> </w:t>
      </w:r>
      <w:r>
        <w:rPr/>
        <w:t>metering</w:t>
      </w:r>
      <w:r>
        <w:rPr>
          <w:spacing w:val="-13"/>
        </w:rPr>
        <w:t> </w:t>
      </w:r>
      <w:r>
        <w:rPr/>
        <w:t>information</w:t>
      </w:r>
      <w:r>
        <w:rPr>
          <w:spacing w:val="-14"/>
        </w:rPr>
        <w:t> </w:t>
      </w:r>
      <w:r>
        <w:rPr/>
        <w:t>for</w:t>
      </w:r>
      <w:r>
        <w:rPr>
          <w:spacing w:val="-15"/>
        </w:rPr>
        <w:t> </w:t>
      </w:r>
      <w:r>
        <w:rPr/>
        <w:t>multi-rate</w:t>
      </w:r>
      <w:r>
        <w:rPr>
          <w:spacing w:val="-13"/>
        </w:rPr>
        <w:t> </w:t>
      </w:r>
      <w:r>
        <w:rPr/>
        <w:t>applications</w:t>
      </w:r>
      <w:r>
        <w:rPr>
          <w:spacing w:val="-13"/>
        </w:rPr>
        <w:t> </w:t>
      </w:r>
      <w:r>
        <w:rPr/>
        <w:t>and</w:t>
      </w:r>
      <w:r>
        <w:rPr>
          <w:spacing w:val="-15"/>
        </w:rPr>
        <w:t> </w:t>
      </w:r>
      <w:r>
        <w:rPr/>
        <w:t>to</w:t>
      </w:r>
      <w:r>
        <w:rPr>
          <w:spacing w:val="-13"/>
        </w:rPr>
        <w:t> </w:t>
      </w:r>
      <w:r>
        <w:rPr/>
        <w:t>time-stamp</w:t>
      </w:r>
      <w:r>
        <w:rPr>
          <w:spacing w:val="-11"/>
        </w:rPr>
        <w:t> </w:t>
      </w:r>
      <w:r>
        <w:rPr/>
        <w:t>tamper</w:t>
      </w:r>
      <w:r>
        <w:rPr>
          <w:spacing w:val="-11"/>
        </w:rPr>
        <w:t> </w:t>
      </w:r>
      <w:r>
        <w:rPr/>
        <w:t>or</w:t>
      </w:r>
      <w:r>
        <w:rPr>
          <w:spacing w:val="-10"/>
        </w:rPr>
        <w:t> </w:t>
      </w:r>
      <w:r>
        <w:rPr/>
        <w:t>other </w:t>
      </w:r>
      <w:r>
        <w:rPr>
          <w:spacing w:val="-3"/>
        </w:rPr>
        <w:t>events. </w:t>
      </w:r>
      <w:r>
        <w:rPr/>
        <w:t>An </w:t>
      </w:r>
      <w:r>
        <w:rPr>
          <w:spacing w:val="-3"/>
        </w:rPr>
        <w:t>automatic </w:t>
      </w:r>
      <w:r>
        <w:rPr/>
        <w:t>RTC </w:t>
      </w:r>
      <w:r>
        <w:rPr>
          <w:spacing w:val="-3"/>
        </w:rPr>
        <w:t>temperature compensation circuit operates </w:t>
      </w:r>
      <w:r>
        <w:rPr/>
        <w:t>in </w:t>
      </w:r>
      <w:r>
        <w:rPr>
          <w:spacing w:val="-3"/>
        </w:rPr>
        <w:t>all power states including when the MPU</w:t>
      </w:r>
      <w:r>
        <w:rPr>
          <w:spacing w:val="-6"/>
        </w:rPr>
        <w:t> </w:t>
      </w:r>
      <w:r>
        <w:rPr/>
        <w:t>is</w:t>
      </w:r>
      <w:r>
        <w:rPr>
          <w:spacing w:val="-4"/>
        </w:rPr>
        <w:t> </w:t>
      </w:r>
      <w:r>
        <w:rPr>
          <w:spacing w:val="-3"/>
        </w:rPr>
        <w:t>halted,</w:t>
      </w:r>
      <w:r>
        <w:rPr>
          <w:spacing w:val="-6"/>
        </w:rPr>
        <w:t> </w:t>
      </w:r>
      <w:r>
        <w:rPr/>
        <w:t>and</w:t>
      </w:r>
      <w:r>
        <w:rPr>
          <w:spacing w:val="-7"/>
        </w:rPr>
        <w:t> </w:t>
      </w:r>
      <w:r>
        <w:rPr>
          <w:spacing w:val="-3"/>
        </w:rPr>
        <w:t>continues</w:t>
      </w:r>
      <w:r>
        <w:rPr>
          <w:spacing w:val="-4"/>
        </w:rPr>
        <w:t> </w:t>
      </w:r>
      <w:r>
        <w:rPr/>
        <w:t>to</w:t>
      </w:r>
      <w:r>
        <w:rPr>
          <w:spacing w:val="-6"/>
        </w:rPr>
        <w:t> </w:t>
      </w:r>
      <w:r>
        <w:rPr>
          <w:spacing w:val="-3"/>
        </w:rPr>
        <w:t>compensate</w:t>
      </w:r>
      <w:r>
        <w:rPr>
          <w:spacing w:val="-7"/>
        </w:rPr>
        <w:t> </w:t>
      </w:r>
      <w:r>
        <w:rPr>
          <w:spacing w:val="-3"/>
        </w:rPr>
        <w:t>using</w:t>
      </w:r>
      <w:r>
        <w:rPr>
          <w:spacing w:val="-5"/>
        </w:rPr>
        <w:t> </w:t>
      </w:r>
      <w:r>
        <w:rPr>
          <w:spacing w:val="-3"/>
        </w:rPr>
        <w:t>back-up</w:t>
      </w:r>
      <w:r>
        <w:rPr>
          <w:spacing w:val="-6"/>
        </w:rPr>
        <w:t> </w:t>
      </w:r>
      <w:r>
        <w:rPr>
          <w:spacing w:val="-3"/>
        </w:rPr>
        <w:t>battery</w:t>
      </w:r>
      <w:r>
        <w:rPr>
          <w:spacing w:val="-13"/>
        </w:rPr>
        <w:t> </w:t>
      </w:r>
      <w:r>
        <w:rPr>
          <w:spacing w:val="-3"/>
        </w:rPr>
        <w:t>power</w:t>
      </w:r>
      <w:r>
        <w:rPr>
          <w:spacing w:val="-5"/>
        </w:rPr>
        <w:t> </w:t>
      </w:r>
      <w:r>
        <w:rPr>
          <w:spacing w:val="-3"/>
        </w:rPr>
        <w:t>during</w:t>
      </w:r>
      <w:r>
        <w:rPr>
          <w:spacing w:val="-6"/>
        </w:rPr>
        <w:t> </w:t>
      </w:r>
      <w:r>
        <w:rPr>
          <w:spacing w:val="-3"/>
        </w:rPr>
        <w:t>power</w:t>
      </w:r>
      <w:r>
        <w:rPr>
          <w:spacing w:val="-6"/>
        </w:rPr>
        <w:t> </w:t>
      </w:r>
      <w:r>
        <w:rPr>
          <w:spacing w:val="-3"/>
        </w:rPr>
        <w:t>outages.</w:t>
      </w:r>
    </w:p>
    <w:p>
      <w:pPr>
        <w:pStyle w:val="BodyText"/>
        <w:spacing w:before="119"/>
        <w:ind w:left="619" w:right="742"/>
      </w:pPr>
      <w:r>
        <w:rPr>
          <w:spacing w:val="-3"/>
        </w:rPr>
        <w:t>Measurements </w:t>
      </w:r>
      <w:r>
        <w:rPr/>
        <w:t>can be </w:t>
      </w:r>
      <w:r>
        <w:rPr>
          <w:spacing w:val="-4"/>
        </w:rPr>
        <w:t>displayed </w:t>
      </w:r>
      <w:r>
        <w:rPr/>
        <w:t>on 3.3 V </w:t>
      </w:r>
      <w:r>
        <w:rPr>
          <w:spacing w:val="-3"/>
        </w:rPr>
        <w:t>LCDs commonly </w:t>
      </w:r>
      <w:r>
        <w:rPr/>
        <w:t>used in </w:t>
      </w:r>
      <w:r>
        <w:rPr>
          <w:spacing w:val="-3"/>
        </w:rPr>
        <w:t>low-temperature environments. </w:t>
      </w:r>
      <w:r>
        <w:rPr/>
        <w:t>The </w:t>
      </w:r>
      <w:r>
        <w:rPr>
          <w:spacing w:val="-3"/>
        </w:rPr>
        <w:t>integrated charge </w:t>
      </w:r>
      <w:r>
        <w:rPr/>
        <w:t>pump and </w:t>
      </w:r>
      <w:r>
        <w:rPr>
          <w:spacing w:val="-3"/>
        </w:rPr>
        <w:t>temperature sensor </w:t>
      </w:r>
      <w:r>
        <w:rPr/>
        <w:t>can be used by the MPU to </w:t>
      </w:r>
      <w:r>
        <w:rPr>
          <w:spacing w:val="-3"/>
        </w:rPr>
        <w:t>enhance </w:t>
      </w:r>
      <w:r>
        <w:rPr/>
        <w:t>3.3 V LCD </w:t>
      </w:r>
      <w:r>
        <w:rPr>
          <w:spacing w:val="-3"/>
        </w:rPr>
        <w:t>performance </w:t>
      </w:r>
      <w:r>
        <w:rPr/>
        <w:t>at </w:t>
      </w:r>
      <w:r>
        <w:rPr>
          <w:spacing w:val="-3"/>
        </w:rPr>
        <w:t>cold temperatures. </w:t>
      </w:r>
      <w:r>
        <w:rPr/>
        <w:t>The </w:t>
      </w:r>
      <w:r>
        <w:rPr>
          <w:spacing w:val="-4"/>
        </w:rPr>
        <w:t>on-chip charge pump </w:t>
      </w:r>
      <w:r>
        <w:rPr/>
        <w:t>may </w:t>
      </w:r>
      <w:r>
        <w:rPr>
          <w:spacing w:val="-4"/>
        </w:rPr>
        <w:t>also drive </w:t>
      </w:r>
      <w:r>
        <w:rPr/>
        <w:t>5 V </w:t>
      </w:r>
      <w:r>
        <w:rPr>
          <w:spacing w:val="-3"/>
        </w:rPr>
        <w:t>LCDs. </w:t>
      </w:r>
      <w:r>
        <w:rPr>
          <w:spacing w:val="-4"/>
        </w:rPr>
        <w:t>Flexible mapping </w:t>
      </w:r>
      <w:r>
        <w:rPr>
          <w:spacing w:val="-6"/>
        </w:rPr>
        <w:t>of </w:t>
      </w:r>
      <w:r>
        <w:rPr>
          <w:spacing w:val="-3"/>
        </w:rPr>
        <w:t>LCD display </w:t>
      </w:r>
      <w:r>
        <w:rPr>
          <w:spacing w:val="-4"/>
        </w:rPr>
        <w:t>segments facilitates </w:t>
      </w:r>
      <w:r>
        <w:rPr>
          <w:spacing w:val="-3"/>
        </w:rPr>
        <w:t>the </w:t>
      </w:r>
      <w:r>
        <w:rPr>
          <w:spacing w:val="-4"/>
        </w:rPr>
        <w:t>integration </w:t>
      </w:r>
      <w:r>
        <w:rPr/>
        <w:t>of existing custom LCDs. Design trade-off between the</w:t>
      </w:r>
    </w:p>
    <w:p>
      <w:pPr>
        <w:spacing w:after="0"/>
        <w:sectPr>
          <w:pgSz w:w="12240" w:h="15840"/>
          <w:pgMar w:header="727" w:footer="819" w:top="960" w:bottom="1000" w:left="820" w:right="860"/>
        </w:sectPr>
      </w:pPr>
    </w:p>
    <w:p>
      <w:pPr>
        <w:pStyle w:val="BodyText"/>
        <w:spacing w:before="11"/>
        <w:rPr>
          <w:sz w:val="12"/>
        </w:rPr>
      </w:pPr>
    </w:p>
    <w:p>
      <w:pPr>
        <w:pStyle w:val="BodyText"/>
        <w:spacing w:before="93"/>
        <w:ind w:left="620" w:right="559"/>
      </w:pPr>
      <w:r>
        <w:rPr/>
        <w:t>number of LCD segments and DIO pins can be implemented in software to accommodate various requirements.</w:t>
      </w:r>
    </w:p>
    <w:p>
      <w:pPr>
        <w:pStyle w:val="BodyText"/>
        <w:spacing w:before="121"/>
        <w:ind w:left="619" w:right="559"/>
      </w:pPr>
      <w:r>
        <w:rPr/>
        <w:t>In addition to the temperature-trimmed ultra-precision voltage reference, the on-chip digital temperature </w:t>
      </w:r>
      <w:r>
        <w:rPr>
          <w:spacing w:val="-3"/>
        </w:rPr>
        <w:t>compensation</w:t>
      </w:r>
      <w:r>
        <w:rPr>
          <w:spacing w:val="-11"/>
        </w:rPr>
        <w:t> </w:t>
      </w:r>
      <w:r>
        <w:rPr>
          <w:spacing w:val="-3"/>
        </w:rPr>
        <w:t>mechanism includes</w:t>
      </w:r>
      <w:r>
        <w:rPr>
          <w:spacing w:val="-6"/>
        </w:rPr>
        <w:t> </w:t>
      </w:r>
      <w:r>
        <w:rPr/>
        <w:t>a</w:t>
      </w:r>
      <w:r>
        <w:rPr>
          <w:spacing w:val="-8"/>
        </w:rPr>
        <w:t> </w:t>
      </w:r>
      <w:r>
        <w:rPr>
          <w:spacing w:val="-3"/>
        </w:rPr>
        <w:t>temperature</w:t>
      </w:r>
      <w:r>
        <w:rPr>
          <w:spacing w:val="-11"/>
        </w:rPr>
        <w:t> </w:t>
      </w:r>
      <w:r>
        <w:rPr>
          <w:spacing w:val="-3"/>
        </w:rPr>
        <w:t>sensor</w:t>
      </w:r>
      <w:r>
        <w:rPr>
          <w:spacing w:val="-7"/>
        </w:rPr>
        <w:t> </w:t>
      </w:r>
      <w:r>
        <w:rPr/>
        <w:t>and</w:t>
      </w:r>
      <w:r>
        <w:rPr>
          <w:spacing w:val="-8"/>
        </w:rPr>
        <w:t> </w:t>
      </w:r>
      <w:r>
        <w:rPr>
          <w:spacing w:val="-3"/>
        </w:rPr>
        <w:t>associated</w:t>
      </w:r>
      <w:r>
        <w:rPr>
          <w:spacing w:val="-8"/>
        </w:rPr>
        <w:t> </w:t>
      </w:r>
      <w:r>
        <w:rPr>
          <w:spacing w:val="-3"/>
        </w:rPr>
        <w:t>controls</w:t>
      </w:r>
      <w:r>
        <w:rPr>
          <w:spacing w:val="-9"/>
        </w:rPr>
        <w:t> </w:t>
      </w:r>
      <w:r>
        <w:rPr/>
        <w:t>for</w:t>
      </w:r>
      <w:r>
        <w:rPr>
          <w:spacing w:val="-7"/>
        </w:rPr>
        <w:t> </w:t>
      </w:r>
      <w:r>
        <w:rPr>
          <w:spacing w:val="-3"/>
        </w:rPr>
        <w:t>correction</w:t>
      </w:r>
      <w:r>
        <w:rPr>
          <w:spacing w:val="-7"/>
        </w:rPr>
        <w:t> </w:t>
      </w:r>
      <w:r>
        <w:rPr/>
        <w:t>of</w:t>
      </w:r>
      <w:r>
        <w:rPr>
          <w:spacing w:val="-5"/>
        </w:rPr>
        <w:t> </w:t>
      </w:r>
      <w:r>
        <w:rPr>
          <w:spacing w:val="-4"/>
        </w:rPr>
        <w:t>unwanted </w:t>
      </w:r>
      <w:r>
        <w:rPr/>
        <w:t>temperature effects on metrology and RTC accuracy (i.e., to meet the requirements of ANSI and IEC standards). Temperature-dependent external components such as the crystal oscillator, current transformers (CTs), Current Shunts and their corresponding signal </w:t>
      </w:r>
      <w:r>
        <w:rPr>
          <w:spacing w:val="-3"/>
        </w:rPr>
        <w:t>conditioning </w:t>
      </w:r>
      <w:r>
        <w:rPr/>
        <w:t>circuits can be character- ized</w:t>
      </w:r>
      <w:r>
        <w:rPr>
          <w:spacing w:val="-19"/>
        </w:rPr>
        <w:t> </w:t>
      </w:r>
      <w:r>
        <w:rPr/>
        <w:t>and</w:t>
      </w:r>
      <w:r>
        <w:rPr>
          <w:spacing w:val="-17"/>
        </w:rPr>
        <w:t> </w:t>
      </w:r>
      <w:r>
        <w:rPr/>
        <w:t>their</w:t>
      </w:r>
      <w:r>
        <w:rPr>
          <w:spacing w:val="-17"/>
        </w:rPr>
        <w:t> </w:t>
      </w:r>
      <w:r>
        <w:rPr/>
        <w:t>correction</w:t>
      </w:r>
      <w:r>
        <w:rPr>
          <w:spacing w:val="-18"/>
        </w:rPr>
        <w:t> </w:t>
      </w:r>
      <w:r>
        <w:rPr/>
        <w:t>factors</w:t>
      </w:r>
      <w:r>
        <w:rPr>
          <w:spacing w:val="-17"/>
        </w:rPr>
        <w:t> </w:t>
      </w:r>
      <w:r>
        <w:rPr/>
        <w:t>can</w:t>
      </w:r>
      <w:r>
        <w:rPr>
          <w:spacing w:val="-17"/>
        </w:rPr>
        <w:t> </w:t>
      </w:r>
      <w:r>
        <w:rPr/>
        <w:t>be</w:t>
      </w:r>
      <w:r>
        <w:rPr>
          <w:spacing w:val="-17"/>
        </w:rPr>
        <w:t> </w:t>
      </w:r>
      <w:r>
        <w:rPr/>
        <w:t>programmed</w:t>
      </w:r>
      <w:r>
        <w:rPr>
          <w:spacing w:val="-18"/>
        </w:rPr>
        <w:t> </w:t>
      </w:r>
      <w:r>
        <w:rPr/>
        <w:t>to</w:t>
      </w:r>
      <w:r>
        <w:rPr>
          <w:spacing w:val="-15"/>
        </w:rPr>
        <w:t> </w:t>
      </w:r>
      <w:r>
        <w:rPr/>
        <w:t>produce</w:t>
      </w:r>
      <w:r>
        <w:rPr>
          <w:spacing w:val="-17"/>
        </w:rPr>
        <w:t> </w:t>
      </w:r>
      <w:r>
        <w:rPr/>
        <w:t>electricity</w:t>
      </w:r>
      <w:r>
        <w:rPr>
          <w:spacing w:val="-20"/>
        </w:rPr>
        <w:t> </w:t>
      </w:r>
      <w:r>
        <w:rPr/>
        <w:t>meters</w:t>
      </w:r>
      <w:r>
        <w:rPr>
          <w:spacing w:val="-15"/>
        </w:rPr>
        <w:t> </w:t>
      </w:r>
      <w:r>
        <w:rPr/>
        <w:t>with</w:t>
      </w:r>
      <w:r>
        <w:rPr>
          <w:spacing w:val="-19"/>
        </w:rPr>
        <w:t> </w:t>
      </w:r>
      <w:r>
        <w:rPr/>
        <w:t>exceptional</w:t>
      </w:r>
      <w:r>
        <w:rPr>
          <w:spacing w:val="-16"/>
        </w:rPr>
        <w:t> </w:t>
      </w:r>
      <w:r>
        <w:rPr/>
        <w:t>accuracy over the industrial temperature</w:t>
      </w:r>
      <w:r>
        <w:rPr>
          <w:spacing w:val="-21"/>
        </w:rPr>
        <w:t> </w:t>
      </w:r>
      <w:r>
        <w:rPr/>
        <w:t>range.</w:t>
      </w:r>
    </w:p>
    <w:p>
      <w:pPr>
        <w:pStyle w:val="BodyText"/>
        <w:spacing w:before="125"/>
        <w:ind w:left="620" w:right="649"/>
      </w:pPr>
      <w:r>
        <w:rPr/>
        <w:t>One of the two internal UARTs is adapted to support an Infrared LED with internal drive and sense configuration and can also function as a standard UART. The optical output can be modulated at 38 kHz. This flexibility makes it possible to implement AMR meters with an IR interface. A block diagram of the IC is shown in </w:t>
      </w:r>
      <w:hyperlink w:history="true" w:anchor="_bookmark0">
        <w:r>
          <w:rPr>
            <w:color w:val="0000FF"/>
          </w:rPr>
          <w:t>Figure 1</w:t>
        </w:r>
        <w:r>
          <w:rPr/>
          <w:t>.</w:t>
        </w:r>
      </w:hyperlink>
    </w:p>
    <w:p>
      <w:pPr>
        <w:pStyle w:val="BodyText"/>
        <w:spacing w:before="9"/>
        <w:rPr>
          <w:sz w:val="19"/>
        </w:rPr>
      </w:pPr>
    </w:p>
    <w:p>
      <w:pPr>
        <w:pStyle w:val="ListParagraph"/>
        <w:numPr>
          <w:ilvl w:val="1"/>
          <w:numId w:val="7"/>
        </w:numPr>
        <w:tabs>
          <w:tab w:pos="1339" w:val="left" w:leader="none"/>
          <w:tab w:pos="1340" w:val="left" w:leader="none"/>
        </w:tabs>
        <w:spacing w:line="240" w:lineRule="auto" w:before="1" w:after="0"/>
        <w:ind w:left="1340" w:right="0" w:hanging="720"/>
        <w:jc w:val="left"/>
        <w:rPr>
          <w:b/>
          <w:sz w:val="24"/>
        </w:rPr>
      </w:pPr>
      <w:bookmarkStart w:name="2.2 Analog Front-End (AFE)" w:id="11"/>
      <w:bookmarkEnd w:id="11"/>
      <w:r>
        <w:rPr/>
      </w:r>
      <w:bookmarkStart w:name="_bookmark4" w:id="12"/>
      <w:bookmarkEnd w:id="12"/>
      <w:r>
        <w:rPr/>
      </w:r>
      <w:bookmarkStart w:name="_bookmark4" w:id="13"/>
      <w:bookmarkEnd w:id="13"/>
      <w:r>
        <w:rPr>
          <w:b/>
          <w:sz w:val="24"/>
        </w:rPr>
        <w:t>A</w:t>
      </w:r>
      <w:r>
        <w:rPr>
          <w:b/>
          <w:sz w:val="24"/>
        </w:rPr>
        <w:t>nalog Front-End</w:t>
      </w:r>
      <w:r>
        <w:rPr>
          <w:b/>
          <w:spacing w:val="-1"/>
          <w:sz w:val="24"/>
        </w:rPr>
        <w:t> </w:t>
      </w:r>
      <w:r>
        <w:rPr>
          <w:b/>
          <w:sz w:val="24"/>
        </w:rPr>
        <w:t>(AFE)</w:t>
      </w:r>
    </w:p>
    <w:p>
      <w:pPr>
        <w:pStyle w:val="BodyText"/>
        <w:spacing w:before="121"/>
        <w:ind w:left="619" w:right="649"/>
      </w:pPr>
      <w:r>
        <w:rPr/>
        <w:t>The AFE functions as a data acquisition system, controlled by the MPU. The 71M6543 AFE may also be augmented by isolated 71M6xx3 sensors in order to support low-cost current shunt sensors. </w:t>
      </w:r>
      <w:hyperlink w:history="true" w:anchor="_bookmark5">
        <w:r>
          <w:rPr>
            <w:color w:val="0000FF"/>
          </w:rPr>
          <w:t>Figure 2</w:t>
        </w:r>
        <w:r>
          <w:rPr/>
          <w:t>,</w:t>
        </w:r>
      </w:hyperlink>
      <w:r>
        <w:rPr/>
        <w:t> and </w:t>
      </w:r>
      <w:hyperlink w:history="true" w:anchor="_bookmark7">
        <w:r>
          <w:rPr>
            <w:color w:val="0000FF"/>
          </w:rPr>
          <w:t>Figure 3 </w:t>
        </w:r>
      </w:hyperlink>
      <w:r>
        <w:rPr/>
        <w:t>show the two most common configurations; other configurations are possible. Sensors that are connected directly to the 71M6543 (i.e., IADC0-IADC1, VADC8, VADC9 and VADC10) are multiplexed into the single second-order sigma-delta ADC input for sampling in the 71M6543. The 71M6543 ADC output is decimated by the FIR filter and stored in CE RAM where it can be accessed and processed by the CE.</w:t>
      </w:r>
    </w:p>
    <w:p>
      <w:pPr>
        <w:pStyle w:val="BodyText"/>
        <w:spacing w:before="119"/>
        <w:ind w:left="619" w:right="587"/>
      </w:pPr>
      <w:r>
        <w:rPr/>
        <w:t>Shunt current sensors that are isolated by using a 71M6xx3 device, are sampled by a second-order sigma delta ADC in the 71M6xx3 and the signal samples are transferred over the digital isolation interface through the low-cost isolation pulse</w:t>
      </w:r>
      <w:r>
        <w:rPr>
          <w:spacing w:val="-6"/>
        </w:rPr>
        <w:t> </w:t>
      </w:r>
      <w:r>
        <w:rPr/>
        <w:t>transformer.</w:t>
      </w:r>
    </w:p>
    <w:p>
      <w:pPr>
        <w:pStyle w:val="BodyText"/>
        <w:spacing w:line="230" w:lineRule="auto" w:before="121"/>
        <w:ind w:left="619" w:right="522"/>
      </w:pPr>
      <w:hyperlink w:history="true" w:anchor="_bookmark5">
        <w:r>
          <w:rPr>
            <w:color w:val="0000FF"/>
          </w:rPr>
          <w:t>Figure 2 </w:t>
        </w:r>
      </w:hyperlink>
      <w:r>
        <w:rPr/>
        <w:t>shows the 71M6543 using shunt current sensors and the 71M6xx3 isolated sensor devices. </w:t>
      </w:r>
      <w:hyperlink w:history="true" w:anchor="_bookmark5">
        <w:r>
          <w:rPr>
            <w:color w:val="0000FF"/>
          </w:rPr>
          <w:t>Figure 2 </w:t>
        </w:r>
      </w:hyperlink>
      <w:r>
        <w:rPr/>
        <w:t>supports neutral current measurement with a local shunt connected to the IADC0-IADC1 input plus three remote (isolated) shunt sensors. As seen in </w:t>
      </w:r>
      <w:hyperlink w:history="true" w:anchor="_bookmark5">
        <w:r>
          <w:rPr>
            <w:color w:val="0000FF"/>
          </w:rPr>
          <w:t>Figure 2</w:t>
        </w:r>
        <w:r>
          <w:rPr/>
          <w:t>, </w:t>
        </w:r>
      </w:hyperlink>
      <w:r>
        <w:rPr/>
        <w:t>when a remote isolated shunt sensor is connected via the 71M6xx3, the samples associated with this current channel are not routed to the multiplexer, and are instead transferred digitally to the 71M6543 via the isolation interface and are directly stored in CE RAM. The </w:t>
      </w:r>
      <w:r>
        <w:rPr>
          <w:rFonts w:ascii="Times New Roman"/>
          <w:i/>
        </w:rPr>
        <w:t>MUX_SELn[3:0] </w:t>
      </w:r>
      <w:r>
        <w:rPr/>
        <w:t>I/O RAM control fields allow the MPU to configure the AFE for the desired multiplexer sampling sequence. Refer to </w:t>
      </w:r>
      <w:hyperlink w:history="true" w:anchor="_bookmark9">
        <w:r>
          <w:rPr>
            <w:color w:val="0000FF"/>
          </w:rPr>
          <w:t>Table 1 </w:t>
        </w:r>
      </w:hyperlink>
      <w:r>
        <w:rPr/>
        <w:t>and </w:t>
      </w:r>
      <w:hyperlink w:history="true" w:anchor="_bookmark10">
        <w:r>
          <w:rPr>
            <w:color w:val="0000FF"/>
          </w:rPr>
          <w:t>Table 2 </w:t>
        </w:r>
      </w:hyperlink>
      <w:r>
        <w:rPr/>
        <w:t>for the appropriate CE code and the corresponding AFE settings.</w:t>
      </w:r>
    </w:p>
    <w:p>
      <w:pPr>
        <w:pStyle w:val="BodyText"/>
        <w:spacing w:before="109"/>
        <w:ind w:left="619"/>
      </w:pPr>
      <w:r>
        <w:rPr/>
        <w:pict>
          <v:group style="position:absolute;margin-left:169.344864pt;margin-top:98.042343pt;width:68.45pt;height:32.1pt;mso-position-horizontal-relative:page;mso-position-vertical-relative:paragraph;z-index:-38848000" coordorigin="3387,1961" coordsize="1369,642">
            <v:rect style="position:absolute;left:3892;top:2059;width:600;height:494" filled="true" fillcolor="#dadada" stroked="false">
              <v:fill type="solid"/>
            </v:rect>
            <v:rect style="position:absolute;left:4441;top:2108;width:100;height:99" filled="true" fillcolor="#ffffff" stroked="false">
              <v:fill type="solid"/>
            </v:rect>
            <v:rect style="position:absolute;left:4441;top:2108;width:100;height:99" filled="false" stroked="true" strokeweight=".13236pt" strokecolor="#000000">
              <v:stroke dashstyle="solid"/>
            </v:rect>
            <v:rect style="position:absolute;left:4441;top:2404;width:100;height:99" filled="true" fillcolor="#ffffff" stroked="false">
              <v:fill type="solid"/>
            </v:rect>
            <v:rect style="position:absolute;left:4441;top:2404;width:100;height:99" filled="false" stroked="true" strokeweight=".13236pt" strokecolor="#000000">
              <v:stroke dashstyle="solid"/>
            </v:rect>
            <v:rect style="position:absolute;left:3842;top:2108;width:100;height:99" filled="true" fillcolor="#ffffff" stroked="false">
              <v:fill type="solid"/>
            </v:rect>
            <v:rect style="position:absolute;left:3842;top:2108;width:100;height:99" filled="false" stroked="true" strokeweight=".13236pt" strokecolor="#000000">
              <v:stroke dashstyle="solid"/>
            </v:rect>
            <v:rect style="position:absolute;left:3842;top:2404;width:100;height:99" filled="true" fillcolor="#ffffff" stroked="false">
              <v:fill type="solid"/>
            </v:rect>
            <v:rect style="position:absolute;left:3842;top:2404;width:100;height:99" filled="false" stroked="true" strokeweight=".13236pt" strokecolor="#000000">
              <v:stroke dashstyle="solid"/>
            </v:rect>
            <v:shape style="position:absolute;left:4640;top:2156;width:116;height:299" type="#_x0000_t75" stroked="false">
              <v:imagedata r:id="rId54" o:title=""/>
            </v:shape>
            <v:line style="position:absolute" from="4654,2158" to="4542,2158" stroked="true" strokeweight=".131498pt" strokecolor="#000000">
              <v:stroke dashstyle="solid"/>
            </v:line>
            <v:line style="position:absolute" from="4654,2454" to="4542,2454" stroked="true" strokeweight=".131498pt" strokecolor="#000000">
              <v:stroke dashstyle="solid"/>
            </v:line>
            <v:shape style="position:absolute;left:3452;top:2207;width:80;height:198" coordorigin="3453,2207" coordsize="80,198" path="m3492,2207l3532,2224,3453,2257,3532,2290,3453,2322,3532,2355,3453,2388,3492,2405e" filled="false" stroked="true" strokeweight=".132998pt" strokecolor="#000000">
              <v:path arrowok="t"/>
              <v:stroke dashstyle="solid"/>
            </v:shape>
            <v:line style="position:absolute" from="3492,2207" to="3492,1986" stroked="true" strokeweight=".133244pt" strokecolor="#000000">
              <v:stroke dashstyle="solid"/>
            </v:line>
            <v:line style="position:absolute" from="3492,2405" to="3492,2602" stroked="true" strokeweight=".133244pt" strokecolor="#000000">
              <v:stroke dashstyle="solid"/>
            </v:line>
            <v:line style="position:absolute" from="3842,2454" to="3492,2454" stroked="true" strokeweight=".131498pt" strokecolor="#000000">
              <v:stroke dashstyle="solid"/>
            </v:line>
            <v:line style="position:absolute" from="3842,2158" to="3492,2158" stroked="true" strokeweight=".131498pt" strokecolor="#000000">
              <v:stroke dashstyle="solid"/>
            </v:line>
            <v:shape style="position:absolute;left:3480;top:2145;width:25;height:25" coordorigin="3480,2146" coordsize="25,25" path="m3499,2170l3486,2170,3480,2165,3480,2158,3480,2151,3486,2146,3499,2146,3505,2151,3505,2165,3499,2170xe" filled="true" fillcolor="#000000" stroked="false">
              <v:path arrowok="t"/>
              <v:fill type="solid"/>
            </v:shape>
            <v:shape style="position:absolute;left:3480;top:2145;width:25;height:25" coordorigin="3480,2146" coordsize="25,25" path="m3480,2158l3480,2151,3486,2146,3492,2146,3499,2146,3505,2151,3505,2158,3505,2165,3499,2170,3492,2170,3486,2170,3480,2165,3480,2158xe" filled="false" stroked="true" strokeweight=".13236pt" strokecolor="#000000">
              <v:path arrowok="t"/>
              <v:stroke dashstyle="solid"/>
            </v:shape>
            <v:shape style="position:absolute;left:3480;top:2441;width:25;height:25" coordorigin="3480,2442" coordsize="25,25" path="m3499,2466l3486,2466,3480,2461,3480,2454,3480,2447,3486,2442,3499,2442,3505,2447,3505,2461,3499,2466xe" filled="true" fillcolor="#000000" stroked="false">
              <v:path arrowok="t"/>
              <v:fill type="solid"/>
            </v:shape>
            <v:shape style="position:absolute;left:3480;top:2441;width:25;height:25" coordorigin="3480,2442" coordsize="25,25" path="m3480,2454l3480,2447,3486,2442,3492,2442,3499,2442,3505,2447,3505,2454,3505,2461,3499,2466,3492,2466,3486,2466,3480,2461,3480,2454xe" filled="false" stroked="true" strokeweight=".13236pt" strokecolor="#000000">
              <v:path arrowok="t"/>
              <v:stroke dashstyle="solid"/>
            </v:shape>
            <v:line style="position:absolute" from="3418,1961" to="3418,2038" stroked="true" strokeweight=".133244pt" strokecolor="#000000">
              <v:stroke dashstyle="solid"/>
            </v:line>
            <v:shape style="position:absolute;left:3386;top:2023;width:62;height:61" coordorigin="3387,2024" coordsize="62,61" path="m3418,2084l3387,2024,3402,2029,3418,2031,3433,2029,3448,2024,3418,2084xe" filled="true" fillcolor="#000000" stroked="false">
              <v:path arrowok="t"/>
              <v:fill type="solid"/>
            </v:shape>
            <v:shape style="position:absolute;left:3892;top:2059;width:600;height:494" type="#_x0000_t202" filled="false" stroked="true" strokeweight=".132214pt" strokecolor="#000000">
              <v:textbox inset="0,0,0,0">
                <w:txbxContent>
                  <w:p>
                    <w:pPr>
                      <w:spacing w:line="240" w:lineRule="auto" w:before="0"/>
                      <w:rPr>
                        <w:b/>
                        <w:sz w:val="10"/>
                      </w:rPr>
                    </w:pPr>
                  </w:p>
                  <w:p>
                    <w:pPr>
                      <w:spacing w:before="76"/>
                      <w:ind w:left="143" w:right="0" w:firstLine="0"/>
                      <w:jc w:val="left"/>
                      <w:rPr>
                        <w:sz w:val="8"/>
                      </w:rPr>
                    </w:pPr>
                    <w:r>
                      <w:rPr>
                        <w:w w:val="110"/>
                        <w:sz w:val="8"/>
                      </w:rPr>
                      <w:t>71M6xx3</w:t>
                    </w:r>
                  </w:p>
                </w:txbxContent>
              </v:textbox>
              <v:stroke dashstyle="solid"/>
              <w10:wrap type="none"/>
            </v:shape>
            <v:shape style="position:absolute;left:3669;top:2031;width:185;height:98" type="#_x0000_t202" filled="false" stroked="false">
              <v:textbox inset="0,0,0,0">
                <w:txbxContent>
                  <w:p>
                    <w:pPr>
                      <w:spacing w:before="4"/>
                      <w:ind w:left="0" w:right="0" w:firstLine="0"/>
                      <w:jc w:val="left"/>
                      <w:rPr>
                        <w:sz w:val="8"/>
                      </w:rPr>
                    </w:pPr>
                    <w:r>
                      <w:rPr>
                        <w:w w:val="110"/>
                        <w:sz w:val="8"/>
                      </w:rPr>
                      <w:t>INP</w:t>
                    </w:r>
                  </w:p>
                </w:txbxContent>
              </v:textbox>
              <w10:wrap type="none"/>
            </v:shape>
            <v:shape style="position:absolute;left:4557;top:2351;width:149;height:98" type="#_x0000_t202" filled="false" stroked="false">
              <v:textbox inset="0,0,0,0">
                <w:txbxContent>
                  <w:p>
                    <w:pPr>
                      <w:spacing w:before="4"/>
                      <w:ind w:left="0" w:right="0" w:firstLine="0"/>
                      <w:jc w:val="left"/>
                      <w:rPr>
                        <w:sz w:val="8"/>
                      </w:rPr>
                    </w:pPr>
                    <w:r>
                      <w:rPr>
                        <w:w w:val="110"/>
                        <w:sz w:val="8"/>
                      </w:rPr>
                      <w:t>SN</w:t>
                    </w:r>
                  </w:p>
                </w:txbxContent>
              </v:textbox>
              <w10:wrap type="none"/>
            </v:shape>
            <v:shape style="position:absolute;left:3656;top:2474;width:190;height:98" type="#_x0000_t202" filled="false" stroked="false">
              <v:textbox inset="0,0,0,0">
                <w:txbxContent>
                  <w:p>
                    <w:pPr>
                      <w:spacing w:before="4"/>
                      <w:ind w:left="0" w:right="0" w:firstLine="0"/>
                      <w:jc w:val="left"/>
                      <w:rPr>
                        <w:sz w:val="8"/>
                      </w:rPr>
                    </w:pPr>
                    <w:r>
                      <w:rPr>
                        <w:w w:val="110"/>
                        <w:sz w:val="8"/>
                      </w:rPr>
                      <w:t>INN</w:t>
                    </w:r>
                  </w:p>
                </w:txbxContent>
              </v:textbox>
              <w10:wrap type="none"/>
            </v:shape>
            <w10:wrap type="none"/>
          </v:group>
        </w:pict>
      </w:r>
      <w:r>
        <w:rPr/>
        <w:t>See </w:t>
      </w:r>
      <w:hyperlink w:history="true" w:anchor="_bookmark179">
        <w:r>
          <w:rPr>
            <w:color w:val="0000FF"/>
          </w:rPr>
          <w:t>Figure 31 </w:t>
        </w:r>
      </w:hyperlink>
      <w:r>
        <w:rPr/>
        <w:t>for the meter wiring configuration corresponding to </w:t>
      </w:r>
      <w:hyperlink w:history="true" w:anchor="_bookmark5">
        <w:r>
          <w:rPr>
            <w:color w:val="0000FF"/>
          </w:rPr>
          <w:t>Figure 2</w:t>
        </w:r>
        <w:r>
          <w:rPr/>
          <w:t>.</w:t>
        </w:r>
      </w:hyperlink>
    </w:p>
    <w:p>
      <w:pPr>
        <w:pStyle w:val="BodyText"/>
        <w:spacing w:before="8"/>
        <w:rPr>
          <w:sz w:val="8"/>
        </w:rPr>
      </w:pPr>
      <w:r>
        <w:rPr/>
        <w:pict>
          <v:group style="position:absolute;margin-left:155.577194pt;margin-top:6.967683pt;width:302.5pt;height:214.8pt;mso-position-horizontal-relative:page;mso-position-vertical-relative:paragraph;z-index:-15724544;mso-wrap-distance-left:0;mso-wrap-distance-right:0" coordorigin="3112,139" coordsize="6050,4296">
            <v:shape style="position:absolute;left:5611;top:291;width:3548;height:4143" coordorigin="5612,291" coordsize="3548,4143" path="m9160,291l5612,291,5612,340,5612,4433,9160,4433,9160,340,9160,291xe" filled="true" fillcolor="#dadada" stroked="false">
              <v:path arrowok="t"/>
              <v:fill type="solid"/>
            </v:shape>
            <v:rect style="position:absolute;left:5611;top:291;width:3548;height:4143" filled="false" stroked="true" strokeweight=".132505pt" strokecolor="#000000">
              <v:stroke dashstyle="solid"/>
            </v:rect>
            <v:rect style="position:absolute;left:7451;top:414;width:600;height:1036" filled="true" fillcolor="#ffffff" stroked="false">
              <v:fill type="solid"/>
            </v:rect>
            <v:rect style="position:absolute;left:7451;top:414;width:600;height:1036" filled="false" stroked="true" strokeweight=".132806pt" strokecolor="#000000">
              <v:stroke dashstyle="solid"/>
            </v:rect>
            <v:rect style="position:absolute;left:5950;top:414;width:502;height:1159" filled="true" fillcolor="#ffffff" stroked="false">
              <v:fill type="solid"/>
            </v:rect>
            <v:rect style="position:absolute;left:5950;top:414;width:502;height:1159" filled="false" stroked="true" strokeweight=".132969pt" strokecolor="#000000">
              <v:stroke dashstyle="solid"/>
            </v:rect>
            <v:line style="position:absolute" from="5662,1253" to="5916,1253" stroked="true" strokeweight=".131498pt" strokecolor="#000000">
              <v:stroke dashstyle="solid"/>
            </v:line>
            <v:shape style="position:absolute;left:5901;top:1222;width:62;height:61" coordorigin="5901,1222" coordsize="62,61" path="m5901,1283l5907,1268,5909,1253,5907,1237,5901,1222,5963,1253,5901,1283xe" filled="true" fillcolor="#000000" stroked="false">
              <v:path arrowok="t"/>
              <v:fill type="solid"/>
            </v:shape>
            <v:rect style="position:absolute;left:7148;top:241;width:100;height:99" filled="true" fillcolor="#ffffff" stroked="false">
              <v:fill type="solid"/>
            </v:rect>
            <v:rect style="position:absolute;left:7148;top:241;width:100;height:99" filled="false" stroked="true" strokeweight=".13236pt" strokecolor="#000000">
              <v:stroke dashstyle="solid"/>
            </v:rect>
            <v:line style="position:absolute" from="7201,513" to="7199,386" stroked="true" strokeweight=".133244pt" strokecolor="#000000">
              <v:stroke dashstyle="solid"/>
            </v:line>
            <v:shape style="position:absolute;left:7168;top:340;width:62;height:407" coordorigin="7169,340" coordsize="62,407" path="m7214,728l7208,723,7195,723,7189,728,7189,735,7189,742,7195,747,7208,747,7214,742,7214,728xm7230,400l7198,340,7169,401,7184,396,7199,394,7215,395,7230,400xe" filled="true" fillcolor="#000000" stroked="false">
              <v:path arrowok="t"/>
              <v:fill type="solid"/>
            </v:shape>
            <v:shape style="position:absolute;left:7188;top:722;width:25;height:25" coordorigin="7189,723" coordsize="25,25" path="m7189,735l7189,728,7195,723,7201,723,7208,723,7214,728,7214,735,7214,742,7208,747,7201,747,7195,747,7189,742,7189,735xe" filled="false" stroked="true" strokeweight=".397079pt" strokecolor="#000000">
              <v:path arrowok="t"/>
              <v:stroke dashstyle="solid"/>
            </v:shape>
            <v:line style="position:absolute" from="6452,1006" to="7403,1006" stroked="true" strokeweight=".131498pt" strokecolor="#000000">
              <v:stroke dashstyle="solid"/>
            </v:line>
            <v:shape style="position:absolute;left:7387;top:975;width:62;height:61" coordorigin="7388,976" coordsize="62,61" path="m7388,1036l7393,1021,7395,1006,7393,991,7388,976,7449,1006,7388,1036xe" filled="true" fillcolor="#000000" stroked="false">
              <v:path arrowok="t"/>
              <v:fill type="solid"/>
            </v:shape>
            <v:shape style="position:absolute;left:7051;top:511;width:398;height:254" type="#_x0000_t75" stroked="false">
              <v:imagedata r:id="rId55" o:title=""/>
            </v:shape>
            <v:line style="position:absolute" from="8051,957" to="8204,957" stroked="true" strokeweight=".131498pt" strokecolor="#000000">
              <v:stroke dashstyle="solid"/>
            </v:line>
            <v:shape style="position:absolute;left:8189;top:926;width:62;height:61" coordorigin="8189,926" coordsize="62,61" path="m8189,987l8195,972,8197,957,8195,941,8189,926,8251,957,8189,987xe" filled="true" fillcolor="#000000" stroked="false">
              <v:path arrowok="t"/>
              <v:fill type="solid"/>
            </v:shape>
            <v:line style="position:absolute" from="8151,932" to="8101,981" stroked="true" strokeweight=".13236pt" strokecolor="#000000">
              <v:stroke dashstyle="solid"/>
            </v:line>
            <v:line style="position:absolute" from="5662,1006" to="5904,1006" stroked="true" strokeweight=".131498pt" strokecolor="#000000">
              <v:stroke dashstyle="solid"/>
            </v:line>
            <v:shape style="position:absolute;left:5888;top:975;width:62;height:61" coordorigin="5889,976" coordsize="62,61" path="m5889,1036l5894,1021,5896,1006,5894,991,5889,976,5950,1006,5889,1036xe" filled="true" fillcolor="#000000" stroked="false">
              <v:path arrowok="t"/>
              <v:fill type="solid"/>
            </v:shape>
            <v:rect style="position:absolute;left:5561;top:414;width:100;height:99" filled="true" fillcolor="#ffffff" stroked="false">
              <v:fill type="solid"/>
            </v:rect>
            <v:rect style="position:absolute;left:5561;top:414;width:100;height:99" filled="false" stroked="true" strokeweight=".13236pt" strokecolor="#000000">
              <v:stroke dashstyle="solid"/>
            </v:rect>
            <v:line style="position:absolute" from="5662,464" to="5904,464" stroked="true" strokeweight=".131498pt" strokecolor="#000000">
              <v:stroke dashstyle="solid"/>
            </v:line>
            <v:shape style="position:absolute;left:5888;top:433;width:62;height:61" coordorigin="5889,433" coordsize="62,61" path="m5889,494l5894,479,5896,464,5894,448,5889,433,5950,464,5889,494xe" filled="true" fillcolor="#000000" stroked="false">
              <v:path arrowok="t"/>
              <v:fill type="solid"/>
            </v:shape>
            <v:shape style="position:absolute;left:5560;top:758;width:390;height:102" type="#_x0000_t75" stroked="false">
              <v:imagedata r:id="rId56" o:title=""/>
            </v:shape>
            <v:rect style="position:absolute;left:5561;top:956;width:100;height:99" filled="true" fillcolor="#ffffff" stroked="false">
              <v:fill type="solid"/>
            </v:rect>
            <v:rect style="position:absolute;left:5561;top:956;width:100;height:99" filled="false" stroked="true" strokeweight=".13236pt" strokecolor="#000000">
              <v:stroke dashstyle="solid"/>
            </v:rect>
            <v:rect style="position:absolute;left:5561;top:2066;width:100;height:99" filled="true" fillcolor="#ffffff" stroked="false">
              <v:fill type="solid"/>
            </v:rect>
            <v:rect style="position:absolute;left:5561;top:2066;width:100;height:99" filled="false" stroked="true" strokeweight=".13236pt" strokecolor="#000000">
              <v:stroke dashstyle="solid"/>
            </v:rect>
            <v:rect style="position:absolute;left:5561;top:1770;width:100;height:99" filled="true" fillcolor="#ffffff" stroked="false">
              <v:fill type="solid"/>
            </v:rect>
            <v:rect style="position:absolute;left:5561;top:1770;width:100;height:99" filled="false" stroked="true" strokeweight=".13236pt" strokecolor="#000000">
              <v:stroke dashstyle="solid"/>
            </v:rect>
            <v:rect style="position:absolute;left:8247;top:734;width:600;height:3304" filled="true" fillcolor="#ffffff" stroked="false">
              <v:fill type="solid"/>
            </v:rect>
            <v:rect style="position:absolute;left:8247;top:734;width:600;height:3304" filled="false" stroked="true" strokeweight=".133189pt" strokecolor="#000000">
              <v:stroke dashstyle="solid"/>
            </v:rect>
            <v:rect style="position:absolute;left:5561;top:1203;width:100;height:99" filled="true" fillcolor="#ffffff" stroked="false">
              <v:fill type="solid"/>
            </v:rect>
            <v:rect style="position:absolute;left:5561;top:1203;width:100;height:99" filled="false" stroked="true" strokeweight=".13236pt" strokecolor="#000000">
              <v:stroke dashstyle="solid"/>
            </v:rect>
            <v:shape style="position:absolute;left:4827;top:1818;width:116;height:299" type="#_x0000_t75" stroked="false">
              <v:imagedata r:id="rId57" o:title=""/>
            </v:shape>
            <v:line style="position:absolute" from="4942,1820" to="5562,1820" stroked="true" strokeweight=".131498pt" strokecolor="#000000">
              <v:stroke dashstyle="solid"/>
            </v:line>
            <v:line style="position:absolute" from="5562,2116" to="4942,2116" stroked="true" strokeweight=".131498pt" strokecolor="#000000">
              <v:stroke dashstyle="solid"/>
            </v:line>
            <v:line style="position:absolute" from="5662,1820" to="5872,1820" stroked="true" strokeweight=".131498pt" strokecolor="#000000">
              <v:stroke dashstyle="solid"/>
            </v:line>
            <v:line style="position:absolute" from="5662,2116" to="5872,2116" stroked="true" strokeweight=".131498pt" strokecolor="#000000">
              <v:stroke dashstyle="solid"/>
            </v:line>
            <v:line style="position:absolute" from="8201,1968" to="6651,1968" stroked="true" strokeweight=".131498pt" strokecolor="#000000">
              <v:stroke dashstyle="solid"/>
            </v:line>
            <v:shape style="position:absolute;left:8186;top:1937;width:62;height:61" coordorigin="8186,1937" coordsize="62,61" path="m8186,1998l8192,1983,8194,1968,8192,1952,8186,1937,8248,1968,8186,1998xe" filled="true" fillcolor="#000000" stroked="false">
              <v:path arrowok="t"/>
              <v:fill type="solid"/>
            </v:shape>
            <v:shape style="position:absolute;left:4661;top:537;width:80;height:198" coordorigin="4661,538" coordsize="80,198" path="m4701,538l4741,554,4661,587,4741,620,4661,653,4741,685,4661,718,4701,735e" filled="false" stroked="true" strokeweight=".132998pt" strokecolor="#000000">
              <v:path arrowok="t"/>
              <v:stroke dashstyle="solid"/>
            </v:shape>
            <v:line style="position:absolute" from="4701,538" to="4701,316" stroked="true" strokeweight=".133244pt" strokecolor="#000000">
              <v:stroke dashstyle="solid"/>
            </v:line>
            <v:line style="position:absolute" from="4701,735" to="4701,907" stroked="true" strokeweight=".133244pt" strokecolor="#000000">
              <v:stroke dashstyle="solid"/>
            </v:line>
            <v:line style="position:absolute" from="5562,464" to="4701,464" stroked="true" strokeweight=".131498pt" strokecolor="#000000">
              <v:stroke dashstyle="solid"/>
            </v:line>
            <v:line style="position:absolute" from="5553,809" to="4701,809" stroked="true" strokeweight=".131498pt" strokecolor="#000000">
              <v:stroke dashstyle="solid"/>
            </v:line>
            <v:shape style="position:absolute;left:4688;top:796;width:25;height:25" coordorigin="4689,796" coordsize="25,25" path="m4708,821l4694,821,4689,816,4689,809,4689,802,4694,796,4708,796,4714,802,4714,816,4708,821xe" filled="true" fillcolor="#000000" stroked="false">
              <v:path arrowok="t"/>
              <v:fill type="solid"/>
            </v:shape>
            <v:shape style="position:absolute;left:4688;top:796;width:25;height:25" coordorigin="4689,796" coordsize="25,25" path="m4689,809l4689,802,4694,796,4701,796,4708,796,4714,802,4714,809,4714,816,4708,821,4701,821,4694,821,4689,816,4689,809xe" filled="false" stroked="true" strokeweight=".13236pt" strokecolor="#000000">
              <v:path arrowok="t"/>
              <v:stroke dashstyle="solid"/>
            </v:shape>
            <v:shape style="position:absolute;left:4688;top:451;width:25;height:25" coordorigin="4689,451" coordsize="25,25" path="m4708,476l4694,476,4689,470,4689,464,4689,457,4694,451,4708,451,4714,457,4714,470,4708,476xe" filled="true" fillcolor="#000000" stroked="false">
              <v:path arrowok="t"/>
              <v:fill type="solid"/>
            </v:shape>
            <v:shape style="position:absolute;left:4688;top:451;width:25;height:25" coordorigin="4689,451" coordsize="25,25" path="m4689,464l4689,457,4694,451,4701,451,4708,451,4714,457,4714,464,4714,470,4708,476,4701,476,4694,476,4689,470,4689,464xe" filled="false" stroked="true" strokeweight=".13236pt" strokecolor="#000000">
              <v:path arrowok="t"/>
              <v:stroke dashstyle="solid"/>
            </v:shape>
            <v:line style="position:absolute" from="4626,286" to="4626,363" stroked="true" strokeweight=".133244pt" strokecolor="#000000">
              <v:stroke dashstyle="solid"/>
            </v:line>
            <v:shape style="position:absolute;left:4595;top:348;width:62;height:61" coordorigin="4596,348" coordsize="62,61" path="m4626,409l4596,348,4611,354,4626,355,4642,354,4657,348,4626,409xe" filled="true" fillcolor="#000000" stroked="false">
              <v:path arrowok="t"/>
              <v:fill type="solid"/>
            </v:shape>
            <v:line style="position:absolute" from="7611,1943" to="7561,1992" stroked="true" strokeweight=".13236pt" strokecolor="#000000">
              <v:stroke dashstyle="solid"/>
            </v:line>
            <v:rect style="position:absolute;left:5561;top:2942;width:100;height:99" filled="true" fillcolor="#ffffff" stroked="false">
              <v:fill type="solid"/>
            </v:rect>
            <v:rect style="position:absolute;left:5561;top:2942;width:100;height:99" filled="false" stroked="true" strokeweight=".13236pt" strokecolor="#000000">
              <v:stroke dashstyle="solid"/>
            </v:rect>
            <v:rect style="position:absolute;left:5561;top:2646;width:100;height:99" filled="true" fillcolor="#ffffff" stroked="false">
              <v:fill type="solid"/>
            </v:rect>
            <v:rect style="position:absolute;left:5561;top:2646;width:100;height:99" filled="false" stroked="true" strokeweight=".13236pt" strokecolor="#000000">
              <v:stroke dashstyle="solid"/>
            </v:rect>
            <v:shape style="position:absolute;left:4827;top:2694;width:116;height:299" type="#_x0000_t75" stroked="false">
              <v:imagedata r:id="rId58" o:title=""/>
            </v:shape>
            <v:shape style="position:absolute;left:4640;top:2694;width:116;height:299" type="#_x0000_t75" stroked="false">
              <v:imagedata r:id="rId59" o:title=""/>
            </v:shape>
            <v:line style="position:absolute" from="4942,2696" to="5562,2696" stroked="true" strokeweight=".131498pt" strokecolor="#000000">
              <v:stroke dashstyle="solid"/>
            </v:line>
            <v:line style="position:absolute" from="5562,2992" to="4942,2992" stroked="true" strokeweight=".131498pt" strokecolor="#000000">
              <v:stroke dashstyle="solid"/>
            </v:line>
            <v:rect style="position:absolute;left:3892;top:2597;width:600;height:494" filled="true" fillcolor="#dadada" stroked="false">
              <v:fill type="solid"/>
            </v:rect>
            <v:rect style="position:absolute;left:4441;top:2646;width:100;height:99" filled="true" fillcolor="#ffffff" stroked="false">
              <v:fill type="solid"/>
            </v:rect>
            <v:rect style="position:absolute;left:4441;top:2646;width:100;height:99" filled="false" stroked="true" strokeweight=".13236pt" strokecolor="#000000">
              <v:stroke dashstyle="solid"/>
            </v:rect>
            <v:rect style="position:absolute;left:4441;top:2942;width:100;height:99" filled="true" fillcolor="#ffffff" stroked="false">
              <v:fill type="solid"/>
            </v:rect>
            <v:rect style="position:absolute;left:4441;top:2942;width:100;height:99" filled="false" stroked="true" strokeweight=".13236pt" strokecolor="#000000">
              <v:stroke dashstyle="solid"/>
            </v:rect>
            <v:rect style="position:absolute;left:3842;top:2646;width:100;height:99" filled="true" fillcolor="#ffffff" stroked="false">
              <v:fill type="solid"/>
            </v:rect>
            <v:rect style="position:absolute;left:3842;top:2646;width:100;height:99" filled="false" stroked="true" strokeweight=".13236pt" strokecolor="#000000">
              <v:stroke dashstyle="solid"/>
            </v:rect>
            <v:rect style="position:absolute;left:3842;top:2942;width:100;height:99" filled="true" fillcolor="#ffffff" stroked="false">
              <v:fill type="solid"/>
            </v:rect>
            <v:rect style="position:absolute;left:3842;top:2942;width:100;height:99" filled="false" stroked="true" strokeweight=".13236pt" strokecolor="#000000">
              <v:stroke dashstyle="solid"/>
            </v:rect>
            <v:line style="position:absolute" from="4654,2696" to="4542,2696" stroked="true" strokeweight=".131498pt" strokecolor="#000000">
              <v:stroke dashstyle="solid"/>
            </v:line>
            <v:line style="position:absolute" from="4654,2992" to="4542,2992" stroked="true" strokeweight=".131498pt" strokecolor="#000000">
              <v:stroke dashstyle="solid"/>
            </v:line>
            <v:shape style="position:absolute;left:3452;top:2745;width:80;height:198" coordorigin="3453,2746" coordsize="80,198" path="m3492,2746l3532,2762,3453,2795,3532,2828,3453,2861,3532,2894,3453,2926,3492,2943e" filled="false" stroked="true" strokeweight=".132998pt" strokecolor="#000000">
              <v:path arrowok="t"/>
              <v:stroke dashstyle="solid"/>
            </v:shape>
            <v:line style="position:absolute" from="3492,2746" to="3492,2524" stroked="true" strokeweight=".133244pt" strokecolor="#000000">
              <v:stroke dashstyle="solid"/>
            </v:line>
            <v:line style="position:absolute" from="3492,2943" to="3492,3140" stroked="true" strokeweight=".133244pt" strokecolor="#000000">
              <v:stroke dashstyle="solid"/>
            </v:line>
            <v:line style="position:absolute" from="3842,2992" to="3492,2992" stroked="true" strokeweight=".131498pt" strokecolor="#000000">
              <v:stroke dashstyle="solid"/>
            </v:line>
            <v:line style="position:absolute" from="3842,2696" to="3492,2696" stroked="true" strokeweight=".131498pt" strokecolor="#000000">
              <v:stroke dashstyle="solid"/>
            </v:line>
            <v:shape style="position:absolute;left:3480;top:2683;width:25;height:25" coordorigin="3480,2684" coordsize="25,25" path="m3499,2709l3486,2709,3480,2703,3480,2696,3480,2689,3486,2684,3499,2684,3505,2689,3505,2703,3499,2709xe" filled="true" fillcolor="#000000" stroked="false">
              <v:path arrowok="t"/>
              <v:fill type="solid"/>
            </v:shape>
            <v:shape style="position:absolute;left:3480;top:2683;width:25;height:25" coordorigin="3480,2684" coordsize="25,25" path="m3480,2696l3480,2689,3486,2684,3492,2684,3499,2684,3505,2689,3505,2696,3505,2703,3499,2709,3492,2709,3486,2709,3480,2703,3480,2696xe" filled="false" stroked="true" strokeweight=".13236pt" strokecolor="#000000">
              <v:path arrowok="t"/>
              <v:stroke dashstyle="solid"/>
            </v:shape>
            <v:shape style="position:absolute;left:3480;top:2979;width:25;height:25" coordorigin="3480,2980" coordsize="25,25" path="m3499,3004l3486,3004,3480,2999,3480,2992,3480,2985,3486,2980,3499,2980,3505,2985,3505,2999,3499,3004xe" filled="true" fillcolor="#000000" stroked="false">
              <v:path arrowok="t"/>
              <v:fill type="solid"/>
            </v:shape>
            <v:shape style="position:absolute;left:3480;top:2979;width:25;height:25" coordorigin="3480,2980" coordsize="25,25" path="m3480,2992l3480,2985,3486,2980,3492,2980,3499,2980,3505,2985,3505,2992,3505,2999,3499,3004,3492,3004,3486,3004,3480,2999,3480,2992xe" filled="false" stroked="true" strokeweight=".13236pt" strokecolor="#000000">
              <v:path arrowok="t"/>
              <v:stroke dashstyle="solid"/>
            </v:shape>
            <v:line style="position:absolute" from="3418,2499" to="3418,2577" stroked="true" strokeweight=".133244pt" strokecolor="#000000">
              <v:stroke dashstyle="solid"/>
            </v:line>
            <v:shape style="position:absolute;left:3386;top:2561;width:62;height:61" coordorigin="3387,2562" coordsize="62,61" path="m3418,2622l3387,2562,3402,2567,3418,2569,3433,2567,3448,2562,3418,2622xe" filled="true" fillcolor="#000000" stroked="false">
              <v:path arrowok="t"/>
              <v:fill type="solid"/>
            </v:shape>
            <v:line style="position:absolute" from="5662,2696" to="5872,2696" stroked="true" strokeweight=".131498pt" strokecolor="#000000">
              <v:stroke dashstyle="solid"/>
            </v:line>
            <v:line style="position:absolute" from="5662,2992" to="5872,2992" stroked="true" strokeweight=".131498pt" strokecolor="#000000">
              <v:stroke dashstyle="solid"/>
            </v:line>
            <v:line style="position:absolute" from="5661,1469" to="5915,1469" stroked="true" strokeweight=".131498pt" strokecolor="#000000">
              <v:stroke dashstyle="solid"/>
            </v:line>
            <v:shape style="position:absolute;left:5900;top:1438;width:62;height:61" coordorigin="5900,1439" coordsize="62,61" path="m5900,1499l5906,1485,5907,1469,5906,1454,5900,1439,5962,1469,5900,1499xe" filled="true" fillcolor="#000000" stroked="false">
              <v:path arrowok="t"/>
              <v:fill type="solid"/>
            </v:shape>
            <v:rect style="position:absolute;left:5560;top:1419;width:100;height:99" filled="true" fillcolor="#ffffff" stroked="false">
              <v:fill type="solid"/>
            </v:rect>
            <v:rect style="position:absolute;left:5560;top:1419;width:100;height:99" filled="false" stroked="true" strokeweight=".13236pt" strokecolor="#000000">
              <v:stroke dashstyle="solid"/>
            </v:rect>
            <v:line style="position:absolute" from="8201,2880" to="6651,2880" stroked="true" strokeweight=".131498pt" strokecolor="#000000">
              <v:stroke dashstyle="solid"/>
            </v:line>
            <v:shape style="position:absolute;left:8186;top:2849;width:62;height:61" coordorigin="8186,2850" coordsize="62,61" path="m8186,2910l8192,2895,8194,2880,8192,2864,8186,2850,8248,2880,8186,2910xe" filled="true" fillcolor="#000000" stroked="false">
              <v:path arrowok="t"/>
              <v:fill type="solid"/>
            </v:shape>
            <v:line style="position:absolute" from="7611,2855" to="7561,2904" stroked="true" strokeweight=".13236pt" strokecolor="#000000">
              <v:stroke dashstyle="solid"/>
            </v:line>
            <v:rect style="position:absolute;left:5565;top:3793;width:100;height:99" filled="true" fillcolor="#ffffff" stroked="false">
              <v:fill type="solid"/>
            </v:rect>
            <v:rect style="position:absolute;left:5565;top:3793;width:100;height:99" filled="false" stroked="true" strokeweight=".13236pt" strokecolor="#000000">
              <v:stroke dashstyle="solid"/>
            </v:rect>
            <v:rect style="position:absolute;left:5565;top:3497;width:100;height:99" filled="true" fillcolor="#ffffff" stroked="false">
              <v:fill type="solid"/>
            </v:rect>
            <v:rect style="position:absolute;left:5565;top:3497;width:100;height:99" filled="false" stroked="true" strokeweight=".13236pt" strokecolor="#000000">
              <v:stroke dashstyle="solid"/>
            </v:rect>
            <v:rect style="position:absolute;left:3895;top:3448;width:600;height:494" filled="true" fillcolor="#dadada" stroked="false">
              <v:fill type="solid"/>
            </v:rect>
            <v:shape style="position:absolute;left:4831;top:3545;width:116;height:299" type="#_x0000_t75" stroked="false">
              <v:imagedata r:id="rId60" o:title=""/>
            </v:shape>
            <v:shape style="position:absolute;left:4643;top:3545;width:116;height:299" type="#_x0000_t75" stroked="false">
              <v:imagedata r:id="rId61" o:title=""/>
            </v:shape>
            <v:line style="position:absolute" from="4945,3547" to="5566,3547" stroked="true" strokeweight=".131498pt" strokecolor="#000000">
              <v:stroke dashstyle="solid"/>
            </v:line>
            <v:line style="position:absolute" from="5566,3843" to="4945,3843" stroked="true" strokeweight=".131498pt" strokecolor="#000000">
              <v:stroke dashstyle="solid"/>
            </v:line>
            <v:rect style="position:absolute;left:4445;top:3497;width:100;height:99" filled="true" fillcolor="#ffffff" stroked="false">
              <v:fill type="solid"/>
            </v:rect>
            <v:rect style="position:absolute;left:4445;top:3497;width:100;height:99" filled="false" stroked="true" strokeweight=".13236pt" strokecolor="#000000">
              <v:stroke dashstyle="solid"/>
            </v:rect>
            <v:rect style="position:absolute;left:4445;top:3793;width:100;height:99" filled="true" fillcolor="#ffffff" stroked="false">
              <v:fill type="solid"/>
            </v:rect>
            <v:rect style="position:absolute;left:4445;top:3793;width:100;height:99" filled="false" stroked="true" strokeweight=".13236pt" strokecolor="#000000">
              <v:stroke dashstyle="solid"/>
            </v:rect>
            <v:rect style="position:absolute;left:3845;top:3497;width:100;height:99" filled="true" fillcolor="#ffffff" stroked="false">
              <v:fill type="solid"/>
            </v:rect>
            <v:rect style="position:absolute;left:3845;top:3497;width:100;height:99" filled="false" stroked="true" strokeweight=".13236pt" strokecolor="#000000">
              <v:stroke dashstyle="solid"/>
            </v:rect>
            <v:rect style="position:absolute;left:3845;top:3793;width:100;height:99" filled="true" fillcolor="#ffffff" stroked="false">
              <v:fill type="solid"/>
            </v:rect>
            <v:rect style="position:absolute;left:3845;top:3793;width:100;height:99" filled="false" stroked="true" strokeweight=".13236pt" strokecolor="#000000">
              <v:stroke dashstyle="solid"/>
            </v:rect>
            <v:line style="position:absolute" from="4658,3547" to="4545,3547" stroked="true" strokeweight=".131498pt" strokecolor="#000000">
              <v:stroke dashstyle="solid"/>
            </v:line>
            <v:line style="position:absolute" from="4658,3843" to="4545,3843" stroked="true" strokeweight=".131498pt" strokecolor="#000000">
              <v:stroke dashstyle="solid"/>
            </v:line>
            <v:shape style="position:absolute;left:3456;top:3596;width:80;height:198" coordorigin="3456,3596" coordsize="80,198" path="m3496,3596l3536,3613,3456,3646,3536,3678,3456,3711,3536,3744,3456,3777,3496,3793e" filled="false" stroked="true" strokeweight=".132998pt" strokecolor="#000000">
              <v:path arrowok="t"/>
              <v:stroke dashstyle="solid"/>
            </v:shape>
            <v:line style="position:absolute" from="3496,3596" to="3496,3374" stroked="true" strokeweight=".133244pt" strokecolor="#000000">
              <v:stroke dashstyle="solid"/>
            </v:line>
            <v:line style="position:absolute" from="3496,3793" to="3496,3991" stroked="true" strokeweight=".133244pt" strokecolor="#000000">
              <v:stroke dashstyle="solid"/>
            </v:line>
            <v:line style="position:absolute" from="3846,3843" to="3496,3843" stroked="true" strokeweight=".131498pt" strokecolor="#000000">
              <v:stroke dashstyle="solid"/>
            </v:line>
            <v:line style="position:absolute" from="3846,3547" to="3496,3547" stroked="true" strokeweight=".131498pt" strokecolor="#000000">
              <v:stroke dashstyle="solid"/>
            </v:line>
            <v:shape style="position:absolute;left:3483;top:3534;width:25;height:25" coordorigin="3484,3535" coordsize="25,25" path="m3503,3559l3489,3559,3484,3554,3484,3547,3484,3540,3489,3535,3503,3535,3509,3540,3509,3554,3503,3559xe" filled="true" fillcolor="#000000" stroked="false">
              <v:path arrowok="t"/>
              <v:fill type="solid"/>
            </v:shape>
            <v:shape style="position:absolute;left:3483;top:3534;width:25;height:25" coordorigin="3484,3535" coordsize="25,25" path="m3484,3547l3484,3540,3489,3535,3496,3535,3503,3535,3509,3540,3509,3547,3509,3554,3503,3559,3496,3559,3489,3559,3484,3554,3484,3547xe" filled="false" stroked="true" strokeweight=".13236pt" strokecolor="#000000">
              <v:path arrowok="t"/>
              <v:stroke dashstyle="solid"/>
            </v:shape>
            <v:shape style="position:absolute;left:3483;top:3830;width:25;height:25" coordorigin="3484,3830" coordsize="25,25" path="m3503,3855l3489,3855,3484,3850,3484,3843,3484,3836,3489,3830,3503,3830,3509,3836,3509,3850,3503,3855xe" filled="true" fillcolor="#000000" stroked="false">
              <v:path arrowok="t"/>
              <v:fill type="solid"/>
            </v:shape>
            <v:shape style="position:absolute;left:3483;top:3830;width:25;height:25" coordorigin="3484,3830" coordsize="25,25" path="m3484,3843l3484,3836,3489,3830,3496,3830,3503,3830,3509,3836,3509,3843,3509,3850,3503,3855,3496,3855,3489,3855,3484,3850,3484,3843xe" filled="false" stroked="true" strokeweight=".13236pt" strokecolor="#000000">
              <v:path arrowok="t"/>
              <v:stroke dashstyle="solid"/>
            </v:shape>
            <v:line style="position:absolute" from="3421,3350" to="3421,3427" stroked="true" strokeweight=".133244pt" strokecolor="#000000">
              <v:stroke dashstyle="solid"/>
            </v:line>
            <v:shape style="position:absolute;left:3390;top:3412;width:62;height:61" coordorigin="3390,3412" coordsize="62,61" path="m3421,3473l3390,3412,3405,3418,3421,3420,3437,3418,3452,3412,3421,3473xe" filled="true" fillcolor="#000000" stroked="false">
              <v:path arrowok="t"/>
              <v:fill type="solid"/>
            </v:shape>
            <v:line style="position:absolute" from="5665,3547" to="5875,3547" stroked="true" strokeweight=".131498pt" strokecolor="#000000">
              <v:stroke dashstyle="solid"/>
            </v:line>
            <v:line style="position:absolute" from="5665,3843" to="5875,3843" stroked="true" strokeweight=".131498pt" strokecolor="#000000">
              <v:stroke dashstyle="solid"/>
            </v:line>
            <v:line style="position:absolute" from="8201,3693" to="6651,3693" stroked="true" strokeweight=".131498pt" strokecolor="#000000">
              <v:stroke dashstyle="solid"/>
            </v:line>
            <v:shape style="position:absolute;left:8186;top:3663;width:62;height:61" coordorigin="8186,3663" coordsize="62,61" path="m8186,3724l8192,3709,8194,3693,8192,3678,8186,3663,8248,3693,8186,3724xe" filled="true" fillcolor="#000000" stroked="false">
              <v:path arrowok="t"/>
              <v:fill type="solid"/>
            </v:shape>
            <v:line style="position:absolute" from="7602,3669" to="7552,3718" stroked="true" strokeweight=".13236pt" strokecolor="#000000">
              <v:stroke dashstyle="solid"/>
            </v:line>
            <v:shape style="position:absolute;left:7092;top:139;width:257;height:98" type="#_x0000_t202" filled="false" stroked="false">
              <v:textbox inset="0,0,0,0">
                <w:txbxContent>
                  <w:p>
                    <w:pPr>
                      <w:spacing w:before="4"/>
                      <w:ind w:left="0" w:right="0" w:firstLine="0"/>
                      <w:jc w:val="left"/>
                      <w:rPr>
                        <w:sz w:val="8"/>
                      </w:rPr>
                    </w:pPr>
                    <w:r>
                      <w:rPr>
                        <w:w w:val="110"/>
                        <w:sz w:val="8"/>
                      </w:rPr>
                      <w:t>VREF</w:t>
                    </w:r>
                  </w:p>
                </w:txbxContent>
              </v:textbox>
              <w10:wrap type="none"/>
            </v:shape>
            <v:shape style="position:absolute;left:4514;top:213;width:144;height:98" type="#_x0000_t202" filled="false" stroked="false">
              <v:textbox inset="0,0,0,0">
                <w:txbxContent>
                  <w:p>
                    <w:pPr>
                      <w:spacing w:before="4"/>
                      <w:ind w:left="0" w:right="0" w:firstLine="0"/>
                      <w:jc w:val="left"/>
                      <w:rPr>
                        <w:sz w:val="8"/>
                      </w:rPr>
                    </w:pPr>
                    <w:r>
                      <w:rPr>
                        <w:w w:val="110"/>
                        <w:sz w:val="8"/>
                      </w:rPr>
                      <w:t>IN*</w:t>
                    </w:r>
                  </w:p>
                </w:txbxContent>
              </v:textbox>
              <w10:wrap type="none"/>
            </v:shape>
            <v:shape style="position:absolute;left:5275;top:361;width:282;height:98" type="#_x0000_t202" filled="false" stroked="false">
              <v:textbox inset="0,0,0,0">
                <w:txbxContent>
                  <w:p>
                    <w:pPr>
                      <w:spacing w:before="4"/>
                      <w:ind w:left="0" w:right="0" w:firstLine="0"/>
                      <w:jc w:val="left"/>
                      <w:rPr>
                        <w:sz w:val="8"/>
                      </w:rPr>
                    </w:pPr>
                    <w:r>
                      <w:rPr>
                        <w:w w:val="110"/>
                        <w:sz w:val="8"/>
                      </w:rPr>
                      <w:t>IADC0</w:t>
                    </w:r>
                  </w:p>
                </w:txbxContent>
              </v:textbox>
              <w10:wrap type="none"/>
            </v:shape>
            <v:shape style="position:absolute;left:4360;top:542;width:253;height:204" type="#_x0000_t202" filled="false" stroked="false">
              <v:textbox inset="0,0,0,0">
                <w:txbxContent>
                  <w:p>
                    <w:pPr>
                      <w:spacing w:line="273" w:lineRule="auto" w:before="4"/>
                      <w:ind w:left="0" w:right="3" w:firstLine="9"/>
                      <w:jc w:val="left"/>
                      <w:rPr>
                        <w:sz w:val="8"/>
                      </w:rPr>
                    </w:pPr>
                    <w:r>
                      <w:rPr>
                        <w:w w:val="110"/>
                        <w:sz w:val="8"/>
                      </w:rPr>
                      <w:t>Local Shunt</w:t>
                    </w:r>
                  </w:p>
                </w:txbxContent>
              </v:textbox>
              <w10:wrap type="none"/>
            </v:shape>
            <v:shape style="position:absolute;left:5275;top:706;width:282;height:98" type="#_x0000_t202" filled="false" stroked="false">
              <v:textbox inset="0,0,0,0">
                <w:txbxContent>
                  <w:p>
                    <w:pPr>
                      <w:spacing w:before="4"/>
                      <w:ind w:left="0" w:right="0" w:firstLine="0"/>
                      <w:jc w:val="left"/>
                      <w:rPr>
                        <w:sz w:val="8"/>
                      </w:rPr>
                    </w:pPr>
                    <w:r>
                      <w:rPr>
                        <w:w w:val="110"/>
                        <w:sz w:val="8"/>
                      </w:rPr>
                      <w:t>IADC1</w:t>
                    </w:r>
                  </w:p>
                </w:txbxContent>
              </v:textbox>
              <w10:wrap type="none"/>
            </v:shape>
            <v:shape style="position:absolute;left:7473;top:420;width:551;height:360" type="#_x0000_t202" filled="false" stroked="false">
              <v:textbox inset="0,0,0,0">
                <w:txbxContent>
                  <w:p>
                    <w:pPr>
                      <w:spacing w:before="2"/>
                      <w:ind w:left="8" w:right="-5" w:firstLine="111"/>
                      <w:jc w:val="left"/>
                      <w:rPr>
                        <w:sz w:val="8"/>
                      </w:rPr>
                    </w:pPr>
                    <w:r>
                      <w:rPr>
                        <w:rFonts w:ascii="Symbol" w:hAnsi="Symbol"/>
                        <w:w w:val="105"/>
                        <w:sz w:val="8"/>
                      </w:rPr>
                      <w:t></w:t>
                    </w:r>
                    <w:r>
                      <w:rPr>
                        <w:rFonts w:ascii="Times New Roman" w:hAnsi="Times New Roman"/>
                        <w:w w:val="105"/>
                        <w:sz w:val="8"/>
                      </w:rPr>
                      <w:t> </w:t>
                    </w:r>
                    <w:r>
                      <w:rPr>
                        <w:w w:val="105"/>
                        <w:sz w:val="8"/>
                      </w:rPr>
                      <w:t>ADC CONVERTER</w:t>
                    </w:r>
                  </w:p>
                  <w:p>
                    <w:pPr>
                      <w:spacing w:line="240" w:lineRule="auto" w:before="4"/>
                      <w:rPr>
                        <w:sz w:val="6"/>
                      </w:rPr>
                    </w:pPr>
                  </w:p>
                  <w:p>
                    <w:pPr>
                      <w:spacing w:before="0"/>
                      <w:ind w:left="0" w:right="0" w:firstLine="0"/>
                      <w:jc w:val="left"/>
                      <w:rPr>
                        <w:sz w:val="8"/>
                      </w:rPr>
                    </w:pPr>
                    <w:r>
                      <w:rPr>
                        <w:w w:val="110"/>
                        <w:sz w:val="8"/>
                      </w:rPr>
                      <w:t>VREF</w:t>
                    </w:r>
                  </w:p>
                </w:txbxContent>
              </v:textbox>
              <w10:wrap type="none"/>
            </v:shape>
            <v:shape style="position:absolute;left:5027;top:940;width:519;height:98" type="#_x0000_t202" filled="false" stroked="false">
              <v:textbox inset="0,0,0,0">
                <w:txbxContent>
                  <w:p>
                    <w:pPr>
                      <w:spacing w:before="4"/>
                      <w:ind w:left="0" w:right="0" w:firstLine="0"/>
                      <w:jc w:val="left"/>
                      <w:rPr>
                        <w:sz w:val="8"/>
                      </w:rPr>
                    </w:pPr>
                    <w:r>
                      <w:rPr>
                        <w:w w:val="110"/>
                        <w:sz w:val="8"/>
                      </w:rPr>
                      <w:t>VADC8 (VA)</w:t>
                    </w:r>
                  </w:p>
                </w:txbxContent>
              </v:textbox>
              <w10:wrap type="none"/>
            </v:shape>
            <v:shape style="position:absolute;left:8101;top:982;width:95;height:74" type="#_x0000_t202" filled="false" stroked="false">
              <v:textbox inset="0,0,0,0">
                <w:txbxContent>
                  <w:p>
                    <w:pPr>
                      <w:spacing w:before="3"/>
                      <w:ind w:left="0" w:right="0" w:firstLine="0"/>
                      <w:jc w:val="left"/>
                      <w:rPr>
                        <w:sz w:val="6"/>
                      </w:rPr>
                    </w:pPr>
                    <w:r>
                      <w:rPr>
                        <w:w w:val="110"/>
                        <w:sz w:val="6"/>
                      </w:rPr>
                      <w:t>22</w:t>
                    </w:r>
                  </w:p>
                </w:txbxContent>
              </v:textbox>
              <w10:wrap type="none"/>
            </v:shape>
            <v:shape style="position:absolute;left:4975;top:1187;width:573;height:320" type="#_x0000_t202" filled="false" stroked="false">
              <v:textbox inset="0,0,0,0">
                <w:txbxContent>
                  <w:p>
                    <w:pPr>
                      <w:spacing w:before="4"/>
                      <w:ind w:left="50" w:right="0" w:firstLine="0"/>
                      <w:jc w:val="left"/>
                      <w:rPr>
                        <w:sz w:val="8"/>
                      </w:rPr>
                    </w:pPr>
                    <w:r>
                      <w:rPr>
                        <w:w w:val="110"/>
                        <w:sz w:val="8"/>
                      </w:rPr>
                      <w:t>VADC9</w:t>
                    </w:r>
                    <w:r>
                      <w:rPr>
                        <w:spacing w:val="4"/>
                        <w:w w:val="110"/>
                        <w:sz w:val="8"/>
                      </w:rPr>
                      <w:t> </w:t>
                    </w:r>
                    <w:r>
                      <w:rPr>
                        <w:w w:val="110"/>
                        <w:sz w:val="8"/>
                      </w:rPr>
                      <w:t>(VB)</w:t>
                    </w:r>
                  </w:p>
                  <w:p>
                    <w:pPr>
                      <w:spacing w:line="240" w:lineRule="auto" w:before="3"/>
                      <w:rPr>
                        <w:sz w:val="11"/>
                      </w:rPr>
                    </w:pPr>
                  </w:p>
                  <w:p>
                    <w:pPr>
                      <w:spacing w:before="0"/>
                      <w:ind w:left="0" w:right="0" w:firstLine="0"/>
                      <w:jc w:val="left"/>
                      <w:rPr>
                        <w:sz w:val="8"/>
                      </w:rPr>
                    </w:pPr>
                    <w:r>
                      <w:rPr>
                        <w:w w:val="110"/>
                        <w:sz w:val="8"/>
                      </w:rPr>
                      <w:t>VADC10</w:t>
                    </w:r>
                    <w:r>
                      <w:rPr>
                        <w:spacing w:val="4"/>
                        <w:w w:val="110"/>
                        <w:sz w:val="8"/>
                      </w:rPr>
                      <w:t> </w:t>
                    </w:r>
                    <w:r>
                      <w:rPr>
                        <w:w w:val="110"/>
                        <w:sz w:val="8"/>
                      </w:rPr>
                      <w:t>(VC)</w:t>
                    </w:r>
                  </w:p>
                </w:txbxContent>
              </v:textbox>
              <w10:wrap type="none"/>
            </v:shape>
            <v:shape style="position:absolute;left:3329;top:1525;width:104;height:98" type="#_x0000_t202" filled="false" stroked="false">
              <v:textbox inset="0,0,0,0">
                <w:txbxContent>
                  <w:p>
                    <w:pPr>
                      <w:spacing w:before="4"/>
                      <w:ind w:left="0" w:right="0" w:firstLine="0"/>
                      <w:jc w:val="left"/>
                      <w:rPr>
                        <w:sz w:val="8"/>
                      </w:rPr>
                    </w:pPr>
                    <w:r>
                      <w:rPr>
                        <w:w w:val="110"/>
                        <w:sz w:val="8"/>
                      </w:rPr>
                      <w:t>IA</w:t>
                    </w:r>
                  </w:p>
                </w:txbxContent>
              </v:textbox>
              <w10:wrap type="none"/>
            </v:shape>
            <v:shape style="position:absolute;left:5266;top:1717;width:304;height:98" type="#_x0000_t202" filled="false" stroked="false">
              <v:textbox inset="0,0,0,0">
                <w:txbxContent>
                  <w:p>
                    <w:pPr>
                      <w:spacing w:before="4"/>
                      <w:ind w:left="0" w:right="0" w:firstLine="0"/>
                      <w:jc w:val="left"/>
                      <w:rPr>
                        <w:sz w:val="8"/>
                      </w:rPr>
                    </w:pPr>
                    <w:r>
                      <w:rPr>
                        <w:w w:val="110"/>
                        <w:sz w:val="8"/>
                      </w:rPr>
                      <w:t>IADC2</w:t>
                    </w:r>
                  </w:p>
                </w:txbxContent>
              </v:textbox>
              <w10:wrap type="none"/>
            </v:shape>
            <v:shape style="position:absolute;left:3111;top:1812;width:292;height:204" type="#_x0000_t202" filled="false" stroked="false">
              <v:textbox inset="0,0,0,0">
                <w:txbxContent>
                  <w:p>
                    <w:pPr>
                      <w:spacing w:line="273" w:lineRule="auto" w:before="4"/>
                      <w:ind w:left="39" w:right="3" w:hanging="40"/>
                      <w:jc w:val="left"/>
                      <w:rPr>
                        <w:sz w:val="8"/>
                      </w:rPr>
                    </w:pPr>
                    <w:r>
                      <w:rPr>
                        <w:w w:val="110"/>
                        <w:sz w:val="8"/>
                      </w:rPr>
                      <w:t>Remo Shunt</w:t>
                    </w:r>
                  </w:p>
                </w:txbxContent>
              </v:textbox>
              <w10:wrap type="none"/>
            </v:shape>
            <v:shape style="position:absolute;left:5256;top:2013;width:304;height:98" type="#_x0000_t202" filled="false" stroked="false">
              <v:textbox inset="0,0,0,0">
                <w:txbxContent>
                  <w:p>
                    <w:pPr>
                      <w:spacing w:before="4"/>
                      <w:ind w:left="0" w:right="0" w:firstLine="0"/>
                      <w:jc w:val="left"/>
                      <w:rPr>
                        <w:sz w:val="8"/>
                      </w:rPr>
                    </w:pPr>
                    <w:r>
                      <w:rPr>
                        <w:w w:val="110"/>
                        <w:sz w:val="8"/>
                      </w:rPr>
                      <w:t>IADC3</w:t>
                    </w:r>
                  </w:p>
                </w:txbxContent>
              </v:textbox>
              <w10:wrap type="none"/>
            </v:shape>
            <v:shape style="position:absolute;left:3314;top:2402;width:104;height:98" type="#_x0000_t202" filled="false" stroked="false">
              <v:textbox inset="0,0,0,0">
                <w:txbxContent>
                  <w:p>
                    <w:pPr>
                      <w:spacing w:before="4"/>
                      <w:ind w:left="0" w:right="0" w:firstLine="0"/>
                      <w:jc w:val="left"/>
                      <w:rPr>
                        <w:sz w:val="8"/>
                      </w:rPr>
                    </w:pPr>
                    <w:r>
                      <w:rPr>
                        <w:w w:val="110"/>
                        <w:sz w:val="8"/>
                      </w:rPr>
                      <w:t>IB</w:t>
                    </w:r>
                  </w:p>
                </w:txbxContent>
              </v:textbox>
              <w10:wrap type="none"/>
            </v:shape>
            <v:shape style="position:absolute;left:3669;top:2569;width:185;height:98" type="#_x0000_t202" filled="false" stroked="false">
              <v:textbox inset="0,0,0,0">
                <w:txbxContent>
                  <w:p>
                    <w:pPr>
                      <w:spacing w:before="4"/>
                      <w:ind w:left="0" w:right="0" w:firstLine="0"/>
                      <w:jc w:val="left"/>
                      <w:rPr>
                        <w:sz w:val="8"/>
                      </w:rPr>
                    </w:pPr>
                    <w:r>
                      <w:rPr>
                        <w:w w:val="110"/>
                        <w:sz w:val="8"/>
                      </w:rPr>
                      <w:t>INP</w:t>
                    </w:r>
                  </w:p>
                </w:txbxContent>
              </v:textbox>
              <w10:wrap type="none"/>
            </v:shape>
            <v:shape style="position:absolute;left:4545;top:2593;width:144;height:98" type="#_x0000_t202" filled="false" stroked="false">
              <v:textbox inset="0,0,0,0">
                <w:txbxContent>
                  <w:p>
                    <w:pPr>
                      <w:spacing w:before="4"/>
                      <w:ind w:left="0" w:right="0" w:firstLine="0"/>
                      <w:jc w:val="left"/>
                      <w:rPr>
                        <w:sz w:val="8"/>
                      </w:rPr>
                    </w:pPr>
                    <w:r>
                      <w:rPr>
                        <w:w w:val="110"/>
                        <w:sz w:val="8"/>
                      </w:rPr>
                      <w:t>SP</w:t>
                    </w:r>
                  </w:p>
                </w:txbxContent>
              </v:textbox>
              <w10:wrap type="none"/>
            </v:shape>
            <v:shape style="position:absolute;left:5256;top:2593;width:304;height:98" type="#_x0000_t202" filled="false" stroked="false">
              <v:textbox inset="0,0,0,0">
                <w:txbxContent>
                  <w:p>
                    <w:pPr>
                      <w:spacing w:before="4"/>
                      <w:ind w:left="0" w:right="0" w:firstLine="0"/>
                      <w:jc w:val="left"/>
                      <w:rPr>
                        <w:sz w:val="8"/>
                      </w:rPr>
                    </w:pPr>
                    <w:r>
                      <w:rPr>
                        <w:w w:val="110"/>
                        <w:sz w:val="8"/>
                      </w:rPr>
                      <w:t>IADC4</w:t>
                    </w:r>
                  </w:p>
                </w:txbxContent>
              </v:textbox>
              <w10:wrap type="none"/>
            </v:shape>
            <v:shape style="position:absolute;left:3124;top:2689;width:331;height:204" type="#_x0000_t202" filled="false" stroked="false">
              <v:textbox inset="0,0,0,0">
                <w:txbxContent>
                  <w:p>
                    <w:pPr>
                      <w:spacing w:line="273" w:lineRule="auto" w:before="4"/>
                      <w:ind w:left="39" w:right="3" w:hanging="40"/>
                      <w:jc w:val="left"/>
                      <w:rPr>
                        <w:sz w:val="8"/>
                      </w:rPr>
                    </w:pPr>
                    <w:r>
                      <w:rPr>
                        <w:w w:val="110"/>
                        <w:sz w:val="8"/>
                      </w:rPr>
                      <w:t>Remote Shunt</w:t>
                    </w:r>
                  </w:p>
                </w:txbxContent>
              </v:textbox>
              <w10:wrap type="none"/>
            </v:shape>
            <v:shape style="position:absolute;left:4557;top:2889;width:149;height:98" type="#_x0000_t202" filled="false" stroked="false">
              <v:textbox inset="0,0,0,0">
                <w:txbxContent>
                  <w:p>
                    <w:pPr>
                      <w:spacing w:before="4"/>
                      <w:ind w:left="0" w:right="0" w:firstLine="0"/>
                      <w:jc w:val="left"/>
                      <w:rPr>
                        <w:sz w:val="8"/>
                      </w:rPr>
                    </w:pPr>
                    <w:r>
                      <w:rPr>
                        <w:w w:val="110"/>
                        <w:sz w:val="8"/>
                      </w:rPr>
                      <w:t>SN</w:t>
                    </w:r>
                  </w:p>
                </w:txbxContent>
              </v:textbox>
              <w10:wrap type="none"/>
            </v:shape>
            <v:shape style="position:absolute;left:5256;top:2889;width:304;height:98" type="#_x0000_t202" filled="false" stroked="false">
              <v:textbox inset="0,0,0,0">
                <w:txbxContent>
                  <w:p>
                    <w:pPr>
                      <w:spacing w:before="4"/>
                      <w:ind w:left="0" w:right="0" w:firstLine="0"/>
                      <w:jc w:val="left"/>
                      <w:rPr>
                        <w:sz w:val="8"/>
                      </w:rPr>
                    </w:pPr>
                    <w:r>
                      <w:rPr>
                        <w:w w:val="110"/>
                        <w:sz w:val="8"/>
                      </w:rPr>
                      <w:t>IADC5</w:t>
                    </w:r>
                  </w:p>
                </w:txbxContent>
              </v:textbox>
              <w10:wrap type="none"/>
            </v:shape>
            <v:shape style="position:absolute;left:3656;top:3013;width:190;height:98" type="#_x0000_t202" filled="false" stroked="false">
              <v:textbox inset="0,0,0,0">
                <w:txbxContent>
                  <w:p>
                    <w:pPr>
                      <w:spacing w:before="4"/>
                      <w:ind w:left="0" w:right="0" w:firstLine="0"/>
                      <w:jc w:val="left"/>
                      <w:rPr>
                        <w:sz w:val="8"/>
                      </w:rPr>
                    </w:pPr>
                    <w:r>
                      <w:rPr>
                        <w:w w:val="110"/>
                        <w:sz w:val="8"/>
                      </w:rPr>
                      <w:t>INN</w:t>
                    </w:r>
                  </w:p>
                </w:txbxContent>
              </v:textbox>
              <w10:wrap type="none"/>
            </v:shape>
            <v:shape style="position:absolute;left:3312;top:3270;width:109;height:98" type="#_x0000_t202" filled="false" stroked="false">
              <v:textbox inset="0,0,0,0">
                <w:txbxContent>
                  <w:p>
                    <w:pPr>
                      <w:spacing w:before="4"/>
                      <w:ind w:left="0" w:right="0" w:firstLine="0"/>
                      <w:jc w:val="left"/>
                      <w:rPr>
                        <w:sz w:val="8"/>
                      </w:rPr>
                    </w:pPr>
                    <w:r>
                      <w:rPr>
                        <w:w w:val="110"/>
                        <w:sz w:val="8"/>
                      </w:rPr>
                      <w:t>IC</w:t>
                    </w:r>
                  </w:p>
                </w:txbxContent>
              </v:textbox>
              <w10:wrap type="none"/>
            </v:shape>
            <v:shape style="position:absolute;left:3673;top:3419;width:185;height:98" type="#_x0000_t202" filled="false" stroked="false">
              <v:textbox inset="0,0,0,0">
                <w:txbxContent>
                  <w:p>
                    <w:pPr>
                      <w:spacing w:before="4"/>
                      <w:ind w:left="0" w:right="0" w:firstLine="0"/>
                      <w:jc w:val="left"/>
                      <w:rPr>
                        <w:sz w:val="8"/>
                      </w:rPr>
                    </w:pPr>
                    <w:r>
                      <w:rPr>
                        <w:w w:val="110"/>
                        <w:sz w:val="8"/>
                      </w:rPr>
                      <w:t>INP</w:t>
                    </w:r>
                  </w:p>
                </w:txbxContent>
              </v:textbox>
              <w10:wrap type="none"/>
            </v:shape>
            <v:shape style="position:absolute;left:4549;top:3444;width:144;height:98" type="#_x0000_t202" filled="false" stroked="false">
              <v:textbox inset="0,0,0,0">
                <w:txbxContent>
                  <w:p>
                    <w:pPr>
                      <w:spacing w:before="4"/>
                      <w:ind w:left="0" w:right="0" w:firstLine="0"/>
                      <w:jc w:val="left"/>
                      <w:rPr>
                        <w:sz w:val="8"/>
                      </w:rPr>
                    </w:pPr>
                    <w:r>
                      <w:rPr>
                        <w:w w:val="110"/>
                        <w:sz w:val="8"/>
                      </w:rPr>
                      <w:t>SP</w:t>
                    </w:r>
                  </w:p>
                </w:txbxContent>
              </v:textbox>
              <w10:wrap type="none"/>
            </v:shape>
            <v:shape style="position:absolute;left:5268;top:3444;width:304;height:98" type="#_x0000_t202" filled="false" stroked="false">
              <v:textbox inset="0,0,0,0">
                <w:txbxContent>
                  <w:p>
                    <w:pPr>
                      <w:spacing w:before="4"/>
                      <w:ind w:left="0" w:right="0" w:firstLine="0"/>
                      <w:jc w:val="left"/>
                      <w:rPr>
                        <w:sz w:val="8"/>
                      </w:rPr>
                    </w:pPr>
                    <w:r>
                      <w:rPr>
                        <w:w w:val="110"/>
                        <w:sz w:val="8"/>
                      </w:rPr>
                      <w:t>IADC6</w:t>
                    </w:r>
                  </w:p>
                </w:txbxContent>
              </v:textbox>
              <w10:wrap type="none"/>
            </v:shape>
            <v:shape style="position:absolute;left:3136;top:3539;width:331;height:204" type="#_x0000_t202" filled="false" stroked="false">
              <v:textbox inset="0,0,0,0">
                <w:txbxContent>
                  <w:p>
                    <w:pPr>
                      <w:spacing w:line="273" w:lineRule="auto" w:before="4"/>
                      <w:ind w:left="39" w:right="3" w:hanging="40"/>
                      <w:jc w:val="left"/>
                      <w:rPr>
                        <w:sz w:val="8"/>
                      </w:rPr>
                    </w:pPr>
                    <w:r>
                      <w:rPr>
                        <w:w w:val="110"/>
                        <w:sz w:val="8"/>
                      </w:rPr>
                      <w:t>Remote Shunt</w:t>
                    </w:r>
                  </w:p>
                </w:txbxContent>
              </v:textbox>
              <w10:wrap type="none"/>
            </v:shape>
            <v:shape style="position:absolute;left:4560;top:3740;width:149;height:98" type="#_x0000_t202" filled="false" stroked="false">
              <v:textbox inset="0,0,0,0">
                <w:txbxContent>
                  <w:p>
                    <w:pPr>
                      <w:spacing w:before="4"/>
                      <w:ind w:left="0" w:right="0" w:firstLine="0"/>
                      <w:jc w:val="left"/>
                      <w:rPr>
                        <w:sz w:val="8"/>
                      </w:rPr>
                    </w:pPr>
                    <w:r>
                      <w:rPr>
                        <w:w w:val="110"/>
                        <w:sz w:val="8"/>
                      </w:rPr>
                      <w:t>SN</w:t>
                    </w:r>
                  </w:p>
                </w:txbxContent>
              </v:textbox>
              <w10:wrap type="none"/>
            </v:shape>
            <v:shape style="position:absolute;left:5259;top:3740;width:304;height:98" type="#_x0000_t202" filled="false" stroked="false">
              <v:textbox inset="0,0,0,0">
                <w:txbxContent>
                  <w:p>
                    <w:pPr>
                      <w:spacing w:before="4"/>
                      <w:ind w:left="0" w:right="0" w:firstLine="0"/>
                      <w:jc w:val="left"/>
                      <w:rPr>
                        <w:sz w:val="8"/>
                      </w:rPr>
                    </w:pPr>
                    <w:r>
                      <w:rPr>
                        <w:w w:val="110"/>
                        <w:sz w:val="8"/>
                      </w:rPr>
                      <w:t>IADC7</w:t>
                    </w:r>
                  </w:p>
                </w:txbxContent>
              </v:textbox>
              <w10:wrap type="none"/>
            </v:shape>
            <v:shape style="position:absolute;left:7552;top:3719;width:95;height:74" type="#_x0000_t202" filled="false" stroked="false">
              <v:textbox inset="0,0,0,0">
                <w:txbxContent>
                  <w:p>
                    <w:pPr>
                      <w:spacing w:before="3"/>
                      <w:ind w:left="0" w:right="0" w:firstLine="0"/>
                      <w:jc w:val="left"/>
                      <w:rPr>
                        <w:sz w:val="6"/>
                      </w:rPr>
                    </w:pPr>
                    <w:r>
                      <w:rPr>
                        <w:w w:val="110"/>
                        <w:sz w:val="6"/>
                      </w:rPr>
                      <w:t>22</w:t>
                    </w:r>
                  </w:p>
                </w:txbxContent>
              </v:textbox>
              <w10:wrap type="none"/>
            </v:shape>
            <v:shape style="position:absolute;left:3660;top:3863;width:190;height:98" type="#_x0000_t202" filled="false" stroked="false">
              <v:textbox inset="0,0,0,0">
                <w:txbxContent>
                  <w:p>
                    <w:pPr>
                      <w:spacing w:before="4"/>
                      <w:ind w:left="0" w:right="0" w:firstLine="0"/>
                      <w:jc w:val="left"/>
                      <w:rPr>
                        <w:sz w:val="8"/>
                      </w:rPr>
                    </w:pPr>
                    <w:r>
                      <w:rPr>
                        <w:w w:val="110"/>
                        <w:sz w:val="8"/>
                      </w:rPr>
                      <w:t>INN</w:t>
                    </w:r>
                  </w:p>
                </w:txbxContent>
              </v:textbox>
              <w10:wrap type="none"/>
            </v:shape>
            <v:shape style="position:absolute;left:3895;top:3448;width:600;height:494" type="#_x0000_t202" filled="false" stroked="true" strokeweight=".132214pt" strokecolor="#000000">
              <v:textbox inset="0,0,0,0">
                <w:txbxContent>
                  <w:p>
                    <w:pPr>
                      <w:spacing w:line="240" w:lineRule="auto" w:before="0"/>
                      <w:rPr>
                        <w:sz w:val="10"/>
                      </w:rPr>
                    </w:pPr>
                  </w:p>
                  <w:p>
                    <w:pPr>
                      <w:spacing w:before="76"/>
                      <w:ind w:left="143" w:right="0" w:firstLine="0"/>
                      <w:jc w:val="left"/>
                      <w:rPr>
                        <w:sz w:val="8"/>
                      </w:rPr>
                    </w:pPr>
                    <w:r>
                      <w:rPr>
                        <w:w w:val="110"/>
                        <w:sz w:val="8"/>
                      </w:rPr>
                      <w:t>71M6xx3</w:t>
                    </w:r>
                  </w:p>
                </w:txbxContent>
              </v:textbox>
              <v:stroke dashstyle="solid"/>
              <w10:wrap type="none"/>
            </v:shape>
            <v:shape style="position:absolute;left:3892;top:2597;width:600;height:494" type="#_x0000_t202" filled="false" stroked="true" strokeweight=".132214pt" strokecolor="#000000">
              <v:textbox inset="0,0,0,0">
                <w:txbxContent>
                  <w:p>
                    <w:pPr>
                      <w:spacing w:line="240" w:lineRule="auto" w:before="0"/>
                      <w:rPr>
                        <w:sz w:val="10"/>
                      </w:rPr>
                    </w:pPr>
                  </w:p>
                  <w:p>
                    <w:pPr>
                      <w:spacing w:before="76"/>
                      <w:ind w:left="143" w:right="0" w:firstLine="0"/>
                      <w:jc w:val="left"/>
                      <w:rPr>
                        <w:sz w:val="8"/>
                      </w:rPr>
                    </w:pPr>
                    <w:r>
                      <w:rPr>
                        <w:w w:val="110"/>
                        <w:sz w:val="8"/>
                      </w:rPr>
                      <w:t>71M6xx3</w:t>
                    </w:r>
                  </w:p>
                </w:txbxContent>
              </v:textbox>
              <v:stroke dashstyle="solid"/>
              <w10:wrap type="none"/>
            </v:shape>
            <v:shape style="position:absolute;left:5613;top:4038;width:3545;height:394" type="#_x0000_t202" filled="true" fillcolor="#dadada" stroked="false">
              <v:textbox inset="0,0,0,0">
                <w:txbxContent>
                  <w:p>
                    <w:pPr>
                      <w:spacing w:line="240" w:lineRule="auto" w:before="0"/>
                      <w:rPr>
                        <w:sz w:val="14"/>
                      </w:rPr>
                    </w:pPr>
                  </w:p>
                  <w:p>
                    <w:pPr>
                      <w:spacing w:before="82"/>
                      <w:ind w:left="1469" w:right="1492" w:firstLine="0"/>
                      <w:jc w:val="center"/>
                      <w:rPr>
                        <w:sz w:val="13"/>
                      </w:rPr>
                    </w:pPr>
                    <w:r>
                      <w:rPr>
                        <w:sz w:val="13"/>
                      </w:rPr>
                      <w:t>71M6543</w:t>
                    </w:r>
                  </w:p>
                </w:txbxContent>
              </v:textbox>
              <v:fill type="solid"/>
              <w10:wrap type="none"/>
            </v:shape>
            <v:shape style="position:absolute;left:7561;top:2905;width:95;height:74" type="#_x0000_t202" filled="false" stroked="false">
              <v:textbox inset="0,0,0,0">
                <w:txbxContent>
                  <w:p>
                    <w:pPr>
                      <w:spacing w:before="3"/>
                      <w:ind w:left="0" w:right="0" w:firstLine="0"/>
                      <w:jc w:val="left"/>
                      <w:rPr>
                        <w:sz w:val="6"/>
                      </w:rPr>
                    </w:pPr>
                    <w:r>
                      <w:rPr>
                        <w:w w:val="110"/>
                        <w:sz w:val="6"/>
                      </w:rPr>
                      <w:t>22</w:t>
                    </w:r>
                  </w:p>
                </w:txbxContent>
              </v:textbox>
              <w10:wrap type="none"/>
            </v:shape>
            <v:shape style="position:absolute;left:7561;top:1993;width:95;height:74" type="#_x0000_t202" filled="false" stroked="false">
              <v:textbox inset="0,0,0,0">
                <w:txbxContent>
                  <w:p>
                    <w:pPr>
                      <w:spacing w:before="3"/>
                      <w:ind w:left="0" w:right="0" w:firstLine="0"/>
                      <w:jc w:val="left"/>
                      <w:rPr>
                        <w:sz w:val="6"/>
                      </w:rPr>
                    </w:pPr>
                    <w:r>
                      <w:rPr>
                        <w:w w:val="110"/>
                        <w:sz w:val="6"/>
                      </w:rPr>
                      <w:t>22</w:t>
                    </w:r>
                  </w:p>
                </w:txbxContent>
              </v:textbox>
              <w10:wrap type="none"/>
            </v:shape>
            <v:shape style="position:absolute;left:5911;top:1679;width:741;height:2360" type="#_x0000_t202" filled="true" fillcolor="#ffffff" stroked="true" strokeweight=".133077pt" strokecolor="#000000">
              <v:textbox inset="0,0,0,0">
                <w:txbxContent>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1"/>
                      <w:rPr>
                        <w:sz w:val="9"/>
                      </w:rPr>
                    </w:pPr>
                  </w:p>
                  <w:p>
                    <w:pPr>
                      <w:spacing w:line="273" w:lineRule="auto" w:before="0"/>
                      <w:ind w:left="176" w:right="199" w:firstLine="49"/>
                      <w:jc w:val="left"/>
                      <w:rPr>
                        <w:sz w:val="8"/>
                      </w:rPr>
                    </w:pPr>
                    <w:r>
                      <w:rPr>
                        <w:w w:val="110"/>
                        <w:sz w:val="8"/>
                      </w:rPr>
                      <w:t>Digital Isolation Interface</w:t>
                    </w:r>
                  </w:p>
                </w:txbxContent>
              </v:textbox>
              <v:fill type="solid"/>
              <v:stroke dashstyle="solid"/>
              <w10:wrap type="none"/>
            </v:shape>
            <v:shape style="position:absolute;left:7661;top:858;width:390;height:167" type="#_x0000_t202" filled="true" fillcolor="#ffffff" stroked="true" strokeweight=".132814pt" strokecolor="#000000">
              <v:textbox inset="0,0,0,0">
                <w:txbxContent>
                  <w:p>
                    <w:pPr>
                      <w:spacing w:line="91" w:lineRule="exact" w:before="0"/>
                      <w:ind w:left="121" w:right="0" w:firstLine="0"/>
                      <w:jc w:val="left"/>
                      <w:rPr>
                        <w:sz w:val="8"/>
                      </w:rPr>
                    </w:pPr>
                    <w:r>
                      <w:rPr>
                        <w:w w:val="110"/>
                        <w:sz w:val="8"/>
                      </w:rPr>
                      <w:t>FIR</w:t>
                    </w:r>
                  </w:p>
                </w:txbxContent>
              </v:textbox>
              <v:fill type="solid"/>
              <v:stroke dashstyle="solid"/>
              <w10:wrap type="none"/>
            </v:shape>
            <v:shape style="position:absolute;left:8374;top:2333;width:366;height:98" type="#_x0000_t202" filled="false" stroked="false">
              <v:textbox inset="0,0,0,0">
                <w:txbxContent>
                  <w:p>
                    <w:pPr>
                      <w:spacing w:before="4"/>
                      <w:ind w:left="0" w:right="0" w:firstLine="0"/>
                      <w:jc w:val="left"/>
                      <w:rPr>
                        <w:sz w:val="8"/>
                      </w:rPr>
                    </w:pPr>
                    <w:r>
                      <w:rPr>
                        <w:w w:val="110"/>
                        <w:sz w:val="8"/>
                      </w:rPr>
                      <w:t>CE RAM</w:t>
                    </w:r>
                  </w:p>
                </w:txbxContent>
              </v:textbox>
              <w10:wrap type="none"/>
            </v:shape>
            <v:shape style="position:absolute;left:6103;top:410;width:218;height:98" type="#_x0000_t202" filled="false" stroked="false">
              <v:textbox inset="0,0,0,0">
                <w:txbxContent>
                  <w:p>
                    <w:pPr>
                      <w:spacing w:before="4"/>
                      <w:ind w:left="0" w:right="0" w:firstLine="0"/>
                      <w:jc w:val="left"/>
                      <w:rPr>
                        <w:sz w:val="8"/>
                      </w:rPr>
                    </w:pPr>
                    <w:r>
                      <w:rPr>
                        <w:w w:val="110"/>
                        <w:sz w:val="8"/>
                      </w:rPr>
                      <w:t>MUX</w:t>
                    </w:r>
                  </w:p>
                </w:txbxContent>
              </v:textbox>
              <w10:wrap type="none"/>
            </v:shape>
            <v:shape style="position:absolute;left:6801;top:916;width:267;height:98" type="#_x0000_t202" filled="false" stroked="false">
              <v:textbox inset="0,0,0,0">
                <w:txbxContent>
                  <w:p>
                    <w:pPr>
                      <w:spacing w:before="4"/>
                      <w:ind w:left="0" w:right="0" w:firstLine="0"/>
                      <w:jc w:val="left"/>
                      <w:rPr>
                        <w:sz w:val="8"/>
                      </w:rPr>
                    </w:pPr>
                    <w:r>
                      <w:rPr>
                        <w:w w:val="110"/>
                        <w:sz w:val="8"/>
                      </w:rPr>
                      <w:t>VADC</w:t>
                    </w:r>
                  </w:p>
                </w:txbxContent>
              </v:textbox>
              <w10:wrap type="none"/>
            </v:shape>
            <v:shape style="position:absolute;left:6651;top:586;width:400;height:296" type="#_x0000_t202" filled="true" fillcolor="#ffffff" stroked="true" strokeweight=".132127pt" strokecolor="#000000">
              <v:textbox inset="0,0,0,0">
                <w:txbxContent>
                  <w:p>
                    <w:pPr>
                      <w:spacing w:line="91" w:lineRule="exact" w:before="0"/>
                      <w:ind w:left="80" w:right="0" w:firstLine="0"/>
                      <w:jc w:val="left"/>
                      <w:rPr>
                        <w:sz w:val="8"/>
                      </w:rPr>
                    </w:pPr>
                    <w:r>
                      <w:rPr>
                        <w:w w:val="110"/>
                        <w:sz w:val="8"/>
                      </w:rPr>
                      <w:t>VREF</w:t>
                    </w:r>
                  </w:p>
                </w:txbxContent>
              </v:textbox>
              <v:fill type="solid"/>
              <v:stroke dashstyle="solid"/>
              <w10:wrap type="none"/>
            </v:shape>
            <v:shape style="position:absolute;left:4545;top:1717;width:144;height:98" type="#_x0000_t202" filled="false" stroked="false">
              <v:textbox inset="0,0,0,0">
                <w:txbxContent>
                  <w:p>
                    <w:pPr>
                      <w:spacing w:before="4"/>
                      <w:ind w:left="0" w:right="0" w:firstLine="0"/>
                      <w:jc w:val="left"/>
                      <w:rPr>
                        <w:sz w:val="8"/>
                      </w:rPr>
                    </w:pPr>
                    <w:r>
                      <w:rPr>
                        <w:w w:val="110"/>
                        <w:sz w:val="8"/>
                      </w:rPr>
                      <w:t>SP</w:t>
                    </w:r>
                  </w:p>
                </w:txbxContent>
              </v:textbox>
              <w10:wrap type="none"/>
            </v:shape>
            <v:shape style="position:absolute;left:3348;top:1812;width:95;height:98" type="#_x0000_t202" filled="false" stroked="false">
              <v:textbox inset="0,0,0,0">
                <w:txbxContent>
                  <w:p>
                    <w:pPr>
                      <w:spacing w:before="4"/>
                      <w:ind w:left="0" w:right="0" w:firstLine="0"/>
                      <w:jc w:val="left"/>
                      <w:rPr>
                        <w:sz w:val="8"/>
                      </w:rPr>
                    </w:pPr>
                    <w:r>
                      <w:rPr>
                        <w:w w:val="110"/>
                        <w:sz w:val="8"/>
                      </w:rPr>
                      <w:t>te</w:t>
                    </w:r>
                  </w:p>
                </w:txbxContent>
              </v:textbox>
              <w10:wrap type="none"/>
            </v:shape>
            <w10:wrap type="topAndBottom"/>
          </v:group>
        </w:pict>
      </w:r>
    </w:p>
    <w:p>
      <w:pPr>
        <w:tabs>
          <w:tab w:pos="7570" w:val="left" w:leader="none"/>
        </w:tabs>
        <w:spacing w:line="81" w:lineRule="exact" w:before="0"/>
        <w:ind w:left="4854" w:right="0" w:firstLine="0"/>
        <w:jc w:val="left"/>
        <w:rPr>
          <w:sz w:val="8"/>
        </w:rPr>
      </w:pPr>
      <w:r>
        <w:rPr>
          <w:w w:val="110"/>
          <w:position w:val="1"/>
          <w:sz w:val="8"/>
        </w:rPr>
        <w:t>*IN =</w:t>
      </w:r>
      <w:r>
        <w:rPr>
          <w:spacing w:val="-4"/>
          <w:w w:val="110"/>
          <w:position w:val="1"/>
          <w:sz w:val="8"/>
        </w:rPr>
        <w:t> </w:t>
      </w:r>
      <w:r>
        <w:rPr>
          <w:w w:val="110"/>
          <w:position w:val="1"/>
          <w:sz w:val="8"/>
        </w:rPr>
        <w:t>Neutral</w:t>
      </w:r>
      <w:r>
        <w:rPr>
          <w:spacing w:val="-1"/>
          <w:w w:val="110"/>
          <w:position w:val="1"/>
          <w:sz w:val="8"/>
        </w:rPr>
        <w:t> </w:t>
      </w:r>
      <w:r>
        <w:rPr>
          <w:w w:val="110"/>
          <w:position w:val="1"/>
          <w:sz w:val="8"/>
        </w:rPr>
        <w:t>Current</w:t>
        <w:tab/>
      </w:r>
      <w:r>
        <w:rPr>
          <w:w w:val="110"/>
          <w:sz w:val="8"/>
        </w:rPr>
        <w:t>9/17/2010</w:t>
      </w:r>
    </w:p>
    <w:p>
      <w:pPr>
        <w:pStyle w:val="BodyText"/>
        <w:spacing w:before="5"/>
        <w:rPr>
          <w:sz w:val="12"/>
        </w:rPr>
      </w:pPr>
    </w:p>
    <w:p>
      <w:pPr>
        <w:spacing w:before="0"/>
        <w:ind w:left="1313" w:right="1278" w:firstLine="0"/>
        <w:jc w:val="center"/>
        <w:rPr>
          <w:b/>
          <w:sz w:val="20"/>
        </w:rPr>
      </w:pPr>
      <w:bookmarkStart w:name="_bookmark5" w:id="14"/>
      <w:bookmarkEnd w:id="14"/>
      <w:r>
        <w:rPr/>
      </w:r>
      <w:r>
        <w:rPr>
          <w:b/>
          <w:sz w:val="20"/>
        </w:rPr>
        <w:t>Figure 2: AFE Block Diagram (Shunts: One-Local, Three-Remotes)</w:t>
      </w:r>
    </w:p>
    <w:p>
      <w:pPr>
        <w:spacing w:after="0"/>
        <w:jc w:val="center"/>
        <w:rPr>
          <w:sz w:val="20"/>
        </w:rPr>
        <w:sectPr>
          <w:pgSz w:w="12240" w:h="15840"/>
          <w:pgMar w:header="727" w:footer="819" w:top="960" w:bottom="1000" w:left="820" w:right="860"/>
        </w:sectPr>
      </w:pPr>
    </w:p>
    <w:p>
      <w:pPr>
        <w:pStyle w:val="BodyText"/>
        <w:rPr>
          <w:b/>
        </w:rPr>
      </w:pPr>
    </w:p>
    <w:p>
      <w:pPr>
        <w:pStyle w:val="BodyText"/>
        <w:spacing w:before="5"/>
        <w:rPr>
          <w:b/>
          <w:sz w:val="23"/>
        </w:rPr>
      </w:pPr>
    </w:p>
    <w:p>
      <w:pPr>
        <w:pStyle w:val="BodyText"/>
        <w:spacing w:before="93"/>
        <w:ind w:left="619" w:right="649"/>
      </w:pPr>
      <w:r>
        <w:rPr/>
        <w:t>The 71M6543 AFE can also be directly interfaced to Current Transformers (CTs), as seen in </w:t>
      </w:r>
      <w:hyperlink w:history="true" w:anchor="_bookmark7">
        <w:r>
          <w:rPr>
            <w:color w:val="0000FF"/>
          </w:rPr>
          <w:t>Figure 3</w:t>
        </w:r>
        <w:r>
          <w:rPr/>
          <w:t>. </w:t>
        </w:r>
      </w:hyperlink>
      <w:r>
        <w:rPr/>
        <w:t>In this case, all voltage and current channels are multiplexed into a single second-order sigma-delta ADC in the 71M6543 and the 71M6xx3 remote isolated sensors are not used. The fourth CT and the measurement of Neutral current via the IADC0-IADC1 current channel are optional.</w:t>
      </w:r>
    </w:p>
    <w:p>
      <w:pPr>
        <w:pStyle w:val="BodyText"/>
        <w:spacing w:before="119"/>
        <w:ind w:left="620"/>
      </w:pPr>
      <w:r>
        <w:rPr/>
        <w:t>See </w:t>
      </w:r>
      <w:hyperlink w:history="true" w:anchor="_bookmark181">
        <w:r>
          <w:rPr>
            <w:color w:val="0000FF"/>
          </w:rPr>
          <w:t>Figure 32 </w:t>
        </w:r>
      </w:hyperlink>
      <w:r>
        <w:rPr/>
        <w:t>for the meter wiring configuration corresponding to </w:t>
      </w:r>
      <w:hyperlink w:history="true" w:anchor="_bookmark7">
        <w:r>
          <w:rPr>
            <w:color w:val="0000FF"/>
          </w:rPr>
          <w:t>Figure 3</w:t>
        </w:r>
        <w:r>
          <w:rPr/>
          <w:t>.</w:t>
        </w:r>
      </w:hyperlink>
    </w:p>
    <w:p>
      <w:pPr>
        <w:pStyle w:val="BodyText"/>
        <w:spacing w:before="4"/>
        <w:rPr>
          <w:sz w:val="12"/>
        </w:rPr>
      </w:pPr>
    </w:p>
    <w:p>
      <w:pPr>
        <w:spacing w:before="0"/>
        <w:ind w:left="2039" w:right="1136" w:firstLine="0"/>
        <w:jc w:val="center"/>
        <w:rPr>
          <w:sz w:val="10"/>
        </w:rPr>
      </w:pPr>
      <w:r>
        <w:rPr>
          <w:w w:val="105"/>
          <w:sz w:val="10"/>
        </w:rPr>
        <w:t>VREF</w:t>
      </w:r>
    </w:p>
    <w:p>
      <w:pPr>
        <w:pStyle w:val="BodyText"/>
      </w:pPr>
    </w:p>
    <w:p>
      <w:pPr>
        <w:pStyle w:val="BodyText"/>
      </w:pPr>
    </w:p>
    <w:p>
      <w:pPr>
        <w:pStyle w:val="BodyText"/>
        <w:rPr>
          <w:sz w:val="12"/>
        </w:rPr>
      </w:pPr>
    </w:p>
    <w:p>
      <w:pPr>
        <w:pStyle w:val="BodyText"/>
        <w:spacing w:before="4"/>
        <w:rPr>
          <w:sz w:val="9"/>
        </w:rPr>
      </w:pPr>
    </w:p>
    <w:p>
      <w:pPr>
        <w:spacing w:before="0"/>
        <w:ind w:left="2797" w:right="0" w:firstLine="0"/>
        <w:jc w:val="left"/>
        <w:rPr>
          <w:sz w:val="10"/>
        </w:rPr>
      </w:pPr>
      <w:r>
        <w:rPr/>
        <w:pict>
          <v:group style="position:absolute;margin-left:181.066284pt;margin-top:-33.571854pt;width:254.65pt;height:290.2pt;mso-position-horizontal-relative:page;mso-position-vertical-relative:paragraph;z-index:-38847488" coordorigin="3621,-671" coordsize="5093,5804">
            <v:shape style="position:absolute;left:4684;top:-612;width:4027;height:5742" coordorigin="4685,-611" coordsize="4027,5742" path="m8712,-611l4685,-611,4685,-553,4685,5130,8712,5130,8712,-553,8712,-611xe" filled="true" fillcolor="#dadada" stroked="false">
              <v:path arrowok="t"/>
              <v:fill type="solid"/>
            </v:shape>
            <v:rect style="position:absolute;left:4684;top:-612;width:4027;height:5742" filled="false" stroked="true" strokeweight=".156209pt" strokecolor="#000000">
              <v:stroke dashstyle="solid"/>
            </v:rect>
            <v:rect style="position:absolute;left:6858;top:-231;width:703;height:1231" filled="true" fillcolor="#ffffff" stroked="false">
              <v:fill type="solid"/>
            </v:rect>
            <v:rect style="position:absolute;left:6858;top:-231;width:703;height:1231" filled="false" stroked="true" strokeweight=".156206pt" strokecolor="#000000">
              <v:stroke dashstyle="solid"/>
            </v:rect>
            <v:rect style="position:absolute;left:5098;top:-377;width:589;height:5156" filled="true" fillcolor="#ffffff" stroked="false">
              <v:fill type="solid"/>
            </v:rect>
            <v:rect style="position:absolute;left:5098;top:-377;width:589;height:5156" filled="false" stroked="true" strokeweight=".156197pt" strokecolor="#000000">
              <v:stroke dashstyle="solid"/>
            </v:rect>
            <v:line style="position:absolute" from="4735,4134" to="5033,4134" stroked="true" strokeweight=".156236pt" strokecolor="#000000">
              <v:stroke dashstyle="solid"/>
            </v:line>
            <v:shape style="position:absolute;left:5015;top:4098;width:72;height:72" coordorigin="5016,4098" coordsize="72,72" path="m5016,4170l5022,4153,5024,4134,5022,4116,5016,4098,5088,4134,5016,4170xe" filled="true" fillcolor="#000000" stroked="false">
              <v:path arrowok="t"/>
              <v:fill type="solid"/>
            </v:shape>
            <v:rect style="position:absolute;left:6503;top:-670;width:118;height:118" filled="true" fillcolor="#ffffff" stroked="false">
              <v:fill type="solid"/>
            </v:rect>
            <v:rect style="position:absolute;left:6503;top:-670;width:118;height:118" filled="false" stroked="true" strokeweight=".156216pt" strokecolor="#000000">
              <v:stroke dashstyle="solid"/>
            </v:rect>
            <v:rect style="position:absolute;left:5921;top:-26;width:469;height:352" filled="true" fillcolor="#ffffff" stroked="false">
              <v:fill type="solid"/>
            </v:rect>
            <v:rect style="position:absolute;left:5921;top:-26;width:469;height:352" filled="false" stroked="true" strokeweight=".156222pt" strokecolor="#000000">
              <v:stroke dashstyle="solid"/>
            </v:rect>
            <v:shape style="position:absolute;left:6550;top:135;width:30;height:30" coordorigin="6551,136" coordsize="30,30" path="m6574,165l6557,165,6551,158,6551,150,6551,142,6557,136,6574,136,6580,142,6580,158,6574,165xe" filled="true" fillcolor="#000000" stroked="false">
              <v:path arrowok="t"/>
              <v:fill type="solid"/>
            </v:shape>
            <v:shape style="position:absolute;left:6550;top:135;width:30;height:30" coordorigin="6551,136" coordsize="30,30" path="m6551,150l6551,142,6557,136,6565,136,6574,136,6580,142,6580,150,6580,158,6574,165,6565,165,6557,165,6551,158,6551,150xe" filled="false" stroked="true" strokeweight=".468648pt" strokecolor="#000000">
              <v:path arrowok="t"/>
              <v:stroke dashstyle="solid"/>
            </v:shape>
            <v:line style="position:absolute" from="5687,473" to="6801,473" stroked="true" strokeweight=".156236pt" strokecolor="#000000">
              <v:stroke dashstyle="solid"/>
            </v:line>
            <v:shape style="position:absolute;left:6784;top:436;width:72;height:72" coordorigin="6784,437" coordsize="72,72" path="m6784,509l6790,491,6792,473,6790,454,6784,437,6856,473,6784,509xe" filled="true" fillcolor="#000000" stroked="false">
              <v:path arrowok="t"/>
              <v:fill type="solid"/>
            </v:shape>
            <v:line style="position:absolute" from="6390,150" to="6801,150" stroked="true" strokeweight=".156236pt" strokecolor="#000000">
              <v:stroke dashstyle="solid"/>
            </v:line>
            <v:shape style="position:absolute;left:6784;top:114;width:72;height:72" coordorigin="6784,114" coordsize="72,72" path="m6784,186l6790,169,6792,150,6790,132,6784,114,6856,150,6784,186xe" filled="true" fillcolor="#000000" stroked="false">
              <v:path arrowok="t"/>
              <v:fill type="solid"/>
            </v:shape>
            <v:shape style="position:absolute;left:6536;top:-260;width:59;height:411" coordorigin="6536,-260" coordsize="59,411" path="m6565,-143l6536,-157,6595,-186,6536,-216,6595,-245,6565,-260m6565,-143l6565,150e" filled="false" stroked="true" strokeweight=".156216pt" strokecolor="#000000">
              <v:path arrowok="t"/>
              <v:stroke dashstyle="solid"/>
            </v:shape>
            <v:line style="position:absolute" from="7561,414" to="7741,414" stroked="true" strokeweight=".156236pt" strokecolor="#000000">
              <v:stroke dashstyle="solid"/>
            </v:line>
            <v:shape style="position:absolute;left:7723;top:378;width:72;height:72" coordorigin="7724,378" coordsize="72,72" path="m7724,450l7730,432,7732,414,7730,396,7724,378,7795,414,7724,450xe" filled="true" fillcolor="#000000" stroked="false">
              <v:path arrowok="t"/>
              <v:fill type="solid"/>
            </v:shape>
            <v:line style="position:absolute" from="7678,385" to="7620,443" stroked="true" strokeweight=".156216pt" strokecolor="#000000">
              <v:stroke dashstyle="solid"/>
            </v:line>
            <v:rect style="position:absolute;left:7104;top:296;width:457;height:235" filled="false" stroked="true" strokeweight=".156228pt" strokecolor="#000000">
              <v:stroke dashstyle="solid"/>
            </v:rect>
            <v:line style="position:absolute" from="4735,3724" to="5033,3724" stroked="true" strokeweight=".156236pt" strokecolor="#000000">
              <v:stroke dashstyle="solid"/>
            </v:line>
            <v:shape style="position:absolute;left:5015;top:3688;width:72;height:72" coordorigin="5016,3688" coordsize="72,72" path="m5016,3760l5022,3743,5024,3724,5022,3706,5016,3688,5088,3724,5016,3760xe" filled="true" fillcolor="#000000" stroked="false">
              <v:path arrowok="t"/>
              <v:fill type="solid"/>
            </v:shape>
            <v:rect style="position:absolute;left:4628;top:-202;width:118;height:118" filled="true" fillcolor="#ffffff" stroked="false">
              <v:fill type="solid"/>
            </v:rect>
            <v:rect style="position:absolute;left:4628;top:-202;width:118;height:118" filled="false" stroked="true" strokeweight=".156216pt" strokecolor="#000000">
              <v:stroke dashstyle="solid"/>
            </v:rect>
            <v:line style="position:absolute" from="4746,-143" to="5044,-143" stroked="true" strokeweight=".156236pt" strokecolor="#000000">
              <v:stroke dashstyle="solid"/>
            </v:line>
            <v:shape style="position:absolute;left:5026;top:-179;width:72;height:72" coordorigin="5027,-178" coordsize="72,72" path="m5027,-107l5033,-124,5035,-143,5033,-161,5027,-178,5099,-143,5027,-107xe" filled="true" fillcolor="#000000" stroked="false">
              <v:path arrowok="t"/>
              <v:fill type="solid"/>
            </v:shape>
            <v:shape style="position:absolute;left:4627;top:207;width:472;height:121" type="#_x0000_t75" stroked="false">
              <v:imagedata r:id="rId62" o:title=""/>
            </v:shape>
            <v:rect style="position:absolute;left:4617;top:3665;width:118;height:118" filled="true" fillcolor="#ffffff" stroked="false">
              <v:fill type="solid"/>
            </v:rect>
            <v:rect style="position:absolute;left:4617;top:3665;width:118;height:118" filled="false" stroked="true" strokeweight=".156216pt" strokecolor="#000000">
              <v:stroke dashstyle="solid"/>
            </v:rect>
            <v:rect style="position:absolute;left:4628;top:1172;width:118;height:118" filled="true" fillcolor="#ffffff" stroked="false">
              <v:fill type="solid"/>
            </v:rect>
            <v:rect style="position:absolute;left:4628;top:1172;width:118;height:118" filled="false" stroked="true" strokeweight=".156216pt" strokecolor="#000000">
              <v:stroke dashstyle="solid"/>
            </v:rect>
            <v:rect style="position:absolute;left:4628;top:732;width:118;height:118" filled="true" fillcolor="#ffffff" stroked="false">
              <v:fill type="solid"/>
            </v:rect>
            <v:rect style="position:absolute;left:4628;top:732;width:118;height:118" filled="false" stroked="true" strokeweight=".156216pt" strokecolor="#000000">
              <v:stroke dashstyle="solid"/>
            </v:rect>
            <v:rect style="position:absolute;left:7781;top:-219;width:703;height:1249" filled="true" fillcolor="#ffffff" stroked="false">
              <v:fill type="solid"/>
            </v:rect>
            <v:rect style="position:absolute;left:7781;top:-219;width:703;height:1249" filled="false" stroked="true" strokeweight=".156206pt" strokecolor="#000000">
              <v:stroke dashstyle="solid"/>
            </v:rect>
            <v:rect style="position:absolute;left:4617;top:4075;width:118;height:118" filled="true" fillcolor="#ffffff" stroked="false">
              <v:fill type="solid"/>
            </v:rect>
            <v:rect style="position:absolute;left:4617;top:4075;width:118;height:118" filled="false" stroked="true" strokeweight=".156216pt" strokecolor="#000000">
              <v:stroke dashstyle="solid"/>
            </v:rect>
            <v:line style="position:absolute" from="4746,792" to="5044,792" stroked="true" strokeweight=".156236pt" strokecolor="#000000">
              <v:stroke dashstyle="solid"/>
            </v:line>
            <v:shape style="position:absolute;left:5026;top:755;width:72;height:72" coordorigin="5027,756" coordsize="72,72" path="m5027,827l5033,810,5035,792,5033,773,5027,756,5099,792,5027,827xe" filled="true" fillcolor="#000000" stroked="false">
              <v:path arrowok="t"/>
              <v:fill type="solid"/>
            </v:shape>
            <v:line style="position:absolute" from="4746,1231" to="5044,1231" stroked="true" strokeweight=".156236pt" strokecolor="#000000">
              <v:stroke dashstyle="solid"/>
            </v:line>
            <v:shape style="position:absolute;left:5026;top:1195;width:72;height:72" coordorigin="5027,1195" coordsize="72,72" path="m5027,1267l5033,1249,5035,1231,5033,1213,5027,1195,5099,1231,5027,1267xe" filled="true" fillcolor="#000000" stroked="false">
              <v:path arrowok="t"/>
              <v:fill type="solid"/>
            </v:shape>
            <v:shape style="position:absolute;left:3843;top:791;width:165;height:440" coordorigin="3843,791" coordsize="165,440" path="m3898,1231l3877,1227,3860,1216,3848,1199,3843,1178,3847,1157,3857,1139,3874,1126,3894,1121,3895,1121,3897,1121,3898,1121,3877,1118,3860,1107,3848,1090,3843,1068,3847,1047,3857,1029,3874,1016,3894,1011,3895,1011,3897,1011,3898,1011,3877,1008,3860,997,3848,980,3843,959,3847,937,3857,919,3874,907,3894,901,3895,901,3897,901,3898,901,3877,898,3860,887,3848,870,3843,849,3847,827,3857,809,3874,797,3894,792,3895,791,3897,791,3898,792m3898,1231l4008,1231m3898,792l4008,792e" filled="false" stroked="true" strokeweight=".156216pt" strokecolor="#000000">
              <v:path arrowok="t"/>
              <v:stroke dashstyle="solid"/>
            </v:shape>
            <v:line style="position:absolute" from="4629,792" to="4008,792" stroked="true" strokeweight=".156236pt" strokecolor="#000000">
              <v:stroke dashstyle="solid"/>
            </v:line>
            <v:line style="position:absolute" from="4629,1231" to="4008,1231" stroked="true" strokeweight=".156236pt" strokecolor="#000000">
              <v:stroke dashstyle="solid"/>
            </v:line>
            <v:line style="position:absolute" from="3871,627" to="3871,1360" stroked="true" strokeweight=".156196pt" strokecolor="#000000">
              <v:stroke dashstyle="solid"/>
            </v:line>
            <v:line style="position:absolute" from="3795,598" to="3795,690" stroked="true" strokeweight=".156196pt" strokecolor="#000000">
              <v:stroke dashstyle="solid"/>
            </v:line>
            <v:shape style="position:absolute;left:3759;top:672;width:72;height:72" coordorigin="3759,673" coordsize="72,72" path="m3795,744l3759,673,3777,679,3795,681,3813,679,3831,673,3795,744xe" filled="true" fillcolor="#000000" stroked="false">
              <v:path arrowok="t"/>
              <v:fill type="solid"/>
            </v:shape>
            <v:shape style="position:absolute;left:3845;top:-143;width:154;height:411" coordorigin="3845,-143" coordsize="154,411" path="m3897,268l3877,264,3861,254,3850,238,3845,218,3849,198,3858,182,3874,170,3893,165,3894,165,3895,165,3897,165,3877,162,3861,152,3850,136,3845,116,3849,96,3858,79,3874,67,3893,63,3894,63,3895,63,3897,63,3877,59,3861,49,3850,33,3845,13,3849,-7,3858,-23,3874,-35,3893,-40,3894,-40,3895,-40,3897,-40,3877,-43,3861,-54,3850,-69,3845,-89,3849,-109,3858,-126,3874,-138,3893,-142,3894,-143,3895,-143,3897,-142m3897,-142l3999,-142e" filled="false" stroked="true" strokeweight=".156216pt" strokecolor="#000000">
              <v:path arrowok="t"/>
              <v:stroke dashstyle="solid"/>
            </v:shape>
            <v:line style="position:absolute" from="3871,-331" to="3871,401" stroked="true" strokeweight=".156196pt" strokecolor="#000000">
              <v:stroke dashstyle="solid"/>
            </v:line>
            <v:line style="position:absolute" from="3795,-361" to="3795,-268" stroked="true" strokeweight=".156196pt" strokecolor="#000000">
              <v:stroke dashstyle="solid"/>
            </v:line>
            <v:shape style="position:absolute;left:3759;top:-286;width:72;height:72" coordorigin="3759,-286" coordsize="72,72" path="m3795,-214l3759,-286,3777,-280,3795,-277,3814,-280,3831,-286,3795,-214xe" filled="true" fillcolor="#000000" stroked="false">
              <v:path arrowok="t"/>
              <v:fill type="solid"/>
            </v:shape>
            <v:line style="position:absolute" from="3999,-142" to="4629,-142" stroked="true" strokeweight=".156236pt" strokecolor="#000000">
              <v:stroke dashstyle="solid"/>
            </v:line>
            <v:rect style="position:absolute;left:4613;top:2117;width:118;height:118" filled="true" fillcolor="#ffffff" stroked="false">
              <v:fill type="solid"/>
            </v:rect>
            <v:rect style="position:absolute;left:4613;top:2117;width:118;height:118" filled="false" stroked="true" strokeweight=".156216pt" strokecolor="#000000">
              <v:stroke dashstyle="solid"/>
            </v:rect>
            <v:rect style="position:absolute;left:4613;top:1678;width:118;height:118" filled="true" fillcolor="#ffffff" stroked="false">
              <v:fill type="solid"/>
            </v:rect>
            <v:rect style="position:absolute;left:4613;top:1678;width:118;height:118" filled="false" stroked="true" strokeweight=".156216pt" strokecolor="#000000">
              <v:stroke dashstyle="solid"/>
            </v:rect>
            <v:line style="position:absolute" from="4731,1737" to="5029,1737" stroked="true" strokeweight=".156236pt" strokecolor="#000000">
              <v:stroke dashstyle="solid"/>
            </v:line>
            <v:shape style="position:absolute;left:5011;top:1701;width:72;height:72" coordorigin="5011,1701" coordsize="72,72" path="m5011,1773l5018,1755,5020,1737,5018,1719,5011,1701,5083,1737,5011,1773xe" filled="true" fillcolor="#000000" stroked="false">
              <v:path arrowok="t"/>
              <v:fill type="solid"/>
            </v:shape>
            <v:line style="position:absolute" from="4731,2177" to="5029,2177" stroked="true" strokeweight=".156236pt" strokecolor="#000000">
              <v:stroke dashstyle="solid"/>
            </v:line>
            <v:shape style="position:absolute;left:5011;top:2140;width:72;height:72" coordorigin="5011,2141" coordsize="72,72" path="m5011,2212l5018,2195,5020,2177,5018,2158,5011,2141,5083,2177,5011,2212xe" filled="true" fillcolor="#000000" stroked="false">
              <v:path arrowok="t"/>
              <v:fill type="solid"/>
            </v:shape>
            <v:shape style="position:absolute;left:3827;top:1737;width:165;height:440" coordorigin="3828,1737" coordsize="165,440" path="m3883,2177l3862,2173,3845,2162,3833,2145,3828,2124,3831,2102,3842,2084,3858,2072,3879,2067,3880,2067,3881,2067,3883,2067,3862,2063,3845,2052,3833,2035,3828,2014,3831,1992,3842,1974,3858,1962,3879,1957,3880,1957,3881,1957,3883,1957,3862,1953,3845,1942,3833,1925,3828,1904,3831,1883,3842,1865,3858,1852,3879,1847,3880,1847,3881,1847,3883,1847,3862,1844,3845,1832,3833,1815,3828,1794,3831,1773,3842,1755,3858,1742,3879,1737,3880,1737,3881,1737,3883,1737m3883,2177l3993,2177m3883,1737l3993,1737e" filled="false" stroked="true" strokeweight=".156216pt" strokecolor="#000000">
              <v:path arrowok="t"/>
              <v:stroke dashstyle="solid"/>
            </v:shape>
            <v:line style="position:absolute" from="4614,1737" to="3993,1737" stroked="true" strokeweight=".156236pt" strokecolor="#000000">
              <v:stroke dashstyle="solid"/>
            </v:line>
            <v:line style="position:absolute" from="4614,2177" to="3993,2177" stroked="true" strokeweight=".156236pt" strokecolor="#000000">
              <v:stroke dashstyle="solid"/>
            </v:line>
            <v:line style="position:absolute" from="3855,1573" to="3855,2305" stroked="true" strokeweight=".156196pt" strokecolor="#000000">
              <v:stroke dashstyle="solid"/>
            </v:line>
            <v:line style="position:absolute" from="3780,1544" to="3780,1636" stroked="true" strokeweight=".156196pt" strokecolor="#000000">
              <v:stroke dashstyle="solid"/>
            </v:line>
            <v:shape style="position:absolute;left:3743;top:1618;width:72;height:72" coordorigin="3744,1618" coordsize="72,72" path="m3780,1690l3744,1618,3761,1625,3780,1627,3798,1625,3816,1618,3780,1690xe" filled="true" fillcolor="#000000" stroked="false">
              <v:path arrowok="t"/>
              <v:fill type="solid"/>
            </v:shape>
            <v:rect style="position:absolute;left:4613;top:3068;width:118;height:118" filled="true" fillcolor="#ffffff" stroked="false">
              <v:fill type="solid"/>
            </v:rect>
            <v:rect style="position:absolute;left:4613;top:3068;width:118;height:118" filled="false" stroked="true" strokeweight=".156216pt" strokecolor="#000000">
              <v:stroke dashstyle="solid"/>
            </v:rect>
            <v:rect style="position:absolute;left:4613;top:2628;width:118;height:118" filled="true" fillcolor="#ffffff" stroked="false">
              <v:fill type="solid"/>
            </v:rect>
            <v:rect style="position:absolute;left:4613;top:2628;width:118;height:118" filled="false" stroked="true" strokeweight=".156216pt" strokecolor="#000000">
              <v:stroke dashstyle="solid"/>
            </v:rect>
            <v:line style="position:absolute" from="4731,2688" to="5029,2688" stroked="true" strokeweight=".156236pt" strokecolor="#000000">
              <v:stroke dashstyle="solid"/>
            </v:line>
            <v:shape style="position:absolute;left:5011;top:2651;width:72;height:72" coordorigin="5011,2652" coordsize="72,72" path="m5011,2724l5018,2706,5020,2688,5018,2669,5011,2652,5083,2688,5011,2724xe" filled="true" fillcolor="#000000" stroked="false">
              <v:path arrowok="t"/>
              <v:fill type="solid"/>
            </v:shape>
            <v:line style="position:absolute" from="4731,3127" to="5029,3127" stroked="true" strokeweight=".156236pt" strokecolor="#000000">
              <v:stroke dashstyle="solid"/>
            </v:line>
            <v:shape style="position:absolute;left:5011;top:3091;width:72;height:72" coordorigin="5011,3091" coordsize="72,72" path="m5011,3163l5018,3145,5020,3127,5018,3109,5011,3091,5083,3127,5011,3163xe" filled="true" fillcolor="#000000" stroked="false">
              <v:path arrowok="t"/>
              <v:fill type="solid"/>
            </v:shape>
            <v:shape style="position:absolute;left:3827;top:2687;width:165;height:440" coordorigin="3828,2688" coordsize="165,440" path="m3883,3127l3862,3124,3845,3112,3833,3095,3828,3074,3831,3053,3842,3035,3858,3022,3879,3017,3880,3017,3881,3017,3883,3017,3862,3014,3845,3003,3833,2986,3828,2964,3831,2943,3842,2925,3858,2912,3879,2907,3880,2907,3881,2907,3883,2907,3862,2904,3845,2893,3833,2876,3828,2855,3831,2833,3842,2815,3858,2803,3879,2797,3880,2797,3881,2797,3883,2797,3862,2794,3845,2783,3833,2766,3828,2745,3831,2723,3842,2705,3858,2693,3879,2688,3880,2688,3881,2688,3883,2688m3883,3127l3993,3127m3883,2688l3993,2688e" filled="false" stroked="true" strokeweight=".156216pt" strokecolor="#000000">
              <v:path arrowok="t"/>
              <v:stroke dashstyle="solid"/>
            </v:shape>
            <v:line style="position:absolute" from="4614,2688" to="3993,2688" stroked="true" strokeweight=".156236pt" strokecolor="#000000">
              <v:stroke dashstyle="solid"/>
            </v:line>
            <v:line style="position:absolute" from="4614,3127" to="3993,3127" stroked="true" strokeweight=".156236pt" strokecolor="#000000">
              <v:stroke dashstyle="solid"/>
            </v:line>
            <v:line style="position:absolute" from="3855,2523" to="3855,3256" stroked="true" strokeweight=".156196pt" strokecolor="#000000">
              <v:stroke dashstyle="solid"/>
            </v:line>
            <v:line style="position:absolute" from="3780,2494" to="3780,2586" stroked="true" strokeweight=".156196pt" strokecolor="#000000">
              <v:stroke dashstyle="solid"/>
            </v:line>
            <v:shape style="position:absolute;left:3743;top:2568;width:72;height:72" coordorigin="3744,2569" coordsize="72,72" path="m3780,2641l3744,2569,3761,2575,3780,2577,3798,2575,3816,2569,3780,2641xe" filled="true" fillcolor="#000000" stroked="false">
              <v:path arrowok="t"/>
              <v:fill type="solid"/>
            </v:shape>
            <v:line style="position:absolute" from="4732,4545" to="5030,4545" stroked="true" strokeweight=".156236pt" strokecolor="#000000">
              <v:stroke dashstyle="solid"/>
            </v:line>
            <v:shape style="position:absolute;left:5012;top:4508;width:72;height:72" coordorigin="5012,4509" coordsize="72,72" path="m5012,4581l5019,4563,5021,4545,5019,4526,5012,4509,5084,4545,5012,4581xe" filled="true" fillcolor="#000000" stroked="false">
              <v:path arrowok="t"/>
              <v:fill type="solid"/>
            </v:shape>
            <v:rect style="position:absolute;left:4614;top:4486;width:118;height:118" filled="true" fillcolor="#ffffff" stroked="false">
              <v:fill type="solid"/>
            </v:rect>
            <v:rect style="position:absolute;left:4614;top:4486;width:118;height:118" filled="false" stroked="true" strokeweight=".156216pt" strokecolor="#000000">
              <v:stroke dashstyle="solid"/>
            </v:rect>
            <v:line style="position:absolute" from="6565,-260" to="6563,-454" stroked="true" strokeweight=".156196pt" strokecolor="#000000">
              <v:stroke dashstyle="solid"/>
            </v:line>
            <v:shape style="position:absolute;left:6527;top:-553;width:72;height:109" coordorigin="6527,-553" coordsize="72,109" path="m6527,-444l6562,-553,6599,-445,6527,-444xe" filled="true" fillcolor="#000000" stroked="false">
              <v:path arrowok="t"/>
              <v:fill type="solid"/>
            </v:shape>
            <v:shape style="position:absolute;left:3687;top:-447;width:119;height:117" type="#_x0000_t202" filled="false" stroked="false">
              <v:textbox inset="0,0,0,0">
                <w:txbxContent>
                  <w:p>
                    <w:pPr>
                      <w:spacing w:before="0"/>
                      <w:ind w:left="0" w:right="0" w:firstLine="0"/>
                      <w:jc w:val="left"/>
                      <w:rPr>
                        <w:sz w:val="10"/>
                      </w:rPr>
                    </w:pPr>
                    <w:r>
                      <w:rPr>
                        <w:w w:val="105"/>
                        <w:sz w:val="10"/>
                      </w:rPr>
                      <w:t>IA</w:t>
                    </w:r>
                  </w:p>
                </w:txbxContent>
              </v:textbox>
              <w10:wrap type="none"/>
            </v:shape>
            <v:shape style="position:absolute;left:4307;top:-265;width:327;height:117" type="#_x0000_t202" filled="false" stroked="false">
              <v:textbox inset="0,0,0,0">
                <w:txbxContent>
                  <w:p>
                    <w:pPr>
                      <w:spacing w:before="0"/>
                      <w:ind w:left="0" w:right="0" w:firstLine="0"/>
                      <w:jc w:val="left"/>
                      <w:rPr>
                        <w:sz w:val="10"/>
                      </w:rPr>
                    </w:pPr>
                    <w:r>
                      <w:rPr>
                        <w:w w:val="105"/>
                        <w:sz w:val="10"/>
                      </w:rPr>
                      <w:t>IADC2</w:t>
                    </w:r>
                  </w:p>
                </w:txbxContent>
              </v:textbox>
              <w10:wrap type="none"/>
            </v:shape>
            <v:shape style="position:absolute;left:3692;top:-1;width:84;height:117" type="#_x0000_t202" filled="false" stroked="false">
              <v:textbox inset="0,0,0,0">
                <w:txbxContent>
                  <w:p>
                    <w:pPr>
                      <w:spacing w:before="0"/>
                      <w:ind w:left="0" w:right="0" w:firstLine="0"/>
                      <w:jc w:val="left"/>
                      <w:rPr>
                        <w:sz w:val="10"/>
                      </w:rPr>
                    </w:pPr>
                    <w:r>
                      <w:rPr>
                        <w:spacing w:val="-1"/>
                        <w:w w:val="104"/>
                        <w:sz w:val="10"/>
                      </w:rPr>
                      <w:t>T</w:t>
                    </w:r>
                  </w:p>
                </w:txbxContent>
              </v:textbox>
              <w10:wrap type="none"/>
            </v:shape>
            <v:shape style="position:absolute;left:3896;top:145;width:738;height:117" type="#_x0000_t202" filled="false" stroked="false">
              <v:textbox inset="0,0,0,0">
                <w:txbxContent>
                  <w:p>
                    <w:pPr>
                      <w:tabs>
                        <w:tab w:pos="410" w:val="left" w:leader="none"/>
                      </w:tabs>
                      <w:spacing w:before="0"/>
                      <w:ind w:left="0" w:right="0" w:firstLine="0"/>
                      <w:jc w:val="left"/>
                      <w:rPr>
                        <w:sz w:val="10"/>
                      </w:rPr>
                    </w:pPr>
                    <w:r>
                      <w:rPr>
                        <w:rFonts w:ascii="Times New Roman"/>
                        <w:w w:val="104"/>
                        <w:sz w:val="10"/>
                        <w:u w:val="single"/>
                      </w:rPr>
                      <w:t> </w:t>
                    </w:r>
                    <w:r>
                      <w:rPr>
                        <w:rFonts w:ascii="Times New Roman"/>
                        <w:sz w:val="10"/>
                        <w:u w:val="single"/>
                      </w:rPr>
                      <w:tab/>
                    </w:r>
                    <w:r>
                      <w:rPr>
                        <w:w w:val="105"/>
                        <w:sz w:val="10"/>
                        <w:u w:val="single"/>
                      </w:rPr>
                      <w:t>IADC3</w:t>
                    </w:r>
                  </w:p>
                </w:txbxContent>
              </v:textbox>
              <w10:wrap type="none"/>
            </v:shape>
            <v:shape style="position:absolute;left:6096;top:365;width:310;height:117" type="#_x0000_t202" filled="false" stroked="false">
              <v:textbox inset="0,0,0,0">
                <w:txbxContent>
                  <w:p>
                    <w:pPr>
                      <w:spacing w:before="0"/>
                      <w:ind w:left="0" w:right="0" w:firstLine="0"/>
                      <w:jc w:val="left"/>
                      <w:rPr>
                        <w:sz w:val="10"/>
                      </w:rPr>
                    </w:pPr>
                    <w:r>
                      <w:rPr>
                        <w:w w:val="105"/>
                        <w:sz w:val="10"/>
                      </w:rPr>
                      <w:t>VADC</w:t>
                    </w:r>
                  </w:p>
                </w:txbxContent>
              </v:textbox>
              <w10:wrap type="none"/>
            </v:shape>
            <v:shape style="position:absolute;left:7620;top:444;width:107;height:88" type="#_x0000_t202" filled="false" stroked="false">
              <v:textbox inset="0,0,0,0">
                <w:txbxContent>
                  <w:p>
                    <w:pPr>
                      <w:spacing w:line="87" w:lineRule="exact" w:before="0"/>
                      <w:ind w:left="0" w:right="0" w:firstLine="0"/>
                      <w:jc w:val="left"/>
                      <w:rPr>
                        <w:sz w:val="8"/>
                      </w:rPr>
                    </w:pPr>
                    <w:r>
                      <w:rPr>
                        <w:sz w:val="8"/>
                      </w:rPr>
                      <w:t>22</w:t>
                    </w:r>
                  </w:p>
                </w:txbxContent>
              </v:textbox>
              <w10:wrap type="none"/>
            </v:shape>
            <v:shape style="position:absolute;left:3687;top:512;width:119;height:117" type="#_x0000_t202" filled="false" stroked="false">
              <v:textbox inset="0,0,0,0">
                <w:txbxContent>
                  <w:p>
                    <w:pPr>
                      <w:spacing w:before="0"/>
                      <w:ind w:left="0" w:right="0" w:firstLine="0"/>
                      <w:jc w:val="left"/>
                      <w:rPr>
                        <w:sz w:val="10"/>
                      </w:rPr>
                    </w:pPr>
                    <w:r>
                      <w:rPr>
                        <w:w w:val="105"/>
                        <w:sz w:val="10"/>
                      </w:rPr>
                      <w:t>IB</w:t>
                    </w:r>
                  </w:p>
                </w:txbxContent>
              </v:textbox>
              <w10:wrap type="none"/>
            </v:shape>
            <v:shape style="position:absolute;left:4279;top:640;width:353;height:117" type="#_x0000_t202" filled="false" stroked="false">
              <v:textbox inset="0,0,0,0">
                <w:txbxContent>
                  <w:p>
                    <w:pPr>
                      <w:spacing w:before="0"/>
                      <w:ind w:left="0" w:right="0" w:firstLine="0"/>
                      <w:jc w:val="left"/>
                      <w:rPr>
                        <w:sz w:val="10"/>
                      </w:rPr>
                    </w:pPr>
                    <w:r>
                      <w:rPr>
                        <w:w w:val="105"/>
                        <w:sz w:val="10"/>
                      </w:rPr>
                      <w:t>IADC4</w:t>
                    </w:r>
                  </w:p>
                </w:txbxContent>
              </v:textbox>
              <w10:wrap type="none"/>
            </v:shape>
            <v:shape style="position:absolute;left:3621;top:933;width:159;height:117" type="#_x0000_t202" filled="false" stroked="false">
              <v:textbox inset="0,0,0,0">
                <w:txbxContent>
                  <w:p>
                    <w:pPr>
                      <w:spacing w:before="0"/>
                      <w:ind w:left="0" w:right="0" w:firstLine="0"/>
                      <w:jc w:val="left"/>
                      <w:rPr>
                        <w:sz w:val="10"/>
                      </w:rPr>
                    </w:pPr>
                    <w:r>
                      <w:rPr>
                        <w:w w:val="105"/>
                        <w:sz w:val="10"/>
                      </w:rPr>
                      <w:t>CT</w:t>
                    </w:r>
                  </w:p>
                </w:txbxContent>
              </v:textbox>
              <w10:wrap type="none"/>
            </v:shape>
            <v:shape style="position:absolute;left:3669;top:1457;width:125;height:117" type="#_x0000_t202" filled="false" stroked="false">
              <v:textbox inset="0,0,0,0">
                <w:txbxContent>
                  <w:p>
                    <w:pPr>
                      <w:spacing w:before="0"/>
                      <w:ind w:left="0" w:right="0" w:firstLine="0"/>
                      <w:jc w:val="left"/>
                      <w:rPr>
                        <w:sz w:val="10"/>
                      </w:rPr>
                    </w:pPr>
                    <w:r>
                      <w:rPr>
                        <w:w w:val="105"/>
                        <w:sz w:val="10"/>
                      </w:rPr>
                      <w:t>IC</w:t>
                    </w:r>
                  </w:p>
                </w:txbxContent>
              </v:textbox>
              <w10:wrap type="none"/>
            </v:shape>
            <v:shape style="position:absolute;left:4264;top:1586;width:353;height:117" type="#_x0000_t202" filled="false" stroked="false">
              <v:textbox inset="0,0,0,0">
                <w:txbxContent>
                  <w:p>
                    <w:pPr>
                      <w:spacing w:before="0"/>
                      <w:ind w:left="0" w:right="0" w:firstLine="0"/>
                      <w:jc w:val="left"/>
                      <w:rPr>
                        <w:sz w:val="10"/>
                      </w:rPr>
                    </w:pPr>
                    <w:r>
                      <w:rPr>
                        <w:w w:val="105"/>
                        <w:sz w:val="10"/>
                      </w:rPr>
                      <w:t>IADC6</w:t>
                    </w:r>
                  </w:p>
                </w:txbxContent>
              </v:textbox>
              <w10:wrap type="none"/>
            </v:shape>
            <v:shape style="position:absolute;left:3681;top:1879;width:84;height:117" type="#_x0000_t202" filled="false" stroked="false">
              <v:textbox inset="0,0,0,0">
                <w:txbxContent>
                  <w:p>
                    <w:pPr>
                      <w:spacing w:before="0"/>
                      <w:ind w:left="0" w:right="0" w:firstLine="0"/>
                      <w:jc w:val="left"/>
                      <w:rPr>
                        <w:sz w:val="10"/>
                      </w:rPr>
                    </w:pPr>
                    <w:r>
                      <w:rPr>
                        <w:spacing w:val="-1"/>
                        <w:w w:val="104"/>
                        <w:sz w:val="10"/>
                      </w:rPr>
                      <w:t>T</w:t>
                    </w:r>
                  </w:p>
                </w:txbxContent>
              </v:textbox>
              <w10:wrap type="none"/>
            </v:shape>
            <v:shape style="position:absolute;left:3648;top:2408;width:165;height:117" type="#_x0000_t202" filled="false" stroked="false">
              <v:textbox inset="0,0,0,0">
                <w:txbxContent>
                  <w:p>
                    <w:pPr>
                      <w:spacing w:before="0"/>
                      <w:ind w:left="0" w:right="0" w:firstLine="0"/>
                      <w:jc w:val="left"/>
                      <w:rPr>
                        <w:sz w:val="10"/>
                      </w:rPr>
                    </w:pPr>
                    <w:r>
                      <w:rPr>
                        <w:w w:val="105"/>
                        <w:sz w:val="10"/>
                      </w:rPr>
                      <w:t>IN*</w:t>
                    </w:r>
                  </w:p>
                </w:txbxContent>
              </v:textbox>
              <w10:wrap type="none"/>
            </v:shape>
            <v:shape style="position:absolute;left:4264;top:2536;width:353;height:117" type="#_x0000_t202" filled="false" stroked="false">
              <v:textbox inset="0,0,0,0">
                <w:txbxContent>
                  <w:p>
                    <w:pPr>
                      <w:spacing w:before="0"/>
                      <w:ind w:left="0" w:right="0" w:firstLine="0"/>
                      <w:jc w:val="left"/>
                      <w:rPr>
                        <w:sz w:val="10"/>
                      </w:rPr>
                    </w:pPr>
                    <w:r>
                      <w:rPr>
                        <w:w w:val="105"/>
                        <w:sz w:val="10"/>
                      </w:rPr>
                      <w:t>IADC0</w:t>
                    </w:r>
                  </w:p>
                </w:txbxContent>
              </v:textbox>
              <w10:wrap type="none"/>
            </v:shape>
            <v:shape style="position:absolute;left:3681;top:2829;width:84;height:117" type="#_x0000_t202" filled="false" stroked="false">
              <v:textbox inset="0,0,0,0">
                <w:txbxContent>
                  <w:p>
                    <w:pPr>
                      <w:spacing w:before="0"/>
                      <w:ind w:left="0" w:right="0" w:firstLine="0"/>
                      <w:jc w:val="left"/>
                      <w:rPr>
                        <w:sz w:val="10"/>
                      </w:rPr>
                    </w:pPr>
                    <w:r>
                      <w:rPr>
                        <w:spacing w:val="-1"/>
                        <w:w w:val="104"/>
                        <w:sz w:val="10"/>
                      </w:rPr>
                      <w:t>T</w:t>
                    </w:r>
                  </w:p>
                </w:txbxContent>
              </v:textbox>
              <w10:wrap type="none"/>
            </v:shape>
            <v:shape style="position:absolute;left:3933;top:3661;width:678;height:937" type="#_x0000_t202" filled="false" stroked="false">
              <v:textbox inset="0,0,0,0">
                <w:txbxContent>
                  <w:p>
                    <w:pPr>
                      <w:spacing w:before="0"/>
                      <w:ind w:left="73" w:right="0" w:firstLine="0"/>
                      <w:jc w:val="left"/>
                      <w:rPr>
                        <w:sz w:val="10"/>
                      </w:rPr>
                    </w:pPr>
                    <w:r>
                      <w:rPr>
                        <w:w w:val="105"/>
                        <w:sz w:val="10"/>
                      </w:rPr>
                      <w:t>VADC8</w:t>
                    </w:r>
                    <w:r>
                      <w:rPr>
                        <w:spacing w:val="-6"/>
                        <w:w w:val="105"/>
                        <w:sz w:val="10"/>
                      </w:rPr>
                      <w:t> </w:t>
                    </w:r>
                    <w:r>
                      <w:rPr>
                        <w:w w:val="105"/>
                        <w:sz w:val="10"/>
                      </w:rPr>
                      <w:t>(VA)</w:t>
                    </w:r>
                  </w:p>
                  <w:p>
                    <w:pPr>
                      <w:spacing w:line="240" w:lineRule="auto" w:before="0"/>
                      <w:rPr>
                        <w:sz w:val="12"/>
                      </w:rPr>
                    </w:pPr>
                  </w:p>
                  <w:p>
                    <w:pPr>
                      <w:spacing w:line="240" w:lineRule="auto" w:before="8"/>
                      <w:rPr>
                        <w:sz w:val="13"/>
                      </w:rPr>
                    </w:pPr>
                  </w:p>
                  <w:p>
                    <w:pPr>
                      <w:spacing w:before="0"/>
                      <w:ind w:left="63" w:right="0" w:firstLine="0"/>
                      <w:jc w:val="left"/>
                      <w:rPr>
                        <w:sz w:val="10"/>
                      </w:rPr>
                    </w:pPr>
                    <w:r>
                      <w:rPr>
                        <w:w w:val="105"/>
                        <w:sz w:val="10"/>
                      </w:rPr>
                      <w:t>VADC9</w:t>
                    </w:r>
                    <w:r>
                      <w:rPr>
                        <w:spacing w:val="-6"/>
                        <w:w w:val="105"/>
                        <w:sz w:val="10"/>
                      </w:rPr>
                      <w:t> </w:t>
                    </w:r>
                    <w:r>
                      <w:rPr>
                        <w:w w:val="105"/>
                        <w:sz w:val="10"/>
                      </w:rPr>
                      <w:t>(VB)</w:t>
                    </w:r>
                  </w:p>
                  <w:p>
                    <w:pPr>
                      <w:spacing w:line="240" w:lineRule="auto" w:before="0"/>
                      <w:rPr>
                        <w:sz w:val="12"/>
                      </w:rPr>
                    </w:pPr>
                  </w:p>
                  <w:p>
                    <w:pPr>
                      <w:spacing w:line="240" w:lineRule="auto" w:before="7"/>
                      <w:rPr>
                        <w:sz w:val="13"/>
                      </w:rPr>
                    </w:pPr>
                  </w:p>
                  <w:p>
                    <w:pPr>
                      <w:spacing w:before="1"/>
                      <w:ind w:left="0" w:right="0" w:firstLine="0"/>
                      <w:jc w:val="left"/>
                      <w:rPr>
                        <w:sz w:val="10"/>
                      </w:rPr>
                    </w:pPr>
                    <w:r>
                      <w:rPr>
                        <w:w w:val="105"/>
                        <w:sz w:val="10"/>
                      </w:rPr>
                      <w:t>VADC10</w:t>
                    </w:r>
                    <w:r>
                      <w:rPr>
                        <w:spacing w:val="-6"/>
                        <w:w w:val="105"/>
                        <w:sz w:val="10"/>
                      </w:rPr>
                      <w:t> </w:t>
                    </w:r>
                    <w:r>
                      <w:rPr>
                        <w:w w:val="105"/>
                        <w:sz w:val="10"/>
                      </w:rPr>
                      <w:t>(VC)</w:t>
                    </w:r>
                  </w:p>
                </w:txbxContent>
              </v:textbox>
              <w10:wrap type="none"/>
            </v:shape>
            <v:shape style="position:absolute;left:6447;top:4948;width:672;height:175" type="#_x0000_t202" filled="false" stroked="false">
              <v:textbox inset="0,0,0,0">
                <w:txbxContent>
                  <w:p>
                    <w:pPr>
                      <w:spacing w:before="0"/>
                      <w:ind w:left="0" w:right="0" w:firstLine="0"/>
                      <w:jc w:val="left"/>
                      <w:rPr>
                        <w:sz w:val="15"/>
                      </w:rPr>
                    </w:pPr>
                    <w:r>
                      <w:rPr>
                        <w:w w:val="105"/>
                        <w:sz w:val="15"/>
                      </w:rPr>
                      <w:t>71M6543</w:t>
                    </w:r>
                  </w:p>
                </w:txbxContent>
              </v:textbox>
              <w10:wrap type="none"/>
            </v:shape>
            <v:shape style="position:absolute;left:3863;top:2687;width:822;height:440" type="#_x0000_t202" filled="false" stroked="true" strokeweight=".156209pt" strokecolor="#000000">
              <v:textbox inset="0,0,0,0">
                <w:txbxContent>
                  <w:p>
                    <w:pPr>
                      <w:spacing w:line="240" w:lineRule="auto" w:before="0"/>
                      <w:rPr>
                        <w:sz w:val="12"/>
                      </w:rPr>
                    </w:pPr>
                  </w:p>
                  <w:p>
                    <w:pPr>
                      <w:spacing w:line="240" w:lineRule="auto" w:before="6"/>
                      <w:rPr>
                        <w:sz w:val="15"/>
                      </w:rPr>
                    </w:pPr>
                  </w:p>
                  <w:p>
                    <w:pPr>
                      <w:spacing w:before="0"/>
                      <w:ind w:left="400" w:right="0" w:firstLine="0"/>
                      <w:jc w:val="left"/>
                      <w:rPr>
                        <w:sz w:val="10"/>
                      </w:rPr>
                    </w:pPr>
                    <w:r>
                      <w:rPr>
                        <w:w w:val="105"/>
                        <w:sz w:val="10"/>
                      </w:rPr>
                      <w:t>IADC1</w:t>
                    </w:r>
                  </w:p>
                </w:txbxContent>
              </v:textbox>
              <v:stroke dashstyle="solid"/>
              <w10:wrap type="none"/>
            </v:shape>
            <v:shape style="position:absolute;left:3863;top:1737;width:822;height:440" type="#_x0000_t202" filled="false" stroked="true" strokeweight=".156209pt" strokecolor="#000000">
              <v:textbox inset="0,0,0,0">
                <w:txbxContent>
                  <w:p>
                    <w:pPr>
                      <w:spacing w:line="240" w:lineRule="auto" w:before="0"/>
                      <w:rPr>
                        <w:sz w:val="12"/>
                      </w:rPr>
                    </w:pPr>
                  </w:p>
                  <w:p>
                    <w:pPr>
                      <w:spacing w:line="240" w:lineRule="auto" w:before="6"/>
                      <w:rPr>
                        <w:sz w:val="15"/>
                      </w:rPr>
                    </w:pPr>
                  </w:p>
                  <w:p>
                    <w:pPr>
                      <w:spacing w:before="0"/>
                      <w:ind w:left="400" w:right="0" w:firstLine="0"/>
                      <w:jc w:val="left"/>
                      <w:rPr>
                        <w:sz w:val="10"/>
                      </w:rPr>
                    </w:pPr>
                    <w:r>
                      <w:rPr>
                        <w:w w:val="105"/>
                        <w:sz w:val="10"/>
                      </w:rPr>
                      <w:t>IADC7</w:t>
                    </w:r>
                  </w:p>
                </w:txbxContent>
              </v:textbox>
              <v:stroke dashstyle="solid"/>
              <w10:wrap type="none"/>
            </v:shape>
            <v:shape style="position:absolute;left:3863;top:791;width:822;height:440" type="#_x0000_t202" filled="false" stroked="true" strokeweight=".156209pt" strokecolor="#000000">
              <v:textbox inset="0,0,0,0">
                <w:txbxContent>
                  <w:p>
                    <w:pPr>
                      <w:spacing w:line="240" w:lineRule="auto" w:before="0"/>
                      <w:rPr>
                        <w:sz w:val="12"/>
                      </w:rPr>
                    </w:pPr>
                  </w:p>
                  <w:p>
                    <w:pPr>
                      <w:spacing w:line="240" w:lineRule="auto" w:before="6"/>
                      <w:rPr>
                        <w:sz w:val="15"/>
                      </w:rPr>
                    </w:pPr>
                  </w:p>
                  <w:p>
                    <w:pPr>
                      <w:spacing w:before="0"/>
                      <w:ind w:left="415" w:right="0" w:firstLine="0"/>
                      <w:jc w:val="left"/>
                      <w:rPr>
                        <w:sz w:val="10"/>
                      </w:rPr>
                    </w:pPr>
                    <w:r>
                      <w:rPr>
                        <w:w w:val="105"/>
                        <w:sz w:val="10"/>
                      </w:rPr>
                      <w:t>IADC5</w:t>
                    </w:r>
                  </w:p>
                </w:txbxContent>
              </v:textbox>
              <v:stroke dashstyle="solid"/>
              <w10:wrap type="none"/>
            </v:shape>
            <v:shape style="position:absolute;left:7781;top:-219;width:703;height:1249" type="#_x0000_t202" filled="false" stroked="false">
              <v:textbox inset="0,0,0,0">
                <w:txbxContent>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9"/>
                      <w:rPr>
                        <w:sz w:val="12"/>
                      </w:rPr>
                    </w:pPr>
                  </w:p>
                  <w:p>
                    <w:pPr>
                      <w:spacing w:before="0"/>
                      <w:ind w:left="148" w:right="0" w:firstLine="0"/>
                      <w:jc w:val="left"/>
                      <w:rPr>
                        <w:sz w:val="10"/>
                      </w:rPr>
                    </w:pPr>
                    <w:r>
                      <w:rPr>
                        <w:w w:val="105"/>
                        <w:sz w:val="10"/>
                      </w:rPr>
                      <w:t>CE RAM</w:t>
                    </w:r>
                  </w:p>
                </w:txbxContent>
              </v:textbox>
              <w10:wrap type="none"/>
            </v:shape>
            <v:shape style="position:absolute;left:6858;top:-231;width:703;height:1231" type="#_x0000_t202" filled="false" stroked="false">
              <v:textbox inset="0,0,0,0">
                <w:txbxContent>
                  <w:p>
                    <w:pPr>
                      <w:spacing w:line="247" w:lineRule="auto" w:before="15"/>
                      <w:ind w:left="35" w:right="0" w:firstLine="131"/>
                      <w:jc w:val="left"/>
                      <w:rPr>
                        <w:sz w:val="9"/>
                      </w:rPr>
                    </w:pPr>
                    <w:r>
                      <w:rPr>
                        <w:rFonts w:ascii="Symbol" w:hAnsi="Symbol"/>
                        <w:w w:val="110"/>
                        <w:sz w:val="9"/>
                      </w:rPr>
                      <w:t></w:t>
                    </w:r>
                    <w:r>
                      <w:rPr>
                        <w:rFonts w:ascii="Times New Roman" w:hAnsi="Times New Roman"/>
                        <w:w w:val="110"/>
                        <w:sz w:val="9"/>
                      </w:rPr>
                      <w:t> </w:t>
                    </w:r>
                    <w:r>
                      <w:rPr>
                        <w:w w:val="110"/>
                        <w:sz w:val="9"/>
                      </w:rPr>
                      <w:t>ADC </w:t>
                    </w:r>
                    <w:r>
                      <w:rPr>
                        <w:w w:val="105"/>
                        <w:sz w:val="9"/>
                      </w:rPr>
                      <w:t>CONVERTER</w:t>
                    </w:r>
                  </w:p>
                  <w:p>
                    <w:pPr>
                      <w:spacing w:before="83"/>
                      <w:ind w:left="25" w:right="0" w:firstLine="0"/>
                      <w:jc w:val="left"/>
                      <w:rPr>
                        <w:sz w:val="10"/>
                      </w:rPr>
                    </w:pPr>
                    <w:r>
                      <w:rPr>
                        <w:w w:val="105"/>
                        <w:sz w:val="10"/>
                      </w:rPr>
                      <w:t>VREF</w:t>
                    </w:r>
                  </w:p>
                  <w:p>
                    <w:pPr>
                      <w:spacing w:before="90"/>
                      <w:ind w:left="390" w:right="0" w:firstLine="0"/>
                      <w:jc w:val="left"/>
                      <w:rPr>
                        <w:sz w:val="10"/>
                      </w:rPr>
                    </w:pPr>
                    <w:r>
                      <w:rPr>
                        <w:w w:val="105"/>
                        <w:sz w:val="10"/>
                      </w:rPr>
                      <w:t>FIR</w:t>
                    </w:r>
                  </w:p>
                </w:txbxContent>
              </v:textbox>
              <w10:wrap type="none"/>
            </v:shape>
            <v:shape style="position:absolute;left:5098;top:-377;width:589;height:5156" type="#_x0000_t202" filled="false" stroked="false">
              <v:textbox inset="0,0,0,0">
                <w:txbxContent>
                  <w:p>
                    <w:pPr>
                      <w:spacing w:line="240" w:lineRule="auto" w:before="4"/>
                      <w:rPr>
                        <w:sz w:val="12"/>
                      </w:rPr>
                    </w:pPr>
                  </w:p>
                  <w:p>
                    <w:pPr>
                      <w:spacing w:before="0"/>
                      <w:ind w:left="179" w:right="0" w:firstLine="0"/>
                      <w:jc w:val="left"/>
                      <w:rPr>
                        <w:sz w:val="10"/>
                      </w:rPr>
                    </w:pPr>
                    <w:r>
                      <w:rPr>
                        <w:w w:val="105"/>
                        <w:sz w:val="10"/>
                      </w:rPr>
                      <w:t>MUX</w:t>
                    </w:r>
                  </w:p>
                </w:txbxContent>
              </v:textbox>
              <w10:wrap type="none"/>
            </v:shape>
            <v:shape style="position:absolute;left:5921;top:-26;width:469;height:352" type="#_x0000_t202" filled="false" stroked="false">
              <v:textbox inset="0,0,0,0">
                <w:txbxContent>
                  <w:p>
                    <w:pPr>
                      <w:spacing w:line="240" w:lineRule="auto" w:before="9"/>
                      <w:rPr>
                        <w:sz w:val="9"/>
                      </w:rPr>
                    </w:pPr>
                  </w:p>
                  <w:p>
                    <w:pPr>
                      <w:spacing w:before="0"/>
                      <w:ind w:left="95" w:right="0" w:firstLine="0"/>
                      <w:jc w:val="left"/>
                      <w:rPr>
                        <w:sz w:val="10"/>
                      </w:rPr>
                    </w:pPr>
                    <w:r>
                      <w:rPr>
                        <w:w w:val="105"/>
                        <w:sz w:val="10"/>
                      </w:rPr>
                      <w:t>VREF</w:t>
                    </w:r>
                  </w:p>
                </w:txbxContent>
              </v:textbox>
              <w10:wrap type="none"/>
            </v:shape>
            <w10:wrap type="none"/>
          </v:group>
        </w:pict>
      </w:r>
      <w:r>
        <w:rPr>
          <w:spacing w:val="-1"/>
          <w:w w:val="104"/>
          <w:sz w:val="10"/>
        </w:rPr>
        <w:t>C</w:t>
      </w: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4"/>
        </w:rPr>
      </w:pPr>
    </w:p>
    <w:p>
      <w:pPr>
        <w:spacing w:before="101"/>
        <w:ind w:left="2786" w:right="0" w:firstLine="0"/>
        <w:jc w:val="left"/>
        <w:rPr>
          <w:sz w:val="10"/>
        </w:rPr>
      </w:pPr>
      <w:r>
        <w:rPr>
          <w:spacing w:val="-1"/>
          <w:w w:val="104"/>
          <w:sz w:val="10"/>
        </w:rPr>
        <w:t>C</w:t>
      </w:r>
    </w:p>
    <w:p>
      <w:pPr>
        <w:pStyle w:val="BodyText"/>
      </w:pPr>
    </w:p>
    <w:p>
      <w:pPr>
        <w:pStyle w:val="BodyText"/>
      </w:pPr>
    </w:p>
    <w:p>
      <w:pPr>
        <w:pStyle w:val="BodyText"/>
        <w:spacing w:before="10"/>
        <w:rPr>
          <w:sz w:val="23"/>
        </w:rPr>
      </w:pPr>
    </w:p>
    <w:p>
      <w:pPr>
        <w:spacing w:before="101"/>
        <w:ind w:left="2786" w:right="0" w:firstLine="0"/>
        <w:jc w:val="left"/>
        <w:rPr>
          <w:sz w:val="10"/>
        </w:rPr>
      </w:pPr>
      <w:r>
        <w:rPr>
          <w:spacing w:val="-1"/>
          <w:w w:val="104"/>
          <w:sz w:val="10"/>
        </w:rPr>
        <w:t>C</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1"/>
        </w:rPr>
      </w:pPr>
    </w:p>
    <w:p>
      <w:pPr>
        <w:tabs>
          <w:tab w:pos="7179" w:val="left" w:leader="none"/>
        </w:tabs>
        <w:spacing w:before="97"/>
        <w:ind w:left="3985" w:right="0" w:firstLine="0"/>
        <w:jc w:val="left"/>
        <w:rPr>
          <w:sz w:val="10"/>
        </w:rPr>
      </w:pPr>
      <w:r>
        <w:rPr>
          <w:w w:val="105"/>
          <w:position w:val="2"/>
          <w:sz w:val="10"/>
        </w:rPr>
        <w:t>*IN =</w:t>
      </w:r>
      <w:r>
        <w:rPr>
          <w:spacing w:val="-9"/>
          <w:w w:val="105"/>
          <w:position w:val="2"/>
          <w:sz w:val="10"/>
        </w:rPr>
        <w:t> </w:t>
      </w:r>
      <w:r>
        <w:rPr>
          <w:w w:val="105"/>
          <w:position w:val="2"/>
          <w:sz w:val="10"/>
        </w:rPr>
        <w:t>Neutral</w:t>
      </w:r>
      <w:r>
        <w:rPr>
          <w:spacing w:val="-5"/>
          <w:w w:val="105"/>
          <w:position w:val="2"/>
          <w:sz w:val="10"/>
        </w:rPr>
        <w:t> </w:t>
      </w:r>
      <w:r>
        <w:rPr>
          <w:w w:val="105"/>
          <w:position w:val="2"/>
          <w:sz w:val="10"/>
        </w:rPr>
        <w:t>Current</w:t>
        <w:tab/>
      </w:r>
      <w:r>
        <w:rPr>
          <w:w w:val="105"/>
          <w:sz w:val="10"/>
        </w:rPr>
        <w:t>9/17/2010</w:t>
      </w:r>
    </w:p>
    <w:p>
      <w:pPr>
        <w:spacing w:after="0"/>
        <w:jc w:val="left"/>
        <w:rPr>
          <w:sz w:val="10"/>
        </w:rPr>
        <w:sectPr>
          <w:pgSz w:w="12240" w:h="15840"/>
          <w:pgMar w:header="727" w:footer="819" w:top="960" w:bottom="1000" w:left="820" w:right="860"/>
        </w:sectPr>
      </w:pPr>
    </w:p>
    <w:p>
      <w:pPr>
        <w:pStyle w:val="BodyText"/>
        <w:rPr>
          <w:sz w:val="24"/>
        </w:rPr>
      </w:pPr>
    </w:p>
    <w:p>
      <w:pPr>
        <w:pStyle w:val="ListParagraph"/>
        <w:numPr>
          <w:ilvl w:val="2"/>
          <w:numId w:val="7"/>
        </w:numPr>
        <w:tabs>
          <w:tab w:pos="1339" w:val="left" w:leader="none"/>
          <w:tab w:pos="1340" w:val="left" w:leader="none"/>
        </w:tabs>
        <w:spacing w:line="240" w:lineRule="auto" w:before="165" w:after="0"/>
        <w:ind w:left="1339" w:right="0" w:hanging="720"/>
        <w:jc w:val="left"/>
        <w:rPr>
          <w:b/>
          <w:sz w:val="22"/>
        </w:rPr>
      </w:pPr>
      <w:bookmarkStart w:name="2.2.1 Signal Input Pins" w:id="15"/>
      <w:bookmarkEnd w:id="15"/>
      <w:r>
        <w:rPr/>
      </w:r>
      <w:bookmarkStart w:name="_bookmark6" w:id="16"/>
      <w:bookmarkEnd w:id="16"/>
      <w:r>
        <w:rPr/>
      </w:r>
      <w:bookmarkStart w:name="_bookmark7" w:id="17"/>
      <w:bookmarkEnd w:id="17"/>
      <w:r>
        <w:rPr/>
      </w:r>
      <w:bookmarkStart w:name="_bookmark7" w:id="18"/>
      <w:bookmarkEnd w:id="18"/>
      <w:r>
        <w:rPr>
          <w:b/>
          <w:sz w:val="22"/>
        </w:rPr>
        <w:t>S</w:t>
      </w:r>
      <w:r>
        <w:rPr>
          <w:b/>
          <w:sz w:val="22"/>
        </w:rPr>
        <w:t>ignal Input</w:t>
      </w:r>
      <w:r>
        <w:rPr>
          <w:b/>
          <w:spacing w:val="4"/>
          <w:sz w:val="22"/>
        </w:rPr>
        <w:t> </w:t>
      </w:r>
      <w:r>
        <w:rPr>
          <w:b/>
          <w:spacing w:val="-5"/>
          <w:sz w:val="22"/>
        </w:rPr>
        <w:t>Pins</w:t>
      </w:r>
    </w:p>
    <w:p>
      <w:pPr>
        <w:spacing w:before="150"/>
        <w:ind w:left="225" w:right="0" w:firstLine="0"/>
        <w:jc w:val="left"/>
        <w:rPr>
          <w:b/>
          <w:sz w:val="20"/>
        </w:rPr>
      </w:pPr>
      <w:r>
        <w:rPr/>
        <w:br w:type="column"/>
      </w:r>
      <w:r>
        <w:rPr>
          <w:b/>
          <w:sz w:val="20"/>
        </w:rPr>
        <w:t>Figure 3. AFE Block Diagram (Four CTs)</w:t>
      </w:r>
    </w:p>
    <w:p>
      <w:pPr>
        <w:spacing w:after="0"/>
        <w:jc w:val="left"/>
        <w:rPr>
          <w:sz w:val="20"/>
        </w:rPr>
        <w:sectPr>
          <w:type w:val="continuous"/>
          <w:pgSz w:w="12240" w:h="15840"/>
          <w:pgMar w:top="940" w:bottom="280" w:left="820" w:right="860"/>
          <w:cols w:num="2" w:equalWidth="0">
            <w:col w:w="3129" w:space="40"/>
            <w:col w:w="7391"/>
          </w:cols>
        </w:sectPr>
      </w:pPr>
    </w:p>
    <w:p>
      <w:pPr>
        <w:pStyle w:val="BodyText"/>
        <w:spacing w:before="114"/>
        <w:ind w:left="620"/>
      </w:pPr>
      <w:r>
        <w:rPr/>
        <w:t>The 71M6543 features eleven ADC input pins.</w:t>
      </w:r>
    </w:p>
    <w:p>
      <w:pPr>
        <w:pStyle w:val="BodyText"/>
        <w:spacing w:line="230" w:lineRule="auto" w:before="118"/>
        <w:ind w:left="619" w:right="559"/>
      </w:pPr>
      <w:r>
        <w:rPr/>
        <w:t>IADC0</w:t>
      </w:r>
      <w:r>
        <w:rPr>
          <w:spacing w:val="-14"/>
        </w:rPr>
        <w:t> </w:t>
      </w:r>
      <w:r>
        <w:rPr/>
        <w:t>through</w:t>
      </w:r>
      <w:r>
        <w:rPr>
          <w:spacing w:val="-14"/>
        </w:rPr>
        <w:t> </w:t>
      </w:r>
      <w:r>
        <w:rPr/>
        <w:t>IADC7</w:t>
      </w:r>
      <w:r>
        <w:rPr>
          <w:spacing w:val="-13"/>
        </w:rPr>
        <w:t> </w:t>
      </w:r>
      <w:r>
        <w:rPr/>
        <w:t>are</w:t>
      </w:r>
      <w:r>
        <w:rPr>
          <w:spacing w:val="-14"/>
        </w:rPr>
        <w:t> </w:t>
      </w:r>
      <w:r>
        <w:rPr/>
        <w:t>intended</w:t>
      </w:r>
      <w:r>
        <w:rPr>
          <w:spacing w:val="-14"/>
        </w:rPr>
        <w:t> </w:t>
      </w:r>
      <w:r>
        <w:rPr/>
        <w:t>for</w:t>
      </w:r>
      <w:r>
        <w:rPr>
          <w:spacing w:val="-14"/>
        </w:rPr>
        <w:t> </w:t>
      </w:r>
      <w:r>
        <w:rPr/>
        <w:t>use</w:t>
      </w:r>
      <w:r>
        <w:rPr>
          <w:spacing w:val="-14"/>
        </w:rPr>
        <w:t> </w:t>
      </w:r>
      <w:r>
        <w:rPr/>
        <w:t>as</w:t>
      </w:r>
      <w:r>
        <w:rPr>
          <w:spacing w:val="-14"/>
        </w:rPr>
        <w:t> </w:t>
      </w:r>
      <w:r>
        <w:rPr/>
        <w:t>current</w:t>
      </w:r>
      <w:r>
        <w:rPr>
          <w:spacing w:val="-12"/>
        </w:rPr>
        <w:t> </w:t>
      </w:r>
      <w:r>
        <w:rPr>
          <w:spacing w:val="-3"/>
        </w:rPr>
        <w:t>sensor</w:t>
      </w:r>
      <w:r>
        <w:rPr>
          <w:spacing w:val="-13"/>
        </w:rPr>
        <w:t> </w:t>
      </w:r>
      <w:r>
        <w:rPr/>
        <w:t>inputs.</w:t>
      </w:r>
      <w:r>
        <w:rPr>
          <w:spacing w:val="-13"/>
        </w:rPr>
        <w:t> </w:t>
      </w:r>
      <w:r>
        <w:rPr/>
        <w:t>These</w:t>
      </w:r>
      <w:r>
        <w:rPr>
          <w:spacing w:val="-14"/>
        </w:rPr>
        <w:t> </w:t>
      </w:r>
      <w:r>
        <w:rPr/>
        <w:t>eight</w:t>
      </w:r>
      <w:r>
        <w:rPr>
          <w:spacing w:val="-15"/>
        </w:rPr>
        <w:t> </w:t>
      </w:r>
      <w:r>
        <w:rPr/>
        <w:t>current</w:t>
      </w:r>
      <w:r>
        <w:rPr>
          <w:spacing w:val="-15"/>
        </w:rPr>
        <w:t> </w:t>
      </w:r>
      <w:r>
        <w:rPr/>
        <w:t>sensor</w:t>
      </w:r>
      <w:r>
        <w:rPr>
          <w:spacing w:val="-13"/>
        </w:rPr>
        <w:t> </w:t>
      </w:r>
      <w:r>
        <w:rPr/>
        <w:t>inputs</w:t>
      </w:r>
      <w:r>
        <w:rPr>
          <w:spacing w:val="-14"/>
        </w:rPr>
        <w:t> </w:t>
      </w:r>
      <w:r>
        <w:rPr/>
        <w:t>can be configured as four single-ended inputs, or can be paired to form four differential inputs. For best performance, it is recommended to configure the current sensor inputs as differential inputs (i.e., IADC0- IADC1, IADC2-IADC3, IADC4-IADC5 and IADC6-IADC7). The first differential input (IADC0-IADC1) features a </w:t>
      </w:r>
      <w:r>
        <w:rPr>
          <w:spacing w:val="-3"/>
        </w:rPr>
        <w:t>pre-amplifier </w:t>
      </w:r>
      <w:r>
        <w:rPr/>
        <w:t>with a selectable gain of 1 or 8, and is intended for direct connection to a </w:t>
      </w:r>
      <w:r>
        <w:rPr>
          <w:spacing w:val="-3"/>
        </w:rPr>
        <w:t>shunt resistor </w:t>
      </w:r>
      <w:r>
        <w:rPr/>
        <w:t>sensor, and can also be used with a Current Transformer (CT). The three remaining </w:t>
      </w:r>
      <w:r>
        <w:rPr>
          <w:spacing w:val="-3"/>
        </w:rPr>
        <w:t>differential </w:t>
      </w:r>
      <w:r>
        <w:rPr/>
        <w:t>pairs (i.e., IADC2-IADC3, </w:t>
      </w:r>
      <w:r>
        <w:rPr>
          <w:spacing w:val="-3"/>
        </w:rPr>
        <w:t>IADC4-IADC5 </w:t>
      </w:r>
      <w:r>
        <w:rPr/>
        <w:t>and </w:t>
      </w:r>
      <w:r>
        <w:rPr>
          <w:spacing w:val="-2"/>
        </w:rPr>
        <w:t>IADC6-IADC7) </w:t>
      </w:r>
      <w:r>
        <w:rPr/>
        <w:t>may be used with CTs, or may be enabled to </w:t>
      </w:r>
      <w:r>
        <w:rPr>
          <w:spacing w:val="-3"/>
        </w:rPr>
        <w:t>interface</w:t>
      </w:r>
      <w:r>
        <w:rPr>
          <w:spacing w:val="-12"/>
        </w:rPr>
        <w:t> </w:t>
      </w:r>
      <w:r>
        <w:rPr/>
        <w:t>to</w:t>
      </w:r>
      <w:r>
        <w:rPr>
          <w:spacing w:val="-11"/>
        </w:rPr>
        <w:t> </w:t>
      </w:r>
      <w:r>
        <w:rPr/>
        <w:t>a</w:t>
      </w:r>
      <w:r>
        <w:rPr>
          <w:spacing w:val="-13"/>
        </w:rPr>
        <w:t> </w:t>
      </w:r>
      <w:r>
        <w:rPr/>
        <w:t>remote</w:t>
      </w:r>
      <w:r>
        <w:rPr>
          <w:spacing w:val="-11"/>
        </w:rPr>
        <w:t> </w:t>
      </w:r>
      <w:r>
        <w:rPr/>
        <w:t>71M6xx3</w:t>
      </w:r>
      <w:r>
        <w:rPr>
          <w:spacing w:val="-13"/>
        </w:rPr>
        <w:t> </w:t>
      </w:r>
      <w:r>
        <w:rPr/>
        <w:t>isolated</w:t>
      </w:r>
      <w:r>
        <w:rPr>
          <w:spacing w:val="-11"/>
        </w:rPr>
        <w:t> </w:t>
      </w:r>
      <w:r>
        <w:rPr/>
        <w:t>current</w:t>
      </w:r>
      <w:r>
        <w:rPr>
          <w:spacing w:val="-13"/>
        </w:rPr>
        <w:t> </w:t>
      </w:r>
      <w:r>
        <w:rPr/>
        <w:t>sensor</w:t>
      </w:r>
      <w:r>
        <w:rPr>
          <w:spacing w:val="-12"/>
        </w:rPr>
        <w:t> </w:t>
      </w:r>
      <w:r>
        <w:rPr>
          <w:spacing w:val="-2"/>
        </w:rPr>
        <w:t>providing</w:t>
      </w:r>
      <w:r>
        <w:rPr>
          <w:spacing w:val="-11"/>
        </w:rPr>
        <w:t> </w:t>
      </w:r>
      <w:r>
        <w:rPr/>
        <w:t>isolation</w:t>
      </w:r>
      <w:r>
        <w:rPr>
          <w:spacing w:val="-13"/>
        </w:rPr>
        <w:t> </w:t>
      </w:r>
      <w:r>
        <w:rPr/>
        <w:t>for</w:t>
      </w:r>
      <w:r>
        <w:rPr>
          <w:spacing w:val="-10"/>
        </w:rPr>
        <w:t> </w:t>
      </w:r>
      <w:r>
        <w:rPr/>
        <w:t>a</w:t>
      </w:r>
      <w:r>
        <w:rPr>
          <w:spacing w:val="-13"/>
        </w:rPr>
        <w:t> </w:t>
      </w:r>
      <w:r>
        <w:rPr/>
        <w:t>shunt</w:t>
      </w:r>
      <w:r>
        <w:rPr>
          <w:spacing w:val="-10"/>
        </w:rPr>
        <w:t> </w:t>
      </w:r>
      <w:r>
        <w:rPr>
          <w:spacing w:val="-3"/>
        </w:rPr>
        <w:t>resistor</w:t>
      </w:r>
      <w:r>
        <w:rPr>
          <w:spacing w:val="-12"/>
        </w:rPr>
        <w:t> </w:t>
      </w:r>
      <w:r>
        <w:rPr/>
        <w:t>sensor</w:t>
      </w:r>
      <w:r>
        <w:rPr>
          <w:spacing w:val="-10"/>
        </w:rPr>
        <w:t> </w:t>
      </w:r>
      <w:r>
        <w:rPr/>
        <w:t>using</w:t>
      </w:r>
      <w:r>
        <w:rPr>
          <w:spacing w:val="-12"/>
        </w:rPr>
        <w:t> </w:t>
      </w:r>
      <w:r>
        <w:rPr/>
        <w:t>a low cost pulse</w:t>
      </w:r>
      <w:r>
        <w:rPr>
          <w:spacing w:val="-16"/>
        </w:rPr>
        <w:t> </w:t>
      </w:r>
      <w:r>
        <w:rPr/>
        <w:t>transformer.</w:t>
      </w:r>
    </w:p>
    <w:p>
      <w:pPr>
        <w:pStyle w:val="BodyText"/>
        <w:spacing w:line="230" w:lineRule="auto" w:before="115"/>
        <w:ind w:left="619" w:right="559"/>
      </w:pPr>
      <w:r>
        <w:rPr/>
        <w:t>The remaining three </w:t>
      </w:r>
      <w:r>
        <w:rPr>
          <w:spacing w:val="-2"/>
        </w:rPr>
        <w:t>inputs </w:t>
      </w:r>
      <w:r>
        <w:rPr/>
        <w:t>VADC8 (VA), VADC9 (VB) and VADC10 (VC) are single-ended, and are intended</w:t>
      </w:r>
      <w:r>
        <w:rPr>
          <w:spacing w:val="-12"/>
        </w:rPr>
        <w:t> </w:t>
      </w:r>
      <w:r>
        <w:rPr/>
        <w:t>for</w:t>
      </w:r>
      <w:r>
        <w:rPr>
          <w:spacing w:val="-11"/>
        </w:rPr>
        <w:t> </w:t>
      </w:r>
      <w:r>
        <w:rPr/>
        <w:t>sensing</w:t>
      </w:r>
      <w:r>
        <w:rPr>
          <w:spacing w:val="-11"/>
        </w:rPr>
        <w:t> </w:t>
      </w:r>
      <w:r>
        <w:rPr/>
        <w:t>each</w:t>
      </w:r>
      <w:r>
        <w:rPr>
          <w:spacing w:val="-11"/>
        </w:rPr>
        <w:t> </w:t>
      </w:r>
      <w:r>
        <w:rPr/>
        <w:t>of</w:t>
      </w:r>
      <w:r>
        <w:rPr>
          <w:spacing w:val="-10"/>
        </w:rPr>
        <w:t> </w:t>
      </w:r>
      <w:r>
        <w:rPr/>
        <w:t>the</w:t>
      </w:r>
      <w:r>
        <w:rPr>
          <w:spacing w:val="-10"/>
        </w:rPr>
        <w:t> </w:t>
      </w:r>
      <w:r>
        <w:rPr/>
        <w:t>phase</w:t>
      </w:r>
      <w:r>
        <w:rPr>
          <w:spacing w:val="-10"/>
        </w:rPr>
        <w:t> </w:t>
      </w:r>
      <w:r>
        <w:rPr>
          <w:spacing w:val="-3"/>
        </w:rPr>
        <w:t>voltages</w:t>
      </w:r>
      <w:r>
        <w:rPr>
          <w:spacing w:val="-8"/>
        </w:rPr>
        <w:t> </w:t>
      </w:r>
      <w:r>
        <w:rPr/>
        <w:t>in</w:t>
      </w:r>
      <w:r>
        <w:rPr>
          <w:spacing w:val="-11"/>
        </w:rPr>
        <w:t> </w:t>
      </w:r>
      <w:r>
        <w:rPr/>
        <w:t>a</w:t>
      </w:r>
      <w:r>
        <w:rPr>
          <w:spacing w:val="-11"/>
        </w:rPr>
        <w:t> </w:t>
      </w:r>
      <w:r>
        <w:rPr/>
        <w:t>polyphase</w:t>
      </w:r>
      <w:r>
        <w:rPr>
          <w:spacing w:val="-11"/>
        </w:rPr>
        <w:t> </w:t>
      </w:r>
      <w:r>
        <w:rPr/>
        <w:t>meter</w:t>
      </w:r>
      <w:r>
        <w:rPr>
          <w:spacing w:val="-10"/>
        </w:rPr>
        <w:t> </w:t>
      </w:r>
      <w:r>
        <w:rPr>
          <w:spacing w:val="-3"/>
        </w:rPr>
        <w:t>application.</w:t>
      </w:r>
      <w:r>
        <w:rPr>
          <w:spacing w:val="-12"/>
        </w:rPr>
        <w:t> </w:t>
      </w:r>
      <w:r>
        <w:rPr/>
        <w:t>These</w:t>
      </w:r>
      <w:r>
        <w:rPr>
          <w:spacing w:val="-10"/>
        </w:rPr>
        <w:t> </w:t>
      </w:r>
      <w:r>
        <w:rPr/>
        <w:t>three</w:t>
      </w:r>
      <w:r>
        <w:rPr>
          <w:spacing w:val="-9"/>
        </w:rPr>
        <w:t> </w:t>
      </w:r>
      <w:r>
        <w:rPr>
          <w:spacing w:val="-3"/>
        </w:rPr>
        <w:t>single-ended </w:t>
      </w:r>
      <w:r>
        <w:rPr/>
        <w:t>inputs are referenced to the V3P3A</w:t>
      </w:r>
      <w:r>
        <w:rPr>
          <w:spacing w:val="-30"/>
        </w:rPr>
        <w:t> </w:t>
      </w:r>
      <w:r>
        <w:rPr/>
        <w:t>pin.</w:t>
      </w:r>
    </w:p>
    <w:p>
      <w:pPr>
        <w:pStyle w:val="BodyText"/>
        <w:spacing w:line="230" w:lineRule="auto" w:before="120"/>
        <w:ind w:left="618" w:right="691"/>
      </w:pPr>
      <w:r>
        <w:rPr>
          <w:spacing w:val="-2"/>
        </w:rPr>
        <w:t>All</w:t>
      </w:r>
      <w:r>
        <w:rPr>
          <w:spacing w:val="-12"/>
        </w:rPr>
        <w:t> </w:t>
      </w:r>
      <w:r>
        <w:rPr/>
        <w:t>ADC</w:t>
      </w:r>
      <w:r>
        <w:rPr>
          <w:spacing w:val="-10"/>
        </w:rPr>
        <w:t> </w:t>
      </w:r>
      <w:r>
        <w:rPr/>
        <w:t>input</w:t>
      </w:r>
      <w:r>
        <w:rPr>
          <w:spacing w:val="-10"/>
        </w:rPr>
        <w:t> </w:t>
      </w:r>
      <w:r>
        <w:rPr/>
        <w:t>pins</w:t>
      </w:r>
      <w:r>
        <w:rPr>
          <w:spacing w:val="-11"/>
        </w:rPr>
        <w:t> </w:t>
      </w:r>
      <w:r>
        <w:rPr/>
        <w:t>measure</w:t>
      </w:r>
      <w:r>
        <w:rPr>
          <w:spacing w:val="-9"/>
        </w:rPr>
        <w:t> </w:t>
      </w:r>
      <w:r>
        <w:rPr>
          <w:spacing w:val="-3"/>
        </w:rPr>
        <w:t>voltage.</w:t>
      </w:r>
      <w:r>
        <w:rPr>
          <w:spacing w:val="-10"/>
        </w:rPr>
        <w:t> </w:t>
      </w:r>
      <w:r>
        <w:rPr/>
        <w:t>In</w:t>
      </w:r>
      <w:r>
        <w:rPr>
          <w:spacing w:val="-11"/>
        </w:rPr>
        <w:t> </w:t>
      </w:r>
      <w:r>
        <w:rPr/>
        <w:t>the</w:t>
      </w:r>
      <w:r>
        <w:rPr>
          <w:spacing w:val="-13"/>
        </w:rPr>
        <w:t> </w:t>
      </w:r>
      <w:r>
        <w:rPr/>
        <w:t>case</w:t>
      </w:r>
      <w:r>
        <w:rPr>
          <w:spacing w:val="-11"/>
        </w:rPr>
        <w:t> </w:t>
      </w:r>
      <w:r>
        <w:rPr/>
        <w:t>of</w:t>
      </w:r>
      <w:r>
        <w:rPr>
          <w:spacing w:val="-10"/>
        </w:rPr>
        <w:t> </w:t>
      </w:r>
      <w:r>
        <w:rPr/>
        <w:t>shunt</w:t>
      </w:r>
      <w:r>
        <w:rPr>
          <w:spacing w:val="-10"/>
        </w:rPr>
        <w:t> </w:t>
      </w:r>
      <w:r>
        <w:rPr/>
        <w:t>current</w:t>
      </w:r>
      <w:r>
        <w:rPr>
          <w:spacing w:val="-13"/>
        </w:rPr>
        <w:t> </w:t>
      </w:r>
      <w:r>
        <w:rPr/>
        <w:t>sensors,</w:t>
      </w:r>
      <w:r>
        <w:rPr>
          <w:spacing w:val="-10"/>
        </w:rPr>
        <w:t> </w:t>
      </w:r>
      <w:r>
        <w:rPr/>
        <w:t>currents</w:t>
      </w:r>
      <w:r>
        <w:rPr>
          <w:spacing w:val="-10"/>
        </w:rPr>
        <w:t> </w:t>
      </w:r>
      <w:r>
        <w:rPr/>
        <w:t>are</w:t>
      </w:r>
      <w:r>
        <w:rPr>
          <w:spacing w:val="-12"/>
        </w:rPr>
        <w:t> </w:t>
      </w:r>
      <w:r>
        <w:rPr/>
        <w:t>sensed</w:t>
      </w:r>
      <w:r>
        <w:rPr>
          <w:spacing w:val="-13"/>
        </w:rPr>
        <w:t> </w:t>
      </w:r>
      <w:r>
        <w:rPr/>
        <w:t>as</w:t>
      </w:r>
      <w:r>
        <w:rPr>
          <w:spacing w:val="-10"/>
        </w:rPr>
        <w:t> </w:t>
      </w:r>
      <w:r>
        <w:rPr/>
        <w:t>a</w:t>
      </w:r>
      <w:r>
        <w:rPr>
          <w:spacing w:val="-11"/>
        </w:rPr>
        <w:t> </w:t>
      </w:r>
      <w:r>
        <w:rPr>
          <w:spacing w:val="-3"/>
        </w:rPr>
        <w:t>voltage </w:t>
      </w:r>
      <w:r>
        <w:rPr/>
        <w:t>drop in the shunt resistor sensor. In the case of Current Transformers (CT), the current is measured as a voltage</w:t>
      </w:r>
      <w:r>
        <w:rPr>
          <w:spacing w:val="-14"/>
        </w:rPr>
        <w:t> </w:t>
      </w:r>
      <w:r>
        <w:rPr/>
        <w:t>across</w:t>
      </w:r>
      <w:r>
        <w:rPr>
          <w:spacing w:val="-11"/>
        </w:rPr>
        <w:t> </w:t>
      </w:r>
      <w:r>
        <w:rPr/>
        <w:t>a</w:t>
      </w:r>
      <w:r>
        <w:rPr>
          <w:spacing w:val="-15"/>
        </w:rPr>
        <w:t> </w:t>
      </w:r>
      <w:r>
        <w:rPr/>
        <w:t>burden</w:t>
      </w:r>
      <w:r>
        <w:rPr>
          <w:spacing w:val="-13"/>
        </w:rPr>
        <w:t> </w:t>
      </w:r>
      <w:r>
        <w:rPr/>
        <w:t>resistor</w:t>
      </w:r>
      <w:r>
        <w:rPr>
          <w:spacing w:val="-13"/>
        </w:rPr>
        <w:t> </w:t>
      </w:r>
      <w:r>
        <w:rPr/>
        <w:t>that</w:t>
      </w:r>
      <w:r>
        <w:rPr>
          <w:spacing w:val="-12"/>
        </w:rPr>
        <w:t> </w:t>
      </w:r>
      <w:r>
        <w:rPr/>
        <w:t>is</w:t>
      </w:r>
      <w:r>
        <w:rPr>
          <w:spacing w:val="-13"/>
        </w:rPr>
        <w:t> </w:t>
      </w:r>
      <w:r>
        <w:rPr/>
        <w:t>connected</w:t>
      </w:r>
      <w:r>
        <w:rPr>
          <w:spacing w:val="-15"/>
        </w:rPr>
        <w:t> </w:t>
      </w:r>
      <w:r>
        <w:rPr/>
        <w:t>to</w:t>
      </w:r>
      <w:r>
        <w:rPr>
          <w:spacing w:val="-15"/>
        </w:rPr>
        <w:t> </w:t>
      </w:r>
      <w:r>
        <w:rPr/>
        <w:t>the</w:t>
      </w:r>
      <w:r>
        <w:rPr>
          <w:spacing w:val="-13"/>
        </w:rPr>
        <w:t> </w:t>
      </w:r>
      <w:r>
        <w:rPr/>
        <w:t>secondary</w:t>
      </w:r>
      <w:r>
        <w:rPr>
          <w:spacing w:val="-15"/>
        </w:rPr>
        <w:t> </w:t>
      </w:r>
      <w:r>
        <w:rPr/>
        <w:t>of</w:t>
      </w:r>
      <w:r>
        <w:rPr>
          <w:spacing w:val="-13"/>
        </w:rPr>
        <w:t> </w:t>
      </w:r>
      <w:r>
        <w:rPr/>
        <w:t>the</w:t>
      </w:r>
      <w:r>
        <w:rPr>
          <w:spacing w:val="-13"/>
        </w:rPr>
        <w:t> </w:t>
      </w:r>
      <w:r>
        <w:rPr/>
        <w:t>CT.</w:t>
      </w:r>
      <w:r>
        <w:rPr>
          <w:spacing w:val="-15"/>
        </w:rPr>
        <w:t> </w:t>
      </w:r>
      <w:r>
        <w:rPr/>
        <w:t>Meanwhile,</w:t>
      </w:r>
      <w:r>
        <w:rPr>
          <w:spacing w:val="-12"/>
        </w:rPr>
        <w:t> </w:t>
      </w:r>
      <w:r>
        <w:rPr/>
        <w:t>line</w:t>
      </w:r>
      <w:r>
        <w:rPr>
          <w:spacing w:val="-11"/>
        </w:rPr>
        <w:t> </w:t>
      </w:r>
      <w:r>
        <w:rPr>
          <w:spacing w:val="-3"/>
        </w:rPr>
        <w:t>voltages</w:t>
      </w:r>
      <w:r>
        <w:rPr>
          <w:spacing w:val="-11"/>
        </w:rPr>
        <w:t> </w:t>
      </w:r>
      <w:r>
        <w:rPr/>
        <w:t>are sensed through </w:t>
      </w:r>
      <w:r>
        <w:rPr>
          <w:spacing w:val="-2"/>
        </w:rPr>
        <w:t>resistive </w:t>
      </w:r>
      <w:r>
        <w:rPr/>
        <w:t>voltage </w:t>
      </w:r>
      <w:r>
        <w:rPr>
          <w:spacing w:val="-3"/>
        </w:rPr>
        <w:t>dividers. </w:t>
      </w:r>
      <w:r>
        <w:rPr/>
        <w:t>The </w:t>
      </w:r>
      <w:r>
        <w:rPr>
          <w:spacing w:val="-3"/>
        </w:rPr>
        <w:t>VADC8 </w:t>
      </w:r>
      <w:r>
        <w:rPr/>
        <w:t>(VA), VADC9 (VB) and VADC10 (VC) pins are single-ended and their common return is the V3P3A pin. See </w:t>
      </w:r>
      <w:hyperlink w:history="true" w:anchor="_bookmark174">
        <w:r>
          <w:rPr>
            <w:color w:val="0000FF"/>
          </w:rPr>
          <w:t>Figure 27</w:t>
        </w:r>
        <w:r>
          <w:rPr/>
          <w:t>, </w:t>
        </w:r>
      </w:hyperlink>
      <w:hyperlink w:history="true" w:anchor="_bookmark175">
        <w:r>
          <w:rPr>
            <w:color w:val="0000FF"/>
          </w:rPr>
          <w:t>Figure 28</w:t>
        </w:r>
        <w:r>
          <w:rPr/>
          <w:t>, </w:t>
        </w:r>
      </w:hyperlink>
      <w:hyperlink w:history="true" w:anchor="_bookmark176">
        <w:r>
          <w:rPr>
            <w:color w:val="0000FF"/>
          </w:rPr>
          <w:t>Figure 29 </w:t>
        </w:r>
      </w:hyperlink>
      <w:r>
        <w:rPr/>
        <w:t>and </w:t>
      </w:r>
      <w:hyperlink w:history="true" w:anchor="_bookmark177">
        <w:r>
          <w:rPr>
            <w:color w:val="0000FF"/>
          </w:rPr>
          <w:t>Figure</w:t>
        </w:r>
      </w:hyperlink>
      <w:r>
        <w:rPr>
          <w:color w:val="0000FF"/>
        </w:rPr>
        <w:t> </w:t>
      </w:r>
      <w:hyperlink w:history="true" w:anchor="_bookmark177">
        <w:r>
          <w:rPr>
            <w:color w:val="0000FF"/>
          </w:rPr>
          <w:t>30 </w:t>
        </w:r>
      </w:hyperlink>
      <w:r>
        <w:rPr/>
        <w:t>for detailed connections for each type of sensor. Also refer to the 71M6543 Demonstration Board schematic and bill of materials for typical component values used in these and other</w:t>
      </w:r>
      <w:r>
        <w:rPr>
          <w:spacing w:val="-19"/>
        </w:rPr>
        <w:t> </w:t>
      </w:r>
      <w:r>
        <w:rPr/>
        <w:t>circuits.</w:t>
      </w:r>
    </w:p>
    <w:p>
      <w:pPr>
        <w:spacing w:after="0" w:line="230" w:lineRule="auto"/>
        <w:sectPr>
          <w:type w:val="continuous"/>
          <w:pgSz w:w="12240" w:h="15840"/>
          <w:pgMar w:top="940" w:bottom="280" w:left="820" w:right="860"/>
        </w:sectPr>
      </w:pPr>
    </w:p>
    <w:p>
      <w:pPr>
        <w:pStyle w:val="BodyText"/>
        <w:spacing w:before="4"/>
        <w:rPr>
          <w:sz w:val="12"/>
        </w:rPr>
      </w:pPr>
    </w:p>
    <w:p>
      <w:pPr>
        <w:pStyle w:val="BodyText"/>
        <w:spacing w:line="230" w:lineRule="auto" w:before="100"/>
        <w:ind w:left="619" w:right="849"/>
      </w:pPr>
      <w:r>
        <w:rPr/>
        <w:t>Pins IADC0-IADC1 can be programmed individually to be differential or single-ended as determined by the </w:t>
      </w:r>
      <w:r>
        <w:rPr>
          <w:rFonts w:ascii="Times New Roman"/>
          <w:i/>
        </w:rPr>
        <w:t>DIFF0_E </w:t>
      </w:r>
      <w:r>
        <w:rPr/>
        <w:t>(</w:t>
      </w:r>
      <w:r>
        <w:rPr>
          <w:rFonts w:ascii="Times New Roman"/>
          <w:i/>
        </w:rPr>
        <w:t>I/O RAM 0x210C[4]</w:t>
      </w:r>
      <w:r>
        <w:rPr/>
        <w:t>) control bit. However, for most applications, IADC0-IADC1 are configured as a differential input to work with a resistive shunt or CT directly interfaced to the IADC0- IADC1 differential input with the appropriate external signal conditioning components.</w:t>
      </w:r>
    </w:p>
    <w:p>
      <w:pPr>
        <w:pStyle w:val="BodyText"/>
        <w:spacing w:line="230" w:lineRule="auto" w:before="119"/>
        <w:ind w:left="620" w:right="582" w:hanging="1"/>
      </w:pPr>
      <w:r>
        <w:rPr/>
        <w:t>The performance of the IADC0-IADC1 pins can be enhanced by enabling a pre-amplifier with a fixed gain of 8, using the I/O RAM control bit </w:t>
      </w:r>
      <w:r>
        <w:rPr>
          <w:rFonts w:ascii="Times New Roman"/>
          <w:i/>
        </w:rPr>
        <w:t>PRE_E (I/O RAM 0x2704[5])</w:t>
      </w:r>
      <w:r>
        <w:rPr/>
        <w:t>. When </w:t>
      </w:r>
      <w:r>
        <w:rPr>
          <w:rFonts w:ascii="Times New Roman"/>
          <w:i/>
        </w:rPr>
        <w:t>PRE_E </w:t>
      </w:r>
      <w:r>
        <w:rPr/>
        <w:t>= 1, IADC0-IADC1 become the inputs to the 8x pre-amplifier, and the output of this amplifier is supplied to the multiplexer. The 8x amplification is useful when current sensors with low sensitivity, such as shunt resistors, are used. With </w:t>
      </w:r>
      <w:r>
        <w:rPr>
          <w:rFonts w:ascii="Times New Roman"/>
          <w:i/>
        </w:rPr>
        <w:t>PRE_E </w:t>
      </w:r>
      <w:r>
        <w:rPr/>
        <w:t>set, the IADC0-IADC1 input signal amplitude is restricted to 31.25 mV peak. When </w:t>
      </w:r>
      <w:r>
        <w:rPr>
          <w:rFonts w:ascii="Times New Roman"/>
          <w:i/>
        </w:rPr>
        <w:t>PRE_E </w:t>
      </w:r>
      <w:r>
        <w:rPr/>
        <w:t>= 0 (Gain = 1), the IADC0-IADC1 input signal is restricted to 250 mV peak.</w:t>
      </w:r>
    </w:p>
    <w:p>
      <w:pPr>
        <w:pStyle w:val="BodyText"/>
        <w:spacing w:line="230" w:lineRule="auto" w:before="116"/>
        <w:ind w:left="620" w:right="684" w:hanging="1"/>
      </w:pPr>
      <w:r>
        <w:rPr/>
        <w:t>For the 71M6543 application </w:t>
      </w:r>
      <w:r>
        <w:rPr>
          <w:spacing w:val="-3"/>
        </w:rPr>
        <w:t>utilizing </w:t>
      </w:r>
      <w:r>
        <w:rPr/>
        <w:t>shunt resistor sensors (</w:t>
      </w:r>
      <w:hyperlink w:history="true" w:anchor="_bookmark5">
        <w:r>
          <w:rPr>
            <w:color w:val="0000FF"/>
          </w:rPr>
          <w:t>Figure 2</w:t>
        </w:r>
      </w:hyperlink>
      <w:r>
        <w:rPr/>
        <w:t>), the IADC0-IADC1 pins are configured for </w:t>
      </w:r>
      <w:r>
        <w:rPr>
          <w:spacing w:val="-2"/>
        </w:rPr>
        <w:t>differential </w:t>
      </w:r>
      <w:r>
        <w:rPr/>
        <w:t>mode to </w:t>
      </w:r>
      <w:r>
        <w:rPr>
          <w:spacing w:val="-3"/>
        </w:rPr>
        <w:t>interface </w:t>
      </w:r>
      <w:r>
        <w:rPr/>
        <w:t>to a local shunt by setting the </w:t>
      </w:r>
      <w:r>
        <w:rPr>
          <w:rFonts w:ascii="Times New Roman"/>
          <w:i/>
        </w:rPr>
        <w:t>DIFF0_E </w:t>
      </w:r>
      <w:r>
        <w:rPr/>
        <w:t>control bit. </w:t>
      </w:r>
      <w:r>
        <w:rPr>
          <w:spacing w:val="-3"/>
        </w:rPr>
        <w:t>Meanwhile, </w:t>
      </w:r>
      <w:r>
        <w:rPr/>
        <w:t>the IADC2-IADC3 , IADC4-IADC5 and IADC6-IADC7 pins are re-configured as digital remote </w:t>
      </w:r>
      <w:r>
        <w:rPr>
          <w:spacing w:val="-3"/>
        </w:rPr>
        <w:t>sensor interface</w:t>
      </w:r>
      <w:r>
        <w:rPr>
          <w:spacing w:val="-13"/>
        </w:rPr>
        <w:t> </w:t>
      </w:r>
      <w:r>
        <w:rPr/>
        <w:t>designed</w:t>
      </w:r>
      <w:r>
        <w:rPr>
          <w:spacing w:val="-11"/>
        </w:rPr>
        <w:t> </w:t>
      </w:r>
      <w:r>
        <w:rPr/>
        <w:t>to</w:t>
      </w:r>
      <w:r>
        <w:rPr>
          <w:spacing w:val="-13"/>
        </w:rPr>
        <w:t> </w:t>
      </w:r>
      <w:r>
        <w:rPr/>
        <w:t>communicate</w:t>
      </w:r>
      <w:r>
        <w:rPr>
          <w:spacing w:val="-12"/>
        </w:rPr>
        <w:t> </w:t>
      </w:r>
      <w:r>
        <w:rPr/>
        <w:t>with</w:t>
      </w:r>
      <w:r>
        <w:rPr>
          <w:spacing w:val="-13"/>
        </w:rPr>
        <w:t> </w:t>
      </w:r>
      <w:r>
        <w:rPr/>
        <w:t>a</w:t>
      </w:r>
      <w:r>
        <w:rPr>
          <w:spacing w:val="-11"/>
        </w:rPr>
        <w:t> </w:t>
      </w:r>
      <w:r>
        <w:rPr/>
        <w:t>71M6xx3</w:t>
      </w:r>
      <w:r>
        <w:rPr>
          <w:spacing w:val="-12"/>
        </w:rPr>
        <w:t> </w:t>
      </w:r>
      <w:r>
        <w:rPr/>
        <w:t>isolated</w:t>
      </w:r>
      <w:r>
        <w:rPr>
          <w:spacing w:val="-14"/>
        </w:rPr>
        <w:t> </w:t>
      </w:r>
      <w:r>
        <w:rPr/>
        <w:t>sensor</w:t>
      </w:r>
      <w:r>
        <w:rPr>
          <w:spacing w:val="-11"/>
        </w:rPr>
        <w:t> </w:t>
      </w:r>
      <w:r>
        <w:rPr/>
        <w:t>by</w:t>
      </w:r>
      <w:r>
        <w:rPr>
          <w:spacing w:val="-16"/>
        </w:rPr>
        <w:t> </w:t>
      </w:r>
      <w:r>
        <w:rPr/>
        <w:t>setting</w:t>
      </w:r>
      <w:r>
        <w:rPr>
          <w:spacing w:val="-13"/>
        </w:rPr>
        <w:t> </w:t>
      </w:r>
      <w:r>
        <w:rPr/>
        <w:t>the</w:t>
      </w:r>
      <w:r>
        <w:rPr>
          <w:spacing w:val="-14"/>
        </w:rPr>
        <w:t> </w:t>
      </w:r>
      <w:r>
        <w:rPr>
          <w:rFonts w:ascii="Times New Roman"/>
          <w:i/>
        </w:rPr>
        <w:t>RMTx_E</w:t>
      </w:r>
      <w:r>
        <w:rPr>
          <w:rFonts w:ascii="Times New Roman"/>
          <w:i/>
          <w:spacing w:val="-5"/>
        </w:rPr>
        <w:t> </w:t>
      </w:r>
      <w:r>
        <w:rPr/>
        <w:t>control</w:t>
      </w:r>
      <w:r>
        <w:rPr>
          <w:spacing w:val="-13"/>
        </w:rPr>
        <w:t> </w:t>
      </w:r>
      <w:r>
        <w:rPr/>
        <w:t>bits</w:t>
      </w:r>
      <w:r>
        <w:rPr>
          <w:spacing w:val="-12"/>
        </w:rPr>
        <w:t> </w:t>
      </w:r>
      <w:r>
        <w:rPr/>
        <w:t>(</w:t>
      </w:r>
      <w:r>
        <w:rPr>
          <w:rFonts w:ascii="Times New Roman"/>
          <w:i/>
        </w:rPr>
        <w:t>I/O </w:t>
      </w:r>
      <w:r>
        <w:rPr>
          <w:rFonts w:ascii="Times New Roman"/>
          <w:i/>
        </w:rPr>
        <w:t>RAM</w:t>
      </w:r>
      <w:r>
        <w:rPr>
          <w:rFonts w:ascii="Times New Roman"/>
          <w:i/>
          <w:spacing w:val="-8"/>
        </w:rPr>
        <w:t> </w:t>
      </w:r>
      <w:r>
        <w:rPr>
          <w:rFonts w:ascii="Times New Roman"/>
          <w:i/>
        </w:rPr>
        <w:t>0x2709[5:3]</w:t>
      </w:r>
      <w:r>
        <w:rPr/>
        <w:t>).</w:t>
      </w:r>
      <w:r>
        <w:rPr>
          <w:spacing w:val="-15"/>
        </w:rPr>
        <w:t> </w:t>
      </w:r>
      <w:r>
        <w:rPr/>
        <w:t>The</w:t>
      </w:r>
      <w:r>
        <w:rPr>
          <w:spacing w:val="-14"/>
        </w:rPr>
        <w:t> </w:t>
      </w:r>
      <w:r>
        <w:rPr/>
        <w:t>71M6xx3</w:t>
      </w:r>
      <w:r>
        <w:rPr>
          <w:spacing w:val="-13"/>
        </w:rPr>
        <w:t> </w:t>
      </w:r>
      <w:r>
        <w:rPr/>
        <w:t>communicates</w:t>
      </w:r>
      <w:r>
        <w:rPr>
          <w:spacing w:val="-7"/>
        </w:rPr>
        <w:t> </w:t>
      </w:r>
      <w:r>
        <w:rPr>
          <w:spacing w:val="-3"/>
        </w:rPr>
        <w:t>with</w:t>
      </w:r>
      <w:r>
        <w:rPr>
          <w:spacing w:val="-12"/>
        </w:rPr>
        <w:t> </w:t>
      </w:r>
      <w:r>
        <w:rPr/>
        <w:t>the</w:t>
      </w:r>
      <w:r>
        <w:rPr>
          <w:spacing w:val="-14"/>
        </w:rPr>
        <w:t> </w:t>
      </w:r>
      <w:r>
        <w:rPr/>
        <w:t>71M6543</w:t>
      </w:r>
      <w:r>
        <w:rPr>
          <w:spacing w:val="-13"/>
        </w:rPr>
        <w:t> </w:t>
      </w:r>
      <w:r>
        <w:rPr/>
        <w:t>using</w:t>
      </w:r>
      <w:r>
        <w:rPr>
          <w:spacing w:val="-12"/>
        </w:rPr>
        <w:t> </w:t>
      </w:r>
      <w:r>
        <w:rPr/>
        <w:t>a</w:t>
      </w:r>
      <w:r>
        <w:rPr>
          <w:spacing w:val="-11"/>
        </w:rPr>
        <w:t> </w:t>
      </w:r>
      <w:r>
        <w:rPr>
          <w:spacing w:val="-3"/>
        </w:rPr>
        <w:t>bi-directional</w:t>
      </w:r>
      <w:r>
        <w:rPr>
          <w:spacing w:val="-12"/>
        </w:rPr>
        <w:t> </w:t>
      </w:r>
      <w:r>
        <w:rPr/>
        <w:t>digital</w:t>
      </w:r>
      <w:r>
        <w:rPr>
          <w:spacing w:val="-12"/>
        </w:rPr>
        <w:t> </w:t>
      </w:r>
      <w:r>
        <w:rPr/>
        <w:t>data</w:t>
      </w:r>
      <w:r>
        <w:rPr>
          <w:spacing w:val="-12"/>
        </w:rPr>
        <w:t> </w:t>
      </w:r>
      <w:r>
        <w:rPr/>
        <w:t>stream through an isolating pulse transformer. The 71M6543 also supplies power to the 71M6xx3 through </w:t>
      </w:r>
      <w:r>
        <w:rPr>
          <w:spacing w:val="-3"/>
        </w:rPr>
        <w:t>the isolating </w:t>
      </w:r>
      <w:r>
        <w:rPr/>
        <w:t>transformer. This type of interface is further described at the end of this chapter. See </w:t>
      </w:r>
      <w:hyperlink w:history="true" w:anchor="_bookmark21">
        <w:r>
          <w:rPr>
            <w:color w:val="0000FF"/>
            <w:spacing w:val="-3"/>
          </w:rPr>
          <w:t>2.2.8</w:t>
        </w:r>
      </w:hyperlink>
      <w:r>
        <w:rPr>
          <w:color w:val="0000FF"/>
          <w:spacing w:val="-3"/>
        </w:rPr>
        <w:t> </w:t>
      </w:r>
      <w:hyperlink w:history="true" w:anchor="_bookmark21">
        <w:r>
          <w:rPr>
            <w:color w:val="0000FF"/>
          </w:rPr>
          <w:t>71M6xx3 Isolated </w:t>
        </w:r>
        <w:r>
          <w:rPr>
            <w:color w:val="0000FF"/>
            <w:spacing w:val="-3"/>
          </w:rPr>
          <w:t>Sensor</w:t>
        </w:r>
        <w:r>
          <w:rPr>
            <w:color w:val="0000FF"/>
            <w:spacing w:val="-12"/>
          </w:rPr>
          <w:t> </w:t>
        </w:r>
        <w:r>
          <w:rPr>
            <w:color w:val="0000FF"/>
            <w:spacing w:val="-3"/>
          </w:rPr>
          <w:t>Interface</w:t>
        </w:r>
        <w:r>
          <w:rPr>
            <w:spacing w:val="-3"/>
          </w:rPr>
          <w:t>.</w:t>
        </w:r>
      </w:hyperlink>
    </w:p>
    <w:p>
      <w:pPr>
        <w:pStyle w:val="BodyText"/>
        <w:spacing w:line="230" w:lineRule="auto" w:before="114"/>
        <w:ind w:left="620" w:right="579"/>
      </w:pPr>
      <w:r>
        <w:rPr/>
        <w:t>For use with Current Transformers (CTs), as shown in </w:t>
      </w:r>
      <w:hyperlink w:history="true" w:anchor="_bookmark7">
        <w:r>
          <w:rPr>
            <w:color w:val="0000FF"/>
          </w:rPr>
          <w:t>Figure 3</w:t>
        </w:r>
        <w:r>
          <w:rPr/>
          <w:t>, </w:t>
        </w:r>
      </w:hyperlink>
      <w:r>
        <w:rPr/>
        <w:t>the </w:t>
      </w:r>
      <w:r>
        <w:rPr>
          <w:rFonts w:ascii="Times New Roman"/>
          <w:i/>
        </w:rPr>
        <w:t>RMTx_E </w:t>
      </w:r>
      <w:r>
        <w:rPr/>
        <w:t>control bits are reset, so that IADC2-IADC3, IADC4-IADC5 and IADC6-IADC7 are configured as local analog inputs. The IADC0-IADC1 pins cannot be configured as a remote sensor interface.</w:t>
      </w:r>
    </w:p>
    <w:p>
      <w:pPr>
        <w:pStyle w:val="ListParagraph"/>
        <w:numPr>
          <w:ilvl w:val="2"/>
          <w:numId w:val="7"/>
        </w:numPr>
        <w:tabs>
          <w:tab w:pos="1339" w:val="left" w:leader="none"/>
          <w:tab w:pos="1340" w:val="left" w:leader="none"/>
        </w:tabs>
        <w:spacing w:line="240" w:lineRule="auto" w:before="121" w:after="0"/>
        <w:ind w:left="1339" w:right="0" w:hanging="720"/>
        <w:jc w:val="left"/>
        <w:rPr>
          <w:b/>
          <w:sz w:val="22"/>
        </w:rPr>
      </w:pPr>
      <w:bookmarkStart w:name="2.2.2 Input Multiplexer" w:id="19"/>
      <w:bookmarkEnd w:id="19"/>
      <w:r>
        <w:rPr/>
      </w:r>
      <w:bookmarkStart w:name="_bookmark8" w:id="20"/>
      <w:bookmarkEnd w:id="20"/>
      <w:r>
        <w:rPr/>
      </w:r>
      <w:bookmarkStart w:name="_bookmark8" w:id="21"/>
      <w:bookmarkEnd w:id="21"/>
      <w:r>
        <w:rPr>
          <w:b/>
          <w:sz w:val="22"/>
        </w:rPr>
        <w:t>I</w:t>
      </w:r>
      <w:r>
        <w:rPr>
          <w:b/>
          <w:sz w:val="22"/>
        </w:rPr>
        <w:t>nput</w:t>
      </w:r>
      <w:r>
        <w:rPr>
          <w:b/>
          <w:spacing w:val="-2"/>
          <w:sz w:val="22"/>
        </w:rPr>
        <w:t> </w:t>
      </w:r>
      <w:r>
        <w:rPr>
          <w:b/>
          <w:sz w:val="22"/>
        </w:rPr>
        <w:t>Multiplexer</w:t>
      </w:r>
    </w:p>
    <w:p>
      <w:pPr>
        <w:pStyle w:val="BodyText"/>
        <w:spacing w:line="230" w:lineRule="auto" w:before="121"/>
        <w:ind w:left="619" w:right="649"/>
      </w:pPr>
      <w:r>
        <w:rPr>
          <w:spacing w:val="-3"/>
        </w:rPr>
        <w:t>When </w:t>
      </w:r>
      <w:r>
        <w:rPr>
          <w:spacing w:val="-4"/>
        </w:rPr>
        <w:t>operating with locally connected sensors, </w:t>
      </w:r>
      <w:r>
        <w:rPr>
          <w:spacing w:val="-3"/>
        </w:rPr>
        <w:t>the </w:t>
      </w:r>
      <w:r>
        <w:rPr>
          <w:spacing w:val="-4"/>
        </w:rPr>
        <w:t>input multiplexer sequentially applies </w:t>
      </w:r>
      <w:r>
        <w:rPr>
          <w:spacing w:val="-3"/>
        </w:rPr>
        <w:t>the </w:t>
      </w:r>
      <w:r>
        <w:rPr>
          <w:spacing w:val="-4"/>
        </w:rPr>
        <w:t>input signals from the analog input pins </w:t>
      </w:r>
      <w:r>
        <w:rPr>
          <w:spacing w:val="-3"/>
        </w:rPr>
        <w:t>to the </w:t>
      </w:r>
      <w:r>
        <w:rPr>
          <w:spacing w:val="-4"/>
        </w:rPr>
        <w:t>input </w:t>
      </w:r>
      <w:r>
        <w:rPr>
          <w:spacing w:val="-3"/>
        </w:rPr>
        <w:t>of the ADC (see </w:t>
      </w:r>
      <w:hyperlink w:history="true" w:anchor="_bookmark7">
        <w:r>
          <w:rPr>
            <w:color w:val="0000FF"/>
          </w:rPr>
          <w:t>Figure 3</w:t>
        </w:r>
      </w:hyperlink>
      <w:r>
        <w:rPr/>
        <w:t>), </w:t>
      </w:r>
      <w:r>
        <w:rPr>
          <w:spacing w:val="-4"/>
        </w:rPr>
        <w:t>according </w:t>
      </w:r>
      <w:r>
        <w:rPr>
          <w:spacing w:val="-3"/>
        </w:rPr>
        <w:t>to </w:t>
      </w:r>
      <w:r>
        <w:rPr/>
        <w:t>the </w:t>
      </w:r>
      <w:r>
        <w:rPr>
          <w:spacing w:val="-4"/>
        </w:rPr>
        <w:t>sampling sequence determined </w:t>
      </w:r>
      <w:r>
        <w:rPr/>
        <w:t>by the </w:t>
      </w:r>
      <w:r>
        <w:rPr>
          <w:spacing w:val="-4"/>
        </w:rPr>
        <w:t>eleven </w:t>
      </w:r>
      <w:r>
        <w:rPr>
          <w:rFonts w:ascii="Times New Roman"/>
          <w:i/>
        </w:rPr>
        <w:t>MUXn_SEL[3:0] </w:t>
      </w:r>
      <w:r>
        <w:rPr>
          <w:spacing w:val="-5"/>
        </w:rPr>
        <w:t>control </w:t>
      </w:r>
      <w:r>
        <w:rPr>
          <w:spacing w:val="-4"/>
        </w:rPr>
        <w:t>fields. </w:t>
      </w:r>
      <w:r>
        <w:rPr/>
        <w:t>One </w:t>
      </w:r>
      <w:r>
        <w:rPr>
          <w:spacing w:val="-3"/>
        </w:rPr>
        <w:t>complete sampling sequence </w:t>
      </w:r>
      <w:r>
        <w:rPr/>
        <w:t>is </w:t>
      </w:r>
      <w:r>
        <w:rPr>
          <w:spacing w:val="-3"/>
        </w:rPr>
        <w:t>called </w:t>
      </w:r>
      <w:r>
        <w:rPr/>
        <w:t>a </w:t>
      </w:r>
      <w:r>
        <w:rPr>
          <w:spacing w:val="-3"/>
        </w:rPr>
        <w:t>multiplexer frame. </w:t>
      </w:r>
      <w:r>
        <w:rPr/>
        <w:t>The </w:t>
      </w:r>
      <w:r>
        <w:rPr>
          <w:spacing w:val="-3"/>
        </w:rPr>
        <w:t>multiplexer of </w:t>
      </w:r>
      <w:r>
        <w:rPr/>
        <w:t>the </w:t>
      </w:r>
      <w:r>
        <w:rPr>
          <w:spacing w:val="-3"/>
        </w:rPr>
        <w:t>71M6543 </w:t>
      </w:r>
      <w:r>
        <w:rPr/>
        <w:t>can </w:t>
      </w:r>
      <w:r>
        <w:rPr>
          <w:spacing w:val="-3"/>
        </w:rPr>
        <w:t>select </w:t>
      </w:r>
      <w:r>
        <w:rPr/>
        <w:t>up to </w:t>
      </w:r>
      <w:r>
        <w:rPr>
          <w:spacing w:val="-3"/>
        </w:rPr>
        <w:t>eleven input signals when </w:t>
      </w:r>
      <w:r>
        <w:rPr/>
        <w:t>the </w:t>
      </w:r>
      <w:r>
        <w:rPr>
          <w:spacing w:val="-3"/>
        </w:rPr>
        <w:t>current sensor inputs </w:t>
      </w:r>
      <w:r>
        <w:rPr/>
        <w:t>are </w:t>
      </w:r>
      <w:r>
        <w:rPr>
          <w:spacing w:val="-3"/>
        </w:rPr>
        <w:t>configured for single-ended </w:t>
      </w:r>
      <w:r>
        <w:rPr/>
        <w:t>mode. When the </w:t>
      </w:r>
      <w:r>
        <w:rPr>
          <w:spacing w:val="-3"/>
        </w:rPr>
        <w:t>current sensor inputs </w:t>
      </w:r>
      <w:r>
        <w:rPr/>
        <w:t>are </w:t>
      </w:r>
      <w:r>
        <w:rPr>
          <w:spacing w:val="-3"/>
        </w:rPr>
        <w:t>configured </w:t>
      </w:r>
      <w:r>
        <w:rPr/>
        <w:t>in </w:t>
      </w:r>
      <w:r>
        <w:rPr>
          <w:spacing w:val="-3"/>
        </w:rPr>
        <w:t>differential </w:t>
      </w:r>
      <w:r>
        <w:rPr/>
        <w:t>mode </w:t>
      </w:r>
      <w:r>
        <w:rPr>
          <w:spacing w:val="-3"/>
        </w:rPr>
        <w:t>(recommended </w:t>
      </w:r>
      <w:r>
        <w:rPr/>
        <w:t>for </w:t>
      </w:r>
      <w:r>
        <w:rPr>
          <w:spacing w:val="-3"/>
        </w:rPr>
        <w:t>best performance), </w:t>
      </w:r>
      <w:r>
        <w:rPr/>
        <w:t>the </w:t>
      </w:r>
      <w:r>
        <w:rPr>
          <w:spacing w:val="-3"/>
        </w:rPr>
        <w:t>number of input signals is seven (i.e., IADC0- IADC1, IADC2-IADC3, IADC4-IADC5, IADC6-IADC7, VADC8, VADC9 </w:t>
      </w:r>
      <w:r>
        <w:rPr/>
        <w:t>and </w:t>
      </w:r>
      <w:r>
        <w:rPr>
          <w:spacing w:val="-3"/>
        </w:rPr>
        <w:t>VADC10) </w:t>
      </w:r>
      <w:r>
        <w:rPr/>
        <w:t>per </w:t>
      </w:r>
      <w:r>
        <w:rPr>
          <w:spacing w:val="-3"/>
        </w:rPr>
        <w:t>multiplexer frame.</w:t>
      </w:r>
    </w:p>
    <w:p>
      <w:pPr>
        <w:pStyle w:val="BodyText"/>
        <w:spacing w:line="230" w:lineRule="auto"/>
        <w:ind w:left="619" w:right="617"/>
      </w:pPr>
      <w:r>
        <w:rPr/>
        <w:t>The number of slots in the multiplexer frame is controlled by the I/O RAM control field </w:t>
      </w:r>
      <w:r>
        <w:rPr>
          <w:rFonts w:ascii="Times New Roman"/>
          <w:i/>
        </w:rPr>
        <w:t>MUX_DIV[3:0] (I/O </w:t>
      </w:r>
      <w:r>
        <w:rPr>
          <w:rFonts w:ascii="Times New Roman"/>
          <w:i/>
        </w:rPr>
        <w:t>RAM 0x2100[7:4]) </w:t>
      </w:r>
      <w:r>
        <w:rPr/>
        <w:t>(see </w:t>
      </w:r>
      <w:hyperlink w:history="true" w:anchor="_bookmark11">
        <w:r>
          <w:rPr>
            <w:color w:val="0000FF"/>
          </w:rPr>
          <w:t>Figure 4</w:t>
        </w:r>
      </w:hyperlink>
      <w:r>
        <w:rPr>
          <w:rFonts w:ascii="Times New Roman"/>
        </w:rPr>
        <w:t>)</w:t>
      </w:r>
      <w:r>
        <w:rPr/>
        <w:t>. The multiplexer always starts at state 0 and proceeds until the number of sensor channels determined by the </w:t>
      </w:r>
      <w:r>
        <w:rPr>
          <w:rFonts w:ascii="Times New Roman"/>
          <w:i/>
        </w:rPr>
        <w:t>MUX_DIV[3:0] </w:t>
      </w:r>
      <w:r>
        <w:rPr/>
        <w:t>field setting have been converted.</w:t>
      </w:r>
    </w:p>
    <w:p>
      <w:pPr>
        <w:pStyle w:val="BodyText"/>
        <w:spacing w:line="230" w:lineRule="auto" w:before="116"/>
        <w:ind w:left="619" w:right="856"/>
      </w:pPr>
      <w:r>
        <w:rPr/>
        <w:t>The 71M6543 requires a unique CE code that is written for the specific meter configuration. Moreover, each CE code requires specific AFE and MUX settings in order to function properly. </w:t>
      </w:r>
      <w:hyperlink w:history="true" w:anchor="_bookmark9">
        <w:r>
          <w:rPr>
            <w:color w:val="0000FF"/>
          </w:rPr>
          <w:t>Table 1 </w:t>
        </w:r>
      </w:hyperlink>
      <w:r>
        <w:rPr/>
        <w:t>provides the CE code and settings corresponding to the </w:t>
      </w:r>
      <w:r>
        <w:rPr>
          <w:spacing w:val="2"/>
        </w:rPr>
        <w:t>1-Local </w:t>
      </w:r>
      <w:r>
        <w:rPr/>
        <w:t>/ 3-Remote sensor configuration shown in  </w:t>
      </w:r>
      <w:hyperlink w:history="true" w:anchor="_bookmark5">
        <w:r>
          <w:rPr>
            <w:color w:val="0000FF"/>
          </w:rPr>
          <w:t>Figure 2</w:t>
        </w:r>
        <w:r>
          <w:rPr/>
          <w:t>. </w:t>
        </w:r>
      </w:hyperlink>
      <w:hyperlink w:history="true" w:anchor="_bookmark10">
        <w:r>
          <w:rPr>
            <w:color w:val="0000FF"/>
          </w:rPr>
          <w:t>Table 2 </w:t>
        </w:r>
      </w:hyperlink>
      <w:r>
        <w:rPr/>
        <w:t>provides the CE code and settings corresponding to the CT configuration shown in </w:t>
      </w:r>
      <w:hyperlink w:history="true" w:anchor="_bookmark7">
        <w:r>
          <w:rPr>
            <w:color w:val="0000FF"/>
          </w:rPr>
          <w:t>Figure 3</w:t>
        </w:r>
        <w:r>
          <w:rPr/>
          <w:t>.</w:t>
        </w:r>
      </w:hyperlink>
    </w:p>
    <w:p>
      <w:pPr>
        <w:spacing w:after="0" w:line="230" w:lineRule="auto"/>
        <w:sectPr>
          <w:pgSz w:w="12240" w:h="15840"/>
          <w:pgMar w:header="727" w:footer="819" w:top="960" w:bottom="1000" w:left="820" w:right="860"/>
        </w:sectPr>
      </w:pPr>
    </w:p>
    <w:p>
      <w:pPr>
        <w:pStyle w:val="BodyText"/>
        <w:spacing w:before="8"/>
        <w:rPr>
          <w:sz w:val="12"/>
        </w:rPr>
      </w:pPr>
    </w:p>
    <w:p>
      <w:pPr>
        <w:pStyle w:val="Heading1"/>
        <w:spacing w:before="93"/>
        <w:ind w:left="1315" w:right="1278"/>
      </w:pPr>
      <w:bookmarkStart w:name="_bookmark9" w:id="22"/>
      <w:bookmarkEnd w:id="22"/>
      <w:r>
        <w:rPr>
          <w:b w:val="0"/>
        </w:rPr>
      </w:r>
      <w:r>
        <w:rPr/>
        <w:t>Table 1. Required CE Code and Settings for 1-Local / 3-Remotes</w:t>
      </w:r>
    </w:p>
    <w:p>
      <w:pPr>
        <w:pStyle w:val="BodyText"/>
        <w:spacing w:before="8"/>
        <w:rPr>
          <w:b/>
          <w:sz w:val="5"/>
        </w:rPr>
      </w:pPr>
    </w:p>
    <w:tbl>
      <w:tblPr>
        <w:tblW w:w="0" w:type="auto"/>
        <w:jc w:val="left"/>
        <w:tblInd w:w="10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203"/>
        <w:gridCol w:w="1260"/>
        <w:gridCol w:w="1735"/>
        <w:gridCol w:w="3331"/>
      </w:tblGrid>
      <w:tr>
        <w:trPr>
          <w:trHeight w:val="460" w:hRule="atLeast"/>
        </w:trPr>
        <w:tc>
          <w:tcPr>
            <w:tcW w:w="2203" w:type="dxa"/>
          </w:tcPr>
          <w:p>
            <w:pPr>
              <w:pStyle w:val="TableParagraph"/>
              <w:spacing w:line="225" w:lineRule="exact"/>
              <w:ind w:left="712"/>
              <w:rPr>
                <w:b/>
                <w:sz w:val="20"/>
              </w:rPr>
            </w:pPr>
            <w:r>
              <w:rPr>
                <w:b/>
                <w:sz w:val="20"/>
              </w:rPr>
              <w:t>I/O RAM</w:t>
            </w:r>
          </w:p>
          <w:p>
            <w:pPr>
              <w:pStyle w:val="TableParagraph"/>
              <w:spacing w:line="215" w:lineRule="exact"/>
              <w:ind w:left="607"/>
              <w:rPr>
                <w:b/>
                <w:sz w:val="20"/>
              </w:rPr>
            </w:pPr>
            <w:r>
              <w:rPr>
                <w:b/>
                <w:sz w:val="20"/>
              </w:rPr>
              <w:t>Mnemonic</w:t>
            </w:r>
          </w:p>
        </w:tc>
        <w:tc>
          <w:tcPr>
            <w:tcW w:w="1260" w:type="dxa"/>
          </w:tcPr>
          <w:p>
            <w:pPr>
              <w:pStyle w:val="TableParagraph"/>
              <w:spacing w:line="225" w:lineRule="exact"/>
              <w:ind w:left="240"/>
              <w:rPr>
                <w:b/>
                <w:sz w:val="20"/>
              </w:rPr>
            </w:pPr>
            <w:r>
              <w:rPr>
                <w:b/>
                <w:sz w:val="20"/>
              </w:rPr>
              <w:t>I/O</w:t>
            </w:r>
            <w:r>
              <w:rPr>
                <w:b/>
                <w:spacing w:val="-8"/>
                <w:sz w:val="20"/>
              </w:rPr>
              <w:t> </w:t>
            </w:r>
            <w:r>
              <w:rPr>
                <w:b/>
                <w:sz w:val="20"/>
              </w:rPr>
              <w:t>RAM</w:t>
            </w:r>
          </w:p>
          <w:p>
            <w:pPr>
              <w:pStyle w:val="TableParagraph"/>
              <w:spacing w:line="215" w:lineRule="exact"/>
              <w:ind w:left="213"/>
              <w:rPr>
                <w:b/>
                <w:sz w:val="20"/>
              </w:rPr>
            </w:pPr>
            <w:r>
              <w:rPr>
                <w:b/>
                <w:sz w:val="20"/>
              </w:rPr>
              <w:t>Location</w:t>
            </w:r>
          </w:p>
        </w:tc>
        <w:tc>
          <w:tcPr>
            <w:tcW w:w="1735" w:type="dxa"/>
          </w:tcPr>
          <w:p>
            <w:pPr>
              <w:pStyle w:val="TableParagraph"/>
              <w:spacing w:before="110"/>
              <w:ind w:left="89" w:right="89"/>
              <w:jc w:val="center"/>
              <w:rPr>
                <w:b/>
                <w:sz w:val="20"/>
              </w:rPr>
            </w:pPr>
            <w:r>
              <w:rPr>
                <w:b/>
                <w:sz w:val="20"/>
              </w:rPr>
              <w:t>I/O RAM Setting</w:t>
            </w:r>
          </w:p>
        </w:tc>
        <w:tc>
          <w:tcPr>
            <w:tcW w:w="3331" w:type="dxa"/>
          </w:tcPr>
          <w:p>
            <w:pPr>
              <w:pStyle w:val="TableParagraph"/>
              <w:spacing w:before="110"/>
              <w:ind w:left="603" w:right="602"/>
              <w:jc w:val="center"/>
              <w:rPr>
                <w:b/>
                <w:sz w:val="20"/>
              </w:rPr>
            </w:pPr>
            <w:r>
              <w:rPr>
                <w:b/>
                <w:sz w:val="20"/>
              </w:rPr>
              <w:t>Comments</w:t>
            </w:r>
          </w:p>
        </w:tc>
      </w:tr>
      <w:tr>
        <w:trPr>
          <w:trHeight w:val="227" w:hRule="atLeast"/>
        </w:trPr>
        <w:tc>
          <w:tcPr>
            <w:tcW w:w="2203" w:type="dxa"/>
          </w:tcPr>
          <w:p>
            <w:pPr>
              <w:pStyle w:val="TableParagraph"/>
              <w:spacing w:line="208" w:lineRule="exact"/>
              <w:ind w:left="151" w:right="149"/>
              <w:jc w:val="center"/>
              <w:rPr>
                <w:rFonts w:ascii="Times New Roman"/>
                <w:i/>
                <w:sz w:val="20"/>
              </w:rPr>
            </w:pPr>
            <w:r>
              <w:rPr>
                <w:rFonts w:ascii="Times New Roman"/>
                <w:i/>
                <w:sz w:val="20"/>
              </w:rPr>
              <w:t>FIR_LEN[1:0]</w:t>
            </w:r>
          </w:p>
        </w:tc>
        <w:tc>
          <w:tcPr>
            <w:tcW w:w="1260" w:type="dxa"/>
          </w:tcPr>
          <w:p>
            <w:pPr>
              <w:pStyle w:val="TableParagraph"/>
              <w:spacing w:line="208" w:lineRule="exact"/>
              <w:ind w:left="174" w:right="172"/>
              <w:jc w:val="center"/>
              <w:rPr>
                <w:sz w:val="20"/>
              </w:rPr>
            </w:pPr>
            <w:r>
              <w:rPr>
                <w:sz w:val="20"/>
              </w:rPr>
              <w:t>210C[2:1]</w:t>
            </w:r>
          </w:p>
        </w:tc>
        <w:tc>
          <w:tcPr>
            <w:tcW w:w="1735" w:type="dxa"/>
          </w:tcPr>
          <w:p>
            <w:pPr>
              <w:pStyle w:val="TableParagraph"/>
              <w:spacing w:line="208" w:lineRule="exact"/>
              <w:ind w:left="3"/>
              <w:jc w:val="center"/>
              <w:rPr>
                <w:sz w:val="20"/>
              </w:rPr>
            </w:pPr>
            <w:r>
              <w:rPr>
                <w:w w:val="99"/>
                <w:sz w:val="20"/>
              </w:rPr>
              <w:t>1</w:t>
            </w:r>
          </w:p>
        </w:tc>
        <w:tc>
          <w:tcPr>
            <w:tcW w:w="3331" w:type="dxa"/>
          </w:tcPr>
          <w:p>
            <w:pPr>
              <w:pStyle w:val="TableParagraph"/>
              <w:spacing w:line="208" w:lineRule="exact"/>
              <w:ind w:left="602" w:right="603"/>
              <w:jc w:val="center"/>
              <w:rPr>
                <w:sz w:val="20"/>
              </w:rPr>
            </w:pPr>
            <w:r>
              <w:rPr>
                <w:sz w:val="20"/>
              </w:rPr>
              <w:t>288 cycles</w:t>
            </w:r>
          </w:p>
        </w:tc>
      </w:tr>
      <w:tr>
        <w:trPr>
          <w:trHeight w:val="230" w:hRule="atLeast"/>
        </w:trPr>
        <w:tc>
          <w:tcPr>
            <w:tcW w:w="2203" w:type="dxa"/>
          </w:tcPr>
          <w:p>
            <w:pPr>
              <w:pStyle w:val="TableParagraph"/>
              <w:spacing w:line="210" w:lineRule="exact"/>
              <w:ind w:left="150" w:right="149"/>
              <w:jc w:val="center"/>
              <w:rPr>
                <w:rFonts w:ascii="Times New Roman"/>
                <w:i/>
                <w:sz w:val="20"/>
              </w:rPr>
            </w:pPr>
            <w:r>
              <w:rPr>
                <w:rFonts w:ascii="Times New Roman"/>
                <w:i/>
                <w:sz w:val="20"/>
              </w:rPr>
              <w:t>ADC_DIV</w:t>
            </w:r>
          </w:p>
        </w:tc>
        <w:tc>
          <w:tcPr>
            <w:tcW w:w="1260" w:type="dxa"/>
          </w:tcPr>
          <w:p>
            <w:pPr>
              <w:pStyle w:val="TableParagraph"/>
              <w:spacing w:line="210" w:lineRule="exact"/>
              <w:ind w:left="172" w:right="172"/>
              <w:jc w:val="center"/>
              <w:rPr>
                <w:sz w:val="20"/>
              </w:rPr>
            </w:pPr>
            <w:r>
              <w:rPr>
                <w:sz w:val="20"/>
              </w:rPr>
              <w:t>2200[5]</w:t>
            </w:r>
          </w:p>
        </w:tc>
        <w:tc>
          <w:tcPr>
            <w:tcW w:w="1735" w:type="dxa"/>
          </w:tcPr>
          <w:p>
            <w:pPr>
              <w:pStyle w:val="TableParagraph"/>
              <w:spacing w:line="210" w:lineRule="exact"/>
              <w:ind w:left="3"/>
              <w:jc w:val="center"/>
              <w:rPr>
                <w:sz w:val="20"/>
              </w:rPr>
            </w:pPr>
            <w:r>
              <w:rPr>
                <w:w w:val="99"/>
                <w:sz w:val="20"/>
              </w:rPr>
              <w:t>0</w:t>
            </w:r>
          </w:p>
        </w:tc>
        <w:tc>
          <w:tcPr>
            <w:tcW w:w="3331" w:type="dxa"/>
          </w:tcPr>
          <w:p>
            <w:pPr>
              <w:pStyle w:val="TableParagraph"/>
              <w:spacing w:line="210" w:lineRule="exact"/>
              <w:ind w:left="603" w:right="603"/>
              <w:jc w:val="center"/>
              <w:rPr>
                <w:sz w:val="20"/>
              </w:rPr>
            </w:pPr>
            <w:r>
              <w:rPr>
                <w:sz w:val="20"/>
              </w:rPr>
              <w:t>Fast</w:t>
            </w:r>
          </w:p>
        </w:tc>
      </w:tr>
      <w:tr>
        <w:trPr>
          <w:trHeight w:val="230" w:hRule="atLeast"/>
        </w:trPr>
        <w:tc>
          <w:tcPr>
            <w:tcW w:w="2203" w:type="dxa"/>
          </w:tcPr>
          <w:p>
            <w:pPr>
              <w:pStyle w:val="TableParagraph"/>
              <w:spacing w:line="210" w:lineRule="exact"/>
              <w:ind w:left="151" w:right="149"/>
              <w:jc w:val="center"/>
              <w:rPr>
                <w:rFonts w:ascii="Times New Roman"/>
                <w:i/>
                <w:sz w:val="20"/>
              </w:rPr>
            </w:pPr>
            <w:r>
              <w:rPr>
                <w:rFonts w:ascii="Times New Roman"/>
                <w:i/>
                <w:sz w:val="20"/>
              </w:rPr>
              <w:t>PLL_FAST</w:t>
            </w:r>
          </w:p>
        </w:tc>
        <w:tc>
          <w:tcPr>
            <w:tcW w:w="1260" w:type="dxa"/>
          </w:tcPr>
          <w:p>
            <w:pPr>
              <w:pStyle w:val="TableParagraph"/>
              <w:spacing w:line="210" w:lineRule="exact"/>
              <w:ind w:left="172" w:right="172"/>
              <w:jc w:val="center"/>
              <w:rPr>
                <w:sz w:val="20"/>
              </w:rPr>
            </w:pPr>
            <w:r>
              <w:rPr>
                <w:sz w:val="20"/>
              </w:rPr>
              <w:t>2200[4]</w:t>
            </w:r>
          </w:p>
        </w:tc>
        <w:tc>
          <w:tcPr>
            <w:tcW w:w="1735" w:type="dxa"/>
          </w:tcPr>
          <w:p>
            <w:pPr>
              <w:pStyle w:val="TableParagraph"/>
              <w:spacing w:line="210" w:lineRule="exact"/>
              <w:ind w:left="3"/>
              <w:jc w:val="center"/>
              <w:rPr>
                <w:sz w:val="20"/>
              </w:rPr>
            </w:pPr>
            <w:r>
              <w:rPr>
                <w:w w:val="99"/>
                <w:sz w:val="20"/>
              </w:rPr>
              <w:t>1</w:t>
            </w:r>
          </w:p>
        </w:tc>
        <w:tc>
          <w:tcPr>
            <w:tcW w:w="3331" w:type="dxa"/>
          </w:tcPr>
          <w:p>
            <w:pPr>
              <w:pStyle w:val="TableParagraph"/>
              <w:spacing w:line="210" w:lineRule="exact"/>
              <w:ind w:left="1181"/>
              <w:rPr>
                <w:sz w:val="20"/>
              </w:rPr>
            </w:pPr>
            <w:r>
              <w:rPr>
                <w:sz w:val="20"/>
              </w:rPr>
              <w:t>19.66 MHz</w:t>
            </w:r>
          </w:p>
        </w:tc>
      </w:tr>
      <w:tr>
        <w:trPr>
          <w:trHeight w:val="230" w:hRule="atLeast"/>
        </w:trPr>
        <w:tc>
          <w:tcPr>
            <w:tcW w:w="2203" w:type="dxa"/>
          </w:tcPr>
          <w:p>
            <w:pPr>
              <w:pStyle w:val="TableParagraph"/>
              <w:spacing w:line="210" w:lineRule="exact"/>
              <w:ind w:left="149" w:right="149"/>
              <w:jc w:val="center"/>
              <w:rPr>
                <w:rFonts w:ascii="Times New Roman"/>
                <w:i/>
                <w:sz w:val="20"/>
              </w:rPr>
            </w:pPr>
            <w:r>
              <w:rPr>
                <w:rFonts w:ascii="Times New Roman"/>
                <w:i/>
                <w:sz w:val="20"/>
              </w:rPr>
              <w:t>MUX_DIV[3:0]</w:t>
            </w:r>
          </w:p>
        </w:tc>
        <w:tc>
          <w:tcPr>
            <w:tcW w:w="1260" w:type="dxa"/>
          </w:tcPr>
          <w:p>
            <w:pPr>
              <w:pStyle w:val="TableParagraph"/>
              <w:spacing w:line="210" w:lineRule="exact"/>
              <w:ind w:left="172" w:right="172"/>
              <w:jc w:val="center"/>
              <w:rPr>
                <w:sz w:val="20"/>
              </w:rPr>
            </w:pPr>
            <w:r>
              <w:rPr>
                <w:sz w:val="20"/>
              </w:rPr>
              <w:t>2100[7:4]</w:t>
            </w:r>
          </w:p>
        </w:tc>
        <w:tc>
          <w:tcPr>
            <w:tcW w:w="1735" w:type="dxa"/>
          </w:tcPr>
          <w:p>
            <w:pPr>
              <w:pStyle w:val="TableParagraph"/>
              <w:spacing w:line="210" w:lineRule="exact"/>
              <w:ind w:left="3"/>
              <w:jc w:val="center"/>
              <w:rPr>
                <w:sz w:val="20"/>
              </w:rPr>
            </w:pPr>
            <w:r>
              <w:rPr>
                <w:w w:val="99"/>
                <w:sz w:val="20"/>
              </w:rPr>
              <w:t>6</w:t>
            </w:r>
          </w:p>
        </w:tc>
        <w:tc>
          <w:tcPr>
            <w:tcW w:w="3331" w:type="dxa"/>
          </w:tcPr>
          <w:p>
            <w:pPr>
              <w:pStyle w:val="TableParagraph"/>
              <w:spacing w:line="210" w:lineRule="exact"/>
              <w:ind w:left="603" w:right="602"/>
              <w:jc w:val="center"/>
              <w:rPr>
                <w:sz w:val="20"/>
              </w:rPr>
            </w:pPr>
            <w:r>
              <w:rPr>
                <w:sz w:val="20"/>
              </w:rPr>
              <w:t>See note 1</w:t>
            </w:r>
          </w:p>
        </w:tc>
      </w:tr>
      <w:tr>
        <w:trPr>
          <w:trHeight w:val="460" w:hRule="atLeast"/>
        </w:trPr>
        <w:tc>
          <w:tcPr>
            <w:tcW w:w="2203" w:type="dxa"/>
          </w:tcPr>
          <w:p>
            <w:pPr>
              <w:pStyle w:val="TableParagraph"/>
              <w:spacing w:line="223" w:lineRule="exact"/>
              <w:ind w:left="148" w:right="149"/>
              <w:jc w:val="center"/>
              <w:rPr>
                <w:rFonts w:ascii="Times New Roman"/>
                <w:i/>
                <w:sz w:val="20"/>
              </w:rPr>
            </w:pPr>
            <w:r>
              <w:rPr>
                <w:rFonts w:ascii="Times New Roman"/>
                <w:i/>
                <w:sz w:val="20"/>
              </w:rPr>
              <w:t>MUX0_SEL[3:0]</w:t>
            </w:r>
          </w:p>
        </w:tc>
        <w:tc>
          <w:tcPr>
            <w:tcW w:w="1260" w:type="dxa"/>
          </w:tcPr>
          <w:p>
            <w:pPr>
              <w:pStyle w:val="TableParagraph"/>
              <w:spacing w:line="227" w:lineRule="exact"/>
              <w:ind w:left="172" w:right="172"/>
              <w:jc w:val="center"/>
              <w:rPr>
                <w:sz w:val="20"/>
              </w:rPr>
            </w:pPr>
            <w:r>
              <w:rPr>
                <w:sz w:val="20"/>
              </w:rPr>
              <w:t>2105[3:0]</w:t>
            </w:r>
          </w:p>
        </w:tc>
        <w:tc>
          <w:tcPr>
            <w:tcW w:w="1735" w:type="dxa"/>
          </w:tcPr>
          <w:p>
            <w:pPr>
              <w:pStyle w:val="TableParagraph"/>
              <w:spacing w:line="227" w:lineRule="exact"/>
              <w:ind w:left="3"/>
              <w:jc w:val="center"/>
              <w:rPr>
                <w:sz w:val="20"/>
              </w:rPr>
            </w:pPr>
            <w:r>
              <w:rPr>
                <w:w w:val="99"/>
                <w:sz w:val="20"/>
              </w:rPr>
              <w:t>0</w:t>
            </w:r>
          </w:p>
        </w:tc>
        <w:tc>
          <w:tcPr>
            <w:tcW w:w="3331" w:type="dxa"/>
          </w:tcPr>
          <w:p>
            <w:pPr>
              <w:pStyle w:val="TableParagraph"/>
              <w:spacing w:line="225" w:lineRule="exact"/>
              <w:ind w:left="603" w:right="599"/>
              <w:jc w:val="center"/>
              <w:rPr>
                <w:sz w:val="20"/>
              </w:rPr>
            </w:pPr>
            <w:r>
              <w:rPr>
                <w:sz w:val="20"/>
              </w:rPr>
              <w:t>Slot 0 is IADC</w:t>
            </w:r>
            <w:r>
              <w:rPr>
                <w:b/>
                <w:sz w:val="20"/>
              </w:rPr>
              <w:t>0</w:t>
            </w:r>
            <w:r>
              <w:rPr>
                <w:sz w:val="20"/>
              </w:rPr>
              <w:t>-IADC1</w:t>
            </w:r>
          </w:p>
          <w:p>
            <w:pPr>
              <w:pStyle w:val="TableParagraph"/>
              <w:spacing w:line="213" w:lineRule="exact" w:before="3"/>
              <w:ind w:left="603" w:right="601"/>
              <w:jc w:val="center"/>
              <w:rPr>
                <w:sz w:val="20"/>
              </w:rPr>
            </w:pPr>
            <w:r>
              <w:rPr>
                <w:sz w:val="20"/>
              </w:rPr>
              <w:t>(IN)</w:t>
            </w:r>
          </w:p>
        </w:tc>
      </w:tr>
      <w:tr>
        <w:trPr>
          <w:trHeight w:val="230" w:hRule="atLeast"/>
        </w:trPr>
        <w:tc>
          <w:tcPr>
            <w:tcW w:w="2203" w:type="dxa"/>
          </w:tcPr>
          <w:p>
            <w:pPr>
              <w:pStyle w:val="TableParagraph"/>
              <w:spacing w:line="210" w:lineRule="exact"/>
              <w:ind w:left="148" w:right="149"/>
              <w:jc w:val="center"/>
              <w:rPr>
                <w:rFonts w:ascii="Times New Roman"/>
                <w:i/>
                <w:sz w:val="20"/>
              </w:rPr>
            </w:pPr>
            <w:r>
              <w:rPr>
                <w:rFonts w:ascii="Times New Roman"/>
                <w:i/>
                <w:sz w:val="20"/>
              </w:rPr>
              <w:t>MUX1_SEL[3:0]</w:t>
            </w:r>
          </w:p>
        </w:tc>
        <w:tc>
          <w:tcPr>
            <w:tcW w:w="1260" w:type="dxa"/>
          </w:tcPr>
          <w:p>
            <w:pPr>
              <w:pStyle w:val="TableParagraph"/>
              <w:spacing w:line="210" w:lineRule="exact"/>
              <w:ind w:left="172" w:right="172"/>
              <w:jc w:val="center"/>
              <w:rPr>
                <w:sz w:val="20"/>
              </w:rPr>
            </w:pPr>
            <w:r>
              <w:rPr>
                <w:sz w:val="20"/>
              </w:rPr>
              <w:t>2105[7:4]</w:t>
            </w:r>
          </w:p>
        </w:tc>
        <w:tc>
          <w:tcPr>
            <w:tcW w:w="1735" w:type="dxa"/>
          </w:tcPr>
          <w:p>
            <w:pPr>
              <w:pStyle w:val="TableParagraph"/>
              <w:spacing w:line="210" w:lineRule="exact"/>
              <w:ind w:left="3"/>
              <w:jc w:val="center"/>
              <w:rPr>
                <w:sz w:val="20"/>
              </w:rPr>
            </w:pPr>
            <w:r>
              <w:rPr>
                <w:w w:val="99"/>
                <w:sz w:val="20"/>
              </w:rPr>
              <w:t>1</w:t>
            </w:r>
          </w:p>
        </w:tc>
        <w:tc>
          <w:tcPr>
            <w:tcW w:w="3331" w:type="dxa"/>
          </w:tcPr>
          <w:p>
            <w:pPr>
              <w:pStyle w:val="TableParagraph"/>
              <w:spacing w:line="210" w:lineRule="exact"/>
              <w:ind w:left="603" w:right="603"/>
              <w:jc w:val="center"/>
              <w:rPr>
                <w:sz w:val="20"/>
              </w:rPr>
            </w:pPr>
            <w:r>
              <w:rPr>
                <w:sz w:val="20"/>
              </w:rPr>
              <w:t>Unused (See note 2)</w:t>
            </w:r>
          </w:p>
        </w:tc>
      </w:tr>
      <w:tr>
        <w:trPr>
          <w:trHeight w:val="230" w:hRule="atLeast"/>
        </w:trPr>
        <w:tc>
          <w:tcPr>
            <w:tcW w:w="2203" w:type="dxa"/>
          </w:tcPr>
          <w:p>
            <w:pPr>
              <w:pStyle w:val="TableParagraph"/>
              <w:spacing w:line="210" w:lineRule="exact"/>
              <w:ind w:left="148" w:right="149"/>
              <w:jc w:val="center"/>
              <w:rPr>
                <w:rFonts w:ascii="Times New Roman"/>
                <w:i/>
                <w:sz w:val="20"/>
              </w:rPr>
            </w:pPr>
            <w:r>
              <w:rPr>
                <w:rFonts w:ascii="Times New Roman"/>
                <w:i/>
                <w:sz w:val="20"/>
              </w:rPr>
              <w:t>MUX2_SEL[3:0]</w:t>
            </w:r>
          </w:p>
        </w:tc>
        <w:tc>
          <w:tcPr>
            <w:tcW w:w="1260" w:type="dxa"/>
          </w:tcPr>
          <w:p>
            <w:pPr>
              <w:pStyle w:val="TableParagraph"/>
              <w:spacing w:line="210" w:lineRule="exact"/>
              <w:ind w:left="172" w:right="172"/>
              <w:jc w:val="center"/>
              <w:rPr>
                <w:sz w:val="20"/>
              </w:rPr>
            </w:pPr>
            <w:r>
              <w:rPr>
                <w:sz w:val="20"/>
              </w:rPr>
              <w:t>2104[3:0]</w:t>
            </w:r>
          </w:p>
        </w:tc>
        <w:tc>
          <w:tcPr>
            <w:tcW w:w="1735" w:type="dxa"/>
          </w:tcPr>
          <w:p>
            <w:pPr>
              <w:pStyle w:val="TableParagraph"/>
              <w:spacing w:line="210" w:lineRule="exact"/>
              <w:ind w:left="3"/>
              <w:jc w:val="center"/>
              <w:rPr>
                <w:sz w:val="20"/>
              </w:rPr>
            </w:pPr>
            <w:r>
              <w:rPr>
                <w:w w:val="99"/>
                <w:sz w:val="20"/>
              </w:rPr>
              <w:t>1</w:t>
            </w:r>
          </w:p>
        </w:tc>
        <w:tc>
          <w:tcPr>
            <w:tcW w:w="3331" w:type="dxa"/>
          </w:tcPr>
          <w:p>
            <w:pPr>
              <w:pStyle w:val="TableParagraph"/>
              <w:spacing w:line="210" w:lineRule="exact"/>
              <w:ind w:left="603" w:right="603"/>
              <w:jc w:val="center"/>
              <w:rPr>
                <w:sz w:val="20"/>
              </w:rPr>
            </w:pPr>
            <w:r>
              <w:rPr>
                <w:sz w:val="20"/>
              </w:rPr>
              <w:t>Unused (See note 2)</w:t>
            </w:r>
          </w:p>
        </w:tc>
      </w:tr>
      <w:tr>
        <w:trPr>
          <w:trHeight w:val="458" w:hRule="atLeast"/>
        </w:trPr>
        <w:tc>
          <w:tcPr>
            <w:tcW w:w="2203" w:type="dxa"/>
          </w:tcPr>
          <w:p>
            <w:pPr>
              <w:pStyle w:val="TableParagraph"/>
              <w:spacing w:line="223" w:lineRule="exact"/>
              <w:ind w:left="148" w:right="149"/>
              <w:jc w:val="center"/>
              <w:rPr>
                <w:rFonts w:ascii="Times New Roman"/>
                <w:i/>
                <w:sz w:val="20"/>
              </w:rPr>
            </w:pPr>
            <w:r>
              <w:rPr>
                <w:rFonts w:ascii="Times New Roman"/>
                <w:i/>
                <w:sz w:val="20"/>
              </w:rPr>
              <w:t>MUX3_SEL[3:0]</w:t>
            </w:r>
          </w:p>
        </w:tc>
        <w:tc>
          <w:tcPr>
            <w:tcW w:w="1260" w:type="dxa"/>
          </w:tcPr>
          <w:p>
            <w:pPr>
              <w:pStyle w:val="TableParagraph"/>
              <w:spacing w:line="227" w:lineRule="exact"/>
              <w:ind w:left="172" w:right="172"/>
              <w:jc w:val="center"/>
              <w:rPr>
                <w:sz w:val="20"/>
              </w:rPr>
            </w:pPr>
            <w:r>
              <w:rPr>
                <w:sz w:val="20"/>
              </w:rPr>
              <w:t>2104[7:4]</w:t>
            </w:r>
          </w:p>
        </w:tc>
        <w:tc>
          <w:tcPr>
            <w:tcW w:w="1735" w:type="dxa"/>
          </w:tcPr>
          <w:p>
            <w:pPr>
              <w:pStyle w:val="TableParagraph"/>
              <w:spacing w:line="227" w:lineRule="exact"/>
              <w:ind w:left="3"/>
              <w:jc w:val="center"/>
              <w:rPr>
                <w:sz w:val="20"/>
              </w:rPr>
            </w:pPr>
            <w:r>
              <w:rPr>
                <w:w w:val="99"/>
                <w:sz w:val="20"/>
              </w:rPr>
              <w:t>8</w:t>
            </w:r>
          </w:p>
        </w:tc>
        <w:tc>
          <w:tcPr>
            <w:tcW w:w="3331" w:type="dxa"/>
          </w:tcPr>
          <w:p>
            <w:pPr>
              <w:pStyle w:val="TableParagraph"/>
              <w:spacing w:line="225" w:lineRule="exact"/>
              <w:ind w:left="603" w:right="602"/>
              <w:jc w:val="center"/>
              <w:rPr>
                <w:b/>
                <w:sz w:val="20"/>
              </w:rPr>
            </w:pPr>
            <w:r>
              <w:rPr>
                <w:sz w:val="20"/>
              </w:rPr>
              <w:t>Slot 3 is VADC</w:t>
            </w:r>
            <w:r>
              <w:rPr>
                <w:b/>
                <w:sz w:val="20"/>
              </w:rPr>
              <w:t>8</w:t>
            </w:r>
          </w:p>
          <w:p>
            <w:pPr>
              <w:pStyle w:val="TableParagraph"/>
              <w:spacing w:line="211" w:lineRule="exact" w:before="3"/>
              <w:ind w:left="603" w:right="603"/>
              <w:jc w:val="center"/>
              <w:rPr>
                <w:sz w:val="20"/>
              </w:rPr>
            </w:pPr>
            <w:r>
              <w:rPr>
                <w:sz w:val="20"/>
              </w:rPr>
              <w:t>(VA)</w:t>
            </w:r>
          </w:p>
        </w:tc>
      </w:tr>
      <w:tr>
        <w:trPr>
          <w:trHeight w:val="460" w:hRule="atLeast"/>
        </w:trPr>
        <w:tc>
          <w:tcPr>
            <w:tcW w:w="2203" w:type="dxa"/>
          </w:tcPr>
          <w:p>
            <w:pPr>
              <w:pStyle w:val="TableParagraph"/>
              <w:spacing w:line="226" w:lineRule="exact"/>
              <w:ind w:left="148" w:right="149"/>
              <w:jc w:val="center"/>
              <w:rPr>
                <w:rFonts w:ascii="Times New Roman"/>
                <w:i/>
                <w:sz w:val="20"/>
              </w:rPr>
            </w:pPr>
            <w:r>
              <w:rPr>
                <w:rFonts w:ascii="Times New Roman"/>
                <w:i/>
                <w:sz w:val="20"/>
              </w:rPr>
              <w:t>MUX4_SEL[3:0]</w:t>
            </w:r>
          </w:p>
        </w:tc>
        <w:tc>
          <w:tcPr>
            <w:tcW w:w="1260" w:type="dxa"/>
          </w:tcPr>
          <w:p>
            <w:pPr>
              <w:pStyle w:val="TableParagraph"/>
              <w:spacing w:line="229" w:lineRule="exact"/>
              <w:ind w:left="172" w:right="172"/>
              <w:jc w:val="center"/>
              <w:rPr>
                <w:sz w:val="20"/>
              </w:rPr>
            </w:pPr>
            <w:r>
              <w:rPr>
                <w:sz w:val="20"/>
              </w:rPr>
              <w:t>2103[3:0]</w:t>
            </w:r>
          </w:p>
        </w:tc>
        <w:tc>
          <w:tcPr>
            <w:tcW w:w="1735" w:type="dxa"/>
          </w:tcPr>
          <w:p>
            <w:pPr>
              <w:pStyle w:val="TableParagraph"/>
              <w:spacing w:line="229" w:lineRule="exact"/>
              <w:ind w:left="3"/>
              <w:jc w:val="center"/>
              <w:rPr>
                <w:sz w:val="20"/>
              </w:rPr>
            </w:pPr>
            <w:r>
              <w:rPr>
                <w:w w:val="99"/>
                <w:sz w:val="20"/>
              </w:rPr>
              <w:t>9</w:t>
            </w:r>
          </w:p>
        </w:tc>
        <w:tc>
          <w:tcPr>
            <w:tcW w:w="3331" w:type="dxa"/>
          </w:tcPr>
          <w:p>
            <w:pPr>
              <w:pStyle w:val="TableParagraph"/>
              <w:spacing w:line="230" w:lineRule="exact"/>
              <w:ind w:left="1464" w:right="924" w:hanging="516"/>
              <w:rPr>
                <w:sz w:val="20"/>
              </w:rPr>
            </w:pPr>
            <w:r>
              <w:rPr>
                <w:sz w:val="20"/>
              </w:rPr>
              <w:t>Slot 4 is VADC</w:t>
            </w:r>
            <w:r>
              <w:rPr>
                <w:b/>
                <w:sz w:val="20"/>
              </w:rPr>
              <w:t>9 </w:t>
            </w:r>
            <w:r>
              <w:rPr>
                <w:sz w:val="20"/>
              </w:rPr>
              <w:t>(VB)</w:t>
            </w:r>
          </w:p>
        </w:tc>
      </w:tr>
      <w:tr>
        <w:trPr>
          <w:trHeight w:val="460" w:hRule="atLeast"/>
        </w:trPr>
        <w:tc>
          <w:tcPr>
            <w:tcW w:w="2203" w:type="dxa"/>
          </w:tcPr>
          <w:p>
            <w:pPr>
              <w:pStyle w:val="TableParagraph"/>
              <w:spacing w:line="223" w:lineRule="exact"/>
              <w:ind w:left="148" w:right="149"/>
              <w:jc w:val="center"/>
              <w:rPr>
                <w:rFonts w:ascii="Times New Roman"/>
                <w:i/>
                <w:sz w:val="20"/>
              </w:rPr>
            </w:pPr>
            <w:r>
              <w:rPr>
                <w:rFonts w:ascii="Times New Roman"/>
                <w:i/>
                <w:sz w:val="20"/>
              </w:rPr>
              <w:t>MUX5_SEL[3:0]</w:t>
            </w:r>
          </w:p>
        </w:tc>
        <w:tc>
          <w:tcPr>
            <w:tcW w:w="1260" w:type="dxa"/>
          </w:tcPr>
          <w:p>
            <w:pPr>
              <w:pStyle w:val="TableParagraph"/>
              <w:spacing w:line="227" w:lineRule="exact"/>
              <w:ind w:left="172" w:right="172"/>
              <w:jc w:val="center"/>
              <w:rPr>
                <w:sz w:val="20"/>
              </w:rPr>
            </w:pPr>
            <w:r>
              <w:rPr>
                <w:sz w:val="20"/>
              </w:rPr>
              <w:t>2103[7:4]</w:t>
            </w:r>
          </w:p>
        </w:tc>
        <w:tc>
          <w:tcPr>
            <w:tcW w:w="1735" w:type="dxa"/>
          </w:tcPr>
          <w:p>
            <w:pPr>
              <w:pStyle w:val="TableParagraph"/>
              <w:spacing w:line="227" w:lineRule="exact"/>
              <w:ind w:left="1"/>
              <w:jc w:val="center"/>
              <w:rPr>
                <w:sz w:val="20"/>
              </w:rPr>
            </w:pPr>
            <w:r>
              <w:rPr>
                <w:w w:val="99"/>
                <w:sz w:val="20"/>
              </w:rPr>
              <w:t>A</w:t>
            </w:r>
          </w:p>
        </w:tc>
        <w:tc>
          <w:tcPr>
            <w:tcW w:w="3331" w:type="dxa"/>
          </w:tcPr>
          <w:p>
            <w:pPr>
              <w:pStyle w:val="TableParagraph"/>
              <w:spacing w:line="225" w:lineRule="exact"/>
              <w:ind w:left="603" w:right="603"/>
              <w:jc w:val="center"/>
              <w:rPr>
                <w:b/>
                <w:sz w:val="20"/>
              </w:rPr>
            </w:pPr>
            <w:r>
              <w:rPr>
                <w:sz w:val="20"/>
              </w:rPr>
              <w:t>Slot 5 is VADC</w:t>
            </w:r>
            <w:r>
              <w:rPr>
                <w:b/>
                <w:sz w:val="20"/>
              </w:rPr>
              <w:t>10</w:t>
            </w:r>
          </w:p>
          <w:p>
            <w:pPr>
              <w:pStyle w:val="TableParagraph"/>
              <w:spacing w:line="213" w:lineRule="exact" w:before="3"/>
              <w:ind w:left="603" w:right="601"/>
              <w:jc w:val="center"/>
              <w:rPr>
                <w:sz w:val="20"/>
              </w:rPr>
            </w:pPr>
            <w:r>
              <w:rPr>
                <w:sz w:val="20"/>
              </w:rPr>
              <w:t>(VC)</w:t>
            </w:r>
          </w:p>
        </w:tc>
      </w:tr>
      <w:tr>
        <w:trPr>
          <w:trHeight w:val="230" w:hRule="atLeast"/>
        </w:trPr>
        <w:tc>
          <w:tcPr>
            <w:tcW w:w="2203" w:type="dxa"/>
          </w:tcPr>
          <w:p>
            <w:pPr>
              <w:pStyle w:val="TableParagraph"/>
              <w:spacing w:line="210" w:lineRule="exact"/>
              <w:ind w:left="148" w:right="149"/>
              <w:jc w:val="center"/>
              <w:rPr>
                <w:rFonts w:ascii="Times New Roman"/>
                <w:i/>
                <w:sz w:val="20"/>
              </w:rPr>
            </w:pPr>
            <w:r>
              <w:rPr>
                <w:rFonts w:ascii="Times New Roman"/>
                <w:i/>
                <w:sz w:val="20"/>
              </w:rPr>
              <w:t>MUX6_SEL[3:0]</w:t>
            </w:r>
          </w:p>
        </w:tc>
        <w:tc>
          <w:tcPr>
            <w:tcW w:w="1260" w:type="dxa"/>
          </w:tcPr>
          <w:p>
            <w:pPr>
              <w:pStyle w:val="TableParagraph"/>
              <w:spacing w:line="210" w:lineRule="exact"/>
              <w:ind w:left="172" w:right="172"/>
              <w:jc w:val="center"/>
              <w:rPr>
                <w:sz w:val="20"/>
              </w:rPr>
            </w:pPr>
            <w:r>
              <w:rPr>
                <w:sz w:val="20"/>
              </w:rPr>
              <w:t>2102[3:0]</w:t>
            </w:r>
          </w:p>
        </w:tc>
        <w:tc>
          <w:tcPr>
            <w:tcW w:w="1735" w:type="dxa"/>
          </w:tcPr>
          <w:p>
            <w:pPr>
              <w:pStyle w:val="TableParagraph"/>
              <w:spacing w:line="210" w:lineRule="exact"/>
              <w:ind w:left="3"/>
              <w:jc w:val="center"/>
              <w:rPr>
                <w:sz w:val="20"/>
              </w:rPr>
            </w:pPr>
            <w:r>
              <w:rPr>
                <w:w w:val="99"/>
                <w:sz w:val="20"/>
              </w:rPr>
              <w:t>0</w:t>
            </w:r>
          </w:p>
        </w:tc>
        <w:tc>
          <w:tcPr>
            <w:tcW w:w="3331" w:type="dxa"/>
            <w:vMerge w:val="restart"/>
          </w:tcPr>
          <w:p>
            <w:pPr>
              <w:pStyle w:val="TableParagraph"/>
              <w:rPr>
                <w:b/>
                <w:sz w:val="22"/>
              </w:rPr>
            </w:pPr>
          </w:p>
          <w:p>
            <w:pPr>
              <w:pStyle w:val="TableParagraph"/>
              <w:spacing w:before="7"/>
              <w:rPr>
                <w:b/>
                <w:sz w:val="18"/>
              </w:rPr>
            </w:pPr>
          </w:p>
          <w:p>
            <w:pPr>
              <w:pStyle w:val="TableParagraph"/>
              <w:ind w:left="890"/>
              <w:rPr>
                <w:sz w:val="20"/>
              </w:rPr>
            </w:pPr>
            <w:r>
              <w:rPr>
                <w:sz w:val="20"/>
              </w:rPr>
              <w:t>Slots not enabled</w:t>
            </w:r>
          </w:p>
        </w:tc>
      </w:tr>
      <w:tr>
        <w:trPr>
          <w:trHeight w:val="230" w:hRule="atLeast"/>
        </w:trPr>
        <w:tc>
          <w:tcPr>
            <w:tcW w:w="2203" w:type="dxa"/>
          </w:tcPr>
          <w:p>
            <w:pPr>
              <w:pStyle w:val="TableParagraph"/>
              <w:spacing w:line="210" w:lineRule="exact"/>
              <w:ind w:left="148" w:right="149"/>
              <w:jc w:val="center"/>
              <w:rPr>
                <w:rFonts w:ascii="Times New Roman"/>
                <w:i/>
                <w:sz w:val="20"/>
              </w:rPr>
            </w:pPr>
            <w:r>
              <w:rPr>
                <w:rFonts w:ascii="Times New Roman"/>
                <w:i/>
                <w:sz w:val="20"/>
              </w:rPr>
              <w:t>MUX7_SEL[3:0]</w:t>
            </w:r>
          </w:p>
        </w:tc>
        <w:tc>
          <w:tcPr>
            <w:tcW w:w="1260" w:type="dxa"/>
          </w:tcPr>
          <w:p>
            <w:pPr>
              <w:pStyle w:val="TableParagraph"/>
              <w:spacing w:line="210" w:lineRule="exact"/>
              <w:ind w:left="172" w:right="172"/>
              <w:jc w:val="center"/>
              <w:rPr>
                <w:sz w:val="20"/>
              </w:rPr>
            </w:pPr>
            <w:r>
              <w:rPr>
                <w:sz w:val="20"/>
              </w:rPr>
              <w:t>2102[7:4]</w:t>
            </w:r>
          </w:p>
        </w:tc>
        <w:tc>
          <w:tcPr>
            <w:tcW w:w="1735" w:type="dxa"/>
          </w:tcPr>
          <w:p>
            <w:pPr>
              <w:pStyle w:val="TableParagraph"/>
              <w:spacing w:line="210" w:lineRule="exact"/>
              <w:ind w:left="3"/>
              <w:jc w:val="center"/>
              <w:rPr>
                <w:sz w:val="20"/>
              </w:rPr>
            </w:pPr>
            <w:r>
              <w:rPr>
                <w:w w:val="99"/>
                <w:sz w:val="20"/>
              </w:rPr>
              <w:t>0</w:t>
            </w:r>
          </w:p>
        </w:tc>
        <w:tc>
          <w:tcPr>
            <w:tcW w:w="3331" w:type="dxa"/>
            <w:vMerge/>
            <w:tcBorders>
              <w:top w:val="nil"/>
            </w:tcBorders>
          </w:tcPr>
          <w:p>
            <w:pPr>
              <w:rPr>
                <w:sz w:val="2"/>
                <w:szCs w:val="2"/>
              </w:rPr>
            </w:pPr>
          </w:p>
        </w:tc>
      </w:tr>
      <w:tr>
        <w:trPr>
          <w:trHeight w:val="230" w:hRule="atLeast"/>
        </w:trPr>
        <w:tc>
          <w:tcPr>
            <w:tcW w:w="2203" w:type="dxa"/>
          </w:tcPr>
          <w:p>
            <w:pPr>
              <w:pStyle w:val="TableParagraph"/>
              <w:spacing w:line="210" w:lineRule="exact"/>
              <w:ind w:left="148" w:right="149"/>
              <w:jc w:val="center"/>
              <w:rPr>
                <w:rFonts w:ascii="Times New Roman"/>
                <w:i/>
                <w:sz w:val="20"/>
              </w:rPr>
            </w:pPr>
            <w:r>
              <w:rPr>
                <w:rFonts w:ascii="Times New Roman"/>
                <w:i/>
                <w:sz w:val="20"/>
              </w:rPr>
              <w:t>MUX8_SEL[3:0]</w:t>
            </w:r>
          </w:p>
        </w:tc>
        <w:tc>
          <w:tcPr>
            <w:tcW w:w="1260" w:type="dxa"/>
          </w:tcPr>
          <w:p>
            <w:pPr>
              <w:pStyle w:val="TableParagraph"/>
              <w:spacing w:line="210" w:lineRule="exact"/>
              <w:ind w:left="172" w:right="172"/>
              <w:jc w:val="center"/>
              <w:rPr>
                <w:sz w:val="20"/>
              </w:rPr>
            </w:pPr>
            <w:r>
              <w:rPr>
                <w:sz w:val="20"/>
              </w:rPr>
              <w:t>2101[3:0]</w:t>
            </w:r>
          </w:p>
        </w:tc>
        <w:tc>
          <w:tcPr>
            <w:tcW w:w="1735" w:type="dxa"/>
          </w:tcPr>
          <w:p>
            <w:pPr>
              <w:pStyle w:val="TableParagraph"/>
              <w:spacing w:line="210" w:lineRule="exact"/>
              <w:ind w:left="3"/>
              <w:jc w:val="center"/>
              <w:rPr>
                <w:sz w:val="20"/>
              </w:rPr>
            </w:pPr>
            <w:r>
              <w:rPr>
                <w:w w:val="99"/>
                <w:sz w:val="20"/>
              </w:rPr>
              <w:t>0</w:t>
            </w:r>
          </w:p>
        </w:tc>
        <w:tc>
          <w:tcPr>
            <w:tcW w:w="3331" w:type="dxa"/>
            <w:vMerge/>
            <w:tcBorders>
              <w:top w:val="nil"/>
            </w:tcBorders>
          </w:tcPr>
          <w:p>
            <w:pPr>
              <w:rPr>
                <w:sz w:val="2"/>
                <w:szCs w:val="2"/>
              </w:rPr>
            </w:pPr>
          </w:p>
        </w:tc>
      </w:tr>
      <w:tr>
        <w:trPr>
          <w:trHeight w:val="230" w:hRule="atLeast"/>
        </w:trPr>
        <w:tc>
          <w:tcPr>
            <w:tcW w:w="2203" w:type="dxa"/>
          </w:tcPr>
          <w:p>
            <w:pPr>
              <w:pStyle w:val="TableParagraph"/>
              <w:spacing w:line="210" w:lineRule="exact"/>
              <w:ind w:left="148" w:right="149"/>
              <w:jc w:val="center"/>
              <w:rPr>
                <w:rFonts w:ascii="Times New Roman"/>
                <w:i/>
                <w:sz w:val="20"/>
              </w:rPr>
            </w:pPr>
            <w:r>
              <w:rPr>
                <w:rFonts w:ascii="Times New Roman"/>
                <w:i/>
                <w:sz w:val="20"/>
              </w:rPr>
              <w:t>MUX9_SEL[3:0]</w:t>
            </w:r>
          </w:p>
        </w:tc>
        <w:tc>
          <w:tcPr>
            <w:tcW w:w="1260" w:type="dxa"/>
          </w:tcPr>
          <w:p>
            <w:pPr>
              <w:pStyle w:val="TableParagraph"/>
              <w:spacing w:line="210" w:lineRule="exact"/>
              <w:ind w:left="172" w:right="172"/>
              <w:jc w:val="center"/>
              <w:rPr>
                <w:sz w:val="20"/>
              </w:rPr>
            </w:pPr>
            <w:r>
              <w:rPr>
                <w:sz w:val="20"/>
              </w:rPr>
              <w:t>2101[7:4]</w:t>
            </w:r>
          </w:p>
        </w:tc>
        <w:tc>
          <w:tcPr>
            <w:tcW w:w="1735" w:type="dxa"/>
          </w:tcPr>
          <w:p>
            <w:pPr>
              <w:pStyle w:val="TableParagraph"/>
              <w:spacing w:line="210" w:lineRule="exact"/>
              <w:ind w:left="3"/>
              <w:jc w:val="center"/>
              <w:rPr>
                <w:sz w:val="20"/>
              </w:rPr>
            </w:pPr>
            <w:r>
              <w:rPr>
                <w:w w:val="99"/>
                <w:sz w:val="20"/>
              </w:rPr>
              <w:t>0</w:t>
            </w:r>
          </w:p>
        </w:tc>
        <w:tc>
          <w:tcPr>
            <w:tcW w:w="3331" w:type="dxa"/>
            <w:vMerge/>
            <w:tcBorders>
              <w:top w:val="nil"/>
            </w:tcBorders>
          </w:tcPr>
          <w:p>
            <w:pPr>
              <w:rPr>
                <w:sz w:val="2"/>
                <w:szCs w:val="2"/>
              </w:rPr>
            </w:pPr>
          </w:p>
        </w:tc>
      </w:tr>
      <w:tr>
        <w:trPr>
          <w:trHeight w:val="227" w:hRule="atLeast"/>
        </w:trPr>
        <w:tc>
          <w:tcPr>
            <w:tcW w:w="2203" w:type="dxa"/>
          </w:tcPr>
          <w:p>
            <w:pPr>
              <w:pStyle w:val="TableParagraph"/>
              <w:spacing w:line="208" w:lineRule="exact"/>
              <w:ind w:left="151" w:right="148"/>
              <w:jc w:val="center"/>
              <w:rPr>
                <w:rFonts w:ascii="Times New Roman"/>
                <w:i/>
                <w:sz w:val="20"/>
              </w:rPr>
            </w:pPr>
            <w:r>
              <w:rPr>
                <w:rFonts w:ascii="Times New Roman"/>
                <w:i/>
                <w:sz w:val="20"/>
              </w:rPr>
              <w:t>MUX10_SEL[3:0]</w:t>
            </w:r>
          </w:p>
        </w:tc>
        <w:tc>
          <w:tcPr>
            <w:tcW w:w="1260" w:type="dxa"/>
          </w:tcPr>
          <w:p>
            <w:pPr>
              <w:pStyle w:val="TableParagraph"/>
              <w:spacing w:line="208" w:lineRule="exact"/>
              <w:ind w:left="172" w:right="172"/>
              <w:jc w:val="center"/>
              <w:rPr>
                <w:sz w:val="20"/>
              </w:rPr>
            </w:pPr>
            <w:r>
              <w:rPr>
                <w:sz w:val="20"/>
              </w:rPr>
              <w:t>2100[3:0]</w:t>
            </w:r>
          </w:p>
        </w:tc>
        <w:tc>
          <w:tcPr>
            <w:tcW w:w="1735" w:type="dxa"/>
          </w:tcPr>
          <w:p>
            <w:pPr>
              <w:pStyle w:val="TableParagraph"/>
              <w:spacing w:line="208" w:lineRule="exact"/>
              <w:ind w:left="3"/>
              <w:jc w:val="center"/>
              <w:rPr>
                <w:sz w:val="20"/>
              </w:rPr>
            </w:pPr>
            <w:r>
              <w:rPr>
                <w:w w:val="99"/>
                <w:sz w:val="20"/>
              </w:rPr>
              <w:t>0</w:t>
            </w:r>
          </w:p>
        </w:tc>
        <w:tc>
          <w:tcPr>
            <w:tcW w:w="3331" w:type="dxa"/>
            <w:vMerge/>
            <w:tcBorders>
              <w:top w:val="nil"/>
            </w:tcBorders>
          </w:tcPr>
          <w:p>
            <w:pPr>
              <w:rPr>
                <w:sz w:val="2"/>
                <w:szCs w:val="2"/>
              </w:rPr>
            </w:pPr>
          </w:p>
        </w:tc>
      </w:tr>
      <w:tr>
        <w:trPr>
          <w:trHeight w:val="460" w:hRule="atLeast"/>
        </w:trPr>
        <w:tc>
          <w:tcPr>
            <w:tcW w:w="2203" w:type="dxa"/>
          </w:tcPr>
          <w:p>
            <w:pPr>
              <w:pStyle w:val="TableParagraph"/>
              <w:spacing w:line="226" w:lineRule="exact"/>
              <w:ind w:left="151" w:right="148"/>
              <w:jc w:val="center"/>
              <w:rPr>
                <w:rFonts w:ascii="Times New Roman"/>
                <w:i/>
                <w:sz w:val="20"/>
              </w:rPr>
            </w:pPr>
            <w:r>
              <w:rPr>
                <w:rFonts w:ascii="Times New Roman"/>
                <w:i/>
                <w:sz w:val="20"/>
              </w:rPr>
              <w:t>RMT2_E</w:t>
            </w:r>
          </w:p>
        </w:tc>
        <w:tc>
          <w:tcPr>
            <w:tcW w:w="1260" w:type="dxa"/>
          </w:tcPr>
          <w:p>
            <w:pPr>
              <w:pStyle w:val="TableParagraph"/>
              <w:spacing w:line="229" w:lineRule="exact"/>
              <w:ind w:left="172" w:right="172"/>
              <w:jc w:val="center"/>
              <w:rPr>
                <w:sz w:val="20"/>
              </w:rPr>
            </w:pPr>
            <w:r>
              <w:rPr>
                <w:sz w:val="20"/>
              </w:rPr>
              <w:t>2709[3]</w:t>
            </w:r>
          </w:p>
        </w:tc>
        <w:tc>
          <w:tcPr>
            <w:tcW w:w="1735" w:type="dxa"/>
          </w:tcPr>
          <w:p>
            <w:pPr>
              <w:pStyle w:val="TableParagraph"/>
              <w:spacing w:line="229" w:lineRule="exact"/>
              <w:ind w:left="3"/>
              <w:jc w:val="center"/>
              <w:rPr>
                <w:sz w:val="20"/>
              </w:rPr>
            </w:pPr>
            <w:r>
              <w:rPr>
                <w:w w:val="99"/>
                <w:sz w:val="20"/>
              </w:rPr>
              <w:t>1</w:t>
            </w:r>
          </w:p>
        </w:tc>
        <w:tc>
          <w:tcPr>
            <w:tcW w:w="3331" w:type="dxa"/>
          </w:tcPr>
          <w:p>
            <w:pPr>
              <w:pStyle w:val="TableParagraph"/>
              <w:spacing w:line="228" w:lineRule="exact" w:before="4"/>
              <w:ind w:left="1502" w:right="304" w:hanging="1179"/>
              <w:rPr>
                <w:sz w:val="20"/>
              </w:rPr>
            </w:pPr>
            <w:r>
              <w:rPr>
                <w:sz w:val="20"/>
              </w:rPr>
              <w:t>Enable Remote IADC2-IADC3 (IA)</w:t>
            </w:r>
          </w:p>
        </w:tc>
      </w:tr>
      <w:tr>
        <w:trPr>
          <w:trHeight w:val="460" w:hRule="atLeast"/>
        </w:trPr>
        <w:tc>
          <w:tcPr>
            <w:tcW w:w="2203" w:type="dxa"/>
          </w:tcPr>
          <w:p>
            <w:pPr>
              <w:pStyle w:val="TableParagraph"/>
              <w:spacing w:line="223" w:lineRule="exact"/>
              <w:ind w:left="151" w:right="148"/>
              <w:jc w:val="center"/>
              <w:rPr>
                <w:rFonts w:ascii="Times New Roman"/>
                <w:i/>
                <w:sz w:val="20"/>
              </w:rPr>
            </w:pPr>
            <w:r>
              <w:rPr>
                <w:rFonts w:ascii="Times New Roman"/>
                <w:i/>
                <w:sz w:val="20"/>
              </w:rPr>
              <w:t>RMT4_E</w:t>
            </w:r>
          </w:p>
        </w:tc>
        <w:tc>
          <w:tcPr>
            <w:tcW w:w="1260" w:type="dxa"/>
          </w:tcPr>
          <w:p>
            <w:pPr>
              <w:pStyle w:val="TableParagraph"/>
              <w:spacing w:line="227" w:lineRule="exact"/>
              <w:ind w:left="172" w:right="172"/>
              <w:jc w:val="center"/>
              <w:rPr>
                <w:sz w:val="20"/>
              </w:rPr>
            </w:pPr>
            <w:r>
              <w:rPr>
                <w:sz w:val="20"/>
              </w:rPr>
              <w:t>2709[4]</w:t>
            </w:r>
          </w:p>
        </w:tc>
        <w:tc>
          <w:tcPr>
            <w:tcW w:w="1735" w:type="dxa"/>
          </w:tcPr>
          <w:p>
            <w:pPr>
              <w:pStyle w:val="TableParagraph"/>
              <w:spacing w:line="227" w:lineRule="exact"/>
              <w:ind w:left="3"/>
              <w:jc w:val="center"/>
              <w:rPr>
                <w:sz w:val="20"/>
              </w:rPr>
            </w:pPr>
            <w:r>
              <w:rPr>
                <w:w w:val="99"/>
                <w:sz w:val="20"/>
              </w:rPr>
              <w:t>1</w:t>
            </w:r>
          </w:p>
        </w:tc>
        <w:tc>
          <w:tcPr>
            <w:tcW w:w="3331" w:type="dxa"/>
          </w:tcPr>
          <w:p>
            <w:pPr>
              <w:pStyle w:val="TableParagraph"/>
              <w:spacing w:line="230" w:lineRule="exact"/>
              <w:ind w:left="1502" w:right="304" w:hanging="1179"/>
              <w:rPr>
                <w:sz w:val="20"/>
              </w:rPr>
            </w:pPr>
            <w:r>
              <w:rPr>
                <w:sz w:val="20"/>
              </w:rPr>
              <w:t>Enable Remote IADC4-IADC5 (IB)</w:t>
            </w:r>
          </w:p>
        </w:tc>
      </w:tr>
      <w:tr>
        <w:trPr>
          <w:trHeight w:val="460" w:hRule="atLeast"/>
        </w:trPr>
        <w:tc>
          <w:tcPr>
            <w:tcW w:w="2203" w:type="dxa"/>
          </w:tcPr>
          <w:p>
            <w:pPr>
              <w:pStyle w:val="TableParagraph"/>
              <w:spacing w:line="223" w:lineRule="exact"/>
              <w:ind w:left="151" w:right="148"/>
              <w:jc w:val="center"/>
              <w:rPr>
                <w:rFonts w:ascii="Times New Roman"/>
                <w:i/>
                <w:sz w:val="20"/>
              </w:rPr>
            </w:pPr>
            <w:r>
              <w:rPr>
                <w:rFonts w:ascii="Times New Roman"/>
                <w:i/>
                <w:sz w:val="20"/>
              </w:rPr>
              <w:t>RMT6_E</w:t>
            </w:r>
          </w:p>
        </w:tc>
        <w:tc>
          <w:tcPr>
            <w:tcW w:w="1260" w:type="dxa"/>
          </w:tcPr>
          <w:p>
            <w:pPr>
              <w:pStyle w:val="TableParagraph"/>
              <w:spacing w:line="227" w:lineRule="exact"/>
              <w:ind w:left="172" w:right="172"/>
              <w:jc w:val="center"/>
              <w:rPr>
                <w:sz w:val="20"/>
              </w:rPr>
            </w:pPr>
            <w:r>
              <w:rPr>
                <w:sz w:val="20"/>
              </w:rPr>
              <w:t>2709[5]</w:t>
            </w:r>
          </w:p>
        </w:tc>
        <w:tc>
          <w:tcPr>
            <w:tcW w:w="1735" w:type="dxa"/>
          </w:tcPr>
          <w:p>
            <w:pPr>
              <w:pStyle w:val="TableParagraph"/>
              <w:spacing w:line="227" w:lineRule="exact"/>
              <w:ind w:left="3"/>
              <w:jc w:val="center"/>
              <w:rPr>
                <w:sz w:val="20"/>
              </w:rPr>
            </w:pPr>
            <w:r>
              <w:rPr>
                <w:w w:val="99"/>
                <w:sz w:val="20"/>
              </w:rPr>
              <w:t>1</w:t>
            </w:r>
          </w:p>
        </w:tc>
        <w:tc>
          <w:tcPr>
            <w:tcW w:w="3331" w:type="dxa"/>
          </w:tcPr>
          <w:p>
            <w:pPr>
              <w:pStyle w:val="TableParagraph"/>
              <w:spacing w:line="230" w:lineRule="exact"/>
              <w:ind w:left="1497" w:right="304" w:hanging="1174"/>
              <w:rPr>
                <w:sz w:val="20"/>
              </w:rPr>
            </w:pPr>
            <w:r>
              <w:rPr>
                <w:sz w:val="20"/>
              </w:rPr>
              <w:t>Enable Remote IADC6-IADC7 (IC)</w:t>
            </w:r>
          </w:p>
        </w:tc>
      </w:tr>
      <w:tr>
        <w:trPr>
          <w:trHeight w:val="458" w:hRule="atLeast"/>
        </w:trPr>
        <w:tc>
          <w:tcPr>
            <w:tcW w:w="2203" w:type="dxa"/>
          </w:tcPr>
          <w:p>
            <w:pPr>
              <w:pStyle w:val="TableParagraph"/>
              <w:spacing w:line="223" w:lineRule="exact"/>
              <w:ind w:left="151" w:right="144"/>
              <w:jc w:val="center"/>
              <w:rPr>
                <w:rFonts w:ascii="Times New Roman"/>
                <w:i/>
                <w:sz w:val="20"/>
              </w:rPr>
            </w:pPr>
            <w:r>
              <w:rPr>
                <w:rFonts w:ascii="Times New Roman"/>
                <w:i/>
                <w:sz w:val="20"/>
              </w:rPr>
              <w:t>DIFF0_E</w:t>
            </w:r>
          </w:p>
        </w:tc>
        <w:tc>
          <w:tcPr>
            <w:tcW w:w="1260" w:type="dxa"/>
          </w:tcPr>
          <w:p>
            <w:pPr>
              <w:pStyle w:val="TableParagraph"/>
              <w:spacing w:line="227" w:lineRule="exact"/>
              <w:ind w:left="172" w:right="172"/>
              <w:jc w:val="center"/>
              <w:rPr>
                <w:sz w:val="20"/>
              </w:rPr>
            </w:pPr>
            <w:r>
              <w:rPr>
                <w:sz w:val="20"/>
              </w:rPr>
              <w:t>210C[4]</w:t>
            </w:r>
          </w:p>
        </w:tc>
        <w:tc>
          <w:tcPr>
            <w:tcW w:w="1735" w:type="dxa"/>
          </w:tcPr>
          <w:p>
            <w:pPr>
              <w:pStyle w:val="TableParagraph"/>
              <w:spacing w:line="227" w:lineRule="exact"/>
              <w:ind w:left="3"/>
              <w:jc w:val="center"/>
              <w:rPr>
                <w:sz w:val="20"/>
              </w:rPr>
            </w:pPr>
            <w:r>
              <w:rPr>
                <w:w w:val="99"/>
                <w:sz w:val="20"/>
              </w:rPr>
              <w:t>1</w:t>
            </w:r>
          </w:p>
        </w:tc>
        <w:tc>
          <w:tcPr>
            <w:tcW w:w="3331" w:type="dxa"/>
          </w:tcPr>
          <w:p>
            <w:pPr>
              <w:pStyle w:val="TableParagraph"/>
              <w:spacing w:line="230" w:lineRule="exact"/>
              <w:ind w:left="1497" w:right="515" w:hanging="963"/>
              <w:rPr>
                <w:sz w:val="20"/>
              </w:rPr>
            </w:pPr>
            <w:r>
              <w:rPr>
                <w:sz w:val="20"/>
              </w:rPr>
              <w:t>Differential IADC0-IADC1 (IN)</w:t>
            </w:r>
          </w:p>
        </w:tc>
      </w:tr>
      <w:tr>
        <w:trPr>
          <w:trHeight w:val="228" w:hRule="atLeast"/>
        </w:trPr>
        <w:tc>
          <w:tcPr>
            <w:tcW w:w="2203" w:type="dxa"/>
          </w:tcPr>
          <w:p>
            <w:pPr>
              <w:pStyle w:val="TableParagraph"/>
              <w:spacing w:line="208" w:lineRule="exact"/>
              <w:ind w:left="151" w:right="144"/>
              <w:jc w:val="center"/>
              <w:rPr>
                <w:rFonts w:ascii="Times New Roman"/>
                <w:i/>
                <w:sz w:val="20"/>
              </w:rPr>
            </w:pPr>
            <w:r>
              <w:rPr>
                <w:rFonts w:ascii="Times New Roman"/>
                <w:i/>
                <w:sz w:val="20"/>
              </w:rPr>
              <w:t>DIFF2_E</w:t>
            </w:r>
          </w:p>
        </w:tc>
        <w:tc>
          <w:tcPr>
            <w:tcW w:w="1260" w:type="dxa"/>
          </w:tcPr>
          <w:p>
            <w:pPr>
              <w:pStyle w:val="TableParagraph"/>
              <w:spacing w:line="208" w:lineRule="exact"/>
              <w:ind w:left="172" w:right="172"/>
              <w:jc w:val="center"/>
              <w:rPr>
                <w:sz w:val="20"/>
              </w:rPr>
            </w:pPr>
            <w:r>
              <w:rPr>
                <w:sz w:val="20"/>
              </w:rPr>
              <w:t>210C[5]</w:t>
            </w:r>
          </w:p>
        </w:tc>
        <w:tc>
          <w:tcPr>
            <w:tcW w:w="1735" w:type="dxa"/>
          </w:tcPr>
          <w:p>
            <w:pPr>
              <w:pStyle w:val="TableParagraph"/>
              <w:spacing w:line="208" w:lineRule="exact"/>
              <w:ind w:left="3"/>
              <w:jc w:val="center"/>
              <w:rPr>
                <w:sz w:val="20"/>
              </w:rPr>
            </w:pPr>
            <w:r>
              <w:rPr>
                <w:w w:val="99"/>
                <w:sz w:val="20"/>
              </w:rPr>
              <w:t>0</w:t>
            </w:r>
          </w:p>
        </w:tc>
        <w:tc>
          <w:tcPr>
            <w:tcW w:w="3331" w:type="dxa"/>
          </w:tcPr>
          <w:p>
            <w:pPr>
              <w:pStyle w:val="TableParagraph"/>
              <w:spacing w:line="208" w:lineRule="exact"/>
              <w:ind w:left="603" w:right="602"/>
              <w:jc w:val="center"/>
              <w:rPr>
                <w:sz w:val="20"/>
              </w:rPr>
            </w:pPr>
            <w:r>
              <w:rPr>
                <w:sz w:val="20"/>
              </w:rPr>
              <w:t>See note 3</w:t>
            </w:r>
          </w:p>
        </w:tc>
      </w:tr>
      <w:tr>
        <w:trPr>
          <w:trHeight w:val="230" w:hRule="atLeast"/>
        </w:trPr>
        <w:tc>
          <w:tcPr>
            <w:tcW w:w="2203" w:type="dxa"/>
          </w:tcPr>
          <w:p>
            <w:pPr>
              <w:pStyle w:val="TableParagraph"/>
              <w:spacing w:line="210" w:lineRule="exact"/>
              <w:ind w:left="151" w:right="144"/>
              <w:jc w:val="center"/>
              <w:rPr>
                <w:rFonts w:ascii="Times New Roman"/>
                <w:i/>
                <w:sz w:val="20"/>
              </w:rPr>
            </w:pPr>
            <w:r>
              <w:rPr>
                <w:rFonts w:ascii="Times New Roman"/>
                <w:i/>
                <w:sz w:val="20"/>
              </w:rPr>
              <w:t>DIFF4_E</w:t>
            </w:r>
          </w:p>
        </w:tc>
        <w:tc>
          <w:tcPr>
            <w:tcW w:w="1260" w:type="dxa"/>
          </w:tcPr>
          <w:p>
            <w:pPr>
              <w:pStyle w:val="TableParagraph"/>
              <w:spacing w:line="210" w:lineRule="exact"/>
              <w:ind w:left="172" w:right="172"/>
              <w:jc w:val="center"/>
              <w:rPr>
                <w:sz w:val="20"/>
              </w:rPr>
            </w:pPr>
            <w:r>
              <w:rPr>
                <w:sz w:val="20"/>
              </w:rPr>
              <w:t>210C[6]</w:t>
            </w:r>
          </w:p>
        </w:tc>
        <w:tc>
          <w:tcPr>
            <w:tcW w:w="1735" w:type="dxa"/>
          </w:tcPr>
          <w:p>
            <w:pPr>
              <w:pStyle w:val="TableParagraph"/>
              <w:spacing w:line="210" w:lineRule="exact"/>
              <w:ind w:left="3"/>
              <w:jc w:val="center"/>
              <w:rPr>
                <w:sz w:val="20"/>
              </w:rPr>
            </w:pPr>
            <w:r>
              <w:rPr>
                <w:w w:val="99"/>
                <w:sz w:val="20"/>
              </w:rPr>
              <w:t>0</w:t>
            </w:r>
          </w:p>
        </w:tc>
        <w:tc>
          <w:tcPr>
            <w:tcW w:w="3331" w:type="dxa"/>
          </w:tcPr>
          <w:p>
            <w:pPr>
              <w:pStyle w:val="TableParagraph"/>
              <w:spacing w:line="210" w:lineRule="exact"/>
              <w:ind w:left="603" w:right="602"/>
              <w:jc w:val="center"/>
              <w:rPr>
                <w:sz w:val="20"/>
              </w:rPr>
            </w:pPr>
            <w:r>
              <w:rPr>
                <w:sz w:val="20"/>
              </w:rPr>
              <w:t>See note 3</w:t>
            </w:r>
          </w:p>
        </w:tc>
      </w:tr>
      <w:tr>
        <w:trPr>
          <w:trHeight w:val="230" w:hRule="atLeast"/>
        </w:trPr>
        <w:tc>
          <w:tcPr>
            <w:tcW w:w="2203" w:type="dxa"/>
          </w:tcPr>
          <w:p>
            <w:pPr>
              <w:pStyle w:val="TableParagraph"/>
              <w:spacing w:line="210" w:lineRule="exact"/>
              <w:ind w:left="151" w:right="144"/>
              <w:jc w:val="center"/>
              <w:rPr>
                <w:rFonts w:ascii="Times New Roman"/>
                <w:i/>
                <w:sz w:val="20"/>
              </w:rPr>
            </w:pPr>
            <w:r>
              <w:rPr>
                <w:rFonts w:ascii="Times New Roman"/>
                <w:i/>
                <w:sz w:val="20"/>
              </w:rPr>
              <w:t>DIFF6_E</w:t>
            </w:r>
          </w:p>
        </w:tc>
        <w:tc>
          <w:tcPr>
            <w:tcW w:w="1260" w:type="dxa"/>
          </w:tcPr>
          <w:p>
            <w:pPr>
              <w:pStyle w:val="TableParagraph"/>
              <w:spacing w:line="210" w:lineRule="exact"/>
              <w:ind w:left="172" w:right="172"/>
              <w:jc w:val="center"/>
              <w:rPr>
                <w:sz w:val="20"/>
              </w:rPr>
            </w:pPr>
            <w:r>
              <w:rPr>
                <w:sz w:val="20"/>
              </w:rPr>
              <w:t>210C[7]</w:t>
            </w:r>
          </w:p>
        </w:tc>
        <w:tc>
          <w:tcPr>
            <w:tcW w:w="1735" w:type="dxa"/>
          </w:tcPr>
          <w:p>
            <w:pPr>
              <w:pStyle w:val="TableParagraph"/>
              <w:spacing w:line="210" w:lineRule="exact"/>
              <w:ind w:left="3"/>
              <w:jc w:val="center"/>
              <w:rPr>
                <w:sz w:val="20"/>
              </w:rPr>
            </w:pPr>
            <w:r>
              <w:rPr>
                <w:w w:val="99"/>
                <w:sz w:val="20"/>
              </w:rPr>
              <w:t>0</w:t>
            </w:r>
          </w:p>
        </w:tc>
        <w:tc>
          <w:tcPr>
            <w:tcW w:w="3331" w:type="dxa"/>
          </w:tcPr>
          <w:p>
            <w:pPr>
              <w:pStyle w:val="TableParagraph"/>
              <w:spacing w:line="210" w:lineRule="exact"/>
              <w:ind w:left="603" w:right="602"/>
              <w:jc w:val="center"/>
              <w:rPr>
                <w:sz w:val="20"/>
              </w:rPr>
            </w:pPr>
            <w:r>
              <w:rPr>
                <w:sz w:val="20"/>
              </w:rPr>
              <w:t>See note 3</w:t>
            </w:r>
          </w:p>
        </w:tc>
      </w:tr>
      <w:tr>
        <w:trPr>
          <w:trHeight w:val="230" w:hRule="atLeast"/>
        </w:trPr>
        <w:tc>
          <w:tcPr>
            <w:tcW w:w="2203" w:type="dxa"/>
          </w:tcPr>
          <w:p>
            <w:pPr>
              <w:pStyle w:val="TableParagraph"/>
              <w:spacing w:line="210" w:lineRule="exact"/>
              <w:ind w:left="151" w:right="147"/>
              <w:jc w:val="center"/>
              <w:rPr>
                <w:rFonts w:ascii="Times New Roman"/>
                <w:i/>
                <w:sz w:val="20"/>
              </w:rPr>
            </w:pPr>
            <w:r>
              <w:rPr>
                <w:rFonts w:ascii="Times New Roman"/>
                <w:i/>
                <w:sz w:val="20"/>
              </w:rPr>
              <w:t>PRE_E</w:t>
            </w:r>
          </w:p>
        </w:tc>
        <w:tc>
          <w:tcPr>
            <w:tcW w:w="1260" w:type="dxa"/>
          </w:tcPr>
          <w:p>
            <w:pPr>
              <w:pStyle w:val="TableParagraph"/>
              <w:spacing w:line="210" w:lineRule="exact"/>
              <w:ind w:left="172" w:right="172"/>
              <w:jc w:val="center"/>
              <w:rPr>
                <w:sz w:val="20"/>
              </w:rPr>
            </w:pPr>
            <w:r>
              <w:rPr>
                <w:sz w:val="20"/>
              </w:rPr>
              <w:t>2704[5]</w:t>
            </w:r>
          </w:p>
        </w:tc>
        <w:tc>
          <w:tcPr>
            <w:tcW w:w="1735" w:type="dxa"/>
          </w:tcPr>
          <w:p>
            <w:pPr>
              <w:pStyle w:val="TableParagraph"/>
              <w:spacing w:line="210" w:lineRule="exact"/>
              <w:ind w:left="3"/>
              <w:jc w:val="center"/>
              <w:rPr>
                <w:sz w:val="20"/>
              </w:rPr>
            </w:pPr>
            <w:r>
              <w:rPr>
                <w:w w:val="99"/>
                <w:sz w:val="20"/>
              </w:rPr>
              <w:t>1</w:t>
            </w:r>
          </w:p>
        </w:tc>
        <w:tc>
          <w:tcPr>
            <w:tcW w:w="3331" w:type="dxa"/>
          </w:tcPr>
          <w:p>
            <w:pPr>
              <w:pStyle w:val="TableParagraph"/>
              <w:spacing w:line="210" w:lineRule="exact"/>
              <w:ind w:left="603" w:right="602"/>
              <w:jc w:val="center"/>
              <w:rPr>
                <w:sz w:val="20"/>
              </w:rPr>
            </w:pPr>
            <w:r>
              <w:rPr>
                <w:sz w:val="20"/>
              </w:rPr>
              <w:t>IADC0-IADC1 Gain = 8</w:t>
            </w:r>
          </w:p>
        </w:tc>
      </w:tr>
      <w:tr>
        <w:trPr>
          <w:trHeight w:val="229" w:hRule="atLeast"/>
        </w:trPr>
        <w:tc>
          <w:tcPr>
            <w:tcW w:w="2203" w:type="dxa"/>
            <w:tcBorders>
              <w:bottom w:val="double" w:sz="1" w:space="0" w:color="000000"/>
            </w:tcBorders>
          </w:tcPr>
          <w:p>
            <w:pPr>
              <w:pStyle w:val="TableParagraph"/>
              <w:spacing w:line="210" w:lineRule="exact"/>
              <w:ind w:left="149" w:right="149"/>
              <w:jc w:val="center"/>
              <w:rPr>
                <w:rFonts w:ascii="Times New Roman"/>
                <w:i/>
                <w:sz w:val="20"/>
              </w:rPr>
            </w:pPr>
            <w:r>
              <w:rPr>
                <w:rFonts w:ascii="Times New Roman"/>
                <w:i/>
                <w:sz w:val="20"/>
              </w:rPr>
              <w:t>EQU[2:0]</w:t>
            </w:r>
          </w:p>
        </w:tc>
        <w:tc>
          <w:tcPr>
            <w:tcW w:w="1260" w:type="dxa"/>
            <w:tcBorders>
              <w:bottom w:val="double" w:sz="1" w:space="0" w:color="000000"/>
            </w:tcBorders>
          </w:tcPr>
          <w:p>
            <w:pPr>
              <w:pStyle w:val="TableParagraph"/>
              <w:spacing w:line="210" w:lineRule="exact"/>
              <w:ind w:left="172" w:right="172"/>
              <w:jc w:val="center"/>
              <w:rPr>
                <w:sz w:val="20"/>
              </w:rPr>
            </w:pPr>
            <w:r>
              <w:rPr>
                <w:sz w:val="20"/>
              </w:rPr>
              <w:t>2106[7:5]</w:t>
            </w:r>
          </w:p>
        </w:tc>
        <w:tc>
          <w:tcPr>
            <w:tcW w:w="1735" w:type="dxa"/>
            <w:tcBorders>
              <w:bottom w:val="double" w:sz="1" w:space="0" w:color="000000"/>
            </w:tcBorders>
          </w:tcPr>
          <w:p>
            <w:pPr>
              <w:pStyle w:val="TableParagraph"/>
              <w:spacing w:line="210" w:lineRule="exact"/>
              <w:ind w:left="3"/>
              <w:jc w:val="center"/>
              <w:rPr>
                <w:sz w:val="20"/>
              </w:rPr>
            </w:pPr>
            <w:r>
              <w:rPr>
                <w:w w:val="99"/>
                <w:sz w:val="20"/>
              </w:rPr>
              <w:t>5</w:t>
            </w:r>
          </w:p>
        </w:tc>
        <w:tc>
          <w:tcPr>
            <w:tcW w:w="3331" w:type="dxa"/>
            <w:tcBorders>
              <w:bottom w:val="double" w:sz="1" w:space="0" w:color="000000"/>
            </w:tcBorders>
          </w:tcPr>
          <w:p>
            <w:pPr>
              <w:pStyle w:val="TableParagraph"/>
              <w:spacing w:line="210" w:lineRule="exact"/>
              <w:ind w:left="603" w:right="603"/>
              <w:jc w:val="center"/>
              <w:rPr>
                <w:sz w:val="20"/>
              </w:rPr>
            </w:pPr>
            <w:r>
              <w:rPr>
                <w:sz w:val="20"/>
              </w:rPr>
              <w:t>IA*VA + IB*VB + IC*VC</w:t>
            </w:r>
          </w:p>
        </w:tc>
      </w:tr>
      <w:tr>
        <w:trPr>
          <w:trHeight w:val="920" w:hRule="atLeast"/>
        </w:trPr>
        <w:tc>
          <w:tcPr>
            <w:tcW w:w="2203" w:type="dxa"/>
            <w:tcBorders>
              <w:top w:val="double" w:sz="1" w:space="0" w:color="000000"/>
            </w:tcBorders>
          </w:tcPr>
          <w:p>
            <w:pPr>
              <w:pStyle w:val="TableParagraph"/>
              <w:spacing w:before="8"/>
              <w:rPr>
                <w:b/>
                <w:sz w:val="19"/>
              </w:rPr>
            </w:pPr>
          </w:p>
          <w:p>
            <w:pPr>
              <w:pStyle w:val="TableParagraph"/>
              <w:ind w:left="549" w:right="239" w:firstLine="96"/>
              <w:rPr>
                <w:sz w:val="20"/>
              </w:rPr>
            </w:pPr>
            <w:r>
              <w:rPr>
                <w:sz w:val="20"/>
              </w:rPr>
              <w:t>CE Codes (See note 4)</w:t>
            </w:r>
          </w:p>
        </w:tc>
        <w:tc>
          <w:tcPr>
            <w:tcW w:w="6326" w:type="dxa"/>
            <w:gridSpan w:val="3"/>
            <w:tcBorders>
              <w:top w:val="double" w:sz="1" w:space="0" w:color="000000"/>
            </w:tcBorders>
          </w:tcPr>
          <w:p>
            <w:pPr>
              <w:pStyle w:val="TableParagraph"/>
              <w:spacing w:line="230" w:lineRule="exact"/>
              <w:ind w:left="1648" w:right="1648"/>
              <w:jc w:val="both"/>
              <w:rPr>
                <w:sz w:val="20"/>
              </w:rPr>
            </w:pPr>
            <w:r>
              <w:rPr>
                <w:sz w:val="20"/>
              </w:rPr>
              <w:t>ce43b016603 (use with 71M6603) ce43b016103 (use with 71M6103) ce43b016113 (use with 71M6113) ce43b016203 (use with 71M6203)</w:t>
            </w:r>
          </w:p>
        </w:tc>
      </w:tr>
      <w:tr>
        <w:trPr>
          <w:trHeight w:val="230" w:hRule="atLeast"/>
        </w:trPr>
        <w:tc>
          <w:tcPr>
            <w:tcW w:w="2203" w:type="dxa"/>
          </w:tcPr>
          <w:p>
            <w:pPr>
              <w:pStyle w:val="TableParagraph"/>
              <w:spacing w:line="210" w:lineRule="exact"/>
              <w:ind w:left="151" w:right="148"/>
              <w:jc w:val="center"/>
              <w:rPr>
                <w:sz w:val="20"/>
              </w:rPr>
            </w:pPr>
            <w:r>
              <w:rPr>
                <w:sz w:val="20"/>
              </w:rPr>
              <w:t>Equation(s)</w:t>
            </w:r>
          </w:p>
        </w:tc>
        <w:tc>
          <w:tcPr>
            <w:tcW w:w="6326" w:type="dxa"/>
            <w:gridSpan w:val="3"/>
          </w:tcPr>
          <w:p>
            <w:pPr>
              <w:pStyle w:val="TableParagraph"/>
              <w:spacing w:line="210" w:lineRule="exact"/>
              <w:ind w:left="5"/>
              <w:jc w:val="center"/>
              <w:rPr>
                <w:sz w:val="20"/>
              </w:rPr>
            </w:pPr>
            <w:r>
              <w:rPr>
                <w:w w:val="99"/>
                <w:sz w:val="20"/>
              </w:rPr>
              <w:t>5</w:t>
            </w:r>
          </w:p>
        </w:tc>
      </w:tr>
      <w:tr>
        <w:trPr>
          <w:trHeight w:val="230" w:hRule="atLeast"/>
        </w:trPr>
        <w:tc>
          <w:tcPr>
            <w:tcW w:w="2203" w:type="dxa"/>
          </w:tcPr>
          <w:p>
            <w:pPr>
              <w:pStyle w:val="TableParagraph"/>
              <w:spacing w:line="210" w:lineRule="exact"/>
              <w:ind w:left="151" w:right="149"/>
              <w:jc w:val="center"/>
              <w:rPr>
                <w:sz w:val="20"/>
              </w:rPr>
            </w:pPr>
            <w:r>
              <w:rPr>
                <w:sz w:val="20"/>
              </w:rPr>
              <w:t>Current Sensor Type</w:t>
            </w:r>
          </w:p>
        </w:tc>
        <w:tc>
          <w:tcPr>
            <w:tcW w:w="6326" w:type="dxa"/>
            <w:gridSpan w:val="3"/>
          </w:tcPr>
          <w:p>
            <w:pPr>
              <w:pStyle w:val="TableParagraph"/>
              <w:spacing w:line="210" w:lineRule="exact"/>
              <w:ind w:left="1555"/>
              <w:rPr>
                <w:sz w:val="20"/>
              </w:rPr>
            </w:pPr>
            <w:r>
              <w:rPr>
                <w:sz w:val="20"/>
              </w:rPr>
              <w:t>1 Local Shunt and 3 Remote Shunts</w:t>
            </w:r>
          </w:p>
        </w:tc>
      </w:tr>
      <w:tr>
        <w:trPr>
          <w:trHeight w:val="227" w:hRule="atLeast"/>
        </w:trPr>
        <w:tc>
          <w:tcPr>
            <w:tcW w:w="2203" w:type="dxa"/>
            <w:tcBorders>
              <w:bottom w:val="double" w:sz="1" w:space="0" w:color="000000"/>
            </w:tcBorders>
          </w:tcPr>
          <w:p>
            <w:pPr>
              <w:pStyle w:val="TableParagraph"/>
              <w:spacing w:line="208" w:lineRule="exact"/>
              <w:ind w:left="150" w:right="149"/>
              <w:jc w:val="center"/>
              <w:rPr>
                <w:sz w:val="20"/>
              </w:rPr>
            </w:pPr>
            <w:r>
              <w:rPr>
                <w:sz w:val="20"/>
              </w:rPr>
              <w:t>Applicable Figures</w:t>
            </w:r>
          </w:p>
        </w:tc>
        <w:tc>
          <w:tcPr>
            <w:tcW w:w="6326" w:type="dxa"/>
            <w:gridSpan w:val="3"/>
            <w:tcBorders>
              <w:bottom w:val="double" w:sz="1" w:space="0" w:color="000000"/>
            </w:tcBorders>
          </w:tcPr>
          <w:p>
            <w:pPr>
              <w:pStyle w:val="TableParagraph"/>
              <w:spacing w:line="208" w:lineRule="exact"/>
              <w:ind w:left="1728"/>
              <w:rPr>
                <w:sz w:val="20"/>
              </w:rPr>
            </w:pPr>
            <w:hyperlink w:history="true" w:anchor="_bookmark5">
              <w:r>
                <w:rPr>
                  <w:color w:val="0000FF"/>
                  <w:sz w:val="20"/>
                </w:rPr>
                <w:t>Figure 2</w:t>
              </w:r>
              <w:r>
                <w:rPr>
                  <w:sz w:val="20"/>
                </w:rPr>
                <w:t>, </w:t>
              </w:r>
            </w:hyperlink>
            <w:hyperlink w:history="true" w:anchor="_bookmark11">
              <w:r>
                <w:rPr>
                  <w:color w:val="0000FF"/>
                  <w:sz w:val="20"/>
                </w:rPr>
                <w:t>Figure 4 </w:t>
              </w:r>
            </w:hyperlink>
            <w:r>
              <w:rPr>
                <w:sz w:val="20"/>
              </w:rPr>
              <w:t>and </w:t>
            </w:r>
            <w:hyperlink w:history="true" w:anchor="_bookmark179">
              <w:r>
                <w:rPr>
                  <w:color w:val="0000FF"/>
                  <w:sz w:val="20"/>
                </w:rPr>
                <w:t>Figure 31</w:t>
              </w:r>
            </w:hyperlink>
          </w:p>
        </w:tc>
      </w:tr>
      <w:tr>
        <w:trPr>
          <w:trHeight w:val="1842" w:hRule="atLeast"/>
        </w:trPr>
        <w:tc>
          <w:tcPr>
            <w:tcW w:w="8529" w:type="dxa"/>
            <w:gridSpan w:val="4"/>
            <w:tcBorders>
              <w:top w:val="double" w:sz="1" w:space="0" w:color="000000"/>
            </w:tcBorders>
          </w:tcPr>
          <w:p>
            <w:pPr>
              <w:pStyle w:val="TableParagraph"/>
              <w:spacing w:line="227" w:lineRule="exact"/>
              <w:ind w:left="107"/>
              <w:rPr>
                <w:b/>
                <w:sz w:val="20"/>
              </w:rPr>
            </w:pPr>
            <w:r>
              <w:rPr>
                <w:b/>
                <w:sz w:val="20"/>
              </w:rPr>
              <w:t>Notes:</w:t>
            </w:r>
          </w:p>
          <w:p>
            <w:pPr>
              <w:pStyle w:val="TableParagraph"/>
              <w:spacing w:before="10"/>
              <w:rPr>
                <w:b/>
                <w:sz w:val="19"/>
              </w:rPr>
            </w:pPr>
          </w:p>
          <w:p>
            <w:pPr>
              <w:pStyle w:val="TableParagraph"/>
              <w:numPr>
                <w:ilvl w:val="0"/>
                <w:numId w:val="8"/>
              </w:numPr>
              <w:tabs>
                <w:tab w:pos="468" w:val="left" w:leader="none"/>
              </w:tabs>
              <w:spacing w:line="240" w:lineRule="auto" w:before="0" w:after="0"/>
              <w:ind w:left="467" w:right="0" w:hanging="361"/>
              <w:jc w:val="left"/>
              <w:rPr>
                <w:sz w:val="20"/>
              </w:rPr>
            </w:pPr>
            <w:r>
              <w:rPr>
                <w:rFonts w:ascii="Times New Roman"/>
                <w:i/>
                <w:sz w:val="20"/>
              </w:rPr>
              <w:t>MUX_DIV[3:0] </w:t>
            </w:r>
            <w:r>
              <w:rPr>
                <w:sz w:val="20"/>
              </w:rPr>
              <w:t>must be set to 0 while writing the other RAM locations in this</w:t>
            </w:r>
            <w:r>
              <w:rPr>
                <w:spacing w:val="-9"/>
                <w:sz w:val="20"/>
              </w:rPr>
              <w:t> </w:t>
            </w:r>
            <w:r>
              <w:rPr>
                <w:sz w:val="20"/>
              </w:rPr>
              <w:t>table.</w:t>
            </w:r>
          </w:p>
          <w:p>
            <w:pPr>
              <w:pStyle w:val="TableParagraph"/>
              <w:numPr>
                <w:ilvl w:val="0"/>
                <w:numId w:val="8"/>
              </w:numPr>
              <w:tabs>
                <w:tab w:pos="468" w:val="left" w:leader="none"/>
              </w:tabs>
              <w:spacing w:line="228" w:lineRule="exact" w:before="4" w:after="0"/>
              <w:ind w:left="467" w:right="0" w:hanging="361"/>
              <w:jc w:val="left"/>
              <w:rPr>
                <w:sz w:val="20"/>
              </w:rPr>
            </w:pPr>
            <w:r>
              <w:rPr>
                <w:sz w:val="20"/>
              </w:rPr>
              <w:t>Each unused slot must be assigned to a valid (0 to A), but unused ADC</w:t>
            </w:r>
            <w:r>
              <w:rPr>
                <w:spacing w:val="-18"/>
                <w:sz w:val="20"/>
              </w:rPr>
              <w:t> </w:t>
            </w:r>
            <w:r>
              <w:rPr>
                <w:sz w:val="20"/>
              </w:rPr>
              <w:t>handle.</w:t>
            </w:r>
          </w:p>
          <w:p>
            <w:pPr>
              <w:pStyle w:val="TableParagraph"/>
              <w:numPr>
                <w:ilvl w:val="0"/>
                <w:numId w:val="8"/>
              </w:numPr>
              <w:tabs>
                <w:tab w:pos="468" w:val="left" w:leader="none"/>
              </w:tabs>
              <w:spacing w:line="229" w:lineRule="exact" w:before="0" w:after="0"/>
              <w:ind w:left="467" w:right="0" w:hanging="361"/>
              <w:jc w:val="left"/>
              <w:rPr>
                <w:sz w:val="20"/>
              </w:rPr>
            </w:pPr>
            <w:r>
              <w:rPr>
                <w:sz w:val="20"/>
              </w:rPr>
              <w:t>This channel is remote (71M6xx3), hence </w:t>
            </w:r>
            <w:r>
              <w:rPr>
                <w:rFonts w:ascii="Times New Roman"/>
                <w:i/>
                <w:sz w:val="20"/>
              </w:rPr>
              <w:t>DIFFx_E </w:t>
            </w:r>
            <w:r>
              <w:rPr>
                <w:sz w:val="20"/>
              </w:rPr>
              <w:t>is</w:t>
            </w:r>
            <w:r>
              <w:rPr>
                <w:spacing w:val="-3"/>
                <w:sz w:val="20"/>
              </w:rPr>
              <w:t> </w:t>
            </w:r>
            <w:r>
              <w:rPr>
                <w:sz w:val="20"/>
              </w:rPr>
              <w:t>irrelevant.</w:t>
            </w:r>
          </w:p>
          <w:p>
            <w:pPr>
              <w:pStyle w:val="TableParagraph"/>
              <w:numPr>
                <w:ilvl w:val="0"/>
                <w:numId w:val="8"/>
              </w:numPr>
              <w:tabs>
                <w:tab w:pos="468" w:val="left" w:leader="none"/>
              </w:tabs>
              <w:spacing w:line="229" w:lineRule="exact" w:before="5" w:after="0"/>
              <w:ind w:left="467" w:right="0" w:hanging="361"/>
              <w:jc w:val="left"/>
              <w:rPr>
                <w:sz w:val="20"/>
              </w:rPr>
            </w:pPr>
            <w:r>
              <w:rPr>
                <w:sz w:val="20"/>
              </w:rPr>
              <w:t>Must use the CE code that corresponds to the specific 71M6xx3 device</w:t>
            </w:r>
            <w:r>
              <w:rPr>
                <w:spacing w:val="-13"/>
                <w:sz w:val="20"/>
              </w:rPr>
              <w:t> </w:t>
            </w:r>
            <w:r>
              <w:rPr>
                <w:sz w:val="20"/>
              </w:rPr>
              <w:t>used.</w:t>
            </w:r>
          </w:p>
          <w:p>
            <w:pPr>
              <w:pStyle w:val="TableParagraph"/>
              <w:spacing w:line="230" w:lineRule="exact" w:before="2"/>
              <w:ind w:left="107" w:right="326"/>
              <w:rPr>
                <w:sz w:val="20"/>
              </w:rPr>
            </w:pPr>
            <w:r>
              <w:rPr>
                <w:sz w:val="20"/>
              </w:rPr>
              <w:t>Maxim updates the CE code periodically. Contact your local Maxim representative to obtain the latest CE code and the associated settings.</w:t>
            </w:r>
          </w:p>
        </w:tc>
      </w:tr>
    </w:tbl>
    <w:p>
      <w:pPr>
        <w:spacing w:after="0" w:line="230" w:lineRule="exact"/>
        <w:rPr>
          <w:sz w:val="20"/>
        </w:rPr>
        <w:sectPr>
          <w:pgSz w:w="12240" w:h="15840"/>
          <w:pgMar w:header="727" w:footer="819" w:top="960" w:bottom="1000" w:left="820" w:right="860"/>
        </w:sectPr>
      </w:pPr>
    </w:p>
    <w:p>
      <w:pPr>
        <w:pStyle w:val="BodyText"/>
        <w:rPr>
          <w:b/>
        </w:rPr>
      </w:pPr>
    </w:p>
    <w:p>
      <w:pPr>
        <w:pStyle w:val="BodyText"/>
        <w:spacing w:before="4"/>
        <w:rPr>
          <w:b/>
          <w:sz w:val="22"/>
        </w:rPr>
      </w:pPr>
    </w:p>
    <w:p>
      <w:pPr>
        <w:pStyle w:val="Heading1"/>
        <w:spacing w:before="93"/>
        <w:ind w:left="1311" w:right="1278"/>
      </w:pPr>
      <w:bookmarkStart w:name="_bookmark10" w:id="23"/>
      <w:bookmarkEnd w:id="23"/>
      <w:r>
        <w:rPr>
          <w:b w:val="0"/>
        </w:rPr>
      </w:r>
      <w:r>
        <w:rPr/>
        <w:t>Table 2. Required CE Code and Settings for CT Sensors</w:t>
      </w:r>
    </w:p>
    <w:p>
      <w:pPr>
        <w:pStyle w:val="BodyText"/>
        <w:spacing w:before="8"/>
        <w:rPr>
          <w:b/>
          <w:sz w:val="5"/>
        </w:rPr>
      </w:pPr>
    </w:p>
    <w:tbl>
      <w:tblPr>
        <w:tblW w:w="0" w:type="auto"/>
        <w:jc w:val="left"/>
        <w:tblInd w:w="8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201"/>
        <w:gridCol w:w="1260"/>
        <w:gridCol w:w="1738"/>
        <w:gridCol w:w="3701"/>
      </w:tblGrid>
      <w:tr>
        <w:trPr>
          <w:trHeight w:val="458" w:hRule="atLeast"/>
        </w:trPr>
        <w:tc>
          <w:tcPr>
            <w:tcW w:w="2201" w:type="dxa"/>
          </w:tcPr>
          <w:p>
            <w:pPr>
              <w:pStyle w:val="TableParagraph"/>
              <w:spacing w:line="225" w:lineRule="exact"/>
              <w:ind w:left="712"/>
              <w:rPr>
                <w:b/>
                <w:sz w:val="20"/>
              </w:rPr>
            </w:pPr>
            <w:r>
              <w:rPr>
                <w:b/>
                <w:sz w:val="20"/>
              </w:rPr>
              <w:t>I/O RAM</w:t>
            </w:r>
          </w:p>
          <w:p>
            <w:pPr>
              <w:pStyle w:val="TableParagraph"/>
              <w:spacing w:line="213" w:lineRule="exact"/>
              <w:ind w:left="607"/>
              <w:rPr>
                <w:b/>
                <w:sz w:val="20"/>
              </w:rPr>
            </w:pPr>
            <w:r>
              <w:rPr>
                <w:b/>
                <w:sz w:val="20"/>
              </w:rPr>
              <w:t>Mnemonic</w:t>
            </w:r>
          </w:p>
        </w:tc>
        <w:tc>
          <w:tcPr>
            <w:tcW w:w="1260" w:type="dxa"/>
          </w:tcPr>
          <w:p>
            <w:pPr>
              <w:pStyle w:val="TableParagraph"/>
              <w:spacing w:line="225" w:lineRule="exact"/>
              <w:ind w:left="239"/>
              <w:rPr>
                <w:b/>
                <w:sz w:val="20"/>
              </w:rPr>
            </w:pPr>
            <w:r>
              <w:rPr>
                <w:b/>
                <w:sz w:val="20"/>
              </w:rPr>
              <w:t>I/O</w:t>
            </w:r>
            <w:r>
              <w:rPr>
                <w:b/>
                <w:spacing w:val="-8"/>
                <w:sz w:val="20"/>
              </w:rPr>
              <w:t> </w:t>
            </w:r>
            <w:r>
              <w:rPr>
                <w:b/>
                <w:sz w:val="20"/>
              </w:rPr>
              <w:t>RAM</w:t>
            </w:r>
          </w:p>
          <w:p>
            <w:pPr>
              <w:pStyle w:val="TableParagraph"/>
              <w:spacing w:line="213" w:lineRule="exact"/>
              <w:ind w:left="213"/>
              <w:rPr>
                <w:b/>
                <w:sz w:val="20"/>
              </w:rPr>
            </w:pPr>
            <w:r>
              <w:rPr>
                <w:b/>
                <w:sz w:val="20"/>
              </w:rPr>
              <w:t>Location</w:t>
            </w:r>
          </w:p>
        </w:tc>
        <w:tc>
          <w:tcPr>
            <w:tcW w:w="1738" w:type="dxa"/>
          </w:tcPr>
          <w:p>
            <w:pPr>
              <w:pStyle w:val="TableParagraph"/>
              <w:spacing w:line="225" w:lineRule="exact"/>
              <w:ind w:left="89" w:right="91"/>
              <w:jc w:val="center"/>
              <w:rPr>
                <w:b/>
                <w:sz w:val="20"/>
              </w:rPr>
            </w:pPr>
            <w:r>
              <w:rPr>
                <w:b/>
                <w:sz w:val="20"/>
              </w:rPr>
              <w:t>I/O RAM Setting</w:t>
            </w:r>
          </w:p>
          <w:p>
            <w:pPr>
              <w:pStyle w:val="TableParagraph"/>
              <w:spacing w:line="213" w:lineRule="exact"/>
              <w:ind w:left="89" w:right="89"/>
              <w:jc w:val="center"/>
              <w:rPr>
                <w:b/>
                <w:sz w:val="20"/>
              </w:rPr>
            </w:pPr>
            <w:r>
              <w:rPr>
                <w:b/>
                <w:sz w:val="20"/>
              </w:rPr>
              <w:t>(Hex)</w:t>
            </w:r>
          </w:p>
        </w:tc>
        <w:tc>
          <w:tcPr>
            <w:tcW w:w="3701" w:type="dxa"/>
          </w:tcPr>
          <w:p>
            <w:pPr>
              <w:pStyle w:val="TableParagraph"/>
              <w:spacing w:before="110"/>
              <w:ind w:left="592" w:right="592"/>
              <w:jc w:val="center"/>
              <w:rPr>
                <w:b/>
                <w:sz w:val="20"/>
              </w:rPr>
            </w:pPr>
            <w:r>
              <w:rPr>
                <w:b/>
                <w:sz w:val="20"/>
              </w:rPr>
              <w:t>Comments</w:t>
            </w:r>
          </w:p>
        </w:tc>
      </w:tr>
      <w:tr>
        <w:trPr>
          <w:trHeight w:val="230" w:hRule="atLeast"/>
        </w:trPr>
        <w:tc>
          <w:tcPr>
            <w:tcW w:w="2201" w:type="dxa"/>
          </w:tcPr>
          <w:p>
            <w:pPr>
              <w:pStyle w:val="TableParagraph"/>
              <w:spacing w:line="210" w:lineRule="exact"/>
              <w:ind w:left="151" w:right="147"/>
              <w:jc w:val="center"/>
              <w:rPr>
                <w:rFonts w:ascii="Times New Roman"/>
                <w:i/>
                <w:sz w:val="20"/>
              </w:rPr>
            </w:pPr>
            <w:r>
              <w:rPr>
                <w:rFonts w:ascii="Times New Roman"/>
                <w:i/>
                <w:sz w:val="20"/>
              </w:rPr>
              <w:t>FIR_LEN[1:0]</w:t>
            </w:r>
          </w:p>
        </w:tc>
        <w:tc>
          <w:tcPr>
            <w:tcW w:w="1260" w:type="dxa"/>
          </w:tcPr>
          <w:p>
            <w:pPr>
              <w:pStyle w:val="TableParagraph"/>
              <w:spacing w:line="210" w:lineRule="exact"/>
              <w:ind w:left="173" w:right="172"/>
              <w:jc w:val="center"/>
              <w:rPr>
                <w:sz w:val="20"/>
              </w:rPr>
            </w:pPr>
            <w:r>
              <w:rPr>
                <w:sz w:val="20"/>
              </w:rPr>
              <w:t>210C[2:1]</w:t>
            </w:r>
          </w:p>
        </w:tc>
        <w:tc>
          <w:tcPr>
            <w:tcW w:w="1738" w:type="dxa"/>
          </w:tcPr>
          <w:p>
            <w:pPr>
              <w:pStyle w:val="TableParagraph"/>
              <w:spacing w:line="210" w:lineRule="exact"/>
              <w:jc w:val="center"/>
              <w:rPr>
                <w:sz w:val="20"/>
              </w:rPr>
            </w:pPr>
            <w:r>
              <w:rPr>
                <w:w w:val="99"/>
                <w:sz w:val="20"/>
              </w:rPr>
              <w:t>1</w:t>
            </w:r>
          </w:p>
        </w:tc>
        <w:tc>
          <w:tcPr>
            <w:tcW w:w="3701" w:type="dxa"/>
          </w:tcPr>
          <w:p>
            <w:pPr>
              <w:pStyle w:val="TableParagraph"/>
              <w:spacing w:line="210" w:lineRule="exact"/>
              <w:ind w:left="592" w:right="592"/>
              <w:jc w:val="center"/>
              <w:rPr>
                <w:sz w:val="20"/>
              </w:rPr>
            </w:pPr>
            <w:r>
              <w:rPr>
                <w:sz w:val="20"/>
              </w:rPr>
              <w:t>288 cycles</w:t>
            </w:r>
          </w:p>
        </w:tc>
      </w:tr>
      <w:tr>
        <w:trPr>
          <w:trHeight w:val="230" w:hRule="atLeast"/>
        </w:trPr>
        <w:tc>
          <w:tcPr>
            <w:tcW w:w="2201" w:type="dxa"/>
          </w:tcPr>
          <w:p>
            <w:pPr>
              <w:pStyle w:val="TableParagraph"/>
              <w:spacing w:line="210" w:lineRule="exact"/>
              <w:ind w:left="150" w:right="147"/>
              <w:jc w:val="center"/>
              <w:rPr>
                <w:rFonts w:ascii="Times New Roman"/>
                <w:i/>
                <w:sz w:val="20"/>
              </w:rPr>
            </w:pPr>
            <w:r>
              <w:rPr>
                <w:rFonts w:ascii="Times New Roman"/>
                <w:i/>
                <w:sz w:val="20"/>
              </w:rPr>
              <w:t>ADC_DIV</w:t>
            </w:r>
          </w:p>
        </w:tc>
        <w:tc>
          <w:tcPr>
            <w:tcW w:w="1260" w:type="dxa"/>
          </w:tcPr>
          <w:p>
            <w:pPr>
              <w:pStyle w:val="TableParagraph"/>
              <w:spacing w:line="210" w:lineRule="exact"/>
              <w:ind w:left="172" w:right="172"/>
              <w:jc w:val="center"/>
              <w:rPr>
                <w:sz w:val="20"/>
              </w:rPr>
            </w:pPr>
            <w:r>
              <w:rPr>
                <w:sz w:val="20"/>
              </w:rPr>
              <w:t>2200[5]</w:t>
            </w:r>
          </w:p>
        </w:tc>
        <w:tc>
          <w:tcPr>
            <w:tcW w:w="1738" w:type="dxa"/>
          </w:tcPr>
          <w:p>
            <w:pPr>
              <w:pStyle w:val="TableParagraph"/>
              <w:spacing w:line="210" w:lineRule="exact"/>
              <w:jc w:val="center"/>
              <w:rPr>
                <w:sz w:val="20"/>
              </w:rPr>
            </w:pPr>
            <w:r>
              <w:rPr>
                <w:w w:val="99"/>
                <w:sz w:val="20"/>
              </w:rPr>
              <w:t>0</w:t>
            </w:r>
          </w:p>
        </w:tc>
        <w:tc>
          <w:tcPr>
            <w:tcW w:w="3701" w:type="dxa"/>
          </w:tcPr>
          <w:p>
            <w:pPr>
              <w:pStyle w:val="TableParagraph"/>
              <w:spacing w:line="210" w:lineRule="exact"/>
              <w:ind w:left="595" w:right="592"/>
              <w:jc w:val="center"/>
              <w:rPr>
                <w:sz w:val="20"/>
              </w:rPr>
            </w:pPr>
            <w:r>
              <w:rPr>
                <w:sz w:val="20"/>
              </w:rPr>
              <w:t>Fast</w:t>
            </w:r>
          </w:p>
        </w:tc>
      </w:tr>
      <w:tr>
        <w:trPr>
          <w:trHeight w:val="230" w:hRule="atLeast"/>
        </w:trPr>
        <w:tc>
          <w:tcPr>
            <w:tcW w:w="2201" w:type="dxa"/>
          </w:tcPr>
          <w:p>
            <w:pPr>
              <w:pStyle w:val="TableParagraph"/>
              <w:spacing w:line="210" w:lineRule="exact"/>
              <w:ind w:left="151" w:right="147"/>
              <w:jc w:val="center"/>
              <w:rPr>
                <w:rFonts w:ascii="Times New Roman"/>
                <w:i/>
                <w:sz w:val="20"/>
              </w:rPr>
            </w:pPr>
            <w:r>
              <w:rPr>
                <w:rFonts w:ascii="Times New Roman"/>
                <w:i/>
                <w:sz w:val="20"/>
              </w:rPr>
              <w:t>PLL_FAST</w:t>
            </w:r>
          </w:p>
        </w:tc>
        <w:tc>
          <w:tcPr>
            <w:tcW w:w="1260" w:type="dxa"/>
          </w:tcPr>
          <w:p>
            <w:pPr>
              <w:pStyle w:val="TableParagraph"/>
              <w:spacing w:line="210" w:lineRule="exact"/>
              <w:ind w:left="172" w:right="172"/>
              <w:jc w:val="center"/>
              <w:rPr>
                <w:sz w:val="20"/>
              </w:rPr>
            </w:pPr>
            <w:r>
              <w:rPr>
                <w:sz w:val="20"/>
              </w:rPr>
              <w:t>2200[4]</w:t>
            </w:r>
          </w:p>
        </w:tc>
        <w:tc>
          <w:tcPr>
            <w:tcW w:w="1738" w:type="dxa"/>
          </w:tcPr>
          <w:p>
            <w:pPr>
              <w:pStyle w:val="TableParagraph"/>
              <w:spacing w:line="210" w:lineRule="exact"/>
              <w:jc w:val="center"/>
              <w:rPr>
                <w:sz w:val="20"/>
              </w:rPr>
            </w:pPr>
            <w:r>
              <w:rPr>
                <w:w w:val="99"/>
                <w:sz w:val="20"/>
              </w:rPr>
              <w:t>1</w:t>
            </w:r>
          </w:p>
        </w:tc>
        <w:tc>
          <w:tcPr>
            <w:tcW w:w="3701" w:type="dxa"/>
          </w:tcPr>
          <w:p>
            <w:pPr>
              <w:pStyle w:val="TableParagraph"/>
              <w:spacing w:line="210" w:lineRule="exact"/>
              <w:ind w:left="1364"/>
              <w:rPr>
                <w:sz w:val="20"/>
              </w:rPr>
            </w:pPr>
            <w:r>
              <w:rPr>
                <w:sz w:val="20"/>
              </w:rPr>
              <w:t>19.66 MHz</w:t>
            </w:r>
          </w:p>
        </w:tc>
      </w:tr>
      <w:tr>
        <w:trPr>
          <w:trHeight w:val="230" w:hRule="atLeast"/>
        </w:trPr>
        <w:tc>
          <w:tcPr>
            <w:tcW w:w="2201" w:type="dxa"/>
          </w:tcPr>
          <w:p>
            <w:pPr>
              <w:pStyle w:val="TableParagraph"/>
              <w:spacing w:line="210" w:lineRule="exact"/>
              <w:ind w:left="149" w:right="147"/>
              <w:jc w:val="center"/>
              <w:rPr>
                <w:rFonts w:ascii="Times New Roman"/>
                <w:i/>
                <w:sz w:val="20"/>
              </w:rPr>
            </w:pPr>
            <w:r>
              <w:rPr>
                <w:rFonts w:ascii="Times New Roman"/>
                <w:i/>
                <w:sz w:val="20"/>
              </w:rPr>
              <w:t>MUX_DIV[3:0]</w:t>
            </w:r>
          </w:p>
        </w:tc>
        <w:tc>
          <w:tcPr>
            <w:tcW w:w="1260" w:type="dxa"/>
          </w:tcPr>
          <w:p>
            <w:pPr>
              <w:pStyle w:val="TableParagraph"/>
              <w:spacing w:line="210" w:lineRule="exact"/>
              <w:ind w:left="172" w:right="172"/>
              <w:jc w:val="center"/>
              <w:rPr>
                <w:sz w:val="20"/>
              </w:rPr>
            </w:pPr>
            <w:r>
              <w:rPr>
                <w:sz w:val="20"/>
              </w:rPr>
              <w:t>2100[7:4]</w:t>
            </w:r>
          </w:p>
        </w:tc>
        <w:tc>
          <w:tcPr>
            <w:tcW w:w="1738" w:type="dxa"/>
          </w:tcPr>
          <w:p>
            <w:pPr>
              <w:pStyle w:val="TableParagraph"/>
              <w:spacing w:line="210" w:lineRule="exact"/>
              <w:jc w:val="center"/>
              <w:rPr>
                <w:sz w:val="20"/>
              </w:rPr>
            </w:pPr>
            <w:r>
              <w:rPr>
                <w:w w:val="99"/>
                <w:sz w:val="20"/>
              </w:rPr>
              <w:t>7</w:t>
            </w:r>
          </w:p>
        </w:tc>
        <w:tc>
          <w:tcPr>
            <w:tcW w:w="3701" w:type="dxa"/>
          </w:tcPr>
          <w:p>
            <w:pPr>
              <w:pStyle w:val="TableParagraph"/>
              <w:spacing w:line="210" w:lineRule="exact"/>
              <w:ind w:left="591" w:right="592"/>
              <w:jc w:val="center"/>
              <w:rPr>
                <w:sz w:val="20"/>
              </w:rPr>
            </w:pPr>
            <w:r>
              <w:rPr>
                <w:sz w:val="20"/>
              </w:rPr>
              <w:t>See note 1</w:t>
            </w:r>
          </w:p>
        </w:tc>
      </w:tr>
      <w:tr>
        <w:trPr>
          <w:trHeight w:val="460" w:hRule="atLeast"/>
        </w:trPr>
        <w:tc>
          <w:tcPr>
            <w:tcW w:w="2201" w:type="dxa"/>
          </w:tcPr>
          <w:p>
            <w:pPr>
              <w:pStyle w:val="TableParagraph"/>
              <w:spacing w:line="223" w:lineRule="exact"/>
              <w:ind w:left="147" w:right="147"/>
              <w:jc w:val="center"/>
              <w:rPr>
                <w:rFonts w:ascii="Times New Roman"/>
                <w:i/>
                <w:sz w:val="20"/>
              </w:rPr>
            </w:pPr>
            <w:r>
              <w:rPr>
                <w:rFonts w:ascii="Times New Roman"/>
                <w:i/>
                <w:sz w:val="20"/>
              </w:rPr>
              <w:t>MUX0_SEL[3:0]</w:t>
            </w:r>
          </w:p>
        </w:tc>
        <w:tc>
          <w:tcPr>
            <w:tcW w:w="1260" w:type="dxa"/>
          </w:tcPr>
          <w:p>
            <w:pPr>
              <w:pStyle w:val="TableParagraph"/>
              <w:spacing w:line="227" w:lineRule="exact"/>
              <w:ind w:left="172" w:right="172"/>
              <w:jc w:val="center"/>
              <w:rPr>
                <w:sz w:val="20"/>
              </w:rPr>
            </w:pPr>
            <w:r>
              <w:rPr>
                <w:sz w:val="20"/>
              </w:rPr>
              <w:t>2105[3:0]</w:t>
            </w:r>
          </w:p>
        </w:tc>
        <w:tc>
          <w:tcPr>
            <w:tcW w:w="1738" w:type="dxa"/>
          </w:tcPr>
          <w:p>
            <w:pPr>
              <w:pStyle w:val="TableParagraph"/>
              <w:spacing w:line="227" w:lineRule="exact"/>
              <w:jc w:val="center"/>
              <w:rPr>
                <w:sz w:val="20"/>
              </w:rPr>
            </w:pPr>
            <w:r>
              <w:rPr>
                <w:w w:val="99"/>
                <w:sz w:val="20"/>
              </w:rPr>
              <w:t>2</w:t>
            </w:r>
          </w:p>
        </w:tc>
        <w:tc>
          <w:tcPr>
            <w:tcW w:w="3701" w:type="dxa"/>
          </w:tcPr>
          <w:p>
            <w:pPr>
              <w:pStyle w:val="TableParagraph"/>
              <w:spacing w:line="225" w:lineRule="exact"/>
              <w:ind w:left="593" w:right="592"/>
              <w:jc w:val="center"/>
              <w:rPr>
                <w:sz w:val="20"/>
              </w:rPr>
            </w:pPr>
            <w:r>
              <w:rPr>
                <w:sz w:val="20"/>
              </w:rPr>
              <w:t>Slot 0 is IADC</w:t>
            </w:r>
            <w:r>
              <w:rPr>
                <w:b/>
                <w:sz w:val="20"/>
              </w:rPr>
              <w:t>2</w:t>
            </w:r>
            <w:r>
              <w:rPr>
                <w:sz w:val="20"/>
              </w:rPr>
              <w:t>-IADC3</w:t>
            </w:r>
          </w:p>
          <w:p>
            <w:pPr>
              <w:pStyle w:val="TableParagraph"/>
              <w:spacing w:line="213" w:lineRule="exact" w:before="3"/>
              <w:ind w:left="593" w:right="592"/>
              <w:jc w:val="center"/>
              <w:rPr>
                <w:sz w:val="20"/>
              </w:rPr>
            </w:pPr>
            <w:r>
              <w:rPr>
                <w:sz w:val="20"/>
              </w:rPr>
              <w:t>(IA)</w:t>
            </w:r>
          </w:p>
        </w:tc>
      </w:tr>
      <w:tr>
        <w:trPr>
          <w:trHeight w:val="458" w:hRule="atLeast"/>
        </w:trPr>
        <w:tc>
          <w:tcPr>
            <w:tcW w:w="2201" w:type="dxa"/>
          </w:tcPr>
          <w:p>
            <w:pPr>
              <w:pStyle w:val="TableParagraph"/>
              <w:spacing w:line="223" w:lineRule="exact"/>
              <w:ind w:left="147" w:right="147"/>
              <w:jc w:val="center"/>
              <w:rPr>
                <w:rFonts w:ascii="Times New Roman"/>
                <w:i/>
                <w:sz w:val="20"/>
              </w:rPr>
            </w:pPr>
            <w:r>
              <w:rPr>
                <w:rFonts w:ascii="Times New Roman"/>
                <w:i/>
                <w:sz w:val="20"/>
              </w:rPr>
              <w:t>MUX1_SEL[3:0]</w:t>
            </w:r>
          </w:p>
        </w:tc>
        <w:tc>
          <w:tcPr>
            <w:tcW w:w="1260" w:type="dxa"/>
          </w:tcPr>
          <w:p>
            <w:pPr>
              <w:pStyle w:val="TableParagraph"/>
              <w:spacing w:line="227" w:lineRule="exact"/>
              <w:ind w:left="172" w:right="172"/>
              <w:jc w:val="center"/>
              <w:rPr>
                <w:sz w:val="20"/>
              </w:rPr>
            </w:pPr>
            <w:r>
              <w:rPr>
                <w:sz w:val="20"/>
              </w:rPr>
              <w:t>2105[7:4]</w:t>
            </w:r>
          </w:p>
        </w:tc>
        <w:tc>
          <w:tcPr>
            <w:tcW w:w="1738" w:type="dxa"/>
          </w:tcPr>
          <w:p>
            <w:pPr>
              <w:pStyle w:val="TableParagraph"/>
              <w:spacing w:line="227" w:lineRule="exact"/>
              <w:jc w:val="center"/>
              <w:rPr>
                <w:sz w:val="20"/>
              </w:rPr>
            </w:pPr>
            <w:r>
              <w:rPr>
                <w:w w:val="99"/>
                <w:sz w:val="20"/>
              </w:rPr>
              <w:t>8</w:t>
            </w:r>
          </w:p>
        </w:tc>
        <w:tc>
          <w:tcPr>
            <w:tcW w:w="3701" w:type="dxa"/>
          </w:tcPr>
          <w:p>
            <w:pPr>
              <w:pStyle w:val="TableParagraph"/>
              <w:spacing w:line="225" w:lineRule="exact"/>
              <w:ind w:left="591" w:right="592"/>
              <w:jc w:val="center"/>
              <w:rPr>
                <w:b/>
                <w:sz w:val="20"/>
              </w:rPr>
            </w:pPr>
            <w:r>
              <w:rPr>
                <w:sz w:val="20"/>
              </w:rPr>
              <w:t>Slot 1 is VADC</w:t>
            </w:r>
            <w:r>
              <w:rPr>
                <w:b/>
                <w:sz w:val="20"/>
              </w:rPr>
              <w:t>8</w:t>
            </w:r>
          </w:p>
          <w:p>
            <w:pPr>
              <w:pStyle w:val="TableParagraph"/>
              <w:spacing w:line="211" w:lineRule="exact" w:before="3"/>
              <w:ind w:left="590" w:right="592"/>
              <w:jc w:val="center"/>
              <w:rPr>
                <w:sz w:val="20"/>
              </w:rPr>
            </w:pPr>
            <w:r>
              <w:rPr>
                <w:sz w:val="20"/>
              </w:rPr>
              <w:t>(VA)</w:t>
            </w:r>
          </w:p>
        </w:tc>
      </w:tr>
      <w:tr>
        <w:trPr>
          <w:trHeight w:val="460" w:hRule="atLeast"/>
        </w:trPr>
        <w:tc>
          <w:tcPr>
            <w:tcW w:w="2201" w:type="dxa"/>
          </w:tcPr>
          <w:p>
            <w:pPr>
              <w:pStyle w:val="TableParagraph"/>
              <w:spacing w:line="226" w:lineRule="exact"/>
              <w:ind w:left="147" w:right="147"/>
              <w:jc w:val="center"/>
              <w:rPr>
                <w:rFonts w:ascii="Times New Roman"/>
                <w:i/>
                <w:sz w:val="20"/>
              </w:rPr>
            </w:pPr>
            <w:r>
              <w:rPr>
                <w:rFonts w:ascii="Times New Roman"/>
                <w:i/>
                <w:sz w:val="20"/>
              </w:rPr>
              <w:t>MUX2_SEL[3:0]</w:t>
            </w:r>
          </w:p>
        </w:tc>
        <w:tc>
          <w:tcPr>
            <w:tcW w:w="1260" w:type="dxa"/>
          </w:tcPr>
          <w:p>
            <w:pPr>
              <w:pStyle w:val="TableParagraph"/>
              <w:spacing w:line="229" w:lineRule="exact"/>
              <w:ind w:left="172" w:right="172"/>
              <w:jc w:val="center"/>
              <w:rPr>
                <w:sz w:val="20"/>
              </w:rPr>
            </w:pPr>
            <w:r>
              <w:rPr>
                <w:sz w:val="20"/>
              </w:rPr>
              <w:t>2104[3:0]</w:t>
            </w:r>
          </w:p>
        </w:tc>
        <w:tc>
          <w:tcPr>
            <w:tcW w:w="1738" w:type="dxa"/>
          </w:tcPr>
          <w:p>
            <w:pPr>
              <w:pStyle w:val="TableParagraph"/>
              <w:spacing w:line="229" w:lineRule="exact"/>
              <w:jc w:val="center"/>
              <w:rPr>
                <w:sz w:val="20"/>
              </w:rPr>
            </w:pPr>
            <w:r>
              <w:rPr>
                <w:w w:val="99"/>
                <w:sz w:val="20"/>
              </w:rPr>
              <w:t>4</w:t>
            </w:r>
          </w:p>
        </w:tc>
        <w:tc>
          <w:tcPr>
            <w:tcW w:w="3701" w:type="dxa"/>
          </w:tcPr>
          <w:p>
            <w:pPr>
              <w:pStyle w:val="TableParagraph"/>
              <w:spacing w:line="230" w:lineRule="exact"/>
              <w:ind w:left="1688" w:right="821" w:hanging="845"/>
              <w:rPr>
                <w:sz w:val="20"/>
              </w:rPr>
            </w:pPr>
            <w:r>
              <w:rPr>
                <w:sz w:val="20"/>
              </w:rPr>
              <w:t>Slot 2 is IADC</w:t>
            </w:r>
            <w:r>
              <w:rPr>
                <w:b/>
                <w:sz w:val="20"/>
              </w:rPr>
              <w:t>4</w:t>
            </w:r>
            <w:r>
              <w:rPr>
                <w:sz w:val="20"/>
              </w:rPr>
              <w:t>-IADC5 (IB)</w:t>
            </w:r>
          </w:p>
        </w:tc>
      </w:tr>
      <w:tr>
        <w:trPr>
          <w:trHeight w:val="460" w:hRule="atLeast"/>
        </w:trPr>
        <w:tc>
          <w:tcPr>
            <w:tcW w:w="2201" w:type="dxa"/>
          </w:tcPr>
          <w:p>
            <w:pPr>
              <w:pStyle w:val="TableParagraph"/>
              <w:spacing w:line="223" w:lineRule="exact"/>
              <w:ind w:left="147" w:right="147"/>
              <w:jc w:val="center"/>
              <w:rPr>
                <w:rFonts w:ascii="Times New Roman"/>
                <w:i/>
                <w:sz w:val="20"/>
              </w:rPr>
            </w:pPr>
            <w:r>
              <w:rPr>
                <w:rFonts w:ascii="Times New Roman"/>
                <w:i/>
                <w:sz w:val="20"/>
              </w:rPr>
              <w:t>MUX3_SEL[3:0]</w:t>
            </w:r>
          </w:p>
        </w:tc>
        <w:tc>
          <w:tcPr>
            <w:tcW w:w="1260" w:type="dxa"/>
          </w:tcPr>
          <w:p>
            <w:pPr>
              <w:pStyle w:val="TableParagraph"/>
              <w:spacing w:line="227" w:lineRule="exact"/>
              <w:ind w:left="172" w:right="172"/>
              <w:jc w:val="center"/>
              <w:rPr>
                <w:sz w:val="20"/>
              </w:rPr>
            </w:pPr>
            <w:r>
              <w:rPr>
                <w:sz w:val="20"/>
              </w:rPr>
              <w:t>2104[7:4]</w:t>
            </w:r>
          </w:p>
        </w:tc>
        <w:tc>
          <w:tcPr>
            <w:tcW w:w="1738" w:type="dxa"/>
          </w:tcPr>
          <w:p>
            <w:pPr>
              <w:pStyle w:val="TableParagraph"/>
              <w:spacing w:line="227" w:lineRule="exact"/>
              <w:jc w:val="center"/>
              <w:rPr>
                <w:sz w:val="20"/>
              </w:rPr>
            </w:pPr>
            <w:r>
              <w:rPr>
                <w:w w:val="99"/>
                <w:sz w:val="20"/>
              </w:rPr>
              <w:t>9</w:t>
            </w:r>
          </w:p>
        </w:tc>
        <w:tc>
          <w:tcPr>
            <w:tcW w:w="3701" w:type="dxa"/>
          </w:tcPr>
          <w:p>
            <w:pPr>
              <w:pStyle w:val="TableParagraph"/>
              <w:spacing w:line="225" w:lineRule="exact"/>
              <w:ind w:left="591" w:right="592"/>
              <w:jc w:val="center"/>
              <w:rPr>
                <w:b/>
                <w:sz w:val="20"/>
              </w:rPr>
            </w:pPr>
            <w:r>
              <w:rPr>
                <w:sz w:val="20"/>
              </w:rPr>
              <w:t>Slot 3 is VADC</w:t>
            </w:r>
            <w:r>
              <w:rPr>
                <w:b/>
                <w:sz w:val="20"/>
              </w:rPr>
              <w:t>9</w:t>
            </w:r>
          </w:p>
          <w:p>
            <w:pPr>
              <w:pStyle w:val="TableParagraph"/>
              <w:spacing w:line="213" w:lineRule="exact" w:before="3"/>
              <w:ind w:left="590" w:right="592"/>
              <w:jc w:val="center"/>
              <w:rPr>
                <w:sz w:val="20"/>
              </w:rPr>
            </w:pPr>
            <w:r>
              <w:rPr>
                <w:sz w:val="20"/>
              </w:rPr>
              <w:t>(VB)</w:t>
            </w:r>
          </w:p>
        </w:tc>
      </w:tr>
      <w:tr>
        <w:trPr>
          <w:trHeight w:val="460" w:hRule="atLeast"/>
        </w:trPr>
        <w:tc>
          <w:tcPr>
            <w:tcW w:w="2201" w:type="dxa"/>
          </w:tcPr>
          <w:p>
            <w:pPr>
              <w:pStyle w:val="TableParagraph"/>
              <w:spacing w:line="223" w:lineRule="exact"/>
              <w:ind w:left="147" w:right="147"/>
              <w:jc w:val="center"/>
              <w:rPr>
                <w:rFonts w:ascii="Times New Roman"/>
                <w:i/>
                <w:sz w:val="20"/>
              </w:rPr>
            </w:pPr>
            <w:r>
              <w:rPr>
                <w:rFonts w:ascii="Times New Roman"/>
                <w:i/>
                <w:sz w:val="20"/>
              </w:rPr>
              <w:t>MUX4_SEL[3:0]</w:t>
            </w:r>
          </w:p>
        </w:tc>
        <w:tc>
          <w:tcPr>
            <w:tcW w:w="1260" w:type="dxa"/>
          </w:tcPr>
          <w:p>
            <w:pPr>
              <w:pStyle w:val="TableParagraph"/>
              <w:spacing w:line="227" w:lineRule="exact"/>
              <w:ind w:left="172" w:right="172"/>
              <w:jc w:val="center"/>
              <w:rPr>
                <w:sz w:val="20"/>
              </w:rPr>
            </w:pPr>
            <w:r>
              <w:rPr>
                <w:sz w:val="20"/>
              </w:rPr>
              <w:t>2103[3:0]</w:t>
            </w:r>
          </w:p>
        </w:tc>
        <w:tc>
          <w:tcPr>
            <w:tcW w:w="1738" w:type="dxa"/>
          </w:tcPr>
          <w:p>
            <w:pPr>
              <w:pStyle w:val="TableParagraph"/>
              <w:spacing w:line="227" w:lineRule="exact"/>
              <w:jc w:val="center"/>
              <w:rPr>
                <w:sz w:val="20"/>
              </w:rPr>
            </w:pPr>
            <w:r>
              <w:rPr>
                <w:w w:val="99"/>
                <w:sz w:val="20"/>
              </w:rPr>
              <w:t>6</w:t>
            </w:r>
          </w:p>
        </w:tc>
        <w:tc>
          <w:tcPr>
            <w:tcW w:w="3701" w:type="dxa"/>
          </w:tcPr>
          <w:p>
            <w:pPr>
              <w:pStyle w:val="TableParagraph"/>
              <w:spacing w:line="225" w:lineRule="exact"/>
              <w:ind w:left="593" w:right="592"/>
              <w:jc w:val="center"/>
              <w:rPr>
                <w:sz w:val="20"/>
              </w:rPr>
            </w:pPr>
            <w:r>
              <w:rPr>
                <w:sz w:val="20"/>
              </w:rPr>
              <w:t>Slot 4 is IADC</w:t>
            </w:r>
            <w:r>
              <w:rPr>
                <w:b/>
                <w:sz w:val="20"/>
              </w:rPr>
              <w:t>6</w:t>
            </w:r>
            <w:r>
              <w:rPr>
                <w:sz w:val="20"/>
              </w:rPr>
              <w:t>-IADC7</w:t>
            </w:r>
          </w:p>
          <w:p>
            <w:pPr>
              <w:pStyle w:val="TableParagraph"/>
              <w:spacing w:line="213" w:lineRule="exact" w:before="3"/>
              <w:ind w:left="592" w:right="592"/>
              <w:jc w:val="center"/>
              <w:rPr>
                <w:sz w:val="20"/>
              </w:rPr>
            </w:pPr>
            <w:r>
              <w:rPr>
                <w:sz w:val="20"/>
              </w:rPr>
              <w:t>(IC)</w:t>
            </w:r>
          </w:p>
        </w:tc>
      </w:tr>
      <w:tr>
        <w:trPr>
          <w:trHeight w:val="458" w:hRule="atLeast"/>
        </w:trPr>
        <w:tc>
          <w:tcPr>
            <w:tcW w:w="2201" w:type="dxa"/>
          </w:tcPr>
          <w:p>
            <w:pPr>
              <w:pStyle w:val="TableParagraph"/>
              <w:spacing w:line="223" w:lineRule="exact"/>
              <w:ind w:left="147" w:right="147"/>
              <w:jc w:val="center"/>
              <w:rPr>
                <w:rFonts w:ascii="Times New Roman"/>
                <w:i/>
                <w:sz w:val="20"/>
              </w:rPr>
            </w:pPr>
            <w:r>
              <w:rPr>
                <w:rFonts w:ascii="Times New Roman"/>
                <w:i/>
                <w:sz w:val="20"/>
              </w:rPr>
              <w:t>MUX5_SEL[3:0]</w:t>
            </w:r>
          </w:p>
        </w:tc>
        <w:tc>
          <w:tcPr>
            <w:tcW w:w="1260" w:type="dxa"/>
          </w:tcPr>
          <w:p>
            <w:pPr>
              <w:pStyle w:val="TableParagraph"/>
              <w:spacing w:line="227" w:lineRule="exact"/>
              <w:ind w:left="172" w:right="172"/>
              <w:jc w:val="center"/>
              <w:rPr>
                <w:sz w:val="20"/>
              </w:rPr>
            </w:pPr>
            <w:r>
              <w:rPr>
                <w:sz w:val="20"/>
              </w:rPr>
              <w:t>2103[7:4]</w:t>
            </w:r>
          </w:p>
        </w:tc>
        <w:tc>
          <w:tcPr>
            <w:tcW w:w="1738" w:type="dxa"/>
          </w:tcPr>
          <w:p>
            <w:pPr>
              <w:pStyle w:val="TableParagraph"/>
              <w:spacing w:line="227" w:lineRule="exact"/>
              <w:jc w:val="center"/>
              <w:rPr>
                <w:sz w:val="20"/>
              </w:rPr>
            </w:pPr>
            <w:r>
              <w:rPr>
                <w:w w:val="99"/>
                <w:sz w:val="20"/>
              </w:rPr>
              <w:t>A</w:t>
            </w:r>
          </w:p>
        </w:tc>
        <w:tc>
          <w:tcPr>
            <w:tcW w:w="3701" w:type="dxa"/>
          </w:tcPr>
          <w:p>
            <w:pPr>
              <w:pStyle w:val="TableParagraph"/>
              <w:spacing w:line="225" w:lineRule="exact"/>
              <w:ind w:left="595" w:right="592"/>
              <w:jc w:val="center"/>
              <w:rPr>
                <w:b/>
                <w:sz w:val="20"/>
              </w:rPr>
            </w:pPr>
            <w:r>
              <w:rPr>
                <w:sz w:val="20"/>
              </w:rPr>
              <w:t>Slot 5 is VADC</w:t>
            </w:r>
            <w:r>
              <w:rPr>
                <w:b/>
                <w:sz w:val="20"/>
              </w:rPr>
              <w:t>10</w:t>
            </w:r>
          </w:p>
          <w:p>
            <w:pPr>
              <w:pStyle w:val="TableParagraph"/>
              <w:spacing w:line="211" w:lineRule="exact" w:before="3"/>
              <w:ind w:left="592" w:right="592"/>
              <w:jc w:val="center"/>
              <w:rPr>
                <w:sz w:val="20"/>
              </w:rPr>
            </w:pPr>
            <w:r>
              <w:rPr>
                <w:sz w:val="20"/>
              </w:rPr>
              <w:t>(VC)</w:t>
            </w:r>
          </w:p>
        </w:tc>
      </w:tr>
      <w:tr>
        <w:trPr>
          <w:trHeight w:val="460" w:hRule="atLeast"/>
        </w:trPr>
        <w:tc>
          <w:tcPr>
            <w:tcW w:w="2201" w:type="dxa"/>
          </w:tcPr>
          <w:p>
            <w:pPr>
              <w:pStyle w:val="TableParagraph"/>
              <w:spacing w:line="226" w:lineRule="exact"/>
              <w:ind w:left="147" w:right="147"/>
              <w:jc w:val="center"/>
              <w:rPr>
                <w:rFonts w:ascii="Times New Roman"/>
                <w:i/>
                <w:sz w:val="20"/>
              </w:rPr>
            </w:pPr>
            <w:r>
              <w:rPr>
                <w:rFonts w:ascii="Times New Roman"/>
                <w:i/>
                <w:sz w:val="20"/>
              </w:rPr>
              <w:t>MUX6_SEL[3:0]</w:t>
            </w:r>
          </w:p>
        </w:tc>
        <w:tc>
          <w:tcPr>
            <w:tcW w:w="1260" w:type="dxa"/>
          </w:tcPr>
          <w:p>
            <w:pPr>
              <w:pStyle w:val="TableParagraph"/>
              <w:spacing w:line="229" w:lineRule="exact"/>
              <w:ind w:left="172" w:right="172"/>
              <w:jc w:val="center"/>
              <w:rPr>
                <w:sz w:val="20"/>
              </w:rPr>
            </w:pPr>
            <w:r>
              <w:rPr>
                <w:sz w:val="20"/>
              </w:rPr>
              <w:t>2102[3:0]</w:t>
            </w:r>
          </w:p>
        </w:tc>
        <w:tc>
          <w:tcPr>
            <w:tcW w:w="1738" w:type="dxa"/>
          </w:tcPr>
          <w:p>
            <w:pPr>
              <w:pStyle w:val="TableParagraph"/>
              <w:spacing w:line="229" w:lineRule="exact"/>
              <w:jc w:val="center"/>
              <w:rPr>
                <w:sz w:val="20"/>
              </w:rPr>
            </w:pPr>
            <w:r>
              <w:rPr>
                <w:w w:val="99"/>
                <w:sz w:val="20"/>
              </w:rPr>
              <w:t>0</w:t>
            </w:r>
          </w:p>
        </w:tc>
        <w:tc>
          <w:tcPr>
            <w:tcW w:w="3701" w:type="dxa"/>
          </w:tcPr>
          <w:p>
            <w:pPr>
              <w:pStyle w:val="TableParagraph"/>
              <w:spacing w:line="228" w:lineRule="exact"/>
              <w:ind w:left="593" w:right="592"/>
              <w:jc w:val="center"/>
              <w:rPr>
                <w:sz w:val="20"/>
              </w:rPr>
            </w:pPr>
            <w:r>
              <w:rPr>
                <w:sz w:val="20"/>
              </w:rPr>
              <w:t>Slot 6 is IADC0-IADC1</w:t>
            </w:r>
          </w:p>
          <w:p>
            <w:pPr>
              <w:pStyle w:val="TableParagraph"/>
              <w:spacing w:line="212" w:lineRule="exact"/>
              <w:ind w:left="592" w:right="592"/>
              <w:jc w:val="center"/>
              <w:rPr>
                <w:sz w:val="20"/>
              </w:rPr>
            </w:pPr>
            <w:r>
              <w:rPr>
                <w:sz w:val="20"/>
              </w:rPr>
              <w:t>(IN – See note 2)</w:t>
            </w:r>
          </w:p>
        </w:tc>
      </w:tr>
      <w:tr>
        <w:trPr>
          <w:trHeight w:val="230" w:hRule="atLeast"/>
        </w:trPr>
        <w:tc>
          <w:tcPr>
            <w:tcW w:w="2201" w:type="dxa"/>
          </w:tcPr>
          <w:p>
            <w:pPr>
              <w:pStyle w:val="TableParagraph"/>
              <w:spacing w:line="210" w:lineRule="exact"/>
              <w:ind w:left="147" w:right="147"/>
              <w:jc w:val="center"/>
              <w:rPr>
                <w:rFonts w:ascii="Times New Roman"/>
                <w:i/>
                <w:sz w:val="20"/>
              </w:rPr>
            </w:pPr>
            <w:r>
              <w:rPr>
                <w:rFonts w:ascii="Times New Roman"/>
                <w:i/>
                <w:sz w:val="20"/>
              </w:rPr>
              <w:t>MUX7_SEL[3:0]</w:t>
            </w:r>
          </w:p>
        </w:tc>
        <w:tc>
          <w:tcPr>
            <w:tcW w:w="1260" w:type="dxa"/>
          </w:tcPr>
          <w:p>
            <w:pPr>
              <w:pStyle w:val="TableParagraph"/>
              <w:spacing w:line="210" w:lineRule="exact"/>
              <w:ind w:left="172" w:right="172"/>
              <w:jc w:val="center"/>
              <w:rPr>
                <w:sz w:val="20"/>
              </w:rPr>
            </w:pPr>
            <w:r>
              <w:rPr>
                <w:sz w:val="20"/>
              </w:rPr>
              <w:t>2102[7:4]</w:t>
            </w:r>
          </w:p>
        </w:tc>
        <w:tc>
          <w:tcPr>
            <w:tcW w:w="1738" w:type="dxa"/>
          </w:tcPr>
          <w:p>
            <w:pPr>
              <w:pStyle w:val="TableParagraph"/>
              <w:spacing w:line="210" w:lineRule="exact"/>
              <w:jc w:val="center"/>
              <w:rPr>
                <w:sz w:val="20"/>
              </w:rPr>
            </w:pPr>
            <w:r>
              <w:rPr>
                <w:w w:val="99"/>
                <w:sz w:val="20"/>
              </w:rPr>
              <w:t>0</w:t>
            </w:r>
          </w:p>
        </w:tc>
        <w:tc>
          <w:tcPr>
            <w:tcW w:w="3701" w:type="dxa"/>
            <w:vMerge w:val="restart"/>
          </w:tcPr>
          <w:p>
            <w:pPr>
              <w:pStyle w:val="TableParagraph"/>
              <w:spacing w:before="4"/>
              <w:rPr>
                <w:b/>
                <w:sz w:val="30"/>
              </w:rPr>
            </w:pPr>
          </w:p>
          <w:p>
            <w:pPr>
              <w:pStyle w:val="TableParagraph"/>
              <w:spacing w:before="1"/>
              <w:ind w:left="1076"/>
              <w:rPr>
                <w:sz w:val="20"/>
              </w:rPr>
            </w:pPr>
            <w:r>
              <w:rPr>
                <w:sz w:val="20"/>
              </w:rPr>
              <w:t>Slots not enabled</w:t>
            </w:r>
          </w:p>
        </w:tc>
      </w:tr>
      <w:tr>
        <w:trPr>
          <w:trHeight w:val="230" w:hRule="atLeast"/>
        </w:trPr>
        <w:tc>
          <w:tcPr>
            <w:tcW w:w="2201" w:type="dxa"/>
          </w:tcPr>
          <w:p>
            <w:pPr>
              <w:pStyle w:val="TableParagraph"/>
              <w:spacing w:line="210" w:lineRule="exact"/>
              <w:ind w:left="147" w:right="147"/>
              <w:jc w:val="center"/>
              <w:rPr>
                <w:rFonts w:ascii="Times New Roman"/>
                <w:i/>
                <w:sz w:val="20"/>
              </w:rPr>
            </w:pPr>
            <w:r>
              <w:rPr>
                <w:rFonts w:ascii="Times New Roman"/>
                <w:i/>
                <w:sz w:val="20"/>
              </w:rPr>
              <w:t>MUX8_SEL[3:0]</w:t>
            </w:r>
          </w:p>
        </w:tc>
        <w:tc>
          <w:tcPr>
            <w:tcW w:w="1260" w:type="dxa"/>
          </w:tcPr>
          <w:p>
            <w:pPr>
              <w:pStyle w:val="TableParagraph"/>
              <w:spacing w:line="210" w:lineRule="exact"/>
              <w:ind w:left="172" w:right="172"/>
              <w:jc w:val="center"/>
              <w:rPr>
                <w:sz w:val="20"/>
              </w:rPr>
            </w:pPr>
            <w:r>
              <w:rPr>
                <w:sz w:val="20"/>
              </w:rPr>
              <w:t>2101[3:0]</w:t>
            </w:r>
          </w:p>
        </w:tc>
        <w:tc>
          <w:tcPr>
            <w:tcW w:w="1738" w:type="dxa"/>
          </w:tcPr>
          <w:p>
            <w:pPr>
              <w:pStyle w:val="TableParagraph"/>
              <w:spacing w:line="210" w:lineRule="exact"/>
              <w:jc w:val="center"/>
              <w:rPr>
                <w:sz w:val="20"/>
              </w:rPr>
            </w:pPr>
            <w:r>
              <w:rPr>
                <w:w w:val="99"/>
                <w:sz w:val="20"/>
              </w:rPr>
              <w:t>0</w:t>
            </w:r>
          </w:p>
        </w:tc>
        <w:tc>
          <w:tcPr>
            <w:tcW w:w="3701" w:type="dxa"/>
            <w:vMerge/>
            <w:tcBorders>
              <w:top w:val="nil"/>
            </w:tcBorders>
          </w:tcPr>
          <w:p>
            <w:pPr>
              <w:rPr>
                <w:sz w:val="2"/>
                <w:szCs w:val="2"/>
              </w:rPr>
            </w:pPr>
          </w:p>
        </w:tc>
      </w:tr>
      <w:tr>
        <w:trPr>
          <w:trHeight w:val="230" w:hRule="atLeast"/>
        </w:trPr>
        <w:tc>
          <w:tcPr>
            <w:tcW w:w="2201" w:type="dxa"/>
          </w:tcPr>
          <w:p>
            <w:pPr>
              <w:pStyle w:val="TableParagraph"/>
              <w:spacing w:line="210" w:lineRule="exact"/>
              <w:ind w:left="147" w:right="147"/>
              <w:jc w:val="center"/>
              <w:rPr>
                <w:rFonts w:ascii="Times New Roman"/>
                <w:i/>
                <w:sz w:val="20"/>
              </w:rPr>
            </w:pPr>
            <w:r>
              <w:rPr>
                <w:rFonts w:ascii="Times New Roman"/>
                <w:i/>
                <w:sz w:val="20"/>
              </w:rPr>
              <w:t>MUX9_SEL[3:0]</w:t>
            </w:r>
          </w:p>
        </w:tc>
        <w:tc>
          <w:tcPr>
            <w:tcW w:w="1260" w:type="dxa"/>
          </w:tcPr>
          <w:p>
            <w:pPr>
              <w:pStyle w:val="TableParagraph"/>
              <w:spacing w:line="210" w:lineRule="exact"/>
              <w:ind w:left="172" w:right="172"/>
              <w:jc w:val="center"/>
              <w:rPr>
                <w:sz w:val="20"/>
              </w:rPr>
            </w:pPr>
            <w:r>
              <w:rPr>
                <w:sz w:val="20"/>
              </w:rPr>
              <w:t>2101[7:4]</w:t>
            </w:r>
          </w:p>
        </w:tc>
        <w:tc>
          <w:tcPr>
            <w:tcW w:w="1738" w:type="dxa"/>
          </w:tcPr>
          <w:p>
            <w:pPr>
              <w:pStyle w:val="TableParagraph"/>
              <w:spacing w:line="210" w:lineRule="exact"/>
              <w:jc w:val="center"/>
              <w:rPr>
                <w:sz w:val="20"/>
              </w:rPr>
            </w:pPr>
            <w:r>
              <w:rPr>
                <w:w w:val="99"/>
                <w:sz w:val="20"/>
              </w:rPr>
              <w:t>0</w:t>
            </w:r>
          </w:p>
        </w:tc>
        <w:tc>
          <w:tcPr>
            <w:tcW w:w="3701" w:type="dxa"/>
            <w:vMerge/>
            <w:tcBorders>
              <w:top w:val="nil"/>
            </w:tcBorders>
          </w:tcPr>
          <w:p>
            <w:pPr>
              <w:rPr>
                <w:sz w:val="2"/>
                <w:szCs w:val="2"/>
              </w:rPr>
            </w:pPr>
          </w:p>
        </w:tc>
      </w:tr>
      <w:tr>
        <w:trPr>
          <w:trHeight w:val="230" w:hRule="atLeast"/>
        </w:trPr>
        <w:tc>
          <w:tcPr>
            <w:tcW w:w="2201" w:type="dxa"/>
          </w:tcPr>
          <w:p>
            <w:pPr>
              <w:pStyle w:val="TableParagraph"/>
              <w:spacing w:line="210" w:lineRule="exact"/>
              <w:ind w:left="151" w:right="146"/>
              <w:jc w:val="center"/>
              <w:rPr>
                <w:rFonts w:ascii="Times New Roman"/>
                <w:i/>
                <w:sz w:val="20"/>
              </w:rPr>
            </w:pPr>
            <w:r>
              <w:rPr>
                <w:rFonts w:ascii="Times New Roman"/>
                <w:i/>
                <w:sz w:val="20"/>
              </w:rPr>
              <w:t>MUX10_SEL[3:0]</w:t>
            </w:r>
          </w:p>
        </w:tc>
        <w:tc>
          <w:tcPr>
            <w:tcW w:w="1260" w:type="dxa"/>
          </w:tcPr>
          <w:p>
            <w:pPr>
              <w:pStyle w:val="TableParagraph"/>
              <w:spacing w:line="210" w:lineRule="exact"/>
              <w:ind w:left="172" w:right="172"/>
              <w:jc w:val="center"/>
              <w:rPr>
                <w:sz w:val="20"/>
              </w:rPr>
            </w:pPr>
            <w:r>
              <w:rPr>
                <w:sz w:val="20"/>
              </w:rPr>
              <w:t>2100[3:0]</w:t>
            </w:r>
          </w:p>
        </w:tc>
        <w:tc>
          <w:tcPr>
            <w:tcW w:w="1738" w:type="dxa"/>
          </w:tcPr>
          <w:p>
            <w:pPr>
              <w:pStyle w:val="TableParagraph"/>
              <w:spacing w:line="210" w:lineRule="exact"/>
              <w:jc w:val="center"/>
              <w:rPr>
                <w:sz w:val="20"/>
              </w:rPr>
            </w:pPr>
            <w:r>
              <w:rPr>
                <w:w w:val="99"/>
                <w:sz w:val="20"/>
              </w:rPr>
              <w:t>0</w:t>
            </w:r>
          </w:p>
        </w:tc>
        <w:tc>
          <w:tcPr>
            <w:tcW w:w="3701" w:type="dxa"/>
            <w:vMerge/>
            <w:tcBorders>
              <w:top w:val="nil"/>
            </w:tcBorders>
          </w:tcPr>
          <w:p>
            <w:pPr>
              <w:rPr>
                <w:sz w:val="2"/>
                <w:szCs w:val="2"/>
              </w:rPr>
            </w:pPr>
          </w:p>
        </w:tc>
      </w:tr>
      <w:tr>
        <w:trPr>
          <w:trHeight w:val="230" w:hRule="atLeast"/>
        </w:trPr>
        <w:tc>
          <w:tcPr>
            <w:tcW w:w="2201" w:type="dxa"/>
          </w:tcPr>
          <w:p>
            <w:pPr>
              <w:pStyle w:val="TableParagraph"/>
              <w:spacing w:line="210" w:lineRule="exact"/>
              <w:ind w:left="151" w:right="146"/>
              <w:jc w:val="center"/>
              <w:rPr>
                <w:rFonts w:ascii="Times New Roman"/>
                <w:i/>
                <w:sz w:val="20"/>
              </w:rPr>
            </w:pPr>
            <w:r>
              <w:rPr>
                <w:rFonts w:ascii="Times New Roman"/>
                <w:i/>
                <w:sz w:val="20"/>
              </w:rPr>
              <w:t>RMT2_E</w:t>
            </w:r>
          </w:p>
        </w:tc>
        <w:tc>
          <w:tcPr>
            <w:tcW w:w="1260" w:type="dxa"/>
          </w:tcPr>
          <w:p>
            <w:pPr>
              <w:pStyle w:val="TableParagraph"/>
              <w:spacing w:line="210" w:lineRule="exact"/>
              <w:ind w:left="172" w:right="172"/>
              <w:jc w:val="center"/>
              <w:rPr>
                <w:sz w:val="20"/>
              </w:rPr>
            </w:pPr>
            <w:r>
              <w:rPr>
                <w:sz w:val="20"/>
              </w:rPr>
              <w:t>2709[3]</w:t>
            </w:r>
          </w:p>
        </w:tc>
        <w:tc>
          <w:tcPr>
            <w:tcW w:w="1738" w:type="dxa"/>
          </w:tcPr>
          <w:p>
            <w:pPr>
              <w:pStyle w:val="TableParagraph"/>
              <w:spacing w:line="210" w:lineRule="exact"/>
              <w:jc w:val="center"/>
              <w:rPr>
                <w:sz w:val="20"/>
              </w:rPr>
            </w:pPr>
            <w:r>
              <w:rPr>
                <w:w w:val="99"/>
                <w:sz w:val="20"/>
              </w:rPr>
              <w:t>0</w:t>
            </w:r>
          </w:p>
        </w:tc>
        <w:tc>
          <w:tcPr>
            <w:tcW w:w="3701" w:type="dxa"/>
          </w:tcPr>
          <w:p>
            <w:pPr>
              <w:pStyle w:val="TableParagraph"/>
              <w:spacing w:line="210" w:lineRule="exact"/>
              <w:ind w:left="595" w:right="592"/>
              <w:jc w:val="center"/>
              <w:rPr>
                <w:sz w:val="20"/>
              </w:rPr>
            </w:pPr>
            <w:r>
              <w:rPr>
                <w:sz w:val="20"/>
              </w:rPr>
              <w:t>Local Sensor IADC2-IADC3</w:t>
            </w:r>
          </w:p>
        </w:tc>
      </w:tr>
      <w:tr>
        <w:trPr>
          <w:trHeight w:val="230" w:hRule="atLeast"/>
        </w:trPr>
        <w:tc>
          <w:tcPr>
            <w:tcW w:w="2201" w:type="dxa"/>
          </w:tcPr>
          <w:p>
            <w:pPr>
              <w:pStyle w:val="TableParagraph"/>
              <w:spacing w:line="210" w:lineRule="exact"/>
              <w:ind w:left="151" w:right="146"/>
              <w:jc w:val="center"/>
              <w:rPr>
                <w:rFonts w:ascii="Times New Roman"/>
                <w:i/>
                <w:sz w:val="20"/>
              </w:rPr>
            </w:pPr>
            <w:r>
              <w:rPr>
                <w:rFonts w:ascii="Times New Roman"/>
                <w:i/>
                <w:sz w:val="20"/>
              </w:rPr>
              <w:t>RMT4_E</w:t>
            </w:r>
          </w:p>
        </w:tc>
        <w:tc>
          <w:tcPr>
            <w:tcW w:w="1260" w:type="dxa"/>
          </w:tcPr>
          <w:p>
            <w:pPr>
              <w:pStyle w:val="TableParagraph"/>
              <w:spacing w:line="210" w:lineRule="exact"/>
              <w:ind w:left="172" w:right="172"/>
              <w:jc w:val="center"/>
              <w:rPr>
                <w:sz w:val="20"/>
              </w:rPr>
            </w:pPr>
            <w:r>
              <w:rPr>
                <w:sz w:val="20"/>
              </w:rPr>
              <w:t>2709[4]</w:t>
            </w:r>
          </w:p>
        </w:tc>
        <w:tc>
          <w:tcPr>
            <w:tcW w:w="1738" w:type="dxa"/>
          </w:tcPr>
          <w:p>
            <w:pPr>
              <w:pStyle w:val="TableParagraph"/>
              <w:spacing w:line="210" w:lineRule="exact"/>
              <w:jc w:val="center"/>
              <w:rPr>
                <w:sz w:val="20"/>
              </w:rPr>
            </w:pPr>
            <w:r>
              <w:rPr>
                <w:w w:val="99"/>
                <w:sz w:val="20"/>
              </w:rPr>
              <w:t>0</w:t>
            </w:r>
          </w:p>
        </w:tc>
        <w:tc>
          <w:tcPr>
            <w:tcW w:w="3701" w:type="dxa"/>
          </w:tcPr>
          <w:p>
            <w:pPr>
              <w:pStyle w:val="TableParagraph"/>
              <w:spacing w:line="210" w:lineRule="exact"/>
              <w:ind w:left="595" w:right="592"/>
              <w:jc w:val="center"/>
              <w:rPr>
                <w:sz w:val="20"/>
              </w:rPr>
            </w:pPr>
            <w:r>
              <w:rPr>
                <w:sz w:val="20"/>
              </w:rPr>
              <w:t>Local Sensor IADC4-IADC5</w:t>
            </w:r>
          </w:p>
        </w:tc>
      </w:tr>
      <w:tr>
        <w:trPr>
          <w:trHeight w:val="230" w:hRule="atLeast"/>
        </w:trPr>
        <w:tc>
          <w:tcPr>
            <w:tcW w:w="2201" w:type="dxa"/>
          </w:tcPr>
          <w:p>
            <w:pPr>
              <w:pStyle w:val="TableParagraph"/>
              <w:spacing w:line="210" w:lineRule="exact"/>
              <w:ind w:left="151" w:right="146"/>
              <w:jc w:val="center"/>
              <w:rPr>
                <w:rFonts w:ascii="Times New Roman"/>
                <w:i/>
                <w:sz w:val="20"/>
              </w:rPr>
            </w:pPr>
            <w:r>
              <w:rPr>
                <w:rFonts w:ascii="Times New Roman"/>
                <w:i/>
                <w:sz w:val="20"/>
              </w:rPr>
              <w:t>RMT6_E</w:t>
            </w:r>
          </w:p>
        </w:tc>
        <w:tc>
          <w:tcPr>
            <w:tcW w:w="1260" w:type="dxa"/>
          </w:tcPr>
          <w:p>
            <w:pPr>
              <w:pStyle w:val="TableParagraph"/>
              <w:spacing w:line="210" w:lineRule="exact"/>
              <w:ind w:left="172" w:right="172"/>
              <w:jc w:val="center"/>
              <w:rPr>
                <w:sz w:val="20"/>
              </w:rPr>
            </w:pPr>
            <w:r>
              <w:rPr>
                <w:sz w:val="20"/>
              </w:rPr>
              <w:t>2709[5]</w:t>
            </w:r>
          </w:p>
        </w:tc>
        <w:tc>
          <w:tcPr>
            <w:tcW w:w="1738" w:type="dxa"/>
          </w:tcPr>
          <w:p>
            <w:pPr>
              <w:pStyle w:val="TableParagraph"/>
              <w:spacing w:line="210" w:lineRule="exact"/>
              <w:jc w:val="center"/>
              <w:rPr>
                <w:sz w:val="20"/>
              </w:rPr>
            </w:pPr>
            <w:r>
              <w:rPr>
                <w:w w:val="99"/>
                <w:sz w:val="20"/>
              </w:rPr>
              <w:t>0</w:t>
            </w:r>
          </w:p>
        </w:tc>
        <w:tc>
          <w:tcPr>
            <w:tcW w:w="3701" w:type="dxa"/>
          </w:tcPr>
          <w:p>
            <w:pPr>
              <w:pStyle w:val="TableParagraph"/>
              <w:spacing w:line="210" w:lineRule="exact"/>
              <w:ind w:left="595" w:right="592"/>
              <w:jc w:val="center"/>
              <w:rPr>
                <w:sz w:val="20"/>
              </w:rPr>
            </w:pPr>
            <w:r>
              <w:rPr>
                <w:sz w:val="20"/>
              </w:rPr>
              <w:t>Local Sensor IADC6-IADC7</w:t>
            </w:r>
          </w:p>
        </w:tc>
      </w:tr>
      <w:tr>
        <w:trPr>
          <w:trHeight w:val="227" w:hRule="atLeast"/>
        </w:trPr>
        <w:tc>
          <w:tcPr>
            <w:tcW w:w="2201" w:type="dxa"/>
          </w:tcPr>
          <w:p>
            <w:pPr>
              <w:pStyle w:val="TableParagraph"/>
              <w:spacing w:line="208" w:lineRule="exact"/>
              <w:ind w:left="151" w:right="142"/>
              <w:jc w:val="center"/>
              <w:rPr>
                <w:rFonts w:ascii="Times New Roman"/>
                <w:i/>
                <w:sz w:val="20"/>
              </w:rPr>
            </w:pPr>
            <w:r>
              <w:rPr>
                <w:rFonts w:ascii="Times New Roman"/>
                <w:i/>
                <w:sz w:val="20"/>
              </w:rPr>
              <w:t>DIFF0_E</w:t>
            </w:r>
          </w:p>
        </w:tc>
        <w:tc>
          <w:tcPr>
            <w:tcW w:w="1260" w:type="dxa"/>
          </w:tcPr>
          <w:p>
            <w:pPr>
              <w:pStyle w:val="TableParagraph"/>
              <w:spacing w:line="208" w:lineRule="exact"/>
              <w:ind w:left="172" w:right="172"/>
              <w:jc w:val="center"/>
              <w:rPr>
                <w:sz w:val="20"/>
              </w:rPr>
            </w:pPr>
            <w:r>
              <w:rPr>
                <w:sz w:val="20"/>
              </w:rPr>
              <w:t>210C[4]</w:t>
            </w:r>
          </w:p>
        </w:tc>
        <w:tc>
          <w:tcPr>
            <w:tcW w:w="1738" w:type="dxa"/>
          </w:tcPr>
          <w:p>
            <w:pPr>
              <w:pStyle w:val="TableParagraph"/>
              <w:spacing w:line="208" w:lineRule="exact"/>
              <w:jc w:val="center"/>
              <w:rPr>
                <w:sz w:val="20"/>
              </w:rPr>
            </w:pPr>
            <w:r>
              <w:rPr>
                <w:w w:val="99"/>
                <w:sz w:val="20"/>
              </w:rPr>
              <w:t>1</w:t>
            </w:r>
          </w:p>
        </w:tc>
        <w:tc>
          <w:tcPr>
            <w:tcW w:w="3701" w:type="dxa"/>
          </w:tcPr>
          <w:p>
            <w:pPr>
              <w:pStyle w:val="TableParagraph"/>
              <w:spacing w:line="208" w:lineRule="exact"/>
              <w:ind w:left="593" w:right="592"/>
              <w:jc w:val="center"/>
              <w:rPr>
                <w:sz w:val="20"/>
              </w:rPr>
            </w:pPr>
            <w:r>
              <w:rPr>
                <w:sz w:val="20"/>
              </w:rPr>
              <w:t>Differential IADC0-IADC1</w:t>
            </w:r>
          </w:p>
        </w:tc>
      </w:tr>
      <w:tr>
        <w:trPr>
          <w:trHeight w:val="230" w:hRule="atLeast"/>
        </w:trPr>
        <w:tc>
          <w:tcPr>
            <w:tcW w:w="2201" w:type="dxa"/>
          </w:tcPr>
          <w:p>
            <w:pPr>
              <w:pStyle w:val="TableParagraph"/>
              <w:spacing w:line="210" w:lineRule="exact"/>
              <w:ind w:left="151" w:right="142"/>
              <w:jc w:val="center"/>
              <w:rPr>
                <w:rFonts w:ascii="Times New Roman"/>
                <w:i/>
                <w:sz w:val="20"/>
              </w:rPr>
            </w:pPr>
            <w:r>
              <w:rPr>
                <w:rFonts w:ascii="Times New Roman"/>
                <w:i/>
                <w:sz w:val="20"/>
              </w:rPr>
              <w:t>DIFF2_E</w:t>
            </w:r>
          </w:p>
        </w:tc>
        <w:tc>
          <w:tcPr>
            <w:tcW w:w="1260" w:type="dxa"/>
          </w:tcPr>
          <w:p>
            <w:pPr>
              <w:pStyle w:val="TableParagraph"/>
              <w:spacing w:line="210" w:lineRule="exact"/>
              <w:ind w:left="172" w:right="172"/>
              <w:jc w:val="center"/>
              <w:rPr>
                <w:sz w:val="20"/>
              </w:rPr>
            </w:pPr>
            <w:r>
              <w:rPr>
                <w:sz w:val="20"/>
              </w:rPr>
              <w:t>210C[5]</w:t>
            </w:r>
          </w:p>
        </w:tc>
        <w:tc>
          <w:tcPr>
            <w:tcW w:w="1738" w:type="dxa"/>
          </w:tcPr>
          <w:p>
            <w:pPr>
              <w:pStyle w:val="TableParagraph"/>
              <w:spacing w:line="210" w:lineRule="exact"/>
              <w:jc w:val="center"/>
              <w:rPr>
                <w:sz w:val="20"/>
              </w:rPr>
            </w:pPr>
            <w:r>
              <w:rPr>
                <w:w w:val="99"/>
                <w:sz w:val="20"/>
              </w:rPr>
              <w:t>1</w:t>
            </w:r>
          </w:p>
        </w:tc>
        <w:tc>
          <w:tcPr>
            <w:tcW w:w="3701" w:type="dxa"/>
          </w:tcPr>
          <w:p>
            <w:pPr>
              <w:pStyle w:val="TableParagraph"/>
              <w:spacing w:line="210" w:lineRule="exact"/>
              <w:ind w:left="593" w:right="592"/>
              <w:jc w:val="center"/>
              <w:rPr>
                <w:sz w:val="20"/>
              </w:rPr>
            </w:pPr>
            <w:r>
              <w:rPr>
                <w:sz w:val="20"/>
              </w:rPr>
              <w:t>Differential IADC2-IADC3</w:t>
            </w:r>
          </w:p>
        </w:tc>
      </w:tr>
      <w:tr>
        <w:trPr>
          <w:trHeight w:val="230" w:hRule="atLeast"/>
        </w:trPr>
        <w:tc>
          <w:tcPr>
            <w:tcW w:w="2201" w:type="dxa"/>
          </w:tcPr>
          <w:p>
            <w:pPr>
              <w:pStyle w:val="TableParagraph"/>
              <w:spacing w:line="210" w:lineRule="exact"/>
              <w:ind w:left="151" w:right="142"/>
              <w:jc w:val="center"/>
              <w:rPr>
                <w:rFonts w:ascii="Times New Roman"/>
                <w:i/>
                <w:sz w:val="20"/>
              </w:rPr>
            </w:pPr>
            <w:r>
              <w:rPr>
                <w:rFonts w:ascii="Times New Roman"/>
                <w:i/>
                <w:sz w:val="20"/>
              </w:rPr>
              <w:t>DIFF4_E</w:t>
            </w:r>
          </w:p>
        </w:tc>
        <w:tc>
          <w:tcPr>
            <w:tcW w:w="1260" w:type="dxa"/>
          </w:tcPr>
          <w:p>
            <w:pPr>
              <w:pStyle w:val="TableParagraph"/>
              <w:spacing w:line="210" w:lineRule="exact"/>
              <w:ind w:left="172" w:right="172"/>
              <w:jc w:val="center"/>
              <w:rPr>
                <w:sz w:val="20"/>
              </w:rPr>
            </w:pPr>
            <w:r>
              <w:rPr>
                <w:sz w:val="20"/>
              </w:rPr>
              <w:t>210C[6]</w:t>
            </w:r>
          </w:p>
        </w:tc>
        <w:tc>
          <w:tcPr>
            <w:tcW w:w="1738" w:type="dxa"/>
          </w:tcPr>
          <w:p>
            <w:pPr>
              <w:pStyle w:val="TableParagraph"/>
              <w:spacing w:line="210" w:lineRule="exact"/>
              <w:jc w:val="center"/>
              <w:rPr>
                <w:sz w:val="20"/>
              </w:rPr>
            </w:pPr>
            <w:r>
              <w:rPr>
                <w:w w:val="99"/>
                <w:sz w:val="20"/>
              </w:rPr>
              <w:t>1</w:t>
            </w:r>
          </w:p>
        </w:tc>
        <w:tc>
          <w:tcPr>
            <w:tcW w:w="3701" w:type="dxa"/>
          </w:tcPr>
          <w:p>
            <w:pPr>
              <w:pStyle w:val="TableParagraph"/>
              <w:spacing w:line="210" w:lineRule="exact"/>
              <w:ind w:left="593" w:right="592"/>
              <w:jc w:val="center"/>
              <w:rPr>
                <w:sz w:val="20"/>
              </w:rPr>
            </w:pPr>
            <w:r>
              <w:rPr>
                <w:sz w:val="20"/>
              </w:rPr>
              <w:t>Differential IADC4-IADC5</w:t>
            </w:r>
          </w:p>
        </w:tc>
      </w:tr>
      <w:tr>
        <w:trPr>
          <w:trHeight w:val="230" w:hRule="atLeast"/>
        </w:trPr>
        <w:tc>
          <w:tcPr>
            <w:tcW w:w="2201" w:type="dxa"/>
          </w:tcPr>
          <w:p>
            <w:pPr>
              <w:pStyle w:val="TableParagraph"/>
              <w:spacing w:line="210" w:lineRule="exact"/>
              <w:ind w:left="151" w:right="142"/>
              <w:jc w:val="center"/>
              <w:rPr>
                <w:rFonts w:ascii="Times New Roman"/>
                <w:i/>
                <w:sz w:val="20"/>
              </w:rPr>
            </w:pPr>
            <w:r>
              <w:rPr>
                <w:rFonts w:ascii="Times New Roman"/>
                <w:i/>
                <w:sz w:val="20"/>
              </w:rPr>
              <w:t>DIFF6_E</w:t>
            </w:r>
          </w:p>
        </w:tc>
        <w:tc>
          <w:tcPr>
            <w:tcW w:w="1260" w:type="dxa"/>
          </w:tcPr>
          <w:p>
            <w:pPr>
              <w:pStyle w:val="TableParagraph"/>
              <w:spacing w:line="210" w:lineRule="exact"/>
              <w:ind w:left="172" w:right="172"/>
              <w:jc w:val="center"/>
              <w:rPr>
                <w:sz w:val="20"/>
              </w:rPr>
            </w:pPr>
            <w:r>
              <w:rPr>
                <w:sz w:val="20"/>
              </w:rPr>
              <w:t>210C[7]</w:t>
            </w:r>
          </w:p>
        </w:tc>
        <w:tc>
          <w:tcPr>
            <w:tcW w:w="1738" w:type="dxa"/>
          </w:tcPr>
          <w:p>
            <w:pPr>
              <w:pStyle w:val="TableParagraph"/>
              <w:spacing w:line="210" w:lineRule="exact"/>
              <w:jc w:val="center"/>
              <w:rPr>
                <w:sz w:val="20"/>
              </w:rPr>
            </w:pPr>
            <w:r>
              <w:rPr>
                <w:w w:val="99"/>
                <w:sz w:val="20"/>
              </w:rPr>
              <w:t>1</w:t>
            </w:r>
          </w:p>
        </w:tc>
        <w:tc>
          <w:tcPr>
            <w:tcW w:w="3701" w:type="dxa"/>
          </w:tcPr>
          <w:p>
            <w:pPr>
              <w:pStyle w:val="TableParagraph"/>
              <w:spacing w:line="210" w:lineRule="exact"/>
              <w:ind w:left="593" w:right="592"/>
              <w:jc w:val="center"/>
              <w:rPr>
                <w:sz w:val="20"/>
              </w:rPr>
            </w:pPr>
            <w:r>
              <w:rPr>
                <w:sz w:val="20"/>
              </w:rPr>
              <w:t>Differential IADC6-IADC7</w:t>
            </w:r>
          </w:p>
        </w:tc>
      </w:tr>
      <w:tr>
        <w:trPr>
          <w:trHeight w:val="230" w:hRule="atLeast"/>
        </w:trPr>
        <w:tc>
          <w:tcPr>
            <w:tcW w:w="2201" w:type="dxa"/>
          </w:tcPr>
          <w:p>
            <w:pPr>
              <w:pStyle w:val="TableParagraph"/>
              <w:spacing w:line="210" w:lineRule="exact"/>
              <w:ind w:left="151" w:right="145"/>
              <w:jc w:val="center"/>
              <w:rPr>
                <w:rFonts w:ascii="Times New Roman"/>
                <w:i/>
                <w:sz w:val="20"/>
              </w:rPr>
            </w:pPr>
            <w:r>
              <w:rPr>
                <w:rFonts w:ascii="Times New Roman"/>
                <w:i/>
                <w:sz w:val="20"/>
              </w:rPr>
              <w:t>PRE_E</w:t>
            </w:r>
          </w:p>
        </w:tc>
        <w:tc>
          <w:tcPr>
            <w:tcW w:w="1260" w:type="dxa"/>
          </w:tcPr>
          <w:p>
            <w:pPr>
              <w:pStyle w:val="TableParagraph"/>
              <w:spacing w:line="210" w:lineRule="exact"/>
              <w:ind w:left="172" w:right="172"/>
              <w:jc w:val="center"/>
              <w:rPr>
                <w:sz w:val="20"/>
              </w:rPr>
            </w:pPr>
            <w:r>
              <w:rPr>
                <w:sz w:val="20"/>
              </w:rPr>
              <w:t>2704[5]</w:t>
            </w:r>
          </w:p>
        </w:tc>
        <w:tc>
          <w:tcPr>
            <w:tcW w:w="1738" w:type="dxa"/>
          </w:tcPr>
          <w:p>
            <w:pPr>
              <w:pStyle w:val="TableParagraph"/>
              <w:spacing w:line="210" w:lineRule="exact"/>
              <w:jc w:val="center"/>
              <w:rPr>
                <w:sz w:val="20"/>
              </w:rPr>
            </w:pPr>
            <w:r>
              <w:rPr>
                <w:w w:val="99"/>
                <w:sz w:val="20"/>
              </w:rPr>
              <w:t>0</w:t>
            </w:r>
          </w:p>
        </w:tc>
        <w:tc>
          <w:tcPr>
            <w:tcW w:w="3701" w:type="dxa"/>
          </w:tcPr>
          <w:p>
            <w:pPr>
              <w:pStyle w:val="TableParagraph"/>
              <w:spacing w:line="210" w:lineRule="exact"/>
              <w:ind w:left="591" w:right="592"/>
              <w:jc w:val="center"/>
              <w:rPr>
                <w:sz w:val="20"/>
              </w:rPr>
            </w:pPr>
            <w:r>
              <w:rPr>
                <w:sz w:val="20"/>
              </w:rPr>
              <w:t>IADC0-IADC1 Gain = 1</w:t>
            </w:r>
          </w:p>
        </w:tc>
      </w:tr>
      <w:tr>
        <w:trPr>
          <w:trHeight w:val="229" w:hRule="atLeast"/>
        </w:trPr>
        <w:tc>
          <w:tcPr>
            <w:tcW w:w="2201" w:type="dxa"/>
            <w:tcBorders>
              <w:bottom w:val="double" w:sz="1" w:space="0" w:color="000000"/>
            </w:tcBorders>
          </w:tcPr>
          <w:p>
            <w:pPr>
              <w:pStyle w:val="TableParagraph"/>
              <w:spacing w:line="210" w:lineRule="exact"/>
              <w:ind w:left="149" w:right="147"/>
              <w:jc w:val="center"/>
              <w:rPr>
                <w:rFonts w:ascii="Times New Roman"/>
                <w:i/>
                <w:sz w:val="20"/>
              </w:rPr>
            </w:pPr>
            <w:r>
              <w:rPr>
                <w:rFonts w:ascii="Times New Roman"/>
                <w:i/>
                <w:sz w:val="20"/>
              </w:rPr>
              <w:t>EQU[2:0]</w:t>
            </w:r>
          </w:p>
        </w:tc>
        <w:tc>
          <w:tcPr>
            <w:tcW w:w="1260" w:type="dxa"/>
            <w:tcBorders>
              <w:bottom w:val="double" w:sz="1" w:space="0" w:color="000000"/>
            </w:tcBorders>
          </w:tcPr>
          <w:p>
            <w:pPr>
              <w:pStyle w:val="TableParagraph"/>
              <w:spacing w:line="210" w:lineRule="exact"/>
              <w:ind w:left="172" w:right="172"/>
              <w:jc w:val="center"/>
              <w:rPr>
                <w:sz w:val="20"/>
              </w:rPr>
            </w:pPr>
            <w:r>
              <w:rPr>
                <w:sz w:val="20"/>
              </w:rPr>
              <w:t>2106[7:5]</w:t>
            </w:r>
          </w:p>
        </w:tc>
        <w:tc>
          <w:tcPr>
            <w:tcW w:w="1738" w:type="dxa"/>
            <w:tcBorders>
              <w:bottom w:val="double" w:sz="1" w:space="0" w:color="000000"/>
            </w:tcBorders>
          </w:tcPr>
          <w:p>
            <w:pPr>
              <w:pStyle w:val="TableParagraph"/>
              <w:spacing w:line="210" w:lineRule="exact"/>
              <w:jc w:val="center"/>
              <w:rPr>
                <w:sz w:val="20"/>
              </w:rPr>
            </w:pPr>
            <w:r>
              <w:rPr>
                <w:w w:val="99"/>
                <w:sz w:val="20"/>
              </w:rPr>
              <w:t>5</w:t>
            </w:r>
          </w:p>
        </w:tc>
        <w:tc>
          <w:tcPr>
            <w:tcW w:w="3701" w:type="dxa"/>
            <w:tcBorders>
              <w:bottom w:val="double" w:sz="1" w:space="0" w:color="000000"/>
            </w:tcBorders>
          </w:tcPr>
          <w:p>
            <w:pPr>
              <w:pStyle w:val="TableParagraph"/>
              <w:spacing w:line="210" w:lineRule="exact"/>
              <w:ind w:left="592" w:right="592"/>
              <w:jc w:val="center"/>
              <w:rPr>
                <w:sz w:val="20"/>
              </w:rPr>
            </w:pPr>
            <w:r>
              <w:rPr>
                <w:sz w:val="20"/>
              </w:rPr>
              <w:t>IA*VA + IB*VB + IC*VC</w:t>
            </w:r>
          </w:p>
        </w:tc>
      </w:tr>
      <w:tr>
        <w:trPr>
          <w:trHeight w:val="229" w:hRule="atLeast"/>
        </w:trPr>
        <w:tc>
          <w:tcPr>
            <w:tcW w:w="2201" w:type="dxa"/>
            <w:tcBorders>
              <w:top w:val="double" w:sz="1" w:space="0" w:color="000000"/>
            </w:tcBorders>
          </w:tcPr>
          <w:p>
            <w:pPr>
              <w:pStyle w:val="TableParagraph"/>
              <w:spacing w:line="210" w:lineRule="exact"/>
              <w:ind w:left="151" w:right="147"/>
              <w:jc w:val="center"/>
              <w:rPr>
                <w:sz w:val="20"/>
              </w:rPr>
            </w:pPr>
            <w:r>
              <w:rPr>
                <w:sz w:val="20"/>
              </w:rPr>
              <w:t>CE Code</w:t>
            </w:r>
          </w:p>
        </w:tc>
        <w:tc>
          <w:tcPr>
            <w:tcW w:w="6699" w:type="dxa"/>
            <w:gridSpan w:val="3"/>
            <w:tcBorders>
              <w:top w:val="double" w:sz="1" w:space="0" w:color="000000"/>
            </w:tcBorders>
          </w:tcPr>
          <w:p>
            <w:pPr>
              <w:pStyle w:val="TableParagraph"/>
              <w:spacing w:line="210" w:lineRule="exact"/>
              <w:ind w:left="2010" w:right="2010"/>
              <w:jc w:val="center"/>
              <w:rPr>
                <w:sz w:val="20"/>
              </w:rPr>
            </w:pPr>
            <w:r>
              <w:rPr>
                <w:sz w:val="20"/>
              </w:rPr>
              <w:t>ce43a02</w:t>
            </w:r>
          </w:p>
        </w:tc>
      </w:tr>
      <w:tr>
        <w:trPr>
          <w:trHeight w:val="230" w:hRule="atLeast"/>
        </w:trPr>
        <w:tc>
          <w:tcPr>
            <w:tcW w:w="2201" w:type="dxa"/>
          </w:tcPr>
          <w:p>
            <w:pPr>
              <w:pStyle w:val="TableParagraph"/>
              <w:spacing w:line="210" w:lineRule="exact"/>
              <w:ind w:left="151" w:right="146"/>
              <w:jc w:val="center"/>
              <w:rPr>
                <w:sz w:val="20"/>
              </w:rPr>
            </w:pPr>
            <w:r>
              <w:rPr>
                <w:sz w:val="20"/>
              </w:rPr>
              <w:t>Equation(s)</w:t>
            </w:r>
          </w:p>
        </w:tc>
        <w:tc>
          <w:tcPr>
            <w:tcW w:w="6699" w:type="dxa"/>
            <w:gridSpan w:val="3"/>
          </w:tcPr>
          <w:p>
            <w:pPr>
              <w:pStyle w:val="TableParagraph"/>
              <w:spacing w:line="210" w:lineRule="exact"/>
              <w:ind w:left="1"/>
              <w:jc w:val="center"/>
              <w:rPr>
                <w:sz w:val="20"/>
              </w:rPr>
            </w:pPr>
            <w:r>
              <w:rPr>
                <w:w w:val="99"/>
                <w:sz w:val="20"/>
              </w:rPr>
              <w:t>5</w:t>
            </w:r>
          </w:p>
        </w:tc>
      </w:tr>
      <w:tr>
        <w:trPr>
          <w:trHeight w:val="230" w:hRule="atLeast"/>
        </w:trPr>
        <w:tc>
          <w:tcPr>
            <w:tcW w:w="2201" w:type="dxa"/>
          </w:tcPr>
          <w:p>
            <w:pPr>
              <w:pStyle w:val="TableParagraph"/>
              <w:spacing w:line="210" w:lineRule="exact"/>
              <w:ind w:left="151" w:right="147"/>
              <w:jc w:val="center"/>
              <w:rPr>
                <w:sz w:val="20"/>
              </w:rPr>
            </w:pPr>
            <w:r>
              <w:rPr>
                <w:sz w:val="20"/>
              </w:rPr>
              <w:t>Current Sensor Type</w:t>
            </w:r>
          </w:p>
        </w:tc>
        <w:tc>
          <w:tcPr>
            <w:tcW w:w="6699" w:type="dxa"/>
            <w:gridSpan w:val="3"/>
          </w:tcPr>
          <w:p>
            <w:pPr>
              <w:pStyle w:val="TableParagraph"/>
              <w:spacing w:line="210" w:lineRule="exact"/>
              <w:ind w:left="2010" w:right="2010"/>
              <w:jc w:val="center"/>
              <w:rPr>
                <w:sz w:val="20"/>
              </w:rPr>
            </w:pPr>
            <w:r>
              <w:rPr>
                <w:sz w:val="20"/>
              </w:rPr>
              <w:t>4 Current Transformers (CTs)</w:t>
            </w:r>
          </w:p>
        </w:tc>
      </w:tr>
      <w:tr>
        <w:trPr>
          <w:trHeight w:val="229" w:hRule="atLeast"/>
        </w:trPr>
        <w:tc>
          <w:tcPr>
            <w:tcW w:w="2201" w:type="dxa"/>
            <w:tcBorders>
              <w:bottom w:val="double" w:sz="1" w:space="0" w:color="000000"/>
            </w:tcBorders>
          </w:tcPr>
          <w:p>
            <w:pPr>
              <w:pStyle w:val="TableParagraph"/>
              <w:spacing w:line="210" w:lineRule="exact"/>
              <w:ind w:left="150" w:right="147"/>
              <w:jc w:val="center"/>
              <w:rPr>
                <w:sz w:val="20"/>
              </w:rPr>
            </w:pPr>
            <w:r>
              <w:rPr>
                <w:sz w:val="20"/>
              </w:rPr>
              <w:t>Applicable Figures</w:t>
            </w:r>
          </w:p>
        </w:tc>
        <w:tc>
          <w:tcPr>
            <w:tcW w:w="6699" w:type="dxa"/>
            <w:gridSpan w:val="3"/>
            <w:tcBorders>
              <w:bottom w:val="double" w:sz="1" w:space="0" w:color="000000"/>
            </w:tcBorders>
          </w:tcPr>
          <w:p>
            <w:pPr>
              <w:pStyle w:val="TableParagraph"/>
              <w:spacing w:line="210" w:lineRule="exact"/>
              <w:ind w:left="1912"/>
              <w:rPr>
                <w:sz w:val="20"/>
              </w:rPr>
            </w:pPr>
            <w:hyperlink w:history="true" w:anchor="_bookmark7">
              <w:r>
                <w:rPr>
                  <w:color w:val="0000FF"/>
                  <w:sz w:val="20"/>
                </w:rPr>
                <w:t>Figure 3</w:t>
              </w:r>
              <w:r>
                <w:rPr>
                  <w:sz w:val="20"/>
                </w:rPr>
                <w:t>, </w:t>
              </w:r>
            </w:hyperlink>
            <w:hyperlink w:history="true" w:anchor="_bookmark11">
              <w:r>
                <w:rPr>
                  <w:color w:val="0000FF"/>
                  <w:sz w:val="20"/>
                </w:rPr>
                <w:t>Figure 4 </w:t>
              </w:r>
            </w:hyperlink>
            <w:r>
              <w:rPr>
                <w:sz w:val="20"/>
              </w:rPr>
              <w:t>and </w:t>
            </w:r>
            <w:hyperlink w:history="true" w:anchor="_bookmark181">
              <w:r>
                <w:rPr>
                  <w:color w:val="0000FF"/>
                  <w:sz w:val="20"/>
                </w:rPr>
                <w:t>Figure 32</w:t>
              </w:r>
            </w:hyperlink>
          </w:p>
        </w:tc>
      </w:tr>
      <w:tr>
        <w:trPr>
          <w:trHeight w:val="1502" w:hRule="atLeast"/>
        </w:trPr>
        <w:tc>
          <w:tcPr>
            <w:tcW w:w="8900" w:type="dxa"/>
            <w:gridSpan w:val="4"/>
            <w:tcBorders>
              <w:top w:val="double" w:sz="1" w:space="0" w:color="000000"/>
            </w:tcBorders>
          </w:tcPr>
          <w:p>
            <w:pPr>
              <w:pStyle w:val="TableParagraph"/>
              <w:spacing w:line="224" w:lineRule="exact"/>
              <w:ind w:left="107"/>
              <w:rPr>
                <w:b/>
                <w:sz w:val="20"/>
              </w:rPr>
            </w:pPr>
            <w:r>
              <w:rPr>
                <w:b/>
                <w:sz w:val="20"/>
              </w:rPr>
              <w:t>Notes:</w:t>
            </w:r>
          </w:p>
          <w:p>
            <w:pPr>
              <w:pStyle w:val="TableParagraph"/>
              <w:rPr>
                <w:b/>
                <w:sz w:val="20"/>
              </w:rPr>
            </w:pPr>
          </w:p>
          <w:p>
            <w:pPr>
              <w:pStyle w:val="TableParagraph"/>
              <w:numPr>
                <w:ilvl w:val="0"/>
                <w:numId w:val="9"/>
              </w:numPr>
              <w:tabs>
                <w:tab w:pos="468" w:val="left" w:leader="none"/>
              </w:tabs>
              <w:spacing w:line="240" w:lineRule="auto" w:before="1" w:after="0"/>
              <w:ind w:left="467" w:right="0" w:hanging="361"/>
              <w:jc w:val="left"/>
              <w:rPr>
                <w:sz w:val="20"/>
              </w:rPr>
            </w:pPr>
            <w:r>
              <w:rPr>
                <w:rFonts w:ascii="Times New Roman"/>
                <w:i/>
                <w:sz w:val="20"/>
              </w:rPr>
              <w:t>MUX_DIV[3:0] </w:t>
            </w:r>
            <w:r>
              <w:rPr>
                <w:sz w:val="20"/>
              </w:rPr>
              <w:t>must be set to 0 while writing the other RAM locations in this</w:t>
            </w:r>
            <w:r>
              <w:rPr>
                <w:spacing w:val="-5"/>
                <w:sz w:val="20"/>
              </w:rPr>
              <w:t> </w:t>
            </w:r>
            <w:r>
              <w:rPr>
                <w:sz w:val="20"/>
              </w:rPr>
              <w:t>table.</w:t>
            </w:r>
          </w:p>
          <w:p>
            <w:pPr>
              <w:pStyle w:val="TableParagraph"/>
              <w:numPr>
                <w:ilvl w:val="0"/>
                <w:numId w:val="9"/>
              </w:numPr>
              <w:tabs>
                <w:tab w:pos="468" w:val="left" w:leader="none"/>
              </w:tabs>
              <w:spacing w:line="240" w:lineRule="auto" w:before="2" w:after="0"/>
              <w:ind w:left="467" w:right="0" w:hanging="361"/>
              <w:jc w:val="left"/>
              <w:rPr>
                <w:sz w:val="20"/>
              </w:rPr>
            </w:pPr>
            <w:r>
              <w:rPr>
                <w:sz w:val="20"/>
              </w:rPr>
              <w:t>IN is the optional Neutral</w:t>
            </w:r>
            <w:r>
              <w:rPr>
                <w:spacing w:val="-22"/>
                <w:sz w:val="20"/>
              </w:rPr>
              <w:t> </w:t>
            </w:r>
            <w:r>
              <w:rPr>
                <w:sz w:val="20"/>
              </w:rPr>
              <w:t>Current.</w:t>
            </w:r>
          </w:p>
          <w:p>
            <w:pPr>
              <w:pStyle w:val="TableParagraph"/>
              <w:spacing w:line="230" w:lineRule="atLeast" w:before="120"/>
              <w:ind w:left="107"/>
              <w:rPr>
                <w:sz w:val="20"/>
              </w:rPr>
            </w:pPr>
            <w:r>
              <w:rPr>
                <w:sz w:val="20"/>
              </w:rPr>
              <w:t>Maxim</w:t>
            </w:r>
            <w:r>
              <w:rPr>
                <w:spacing w:val="-1"/>
                <w:sz w:val="20"/>
              </w:rPr>
              <w:t> </w:t>
            </w:r>
            <w:r>
              <w:rPr>
                <w:sz w:val="20"/>
              </w:rPr>
              <w:t>updates</w:t>
            </w:r>
            <w:r>
              <w:rPr>
                <w:spacing w:val="-4"/>
                <w:sz w:val="20"/>
              </w:rPr>
              <w:t> </w:t>
            </w:r>
            <w:r>
              <w:rPr>
                <w:sz w:val="20"/>
              </w:rPr>
              <w:t>the</w:t>
            </w:r>
            <w:r>
              <w:rPr>
                <w:spacing w:val="-5"/>
                <w:sz w:val="20"/>
              </w:rPr>
              <w:t> </w:t>
            </w:r>
            <w:r>
              <w:rPr>
                <w:sz w:val="20"/>
              </w:rPr>
              <w:t>CE</w:t>
            </w:r>
            <w:r>
              <w:rPr>
                <w:spacing w:val="-6"/>
                <w:sz w:val="20"/>
              </w:rPr>
              <w:t> </w:t>
            </w:r>
            <w:r>
              <w:rPr>
                <w:sz w:val="20"/>
              </w:rPr>
              <w:t>code</w:t>
            </w:r>
            <w:r>
              <w:rPr>
                <w:spacing w:val="-5"/>
                <w:sz w:val="20"/>
              </w:rPr>
              <w:t> </w:t>
            </w:r>
            <w:r>
              <w:rPr>
                <w:sz w:val="20"/>
              </w:rPr>
              <w:t>periodically.</w:t>
            </w:r>
            <w:r>
              <w:rPr>
                <w:spacing w:val="-3"/>
                <w:sz w:val="20"/>
              </w:rPr>
              <w:t> </w:t>
            </w:r>
            <w:r>
              <w:rPr>
                <w:sz w:val="20"/>
              </w:rPr>
              <w:t>Contact your</w:t>
            </w:r>
            <w:r>
              <w:rPr>
                <w:spacing w:val="-3"/>
                <w:sz w:val="20"/>
              </w:rPr>
              <w:t> </w:t>
            </w:r>
            <w:r>
              <w:rPr>
                <w:sz w:val="20"/>
              </w:rPr>
              <w:t>local</w:t>
            </w:r>
            <w:r>
              <w:rPr>
                <w:spacing w:val="-6"/>
                <w:sz w:val="20"/>
              </w:rPr>
              <w:t> </w:t>
            </w:r>
            <w:r>
              <w:rPr>
                <w:sz w:val="20"/>
              </w:rPr>
              <w:t>Maxim representative</w:t>
            </w:r>
            <w:r>
              <w:rPr>
                <w:spacing w:val="-3"/>
                <w:sz w:val="20"/>
              </w:rPr>
              <w:t> </w:t>
            </w:r>
            <w:r>
              <w:rPr>
                <w:sz w:val="20"/>
              </w:rPr>
              <w:t>to</w:t>
            </w:r>
            <w:r>
              <w:rPr>
                <w:spacing w:val="-5"/>
                <w:sz w:val="20"/>
              </w:rPr>
              <w:t> </w:t>
            </w:r>
            <w:r>
              <w:rPr>
                <w:sz w:val="20"/>
              </w:rPr>
              <w:t>obtain</w:t>
            </w:r>
            <w:r>
              <w:rPr>
                <w:spacing w:val="-5"/>
                <w:sz w:val="20"/>
              </w:rPr>
              <w:t> </w:t>
            </w:r>
            <w:r>
              <w:rPr>
                <w:sz w:val="20"/>
              </w:rPr>
              <w:t>the latest CE code and the associated</w:t>
            </w:r>
            <w:r>
              <w:rPr>
                <w:spacing w:val="-3"/>
                <w:sz w:val="20"/>
              </w:rPr>
              <w:t> </w:t>
            </w:r>
            <w:r>
              <w:rPr>
                <w:sz w:val="20"/>
              </w:rPr>
              <w:t>settings.</w:t>
            </w:r>
          </w:p>
        </w:tc>
      </w:tr>
    </w:tbl>
    <w:p>
      <w:pPr>
        <w:spacing w:after="0" w:line="230" w:lineRule="atLeast"/>
        <w:rPr>
          <w:sz w:val="20"/>
        </w:rPr>
        <w:sectPr>
          <w:pgSz w:w="12240" w:h="15840"/>
          <w:pgMar w:header="727" w:footer="819" w:top="960" w:bottom="1000" w:left="820" w:right="860"/>
        </w:sectPr>
      </w:pPr>
    </w:p>
    <w:p>
      <w:pPr>
        <w:pStyle w:val="BodyText"/>
        <w:spacing w:before="4"/>
        <w:rPr>
          <w:b/>
          <w:sz w:val="12"/>
        </w:rPr>
      </w:pPr>
    </w:p>
    <w:p>
      <w:pPr>
        <w:pStyle w:val="BodyText"/>
        <w:spacing w:line="230" w:lineRule="auto" w:before="100"/>
        <w:ind w:left="1515" w:right="856" w:hanging="1"/>
      </w:pPr>
      <w:r>
        <w:rPr/>
        <w:drawing>
          <wp:anchor distT="0" distB="0" distL="0" distR="0" allowOverlap="1" layoutInCell="1" locked="0" behindDoc="0" simplePos="0" relativeHeight="15736320">
            <wp:simplePos x="0" y="0"/>
            <wp:positionH relativeFrom="page">
              <wp:posOffset>948055</wp:posOffset>
            </wp:positionH>
            <wp:positionV relativeFrom="paragraph">
              <wp:posOffset>124138</wp:posOffset>
            </wp:positionV>
            <wp:extent cx="420850" cy="430009"/>
            <wp:effectExtent l="0" t="0" r="0" b="0"/>
            <wp:wrapNone/>
            <wp:docPr id="3" name="image54.png"/>
            <wp:cNvGraphicFramePr>
              <a:graphicFrameLocks noChangeAspect="1"/>
            </wp:cNvGraphicFramePr>
            <a:graphic>
              <a:graphicData uri="http://schemas.openxmlformats.org/drawingml/2006/picture">
                <pic:pic>
                  <pic:nvPicPr>
                    <pic:cNvPr id="4" name="image54.png"/>
                    <pic:cNvPicPr/>
                  </pic:nvPicPr>
                  <pic:blipFill>
                    <a:blip r:embed="rId63" cstate="print"/>
                    <a:stretch>
                      <a:fillRect/>
                    </a:stretch>
                  </pic:blipFill>
                  <pic:spPr>
                    <a:xfrm>
                      <a:off x="0" y="0"/>
                      <a:ext cx="420850" cy="430009"/>
                    </a:xfrm>
                    <a:prstGeom prst="rect">
                      <a:avLst/>
                    </a:prstGeom>
                  </pic:spPr>
                </pic:pic>
              </a:graphicData>
            </a:graphic>
          </wp:anchor>
        </w:drawing>
      </w:r>
      <w:r>
        <w:rPr/>
        <w:t>Using settings for the I/O RAM Mnemonics listed in </w:t>
      </w:r>
      <w:hyperlink w:history="true" w:anchor="_bookmark9">
        <w:r>
          <w:rPr>
            <w:color w:val="0000FF"/>
          </w:rPr>
          <w:t>Table 1 </w:t>
        </w:r>
      </w:hyperlink>
      <w:r>
        <w:rPr/>
        <w:t>and </w:t>
      </w:r>
      <w:hyperlink w:history="true" w:anchor="_bookmark10">
        <w:r>
          <w:rPr>
            <w:color w:val="0000FF"/>
          </w:rPr>
          <w:t>Table 2 </w:t>
        </w:r>
      </w:hyperlink>
      <w:r>
        <w:rPr/>
        <w:t>that do not match those required by the corresponding CE code being used may result in undesirable side effects and must not be selected by the MPU. Consult your local Maxim representative to obtain the correct CE code and AFE / MUX settings corresponding to the application.</w:t>
      </w:r>
    </w:p>
    <w:p>
      <w:pPr>
        <w:pStyle w:val="BodyText"/>
        <w:spacing w:line="230" w:lineRule="auto" w:before="117"/>
        <w:ind w:left="619" w:right="802"/>
      </w:pPr>
      <w:r>
        <w:rPr/>
        <w:t>For a polyphase configuration with neutral current sensing using shunt resistor current sensors and the 71M6xx3 isolated sensors, as shown in </w:t>
      </w:r>
      <w:hyperlink w:history="true" w:anchor="_bookmark5">
        <w:r>
          <w:rPr>
            <w:color w:val="0000FF"/>
          </w:rPr>
          <w:t>Figure 2</w:t>
        </w:r>
        <w:r>
          <w:rPr/>
          <w:t>, </w:t>
        </w:r>
      </w:hyperlink>
      <w:r>
        <w:rPr/>
        <w:t>the IADC0-IADC1 input must be configured as a differential input, to be connected to a local shunt (see </w:t>
      </w:r>
      <w:hyperlink w:history="true" w:anchor="_bookmark177">
        <w:r>
          <w:rPr>
            <w:color w:val="0000FF"/>
          </w:rPr>
          <w:t>Figure 30 </w:t>
        </w:r>
      </w:hyperlink>
      <w:r>
        <w:rPr/>
        <w:t>for the shunt connection details). The local shunt connected to the IADC0-IADC1 input is used to sense the Neutral current. The voltage sensors (VADC8, VADC9 and VADC10) are also directly connected to the 71M6543 (see </w:t>
      </w:r>
      <w:hyperlink w:history="true" w:anchor="_bookmark174">
        <w:r>
          <w:rPr>
            <w:color w:val="0000FF"/>
          </w:rPr>
          <w:t>Figure 27 </w:t>
        </w:r>
      </w:hyperlink>
      <w:r>
        <w:rPr/>
        <w:t>for the connection details) and are also routed though the multiplexer, as seen in </w:t>
      </w:r>
      <w:hyperlink w:history="true" w:anchor="_bookmark5">
        <w:r>
          <w:rPr>
            <w:color w:val="0000FF"/>
          </w:rPr>
          <w:t>Figure 2</w:t>
        </w:r>
        <w:r>
          <w:rPr/>
          <w:t>. </w:t>
        </w:r>
      </w:hyperlink>
      <w:r>
        <w:rPr/>
        <w:t>Meanwhile, the IADC2-IADC3, IADC4-IADC5 and IADC6-IADC7 current inputs are configured as remote sensor digital interfaces and the corresponding samples are not routed through the multiplexer. For this configuration, the multiplexer sequence is as shown in </w:t>
      </w:r>
      <w:hyperlink w:history="true" w:anchor="_bookmark11">
        <w:r>
          <w:rPr>
            <w:color w:val="0000FF"/>
          </w:rPr>
          <w:t>Figure 4</w:t>
        </w:r>
        <w:r>
          <w:rPr/>
          <w:t>.</w:t>
        </w:r>
      </w:hyperlink>
    </w:p>
    <w:p>
      <w:pPr>
        <w:pStyle w:val="BodyText"/>
        <w:spacing w:line="230" w:lineRule="auto" w:before="118"/>
        <w:ind w:left="620" w:right="613"/>
      </w:pPr>
      <w:r>
        <w:rPr/>
        <w:t>For a polyphase configuration with optional neutral current sensing using Current Transformer (CTs) sensors,</w:t>
      </w:r>
      <w:r>
        <w:rPr>
          <w:spacing w:val="-4"/>
        </w:rPr>
        <w:t> </w:t>
      </w:r>
      <w:r>
        <w:rPr/>
        <w:t>as</w:t>
      </w:r>
      <w:r>
        <w:rPr>
          <w:spacing w:val="-2"/>
        </w:rPr>
        <w:t> </w:t>
      </w:r>
      <w:r>
        <w:rPr/>
        <w:t>shown</w:t>
      </w:r>
      <w:r>
        <w:rPr>
          <w:spacing w:val="-2"/>
        </w:rPr>
        <w:t> </w:t>
      </w:r>
      <w:r>
        <w:rPr/>
        <w:t>in</w:t>
      </w:r>
      <w:r>
        <w:rPr>
          <w:spacing w:val="-3"/>
        </w:rPr>
        <w:t> </w:t>
      </w:r>
      <w:hyperlink w:history="true" w:anchor="_bookmark7">
        <w:r>
          <w:rPr>
            <w:color w:val="0000FF"/>
          </w:rPr>
          <w:t>Figure</w:t>
        </w:r>
        <w:r>
          <w:rPr>
            <w:color w:val="0000FF"/>
            <w:spacing w:val="-4"/>
          </w:rPr>
          <w:t> </w:t>
        </w:r>
        <w:r>
          <w:rPr>
            <w:color w:val="0000FF"/>
          </w:rPr>
          <w:t>3</w:t>
        </w:r>
        <w:r>
          <w:rPr/>
          <w:t>, </w:t>
        </w:r>
      </w:hyperlink>
      <w:r>
        <w:rPr/>
        <w:t>all</w:t>
      </w:r>
      <w:r>
        <w:rPr>
          <w:spacing w:val="-5"/>
        </w:rPr>
        <w:t> </w:t>
      </w:r>
      <w:r>
        <w:rPr/>
        <w:t>four</w:t>
      </w:r>
      <w:r>
        <w:rPr>
          <w:spacing w:val="-2"/>
        </w:rPr>
        <w:t> </w:t>
      </w:r>
      <w:r>
        <w:rPr/>
        <w:t>current</w:t>
      </w:r>
      <w:r>
        <w:rPr>
          <w:spacing w:val="-3"/>
        </w:rPr>
        <w:t> </w:t>
      </w:r>
      <w:r>
        <w:rPr/>
        <w:t>sensor</w:t>
      </w:r>
      <w:r>
        <w:rPr>
          <w:spacing w:val="-1"/>
        </w:rPr>
        <w:t> </w:t>
      </w:r>
      <w:r>
        <w:rPr/>
        <w:t>inputs</w:t>
      </w:r>
      <w:r>
        <w:rPr>
          <w:spacing w:val="-2"/>
        </w:rPr>
        <w:t> </w:t>
      </w:r>
      <w:r>
        <w:rPr/>
        <w:t>must</w:t>
      </w:r>
      <w:r>
        <w:rPr>
          <w:spacing w:val="-4"/>
        </w:rPr>
        <w:t> </w:t>
      </w:r>
      <w:r>
        <w:rPr/>
        <w:t>be</w:t>
      </w:r>
      <w:r>
        <w:rPr>
          <w:spacing w:val="-3"/>
        </w:rPr>
        <w:t> </w:t>
      </w:r>
      <w:r>
        <w:rPr/>
        <w:t>configured</w:t>
      </w:r>
      <w:r>
        <w:rPr>
          <w:spacing w:val="-4"/>
        </w:rPr>
        <w:t> </w:t>
      </w:r>
      <w:r>
        <w:rPr/>
        <w:t>as</w:t>
      </w:r>
      <w:r>
        <w:rPr>
          <w:spacing w:val="-2"/>
        </w:rPr>
        <w:t> </w:t>
      </w:r>
      <w:r>
        <w:rPr/>
        <w:t>a</w:t>
      </w:r>
      <w:r>
        <w:rPr>
          <w:spacing w:val="-4"/>
        </w:rPr>
        <w:t> </w:t>
      </w:r>
      <w:r>
        <w:rPr/>
        <w:t>differential</w:t>
      </w:r>
      <w:r>
        <w:rPr>
          <w:spacing w:val="-2"/>
        </w:rPr>
        <w:t> </w:t>
      </w:r>
      <w:r>
        <w:rPr/>
        <w:t>inputs,</w:t>
      </w:r>
      <w:r>
        <w:rPr>
          <w:spacing w:val="-3"/>
        </w:rPr>
        <w:t> </w:t>
      </w:r>
      <w:r>
        <w:rPr/>
        <w:t>to be connected to their corresponding CTs (see </w:t>
      </w:r>
      <w:hyperlink w:history="true" w:anchor="_bookmark176">
        <w:r>
          <w:rPr>
            <w:color w:val="0000FF"/>
          </w:rPr>
          <w:t>Figure 29 </w:t>
        </w:r>
      </w:hyperlink>
      <w:r>
        <w:rPr/>
        <w:t>for the differential CT connection details). The IADC0-IADC1 current sensor input is optionally used to sense the Neutral current for anti-tampering purposes. The voltage sensors (VADC8, VADC9 and VADC10) are directly connected to the 71M6543 (see </w:t>
      </w:r>
      <w:hyperlink w:history="true" w:anchor="_bookmark174">
        <w:r>
          <w:rPr>
            <w:color w:val="0000FF"/>
          </w:rPr>
          <w:t>Figure 27 </w:t>
        </w:r>
      </w:hyperlink>
      <w:r>
        <w:rPr/>
        <w:t>for the voltage sensor connection details). No 71M6xx3 isolated sensors are used in this configuration and all sensors are routed though the multiplexer, as seen in </w:t>
      </w:r>
      <w:hyperlink w:history="true" w:anchor="_bookmark7">
        <w:r>
          <w:rPr>
            <w:color w:val="0000FF"/>
          </w:rPr>
          <w:t>Figure 3</w:t>
        </w:r>
        <w:r>
          <w:rPr/>
          <w:t>. </w:t>
        </w:r>
      </w:hyperlink>
      <w:r>
        <w:rPr/>
        <w:t>For this configuration, the multiplexer sequence is as shown in </w:t>
      </w:r>
      <w:hyperlink w:history="true" w:anchor="_bookmark12">
        <w:r>
          <w:rPr>
            <w:color w:val="0000FF"/>
          </w:rPr>
          <w:t>Figure</w:t>
        </w:r>
        <w:r>
          <w:rPr>
            <w:color w:val="0000FF"/>
            <w:spacing w:val="3"/>
          </w:rPr>
          <w:t> </w:t>
        </w:r>
        <w:r>
          <w:rPr>
            <w:color w:val="0000FF"/>
          </w:rPr>
          <w:t>5</w:t>
        </w:r>
        <w:r>
          <w:rPr/>
          <w:t>.</w:t>
        </w:r>
      </w:hyperlink>
    </w:p>
    <w:p>
      <w:pPr>
        <w:pStyle w:val="BodyText"/>
        <w:spacing w:line="230" w:lineRule="auto" w:before="117"/>
        <w:ind w:left="620" w:right="649"/>
      </w:pPr>
      <w:r>
        <w:rPr/>
        <w:t>The multiplexer sequence shown in </w:t>
      </w:r>
      <w:hyperlink w:history="true" w:anchor="_bookmark11">
        <w:r>
          <w:rPr>
            <w:color w:val="0000FF"/>
          </w:rPr>
          <w:t>Figure 4 </w:t>
        </w:r>
      </w:hyperlink>
      <w:r>
        <w:rPr/>
        <w:t>corresponds to the configuration shown in </w:t>
      </w:r>
      <w:hyperlink w:history="true" w:anchor="_bookmark5">
        <w:r>
          <w:rPr>
            <w:color w:val="0000FF"/>
          </w:rPr>
          <w:t>Figure 2</w:t>
        </w:r>
        <w:r>
          <w:rPr/>
          <w:t>. </w:t>
        </w:r>
      </w:hyperlink>
      <w:r>
        <w:rPr/>
        <w:t>The frame duration is 13 CK32 cycles (where CK32 = 32,768 Hz), therefore, the resulting sample rate is 32,768 Hz / 13 = 2,520.6 Hz. Note that </w:t>
      </w:r>
      <w:hyperlink w:history="true" w:anchor="_bookmark11">
        <w:r>
          <w:rPr>
            <w:color w:val="0000FF"/>
          </w:rPr>
          <w:t>Figure 4 </w:t>
        </w:r>
      </w:hyperlink>
      <w:r>
        <w:rPr/>
        <w:t>only shows the currents that pass through the 71M6543 multiplexer, and does not show the currents that are copied directly into CE RAM from the remote sensors (see </w:t>
      </w:r>
      <w:hyperlink w:history="true" w:anchor="_bookmark5">
        <w:r>
          <w:rPr>
            <w:color w:val="0000FF"/>
          </w:rPr>
          <w:t>Figure 2</w:t>
        </w:r>
      </w:hyperlink>
      <w:r>
        <w:rPr/>
        <w:t>), which are sampled during the second half of the multiplexer frame. The two unused conversion slots shown are necessary to produce the desired 2,520.6 Hz sample rate.</w:t>
      </w:r>
    </w:p>
    <w:p>
      <w:pPr>
        <w:pStyle w:val="BodyText"/>
        <w:spacing w:before="1"/>
        <w:rPr>
          <w:sz w:val="13"/>
        </w:rPr>
      </w:pPr>
    </w:p>
    <w:p>
      <w:pPr>
        <w:pStyle w:val="BodyText"/>
        <w:ind w:left="3213"/>
      </w:pPr>
      <w:r>
        <w:rPr/>
        <w:pict>
          <v:group style="width:233.55pt;height:30.5pt;mso-position-horizontal-relative:char;mso-position-vertical-relative:line" coordorigin="0,0" coordsize="4671,610">
            <v:line style="position:absolute" from="2,609" to="2,76" stroked="true" strokeweight=".239221pt" strokecolor="#000000">
              <v:stroke dashstyle="solid"/>
            </v:line>
            <v:shape style="position:absolute;left:2;top:396;width:111;height:109" type="#_x0000_t75" stroked="false">
              <v:imagedata r:id="rId64" o:title=""/>
            </v:shape>
            <v:line style="position:absolute" from="4309,540" to="4309,273" stroked="true" strokeweight=".239221pt" strokecolor="#000000">
              <v:stroke dashstyle="solid"/>
            </v:line>
            <v:shape style="position:absolute;left:4199;top:396;width:111;height:109" type="#_x0000_t75" stroked="false">
              <v:imagedata r:id="rId65" o:title=""/>
            </v:shape>
            <v:line style="position:absolute" from="4668,584" to="4668,51" stroked="true" strokeweight=".239221pt" strokecolor="#000000">
              <v:stroke dashstyle="solid"/>
            </v:line>
            <v:shape style="position:absolute;left:4309;top:396;width:359;height:109" type="#_x0000_t75" stroked="false">
              <v:imagedata r:id="rId66" o:title=""/>
            </v:shape>
            <v:line style="position:absolute" from="86,184" to="4585,184" stroked="true" strokeweight=".236902pt" strokecolor="#000000">
              <v:stroke dashstyle="solid"/>
            </v:line>
            <v:shape style="position:absolute;left:2;top:129;width:111;height:109" type="#_x0000_t75" stroked="false">
              <v:imagedata r:id="rId67" o:title=""/>
            </v:shape>
            <v:shape style="position:absolute;left:4558;top:129;width:111;height:109" type="#_x0000_t75" stroked="false">
              <v:imagedata r:id="rId68" o:title=""/>
            </v:shape>
            <v:shape style="position:absolute;left:0;top:0;width:4671;height:610" type="#_x0000_t202" filled="false" stroked="false">
              <v:textbox inset="0,0,0,0">
                <w:txbxContent>
                  <w:p>
                    <w:pPr>
                      <w:spacing w:before="2"/>
                      <w:ind w:left="1819" w:right="1551" w:firstLine="0"/>
                      <w:jc w:val="center"/>
                      <w:rPr>
                        <w:sz w:val="15"/>
                      </w:rPr>
                    </w:pPr>
                    <w:r>
                      <w:rPr>
                        <w:w w:val="105"/>
                        <w:sz w:val="15"/>
                      </w:rPr>
                      <w:t>Multiplexer Frame</w:t>
                    </w:r>
                  </w:p>
                  <w:p>
                    <w:pPr>
                      <w:tabs>
                        <w:tab w:pos="1433" w:val="left" w:leader="none"/>
                        <w:tab w:pos="4226" w:val="left" w:leader="none"/>
                      </w:tabs>
                      <w:spacing w:before="95"/>
                      <w:ind w:left="85" w:right="0" w:firstLine="0"/>
                      <w:jc w:val="left"/>
                      <w:rPr>
                        <w:sz w:val="12"/>
                      </w:rPr>
                    </w:pPr>
                    <w:r>
                      <w:rPr>
                        <w:rFonts w:ascii="Times New Roman"/>
                        <w:color w:val="0000FF"/>
                        <w:w w:val="106"/>
                        <w:sz w:val="15"/>
                        <w:u w:val="single" w:color="000000"/>
                      </w:rPr>
                      <w:t> </w:t>
                    </w:r>
                    <w:r>
                      <w:rPr>
                        <w:rFonts w:ascii="Times New Roman"/>
                        <w:color w:val="0000FF"/>
                        <w:sz w:val="15"/>
                        <w:u w:val="single" w:color="000000"/>
                      </w:rPr>
                      <w:tab/>
                    </w:r>
                    <w:r>
                      <w:rPr>
                        <w:rFonts w:ascii="Times New Roman"/>
                        <w:i/>
                        <w:color w:val="0000FF"/>
                        <w:w w:val="105"/>
                        <w:sz w:val="15"/>
                        <w:u w:val="single" w:color="000000"/>
                      </w:rPr>
                      <w:t>MUX_DIV[3:0] </w:t>
                    </w:r>
                    <w:r>
                      <w:rPr>
                        <w:w w:val="105"/>
                        <w:sz w:val="15"/>
                        <w:u w:val="single"/>
                      </w:rPr>
                      <w:t>=</w:t>
                    </w:r>
                    <w:r>
                      <w:rPr>
                        <w:spacing w:val="10"/>
                        <w:w w:val="105"/>
                        <w:sz w:val="15"/>
                        <w:u w:val="single"/>
                      </w:rPr>
                      <w:t> </w:t>
                    </w:r>
                    <w:r>
                      <w:rPr>
                        <w:w w:val="105"/>
                        <w:sz w:val="15"/>
                        <w:u w:val="single"/>
                      </w:rPr>
                      <w:t>6</w:t>
                    </w:r>
                    <w:r>
                      <w:rPr>
                        <w:spacing w:val="3"/>
                        <w:w w:val="105"/>
                        <w:sz w:val="15"/>
                        <w:u w:val="single"/>
                      </w:rPr>
                      <w:t> </w:t>
                    </w:r>
                    <w:r>
                      <w:rPr>
                        <w:w w:val="105"/>
                        <w:sz w:val="15"/>
                        <w:u w:val="single"/>
                      </w:rPr>
                      <w:t>Conversions</w:t>
                      <w:tab/>
                    </w:r>
                    <w:r>
                      <w:rPr>
                        <w:w w:val="105"/>
                        <w:position w:val="1"/>
                        <w:sz w:val="12"/>
                      </w:rPr>
                      <w:t>Settle</w:t>
                    </w:r>
                  </w:p>
                </w:txbxContent>
              </v:textbox>
              <w10:wrap type="none"/>
            </v:shape>
          </v:group>
        </w:pict>
      </w:r>
      <w:r>
        <w:rPr/>
      </w:r>
    </w:p>
    <w:p>
      <w:pPr>
        <w:spacing w:after="0"/>
        <w:sectPr>
          <w:pgSz w:w="12240" w:h="15840"/>
          <w:pgMar w:header="727" w:footer="819" w:top="960" w:bottom="1000" w:left="820" w:right="860"/>
        </w:sectPr>
      </w:pPr>
    </w:p>
    <w:p>
      <w:pPr>
        <w:tabs>
          <w:tab w:pos="3037" w:val="left" w:leader="none"/>
        </w:tabs>
        <w:spacing w:before="67"/>
        <w:ind w:left="2392" w:right="0" w:firstLine="0"/>
        <w:jc w:val="left"/>
        <w:rPr>
          <w:rFonts w:ascii="Times New Roman"/>
          <w:sz w:val="15"/>
        </w:rPr>
      </w:pPr>
      <w:r>
        <w:rPr/>
        <w:pict>
          <v:group style="position:absolute;margin-left:210.692932pt;margin-top:2.478978pt;width:233.5pt;height:9.15pt;mso-position-horizontal-relative:page;mso-position-vertical-relative:paragraph;z-index:15737856" coordorigin="4214,50" coordsize="4670,183">
            <v:shape style="position:absolute;left:4216;top:51;width:359;height:178" coordorigin="4216,52" coordsize="359,178" path="m4216,230l4396,230,4396,52,4575,52,4575,230e" filled="false" stroked="true" strokeweight=".237359pt" strokecolor="#000000">
              <v:path arrowok="t"/>
              <v:stroke dashstyle="solid"/>
            </v:shape>
            <v:shape style="position:absolute;left:4575;top:51;width:359;height:178" coordorigin="4575,52" coordsize="359,178" path="m4575,230l4754,230,4754,52,4934,52,4934,230e" filled="false" stroked="true" strokeweight=".237359pt" strokecolor="#000000">
              <v:path arrowok="t"/>
              <v:stroke dashstyle="solid"/>
            </v:shape>
            <v:shape style="position:absolute;left:4933;top:51;width:359;height:178" coordorigin="4934,52" coordsize="359,178" path="m4934,230l5113,230,5113,52,5293,52,5293,230e" filled="false" stroked="true" strokeweight=".237359pt" strokecolor="#000000">
              <v:path arrowok="t"/>
              <v:stroke dashstyle="solid"/>
            </v:shape>
            <v:shape style="position:absolute;left:5292;top:51;width:359;height:178" coordorigin="5293,52" coordsize="359,178" path="m5293,230l5472,230,5472,52,5652,52,5652,230e" filled="false" stroked="true" strokeweight=".237359pt" strokecolor="#000000">
              <v:path arrowok="t"/>
              <v:stroke dashstyle="solid"/>
            </v:shape>
            <v:shape style="position:absolute;left:5651;top:51;width:359;height:178" coordorigin="5652,52" coordsize="359,178" path="m5652,230l5831,230,5831,52,6010,52,6010,230e" filled="false" stroked="true" strokeweight=".237359pt" strokecolor="#000000">
              <v:path arrowok="t"/>
              <v:stroke dashstyle="solid"/>
            </v:shape>
            <v:shape style="position:absolute;left:6010;top:51;width:359;height:178" coordorigin="6010,52" coordsize="359,178" path="m6010,230l6190,230,6190,52,6369,52,6369,230e" filled="false" stroked="true" strokeweight=".237359pt" strokecolor="#000000">
              <v:path arrowok="t"/>
              <v:stroke dashstyle="solid"/>
            </v:shape>
            <v:shape style="position:absolute;left:6369;top:51;width:359;height:178" coordorigin="6369,52" coordsize="359,178" path="m6369,230l6549,230,6549,52,6728,52,6728,230e" filled="false" stroked="true" strokeweight=".237359pt" strokecolor="#000000">
              <v:path arrowok="t"/>
              <v:stroke dashstyle="solid"/>
            </v:shape>
            <v:shape style="position:absolute;left:6728;top:51;width:359;height:178" coordorigin="6728,52" coordsize="359,178" path="m6728,230l6907,230,6907,52,7087,52,7087,230e" filled="false" stroked="true" strokeweight=".237359pt" strokecolor="#000000">
              <v:path arrowok="t"/>
              <v:stroke dashstyle="solid"/>
            </v:shape>
            <v:shape style="position:absolute;left:7086;top:51;width:359;height:178" coordorigin="7087,52" coordsize="359,178" path="m7087,230l7266,230,7266,52,7446,52,7446,230e" filled="false" stroked="true" strokeweight=".237359pt" strokecolor="#000000">
              <v:path arrowok="t"/>
              <v:stroke dashstyle="solid"/>
            </v:shape>
            <v:shape style="position:absolute;left:7445;top:51;width:359;height:178" coordorigin="7446,52" coordsize="359,178" path="m7446,230l7625,230,7625,52,7805,52,7805,230e" filled="false" stroked="true" strokeweight=".237359pt" strokecolor="#000000">
              <v:path arrowok="t"/>
              <v:stroke dashstyle="solid"/>
            </v:shape>
            <v:shape style="position:absolute;left:7804;top:51;width:359;height:178" coordorigin="7805,52" coordsize="359,178" path="m7805,230l7984,230,7984,52,8163,52,8163,230e" filled="false" stroked="true" strokeweight=".237359pt" strokecolor="#000000">
              <v:path arrowok="t"/>
              <v:stroke dashstyle="solid"/>
            </v:shape>
            <v:shape style="position:absolute;left:8163;top:51;width:359;height:178" coordorigin="8163,52" coordsize="359,178" path="m8163,230l8343,230,8343,52,8522,52,8522,230e" filled="false" stroked="true" strokeweight=".237359pt" strokecolor="#000000">
              <v:path arrowok="t"/>
              <v:stroke dashstyle="solid"/>
            </v:shape>
            <v:shape style="position:absolute;left:8522;top:51;width:359;height:178" coordorigin="8522,52" coordsize="359,178" path="m8522,230l8702,230,8702,52,8881,52,8881,230e" filled="false" stroked="true" strokeweight=".237359pt" strokecolor="#000000">
              <v:path arrowok="t"/>
              <v:stroke dashstyle="solid"/>
            </v:shape>
            <w10:wrap type="none"/>
          </v:group>
        </w:pict>
      </w:r>
      <w:r>
        <w:rPr>
          <w:w w:val="105"/>
          <w:sz w:val="15"/>
        </w:rPr>
        <w:t>CK32</w:t>
      </w:r>
      <w:r>
        <w:rPr>
          <w:sz w:val="15"/>
        </w:rPr>
        <w:tab/>
      </w:r>
      <w:r>
        <w:rPr>
          <w:rFonts w:ascii="Times New Roman"/>
          <w:w w:val="106"/>
          <w:sz w:val="15"/>
          <w:u w:val="single"/>
        </w:rPr>
        <w:t> </w:t>
      </w:r>
      <w:r>
        <w:rPr>
          <w:rFonts w:ascii="Times New Roman"/>
          <w:spacing w:val="-11"/>
          <w:sz w:val="15"/>
          <w:u w:val="single"/>
        </w:rPr>
        <w:t> </w:t>
      </w:r>
    </w:p>
    <w:p>
      <w:pPr>
        <w:pStyle w:val="BodyText"/>
        <w:spacing w:before="11"/>
        <w:rPr>
          <w:rFonts w:ascii="Times New Roman"/>
          <w:sz w:val="15"/>
        </w:rPr>
      </w:pPr>
    </w:p>
    <w:p>
      <w:pPr>
        <w:spacing w:before="0"/>
        <w:ind w:left="1879" w:right="0" w:firstLine="0"/>
        <w:jc w:val="left"/>
        <w:rPr>
          <w:sz w:val="15"/>
        </w:rPr>
      </w:pPr>
      <w:r>
        <w:rPr/>
        <w:pict>
          <v:group style="position:absolute;margin-left:192.870453pt;margin-top:-.113651pt;width:252.15pt;height:9.5pt;mso-position-horizontal-relative:page;mso-position-vertical-relative:paragraph;z-index:15736832" coordorigin="3857,-2" coordsize="5043,190">
            <v:line style="position:absolute" from="4015,4" to="4105,182" stroked="true" strokeweight=".23875pt" strokecolor="#000000">
              <v:stroke dashstyle="solid"/>
            </v:line>
            <v:line style="position:absolute" from="4105,4" to="4015,182" stroked="true" strokeweight=".23875pt" strokecolor="#000000">
              <v:stroke dashstyle="solid"/>
            </v:line>
            <v:line style="position:absolute" from="3857,4" to="4015,4" stroked="true" strokeweight=".236902pt" strokecolor="#000000">
              <v:stroke dashstyle="solid"/>
            </v:line>
            <v:line style="position:absolute" from="4754,7" to="4844,185" stroked="true" strokeweight=".23875pt" strokecolor="#000000">
              <v:stroke dashstyle="solid"/>
            </v:line>
            <v:line style="position:absolute" from="4844,7" to="4754,185" stroked="true" strokeweight=".23875pt" strokecolor="#000000">
              <v:stroke dashstyle="solid"/>
            </v:line>
            <v:line style="position:absolute" from="4105,4" to="4754,4" stroked="true" strokeweight=".236902pt" strokecolor="#000000">
              <v:stroke dashstyle="solid"/>
            </v:line>
            <v:line style="position:absolute" from="5472,4" to="5562,182" stroked="true" strokeweight=".23875pt" strokecolor="#000000">
              <v:stroke dashstyle="solid"/>
            </v:line>
            <v:line style="position:absolute" from="5562,4" to="5472,182" stroked="true" strokeweight=".23875pt" strokecolor="#000000">
              <v:stroke dashstyle="solid"/>
            </v:line>
            <v:line style="position:absolute" from="4844,4" to="5472,4" stroked="true" strokeweight=".236902pt" strokecolor="#000000">
              <v:stroke dashstyle="solid"/>
            </v:line>
            <v:line style="position:absolute" from="6190,4" to="6280,182" stroked="true" strokeweight=".23875pt" strokecolor="#000000">
              <v:stroke dashstyle="solid"/>
            </v:line>
            <v:line style="position:absolute" from="6280,4" to="6190,182" stroked="true" strokeweight=".23875pt" strokecolor="#000000">
              <v:stroke dashstyle="solid"/>
            </v:line>
            <v:line style="position:absolute" from="5562,4" to="6190,4" stroked="true" strokeweight=".236902pt" strokecolor="#000000">
              <v:stroke dashstyle="solid"/>
            </v:line>
            <v:line style="position:absolute" from="6907,4" to="6997,182" stroked="true" strokeweight=".23875pt" strokecolor="#000000">
              <v:stroke dashstyle="solid"/>
            </v:line>
            <v:line style="position:absolute" from="6997,4" to="6907,182" stroked="true" strokeweight=".23875pt" strokecolor="#000000">
              <v:stroke dashstyle="solid"/>
            </v:line>
            <v:line style="position:absolute" from="6280,4" to="6907,4" stroked="true" strokeweight=".236902pt" strokecolor="#000000">
              <v:stroke dashstyle="solid"/>
            </v:line>
            <v:line style="position:absolute" from="7625,4" to="7715,182" stroked="true" strokeweight=".23875pt" strokecolor="#000000">
              <v:stroke dashstyle="solid"/>
            </v:line>
            <v:line style="position:absolute" from="7715,4" to="7625,182" stroked="true" strokeweight=".23875pt" strokecolor="#000000">
              <v:stroke dashstyle="solid"/>
            </v:line>
            <v:line style="position:absolute" from="6997,4" to="7625,4" stroked="true" strokeweight=".236902pt" strokecolor="#000000">
              <v:stroke dashstyle="solid"/>
            </v:line>
            <v:line style="position:absolute" from="7715,4" to="8343,4" stroked="true" strokeweight=".236902pt" strokecolor="#000000">
              <v:stroke dashstyle="solid"/>
            </v:line>
            <v:line style="position:absolute" from="8721,7" to="8811,185" stroked="true" strokeweight=".23875pt" strokecolor="#000000">
              <v:stroke dashstyle="solid"/>
            </v:line>
            <v:shape style="position:absolute;left:8720;top:7;width:180;height:178" coordorigin="8721,7" coordsize="180,178" path="m8811,7l8721,185m8811,7l8900,7e" filled="false" stroked="true" strokeweight=".238061pt" strokecolor="#000000">
              <v:path arrowok="t"/>
              <v:stroke dashstyle="solid"/>
            </v:shape>
            <v:line style="position:absolute" from="8811,185" to="8900,185" stroked="true" strokeweight=".236902pt" strokecolor="#000000">
              <v:stroke dashstyle="solid"/>
            </v:line>
            <v:line style="position:absolute" from="8434,4" to="8703,4" stroked="true" strokeweight=".236902pt" strokecolor="#000000">
              <v:stroke dashstyle="solid"/>
            </v:line>
            <v:line style="position:absolute" from="8340,7" to="8429,185" stroked="true" strokeweight=".23875pt" strokecolor="#000000">
              <v:stroke dashstyle="solid"/>
            </v:line>
            <v:line style="position:absolute" from="8429,7" to="8340,185" stroked="true" strokeweight=".23875pt" strokecolor="#000000">
              <v:stroke dashstyle="solid"/>
            </v:line>
            <v:shape style="position:absolute;left:3857;top:-3;width:5043;height:190" type="#_x0000_t202" filled="false" stroked="false">
              <v:textbox inset="0,0,0,0">
                <w:txbxContent>
                  <w:p>
                    <w:pPr>
                      <w:tabs>
                        <w:tab w:pos="549" w:val="left" w:leader="none"/>
                        <w:tab w:pos="896" w:val="left" w:leader="none"/>
                        <w:tab w:pos="1273" w:val="left" w:leader="none"/>
                        <w:tab w:pos="1614" w:val="left" w:leader="none"/>
                        <w:tab w:pos="1973" w:val="left" w:leader="none"/>
                        <w:tab w:pos="2332" w:val="left" w:leader="none"/>
                        <w:tab w:pos="2669" w:val="left" w:leader="none"/>
                        <w:tab w:pos="3049" w:val="left" w:leader="none"/>
                        <w:tab w:pos="3386" w:val="left" w:leader="none"/>
                        <w:tab w:pos="3767" w:val="left" w:leader="none"/>
                        <w:tab w:pos="4115" w:val="left" w:leader="none"/>
                        <w:tab w:pos="4485" w:val="left" w:leader="none"/>
                      </w:tabs>
                      <w:spacing w:before="4"/>
                      <w:ind w:left="14" w:right="0" w:firstLine="0"/>
                      <w:jc w:val="left"/>
                      <w:rPr>
                        <w:sz w:val="15"/>
                      </w:rPr>
                    </w:pPr>
                    <w:r>
                      <w:rPr>
                        <w:w w:val="105"/>
                        <w:position w:val="1"/>
                        <w:sz w:val="15"/>
                        <w:u w:val="single"/>
                      </w:rPr>
                      <w:t>S </w:t>
                      <w:tab/>
                      <w:t>0</w:t>
                      <w:tab/>
                      <w:t> </w:t>
                      <w:tab/>
                      <w:t>1</w:t>
                      <w:tab/>
                      <w:t> </w:t>
                      <w:tab/>
                      <w:t>2</w:t>
                      <w:tab/>
                      <w:t> </w:t>
                      <w:tab/>
                      <w:t>3</w:t>
                      <w:tab/>
                      <w:t> </w:t>
                      <w:tab/>
                      <w:t>4</w:t>
                      <w:tab/>
                      <w:t> </w:t>
                      <w:tab/>
                      <w:t>5</w:t>
                      <w:tab/>
                    </w:r>
                    <w:r>
                      <w:rPr>
                        <w:w w:val="105"/>
                        <w:sz w:val="15"/>
                        <w:u w:val="single"/>
                      </w:rPr>
                      <w:t> S</w:t>
                    </w:r>
                    <w:r>
                      <w:rPr>
                        <w:spacing w:val="-17"/>
                        <w:sz w:val="15"/>
                        <w:u w:val="single"/>
                      </w:rPr>
                      <w:t> </w:t>
                    </w:r>
                  </w:p>
                </w:txbxContent>
              </v:textbox>
              <w10:wrap type="none"/>
            </v:shape>
            <w10:wrap type="none"/>
          </v:group>
        </w:pict>
      </w:r>
      <w:r>
        <w:rPr>
          <w:w w:val="105"/>
          <w:sz w:val="15"/>
        </w:rPr>
        <w:t>MUX STATE</w:t>
      </w:r>
    </w:p>
    <w:p>
      <w:pPr>
        <w:spacing w:before="34"/>
        <w:ind w:left="0" w:right="0" w:firstLine="0"/>
        <w:jc w:val="right"/>
        <w:rPr>
          <w:sz w:val="12"/>
        </w:rPr>
      </w:pPr>
      <w:r>
        <w:rPr>
          <w:w w:val="95"/>
          <w:sz w:val="12"/>
        </w:rPr>
        <w:t>IN</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spacing w:before="80"/>
        <w:ind w:left="408" w:right="0" w:firstLine="0"/>
        <w:jc w:val="left"/>
        <w:rPr>
          <w:sz w:val="12"/>
        </w:rPr>
      </w:pPr>
      <w:r>
        <w:rPr>
          <w:sz w:val="12"/>
        </w:rPr>
        <w:t>Unused</w:t>
      </w:r>
    </w:p>
    <w:p>
      <w:pPr>
        <w:pStyle w:val="BodyText"/>
        <w:rPr>
          <w:sz w:val="12"/>
        </w:rPr>
      </w:pPr>
      <w:r>
        <w:rPr/>
        <w:br w:type="column"/>
      </w:r>
      <w:r>
        <w:rPr>
          <w:sz w:val="12"/>
        </w:rPr>
      </w:r>
    </w:p>
    <w:p>
      <w:pPr>
        <w:pStyle w:val="BodyText"/>
        <w:rPr>
          <w:sz w:val="12"/>
        </w:rPr>
      </w:pPr>
    </w:p>
    <w:p>
      <w:pPr>
        <w:pStyle w:val="BodyText"/>
        <w:rPr>
          <w:sz w:val="12"/>
        </w:rPr>
      </w:pPr>
    </w:p>
    <w:p>
      <w:pPr>
        <w:pStyle w:val="BodyText"/>
        <w:spacing w:before="10"/>
        <w:rPr>
          <w:sz w:val="17"/>
        </w:rPr>
      </w:pPr>
    </w:p>
    <w:p>
      <w:pPr>
        <w:tabs>
          <w:tab w:pos="1082" w:val="left" w:leader="none"/>
        </w:tabs>
        <w:spacing w:before="0"/>
        <w:ind w:left="265" w:right="0" w:firstLine="0"/>
        <w:jc w:val="left"/>
        <w:rPr>
          <w:sz w:val="12"/>
        </w:rPr>
      </w:pPr>
      <w:r>
        <w:rPr>
          <w:sz w:val="12"/>
        </w:rPr>
        <w:t>Unused</w:t>
        <w:tab/>
      </w:r>
      <w:r>
        <w:rPr>
          <w:spacing w:val="-10"/>
          <w:sz w:val="12"/>
        </w:rPr>
        <w:t>VA</w:t>
      </w:r>
    </w:p>
    <w:p>
      <w:pPr>
        <w:pStyle w:val="BodyText"/>
        <w:rPr>
          <w:sz w:val="12"/>
        </w:rPr>
      </w:pPr>
      <w:r>
        <w:rPr/>
        <w:br w:type="column"/>
      </w:r>
      <w:r>
        <w:rPr>
          <w:sz w:val="12"/>
        </w:rPr>
      </w:r>
    </w:p>
    <w:p>
      <w:pPr>
        <w:pStyle w:val="BodyText"/>
        <w:rPr>
          <w:sz w:val="12"/>
        </w:rPr>
      </w:pPr>
    </w:p>
    <w:p>
      <w:pPr>
        <w:pStyle w:val="BodyText"/>
        <w:rPr>
          <w:sz w:val="12"/>
        </w:rPr>
      </w:pPr>
    </w:p>
    <w:p>
      <w:pPr>
        <w:pStyle w:val="BodyText"/>
        <w:spacing w:before="10"/>
        <w:rPr>
          <w:sz w:val="17"/>
        </w:rPr>
      </w:pPr>
    </w:p>
    <w:p>
      <w:pPr>
        <w:tabs>
          <w:tab w:pos="1239" w:val="left" w:leader="none"/>
        </w:tabs>
        <w:spacing w:before="0"/>
        <w:ind w:left="570" w:right="0" w:firstLine="0"/>
        <w:jc w:val="left"/>
        <w:rPr>
          <w:sz w:val="12"/>
        </w:rPr>
      </w:pPr>
      <w:r>
        <w:rPr>
          <w:sz w:val="12"/>
        </w:rPr>
        <w:t>VB</w:t>
        <w:tab/>
        <w:t>VC</w:t>
      </w:r>
    </w:p>
    <w:p>
      <w:pPr>
        <w:spacing w:after="0"/>
        <w:jc w:val="left"/>
        <w:rPr>
          <w:sz w:val="12"/>
        </w:rPr>
        <w:sectPr>
          <w:type w:val="continuous"/>
          <w:pgSz w:w="12240" w:h="15840"/>
          <w:pgMar w:top="940" w:bottom="280" w:left="820" w:right="860"/>
          <w:cols w:num="4" w:equalWidth="0">
            <w:col w:w="3685" w:space="40"/>
            <w:col w:w="822" w:space="39"/>
            <w:col w:w="1242" w:space="39"/>
            <w:col w:w="4693"/>
          </w:cols>
        </w:sectPr>
      </w:pPr>
    </w:p>
    <w:p>
      <w:pPr>
        <w:pStyle w:val="BodyText"/>
        <w:spacing w:before="2"/>
        <w:rPr>
          <w:sz w:val="16"/>
        </w:rPr>
      </w:pPr>
    </w:p>
    <w:p>
      <w:pPr>
        <w:spacing w:before="0"/>
        <w:ind w:left="2224" w:right="0" w:firstLine="0"/>
        <w:jc w:val="left"/>
        <w:rPr>
          <w:sz w:val="15"/>
        </w:rPr>
      </w:pPr>
      <w:r>
        <w:rPr/>
        <w:pict>
          <v:group style="position:absolute;margin-left:192.870178pt;margin-top:-.001939pt;width:252.15pt;height:9.4pt;mso-position-horizontal-relative:page;mso-position-vertical-relative:paragraph;z-index:15737344" coordorigin="3857,0" coordsize="5043,188">
            <v:line style="position:absolute" from="3857,4" to="8362,4" stroked="true" strokeweight=".236902pt" strokecolor="#000000">
              <v:stroke dashstyle="solid"/>
            </v:line>
            <v:line style="position:absolute" from="8362,7" to="8452,185" stroked="true" strokeweight=".23875pt" strokecolor="#000000">
              <v:stroke dashstyle="solid"/>
            </v:line>
            <v:line style="position:absolute" from="8452,7" to="8362,185" stroked="true" strokeweight=".23875pt" strokecolor="#000000">
              <v:stroke dashstyle="solid"/>
            </v:line>
            <v:line style="position:absolute" from="8460,4" to="8900,4" stroked="true" strokeweight=".236902pt" strokecolor="#000000">
              <v:stroke dashstyle="solid"/>
            </v:line>
            <v:shape style="position:absolute;left:3857;top:-1;width:5043;height:188" type="#_x0000_t202" filled="false" stroked="false">
              <v:textbox inset="0,0,0,0">
                <w:txbxContent>
                  <w:p>
                    <w:pPr>
                      <w:tabs>
                        <w:tab w:pos="4504" w:val="left" w:leader="none"/>
                        <w:tab w:pos="5042" w:val="left" w:leader="none"/>
                      </w:tabs>
                      <w:spacing w:before="0"/>
                      <w:ind w:left="0" w:right="0" w:firstLine="0"/>
                      <w:jc w:val="left"/>
                      <w:rPr>
                        <w:rFonts w:ascii="Times New Roman"/>
                        <w:sz w:val="15"/>
                      </w:rPr>
                    </w:pPr>
                    <w:r>
                      <w:rPr>
                        <w:rFonts w:ascii="Times New Roman"/>
                        <w:w w:val="106"/>
                        <w:sz w:val="15"/>
                        <w:u w:val="single"/>
                      </w:rPr>
                      <w:t> </w:t>
                    </w:r>
                    <w:r>
                      <w:rPr>
                        <w:rFonts w:ascii="Times New Roman"/>
                        <w:sz w:val="15"/>
                        <w:u w:val="single"/>
                      </w:rPr>
                      <w:tab/>
                    </w:r>
                    <w:r>
                      <w:rPr>
                        <w:rFonts w:ascii="Times New Roman"/>
                        <w:sz w:val="15"/>
                      </w:rPr>
                      <w:t>  </w:t>
                    </w:r>
                    <w:r>
                      <w:rPr>
                        <w:rFonts w:ascii="Times New Roman"/>
                        <w:spacing w:val="-15"/>
                        <w:sz w:val="15"/>
                      </w:rPr>
                      <w:t> </w:t>
                    </w:r>
                    <w:r>
                      <w:rPr>
                        <w:rFonts w:ascii="Times New Roman"/>
                        <w:w w:val="106"/>
                        <w:sz w:val="15"/>
                        <w:u w:val="single"/>
                      </w:rPr>
                      <w:t> </w:t>
                    </w:r>
                    <w:r>
                      <w:rPr>
                        <w:rFonts w:ascii="Times New Roman"/>
                        <w:sz w:val="15"/>
                        <w:u w:val="single"/>
                      </w:rPr>
                      <w:tab/>
                    </w:r>
                  </w:p>
                </w:txbxContent>
              </v:textbox>
              <w10:wrap type="none"/>
            </v:shape>
            <w10:wrap type="none"/>
          </v:group>
        </w:pict>
      </w:r>
      <w:r>
        <w:rPr>
          <w:w w:val="105"/>
          <w:sz w:val="15"/>
        </w:rPr>
        <w:t>CROSS</w:t>
      </w:r>
    </w:p>
    <w:p>
      <w:pPr>
        <w:pStyle w:val="BodyText"/>
        <w:spacing w:before="10"/>
        <w:rPr>
          <w:sz w:val="15"/>
        </w:rPr>
      </w:pPr>
    </w:p>
    <w:p>
      <w:pPr>
        <w:spacing w:before="0"/>
        <w:ind w:left="1905" w:right="0" w:firstLine="0"/>
        <w:jc w:val="left"/>
        <w:rPr>
          <w:sz w:val="15"/>
        </w:rPr>
      </w:pPr>
      <w:r>
        <w:rPr/>
        <w:pict>
          <v:group style="position:absolute;margin-left:192.803741pt;margin-top:.105198pt;width:252.2pt;height:9.15pt;mso-position-horizontal-relative:page;mso-position-vertical-relative:paragraph;z-index:15738368" coordorigin="3856,2" coordsize="5044,183">
            <v:shape style="position:absolute;left:3858;top:4;width:4845;height:178" coordorigin="3858,4" coordsize="4845,178" path="m3858,4l4038,4,4038,182,8344,182,8344,4,8703,4e" filled="false" stroked="true" strokeweight=".236905pt" strokecolor="#000000">
              <v:path arrowok="t"/>
              <v:stroke dashstyle="solid"/>
            </v:shape>
            <v:shape style="position:absolute;left:8702;top:4;width:195;height:178" coordorigin="8703,4" coordsize="195,178" path="m8703,4l8703,182,8897,182e" filled="false" stroked="true" strokeweight=".237958pt" strokecolor="#000000">
              <v:path arrowok="t"/>
              <v:stroke dashstyle="solid"/>
            </v:shape>
            <w10:wrap type="none"/>
          </v:group>
        </w:pict>
      </w:r>
      <w:r>
        <w:rPr>
          <w:w w:val="105"/>
          <w:sz w:val="15"/>
        </w:rPr>
        <w:t>MUX_SYNC</w:t>
      </w:r>
    </w:p>
    <w:p>
      <w:pPr>
        <w:pStyle w:val="BodyText"/>
        <w:spacing w:before="4"/>
        <w:rPr>
          <w:sz w:val="15"/>
        </w:rPr>
      </w:pPr>
    </w:p>
    <w:p>
      <w:pPr>
        <w:spacing w:before="1"/>
        <w:ind w:left="1316" w:right="1278" w:firstLine="0"/>
        <w:jc w:val="center"/>
        <w:rPr>
          <w:b/>
          <w:sz w:val="20"/>
        </w:rPr>
      </w:pPr>
      <w:bookmarkStart w:name="_bookmark11" w:id="24"/>
      <w:bookmarkEnd w:id="24"/>
      <w:r>
        <w:rPr/>
      </w:r>
      <w:r>
        <w:rPr>
          <w:b/>
          <w:sz w:val="20"/>
        </w:rPr>
        <w:t>Figure 4: States in a Multiplexer Frame (</w:t>
      </w:r>
      <w:r>
        <w:rPr>
          <w:rFonts w:ascii="Times New Roman"/>
          <w:b/>
          <w:i/>
          <w:sz w:val="20"/>
        </w:rPr>
        <w:t>MUX_DIV[3:0] </w:t>
      </w:r>
      <w:r>
        <w:rPr>
          <w:b/>
          <w:sz w:val="20"/>
        </w:rPr>
        <w:t>= 6)</w:t>
      </w:r>
    </w:p>
    <w:p>
      <w:pPr>
        <w:pStyle w:val="BodyText"/>
        <w:spacing w:before="6"/>
        <w:rPr>
          <w:b/>
          <w:sz w:val="29"/>
        </w:rPr>
      </w:pPr>
    </w:p>
    <w:p>
      <w:pPr>
        <w:pStyle w:val="BodyText"/>
        <w:spacing w:line="230" w:lineRule="auto" w:before="1"/>
        <w:ind w:left="619" w:right="591"/>
      </w:pPr>
      <w:r>
        <w:rPr/>
        <w:pict>
          <v:group style="position:absolute;margin-left:191.826355pt;margin-top:94.399094pt;width:322.5pt;height:11.1pt;mso-position-horizontal-relative:page;mso-position-vertical-relative:paragraph;z-index:15739392" coordorigin="3837,1888" coordsize="6450,222">
            <v:shape style="position:absolute;left:3839;top:1890;width:430;height:217" coordorigin="3839,1891" coordsize="430,217" path="m3839,2107l4054,2107,4054,1891,4269,1891,4269,2107e" filled="false" stroked="true" strokeweight=".287778pt" strokecolor="#000000">
              <v:path arrowok="t"/>
              <v:stroke dashstyle="solid"/>
            </v:shape>
            <v:shape style="position:absolute;left:4269;top:1890;width:430;height:217" coordorigin="4269,1891" coordsize="430,217" path="m4269,2107l4484,2107,4484,1891,4699,1891,4699,2107e" filled="false" stroked="true" strokeweight=".287778pt" strokecolor="#000000">
              <v:path arrowok="t"/>
              <v:stroke dashstyle="solid"/>
            </v:shape>
            <v:shape style="position:absolute;left:4698;top:1890;width:430;height:217" coordorigin="4699,1891" coordsize="430,217" path="m4699,2107l4913,2107,4913,1891,5128,1891,5128,2107e" filled="false" stroked="true" strokeweight=".287778pt" strokecolor="#000000">
              <v:path arrowok="t"/>
              <v:stroke dashstyle="solid"/>
            </v:shape>
            <v:shape style="position:absolute;left:5128;top:1890;width:430;height:217" coordorigin="5128,1891" coordsize="430,217" path="m5128,2107l5343,2107,5343,1891,5558,1891,5558,2107e" filled="false" stroked="true" strokeweight=".287778pt" strokecolor="#000000">
              <v:path arrowok="t"/>
              <v:stroke dashstyle="solid"/>
            </v:shape>
            <v:shape style="position:absolute;left:5557;top:1890;width:430;height:217" coordorigin="5558,1891" coordsize="430,217" path="m5558,2107l5773,2107,5773,1891,5987,1891,5987,2107e" filled="false" stroked="true" strokeweight=".287778pt" strokecolor="#000000">
              <v:path arrowok="t"/>
              <v:stroke dashstyle="solid"/>
            </v:shape>
            <v:shape style="position:absolute;left:5987;top:1890;width:430;height:217" coordorigin="5987,1891" coordsize="430,217" path="m5987,2107l6202,2107,6202,1891,6417,1891,6417,2107e" filled="false" stroked="true" strokeweight=".287778pt" strokecolor="#000000">
              <v:path arrowok="t"/>
              <v:stroke dashstyle="solid"/>
            </v:shape>
            <v:shape style="position:absolute;left:6417;top:1890;width:430;height:217" coordorigin="6417,1891" coordsize="430,217" path="m6417,2107l6632,2107,6632,1891,6847,1891,6847,2107e" filled="false" stroked="true" strokeweight=".287778pt" strokecolor="#000000">
              <v:path arrowok="t"/>
              <v:stroke dashstyle="solid"/>
            </v:shape>
            <v:shape style="position:absolute;left:6846;top:1890;width:430;height:217" coordorigin="6847,1891" coordsize="430,217" path="m6847,2107l7062,2107,7062,1891,7276,1891,7276,2107e" filled="false" stroked="true" strokeweight=".287778pt" strokecolor="#000000">
              <v:path arrowok="t"/>
              <v:stroke dashstyle="solid"/>
            </v:shape>
            <v:shape style="position:absolute;left:7276;top:1890;width:430;height:217" coordorigin="7276,1891" coordsize="430,217" path="m7276,2107l7491,2107,7491,1891,7706,1891,7706,2107e" filled="false" stroked="true" strokeweight=".287778pt" strokecolor="#000000">
              <v:path arrowok="t"/>
              <v:stroke dashstyle="solid"/>
            </v:shape>
            <v:shape style="position:absolute;left:7705;top:1890;width:430;height:217" coordorigin="7706,1891" coordsize="430,217" path="m7706,2107l7921,2107,7921,1891,8136,1891,8136,2107e" filled="false" stroked="true" strokeweight=".287778pt" strokecolor="#000000">
              <v:path arrowok="t"/>
              <v:stroke dashstyle="solid"/>
            </v:shape>
            <v:shape style="position:absolute;left:8135;top:1890;width:430;height:217" coordorigin="8136,1891" coordsize="430,217" path="m8136,2107l8350,2107,8350,1891,8565,1891,8565,2107e" filled="false" stroked="true" strokeweight=".287778pt" strokecolor="#000000">
              <v:path arrowok="t"/>
              <v:stroke dashstyle="solid"/>
            </v:shape>
            <v:shape style="position:absolute;left:8565;top:1890;width:430;height:217" coordorigin="8565,1891" coordsize="430,217" path="m8565,2107l8780,2107,8780,1891,8995,1891,8995,2107e" filled="false" stroked="true" strokeweight=".287778pt" strokecolor="#000000">
              <v:path arrowok="t"/>
              <v:stroke dashstyle="solid"/>
            </v:shape>
            <v:shape style="position:absolute;left:8994;top:1890;width:430;height:217" coordorigin="8995,1891" coordsize="430,217" path="m8995,2107l9210,2107,9210,1891,9424,1891,9424,2107e" filled="false" stroked="true" strokeweight=".287778pt" strokecolor="#000000">
              <v:path arrowok="t"/>
              <v:stroke dashstyle="solid"/>
            </v:shape>
            <v:shape style="position:absolute;left:9424;top:1890;width:430;height:217" coordorigin="9424,1891" coordsize="430,217" path="m9424,2107l9639,2107,9639,1891,9854,1891,9854,2107e" filled="false" stroked="true" strokeweight=".287778pt" strokecolor="#000000">
              <v:path arrowok="t"/>
              <v:stroke dashstyle="solid"/>
            </v:shape>
            <v:shape style="position:absolute;left:9854;top:1890;width:430;height:217" coordorigin="9854,1891" coordsize="430,217" path="m9854,2107l10069,2107,10069,1891,10284,1891,10284,2107e" filled="false" stroked="true" strokeweight=".287778pt" strokecolor="#000000">
              <v:path arrowok="t"/>
              <v:stroke dashstyle="solid"/>
            </v:shape>
            <w10:wrap type="none"/>
          </v:group>
        </w:pict>
      </w:r>
      <w:r>
        <w:rPr/>
        <w:t>The multiplexer sequence shown in </w:t>
      </w:r>
      <w:hyperlink w:history="true" w:anchor="_bookmark12">
        <w:r>
          <w:rPr>
            <w:color w:val="0000FF"/>
          </w:rPr>
          <w:t>Figure 5 </w:t>
        </w:r>
      </w:hyperlink>
      <w:r>
        <w:rPr/>
        <w:t>corresponds to the CT configuration shown in </w:t>
      </w:r>
      <w:hyperlink w:history="true" w:anchor="_bookmark7">
        <w:r>
          <w:rPr>
            <w:color w:val="0000FF"/>
          </w:rPr>
          <w:t>Figure 3</w:t>
        </w:r>
        <w:r>
          <w:rPr/>
          <w:t>.</w:t>
        </w:r>
      </w:hyperlink>
      <w:r>
        <w:rPr/>
        <w:t> Since in this case all current sensors are locally connected to the 71M6543, all currents are routed through the multiplexer, as seen in </w:t>
      </w:r>
      <w:hyperlink w:history="true" w:anchor="_bookmark7">
        <w:r>
          <w:rPr>
            <w:color w:val="0000FF"/>
          </w:rPr>
          <w:t>Figure 3</w:t>
        </w:r>
        <w:r>
          <w:rPr/>
          <w:t>. </w:t>
        </w:r>
      </w:hyperlink>
      <w:r>
        <w:rPr/>
        <w:t>For this multiplexer sequence, the frame duration is 15 CK32 cycles (where CK32 = 32,768 Hz), therefore, the resulting sample rate is 32,768 Hz / 15 = 2,184.5 Hz.</w:t>
      </w:r>
    </w:p>
    <w:p>
      <w:pPr>
        <w:pStyle w:val="BodyText"/>
        <w:spacing w:before="3"/>
        <w:rPr>
          <w:sz w:val="10"/>
        </w:rPr>
      </w:pPr>
      <w:r>
        <w:rPr/>
        <w:pict>
          <v:group style="position:absolute;margin-left:181.086304pt;margin-top:7.892194pt;width:323.05pt;height:37.050pt;mso-position-horizontal-relative:page;mso-position-vertical-relative:paragraph;z-index:-15722496;mso-wrap-distance-left:0;mso-wrap-distance-right:0" coordorigin="3622,158" coordsize="6461,741">
            <v:line style="position:absolute" from="3625,899" to="3625,250" stroked="true" strokeweight=".286409pt" strokecolor="#000000">
              <v:stroke dashstyle="solid"/>
            </v:line>
            <v:shape style="position:absolute;left:3624;top:640;width:132;height:133" type="#_x0000_t75" stroked="false">
              <v:imagedata r:id="rId69" o:title=""/>
            </v:shape>
            <v:line style="position:absolute" from="9639,899" to="9639,574" stroked="true" strokeweight=".286409pt" strokecolor="#000000">
              <v:stroke dashstyle="solid"/>
            </v:line>
            <v:shape style="position:absolute;left:9507;top:640;width:132;height:133" type="#_x0000_t75" stroked="false">
              <v:imagedata r:id="rId70" o:title=""/>
            </v:shape>
            <v:line style="position:absolute" from="10079,899" to="10079,250" stroked="true" strokeweight=".286409pt" strokecolor="#000000">
              <v:stroke dashstyle="solid"/>
            </v:line>
            <v:shape style="position:absolute;left:9639;top:640;width:430;height:133" type="#_x0000_t75" stroked="false">
              <v:imagedata r:id="rId71" o:title=""/>
            </v:shape>
            <v:line style="position:absolute" from="3724,382" to="9969,382" stroked="true" strokeweight=".288124pt" strokecolor="#000000">
              <v:stroke dashstyle="solid"/>
            </v:line>
            <v:shape style="position:absolute;left:9937;top:315;width:132;height:133" type="#_x0000_t75" stroked="false">
              <v:imagedata r:id="rId72" o:title=""/>
            </v:shape>
            <v:shape style="position:absolute;left:3624;top:315;width:132;height:133" type="#_x0000_t75" stroked="false">
              <v:imagedata r:id="rId69" o:title=""/>
            </v:shape>
            <v:shape style="position:absolute;left:3724;top:157;width:5836;height:541" type="#_x0000_t202" filled="false" stroked="false">
              <v:textbox inset="0,0,0,0">
                <w:txbxContent>
                  <w:p>
                    <w:pPr>
                      <w:spacing w:line="214" w:lineRule="exact" w:before="0"/>
                      <w:ind w:left="0" w:right="125" w:firstLine="0"/>
                      <w:jc w:val="center"/>
                      <w:rPr>
                        <w:sz w:val="19"/>
                      </w:rPr>
                    </w:pPr>
                    <w:r>
                      <w:rPr>
                        <w:sz w:val="19"/>
                      </w:rPr>
                      <w:t>Multiplexer Frame</w:t>
                    </w:r>
                  </w:p>
                  <w:p>
                    <w:pPr>
                      <w:tabs>
                        <w:tab w:pos="1614" w:val="left" w:leader="none"/>
                        <w:tab w:pos="5815" w:val="left" w:leader="none"/>
                      </w:tabs>
                      <w:spacing w:before="106"/>
                      <w:ind w:left="0" w:right="18" w:firstLine="0"/>
                      <w:jc w:val="center"/>
                      <w:rPr>
                        <w:sz w:val="19"/>
                      </w:rPr>
                    </w:pPr>
                    <w:r>
                      <w:rPr>
                        <w:rFonts w:ascii="Times New Roman"/>
                        <w:color w:val="0000FF"/>
                        <w:w w:val="100"/>
                        <w:sz w:val="19"/>
                        <w:u w:val="single" w:color="000000"/>
                      </w:rPr>
                      <w:t> </w:t>
                    </w:r>
                    <w:r>
                      <w:rPr>
                        <w:rFonts w:ascii="Times New Roman"/>
                        <w:color w:val="0000FF"/>
                        <w:sz w:val="19"/>
                        <w:u w:val="single" w:color="000000"/>
                      </w:rPr>
                      <w:tab/>
                    </w:r>
                    <w:r>
                      <w:rPr>
                        <w:rFonts w:ascii="Times New Roman"/>
                        <w:i/>
                        <w:color w:val="0000FF"/>
                        <w:sz w:val="19"/>
                        <w:u w:val="single" w:color="000000"/>
                      </w:rPr>
                      <w:t>MUX_DIV[3:0] </w:t>
                    </w:r>
                    <w:r>
                      <w:rPr>
                        <w:sz w:val="19"/>
                        <w:u w:val="single"/>
                      </w:rPr>
                      <w:t>= 7</w:t>
                    </w:r>
                    <w:r>
                      <w:rPr>
                        <w:spacing w:val="7"/>
                        <w:sz w:val="19"/>
                        <w:u w:val="single"/>
                      </w:rPr>
                      <w:t> </w:t>
                    </w:r>
                    <w:r>
                      <w:rPr>
                        <w:sz w:val="19"/>
                        <w:u w:val="single"/>
                      </w:rPr>
                      <w:t>Conversions</w:t>
                      <w:tab/>
                    </w:r>
                  </w:p>
                </w:txbxContent>
              </v:textbox>
              <w10:wrap type="none"/>
            </v:shape>
            <v:shape style="position:absolute;left:9684;top:487;width:387;height:161" type="#_x0000_t202" filled="false" stroked="false">
              <v:textbox inset="0,0,0,0">
                <w:txbxContent>
                  <w:p>
                    <w:pPr>
                      <w:spacing w:line="160" w:lineRule="exact" w:before="0"/>
                      <w:ind w:left="0" w:right="0" w:firstLine="0"/>
                      <w:jc w:val="left"/>
                      <w:rPr>
                        <w:sz w:val="14"/>
                      </w:rPr>
                    </w:pPr>
                    <w:r>
                      <w:rPr>
                        <w:sz w:val="14"/>
                      </w:rPr>
                      <w:t>Settle</w:t>
                    </w:r>
                  </w:p>
                </w:txbxContent>
              </v:textbox>
              <w10:wrap type="none"/>
            </v:shape>
            <w10:wrap type="topAndBottom"/>
          </v:group>
        </w:pict>
      </w:r>
    </w:p>
    <w:p>
      <w:pPr>
        <w:tabs>
          <w:tab w:pos="2589" w:val="left" w:leader="none"/>
        </w:tabs>
        <w:spacing w:before="87"/>
        <w:ind w:left="1818" w:right="0" w:firstLine="0"/>
        <w:jc w:val="left"/>
        <w:rPr>
          <w:rFonts w:ascii="Times New Roman"/>
          <w:sz w:val="19"/>
        </w:rPr>
      </w:pPr>
      <w:r>
        <w:rPr>
          <w:sz w:val="19"/>
        </w:rPr>
        <w:t>CK32</w:t>
        <w:tab/>
      </w:r>
      <w:r>
        <w:rPr>
          <w:rFonts w:ascii="Times New Roman"/>
          <w:w w:val="100"/>
          <w:sz w:val="19"/>
          <w:u w:val="single"/>
        </w:rPr>
        <w:t> </w:t>
      </w:r>
      <w:r>
        <w:rPr>
          <w:rFonts w:ascii="Times New Roman"/>
          <w:spacing w:val="-23"/>
          <w:sz w:val="19"/>
          <w:u w:val="single"/>
        </w:rPr>
        <w:t> </w:t>
      </w:r>
    </w:p>
    <w:p>
      <w:pPr>
        <w:pStyle w:val="BodyText"/>
        <w:spacing w:before="3"/>
        <w:rPr>
          <w:rFonts w:ascii="Times New Roman"/>
          <w:sz w:val="10"/>
        </w:rPr>
      </w:pPr>
    </w:p>
    <w:p>
      <w:pPr>
        <w:spacing w:after="0"/>
        <w:rPr>
          <w:rFonts w:ascii="Times New Roman"/>
          <w:sz w:val="10"/>
        </w:rPr>
        <w:sectPr>
          <w:type w:val="continuous"/>
          <w:pgSz w:w="12240" w:h="15840"/>
          <w:pgMar w:top="940" w:bottom="280" w:left="820" w:right="860"/>
        </w:sectPr>
      </w:pPr>
    </w:p>
    <w:p>
      <w:pPr>
        <w:spacing w:before="96"/>
        <w:ind w:left="1203" w:right="0" w:firstLine="0"/>
        <w:jc w:val="left"/>
        <w:rPr>
          <w:sz w:val="19"/>
        </w:rPr>
      </w:pPr>
      <w:r>
        <w:rPr/>
        <w:pict>
          <v:group style="position:absolute;margin-left:170.488998pt;margin-top:5.282494pt;width:343.7pt;height:11.3pt;mso-position-horizontal-relative:page;mso-position-vertical-relative:paragraph;z-index:-38842368" coordorigin="3410,106" coordsize="6874,226">
            <v:line style="position:absolute" from="3599,109" to="3706,325" stroked="true" strokeweight=".286749pt" strokecolor="#000000">
              <v:stroke dashstyle="solid"/>
            </v:line>
            <v:line style="position:absolute" from="3706,109" to="3599,325" stroked="true" strokeweight=".286749pt" strokecolor="#000000">
              <v:stroke dashstyle="solid"/>
            </v:line>
            <v:line style="position:absolute" from="3410,109" to="3599,109" stroked="true" strokeweight=".288124pt" strokecolor="#000000">
              <v:stroke dashstyle="solid"/>
            </v:line>
            <v:line style="position:absolute" from="4484,112" to="4591,328" stroked="true" strokeweight=".286749pt" strokecolor="#000000">
              <v:stroke dashstyle="solid"/>
            </v:line>
            <v:line style="position:absolute" from="4591,112" to="4484,328" stroked="true" strokeweight=".286749pt" strokecolor="#000000">
              <v:stroke dashstyle="solid"/>
            </v:line>
            <v:line style="position:absolute" from="3706,109" to="4484,109" stroked="true" strokeweight=".288124pt" strokecolor="#000000">
              <v:stroke dashstyle="solid"/>
            </v:line>
            <v:line style="position:absolute" from="5343,109" to="5450,325" stroked="true" strokeweight=".286749pt" strokecolor="#000000">
              <v:stroke dashstyle="solid"/>
            </v:line>
            <v:line style="position:absolute" from="5450,109" to="5343,325" stroked="true" strokeweight=".286749pt" strokecolor="#000000">
              <v:stroke dashstyle="solid"/>
            </v:line>
            <v:line style="position:absolute" from="4591,109" to="5343,109" stroked="true" strokeweight=".288124pt" strokecolor="#000000">
              <v:stroke dashstyle="solid"/>
            </v:line>
            <v:line style="position:absolute" from="6202,109" to="6310,325" stroked="true" strokeweight=".286749pt" strokecolor="#000000">
              <v:stroke dashstyle="solid"/>
            </v:line>
            <v:line style="position:absolute" from="6310,109" to="6202,325" stroked="true" strokeweight=".286749pt" strokecolor="#000000">
              <v:stroke dashstyle="solid"/>
            </v:line>
            <v:line style="position:absolute" from="5450,109" to="6202,109" stroked="true" strokeweight=".288124pt" strokecolor="#000000">
              <v:stroke dashstyle="solid"/>
            </v:line>
            <v:line style="position:absolute" from="7061,109" to="7169,325" stroked="true" strokeweight=".286749pt" strokecolor="#000000">
              <v:stroke dashstyle="solid"/>
            </v:line>
            <v:line style="position:absolute" from="7169,109" to="7061,325" stroked="true" strokeweight=".286749pt" strokecolor="#000000">
              <v:stroke dashstyle="solid"/>
            </v:line>
            <v:line style="position:absolute" from="6310,109" to="7061,109" stroked="true" strokeweight=".288124pt" strokecolor="#000000">
              <v:stroke dashstyle="solid"/>
            </v:line>
            <v:line style="position:absolute" from="7921,109" to="8028,325" stroked="true" strokeweight=".286749pt" strokecolor="#000000">
              <v:stroke dashstyle="solid"/>
            </v:line>
            <v:line style="position:absolute" from="8028,109" to="7921,325" stroked="true" strokeweight=".286749pt" strokecolor="#000000">
              <v:stroke dashstyle="solid"/>
            </v:line>
            <v:line style="position:absolute" from="7169,109" to="7921,109" stroked="true" strokeweight=".288124pt" strokecolor="#000000">
              <v:stroke dashstyle="solid"/>
            </v:line>
            <v:line style="position:absolute" from="8028,109" to="8780,109" stroked="true" strokeweight=".288124pt" strokecolor="#000000">
              <v:stroke dashstyle="solid"/>
            </v:line>
            <v:line style="position:absolute" from="8780,112" to="8887,328" stroked="true" strokeweight=".286749pt" strokecolor="#000000">
              <v:stroke dashstyle="solid"/>
            </v:line>
            <v:shape style="position:absolute;left:8779;top:111;width:860;height:217" coordorigin="8780,112" coordsize="860,217" path="m8887,112l8780,328m8887,112l9639,112e" filled="false" stroked="true" strokeweight=".287267pt" strokecolor="#000000">
              <v:path arrowok="t"/>
              <v:stroke dashstyle="solid"/>
            </v:shape>
            <v:line style="position:absolute" from="10069,112" to="10176,328" stroked="true" strokeweight=".286749pt" strokecolor="#000000">
              <v:stroke dashstyle="solid"/>
            </v:line>
            <v:shape style="position:absolute;left:10068;top:111;width:215;height:217" coordorigin="10069,112" coordsize="215,217" path="m10176,112l10069,328m10176,112l10284,112e" filled="false" stroked="true" strokeweight=".287267pt" strokecolor="#000000">
              <v:path arrowok="t"/>
              <v:stroke dashstyle="solid"/>
            </v:shape>
            <v:line style="position:absolute" from="10176,328" to="10284,328" stroked="true" strokeweight=".288124pt" strokecolor="#000000">
              <v:stroke dashstyle="solid"/>
            </v:line>
            <v:line style="position:absolute" from="9747,109" to="10069,109" stroked="true" strokeweight=".288124pt" strokecolor="#000000">
              <v:stroke dashstyle="solid"/>
            </v:line>
            <v:line style="position:absolute" from="9639,112" to="9747,328" stroked="true" strokeweight=".286749pt" strokecolor="#000000">
              <v:stroke dashstyle="solid"/>
            </v:line>
            <v:line style="position:absolute" from="9747,112" to="9639,328" stroked="true" strokeweight=".286749pt" strokecolor="#000000">
              <v:stroke dashstyle="solid"/>
            </v:line>
            <w10:wrap type="none"/>
          </v:group>
        </w:pict>
      </w:r>
      <w:r>
        <w:rPr>
          <w:sz w:val="19"/>
        </w:rPr>
        <w:t>MUX STATE</w:t>
      </w:r>
    </w:p>
    <w:p>
      <w:pPr>
        <w:tabs>
          <w:tab w:pos="911" w:val="left" w:leader="none"/>
          <w:tab w:pos="1328" w:val="left" w:leader="none"/>
          <w:tab w:pos="1778" w:val="left" w:leader="none"/>
          <w:tab w:pos="2187" w:val="left" w:leader="none"/>
          <w:tab w:pos="2617" w:val="left" w:leader="none"/>
          <w:tab w:pos="3046" w:val="left" w:leader="none"/>
          <w:tab w:pos="3449" w:val="left" w:leader="none"/>
          <w:tab w:pos="3905" w:val="left" w:leader="none"/>
          <w:tab w:pos="4308" w:val="left" w:leader="none"/>
          <w:tab w:pos="4764" w:val="left" w:leader="none"/>
          <w:tab w:pos="5180" w:val="left" w:leader="none"/>
          <w:tab w:pos="5624" w:val="left" w:leader="none"/>
        </w:tabs>
        <w:spacing w:before="99"/>
        <w:ind w:left="270" w:right="0" w:firstLine="0"/>
        <w:jc w:val="left"/>
        <w:rPr>
          <w:sz w:val="19"/>
        </w:rPr>
      </w:pPr>
      <w:r>
        <w:rPr/>
        <w:br w:type="column"/>
      </w:r>
      <w:r>
        <w:rPr>
          <w:sz w:val="19"/>
          <w:u w:val="single"/>
        </w:rPr>
        <w:t>S </w:t>
        <w:tab/>
        <w:t>0</w:t>
        <w:tab/>
        <w:t> </w:t>
        <w:tab/>
        <w:t>1</w:t>
        <w:tab/>
        <w:t> </w:t>
        <w:tab/>
        <w:t>2</w:t>
        <w:tab/>
        <w:t> </w:t>
        <w:tab/>
        <w:t>3</w:t>
        <w:tab/>
        <w:t> </w:t>
        <w:tab/>
        <w:t>4</w:t>
        <w:tab/>
        <w:t> </w:t>
        <w:tab/>
        <w:t>5</w:t>
        <w:tab/>
      </w:r>
    </w:p>
    <w:p>
      <w:pPr>
        <w:tabs>
          <w:tab w:pos="376" w:val="left" w:leader="none"/>
          <w:tab w:pos="819" w:val="left" w:leader="none"/>
        </w:tabs>
        <w:spacing w:line="219" w:lineRule="exact" w:before="101"/>
        <w:ind w:left="67" w:right="0" w:firstLine="0"/>
        <w:jc w:val="left"/>
        <w:rPr>
          <w:sz w:val="19"/>
        </w:rPr>
      </w:pPr>
      <w:r>
        <w:rPr/>
        <w:br w:type="column"/>
      </w:r>
      <w:r>
        <w:rPr>
          <w:rFonts w:ascii="Times New Roman"/>
          <w:w w:val="100"/>
          <w:position w:val="1"/>
          <w:sz w:val="19"/>
          <w:u w:val="single"/>
        </w:rPr>
        <w:t> </w:t>
      </w:r>
      <w:r>
        <w:rPr>
          <w:rFonts w:ascii="Times New Roman"/>
          <w:position w:val="1"/>
          <w:sz w:val="19"/>
          <w:u w:val="single"/>
        </w:rPr>
        <w:tab/>
      </w:r>
      <w:r>
        <w:rPr>
          <w:position w:val="1"/>
          <w:sz w:val="19"/>
          <w:u w:val="single"/>
        </w:rPr>
        <w:t>6</w:t>
        <w:tab/>
      </w:r>
      <w:r>
        <w:rPr>
          <w:sz w:val="19"/>
          <w:u w:val="single"/>
        </w:rPr>
        <w:t> S</w:t>
      </w:r>
    </w:p>
    <w:p>
      <w:pPr>
        <w:spacing w:after="0" w:line="219" w:lineRule="exact"/>
        <w:jc w:val="left"/>
        <w:rPr>
          <w:sz w:val="19"/>
        </w:rPr>
        <w:sectPr>
          <w:type w:val="continuous"/>
          <w:pgSz w:w="12240" w:h="15840"/>
          <w:pgMar w:top="940" w:bottom="280" w:left="820" w:right="860"/>
          <w:cols w:num="3" w:equalWidth="0">
            <w:col w:w="2296" w:space="40"/>
            <w:col w:w="5625" w:space="39"/>
            <w:col w:w="2560"/>
          </w:cols>
        </w:sectPr>
      </w:pPr>
    </w:p>
    <w:p>
      <w:pPr>
        <w:pStyle w:val="BodyText"/>
      </w:pPr>
    </w:p>
    <w:p>
      <w:pPr>
        <w:pStyle w:val="BodyText"/>
        <w:spacing w:before="10"/>
        <w:rPr>
          <w:sz w:val="16"/>
        </w:rPr>
      </w:pPr>
    </w:p>
    <w:p>
      <w:pPr>
        <w:spacing w:line="475" w:lineRule="auto" w:before="0"/>
        <w:ind w:left="1234" w:right="-15" w:firstLine="381"/>
        <w:jc w:val="left"/>
        <w:rPr>
          <w:sz w:val="19"/>
        </w:rPr>
      </w:pPr>
      <w:r>
        <w:rPr>
          <w:sz w:val="19"/>
        </w:rPr>
        <w:t>CROSS MUX_SYNC</w:t>
      </w:r>
    </w:p>
    <w:p>
      <w:pPr>
        <w:tabs>
          <w:tab w:pos="1706" w:val="left" w:leader="none"/>
          <w:tab w:pos="2548" w:val="left" w:leader="none"/>
          <w:tab w:pos="3370" w:val="left" w:leader="none"/>
          <w:tab w:pos="4324" w:val="left" w:leader="none"/>
          <w:tab w:pos="5093" w:val="left" w:leader="none"/>
          <w:tab w:pos="5989" w:val="left" w:leader="none"/>
        </w:tabs>
        <w:spacing w:line="229" w:lineRule="exact" w:before="0"/>
        <w:ind w:left="866" w:right="0" w:firstLine="0"/>
        <w:jc w:val="left"/>
        <w:rPr>
          <w:sz w:val="19"/>
        </w:rPr>
      </w:pPr>
      <w:r>
        <w:rPr/>
        <w:br w:type="column"/>
      </w:r>
      <w:r>
        <w:rPr>
          <w:sz w:val="19"/>
        </w:rPr>
        <w:t>IA</w:t>
        <w:tab/>
        <w:t>VA</w:t>
        <w:tab/>
      </w:r>
      <w:r>
        <w:rPr>
          <w:position w:val="1"/>
          <w:sz w:val="19"/>
        </w:rPr>
        <w:t>IB</w:t>
        <w:tab/>
        <w:t>VB</w:t>
        <w:tab/>
      </w:r>
      <w:r>
        <w:rPr>
          <w:position w:val="2"/>
          <w:sz w:val="19"/>
        </w:rPr>
        <w:t>IC</w:t>
        <w:tab/>
        <w:t>VC</w:t>
        <w:tab/>
        <w:t>IN</w:t>
      </w:r>
    </w:p>
    <w:p>
      <w:pPr>
        <w:pStyle w:val="BodyText"/>
        <w:spacing w:before="2"/>
        <w:rPr>
          <w:sz w:val="14"/>
        </w:rPr>
      </w:pPr>
      <w:r>
        <w:rPr/>
        <w:pict>
          <v:group style="position:absolute;margin-left:170.489517pt;margin-top:10.119925pt;width:343.7pt;height:11.4pt;mso-position-horizontal-relative:page;mso-position-vertical-relative:paragraph;z-index:-15721984;mso-wrap-distance-left:0;mso-wrap-distance-right:0" coordorigin="3410,202" coordsize="6874,228">
            <v:line style="position:absolute" from="3410,208" to="9639,208" stroked="true" strokeweight=".288124pt" strokecolor="#000000">
              <v:stroke dashstyle="solid"/>
            </v:line>
            <v:line style="position:absolute" from="9639,211" to="9747,427" stroked="true" strokeweight=".286749pt" strokecolor="#000000">
              <v:stroke dashstyle="solid"/>
            </v:line>
            <v:line style="position:absolute" from="9747,211" to="9639,427" stroked="true" strokeweight=".286749pt" strokecolor="#000000">
              <v:stroke dashstyle="solid"/>
            </v:line>
            <v:line style="position:absolute" from="9757,208" to="10284,208" stroked="true" strokeweight=".288124pt" strokecolor="#000000">
              <v:stroke dashstyle="solid"/>
            </v:line>
            <v:shape style="position:absolute;left:3409;top:202;width:6874;height:228" type="#_x0000_t202" filled="false" stroked="false">
              <v:textbox inset="0,0,0,0">
                <w:txbxContent>
                  <w:p>
                    <w:pPr>
                      <w:tabs>
                        <w:tab w:pos="6229" w:val="left" w:leader="none"/>
                        <w:tab w:pos="6873" w:val="left" w:leader="none"/>
                      </w:tabs>
                      <w:spacing w:line="212" w:lineRule="exact" w:before="0"/>
                      <w:ind w:left="0" w:right="-15" w:firstLine="0"/>
                      <w:jc w:val="left"/>
                      <w:rPr>
                        <w:rFonts w:ascii="Times New Roman"/>
                        <w:sz w:val="19"/>
                      </w:rPr>
                    </w:pPr>
                    <w:r>
                      <w:rPr>
                        <w:rFonts w:ascii="Times New Roman"/>
                        <w:w w:val="100"/>
                        <w:sz w:val="19"/>
                        <w:u w:val="single"/>
                      </w:rPr>
                      <w:t> </w:t>
                    </w:r>
                    <w:r>
                      <w:rPr>
                        <w:rFonts w:ascii="Times New Roman"/>
                        <w:sz w:val="19"/>
                        <w:u w:val="single"/>
                      </w:rPr>
                      <w:tab/>
                    </w:r>
                    <w:r>
                      <w:rPr>
                        <w:rFonts w:ascii="Times New Roman"/>
                        <w:sz w:val="19"/>
                      </w:rPr>
                      <w:t> </w:t>
                    </w:r>
                    <w:r>
                      <w:rPr>
                        <w:rFonts w:ascii="Times New Roman"/>
                        <w:spacing w:val="22"/>
                        <w:sz w:val="19"/>
                      </w:rPr>
                      <w:t> </w:t>
                    </w:r>
                    <w:r>
                      <w:rPr>
                        <w:rFonts w:ascii="Times New Roman"/>
                        <w:w w:val="100"/>
                        <w:sz w:val="19"/>
                        <w:u w:val="single"/>
                      </w:rPr>
                      <w:t> </w:t>
                    </w:r>
                    <w:r>
                      <w:rPr>
                        <w:rFonts w:ascii="Times New Roman"/>
                        <w:sz w:val="19"/>
                        <w:u w:val="single"/>
                      </w:rPr>
                      <w:tab/>
                    </w:r>
                  </w:p>
                </w:txbxContent>
              </v:textbox>
              <w10:wrap type="none"/>
            </v:shape>
            <w10:wrap type="topAndBottom"/>
          </v:group>
        </w:pict>
      </w:r>
      <w:r>
        <w:rPr/>
        <w:pict>
          <v:shape style="position:absolute;margin-left:170.489746pt;margin-top:30.817696pt;width:344.6pt;height:11.75pt;mso-position-horizontal-relative:page;mso-position-vertical-relative:paragraph;z-index:-15721472;mso-wrap-distance-left:0;mso-wrap-distance-right:0" coordorigin="3410,616" coordsize="6892,235" path="m3410,616l3616,616,3616,832,9639,832,9639,616,10069,616,10069,850,10302,850e" filled="false" stroked="true" strokeweight=".288123pt" strokecolor="#000000">
            <v:path arrowok="t"/>
            <v:stroke dashstyle="solid"/>
            <w10:wrap type="topAndBottom"/>
          </v:shape>
        </w:pict>
      </w:r>
    </w:p>
    <w:p>
      <w:pPr>
        <w:pStyle w:val="BodyText"/>
        <w:rPr>
          <w:sz w:val="10"/>
        </w:rPr>
      </w:pPr>
    </w:p>
    <w:p>
      <w:pPr>
        <w:spacing w:before="154"/>
        <w:ind w:left="211" w:right="0" w:firstLine="0"/>
        <w:jc w:val="left"/>
        <w:rPr>
          <w:b/>
          <w:sz w:val="20"/>
        </w:rPr>
      </w:pPr>
      <w:bookmarkStart w:name="_bookmark12" w:id="25"/>
      <w:bookmarkEnd w:id="25"/>
      <w:r>
        <w:rPr/>
      </w:r>
      <w:r>
        <w:rPr>
          <w:b/>
          <w:sz w:val="20"/>
        </w:rPr>
        <w:t>Figure 5: States in a Multiplexer Frame (</w:t>
      </w:r>
      <w:r>
        <w:rPr>
          <w:rFonts w:ascii="Times New Roman"/>
          <w:b/>
          <w:i/>
          <w:sz w:val="20"/>
        </w:rPr>
        <w:t>MUX_DIV[3:0] </w:t>
      </w:r>
      <w:r>
        <w:rPr>
          <w:b/>
          <w:sz w:val="20"/>
        </w:rPr>
        <w:t>= 7)</w:t>
      </w:r>
    </w:p>
    <w:p>
      <w:pPr>
        <w:spacing w:after="0"/>
        <w:jc w:val="left"/>
        <w:rPr>
          <w:sz w:val="20"/>
        </w:rPr>
        <w:sectPr>
          <w:type w:val="continuous"/>
          <w:pgSz w:w="12240" w:h="15840"/>
          <w:pgMar w:top="940" w:bottom="280" w:left="820" w:right="860"/>
          <w:cols w:num="2" w:equalWidth="0">
            <w:col w:w="2296" w:space="40"/>
            <w:col w:w="8224"/>
          </w:cols>
        </w:sectPr>
      </w:pPr>
    </w:p>
    <w:p>
      <w:pPr>
        <w:pStyle w:val="BodyText"/>
        <w:spacing w:before="11"/>
        <w:rPr>
          <w:b/>
          <w:sz w:val="12"/>
        </w:rPr>
      </w:pPr>
    </w:p>
    <w:p>
      <w:pPr>
        <w:pStyle w:val="BodyText"/>
        <w:spacing w:before="93"/>
        <w:ind w:left="619" w:right="559"/>
      </w:pPr>
      <w:r>
        <w:rPr/>
        <w:t>Multiplexer advance, FIR initiation and chopping of the ADC reference voltage (using the internal CROSS signal, see </w:t>
      </w:r>
      <w:hyperlink w:history="true" w:anchor="_bookmark18">
        <w:r>
          <w:rPr>
            <w:color w:val="0000FF"/>
          </w:rPr>
          <w:t>2.2.7 </w:t>
        </w:r>
      </w:hyperlink>
      <w:hyperlink w:history="true" w:anchor="_bookmark18">
        <w:r>
          <w:rPr>
            <w:color w:val="0000FF"/>
          </w:rPr>
          <w:t>Voltage References</w:t>
        </w:r>
      </w:hyperlink>
      <w:r>
        <w:rPr/>
        <w:t>) are controlled by the internal MUX_CTRL circuit. Additionally, MUX_CTRL</w:t>
      </w:r>
      <w:r>
        <w:rPr>
          <w:spacing w:val="-9"/>
        </w:rPr>
        <w:t> </w:t>
      </w:r>
      <w:r>
        <w:rPr/>
        <w:t>launches</w:t>
      </w:r>
      <w:r>
        <w:rPr>
          <w:spacing w:val="-6"/>
        </w:rPr>
        <w:t> </w:t>
      </w:r>
      <w:r>
        <w:rPr/>
        <w:t>each</w:t>
      </w:r>
      <w:r>
        <w:rPr>
          <w:spacing w:val="-11"/>
        </w:rPr>
        <w:t> </w:t>
      </w:r>
      <w:r>
        <w:rPr/>
        <w:t>pass</w:t>
      </w:r>
      <w:r>
        <w:rPr>
          <w:spacing w:val="-10"/>
        </w:rPr>
        <w:t> </w:t>
      </w:r>
      <w:r>
        <w:rPr/>
        <w:t>of</w:t>
      </w:r>
      <w:r>
        <w:rPr>
          <w:spacing w:val="-11"/>
        </w:rPr>
        <w:t> </w:t>
      </w:r>
      <w:r>
        <w:rPr/>
        <w:t>the</w:t>
      </w:r>
      <w:r>
        <w:rPr>
          <w:spacing w:val="-11"/>
        </w:rPr>
        <w:t> </w:t>
      </w:r>
      <w:r>
        <w:rPr/>
        <w:t>CE</w:t>
      </w:r>
      <w:r>
        <w:rPr>
          <w:spacing w:val="-11"/>
        </w:rPr>
        <w:t> </w:t>
      </w:r>
      <w:r>
        <w:rPr/>
        <w:t>through</w:t>
      </w:r>
      <w:r>
        <w:rPr>
          <w:spacing w:val="-12"/>
        </w:rPr>
        <w:t> </w:t>
      </w:r>
      <w:r>
        <w:rPr/>
        <w:t>its</w:t>
      </w:r>
      <w:r>
        <w:rPr>
          <w:spacing w:val="-11"/>
        </w:rPr>
        <w:t> </w:t>
      </w:r>
      <w:r>
        <w:rPr/>
        <w:t>code.</w:t>
      </w:r>
      <w:r>
        <w:rPr>
          <w:spacing w:val="-11"/>
        </w:rPr>
        <w:t> </w:t>
      </w:r>
      <w:r>
        <w:rPr/>
        <w:t>MUX_CTRL</w:t>
      </w:r>
      <w:r>
        <w:rPr>
          <w:spacing w:val="-11"/>
        </w:rPr>
        <w:t> </w:t>
      </w:r>
      <w:r>
        <w:rPr/>
        <w:t>is</w:t>
      </w:r>
      <w:r>
        <w:rPr>
          <w:spacing w:val="-12"/>
        </w:rPr>
        <w:t> </w:t>
      </w:r>
      <w:r>
        <w:rPr/>
        <w:t>clocked</w:t>
      </w:r>
      <w:r>
        <w:rPr>
          <w:spacing w:val="-11"/>
        </w:rPr>
        <w:t> </w:t>
      </w:r>
      <w:r>
        <w:rPr/>
        <w:t>by</w:t>
      </w:r>
      <w:r>
        <w:rPr>
          <w:spacing w:val="-16"/>
        </w:rPr>
        <w:t> </w:t>
      </w:r>
      <w:r>
        <w:rPr/>
        <w:t>CK32,</w:t>
      </w:r>
      <w:r>
        <w:rPr>
          <w:spacing w:val="-10"/>
        </w:rPr>
        <w:t> </w:t>
      </w:r>
      <w:r>
        <w:rPr/>
        <w:t>the</w:t>
      </w:r>
      <w:r>
        <w:rPr>
          <w:spacing w:val="-12"/>
        </w:rPr>
        <w:t> </w:t>
      </w:r>
      <w:r>
        <w:rPr/>
        <w:t>32768</w:t>
      </w:r>
      <w:r>
        <w:rPr>
          <w:spacing w:val="-11"/>
        </w:rPr>
        <w:t> </w:t>
      </w:r>
      <w:r>
        <w:rPr/>
        <w:t>Hz </w:t>
      </w:r>
      <w:r>
        <w:rPr>
          <w:spacing w:val="-3"/>
        </w:rPr>
        <w:t>clock </w:t>
      </w:r>
      <w:r>
        <w:rPr/>
        <w:t>from the PLL block. The behavior of the MUX_CTRL circuit is governed</w:t>
      </w:r>
      <w:r>
        <w:rPr>
          <w:spacing w:val="-6"/>
        </w:rPr>
        <w:t> </w:t>
      </w:r>
      <w:r>
        <w:rPr/>
        <w:t>by:</w:t>
      </w:r>
    </w:p>
    <w:p>
      <w:pPr>
        <w:pStyle w:val="ListParagraph"/>
        <w:numPr>
          <w:ilvl w:val="1"/>
          <w:numId w:val="1"/>
        </w:numPr>
        <w:tabs>
          <w:tab w:pos="979" w:val="left" w:leader="none"/>
          <w:tab w:pos="980" w:val="left" w:leader="none"/>
        </w:tabs>
        <w:spacing w:line="240" w:lineRule="auto" w:before="115" w:after="0"/>
        <w:ind w:left="979" w:right="0" w:hanging="361"/>
        <w:jc w:val="left"/>
        <w:rPr>
          <w:rFonts w:ascii="Symbol" w:hAnsi="Symbol"/>
          <w:sz w:val="20"/>
        </w:rPr>
      </w:pPr>
      <w:r>
        <w:rPr>
          <w:rFonts w:ascii="Times New Roman" w:hAnsi="Times New Roman"/>
          <w:i/>
          <w:sz w:val="20"/>
        </w:rPr>
        <w:t>CHOP_E[1:0] </w:t>
      </w:r>
      <w:r>
        <w:rPr>
          <w:sz w:val="20"/>
        </w:rPr>
        <w:t>(</w:t>
      </w:r>
      <w:r>
        <w:rPr>
          <w:rFonts w:ascii="Times New Roman" w:hAnsi="Times New Roman"/>
          <w:i/>
          <w:sz w:val="20"/>
        </w:rPr>
        <w:t>I/O RAM</w:t>
      </w:r>
      <w:r>
        <w:rPr>
          <w:rFonts w:ascii="Times New Roman" w:hAnsi="Times New Roman"/>
          <w:i/>
          <w:spacing w:val="3"/>
          <w:sz w:val="20"/>
        </w:rPr>
        <w:t> </w:t>
      </w:r>
      <w:r>
        <w:rPr>
          <w:rFonts w:ascii="Times New Roman" w:hAnsi="Times New Roman"/>
          <w:i/>
          <w:sz w:val="20"/>
        </w:rPr>
        <w:t>0x2106[3:2]</w:t>
      </w:r>
      <w:r>
        <w:rPr>
          <w:sz w:val="20"/>
        </w:rPr>
        <w:t>)</w:t>
      </w:r>
    </w:p>
    <w:p>
      <w:pPr>
        <w:pStyle w:val="ListParagraph"/>
        <w:numPr>
          <w:ilvl w:val="1"/>
          <w:numId w:val="1"/>
        </w:numPr>
        <w:tabs>
          <w:tab w:pos="979" w:val="left" w:leader="none"/>
          <w:tab w:pos="980" w:val="left" w:leader="none"/>
        </w:tabs>
        <w:spacing w:line="240" w:lineRule="auto" w:before="41" w:after="0"/>
        <w:ind w:left="979" w:right="0" w:hanging="361"/>
        <w:jc w:val="left"/>
        <w:rPr>
          <w:rFonts w:ascii="Symbol" w:hAnsi="Symbol"/>
          <w:sz w:val="20"/>
        </w:rPr>
      </w:pPr>
      <w:r>
        <w:rPr>
          <w:rFonts w:ascii="Times New Roman" w:hAnsi="Times New Roman"/>
          <w:i/>
          <w:sz w:val="20"/>
        </w:rPr>
        <w:t>MUX_DIV[3:0] </w:t>
      </w:r>
      <w:r>
        <w:rPr>
          <w:sz w:val="20"/>
        </w:rPr>
        <w:t>(</w:t>
      </w:r>
      <w:r>
        <w:rPr>
          <w:rFonts w:ascii="Times New Roman" w:hAnsi="Times New Roman"/>
          <w:i/>
          <w:sz w:val="20"/>
        </w:rPr>
        <w:t>I/O RAM</w:t>
      </w:r>
      <w:r>
        <w:rPr>
          <w:rFonts w:ascii="Times New Roman" w:hAnsi="Times New Roman"/>
          <w:i/>
          <w:spacing w:val="3"/>
          <w:sz w:val="20"/>
        </w:rPr>
        <w:t> </w:t>
      </w:r>
      <w:r>
        <w:rPr>
          <w:rFonts w:ascii="Times New Roman" w:hAnsi="Times New Roman"/>
          <w:i/>
          <w:sz w:val="20"/>
        </w:rPr>
        <w:t>0x2100[7:4]</w:t>
      </w:r>
      <w:r>
        <w:rPr>
          <w:sz w:val="20"/>
        </w:rPr>
        <w:t>)</w:t>
      </w:r>
    </w:p>
    <w:p>
      <w:pPr>
        <w:pStyle w:val="ListParagraph"/>
        <w:numPr>
          <w:ilvl w:val="1"/>
          <w:numId w:val="1"/>
        </w:numPr>
        <w:tabs>
          <w:tab w:pos="978" w:val="left" w:leader="none"/>
          <w:tab w:pos="979" w:val="left" w:leader="none"/>
        </w:tabs>
        <w:spacing w:line="240" w:lineRule="auto" w:before="38" w:after="0"/>
        <w:ind w:left="978" w:right="0" w:hanging="360"/>
        <w:jc w:val="left"/>
        <w:rPr>
          <w:rFonts w:ascii="Symbol" w:hAnsi="Symbol"/>
          <w:sz w:val="20"/>
        </w:rPr>
      </w:pPr>
      <w:r>
        <w:rPr>
          <w:rFonts w:ascii="Times New Roman" w:hAnsi="Times New Roman"/>
          <w:i/>
          <w:sz w:val="20"/>
        </w:rPr>
        <w:t>FIR_LEN[1:0] </w:t>
      </w:r>
      <w:r>
        <w:rPr>
          <w:sz w:val="20"/>
        </w:rPr>
        <w:t>(</w:t>
      </w:r>
      <w:r>
        <w:rPr>
          <w:rFonts w:ascii="Times New Roman" w:hAnsi="Times New Roman"/>
          <w:i/>
          <w:sz w:val="20"/>
        </w:rPr>
        <w:t>I/O RAM</w:t>
      </w:r>
      <w:r>
        <w:rPr>
          <w:rFonts w:ascii="Times New Roman" w:hAnsi="Times New Roman"/>
          <w:i/>
          <w:spacing w:val="3"/>
          <w:sz w:val="20"/>
        </w:rPr>
        <w:t> </w:t>
      </w:r>
      <w:r>
        <w:rPr>
          <w:rFonts w:ascii="Times New Roman" w:hAnsi="Times New Roman"/>
          <w:i/>
          <w:sz w:val="20"/>
        </w:rPr>
        <w:t>0x210C[2:1]</w:t>
      </w:r>
      <w:r>
        <w:rPr>
          <w:sz w:val="20"/>
        </w:rPr>
        <w:t>)</w:t>
      </w:r>
    </w:p>
    <w:p>
      <w:pPr>
        <w:pStyle w:val="ListParagraph"/>
        <w:numPr>
          <w:ilvl w:val="1"/>
          <w:numId w:val="1"/>
        </w:numPr>
        <w:tabs>
          <w:tab w:pos="978" w:val="left" w:leader="none"/>
          <w:tab w:pos="979" w:val="left" w:leader="none"/>
        </w:tabs>
        <w:spacing w:line="240" w:lineRule="auto" w:before="41" w:after="0"/>
        <w:ind w:left="978" w:right="0" w:hanging="360"/>
        <w:jc w:val="left"/>
        <w:rPr>
          <w:rFonts w:ascii="Symbol" w:hAnsi="Symbol"/>
          <w:sz w:val="20"/>
        </w:rPr>
      </w:pPr>
      <w:r>
        <w:rPr>
          <w:rFonts w:ascii="Times New Roman" w:hAnsi="Times New Roman"/>
          <w:i/>
          <w:sz w:val="20"/>
        </w:rPr>
        <w:t>ADC_DIV </w:t>
      </w:r>
      <w:r>
        <w:rPr>
          <w:sz w:val="20"/>
        </w:rPr>
        <w:t>(</w:t>
      </w:r>
      <w:r>
        <w:rPr>
          <w:rFonts w:ascii="Times New Roman" w:hAnsi="Times New Roman"/>
          <w:i/>
          <w:sz w:val="20"/>
        </w:rPr>
        <w:t>I/O RAM 0x2200[5]</w:t>
      </w:r>
      <w:r>
        <w:rPr>
          <w:sz w:val="20"/>
        </w:rPr>
        <w:t>)</w:t>
      </w:r>
    </w:p>
    <w:p>
      <w:pPr>
        <w:pStyle w:val="BodyText"/>
        <w:spacing w:before="1"/>
      </w:pPr>
    </w:p>
    <w:p>
      <w:pPr>
        <w:pStyle w:val="BodyText"/>
        <w:spacing w:before="1"/>
        <w:ind w:left="618" w:right="559"/>
      </w:pPr>
      <w:r>
        <w:rPr/>
        <w:t>The duration of each multiplexer state depends on the number of ADC samples processed by the FIR as determined by the </w:t>
      </w:r>
      <w:r>
        <w:rPr>
          <w:rFonts w:ascii="Times New Roman"/>
          <w:i/>
        </w:rPr>
        <w:t>FIR_LEN[1:0] (I/O RAM 0x210C[2:1] </w:t>
      </w:r>
      <w:r>
        <w:rPr/>
        <w:t>control field. Each multiplexer state starts on the rising edge of CK32, the 32-kHz clock.</w:t>
      </w:r>
    </w:p>
    <w:p>
      <w:pPr>
        <w:spacing w:line="242" w:lineRule="auto" w:before="118"/>
        <w:ind w:left="1489" w:right="559" w:firstLine="0"/>
        <w:jc w:val="left"/>
        <w:rPr>
          <w:sz w:val="20"/>
        </w:rPr>
      </w:pPr>
      <w:r>
        <w:rPr/>
        <w:drawing>
          <wp:anchor distT="0" distB="0" distL="0" distR="0" allowOverlap="1" layoutInCell="1" locked="0" behindDoc="0" simplePos="0" relativeHeight="15739904">
            <wp:simplePos x="0" y="0"/>
            <wp:positionH relativeFrom="page">
              <wp:posOffset>933450</wp:posOffset>
            </wp:positionH>
            <wp:positionV relativeFrom="paragraph">
              <wp:posOffset>102204</wp:posOffset>
            </wp:positionV>
            <wp:extent cx="419099" cy="428624"/>
            <wp:effectExtent l="0" t="0" r="0" b="0"/>
            <wp:wrapNone/>
            <wp:docPr id="5" name="image54.png"/>
            <wp:cNvGraphicFramePr>
              <a:graphicFrameLocks noChangeAspect="1"/>
            </wp:cNvGraphicFramePr>
            <a:graphic>
              <a:graphicData uri="http://schemas.openxmlformats.org/drawingml/2006/picture">
                <pic:pic>
                  <pic:nvPicPr>
                    <pic:cNvPr id="6" name="image54.png"/>
                    <pic:cNvPicPr/>
                  </pic:nvPicPr>
                  <pic:blipFill>
                    <a:blip r:embed="rId63" cstate="print"/>
                    <a:stretch>
                      <a:fillRect/>
                    </a:stretch>
                  </pic:blipFill>
                  <pic:spPr>
                    <a:xfrm>
                      <a:off x="0" y="0"/>
                      <a:ext cx="419099" cy="428624"/>
                    </a:xfrm>
                    <a:prstGeom prst="rect">
                      <a:avLst/>
                    </a:prstGeom>
                  </pic:spPr>
                </pic:pic>
              </a:graphicData>
            </a:graphic>
          </wp:anchor>
        </w:drawing>
      </w:r>
      <w:r>
        <w:rPr>
          <w:sz w:val="20"/>
        </w:rPr>
        <w:t>It is required that </w:t>
      </w:r>
      <w:r>
        <w:rPr>
          <w:rFonts w:ascii="Times New Roman"/>
          <w:i/>
          <w:sz w:val="20"/>
        </w:rPr>
        <w:t>MUX_DIV[3:0] (I/O RAM 0x2100[7:4]) </w:t>
      </w:r>
      <w:r>
        <w:rPr>
          <w:sz w:val="20"/>
        </w:rPr>
        <w:t>be set to zero while changing the ADC configuration to minimize system transients. After all configuration bits are set, </w:t>
      </w:r>
      <w:r>
        <w:rPr>
          <w:rFonts w:ascii="Times New Roman"/>
          <w:i/>
          <w:sz w:val="20"/>
        </w:rPr>
        <w:t>MUX_DIV[3:0] </w:t>
      </w:r>
      <w:r>
        <w:rPr>
          <w:sz w:val="20"/>
        </w:rPr>
        <w:t>should be set to the required value.</w:t>
      </w:r>
    </w:p>
    <w:p>
      <w:pPr>
        <w:spacing w:line="544" w:lineRule="auto" w:before="103"/>
        <w:ind w:left="618" w:right="0" w:firstLine="0"/>
        <w:jc w:val="left"/>
        <w:rPr>
          <w:sz w:val="20"/>
        </w:rPr>
      </w:pPr>
      <w:r>
        <w:rPr>
          <w:sz w:val="20"/>
        </w:rPr>
        <w:t>The duration of each time slot in CK32 cycles depends on </w:t>
      </w:r>
      <w:r>
        <w:rPr>
          <w:rFonts w:ascii="Times New Roman"/>
          <w:i/>
          <w:sz w:val="20"/>
        </w:rPr>
        <w:t>FIR_LEN[1:0], ADC_DIV </w:t>
      </w:r>
      <w:r>
        <w:rPr>
          <w:sz w:val="20"/>
        </w:rPr>
        <w:t>and </w:t>
      </w:r>
      <w:r>
        <w:rPr>
          <w:rFonts w:ascii="Times New Roman"/>
          <w:i/>
          <w:sz w:val="20"/>
        </w:rPr>
        <w:t>PLL_FAST</w:t>
      </w:r>
      <w:r>
        <w:rPr>
          <w:sz w:val="20"/>
        </w:rPr>
        <w:t>: Time_Slot_Duration = (3-2*</w:t>
      </w:r>
      <w:r>
        <w:rPr>
          <w:rFonts w:ascii="Times New Roman"/>
          <w:i/>
          <w:sz w:val="20"/>
        </w:rPr>
        <w:t>PLL_FAST</w:t>
      </w:r>
      <w:r>
        <w:rPr>
          <w:sz w:val="20"/>
        </w:rPr>
        <w:t>)*(</w:t>
      </w:r>
      <w:r>
        <w:rPr>
          <w:rFonts w:ascii="Times New Roman"/>
          <w:i/>
          <w:sz w:val="20"/>
        </w:rPr>
        <w:t>FIR_LEN[1:0]</w:t>
      </w:r>
      <w:r>
        <w:rPr>
          <w:sz w:val="20"/>
        </w:rPr>
        <w:t>+1) * (</w:t>
      </w:r>
      <w:r>
        <w:rPr>
          <w:rFonts w:ascii="Times New Roman"/>
          <w:i/>
          <w:sz w:val="20"/>
        </w:rPr>
        <w:t>ADC_DIV</w:t>
      </w:r>
      <w:r>
        <w:rPr>
          <w:sz w:val="20"/>
        </w:rPr>
        <w:t>+1)</w:t>
      </w:r>
    </w:p>
    <w:p>
      <w:pPr>
        <w:pStyle w:val="BodyText"/>
        <w:spacing w:before="3"/>
        <w:ind w:left="618"/>
      </w:pPr>
      <w:r>
        <w:rPr/>
        <w:t>The duration of a multiplexer frame in CK32 cycles is:</w:t>
      </w:r>
    </w:p>
    <w:p>
      <w:pPr>
        <w:pStyle w:val="BodyText"/>
        <w:spacing w:before="8"/>
        <w:rPr>
          <w:sz w:val="25"/>
        </w:rPr>
      </w:pPr>
    </w:p>
    <w:p>
      <w:pPr>
        <w:spacing w:before="0"/>
        <w:ind w:left="1338" w:right="0" w:firstLine="0"/>
        <w:jc w:val="left"/>
        <w:rPr>
          <w:rFonts w:ascii="Times New Roman"/>
          <w:i/>
          <w:sz w:val="20"/>
        </w:rPr>
      </w:pPr>
      <w:r>
        <w:rPr>
          <w:sz w:val="20"/>
        </w:rPr>
        <w:t>MUX_Frame_Duration = 3-2*</w:t>
      </w:r>
      <w:r>
        <w:rPr>
          <w:rFonts w:ascii="Times New Roman"/>
          <w:i/>
          <w:sz w:val="20"/>
        </w:rPr>
        <w:t>PLL_FAST </w:t>
      </w:r>
      <w:r>
        <w:rPr>
          <w:sz w:val="20"/>
        </w:rPr>
        <w:t>+ Time_Slot_Duration * </w:t>
      </w:r>
      <w:r>
        <w:rPr>
          <w:rFonts w:ascii="Times New Roman"/>
          <w:i/>
          <w:sz w:val="20"/>
        </w:rPr>
        <w:t>MUX_DIV[3:0]</w:t>
      </w:r>
    </w:p>
    <w:p>
      <w:pPr>
        <w:pStyle w:val="BodyText"/>
        <w:rPr>
          <w:rFonts w:ascii="Times New Roman"/>
          <w:i/>
          <w:sz w:val="22"/>
        </w:rPr>
      </w:pPr>
    </w:p>
    <w:p>
      <w:pPr>
        <w:pStyle w:val="BodyText"/>
        <w:rPr>
          <w:rFonts w:ascii="Times New Roman"/>
          <w:i/>
          <w:sz w:val="19"/>
        </w:rPr>
      </w:pPr>
    </w:p>
    <w:p>
      <w:pPr>
        <w:pStyle w:val="BodyText"/>
        <w:spacing w:before="1"/>
        <w:ind w:left="618"/>
      </w:pPr>
      <w:r>
        <w:rPr/>
        <w:t>The duration of a multiplexer frame in CK_FIR cycles is:</w:t>
      </w:r>
    </w:p>
    <w:p>
      <w:pPr>
        <w:pStyle w:val="BodyText"/>
        <w:spacing w:before="120"/>
        <w:ind w:left="618"/>
      </w:pPr>
      <w:r>
        <w:rPr/>
        <w:t>MUX frame duration (CK_FIR cycles) =</w:t>
      </w:r>
    </w:p>
    <w:p>
      <w:pPr>
        <w:spacing w:before="118"/>
        <w:ind w:left="1234" w:right="1278" w:firstLine="0"/>
        <w:jc w:val="center"/>
        <w:rPr>
          <w:sz w:val="20"/>
        </w:rPr>
      </w:pPr>
      <w:r>
        <w:rPr>
          <w:sz w:val="20"/>
        </w:rPr>
        <w:t>[3-2*</w:t>
      </w:r>
      <w:r>
        <w:rPr>
          <w:rFonts w:ascii="Times New Roman"/>
          <w:i/>
          <w:sz w:val="20"/>
        </w:rPr>
        <w:t>PLL_FAST </w:t>
      </w:r>
      <w:r>
        <w:rPr>
          <w:sz w:val="20"/>
        </w:rPr>
        <w:t>+ Time_Slot_Duration * </w:t>
      </w:r>
      <w:r>
        <w:rPr>
          <w:rFonts w:ascii="Times New Roman"/>
          <w:i/>
          <w:sz w:val="20"/>
        </w:rPr>
        <w:t>MUX_DIV</w:t>
      </w:r>
      <w:r>
        <w:rPr>
          <w:sz w:val="20"/>
        </w:rPr>
        <w:t>] * (48+</w:t>
      </w:r>
      <w:r>
        <w:rPr>
          <w:rFonts w:ascii="Times New Roman"/>
          <w:i/>
          <w:sz w:val="20"/>
        </w:rPr>
        <w:t>PLL_FAST</w:t>
      </w:r>
      <w:r>
        <w:rPr>
          <w:sz w:val="20"/>
        </w:rPr>
        <w:t>*102)</w:t>
      </w:r>
    </w:p>
    <w:p>
      <w:pPr>
        <w:pStyle w:val="BodyText"/>
        <w:spacing w:before="120"/>
        <w:ind w:left="617" w:right="582"/>
      </w:pPr>
      <w:r>
        <w:rPr/>
        <w:t>The ADC conversion sequence is programmable through the </w:t>
      </w:r>
      <w:r>
        <w:rPr>
          <w:rFonts w:ascii="Times New Roman" w:hAnsi="Times New Roman"/>
          <w:i/>
          <w:spacing w:val="2"/>
        </w:rPr>
        <w:t>MUXn_SEL </w:t>
      </w:r>
      <w:r>
        <w:rPr/>
        <w:t>control fields (</w:t>
      </w:r>
      <w:r>
        <w:rPr>
          <w:rFonts w:ascii="Times New Roman" w:hAnsi="Times New Roman"/>
          <w:i/>
        </w:rPr>
        <w:t>I/O RAM 0x2100   </w:t>
      </w:r>
      <w:r>
        <w:rPr/>
        <w:t>to </w:t>
      </w:r>
      <w:r>
        <w:rPr>
          <w:rFonts w:ascii="Times New Roman" w:hAnsi="Times New Roman"/>
          <w:i/>
        </w:rPr>
        <w:t>0x2105</w:t>
      </w:r>
      <w:r>
        <w:rPr/>
        <w:t>). As stated above, there are up to eleven ADC time slots in the 71M6543, as set by </w:t>
      </w:r>
      <w:r>
        <w:rPr>
          <w:rFonts w:ascii="Times New Roman" w:hAnsi="Times New Roman"/>
          <w:i/>
        </w:rPr>
        <w:t>MUX_DIV[3:0] </w:t>
      </w:r>
      <w:r>
        <w:rPr/>
        <w:t>(</w:t>
      </w:r>
      <w:r>
        <w:rPr>
          <w:rFonts w:ascii="Times New Roman" w:hAnsi="Times New Roman"/>
          <w:i/>
        </w:rPr>
        <w:t>I/O RAM 0x2100[7:4]</w:t>
      </w:r>
      <w:r>
        <w:rPr/>
        <w:t>). </w:t>
      </w:r>
      <w:r>
        <w:rPr>
          <w:spacing w:val="-3"/>
        </w:rPr>
        <w:t>In the </w:t>
      </w:r>
      <w:r>
        <w:rPr>
          <w:spacing w:val="-4"/>
        </w:rPr>
        <w:t>expression </w:t>
      </w:r>
      <w:r>
        <w:rPr>
          <w:rFonts w:ascii="Times New Roman" w:hAnsi="Times New Roman"/>
          <w:i/>
        </w:rPr>
        <w:t>MUXn_SEL[3:0] </w:t>
      </w:r>
      <w:r>
        <w:rPr/>
        <w:t>= x, </w:t>
      </w:r>
      <w:r>
        <w:rPr>
          <w:spacing w:val="-3"/>
        </w:rPr>
        <w:t>‘n’ refers </w:t>
      </w:r>
      <w:r>
        <w:rPr/>
        <w:t>to </w:t>
      </w:r>
      <w:r>
        <w:rPr>
          <w:spacing w:val="-3"/>
        </w:rPr>
        <w:t>the </w:t>
      </w:r>
      <w:r>
        <w:rPr>
          <w:spacing w:val="-5"/>
        </w:rPr>
        <w:t>multiplexer </w:t>
      </w:r>
      <w:r>
        <w:rPr>
          <w:spacing w:val="-3"/>
        </w:rPr>
        <w:t>frame</w:t>
      </w:r>
      <w:r>
        <w:rPr>
          <w:spacing w:val="-12"/>
        </w:rPr>
        <w:t> </w:t>
      </w:r>
      <w:r>
        <w:rPr>
          <w:spacing w:val="-3"/>
        </w:rPr>
        <w:t>time</w:t>
      </w:r>
      <w:r>
        <w:rPr>
          <w:spacing w:val="-11"/>
        </w:rPr>
        <w:t> </w:t>
      </w:r>
      <w:r>
        <w:rPr>
          <w:spacing w:val="-4"/>
        </w:rPr>
        <w:t>slot</w:t>
      </w:r>
      <w:r>
        <w:rPr>
          <w:spacing w:val="-7"/>
        </w:rPr>
        <w:t> </w:t>
      </w:r>
      <w:r>
        <w:rPr>
          <w:spacing w:val="-4"/>
        </w:rPr>
        <w:t>number</w:t>
      </w:r>
      <w:r>
        <w:rPr>
          <w:spacing w:val="-7"/>
        </w:rPr>
        <w:t> </w:t>
      </w:r>
      <w:r>
        <w:rPr>
          <w:spacing w:val="-3"/>
        </w:rPr>
        <w:t>and</w:t>
      </w:r>
      <w:r>
        <w:rPr>
          <w:spacing w:val="-8"/>
        </w:rPr>
        <w:t> </w:t>
      </w:r>
      <w:r>
        <w:rPr>
          <w:spacing w:val="-3"/>
        </w:rPr>
        <w:t>‘x’</w:t>
      </w:r>
      <w:r>
        <w:rPr>
          <w:spacing w:val="-12"/>
        </w:rPr>
        <w:t> </w:t>
      </w:r>
      <w:r>
        <w:rPr>
          <w:spacing w:val="-4"/>
        </w:rPr>
        <w:t>refers</w:t>
      </w:r>
      <w:r>
        <w:rPr>
          <w:spacing w:val="-7"/>
        </w:rPr>
        <w:t> </w:t>
      </w:r>
      <w:r>
        <w:rPr/>
        <w:t>to</w:t>
      </w:r>
      <w:r>
        <w:rPr>
          <w:spacing w:val="-9"/>
        </w:rPr>
        <w:t> </w:t>
      </w:r>
      <w:r>
        <w:rPr>
          <w:spacing w:val="-3"/>
        </w:rPr>
        <w:t>the</w:t>
      </w:r>
      <w:r>
        <w:rPr>
          <w:spacing w:val="-6"/>
        </w:rPr>
        <w:t> </w:t>
      </w:r>
      <w:r>
        <w:rPr>
          <w:spacing w:val="-4"/>
        </w:rPr>
        <w:t>desired</w:t>
      </w:r>
      <w:r>
        <w:rPr>
          <w:spacing w:val="-9"/>
        </w:rPr>
        <w:t> </w:t>
      </w:r>
      <w:r>
        <w:rPr>
          <w:spacing w:val="-3"/>
        </w:rPr>
        <w:t>ADC</w:t>
      </w:r>
      <w:r>
        <w:rPr>
          <w:spacing w:val="-9"/>
        </w:rPr>
        <w:t> </w:t>
      </w:r>
      <w:r>
        <w:rPr>
          <w:spacing w:val="-4"/>
        </w:rPr>
        <w:t>input</w:t>
      </w:r>
      <w:r>
        <w:rPr>
          <w:spacing w:val="-8"/>
        </w:rPr>
        <w:t> </w:t>
      </w:r>
      <w:r>
        <w:rPr>
          <w:spacing w:val="-4"/>
        </w:rPr>
        <w:t>number</w:t>
      </w:r>
      <w:r>
        <w:rPr>
          <w:spacing w:val="-8"/>
        </w:rPr>
        <w:t> </w:t>
      </w:r>
      <w:r>
        <w:rPr>
          <w:spacing w:val="-3"/>
        </w:rPr>
        <w:t>or</w:t>
      </w:r>
      <w:r>
        <w:rPr>
          <w:spacing w:val="-6"/>
        </w:rPr>
        <w:t> </w:t>
      </w:r>
      <w:r>
        <w:rPr>
          <w:spacing w:val="-3"/>
        </w:rPr>
        <w:t>ADC</w:t>
      </w:r>
      <w:r>
        <w:rPr>
          <w:spacing w:val="-8"/>
        </w:rPr>
        <w:t> </w:t>
      </w:r>
      <w:r>
        <w:rPr>
          <w:spacing w:val="-4"/>
        </w:rPr>
        <w:t>handle</w:t>
      </w:r>
      <w:r>
        <w:rPr>
          <w:spacing w:val="-7"/>
        </w:rPr>
        <w:t> </w:t>
      </w:r>
      <w:r>
        <w:rPr>
          <w:spacing w:val="-4"/>
        </w:rPr>
        <w:t>(i.e.,</w:t>
      </w:r>
      <w:r>
        <w:rPr>
          <w:spacing w:val="-8"/>
        </w:rPr>
        <w:t> </w:t>
      </w:r>
      <w:r>
        <w:rPr>
          <w:spacing w:val="-3"/>
        </w:rPr>
        <w:t>IADC0</w:t>
      </w:r>
      <w:r>
        <w:rPr>
          <w:spacing w:val="-9"/>
        </w:rPr>
        <w:t> </w:t>
      </w:r>
      <w:r>
        <w:rPr>
          <w:spacing w:val="-3"/>
        </w:rPr>
        <w:t>to</w:t>
      </w:r>
      <w:r>
        <w:rPr>
          <w:spacing w:val="-6"/>
        </w:rPr>
        <w:t> </w:t>
      </w:r>
      <w:r>
        <w:rPr>
          <w:spacing w:val="-4"/>
        </w:rPr>
        <w:t>VADC10, </w:t>
      </w:r>
      <w:r>
        <w:rPr>
          <w:spacing w:val="-3"/>
        </w:rPr>
        <w:t>or simply </w:t>
      </w:r>
      <w:r>
        <w:rPr/>
        <w:t>0 </w:t>
      </w:r>
      <w:r>
        <w:rPr>
          <w:spacing w:val="-3"/>
        </w:rPr>
        <w:t>to </w:t>
      </w:r>
      <w:r>
        <w:rPr/>
        <w:t>10 </w:t>
      </w:r>
      <w:r>
        <w:rPr>
          <w:spacing w:val="-4"/>
        </w:rPr>
        <w:t>decimal). Thus, there </w:t>
      </w:r>
      <w:r>
        <w:rPr>
          <w:spacing w:val="-3"/>
        </w:rPr>
        <w:t>are </w:t>
      </w:r>
      <w:r>
        <w:rPr/>
        <w:t>a </w:t>
      </w:r>
      <w:r>
        <w:rPr>
          <w:spacing w:val="-3"/>
        </w:rPr>
        <w:t>total of 11 </w:t>
      </w:r>
      <w:r>
        <w:rPr>
          <w:spacing w:val="-4"/>
        </w:rPr>
        <w:t>valid </w:t>
      </w:r>
      <w:r>
        <w:rPr>
          <w:spacing w:val="-3"/>
        </w:rPr>
        <w:t>ADC </w:t>
      </w:r>
      <w:r>
        <w:rPr>
          <w:spacing w:val="-4"/>
        </w:rPr>
        <w:t>handles </w:t>
      </w:r>
      <w:r>
        <w:rPr>
          <w:spacing w:val="-3"/>
        </w:rPr>
        <w:t>in </w:t>
      </w:r>
      <w:r>
        <w:rPr/>
        <w:t>the </w:t>
      </w:r>
      <w:r>
        <w:rPr>
          <w:spacing w:val="-4"/>
        </w:rPr>
        <w:t>71M6543 devices. </w:t>
      </w:r>
      <w:r>
        <w:rPr>
          <w:spacing w:val="-3"/>
        </w:rPr>
        <w:t>For </w:t>
      </w:r>
      <w:r>
        <w:rPr>
          <w:spacing w:val="-4"/>
        </w:rPr>
        <w:t>example, </w:t>
      </w:r>
      <w:r>
        <w:rPr>
          <w:spacing w:val="-3"/>
        </w:rPr>
        <w:t>if </w:t>
      </w:r>
      <w:r>
        <w:rPr>
          <w:rFonts w:ascii="Times New Roman" w:hAnsi="Times New Roman"/>
          <w:i/>
          <w:spacing w:val="-4"/>
        </w:rPr>
        <w:t>MUX0_SEL[3:0] </w:t>
      </w:r>
      <w:r>
        <w:rPr/>
        <w:t>= 0, </w:t>
      </w:r>
      <w:r>
        <w:rPr>
          <w:spacing w:val="-3"/>
        </w:rPr>
        <w:t>then IADC0, corresponding </w:t>
      </w:r>
      <w:r>
        <w:rPr/>
        <w:t>to the </w:t>
      </w:r>
      <w:r>
        <w:rPr>
          <w:spacing w:val="-3"/>
        </w:rPr>
        <w:t>sample from </w:t>
      </w:r>
      <w:r>
        <w:rPr/>
        <w:t>the </w:t>
      </w:r>
      <w:r>
        <w:rPr>
          <w:spacing w:val="-3"/>
        </w:rPr>
        <w:t>IADC0-IADC1 </w:t>
      </w:r>
      <w:r>
        <w:rPr>
          <w:spacing w:val="-4"/>
        </w:rPr>
        <w:t>input </w:t>
      </w:r>
      <w:r>
        <w:rPr>
          <w:spacing w:val="-3"/>
        </w:rPr>
        <w:t>(configured </w:t>
      </w:r>
      <w:r>
        <w:rPr/>
        <w:t>as a </w:t>
      </w:r>
      <w:r>
        <w:rPr>
          <w:spacing w:val="-4"/>
        </w:rPr>
        <w:t>differential </w:t>
      </w:r>
      <w:r>
        <w:rPr>
          <w:spacing w:val="-3"/>
        </w:rPr>
        <w:t>input), </w:t>
      </w:r>
      <w:r>
        <w:rPr/>
        <w:t>is </w:t>
      </w:r>
      <w:r>
        <w:rPr>
          <w:spacing w:val="-3"/>
        </w:rPr>
        <w:t>positioned </w:t>
      </w:r>
      <w:r>
        <w:rPr/>
        <w:t>in the </w:t>
      </w:r>
      <w:r>
        <w:rPr>
          <w:spacing w:val="-3"/>
        </w:rPr>
        <w:t>multiplexer </w:t>
      </w:r>
      <w:r>
        <w:rPr/>
        <w:t>frame </w:t>
      </w:r>
      <w:r>
        <w:rPr>
          <w:spacing w:val="-3"/>
        </w:rPr>
        <w:t>during </w:t>
      </w:r>
      <w:r>
        <w:rPr/>
        <w:t>time </w:t>
      </w:r>
      <w:r>
        <w:rPr>
          <w:spacing w:val="-3"/>
        </w:rPr>
        <w:t>slot </w:t>
      </w:r>
      <w:r>
        <w:rPr/>
        <w:t>0. See </w:t>
      </w:r>
      <w:hyperlink w:history="true" w:anchor="_bookmark9">
        <w:r>
          <w:rPr>
            <w:color w:val="0000FF"/>
          </w:rPr>
          <w:t>Table 1 </w:t>
        </w:r>
      </w:hyperlink>
      <w:r>
        <w:rPr/>
        <w:t>and </w:t>
      </w:r>
      <w:hyperlink w:history="true" w:anchor="_bookmark10">
        <w:r>
          <w:rPr>
            <w:color w:val="0000FF"/>
          </w:rPr>
          <w:t>Table 2 </w:t>
        </w:r>
      </w:hyperlink>
      <w:r>
        <w:rPr/>
        <w:t>for the appropriate </w:t>
      </w:r>
      <w:r>
        <w:rPr>
          <w:rFonts w:ascii="Times New Roman" w:hAnsi="Times New Roman"/>
          <w:i/>
        </w:rPr>
        <w:t>MUXn_SEL[3:0] </w:t>
      </w:r>
      <w:r>
        <w:rPr/>
        <w:t>settings and other settings applicable to a particular </w:t>
      </w:r>
      <w:r>
        <w:rPr>
          <w:spacing w:val="2"/>
        </w:rPr>
        <w:t>meter </w:t>
      </w:r>
      <w:r>
        <w:rPr/>
        <w:t>configuration and CE</w:t>
      </w:r>
      <w:r>
        <w:rPr>
          <w:spacing w:val="10"/>
        </w:rPr>
        <w:t> </w:t>
      </w:r>
      <w:r>
        <w:rPr/>
        <w:t>code.</w:t>
      </w:r>
    </w:p>
    <w:p>
      <w:pPr>
        <w:pStyle w:val="BodyText"/>
        <w:spacing w:before="122"/>
        <w:ind w:left="617" w:right="582"/>
      </w:pPr>
      <w:r>
        <w:rPr/>
        <w:t>Note that when </w:t>
      </w:r>
      <w:r>
        <w:rPr>
          <w:spacing w:val="2"/>
        </w:rPr>
        <w:t>the remote </w:t>
      </w:r>
      <w:r>
        <w:rPr/>
        <w:t>sensor interface is enabled, the samples corresponding to the </w:t>
      </w:r>
      <w:r>
        <w:rPr>
          <w:spacing w:val="2"/>
        </w:rPr>
        <w:t>remote    </w:t>
      </w:r>
      <w:r>
        <w:rPr/>
        <w:t>sensor currents do not pass through the 71M6543 multiplexer. The sampling of the remote current sensors occurs in the second half of the multiplexer frame. The VA, VB and VC voltages are assigned  the last three slots in the frame. </w:t>
      </w:r>
      <w:r>
        <w:rPr>
          <w:spacing w:val="2"/>
        </w:rPr>
        <w:t>With </w:t>
      </w:r>
      <w:r>
        <w:rPr/>
        <w:t>this slot assignment for VA, VB and VC, the sampling of the corresponding remote sensor currents bears a precise timing relationship to their corresponding phase voltages,</w:t>
      </w:r>
      <w:r>
        <w:rPr>
          <w:spacing w:val="9"/>
        </w:rPr>
        <w:t> </w:t>
      </w:r>
      <w:r>
        <w:rPr/>
        <w:t>and</w:t>
      </w:r>
      <w:r>
        <w:rPr>
          <w:spacing w:val="8"/>
        </w:rPr>
        <w:t> </w:t>
      </w:r>
      <w:r>
        <w:rPr/>
        <w:t>delay</w:t>
      </w:r>
      <w:r>
        <w:rPr>
          <w:spacing w:val="5"/>
        </w:rPr>
        <w:t> </w:t>
      </w:r>
      <w:r>
        <w:rPr/>
        <w:t>compensation</w:t>
      </w:r>
      <w:r>
        <w:rPr>
          <w:spacing w:val="8"/>
        </w:rPr>
        <w:t> </w:t>
      </w:r>
      <w:r>
        <w:rPr/>
        <w:t>is</w:t>
      </w:r>
      <w:r>
        <w:rPr>
          <w:spacing w:val="10"/>
        </w:rPr>
        <w:t> </w:t>
      </w:r>
      <w:r>
        <w:rPr/>
        <w:t>accurately</w:t>
      </w:r>
      <w:r>
        <w:rPr>
          <w:spacing w:val="5"/>
        </w:rPr>
        <w:t> </w:t>
      </w:r>
      <w:r>
        <w:rPr/>
        <w:t>performed</w:t>
      </w:r>
      <w:r>
        <w:rPr>
          <w:spacing w:val="8"/>
        </w:rPr>
        <w:t> </w:t>
      </w:r>
      <w:r>
        <w:rPr/>
        <w:t>(see</w:t>
      </w:r>
      <w:r>
        <w:rPr>
          <w:spacing w:val="15"/>
        </w:rPr>
        <w:t> </w:t>
      </w:r>
      <w:hyperlink w:history="true" w:anchor="_bookmark14">
        <w:r>
          <w:rPr>
            <w:color w:val="0000FF"/>
          </w:rPr>
          <w:t>2.2.3</w:t>
        </w:r>
        <w:r>
          <w:rPr>
            <w:color w:val="0000FF"/>
            <w:spacing w:val="9"/>
          </w:rPr>
          <w:t> </w:t>
        </w:r>
      </w:hyperlink>
      <w:hyperlink w:history="true" w:anchor="_bookmark14">
        <w:r>
          <w:rPr>
            <w:color w:val="0000FF"/>
          </w:rPr>
          <w:t>Delay</w:t>
        </w:r>
        <w:r>
          <w:rPr>
            <w:color w:val="0000FF"/>
            <w:spacing w:val="1"/>
          </w:rPr>
          <w:t> </w:t>
        </w:r>
        <w:r>
          <w:rPr>
            <w:color w:val="0000FF"/>
          </w:rPr>
          <w:t>Compensation</w:t>
        </w:r>
        <w:r>
          <w:rPr>
            <w:color w:val="0000FF"/>
            <w:spacing w:val="9"/>
          </w:rPr>
          <w:t> </w:t>
        </w:r>
      </w:hyperlink>
      <w:r>
        <w:rPr/>
        <w:t>on</w:t>
      </w:r>
      <w:r>
        <w:rPr>
          <w:spacing w:val="8"/>
        </w:rPr>
        <w:t> </w:t>
      </w:r>
      <w:r>
        <w:rPr/>
        <w:t>page</w:t>
      </w:r>
      <w:r>
        <w:rPr>
          <w:spacing w:val="10"/>
        </w:rPr>
        <w:t> </w:t>
      </w:r>
      <w:hyperlink w:history="true" w:anchor="_bookmark14">
        <w:r>
          <w:rPr>
            <w:color w:val="0000FF"/>
          </w:rPr>
          <w:t>19</w:t>
        </w:r>
      </w:hyperlink>
      <w:r>
        <w:rPr/>
        <w:t>).</w:t>
      </w:r>
    </w:p>
    <w:p>
      <w:pPr>
        <w:pStyle w:val="BodyText"/>
        <w:spacing w:before="119"/>
        <w:ind w:left="619" w:right="617"/>
      </w:pPr>
      <w:r>
        <w:rPr/>
        <w:t>Also when using </w:t>
      </w:r>
      <w:r>
        <w:rPr>
          <w:spacing w:val="2"/>
        </w:rPr>
        <w:t>remote </w:t>
      </w:r>
      <w:r>
        <w:rPr/>
        <w:t>sensors, it is necessary to introduce unused slots to realize the number of    slots specified by the </w:t>
      </w:r>
      <w:r>
        <w:rPr>
          <w:rFonts w:ascii="Times New Roman" w:hAnsi="Times New Roman"/>
          <w:i/>
        </w:rPr>
        <w:t>MUX_DIV[3:0] </w:t>
      </w:r>
      <w:r>
        <w:rPr/>
        <w:t>(</w:t>
      </w:r>
      <w:r>
        <w:rPr>
          <w:rFonts w:ascii="Times New Roman" w:hAnsi="Times New Roman"/>
          <w:i/>
        </w:rPr>
        <w:t>I/O RAM 0x2100[7:4]</w:t>
      </w:r>
      <w:r>
        <w:rPr/>
        <w:t>) field setting (see </w:t>
      </w:r>
      <w:hyperlink w:history="true" w:anchor="_bookmark11">
        <w:r>
          <w:rPr>
            <w:color w:val="0000FF"/>
          </w:rPr>
          <w:t>Figure 4 </w:t>
        </w:r>
      </w:hyperlink>
      <w:r>
        <w:rPr/>
        <w:t>and </w:t>
      </w:r>
      <w:hyperlink w:history="true" w:anchor="_bookmark12">
        <w:r>
          <w:rPr>
            <w:color w:val="0000FF"/>
          </w:rPr>
          <w:t>Figure 5</w:t>
        </w:r>
      </w:hyperlink>
      <w:r>
        <w:rPr/>
        <w:t>). </w:t>
      </w:r>
      <w:r>
        <w:rPr>
          <w:spacing w:val="2"/>
        </w:rPr>
        <w:t>The </w:t>
      </w:r>
      <w:r>
        <w:rPr>
          <w:rFonts w:ascii="Times New Roman" w:hAnsi="Times New Roman"/>
          <w:i/>
        </w:rPr>
        <w:t>MUXn_SEL[3:0] </w:t>
      </w:r>
      <w:r>
        <w:rPr/>
        <w:t>control fields for these unused (“dummy”) slots must be written with a valid ADC handle (i.e., 0 to 10 decimal) that is not otherwise being used. In this manner, the unused ADC handle, is used as a “dummy” place holder in the multiplexer frame, and the correct duration multiplexer </w:t>
      </w:r>
      <w:r>
        <w:rPr>
          <w:spacing w:val="2"/>
        </w:rPr>
        <w:t>frame   </w:t>
      </w:r>
      <w:r>
        <w:rPr/>
        <w:t>sequence is generated and also the desired sample rate. The resulting sample data stored in the CE RAM location corresponding to the “dummy” ADC handle is ignored by the CE code. Meanwhile, </w:t>
      </w:r>
      <w:r>
        <w:rPr>
          <w:spacing w:val="2"/>
        </w:rPr>
        <w:t>the </w:t>
      </w:r>
      <w:r>
        <w:rPr/>
        <w:t>digital isolation interface takes care of automatically storing the samples for the remote current sensors  in the appropriate CE RAM</w:t>
      </w:r>
      <w:r>
        <w:rPr>
          <w:spacing w:val="19"/>
        </w:rPr>
        <w:t> </w:t>
      </w:r>
      <w:r>
        <w:rPr/>
        <w:t>locations.</w:t>
      </w:r>
    </w:p>
    <w:p>
      <w:pPr>
        <w:spacing w:after="0"/>
        <w:sectPr>
          <w:pgSz w:w="12240" w:h="15840"/>
          <w:pgMar w:header="727" w:footer="819" w:top="960" w:bottom="1000" w:left="820" w:right="860"/>
        </w:sectPr>
      </w:pPr>
    </w:p>
    <w:p>
      <w:pPr>
        <w:pStyle w:val="BodyText"/>
        <w:spacing w:before="8"/>
        <w:rPr>
          <w:sz w:val="12"/>
        </w:rPr>
      </w:pPr>
    </w:p>
    <w:p>
      <w:pPr>
        <w:spacing w:line="240" w:lineRule="auto" w:before="93"/>
        <w:ind w:left="1340" w:right="675" w:firstLine="0"/>
        <w:jc w:val="left"/>
        <w:rPr>
          <w:sz w:val="20"/>
        </w:rPr>
      </w:pPr>
      <w:r>
        <w:rPr/>
        <w:drawing>
          <wp:anchor distT="0" distB="0" distL="0" distR="0" allowOverlap="1" layoutInCell="1" locked="0" behindDoc="0" simplePos="0" relativeHeight="15740928">
            <wp:simplePos x="0" y="0"/>
            <wp:positionH relativeFrom="page">
              <wp:posOffset>928744</wp:posOffset>
            </wp:positionH>
            <wp:positionV relativeFrom="paragraph">
              <wp:posOffset>76960</wp:posOffset>
            </wp:positionV>
            <wp:extent cx="183140" cy="288923"/>
            <wp:effectExtent l="0" t="0" r="0" b="0"/>
            <wp:wrapNone/>
            <wp:docPr id="7" name="image64.png" descr="checkmark_-bottomheavy-60-blue"/>
            <wp:cNvGraphicFramePr>
              <a:graphicFrameLocks noChangeAspect="1"/>
            </wp:cNvGraphicFramePr>
            <a:graphic>
              <a:graphicData uri="http://schemas.openxmlformats.org/drawingml/2006/picture">
                <pic:pic>
                  <pic:nvPicPr>
                    <pic:cNvPr id="8" name="image64.png"/>
                    <pic:cNvPicPr/>
                  </pic:nvPicPr>
                  <pic:blipFill>
                    <a:blip r:embed="rId73" cstate="print"/>
                    <a:stretch>
                      <a:fillRect/>
                    </a:stretch>
                  </pic:blipFill>
                  <pic:spPr>
                    <a:xfrm>
                      <a:off x="0" y="0"/>
                      <a:ext cx="183140" cy="288923"/>
                    </a:xfrm>
                    <a:prstGeom prst="rect">
                      <a:avLst/>
                    </a:prstGeom>
                  </pic:spPr>
                </pic:pic>
              </a:graphicData>
            </a:graphic>
          </wp:anchor>
        </w:drawing>
      </w:r>
      <w:r>
        <w:rPr>
          <w:sz w:val="20"/>
        </w:rPr>
        <w:t>Delay compensation and other functions in the CE code require the settings for </w:t>
      </w:r>
      <w:r>
        <w:rPr>
          <w:rFonts w:ascii="Times New Roman"/>
          <w:i/>
          <w:sz w:val="20"/>
        </w:rPr>
        <w:t>MUX_DIV[3:0], </w:t>
      </w:r>
      <w:r>
        <w:rPr>
          <w:rFonts w:ascii="Times New Roman"/>
          <w:i/>
          <w:sz w:val="20"/>
        </w:rPr>
        <w:t>MUXn_SEL[3:0], RMT_E, FIR_LEN[1:0], ADC_DIV </w:t>
      </w:r>
      <w:r>
        <w:rPr>
          <w:sz w:val="20"/>
        </w:rPr>
        <w:t>and </w:t>
      </w:r>
      <w:r>
        <w:rPr>
          <w:rFonts w:ascii="Times New Roman"/>
          <w:i/>
          <w:sz w:val="20"/>
        </w:rPr>
        <w:t>PLL_FAST </w:t>
      </w:r>
      <w:r>
        <w:rPr>
          <w:sz w:val="20"/>
        </w:rPr>
        <w:t>to be fixed for a given CE code. Refer to </w:t>
      </w:r>
      <w:hyperlink w:history="true" w:anchor="_bookmark9">
        <w:r>
          <w:rPr>
            <w:color w:val="0000FF"/>
            <w:sz w:val="20"/>
          </w:rPr>
          <w:t>Table 1 </w:t>
        </w:r>
      </w:hyperlink>
      <w:r>
        <w:rPr>
          <w:sz w:val="20"/>
        </w:rPr>
        <w:t>and </w:t>
      </w:r>
      <w:hyperlink w:history="true" w:anchor="_bookmark10">
        <w:r>
          <w:rPr>
            <w:color w:val="0000FF"/>
            <w:sz w:val="20"/>
          </w:rPr>
          <w:t>Table 2 </w:t>
        </w:r>
      </w:hyperlink>
      <w:r>
        <w:rPr>
          <w:sz w:val="20"/>
        </w:rPr>
        <w:t>for the settings that are applicable to the 71M6543.</w:t>
      </w:r>
    </w:p>
    <w:p>
      <w:pPr>
        <w:pStyle w:val="BodyText"/>
        <w:spacing w:before="2"/>
        <w:rPr>
          <w:sz w:val="12"/>
        </w:rPr>
      </w:pPr>
    </w:p>
    <w:p>
      <w:pPr>
        <w:pStyle w:val="BodyText"/>
        <w:spacing w:before="93"/>
        <w:ind w:left="619" w:right="561"/>
      </w:pPr>
      <w:hyperlink w:history="true" w:anchor="_bookmark13">
        <w:r>
          <w:rPr>
            <w:color w:val="0000FF"/>
          </w:rPr>
          <w:t>Table 3 </w:t>
        </w:r>
      </w:hyperlink>
      <w:r>
        <w:rPr/>
        <w:t>summarizes the I/O RAM registers used for configuring the multiplexer, signals pins, and ADC. All listed registers are 0 after reset and wake from battery modes, and are readable and writable.</w:t>
      </w:r>
    </w:p>
    <w:p>
      <w:pPr>
        <w:pStyle w:val="Heading1"/>
        <w:spacing w:before="118"/>
        <w:ind w:left="1312" w:right="1278"/>
      </w:pPr>
      <w:bookmarkStart w:name="_bookmark13" w:id="26"/>
      <w:bookmarkEnd w:id="26"/>
      <w:r>
        <w:rPr>
          <w:b w:val="0"/>
        </w:rPr>
      </w:r>
      <w:r>
        <w:rPr/>
        <w:t>Table 3: Multiplexer and ADC Configuration Bits</w:t>
      </w:r>
    </w:p>
    <w:p>
      <w:pPr>
        <w:pStyle w:val="BodyText"/>
        <w:spacing w:before="8"/>
        <w:rPr>
          <w:b/>
          <w:sz w:val="5"/>
        </w:rPr>
      </w:pPr>
    </w:p>
    <w:tbl>
      <w:tblPr>
        <w:tblW w:w="0" w:type="auto"/>
        <w:jc w:val="left"/>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998"/>
        <w:gridCol w:w="6806"/>
      </w:tblGrid>
      <w:tr>
        <w:trPr>
          <w:trHeight w:val="285" w:hRule="atLeast"/>
        </w:trPr>
        <w:tc>
          <w:tcPr>
            <w:tcW w:w="1555" w:type="dxa"/>
          </w:tcPr>
          <w:p>
            <w:pPr>
              <w:pStyle w:val="TableParagraph"/>
              <w:spacing w:before="32"/>
              <w:ind w:left="107"/>
              <w:rPr>
                <w:b/>
                <w:sz w:val="18"/>
              </w:rPr>
            </w:pPr>
            <w:r>
              <w:rPr>
                <w:b/>
                <w:sz w:val="18"/>
              </w:rPr>
              <w:t>Name</w:t>
            </w:r>
          </w:p>
        </w:tc>
        <w:tc>
          <w:tcPr>
            <w:tcW w:w="998" w:type="dxa"/>
          </w:tcPr>
          <w:p>
            <w:pPr>
              <w:pStyle w:val="TableParagraph"/>
              <w:spacing w:before="32"/>
              <w:ind w:left="61" w:right="78"/>
              <w:jc w:val="center"/>
              <w:rPr>
                <w:b/>
                <w:sz w:val="18"/>
              </w:rPr>
            </w:pPr>
            <w:r>
              <w:rPr>
                <w:b/>
                <w:sz w:val="18"/>
              </w:rPr>
              <w:t>Location</w:t>
            </w:r>
          </w:p>
        </w:tc>
        <w:tc>
          <w:tcPr>
            <w:tcW w:w="6806" w:type="dxa"/>
          </w:tcPr>
          <w:p>
            <w:pPr>
              <w:pStyle w:val="TableParagraph"/>
              <w:spacing w:before="32"/>
              <w:ind w:left="108"/>
              <w:rPr>
                <w:b/>
                <w:sz w:val="18"/>
              </w:rPr>
            </w:pPr>
            <w:r>
              <w:rPr>
                <w:b/>
                <w:sz w:val="18"/>
              </w:rPr>
              <w:t>Description</w:t>
            </w:r>
          </w:p>
        </w:tc>
      </w:tr>
      <w:tr>
        <w:trPr>
          <w:trHeight w:val="246" w:hRule="atLeast"/>
        </w:trPr>
        <w:tc>
          <w:tcPr>
            <w:tcW w:w="1555" w:type="dxa"/>
          </w:tcPr>
          <w:p>
            <w:pPr>
              <w:pStyle w:val="TableParagraph"/>
              <w:spacing w:before="14"/>
              <w:ind w:left="150"/>
              <w:rPr>
                <w:rFonts w:ascii="Times New Roman"/>
                <w:i/>
                <w:sz w:val="18"/>
              </w:rPr>
            </w:pPr>
            <w:r>
              <w:rPr>
                <w:rFonts w:ascii="Times New Roman"/>
                <w:i/>
                <w:sz w:val="18"/>
              </w:rPr>
              <w:t>MUX0_SEL[3:0]</w:t>
            </w:r>
          </w:p>
        </w:tc>
        <w:tc>
          <w:tcPr>
            <w:tcW w:w="998" w:type="dxa"/>
          </w:tcPr>
          <w:p>
            <w:pPr>
              <w:pStyle w:val="TableParagraph"/>
              <w:spacing w:before="18"/>
              <w:ind w:left="88" w:right="78"/>
              <w:jc w:val="center"/>
              <w:rPr>
                <w:sz w:val="18"/>
              </w:rPr>
            </w:pPr>
            <w:r>
              <w:rPr>
                <w:sz w:val="18"/>
              </w:rPr>
              <w:t>2105[3:0]</w:t>
            </w:r>
          </w:p>
        </w:tc>
        <w:tc>
          <w:tcPr>
            <w:tcW w:w="6806" w:type="dxa"/>
          </w:tcPr>
          <w:p>
            <w:pPr>
              <w:pStyle w:val="TableParagraph"/>
              <w:spacing w:before="18"/>
              <w:ind w:left="108"/>
              <w:rPr>
                <w:sz w:val="18"/>
              </w:rPr>
            </w:pPr>
            <w:r>
              <w:rPr>
                <w:sz w:val="18"/>
              </w:rPr>
              <w:t>Selects the ADC input converted during time slot 0.</w:t>
            </w:r>
          </w:p>
        </w:tc>
      </w:tr>
      <w:tr>
        <w:trPr>
          <w:trHeight w:val="246" w:hRule="atLeast"/>
        </w:trPr>
        <w:tc>
          <w:tcPr>
            <w:tcW w:w="1555" w:type="dxa"/>
          </w:tcPr>
          <w:p>
            <w:pPr>
              <w:pStyle w:val="TableParagraph"/>
              <w:spacing w:before="14"/>
              <w:ind w:left="150"/>
              <w:rPr>
                <w:rFonts w:ascii="Times New Roman"/>
                <w:i/>
                <w:sz w:val="18"/>
              </w:rPr>
            </w:pPr>
            <w:r>
              <w:rPr>
                <w:rFonts w:ascii="Times New Roman"/>
                <w:i/>
                <w:sz w:val="18"/>
              </w:rPr>
              <w:t>MUX1_SEL[3:0]</w:t>
            </w:r>
          </w:p>
        </w:tc>
        <w:tc>
          <w:tcPr>
            <w:tcW w:w="998" w:type="dxa"/>
          </w:tcPr>
          <w:p>
            <w:pPr>
              <w:pStyle w:val="TableParagraph"/>
              <w:spacing w:before="18"/>
              <w:ind w:left="88" w:right="78"/>
              <w:jc w:val="center"/>
              <w:rPr>
                <w:sz w:val="18"/>
              </w:rPr>
            </w:pPr>
            <w:r>
              <w:rPr>
                <w:sz w:val="18"/>
              </w:rPr>
              <w:t>2105[7:4]</w:t>
            </w:r>
          </w:p>
        </w:tc>
        <w:tc>
          <w:tcPr>
            <w:tcW w:w="6806" w:type="dxa"/>
          </w:tcPr>
          <w:p>
            <w:pPr>
              <w:pStyle w:val="TableParagraph"/>
              <w:spacing w:before="18"/>
              <w:ind w:left="108"/>
              <w:rPr>
                <w:sz w:val="18"/>
              </w:rPr>
            </w:pPr>
            <w:r>
              <w:rPr>
                <w:sz w:val="18"/>
              </w:rPr>
              <w:t>Selects the ADC input converted during time slot 1.</w:t>
            </w:r>
          </w:p>
        </w:tc>
      </w:tr>
      <w:tr>
        <w:trPr>
          <w:trHeight w:val="246" w:hRule="atLeast"/>
        </w:trPr>
        <w:tc>
          <w:tcPr>
            <w:tcW w:w="1555" w:type="dxa"/>
          </w:tcPr>
          <w:p>
            <w:pPr>
              <w:pStyle w:val="TableParagraph"/>
              <w:spacing w:before="16"/>
              <w:ind w:left="150"/>
              <w:rPr>
                <w:rFonts w:ascii="Times New Roman"/>
                <w:i/>
                <w:sz w:val="18"/>
              </w:rPr>
            </w:pPr>
            <w:r>
              <w:rPr>
                <w:rFonts w:ascii="Times New Roman"/>
                <w:i/>
                <w:sz w:val="18"/>
              </w:rPr>
              <w:t>MUX2_SEL[3:0]</w:t>
            </w:r>
          </w:p>
        </w:tc>
        <w:tc>
          <w:tcPr>
            <w:tcW w:w="998" w:type="dxa"/>
          </w:tcPr>
          <w:p>
            <w:pPr>
              <w:pStyle w:val="TableParagraph"/>
              <w:spacing w:line="206" w:lineRule="exact" w:before="20"/>
              <w:ind w:left="88" w:right="78"/>
              <w:jc w:val="center"/>
              <w:rPr>
                <w:sz w:val="18"/>
              </w:rPr>
            </w:pPr>
            <w:r>
              <w:rPr>
                <w:sz w:val="18"/>
              </w:rPr>
              <w:t>2104[3:0]</w:t>
            </w:r>
          </w:p>
        </w:tc>
        <w:tc>
          <w:tcPr>
            <w:tcW w:w="6806" w:type="dxa"/>
          </w:tcPr>
          <w:p>
            <w:pPr>
              <w:pStyle w:val="TableParagraph"/>
              <w:spacing w:line="206" w:lineRule="exact" w:before="20"/>
              <w:ind w:left="108"/>
              <w:rPr>
                <w:sz w:val="18"/>
              </w:rPr>
            </w:pPr>
            <w:r>
              <w:rPr>
                <w:sz w:val="18"/>
              </w:rPr>
              <w:t>Selects the ADC input converted during time slot 2.</w:t>
            </w:r>
          </w:p>
        </w:tc>
      </w:tr>
      <w:tr>
        <w:trPr>
          <w:trHeight w:val="249" w:hRule="atLeast"/>
        </w:trPr>
        <w:tc>
          <w:tcPr>
            <w:tcW w:w="1555" w:type="dxa"/>
          </w:tcPr>
          <w:p>
            <w:pPr>
              <w:pStyle w:val="TableParagraph"/>
              <w:spacing w:before="16"/>
              <w:ind w:left="150"/>
              <w:rPr>
                <w:rFonts w:ascii="Times New Roman"/>
                <w:i/>
                <w:sz w:val="18"/>
              </w:rPr>
            </w:pPr>
            <w:r>
              <w:rPr>
                <w:rFonts w:ascii="Times New Roman"/>
                <w:i/>
                <w:sz w:val="18"/>
              </w:rPr>
              <w:t>MUX3_SEL[3:0]</w:t>
            </w:r>
          </w:p>
        </w:tc>
        <w:tc>
          <w:tcPr>
            <w:tcW w:w="998" w:type="dxa"/>
          </w:tcPr>
          <w:p>
            <w:pPr>
              <w:pStyle w:val="TableParagraph"/>
              <w:spacing w:before="20"/>
              <w:ind w:left="88" w:right="78"/>
              <w:jc w:val="center"/>
              <w:rPr>
                <w:sz w:val="18"/>
              </w:rPr>
            </w:pPr>
            <w:r>
              <w:rPr>
                <w:sz w:val="18"/>
              </w:rPr>
              <w:t>2104[7:4]</w:t>
            </w:r>
          </w:p>
        </w:tc>
        <w:tc>
          <w:tcPr>
            <w:tcW w:w="6806" w:type="dxa"/>
          </w:tcPr>
          <w:p>
            <w:pPr>
              <w:pStyle w:val="TableParagraph"/>
              <w:spacing w:before="20"/>
              <w:ind w:left="108"/>
              <w:rPr>
                <w:sz w:val="18"/>
              </w:rPr>
            </w:pPr>
            <w:r>
              <w:rPr>
                <w:sz w:val="18"/>
              </w:rPr>
              <w:t>Selects the ADC input converted during time slot 3.</w:t>
            </w:r>
          </w:p>
        </w:tc>
      </w:tr>
      <w:tr>
        <w:trPr>
          <w:trHeight w:val="239" w:hRule="atLeast"/>
        </w:trPr>
        <w:tc>
          <w:tcPr>
            <w:tcW w:w="1555" w:type="dxa"/>
          </w:tcPr>
          <w:p>
            <w:pPr>
              <w:pStyle w:val="TableParagraph"/>
              <w:spacing w:line="205" w:lineRule="exact" w:before="14"/>
              <w:ind w:left="150"/>
              <w:rPr>
                <w:rFonts w:ascii="Times New Roman"/>
                <w:i/>
                <w:sz w:val="18"/>
              </w:rPr>
            </w:pPr>
            <w:r>
              <w:rPr>
                <w:rFonts w:ascii="Times New Roman"/>
                <w:i/>
                <w:sz w:val="18"/>
              </w:rPr>
              <w:t>MUX4_SEL[3:0]</w:t>
            </w:r>
          </w:p>
        </w:tc>
        <w:tc>
          <w:tcPr>
            <w:tcW w:w="998" w:type="dxa"/>
          </w:tcPr>
          <w:p>
            <w:pPr>
              <w:pStyle w:val="TableParagraph"/>
              <w:spacing w:line="201" w:lineRule="exact" w:before="18"/>
              <w:ind w:left="88" w:right="78"/>
              <w:jc w:val="center"/>
              <w:rPr>
                <w:sz w:val="18"/>
              </w:rPr>
            </w:pPr>
            <w:r>
              <w:rPr>
                <w:sz w:val="18"/>
              </w:rPr>
              <w:t>2103[3:0]</w:t>
            </w:r>
          </w:p>
        </w:tc>
        <w:tc>
          <w:tcPr>
            <w:tcW w:w="6806" w:type="dxa"/>
          </w:tcPr>
          <w:p>
            <w:pPr>
              <w:pStyle w:val="TableParagraph"/>
              <w:spacing w:line="201" w:lineRule="exact" w:before="18"/>
              <w:ind w:left="108"/>
              <w:rPr>
                <w:sz w:val="18"/>
              </w:rPr>
            </w:pPr>
            <w:r>
              <w:rPr>
                <w:sz w:val="18"/>
              </w:rPr>
              <w:t>Selects the ADC input converted during time slot 4.</w:t>
            </w:r>
          </w:p>
        </w:tc>
      </w:tr>
      <w:tr>
        <w:trPr>
          <w:trHeight w:val="242" w:hRule="atLeast"/>
        </w:trPr>
        <w:tc>
          <w:tcPr>
            <w:tcW w:w="1555" w:type="dxa"/>
          </w:tcPr>
          <w:p>
            <w:pPr>
              <w:pStyle w:val="TableParagraph"/>
              <w:spacing w:before="14"/>
              <w:ind w:left="150"/>
              <w:rPr>
                <w:rFonts w:ascii="Times New Roman"/>
                <w:i/>
                <w:sz w:val="18"/>
              </w:rPr>
            </w:pPr>
            <w:r>
              <w:rPr>
                <w:rFonts w:ascii="Times New Roman"/>
                <w:i/>
                <w:sz w:val="18"/>
              </w:rPr>
              <w:t>MUX5_SEL[3:0]</w:t>
            </w:r>
          </w:p>
        </w:tc>
        <w:tc>
          <w:tcPr>
            <w:tcW w:w="998" w:type="dxa"/>
          </w:tcPr>
          <w:p>
            <w:pPr>
              <w:pStyle w:val="TableParagraph"/>
              <w:spacing w:line="204" w:lineRule="exact" w:before="18"/>
              <w:ind w:left="88" w:right="78"/>
              <w:jc w:val="center"/>
              <w:rPr>
                <w:sz w:val="18"/>
              </w:rPr>
            </w:pPr>
            <w:r>
              <w:rPr>
                <w:sz w:val="18"/>
              </w:rPr>
              <w:t>2103[7:4]</w:t>
            </w:r>
          </w:p>
        </w:tc>
        <w:tc>
          <w:tcPr>
            <w:tcW w:w="6806" w:type="dxa"/>
          </w:tcPr>
          <w:p>
            <w:pPr>
              <w:pStyle w:val="TableParagraph"/>
              <w:spacing w:line="204" w:lineRule="exact" w:before="18"/>
              <w:ind w:left="108"/>
              <w:rPr>
                <w:sz w:val="18"/>
              </w:rPr>
            </w:pPr>
            <w:r>
              <w:rPr>
                <w:sz w:val="18"/>
              </w:rPr>
              <w:t>Selects the ADC input converted during time slot 5.</w:t>
            </w:r>
          </w:p>
        </w:tc>
      </w:tr>
      <w:tr>
        <w:trPr>
          <w:trHeight w:val="239" w:hRule="atLeast"/>
        </w:trPr>
        <w:tc>
          <w:tcPr>
            <w:tcW w:w="1555" w:type="dxa"/>
          </w:tcPr>
          <w:p>
            <w:pPr>
              <w:pStyle w:val="TableParagraph"/>
              <w:spacing w:line="205" w:lineRule="exact" w:before="14"/>
              <w:ind w:left="150"/>
              <w:rPr>
                <w:rFonts w:ascii="Times New Roman"/>
                <w:i/>
                <w:sz w:val="18"/>
              </w:rPr>
            </w:pPr>
            <w:r>
              <w:rPr>
                <w:rFonts w:ascii="Times New Roman"/>
                <w:i/>
                <w:sz w:val="18"/>
              </w:rPr>
              <w:t>MUX6_SEL[3:0]</w:t>
            </w:r>
          </w:p>
        </w:tc>
        <w:tc>
          <w:tcPr>
            <w:tcW w:w="998" w:type="dxa"/>
          </w:tcPr>
          <w:p>
            <w:pPr>
              <w:pStyle w:val="TableParagraph"/>
              <w:spacing w:line="201" w:lineRule="exact" w:before="18"/>
              <w:ind w:left="88" w:right="78"/>
              <w:jc w:val="center"/>
              <w:rPr>
                <w:sz w:val="18"/>
              </w:rPr>
            </w:pPr>
            <w:r>
              <w:rPr>
                <w:sz w:val="18"/>
              </w:rPr>
              <w:t>2102[3:0]</w:t>
            </w:r>
          </w:p>
        </w:tc>
        <w:tc>
          <w:tcPr>
            <w:tcW w:w="6806" w:type="dxa"/>
          </w:tcPr>
          <w:p>
            <w:pPr>
              <w:pStyle w:val="TableParagraph"/>
              <w:spacing w:line="201" w:lineRule="exact" w:before="18"/>
              <w:ind w:left="108"/>
              <w:rPr>
                <w:sz w:val="18"/>
              </w:rPr>
            </w:pPr>
            <w:r>
              <w:rPr>
                <w:sz w:val="18"/>
              </w:rPr>
              <w:t>Selects the ADC input converted during time slot 6.</w:t>
            </w:r>
          </w:p>
        </w:tc>
      </w:tr>
      <w:tr>
        <w:trPr>
          <w:trHeight w:val="242" w:hRule="atLeast"/>
        </w:trPr>
        <w:tc>
          <w:tcPr>
            <w:tcW w:w="1555" w:type="dxa"/>
          </w:tcPr>
          <w:p>
            <w:pPr>
              <w:pStyle w:val="TableParagraph"/>
              <w:spacing w:before="14"/>
              <w:ind w:left="150"/>
              <w:rPr>
                <w:rFonts w:ascii="Times New Roman"/>
                <w:i/>
                <w:sz w:val="18"/>
              </w:rPr>
            </w:pPr>
            <w:r>
              <w:rPr>
                <w:rFonts w:ascii="Times New Roman"/>
                <w:i/>
                <w:sz w:val="18"/>
              </w:rPr>
              <w:t>MUX7_SEL[3:0]</w:t>
            </w:r>
          </w:p>
        </w:tc>
        <w:tc>
          <w:tcPr>
            <w:tcW w:w="998" w:type="dxa"/>
          </w:tcPr>
          <w:p>
            <w:pPr>
              <w:pStyle w:val="TableParagraph"/>
              <w:spacing w:line="204" w:lineRule="exact" w:before="18"/>
              <w:ind w:left="88" w:right="78"/>
              <w:jc w:val="center"/>
              <w:rPr>
                <w:sz w:val="18"/>
              </w:rPr>
            </w:pPr>
            <w:r>
              <w:rPr>
                <w:sz w:val="18"/>
              </w:rPr>
              <w:t>2102[7:0]</w:t>
            </w:r>
          </w:p>
        </w:tc>
        <w:tc>
          <w:tcPr>
            <w:tcW w:w="6806" w:type="dxa"/>
          </w:tcPr>
          <w:p>
            <w:pPr>
              <w:pStyle w:val="TableParagraph"/>
              <w:spacing w:line="204" w:lineRule="exact" w:before="18"/>
              <w:ind w:left="108"/>
              <w:rPr>
                <w:sz w:val="18"/>
              </w:rPr>
            </w:pPr>
            <w:r>
              <w:rPr>
                <w:sz w:val="18"/>
              </w:rPr>
              <w:t>Selects the ADC input converted during time slot 7.</w:t>
            </w:r>
          </w:p>
        </w:tc>
      </w:tr>
      <w:tr>
        <w:trPr>
          <w:trHeight w:val="239" w:hRule="atLeast"/>
        </w:trPr>
        <w:tc>
          <w:tcPr>
            <w:tcW w:w="1555" w:type="dxa"/>
          </w:tcPr>
          <w:p>
            <w:pPr>
              <w:pStyle w:val="TableParagraph"/>
              <w:spacing w:line="205" w:lineRule="exact" w:before="14"/>
              <w:ind w:left="150"/>
              <w:rPr>
                <w:rFonts w:ascii="Times New Roman"/>
                <w:i/>
                <w:sz w:val="18"/>
              </w:rPr>
            </w:pPr>
            <w:r>
              <w:rPr>
                <w:rFonts w:ascii="Times New Roman"/>
                <w:i/>
                <w:sz w:val="18"/>
              </w:rPr>
              <w:t>MUX8_SEL[3:0]</w:t>
            </w:r>
          </w:p>
        </w:tc>
        <w:tc>
          <w:tcPr>
            <w:tcW w:w="998" w:type="dxa"/>
          </w:tcPr>
          <w:p>
            <w:pPr>
              <w:pStyle w:val="TableParagraph"/>
              <w:spacing w:line="201" w:lineRule="exact" w:before="18"/>
              <w:ind w:left="88" w:right="78"/>
              <w:jc w:val="center"/>
              <w:rPr>
                <w:sz w:val="18"/>
              </w:rPr>
            </w:pPr>
            <w:r>
              <w:rPr>
                <w:sz w:val="18"/>
              </w:rPr>
              <w:t>2101[3:0]</w:t>
            </w:r>
          </w:p>
        </w:tc>
        <w:tc>
          <w:tcPr>
            <w:tcW w:w="6806" w:type="dxa"/>
          </w:tcPr>
          <w:p>
            <w:pPr>
              <w:pStyle w:val="TableParagraph"/>
              <w:spacing w:line="201" w:lineRule="exact" w:before="18"/>
              <w:ind w:left="108"/>
              <w:rPr>
                <w:sz w:val="18"/>
              </w:rPr>
            </w:pPr>
            <w:r>
              <w:rPr>
                <w:sz w:val="18"/>
              </w:rPr>
              <w:t>Selects the ADC input converted during time slot 8.</w:t>
            </w:r>
          </w:p>
        </w:tc>
      </w:tr>
      <w:tr>
        <w:trPr>
          <w:trHeight w:val="241" w:hRule="atLeast"/>
        </w:trPr>
        <w:tc>
          <w:tcPr>
            <w:tcW w:w="1555" w:type="dxa"/>
          </w:tcPr>
          <w:p>
            <w:pPr>
              <w:pStyle w:val="TableParagraph"/>
              <w:spacing w:line="205" w:lineRule="exact" w:before="16"/>
              <w:ind w:left="150"/>
              <w:rPr>
                <w:rFonts w:ascii="Times New Roman"/>
                <w:i/>
                <w:sz w:val="18"/>
              </w:rPr>
            </w:pPr>
            <w:r>
              <w:rPr>
                <w:rFonts w:ascii="Times New Roman"/>
                <w:i/>
                <w:sz w:val="18"/>
              </w:rPr>
              <w:t>MUX9_SEL[3:0]</w:t>
            </w:r>
          </w:p>
        </w:tc>
        <w:tc>
          <w:tcPr>
            <w:tcW w:w="998" w:type="dxa"/>
          </w:tcPr>
          <w:p>
            <w:pPr>
              <w:pStyle w:val="TableParagraph"/>
              <w:spacing w:line="201" w:lineRule="exact" w:before="20"/>
              <w:ind w:left="88" w:right="78"/>
              <w:jc w:val="center"/>
              <w:rPr>
                <w:sz w:val="18"/>
              </w:rPr>
            </w:pPr>
            <w:r>
              <w:rPr>
                <w:sz w:val="18"/>
              </w:rPr>
              <w:t>2101[7:0]</w:t>
            </w:r>
          </w:p>
        </w:tc>
        <w:tc>
          <w:tcPr>
            <w:tcW w:w="6806" w:type="dxa"/>
          </w:tcPr>
          <w:p>
            <w:pPr>
              <w:pStyle w:val="TableParagraph"/>
              <w:spacing w:line="201" w:lineRule="exact" w:before="20"/>
              <w:ind w:left="108"/>
              <w:rPr>
                <w:sz w:val="18"/>
              </w:rPr>
            </w:pPr>
            <w:r>
              <w:rPr>
                <w:sz w:val="18"/>
              </w:rPr>
              <w:t>Selects the ADC input converted during time slot 9.</w:t>
            </w:r>
          </w:p>
        </w:tc>
      </w:tr>
      <w:tr>
        <w:trPr>
          <w:trHeight w:val="241" w:hRule="atLeast"/>
        </w:trPr>
        <w:tc>
          <w:tcPr>
            <w:tcW w:w="1555" w:type="dxa"/>
          </w:tcPr>
          <w:p>
            <w:pPr>
              <w:pStyle w:val="TableParagraph"/>
              <w:spacing w:before="14"/>
              <w:ind w:left="107"/>
              <w:rPr>
                <w:rFonts w:ascii="Times New Roman"/>
                <w:i/>
                <w:sz w:val="18"/>
              </w:rPr>
            </w:pPr>
            <w:r>
              <w:rPr>
                <w:rFonts w:ascii="Times New Roman"/>
                <w:i/>
                <w:sz w:val="18"/>
              </w:rPr>
              <w:t>MUX10_SEL[3:0]</w:t>
            </w:r>
          </w:p>
        </w:tc>
        <w:tc>
          <w:tcPr>
            <w:tcW w:w="998" w:type="dxa"/>
          </w:tcPr>
          <w:p>
            <w:pPr>
              <w:pStyle w:val="TableParagraph"/>
              <w:spacing w:line="204" w:lineRule="exact" w:before="18"/>
              <w:ind w:left="88" w:right="78"/>
              <w:jc w:val="center"/>
              <w:rPr>
                <w:sz w:val="18"/>
              </w:rPr>
            </w:pPr>
            <w:r>
              <w:rPr>
                <w:sz w:val="18"/>
              </w:rPr>
              <w:t>2100[3:0]</w:t>
            </w:r>
          </w:p>
        </w:tc>
        <w:tc>
          <w:tcPr>
            <w:tcW w:w="6806" w:type="dxa"/>
          </w:tcPr>
          <w:p>
            <w:pPr>
              <w:pStyle w:val="TableParagraph"/>
              <w:spacing w:line="204" w:lineRule="exact" w:before="18"/>
              <w:ind w:left="108"/>
              <w:rPr>
                <w:sz w:val="18"/>
              </w:rPr>
            </w:pPr>
            <w:r>
              <w:rPr>
                <w:sz w:val="18"/>
              </w:rPr>
              <w:t>Selects the ADC input converted during time slot 10.</w:t>
            </w:r>
          </w:p>
        </w:tc>
      </w:tr>
      <w:tr>
        <w:trPr>
          <w:trHeight w:val="239" w:hRule="atLeast"/>
        </w:trPr>
        <w:tc>
          <w:tcPr>
            <w:tcW w:w="1555" w:type="dxa"/>
          </w:tcPr>
          <w:p>
            <w:pPr>
              <w:pStyle w:val="TableParagraph"/>
              <w:spacing w:line="205" w:lineRule="exact" w:before="14"/>
              <w:ind w:left="402"/>
              <w:rPr>
                <w:rFonts w:ascii="Times New Roman"/>
                <w:i/>
                <w:sz w:val="18"/>
              </w:rPr>
            </w:pPr>
            <w:r>
              <w:rPr>
                <w:rFonts w:ascii="Times New Roman"/>
                <w:i/>
                <w:sz w:val="18"/>
              </w:rPr>
              <w:t>ADC_DIV</w:t>
            </w:r>
          </w:p>
        </w:tc>
        <w:tc>
          <w:tcPr>
            <w:tcW w:w="998" w:type="dxa"/>
          </w:tcPr>
          <w:p>
            <w:pPr>
              <w:pStyle w:val="TableParagraph"/>
              <w:spacing w:line="201" w:lineRule="exact" w:before="18"/>
              <w:ind w:left="86" w:right="78"/>
              <w:jc w:val="center"/>
              <w:rPr>
                <w:sz w:val="18"/>
              </w:rPr>
            </w:pPr>
            <w:r>
              <w:rPr>
                <w:sz w:val="18"/>
              </w:rPr>
              <w:t>2200[5]</w:t>
            </w:r>
          </w:p>
        </w:tc>
        <w:tc>
          <w:tcPr>
            <w:tcW w:w="6806" w:type="dxa"/>
          </w:tcPr>
          <w:p>
            <w:pPr>
              <w:pStyle w:val="TableParagraph"/>
              <w:spacing w:line="206" w:lineRule="exact"/>
              <w:ind w:left="108"/>
              <w:rPr>
                <w:sz w:val="18"/>
              </w:rPr>
            </w:pPr>
            <w:r>
              <w:rPr>
                <w:sz w:val="18"/>
              </w:rPr>
              <w:t>Controls the rate of the ADC and FIR clocks.</w:t>
            </w:r>
          </w:p>
        </w:tc>
      </w:tr>
      <w:tr>
        <w:trPr>
          <w:trHeight w:val="242" w:hRule="atLeast"/>
        </w:trPr>
        <w:tc>
          <w:tcPr>
            <w:tcW w:w="1555" w:type="dxa"/>
          </w:tcPr>
          <w:p>
            <w:pPr>
              <w:pStyle w:val="TableParagraph"/>
              <w:spacing w:before="14"/>
              <w:ind w:left="196"/>
              <w:rPr>
                <w:rFonts w:ascii="Times New Roman"/>
                <w:i/>
                <w:sz w:val="18"/>
              </w:rPr>
            </w:pPr>
            <w:r>
              <w:rPr>
                <w:rFonts w:ascii="Times New Roman"/>
                <w:i/>
                <w:sz w:val="18"/>
              </w:rPr>
              <w:t>MUX_DIV[3:0]</w:t>
            </w:r>
          </w:p>
        </w:tc>
        <w:tc>
          <w:tcPr>
            <w:tcW w:w="998" w:type="dxa"/>
          </w:tcPr>
          <w:p>
            <w:pPr>
              <w:pStyle w:val="TableParagraph"/>
              <w:spacing w:line="204" w:lineRule="exact" w:before="18"/>
              <w:ind w:left="88" w:right="78"/>
              <w:jc w:val="center"/>
              <w:rPr>
                <w:sz w:val="18"/>
              </w:rPr>
            </w:pPr>
            <w:r>
              <w:rPr>
                <w:sz w:val="18"/>
              </w:rPr>
              <w:t>2100[7:4]</w:t>
            </w:r>
          </w:p>
        </w:tc>
        <w:tc>
          <w:tcPr>
            <w:tcW w:w="6806" w:type="dxa"/>
          </w:tcPr>
          <w:p>
            <w:pPr>
              <w:pStyle w:val="TableParagraph"/>
              <w:spacing w:line="204" w:lineRule="exact" w:before="18"/>
              <w:ind w:left="108"/>
              <w:rPr>
                <w:sz w:val="18"/>
              </w:rPr>
            </w:pPr>
            <w:r>
              <w:rPr>
                <w:sz w:val="18"/>
              </w:rPr>
              <w:t>The number of ADC time slots in each multiplexer frame (maximum = 11).</w:t>
            </w:r>
          </w:p>
        </w:tc>
      </w:tr>
      <w:tr>
        <w:trPr>
          <w:trHeight w:val="246" w:hRule="atLeast"/>
        </w:trPr>
        <w:tc>
          <w:tcPr>
            <w:tcW w:w="1555" w:type="dxa"/>
          </w:tcPr>
          <w:p>
            <w:pPr>
              <w:pStyle w:val="TableParagraph"/>
              <w:spacing w:before="16"/>
              <w:ind w:left="371"/>
              <w:rPr>
                <w:rFonts w:ascii="Times New Roman"/>
                <w:i/>
                <w:sz w:val="18"/>
              </w:rPr>
            </w:pPr>
            <w:r>
              <w:rPr>
                <w:rFonts w:ascii="Times New Roman"/>
                <w:i/>
                <w:sz w:val="18"/>
              </w:rPr>
              <w:t>PLL_FAST</w:t>
            </w:r>
          </w:p>
        </w:tc>
        <w:tc>
          <w:tcPr>
            <w:tcW w:w="998" w:type="dxa"/>
          </w:tcPr>
          <w:p>
            <w:pPr>
              <w:pStyle w:val="TableParagraph"/>
              <w:spacing w:line="206" w:lineRule="exact" w:before="20"/>
              <w:ind w:left="86" w:right="78"/>
              <w:jc w:val="center"/>
              <w:rPr>
                <w:sz w:val="18"/>
              </w:rPr>
            </w:pPr>
            <w:r>
              <w:rPr>
                <w:sz w:val="18"/>
              </w:rPr>
              <w:t>2200[4]</w:t>
            </w:r>
          </w:p>
        </w:tc>
        <w:tc>
          <w:tcPr>
            <w:tcW w:w="6806" w:type="dxa"/>
          </w:tcPr>
          <w:p>
            <w:pPr>
              <w:pStyle w:val="TableParagraph"/>
              <w:spacing w:before="18"/>
              <w:ind w:left="108"/>
              <w:rPr>
                <w:sz w:val="18"/>
              </w:rPr>
            </w:pPr>
            <w:r>
              <w:rPr>
                <w:sz w:val="18"/>
              </w:rPr>
              <w:t>Controls the speed of the PLL and MCK.</w:t>
            </w:r>
          </w:p>
        </w:tc>
      </w:tr>
      <w:tr>
        <w:trPr>
          <w:trHeight w:val="246" w:hRule="atLeast"/>
        </w:trPr>
        <w:tc>
          <w:tcPr>
            <w:tcW w:w="1555" w:type="dxa"/>
          </w:tcPr>
          <w:p>
            <w:pPr>
              <w:pStyle w:val="TableParagraph"/>
              <w:spacing w:before="16"/>
              <w:ind w:left="237"/>
              <w:rPr>
                <w:rFonts w:ascii="Times New Roman"/>
                <w:i/>
                <w:sz w:val="18"/>
              </w:rPr>
            </w:pPr>
            <w:r>
              <w:rPr>
                <w:rFonts w:ascii="Times New Roman"/>
                <w:i/>
                <w:sz w:val="18"/>
              </w:rPr>
              <w:t>FIR_LEN[1:0]</w:t>
            </w:r>
          </w:p>
        </w:tc>
        <w:tc>
          <w:tcPr>
            <w:tcW w:w="998" w:type="dxa"/>
          </w:tcPr>
          <w:p>
            <w:pPr>
              <w:pStyle w:val="TableParagraph"/>
              <w:spacing w:before="18"/>
              <w:ind w:left="88" w:right="78"/>
              <w:jc w:val="center"/>
              <w:rPr>
                <w:sz w:val="18"/>
              </w:rPr>
            </w:pPr>
            <w:r>
              <w:rPr>
                <w:sz w:val="18"/>
              </w:rPr>
              <w:t>210C[2:1]</w:t>
            </w:r>
          </w:p>
        </w:tc>
        <w:tc>
          <w:tcPr>
            <w:tcW w:w="6806" w:type="dxa"/>
          </w:tcPr>
          <w:p>
            <w:pPr>
              <w:pStyle w:val="TableParagraph"/>
              <w:spacing w:line="206" w:lineRule="exact"/>
              <w:ind w:left="108"/>
              <w:rPr>
                <w:sz w:val="18"/>
              </w:rPr>
            </w:pPr>
            <w:r>
              <w:rPr>
                <w:sz w:val="18"/>
              </w:rPr>
              <w:t>Determines the number of ADC cycles in the ADC decimation FIR filter.</w:t>
            </w:r>
          </w:p>
        </w:tc>
      </w:tr>
      <w:tr>
        <w:trPr>
          <w:trHeight w:val="239" w:hRule="atLeast"/>
        </w:trPr>
        <w:tc>
          <w:tcPr>
            <w:tcW w:w="1555" w:type="dxa"/>
          </w:tcPr>
          <w:p>
            <w:pPr>
              <w:pStyle w:val="TableParagraph"/>
              <w:spacing w:line="205" w:lineRule="exact" w:before="14"/>
              <w:ind w:left="426"/>
              <w:rPr>
                <w:rFonts w:ascii="Times New Roman"/>
                <w:i/>
                <w:sz w:val="18"/>
              </w:rPr>
            </w:pPr>
            <w:r>
              <w:rPr>
                <w:rFonts w:ascii="Times New Roman"/>
                <w:i/>
                <w:sz w:val="18"/>
              </w:rPr>
              <w:t>DIFF0_E</w:t>
            </w:r>
          </w:p>
        </w:tc>
        <w:tc>
          <w:tcPr>
            <w:tcW w:w="998" w:type="dxa"/>
          </w:tcPr>
          <w:p>
            <w:pPr>
              <w:pStyle w:val="TableParagraph"/>
              <w:spacing w:line="201" w:lineRule="exact" w:before="18"/>
              <w:ind w:left="88" w:right="78"/>
              <w:jc w:val="center"/>
              <w:rPr>
                <w:sz w:val="18"/>
              </w:rPr>
            </w:pPr>
            <w:r>
              <w:rPr>
                <w:sz w:val="18"/>
              </w:rPr>
              <w:t>210C[4]</w:t>
            </w:r>
          </w:p>
        </w:tc>
        <w:tc>
          <w:tcPr>
            <w:tcW w:w="6806" w:type="dxa"/>
          </w:tcPr>
          <w:p>
            <w:pPr>
              <w:pStyle w:val="TableParagraph"/>
              <w:spacing w:line="201" w:lineRule="exact" w:before="18"/>
              <w:ind w:left="108"/>
              <w:rPr>
                <w:sz w:val="18"/>
              </w:rPr>
            </w:pPr>
            <w:r>
              <w:rPr>
                <w:sz w:val="18"/>
              </w:rPr>
              <w:t>Enables the differential configuration for analog input pins IADC0-IADC1 .</w:t>
            </w:r>
          </w:p>
        </w:tc>
      </w:tr>
      <w:tr>
        <w:trPr>
          <w:trHeight w:val="242" w:hRule="atLeast"/>
        </w:trPr>
        <w:tc>
          <w:tcPr>
            <w:tcW w:w="1555" w:type="dxa"/>
          </w:tcPr>
          <w:p>
            <w:pPr>
              <w:pStyle w:val="TableParagraph"/>
              <w:spacing w:line="205" w:lineRule="exact" w:before="16"/>
              <w:ind w:left="426"/>
              <w:rPr>
                <w:rFonts w:ascii="Times New Roman"/>
                <w:i/>
                <w:sz w:val="18"/>
              </w:rPr>
            </w:pPr>
            <w:r>
              <w:rPr>
                <w:rFonts w:ascii="Times New Roman"/>
                <w:i/>
                <w:sz w:val="18"/>
              </w:rPr>
              <w:t>DIFF2_E</w:t>
            </w:r>
          </w:p>
        </w:tc>
        <w:tc>
          <w:tcPr>
            <w:tcW w:w="998" w:type="dxa"/>
          </w:tcPr>
          <w:p>
            <w:pPr>
              <w:pStyle w:val="TableParagraph"/>
              <w:spacing w:line="201" w:lineRule="exact" w:before="20"/>
              <w:ind w:left="88" w:right="78"/>
              <w:jc w:val="center"/>
              <w:rPr>
                <w:sz w:val="18"/>
              </w:rPr>
            </w:pPr>
            <w:r>
              <w:rPr>
                <w:sz w:val="18"/>
              </w:rPr>
              <w:t>210C[5]</w:t>
            </w:r>
          </w:p>
        </w:tc>
        <w:tc>
          <w:tcPr>
            <w:tcW w:w="6806" w:type="dxa"/>
          </w:tcPr>
          <w:p>
            <w:pPr>
              <w:pStyle w:val="TableParagraph"/>
              <w:spacing w:line="201" w:lineRule="exact" w:before="20"/>
              <w:ind w:left="108"/>
              <w:rPr>
                <w:sz w:val="18"/>
              </w:rPr>
            </w:pPr>
            <w:r>
              <w:rPr>
                <w:sz w:val="18"/>
              </w:rPr>
              <w:t>Enables the differential configuration for analog input pins IADC2-IADC3 .</w:t>
            </w:r>
          </w:p>
        </w:tc>
      </w:tr>
      <w:tr>
        <w:trPr>
          <w:trHeight w:val="241" w:hRule="atLeast"/>
        </w:trPr>
        <w:tc>
          <w:tcPr>
            <w:tcW w:w="1555" w:type="dxa"/>
          </w:tcPr>
          <w:p>
            <w:pPr>
              <w:pStyle w:val="TableParagraph"/>
              <w:spacing w:before="14"/>
              <w:ind w:left="426"/>
              <w:rPr>
                <w:rFonts w:ascii="Times New Roman"/>
                <w:i/>
                <w:sz w:val="18"/>
              </w:rPr>
            </w:pPr>
            <w:r>
              <w:rPr>
                <w:rFonts w:ascii="Times New Roman"/>
                <w:i/>
                <w:sz w:val="18"/>
              </w:rPr>
              <w:t>DIFF4_E</w:t>
            </w:r>
          </w:p>
        </w:tc>
        <w:tc>
          <w:tcPr>
            <w:tcW w:w="998" w:type="dxa"/>
          </w:tcPr>
          <w:p>
            <w:pPr>
              <w:pStyle w:val="TableParagraph"/>
              <w:spacing w:line="204" w:lineRule="exact" w:before="18"/>
              <w:ind w:left="88" w:right="78"/>
              <w:jc w:val="center"/>
              <w:rPr>
                <w:sz w:val="18"/>
              </w:rPr>
            </w:pPr>
            <w:r>
              <w:rPr>
                <w:sz w:val="18"/>
              </w:rPr>
              <w:t>210C[6]</w:t>
            </w:r>
          </w:p>
        </w:tc>
        <w:tc>
          <w:tcPr>
            <w:tcW w:w="6806" w:type="dxa"/>
          </w:tcPr>
          <w:p>
            <w:pPr>
              <w:pStyle w:val="TableParagraph"/>
              <w:spacing w:line="204" w:lineRule="exact" w:before="18"/>
              <w:ind w:left="108"/>
              <w:rPr>
                <w:sz w:val="18"/>
              </w:rPr>
            </w:pPr>
            <w:r>
              <w:rPr>
                <w:sz w:val="18"/>
              </w:rPr>
              <w:t>Enables the differential configuration for analog input pins IADC4-IADC5 .</w:t>
            </w:r>
          </w:p>
        </w:tc>
      </w:tr>
      <w:tr>
        <w:trPr>
          <w:trHeight w:val="239" w:hRule="atLeast"/>
        </w:trPr>
        <w:tc>
          <w:tcPr>
            <w:tcW w:w="1555" w:type="dxa"/>
          </w:tcPr>
          <w:p>
            <w:pPr>
              <w:pStyle w:val="TableParagraph"/>
              <w:spacing w:line="205" w:lineRule="exact" w:before="14"/>
              <w:ind w:left="426"/>
              <w:rPr>
                <w:rFonts w:ascii="Times New Roman"/>
                <w:i/>
                <w:sz w:val="18"/>
              </w:rPr>
            </w:pPr>
            <w:r>
              <w:rPr>
                <w:rFonts w:ascii="Times New Roman"/>
                <w:i/>
                <w:sz w:val="18"/>
              </w:rPr>
              <w:t>DIFF6_E</w:t>
            </w:r>
          </w:p>
        </w:tc>
        <w:tc>
          <w:tcPr>
            <w:tcW w:w="998" w:type="dxa"/>
          </w:tcPr>
          <w:p>
            <w:pPr>
              <w:pStyle w:val="TableParagraph"/>
              <w:spacing w:line="201" w:lineRule="exact" w:before="18"/>
              <w:ind w:left="88" w:right="78"/>
              <w:jc w:val="center"/>
              <w:rPr>
                <w:sz w:val="18"/>
              </w:rPr>
            </w:pPr>
            <w:r>
              <w:rPr>
                <w:sz w:val="18"/>
              </w:rPr>
              <w:t>210C[7]</w:t>
            </w:r>
          </w:p>
        </w:tc>
        <w:tc>
          <w:tcPr>
            <w:tcW w:w="6806" w:type="dxa"/>
          </w:tcPr>
          <w:p>
            <w:pPr>
              <w:pStyle w:val="TableParagraph"/>
              <w:spacing w:line="201" w:lineRule="exact" w:before="18"/>
              <w:ind w:left="108"/>
              <w:rPr>
                <w:sz w:val="18"/>
              </w:rPr>
            </w:pPr>
            <w:r>
              <w:rPr>
                <w:sz w:val="18"/>
              </w:rPr>
              <w:t>Enables the differential configuration for analog input pins IADC6-IADC7 .</w:t>
            </w:r>
          </w:p>
        </w:tc>
      </w:tr>
      <w:tr>
        <w:trPr>
          <w:trHeight w:val="448" w:hRule="atLeast"/>
        </w:trPr>
        <w:tc>
          <w:tcPr>
            <w:tcW w:w="1555" w:type="dxa"/>
          </w:tcPr>
          <w:p>
            <w:pPr>
              <w:pStyle w:val="TableParagraph"/>
              <w:spacing w:before="117"/>
              <w:ind w:left="450"/>
              <w:rPr>
                <w:rFonts w:ascii="Times New Roman"/>
                <w:i/>
                <w:sz w:val="18"/>
              </w:rPr>
            </w:pPr>
            <w:r>
              <w:rPr>
                <w:rFonts w:ascii="Times New Roman"/>
                <w:i/>
                <w:sz w:val="18"/>
              </w:rPr>
              <w:t>RMT2_E</w:t>
            </w:r>
          </w:p>
        </w:tc>
        <w:tc>
          <w:tcPr>
            <w:tcW w:w="998" w:type="dxa"/>
          </w:tcPr>
          <w:p>
            <w:pPr>
              <w:pStyle w:val="TableParagraph"/>
              <w:spacing w:before="121"/>
              <w:ind w:left="86" w:right="78"/>
              <w:jc w:val="center"/>
              <w:rPr>
                <w:sz w:val="18"/>
              </w:rPr>
            </w:pPr>
            <w:r>
              <w:rPr>
                <w:sz w:val="18"/>
              </w:rPr>
              <w:t>2709[3]</w:t>
            </w:r>
          </w:p>
        </w:tc>
        <w:tc>
          <w:tcPr>
            <w:tcW w:w="6806" w:type="dxa"/>
          </w:tcPr>
          <w:p>
            <w:pPr>
              <w:pStyle w:val="TableParagraph"/>
              <w:spacing w:line="210" w:lineRule="atLeast" w:before="15"/>
              <w:ind w:left="108" w:right="164"/>
              <w:rPr>
                <w:sz w:val="18"/>
              </w:rPr>
            </w:pPr>
            <w:r>
              <w:rPr>
                <w:sz w:val="18"/>
              </w:rPr>
              <w:t>Enables the remote sensor interface transforming pins IADC2-IADC3 into a digital interface for communications with a 71M6xx3 sensor.</w:t>
            </w:r>
          </w:p>
        </w:tc>
      </w:tr>
      <w:tr>
        <w:trPr>
          <w:trHeight w:val="448" w:hRule="atLeast"/>
        </w:trPr>
        <w:tc>
          <w:tcPr>
            <w:tcW w:w="1555" w:type="dxa"/>
          </w:tcPr>
          <w:p>
            <w:pPr>
              <w:pStyle w:val="TableParagraph"/>
              <w:spacing w:before="117"/>
              <w:ind w:left="450"/>
              <w:rPr>
                <w:rFonts w:ascii="Times New Roman"/>
                <w:i/>
                <w:sz w:val="18"/>
              </w:rPr>
            </w:pPr>
            <w:r>
              <w:rPr>
                <w:rFonts w:ascii="Times New Roman"/>
                <w:i/>
                <w:sz w:val="18"/>
              </w:rPr>
              <w:t>RMT4_E</w:t>
            </w:r>
          </w:p>
        </w:tc>
        <w:tc>
          <w:tcPr>
            <w:tcW w:w="998" w:type="dxa"/>
          </w:tcPr>
          <w:p>
            <w:pPr>
              <w:pStyle w:val="TableParagraph"/>
              <w:spacing w:before="121"/>
              <w:ind w:left="86" w:right="78"/>
              <w:jc w:val="center"/>
              <w:rPr>
                <w:sz w:val="18"/>
              </w:rPr>
            </w:pPr>
            <w:r>
              <w:rPr>
                <w:sz w:val="18"/>
              </w:rPr>
              <w:t>2709[4]</w:t>
            </w:r>
          </w:p>
        </w:tc>
        <w:tc>
          <w:tcPr>
            <w:tcW w:w="6806" w:type="dxa"/>
          </w:tcPr>
          <w:p>
            <w:pPr>
              <w:pStyle w:val="TableParagraph"/>
              <w:spacing w:line="210" w:lineRule="atLeast" w:before="15"/>
              <w:ind w:left="108" w:right="164"/>
              <w:rPr>
                <w:sz w:val="18"/>
              </w:rPr>
            </w:pPr>
            <w:r>
              <w:rPr>
                <w:sz w:val="18"/>
              </w:rPr>
              <w:t>Enables the remote sensor interface transforming pins IADC4-IADC5 into a digital interface for communications with a 71M6xx3 sensor.</w:t>
            </w:r>
          </w:p>
        </w:tc>
      </w:tr>
      <w:tr>
        <w:trPr>
          <w:trHeight w:val="448" w:hRule="atLeast"/>
        </w:trPr>
        <w:tc>
          <w:tcPr>
            <w:tcW w:w="1555" w:type="dxa"/>
          </w:tcPr>
          <w:p>
            <w:pPr>
              <w:pStyle w:val="TableParagraph"/>
              <w:spacing w:before="117"/>
              <w:ind w:left="450"/>
              <w:rPr>
                <w:rFonts w:ascii="Times New Roman"/>
                <w:i/>
                <w:sz w:val="18"/>
              </w:rPr>
            </w:pPr>
            <w:r>
              <w:rPr>
                <w:rFonts w:ascii="Times New Roman"/>
                <w:i/>
                <w:sz w:val="18"/>
              </w:rPr>
              <w:t>RMT6_E</w:t>
            </w:r>
          </w:p>
        </w:tc>
        <w:tc>
          <w:tcPr>
            <w:tcW w:w="998" w:type="dxa"/>
          </w:tcPr>
          <w:p>
            <w:pPr>
              <w:pStyle w:val="TableParagraph"/>
              <w:spacing w:before="121"/>
              <w:ind w:left="86" w:right="78"/>
              <w:jc w:val="center"/>
              <w:rPr>
                <w:sz w:val="18"/>
              </w:rPr>
            </w:pPr>
            <w:r>
              <w:rPr>
                <w:sz w:val="18"/>
              </w:rPr>
              <w:t>2709[5]</w:t>
            </w:r>
          </w:p>
        </w:tc>
        <w:tc>
          <w:tcPr>
            <w:tcW w:w="6806" w:type="dxa"/>
          </w:tcPr>
          <w:p>
            <w:pPr>
              <w:pStyle w:val="TableParagraph"/>
              <w:spacing w:line="210" w:lineRule="atLeast" w:before="15"/>
              <w:ind w:left="108" w:right="164"/>
              <w:rPr>
                <w:sz w:val="18"/>
              </w:rPr>
            </w:pPr>
            <w:r>
              <w:rPr>
                <w:sz w:val="18"/>
              </w:rPr>
              <w:t>Enables the remote sensor interface transforming pins IADC6-IADC7 into a digital interface for communications with a 71M6xx3 sensor.</w:t>
            </w:r>
          </w:p>
        </w:tc>
      </w:tr>
      <w:tr>
        <w:trPr>
          <w:trHeight w:val="239" w:hRule="atLeast"/>
        </w:trPr>
        <w:tc>
          <w:tcPr>
            <w:tcW w:w="1555" w:type="dxa"/>
          </w:tcPr>
          <w:p>
            <w:pPr>
              <w:pStyle w:val="TableParagraph"/>
              <w:spacing w:line="205" w:lineRule="exact" w:before="14"/>
              <w:ind w:left="510"/>
              <w:rPr>
                <w:rFonts w:ascii="Times New Roman"/>
                <w:i/>
                <w:sz w:val="18"/>
              </w:rPr>
            </w:pPr>
            <w:r>
              <w:rPr>
                <w:rFonts w:ascii="Times New Roman"/>
                <w:i/>
                <w:sz w:val="18"/>
              </w:rPr>
              <w:t>PRE_E</w:t>
            </w:r>
          </w:p>
        </w:tc>
        <w:tc>
          <w:tcPr>
            <w:tcW w:w="998" w:type="dxa"/>
          </w:tcPr>
          <w:p>
            <w:pPr>
              <w:pStyle w:val="TableParagraph"/>
              <w:spacing w:line="201" w:lineRule="exact" w:before="18"/>
              <w:ind w:left="86" w:right="78"/>
              <w:jc w:val="center"/>
              <w:rPr>
                <w:sz w:val="18"/>
              </w:rPr>
            </w:pPr>
            <w:r>
              <w:rPr>
                <w:sz w:val="18"/>
              </w:rPr>
              <w:t>2704[5]</w:t>
            </w:r>
          </w:p>
        </w:tc>
        <w:tc>
          <w:tcPr>
            <w:tcW w:w="6806" w:type="dxa"/>
          </w:tcPr>
          <w:p>
            <w:pPr>
              <w:pStyle w:val="TableParagraph"/>
              <w:spacing w:line="201" w:lineRule="exact" w:before="18"/>
              <w:ind w:left="108"/>
              <w:rPr>
                <w:sz w:val="18"/>
              </w:rPr>
            </w:pPr>
            <w:r>
              <w:rPr>
                <w:sz w:val="18"/>
              </w:rPr>
              <w:t>Enables the 8x pre-amplifier.</w:t>
            </w:r>
          </w:p>
        </w:tc>
      </w:tr>
      <w:tr>
        <w:trPr>
          <w:trHeight w:val="242" w:hRule="atLeast"/>
        </w:trPr>
        <w:tc>
          <w:tcPr>
            <w:tcW w:w="9359" w:type="dxa"/>
            <w:gridSpan w:val="3"/>
          </w:tcPr>
          <w:p>
            <w:pPr>
              <w:pStyle w:val="TableParagraph"/>
              <w:spacing w:line="204" w:lineRule="exact" w:before="18"/>
              <w:ind w:left="107"/>
              <w:rPr>
                <w:sz w:val="18"/>
              </w:rPr>
            </w:pPr>
            <w:r>
              <w:rPr>
                <w:sz w:val="18"/>
              </w:rPr>
              <w:t>Refer to </w:t>
            </w:r>
            <w:hyperlink w:history="true" w:anchor="_bookmark212">
              <w:r>
                <w:rPr>
                  <w:color w:val="0000FF"/>
                  <w:sz w:val="18"/>
                </w:rPr>
                <w:t>Table 70 </w:t>
              </w:r>
            </w:hyperlink>
            <w:r>
              <w:rPr>
                <w:sz w:val="18"/>
              </w:rPr>
              <w:t>starting on page </w:t>
            </w:r>
            <w:hyperlink w:history="true" w:anchor="_bookmark212">
              <w:r>
                <w:rPr>
                  <w:color w:val="0000FF"/>
                  <w:sz w:val="18"/>
                </w:rPr>
                <w:t>102 </w:t>
              </w:r>
            </w:hyperlink>
            <w:r>
              <w:rPr>
                <w:sz w:val="18"/>
              </w:rPr>
              <w:t>for more complete details about these I/O RAM locations.</w:t>
            </w:r>
          </w:p>
        </w:tc>
      </w:tr>
    </w:tbl>
    <w:p>
      <w:pPr>
        <w:pStyle w:val="BodyText"/>
        <w:spacing w:before="7"/>
        <w:rPr>
          <w:b/>
          <w:sz w:val="19"/>
        </w:rPr>
      </w:pPr>
    </w:p>
    <w:p>
      <w:pPr>
        <w:pStyle w:val="ListParagraph"/>
        <w:numPr>
          <w:ilvl w:val="2"/>
          <w:numId w:val="7"/>
        </w:numPr>
        <w:tabs>
          <w:tab w:pos="1339" w:val="left" w:leader="none"/>
          <w:tab w:pos="1340" w:val="left" w:leader="none"/>
        </w:tabs>
        <w:spacing w:line="240" w:lineRule="auto" w:before="0" w:after="0"/>
        <w:ind w:left="1339" w:right="0" w:hanging="720"/>
        <w:jc w:val="left"/>
        <w:rPr>
          <w:b/>
          <w:sz w:val="22"/>
        </w:rPr>
      </w:pPr>
      <w:bookmarkStart w:name="2.2.3 Delay Compensation" w:id="27"/>
      <w:bookmarkEnd w:id="27"/>
      <w:r>
        <w:rPr/>
      </w:r>
      <w:bookmarkStart w:name="_bookmark14" w:id="28"/>
      <w:bookmarkEnd w:id="28"/>
      <w:r>
        <w:rPr/>
      </w:r>
      <w:bookmarkStart w:name="_bookmark14" w:id="29"/>
      <w:bookmarkEnd w:id="29"/>
      <w:r>
        <w:rPr>
          <w:b/>
          <w:sz w:val="22"/>
        </w:rPr>
        <w:t>D</w:t>
      </w:r>
      <w:r>
        <w:rPr>
          <w:b/>
          <w:sz w:val="22"/>
        </w:rPr>
        <w:t>elay</w:t>
      </w:r>
      <w:r>
        <w:rPr>
          <w:b/>
          <w:spacing w:val="-5"/>
          <w:sz w:val="22"/>
        </w:rPr>
        <w:t> </w:t>
      </w:r>
      <w:r>
        <w:rPr>
          <w:b/>
          <w:sz w:val="22"/>
        </w:rPr>
        <w:t>Compensation</w:t>
      </w:r>
    </w:p>
    <w:p>
      <w:pPr>
        <w:pStyle w:val="BodyText"/>
        <w:spacing w:before="102"/>
        <w:ind w:left="620" w:right="559"/>
      </w:pPr>
      <w:r>
        <w:rPr/>
        <w:t>When measuring the energy of a phase (i.e., Wh and VARh) in a service, the voltage and current for that phase must be sampled at the same instant. Otherwise, the phase difference, Ф, introduces errors.</w:t>
      </w:r>
    </w:p>
    <w:p>
      <w:pPr>
        <w:spacing w:after="0"/>
        <w:sectPr>
          <w:pgSz w:w="12240" w:h="15840"/>
          <w:pgMar w:header="727" w:footer="819" w:top="960" w:bottom="1000" w:left="820" w:right="860"/>
        </w:sectPr>
      </w:pPr>
    </w:p>
    <w:p>
      <w:pPr>
        <w:spacing w:line="447" w:lineRule="exact" w:before="138"/>
        <w:ind w:left="0" w:right="0" w:firstLine="0"/>
        <w:jc w:val="right"/>
        <w:rPr>
          <w:rFonts w:ascii="Times New Roman" w:hAnsi="Times New Roman"/>
          <w:i/>
          <w:sz w:val="25"/>
        </w:rPr>
      </w:pPr>
      <w:r>
        <w:rPr/>
        <w:pict>
          <v:line style="position:absolute;mso-position-horizontal-relative:page;mso-position-vertical-relative:paragraph;z-index:-38840832" from="251.575409pt,25.365789pt" to="273.212624pt,25.365789pt" stroked="true" strokeweight=".534090pt" strokecolor="#000000">
            <v:stroke dashstyle="solid"/>
            <w10:wrap type="none"/>
          </v:line>
        </w:pict>
      </w:r>
      <w:r>
        <w:rPr>
          <w:rFonts w:ascii="Symbol" w:hAnsi="Symbol"/>
          <w:i/>
          <w:sz w:val="27"/>
        </w:rPr>
        <w:t></w:t>
      </w:r>
      <w:r>
        <w:rPr>
          <w:rFonts w:ascii="Times New Roman" w:hAnsi="Times New Roman"/>
          <w:i/>
          <w:sz w:val="27"/>
        </w:rPr>
        <w:t> </w:t>
      </w:r>
      <w:r>
        <w:rPr>
          <w:rFonts w:ascii="Symbol" w:hAnsi="Symbol"/>
          <w:sz w:val="25"/>
        </w:rPr>
        <w:t></w:t>
      </w:r>
      <w:r>
        <w:rPr>
          <w:rFonts w:ascii="Times New Roman" w:hAnsi="Times New Roman"/>
          <w:sz w:val="25"/>
        </w:rPr>
        <w:t> </w:t>
      </w:r>
      <w:r>
        <w:rPr>
          <w:rFonts w:ascii="Times New Roman" w:hAnsi="Times New Roman"/>
          <w:i/>
          <w:position w:val="20"/>
          <w:sz w:val="25"/>
        </w:rPr>
        <w:t>t</w:t>
      </w:r>
      <w:r>
        <w:rPr>
          <w:rFonts w:ascii="Times New Roman" w:hAnsi="Times New Roman"/>
          <w:i/>
          <w:position w:val="13"/>
          <w:sz w:val="15"/>
        </w:rPr>
        <w:t>delay </w:t>
      </w:r>
      <w:r>
        <w:rPr>
          <w:rFonts w:ascii="Symbol" w:hAnsi="Symbol"/>
          <w:sz w:val="25"/>
        </w:rPr>
        <w:t></w:t>
      </w:r>
      <w:r>
        <w:rPr>
          <w:rFonts w:ascii="Times New Roman" w:hAnsi="Times New Roman"/>
          <w:sz w:val="25"/>
        </w:rPr>
        <w:t> 360</w:t>
      </w:r>
      <w:r>
        <w:rPr>
          <w:rFonts w:ascii="Times New Roman" w:hAnsi="Times New Roman"/>
          <w:i/>
          <w:sz w:val="25"/>
          <w:vertAlign w:val="superscript"/>
        </w:rPr>
        <w:t>o</w:t>
      </w:r>
      <w:r>
        <w:rPr>
          <w:rFonts w:ascii="Times New Roman" w:hAnsi="Times New Roman"/>
          <w:i/>
          <w:sz w:val="25"/>
          <w:vertAlign w:val="baseline"/>
        </w:rPr>
        <w:t> </w:t>
      </w:r>
      <w:r>
        <w:rPr>
          <w:rFonts w:ascii="Symbol" w:hAnsi="Symbol"/>
          <w:sz w:val="25"/>
          <w:vertAlign w:val="baseline"/>
        </w:rPr>
        <w:t></w:t>
      </w:r>
      <w:r>
        <w:rPr>
          <w:rFonts w:ascii="Times New Roman" w:hAnsi="Times New Roman"/>
          <w:sz w:val="25"/>
          <w:vertAlign w:val="baseline"/>
        </w:rPr>
        <w:t> </w:t>
      </w:r>
      <w:r>
        <w:rPr>
          <w:rFonts w:ascii="Times New Roman" w:hAnsi="Times New Roman"/>
          <w:i/>
          <w:sz w:val="25"/>
          <w:vertAlign w:val="baseline"/>
        </w:rPr>
        <w:t>t</w:t>
      </w:r>
    </w:p>
    <w:p>
      <w:pPr>
        <w:spacing w:line="242" w:lineRule="exact" w:before="0"/>
        <w:ind w:left="0" w:right="1062" w:firstLine="0"/>
        <w:jc w:val="right"/>
        <w:rPr>
          <w:rFonts w:ascii="Times New Roman"/>
          <w:i/>
          <w:sz w:val="25"/>
        </w:rPr>
      </w:pPr>
      <w:r>
        <w:rPr>
          <w:rFonts w:ascii="Times New Roman"/>
          <w:i/>
          <w:w w:val="96"/>
          <w:sz w:val="25"/>
        </w:rPr>
        <w:t>T</w:t>
      </w:r>
    </w:p>
    <w:p>
      <w:pPr>
        <w:pStyle w:val="BodyText"/>
        <w:rPr>
          <w:rFonts w:ascii="Times New Roman"/>
          <w:i/>
          <w:sz w:val="16"/>
        </w:rPr>
      </w:pPr>
      <w:r>
        <w:rPr/>
        <w:br w:type="column"/>
      </w:r>
      <w:r>
        <w:rPr>
          <w:rFonts w:ascii="Times New Roman"/>
          <w:i/>
          <w:sz w:val="16"/>
        </w:rPr>
      </w:r>
    </w:p>
    <w:p>
      <w:pPr>
        <w:pStyle w:val="BodyText"/>
        <w:rPr>
          <w:rFonts w:ascii="Times New Roman"/>
          <w:i/>
          <w:sz w:val="16"/>
        </w:rPr>
      </w:pPr>
    </w:p>
    <w:p>
      <w:pPr>
        <w:spacing w:before="127"/>
        <w:ind w:left="-30" w:right="0" w:firstLine="0"/>
        <w:jc w:val="left"/>
        <w:rPr>
          <w:rFonts w:ascii="Times New Roman"/>
          <w:i/>
          <w:sz w:val="15"/>
        </w:rPr>
      </w:pPr>
      <w:r>
        <w:rPr>
          <w:rFonts w:ascii="Times New Roman"/>
          <w:i/>
          <w:w w:val="90"/>
          <w:sz w:val="15"/>
        </w:rPr>
        <w:t>delay</w:t>
      </w:r>
    </w:p>
    <w:p>
      <w:pPr>
        <w:pStyle w:val="BodyText"/>
        <w:spacing w:before="9"/>
        <w:rPr>
          <w:rFonts w:ascii="Times New Roman"/>
          <w:i/>
          <w:sz w:val="27"/>
        </w:rPr>
      </w:pPr>
      <w:r>
        <w:rPr/>
        <w:br w:type="column"/>
      </w:r>
      <w:r>
        <w:rPr>
          <w:rFonts w:ascii="Times New Roman"/>
          <w:i/>
          <w:sz w:val="27"/>
        </w:rPr>
      </w:r>
    </w:p>
    <w:p>
      <w:pPr>
        <w:pStyle w:val="ListParagraph"/>
        <w:numPr>
          <w:ilvl w:val="0"/>
          <w:numId w:val="10"/>
        </w:numPr>
        <w:tabs>
          <w:tab w:pos="166" w:val="left" w:leader="none"/>
        </w:tabs>
        <w:spacing w:line="240" w:lineRule="auto" w:before="1" w:after="0"/>
        <w:ind w:left="165" w:right="0" w:hanging="141"/>
        <w:jc w:val="left"/>
        <w:rPr>
          <w:rFonts w:ascii="Times New Roman" w:hAnsi="Times New Roman"/>
          <w:i/>
          <w:sz w:val="25"/>
        </w:rPr>
      </w:pPr>
      <w:r>
        <w:rPr>
          <w:rFonts w:ascii="Times New Roman" w:hAnsi="Times New Roman"/>
          <w:i/>
          <w:w w:val="90"/>
          <w:sz w:val="25"/>
        </w:rPr>
        <w:t>f </w:t>
      </w:r>
      <w:r>
        <w:rPr>
          <w:rFonts w:ascii="Symbol" w:hAnsi="Symbol"/>
          <w:w w:val="90"/>
          <w:sz w:val="25"/>
        </w:rPr>
        <w:t></w:t>
      </w:r>
      <w:r>
        <w:rPr>
          <w:rFonts w:ascii="Times New Roman" w:hAnsi="Times New Roman"/>
          <w:spacing w:val="1"/>
          <w:w w:val="90"/>
          <w:sz w:val="25"/>
        </w:rPr>
        <w:t> </w:t>
      </w:r>
      <w:r>
        <w:rPr>
          <w:rFonts w:ascii="Times New Roman" w:hAnsi="Times New Roman"/>
          <w:w w:val="90"/>
          <w:sz w:val="25"/>
        </w:rPr>
        <w:t>360</w:t>
      </w:r>
      <w:r>
        <w:rPr>
          <w:rFonts w:ascii="Times New Roman" w:hAnsi="Times New Roman"/>
          <w:i/>
          <w:w w:val="90"/>
          <w:sz w:val="25"/>
          <w:vertAlign w:val="superscript"/>
        </w:rPr>
        <w:t>o</w:t>
      </w:r>
    </w:p>
    <w:p>
      <w:pPr>
        <w:spacing w:after="0" w:line="240" w:lineRule="auto"/>
        <w:jc w:val="left"/>
        <w:rPr>
          <w:rFonts w:ascii="Times New Roman" w:hAnsi="Times New Roman"/>
          <w:sz w:val="25"/>
        </w:rPr>
        <w:sectPr>
          <w:type w:val="continuous"/>
          <w:pgSz w:w="12240" w:h="15840"/>
          <w:pgMar w:top="940" w:bottom="280" w:left="820" w:right="860"/>
          <w:cols w:num="3" w:equalWidth="0">
            <w:col w:w="5539" w:space="40"/>
            <w:col w:w="274" w:space="39"/>
            <w:col w:w="4668"/>
          </w:cols>
        </w:sectPr>
      </w:pPr>
    </w:p>
    <w:p>
      <w:pPr>
        <w:pStyle w:val="BodyText"/>
        <w:spacing w:line="242" w:lineRule="auto" w:before="115"/>
        <w:ind w:left="619" w:right="832"/>
      </w:pPr>
      <w:r>
        <w:rPr/>
        <w:t>Where </w:t>
      </w:r>
      <w:r>
        <w:rPr>
          <w:i/>
        </w:rPr>
        <w:t>f </w:t>
      </w:r>
      <w:r>
        <w:rPr/>
        <w:t>is the frequency of the input signal, T = 1/f and </w:t>
      </w:r>
      <w:r>
        <w:rPr>
          <w:i/>
        </w:rPr>
        <w:t>t</w:t>
      </w:r>
      <w:r>
        <w:rPr>
          <w:i/>
          <w:vertAlign w:val="subscript"/>
        </w:rPr>
        <w:t>delay</w:t>
      </w:r>
      <w:r>
        <w:rPr>
          <w:i/>
          <w:vertAlign w:val="baseline"/>
        </w:rPr>
        <w:t> </w:t>
      </w:r>
      <w:r>
        <w:rPr>
          <w:vertAlign w:val="baseline"/>
        </w:rPr>
        <w:t>is the sampling delay between current and voltage.</w:t>
      </w:r>
    </w:p>
    <w:p>
      <w:pPr>
        <w:pStyle w:val="BodyText"/>
        <w:spacing w:before="119"/>
        <w:ind w:left="619" w:right="761"/>
      </w:pPr>
      <w:r>
        <w:rPr/>
        <w:t>Traditionally, sampling is accomplished by using two A/D converters per phase (one for voltage and the other one for current) controlled to sample simultaneously. Maxim’s Single Converter Technology, however, exploits the 32-bit signal processing capability of its CE to implement “constant delay” all-pass filters. The all-pass filter corrects for the conversion time difference between the voltage and the corresponding current samples that are obtained with a single multiplexed A/D</w:t>
      </w:r>
      <w:r>
        <w:rPr>
          <w:spacing w:val="-17"/>
        </w:rPr>
        <w:t> </w:t>
      </w:r>
      <w:r>
        <w:rPr/>
        <w:t>converter.</w:t>
      </w:r>
    </w:p>
    <w:p>
      <w:pPr>
        <w:pStyle w:val="BodyText"/>
        <w:spacing w:before="120"/>
        <w:ind w:left="619" w:right="633"/>
      </w:pPr>
      <w:r>
        <w:rPr/>
        <w:t>The “constant delay” all-pass filter provides a broad-band delay 360</w:t>
      </w:r>
      <w:r>
        <w:rPr>
          <w:vertAlign w:val="superscript"/>
        </w:rPr>
        <w:t>o</w:t>
      </w:r>
      <w:r>
        <w:rPr>
          <w:vertAlign w:val="baseline"/>
        </w:rPr>
        <w:t> - θ, which is precisely matched to the</w:t>
      </w:r>
      <w:r>
        <w:rPr>
          <w:spacing w:val="-4"/>
          <w:vertAlign w:val="baseline"/>
        </w:rPr>
        <w:t> </w:t>
      </w:r>
      <w:r>
        <w:rPr>
          <w:vertAlign w:val="baseline"/>
        </w:rPr>
        <w:t>difference</w:t>
      </w:r>
      <w:r>
        <w:rPr>
          <w:spacing w:val="-2"/>
          <w:vertAlign w:val="baseline"/>
        </w:rPr>
        <w:t> </w:t>
      </w:r>
      <w:r>
        <w:rPr>
          <w:vertAlign w:val="baseline"/>
        </w:rPr>
        <w:t>in</w:t>
      </w:r>
      <w:r>
        <w:rPr>
          <w:spacing w:val="-3"/>
          <w:vertAlign w:val="baseline"/>
        </w:rPr>
        <w:t> </w:t>
      </w:r>
      <w:r>
        <w:rPr>
          <w:vertAlign w:val="baseline"/>
        </w:rPr>
        <w:t>sample</w:t>
      </w:r>
      <w:r>
        <w:rPr>
          <w:spacing w:val="-4"/>
          <w:vertAlign w:val="baseline"/>
        </w:rPr>
        <w:t> </w:t>
      </w:r>
      <w:r>
        <w:rPr>
          <w:vertAlign w:val="baseline"/>
        </w:rPr>
        <w:t>time</w:t>
      </w:r>
      <w:r>
        <w:rPr>
          <w:spacing w:val="-3"/>
          <w:vertAlign w:val="baseline"/>
        </w:rPr>
        <w:t> </w:t>
      </w:r>
      <w:r>
        <w:rPr>
          <w:vertAlign w:val="baseline"/>
        </w:rPr>
        <w:t>between</w:t>
      </w:r>
      <w:r>
        <w:rPr>
          <w:spacing w:val="-4"/>
          <w:vertAlign w:val="baseline"/>
        </w:rPr>
        <w:t> </w:t>
      </w:r>
      <w:r>
        <w:rPr>
          <w:vertAlign w:val="baseline"/>
        </w:rPr>
        <w:t>the</w:t>
      </w:r>
      <w:r>
        <w:rPr>
          <w:spacing w:val="-3"/>
          <w:vertAlign w:val="baseline"/>
        </w:rPr>
        <w:t> </w:t>
      </w:r>
      <w:r>
        <w:rPr>
          <w:vertAlign w:val="baseline"/>
        </w:rPr>
        <w:t>voltage</w:t>
      </w:r>
      <w:r>
        <w:rPr>
          <w:spacing w:val="-2"/>
          <w:vertAlign w:val="baseline"/>
        </w:rPr>
        <w:t> </w:t>
      </w:r>
      <w:r>
        <w:rPr>
          <w:vertAlign w:val="baseline"/>
        </w:rPr>
        <w:t>and</w:t>
      </w:r>
      <w:r>
        <w:rPr>
          <w:spacing w:val="-1"/>
          <w:vertAlign w:val="baseline"/>
        </w:rPr>
        <w:t> </w:t>
      </w:r>
      <w:r>
        <w:rPr>
          <w:vertAlign w:val="baseline"/>
        </w:rPr>
        <w:t>the</w:t>
      </w:r>
      <w:r>
        <w:rPr>
          <w:spacing w:val="-4"/>
          <w:vertAlign w:val="baseline"/>
        </w:rPr>
        <w:t> </w:t>
      </w:r>
      <w:r>
        <w:rPr>
          <w:vertAlign w:val="baseline"/>
        </w:rPr>
        <w:t>current</w:t>
      </w:r>
      <w:r>
        <w:rPr>
          <w:spacing w:val="-1"/>
          <w:vertAlign w:val="baseline"/>
        </w:rPr>
        <w:t> </w:t>
      </w:r>
      <w:r>
        <w:rPr>
          <w:vertAlign w:val="baseline"/>
        </w:rPr>
        <w:t>of</w:t>
      </w:r>
      <w:r>
        <w:rPr>
          <w:spacing w:val="-2"/>
          <w:vertAlign w:val="baseline"/>
        </w:rPr>
        <w:t> </w:t>
      </w:r>
      <w:r>
        <w:rPr>
          <w:vertAlign w:val="baseline"/>
        </w:rPr>
        <w:t>a</w:t>
      </w:r>
      <w:r>
        <w:rPr>
          <w:spacing w:val="-4"/>
          <w:vertAlign w:val="baseline"/>
        </w:rPr>
        <w:t> </w:t>
      </w:r>
      <w:r>
        <w:rPr>
          <w:vertAlign w:val="baseline"/>
        </w:rPr>
        <w:t>given</w:t>
      </w:r>
      <w:r>
        <w:rPr>
          <w:spacing w:val="-3"/>
          <w:vertAlign w:val="baseline"/>
        </w:rPr>
        <w:t> </w:t>
      </w:r>
      <w:r>
        <w:rPr>
          <w:vertAlign w:val="baseline"/>
        </w:rPr>
        <w:t>phase.</w:t>
      </w:r>
      <w:r>
        <w:rPr>
          <w:spacing w:val="-1"/>
          <w:vertAlign w:val="baseline"/>
        </w:rPr>
        <w:t> </w:t>
      </w:r>
      <w:r>
        <w:rPr>
          <w:vertAlign w:val="baseline"/>
        </w:rPr>
        <w:t>This</w:t>
      </w:r>
      <w:r>
        <w:rPr>
          <w:spacing w:val="-2"/>
          <w:vertAlign w:val="baseline"/>
        </w:rPr>
        <w:t> </w:t>
      </w:r>
      <w:r>
        <w:rPr>
          <w:vertAlign w:val="baseline"/>
        </w:rPr>
        <w:t>digital</w:t>
      </w:r>
      <w:r>
        <w:rPr>
          <w:spacing w:val="-5"/>
          <w:vertAlign w:val="baseline"/>
        </w:rPr>
        <w:t> </w:t>
      </w:r>
      <w:r>
        <w:rPr>
          <w:vertAlign w:val="baseline"/>
        </w:rPr>
        <w:t>filter</w:t>
      </w:r>
      <w:r>
        <w:rPr>
          <w:spacing w:val="-2"/>
          <w:vertAlign w:val="baseline"/>
        </w:rPr>
        <w:t> </w:t>
      </w:r>
      <w:r>
        <w:rPr>
          <w:vertAlign w:val="baseline"/>
        </w:rPr>
        <w:t>does not affect the amplitude of the signal, but provides a precisely controlled phase</w:t>
      </w:r>
      <w:r>
        <w:rPr>
          <w:spacing w:val="-18"/>
          <w:vertAlign w:val="baseline"/>
        </w:rPr>
        <w:t> </w:t>
      </w:r>
      <w:r>
        <w:rPr>
          <w:vertAlign w:val="baseline"/>
        </w:rPr>
        <w:t>response.</w:t>
      </w:r>
    </w:p>
    <w:p>
      <w:pPr>
        <w:spacing w:after="0"/>
        <w:sectPr>
          <w:type w:val="continuous"/>
          <w:pgSz w:w="12240" w:h="15840"/>
          <w:pgMar w:top="940" w:bottom="280" w:left="820" w:right="860"/>
        </w:sectPr>
      </w:pPr>
    </w:p>
    <w:p>
      <w:pPr>
        <w:pStyle w:val="BodyText"/>
        <w:spacing w:before="11"/>
        <w:rPr>
          <w:sz w:val="12"/>
        </w:rPr>
      </w:pPr>
    </w:p>
    <w:p>
      <w:pPr>
        <w:pStyle w:val="BodyText"/>
        <w:spacing w:before="93"/>
        <w:ind w:left="619" w:right="669"/>
      </w:pPr>
      <w:r>
        <w:rPr/>
        <w:t>The recommended ADC multiplexer sequence samples the current first, immediately followed by sampling of the corresponding phase voltage, thus the voltage is delayed by a phase angle Ф relative to the current. The delay compensation implemented in the CE aligns the voltage samples with their corresponding current samples by first delaying the current samples by one full sample interval (i.e., 360</w:t>
      </w:r>
      <w:r>
        <w:rPr>
          <w:vertAlign w:val="superscript"/>
        </w:rPr>
        <w:t>o</w:t>
      </w:r>
      <w:r>
        <w:rPr>
          <w:vertAlign w:val="baseline"/>
        </w:rPr>
        <w:t>), then routing the voltage samples through the all-pass filter, thus delaying the voltage samples by 360</w:t>
      </w:r>
      <w:r>
        <w:rPr>
          <w:vertAlign w:val="superscript"/>
        </w:rPr>
        <w:t>o</w:t>
      </w:r>
      <w:r>
        <w:rPr>
          <w:vertAlign w:val="baseline"/>
        </w:rPr>
        <w:t> - θ</w:t>
      </w:r>
      <w:r>
        <w:rPr>
          <w:i/>
          <w:vertAlign w:val="baseline"/>
        </w:rPr>
        <w:t>, </w:t>
      </w:r>
      <w:r>
        <w:rPr>
          <w:vertAlign w:val="baseline"/>
        </w:rPr>
        <w:t>resulting in the residual phase error between the current and its corresponding voltage of θ </w:t>
      </w:r>
      <w:r>
        <w:rPr>
          <w:i/>
          <w:vertAlign w:val="baseline"/>
        </w:rPr>
        <w:t>– </w:t>
      </w:r>
      <w:r>
        <w:rPr>
          <w:vertAlign w:val="baseline"/>
        </w:rPr>
        <w:t>Ф</w:t>
      </w:r>
      <w:r>
        <w:rPr>
          <w:i/>
          <w:vertAlign w:val="baseline"/>
        </w:rPr>
        <w:t>. </w:t>
      </w:r>
      <w:r>
        <w:rPr>
          <w:vertAlign w:val="baseline"/>
        </w:rPr>
        <w:t>The residual phase error is negligible, and is typically less than ±1.5 milli-degrees at 100Hz, thus it does not contribute to errors in the energy measurements.</w:t>
      </w:r>
    </w:p>
    <w:p>
      <w:pPr>
        <w:pStyle w:val="BodyText"/>
        <w:spacing w:before="121"/>
        <w:ind w:left="619" w:right="716"/>
      </w:pPr>
      <w:r>
        <w:rPr/>
        <w:t>When using remote sensors, the CE performs the same delay compensation described above to align each voltage sample with its corresponding current sample. Even though the remote current samples do not pass through the 71M6543 multiplexer, their timing relationship to their corresponding voltages is fixed and precisely known, provided that the </w:t>
      </w:r>
      <w:r>
        <w:rPr>
          <w:rFonts w:ascii="Times New Roman"/>
          <w:i/>
        </w:rPr>
        <w:t>MUXn_SEL[3:0] </w:t>
      </w:r>
      <w:r>
        <w:rPr/>
        <w:t>slot assignment fields are programmed as shown in </w:t>
      </w:r>
      <w:hyperlink w:history="true" w:anchor="_bookmark9">
        <w:r>
          <w:rPr>
            <w:color w:val="0000FF"/>
          </w:rPr>
          <w:t>Table 1</w:t>
        </w:r>
        <w:r>
          <w:rPr/>
          <w:t>. </w:t>
        </w:r>
      </w:hyperlink>
      <w:r>
        <w:rPr/>
        <w:t>Note that these slot assignments result in VA, VB and VC occupying multiplexer slots 3, 4 and 5, respectively (see </w:t>
      </w:r>
      <w:hyperlink w:history="true" w:anchor="_bookmark11">
        <w:r>
          <w:rPr>
            <w:color w:val="0000FF"/>
          </w:rPr>
          <w:t>Figure 4</w:t>
        </w:r>
      </w:hyperlink>
      <w:r>
        <w:rPr/>
        <w:t>).</w:t>
      </w:r>
    </w:p>
    <w:p>
      <w:pPr>
        <w:pStyle w:val="BodyText"/>
        <w:spacing w:before="2"/>
        <w:rPr>
          <w:sz w:val="30"/>
        </w:rPr>
      </w:pPr>
    </w:p>
    <w:p>
      <w:pPr>
        <w:pStyle w:val="ListParagraph"/>
        <w:numPr>
          <w:ilvl w:val="2"/>
          <w:numId w:val="7"/>
        </w:numPr>
        <w:tabs>
          <w:tab w:pos="1339" w:val="left" w:leader="none"/>
          <w:tab w:pos="1340" w:val="left" w:leader="none"/>
        </w:tabs>
        <w:spacing w:line="240" w:lineRule="auto" w:before="0" w:after="0"/>
        <w:ind w:left="1339" w:right="0" w:hanging="720"/>
        <w:jc w:val="left"/>
        <w:rPr>
          <w:b/>
          <w:sz w:val="22"/>
        </w:rPr>
      </w:pPr>
      <w:bookmarkStart w:name="2.2.4 ADC Pre-Amplifier" w:id="30"/>
      <w:bookmarkEnd w:id="30"/>
      <w:r>
        <w:rPr/>
      </w:r>
      <w:bookmarkStart w:name="_bookmark15" w:id="31"/>
      <w:bookmarkEnd w:id="31"/>
      <w:r>
        <w:rPr/>
      </w:r>
      <w:bookmarkStart w:name="_bookmark15" w:id="32"/>
      <w:bookmarkEnd w:id="32"/>
      <w:r>
        <w:rPr>
          <w:b/>
          <w:sz w:val="22"/>
        </w:rPr>
        <w:t>A</w:t>
      </w:r>
      <w:r>
        <w:rPr>
          <w:b/>
          <w:sz w:val="22"/>
        </w:rPr>
        <w:t>DC</w:t>
      </w:r>
      <w:r>
        <w:rPr>
          <w:b/>
          <w:spacing w:val="-1"/>
          <w:sz w:val="22"/>
        </w:rPr>
        <w:t> </w:t>
      </w:r>
      <w:r>
        <w:rPr>
          <w:b/>
          <w:sz w:val="22"/>
        </w:rPr>
        <w:t>Pre-Amplifier</w:t>
      </w:r>
    </w:p>
    <w:p>
      <w:pPr>
        <w:pStyle w:val="BodyText"/>
        <w:spacing w:before="121"/>
        <w:ind w:left="618" w:right="591" w:firstLine="1"/>
      </w:pPr>
      <w:r>
        <w:rPr/>
        <w:t>The ADC pre-amplifier is a low-noise differential amplifier with a fixed gain of 8 available only on the IADC0-IADC1 sensor input pins. A gain of 8 is enabled by setting </w:t>
      </w:r>
      <w:r>
        <w:rPr>
          <w:rFonts w:ascii="Times New Roman"/>
          <w:i/>
        </w:rPr>
        <w:t>PRE_E </w:t>
      </w:r>
      <w:r>
        <w:rPr/>
        <w:t>= 1 (</w:t>
      </w:r>
      <w:r>
        <w:rPr>
          <w:rFonts w:ascii="Times New Roman"/>
          <w:i/>
        </w:rPr>
        <w:t>I/O RAM 0x2704[5]</w:t>
      </w:r>
      <w:r>
        <w:rPr/>
        <w:t>). When disabled, the supply current of the pre-amplifier is &lt;10 nA and the gain is unity. With proper settings of the </w:t>
      </w:r>
      <w:r>
        <w:rPr>
          <w:rFonts w:ascii="Times New Roman"/>
          <w:i/>
        </w:rPr>
        <w:t>PRE_E  </w:t>
      </w:r>
      <w:r>
        <w:rPr/>
        <w:t>and </w:t>
      </w:r>
      <w:r>
        <w:rPr>
          <w:rFonts w:ascii="Times New Roman"/>
          <w:i/>
        </w:rPr>
        <w:t>DIFF0_E </w:t>
      </w:r>
      <w:r>
        <w:rPr/>
        <w:t>(</w:t>
      </w:r>
      <w:r>
        <w:rPr>
          <w:rFonts w:ascii="Times New Roman"/>
          <w:i/>
        </w:rPr>
        <w:t>I/O RAM </w:t>
      </w:r>
      <w:r>
        <w:rPr>
          <w:rFonts w:ascii="Times New Roman"/>
          <w:i/>
          <w:spacing w:val="2"/>
        </w:rPr>
        <w:t>0x210C[4]</w:t>
      </w:r>
      <w:r>
        <w:rPr>
          <w:spacing w:val="2"/>
        </w:rPr>
        <w:t>) </w:t>
      </w:r>
      <w:r>
        <w:rPr/>
        <w:t>bits, the pre-amplifier can be used whether differential mode   is selected or not. For best performance, the differential mode is recommended. In order to save power, the bias current of the pre-amplifier and ADC is adjusted according to the </w:t>
      </w:r>
      <w:r>
        <w:rPr>
          <w:rFonts w:ascii="Times New Roman"/>
          <w:i/>
        </w:rPr>
        <w:t>ADC_DIV </w:t>
      </w:r>
      <w:r>
        <w:rPr/>
        <w:t>control bit (</w:t>
      </w:r>
      <w:r>
        <w:rPr>
          <w:rFonts w:ascii="Times New Roman"/>
          <w:i/>
        </w:rPr>
        <w:t>I/O RAM </w:t>
      </w:r>
      <w:r>
        <w:rPr>
          <w:rFonts w:ascii="Times New Roman"/>
          <w:i/>
        </w:rPr>
        <w:t>0x2200[5]</w:t>
      </w:r>
      <w:r>
        <w:rPr/>
        <w:t>).</w:t>
      </w:r>
    </w:p>
    <w:p>
      <w:pPr>
        <w:pStyle w:val="ListParagraph"/>
        <w:numPr>
          <w:ilvl w:val="2"/>
          <w:numId w:val="7"/>
        </w:numPr>
        <w:tabs>
          <w:tab w:pos="1339" w:val="left" w:leader="none"/>
          <w:tab w:pos="1340" w:val="left" w:leader="none"/>
        </w:tabs>
        <w:spacing w:line="240" w:lineRule="auto" w:before="118" w:after="0"/>
        <w:ind w:left="1339" w:right="0" w:hanging="720"/>
        <w:jc w:val="left"/>
        <w:rPr>
          <w:b/>
          <w:sz w:val="22"/>
        </w:rPr>
      </w:pPr>
      <w:bookmarkStart w:name="2.2.5 A/D Converter (ADC)" w:id="33"/>
      <w:bookmarkEnd w:id="33"/>
      <w:r>
        <w:rPr/>
      </w:r>
      <w:bookmarkStart w:name="_bookmark16" w:id="34"/>
      <w:bookmarkEnd w:id="34"/>
      <w:r>
        <w:rPr/>
      </w:r>
      <w:bookmarkStart w:name="_bookmark16" w:id="35"/>
      <w:bookmarkEnd w:id="35"/>
      <w:r>
        <w:rPr>
          <w:b/>
          <w:sz w:val="22"/>
        </w:rPr>
        <w:t>A</w:t>
      </w:r>
      <w:r>
        <w:rPr>
          <w:b/>
          <w:sz w:val="22"/>
        </w:rPr>
        <w:t>/D Converter</w:t>
      </w:r>
      <w:r>
        <w:rPr>
          <w:b/>
          <w:spacing w:val="-2"/>
          <w:sz w:val="22"/>
        </w:rPr>
        <w:t> </w:t>
      </w:r>
      <w:r>
        <w:rPr>
          <w:b/>
          <w:sz w:val="22"/>
        </w:rPr>
        <w:t>(ADC)</w:t>
      </w:r>
    </w:p>
    <w:p>
      <w:pPr>
        <w:pStyle w:val="BodyText"/>
        <w:spacing w:before="102"/>
        <w:ind w:left="620" w:right="861" w:hanging="1"/>
      </w:pPr>
      <w:r>
        <w:rPr/>
        <w:t>A single 2</w:t>
      </w:r>
      <w:r>
        <w:rPr>
          <w:vertAlign w:val="superscript"/>
        </w:rPr>
        <w:t>nd</w:t>
      </w:r>
      <w:r>
        <w:rPr>
          <w:vertAlign w:val="baseline"/>
        </w:rPr>
        <w:t> order sigma-delta A/D converter digitizes the voltage and current inputs to the device. The resolution of the ADC, including the sign bit, is 21 bits (</w:t>
      </w:r>
      <w:r>
        <w:rPr>
          <w:rFonts w:ascii="Times New Roman"/>
          <w:i/>
          <w:vertAlign w:val="baseline"/>
        </w:rPr>
        <w:t>FIR_LEN[1:0] </w:t>
      </w:r>
      <w:r>
        <w:rPr>
          <w:vertAlign w:val="baseline"/>
        </w:rPr>
        <w:t>= 01, </w:t>
      </w:r>
      <w:r>
        <w:rPr>
          <w:rFonts w:ascii="Times New Roman"/>
          <w:i/>
          <w:vertAlign w:val="baseline"/>
        </w:rPr>
        <w:t>I/O RAM 0x210C[2:1]</w:t>
      </w:r>
      <w:r>
        <w:rPr>
          <w:vertAlign w:val="baseline"/>
        </w:rPr>
        <w:t>), or 22 bits (</w:t>
      </w:r>
      <w:r>
        <w:rPr>
          <w:rFonts w:ascii="Times New Roman"/>
          <w:i/>
          <w:vertAlign w:val="baseline"/>
        </w:rPr>
        <w:t>FIR_LEN[1:0] </w:t>
      </w:r>
      <w:r>
        <w:rPr>
          <w:vertAlign w:val="baseline"/>
        </w:rPr>
        <w:t>= 10). The ADC is clocked by CKADC.</w:t>
      </w:r>
    </w:p>
    <w:p>
      <w:pPr>
        <w:pStyle w:val="BodyText"/>
        <w:spacing w:before="122"/>
        <w:ind w:left="620" w:right="575"/>
      </w:pPr>
      <w:r>
        <w:rPr/>
        <w:t>Initiation of each ADC conversion is controlled by the internal MUX_CTRL circuit as described earlier. At the end of each</w:t>
      </w:r>
      <w:r>
        <w:rPr>
          <w:spacing w:val="-3"/>
        </w:rPr>
        <w:t> ADC conversion, </w:t>
      </w:r>
      <w:r>
        <w:rPr/>
        <w:t>the FIR </w:t>
      </w:r>
      <w:r>
        <w:rPr>
          <w:spacing w:val="-3"/>
        </w:rPr>
        <w:t>filter output data </w:t>
      </w:r>
      <w:r>
        <w:rPr/>
        <w:t>is </w:t>
      </w:r>
      <w:r>
        <w:rPr>
          <w:spacing w:val="-3"/>
        </w:rPr>
        <w:t>stored into </w:t>
      </w:r>
      <w:r>
        <w:rPr/>
        <w:t>the CE </w:t>
      </w:r>
      <w:r>
        <w:rPr>
          <w:spacing w:val="-3"/>
        </w:rPr>
        <w:t>RAM location determined </w:t>
      </w:r>
      <w:r>
        <w:rPr/>
        <w:t>by the </w:t>
      </w:r>
      <w:r>
        <w:rPr>
          <w:spacing w:val="-3"/>
        </w:rPr>
        <w:t>multiplexer </w:t>
      </w:r>
      <w:r>
        <w:rPr/>
        <w:t>selection.</w:t>
      </w:r>
    </w:p>
    <w:p>
      <w:pPr>
        <w:pStyle w:val="ListParagraph"/>
        <w:numPr>
          <w:ilvl w:val="2"/>
          <w:numId w:val="7"/>
        </w:numPr>
        <w:tabs>
          <w:tab w:pos="1339" w:val="left" w:leader="none"/>
          <w:tab w:pos="1340" w:val="left" w:leader="none"/>
        </w:tabs>
        <w:spacing w:line="240" w:lineRule="auto" w:before="116" w:after="0"/>
        <w:ind w:left="1339" w:right="0" w:hanging="720"/>
        <w:jc w:val="left"/>
        <w:rPr>
          <w:b/>
          <w:sz w:val="22"/>
        </w:rPr>
      </w:pPr>
      <w:bookmarkStart w:name="2.2.6 FIR Filter" w:id="36"/>
      <w:bookmarkEnd w:id="36"/>
      <w:r>
        <w:rPr/>
      </w:r>
      <w:bookmarkStart w:name="_bookmark17" w:id="37"/>
      <w:bookmarkEnd w:id="37"/>
      <w:r>
        <w:rPr/>
      </w:r>
      <w:bookmarkStart w:name="_bookmark17" w:id="38"/>
      <w:bookmarkEnd w:id="38"/>
      <w:r>
        <w:rPr>
          <w:b/>
          <w:sz w:val="22"/>
        </w:rPr>
        <w:t>F</w:t>
      </w:r>
      <w:r>
        <w:rPr>
          <w:b/>
          <w:sz w:val="22"/>
        </w:rPr>
        <w:t>IR</w:t>
      </w:r>
      <w:r>
        <w:rPr>
          <w:b/>
          <w:spacing w:val="-1"/>
          <w:sz w:val="22"/>
        </w:rPr>
        <w:t> </w:t>
      </w:r>
      <w:r>
        <w:rPr>
          <w:b/>
          <w:sz w:val="22"/>
        </w:rPr>
        <w:t>Filter</w:t>
      </w:r>
    </w:p>
    <w:p>
      <w:pPr>
        <w:pStyle w:val="BodyText"/>
        <w:spacing w:before="102"/>
        <w:ind w:left="620" w:right="559"/>
      </w:pPr>
      <w:r>
        <w:rPr/>
        <w:t>The</w:t>
      </w:r>
      <w:r>
        <w:rPr>
          <w:spacing w:val="-12"/>
        </w:rPr>
        <w:t> </w:t>
      </w:r>
      <w:r>
        <w:rPr>
          <w:spacing w:val="-3"/>
        </w:rPr>
        <w:t>finite</w:t>
      </w:r>
      <w:r>
        <w:rPr>
          <w:spacing w:val="-9"/>
        </w:rPr>
        <w:t> </w:t>
      </w:r>
      <w:r>
        <w:rPr>
          <w:spacing w:val="-3"/>
        </w:rPr>
        <w:t>impulse</w:t>
      </w:r>
      <w:r>
        <w:rPr>
          <w:spacing w:val="-12"/>
        </w:rPr>
        <w:t> </w:t>
      </w:r>
      <w:r>
        <w:rPr>
          <w:spacing w:val="-3"/>
        </w:rPr>
        <w:t>response</w:t>
      </w:r>
      <w:r>
        <w:rPr>
          <w:spacing w:val="-12"/>
        </w:rPr>
        <w:t> </w:t>
      </w:r>
      <w:r>
        <w:rPr>
          <w:spacing w:val="-3"/>
        </w:rPr>
        <w:t>filter</w:t>
      </w:r>
      <w:r>
        <w:rPr>
          <w:spacing w:val="-8"/>
        </w:rPr>
        <w:t> </w:t>
      </w:r>
      <w:r>
        <w:rPr/>
        <w:t>is</w:t>
      </w:r>
      <w:r>
        <w:rPr>
          <w:spacing w:val="-9"/>
        </w:rPr>
        <w:t> </w:t>
      </w:r>
      <w:r>
        <w:rPr/>
        <w:t>an</w:t>
      </w:r>
      <w:r>
        <w:rPr>
          <w:spacing w:val="-9"/>
        </w:rPr>
        <w:t> </w:t>
      </w:r>
      <w:r>
        <w:rPr>
          <w:spacing w:val="-3"/>
        </w:rPr>
        <w:t>integral</w:t>
      </w:r>
      <w:r>
        <w:rPr>
          <w:spacing w:val="-10"/>
        </w:rPr>
        <w:t> </w:t>
      </w:r>
      <w:r>
        <w:rPr/>
        <w:t>part</w:t>
      </w:r>
      <w:r>
        <w:rPr>
          <w:spacing w:val="-9"/>
        </w:rPr>
        <w:t> </w:t>
      </w:r>
      <w:r>
        <w:rPr>
          <w:spacing w:val="-3"/>
        </w:rPr>
        <w:t>of</w:t>
      </w:r>
      <w:r>
        <w:rPr>
          <w:spacing w:val="-6"/>
        </w:rPr>
        <w:t> </w:t>
      </w:r>
      <w:r>
        <w:rPr/>
        <w:t>the</w:t>
      </w:r>
      <w:r>
        <w:rPr>
          <w:spacing w:val="-11"/>
        </w:rPr>
        <w:t> </w:t>
      </w:r>
      <w:r>
        <w:rPr>
          <w:spacing w:val="-3"/>
        </w:rPr>
        <w:t>ADC</w:t>
      </w:r>
      <w:r>
        <w:rPr>
          <w:spacing w:val="-8"/>
        </w:rPr>
        <w:t> </w:t>
      </w:r>
      <w:r>
        <w:rPr/>
        <w:t>and</w:t>
      </w:r>
      <w:r>
        <w:rPr>
          <w:spacing w:val="-9"/>
        </w:rPr>
        <w:t> </w:t>
      </w:r>
      <w:r>
        <w:rPr/>
        <w:t>it</w:t>
      </w:r>
      <w:r>
        <w:rPr>
          <w:spacing w:val="-9"/>
        </w:rPr>
        <w:t> </w:t>
      </w:r>
      <w:r>
        <w:rPr/>
        <w:t>is</w:t>
      </w:r>
      <w:r>
        <w:rPr>
          <w:spacing w:val="-7"/>
        </w:rPr>
        <w:t> </w:t>
      </w:r>
      <w:r>
        <w:rPr>
          <w:spacing w:val="-3"/>
        </w:rPr>
        <w:t>optimized</w:t>
      </w:r>
      <w:r>
        <w:rPr>
          <w:spacing w:val="-9"/>
        </w:rPr>
        <w:t> </w:t>
      </w:r>
      <w:r>
        <w:rPr/>
        <w:t>for</w:t>
      </w:r>
      <w:r>
        <w:rPr>
          <w:spacing w:val="-8"/>
        </w:rPr>
        <w:t> </w:t>
      </w:r>
      <w:r>
        <w:rPr/>
        <w:t>use</w:t>
      </w:r>
      <w:r>
        <w:rPr>
          <w:spacing w:val="-8"/>
        </w:rPr>
        <w:t> </w:t>
      </w:r>
      <w:r>
        <w:rPr>
          <w:spacing w:val="-3"/>
        </w:rPr>
        <w:t>with</w:t>
      </w:r>
      <w:r>
        <w:rPr>
          <w:spacing w:val="-9"/>
        </w:rPr>
        <w:t> </w:t>
      </w:r>
      <w:r>
        <w:rPr/>
        <w:t>the</w:t>
      </w:r>
      <w:r>
        <w:rPr>
          <w:spacing w:val="-9"/>
        </w:rPr>
        <w:t> </w:t>
      </w:r>
      <w:r>
        <w:rPr>
          <w:spacing w:val="-3"/>
        </w:rPr>
        <w:t>multiplexer. </w:t>
      </w:r>
      <w:r>
        <w:rPr/>
        <w:t>The purpose of the FIR filter is to decimate the ADC output to the desired resolution. At the end of each ADC conversion, the output data is stored into the fixed CE RAM location determined by the multiplexer selection stored in the </w:t>
      </w:r>
      <w:r>
        <w:rPr>
          <w:rFonts w:ascii="Times New Roman"/>
          <w:i/>
        </w:rPr>
        <w:t>MUXn_SEL[3:0] </w:t>
      </w:r>
      <w:r>
        <w:rPr/>
        <w:t>fields. FIR data is stored after being shifted left by 9</w:t>
      </w:r>
      <w:r>
        <w:rPr>
          <w:spacing w:val="-21"/>
        </w:rPr>
        <w:t> </w:t>
      </w:r>
      <w:r>
        <w:rPr/>
        <w:t>bits.</w:t>
      </w:r>
    </w:p>
    <w:p>
      <w:pPr>
        <w:pStyle w:val="ListParagraph"/>
        <w:numPr>
          <w:ilvl w:val="2"/>
          <w:numId w:val="7"/>
        </w:numPr>
        <w:tabs>
          <w:tab w:pos="1339" w:val="left" w:leader="none"/>
          <w:tab w:pos="1340" w:val="left" w:leader="none"/>
        </w:tabs>
        <w:spacing w:line="240" w:lineRule="auto" w:before="119" w:after="0"/>
        <w:ind w:left="1339" w:right="0" w:hanging="720"/>
        <w:jc w:val="left"/>
        <w:rPr>
          <w:b/>
          <w:sz w:val="22"/>
        </w:rPr>
      </w:pPr>
      <w:bookmarkStart w:name="2.2.7 Voltage References" w:id="39"/>
      <w:bookmarkEnd w:id="39"/>
      <w:r>
        <w:rPr/>
      </w:r>
      <w:bookmarkStart w:name="_bookmark18" w:id="40"/>
      <w:bookmarkEnd w:id="40"/>
      <w:r>
        <w:rPr/>
      </w:r>
      <w:bookmarkStart w:name="_bookmark18" w:id="41"/>
      <w:bookmarkEnd w:id="41"/>
      <w:r>
        <w:rPr>
          <w:b/>
          <w:sz w:val="22"/>
        </w:rPr>
        <w:t>Vo</w:t>
      </w:r>
      <w:r>
        <w:rPr>
          <w:b/>
          <w:sz w:val="22"/>
        </w:rPr>
        <w:t>ltage</w:t>
      </w:r>
      <w:r>
        <w:rPr>
          <w:b/>
          <w:spacing w:val="-1"/>
          <w:sz w:val="22"/>
        </w:rPr>
        <w:t> </w:t>
      </w:r>
      <w:r>
        <w:rPr>
          <w:b/>
          <w:sz w:val="22"/>
        </w:rPr>
        <w:t>References</w:t>
      </w:r>
    </w:p>
    <w:p>
      <w:pPr>
        <w:pStyle w:val="BodyText"/>
        <w:spacing w:before="102"/>
        <w:ind w:left="619" w:right="522"/>
      </w:pPr>
      <w:r>
        <w:rPr/>
        <w:t>A bandgap circuit provides the reference voltage to the ADC. The amplifier within the reference is chopper stabilized, i.e., the chopper circuit can be enabled or disabled by the MPU using the I/O RAM control field </w:t>
      </w:r>
      <w:r>
        <w:rPr>
          <w:rFonts w:ascii="Times New Roman"/>
          <w:i/>
        </w:rPr>
        <w:t>CHOP_E[1:0] (I/O RAM 0x2106[3:2])</w:t>
      </w:r>
      <w:r>
        <w:rPr/>
        <w:t>. The two bits in the </w:t>
      </w:r>
      <w:r>
        <w:rPr>
          <w:rFonts w:ascii="Times New Roman"/>
          <w:i/>
        </w:rPr>
        <w:t>CHOP_E[1:0] </w:t>
      </w:r>
      <w:r>
        <w:rPr/>
        <w:t>field enable the MPU to operate the chopper circuit in regular or inverted operation, or in toggling modes (recommended). When the chopper circuit is toggled in between multiplexer cycles, dc offsets on VREF are automatically be averaged out, therefore the chopper circuit should always be configured for one of the toggling modes.</w:t>
      </w:r>
    </w:p>
    <w:p>
      <w:pPr>
        <w:pStyle w:val="BodyText"/>
        <w:spacing w:before="119"/>
        <w:ind w:left="619" w:right="559"/>
      </w:pPr>
      <w:r>
        <w:rPr/>
        <w:t>Since the VREF band-gap amplifier is chopper-stabilized, the dc offset voltage, which is the most significant long-term drift mechanism in the voltage references (VREF), is automatically removed by the chopper circuit. Both the 71M6543 and the 71M6xx3 feature chopper circuits for their respective VREF voltage reference.</w:t>
      </w:r>
    </w:p>
    <w:p>
      <w:pPr>
        <w:pStyle w:val="BodyText"/>
        <w:spacing w:before="122"/>
        <w:ind w:left="619" w:right="559"/>
      </w:pPr>
      <w:r>
        <w:rPr/>
        <w:t>The general topology of a chopped amplifier is shown in </w:t>
      </w:r>
      <w:hyperlink w:history="true" w:anchor="_bookmark19">
        <w:r>
          <w:rPr>
            <w:color w:val="0000FF"/>
          </w:rPr>
          <w:t>Figure 6</w:t>
        </w:r>
        <w:r>
          <w:rPr/>
          <w:t>. </w:t>
        </w:r>
      </w:hyperlink>
      <w:r>
        <w:rPr/>
        <w:t>The CROSS signal is an internal on- chip signal and is not accessible on any pin or register.</w:t>
      </w:r>
    </w:p>
    <w:p>
      <w:pPr>
        <w:spacing w:after="0"/>
        <w:sectPr>
          <w:pgSz w:w="12240" w:h="15840"/>
          <w:pgMar w:header="727" w:footer="819" w:top="960" w:bottom="1000" w:left="820" w:right="860"/>
        </w:sectPr>
      </w:pPr>
    </w:p>
    <w:p>
      <w:pPr>
        <w:pStyle w:val="BodyText"/>
      </w:pPr>
    </w:p>
    <w:p>
      <w:pPr>
        <w:pStyle w:val="BodyText"/>
        <w:spacing w:before="4"/>
        <w:rPr>
          <w:sz w:val="16"/>
        </w:rPr>
      </w:pPr>
    </w:p>
    <w:p>
      <w:pPr>
        <w:tabs>
          <w:tab w:pos="5191" w:val="left" w:leader="none"/>
        </w:tabs>
        <w:spacing w:before="97"/>
        <w:ind w:left="75" w:right="0" w:firstLine="0"/>
        <w:jc w:val="center"/>
        <w:rPr>
          <w:sz w:val="13"/>
        </w:rPr>
      </w:pPr>
      <w:r>
        <w:rPr/>
        <w:pict>
          <v:group style="position:absolute;margin-left:185.57103pt;margin-top:-7.586493pt;width:234.7pt;height:94.6pt;mso-position-horizontal-relative:page;mso-position-vertical-relative:paragraph;z-index:-38839296" coordorigin="3711,-152" coordsize="4694,1892">
            <v:shape style="position:absolute;left:3711;top:-152;width:4694;height:1457" type="#_x0000_t75" stroked="false">
              <v:imagedata r:id="rId74" o:title=""/>
            </v:shape>
            <v:shape style="position:absolute;left:5061;top:1319;width:2445;height:329" coordorigin="5062,1319" coordsize="2445,329" path="m5076,1605l5062,1605,5062,1648,5076,1648,5076,1605xm5076,1548l5062,1548,5062,1590,5076,1590,5076,1548xm5076,1490l5062,1490,5062,1533,5076,1533,5076,1490xm5076,1433l5062,1433,5062,1476,5076,1476,5076,1433xm5076,1376l5062,1376,5062,1419,5076,1419,5076,1376xm5076,1319l5062,1319,5062,1362,5076,1362,5076,1319xm7506,1605l7492,1605,7492,1648,7506,1648,7506,1605xm7506,1548l7492,1548,7492,1590,7506,1590,7506,1548xm7506,1490l7492,1490,7492,1533,7506,1533,7506,1490xm7506,1433l7492,1433,7492,1476,7506,1476,7506,1433xm7506,1376l7492,1376,7492,1419,7506,1419,7506,1376xm7506,1319l7492,1319,7492,1362,7506,1362,7506,1319xe" filled="true" fillcolor="#000000" stroked="false">
              <v:path arrowok="t"/>
              <v:fill type="solid"/>
            </v:shape>
            <v:line style="position:absolute" from="5069,1648" to="7499,1648" stroked="true" strokeweight=".714005pt" strokecolor="#000000">
              <v:stroke dashstyle="shortdash"/>
            </v:line>
            <v:shape style="position:absolute;left:4529;top:1583;width:540;height:129" coordorigin="4529,1583" coordsize="540,129" path="m4572,1640l4529,1640,4529,1655,4572,1655,4572,1640xm4630,1640l4587,1640,4587,1655,4630,1655,4630,1640xm4688,1640l4644,1640,4644,1655,4688,1655,4688,1640xm4745,1640l4702,1640,4702,1655,4745,1655,4745,1640xm4803,1640l4760,1640,4760,1655,4803,1655,4803,1640xm4860,1640l4817,1640,4817,1655,4860,1655,4860,1640xm5069,1648l4875,1583,4875,1640,4875,1655,4875,1712,5069,1648xe" filled="true" fillcolor="#000000" stroked="false">
              <v:path arrowok="t"/>
              <v:fill type="solid"/>
            </v:shape>
            <v:shape style="position:absolute;left:4658;top:25;width:128;height:179" type="#_x0000_t202" filled="false" stroked="false">
              <v:textbox inset="0,0,0,0">
                <w:txbxContent>
                  <w:p>
                    <w:pPr>
                      <w:spacing w:line="178" w:lineRule="exact" w:before="0"/>
                      <w:ind w:left="0" w:right="0" w:firstLine="0"/>
                      <w:jc w:val="left"/>
                      <w:rPr>
                        <w:sz w:val="16"/>
                      </w:rPr>
                    </w:pPr>
                    <w:r>
                      <w:rPr>
                        <w:w w:val="100"/>
                        <w:sz w:val="16"/>
                      </w:rPr>
                      <w:t>A</w:t>
                    </w:r>
                  </w:p>
                </w:txbxContent>
              </v:textbox>
              <w10:wrap type="none"/>
            </v:shape>
            <v:shape style="position:absolute;left:5675;top:109;width:137;height:221" type="#_x0000_t202" filled="false" stroked="false">
              <v:textbox inset="0,0,0,0">
                <w:txbxContent>
                  <w:p>
                    <w:pPr>
                      <w:spacing w:before="0"/>
                      <w:ind w:left="0" w:right="0" w:firstLine="0"/>
                      <w:jc w:val="left"/>
                      <w:rPr>
                        <w:b/>
                        <w:sz w:val="19"/>
                      </w:rPr>
                    </w:pPr>
                    <w:r>
                      <w:rPr>
                        <w:b/>
                        <w:w w:val="104"/>
                        <w:sz w:val="19"/>
                      </w:rPr>
                      <w:t>+</w:t>
                    </w:r>
                  </w:p>
                </w:txbxContent>
              </v:textbox>
              <w10:wrap type="none"/>
            </v:shape>
            <v:shape style="position:absolute;left:7088;top:25;width:128;height:179" type="#_x0000_t202" filled="false" stroked="false">
              <v:textbox inset="0,0,0,0">
                <w:txbxContent>
                  <w:p>
                    <w:pPr>
                      <w:spacing w:line="178" w:lineRule="exact" w:before="0"/>
                      <w:ind w:left="0" w:right="0" w:firstLine="0"/>
                      <w:jc w:val="left"/>
                      <w:rPr>
                        <w:sz w:val="16"/>
                      </w:rPr>
                    </w:pPr>
                    <w:r>
                      <w:rPr>
                        <w:w w:val="100"/>
                        <w:sz w:val="16"/>
                      </w:rPr>
                      <w:t>A</w:t>
                    </w:r>
                  </w:p>
                </w:txbxContent>
              </v:textbox>
              <w10:wrap type="none"/>
            </v:shape>
            <v:shape style="position:absolute;left:4658;top:401;width:128;height:179" type="#_x0000_t202" filled="false" stroked="false">
              <v:textbox inset="0,0,0,0">
                <w:txbxContent>
                  <w:p>
                    <w:pPr>
                      <w:spacing w:line="178" w:lineRule="exact" w:before="0"/>
                      <w:ind w:left="0" w:right="0" w:firstLine="0"/>
                      <w:jc w:val="left"/>
                      <w:rPr>
                        <w:sz w:val="16"/>
                      </w:rPr>
                    </w:pPr>
                    <w:r>
                      <w:rPr>
                        <w:w w:val="100"/>
                        <w:sz w:val="16"/>
                      </w:rPr>
                      <w:t>B</w:t>
                    </w:r>
                  </w:p>
                </w:txbxContent>
              </v:textbox>
              <w10:wrap type="none"/>
            </v:shape>
            <v:shape style="position:absolute;left:6071;top:457;width:175;height:221" type="#_x0000_t202" filled="false" stroked="false">
              <v:textbox inset="0,0,0,0">
                <w:txbxContent>
                  <w:p>
                    <w:pPr>
                      <w:spacing w:before="0"/>
                      <w:ind w:left="0" w:right="0" w:firstLine="0"/>
                      <w:jc w:val="left"/>
                      <w:rPr>
                        <w:b/>
                        <w:sz w:val="19"/>
                      </w:rPr>
                    </w:pPr>
                    <w:r>
                      <w:rPr>
                        <w:b/>
                        <w:w w:val="104"/>
                        <w:sz w:val="19"/>
                      </w:rPr>
                      <w:t>G</w:t>
                    </w:r>
                  </w:p>
                </w:txbxContent>
              </v:textbox>
              <w10:wrap type="none"/>
            </v:shape>
            <v:shape style="position:absolute;left:7088;top:401;width:128;height:179" type="#_x0000_t202" filled="false" stroked="false">
              <v:textbox inset="0,0,0,0">
                <w:txbxContent>
                  <w:p>
                    <w:pPr>
                      <w:spacing w:line="178" w:lineRule="exact" w:before="0"/>
                      <w:ind w:left="0" w:right="0" w:firstLine="0"/>
                      <w:jc w:val="left"/>
                      <w:rPr>
                        <w:sz w:val="16"/>
                      </w:rPr>
                    </w:pPr>
                    <w:r>
                      <w:rPr>
                        <w:w w:val="100"/>
                        <w:sz w:val="16"/>
                      </w:rPr>
                      <w:t>B</w:t>
                    </w:r>
                  </w:p>
                </w:txbxContent>
              </v:textbox>
              <w10:wrap type="none"/>
            </v:shape>
            <v:shape style="position:absolute;left:4658;top:758;width:128;height:179" type="#_x0000_t202" filled="false" stroked="false">
              <v:textbox inset="0,0,0,0">
                <w:txbxContent>
                  <w:p>
                    <w:pPr>
                      <w:spacing w:line="178" w:lineRule="exact" w:before="0"/>
                      <w:ind w:left="0" w:right="0" w:firstLine="0"/>
                      <w:jc w:val="left"/>
                      <w:rPr>
                        <w:sz w:val="16"/>
                      </w:rPr>
                    </w:pPr>
                    <w:r>
                      <w:rPr>
                        <w:w w:val="100"/>
                        <w:sz w:val="16"/>
                      </w:rPr>
                      <w:t>A</w:t>
                    </w:r>
                  </w:p>
                </w:txbxContent>
              </v:textbox>
              <w10:wrap type="none"/>
            </v:shape>
            <v:shape style="position:absolute;left:5699;top:804;width:87;height:221" type="#_x0000_t202" filled="false" stroked="false">
              <v:textbox inset="0,0,0,0">
                <w:txbxContent>
                  <w:p>
                    <w:pPr>
                      <w:spacing w:before="0"/>
                      <w:ind w:left="0" w:right="0" w:firstLine="0"/>
                      <w:jc w:val="left"/>
                      <w:rPr>
                        <w:b/>
                        <w:sz w:val="19"/>
                      </w:rPr>
                    </w:pPr>
                    <w:r>
                      <w:rPr>
                        <w:b/>
                        <w:w w:val="104"/>
                        <w:sz w:val="19"/>
                      </w:rPr>
                      <w:t>-</w:t>
                    </w:r>
                  </w:p>
                </w:txbxContent>
              </v:textbox>
              <w10:wrap type="none"/>
            </v:shape>
            <v:shape style="position:absolute;left:7110;top:739;width:128;height:179" type="#_x0000_t202" filled="false" stroked="false">
              <v:textbox inset="0,0,0,0">
                <w:txbxContent>
                  <w:p>
                    <w:pPr>
                      <w:spacing w:line="178" w:lineRule="exact" w:before="0"/>
                      <w:ind w:left="0" w:right="0" w:firstLine="0"/>
                      <w:jc w:val="left"/>
                      <w:rPr>
                        <w:sz w:val="16"/>
                      </w:rPr>
                    </w:pPr>
                    <w:r>
                      <w:rPr>
                        <w:w w:val="100"/>
                        <w:sz w:val="16"/>
                      </w:rPr>
                      <w:t>A</w:t>
                    </w:r>
                  </w:p>
                </w:txbxContent>
              </v:textbox>
              <w10:wrap type="none"/>
            </v:shape>
            <v:shape style="position:absolute;left:4651;top:1115;width:2565;height:179" type="#_x0000_t202" filled="false" stroked="false">
              <v:textbox inset="0,0,0,0">
                <w:txbxContent>
                  <w:p>
                    <w:pPr>
                      <w:tabs>
                        <w:tab w:pos="2436" w:val="left" w:leader="none"/>
                      </w:tabs>
                      <w:spacing w:line="178" w:lineRule="exact" w:before="0"/>
                      <w:ind w:left="0" w:right="0" w:firstLine="0"/>
                      <w:jc w:val="left"/>
                      <w:rPr>
                        <w:sz w:val="16"/>
                      </w:rPr>
                    </w:pPr>
                    <w:r>
                      <w:rPr>
                        <w:sz w:val="16"/>
                      </w:rPr>
                      <w:t>B</w:t>
                      <w:tab/>
                      <w:t>B</w:t>
                    </w:r>
                  </w:p>
                </w:txbxContent>
              </v:textbox>
              <w10:wrap type="none"/>
            </v:shape>
            <v:shape style="position:absolute;left:3725;top:1518;width:729;height:221" type="#_x0000_t202" filled="false" stroked="false">
              <v:textbox inset="0,0,0,0">
                <w:txbxContent>
                  <w:p>
                    <w:pPr>
                      <w:spacing w:before="0"/>
                      <w:ind w:left="0" w:right="0" w:firstLine="0"/>
                      <w:jc w:val="left"/>
                      <w:rPr>
                        <w:sz w:val="19"/>
                      </w:rPr>
                    </w:pPr>
                    <w:r>
                      <w:rPr>
                        <w:w w:val="105"/>
                        <w:sz w:val="19"/>
                      </w:rPr>
                      <w:t>CROSS</w:t>
                    </w:r>
                  </w:p>
                </w:txbxContent>
              </v:textbox>
              <w10:wrap type="none"/>
            </v:shape>
            <w10:wrap type="none"/>
          </v:group>
        </w:pict>
      </w:r>
      <w:r>
        <w:rPr>
          <w:w w:val="105"/>
          <w:position w:val="7"/>
          <w:sz w:val="19"/>
        </w:rPr>
        <w:t>V</w:t>
      </w:r>
      <w:r>
        <w:rPr>
          <w:w w:val="105"/>
          <w:sz w:val="13"/>
        </w:rPr>
        <w:t>inp</w:t>
        <w:tab/>
      </w:r>
      <w:r>
        <w:rPr>
          <w:w w:val="105"/>
          <w:position w:val="8"/>
          <w:sz w:val="19"/>
        </w:rPr>
        <w:t>V</w:t>
      </w:r>
      <w:r>
        <w:rPr>
          <w:w w:val="105"/>
          <w:position w:val="1"/>
          <w:sz w:val="13"/>
        </w:rPr>
        <w:t>outp</w:t>
      </w:r>
    </w:p>
    <w:p>
      <w:pPr>
        <w:pStyle w:val="BodyText"/>
        <w:spacing w:before="7"/>
        <w:rPr>
          <w:sz w:val="29"/>
        </w:rPr>
      </w:pPr>
    </w:p>
    <w:p>
      <w:pPr>
        <w:tabs>
          <w:tab w:pos="5191" w:val="left" w:leader="none"/>
        </w:tabs>
        <w:spacing w:before="97"/>
        <w:ind w:left="75" w:right="0" w:firstLine="0"/>
        <w:jc w:val="center"/>
        <w:rPr>
          <w:sz w:val="13"/>
        </w:rPr>
      </w:pPr>
      <w:r>
        <w:rPr>
          <w:w w:val="105"/>
          <w:position w:val="7"/>
          <w:sz w:val="19"/>
        </w:rPr>
        <w:t>V</w:t>
      </w:r>
      <w:r>
        <w:rPr>
          <w:w w:val="105"/>
          <w:sz w:val="13"/>
        </w:rPr>
        <w:t>inn</w:t>
        <w:tab/>
      </w:r>
      <w:r>
        <w:rPr>
          <w:w w:val="105"/>
          <w:position w:val="7"/>
          <w:sz w:val="19"/>
        </w:rPr>
        <w:t>V</w:t>
      </w:r>
      <w:r>
        <w:rPr>
          <w:w w:val="105"/>
          <w:sz w:val="13"/>
        </w:rPr>
        <w:t>outn</w:t>
      </w:r>
    </w:p>
    <w:p>
      <w:pPr>
        <w:pStyle w:val="BodyText"/>
      </w:pPr>
    </w:p>
    <w:p>
      <w:pPr>
        <w:pStyle w:val="BodyText"/>
      </w:pPr>
    </w:p>
    <w:p>
      <w:pPr>
        <w:pStyle w:val="BodyText"/>
        <w:spacing w:before="11"/>
        <w:rPr>
          <w:sz w:val="29"/>
        </w:rPr>
      </w:pPr>
    </w:p>
    <w:p>
      <w:pPr>
        <w:spacing w:before="93"/>
        <w:ind w:left="1313" w:right="1278" w:firstLine="0"/>
        <w:jc w:val="center"/>
        <w:rPr>
          <w:b/>
          <w:sz w:val="20"/>
        </w:rPr>
      </w:pPr>
      <w:bookmarkStart w:name="_bookmark19" w:id="42"/>
      <w:bookmarkEnd w:id="42"/>
      <w:r>
        <w:rPr/>
      </w:r>
      <w:r>
        <w:rPr>
          <w:b/>
          <w:sz w:val="20"/>
        </w:rPr>
        <w:t>Figure 6: General Topology of a Chopped</w:t>
      </w:r>
      <w:r>
        <w:rPr>
          <w:b/>
          <w:spacing w:val="-24"/>
          <w:sz w:val="20"/>
        </w:rPr>
        <w:t> </w:t>
      </w:r>
      <w:r>
        <w:rPr>
          <w:b/>
          <w:sz w:val="20"/>
        </w:rPr>
        <w:t>Amplifier</w:t>
      </w:r>
    </w:p>
    <w:p>
      <w:pPr>
        <w:pStyle w:val="BodyText"/>
        <w:spacing w:before="6"/>
        <w:rPr>
          <w:b/>
          <w:sz w:val="30"/>
        </w:rPr>
      </w:pPr>
    </w:p>
    <w:p>
      <w:pPr>
        <w:pStyle w:val="BodyText"/>
        <w:ind w:left="619" w:right="559"/>
      </w:pPr>
      <w:r>
        <w:rPr/>
        <w:t>It is assumed that an offset voltage Voff appears at the positive amplifier input. With all switches, as controlled by CROSS (an internal signal), in the A position, the output voltage</w:t>
      </w:r>
      <w:r>
        <w:rPr>
          <w:spacing w:val="-10"/>
        </w:rPr>
        <w:t> </w:t>
      </w:r>
      <w:r>
        <w:rPr/>
        <w:t>is:</w:t>
      </w:r>
    </w:p>
    <w:p>
      <w:pPr>
        <w:pStyle w:val="BodyText"/>
        <w:spacing w:before="121"/>
        <w:ind w:left="1339"/>
      </w:pPr>
      <w:r>
        <w:rPr/>
        <w:t>Voutp – Voutn = G (Vinp + Voff – Vinn) = G (Vinp – Vinn) + G Voff</w:t>
      </w:r>
    </w:p>
    <w:p>
      <w:pPr>
        <w:pStyle w:val="BodyText"/>
        <w:spacing w:line="350" w:lineRule="atLeast"/>
        <w:ind w:left="1339" w:right="856" w:hanging="721"/>
      </w:pPr>
      <w:r>
        <w:rPr/>
        <w:t>With all switches set to the B position by applying the inverted CROSS signal, the output voltage is: Voutn – Voutp = G (Vinn – Vinp + Voff) = G (Vinn – Vinp) + G Voff, or</w:t>
      </w:r>
    </w:p>
    <w:p>
      <w:pPr>
        <w:pStyle w:val="BodyText"/>
        <w:spacing w:before="39"/>
        <w:ind w:left="1339"/>
      </w:pPr>
      <w:r>
        <w:rPr/>
        <w:t>Voutp – Voutn = G (Vinp – Vinn) - G Voff</w:t>
      </w:r>
    </w:p>
    <w:p>
      <w:pPr>
        <w:pStyle w:val="BodyText"/>
        <w:spacing w:before="121"/>
        <w:ind w:left="619" w:right="559"/>
      </w:pPr>
      <w:r>
        <w:rPr/>
        <w:t>Thus, when CROSS is toggled, e.g., after each multiplexer cycle, the offset alternately appears on the output as positive and negative, which results in the offset effectively being eliminated, regardless of its polarity or magnitude.</w:t>
      </w:r>
    </w:p>
    <w:p>
      <w:pPr>
        <w:pStyle w:val="BodyText"/>
        <w:spacing w:line="230" w:lineRule="auto" w:before="119"/>
        <w:ind w:left="618" w:right="592"/>
      </w:pPr>
      <w:r>
        <w:rPr/>
        <w:t>When CROSS is high, the connection of the </w:t>
      </w:r>
      <w:r>
        <w:rPr>
          <w:spacing w:val="-3"/>
        </w:rPr>
        <w:t>amplifier </w:t>
      </w:r>
      <w:r>
        <w:rPr/>
        <w:t>input devices is reversed. This preserves the overall </w:t>
      </w:r>
      <w:r>
        <w:rPr>
          <w:spacing w:val="-4"/>
        </w:rPr>
        <w:t>polarity </w:t>
      </w:r>
      <w:r>
        <w:rPr>
          <w:spacing w:val="-3"/>
        </w:rPr>
        <w:t>of that </w:t>
      </w:r>
      <w:r>
        <w:rPr>
          <w:spacing w:val="-4"/>
        </w:rPr>
        <w:t>amplifier gain; </w:t>
      </w:r>
      <w:r>
        <w:rPr/>
        <w:t>it </w:t>
      </w:r>
      <w:r>
        <w:rPr>
          <w:spacing w:val="-4"/>
        </w:rPr>
        <w:t>inverts </w:t>
      </w:r>
      <w:r>
        <w:rPr>
          <w:spacing w:val="-3"/>
        </w:rPr>
        <w:t>its </w:t>
      </w:r>
      <w:r>
        <w:rPr>
          <w:spacing w:val="-4"/>
        </w:rPr>
        <w:t>input offset. </w:t>
      </w:r>
      <w:r>
        <w:rPr/>
        <w:t>By </w:t>
      </w:r>
      <w:r>
        <w:rPr>
          <w:spacing w:val="-4"/>
        </w:rPr>
        <w:t>alternately reversing </w:t>
      </w:r>
      <w:r>
        <w:rPr/>
        <w:t>the </w:t>
      </w:r>
      <w:r>
        <w:rPr>
          <w:spacing w:val="-4"/>
        </w:rPr>
        <w:t>connection, </w:t>
      </w:r>
      <w:r>
        <w:rPr>
          <w:spacing w:val="-3"/>
        </w:rPr>
        <w:t>the </w:t>
      </w:r>
      <w:r>
        <w:rPr>
          <w:spacing w:val="-4"/>
        </w:rPr>
        <w:t>amplifier’s </w:t>
      </w:r>
      <w:r>
        <w:rPr/>
        <w:t>offset is averaged to zero. This removes the most significant long-term drift mechanism in the voltage reference. The </w:t>
      </w:r>
      <w:r>
        <w:rPr>
          <w:rFonts w:ascii="Times New Roman" w:hAnsi="Times New Roman"/>
          <w:i/>
        </w:rPr>
        <w:t>CHOP_E[1:0] </w:t>
      </w:r>
      <w:r>
        <w:rPr/>
        <w:t>(</w:t>
      </w:r>
      <w:r>
        <w:rPr>
          <w:rFonts w:ascii="Times New Roman" w:hAnsi="Times New Roman"/>
          <w:i/>
        </w:rPr>
        <w:t>I/O RAM 0x2106[3:2]</w:t>
      </w:r>
      <w:r>
        <w:rPr/>
        <w:t>) </w:t>
      </w:r>
      <w:r>
        <w:rPr>
          <w:spacing w:val="-5"/>
        </w:rPr>
        <w:t>control </w:t>
      </w:r>
      <w:r>
        <w:rPr>
          <w:spacing w:val="-4"/>
        </w:rPr>
        <w:t>field </w:t>
      </w:r>
      <w:r>
        <w:rPr/>
        <w:t>controls the behavior of CROSS. On the first CK32 rising edge after the last multiplexer state of its sequence, the multiplexer waits one additional CK32 cycle before beginning a new frame. At the beginning of this cycle, the value of CROSS is updated according to the </w:t>
      </w:r>
      <w:r>
        <w:rPr>
          <w:rFonts w:ascii="Times New Roman" w:hAnsi="Times New Roman"/>
          <w:i/>
        </w:rPr>
        <w:t>CHOP_E[1:0] </w:t>
      </w:r>
      <w:r>
        <w:rPr/>
        <w:t>field. The extra CK32 cycle allows time for the </w:t>
      </w:r>
      <w:r>
        <w:rPr>
          <w:spacing w:val="-3"/>
        </w:rPr>
        <w:t>chopped VREF </w:t>
      </w:r>
      <w:r>
        <w:rPr/>
        <w:t>to </w:t>
      </w:r>
      <w:r>
        <w:rPr>
          <w:spacing w:val="-3"/>
        </w:rPr>
        <w:t>settle.</w:t>
      </w:r>
    </w:p>
    <w:p>
      <w:pPr>
        <w:pStyle w:val="BodyText"/>
        <w:spacing w:line="230" w:lineRule="auto"/>
        <w:ind w:left="618" w:right="803"/>
      </w:pPr>
      <w:r>
        <w:rPr>
          <w:spacing w:val="-3"/>
        </w:rPr>
        <w:t>During this </w:t>
      </w:r>
      <w:r>
        <w:rPr>
          <w:spacing w:val="-4"/>
        </w:rPr>
        <w:t>cycle, </w:t>
      </w:r>
      <w:r>
        <w:rPr/>
        <w:t>MUXSYNC is </w:t>
      </w:r>
      <w:r>
        <w:rPr>
          <w:spacing w:val="-3"/>
        </w:rPr>
        <w:t>held high. </w:t>
      </w:r>
      <w:r>
        <w:rPr/>
        <w:t>The </w:t>
      </w:r>
      <w:r>
        <w:rPr>
          <w:spacing w:val="-3"/>
        </w:rPr>
        <w:t>leading edge </w:t>
      </w:r>
      <w:r>
        <w:rPr/>
        <w:t>of </w:t>
      </w:r>
      <w:r>
        <w:rPr>
          <w:spacing w:val="-3"/>
        </w:rPr>
        <w:t>MUXSYNC initiates </w:t>
      </w:r>
      <w:r>
        <w:rPr/>
        <w:t>a </w:t>
      </w:r>
      <w:r>
        <w:rPr>
          <w:spacing w:val="-4"/>
        </w:rPr>
        <w:t>pass through </w:t>
      </w:r>
      <w:r>
        <w:rPr/>
        <w:t>the CE </w:t>
      </w:r>
      <w:r>
        <w:rPr>
          <w:spacing w:val="-4"/>
        </w:rPr>
        <w:t>program </w:t>
      </w:r>
      <w:r>
        <w:rPr/>
        <w:t>sequence.</w:t>
      </w:r>
    </w:p>
    <w:p>
      <w:pPr>
        <w:spacing w:line="226" w:lineRule="exact" w:before="108"/>
        <w:ind w:left="618" w:right="0" w:firstLine="0"/>
        <w:jc w:val="left"/>
        <w:rPr>
          <w:rFonts w:ascii="Times New Roman"/>
          <w:i/>
          <w:sz w:val="20"/>
        </w:rPr>
      </w:pPr>
      <w:r>
        <w:rPr>
          <w:rFonts w:ascii="Times New Roman"/>
          <w:i/>
          <w:sz w:val="20"/>
        </w:rPr>
        <w:t>CHOP_E[1:0] </w:t>
      </w:r>
      <w:r>
        <w:rPr>
          <w:sz w:val="20"/>
        </w:rPr>
        <w:t>has four states: positive, reverse, and two toggle states. In the positive state, </w:t>
      </w:r>
      <w:r>
        <w:rPr>
          <w:rFonts w:ascii="Times New Roman"/>
          <w:i/>
          <w:sz w:val="20"/>
        </w:rPr>
        <w:t>CHOP_E[1:0]</w:t>
      </w:r>
    </w:p>
    <w:p>
      <w:pPr>
        <w:pStyle w:val="BodyText"/>
        <w:spacing w:line="232" w:lineRule="auto"/>
        <w:ind w:left="618" w:right="1435"/>
      </w:pPr>
      <w:r>
        <w:rPr/>
        <w:t>= 01, CROSS is held low. In the reverse state, </w:t>
      </w:r>
      <w:r>
        <w:rPr>
          <w:rFonts w:ascii="Times New Roman"/>
          <w:i/>
        </w:rPr>
        <w:t>CHOP_E[1:0] </w:t>
      </w:r>
      <w:r>
        <w:rPr/>
        <w:t>= 10, CROSS is held high. The two automatic toggling states are selected by setting CHOP_E=11 or CHOP_E=00.</w:t>
      </w:r>
    </w:p>
    <w:p>
      <w:pPr>
        <w:pStyle w:val="BodyText"/>
        <w:rPr>
          <w:sz w:val="16"/>
        </w:rPr>
      </w:pPr>
      <w:r>
        <w:rPr/>
        <w:drawing>
          <wp:anchor distT="0" distB="0" distL="0" distR="0" allowOverlap="1" layoutInCell="1" locked="0" behindDoc="0" simplePos="0" relativeHeight="25">
            <wp:simplePos x="0" y="0"/>
            <wp:positionH relativeFrom="page">
              <wp:posOffset>933450</wp:posOffset>
            </wp:positionH>
            <wp:positionV relativeFrom="paragraph">
              <wp:posOffset>141837</wp:posOffset>
            </wp:positionV>
            <wp:extent cx="5960728" cy="1060703"/>
            <wp:effectExtent l="0" t="0" r="0" b="0"/>
            <wp:wrapTopAndBottom/>
            <wp:docPr id="9" name="image66.png"/>
            <wp:cNvGraphicFramePr>
              <a:graphicFrameLocks noChangeAspect="1"/>
            </wp:cNvGraphicFramePr>
            <a:graphic>
              <a:graphicData uri="http://schemas.openxmlformats.org/drawingml/2006/picture">
                <pic:pic>
                  <pic:nvPicPr>
                    <pic:cNvPr id="10" name="image66.png"/>
                    <pic:cNvPicPr/>
                  </pic:nvPicPr>
                  <pic:blipFill>
                    <a:blip r:embed="rId75" cstate="print"/>
                    <a:stretch>
                      <a:fillRect/>
                    </a:stretch>
                  </pic:blipFill>
                  <pic:spPr>
                    <a:xfrm>
                      <a:off x="0" y="0"/>
                      <a:ext cx="5960728" cy="1060703"/>
                    </a:xfrm>
                    <a:prstGeom prst="rect">
                      <a:avLst/>
                    </a:prstGeom>
                  </pic:spPr>
                </pic:pic>
              </a:graphicData>
            </a:graphic>
          </wp:anchor>
        </w:drawing>
      </w:r>
    </w:p>
    <w:p>
      <w:pPr>
        <w:spacing w:before="193"/>
        <w:ind w:left="1313" w:right="1278" w:firstLine="0"/>
        <w:jc w:val="center"/>
        <w:rPr>
          <w:b/>
          <w:sz w:val="20"/>
        </w:rPr>
      </w:pPr>
      <w:bookmarkStart w:name="_bookmark20" w:id="43"/>
      <w:bookmarkEnd w:id="43"/>
      <w:r>
        <w:rPr/>
      </w:r>
      <w:r>
        <w:rPr>
          <w:b/>
          <w:sz w:val="20"/>
        </w:rPr>
        <w:t>Figure 7: CROSS Signal with </w:t>
      </w:r>
      <w:r>
        <w:rPr>
          <w:rFonts w:ascii="Times New Roman"/>
          <w:b/>
          <w:i/>
          <w:sz w:val="20"/>
        </w:rPr>
        <w:t>CHOP_E </w:t>
      </w:r>
      <w:r>
        <w:rPr>
          <w:b/>
          <w:sz w:val="20"/>
        </w:rPr>
        <w:t>= 00</w:t>
      </w:r>
    </w:p>
    <w:p>
      <w:pPr>
        <w:pStyle w:val="BodyText"/>
        <w:spacing w:before="9"/>
        <w:rPr>
          <w:b/>
          <w:sz w:val="19"/>
        </w:rPr>
      </w:pPr>
    </w:p>
    <w:p>
      <w:pPr>
        <w:pStyle w:val="BodyText"/>
        <w:spacing w:line="230" w:lineRule="auto"/>
        <w:ind w:left="618" w:right="774" w:hanging="1"/>
      </w:pPr>
      <w:hyperlink w:history="true" w:anchor="_bookmark20">
        <w:r>
          <w:rPr>
            <w:color w:val="0000FF"/>
          </w:rPr>
          <w:t>Figure 7 </w:t>
        </w:r>
      </w:hyperlink>
      <w:r>
        <w:rPr/>
        <w:t>shows CROSS over two accumulation intervals when </w:t>
      </w:r>
      <w:r>
        <w:rPr>
          <w:rFonts w:ascii="Times New Roman"/>
          <w:i/>
        </w:rPr>
        <w:t>CHOP_E[1:0] </w:t>
      </w:r>
      <w:r>
        <w:rPr/>
        <w:t>= 00: At the end of the first interval, CROSS is high, at the end of the second interval, CROSS is low. Operation with </w:t>
      </w:r>
      <w:r>
        <w:rPr>
          <w:rFonts w:ascii="Times New Roman"/>
          <w:i/>
        </w:rPr>
        <w:t>CHOP_E[1:0] </w:t>
      </w:r>
      <w:r>
        <w:rPr/>
        <w:t>= 00 does not require control of the chopping mechanism by the MPU.</w:t>
      </w:r>
    </w:p>
    <w:p>
      <w:pPr>
        <w:pStyle w:val="BodyText"/>
        <w:spacing w:line="232" w:lineRule="auto" w:before="116"/>
        <w:ind w:left="618" w:right="750"/>
      </w:pPr>
      <w:r>
        <w:rPr/>
        <w:t>In the second toggle state, </w:t>
      </w:r>
      <w:r>
        <w:rPr>
          <w:rFonts w:ascii="Times New Roman"/>
          <w:i/>
        </w:rPr>
        <w:t>CHOP_E[1:0] </w:t>
      </w:r>
      <w:r>
        <w:rPr/>
        <w:t>= 11, CROSS does not toggle at the end of the last multiplexer cycle in an accumulation interval.</w:t>
      </w:r>
    </w:p>
    <w:p>
      <w:pPr>
        <w:spacing w:after="0" w:line="232" w:lineRule="auto"/>
        <w:sectPr>
          <w:pgSz w:w="12240" w:h="15840"/>
          <w:pgMar w:header="727" w:footer="819" w:top="960" w:bottom="1000" w:left="820" w:right="860"/>
        </w:sectPr>
      </w:pPr>
    </w:p>
    <w:p>
      <w:pPr>
        <w:pStyle w:val="BodyText"/>
        <w:spacing w:before="8"/>
        <w:rPr>
          <w:sz w:val="12"/>
        </w:rPr>
      </w:pPr>
    </w:p>
    <w:p>
      <w:pPr>
        <w:pStyle w:val="ListParagraph"/>
        <w:numPr>
          <w:ilvl w:val="2"/>
          <w:numId w:val="7"/>
        </w:numPr>
        <w:tabs>
          <w:tab w:pos="1339" w:val="left" w:leader="none"/>
          <w:tab w:pos="1340" w:val="left" w:leader="none"/>
        </w:tabs>
        <w:spacing w:line="240" w:lineRule="auto" w:before="94" w:after="0"/>
        <w:ind w:left="1339" w:right="0" w:hanging="720"/>
        <w:jc w:val="left"/>
        <w:rPr>
          <w:b/>
          <w:sz w:val="22"/>
        </w:rPr>
      </w:pPr>
      <w:bookmarkStart w:name="2.2.8 71M6xx3 Isolated Sensor Interface" w:id="44"/>
      <w:bookmarkEnd w:id="44"/>
      <w:r>
        <w:rPr/>
      </w:r>
      <w:bookmarkStart w:name="_bookmark21" w:id="45"/>
      <w:bookmarkEnd w:id="45"/>
      <w:r>
        <w:rPr/>
      </w:r>
      <w:bookmarkStart w:name="_bookmark21" w:id="46"/>
      <w:bookmarkEnd w:id="46"/>
      <w:r>
        <w:rPr>
          <w:b/>
          <w:sz w:val="22"/>
        </w:rPr>
        <w:t>71</w:t>
      </w:r>
      <w:r>
        <w:rPr>
          <w:b/>
          <w:sz w:val="22"/>
        </w:rPr>
        <w:t>M6xx3 Isolated Sensor</w:t>
      </w:r>
      <w:r>
        <w:rPr>
          <w:b/>
          <w:spacing w:val="-2"/>
          <w:sz w:val="22"/>
        </w:rPr>
        <w:t> </w:t>
      </w:r>
      <w:r>
        <w:rPr>
          <w:b/>
          <w:sz w:val="22"/>
        </w:rPr>
        <w:t>Interface</w:t>
      </w:r>
    </w:p>
    <w:p>
      <w:pPr>
        <w:pStyle w:val="ListParagraph"/>
        <w:numPr>
          <w:ilvl w:val="3"/>
          <w:numId w:val="7"/>
        </w:numPr>
        <w:tabs>
          <w:tab w:pos="1340" w:val="left" w:leader="none"/>
        </w:tabs>
        <w:spacing w:line="240" w:lineRule="auto" w:before="121" w:after="0"/>
        <w:ind w:left="1339" w:right="0" w:hanging="720"/>
        <w:jc w:val="left"/>
        <w:rPr>
          <w:b/>
          <w:sz w:val="20"/>
        </w:rPr>
      </w:pPr>
      <w:bookmarkStart w:name="2.2.8.1 General Description" w:id="47"/>
      <w:bookmarkEnd w:id="47"/>
      <w:r>
        <w:rPr/>
      </w:r>
      <w:bookmarkStart w:name="2.2.8.1 General Description" w:id="48"/>
      <w:bookmarkEnd w:id="48"/>
      <w:r>
        <w:rPr>
          <w:b/>
          <w:sz w:val="20"/>
        </w:rPr>
        <w:t>G</w:t>
      </w:r>
      <w:r>
        <w:rPr>
          <w:b/>
          <w:sz w:val="20"/>
        </w:rPr>
        <w:t>eneral Description</w:t>
      </w:r>
    </w:p>
    <w:p>
      <w:pPr>
        <w:pStyle w:val="BodyText"/>
        <w:spacing w:before="82"/>
        <w:ind w:left="619" w:right="649"/>
      </w:pPr>
      <w:r>
        <w:rPr/>
        <w:t>Non-isolating sensors, such as shunt resistors, can be connected to the inputs of the 71M6543 via a combination of a pulse transformer and a 71M6xx3 IC (a top-level block diagram of this sensor interface is shown in </w:t>
      </w:r>
      <w:hyperlink w:history="true" w:anchor="_bookmark179">
        <w:r>
          <w:rPr>
            <w:color w:val="0000FF"/>
          </w:rPr>
          <w:t>Figure 31</w:t>
        </w:r>
      </w:hyperlink>
      <w:r>
        <w:rPr/>
        <w:t>). The 71M6xx3 </w:t>
      </w:r>
      <w:r>
        <w:rPr>
          <w:rFonts w:ascii="Tahoma"/>
        </w:rPr>
        <w:t>receives power directly from the 71M6543 via a pulse transformer and does not require a dedicated power supply circuit. The 71M6xx3 </w:t>
      </w:r>
      <w:r>
        <w:rPr/>
        <w:t>establishes 2-way communication with the 71M6543, supplying current samples and auxiliary information such as sensor temperature via a serial data stream.</w:t>
      </w:r>
    </w:p>
    <w:p>
      <w:pPr>
        <w:pStyle w:val="BodyText"/>
        <w:spacing w:before="119"/>
        <w:ind w:left="619" w:right="694"/>
      </w:pPr>
      <w:r>
        <w:rPr/>
        <w:t>Up to three 71M6xx3 Isolated Sensors can be supported by the 71M6543. When a remote sensor interface is enabled, the two analog current inputs become re-configured as a digital remote sensor interface. For example, when control bit </w:t>
      </w:r>
      <w:r>
        <w:rPr>
          <w:rFonts w:ascii="Times New Roman"/>
          <w:i/>
        </w:rPr>
        <w:t>RMT2_E </w:t>
      </w:r>
      <w:r>
        <w:rPr/>
        <w:t>= 1, the IADC2-IADC3 analog pins are re-configured as the digital interface pins to the remote sensor.</w:t>
      </w:r>
    </w:p>
    <w:p>
      <w:pPr>
        <w:pStyle w:val="BodyText"/>
        <w:spacing w:before="121"/>
        <w:ind w:left="619"/>
      </w:pPr>
      <w:r>
        <w:rPr/>
        <w:t>Each 71M6xx3 Isolated Sensor consists of the following building blocks:</w:t>
      </w:r>
    </w:p>
    <w:p>
      <w:pPr>
        <w:pStyle w:val="ListParagraph"/>
        <w:numPr>
          <w:ilvl w:val="1"/>
          <w:numId w:val="10"/>
        </w:numPr>
        <w:tabs>
          <w:tab w:pos="978" w:val="left" w:leader="none"/>
          <w:tab w:pos="979" w:val="left" w:leader="none"/>
        </w:tabs>
        <w:spacing w:line="240" w:lineRule="auto" w:before="119" w:after="0"/>
        <w:ind w:left="978" w:right="0" w:hanging="360"/>
        <w:jc w:val="left"/>
        <w:rPr>
          <w:sz w:val="20"/>
        </w:rPr>
      </w:pPr>
      <w:r>
        <w:rPr>
          <w:sz w:val="20"/>
        </w:rPr>
        <w:t>Power supply that derives power from pulses received from the 71M6543</w:t>
      </w:r>
    </w:p>
    <w:p>
      <w:pPr>
        <w:pStyle w:val="ListParagraph"/>
        <w:numPr>
          <w:ilvl w:val="1"/>
          <w:numId w:val="10"/>
        </w:numPr>
        <w:tabs>
          <w:tab w:pos="978" w:val="left" w:leader="none"/>
          <w:tab w:pos="979" w:val="left" w:leader="none"/>
        </w:tabs>
        <w:spacing w:line="240" w:lineRule="auto" w:before="50" w:after="0"/>
        <w:ind w:left="978" w:right="0" w:hanging="361"/>
        <w:jc w:val="left"/>
        <w:rPr>
          <w:sz w:val="20"/>
        </w:rPr>
      </w:pPr>
      <w:r>
        <w:rPr>
          <w:sz w:val="20"/>
        </w:rPr>
        <w:t>Bi-directional digital communications</w:t>
      </w:r>
      <w:r>
        <w:rPr>
          <w:spacing w:val="-2"/>
          <w:sz w:val="20"/>
        </w:rPr>
        <w:t> </w:t>
      </w:r>
      <w:r>
        <w:rPr>
          <w:sz w:val="20"/>
        </w:rPr>
        <w:t>interface</w:t>
      </w:r>
    </w:p>
    <w:p>
      <w:pPr>
        <w:pStyle w:val="ListParagraph"/>
        <w:numPr>
          <w:ilvl w:val="1"/>
          <w:numId w:val="10"/>
        </w:numPr>
        <w:tabs>
          <w:tab w:pos="978" w:val="left" w:leader="none"/>
          <w:tab w:pos="979" w:val="left" w:leader="none"/>
        </w:tabs>
        <w:spacing w:line="240" w:lineRule="auto" w:before="48" w:after="0"/>
        <w:ind w:left="978" w:right="0" w:hanging="361"/>
        <w:jc w:val="left"/>
        <w:rPr>
          <w:sz w:val="20"/>
        </w:rPr>
      </w:pPr>
      <w:r>
        <w:rPr>
          <w:sz w:val="20"/>
        </w:rPr>
        <w:t>Shunt signal</w:t>
      </w:r>
      <w:r>
        <w:rPr>
          <w:spacing w:val="-4"/>
          <w:sz w:val="20"/>
        </w:rPr>
        <w:t> </w:t>
      </w:r>
      <w:r>
        <w:rPr>
          <w:sz w:val="20"/>
        </w:rPr>
        <w:t>pre-amplifier</w:t>
      </w:r>
    </w:p>
    <w:p>
      <w:pPr>
        <w:pStyle w:val="ListParagraph"/>
        <w:numPr>
          <w:ilvl w:val="1"/>
          <w:numId w:val="10"/>
        </w:numPr>
        <w:tabs>
          <w:tab w:pos="978" w:val="left" w:leader="none"/>
          <w:tab w:pos="979" w:val="left" w:leader="none"/>
        </w:tabs>
        <w:spacing w:line="240" w:lineRule="auto" w:before="48" w:after="0"/>
        <w:ind w:left="978" w:right="0" w:hanging="361"/>
        <w:jc w:val="left"/>
        <w:rPr>
          <w:sz w:val="20"/>
        </w:rPr>
      </w:pPr>
      <w:r>
        <w:rPr>
          <w:sz w:val="20"/>
        </w:rPr>
        <w:t>22-bit 2nd Order Sigma-Delta ADC Converter with precision bandgap reference (chopping</w:t>
      </w:r>
      <w:r>
        <w:rPr>
          <w:spacing w:val="-23"/>
          <w:sz w:val="20"/>
        </w:rPr>
        <w:t> </w:t>
      </w:r>
      <w:r>
        <w:rPr>
          <w:sz w:val="20"/>
        </w:rPr>
        <w:t>amplifier)</w:t>
      </w:r>
    </w:p>
    <w:p>
      <w:pPr>
        <w:pStyle w:val="ListParagraph"/>
        <w:numPr>
          <w:ilvl w:val="1"/>
          <w:numId w:val="10"/>
        </w:numPr>
        <w:tabs>
          <w:tab w:pos="978" w:val="left" w:leader="none"/>
          <w:tab w:pos="979" w:val="left" w:leader="none"/>
        </w:tabs>
        <w:spacing w:line="240" w:lineRule="auto" w:before="50" w:after="0"/>
        <w:ind w:left="978" w:right="0" w:hanging="361"/>
        <w:jc w:val="left"/>
        <w:rPr>
          <w:sz w:val="20"/>
        </w:rPr>
      </w:pPr>
      <w:r>
        <w:rPr>
          <w:sz w:val="20"/>
        </w:rPr>
        <w:t>Temperature sensor (for digitally compensating</w:t>
      </w:r>
      <w:r>
        <w:rPr>
          <w:spacing w:val="-4"/>
          <w:sz w:val="20"/>
        </w:rPr>
        <w:t> </w:t>
      </w:r>
      <w:r>
        <w:rPr>
          <w:sz w:val="20"/>
        </w:rPr>
        <w:t>VREF)</w:t>
      </w:r>
    </w:p>
    <w:p>
      <w:pPr>
        <w:pStyle w:val="ListParagraph"/>
        <w:numPr>
          <w:ilvl w:val="1"/>
          <w:numId w:val="10"/>
        </w:numPr>
        <w:tabs>
          <w:tab w:pos="978" w:val="left" w:leader="none"/>
          <w:tab w:pos="979" w:val="left" w:leader="none"/>
        </w:tabs>
        <w:spacing w:line="240" w:lineRule="auto" w:before="48" w:after="0"/>
        <w:ind w:left="978" w:right="0" w:hanging="361"/>
        <w:jc w:val="left"/>
        <w:rPr>
          <w:sz w:val="20"/>
        </w:rPr>
      </w:pPr>
      <w:r>
        <w:rPr>
          <w:sz w:val="20"/>
        </w:rPr>
        <w:t>Fuse system containing part-specific</w:t>
      </w:r>
      <w:r>
        <w:rPr>
          <w:spacing w:val="1"/>
          <w:sz w:val="20"/>
        </w:rPr>
        <w:t> </w:t>
      </w:r>
      <w:r>
        <w:rPr>
          <w:sz w:val="20"/>
        </w:rPr>
        <w:t>information</w:t>
      </w:r>
    </w:p>
    <w:p>
      <w:pPr>
        <w:pStyle w:val="BodyText"/>
        <w:spacing w:before="116"/>
        <w:ind w:left="618" w:right="742"/>
      </w:pPr>
      <w:r>
        <w:rPr/>
        <w:t>During an ordinary multiplexer cycle, the 71M6543 internally determines which other channels are enabled with </w:t>
      </w:r>
      <w:r>
        <w:rPr>
          <w:rFonts w:ascii="Times New Roman"/>
          <w:i/>
        </w:rPr>
        <w:t>MUX_DIV[3:0] (I/O RAM 0x2100[7:4])</w:t>
      </w:r>
      <w:r>
        <w:rPr/>
        <w:t>. At the same time, it decimates the modulator output from the 71M6xx3 Isolated Sensors. Each result is written to CE RAM during one of its CE access time slots.</w:t>
      </w:r>
    </w:p>
    <w:p>
      <w:pPr>
        <w:pStyle w:val="ListParagraph"/>
        <w:numPr>
          <w:ilvl w:val="3"/>
          <w:numId w:val="7"/>
        </w:numPr>
        <w:tabs>
          <w:tab w:pos="1338" w:val="left" w:leader="none"/>
        </w:tabs>
        <w:spacing w:line="240" w:lineRule="auto" w:before="121" w:after="0"/>
        <w:ind w:left="1337" w:right="0" w:hanging="720"/>
        <w:jc w:val="left"/>
        <w:rPr>
          <w:b/>
          <w:sz w:val="20"/>
        </w:rPr>
      </w:pPr>
      <w:bookmarkStart w:name="2.2.8.2 Communication between 71M6543 an" w:id="49"/>
      <w:bookmarkEnd w:id="49"/>
      <w:r>
        <w:rPr/>
      </w:r>
      <w:bookmarkStart w:name="2.2.8.2 Communication between 71M6543 an" w:id="50"/>
      <w:bookmarkEnd w:id="50"/>
      <w:r>
        <w:rPr>
          <w:b/>
          <w:sz w:val="20"/>
        </w:rPr>
        <w:t>Commun</w:t>
      </w:r>
      <w:r>
        <w:rPr>
          <w:b/>
          <w:sz w:val="20"/>
        </w:rPr>
        <w:t>ication between 71M6543 and 71M6xx3 Isolated</w:t>
      </w:r>
      <w:r>
        <w:rPr>
          <w:b/>
          <w:spacing w:val="-5"/>
          <w:sz w:val="20"/>
        </w:rPr>
        <w:t> </w:t>
      </w:r>
      <w:r>
        <w:rPr>
          <w:b/>
          <w:sz w:val="20"/>
        </w:rPr>
        <w:t>Sensor</w:t>
      </w:r>
    </w:p>
    <w:p>
      <w:pPr>
        <w:pStyle w:val="BodyText"/>
        <w:spacing w:before="80"/>
        <w:ind w:left="617" w:right="582"/>
      </w:pPr>
      <w:r>
        <w:rPr/>
        <w:t>The </w:t>
      </w:r>
      <w:r>
        <w:rPr>
          <w:spacing w:val="-3"/>
        </w:rPr>
        <w:t>ADC of </w:t>
      </w:r>
      <w:r>
        <w:rPr/>
        <w:t>the </w:t>
      </w:r>
      <w:r>
        <w:rPr>
          <w:spacing w:val="-3"/>
        </w:rPr>
        <w:t>71M6xx3 </w:t>
      </w:r>
      <w:r>
        <w:rPr>
          <w:spacing w:val="-4"/>
        </w:rPr>
        <w:t>derives </w:t>
      </w:r>
      <w:r>
        <w:rPr>
          <w:spacing w:val="-3"/>
        </w:rPr>
        <w:t>its timing from </w:t>
      </w:r>
      <w:r>
        <w:rPr/>
        <w:t>the </w:t>
      </w:r>
      <w:r>
        <w:rPr>
          <w:spacing w:val="-3"/>
        </w:rPr>
        <w:t>power pulses generated </w:t>
      </w:r>
      <w:r>
        <w:rPr/>
        <w:t>by the </w:t>
      </w:r>
      <w:r>
        <w:rPr>
          <w:spacing w:val="-3"/>
        </w:rPr>
        <w:t>71M6543 </w:t>
      </w:r>
      <w:r>
        <w:rPr/>
        <w:t>and as a </w:t>
      </w:r>
      <w:r>
        <w:rPr>
          <w:spacing w:val="-3"/>
        </w:rPr>
        <w:t>result,</w:t>
      </w:r>
      <w:r>
        <w:rPr>
          <w:spacing w:val="-8"/>
        </w:rPr>
        <w:t> </w:t>
      </w:r>
      <w:r>
        <w:rPr>
          <w:spacing w:val="-3"/>
        </w:rPr>
        <w:t>operates</w:t>
      </w:r>
      <w:r>
        <w:rPr>
          <w:spacing w:val="-5"/>
        </w:rPr>
        <w:t> </w:t>
      </w:r>
      <w:r>
        <w:rPr>
          <w:spacing w:val="-3"/>
        </w:rPr>
        <w:t>its</w:t>
      </w:r>
      <w:r>
        <w:rPr>
          <w:spacing w:val="-6"/>
        </w:rPr>
        <w:t> </w:t>
      </w:r>
      <w:r>
        <w:rPr>
          <w:spacing w:val="-3"/>
        </w:rPr>
        <w:t>ADC</w:t>
      </w:r>
      <w:r>
        <w:rPr>
          <w:spacing w:val="-9"/>
        </w:rPr>
        <w:t> </w:t>
      </w:r>
      <w:r>
        <w:rPr>
          <w:spacing w:val="-3"/>
        </w:rPr>
        <w:t>slaved</w:t>
      </w:r>
      <w:r>
        <w:rPr>
          <w:spacing w:val="-8"/>
        </w:rPr>
        <w:t> </w:t>
      </w:r>
      <w:r>
        <w:rPr/>
        <w:t>to</w:t>
      </w:r>
      <w:r>
        <w:rPr>
          <w:spacing w:val="-7"/>
        </w:rPr>
        <w:t> </w:t>
      </w:r>
      <w:r>
        <w:rPr/>
        <w:t>the</w:t>
      </w:r>
      <w:r>
        <w:rPr>
          <w:spacing w:val="-7"/>
        </w:rPr>
        <w:t> </w:t>
      </w:r>
      <w:r>
        <w:rPr>
          <w:spacing w:val="-3"/>
        </w:rPr>
        <w:t>frequency</w:t>
      </w:r>
      <w:r>
        <w:rPr>
          <w:spacing w:val="-14"/>
        </w:rPr>
        <w:t> </w:t>
      </w:r>
      <w:r>
        <w:rPr/>
        <w:t>of</w:t>
      </w:r>
      <w:r>
        <w:rPr>
          <w:spacing w:val="-4"/>
        </w:rPr>
        <w:t> </w:t>
      </w:r>
      <w:r>
        <w:rPr/>
        <w:t>the</w:t>
      </w:r>
      <w:r>
        <w:rPr>
          <w:spacing w:val="-8"/>
        </w:rPr>
        <w:t> </w:t>
      </w:r>
      <w:r>
        <w:rPr>
          <w:spacing w:val="-3"/>
        </w:rPr>
        <w:t>power</w:t>
      </w:r>
      <w:r>
        <w:rPr>
          <w:spacing w:val="-6"/>
        </w:rPr>
        <w:t> </w:t>
      </w:r>
      <w:r>
        <w:rPr>
          <w:spacing w:val="-3"/>
        </w:rPr>
        <w:t>pulses.</w:t>
      </w:r>
      <w:r>
        <w:rPr>
          <w:spacing w:val="-8"/>
        </w:rPr>
        <w:t> </w:t>
      </w:r>
      <w:r>
        <w:rPr/>
        <w:t>The</w:t>
      </w:r>
      <w:r>
        <w:rPr>
          <w:spacing w:val="-8"/>
        </w:rPr>
        <w:t> </w:t>
      </w:r>
      <w:r>
        <w:rPr>
          <w:spacing w:val="-3"/>
        </w:rPr>
        <w:t>generation</w:t>
      </w:r>
      <w:r>
        <w:rPr>
          <w:spacing w:val="-7"/>
        </w:rPr>
        <w:t> </w:t>
      </w:r>
      <w:r>
        <w:rPr/>
        <w:t>of</w:t>
      </w:r>
      <w:r>
        <w:rPr>
          <w:spacing w:val="-5"/>
        </w:rPr>
        <w:t> </w:t>
      </w:r>
      <w:r>
        <w:rPr>
          <w:spacing w:val="-3"/>
        </w:rPr>
        <w:t>power</w:t>
      </w:r>
      <w:r>
        <w:rPr>
          <w:spacing w:val="-6"/>
        </w:rPr>
        <w:t> </w:t>
      </w:r>
      <w:r>
        <w:rPr>
          <w:spacing w:val="-3"/>
        </w:rPr>
        <w:t>pulses,</w:t>
      </w:r>
      <w:r>
        <w:rPr>
          <w:spacing w:val="-8"/>
        </w:rPr>
        <w:t> </w:t>
      </w:r>
      <w:r>
        <w:rPr>
          <w:spacing w:val="-3"/>
        </w:rPr>
        <w:t>as</w:t>
      </w:r>
      <w:r>
        <w:rPr>
          <w:spacing w:val="-5"/>
        </w:rPr>
        <w:t> </w:t>
      </w:r>
      <w:r>
        <w:rPr>
          <w:spacing w:val="-3"/>
        </w:rPr>
        <w:t>well </w:t>
      </w:r>
      <w:r>
        <w:rPr/>
        <w:t>as the </w:t>
      </w:r>
      <w:r>
        <w:rPr>
          <w:spacing w:val="-3"/>
        </w:rPr>
        <w:t>communication protocol between </w:t>
      </w:r>
      <w:r>
        <w:rPr/>
        <w:t>the </w:t>
      </w:r>
      <w:r>
        <w:rPr>
          <w:spacing w:val="-3"/>
        </w:rPr>
        <w:t>71M6543 </w:t>
      </w:r>
      <w:r>
        <w:rPr/>
        <w:t>and </w:t>
      </w:r>
      <w:r>
        <w:rPr>
          <w:spacing w:val="-3"/>
        </w:rPr>
        <w:t>71M6xx3 Isolated Sensor, </w:t>
      </w:r>
      <w:r>
        <w:rPr/>
        <w:t>is </w:t>
      </w:r>
      <w:r>
        <w:rPr>
          <w:spacing w:val="-3"/>
        </w:rPr>
        <w:t>automatic and transparent</w:t>
      </w:r>
      <w:r>
        <w:rPr>
          <w:spacing w:val="-7"/>
        </w:rPr>
        <w:t> </w:t>
      </w:r>
      <w:r>
        <w:rPr/>
        <w:t>to</w:t>
      </w:r>
      <w:r>
        <w:rPr>
          <w:spacing w:val="-6"/>
        </w:rPr>
        <w:t> </w:t>
      </w:r>
      <w:r>
        <w:rPr/>
        <w:t>the</w:t>
      </w:r>
      <w:r>
        <w:rPr>
          <w:spacing w:val="-6"/>
        </w:rPr>
        <w:t> </w:t>
      </w:r>
      <w:r>
        <w:rPr>
          <w:spacing w:val="-3"/>
        </w:rPr>
        <w:t>user.</w:t>
      </w:r>
      <w:r>
        <w:rPr>
          <w:spacing w:val="-5"/>
        </w:rPr>
        <w:t> </w:t>
      </w:r>
      <w:r>
        <w:rPr>
          <w:spacing w:val="-4"/>
        </w:rPr>
        <w:t>Details</w:t>
      </w:r>
      <w:r>
        <w:rPr>
          <w:spacing w:val="-5"/>
        </w:rPr>
        <w:t> </w:t>
      </w:r>
      <w:r>
        <w:rPr/>
        <w:t>are</w:t>
      </w:r>
      <w:r>
        <w:rPr>
          <w:spacing w:val="-6"/>
        </w:rPr>
        <w:t> </w:t>
      </w:r>
      <w:r>
        <w:rPr/>
        <w:t>not</w:t>
      </w:r>
      <w:r>
        <w:rPr>
          <w:spacing w:val="-6"/>
        </w:rPr>
        <w:t> </w:t>
      </w:r>
      <w:r>
        <w:rPr>
          <w:spacing w:val="-3"/>
        </w:rPr>
        <w:t>covered</w:t>
      </w:r>
      <w:r>
        <w:rPr>
          <w:spacing w:val="-7"/>
        </w:rPr>
        <w:t> </w:t>
      </w:r>
      <w:r>
        <w:rPr/>
        <w:t>in</w:t>
      </w:r>
      <w:r>
        <w:rPr>
          <w:spacing w:val="-6"/>
        </w:rPr>
        <w:t> </w:t>
      </w:r>
      <w:r>
        <w:rPr>
          <w:spacing w:val="-3"/>
        </w:rPr>
        <w:t>this</w:t>
      </w:r>
      <w:r>
        <w:rPr>
          <w:spacing w:val="-4"/>
        </w:rPr>
        <w:t> </w:t>
      </w:r>
      <w:r>
        <w:rPr>
          <w:spacing w:val="-3"/>
        </w:rPr>
        <w:t>data</w:t>
      </w:r>
      <w:r>
        <w:rPr>
          <w:spacing w:val="-6"/>
        </w:rPr>
        <w:t> </w:t>
      </w:r>
      <w:r>
        <w:rPr>
          <w:spacing w:val="-3"/>
        </w:rPr>
        <w:t>sheet.</w:t>
      </w:r>
    </w:p>
    <w:p>
      <w:pPr>
        <w:pStyle w:val="BodyText"/>
      </w:pPr>
    </w:p>
    <w:p>
      <w:pPr>
        <w:pStyle w:val="ListParagraph"/>
        <w:numPr>
          <w:ilvl w:val="3"/>
          <w:numId w:val="7"/>
        </w:numPr>
        <w:tabs>
          <w:tab w:pos="1338" w:val="left" w:leader="none"/>
        </w:tabs>
        <w:spacing w:line="240" w:lineRule="auto" w:before="0" w:after="0"/>
        <w:ind w:left="1337" w:right="0" w:hanging="721"/>
        <w:jc w:val="left"/>
        <w:rPr>
          <w:b/>
          <w:sz w:val="20"/>
        </w:rPr>
      </w:pPr>
      <w:bookmarkStart w:name="2.2.8.3 Control of the 71M6xx3 Isolated " w:id="51"/>
      <w:bookmarkEnd w:id="51"/>
      <w:r>
        <w:rPr/>
      </w:r>
      <w:bookmarkStart w:name="_bookmark22" w:id="52"/>
      <w:bookmarkEnd w:id="52"/>
      <w:r>
        <w:rPr/>
      </w:r>
      <w:bookmarkStart w:name="_bookmark22" w:id="53"/>
      <w:bookmarkEnd w:id="53"/>
      <w:r>
        <w:rPr>
          <w:b/>
          <w:sz w:val="20"/>
        </w:rPr>
        <w:t>Cont</w:t>
      </w:r>
      <w:r>
        <w:rPr>
          <w:b/>
          <w:sz w:val="20"/>
        </w:rPr>
        <w:t>rol of the 71M6xx3 Isolated</w:t>
      </w:r>
      <w:r>
        <w:rPr>
          <w:b/>
          <w:spacing w:val="-4"/>
          <w:sz w:val="20"/>
        </w:rPr>
        <w:t> </w:t>
      </w:r>
      <w:r>
        <w:rPr>
          <w:b/>
          <w:sz w:val="20"/>
        </w:rPr>
        <w:t>Sensor</w:t>
      </w:r>
    </w:p>
    <w:p>
      <w:pPr>
        <w:pStyle w:val="BodyText"/>
        <w:spacing w:before="80"/>
        <w:ind w:left="617"/>
      </w:pPr>
      <w:r>
        <w:rPr/>
        <w:t>The 71M6543 can read or write certain types of information from each 71M6xx3 remote sensor.</w:t>
      </w:r>
    </w:p>
    <w:p>
      <w:pPr>
        <w:pStyle w:val="BodyText"/>
        <w:spacing w:before="9"/>
        <w:rPr>
          <w:sz w:val="19"/>
        </w:rPr>
      </w:pPr>
    </w:p>
    <w:p>
      <w:pPr>
        <w:spacing w:line="240" w:lineRule="auto" w:before="1"/>
        <w:ind w:left="618" w:right="559" w:firstLine="0"/>
        <w:jc w:val="left"/>
        <w:rPr>
          <w:sz w:val="20"/>
        </w:rPr>
      </w:pPr>
      <w:r>
        <w:rPr>
          <w:spacing w:val="-3"/>
          <w:sz w:val="20"/>
        </w:rPr>
        <w:t>The data to </w:t>
      </w:r>
      <w:r>
        <w:rPr>
          <w:sz w:val="20"/>
        </w:rPr>
        <w:t>be </w:t>
      </w:r>
      <w:r>
        <w:rPr>
          <w:spacing w:val="-3"/>
          <w:sz w:val="20"/>
        </w:rPr>
        <w:t>read is </w:t>
      </w:r>
      <w:r>
        <w:rPr>
          <w:spacing w:val="-4"/>
          <w:sz w:val="20"/>
        </w:rPr>
        <w:t>selected </w:t>
      </w:r>
      <w:r>
        <w:rPr>
          <w:sz w:val="20"/>
        </w:rPr>
        <w:t>by a </w:t>
      </w:r>
      <w:r>
        <w:rPr>
          <w:spacing w:val="-4"/>
          <w:sz w:val="20"/>
        </w:rPr>
        <w:t>combination </w:t>
      </w:r>
      <w:r>
        <w:rPr>
          <w:spacing w:val="-3"/>
          <w:sz w:val="20"/>
        </w:rPr>
        <w:t>of the </w:t>
      </w:r>
      <w:r>
        <w:rPr>
          <w:rFonts w:ascii="Times New Roman"/>
          <w:i/>
          <w:sz w:val="20"/>
        </w:rPr>
        <w:t>RCMD[4:0] </w:t>
      </w:r>
      <w:r>
        <w:rPr>
          <w:spacing w:val="-4"/>
          <w:sz w:val="20"/>
        </w:rPr>
        <w:t>and </w:t>
      </w:r>
      <w:r>
        <w:rPr>
          <w:rFonts w:ascii="Times New Roman"/>
          <w:i/>
          <w:sz w:val="20"/>
        </w:rPr>
        <w:t>TMUXRn[2:0]</w:t>
      </w:r>
      <w:r>
        <w:rPr>
          <w:sz w:val="20"/>
        </w:rPr>
        <w:t>. To </w:t>
      </w:r>
      <w:r>
        <w:rPr>
          <w:spacing w:val="-4"/>
          <w:sz w:val="20"/>
        </w:rPr>
        <w:t>perform </w:t>
      </w:r>
      <w:r>
        <w:rPr>
          <w:sz w:val="20"/>
        </w:rPr>
        <w:t>a </w:t>
      </w:r>
      <w:r>
        <w:rPr>
          <w:spacing w:val="-3"/>
          <w:sz w:val="20"/>
        </w:rPr>
        <w:t>read </w:t>
      </w:r>
      <w:r>
        <w:rPr>
          <w:spacing w:val="-4"/>
          <w:sz w:val="20"/>
        </w:rPr>
        <w:t>transaction from </w:t>
      </w:r>
      <w:r>
        <w:rPr>
          <w:spacing w:val="-3"/>
          <w:sz w:val="20"/>
        </w:rPr>
        <w:t>one of the </w:t>
      </w:r>
      <w:r>
        <w:rPr>
          <w:spacing w:val="-4"/>
          <w:sz w:val="20"/>
        </w:rPr>
        <w:t>71M6xx3 devices, </w:t>
      </w:r>
      <w:r>
        <w:rPr>
          <w:spacing w:val="-3"/>
          <w:sz w:val="20"/>
        </w:rPr>
        <w:t>the MPU first </w:t>
      </w:r>
      <w:r>
        <w:rPr>
          <w:spacing w:val="-4"/>
          <w:sz w:val="20"/>
        </w:rPr>
        <w:t>writes </w:t>
      </w:r>
      <w:r>
        <w:rPr>
          <w:spacing w:val="-3"/>
          <w:sz w:val="20"/>
        </w:rPr>
        <w:t>the </w:t>
      </w:r>
      <w:r>
        <w:rPr>
          <w:rFonts w:ascii="Times New Roman"/>
          <w:i/>
          <w:sz w:val="20"/>
        </w:rPr>
        <w:t>TMUXRn[2:0] </w:t>
      </w:r>
      <w:r>
        <w:rPr>
          <w:sz w:val="20"/>
        </w:rPr>
        <w:t>field (where n = 2, 4, 6, located at </w:t>
      </w:r>
      <w:r>
        <w:rPr>
          <w:rFonts w:ascii="Times New Roman"/>
          <w:i/>
          <w:sz w:val="20"/>
        </w:rPr>
        <w:t>I/O RAM 0x270A[2:0]</w:t>
      </w:r>
      <w:r>
        <w:rPr>
          <w:i/>
          <w:sz w:val="20"/>
        </w:rPr>
        <w:t>, </w:t>
      </w:r>
      <w:r>
        <w:rPr>
          <w:rFonts w:ascii="Times New Roman"/>
          <w:i/>
          <w:sz w:val="20"/>
        </w:rPr>
        <w:t>0x270A[6:4] </w:t>
      </w:r>
      <w:r>
        <w:rPr>
          <w:i/>
          <w:sz w:val="20"/>
        </w:rPr>
        <w:t>and </w:t>
      </w:r>
      <w:r>
        <w:rPr>
          <w:rFonts w:ascii="Times New Roman"/>
          <w:i/>
          <w:sz w:val="20"/>
        </w:rPr>
        <w:t>0x2709[2:0]</w:t>
      </w:r>
      <w:r>
        <w:rPr>
          <w:i/>
          <w:sz w:val="20"/>
        </w:rPr>
        <w:t>, </w:t>
      </w:r>
      <w:r>
        <w:rPr>
          <w:sz w:val="20"/>
        </w:rPr>
        <w:t>respectively). Next, the MPU writes </w:t>
      </w:r>
      <w:r>
        <w:rPr>
          <w:rFonts w:ascii="Times New Roman"/>
          <w:i/>
          <w:sz w:val="20"/>
        </w:rPr>
        <w:t>RCMD[4:0] </w:t>
      </w:r>
      <w:r>
        <w:rPr>
          <w:sz w:val="20"/>
        </w:rPr>
        <w:t>(</w:t>
      </w:r>
      <w:r>
        <w:rPr>
          <w:rFonts w:ascii="Times New Roman"/>
          <w:i/>
          <w:sz w:val="20"/>
        </w:rPr>
        <w:t>SFR 0xFC[4:0]</w:t>
      </w:r>
      <w:r>
        <w:rPr>
          <w:sz w:val="20"/>
        </w:rPr>
        <w:t>) with the desired command and phase selection. </w:t>
      </w:r>
      <w:r>
        <w:rPr>
          <w:spacing w:val="3"/>
          <w:sz w:val="20"/>
        </w:rPr>
        <w:t>When </w:t>
      </w:r>
      <w:r>
        <w:rPr>
          <w:sz w:val="20"/>
        </w:rPr>
        <w:t>the </w:t>
      </w:r>
      <w:r>
        <w:rPr>
          <w:rFonts w:ascii="Times New Roman"/>
          <w:i/>
          <w:sz w:val="20"/>
        </w:rPr>
        <w:t>RCMD[4:2] </w:t>
      </w:r>
      <w:r>
        <w:rPr>
          <w:sz w:val="20"/>
        </w:rPr>
        <w:t>bits have cleared to zero, the transaction has been completed and the requested data is available in </w:t>
      </w:r>
      <w:r>
        <w:rPr>
          <w:rFonts w:ascii="Times New Roman"/>
          <w:i/>
          <w:sz w:val="20"/>
        </w:rPr>
        <w:t>RMT_RD[15:0] </w:t>
      </w:r>
      <w:r>
        <w:rPr>
          <w:sz w:val="20"/>
        </w:rPr>
        <w:t>(</w:t>
      </w:r>
      <w:r>
        <w:rPr>
          <w:rFonts w:ascii="Times New Roman"/>
          <w:i/>
          <w:sz w:val="20"/>
        </w:rPr>
        <w:t>I/O RAM 0x2602[7:0] </w:t>
      </w:r>
      <w:r>
        <w:rPr>
          <w:sz w:val="20"/>
        </w:rPr>
        <w:t>is the MSB and </w:t>
      </w:r>
      <w:r>
        <w:rPr>
          <w:rFonts w:ascii="Times New Roman"/>
          <w:i/>
          <w:sz w:val="20"/>
        </w:rPr>
        <w:t>0x2603[7:0] </w:t>
      </w:r>
      <w:r>
        <w:rPr>
          <w:sz w:val="20"/>
        </w:rPr>
        <w:t>is the LSB). The read parity error bit, </w:t>
      </w:r>
      <w:r>
        <w:rPr>
          <w:rFonts w:ascii="Times New Roman"/>
          <w:i/>
          <w:sz w:val="20"/>
        </w:rPr>
        <w:t>PERR_RD (SFR 0xFC[6]) </w:t>
      </w:r>
      <w:r>
        <w:rPr>
          <w:sz w:val="20"/>
        </w:rPr>
        <w:t>is also updated during the transaction. If the MPU writes to </w:t>
      </w:r>
      <w:r>
        <w:rPr>
          <w:rFonts w:ascii="Times New Roman"/>
          <w:i/>
          <w:sz w:val="20"/>
        </w:rPr>
        <w:t>RCMD[4:0] </w:t>
      </w:r>
      <w:r>
        <w:rPr>
          <w:sz w:val="20"/>
        </w:rPr>
        <w:t>before a previously initiated read transaction is completed, the command is ignored. Therefore, the MPU must wait for </w:t>
      </w:r>
      <w:r>
        <w:rPr>
          <w:rFonts w:ascii="Times New Roman"/>
          <w:i/>
          <w:sz w:val="20"/>
        </w:rPr>
        <w:t>RCMD[4:2]</w:t>
      </w:r>
      <w:r>
        <w:rPr>
          <w:sz w:val="20"/>
        </w:rPr>
        <w:t>=0 before proceeding to issue the next remote sensor read command.</w:t>
      </w:r>
    </w:p>
    <w:p>
      <w:pPr>
        <w:pStyle w:val="BodyText"/>
        <w:spacing w:line="242" w:lineRule="auto" w:before="120"/>
        <w:ind w:left="618" w:right="613" w:hanging="1"/>
      </w:pPr>
      <w:r>
        <w:rPr/>
        <w:t>If the CE is running (</w:t>
      </w:r>
      <w:r>
        <w:rPr>
          <w:i/>
        </w:rPr>
        <w:t>CE_E</w:t>
      </w:r>
      <w:r>
        <w:rPr/>
        <w:t>=1), the MPU must write </w:t>
      </w:r>
      <w:r>
        <w:rPr>
          <w:i/>
        </w:rPr>
        <w:t>RCMD[4:0] </w:t>
      </w:r>
      <w:r>
        <w:rPr/>
        <w:t>immediately after a CE_BUSY rising edge. </w:t>
      </w:r>
      <w:r>
        <w:rPr>
          <w:i/>
        </w:rPr>
        <w:t>RCMD[4:0] </w:t>
      </w:r>
      <w:r>
        <w:rPr/>
        <w:t>must be written before the next rising edge of MUX_SYNC. Failure to do this can cause incorrect data to be</w:t>
      </w:r>
      <w:r>
        <w:rPr>
          <w:spacing w:val="-3"/>
        </w:rPr>
        <w:t> </w:t>
      </w:r>
      <w:r>
        <w:rPr/>
        <w:t>read.</w:t>
      </w:r>
    </w:p>
    <w:p>
      <w:pPr>
        <w:spacing w:line="244" w:lineRule="auto" w:before="112"/>
        <w:ind w:left="618" w:right="828" w:hanging="1"/>
        <w:jc w:val="left"/>
        <w:rPr>
          <w:sz w:val="20"/>
        </w:rPr>
      </w:pPr>
      <w:r>
        <w:rPr>
          <w:sz w:val="20"/>
        </w:rPr>
        <w:t>The </w:t>
      </w:r>
      <w:r>
        <w:rPr>
          <w:rFonts w:ascii="Times New Roman"/>
          <w:i/>
          <w:sz w:val="20"/>
        </w:rPr>
        <w:t>RCMD[4:0] </w:t>
      </w:r>
      <w:r>
        <w:rPr>
          <w:sz w:val="20"/>
        </w:rPr>
        <w:t>field is divided into two sub-fields, </w:t>
      </w:r>
      <w:r>
        <w:rPr>
          <w:rFonts w:ascii="Times New Roman"/>
          <w:i/>
          <w:sz w:val="20"/>
        </w:rPr>
        <w:t>COMMAND=RCMD[4:2] </w:t>
      </w:r>
      <w:r>
        <w:rPr>
          <w:sz w:val="20"/>
        </w:rPr>
        <w:t>and </w:t>
      </w:r>
      <w:r>
        <w:rPr>
          <w:rFonts w:ascii="Times New Roman"/>
          <w:i/>
          <w:sz w:val="20"/>
        </w:rPr>
        <w:t>PHASE=RCMD[1:0]</w:t>
      </w:r>
      <w:r>
        <w:rPr>
          <w:sz w:val="20"/>
        </w:rPr>
        <w:t>, as shown in </w:t>
      </w:r>
      <w:hyperlink w:history="true" w:anchor="_bookmark23">
        <w:r>
          <w:rPr>
            <w:color w:val="0000FF"/>
            <w:sz w:val="20"/>
          </w:rPr>
          <w:t>Table 4</w:t>
        </w:r>
        <w:r>
          <w:rPr>
            <w:sz w:val="20"/>
          </w:rPr>
          <w:t>.</w:t>
        </w:r>
      </w:hyperlink>
    </w:p>
    <w:p>
      <w:pPr>
        <w:pStyle w:val="BodyText"/>
        <w:spacing w:line="221" w:lineRule="exact"/>
        <w:ind w:left="620"/>
      </w:pPr>
      <w:r>
        <w:rPr>
          <w:w w:val="99"/>
        </w:rPr>
        <w:t>.</w:t>
      </w:r>
    </w:p>
    <w:p>
      <w:pPr>
        <w:spacing w:after="0" w:line="221" w:lineRule="exact"/>
        <w:sectPr>
          <w:headerReference w:type="even" r:id="rId76"/>
          <w:headerReference w:type="default" r:id="rId77"/>
          <w:footerReference w:type="even" r:id="rId78"/>
          <w:footerReference w:type="default" r:id="rId79"/>
          <w:pgSz w:w="12240" w:h="15840"/>
          <w:pgMar w:header="727" w:footer="819" w:top="960" w:bottom="1000" w:left="820" w:right="860"/>
          <w:pgNumType w:start="22"/>
        </w:sectPr>
      </w:pPr>
    </w:p>
    <w:p>
      <w:pPr>
        <w:pStyle w:val="BodyText"/>
        <w:spacing w:before="11"/>
        <w:rPr>
          <w:sz w:val="12"/>
        </w:rPr>
      </w:pPr>
    </w:p>
    <w:p>
      <w:pPr>
        <w:spacing w:before="93"/>
        <w:ind w:left="1318" w:right="1278" w:firstLine="0"/>
        <w:jc w:val="center"/>
        <w:rPr>
          <w:b/>
          <w:sz w:val="20"/>
        </w:rPr>
      </w:pPr>
      <w:bookmarkStart w:name="_bookmark23" w:id="54"/>
      <w:bookmarkEnd w:id="54"/>
      <w:r>
        <w:rPr/>
      </w:r>
      <w:r>
        <w:rPr>
          <w:b/>
          <w:sz w:val="20"/>
        </w:rPr>
        <w:t>Table 4. </w:t>
      </w:r>
      <w:r>
        <w:rPr>
          <w:rFonts w:ascii="Times New Roman"/>
          <w:b/>
          <w:i/>
          <w:sz w:val="20"/>
        </w:rPr>
        <w:t>RCMD[4:0] </w:t>
      </w:r>
      <w:r>
        <w:rPr>
          <w:b/>
          <w:sz w:val="20"/>
        </w:rPr>
        <w:t>Bits</w:t>
      </w:r>
    </w:p>
    <w:p>
      <w:pPr>
        <w:pStyle w:val="BodyText"/>
        <w:spacing w:before="4"/>
        <w:rPr>
          <w:b/>
          <w:sz w:val="5"/>
        </w:rPr>
      </w:pPr>
    </w:p>
    <w:tbl>
      <w:tblPr>
        <w:tblW w:w="0" w:type="auto"/>
        <w:jc w:val="left"/>
        <w:tblInd w:w="1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9"/>
        <w:gridCol w:w="1380"/>
        <w:gridCol w:w="1082"/>
        <w:gridCol w:w="1327"/>
        <w:gridCol w:w="2369"/>
      </w:tblGrid>
      <w:tr>
        <w:trPr>
          <w:trHeight w:val="460" w:hRule="atLeast"/>
        </w:trPr>
        <w:tc>
          <w:tcPr>
            <w:tcW w:w="2429" w:type="dxa"/>
            <w:gridSpan w:val="2"/>
          </w:tcPr>
          <w:p>
            <w:pPr>
              <w:pStyle w:val="TableParagraph"/>
              <w:spacing w:line="224" w:lineRule="exact"/>
              <w:ind w:left="724"/>
              <w:rPr>
                <w:b/>
                <w:sz w:val="20"/>
              </w:rPr>
            </w:pPr>
            <w:r>
              <w:rPr>
                <w:b/>
                <w:sz w:val="20"/>
              </w:rPr>
              <w:t>Command</w:t>
            </w:r>
          </w:p>
          <w:p>
            <w:pPr>
              <w:pStyle w:val="TableParagraph"/>
              <w:spacing w:line="216" w:lineRule="exact"/>
              <w:ind w:left="719"/>
              <w:rPr>
                <w:rFonts w:ascii="Times New Roman"/>
                <w:i/>
                <w:sz w:val="20"/>
              </w:rPr>
            </w:pPr>
            <w:r>
              <w:rPr>
                <w:rFonts w:ascii="Times New Roman"/>
                <w:i/>
                <w:sz w:val="20"/>
              </w:rPr>
              <w:t>RCMD[4:2]</w:t>
            </w:r>
          </w:p>
        </w:tc>
        <w:tc>
          <w:tcPr>
            <w:tcW w:w="2409" w:type="dxa"/>
            <w:gridSpan w:val="2"/>
          </w:tcPr>
          <w:p>
            <w:pPr>
              <w:pStyle w:val="TableParagraph"/>
              <w:spacing w:line="224" w:lineRule="exact"/>
              <w:ind w:left="465" w:right="458"/>
              <w:jc w:val="center"/>
              <w:rPr>
                <w:b/>
                <w:sz w:val="20"/>
              </w:rPr>
            </w:pPr>
            <w:r>
              <w:rPr>
                <w:b/>
                <w:sz w:val="20"/>
              </w:rPr>
              <w:t>Phase Selector</w:t>
            </w:r>
          </w:p>
          <w:p>
            <w:pPr>
              <w:pStyle w:val="TableParagraph"/>
              <w:spacing w:line="216" w:lineRule="exact"/>
              <w:ind w:left="463" w:right="458"/>
              <w:jc w:val="center"/>
              <w:rPr>
                <w:rFonts w:ascii="Times New Roman"/>
                <w:i/>
                <w:sz w:val="20"/>
              </w:rPr>
            </w:pPr>
            <w:r>
              <w:rPr>
                <w:rFonts w:ascii="Times New Roman"/>
                <w:i/>
                <w:sz w:val="20"/>
              </w:rPr>
              <w:t>RCMD[1:0]</w:t>
            </w:r>
          </w:p>
        </w:tc>
        <w:tc>
          <w:tcPr>
            <w:tcW w:w="2369" w:type="dxa"/>
          </w:tcPr>
          <w:p>
            <w:pPr>
              <w:pStyle w:val="TableParagraph"/>
              <w:spacing w:line="225" w:lineRule="exact"/>
              <w:ind w:left="218" w:right="210"/>
              <w:jc w:val="center"/>
              <w:rPr>
                <w:rFonts w:ascii="Times New Roman"/>
                <w:i/>
                <w:sz w:val="20"/>
              </w:rPr>
            </w:pPr>
            <w:r>
              <w:rPr>
                <w:b/>
                <w:sz w:val="20"/>
              </w:rPr>
              <w:t>Associated </w:t>
            </w:r>
            <w:r>
              <w:rPr>
                <w:rFonts w:ascii="Times New Roman"/>
                <w:i/>
                <w:sz w:val="20"/>
              </w:rPr>
              <w:t>TMUXRn</w:t>
            </w:r>
          </w:p>
          <w:p>
            <w:pPr>
              <w:pStyle w:val="TableParagraph"/>
              <w:spacing w:line="213" w:lineRule="exact" w:before="2"/>
              <w:ind w:left="214" w:right="210"/>
              <w:jc w:val="center"/>
              <w:rPr>
                <w:b/>
                <w:sz w:val="20"/>
              </w:rPr>
            </w:pPr>
            <w:r>
              <w:rPr>
                <w:b/>
                <w:sz w:val="20"/>
              </w:rPr>
              <w:t>Control Field</w:t>
            </w:r>
          </w:p>
        </w:tc>
      </w:tr>
      <w:tr>
        <w:trPr>
          <w:trHeight w:val="230" w:hRule="atLeast"/>
        </w:trPr>
        <w:tc>
          <w:tcPr>
            <w:tcW w:w="1049" w:type="dxa"/>
          </w:tcPr>
          <w:p>
            <w:pPr>
              <w:pStyle w:val="TableParagraph"/>
              <w:spacing w:line="210" w:lineRule="exact"/>
              <w:ind w:left="333" w:right="331"/>
              <w:jc w:val="center"/>
              <w:rPr>
                <w:sz w:val="20"/>
              </w:rPr>
            </w:pPr>
            <w:r>
              <w:rPr>
                <w:sz w:val="20"/>
              </w:rPr>
              <w:t>000</w:t>
            </w:r>
          </w:p>
        </w:tc>
        <w:tc>
          <w:tcPr>
            <w:tcW w:w="1380" w:type="dxa"/>
          </w:tcPr>
          <w:p>
            <w:pPr>
              <w:pStyle w:val="TableParagraph"/>
              <w:spacing w:line="210" w:lineRule="exact"/>
              <w:ind w:left="87" w:right="80"/>
              <w:jc w:val="center"/>
              <w:rPr>
                <w:sz w:val="20"/>
              </w:rPr>
            </w:pPr>
            <w:r>
              <w:rPr>
                <w:sz w:val="20"/>
              </w:rPr>
              <w:t>Invalid</w:t>
            </w:r>
          </w:p>
        </w:tc>
        <w:tc>
          <w:tcPr>
            <w:tcW w:w="1082" w:type="dxa"/>
          </w:tcPr>
          <w:p>
            <w:pPr>
              <w:pStyle w:val="TableParagraph"/>
              <w:spacing w:line="210" w:lineRule="exact"/>
              <w:ind w:left="85" w:right="78"/>
              <w:jc w:val="center"/>
              <w:rPr>
                <w:sz w:val="20"/>
              </w:rPr>
            </w:pPr>
            <w:r>
              <w:rPr>
                <w:sz w:val="20"/>
              </w:rPr>
              <w:t>00</w:t>
            </w:r>
          </w:p>
        </w:tc>
        <w:tc>
          <w:tcPr>
            <w:tcW w:w="1327" w:type="dxa"/>
          </w:tcPr>
          <w:p>
            <w:pPr>
              <w:pStyle w:val="TableParagraph"/>
              <w:spacing w:line="210" w:lineRule="exact"/>
              <w:ind w:left="138" w:right="130"/>
              <w:jc w:val="center"/>
              <w:rPr>
                <w:sz w:val="20"/>
              </w:rPr>
            </w:pPr>
            <w:r>
              <w:rPr>
                <w:sz w:val="20"/>
              </w:rPr>
              <w:t>Invalid</w:t>
            </w:r>
          </w:p>
        </w:tc>
        <w:tc>
          <w:tcPr>
            <w:tcW w:w="2369" w:type="dxa"/>
          </w:tcPr>
          <w:p>
            <w:pPr>
              <w:pStyle w:val="TableParagraph"/>
              <w:spacing w:line="210" w:lineRule="exact"/>
              <w:ind w:left="218" w:right="206"/>
              <w:jc w:val="center"/>
              <w:rPr>
                <w:rFonts w:ascii="Times New Roman"/>
                <w:i/>
                <w:sz w:val="20"/>
              </w:rPr>
            </w:pPr>
            <w:r>
              <w:rPr>
                <w:rFonts w:ascii="Times New Roman"/>
                <w:i/>
                <w:sz w:val="20"/>
              </w:rPr>
              <w:t>---</w:t>
            </w:r>
          </w:p>
        </w:tc>
      </w:tr>
      <w:tr>
        <w:trPr>
          <w:trHeight w:val="253" w:hRule="atLeast"/>
        </w:trPr>
        <w:tc>
          <w:tcPr>
            <w:tcW w:w="1049" w:type="dxa"/>
          </w:tcPr>
          <w:p>
            <w:pPr>
              <w:pStyle w:val="TableParagraph"/>
              <w:spacing w:line="229" w:lineRule="exact"/>
              <w:ind w:left="333" w:right="331"/>
              <w:jc w:val="center"/>
              <w:rPr>
                <w:sz w:val="20"/>
              </w:rPr>
            </w:pPr>
            <w:r>
              <w:rPr>
                <w:sz w:val="20"/>
              </w:rPr>
              <w:t>001</w:t>
            </w:r>
          </w:p>
        </w:tc>
        <w:tc>
          <w:tcPr>
            <w:tcW w:w="1380" w:type="dxa"/>
          </w:tcPr>
          <w:p>
            <w:pPr>
              <w:pStyle w:val="TableParagraph"/>
              <w:spacing w:line="229" w:lineRule="exact"/>
              <w:ind w:left="87" w:right="81"/>
              <w:jc w:val="center"/>
              <w:rPr>
                <w:sz w:val="20"/>
              </w:rPr>
            </w:pPr>
            <w:r>
              <w:rPr>
                <w:sz w:val="20"/>
              </w:rPr>
              <w:t>Command 1</w:t>
            </w:r>
          </w:p>
        </w:tc>
        <w:tc>
          <w:tcPr>
            <w:tcW w:w="1082" w:type="dxa"/>
          </w:tcPr>
          <w:p>
            <w:pPr>
              <w:pStyle w:val="TableParagraph"/>
              <w:spacing w:line="229" w:lineRule="exact"/>
              <w:ind w:left="85" w:right="78"/>
              <w:jc w:val="center"/>
              <w:rPr>
                <w:sz w:val="20"/>
              </w:rPr>
            </w:pPr>
            <w:r>
              <w:rPr>
                <w:sz w:val="20"/>
              </w:rPr>
              <w:t>01</w:t>
            </w:r>
          </w:p>
        </w:tc>
        <w:tc>
          <w:tcPr>
            <w:tcW w:w="1327" w:type="dxa"/>
          </w:tcPr>
          <w:p>
            <w:pPr>
              <w:pStyle w:val="TableParagraph"/>
              <w:spacing w:line="204" w:lineRule="exact"/>
              <w:ind w:left="138" w:right="131"/>
              <w:jc w:val="center"/>
              <w:rPr>
                <w:sz w:val="16"/>
              </w:rPr>
            </w:pPr>
            <w:r>
              <w:rPr>
                <w:sz w:val="16"/>
              </w:rPr>
              <w:t>IADC</w:t>
            </w:r>
            <w:r>
              <w:rPr>
                <w:b/>
                <w:sz w:val="18"/>
              </w:rPr>
              <w:t>2</w:t>
            </w:r>
            <w:r>
              <w:rPr>
                <w:sz w:val="16"/>
              </w:rPr>
              <w:t>-IADC3</w:t>
            </w:r>
          </w:p>
        </w:tc>
        <w:tc>
          <w:tcPr>
            <w:tcW w:w="2369" w:type="dxa"/>
          </w:tcPr>
          <w:p>
            <w:pPr>
              <w:pStyle w:val="TableParagraph"/>
              <w:spacing w:line="233" w:lineRule="exact" w:before="1"/>
              <w:ind w:left="210" w:right="210"/>
              <w:jc w:val="center"/>
              <w:rPr>
                <w:rFonts w:ascii="Times New Roman"/>
                <w:i/>
                <w:sz w:val="20"/>
              </w:rPr>
            </w:pPr>
            <w:r>
              <w:rPr>
                <w:rFonts w:ascii="Times New Roman"/>
                <w:i/>
                <w:sz w:val="20"/>
              </w:rPr>
              <w:t>TMUXR</w:t>
            </w:r>
            <w:r>
              <w:rPr>
                <w:rFonts w:ascii="Times New Roman"/>
                <w:b/>
                <w:i/>
                <w:sz w:val="22"/>
              </w:rPr>
              <w:t>2</w:t>
            </w:r>
            <w:r>
              <w:rPr>
                <w:rFonts w:ascii="Times New Roman"/>
                <w:i/>
                <w:sz w:val="20"/>
              </w:rPr>
              <w:t>[2:0]</w:t>
            </w:r>
          </w:p>
        </w:tc>
      </w:tr>
      <w:tr>
        <w:trPr>
          <w:trHeight w:val="253" w:hRule="atLeast"/>
        </w:trPr>
        <w:tc>
          <w:tcPr>
            <w:tcW w:w="1049" w:type="dxa"/>
          </w:tcPr>
          <w:p>
            <w:pPr>
              <w:pStyle w:val="TableParagraph"/>
              <w:spacing w:line="227" w:lineRule="exact"/>
              <w:ind w:left="333" w:right="331"/>
              <w:jc w:val="center"/>
              <w:rPr>
                <w:sz w:val="20"/>
              </w:rPr>
            </w:pPr>
            <w:r>
              <w:rPr>
                <w:sz w:val="20"/>
              </w:rPr>
              <w:t>010</w:t>
            </w:r>
          </w:p>
        </w:tc>
        <w:tc>
          <w:tcPr>
            <w:tcW w:w="1380" w:type="dxa"/>
          </w:tcPr>
          <w:p>
            <w:pPr>
              <w:pStyle w:val="TableParagraph"/>
              <w:spacing w:line="227" w:lineRule="exact"/>
              <w:ind w:left="87" w:right="81"/>
              <w:jc w:val="center"/>
              <w:rPr>
                <w:sz w:val="20"/>
              </w:rPr>
            </w:pPr>
            <w:r>
              <w:rPr>
                <w:sz w:val="20"/>
              </w:rPr>
              <w:t>Command 2</w:t>
            </w:r>
          </w:p>
        </w:tc>
        <w:tc>
          <w:tcPr>
            <w:tcW w:w="1082" w:type="dxa"/>
          </w:tcPr>
          <w:p>
            <w:pPr>
              <w:pStyle w:val="TableParagraph"/>
              <w:spacing w:line="227" w:lineRule="exact"/>
              <w:ind w:left="85" w:right="78"/>
              <w:jc w:val="center"/>
              <w:rPr>
                <w:sz w:val="20"/>
              </w:rPr>
            </w:pPr>
            <w:r>
              <w:rPr>
                <w:sz w:val="20"/>
              </w:rPr>
              <w:t>10</w:t>
            </w:r>
          </w:p>
        </w:tc>
        <w:tc>
          <w:tcPr>
            <w:tcW w:w="1327" w:type="dxa"/>
          </w:tcPr>
          <w:p>
            <w:pPr>
              <w:pStyle w:val="TableParagraph"/>
              <w:spacing w:line="201" w:lineRule="exact"/>
              <w:ind w:left="138" w:right="130"/>
              <w:jc w:val="center"/>
              <w:rPr>
                <w:sz w:val="16"/>
              </w:rPr>
            </w:pPr>
            <w:r>
              <w:rPr>
                <w:sz w:val="16"/>
              </w:rPr>
              <w:t>IADC</w:t>
            </w:r>
            <w:r>
              <w:rPr>
                <w:b/>
                <w:sz w:val="18"/>
              </w:rPr>
              <w:t>4</w:t>
            </w:r>
            <w:r>
              <w:rPr>
                <w:sz w:val="16"/>
              </w:rPr>
              <w:t>-IADC5</w:t>
            </w:r>
          </w:p>
        </w:tc>
        <w:tc>
          <w:tcPr>
            <w:tcW w:w="2369" w:type="dxa"/>
          </w:tcPr>
          <w:p>
            <w:pPr>
              <w:pStyle w:val="TableParagraph"/>
              <w:spacing w:line="234" w:lineRule="exact"/>
              <w:ind w:left="210" w:right="210"/>
              <w:jc w:val="center"/>
              <w:rPr>
                <w:rFonts w:ascii="Times New Roman"/>
                <w:i/>
                <w:sz w:val="20"/>
              </w:rPr>
            </w:pPr>
            <w:r>
              <w:rPr>
                <w:rFonts w:ascii="Times New Roman"/>
                <w:i/>
                <w:sz w:val="20"/>
              </w:rPr>
              <w:t>TMUXR</w:t>
            </w:r>
            <w:r>
              <w:rPr>
                <w:rFonts w:ascii="Times New Roman"/>
                <w:b/>
                <w:i/>
                <w:sz w:val="22"/>
              </w:rPr>
              <w:t>4</w:t>
            </w:r>
            <w:r>
              <w:rPr>
                <w:rFonts w:ascii="Times New Roman"/>
                <w:i/>
                <w:sz w:val="20"/>
              </w:rPr>
              <w:t>[2:0]</w:t>
            </w:r>
          </w:p>
        </w:tc>
      </w:tr>
      <w:tr>
        <w:trPr>
          <w:trHeight w:val="251" w:hRule="atLeast"/>
        </w:trPr>
        <w:tc>
          <w:tcPr>
            <w:tcW w:w="1049" w:type="dxa"/>
          </w:tcPr>
          <w:p>
            <w:pPr>
              <w:pStyle w:val="TableParagraph"/>
              <w:spacing w:line="227" w:lineRule="exact"/>
              <w:ind w:left="333" w:right="331"/>
              <w:jc w:val="center"/>
              <w:rPr>
                <w:sz w:val="20"/>
              </w:rPr>
            </w:pPr>
            <w:r>
              <w:rPr>
                <w:sz w:val="20"/>
              </w:rPr>
              <w:t>011</w:t>
            </w:r>
          </w:p>
        </w:tc>
        <w:tc>
          <w:tcPr>
            <w:tcW w:w="1380" w:type="dxa"/>
          </w:tcPr>
          <w:p>
            <w:pPr>
              <w:pStyle w:val="TableParagraph"/>
              <w:spacing w:line="227" w:lineRule="exact"/>
              <w:ind w:left="87" w:right="81"/>
              <w:jc w:val="center"/>
              <w:rPr>
                <w:sz w:val="20"/>
              </w:rPr>
            </w:pPr>
            <w:r>
              <w:rPr>
                <w:sz w:val="20"/>
              </w:rPr>
              <w:t>Reserved</w:t>
            </w:r>
          </w:p>
        </w:tc>
        <w:tc>
          <w:tcPr>
            <w:tcW w:w="1082" w:type="dxa"/>
          </w:tcPr>
          <w:p>
            <w:pPr>
              <w:pStyle w:val="TableParagraph"/>
              <w:spacing w:line="227" w:lineRule="exact"/>
              <w:ind w:left="85" w:right="78"/>
              <w:jc w:val="center"/>
              <w:rPr>
                <w:sz w:val="20"/>
              </w:rPr>
            </w:pPr>
            <w:r>
              <w:rPr>
                <w:sz w:val="20"/>
              </w:rPr>
              <w:t>11</w:t>
            </w:r>
          </w:p>
        </w:tc>
        <w:tc>
          <w:tcPr>
            <w:tcW w:w="1327" w:type="dxa"/>
          </w:tcPr>
          <w:p>
            <w:pPr>
              <w:pStyle w:val="TableParagraph"/>
              <w:spacing w:line="201" w:lineRule="exact"/>
              <w:ind w:left="138" w:right="130"/>
              <w:jc w:val="center"/>
              <w:rPr>
                <w:sz w:val="16"/>
              </w:rPr>
            </w:pPr>
            <w:r>
              <w:rPr>
                <w:sz w:val="16"/>
              </w:rPr>
              <w:t>IADC</w:t>
            </w:r>
            <w:r>
              <w:rPr>
                <w:b/>
                <w:sz w:val="18"/>
              </w:rPr>
              <w:t>6</w:t>
            </w:r>
            <w:r>
              <w:rPr>
                <w:sz w:val="16"/>
              </w:rPr>
              <w:t>-IADC7</w:t>
            </w:r>
          </w:p>
        </w:tc>
        <w:tc>
          <w:tcPr>
            <w:tcW w:w="2369" w:type="dxa"/>
          </w:tcPr>
          <w:p>
            <w:pPr>
              <w:pStyle w:val="TableParagraph"/>
              <w:spacing w:line="232" w:lineRule="exact"/>
              <w:ind w:left="210" w:right="210"/>
              <w:jc w:val="center"/>
              <w:rPr>
                <w:rFonts w:ascii="Times New Roman"/>
                <w:i/>
                <w:sz w:val="20"/>
              </w:rPr>
            </w:pPr>
            <w:r>
              <w:rPr>
                <w:rFonts w:ascii="Times New Roman"/>
                <w:i/>
                <w:sz w:val="20"/>
              </w:rPr>
              <w:t>TMUXR</w:t>
            </w:r>
            <w:r>
              <w:rPr>
                <w:rFonts w:ascii="Times New Roman"/>
                <w:b/>
                <w:i/>
                <w:sz w:val="22"/>
              </w:rPr>
              <w:t>6</w:t>
            </w:r>
            <w:r>
              <w:rPr>
                <w:rFonts w:ascii="Times New Roman"/>
                <w:i/>
                <w:sz w:val="20"/>
              </w:rPr>
              <w:t>[2:0]</w:t>
            </w:r>
          </w:p>
        </w:tc>
      </w:tr>
      <w:tr>
        <w:trPr>
          <w:trHeight w:val="230" w:hRule="atLeast"/>
        </w:trPr>
        <w:tc>
          <w:tcPr>
            <w:tcW w:w="1049" w:type="dxa"/>
          </w:tcPr>
          <w:p>
            <w:pPr>
              <w:pStyle w:val="TableParagraph"/>
              <w:spacing w:line="210" w:lineRule="exact"/>
              <w:ind w:left="333" w:right="331"/>
              <w:jc w:val="center"/>
              <w:rPr>
                <w:sz w:val="20"/>
              </w:rPr>
            </w:pPr>
            <w:r>
              <w:rPr>
                <w:sz w:val="20"/>
              </w:rPr>
              <w:t>100</w:t>
            </w:r>
          </w:p>
        </w:tc>
        <w:tc>
          <w:tcPr>
            <w:tcW w:w="1380" w:type="dxa"/>
          </w:tcPr>
          <w:p>
            <w:pPr>
              <w:pStyle w:val="TableParagraph"/>
              <w:spacing w:line="210" w:lineRule="exact"/>
              <w:ind w:left="87" w:right="81"/>
              <w:jc w:val="center"/>
              <w:rPr>
                <w:sz w:val="20"/>
              </w:rPr>
            </w:pPr>
            <w:r>
              <w:rPr>
                <w:sz w:val="20"/>
              </w:rPr>
              <w:t>Reserved</w:t>
            </w:r>
          </w:p>
        </w:tc>
        <w:tc>
          <w:tcPr>
            <w:tcW w:w="4778" w:type="dxa"/>
            <w:gridSpan w:val="3"/>
            <w:vMerge w:val="restart"/>
          </w:tcPr>
          <w:p>
            <w:pPr>
              <w:pStyle w:val="TableParagraph"/>
              <w:rPr>
                <w:rFonts w:ascii="Times New Roman"/>
                <w:sz w:val="18"/>
              </w:rPr>
            </w:pPr>
          </w:p>
        </w:tc>
      </w:tr>
      <w:tr>
        <w:trPr>
          <w:trHeight w:val="229" w:hRule="atLeast"/>
        </w:trPr>
        <w:tc>
          <w:tcPr>
            <w:tcW w:w="1049" w:type="dxa"/>
          </w:tcPr>
          <w:p>
            <w:pPr>
              <w:pStyle w:val="TableParagraph"/>
              <w:spacing w:line="210" w:lineRule="exact"/>
              <w:ind w:left="333" w:right="331"/>
              <w:jc w:val="center"/>
              <w:rPr>
                <w:sz w:val="20"/>
              </w:rPr>
            </w:pPr>
            <w:r>
              <w:rPr>
                <w:sz w:val="20"/>
              </w:rPr>
              <w:t>101</w:t>
            </w:r>
          </w:p>
        </w:tc>
        <w:tc>
          <w:tcPr>
            <w:tcW w:w="1380" w:type="dxa"/>
          </w:tcPr>
          <w:p>
            <w:pPr>
              <w:pStyle w:val="TableParagraph"/>
              <w:spacing w:line="210" w:lineRule="exact"/>
              <w:ind w:left="87" w:right="80"/>
              <w:jc w:val="center"/>
              <w:rPr>
                <w:sz w:val="20"/>
              </w:rPr>
            </w:pPr>
            <w:r>
              <w:rPr>
                <w:sz w:val="20"/>
              </w:rPr>
              <w:t>Invalid</w:t>
            </w:r>
          </w:p>
        </w:tc>
        <w:tc>
          <w:tcPr>
            <w:tcW w:w="4778" w:type="dxa"/>
            <w:gridSpan w:val="3"/>
            <w:vMerge/>
            <w:tcBorders>
              <w:top w:val="nil"/>
            </w:tcBorders>
          </w:tcPr>
          <w:p>
            <w:pPr>
              <w:rPr>
                <w:sz w:val="2"/>
                <w:szCs w:val="2"/>
              </w:rPr>
            </w:pPr>
          </w:p>
        </w:tc>
      </w:tr>
      <w:tr>
        <w:trPr>
          <w:trHeight w:val="230" w:hRule="atLeast"/>
        </w:trPr>
        <w:tc>
          <w:tcPr>
            <w:tcW w:w="1049" w:type="dxa"/>
          </w:tcPr>
          <w:p>
            <w:pPr>
              <w:pStyle w:val="TableParagraph"/>
              <w:spacing w:line="210" w:lineRule="exact"/>
              <w:ind w:left="333" w:right="331"/>
              <w:jc w:val="center"/>
              <w:rPr>
                <w:sz w:val="20"/>
              </w:rPr>
            </w:pPr>
            <w:r>
              <w:rPr>
                <w:sz w:val="20"/>
              </w:rPr>
              <w:t>110</w:t>
            </w:r>
          </w:p>
        </w:tc>
        <w:tc>
          <w:tcPr>
            <w:tcW w:w="1380" w:type="dxa"/>
          </w:tcPr>
          <w:p>
            <w:pPr>
              <w:pStyle w:val="TableParagraph"/>
              <w:spacing w:line="210" w:lineRule="exact"/>
              <w:ind w:left="87" w:right="81"/>
              <w:jc w:val="center"/>
              <w:rPr>
                <w:sz w:val="20"/>
              </w:rPr>
            </w:pPr>
            <w:r>
              <w:rPr>
                <w:sz w:val="20"/>
              </w:rPr>
              <w:t>Reserved</w:t>
            </w:r>
          </w:p>
        </w:tc>
        <w:tc>
          <w:tcPr>
            <w:tcW w:w="4778" w:type="dxa"/>
            <w:gridSpan w:val="3"/>
            <w:vMerge/>
            <w:tcBorders>
              <w:top w:val="nil"/>
            </w:tcBorders>
          </w:tcPr>
          <w:p>
            <w:pPr>
              <w:rPr>
                <w:sz w:val="2"/>
                <w:szCs w:val="2"/>
              </w:rPr>
            </w:pPr>
          </w:p>
        </w:tc>
      </w:tr>
      <w:tr>
        <w:trPr>
          <w:trHeight w:val="230" w:hRule="atLeast"/>
        </w:trPr>
        <w:tc>
          <w:tcPr>
            <w:tcW w:w="1049" w:type="dxa"/>
          </w:tcPr>
          <w:p>
            <w:pPr>
              <w:pStyle w:val="TableParagraph"/>
              <w:spacing w:line="210" w:lineRule="exact"/>
              <w:ind w:left="333" w:right="331"/>
              <w:jc w:val="center"/>
              <w:rPr>
                <w:sz w:val="20"/>
              </w:rPr>
            </w:pPr>
            <w:r>
              <w:rPr>
                <w:sz w:val="20"/>
              </w:rPr>
              <w:t>111</w:t>
            </w:r>
          </w:p>
        </w:tc>
        <w:tc>
          <w:tcPr>
            <w:tcW w:w="1380" w:type="dxa"/>
          </w:tcPr>
          <w:p>
            <w:pPr>
              <w:pStyle w:val="TableParagraph"/>
              <w:spacing w:line="210" w:lineRule="exact"/>
              <w:ind w:left="87" w:right="81"/>
              <w:jc w:val="center"/>
              <w:rPr>
                <w:sz w:val="20"/>
              </w:rPr>
            </w:pPr>
            <w:r>
              <w:rPr>
                <w:sz w:val="20"/>
              </w:rPr>
              <w:t>Reserved</w:t>
            </w:r>
          </w:p>
        </w:tc>
        <w:tc>
          <w:tcPr>
            <w:tcW w:w="4778" w:type="dxa"/>
            <w:gridSpan w:val="3"/>
            <w:vMerge/>
            <w:tcBorders>
              <w:top w:val="nil"/>
            </w:tcBorders>
          </w:tcPr>
          <w:p>
            <w:pPr>
              <w:rPr>
                <w:sz w:val="2"/>
                <w:szCs w:val="2"/>
              </w:rPr>
            </w:pPr>
          </w:p>
        </w:tc>
      </w:tr>
      <w:tr>
        <w:trPr>
          <w:trHeight w:val="2303" w:hRule="atLeast"/>
        </w:trPr>
        <w:tc>
          <w:tcPr>
            <w:tcW w:w="7207" w:type="dxa"/>
            <w:gridSpan w:val="5"/>
          </w:tcPr>
          <w:p>
            <w:pPr>
              <w:pStyle w:val="TableParagraph"/>
              <w:spacing w:line="225" w:lineRule="exact"/>
              <w:ind w:left="107"/>
              <w:rPr>
                <w:b/>
                <w:sz w:val="20"/>
              </w:rPr>
            </w:pPr>
            <w:r>
              <w:rPr>
                <w:b/>
                <w:sz w:val="20"/>
              </w:rPr>
              <w:t>Notes:</w:t>
            </w:r>
          </w:p>
          <w:p>
            <w:pPr>
              <w:pStyle w:val="TableParagraph"/>
              <w:numPr>
                <w:ilvl w:val="0"/>
                <w:numId w:val="11"/>
              </w:numPr>
              <w:tabs>
                <w:tab w:pos="828" w:val="left" w:leader="none"/>
              </w:tabs>
              <w:spacing w:line="240" w:lineRule="auto" w:before="0" w:after="0"/>
              <w:ind w:left="827" w:right="214" w:hanging="360"/>
              <w:jc w:val="left"/>
              <w:rPr>
                <w:sz w:val="20"/>
              </w:rPr>
            </w:pPr>
            <w:r>
              <w:rPr>
                <w:sz w:val="20"/>
              </w:rPr>
              <w:t>Only two codes of </w:t>
            </w:r>
            <w:r>
              <w:rPr>
                <w:rFonts w:ascii="Times New Roman"/>
                <w:i/>
                <w:sz w:val="20"/>
              </w:rPr>
              <w:t>RCMD[4:2] </w:t>
            </w:r>
            <w:r>
              <w:rPr>
                <w:sz w:val="20"/>
              </w:rPr>
              <w:t>(</w:t>
            </w:r>
            <w:r>
              <w:rPr>
                <w:rFonts w:ascii="Times New Roman"/>
                <w:i/>
                <w:sz w:val="20"/>
              </w:rPr>
              <w:t>SFR 0xFC[4:2]</w:t>
            </w:r>
            <w:r>
              <w:rPr>
                <w:sz w:val="20"/>
              </w:rPr>
              <w:t>) are relevant for normal operation. These are </w:t>
            </w:r>
            <w:r>
              <w:rPr>
                <w:rFonts w:ascii="Times New Roman"/>
                <w:i/>
                <w:sz w:val="20"/>
              </w:rPr>
              <w:t>RCMD[4:2] </w:t>
            </w:r>
            <w:r>
              <w:rPr>
                <w:sz w:val="20"/>
              </w:rPr>
              <w:t>= 001 and 010. Codes 000 and 101 are invalid and will be ignored if used. The remaining codes are reserved and must not be</w:t>
            </w:r>
            <w:r>
              <w:rPr>
                <w:spacing w:val="-1"/>
                <w:sz w:val="20"/>
              </w:rPr>
              <w:t> </w:t>
            </w:r>
            <w:r>
              <w:rPr>
                <w:sz w:val="20"/>
              </w:rPr>
              <w:t>used.</w:t>
            </w:r>
          </w:p>
          <w:p>
            <w:pPr>
              <w:pStyle w:val="TableParagraph"/>
              <w:numPr>
                <w:ilvl w:val="0"/>
                <w:numId w:val="11"/>
              </w:numPr>
              <w:tabs>
                <w:tab w:pos="828" w:val="left" w:leader="none"/>
              </w:tabs>
              <w:spacing w:line="242" w:lineRule="auto" w:before="0" w:after="0"/>
              <w:ind w:left="827" w:right="215" w:hanging="360"/>
              <w:jc w:val="left"/>
              <w:rPr>
                <w:sz w:val="20"/>
              </w:rPr>
            </w:pPr>
            <w:r>
              <w:rPr>
                <w:sz w:val="20"/>
              </w:rPr>
              <w:t>For the </w:t>
            </w:r>
            <w:r>
              <w:rPr>
                <w:rFonts w:ascii="Times New Roman"/>
                <w:i/>
                <w:sz w:val="20"/>
              </w:rPr>
              <w:t>RCMD[1:0] </w:t>
            </w:r>
            <w:r>
              <w:rPr>
                <w:sz w:val="20"/>
              </w:rPr>
              <w:t>control field, codes 01, 10 and 11 are valid and</w:t>
            </w:r>
            <w:r>
              <w:rPr>
                <w:spacing w:val="-32"/>
                <w:sz w:val="20"/>
              </w:rPr>
              <w:t> </w:t>
            </w:r>
            <w:r>
              <w:rPr>
                <w:sz w:val="20"/>
              </w:rPr>
              <w:t>00 is invalid and must not be</w:t>
            </w:r>
            <w:r>
              <w:rPr>
                <w:spacing w:val="-5"/>
                <w:sz w:val="20"/>
              </w:rPr>
              <w:t> </w:t>
            </w:r>
            <w:r>
              <w:rPr>
                <w:sz w:val="20"/>
              </w:rPr>
              <w:t>used.</w:t>
            </w:r>
          </w:p>
          <w:p>
            <w:pPr>
              <w:pStyle w:val="TableParagraph"/>
              <w:numPr>
                <w:ilvl w:val="0"/>
                <w:numId w:val="11"/>
              </w:numPr>
              <w:tabs>
                <w:tab w:pos="828" w:val="left" w:leader="none"/>
              </w:tabs>
              <w:spacing w:line="226" w:lineRule="exact" w:before="0" w:after="0"/>
              <w:ind w:left="827" w:right="0" w:hanging="361"/>
              <w:jc w:val="left"/>
              <w:rPr>
                <w:rFonts w:ascii="Times New Roman"/>
                <w:i/>
                <w:sz w:val="20"/>
              </w:rPr>
            </w:pPr>
            <w:r>
              <w:rPr>
                <w:sz w:val="20"/>
              </w:rPr>
              <w:t>The specific phase (A, B or C) associated with each</w:t>
            </w:r>
            <w:r>
              <w:rPr>
                <w:spacing w:val="-30"/>
                <w:sz w:val="20"/>
              </w:rPr>
              <w:t> </w:t>
            </w:r>
            <w:r>
              <w:rPr>
                <w:rFonts w:ascii="Times New Roman"/>
                <w:i/>
                <w:sz w:val="20"/>
              </w:rPr>
              <w:t>TMUXRn[2:0]</w:t>
            </w:r>
          </w:p>
          <w:p>
            <w:pPr>
              <w:pStyle w:val="TableParagraph"/>
              <w:spacing w:line="230" w:lineRule="atLeast" w:before="2"/>
              <w:ind w:left="827" w:right="225" w:hanging="1"/>
              <w:rPr>
                <w:sz w:val="20"/>
              </w:rPr>
            </w:pPr>
            <w:r>
              <w:rPr>
                <w:sz w:val="20"/>
              </w:rPr>
              <w:t>field, is determined by how the IADCn input pins are connected in the meter</w:t>
            </w:r>
            <w:r>
              <w:rPr>
                <w:spacing w:val="-1"/>
                <w:sz w:val="20"/>
              </w:rPr>
              <w:t> </w:t>
            </w:r>
            <w:r>
              <w:rPr>
                <w:sz w:val="20"/>
              </w:rPr>
              <w:t>design.</w:t>
            </w:r>
          </w:p>
        </w:tc>
      </w:tr>
    </w:tbl>
    <w:p>
      <w:pPr>
        <w:pStyle w:val="BodyText"/>
        <w:spacing w:before="7"/>
        <w:rPr>
          <w:b/>
          <w:sz w:val="19"/>
        </w:rPr>
      </w:pPr>
    </w:p>
    <w:p>
      <w:pPr>
        <w:pStyle w:val="BodyText"/>
        <w:spacing w:line="228" w:lineRule="auto"/>
        <w:ind w:left="619" w:right="648"/>
      </w:pPr>
      <w:hyperlink w:history="true" w:anchor="_bookmark24">
        <w:r>
          <w:rPr>
            <w:color w:val="0000FF"/>
          </w:rPr>
          <w:t>Table 5 </w:t>
        </w:r>
      </w:hyperlink>
      <w:r>
        <w:rPr/>
        <w:t>shows the allowable combinations of values in </w:t>
      </w:r>
      <w:r>
        <w:rPr>
          <w:rFonts w:ascii="Times New Roman"/>
          <w:i/>
        </w:rPr>
        <w:t>RCMD[4:2] </w:t>
      </w:r>
      <w:r>
        <w:rPr/>
        <w:t>and </w:t>
      </w:r>
      <w:r>
        <w:rPr>
          <w:rFonts w:ascii="Times New Roman"/>
          <w:i/>
        </w:rPr>
        <w:t>TMUXRn[2:0]</w:t>
      </w:r>
      <w:r>
        <w:rPr/>
        <w:t>, and the corresponding data type and format sent back by the 71M6xx3 remote sensor and how the data is stored in </w:t>
      </w:r>
      <w:r>
        <w:rPr>
          <w:rFonts w:ascii="Times New Roman"/>
          <w:i/>
        </w:rPr>
        <w:t>RMT_RD[15:8] </w:t>
      </w:r>
      <w:r>
        <w:rPr/>
        <w:t>and </w:t>
      </w:r>
      <w:r>
        <w:rPr>
          <w:rFonts w:ascii="Times New Roman"/>
          <w:i/>
        </w:rPr>
        <w:t>RMT_RD[7:0]</w:t>
      </w:r>
      <w:r>
        <w:rPr/>
        <w:t>. The MPU selects which of the three phases is read by asserting the proper code in the </w:t>
      </w:r>
      <w:r>
        <w:rPr>
          <w:rFonts w:ascii="Times New Roman"/>
          <w:i/>
        </w:rPr>
        <w:t>RCMD[1:0] </w:t>
      </w:r>
      <w:r>
        <w:rPr/>
        <w:t>field, as shown in </w:t>
      </w:r>
      <w:hyperlink w:history="true" w:anchor="_bookmark23">
        <w:r>
          <w:rPr>
            <w:color w:val="0000FF"/>
          </w:rPr>
          <w:t>Table 4</w:t>
        </w:r>
        <w:r>
          <w:rPr/>
          <w:t>.</w:t>
        </w:r>
      </w:hyperlink>
    </w:p>
    <w:p>
      <w:pPr>
        <w:pStyle w:val="BodyText"/>
        <w:spacing w:before="115"/>
        <w:ind w:left="619"/>
      </w:pPr>
      <w:r>
        <w:rPr>
          <w:w w:val="99"/>
        </w:rPr>
        <w:t>.</w:t>
      </w:r>
    </w:p>
    <w:p>
      <w:pPr>
        <w:pStyle w:val="Heading1"/>
        <w:spacing w:before="106"/>
        <w:ind w:left="1314" w:right="1278"/>
      </w:pPr>
      <w:bookmarkStart w:name="_bookmark24" w:id="55"/>
      <w:bookmarkEnd w:id="55"/>
      <w:r>
        <w:rPr>
          <w:b w:val="0"/>
        </w:rPr>
      </w:r>
      <w:r>
        <w:rPr/>
        <w:t>Table 5: Remote Interface Read Commands</w:t>
      </w:r>
    </w:p>
    <w:p>
      <w:pPr>
        <w:pStyle w:val="BodyText"/>
        <w:spacing w:before="3"/>
        <w:rPr>
          <w:b/>
          <w:sz w:val="5"/>
        </w:rPr>
      </w:pPr>
    </w:p>
    <w:tbl>
      <w:tblPr>
        <w:tblW w:w="0" w:type="auto"/>
        <w:jc w:val="left"/>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4"/>
        <w:gridCol w:w="1260"/>
        <w:gridCol w:w="1980"/>
        <w:gridCol w:w="2810"/>
        <w:gridCol w:w="2431"/>
      </w:tblGrid>
      <w:tr>
        <w:trPr>
          <w:trHeight w:val="278" w:hRule="atLeast"/>
        </w:trPr>
        <w:tc>
          <w:tcPr>
            <w:tcW w:w="1104" w:type="dxa"/>
          </w:tcPr>
          <w:p>
            <w:pPr>
              <w:pStyle w:val="TableParagraph"/>
              <w:spacing w:before="45"/>
              <w:ind w:left="136" w:right="126"/>
              <w:jc w:val="center"/>
              <w:rPr>
                <w:rFonts w:ascii="Times New Roman"/>
                <w:b/>
                <w:i/>
                <w:sz w:val="16"/>
              </w:rPr>
            </w:pPr>
            <w:r>
              <w:rPr>
                <w:rFonts w:ascii="Times New Roman"/>
                <w:b/>
                <w:i/>
                <w:sz w:val="16"/>
              </w:rPr>
              <w:t>RCMD[4:2]</w:t>
            </w:r>
          </w:p>
        </w:tc>
        <w:tc>
          <w:tcPr>
            <w:tcW w:w="1260" w:type="dxa"/>
          </w:tcPr>
          <w:p>
            <w:pPr>
              <w:pStyle w:val="TableParagraph"/>
              <w:spacing w:before="45"/>
              <w:ind w:left="119" w:right="112"/>
              <w:jc w:val="center"/>
              <w:rPr>
                <w:rFonts w:ascii="Times New Roman"/>
                <w:b/>
                <w:i/>
                <w:sz w:val="16"/>
              </w:rPr>
            </w:pPr>
            <w:r>
              <w:rPr>
                <w:rFonts w:ascii="Times New Roman"/>
                <w:b/>
                <w:i/>
                <w:sz w:val="16"/>
              </w:rPr>
              <w:t>TMUXRn[2:0]</w:t>
            </w:r>
          </w:p>
        </w:tc>
        <w:tc>
          <w:tcPr>
            <w:tcW w:w="1980" w:type="dxa"/>
          </w:tcPr>
          <w:p>
            <w:pPr>
              <w:pStyle w:val="TableParagraph"/>
              <w:spacing w:before="27"/>
              <w:ind w:left="343"/>
              <w:rPr>
                <w:b/>
                <w:sz w:val="18"/>
              </w:rPr>
            </w:pPr>
            <w:r>
              <w:rPr>
                <w:b/>
                <w:sz w:val="18"/>
              </w:rPr>
              <w:t>Read Operation</w:t>
            </w:r>
          </w:p>
        </w:tc>
        <w:tc>
          <w:tcPr>
            <w:tcW w:w="2810" w:type="dxa"/>
          </w:tcPr>
          <w:p>
            <w:pPr>
              <w:pStyle w:val="TableParagraph"/>
              <w:spacing w:before="25"/>
              <w:ind w:left="225" w:right="220"/>
              <w:jc w:val="center"/>
              <w:rPr>
                <w:b/>
                <w:sz w:val="18"/>
              </w:rPr>
            </w:pPr>
            <w:r>
              <w:rPr>
                <w:rFonts w:ascii="Times New Roman"/>
                <w:b/>
                <w:i/>
                <w:sz w:val="18"/>
              </w:rPr>
              <w:t>RMT_RD </w:t>
            </w:r>
            <w:r>
              <w:rPr>
                <w:b/>
                <w:sz w:val="18"/>
              </w:rPr>
              <w:t>[15:8]</w:t>
            </w:r>
          </w:p>
        </w:tc>
        <w:tc>
          <w:tcPr>
            <w:tcW w:w="2431" w:type="dxa"/>
          </w:tcPr>
          <w:p>
            <w:pPr>
              <w:pStyle w:val="TableParagraph"/>
              <w:spacing w:before="25"/>
              <w:ind w:left="147" w:right="139"/>
              <w:jc w:val="center"/>
              <w:rPr>
                <w:b/>
                <w:sz w:val="18"/>
              </w:rPr>
            </w:pPr>
            <w:r>
              <w:rPr>
                <w:rFonts w:ascii="Times New Roman"/>
                <w:b/>
                <w:i/>
                <w:sz w:val="18"/>
              </w:rPr>
              <w:t>RMT_RD </w:t>
            </w:r>
            <w:r>
              <w:rPr>
                <w:b/>
                <w:sz w:val="18"/>
              </w:rPr>
              <w:t>[7:0]</w:t>
            </w:r>
          </w:p>
        </w:tc>
      </w:tr>
      <w:tr>
        <w:trPr>
          <w:trHeight w:val="388" w:hRule="atLeast"/>
        </w:trPr>
        <w:tc>
          <w:tcPr>
            <w:tcW w:w="1104" w:type="dxa"/>
          </w:tcPr>
          <w:p>
            <w:pPr>
              <w:pStyle w:val="TableParagraph"/>
              <w:spacing w:before="97"/>
              <w:ind w:left="133" w:right="126"/>
              <w:jc w:val="center"/>
              <w:rPr>
                <w:sz w:val="16"/>
              </w:rPr>
            </w:pPr>
            <w:r>
              <w:rPr>
                <w:sz w:val="16"/>
              </w:rPr>
              <w:t>001</w:t>
            </w:r>
          </w:p>
        </w:tc>
        <w:tc>
          <w:tcPr>
            <w:tcW w:w="1260" w:type="dxa"/>
          </w:tcPr>
          <w:p>
            <w:pPr>
              <w:pStyle w:val="TableParagraph"/>
              <w:spacing w:before="97"/>
              <w:ind w:left="118" w:right="112"/>
              <w:jc w:val="center"/>
              <w:rPr>
                <w:sz w:val="16"/>
              </w:rPr>
            </w:pPr>
            <w:r>
              <w:rPr>
                <w:sz w:val="16"/>
              </w:rPr>
              <w:t>00X</w:t>
            </w:r>
          </w:p>
        </w:tc>
        <w:tc>
          <w:tcPr>
            <w:tcW w:w="1980" w:type="dxa"/>
          </w:tcPr>
          <w:p>
            <w:pPr>
              <w:pStyle w:val="TableParagraph"/>
              <w:spacing w:before="7"/>
              <w:ind w:left="105"/>
              <w:rPr>
                <w:rFonts w:ascii="Times New Roman"/>
                <w:i/>
                <w:sz w:val="18"/>
              </w:rPr>
            </w:pPr>
            <w:r>
              <w:rPr>
                <w:rFonts w:ascii="Times New Roman"/>
                <w:i/>
                <w:sz w:val="18"/>
              </w:rPr>
              <w:t>TRIMT[7:0]</w:t>
            </w:r>
          </w:p>
          <w:p>
            <w:pPr>
              <w:pStyle w:val="TableParagraph"/>
              <w:spacing w:before="16"/>
              <w:ind w:left="105"/>
              <w:rPr>
                <w:sz w:val="12"/>
              </w:rPr>
            </w:pPr>
            <w:r>
              <w:rPr>
                <w:sz w:val="12"/>
              </w:rPr>
              <w:t>(trim fuse for all 71M6xx3)</w:t>
            </w:r>
          </w:p>
        </w:tc>
        <w:tc>
          <w:tcPr>
            <w:tcW w:w="2810" w:type="dxa"/>
          </w:tcPr>
          <w:p>
            <w:pPr>
              <w:pStyle w:val="TableParagraph"/>
              <w:spacing w:before="83"/>
              <w:ind w:left="224" w:right="222"/>
              <w:jc w:val="center"/>
              <w:rPr>
                <w:rFonts w:ascii="Times New Roman"/>
                <w:i/>
                <w:sz w:val="18"/>
              </w:rPr>
            </w:pPr>
            <w:r>
              <w:rPr>
                <w:rFonts w:ascii="Times New Roman"/>
                <w:i/>
                <w:sz w:val="18"/>
              </w:rPr>
              <w:t>TRIMT[7]=RMT_RD[8]</w:t>
            </w:r>
          </w:p>
        </w:tc>
        <w:tc>
          <w:tcPr>
            <w:tcW w:w="2431" w:type="dxa"/>
          </w:tcPr>
          <w:p>
            <w:pPr>
              <w:pStyle w:val="TableParagraph"/>
              <w:spacing w:before="83"/>
              <w:ind w:left="147" w:right="142"/>
              <w:jc w:val="center"/>
              <w:rPr>
                <w:rFonts w:ascii="Times New Roman"/>
                <w:i/>
                <w:sz w:val="18"/>
              </w:rPr>
            </w:pPr>
            <w:r>
              <w:rPr>
                <w:rFonts w:ascii="Times New Roman"/>
                <w:i/>
                <w:sz w:val="18"/>
              </w:rPr>
              <w:t>TRIMT[6:0]=RMT_RD[7:1]</w:t>
            </w:r>
          </w:p>
        </w:tc>
      </w:tr>
      <w:tr>
        <w:trPr>
          <w:trHeight w:val="736" w:hRule="atLeast"/>
        </w:trPr>
        <w:tc>
          <w:tcPr>
            <w:tcW w:w="1104" w:type="dxa"/>
          </w:tcPr>
          <w:p>
            <w:pPr>
              <w:pStyle w:val="TableParagraph"/>
              <w:spacing w:before="7"/>
              <w:rPr>
                <w:b/>
                <w:sz w:val="23"/>
              </w:rPr>
            </w:pPr>
          </w:p>
          <w:p>
            <w:pPr>
              <w:pStyle w:val="TableParagraph"/>
              <w:ind w:left="133" w:right="126"/>
              <w:jc w:val="center"/>
              <w:rPr>
                <w:sz w:val="16"/>
              </w:rPr>
            </w:pPr>
            <w:r>
              <w:rPr>
                <w:sz w:val="16"/>
              </w:rPr>
              <w:t>001</w:t>
            </w:r>
          </w:p>
        </w:tc>
        <w:tc>
          <w:tcPr>
            <w:tcW w:w="1260" w:type="dxa"/>
          </w:tcPr>
          <w:p>
            <w:pPr>
              <w:pStyle w:val="TableParagraph"/>
              <w:spacing w:before="7"/>
              <w:rPr>
                <w:b/>
                <w:sz w:val="23"/>
              </w:rPr>
            </w:pPr>
          </w:p>
          <w:p>
            <w:pPr>
              <w:pStyle w:val="TableParagraph"/>
              <w:ind w:left="118" w:right="112"/>
              <w:jc w:val="center"/>
              <w:rPr>
                <w:sz w:val="16"/>
              </w:rPr>
            </w:pPr>
            <w:r>
              <w:rPr>
                <w:sz w:val="16"/>
              </w:rPr>
              <w:t>11X</w:t>
            </w:r>
          </w:p>
        </w:tc>
        <w:tc>
          <w:tcPr>
            <w:tcW w:w="1980" w:type="dxa"/>
          </w:tcPr>
          <w:p>
            <w:pPr>
              <w:pStyle w:val="TableParagraph"/>
              <w:spacing w:before="6"/>
              <w:ind w:left="105"/>
              <w:rPr>
                <w:sz w:val="18"/>
              </w:rPr>
            </w:pPr>
            <w:r>
              <w:rPr>
                <w:rFonts w:ascii="Times New Roman"/>
                <w:i/>
                <w:sz w:val="18"/>
              </w:rPr>
              <w:t>TRIMBGB[7:0] </w:t>
            </w:r>
            <w:r>
              <w:rPr>
                <w:sz w:val="18"/>
              </w:rPr>
              <w:t>and</w:t>
            </w:r>
          </w:p>
          <w:p>
            <w:pPr>
              <w:pStyle w:val="TableParagraph"/>
              <w:spacing w:before="11"/>
              <w:ind w:left="105"/>
              <w:rPr>
                <w:rFonts w:ascii="Times New Roman"/>
                <w:i/>
                <w:sz w:val="18"/>
              </w:rPr>
            </w:pPr>
            <w:r>
              <w:rPr>
                <w:rFonts w:ascii="Times New Roman"/>
                <w:i/>
                <w:sz w:val="18"/>
              </w:rPr>
              <w:t>TRIMBGD[7:0]</w:t>
            </w:r>
          </w:p>
          <w:p>
            <w:pPr>
              <w:pStyle w:val="TableParagraph"/>
              <w:spacing w:line="230" w:lineRule="auto" w:before="19"/>
              <w:ind w:left="105" w:right="283"/>
              <w:rPr>
                <w:sz w:val="12"/>
              </w:rPr>
            </w:pPr>
            <w:r>
              <w:rPr>
                <w:sz w:val="12"/>
              </w:rPr>
              <w:t>(additional trim fuses for 71M6113 and 71M6203 only)</w:t>
            </w:r>
          </w:p>
        </w:tc>
        <w:tc>
          <w:tcPr>
            <w:tcW w:w="2810" w:type="dxa"/>
          </w:tcPr>
          <w:p>
            <w:pPr>
              <w:pStyle w:val="TableParagraph"/>
              <w:spacing w:before="3"/>
              <w:rPr>
                <w:b/>
                <w:sz w:val="22"/>
              </w:rPr>
            </w:pPr>
          </w:p>
          <w:p>
            <w:pPr>
              <w:pStyle w:val="TableParagraph"/>
              <w:ind w:left="223" w:right="222"/>
              <w:jc w:val="center"/>
              <w:rPr>
                <w:rFonts w:ascii="Times New Roman"/>
                <w:i/>
                <w:sz w:val="18"/>
              </w:rPr>
            </w:pPr>
            <w:r>
              <w:rPr>
                <w:rFonts w:ascii="Times New Roman"/>
                <w:i/>
                <w:sz w:val="18"/>
              </w:rPr>
              <w:t>TRIMBGB[7:0]</w:t>
            </w:r>
          </w:p>
        </w:tc>
        <w:tc>
          <w:tcPr>
            <w:tcW w:w="2431" w:type="dxa"/>
          </w:tcPr>
          <w:p>
            <w:pPr>
              <w:pStyle w:val="TableParagraph"/>
              <w:spacing w:before="3"/>
              <w:rPr>
                <w:b/>
                <w:sz w:val="22"/>
              </w:rPr>
            </w:pPr>
          </w:p>
          <w:p>
            <w:pPr>
              <w:pStyle w:val="TableParagraph"/>
              <w:ind w:left="144" w:right="142"/>
              <w:jc w:val="center"/>
              <w:rPr>
                <w:rFonts w:ascii="Times New Roman"/>
                <w:i/>
                <w:sz w:val="18"/>
              </w:rPr>
            </w:pPr>
            <w:r>
              <w:rPr>
                <w:rFonts w:ascii="Times New Roman"/>
                <w:i/>
                <w:sz w:val="18"/>
              </w:rPr>
              <w:t>TRIMBGD[7:0]</w:t>
            </w:r>
          </w:p>
        </w:tc>
      </w:tr>
      <w:tr>
        <w:trPr>
          <w:trHeight w:val="385" w:hRule="atLeast"/>
        </w:trPr>
        <w:tc>
          <w:tcPr>
            <w:tcW w:w="1104" w:type="dxa"/>
          </w:tcPr>
          <w:p>
            <w:pPr>
              <w:pStyle w:val="TableParagraph"/>
              <w:spacing w:before="97"/>
              <w:ind w:left="133" w:right="126"/>
              <w:jc w:val="center"/>
              <w:rPr>
                <w:sz w:val="16"/>
              </w:rPr>
            </w:pPr>
            <w:r>
              <w:rPr>
                <w:sz w:val="16"/>
              </w:rPr>
              <w:t>010</w:t>
            </w:r>
          </w:p>
        </w:tc>
        <w:tc>
          <w:tcPr>
            <w:tcW w:w="1260" w:type="dxa"/>
          </w:tcPr>
          <w:p>
            <w:pPr>
              <w:pStyle w:val="TableParagraph"/>
              <w:spacing w:before="97"/>
              <w:ind w:left="118" w:right="112"/>
              <w:jc w:val="center"/>
              <w:rPr>
                <w:sz w:val="16"/>
              </w:rPr>
            </w:pPr>
            <w:r>
              <w:rPr>
                <w:sz w:val="16"/>
              </w:rPr>
              <w:t>00X</w:t>
            </w:r>
          </w:p>
        </w:tc>
        <w:tc>
          <w:tcPr>
            <w:tcW w:w="1980" w:type="dxa"/>
          </w:tcPr>
          <w:p>
            <w:pPr>
              <w:pStyle w:val="TableParagraph"/>
              <w:spacing w:before="7"/>
              <w:ind w:left="105"/>
              <w:rPr>
                <w:rFonts w:ascii="Times New Roman"/>
                <w:i/>
                <w:sz w:val="18"/>
              </w:rPr>
            </w:pPr>
            <w:r>
              <w:rPr>
                <w:rFonts w:ascii="Times New Roman"/>
                <w:i/>
                <w:sz w:val="18"/>
              </w:rPr>
              <w:t>STEMP[10:0]</w:t>
            </w:r>
          </w:p>
          <w:p>
            <w:pPr>
              <w:pStyle w:val="TableParagraph"/>
              <w:spacing w:before="14"/>
              <w:ind w:left="105"/>
              <w:rPr>
                <w:sz w:val="12"/>
              </w:rPr>
            </w:pPr>
            <w:r>
              <w:rPr>
                <w:sz w:val="12"/>
              </w:rPr>
              <w:t>(sensed 71M6xx3 temperature)</w:t>
            </w:r>
          </w:p>
        </w:tc>
        <w:tc>
          <w:tcPr>
            <w:tcW w:w="2810" w:type="dxa"/>
          </w:tcPr>
          <w:p>
            <w:pPr>
              <w:pStyle w:val="TableParagraph"/>
              <w:spacing w:before="7"/>
              <w:ind w:left="225" w:right="222"/>
              <w:jc w:val="center"/>
              <w:rPr>
                <w:rFonts w:ascii="Times New Roman"/>
                <w:i/>
                <w:sz w:val="18"/>
              </w:rPr>
            </w:pPr>
            <w:r>
              <w:rPr>
                <w:rFonts w:ascii="Times New Roman"/>
                <w:i/>
                <w:sz w:val="18"/>
              </w:rPr>
              <w:t>STEMP[10:8]=RMT_RD[10:8]</w:t>
            </w:r>
          </w:p>
          <w:p>
            <w:pPr>
              <w:pStyle w:val="TableParagraph"/>
              <w:spacing w:before="12"/>
              <w:ind w:left="225" w:right="221"/>
              <w:jc w:val="center"/>
              <w:rPr>
                <w:i/>
                <w:sz w:val="10"/>
              </w:rPr>
            </w:pPr>
            <w:r>
              <w:rPr>
                <w:rFonts w:ascii="Times New Roman"/>
                <w:i/>
                <w:sz w:val="12"/>
              </w:rPr>
              <w:t>(RMT_RD[15:</w:t>
            </w:r>
            <w:r>
              <w:rPr>
                <w:i/>
                <w:sz w:val="10"/>
              </w:rPr>
              <w:t>11] are sign extended)</w:t>
            </w:r>
          </w:p>
        </w:tc>
        <w:tc>
          <w:tcPr>
            <w:tcW w:w="2431" w:type="dxa"/>
          </w:tcPr>
          <w:p>
            <w:pPr>
              <w:pStyle w:val="TableParagraph"/>
              <w:spacing w:before="81"/>
              <w:ind w:left="147" w:right="141"/>
              <w:jc w:val="center"/>
              <w:rPr>
                <w:rFonts w:ascii="Times New Roman"/>
                <w:i/>
                <w:sz w:val="18"/>
              </w:rPr>
            </w:pPr>
            <w:r>
              <w:rPr>
                <w:rFonts w:ascii="Times New Roman"/>
                <w:i/>
                <w:sz w:val="18"/>
              </w:rPr>
              <w:t>STEMP[7:0]</w:t>
            </w:r>
          </w:p>
        </w:tc>
      </w:tr>
      <w:tr>
        <w:trPr>
          <w:trHeight w:val="366" w:hRule="atLeast"/>
        </w:trPr>
        <w:tc>
          <w:tcPr>
            <w:tcW w:w="1104" w:type="dxa"/>
          </w:tcPr>
          <w:p>
            <w:pPr>
              <w:pStyle w:val="TableParagraph"/>
              <w:spacing w:before="87"/>
              <w:ind w:left="133" w:right="126"/>
              <w:jc w:val="center"/>
              <w:rPr>
                <w:sz w:val="16"/>
              </w:rPr>
            </w:pPr>
            <w:r>
              <w:rPr>
                <w:sz w:val="16"/>
              </w:rPr>
              <w:t>010</w:t>
            </w:r>
          </w:p>
        </w:tc>
        <w:tc>
          <w:tcPr>
            <w:tcW w:w="1260" w:type="dxa"/>
          </w:tcPr>
          <w:p>
            <w:pPr>
              <w:pStyle w:val="TableParagraph"/>
              <w:spacing w:before="87"/>
              <w:ind w:left="118" w:right="112"/>
              <w:jc w:val="center"/>
              <w:rPr>
                <w:sz w:val="16"/>
              </w:rPr>
            </w:pPr>
            <w:r>
              <w:rPr>
                <w:sz w:val="16"/>
              </w:rPr>
              <w:t>01X</w:t>
            </w:r>
          </w:p>
        </w:tc>
        <w:tc>
          <w:tcPr>
            <w:tcW w:w="1980" w:type="dxa"/>
          </w:tcPr>
          <w:p>
            <w:pPr>
              <w:pStyle w:val="TableParagraph"/>
              <w:spacing w:before="9"/>
              <w:ind w:left="105"/>
              <w:rPr>
                <w:rFonts w:ascii="Times New Roman"/>
                <w:i/>
                <w:sz w:val="18"/>
              </w:rPr>
            </w:pPr>
            <w:r>
              <w:rPr>
                <w:rFonts w:ascii="Times New Roman"/>
                <w:i/>
                <w:sz w:val="18"/>
              </w:rPr>
              <w:t>VSENSE[7:0]</w:t>
            </w:r>
          </w:p>
          <w:p>
            <w:pPr>
              <w:pStyle w:val="TableParagraph"/>
              <w:spacing w:before="14"/>
              <w:ind w:left="105"/>
              <w:rPr>
                <w:sz w:val="10"/>
              </w:rPr>
            </w:pPr>
            <w:r>
              <w:rPr>
                <w:sz w:val="10"/>
              </w:rPr>
              <w:t>(sensed 71M6xx3 supply voltage)</w:t>
            </w:r>
          </w:p>
        </w:tc>
        <w:tc>
          <w:tcPr>
            <w:tcW w:w="2810" w:type="dxa"/>
          </w:tcPr>
          <w:p>
            <w:pPr>
              <w:pStyle w:val="TableParagraph"/>
              <w:spacing w:before="71"/>
              <w:ind w:left="225" w:right="220"/>
              <w:jc w:val="center"/>
              <w:rPr>
                <w:rFonts w:ascii="Times New Roman"/>
                <w:i/>
                <w:sz w:val="18"/>
              </w:rPr>
            </w:pPr>
            <w:r>
              <w:rPr>
                <w:rFonts w:ascii="Times New Roman"/>
                <w:i/>
                <w:sz w:val="18"/>
              </w:rPr>
              <w:t>All zeros</w:t>
            </w:r>
          </w:p>
        </w:tc>
        <w:tc>
          <w:tcPr>
            <w:tcW w:w="2431" w:type="dxa"/>
          </w:tcPr>
          <w:p>
            <w:pPr>
              <w:pStyle w:val="TableParagraph"/>
              <w:spacing w:before="71"/>
              <w:ind w:left="145" w:right="142"/>
              <w:jc w:val="center"/>
              <w:rPr>
                <w:rFonts w:ascii="Times New Roman"/>
                <w:i/>
                <w:sz w:val="18"/>
              </w:rPr>
            </w:pPr>
            <w:r>
              <w:rPr>
                <w:rFonts w:ascii="Times New Roman"/>
                <w:i/>
                <w:sz w:val="18"/>
              </w:rPr>
              <w:t>VSENSE[7:0]</w:t>
            </w:r>
          </w:p>
        </w:tc>
      </w:tr>
      <w:tr>
        <w:trPr>
          <w:trHeight w:val="388" w:hRule="atLeast"/>
        </w:trPr>
        <w:tc>
          <w:tcPr>
            <w:tcW w:w="1104" w:type="dxa"/>
          </w:tcPr>
          <w:p>
            <w:pPr>
              <w:pStyle w:val="TableParagraph"/>
              <w:spacing w:before="97"/>
              <w:ind w:left="133" w:right="126"/>
              <w:jc w:val="center"/>
              <w:rPr>
                <w:sz w:val="16"/>
              </w:rPr>
            </w:pPr>
            <w:r>
              <w:rPr>
                <w:sz w:val="16"/>
              </w:rPr>
              <w:t>010</w:t>
            </w:r>
          </w:p>
        </w:tc>
        <w:tc>
          <w:tcPr>
            <w:tcW w:w="1260" w:type="dxa"/>
          </w:tcPr>
          <w:p>
            <w:pPr>
              <w:pStyle w:val="TableParagraph"/>
              <w:spacing w:before="97"/>
              <w:ind w:left="118" w:right="112"/>
              <w:jc w:val="center"/>
              <w:rPr>
                <w:sz w:val="16"/>
              </w:rPr>
            </w:pPr>
            <w:r>
              <w:rPr>
                <w:sz w:val="16"/>
              </w:rPr>
              <w:t>10X</w:t>
            </w:r>
          </w:p>
        </w:tc>
        <w:tc>
          <w:tcPr>
            <w:tcW w:w="1980" w:type="dxa"/>
          </w:tcPr>
          <w:p>
            <w:pPr>
              <w:pStyle w:val="TableParagraph"/>
              <w:spacing w:before="7"/>
              <w:ind w:left="105"/>
              <w:rPr>
                <w:rFonts w:ascii="Times New Roman"/>
                <w:i/>
                <w:sz w:val="18"/>
              </w:rPr>
            </w:pPr>
            <w:r>
              <w:rPr>
                <w:rFonts w:ascii="Times New Roman"/>
                <w:i/>
                <w:sz w:val="18"/>
              </w:rPr>
              <w:t>VERSION[7:0]</w:t>
            </w:r>
          </w:p>
          <w:p>
            <w:pPr>
              <w:pStyle w:val="TableParagraph"/>
              <w:spacing w:before="16"/>
              <w:ind w:left="105"/>
              <w:rPr>
                <w:sz w:val="12"/>
              </w:rPr>
            </w:pPr>
            <w:r>
              <w:rPr>
                <w:sz w:val="12"/>
              </w:rPr>
              <w:t>(chip version)</w:t>
            </w:r>
          </w:p>
        </w:tc>
        <w:tc>
          <w:tcPr>
            <w:tcW w:w="2810" w:type="dxa"/>
          </w:tcPr>
          <w:p>
            <w:pPr>
              <w:pStyle w:val="TableParagraph"/>
              <w:spacing w:before="83"/>
              <w:ind w:left="225" w:right="220"/>
              <w:jc w:val="center"/>
              <w:rPr>
                <w:rFonts w:ascii="Times New Roman"/>
                <w:i/>
                <w:sz w:val="18"/>
              </w:rPr>
            </w:pPr>
            <w:r>
              <w:rPr>
                <w:rFonts w:ascii="Times New Roman"/>
                <w:i/>
                <w:sz w:val="18"/>
              </w:rPr>
              <w:t>VERSION[7:0]</w:t>
            </w:r>
          </w:p>
        </w:tc>
        <w:tc>
          <w:tcPr>
            <w:tcW w:w="2431" w:type="dxa"/>
          </w:tcPr>
          <w:p>
            <w:pPr>
              <w:pStyle w:val="TableParagraph"/>
              <w:spacing w:before="83"/>
              <w:ind w:left="147" w:right="141"/>
              <w:jc w:val="center"/>
              <w:rPr>
                <w:rFonts w:ascii="Times New Roman"/>
                <w:i/>
                <w:sz w:val="18"/>
              </w:rPr>
            </w:pPr>
            <w:r>
              <w:rPr>
                <w:rFonts w:ascii="Times New Roman"/>
                <w:i/>
                <w:sz w:val="18"/>
              </w:rPr>
              <w:t>All zeros</w:t>
            </w:r>
          </w:p>
        </w:tc>
      </w:tr>
      <w:tr>
        <w:trPr>
          <w:trHeight w:val="2128" w:hRule="atLeast"/>
        </w:trPr>
        <w:tc>
          <w:tcPr>
            <w:tcW w:w="9585" w:type="dxa"/>
            <w:gridSpan w:val="5"/>
          </w:tcPr>
          <w:p>
            <w:pPr>
              <w:pStyle w:val="TableParagraph"/>
              <w:spacing w:before="6"/>
              <w:ind w:left="107"/>
              <w:rPr>
                <w:b/>
                <w:sz w:val="18"/>
              </w:rPr>
            </w:pPr>
            <w:r>
              <w:rPr>
                <w:b/>
                <w:sz w:val="18"/>
              </w:rPr>
              <w:t>Notes:</w:t>
            </w:r>
          </w:p>
          <w:p>
            <w:pPr>
              <w:pStyle w:val="TableParagraph"/>
              <w:numPr>
                <w:ilvl w:val="0"/>
                <w:numId w:val="12"/>
              </w:numPr>
              <w:tabs>
                <w:tab w:pos="827" w:val="left" w:leader="none"/>
                <w:tab w:pos="828" w:val="left" w:leader="none"/>
              </w:tabs>
              <w:spacing w:line="242" w:lineRule="auto" w:before="16" w:after="0"/>
              <w:ind w:left="827" w:right="318" w:hanging="360"/>
              <w:jc w:val="left"/>
              <w:rPr>
                <w:sz w:val="18"/>
              </w:rPr>
            </w:pPr>
            <w:r>
              <w:rPr>
                <w:rFonts w:ascii="Times New Roman"/>
                <w:i/>
                <w:sz w:val="18"/>
              </w:rPr>
              <w:t>TRIMT[7:0] </w:t>
            </w:r>
            <w:r>
              <w:rPr>
                <w:sz w:val="18"/>
              </w:rPr>
              <w:t>is the VREF trim value for all 71M6xx3 devices. Note that the </w:t>
            </w:r>
            <w:r>
              <w:rPr>
                <w:rFonts w:ascii="Times New Roman"/>
                <w:i/>
                <w:sz w:val="18"/>
              </w:rPr>
              <w:t>TRIMT[7:0] </w:t>
            </w:r>
            <w:r>
              <w:rPr>
                <w:sz w:val="18"/>
              </w:rPr>
              <w:t>8-bit value is formed by </w:t>
            </w:r>
            <w:r>
              <w:rPr>
                <w:rFonts w:ascii="Times New Roman"/>
                <w:i/>
                <w:sz w:val="18"/>
              </w:rPr>
              <w:t>RMT_RD[8] </w:t>
            </w:r>
            <w:r>
              <w:rPr>
                <w:sz w:val="18"/>
              </w:rPr>
              <w:t>and </w:t>
            </w:r>
            <w:r>
              <w:rPr>
                <w:rFonts w:ascii="Times New Roman"/>
                <w:i/>
                <w:sz w:val="18"/>
              </w:rPr>
              <w:t>RMT_RD[7:1]. </w:t>
            </w:r>
            <w:r>
              <w:rPr>
                <w:sz w:val="18"/>
              </w:rPr>
              <w:t>See the 71M6xxx Data Sheet for the equations related to </w:t>
            </w:r>
            <w:r>
              <w:rPr>
                <w:rFonts w:ascii="Times New Roman"/>
                <w:i/>
                <w:sz w:val="20"/>
              </w:rPr>
              <w:t>TRIMT[7:0] </w:t>
            </w:r>
            <w:r>
              <w:rPr>
                <w:sz w:val="18"/>
              </w:rPr>
              <w:t>and the corresponding temperature coefficient.</w:t>
            </w:r>
          </w:p>
          <w:p>
            <w:pPr>
              <w:pStyle w:val="TableParagraph"/>
              <w:numPr>
                <w:ilvl w:val="0"/>
                <w:numId w:val="12"/>
              </w:numPr>
              <w:tabs>
                <w:tab w:pos="827" w:val="left" w:leader="none"/>
                <w:tab w:pos="828" w:val="left" w:leader="none"/>
              </w:tabs>
              <w:spacing w:line="240" w:lineRule="auto" w:before="0" w:after="0"/>
              <w:ind w:left="827" w:right="245" w:hanging="360"/>
              <w:jc w:val="left"/>
              <w:rPr>
                <w:sz w:val="18"/>
              </w:rPr>
            </w:pPr>
            <w:r>
              <w:rPr>
                <w:rFonts w:ascii="Times New Roman"/>
                <w:i/>
                <w:sz w:val="18"/>
              </w:rPr>
              <w:t>TRIMBGB[7:0]</w:t>
            </w:r>
            <w:r>
              <w:rPr>
                <w:rFonts w:ascii="Times New Roman"/>
                <w:i/>
                <w:spacing w:val="1"/>
                <w:sz w:val="18"/>
              </w:rPr>
              <w:t> </w:t>
            </w:r>
            <w:r>
              <w:rPr>
                <w:sz w:val="18"/>
              </w:rPr>
              <w:t>and</w:t>
            </w:r>
            <w:r>
              <w:rPr>
                <w:spacing w:val="-7"/>
                <w:sz w:val="18"/>
              </w:rPr>
              <w:t> </w:t>
            </w:r>
            <w:r>
              <w:rPr>
                <w:rFonts w:ascii="Times New Roman"/>
                <w:i/>
                <w:sz w:val="18"/>
              </w:rPr>
              <w:t>TRIMBGD[7:0]</w:t>
            </w:r>
            <w:r>
              <w:rPr>
                <w:rFonts w:ascii="Times New Roman"/>
                <w:i/>
                <w:spacing w:val="3"/>
                <w:sz w:val="18"/>
              </w:rPr>
              <w:t> </w:t>
            </w:r>
            <w:r>
              <w:rPr>
                <w:sz w:val="18"/>
              </w:rPr>
              <w:t>are</w:t>
            </w:r>
            <w:r>
              <w:rPr>
                <w:spacing w:val="-7"/>
                <w:sz w:val="18"/>
              </w:rPr>
              <w:t> </w:t>
            </w:r>
            <w:r>
              <w:rPr>
                <w:sz w:val="18"/>
              </w:rPr>
              <w:t>trim</w:t>
            </w:r>
            <w:r>
              <w:rPr>
                <w:spacing w:val="-7"/>
                <w:sz w:val="18"/>
              </w:rPr>
              <w:t> </w:t>
            </w:r>
            <w:r>
              <w:rPr>
                <w:spacing w:val="-2"/>
                <w:sz w:val="18"/>
              </w:rPr>
              <w:t>values</w:t>
            </w:r>
            <w:r>
              <w:rPr>
                <w:spacing w:val="-9"/>
                <w:sz w:val="18"/>
              </w:rPr>
              <w:t> </w:t>
            </w:r>
            <w:r>
              <w:rPr>
                <w:sz w:val="18"/>
              </w:rPr>
              <w:t>used</w:t>
            </w:r>
            <w:r>
              <w:rPr>
                <w:spacing w:val="-8"/>
                <w:sz w:val="18"/>
              </w:rPr>
              <w:t> </w:t>
            </w:r>
            <w:r>
              <w:rPr>
                <w:sz w:val="18"/>
              </w:rPr>
              <w:t>for</w:t>
            </w:r>
            <w:r>
              <w:rPr>
                <w:spacing w:val="-8"/>
                <w:sz w:val="18"/>
              </w:rPr>
              <w:t> </w:t>
            </w:r>
            <w:r>
              <w:rPr>
                <w:spacing w:val="-3"/>
                <w:sz w:val="18"/>
              </w:rPr>
              <w:t>characterizing</w:t>
            </w:r>
            <w:r>
              <w:rPr>
                <w:spacing w:val="-7"/>
                <w:sz w:val="18"/>
              </w:rPr>
              <w:t> </w:t>
            </w:r>
            <w:r>
              <w:rPr>
                <w:sz w:val="18"/>
              </w:rPr>
              <w:t>the</w:t>
            </w:r>
            <w:r>
              <w:rPr>
                <w:spacing w:val="-7"/>
                <w:sz w:val="18"/>
              </w:rPr>
              <w:t> </w:t>
            </w:r>
            <w:r>
              <w:rPr>
                <w:spacing w:val="-3"/>
                <w:sz w:val="18"/>
              </w:rPr>
              <w:t>71M6113</w:t>
            </w:r>
            <w:r>
              <w:rPr>
                <w:spacing w:val="-8"/>
                <w:sz w:val="18"/>
              </w:rPr>
              <w:t> </w:t>
            </w:r>
            <w:r>
              <w:rPr>
                <w:sz w:val="18"/>
              </w:rPr>
              <w:t>(0.5%)</w:t>
            </w:r>
            <w:r>
              <w:rPr>
                <w:spacing w:val="-8"/>
                <w:sz w:val="18"/>
              </w:rPr>
              <w:t> </w:t>
            </w:r>
            <w:r>
              <w:rPr>
                <w:sz w:val="18"/>
              </w:rPr>
              <w:t>and</w:t>
            </w:r>
            <w:r>
              <w:rPr>
                <w:spacing w:val="-7"/>
                <w:sz w:val="18"/>
              </w:rPr>
              <w:t> </w:t>
            </w:r>
            <w:r>
              <w:rPr>
                <w:spacing w:val="-3"/>
                <w:sz w:val="18"/>
              </w:rPr>
              <w:t>71M6203 </w:t>
            </w:r>
            <w:r>
              <w:rPr>
                <w:sz w:val="18"/>
              </w:rPr>
              <w:t>(0.1%) over </w:t>
            </w:r>
            <w:r>
              <w:rPr>
                <w:spacing w:val="-2"/>
                <w:sz w:val="18"/>
              </w:rPr>
              <w:t>temperature. </w:t>
            </w:r>
            <w:r>
              <w:rPr>
                <w:sz w:val="18"/>
              </w:rPr>
              <w:t>See the </w:t>
            </w:r>
            <w:r>
              <w:rPr>
                <w:spacing w:val="-3"/>
                <w:sz w:val="18"/>
              </w:rPr>
              <w:t>71M6xxx </w:t>
            </w:r>
            <w:r>
              <w:rPr>
                <w:sz w:val="18"/>
              </w:rPr>
              <w:t>Data sheet for the equations </w:t>
            </w:r>
            <w:r>
              <w:rPr>
                <w:spacing w:val="-3"/>
                <w:sz w:val="18"/>
              </w:rPr>
              <w:t>related </w:t>
            </w:r>
            <w:r>
              <w:rPr>
                <w:sz w:val="18"/>
              </w:rPr>
              <w:t>to </w:t>
            </w:r>
            <w:r>
              <w:rPr>
                <w:rFonts w:ascii="Times New Roman"/>
                <w:i/>
                <w:sz w:val="20"/>
              </w:rPr>
              <w:t>TRIMBGB[7:0] </w:t>
            </w:r>
            <w:r>
              <w:rPr>
                <w:spacing w:val="-2"/>
                <w:sz w:val="18"/>
              </w:rPr>
              <w:t>and </w:t>
            </w:r>
            <w:r>
              <w:rPr>
                <w:rFonts w:ascii="Times New Roman"/>
                <w:i/>
                <w:sz w:val="20"/>
              </w:rPr>
              <w:t>TRIMBGD[7:0] </w:t>
            </w:r>
            <w:r>
              <w:rPr>
                <w:spacing w:val="-3"/>
                <w:sz w:val="18"/>
              </w:rPr>
              <w:t>and </w:t>
            </w:r>
            <w:r>
              <w:rPr>
                <w:sz w:val="18"/>
              </w:rPr>
              <w:t>the </w:t>
            </w:r>
            <w:r>
              <w:rPr>
                <w:spacing w:val="-3"/>
                <w:sz w:val="18"/>
              </w:rPr>
              <w:t>corresponding temperature</w:t>
            </w:r>
            <w:r>
              <w:rPr>
                <w:spacing w:val="-5"/>
                <w:sz w:val="18"/>
              </w:rPr>
              <w:t> </w:t>
            </w:r>
            <w:r>
              <w:rPr>
                <w:spacing w:val="-3"/>
                <w:sz w:val="18"/>
              </w:rPr>
              <w:t>coefficients.</w:t>
            </w:r>
          </w:p>
          <w:p>
            <w:pPr>
              <w:pStyle w:val="TableParagraph"/>
              <w:numPr>
                <w:ilvl w:val="0"/>
                <w:numId w:val="12"/>
              </w:numPr>
              <w:tabs>
                <w:tab w:pos="827" w:val="left" w:leader="none"/>
                <w:tab w:pos="828" w:val="left" w:leader="none"/>
              </w:tabs>
              <w:spacing w:line="240" w:lineRule="auto" w:before="0" w:after="0"/>
              <w:ind w:left="827" w:right="0" w:hanging="361"/>
              <w:jc w:val="left"/>
              <w:rPr>
                <w:sz w:val="18"/>
              </w:rPr>
            </w:pPr>
            <w:r>
              <w:rPr>
                <w:sz w:val="18"/>
              </w:rPr>
              <w:t>See </w:t>
            </w:r>
            <w:hyperlink w:history="true" w:anchor="_bookmark111">
              <w:r>
                <w:rPr>
                  <w:color w:val="0000FF"/>
                  <w:sz w:val="18"/>
                </w:rPr>
                <w:t>2.5.6 </w:t>
              </w:r>
            </w:hyperlink>
            <w:hyperlink w:history="true" w:anchor="_bookmark111">
              <w:r>
                <w:rPr>
                  <w:color w:val="0000FF"/>
                  <w:sz w:val="20"/>
                </w:rPr>
                <w:t>71M6xx3 Temperature Sensor </w:t>
              </w:r>
            </w:hyperlink>
            <w:r>
              <w:rPr>
                <w:sz w:val="18"/>
              </w:rPr>
              <w:t>on page</w:t>
            </w:r>
            <w:r>
              <w:rPr>
                <w:spacing w:val="-26"/>
                <w:sz w:val="18"/>
              </w:rPr>
              <w:t> </w:t>
            </w:r>
            <w:hyperlink w:history="true" w:anchor="_bookmark111">
              <w:r>
                <w:rPr>
                  <w:color w:val="0000FF"/>
                  <w:sz w:val="18"/>
                </w:rPr>
                <w:t>56</w:t>
              </w:r>
              <w:r>
                <w:rPr>
                  <w:sz w:val="18"/>
                </w:rPr>
                <w:t>.</w:t>
              </w:r>
            </w:hyperlink>
          </w:p>
          <w:p>
            <w:pPr>
              <w:pStyle w:val="TableParagraph"/>
              <w:numPr>
                <w:ilvl w:val="0"/>
                <w:numId w:val="12"/>
              </w:numPr>
              <w:tabs>
                <w:tab w:pos="827" w:val="left" w:leader="none"/>
                <w:tab w:pos="828" w:val="left" w:leader="none"/>
              </w:tabs>
              <w:spacing w:line="240" w:lineRule="auto" w:before="0" w:after="0"/>
              <w:ind w:left="827" w:right="0" w:hanging="361"/>
              <w:jc w:val="left"/>
              <w:rPr>
                <w:sz w:val="18"/>
              </w:rPr>
            </w:pPr>
            <w:r>
              <w:rPr>
                <w:sz w:val="18"/>
              </w:rPr>
              <w:t>See </w:t>
            </w:r>
            <w:hyperlink w:history="true" w:anchor="_bookmark113">
              <w:r>
                <w:rPr>
                  <w:color w:val="0000FF"/>
                  <w:sz w:val="18"/>
                </w:rPr>
                <w:t>2.5.8 </w:t>
              </w:r>
            </w:hyperlink>
            <w:hyperlink w:history="true" w:anchor="_bookmark113">
              <w:r>
                <w:rPr>
                  <w:color w:val="0000FF"/>
                  <w:sz w:val="20"/>
                </w:rPr>
                <w:t>71M6xx3 VCC Monitor </w:t>
              </w:r>
            </w:hyperlink>
            <w:r>
              <w:rPr>
                <w:sz w:val="18"/>
              </w:rPr>
              <w:t>on page</w:t>
            </w:r>
            <w:r>
              <w:rPr>
                <w:spacing w:val="-26"/>
                <w:sz w:val="18"/>
              </w:rPr>
              <w:t> </w:t>
            </w:r>
            <w:hyperlink w:history="true" w:anchor="_bookmark113">
              <w:r>
                <w:rPr>
                  <w:color w:val="0000FF"/>
                  <w:sz w:val="18"/>
                </w:rPr>
                <w:t>56</w:t>
              </w:r>
              <w:r>
                <w:rPr>
                  <w:sz w:val="18"/>
                </w:rPr>
                <w:t>.</w:t>
              </w:r>
            </w:hyperlink>
          </w:p>
        </w:tc>
      </w:tr>
    </w:tbl>
    <w:p>
      <w:pPr>
        <w:pStyle w:val="BodyText"/>
        <w:spacing w:before="9"/>
        <w:rPr>
          <w:b/>
          <w:sz w:val="19"/>
        </w:rPr>
      </w:pPr>
    </w:p>
    <w:p>
      <w:pPr>
        <w:pStyle w:val="BodyText"/>
        <w:ind w:left="620"/>
      </w:pPr>
      <w:r>
        <w:rPr/>
        <w:t>With hardware and trim-related information on each connected 71M6xx3 Isolated Sensor available to the 71M6543, the MPU can implement temperature compensation of the energy measurement based on the individual temperature characteristics of the 71M6xx3 Isolated Sensors. See </w:t>
      </w:r>
      <w:hyperlink w:history="true" w:anchor="_bookmark182">
        <w:r>
          <w:rPr>
            <w:color w:val="0000FF"/>
          </w:rPr>
          <w:t>4.5 </w:t>
        </w:r>
      </w:hyperlink>
      <w:hyperlink w:history="true" w:anchor="_bookmark182">
        <w:r>
          <w:rPr>
            <w:color w:val="0000FF"/>
          </w:rPr>
          <w:t>Metrology Temperature</w:t>
        </w:r>
      </w:hyperlink>
      <w:r>
        <w:rPr>
          <w:color w:val="0000FF"/>
        </w:rPr>
        <w:t> </w:t>
      </w:r>
      <w:hyperlink w:history="true" w:anchor="_bookmark182">
        <w:r>
          <w:rPr>
            <w:color w:val="0000FF"/>
          </w:rPr>
          <w:t>Compensation </w:t>
        </w:r>
      </w:hyperlink>
      <w:r>
        <w:rPr/>
        <w:t>for details.</w:t>
      </w:r>
    </w:p>
    <w:p>
      <w:pPr>
        <w:pStyle w:val="BodyText"/>
      </w:pPr>
    </w:p>
    <w:p>
      <w:pPr>
        <w:pStyle w:val="BodyText"/>
        <w:spacing w:before="1"/>
        <w:ind w:left="619" w:right="760"/>
      </w:pPr>
      <w:hyperlink w:history="true" w:anchor="_bookmark25">
        <w:r>
          <w:rPr>
            <w:color w:val="0000FF"/>
          </w:rPr>
          <w:t>Table 6 </w:t>
        </w:r>
      </w:hyperlink>
      <w:r>
        <w:rPr/>
        <w:t>shows all I/O RAM registers used for control of the external 71M6xx3 Isolated Sensors. See the 71M6xx3 Data Sheet for additional details.</w:t>
      </w:r>
    </w:p>
    <w:p>
      <w:pPr>
        <w:spacing w:after="0"/>
        <w:sectPr>
          <w:pgSz w:w="12240" w:h="15840"/>
          <w:pgMar w:header="727" w:footer="819" w:top="960" w:bottom="1000" w:left="820" w:right="860"/>
        </w:sectPr>
      </w:pPr>
    </w:p>
    <w:p>
      <w:pPr>
        <w:pStyle w:val="BodyText"/>
        <w:spacing w:before="8"/>
        <w:rPr>
          <w:sz w:val="12"/>
        </w:rPr>
      </w:pPr>
    </w:p>
    <w:p>
      <w:pPr>
        <w:pStyle w:val="Heading1"/>
        <w:spacing w:before="93"/>
        <w:ind w:left="1315" w:right="1278"/>
      </w:pPr>
      <w:bookmarkStart w:name="_bookmark25" w:id="56"/>
      <w:bookmarkEnd w:id="56"/>
      <w:r>
        <w:rPr>
          <w:b w:val="0"/>
        </w:rPr>
      </w:r>
      <w:r>
        <w:rPr/>
        <w:t>Table 6: I/O RAM Control Bits for Isolated Sensor</w:t>
      </w:r>
    </w:p>
    <w:p>
      <w:pPr>
        <w:pStyle w:val="BodyText"/>
        <w:spacing w:before="8"/>
        <w:rPr>
          <w:b/>
          <w:sz w:val="5"/>
        </w:rPr>
      </w:pPr>
    </w:p>
    <w:tbl>
      <w:tblPr>
        <w:tblW w:w="0" w:type="auto"/>
        <w:jc w:val="left"/>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1"/>
        <w:gridCol w:w="1101"/>
        <w:gridCol w:w="854"/>
        <w:gridCol w:w="888"/>
        <w:gridCol w:w="619"/>
        <w:gridCol w:w="4545"/>
      </w:tblGrid>
      <w:tr>
        <w:trPr>
          <w:trHeight w:val="520" w:hRule="atLeast"/>
        </w:trPr>
        <w:tc>
          <w:tcPr>
            <w:tcW w:w="1351" w:type="dxa"/>
          </w:tcPr>
          <w:p>
            <w:pPr>
              <w:pStyle w:val="TableParagraph"/>
              <w:spacing w:before="141"/>
              <w:ind w:left="402"/>
              <w:rPr>
                <w:b/>
                <w:sz w:val="20"/>
              </w:rPr>
            </w:pPr>
            <w:r>
              <w:rPr>
                <w:b/>
                <w:sz w:val="20"/>
              </w:rPr>
              <w:t>Name</w:t>
            </w:r>
          </w:p>
        </w:tc>
        <w:tc>
          <w:tcPr>
            <w:tcW w:w="1101" w:type="dxa"/>
          </w:tcPr>
          <w:p>
            <w:pPr>
              <w:pStyle w:val="TableParagraph"/>
              <w:spacing w:before="141"/>
              <w:ind w:left="114" w:right="78"/>
              <w:jc w:val="center"/>
              <w:rPr>
                <w:b/>
                <w:sz w:val="20"/>
              </w:rPr>
            </w:pPr>
            <w:r>
              <w:rPr>
                <w:b/>
                <w:sz w:val="20"/>
              </w:rPr>
              <w:t>Address</w:t>
            </w:r>
          </w:p>
        </w:tc>
        <w:tc>
          <w:tcPr>
            <w:tcW w:w="854" w:type="dxa"/>
          </w:tcPr>
          <w:p>
            <w:pPr>
              <w:pStyle w:val="TableParagraph"/>
              <w:spacing w:before="16"/>
              <w:ind w:left="80" w:right="46"/>
              <w:jc w:val="center"/>
              <w:rPr>
                <w:b/>
                <w:sz w:val="20"/>
              </w:rPr>
            </w:pPr>
            <w:r>
              <w:rPr>
                <w:b/>
                <w:sz w:val="20"/>
              </w:rPr>
              <w:t>RST</w:t>
            </w:r>
          </w:p>
          <w:p>
            <w:pPr>
              <w:pStyle w:val="TableParagraph"/>
              <w:spacing w:before="20"/>
              <w:ind w:left="80" w:right="46"/>
              <w:jc w:val="center"/>
              <w:rPr>
                <w:b/>
                <w:sz w:val="20"/>
              </w:rPr>
            </w:pPr>
            <w:r>
              <w:rPr>
                <w:b/>
                <w:sz w:val="20"/>
              </w:rPr>
              <w:t>Default</w:t>
            </w:r>
          </w:p>
        </w:tc>
        <w:tc>
          <w:tcPr>
            <w:tcW w:w="888" w:type="dxa"/>
          </w:tcPr>
          <w:p>
            <w:pPr>
              <w:pStyle w:val="TableParagraph"/>
              <w:spacing w:before="16"/>
              <w:ind w:left="154"/>
              <w:rPr>
                <w:b/>
                <w:sz w:val="20"/>
              </w:rPr>
            </w:pPr>
            <w:r>
              <w:rPr>
                <w:b/>
                <w:sz w:val="20"/>
              </w:rPr>
              <w:t>WAKE</w:t>
            </w:r>
          </w:p>
          <w:p>
            <w:pPr>
              <w:pStyle w:val="TableParagraph"/>
              <w:spacing w:before="20"/>
              <w:ind w:left="121"/>
              <w:rPr>
                <w:b/>
                <w:sz w:val="20"/>
              </w:rPr>
            </w:pPr>
            <w:r>
              <w:rPr>
                <w:b/>
                <w:sz w:val="20"/>
              </w:rPr>
              <w:t>Default</w:t>
            </w:r>
          </w:p>
        </w:tc>
        <w:tc>
          <w:tcPr>
            <w:tcW w:w="619" w:type="dxa"/>
          </w:tcPr>
          <w:p>
            <w:pPr>
              <w:pStyle w:val="TableParagraph"/>
              <w:spacing w:before="141"/>
              <w:ind w:left="102" w:right="68"/>
              <w:jc w:val="center"/>
              <w:rPr>
                <w:b/>
                <w:sz w:val="20"/>
              </w:rPr>
            </w:pPr>
            <w:r>
              <w:rPr>
                <w:b/>
                <w:sz w:val="20"/>
              </w:rPr>
              <w:t>R/W</w:t>
            </w:r>
          </w:p>
        </w:tc>
        <w:tc>
          <w:tcPr>
            <w:tcW w:w="4545" w:type="dxa"/>
          </w:tcPr>
          <w:p>
            <w:pPr>
              <w:pStyle w:val="TableParagraph"/>
              <w:spacing w:before="141"/>
              <w:ind w:left="58"/>
              <w:rPr>
                <w:b/>
                <w:sz w:val="20"/>
              </w:rPr>
            </w:pPr>
            <w:r>
              <w:rPr>
                <w:b/>
                <w:sz w:val="20"/>
              </w:rPr>
              <w:t>Description</w:t>
            </w:r>
          </w:p>
        </w:tc>
      </w:tr>
      <w:tr>
        <w:trPr>
          <w:trHeight w:val="1422" w:hRule="atLeast"/>
        </w:trPr>
        <w:tc>
          <w:tcPr>
            <w:tcW w:w="1351" w:type="dxa"/>
          </w:tcPr>
          <w:p>
            <w:pPr>
              <w:pStyle w:val="TableParagraph"/>
              <w:rPr>
                <w:b/>
                <w:sz w:val="22"/>
              </w:rPr>
            </w:pPr>
          </w:p>
          <w:p>
            <w:pPr>
              <w:pStyle w:val="TableParagraph"/>
              <w:spacing w:before="4"/>
              <w:rPr>
                <w:b/>
                <w:sz w:val="29"/>
              </w:rPr>
            </w:pPr>
          </w:p>
          <w:p>
            <w:pPr>
              <w:pStyle w:val="TableParagraph"/>
              <w:ind w:right="174"/>
              <w:jc w:val="right"/>
              <w:rPr>
                <w:rFonts w:ascii="Times New Roman"/>
                <w:i/>
                <w:sz w:val="20"/>
              </w:rPr>
            </w:pPr>
            <w:r>
              <w:rPr>
                <w:rFonts w:ascii="Times New Roman"/>
                <w:i/>
                <w:sz w:val="20"/>
              </w:rPr>
              <w:t>RCMD[4:0]</w:t>
            </w:r>
          </w:p>
        </w:tc>
        <w:tc>
          <w:tcPr>
            <w:tcW w:w="1101" w:type="dxa"/>
          </w:tcPr>
          <w:p>
            <w:pPr>
              <w:pStyle w:val="TableParagraph"/>
              <w:rPr>
                <w:b/>
                <w:sz w:val="22"/>
              </w:rPr>
            </w:pPr>
          </w:p>
          <w:p>
            <w:pPr>
              <w:pStyle w:val="TableParagraph"/>
              <w:spacing w:before="5"/>
              <w:rPr>
                <w:b/>
                <w:sz w:val="19"/>
              </w:rPr>
            </w:pPr>
          </w:p>
          <w:p>
            <w:pPr>
              <w:pStyle w:val="TableParagraph"/>
              <w:ind w:left="244" w:right="35" w:firstLine="124"/>
              <w:rPr>
                <w:sz w:val="20"/>
              </w:rPr>
            </w:pPr>
            <w:r>
              <w:rPr>
                <w:sz w:val="20"/>
              </w:rPr>
              <w:t>SFR FC[4:0]</w:t>
            </w:r>
          </w:p>
        </w:tc>
        <w:tc>
          <w:tcPr>
            <w:tcW w:w="854" w:type="dxa"/>
          </w:tcPr>
          <w:p>
            <w:pPr>
              <w:pStyle w:val="TableParagraph"/>
              <w:rPr>
                <w:b/>
                <w:sz w:val="22"/>
              </w:rPr>
            </w:pPr>
          </w:p>
          <w:p>
            <w:pPr>
              <w:pStyle w:val="TableParagraph"/>
              <w:spacing w:before="8"/>
              <w:rPr>
                <w:b/>
                <w:sz w:val="29"/>
              </w:rPr>
            </w:pPr>
          </w:p>
          <w:p>
            <w:pPr>
              <w:pStyle w:val="TableParagraph"/>
              <w:ind w:left="35"/>
              <w:jc w:val="center"/>
              <w:rPr>
                <w:sz w:val="20"/>
              </w:rPr>
            </w:pPr>
            <w:r>
              <w:rPr>
                <w:w w:val="99"/>
                <w:sz w:val="20"/>
              </w:rPr>
              <w:t>0</w:t>
            </w:r>
          </w:p>
        </w:tc>
        <w:tc>
          <w:tcPr>
            <w:tcW w:w="888" w:type="dxa"/>
          </w:tcPr>
          <w:p>
            <w:pPr>
              <w:pStyle w:val="TableParagraph"/>
              <w:rPr>
                <w:b/>
                <w:sz w:val="22"/>
              </w:rPr>
            </w:pPr>
          </w:p>
          <w:p>
            <w:pPr>
              <w:pStyle w:val="TableParagraph"/>
              <w:spacing w:before="8"/>
              <w:rPr>
                <w:b/>
                <w:sz w:val="29"/>
              </w:rPr>
            </w:pPr>
          </w:p>
          <w:p>
            <w:pPr>
              <w:pStyle w:val="TableParagraph"/>
              <w:ind w:left="40"/>
              <w:jc w:val="center"/>
              <w:rPr>
                <w:sz w:val="20"/>
              </w:rPr>
            </w:pPr>
            <w:r>
              <w:rPr>
                <w:w w:val="99"/>
                <w:sz w:val="20"/>
              </w:rPr>
              <w:t>0</w:t>
            </w:r>
          </w:p>
        </w:tc>
        <w:tc>
          <w:tcPr>
            <w:tcW w:w="619" w:type="dxa"/>
          </w:tcPr>
          <w:p>
            <w:pPr>
              <w:pStyle w:val="TableParagraph"/>
              <w:rPr>
                <w:b/>
                <w:sz w:val="22"/>
              </w:rPr>
            </w:pPr>
          </w:p>
          <w:p>
            <w:pPr>
              <w:pStyle w:val="TableParagraph"/>
              <w:spacing w:before="8"/>
              <w:rPr>
                <w:b/>
                <w:sz w:val="29"/>
              </w:rPr>
            </w:pPr>
          </w:p>
          <w:p>
            <w:pPr>
              <w:pStyle w:val="TableParagraph"/>
              <w:ind w:left="97" w:right="73"/>
              <w:jc w:val="center"/>
              <w:rPr>
                <w:sz w:val="20"/>
              </w:rPr>
            </w:pPr>
            <w:r>
              <w:rPr>
                <w:sz w:val="20"/>
              </w:rPr>
              <w:t>R/W</w:t>
            </w:r>
          </w:p>
        </w:tc>
        <w:tc>
          <w:tcPr>
            <w:tcW w:w="4545" w:type="dxa"/>
          </w:tcPr>
          <w:p>
            <w:pPr>
              <w:pStyle w:val="TableParagraph"/>
              <w:spacing w:before="14"/>
              <w:ind w:left="58" w:right="77"/>
              <w:rPr>
                <w:rFonts w:ascii="Times New Roman"/>
                <w:i/>
                <w:sz w:val="20"/>
              </w:rPr>
            </w:pPr>
            <w:r>
              <w:rPr>
                <w:sz w:val="20"/>
              </w:rPr>
              <w:t>When the MPU writes a non-zero value to </w:t>
            </w:r>
            <w:r>
              <w:rPr>
                <w:rFonts w:ascii="Times New Roman"/>
                <w:i/>
                <w:sz w:val="20"/>
              </w:rPr>
              <w:t>RCMD</w:t>
            </w:r>
            <w:r>
              <w:rPr>
                <w:sz w:val="20"/>
              </w:rPr>
              <w:t>, the 71M6543 issues a command to the cor- responding isolated sensor selected with </w:t>
            </w:r>
            <w:r>
              <w:rPr>
                <w:rFonts w:ascii="Times New Roman"/>
                <w:i/>
                <w:sz w:val="20"/>
              </w:rPr>
              <w:t>RCMD[1:0]</w:t>
            </w:r>
            <w:r>
              <w:rPr>
                <w:sz w:val="20"/>
              </w:rPr>
              <w:t>. When the command is complete, the 71M6543 clears </w:t>
            </w:r>
            <w:r>
              <w:rPr>
                <w:rFonts w:ascii="Times New Roman"/>
                <w:i/>
                <w:sz w:val="20"/>
              </w:rPr>
              <w:t>RCMD[4:2]. </w:t>
            </w:r>
            <w:r>
              <w:rPr>
                <w:sz w:val="20"/>
              </w:rPr>
              <w:t>The command code itself is in </w:t>
            </w:r>
            <w:r>
              <w:rPr>
                <w:rFonts w:ascii="Times New Roman"/>
                <w:i/>
                <w:sz w:val="20"/>
              </w:rPr>
              <w:t>RCMD[4:2].</w:t>
            </w:r>
          </w:p>
        </w:tc>
      </w:tr>
      <w:tr>
        <w:trPr>
          <w:trHeight w:val="959" w:hRule="atLeast"/>
        </w:trPr>
        <w:tc>
          <w:tcPr>
            <w:tcW w:w="1351" w:type="dxa"/>
          </w:tcPr>
          <w:p>
            <w:pPr>
              <w:pStyle w:val="TableParagraph"/>
              <w:spacing w:before="5"/>
              <w:rPr>
                <w:b/>
                <w:sz w:val="20"/>
              </w:rPr>
            </w:pPr>
          </w:p>
          <w:p>
            <w:pPr>
              <w:pStyle w:val="TableParagraph"/>
              <w:spacing w:line="261" w:lineRule="auto"/>
              <w:ind w:left="235" w:right="219" w:firstLine="11"/>
              <w:rPr>
                <w:rFonts w:ascii="Times New Roman"/>
                <w:i/>
                <w:sz w:val="20"/>
              </w:rPr>
            </w:pPr>
            <w:r>
              <w:rPr>
                <w:rFonts w:ascii="Times New Roman"/>
                <w:i/>
                <w:sz w:val="20"/>
              </w:rPr>
              <w:t>PERR_RD </w:t>
            </w:r>
            <w:r>
              <w:rPr>
                <w:rFonts w:ascii="Times New Roman"/>
                <w:i/>
                <w:w w:val="95"/>
                <w:sz w:val="20"/>
              </w:rPr>
              <w:t>PERR_WR</w:t>
            </w:r>
          </w:p>
        </w:tc>
        <w:tc>
          <w:tcPr>
            <w:tcW w:w="1101" w:type="dxa"/>
          </w:tcPr>
          <w:p>
            <w:pPr>
              <w:pStyle w:val="TableParagraph"/>
              <w:spacing w:before="9"/>
              <w:rPr>
                <w:b/>
                <w:sz w:val="20"/>
              </w:rPr>
            </w:pPr>
          </w:p>
          <w:p>
            <w:pPr>
              <w:pStyle w:val="TableParagraph"/>
              <w:spacing w:line="261" w:lineRule="auto"/>
              <w:ind w:left="91" w:right="35"/>
              <w:rPr>
                <w:sz w:val="20"/>
              </w:rPr>
            </w:pPr>
            <w:r>
              <w:rPr>
                <w:sz w:val="20"/>
              </w:rPr>
              <w:t>SFR FC[6] SFR FC[5]</w:t>
            </w:r>
          </w:p>
        </w:tc>
        <w:tc>
          <w:tcPr>
            <w:tcW w:w="854" w:type="dxa"/>
          </w:tcPr>
          <w:p>
            <w:pPr>
              <w:pStyle w:val="TableParagraph"/>
              <w:spacing w:before="7"/>
              <w:rPr>
                <w:b/>
                <w:sz w:val="31"/>
              </w:rPr>
            </w:pPr>
          </w:p>
          <w:p>
            <w:pPr>
              <w:pStyle w:val="TableParagraph"/>
              <w:ind w:left="35"/>
              <w:jc w:val="center"/>
              <w:rPr>
                <w:sz w:val="20"/>
              </w:rPr>
            </w:pPr>
            <w:r>
              <w:rPr>
                <w:w w:val="99"/>
                <w:sz w:val="20"/>
              </w:rPr>
              <w:t>0</w:t>
            </w:r>
          </w:p>
        </w:tc>
        <w:tc>
          <w:tcPr>
            <w:tcW w:w="888" w:type="dxa"/>
          </w:tcPr>
          <w:p>
            <w:pPr>
              <w:pStyle w:val="TableParagraph"/>
              <w:spacing w:before="7"/>
              <w:rPr>
                <w:b/>
                <w:sz w:val="31"/>
              </w:rPr>
            </w:pPr>
          </w:p>
          <w:p>
            <w:pPr>
              <w:pStyle w:val="TableParagraph"/>
              <w:ind w:left="40"/>
              <w:jc w:val="center"/>
              <w:rPr>
                <w:sz w:val="20"/>
              </w:rPr>
            </w:pPr>
            <w:r>
              <w:rPr>
                <w:w w:val="99"/>
                <w:sz w:val="20"/>
              </w:rPr>
              <w:t>0</w:t>
            </w:r>
          </w:p>
        </w:tc>
        <w:tc>
          <w:tcPr>
            <w:tcW w:w="619" w:type="dxa"/>
          </w:tcPr>
          <w:p>
            <w:pPr>
              <w:pStyle w:val="TableParagraph"/>
              <w:spacing w:before="7"/>
              <w:rPr>
                <w:b/>
                <w:sz w:val="31"/>
              </w:rPr>
            </w:pPr>
          </w:p>
          <w:p>
            <w:pPr>
              <w:pStyle w:val="TableParagraph"/>
              <w:ind w:left="97" w:right="73"/>
              <w:jc w:val="center"/>
              <w:rPr>
                <w:sz w:val="20"/>
              </w:rPr>
            </w:pPr>
            <w:r>
              <w:rPr>
                <w:sz w:val="20"/>
              </w:rPr>
              <w:t>R/W</w:t>
            </w:r>
          </w:p>
        </w:tc>
        <w:tc>
          <w:tcPr>
            <w:tcW w:w="4545" w:type="dxa"/>
          </w:tcPr>
          <w:p>
            <w:pPr>
              <w:pStyle w:val="TableParagraph"/>
              <w:spacing w:before="18"/>
              <w:ind w:left="58"/>
              <w:rPr>
                <w:sz w:val="20"/>
              </w:rPr>
            </w:pPr>
            <w:r>
              <w:rPr>
                <w:sz w:val="20"/>
              </w:rPr>
              <w:t>The 71M6543 sets these bits to indicate that a parity error on the isolated sensor has been de- tected. Once set, the bits are remembered until they are cleared by the MPU.</w:t>
            </w:r>
          </w:p>
        </w:tc>
      </w:tr>
      <w:tr>
        <w:trPr>
          <w:trHeight w:val="1173" w:hRule="atLeast"/>
        </w:trPr>
        <w:tc>
          <w:tcPr>
            <w:tcW w:w="1351" w:type="dxa"/>
          </w:tcPr>
          <w:p>
            <w:pPr>
              <w:pStyle w:val="TableParagraph"/>
              <w:rPr>
                <w:b/>
                <w:sz w:val="22"/>
              </w:rPr>
            </w:pPr>
          </w:p>
          <w:p>
            <w:pPr>
              <w:pStyle w:val="TableParagraph"/>
              <w:spacing w:before="3"/>
              <w:rPr>
                <w:b/>
                <w:sz w:val="18"/>
              </w:rPr>
            </w:pPr>
          </w:p>
          <w:p>
            <w:pPr>
              <w:pStyle w:val="TableParagraph"/>
              <w:ind w:right="124"/>
              <w:jc w:val="right"/>
              <w:rPr>
                <w:rFonts w:ascii="Times New Roman"/>
                <w:i/>
                <w:sz w:val="20"/>
              </w:rPr>
            </w:pPr>
            <w:r>
              <w:rPr>
                <w:rFonts w:ascii="Times New Roman"/>
                <w:i/>
                <w:sz w:val="20"/>
              </w:rPr>
              <w:t>CHOPR[1:0]</w:t>
            </w:r>
          </w:p>
        </w:tc>
        <w:tc>
          <w:tcPr>
            <w:tcW w:w="1101" w:type="dxa"/>
          </w:tcPr>
          <w:p>
            <w:pPr>
              <w:pStyle w:val="TableParagraph"/>
              <w:rPr>
                <w:b/>
                <w:sz w:val="22"/>
              </w:rPr>
            </w:pPr>
          </w:p>
          <w:p>
            <w:pPr>
              <w:pStyle w:val="TableParagraph"/>
              <w:spacing w:before="7"/>
              <w:rPr>
                <w:b/>
                <w:sz w:val="18"/>
              </w:rPr>
            </w:pPr>
          </w:p>
          <w:p>
            <w:pPr>
              <w:pStyle w:val="TableParagraph"/>
              <w:ind w:left="112" w:right="78"/>
              <w:jc w:val="center"/>
              <w:rPr>
                <w:sz w:val="20"/>
              </w:rPr>
            </w:pPr>
            <w:r>
              <w:rPr>
                <w:sz w:val="20"/>
              </w:rPr>
              <w:t>2709[7:6]</w:t>
            </w:r>
          </w:p>
        </w:tc>
        <w:tc>
          <w:tcPr>
            <w:tcW w:w="854" w:type="dxa"/>
          </w:tcPr>
          <w:p>
            <w:pPr>
              <w:pStyle w:val="TableParagraph"/>
              <w:rPr>
                <w:b/>
                <w:sz w:val="22"/>
              </w:rPr>
            </w:pPr>
          </w:p>
          <w:p>
            <w:pPr>
              <w:pStyle w:val="TableParagraph"/>
              <w:spacing w:before="7"/>
              <w:rPr>
                <w:b/>
                <w:sz w:val="18"/>
              </w:rPr>
            </w:pPr>
          </w:p>
          <w:p>
            <w:pPr>
              <w:pStyle w:val="TableParagraph"/>
              <w:ind w:left="80" w:right="45"/>
              <w:jc w:val="center"/>
              <w:rPr>
                <w:sz w:val="20"/>
              </w:rPr>
            </w:pPr>
            <w:r>
              <w:rPr>
                <w:sz w:val="20"/>
              </w:rPr>
              <w:t>00</w:t>
            </w:r>
          </w:p>
        </w:tc>
        <w:tc>
          <w:tcPr>
            <w:tcW w:w="888" w:type="dxa"/>
          </w:tcPr>
          <w:p>
            <w:pPr>
              <w:pStyle w:val="TableParagraph"/>
              <w:rPr>
                <w:b/>
                <w:sz w:val="22"/>
              </w:rPr>
            </w:pPr>
          </w:p>
          <w:p>
            <w:pPr>
              <w:pStyle w:val="TableParagraph"/>
              <w:spacing w:before="7"/>
              <w:rPr>
                <w:b/>
                <w:sz w:val="18"/>
              </w:rPr>
            </w:pPr>
          </w:p>
          <w:p>
            <w:pPr>
              <w:pStyle w:val="TableParagraph"/>
              <w:ind w:left="189" w:right="149"/>
              <w:jc w:val="center"/>
              <w:rPr>
                <w:sz w:val="20"/>
              </w:rPr>
            </w:pPr>
            <w:r>
              <w:rPr>
                <w:sz w:val="20"/>
              </w:rPr>
              <w:t>00</w:t>
            </w:r>
          </w:p>
        </w:tc>
        <w:tc>
          <w:tcPr>
            <w:tcW w:w="619" w:type="dxa"/>
          </w:tcPr>
          <w:p>
            <w:pPr>
              <w:pStyle w:val="TableParagraph"/>
              <w:rPr>
                <w:b/>
                <w:sz w:val="22"/>
              </w:rPr>
            </w:pPr>
          </w:p>
          <w:p>
            <w:pPr>
              <w:pStyle w:val="TableParagraph"/>
              <w:spacing w:before="7"/>
              <w:rPr>
                <w:b/>
                <w:sz w:val="18"/>
              </w:rPr>
            </w:pPr>
          </w:p>
          <w:p>
            <w:pPr>
              <w:pStyle w:val="TableParagraph"/>
              <w:ind w:left="97" w:right="73"/>
              <w:jc w:val="center"/>
              <w:rPr>
                <w:sz w:val="20"/>
              </w:rPr>
            </w:pPr>
            <w:r>
              <w:rPr>
                <w:sz w:val="20"/>
              </w:rPr>
              <w:t>R/W</w:t>
            </w:r>
          </w:p>
        </w:tc>
        <w:tc>
          <w:tcPr>
            <w:tcW w:w="4545" w:type="dxa"/>
          </w:tcPr>
          <w:p>
            <w:pPr>
              <w:pStyle w:val="TableParagraph"/>
              <w:spacing w:line="229" w:lineRule="exact" w:before="21"/>
              <w:ind w:left="58"/>
              <w:rPr>
                <w:sz w:val="20"/>
              </w:rPr>
            </w:pPr>
            <w:r>
              <w:rPr>
                <w:sz w:val="20"/>
              </w:rPr>
              <w:t>The CHOP settings for the isolated sensors.</w:t>
            </w:r>
          </w:p>
          <w:p>
            <w:pPr>
              <w:pStyle w:val="TableParagraph"/>
              <w:spacing w:line="228" w:lineRule="auto" w:before="8"/>
              <w:ind w:left="58" w:right="99"/>
              <w:rPr>
                <w:sz w:val="20"/>
              </w:rPr>
            </w:pPr>
            <w:r>
              <w:rPr>
                <w:sz w:val="20"/>
              </w:rPr>
              <w:t>00 – </w:t>
            </w:r>
            <w:r>
              <w:rPr>
                <w:spacing w:val="-4"/>
                <w:sz w:val="20"/>
              </w:rPr>
              <w:t>Auto chop. </w:t>
            </w:r>
            <w:r>
              <w:rPr>
                <w:spacing w:val="-3"/>
                <w:sz w:val="20"/>
              </w:rPr>
              <w:t>Change every </w:t>
            </w:r>
            <w:r>
              <w:rPr>
                <w:spacing w:val="-4"/>
                <w:sz w:val="20"/>
              </w:rPr>
              <w:t>multiplexer frame. </w:t>
            </w:r>
            <w:r>
              <w:rPr>
                <w:sz w:val="20"/>
              </w:rPr>
              <w:t>01 – Positive</w:t>
            </w:r>
          </w:p>
          <w:p>
            <w:pPr>
              <w:pStyle w:val="TableParagraph"/>
              <w:numPr>
                <w:ilvl w:val="0"/>
                <w:numId w:val="13"/>
              </w:numPr>
              <w:tabs>
                <w:tab w:pos="335" w:val="left" w:leader="none"/>
              </w:tabs>
              <w:spacing w:line="219" w:lineRule="exact" w:before="0" w:after="0"/>
              <w:ind w:left="334" w:right="0" w:hanging="277"/>
              <w:jc w:val="left"/>
              <w:rPr>
                <w:sz w:val="20"/>
              </w:rPr>
            </w:pPr>
            <w:r>
              <w:rPr>
                <w:sz w:val="20"/>
              </w:rPr>
              <w:t>– Negative</w:t>
            </w:r>
          </w:p>
          <w:p>
            <w:pPr>
              <w:pStyle w:val="TableParagraph"/>
              <w:numPr>
                <w:ilvl w:val="0"/>
                <w:numId w:val="13"/>
              </w:numPr>
              <w:tabs>
                <w:tab w:pos="335" w:val="left" w:leader="none"/>
              </w:tabs>
              <w:spacing w:line="229" w:lineRule="exact" w:before="0" w:after="0"/>
              <w:ind w:left="334" w:right="0" w:hanging="277"/>
              <w:jc w:val="left"/>
              <w:rPr>
                <w:sz w:val="20"/>
              </w:rPr>
            </w:pPr>
            <w:r>
              <w:rPr>
                <w:sz w:val="20"/>
              </w:rPr>
              <w:t>– Same as</w:t>
            </w:r>
            <w:r>
              <w:rPr>
                <w:spacing w:val="-1"/>
                <w:sz w:val="20"/>
              </w:rPr>
              <w:t> </w:t>
            </w:r>
            <w:r>
              <w:rPr>
                <w:sz w:val="20"/>
              </w:rPr>
              <w:t>00</w:t>
            </w:r>
          </w:p>
        </w:tc>
      </w:tr>
      <w:tr>
        <w:trPr>
          <w:trHeight w:val="258" w:hRule="atLeast"/>
        </w:trPr>
        <w:tc>
          <w:tcPr>
            <w:tcW w:w="1351" w:type="dxa"/>
          </w:tcPr>
          <w:p>
            <w:pPr>
              <w:pStyle w:val="TableParagraph"/>
              <w:spacing w:before="5"/>
              <w:ind w:right="74"/>
              <w:jc w:val="right"/>
              <w:rPr>
                <w:rFonts w:ascii="Times New Roman"/>
                <w:i/>
                <w:sz w:val="20"/>
              </w:rPr>
            </w:pPr>
            <w:r>
              <w:rPr>
                <w:rFonts w:ascii="Times New Roman"/>
                <w:i/>
                <w:w w:val="95"/>
                <w:sz w:val="20"/>
              </w:rPr>
              <w:t>TMUXR2[2:0]</w:t>
            </w:r>
          </w:p>
        </w:tc>
        <w:tc>
          <w:tcPr>
            <w:tcW w:w="1101" w:type="dxa"/>
          </w:tcPr>
          <w:p>
            <w:pPr>
              <w:pStyle w:val="TableParagraph"/>
              <w:spacing w:before="9"/>
              <w:ind w:left="114" w:right="78"/>
              <w:jc w:val="center"/>
              <w:rPr>
                <w:sz w:val="20"/>
              </w:rPr>
            </w:pPr>
            <w:r>
              <w:rPr>
                <w:sz w:val="20"/>
              </w:rPr>
              <w:t>270A[2:0]</w:t>
            </w:r>
          </w:p>
        </w:tc>
        <w:tc>
          <w:tcPr>
            <w:tcW w:w="854" w:type="dxa"/>
          </w:tcPr>
          <w:p>
            <w:pPr>
              <w:pStyle w:val="TableParagraph"/>
              <w:spacing w:before="9"/>
              <w:ind w:left="80" w:right="45"/>
              <w:jc w:val="center"/>
              <w:rPr>
                <w:sz w:val="20"/>
              </w:rPr>
            </w:pPr>
            <w:r>
              <w:rPr>
                <w:sz w:val="20"/>
              </w:rPr>
              <w:t>000</w:t>
            </w:r>
          </w:p>
        </w:tc>
        <w:tc>
          <w:tcPr>
            <w:tcW w:w="888" w:type="dxa"/>
          </w:tcPr>
          <w:p>
            <w:pPr>
              <w:pStyle w:val="TableParagraph"/>
              <w:spacing w:before="9"/>
              <w:ind w:left="189" w:right="149"/>
              <w:jc w:val="center"/>
              <w:rPr>
                <w:sz w:val="20"/>
              </w:rPr>
            </w:pPr>
            <w:r>
              <w:rPr>
                <w:sz w:val="20"/>
              </w:rPr>
              <w:t>000</w:t>
            </w:r>
          </w:p>
        </w:tc>
        <w:tc>
          <w:tcPr>
            <w:tcW w:w="619" w:type="dxa"/>
          </w:tcPr>
          <w:p>
            <w:pPr>
              <w:pStyle w:val="TableParagraph"/>
              <w:spacing w:before="9"/>
              <w:ind w:left="97" w:right="73"/>
              <w:jc w:val="center"/>
              <w:rPr>
                <w:sz w:val="20"/>
              </w:rPr>
            </w:pPr>
            <w:r>
              <w:rPr>
                <w:sz w:val="20"/>
              </w:rPr>
              <w:t>R/W</w:t>
            </w:r>
          </w:p>
        </w:tc>
        <w:tc>
          <w:tcPr>
            <w:tcW w:w="4545" w:type="dxa"/>
          </w:tcPr>
          <w:p>
            <w:pPr>
              <w:pStyle w:val="TableParagraph"/>
              <w:spacing w:before="9"/>
              <w:ind w:left="58"/>
              <w:rPr>
                <w:sz w:val="20"/>
              </w:rPr>
            </w:pPr>
            <w:r>
              <w:rPr>
                <w:sz w:val="20"/>
              </w:rPr>
              <w:t>The TMUX bits for control of the isolated sensor.</w:t>
            </w:r>
          </w:p>
        </w:tc>
      </w:tr>
      <w:tr>
        <w:trPr>
          <w:trHeight w:val="256" w:hRule="atLeast"/>
        </w:trPr>
        <w:tc>
          <w:tcPr>
            <w:tcW w:w="1351" w:type="dxa"/>
          </w:tcPr>
          <w:p>
            <w:pPr>
              <w:pStyle w:val="TableParagraph"/>
              <w:spacing w:before="5"/>
              <w:ind w:right="74"/>
              <w:jc w:val="right"/>
              <w:rPr>
                <w:rFonts w:ascii="Times New Roman"/>
                <w:i/>
                <w:sz w:val="20"/>
              </w:rPr>
            </w:pPr>
            <w:r>
              <w:rPr>
                <w:rFonts w:ascii="Times New Roman"/>
                <w:i/>
                <w:w w:val="95"/>
                <w:sz w:val="20"/>
              </w:rPr>
              <w:t>TMUXR4[2:0]</w:t>
            </w:r>
          </w:p>
        </w:tc>
        <w:tc>
          <w:tcPr>
            <w:tcW w:w="1101" w:type="dxa"/>
          </w:tcPr>
          <w:p>
            <w:pPr>
              <w:pStyle w:val="TableParagraph"/>
              <w:spacing w:line="227" w:lineRule="exact" w:before="9"/>
              <w:ind w:left="115" w:right="78"/>
              <w:jc w:val="center"/>
              <w:rPr>
                <w:sz w:val="20"/>
              </w:rPr>
            </w:pPr>
            <w:r>
              <w:rPr>
                <w:sz w:val="20"/>
              </w:rPr>
              <w:t>270A[6:4]</w:t>
            </w:r>
          </w:p>
        </w:tc>
        <w:tc>
          <w:tcPr>
            <w:tcW w:w="854" w:type="dxa"/>
          </w:tcPr>
          <w:p>
            <w:pPr>
              <w:pStyle w:val="TableParagraph"/>
              <w:spacing w:line="227" w:lineRule="exact" w:before="9"/>
              <w:ind w:left="80" w:right="45"/>
              <w:jc w:val="center"/>
              <w:rPr>
                <w:sz w:val="20"/>
              </w:rPr>
            </w:pPr>
            <w:r>
              <w:rPr>
                <w:sz w:val="20"/>
              </w:rPr>
              <w:t>000</w:t>
            </w:r>
          </w:p>
        </w:tc>
        <w:tc>
          <w:tcPr>
            <w:tcW w:w="888" w:type="dxa"/>
          </w:tcPr>
          <w:p>
            <w:pPr>
              <w:pStyle w:val="TableParagraph"/>
              <w:spacing w:line="227" w:lineRule="exact" w:before="9"/>
              <w:ind w:left="189" w:right="149"/>
              <w:jc w:val="center"/>
              <w:rPr>
                <w:sz w:val="20"/>
              </w:rPr>
            </w:pPr>
            <w:r>
              <w:rPr>
                <w:sz w:val="20"/>
              </w:rPr>
              <w:t>000</w:t>
            </w:r>
          </w:p>
        </w:tc>
        <w:tc>
          <w:tcPr>
            <w:tcW w:w="619" w:type="dxa"/>
          </w:tcPr>
          <w:p>
            <w:pPr>
              <w:pStyle w:val="TableParagraph"/>
              <w:spacing w:line="227" w:lineRule="exact" w:before="9"/>
              <w:ind w:left="97" w:right="73"/>
              <w:jc w:val="center"/>
              <w:rPr>
                <w:sz w:val="20"/>
              </w:rPr>
            </w:pPr>
            <w:r>
              <w:rPr>
                <w:sz w:val="20"/>
              </w:rPr>
              <w:t>R/W</w:t>
            </w:r>
          </w:p>
        </w:tc>
        <w:tc>
          <w:tcPr>
            <w:tcW w:w="4545" w:type="dxa"/>
          </w:tcPr>
          <w:p>
            <w:pPr>
              <w:pStyle w:val="TableParagraph"/>
              <w:spacing w:line="227" w:lineRule="exact" w:before="9"/>
              <w:ind w:left="58"/>
              <w:rPr>
                <w:sz w:val="20"/>
              </w:rPr>
            </w:pPr>
            <w:r>
              <w:rPr>
                <w:sz w:val="20"/>
              </w:rPr>
              <w:t>The TMUX bits for control of the isolated sensor.</w:t>
            </w:r>
          </w:p>
        </w:tc>
      </w:tr>
      <w:tr>
        <w:trPr>
          <w:trHeight w:val="258" w:hRule="atLeast"/>
        </w:trPr>
        <w:tc>
          <w:tcPr>
            <w:tcW w:w="1351" w:type="dxa"/>
          </w:tcPr>
          <w:p>
            <w:pPr>
              <w:pStyle w:val="TableParagraph"/>
              <w:spacing w:before="7"/>
              <w:ind w:right="74"/>
              <w:jc w:val="right"/>
              <w:rPr>
                <w:rFonts w:ascii="Times New Roman"/>
                <w:i/>
                <w:sz w:val="20"/>
              </w:rPr>
            </w:pPr>
            <w:r>
              <w:rPr>
                <w:rFonts w:ascii="Times New Roman"/>
                <w:i/>
                <w:w w:val="95"/>
                <w:sz w:val="20"/>
              </w:rPr>
              <w:t>TMUXR6[2:0]</w:t>
            </w:r>
          </w:p>
        </w:tc>
        <w:tc>
          <w:tcPr>
            <w:tcW w:w="1101" w:type="dxa"/>
          </w:tcPr>
          <w:p>
            <w:pPr>
              <w:pStyle w:val="TableParagraph"/>
              <w:spacing w:line="227" w:lineRule="exact" w:before="11"/>
              <w:ind w:left="112" w:right="78"/>
              <w:jc w:val="center"/>
              <w:rPr>
                <w:sz w:val="20"/>
              </w:rPr>
            </w:pPr>
            <w:r>
              <w:rPr>
                <w:sz w:val="20"/>
              </w:rPr>
              <w:t>2709[2:0]</w:t>
            </w:r>
          </w:p>
        </w:tc>
        <w:tc>
          <w:tcPr>
            <w:tcW w:w="854" w:type="dxa"/>
          </w:tcPr>
          <w:p>
            <w:pPr>
              <w:pStyle w:val="TableParagraph"/>
              <w:spacing w:line="227" w:lineRule="exact" w:before="11"/>
              <w:ind w:left="80" w:right="45"/>
              <w:jc w:val="center"/>
              <w:rPr>
                <w:sz w:val="20"/>
              </w:rPr>
            </w:pPr>
            <w:r>
              <w:rPr>
                <w:sz w:val="20"/>
              </w:rPr>
              <w:t>000</w:t>
            </w:r>
          </w:p>
        </w:tc>
        <w:tc>
          <w:tcPr>
            <w:tcW w:w="888" w:type="dxa"/>
          </w:tcPr>
          <w:p>
            <w:pPr>
              <w:pStyle w:val="TableParagraph"/>
              <w:spacing w:line="227" w:lineRule="exact" w:before="11"/>
              <w:ind w:left="189" w:right="149"/>
              <w:jc w:val="center"/>
              <w:rPr>
                <w:sz w:val="20"/>
              </w:rPr>
            </w:pPr>
            <w:r>
              <w:rPr>
                <w:sz w:val="20"/>
              </w:rPr>
              <w:t>000</w:t>
            </w:r>
          </w:p>
        </w:tc>
        <w:tc>
          <w:tcPr>
            <w:tcW w:w="619" w:type="dxa"/>
          </w:tcPr>
          <w:p>
            <w:pPr>
              <w:pStyle w:val="TableParagraph"/>
              <w:spacing w:line="227" w:lineRule="exact" w:before="11"/>
              <w:ind w:left="97" w:right="73"/>
              <w:jc w:val="center"/>
              <w:rPr>
                <w:sz w:val="20"/>
              </w:rPr>
            </w:pPr>
            <w:r>
              <w:rPr>
                <w:sz w:val="20"/>
              </w:rPr>
              <w:t>R/W</w:t>
            </w:r>
          </w:p>
        </w:tc>
        <w:tc>
          <w:tcPr>
            <w:tcW w:w="4545" w:type="dxa"/>
          </w:tcPr>
          <w:p>
            <w:pPr>
              <w:pStyle w:val="TableParagraph"/>
              <w:spacing w:line="227" w:lineRule="exact" w:before="11"/>
              <w:ind w:left="58"/>
              <w:rPr>
                <w:sz w:val="20"/>
              </w:rPr>
            </w:pPr>
            <w:r>
              <w:rPr>
                <w:sz w:val="20"/>
              </w:rPr>
              <w:t>The TMUX bits for control of the isolated sensor.</w:t>
            </w:r>
          </w:p>
        </w:tc>
      </w:tr>
      <w:tr>
        <w:trPr>
          <w:trHeight w:val="467" w:hRule="atLeast"/>
        </w:trPr>
        <w:tc>
          <w:tcPr>
            <w:tcW w:w="1351" w:type="dxa"/>
          </w:tcPr>
          <w:p>
            <w:pPr>
              <w:pStyle w:val="TableParagraph"/>
              <w:spacing w:line="225" w:lineRule="exact"/>
              <w:ind w:left="30"/>
              <w:rPr>
                <w:rFonts w:ascii="Times New Roman"/>
                <w:i/>
                <w:sz w:val="20"/>
              </w:rPr>
            </w:pPr>
            <w:r>
              <w:rPr>
                <w:rFonts w:ascii="Times New Roman"/>
                <w:i/>
                <w:sz w:val="20"/>
              </w:rPr>
              <w:t>RMT_RD[15:8]</w:t>
            </w:r>
          </w:p>
          <w:p>
            <w:pPr>
              <w:pStyle w:val="TableParagraph"/>
              <w:spacing w:line="222" w:lineRule="exact"/>
              <w:ind w:left="81"/>
              <w:rPr>
                <w:rFonts w:ascii="Times New Roman"/>
                <w:i/>
                <w:sz w:val="20"/>
              </w:rPr>
            </w:pPr>
            <w:r>
              <w:rPr>
                <w:rFonts w:ascii="Times New Roman"/>
                <w:i/>
                <w:sz w:val="20"/>
              </w:rPr>
              <w:t>RMT_RD[7:0]</w:t>
            </w:r>
          </w:p>
        </w:tc>
        <w:tc>
          <w:tcPr>
            <w:tcW w:w="1101" w:type="dxa"/>
          </w:tcPr>
          <w:p>
            <w:pPr>
              <w:pStyle w:val="TableParagraph"/>
              <w:spacing w:line="229" w:lineRule="exact"/>
              <w:ind w:left="146"/>
              <w:rPr>
                <w:sz w:val="20"/>
              </w:rPr>
            </w:pPr>
            <w:r>
              <w:rPr>
                <w:sz w:val="20"/>
              </w:rPr>
              <w:t>2602[7:0]</w:t>
            </w:r>
          </w:p>
          <w:p>
            <w:pPr>
              <w:pStyle w:val="TableParagraph"/>
              <w:spacing w:line="218" w:lineRule="exact"/>
              <w:ind w:left="146"/>
              <w:rPr>
                <w:sz w:val="20"/>
              </w:rPr>
            </w:pPr>
            <w:r>
              <w:rPr>
                <w:sz w:val="20"/>
              </w:rPr>
              <w:t>2603[7:0]</w:t>
            </w:r>
          </w:p>
        </w:tc>
        <w:tc>
          <w:tcPr>
            <w:tcW w:w="854" w:type="dxa"/>
          </w:tcPr>
          <w:p>
            <w:pPr>
              <w:pStyle w:val="TableParagraph"/>
              <w:spacing w:before="114"/>
              <w:ind w:left="35"/>
              <w:jc w:val="center"/>
              <w:rPr>
                <w:sz w:val="20"/>
              </w:rPr>
            </w:pPr>
            <w:r>
              <w:rPr>
                <w:w w:val="99"/>
                <w:sz w:val="20"/>
              </w:rPr>
              <w:t>0</w:t>
            </w:r>
          </w:p>
        </w:tc>
        <w:tc>
          <w:tcPr>
            <w:tcW w:w="888" w:type="dxa"/>
          </w:tcPr>
          <w:p>
            <w:pPr>
              <w:pStyle w:val="TableParagraph"/>
              <w:spacing w:before="114"/>
              <w:ind w:left="40"/>
              <w:jc w:val="center"/>
              <w:rPr>
                <w:sz w:val="20"/>
              </w:rPr>
            </w:pPr>
            <w:r>
              <w:rPr>
                <w:w w:val="99"/>
                <w:sz w:val="20"/>
              </w:rPr>
              <w:t>0</w:t>
            </w:r>
          </w:p>
        </w:tc>
        <w:tc>
          <w:tcPr>
            <w:tcW w:w="619" w:type="dxa"/>
          </w:tcPr>
          <w:p>
            <w:pPr>
              <w:pStyle w:val="TableParagraph"/>
              <w:spacing w:before="114"/>
              <w:ind w:left="35"/>
              <w:jc w:val="center"/>
              <w:rPr>
                <w:sz w:val="20"/>
              </w:rPr>
            </w:pPr>
            <w:r>
              <w:rPr>
                <w:w w:val="99"/>
                <w:sz w:val="20"/>
              </w:rPr>
              <w:t>R</w:t>
            </w:r>
          </w:p>
        </w:tc>
        <w:tc>
          <w:tcPr>
            <w:tcW w:w="4545" w:type="dxa"/>
          </w:tcPr>
          <w:p>
            <w:pPr>
              <w:pStyle w:val="TableParagraph"/>
              <w:spacing w:before="114"/>
              <w:ind w:left="58"/>
              <w:rPr>
                <w:sz w:val="20"/>
              </w:rPr>
            </w:pPr>
            <w:r>
              <w:rPr>
                <w:sz w:val="20"/>
              </w:rPr>
              <w:t>The read buffer for 71M6xx3 read operations.</w:t>
            </w:r>
          </w:p>
        </w:tc>
      </w:tr>
      <w:tr>
        <w:trPr>
          <w:trHeight w:val="913" w:hRule="atLeast"/>
        </w:trPr>
        <w:tc>
          <w:tcPr>
            <w:tcW w:w="1351" w:type="dxa"/>
          </w:tcPr>
          <w:p>
            <w:pPr>
              <w:pStyle w:val="TableParagraph"/>
              <w:rPr>
                <w:b/>
                <w:sz w:val="29"/>
              </w:rPr>
            </w:pPr>
          </w:p>
          <w:p>
            <w:pPr>
              <w:pStyle w:val="TableParagraph"/>
              <w:ind w:left="235"/>
              <w:rPr>
                <w:rFonts w:ascii="Times New Roman"/>
                <w:i/>
                <w:sz w:val="20"/>
              </w:rPr>
            </w:pPr>
            <w:r>
              <w:rPr>
                <w:rFonts w:ascii="Times New Roman"/>
                <w:i/>
                <w:sz w:val="20"/>
              </w:rPr>
              <w:t>RFLY_DIS</w:t>
            </w:r>
          </w:p>
        </w:tc>
        <w:tc>
          <w:tcPr>
            <w:tcW w:w="1101" w:type="dxa"/>
          </w:tcPr>
          <w:p>
            <w:pPr>
              <w:pStyle w:val="TableParagraph"/>
              <w:rPr>
                <w:b/>
                <w:sz w:val="20"/>
              </w:rPr>
            </w:pPr>
          </w:p>
          <w:p>
            <w:pPr>
              <w:pStyle w:val="TableParagraph"/>
              <w:spacing w:before="119"/>
              <w:ind w:left="115" w:right="73"/>
              <w:jc w:val="center"/>
              <w:rPr>
                <w:sz w:val="18"/>
              </w:rPr>
            </w:pPr>
            <w:r>
              <w:rPr>
                <w:sz w:val="18"/>
              </w:rPr>
              <w:t>210C[3]</w:t>
            </w:r>
          </w:p>
        </w:tc>
        <w:tc>
          <w:tcPr>
            <w:tcW w:w="854" w:type="dxa"/>
          </w:tcPr>
          <w:p>
            <w:pPr>
              <w:pStyle w:val="TableParagraph"/>
              <w:spacing w:before="4"/>
              <w:rPr>
                <w:b/>
                <w:sz w:val="29"/>
              </w:rPr>
            </w:pPr>
          </w:p>
          <w:p>
            <w:pPr>
              <w:pStyle w:val="TableParagraph"/>
              <w:ind w:left="35"/>
              <w:jc w:val="center"/>
              <w:rPr>
                <w:sz w:val="20"/>
              </w:rPr>
            </w:pPr>
            <w:r>
              <w:rPr>
                <w:w w:val="99"/>
                <w:sz w:val="20"/>
              </w:rPr>
              <w:t>0</w:t>
            </w:r>
          </w:p>
        </w:tc>
        <w:tc>
          <w:tcPr>
            <w:tcW w:w="888" w:type="dxa"/>
          </w:tcPr>
          <w:p>
            <w:pPr>
              <w:pStyle w:val="TableParagraph"/>
              <w:spacing w:before="4"/>
              <w:rPr>
                <w:b/>
                <w:sz w:val="29"/>
              </w:rPr>
            </w:pPr>
          </w:p>
          <w:p>
            <w:pPr>
              <w:pStyle w:val="TableParagraph"/>
              <w:ind w:left="40"/>
              <w:jc w:val="center"/>
              <w:rPr>
                <w:sz w:val="20"/>
              </w:rPr>
            </w:pPr>
            <w:r>
              <w:rPr>
                <w:w w:val="99"/>
                <w:sz w:val="20"/>
              </w:rPr>
              <w:t>0</w:t>
            </w:r>
          </w:p>
        </w:tc>
        <w:tc>
          <w:tcPr>
            <w:tcW w:w="619" w:type="dxa"/>
          </w:tcPr>
          <w:p>
            <w:pPr>
              <w:pStyle w:val="TableParagraph"/>
              <w:spacing w:before="4"/>
              <w:rPr>
                <w:b/>
                <w:sz w:val="29"/>
              </w:rPr>
            </w:pPr>
          </w:p>
          <w:p>
            <w:pPr>
              <w:pStyle w:val="TableParagraph"/>
              <w:ind w:left="97" w:right="73"/>
              <w:jc w:val="center"/>
              <w:rPr>
                <w:sz w:val="20"/>
              </w:rPr>
            </w:pPr>
            <w:r>
              <w:rPr>
                <w:sz w:val="20"/>
              </w:rPr>
              <w:t>R/W</w:t>
            </w:r>
          </w:p>
        </w:tc>
        <w:tc>
          <w:tcPr>
            <w:tcW w:w="4545" w:type="dxa"/>
          </w:tcPr>
          <w:p>
            <w:pPr>
              <w:pStyle w:val="TableParagraph"/>
              <w:spacing w:line="228" w:lineRule="auto" w:before="18"/>
              <w:ind w:left="58" w:right="99"/>
              <w:rPr>
                <w:sz w:val="20"/>
              </w:rPr>
            </w:pPr>
            <w:r>
              <w:rPr>
                <w:sz w:val="20"/>
              </w:rPr>
              <w:t>Controls how the 71M6543 drives the 71M6xx3 power pulse. When set, the power pulse is driven high and low. When cleared, it is driven high followed by an open circuit fly-back interval.</w:t>
            </w:r>
          </w:p>
        </w:tc>
      </w:tr>
      <w:tr>
        <w:trPr>
          <w:trHeight w:val="695" w:hRule="atLeast"/>
        </w:trPr>
        <w:tc>
          <w:tcPr>
            <w:tcW w:w="1351" w:type="dxa"/>
          </w:tcPr>
          <w:p>
            <w:pPr>
              <w:pStyle w:val="TableParagraph"/>
              <w:spacing w:before="5"/>
              <w:rPr>
                <w:b/>
                <w:sz w:val="19"/>
              </w:rPr>
            </w:pPr>
          </w:p>
          <w:p>
            <w:pPr>
              <w:pStyle w:val="TableParagraph"/>
              <w:ind w:left="314"/>
              <w:rPr>
                <w:rFonts w:ascii="Times New Roman"/>
                <w:i/>
                <w:sz w:val="20"/>
              </w:rPr>
            </w:pPr>
            <w:r>
              <w:rPr>
                <w:rFonts w:ascii="Times New Roman"/>
                <w:i/>
                <w:sz w:val="20"/>
              </w:rPr>
              <w:t>RMT2_E</w:t>
            </w:r>
          </w:p>
        </w:tc>
        <w:tc>
          <w:tcPr>
            <w:tcW w:w="1101" w:type="dxa"/>
          </w:tcPr>
          <w:p>
            <w:pPr>
              <w:pStyle w:val="TableParagraph"/>
              <w:spacing w:before="8"/>
              <w:rPr>
                <w:b/>
                <w:sz w:val="19"/>
              </w:rPr>
            </w:pPr>
          </w:p>
          <w:p>
            <w:pPr>
              <w:pStyle w:val="TableParagraph"/>
              <w:spacing w:before="1"/>
              <w:ind w:left="111" w:right="78"/>
              <w:jc w:val="center"/>
              <w:rPr>
                <w:sz w:val="20"/>
              </w:rPr>
            </w:pPr>
            <w:r>
              <w:rPr>
                <w:sz w:val="20"/>
              </w:rPr>
              <w:t>2709[3]</w:t>
            </w:r>
          </w:p>
        </w:tc>
        <w:tc>
          <w:tcPr>
            <w:tcW w:w="854" w:type="dxa"/>
          </w:tcPr>
          <w:p>
            <w:pPr>
              <w:pStyle w:val="TableParagraph"/>
              <w:spacing w:before="8"/>
              <w:rPr>
                <w:b/>
                <w:sz w:val="19"/>
              </w:rPr>
            </w:pPr>
          </w:p>
          <w:p>
            <w:pPr>
              <w:pStyle w:val="TableParagraph"/>
              <w:spacing w:before="1"/>
              <w:ind w:left="35"/>
              <w:jc w:val="center"/>
              <w:rPr>
                <w:sz w:val="20"/>
              </w:rPr>
            </w:pPr>
            <w:r>
              <w:rPr>
                <w:w w:val="99"/>
                <w:sz w:val="20"/>
              </w:rPr>
              <w:t>0</w:t>
            </w:r>
          </w:p>
        </w:tc>
        <w:tc>
          <w:tcPr>
            <w:tcW w:w="888" w:type="dxa"/>
          </w:tcPr>
          <w:p>
            <w:pPr>
              <w:pStyle w:val="TableParagraph"/>
              <w:spacing w:before="8"/>
              <w:rPr>
                <w:b/>
                <w:sz w:val="19"/>
              </w:rPr>
            </w:pPr>
          </w:p>
          <w:p>
            <w:pPr>
              <w:pStyle w:val="TableParagraph"/>
              <w:spacing w:before="1"/>
              <w:ind w:left="40"/>
              <w:jc w:val="center"/>
              <w:rPr>
                <w:sz w:val="20"/>
              </w:rPr>
            </w:pPr>
            <w:r>
              <w:rPr>
                <w:w w:val="99"/>
                <w:sz w:val="20"/>
              </w:rPr>
              <w:t>0</w:t>
            </w:r>
          </w:p>
        </w:tc>
        <w:tc>
          <w:tcPr>
            <w:tcW w:w="619" w:type="dxa"/>
          </w:tcPr>
          <w:p>
            <w:pPr>
              <w:pStyle w:val="TableParagraph"/>
              <w:spacing w:before="8"/>
              <w:rPr>
                <w:b/>
                <w:sz w:val="19"/>
              </w:rPr>
            </w:pPr>
          </w:p>
          <w:p>
            <w:pPr>
              <w:pStyle w:val="TableParagraph"/>
              <w:spacing w:before="1"/>
              <w:ind w:left="97" w:right="73"/>
              <w:jc w:val="center"/>
              <w:rPr>
                <w:sz w:val="20"/>
              </w:rPr>
            </w:pPr>
            <w:r>
              <w:rPr>
                <w:sz w:val="20"/>
              </w:rPr>
              <w:t>R/W</w:t>
            </w:r>
          </w:p>
        </w:tc>
        <w:tc>
          <w:tcPr>
            <w:tcW w:w="4545" w:type="dxa"/>
          </w:tcPr>
          <w:p>
            <w:pPr>
              <w:pStyle w:val="TableParagraph"/>
              <w:spacing w:line="228" w:lineRule="auto" w:before="18"/>
              <w:ind w:left="58" w:right="127"/>
              <w:rPr>
                <w:sz w:val="20"/>
              </w:rPr>
            </w:pPr>
            <w:r>
              <w:rPr>
                <w:sz w:val="20"/>
              </w:rPr>
              <w:t>Enables the isolated remote sensor interface and re-configures pins IADC2-IADC3 as a balanced pair digital remote interface.</w:t>
            </w:r>
          </w:p>
        </w:tc>
      </w:tr>
      <w:tr>
        <w:trPr>
          <w:trHeight w:val="695" w:hRule="atLeast"/>
        </w:trPr>
        <w:tc>
          <w:tcPr>
            <w:tcW w:w="1351" w:type="dxa"/>
          </w:tcPr>
          <w:p>
            <w:pPr>
              <w:pStyle w:val="TableParagraph"/>
              <w:spacing w:before="5"/>
              <w:rPr>
                <w:b/>
                <w:sz w:val="19"/>
              </w:rPr>
            </w:pPr>
          </w:p>
          <w:p>
            <w:pPr>
              <w:pStyle w:val="TableParagraph"/>
              <w:ind w:left="314"/>
              <w:rPr>
                <w:rFonts w:ascii="Times New Roman"/>
                <w:i/>
                <w:sz w:val="20"/>
              </w:rPr>
            </w:pPr>
            <w:r>
              <w:rPr>
                <w:rFonts w:ascii="Times New Roman"/>
                <w:i/>
                <w:sz w:val="20"/>
              </w:rPr>
              <w:t>RMT4_E</w:t>
            </w:r>
          </w:p>
        </w:tc>
        <w:tc>
          <w:tcPr>
            <w:tcW w:w="1101" w:type="dxa"/>
          </w:tcPr>
          <w:p>
            <w:pPr>
              <w:pStyle w:val="TableParagraph"/>
              <w:spacing w:before="8"/>
              <w:rPr>
                <w:b/>
                <w:sz w:val="19"/>
              </w:rPr>
            </w:pPr>
          </w:p>
          <w:p>
            <w:pPr>
              <w:pStyle w:val="TableParagraph"/>
              <w:spacing w:before="1"/>
              <w:ind w:left="112" w:right="78"/>
              <w:jc w:val="center"/>
              <w:rPr>
                <w:sz w:val="20"/>
              </w:rPr>
            </w:pPr>
            <w:r>
              <w:rPr>
                <w:sz w:val="20"/>
              </w:rPr>
              <w:t>2709[4]</w:t>
            </w:r>
          </w:p>
        </w:tc>
        <w:tc>
          <w:tcPr>
            <w:tcW w:w="854" w:type="dxa"/>
          </w:tcPr>
          <w:p>
            <w:pPr>
              <w:pStyle w:val="TableParagraph"/>
              <w:spacing w:before="8"/>
              <w:rPr>
                <w:b/>
                <w:sz w:val="19"/>
              </w:rPr>
            </w:pPr>
          </w:p>
          <w:p>
            <w:pPr>
              <w:pStyle w:val="TableParagraph"/>
              <w:spacing w:before="1"/>
              <w:ind w:left="35"/>
              <w:jc w:val="center"/>
              <w:rPr>
                <w:sz w:val="20"/>
              </w:rPr>
            </w:pPr>
            <w:r>
              <w:rPr>
                <w:w w:val="99"/>
                <w:sz w:val="20"/>
              </w:rPr>
              <w:t>0</w:t>
            </w:r>
          </w:p>
        </w:tc>
        <w:tc>
          <w:tcPr>
            <w:tcW w:w="888" w:type="dxa"/>
          </w:tcPr>
          <w:p>
            <w:pPr>
              <w:pStyle w:val="TableParagraph"/>
              <w:spacing w:before="8"/>
              <w:rPr>
                <w:b/>
                <w:sz w:val="19"/>
              </w:rPr>
            </w:pPr>
          </w:p>
          <w:p>
            <w:pPr>
              <w:pStyle w:val="TableParagraph"/>
              <w:spacing w:before="1"/>
              <w:ind w:left="40"/>
              <w:jc w:val="center"/>
              <w:rPr>
                <w:sz w:val="20"/>
              </w:rPr>
            </w:pPr>
            <w:r>
              <w:rPr>
                <w:w w:val="99"/>
                <w:sz w:val="20"/>
              </w:rPr>
              <w:t>0</w:t>
            </w:r>
          </w:p>
        </w:tc>
        <w:tc>
          <w:tcPr>
            <w:tcW w:w="619" w:type="dxa"/>
          </w:tcPr>
          <w:p>
            <w:pPr>
              <w:pStyle w:val="TableParagraph"/>
              <w:spacing w:before="8"/>
              <w:rPr>
                <w:b/>
                <w:sz w:val="19"/>
              </w:rPr>
            </w:pPr>
          </w:p>
          <w:p>
            <w:pPr>
              <w:pStyle w:val="TableParagraph"/>
              <w:spacing w:before="1"/>
              <w:ind w:left="97" w:right="73"/>
              <w:jc w:val="center"/>
              <w:rPr>
                <w:sz w:val="20"/>
              </w:rPr>
            </w:pPr>
            <w:r>
              <w:rPr>
                <w:sz w:val="20"/>
              </w:rPr>
              <w:t>R/W</w:t>
            </w:r>
          </w:p>
        </w:tc>
        <w:tc>
          <w:tcPr>
            <w:tcW w:w="4545" w:type="dxa"/>
          </w:tcPr>
          <w:p>
            <w:pPr>
              <w:pStyle w:val="TableParagraph"/>
              <w:spacing w:line="228" w:lineRule="auto" w:before="18"/>
              <w:ind w:left="58" w:right="127"/>
              <w:rPr>
                <w:sz w:val="20"/>
              </w:rPr>
            </w:pPr>
            <w:r>
              <w:rPr>
                <w:sz w:val="20"/>
              </w:rPr>
              <w:t>Enables the isolated remote sensor interface and re-configures pins IADC4-IADC5 as a balanced pair digital remote interface.</w:t>
            </w:r>
          </w:p>
        </w:tc>
      </w:tr>
      <w:tr>
        <w:trPr>
          <w:trHeight w:val="695" w:hRule="atLeast"/>
        </w:trPr>
        <w:tc>
          <w:tcPr>
            <w:tcW w:w="1351" w:type="dxa"/>
          </w:tcPr>
          <w:p>
            <w:pPr>
              <w:pStyle w:val="TableParagraph"/>
              <w:spacing w:before="5"/>
              <w:rPr>
                <w:b/>
                <w:sz w:val="19"/>
              </w:rPr>
            </w:pPr>
          </w:p>
          <w:p>
            <w:pPr>
              <w:pStyle w:val="TableParagraph"/>
              <w:ind w:left="314"/>
              <w:rPr>
                <w:rFonts w:ascii="Times New Roman"/>
                <w:i/>
                <w:sz w:val="20"/>
              </w:rPr>
            </w:pPr>
            <w:r>
              <w:rPr>
                <w:rFonts w:ascii="Times New Roman"/>
                <w:i/>
                <w:sz w:val="20"/>
              </w:rPr>
              <w:t>RMT6_E</w:t>
            </w:r>
          </w:p>
        </w:tc>
        <w:tc>
          <w:tcPr>
            <w:tcW w:w="1101" w:type="dxa"/>
          </w:tcPr>
          <w:p>
            <w:pPr>
              <w:pStyle w:val="TableParagraph"/>
              <w:spacing w:before="8"/>
              <w:rPr>
                <w:b/>
                <w:sz w:val="19"/>
              </w:rPr>
            </w:pPr>
          </w:p>
          <w:p>
            <w:pPr>
              <w:pStyle w:val="TableParagraph"/>
              <w:spacing w:before="1"/>
              <w:ind w:left="112" w:right="78"/>
              <w:jc w:val="center"/>
              <w:rPr>
                <w:sz w:val="20"/>
              </w:rPr>
            </w:pPr>
            <w:r>
              <w:rPr>
                <w:sz w:val="20"/>
              </w:rPr>
              <w:t>2709[5]</w:t>
            </w:r>
          </w:p>
        </w:tc>
        <w:tc>
          <w:tcPr>
            <w:tcW w:w="854" w:type="dxa"/>
          </w:tcPr>
          <w:p>
            <w:pPr>
              <w:pStyle w:val="TableParagraph"/>
              <w:spacing w:before="8"/>
              <w:rPr>
                <w:b/>
                <w:sz w:val="19"/>
              </w:rPr>
            </w:pPr>
          </w:p>
          <w:p>
            <w:pPr>
              <w:pStyle w:val="TableParagraph"/>
              <w:spacing w:before="1"/>
              <w:ind w:left="35"/>
              <w:jc w:val="center"/>
              <w:rPr>
                <w:sz w:val="20"/>
              </w:rPr>
            </w:pPr>
            <w:r>
              <w:rPr>
                <w:w w:val="99"/>
                <w:sz w:val="20"/>
              </w:rPr>
              <w:t>0</w:t>
            </w:r>
          </w:p>
        </w:tc>
        <w:tc>
          <w:tcPr>
            <w:tcW w:w="888" w:type="dxa"/>
          </w:tcPr>
          <w:p>
            <w:pPr>
              <w:pStyle w:val="TableParagraph"/>
              <w:spacing w:before="8"/>
              <w:rPr>
                <w:b/>
                <w:sz w:val="19"/>
              </w:rPr>
            </w:pPr>
          </w:p>
          <w:p>
            <w:pPr>
              <w:pStyle w:val="TableParagraph"/>
              <w:spacing w:before="1"/>
              <w:ind w:left="40"/>
              <w:jc w:val="center"/>
              <w:rPr>
                <w:sz w:val="20"/>
              </w:rPr>
            </w:pPr>
            <w:r>
              <w:rPr>
                <w:w w:val="99"/>
                <w:sz w:val="20"/>
              </w:rPr>
              <w:t>0</w:t>
            </w:r>
          </w:p>
        </w:tc>
        <w:tc>
          <w:tcPr>
            <w:tcW w:w="619" w:type="dxa"/>
          </w:tcPr>
          <w:p>
            <w:pPr>
              <w:pStyle w:val="TableParagraph"/>
              <w:spacing w:before="8"/>
              <w:rPr>
                <w:b/>
                <w:sz w:val="19"/>
              </w:rPr>
            </w:pPr>
          </w:p>
          <w:p>
            <w:pPr>
              <w:pStyle w:val="TableParagraph"/>
              <w:spacing w:before="1"/>
              <w:ind w:left="97" w:right="73"/>
              <w:jc w:val="center"/>
              <w:rPr>
                <w:sz w:val="20"/>
              </w:rPr>
            </w:pPr>
            <w:r>
              <w:rPr>
                <w:sz w:val="20"/>
              </w:rPr>
              <w:t>R/W</w:t>
            </w:r>
          </w:p>
        </w:tc>
        <w:tc>
          <w:tcPr>
            <w:tcW w:w="4545" w:type="dxa"/>
          </w:tcPr>
          <w:p>
            <w:pPr>
              <w:pStyle w:val="TableParagraph"/>
              <w:spacing w:line="228" w:lineRule="auto" w:before="18"/>
              <w:ind w:left="58" w:right="127"/>
              <w:rPr>
                <w:sz w:val="20"/>
              </w:rPr>
            </w:pPr>
            <w:r>
              <w:rPr>
                <w:sz w:val="20"/>
              </w:rPr>
              <w:t>Enables the isolated remote sensor interface and re-configures pins IADC6-IADC7 as a balanced pair digital remote interface.</w:t>
            </w:r>
          </w:p>
        </w:tc>
      </w:tr>
      <w:tr>
        <w:trPr>
          <w:trHeight w:val="258" w:hRule="atLeast"/>
        </w:trPr>
        <w:tc>
          <w:tcPr>
            <w:tcW w:w="9358" w:type="dxa"/>
            <w:gridSpan w:val="6"/>
          </w:tcPr>
          <w:p>
            <w:pPr>
              <w:pStyle w:val="TableParagraph"/>
              <w:spacing w:before="9"/>
              <w:ind w:left="28"/>
              <w:rPr>
                <w:sz w:val="20"/>
              </w:rPr>
            </w:pPr>
            <w:r>
              <w:rPr>
                <w:sz w:val="20"/>
              </w:rPr>
              <w:t>Refer to </w:t>
            </w:r>
            <w:hyperlink w:history="true" w:anchor="_bookmark212">
              <w:r>
                <w:rPr>
                  <w:color w:val="0000FF"/>
                  <w:sz w:val="20"/>
                </w:rPr>
                <w:t>Table 70 </w:t>
              </w:r>
            </w:hyperlink>
            <w:r>
              <w:rPr>
                <w:sz w:val="20"/>
              </w:rPr>
              <w:t>starting on page </w:t>
            </w:r>
            <w:hyperlink w:history="true" w:anchor="_bookmark212">
              <w:r>
                <w:rPr>
                  <w:color w:val="0000FF"/>
                  <w:sz w:val="20"/>
                </w:rPr>
                <w:t>102 </w:t>
              </w:r>
            </w:hyperlink>
            <w:r>
              <w:rPr>
                <w:sz w:val="20"/>
              </w:rPr>
              <w:t>for more complete details about these I/O RAM locations.</w:t>
            </w:r>
          </w:p>
        </w:tc>
      </w:tr>
    </w:tbl>
    <w:p>
      <w:pPr>
        <w:spacing w:after="0"/>
        <w:rPr>
          <w:sz w:val="20"/>
        </w:rPr>
        <w:sectPr>
          <w:pgSz w:w="12240" w:h="15840"/>
          <w:pgMar w:header="727" w:footer="819" w:top="960" w:bottom="1000" w:left="820" w:right="860"/>
        </w:sectPr>
      </w:pPr>
    </w:p>
    <w:p>
      <w:pPr>
        <w:pStyle w:val="BodyText"/>
        <w:rPr>
          <w:b/>
          <w:sz w:val="16"/>
        </w:rPr>
      </w:pPr>
    </w:p>
    <w:p>
      <w:pPr>
        <w:pStyle w:val="ListParagraph"/>
        <w:numPr>
          <w:ilvl w:val="1"/>
          <w:numId w:val="7"/>
        </w:numPr>
        <w:tabs>
          <w:tab w:pos="1339" w:val="left" w:leader="none"/>
          <w:tab w:pos="1340" w:val="left" w:leader="none"/>
        </w:tabs>
        <w:spacing w:line="240" w:lineRule="auto" w:before="92" w:after="0"/>
        <w:ind w:left="1340" w:right="0" w:hanging="720"/>
        <w:jc w:val="left"/>
        <w:rPr>
          <w:b/>
          <w:sz w:val="24"/>
        </w:rPr>
      </w:pPr>
      <w:bookmarkStart w:name="2.3 Digital Computation Engine (CE)" w:id="57"/>
      <w:bookmarkEnd w:id="57"/>
      <w:r>
        <w:rPr/>
      </w:r>
      <w:bookmarkStart w:name="_bookmark26" w:id="58"/>
      <w:bookmarkEnd w:id="58"/>
      <w:r>
        <w:rPr/>
      </w:r>
      <w:bookmarkStart w:name="_bookmark26" w:id="59"/>
      <w:bookmarkEnd w:id="59"/>
      <w:r>
        <w:rPr>
          <w:b/>
          <w:sz w:val="24"/>
        </w:rPr>
        <w:t>D</w:t>
      </w:r>
      <w:r>
        <w:rPr>
          <w:b/>
          <w:sz w:val="24"/>
        </w:rPr>
        <w:t>igital Computation Engine</w:t>
      </w:r>
      <w:r>
        <w:rPr>
          <w:b/>
          <w:spacing w:val="1"/>
          <w:sz w:val="24"/>
        </w:rPr>
        <w:t> </w:t>
      </w:r>
      <w:r>
        <w:rPr>
          <w:b/>
          <w:sz w:val="24"/>
        </w:rPr>
        <w:t>(CE)</w:t>
      </w:r>
    </w:p>
    <w:p>
      <w:pPr>
        <w:pStyle w:val="BodyText"/>
        <w:spacing w:line="230" w:lineRule="auto" w:before="117"/>
        <w:ind w:left="619" w:right="559"/>
      </w:pPr>
      <w:r>
        <w:rPr/>
        <w:t>The</w:t>
      </w:r>
      <w:r>
        <w:rPr>
          <w:spacing w:val="-20"/>
        </w:rPr>
        <w:t> </w:t>
      </w:r>
      <w:r>
        <w:rPr/>
        <w:t>CE,</w:t>
      </w:r>
      <w:r>
        <w:rPr>
          <w:spacing w:val="-17"/>
        </w:rPr>
        <w:t> </w:t>
      </w:r>
      <w:r>
        <w:rPr/>
        <w:t>a</w:t>
      </w:r>
      <w:r>
        <w:rPr>
          <w:spacing w:val="-17"/>
        </w:rPr>
        <w:t> </w:t>
      </w:r>
      <w:r>
        <w:rPr/>
        <w:t>dedicated</w:t>
      </w:r>
      <w:r>
        <w:rPr>
          <w:spacing w:val="-18"/>
        </w:rPr>
        <w:t> </w:t>
      </w:r>
      <w:r>
        <w:rPr/>
        <w:t>32-bit</w:t>
      </w:r>
      <w:r>
        <w:rPr>
          <w:spacing w:val="-17"/>
        </w:rPr>
        <w:t> </w:t>
      </w:r>
      <w:r>
        <w:rPr/>
        <w:t>signal</w:t>
      </w:r>
      <w:r>
        <w:rPr>
          <w:spacing w:val="-18"/>
        </w:rPr>
        <w:t> </w:t>
      </w:r>
      <w:r>
        <w:rPr/>
        <w:t>processor,</w:t>
      </w:r>
      <w:r>
        <w:rPr>
          <w:spacing w:val="-16"/>
        </w:rPr>
        <w:t> </w:t>
      </w:r>
      <w:r>
        <w:rPr/>
        <w:t>performs</w:t>
      </w:r>
      <w:r>
        <w:rPr>
          <w:spacing w:val="-18"/>
        </w:rPr>
        <w:t> </w:t>
      </w:r>
      <w:r>
        <w:rPr/>
        <w:t>the</w:t>
      </w:r>
      <w:r>
        <w:rPr>
          <w:spacing w:val="-18"/>
        </w:rPr>
        <w:t> </w:t>
      </w:r>
      <w:r>
        <w:rPr/>
        <w:t>precision</w:t>
      </w:r>
      <w:r>
        <w:rPr>
          <w:spacing w:val="-18"/>
        </w:rPr>
        <w:t> </w:t>
      </w:r>
      <w:r>
        <w:rPr/>
        <w:t>computations</w:t>
      </w:r>
      <w:r>
        <w:rPr>
          <w:spacing w:val="-17"/>
        </w:rPr>
        <w:t> </w:t>
      </w:r>
      <w:r>
        <w:rPr/>
        <w:t>necessary</w:t>
      </w:r>
      <w:r>
        <w:rPr>
          <w:spacing w:val="-22"/>
        </w:rPr>
        <w:t> </w:t>
      </w:r>
      <w:r>
        <w:rPr/>
        <w:t>to</w:t>
      </w:r>
      <w:r>
        <w:rPr>
          <w:spacing w:val="-17"/>
        </w:rPr>
        <w:t> </w:t>
      </w:r>
      <w:r>
        <w:rPr/>
        <w:t>accurately measure energy. The CE calculations and processes</w:t>
      </w:r>
      <w:r>
        <w:rPr>
          <w:spacing w:val="-6"/>
        </w:rPr>
        <w:t> </w:t>
      </w:r>
      <w:r>
        <w:rPr/>
        <w:t>include:</w:t>
      </w:r>
    </w:p>
    <w:p>
      <w:pPr>
        <w:pStyle w:val="ListParagraph"/>
        <w:numPr>
          <w:ilvl w:val="1"/>
          <w:numId w:val="10"/>
        </w:numPr>
        <w:tabs>
          <w:tab w:pos="979" w:val="left" w:leader="none"/>
          <w:tab w:pos="980" w:val="left" w:leader="none"/>
        </w:tabs>
        <w:spacing w:line="225" w:lineRule="auto" w:before="126" w:after="0"/>
        <w:ind w:left="979" w:right="1087" w:hanging="360"/>
        <w:jc w:val="left"/>
        <w:rPr>
          <w:sz w:val="20"/>
        </w:rPr>
      </w:pPr>
      <w:r>
        <w:rPr>
          <w:sz w:val="20"/>
        </w:rPr>
        <w:t>Multiplication</w:t>
      </w:r>
      <w:r>
        <w:rPr>
          <w:spacing w:val="-4"/>
          <w:sz w:val="20"/>
        </w:rPr>
        <w:t> </w:t>
      </w:r>
      <w:r>
        <w:rPr>
          <w:sz w:val="20"/>
        </w:rPr>
        <w:t>of</w:t>
      </w:r>
      <w:r>
        <w:rPr>
          <w:spacing w:val="-2"/>
          <w:sz w:val="20"/>
        </w:rPr>
        <w:t> </w:t>
      </w:r>
      <w:r>
        <w:rPr>
          <w:sz w:val="20"/>
        </w:rPr>
        <w:t>each</w:t>
      </w:r>
      <w:r>
        <w:rPr>
          <w:spacing w:val="-4"/>
          <w:sz w:val="20"/>
        </w:rPr>
        <w:t> </w:t>
      </w:r>
      <w:r>
        <w:rPr>
          <w:sz w:val="20"/>
        </w:rPr>
        <w:t>current</w:t>
      </w:r>
      <w:r>
        <w:rPr>
          <w:spacing w:val="-3"/>
          <w:sz w:val="20"/>
        </w:rPr>
        <w:t> </w:t>
      </w:r>
      <w:r>
        <w:rPr>
          <w:sz w:val="20"/>
        </w:rPr>
        <w:t>sample</w:t>
      </w:r>
      <w:r>
        <w:rPr>
          <w:spacing w:val="-2"/>
          <w:sz w:val="20"/>
        </w:rPr>
        <w:t> </w:t>
      </w:r>
      <w:r>
        <w:rPr>
          <w:sz w:val="20"/>
        </w:rPr>
        <w:t>with</w:t>
      </w:r>
      <w:r>
        <w:rPr>
          <w:spacing w:val="-4"/>
          <w:sz w:val="20"/>
        </w:rPr>
        <w:t> </w:t>
      </w:r>
      <w:r>
        <w:rPr>
          <w:sz w:val="20"/>
        </w:rPr>
        <w:t>its</w:t>
      </w:r>
      <w:r>
        <w:rPr>
          <w:spacing w:val="1"/>
          <w:sz w:val="20"/>
        </w:rPr>
        <w:t> </w:t>
      </w:r>
      <w:r>
        <w:rPr>
          <w:sz w:val="20"/>
        </w:rPr>
        <w:t>associated</w:t>
      </w:r>
      <w:r>
        <w:rPr>
          <w:spacing w:val="-4"/>
          <w:sz w:val="20"/>
        </w:rPr>
        <w:t> </w:t>
      </w:r>
      <w:r>
        <w:rPr>
          <w:sz w:val="20"/>
        </w:rPr>
        <w:t>voltage</w:t>
      </w:r>
      <w:r>
        <w:rPr>
          <w:spacing w:val="-4"/>
          <w:sz w:val="20"/>
        </w:rPr>
        <w:t> </w:t>
      </w:r>
      <w:r>
        <w:rPr>
          <w:sz w:val="20"/>
        </w:rPr>
        <w:t>sample</w:t>
      </w:r>
      <w:r>
        <w:rPr>
          <w:spacing w:val="-3"/>
          <w:sz w:val="20"/>
        </w:rPr>
        <w:t> </w:t>
      </w:r>
      <w:r>
        <w:rPr>
          <w:sz w:val="20"/>
        </w:rPr>
        <w:t>to</w:t>
      </w:r>
      <w:r>
        <w:rPr>
          <w:spacing w:val="-4"/>
          <w:sz w:val="20"/>
        </w:rPr>
        <w:t> </w:t>
      </w:r>
      <w:r>
        <w:rPr>
          <w:sz w:val="20"/>
        </w:rPr>
        <w:t>obtain</w:t>
      </w:r>
      <w:r>
        <w:rPr>
          <w:spacing w:val="-4"/>
          <w:sz w:val="20"/>
        </w:rPr>
        <w:t> </w:t>
      </w:r>
      <w:r>
        <w:rPr>
          <w:sz w:val="20"/>
        </w:rPr>
        <w:t>the</w:t>
      </w:r>
      <w:r>
        <w:rPr>
          <w:spacing w:val="-3"/>
          <w:sz w:val="20"/>
        </w:rPr>
        <w:t> </w:t>
      </w:r>
      <w:r>
        <w:rPr>
          <w:sz w:val="20"/>
        </w:rPr>
        <w:t>energy</w:t>
      </w:r>
      <w:r>
        <w:rPr>
          <w:spacing w:val="-7"/>
          <w:sz w:val="20"/>
        </w:rPr>
        <w:t> </w:t>
      </w:r>
      <w:r>
        <w:rPr>
          <w:sz w:val="20"/>
        </w:rPr>
        <w:t>per sample (when multiplied by the constant sample</w:t>
      </w:r>
      <w:r>
        <w:rPr>
          <w:spacing w:val="-9"/>
          <w:sz w:val="20"/>
        </w:rPr>
        <w:t> </w:t>
      </w:r>
      <w:r>
        <w:rPr>
          <w:sz w:val="20"/>
        </w:rPr>
        <w:t>time).</w:t>
      </w:r>
    </w:p>
    <w:p>
      <w:pPr>
        <w:pStyle w:val="ListParagraph"/>
        <w:numPr>
          <w:ilvl w:val="1"/>
          <w:numId w:val="10"/>
        </w:numPr>
        <w:tabs>
          <w:tab w:pos="979" w:val="left" w:leader="none"/>
          <w:tab w:pos="980" w:val="left" w:leader="none"/>
        </w:tabs>
        <w:spacing w:line="225" w:lineRule="auto" w:before="48" w:after="0"/>
        <w:ind w:left="979" w:right="1197" w:hanging="360"/>
        <w:jc w:val="left"/>
        <w:rPr>
          <w:sz w:val="20"/>
        </w:rPr>
      </w:pPr>
      <w:r>
        <w:rPr>
          <w:sz w:val="20"/>
        </w:rPr>
        <w:t>Frequency-insensitive</w:t>
      </w:r>
      <w:r>
        <w:rPr>
          <w:spacing w:val="-5"/>
          <w:sz w:val="20"/>
        </w:rPr>
        <w:t> </w:t>
      </w:r>
      <w:r>
        <w:rPr>
          <w:sz w:val="20"/>
        </w:rPr>
        <w:t>delay</w:t>
      </w:r>
      <w:r>
        <w:rPr>
          <w:spacing w:val="-7"/>
          <w:sz w:val="20"/>
        </w:rPr>
        <w:t> </w:t>
      </w:r>
      <w:r>
        <w:rPr>
          <w:sz w:val="20"/>
        </w:rPr>
        <w:t>cancellation</w:t>
      </w:r>
      <w:r>
        <w:rPr>
          <w:spacing w:val="-5"/>
          <w:sz w:val="20"/>
        </w:rPr>
        <w:t> </w:t>
      </w:r>
      <w:r>
        <w:rPr>
          <w:sz w:val="20"/>
        </w:rPr>
        <w:t>on</w:t>
      </w:r>
      <w:r>
        <w:rPr>
          <w:spacing w:val="-4"/>
          <w:sz w:val="20"/>
        </w:rPr>
        <w:t> </w:t>
      </w:r>
      <w:r>
        <w:rPr>
          <w:sz w:val="20"/>
        </w:rPr>
        <w:t>all</w:t>
      </w:r>
      <w:r>
        <w:rPr>
          <w:spacing w:val="-4"/>
          <w:sz w:val="20"/>
        </w:rPr>
        <w:t> </w:t>
      </w:r>
      <w:r>
        <w:rPr>
          <w:sz w:val="20"/>
        </w:rPr>
        <w:t>channels</w:t>
      </w:r>
      <w:r>
        <w:rPr>
          <w:spacing w:val="-3"/>
          <w:sz w:val="20"/>
        </w:rPr>
        <w:t> </w:t>
      </w:r>
      <w:r>
        <w:rPr>
          <w:sz w:val="20"/>
        </w:rPr>
        <w:t>(to</w:t>
      </w:r>
      <w:r>
        <w:rPr>
          <w:spacing w:val="-4"/>
          <w:sz w:val="20"/>
        </w:rPr>
        <w:t> </w:t>
      </w:r>
      <w:r>
        <w:rPr>
          <w:sz w:val="20"/>
        </w:rPr>
        <w:t>compensate</w:t>
      </w:r>
      <w:r>
        <w:rPr>
          <w:spacing w:val="-5"/>
          <w:sz w:val="20"/>
        </w:rPr>
        <w:t> </w:t>
      </w:r>
      <w:r>
        <w:rPr>
          <w:sz w:val="20"/>
        </w:rPr>
        <w:t>for</w:t>
      </w:r>
      <w:r>
        <w:rPr>
          <w:spacing w:val="-3"/>
          <w:sz w:val="20"/>
        </w:rPr>
        <w:t> </w:t>
      </w:r>
      <w:r>
        <w:rPr>
          <w:sz w:val="20"/>
        </w:rPr>
        <w:t>the</w:t>
      </w:r>
      <w:r>
        <w:rPr>
          <w:spacing w:val="-3"/>
          <w:sz w:val="20"/>
        </w:rPr>
        <w:t> </w:t>
      </w:r>
      <w:r>
        <w:rPr>
          <w:sz w:val="20"/>
        </w:rPr>
        <w:t>delay</w:t>
      </w:r>
      <w:r>
        <w:rPr>
          <w:spacing w:val="-5"/>
          <w:sz w:val="20"/>
        </w:rPr>
        <w:t> </w:t>
      </w:r>
      <w:r>
        <w:rPr>
          <w:sz w:val="20"/>
        </w:rPr>
        <w:t>between samples caused by the multiplexing</w:t>
      </w:r>
      <w:r>
        <w:rPr>
          <w:spacing w:val="-3"/>
          <w:sz w:val="20"/>
        </w:rPr>
        <w:t> </w:t>
      </w:r>
      <w:r>
        <w:rPr>
          <w:sz w:val="20"/>
        </w:rPr>
        <w:t>scheme).</w:t>
      </w:r>
    </w:p>
    <w:p>
      <w:pPr>
        <w:pStyle w:val="ListParagraph"/>
        <w:numPr>
          <w:ilvl w:val="1"/>
          <w:numId w:val="10"/>
        </w:numPr>
        <w:tabs>
          <w:tab w:pos="979" w:val="left" w:leader="none"/>
          <w:tab w:pos="980" w:val="left" w:leader="none"/>
        </w:tabs>
        <w:spacing w:line="240" w:lineRule="auto" w:before="35" w:after="0"/>
        <w:ind w:left="979" w:right="0" w:hanging="361"/>
        <w:jc w:val="left"/>
        <w:rPr>
          <w:sz w:val="20"/>
        </w:rPr>
      </w:pPr>
      <w:r>
        <w:rPr>
          <w:sz w:val="20"/>
        </w:rPr>
        <w:t>90</w:t>
      </w:r>
      <w:r>
        <w:rPr>
          <w:rFonts w:ascii="Symbol" w:hAnsi="Symbol"/>
          <w:sz w:val="20"/>
        </w:rPr>
        <w:t></w:t>
      </w:r>
      <w:r>
        <w:rPr>
          <w:rFonts w:ascii="Times New Roman" w:hAnsi="Times New Roman"/>
          <w:sz w:val="20"/>
        </w:rPr>
        <w:t> </w:t>
      </w:r>
      <w:r>
        <w:rPr>
          <w:sz w:val="20"/>
        </w:rPr>
        <w:t>phase shifter (for VAR</w:t>
      </w:r>
      <w:r>
        <w:rPr>
          <w:spacing w:val="6"/>
          <w:sz w:val="20"/>
        </w:rPr>
        <w:t> </w:t>
      </w:r>
      <w:r>
        <w:rPr>
          <w:sz w:val="20"/>
        </w:rPr>
        <w:t>calculations).</w:t>
      </w:r>
    </w:p>
    <w:p>
      <w:pPr>
        <w:pStyle w:val="ListParagraph"/>
        <w:numPr>
          <w:ilvl w:val="1"/>
          <w:numId w:val="10"/>
        </w:numPr>
        <w:tabs>
          <w:tab w:pos="979" w:val="left" w:leader="none"/>
          <w:tab w:pos="980" w:val="left" w:leader="none"/>
        </w:tabs>
        <w:spacing w:line="240" w:lineRule="auto" w:before="29" w:after="0"/>
        <w:ind w:left="979" w:right="0" w:hanging="361"/>
        <w:jc w:val="left"/>
        <w:rPr>
          <w:sz w:val="20"/>
        </w:rPr>
      </w:pPr>
      <w:r>
        <w:rPr>
          <w:sz w:val="20"/>
        </w:rPr>
        <w:t>Pulse generation.</w:t>
      </w:r>
    </w:p>
    <w:p>
      <w:pPr>
        <w:pStyle w:val="ListParagraph"/>
        <w:numPr>
          <w:ilvl w:val="1"/>
          <w:numId w:val="10"/>
        </w:numPr>
        <w:tabs>
          <w:tab w:pos="979" w:val="left" w:leader="none"/>
          <w:tab w:pos="980" w:val="left" w:leader="none"/>
        </w:tabs>
        <w:spacing w:line="240" w:lineRule="auto" w:before="28" w:after="0"/>
        <w:ind w:left="979" w:right="0" w:hanging="361"/>
        <w:jc w:val="left"/>
        <w:rPr>
          <w:sz w:val="20"/>
        </w:rPr>
      </w:pPr>
      <w:r>
        <w:rPr>
          <w:sz w:val="20"/>
        </w:rPr>
        <w:t>Monitoring of the input signal frequency (for frequency and phase</w:t>
      </w:r>
      <w:r>
        <w:rPr>
          <w:spacing w:val="-13"/>
          <w:sz w:val="20"/>
        </w:rPr>
        <w:t> </w:t>
      </w:r>
      <w:r>
        <w:rPr>
          <w:sz w:val="20"/>
        </w:rPr>
        <w:t>information).</w:t>
      </w:r>
    </w:p>
    <w:p>
      <w:pPr>
        <w:pStyle w:val="ListParagraph"/>
        <w:numPr>
          <w:ilvl w:val="1"/>
          <w:numId w:val="10"/>
        </w:numPr>
        <w:tabs>
          <w:tab w:pos="979" w:val="left" w:leader="none"/>
          <w:tab w:pos="980" w:val="left" w:leader="none"/>
        </w:tabs>
        <w:spacing w:line="240" w:lineRule="auto" w:before="29" w:after="0"/>
        <w:ind w:left="979" w:right="0" w:hanging="361"/>
        <w:jc w:val="left"/>
        <w:rPr>
          <w:sz w:val="20"/>
        </w:rPr>
      </w:pPr>
      <w:r>
        <w:rPr>
          <w:sz w:val="20"/>
        </w:rPr>
        <w:t>Monitoring of the input signal amplitude (for sag</w:t>
      </w:r>
      <w:r>
        <w:rPr>
          <w:spacing w:val="-5"/>
          <w:sz w:val="20"/>
        </w:rPr>
        <w:t> </w:t>
      </w:r>
      <w:r>
        <w:rPr>
          <w:sz w:val="20"/>
        </w:rPr>
        <w:t>detection).</w:t>
      </w:r>
    </w:p>
    <w:p>
      <w:pPr>
        <w:pStyle w:val="ListParagraph"/>
        <w:numPr>
          <w:ilvl w:val="1"/>
          <w:numId w:val="10"/>
        </w:numPr>
        <w:tabs>
          <w:tab w:pos="978" w:val="left" w:leader="none"/>
          <w:tab w:pos="979" w:val="left" w:leader="none"/>
        </w:tabs>
        <w:spacing w:line="240" w:lineRule="auto" w:before="31" w:after="0"/>
        <w:ind w:left="978" w:right="0" w:hanging="360"/>
        <w:jc w:val="left"/>
        <w:rPr>
          <w:sz w:val="20"/>
        </w:rPr>
      </w:pPr>
      <w:r>
        <w:rPr>
          <w:sz w:val="20"/>
        </w:rPr>
        <w:t>Scaling of the processed samples based on calibration</w:t>
      </w:r>
      <w:r>
        <w:rPr>
          <w:spacing w:val="-5"/>
          <w:sz w:val="20"/>
        </w:rPr>
        <w:t> </w:t>
      </w:r>
      <w:r>
        <w:rPr>
          <w:sz w:val="20"/>
        </w:rPr>
        <w:t>coefficients.</w:t>
      </w:r>
    </w:p>
    <w:p>
      <w:pPr>
        <w:pStyle w:val="ListParagraph"/>
        <w:numPr>
          <w:ilvl w:val="1"/>
          <w:numId w:val="10"/>
        </w:numPr>
        <w:tabs>
          <w:tab w:pos="978" w:val="left" w:leader="none"/>
          <w:tab w:pos="979" w:val="left" w:leader="none"/>
        </w:tabs>
        <w:spacing w:line="240" w:lineRule="auto" w:before="28" w:after="0"/>
        <w:ind w:left="978" w:right="0" w:hanging="361"/>
        <w:jc w:val="left"/>
        <w:rPr>
          <w:sz w:val="20"/>
        </w:rPr>
      </w:pPr>
      <w:r>
        <w:rPr>
          <w:sz w:val="20"/>
        </w:rPr>
        <w:t>Scaling of samples based on temperature compensation</w:t>
      </w:r>
      <w:r>
        <w:rPr>
          <w:spacing w:val="-6"/>
          <w:sz w:val="20"/>
        </w:rPr>
        <w:t> </w:t>
      </w:r>
      <w:r>
        <w:rPr>
          <w:sz w:val="20"/>
        </w:rPr>
        <w:t>information.</w:t>
      </w:r>
    </w:p>
    <w:p>
      <w:pPr>
        <w:pStyle w:val="ListParagraph"/>
        <w:numPr>
          <w:ilvl w:val="2"/>
          <w:numId w:val="7"/>
        </w:numPr>
        <w:tabs>
          <w:tab w:pos="1339" w:val="left" w:leader="none"/>
          <w:tab w:pos="1340" w:val="left" w:leader="none"/>
        </w:tabs>
        <w:spacing w:line="240" w:lineRule="auto" w:before="207" w:after="0"/>
        <w:ind w:left="1339" w:right="0" w:hanging="720"/>
        <w:jc w:val="left"/>
        <w:rPr>
          <w:b/>
          <w:sz w:val="22"/>
        </w:rPr>
      </w:pPr>
      <w:bookmarkStart w:name="2.3.1 CE Program Memory" w:id="60"/>
      <w:bookmarkEnd w:id="60"/>
      <w:r>
        <w:rPr/>
      </w:r>
      <w:bookmarkStart w:name="_bookmark27" w:id="61"/>
      <w:bookmarkEnd w:id="61"/>
      <w:r>
        <w:rPr/>
      </w:r>
      <w:bookmarkStart w:name="_bookmark27" w:id="62"/>
      <w:bookmarkEnd w:id="62"/>
      <w:r>
        <w:rPr>
          <w:b/>
          <w:sz w:val="22"/>
        </w:rPr>
        <w:t>C</w:t>
      </w:r>
      <w:r>
        <w:rPr>
          <w:b/>
          <w:sz w:val="22"/>
        </w:rPr>
        <w:t>E Program</w:t>
      </w:r>
      <w:r>
        <w:rPr>
          <w:b/>
          <w:spacing w:val="-2"/>
          <w:sz w:val="22"/>
        </w:rPr>
        <w:t> </w:t>
      </w:r>
      <w:r>
        <w:rPr>
          <w:b/>
          <w:sz w:val="22"/>
        </w:rPr>
        <w:t>Memory</w:t>
      </w:r>
    </w:p>
    <w:p>
      <w:pPr>
        <w:pStyle w:val="BodyText"/>
        <w:spacing w:line="230" w:lineRule="auto" w:before="118"/>
        <w:ind w:left="619" w:right="649"/>
      </w:pPr>
      <w:r>
        <w:rPr/>
        <w:t>The CE program resides in flash memory. Common access to flash memory by the CE and MPU is controlled by a memory share circuit. Each CE instruction word is two bytes long. Allocated flash space for the CE program cannot exceed 4096 16-bit words (8 KB). The CE program counter begins a pass through the CE code each time multiplexer state 0 begins. The code pass ends when a HALT instruction is executed. For proper operation, the code pass must be completed before the multiplexer cycle ends.</w:t>
      </w:r>
    </w:p>
    <w:p>
      <w:pPr>
        <w:pStyle w:val="BodyText"/>
        <w:spacing w:line="224" w:lineRule="exact" w:before="110"/>
        <w:ind w:left="619"/>
      </w:pPr>
      <w:r>
        <w:rPr/>
        <w:t>The CE program must begin on a 1 KB boundary of the flash address. The I/O RAM control field</w:t>
      </w:r>
    </w:p>
    <w:p>
      <w:pPr>
        <w:spacing w:line="221" w:lineRule="exact" w:before="0"/>
        <w:ind w:left="619" w:right="0" w:firstLine="0"/>
        <w:jc w:val="left"/>
        <w:rPr>
          <w:sz w:val="20"/>
        </w:rPr>
      </w:pPr>
      <w:r>
        <w:rPr>
          <w:rFonts w:ascii="Times New Roman"/>
          <w:i/>
          <w:sz w:val="20"/>
        </w:rPr>
        <w:t>CE_LCTN[6/5:0] </w:t>
      </w:r>
      <w:r>
        <w:rPr>
          <w:sz w:val="20"/>
        </w:rPr>
        <w:t>(</w:t>
      </w:r>
      <w:r>
        <w:rPr>
          <w:rFonts w:ascii="Times New Roman"/>
          <w:i/>
          <w:sz w:val="20"/>
        </w:rPr>
        <w:t>I/O RAM 0x2109[6/5:0]</w:t>
      </w:r>
      <w:r>
        <w:rPr>
          <w:sz w:val="20"/>
        </w:rPr>
        <w:t>) on the 71M6543F and </w:t>
      </w:r>
      <w:r>
        <w:rPr>
          <w:rFonts w:ascii="Times New Roman"/>
          <w:i/>
          <w:sz w:val="20"/>
        </w:rPr>
        <w:t>CE_LCTN[6:0] </w:t>
      </w:r>
      <w:r>
        <w:rPr>
          <w:sz w:val="20"/>
        </w:rPr>
        <w:t>(</w:t>
      </w:r>
      <w:r>
        <w:rPr>
          <w:rFonts w:ascii="Times New Roman"/>
          <w:i/>
          <w:sz w:val="20"/>
        </w:rPr>
        <w:t>I/O RAM 0x2109[6:0]</w:t>
      </w:r>
      <w:r>
        <w:rPr>
          <w:sz w:val="20"/>
        </w:rPr>
        <w:t>) on</w:t>
      </w:r>
    </w:p>
    <w:p>
      <w:pPr>
        <w:pStyle w:val="BodyText"/>
        <w:spacing w:line="228" w:lineRule="auto" w:before="6"/>
        <w:ind w:left="619" w:right="582"/>
      </w:pPr>
      <w:r>
        <w:rPr/>
        <w:t>the 71M6543G defines which 1 KB boundary contains the CE code. Thus, the first CE instruction is located at 1024*</w:t>
      </w:r>
      <w:r>
        <w:rPr>
          <w:rFonts w:ascii="Times New Roman"/>
          <w:i/>
        </w:rPr>
        <w:t>CE_LCTN[5:0] </w:t>
      </w:r>
      <w:r>
        <w:rPr/>
        <w:t>on the 71M6543F and 1024*</w:t>
      </w:r>
      <w:r>
        <w:rPr>
          <w:rFonts w:ascii="Times New Roman"/>
          <w:i/>
        </w:rPr>
        <w:t>CE_LCTN[6:0] </w:t>
      </w:r>
      <w:r>
        <w:rPr/>
        <w:t>on the 71M6543G.</w:t>
      </w:r>
    </w:p>
    <w:p>
      <w:pPr>
        <w:pStyle w:val="BodyText"/>
        <w:spacing w:before="6"/>
        <w:rPr>
          <w:sz w:val="18"/>
        </w:rPr>
      </w:pPr>
    </w:p>
    <w:p>
      <w:pPr>
        <w:pStyle w:val="ListParagraph"/>
        <w:numPr>
          <w:ilvl w:val="2"/>
          <w:numId w:val="7"/>
        </w:numPr>
        <w:tabs>
          <w:tab w:pos="1339" w:val="left" w:leader="none"/>
          <w:tab w:pos="1340" w:val="left" w:leader="none"/>
        </w:tabs>
        <w:spacing w:line="240" w:lineRule="auto" w:before="0" w:after="0"/>
        <w:ind w:left="1339" w:right="0" w:hanging="720"/>
        <w:jc w:val="left"/>
        <w:rPr>
          <w:b/>
          <w:sz w:val="22"/>
        </w:rPr>
      </w:pPr>
      <w:bookmarkStart w:name="2.3.2 CE Data Memory" w:id="63"/>
      <w:bookmarkEnd w:id="63"/>
      <w:r>
        <w:rPr/>
      </w:r>
      <w:bookmarkStart w:name="_bookmark28" w:id="64"/>
      <w:bookmarkEnd w:id="64"/>
      <w:r>
        <w:rPr/>
      </w:r>
      <w:bookmarkStart w:name="_bookmark28" w:id="65"/>
      <w:bookmarkEnd w:id="65"/>
      <w:r>
        <w:rPr>
          <w:b/>
          <w:sz w:val="22"/>
        </w:rPr>
        <w:t>C</w:t>
      </w:r>
      <w:r>
        <w:rPr>
          <w:b/>
          <w:sz w:val="22"/>
        </w:rPr>
        <w:t>E Data</w:t>
      </w:r>
      <w:r>
        <w:rPr>
          <w:b/>
          <w:spacing w:val="-3"/>
          <w:sz w:val="22"/>
        </w:rPr>
        <w:t> </w:t>
      </w:r>
      <w:r>
        <w:rPr>
          <w:b/>
          <w:sz w:val="22"/>
        </w:rPr>
        <w:t>Memory</w:t>
      </w:r>
    </w:p>
    <w:p>
      <w:pPr>
        <w:pStyle w:val="BodyText"/>
        <w:spacing w:line="230" w:lineRule="auto" w:before="119"/>
        <w:ind w:left="619" w:right="650"/>
      </w:pPr>
      <w:r>
        <w:rPr/>
        <w:t>The CE and </w:t>
      </w:r>
      <w:r>
        <w:rPr>
          <w:spacing w:val="-3"/>
        </w:rPr>
        <w:t>MPU </w:t>
      </w:r>
      <w:r>
        <w:rPr/>
        <w:t>share </w:t>
      </w:r>
      <w:r>
        <w:rPr>
          <w:spacing w:val="-3"/>
        </w:rPr>
        <w:t>data </w:t>
      </w:r>
      <w:r>
        <w:rPr/>
        <w:t>memory </w:t>
      </w:r>
      <w:r>
        <w:rPr>
          <w:spacing w:val="-3"/>
        </w:rPr>
        <w:t>(RAM). </w:t>
      </w:r>
      <w:r>
        <w:rPr/>
        <w:t>Common </w:t>
      </w:r>
      <w:r>
        <w:rPr>
          <w:spacing w:val="-3"/>
        </w:rPr>
        <w:t>access </w:t>
      </w:r>
      <w:r>
        <w:rPr/>
        <w:t>to XRAM by the CE and </w:t>
      </w:r>
      <w:r>
        <w:rPr>
          <w:spacing w:val="-3"/>
        </w:rPr>
        <w:t>MPU </w:t>
      </w:r>
      <w:r>
        <w:rPr/>
        <w:t>is </w:t>
      </w:r>
      <w:r>
        <w:rPr>
          <w:spacing w:val="-3"/>
        </w:rPr>
        <w:t>controlled </w:t>
      </w:r>
      <w:r>
        <w:rPr/>
        <w:t>by a memory share circuit. The CE can access up to 3 KB of the 5 KB data RAM (XRAM), i.e. from RAM address 0x0000 to 0x0C00.</w:t>
      </w:r>
    </w:p>
    <w:p>
      <w:pPr>
        <w:pStyle w:val="BodyText"/>
        <w:spacing w:line="228" w:lineRule="auto" w:before="122"/>
        <w:ind w:left="619" w:right="562"/>
      </w:pPr>
      <w:r>
        <w:rPr/>
        <w:t>The XRAM can be accessed by the FIR filter block, the RTM circuit, the CE, and the MPU. Assigned time </w:t>
      </w:r>
      <w:r>
        <w:rPr>
          <w:spacing w:val="-4"/>
        </w:rPr>
        <w:t>slots </w:t>
      </w:r>
      <w:r>
        <w:rPr>
          <w:spacing w:val="-3"/>
        </w:rPr>
        <w:t>are </w:t>
      </w:r>
      <w:r>
        <w:rPr>
          <w:spacing w:val="-4"/>
        </w:rPr>
        <w:t>reserved </w:t>
      </w:r>
      <w:r>
        <w:rPr>
          <w:spacing w:val="-3"/>
        </w:rPr>
        <w:t>for FIR </w:t>
      </w:r>
      <w:r>
        <w:rPr/>
        <w:t>and </w:t>
      </w:r>
      <w:r>
        <w:rPr>
          <w:spacing w:val="-3"/>
        </w:rPr>
        <w:t>MPU, </w:t>
      </w:r>
      <w:r>
        <w:rPr>
          <w:spacing w:val="-4"/>
        </w:rPr>
        <w:t>respectively, </w:t>
      </w:r>
      <w:r>
        <w:rPr/>
        <w:t>to </w:t>
      </w:r>
      <w:r>
        <w:rPr>
          <w:spacing w:val="-4"/>
        </w:rPr>
        <w:t>prevent </w:t>
      </w:r>
      <w:r>
        <w:rPr>
          <w:spacing w:val="-3"/>
        </w:rPr>
        <w:t>bus </w:t>
      </w:r>
      <w:r>
        <w:rPr>
          <w:spacing w:val="-4"/>
        </w:rPr>
        <w:t>contention </w:t>
      </w:r>
      <w:r>
        <w:rPr>
          <w:spacing w:val="-3"/>
        </w:rPr>
        <w:t>for XRAM data </w:t>
      </w:r>
      <w:r>
        <w:rPr>
          <w:spacing w:val="-4"/>
        </w:rPr>
        <w:t>access </w:t>
      </w:r>
      <w:r>
        <w:rPr/>
        <w:t>by </w:t>
      </w:r>
      <w:r>
        <w:rPr>
          <w:spacing w:val="-3"/>
        </w:rPr>
        <w:t>the CE.</w:t>
      </w:r>
    </w:p>
    <w:p>
      <w:pPr>
        <w:pStyle w:val="BodyText"/>
        <w:spacing w:line="230" w:lineRule="auto" w:before="120"/>
        <w:ind w:left="619" w:right="905"/>
      </w:pPr>
      <w:r>
        <w:rPr/>
        <w:t>The MPU reads and writes the XRAM shared between the CE and MPU as the primary means of data communication between the two processors.</w:t>
      </w:r>
    </w:p>
    <w:p>
      <w:pPr>
        <w:spacing w:line="228" w:lineRule="auto" w:before="122"/>
        <w:ind w:left="619" w:right="898" w:firstLine="0"/>
        <w:jc w:val="left"/>
        <w:rPr>
          <w:sz w:val="20"/>
        </w:rPr>
      </w:pPr>
      <w:r>
        <w:rPr>
          <w:sz w:val="20"/>
        </w:rPr>
        <w:t>The CE is aided by support hardware to facilitate implementation of equations, pulse counters, and accumulators. This hardware is controlled through I/O RAM field </w:t>
      </w:r>
      <w:r>
        <w:rPr>
          <w:rFonts w:ascii="Times New Roman"/>
          <w:i/>
          <w:sz w:val="20"/>
        </w:rPr>
        <w:t>EQU[2:0] </w:t>
      </w:r>
      <w:r>
        <w:rPr>
          <w:sz w:val="20"/>
        </w:rPr>
        <w:t>(equation assist, </w:t>
      </w:r>
      <w:r>
        <w:rPr>
          <w:rFonts w:ascii="Times New Roman"/>
          <w:i/>
          <w:sz w:val="20"/>
        </w:rPr>
        <w:t>I/O RAM </w:t>
      </w:r>
      <w:r>
        <w:rPr>
          <w:rFonts w:ascii="Times New Roman"/>
          <w:i/>
          <w:sz w:val="20"/>
        </w:rPr>
        <w:t>0x2106[7:5]</w:t>
      </w:r>
      <w:r>
        <w:rPr>
          <w:sz w:val="20"/>
        </w:rPr>
        <w:t>), bit </w:t>
      </w:r>
      <w:r>
        <w:rPr>
          <w:rFonts w:ascii="Times New Roman"/>
          <w:i/>
          <w:sz w:val="20"/>
        </w:rPr>
        <w:t>DIO_PV (I/O RAM 0x2457[6]), </w:t>
      </w:r>
      <w:r>
        <w:rPr>
          <w:sz w:val="20"/>
        </w:rPr>
        <w:t>bit </w:t>
      </w:r>
      <w:r>
        <w:rPr>
          <w:rFonts w:ascii="Times New Roman"/>
          <w:i/>
          <w:sz w:val="20"/>
        </w:rPr>
        <w:t>DIO_PW </w:t>
      </w:r>
      <w:r>
        <w:rPr>
          <w:sz w:val="20"/>
        </w:rPr>
        <w:t>(pulse count assist, </w:t>
      </w:r>
      <w:r>
        <w:rPr>
          <w:rFonts w:ascii="Times New Roman"/>
          <w:i/>
          <w:sz w:val="20"/>
        </w:rPr>
        <w:t>I/O RAM 0x2457[7]</w:t>
      </w:r>
      <w:r>
        <w:rPr>
          <w:sz w:val="20"/>
        </w:rPr>
        <w:t>), and </w:t>
      </w:r>
      <w:r>
        <w:rPr>
          <w:rFonts w:ascii="Times New Roman"/>
          <w:i/>
          <w:sz w:val="20"/>
        </w:rPr>
        <w:t>SUM_SAMPS[12:0] </w:t>
      </w:r>
      <w:r>
        <w:rPr>
          <w:sz w:val="20"/>
        </w:rPr>
        <w:t>(accumulation assist, </w:t>
      </w:r>
      <w:r>
        <w:rPr>
          <w:rFonts w:ascii="Times New Roman"/>
          <w:i/>
          <w:sz w:val="20"/>
        </w:rPr>
        <w:t>I/O RAM 0x2107[4:0] </w:t>
      </w:r>
      <w:r>
        <w:rPr>
          <w:sz w:val="20"/>
        </w:rPr>
        <w:t>and </w:t>
      </w:r>
      <w:r>
        <w:rPr>
          <w:rFonts w:ascii="Times New Roman"/>
          <w:i/>
          <w:sz w:val="20"/>
        </w:rPr>
        <w:t>0x2108[7:0]</w:t>
      </w:r>
      <w:r>
        <w:rPr>
          <w:sz w:val="20"/>
        </w:rPr>
        <w:t>).</w:t>
      </w:r>
    </w:p>
    <w:p>
      <w:pPr>
        <w:spacing w:line="232" w:lineRule="auto" w:before="121"/>
        <w:ind w:left="619" w:right="593" w:firstLine="0"/>
        <w:jc w:val="left"/>
        <w:rPr>
          <w:sz w:val="20"/>
        </w:rPr>
      </w:pPr>
      <w:r>
        <w:rPr>
          <w:sz w:val="20"/>
        </w:rPr>
        <w:t>The </w:t>
      </w:r>
      <w:r>
        <w:rPr>
          <w:spacing w:val="-3"/>
          <w:sz w:val="20"/>
        </w:rPr>
        <w:t>integration </w:t>
      </w:r>
      <w:r>
        <w:rPr>
          <w:sz w:val="20"/>
        </w:rPr>
        <w:t>time for each energy output, when using standard CE code, is </w:t>
      </w:r>
      <w:r>
        <w:rPr>
          <w:rFonts w:ascii="Times New Roman"/>
          <w:i/>
          <w:sz w:val="20"/>
        </w:rPr>
        <w:t>SUM_SAMPS[12:0] </w:t>
      </w:r>
      <w:r>
        <w:rPr>
          <w:spacing w:val="-3"/>
          <w:sz w:val="20"/>
        </w:rPr>
        <w:t>/2184.53 </w:t>
      </w:r>
      <w:r>
        <w:rPr>
          <w:sz w:val="20"/>
        </w:rPr>
        <w:t>(with </w:t>
      </w:r>
      <w:r>
        <w:rPr>
          <w:rFonts w:ascii="Times New Roman"/>
          <w:i/>
          <w:sz w:val="20"/>
        </w:rPr>
        <w:t>MUX_DIV[3:0] </w:t>
      </w:r>
      <w:r>
        <w:rPr>
          <w:sz w:val="20"/>
        </w:rPr>
        <w:t>= 7, </w:t>
      </w:r>
      <w:r>
        <w:rPr>
          <w:rFonts w:ascii="Times New Roman"/>
          <w:i/>
          <w:sz w:val="20"/>
        </w:rPr>
        <w:t>I/O RAM 0x2100[7:4] </w:t>
      </w:r>
      <w:r>
        <w:rPr>
          <w:sz w:val="20"/>
        </w:rPr>
        <w:t>). CE hardware issues the XFER_BUSY interrupt when the accumulation is complete.</w:t>
      </w:r>
    </w:p>
    <w:p>
      <w:pPr>
        <w:pStyle w:val="BodyText"/>
        <w:rPr>
          <w:sz w:val="18"/>
        </w:rPr>
      </w:pPr>
    </w:p>
    <w:p>
      <w:pPr>
        <w:pStyle w:val="ListParagraph"/>
        <w:numPr>
          <w:ilvl w:val="2"/>
          <w:numId w:val="7"/>
        </w:numPr>
        <w:tabs>
          <w:tab w:pos="1339" w:val="left" w:leader="none"/>
          <w:tab w:pos="1340" w:val="left" w:leader="none"/>
        </w:tabs>
        <w:spacing w:line="240" w:lineRule="auto" w:before="0" w:after="0"/>
        <w:ind w:left="1339" w:right="0" w:hanging="720"/>
        <w:jc w:val="left"/>
        <w:rPr>
          <w:b/>
          <w:sz w:val="22"/>
        </w:rPr>
      </w:pPr>
      <w:bookmarkStart w:name="2.3.3 CE Communication with the MPU" w:id="66"/>
      <w:bookmarkEnd w:id="66"/>
      <w:r>
        <w:rPr/>
      </w:r>
      <w:bookmarkStart w:name="_bookmark29" w:id="67"/>
      <w:bookmarkEnd w:id="67"/>
      <w:r>
        <w:rPr/>
      </w:r>
      <w:bookmarkStart w:name="_bookmark29" w:id="68"/>
      <w:bookmarkEnd w:id="68"/>
      <w:r>
        <w:rPr>
          <w:b/>
          <w:sz w:val="22"/>
        </w:rPr>
        <w:t>C</w:t>
      </w:r>
      <w:r>
        <w:rPr>
          <w:b/>
          <w:sz w:val="22"/>
        </w:rPr>
        <w:t>E Communication with the</w:t>
      </w:r>
      <w:r>
        <w:rPr>
          <w:b/>
          <w:spacing w:val="-6"/>
          <w:sz w:val="22"/>
        </w:rPr>
        <w:t> </w:t>
      </w:r>
      <w:r>
        <w:rPr>
          <w:b/>
          <w:sz w:val="22"/>
        </w:rPr>
        <w:t>MPU</w:t>
      </w:r>
    </w:p>
    <w:p>
      <w:pPr>
        <w:pStyle w:val="BodyText"/>
        <w:spacing w:line="230" w:lineRule="auto" w:before="119"/>
        <w:ind w:left="619" w:right="738"/>
      </w:pPr>
      <w:r>
        <w:rPr/>
        <w:t>The CE outputs six signals to the MPU: CE_BUSY, XFER_BUSY, XPULSE, YPULSE, WPULSE and VPULSE. These are connected to the MPU interrupt service. CE_BUSY indicates that the CE is actively processing data. This signal occurs once every multiplexer frame. XFER_BUSY indicates that the CE is updating to the output region of the CE RAM, which occurs whenever an accumulation cycle has been completed. Both, CE_BUSY and XFER_BUSY are cleared when the CE executes a HALT instruction.</w:t>
      </w:r>
    </w:p>
    <w:p>
      <w:pPr>
        <w:pStyle w:val="BodyText"/>
        <w:spacing w:line="230" w:lineRule="auto" w:before="120"/>
        <w:ind w:left="619" w:right="501"/>
      </w:pPr>
      <w:r>
        <w:rPr/>
        <w:t>XPULSE and YPULSE can be configured to interrupt the MPU and indicate zero crossings of the mains voltage, sag failures, or other significant events.</w:t>
      </w:r>
      <w:r>
        <w:rPr>
          <w:spacing w:val="-3"/>
        </w:rPr>
        <w:t> Additionally, these signals </w:t>
      </w:r>
      <w:r>
        <w:rPr/>
        <w:t>can be </w:t>
      </w:r>
      <w:r>
        <w:rPr>
          <w:spacing w:val="-3"/>
        </w:rPr>
        <w:t>connected directly </w:t>
      </w:r>
      <w:r>
        <w:rPr/>
        <w:t>to DIO </w:t>
      </w:r>
      <w:r>
        <w:rPr>
          <w:spacing w:val="-3"/>
        </w:rPr>
        <w:t>pins </w:t>
      </w:r>
      <w:r>
        <w:rPr/>
        <w:t>to </w:t>
      </w:r>
      <w:r>
        <w:rPr>
          <w:spacing w:val="-3"/>
        </w:rPr>
        <w:t>provide direct </w:t>
      </w:r>
      <w:r>
        <w:rPr/>
        <w:t>outputs from the CE. Interrupts associated with these signals always occur on the leading edge.</w:t>
      </w:r>
    </w:p>
    <w:p>
      <w:pPr>
        <w:spacing w:after="0" w:line="230" w:lineRule="auto"/>
        <w:sectPr>
          <w:headerReference w:type="default" r:id="rId80"/>
          <w:headerReference w:type="even" r:id="rId81"/>
          <w:footerReference w:type="default" r:id="rId82"/>
          <w:footerReference w:type="even" r:id="rId83"/>
          <w:pgSz w:w="12240" w:h="15840"/>
          <w:pgMar w:header="727" w:footer="819" w:top="960" w:bottom="1000" w:left="820" w:right="860"/>
          <w:pgNumType w:start="25"/>
        </w:sectPr>
      </w:pPr>
    </w:p>
    <w:p>
      <w:pPr>
        <w:pStyle w:val="BodyText"/>
      </w:pPr>
    </w:p>
    <w:p>
      <w:pPr>
        <w:pStyle w:val="BodyText"/>
        <w:spacing w:before="8"/>
        <w:rPr>
          <w:sz w:val="15"/>
        </w:rPr>
      </w:pPr>
    </w:p>
    <w:p>
      <w:pPr>
        <w:pStyle w:val="ListParagraph"/>
        <w:numPr>
          <w:ilvl w:val="2"/>
          <w:numId w:val="7"/>
        </w:numPr>
        <w:tabs>
          <w:tab w:pos="1339" w:val="left" w:leader="none"/>
          <w:tab w:pos="1340" w:val="left" w:leader="none"/>
        </w:tabs>
        <w:spacing w:line="240" w:lineRule="auto" w:before="93" w:after="0"/>
        <w:ind w:left="1339" w:right="0" w:hanging="720"/>
        <w:jc w:val="left"/>
        <w:rPr>
          <w:b/>
          <w:sz w:val="22"/>
        </w:rPr>
      </w:pPr>
      <w:bookmarkStart w:name="2.3.4 Meter Equations" w:id="69"/>
      <w:bookmarkEnd w:id="69"/>
      <w:r>
        <w:rPr/>
      </w:r>
      <w:bookmarkStart w:name="_bookmark30" w:id="70"/>
      <w:bookmarkEnd w:id="70"/>
      <w:r>
        <w:rPr/>
      </w:r>
      <w:bookmarkStart w:name="_bookmark30" w:id="71"/>
      <w:bookmarkEnd w:id="71"/>
      <w:r>
        <w:rPr>
          <w:b/>
          <w:sz w:val="22"/>
        </w:rPr>
        <w:t>M</w:t>
      </w:r>
      <w:r>
        <w:rPr>
          <w:b/>
          <w:sz w:val="22"/>
        </w:rPr>
        <w:t>eter</w:t>
      </w:r>
      <w:r>
        <w:rPr>
          <w:b/>
          <w:spacing w:val="-2"/>
          <w:sz w:val="22"/>
        </w:rPr>
        <w:t> </w:t>
      </w:r>
      <w:r>
        <w:rPr>
          <w:b/>
          <w:sz w:val="22"/>
        </w:rPr>
        <w:t>Equations</w:t>
      </w:r>
    </w:p>
    <w:p>
      <w:pPr>
        <w:pStyle w:val="BodyText"/>
        <w:spacing w:before="121"/>
        <w:ind w:left="619" w:right="559"/>
      </w:pPr>
      <w:r>
        <w:rPr/>
        <w:t>The</w:t>
      </w:r>
      <w:r>
        <w:rPr>
          <w:spacing w:val="-5"/>
        </w:rPr>
        <w:t> </w:t>
      </w:r>
      <w:r>
        <w:rPr/>
        <w:t>71M6543</w:t>
      </w:r>
      <w:r>
        <w:rPr>
          <w:spacing w:val="-1"/>
        </w:rPr>
        <w:t> </w:t>
      </w:r>
      <w:r>
        <w:rPr/>
        <w:t>provides</w:t>
      </w:r>
      <w:r>
        <w:rPr>
          <w:spacing w:val="-4"/>
        </w:rPr>
        <w:t> </w:t>
      </w:r>
      <w:r>
        <w:rPr/>
        <w:t>hardware</w:t>
      </w:r>
      <w:r>
        <w:rPr>
          <w:spacing w:val="-4"/>
        </w:rPr>
        <w:t> </w:t>
      </w:r>
      <w:r>
        <w:rPr/>
        <w:t>assistance</w:t>
      </w:r>
      <w:r>
        <w:rPr>
          <w:spacing w:val="-4"/>
        </w:rPr>
        <w:t> </w:t>
      </w:r>
      <w:r>
        <w:rPr/>
        <w:t>to</w:t>
      </w:r>
      <w:r>
        <w:rPr>
          <w:spacing w:val="-4"/>
        </w:rPr>
        <w:t> </w:t>
      </w:r>
      <w:r>
        <w:rPr/>
        <w:t>the</w:t>
      </w:r>
      <w:r>
        <w:rPr>
          <w:spacing w:val="-5"/>
        </w:rPr>
        <w:t> </w:t>
      </w:r>
      <w:r>
        <w:rPr/>
        <w:t>CE</w:t>
      </w:r>
      <w:r>
        <w:rPr>
          <w:spacing w:val="-2"/>
        </w:rPr>
        <w:t> </w:t>
      </w:r>
      <w:r>
        <w:rPr/>
        <w:t>in</w:t>
      </w:r>
      <w:r>
        <w:rPr>
          <w:spacing w:val="-3"/>
        </w:rPr>
        <w:t> </w:t>
      </w:r>
      <w:r>
        <w:rPr/>
        <w:t>order</w:t>
      </w:r>
      <w:r>
        <w:rPr>
          <w:spacing w:val="-3"/>
        </w:rPr>
        <w:t> </w:t>
      </w:r>
      <w:r>
        <w:rPr/>
        <w:t>to</w:t>
      </w:r>
      <w:r>
        <w:rPr>
          <w:spacing w:val="-2"/>
        </w:rPr>
        <w:t> </w:t>
      </w:r>
      <w:r>
        <w:rPr/>
        <w:t>support</w:t>
      </w:r>
      <w:r>
        <w:rPr>
          <w:spacing w:val="-5"/>
        </w:rPr>
        <w:t> </w:t>
      </w:r>
      <w:r>
        <w:rPr/>
        <w:t>various</w:t>
      </w:r>
      <w:r>
        <w:rPr>
          <w:spacing w:val="-3"/>
        </w:rPr>
        <w:t> </w:t>
      </w:r>
      <w:r>
        <w:rPr/>
        <w:t>meter</w:t>
      </w:r>
      <w:r>
        <w:rPr>
          <w:spacing w:val="-3"/>
        </w:rPr>
        <w:t> </w:t>
      </w:r>
      <w:r>
        <w:rPr/>
        <w:t>equations.</w:t>
      </w:r>
      <w:r>
        <w:rPr>
          <w:spacing w:val="-2"/>
        </w:rPr>
        <w:t> </w:t>
      </w:r>
      <w:r>
        <w:rPr/>
        <w:t>This assistance is controlled through I/O RAM field </w:t>
      </w:r>
      <w:r>
        <w:rPr>
          <w:rFonts w:ascii="Times New Roman"/>
          <w:i/>
        </w:rPr>
        <w:t>EQU[2:0] </w:t>
      </w:r>
      <w:r>
        <w:rPr/>
        <w:t>(equation assist, </w:t>
      </w:r>
      <w:r>
        <w:rPr>
          <w:rFonts w:ascii="Times New Roman"/>
          <w:i/>
        </w:rPr>
        <w:t>I/O RAM 0x2106[7:5])</w:t>
      </w:r>
      <w:r>
        <w:rPr/>
        <w:t>. The Compute Engine (CE) firmware configurations can implement the equations listed in </w:t>
      </w:r>
      <w:hyperlink w:history="true" w:anchor="_bookmark31">
        <w:r>
          <w:rPr>
            <w:color w:val="0000FF"/>
          </w:rPr>
          <w:t>Table 7</w:t>
        </w:r>
        <w:r>
          <w:rPr/>
          <w:t>. </w:t>
        </w:r>
      </w:hyperlink>
      <w:r>
        <w:rPr>
          <w:rFonts w:ascii="Times New Roman"/>
          <w:i/>
        </w:rPr>
        <w:t>EQU[2:0] </w:t>
      </w:r>
      <w:r>
        <w:rPr>
          <w:spacing w:val="-3"/>
        </w:rPr>
        <w:t>specifies</w:t>
      </w:r>
      <w:r>
        <w:rPr>
          <w:spacing w:val="-11"/>
        </w:rPr>
        <w:t> </w:t>
      </w:r>
      <w:r>
        <w:rPr/>
        <w:t>the</w:t>
      </w:r>
      <w:r>
        <w:rPr>
          <w:spacing w:val="-11"/>
        </w:rPr>
        <w:t> </w:t>
      </w:r>
      <w:r>
        <w:rPr/>
        <w:t>equation</w:t>
      </w:r>
      <w:r>
        <w:rPr>
          <w:spacing w:val="-13"/>
        </w:rPr>
        <w:t> </w:t>
      </w:r>
      <w:r>
        <w:rPr/>
        <w:t>to</w:t>
      </w:r>
      <w:r>
        <w:rPr>
          <w:spacing w:val="-11"/>
        </w:rPr>
        <w:t> </w:t>
      </w:r>
      <w:r>
        <w:rPr/>
        <w:t>be</w:t>
      </w:r>
      <w:r>
        <w:rPr>
          <w:spacing w:val="-8"/>
        </w:rPr>
        <w:t> </w:t>
      </w:r>
      <w:r>
        <w:rPr/>
        <w:t>used</w:t>
      </w:r>
      <w:r>
        <w:rPr>
          <w:spacing w:val="-11"/>
        </w:rPr>
        <w:t> </w:t>
      </w:r>
      <w:r>
        <w:rPr/>
        <w:t>based</w:t>
      </w:r>
      <w:r>
        <w:rPr>
          <w:spacing w:val="-13"/>
        </w:rPr>
        <w:t> </w:t>
      </w:r>
      <w:r>
        <w:rPr/>
        <w:t>on</w:t>
      </w:r>
      <w:r>
        <w:rPr>
          <w:spacing w:val="-11"/>
        </w:rPr>
        <w:t> </w:t>
      </w:r>
      <w:r>
        <w:rPr/>
        <w:t>the</w:t>
      </w:r>
      <w:r>
        <w:rPr>
          <w:spacing w:val="-12"/>
        </w:rPr>
        <w:t> </w:t>
      </w:r>
      <w:r>
        <w:rPr/>
        <w:t>meter</w:t>
      </w:r>
      <w:r>
        <w:rPr>
          <w:spacing w:val="-12"/>
        </w:rPr>
        <w:t> </w:t>
      </w:r>
      <w:r>
        <w:rPr/>
        <w:t>configuration</w:t>
      </w:r>
      <w:r>
        <w:rPr>
          <w:spacing w:val="-11"/>
        </w:rPr>
        <w:t> </w:t>
      </w:r>
      <w:r>
        <w:rPr/>
        <w:t>and</w:t>
      </w:r>
      <w:r>
        <w:rPr>
          <w:spacing w:val="-11"/>
        </w:rPr>
        <w:t> </w:t>
      </w:r>
      <w:r>
        <w:rPr/>
        <w:t>on</w:t>
      </w:r>
      <w:r>
        <w:rPr>
          <w:spacing w:val="-11"/>
        </w:rPr>
        <w:t> </w:t>
      </w:r>
      <w:r>
        <w:rPr/>
        <w:t>the</w:t>
      </w:r>
      <w:r>
        <w:rPr>
          <w:spacing w:val="-9"/>
        </w:rPr>
        <w:t> </w:t>
      </w:r>
      <w:r>
        <w:rPr/>
        <w:t>number</w:t>
      </w:r>
      <w:r>
        <w:rPr>
          <w:spacing w:val="-12"/>
        </w:rPr>
        <w:t> </w:t>
      </w:r>
      <w:r>
        <w:rPr/>
        <w:t>of</w:t>
      </w:r>
      <w:r>
        <w:rPr>
          <w:spacing w:val="-10"/>
        </w:rPr>
        <w:t> </w:t>
      </w:r>
      <w:r>
        <w:rPr/>
        <w:t>phases</w:t>
      </w:r>
      <w:r>
        <w:rPr>
          <w:spacing w:val="-11"/>
        </w:rPr>
        <w:t> </w:t>
      </w:r>
      <w:r>
        <w:rPr/>
        <w:t>used</w:t>
      </w:r>
      <w:r>
        <w:rPr>
          <w:spacing w:val="-8"/>
        </w:rPr>
        <w:t> </w:t>
      </w:r>
      <w:r>
        <w:rPr/>
        <w:t>for metering.</w:t>
      </w:r>
    </w:p>
    <w:p>
      <w:pPr>
        <w:pStyle w:val="BodyText"/>
        <w:spacing w:before="10"/>
        <w:rPr>
          <w:sz w:val="19"/>
        </w:rPr>
      </w:pPr>
    </w:p>
    <w:p>
      <w:pPr>
        <w:pStyle w:val="Heading1"/>
        <w:spacing w:before="1"/>
        <w:ind w:left="1312" w:right="1278"/>
      </w:pPr>
      <w:bookmarkStart w:name="_bookmark31" w:id="72"/>
      <w:bookmarkEnd w:id="72"/>
      <w:r>
        <w:rPr>
          <w:b w:val="0"/>
        </w:rPr>
      </w:r>
      <w:r>
        <w:rPr/>
        <w:t>Table 7: Inputs Selected in Multiplexer Cycles</w:t>
      </w:r>
    </w:p>
    <w:p>
      <w:pPr>
        <w:pStyle w:val="BodyText"/>
        <w:spacing w:before="7"/>
        <w:rPr>
          <w:b/>
          <w:sz w:val="5"/>
        </w:rPr>
      </w:pPr>
    </w:p>
    <w:tbl>
      <w:tblPr>
        <w:tblW w:w="0" w:type="auto"/>
        <w:jc w:val="left"/>
        <w:tblInd w:w="6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68"/>
        <w:gridCol w:w="2434"/>
        <w:gridCol w:w="1174"/>
        <w:gridCol w:w="1246"/>
        <w:gridCol w:w="1059"/>
        <w:gridCol w:w="2381"/>
      </w:tblGrid>
      <w:tr>
        <w:trPr>
          <w:trHeight w:val="342" w:hRule="atLeast"/>
        </w:trPr>
        <w:tc>
          <w:tcPr>
            <w:tcW w:w="1068" w:type="dxa"/>
            <w:vMerge w:val="restart"/>
            <w:tcBorders>
              <w:left w:val="single" w:sz="4" w:space="0" w:color="000000"/>
              <w:bottom w:val="double" w:sz="1" w:space="0" w:color="000000"/>
            </w:tcBorders>
          </w:tcPr>
          <w:p>
            <w:pPr>
              <w:pStyle w:val="TableParagraph"/>
              <w:spacing w:before="3"/>
              <w:rPr>
                <w:b/>
                <w:sz w:val="19"/>
              </w:rPr>
            </w:pPr>
          </w:p>
          <w:p>
            <w:pPr>
              <w:pStyle w:val="TableParagraph"/>
              <w:ind w:left="71"/>
              <w:rPr>
                <w:rFonts w:ascii="Times New Roman"/>
                <w:b/>
                <w:i/>
                <w:sz w:val="20"/>
              </w:rPr>
            </w:pPr>
            <w:r>
              <w:rPr>
                <w:rFonts w:ascii="Times New Roman"/>
                <w:b/>
                <w:i/>
                <w:sz w:val="20"/>
              </w:rPr>
              <w:t>EQU[2:0]*</w:t>
            </w:r>
          </w:p>
        </w:tc>
        <w:tc>
          <w:tcPr>
            <w:tcW w:w="2434" w:type="dxa"/>
            <w:vMerge w:val="restart"/>
            <w:tcBorders>
              <w:bottom w:val="double" w:sz="1" w:space="0" w:color="000000"/>
            </w:tcBorders>
          </w:tcPr>
          <w:p>
            <w:pPr>
              <w:pStyle w:val="TableParagraph"/>
              <w:spacing w:before="11"/>
              <w:rPr>
                <w:b/>
                <w:sz w:val="18"/>
              </w:rPr>
            </w:pPr>
          </w:p>
          <w:p>
            <w:pPr>
              <w:pStyle w:val="TableParagraph"/>
              <w:ind w:left="664"/>
              <w:rPr>
                <w:b/>
                <w:sz w:val="20"/>
              </w:rPr>
            </w:pPr>
            <w:r>
              <w:rPr>
                <w:b/>
                <w:sz w:val="20"/>
              </w:rPr>
              <w:t>Description</w:t>
            </w:r>
          </w:p>
        </w:tc>
        <w:tc>
          <w:tcPr>
            <w:tcW w:w="3479" w:type="dxa"/>
            <w:gridSpan w:val="3"/>
          </w:tcPr>
          <w:p>
            <w:pPr>
              <w:pStyle w:val="TableParagraph"/>
              <w:spacing w:before="54"/>
              <w:ind w:left="678"/>
              <w:rPr>
                <w:b/>
                <w:sz w:val="20"/>
              </w:rPr>
            </w:pPr>
            <w:r>
              <w:rPr>
                <w:b/>
                <w:sz w:val="20"/>
              </w:rPr>
              <w:t>Wh and VARh formula</w:t>
            </w:r>
          </w:p>
        </w:tc>
        <w:tc>
          <w:tcPr>
            <w:tcW w:w="2381" w:type="dxa"/>
            <w:vMerge w:val="restart"/>
            <w:tcBorders>
              <w:bottom w:val="double" w:sz="1" w:space="0" w:color="000000"/>
              <w:right w:val="single" w:sz="4" w:space="0" w:color="000000"/>
            </w:tcBorders>
          </w:tcPr>
          <w:p>
            <w:pPr>
              <w:pStyle w:val="TableParagraph"/>
              <w:spacing w:before="102"/>
              <w:ind w:left="151" w:right="141" w:firstLine="311"/>
              <w:rPr>
                <w:b/>
                <w:sz w:val="20"/>
              </w:rPr>
            </w:pPr>
            <w:r>
              <w:rPr>
                <w:b/>
                <w:sz w:val="20"/>
              </w:rPr>
              <w:t>Recommended Multiplexer Sequence</w:t>
            </w:r>
          </w:p>
        </w:tc>
      </w:tr>
      <w:tr>
        <w:trPr>
          <w:trHeight w:val="301" w:hRule="atLeast"/>
        </w:trPr>
        <w:tc>
          <w:tcPr>
            <w:tcW w:w="1068" w:type="dxa"/>
            <w:vMerge/>
            <w:tcBorders>
              <w:top w:val="nil"/>
              <w:left w:val="single" w:sz="4" w:space="0" w:color="000000"/>
              <w:bottom w:val="double" w:sz="1" w:space="0" w:color="000000"/>
            </w:tcBorders>
          </w:tcPr>
          <w:p>
            <w:pPr>
              <w:rPr>
                <w:sz w:val="2"/>
                <w:szCs w:val="2"/>
              </w:rPr>
            </w:pPr>
          </w:p>
        </w:tc>
        <w:tc>
          <w:tcPr>
            <w:tcW w:w="2434" w:type="dxa"/>
            <w:vMerge/>
            <w:tcBorders>
              <w:top w:val="nil"/>
              <w:bottom w:val="double" w:sz="1" w:space="0" w:color="000000"/>
            </w:tcBorders>
          </w:tcPr>
          <w:p>
            <w:pPr>
              <w:rPr>
                <w:sz w:val="2"/>
                <w:szCs w:val="2"/>
              </w:rPr>
            </w:pPr>
          </w:p>
        </w:tc>
        <w:tc>
          <w:tcPr>
            <w:tcW w:w="1174" w:type="dxa"/>
            <w:tcBorders>
              <w:bottom w:val="double" w:sz="1" w:space="0" w:color="000000"/>
            </w:tcBorders>
          </w:tcPr>
          <w:p>
            <w:pPr>
              <w:pStyle w:val="TableParagraph"/>
              <w:spacing w:before="28"/>
              <w:ind w:left="40" w:right="37"/>
              <w:jc w:val="center"/>
              <w:rPr>
                <w:b/>
                <w:sz w:val="20"/>
              </w:rPr>
            </w:pPr>
            <w:r>
              <w:rPr>
                <w:b/>
                <w:sz w:val="20"/>
              </w:rPr>
              <w:t>Element 0</w:t>
            </w:r>
          </w:p>
        </w:tc>
        <w:tc>
          <w:tcPr>
            <w:tcW w:w="1246" w:type="dxa"/>
            <w:tcBorders>
              <w:bottom w:val="double" w:sz="1" w:space="0" w:color="000000"/>
            </w:tcBorders>
          </w:tcPr>
          <w:p>
            <w:pPr>
              <w:pStyle w:val="TableParagraph"/>
              <w:spacing w:before="28"/>
              <w:ind w:left="43" w:right="36"/>
              <w:jc w:val="center"/>
              <w:rPr>
                <w:b/>
                <w:sz w:val="20"/>
              </w:rPr>
            </w:pPr>
            <w:r>
              <w:rPr>
                <w:b/>
                <w:sz w:val="20"/>
              </w:rPr>
              <w:t>Element 1</w:t>
            </w:r>
          </w:p>
        </w:tc>
        <w:tc>
          <w:tcPr>
            <w:tcW w:w="1059" w:type="dxa"/>
            <w:tcBorders>
              <w:bottom w:val="double" w:sz="1" w:space="0" w:color="000000"/>
            </w:tcBorders>
          </w:tcPr>
          <w:p>
            <w:pPr>
              <w:pStyle w:val="TableParagraph"/>
              <w:spacing w:before="28"/>
              <w:ind w:left="31" w:right="27"/>
              <w:jc w:val="center"/>
              <w:rPr>
                <w:b/>
                <w:sz w:val="20"/>
              </w:rPr>
            </w:pPr>
            <w:r>
              <w:rPr>
                <w:b/>
                <w:sz w:val="20"/>
              </w:rPr>
              <w:t>Element 2</w:t>
            </w:r>
          </w:p>
        </w:tc>
        <w:tc>
          <w:tcPr>
            <w:tcW w:w="2381" w:type="dxa"/>
            <w:vMerge/>
            <w:tcBorders>
              <w:top w:val="nil"/>
              <w:bottom w:val="double" w:sz="1" w:space="0" w:color="000000"/>
              <w:right w:val="single" w:sz="4" w:space="0" w:color="000000"/>
            </w:tcBorders>
          </w:tcPr>
          <w:p>
            <w:pPr>
              <w:rPr>
                <w:sz w:val="2"/>
                <w:szCs w:val="2"/>
              </w:rPr>
            </w:pPr>
          </w:p>
        </w:tc>
      </w:tr>
      <w:tr>
        <w:trPr>
          <w:trHeight w:val="311" w:hRule="atLeast"/>
        </w:trPr>
        <w:tc>
          <w:tcPr>
            <w:tcW w:w="1068" w:type="dxa"/>
            <w:tcBorders>
              <w:top w:val="double" w:sz="1" w:space="0" w:color="000000"/>
              <w:left w:val="single" w:sz="4" w:space="0" w:color="000000"/>
            </w:tcBorders>
          </w:tcPr>
          <w:p>
            <w:pPr>
              <w:pStyle w:val="TableParagraph"/>
              <w:spacing w:before="32"/>
              <w:ind w:left="10"/>
              <w:jc w:val="center"/>
              <w:rPr>
                <w:sz w:val="20"/>
              </w:rPr>
            </w:pPr>
            <w:r>
              <w:rPr>
                <w:w w:val="99"/>
                <w:sz w:val="20"/>
              </w:rPr>
              <w:t>2</w:t>
            </w:r>
          </w:p>
        </w:tc>
        <w:tc>
          <w:tcPr>
            <w:tcW w:w="2434" w:type="dxa"/>
            <w:tcBorders>
              <w:top w:val="double" w:sz="1" w:space="0" w:color="000000"/>
            </w:tcBorders>
          </w:tcPr>
          <w:p>
            <w:pPr>
              <w:pStyle w:val="TableParagraph"/>
              <w:spacing w:before="26"/>
              <w:ind w:left="69" w:right="98"/>
              <w:jc w:val="center"/>
              <w:rPr>
                <w:sz w:val="20"/>
              </w:rPr>
            </w:pPr>
            <w:r>
              <w:rPr>
                <w:sz w:val="20"/>
              </w:rPr>
              <w:t>2-element, 3-W, 3</w:t>
            </w:r>
            <w:r>
              <w:rPr>
                <w:rFonts w:ascii="Symbol" w:hAnsi="Symbol"/>
                <w:sz w:val="20"/>
              </w:rPr>
              <w:t></w:t>
            </w:r>
            <w:r>
              <w:rPr>
                <w:rFonts w:ascii="Times New Roman" w:hAnsi="Times New Roman"/>
                <w:sz w:val="20"/>
              </w:rPr>
              <w:t> </w:t>
            </w:r>
            <w:r>
              <w:rPr>
                <w:sz w:val="20"/>
              </w:rPr>
              <w:t>Delta</w:t>
            </w:r>
          </w:p>
        </w:tc>
        <w:tc>
          <w:tcPr>
            <w:tcW w:w="1174" w:type="dxa"/>
            <w:tcBorders>
              <w:top w:val="double" w:sz="1" w:space="0" w:color="000000"/>
            </w:tcBorders>
          </w:tcPr>
          <w:p>
            <w:pPr>
              <w:pStyle w:val="TableParagraph"/>
              <w:spacing w:before="32"/>
              <w:ind w:left="69" w:right="34"/>
              <w:jc w:val="center"/>
              <w:rPr>
                <w:sz w:val="20"/>
              </w:rPr>
            </w:pPr>
            <w:r>
              <w:rPr>
                <w:sz w:val="20"/>
              </w:rPr>
              <w:t>VA · IA</w:t>
            </w:r>
          </w:p>
        </w:tc>
        <w:tc>
          <w:tcPr>
            <w:tcW w:w="1246" w:type="dxa"/>
            <w:tcBorders>
              <w:top w:val="double" w:sz="1" w:space="0" w:color="000000"/>
            </w:tcBorders>
          </w:tcPr>
          <w:p>
            <w:pPr>
              <w:pStyle w:val="TableParagraph"/>
              <w:spacing w:before="32"/>
              <w:ind w:left="16" w:right="36"/>
              <w:jc w:val="center"/>
              <w:rPr>
                <w:sz w:val="20"/>
              </w:rPr>
            </w:pPr>
            <w:r>
              <w:rPr>
                <w:sz w:val="20"/>
              </w:rPr>
              <w:t>VB · IB</w:t>
            </w:r>
          </w:p>
        </w:tc>
        <w:tc>
          <w:tcPr>
            <w:tcW w:w="1059" w:type="dxa"/>
            <w:tcBorders>
              <w:top w:val="double" w:sz="1" w:space="0" w:color="000000"/>
            </w:tcBorders>
          </w:tcPr>
          <w:p>
            <w:pPr>
              <w:pStyle w:val="TableParagraph"/>
              <w:spacing w:before="32"/>
              <w:ind w:left="8" w:right="27"/>
              <w:jc w:val="center"/>
              <w:rPr>
                <w:sz w:val="20"/>
              </w:rPr>
            </w:pPr>
            <w:r>
              <w:rPr>
                <w:sz w:val="20"/>
              </w:rPr>
              <w:t>N/A</w:t>
            </w:r>
          </w:p>
        </w:tc>
        <w:tc>
          <w:tcPr>
            <w:tcW w:w="2381" w:type="dxa"/>
            <w:tcBorders>
              <w:top w:val="double" w:sz="1" w:space="0" w:color="000000"/>
              <w:right w:val="single" w:sz="4" w:space="0" w:color="000000"/>
            </w:tcBorders>
          </w:tcPr>
          <w:p>
            <w:pPr>
              <w:pStyle w:val="TableParagraph"/>
              <w:spacing w:before="32"/>
              <w:ind w:left="135" w:right="136"/>
              <w:jc w:val="center"/>
              <w:rPr>
                <w:sz w:val="20"/>
              </w:rPr>
            </w:pPr>
            <w:r>
              <w:rPr>
                <w:sz w:val="20"/>
              </w:rPr>
              <w:t>IA VA IB VB</w:t>
            </w:r>
          </w:p>
        </w:tc>
      </w:tr>
      <w:tr>
        <w:trPr>
          <w:trHeight w:val="325" w:hRule="atLeast"/>
        </w:trPr>
        <w:tc>
          <w:tcPr>
            <w:tcW w:w="1068" w:type="dxa"/>
            <w:tcBorders>
              <w:left w:val="single" w:sz="4" w:space="0" w:color="000000"/>
            </w:tcBorders>
          </w:tcPr>
          <w:p>
            <w:pPr>
              <w:pStyle w:val="TableParagraph"/>
              <w:spacing w:before="47"/>
              <w:ind w:left="10"/>
              <w:jc w:val="center"/>
              <w:rPr>
                <w:sz w:val="20"/>
              </w:rPr>
            </w:pPr>
            <w:r>
              <w:rPr>
                <w:w w:val="99"/>
                <w:sz w:val="20"/>
              </w:rPr>
              <w:t>3</w:t>
            </w:r>
          </w:p>
        </w:tc>
        <w:tc>
          <w:tcPr>
            <w:tcW w:w="2434" w:type="dxa"/>
          </w:tcPr>
          <w:p>
            <w:pPr>
              <w:pStyle w:val="TableParagraph"/>
              <w:spacing w:before="38"/>
              <w:ind w:left="69" w:right="98"/>
              <w:jc w:val="center"/>
              <w:rPr>
                <w:sz w:val="20"/>
              </w:rPr>
            </w:pPr>
            <w:r>
              <w:rPr>
                <w:sz w:val="20"/>
              </w:rPr>
              <w:t>2-element, 4-W, 3</w:t>
            </w:r>
            <w:r>
              <w:rPr>
                <w:rFonts w:ascii="Symbol" w:hAnsi="Symbol"/>
                <w:sz w:val="20"/>
              </w:rPr>
              <w:t></w:t>
            </w:r>
            <w:r>
              <w:rPr>
                <w:rFonts w:ascii="Times New Roman" w:hAnsi="Times New Roman"/>
                <w:sz w:val="20"/>
              </w:rPr>
              <w:t> </w:t>
            </w:r>
            <w:r>
              <w:rPr>
                <w:sz w:val="20"/>
              </w:rPr>
              <w:t>Delta</w:t>
            </w:r>
          </w:p>
        </w:tc>
        <w:tc>
          <w:tcPr>
            <w:tcW w:w="1174" w:type="dxa"/>
          </w:tcPr>
          <w:p>
            <w:pPr>
              <w:pStyle w:val="TableParagraph"/>
              <w:spacing w:before="47"/>
              <w:ind w:left="69" w:right="37"/>
              <w:jc w:val="center"/>
              <w:rPr>
                <w:sz w:val="20"/>
              </w:rPr>
            </w:pPr>
            <w:r>
              <w:rPr>
                <w:sz w:val="20"/>
              </w:rPr>
              <w:t>VA(IA-IB)/2</w:t>
            </w:r>
          </w:p>
        </w:tc>
        <w:tc>
          <w:tcPr>
            <w:tcW w:w="1246" w:type="dxa"/>
          </w:tcPr>
          <w:p>
            <w:pPr>
              <w:pStyle w:val="TableParagraph"/>
              <w:spacing w:before="47"/>
              <w:ind w:left="9" w:right="36"/>
              <w:jc w:val="center"/>
              <w:rPr>
                <w:sz w:val="20"/>
              </w:rPr>
            </w:pPr>
            <w:r>
              <w:rPr>
                <w:sz w:val="20"/>
              </w:rPr>
              <w:t>VC ·IC</w:t>
            </w:r>
          </w:p>
        </w:tc>
        <w:tc>
          <w:tcPr>
            <w:tcW w:w="1059" w:type="dxa"/>
          </w:tcPr>
          <w:p>
            <w:pPr>
              <w:pStyle w:val="TableParagraph"/>
              <w:spacing w:before="47"/>
              <w:ind w:left="8" w:right="27"/>
              <w:jc w:val="center"/>
              <w:rPr>
                <w:sz w:val="20"/>
              </w:rPr>
            </w:pPr>
            <w:r>
              <w:rPr>
                <w:sz w:val="20"/>
              </w:rPr>
              <w:t>N/A</w:t>
            </w:r>
          </w:p>
        </w:tc>
        <w:tc>
          <w:tcPr>
            <w:tcW w:w="2381" w:type="dxa"/>
            <w:tcBorders>
              <w:right w:val="single" w:sz="4" w:space="0" w:color="000000"/>
            </w:tcBorders>
          </w:tcPr>
          <w:p>
            <w:pPr>
              <w:pStyle w:val="TableParagraph"/>
              <w:spacing w:before="47"/>
              <w:ind w:left="136" w:right="136"/>
              <w:jc w:val="center"/>
              <w:rPr>
                <w:sz w:val="20"/>
              </w:rPr>
            </w:pPr>
            <w:r>
              <w:rPr>
                <w:sz w:val="20"/>
              </w:rPr>
              <w:t>IA VA IB VB IC VC</w:t>
            </w:r>
          </w:p>
        </w:tc>
      </w:tr>
      <w:tr>
        <w:trPr>
          <w:trHeight w:val="323" w:hRule="atLeast"/>
        </w:trPr>
        <w:tc>
          <w:tcPr>
            <w:tcW w:w="1068" w:type="dxa"/>
            <w:tcBorders>
              <w:left w:val="single" w:sz="4" w:space="0" w:color="000000"/>
            </w:tcBorders>
          </w:tcPr>
          <w:p>
            <w:pPr>
              <w:pStyle w:val="TableParagraph"/>
              <w:spacing w:before="45"/>
              <w:ind w:left="10"/>
              <w:jc w:val="center"/>
              <w:rPr>
                <w:sz w:val="20"/>
              </w:rPr>
            </w:pPr>
            <w:r>
              <w:rPr>
                <w:w w:val="99"/>
                <w:sz w:val="20"/>
              </w:rPr>
              <w:t>4</w:t>
            </w:r>
          </w:p>
        </w:tc>
        <w:tc>
          <w:tcPr>
            <w:tcW w:w="2434" w:type="dxa"/>
          </w:tcPr>
          <w:p>
            <w:pPr>
              <w:pStyle w:val="TableParagraph"/>
              <w:spacing w:before="38"/>
              <w:ind w:left="44" w:right="98"/>
              <w:jc w:val="center"/>
              <w:rPr>
                <w:sz w:val="20"/>
              </w:rPr>
            </w:pPr>
            <w:r>
              <w:rPr>
                <w:sz w:val="20"/>
              </w:rPr>
              <w:t>2-element, 4-W, 3</w:t>
            </w:r>
            <w:r>
              <w:rPr>
                <w:rFonts w:ascii="Symbol" w:hAnsi="Symbol"/>
                <w:sz w:val="20"/>
              </w:rPr>
              <w:t></w:t>
            </w:r>
            <w:r>
              <w:rPr>
                <w:rFonts w:ascii="Times New Roman" w:hAnsi="Times New Roman"/>
                <w:sz w:val="20"/>
              </w:rPr>
              <w:t> </w:t>
            </w:r>
            <w:r>
              <w:rPr>
                <w:sz w:val="20"/>
              </w:rPr>
              <w:t>Wye</w:t>
            </w:r>
          </w:p>
        </w:tc>
        <w:tc>
          <w:tcPr>
            <w:tcW w:w="1174" w:type="dxa"/>
          </w:tcPr>
          <w:p>
            <w:pPr>
              <w:pStyle w:val="TableParagraph"/>
              <w:spacing w:before="45"/>
              <w:ind w:left="69" w:right="37"/>
              <w:jc w:val="center"/>
              <w:rPr>
                <w:sz w:val="20"/>
              </w:rPr>
            </w:pPr>
            <w:r>
              <w:rPr>
                <w:sz w:val="20"/>
              </w:rPr>
              <w:t>VA(IA-IB)/2</w:t>
            </w:r>
          </w:p>
        </w:tc>
        <w:tc>
          <w:tcPr>
            <w:tcW w:w="1246" w:type="dxa"/>
          </w:tcPr>
          <w:p>
            <w:pPr>
              <w:pStyle w:val="TableParagraph"/>
              <w:spacing w:before="45"/>
              <w:ind w:left="17" w:right="36"/>
              <w:jc w:val="center"/>
              <w:rPr>
                <w:sz w:val="20"/>
              </w:rPr>
            </w:pPr>
            <w:r>
              <w:rPr>
                <w:sz w:val="20"/>
              </w:rPr>
              <w:t>VB(IC-IB)/2</w:t>
            </w:r>
          </w:p>
        </w:tc>
        <w:tc>
          <w:tcPr>
            <w:tcW w:w="1059" w:type="dxa"/>
          </w:tcPr>
          <w:p>
            <w:pPr>
              <w:pStyle w:val="TableParagraph"/>
              <w:spacing w:before="45"/>
              <w:ind w:left="8" w:right="27"/>
              <w:jc w:val="center"/>
              <w:rPr>
                <w:sz w:val="20"/>
              </w:rPr>
            </w:pPr>
            <w:r>
              <w:rPr>
                <w:sz w:val="20"/>
              </w:rPr>
              <w:t>N/A</w:t>
            </w:r>
          </w:p>
        </w:tc>
        <w:tc>
          <w:tcPr>
            <w:tcW w:w="2381" w:type="dxa"/>
            <w:tcBorders>
              <w:right w:val="single" w:sz="4" w:space="0" w:color="000000"/>
            </w:tcBorders>
          </w:tcPr>
          <w:p>
            <w:pPr>
              <w:pStyle w:val="TableParagraph"/>
              <w:spacing w:before="45"/>
              <w:ind w:left="136" w:right="136"/>
              <w:jc w:val="center"/>
              <w:rPr>
                <w:sz w:val="20"/>
              </w:rPr>
            </w:pPr>
            <w:r>
              <w:rPr>
                <w:sz w:val="20"/>
              </w:rPr>
              <w:t>IA VA IB VB IC VC</w:t>
            </w:r>
          </w:p>
        </w:tc>
      </w:tr>
      <w:tr>
        <w:trPr>
          <w:trHeight w:val="325" w:hRule="atLeast"/>
        </w:trPr>
        <w:tc>
          <w:tcPr>
            <w:tcW w:w="1068" w:type="dxa"/>
            <w:tcBorders>
              <w:left w:val="single" w:sz="4" w:space="0" w:color="000000"/>
            </w:tcBorders>
          </w:tcPr>
          <w:p>
            <w:pPr>
              <w:pStyle w:val="TableParagraph"/>
              <w:spacing w:before="47"/>
              <w:ind w:left="10"/>
              <w:jc w:val="center"/>
              <w:rPr>
                <w:sz w:val="20"/>
              </w:rPr>
            </w:pPr>
            <w:r>
              <w:rPr>
                <w:w w:val="99"/>
                <w:sz w:val="20"/>
              </w:rPr>
              <w:t>5</w:t>
            </w:r>
          </w:p>
        </w:tc>
        <w:tc>
          <w:tcPr>
            <w:tcW w:w="2434" w:type="dxa"/>
          </w:tcPr>
          <w:p>
            <w:pPr>
              <w:pStyle w:val="TableParagraph"/>
              <w:spacing w:before="41"/>
              <w:ind w:left="44" w:right="98"/>
              <w:jc w:val="center"/>
              <w:rPr>
                <w:sz w:val="20"/>
              </w:rPr>
            </w:pPr>
            <w:r>
              <w:rPr>
                <w:sz w:val="20"/>
              </w:rPr>
              <w:t>3-element, 4-W, 3</w:t>
            </w:r>
            <w:r>
              <w:rPr>
                <w:rFonts w:ascii="Symbol" w:hAnsi="Symbol"/>
                <w:sz w:val="20"/>
              </w:rPr>
              <w:t></w:t>
            </w:r>
            <w:r>
              <w:rPr>
                <w:rFonts w:ascii="Times New Roman" w:hAnsi="Times New Roman"/>
                <w:sz w:val="20"/>
              </w:rPr>
              <w:t> </w:t>
            </w:r>
            <w:r>
              <w:rPr>
                <w:sz w:val="20"/>
              </w:rPr>
              <w:t>Wye</w:t>
            </w:r>
          </w:p>
        </w:tc>
        <w:tc>
          <w:tcPr>
            <w:tcW w:w="1174" w:type="dxa"/>
          </w:tcPr>
          <w:p>
            <w:pPr>
              <w:pStyle w:val="TableParagraph"/>
              <w:spacing w:before="47"/>
              <w:ind w:left="69" w:right="34"/>
              <w:jc w:val="center"/>
              <w:rPr>
                <w:sz w:val="20"/>
              </w:rPr>
            </w:pPr>
            <w:r>
              <w:rPr>
                <w:sz w:val="20"/>
              </w:rPr>
              <w:t>VA · IA</w:t>
            </w:r>
          </w:p>
        </w:tc>
        <w:tc>
          <w:tcPr>
            <w:tcW w:w="1246" w:type="dxa"/>
          </w:tcPr>
          <w:p>
            <w:pPr>
              <w:pStyle w:val="TableParagraph"/>
              <w:spacing w:before="47"/>
              <w:ind w:left="16" w:right="36"/>
              <w:jc w:val="center"/>
              <w:rPr>
                <w:sz w:val="20"/>
              </w:rPr>
            </w:pPr>
            <w:r>
              <w:rPr>
                <w:sz w:val="20"/>
              </w:rPr>
              <w:t>VB · IB</w:t>
            </w:r>
          </w:p>
        </w:tc>
        <w:tc>
          <w:tcPr>
            <w:tcW w:w="1059" w:type="dxa"/>
          </w:tcPr>
          <w:p>
            <w:pPr>
              <w:pStyle w:val="TableParagraph"/>
              <w:spacing w:before="47"/>
              <w:ind w:left="7" w:right="27"/>
              <w:jc w:val="center"/>
              <w:rPr>
                <w:sz w:val="20"/>
              </w:rPr>
            </w:pPr>
            <w:r>
              <w:rPr>
                <w:sz w:val="20"/>
              </w:rPr>
              <w:t>VC · IC</w:t>
            </w:r>
          </w:p>
        </w:tc>
        <w:tc>
          <w:tcPr>
            <w:tcW w:w="2381" w:type="dxa"/>
            <w:tcBorders>
              <w:right w:val="single" w:sz="4" w:space="0" w:color="000000"/>
            </w:tcBorders>
          </w:tcPr>
          <w:p>
            <w:pPr>
              <w:pStyle w:val="TableParagraph"/>
              <w:spacing w:before="47"/>
              <w:ind w:left="136" w:right="136"/>
              <w:jc w:val="center"/>
              <w:rPr>
                <w:sz w:val="20"/>
              </w:rPr>
            </w:pPr>
            <w:r>
              <w:rPr>
                <w:sz w:val="20"/>
              </w:rPr>
              <w:t>IA VA IB VB IC VC (ID)</w:t>
            </w:r>
          </w:p>
        </w:tc>
      </w:tr>
      <w:tr>
        <w:trPr>
          <w:trHeight w:val="760" w:hRule="atLeast"/>
        </w:trPr>
        <w:tc>
          <w:tcPr>
            <w:tcW w:w="9362" w:type="dxa"/>
            <w:gridSpan w:val="6"/>
            <w:tcBorders>
              <w:left w:val="single" w:sz="4" w:space="0" w:color="000000"/>
              <w:bottom w:val="single" w:sz="4" w:space="0" w:color="000000"/>
              <w:right w:val="single" w:sz="4" w:space="0" w:color="000000"/>
            </w:tcBorders>
          </w:tcPr>
          <w:p>
            <w:pPr>
              <w:pStyle w:val="TableParagraph"/>
              <w:spacing w:before="18"/>
              <w:ind w:left="115"/>
              <w:rPr>
                <w:sz w:val="19"/>
              </w:rPr>
            </w:pPr>
            <w:r>
              <w:rPr>
                <w:sz w:val="19"/>
              </w:rPr>
              <w:t>Note:</w:t>
            </w:r>
          </w:p>
          <w:p>
            <w:pPr>
              <w:pStyle w:val="TableParagraph"/>
              <w:spacing w:line="247" w:lineRule="auto" w:before="15"/>
              <w:ind w:left="115" w:right="101"/>
              <w:rPr>
                <w:sz w:val="20"/>
              </w:rPr>
            </w:pPr>
            <w:r>
              <w:rPr>
                <w:sz w:val="20"/>
              </w:rPr>
              <w:t>* Only </w:t>
            </w:r>
            <w:r>
              <w:rPr>
                <w:rFonts w:ascii="Times New Roman"/>
                <w:i/>
                <w:sz w:val="20"/>
              </w:rPr>
              <w:t>EQU[2:0] </w:t>
            </w:r>
            <w:r>
              <w:rPr>
                <w:sz w:val="20"/>
              </w:rPr>
              <w:t>= 5 is supported by the currently available CE code versions for the 71M6543. Contact your local Maxim representative for CE codes that support equations 2, 3, and 4.</w:t>
            </w:r>
          </w:p>
        </w:tc>
      </w:tr>
    </w:tbl>
    <w:p>
      <w:pPr>
        <w:pStyle w:val="BodyText"/>
        <w:spacing w:before="11"/>
        <w:rPr>
          <w:b/>
          <w:sz w:val="31"/>
        </w:rPr>
      </w:pPr>
    </w:p>
    <w:p>
      <w:pPr>
        <w:pStyle w:val="ListParagraph"/>
        <w:numPr>
          <w:ilvl w:val="2"/>
          <w:numId w:val="7"/>
        </w:numPr>
        <w:tabs>
          <w:tab w:pos="1339" w:val="left" w:leader="none"/>
          <w:tab w:pos="1340" w:val="left" w:leader="none"/>
        </w:tabs>
        <w:spacing w:line="240" w:lineRule="auto" w:before="0" w:after="0"/>
        <w:ind w:left="1339" w:right="0" w:hanging="720"/>
        <w:jc w:val="left"/>
        <w:rPr>
          <w:b/>
          <w:sz w:val="22"/>
        </w:rPr>
      </w:pPr>
      <w:bookmarkStart w:name="2.3.5 Real-Time Monitor (RTM)" w:id="73"/>
      <w:bookmarkEnd w:id="73"/>
      <w:r>
        <w:rPr/>
      </w:r>
      <w:bookmarkStart w:name="_bookmark32" w:id="74"/>
      <w:bookmarkEnd w:id="74"/>
      <w:r>
        <w:rPr/>
      </w:r>
      <w:bookmarkStart w:name="_bookmark32" w:id="75"/>
      <w:bookmarkEnd w:id="75"/>
      <w:r>
        <w:rPr>
          <w:b/>
          <w:sz w:val="22"/>
        </w:rPr>
        <w:t>R</w:t>
      </w:r>
      <w:r>
        <w:rPr>
          <w:b/>
          <w:sz w:val="22"/>
        </w:rPr>
        <w:t>eal-Time Monitor</w:t>
      </w:r>
      <w:r>
        <w:rPr>
          <w:b/>
          <w:spacing w:val="-4"/>
          <w:sz w:val="22"/>
        </w:rPr>
        <w:t> </w:t>
      </w:r>
      <w:r>
        <w:rPr>
          <w:b/>
          <w:sz w:val="22"/>
        </w:rPr>
        <w:t>(RTM)</w:t>
      </w:r>
    </w:p>
    <w:p>
      <w:pPr>
        <w:pStyle w:val="BodyText"/>
        <w:spacing w:before="121"/>
        <w:ind w:left="619" w:right="559"/>
      </w:pPr>
      <w:r>
        <w:rPr/>
        <w:t>The</w:t>
      </w:r>
      <w:r>
        <w:rPr>
          <w:spacing w:val="-14"/>
        </w:rPr>
        <w:t> </w:t>
      </w:r>
      <w:r>
        <w:rPr/>
        <w:t>CE</w:t>
      </w:r>
      <w:r>
        <w:rPr>
          <w:spacing w:val="-14"/>
        </w:rPr>
        <w:t> </w:t>
      </w:r>
      <w:r>
        <w:rPr/>
        <w:t>contains</w:t>
      </w:r>
      <w:r>
        <w:rPr>
          <w:spacing w:val="-12"/>
        </w:rPr>
        <w:t> </w:t>
      </w:r>
      <w:r>
        <w:rPr/>
        <w:t>a</w:t>
      </w:r>
      <w:r>
        <w:rPr>
          <w:spacing w:val="-12"/>
        </w:rPr>
        <w:t> </w:t>
      </w:r>
      <w:r>
        <w:rPr/>
        <w:t>Real-Time</w:t>
      </w:r>
      <w:r>
        <w:rPr>
          <w:spacing w:val="-13"/>
        </w:rPr>
        <w:t> </w:t>
      </w:r>
      <w:r>
        <w:rPr>
          <w:spacing w:val="-3"/>
        </w:rPr>
        <w:t>Monitor</w:t>
      </w:r>
      <w:r>
        <w:rPr>
          <w:spacing w:val="-13"/>
        </w:rPr>
        <w:t> </w:t>
      </w:r>
      <w:r>
        <w:rPr/>
        <w:t>(RTM),</w:t>
      </w:r>
      <w:r>
        <w:rPr>
          <w:spacing w:val="-11"/>
        </w:rPr>
        <w:t> </w:t>
      </w:r>
      <w:r>
        <w:rPr/>
        <w:t>which</w:t>
      </w:r>
      <w:r>
        <w:rPr>
          <w:spacing w:val="-12"/>
        </w:rPr>
        <w:t> </w:t>
      </w:r>
      <w:r>
        <w:rPr/>
        <w:t>can</w:t>
      </w:r>
      <w:r>
        <w:rPr>
          <w:spacing w:val="-12"/>
        </w:rPr>
        <w:t> </w:t>
      </w:r>
      <w:r>
        <w:rPr/>
        <w:t>be</w:t>
      </w:r>
      <w:r>
        <w:rPr>
          <w:spacing w:val="-12"/>
        </w:rPr>
        <w:t> </w:t>
      </w:r>
      <w:r>
        <w:rPr/>
        <w:t>programmed</w:t>
      </w:r>
      <w:r>
        <w:rPr>
          <w:spacing w:val="-14"/>
        </w:rPr>
        <w:t> </w:t>
      </w:r>
      <w:r>
        <w:rPr/>
        <w:t>to</w:t>
      </w:r>
      <w:r>
        <w:rPr>
          <w:spacing w:val="-13"/>
        </w:rPr>
        <w:t> </w:t>
      </w:r>
      <w:r>
        <w:rPr/>
        <w:t>monitor</w:t>
      </w:r>
      <w:r>
        <w:rPr>
          <w:spacing w:val="-13"/>
        </w:rPr>
        <w:t> </w:t>
      </w:r>
      <w:r>
        <w:rPr/>
        <w:t>four</w:t>
      </w:r>
      <w:r>
        <w:rPr>
          <w:spacing w:val="-13"/>
        </w:rPr>
        <w:t> </w:t>
      </w:r>
      <w:r>
        <w:rPr/>
        <w:t>selectable</w:t>
      </w:r>
      <w:r>
        <w:rPr>
          <w:spacing w:val="-11"/>
        </w:rPr>
        <w:t> </w:t>
      </w:r>
      <w:r>
        <w:rPr/>
        <w:t>XRAM </w:t>
      </w:r>
      <w:r>
        <w:rPr>
          <w:spacing w:val="-4"/>
        </w:rPr>
        <w:t>locations </w:t>
      </w:r>
      <w:r>
        <w:rPr/>
        <w:t>at </w:t>
      </w:r>
      <w:r>
        <w:rPr>
          <w:spacing w:val="-3"/>
        </w:rPr>
        <w:t>full </w:t>
      </w:r>
      <w:r>
        <w:rPr>
          <w:spacing w:val="-4"/>
        </w:rPr>
        <w:t>sample rate. </w:t>
      </w:r>
      <w:r>
        <w:rPr>
          <w:spacing w:val="-3"/>
        </w:rPr>
        <w:t>The data </w:t>
      </w:r>
      <w:r>
        <w:rPr>
          <w:spacing w:val="-4"/>
        </w:rPr>
        <w:t>from </w:t>
      </w:r>
      <w:r>
        <w:rPr>
          <w:spacing w:val="-3"/>
        </w:rPr>
        <w:t>the four </w:t>
      </w:r>
      <w:r>
        <w:rPr>
          <w:spacing w:val="-4"/>
        </w:rPr>
        <w:t>monitored locations are serially output </w:t>
      </w:r>
      <w:r>
        <w:rPr/>
        <w:t>to </w:t>
      </w:r>
      <w:r>
        <w:rPr>
          <w:spacing w:val="-3"/>
        </w:rPr>
        <w:t>the </w:t>
      </w:r>
      <w:r>
        <w:rPr>
          <w:spacing w:val="-4"/>
        </w:rPr>
        <w:t>TMUXOUT </w:t>
      </w:r>
      <w:r>
        <w:rPr/>
        <w:t>pin</w:t>
      </w:r>
      <w:r>
        <w:rPr>
          <w:spacing w:val="-12"/>
        </w:rPr>
        <w:t> </w:t>
      </w:r>
      <w:r>
        <w:rPr>
          <w:spacing w:val="-2"/>
        </w:rPr>
        <w:t>via</w:t>
      </w:r>
      <w:r>
        <w:rPr>
          <w:spacing w:val="-11"/>
        </w:rPr>
        <w:t> </w:t>
      </w:r>
      <w:r>
        <w:rPr/>
        <w:t>the</w:t>
      </w:r>
      <w:r>
        <w:rPr>
          <w:spacing w:val="-11"/>
        </w:rPr>
        <w:t> </w:t>
      </w:r>
      <w:r>
        <w:rPr/>
        <w:t>digital</w:t>
      </w:r>
      <w:r>
        <w:rPr>
          <w:spacing w:val="-11"/>
        </w:rPr>
        <w:t> </w:t>
      </w:r>
      <w:r>
        <w:rPr/>
        <w:t>output</w:t>
      </w:r>
      <w:r>
        <w:rPr>
          <w:spacing w:val="-13"/>
        </w:rPr>
        <w:t> </w:t>
      </w:r>
      <w:r>
        <w:rPr/>
        <w:t>multiplexer</w:t>
      </w:r>
      <w:r>
        <w:rPr>
          <w:spacing w:val="-11"/>
        </w:rPr>
        <w:t> </w:t>
      </w:r>
      <w:r>
        <w:rPr/>
        <w:t>at</w:t>
      </w:r>
      <w:r>
        <w:rPr>
          <w:spacing w:val="-10"/>
        </w:rPr>
        <w:t> </w:t>
      </w:r>
      <w:r>
        <w:rPr/>
        <w:t>the</w:t>
      </w:r>
      <w:r>
        <w:rPr>
          <w:spacing w:val="-11"/>
        </w:rPr>
        <w:t> </w:t>
      </w:r>
      <w:r>
        <w:rPr/>
        <w:t>beginning</w:t>
      </w:r>
      <w:r>
        <w:rPr>
          <w:spacing w:val="-12"/>
        </w:rPr>
        <w:t> </w:t>
      </w:r>
      <w:r>
        <w:rPr/>
        <w:t>of</w:t>
      </w:r>
      <w:r>
        <w:rPr>
          <w:spacing w:val="-10"/>
        </w:rPr>
        <w:t> </w:t>
      </w:r>
      <w:r>
        <w:rPr/>
        <w:t>each</w:t>
      </w:r>
      <w:r>
        <w:rPr>
          <w:spacing w:val="-11"/>
        </w:rPr>
        <w:t> </w:t>
      </w:r>
      <w:r>
        <w:rPr/>
        <w:t>CE</w:t>
      </w:r>
      <w:r>
        <w:rPr>
          <w:spacing w:val="-12"/>
        </w:rPr>
        <w:t> </w:t>
      </w:r>
      <w:r>
        <w:rPr/>
        <w:t>code</w:t>
      </w:r>
      <w:r>
        <w:rPr>
          <w:spacing w:val="-11"/>
        </w:rPr>
        <w:t> </w:t>
      </w:r>
      <w:r>
        <w:rPr/>
        <w:t>pass.</w:t>
      </w:r>
      <w:r>
        <w:rPr>
          <w:spacing w:val="-9"/>
        </w:rPr>
        <w:t> </w:t>
      </w:r>
      <w:r>
        <w:rPr/>
        <w:t>The</w:t>
      </w:r>
      <w:r>
        <w:rPr>
          <w:spacing w:val="-13"/>
        </w:rPr>
        <w:t> </w:t>
      </w:r>
      <w:r>
        <w:rPr/>
        <w:t>RTM</w:t>
      </w:r>
      <w:r>
        <w:rPr>
          <w:spacing w:val="-13"/>
        </w:rPr>
        <w:t> </w:t>
      </w:r>
      <w:r>
        <w:rPr/>
        <w:t>can</w:t>
      </w:r>
      <w:r>
        <w:rPr>
          <w:spacing w:val="-11"/>
        </w:rPr>
        <w:t> </w:t>
      </w:r>
      <w:r>
        <w:rPr/>
        <w:t>be</w:t>
      </w:r>
      <w:r>
        <w:rPr>
          <w:spacing w:val="-12"/>
        </w:rPr>
        <w:t> </w:t>
      </w:r>
      <w:r>
        <w:rPr/>
        <w:t>enabled</w:t>
      </w:r>
      <w:r>
        <w:rPr>
          <w:spacing w:val="-11"/>
        </w:rPr>
        <w:t> </w:t>
      </w:r>
      <w:r>
        <w:rPr>
          <w:spacing w:val="-3"/>
        </w:rPr>
        <w:t>and </w:t>
      </w:r>
      <w:r>
        <w:rPr/>
        <w:t>disabled</w:t>
      </w:r>
      <w:r>
        <w:rPr>
          <w:spacing w:val="-10"/>
        </w:rPr>
        <w:t> </w:t>
      </w:r>
      <w:r>
        <w:rPr/>
        <w:t>with</w:t>
      </w:r>
      <w:r>
        <w:rPr>
          <w:spacing w:val="-12"/>
        </w:rPr>
        <w:t> </w:t>
      </w:r>
      <w:r>
        <w:rPr>
          <w:rFonts w:ascii="Times New Roman"/>
          <w:i/>
        </w:rPr>
        <w:t>RTM_E</w:t>
      </w:r>
      <w:r>
        <w:rPr>
          <w:rFonts w:ascii="Times New Roman"/>
          <w:i/>
          <w:spacing w:val="-7"/>
        </w:rPr>
        <w:t> </w:t>
      </w:r>
      <w:r>
        <w:rPr>
          <w:rFonts w:ascii="Times New Roman"/>
          <w:i/>
        </w:rPr>
        <w:t>(I/O</w:t>
      </w:r>
      <w:r>
        <w:rPr>
          <w:rFonts w:ascii="Times New Roman"/>
          <w:i/>
          <w:spacing w:val="-1"/>
        </w:rPr>
        <w:t> </w:t>
      </w:r>
      <w:r>
        <w:rPr>
          <w:rFonts w:ascii="Times New Roman"/>
          <w:i/>
        </w:rPr>
        <w:t>RAM</w:t>
      </w:r>
      <w:r>
        <w:rPr>
          <w:rFonts w:ascii="Times New Roman"/>
          <w:i/>
          <w:spacing w:val="-2"/>
        </w:rPr>
        <w:t> </w:t>
      </w:r>
      <w:r>
        <w:rPr>
          <w:rFonts w:ascii="Times New Roman"/>
          <w:i/>
        </w:rPr>
        <w:t>0x2106[1])</w:t>
      </w:r>
      <w:r>
        <w:rPr/>
        <w:t>.</w:t>
      </w:r>
      <w:r>
        <w:rPr>
          <w:spacing w:val="-13"/>
        </w:rPr>
        <w:t> </w:t>
      </w:r>
      <w:r>
        <w:rPr/>
        <w:t>The</w:t>
      </w:r>
      <w:r>
        <w:rPr>
          <w:spacing w:val="-12"/>
        </w:rPr>
        <w:t> </w:t>
      </w:r>
      <w:r>
        <w:rPr/>
        <w:t>RTM</w:t>
      </w:r>
      <w:r>
        <w:rPr>
          <w:spacing w:val="-9"/>
        </w:rPr>
        <w:t> </w:t>
      </w:r>
      <w:r>
        <w:rPr/>
        <w:t>output</w:t>
      </w:r>
      <w:r>
        <w:rPr>
          <w:spacing w:val="-9"/>
        </w:rPr>
        <w:t> </w:t>
      </w:r>
      <w:r>
        <w:rPr/>
        <w:t>clock</w:t>
      </w:r>
      <w:r>
        <w:rPr>
          <w:spacing w:val="-8"/>
        </w:rPr>
        <w:t> </w:t>
      </w:r>
      <w:r>
        <w:rPr/>
        <w:t>is</w:t>
      </w:r>
      <w:r>
        <w:rPr>
          <w:spacing w:val="-9"/>
        </w:rPr>
        <w:t> </w:t>
      </w:r>
      <w:r>
        <w:rPr>
          <w:spacing w:val="-2"/>
        </w:rPr>
        <w:t>available</w:t>
      </w:r>
      <w:r>
        <w:rPr>
          <w:spacing w:val="-10"/>
        </w:rPr>
        <w:t> </w:t>
      </w:r>
      <w:r>
        <w:rPr/>
        <w:t>on</w:t>
      </w:r>
      <w:r>
        <w:rPr>
          <w:spacing w:val="-10"/>
        </w:rPr>
        <w:t> </w:t>
      </w:r>
      <w:r>
        <w:rPr/>
        <w:t>the</w:t>
      </w:r>
      <w:r>
        <w:rPr>
          <w:spacing w:val="-11"/>
        </w:rPr>
        <w:t> </w:t>
      </w:r>
      <w:r>
        <w:rPr/>
        <w:t>TMUX2OUT</w:t>
      </w:r>
      <w:r>
        <w:rPr>
          <w:spacing w:val="-9"/>
        </w:rPr>
        <w:t> </w:t>
      </w:r>
      <w:r>
        <w:rPr/>
        <w:t>pin.</w:t>
      </w:r>
      <w:r>
        <w:rPr>
          <w:spacing w:val="-9"/>
        </w:rPr>
        <w:t> </w:t>
      </w:r>
      <w:r>
        <w:rPr/>
        <w:t>Each RTM word is clocked out in 35 cycles and contains a leading flag bit. See </w:t>
      </w:r>
      <w:hyperlink w:history="true" w:anchor="_bookmark34">
        <w:r>
          <w:rPr>
            <w:color w:val="0000FF"/>
          </w:rPr>
          <w:t>Figure 8 </w:t>
        </w:r>
      </w:hyperlink>
      <w:r>
        <w:rPr/>
        <w:t>for the RTM output format. RTM is low when not in</w:t>
      </w:r>
      <w:r>
        <w:rPr>
          <w:spacing w:val="-32"/>
        </w:rPr>
        <w:t> </w:t>
      </w:r>
      <w:r>
        <w:rPr>
          <w:spacing w:val="-3"/>
        </w:rPr>
        <w:t>use.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after="0"/>
        <w:sectPr>
          <w:pgSz w:w="12240" w:h="15840"/>
          <w:pgMar w:header="727" w:footer="819" w:top="960" w:bottom="1000" w:left="820" w:right="860"/>
        </w:sectPr>
      </w:pPr>
    </w:p>
    <w:p>
      <w:pPr>
        <w:pStyle w:val="BodyText"/>
        <w:rPr>
          <w:sz w:val="24"/>
        </w:rPr>
      </w:pPr>
    </w:p>
    <w:p>
      <w:pPr>
        <w:pStyle w:val="BodyText"/>
        <w:rPr>
          <w:sz w:val="24"/>
        </w:rPr>
      </w:pPr>
    </w:p>
    <w:p>
      <w:pPr>
        <w:pStyle w:val="ListParagraph"/>
        <w:numPr>
          <w:ilvl w:val="2"/>
          <w:numId w:val="7"/>
        </w:numPr>
        <w:tabs>
          <w:tab w:pos="1339" w:val="left" w:leader="none"/>
          <w:tab w:pos="1340" w:val="left" w:leader="none"/>
        </w:tabs>
        <w:spacing w:line="240" w:lineRule="auto" w:before="158" w:after="0"/>
        <w:ind w:left="1339" w:right="0" w:hanging="720"/>
        <w:jc w:val="left"/>
        <w:rPr>
          <w:b/>
          <w:sz w:val="22"/>
        </w:rPr>
      </w:pPr>
      <w:bookmarkStart w:name="2.3.6 Pulse Generators" w:id="76"/>
      <w:bookmarkEnd w:id="76"/>
      <w:r>
        <w:rPr/>
      </w:r>
      <w:bookmarkStart w:name="_bookmark33" w:id="77"/>
      <w:bookmarkEnd w:id="77"/>
      <w:r>
        <w:rPr/>
      </w:r>
      <w:bookmarkStart w:name="_bookmark34" w:id="78"/>
      <w:bookmarkEnd w:id="78"/>
      <w:r>
        <w:rPr/>
      </w:r>
      <w:bookmarkStart w:name="_bookmark34" w:id="79"/>
      <w:bookmarkEnd w:id="79"/>
      <w:r>
        <w:rPr>
          <w:b/>
          <w:sz w:val="22"/>
        </w:rPr>
        <w:t>Pu</w:t>
      </w:r>
      <w:r>
        <w:rPr>
          <w:b/>
          <w:sz w:val="22"/>
        </w:rPr>
        <w:t>lse</w:t>
      </w:r>
      <w:r>
        <w:rPr>
          <w:b/>
          <w:spacing w:val="-3"/>
          <w:sz w:val="22"/>
        </w:rPr>
        <w:t> </w:t>
      </w:r>
      <w:r>
        <w:rPr>
          <w:b/>
          <w:sz w:val="22"/>
        </w:rPr>
        <w:t>Generators</w:t>
      </w:r>
    </w:p>
    <w:p>
      <w:pPr>
        <w:pStyle w:val="BodyText"/>
        <w:spacing w:before="7"/>
        <w:rPr>
          <w:b/>
          <w:sz w:val="21"/>
        </w:rPr>
      </w:pPr>
      <w:r>
        <w:rPr/>
        <w:br w:type="column"/>
      </w:r>
      <w:r>
        <w:rPr>
          <w:b/>
          <w:sz w:val="21"/>
        </w:rPr>
      </w:r>
    </w:p>
    <w:p>
      <w:pPr>
        <w:spacing w:before="1"/>
        <w:ind w:left="620" w:right="0" w:firstLine="0"/>
        <w:jc w:val="left"/>
        <w:rPr>
          <w:b/>
          <w:sz w:val="20"/>
        </w:rPr>
      </w:pPr>
      <w:r>
        <w:rPr/>
        <w:pict>
          <v:group style="position:absolute;margin-left:73pt;margin-top:-126.201828pt;width:465.25pt;height:118.75pt;mso-position-horizontal-relative:page;mso-position-vertical-relative:paragraph;z-index:15742464" coordorigin="1460,-2524" coordsize="9305,2375">
            <v:line style="position:absolute" from="2880,-1417" to="2844,-1417" stroked="true" strokeweight=".259934pt" strokecolor="#000000">
              <v:stroke dashstyle="solid"/>
            </v:line>
            <v:line style="position:absolute" from="2844,-1417" to="2955,-1417" stroked="true" strokeweight=".259934pt" strokecolor="#000000">
              <v:stroke dashstyle="solid"/>
            </v:line>
            <v:line style="position:absolute" from="2955,-1417" to="2993,-1568" stroked="true" strokeweight=".257504pt" strokecolor="#000000">
              <v:stroke dashstyle="solid"/>
            </v:line>
            <v:line style="position:absolute" from="2993,-1568" to="3104,-1568" stroked="true" strokeweight=".259934pt" strokecolor="#000000">
              <v:stroke dashstyle="solid"/>
            </v:line>
            <v:line style="position:absolute" from="3104,-1568" to="3143,-1417" stroked="true" strokeweight=".257504pt" strokecolor="#000000">
              <v:stroke dashstyle="solid"/>
            </v:line>
            <v:line style="position:absolute" from="3143,-1417" to="3253,-1417" stroked="true" strokeweight=".259934pt" strokecolor="#000000">
              <v:stroke dashstyle="solid"/>
            </v:line>
            <v:line style="position:absolute" from="3253,-1417" to="3292,-1568" stroked="true" strokeweight=".257504pt" strokecolor="#000000">
              <v:stroke dashstyle="solid"/>
            </v:line>
            <v:line style="position:absolute" from="3292,-1568" to="3403,-1568" stroked="true" strokeweight=".259934pt" strokecolor="#000000">
              <v:stroke dashstyle="solid"/>
            </v:line>
            <v:line style="position:absolute" from="3403,-1568" to="3441,-1417" stroked="true" strokeweight=".257504pt" strokecolor="#000000">
              <v:stroke dashstyle="solid"/>
            </v:line>
            <v:line style="position:absolute" from="3441,-1417" to="3552,-1417" stroked="true" strokeweight=".259934pt" strokecolor="#000000">
              <v:stroke dashstyle="solid"/>
            </v:line>
            <v:line style="position:absolute" from="3552,-1417" to="3591,-1568" stroked="true" strokeweight=".257504pt" strokecolor="#000000">
              <v:stroke dashstyle="solid"/>
            </v:line>
            <v:line style="position:absolute" from="3591,-1568" to="3701,-1568" stroked="true" strokeweight=".259934pt" strokecolor="#000000">
              <v:stroke dashstyle="solid"/>
            </v:line>
            <v:line style="position:absolute" from="3701,-1568" to="3740,-1417" stroked="true" strokeweight=".257504pt" strokecolor="#000000">
              <v:stroke dashstyle="solid"/>
            </v:line>
            <v:line style="position:absolute" from="3889,-1417" to="4000,-1417" stroked="true" strokeweight=".259934pt" strokecolor="#000000">
              <v:stroke dashstyle="solid"/>
            </v:line>
            <v:line style="position:absolute" from="4000,-1417" to="4038,-1568" stroked="true" strokeweight=".257504pt" strokecolor="#000000">
              <v:stroke dashstyle="solid"/>
            </v:line>
            <v:line style="position:absolute" from="4038,-1568" to="4149,-1568" stroked="true" strokeweight=".259934pt" strokecolor="#000000">
              <v:stroke dashstyle="solid"/>
            </v:line>
            <v:line style="position:absolute" from="4149,-1568" to="4188,-1417" stroked="true" strokeweight=".257504pt" strokecolor="#000000">
              <v:stroke dashstyle="solid"/>
            </v:line>
            <v:line style="position:absolute" from="4188,-1417" to="4224,-1417" stroked="true" strokeweight=".259934pt" strokecolor="#000000">
              <v:stroke dashstyle="solid"/>
            </v:line>
            <v:line style="position:absolute" from="3740,-1417" to="3850,-1417" stroked="true" strokeweight=".259934pt" strokecolor="#000000">
              <v:stroke dashstyle="solid"/>
            </v:line>
            <v:line style="position:absolute" from="3858,-1453" to="3868,-1448" stroked="true" strokeweight=".259408pt" strokecolor="#000000">
              <v:stroke dashstyle="solid"/>
            </v:line>
            <v:line style="position:absolute" from="3868,-1448" to="3874,-1443" stroked="true" strokeweight=".258626pt" strokecolor="#000000">
              <v:stroke dashstyle="solid"/>
            </v:line>
            <v:line style="position:absolute" from="3874,-1443" to="3879,-1440" stroked="true" strokeweight=".259408pt" strokecolor="#000000">
              <v:stroke dashstyle="solid"/>
            </v:line>
            <v:line style="position:absolute" from="3879,-1440" to="3881,-1435" stroked="true" strokeweight=".257854pt" strokecolor="#000000">
              <v:stroke dashstyle="solid"/>
            </v:line>
            <v:line style="position:absolute" from="3879,-1434" to="3884,-1434" stroked="true" strokeweight=".129967pt" strokecolor="#000000">
              <v:stroke dashstyle="solid"/>
            </v:line>
            <v:line style="position:absolute" from="3881,-1433" to="3879,-1427" stroked="true" strokeweight=".257854pt" strokecolor="#000000">
              <v:stroke dashstyle="solid"/>
            </v:line>
            <v:line style="position:absolute" from="3879,-1427" to="3868,-1420" stroked="true" strokeweight=".25899pt" strokecolor="#000000">
              <v:stroke dashstyle="solid"/>
            </v:line>
            <v:line style="position:absolute" from="3868,-1420" to="3858,-1414" stroked="true" strokeweight=".259408pt" strokecolor="#000000">
              <v:stroke dashstyle="solid"/>
            </v:line>
            <v:line style="position:absolute" from="3858,-1414" to="3845,-1407" stroked="true" strokeweight=".259238pt" strokecolor="#000000">
              <v:stroke dashstyle="solid"/>
            </v:line>
            <v:line style="position:absolute" from="3845,-1407" to="3838,-1401" stroked="true" strokeweight=".259126pt" strokecolor="#000000">
              <v:stroke dashstyle="solid"/>
            </v:line>
            <v:line style="position:absolute" from="3838,-1401" to="3832,-1396" stroked="true" strokeweight=".258626pt" strokecolor="#000000">
              <v:stroke dashstyle="solid"/>
            </v:line>
            <v:line style="position:absolute" from="3830,-1392" to="3835,-1392" stroked="true" strokeweight=".389901pt" strokecolor="#000000">
              <v:stroke dashstyle="solid"/>
            </v:line>
            <v:line style="position:absolute" from="3832,-1388" to="3840,-1383" stroked="true" strokeweight=".259126pt" strokecolor="#000000">
              <v:stroke dashstyle="solid"/>
            </v:line>
            <v:line style="position:absolute" from="3840,-1383" to="3858,-1378" stroked="true" strokeweight=".259735pt" strokecolor="#000000">
              <v:stroke dashstyle="solid"/>
            </v:line>
            <v:line style="position:absolute" from="3876,-1453" to="3886,-1448" stroked="true" strokeweight=".259408pt" strokecolor="#000000">
              <v:stroke dashstyle="solid"/>
            </v:line>
            <v:line style="position:absolute" from="3886,-1448" to="3892,-1443" stroked="true" strokeweight=".258626pt" strokecolor="#000000">
              <v:stroke dashstyle="solid"/>
            </v:line>
            <v:line style="position:absolute" from="3892,-1443" to="3897,-1440" stroked="true" strokeweight=".259408pt" strokecolor="#000000">
              <v:stroke dashstyle="solid"/>
            </v:line>
            <v:line style="position:absolute" from="3897,-1440" to="3899,-1435" stroked="true" strokeweight=".257854pt" strokecolor="#000000">
              <v:stroke dashstyle="solid"/>
            </v:line>
            <v:line style="position:absolute" from="3897,-1434" to="3902,-1434" stroked="true" strokeweight=".129967pt" strokecolor="#000000">
              <v:stroke dashstyle="solid"/>
            </v:line>
            <v:line style="position:absolute" from="3897,-1430" to="3902,-1430" stroked="true" strokeweight=".259934pt" strokecolor="#000000">
              <v:stroke dashstyle="solid"/>
            </v:line>
            <v:line style="position:absolute" from="3899,-1427" to="3886,-1420" stroked="true" strokeweight=".259238pt" strokecolor="#000000">
              <v:stroke dashstyle="solid"/>
            </v:line>
            <v:line style="position:absolute" from="3886,-1420" to="3876,-1414" stroked="true" strokeweight=".259408pt" strokecolor="#000000">
              <v:stroke dashstyle="solid"/>
            </v:line>
            <v:line style="position:absolute" from="3876,-1414" to="3866,-1407" stroked="true" strokeweight=".25899pt" strokecolor="#000000">
              <v:stroke dashstyle="solid"/>
            </v:line>
            <v:line style="position:absolute" from="3866,-1407" to="3856,-1401" stroked="true" strokeweight=".259408pt" strokecolor="#000000">
              <v:stroke dashstyle="solid"/>
            </v:line>
            <v:line style="position:absolute" from="3856,-1401" to="3850,-1396" stroked="true" strokeweight=".258626pt" strokecolor="#000000">
              <v:stroke dashstyle="solid"/>
            </v:line>
            <v:line style="position:absolute" from="3848,-1392" to="3853,-1392" stroked="true" strokeweight=".389901pt" strokecolor="#000000">
              <v:stroke dashstyle="solid"/>
            </v:line>
            <v:line style="position:absolute" from="3850,-1388" to="3858,-1383" stroked="true" strokeweight=".259126pt" strokecolor="#000000">
              <v:stroke dashstyle="solid"/>
            </v:line>
            <v:line style="position:absolute" from="3858,-1383" to="3876,-1378" stroked="true" strokeweight=".259735pt" strokecolor="#000000">
              <v:stroke dashstyle="solid"/>
            </v:line>
            <v:shape style="position:absolute;left:4187;top:-1571;width:600;height:156" type="#_x0000_t75" stroked="false">
              <v:imagedata r:id="rId84" o:title=""/>
            </v:shape>
            <v:line style="position:absolute" from="4820,-1417" to="4784,-1417" stroked="true" strokeweight=".259934pt" strokecolor="#000000">
              <v:stroke dashstyle="solid"/>
            </v:line>
            <v:line style="position:absolute" from="4784,-1417" to="4895,-1417" stroked="true" strokeweight=".259934pt" strokecolor="#000000">
              <v:stroke dashstyle="solid"/>
            </v:line>
            <v:line style="position:absolute" from="4895,-1417" to="4934,-1568" stroked="true" strokeweight=".257504pt" strokecolor="#000000">
              <v:stroke dashstyle="solid"/>
            </v:line>
            <v:line style="position:absolute" from="4934,-1568" to="5044,-1568" stroked="true" strokeweight=".259934pt" strokecolor="#000000">
              <v:stroke dashstyle="solid"/>
            </v:line>
            <v:line style="position:absolute" from="5044,-1568" to="5083,-1417" stroked="true" strokeweight=".257504pt" strokecolor="#000000">
              <v:stroke dashstyle="solid"/>
            </v:line>
            <v:line style="position:absolute" from="5083,-1417" to="5194,-1417" stroked="true" strokeweight=".259934pt" strokecolor="#000000">
              <v:stroke dashstyle="solid"/>
            </v:line>
            <v:line style="position:absolute" from="5194,-1417" to="5232,-1568" stroked="true" strokeweight=".257504pt" strokecolor="#000000">
              <v:stroke dashstyle="solid"/>
            </v:line>
            <v:line style="position:absolute" from="5232,-1568" to="5343,-1568" stroked="true" strokeweight=".259934pt" strokecolor="#000000">
              <v:stroke dashstyle="solid"/>
            </v:line>
            <v:line style="position:absolute" from="5343,-1568" to="5381,-1417" stroked="true" strokeweight=".257504pt" strokecolor="#000000">
              <v:stroke dashstyle="solid"/>
            </v:line>
            <v:line style="position:absolute" from="5381,-1417" to="5492,-1417" stroked="true" strokeweight=".259934pt" strokecolor="#000000">
              <v:stroke dashstyle="solid"/>
            </v:line>
            <v:line style="position:absolute" from="5492,-1417" to="5531,-1568" stroked="true" strokeweight=".257504pt" strokecolor="#000000">
              <v:stroke dashstyle="solid"/>
            </v:line>
            <v:line style="position:absolute" from="5531,-1568" to="5641,-1568" stroked="true" strokeweight=".259934pt" strokecolor="#000000">
              <v:stroke dashstyle="solid"/>
            </v:line>
            <v:line style="position:absolute" from="5641,-1568" to="5680,-1417" stroked="true" strokeweight=".257504pt" strokecolor="#000000">
              <v:stroke dashstyle="solid"/>
            </v:line>
            <v:line style="position:absolute" from="5829,-1417" to="5940,-1417" stroked="true" strokeweight=".259934pt" strokecolor="#000000">
              <v:stroke dashstyle="solid"/>
            </v:line>
            <v:line style="position:absolute" from="5940,-1417" to="5979,-1568" stroked="true" strokeweight=".257504pt" strokecolor="#000000">
              <v:stroke dashstyle="solid"/>
            </v:line>
            <v:line style="position:absolute" from="5979,-1568" to="6089,-1568" stroked="true" strokeweight=".259934pt" strokecolor="#000000">
              <v:stroke dashstyle="solid"/>
            </v:line>
            <v:line style="position:absolute" from="6089,-1568" to="6128,-1417" stroked="true" strokeweight=".257504pt" strokecolor="#000000">
              <v:stroke dashstyle="solid"/>
            </v:line>
            <v:line style="position:absolute" from="6128,-1417" to="6164,-1417" stroked="true" strokeweight=".259934pt" strokecolor="#000000">
              <v:stroke dashstyle="solid"/>
            </v:line>
            <v:line style="position:absolute" from="5680,-1417" to="5791,-1417" stroked="true" strokeweight=".259934pt" strokecolor="#000000">
              <v:stroke dashstyle="solid"/>
            </v:line>
            <v:line style="position:absolute" from="5798,-1453" to="5809,-1448" stroked="true" strokeweight=".259408pt" strokecolor="#000000">
              <v:stroke dashstyle="solid"/>
            </v:line>
            <v:line style="position:absolute" from="5809,-1448" to="5814,-1443" stroked="true" strokeweight=".258626pt" strokecolor="#000000">
              <v:stroke dashstyle="solid"/>
            </v:line>
            <v:line style="position:absolute" from="5814,-1443" to="5819,-1440" stroked="true" strokeweight=".259408pt" strokecolor="#000000">
              <v:stroke dashstyle="solid"/>
            </v:line>
            <v:line style="position:absolute" from="5819,-1440" to="5822,-1435" stroked="true" strokeweight=".257854pt" strokecolor="#000000">
              <v:stroke dashstyle="solid"/>
            </v:line>
            <v:line style="position:absolute" from="5819,-1434" to="5824,-1434" stroked="true" strokeweight=".129967pt" strokecolor="#000000">
              <v:stroke dashstyle="solid"/>
            </v:line>
            <v:line style="position:absolute" from="5822,-1432" to="5819,-1427" stroked="true" strokeweight=".257854pt" strokecolor="#000000">
              <v:stroke dashstyle="solid"/>
            </v:line>
            <v:line style="position:absolute" from="5819,-1427" to="5809,-1419" stroked="true" strokeweight=".25899pt" strokecolor="#000000">
              <v:stroke dashstyle="solid"/>
            </v:line>
            <v:line style="position:absolute" from="5809,-1419" to="5798,-1414" stroked="true" strokeweight=".259408pt" strokecolor="#000000">
              <v:stroke dashstyle="solid"/>
            </v:line>
            <v:line style="position:absolute" from="5798,-1414" to="5788,-1406" stroked="true" strokeweight=".25899pt" strokecolor="#000000">
              <v:stroke dashstyle="solid"/>
            </v:line>
            <v:line style="position:absolute" from="5788,-1406" to="5778,-1401" stroked="true" strokeweight=".259408pt" strokecolor="#000000">
              <v:stroke dashstyle="solid"/>
            </v:line>
            <v:line style="position:absolute" from="5778,-1401" to="5773,-1396" stroked="true" strokeweight=".258626pt" strokecolor="#000000">
              <v:stroke dashstyle="solid"/>
            </v:line>
            <v:line style="position:absolute" from="5770,-1392" to="5775,-1392" stroked="true" strokeweight=".389901pt" strokecolor="#000000">
              <v:stroke dashstyle="solid"/>
            </v:line>
            <v:line style="position:absolute" from="5773,-1388" to="5780,-1383" stroked="true" strokeweight=".259126pt" strokecolor="#000000">
              <v:stroke dashstyle="solid"/>
            </v:line>
            <v:shape style="position:absolute;left:2954;top:-1116;width:188;height:154" type="#_x0000_t75" stroked="false">
              <v:imagedata r:id="rId85" o:title=""/>
            </v:shape>
            <v:shape style="position:absolute;left:2952;top:-1269;width:788;height:156" type="#_x0000_t75" stroked="false">
              <v:imagedata r:id="rId86" o:title=""/>
            </v:shape>
            <v:line style="position:absolute" from="3850,-1266" to="4000,-1266" stroked="true" strokeweight=".259934pt" strokecolor="#000000">
              <v:stroke dashstyle="solid"/>
            </v:line>
            <v:line style="position:absolute" from="4000,-1266" to="4038,-1115" stroked="true" strokeweight=".257504pt" strokecolor="#000000">
              <v:stroke dashstyle="solid"/>
            </v:line>
            <v:line style="position:absolute" from="4038,-1115" to="4895,-1115" stroked="true" strokeweight=".259934pt" strokecolor="#000000">
              <v:stroke dashstyle="solid"/>
            </v:line>
            <v:line style="position:absolute" from="3850,-1115" to="4000,-1115" stroked="true" strokeweight=".259934pt" strokecolor="#000000">
              <v:stroke dashstyle="solid"/>
            </v:line>
            <v:line style="position:absolute" from="4000,-1115" to="4038,-1266" stroked="true" strokeweight=".257504pt" strokecolor="#000000">
              <v:stroke dashstyle="solid"/>
            </v:line>
            <v:line style="position:absolute" from="4038,-1266" to="4298,-1266" stroked="true" strokeweight=".259934pt" strokecolor="#000000">
              <v:stroke dashstyle="solid"/>
            </v:line>
            <v:line style="position:absolute" from="4298,-1266" to="4337,-1115" stroked="true" strokeweight=".257504pt" strokecolor="#000000">
              <v:stroke dashstyle="solid"/>
            </v:line>
            <v:line style="position:absolute" from="3827,-1303" to="3835,-1297" stroked="true" strokeweight=".259126pt" strokecolor="#000000">
              <v:stroke dashstyle="solid"/>
            </v:line>
            <v:line style="position:absolute" from="3835,-1297" to="3843,-1292" stroked="true" strokeweight=".259126pt" strokecolor="#000000">
              <v:stroke dashstyle="solid"/>
            </v:line>
            <v:line style="position:absolute" from="3843,-1292" to="3848,-1290" stroked="true" strokeweight=".259408pt" strokecolor="#000000">
              <v:stroke dashstyle="solid"/>
            </v:line>
            <v:line style="position:absolute" from="3848,-1290" to="3850,-1284" stroked="true" strokeweight=".257854pt" strokecolor="#000000">
              <v:stroke dashstyle="solid"/>
            </v:line>
            <v:line style="position:absolute" from="3848,-1283" to="3853,-1283" stroked="true" strokeweight=".129967pt" strokecolor="#000000">
              <v:stroke dashstyle="solid"/>
            </v:line>
            <v:line style="position:absolute" from="3850,-1282" to="3848,-1277" stroked="true" strokeweight=".257854pt" strokecolor="#000000">
              <v:stroke dashstyle="solid"/>
            </v:line>
            <v:line style="position:absolute" from="3848,-1277" to="3837,-1269" stroked="true" strokeweight=".25899pt" strokecolor="#000000">
              <v:stroke dashstyle="solid"/>
            </v:line>
            <v:line style="position:absolute" from="3837,-1269" to="3827,-1264" stroked="true" strokeweight=".259408pt" strokecolor="#000000">
              <v:stroke dashstyle="solid"/>
            </v:line>
            <v:line style="position:absolute" from="3827,-1264" to="3814,-1256" stroked="true" strokeweight=".259238pt" strokecolor="#000000">
              <v:stroke dashstyle="solid"/>
            </v:line>
            <v:line style="position:absolute" from="3814,-1256" to="3807,-1251" stroked="true" strokeweight=".259126pt" strokecolor="#000000">
              <v:stroke dashstyle="solid"/>
            </v:line>
            <v:line style="position:absolute" from="3807,-1251" to="3801,-1245" stroked="true" strokeweight=".258626pt" strokecolor="#000000">
              <v:stroke dashstyle="solid"/>
            </v:line>
            <v:line style="position:absolute" from="3799,-1241" to="3804,-1241" stroked="true" strokeweight=".389901pt" strokecolor="#000000">
              <v:stroke dashstyle="solid"/>
            </v:line>
            <v:line style="position:absolute" from="3801,-1238" to="3809,-1232" stroked="true" strokeweight=".259126pt" strokecolor="#000000">
              <v:stroke dashstyle="solid"/>
            </v:line>
            <v:line style="position:absolute" from="3809,-1232" to="3827,-1227" stroked="true" strokeweight=".259735pt" strokecolor="#000000">
              <v:stroke dashstyle="solid"/>
            </v:line>
            <v:line style="position:absolute" from="3845,-1303" to="3856,-1297" stroked="true" strokeweight=".259408pt" strokecolor="#000000">
              <v:stroke dashstyle="solid"/>
            </v:line>
            <v:line style="position:absolute" from="3856,-1297" to="3861,-1292" stroked="true" strokeweight=".258626pt" strokecolor="#000000">
              <v:stroke dashstyle="solid"/>
            </v:line>
            <v:line style="position:absolute" from="3861,-1292" to="3866,-1290" stroked="true" strokeweight=".259408pt" strokecolor="#000000">
              <v:stroke dashstyle="solid"/>
            </v:line>
            <v:line style="position:absolute" from="3866,-1290" to="3868,-1284" stroked="true" strokeweight=".257854pt" strokecolor="#000000">
              <v:stroke dashstyle="solid"/>
            </v:line>
            <v:line style="position:absolute" from="3866,-1283" to="3871,-1283" stroked="true" strokeweight=".129967pt" strokecolor="#000000">
              <v:stroke dashstyle="solid"/>
            </v:line>
            <v:line style="position:absolute" from="3868,-1282" to="3866,-1277" stroked="true" strokeweight=".257854pt" strokecolor="#000000">
              <v:stroke dashstyle="solid"/>
            </v:line>
            <v:line style="position:absolute" from="3866,-1277" to="3856,-1269" stroked="true" strokeweight=".25899pt" strokecolor="#000000">
              <v:stroke dashstyle="solid"/>
            </v:line>
            <v:line style="position:absolute" from="3856,-1269" to="3845,-1264" stroked="true" strokeweight=".259408pt" strokecolor="#000000">
              <v:stroke dashstyle="solid"/>
            </v:line>
            <v:line style="position:absolute" from="3845,-1264" to="3835,-1256" stroked="true" strokeweight=".25899pt" strokecolor="#000000">
              <v:stroke dashstyle="solid"/>
            </v:line>
            <v:line style="position:absolute" from="3835,-1256" to="3825,-1251" stroked="true" strokeweight=".259408pt" strokecolor="#000000">
              <v:stroke dashstyle="solid"/>
            </v:line>
            <v:line style="position:absolute" from="3825,-1251" to="3819,-1245" stroked="true" strokeweight=".258626pt" strokecolor="#000000">
              <v:stroke dashstyle="solid"/>
            </v:line>
            <v:line style="position:absolute" from="3817,-1241" to="3822,-1241" stroked="true" strokeweight=".389901pt" strokecolor="#000000">
              <v:stroke dashstyle="solid"/>
            </v:line>
            <v:line style="position:absolute" from="3819,-1238" to="3827,-1232" stroked="true" strokeweight=".259126pt" strokecolor="#000000">
              <v:stroke dashstyle="solid"/>
            </v:line>
            <v:line style="position:absolute" from="3827,-1232" to="3845,-1227" stroked="true" strokeweight=".259735pt" strokecolor="#000000">
              <v:stroke dashstyle="solid"/>
            </v:line>
            <v:line style="position:absolute" from="3819,-1152" to="3830,-1147" stroked="true" strokeweight=".259408pt" strokecolor="#000000">
              <v:stroke dashstyle="solid"/>
            </v:line>
            <v:line style="position:absolute" from="3830,-1147" to="3837,-1141" stroked="true" strokeweight=".259126pt" strokecolor="#000000">
              <v:stroke dashstyle="solid"/>
            </v:line>
            <v:line style="position:absolute" from="3837,-1141" to="3840,-1139" stroked="true" strokeweight=".258626pt" strokecolor="#000000">
              <v:stroke dashstyle="solid"/>
            </v:line>
            <v:line style="position:absolute" from="3840,-1139" to="3843,-1134" stroked="true" strokeweight=".257854pt" strokecolor="#000000">
              <v:stroke dashstyle="solid"/>
            </v:line>
            <v:line style="position:absolute" from="3840,-1132" to="3845,-1132" stroked="true" strokeweight=".129967pt" strokecolor="#000000">
              <v:stroke dashstyle="solid"/>
            </v:line>
            <v:line style="position:absolute" from="3840,-1128" to="3845,-1128" stroked="true" strokeweight=".259934pt" strokecolor="#000000">
              <v:stroke dashstyle="solid"/>
            </v:line>
            <v:line style="position:absolute" from="3843,-1126" to="3830,-1118" stroked="true" strokeweight=".259238pt" strokecolor="#000000">
              <v:stroke dashstyle="solid"/>
            </v:line>
            <v:line style="position:absolute" from="3830,-1118" to="3819,-1110" stroked="true" strokeweight=".25899pt" strokecolor="#000000">
              <v:stroke dashstyle="solid"/>
            </v:line>
            <v:line style="position:absolute" from="3819,-1110" to="3809,-1105" stroked="true" strokeweight=".259408pt" strokecolor="#000000">
              <v:stroke dashstyle="solid"/>
            </v:line>
            <v:line style="position:absolute" from="3809,-1105" to="3799,-1100" stroked="true" strokeweight=".259408pt" strokecolor="#000000">
              <v:stroke dashstyle="solid"/>
            </v:line>
            <v:line style="position:absolute" from="3799,-1100" to="3794,-1095" stroked="true" strokeweight=".258626pt" strokecolor="#000000">
              <v:stroke dashstyle="solid"/>
            </v:line>
            <v:line style="position:absolute" from="3791,-1091" to="3796,-1091" stroked="true" strokeweight=".389901pt" strokecolor="#000000">
              <v:stroke dashstyle="solid"/>
            </v:line>
            <v:line style="position:absolute" from="3794,-1087" to="3804,-1082" stroked="true" strokeweight=".259408pt" strokecolor="#000000">
              <v:stroke dashstyle="solid"/>
            </v:line>
            <v:line style="position:absolute" from="3804,-1082" to="3819,-1076" stroked="true" strokeweight=".25967pt" strokecolor="#000000">
              <v:stroke dashstyle="solid"/>
            </v:line>
            <v:line style="position:absolute" from="3840,-1152" to="3848,-1147" stroked="true" strokeweight=".259126pt" strokecolor="#000000">
              <v:stroke dashstyle="solid"/>
            </v:line>
            <v:line style="position:absolute" from="3848,-1147" to="3855,-1141" stroked="true" strokeweight=".259126pt" strokecolor="#000000">
              <v:stroke dashstyle="solid"/>
            </v:line>
            <v:line style="position:absolute" from="3855,-1141" to="3861,-1139" stroked="true" strokeweight=".259408pt" strokecolor="#000000">
              <v:stroke dashstyle="solid"/>
            </v:line>
            <v:line style="position:absolute" from="3861,-1139" to="3863,-1134" stroked="true" strokeweight=".257854pt" strokecolor="#000000">
              <v:stroke dashstyle="solid"/>
            </v:line>
            <v:line style="position:absolute" from="3861,-1132" to="3866,-1132" stroked="true" strokeweight=".129967pt" strokecolor="#000000">
              <v:stroke dashstyle="solid"/>
            </v:line>
            <v:line style="position:absolute" from="3863,-1131" to="3861,-1126" stroked="true" strokeweight=".257854pt" strokecolor="#000000">
              <v:stroke dashstyle="solid"/>
            </v:line>
            <v:line style="position:absolute" from="3861,-1126" to="3850,-1118" stroked="true" strokeweight=".25899pt" strokecolor="#000000">
              <v:stroke dashstyle="solid"/>
            </v:line>
            <v:line style="position:absolute" from="3850,-1118" to="3837,-1110" stroked="true" strokeweight=".259238pt" strokecolor="#000000">
              <v:stroke dashstyle="solid"/>
            </v:line>
            <v:line style="position:absolute" from="3837,-1110" to="3827,-1105" stroked="true" strokeweight=".259408pt" strokecolor="#000000">
              <v:stroke dashstyle="solid"/>
            </v:line>
            <v:line style="position:absolute" from="3827,-1105" to="3819,-1100" stroked="true" strokeweight=".259126pt" strokecolor="#000000">
              <v:stroke dashstyle="solid"/>
            </v:line>
            <v:line style="position:absolute" from="3819,-1100" to="3814,-1095" stroked="true" strokeweight=".258626pt" strokecolor="#000000">
              <v:stroke dashstyle="solid"/>
            </v:line>
            <v:line style="position:absolute" from="3812,-1091" to="3817,-1091" stroked="true" strokeweight=".389901pt" strokecolor="#000000">
              <v:stroke dashstyle="solid"/>
            </v:line>
            <v:line style="position:absolute" from="3814,-1087" to="3822,-1082" stroked="true" strokeweight=".259126pt" strokecolor="#000000">
              <v:stroke dashstyle="solid"/>
            </v:line>
            <v:line style="position:absolute" from="3822,-1082" to="3840,-1076" stroked="true" strokeweight=".259735pt" strokecolor="#000000">
              <v:stroke dashstyle="solid"/>
            </v:line>
            <v:shape style="position:absolute;left:4892;top:-1269;width:788;height:156" type="#_x0000_t75" stroked="false">
              <v:imagedata r:id="rId86" o:title=""/>
            </v:shape>
            <v:line style="position:absolute" from="5917,-1152" to="5927,-1147" stroked="true" strokeweight=".259408pt" strokecolor="#000000">
              <v:stroke dashstyle="solid"/>
            </v:line>
            <v:line style="position:absolute" from="5927,-1147" to="5932,-1142" stroked="true" strokeweight=".258626pt" strokecolor="#000000">
              <v:stroke dashstyle="solid"/>
            </v:line>
            <v:line style="position:absolute" from="5932,-1142" to="5937,-1139" stroked="true" strokeweight=".259408pt" strokecolor="#000000">
              <v:stroke dashstyle="solid"/>
            </v:line>
            <v:line style="position:absolute" from="5937,-1139" to="5940,-1134" stroked="true" strokeweight=".257854pt" strokecolor="#000000">
              <v:stroke dashstyle="solid"/>
            </v:line>
            <v:line style="position:absolute" from="5937,-1132" to="5943,-1132" stroked="true" strokeweight=".129967pt" strokecolor="#000000">
              <v:stroke dashstyle="solid"/>
            </v:line>
            <v:line style="position:absolute" from="5940,-1131" to="5937,-1126" stroked="true" strokeweight=".257854pt" strokecolor="#000000">
              <v:stroke dashstyle="solid"/>
            </v:line>
            <v:line style="position:absolute" from="5937,-1126" to="5927,-1118" stroked="true" strokeweight=".25899pt" strokecolor="#000000">
              <v:stroke dashstyle="solid"/>
            </v:line>
            <v:line style="position:absolute" from="5927,-1118" to="5917,-1110" stroked="true" strokeweight=".25899pt" strokecolor="#000000">
              <v:stroke dashstyle="solid"/>
            </v:line>
            <v:line style="position:absolute" from="5917,-1110" to="5907,-1105" stroked="true" strokeweight=".259408pt" strokecolor="#000000">
              <v:stroke dashstyle="solid"/>
            </v:line>
            <v:line style="position:absolute" from="5907,-1105" to="5896,-1100" stroked="true" strokeweight=".259408pt" strokecolor="#000000">
              <v:stroke dashstyle="solid"/>
            </v:line>
            <v:line style="position:absolute" from="5896,-1100" to="5891,-1095" stroked="true" strokeweight=".258626pt" strokecolor="#000000">
              <v:stroke dashstyle="solid"/>
            </v:line>
            <v:line style="position:absolute" from="5889,-1091" to="5894,-1091" stroked="true" strokeweight=".389901pt" strokecolor="#000000">
              <v:stroke dashstyle="solid"/>
            </v:line>
            <v:line style="position:absolute" from="5891,-1087" to="5899,-1082" stroked="true" strokeweight=".259126pt" strokecolor="#000000">
              <v:stroke dashstyle="solid"/>
            </v:line>
            <v:line style="position:absolute" from="5899,-1082" to="5917,-1077" stroked="true" strokeweight=".259735pt" strokecolor="#000000">
              <v:stroke dashstyle="solid"/>
            </v:line>
            <v:line style="position:absolute" from="5935,-1152" to="5945,-1147" stroked="true" strokeweight=".259408pt" strokecolor="#000000">
              <v:stroke dashstyle="solid"/>
            </v:line>
            <v:line style="position:absolute" from="5945,-1147" to="5953,-1141" stroked="true" strokeweight=".259126pt" strokecolor="#000000">
              <v:stroke dashstyle="solid"/>
            </v:line>
            <v:line style="position:absolute" from="5953,-1141" to="5955,-1139" stroked="true" strokeweight=".258626pt" strokecolor="#000000">
              <v:stroke dashstyle="solid"/>
            </v:line>
            <v:line style="position:absolute" from="5955,-1139" to="5958,-1134" stroked="true" strokeweight=".257854pt" strokecolor="#000000">
              <v:stroke dashstyle="solid"/>
            </v:line>
            <v:line style="position:absolute" from="5955,-1132" to="5961,-1132" stroked="true" strokeweight=".129967pt" strokecolor="#000000">
              <v:stroke dashstyle="solid"/>
            </v:line>
            <v:line style="position:absolute" from="5955,-1128" to="5961,-1128" stroked="true" strokeweight=".259934pt" strokecolor="#000000">
              <v:stroke dashstyle="solid"/>
            </v:line>
            <v:line style="position:absolute" from="5958,-1126" to="5945,-1118" stroked="true" strokeweight=".259238pt" strokecolor="#000000">
              <v:stroke dashstyle="solid"/>
            </v:line>
            <v:line style="position:absolute" from="5945,-1118" to="5935,-1110" stroked="true" strokeweight=".25899pt" strokecolor="#000000">
              <v:stroke dashstyle="solid"/>
            </v:line>
            <v:line style="position:absolute" from="5935,-1110" to="5925,-1105" stroked="true" strokeweight=".259408pt" strokecolor="#000000">
              <v:stroke dashstyle="solid"/>
            </v:line>
            <v:line style="position:absolute" from="5925,-1105" to="5914,-1100" stroked="true" strokeweight=".259408pt" strokecolor="#000000">
              <v:stroke dashstyle="solid"/>
            </v:line>
            <v:line style="position:absolute" from="5914,-1100" to="5909,-1095" stroked="true" strokeweight=".258626pt" strokecolor="#000000">
              <v:stroke dashstyle="solid"/>
            </v:line>
            <v:line style="position:absolute" from="5907,-1091" to="5912,-1091" stroked="true" strokeweight=".389901pt" strokecolor="#000000">
              <v:stroke dashstyle="solid"/>
            </v:line>
            <v:line style="position:absolute" from="5909,-1087" to="5917,-1082" stroked="true" strokeweight=".259126pt" strokecolor="#000000">
              <v:stroke dashstyle="solid"/>
            </v:line>
            <v:line style="position:absolute" from="5917,-1082" to="5935,-1077" stroked="true" strokeweight=".259735pt" strokecolor="#000000">
              <v:stroke dashstyle="solid"/>
            </v:line>
            <v:line style="position:absolute" from="5791,-1266" to="5940,-1266" stroked="true" strokeweight=".259934pt" strokecolor="#000000">
              <v:stroke dashstyle="solid"/>
            </v:line>
            <v:line style="position:absolute" from="5940,-1266" to="5979,-1115" stroked="true" strokeweight=".257504pt" strokecolor="#000000">
              <v:stroke dashstyle="solid"/>
            </v:line>
            <v:line style="position:absolute" from="5979,-1115" to="6836,-1115" stroked="true" strokeweight=".259934pt" strokecolor="#000000">
              <v:stroke dashstyle="solid"/>
            </v:line>
            <v:line style="position:absolute" from="5791,-1115" to="5940,-1115" stroked="true" strokeweight=".259934pt" strokecolor="#000000">
              <v:stroke dashstyle="solid"/>
            </v:line>
            <v:line style="position:absolute" from="5940,-1115" to="5979,-1266" stroked="true" strokeweight=".257504pt" strokecolor="#000000">
              <v:stroke dashstyle="solid"/>
            </v:line>
            <v:line style="position:absolute" from="5979,-1266" to="6239,-1266" stroked="true" strokeweight=".259934pt" strokecolor="#000000">
              <v:stroke dashstyle="solid"/>
            </v:line>
            <v:line style="position:absolute" from="6239,-1266" to="6277,-1115" stroked="true" strokeweight=".257504pt" strokecolor="#000000">
              <v:stroke dashstyle="solid"/>
            </v:line>
            <v:line style="position:absolute" from="5768,-1303" to="5778,-1297" stroked="true" strokeweight=".259408pt" strokecolor="#000000">
              <v:stroke dashstyle="solid"/>
            </v:line>
            <v:line style="position:absolute" from="5778,-1297" to="5783,-1292" stroked="true" strokeweight=".258626pt" strokecolor="#000000">
              <v:stroke dashstyle="solid"/>
            </v:line>
            <v:line style="position:absolute" from="5783,-1292" to="5788,-1290" stroked="true" strokeweight=".259408pt" strokecolor="#000000">
              <v:stroke dashstyle="solid"/>
            </v:line>
            <v:line style="position:absolute" from="5788,-1290" to="5791,-1284" stroked="true" strokeweight=".257854pt" strokecolor="#000000">
              <v:stroke dashstyle="solid"/>
            </v:line>
            <v:line style="position:absolute" from="5788,-1283" to="5793,-1283" stroked="true" strokeweight=".129967pt" strokecolor="#000000">
              <v:stroke dashstyle="solid"/>
            </v:line>
            <v:line style="position:absolute" from="5791,-1282" to="5788,-1277" stroked="true" strokeweight=".257854pt" strokecolor="#000000">
              <v:stroke dashstyle="solid"/>
            </v:line>
            <v:line style="position:absolute" from="5788,-1277" to="5778,-1269" stroked="true" strokeweight=".25899pt" strokecolor="#000000">
              <v:stroke dashstyle="solid"/>
            </v:line>
            <v:line style="position:absolute" from="5778,-1269" to="5768,-1264" stroked="true" strokeweight=".259408pt" strokecolor="#000000">
              <v:stroke dashstyle="solid"/>
            </v:line>
            <v:line style="position:absolute" from="5768,-1264" to="5757,-1256" stroked="true" strokeweight=".25899pt" strokecolor="#000000">
              <v:stroke dashstyle="solid"/>
            </v:line>
            <v:line style="position:absolute" from="5757,-1256" to="5747,-1251" stroked="true" strokeweight=".259408pt" strokecolor="#000000">
              <v:stroke dashstyle="solid"/>
            </v:line>
            <v:line style="position:absolute" from="5747,-1251" to="5742,-1245" stroked="true" strokeweight=".258626pt" strokecolor="#000000">
              <v:stroke dashstyle="solid"/>
            </v:line>
            <v:line style="position:absolute" from="5739,-1241" to="5744,-1241" stroked="true" strokeweight=".389901pt" strokecolor="#000000">
              <v:stroke dashstyle="solid"/>
            </v:line>
            <v:line style="position:absolute" from="5742,-1238" to="5750,-1232" stroked="true" strokeweight=".259126pt" strokecolor="#000000">
              <v:stroke dashstyle="solid"/>
            </v:line>
            <v:line style="position:absolute" from="5750,-1232" to="5768,-1227" stroked="true" strokeweight=".259735pt" strokecolor="#000000">
              <v:stroke dashstyle="solid"/>
            </v:line>
            <v:line style="position:absolute" from="5786,-1303" to="5796,-1297" stroked="true" strokeweight=".259408pt" strokecolor="#000000">
              <v:stroke dashstyle="solid"/>
            </v:line>
            <v:line style="position:absolute" from="5796,-1297" to="5804,-1292" stroked="true" strokeweight=".259126pt" strokecolor="#000000">
              <v:stroke dashstyle="solid"/>
            </v:line>
            <v:line style="position:absolute" from="5804,-1292" to="5806,-1290" stroked="true" strokeweight=".258626pt" strokecolor="#000000">
              <v:stroke dashstyle="solid"/>
            </v:line>
            <v:line style="position:absolute" from="5806,-1290" to="5809,-1284" stroked="true" strokeweight=".257854pt" strokecolor="#000000">
              <v:stroke dashstyle="solid"/>
            </v:line>
            <v:line style="position:absolute" from="5806,-1283" to="5811,-1283" stroked="true" strokeweight=".129967pt" strokecolor="#000000">
              <v:stroke dashstyle="solid"/>
            </v:line>
            <v:line style="position:absolute" from="5806,-1279" to="5811,-1279" stroked="true" strokeweight=".259934pt" strokecolor="#000000">
              <v:stroke dashstyle="solid"/>
            </v:line>
            <v:line style="position:absolute" from="5809,-1277" to="5796,-1269" stroked="true" strokeweight=".259238pt" strokecolor="#000000">
              <v:stroke dashstyle="solid"/>
            </v:line>
            <v:line style="position:absolute" from="5796,-1269" to="5786,-1264" stroked="true" strokeweight=".259408pt" strokecolor="#000000">
              <v:stroke dashstyle="solid"/>
            </v:line>
            <v:line style="position:absolute" from="5786,-1264" to="5775,-1256" stroked="true" strokeweight=".25899pt" strokecolor="#000000">
              <v:stroke dashstyle="solid"/>
            </v:line>
            <v:line style="position:absolute" from="5775,-1256" to="5765,-1251" stroked="true" strokeweight=".259408pt" strokecolor="#000000">
              <v:stroke dashstyle="solid"/>
            </v:line>
            <v:line style="position:absolute" from="5765,-1251" to="5760,-1245" stroked="true" strokeweight=".258626pt" strokecolor="#000000">
              <v:stroke dashstyle="solid"/>
            </v:line>
            <v:line style="position:absolute" from="5757,-1241" to="5762,-1241" stroked="true" strokeweight=".389901pt" strokecolor="#000000">
              <v:stroke dashstyle="solid"/>
            </v:line>
            <v:line style="position:absolute" from="5760,-1238" to="5768,-1232" stroked="true" strokeweight=".259126pt" strokecolor="#000000">
              <v:stroke dashstyle="solid"/>
            </v:line>
            <v:line style="position:absolute" from="5768,-1232" to="5786,-1227" stroked="true" strokeweight=".259735pt" strokecolor="#000000">
              <v:stroke dashstyle="solid"/>
            </v:line>
            <v:line style="position:absolute" from="5760,-1152" to="5770,-1147" stroked="true" strokeweight=".259408pt" strokecolor="#000000">
              <v:stroke dashstyle="solid"/>
            </v:line>
            <v:line style="position:absolute" from="5770,-1147" to="5778,-1141" stroked="true" strokeweight=".259126pt" strokecolor="#000000">
              <v:stroke dashstyle="solid"/>
            </v:line>
            <v:line style="position:absolute" from="5778,-1141" to="5783,-1139" stroked="true" strokeweight=".259408pt" strokecolor="#000000">
              <v:stroke dashstyle="solid"/>
            </v:line>
            <v:line style="position:absolute" from="5780,-1136" to="5786,-1136" stroked="true" strokeweight=".259934pt" strokecolor="#000000">
              <v:stroke dashstyle="solid"/>
            </v:line>
            <v:line style="position:absolute" from="5783,-1134" to="5786,-1131" stroked="true" strokeweight=".258626pt" strokecolor="#000000">
              <v:stroke dashstyle="solid"/>
            </v:line>
            <v:line style="position:absolute" from="5786,-1131" to="5783,-1126" stroked="true" strokeweight=".257854pt" strokecolor="#000000">
              <v:stroke dashstyle="solid"/>
            </v:line>
            <v:line style="position:absolute" from="5783,-1126" to="5770,-1118" stroked="true" strokeweight=".259238pt" strokecolor="#000000">
              <v:stroke dashstyle="solid"/>
            </v:line>
            <v:line style="position:absolute" from="5770,-1118" to="5760,-1110" stroked="true" strokeweight=".25899pt" strokecolor="#000000">
              <v:stroke dashstyle="solid"/>
            </v:line>
            <v:line style="position:absolute" from="5760,-1110" to="5750,-1105" stroked="true" strokeweight=".259408pt" strokecolor="#000000">
              <v:stroke dashstyle="solid"/>
            </v:line>
            <v:line style="position:absolute" from="5750,-1105" to="5742,-1100" stroked="true" strokeweight=".259126pt" strokecolor="#000000">
              <v:stroke dashstyle="solid"/>
            </v:line>
            <v:line style="position:absolute" from="5742,-1100" to="5737,-1095" stroked="true" strokeweight=".258626pt" strokecolor="#000000">
              <v:stroke dashstyle="solid"/>
            </v:line>
            <v:line style="position:absolute" from="5734,-1091" to="5739,-1091" stroked="true" strokeweight=".389901pt" strokecolor="#000000">
              <v:stroke dashstyle="solid"/>
            </v:line>
            <v:line style="position:absolute" from="5737,-1087" to="5744,-1082" stroked="true" strokeweight=".259126pt" strokecolor="#000000">
              <v:stroke dashstyle="solid"/>
            </v:line>
            <v:line style="position:absolute" from="5744,-1082" to="5760,-1076" stroked="true" strokeweight=".25967pt" strokecolor="#000000">
              <v:stroke dashstyle="solid"/>
            </v:line>
            <v:line style="position:absolute" from="5780,-1152" to="5788,-1147" stroked="true" strokeweight=".259126pt" strokecolor="#000000">
              <v:stroke dashstyle="solid"/>
            </v:line>
            <v:line style="position:absolute" from="5788,-1147" to="5796,-1141" stroked="true" strokeweight=".259126pt" strokecolor="#000000">
              <v:stroke dashstyle="solid"/>
            </v:line>
            <v:line style="position:absolute" from="5796,-1141" to="5801,-1139" stroked="true" strokeweight=".259408pt" strokecolor="#000000">
              <v:stroke dashstyle="solid"/>
            </v:line>
            <v:line style="position:absolute" from="5801,-1139" to="5804,-1134" stroked="true" strokeweight=".257854pt" strokecolor="#000000">
              <v:stroke dashstyle="solid"/>
            </v:line>
            <v:line style="position:absolute" from="5801,-1132" to="5806,-1132" stroked="true" strokeweight=".129967pt" strokecolor="#000000">
              <v:stroke dashstyle="solid"/>
            </v:line>
            <v:line style="position:absolute" from="5804,-1131" to="5801,-1126" stroked="true" strokeweight=".257854pt" strokecolor="#000000">
              <v:stroke dashstyle="solid"/>
            </v:line>
            <v:line style="position:absolute" from="5801,-1126" to="5791,-1118" stroked="true" strokeweight=".25899pt" strokecolor="#000000">
              <v:stroke dashstyle="solid"/>
            </v:line>
            <v:line style="position:absolute" from="5791,-1118" to="5780,-1110" stroked="true" strokeweight=".25899pt" strokecolor="#000000">
              <v:stroke dashstyle="solid"/>
            </v:line>
            <v:line style="position:absolute" from="5780,-1110" to="5768,-1105" stroked="true" strokeweight=".259570pt" strokecolor="#000000">
              <v:stroke dashstyle="solid"/>
            </v:line>
            <v:line style="position:absolute" from="5768,-1105" to="5760,-1100" stroked="true" strokeweight=".259126pt" strokecolor="#000000">
              <v:stroke dashstyle="solid"/>
            </v:line>
            <v:line style="position:absolute" from="5760,-1100" to="5755,-1095" stroked="true" strokeweight=".258626pt" strokecolor="#000000">
              <v:stroke dashstyle="solid"/>
            </v:line>
            <v:line style="position:absolute" from="5752,-1091" to="5757,-1091" stroked="true" strokeweight=".389901pt" strokecolor="#000000">
              <v:stroke dashstyle="solid"/>
            </v:line>
            <v:line style="position:absolute" from="5755,-1087" to="5762,-1082" stroked="true" strokeweight=".259126pt" strokecolor="#000000">
              <v:stroke dashstyle="solid"/>
            </v:line>
            <v:line style="position:absolute" from="5762,-1082" to="5780,-1076" stroked="true" strokeweight=".259735pt" strokecolor="#000000">
              <v:stroke dashstyle="solid"/>
            </v:line>
            <v:shape style="position:absolute;left:6832;top:-1269;width:788;height:156" type="#_x0000_t75" stroked="false">
              <v:imagedata r:id="rId86" o:title=""/>
            </v:shape>
            <v:line style="position:absolute" from="7857,-1152" to="7867,-1147" stroked="true" strokeweight=".259408pt" strokecolor="#000000">
              <v:stroke dashstyle="solid"/>
            </v:line>
            <v:line style="position:absolute" from="7867,-1147" to="7873,-1141" stroked="true" strokeweight=".258626pt" strokecolor="#000000">
              <v:stroke dashstyle="solid"/>
            </v:line>
            <v:line style="position:absolute" from="7873,-1141" to="7878,-1139" stroked="true" strokeweight=".259408pt" strokecolor="#000000">
              <v:stroke dashstyle="solid"/>
            </v:line>
            <v:line style="position:absolute" from="7878,-1139" to="7880,-1134" stroked="true" strokeweight=".257854pt" strokecolor="#000000">
              <v:stroke dashstyle="solid"/>
            </v:line>
            <v:line style="position:absolute" from="7878,-1132" to="7883,-1132" stroked="true" strokeweight=".129967pt" strokecolor="#000000">
              <v:stroke dashstyle="solid"/>
            </v:line>
            <v:line style="position:absolute" from="7880,-1131" to="7878,-1126" stroked="true" strokeweight=".257854pt" strokecolor="#000000">
              <v:stroke dashstyle="solid"/>
            </v:line>
            <v:line style="position:absolute" from="7878,-1126" to="7867,-1118" stroked="true" strokeweight=".25899pt" strokecolor="#000000">
              <v:stroke dashstyle="solid"/>
            </v:line>
            <v:line style="position:absolute" from="7867,-1118" to="7857,-1110" stroked="true" strokeweight=".25899pt" strokecolor="#000000">
              <v:stroke dashstyle="solid"/>
            </v:line>
            <v:line style="position:absolute" from="7857,-1110" to="7847,-1105" stroked="true" strokeweight=".259408pt" strokecolor="#000000">
              <v:stroke dashstyle="solid"/>
            </v:line>
            <v:line style="position:absolute" from="7847,-1105" to="7837,-1100" stroked="true" strokeweight=".259408pt" strokecolor="#000000">
              <v:stroke dashstyle="solid"/>
            </v:line>
            <v:line style="position:absolute" from="7837,-1100" to="7831,-1095" stroked="true" strokeweight=".258626pt" strokecolor="#000000">
              <v:stroke dashstyle="solid"/>
            </v:line>
            <v:line style="position:absolute" from="7829,-1091" to="7834,-1091" stroked="true" strokeweight=".389901pt" strokecolor="#000000">
              <v:stroke dashstyle="solid"/>
            </v:line>
            <v:line style="position:absolute" from="7831,-1087" to="7839,-1082" stroked="true" strokeweight=".259126pt" strokecolor="#000000">
              <v:stroke dashstyle="solid"/>
            </v:line>
            <v:line style="position:absolute" from="7839,-1082" to="7857,-1076" stroked="true" strokeweight=".259735pt" strokecolor="#000000">
              <v:stroke dashstyle="solid"/>
            </v:line>
            <v:line style="position:absolute" from="7875,-1152" to="7885,-1147" stroked="true" strokeweight=".259408pt" strokecolor="#000000">
              <v:stroke dashstyle="solid"/>
            </v:line>
            <v:line style="position:absolute" from="7885,-1147" to="7893,-1141" stroked="true" strokeweight=".259126pt" strokecolor="#000000">
              <v:stroke dashstyle="solid"/>
            </v:line>
            <v:line style="position:absolute" from="7893,-1141" to="7896,-1139" stroked="true" strokeweight=".258626pt" strokecolor="#000000">
              <v:stroke dashstyle="solid"/>
            </v:line>
            <v:line style="position:absolute" from="7896,-1139" to="7898,-1134" stroked="true" strokeweight=".257854pt" strokecolor="#000000">
              <v:stroke dashstyle="solid"/>
            </v:line>
            <v:line style="position:absolute" from="7896,-1132" to="7901,-1132" stroked="true" strokeweight=".129967pt" strokecolor="#000000">
              <v:stroke dashstyle="solid"/>
            </v:line>
            <v:line style="position:absolute" from="7896,-1128" to="7901,-1128" stroked="true" strokeweight=".259934pt" strokecolor="#000000">
              <v:stroke dashstyle="solid"/>
            </v:line>
            <v:line style="position:absolute" from="7898,-1126" to="7885,-1118" stroked="true" strokeweight=".259238pt" strokecolor="#000000">
              <v:stroke dashstyle="solid"/>
            </v:line>
            <v:line style="position:absolute" from="7885,-1118" to="7875,-1110" stroked="true" strokeweight=".25899pt" strokecolor="#000000">
              <v:stroke dashstyle="solid"/>
            </v:line>
            <v:line style="position:absolute" from="7875,-1110" to="7865,-1105" stroked="true" strokeweight=".259408pt" strokecolor="#000000">
              <v:stroke dashstyle="solid"/>
            </v:line>
            <v:line style="position:absolute" from="7865,-1105" to="7855,-1100" stroked="true" strokeweight=".259408pt" strokecolor="#000000">
              <v:stroke dashstyle="solid"/>
            </v:line>
            <v:line style="position:absolute" from="7855,-1100" to="7849,-1095" stroked="true" strokeweight=".258626pt" strokecolor="#000000">
              <v:stroke dashstyle="solid"/>
            </v:line>
            <v:line style="position:absolute" from="7847,-1091" to="7852,-1091" stroked="true" strokeweight=".389901pt" strokecolor="#000000">
              <v:stroke dashstyle="solid"/>
            </v:line>
            <v:line style="position:absolute" from="7849,-1087" to="7860,-1082" stroked="true" strokeweight=".259408pt" strokecolor="#000000">
              <v:stroke dashstyle="solid"/>
            </v:line>
            <v:line style="position:absolute" from="7860,-1082" to="7875,-1076" stroked="true" strokeweight=".25967pt" strokecolor="#000000">
              <v:stroke dashstyle="solid"/>
            </v:line>
            <v:line style="position:absolute" from="7731,-1266" to="7880,-1266" stroked="true" strokeweight=".259934pt" strokecolor="#000000">
              <v:stroke dashstyle="solid"/>
            </v:line>
            <v:line style="position:absolute" from="7880,-1266" to="7919,-1115" stroked="true" strokeweight=".257504pt" strokecolor="#000000">
              <v:stroke dashstyle="solid"/>
            </v:line>
            <v:line style="position:absolute" from="7919,-1115" to="8778,-1115" stroked="true" strokeweight=".259934pt" strokecolor="#000000">
              <v:stroke dashstyle="solid"/>
            </v:line>
            <v:line style="position:absolute" from="7731,-1115" to="7880,-1115" stroked="true" strokeweight=".259934pt" strokecolor="#000000">
              <v:stroke dashstyle="solid"/>
            </v:line>
            <v:line style="position:absolute" from="7880,-1115" to="7919,-1266" stroked="true" strokeweight=".257504pt" strokecolor="#000000">
              <v:stroke dashstyle="solid"/>
            </v:line>
            <v:line style="position:absolute" from="7919,-1266" to="8179,-1266" stroked="true" strokeweight=".259934pt" strokecolor="#000000">
              <v:stroke dashstyle="solid"/>
            </v:line>
            <v:line style="position:absolute" from="8179,-1266" to="8217,-1115" stroked="true" strokeweight=".257504pt" strokecolor="#000000">
              <v:stroke dashstyle="solid"/>
            </v:line>
            <v:line style="position:absolute" from="7708,-1302" to="7718,-1297" stroked="true" strokeweight=".259408pt" strokecolor="#000000">
              <v:stroke dashstyle="solid"/>
            </v:line>
            <v:line style="position:absolute" from="7718,-1297" to="7723,-1292" stroked="true" strokeweight=".258626pt" strokecolor="#000000">
              <v:stroke dashstyle="solid"/>
            </v:line>
            <v:line style="position:absolute" from="7723,-1292" to="7728,-1289" stroked="true" strokeweight=".259408pt" strokecolor="#000000">
              <v:stroke dashstyle="solid"/>
            </v:line>
            <v:line style="position:absolute" from="7728,-1289" to="7731,-1284" stroked="true" strokeweight=".257854pt" strokecolor="#000000">
              <v:stroke dashstyle="solid"/>
            </v:line>
            <v:line style="position:absolute" from="7728,-1283" to="7734,-1283" stroked="true" strokeweight=".129967pt" strokecolor="#000000">
              <v:stroke dashstyle="solid"/>
            </v:line>
            <v:line style="position:absolute" from="7731,-1282" to="7728,-1276" stroked="true" strokeweight=".257854pt" strokecolor="#000000">
              <v:stroke dashstyle="solid"/>
            </v:line>
            <v:line style="position:absolute" from="7728,-1276" to="7718,-1269" stroked="true" strokeweight=".25899pt" strokecolor="#000000">
              <v:stroke dashstyle="solid"/>
            </v:line>
            <v:line style="position:absolute" from="7718,-1269" to="7708,-1263" stroked="true" strokeweight=".259408pt" strokecolor="#000000">
              <v:stroke dashstyle="solid"/>
            </v:line>
            <v:line style="position:absolute" from="7708,-1263" to="7698,-1256" stroked="true" strokeweight=".25899pt" strokecolor="#000000">
              <v:stroke dashstyle="solid"/>
            </v:line>
            <v:line style="position:absolute" from="7698,-1256" to="7687,-1250" stroked="true" strokeweight=".259408pt" strokecolor="#000000">
              <v:stroke dashstyle="solid"/>
            </v:line>
            <v:line style="position:absolute" from="7687,-1250" to="7682,-1245" stroked="true" strokeweight=".258626pt" strokecolor="#000000">
              <v:stroke dashstyle="solid"/>
            </v:line>
            <v:line style="position:absolute" from="7680,-1241" to="7685,-1241" stroked="true" strokeweight=".389901pt" strokecolor="#000000">
              <v:stroke dashstyle="solid"/>
            </v:line>
            <v:line style="position:absolute" from="7682,-1237" to="7690,-1232" stroked="true" strokeweight=".259126pt" strokecolor="#000000">
              <v:stroke dashstyle="solid"/>
            </v:line>
            <v:line style="position:absolute" from="7690,-1232" to="7708,-1227" stroked="true" strokeweight=".259735pt" strokecolor="#000000">
              <v:stroke dashstyle="solid"/>
            </v:line>
            <v:line style="position:absolute" from="7726,-1302" to="7736,-1297" stroked="true" strokeweight=".259408pt" strokecolor="#000000">
              <v:stroke dashstyle="solid"/>
            </v:line>
            <v:line style="position:absolute" from="7736,-1297" to="7744,-1292" stroked="true" strokeweight=".259126pt" strokecolor="#000000">
              <v:stroke dashstyle="solid"/>
            </v:line>
            <v:line style="position:absolute" from="7744,-1292" to="7747,-1289" stroked="true" strokeweight=".258626pt" strokecolor="#000000">
              <v:stroke dashstyle="solid"/>
            </v:line>
            <v:line style="position:absolute" from="7747,-1289" to="7749,-1284" stroked="true" strokeweight=".257854pt" strokecolor="#000000">
              <v:stroke dashstyle="solid"/>
            </v:line>
            <v:line style="position:absolute" from="7747,-1283" to="7752,-1283" stroked="true" strokeweight=".129967pt" strokecolor="#000000">
              <v:stroke dashstyle="solid"/>
            </v:line>
            <v:line style="position:absolute" from="7747,-1279" to="7752,-1279" stroked="true" strokeweight=".259934pt" strokecolor="#000000">
              <v:stroke dashstyle="solid"/>
            </v:line>
            <v:line style="position:absolute" from="7749,-1276" to="7736,-1269" stroked="true" strokeweight=".259238pt" strokecolor="#000000">
              <v:stroke dashstyle="solid"/>
            </v:line>
            <v:line style="position:absolute" from="7736,-1269" to="7726,-1263" stroked="true" strokeweight=".259408pt" strokecolor="#000000">
              <v:stroke dashstyle="solid"/>
            </v:line>
            <v:line style="position:absolute" from="7726,-1263" to="7716,-1256" stroked="true" strokeweight=".25899pt" strokecolor="#000000">
              <v:stroke dashstyle="solid"/>
            </v:line>
            <v:line style="position:absolute" from="7716,-1256" to="7705,-1250" stroked="true" strokeweight=".259408pt" strokecolor="#000000">
              <v:stroke dashstyle="solid"/>
            </v:line>
            <v:line style="position:absolute" from="7705,-1250" to="7700,-1245" stroked="true" strokeweight=".258626pt" strokecolor="#000000">
              <v:stroke dashstyle="solid"/>
            </v:line>
            <v:line style="position:absolute" from="7698,-1241" to="7703,-1241" stroked="true" strokeweight=".389901pt" strokecolor="#000000">
              <v:stroke dashstyle="solid"/>
            </v:line>
            <v:line style="position:absolute" from="7700,-1237" to="7710,-1232" stroked="true" strokeweight=".259408pt" strokecolor="#000000">
              <v:stroke dashstyle="solid"/>
            </v:line>
            <v:line style="position:absolute" from="7710,-1232" to="7726,-1227" stroked="true" strokeweight=".25967pt" strokecolor="#000000">
              <v:stroke dashstyle="solid"/>
            </v:line>
            <v:line style="position:absolute" from="7703,-1152" to="7710,-1147" stroked="true" strokeweight=".259126pt" strokecolor="#000000">
              <v:stroke dashstyle="solid"/>
            </v:line>
            <v:line style="position:absolute" from="7710,-1147" to="7718,-1141" stroked="true" strokeweight=".259126pt" strokecolor="#000000">
              <v:stroke dashstyle="solid"/>
            </v:line>
            <v:line style="position:absolute" from="7718,-1141" to="7723,-1139" stroked="true" strokeweight=".259408pt" strokecolor="#000000">
              <v:stroke dashstyle="solid"/>
            </v:line>
            <v:line style="position:absolute" from="7723,-1139" to="7726,-1134" stroked="true" strokeweight=".257854pt" strokecolor="#000000">
              <v:stroke dashstyle="solid"/>
            </v:line>
            <v:line style="position:absolute" from="7723,-1132" to="7728,-1132" stroked="true" strokeweight=".129967pt" strokecolor="#000000">
              <v:stroke dashstyle="solid"/>
            </v:line>
            <v:line style="position:absolute" from="7726,-1131" to="7723,-1126" stroked="true" strokeweight=".257854pt" strokecolor="#000000">
              <v:stroke dashstyle="solid"/>
            </v:line>
            <v:line style="position:absolute" from="7723,-1126" to="7713,-1118" stroked="true" strokeweight=".25899pt" strokecolor="#000000">
              <v:stroke dashstyle="solid"/>
            </v:line>
            <v:line style="position:absolute" from="7713,-1118" to="7703,-1110" stroked="true" strokeweight=".25899pt" strokecolor="#000000">
              <v:stroke dashstyle="solid"/>
            </v:line>
            <v:line style="position:absolute" from="7703,-1110" to="7690,-1105" stroked="true" strokeweight=".259570pt" strokecolor="#000000">
              <v:stroke dashstyle="solid"/>
            </v:line>
            <v:line style="position:absolute" from="7690,-1105" to="7682,-1100" stroked="true" strokeweight=".259126pt" strokecolor="#000000">
              <v:stroke dashstyle="solid"/>
            </v:line>
            <v:line style="position:absolute" from="7682,-1100" to="7677,-1095" stroked="true" strokeweight=".258626pt" strokecolor="#000000">
              <v:stroke dashstyle="solid"/>
            </v:line>
            <v:line style="position:absolute" from="7674,-1091" to="7680,-1091" stroked="true" strokeweight=".389901pt" strokecolor="#000000">
              <v:stroke dashstyle="solid"/>
            </v:line>
            <v:line style="position:absolute" from="7677,-1087" to="7685,-1082" stroked="true" strokeweight=".259126pt" strokecolor="#000000">
              <v:stroke dashstyle="solid"/>
            </v:line>
            <v:line style="position:absolute" from="7685,-1082" to="7703,-1076" stroked="true" strokeweight=".259735pt" strokecolor="#000000">
              <v:stroke dashstyle="solid"/>
            </v:line>
            <v:line style="position:absolute" from="7721,-1152" to="7731,-1146" stroked="true" strokeweight=".259408pt" strokecolor="#000000">
              <v:stroke dashstyle="solid"/>
            </v:line>
            <v:line style="position:absolute" from="7731,-1146" to="7736,-1141" stroked="true" strokeweight=".258626pt" strokecolor="#000000">
              <v:stroke dashstyle="solid"/>
            </v:line>
            <v:line style="position:absolute" from="7736,-1141" to="7741,-1139" stroked="true" strokeweight=".259408pt" strokecolor="#000000">
              <v:stroke dashstyle="solid"/>
            </v:line>
            <v:line style="position:absolute" from="7741,-1139" to="7744,-1133" stroked="true" strokeweight=".257854pt" strokecolor="#000000">
              <v:stroke dashstyle="solid"/>
            </v:line>
            <v:line style="position:absolute" from="7741,-1132" to="7746,-1132" stroked="true" strokeweight=".129967pt" strokecolor="#000000">
              <v:stroke dashstyle="solid"/>
            </v:line>
            <v:line style="position:absolute" from="7744,-1131" to="7741,-1126" stroked="true" strokeweight=".257854pt" strokecolor="#000000">
              <v:stroke dashstyle="solid"/>
            </v:line>
            <v:line style="position:absolute" from="7741,-1126" to="7731,-1118" stroked="true" strokeweight=".25899pt" strokecolor="#000000">
              <v:stroke dashstyle="solid"/>
            </v:line>
            <v:line style="position:absolute" from="7731,-1118" to="7721,-1110" stroked="true" strokeweight=".25899pt" strokecolor="#000000">
              <v:stroke dashstyle="solid"/>
            </v:line>
            <v:line style="position:absolute" from="7721,-1110" to="7710,-1105" stroked="true" strokeweight=".259408pt" strokecolor="#000000">
              <v:stroke dashstyle="solid"/>
            </v:line>
            <v:line style="position:absolute" from="7710,-1105" to="7700,-1100" stroked="true" strokeweight=".259408pt" strokecolor="#000000">
              <v:stroke dashstyle="solid"/>
            </v:line>
            <v:line style="position:absolute" from="7700,-1100" to="7695,-1095" stroked="true" strokeweight=".258626pt" strokecolor="#000000">
              <v:stroke dashstyle="solid"/>
            </v:line>
            <v:line style="position:absolute" from="7692,-1091" to="7698,-1091" stroked="true" strokeweight=".389901pt" strokecolor="#000000">
              <v:stroke dashstyle="solid"/>
            </v:line>
            <v:line style="position:absolute" from="7695,-1087" to="7703,-1082" stroked="true" strokeweight=".259126pt" strokecolor="#000000">
              <v:stroke dashstyle="solid"/>
            </v:line>
            <v:line style="position:absolute" from="7703,-1082" to="7721,-1076" stroked="true" strokeweight=".259735pt" strokecolor="#000000">
              <v:stroke dashstyle="solid"/>
            </v:line>
            <v:shape style="position:absolute;left:8775;top:-1269;width:785;height:156" type="#_x0000_t75" stroked="false">
              <v:imagedata r:id="rId87" o:title=""/>
            </v:shape>
            <v:line style="position:absolute" from="9674,-1266" to="9823,-1266" stroked="true" strokeweight=".259934pt" strokecolor="#000000">
              <v:stroke dashstyle="solid"/>
            </v:line>
            <v:line style="position:absolute" from="9823,-1266" to="9859,-1115" stroked="true" strokeweight=".257485pt" strokecolor="#000000">
              <v:stroke dashstyle="solid"/>
            </v:line>
            <v:line style="position:absolute" from="9859,-1115" to="10719,-1115" stroked="true" strokeweight=".259934pt" strokecolor="#000000">
              <v:stroke dashstyle="solid"/>
            </v:line>
            <v:line style="position:absolute" from="9674,-1115" to="9823,-1115" stroked="true" strokeweight=".259934pt" strokecolor="#000000">
              <v:stroke dashstyle="solid"/>
            </v:line>
            <v:line style="position:absolute" from="9823,-1115" to="9859,-1266" stroked="true" strokeweight=".257485pt" strokecolor="#000000">
              <v:stroke dashstyle="solid"/>
            </v:line>
            <v:line style="position:absolute" from="9859,-1266" to="10122,-1266" stroked="true" strokeweight=".259934pt" strokecolor="#000000">
              <v:stroke dashstyle="solid"/>
            </v:line>
            <v:line style="position:absolute" from="10122,-1266" to="10158,-1115" stroked="true" strokeweight=".257485pt" strokecolor="#000000">
              <v:stroke dashstyle="solid"/>
            </v:line>
            <v:line style="position:absolute" from="9648,-1302" to="9659,-1297" stroked="true" strokeweight=".259408pt" strokecolor="#000000">
              <v:stroke dashstyle="solid"/>
            </v:line>
            <v:line style="position:absolute" from="9659,-1297" to="9666,-1292" stroked="true" strokeweight=".259126pt" strokecolor="#000000">
              <v:stroke dashstyle="solid"/>
            </v:line>
            <v:line style="position:absolute" from="9666,-1292" to="9669,-1289" stroked="true" strokeweight=".258626pt" strokecolor="#000000">
              <v:stroke dashstyle="solid"/>
            </v:line>
            <v:line style="position:absolute" from="9669,-1289" to="9671,-1284" stroked="true" strokeweight=".257854pt" strokecolor="#000000">
              <v:stroke dashstyle="solid"/>
            </v:line>
            <v:line style="position:absolute" from="9669,-1283" to="9674,-1283" stroked="true" strokeweight=".129967pt" strokecolor="#000000">
              <v:stroke dashstyle="solid"/>
            </v:line>
            <v:line style="position:absolute" from="9669,-1279" to="9674,-1279" stroked="true" strokeweight=".259934pt" strokecolor="#000000">
              <v:stroke dashstyle="solid"/>
            </v:line>
            <v:line style="position:absolute" from="9671,-1276" to="9659,-1269" stroked="true" strokeweight=".259238pt" strokecolor="#000000">
              <v:stroke dashstyle="solid"/>
            </v:line>
            <v:line style="position:absolute" from="9659,-1269" to="9648,-1263" stroked="true" strokeweight=".259408pt" strokecolor="#000000">
              <v:stroke dashstyle="solid"/>
            </v:line>
            <v:line style="position:absolute" from="9648,-1263" to="9638,-1256" stroked="true" strokeweight=".25899pt" strokecolor="#000000">
              <v:stroke dashstyle="solid"/>
            </v:line>
            <v:line style="position:absolute" from="9638,-1256" to="9628,-1250" stroked="true" strokeweight=".259408pt" strokecolor="#000000">
              <v:stroke dashstyle="solid"/>
            </v:line>
            <v:line style="position:absolute" from="9628,-1250" to="9623,-1245" stroked="true" strokeweight=".258626pt" strokecolor="#000000">
              <v:stroke dashstyle="solid"/>
            </v:line>
            <v:line style="position:absolute" from="9620,-1241" to="9625,-1241" stroked="true" strokeweight=".389901pt" strokecolor="#000000">
              <v:stroke dashstyle="solid"/>
            </v:line>
            <v:line style="position:absolute" from="9623,-1237" to="9630,-1232" stroked="true" strokeweight=".259126pt" strokecolor="#000000">
              <v:stroke dashstyle="solid"/>
            </v:line>
            <v:line style="position:absolute" from="9630,-1232" to="9648,-1227" stroked="true" strokeweight=".259735pt" strokecolor="#000000">
              <v:stroke dashstyle="solid"/>
            </v:line>
            <v:line style="position:absolute" from="9666,-1302" to="9677,-1297" stroked="true" strokeweight=".259408pt" strokecolor="#000000">
              <v:stroke dashstyle="solid"/>
            </v:line>
            <v:line style="position:absolute" from="9677,-1297" to="9684,-1292" stroked="true" strokeweight=".259126pt" strokecolor="#000000">
              <v:stroke dashstyle="solid"/>
            </v:line>
            <v:line style="position:absolute" from="9684,-1292" to="9689,-1289" stroked="true" strokeweight=".259408pt" strokecolor="#000000">
              <v:stroke dashstyle="solid"/>
            </v:line>
            <v:line style="position:absolute" from="9687,-1287" to="9692,-1287" stroked="true" strokeweight=".259934pt" strokecolor="#000000">
              <v:stroke dashstyle="solid"/>
            </v:line>
            <v:line style="position:absolute" from="9689,-1284" to="9692,-1282" stroked="true" strokeweight=".258626pt" strokecolor="#000000">
              <v:stroke dashstyle="solid"/>
            </v:line>
            <v:line style="position:absolute" from="9692,-1282" to="9689,-1276" stroked="true" strokeweight=".257854pt" strokecolor="#000000">
              <v:stroke dashstyle="solid"/>
            </v:line>
            <v:line style="position:absolute" from="9689,-1276" to="9677,-1269" stroked="true" strokeweight=".259238pt" strokecolor="#000000">
              <v:stroke dashstyle="solid"/>
            </v:line>
            <v:line style="position:absolute" from="9677,-1269" to="9666,-1263" stroked="true" strokeweight=".259408pt" strokecolor="#000000">
              <v:stroke dashstyle="solid"/>
            </v:line>
            <v:line style="position:absolute" from="9666,-1263" to="9656,-1256" stroked="true" strokeweight=".25899pt" strokecolor="#000000">
              <v:stroke dashstyle="solid"/>
            </v:line>
            <v:line style="position:absolute" from="9656,-1256" to="9648,-1250" stroked="true" strokeweight=".259126pt" strokecolor="#000000">
              <v:stroke dashstyle="solid"/>
            </v:line>
            <v:line style="position:absolute" from="9648,-1250" to="9643,-1245" stroked="true" strokeweight=".258626pt" strokecolor="#000000">
              <v:stroke dashstyle="solid"/>
            </v:line>
            <v:line style="position:absolute" from="9641,-1241" to="9646,-1241" stroked="true" strokeweight=".389901pt" strokecolor="#000000">
              <v:stroke dashstyle="solid"/>
            </v:line>
            <v:line style="position:absolute" from="9643,-1237" to="9651,-1232" stroked="true" strokeweight=".259126pt" strokecolor="#000000">
              <v:stroke dashstyle="solid"/>
            </v:line>
            <v:line style="position:absolute" from="9651,-1232" to="9666,-1227" stroked="true" strokeweight=".25967pt" strokecolor="#000000">
              <v:stroke dashstyle="solid"/>
            </v:line>
            <v:line style="position:absolute" from="9643,-1152" to="9653,-1146" stroked="true" strokeweight=".259408pt" strokecolor="#000000">
              <v:stroke dashstyle="solid"/>
            </v:line>
            <v:line style="position:absolute" from="9653,-1146" to="9659,-1141" stroked="true" strokeweight=".258626pt" strokecolor="#000000">
              <v:stroke dashstyle="solid"/>
            </v:line>
            <v:line style="position:absolute" from="9659,-1141" to="9664,-1139" stroked="true" strokeweight=".259408pt" strokecolor="#000000">
              <v:stroke dashstyle="solid"/>
            </v:line>
            <v:line style="position:absolute" from="9664,-1139" to="9666,-1133" stroked="true" strokeweight=".257854pt" strokecolor="#000000">
              <v:stroke dashstyle="solid"/>
            </v:line>
            <v:line style="position:absolute" from="9664,-1132" to="9669,-1132" stroked="true" strokeweight=".129967pt" strokecolor="#000000">
              <v:stroke dashstyle="solid"/>
            </v:line>
            <v:line style="position:absolute" from="9666,-1131" to="9664,-1126" stroked="true" strokeweight=".257854pt" strokecolor="#000000">
              <v:stroke dashstyle="solid"/>
            </v:line>
            <v:line style="position:absolute" from="9664,-1126" to="9653,-1118" stroked="true" strokeweight=".25899pt" strokecolor="#000000">
              <v:stroke dashstyle="solid"/>
            </v:line>
            <v:line style="position:absolute" from="9653,-1118" to="9643,-1110" stroked="true" strokeweight=".25899pt" strokecolor="#000000">
              <v:stroke dashstyle="solid"/>
            </v:line>
            <v:line style="position:absolute" from="9643,-1110" to="9630,-1105" stroked="true" strokeweight=".259570pt" strokecolor="#000000">
              <v:stroke dashstyle="solid"/>
            </v:line>
            <v:line style="position:absolute" from="9630,-1105" to="9623,-1100" stroked="true" strokeweight=".259126pt" strokecolor="#000000">
              <v:stroke dashstyle="solid"/>
            </v:line>
            <v:line style="position:absolute" from="9623,-1100" to="9617,-1094" stroked="true" strokeweight=".258626pt" strokecolor="#000000">
              <v:stroke dashstyle="solid"/>
            </v:line>
            <v:line style="position:absolute" from="9615,-1091" to="9620,-1091" stroked="true" strokeweight=".389901pt" strokecolor="#000000">
              <v:stroke dashstyle="solid"/>
            </v:line>
            <v:line style="position:absolute" from="9617,-1087" to="9625,-1081" stroked="true" strokeweight=".259126pt" strokecolor="#000000">
              <v:stroke dashstyle="solid"/>
            </v:line>
            <v:line style="position:absolute" from="9625,-1081" to="9643,-1076" stroked="true" strokeweight=".259735pt" strokecolor="#000000">
              <v:stroke dashstyle="solid"/>
            </v:line>
            <v:line style="position:absolute" from="9661,-1152" to="9671,-1146" stroked="true" strokeweight=".259408pt" strokecolor="#000000">
              <v:stroke dashstyle="solid"/>
            </v:line>
            <v:line style="position:absolute" from="9671,-1146" to="9677,-1141" stroked="true" strokeweight=".258626pt" strokecolor="#000000">
              <v:stroke dashstyle="solid"/>
            </v:line>
            <v:line style="position:absolute" from="9677,-1141" to="9682,-1139" stroked="true" strokeweight=".259408pt" strokecolor="#000000">
              <v:stroke dashstyle="solid"/>
            </v:line>
            <v:line style="position:absolute" from="9682,-1139" to="9684,-1133" stroked="true" strokeweight=".257854pt" strokecolor="#000000">
              <v:stroke dashstyle="solid"/>
            </v:line>
            <v:line style="position:absolute" from="9682,-1132" to="9687,-1132" stroked="true" strokeweight=".129967pt" strokecolor="#000000">
              <v:stroke dashstyle="solid"/>
            </v:line>
            <v:line style="position:absolute" from="9682,-1128" to="9687,-1128" stroked="true" strokeweight=".259934pt" strokecolor="#000000">
              <v:stroke dashstyle="solid"/>
            </v:line>
            <v:line style="position:absolute" from="9684,-1126" to="9671,-1118" stroked="true" strokeweight=".259238pt" strokecolor="#000000">
              <v:stroke dashstyle="solid"/>
            </v:line>
            <v:line style="position:absolute" from="9671,-1118" to="9661,-1110" stroked="true" strokeweight=".25899pt" strokecolor="#000000">
              <v:stroke dashstyle="solid"/>
            </v:line>
            <v:line style="position:absolute" from="9661,-1110" to="9651,-1105" stroked="true" strokeweight=".259408pt" strokecolor="#000000">
              <v:stroke dashstyle="solid"/>
            </v:line>
            <v:line style="position:absolute" from="9651,-1105" to="9641,-1100" stroked="true" strokeweight=".259408pt" strokecolor="#000000">
              <v:stroke dashstyle="solid"/>
            </v:line>
            <v:line style="position:absolute" from="9641,-1100" to="9635,-1094" stroked="true" strokeweight=".258626pt" strokecolor="#000000">
              <v:stroke dashstyle="solid"/>
            </v:line>
            <v:line style="position:absolute" from="9633,-1091" to="9638,-1091" stroked="true" strokeweight=".389901pt" strokecolor="#000000">
              <v:stroke dashstyle="solid"/>
            </v:line>
            <v:line style="position:absolute" from="9635,-1087" to="9643,-1081" stroked="true" strokeweight=".259126pt" strokecolor="#000000">
              <v:stroke dashstyle="solid"/>
            </v:line>
            <v:line style="position:absolute" from="9643,-1081" to="9661,-1076" stroked="true" strokeweight=".259735pt" strokecolor="#000000">
              <v:stroke dashstyle="solid"/>
            </v:line>
            <v:line style="position:absolute" from="5780,-1383" to="5798,-1378" stroked="true" strokeweight=".259735pt" strokecolor="#000000">
              <v:stroke dashstyle="solid"/>
            </v:line>
            <v:line style="position:absolute" from="5816,-1453" to="5827,-1448" stroked="true" strokeweight=".259408pt" strokecolor="#000000">
              <v:stroke dashstyle="solid"/>
            </v:line>
            <v:line style="position:absolute" from="5827,-1448" to="5834,-1443" stroked="true" strokeweight=".259126pt" strokecolor="#000000">
              <v:stroke dashstyle="solid"/>
            </v:line>
            <v:line style="position:absolute" from="5834,-1443" to="5837,-1440" stroked="true" strokeweight=".258626pt" strokecolor="#000000">
              <v:stroke dashstyle="solid"/>
            </v:line>
            <v:line style="position:absolute" from="5837,-1440" to="5840,-1435" stroked="true" strokeweight=".257854pt" strokecolor="#000000">
              <v:stroke dashstyle="solid"/>
            </v:line>
            <v:line style="position:absolute" from="5837,-1434" to="5842,-1434" stroked="true" strokeweight=".129967pt" strokecolor="#000000">
              <v:stroke dashstyle="solid"/>
            </v:line>
            <v:line style="position:absolute" from="5837,-1430" to="5842,-1430" stroked="true" strokeweight=".259934pt" strokecolor="#000000">
              <v:stroke dashstyle="solid"/>
            </v:line>
            <v:line style="position:absolute" from="5840,-1427" to="5827,-1419" stroked="true" strokeweight=".259238pt" strokecolor="#000000">
              <v:stroke dashstyle="solid"/>
            </v:line>
            <v:line style="position:absolute" from="5827,-1419" to="5816,-1414" stroked="true" strokeweight=".259408pt" strokecolor="#000000">
              <v:stroke dashstyle="solid"/>
            </v:line>
            <v:line style="position:absolute" from="5816,-1414" to="5806,-1406" stroked="true" strokeweight=".25899pt" strokecolor="#000000">
              <v:stroke dashstyle="solid"/>
            </v:line>
            <v:line style="position:absolute" from="5806,-1406" to="5796,-1401" stroked="true" strokeweight=".259408pt" strokecolor="#000000">
              <v:stroke dashstyle="solid"/>
            </v:line>
            <v:line style="position:absolute" from="5796,-1401" to="5791,-1396" stroked="true" strokeweight=".258626pt" strokecolor="#000000">
              <v:stroke dashstyle="solid"/>
            </v:line>
            <v:line style="position:absolute" from="5788,-1392" to="5793,-1392" stroked="true" strokeweight=".389901pt" strokecolor="#000000">
              <v:stroke dashstyle="solid"/>
            </v:line>
            <v:line style="position:absolute" from="5791,-1388" to="5798,-1383" stroked="true" strokeweight=".259126pt" strokecolor="#000000">
              <v:stroke dashstyle="solid"/>
            </v:line>
            <v:line style="position:absolute" from="5798,-1383" to="5816,-1378" stroked="true" strokeweight=".259735pt" strokecolor="#000000">
              <v:stroke dashstyle="solid"/>
            </v:line>
            <v:line style="position:absolute" from="6128,-1417" to="6238,-1417" stroked="true" strokeweight=".259934pt" strokecolor="#000000">
              <v:stroke dashstyle="solid"/>
            </v:line>
            <v:line style="position:absolute" from="6238,-1417" to="6277,-1568" stroked="true" strokeweight=".257504pt" strokecolor="#000000">
              <v:stroke dashstyle="solid"/>
            </v:line>
            <v:line style="position:absolute" from="6277,-1568" to="6388,-1568" stroked="true" strokeweight=".259934pt" strokecolor="#000000">
              <v:stroke dashstyle="solid"/>
            </v:line>
            <v:line style="position:absolute" from="6388,-1568" to="6426,-1417" stroked="true" strokeweight=".257504pt" strokecolor="#000000">
              <v:stroke dashstyle="solid"/>
            </v:line>
            <v:line style="position:absolute" from="6426,-1417" to="6537,-1417" stroked="true" strokeweight=".259934pt" strokecolor="#000000">
              <v:stroke dashstyle="solid"/>
            </v:line>
            <v:line style="position:absolute" from="6537,-1417" to="6576,-1568" stroked="true" strokeweight=".257504pt" strokecolor="#000000">
              <v:stroke dashstyle="solid"/>
            </v:line>
            <v:line style="position:absolute" from="6576,-1568" to="6686,-1568" stroked="true" strokeweight=".259934pt" strokecolor="#000000">
              <v:stroke dashstyle="solid"/>
            </v:line>
            <v:line style="position:absolute" from="6686,-1568" to="6725,-1417" stroked="true" strokeweight=".257504pt" strokecolor="#000000">
              <v:stroke dashstyle="solid"/>
            </v:line>
            <v:line style="position:absolute" from="6761,-1417" to="6725,-1417" stroked="true" strokeweight=".259934pt" strokecolor="#000000">
              <v:stroke dashstyle="solid"/>
            </v:line>
            <v:line style="position:absolute" from="6725,-1417" to="6835,-1417" stroked="true" strokeweight=".259934pt" strokecolor="#000000">
              <v:stroke dashstyle="solid"/>
            </v:line>
            <v:line style="position:absolute" from="6835,-1417" to="6874,-1568" stroked="true" strokeweight=".257504pt" strokecolor="#000000">
              <v:stroke dashstyle="solid"/>
            </v:line>
            <v:line style="position:absolute" from="6874,-1568" to="6985,-1568" stroked="true" strokeweight=".259934pt" strokecolor="#000000">
              <v:stroke dashstyle="solid"/>
            </v:line>
            <v:line style="position:absolute" from="6985,-1568" to="7023,-1417" stroked="true" strokeweight=".257504pt" strokecolor="#000000">
              <v:stroke dashstyle="solid"/>
            </v:line>
            <v:line style="position:absolute" from="7023,-1417" to="7134,-1417" stroked="true" strokeweight=".259934pt" strokecolor="#000000">
              <v:stroke dashstyle="solid"/>
            </v:line>
            <v:line style="position:absolute" from="7134,-1417" to="7173,-1567" stroked="true" strokeweight=".257504pt" strokecolor="#000000">
              <v:stroke dashstyle="solid"/>
            </v:line>
            <v:line style="position:absolute" from="7173,-1567" to="7283,-1567" stroked="true" strokeweight=".259934pt" strokecolor="#000000">
              <v:stroke dashstyle="solid"/>
            </v:line>
            <v:line style="position:absolute" from="7283,-1567" to="7322,-1417" stroked="true" strokeweight=".257504pt" strokecolor="#000000">
              <v:stroke dashstyle="solid"/>
            </v:line>
            <v:line style="position:absolute" from="7322,-1417" to="7432,-1417" stroked="true" strokeweight=".259934pt" strokecolor="#000000">
              <v:stroke dashstyle="solid"/>
            </v:line>
            <v:line style="position:absolute" from="7432,-1417" to="7471,-1567" stroked="true" strokeweight=".257504pt" strokecolor="#000000">
              <v:stroke dashstyle="solid"/>
            </v:line>
            <v:line style="position:absolute" from="7471,-1567" to="7582,-1567" stroked="true" strokeweight=".259934pt" strokecolor="#000000">
              <v:stroke dashstyle="solid"/>
            </v:line>
            <v:line style="position:absolute" from="7582,-1567" to="7620,-1417" stroked="true" strokeweight=".257504pt" strokecolor="#000000">
              <v:stroke dashstyle="solid"/>
            </v:line>
            <v:line style="position:absolute" from="7770,-1417" to="7880,-1417" stroked="true" strokeweight=".259934pt" strokecolor="#000000">
              <v:stroke dashstyle="solid"/>
            </v:line>
            <v:line style="position:absolute" from="7880,-1417" to="7919,-1567" stroked="true" strokeweight=".257504pt" strokecolor="#000000">
              <v:stroke dashstyle="solid"/>
            </v:line>
            <v:line style="position:absolute" from="7919,-1567" to="8030,-1567" stroked="true" strokeweight=".259934pt" strokecolor="#000000">
              <v:stroke dashstyle="solid"/>
            </v:line>
            <v:line style="position:absolute" from="8030,-1567" to="8068,-1417" stroked="true" strokeweight=".257504pt" strokecolor="#000000">
              <v:stroke dashstyle="solid"/>
            </v:line>
            <v:line style="position:absolute" from="8068,-1417" to="8104,-1417" stroked="true" strokeweight=".259934pt" strokecolor="#000000">
              <v:stroke dashstyle="solid"/>
            </v:line>
            <v:line style="position:absolute" from="7620,-1417" to="7731,-1417" stroked="true" strokeweight=".259934pt" strokecolor="#000000">
              <v:stroke dashstyle="solid"/>
            </v:line>
            <v:line style="position:absolute" from="7739,-1453" to="7749,-1448" stroked="true" strokeweight=".259408pt" strokecolor="#000000">
              <v:stroke dashstyle="solid"/>
            </v:line>
            <v:line style="position:absolute" from="7749,-1448" to="7757,-1443" stroked="true" strokeweight=".259126pt" strokecolor="#000000">
              <v:stroke dashstyle="solid"/>
            </v:line>
            <v:line style="position:absolute" from="7757,-1443" to="7759,-1440" stroked="true" strokeweight=".258626pt" strokecolor="#000000">
              <v:stroke dashstyle="solid"/>
            </v:line>
            <v:line style="position:absolute" from="7759,-1440" to="7762,-1435" stroked="true" strokeweight=".257854pt" strokecolor="#000000">
              <v:stroke dashstyle="solid"/>
            </v:line>
            <v:line style="position:absolute" from="7759,-1434" to="7764,-1434" stroked="true" strokeweight=".129967pt" strokecolor="#000000">
              <v:stroke dashstyle="solid"/>
            </v:line>
            <v:line style="position:absolute" from="7759,-1430" to="7764,-1430" stroked="true" strokeweight=".259934pt" strokecolor="#000000">
              <v:stroke dashstyle="solid"/>
            </v:line>
            <v:line style="position:absolute" from="7762,-1427" to="7749,-1419" stroked="true" strokeweight=".259238pt" strokecolor="#000000">
              <v:stroke dashstyle="solid"/>
            </v:line>
            <v:line style="position:absolute" from="7749,-1419" to="7739,-1414" stroked="true" strokeweight=".259408pt" strokecolor="#000000">
              <v:stroke dashstyle="solid"/>
            </v:line>
            <v:line style="position:absolute" from="7739,-1414" to="7728,-1406" stroked="true" strokeweight=".25899pt" strokecolor="#000000">
              <v:stroke dashstyle="solid"/>
            </v:line>
            <v:line style="position:absolute" from="7728,-1406" to="7718,-1401" stroked="true" strokeweight=".259408pt" strokecolor="#000000">
              <v:stroke dashstyle="solid"/>
            </v:line>
            <v:line style="position:absolute" from="7718,-1401" to="7713,-1396" stroked="true" strokeweight=".258626pt" strokecolor="#000000">
              <v:stroke dashstyle="solid"/>
            </v:line>
            <v:line style="position:absolute" from="7710,-1392" to="7716,-1392" stroked="true" strokeweight=".389901pt" strokecolor="#000000">
              <v:stroke dashstyle="solid"/>
            </v:line>
            <v:line style="position:absolute" from="7713,-1388" to="7721,-1383" stroked="true" strokeweight=".259126pt" strokecolor="#000000">
              <v:stroke dashstyle="solid"/>
            </v:line>
            <v:line style="position:absolute" from="7721,-1383" to="7739,-1378" stroked="true" strokeweight=".259735pt" strokecolor="#000000">
              <v:stroke dashstyle="solid"/>
            </v:line>
            <v:line style="position:absolute" from="7757,-1453" to="7767,-1448" stroked="true" strokeweight=".259408pt" strokecolor="#000000">
              <v:stroke dashstyle="solid"/>
            </v:line>
            <v:line style="position:absolute" from="7767,-1448" to="7775,-1443" stroked="true" strokeweight=".259126pt" strokecolor="#000000">
              <v:stroke dashstyle="solid"/>
            </v:line>
            <v:line style="position:absolute" from="7775,-1443" to="7780,-1440" stroked="true" strokeweight=".259408pt" strokecolor="#000000">
              <v:stroke dashstyle="solid"/>
            </v:line>
            <v:line style="position:absolute" from="7777,-1438" to="7782,-1438" stroked="true" strokeweight=".259934pt" strokecolor="#000000">
              <v:stroke dashstyle="solid"/>
            </v:line>
            <v:line style="position:absolute" from="7777,-1434" to="7782,-1434" stroked="true" strokeweight=".129967pt" strokecolor="#000000">
              <v:stroke dashstyle="solid"/>
            </v:line>
            <v:line style="position:absolute" from="7777,-1430" to="7782,-1430" stroked="true" strokeweight=".259934pt" strokecolor="#000000">
              <v:stroke dashstyle="solid"/>
            </v:line>
            <v:line style="position:absolute" from="7780,-1427" to="7767,-1419" stroked="true" strokeweight=".259238pt" strokecolor="#000000">
              <v:stroke dashstyle="solid"/>
            </v:line>
            <v:line style="position:absolute" from="7767,-1419" to="7757,-1414" stroked="true" strokeweight=".259408pt" strokecolor="#000000">
              <v:stroke dashstyle="solid"/>
            </v:line>
            <v:line style="position:absolute" from="7757,-1414" to="7746,-1406" stroked="true" strokeweight=".25899pt" strokecolor="#000000">
              <v:stroke dashstyle="solid"/>
            </v:line>
            <v:line style="position:absolute" from="7746,-1406" to="7739,-1401" stroked="true" strokeweight=".259126pt" strokecolor="#000000">
              <v:stroke dashstyle="solid"/>
            </v:line>
            <v:line style="position:absolute" from="7739,-1401" to="7731,-1396" stroked="true" strokeweight=".259126pt" strokecolor="#000000">
              <v:stroke dashstyle="solid"/>
            </v:line>
            <v:line style="position:absolute" from="7731,-1396" to="7734,-1388" stroked="true" strokeweight=".257599pt" strokecolor="#000000">
              <v:stroke dashstyle="solid"/>
            </v:line>
            <v:line style="position:absolute" from="7734,-1388" to="7741,-1383" stroked="true" strokeweight=".259126pt" strokecolor="#000000">
              <v:stroke dashstyle="solid"/>
            </v:line>
            <v:line style="position:absolute" from="7741,-1383" to="7757,-1378" stroked="true" strokeweight=".25967pt" strokecolor="#000000">
              <v:stroke dashstyle="solid"/>
            </v:line>
            <v:line style="position:absolute" from="8068,-1417" to="8179,-1417" stroked="true" strokeweight=".259934pt" strokecolor="#000000">
              <v:stroke dashstyle="solid"/>
            </v:line>
            <v:line style="position:absolute" from="8179,-1417" to="8217,-1567" stroked="true" strokeweight=".257504pt" strokecolor="#000000">
              <v:stroke dashstyle="solid"/>
            </v:line>
            <v:line style="position:absolute" from="8217,-1567" to="8328,-1567" stroked="true" strokeweight=".259934pt" strokecolor="#000000">
              <v:stroke dashstyle="solid"/>
            </v:line>
            <v:line style="position:absolute" from="8328,-1567" to="8367,-1417" stroked="true" strokeweight=".257504pt" strokecolor="#000000">
              <v:stroke dashstyle="solid"/>
            </v:line>
            <v:line style="position:absolute" from="8367,-1417" to="8480,-1417" stroked="true" strokeweight=".259934pt" strokecolor="#000000">
              <v:stroke dashstyle="solid"/>
            </v:line>
            <v:line style="position:absolute" from="8480,-1417" to="8516,-1567" stroked="true" strokeweight=".257485pt" strokecolor="#000000">
              <v:stroke dashstyle="solid"/>
            </v:line>
            <v:line style="position:absolute" from="8516,-1567" to="8629,-1567" stroked="true" strokeweight=".259934pt" strokecolor="#000000">
              <v:stroke dashstyle="solid"/>
            </v:line>
            <v:line style="position:absolute" from="8629,-1567" to="8665,-1417" stroked="true" strokeweight=".257485pt" strokecolor="#000000">
              <v:stroke dashstyle="solid"/>
            </v:line>
            <v:line style="position:absolute" from="8704,-1417" to="8665,-1417" stroked="true" strokeweight=".259934pt" strokecolor="#000000">
              <v:stroke dashstyle="solid"/>
            </v:line>
            <v:line style="position:absolute" from="8665,-1417" to="8778,-1417" stroked="true" strokeweight=".259934pt" strokecolor="#000000">
              <v:stroke dashstyle="solid"/>
            </v:line>
            <v:line style="position:absolute" from="8778,-1417" to="8814,-1567" stroked="true" strokeweight=".257485pt" strokecolor="#000000">
              <v:stroke dashstyle="solid"/>
            </v:line>
            <v:line style="position:absolute" from="8814,-1567" to="8928,-1567" stroked="true" strokeweight=".259934pt" strokecolor="#000000">
              <v:stroke dashstyle="solid"/>
            </v:line>
            <v:line style="position:absolute" from="8928,-1567" to="8964,-1417" stroked="true" strokeweight=".257485pt" strokecolor="#000000">
              <v:stroke dashstyle="solid"/>
            </v:line>
            <v:line style="position:absolute" from="8964,-1417" to="9077,-1417" stroked="true" strokeweight=".259934pt" strokecolor="#000000">
              <v:stroke dashstyle="solid"/>
            </v:line>
            <v:line style="position:absolute" from="9077,-1417" to="9113,-1567" stroked="true" strokeweight=".257485pt" strokecolor="#000000">
              <v:stroke dashstyle="solid"/>
            </v:line>
            <v:line style="position:absolute" from="9113,-1567" to="9226,-1567" stroked="true" strokeweight=".259934pt" strokecolor="#000000">
              <v:stroke dashstyle="solid"/>
            </v:line>
            <v:line style="position:absolute" from="9226,-1567" to="9262,-1417" stroked="true" strokeweight=".257485pt" strokecolor="#000000">
              <v:stroke dashstyle="solid"/>
            </v:line>
            <v:line style="position:absolute" from="9262,-1417" to="9375,-1417" stroked="true" strokeweight=".259934pt" strokecolor="#000000">
              <v:stroke dashstyle="solid"/>
            </v:line>
            <v:line style="position:absolute" from="9375,-1417" to="9411,-1567" stroked="true" strokeweight=".257485pt" strokecolor="#000000">
              <v:stroke dashstyle="solid"/>
            </v:line>
            <v:line style="position:absolute" from="9411,-1567" to="9525,-1567" stroked="true" strokeweight=".259934pt" strokecolor="#000000">
              <v:stroke dashstyle="solid"/>
            </v:line>
            <v:line style="position:absolute" from="9525,-1567" to="9561,-1417" stroked="true" strokeweight=".257485pt" strokecolor="#000000">
              <v:stroke dashstyle="solid"/>
            </v:line>
            <v:line style="position:absolute" from="9710,-1417" to="9823,-1417" stroked="true" strokeweight=".259934pt" strokecolor="#000000">
              <v:stroke dashstyle="solid"/>
            </v:line>
            <v:line style="position:absolute" from="9823,-1417" to="9859,-1567" stroked="true" strokeweight=".257485pt" strokecolor="#000000">
              <v:stroke dashstyle="solid"/>
            </v:line>
            <v:line style="position:absolute" from="9859,-1567" to="9972,-1567" stroked="true" strokeweight=".259934pt" strokecolor="#000000">
              <v:stroke dashstyle="solid"/>
            </v:line>
            <v:line style="position:absolute" from="9972,-1567" to="10008,-1417" stroked="true" strokeweight=".257485pt" strokecolor="#000000">
              <v:stroke dashstyle="solid"/>
            </v:line>
            <v:line style="position:absolute" from="10008,-1417" to="10047,-1417" stroked="true" strokeweight=".259934pt" strokecolor="#000000">
              <v:stroke dashstyle="solid"/>
            </v:line>
            <v:line style="position:absolute" from="9561,-1417" to="9674,-1417" stroked="true" strokeweight=".259934pt" strokecolor="#000000">
              <v:stroke dashstyle="solid"/>
            </v:line>
            <v:line style="position:absolute" from="9679,-1453" to="9689,-1448" stroked="true" strokeweight=".259408pt" strokecolor="#000000">
              <v:stroke dashstyle="solid"/>
            </v:line>
            <v:line style="position:absolute" from="9689,-1448" to="9697,-1443" stroked="true" strokeweight=".259126pt" strokecolor="#000000">
              <v:stroke dashstyle="solid"/>
            </v:line>
            <v:line style="position:absolute" from="9697,-1443" to="9700,-1440" stroked="true" strokeweight=".258626pt" strokecolor="#000000">
              <v:stroke dashstyle="solid"/>
            </v:line>
            <v:line style="position:absolute" from="9700,-1440" to="9702,-1435" stroked="true" strokeweight=".257854pt" strokecolor="#000000">
              <v:stroke dashstyle="solid"/>
            </v:line>
            <v:line style="position:absolute" from="9700,-1434" to="9705,-1434" stroked="true" strokeweight=".129967pt" strokecolor="#000000">
              <v:stroke dashstyle="solid"/>
            </v:line>
            <v:line style="position:absolute" from="9700,-1430" to="9705,-1430" stroked="true" strokeweight=".259934pt" strokecolor="#000000">
              <v:stroke dashstyle="solid"/>
            </v:line>
            <v:line style="position:absolute" from="9702,-1427" to="9689,-1419" stroked="true" strokeweight=".259238pt" strokecolor="#000000">
              <v:stroke dashstyle="solid"/>
            </v:line>
            <v:line style="position:absolute" from="9689,-1419" to="9679,-1414" stroked="true" strokeweight=".259408pt" strokecolor="#000000">
              <v:stroke dashstyle="solid"/>
            </v:line>
            <v:line style="position:absolute" from="9679,-1414" to="9669,-1406" stroked="true" strokeweight=".25899pt" strokecolor="#000000">
              <v:stroke dashstyle="solid"/>
            </v:line>
            <v:line style="position:absolute" from="9669,-1406" to="9658,-1401" stroked="true" strokeweight=".259408pt" strokecolor="#000000">
              <v:stroke dashstyle="solid"/>
            </v:line>
            <v:line style="position:absolute" from="9658,-1401" to="9653,-1396" stroked="true" strokeweight=".258626pt" strokecolor="#000000">
              <v:stroke dashstyle="solid"/>
            </v:line>
            <v:line style="position:absolute" from="9651,-1392" to="9656,-1392" stroked="true" strokeweight=".389901pt" strokecolor="#000000">
              <v:stroke dashstyle="solid"/>
            </v:line>
            <v:line style="position:absolute" from="9653,-1388" to="9664,-1383" stroked="true" strokeweight=".259408pt" strokecolor="#000000">
              <v:stroke dashstyle="solid"/>
            </v:line>
            <v:line style="position:absolute" from="9664,-1383" to="9679,-1378" stroked="true" strokeweight=".25967pt" strokecolor="#000000">
              <v:stroke dashstyle="solid"/>
            </v:line>
            <v:line style="position:absolute" from="9700,-1453" to="9707,-1448" stroked="true" strokeweight=".259126pt" strokecolor="#000000">
              <v:stroke dashstyle="solid"/>
            </v:line>
            <v:line style="position:absolute" from="9707,-1448" to="9715,-1443" stroked="true" strokeweight=".259126pt" strokecolor="#000000">
              <v:stroke dashstyle="solid"/>
            </v:line>
            <v:line style="position:absolute" from="9715,-1443" to="9720,-1440" stroked="true" strokeweight=".259408pt" strokecolor="#000000">
              <v:stroke dashstyle="solid"/>
            </v:line>
            <v:line style="position:absolute" from="9720,-1440" to="9723,-1435" stroked="true" strokeweight=".257854pt" strokecolor="#000000">
              <v:stroke dashstyle="solid"/>
            </v:line>
            <v:line style="position:absolute" from="9720,-1434" to="9725,-1434" stroked="true" strokeweight=".129967pt" strokecolor="#000000">
              <v:stroke dashstyle="solid"/>
            </v:line>
            <v:line style="position:absolute" from="9723,-1432" to="9720,-1427" stroked="true" strokeweight=".257854pt" strokecolor="#000000">
              <v:stroke dashstyle="solid"/>
            </v:line>
            <v:line style="position:absolute" from="9720,-1427" to="9710,-1419" stroked="true" strokeweight=".25899pt" strokecolor="#000000">
              <v:stroke dashstyle="solid"/>
            </v:line>
            <v:line style="position:absolute" from="9710,-1419" to="9697,-1414" stroked="true" strokeweight=".259570pt" strokecolor="#000000">
              <v:stroke dashstyle="solid"/>
            </v:line>
            <v:line style="position:absolute" from="9697,-1414" to="9687,-1406" stroked="true" strokeweight=".25899pt" strokecolor="#000000">
              <v:stroke dashstyle="solid"/>
            </v:line>
            <v:line style="position:absolute" from="9687,-1406" to="9679,-1401" stroked="true" strokeweight=".259126pt" strokecolor="#000000">
              <v:stroke dashstyle="solid"/>
            </v:line>
            <v:line style="position:absolute" from="9679,-1401" to="9674,-1396" stroked="true" strokeweight=".258626pt" strokecolor="#000000">
              <v:stroke dashstyle="solid"/>
            </v:line>
            <v:line style="position:absolute" from="9671,-1392" to="9677,-1392" stroked="true" strokeweight=".389901pt" strokecolor="#000000">
              <v:stroke dashstyle="solid"/>
            </v:line>
            <v:line style="position:absolute" from="9674,-1388" to="9682,-1383" stroked="true" strokeweight=".259126pt" strokecolor="#000000">
              <v:stroke dashstyle="solid"/>
            </v:line>
            <v:line style="position:absolute" from="9682,-1383" to="9700,-1378" stroked="true" strokeweight=".259735pt" strokecolor="#000000">
              <v:stroke dashstyle="solid"/>
            </v:line>
            <v:line style="position:absolute" from="10008,-1417" to="10122,-1417" stroked="true" strokeweight=".259934pt" strokecolor="#000000">
              <v:stroke dashstyle="solid"/>
            </v:line>
            <v:line style="position:absolute" from="10122,-1417" to="10158,-1567" stroked="true" strokeweight=".257485pt" strokecolor="#000000">
              <v:stroke dashstyle="solid"/>
            </v:line>
            <v:line style="position:absolute" from="10158,-1567" to="10271,-1567" stroked="true" strokeweight=".259934pt" strokecolor="#000000">
              <v:stroke dashstyle="solid"/>
            </v:line>
            <v:line style="position:absolute" from="10271,-1567" to="10307,-1417" stroked="true" strokeweight=".257485pt" strokecolor="#000000">
              <v:stroke dashstyle="solid"/>
            </v:line>
            <v:line style="position:absolute" from="10307,-1417" to="10420,-1417" stroked="true" strokeweight=".259934pt" strokecolor="#000000">
              <v:stroke dashstyle="solid"/>
            </v:line>
            <v:line style="position:absolute" from="10420,-1417" to="10456,-1567" stroked="true" strokeweight=".257485pt" strokecolor="#000000">
              <v:stroke dashstyle="solid"/>
            </v:line>
            <v:line style="position:absolute" from="10456,-1567" to="10569,-1567" stroked="true" strokeweight=".259934pt" strokecolor="#000000">
              <v:stroke dashstyle="solid"/>
            </v:line>
            <v:line style="position:absolute" from="10569,-1567" to="10606,-1417" stroked="true" strokeweight=".257485pt" strokecolor="#000000">
              <v:stroke dashstyle="solid"/>
            </v:line>
            <v:shape style="position:absolute;left:5229;top:-1002;width:137;height:419" type="#_x0000_t75" stroked="false">
              <v:imagedata r:id="rId88" o:title=""/>
            </v:shape>
            <v:shape style="position:absolute;left:5489;top:-1002;width:139;height:419" type="#_x0000_t75" stroked="false">
              <v:imagedata r:id="rId89" o:title=""/>
            </v:shape>
            <v:line style="position:absolute" from="2468,-585" to="5642,-585" stroked="true" strokeweight=".259934pt" strokecolor="#000000">
              <v:stroke dashstyle="solid"/>
            </v:line>
            <v:line style="position:absolute" from="5649,-624" to="5660,-619" stroked="true" strokeweight=".259408pt" strokecolor="#000000">
              <v:stroke dashstyle="solid"/>
            </v:line>
            <v:line style="position:absolute" from="5660,-619" to="5665,-614" stroked="true" strokeweight=".258626pt" strokecolor="#000000">
              <v:stroke dashstyle="solid"/>
            </v:line>
            <v:line style="position:absolute" from="5665,-614" to="5670,-611" stroked="true" strokeweight=".259408pt" strokecolor="#000000">
              <v:stroke dashstyle="solid"/>
            </v:line>
            <v:line style="position:absolute" from="5670,-611" to="5672,-606" stroked="true" strokeweight=".257854pt" strokecolor="#000000">
              <v:stroke dashstyle="solid"/>
            </v:line>
            <v:line style="position:absolute" from="5670,-605" to="5675,-605" stroked="true" strokeweight=".129967pt" strokecolor="#000000">
              <v:stroke dashstyle="solid"/>
            </v:line>
            <v:line style="position:absolute" from="5672,-603" to="5670,-598" stroked="true" strokeweight=".257854pt" strokecolor="#000000">
              <v:stroke dashstyle="solid"/>
            </v:line>
            <v:line style="position:absolute" from="5670,-598" to="5660,-590" stroked="true" strokeweight=".25899pt" strokecolor="#000000">
              <v:stroke dashstyle="solid"/>
            </v:line>
            <v:line style="position:absolute" from="5660,-590" to="5649,-583" stroked="true" strokeweight=".25899pt" strokecolor="#000000">
              <v:stroke dashstyle="solid"/>
            </v:line>
            <v:line style="position:absolute" from="5649,-583" to="5639,-577" stroked="true" strokeweight=".259408pt" strokecolor="#000000">
              <v:stroke dashstyle="solid"/>
            </v:line>
            <v:line style="position:absolute" from="5639,-577" to="5629,-572" stroked="true" strokeweight=".259408pt" strokecolor="#000000">
              <v:stroke dashstyle="solid"/>
            </v:line>
            <v:line style="position:absolute" from="5629,-572" to="5624,-564" stroked="true" strokeweight=".258130pt" strokecolor="#000000">
              <v:stroke dashstyle="solid"/>
            </v:line>
            <v:line style="position:absolute" from="5621,-562" to="5626,-562" stroked="true" strokeweight=".259934pt" strokecolor="#000000">
              <v:stroke dashstyle="solid"/>
            </v:line>
            <v:line style="position:absolute" from="5624,-559" to="5631,-554" stroked="true" strokeweight=".259126pt" strokecolor="#000000">
              <v:stroke dashstyle="solid"/>
            </v:line>
            <v:line style="position:absolute" from="5631,-554" to="5649,-549" stroked="true" strokeweight=".259735pt" strokecolor="#000000">
              <v:stroke dashstyle="solid"/>
            </v:line>
            <v:line style="position:absolute" from="5667,-624" to="5678,-619" stroked="true" strokeweight=".259408pt" strokecolor="#000000">
              <v:stroke dashstyle="solid"/>
            </v:line>
            <v:shape style="position:absolute;left:5752;top:-1002;width:137;height:419" type="#_x0000_t75" stroked="false">
              <v:imagedata r:id="rId90" o:title=""/>
            </v:shape>
            <v:line style="position:absolute" from="5678,-619" to="5685,-614" stroked="true" strokeweight=".259126pt" strokecolor="#000000">
              <v:stroke dashstyle="solid"/>
            </v:line>
            <v:line style="position:absolute" from="5685,-614" to="5688,-611" stroked="true" strokeweight=".258626pt" strokecolor="#000000">
              <v:stroke dashstyle="solid"/>
            </v:line>
            <v:line style="position:absolute" from="5688,-611" to="5690,-606" stroked="true" strokeweight=".257854pt" strokecolor="#000000">
              <v:stroke dashstyle="solid"/>
            </v:line>
            <v:line style="position:absolute" from="5688,-605" to="5693,-605" stroked="true" strokeweight=".129967pt" strokecolor="#000000">
              <v:stroke dashstyle="solid"/>
            </v:line>
            <v:line style="position:absolute" from="5688,-601" to="5693,-601" stroked="true" strokeweight=".259934pt" strokecolor="#000000">
              <v:stroke dashstyle="solid"/>
            </v:line>
            <v:line style="position:absolute" from="5690,-598" to="5678,-590" stroked="true" strokeweight=".259238pt" strokecolor="#000000">
              <v:stroke dashstyle="solid"/>
            </v:line>
            <v:line style="position:absolute" from="5678,-590" to="5667,-583" stroked="true" strokeweight=".25899pt" strokecolor="#000000">
              <v:stroke dashstyle="solid"/>
            </v:line>
            <v:line style="position:absolute" from="5667,-583" to="5657,-577" stroked="true" strokeweight=".259408pt" strokecolor="#000000">
              <v:stroke dashstyle="solid"/>
            </v:line>
            <v:line style="position:absolute" from="5657,-577" to="5647,-572" stroked="true" strokeweight=".259408pt" strokecolor="#000000">
              <v:stroke dashstyle="solid"/>
            </v:line>
            <v:line style="position:absolute" from="5647,-572" to="5642,-564" stroked="true" strokeweight=".258130pt" strokecolor="#000000">
              <v:stroke dashstyle="solid"/>
            </v:line>
            <v:line style="position:absolute" from="5639,-562" to="5644,-562" stroked="true" strokeweight=".259934pt" strokecolor="#000000">
              <v:stroke dashstyle="solid"/>
            </v:line>
            <v:line style="position:absolute" from="5642,-559" to="5649,-554" stroked="true" strokeweight=".259126pt" strokecolor="#000000">
              <v:stroke dashstyle="solid"/>
            </v:line>
            <v:line style="position:absolute" from="5649,-554" to="5667,-549" stroked="true" strokeweight=".259735pt" strokecolor="#000000">
              <v:stroke dashstyle="solid"/>
            </v:line>
            <v:shape style="position:absolute;left:6012;top:-1002;width:139;height:419" type="#_x0000_t75" stroked="false">
              <v:imagedata r:id="rId89" o:title=""/>
            </v:shape>
            <v:line style="position:absolute" from="7134,-434" to="7271,-934" stroked="true" strokeweight=".257525pt" strokecolor="#000000">
              <v:stroke dashstyle="solid"/>
            </v:line>
            <v:shape style="position:absolute;left:7219;top:-1002;width:91;height:102" coordorigin="7219,-1001" coordsize="91,102" path="m7309,-900l7304,-905,7294,-910,7289,-915,7281,-918,7276,-921,7271,-921,7265,-923,7258,-926,7227,-926,7219,-923,7289,-1001,7309,-900xe" filled="true" fillcolor="#000000" stroked="false">
              <v:path arrowok="t"/>
              <v:fill type="solid"/>
            </v:shape>
            <v:line style="position:absolute" from="7397,-434" to="7530,-934" stroked="true" strokeweight=".257518pt" strokecolor="#000000">
              <v:stroke dashstyle="solid"/>
            </v:line>
            <v:shape style="position:absolute;left:7481;top:-1002;width:88;height:102" coordorigin="7482,-1001" coordsize="88,102" path="m7569,-900l7564,-905,7554,-910,7548,-915,7538,-921,7530,-921,7520,-926,7487,-926,7482,-923,7551,-1001,7569,-900xe" filled="true" fillcolor="#000000" stroked="false">
              <v:path arrowok="t"/>
              <v:fill type="solid"/>
            </v:shape>
            <v:line style="position:absolute" from="7523,-473" to="7530,-468" stroked="true" strokeweight=".259126pt" strokecolor="#000000">
              <v:stroke dashstyle="solid"/>
            </v:line>
            <v:line style="position:absolute" from="7530,-468" to="7538,-463" stroked="true" strokeweight=".259126pt" strokecolor="#000000">
              <v:stroke dashstyle="solid"/>
            </v:line>
            <v:line style="position:absolute" from="7538,-463" to="7543,-460" stroked="true" strokeweight=".259408pt" strokecolor="#000000">
              <v:stroke dashstyle="solid"/>
            </v:line>
            <v:line style="position:absolute" from="7541,-458" to="7546,-458" stroked="true" strokeweight=".259934pt" strokecolor="#000000">
              <v:stroke dashstyle="solid"/>
            </v:line>
            <v:line style="position:absolute" from="7543,-455" to="7546,-453" stroked="true" strokeweight=".258626pt" strokecolor="#000000">
              <v:stroke dashstyle="solid"/>
            </v:line>
            <v:line style="position:absolute" from="7546,-453" to="7543,-447" stroked="true" strokeweight=".257854pt" strokecolor="#000000">
              <v:stroke dashstyle="solid"/>
            </v:line>
            <v:line style="position:absolute" from="7543,-447" to="7530,-440" stroked="true" strokeweight=".259238pt" strokecolor="#000000">
              <v:stroke dashstyle="solid"/>
            </v:line>
            <v:line style="position:absolute" from="7530,-440" to="7520,-432" stroked="true" strokeweight=".25899pt" strokecolor="#000000">
              <v:stroke dashstyle="solid"/>
            </v:line>
            <v:line style="position:absolute" from="7520,-432" to="7510,-427" stroked="true" strokeweight=".259408pt" strokecolor="#000000">
              <v:stroke dashstyle="solid"/>
            </v:line>
            <v:line style="position:absolute" from="7510,-427" to="7502,-421" stroked="true" strokeweight=".259126pt" strokecolor="#000000">
              <v:stroke dashstyle="solid"/>
            </v:line>
            <v:line style="position:absolute" from="7502,-421" to="7497,-414" stroked="true" strokeweight=".258130pt" strokecolor="#000000">
              <v:stroke dashstyle="solid"/>
            </v:line>
            <v:line style="position:absolute" from="7494,-411" to="7500,-411" stroked="true" strokeweight=".259934pt" strokecolor="#000000">
              <v:stroke dashstyle="solid"/>
            </v:line>
            <v:line style="position:absolute" from="7497,-408" to="7505,-403" stroked="true" strokeweight=".259126pt" strokecolor="#000000">
              <v:stroke dashstyle="solid"/>
            </v:line>
            <v:line style="position:absolute" from="7505,-403" to="7523,-398" stroked="true" strokeweight=".259735pt" strokecolor="#000000">
              <v:stroke dashstyle="solid"/>
            </v:line>
            <v:line style="position:absolute" from="7541,-473" to="7548,-468" stroked="true" strokeweight=".259126pt" strokecolor="#000000">
              <v:stroke dashstyle="solid"/>
            </v:line>
            <v:line style="position:absolute" from="7548,-468" to="7556,-463" stroked="true" strokeweight=".259126pt" strokecolor="#000000">
              <v:stroke dashstyle="solid"/>
            </v:line>
            <v:line style="position:absolute" from="7556,-463" to="7561,-460" stroked="true" strokeweight=".259408pt" strokecolor="#000000">
              <v:stroke dashstyle="solid"/>
            </v:line>
            <v:line style="position:absolute" from="7561,-460" to="7564,-455" stroked="true" strokeweight=".257854pt" strokecolor="#000000">
              <v:stroke dashstyle="solid"/>
            </v:line>
            <v:line style="position:absolute" from="7561,-454" to="7566,-454" stroked="true" strokeweight=".129967pt" strokecolor="#000000">
              <v:stroke dashstyle="solid"/>
            </v:line>
            <v:line style="position:absolute" from="7564,-453" to="7561,-447" stroked="true" strokeweight=".257854pt" strokecolor="#000000">
              <v:stroke dashstyle="solid"/>
            </v:line>
            <v:line style="position:absolute" from="7561,-447" to="7551,-440" stroked="true" strokeweight=".25899pt" strokecolor="#000000">
              <v:stroke dashstyle="solid"/>
            </v:line>
            <v:line style="position:absolute" from="7551,-440" to="7541,-432" stroked="true" strokeweight=".25899pt" strokecolor="#000000">
              <v:stroke dashstyle="solid"/>
            </v:line>
            <v:line style="position:absolute" from="7541,-432" to="7528,-427" stroked="true" strokeweight=".259570pt" strokecolor="#000000">
              <v:stroke dashstyle="solid"/>
            </v:line>
            <v:line style="position:absolute" from="7528,-427" to="7520,-421" stroked="true" strokeweight=".259126pt" strokecolor="#000000">
              <v:stroke dashstyle="solid"/>
            </v:line>
            <v:line style="position:absolute" from="7520,-421" to="7515,-414" stroked="true" strokeweight=".258130pt" strokecolor="#000000">
              <v:stroke dashstyle="solid"/>
            </v:line>
            <v:line style="position:absolute" from="7512,-411" to="7518,-411" stroked="true" strokeweight=".259934pt" strokecolor="#000000">
              <v:stroke dashstyle="solid"/>
            </v:line>
            <v:line style="position:absolute" from="7515,-408" to="7523,-403" stroked="true" strokeweight=".259126pt" strokecolor="#000000">
              <v:stroke dashstyle="solid"/>
            </v:line>
            <v:line style="position:absolute" from="7523,-403" to="7541,-398" stroked="true" strokeweight=".259735pt" strokecolor="#000000">
              <v:stroke dashstyle="solid"/>
            </v:line>
            <v:line style="position:absolute" from="7657,-434" to="7793,-934" stroked="true" strokeweight=".257525pt" strokecolor="#000000">
              <v:stroke dashstyle="solid"/>
            </v:line>
            <v:shape style="position:absolute;left:7741;top:-1002;width:91;height:102" coordorigin="7741,-1001" coordsize="91,102" path="m7832,-900l7826,-905,7816,-910,7811,-915,7806,-918,7798,-921,7793,-921,7788,-923,7780,-926,7749,-926,7741,-923,7811,-1001,7832,-900xe" filled="true" fillcolor="#000000" stroked="false">
              <v:path arrowok="t"/>
              <v:fill type="solid"/>
            </v:shape>
            <v:line style="position:absolute" from="7919,-434" to="8053,-934" stroked="true" strokeweight=".257518pt" strokecolor="#000000">
              <v:stroke dashstyle="solid"/>
            </v:line>
            <v:shape style="position:absolute;left:8003;top:-1002;width:88;height:102" coordorigin="8004,-1001" coordsize="88,102" path="m8091,-900l8086,-905,8076,-910,8071,-915,8061,-921,8053,-921,8043,-926,8009,-926,8004,-923,8073,-1001,8091,-900xe" filled="true" fillcolor="#000000" stroked="false">
              <v:path arrowok="t"/>
              <v:fill type="solid"/>
            </v:shape>
            <v:line style="position:absolute" from="7919,-434" to="7546,-434" stroked="true" strokeweight=".259934pt" strokecolor="#000000">
              <v:stroke dashstyle="solid"/>
            </v:line>
            <v:line style="position:absolute" from="7507,-434" to="2468,-434" stroked="true" strokeweight=".259934pt" strokecolor="#000000">
              <v:stroke dashstyle="solid"/>
            </v:line>
            <v:line style="position:absolute" from="5680,-585" to="6014,-585" stroked="true" strokeweight=".259934pt" strokecolor="#000000">
              <v:stroke dashstyle="solid"/>
            </v:line>
            <v:shape style="position:absolute;left:4895;top:-1116;width:188;height:154" type="#_x0000_t75" stroked="false">
              <v:imagedata r:id="rId91" o:title=""/>
            </v:shape>
            <v:shape style="position:absolute;left:6835;top:-1116;width:188;height:154" type="#_x0000_t75" stroked="false">
              <v:imagedata r:id="rId92" o:title=""/>
            </v:shape>
            <v:shape style="position:absolute;left:8778;top:-1116;width:186;height:154" type="#_x0000_t75" stroked="false">
              <v:imagedata r:id="rId93" o:title=""/>
            </v:shape>
            <v:line style="position:absolute" from="2656,-1417" to="2692,-1567" stroked="true" strokeweight=".257485pt" strokecolor="#000000">
              <v:stroke dashstyle="solid"/>
            </v:line>
            <v:line style="position:absolute" from="2692,-1567" to="2805,-1567" stroked="true" strokeweight=".259934pt" strokecolor="#000000">
              <v:stroke dashstyle="solid"/>
            </v:line>
            <v:line style="position:absolute" from="2805,-1567" to="2844,-1417" stroked="true" strokeweight=".257504pt" strokecolor="#000000">
              <v:stroke dashstyle="solid"/>
            </v:line>
            <v:line style="position:absolute" from="2468,-739" to="3740,-739" stroked="true" strokeweight=".259934pt" strokecolor="#000000">
              <v:stroke dashstyle="solid"/>
            </v:line>
            <v:line style="position:absolute" from="3328,-739" to="3385,-934" stroked="true" strokeweight=".257546pt" strokecolor="#000000">
              <v:stroke dashstyle="solid"/>
            </v:line>
            <v:shape style="position:absolute;left:3333;top:-1002;width:88;height:102" coordorigin="3333,-1001" coordsize="88,102" path="m3421,-900l3418,-905,3408,-910,3400,-915,3390,-921,3385,-921,3377,-923,3372,-926,3333,-926,3403,-1001,3421,-900xe" filled="true" fillcolor="#000000" stroked="false">
              <v:path arrowok="t"/>
              <v:fill type="solid"/>
            </v:shape>
            <v:line style="position:absolute" from="3591,-739" to="3645,-934" stroked="true" strokeweight=".257530pt" strokecolor="#000000">
              <v:stroke dashstyle="solid"/>
            </v:line>
            <v:shape style="position:absolute;left:3595;top:-1002;width:88;height:102" coordorigin="3596,-1001" coordsize="88,102" path="m3683,-900l3678,-905,3668,-910,3663,-915,3657,-918,3650,-921,3645,-921,3639,-923,3632,-926,3596,-926,3665,-1001,3683,-900xe" filled="true" fillcolor="#000000" stroked="false">
              <v:path arrowok="t"/>
              <v:fill type="solid"/>
            </v:shape>
            <v:line style="position:absolute" from="3850,-739" to="3907,-934" stroked="true" strokeweight=".257546pt" strokecolor="#000000">
              <v:stroke dashstyle="solid"/>
            </v:line>
            <v:shape style="position:absolute;left:3855;top:-1002;width:88;height:102" coordorigin="3856,-1001" coordsize="88,102" path="m3943,-900l3941,-905,3930,-910,3922,-915,3912,-921,3907,-921,3899,-923,3894,-926,3856,-926,3925,-1001,3943,-900xe" filled="true" fillcolor="#000000" stroked="false">
              <v:path arrowok="t"/>
              <v:fill type="solid"/>
            </v:shape>
            <v:line style="position:absolute" from="4113,-739" to="4167,-934" stroked="true" strokeweight=".257530pt" strokecolor="#000000">
              <v:stroke dashstyle="solid"/>
            </v:line>
            <v:shape style="position:absolute;left:4118;top:-1002;width:88;height:102" coordorigin="4118,-1001" coordsize="88,102" path="m4206,-900l4200,-905,4190,-910,4185,-915,4175,-921,4167,-921,4162,-923,4154,-926,4118,-926,4188,-1001,4206,-900xe" filled="true" fillcolor="#000000" stroked="false">
              <v:path arrowok="t"/>
              <v:fill type="solid"/>
            </v:shape>
            <v:line style="position:absolute" from="3776,-739" to="4113,-739" stroked="true" strokeweight=".259934pt" strokecolor="#000000">
              <v:stroke dashstyle="solid"/>
            </v:line>
            <v:line style="position:absolute" from="3745,-775" to="3755,-770" stroked="true" strokeweight=".259408pt" strokecolor="#000000">
              <v:stroke dashstyle="solid"/>
            </v:line>
            <v:line style="position:absolute" from="3755,-770" to="3763,-765" stroked="true" strokeweight=".259126pt" strokecolor="#000000">
              <v:stroke dashstyle="solid"/>
            </v:line>
            <v:line style="position:absolute" from="3763,-765" to="3765,-762" stroked="true" strokeweight=".258626pt" strokecolor="#000000">
              <v:stroke dashstyle="solid"/>
            </v:line>
            <v:line style="position:absolute" from="3765,-762" to="3768,-757" stroked="true" strokeweight=".257854pt" strokecolor="#000000">
              <v:stroke dashstyle="solid"/>
            </v:line>
            <v:line style="position:absolute" from="3765,-756" to="3771,-756" stroked="true" strokeweight=".129967pt" strokecolor="#000000">
              <v:stroke dashstyle="solid"/>
            </v:line>
            <v:line style="position:absolute" from="3765,-752" to="3771,-752" stroked="true" strokeweight=".259934pt" strokecolor="#000000">
              <v:stroke dashstyle="solid"/>
            </v:line>
            <v:line style="position:absolute" from="3768,-749" to="3755,-741" stroked="true" strokeweight=".259238pt" strokecolor="#000000">
              <v:stroke dashstyle="solid"/>
            </v:line>
            <v:line style="position:absolute" from="3755,-741" to="3745,-733" stroked="true" strokeweight=".25899pt" strokecolor="#000000">
              <v:stroke dashstyle="solid"/>
            </v:line>
            <v:line style="position:absolute" from="3745,-733" to="3735,-728" stroked="true" strokeweight=".259408pt" strokecolor="#000000">
              <v:stroke dashstyle="solid"/>
            </v:line>
            <v:line style="position:absolute" from="3735,-728" to="3724,-723" stroked="true" strokeweight=".259408pt" strokecolor="#000000">
              <v:stroke dashstyle="solid"/>
            </v:line>
            <v:line style="position:absolute" from="3724,-723" to="3719,-718" stroked="true" strokeweight=".258626pt" strokecolor="#000000">
              <v:stroke dashstyle="solid"/>
            </v:line>
            <v:line style="position:absolute" from="3717,-714" to="3722,-714" stroked="true" strokeweight=".389901pt" strokecolor="#000000">
              <v:stroke dashstyle="solid"/>
            </v:line>
            <v:line style="position:absolute" from="3719,-710" to="3729,-705" stroked="true" strokeweight=".259408pt" strokecolor="#000000">
              <v:stroke dashstyle="solid"/>
            </v:line>
            <v:line style="position:absolute" from="3729,-705" to="3745,-700" stroked="true" strokeweight=".25967pt" strokecolor="#000000">
              <v:stroke dashstyle="solid"/>
            </v:line>
            <v:line style="position:absolute" from="3765,-775" to="3773,-770" stroked="true" strokeweight=".259126pt" strokecolor="#000000">
              <v:stroke dashstyle="solid"/>
            </v:line>
            <v:line style="position:absolute" from="3773,-770" to="3781,-765" stroked="true" strokeweight=".259126pt" strokecolor="#000000">
              <v:stroke dashstyle="solid"/>
            </v:line>
            <v:line style="position:absolute" from="3781,-765" to="3786,-762" stroked="true" strokeweight=".259408pt" strokecolor="#000000">
              <v:stroke dashstyle="solid"/>
            </v:line>
            <v:line style="position:absolute" from="3786,-762" to="3789,-757" stroked="true" strokeweight=".257854pt" strokecolor="#000000">
              <v:stroke dashstyle="solid"/>
            </v:line>
            <v:line style="position:absolute" from="3786,-756" to="3791,-756" stroked="true" strokeweight=".129967pt" strokecolor="#000000">
              <v:stroke dashstyle="solid"/>
            </v:line>
            <v:line style="position:absolute" from="3789,-754" to="3786,-749" stroked="true" strokeweight=".257854pt" strokecolor="#000000">
              <v:stroke dashstyle="solid"/>
            </v:line>
            <v:line style="position:absolute" from="3786,-749" to="3776,-741" stroked="true" strokeweight=".25899pt" strokecolor="#000000">
              <v:stroke dashstyle="solid"/>
            </v:line>
            <v:line style="position:absolute" from="3776,-741" to="3763,-733" stroked="true" strokeweight=".259238pt" strokecolor="#000000">
              <v:stroke dashstyle="solid"/>
            </v:line>
            <v:line style="position:absolute" from="3763,-733" to="3753,-728" stroked="true" strokeweight=".259408pt" strokecolor="#000000">
              <v:stroke dashstyle="solid"/>
            </v:line>
            <v:line style="position:absolute" from="3753,-728" to="3745,-723" stroked="true" strokeweight=".259126pt" strokecolor="#000000">
              <v:stroke dashstyle="solid"/>
            </v:line>
            <v:line style="position:absolute" from="3745,-723" to="3740,-718" stroked="true" strokeweight=".258626pt" strokecolor="#000000">
              <v:stroke dashstyle="solid"/>
            </v:line>
            <v:line style="position:absolute" from="3737,-714" to="3742,-714" stroked="true" strokeweight=".389901pt" strokecolor="#000000">
              <v:stroke dashstyle="solid"/>
            </v:line>
            <v:line style="position:absolute" from="3740,-710" to="3747,-705" stroked="true" strokeweight=".259126pt" strokecolor="#000000">
              <v:stroke dashstyle="solid"/>
            </v:line>
            <v:line style="position:absolute" from="3747,-705" to="3765,-700" stroked="true" strokeweight=".259735pt" strokecolor="#000000">
              <v:stroke dashstyle="solid"/>
            </v:line>
            <v:line style="position:absolute" from="9038,-284" to="9208,-934" stroked="true" strokeweight=".25751pt" strokecolor="#000000">
              <v:stroke dashstyle="solid"/>
            </v:line>
            <v:shape style="position:absolute;left:9156;top:-1002;width:91;height:102" coordorigin="9157,-1001" coordsize="91,102" path="m9247,-900l9242,-905,9231,-910,9226,-915,9219,-918,9213,-921,9208,-921,9201,-923,9195,-923,9190,-926,9165,-926,9157,-923,9226,-1001,9247,-900xe" filled="true" fillcolor="#000000" stroked="false">
              <v:path arrowok="t"/>
              <v:fill type="solid"/>
            </v:shape>
            <v:line style="position:absolute" from="9301,-284" to="9468,-934" stroked="true" strokeweight=".257506pt" strokecolor="#000000">
              <v:stroke dashstyle="solid"/>
            </v:line>
            <v:shape style="position:absolute;left:9419;top:-1002;width:88;height:102" coordorigin="9419,-1001" coordsize="88,102" path="m9507,-900l9502,-905,9491,-910,9486,-915,9476,-921,9468,-921,9463,-923,9458,-923,9450,-926,9424,-926,9419,-923,9486,-1001,9507,-900xe" filled="true" fillcolor="#000000" stroked="false">
              <v:path arrowok="t"/>
              <v:fill type="solid"/>
            </v:shape>
            <v:line style="position:absolute" from="9561,-284" to="9731,-934" stroked="true" strokeweight=".25751pt" strokecolor="#000000">
              <v:stroke dashstyle="solid"/>
            </v:line>
            <v:shape style="position:absolute;left:9679;top:-1002;width:91;height:102" coordorigin="9679,-1001" coordsize="91,102" path="m9769,-900l9764,-905,9754,-910,9749,-915,9741,-918,9736,-921,9731,-921,9723,-923,9718,-923,9713,-926,9687,-926,9679,-923,9749,-1001,9769,-900xe" filled="true" fillcolor="#000000" stroked="false">
              <v:path arrowok="t"/>
              <v:fill type="solid"/>
            </v:shape>
            <v:line style="position:absolute" from="9823,-284" to="9991,-934" stroked="true" strokeweight=".257506pt" strokecolor="#000000">
              <v:stroke dashstyle="solid"/>
            </v:line>
            <v:shape style="position:absolute;left:9941;top:-1002;width:88;height:102" coordorigin="9942,-1001" coordsize="88,102" path="m10029,-900l10024,-905,10014,-910,10009,-915,9998,-921,9991,-921,9985,-923,9980,-923,9973,-926,9947,-926,9942,-923,10009,-1001,10029,-900xe" filled="true" fillcolor="#000000" stroked="false">
              <v:path arrowok="t"/>
              <v:fill type="solid"/>
            </v:shape>
            <v:line style="position:absolute" from="9424,-323" to="9435,-317" stroked="true" strokeweight=".259408pt" strokecolor="#000000">
              <v:stroke dashstyle="solid"/>
            </v:line>
            <v:line style="position:absolute" from="9435,-317" to="9442,-312" stroked="true" strokeweight=".259126pt" strokecolor="#000000">
              <v:stroke dashstyle="solid"/>
            </v:line>
            <v:line style="position:absolute" from="9442,-312" to="9445,-310" stroked="true" strokeweight=".258626pt" strokecolor="#000000">
              <v:stroke dashstyle="solid"/>
            </v:line>
            <v:line style="position:absolute" from="9445,-310" to="9448,-304" stroked="true" strokeweight=".257854pt" strokecolor="#000000">
              <v:stroke dashstyle="solid"/>
            </v:line>
            <v:line style="position:absolute" from="9448,-297" to="9435,-289" stroked="true" strokeweight=".259238pt" strokecolor="#000000">
              <v:stroke dashstyle="solid"/>
            </v:line>
            <v:line style="position:absolute" from="9435,-289" to="9424,-281" stroked="true" strokeweight=".25899pt" strokecolor="#000000">
              <v:stroke dashstyle="solid"/>
            </v:line>
            <v:line style="position:absolute" from="9424,-281" to="9414,-276" stroked="true" strokeweight=".259408pt" strokecolor="#000000">
              <v:stroke dashstyle="solid"/>
            </v:line>
            <v:line style="position:absolute" from="9414,-276" to="9404,-271" stroked="true" strokeweight=".259408pt" strokecolor="#000000">
              <v:stroke dashstyle="solid"/>
            </v:line>
            <v:line style="position:absolute" from="9404,-271" to="9399,-263" stroked="true" strokeweight=".258130pt" strokecolor="#000000">
              <v:stroke dashstyle="solid"/>
            </v:line>
            <v:line style="position:absolute" from="9396,-260" to="9401,-260" stroked="true" strokeweight=".259934pt" strokecolor="#000000">
              <v:stroke dashstyle="solid"/>
            </v:line>
            <v:line style="position:absolute" from="9399,-258" to="9406,-252" stroked="true" strokeweight=".259126pt" strokecolor="#000000">
              <v:stroke dashstyle="solid"/>
            </v:line>
            <v:line style="position:absolute" from="9406,-252" to="9424,-247" stroked="true" strokeweight=".259735pt" strokecolor="#000000">
              <v:stroke dashstyle="solid"/>
            </v:line>
            <v:line style="position:absolute" from="9442,-323" to="9453,-317" stroked="true" strokeweight=".259408pt" strokecolor="#000000">
              <v:stroke dashstyle="solid"/>
            </v:line>
            <v:line style="position:absolute" from="9453,-317" to="9460,-312" stroked="true" strokeweight=".259126pt" strokecolor="#000000">
              <v:stroke dashstyle="solid"/>
            </v:line>
            <v:line style="position:absolute" from="9460,-312" to="9466,-310" stroked="true" strokeweight=".259408pt" strokecolor="#000000">
              <v:stroke dashstyle="solid"/>
            </v:line>
            <v:line style="position:absolute" from="9463,-307" to="9468,-307" stroked="true" strokeweight=".259934pt" strokecolor="#000000">
              <v:stroke dashstyle="solid"/>
            </v:line>
            <v:line style="position:absolute" from="9463,-303" to="9468,-303" stroked="true" strokeweight=".129967pt" strokecolor="#000000">
              <v:stroke dashstyle="solid"/>
            </v:line>
            <v:line style="position:absolute" from="9466,-297" to="9453,-289" stroked="true" strokeweight=".259238pt" strokecolor="#000000">
              <v:stroke dashstyle="solid"/>
            </v:line>
            <v:line style="position:absolute" from="9453,-289" to="9442,-281" stroked="true" strokeweight=".25899pt" strokecolor="#000000">
              <v:stroke dashstyle="solid"/>
            </v:line>
            <v:line style="position:absolute" from="9442,-281" to="9432,-276" stroked="true" strokeweight=".259408pt" strokecolor="#000000">
              <v:stroke dashstyle="solid"/>
            </v:line>
            <v:line style="position:absolute" from="9432,-276" to="9424,-271" stroked="true" strokeweight=".259126pt" strokecolor="#000000">
              <v:stroke dashstyle="solid"/>
            </v:line>
            <v:line style="position:absolute" from="9424,-271" to="9417,-263" stroked="true" strokeweight=".258626pt" strokecolor="#000000">
              <v:stroke dashstyle="solid"/>
            </v:line>
            <v:line style="position:absolute" from="9417,-263" to="9419,-258" stroked="true" strokeweight=".257854pt" strokecolor="#000000">
              <v:stroke dashstyle="solid"/>
            </v:line>
            <v:line style="position:absolute" from="9419,-258" to="9427,-252" stroked="true" strokeweight=".259126pt" strokecolor="#000000">
              <v:stroke dashstyle="solid"/>
            </v:line>
            <v:line style="position:absolute" from="9427,-252" to="9442,-247" stroked="true" strokeweight=".25967pt" strokecolor="#000000">
              <v:stroke dashstyle="solid"/>
            </v:line>
            <v:line style="position:absolute" from="2656,-1718" to="2692,-1869" stroked="true" strokeweight=".257485pt" strokecolor="#000000">
              <v:stroke dashstyle="solid"/>
            </v:line>
            <v:line style="position:absolute" from="2692,-1869" to="10606,-1869" stroked="true" strokeweight=".259934pt" strokecolor="#000000">
              <v:stroke dashstyle="solid"/>
            </v:line>
            <v:line style="position:absolute" from="2543,-1869" to="2656,-1869" stroked="true" strokeweight=".259934pt" strokecolor="#000000">
              <v:stroke dashstyle="solid"/>
            </v:line>
            <v:line style="position:absolute" from="2656,-1869" to="2692,-1718" stroked="true" strokeweight=".257485pt" strokecolor="#000000">
              <v:stroke dashstyle="solid"/>
            </v:line>
            <v:line style="position:absolute" from="2543,-2020" to="2656,-2020" stroked="true" strokeweight=".259934pt" strokecolor="#000000">
              <v:stroke dashstyle="solid"/>
            </v:line>
            <v:line style="position:absolute" from="2656,-2020" to="2692,-2170" stroked="true" strokeweight=".257485pt" strokecolor="#000000">
              <v:stroke dashstyle="solid"/>
            </v:line>
            <v:line style="position:absolute" from="2692,-2170" to="10606,-2170" stroked="true" strokeweight=".259934pt" strokecolor="#000000">
              <v:stroke dashstyle="solid"/>
            </v:line>
            <v:line style="position:absolute" from="2656,-2321" to="2692,-2472" stroked="true" strokeweight=".257485pt" strokecolor="#000000">
              <v:stroke dashstyle="solid"/>
            </v:line>
            <v:line style="position:absolute" from="2692,-2472" to="7731,-2472" stroked="true" strokeweight=".259934pt" strokecolor="#000000">
              <v:stroke dashstyle="solid"/>
            </v:line>
            <v:line style="position:absolute" from="7731,-2472" to="7770,-2321" stroked="true" strokeweight=".257504pt" strokecolor="#000000">
              <v:stroke dashstyle="solid"/>
            </v:line>
            <v:line style="position:absolute" from="7770,-2321" to="10606,-2321" stroked="true" strokeweight=".259934pt" strokecolor="#000000">
              <v:stroke dashstyle="solid"/>
            </v:line>
            <v:rect style="position:absolute;left:1465;top:-2520;width:9295;height:2365" filled="false" stroked="true" strokeweight=".5pt" strokecolor="#000000">
              <v:stroke dashstyle="solid"/>
            </v:rect>
            <v:shape style="position:absolute;left:1745;top:-2478;width:8881;height:1056" type="#_x0000_t202" filled="false" stroked="false">
              <v:textbox inset="0,0,0,0">
                <w:txbxContent>
                  <w:p>
                    <w:pPr>
                      <w:spacing w:line="484" w:lineRule="auto" w:before="0"/>
                      <w:ind w:left="54" w:right="7341" w:firstLine="406"/>
                      <w:jc w:val="left"/>
                      <w:rPr>
                        <w:sz w:val="13"/>
                      </w:rPr>
                    </w:pPr>
                    <w:r>
                      <w:rPr>
                        <w:w w:val="105"/>
                        <w:sz w:val="13"/>
                      </w:rPr>
                      <w:t>CK32 MUX_SYNC</w:t>
                    </w:r>
                  </w:p>
                  <w:p>
                    <w:pPr>
                      <w:tabs>
                        <w:tab w:pos="5082" w:val="left" w:leader="none"/>
                        <w:tab w:pos="8860" w:val="left" w:leader="none"/>
                      </w:tabs>
                      <w:spacing w:line="149" w:lineRule="exact" w:before="0"/>
                      <w:ind w:left="0" w:right="0" w:firstLine="0"/>
                      <w:jc w:val="left"/>
                      <w:rPr>
                        <w:sz w:val="13"/>
                      </w:rPr>
                    </w:pPr>
                    <w:r>
                      <w:rPr>
                        <w:w w:val="105"/>
                        <w:sz w:val="13"/>
                      </w:rPr>
                      <w:t>MUX_STATE</w:t>
                    </w:r>
                    <w:r>
                      <w:rPr>
                        <w:w w:val="105"/>
                        <w:sz w:val="13"/>
                        <w:u w:val="single"/>
                      </w:rPr>
                      <w:t> </w:t>
                      <w:tab/>
                      <w:t>S</w:t>
                    </w:r>
                    <w:r>
                      <w:rPr>
                        <w:sz w:val="13"/>
                        <w:u w:val="single"/>
                      </w:rPr>
                      <w:tab/>
                    </w:r>
                  </w:p>
                  <w:p>
                    <w:pPr>
                      <w:spacing w:line="240" w:lineRule="auto" w:before="2"/>
                      <w:rPr>
                        <w:sz w:val="13"/>
                      </w:rPr>
                    </w:pPr>
                  </w:p>
                  <w:p>
                    <w:pPr>
                      <w:spacing w:before="0"/>
                      <w:ind w:left="270" w:right="0" w:firstLine="0"/>
                      <w:jc w:val="left"/>
                      <w:rPr>
                        <w:rFonts w:ascii="Times New Roman"/>
                        <w:sz w:val="13"/>
                      </w:rPr>
                    </w:pPr>
                    <w:r>
                      <w:rPr>
                        <w:w w:val="105"/>
                        <w:sz w:val="13"/>
                      </w:rPr>
                      <w:t>CKTEST</w:t>
                    </w:r>
                    <w:r>
                      <w:rPr>
                        <w:rFonts w:ascii="Times New Roman"/>
                        <w:w w:val="105"/>
                        <w:sz w:val="13"/>
                        <w:u w:val="single"/>
                      </w:rPr>
                      <w:t> </w:t>
                    </w:r>
                    <w:r>
                      <w:rPr>
                        <w:rFonts w:ascii="Times New Roman"/>
                        <w:sz w:val="13"/>
                        <w:u w:val="single"/>
                      </w:rPr>
                      <w:t> </w:t>
                    </w:r>
                  </w:p>
                </w:txbxContent>
              </v:textbox>
              <w10:wrap type="none"/>
            </v:shape>
            <v:shape style="position:absolute;left:2218;top:-1272;width:756;height:360" type="#_x0000_t202" filled="false" stroked="false">
              <v:textbox inset="0,0,0,0">
                <w:txbxContent>
                  <w:p>
                    <w:pPr>
                      <w:tabs>
                        <w:tab w:pos="735" w:val="left" w:leader="none"/>
                      </w:tabs>
                      <w:spacing w:before="0"/>
                      <w:ind w:left="0" w:right="0" w:firstLine="0"/>
                      <w:jc w:val="left"/>
                      <w:rPr>
                        <w:rFonts w:ascii="Times New Roman"/>
                        <w:sz w:val="13"/>
                      </w:rPr>
                    </w:pPr>
                    <w:r>
                      <w:rPr>
                        <w:w w:val="105"/>
                        <w:sz w:val="13"/>
                      </w:rPr>
                      <w:t>RTM</w:t>
                    </w:r>
                    <w:r>
                      <w:rPr>
                        <w:spacing w:val="-1"/>
                        <w:sz w:val="13"/>
                      </w:rPr>
                      <w:t> </w:t>
                    </w:r>
                    <w:r>
                      <w:rPr>
                        <w:rFonts w:ascii="Times New Roman"/>
                        <w:w w:val="102"/>
                        <w:sz w:val="13"/>
                        <w:u w:val="single"/>
                      </w:rPr>
                      <w:t> </w:t>
                    </w:r>
                    <w:r>
                      <w:rPr>
                        <w:rFonts w:ascii="Times New Roman"/>
                        <w:sz w:val="13"/>
                        <w:u w:val="single"/>
                      </w:rPr>
                      <w:tab/>
                    </w:r>
                  </w:p>
                  <w:p>
                    <w:pPr>
                      <w:spacing w:before="95"/>
                      <w:ind w:left="434" w:right="0" w:firstLine="0"/>
                      <w:jc w:val="left"/>
                      <w:rPr>
                        <w:sz w:val="10"/>
                      </w:rPr>
                    </w:pPr>
                    <w:r>
                      <w:rPr>
                        <w:sz w:val="10"/>
                      </w:rPr>
                      <w:t>FLAG</w:t>
                    </w:r>
                  </w:p>
                </w:txbxContent>
              </v:textbox>
              <w10:wrap type="none"/>
            </v:shape>
            <v:shape style="position:absolute;left:3392;top:-1252;width:852;height:114" type="#_x0000_t202" filled="false" stroked="false">
              <v:textbox inset="0,0,0,0">
                <w:txbxContent>
                  <w:p>
                    <w:pPr>
                      <w:spacing w:line="113" w:lineRule="exact" w:before="0"/>
                      <w:ind w:left="0" w:right="0" w:firstLine="0"/>
                      <w:jc w:val="left"/>
                      <w:rPr>
                        <w:sz w:val="10"/>
                      </w:rPr>
                    </w:pPr>
                    <w:r>
                      <w:rPr>
                        <w:sz w:val="10"/>
                      </w:rPr>
                      <w:t>0 1 30 31</w:t>
                    </w:r>
                  </w:p>
                </w:txbxContent>
              </v:textbox>
              <w10:wrap type="none"/>
            </v:shape>
            <v:shape style="position:absolute;left:5332;top:-1252;width:854;height:114" type="#_x0000_t202" filled="false" stroked="false">
              <v:textbox inset="0,0,0,0">
                <w:txbxContent>
                  <w:p>
                    <w:pPr>
                      <w:spacing w:line="113" w:lineRule="exact" w:before="0"/>
                      <w:ind w:left="0" w:right="0" w:firstLine="0"/>
                      <w:jc w:val="left"/>
                      <w:rPr>
                        <w:sz w:val="10"/>
                      </w:rPr>
                    </w:pPr>
                    <w:r>
                      <w:rPr>
                        <w:sz w:val="10"/>
                      </w:rPr>
                      <w:t>0 1 30 31</w:t>
                    </w:r>
                  </w:p>
                </w:txbxContent>
              </v:textbox>
              <w10:wrap type="none"/>
            </v:shape>
            <v:shape style="position:absolute;left:7275;top:-1252;width:852;height:114" type="#_x0000_t202" filled="false" stroked="false">
              <v:textbox inset="0,0,0,0">
                <w:txbxContent>
                  <w:p>
                    <w:pPr>
                      <w:spacing w:line="113" w:lineRule="exact" w:before="0"/>
                      <w:ind w:left="0" w:right="0" w:firstLine="0"/>
                      <w:jc w:val="left"/>
                      <w:rPr>
                        <w:sz w:val="10"/>
                      </w:rPr>
                    </w:pPr>
                    <w:r>
                      <w:rPr>
                        <w:sz w:val="10"/>
                      </w:rPr>
                      <w:t>0 1 30 31</w:t>
                    </w:r>
                  </w:p>
                </w:txbxContent>
              </v:textbox>
              <w10:wrap type="none"/>
            </v:shape>
            <v:shape style="position:absolute;left:9215;top:-1252;width:852;height:114" type="#_x0000_t202" filled="false" stroked="false">
              <v:textbox inset="0,0,0,0">
                <w:txbxContent>
                  <w:p>
                    <w:pPr>
                      <w:spacing w:line="113" w:lineRule="exact" w:before="0"/>
                      <w:ind w:left="0" w:right="0" w:firstLine="0"/>
                      <w:jc w:val="left"/>
                      <w:rPr>
                        <w:sz w:val="10"/>
                      </w:rPr>
                    </w:pPr>
                    <w:r>
                      <w:rPr>
                        <w:sz w:val="10"/>
                      </w:rPr>
                      <w:t>0 1 30 31</w:t>
                    </w:r>
                  </w:p>
                </w:txbxContent>
              </v:textbox>
              <w10:wrap type="none"/>
            </v:shape>
            <v:shape style="position:absolute;left:4596;top:-1025;width:284;height:114" type="#_x0000_t202" filled="false" stroked="false">
              <v:textbox inset="0,0,0,0">
                <w:txbxContent>
                  <w:p>
                    <w:pPr>
                      <w:spacing w:line="113" w:lineRule="exact" w:before="0"/>
                      <w:ind w:left="0" w:right="0" w:firstLine="0"/>
                      <w:jc w:val="left"/>
                      <w:rPr>
                        <w:sz w:val="10"/>
                      </w:rPr>
                    </w:pPr>
                    <w:r>
                      <w:rPr>
                        <w:sz w:val="10"/>
                      </w:rPr>
                      <w:t>FLAG</w:t>
                    </w:r>
                  </w:p>
                </w:txbxContent>
              </v:textbox>
              <w10:wrap type="none"/>
            </v:shape>
            <v:shape style="position:absolute;left:6536;top:-1025;width:284;height:114" type="#_x0000_t202" filled="false" stroked="false">
              <v:textbox inset="0,0,0,0">
                <w:txbxContent>
                  <w:p>
                    <w:pPr>
                      <w:spacing w:line="113" w:lineRule="exact" w:before="0"/>
                      <w:ind w:left="0" w:right="0" w:firstLine="0"/>
                      <w:jc w:val="left"/>
                      <w:rPr>
                        <w:sz w:val="10"/>
                      </w:rPr>
                    </w:pPr>
                    <w:r>
                      <w:rPr>
                        <w:sz w:val="10"/>
                      </w:rPr>
                      <w:t>FLAG</w:t>
                    </w:r>
                  </w:p>
                </w:txbxContent>
              </v:textbox>
              <w10:wrap type="none"/>
            </v:shape>
            <v:shape style="position:absolute;left:8477;top:-1025;width:284;height:114" type="#_x0000_t202" filled="false" stroked="false">
              <v:textbox inset="0,0,0,0">
                <w:txbxContent>
                  <w:p>
                    <w:pPr>
                      <w:spacing w:line="113" w:lineRule="exact" w:before="0"/>
                      <w:ind w:left="0" w:right="0" w:firstLine="0"/>
                      <w:jc w:val="left"/>
                      <w:rPr>
                        <w:sz w:val="10"/>
                      </w:rPr>
                    </w:pPr>
                    <w:r>
                      <w:rPr>
                        <w:sz w:val="10"/>
                      </w:rPr>
                      <w:t>FLAG</w:t>
                    </w:r>
                  </w:p>
                </w:txbxContent>
              </v:textbox>
              <w10:wrap type="none"/>
            </v:shape>
            <v:shape style="position:absolute;left:1508;top:-800;width:8335;height:567" type="#_x0000_t202" filled="false" stroked="false">
              <v:textbox inset="0,0,0,0">
                <w:txbxContent>
                  <w:p>
                    <w:pPr>
                      <w:spacing w:line="314" w:lineRule="auto" w:before="0"/>
                      <w:ind w:left="0" w:right="7372" w:firstLine="0"/>
                      <w:jc w:val="both"/>
                      <w:rPr>
                        <w:sz w:val="10"/>
                      </w:rPr>
                    </w:pPr>
                    <w:r>
                      <w:rPr>
                        <w:sz w:val="10"/>
                      </w:rPr>
                      <w:t>RTM DATA0 (32 bits) RTM DATA1 (32 bits) RTM DATA2 (32 bits)</w:t>
                    </w:r>
                  </w:p>
                  <w:p>
                    <w:pPr>
                      <w:tabs>
                        <w:tab w:pos="8314" w:val="left" w:leader="none"/>
                      </w:tabs>
                      <w:spacing w:before="0"/>
                      <w:ind w:left="0" w:right="0" w:firstLine="0"/>
                      <w:jc w:val="both"/>
                      <w:rPr>
                        <w:rFonts w:ascii="Times New Roman"/>
                        <w:sz w:val="10"/>
                      </w:rPr>
                    </w:pPr>
                    <w:r>
                      <w:rPr>
                        <w:sz w:val="10"/>
                      </w:rPr>
                      <w:t>RTM DATA3 (32</w:t>
                    </w:r>
                    <w:r>
                      <w:rPr>
                        <w:spacing w:val="-4"/>
                        <w:sz w:val="10"/>
                      </w:rPr>
                      <w:t> </w:t>
                    </w:r>
                    <w:r>
                      <w:rPr>
                        <w:sz w:val="10"/>
                      </w:rPr>
                      <w:t>bits)</w:t>
                    </w:r>
                    <w:r>
                      <w:rPr>
                        <w:rFonts w:ascii="Times New Roman"/>
                        <w:sz w:val="10"/>
                        <w:u w:val="single"/>
                      </w:rPr>
                      <w:t> </w:t>
                      <w:tab/>
                    </w:r>
                  </w:p>
                </w:txbxContent>
              </v:textbox>
              <w10:wrap type="none"/>
            </v:shape>
            <w10:wrap type="none"/>
          </v:group>
        </w:pict>
      </w:r>
      <w:r>
        <w:rPr/>
        <w:pict>
          <v:shape style="position:absolute;margin-left:159.915195pt;margin-top:-44.68270pt;width:9.65pt;height:5.05pt;mso-position-horizontal-relative:page;mso-position-vertical-relative:paragraph;z-index:15742976;rotation:290" type="#_x0000_t136" fillcolor="#000000" stroked="f">
            <o:extrusion v:ext="view" autorotationcenter="t"/>
            <v:textpath style="font-family:&quot;Arial&quot;;font-size:5pt;v-text-kern:t;mso-text-shadow:auto" string="LSB"/>
            <w10:wrap type="none"/>
          </v:shape>
        </w:pict>
      </w:r>
      <w:r>
        <w:rPr/>
        <w:pict>
          <v:shape style="position:absolute;margin-left:197.369379pt;margin-top:-45.302236pt;width:12.35pt;height:5.05pt;mso-position-horizontal-relative:page;mso-position-vertical-relative:paragraph;z-index:15743488;rotation:290" type="#_x0000_t136" fillcolor="#000000" stroked="f">
            <o:extrusion v:ext="view" autorotationcenter="t"/>
            <v:textpath style="font-family:&quot;Arial&quot;;font-size:5pt;v-text-kern:t;mso-text-shadow:auto" string="SIGN"/>
            <w10:wrap type="none"/>
          </v:shape>
        </w:pict>
      </w:r>
      <w:r>
        <w:rPr/>
        <w:pict>
          <v:shape style="position:absolute;margin-left:257.190387pt;margin-top:-44.680495pt;width:9.65pt;height:5.05pt;mso-position-horizontal-relative:page;mso-position-vertical-relative:paragraph;z-index:15744000;rotation:290" type="#_x0000_t136" fillcolor="#000000" stroked="f">
            <o:extrusion v:ext="view" autorotationcenter="t"/>
            <v:textpath style="font-family:&quot;Arial&quot;;font-size:5pt;v-text-kern:t;mso-text-shadow:auto" string="LSB"/>
            <w10:wrap type="none"/>
          </v:shape>
        </w:pict>
      </w:r>
      <w:r>
        <w:rPr/>
        <w:pict>
          <v:shape style="position:absolute;margin-left:294.772882pt;margin-top:-45.299223pt;width:12.35pt;height:5.05pt;mso-position-horizontal-relative:page;mso-position-vertical-relative:paragraph;z-index:15744512;rotation:290" type="#_x0000_t136" fillcolor="#000000" stroked="f">
            <o:extrusion v:ext="view" autorotationcenter="t"/>
            <v:textpath style="font-family:&quot;Arial&quot;;font-size:5pt;v-text-kern:t;mso-text-shadow:auto" string="SIGN"/>
            <w10:wrap type="none"/>
          </v:shape>
        </w:pict>
      </w:r>
      <w:r>
        <w:rPr/>
        <w:pict>
          <v:shape style="position:absolute;margin-left:354.208392pt;margin-top:-44.6785pt;width:9.65pt;height:5.05pt;mso-position-horizontal-relative:page;mso-position-vertical-relative:paragraph;z-index:15745024;rotation:290" type="#_x0000_t136" fillcolor="#000000" stroked="f">
            <o:extrusion v:ext="view" autorotationcenter="t"/>
            <v:textpath style="font-family:&quot;Arial&quot;;font-size:5pt;v-text-kern:t;mso-text-shadow:auto" string="LSB"/>
            <w10:wrap type="none"/>
          </v:shape>
        </w:pict>
      </w:r>
      <w:r>
        <w:rPr/>
        <w:pict>
          <v:shape style="position:absolute;margin-left:391.790277pt;margin-top:-45.036016pt;width:12.35pt;height:5.05pt;mso-position-horizontal-relative:page;mso-position-vertical-relative:paragraph;z-index:15745536;rotation:290" type="#_x0000_t136" fillcolor="#000000" stroked="f">
            <o:extrusion v:ext="view" autorotationcenter="t"/>
            <v:textpath style="font-family:&quot;Arial&quot;;font-size:5pt;v-text-kern:t;mso-text-shadow:auto" string="SIGN"/>
            <w10:wrap type="none"/>
          </v:shape>
        </w:pict>
      </w:r>
      <w:r>
        <w:rPr/>
        <w:pict>
          <v:shape style="position:absolute;margin-left:451.098193pt;margin-top:-44.677409pt;width:9.65pt;height:5.05pt;mso-position-horizontal-relative:page;mso-position-vertical-relative:paragraph;z-index:15746048;rotation:290" type="#_x0000_t136" fillcolor="#000000" stroked="f">
            <o:extrusion v:ext="view" autorotationcenter="t"/>
            <v:textpath style="font-family:&quot;Arial&quot;;font-size:5pt;v-text-kern:t;mso-text-shadow:auto" string="LSB"/>
            <w10:wrap type="none"/>
          </v:shape>
        </w:pict>
      </w:r>
      <w:r>
        <w:rPr/>
        <w:pict>
          <v:shape style="position:absolute;margin-left:488.939111pt;margin-top:-45.036543pt;width:12.35pt;height:5.05pt;mso-position-horizontal-relative:page;mso-position-vertical-relative:paragraph;z-index:15746560;rotation:290" type="#_x0000_t136" fillcolor="#000000" stroked="f">
            <o:extrusion v:ext="view" autorotationcenter="t"/>
            <v:textpath style="font-family:&quot;Arial&quot;;font-size:5pt;v-text-kern:t;mso-text-shadow:auto" string="SIGN"/>
            <w10:wrap type="none"/>
          </v:shape>
        </w:pict>
      </w:r>
      <w:r>
        <w:rPr>
          <w:b/>
          <w:sz w:val="20"/>
        </w:rPr>
        <w:t>Figure 8: RTM Timing</w:t>
      </w:r>
    </w:p>
    <w:p>
      <w:pPr>
        <w:spacing w:after="0"/>
        <w:jc w:val="left"/>
        <w:rPr>
          <w:sz w:val="20"/>
        </w:rPr>
        <w:sectPr>
          <w:type w:val="continuous"/>
          <w:pgSz w:w="12240" w:h="15840"/>
          <w:pgMar w:top="940" w:bottom="280" w:left="820" w:right="860"/>
          <w:cols w:num="2" w:equalWidth="0">
            <w:col w:w="3205" w:space="453"/>
            <w:col w:w="6902"/>
          </w:cols>
        </w:sectPr>
      </w:pPr>
    </w:p>
    <w:p>
      <w:pPr>
        <w:pStyle w:val="BodyText"/>
        <w:spacing w:before="121"/>
        <w:ind w:left="620" w:right="559"/>
      </w:pPr>
      <w:r>
        <w:rPr/>
        <w:t>The 71M6543 provides four pulse generators, VPULSE, WPULSE, XPULSE and YPULSE. The XPULSE and YPULSE generators are used by standard CE code to output CE status indicators, for example the status of the sag detection, to DIO pins. All pulses can be configured to generate interrupts to the MPU.</w:t>
      </w:r>
    </w:p>
    <w:p>
      <w:pPr>
        <w:pStyle w:val="BodyText"/>
        <w:spacing w:before="119"/>
        <w:ind w:left="620" w:right="967"/>
      </w:pPr>
      <w:r>
        <w:rPr/>
        <w:t>The polarity of the pulses may be inverted with </w:t>
      </w:r>
      <w:r>
        <w:rPr>
          <w:rFonts w:ascii="Times New Roman"/>
          <w:i/>
        </w:rPr>
        <w:t>PLS_INV (I/O RAM 0x210C[0])</w:t>
      </w:r>
      <w:r>
        <w:rPr/>
        <w:t>. When this bit is set, the pulses are active high, rather than the more usual active low. </w:t>
      </w:r>
      <w:r>
        <w:rPr>
          <w:rFonts w:ascii="Times New Roman"/>
          <w:i/>
        </w:rPr>
        <w:t>PLS_INV </w:t>
      </w:r>
      <w:r>
        <w:rPr/>
        <w:t>inverts all the pulse outputs.</w:t>
      </w:r>
    </w:p>
    <w:p>
      <w:pPr>
        <w:pStyle w:val="BodyText"/>
        <w:spacing w:before="121"/>
        <w:ind w:left="620" w:right="522"/>
      </w:pPr>
      <w:r>
        <w:rPr/>
        <w:t>The function of each pulse generator is determined by the CE code and the MPU code must configure the corresponding pulse outputs in agreement with the CE code. For example, standard CE code produces a mains zero-crossing pulse on XPULSE and a SAG pulse on YPULSE.</w:t>
      </w:r>
    </w:p>
    <w:p>
      <w:pPr>
        <w:spacing w:after="0"/>
        <w:sectPr>
          <w:type w:val="continuous"/>
          <w:pgSz w:w="12240" w:h="15840"/>
          <w:pgMar w:top="940" w:bottom="280" w:left="820" w:right="860"/>
        </w:sectPr>
      </w:pPr>
    </w:p>
    <w:p>
      <w:pPr>
        <w:pStyle w:val="BodyText"/>
        <w:spacing w:before="8"/>
        <w:rPr>
          <w:sz w:val="16"/>
        </w:rPr>
      </w:pPr>
    </w:p>
    <w:p>
      <w:pPr>
        <w:pStyle w:val="BodyText"/>
        <w:spacing w:before="93"/>
        <w:ind w:left="620" w:right="649"/>
      </w:pPr>
      <w:r>
        <w:rPr/>
        <w:t>A common use of the zero-crossing pulses is to generate interrupts in order to drive real-time clock software in places where the mains frequency is sufficiently accurate to do so and also to adjust for crystal</w:t>
      </w:r>
      <w:r>
        <w:rPr>
          <w:spacing w:val="-9"/>
        </w:rPr>
        <w:t> </w:t>
      </w:r>
      <w:r>
        <w:rPr/>
        <w:t>aging.</w:t>
      </w:r>
      <w:r>
        <w:rPr>
          <w:spacing w:val="-8"/>
        </w:rPr>
        <w:t> </w:t>
      </w:r>
      <w:r>
        <w:rPr/>
        <w:t>A</w:t>
      </w:r>
      <w:r>
        <w:rPr>
          <w:spacing w:val="-12"/>
        </w:rPr>
        <w:t> </w:t>
      </w:r>
      <w:r>
        <w:rPr/>
        <w:t>common</w:t>
      </w:r>
      <w:r>
        <w:rPr>
          <w:spacing w:val="-12"/>
        </w:rPr>
        <w:t> </w:t>
      </w:r>
      <w:r>
        <w:rPr/>
        <w:t>use</w:t>
      </w:r>
      <w:r>
        <w:rPr>
          <w:spacing w:val="-11"/>
        </w:rPr>
        <w:t> </w:t>
      </w:r>
      <w:r>
        <w:rPr/>
        <w:t>for</w:t>
      </w:r>
      <w:r>
        <w:rPr>
          <w:spacing w:val="-11"/>
        </w:rPr>
        <w:t> </w:t>
      </w:r>
      <w:r>
        <w:rPr/>
        <w:t>the</w:t>
      </w:r>
      <w:r>
        <w:rPr>
          <w:spacing w:val="-10"/>
        </w:rPr>
        <w:t> </w:t>
      </w:r>
      <w:r>
        <w:rPr/>
        <w:t>SAG</w:t>
      </w:r>
      <w:r>
        <w:rPr>
          <w:spacing w:val="-8"/>
        </w:rPr>
        <w:t> </w:t>
      </w:r>
      <w:r>
        <w:rPr/>
        <w:t>pulse</w:t>
      </w:r>
      <w:r>
        <w:rPr>
          <w:spacing w:val="-10"/>
        </w:rPr>
        <w:t> </w:t>
      </w:r>
      <w:r>
        <w:rPr/>
        <w:t>is</w:t>
      </w:r>
      <w:r>
        <w:rPr>
          <w:spacing w:val="-8"/>
        </w:rPr>
        <w:t> </w:t>
      </w:r>
      <w:r>
        <w:rPr/>
        <w:t>to</w:t>
      </w:r>
      <w:r>
        <w:rPr>
          <w:spacing w:val="-9"/>
        </w:rPr>
        <w:t> </w:t>
      </w:r>
      <w:r>
        <w:rPr/>
        <w:t>generate</w:t>
      </w:r>
      <w:r>
        <w:rPr>
          <w:spacing w:val="-10"/>
        </w:rPr>
        <w:t> </w:t>
      </w:r>
      <w:r>
        <w:rPr/>
        <w:t>an</w:t>
      </w:r>
      <w:r>
        <w:rPr>
          <w:spacing w:val="-10"/>
        </w:rPr>
        <w:t> </w:t>
      </w:r>
      <w:r>
        <w:rPr>
          <w:spacing w:val="-3"/>
        </w:rPr>
        <w:t>interrupt</w:t>
      </w:r>
      <w:r>
        <w:rPr>
          <w:spacing w:val="-9"/>
        </w:rPr>
        <w:t> </w:t>
      </w:r>
      <w:r>
        <w:rPr/>
        <w:t>that</w:t>
      </w:r>
      <w:r>
        <w:rPr>
          <w:spacing w:val="-9"/>
        </w:rPr>
        <w:t> </w:t>
      </w:r>
      <w:r>
        <w:rPr/>
        <w:t>alerts</w:t>
      </w:r>
      <w:r>
        <w:rPr>
          <w:spacing w:val="-10"/>
        </w:rPr>
        <w:t> </w:t>
      </w:r>
      <w:r>
        <w:rPr/>
        <w:t>the</w:t>
      </w:r>
      <w:r>
        <w:rPr>
          <w:spacing w:val="-11"/>
        </w:rPr>
        <w:t> </w:t>
      </w:r>
      <w:r>
        <w:rPr/>
        <w:t>MPU</w:t>
      </w:r>
      <w:r>
        <w:rPr>
          <w:spacing w:val="-9"/>
        </w:rPr>
        <w:t> </w:t>
      </w:r>
      <w:r>
        <w:rPr/>
        <w:t>when</w:t>
      </w:r>
      <w:r>
        <w:rPr>
          <w:spacing w:val="-12"/>
        </w:rPr>
        <w:t> </w:t>
      </w:r>
      <w:r>
        <w:rPr>
          <w:spacing w:val="-3"/>
        </w:rPr>
        <w:t>mains </w:t>
      </w:r>
      <w:r>
        <w:rPr/>
        <w:t>power is about to fail, so that the MPU code can store accumulated energy and other data to EEPROM before the V3P3SYS supply voltage actually</w:t>
      </w:r>
      <w:r>
        <w:rPr>
          <w:spacing w:val="-9"/>
        </w:rPr>
        <w:t> </w:t>
      </w:r>
      <w:r>
        <w:rPr/>
        <w:t>drops.</w:t>
      </w:r>
    </w:p>
    <w:p>
      <w:pPr>
        <w:pStyle w:val="ListParagraph"/>
        <w:numPr>
          <w:ilvl w:val="3"/>
          <w:numId w:val="7"/>
        </w:numPr>
        <w:tabs>
          <w:tab w:pos="1341" w:val="left" w:leader="none"/>
        </w:tabs>
        <w:spacing w:line="240" w:lineRule="auto" w:before="120" w:after="0"/>
        <w:ind w:left="1340" w:right="0" w:hanging="721"/>
        <w:jc w:val="left"/>
        <w:rPr>
          <w:b/>
          <w:sz w:val="20"/>
        </w:rPr>
      </w:pPr>
      <w:bookmarkStart w:name="2.3.6.1 XPULSE and YPULSE" w:id="80"/>
      <w:bookmarkEnd w:id="80"/>
      <w:r>
        <w:rPr/>
      </w:r>
      <w:bookmarkStart w:name="2.3.6.1 XPULSE and YPULSE" w:id="81"/>
      <w:bookmarkEnd w:id="81"/>
      <w:r>
        <w:rPr>
          <w:b/>
          <w:sz w:val="20"/>
        </w:rPr>
        <w:t>XP</w:t>
      </w:r>
      <w:r>
        <w:rPr>
          <w:b/>
          <w:sz w:val="20"/>
        </w:rPr>
        <w:t>ULSE and YPULSE</w:t>
      </w:r>
    </w:p>
    <w:p>
      <w:pPr>
        <w:pStyle w:val="BodyText"/>
        <w:spacing w:before="79"/>
        <w:ind w:left="620" w:right="793"/>
      </w:pPr>
      <w:r>
        <w:rPr/>
        <w:t>Pulses generated by the CE may be exported to the XPULSE and YPULSE pulse output pins. Pins SEGDIO6 and SEGDIO7 are used for these pulses, respectively. Generally, the XPULSE and YPULSE outputs can be updated once on each pass of the CE code.</w:t>
      </w:r>
    </w:p>
    <w:p>
      <w:pPr>
        <w:pStyle w:val="BodyText"/>
        <w:spacing w:before="122"/>
        <w:ind w:left="620"/>
      </w:pPr>
      <w:r>
        <w:rPr/>
        <w:t>See </w:t>
      </w:r>
      <w:hyperlink w:history="true" w:anchor="_bookmark213">
        <w:r>
          <w:rPr>
            <w:color w:val="0000FF"/>
          </w:rPr>
          <w:t>5.3 </w:t>
        </w:r>
      </w:hyperlink>
      <w:hyperlink w:history="true" w:anchor="_bookmark213">
        <w:r>
          <w:rPr>
            <w:color w:val="0000FF"/>
          </w:rPr>
          <w:t>CE Interface Description </w:t>
        </w:r>
      </w:hyperlink>
      <w:r>
        <w:rPr/>
        <w:t>on page </w:t>
      </w:r>
      <w:hyperlink w:history="true" w:anchor="_bookmark213">
        <w:r>
          <w:rPr>
            <w:color w:val="0000FF"/>
          </w:rPr>
          <w:t>116 </w:t>
        </w:r>
      </w:hyperlink>
      <w:r>
        <w:rPr/>
        <w:t>for details.</w:t>
      </w:r>
    </w:p>
    <w:p>
      <w:pPr>
        <w:pStyle w:val="ListParagraph"/>
        <w:numPr>
          <w:ilvl w:val="3"/>
          <w:numId w:val="7"/>
        </w:numPr>
        <w:tabs>
          <w:tab w:pos="1341" w:val="left" w:leader="none"/>
        </w:tabs>
        <w:spacing w:line="240" w:lineRule="auto" w:before="120" w:after="0"/>
        <w:ind w:left="1340" w:right="0" w:hanging="721"/>
        <w:jc w:val="left"/>
        <w:rPr>
          <w:b/>
          <w:sz w:val="20"/>
        </w:rPr>
      </w:pPr>
      <w:bookmarkStart w:name="2.3.6.2 VPULSE and WPULSE" w:id="82"/>
      <w:bookmarkEnd w:id="82"/>
      <w:r>
        <w:rPr/>
      </w:r>
      <w:bookmarkStart w:name="_bookmark35" w:id="83"/>
      <w:bookmarkEnd w:id="83"/>
      <w:r>
        <w:rPr/>
      </w:r>
      <w:bookmarkStart w:name="_bookmark35" w:id="84"/>
      <w:bookmarkEnd w:id="84"/>
      <w:r>
        <w:rPr>
          <w:b/>
          <w:sz w:val="20"/>
        </w:rPr>
        <w:t>VP</w:t>
      </w:r>
      <w:r>
        <w:rPr>
          <w:b/>
          <w:sz w:val="20"/>
        </w:rPr>
        <w:t>ULSE and</w:t>
      </w:r>
      <w:r>
        <w:rPr>
          <w:b/>
          <w:spacing w:val="-1"/>
          <w:sz w:val="20"/>
        </w:rPr>
        <w:t> </w:t>
      </w:r>
      <w:r>
        <w:rPr>
          <w:b/>
          <w:sz w:val="20"/>
        </w:rPr>
        <w:t>WPULSE</w:t>
      </w:r>
    </w:p>
    <w:p>
      <w:pPr>
        <w:pStyle w:val="BodyText"/>
        <w:spacing w:before="80"/>
        <w:ind w:left="619" w:right="522"/>
      </w:pPr>
      <w:r>
        <w:rPr>
          <w:spacing w:val="-3"/>
        </w:rPr>
        <w:t>Referring </w:t>
      </w:r>
      <w:r>
        <w:rPr/>
        <w:t>to </w:t>
      </w:r>
      <w:hyperlink w:history="true" w:anchor="_bookmark36">
        <w:r>
          <w:rPr>
            <w:color w:val="0000FF"/>
          </w:rPr>
          <w:t>Figure 9</w:t>
        </w:r>
        <w:r>
          <w:rPr/>
          <w:t>, </w:t>
        </w:r>
      </w:hyperlink>
      <w:r>
        <w:rPr>
          <w:spacing w:val="-3"/>
        </w:rPr>
        <w:t>during </w:t>
      </w:r>
      <w:r>
        <w:rPr/>
        <w:t>each CE code </w:t>
      </w:r>
      <w:r>
        <w:rPr>
          <w:spacing w:val="-3"/>
        </w:rPr>
        <w:t>pass </w:t>
      </w:r>
      <w:r>
        <w:rPr/>
        <w:t>the </w:t>
      </w:r>
      <w:r>
        <w:rPr>
          <w:spacing w:val="-3"/>
        </w:rPr>
        <w:t>hardware stores exported </w:t>
      </w:r>
      <w:r>
        <w:rPr/>
        <w:t>WPULSE and </w:t>
      </w:r>
      <w:r>
        <w:rPr>
          <w:spacing w:val="-3"/>
        </w:rPr>
        <w:t>VPULSE sign bits </w:t>
      </w:r>
      <w:r>
        <w:rPr/>
        <w:t>in an </w:t>
      </w:r>
      <w:r>
        <w:rPr>
          <w:spacing w:val="-3"/>
        </w:rPr>
        <w:t>8-bit </w:t>
      </w:r>
      <w:r>
        <w:rPr/>
        <w:t>FIFO and </w:t>
      </w:r>
      <w:r>
        <w:rPr>
          <w:spacing w:val="-3"/>
        </w:rPr>
        <w:t>outputs them </w:t>
      </w:r>
      <w:r>
        <w:rPr/>
        <w:t>at a </w:t>
      </w:r>
      <w:r>
        <w:rPr>
          <w:spacing w:val="-3"/>
        </w:rPr>
        <w:t>specified </w:t>
      </w:r>
      <w:r>
        <w:rPr>
          <w:spacing w:val="-4"/>
        </w:rPr>
        <w:t>interval. </w:t>
      </w:r>
      <w:r>
        <w:rPr/>
        <w:t>This </w:t>
      </w:r>
      <w:r>
        <w:rPr>
          <w:spacing w:val="-3"/>
        </w:rPr>
        <w:t>permits </w:t>
      </w:r>
      <w:r>
        <w:rPr/>
        <w:t>the CE code to </w:t>
      </w:r>
      <w:r>
        <w:rPr>
          <w:spacing w:val="-3"/>
        </w:rPr>
        <w:t>calculate the VPULSE </w:t>
      </w:r>
      <w:r>
        <w:rPr/>
        <w:t>and WPULSE </w:t>
      </w:r>
      <w:r>
        <w:rPr>
          <w:spacing w:val="-3"/>
        </w:rPr>
        <w:t>outputs </w:t>
      </w:r>
      <w:r>
        <w:rPr/>
        <w:t>at the </w:t>
      </w:r>
      <w:r>
        <w:rPr>
          <w:spacing w:val="-3"/>
        </w:rPr>
        <w:t>beginning </w:t>
      </w:r>
      <w:r>
        <w:rPr/>
        <w:t>of </w:t>
      </w:r>
      <w:r>
        <w:rPr>
          <w:spacing w:val="-3"/>
        </w:rPr>
        <w:t>its code </w:t>
      </w:r>
      <w:r>
        <w:rPr/>
        <w:t>pass and to rely on </w:t>
      </w:r>
      <w:r>
        <w:rPr>
          <w:spacing w:val="-3"/>
        </w:rPr>
        <w:t>hardware </w:t>
      </w:r>
      <w:r>
        <w:rPr/>
        <w:t>to </w:t>
      </w:r>
      <w:r>
        <w:rPr>
          <w:spacing w:val="-3"/>
        </w:rPr>
        <w:t>spread them over </w:t>
      </w:r>
      <w:r>
        <w:rPr/>
        <w:t>the </w:t>
      </w:r>
      <w:r>
        <w:rPr>
          <w:spacing w:val="-3"/>
        </w:rPr>
        <w:t>multiplexer frame. </w:t>
      </w:r>
      <w:r>
        <w:rPr/>
        <w:t>As seen in </w:t>
      </w:r>
      <w:hyperlink w:history="true" w:anchor="_bookmark36">
        <w:r>
          <w:rPr>
            <w:color w:val="0000FF"/>
          </w:rPr>
          <w:t>Figure 9</w:t>
        </w:r>
        <w:r>
          <w:rPr/>
          <w:t>, </w:t>
        </w:r>
      </w:hyperlink>
      <w:r>
        <w:rPr/>
        <w:t>the FIFO is reset at the beginning of each multiplexer frame. As also seen in </w:t>
      </w:r>
      <w:hyperlink w:history="true" w:anchor="_bookmark36">
        <w:r>
          <w:rPr>
            <w:color w:val="0000FF"/>
          </w:rPr>
          <w:t>Figure 9</w:t>
        </w:r>
        <w:r>
          <w:rPr/>
          <w:t>, </w:t>
        </w:r>
      </w:hyperlink>
      <w:r>
        <w:rPr/>
        <w:t>the I/O RAM register </w:t>
      </w:r>
      <w:r>
        <w:rPr>
          <w:rFonts w:ascii="Times New Roman"/>
          <w:i/>
        </w:rPr>
        <w:t>PLS_INTERVAL[7:0] (I/O RAM 0x210B[7:0]) </w:t>
      </w:r>
      <w:r>
        <w:rPr/>
        <w:t>controls the delay to the </w:t>
      </w:r>
      <w:r>
        <w:rPr>
          <w:spacing w:val="2"/>
        </w:rPr>
        <w:t>first </w:t>
      </w:r>
      <w:r>
        <w:rPr/>
        <w:t>pulse update and the interval between subsequent updates. The LSB of </w:t>
      </w:r>
      <w:r>
        <w:rPr>
          <w:spacing w:val="-3"/>
        </w:rPr>
        <w:t>the </w:t>
      </w:r>
      <w:r>
        <w:rPr>
          <w:rFonts w:ascii="Times New Roman"/>
          <w:i/>
          <w:spacing w:val="-3"/>
        </w:rPr>
        <w:t>PLS_INTERVAL[7:0] </w:t>
      </w:r>
      <w:r>
        <w:rPr/>
        <w:t>register is </w:t>
      </w:r>
      <w:r>
        <w:rPr>
          <w:spacing w:val="-3"/>
        </w:rPr>
        <w:t>equivalent </w:t>
      </w:r>
      <w:r>
        <w:rPr/>
        <w:t>to 4 </w:t>
      </w:r>
      <w:r>
        <w:rPr>
          <w:spacing w:val="-3"/>
        </w:rPr>
        <w:t>CK_FIR cycles (CK_FIR </w:t>
      </w:r>
      <w:r>
        <w:rPr/>
        <w:t>is </w:t>
      </w:r>
      <w:r>
        <w:rPr>
          <w:spacing w:val="-3"/>
        </w:rPr>
        <w:t>typically 4.9152MHz </w:t>
      </w:r>
      <w:r>
        <w:rPr/>
        <w:t>if </w:t>
      </w:r>
      <w:r>
        <w:rPr>
          <w:rFonts w:ascii="Times New Roman"/>
          <w:i/>
          <w:spacing w:val="-3"/>
        </w:rPr>
        <w:t>PLL_FAST</w:t>
      </w:r>
      <w:r>
        <w:rPr>
          <w:spacing w:val="-3"/>
        </w:rPr>
        <w:t>=1 </w:t>
      </w:r>
      <w:r>
        <w:rPr/>
        <w:t>and </w:t>
      </w:r>
      <w:r>
        <w:rPr>
          <w:rFonts w:ascii="Times New Roman"/>
          <w:i/>
          <w:spacing w:val="-3"/>
        </w:rPr>
        <w:t>ADC_DIV</w:t>
      </w:r>
      <w:r>
        <w:rPr>
          <w:spacing w:val="-3"/>
        </w:rPr>
        <w:t>=0, </w:t>
      </w:r>
      <w:r>
        <w:rPr/>
        <w:t>but </w:t>
      </w:r>
      <w:r>
        <w:rPr>
          <w:spacing w:val="-3"/>
        </w:rPr>
        <w:t>other CK_FIR frequencies are possible; </w:t>
      </w:r>
      <w:r>
        <w:rPr/>
        <w:t>see the </w:t>
      </w:r>
      <w:r>
        <w:rPr>
          <w:spacing w:val="-3"/>
        </w:rPr>
        <w:t>ADC_DIV definition </w:t>
      </w:r>
      <w:r>
        <w:rPr/>
        <w:t>in </w:t>
      </w:r>
      <w:hyperlink w:history="true" w:anchor="_bookmark212">
        <w:r>
          <w:rPr>
            <w:color w:val="0000FF"/>
          </w:rPr>
          <w:t>Table 70</w:t>
        </w:r>
        <w:r>
          <w:rPr/>
          <w:t>.</w:t>
        </w:r>
      </w:hyperlink>
      <w:r>
        <w:rPr/>
        <w:t>) </w:t>
      </w:r>
      <w:r>
        <w:rPr>
          <w:spacing w:val="-3"/>
        </w:rPr>
        <w:t>If </w:t>
      </w:r>
      <w:r>
        <w:rPr>
          <w:rFonts w:ascii="Times New Roman"/>
          <w:i/>
          <w:spacing w:val="-3"/>
        </w:rPr>
        <w:t>PLS_INTERVAL[7:0]</w:t>
      </w:r>
      <w:r>
        <w:rPr>
          <w:spacing w:val="-3"/>
        </w:rPr>
        <w:t>=0</w:t>
      </w:r>
      <w:r>
        <w:rPr>
          <w:i/>
          <w:spacing w:val="-3"/>
        </w:rPr>
        <w:t>, </w:t>
      </w:r>
      <w:r>
        <w:rPr/>
        <w:t>the FIFO </w:t>
      </w:r>
      <w:r>
        <w:rPr>
          <w:spacing w:val="-3"/>
        </w:rPr>
        <w:t>is deactivated </w:t>
      </w:r>
      <w:r>
        <w:rPr/>
        <w:t>and the </w:t>
      </w:r>
      <w:r>
        <w:rPr>
          <w:spacing w:val="-3"/>
        </w:rPr>
        <w:t>pulse outputs </w:t>
      </w:r>
      <w:r>
        <w:rPr/>
        <w:t>are </w:t>
      </w:r>
      <w:r>
        <w:rPr>
          <w:spacing w:val="-3"/>
        </w:rPr>
        <w:t>updated immediately.</w:t>
      </w:r>
    </w:p>
    <w:p>
      <w:pPr>
        <w:pStyle w:val="BodyText"/>
        <w:spacing w:before="121"/>
        <w:ind w:left="619"/>
      </w:pPr>
      <w:r>
        <w:rPr/>
        <w:t>The MUX frame duration in units of CK_FIR clock cycles is given by:</w:t>
      </w:r>
    </w:p>
    <w:p>
      <w:pPr>
        <w:spacing w:before="115"/>
        <w:ind w:left="619" w:right="0" w:firstLine="0"/>
        <w:jc w:val="left"/>
        <w:rPr>
          <w:sz w:val="20"/>
        </w:rPr>
      </w:pPr>
      <w:r>
        <w:rPr>
          <w:sz w:val="20"/>
        </w:rPr>
        <w:t>If </w:t>
      </w:r>
      <w:r>
        <w:rPr>
          <w:rFonts w:ascii="Times New Roman"/>
          <w:i/>
          <w:sz w:val="20"/>
        </w:rPr>
        <w:t>PLL_FAST</w:t>
      </w:r>
      <w:r>
        <w:rPr>
          <w:sz w:val="20"/>
        </w:rPr>
        <w:t>=1:</w:t>
      </w:r>
    </w:p>
    <w:p>
      <w:pPr>
        <w:spacing w:before="120"/>
        <w:ind w:left="620" w:right="0" w:firstLine="0"/>
        <w:jc w:val="left"/>
        <w:rPr>
          <w:sz w:val="18"/>
        </w:rPr>
      </w:pPr>
      <w:r>
        <w:rPr>
          <w:sz w:val="18"/>
        </w:rPr>
        <w:t>MUX frame duration in CK_FIR cycles = [1 + (</w:t>
      </w:r>
      <w:r>
        <w:rPr>
          <w:rFonts w:ascii="Times New Roman"/>
          <w:i/>
          <w:sz w:val="20"/>
        </w:rPr>
        <w:t>FIR_LEN</w:t>
      </w:r>
      <w:r>
        <w:rPr>
          <w:sz w:val="18"/>
        </w:rPr>
        <w:t>+1) * (</w:t>
      </w:r>
      <w:r>
        <w:rPr>
          <w:rFonts w:ascii="Times New Roman"/>
          <w:i/>
          <w:sz w:val="20"/>
        </w:rPr>
        <w:t>ADC_DIV</w:t>
      </w:r>
      <w:r>
        <w:rPr>
          <w:sz w:val="18"/>
        </w:rPr>
        <w:t>+1) * (</w:t>
      </w:r>
      <w:r>
        <w:rPr>
          <w:rFonts w:ascii="Times New Roman"/>
          <w:i/>
          <w:sz w:val="20"/>
        </w:rPr>
        <w:t>MUX_DIV</w:t>
      </w:r>
      <w:r>
        <w:rPr>
          <w:sz w:val="18"/>
        </w:rPr>
        <w:t>)] * [150 / (</w:t>
      </w:r>
      <w:r>
        <w:rPr>
          <w:rFonts w:ascii="Times New Roman"/>
          <w:i/>
          <w:sz w:val="20"/>
        </w:rPr>
        <w:t>ADC_DIV</w:t>
      </w:r>
      <w:r>
        <w:rPr>
          <w:sz w:val="18"/>
        </w:rPr>
        <w:t>+1)]</w:t>
      </w:r>
    </w:p>
    <w:p>
      <w:pPr>
        <w:spacing w:before="119"/>
        <w:ind w:left="620" w:right="0" w:firstLine="0"/>
        <w:jc w:val="left"/>
        <w:rPr>
          <w:sz w:val="20"/>
        </w:rPr>
      </w:pPr>
      <w:r>
        <w:rPr>
          <w:sz w:val="20"/>
        </w:rPr>
        <w:t>If </w:t>
      </w:r>
      <w:r>
        <w:rPr>
          <w:rFonts w:ascii="Times New Roman"/>
          <w:i/>
          <w:sz w:val="20"/>
        </w:rPr>
        <w:t>PLL_FAST</w:t>
      </w:r>
      <w:r>
        <w:rPr>
          <w:sz w:val="20"/>
        </w:rPr>
        <w:t>=0:</w:t>
      </w:r>
    </w:p>
    <w:p>
      <w:pPr>
        <w:spacing w:before="121"/>
        <w:ind w:left="620" w:right="0" w:firstLine="0"/>
        <w:jc w:val="left"/>
        <w:rPr>
          <w:sz w:val="18"/>
        </w:rPr>
      </w:pPr>
      <w:r>
        <w:rPr>
          <w:sz w:val="18"/>
        </w:rPr>
        <w:t>MUX frame duration in CK_FIR cycles = [3 + 3*(</w:t>
      </w:r>
      <w:r>
        <w:rPr>
          <w:rFonts w:ascii="Times New Roman"/>
          <w:i/>
          <w:sz w:val="20"/>
        </w:rPr>
        <w:t>FIR_LEN</w:t>
      </w:r>
      <w:r>
        <w:rPr>
          <w:sz w:val="18"/>
        </w:rPr>
        <w:t>+1) * (</w:t>
      </w:r>
      <w:r>
        <w:rPr>
          <w:rFonts w:ascii="Times New Roman"/>
          <w:i/>
          <w:sz w:val="20"/>
        </w:rPr>
        <w:t>ADC_DIV</w:t>
      </w:r>
      <w:r>
        <w:rPr>
          <w:sz w:val="18"/>
        </w:rPr>
        <w:t>+1) * (</w:t>
      </w:r>
      <w:r>
        <w:rPr>
          <w:rFonts w:ascii="Times New Roman"/>
          <w:i/>
          <w:sz w:val="20"/>
        </w:rPr>
        <w:t>MUX_DIV</w:t>
      </w:r>
      <w:r>
        <w:rPr>
          <w:sz w:val="18"/>
        </w:rPr>
        <w:t>)] * [48 / (</w:t>
      </w:r>
      <w:r>
        <w:rPr>
          <w:rFonts w:ascii="Times New Roman"/>
          <w:i/>
          <w:sz w:val="20"/>
        </w:rPr>
        <w:t>ADC_DIV</w:t>
      </w:r>
      <w:r>
        <w:rPr>
          <w:sz w:val="18"/>
        </w:rPr>
        <w:t>+1)]</w:t>
      </w:r>
    </w:p>
    <w:p>
      <w:pPr>
        <w:spacing w:before="118"/>
        <w:ind w:left="620" w:right="0" w:firstLine="0"/>
        <w:jc w:val="left"/>
        <w:rPr>
          <w:sz w:val="18"/>
        </w:rPr>
      </w:pPr>
      <w:r>
        <w:rPr>
          <w:rFonts w:ascii="Times New Roman"/>
          <w:i/>
          <w:sz w:val="20"/>
        </w:rPr>
        <w:t>PLS_INTERVAL[7:0] </w:t>
      </w:r>
      <w:r>
        <w:rPr>
          <w:sz w:val="18"/>
        </w:rPr>
        <w:t>in units of CK_FIR clock cycles is calculated by:</w:t>
      </w:r>
    </w:p>
    <w:p>
      <w:pPr>
        <w:spacing w:before="124"/>
        <w:ind w:left="1052" w:right="0" w:firstLine="0"/>
        <w:jc w:val="left"/>
        <w:rPr>
          <w:sz w:val="18"/>
        </w:rPr>
      </w:pPr>
      <w:r>
        <w:rPr>
          <w:i/>
          <w:sz w:val="18"/>
        </w:rPr>
        <w:t>PLS_INTERVAL[7:0] </w:t>
      </w:r>
      <w:r>
        <w:rPr>
          <w:sz w:val="18"/>
        </w:rPr>
        <w:t>= floor ( Mux frame duration in CK_FIR cycles / CE pulse updates per Mux frame / 4 )</w:t>
      </w:r>
    </w:p>
    <w:p>
      <w:pPr>
        <w:pStyle w:val="BodyText"/>
        <w:spacing w:before="120"/>
        <w:ind w:left="619" w:right="600"/>
      </w:pPr>
      <w:r>
        <w:rPr/>
        <w:t>Since the FIFO resets at the beginning of each multiplexer frame, the user must specify </w:t>
      </w:r>
      <w:r>
        <w:rPr>
          <w:rFonts w:ascii="Times New Roman"/>
          <w:i/>
        </w:rPr>
        <w:t>PLS_INTERVAL[7:0] </w:t>
      </w:r>
      <w:r>
        <w:rPr/>
        <w:t>so that all of the possible pulse updates occurring in one CE execution are output </w:t>
      </w:r>
      <w:r>
        <w:rPr>
          <w:u w:val="single"/>
        </w:rPr>
        <w:t>before</w:t>
      </w:r>
      <w:r>
        <w:rPr/>
        <w:t> the multiplexer frame completes. For instance, the 71M6543 CE code outputs six updates per multiplexer interval, and if the multiplexer interval is 1950 CK_FIR clock cycles long, the ideal value for the interval is 1950/6/4 = 81.25. However, if </w:t>
      </w:r>
      <w:r>
        <w:rPr>
          <w:rFonts w:ascii="Times New Roman"/>
          <w:i/>
        </w:rPr>
        <w:t>PLS_INTERVAL[7:0] </w:t>
      </w:r>
      <w:r>
        <w:rPr/>
        <w:t>= 82, the sixth output occurs too late and would be lost. In this case, the proper value for </w:t>
      </w:r>
      <w:r>
        <w:rPr>
          <w:rFonts w:ascii="Times New Roman"/>
          <w:i/>
        </w:rPr>
        <w:t>PLS_INTERVAL[7:0] </w:t>
      </w:r>
      <w:r>
        <w:rPr/>
        <w:t>is 81 (i.e., round down the</w:t>
      </w:r>
      <w:r>
        <w:rPr>
          <w:spacing w:val="-31"/>
        </w:rPr>
        <w:t> </w:t>
      </w:r>
      <w:r>
        <w:rPr/>
        <w:t>result).</w:t>
      </w:r>
    </w:p>
    <w:p>
      <w:pPr>
        <w:spacing w:line="242" w:lineRule="auto" w:before="117"/>
        <w:ind w:left="619" w:right="559" w:firstLine="0"/>
        <w:jc w:val="left"/>
        <w:rPr>
          <w:sz w:val="18"/>
        </w:rPr>
      </w:pPr>
      <w:r>
        <w:rPr>
          <w:position w:val="2"/>
          <w:sz w:val="18"/>
        </w:rPr>
        <w:t>Since one LSB of </w:t>
      </w:r>
      <w:r>
        <w:rPr>
          <w:rFonts w:ascii="Times New Roman"/>
          <w:i/>
          <w:position w:val="2"/>
          <w:sz w:val="20"/>
        </w:rPr>
        <w:t>PLS_INTERVAL[7:0] </w:t>
      </w:r>
      <w:r>
        <w:rPr>
          <w:position w:val="2"/>
          <w:sz w:val="18"/>
        </w:rPr>
        <w:t>is equal to 4 CK_FIR clock cycles, the pulse time interval T</w:t>
      </w:r>
      <w:r>
        <w:rPr>
          <w:sz w:val="12"/>
        </w:rPr>
        <w:t>I </w:t>
      </w:r>
      <w:r>
        <w:rPr>
          <w:position w:val="2"/>
          <w:sz w:val="18"/>
        </w:rPr>
        <w:t>in units of </w:t>
      </w:r>
      <w:r>
        <w:rPr>
          <w:sz w:val="18"/>
        </w:rPr>
        <w:t>CK_FIR clock cycles is:</w:t>
      </w:r>
    </w:p>
    <w:p>
      <w:pPr>
        <w:spacing w:before="113"/>
        <w:ind w:left="1315" w:right="1278" w:firstLine="0"/>
        <w:jc w:val="center"/>
        <w:rPr>
          <w:rFonts w:ascii="Times New Roman"/>
          <w:i/>
          <w:sz w:val="20"/>
        </w:rPr>
      </w:pPr>
      <w:r>
        <w:rPr>
          <w:position w:val="2"/>
          <w:sz w:val="18"/>
        </w:rPr>
        <w:t>T</w:t>
      </w:r>
      <w:r>
        <w:rPr>
          <w:sz w:val="12"/>
        </w:rPr>
        <w:t>I  </w:t>
      </w:r>
      <w:r>
        <w:rPr>
          <w:position w:val="2"/>
          <w:sz w:val="18"/>
        </w:rPr>
        <w:t>= 4*</w:t>
      </w:r>
      <w:r>
        <w:rPr>
          <w:rFonts w:ascii="Times New Roman"/>
          <w:i/>
          <w:position w:val="2"/>
          <w:sz w:val="20"/>
        </w:rPr>
        <w:t>PLS_INTERVAL[7:0]</w:t>
      </w:r>
    </w:p>
    <w:p>
      <w:pPr>
        <w:pStyle w:val="BodyText"/>
        <w:spacing w:before="119"/>
        <w:ind w:left="619" w:right="522"/>
      </w:pPr>
      <w:r>
        <w:rPr/>
        <w:t>If the FIFO is </w:t>
      </w:r>
      <w:r>
        <w:rPr>
          <w:spacing w:val="-3"/>
        </w:rPr>
        <w:t>enabled (i.e., </w:t>
      </w:r>
      <w:r>
        <w:rPr>
          <w:rFonts w:ascii="Times New Roman" w:hAnsi="Times New Roman"/>
          <w:i/>
        </w:rPr>
        <w:t>PLS_INTERVAL[7:0] </w:t>
      </w:r>
      <w:r>
        <w:rPr/>
        <w:t>≠ </w:t>
      </w:r>
      <w:r>
        <w:rPr>
          <w:spacing w:val="-3"/>
        </w:rPr>
        <w:t>0), hardware also provides </w:t>
      </w:r>
      <w:r>
        <w:rPr/>
        <w:t>a </w:t>
      </w:r>
      <w:r>
        <w:rPr>
          <w:spacing w:val="-3"/>
        </w:rPr>
        <w:t>maximum pulse width feature </w:t>
      </w:r>
      <w:r>
        <w:rPr/>
        <w:t>in </w:t>
      </w:r>
      <w:r>
        <w:rPr>
          <w:spacing w:val="-3"/>
        </w:rPr>
        <w:t>control register </w:t>
      </w:r>
      <w:r>
        <w:rPr>
          <w:rFonts w:ascii="Times New Roman" w:hAnsi="Times New Roman"/>
          <w:i/>
          <w:spacing w:val="-4"/>
        </w:rPr>
        <w:t>PLS_MAXWIDTH[7:0] </w:t>
      </w:r>
      <w:r>
        <w:rPr>
          <w:rFonts w:ascii="Times New Roman" w:hAnsi="Times New Roman"/>
          <w:i/>
          <w:spacing w:val="-3"/>
        </w:rPr>
        <w:t>(I/O </w:t>
      </w:r>
      <w:r>
        <w:rPr>
          <w:rFonts w:ascii="Times New Roman" w:hAnsi="Times New Roman"/>
          <w:i/>
        </w:rPr>
        <w:t>RAM </w:t>
      </w:r>
      <w:r>
        <w:rPr>
          <w:rFonts w:ascii="Times New Roman" w:hAnsi="Times New Roman"/>
          <w:i/>
          <w:spacing w:val="-3"/>
        </w:rPr>
        <w:t>0x210A) </w:t>
      </w:r>
      <w:r>
        <w:rPr/>
        <w:t>. By </w:t>
      </w:r>
      <w:r>
        <w:rPr>
          <w:spacing w:val="-3"/>
        </w:rPr>
        <w:t>default, </w:t>
      </w:r>
      <w:r>
        <w:rPr/>
        <w:t>WPULSE and </w:t>
      </w:r>
      <w:r>
        <w:rPr>
          <w:spacing w:val="-3"/>
        </w:rPr>
        <w:t>VPULSE </w:t>
      </w:r>
      <w:r>
        <w:rPr/>
        <w:t>are </w:t>
      </w:r>
      <w:r>
        <w:rPr>
          <w:spacing w:val="-3"/>
        </w:rPr>
        <w:t>negative pulses (i.e., low level pulses, designed </w:t>
      </w:r>
      <w:r>
        <w:rPr/>
        <w:t>to </w:t>
      </w:r>
      <w:r>
        <w:rPr>
          <w:spacing w:val="-3"/>
        </w:rPr>
        <w:t>sink current </w:t>
      </w:r>
      <w:r>
        <w:rPr>
          <w:spacing w:val="-4"/>
        </w:rPr>
        <w:t>through </w:t>
      </w:r>
      <w:r>
        <w:rPr/>
        <w:t>an </w:t>
      </w:r>
      <w:r>
        <w:rPr>
          <w:spacing w:val="-3"/>
        </w:rPr>
        <w:t>LED). </w:t>
      </w:r>
      <w:r>
        <w:rPr>
          <w:rFonts w:ascii="Times New Roman" w:hAnsi="Times New Roman"/>
          <w:i/>
        </w:rPr>
        <w:t>PLS_MAXWIDTH[7:0] </w:t>
      </w:r>
      <w:r>
        <w:rPr>
          <w:spacing w:val="-3"/>
        </w:rPr>
        <w:t>determines the maximum negative </w:t>
      </w:r>
      <w:r>
        <w:rPr>
          <w:spacing w:val="2"/>
        </w:rPr>
        <w:t>pulse width T</w:t>
      </w:r>
      <w:r>
        <w:rPr>
          <w:spacing w:val="2"/>
          <w:vertAlign w:val="subscript"/>
        </w:rPr>
        <w:t>MAX</w:t>
      </w:r>
      <w:r>
        <w:rPr>
          <w:spacing w:val="2"/>
          <w:vertAlign w:val="baseline"/>
        </w:rPr>
        <w:t> </w:t>
      </w:r>
      <w:r>
        <w:rPr>
          <w:vertAlign w:val="baseline"/>
        </w:rPr>
        <w:t>in units of </w:t>
      </w:r>
      <w:r>
        <w:rPr>
          <w:spacing w:val="2"/>
          <w:vertAlign w:val="baseline"/>
        </w:rPr>
        <w:t>CK_FIR </w:t>
      </w:r>
      <w:r>
        <w:rPr>
          <w:vertAlign w:val="baseline"/>
        </w:rPr>
        <w:t>clock cycles </w:t>
      </w:r>
      <w:r>
        <w:rPr>
          <w:spacing w:val="2"/>
          <w:vertAlign w:val="baseline"/>
        </w:rPr>
        <w:t>based </w:t>
      </w:r>
      <w:r>
        <w:rPr>
          <w:vertAlign w:val="baseline"/>
        </w:rPr>
        <w:t>on </w:t>
      </w:r>
      <w:r>
        <w:rPr>
          <w:spacing w:val="2"/>
          <w:vertAlign w:val="baseline"/>
        </w:rPr>
        <w:t>the </w:t>
      </w:r>
      <w:r>
        <w:rPr>
          <w:vertAlign w:val="baseline"/>
        </w:rPr>
        <w:t>pulse </w:t>
      </w:r>
      <w:r>
        <w:rPr>
          <w:spacing w:val="2"/>
          <w:vertAlign w:val="baseline"/>
        </w:rPr>
        <w:t>interval </w:t>
      </w:r>
      <w:r>
        <w:rPr>
          <w:spacing w:val="3"/>
          <w:vertAlign w:val="baseline"/>
        </w:rPr>
        <w:t>T</w:t>
      </w:r>
      <w:r>
        <w:rPr>
          <w:spacing w:val="3"/>
          <w:vertAlign w:val="subscript"/>
        </w:rPr>
        <w:t>I</w:t>
      </w:r>
      <w:r>
        <w:rPr>
          <w:spacing w:val="3"/>
          <w:vertAlign w:val="baseline"/>
        </w:rPr>
        <w:t> </w:t>
      </w:r>
      <w:r>
        <w:rPr>
          <w:spacing w:val="2"/>
          <w:vertAlign w:val="baseline"/>
        </w:rPr>
        <w:t>according </w:t>
      </w:r>
      <w:r>
        <w:rPr>
          <w:vertAlign w:val="baseline"/>
        </w:rPr>
        <w:t>to </w:t>
      </w:r>
      <w:r>
        <w:rPr>
          <w:spacing w:val="2"/>
          <w:vertAlign w:val="baseline"/>
        </w:rPr>
        <w:t>the formula:</w:t>
      </w:r>
    </w:p>
    <w:p>
      <w:pPr>
        <w:spacing w:before="122"/>
        <w:ind w:left="3778" w:right="0" w:firstLine="0"/>
        <w:jc w:val="left"/>
        <w:rPr>
          <w:sz w:val="20"/>
        </w:rPr>
      </w:pPr>
      <w:r>
        <w:rPr>
          <w:sz w:val="20"/>
        </w:rPr>
        <w:t>T</w:t>
      </w:r>
      <w:r>
        <w:rPr>
          <w:sz w:val="20"/>
          <w:vertAlign w:val="subscript"/>
        </w:rPr>
        <w:t>MAX</w:t>
      </w:r>
      <w:r>
        <w:rPr>
          <w:sz w:val="20"/>
          <w:vertAlign w:val="baseline"/>
        </w:rPr>
        <w:t> = (2 * </w:t>
      </w:r>
      <w:r>
        <w:rPr>
          <w:rFonts w:ascii="Times New Roman"/>
          <w:i/>
          <w:sz w:val="20"/>
          <w:vertAlign w:val="baseline"/>
        </w:rPr>
        <w:t>PLS_MAXWIDTH[7:0] </w:t>
      </w:r>
      <w:r>
        <w:rPr>
          <w:sz w:val="20"/>
          <w:vertAlign w:val="baseline"/>
        </w:rPr>
        <w:t>+ 1) * T</w:t>
      </w:r>
      <w:r>
        <w:rPr>
          <w:sz w:val="20"/>
          <w:vertAlign w:val="subscript"/>
        </w:rPr>
        <w:t>I</w:t>
      </w:r>
    </w:p>
    <w:p>
      <w:pPr>
        <w:spacing w:line="242" w:lineRule="auto" w:before="119"/>
        <w:ind w:left="619" w:right="559" w:firstLine="0"/>
        <w:jc w:val="left"/>
        <w:rPr>
          <w:sz w:val="20"/>
        </w:rPr>
      </w:pPr>
      <w:r>
        <w:rPr>
          <w:sz w:val="20"/>
        </w:rPr>
        <w:t>If </w:t>
      </w:r>
      <w:r>
        <w:rPr>
          <w:rFonts w:ascii="Times New Roman"/>
          <w:i/>
          <w:sz w:val="20"/>
        </w:rPr>
        <w:t>PLS_MAXWIDTH </w:t>
      </w:r>
      <w:r>
        <w:rPr>
          <w:sz w:val="20"/>
        </w:rPr>
        <w:t>= 255 or </w:t>
      </w:r>
      <w:r>
        <w:rPr>
          <w:rFonts w:ascii="Times New Roman"/>
          <w:i/>
          <w:sz w:val="20"/>
        </w:rPr>
        <w:t>PLS_INTERVAL</w:t>
      </w:r>
      <w:r>
        <w:rPr>
          <w:sz w:val="20"/>
        </w:rPr>
        <w:t>=0, no pulse width checking is performed, and the pulses default to 50% duty cycle.</w:t>
      </w:r>
    </w:p>
    <w:p>
      <w:pPr>
        <w:pStyle w:val="BodyText"/>
        <w:spacing w:before="115"/>
        <w:ind w:left="619" w:right="650"/>
      </w:pPr>
      <w:r>
        <w:rPr/>
        <w:t>The polarity of the pulses may be inverted with the control bit </w:t>
      </w:r>
      <w:r>
        <w:rPr>
          <w:rFonts w:ascii="Times New Roman"/>
          <w:i/>
        </w:rPr>
        <w:t>PLS_INV </w:t>
      </w:r>
      <w:r>
        <w:rPr/>
        <w:t>(</w:t>
      </w:r>
      <w:r>
        <w:rPr>
          <w:rFonts w:ascii="Times New Roman"/>
          <w:i/>
        </w:rPr>
        <w:t>I/O RAM 0x210C[0]</w:t>
      </w:r>
      <w:r>
        <w:rPr/>
        <w:t>). When </w:t>
      </w:r>
      <w:r>
        <w:rPr>
          <w:rFonts w:ascii="Times New Roman"/>
          <w:i/>
        </w:rPr>
        <w:t>PLS_INV </w:t>
      </w:r>
      <w:r>
        <w:rPr/>
        <w:t>is set, the pulses are active high. The default value for </w:t>
      </w:r>
      <w:r>
        <w:rPr>
          <w:rFonts w:ascii="Times New Roman"/>
          <w:i/>
        </w:rPr>
        <w:t>PLS_INV </w:t>
      </w:r>
      <w:r>
        <w:rPr/>
        <w:t>is zero, which selects active low pulses.</w:t>
      </w:r>
    </w:p>
    <w:p>
      <w:pPr>
        <w:spacing w:after="0"/>
        <w:sectPr>
          <w:pgSz w:w="12240" w:h="15840"/>
          <w:pgMar w:header="727" w:footer="819" w:top="960" w:bottom="1000" w:left="820" w:right="860"/>
        </w:sectPr>
      </w:pPr>
    </w:p>
    <w:p>
      <w:pPr>
        <w:pStyle w:val="BodyText"/>
        <w:spacing w:before="8"/>
        <w:rPr>
          <w:sz w:val="16"/>
        </w:rPr>
      </w:pPr>
    </w:p>
    <w:p>
      <w:pPr>
        <w:pStyle w:val="BodyText"/>
        <w:spacing w:before="93"/>
        <w:ind w:left="620" w:right="856"/>
      </w:pPr>
      <w:r>
        <w:rPr/>
        <w:pict>
          <v:group style="position:absolute;margin-left:118pt;margin-top:97.279907pt;width:410.85pt;height:24.95pt;mso-position-horizontal-relative:page;mso-position-vertical-relative:paragraph;z-index:-38833664" coordorigin="2360,1946" coordsize="8217,499">
            <v:shape style="position:absolute;left:2647;top:1945;width:5876;height:175" coordorigin="2647,1946" coordsize="5876,175" path="m2659,1946l2647,1946,2647,1959,2647,2108,2647,2121,2659,2121,2659,2108,2659,1959,2659,1946xm3527,1946l3245,1946,3234,1946,3234,1959,3234,2108,2952,2108,2952,1959,2952,1946,2940,1946,2659,1946,2659,1959,2940,1959,2940,2114,2946,2114,2946,2121,3234,2121,3245,2121,3245,2108,3245,1959,3527,1959,3527,1946xm6166,2108l5884,2108,5884,1959,5884,1946,5873,1946,5591,1946,5579,1946,5579,1959,5579,2108,5298,2108,5298,1959,5298,1946,5286,1946,5005,1946,4993,1946,4993,1959,4993,2108,4711,2108,4711,1959,4711,1946,4700,1946,4418,1946,4407,1946,4407,1959,4407,2108,4125,2108,4125,1959,4125,1946,4113,1946,3832,1946,3820,1946,3820,1959,3820,2108,3539,2108,3539,1959,3539,1946,3527,1946,3527,1959,3527,2114,3533,2114,3533,2121,3820,2121,3832,2121,3832,2108,3832,1959,4113,1959,4113,2114,4119,2114,4119,2121,4407,2121,4418,2121,4418,2108,4418,1959,4700,1959,4700,2114,4706,2114,4706,2121,4993,2121,4993,2121,5005,2121,5005,2108,5005,1959,5286,1959,5286,2114,5292,2114,5292,2121,5579,2121,5591,2121,5591,2108,5591,1959,5873,1959,5873,2114,5878,2114,5878,2121,6166,2121,6166,2108xm6459,1946l6177,1946,6166,1946,6166,1959,6166,2108,6166,2121,6177,2121,6177,2108,6177,1959,6459,1959,6459,1946xm7937,1946l7925,1946,7925,1959,7925,2108,7643,2108,7643,1959,7643,1946,7632,1946,7350,1946,7339,1946,7339,1959,7339,2108,7057,2108,7057,1959,7057,1946,7045,1946,6764,1946,6752,1946,6752,1959,6752,2108,6471,2108,6471,1959,6471,1946,6459,1946,6459,1959,6459,2114,6465,2114,6465,2121,6752,2121,6764,2121,6764,2108,6764,1959,7045,1959,7045,2114,7051,2114,7051,2121,7339,2121,7350,2121,7350,2108,7350,1959,7632,1959,7632,2114,7638,2114,7638,2121,7925,2121,7937,2121,7937,2108,7937,1959,7937,1946xm8523,2108l8511,2108,8230,2108,8230,1959,8230,1946,8218,1946,8218,1946,7937,1946,7937,1959,8218,1959,8218,2114,8224,2114,8224,2121,8511,2121,8523,2121,8523,2108xe" filled="true" fillcolor="#000000" stroked="false">
              <v:path arrowok="t"/>
              <v:fill type="solid"/>
            </v:shape>
            <v:shape style="position:absolute;left:8511;top:1945;width:2066;height:175" coordorigin="8511,1946" coordsize="2066,175" path="m10284,1946l10273,1946,10273,1959,10273,2108,9991,2108,9991,1959,9991,1946,9979,1946,9698,1946,9686,1946,9686,1959,9686,2108,9405,2108,9405,1959,9405,1946,9393,1946,9110,1946,9098,1946,9098,1959,9098,2108,8816,2108,8816,1959,8816,1946,8805,1946,8523,1946,8511,1946,8511,1959,8511,2108,8511,2121,8523,2121,8523,2108,8523,1959,8805,1959,8805,2114,8810,2114,8810,2121,9098,2121,9110,2121,9110,2108,9110,1959,9393,1959,9393,2114,9399,2114,9399,2121,9686,2121,9698,2121,9698,2108,9698,1959,9979,1959,9979,2114,9985,2114,9985,2121,10273,2121,10284,2121,10284,2108,10284,1959,10284,1946xm10577,1946l10566,1946,10284,1946,10284,1959,10566,1959,10566,2114,10577,2114,10577,1959,10577,1946xe" filled="true" fillcolor="#000000" stroked="false">
              <v:path arrowok="t"/>
              <v:fill type="solid"/>
            </v:shape>
            <v:shape style="position:absolute;left:2360;top:2269;width:8212;height:175" coordorigin="2360,2270" coordsize="8212,175" path="m2659,2270l2647,2270,2647,2270,2360,2270,2360,2283,2647,2283,2647,2432,2647,2445,2659,2445,2659,2432,2659,2283,2659,2270xm10284,2270l10273,2270,9698,2270,9686,2270,9686,2283,9686,2432,2659,2432,2659,2445,9686,2445,9698,2445,9698,2432,9698,2283,10273,2283,10273,2432,10273,2445,10284,2445,10284,2432,10284,2283,10284,2270xm10572,2432l10284,2432,10284,2445,10572,2445,10572,2432xe" filled="true" fillcolor="#000000" stroked="false">
              <v:path arrowok="t"/>
              <v:fill type="solid"/>
            </v:shape>
            <v:line style="position:absolute" from="3826,2296" to="3827,2134" stroked="true" strokeweight=".2pt" strokecolor="#000000">
              <v:stroke dashstyle="solid"/>
            </v:line>
            <v:shape style="position:absolute;left:3238;top:2131;width:150;height:166" type="#_x0000_t75" stroked="false">
              <v:imagedata r:id="rId94" o:title=""/>
            </v:shape>
            <v:line style="position:absolute" from="3679,2216" to="3758,2217" stroked="true" strokeweight=".2pt" strokecolor="#000000">
              <v:stroke dashstyle="solid"/>
            </v:line>
            <v:shape style="position:absolute;left:3736;top:2165;width:90;height:100" coordorigin="3736,2166" coordsize="90,100" path="m3736,2166l3738,2171,3740,2177,3742,2181,3744,2188,3746,2194,3746,2235,3744,2242,3742,2248,3740,2253,3738,2259,3736,2266,3826,2216,3736,2166xe" filled="true" fillcolor="#000000" stroked="false">
              <v:path arrowok="t"/>
              <v:fill type="solid"/>
            </v:shape>
            <w10:wrap type="none"/>
          </v:group>
        </w:pict>
      </w:r>
      <w:r>
        <w:rPr/>
        <w:pict>
          <v:group style="position:absolute;margin-left:132.549988pt;margin-top:69.079895pt;width:381.5pt;height:24.5pt;mso-position-horizontal-relative:page;mso-position-vertical-relative:paragraph;z-index:-38833152" coordorigin="2651,1382" coordsize="7630,490">
            <v:line style="position:absolute" from="2653,1870" to="2654,1384" stroked="true" strokeweight=".2pt" strokecolor="#000000">
              <v:stroke dashstyle="solid"/>
            </v:line>
            <v:shape style="position:absolute;left:2653;top:1658;width:90;height:99" coordorigin="2653,1659" coordsize="90,99" path="m2743,1659l2653,1708,2743,1758,2741,1754,2739,1747,2737,1741,2735,1736,2733,1730,2733,1687,2735,1682,2739,1670,2741,1665,2743,1659xe" filled="true" fillcolor="#000000" stroked="false">
              <v:path arrowok="t"/>
              <v:fill type="solid"/>
            </v:shape>
            <v:line style="position:absolute" from="10278,1870" to="10279,1384" stroked="true" strokeweight=".2pt" strokecolor="#000000">
              <v:stroke dashstyle="solid"/>
            </v:line>
            <v:shape style="position:absolute;left:10188;top:1658;width:90;height:99" coordorigin="10188,1659" coordsize="90,99" path="m10188,1659l10190,1665,10192,1670,10194,1676,10194,1682,10196,1687,10198,1693,10198,1724,10194,1736,10194,1741,10192,1747,10190,1754,10188,1758,10278,1708,10188,1659xe" filled="true" fillcolor="#000000" stroked="false">
              <v:path arrowok="t"/>
              <v:fill type="solid"/>
            </v:shape>
            <v:line style="position:absolute" from="2722,1467" to="10210,1468" stroked="true" strokeweight=".2pt" strokecolor="#000000">
              <v:stroke dashstyle="solid"/>
            </v:line>
            <v:shape style="position:absolute;left:2652;top:1416;width:7626;height:99" coordorigin="2653,1417" coordsize="7626,99" path="m2743,1417l2653,1467,2743,1516,2741,1510,2739,1503,2737,1499,2735,1492,2733,1486,2733,1445,2735,1438,2737,1432,2739,1428,2741,1421,2743,1417xm10278,1467l10188,1417,10190,1421,10192,1428,10194,1432,10194,1438,10196,1445,10198,1451,10198,1482,10196,1486,10194,1492,10194,1499,10192,1503,10190,1510,10188,1516,10278,1467xe" filled="true" fillcolor="#000000" stroked="false">
              <v:path arrowok="t"/>
              <v:fill type="solid"/>
            </v:shape>
            <w10:wrap type="none"/>
          </v:group>
        </w:pict>
      </w:r>
      <w:r>
        <w:rPr/>
        <w:pict>
          <v:group style="position:absolute;margin-left:480.100006pt;margin-top:81.279892pt;width:9pt;height:12.3pt;mso-position-horizontal-relative:page;mso-position-vertical-relative:paragraph;z-index:-38832640" coordorigin="9602,1626" coordsize="180,246">
            <v:line style="position:absolute" from="9692,1870" to="9693,1628" stroked="true" strokeweight=".2pt" strokecolor="#000000">
              <v:stroke dashstyle="solid"/>
            </v:line>
            <v:shape style="position:absolute;left:9602;top:1658;width:180;height:99" coordorigin="9602,1659" coordsize="180,99" path="m9692,1708l9602,1659,9604,1665,9606,1670,9608,1676,9608,1682,9610,1687,9610,1693,9612,1700,9612,1717,9610,1724,9610,1730,9608,1736,9608,1741,9606,1747,9604,1754,9602,1758,9692,1708xm9782,1659l9692,1708,9782,1758,9778,1754,9776,1747,9774,1741,9774,1736,9772,1730,9772,1724,9770,1717,9770,1700,9772,1693,9772,1687,9774,1682,9774,1676,9776,1670,9778,1665,9782,1659xe" filled="true" fillcolor="#000000" stroked="false">
              <v:path arrowok="t"/>
              <v:fill type="solid"/>
            </v:shape>
            <w10:wrap type="none"/>
          </v:group>
        </w:pict>
      </w:r>
      <w:r>
        <w:rPr/>
        <w:pict>
          <v:shape style="position:absolute;margin-left:134.050003pt;margin-top:157.429916pt;width:4.45pt;height:4.95pt;mso-position-horizontal-relative:page;mso-position-vertical-relative:paragraph;z-index:-38832128" coordorigin="2681,3149" coordsize="89,99" path="m2770,3149l2767,3151,2761,3153,2751,3158,2745,3158,2739,3160,2712,3160,2708,3158,2702,3158,2692,3153,2686,3151,2681,3149,2725,3248,2770,3149xe" filled="true" fillcolor="#000000" stroked="false">
            <v:path arrowok="t"/>
            <v:fill type="solid"/>
            <w10:wrap type="none"/>
          </v:shape>
        </w:pict>
      </w:r>
      <w:r>
        <w:rPr/>
        <w:pict>
          <v:shape style="position:absolute;margin-left:146.949997pt;margin-top:157.429916pt;width:4.45pt;height:4.95pt;mso-position-horizontal-relative:page;mso-position-vertical-relative:paragraph;z-index:-38831616" coordorigin="2939,3149" coordsize="89,99" path="m3028,3149l3023,3151,3019,3153,3013,3155,3007,3158,3003,3158,2997,3160,2970,3160,2964,3158,2958,3158,2954,3155,2942,3151,2939,3149,2983,3248,3028,3149xe" filled="true" fillcolor="#000000" stroked="false">
            <v:path arrowok="t"/>
            <v:fill type="solid"/>
            <w10:wrap type="none"/>
          </v:shape>
        </w:pict>
      </w:r>
      <w:r>
        <w:rPr/>
        <w:pict>
          <v:shape style="position:absolute;margin-left:159.75pt;margin-top:157.429916pt;width:4.5pt;height:4.95pt;mso-position-horizontal-relative:page;mso-position-vertical-relative:paragraph;z-index:-38831104" coordorigin="3195,3149" coordsize="90,99" path="m3285,3149l3279,3151,3275,3153,3269,3155,3265,3158,3259,3158,3253,3160,3226,3160,3220,3158,3216,3158,3210,3155,3204,3153,3200,3151,3195,3149,3240,3248,3285,3149xe" filled="true" fillcolor="#000000" stroked="false">
            <v:path arrowok="t"/>
            <v:fill type="solid"/>
            <w10:wrap type="none"/>
          </v:shape>
        </w:pict>
      </w:r>
      <w:r>
        <w:rPr/>
        <w:pict>
          <v:shape style="position:absolute;margin-left:172.550003pt;margin-top:157.429916pt;width:4.5pt;height:4.95pt;mso-position-horizontal-relative:page;mso-position-vertical-relative:paragraph;z-index:-38830592" coordorigin="3451,3149" coordsize="90,99" path="m3541,3149l3537,3151,3525,3155,3521,3158,3515,3158,3509,3160,3482,3160,3478,3158,3472,3158,3466,3155,3460,3153,3457,3151,3451,3149,3496,3248,3541,3149xe" filled="true" fillcolor="#000000" stroked="false">
            <v:path arrowok="t"/>
            <v:fill type="solid"/>
            <w10:wrap type="none"/>
          </v:shape>
        </w:pict>
      </w:r>
      <w:r>
        <w:rPr/>
        <w:pict>
          <v:shape style="position:absolute;margin-left:185.449997pt;margin-top:157.429916pt;width:4.5pt;height:4.95pt;mso-position-horizontal-relative:page;mso-position-vertical-relative:paragraph;z-index:-38830080" coordorigin="3709,3149" coordsize="90,99" path="m3799,3149l3787,3153,3777,3158,3771,3158,3767,3160,3740,3160,3734,3158,3728,3158,3718,3153,3713,3151,3709,3149,3754,3248,3799,3149xe" filled="true" fillcolor="#000000" stroked="false">
            <v:path arrowok="t"/>
            <v:fill type="solid"/>
            <w10:wrap type="none"/>
          </v:shape>
        </w:pict>
      </w:r>
      <w:r>
        <w:rPr/>
        <w:pict>
          <v:shape style="position:absolute;margin-left:198.25pt;margin-top:157.429916pt;width:4.5pt;height:4.95pt;mso-position-horizontal-relative:page;mso-position-vertical-relative:paragraph;z-index:-38829568" coordorigin="3965,3149" coordsize="90,99" path="m4055,3149l4049,3151,4045,3153,4039,3155,4033,3158,4029,3158,4023,3160,3996,3160,3990,3158,3984,3158,3980,3155,3975,3153,3969,3151,3965,3149,4010,3248,4055,3149xe" filled="true" fillcolor="#000000" stroked="false">
            <v:path arrowok="t"/>
            <v:fill type="solid"/>
            <w10:wrap type="none"/>
          </v:shape>
        </w:pict>
      </w:r>
      <w:r>
        <w:rPr/>
        <w:pict>
          <v:shape style="position:absolute;margin-left:133.262741pt;margin-top:162.079910pt;width:381.25pt;height:21.25pt;mso-position-horizontal-relative:page;mso-position-vertical-relative:paragraph;z-index:15759360"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29"/>
                    <w:gridCol w:w="1245"/>
                    <w:gridCol w:w="1247"/>
                    <w:gridCol w:w="1246"/>
                    <w:gridCol w:w="1247"/>
                    <w:gridCol w:w="1247"/>
                    <w:gridCol w:w="146"/>
                  </w:tblGrid>
                  <w:tr>
                    <w:trPr>
                      <w:trHeight w:val="147" w:hRule="atLeast"/>
                    </w:trPr>
                    <w:tc>
                      <w:tcPr>
                        <w:tcW w:w="1229" w:type="dxa"/>
                        <w:tcBorders>
                          <w:right w:val="nil"/>
                        </w:tcBorders>
                      </w:tcPr>
                      <w:p>
                        <w:pPr>
                          <w:pStyle w:val="TableParagraph"/>
                          <w:rPr>
                            <w:rFonts w:ascii="Times New Roman"/>
                            <w:sz w:val="8"/>
                          </w:rPr>
                        </w:pPr>
                      </w:p>
                    </w:tc>
                    <w:tc>
                      <w:tcPr>
                        <w:tcW w:w="1245" w:type="dxa"/>
                        <w:tcBorders>
                          <w:left w:val="nil"/>
                          <w:right w:val="nil"/>
                        </w:tcBorders>
                      </w:tcPr>
                      <w:p>
                        <w:pPr>
                          <w:pStyle w:val="TableParagraph"/>
                          <w:rPr>
                            <w:rFonts w:ascii="Times New Roman"/>
                            <w:sz w:val="8"/>
                          </w:rPr>
                        </w:pPr>
                      </w:p>
                    </w:tc>
                    <w:tc>
                      <w:tcPr>
                        <w:tcW w:w="1247" w:type="dxa"/>
                        <w:tcBorders>
                          <w:left w:val="nil"/>
                          <w:right w:val="nil"/>
                        </w:tcBorders>
                      </w:tcPr>
                      <w:p>
                        <w:pPr>
                          <w:pStyle w:val="TableParagraph"/>
                          <w:rPr>
                            <w:rFonts w:ascii="Times New Roman"/>
                            <w:sz w:val="8"/>
                          </w:rPr>
                        </w:pPr>
                      </w:p>
                    </w:tc>
                    <w:tc>
                      <w:tcPr>
                        <w:tcW w:w="1246" w:type="dxa"/>
                        <w:tcBorders>
                          <w:left w:val="nil"/>
                          <w:right w:val="nil"/>
                        </w:tcBorders>
                      </w:tcPr>
                      <w:p>
                        <w:pPr>
                          <w:pStyle w:val="TableParagraph"/>
                          <w:spacing w:line="127" w:lineRule="exact"/>
                          <w:ind w:left="55"/>
                          <w:rPr>
                            <w:sz w:val="14"/>
                          </w:rPr>
                        </w:pPr>
                        <w:r>
                          <w:rPr>
                            <w:sz w:val="14"/>
                          </w:rPr>
                          <w:t>W_FIFO</w:t>
                        </w:r>
                      </w:p>
                    </w:tc>
                    <w:tc>
                      <w:tcPr>
                        <w:tcW w:w="1247" w:type="dxa"/>
                        <w:tcBorders>
                          <w:left w:val="nil"/>
                          <w:right w:val="nil"/>
                        </w:tcBorders>
                      </w:tcPr>
                      <w:p>
                        <w:pPr>
                          <w:pStyle w:val="TableParagraph"/>
                          <w:rPr>
                            <w:rFonts w:ascii="Times New Roman"/>
                            <w:sz w:val="8"/>
                          </w:rPr>
                        </w:pPr>
                      </w:p>
                    </w:tc>
                    <w:tc>
                      <w:tcPr>
                        <w:tcW w:w="1247" w:type="dxa"/>
                        <w:tcBorders>
                          <w:left w:val="nil"/>
                          <w:right w:val="nil"/>
                        </w:tcBorders>
                      </w:tcPr>
                      <w:p>
                        <w:pPr>
                          <w:pStyle w:val="TableParagraph"/>
                          <w:rPr>
                            <w:rFonts w:ascii="Times New Roman"/>
                            <w:sz w:val="8"/>
                          </w:rPr>
                        </w:pPr>
                      </w:p>
                    </w:tc>
                    <w:tc>
                      <w:tcPr>
                        <w:tcW w:w="146" w:type="dxa"/>
                        <w:tcBorders>
                          <w:left w:val="nil"/>
                        </w:tcBorders>
                      </w:tcPr>
                      <w:p>
                        <w:pPr>
                          <w:pStyle w:val="TableParagraph"/>
                          <w:rPr>
                            <w:rFonts w:ascii="Times New Roman"/>
                            <w:sz w:val="8"/>
                          </w:rPr>
                        </w:pPr>
                      </w:p>
                    </w:tc>
                  </w:tr>
                  <w:tr>
                    <w:trPr>
                      <w:trHeight w:val="242" w:hRule="atLeast"/>
                    </w:trPr>
                    <w:tc>
                      <w:tcPr>
                        <w:tcW w:w="1229" w:type="dxa"/>
                        <w:tcBorders>
                          <w:left w:val="single" w:sz="2" w:space="0" w:color="000000"/>
                          <w:bottom w:val="nil"/>
                          <w:right w:val="single" w:sz="2" w:space="0" w:color="000000"/>
                        </w:tcBorders>
                      </w:tcPr>
                      <w:p>
                        <w:pPr>
                          <w:pStyle w:val="TableParagraph"/>
                          <w:spacing w:before="6"/>
                          <w:rPr>
                            <w:sz w:val="12"/>
                          </w:rPr>
                        </w:pPr>
                      </w:p>
                      <w:p>
                        <w:pPr>
                          <w:pStyle w:val="TableParagraph"/>
                          <w:spacing w:line="79" w:lineRule="exact"/>
                          <w:ind w:left="-31"/>
                          <w:rPr>
                            <w:sz w:val="14"/>
                          </w:rPr>
                        </w:pPr>
                        <w:r>
                          <w:rPr>
                            <w:sz w:val="14"/>
                          </w:rPr>
                          <w:t>ST</w:t>
                        </w:r>
                      </w:p>
                    </w:tc>
                    <w:tc>
                      <w:tcPr>
                        <w:tcW w:w="1245" w:type="dxa"/>
                        <w:tcBorders>
                          <w:left w:val="single" w:sz="2" w:space="0" w:color="000000"/>
                          <w:bottom w:val="nil"/>
                          <w:right w:val="single" w:sz="4" w:space="0" w:color="000000"/>
                        </w:tcBorders>
                      </w:tcPr>
                      <w:p>
                        <w:pPr>
                          <w:pStyle w:val="TableParagraph"/>
                          <w:spacing w:line="93" w:lineRule="exact" w:before="45"/>
                          <w:ind w:left="27"/>
                          <w:rPr>
                            <w:sz w:val="10"/>
                          </w:rPr>
                        </w:pPr>
                        <w:r>
                          <w:rPr>
                            <w:w w:val="100"/>
                            <w:sz w:val="10"/>
                          </w:rPr>
                          <w:t>S</w:t>
                        </w:r>
                      </w:p>
                      <w:p>
                        <w:pPr>
                          <w:pStyle w:val="TableParagraph"/>
                          <w:spacing w:line="70" w:lineRule="exact"/>
                          <w:ind w:left="92"/>
                          <w:rPr>
                            <w:sz w:val="8"/>
                          </w:rPr>
                        </w:pPr>
                        <w:r>
                          <w:rPr>
                            <w:w w:val="99"/>
                            <w:sz w:val="8"/>
                          </w:rPr>
                          <w:t>0</w:t>
                        </w:r>
                      </w:p>
                    </w:tc>
                    <w:tc>
                      <w:tcPr>
                        <w:tcW w:w="1247" w:type="dxa"/>
                        <w:tcBorders>
                          <w:left w:val="single" w:sz="4" w:space="0" w:color="000000"/>
                          <w:bottom w:val="nil"/>
                          <w:right w:val="single" w:sz="4" w:space="0" w:color="000000"/>
                        </w:tcBorders>
                      </w:tcPr>
                      <w:p>
                        <w:pPr>
                          <w:pStyle w:val="TableParagraph"/>
                          <w:spacing w:line="93" w:lineRule="exact" w:before="45"/>
                          <w:ind w:left="25"/>
                          <w:rPr>
                            <w:sz w:val="10"/>
                          </w:rPr>
                        </w:pPr>
                        <w:r>
                          <w:rPr>
                            <w:w w:val="100"/>
                            <w:sz w:val="10"/>
                          </w:rPr>
                          <w:t>S</w:t>
                        </w:r>
                      </w:p>
                      <w:p>
                        <w:pPr>
                          <w:pStyle w:val="TableParagraph"/>
                          <w:spacing w:line="70" w:lineRule="exact"/>
                          <w:ind w:left="87"/>
                          <w:rPr>
                            <w:sz w:val="8"/>
                          </w:rPr>
                        </w:pPr>
                        <w:r>
                          <w:rPr>
                            <w:w w:val="99"/>
                            <w:sz w:val="8"/>
                          </w:rPr>
                          <w:t>1</w:t>
                        </w:r>
                      </w:p>
                    </w:tc>
                    <w:tc>
                      <w:tcPr>
                        <w:tcW w:w="1246" w:type="dxa"/>
                        <w:tcBorders>
                          <w:left w:val="single" w:sz="4" w:space="0" w:color="000000"/>
                          <w:bottom w:val="nil"/>
                          <w:right w:val="single" w:sz="4" w:space="0" w:color="000000"/>
                        </w:tcBorders>
                      </w:tcPr>
                      <w:p>
                        <w:pPr>
                          <w:pStyle w:val="TableParagraph"/>
                          <w:spacing w:line="93" w:lineRule="exact" w:before="45"/>
                          <w:ind w:left="23"/>
                          <w:rPr>
                            <w:sz w:val="10"/>
                          </w:rPr>
                        </w:pPr>
                        <w:r>
                          <w:rPr>
                            <w:w w:val="100"/>
                            <w:sz w:val="10"/>
                          </w:rPr>
                          <w:t>S</w:t>
                        </w:r>
                      </w:p>
                      <w:p>
                        <w:pPr>
                          <w:pStyle w:val="TableParagraph"/>
                          <w:spacing w:line="70" w:lineRule="exact"/>
                          <w:ind w:left="88"/>
                          <w:rPr>
                            <w:sz w:val="8"/>
                          </w:rPr>
                        </w:pPr>
                        <w:r>
                          <w:rPr>
                            <w:w w:val="99"/>
                            <w:sz w:val="8"/>
                          </w:rPr>
                          <w:t>2</w:t>
                        </w:r>
                      </w:p>
                    </w:tc>
                    <w:tc>
                      <w:tcPr>
                        <w:tcW w:w="1247" w:type="dxa"/>
                        <w:tcBorders>
                          <w:left w:val="single" w:sz="4" w:space="0" w:color="000000"/>
                          <w:bottom w:val="nil"/>
                          <w:right w:val="single" w:sz="4" w:space="0" w:color="000000"/>
                        </w:tcBorders>
                      </w:tcPr>
                      <w:p>
                        <w:pPr>
                          <w:pStyle w:val="TableParagraph"/>
                          <w:spacing w:line="93" w:lineRule="exact" w:before="45"/>
                          <w:ind w:left="23"/>
                          <w:rPr>
                            <w:sz w:val="10"/>
                          </w:rPr>
                        </w:pPr>
                        <w:r>
                          <w:rPr>
                            <w:w w:val="100"/>
                            <w:sz w:val="10"/>
                          </w:rPr>
                          <w:t>S</w:t>
                        </w:r>
                      </w:p>
                      <w:p>
                        <w:pPr>
                          <w:pStyle w:val="TableParagraph"/>
                          <w:spacing w:line="70" w:lineRule="exact"/>
                          <w:ind w:left="88"/>
                          <w:rPr>
                            <w:sz w:val="8"/>
                          </w:rPr>
                        </w:pPr>
                        <w:r>
                          <w:rPr>
                            <w:w w:val="99"/>
                            <w:sz w:val="8"/>
                          </w:rPr>
                          <w:t>3</w:t>
                        </w:r>
                      </w:p>
                    </w:tc>
                    <w:tc>
                      <w:tcPr>
                        <w:tcW w:w="1247" w:type="dxa"/>
                        <w:tcBorders>
                          <w:left w:val="single" w:sz="4" w:space="0" w:color="000000"/>
                          <w:bottom w:val="nil"/>
                          <w:right w:val="single" w:sz="4" w:space="0" w:color="000000"/>
                        </w:tcBorders>
                      </w:tcPr>
                      <w:p>
                        <w:pPr>
                          <w:pStyle w:val="TableParagraph"/>
                          <w:spacing w:line="93" w:lineRule="exact" w:before="45"/>
                          <w:ind w:left="24"/>
                          <w:rPr>
                            <w:sz w:val="10"/>
                          </w:rPr>
                        </w:pPr>
                        <w:r>
                          <w:rPr>
                            <w:w w:val="100"/>
                            <w:sz w:val="10"/>
                          </w:rPr>
                          <w:t>S</w:t>
                        </w:r>
                      </w:p>
                      <w:p>
                        <w:pPr>
                          <w:pStyle w:val="TableParagraph"/>
                          <w:spacing w:line="70" w:lineRule="exact"/>
                          <w:ind w:left="89"/>
                          <w:rPr>
                            <w:sz w:val="8"/>
                          </w:rPr>
                        </w:pPr>
                        <w:r>
                          <w:rPr>
                            <w:w w:val="99"/>
                            <w:sz w:val="8"/>
                          </w:rPr>
                          <w:t>4</w:t>
                        </w:r>
                      </w:p>
                    </w:tc>
                    <w:tc>
                      <w:tcPr>
                        <w:tcW w:w="146" w:type="dxa"/>
                        <w:tcBorders>
                          <w:left w:val="single" w:sz="4" w:space="0" w:color="000000"/>
                          <w:bottom w:val="nil"/>
                          <w:right w:val="nil"/>
                        </w:tcBorders>
                      </w:tcPr>
                      <w:p>
                        <w:pPr>
                          <w:pStyle w:val="TableParagraph"/>
                          <w:spacing w:line="93" w:lineRule="exact" w:before="45"/>
                          <w:ind w:left="23"/>
                          <w:rPr>
                            <w:sz w:val="10"/>
                          </w:rPr>
                        </w:pPr>
                        <w:r>
                          <w:rPr>
                            <w:w w:val="100"/>
                            <w:sz w:val="10"/>
                          </w:rPr>
                          <w:t>S</w:t>
                        </w:r>
                      </w:p>
                      <w:p>
                        <w:pPr>
                          <w:pStyle w:val="TableParagraph"/>
                          <w:spacing w:line="70" w:lineRule="exact"/>
                          <w:ind w:left="87"/>
                          <w:rPr>
                            <w:sz w:val="8"/>
                          </w:rPr>
                        </w:pPr>
                        <w:r>
                          <w:rPr>
                            <w:w w:val="99"/>
                            <w:sz w:val="8"/>
                          </w:rPr>
                          <w:t>5</w:t>
                        </w:r>
                      </w:p>
                    </w:tc>
                  </w:tr>
                </w:tbl>
                <w:p>
                  <w:pPr>
                    <w:pStyle w:val="BodyText"/>
                  </w:pPr>
                </w:p>
              </w:txbxContent>
            </v:textbox>
            <w10:wrap type="none"/>
          </v:shape>
        </w:pict>
      </w:r>
      <w:r>
        <w:rPr/>
        <w:t>The WPULSE and VPULSE pulse generator outputs are available on pins SEGDIO0/WPULSE and SEGDIO1/VPULSE, respectively (pins 45 and 44). The pulses can also be output on OPT_TX pin 53 (see </w:t>
      </w:r>
      <w:r>
        <w:rPr>
          <w:rFonts w:ascii="Times New Roman"/>
          <w:i/>
        </w:rPr>
        <w:t>OPT_TXE[1:0]</w:t>
      </w:r>
      <w:r>
        <w:rPr/>
        <w:t>, </w:t>
      </w:r>
      <w:r>
        <w:rPr>
          <w:rFonts w:ascii="Times New Roman"/>
          <w:i/>
        </w:rPr>
        <w:t>I/O RAM 0x2456[3:2] </w:t>
      </w:r>
      <w:r>
        <w:rPr/>
        <w:t>for details).</w:t>
      </w:r>
    </w:p>
    <w:p>
      <w:pPr>
        <w:pStyle w:val="BodyText"/>
      </w:pPr>
    </w:p>
    <w:p>
      <w:pPr>
        <w:pStyle w:val="BodyText"/>
        <w:spacing w:after="1"/>
      </w:pPr>
    </w:p>
    <w:tbl>
      <w:tblPr>
        <w:tblW w:w="0" w:type="auto"/>
        <w:jc w:val="left"/>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8"/>
        <w:gridCol w:w="313"/>
        <w:gridCol w:w="258"/>
        <w:gridCol w:w="257"/>
        <w:gridCol w:w="259"/>
        <w:gridCol w:w="257"/>
        <w:gridCol w:w="623"/>
        <w:gridCol w:w="5646"/>
        <w:gridCol w:w="405"/>
      </w:tblGrid>
      <w:tr>
        <w:trPr>
          <w:trHeight w:val="1500" w:hRule="atLeast"/>
        </w:trPr>
        <w:tc>
          <w:tcPr>
            <w:tcW w:w="9246" w:type="dxa"/>
            <w:gridSpan w:val="9"/>
            <w:tcBorders>
              <w:bottom w:val="nil"/>
            </w:tcBorders>
          </w:tcPr>
          <w:p>
            <w:pPr>
              <w:pStyle w:val="TableParagraph"/>
              <w:spacing w:before="42"/>
              <w:ind w:left="4494" w:right="3612"/>
              <w:jc w:val="center"/>
              <w:rPr>
                <w:sz w:val="14"/>
              </w:rPr>
            </w:pPr>
            <w:r>
              <w:rPr>
                <w:sz w:val="14"/>
              </w:rPr>
              <w:t>ADC MUX Frame</w:t>
            </w:r>
          </w:p>
          <w:p>
            <w:pPr>
              <w:pStyle w:val="TableParagraph"/>
              <w:tabs>
                <w:tab w:pos="3627" w:val="left" w:leader="none"/>
                <w:tab w:pos="8182" w:val="left" w:leader="none"/>
              </w:tabs>
              <w:spacing w:before="81"/>
              <w:ind w:left="1276"/>
              <w:rPr>
                <w:sz w:val="14"/>
              </w:rPr>
            </w:pPr>
            <w:r>
              <w:rPr>
                <w:rFonts w:ascii="Times New Roman"/>
                <w:color w:val="0000FF"/>
                <w:w w:val="99"/>
                <w:sz w:val="14"/>
                <w:u w:val="single" w:color="000000"/>
              </w:rPr>
              <w:t> </w:t>
            </w:r>
            <w:r>
              <w:rPr>
                <w:rFonts w:ascii="Times New Roman"/>
                <w:color w:val="0000FF"/>
                <w:sz w:val="14"/>
                <w:u w:val="single" w:color="000000"/>
              </w:rPr>
              <w:tab/>
            </w:r>
            <w:r>
              <w:rPr>
                <w:rFonts w:ascii="Times New Roman"/>
                <w:i/>
                <w:color w:val="0000FF"/>
                <w:spacing w:val="-1"/>
                <w:w w:val="99"/>
                <w:sz w:val="14"/>
                <w:u w:val="single" w:color="000000"/>
              </w:rPr>
              <w:t>M</w:t>
            </w:r>
            <w:r>
              <w:rPr>
                <w:rFonts w:ascii="Times New Roman"/>
                <w:i/>
                <w:color w:val="0000FF"/>
                <w:w w:val="99"/>
                <w:sz w:val="14"/>
                <w:u w:val="single" w:color="000000"/>
              </w:rPr>
              <w:t>U</w:t>
            </w:r>
            <w:r>
              <w:rPr>
                <w:rFonts w:ascii="Times New Roman"/>
                <w:i/>
                <w:color w:val="0000FF"/>
                <w:spacing w:val="1"/>
                <w:w w:val="99"/>
                <w:sz w:val="14"/>
                <w:u w:val="single" w:color="000000"/>
              </w:rPr>
              <w:t>X</w:t>
            </w:r>
            <w:r>
              <w:rPr>
                <w:rFonts w:ascii="Times New Roman"/>
                <w:i/>
                <w:color w:val="0000FF"/>
                <w:w w:val="99"/>
                <w:sz w:val="14"/>
                <w:u w:val="single" w:color="000000"/>
              </w:rPr>
              <w:t>_D</w:t>
            </w:r>
            <w:r>
              <w:rPr>
                <w:rFonts w:ascii="Times New Roman"/>
                <w:i/>
                <w:color w:val="0000FF"/>
                <w:spacing w:val="1"/>
                <w:w w:val="99"/>
                <w:sz w:val="14"/>
                <w:u w:val="single" w:color="000000"/>
              </w:rPr>
              <w:t>I</w:t>
            </w:r>
            <w:r>
              <w:rPr>
                <w:rFonts w:ascii="Times New Roman"/>
                <w:i/>
                <w:color w:val="0000FF"/>
                <w:spacing w:val="-2"/>
                <w:w w:val="99"/>
                <w:sz w:val="14"/>
                <w:u w:val="single" w:color="000000"/>
              </w:rPr>
              <w:t>V</w:t>
            </w:r>
            <w:r>
              <w:rPr>
                <w:w w:val="99"/>
                <w:sz w:val="14"/>
                <w:u w:val="single"/>
              </w:rPr>
              <w:t>C</w:t>
            </w:r>
            <w:r>
              <w:rPr>
                <w:spacing w:val="-1"/>
                <w:w w:val="99"/>
                <w:sz w:val="14"/>
                <w:u w:val="single"/>
              </w:rPr>
              <w:t>on</w:t>
            </w:r>
            <w:r>
              <w:rPr>
                <w:spacing w:val="2"/>
                <w:w w:val="99"/>
                <w:sz w:val="14"/>
                <w:u w:val="single"/>
              </w:rPr>
              <w:t>v</w:t>
            </w:r>
            <w:r>
              <w:rPr>
                <w:spacing w:val="-1"/>
                <w:w w:val="99"/>
                <w:sz w:val="14"/>
                <w:u w:val="single"/>
              </w:rPr>
              <w:t>er</w:t>
            </w:r>
            <w:r>
              <w:rPr>
                <w:w w:val="99"/>
                <w:sz w:val="14"/>
                <w:u w:val="single"/>
              </w:rPr>
              <w:t>s</w:t>
            </w:r>
            <w:r>
              <w:rPr>
                <w:spacing w:val="2"/>
                <w:w w:val="99"/>
                <w:sz w:val="14"/>
                <w:u w:val="single"/>
              </w:rPr>
              <w:t>i</w:t>
            </w:r>
            <w:r>
              <w:rPr>
                <w:spacing w:val="-1"/>
                <w:w w:val="99"/>
                <w:sz w:val="14"/>
                <w:u w:val="single"/>
              </w:rPr>
              <w:t>on</w:t>
            </w:r>
            <w:r>
              <w:rPr>
                <w:w w:val="99"/>
                <w:sz w:val="14"/>
                <w:u w:val="single"/>
              </w:rPr>
              <w:t>s</w:t>
            </w:r>
            <w:r>
              <w:rPr>
                <w:spacing w:val="-8"/>
                <w:sz w:val="14"/>
                <w:u w:val="single"/>
              </w:rPr>
              <w:t> </w:t>
            </w:r>
            <w:r>
              <w:rPr>
                <w:rFonts w:ascii="Times New Roman"/>
                <w:i/>
                <w:color w:val="0000FF"/>
                <w:spacing w:val="-107"/>
                <w:w w:val="99"/>
                <w:sz w:val="14"/>
                <w:u w:val="single" w:color="000000"/>
              </w:rPr>
              <w:t>M</w:t>
            </w:r>
            <w:r>
              <w:rPr>
                <w:w w:val="99"/>
                <w:sz w:val="14"/>
                <w:u w:val="single"/>
              </w:rPr>
              <w:t>(</w:t>
            </w:r>
            <w:r>
              <w:rPr>
                <w:sz w:val="14"/>
                <w:u w:val="single"/>
              </w:rPr>
              <w:t> </w:t>
            </w:r>
            <w:r>
              <w:rPr>
                <w:spacing w:val="-19"/>
                <w:sz w:val="14"/>
                <w:u w:val="single"/>
              </w:rPr>
              <w:t> </w:t>
            </w:r>
            <w:r>
              <w:rPr>
                <w:rFonts w:ascii="Times New Roman"/>
                <w:i/>
                <w:color w:val="0000FF"/>
                <w:w w:val="99"/>
                <w:sz w:val="14"/>
                <w:u w:val="single" w:color="000000"/>
              </w:rPr>
              <w:t>U</w:t>
            </w:r>
            <w:r>
              <w:rPr>
                <w:rFonts w:ascii="Times New Roman"/>
                <w:i/>
                <w:color w:val="0000FF"/>
                <w:spacing w:val="1"/>
                <w:w w:val="99"/>
                <w:sz w:val="14"/>
                <w:u w:val="single" w:color="000000"/>
              </w:rPr>
              <w:t>X</w:t>
            </w:r>
            <w:r>
              <w:rPr>
                <w:rFonts w:ascii="Times New Roman"/>
                <w:i/>
                <w:color w:val="0000FF"/>
                <w:w w:val="99"/>
                <w:sz w:val="14"/>
                <w:u w:val="single" w:color="000000"/>
              </w:rPr>
              <w:t>_D</w:t>
            </w:r>
            <w:r>
              <w:rPr>
                <w:rFonts w:ascii="Times New Roman"/>
                <w:i/>
                <w:color w:val="0000FF"/>
                <w:spacing w:val="1"/>
                <w:w w:val="99"/>
                <w:sz w:val="14"/>
                <w:u w:val="single" w:color="000000"/>
              </w:rPr>
              <w:t>I</w:t>
            </w:r>
            <w:r>
              <w:rPr>
                <w:rFonts w:ascii="Times New Roman"/>
                <w:i/>
                <w:color w:val="0000FF"/>
                <w:spacing w:val="-40"/>
                <w:w w:val="99"/>
                <w:sz w:val="14"/>
                <w:u w:val="single" w:color="000000"/>
              </w:rPr>
              <w:t>V</w:t>
            </w:r>
            <w:r>
              <w:rPr>
                <w:w w:val="99"/>
                <w:sz w:val="14"/>
                <w:u w:val="single"/>
              </w:rPr>
              <w:t>=6</w:t>
            </w:r>
            <w:r>
              <w:rPr>
                <w:spacing w:val="-2"/>
                <w:sz w:val="14"/>
                <w:u w:val="single"/>
              </w:rPr>
              <w:t> </w:t>
            </w:r>
            <w:r>
              <w:rPr>
                <w:w w:val="99"/>
                <w:sz w:val="14"/>
                <w:u w:val="single"/>
              </w:rPr>
              <w:t>is</w:t>
            </w:r>
            <w:r>
              <w:rPr>
                <w:spacing w:val="-1"/>
                <w:sz w:val="14"/>
                <w:u w:val="single"/>
              </w:rPr>
              <w:t> </w:t>
            </w:r>
            <w:r>
              <w:rPr>
                <w:spacing w:val="2"/>
                <w:w w:val="99"/>
                <w:sz w:val="14"/>
                <w:u w:val="single"/>
              </w:rPr>
              <w:t>s</w:t>
            </w:r>
            <w:r>
              <w:rPr>
                <w:spacing w:val="-1"/>
                <w:w w:val="99"/>
                <w:sz w:val="14"/>
                <w:u w:val="single"/>
              </w:rPr>
              <w:t>h</w:t>
            </w:r>
            <w:r>
              <w:rPr>
                <w:spacing w:val="1"/>
                <w:w w:val="99"/>
                <w:sz w:val="14"/>
                <w:u w:val="single"/>
              </w:rPr>
              <w:t>o</w:t>
            </w:r>
            <w:r>
              <w:rPr>
                <w:w w:val="99"/>
                <w:sz w:val="14"/>
                <w:u w:val="single"/>
              </w:rPr>
              <w:t>w</w:t>
            </w:r>
            <w:r>
              <w:rPr>
                <w:spacing w:val="-1"/>
                <w:w w:val="99"/>
                <w:sz w:val="14"/>
                <w:u w:val="single"/>
              </w:rPr>
              <w:t>n</w:t>
            </w:r>
            <w:r>
              <w:rPr>
                <w:w w:val="99"/>
                <w:sz w:val="14"/>
                <w:u w:val="single"/>
              </w:rPr>
              <w:t>)</w:t>
            </w:r>
            <w:r>
              <w:rPr>
                <w:sz w:val="14"/>
                <w:u w:val="single"/>
              </w:rPr>
              <w:tab/>
            </w:r>
            <w:r>
              <w:rPr>
                <w:sz w:val="14"/>
              </w:rPr>
              <w:t>  </w:t>
            </w:r>
            <w:r>
              <w:rPr>
                <w:spacing w:val="13"/>
                <w:sz w:val="14"/>
              </w:rPr>
              <w:t> </w:t>
            </w:r>
            <w:r>
              <w:rPr>
                <w:rFonts w:ascii="Times New Roman"/>
                <w:w w:val="99"/>
                <w:sz w:val="14"/>
                <w:u w:val="single"/>
              </w:rPr>
              <w:t> </w:t>
            </w:r>
            <w:r>
              <w:rPr>
                <w:rFonts w:ascii="Times New Roman"/>
                <w:spacing w:val="-10"/>
                <w:sz w:val="14"/>
                <w:u w:val="single"/>
              </w:rPr>
              <w:t> </w:t>
            </w:r>
            <w:r>
              <w:rPr>
                <w:w w:val="99"/>
                <w:sz w:val="14"/>
                <w:u w:val="single"/>
              </w:rPr>
              <w:t>S</w:t>
            </w:r>
            <w:r>
              <w:rPr>
                <w:spacing w:val="-1"/>
                <w:w w:val="99"/>
                <w:sz w:val="14"/>
                <w:u w:val="single"/>
              </w:rPr>
              <w:t>ett</w:t>
            </w:r>
            <w:r>
              <w:rPr>
                <w:w w:val="99"/>
                <w:sz w:val="14"/>
                <w:u w:val="single"/>
              </w:rPr>
              <w:t>le</w:t>
            </w:r>
          </w:p>
          <w:p>
            <w:pPr>
              <w:pStyle w:val="TableParagraph"/>
              <w:spacing w:before="2"/>
              <w:rPr>
                <w:sz w:val="21"/>
              </w:rPr>
            </w:pPr>
          </w:p>
          <w:p>
            <w:pPr>
              <w:pStyle w:val="TableParagraph"/>
              <w:tabs>
                <w:tab w:pos="1203" w:val="left" w:leader="none"/>
              </w:tabs>
              <w:spacing w:before="1"/>
              <w:ind w:left="514"/>
              <w:rPr>
                <w:rFonts w:ascii="Times New Roman"/>
                <w:sz w:val="14"/>
              </w:rPr>
            </w:pPr>
            <w:r>
              <w:rPr>
                <w:sz w:val="14"/>
              </w:rPr>
              <w:t>CK32</w:t>
            </w:r>
            <w:r>
              <w:rPr>
                <w:spacing w:val="14"/>
                <w:sz w:val="14"/>
              </w:rPr>
              <w:t> </w:t>
            </w:r>
            <w:r>
              <w:rPr>
                <w:rFonts w:ascii="Times New Roman"/>
                <w:w w:val="99"/>
                <w:sz w:val="14"/>
                <w:u w:val="single"/>
              </w:rPr>
              <w:t> </w:t>
            </w:r>
            <w:r>
              <w:rPr>
                <w:rFonts w:ascii="Times New Roman"/>
                <w:sz w:val="14"/>
                <w:u w:val="single"/>
              </w:rPr>
              <w:tab/>
            </w:r>
          </w:p>
          <w:p>
            <w:pPr>
              <w:pStyle w:val="TableParagraph"/>
              <w:spacing w:line="151" w:lineRule="exact" w:before="21"/>
              <w:ind w:left="1981"/>
              <w:rPr>
                <w:sz w:val="14"/>
              </w:rPr>
            </w:pPr>
            <w:r>
              <w:rPr>
                <w:sz w:val="14"/>
              </w:rPr>
              <w:t>150</w:t>
            </w:r>
          </w:p>
          <w:p>
            <w:pPr>
              <w:pStyle w:val="TableParagraph"/>
              <w:spacing w:line="151" w:lineRule="exact"/>
              <w:ind w:left="121"/>
              <w:rPr>
                <w:sz w:val="14"/>
              </w:rPr>
            </w:pPr>
            <w:r>
              <w:rPr>
                <w:sz w:val="14"/>
              </w:rPr>
              <w:t>MUX_SYNC</w:t>
            </w:r>
          </w:p>
        </w:tc>
      </w:tr>
      <w:tr>
        <w:trPr>
          <w:trHeight w:val="147" w:hRule="atLeast"/>
        </w:trPr>
        <w:tc>
          <w:tcPr>
            <w:tcW w:w="1228" w:type="dxa"/>
            <w:tcBorders>
              <w:top w:val="nil"/>
              <w:bottom w:val="nil"/>
              <w:right w:val="single" w:sz="6" w:space="0" w:color="000000"/>
            </w:tcBorders>
          </w:tcPr>
          <w:p>
            <w:pPr>
              <w:pStyle w:val="TableParagraph"/>
              <w:spacing w:line="127" w:lineRule="exact"/>
              <w:ind w:left="245"/>
              <w:rPr>
                <w:sz w:val="14"/>
              </w:rPr>
            </w:pPr>
            <w:r>
              <w:rPr>
                <w:sz w:val="14"/>
              </w:rPr>
              <w:t>CE CODE</w:t>
            </w:r>
          </w:p>
        </w:tc>
        <w:tc>
          <w:tcPr>
            <w:tcW w:w="1967" w:type="dxa"/>
            <w:gridSpan w:val="6"/>
            <w:tcBorders>
              <w:top w:val="single" w:sz="6" w:space="0" w:color="000000"/>
              <w:left w:val="single" w:sz="6" w:space="0" w:color="000000"/>
              <w:bottom w:val="single" w:sz="6" w:space="0" w:color="000000"/>
              <w:right w:val="single" w:sz="6" w:space="0" w:color="000000"/>
            </w:tcBorders>
          </w:tcPr>
          <w:p>
            <w:pPr>
              <w:pStyle w:val="TableParagraph"/>
              <w:spacing w:line="145" w:lineRule="exact"/>
              <w:ind w:left="-20" w:right="-29"/>
              <w:rPr>
                <w:sz w:val="14"/>
              </w:rPr>
            </w:pPr>
            <w:r>
              <w:rPr>
                <w:position w:val="-2"/>
                <w:sz w:val="14"/>
              </w:rPr>
              <w:drawing>
                <wp:inline distT="0" distB="0" distL="0" distR="0">
                  <wp:extent cx="1238826" cy="92201"/>
                  <wp:effectExtent l="0" t="0" r="0" b="0"/>
                  <wp:docPr id="11" name="image78.png"/>
                  <wp:cNvGraphicFramePr>
                    <a:graphicFrameLocks noChangeAspect="1"/>
                  </wp:cNvGraphicFramePr>
                  <a:graphic>
                    <a:graphicData uri="http://schemas.openxmlformats.org/drawingml/2006/picture">
                      <pic:pic>
                        <pic:nvPicPr>
                          <pic:cNvPr id="12" name="image78.png"/>
                          <pic:cNvPicPr/>
                        </pic:nvPicPr>
                        <pic:blipFill>
                          <a:blip r:embed="rId95" cstate="print"/>
                          <a:stretch>
                            <a:fillRect/>
                          </a:stretch>
                        </pic:blipFill>
                        <pic:spPr>
                          <a:xfrm>
                            <a:off x="0" y="0"/>
                            <a:ext cx="1238826" cy="92201"/>
                          </a:xfrm>
                          <a:prstGeom prst="rect">
                            <a:avLst/>
                          </a:prstGeom>
                        </pic:spPr>
                      </pic:pic>
                    </a:graphicData>
                  </a:graphic>
                </wp:inline>
              </w:drawing>
            </w:r>
            <w:r>
              <w:rPr>
                <w:position w:val="-2"/>
                <w:sz w:val="14"/>
              </w:rPr>
            </w:r>
          </w:p>
        </w:tc>
        <w:tc>
          <w:tcPr>
            <w:tcW w:w="5646" w:type="dxa"/>
            <w:tcBorders>
              <w:top w:val="nil"/>
              <w:left w:val="single" w:sz="6" w:space="0" w:color="000000"/>
              <w:bottom w:val="single" w:sz="6" w:space="0" w:color="000000"/>
              <w:right w:val="single" w:sz="6" w:space="0" w:color="000000"/>
            </w:tcBorders>
          </w:tcPr>
          <w:p>
            <w:pPr>
              <w:pStyle w:val="TableParagraph"/>
              <w:rPr>
                <w:rFonts w:ascii="Times New Roman"/>
                <w:sz w:val="8"/>
              </w:rPr>
            </w:pPr>
          </w:p>
        </w:tc>
        <w:tc>
          <w:tcPr>
            <w:tcW w:w="405" w:type="dxa"/>
            <w:tcBorders>
              <w:top w:val="single" w:sz="6" w:space="0" w:color="000000"/>
              <w:left w:val="single" w:sz="6" w:space="0" w:color="000000"/>
              <w:bottom w:val="single" w:sz="6" w:space="0" w:color="000000"/>
              <w:right w:val="thinThickMediumGap" w:sz="3" w:space="0" w:color="000000"/>
            </w:tcBorders>
          </w:tcPr>
          <w:p>
            <w:pPr>
              <w:pStyle w:val="TableParagraph"/>
              <w:spacing w:line="145" w:lineRule="exact"/>
              <w:ind w:left="-10" w:right="-15"/>
              <w:rPr>
                <w:sz w:val="14"/>
              </w:rPr>
            </w:pPr>
            <w:r>
              <w:rPr>
                <w:position w:val="-2"/>
                <w:sz w:val="14"/>
              </w:rPr>
              <w:drawing>
                <wp:inline distT="0" distB="0" distL="0" distR="0">
                  <wp:extent cx="229564" cy="92201"/>
                  <wp:effectExtent l="0" t="0" r="0" b="0"/>
                  <wp:docPr id="13" name="image79.png"/>
                  <wp:cNvGraphicFramePr>
                    <a:graphicFrameLocks noChangeAspect="1"/>
                  </wp:cNvGraphicFramePr>
                  <a:graphic>
                    <a:graphicData uri="http://schemas.openxmlformats.org/drawingml/2006/picture">
                      <pic:pic>
                        <pic:nvPicPr>
                          <pic:cNvPr id="14" name="image79.png"/>
                          <pic:cNvPicPr/>
                        </pic:nvPicPr>
                        <pic:blipFill>
                          <a:blip r:embed="rId96" cstate="print"/>
                          <a:stretch>
                            <a:fillRect/>
                          </a:stretch>
                        </pic:blipFill>
                        <pic:spPr>
                          <a:xfrm>
                            <a:off x="0" y="0"/>
                            <a:ext cx="229564" cy="92201"/>
                          </a:xfrm>
                          <a:prstGeom prst="rect">
                            <a:avLst/>
                          </a:prstGeom>
                        </pic:spPr>
                      </pic:pic>
                    </a:graphicData>
                  </a:graphic>
                </wp:inline>
              </w:drawing>
            </w:r>
            <w:r>
              <w:rPr>
                <w:position w:val="-2"/>
                <w:sz w:val="14"/>
              </w:rPr>
            </w:r>
          </w:p>
        </w:tc>
      </w:tr>
      <w:tr>
        <w:trPr>
          <w:trHeight w:val="242" w:hRule="atLeast"/>
        </w:trPr>
        <w:tc>
          <w:tcPr>
            <w:tcW w:w="1228" w:type="dxa"/>
            <w:tcBorders>
              <w:top w:val="nil"/>
              <w:bottom w:val="nil"/>
              <w:right w:val="single" w:sz="2" w:space="0" w:color="000000"/>
            </w:tcBorders>
          </w:tcPr>
          <w:p>
            <w:pPr>
              <w:pStyle w:val="TableParagraph"/>
              <w:spacing w:before="46"/>
              <w:ind w:right="-15"/>
              <w:jc w:val="right"/>
              <w:rPr>
                <w:sz w:val="10"/>
              </w:rPr>
            </w:pPr>
            <w:r>
              <w:rPr>
                <w:w w:val="100"/>
                <w:sz w:val="10"/>
              </w:rPr>
              <w:t>S</w:t>
            </w:r>
          </w:p>
        </w:tc>
        <w:tc>
          <w:tcPr>
            <w:tcW w:w="313" w:type="dxa"/>
            <w:tcBorders>
              <w:top w:val="single" w:sz="6" w:space="0" w:color="000000"/>
              <w:left w:val="single" w:sz="2" w:space="0" w:color="000000"/>
              <w:bottom w:val="nil"/>
              <w:right w:val="single" w:sz="2" w:space="0" w:color="000000"/>
            </w:tcBorders>
          </w:tcPr>
          <w:p>
            <w:pPr>
              <w:pStyle w:val="TableParagraph"/>
              <w:spacing w:line="115" w:lineRule="exact" w:before="46"/>
              <w:ind w:left="-3"/>
              <w:rPr>
                <w:sz w:val="10"/>
              </w:rPr>
            </w:pPr>
            <w:r>
              <w:rPr>
                <w:position w:val="-4"/>
                <w:sz w:val="8"/>
              </w:rPr>
              <w:t>0 </w:t>
            </w:r>
            <w:r>
              <w:rPr>
                <w:sz w:val="10"/>
              </w:rPr>
              <w:t>S</w:t>
            </w:r>
          </w:p>
          <w:p>
            <w:pPr>
              <w:pStyle w:val="TableParagraph"/>
              <w:spacing w:line="46" w:lineRule="exact"/>
              <w:ind w:right="5"/>
              <w:jc w:val="right"/>
              <w:rPr>
                <w:sz w:val="8"/>
              </w:rPr>
            </w:pPr>
            <w:r>
              <w:rPr>
                <w:w w:val="99"/>
                <w:sz w:val="8"/>
              </w:rPr>
              <w:t>1</w:t>
            </w:r>
          </w:p>
        </w:tc>
        <w:tc>
          <w:tcPr>
            <w:tcW w:w="258" w:type="dxa"/>
            <w:tcBorders>
              <w:top w:val="single" w:sz="6" w:space="0" w:color="000000"/>
              <w:left w:val="single" w:sz="2" w:space="0" w:color="000000"/>
              <w:bottom w:val="nil"/>
              <w:right w:val="single" w:sz="2" w:space="0" w:color="000000"/>
            </w:tcBorders>
          </w:tcPr>
          <w:p>
            <w:pPr>
              <w:pStyle w:val="TableParagraph"/>
              <w:spacing w:line="92" w:lineRule="exact" w:before="46"/>
              <w:ind w:left="132"/>
              <w:rPr>
                <w:sz w:val="10"/>
              </w:rPr>
            </w:pPr>
            <w:r>
              <w:rPr>
                <w:w w:val="100"/>
                <w:sz w:val="10"/>
              </w:rPr>
              <w:t>S</w:t>
            </w:r>
          </w:p>
          <w:p>
            <w:pPr>
              <w:pStyle w:val="TableParagraph"/>
              <w:spacing w:line="69" w:lineRule="exact"/>
              <w:ind w:left="197"/>
              <w:rPr>
                <w:sz w:val="8"/>
              </w:rPr>
            </w:pPr>
            <w:r>
              <w:rPr>
                <w:w w:val="99"/>
                <w:sz w:val="8"/>
              </w:rPr>
              <w:t>2</w:t>
            </w:r>
          </w:p>
        </w:tc>
        <w:tc>
          <w:tcPr>
            <w:tcW w:w="257" w:type="dxa"/>
            <w:tcBorders>
              <w:top w:val="single" w:sz="6" w:space="0" w:color="000000"/>
              <w:left w:val="single" w:sz="2" w:space="0" w:color="000000"/>
              <w:bottom w:val="nil"/>
              <w:right w:val="single" w:sz="2" w:space="0" w:color="000000"/>
            </w:tcBorders>
          </w:tcPr>
          <w:p>
            <w:pPr>
              <w:pStyle w:val="TableParagraph"/>
              <w:spacing w:line="92" w:lineRule="exact" w:before="46"/>
              <w:ind w:left="131"/>
              <w:rPr>
                <w:sz w:val="10"/>
              </w:rPr>
            </w:pPr>
            <w:r>
              <w:rPr>
                <w:w w:val="100"/>
                <w:sz w:val="10"/>
              </w:rPr>
              <w:t>S</w:t>
            </w:r>
          </w:p>
          <w:p>
            <w:pPr>
              <w:pStyle w:val="TableParagraph"/>
              <w:spacing w:line="69" w:lineRule="exact"/>
              <w:ind w:left="196"/>
              <w:rPr>
                <w:sz w:val="8"/>
              </w:rPr>
            </w:pPr>
            <w:r>
              <w:rPr>
                <w:w w:val="99"/>
                <w:sz w:val="8"/>
              </w:rPr>
              <w:t>3</w:t>
            </w:r>
          </w:p>
        </w:tc>
        <w:tc>
          <w:tcPr>
            <w:tcW w:w="259" w:type="dxa"/>
            <w:tcBorders>
              <w:top w:val="single" w:sz="6" w:space="0" w:color="000000"/>
              <w:left w:val="single" w:sz="2" w:space="0" w:color="000000"/>
              <w:bottom w:val="nil"/>
              <w:right w:val="single" w:sz="2" w:space="0" w:color="000000"/>
            </w:tcBorders>
          </w:tcPr>
          <w:p>
            <w:pPr>
              <w:pStyle w:val="TableParagraph"/>
              <w:spacing w:line="92" w:lineRule="exact" w:before="46"/>
              <w:ind w:left="133"/>
              <w:rPr>
                <w:sz w:val="10"/>
              </w:rPr>
            </w:pPr>
            <w:r>
              <w:rPr>
                <w:w w:val="100"/>
                <w:sz w:val="10"/>
              </w:rPr>
              <w:t>S</w:t>
            </w:r>
          </w:p>
          <w:p>
            <w:pPr>
              <w:pStyle w:val="TableParagraph"/>
              <w:spacing w:line="69" w:lineRule="exact"/>
              <w:ind w:left="198"/>
              <w:rPr>
                <w:sz w:val="8"/>
              </w:rPr>
            </w:pPr>
            <w:r>
              <w:rPr>
                <w:w w:val="99"/>
                <w:sz w:val="8"/>
              </w:rPr>
              <w:t>4</w:t>
            </w:r>
          </w:p>
        </w:tc>
        <w:tc>
          <w:tcPr>
            <w:tcW w:w="257" w:type="dxa"/>
            <w:tcBorders>
              <w:top w:val="single" w:sz="6" w:space="0" w:color="000000"/>
              <w:left w:val="single" w:sz="2" w:space="0" w:color="000000"/>
              <w:bottom w:val="nil"/>
              <w:right w:val="single" w:sz="2" w:space="0" w:color="000000"/>
            </w:tcBorders>
          </w:tcPr>
          <w:p>
            <w:pPr>
              <w:pStyle w:val="TableParagraph"/>
              <w:spacing w:line="92" w:lineRule="exact" w:before="46"/>
              <w:ind w:left="131"/>
              <w:rPr>
                <w:sz w:val="10"/>
              </w:rPr>
            </w:pPr>
            <w:r>
              <w:rPr>
                <w:w w:val="100"/>
                <w:sz w:val="10"/>
              </w:rPr>
              <w:t>S</w:t>
            </w:r>
          </w:p>
          <w:p>
            <w:pPr>
              <w:pStyle w:val="TableParagraph"/>
              <w:spacing w:line="69" w:lineRule="exact"/>
              <w:ind w:left="194"/>
              <w:rPr>
                <w:sz w:val="8"/>
              </w:rPr>
            </w:pPr>
            <w:r>
              <w:rPr>
                <w:w w:val="99"/>
                <w:sz w:val="8"/>
              </w:rPr>
              <w:t>5</w:t>
            </w:r>
          </w:p>
        </w:tc>
        <w:tc>
          <w:tcPr>
            <w:tcW w:w="6674" w:type="dxa"/>
            <w:gridSpan w:val="3"/>
            <w:tcBorders>
              <w:top w:val="single" w:sz="6" w:space="0" w:color="000000"/>
              <w:left w:val="single" w:sz="2" w:space="0" w:color="000000"/>
              <w:bottom w:val="nil"/>
            </w:tcBorders>
          </w:tcPr>
          <w:p>
            <w:pPr>
              <w:pStyle w:val="TableParagraph"/>
              <w:rPr>
                <w:rFonts w:ascii="Times New Roman"/>
                <w:sz w:val="16"/>
              </w:rPr>
            </w:pPr>
          </w:p>
        </w:tc>
      </w:tr>
      <w:tr>
        <w:trPr>
          <w:trHeight w:val="3209" w:hRule="atLeast"/>
        </w:trPr>
        <w:tc>
          <w:tcPr>
            <w:tcW w:w="9246" w:type="dxa"/>
            <w:gridSpan w:val="9"/>
            <w:tcBorders>
              <w:top w:val="nil"/>
            </w:tcBorders>
          </w:tcPr>
          <w:p>
            <w:pPr>
              <w:pStyle w:val="TableParagraph"/>
              <w:spacing w:before="5"/>
              <w:rPr>
                <w:sz w:val="20"/>
              </w:rPr>
            </w:pPr>
          </w:p>
          <w:p>
            <w:pPr>
              <w:pStyle w:val="TableParagraph"/>
              <w:spacing w:line="100" w:lineRule="exact"/>
              <w:ind w:left="1164"/>
              <w:rPr>
                <w:sz w:val="10"/>
              </w:rPr>
            </w:pPr>
            <w:r>
              <w:rPr>
                <w:position w:val="-1"/>
                <w:sz w:val="10"/>
              </w:rPr>
              <w:pict>
                <v:group style="width:4.5pt;height:5pt;mso-position-horizontal-relative:char;mso-position-vertical-relative:line" coordorigin="0,0" coordsize="90,100">
                  <v:shape style="position:absolute;left:0;top:0;width:90;height:100" coordorigin="0,0" coordsize="90,100" path="m45,0l0,100,6,98,10,93,16,93,20,91,26,89,31,89,37,87,53,87,59,89,65,89,69,91,74,93,80,93,84,98,90,100,45,0xe" filled="true" fillcolor="#000000" stroked="false">
                    <v:path arrowok="t"/>
                    <v:fill type="solid"/>
                  </v:shape>
                </v:group>
              </w:pict>
            </w:r>
            <w:r>
              <w:rPr>
                <w:position w:val="-1"/>
                <w:sz w:val="10"/>
              </w:rPr>
            </w:r>
          </w:p>
          <w:p>
            <w:pPr>
              <w:pStyle w:val="TableParagraph"/>
              <w:spacing w:before="52"/>
              <w:ind w:left="1093"/>
              <w:rPr>
                <w:sz w:val="14"/>
              </w:rPr>
            </w:pPr>
            <w:r>
              <w:rPr>
                <w:w w:val="99"/>
                <w:sz w:val="14"/>
              </w:rPr>
              <w:t>R</w:t>
            </w:r>
          </w:p>
          <w:p>
            <w:pPr>
              <w:pStyle w:val="TableParagraph"/>
              <w:spacing w:before="2"/>
              <w:rPr>
                <w:sz w:val="14"/>
              </w:rPr>
            </w:pPr>
          </w:p>
          <w:p>
            <w:pPr>
              <w:pStyle w:val="TableParagraph"/>
              <w:tabs>
                <w:tab w:pos="1209" w:val="left" w:leader="none"/>
                <w:tab w:pos="2456" w:val="left" w:leader="none"/>
                <w:tab w:pos="3065" w:val="left" w:leader="none"/>
                <w:tab w:pos="4347" w:val="left" w:leader="none"/>
                <w:tab w:pos="5520" w:val="left" w:leader="none"/>
                <w:tab w:pos="6802" w:val="left" w:leader="none"/>
                <w:tab w:pos="8050" w:val="left" w:leader="none"/>
                <w:tab w:pos="9003" w:val="left" w:leader="none"/>
              </w:tabs>
              <w:spacing w:line="127" w:lineRule="exact"/>
              <w:ind w:left="356"/>
              <w:rPr>
                <w:sz w:val="10"/>
              </w:rPr>
            </w:pPr>
            <w:r>
              <w:rPr>
                <w:sz w:val="14"/>
              </w:rPr>
              <w:t>WPULSE</w:t>
              <w:tab/>
            </w:r>
            <w:r>
              <w:rPr>
                <w:sz w:val="14"/>
                <w:u w:val="single"/>
              </w:rPr>
              <w:t> </w:t>
              <w:tab/>
            </w:r>
            <w:r>
              <w:rPr>
                <w:sz w:val="14"/>
              </w:rPr>
              <w:tab/>
            </w:r>
            <w:r>
              <w:rPr>
                <w:position w:val="1"/>
                <w:sz w:val="10"/>
              </w:rPr>
              <w:t>S</w:t>
              <w:tab/>
              <w:t>S</w:t>
              <w:tab/>
              <w:t>S</w:t>
              <w:tab/>
              <w:t>S</w:t>
              <w:tab/>
              <w:t>S</w:t>
              <w:tab/>
              <w:t>S</w:t>
            </w:r>
          </w:p>
          <w:p>
            <w:pPr>
              <w:pStyle w:val="TableParagraph"/>
              <w:tabs>
                <w:tab w:pos="4412" w:val="left" w:leader="none"/>
                <w:tab w:pos="5585" w:val="left" w:leader="none"/>
                <w:tab w:pos="6867" w:val="left" w:leader="none"/>
                <w:tab w:pos="8115" w:val="left" w:leader="none"/>
                <w:tab w:pos="9068" w:val="left" w:leader="none"/>
              </w:tabs>
              <w:spacing w:line="58" w:lineRule="exact"/>
              <w:ind w:left="3130"/>
              <w:rPr>
                <w:sz w:val="8"/>
              </w:rPr>
            </w:pPr>
            <w:r>
              <w:rPr>
                <w:sz w:val="8"/>
              </w:rPr>
              <w:t>0</w:t>
              <w:tab/>
              <w:t>1</w:t>
              <w:tab/>
              <w:t>2</w:t>
              <w:tab/>
              <w:t>3</w:t>
              <w:tab/>
              <w:t>4</w:t>
              <w:tab/>
              <w:t>5</w:t>
            </w:r>
          </w:p>
          <w:p>
            <w:pPr>
              <w:pStyle w:val="TableParagraph"/>
              <w:spacing w:before="61"/>
              <w:ind w:left="1276"/>
              <w:rPr>
                <w:rFonts w:ascii="Times New Roman"/>
                <w:i/>
                <w:sz w:val="14"/>
              </w:rPr>
            </w:pPr>
            <w:r>
              <w:rPr>
                <w:rFonts w:ascii="Times New Roman"/>
                <w:w w:val="99"/>
                <w:sz w:val="14"/>
                <w:u w:val="single"/>
              </w:rPr>
              <w:t> </w:t>
            </w:r>
            <w:r>
              <w:rPr>
                <w:rFonts w:ascii="Times New Roman"/>
                <w:sz w:val="14"/>
                <w:u w:val="single"/>
              </w:rPr>
              <w:t> </w:t>
            </w:r>
            <w:r>
              <w:rPr>
                <w:sz w:val="14"/>
                <w:u w:val="single"/>
              </w:rPr>
              <w:t>4*</w:t>
            </w:r>
            <w:r>
              <w:rPr>
                <w:rFonts w:ascii="Times New Roman"/>
                <w:i/>
                <w:sz w:val="14"/>
                <w:u w:val="single"/>
              </w:rPr>
              <w:t>PLS_INTERVAL </w:t>
            </w:r>
            <w:r>
              <w:rPr>
                <w:sz w:val="14"/>
                <w:u w:val="single"/>
              </w:rPr>
              <w:t>4*</w:t>
            </w:r>
            <w:r>
              <w:rPr>
                <w:rFonts w:ascii="Times New Roman"/>
                <w:i/>
                <w:sz w:val="14"/>
                <w:u w:val="single"/>
              </w:rPr>
              <w:t>PLS_INTERVAL </w:t>
            </w:r>
            <w:r>
              <w:rPr>
                <w:sz w:val="14"/>
                <w:u w:val="single"/>
              </w:rPr>
              <w:t>4*</w:t>
            </w:r>
            <w:r>
              <w:rPr>
                <w:rFonts w:ascii="Times New Roman"/>
                <w:i/>
                <w:sz w:val="14"/>
                <w:u w:val="single"/>
              </w:rPr>
              <w:t>PLS_INTERVAL </w:t>
            </w:r>
            <w:r>
              <w:rPr>
                <w:sz w:val="14"/>
                <w:u w:val="single"/>
              </w:rPr>
              <w:t>4*</w:t>
            </w:r>
            <w:r>
              <w:rPr>
                <w:rFonts w:ascii="Times New Roman"/>
                <w:i/>
                <w:sz w:val="14"/>
                <w:u w:val="single"/>
              </w:rPr>
              <w:t>PLS_INTERVAL </w:t>
            </w:r>
            <w:r>
              <w:rPr>
                <w:sz w:val="14"/>
                <w:u w:val="single"/>
              </w:rPr>
              <w:t>4*</w:t>
            </w:r>
            <w:r>
              <w:rPr>
                <w:rFonts w:ascii="Times New Roman"/>
                <w:i/>
                <w:sz w:val="14"/>
                <w:u w:val="single"/>
              </w:rPr>
              <w:t>PLS_INTERVAL </w:t>
            </w:r>
            <w:r>
              <w:rPr>
                <w:sz w:val="14"/>
                <w:u w:val="single"/>
              </w:rPr>
              <w:t>4*</w:t>
            </w:r>
            <w:r>
              <w:rPr>
                <w:rFonts w:ascii="Times New Roman"/>
                <w:i/>
                <w:sz w:val="14"/>
                <w:u w:val="single"/>
              </w:rPr>
              <w:t>PLS_INTERVAL</w:t>
            </w:r>
          </w:p>
          <w:p>
            <w:pPr>
              <w:pStyle w:val="TableParagraph"/>
              <w:rPr>
                <w:sz w:val="16"/>
              </w:rPr>
            </w:pPr>
          </w:p>
          <w:p>
            <w:pPr>
              <w:pStyle w:val="TableParagraph"/>
              <w:rPr>
                <w:sz w:val="14"/>
              </w:rPr>
            </w:pPr>
          </w:p>
          <w:p>
            <w:pPr>
              <w:pStyle w:val="TableParagraph"/>
              <w:numPr>
                <w:ilvl w:val="0"/>
                <w:numId w:val="14"/>
              </w:numPr>
              <w:tabs>
                <w:tab w:pos="1432" w:val="left" w:leader="none"/>
              </w:tabs>
              <w:spacing w:line="240" w:lineRule="auto" w:before="0" w:after="0"/>
              <w:ind w:left="1431" w:right="0" w:hanging="224"/>
              <w:jc w:val="left"/>
              <w:rPr>
                <w:sz w:val="16"/>
              </w:rPr>
            </w:pPr>
            <w:r>
              <w:rPr>
                <w:sz w:val="16"/>
              </w:rPr>
              <w:t>This example shows how the FIFO distributes 6 pulse generator updates over one MUX</w:t>
            </w:r>
            <w:r>
              <w:rPr>
                <w:spacing w:val="-17"/>
                <w:sz w:val="16"/>
              </w:rPr>
              <w:t> </w:t>
            </w:r>
            <w:r>
              <w:rPr>
                <w:sz w:val="16"/>
              </w:rPr>
              <w:t>frame.</w:t>
            </w:r>
          </w:p>
          <w:p>
            <w:pPr>
              <w:pStyle w:val="TableParagraph"/>
              <w:numPr>
                <w:ilvl w:val="0"/>
                <w:numId w:val="14"/>
              </w:numPr>
              <w:tabs>
                <w:tab w:pos="1432" w:val="left" w:leader="none"/>
              </w:tabs>
              <w:spacing w:line="252" w:lineRule="auto" w:before="108" w:after="0"/>
              <w:ind w:left="1208" w:right="663" w:firstLine="0"/>
              <w:jc w:val="left"/>
              <w:rPr>
                <w:sz w:val="16"/>
              </w:rPr>
            </w:pPr>
            <w:r>
              <w:rPr>
                <w:position w:val="2"/>
                <w:sz w:val="16"/>
              </w:rPr>
              <w:t>If WPULSE is low longer than </w:t>
            </w:r>
            <w:r>
              <w:rPr>
                <w:rFonts w:ascii="Times New Roman"/>
                <w:i/>
                <w:sz w:val="18"/>
              </w:rPr>
              <w:t>(</w:t>
            </w:r>
            <w:r>
              <w:rPr>
                <w:rFonts w:ascii="Times New Roman"/>
                <w:position w:val="2"/>
                <w:sz w:val="16"/>
              </w:rPr>
              <w:t>2</w:t>
            </w:r>
            <w:r>
              <w:rPr>
                <w:rFonts w:ascii="Times New Roman"/>
                <w:i/>
                <w:position w:val="2"/>
                <w:sz w:val="16"/>
              </w:rPr>
              <w:t>*PLS_MAXWIDTH+1) </w:t>
            </w:r>
            <w:r>
              <w:rPr>
                <w:position w:val="2"/>
                <w:sz w:val="16"/>
              </w:rPr>
              <w:t>updates, WPULSE will be raised until the next</w:t>
            </w:r>
            <w:r>
              <w:rPr>
                <w:sz w:val="16"/>
              </w:rPr>
              <w:t> low-going pulse</w:t>
            </w:r>
            <w:r>
              <w:rPr>
                <w:spacing w:val="-1"/>
                <w:sz w:val="16"/>
              </w:rPr>
              <w:t> </w:t>
            </w:r>
            <w:r>
              <w:rPr>
                <w:sz w:val="16"/>
              </w:rPr>
              <w:t>begins.</w:t>
            </w:r>
          </w:p>
          <w:p>
            <w:pPr>
              <w:pStyle w:val="TableParagraph"/>
              <w:numPr>
                <w:ilvl w:val="0"/>
                <w:numId w:val="14"/>
              </w:numPr>
              <w:tabs>
                <w:tab w:pos="1434" w:val="left" w:leader="none"/>
              </w:tabs>
              <w:spacing w:line="240" w:lineRule="auto" w:before="63" w:after="0"/>
              <w:ind w:left="1433" w:right="0" w:hanging="226"/>
              <w:jc w:val="left"/>
              <w:rPr>
                <w:sz w:val="16"/>
              </w:rPr>
            </w:pPr>
            <w:r>
              <w:rPr>
                <w:sz w:val="16"/>
              </w:rPr>
              <w:t>Only the WPULSE circuit is shown. The VARPULSE circuit behaves</w:t>
            </w:r>
            <w:r>
              <w:rPr>
                <w:spacing w:val="-13"/>
                <w:sz w:val="16"/>
              </w:rPr>
              <w:t> </w:t>
            </w:r>
            <w:r>
              <w:rPr>
                <w:sz w:val="16"/>
              </w:rPr>
              <w:t>identically.</w:t>
            </w:r>
          </w:p>
          <w:p>
            <w:pPr>
              <w:pStyle w:val="TableParagraph"/>
              <w:numPr>
                <w:ilvl w:val="0"/>
                <w:numId w:val="14"/>
              </w:numPr>
              <w:tabs>
                <w:tab w:pos="1432" w:val="left" w:leader="none"/>
              </w:tabs>
              <w:spacing w:line="240" w:lineRule="auto" w:before="140" w:after="0"/>
              <w:ind w:left="1431" w:right="0" w:hanging="224"/>
              <w:jc w:val="left"/>
              <w:rPr>
                <w:sz w:val="16"/>
              </w:rPr>
            </w:pPr>
            <w:r>
              <w:rPr>
                <w:sz w:val="16"/>
              </w:rPr>
              <w:t>All dimensions are in CK_FIR cycles</w:t>
            </w:r>
            <w:r>
              <w:rPr>
                <w:spacing w:val="-9"/>
                <w:sz w:val="16"/>
              </w:rPr>
              <w:t> </w:t>
            </w:r>
            <w:r>
              <w:rPr>
                <w:sz w:val="16"/>
              </w:rPr>
              <w:t>(4.92MHz).</w:t>
            </w:r>
          </w:p>
          <w:p>
            <w:pPr>
              <w:pStyle w:val="TableParagraph"/>
              <w:numPr>
                <w:ilvl w:val="0"/>
                <w:numId w:val="14"/>
              </w:numPr>
              <w:tabs>
                <w:tab w:pos="1432" w:val="left" w:leader="none"/>
              </w:tabs>
              <w:spacing w:line="240" w:lineRule="auto" w:before="141" w:after="0"/>
              <w:ind w:left="1431" w:right="0" w:hanging="224"/>
              <w:jc w:val="left"/>
              <w:rPr>
                <w:sz w:val="16"/>
              </w:rPr>
            </w:pPr>
            <w:r>
              <w:rPr>
                <w:sz w:val="16"/>
              </w:rPr>
              <w:t>If </w:t>
            </w:r>
            <w:r>
              <w:rPr>
                <w:rFonts w:ascii="Times New Roman"/>
                <w:i/>
                <w:sz w:val="16"/>
              </w:rPr>
              <w:t>PLS_INTERVAL </w:t>
            </w:r>
            <w:r>
              <w:rPr>
                <w:sz w:val="16"/>
              </w:rPr>
              <w:t>=0, FIFO does not perform</w:t>
            </w:r>
            <w:r>
              <w:rPr>
                <w:spacing w:val="-16"/>
                <w:sz w:val="16"/>
              </w:rPr>
              <w:t> </w:t>
            </w:r>
            <w:r>
              <w:rPr>
                <w:sz w:val="16"/>
              </w:rPr>
              <w:t>delay.</w:t>
            </w:r>
          </w:p>
        </w:tc>
      </w:tr>
    </w:tbl>
    <w:p>
      <w:pPr>
        <w:spacing w:before="0"/>
        <w:ind w:left="1316" w:right="1278" w:firstLine="0"/>
        <w:jc w:val="center"/>
        <w:rPr>
          <w:b/>
          <w:sz w:val="20"/>
        </w:rPr>
      </w:pPr>
      <w:r>
        <w:rPr/>
        <w:pict>
          <v:shape style="position:absolute;margin-left:132.650009pt;margin-top:-124.945pt;width:395.95pt;height:8.75pt;mso-position-horizontal-relative:page;mso-position-vertical-relative:paragraph;z-index:-38829056" coordorigin="2653,-2499" coordsize="7919,175" path="m10572,-2499l10204,-2499,10204,-2493,10198,-2495,10168,-2427,10161,-2443,10161,-2412,10128,-2337,8961,-2337,8928,-2412,8961,-2486,10128,-2486,10161,-2412,10161,-2443,10138,-2495,10132,-2493,10132,-2499,8957,-2499,8957,-2493,8951,-2495,8921,-2427,8914,-2443,8914,-2412,8881,-2337,7716,-2337,7681,-2412,7716,-2486,8881,-2486,8914,-2412,8914,-2443,8891,-2495,8885,-2493,8885,-2499,7712,-2499,7712,-2493,7706,-2495,7675,-2426,7668,-2441,7668,-2412,7634,-2337,6469,-2337,6435,-2412,6469,-2486,7634,-2486,7668,-2412,7668,-2441,7643,-2495,7638,-2493,7638,-2499,6465,-2499,6465,-2493,6459,-2495,6429,-2427,6422,-2441,6422,-2412,6389,-2337,5224,-2337,5189,-2412,5224,-2486,6389,-2486,6422,-2412,6422,-2441,6398,-2495,6392,-2493,6392,-2499,5220,-2499,5220,-2493,5214,-2495,5183,-2426,5176,-2441,5176,-2412,5142,-2337,3976,-2337,3943,-2412,3976,-2486,5142,-2486,5176,-2412,5176,-2441,5151,-2495,5145,-2493,5145,-2499,3973,-2499,3973,-2493,3967,-2495,3936,-2427,3906,-2495,3900,-2493,3900,-2499,2653,-2499,2653,-2486,3896,-2486,3930,-2412,3894,-2333,3906,-2329,3936,-2397,3967,-2329,3973,-2331,3973,-2324,5145,-2324,5145,-2331,5151,-2329,5183,-2397,5214,-2329,5220,-2331,5220,-2324,6392,-2324,6392,-2331,6398,-2329,6429,-2397,6459,-2329,6465,-2331,6465,-2324,7638,-2324,7638,-2331,7643,-2329,7675,-2397,7706,-2329,7712,-2331,7712,-2324,8885,-2324,8885,-2331,8891,-2329,8921,-2396,8951,-2329,8957,-2331,8957,-2324,10132,-2324,10132,-2331,10138,-2329,10168,-2396,10198,-2329,10204,-2331,10204,-2324,10572,-2324,10572,-2337,10208,-2337,10175,-2412,10208,-2486,10572,-2486,10572,-2499xe" filled="true" fillcolor="#000000" stroked="false">
            <v:path arrowok="t"/>
            <v:fill type="solid"/>
            <w10:wrap type="none"/>
          </v:shape>
        </w:pict>
      </w:r>
      <w:r>
        <w:rPr/>
        <w:pict>
          <v:shape style="position:absolute;margin-left:192.75pt;margin-top:-137.695969pt;width:4.5pt;height:4.95pt;mso-position-horizontal-relative:page;mso-position-vertical-relative:paragraph;z-index:-38828544" coordorigin="3855,-2754" coordsize="90,99" path="m3945,-2754l3933,-2750,3930,-2748,3924,-2745,3918,-2745,3914,-2743,3887,-2743,3881,-2745,3875,-2745,3865,-2750,3859,-2752,3855,-2754,3900,-2655,3945,-2754xe" filled="true" fillcolor="#000000" stroked="false">
            <v:path arrowok="t"/>
            <v:fill type="solid"/>
            <w10:wrap type="none"/>
          </v:shape>
        </w:pict>
      </w:r>
      <w:r>
        <w:rPr/>
        <w:pict>
          <v:shape style="position:absolute;margin-left:255pt;margin-top:-137.695969pt;width:4.5pt;height:4.95pt;mso-position-horizontal-relative:page;mso-position-vertical-relative:paragraph;z-index:-38828032" coordorigin="5100,-2754" coordsize="90,99" path="m5190,-2754l5186,-2752,5181,-2750,5175,-2748,5171,-2745,5165,-2745,5159,-2743,5132,-2743,5126,-2745,5122,-2745,5116,-2748,5110,-2750,5106,-2752,5100,-2754,5145,-2655,5190,-2754xe" filled="true" fillcolor="#000000" stroked="false">
            <v:path arrowok="t"/>
            <v:fill type="solid"/>
            <w10:wrap type="none"/>
          </v:shape>
        </w:pict>
      </w:r>
      <w:r>
        <w:rPr/>
        <w:pict>
          <v:shape style="position:absolute;margin-left:317.399994pt;margin-top:-137.695969pt;width:4.45pt;height:4.95pt;mso-position-horizontal-relative:page;mso-position-vertical-relative:paragraph;z-index:-38827520" coordorigin="6348,-2754" coordsize="89,99" path="m6437,-2754l6432,-2752,6428,-2750,6422,-2748,6416,-2745,6412,-2745,6406,-2743,6379,-2743,6373,-2745,6367,-2745,6363,-2748,6351,-2752,6348,-2754,6392,-2655,6437,-2754xe" filled="true" fillcolor="#000000" stroked="false">
            <v:path arrowok="t"/>
            <v:fill type="solid"/>
            <w10:wrap type="none"/>
          </v:shape>
        </w:pict>
      </w:r>
      <w:r>
        <w:rPr/>
        <w:pict>
          <v:shape style="position:absolute;margin-left:379.649994pt;margin-top:-137.695969pt;width:4.5pt;height:4.95pt;mso-position-horizontal-relative:page;mso-position-vertical-relative:paragraph;z-index:-38827008" coordorigin="7593,-2754" coordsize="90,99" path="m7683,-2754l7679,-2752,7673,-2750,7663,-2745,7657,-2745,7651,-2743,7624,-2743,7620,-2745,7614,-2745,7604,-2750,7599,-2752,7593,-2754,7638,-2655,7683,-2754xe" filled="true" fillcolor="#000000" stroked="false">
            <v:path arrowok="t"/>
            <v:fill type="solid"/>
            <w10:wrap type="none"/>
          </v:shape>
        </w:pict>
      </w:r>
      <w:r>
        <w:rPr/>
        <w:pict>
          <v:shape style="position:absolute;margin-left:442pt;margin-top:-137.695969pt;width:4.5pt;height:4.95pt;mso-position-horizontal-relative:page;mso-position-vertical-relative:paragraph;z-index:-38826496" coordorigin="8840,-2754" coordsize="90,99" path="m8930,-2754l8924,-2752,8920,-2750,8914,-2748,8908,-2745,8904,-2745,8898,-2743,8871,-2743,8865,-2745,8859,-2745,8855,-2748,8850,-2750,8846,-2752,8840,-2754,8885,-2655,8930,-2754xe" filled="true" fillcolor="#000000" stroked="false">
            <v:path arrowok="t"/>
            <v:fill type="solid"/>
            <w10:wrap type="none"/>
          </v:shape>
        </w:pict>
      </w:r>
      <w:r>
        <w:rPr/>
        <w:pict>
          <v:shape style="position:absolute;margin-left:504.350006pt;margin-top:-137.695969pt;width:4.5pt;height:4.95pt;mso-position-horizontal-relative:page;mso-position-vertical-relative:paragraph;z-index:-38825984" coordorigin="10087,-2754" coordsize="90,99" path="m10177,-2754l10165,-2750,10155,-2745,10149,-2745,10145,-2743,10118,-2743,10112,-2745,10106,-2745,10101,-2748,10097,-2750,10091,-2752,10087,-2754,10132,-2655,10177,-2754xe" filled="true" fillcolor="#000000" stroked="false">
            <v:path arrowok="t"/>
            <v:fill type="solid"/>
            <w10:wrap type="none"/>
          </v:shape>
        </w:pict>
      </w:r>
      <w:r>
        <w:rPr/>
        <w:pict>
          <v:group style="position:absolute;margin-left:190.5pt;margin-top:-112.645958pt;width:9pt;height:12.4pt;mso-position-horizontal-relative:page;mso-position-vertical-relative:paragraph;z-index:-38825472" coordorigin="3810,-2253" coordsize="180,248">
            <v:line style="position:absolute" from="3900,-2251" to="3901,-2007" stroked="true" strokeweight=".2pt" strokecolor="#000000">
              <v:stroke dashstyle="solid"/>
            </v:line>
            <v:shape style="position:absolute;left:3900;top:-2138;width:90;height:99" coordorigin="3900,-2138" coordsize="90,99" path="m3990,-2138l3900,-2089,3990,-2039,3986,-2043,3984,-2050,3982,-2056,3982,-2061,3980,-2067,3980,-2074,3978,-2080,3978,-2097,3980,-2104,3980,-2108,3982,-2115,3982,-2121,3984,-2128,3986,-2132,3990,-2138xe" filled="true" fillcolor="#000000" stroked="false">
              <v:path arrowok="t"/>
              <v:fill type="solid"/>
            </v:shape>
            <v:line style="position:absolute" from="3900,-2251" to="3901,-2007" stroked="true" strokeweight=".2pt" strokecolor="#000000">
              <v:stroke dashstyle="solid"/>
            </v:line>
            <v:shape style="position:absolute;left:3810;top:-2138;width:90;height:99" coordorigin="3810,-2138" coordsize="90,99" path="m3810,-2138l3812,-2132,3814,-2128,3816,-2121,3816,-2115,3818,-2108,3820,-2104,3820,-2074,3818,-2067,3816,-2061,3816,-2056,3814,-2050,3812,-2043,3810,-2039,3900,-2089,3810,-2138xe" filled="true" fillcolor="#000000" stroked="false">
              <v:path arrowok="t"/>
              <v:fill type="solid"/>
            </v:shape>
            <w10:wrap type="none"/>
          </v:group>
        </w:pict>
      </w:r>
      <w:r>
        <w:rPr/>
        <w:pict>
          <v:group style="position:absolute;margin-left:252.75pt;margin-top:-112.645958pt;width:9pt;height:12.4pt;mso-position-horizontal-relative:page;mso-position-vertical-relative:paragraph;z-index:-38824960" coordorigin="5055,-2253" coordsize="180,248">
            <v:line style="position:absolute" from="5145,-2251" to="5146,-2007" stroked="true" strokeweight=".2pt" strokecolor="#000000">
              <v:stroke dashstyle="solid"/>
            </v:line>
            <v:shape style="position:absolute;left:5055;top:-2138;width:90;height:99" coordorigin="5055,-2138" coordsize="90,99" path="m5055,-2138l5057,-2132,5059,-2128,5061,-2121,5063,-2115,5065,-2108,5065,-2097,5067,-2091,5067,-2084,5065,-2080,5065,-2067,5063,-2061,5061,-2056,5059,-2050,5057,-2043,5055,-2039,5145,-2089,5055,-2138xe" filled="true" fillcolor="#000000" stroked="false">
              <v:path arrowok="t"/>
              <v:fill type="solid"/>
            </v:shape>
            <v:line style="position:absolute" from="5145,-2251" to="5146,-2007" stroked="true" strokeweight=".2pt" strokecolor="#000000">
              <v:stroke dashstyle="solid"/>
            </v:line>
            <v:shape style="position:absolute;left:5145;top:-2138;width:90;height:99" coordorigin="5145,-2138" coordsize="90,99" path="m5235,-2138l5145,-2089,5235,-2039,5233,-2043,5231,-2050,5229,-2056,5227,-2061,5227,-2067,5226,-2074,5226,-2104,5227,-2108,5227,-2115,5229,-2121,5231,-2128,5233,-2132,5235,-2138xe" filled="true" fillcolor="#000000" stroked="false">
              <v:path arrowok="t"/>
              <v:fill type="solid"/>
            </v:shape>
            <v:line style="position:absolute" from="5145,-2251" to="5146,-2007" stroked="true" strokeweight=".2pt" strokecolor="#000000">
              <v:stroke dashstyle="solid"/>
            </v:line>
            <w10:wrap type="none"/>
          </v:group>
        </w:pict>
      </w:r>
      <w:r>
        <w:rPr/>
        <w:pict>
          <v:group style="position:absolute;margin-left:132.549988pt;margin-top:-112.645958pt;width:4.6pt;height:12.4pt;mso-position-horizontal-relative:page;mso-position-vertical-relative:paragraph;z-index:-38824448" coordorigin="2651,-2253" coordsize="92,248">
            <v:line style="position:absolute" from="2653,-2251" to="2654,-2007" stroked="true" strokeweight=".2pt" strokecolor="#000000">
              <v:stroke dashstyle="solid"/>
            </v:line>
            <v:shape style="position:absolute;left:2653;top:-2138;width:90;height:99" coordorigin="2653,-2138" coordsize="90,99" path="m2743,-2138l2653,-2089,2743,-2039,2741,-2043,2739,-2050,2737,-2056,2735,-2061,2733,-2067,2733,-2108,2735,-2115,2737,-2121,2739,-2128,2741,-2132,2743,-2138xe" filled="true" fillcolor="#000000" stroked="false">
              <v:path arrowok="t"/>
              <v:fill type="solid"/>
            </v:shape>
            <w10:wrap type="none"/>
          </v:group>
        </w:pict>
      </w:r>
      <w:r>
        <w:rPr/>
        <w:pict>
          <v:group style="position:absolute;margin-left:315.149994pt;margin-top:-112.645958pt;width:8.950pt;height:12.4pt;mso-position-horizontal-relative:page;mso-position-vertical-relative:paragraph;z-index:-38823936" coordorigin="6303,-2253" coordsize="179,248">
            <v:line style="position:absolute" from="6392,-2251" to="6393,-2007" stroked="true" strokeweight=".2pt" strokecolor="#000000">
              <v:stroke dashstyle="solid"/>
            </v:line>
            <v:shape style="position:absolute;left:6303;top:-2138;width:89;height:99" coordorigin="6303,-2138" coordsize="89,99" path="m6303,-2138l6305,-2132,6308,-2121,6310,-2115,6310,-2108,6312,-2104,6312,-2074,6310,-2067,6310,-2061,6308,-2056,6306,-2050,6305,-2043,6303,-2039,6392,-2089,6303,-2138xe" filled="true" fillcolor="#000000" stroked="false">
              <v:path arrowok="t"/>
              <v:fill type="solid"/>
            </v:shape>
            <v:line style="position:absolute" from="6392,-2251" to="6393,-2007" stroked="true" strokeweight=".2pt" strokecolor="#000000">
              <v:stroke dashstyle="solid"/>
            </v:line>
            <v:shape style="position:absolute;left:6392;top:-2138;width:90;height:99" coordorigin="6392,-2138" coordsize="90,99" path="m6482,-2138l6392,-2089,6482,-2039,6480,-2043,6478,-2050,6477,-2056,6475,-2061,6473,-2067,6473,-2080,6471,-2084,6471,-2091,6473,-2097,6473,-2108,6475,-2115,6477,-2121,6478,-2128,6480,-2132,6482,-2138xe" filled="true" fillcolor="#000000" stroked="false">
              <v:path arrowok="t"/>
              <v:fill type="solid"/>
            </v:shape>
            <v:line style="position:absolute" from="6392,-2251" to="6393,-2007" stroked="true" strokeweight=".2pt" strokecolor="#000000">
              <v:stroke dashstyle="solid"/>
            </v:line>
            <w10:wrap type="none"/>
          </v:group>
        </w:pict>
      </w:r>
      <w:r>
        <w:rPr/>
        <w:pict>
          <v:group style="position:absolute;margin-left:377.399994pt;margin-top:-112.645958pt;width:9pt;height:12.4pt;mso-position-horizontal-relative:page;mso-position-vertical-relative:paragraph;z-index:-38823424" coordorigin="7548,-2253" coordsize="180,248">
            <v:line style="position:absolute" from="7638,-2251" to="7639,-2007" stroked="true" strokeweight=".2pt" strokecolor="#000000">
              <v:stroke dashstyle="solid"/>
            </v:line>
            <v:shape style="position:absolute;left:7548;top:-2138;width:90;height:99" coordorigin="7548,-2138" coordsize="90,99" path="m7548,-2138l7552,-2132,7554,-2128,7556,-2121,7556,-2115,7557,-2108,7557,-2104,7559,-2097,7559,-2080,7557,-2074,7557,-2067,7556,-2061,7556,-2056,7554,-2050,7552,-2043,7548,-2039,7638,-2089,7548,-2138xe" filled="true" fillcolor="#000000" stroked="false">
              <v:path arrowok="t"/>
              <v:fill type="solid"/>
            </v:shape>
            <v:line style="position:absolute" from="7638,-2251" to="7639,-2007" stroked="true" strokeweight=".2pt" strokecolor="#000000">
              <v:stroke dashstyle="solid"/>
            </v:line>
            <v:shape style="position:absolute;left:7638;top:-2138;width:90;height:99" coordorigin="7638,-2138" coordsize="90,99" path="m7728,-2138l7638,-2089,7728,-2039,7726,-2043,7724,-2050,7722,-2056,7720,-2061,7720,-2067,7718,-2074,7718,-2104,7720,-2108,7720,-2115,7722,-2121,7724,-2128,7726,-2132,7728,-2138xe" filled="true" fillcolor="#000000" stroked="false">
              <v:path arrowok="t"/>
              <v:fill type="solid"/>
            </v:shape>
            <v:line style="position:absolute" from="7638,-2251" to="7639,-2007" stroked="true" strokeweight=".2pt" strokecolor="#000000">
              <v:stroke dashstyle="solid"/>
            </v:line>
            <w10:wrap type="none"/>
          </v:group>
        </w:pict>
      </w:r>
      <w:r>
        <w:rPr/>
        <w:pict>
          <v:group style="position:absolute;margin-left:439.75pt;margin-top:-112.645958pt;width:9pt;height:12.4pt;mso-position-horizontal-relative:page;mso-position-vertical-relative:paragraph;z-index:-38822912" coordorigin="8795,-2253" coordsize="180,248">
            <v:line style="position:absolute" from="8885,-2251" to="8886,-2007" stroked="true" strokeweight=".2pt" strokecolor="#000000">
              <v:stroke dashstyle="solid"/>
            </v:line>
            <v:shape style="position:absolute;left:8795;top:-2138;width:90;height:99" coordorigin="8795,-2138" coordsize="90,99" path="m8795,-2138l8797,-2132,8799,-2128,8801,-2121,8803,-2115,8803,-2108,8805,-2104,8805,-2074,8803,-2067,8803,-2061,8801,-2056,8799,-2050,8797,-2043,8795,-2039,8885,-2089,8795,-2138xe" filled="true" fillcolor="#000000" stroked="false">
              <v:path arrowok="t"/>
              <v:fill type="solid"/>
            </v:shape>
            <v:line style="position:absolute" from="8885,-2251" to="8886,-2007" stroked="true" strokeweight=".2pt" strokecolor="#000000">
              <v:stroke dashstyle="solid"/>
            </v:line>
            <v:shape style="position:absolute;left:8885;top:-2138;width:90;height:99" coordorigin="8885,-2138" coordsize="90,99" path="m8975,-2138l8885,-2089,8975,-2039,8973,-2043,8971,-2050,8969,-2056,8967,-2061,8965,-2067,8965,-2108,8967,-2115,8969,-2121,8971,-2128,8973,-2132,8975,-2138xe" filled="true" fillcolor="#000000" stroked="false">
              <v:path arrowok="t"/>
              <v:fill type="solid"/>
            </v:shape>
            <v:line style="position:absolute" from="8885,-2251" to="8886,-2007" stroked="true" strokeweight=".2pt" strokecolor="#000000">
              <v:stroke dashstyle="solid"/>
            </v:line>
            <w10:wrap type="none"/>
          </v:group>
        </w:pict>
      </w:r>
      <w:r>
        <w:rPr/>
        <w:pict>
          <v:group style="position:absolute;margin-left:502.100006pt;margin-top:-112.645958pt;width:4.650pt;height:12.4pt;mso-position-horizontal-relative:page;mso-position-vertical-relative:paragraph;z-index:-38822400" coordorigin="10042,-2253" coordsize="93,248">
            <v:line style="position:absolute" from="10132,-2251" to="10133,-2007" stroked="true" strokeweight=".2pt" strokecolor="#000000">
              <v:stroke dashstyle="solid"/>
            </v:line>
            <v:shape style="position:absolute;left:10042;top:-2138;width:90;height:99" coordorigin="10042,-2138" coordsize="90,99" path="m10042,-2138l10044,-2132,10046,-2128,10048,-2121,10048,-2115,10050,-2108,10052,-2104,10052,-2074,10050,-2067,10048,-2061,10048,-2056,10046,-2050,10044,-2043,10042,-2039,10132,-2089,10042,-2138xe" filled="true" fillcolor="#000000" stroked="false">
              <v:path arrowok="t"/>
              <v:fill type="solid"/>
            </v:shape>
            <w10:wrap type="none"/>
          </v:group>
        </w:pict>
      </w:r>
      <w:bookmarkStart w:name="_bookmark36" w:id="85"/>
      <w:bookmarkEnd w:id="85"/>
      <w:r>
        <w:rPr/>
      </w:r>
      <w:r>
        <w:rPr>
          <w:b/>
          <w:sz w:val="20"/>
        </w:rPr>
        <w:t>Figure 9. Pulse Generator FIFO Timing</w:t>
      </w:r>
    </w:p>
    <w:p>
      <w:pPr>
        <w:pStyle w:val="BodyText"/>
        <w:rPr>
          <w:b/>
          <w:sz w:val="22"/>
        </w:rPr>
      </w:pPr>
    </w:p>
    <w:p>
      <w:pPr>
        <w:pStyle w:val="BodyText"/>
        <w:spacing w:before="3"/>
        <w:rPr>
          <w:b/>
          <w:sz w:val="23"/>
        </w:rPr>
      </w:pPr>
    </w:p>
    <w:p>
      <w:pPr>
        <w:pStyle w:val="ListParagraph"/>
        <w:numPr>
          <w:ilvl w:val="2"/>
          <w:numId w:val="7"/>
        </w:numPr>
        <w:tabs>
          <w:tab w:pos="1339" w:val="left" w:leader="none"/>
          <w:tab w:pos="1340" w:val="left" w:leader="none"/>
        </w:tabs>
        <w:spacing w:line="240" w:lineRule="auto" w:before="1" w:after="0"/>
        <w:ind w:left="1339" w:right="0" w:hanging="720"/>
        <w:jc w:val="left"/>
        <w:rPr>
          <w:b/>
          <w:sz w:val="22"/>
        </w:rPr>
      </w:pPr>
      <w:bookmarkStart w:name="2.3.7 CE Functional Overview" w:id="86"/>
      <w:bookmarkEnd w:id="86"/>
      <w:r>
        <w:rPr/>
      </w:r>
      <w:bookmarkStart w:name="_bookmark37" w:id="87"/>
      <w:bookmarkEnd w:id="87"/>
      <w:r>
        <w:rPr/>
      </w:r>
      <w:bookmarkStart w:name="_bookmark37" w:id="88"/>
      <w:bookmarkEnd w:id="88"/>
      <w:r>
        <w:rPr>
          <w:b/>
          <w:sz w:val="22"/>
        </w:rPr>
        <w:t>C</w:t>
      </w:r>
      <w:r>
        <w:rPr>
          <w:b/>
          <w:sz w:val="22"/>
        </w:rPr>
        <w:t>E Functional</w:t>
      </w:r>
      <w:r>
        <w:rPr>
          <w:b/>
          <w:spacing w:val="-1"/>
          <w:sz w:val="22"/>
        </w:rPr>
        <w:t> </w:t>
      </w:r>
      <w:r>
        <w:rPr>
          <w:b/>
          <w:sz w:val="22"/>
        </w:rPr>
        <w:t>Overview</w:t>
      </w:r>
    </w:p>
    <w:p>
      <w:pPr>
        <w:pStyle w:val="BodyText"/>
        <w:spacing w:before="121"/>
        <w:ind w:left="620" w:right="559"/>
      </w:pPr>
      <w:r>
        <w:rPr/>
        <w:t>The ADC processes one sample per channel per multiplexer cycle. </w:t>
      </w:r>
      <w:hyperlink w:history="true" w:anchor="_bookmark38">
        <w:r>
          <w:rPr>
            <w:color w:val="0000FF"/>
          </w:rPr>
          <w:t>Figure 10 </w:t>
        </w:r>
      </w:hyperlink>
      <w:r>
        <w:rPr/>
        <w:t>shows the timing of the samples taken during one multiplexer cycle with </w:t>
      </w:r>
      <w:r>
        <w:rPr>
          <w:rFonts w:ascii="Times New Roman"/>
          <w:i/>
        </w:rPr>
        <w:t>MUX_DIV[3:0] </w:t>
      </w:r>
      <w:r>
        <w:rPr/>
        <w:t>= 7 </w:t>
      </w:r>
      <w:r>
        <w:rPr>
          <w:rFonts w:ascii="Times New Roman"/>
          <w:i/>
        </w:rPr>
        <w:t>(I/O RAM 0x2100[7:4])</w:t>
      </w:r>
      <w:r>
        <w:rPr/>
        <w:t>.</w:t>
      </w:r>
    </w:p>
    <w:p>
      <w:pPr>
        <w:pStyle w:val="BodyText"/>
        <w:spacing w:line="229" w:lineRule="exact" w:before="120"/>
        <w:ind w:left="620"/>
      </w:pPr>
      <w:r>
        <w:rPr/>
        <w:t>The number of samples processed during one accumulation cycle is controlled by the I/O RAM register</w:t>
      </w:r>
    </w:p>
    <w:p>
      <w:pPr>
        <w:spacing w:line="230" w:lineRule="exact" w:before="0"/>
        <w:ind w:left="620" w:right="0" w:firstLine="0"/>
        <w:jc w:val="left"/>
        <w:rPr>
          <w:sz w:val="20"/>
        </w:rPr>
      </w:pPr>
      <w:r>
        <w:rPr>
          <w:rFonts w:ascii="Times New Roman"/>
          <w:i/>
          <w:sz w:val="20"/>
        </w:rPr>
        <w:t>SUM_SAMPS[12:0] </w:t>
      </w:r>
      <w:r>
        <w:rPr>
          <w:sz w:val="20"/>
        </w:rPr>
        <w:t>(</w:t>
      </w:r>
      <w:r>
        <w:rPr>
          <w:rFonts w:ascii="Times New Roman"/>
          <w:i/>
          <w:sz w:val="20"/>
        </w:rPr>
        <w:t>0x2107[4:0] </w:t>
      </w:r>
      <w:r>
        <w:rPr>
          <w:sz w:val="20"/>
        </w:rPr>
        <w:t>and </w:t>
      </w:r>
      <w:r>
        <w:rPr>
          <w:rFonts w:ascii="Times New Roman"/>
          <w:i/>
          <w:sz w:val="20"/>
        </w:rPr>
        <w:t>0x2108[7:0]</w:t>
      </w:r>
      <w:r>
        <w:rPr>
          <w:sz w:val="20"/>
        </w:rPr>
        <w:t>). The integration time for each energy output is:</w:t>
      </w:r>
    </w:p>
    <w:p>
      <w:pPr>
        <w:spacing w:before="119"/>
        <w:ind w:left="1339" w:right="0" w:firstLine="0"/>
        <w:jc w:val="left"/>
        <w:rPr>
          <w:sz w:val="20"/>
        </w:rPr>
      </w:pPr>
      <w:r>
        <w:rPr>
          <w:rFonts w:ascii="Times New Roman"/>
          <w:i/>
          <w:sz w:val="20"/>
        </w:rPr>
        <w:t>SUM_SAMPS[12:0] </w:t>
      </w:r>
      <w:r>
        <w:rPr>
          <w:sz w:val="20"/>
        </w:rPr>
        <w:t>/ 2184.53, where 2184.53 is the sample rate in Hz</w:t>
      </w:r>
    </w:p>
    <w:p>
      <w:pPr>
        <w:pStyle w:val="BodyText"/>
        <w:spacing w:before="122"/>
        <w:ind w:left="619" w:right="615"/>
      </w:pPr>
      <w:r>
        <w:rPr/>
        <w:t>For example, </w:t>
      </w:r>
      <w:r>
        <w:rPr>
          <w:rFonts w:ascii="Times New Roman"/>
          <w:i/>
        </w:rPr>
        <w:t>SUM_SAMPS[12:0] </w:t>
      </w:r>
      <w:r>
        <w:rPr/>
        <w:t>= 2184 establishes 2184 multiplexer cycles per accumulation cycle or 2184/2184.53 = 0.9998 seconds. After an accumulation cycle is completed, the XFER_BUSY interrupt signals to the MPU that accumulated data are available. The slight difference between the nominal length of the accumulation interval (1000 ms) and the actual length of 999.8 ms (0.025%) is accounted for in the CE code and is of no practical consequence.</w:t>
      </w:r>
    </w:p>
    <w:p>
      <w:pPr>
        <w:spacing w:after="0"/>
        <w:sectPr>
          <w:pgSz w:w="12240" w:h="15840"/>
          <w:pgMar w:header="727" w:footer="819" w:top="960" w:bottom="1000" w:left="820" w:right="8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8"/>
        </w:rPr>
      </w:pPr>
    </w:p>
    <w:p>
      <w:pPr>
        <w:pStyle w:val="BodyText"/>
        <w:spacing w:line="143" w:lineRule="exact"/>
        <w:ind w:left="9265"/>
        <w:rPr>
          <w:sz w:val="14"/>
        </w:rPr>
      </w:pPr>
      <w:r>
        <w:rPr>
          <w:position w:val="-2"/>
          <w:sz w:val="14"/>
        </w:rPr>
        <w:pict>
          <v:group style="width:4.4pt;height:7pt;mso-position-horizontal-relative:char;mso-position-vertical-relative:line" coordorigin="0,0" coordsize="88,140">
            <v:line style="position:absolute" from="86,139" to="86,0" stroked="true" strokeweight=".18614pt" strokecolor="#000000">
              <v:stroke dashstyle="solid"/>
            </v:line>
            <v:shape style="position:absolute;left:0;top:26;width:86;height:86" coordorigin="0,27" coordsize="86,86" path="m0,112l8,91,10,70,8,48,0,27,86,70,0,112xe" filled="true" fillcolor="#000000" stroked="false">
              <v:path arrowok="t"/>
              <v:fill type="solid"/>
            </v:shape>
          </v:group>
        </w:pict>
      </w:r>
      <w:r>
        <w:rPr>
          <w:position w:val="-2"/>
          <w:sz w:val="14"/>
        </w:rPr>
      </w:r>
    </w:p>
    <w:p>
      <w:pPr>
        <w:spacing w:line="126" w:lineRule="exact" w:before="0"/>
        <w:ind w:left="75" w:right="8684" w:firstLine="0"/>
        <w:jc w:val="center"/>
        <w:rPr>
          <w:sz w:val="12"/>
        </w:rPr>
      </w:pPr>
      <w:r>
        <w:rPr/>
        <w:pict>
          <v:group style="position:absolute;margin-left:103.679733pt;margin-top:-146.317978pt;width:433.25pt;height:160.3pt;mso-position-horizontal-relative:page;mso-position-vertical-relative:paragraph;z-index:-38820352" coordorigin="2074,-2926" coordsize="8665,3206">
            <v:line style="position:absolute" from="4586,-2300" to="5703,-2300" stroked="true" strokeweight="1.671191pt" strokecolor="#747474">
              <v:stroke dashstyle="solid"/>
            </v:line>
            <v:line style="position:absolute" from="3470,-1568" to="4586,-1568" stroked="true" strokeweight="1.671191pt" strokecolor="#747474">
              <v:stroke dashstyle="solid"/>
            </v:line>
            <v:shape style="position:absolute;left:2352;top:-2648;width:8377;height:1393" coordorigin="2353,-2648" coordsize="8377,1393" path="m10729,-2648l9783,-2567,8874,-2477,8002,-2378,7166,-2270,6368,-2153,5606,-2026,4882,-1890,4194,-1745,3543,-1591,2930,-1428,2353,-1255e" filled="false" stroked="true" strokeweight=".1857pt" strokecolor="#000000">
              <v:path arrowok="t"/>
              <v:stroke dashstyle="solid"/>
            </v:shape>
            <v:shape style="position:absolute;left:2352;top:-2231;width:8377;height:1393" coordorigin="2353,-2230" coordsize="8377,1393" path="m10729,-2230l9741,-2166,8786,-2085,7864,-1988,6977,-1873,6122,-1743,5301,-1595,4514,-1431,3760,-1250,3040,-1052,2353,-837e" filled="false" stroked="true" strokeweight=".5571pt" strokecolor="#000000">
              <v:path arrowok="t"/>
              <v:stroke dashstyle="dot"/>
            </v:shape>
            <v:shape style="position:absolute;left:2352;top:-2576;width:8377;height:624" coordorigin="2353,-2575" coordsize="8377,624" path="m10729,-1951l9766,-2107,8830,-2241,7923,-2353,7044,-2442,6192,-2509,5368,-2553,4573,-2575,3805,-2575,3065,-2553,2353,-2509e" filled="false" stroked="true" strokeweight=".18569pt" strokecolor="#000000">
              <v:path arrowok="t"/>
              <v:stroke dashstyle="shortdash"/>
            </v:shape>
            <v:line style="position:absolute" from="2353,-837" to="3470,-837" stroked="true" strokeweight="1.671191pt" strokecolor="#747474">
              <v:stroke dashstyle="solid"/>
            </v:line>
            <v:rect style="position:absolute;left:2317;top:-873;width:70;height:70" filled="true" fillcolor="#dadada" stroked="false">
              <v:fill type="solid"/>
            </v:rect>
            <v:rect style="position:absolute;left:2317;top:-873;width:70;height:70" filled="false" stroked="true" strokeweight=".185913pt" strokecolor="#000000">
              <v:stroke dashstyle="solid"/>
            </v:rect>
            <v:line style="position:absolute" from="2353,68" to="2353,-350" stroked="true" strokeweight=".18614pt" strokecolor="#000000">
              <v:stroke dashstyle="solid"/>
            </v:line>
            <v:shape style="position:absolute;left:2352;top:-115;width:86;height:86" coordorigin="2353,-114" coordsize="86,86" path="m2438,-29l2353,-71,2438,-114,2431,-93,2428,-71,2431,-50,2438,-29xe" filled="true" fillcolor="#000000" stroked="false">
              <v:path arrowok="t"/>
              <v:fill type="solid"/>
            </v:shape>
            <v:line style="position:absolute" from="10729,68" to="10729,-350" stroked="true" strokeweight=".18614pt" strokecolor="#000000">
              <v:stroke dashstyle="solid"/>
            </v:line>
            <v:line style="position:absolute" from="2418,-280" to="10664,-280" stroked="true" strokeweight=".185688pt" strokecolor="#000000">
              <v:stroke dashstyle="solid"/>
            </v:line>
            <v:shape style="position:absolute;left:2352;top:-323;width:8377;height:86" coordorigin="2353,-323" coordsize="8377,86" path="m2438,-323l2353,-280,2438,-238,2431,-258,2428,-280,2431,-302,2438,-323xm10729,-280l10643,-323,10651,-302,10654,-280,10651,-258,10643,-238,10729,-280xe" filled="true" fillcolor="#000000" stroked="false">
              <v:path arrowok="t"/>
              <v:fill type="solid"/>
            </v:shape>
            <v:line style="position:absolute" from="2353,-420" to="2353,-2926" stroked="true" strokeweight=".18614pt" strokecolor="#000000">
              <v:stroke dashstyle="shortdashdot"/>
            </v:line>
            <v:line style="position:absolute" from="3470,-420" to="3470,-2926" stroked="true" strokeweight=".18614pt" strokecolor="#000000">
              <v:stroke dashstyle="shortdashdot"/>
            </v:line>
            <v:line style="position:absolute" from="9054,-420" to="9054,-2926" stroked="true" strokeweight=".18614pt" strokecolor="#000000">
              <v:stroke dashstyle="shortdashdot"/>
            </v:line>
            <v:line style="position:absolute" from="5703,-420" to="5703,-2926" stroked="true" strokeweight=".18614pt" strokecolor="#000000">
              <v:stroke dashstyle="shortdashdot"/>
            </v:line>
            <v:line style="position:absolute" from="10729,-420" to="10729,-2926" stroked="true" strokeweight=".18614pt" strokecolor="#000000">
              <v:stroke dashstyle="shortdashdot"/>
            </v:line>
            <v:line style="position:absolute" from="7937,-420" to="7937,-2926" stroked="true" strokeweight=".18614pt" strokecolor="#000000">
              <v:stroke dashstyle="shortdashdot"/>
            </v:line>
            <v:shape style="position:absolute;left:10170;top:-602;width:559;height:86" coordorigin="10171,-602" coordsize="559,86" path="m10256,-602l10171,-559,10256,-516,10249,-537,10246,-559,10249,-581,10256,-602xm10729,-559l10643,-602,10651,-581,10654,-559,10651,-537,10643,-516,10729,-559xe" filled="true" fillcolor="#000000" stroked="false">
              <v:path arrowok="t"/>
              <v:fill type="solid"/>
            </v:shape>
            <v:line style="position:absolute" from="5768,-559" to="6755,-559" stroked="true" strokeweight=".185688pt" strokecolor="#000000">
              <v:stroke dashstyle="solid"/>
            </v:line>
            <v:shape style="position:absolute;left:5703;top:-602;width:1117;height:86" coordorigin="5703,-602" coordsize="1117,86" path="m5789,-602l5703,-559,5789,-516,5781,-537,5779,-559,5781,-581,5789,-602xm6820,-559l6735,-602,6742,-581,6745,-559,6742,-537,6735,-516,6820,-559xe" filled="true" fillcolor="#000000" stroked="false">
              <v:path arrowok="t"/>
              <v:fill type="solid"/>
            </v:shape>
            <v:line style="position:absolute" from="4657,-559" to="5644,-559" stroked="true" strokeweight=".185688pt" strokecolor="#000000">
              <v:stroke dashstyle="solid"/>
            </v:line>
            <v:shape style="position:absolute;left:4592;top:-602;width:1117;height:86" coordorigin="4592,-602" coordsize="1117,86" path="m4678,-602l4592,-559,4678,-516,4670,-537,4668,-559,4670,-581,4678,-602xm5709,-559l5624,-602,5631,-581,5634,-559,5631,-537,5624,-516,5709,-559xe" filled="true" fillcolor="#000000" stroked="false">
              <v:path arrowok="t"/>
              <v:fill type="solid"/>
            </v:shape>
            <v:line style="position:absolute" from="3534,-559" to="4522,-559" stroked="true" strokeweight=".185688pt" strokecolor="#000000">
              <v:stroke dashstyle="solid"/>
            </v:line>
            <v:shape style="position:absolute;left:3469;top:-602;width:1117;height:86" coordorigin="3470,-602" coordsize="1117,86" path="m3555,-602l3470,-559,3555,-516,3548,-537,3545,-559,3548,-581,3555,-602xm4587,-559l4501,-602,4508,-581,4511,-559,4508,-537,4501,-516,4587,-559xe" filled="true" fillcolor="#000000" stroked="false">
              <v:path arrowok="t"/>
              <v:fill type="solid"/>
            </v:shape>
            <v:line style="position:absolute" from="2418,-559" to="3405,-559" stroked="true" strokeweight=".185688pt" strokecolor="#000000">
              <v:stroke dashstyle="solid"/>
            </v:line>
            <v:shape style="position:absolute;left:2352;top:-602;width:1117;height:86" coordorigin="2353,-602" coordsize="1117,86" path="m2438,-602l2353,-559,2438,-516,2431,-537,2428,-559,2431,-581,2438,-602xm3470,-559l3384,-602,3392,-581,3394,-559,3392,-537,3384,-516,3470,-559xe" filled="true" fillcolor="#000000" stroked="false">
              <v:path arrowok="t"/>
              <v:fill type="solid"/>
            </v:shape>
            <v:shape style="position:absolute;left:2632;top:137;width:559;height:140" coordorigin="2632,138" coordsize="559,140" path="m2632,277l2911,277,2911,138,3190,138,3190,277e" filled="false" stroked="true" strokeweight=".185714pt" strokecolor="#000000">
              <v:path arrowok="t"/>
              <v:stroke dashstyle="solid"/>
            </v:shape>
            <v:shape style="position:absolute;left:3190;top:137;width:559;height:140" coordorigin="3190,138" coordsize="559,140" path="m3190,277l3470,277,3470,138,3749,138,3749,277e" filled="false" stroked="true" strokeweight=".185714pt" strokecolor="#000000">
              <v:path arrowok="t"/>
              <v:stroke dashstyle="solid"/>
            </v:shape>
            <v:shape style="position:absolute;left:3748;top:137;width:559;height:140" coordorigin="3749,138" coordsize="559,140" path="m3749,277l4028,277,4028,138,4307,138,4307,277e" filled="false" stroked="true" strokeweight=".185714pt" strokecolor="#000000">
              <v:path arrowok="t"/>
              <v:stroke dashstyle="solid"/>
            </v:shape>
            <v:shape style="position:absolute;left:4307;top:137;width:559;height:140" coordorigin="4307,138" coordsize="559,140" path="m4307,277l4586,277,4586,138,4866,138,4866,277e" filled="false" stroked="true" strokeweight=".185714pt" strokecolor="#000000">
              <v:path arrowok="t"/>
              <v:stroke dashstyle="solid"/>
            </v:shape>
            <v:shape style="position:absolute;left:4865;top:137;width:559;height:140" coordorigin="4866,138" coordsize="559,140" path="m4866,277l5145,277,5145,138,5424,138,5424,277e" filled="false" stroked="true" strokeweight=".185714pt" strokecolor="#000000">
              <v:path arrowok="t"/>
              <v:stroke dashstyle="solid"/>
            </v:shape>
            <v:shape style="position:absolute;left:5424;top:137;width:559;height:140" coordorigin="5424,138" coordsize="559,140" path="m5424,277l5703,277,5703,138,5983,138,5983,277e" filled="false" stroked="true" strokeweight=".185714pt" strokecolor="#000000">
              <v:path arrowok="t"/>
              <v:stroke dashstyle="solid"/>
            </v:shape>
            <v:shape style="position:absolute;left:5982;top:137;width:559;height:140" coordorigin="5983,138" coordsize="559,140" path="m5983,277l6262,277,6262,138,6541,138,6541,277e" filled="false" stroked="true" strokeweight=".185714pt" strokecolor="#000000">
              <v:path arrowok="t"/>
              <v:stroke dashstyle="solid"/>
            </v:shape>
            <v:shape style="position:absolute;left:6540;top:137;width:559;height:140" coordorigin="6541,138" coordsize="559,140" path="m6541,277l6820,277,6820,138,7099,138,7099,277e" filled="false" stroked="true" strokeweight=".185714pt" strokecolor="#000000">
              <v:path arrowok="t"/>
              <v:stroke dashstyle="solid"/>
            </v:shape>
            <v:shape style="position:absolute;left:7099;top:137;width:559;height:140" coordorigin="7099,138" coordsize="559,140" path="m7099,277l7379,277,7379,138,7658,138,7658,277e" filled="false" stroked="true" strokeweight=".185714pt" strokecolor="#000000">
              <v:path arrowok="t"/>
              <v:stroke dashstyle="solid"/>
            </v:shape>
            <v:shape style="position:absolute;left:7657;top:137;width:559;height:140" coordorigin="7658,137" coordsize="559,140" path="m7658,277l7937,277,7937,137,8216,137,8216,277e" filled="false" stroked="true" strokeweight=".185714pt" strokecolor="#000000">
              <v:path arrowok="t"/>
              <v:stroke dashstyle="solid"/>
            </v:shape>
            <v:shape style="position:absolute;left:8216;top:137;width:559;height:140" coordorigin="8216,137" coordsize="559,140" path="m8216,277l8495,277,8495,137,8775,137,8775,277e" filled="false" stroked="true" strokeweight=".185714pt" strokecolor="#000000">
              <v:path arrowok="t"/>
              <v:stroke dashstyle="solid"/>
            </v:shape>
            <v:shape style="position:absolute;left:8774;top:137;width:559;height:140" coordorigin="8775,137" coordsize="559,140" path="m8775,277l9054,277,9054,137,9333,137,9333,277e" filled="false" stroked="true" strokeweight=".185714pt" strokecolor="#000000">
              <v:path arrowok="t"/>
              <v:stroke dashstyle="solid"/>
            </v:shape>
            <v:line style="position:absolute" from="6885,-559" to="7872,-559" stroked="true" strokeweight=".185688pt" strokecolor="#000000">
              <v:stroke dashstyle="solid"/>
            </v:line>
            <v:shape style="position:absolute;left:6820;top:-602;width:1117;height:86" coordorigin="6820,-602" coordsize="1117,86" path="m6906,-602l6820,-559,6906,-516,6898,-537,6896,-559,6898,-581,6906,-602xm7937,-559l7851,-602,7859,-581,7862,-559,7859,-537,7851,-516,7937,-559xe" filled="true" fillcolor="#000000" stroked="false">
              <v:path arrowok="t"/>
              <v:fill type="solid"/>
            </v:shape>
            <v:shape style="position:absolute;left:2352;top:-2370;width:8377;height:558" coordorigin="2353,-2369" coordsize="8377,558" path="m10729,-1812l9741,-1918,8786,-2013,7864,-2096,6977,-2169,6122,-2230,5301,-2280,4514,-2319,3760,-2347,3040,-2364,2353,-2369e" filled="false" stroked="true" strokeweight=".18569pt" strokecolor="#000000">
              <v:path arrowok="t"/>
              <v:stroke dashstyle="shortdashdot"/>
            </v:shape>
            <v:line style="position:absolute" from="5703,-2543" to="6820,-2543" stroked="true" strokeweight="1.671191pt" strokecolor="#747474">
              <v:stroke dashstyle="solid"/>
            </v:line>
            <v:rect style="position:absolute;left:4551;top:-2335;width:70;height:70" filled="true" fillcolor="#dadada" stroked="false">
              <v:fill type="solid"/>
            </v:rect>
            <v:rect style="position:absolute;left:4551;top:-2335;width:70;height:70" filled="false" stroked="true" strokeweight=".185913pt" strokecolor="#000000">
              <v:stroke dashstyle="solid"/>
            </v:rect>
            <v:rect style="position:absolute;left:5668;top:-2579;width:70;height:70" filled="true" fillcolor="#dadada" stroked="false">
              <v:fill type="solid"/>
            </v:rect>
            <v:rect style="position:absolute;left:5668;top:-2579;width:70;height:70" filled="false" stroked="true" strokeweight=".185913pt" strokecolor="#000000">
              <v:stroke dashstyle="solid"/>
            </v:rect>
            <v:rect style="position:absolute;left:3434;top:-1604;width:70;height:70" filled="true" fillcolor="#dadada" stroked="false">
              <v:fill type="solid"/>
            </v:rect>
            <v:rect style="position:absolute;left:3434;top:-1604;width:70;height:70" filled="false" stroked="true" strokeweight=".185913pt" strokecolor="#000000">
              <v:stroke dashstyle="solid"/>
            </v:rect>
            <v:line style="position:absolute" from="4587,-420" to="4587,-2926" stroked="true" strokeweight=".18614pt" strokecolor="#000000">
              <v:stroke dashstyle="shortdashdot"/>
            </v:line>
            <v:line style="position:absolute" from="6820,-420" to="6820,-2926" stroked="true" strokeweight=".18614pt" strokecolor="#000000">
              <v:stroke dashstyle="shortdashdot"/>
            </v:line>
            <v:line style="position:absolute" from="8013,-559" to="9001,-559" stroked="true" strokeweight=".185688pt" strokecolor="#000000">
              <v:stroke dashstyle="solid"/>
            </v:line>
            <v:shape style="position:absolute;left:7948;top:-602;width:1117;height:86" coordorigin="7949,-602" coordsize="1117,86" path="m8034,-602l7949,-559,8034,-516,8027,-537,8024,-559,8027,-581,8034,-602xm9065,-559l8980,-602,8987,-581,8990,-559,8987,-537,8980,-516,9065,-559xe" filled="true" fillcolor="#000000" stroked="false">
              <v:path arrowok="t"/>
              <v:fill type="solid"/>
            </v:shape>
            <v:line style="position:absolute" from="6820,-1360" to="7937,-1360" stroked="true" strokeweight="1.671191pt" strokecolor="#747474">
              <v:stroke dashstyle="solid"/>
            </v:line>
            <v:rect style="position:absolute;left:6785;top:-1395;width:70;height:70" filled="true" fillcolor="#dadada" stroked="false">
              <v:fill type="solid"/>
            </v:rect>
            <v:rect style="position:absolute;left:6785;top:-1395;width:70;height:70" filled="false" stroked="true" strokeweight=".185913pt" strokecolor="#000000">
              <v:stroke dashstyle="solid"/>
            </v:rect>
            <v:shape style="position:absolute;left:9333;top:137;width:559;height:140" coordorigin="9333,137" coordsize="559,140" path="m9333,277l9612,277,9612,137,9891,137,9891,277e" filled="false" stroked="true" strokeweight=".185714pt" strokecolor="#000000">
              <v:path arrowok="t"/>
              <v:stroke dashstyle="solid"/>
            </v:shape>
            <v:shape style="position:absolute;left:9891;top:137;width:559;height:140" coordorigin="9891,137" coordsize="559,140" path="m9891,277l10171,277,10171,137,10450,137,10450,277e" filled="false" stroked="true" strokeweight=".185714pt" strokecolor="#000000">
              <v:path arrowok="t"/>
              <v:stroke dashstyle="solid"/>
            </v:shape>
            <v:line style="position:absolute" from="10171,-420" to="10171,-2926" stroked="true" strokeweight=".18614pt" strokecolor="#000000">
              <v:stroke dashstyle="shortdashdot"/>
            </v:line>
            <v:shape style="position:absolute;left:9053;top:-602;width:1117;height:86" coordorigin="9054,-602" coordsize="1117,86" path="m9139,-602l9054,-559,9139,-516,9132,-537,9129,-559,9132,-581,9139,-602xm10171,-559l10085,-602,10093,-581,10095,-559,10093,-537,10085,-516,10171,-559xe" filled="true" fillcolor="#000000" stroked="false">
              <v:path arrowok="t"/>
              <v:fill type="solid"/>
            </v:shape>
            <v:line style="position:absolute" from="9054,-810" to="10171,-810" stroked="true" strokeweight="1.671191pt" strokecolor="#747474">
              <v:stroke dashstyle="solid"/>
            </v:line>
            <v:line style="position:absolute" from="2353,-698" to="10729,-837" stroked="true" strokeweight=".92844pt" strokecolor="#000000">
              <v:stroke dashstyle="dot"/>
            </v:line>
            <v:rect style="position:absolute;left:9018;top:-838;width:70;height:70" filled="true" fillcolor="#dadada" stroked="false">
              <v:fill type="solid"/>
            </v:rect>
            <v:rect style="position:absolute;left:9018;top:-838;width:70;height:70" filled="false" stroked="true" strokeweight=".185913pt" strokecolor="#000000">
              <v:stroke dashstyle="solid"/>
            </v:rect>
            <v:shape style="position:absolute;left:2352;top:-2091;width:8377;height:848" coordorigin="2353,-2091" coordsize="8377,848" path="m10729,-1255l9826,-1244,8951,-1250,8104,-1273,7286,-1314,6496,-1373,5735,-1449,5002,-1542,4297,-1653,3621,-1781,2973,-1927,2353,-2091e" filled="false" stroked="true" strokeweight=".557077pt" strokecolor="#000000">
              <v:path arrowok="t"/>
              <v:stroke dashstyle="longdash"/>
            </v:shape>
            <v:shape style="position:absolute;left:2352;top:-1673;width:8377;height:627" coordorigin="2353,-1673" coordsize="8377,627" path="m10729,-1116l9829,-1074,8957,-1051,8112,-1047,7296,-1061,6506,-1093,5745,-1144,5011,-1213,4305,-1300,3627,-1406,2976,-1530,2353,-1673e" filled="false" stroked="true" strokeweight=".557071pt" strokecolor="#000000">
              <v:path arrowok="t"/>
              <v:stroke dashstyle="dot"/>
            </v:shape>
            <v:line style="position:absolute" from="7937,-1046" to="9054,-1046" stroked="true" strokeweight="1.671191pt" strokecolor="#747474">
              <v:stroke dashstyle="solid"/>
            </v:line>
            <v:rect style="position:absolute;left:7902;top:-1082;width:70;height:70" filled="true" fillcolor="#dadada" stroked="false">
              <v:fill type="solid"/>
            </v:rect>
            <v:rect style="position:absolute;left:7902;top:-1082;width:70;height:70" filled="false" stroked="true" strokeweight=".185913pt" strokecolor="#000000">
              <v:stroke dashstyle="solid"/>
            </v:rect>
            <v:shape style="position:absolute;left:10449;top:146;width:280;height:131" coordorigin="10450,146" coordsize="280,131" path="m10729,277l10450,277m10729,277l10729,146e" filled="false" stroked="true" strokeweight=".185914pt" strokecolor="#000000">
              <v:path arrowok="t"/>
              <v:stroke dashstyle="solid"/>
            </v:shape>
            <v:shape style="position:absolute;left:6179;top:-2723;width:186;height:139" type="#_x0000_t202" filled="false" stroked="false">
              <v:textbox inset="0,0,0,0">
                <w:txbxContent>
                  <w:p>
                    <w:pPr>
                      <w:spacing w:line="137" w:lineRule="exact" w:before="0"/>
                      <w:ind w:left="0" w:right="0" w:firstLine="0"/>
                      <w:jc w:val="left"/>
                      <w:rPr>
                        <w:sz w:val="12"/>
                      </w:rPr>
                    </w:pPr>
                    <w:r>
                      <w:rPr>
                        <w:w w:val="105"/>
                        <w:sz w:val="12"/>
                      </w:rPr>
                      <w:t>VB</w:t>
                    </w:r>
                  </w:p>
                </w:txbxContent>
              </v:textbox>
              <w10:wrap type="none"/>
            </v:shape>
            <v:shape style="position:absolute;left:5086;top:-2445;width:138;height:139" type="#_x0000_t202" filled="false" stroked="false">
              <v:textbox inset="0,0,0,0">
                <w:txbxContent>
                  <w:p>
                    <w:pPr>
                      <w:spacing w:line="137" w:lineRule="exact" w:before="0"/>
                      <w:ind w:left="0" w:right="0" w:firstLine="0"/>
                      <w:jc w:val="left"/>
                      <w:rPr>
                        <w:sz w:val="12"/>
                      </w:rPr>
                    </w:pPr>
                    <w:r>
                      <w:rPr>
                        <w:w w:val="105"/>
                        <w:sz w:val="12"/>
                      </w:rPr>
                      <w:t>IB</w:t>
                    </w:r>
                  </w:p>
                </w:txbxContent>
              </v:textbox>
              <w10:wrap type="none"/>
            </v:shape>
            <v:shape style="position:absolute;left:3945;top:-1539;width:186;height:139" type="#_x0000_t202" filled="false" stroked="false">
              <v:textbox inset="0,0,0,0">
                <w:txbxContent>
                  <w:p>
                    <w:pPr>
                      <w:spacing w:line="137" w:lineRule="exact" w:before="0"/>
                      <w:ind w:left="0" w:right="0" w:firstLine="0"/>
                      <w:jc w:val="left"/>
                      <w:rPr>
                        <w:sz w:val="12"/>
                      </w:rPr>
                    </w:pPr>
                    <w:r>
                      <w:rPr>
                        <w:w w:val="105"/>
                        <w:sz w:val="12"/>
                      </w:rPr>
                      <w:t>VA</w:t>
                    </w:r>
                  </w:p>
                </w:txbxContent>
              </v:textbox>
              <w10:wrap type="none"/>
            </v:shape>
            <v:shape style="position:absolute;left:7281;top:-1539;width:145;height:139" type="#_x0000_t202" filled="false" stroked="false">
              <v:textbox inset="0,0,0,0">
                <w:txbxContent>
                  <w:p>
                    <w:pPr>
                      <w:spacing w:line="137" w:lineRule="exact" w:before="0"/>
                      <w:ind w:left="0" w:right="0" w:firstLine="0"/>
                      <w:jc w:val="left"/>
                      <w:rPr>
                        <w:sz w:val="12"/>
                      </w:rPr>
                    </w:pPr>
                    <w:r>
                      <w:rPr>
                        <w:w w:val="105"/>
                        <w:sz w:val="12"/>
                      </w:rPr>
                      <w:t>IC</w:t>
                    </w:r>
                  </w:p>
                </w:txbxContent>
              </v:textbox>
              <w10:wrap type="none"/>
            </v:shape>
            <v:shape style="position:absolute;left:8409;top:-1191;width:193;height:139" type="#_x0000_t202" filled="false" stroked="false">
              <v:textbox inset="0,0,0,0">
                <w:txbxContent>
                  <w:p>
                    <w:pPr>
                      <w:spacing w:line="137" w:lineRule="exact" w:before="0"/>
                      <w:ind w:left="0" w:right="0" w:firstLine="0"/>
                      <w:jc w:val="left"/>
                      <w:rPr>
                        <w:sz w:val="12"/>
                      </w:rPr>
                    </w:pPr>
                    <w:r>
                      <w:rPr>
                        <w:w w:val="105"/>
                        <w:sz w:val="12"/>
                      </w:rPr>
                      <w:t>VC</w:t>
                    </w:r>
                  </w:p>
                </w:txbxContent>
              </v:textbox>
              <w10:wrap type="none"/>
            </v:shape>
            <v:shape style="position:absolute;left:2852;top:-982;width:138;height:139" type="#_x0000_t202" filled="false" stroked="false">
              <v:textbox inset="0,0,0,0">
                <w:txbxContent>
                  <w:p>
                    <w:pPr>
                      <w:spacing w:line="137" w:lineRule="exact" w:before="0"/>
                      <w:ind w:left="0" w:right="0" w:firstLine="0"/>
                      <w:jc w:val="left"/>
                      <w:rPr>
                        <w:sz w:val="12"/>
                      </w:rPr>
                    </w:pPr>
                    <w:r>
                      <w:rPr>
                        <w:w w:val="105"/>
                        <w:sz w:val="12"/>
                      </w:rPr>
                      <w:t>IA</w:t>
                    </w:r>
                  </w:p>
                </w:txbxContent>
              </v:textbox>
              <w10:wrap type="none"/>
            </v:shape>
            <v:shape style="position:absolute;left:9550;top:-982;width:145;height:139" type="#_x0000_t202" filled="false" stroked="false">
              <v:textbox inset="0,0,0,0">
                <w:txbxContent>
                  <w:p>
                    <w:pPr>
                      <w:spacing w:line="137" w:lineRule="exact" w:before="0"/>
                      <w:ind w:left="0" w:right="0" w:firstLine="0"/>
                      <w:jc w:val="left"/>
                      <w:rPr>
                        <w:sz w:val="12"/>
                      </w:rPr>
                    </w:pPr>
                    <w:r>
                      <w:rPr>
                        <w:w w:val="105"/>
                        <w:sz w:val="12"/>
                      </w:rPr>
                      <w:t>ID</w:t>
                    </w:r>
                  </w:p>
                </w:txbxContent>
              </v:textbox>
              <w10:wrap type="none"/>
            </v:shape>
            <v:shape style="position:absolute;left:2671;top:-565;width:499;height:139" type="#_x0000_t202" filled="false" stroked="false">
              <v:textbox inset="0,0,0,0">
                <w:txbxContent>
                  <w:p>
                    <w:pPr>
                      <w:spacing w:line="137" w:lineRule="exact" w:before="0"/>
                      <w:ind w:left="0" w:right="0" w:firstLine="0"/>
                      <w:jc w:val="left"/>
                      <w:rPr>
                        <w:sz w:val="12"/>
                      </w:rPr>
                    </w:pPr>
                    <w:r>
                      <w:rPr>
                        <w:w w:val="105"/>
                        <w:sz w:val="12"/>
                      </w:rPr>
                      <w:t>61.04 µs</w:t>
                    </w:r>
                  </w:p>
                </w:txbxContent>
              </v:textbox>
              <w10:wrap type="none"/>
            </v:shape>
            <v:shape style="position:absolute;left:3788;top:-565;width:499;height:139" type="#_x0000_t202" filled="false" stroked="false">
              <v:textbox inset="0,0,0,0">
                <w:txbxContent>
                  <w:p>
                    <w:pPr>
                      <w:spacing w:line="137" w:lineRule="exact" w:before="0"/>
                      <w:ind w:left="0" w:right="0" w:firstLine="0"/>
                      <w:jc w:val="left"/>
                      <w:rPr>
                        <w:sz w:val="12"/>
                      </w:rPr>
                    </w:pPr>
                    <w:r>
                      <w:rPr>
                        <w:w w:val="105"/>
                        <w:sz w:val="12"/>
                      </w:rPr>
                      <w:t>61.04 µs</w:t>
                    </w:r>
                  </w:p>
                </w:txbxContent>
              </v:textbox>
              <w10:wrap type="none"/>
            </v:shape>
            <v:shape style="position:absolute;left:8256;top:-704;width:2419;height:278" type="#_x0000_t202" filled="false" stroked="false">
              <v:textbox inset="0,0,0,0">
                <w:txbxContent>
                  <w:p>
                    <w:pPr>
                      <w:tabs>
                        <w:tab w:pos="1849" w:val="left" w:leader="none"/>
                      </w:tabs>
                      <w:spacing w:line="137" w:lineRule="exact" w:before="0"/>
                      <w:ind w:left="862" w:right="0" w:firstLine="0"/>
                      <w:jc w:val="left"/>
                      <w:rPr>
                        <w:sz w:val="12"/>
                      </w:rPr>
                    </w:pPr>
                    <w:r>
                      <w:rPr>
                        <w:rFonts w:ascii="Times New Roman" w:hAnsi="Times New Roman"/>
                        <w:w w:val="103"/>
                        <w:sz w:val="12"/>
                        <w:u w:val="single"/>
                      </w:rPr>
                      <w:t> </w:t>
                    </w:r>
                    <w:r>
                      <w:rPr>
                        <w:rFonts w:ascii="Times New Roman" w:hAnsi="Times New Roman"/>
                        <w:sz w:val="12"/>
                        <w:u w:val="single"/>
                      </w:rPr>
                      <w:tab/>
                    </w:r>
                    <w:r>
                      <w:rPr>
                        <w:rFonts w:ascii="Times New Roman" w:hAnsi="Times New Roman"/>
                        <w:sz w:val="12"/>
                      </w:rPr>
                      <w:t>    </w:t>
                    </w:r>
                    <w:r>
                      <w:rPr>
                        <w:rFonts w:ascii="Times New Roman" w:hAnsi="Times New Roman"/>
                        <w:spacing w:val="-11"/>
                        <w:sz w:val="12"/>
                      </w:rPr>
                      <w:t> </w:t>
                    </w:r>
                    <w:r>
                      <w:rPr>
                        <w:w w:val="105"/>
                        <w:sz w:val="12"/>
                        <w:u w:val="single"/>
                      </w:rPr>
                      <w:t>30.5</w:t>
                    </w:r>
                    <w:r>
                      <w:rPr>
                        <w:spacing w:val="-7"/>
                        <w:w w:val="105"/>
                        <w:sz w:val="12"/>
                        <w:u w:val="single"/>
                      </w:rPr>
                      <w:t> </w:t>
                    </w:r>
                    <w:r>
                      <w:rPr>
                        <w:w w:val="105"/>
                        <w:sz w:val="12"/>
                        <w:u w:val="single"/>
                      </w:rPr>
                      <w:t>µs</w:t>
                    </w:r>
                  </w:p>
                  <w:p>
                    <w:pPr>
                      <w:tabs>
                        <w:tab w:pos="1116" w:val="left" w:leader="none"/>
                      </w:tabs>
                      <w:spacing w:before="1"/>
                      <w:ind w:left="0" w:right="0" w:firstLine="0"/>
                      <w:jc w:val="left"/>
                      <w:rPr>
                        <w:sz w:val="12"/>
                      </w:rPr>
                    </w:pPr>
                    <w:r>
                      <w:rPr>
                        <w:w w:val="105"/>
                        <w:sz w:val="12"/>
                      </w:rPr>
                      <w:t>61.04</w:t>
                    </w:r>
                    <w:r>
                      <w:rPr>
                        <w:spacing w:val="-5"/>
                        <w:w w:val="105"/>
                        <w:sz w:val="12"/>
                      </w:rPr>
                      <w:t> </w:t>
                    </w:r>
                    <w:r>
                      <w:rPr>
                        <w:w w:val="105"/>
                        <w:sz w:val="12"/>
                      </w:rPr>
                      <w:t>µs</w:t>
                      <w:tab/>
                      <w:t>61.04</w:t>
                    </w:r>
                    <w:r>
                      <w:rPr>
                        <w:spacing w:val="-1"/>
                        <w:w w:val="105"/>
                        <w:sz w:val="12"/>
                      </w:rPr>
                      <w:t> </w:t>
                    </w:r>
                    <w:r>
                      <w:rPr>
                        <w:w w:val="105"/>
                        <w:sz w:val="12"/>
                      </w:rPr>
                      <w:t>µs</w:t>
                    </w:r>
                  </w:p>
                </w:txbxContent>
              </v:textbox>
              <w10:wrap type="none"/>
            </v:shape>
            <v:shape style="position:absolute;left:5267;top:-425;width:2567;height:139" type="#_x0000_t202" filled="false" stroked="false">
              <v:textbox inset="0,0,0,0">
                <w:txbxContent>
                  <w:p>
                    <w:pPr>
                      <w:spacing w:line="137" w:lineRule="exact" w:before="0"/>
                      <w:ind w:left="0" w:right="0" w:firstLine="0"/>
                      <w:jc w:val="left"/>
                      <w:rPr>
                        <w:sz w:val="12"/>
                      </w:rPr>
                    </w:pPr>
                    <w:r>
                      <w:rPr>
                        <w:w w:val="105"/>
                        <w:sz w:val="12"/>
                      </w:rPr>
                      <w:t>Multiplexer</w:t>
                    </w:r>
                    <w:r>
                      <w:rPr>
                        <w:spacing w:val="-6"/>
                        <w:w w:val="105"/>
                        <w:sz w:val="12"/>
                      </w:rPr>
                      <w:t> </w:t>
                    </w:r>
                    <w:r>
                      <w:rPr>
                        <w:w w:val="105"/>
                        <w:sz w:val="12"/>
                      </w:rPr>
                      <w:t>Frame</w:t>
                    </w:r>
                    <w:r>
                      <w:rPr>
                        <w:spacing w:val="-6"/>
                        <w:w w:val="105"/>
                        <w:sz w:val="12"/>
                      </w:rPr>
                      <w:t> </w:t>
                    </w:r>
                    <w:r>
                      <w:rPr>
                        <w:w w:val="105"/>
                        <w:sz w:val="12"/>
                      </w:rPr>
                      <w:t>(15</w:t>
                    </w:r>
                    <w:r>
                      <w:rPr>
                        <w:spacing w:val="-6"/>
                        <w:w w:val="105"/>
                        <w:sz w:val="12"/>
                      </w:rPr>
                      <w:t> </w:t>
                    </w:r>
                    <w:r>
                      <w:rPr>
                        <w:w w:val="105"/>
                        <w:sz w:val="12"/>
                      </w:rPr>
                      <w:t>x</w:t>
                    </w:r>
                    <w:r>
                      <w:rPr>
                        <w:spacing w:val="-6"/>
                        <w:w w:val="105"/>
                        <w:sz w:val="12"/>
                      </w:rPr>
                      <w:t> </w:t>
                    </w:r>
                    <w:r>
                      <w:rPr>
                        <w:w w:val="105"/>
                        <w:sz w:val="12"/>
                      </w:rPr>
                      <w:t>30.518</w:t>
                    </w:r>
                    <w:r>
                      <w:rPr>
                        <w:spacing w:val="-6"/>
                        <w:w w:val="105"/>
                        <w:sz w:val="12"/>
                      </w:rPr>
                      <w:t> </w:t>
                    </w:r>
                    <w:r>
                      <w:rPr>
                        <w:w w:val="105"/>
                        <w:sz w:val="12"/>
                      </w:rPr>
                      <w:t>µs</w:t>
                    </w:r>
                    <w:r>
                      <w:rPr>
                        <w:spacing w:val="-6"/>
                        <w:w w:val="105"/>
                        <w:sz w:val="12"/>
                      </w:rPr>
                      <w:t> </w:t>
                    </w:r>
                    <w:r>
                      <w:rPr>
                        <w:w w:val="105"/>
                        <w:sz w:val="12"/>
                      </w:rPr>
                      <w:t>=</w:t>
                    </w:r>
                    <w:r>
                      <w:rPr>
                        <w:spacing w:val="-6"/>
                        <w:w w:val="105"/>
                        <w:sz w:val="12"/>
                      </w:rPr>
                      <w:t> </w:t>
                    </w:r>
                    <w:r>
                      <w:rPr>
                        <w:w w:val="105"/>
                        <w:sz w:val="12"/>
                      </w:rPr>
                      <w:t>457.8</w:t>
                    </w:r>
                    <w:r>
                      <w:rPr>
                        <w:spacing w:val="-6"/>
                        <w:w w:val="105"/>
                        <w:sz w:val="12"/>
                      </w:rPr>
                      <w:t> </w:t>
                    </w:r>
                    <w:r>
                      <w:rPr>
                        <w:w w:val="105"/>
                        <w:sz w:val="12"/>
                      </w:rPr>
                      <w:t>µs)</w:t>
                    </w:r>
                  </w:p>
                </w:txbxContent>
              </v:textbox>
              <w10:wrap type="none"/>
            </v:shape>
            <v:shape style="position:absolute;left:2417;top:-216;width:7709;height:139" type="#_x0000_t202" filled="false" stroked="false">
              <v:textbox inset="0,0,0,0">
                <w:txbxContent>
                  <w:p>
                    <w:pPr>
                      <w:tabs>
                        <w:tab w:pos="3073" w:val="left" w:leader="none"/>
                        <w:tab w:pos="7688" w:val="left" w:leader="none"/>
                      </w:tabs>
                      <w:spacing w:line="138" w:lineRule="exact" w:before="0"/>
                      <w:ind w:left="0" w:right="0" w:firstLine="0"/>
                      <w:jc w:val="left"/>
                      <w:rPr>
                        <w:sz w:val="12"/>
                      </w:rPr>
                    </w:pPr>
                    <w:r>
                      <w:rPr>
                        <w:rFonts w:ascii="Times New Roman"/>
                        <w:color w:val="0000FF"/>
                        <w:w w:val="103"/>
                        <w:sz w:val="12"/>
                        <w:u w:val="single" w:color="000000"/>
                      </w:rPr>
                      <w:t> </w:t>
                    </w:r>
                    <w:r>
                      <w:rPr>
                        <w:rFonts w:ascii="Times New Roman"/>
                        <w:color w:val="0000FF"/>
                        <w:sz w:val="12"/>
                        <w:u w:val="single" w:color="000000"/>
                      </w:rPr>
                      <w:tab/>
                    </w:r>
                    <w:r>
                      <w:rPr>
                        <w:rFonts w:ascii="Times New Roman"/>
                        <w:i/>
                        <w:color w:val="0000FF"/>
                        <w:w w:val="105"/>
                        <w:sz w:val="12"/>
                        <w:u w:val="single" w:color="000000"/>
                      </w:rPr>
                      <w:t>MUX_DIV</w:t>
                    </w:r>
                    <w:r>
                      <w:rPr>
                        <w:rFonts w:ascii="Times New Roman"/>
                        <w:i/>
                        <w:color w:val="0000FF"/>
                        <w:spacing w:val="-8"/>
                        <w:w w:val="105"/>
                        <w:sz w:val="12"/>
                        <w:u w:val="single" w:color="000000"/>
                      </w:rPr>
                      <w:t> </w:t>
                    </w:r>
                    <w:r>
                      <w:rPr>
                        <w:w w:val="105"/>
                        <w:sz w:val="12"/>
                        <w:u w:val="single"/>
                      </w:rPr>
                      <w:t>=</w:t>
                    </w:r>
                    <w:r>
                      <w:rPr>
                        <w:spacing w:val="-11"/>
                        <w:w w:val="105"/>
                        <w:sz w:val="12"/>
                        <w:u w:val="single"/>
                      </w:rPr>
                      <w:t> </w:t>
                    </w:r>
                    <w:r>
                      <w:rPr>
                        <w:w w:val="105"/>
                        <w:sz w:val="12"/>
                        <w:u w:val="single"/>
                      </w:rPr>
                      <w:t>7</w:t>
                    </w:r>
                    <w:r>
                      <w:rPr>
                        <w:spacing w:val="-11"/>
                        <w:w w:val="105"/>
                        <w:sz w:val="12"/>
                        <w:u w:val="single"/>
                      </w:rPr>
                      <w:t> </w:t>
                    </w:r>
                    <w:r>
                      <w:rPr>
                        <w:w w:val="105"/>
                        <w:sz w:val="12"/>
                        <w:u w:val="single"/>
                      </w:rPr>
                      <w:t>Conversions</w:t>
                    </w:r>
                    <w:r>
                      <w:rPr>
                        <w:sz w:val="12"/>
                        <w:u w:val="single"/>
                      </w:rPr>
                      <w:tab/>
                    </w:r>
                  </w:p>
                </w:txbxContent>
              </v:textbox>
              <w10:wrap type="none"/>
            </v:shape>
            <v:shape style="position:absolute;left:10291;top:-147;width:338;height:139" type="#_x0000_t202" filled="false" stroked="false">
              <v:textbox inset="0,0,0,0">
                <w:txbxContent>
                  <w:p>
                    <w:pPr>
                      <w:spacing w:line="137" w:lineRule="exact" w:before="0"/>
                      <w:ind w:left="0" w:right="0" w:firstLine="0"/>
                      <w:jc w:val="left"/>
                      <w:rPr>
                        <w:sz w:val="12"/>
                      </w:rPr>
                    </w:pPr>
                    <w:r>
                      <w:rPr>
                        <w:w w:val="105"/>
                        <w:sz w:val="12"/>
                      </w:rPr>
                      <w:t>Settle</w:t>
                    </w:r>
                  </w:p>
                </w:txbxContent>
              </v:textbox>
              <w10:wrap type="none"/>
            </v:shape>
            <v:shape style="position:absolute;left:2073;top:138;width:300;height:138" type="#_x0000_t202" filled="false" stroked="false">
              <v:textbox inset="0,0,0,0">
                <w:txbxContent>
                  <w:p>
                    <w:pPr>
                      <w:tabs>
                        <w:tab w:pos="279" w:val="left" w:leader="none"/>
                      </w:tabs>
                      <w:spacing w:line="136" w:lineRule="exact" w:before="0"/>
                      <w:ind w:left="0" w:right="0" w:firstLine="0"/>
                      <w:jc w:val="left"/>
                      <w:rPr>
                        <w:rFonts w:ascii="Times New Roman"/>
                        <w:sz w:val="12"/>
                      </w:rPr>
                    </w:pPr>
                    <w:r>
                      <w:rPr>
                        <w:rFonts w:ascii="Times New Roman"/>
                        <w:w w:val="103"/>
                        <w:sz w:val="12"/>
                        <w:u w:val="single"/>
                      </w:rPr>
                      <w:t> </w:t>
                    </w:r>
                    <w:r>
                      <w:rPr>
                        <w:rFonts w:ascii="Times New Roman"/>
                        <w:sz w:val="12"/>
                        <w:u w:val="single"/>
                      </w:rPr>
                      <w:tab/>
                    </w:r>
                  </w:p>
                </w:txbxContent>
              </v:textbox>
              <w10:wrap type="none"/>
            </v:shape>
            <w10:wrap type="none"/>
          </v:group>
        </w:pict>
      </w:r>
      <w:r>
        <w:rPr>
          <w:w w:val="105"/>
          <w:sz w:val="12"/>
        </w:rPr>
        <w:t>CK32</w:t>
      </w:r>
    </w:p>
    <w:p>
      <w:pPr>
        <w:spacing w:before="10"/>
        <w:ind w:left="75" w:right="8711" w:firstLine="0"/>
        <w:jc w:val="center"/>
        <w:rPr>
          <w:sz w:val="12"/>
        </w:rPr>
      </w:pPr>
      <w:r>
        <w:rPr>
          <w:w w:val="105"/>
          <w:sz w:val="12"/>
        </w:rPr>
        <w:t>(32768 Hz)</w:t>
      </w:r>
    </w:p>
    <w:p>
      <w:pPr>
        <w:spacing w:line="259" w:lineRule="auto" w:before="62"/>
        <w:ind w:left="774" w:right="9383" w:hanging="1"/>
        <w:jc w:val="center"/>
        <w:rPr>
          <w:sz w:val="12"/>
        </w:rPr>
      </w:pPr>
      <w:r>
        <w:rPr/>
        <w:pict>
          <v:group style="position:absolute;margin-left:106.006477pt;margin-top:6.83532pt;width:434.05pt;height:7.35pt;mso-position-horizontal-relative:page;mso-position-vertical-relative:paragraph;z-index:15761408" coordorigin="2120,137" coordsize="8681,147">
            <v:line style="position:absolute" from="2364,142" to="2434,281" stroked="true" strokeweight=".186049pt" strokecolor="#000000">
              <v:stroke dashstyle="solid"/>
            </v:line>
            <v:line style="position:absolute" from="2434,142" to="2364,281" stroked="true" strokeweight=".186049pt" strokecolor="#000000">
              <v:stroke dashstyle="solid"/>
            </v:line>
            <v:line style="position:absolute" from="2120,142" to="2364,142" stroked="true" strokeweight=".185688pt" strokecolor="#000000">
              <v:stroke dashstyle="solid"/>
            </v:line>
            <v:line style="position:absolute" from="3470,142" to="3539,281" stroked="true" strokeweight=".186049pt" strokecolor="#000000">
              <v:stroke dashstyle="solid"/>
            </v:line>
            <v:line style="position:absolute" from="3539,142" to="3470,281" stroked="true" strokeweight=".186049pt" strokecolor="#000000">
              <v:stroke dashstyle="solid"/>
            </v:line>
            <v:line style="position:absolute" from="2434,142" to="3470,142" stroked="true" strokeweight=".185688pt" strokecolor="#000000">
              <v:stroke dashstyle="solid"/>
            </v:line>
            <v:line style="position:absolute" from="4586,142" to="4656,281" stroked="true" strokeweight=".186049pt" strokecolor="#000000">
              <v:stroke dashstyle="solid"/>
            </v:line>
            <v:line style="position:absolute" from="4656,142" to="4586,281" stroked="true" strokeweight=".186049pt" strokecolor="#000000">
              <v:stroke dashstyle="solid"/>
            </v:line>
            <v:line style="position:absolute" from="3539,142" to="4586,142" stroked="true" strokeweight=".185688pt" strokecolor="#000000">
              <v:stroke dashstyle="solid"/>
            </v:line>
            <v:line style="position:absolute" from="5703,142" to="5773,281" stroked="true" strokeweight=".186049pt" strokecolor="#000000">
              <v:stroke dashstyle="solid"/>
            </v:line>
            <v:line style="position:absolute" from="5773,142" to="5703,281" stroked="true" strokeweight=".186049pt" strokecolor="#000000">
              <v:stroke dashstyle="solid"/>
            </v:line>
            <v:line style="position:absolute" from="4656,142" to="5703,142" stroked="true" strokeweight=".185688pt" strokecolor="#000000">
              <v:stroke dashstyle="solid"/>
            </v:line>
            <v:line style="position:absolute" from="6820,142" to="6890,281" stroked="true" strokeweight=".186049pt" strokecolor="#000000">
              <v:stroke dashstyle="solid"/>
            </v:line>
            <v:line style="position:absolute" from="6890,142" to="6820,281" stroked="true" strokeweight=".186049pt" strokecolor="#000000">
              <v:stroke dashstyle="solid"/>
            </v:line>
            <v:line style="position:absolute" from="5773,142" to="6820,142" stroked="true" strokeweight=".185688pt" strokecolor="#000000">
              <v:stroke dashstyle="solid"/>
            </v:line>
            <v:line style="position:absolute" from="7937,142" to="8007,281" stroked="true" strokeweight=".186049pt" strokecolor="#000000">
              <v:stroke dashstyle="solid"/>
            </v:line>
            <v:line style="position:absolute" from="8007,142" to="7937,281" stroked="true" strokeweight=".186049pt" strokecolor="#000000">
              <v:stroke dashstyle="solid"/>
            </v:line>
            <v:line style="position:absolute" from="6890,142" to="7937,142" stroked="true" strokeweight=".185688pt" strokecolor="#000000">
              <v:stroke dashstyle="solid"/>
            </v:line>
            <v:line style="position:absolute" from="9054,142" to="9124,281" stroked="true" strokeweight=".186049pt" strokecolor="#000000">
              <v:stroke dashstyle="solid"/>
            </v:line>
            <v:line style="position:absolute" from="9124,142" to="9054,281" stroked="true" strokeweight=".186049pt" strokecolor="#000000">
              <v:stroke dashstyle="solid"/>
            </v:line>
            <v:line style="position:absolute" from="8007,142" to="9054,142" stroked="true" strokeweight=".185688pt" strokecolor="#000000">
              <v:stroke dashstyle="solid"/>
            </v:line>
            <v:line style="position:absolute" from="9124,142" to="10171,142" stroked="true" strokeweight=".185688pt" strokecolor="#000000">
              <v:stroke dashstyle="solid"/>
            </v:line>
            <v:line style="position:absolute" from="10171,142" to="10241,281" stroked="true" strokeweight=".186049pt" strokecolor="#000000">
              <v:stroke dashstyle="solid"/>
            </v:line>
            <v:shape style="position:absolute;left:10170;top:142;width:559;height:140" coordorigin="10171,142" coordsize="559,140" path="m10241,142l10171,281m10241,142l10729,142e" filled="false" stroked="true" strokeweight=".185914pt" strokecolor="#000000">
              <v:path arrowok="t"/>
              <v:stroke dashstyle="solid"/>
            </v:shape>
            <v:line style="position:absolute" from="10729,142" to="10799,281" stroked="true" strokeweight=".186049pt" strokecolor="#000000">
              <v:stroke dashstyle="solid"/>
            </v:line>
            <v:line style="position:absolute" from="10799,142" to="10729,281" stroked="true" strokeweight=".186049pt" strokecolor="#000000">
              <v:stroke dashstyle="solid"/>
            </v:line>
            <v:shape style="position:absolute;left:2120;top:136;width:8681;height:147" type="#_x0000_t202" filled="false" stroked="false">
              <v:textbox inset="0,0,0,0">
                <w:txbxContent>
                  <w:p>
                    <w:pPr>
                      <w:tabs>
                        <w:tab w:pos="756" w:val="left" w:leader="none"/>
                        <w:tab w:pos="1349" w:val="left" w:leader="none"/>
                        <w:tab w:pos="1873" w:val="left" w:leader="none"/>
                        <w:tab w:pos="2466" w:val="left" w:leader="none"/>
                        <w:tab w:pos="2990" w:val="left" w:leader="none"/>
                        <w:tab w:pos="3583" w:val="left" w:leader="none"/>
                        <w:tab w:pos="4106" w:val="left" w:leader="none"/>
                        <w:tab w:pos="4699" w:val="left" w:leader="none"/>
                        <w:tab w:pos="5223" w:val="left" w:leader="none"/>
                        <w:tab w:pos="5816" w:val="left" w:leader="none"/>
                        <w:tab w:pos="6340" w:val="left" w:leader="none"/>
                        <w:tab w:pos="6933" w:val="left" w:leader="none"/>
                        <w:tab w:pos="7527" w:val="left" w:leader="none"/>
                        <w:tab w:pos="8050" w:val="left" w:leader="none"/>
                        <w:tab w:pos="8608" w:val="left" w:leader="none"/>
                      </w:tabs>
                      <w:spacing w:line="138" w:lineRule="exact" w:before="0"/>
                      <w:ind w:left="0" w:right="0" w:firstLine="0"/>
                      <w:jc w:val="left"/>
                      <w:rPr>
                        <w:sz w:val="12"/>
                      </w:rPr>
                    </w:pPr>
                    <w:r>
                      <w:rPr>
                        <w:rFonts w:ascii="Times New Roman"/>
                        <w:w w:val="103"/>
                        <w:sz w:val="12"/>
                        <w:u w:val="single"/>
                      </w:rPr>
                      <w:t> </w:t>
                    </w:r>
                    <w:r>
                      <w:rPr>
                        <w:rFonts w:ascii="Times New Roman"/>
                        <w:spacing w:val="2"/>
                        <w:sz w:val="12"/>
                        <w:u w:val="single"/>
                      </w:rPr>
                      <w:t> </w:t>
                    </w:r>
                    <w:r>
                      <w:rPr>
                        <w:w w:val="105"/>
                        <w:sz w:val="12"/>
                        <w:u w:val="single"/>
                      </w:rPr>
                      <w:t>S </w:t>
                      <w:tab/>
                      <w:t>0</w:t>
                      <w:tab/>
                      <w:t> </w:t>
                      <w:tab/>
                      <w:t>1</w:t>
                      <w:tab/>
                      <w:t> </w:t>
                      <w:tab/>
                      <w:t>2</w:t>
                      <w:tab/>
                      <w:t> </w:t>
                      <w:tab/>
                      <w:t>3</w:t>
                      <w:tab/>
                      <w:t> </w:t>
                      <w:tab/>
                      <w:t>4</w:t>
                      <w:tab/>
                      <w:t> </w:t>
                      <w:tab/>
                      <w:t>5</w:t>
                      <w:tab/>
                      <w:t> </w:t>
                      <w:tab/>
                      <w:t>6</w:t>
                      <w:tab/>
                      <w:t> S</w:t>
                    </w:r>
                    <w:r>
                      <w:rPr>
                        <w:sz w:val="12"/>
                        <w:u w:val="single"/>
                      </w:rPr>
                      <w:tab/>
                    </w:r>
                  </w:p>
                </w:txbxContent>
              </v:textbox>
              <w10:wrap type="none"/>
            </v:shape>
            <w10:wrap type="none"/>
          </v:group>
        </w:pict>
      </w:r>
      <w:r>
        <w:rPr>
          <w:w w:val="105"/>
          <w:sz w:val="12"/>
        </w:rPr>
        <w:t>MUX </w:t>
      </w:r>
      <w:r>
        <w:rPr>
          <w:sz w:val="12"/>
        </w:rPr>
        <w:t>STATE</w:t>
      </w:r>
    </w:p>
    <w:p>
      <w:pPr>
        <w:pStyle w:val="BodyText"/>
        <w:spacing w:before="7"/>
        <w:rPr>
          <w:sz w:val="12"/>
        </w:rPr>
      </w:pPr>
    </w:p>
    <w:p>
      <w:pPr>
        <w:spacing w:before="0"/>
        <w:ind w:left="1316" w:right="1278" w:firstLine="0"/>
        <w:jc w:val="center"/>
        <w:rPr>
          <w:b/>
          <w:sz w:val="20"/>
        </w:rPr>
      </w:pPr>
      <w:bookmarkStart w:name="_bookmark38" w:id="89"/>
      <w:bookmarkEnd w:id="89"/>
      <w:r>
        <w:rPr/>
      </w:r>
      <w:r>
        <w:rPr>
          <w:b/>
          <w:sz w:val="20"/>
        </w:rPr>
        <w:t>Figure 10: Samples from Multiplexer Cycle (Frame)</w:t>
      </w:r>
    </w:p>
    <w:p>
      <w:pPr>
        <w:pStyle w:val="BodyText"/>
        <w:rPr>
          <w:b/>
          <w:sz w:val="12"/>
        </w:rPr>
      </w:pPr>
    </w:p>
    <w:p>
      <w:pPr>
        <w:pStyle w:val="BodyText"/>
        <w:spacing w:before="93"/>
        <w:ind w:left="619"/>
      </w:pPr>
      <w:r>
        <w:rPr/>
        <w:t>The end of each multiplexer cycle is signaled to the MPU by the CE_BUSY interrupt. At the end of each multiplexer</w:t>
      </w:r>
      <w:r>
        <w:rPr>
          <w:spacing w:val="-13"/>
        </w:rPr>
        <w:t> </w:t>
      </w:r>
      <w:r>
        <w:rPr/>
        <w:t>cycle,</w:t>
      </w:r>
      <w:r>
        <w:rPr>
          <w:spacing w:val="-13"/>
        </w:rPr>
        <w:t> </w:t>
      </w:r>
      <w:r>
        <w:rPr/>
        <w:t>status</w:t>
      </w:r>
      <w:r>
        <w:rPr>
          <w:spacing w:val="-10"/>
        </w:rPr>
        <w:t> </w:t>
      </w:r>
      <w:r>
        <w:rPr>
          <w:spacing w:val="-3"/>
        </w:rPr>
        <w:t>information,</w:t>
      </w:r>
      <w:r>
        <w:rPr>
          <w:spacing w:val="-11"/>
        </w:rPr>
        <w:t> </w:t>
      </w:r>
      <w:r>
        <w:rPr/>
        <w:t>such</w:t>
      </w:r>
      <w:r>
        <w:rPr>
          <w:spacing w:val="-11"/>
        </w:rPr>
        <w:t> </w:t>
      </w:r>
      <w:r>
        <w:rPr/>
        <w:t>as</w:t>
      </w:r>
      <w:r>
        <w:rPr>
          <w:spacing w:val="-12"/>
        </w:rPr>
        <w:t> </w:t>
      </w:r>
      <w:r>
        <w:rPr/>
        <w:t>sag</w:t>
      </w:r>
      <w:r>
        <w:rPr>
          <w:spacing w:val="-12"/>
        </w:rPr>
        <w:t> </w:t>
      </w:r>
      <w:r>
        <w:rPr/>
        <w:t>data</w:t>
      </w:r>
      <w:r>
        <w:rPr>
          <w:spacing w:val="-11"/>
        </w:rPr>
        <w:t> </w:t>
      </w:r>
      <w:r>
        <w:rPr/>
        <w:t>and</w:t>
      </w:r>
      <w:r>
        <w:rPr>
          <w:spacing w:val="-12"/>
        </w:rPr>
        <w:t> </w:t>
      </w:r>
      <w:r>
        <w:rPr/>
        <w:t>the</w:t>
      </w:r>
      <w:r>
        <w:rPr>
          <w:spacing w:val="-11"/>
        </w:rPr>
        <w:t> </w:t>
      </w:r>
      <w:r>
        <w:rPr>
          <w:spacing w:val="-3"/>
        </w:rPr>
        <w:t>digitized</w:t>
      </w:r>
      <w:r>
        <w:rPr>
          <w:spacing w:val="-12"/>
        </w:rPr>
        <w:t> </w:t>
      </w:r>
      <w:r>
        <w:rPr/>
        <w:t>input</w:t>
      </w:r>
      <w:r>
        <w:rPr>
          <w:spacing w:val="-13"/>
        </w:rPr>
        <w:t> </w:t>
      </w:r>
      <w:r>
        <w:rPr/>
        <w:t>signal,</w:t>
      </w:r>
      <w:r>
        <w:rPr>
          <w:spacing w:val="-11"/>
        </w:rPr>
        <w:t> </w:t>
      </w:r>
      <w:r>
        <w:rPr/>
        <w:t>is</w:t>
      </w:r>
      <w:r>
        <w:rPr>
          <w:spacing w:val="-10"/>
        </w:rPr>
        <w:t> </w:t>
      </w:r>
      <w:r>
        <w:rPr/>
        <w:t>available</w:t>
      </w:r>
      <w:r>
        <w:rPr>
          <w:spacing w:val="-13"/>
        </w:rPr>
        <w:t> </w:t>
      </w:r>
      <w:r>
        <w:rPr/>
        <w:t>to</w:t>
      </w:r>
      <w:r>
        <w:rPr>
          <w:spacing w:val="-13"/>
        </w:rPr>
        <w:t> </w:t>
      </w:r>
      <w:r>
        <w:rPr/>
        <w:t>the</w:t>
      </w:r>
      <w:r>
        <w:rPr>
          <w:spacing w:val="-12"/>
        </w:rPr>
        <w:t> </w:t>
      </w:r>
      <w:r>
        <w:rPr/>
        <w:t>MPU.</w:t>
      </w:r>
    </w:p>
    <w:p>
      <w:pPr>
        <w:spacing w:before="171"/>
        <w:ind w:left="186" w:right="1278" w:firstLine="0"/>
        <w:jc w:val="center"/>
        <w:rPr>
          <w:b/>
          <w:sz w:val="20"/>
        </w:rPr>
      </w:pPr>
      <w:r>
        <w:rPr/>
        <w:pict>
          <v:group style="position:absolute;margin-left:81.540001pt;margin-top:24.759897pt;width:441.5pt;height:92.25pt;mso-position-horizontal-relative:page;mso-position-vertical-relative:paragraph;z-index:-15696896;mso-wrap-distance-left:0;mso-wrap-distance-right:0" coordorigin="1631,495" coordsize="8830,1845">
            <v:shape style="position:absolute;left:1728;top:752;width:426;height:437" coordorigin="1728,752" coordsize="426,437" path="m1728,1189l1755,1095,1783,1005,1811,923,1840,854,1869,800,1930,752,1965,773,2002,826,2040,901,2076,986,2109,1070,2135,1142,2154,1189e" filled="false" stroked="true" strokeweight=".12pt" strokecolor="#000000">
              <v:path arrowok="t"/>
              <v:stroke dashstyle="solid"/>
            </v:shape>
            <v:shape style="position:absolute;left:2154;top:1199;width:426;height:437" coordorigin="2154,1199" coordsize="426,437" path="m2580,1199l2553,1294,2525,1384,2497,1465,2468,1535,2439,1589,2378,1636,2347,1616,2311,1563,2273,1488,2235,1403,2201,1319,2173,1247,2154,1199e" filled="false" stroked="true" strokeweight=".12pt" strokecolor="#000000">
              <v:path arrowok="t"/>
              <v:stroke dashstyle="solid"/>
            </v:shape>
            <v:shape style="position:absolute;left:1728;top:752;width:426;height:437" coordorigin="1728,752" coordsize="426,437" path="m1728,1189l1755,1095,1783,1005,1811,923,1840,854,1869,800,1930,752,1965,773,2002,826,2040,901,2076,986,2109,1070,2135,1142,2154,1189e" filled="false" stroked="true" strokeweight=".12pt" strokecolor="#000000">
              <v:path arrowok="t"/>
              <v:stroke dashstyle="solid"/>
            </v:shape>
            <v:shape style="position:absolute;left:2154;top:1199;width:426;height:437" coordorigin="2154,1199" coordsize="426,437" path="m2580,1199l2553,1294,2525,1384,2497,1465,2468,1535,2439,1589,2378,1636,2347,1616,2311,1563,2273,1488,2235,1403,2201,1319,2173,1247,2154,1199e" filled="false" stroked="true" strokeweight=".12pt" strokecolor="#000000">
              <v:path arrowok="t"/>
              <v:stroke dashstyle="solid"/>
            </v:shape>
            <v:line style="position:absolute" from="1632,1210" to="10459,1211" stroked="true" strokeweight=".12pt" strokecolor="#000000">
              <v:stroke dashstyle="solid"/>
            </v:line>
            <v:shape style="position:absolute;left:2580;top:752;width:426;height:437" coordorigin="2580,752" coordsize="426,437" path="m2580,1189l2607,1095,2635,1005,2663,923,2692,854,2721,800,2782,752,2817,773,2854,826,2892,901,2928,986,2961,1070,2987,1142,3006,1189e" filled="false" stroked="true" strokeweight=".12pt" strokecolor="#000000">
              <v:path arrowok="t"/>
              <v:stroke dashstyle="solid"/>
            </v:shape>
            <v:shape style="position:absolute;left:3006;top:1199;width:426;height:437" coordorigin="3006,1199" coordsize="426,437" path="m3432,1199l3405,1294,3377,1384,3349,1465,3320,1535,3291,1589,3230,1636,3199,1616,3163,1563,3125,1488,3087,1403,3053,1319,3025,1247,3006,1199e" filled="false" stroked="true" strokeweight=".12pt" strokecolor="#000000">
              <v:path arrowok="t"/>
              <v:stroke dashstyle="solid"/>
            </v:shape>
            <v:shape style="position:absolute;left:2580;top:752;width:426;height:437" coordorigin="2580,752" coordsize="426,437" path="m2580,1189l2607,1095,2635,1005,2663,923,2692,854,2721,800,2782,752,2817,773,2854,826,2892,901,2928,986,2961,1070,2987,1142,3006,1189e" filled="false" stroked="true" strokeweight=".12pt" strokecolor="#000000">
              <v:path arrowok="t"/>
              <v:stroke dashstyle="solid"/>
            </v:shape>
            <v:shape style="position:absolute;left:3006;top:1199;width:426;height:437" coordorigin="3006,1199" coordsize="426,437" path="m3432,1199l3405,1294,3377,1384,3349,1465,3320,1535,3291,1589,3230,1636,3199,1616,3163,1563,3125,1488,3087,1403,3053,1319,3025,1247,3006,1199e" filled="false" stroked="true" strokeweight=".12pt" strokecolor="#000000">
              <v:path arrowok="t"/>
              <v:stroke dashstyle="solid"/>
            </v:shape>
            <v:shape style="position:absolute;left:7094;top:784;width:426;height:436" coordorigin="7094,784" coordsize="426,436" path="m7094,1220l7121,1126,7149,1036,7177,955,7206,886,7235,832,7296,784,7331,805,7368,858,7406,933,7442,1018,7475,1101,7501,1173,7520,1220e" filled="false" stroked="true" strokeweight=".12pt" strokecolor="#000000">
              <v:path arrowok="t"/>
              <v:stroke dashstyle="dot"/>
            </v:shape>
            <v:shape style="position:absolute;left:7520;top:1231;width:426;height:437" coordorigin="7520,1231" coordsize="426,437" path="m7946,1231l7919,1323,7891,1411,7863,1493,7834,1564,7805,1619,7744,1668,7713,1648,7677,1595,7639,1520,7601,1435,7567,1351,7539,1279,7520,1231e" filled="false" stroked="true" strokeweight=".12pt" strokecolor="#000000">
              <v:path arrowok="t"/>
              <v:stroke dashstyle="dot"/>
            </v:shape>
            <v:shape style="position:absolute;left:7094;top:784;width:426;height:436" coordorigin="7094,784" coordsize="426,436" path="m7094,1220l7121,1126,7149,1036,7177,955,7206,886,7235,832,7296,784,7331,805,7368,858,7406,933,7442,1018,7475,1101,7501,1173,7520,1220e" filled="false" stroked="true" strokeweight=".12pt" strokecolor="#000000">
              <v:path arrowok="t"/>
              <v:stroke dashstyle="dot"/>
            </v:shape>
            <v:shape style="position:absolute;left:7520;top:1231;width:426;height:437" coordorigin="7520,1231" coordsize="426,437" path="m7946,1231l7919,1323,7891,1411,7863,1493,7834,1564,7805,1619,7744,1668,7713,1648,7677,1595,7639,1520,7601,1435,7567,1351,7539,1279,7520,1231e" filled="false" stroked="true" strokeweight=".12pt" strokecolor="#000000">
              <v:path arrowok="t"/>
              <v:stroke dashstyle="dot"/>
            </v:shape>
            <v:shape style="position:absolute;left:7946;top:752;width:426;height:437" coordorigin="7946,752" coordsize="426,437" path="m7946,1189l7973,1095,8001,1005,8029,923,8058,854,8087,800,8148,752,8183,773,8220,826,8258,901,8294,986,8327,1070,8353,1142,8372,1189e" filled="false" stroked="true" strokeweight=".12pt" strokecolor="#000000">
              <v:path arrowok="t"/>
              <v:stroke dashstyle="dot"/>
            </v:shape>
            <v:shape style="position:absolute;left:8372;top:1199;width:426;height:437" coordorigin="8372,1199" coordsize="426,437" path="m8798,1199l8771,1294,8743,1384,8715,1465,8686,1535,8657,1589,8596,1636,8565,1616,8529,1563,8491,1488,8453,1403,8419,1319,8391,1247,8372,1199e" filled="false" stroked="true" strokeweight=".12pt" strokecolor="#000000">
              <v:path arrowok="t"/>
              <v:stroke dashstyle="dot"/>
            </v:shape>
            <v:shape style="position:absolute;left:7946;top:752;width:426;height:437" coordorigin="7946,752" coordsize="426,437" path="m7946,1189l7973,1095,8001,1005,8029,923,8058,854,8087,800,8148,752,8183,773,8220,826,8258,901,8294,986,8327,1070,8353,1142,8372,1189e" filled="false" stroked="true" strokeweight=".12pt" strokecolor="#000000">
              <v:path arrowok="t"/>
              <v:stroke dashstyle="dot"/>
            </v:shape>
            <v:shape style="position:absolute;left:8372;top:1199;width:426;height:437" coordorigin="8372,1199" coordsize="426,437" path="m8798,1199l8771,1294,8743,1384,8715,1465,8686,1535,8657,1589,8596,1636,8565,1616,8529,1563,8491,1488,8453,1403,8419,1319,8391,1247,8372,1199e" filled="false" stroked="true" strokeweight=".12pt" strokecolor="#000000">
              <v:path arrowok="t"/>
              <v:stroke dashstyle="dot"/>
            </v:shape>
            <v:line style="position:absolute" from="1813,528" to="1814,1977" stroked="true" strokeweight=".12pt" strokecolor="#000000">
              <v:stroke dashstyle="solid"/>
            </v:line>
            <v:line style="position:absolute" from="1813,496" to="1814,1945" stroked="true" strokeweight=".12pt" strokecolor="#000000">
              <v:stroke dashstyle="solid"/>
            </v:line>
            <v:line style="position:absolute" from="9394,539" to="9395,1988" stroked="true" strokeweight=".12pt" strokecolor="#000000">
              <v:stroke dashstyle="solid"/>
            </v:line>
            <v:line style="position:absolute" from="9394,517" to="9395,1966" stroked="true" strokeweight=".12pt" strokecolor="#000000">
              <v:stroke dashstyle="solid"/>
            </v:line>
            <v:line style="position:absolute" from="9394,1210" to="9395,2137" stroked="true" strokeweight=".12pt" strokecolor="#000000">
              <v:stroke dashstyle="solid"/>
            </v:line>
            <v:shape style="position:absolute;left:9311;top:2108;width:175;height:174" type="#_x0000_t75" stroked="false">
              <v:imagedata r:id="rId97" o:title=""/>
            </v:shape>
            <v:line style="position:absolute" from="2580,613" to="2581,2062" stroked="true" strokeweight=".12pt" strokecolor="#000000">
              <v:stroke dashstyle="solid"/>
            </v:line>
            <v:line style="position:absolute" from="3432,613" to="3433,2062" stroked="true" strokeweight=".12pt" strokecolor="#000000">
              <v:stroke dashstyle="solid"/>
            </v:line>
            <v:line style="position:absolute" from="2026,1977" to="2495,1978" stroked="true" strokeweight=".12pt" strokecolor="#000000">
              <v:stroke dashstyle="solid"/>
            </v:line>
            <v:shape style="position:absolute;left:2465;top:1916;width:122;height:132" type="#_x0000_t75" stroked="false">
              <v:imagedata r:id="rId98" o:title=""/>
            </v:shape>
            <v:line style="position:absolute" from="4028,1977" to="3527,1978" stroked="true" strokeweight=".12pt" strokecolor="#000000">
              <v:stroke dashstyle="solid"/>
            </v:line>
            <v:shape style="position:absolute;left:3445;top:1916;width:121;height:132" type="#_x0000_t75" stroked="false">
              <v:imagedata r:id="rId99" o:title=""/>
            </v:shape>
            <v:line style="position:absolute" from="1973,613" to="9234,614" stroked="true" strokeweight=".12pt" strokecolor="#000000">
              <v:stroke dashstyle="solid"/>
            </v:line>
            <v:shape style="position:absolute;left:1805;top:520;width:207;height:196" type="#_x0000_t75" stroked="false">
              <v:imagedata r:id="rId100" o:title=""/>
            </v:shape>
            <v:shape style="position:absolute;left:9205;top:520;width:196;height:196" type="#_x0000_t75" stroked="false">
              <v:imagedata r:id="rId101" o:title=""/>
            </v:shape>
            <v:shape style="position:absolute;left:3432;top:752;width:425;height:437" coordorigin="3432,752" coordsize="425,437" path="m3432,1189l3459,1095,3487,1005,3515,923,3543,854,3572,800,3634,752,3668,773,3705,826,3743,901,3779,986,3812,1070,3839,1142,3857,1189e" filled="false" stroked="true" strokeweight=".12pt" strokecolor="#000000">
              <v:path arrowok="t"/>
              <v:stroke dashstyle="solid"/>
            </v:shape>
            <v:shape style="position:absolute;left:3857;top:1199;width:426;height:437" coordorigin="3857,1199" coordsize="426,437" path="m4283,1199l4256,1294,4228,1384,4200,1465,4171,1535,4142,1589,4081,1636,4050,1616,4014,1563,3976,1488,3938,1403,3904,1319,3876,1247,3857,1199e" filled="false" stroked="true" strokeweight=".12pt" strokecolor="#000000">
              <v:path arrowok="t"/>
              <v:stroke dashstyle="solid"/>
            </v:shape>
            <v:shape style="position:absolute;left:3432;top:752;width:425;height:437" coordorigin="3432,752" coordsize="425,437" path="m3432,1189l3459,1095,3487,1005,3515,923,3543,854,3572,800,3634,752,3668,773,3705,826,3743,901,3779,986,3812,1070,3839,1142,3857,1189e" filled="false" stroked="true" strokeweight=".12pt" strokecolor="#000000">
              <v:path arrowok="t"/>
              <v:stroke dashstyle="solid"/>
            </v:shape>
            <v:shape style="position:absolute;left:3857;top:1199;width:426;height:437" coordorigin="3857,1199" coordsize="426,437" path="m4283,1199l4256,1294,4228,1384,4200,1465,4171,1535,4142,1589,4081,1636,4050,1616,4014,1563,3976,1488,3938,1403,3904,1319,3876,1247,3857,1199e" filled="false" stroked="true" strokeweight=".12pt" strokecolor="#000000">
              <v:path arrowok="t"/>
              <v:stroke dashstyle="solid"/>
            </v:shape>
            <v:shape style="position:absolute;left:4283;top:752;width:426;height:437" coordorigin="4283,752" coordsize="426,437" path="m4283,1189l4310,1095,4338,1005,4366,923,4395,854,4424,800,4485,752,4520,773,4557,826,4595,901,4631,986,4664,1070,4690,1142,4709,1189e" filled="false" stroked="true" strokeweight=".12pt" strokecolor="#000000">
              <v:path arrowok="t"/>
              <v:stroke dashstyle="solid"/>
            </v:shape>
            <v:shape style="position:absolute;left:4709;top:1199;width:426;height:437" coordorigin="4709,1199" coordsize="426,437" path="m5135,1199l5108,1294,5080,1384,5052,1465,5023,1535,4994,1589,4933,1636,4902,1616,4866,1563,4828,1488,4790,1403,4756,1319,4728,1247,4709,1199e" filled="false" stroked="true" strokeweight=".12pt" strokecolor="#000000">
              <v:path arrowok="t"/>
              <v:stroke dashstyle="solid"/>
            </v:shape>
            <v:shape style="position:absolute;left:4283;top:752;width:426;height:437" coordorigin="4283,752" coordsize="426,437" path="m4283,1189l4310,1095,4338,1005,4366,923,4395,854,4424,800,4485,752,4520,773,4557,826,4595,901,4631,986,4664,1070,4690,1142,4709,1189e" filled="false" stroked="true" strokeweight=".12pt" strokecolor="#000000">
              <v:path arrowok="t"/>
              <v:stroke dashstyle="solid"/>
            </v:shape>
            <v:shape style="position:absolute;left:4709;top:1199;width:426;height:437" coordorigin="4709,1199" coordsize="426,437" path="m5135,1199l5108,1294,5080,1384,5052,1465,5023,1535,4994,1589,4933,1636,4902,1616,4866,1563,4828,1488,4790,1403,4756,1319,4728,1247,4709,1199e" filled="false" stroked="true" strokeweight=".12pt" strokecolor="#000000">
              <v:path arrowok="t"/>
              <v:stroke dashstyle="solid"/>
            </v:shape>
            <v:shape style="position:absolute;left:8798;top:752;width:426;height:437" coordorigin="8798,752" coordsize="426,437" path="m8798,1189l8825,1095,8853,1005,8881,923,8910,854,8939,800,9000,752,9035,773,9072,826,9110,901,9146,986,9179,1070,9205,1142,9224,1189e" filled="false" stroked="true" strokeweight=".12pt" strokecolor="#000000">
              <v:path arrowok="t"/>
              <v:stroke dashstyle="solid"/>
            </v:shape>
            <v:shape style="position:absolute;left:9224;top:1199;width:425;height:437" coordorigin="9224,1199" coordsize="425,437" path="m9649,1199l9622,1294,9594,1384,9566,1465,9538,1535,9509,1589,9447,1636,9416,1616,9381,1563,9343,1488,9305,1403,9271,1319,9243,1247,9224,1199e" filled="false" stroked="true" strokeweight=".12pt" strokecolor="#000000">
              <v:path arrowok="t"/>
              <v:stroke dashstyle="solid"/>
            </v:shape>
            <v:shape style="position:absolute;left:8798;top:752;width:426;height:437" coordorigin="8798,752" coordsize="426,437" path="m8798,1189l8825,1095,8853,1005,8881,923,8910,854,8939,800,9000,752,9035,773,9072,826,9110,901,9146,986,9179,1070,9205,1142,9224,1189e" filled="false" stroked="true" strokeweight=".12pt" strokecolor="#000000">
              <v:path arrowok="t"/>
              <v:stroke dashstyle="solid"/>
            </v:shape>
            <v:shape style="position:absolute;left:9224;top:1199;width:425;height:437" coordorigin="9224,1199" coordsize="425,437" path="m9649,1199l9622,1294,9594,1384,9566,1465,9538,1535,9509,1589,9447,1636,9416,1616,9381,1563,9343,1488,9305,1403,9271,1319,9243,1247,9224,1199e" filled="false" stroked="true" strokeweight=".12pt" strokecolor="#000000">
              <v:path arrowok="t"/>
              <v:stroke dashstyle="solid"/>
            </v:shape>
            <v:shape style="position:absolute;left:2685;top:2117;width:530;height:223" type="#_x0000_t202" filled="false" stroked="false">
              <v:textbox inset="0,0,0,0">
                <w:txbxContent>
                  <w:p>
                    <w:pPr>
                      <w:spacing w:line="223" w:lineRule="exact" w:before="0"/>
                      <w:ind w:left="0" w:right="0" w:firstLine="0"/>
                      <w:jc w:val="left"/>
                      <w:rPr>
                        <w:b/>
                        <w:sz w:val="20"/>
                      </w:rPr>
                    </w:pPr>
                    <w:r>
                      <w:rPr>
                        <w:b/>
                        <w:sz w:val="20"/>
                      </w:rPr>
                      <w:t>20ms</w:t>
                    </w:r>
                  </w:p>
                </w:txbxContent>
              </v:textbox>
              <w10:wrap type="none"/>
            </v:shape>
            <w10:wrap type="topAndBottom"/>
          </v:group>
        </w:pict>
      </w:r>
      <w:r>
        <w:rPr>
          <w:b/>
          <w:sz w:val="20"/>
        </w:rPr>
        <w:t>833ms</w:t>
      </w:r>
    </w:p>
    <w:p>
      <w:pPr>
        <w:spacing w:before="82"/>
        <w:ind w:left="7862" w:right="1100" w:firstLine="0"/>
        <w:jc w:val="center"/>
        <w:rPr>
          <w:b/>
          <w:sz w:val="20"/>
        </w:rPr>
      </w:pPr>
      <w:r>
        <w:rPr>
          <w:b/>
          <w:sz w:val="20"/>
        </w:rPr>
        <w:t>XFER_BUSY</w:t>
      </w:r>
    </w:p>
    <w:p>
      <w:pPr>
        <w:spacing w:before="15"/>
        <w:ind w:left="6771" w:right="0" w:firstLine="0"/>
        <w:jc w:val="center"/>
        <w:rPr>
          <w:b/>
          <w:sz w:val="20"/>
        </w:rPr>
      </w:pPr>
      <w:r>
        <w:rPr>
          <w:b/>
          <w:sz w:val="20"/>
        </w:rPr>
        <w:t>Interrupt to MPU</w:t>
      </w:r>
    </w:p>
    <w:p>
      <w:pPr>
        <w:pStyle w:val="BodyText"/>
        <w:spacing w:before="7"/>
        <w:rPr>
          <w:b/>
          <w:sz w:val="13"/>
        </w:rPr>
      </w:pPr>
    </w:p>
    <w:p>
      <w:pPr>
        <w:spacing w:before="93"/>
        <w:ind w:left="1316" w:right="1278" w:firstLine="0"/>
        <w:jc w:val="center"/>
        <w:rPr>
          <w:b/>
          <w:sz w:val="20"/>
        </w:rPr>
      </w:pPr>
      <w:bookmarkStart w:name="_bookmark39" w:id="90"/>
      <w:bookmarkEnd w:id="90"/>
      <w:r>
        <w:rPr/>
      </w:r>
      <w:r>
        <w:rPr>
          <w:b/>
          <w:sz w:val="20"/>
        </w:rPr>
        <w:t>Figure 11: Accumulation Interval</w:t>
      </w:r>
    </w:p>
    <w:p>
      <w:pPr>
        <w:pStyle w:val="BodyText"/>
        <w:spacing w:before="1"/>
        <w:rPr>
          <w:b/>
        </w:rPr>
      </w:pPr>
    </w:p>
    <w:p>
      <w:pPr>
        <w:spacing w:line="231" w:lineRule="exact" w:before="0"/>
        <w:ind w:left="619" w:right="0" w:firstLine="0"/>
        <w:jc w:val="left"/>
        <w:rPr>
          <w:rFonts w:ascii="Times New Roman"/>
          <w:i/>
          <w:sz w:val="20"/>
        </w:rPr>
      </w:pPr>
      <w:hyperlink w:history="true" w:anchor="_bookmark39">
        <w:r>
          <w:rPr>
            <w:color w:val="0000FF"/>
            <w:sz w:val="20"/>
          </w:rPr>
          <w:t>Figure 11 </w:t>
        </w:r>
      </w:hyperlink>
      <w:r>
        <w:rPr>
          <w:sz w:val="20"/>
        </w:rPr>
        <w:t>shows the accumulation interval resulting from </w:t>
      </w:r>
      <w:r>
        <w:rPr>
          <w:rFonts w:ascii="Times New Roman"/>
          <w:i/>
          <w:sz w:val="20"/>
        </w:rPr>
        <w:t>SUM_SAMPS[12:0] </w:t>
      </w:r>
      <w:r>
        <w:rPr>
          <w:sz w:val="20"/>
        </w:rPr>
        <w:t>= 1819 (I/O RAM </w:t>
      </w:r>
      <w:r>
        <w:rPr>
          <w:rFonts w:ascii="Times New Roman"/>
          <w:i/>
          <w:sz w:val="20"/>
        </w:rPr>
        <w:t>0x2107[4:0]</w:t>
      </w:r>
    </w:p>
    <w:p>
      <w:pPr>
        <w:pStyle w:val="BodyText"/>
        <w:ind w:left="619" w:right="693"/>
      </w:pPr>
      <w:r>
        <w:rPr/>
        <w:t>and </w:t>
      </w:r>
      <w:r>
        <w:rPr>
          <w:rFonts w:ascii="Times New Roman" w:hAnsi="Times New Roman"/>
          <w:i/>
        </w:rPr>
        <w:t>0x2108[7:0]</w:t>
      </w:r>
      <w:r>
        <w:rPr/>
        <w:t>), consisting of 1819 samples of 457.8 µs each, followed by the XFER_BUSY interrupt. The sampling in this example is applied to a 50 Hz signal. There is no correlation between the line signal frequency and the choice of </w:t>
      </w:r>
      <w:r>
        <w:rPr>
          <w:rFonts w:ascii="Times New Roman" w:hAnsi="Times New Roman"/>
          <w:i/>
        </w:rPr>
        <w:t>SUM_SAMPS[12:0]</w:t>
      </w:r>
      <w:r>
        <w:rPr/>
        <w:t>. Furthermore, sampling does not have to start when the line voltage crosses the zero line, and the length of the accumulation interval need not be an integer multiple of the signal cycles.</w:t>
      </w:r>
    </w:p>
    <w:p>
      <w:pPr>
        <w:spacing w:after="0"/>
        <w:sectPr>
          <w:pgSz w:w="12240" w:h="15840"/>
          <w:pgMar w:header="727" w:footer="819" w:top="960" w:bottom="1000" w:left="820" w:right="860"/>
        </w:sectPr>
      </w:pPr>
    </w:p>
    <w:p>
      <w:pPr>
        <w:pStyle w:val="BodyText"/>
        <w:spacing w:before="7"/>
        <w:rPr>
          <w:sz w:val="16"/>
        </w:rPr>
      </w:pPr>
    </w:p>
    <w:p>
      <w:pPr>
        <w:pStyle w:val="ListParagraph"/>
        <w:numPr>
          <w:ilvl w:val="1"/>
          <w:numId w:val="7"/>
        </w:numPr>
        <w:tabs>
          <w:tab w:pos="1339" w:val="left" w:leader="none"/>
          <w:tab w:pos="1340" w:val="left" w:leader="none"/>
        </w:tabs>
        <w:spacing w:line="240" w:lineRule="auto" w:before="92" w:after="0"/>
        <w:ind w:left="1340" w:right="0" w:hanging="720"/>
        <w:jc w:val="left"/>
        <w:rPr>
          <w:b/>
          <w:sz w:val="24"/>
        </w:rPr>
      </w:pPr>
      <w:bookmarkStart w:name="2.4 80515 MPU Core" w:id="91"/>
      <w:bookmarkEnd w:id="91"/>
      <w:r>
        <w:rPr/>
      </w:r>
      <w:bookmarkStart w:name="_bookmark40" w:id="92"/>
      <w:bookmarkEnd w:id="92"/>
      <w:r>
        <w:rPr/>
      </w:r>
      <w:bookmarkStart w:name="_bookmark40" w:id="93"/>
      <w:bookmarkEnd w:id="93"/>
      <w:r>
        <w:rPr>
          <w:b/>
          <w:sz w:val="24"/>
        </w:rPr>
        <w:t>80</w:t>
      </w:r>
      <w:r>
        <w:rPr>
          <w:b/>
          <w:sz w:val="24"/>
        </w:rPr>
        <w:t>515 MPU Core</w:t>
      </w:r>
    </w:p>
    <w:p>
      <w:pPr>
        <w:pStyle w:val="BodyText"/>
        <w:spacing w:before="122"/>
        <w:ind w:left="619" w:right="569"/>
        <w:rPr>
          <w:i/>
        </w:rPr>
      </w:pPr>
      <w:r>
        <w:rPr>
          <w:spacing w:val="-3"/>
        </w:rPr>
        <w:t>The </w:t>
      </w:r>
      <w:r>
        <w:rPr>
          <w:spacing w:val="-4"/>
        </w:rPr>
        <w:t>71M6543 include </w:t>
      </w:r>
      <w:r>
        <w:rPr/>
        <w:t>an </w:t>
      </w:r>
      <w:r>
        <w:rPr>
          <w:spacing w:val="-3"/>
        </w:rPr>
        <w:t>80515 MPU (8-bit, </w:t>
      </w:r>
      <w:r>
        <w:rPr>
          <w:spacing w:val="-5"/>
        </w:rPr>
        <w:t>8051-compatible) </w:t>
      </w:r>
      <w:r>
        <w:rPr>
          <w:spacing w:val="-3"/>
        </w:rPr>
        <w:t>that </w:t>
      </w:r>
      <w:r>
        <w:rPr>
          <w:spacing w:val="-4"/>
        </w:rPr>
        <w:t>processes </w:t>
      </w:r>
      <w:r>
        <w:rPr>
          <w:spacing w:val="-3"/>
        </w:rPr>
        <w:t>most </w:t>
      </w:r>
      <w:r>
        <w:rPr>
          <w:spacing w:val="-4"/>
        </w:rPr>
        <w:t>instructions </w:t>
      </w:r>
      <w:r>
        <w:rPr/>
        <w:t>in </w:t>
      </w:r>
      <w:r>
        <w:rPr>
          <w:spacing w:val="-3"/>
        </w:rPr>
        <w:t>one </w:t>
      </w:r>
      <w:r>
        <w:rPr>
          <w:spacing w:val="-4"/>
        </w:rPr>
        <w:t>clock cycle. Using </w:t>
      </w:r>
      <w:r>
        <w:rPr/>
        <w:t>a </w:t>
      </w:r>
      <w:r>
        <w:rPr>
          <w:spacing w:val="-3"/>
        </w:rPr>
        <w:t>4.9 </w:t>
      </w:r>
      <w:r>
        <w:rPr/>
        <w:t>MHz </w:t>
      </w:r>
      <w:r>
        <w:rPr>
          <w:spacing w:val="-4"/>
        </w:rPr>
        <w:t>clock results </w:t>
      </w:r>
      <w:r>
        <w:rPr>
          <w:spacing w:val="-3"/>
        </w:rPr>
        <w:t>in </w:t>
      </w:r>
      <w:r>
        <w:rPr/>
        <w:t>a </w:t>
      </w:r>
      <w:r>
        <w:rPr>
          <w:spacing w:val="-5"/>
        </w:rPr>
        <w:t>processing </w:t>
      </w:r>
      <w:r>
        <w:rPr>
          <w:spacing w:val="-4"/>
        </w:rPr>
        <w:t>throughput </w:t>
      </w:r>
      <w:r>
        <w:rPr>
          <w:spacing w:val="-3"/>
        </w:rPr>
        <w:t>of 4.9 </w:t>
      </w:r>
      <w:r>
        <w:rPr>
          <w:spacing w:val="-4"/>
        </w:rPr>
        <w:t>MIPS. </w:t>
      </w:r>
      <w:r>
        <w:rPr>
          <w:spacing w:val="-3"/>
        </w:rPr>
        <w:t>The 80515 </w:t>
      </w:r>
      <w:r>
        <w:rPr>
          <w:spacing w:val="-4"/>
        </w:rPr>
        <w:t>architecture eliminates redundant bus states </w:t>
      </w:r>
      <w:r>
        <w:rPr/>
        <w:t>and </w:t>
      </w:r>
      <w:r>
        <w:rPr>
          <w:spacing w:val="-4"/>
        </w:rPr>
        <w:t>implements parallel execution </w:t>
      </w:r>
      <w:r>
        <w:rPr>
          <w:spacing w:val="-3"/>
        </w:rPr>
        <w:t>of fetch </w:t>
      </w:r>
      <w:r>
        <w:rPr/>
        <w:t>and </w:t>
      </w:r>
      <w:r>
        <w:rPr>
          <w:spacing w:val="-4"/>
        </w:rPr>
        <w:t>execution phases. Normally, </w:t>
      </w:r>
      <w:r>
        <w:rPr/>
        <w:t>a </w:t>
      </w:r>
      <w:r>
        <w:rPr>
          <w:spacing w:val="-4"/>
        </w:rPr>
        <w:t>machine cycle </w:t>
      </w:r>
      <w:r>
        <w:rPr>
          <w:spacing w:val="-3"/>
        </w:rPr>
        <w:t>is </w:t>
      </w:r>
      <w:r>
        <w:rPr>
          <w:spacing w:val="-4"/>
        </w:rPr>
        <w:t>aligned </w:t>
      </w:r>
      <w:r>
        <w:rPr>
          <w:spacing w:val="-3"/>
        </w:rPr>
        <w:t>with </w:t>
      </w:r>
      <w:r>
        <w:rPr/>
        <w:t>a </w:t>
      </w:r>
      <w:r>
        <w:rPr>
          <w:spacing w:val="-3"/>
        </w:rPr>
        <w:t>memory fetch, </w:t>
      </w:r>
      <w:r>
        <w:rPr>
          <w:spacing w:val="-4"/>
        </w:rPr>
        <w:t>therefore, </w:t>
      </w:r>
      <w:r>
        <w:rPr>
          <w:spacing w:val="-3"/>
        </w:rPr>
        <w:t>most of the </w:t>
      </w:r>
      <w:r>
        <w:rPr>
          <w:spacing w:val="-4"/>
        </w:rPr>
        <w:t>1-byte instructions </w:t>
      </w:r>
      <w:r>
        <w:rPr>
          <w:spacing w:val="-3"/>
        </w:rPr>
        <w:t>are </w:t>
      </w:r>
      <w:r>
        <w:rPr>
          <w:spacing w:val="-4"/>
        </w:rPr>
        <w:t>performed </w:t>
      </w:r>
      <w:r>
        <w:rPr>
          <w:spacing w:val="-3"/>
        </w:rPr>
        <w:t>in </w:t>
      </w:r>
      <w:r>
        <w:rPr/>
        <w:t>a </w:t>
      </w:r>
      <w:r>
        <w:rPr>
          <w:spacing w:val="-4"/>
        </w:rPr>
        <w:t>single </w:t>
      </w:r>
      <w:r>
        <w:rPr>
          <w:spacing w:val="-3"/>
        </w:rPr>
        <w:t>machine cycle (MPU </w:t>
      </w:r>
      <w:r>
        <w:rPr>
          <w:spacing w:val="-4"/>
        </w:rPr>
        <w:t>clock cycle). This leads </w:t>
      </w:r>
      <w:r>
        <w:rPr>
          <w:spacing w:val="-3"/>
        </w:rPr>
        <w:t>to an 8x </w:t>
      </w:r>
      <w:r>
        <w:rPr>
          <w:spacing w:val="-4"/>
        </w:rPr>
        <w:t>average performance improvement </w:t>
      </w:r>
      <w:r>
        <w:rPr>
          <w:spacing w:val="-2"/>
        </w:rPr>
        <w:t>(in </w:t>
      </w:r>
      <w:r>
        <w:rPr>
          <w:spacing w:val="-3"/>
        </w:rPr>
        <w:t>terms </w:t>
      </w:r>
      <w:r>
        <w:rPr>
          <w:spacing w:val="-6"/>
        </w:rPr>
        <w:t>of </w:t>
      </w:r>
      <w:r>
        <w:rPr>
          <w:spacing w:val="-4"/>
        </w:rPr>
        <w:t>MIPS) over </w:t>
      </w:r>
      <w:r>
        <w:rPr>
          <w:spacing w:val="-3"/>
        </w:rPr>
        <w:t>the </w:t>
      </w:r>
      <w:r>
        <w:rPr>
          <w:spacing w:val="-4"/>
        </w:rPr>
        <w:t>Intel</w:t>
      </w:r>
      <w:r>
        <w:rPr>
          <w:rFonts w:ascii="Symbol" w:hAnsi="Symbol"/>
          <w:spacing w:val="-4"/>
          <w:vertAlign w:val="superscript"/>
        </w:rPr>
        <w:t></w:t>
      </w:r>
      <w:r>
        <w:rPr>
          <w:rFonts w:ascii="Times New Roman" w:hAnsi="Times New Roman"/>
          <w:spacing w:val="-4"/>
          <w:vertAlign w:val="baseline"/>
        </w:rPr>
        <w:t> </w:t>
      </w:r>
      <w:r>
        <w:rPr>
          <w:spacing w:val="-3"/>
          <w:vertAlign w:val="baseline"/>
        </w:rPr>
        <w:t>8051 </w:t>
      </w:r>
      <w:r>
        <w:rPr>
          <w:spacing w:val="-4"/>
          <w:vertAlign w:val="baseline"/>
        </w:rPr>
        <w:t>device running </w:t>
      </w:r>
      <w:r>
        <w:rPr>
          <w:vertAlign w:val="baseline"/>
        </w:rPr>
        <w:t>at </w:t>
      </w:r>
      <w:r>
        <w:rPr>
          <w:spacing w:val="-3"/>
          <w:vertAlign w:val="baseline"/>
        </w:rPr>
        <w:t>the same </w:t>
      </w:r>
      <w:r>
        <w:rPr>
          <w:spacing w:val="-4"/>
          <w:vertAlign w:val="baseline"/>
        </w:rPr>
        <w:t>clock frequency</w:t>
      </w:r>
      <w:r>
        <w:rPr>
          <w:i/>
          <w:spacing w:val="-4"/>
          <w:vertAlign w:val="baseline"/>
        </w:rPr>
        <w:t>.</w:t>
      </w:r>
    </w:p>
    <w:p>
      <w:pPr>
        <w:pStyle w:val="BodyText"/>
        <w:spacing w:before="119"/>
        <w:ind w:left="619" w:right="501"/>
      </w:pPr>
      <w:hyperlink w:history="true" w:anchor="_bookmark41">
        <w:r>
          <w:rPr>
            <w:color w:val="0000FF"/>
          </w:rPr>
          <w:t>Table 8 </w:t>
        </w:r>
      </w:hyperlink>
      <w:r>
        <w:rPr/>
        <w:t>shows the CKMPU frequency as a function of the MCK clock (19.6608 MHz) divided by the MPU clock divider </w:t>
      </w:r>
      <w:r>
        <w:rPr>
          <w:rFonts w:ascii="Times New Roman"/>
          <w:i/>
        </w:rPr>
        <w:t>MPU_DIV[2:0] (I/O RAM 0x2200[2:0])</w:t>
      </w:r>
      <w:r>
        <w:rPr/>
        <w:t>. Actual processor clocking speed can be adjusted to the total processing demand of the application (metering calculations, AMR management, memory management, LCD driver management and I/O management) using </w:t>
      </w:r>
      <w:r>
        <w:rPr>
          <w:rFonts w:ascii="Times New Roman"/>
          <w:i/>
        </w:rPr>
        <w:t>MPU_DIV[2:0]</w:t>
      </w:r>
      <w:r>
        <w:rPr/>
        <w:t>, as shown in </w:t>
      </w:r>
      <w:hyperlink w:history="true" w:anchor="_bookmark41">
        <w:r>
          <w:rPr>
            <w:color w:val="0000FF"/>
          </w:rPr>
          <w:t>Table 8</w:t>
        </w:r>
        <w:r>
          <w:rPr/>
          <w:t>.</w:t>
        </w:r>
      </w:hyperlink>
    </w:p>
    <w:p>
      <w:pPr>
        <w:pStyle w:val="Heading1"/>
        <w:spacing w:before="118"/>
        <w:ind w:left="1315" w:right="1278"/>
      </w:pPr>
      <w:bookmarkStart w:name="_bookmark41" w:id="94"/>
      <w:bookmarkEnd w:id="94"/>
      <w:r>
        <w:rPr>
          <w:b w:val="0"/>
        </w:rPr>
      </w:r>
      <w:r>
        <w:rPr/>
        <w:t>Table 8: CKMPU Clock Frequencies</w:t>
      </w:r>
    </w:p>
    <w:p>
      <w:pPr>
        <w:pStyle w:val="BodyText"/>
        <w:spacing w:before="8"/>
        <w:rPr>
          <w:b/>
          <w:sz w:val="5"/>
        </w:rPr>
      </w:pPr>
    </w:p>
    <w:tbl>
      <w:tblPr>
        <w:tblW w:w="0" w:type="auto"/>
        <w:jc w:val="left"/>
        <w:tblInd w:w="3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0"/>
        <w:gridCol w:w="2429"/>
      </w:tblGrid>
      <w:tr>
        <w:trPr>
          <w:trHeight w:val="289" w:hRule="atLeast"/>
        </w:trPr>
        <w:tc>
          <w:tcPr>
            <w:tcW w:w="1800" w:type="dxa"/>
            <w:tcBorders>
              <w:bottom w:val="double" w:sz="1" w:space="0" w:color="000000"/>
              <w:right w:val="single" w:sz="6" w:space="0" w:color="000000"/>
            </w:tcBorders>
          </w:tcPr>
          <w:p>
            <w:pPr>
              <w:pStyle w:val="TableParagraph"/>
              <w:spacing w:before="27"/>
              <w:ind w:left="202" w:right="194"/>
              <w:jc w:val="center"/>
              <w:rPr>
                <w:rFonts w:ascii="Times New Roman"/>
                <w:b/>
                <w:i/>
                <w:sz w:val="20"/>
              </w:rPr>
            </w:pPr>
            <w:r>
              <w:rPr>
                <w:rFonts w:ascii="Times New Roman"/>
                <w:b/>
                <w:i/>
                <w:sz w:val="20"/>
              </w:rPr>
              <w:t>MPU_DIV [2:0]</w:t>
            </w:r>
          </w:p>
        </w:tc>
        <w:tc>
          <w:tcPr>
            <w:tcW w:w="2429" w:type="dxa"/>
            <w:tcBorders>
              <w:left w:val="single" w:sz="6" w:space="0" w:color="000000"/>
              <w:bottom w:val="double" w:sz="1" w:space="0" w:color="000000"/>
            </w:tcBorders>
          </w:tcPr>
          <w:p>
            <w:pPr>
              <w:pStyle w:val="TableParagraph"/>
              <w:spacing w:before="23"/>
              <w:ind w:left="291" w:right="285"/>
              <w:jc w:val="center"/>
              <w:rPr>
                <w:b/>
                <w:sz w:val="20"/>
              </w:rPr>
            </w:pPr>
            <w:r>
              <w:rPr>
                <w:b/>
                <w:sz w:val="20"/>
              </w:rPr>
              <w:t>CKMPU Frequency</w:t>
            </w:r>
          </w:p>
        </w:tc>
      </w:tr>
      <w:tr>
        <w:trPr>
          <w:trHeight w:val="260" w:hRule="atLeast"/>
        </w:trPr>
        <w:tc>
          <w:tcPr>
            <w:tcW w:w="1800" w:type="dxa"/>
            <w:tcBorders>
              <w:top w:val="double" w:sz="1" w:space="0" w:color="000000"/>
              <w:bottom w:val="single" w:sz="6" w:space="0" w:color="000000"/>
              <w:right w:val="single" w:sz="6" w:space="0" w:color="000000"/>
            </w:tcBorders>
          </w:tcPr>
          <w:p>
            <w:pPr>
              <w:pStyle w:val="TableParagraph"/>
              <w:spacing w:line="222" w:lineRule="exact" w:before="18"/>
              <w:ind w:left="201" w:right="194"/>
              <w:jc w:val="center"/>
              <w:rPr>
                <w:sz w:val="20"/>
              </w:rPr>
            </w:pPr>
            <w:r>
              <w:rPr>
                <w:sz w:val="20"/>
              </w:rPr>
              <w:t>000</w:t>
            </w:r>
          </w:p>
        </w:tc>
        <w:tc>
          <w:tcPr>
            <w:tcW w:w="2429" w:type="dxa"/>
            <w:tcBorders>
              <w:top w:val="double" w:sz="1" w:space="0" w:color="000000"/>
              <w:left w:val="single" w:sz="6" w:space="0" w:color="000000"/>
              <w:bottom w:val="single" w:sz="6" w:space="0" w:color="000000"/>
            </w:tcBorders>
          </w:tcPr>
          <w:p>
            <w:pPr>
              <w:pStyle w:val="TableParagraph"/>
              <w:spacing w:line="222" w:lineRule="exact" w:before="18"/>
              <w:ind w:left="290" w:right="285"/>
              <w:jc w:val="center"/>
              <w:rPr>
                <w:sz w:val="20"/>
              </w:rPr>
            </w:pPr>
            <w:r>
              <w:rPr>
                <w:sz w:val="20"/>
              </w:rPr>
              <w:t>4.9152 MHz</w:t>
            </w:r>
          </w:p>
        </w:tc>
      </w:tr>
      <w:tr>
        <w:trPr>
          <w:trHeight w:val="258" w:hRule="atLeast"/>
        </w:trPr>
        <w:tc>
          <w:tcPr>
            <w:tcW w:w="1800" w:type="dxa"/>
            <w:tcBorders>
              <w:top w:val="single" w:sz="6" w:space="0" w:color="000000"/>
              <w:bottom w:val="single" w:sz="6" w:space="0" w:color="000000"/>
              <w:right w:val="single" w:sz="6" w:space="0" w:color="000000"/>
            </w:tcBorders>
          </w:tcPr>
          <w:p>
            <w:pPr>
              <w:pStyle w:val="TableParagraph"/>
              <w:spacing w:line="220" w:lineRule="exact" w:before="18"/>
              <w:ind w:left="201" w:right="194"/>
              <w:jc w:val="center"/>
              <w:rPr>
                <w:sz w:val="20"/>
              </w:rPr>
            </w:pPr>
            <w:r>
              <w:rPr>
                <w:sz w:val="20"/>
              </w:rPr>
              <w:t>001</w:t>
            </w:r>
          </w:p>
        </w:tc>
        <w:tc>
          <w:tcPr>
            <w:tcW w:w="2429" w:type="dxa"/>
            <w:tcBorders>
              <w:top w:val="single" w:sz="6" w:space="0" w:color="000000"/>
              <w:left w:val="single" w:sz="6" w:space="0" w:color="000000"/>
              <w:bottom w:val="single" w:sz="6" w:space="0" w:color="000000"/>
            </w:tcBorders>
          </w:tcPr>
          <w:p>
            <w:pPr>
              <w:pStyle w:val="TableParagraph"/>
              <w:spacing w:line="220" w:lineRule="exact" w:before="18"/>
              <w:ind w:left="290" w:right="285"/>
              <w:jc w:val="center"/>
              <w:rPr>
                <w:sz w:val="20"/>
              </w:rPr>
            </w:pPr>
            <w:r>
              <w:rPr>
                <w:sz w:val="20"/>
              </w:rPr>
              <w:t>2.4576 MHz</w:t>
            </w:r>
          </w:p>
        </w:tc>
      </w:tr>
      <w:tr>
        <w:trPr>
          <w:trHeight w:val="261" w:hRule="atLeast"/>
        </w:trPr>
        <w:tc>
          <w:tcPr>
            <w:tcW w:w="1800" w:type="dxa"/>
            <w:tcBorders>
              <w:top w:val="single" w:sz="6" w:space="0" w:color="000000"/>
              <w:bottom w:val="single" w:sz="6" w:space="0" w:color="000000"/>
              <w:right w:val="single" w:sz="6" w:space="0" w:color="000000"/>
            </w:tcBorders>
          </w:tcPr>
          <w:p>
            <w:pPr>
              <w:pStyle w:val="TableParagraph"/>
              <w:spacing w:line="220" w:lineRule="exact" w:before="21"/>
              <w:ind w:left="201" w:right="194"/>
              <w:jc w:val="center"/>
              <w:rPr>
                <w:sz w:val="20"/>
              </w:rPr>
            </w:pPr>
            <w:r>
              <w:rPr>
                <w:sz w:val="20"/>
              </w:rPr>
              <w:t>010</w:t>
            </w:r>
          </w:p>
        </w:tc>
        <w:tc>
          <w:tcPr>
            <w:tcW w:w="2429" w:type="dxa"/>
            <w:tcBorders>
              <w:top w:val="single" w:sz="6" w:space="0" w:color="000000"/>
              <w:left w:val="single" w:sz="6" w:space="0" w:color="000000"/>
              <w:bottom w:val="single" w:sz="6" w:space="0" w:color="000000"/>
            </w:tcBorders>
          </w:tcPr>
          <w:p>
            <w:pPr>
              <w:pStyle w:val="TableParagraph"/>
              <w:spacing w:line="220" w:lineRule="exact" w:before="21"/>
              <w:ind w:left="290" w:right="285"/>
              <w:jc w:val="center"/>
              <w:rPr>
                <w:sz w:val="20"/>
              </w:rPr>
            </w:pPr>
            <w:r>
              <w:rPr>
                <w:sz w:val="20"/>
              </w:rPr>
              <w:t>1.2288 MHz</w:t>
            </w:r>
          </w:p>
        </w:tc>
      </w:tr>
      <w:tr>
        <w:trPr>
          <w:trHeight w:val="261" w:hRule="atLeast"/>
        </w:trPr>
        <w:tc>
          <w:tcPr>
            <w:tcW w:w="1800" w:type="dxa"/>
            <w:tcBorders>
              <w:top w:val="single" w:sz="6" w:space="0" w:color="000000"/>
              <w:bottom w:val="single" w:sz="6" w:space="0" w:color="000000"/>
              <w:right w:val="single" w:sz="6" w:space="0" w:color="000000"/>
            </w:tcBorders>
          </w:tcPr>
          <w:p>
            <w:pPr>
              <w:pStyle w:val="TableParagraph"/>
              <w:spacing w:line="222" w:lineRule="exact" w:before="18"/>
              <w:ind w:left="201" w:right="194"/>
              <w:jc w:val="center"/>
              <w:rPr>
                <w:sz w:val="20"/>
              </w:rPr>
            </w:pPr>
            <w:r>
              <w:rPr>
                <w:sz w:val="20"/>
              </w:rPr>
              <w:t>011</w:t>
            </w:r>
          </w:p>
        </w:tc>
        <w:tc>
          <w:tcPr>
            <w:tcW w:w="2429" w:type="dxa"/>
            <w:tcBorders>
              <w:top w:val="single" w:sz="6" w:space="0" w:color="000000"/>
              <w:left w:val="single" w:sz="6" w:space="0" w:color="000000"/>
              <w:bottom w:val="single" w:sz="6" w:space="0" w:color="000000"/>
            </w:tcBorders>
          </w:tcPr>
          <w:p>
            <w:pPr>
              <w:pStyle w:val="TableParagraph"/>
              <w:spacing w:line="222" w:lineRule="exact" w:before="18"/>
              <w:ind w:left="760"/>
              <w:rPr>
                <w:sz w:val="20"/>
              </w:rPr>
            </w:pPr>
            <w:r>
              <w:rPr>
                <w:sz w:val="20"/>
              </w:rPr>
              <w:t>614.4 kHz</w:t>
            </w:r>
          </w:p>
        </w:tc>
      </w:tr>
      <w:tr>
        <w:trPr>
          <w:trHeight w:val="258" w:hRule="atLeast"/>
        </w:trPr>
        <w:tc>
          <w:tcPr>
            <w:tcW w:w="1800" w:type="dxa"/>
            <w:tcBorders>
              <w:top w:val="single" w:sz="6" w:space="0" w:color="000000"/>
              <w:bottom w:val="single" w:sz="6" w:space="0" w:color="000000"/>
              <w:right w:val="single" w:sz="6" w:space="0" w:color="000000"/>
            </w:tcBorders>
          </w:tcPr>
          <w:p>
            <w:pPr>
              <w:pStyle w:val="TableParagraph"/>
              <w:spacing w:line="220" w:lineRule="exact" w:before="18"/>
              <w:ind w:left="201" w:right="194"/>
              <w:jc w:val="center"/>
              <w:rPr>
                <w:sz w:val="20"/>
              </w:rPr>
            </w:pPr>
            <w:r>
              <w:rPr>
                <w:sz w:val="20"/>
              </w:rPr>
              <w:t>100</w:t>
            </w:r>
          </w:p>
        </w:tc>
        <w:tc>
          <w:tcPr>
            <w:tcW w:w="2429" w:type="dxa"/>
            <w:vMerge w:val="restart"/>
            <w:tcBorders>
              <w:top w:val="single" w:sz="6" w:space="0" w:color="000000"/>
              <w:left w:val="single" w:sz="6" w:space="0" w:color="000000"/>
            </w:tcBorders>
          </w:tcPr>
          <w:p>
            <w:pPr>
              <w:pStyle w:val="TableParagraph"/>
              <w:rPr>
                <w:b/>
                <w:sz w:val="22"/>
              </w:rPr>
            </w:pPr>
          </w:p>
          <w:p>
            <w:pPr>
              <w:pStyle w:val="TableParagraph"/>
              <w:spacing w:before="178"/>
              <w:ind w:left="760"/>
              <w:rPr>
                <w:sz w:val="20"/>
              </w:rPr>
            </w:pPr>
            <w:r>
              <w:rPr>
                <w:sz w:val="20"/>
              </w:rPr>
              <w:t>307.2 kHz</w:t>
            </w:r>
          </w:p>
        </w:tc>
      </w:tr>
      <w:tr>
        <w:trPr>
          <w:trHeight w:val="261" w:hRule="atLeast"/>
        </w:trPr>
        <w:tc>
          <w:tcPr>
            <w:tcW w:w="1800" w:type="dxa"/>
            <w:tcBorders>
              <w:top w:val="single" w:sz="6" w:space="0" w:color="000000"/>
              <w:bottom w:val="single" w:sz="6" w:space="0" w:color="000000"/>
              <w:right w:val="single" w:sz="6" w:space="0" w:color="000000"/>
            </w:tcBorders>
          </w:tcPr>
          <w:p>
            <w:pPr>
              <w:pStyle w:val="TableParagraph"/>
              <w:spacing w:line="222" w:lineRule="exact" w:before="18"/>
              <w:ind w:left="201" w:right="194"/>
              <w:jc w:val="center"/>
              <w:rPr>
                <w:sz w:val="20"/>
              </w:rPr>
            </w:pPr>
            <w:r>
              <w:rPr>
                <w:sz w:val="20"/>
              </w:rPr>
              <w:t>101</w:t>
            </w:r>
          </w:p>
        </w:tc>
        <w:tc>
          <w:tcPr>
            <w:tcW w:w="2429" w:type="dxa"/>
            <w:vMerge/>
            <w:tcBorders>
              <w:top w:val="nil"/>
              <w:left w:val="single" w:sz="6" w:space="0" w:color="000000"/>
            </w:tcBorders>
          </w:tcPr>
          <w:p>
            <w:pPr>
              <w:rPr>
                <w:sz w:val="2"/>
                <w:szCs w:val="2"/>
              </w:rPr>
            </w:pPr>
          </w:p>
        </w:tc>
      </w:tr>
      <w:tr>
        <w:trPr>
          <w:trHeight w:val="258" w:hRule="atLeast"/>
        </w:trPr>
        <w:tc>
          <w:tcPr>
            <w:tcW w:w="1800" w:type="dxa"/>
            <w:tcBorders>
              <w:top w:val="single" w:sz="6" w:space="0" w:color="000000"/>
              <w:bottom w:val="single" w:sz="6" w:space="0" w:color="000000"/>
              <w:right w:val="single" w:sz="6" w:space="0" w:color="000000"/>
            </w:tcBorders>
          </w:tcPr>
          <w:p>
            <w:pPr>
              <w:pStyle w:val="TableParagraph"/>
              <w:spacing w:line="220" w:lineRule="exact" w:before="18"/>
              <w:ind w:left="201" w:right="194"/>
              <w:jc w:val="center"/>
              <w:rPr>
                <w:sz w:val="20"/>
              </w:rPr>
            </w:pPr>
            <w:r>
              <w:rPr>
                <w:sz w:val="20"/>
              </w:rPr>
              <w:t>110</w:t>
            </w:r>
          </w:p>
        </w:tc>
        <w:tc>
          <w:tcPr>
            <w:tcW w:w="2429" w:type="dxa"/>
            <w:vMerge/>
            <w:tcBorders>
              <w:top w:val="nil"/>
              <w:left w:val="single" w:sz="6" w:space="0" w:color="000000"/>
            </w:tcBorders>
          </w:tcPr>
          <w:p>
            <w:pPr>
              <w:rPr>
                <w:sz w:val="2"/>
                <w:szCs w:val="2"/>
              </w:rPr>
            </w:pPr>
          </w:p>
        </w:tc>
      </w:tr>
      <w:tr>
        <w:trPr>
          <w:trHeight w:val="261" w:hRule="atLeast"/>
        </w:trPr>
        <w:tc>
          <w:tcPr>
            <w:tcW w:w="1800" w:type="dxa"/>
            <w:tcBorders>
              <w:top w:val="single" w:sz="6" w:space="0" w:color="000000"/>
              <w:right w:val="single" w:sz="6" w:space="0" w:color="000000"/>
            </w:tcBorders>
          </w:tcPr>
          <w:p>
            <w:pPr>
              <w:pStyle w:val="TableParagraph"/>
              <w:spacing w:line="220" w:lineRule="exact" w:before="21"/>
              <w:ind w:left="201" w:right="194"/>
              <w:jc w:val="center"/>
              <w:rPr>
                <w:sz w:val="20"/>
              </w:rPr>
            </w:pPr>
            <w:r>
              <w:rPr>
                <w:sz w:val="20"/>
              </w:rPr>
              <w:t>111</w:t>
            </w:r>
          </w:p>
        </w:tc>
        <w:tc>
          <w:tcPr>
            <w:tcW w:w="2429" w:type="dxa"/>
            <w:vMerge/>
            <w:tcBorders>
              <w:top w:val="nil"/>
              <w:left w:val="single" w:sz="6" w:space="0" w:color="000000"/>
            </w:tcBorders>
          </w:tcPr>
          <w:p>
            <w:pPr>
              <w:rPr>
                <w:sz w:val="2"/>
                <w:szCs w:val="2"/>
              </w:rPr>
            </w:pPr>
          </w:p>
        </w:tc>
      </w:tr>
    </w:tbl>
    <w:p>
      <w:pPr>
        <w:pStyle w:val="BodyText"/>
        <w:spacing w:before="9"/>
        <w:rPr>
          <w:b/>
          <w:sz w:val="19"/>
        </w:rPr>
      </w:pPr>
    </w:p>
    <w:p>
      <w:pPr>
        <w:pStyle w:val="BodyText"/>
        <w:ind w:left="620" w:right="742" w:hanging="1"/>
      </w:pPr>
      <w:r>
        <w:rPr/>
        <w:t>Typical</w:t>
      </w:r>
      <w:r>
        <w:rPr>
          <w:spacing w:val="-17"/>
        </w:rPr>
        <w:t> </w:t>
      </w:r>
      <w:r>
        <w:rPr/>
        <w:t>measurement</w:t>
      </w:r>
      <w:r>
        <w:rPr>
          <w:spacing w:val="-13"/>
        </w:rPr>
        <w:t> </w:t>
      </w:r>
      <w:r>
        <w:rPr/>
        <w:t>and</w:t>
      </w:r>
      <w:r>
        <w:rPr>
          <w:spacing w:val="-14"/>
        </w:rPr>
        <w:t> </w:t>
      </w:r>
      <w:r>
        <w:rPr/>
        <w:t>metering</w:t>
      </w:r>
      <w:r>
        <w:rPr>
          <w:spacing w:val="-15"/>
        </w:rPr>
        <w:t> </w:t>
      </w:r>
      <w:r>
        <w:rPr/>
        <w:t>functions</w:t>
      </w:r>
      <w:r>
        <w:rPr>
          <w:spacing w:val="-12"/>
        </w:rPr>
        <w:t> </w:t>
      </w:r>
      <w:r>
        <w:rPr/>
        <w:t>based</w:t>
      </w:r>
      <w:r>
        <w:rPr>
          <w:spacing w:val="-14"/>
        </w:rPr>
        <w:t> </w:t>
      </w:r>
      <w:r>
        <w:rPr/>
        <w:t>on</w:t>
      </w:r>
      <w:r>
        <w:rPr>
          <w:spacing w:val="-15"/>
        </w:rPr>
        <w:t> </w:t>
      </w:r>
      <w:r>
        <w:rPr/>
        <w:t>the</w:t>
      </w:r>
      <w:r>
        <w:rPr>
          <w:spacing w:val="-14"/>
        </w:rPr>
        <w:t> </w:t>
      </w:r>
      <w:r>
        <w:rPr>
          <w:spacing w:val="-3"/>
        </w:rPr>
        <w:t>results</w:t>
      </w:r>
      <w:r>
        <w:rPr>
          <w:spacing w:val="-12"/>
        </w:rPr>
        <w:t> </w:t>
      </w:r>
      <w:r>
        <w:rPr>
          <w:spacing w:val="-2"/>
        </w:rPr>
        <w:t>provided</w:t>
      </w:r>
      <w:r>
        <w:rPr>
          <w:spacing w:val="-14"/>
        </w:rPr>
        <w:t> </w:t>
      </w:r>
      <w:r>
        <w:rPr/>
        <w:t>by</w:t>
      </w:r>
      <w:r>
        <w:rPr>
          <w:spacing w:val="-16"/>
        </w:rPr>
        <w:t> </w:t>
      </w:r>
      <w:r>
        <w:rPr/>
        <w:t>the</w:t>
      </w:r>
      <w:r>
        <w:rPr>
          <w:spacing w:val="-14"/>
        </w:rPr>
        <w:t> </w:t>
      </w:r>
      <w:r>
        <w:rPr/>
        <w:t>internal</w:t>
      </w:r>
      <w:r>
        <w:rPr>
          <w:spacing w:val="-14"/>
        </w:rPr>
        <w:t> </w:t>
      </w:r>
      <w:r>
        <w:rPr/>
        <w:t>32-bit</w:t>
      </w:r>
      <w:r>
        <w:rPr>
          <w:spacing w:val="-16"/>
        </w:rPr>
        <w:t> </w:t>
      </w:r>
      <w:r>
        <w:rPr/>
        <w:t>compute engine (CE) are available for the MPU as part of the Maxim demonstration code, which is provided to help reduce the product design</w:t>
      </w:r>
      <w:r>
        <w:rPr>
          <w:spacing w:val="-5"/>
        </w:rPr>
        <w:t> </w:t>
      </w:r>
      <w:r>
        <w:rPr/>
        <w:t>cycle.</w:t>
      </w:r>
    </w:p>
    <w:p>
      <w:pPr>
        <w:pStyle w:val="ListParagraph"/>
        <w:numPr>
          <w:ilvl w:val="2"/>
          <w:numId w:val="7"/>
        </w:numPr>
        <w:tabs>
          <w:tab w:pos="1339" w:val="left" w:leader="none"/>
          <w:tab w:pos="1340" w:val="left" w:leader="none"/>
        </w:tabs>
        <w:spacing w:line="240" w:lineRule="auto" w:before="117" w:after="0"/>
        <w:ind w:left="1339" w:right="0" w:hanging="720"/>
        <w:jc w:val="left"/>
        <w:rPr>
          <w:b/>
          <w:sz w:val="22"/>
        </w:rPr>
      </w:pPr>
      <w:bookmarkStart w:name="2.4.1 Memory Organization and Addressing" w:id="95"/>
      <w:bookmarkEnd w:id="95"/>
      <w:r>
        <w:rPr/>
      </w:r>
      <w:bookmarkStart w:name="_bookmark42" w:id="96"/>
      <w:bookmarkEnd w:id="96"/>
      <w:r>
        <w:rPr/>
      </w:r>
      <w:bookmarkStart w:name="_bookmark42" w:id="97"/>
      <w:bookmarkEnd w:id="97"/>
      <w:r>
        <w:rPr>
          <w:b/>
          <w:sz w:val="22"/>
        </w:rPr>
        <w:t>M</w:t>
      </w:r>
      <w:r>
        <w:rPr>
          <w:b/>
          <w:sz w:val="22"/>
        </w:rPr>
        <w:t>emory Organization and</w:t>
      </w:r>
      <w:r>
        <w:rPr>
          <w:b/>
          <w:spacing w:val="-2"/>
          <w:sz w:val="22"/>
        </w:rPr>
        <w:t> </w:t>
      </w:r>
      <w:r>
        <w:rPr>
          <w:b/>
          <w:sz w:val="22"/>
        </w:rPr>
        <w:t>Addressing</w:t>
      </w:r>
    </w:p>
    <w:p>
      <w:pPr>
        <w:pStyle w:val="BodyText"/>
        <w:spacing w:before="123"/>
        <w:ind w:left="619" w:right="704"/>
      </w:pPr>
      <w:r>
        <w:rPr/>
        <w:t>The</w:t>
      </w:r>
      <w:r>
        <w:rPr>
          <w:spacing w:val="-13"/>
        </w:rPr>
        <w:t> </w:t>
      </w:r>
      <w:r>
        <w:rPr/>
        <w:t>80515</w:t>
      </w:r>
      <w:r>
        <w:rPr>
          <w:spacing w:val="-11"/>
        </w:rPr>
        <w:t> </w:t>
      </w:r>
      <w:r>
        <w:rPr/>
        <w:t>MPU</w:t>
      </w:r>
      <w:r>
        <w:rPr>
          <w:spacing w:val="-12"/>
        </w:rPr>
        <w:t> </w:t>
      </w:r>
      <w:r>
        <w:rPr/>
        <w:t>core</w:t>
      </w:r>
      <w:r>
        <w:rPr>
          <w:spacing w:val="-10"/>
        </w:rPr>
        <w:t> </w:t>
      </w:r>
      <w:r>
        <w:rPr>
          <w:spacing w:val="-3"/>
        </w:rPr>
        <w:t>incorporates</w:t>
      </w:r>
      <w:r>
        <w:rPr>
          <w:spacing w:val="-11"/>
        </w:rPr>
        <w:t> </w:t>
      </w:r>
      <w:r>
        <w:rPr/>
        <w:t>the</w:t>
      </w:r>
      <w:r>
        <w:rPr>
          <w:spacing w:val="-11"/>
        </w:rPr>
        <w:t> </w:t>
      </w:r>
      <w:r>
        <w:rPr/>
        <w:t>Harvard</w:t>
      </w:r>
      <w:r>
        <w:rPr>
          <w:spacing w:val="-11"/>
        </w:rPr>
        <w:t> </w:t>
      </w:r>
      <w:r>
        <w:rPr>
          <w:spacing w:val="-2"/>
        </w:rPr>
        <w:t>architecture</w:t>
      </w:r>
      <w:r>
        <w:rPr>
          <w:spacing w:val="-11"/>
        </w:rPr>
        <w:t> </w:t>
      </w:r>
      <w:r>
        <w:rPr/>
        <w:t>with</w:t>
      </w:r>
      <w:r>
        <w:rPr>
          <w:spacing w:val="-12"/>
        </w:rPr>
        <w:t> </w:t>
      </w:r>
      <w:r>
        <w:rPr/>
        <w:t>separate</w:t>
      </w:r>
      <w:r>
        <w:rPr>
          <w:spacing w:val="-13"/>
        </w:rPr>
        <w:t> </w:t>
      </w:r>
      <w:r>
        <w:rPr/>
        <w:t>code</w:t>
      </w:r>
      <w:r>
        <w:rPr>
          <w:spacing w:val="-11"/>
        </w:rPr>
        <w:t> </w:t>
      </w:r>
      <w:r>
        <w:rPr/>
        <w:t>and</w:t>
      </w:r>
      <w:r>
        <w:rPr>
          <w:spacing w:val="-11"/>
        </w:rPr>
        <w:t> </w:t>
      </w:r>
      <w:r>
        <w:rPr/>
        <w:t>data</w:t>
      </w:r>
      <w:r>
        <w:rPr>
          <w:spacing w:val="-12"/>
        </w:rPr>
        <w:t> </w:t>
      </w:r>
      <w:r>
        <w:rPr/>
        <w:t>spaces.</w:t>
      </w:r>
      <w:r>
        <w:rPr>
          <w:spacing w:val="-10"/>
        </w:rPr>
        <w:t> </w:t>
      </w:r>
      <w:r>
        <w:rPr/>
        <w:t>Memory organization in the 80515 is similar to that of the industry standard 8051. There are three memory areas: </w:t>
      </w:r>
      <w:r>
        <w:rPr>
          <w:spacing w:val="-3"/>
        </w:rPr>
        <w:t>Program</w:t>
      </w:r>
      <w:r>
        <w:rPr>
          <w:spacing w:val="-9"/>
        </w:rPr>
        <w:t> </w:t>
      </w:r>
      <w:r>
        <w:rPr/>
        <w:t>memory</w:t>
      </w:r>
      <w:r>
        <w:rPr>
          <w:spacing w:val="-18"/>
        </w:rPr>
        <w:t> </w:t>
      </w:r>
      <w:r>
        <w:rPr/>
        <w:t>(Flash,</w:t>
      </w:r>
      <w:r>
        <w:rPr>
          <w:spacing w:val="-10"/>
        </w:rPr>
        <w:t> </w:t>
      </w:r>
      <w:r>
        <w:rPr/>
        <w:t>shared</w:t>
      </w:r>
      <w:r>
        <w:rPr>
          <w:spacing w:val="-11"/>
        </w:rPr>
        <w:t> </w:t>
      </w:r>
      <w:r>
        <w:rPr/>
        <w:t>by</w:t>
      </w:r>
      <w:r>
        <w:rPr>
          <w:spacing w:val="-13"/>
        </w:rPr>
        <w:t> </w:t>
      </w:r>
      <w:r>
        <w:rPr/>
        <w:t>MPU</w:t>
      </w:r>
      <w:r>
        <w:rPr>
          <w:spacing w:val="-10"/>
        </w:rPr>
        <w:t> </w:t>
      </w:r>
      <w:r>
        <w:rPr/>
        <w:t>and</w:t>
      </w:r>
      <w:r>
        <w:rPr>
          <w:spacing w:val="-11"/>
        </w:rPr>
        <w:t> </w:t>
      </w:r>
      <w:r>
        <w:rPr/>
        <w:t>CE),</w:t>
      </w:r>
      <w:r>
        <w:rPr>
          <w:spacing w:val="-10"/>
        </w:rPr>
        <w:t> </w:t>
      </w:r>
      <w:r>
        <w:rPr/>
        <w:t>external</w:t>
      </w:r>
      <w:r>
        <w:rPr>
          <w:spacing w:val="-14"/>
        </w:rPr>
        <w:t> </w:t>
      </w:r>
      <w:r>
        <w:rPr/>
        <w:t>RAM</w:t>
      </w:r>
      <w:r>
        <w:rPr>
          <w:spacing w:val="-12"/>
        </w:rPr>
        <w:t> </w:t>
      </w:r>
      <w:r>
        <w:rPr/>
        <w:t>(Data</w:t>
      </w:r>
      <w:r>
        <w:rPr>
          <w:spacing w:val="-11"/>
        </w:rPr>
        <w:t> </w:t>
      </w:r>
      <w:r>
        <w:rPr/>
        <w:t>RAM,</w:t>
      </w:r>
      <w:r>
        <w:rPr>
          <w:spacing w:val="-13"/>
        </w:rPr>
        <w:t> </w:t>
      </w:r>
      <w:r>
        <w:rPr/>
        <w:t>shared</w:t>
      </w:r>
      <w:r>
        <w:rPr>
          <w:spacing w:val="-12"/>
        </w:rPr>
        <w:t> </w:t>
      </w:r>
      <w:r>
        <w:rPr/>
        <w:t>by</w:t>
      </w:r>
      <w:r>
        <w:rPr>
          <w:spacing w:val="-14"/>
        </w:rPr>
        <w:t> </w:t>
      </w:r>
      <w:r>
        <w:rPr/>
        <w:t>the</w:t>
      </w:r>
      <w:r>
        <w:rPr>
          <w:spacing w:val="-11"/>
        </w:rPr>
        <w:t> </w:t>
      </w:r>
      <w:r>
        <w:rPr/>
        <w:t>CE</w:t>
      </w:r>
      <w:r>
        <w:rPr>
          <w:spacing w:val="-11"/>
        </w:rPr>
        <w:t> </w:t>
      </w:r>
      <w:r>
        <w:rPr/>
        <w:t>and</w:t>
      </w:r>
      <w:r>
        <w:rPr>
          <w:spacing w:val="-11"/>
        </w:rPr>
        <w:t> </w:t>
      </w:r>
      <w:r>
        <w:rPr/>
        <w:t>MPU, </w:t>
      </w:r>
      <w:r>
        <w:rPr>
          <w:spacing w:val="-3"/>
        </w:rPr>
        <w:t>Configuration</w:t>
      </w:r>
      <w:r>
        <w:rPr>
          <w:spacing w:val="-9"/>
        </w:rPr>
        <w:t> </w:t>
      </w:r>
      <w:r>
        <w:rPr/>
        <w:t>or</w:t>
      </w:r>
      <w:r>
        <w:rPr>
          <w:spacing w:val="-10"/>
        </w:rPr>
        <w:t> </w:t>
      </w:r>
      <w:r>
        <w:rPr/>
        <w:t>I/O</w:t>
      </w:r>
      <w:r>
        <w:rPr>
          <w:spacing w:val="-10"/>
        </w:rPr>
        <w:t> </w:t>
      </w:r>
      <w:r>
        <w:rPr/>
        <w:t>RAM),</w:t>
      </w:r>
      <w:r>
        <w:rPr>
          <w:spacing w:val="-8"/>
        </w:rPr>
        <w:t> </w:t>
      </w:r>
      <w:r>
        <w:rPr/>
        <w:t>and</w:t>
      </w:r>
      <w:r>
        <w:rPr>
          <w:spacing w:val="-9"/>
        </w:rPr>
        <w:t> </w:t>
      </w:r>
      <w:r>
        <w:rPr/>
        <w:t>internal</w:t>
      </w:r>
      <w:r>
        <w:rPr>
          <w:spacing w:val="-12"/>
        </w:rPr>
        <w:t> </w:t>
      </w:r>
      <w:r>
        <w:rPr/>
        <w:t>data</w:t>
      </w:r>
      <w:r>
        <w:rPr>
          <w:spacing w:val="-11"/>
        </w:rPr>
        <w:t> </w:t>
      </w:r>
      <w:r>
        <w:rPr/>
        <w:t>memory</w:t>
      </w:r>
      <w:r>
        <w:rPr>
          <w:spacing w:val="-17"/>
        </w:rPr>
        <w:t> </w:t>
      </w:r>
      <w:r>
        <w:rPr/>
        <w:t>(Internal</w:t>
      </w:r>
      <w:r>
        <w:rPr>
          <w:spacing w:val="-9"/>
        </w:rPr>
        <w:t> </w:t>
      </w:r>
      <w:r>
        <w:rPr/>
        <w:t>RAM).</w:t>
      </w:r>
      <w:r>
        <w:rPr>
          <w:spacing w:val="-7"/>
        </w:rPr>
        <w:t> </w:t>
      </w:r>
      <w:hyperlink w:history="true" w:anchor="_bookmark43">
        <w:r>
          <w:rPr>
            <w:color w:val="0000FF"/>
          </w:rPr>
          <w:t>Table</w:t>
        </w:r>
        <w:r>
          <w:rPr>
            <w:color w:val="0000FF"/>
            <w:spacing w:val="-9"/>
          </w:rPr>
          <w:t> </w:t>
        </w:r>
        <w:r>
          <w:rPr>
            <w:color w:val="0000FF"/>
          </w:rPr>
          <w:t>9</w:t>
        </w:r>
        <w:r>
          <w:rPr>
            <w:color w:val="0000FF"/>
            <w:spacing w:val="-11"/>
          </w:rPr>
          <w:t> </w:t>
        </w:r>
      </w:hyperlink>
      <w:r>
        <w:rPr/>
        <w:t>shows</w:t>
      </w:r>
      <w:r>
        <w:rPr>
          <w:spacing w:val="-9"/>
        </w:rPr>
        <w:t> </w:t>
      </w:r>
      <w:r>
        <w:rPr/>
        <w:t>the</w:t>
      </w:r>
      <w:r>
        <w:rPr>
          <w:spacing w:val="-11"/>
        </w:rPr>
        <w:t> </w:t>
      </w:r>
      <w:r>
        <w:rPr/>
        <w:t>memory</w:t>
      </w:r>
      <w:r>
        <w:rPr>
          <w:spacing w:val="-14"/>
        </w:rPr>
        <w:t> </w:t>
      </w:r>
      <w:r>
        <w:rPr/>
        <w:t>map.</w:t>
      </w:r>
    </w:p>
    <w:p>
      <w:pPr>
        <w:spacing w:before="120"/>
        <w:ind w:left="619" w:right="0" w:firstLine="0"/>
        <w:jc w:val="left"/>
        <w:rPr>
          <w:b/>
          <w:sz w:val="20"/>
        </w:rPr>
      </w:pPr>
      <w:bookmarkStart w:name="Program Memory" w:id="98"/>
      <w:bookmarkEnd w:id="98"/>
      <w:r>
        <w:rPr/>
      </w:r>
      <w:r>
        <w:rPr>
          <w:b/>
          <w:sz w:val="20"/>
        </w:rPr>
        <w:t>Program Memory</w:t>
      </w:r>
    </w:p>
    <w:p>
      <w:pPr>
        <w:pStyle w:val="BodyText"/>
        <w:spacing w:before="80"/>
        <w:ind w:left="619" w:right="650"/>
      </w:pPr>
      <w:r>
        <w:rPr/>
        <w:t>The 80515 can address up to 64 KB of program memory space (0x0000 to 0xFFFF). Program memory is read when the MPU fetches instructions or performs a MOVC operation.</w:t>
      </w:r>
    </w:p>
    <w:p>
      <w:pPr>
        <w:pStyle w:val="BodyText"/>
        <w:spacing w:before="120"/>
        <w:ind w:left="619" w:right="771"/>
        <w:jc w:val="both"/>
      </w:pPr>
      <w:r>
        <w:rPr/>
        <w:t>After</w:t>
      </w:r>
      <w:r>
        <w:rPr>
          <w:spacing w:val="-4"/>
        </w:rPr>
        <w:t> </w:t>
      </w:r>
      <w:r>
        <w:rPr/>
        <w:t>reset,</w:t>
      </w:r>
      <w:r>
        <w:rPr>
          <w:spacing w:val="-4"/>
        </w:rPr>
        <w:t> </w:t>
      </w:r>
      <w:r>
        <w:rPr/>
        <w:t>the</w:t>
      </w:r>
      <w:r>
        <w:rPr>
          <w:spacing w:val="-5"/>
        </w:rPr>
        <w:t> </w:t>
      </w:r>
      <w:r>
        <w:rPr/>
        <w:t>MPU</w:t>
      </w:r>
      <w:r>
        <w:rPr>
          <w:spacing w:val="-4"/>
        </w:rPr>
        <w:t> </w:t>
      </w:r>
      <w:r>
        <w:rPr/>
        <w:t>starts</w:t>
      </w:r>
      <w:r>
        <w:rPr>
          <w:spacing w:val="-1"/>
        </w:rPr>
        <w:t> </w:t>
      </w:r>
      <w:r>
        <w:rPr/>
        <w:t>program execution</w:t>
      </w:r>
      <w:r>
        <w:rPr>
          <w:spacing w:val="-4"/>
        </w:rPr>
        <w:t> </w:t>
      </w:r>
      <w:r>
        <w:rPr/>
        <w:t>from</w:t>
      </w:r>
      <w:r>
        <w:rPr>
          <w:spacing w:val="-1"/>
        </w:rPr>
        <w:t> </w:t>
      </w:r>
      <w:r>
        <w:rPr/>
        <w:t>program</w:t>
      </w:r>
      <w:r>
        <w:rPr>
          <w:spacing w:val="-2"/>
        </w:rPr>
        <w:t> </w:t>
      </w:r>
      <w:r>
        <w:rPr/>
        <w:t>memory</w:t>
      </w:r>
      <w:r>
        <w:rPr>
          <w:spacing w:val="-8"/>
        </w:rPr>
        <w:t> </w:t>
      </w:r>
      <w:r>
        <w:rPr/>
        <w:t>location</w:t>
      </w:r>
      <w:r>
        <w:rPr>
          <w:spacing w:val="-4"/>
        </w:rPr>
        <w:t> </w:t>
      </w:r>
      <w:r>
        <w:rPr/>
        <w:t>0x0000.</w:t>
      </w:r>
      <w:r>
        <w:rPr>
          <w:spacing w:val="-2"/>
        </w:rPr>
        <w:t> </w:t>
      </w:r>
      <w:r>
        <w:rPr/>
        <w:t>The</w:t>
      </w:r>
      <w:r>
        <w:rPr>
          <w:spacing w:val="-4"/>
        </w:rPr>
        <w:t> </w:t>
      </w:r>
      <w:r>
        <w:rPr/>
        <w:t>lower</w:t>
      </w:r>
      <w:r>
        <w:rPr>
          <w:spacing w:val="-3"/>
        </w:rPr>
        <w:t> </w:t>
      </w:r>
      <w:r>
        <w:rPr/>
        <w:t>part</w:t>
      </w:r>
      <w:r>
        <w:rPr>
          <w:spacing w:val="-3"/>
        </w:rPr>
        <w:t> </w:t>
      </w:r>
      <w:r>
        <w:rPr/>
        <w:t>of </w:t>
      </w:r>
      <w:r>
        <w:rPr>
          <w:spacing w:val="2"/>
        </w:rPr>
        <w:t>the </w:t>
      </w:r>
      <w:r>
        <w:rPr/>
        <w:t>program </w:t>
      </w:r>
      <w:r>
        <w:rPr>
          <w:spacing w:val="2"/>
        </w:rPr>
        <w:t>memory </w:t>
      </w:r>
      <w:r>
        <w:rPr/>
        <w:t>includes reset and </w:t>
      </w:r>
      <w:r>
        <w:rPr>
          <w:spacing w:val="2"/>
        </w:rPr>
        <w:t>interrupt </w:t>
      </w:r>
      <w:r>
        <w:rPr/>
        <w:t>vectors. The </w:t>
      </w:r>
      <w:r>
        <w:rPr>
          <w:spacing w:val="2"/>
        </w:rPr>
        <w:t>interrupt </w:t>
      </w:r>
      <w:r>
        <w:rPr/>
        <w:t>vectors are </w:t>
      </w:r>
      <w:r>
        <w:rPr>
          <w:spacing w:val="2"/>
        </w:rPr>
        <w:t>spaced </w:t>
      </w:r>
      <w:r>
        <w:rPr/>
        <w:t>at </w:t>
      </w:r>
      <w:r>
        <w:rPr>
          <w:spacing w:val="2"/>
        </w:rPr>
        <w:t>8-byte </w:t>
      </w:r>
      <w:r>
        <w:rPr/>
        <w:t>intervals, starting from</w:t>
      </w:r>
      <w:r>
        <w:rPr>
          <w:spacing w:val="1"/>
        </w:rPr>
        <w:t> </w:t>
      </w:r>
      <w:r>
        <w:rPr/>
        <w:t>0x0003.</w:t>
      </w:r>
    </w:p>
    <w:p>
      <w:pPr>
        <w:spacing w:before="119"/>
        <w:ind w:left="619" w:right="0" w:firstLine="0"/>
        <w:jc w:val="both"/>
        <w:rPr>
          <w:b/>
          <w:sz w:val="20"/>
        </w:rPr>
      </w:pPr>
      <w:bookmarkStart w:name="MPU External Data Memory (XRAM)" w:id="99"/>
      <w:bookmarkEnd w:id="99"/>
      <w:r>
        <w:rPr/>
      </w:r>
      <w:r>
        <w:rPr>
          <w:b/>
          <w:sz w:val="20"/>
        </w:rPr>
        <w:t>MPU External Data Memory (XRAM)</w:t>
      </w:r>
    </w:p>
    <w:p>
      <w:pPr>
        <w:pStyle w:val="BodyText"/>
        <w:spacing w:before="80"/>
        <w:ind w:left="619" w:right="559"/>
      </w:pPr>
      <w:r>
        <w:rPr/>
        <w:t>Both</w:t>
      </w:r>
      <w:r>
        <w:rPr>
          <w:spacing w:val="-14"/>
        </w:rPr>
        <w:t> </w:t>
      </w:r>
      <w:r>
        <w:rPr/>
        <w:t>internal</w:t>
      </w:r>
      <w:r>
        <w:rPr>
          <w:spacing w:val="-14"/>
        </w:rPr>
        <w:t> </w:t>
      </w:r>
      <w:r>
        <w:rPr/>
        <w:t>and</w:t>
      </w:r>
      <w:r>
        <w:rPr>
          <w:spacing w:val="-14"/>
        </w:rPr>
        <w:t> </w:t>
      </w:r>
      <w:r>
        <w:rPr/>
        <w:t>external</w:t>
      </w:r>
      <w:r>
        <w:rPr>
          <w:spacing w:val="-16"/>
        </w:rPr>
        <w:t> </w:t>
      </w:r>
      <w:r>
        <w:rPr/>
        <w:t>memory</w:t>
      </w:r>
      <w:r>
        <w:rPr>
          <w:spacing w:val="-18"/>
        </w:rPr>
        <w:t> </w:t>
      </w:r>
      <w:r>
        <w:rPr/>
        <w:t>is</w:t>
      </w:r>
      <w:r>
        <w:rPr>
          <w:spacing w:val="-12"/>
        </w:rPr>
        <w:t> </w:t>
      </w:r>
      <w:r>
        <w:rPr/>
        <w:t>physically</w:t>
      </w:r>
      <w:r>
        <w:rPr>
          <w:spacing w:val="-17"/>
        </w:rPr>
        <w:t> </w:t>
      </w:r>
      <w:r>
        <w:rPr/>
        <w:t>located</w:t>
      </w:r>
      <w:r>
        <w:rPr>
          <w:spacing w:val="-14"/>
        </w:rPr>
        <w:t> </w:t>
      </w:r>
      <w:r>
        <w:rPr/>
        <w:t>on</w:t>
      </w:r>
      <w:r>
        <w:rPr>
          <w:spacing w:val="-13"/>
        </w:rPr>
        <w:t> </w:t>
      </w:r>
      <w:r>
        <w:rPr/>
        <w:t>the</w:t>
      </w:r>
      <w:r>
        <w:rPr>
          <w:spacing w:val="-14"/>
        </w:rPr>
        <w:t> </w:t>
      </w:r>
      <w:r>
        <w:rPr/>
        <w:t>71M6543</w:t>
      </w:r>
      <w:r>
        <w:rPr>
          <w:spacing w:val="-12"/>
        </w:rPr>
        <w:t> </w:t>
      </w:r>
      <w:r>
        <w:rPr>
          <w:spacing w:val="-3"/>
        </w:rPr>
        <w:t>device.</w:t>
      </w:r>
      <w:r>
        <w:rPr>
          <w:spacing w:val="-13"/>
        </w:rPr>
        <w:t> </w:t>
      </w:r>
      <w:r>
        <w:rPr/>
        <w:t>The</w:t>
      </w:r>
      <w:r>
        <w:rPr>
          <w:spacing w:val="-15"/>
        </w:rPr>
        <w:t> </w:t>
      </w:r>
      <w:r>
        <w:rPr/>
        <w:t>external</w:t>
      </w:r>
      <w:r>
        <w:rPr>
          <w:spacing w:val="-17"/>
        </w:rPr>
        <w:t> </w:t>
      </w:r>
      <w:r>
        <w:rPr/>
        <w:t>memory referred to in this documentation is only external to the 80515 MPU</w:t>
      </w:r>
      <w:r>
        <w:rPr>
          <w:spacing w:val="-10"/>
        </w:rPr>
        <w:t> </w:t>
      </w:r>
      <w:r>
        <w:rPr/>
        <w:t>core.</w:t>
      </w:r>
    </w:p>
    <w:p>
      <w:pPr>
        <w:pStyle w:val="BodyText"/>
        <w:spacing w:before="121"/>
        <w:ind w:left="618" w:right="873"/>
      </w:pPr>
      <w:r>
        <w:rPr/>
        <w:t>5 KB of RAM starting at address 0x0000 is shared by the CE and MPU. The CE normally uses the first 1 KB, leaving 4 KB for the MPU. Different versions of the CE code use varying amounts. Consult the documentation for the specific code version being used for the exact limit.</w:t>
      </w:r>
    </w:p>
    <w:p>
      <w:pPr>
        <w:spacing w:line="240" w:lineRule="auto" w:before="119"/>
        <w:ind w:left="1252" w:right="684" w:firstLine="0"/>
        <w:jc w:val="left"/>
        <w:rPr>
          <w:sz w:val="20"/>
        </w:rPr>
      </w:pPr>
      <w:r>
        <w:rPr/>
        <w:drawing>
          <wp:anchor distT="0" distB="0" distL="0" distR="0" allowOverlap="1" layoutInCell="1" locked="0" behindDoc="0" simplePos="0" relativeHeight="15761920">
            <wp:simplePos x="0" y="0"/>
            <wp:positionH relativeFrom="page">
              <wp:posOffset>971078</wp:posOffset>
            </wp:positionH>
            <wp:positionV relativeFrom="paragraph">
              <wp:posOffset>98819</wp:posOffset>
            </wp:positionV>
            <wp:extent cx="199226" cy="314325"/>
            <wp:effectExtent l="0" t="0" r="0" b="0"/>
            <wp:wrapNone/>
            <wp:docPr id="15" name="image64.png" descr="checkmark_-bottomheavy-60-blue"/>
            <wp:cNvGraphicFramePr>
              <a:graphicFrameLocks noChangeAspect="1"/>
            </wp:cNvGraphicFramePr>
            <a:graphic>
              <a:graphicData uri="http://schemas.openxmlformats.org/drawingml/2006/picture">
                <pic:pic>
                  <pic:nvPicPr>
                    <pic:cNvPr id="16" name="image64.png"/>
                    <pic:cNvPicPr/>
                  </pic:nvPicPr>
                  <pic:blipFill>
                    <a:blip r:embed="rId73" cstate="print"/>
                    <a:stretch>
                      <a:fillRect/>
                    </a:stretch>
                  </pic:blipFill>
                  <pic:spPr>
                    <a:xfrm>
                      <a:off x="0" y="0"/>
                      <a:ext cx="199226" cy="314325"/>
                    </a:xfrm>
                    <a:prstGeom prst="rect">
                      <a:avLst/>
                    </a:prstGeom>
                  </pic:spPr>
                </pic:pic>
              </a:graphicData>
            </a:graphic>
          </wp:anchor>
        </w:drawing>
      </w:r>
      <w:r>
        <w:rPr>
          <w:sz w:val="20"/>
        </w:rPr>
        <w:t>To change the slot assignments established by </w:t>
      </w:r>
      <w:r>
        <w:rPr>
          <w:rFonts w:ascii="Times New Roman"/>
          <w:i/>
          <w:sz w:val="20"/>
        </w:rPr>
        <w:t>MUXn_SEL[3:0]</w:t>
      </w:r>
      <w:r>
        <w:rPr>
          <w:sz w:val="20"/>
        </w:rPr>
        <w:t>, first set </w:t>
      </w:r>
      <w:r>
        <w:rPr>
          <w:rFonts w:ascii="Times New Roman"/>
          <w:i/>
          <w:sz w:val="20"/>
        </w:rPr>
        <w:t>MUX_DIV[3:0] </w:t>
      </w:r>
      <w:r>
        <w:rPr>
          <w:sz w:val="20"/>
        </w:rPr>
        <w:t>to zero, then change the </w:t>
      </w:r>
      <w:r>
        <w:rPr>
          <w:rFonts w:ascii="Times New Roman"/>
          <w:i/>
          <w:sz w:val="20"/>
        </w:rPr>
        <w:t>MUXn_SEL[3:0] </w:t>
      </w:r>
      <w:r>
        <w:rPr>
          <w:sz w:val="20"/>
        </w:rPr>
        <w:t>slot assignments, and finally set </w:t>
      </w:r>
      <w:r>
        <w:rPr>
          <w:rFonts w:ascii="Times New Roman"/>
          <w:i/>
          <w:sz w:val="20"/>
        </w:rPr>
        <w:t>MUX_DIV[3:0] </w:t>
      </w:r>
      <w:r>
        <w:rPr>
          <w:sz w:val="20"/>
        </w:rPr>
        <w:t>to the number of active MUX frame slots.</w:t>
      </w:r>
    </w:p>
    <w:p>
      <w:pPr>
        <w:spacing w:after="0" w:line="240" w:lineRule="auto"/>
        <w:jc w:val="left"/>
        <w:rPr>
          <w:sz w:val="20"/>
        </w:rPr>
        <w:sectPr>
          <w:pgSz w:w="12240" w:h="15840"/>
          <w:pgMar w:header="727" w:footer="819" w:top="960" w:bottom="1000" w:left="820" w:right="860"/>
        </w:sectPr>
      </w:pPr>
    </w:p>
    <w:p>
      <w:pPr>
        <w:pStyle w:val="BodyText"/>
        <w:spacing w:before="8"/>
        <w:rPr>
          <w:sz w:val="16"/>
        </w:rPr>
      </w:pPr>
    </w:p>
    <w:p>
      <w:pPr>
        <w:pStyle w:val="BodyText"/>
        <w:spacing w:before="93"/>
        <w:ind w:left="620" w:right="582"/>
      </w:pPr>
      <w:r>
        <w:rPr/>
        <w:t>The 80515 writes into external data memory when the MPU executes a MOVX @Ri,A or MOVX @DPTR,A instruction. The MPU reads external data memory by executing a MOVX A,@Ri or MOVX A,@DPTR instruction (</w:t>
      </w:r>
      <w:r>
        <w:rPr>
          <w:rFonts w:ascii="Times New Roman"/>
          <w:i/>
        </w:rPr>
        <w:t>PDATA, SFR 0xBF</w:t>
      </w:r>
      <w:r>
        <w:rPr/>
        <w:t>, provides the upper 8 bytes for the MOVX A,@Ri instruction).</w:t>
      </w:r>
    </w:p>
    <w:p>
      <w:pPr>
        <w:spacing w:before="120"/>
        <w:ind w:left="620" w:right="0" w:firstLine="0"/>
        <w:jc w:val="left"/>
        <w:rPr>
          <w:b/>
          <w:sz w:val="20"/>
        </w:rPr>
      </w:pPr>
      <w:bookmarkStart w:name="Internal and External Memory Map" w:id="100"/>
      <w:bookmarkEnd w:id="100"/>
      <w:r>
        <w:rPr/>
      </w:r>
      <w:r>
        <w:rPr>
          <w:b/>
          <w:sz w:val="20"/>
        </w:rPr>
        <w:t>Internal and External Memory Map</w:t>
      </w:r>
    </w:p>
    <w:p>
      <w:pPr>
        <w:pStyle w:val="BodyText"/>
        <w:spacing w:before="80"/>
        <w:ind w:left="620"/>
      </w:pPr>
      <w:hyperlink w:history="true" w:anchor="_bookmark43">
        <w:r>
          <w:rPr>
            <w:color w:val="0000FF"/>
          </w:rPr>
          <w:t>Table 9 </w:t>
        </w:r>
      </w:hyperlink>
      <w:r>
        <w:rPr/>
        <w:t>shows the address, type, use and size of the various memory components.</w:t>
      </w:r>
    </w:p>
    <w:p>
      <w:pPr>
        <w:pStyle w:val="Heading1"/>
        <w:spacing w:before="118"/>
        <w:ind w:left="1316" w:right="1278"/>
      </w:pPr>
      <w:bookmarkStart w:name="_bookmark43" w:id="101"/>
      <w:bookmarkEnd w:id="101"/>
      <w:r>
        <w:rPr>
          <w:b w:val="0"/>
        </w:rPr>
      </w:r>
      <w:r>
        <w:rPr/>
        <w:t>Table 9: Memory Map</w:t>
      </w:r>
    </w:p>
    <w:p>
      <w:pPr>
        <w:pStyle w:val="BodyText"/>
        <w:spacing w:before="8"/>
        <w:rPr>
          <w:b/>
          <w:sz w:val="5"/>
        </w:rPr>
      </w:pPr>
    </w:p>
    <w:tbl>
      <w:tblPr>
        <w:tblW w:w="0" w:type="auto"/>
        <w:jc w:val="left"/>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9"/>
        <w:gridCol w:w="1543"/>
        <w:gridCol w:w="1250"/>
        <w:gridCol w:w="1723"/>
        <w:gridCol w:w="1850"/>
        <w:gridCol w:w="1464"/>
      </w:tblGrid>
      <w:tr>
        <w:trPr>
          <w:trHeight w:val="539" w:hRule="atLeast"/>
        </w:trPr>
        <w:tc>
          <w:tcPr>
            <w:tcW w:w="1529" w:type="dxa"/>
            <w:tcBorders>
              <w:bottom w:val="single" w:sz="6" w:space="0" w:color="000000"/>
              <w:right w:val="single" w:sz="6" w:space="0" w:color="000000"/>
            </w:tcBorders>
          </w:tcPr>
          <w:p>
            <w:pPr>
              <w:pStyle w:val="TableParagraph"/>
              <w:spacing w:before="35"/>
              <w:ind w:left="525" w:hanging="161"/>
              <w:rPr>
                <w:b/>
                <w:sz w:val="20"/>
              </w:rPr>
            </w:pPr>
            <w:r>
              <w:rPr>
                <w:b/>
                <w:w w:val="95"/>
                <w:sz w:val="20"/>
              </w:rPr>
              <w:t>Address </w:t>
            </w:r>
            <w:r>
              <w:rPr>
                <w:b/>
                <w:sz w:val="20"/>
              </w:rPr>
              <w:t>(hex)</w:t>
            </w:r>
          </w:p>
        </w:tc>
        <w:tc>
          <w:tcPr>
            <w:tcW w:w="1543" w:type="dxa"/>
            <w:tcBorders>
              <w:left w:val="single" w:sz="6" w:space="0" w:color="000000"/>
              <w:bottom w:val="single" w:sz="6" w:space="0" w:color="000000"/>
              <w:right w:val="single" w:sz="6" w:space="0" w:color="000000"/>
            </w:tcBorders>
          </w:tcPr>
          <w:p>
            <w:pPr>
              <w:pStyle w:val="TableParagraph"/>
              <w:spacing w:before="35"/>
              <w:ind w:left="205" w:right="180" w:firstLine="177"/>
              <w:rPr>
                <w:b/>
                <w:sz w:val="20"/>
              </w:rPr>
            </w:pPr>
            <w:r>
              <w:rPr>
                <w:b/>
                <w:sz w:val="20"/>
              </w:rPr>
              <w:t>Memory Technology</w:t>
            </w:r>
          </w:p>
        </w:tc>
        <w:tc>
          <w:tcPr>
            <w:tcW w:w="1250" w:type="dxa"/>
            <w:tcBorders>
              <w:left w:val="single" w:sz="6" w:space="0" w:color="000000"/>
              <w:bottom w:val="single" w:sz="6" w:space="0" w:color="000000"/>
              <w:right w:val="single" w:sz="6" w:space="0" w:color="000000"/>
            </w:tcBorders>
          </w:tcPr>
          <w:p>
            <w:pPr>
              <w:pStyle w:val="TableParagraph"/>
              <w:spacing w:before="35"/>
              <w:ind w:left="388" w:right="209" w:hanging="149"/>
              <w:rPr>
                <w:b/>
                <w:sz w:val="20"/>
              </w:rPr>
            </w:pPr>
            <w:r>
              <w:rPr>
                <w:b/>
                <w:sz w:val="20"/>
              </w:rPr>
              <w:t>Memory Type</w:t>
            </w:r>
          </w:p>
        </w:tc>
        <w:tc>
          <w:tcPr>
            <w:tcW w:w="1723" w:type="dxa"/>
            <w:tcBorders>
              <w:left w:val="single" w:sz="6" w:space="0" w:color="000000"/>
              <w:bottom w:val="single" w:sz="6" w:space="0" w:color="000000"/>
              <w:right w:val="single" w:sz="6" w:space="0" w:color="000000"/>
            </w:tcBorders>
          </w:tcPr>
          <w:p>
            <w:pPr>
              <w:pStyle w:val="TableParagraph"/>
              <w:spacing w:before="150"/>
              <w:ind w:left="251" w:right="245"/>
              <w:jc w:val="center"/>
              <w:rPr>
                <w:b/>
                <w:sz w:val="20"/>
              </w:rPr>
            </w:pPr>
            <w:r>
              <w:rPr>
                <w:b/>
                <w:sz w:val="20"/>
              </w:rPr>
              <w:t>Name</w:t>
            </w:r>
          </w:p>
        </w:tc>
        <w:tc>
          <w:tcPr>
            <w:tcW w:w="1850" w:type="dxa"/>
            <w:tcBorders>
              <w:left w:val="single" w:sz="6" w:space="0" w:color="000000"/>
              <w:bottom w:val="single" w:sz="6" w:space="0" w:color="000000"/>
              <w:right w:val="single" w:sz="6" w:space="0" w:color="000000"/>
            </w:tcBorders>
          </w:tcPr>
          <w:p>
            <w:pPr>
              <w:pStyle w:val="TableParagraph"/>
              <w:spacing w:before="150"/>
              <w:ind w:left="57" w:right="47"/>
              <w:jc w:val="center"/>
              <w:rPr>
                <w:b/>
                <w:sz w:val="20"/>
              </w:rPr>
            </w:pPr>
            <w:r>
              <w:rPr>
                <w:b/>
                <w:sz w:val="20"/>
              </w:rPr>
              <w:t>Typical Usage</w:t>
            </w:r>
          </w:p>
        </w:tc>
        <w:tc>
          <w:tcPr>
            <w:tcW w:w="1464" w:type="dxa"/>
            <w:tcBorders>
              <w:left w:val="single" w:sz="6" w:space="0" w:color="000000"/>
              <w:bottom w:val="single" w:sz="6" w:space="0" w:color="000000"/>
            </w:tcBorders>
          </w:tcPr>
          <w:p>
            <w:pPr>
              <w:pStyle w:val="TableParagraph"/>
              <w:spacing w:before="35"/>
              <w:ind w:left="401" w:right="91" w:hanging="284"/>
              <w:rPr>
                <w:b/>
                <w:sz w:val="20"/>
              </w:rPr>
            </w:pPr>
            <w:r>
              <w:rPr>
                <w:b/>
                <w:sz w:val="20"/>
              </w:rPr>
              <w:t>Memory Size (bytes)</w:t>
            </w:r>
          </w:p>
        </w:tc>
      </w:tr>
      <w:tr>
        <w:trPr>
          <w:trHeight w:val="486" w:hRule="atLeast"/>
        </w:trPr>
        <w:tc>
          <w:tcPr>
            <w:tcW w:w="1529" w:type="dxa"/>
            <w:vMerge w:val="restart"/>
            <w:tcBorders>
              <w:top w:val="single" w:sz="6" w:space="0" w:color="000000"/>
              <w:bottom w:val="single" w:sz="6" w:space="0" w:color="000000"/>
              <w:right w:val="single" w:sz="6" w:space="0" w:color="000000"/>
            </w:tcBorders>
          </w:tcPr>
          <w:p>
            <w:pPr>
              <w:pStyle w:val="TableParagraph"/>
              <w:spacing w:before="8"/>
              <w:rPr>
                <w:b/>
                <w:sz w:val="32"/>
              </w:rPr>
            </w:pPr>
          </w:p>
          <w:p>
            <w:pPr>
              <w:pStyle w:val="TableParagraph"/>
              <w:ind w:left="263"/>
              <w:rPr>
                <w:sz w:val="20"/>
              </w:rPr>
            </w:pPr>
            <w:r>
              <w:rPr>
                <w:sz w:val="20"/>
              </w:rPr>
              <w:t>0000-FFFF</w:t>
            </w:r>
          </w:p>
        </w:tc>
        <w:tc>
          <w:tcPr>
            <w:tcW w:w="154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rPr>
                <w:b/>
                <w:sz w:val="32"/>
              </w:rPr>
            </w:pPr>
          </w:p>
          <w:p>
            <w:pPr>
              <w:pStyle w:val="TableParagraph"/>
              <w:ind w:left="133"/>
              <w:rPr>
                <w:sz w:val="20"/>
              </w:rPr>
            </w:pPr>
            <w:r>
              <w:rPr>
                <w:sz w:val="20"/>
              </w:rPr>
              <w:t>Flash Memory</w:t>
            </w:r>
          </w:p>
        </w:tc>
        <w:tc>
          <w:tcPr>
            <w:tcW w:w="125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rPr>
                <w:b/>
                <w:sz w:val="32"/>
              </w:rPr>
            </w:pPr>
          </w:p>
          <w:p>
            <w:pPr>
              <w:pStyle w:val="TableParagraph"/>
              <w:ind w:left="95"/>
              <w:rPr>
                <w:sz w:val="20"/>
              </w:rPr>
            </w:pPr>
            <w:r>
              <w:rPr>
                <w:sz w:val="20"/>
              </w:rPr>
              <w:t>Non-volatile</w:t>
            </w:r>
          </w:p>
        </w:tc>
        <w:tc>
          <w:tcPr>
            <w:tcW w:w="172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rPr>
                <w:b/>
                <w:sz w:val="32"/>
              </w:rPr>
            </w:pPr>
          </w:p>
          <w:p>
            <w:pPr>
              <w:pStyle w:val="TableParagraph"/>
              <w:ind w:left="84"/>
              <w:rPr>
                <w:sz w:val="20"/>
              </w:rPr>
            </w:pPr>
            <w:r>
              <w:rPr>
                <w:sz w:val="20"/>
              </w:rPr>
              <w:t>Program memory</w:t>
            </w:r>
          </w:p>
        </w:tc>
        <w:tc>
          <w:tcPr>
            <w:tcW w:w="1850" w:type="dxa"/>
            <w:tcBorders>
              <w:top w:val="single" w:sz="6" w:space="0" w:color="000000"/>
              <w:left w:val="single" w:sz="6" w:space="0" w:color="000000"/>
              <w:bottom w:val="single" w:sz="6" w:space="0" w:color="000000"/>
              <w:right w:val="single" w:sz="6" w:space="0" w:color="000000"/>
            </w:tcBorders>
          </w:tcPr>
          <w:p>
            <w:pPr>
              <w:pStyle w:val="TableParagraph"/>
              <w:spacing w:line="230" w:lineRule="atLeast" w:before="11"/>
              <w:ind w:left="189" w:right="83" w:hanging="94"/>
              <w:rPr>
                <w:sz w:val="20"/>
              </w:rPr>
            </w:pPr>
            <w:r>
              <w:rPr>
                <w:sz w:val="20"/>
              </w:rPr>
              <w:t>MPU Program and non-volatile data</w:t>
            </w:r>
          </w:p>
        </w:tc>
        <w:tc>
          <w:tcPr>
            <w:tcW w:w="1464" w:type="dxa"/>
            <w:tcBorders>
              <w:top w:val="single" w:sz="6" w:space="0" w:color="000000"/>
              <w:left w:val="single" w:sz="6" w:space="0" w:color="000000"/>
              <w:bottom w:val="single" w:sz="6" w:space="0" w:color="000000"/>
            </w:tcBorders>
          </w:tcPr>
          <w:p>
            <w:pPr>
              <w:pStyle w:val="TableParagraph"/>
              <w:spacing w:before="126"/>
              <w:ind w:left="243" w:right="238"/>
              <w:jc w:val="center"/>
              <w:rPr>
                <w:sz w:val="20"/>
              </w:rPr>
            </w:pPr>
            <w:r>
              <w:rPr>
                <w:sz w:val="20"/>
              </w:rPr>
              <w:t>64 KB</w:t>
            </w:r>
          </w:p>
        </w:tc>
      </w:tr>
      <w:tr>
        <w:trPr>
          <w:trHeight w:val="488" w:hRule="atLeast"/>
        </w:trPr>
        <w:tc>
          <w:tcPr>
            <w:tcW w:w="1529" w:type="dxa"/>
            <w:vMerge/>
            <w:tcBorders>
              <w:top w:val="nil"/>
              <w:bottom w:val="single" w:sz="6" w:space="0" w:color="000000"/>
              <w:right w:val="single" w:sz="6" w:space="0" w:color="000000"/>
            </w:tcBorders>
          </w:tcPr>
          <w:p>
            <w:pPr>
              <w:rPr>
                <w:sz w:val="2"/>
                <w:szCs w:val="2"/>
              </w:rPr>
            </w:pPr>
          </w:p>
        </w:tc>
        <w:tc>
          <w:tcPr>
            <w:tcW w:w="1543" w:type="dxa"/>
            <w:vMerge/>
            <w:tcBorders>
              <w:top w:val="nil"/>
              <w:left w:val="single" w:sz="6" w:space="0" w:color="000000"/>
              <w:bottom w:val="single" w:sz="6" w:space="0" w:color="000000"/>
              <w:right w:val="single" w:sz="6" w:space="0" w:color="000000"/>
            </w:tcBorders>
          </w:tcPr>
          <w:p>
            <w:pPr>
              <w:rPr>
                <w:sz w:val="2"/>
                <w:szCs w:val="2"/>
              </w:rPr>
            </w:pPr>
          </w:p>
        </w:tc>
        <w:tc>
          <w:tcPr>
            <w:tcW w:w="1250" w:type="dxa"/>
            <w:vMerge/>
            <w:tcBorders>
              <w:top w:val="nil"/>
              <w:left w:val="single" w:sz="6" w:space="0" w:color="000000"/>
              <w:bottom w:val="single" w:sz="6" w:space="0" w:color="000000"/>
              <w:right w:val="single" w:sz="6" w:space="0" w:color="000000"/>
            </w:tcBorders>
          </w:tcPr>
          <w:p>
            <w:pPr>
              <w:rPr>
                <w:sz w:val="2"/>
                <w:szCs w:val="2"/>
              </w:rPr>
            </w:pPr>
          </w:p>
        </w:tc>
        <w:tc>
          <w:tcPr>
            <w:tcW w:w="1723" w:type="dxa"/>
            <w:vMerge/>
            <w:tcBorders>
              <w:top w:val="nil"/>
              <w:left w:val="single" w:sz="6" w:space="0" w:color="000000"/>
              <w:bottom w:val="single" w:sz="6" w:space="0" w:color="000000"/>
              <w:right w:val="single" w:sz="6" w:space="0" w:color="000000"/>
            </w:tcBorders>
          </w:tcPr>
          <w:p>
            <w:pPr>
              <w:rPr>
                <w:sz w:val="2"/>
                <w:szCs w:val="2"/>
              </w:rPr>
            </w:pPr>
          </w:p>
        </w:tc>
        <w:tc>
          <w:tcPr>
            <w:tcW w:w="1850" w:type="dxa"/>
            <w:tcBorders>
              <w:top w:val="single" w:sz="6" w:space="0" w:color="000000"/>
              <w:left w:val="single" w:sz="6" w:space="0" w:color="000000"/>
              <w:bottom w:val="single" w:sz="6" w:space="0" w:color="000000"/>
              <w:right w:val="single" w:sz="6" w:space="0" w:color="000000"/>
            </w:tcBorders>
          </w:tcPr>
          <w:p>
            <w:pPr>
              <w:pStyle w:val="TableParagraph"/>
              <w:spacing w:line="230" w:lineRule="atLeast" w:before="11"/>
              <w:ind w:left="91" w:right="77" w:firstLine="292"/>
              <w:rPr>
                <w:sz w:val="20"/>
              </w:rPr>
            </w:pPr>
            <w:r>
              <w:rPr>
                <w:sz w:val="20"/>
              </w:rPr>
              <w:t>CE program </w:t>
            </w:r>
            <w:r>
              <w:rPr>
                <w:spacing w:val="-4"/>
                <w:sz w:val="20"/>
              </w:rPr>
              <w:t>(on </w:t>
            </w:r>
            <w:r>
              <w:rPr>
                <w:sz w:val="20"/>
              </w:rPr>
              <w:t>1 KB</w:t>
            </w:r>
            <w:r>
              <w:rPr>
                <w:spacing w:val="-18"/>
                <w:sz w:val="20"/>
              </w:rPr>
              <w:t> </w:t>
            </w:r>
            <w:r>
              <w:rPr>
                <w:spacing w:val="-6"/>
                <w:sz w:val="20"/>
              </w:rPr>
              <w:t>boundary)</w:t>
            </w:r>
          </w:p>
        </w:tc>
        <w:tc>
          <w:tcPr>
            <w:tcW w:w="1464" w:type="dxa"/>
            <w:tcBorders>
              <w:top w:val="single" w:sz="6" w:space="0" w:color="000000"/>
              <w:left w:val="single" w:sz="6" w:space="0" w:color="000000"/>
              <w:bottom w:val="single" w:sz="6" w:space="0" w:color="000000"/>
            </w:tcBorders>
          </w:tcPr>
          <w:p>
            <w:pPr>
              <w:pStyle w:val="TableParagraph"/>
              <w:spacing w:before="126"/>
              <w:ind w:left="249" w:right="238"/>
              <w:jc w:val="center"/>
              <w:rPr>
                <w:sz w:val="20"/>
              </w:rPr>
            </w:pPr>
            <w:r>
              <w:rPr>
                <w:sz w:val="20"/>
              </w:rPr>
              <w:t>3 KB max.</w:t>
            </w:r>
          </w:p>
        </w:tc>
      </w:tr>
      <w:tr>
        <w:trPr>
          <w:trHeight w:val="486" w:hRule="atLeast"/>
        </w:trPr>
        <w:tc>
          <w:tcPr>
            <w:tcW w:w="1529" w:type="dxa"/>
            <w:tcBorders>
              <w:top w:val="single" w:sz="6" w:space="0" w:color="000000"/>
              <w:bottom w:val="single" w:sz="6" w:space="0" w:color="000000"/>
              <w:right w:val="single" w:sz="6" w:space="0" w:color="000000"/>
            </w:tcBorders>
          </w:tcPr>
          <w:p>
            <w:pPr>
              <w:pStyle w:val="TableParagraph"/>
              <w:spacing w:before="126"/>
              <w:ind w:left="252" w:right="246"/>
              <w:jc w:val="center"/>
              <w:rPr>
                <w:sz w:val="20"/>
              </w:rPr>
            </w:pPr>
            <w:r>
              <w:rPr>
                <w:sz w:val="20"/>
              </w:rPr>
              <w:t>0000-13FF</w:t>
            </w:r>
          </w:p>
        </w:tc>
        <w:tc>
          <w:tcPr>
            <w:tcW w:w="1543" w:type="dxa"/>
            <w:tcBorders>
              <w:top w:val="single" w:sz="6" w:space="0" w:color="000000"/>
              <w:left w:val="single" w:sz="6" w:space="0" w:color="000000"/>
              <w:bottom w:val="single" w:sz="6" w:space="0" w:color="000000"/>
              <w:right w:val="single" w:sz="6" w:space="0" w:color="000000"/>
            </w:tcBorders>
          </w:tcPr>
          <w:p>
            <w:pPr>
              <w:pStyle w:val="TableParagraph"/>
              <w:spacing w:before="126"/>
              <w:ind w:left="244" w:right="242"/>
              <w:jc w:val="center"/>
              <w:rPr>
                <w:sz w:val="20"/>
              </w:rPr>
            </w:pPr>
            <w:r>
              <w:rPr>
                <w:sz w:val="20"/>
              </w:rPr>
              <w:t>Static RAM</w:t>
            </w:r>
          </w:p>
        </w:tc>
        <w:tc>
          <w:tcPr>
            <w:tcW w:w="1250" w:type="dxa"/>
            <w:tcBorders>
              <w:top w:val="single" w:sz="6" w:space="0" w:color="000000"/>
              <w:left w:val="single" w:sz="6" w:space="0" w:color="000000"/>
              <w:bottom w:val="single" w:sz="6" w:space="0" w:color="000000"/>
              <w:right w:val="single" w:sz="6" w:space="0" w:color="000000"/>
            </w:tcBorders>
          </w:tcPr>
          <w:p>
            <w:pPr>
              <w:pStyle w:val="TableParagraph"/>
              <w:spacing w:before="126"/>
              <w:ind w:left="273" w:right="266"/>
              <w:jc w:val="center"/>
              <w:rPr>
                <w:sz w:val="20"/>
              </w:rPr>
            </w:pPr>
            <w:r>
              <w:rPr>
                <w:sz w:val="20"/>
              </w:rPr>
              <w:t>Volatile</w:t>
            </w:r>
          </w:p>
        </w:tc>
        <w:tc>
          <w:tcPr>
            <w:tcW w:w="1723" w:type="dxa"/>
            <w:tcBorders>
              <w:top w:val="single" w:sz="6" w:space="0" w:color="000000"/>
              <w:left w:val="single" w:sz="6" w:space="0" w:color="000000"/>
              <w:bottom w:val="single" w:sz="6" w:space="0" w:color="000000"/>
              <w:right w:val="single" w:sz="6" w:space="0" w:color="000000"/>
            </w:tcBorders>
          </w:tcPr>
          <w:p>
            <w:pPr>
              <w:pStyle w:val="TableParagraph"/>
              <w:spacing w:line="230" w:lineRule="atLeast" w:before="11"/>
              <w:ind w:left="501" w:right="213" w:hanging="260"/>
              <w:rPr>
                <w:sz w:val="20"/>
              </w:rPr>
            </w:pPr>
            <w:r>
              <w:rPr>
                <w:sz w:val="20"/>
              </w:rPr>
              <w:t>External RAM (XRAM)</w:t>
            </w:r>
          </w:p>
        </w:tc>
        <w:tc>
          <w:tcPr>
            <w:tcW w:w="1850" w:type="dxa"/>
            <w:tcBorders>
              <w:top w:val="single" w:sz="6" w:space="0" w:color="000000"/>
              <w:left w:val="single" w:sz="6" w:space="0" w:color="000000"/>
              <w:bottom w:val="single" w:sz="6" w:space="0" w:color="000000"/>
              <w:right w:val="single" w:sz="6" w:space="0" w:color="000000"/>
            </w:tcBorders>
          </w:tcPr>
          <w:p>
            <w:pPr>
              <w:pStyle w:val="TableParagraph"/>
              <w:spacing w:line="230" w:lineRule="atLeast" w:before="11"/>
              <w:ind w:left="701" w:hanging="593"/>
              <w:rPr>
                <w:sz w:val="20"/>
              </w:rPr>
            </w:pPr>
            <w:r>
              <w:rPr>
                <w:sz w:val="20"/>
              </w:rPr>
              <w:t>Shared by CE and MPU</w:t>
            </w:r>
          </w:p>
        </w:tc>
        <w:tc>
          <w:tcPr>
            <w:tcW w:w="1464" w:type="dxa"/>
            <w:tcBorders>
              <w:top w:val="single" w:sz="6" w:space="0" w:color="000000"/>
              <w:left w:val="single" w:sz="6" w:space="0" w:color="000000"/>
              <w:bottom w:val="single" w:sz="6" w:space="0" w:color="000000"/>
            </w:tcBorders>
          </w:tcPr>
          <w:p>
            <w:pPr>
              <w:pStyle w:val="TableParagraph"/>
              <w:spacing w:before="126"/>
              <w:ind w:left="244" w:right="238"/>
              <w:jc w:val="center"/>
              <w:rPr>
                <w:sz w:val="20"/>
              </w:rPr>
            </w:pPr>
            <w:r>
              <w:rPr>
                <w:sz w:val="20"/>
              </w:rPr>
              <w:t>5 KB</w:t>
            </w:r>
          </w:p>
        </w:tc>
      </w:tr>
      <w:tr>
        <w:trPr>
          <w:trHeight w:val="489" w:hRule="atLeast"/>
        </w:trPr>
        <w:tc>
          <w:tcPr>
            <w:tcW w:w="1529" w:type="dxa"/>
            <w:tcBorders>
              <w:top w:val="single" w:sz="6" w:space="0" w:color="000000"/>
              <w:bottom w:val="single" w:sz="6" w:space="0" w:color="000000"/>
              <w:right w:val="single" w:sz="6" w:space="0" w:color="000000"/>
            </w:tcBorders>
          </w:tcPr>
          <w:p>
            <w:pPr>
              <w:pStyle w:val="TableParagraph"/>
              <w:spacing w:before="126"/>
              <w:ind w:left="252" w:right="246"/>
              <w:jc w:val="center"/>
              <w:rPr>
                <w:sz w:val="20"/>
              </w:rPr>
            </w:pPr>
            <w:r>
              <w:rPr>
                <w:sz w:val="20"/>
              </w:rPr>
              <w:t>2000-27FF</w:t>
            </w:r>
          </w:p>
        </w:tc>
        <w:tc>
          <w:tcPr>
            <w:tcW w:w="1543" w:type="dxa"/>
            <w:tcBorders>
              <w:top w:val="single" w:sz="6" w:space="0" w:color="000000"/>
              <w:left w:val="single" w:sz="6" w:space="0" w:color="000000"/>
              <w:bottom w:val="single" w:sz="6" w:space="0" w:color="000000"/>
              <w:right w:val="single" w:sz="6" w:space="0" w:color="000000"/>
            </w:tcBorders>
          </w:tcPr>
          <w:p>
            <w:pPr>
              <w:pStyle w:val="TableParagraph"/>
              <w:spacing w:before="126"/>
              <w:ind w:left="244" w:right="242"/>
              <w:jc w:val="center"/>
              <w:rPr>
                <w:sz w:val="20"/>
              </w:rPr>
            </w:pPr>
            <w:r>
              <w:rPr>
                <w:sz w:val="20"/>
              </w:rPr>
              <w:t>Static RAM</w:t>
            </w:r>
          </w:p>
        </w:tc>
        <w:tc>
          <w:tcPr>
            <w:tcW w:w="1250" w:type="dxa"/>
            <w:tcBorders>
              <w:top w:val="single" w:sz="6" w:space="0" w:color="000000"/>
              <w:left w:val="single" w:sz="6" w:space="0" w:color="000000"/>
              <w:bottom w:val="single" w:sz="6" w:space="0" w:color="000000"/>
              <w:right w:val="single" w:sz="6" w:space="0" w:color="000000"/>
            </w:tcBorders>
          </w:tcPr>
          <w:p>
            <w:pPr>
              <w:pStyle w:val="TableParagraph"/>
              <w:spacing w:before="126"/>
              <w:ind w:left="273" w:right="266"/>
              <w:jc w:val="center"/>
              <w:rPr>
                <w:sz w:val="20"/>
              </w:rPr>
            </w:pPr>
            <w:r>
              <w:rPr>
                <w:sz w:val="20"/>
              </w:rPr>
              <w:t>Volatile</w:t>
            </w:r>
          </w:p>
        </w:tc>
        <w:tc>
          <w:tcPr>
            <w:tcW w:w="1723" w:type="dxa"/>
            <w:tcBorders>
              <w:top w:val="single" w:sz="6" w:space="0" w:color="000000"/>
              <w:left w:val="single" w:sz="6" w:space="0" w:color="000000"/>
              <w:bottom w:val="single" w:sz="6" w:space="0" w:color="000000"/>
              <w:right w:val="single" w:sz="6" w:space="0" w:color="000000"/>
            </w:tcBorders>
          </w:tcPr>
          <w:p>
            <w:pPr>
              <w:pStyle w:val="TableParagraph"/>
              <w:spacing w:line="228" w:lineRule="exact" w:before="19"/>
              <w:ind w:left="158" w:right="130" w:firstLine="105"/>
              <w:rPr>
                <w:sz w:val="20"/>
              </w:rPr>
            </w:pPr>
            <w:r>
              <w:rPr>
                <w:sz w:val="20"/>
              </w:rPr>
              <w:t>Configuration RAM (I/O RAM)</w:t>
            </w:r>
          </w:p>
        </w:tc>
        <w:tc>
          <w:tcPr>
            <w:tcW w:w="1850" w:type="dxa"/>
            <w:tcBorders>
              <w:top w:val="single" w:sz="6" w:space="0" w:color="000000"/>
              <w:left w:val="single" w:sz="6" w:space="0" w:color="000000"/>
              <w:bottom w:val="single" w:sz="6" w:space="0" w:color="000000"/>
              <w:right w:val="single" w:sz="6" w:space="0" w:color="000000"/>
            </w:tcBorders>
          </w:tcPr>
          <w:p>
            <w:pPr>
              <w:pStyle w:val="TableParagraph"/>
              <w:spacing w:before="126"/>
              <w:ind w:left="56" w:right="47"/>
              <w:jc w:val="center"/>
              <w:rPr>
                <w:sz w:val="20"/>
              </w:rPr>
            </w:pPr>
            <w:r>
              <w:rPr>
                <w:sz w:val="20"/>
              </w:rPr>
              <w:t>Hardware control</w:t>
            </w:r>
          </w:p>
        </w:tc>
        <w:tc>
          <w:tcPr>
            <w:tcW w:w="1464" w:type="dxa"/>
            <w:tcBorders>
              <w:top w:val="single" w:sz="6" w:space="0" w:color="000000"/>
              <w:left w:val="single" w:sz="6" w:space="0" w:color="000000"/>
              <w:bottom w:val="single" w:sz="6" w:space="0" w:color="000000"/>
            </w:tcBorders>
          </w:tcPr>
          <w:p>
            <w:pPr>
              <w:pStyle w:val="TableParagraph"/>
              <w:spacing w:before="126"/>
              <w:ind w:left="243" w:right="238"/>
              <w:jc w:val="center"/>
              <w:rPr>
                <w:sz w:val="20"/>
              </w:rPr>
            </w:pPr>
            <w:r>
              <w:rPr>
                <w:sz w:val="20"/>
              </w:rPr>
              <w:t>2 KB</w:t>
            </w:r>
          </w:p>
        </w:tc>
      </w:tr>
      <w:tr>
        <w:trPr>
          <w:trHeight w:val="488" w:hRule="atLeast"/>
        </w:trPr>
        <w:tc>
          <w:tcPr>
            <w:tcW w:w="1529" w:type="dxa"/>
            <w:tcBorders>
              <w:top w:val="single" w:sz="6" w:space="0" w:color="000000"/>
              <w:bottom w:val="single" w:sz="6" w:space="0" w:color="000000"/>
              <w:right w:val="single" w:sz="6" w:space="0" w:color="000000"/>
            </w:tcBorders>
          </w:tcPr>
          <w:p>
            <w:pPr>
              <w:pStyle w:val="TableParagraph"/>
              <w:spacing w:before="126"/>
              <w:ind w:left="252" w:right="244"/>
              <w:jc w:val="center"/>
              <w:rPr>
                <w:sz w:val="20"/>
              </w:rPr>
            </w:pPr>
            <w:r>
              <w:rPr>
                <w:sz w:val="20"/>
              </w:rPr>
              <w:t>2800-287F</w:t>
            </w:r>
          </w:p>
        </w:tc>
        <w:tc>
          <w:tcPr>
            <w:tcW w:w="1543" w:type="dxa"/>
            <w:tcBorders>
              <w:top w:val="single" w:sz="6" w:space="0" w:color="000000"/>
              <w:left w:val="single" w:sz="6" w:space="0" w:color="000000"/>
              <w:bottom w:val="single" w:sz="6" w:space="0" w:color="000000"/>
              <w:right w:val="single" w:sz="6" w:space="0" w:color="000000"/>
            </w:tcBorders>
          </w:tcPr>
          <w:p>
            <w:pPr>
              <w:pStyle w:val="TableParagraph"/>
              <w:spacing w:before="126"/>
              <w:ind w:left="244" w:right="242"/>
              <w:jc w:val="center"/>
              <w:rPr>
                <w:sz w:val="20"/>
              </w:rPr>
            </w:pPr>
            <w:r>
              <w:rPr>
                <w:sz w:val="20"/>
              </w:rPr>
              <w:t>Static RAM</w:t>
            </w:r>
          </w:p>
        </w:tc>
        <w:tc>
          <w:tcPr>
            <w:tcW w:w="1250" w:type="dxa"/>
            <w:tcBorders>
              <w:top w:val="single" w:sz="6" w:space="0" w:color="000000"/>
              <w:left w:val="single" w:sz="6" w:space="0" w:color="000000"/>
              <w:bottom w:val="single" w:sz="6" w:space="0" w:color="000000"/>
              <w:right w:val="single" w:sz="6" w:space="0" w:color="000000"/>
            </w:tcBorders>
          </w:tcPr>
          <w:p>
            <w:pPr>
              <w:pStyle w:val="TableParagraph"/>
              <w:spacing w:line="230" w:lineRule="atLeast" w:before="11"/>
              <w:ind w:left="251" w:hanging="156"/>
              <w:rPr>
                <w:sz w:val="20"/>
              </w:rPr>
            </w:pPr>
            <w:r>
              <w:rPr>
                <w:w w:val="95"/>
                <w:sz w:val="20"/>
              </w:rPr>
              <w:t>Non-volatile </w:t>
            </w:r>
            <w:r>
              <w:rPr>
                <w:sz w:val="20"/>
              </w:rPr>
              <w:t>(battery)</w:t>
            </w:r>
          </w:p>
        </w:tc>
        <w:tc>
          <w:tcPr>
            <w:tcW w:w="1723" w:type="dxa"/>
            <w:tcBorders>
              <w:top w:val="single" w:sz="6" w:space="0" w:color="000000"/>
              <w:left w:val="single" w:sz="6" w:space="0" w:color="000000"/>
              <w:bottom w:val="single" w:sz="6" w:space="0" w:color="000000"/>
              <w:right w:val="single" w:sz="6" w:space="0" w:color="000000"/>
            </w:tcBorders>
          </w:tcPr>
          <w:p>
            <w:pPr>
              <w:pStyle w:val="TableParagraph"/>
              <w:spacing w:line="230" w:lineRule="atLeast" w:before="11"/>
              <w:ind w:left="158" w:right="130" w:firstLine="105"/>
              <w:rPr>
                <w:sz w:val="20"/>
              </w:rPr>
            </w:pPr>
            <w:r>
              <w:rPr>
                <w:sz w:val="20"/>
              </w:rPr>
              <w:t>Configuration RAM (I/O RAM)</w:t>
            </w:r>
          </w:p>
        </w:tc>
        <w:tc>
          <w:tcPr>
            <w:tcW w:w="1850" w:type="dxa"/>
            <w:tcBorders>
              <w:top w:val="single" w:sz="6" w:space="0" w:color="000000"/>
              <w:left w:val="single" w:sz="6" w:space="0" w:color="000000"/>
              <w:bottom w:val="single" w:sz="6" w:space="0" w:color="000000"/>
              <w:right w:val="single" w:sz="6" w:space="0" w:color="000000"/>
            </w:tcBorders>
          </w:tcPr>
          <w:p>
            <w:pPr>
              <w:pStyle w:val="TableParagraph"/>
              <w:spacing w:line="230" w:lineRule="atLeast" w:before="11"/>
              <w:ind w:left="561" w:right="83" w:hanging="356"/>
              <w:rPr>
                <w:sz w:val="20"/>
              </w:rPr>
            </w:pPr>
            <w:r>
              <w:rPr>
                <w:w w:val="95"/>
                <w:sz w:val="20"/>
              </w:rPr>
              <w:t>Battery-buffered </w:t>
            </w:r>
            <w:r>
              <w:rPr>
                <w:sz w:val="20"/>
              </w:rPr>
              <w:t>memory</w:t>
            </w:r>
          </w:p>
        </w:tc>
        <w:tc>
          <w:tcPr>
            <w:tcW w:w="1464" w:type="dxa"/>
            <w:tcBorders>
              <w:top w:val="single" w:sz="6" w:space="0" w:color="000000"/>
              <w:left w:val="single" w:sz="6" w:space="0" w:color="000000"/>
              <w:bottom w:val="single" w:sz="6" w:space="0" w:color="000000"/>
            </w:tcBorders>
          </w:tcPr>
          <w:p>
            <w:pPr>
              <w:pStyle w:val="TableParagraph"/>
              <w:spacing w:before="126"/>
              <w:ind w:left="242" w:right="238"/>
              <w:jc w:val="center"/>
              <w:rPr>
                <w:sz w:val="20"/>
              </w:rPr>
            </w:pPr>
            <w:r>
              <w:rPr>
                <w:sz w:val="20"/>
              </w:rPr>
              <w:t>128</w:t>
            </w:r>
          </w:p>
        </w:tc>
      </w:tr>
      <w:tr>
        <w:trPr>
          <w:trHeight w:val="256" w:hRule="atLeast"/>
        </w:trPr>
        <w:tc>
          <w:tcPr>
            <w:tcW w:w="1529" w:type="dxa"/>
            <w:tcBorders>
              <w:top w:val="single" w:sz="6" w:space="0" w:color="000000"/>
              <w:right w:val="single" w:sz="6" w:space="0" w:color="000000"/>
            </w:tcBorders>
          </w:tcPr>
          <w:p>
            <w:pPr>
              <w:pStyle w:val="TableParagraph"/>
              <w:spacing w:line="225" w:lineRule="exact" w:before="11"/>
              <w:ind w:left="252" w:right="246"/>
              <w:jc w:val="center"/>
              <w:rPr>
                <w:sz w:val="20"/>
              </w:rPr>
            </w:pPr>
            <w:r>
              <w:rPr>
                <w:sz w:val="20"/>
              </w:rPr>
              <w:t>0000-00FF</w:t>
            </w:r>
          </w:p>
        </w:tc>
        <w:tc>
          <w:tcPr>
            <w:tcW w:w="1543" w:type="dxa"/>
            <w:tcBorders>
              <w:top w:val="single" w:sz="6" w:space="0" w:color="000000"/>
              <w:left w:val="single" w:sz="6" w:space="0" w:color="000000"/>
              <w:right w:val="single" w:sz="6" w:space="0" w:color="000000"/>
            </w:tcBorders>
          </w:tcPr>
          <w:p>
            <w:pPr>
              <w:pStyle w:val="TableParagraph"/>
              <w:spacing w:line="225" w:lineRule="exact" w:before="11"/>
              <w:ind w:left="244" w:right="242"/>
              <w:jc w:val="center"/>
              <w:rPr>
                <w:sz w:val="20"/>
              </w:rPr>
            </w:pPr>
            <w:r>
              <w:rPr>
                <w:sz w:val="20"/>
              </w:rPr>
              <w:t>Static RAM</w:t>
            </w:r>
          </w:p>
        </w:tc>
        <w:tc>
          <w:tcPr>
            <w:tcW w:w="1250" w:type="dxa"/>
            <w:tcBorders>
              <w:top w:val="single" w:sz="6" w:space="0" w:color="000000"/>
              <w:left w:val="single" w:sz="6" w:space="0" w:color="000000"/>
              <w:right w:val="single" w:sz="6" w:space="0" w:color="000000"/>
            </w:tcBorders>
          </w:tcPr>
          <w:p>
            <w:pPr>
              <w:pStyle w:val="TableParagraph"/>
              <w:spacing w:line="225" w:lineRule="exact" w:before="11"/>
              <w:ind w:left="273" w:right="266"/>
              <w:jc w:val="center"/>
              <w:rPr>
                <w:sz w:val="20"/>
              </w:rPr>
            </w:pPr>
            <w:r>
              <w:rPr>
                <w:sz w:val="20"/>
              </w:rPr>
              <w:t>Volatile</w:t>
            </w:r>
          </w:p>
        </w:tc>
        <w:tc>
          <w:tcPr>
            <w:tcW w:w="1723" w:type="dxa"/>
            <w:tcBorders>
              <w:top w:val="single" w:sz="6" w:space="0" w:color="000000"/>
              <w:left w:val="single" w:sz="6" w:space="0" w:color="000000"/>
              <w:right w:val="single" w:sz="6" w:space="0" w:color="000000"/>
            </w:tcBorders>
          </w:tcPr>
          <w:p>
            <w:pPr>
              <w:pStyle w:val="TableParagraph"/>
              <w:spacing w:line="225" w:lineRule="exact" w:before="11"/>
              <w:ind w:left="251" w:right="248"/>
              <w:jc w:val="center"/>
              <w:rPr>
                <w:sz w:val="20"/>
              </w:rPr>
            </w:pPr>
            <w:r>
              <w:rPr>
                <w:sz w:val="20"/>
              </w:rPr>
              <w:t>Internal RAM</w:t>
            </w:r>
          </w:p>
        </w:tc>
        <w:tc>
          <w:tcPr>
            <w:tcW w:w="1850" w:type="dxa"/>
            <w:tcBorders>
              <w:top w:val="single" w:sz="6" w:space="0" w:color="000000"/>
              <w:left w:val="single" w:sz="6" w:space="0" w:color="000000"/>
              <w:right w:val="single" w:sz="6" w:space="0" w:color="000000"/>
            </w:tcBorders>
          </w:tcPr>
          <w:p>
            <w:pPr>
              <w:pStyle w:val="TableParagraph"/>
              <w:spacing w:line="225" w:lineRule="exact" w:before="11"/>
              <w:ind w:left="57" w:right="47"/>
              <w:jc w:val="center"/>
              <w:rPr>
                <w:sz w:val="20"/>
              </w:rPr>
            </w:pPr>
            <w:r>
              <w:rPr>
                <w:sz w:val="20"/>
              </w:rPr>
              <w:t>Part of 80515 Core</w:t>
            </w:r>
          </w:p>
        </w:tc>
        <w:tc>
          <w:tcPr>
            <w:tcW w:w="1464" w:type="dxa"/>
            <w:tcBorders>
              <w:top w:val="single" w:sz="6" w:space="0" w:color="000000"/>
              <w:left w:val="single" w:sz="6" w:space="0" w:color="000000"/>
            </w:tcBorders>
          </w:tcPr>
          <w:p>
            <w:pPr>
              <w:pStyle w:val="TableParagraph"/>
              <w:spacing w:line="225" w:lineRule="exact" w:before="11"/>
              <w:ind w:left="242" w:right="238"/>
              <w:jc w:val="center"/>
              <w:rPr>
                <w:sz w:val="20"/>
              </w:rPr>
            </w:pPr>
            <w:r>
              <w:rPr>
                <w:sz w:val="20"/>
              </w:rPr>
              <w:t>256</w:t>
            </w:r>
          </w:p>
        </w:tc>
      </w:tr>
    </w:tbl>
    <w:p>
      <w:pPr>
        <w:pStyle w:val="BodyText"/>
        <w:spacing w:before="2"/>
        <w:rPr>
          <w:b/>
          <w:sz w:val="30"/>
        </w:rPr>
      </w:pPr>
    </w:p>
    <w:p>
      <w:pPr>
        <w:spacing w:before="1"/>
        <w:ind w:left="620" w:right="0" w:firstLine="0"/>
        <w:jc w:val="left"/>
        <w:rPr>
          <w:b/>
          <w:sz w:val="20"/>
        </w:rPr>
      </w:pPr>
      <w:bookmarkStart w:name="MOVX Addressing" w:id="102"/>
      <w:bookmarkEnd w:id="102"/>
      <w:r>
        <w:rPr/>
      </w:r>
      <w:bookmarkStart w:name="_bookmark44" w:id="103"/>
      <w:bookmarkEnd w:id="103"/>
      <w:r>
        <w:rPr/>
      </w:r>
      <w:r>
        <w:rPr>
          <w:b/>
          <w:sz w:val="20"/>
        </w:rPr>
        <w:t>MOVX Addressing</w:t>
      </w:r>
    </w:p>
    <w:p>
      <w:pPr>
        <w:pStyle w:val="BodyText"/>
        <w:spacing w:before="79"/>
        <w:ind w:left="619" w:right="771"/>
      </w:pPr>
      <w:r>
        <w:rPr/>
        <w:t>There are two types of instructions differing in whether they provide an 8-bit or 16-bit indirect address to the external data RAM.</w:t>
      </w:r>
    </w:p>
    <w:p>
      <w:pPr>
        <w:pStyle w:val="BodyText"/>
        <w:spacing w:before="121"/>
        <w:ind w:left="619" w:right="875"/>
      </w:pPr>
      <w:r>
        <w:rPr/>
        <w:t>In the first type, MOVX A,@Ri, the contents of R0 or R1 in the current register bank provide the eight lower-ordered bits of address. The eight high-ordered bits of the address are specified with the </w:t>
      </w:r>
      <w:r>
        <w:rPr>
          <w:rFonts w:ascii="Times New Roman"/>
          <w:i/>
        </w:rPr>
        <w:t>PDATA </w:t>
      </w:r>
      <w:r>
        <w:rPr/>
        <w:t>SFR. This method allows the user paged access (256 pages of 256 bytes each) to all ranges of the external data RAM.</w:t>
      </w:r>
    </w:p>
    <w:p>
      <w:pPr>
        <w:pStyle w:val="BodyText"/>
        <w:spacing w:before="121"/>
        <w:ind w:left="619" w:right="768"/>
      </w:pPr>
      <w:r>
        <w:rPr/>
        <w:t>In the second type of MOVX instruction, MOVX A,@DPTR, the data pointer generates a 16-bit address. This form is faster and more efficient when accessing very large data arrays (up to 64 KB), since no additional instructions are needed to set up the eight high ordered bits of the address.</w:t>
      </w:r>
    </w:p>
    <w:p>
      <w:pPr>
        <w:pStyle w:val="BodyText"/>
        <w:spacing w:before="119"/>
        <w:ind w:left="619" w:right="559"/>
      </w:pPr>
      <w:r>
        <w:rPr/>
        <w:t>It is possible to mix the two MOVX types. This provides the user with four separate data pointers, two with direct access and two with paged access, to the entire 64 KB of external memory range.</w:t>
      </w:r>
    </w:p>
    <w:p>
      <w:pPr>
        <w:spacing w:before="121"/>
        <w:ind w:left="619" w:right="0" w:firstLine="0"/>
        <w:jc w:val="left"/>
        <w:rPr>
          <w:b/>
          <w:sz w:val="20"/>
        </w:rPr>
      </w:pPr>
      <w:bookmarkStart w:name="Dual Data Pointer" w:id="104"/>
      <w:bookmarkEnd w:id="104"/>
      <w:r>
        <w:rPr/>
      </w:r>
      <w:bookmarkStart w:name="_bookmark45" w:id="105"/>
      <w:bookmarkEnd w:id="105"/>
      <w:r>
        <w:rPr/>
      </w:r>
      <w:r>
        <w:rPr>
          <w:b/>
          <w:sz w:val="20"/>
        </w:rPr>
        <w:t>Dual Data Pointer</w:t>
      </w:r>
    </w:p>
    <w:p>
      <w:pPr>
        <w:pStyle w:val="BodyText"/>
        <w:spacing w:before="77"/>
        <w:ind w:left="619" w:right="622"/>
      </w:pPr>
      <w:r>
        <w:rPr/>
        <w:t>The Dual Data Pointer accelerates the block moves of data. The standard </w:t>
      </w:r>
      <w:r>
        <w:rPr>
          <w:rFonts w:ascii="Times New Roman"/>
          <w:i/>
        </w:rPr>
        <w:t>DPTR </w:t>
      </w:r>
      <w:r>
        <w:rPr/>
        <w:t>is a 16-bit register that is used to address external memory or peripherals. In the 80515 core, the standard data pointer is called </w:t>
      </w:r>
      <w:r>
        <w:rPr>
          <w:rFonts w:ascii="Times New Roman"/>
          <w:i/>
        </w:rPr>
        <w:t>DPTR</w:t>
      </w:r>
      <w:r>
        <w:rPr/>
        <w:t>, the second data pointer is called </w:t>
      </w:r>
      <w:r>
        <w:rPr>
          <w:rFonts w:ascii="Times New Roman"/>
          <w:i/>
        </w:rPr>
        <w:t>DPTR1</w:t>
      </w:r>
      <w:r>
        <w:rPr/>
        <w:t>. The data pointer select bit, located in the LSB of the </w:t>
      </w:r>
      <w:r>
        <w:rPr>
          <w:rFonts w:ascii="Times New Roman"/>
          <w:i/>
        </w:rPr>
        <w:t>DPS </w:t>
      </w:r>
      <w:r>
        <w:rPr/>
        <w:t>register (</w:t>
      </w:r>
      <w:r>
        <w:rPr>
          <w:rFonts w:ascii="Times New Roman"/>
          <w:i/>
        </w:rPr>
        <w:t>DPS</w:t>
      </w:r>
      <w:r>
        <w:rPr/>
        <w:t>[0], </w:t>
      </w:r>
      <w:r>
        <w:rPr>
          <w:rFonts w:ascii="Times New Roman"/>
          <w:i/>
        </w:rPr>
        <w:t>SFR 0x92</w:t>
      </w:r>
      <w:r>
        <w:rPr/>
        <w:t>), chooses the active pointer. </w:t>
      </w:r>
      <w:r>
        <w:rPr>
          <w:rFonts w:ascii="Times New Roman"/>
          <w:i/>
        </w:rPr>
        <w:t>DPTR </w:t>
      </w:r>
      <w:r>
        <w:rPr/>
        <w:t>is selected when </w:t>
      </w:r>
      <w:r>
        <w:rPr>
          <w:rFonts w:ascii="Times New Roman"/>
          <w:i/>
        </w:rPr>
        <w:t>DPS</w:t>
      </w:r>
      <w:r>
        <w:rPr/>
        <w:t>[0] = 0 and </w:t>
      </w:r>
      <w:r>
        <w:rPr>
          <w:rFonts w:ascii="Times New Roman"/>
          <w:i/>
        </w:rPr>
        <w:t>DPTR1 </w:t>
      </w:r>
      <w:r>
        <w:rPr/>
        <w:t>is selected when </w:t>
      </w:r>
      <w:r>
        <w:rPr>
          <w:rFonts w:ascii="Times New Roman"/>
          <w:i/>
        </w:rPr>
        <w:t>DPS</w:t>
      </w:r>
      <w:r>
        <w:rPr/>
        <w:t>[0] = 1.</w:t>
      </w:r>
    </w:p>
    <w:p>
      <w:pPr>
        <w:pStyle w:val="BodyText"/>
        <w:spacing w:before="122"/>
        <w:ind w:left="619" w:right="633"/>
      </w:pPr>
      <w:r>
        <w:rPr/>
        <w:t>The </w:t>
      </w:r>
      <w:r>
        <w:rPr>
          <w:spacing w:val="-3"/>
        </w:rPr>
        <w:t>user switches between pointers </w:t>
      </w:r>
      <w:r>
        <w:rPr/>
        <w:t>by </w:t>
      </w:r>
      <w:r>
        <w:rPr>
          <w:spacing w:val="-3"/>
        </w:rPr>
        <w:t>toggling </w:t>
      </w:r>
      <w:r>
        <w:rPr/>
        <w:t>the </w:t>
      </w:r>
      <w:r>
        <w:rPr>
          <w:spacing w:val="-3"/>
        </w:rPr>
        <w:t>LSB </w:t>
      </w:r>
      <w:r>
        <w:rPr/>
        <w:t>of the </w:t>
      </w:r>
      <w:r>
        <w:rPr>
          <w:rFonts w:ascii="Times New Roman"/>
          <w:i/>
          <w:spacing w:val="-3"/>
        </w:rPr>
        <w:t>DPS </w:t>
      </w:r>
      <w:r>
        <w:rPr>
          <w:spacing w:val="-3"/>
        </w:rPr>
        <w:t>register. </w:t>
      </w:r>
      <w:r>
        <w:rPr/>
        <w:t>The </w:t>
      </w:r>
      <w:r>
        <w:rPr>
          <w:spacing w:val="-3"/>
        </w:rPr>
        <w:t>values </w:t>
      </w:r>
      <w:r>
        <w:rPr/>
        <w:t>in the </w:t>
      </w:r>
      <w:r>
        <w:rPr>
          <w:spacing w:val="-3"/>
        </w:rPr>
        <w:t>data pointers </w:t>
      </w:r>
      <w:r>
        <w:rPr/>
        <w:t>are not affected by the LSB of the </w:t>
      </w:r>
      <w:r>
        <w:rPr>
          <w:rFonts w:ascii="Times New Roman"/>
          <w:i/>
        </w:rPr>
        <w:t>DPS </w:t>
      </w:r>
      <w:r>
        <w:rPr/>
        <w:t>register. All </w:t>
      </w:r>
      <w:r>
        <w:rPr>
          <w:rFonts w:ascii="Times New Roman"/>
          <w:i/>
        </w:rPr>
        <w:t>DPTR </w:t>
      </w:r>
      <w:r>
        <w:rPr/>
        <w:t>related instructions use the currently selected </w:t>
      </w:r>
      <w:r>
        <w:rPr>
          <w:rFonts w:ascii="Times New Roman"/>
          <w:i/>
        </w:rPr>
        <w:t>DPTR </w:t>
      </w:r>
      <w:r>
        <w:rPr/>
        <w:t>for any activity.</w:t>
      </w:r>
    </w:p>
    <w:p>
      <w:pPr>
        <w:pStyle w:val="BodyText"/>
        <w:spacing w:before="37"/>
        <w:ind w:left="702"/>
      </w:pPr>
      <w:r>
        <w:rPr>
          <w:position w:val="-6"/>
        </w:rPr>
        <w:drawing>
          <wp:inline distT="0" distB="0" distL="0" distR="0">
            <wp:extent cx="183140" cy="288924"/>
            <wp:effectExtent l="0" t="0" r="0" b="0"/>
            <wp:docPr id="17" name="image64.png" descr="checkmark_-bottomheavy-60-blue"/>
            <wp:cNvGraphicFramePr>
              <a:graphicFrameLocks noChangeAspect="1"/>
            </wp:cNvGraphicFramePr>
            <a:graphic>
              <a:graphicData uri="http://schemas.openxmlformats.org/drawingml/2006/picture">
                <pic:pic>
                  <pic:nvPicPr>
                    <pic:cNvPr id="18" name="image64.png"/>
                    <pic:cNvPicPr/>
                  </pic:nvPicPr>
                  <pic:blipFill>
                    <a:blip r:embed="rId73" cstate="print"/>
                    <a:stretch>
                      <a:fillRect/>
                    </a:stretch>
                  </pic:blipFill>
                  <pic:spPr>
                    <a:xfrm>
                      <a:off x="0" y="0"/>
                      <a:ext cx="183140" cy="288924"/>
                    </a:xfrm>
                    <a:prstGeom prst="rect">
                      <a:avLst/>
                    </a:prstGeom>
                  </pic:spPr>
                </pic:pic>
              </a:graphicData>
            </a:graphic>
          </wp:inline>
        </w:drawing>
      </w:r>
      <w:r>
        <w:rPr>
          <w:position w:val="-6"/>
        </w:rPr>
      </w:r>
      <w:r>
        <w:rPr>
          <w:rFonts w:ascii="Times New Roman"/>
        </w:rPr>
        <w:t>     </w:t>
      </w:r>
      <w:r>
        <w:rPr>
          <w:rFonts w:ascii="Times New Roman"/>
          <w:spacing w:val="-3"/>
        </w:rPr>
        <w:t> </w:t>
      </w:r>
      <w:r>
        <w:rPr/>
        <w:t>The second data pointer may not be supported by certain</w:t>
      </w:r>
      <w:r>
        <w:rPr>
          <w:spacing w:val="-12"/>
        </w:rPr>
        <w:t> </w:t>
      </w:r>
      <w:r>
        <w:rPr/>
        <w:t>compilers.</w:t>
      </w:r>
    </w:p>
    <w:p>
      <w:pPr>
        <w:pStyle w:val="BodyText"/>
        <w:spacing w:before="87"/>
        <w:ind w:left="1250" w:right="559"/>
      </w:pPr>
      <w:r>
        <w:rPr/>
        <w:drawing>
          <wp:anchor distT="0" distB="0" distL="0" distR="0" allowOverlap="1" layoutInCell="1" locked="0" behindDoc="0" simplePos="0" relativeHeight="15762432">
            <wp:simplePos x="0" y="0"/>
            <wp:positionH relativeFrom="page">
              <wp:posOffset>902491</wp:posOffset>
            </wp:positionH>
            <wp:positionV relativeFrom="paragraph">
              <wp:posOffset>88775</wp:posOffset>
            </wp:positionV>
            <wp:extent cx="244972" cy="368146"/>
            <wp:effectExtent l="0" t="0" r="0" b="0"/>
            <wp:wrapNone/>
            <wp:docPr id="19" name="image85.png"/>
            <wp:cNvGraphicFramePr>
              <a:graphicFrameLocks noChangeAspect="1"/>
            </wp:cNvGraphicFramePr>
            <a:graphic>
              <a:graphicData uri="http://schemas.openxmlformats.org/drawingml/2006/picture">
                <pic:pic>
                  <pic:nvPicPr>
                    <pic:cNvPr id="20" name="image85.png"/>
                    <pic:cNvPicPr/>
                  </pic:nvPicPr>
                  <pic:blipFill>
                    <a:blip r:embed="rId102" cstate="print"/>
                    <a:stretch>
                      <a:fillRect/>
                    </a:stretch>
                  </pic:blipFill>
                  <pic:spPr>
                    <a:xfrm>
                      <a:off x="0" y="0"/>
                      <a:ext cx="244972" cy="368146"/>
                    </a:xfrm>
                    <a:prstGeom prst="rect">
                      <a:avLst/>
                    </a:prstGeom>
                  </pic:spPr>
                </pic:pic>
              </a:graphicData>
            </a:graphic>
          </wp:anchor>
        </w:drawing>
      </w:r>
      <w:r>
        <w:rPr>
          <w:rFonts w:ascii="Times New Roman"/>
          <w:i/>
          <w:spacing w:val="-4"/>
        </w:rPr>
        <w:t>DPTR1</w:t>
      </w:r>
      <w:r>
        <w:rPr>
          <w:rFonts w:ascii="Times New Roman"/>
          <w:i/>
          <w:spacing w:val="-3"/>
        </w:rPr>
        <w:t> </w:t>
      </w:r>
      <w:r>
        <w:rPr>
          <w:spacing w:val="-3"/>
        </w:rPr>
        <w:t>is</w:t>
      </w:r>
      <w:r>
        <w:rPr>
          <w:spacing w:val="-8"/>
        </w:rPr>
        <w:t> </w:t>
      </w:r>
      <w:r>
        <w:rPr>
          <w:spacing w:val="-4"/>
        </w:rPr>
        <w:t>useful</w:t>
      </w:r>
      <w:r>
        <w:rPr>
          <w:spacing w:val="-11"/>
        </w:rPr>
        <w:t> </w:t>
      </w:r>
      <w:r>
        <w:rPr>
          <w:spacing w:val="-3"/>
        </w:rPr>
        <w:t>for</w:t>
      </w:r>
      <w:r>
        <w:rPr>
          <w:spacing w:val="-11"/>
        </w:rPr>
        <w:t> </w:t>
      </w:r>
      <w:r>
        <w:rPr/>
        <w:t>copy</w:t>
      </w:r>
      <w:r>
        <w:rPr>
          <w:spacing w:val="-15"/>
        </w:rPr>
        <w:t> </w:t>
      </w:r>
      <w:r>
        <w:rPr>
          <w:spacing w:val="-4"/>
        </w:rPr>
        <w:t>routines,</w:t>
      </w:r>
      <w:r>
        <w:rPr>
          <w:spacing w:val="-9"/>
        </w:rPr>
        <w:t> </w:t>
      </w:r>
      <w:r>
        <w:rPr>
          <w:spacing w:val="-4"/>
        </w:rPr>
        <w:t>where</w:t>
      </w:r>
      <w:r>
        <w:rPr>
          <w:spacing w:val="-10"/>
        </w:rPr>
        <w:t> </w:t>
      </w:r>
      <w:r>
        <w:rPr/>
        <w:t>it</w:t>
      </w:r>
      <w:r>
        <w:rPr>
          <w:spacing w:val="-12"/>
        </w:rPr>
        <w:t> </w:t>
      </w:r>
      <w:r>
        <w:rPr/>
        <w:t>can</w:t>
      </w:r>
      <w:r>
        <w:rPr>
          <w:spacing w:val="-12"/>
        </w:rPr>
        <w:t> </w:t>
      </w:r>
      <w:r>
        <w:rPr>
          <w:spacing w:val="-3"/>
        </w:rPr>
        <w:t>make</w:t>
      </w:r>
      <w:r>
        <w:rPr>
          <w:spacing w:val="-12"/>
        </w:rPr>
        <w:t> </w:t>
      </w:r>
      <w:r>
        <w:rPr>
          <w:spacing w:val="-3"/>
        </w:rPr>
        <w:t>the</w:t>
      </w:r>
      <w:r>
        <w:rPr>
          <w:spacing w:val="-7"/>
        </w:rPr>
        <w:t> </w:t>
      </w:r>
      <w:r>
        <w:rPr>
          <w:spacing w:val="-4"/>
        </w:rPr>
        <w:t>inner</w:t>
      </w:r>
      <w:r>
        <w:rPr>
          <w:spacing w:val="-8"/>
        </w:rPr>
        <w:t> </w:t>
      </w:r>
      <w:r>
        <w:rPr>
          <w:spacing w:val="-3"/>
        </w:rPr>
        <w:t>loop</w:t>
      </w:r>
      <w:r>
        <w:rPr>
          <w:spacing w:val="-10"/>
        </w:rPr>
        <w:t> </w:t>
      </w:r>
      <w:r>
        <w:rPr>
          <w:spacing w:val="-3"/>
        </w:rPr>
        <w:t>of</w:t>
      </w:r>
      <w:r>
        <w:rPr>
          <w:spacing w:val="-9"/>
        </w:rPr>
        <w:t> </w:t>
      </w:r>
      <w:r>
        <w:rPr/>
        <w:t>the</w:t>
      </w:r>
      <w:r>
        <w:rPr>
          <w:spacing w:val="-12"/>
        </w:rPr>
        <w:t> </w:t>
      </w:r>
      <w:r>
        <w:rPr>
          <w:spacing w:val="-4"/>
        </w:rPr>
        <w:t>routine</w:t>
      </w:r>
      <w:r>
        <w:rPr>
          <w:spacing w:val="-9"/>
        </w:rPr>
        <w:t> </w:t>
      </w:r>
      <w:r>
        <w:rPr>
          <w:spacing w:val="-3"/>
        </w:rPr>
        <w:t>two</w:t>
      </w:r>
      <w:r>
        <w:rPr>
          <w:spacing w:val="-7"/>
        </w:rPr>
        <w:t> </w:t>
      </w:r>
      <w:r>
        <w:rPr>
          <w:spacing w:val="-4"/>
        </w:rPr>
        <w:t>instructions</w:t>
      </w:r>
      <w:r>
        <w:rPr>
          <w:spacing w:val="-10"/>
        </w:rPr>
        <w:t> </w:t>
      </w:r>
      <w:r>
        <w:rPr>
          <w:spacing w:val="-4"/>
        </w:rPr>
        <w:t>faster compared </w:t>
      </w:r>
      <w:r>
        <w:rPr/>
        <w:t>to </w:t>
      </w:r>
      <w:r>
        <w:rPr>
          <w:spacing w:val="-3"/>
        </w:rPr>
        <w:t>the </w:t>
      </w:r>
      <w:r>
        <w:rPr>
          <w:spacing w:val="-4"/>
        </w:rPr>
        <w:t>reloading </w:t>
      </w:r>
      <w:r>
        <w:rPr>
          <w:spacing w:val="-3"/>
        </w:rPr>
        <w:t>of </w:t>
      </w:r>
      <w:r>
        <w:rPr>
          <w:rFonts w:ascii="Times New Roman"/>
          <w:i/>
          <w:spacing w:val="-4"/>
        </w:rPr>
        <w:t>DPTR </w:t>
      </w:r>
      <w:r>
        <w:rPr>
          <w:spacing w:val="-4"/>
        </w:rPr>
        <w:t>from registers. </w:t>
      </w:r>
      <w:r>
        <w:rPr>
          <w:spacing w:val="-3"/>
        </w:rPr>
        <w:t>Any </w:t>
      </w:r>
      <w:r>
        <w:rPr>
          <w:spacing w:val="-4"/>
        </w:rPr>
        <w:t>interrupt routine using </w:t>
      </w:r>
      <w:r>
        <w:rPr>
          <w:rFonts w:ascii="Times New Roman"/>
          <w:i/>
          <w:spacing w:val="-4"/>
        </w:rPr>
        <w:t>DPTR1 </w:t>
      </w:r>
      <w:r>
        <w:rPr>
          <w:spacing w:val="-3"/>
        </w:rPr>
        <w:t>must save </w:t>
      </w:r>
      <w:r>
        <w:rPr>
          <w:spacing w:val="-5"/>
        </w:rPr>
        <w:t>and </w:t>
      </w:r>
      <w:r>
        <w:rPr>
          <w:spacing w:val="-4"/>
        </w:rPr>
        <w:t>restore</w:t>
      </w:r>
      <w:r>
        <w:rPr>
          <w:spacing w:val="-8"/>
        </w:rPr>
        <w:t> </w:t>
      </w:r>
      <w:r>
        <w:rPr>
          <w:rFonts w:ascii="Times New Roman"/>
          <w:i/>
          <w:spacing w:val="-4"/>
        </w:rPr>
        <w:t>DPS</w:t>
      </w:r>
      <w:r>
        <w:rPr>
          <w:spacing w:val="-4"/>
        </w:rPr>
        <w:t>,</w:t>
      </w:r>
      <w:r>
        <w:rPr>
          <w:spacing w:val="-8"/>
        </w:rPr>
        <w:t> </w:t>
      </w:r>
      <w:r>
        <w:rPr>
          <w:rFonts w:ascii="Times New Roman"/>
          <w:i/>
          <w:spacing w:val="-3"/>
        </w:rPr>
        <w:t>DPTR</w:t>
      </w:r>
      <w:r>
        <w:rPr>
          <w:rFonts w:ascii="Times New Roman"/>
          <w:i/>
          <w:spacing w:val="-2"/>
        </w:rPr>
        <w:t> </w:t>
      </w:r>
      <w:r>
        <w:rPr>
          <w:spacing w:val="-3"/>
        </w:rPr>
        <w:t>and</w:t>
      </w:r>
      <w:r>
        <w:rPr>
          <w:spacing w:val="-8"/>
        </w:rPr>
        <w:t> </w:t>
      </w:r>
      <w:r>
        <w:rPr>
          <w:rFonts w:ascii="Times New Roman"/>
          <w:i/>
          <w:spacing w:val="-4"/>
        </w:rPr>
        <w:t>DPTR1</w:t>
      </w:r>
      <w:r>
        <w:rPr>
          <w:spacing w:val="-4"/>
        </w:rPr>
        <w:t>,</w:t>
      </w:r>
      <w:r>
        <w:rPr>
          <w:spacing w:val="-8"/>
        </w:rPr>
        <w:t> </w:t>
      </w:r>
      <w:r>
        <w:rPr>
          <w:spacing w:val="-4"/>
        </w:rPr>
        <w:t>which</w:t>
      </w:r>
      <w:r>
        <w:rPr>
          <w:spacing w:val="-9"/>
        </w:rPr>
        <w:t> </w:t>
      </w:r>
      <w:r>
        <w:rPr>
          <w:spacing w:val="-4"/>
        </w:rPr>
        <w:t>increases</w:t>
      </w:r>
      <w:r>
        <w:rPr>
          <w:spacing w:val="-7"/>
        </w:rPr>
        <w:t> </w:t>
      </w:r>
      <w:r>
        <w:rPr>
          <w:spacing w:val="-4"/>
        </w:rPr>
        <w:t>stack</w:t>
      </w:r>
      <w:r>
        <w:rPr>
          <w:spacing w:val="-7"/>
        </w:rPr>
        <w:t> </w:t>
      </w:r>
      <w:r>
        <w:rPr>
          <w:spacing w:val="-4"/>
        </w:rPr>
        <w:t>usage</w:t>
      </w:r>
      <w:r>
        <w:rPr>
          <w:spacing w:val="-8"/>
        </w:rPr>
        <w:t> </w:t>
      </w:r>
      <w:r>
        <w:rPr/>
        <w:t>and</w:t>
      </w:r>
      <w:r>
        <w:rPr>
          <w:spacing w:val="-11"/>
        </w:rPr>
        <w:t> </w:t>
      </w:r>
      <w:r>
        <w:rPr>
          <w:spacing w:val="-4"/>
        </w:rPr>
        <w:t>slows</w:t>
      </w:r>
      <w:r>
        <w:rPr>
          <w:spacing w:val="-7"/>
        </w:rPr>
        <w:t> </w:t>
      </w:r>
      <w:r>
        <w:rPr>
          <w:spacing w:val="-3"/>
        </w:rPr>
        <w:t>down</w:t>
      </w:r>
      <w:r>
        <w:rPr>
          <w:spacing w:val="-6"/>
        </w:rPr>
        <w:t> </w:t>
      </w:r>
      <w:r>
        <w:rPr>
          <w:spacing w:val="-4"/>
        </w:rPr>
        <w:t>interrupt</w:t>
      </w:r>
      <w:r>
        <w:rPr>
          <w:spacing w:val="-8"/>
        </w:rPr>
        <w:t> </w:t>
      </w:r>
      <w:r>
        <w:rPr>
          <w:spacing w:val="-5"/>
        </w:rPr>
        <w:t>latency.</w:t>
      </w:r>
    </w:p>
    <w:p>
      <w:pPr>
        <w:pStyle w:val="BodyText"/>
        <w:spacing w:before="121"/>
        <w:ind w:left="1250" w:right="558"/>
      </w:pPr>
      <w:r>
        <w:rPr/>
        <w:drawing>
          <wp:anchor distT="0" distB="0" distL="0" distR="0" allowOverlap="1" layoutInCell="1" locked="0" behindDoc="0" simplePos="0" relativeHeight="15762944">
            <wp:simplePos x="0" y="0"/>
            <wp:positionH relativeFrom="page">
              <wp:posOffset>902491</wp:posOffset>
            </wp:positionH>
            <wp:positionV relativeFrom="paragraph">
              <wp:posOffset>107995</wp:posOffset>
            </wp:positionV>
            <wp:extent cx="244972" cy="368148"/>
            <wp:effectExtent l="0" t="0" r="0" b="0"/>
            <wp:wrapNone/>
            <wp:docPr id="21" name="image86.png"/>
            <wp:cNvGraphicFramePr>
              <a:graphicFrameLocks noChangeAspect="1"/>
            </wp:cNvGraphicFramePr>
            <a:graphic>
              <a:graphicData uri="http://schemas.openxmlformats.org/drawingml/2006/picture">
                <pic:pic>
                  <pic:nvPicPr>
                    <pic:cNvPr id="22" name="image86.png"/>
                    <pic:cNvPicPr/>
                  </pic:nvPicPr>
                  <pic:blipFill>
                    <a:blip r:embed="rId103" cstate="print"/>
                    <a:stretch>
                      <a:fillRect/>
                    </a:stretch>
                  </pic:blipFill>
                  <pic:spPr>
                    <a:xfrm>
                      <a:off x="0" y="0"/>
                      <a:ext cx="244972" cy="368148"/>
                    </a:xfrm>
                    <a:prstGeom prst="rect">
                      <a:avLst/>
                    </a:prstGeom>
                  </pic:spPr>
                </pic:pic>
              </a:graphicData>
            </a:graphic>
          </wp:anchor>
        </w:drawing>
      </w:r>
      <w:r>
        <w:rPr/>
        <w:t>By </w:t>
      </w:r>
      <w:r>
        <w:rPr>
          <w:spacing w:val="-4"/>
        </w:rPr>
        <w:t>selecting </w:t>
      </w:r>
      <w:r>
        <w:rPr/>
        <w:t>the </w:t>
      </w:r>
      <w:r>
        <w:rPr>
          <w:spacing w:val="-4"/>
        </w:rPr>
        <w:t>Evatronics R80515 </w:t>
      </w:r>
      <w:r>
        <w:rPr>
          <w:spacing w:val="-3"/>
        </w:rPr>
        <w:t>core </w:t>
      </w:r>
      <w:r>
        <w:rPr/>
        <w:t>in </w:t>
      </w:r>
      <w:r>
        <w:rPr>
          <w:spacing w:val="-3"/>
        </w:rPr>
        <w:t>the </w:t>
      </w:r>
      <w:r>
        <w:rPr>
          <w:spacing w:val="-4"/>
        </w:rPr>
        <w:t>Keil compiler project settings </w:t>
      </w:r>
      <w:r>
        <w:rPr>
          <w:spacing w:val="-3"/>
        </w:rPr>
        <w:t>and </w:t>
      </w:r>
      <w:r>
        <w:rPr/>
        <w:t>by </w:t>
      </w:r>
      <w:r>
        <w:rPr>
          <w:spacing w:val="-4"/>
        </w:rPr>
        <w:t>using </w:t>
      </w:r>
      <w:r>
        <w:rPr>
          <w:spacing w:val="-3"/>
        </w:rPr>
        <w:t>the </w:t>
      </w:r>
      <w:r>
        <w:rPr>
          <w:spacing w:val="-5"/>
        </w:rPr>
        <w:t>compiler </w:t>
      </w:r>
      <w:r>
        <w:rPr>
          <w:spacing w:val="-4"/>
        </w:rPr>
        <w:t>directive “MODC2”, </w:t>
      </w:r>
      <w:r>
        <w:rPr>
          <w:spacing w:val="-3"/>
        </w:rPr>
        <w:t>dual data </w:t>
      </w:r>
      <w:r>
        <w:rPr>
          <w:spacing w:val="-4"/>
        </w:rPr>
        <w:t>pointers are enabled </w:t>
      </w:r>
      <w:r>
        <w:rPr/>
        <w:t>in </w:t>
      </w:r>
      <w:r>
        <w:rPr>
          <w:spacing w:val="-4"/>
        </w:rPr>
        <w:t>certain library routines.</w:t>
      </w:r>
    </w:p>
    <w:p>
      <w:pPr>
        <w:spacing w:after="0"/>
        <w:sectPr>
          <w:pgSz w:w="12240" w:h="15840"/>
          <w:pgMar w:header="727" w:footer="819" w:top="960" w:bottom="1000" w:left="820" w:right="860"/>
        </w:sectPr>
      </w:pPr>
    </w:p>
    <w:p>
      <w:pPr>
        <w:pStyle w:val="BodyText"/>
        <w:spacing w:before="6"/>
        <w:rPr>
          <w:sz w:val="16"/>
        </w:rPr>
      </w:pPr>
    </w:p>
    <w:p>
      <w:pPr>
        <w:pStyle w:val="BodyText"/>
        <w:spacing w:line="242" w:lineRule="auto" w:before="93"/>
        <w:ind w:left="619" w:right="649"/>
      </w:pPr>
      <w:r>
        <w:rPr/>
        <w:t>An alternative data pointer is available in the form of the </w:t>
      </w:r>
      <w:r>
        <w:rPr>
          <w:rFonts w:ascii="Times New Roman"/>
          <w:i/>
        </w:rPr>
        <w:t>PDATA </w:t>
      </w:r>
      <w:r>
        <w:rPr/>
        <w:t>register (</w:t>
      </w:r>
      <w:r>
        <w:rPr>
          <w:rFonts w:ascii="Times New Roman"/>
          <w:i/>
        </w:rPr>
        <w:t>SFR 0xBF</w:t>
      </w:r>
      <w:r>
        <w:rPr/>
        <w:t>), sometimes referred to</w:t>
      </w:r>
      <w:r>
        <w:rPr>
          <w:spacing w:val="-10"/>
        </w:rPr>
        <w:t> </w:t>
      </w:r>
      <w:r>
        <w:rPr/>
        <w:t>as</w:t>
      </w:r>
      <w:r>
        <w:rPr>
          <w:spacing w:val="-9"/>
        </w:rPr>
        <w:t> </w:t>
      </w:r>
      <w:r>
        <w:rPr>
          <w:i/>
        </w:rPr>
        <w:t>USR2</w:t>
      </w:r>
      <w:r>
        <w:rPr/>
        <w:t>).</w:t>
      </w:r>
      <w:r>
        <w:rPr>
          <w:spacing w:val="-9"/>
        </w:rPr>
        <w:t> </w:t>
      </w:r>
      <w:r>
        <w:rPr/>
        <w:t>It</w:t>
      </w:r>
      <w:r>
        <w:rPr>
          <w:spacing w:val="-9"/>
        </w:rPr>
        <w:t> </w:t>
      </w:r>
      <w:r>
        <w:rPr/>
        <w:t>defines</w:t>
      </w:r>
      <w:r>
        <w:rPr>
          <w:spacing w:val="-9"/>
        </w:rPr>
        <w:t> </w:t>
      </w:r>
      <w:r>
        <w:rPr/>
        <w:t>the</w:t>
      </w:r>
      <w:r>
        <w:rPr>
          <w:spacing w:val="-7"/>
        </w:rPr>
        <w:t> </w:t>
      </w:r>
      <w:r>
        <w:rPr/>
        <w:t>high</w:t>
      </w:r>
      <w:r>
        <w:rPr>
          <w:spacing w:val="-9"/>
        </w:rPr>
        <w:t> </w:t>
      </w:r>
      <w:r>
        <w:rPr/>
        <w:t>byte</w:t>
      </w:r>
      <w:r>
        <w:rPr>
          <w:spacing w:val="-10"/>
        </w:rPr>
        <w:t> </w:t>
      </w:r>
      <w:r>
        <w:rPr/>
        <w:t>of</w:t>
      </w:r>
      <w:r>
        <w:rPr>
          <w:spacing w:val="-9"/>
        </w:rPr>
        <w:t> </w:t>
      </w:r>
      <w:r>
        <w:rPr/>
        <w:t>a</w:t>
      </w:r>
      <w:r>
        <w:rPr>
          <w:spacing w:val="-9"/>
        </w:rPr>
        <w:t> </w:t>
      </w:r>
      <w:r>
        <w:rPr/>
        <w:t>16-bit</w:t>
      </w:r>
      <w:r>
        <w:rPr>
          <w:spacing w:val="-11"/>
        </w:rPr>
        <w:t> </w:t>
      </w:r>
      <w:r>
        <w:rPr/>
        <w:t>address</w:t>
      </w:r>
      <w:r>
        <w:rPr>
          <w:spacing w:val="-8"/>
        </w:rPr>
        <w:t> </w:t>
      </w:r>
      <w:r>
        <w:rPr>
          <w:spacing w:val="-3"/>
        </w:rPr>
        <w:t>when</w:t>
      </w:r>
      <w:r>
        <w:rPr>
          <w:spacing w:val="-11"/>
        </w:rPr>
        <w:t> </w:t>
      </w:r>
      <w:r>
        <w:rPr/>
        <w:t>reading</w:t>
      </w:r>
      <w:r>
        <w:rPr>
          <w:spacing w:val="-12"/>
        </w:rPr>
        <w:t> </w:t>
      </w:r>
      <w:r>
        <w:rPr/>
        <w:t>or</w:t>
      </w:r>
      <w:r>
        <w:rPr>
          <w:spacing w:val="-6"/>
        </w:rPr>
        <w:t> </w:t>
      </w:r>
      <w:r>
        <w:rPr>
          <w:spacing w:val="-3"/>
        </w:rPr>
        <w:t>writing</w:t>
      </w:r>
      <w:r>
        <w:rPr>
          <w:spacing w:val="-11"/>
        </w:rPr>
        <w:t> </w:t>
      </w:r>
      <w:r>
        <w:rPr/>
        <w:t>XDATA</w:t>
      </w:r>
      <w:r>
        <w:rPr>
          <w:spacing w:val="-9"/>
        </w:rPr>
        <w:t> </w:t>
      </w:r>
      <w:r>
        <w:rPr/>
        <w:t>with</w:t>
      </w:r>
      <w:r>
        <w:rPr>
          <w:spacing w:val="-10"/>
        </w:rPr>
        <w:t> </w:t>
      </w:r>
      <w:r>
        <w:rPr/>
        <w:t>the</w:t>
      </w:r>
      <w:r>
        <w:rPr>
          <w:spacing w:val="-9"/>
        </w:rPr>
        <w:t> </w:t>
      </w:r>
      <w:r>
        <w:rPr>
          <w:spacing w:val="-3"/>
        </w:rPr>
        <w:t>instruction </w:t>
      </w:r>
      <w:r>
        <w:rPr/>
        <w:t>MOVX A,@Ri or MOVX</w:t>
      </w:r>
      <w:r>
        <w:rPr>
          <w:spacing w:val="-1"/>
        </w:rPr>
        <w:t> </w:t>
      </w:r>
      <w:r>
        <w:rPr/>
        <w:t>@Ri,A.</w:t>
      </w:r>
    </w:p>
    <w:p>
      <w:pPr>
        <w:spacing w:before="116"/>
        <w:ind w:left="619" w:right="0" w:firstLine="0"/>
        <w:jc w:val="left"/>
        <w:rPr>
          <w:b/>
          <w:sz w:val="20"/>
        </w:rPr>
      </w:pPr>
      <w:bookmarkStart w:name="Internal Data Memory Map and Access" w:id="106"/>
      <w:bookmarkEnd w:id="106"/>
      <w:r>
        <w:rPr/>
      </w:r>
      <w:r>
        <w:rPr>
          <w:b/>
          <w:sz w:val="20"/>
        </w:rPr>
        <w:t>Internal Data Memory Map and Access</w:t>
      </w:r>
    </w:p>
    <w:p>
      <w:pPr>
        <w:pStyle w:val="BodyText"/>
        <w:spacing w:before="79"/>
        <w:ind w:left="619" w:right="705"/>
      </w:pPr>
      <w:r>
        <w:rPr/>
        <w:t>The Internal data memory provides 256 bytes (0x00 to 0xFF) of data memory. The internal data memory address is always 1 byte wide. </w:t>
      </w:r>
      <w:hyperlink w:history="true" w:anchor="_bookmark46">
        <w:r>
          <w:rPr>
            <w:color w:val="0000FF"/>
          </w:rPr>
          <w:t>Table 10 </w:t>
        </w:r>
      </w:hyperlink>
      <w:r>
        <w:rPr/>
        <w:t>shows the internal data memory map.</w:t>
      </w:r>
    </w:p>
    <w:p>
      <w:pPr>
        <w:pStyle w:val="BodyText"/>
        <w:spacing w:before="121"/>
        <w:ind w:left="619" w:right="595"/>
      </w:pPr>
      <w:r>
        <w:rPr/>
        <w:t>The</w:t>
      </w:r>
      <w:r>
        <w:rPr>
          <w:spacing w:val="-12"/>
        </w:rPr>
        <w:t> </w:t>
      </w:r>
      <w:r>
        <w:rPr/>
        <w:t>Special</w:t>
      </w:r>
      <w:r>
        <w:rPr>
          <w:spacing w:val="-13"/>
        </w:rPr>
        <w:t> </w:t>
      </w:r>
      <w:r>
        <w:rPr/>
        <w:t>Function</w:t>
      </w:r>
      <w:r>
        <w:rPr>
          <w:spacing w:val="-10"/>
        </w:rPr>
        <w:t> </w:t>
      </w:r>
      <w:r>
        <w:rPr/>
        <w:t>Registers</w:t>
      </w:r>
      <w:r>
        <w:rPr>
          <w:spacing w:val="-10"/>
        </w:rPr>
        <w:t> </w:t>
      </w:r>
      <w:r>
        <w:rPr/>
        <w:t>(SFR)</w:t>
      </w:r>
      <w:r>
        <w:rPr>
          <w:spacing w:val="-11"/>
        </w:rPr>
        <w:t> </w:t>
      </w:r>
      <w:r>
        <w:rPr/>
        <w:t>occupy</w:t>
      </w:r>
      <w:r>
        <w:rPr>
          <w:spacing w:val="-12"/>
        </w:rPr>
        <w:t> </w:t>
      </w:r>
      <w:r>
        <w:rPr/>
        <w:t>the</w:t>
      </w:r>
      <w:r>
        <w:rPr>
          <w:spacing w:val="-12"/>
        </w:rPr>
        <w:t> </w:t>
      </w:r>
      <w:r>
        <w:rPr/>
        <w:t>upper</w:t>
      </w:r>
      <w:r>
        <w:rPr>
          <w:spacing w:val="-9"/>
        </w:rPr>
        <w:t> </w:t>
      </w:r>
      <w:r>
        <w:rPr/>
        <w:t>128</w:t>
      </w:r>
      <w:r>
        <w:rPr>
          <w:spacing w:val="-10"/>
        </w:rPr>
        <w:t> </w:t>
      </w:r>
      <w:r>
        <w:rPr/>
        <w:t>bytes.</w:t>
      </w:r>
      <w:r>
        <w:rPr>
          <w:spacing w:val="-12"/>
        </w:rPr>
        <w:t> </w:t>
      </w:r>
      <w:r>
        <w:rPr/>
        <w:t>The</w:t>
      </w:r>
      <w:r>
        <w:rPr>
          <w:spacing w:val="-10"/>
        </w:rPr>
        <w:t> </w:t>
      </w:r>
      <w:r>
        <w:rPr>
          <w:spacing w:val="-2"/>
        </w:rPr>
        <w:t>SFR</w:t>
      </w:r>
      <w:r>
        <w:rPr>
          <w:spacing w:val="-9"/>
        </w:rPr>
        <w:t> </w:t>
      </w:r>
      <w:r>
        <w:rPr/>
        <w:t>area</w:t>
      </w:r>
      <w:r>
        <w:rPr>
          <w:spacing w:val="-10"/>
        </w:rPr>
        <w:t> </w:t>
      </w:r>
      <w:r>
        <w:rPr/>
        <w:t>of</w:t>
      </w:r>
      <w:r>
        <w:rPr>
          <w:spacing w:val="-9"/>
        </w:rPr>
        <w:t> </w:t>
      </w:r>
      <w:r>
        <w:rPr>
          <w:spacing w:val="-3"/>
        </w:rPr>
        <w:t>internal</w:t>
      </w:r>
      <w:r>
        <w:rPr>
          <w:spacing w:val="-10"/>
        </w:rPr>
        <w:t> </w:t>
      </w:r>
      <w:r>
        <w:rPr/>
        <w:t>data</w:t>
      </w:r>
      <w:r>
        <w:rPr>
          <w:spacing w:val="-10"/>
        </w:rPr>
        <w:t> </w:t>
      </w:r>
      <w:r>
        <w:rPr/>
        <w:t>memory is available </w:t>
      </w:r>
      <w:r>
        <w:rPr>
          <w:u w:val="single"/>
        </w:rPr>
        <w:t>only by direct addressing</w:t>
      </w:r>
      <w:r>
        <w:rPr/>
        <w:t>. Indirect addressing of this area accesses the upper 128 bytes of Internal RAM. The lower 128 bytes contain working registers and bit addressable memory. The lower 32 bytes form four banks of eight registers (R0-R7). Two bits on the program memory status word (</w:t>
      </w:r>
      <w:r>
        <w:rPr>
          <w:rFonts w:ascii="Times New Roman"/>
          <w:i/>
        </w:rPr>
        <w:t>PSW, SFR </w:t>
      </w:r>
      <w:r>
        <w:rPr>
          <w:rFonts w:ascii="Times New Roman"/>
          <w:i/>
        </w:rPr>
        <w:t>0xD0 </w:t>
      </w:r>
      <w:r>
        <w:rPr/>
        <w:t>) </w:t>
      </w:r>
      <w:r>
        <w:rPr>
          <w:spacing w:val="2"/>
        </w:rPr>
        <w:t>select </w:t>
      </w:r>
      <w:r>
        <w:rPr/>
        <w:t>which bank is in </w:t>
      </w:r>
      <w:r>
        <w:rPr>
          <w:spacing w:val="2"/>
        </w:rPr>
        <w:t>use. </w:t>
      </w:r>
      <w:r>
        <w:rPr/>
        <w:t>The </w:t>
      </w:r>
      <w:r>
        <w:rPr>
          <w:spacing w:val="2"/>
        </w:rPr>
        <w:t>next </w:t>
      </w:r>
      <w:r>
        <w:rPr/>
        <w:t>16 </w:t>
      </w:r>
      <w:r>
        <w:rPr>
          <w:spacing w:val="2"/>
        </w:rPr>
        <w:t>bytes </w:t>
      </w:r>
      <w:r>
        <w:rPr/>
        <w:t>form a block of bit </w:t>
      </w:r>
      <w:r>
        <w:rPr>
          <w:spacing w:val="2"/>
        </w:rPr>
        <w:t>addressable </w:t>
      </w:r>
      <w:r>
        <w:rPr>
          <w:spacing w:val="3"/>
        </w:rPr>
        <w:t>memory </w:t>
      </w:r>
      <w:r>
        <w:rPr>
          <w:spacing w:val="2"/>
        </w:rPr>
        <w:t>space </w:t>
      </w:r>
      <w:r>
        <w:rPr>
          <w:spacing w:val="4"/>
        </w:rPr>
        <w:t>at </w:t>
      </w:r>
      <w:r>
        <w:rPr/>
        <w:t>addresses 0x00-0x7F. All of the bytes in the lower 128 bytes are accessible through direct or indirect addressing.</w:t>
      </w:r>
    </w:p>
    <w:p>
      <w:pPr>
        <w:pStyle w:val="Heading1"/>
        <w:spacing w:before="116"/>
        <w:ind w:left="1315" w:right="1278"/>
      </w:pPr>
      <w:bookmarkStart w:name="_bookmark46" w:id="107"/>
      <w:bookmarkEnd w:id="107"/>
      <w:r>
        <w:rPr>
          <w:b w:val="0"/>
        </w:rPr>
      </w:r>
      <w:r>
        <w:rPr/>
        <w:t>Table 10: Internal Data Memory Map</w:t>
      </w:r>
    </w:p>
    <w:p>
      <w:pPr>
        <w:pStyle w:val="BodyText"/>
        <w:spacing w:before="8"/>
        <w:rPr>
          <w:b/>
          <w:sz w:val="5"/>
        </w:rPr>
      </w:pPr>
    </w:p>
    <w:tbl>
      <w:tblPr>
        <w:tblW w:w="0" w:type="auto"/>
        <w:jc w:val="left"/>
        <w:tblInd w:w="1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3"/>
        <w:gridCol w:w="977"/>
        <w:gridCol w:w="3355"/>
        <w:gridCol w:w="2700"/>
      </w:tblGrid>
      <w:tr>
        <w:trPr>
          <w:trHeight w:val="309" w:hRule="atLeast"/>
        </w:trPr>
        <w:tc>
          <w:tcPr>
            <w:tcW w:w="1750" w:type="dxa"/>
            <w:gridSpan w:val="2"/>
          </w:tcPr>
          <w:p>
            <w:pPr>
              <w:pStyle w:val="TableParagraph"/>
              <w:spacing w:before="35"/>
              <w:ind w:left="141"/>
              <w:rPr>
                <w:b/>
                <w:sz w:val="20"/>
              </w:rPr>
            </w:pPr>
            <w:r>
              <w:rPr>
                <w:b/>
                <w:sz w:val="20"/>
              </w:rPr>
              <w:t>Address Range</w:t>
            </w:r>
          </w:p>
        </w:tc>
        <w:tc>
          <w:tcPr>
            <w:tcW w:w="3355" w:type="dxa"/>
          </w:tcPr>
          <w:p>
            <w:pPr>
              <w:pStyle w:val="TableParagraph"/>
              <w:spacing w:before="35"/>
              <w:ind w:left="119" w:right="115"/>
              <w:jc w:val="center"/>
              <w:rPr>
                <w:b/>
                <w:sz w:val="20"/>
              </w:rPr>
            </w:pPr>
            <w:r>
              <w:rPr>
                <w:b/>
                <w:sz w:val="20"/>
              </w:rPr>
              <w:t>Direct Addressing</w:t>
            </w:r>
          </w:p>
        </w:tc>
        <w:tc>
          <w:tcPr>
            <w:tcW w:w="2700" w:type="dxa"/>
          </w:tcPr>
          <w:p>
            <w:pPr>
              <w:pStyle w:val="TableParagraph"/>
              <w:spacing w:before="35"/>
              <w:ind w:left="388" w:right="383"/>
              <w:jc w:val="center"/>
              <w:rPr>
                <w:b/>
                <w:sz w:val="20"/>
              </w:rPr>
            </w:pPr>
            <w:r>
              <w:rPr>
                <w:b/>
                <w:sz w:val="20"/>
              </w:rPr>
              <w:t>Indirect Addressing</w:t>
            </w:r>
          </w:p>
        </w:tc>
      </w:tr>
      <w:tr>
        <w:trPr>
          <w:trHeight w:val="316" w:hRule="atLeast"/>
        </w:trPr>
        <w:tc>
          <w:tcPr>
            <w:tcW w:w="773" w:type="dxa"/>
          </w:tcPr>
          <w:p>
            <w:pPr>
              <w:pStyle w:val="TableParagraph"/>
              <w:spacing w:before="42"/>
              <w:ind w:left="146" w:right="142"/>
              <w:jc w:val="center"/>
              <w:rPr>
                <w:sz w:val="20"/>
              </w:rPr>
            </w:pPr>
            <w:r>
              <w:rPr>
                <w:sz w:val="20"/>
              </w:rPr>
              <w:t>0x80</w:t>
            </w:r>
          </w:p>
        </w:tc>
        <w:tc>
          <w:tcPr>
            <w:tcW w:w="977" w:type="dxa"/>
          </w:tcPr>
          <w:p>
            <w:pPr>
              <w:pStyle w:val="TableParagraph"/>
              <w:spacing w:before="42"/>
              <w:ind w:left="238" w:right="233"/>
              <w:jc w:val="center"/>
              <w:rPr>
                <w:sz w:val="20"/>
              </w:rPr>
            </w:pPr>
            <w:r>
              <w:rPr>
                <w:sz w:val="20"/>
              </w:rPr>
              <w:t>0xFF</w:t>
            </w:r>
          </w:p>
        </w:tc>
        <w:tc>
          <w:tcPr>
            <w:tcW w:w="3355" w:type="dxa"/>
          </w:tcPr>
          <w:p>
            <w:pPr>
              <w:pStyle w:val="TableParagraph"/>
              <w:spacing w:before="42"/>
              <w:ind w:left="122" w:right="115"/>
              <w:jc w:val="center"/>
              <w:rPr>
                <w:sz w:val="20"/>
              </w:rPr>
            </w:pPr>
            <w:r>
              <w:rPr>
                <w:sz w:val="20"/>
              </w:rPr>
              <w:t>Special Function Registers (SFRs)</w:t>
            </w:r>
          </w:p>
        </w:tc>
        <w:tc>
          <w:tcPr>
            <w:tcW w:w="2700" w:type="dxa"/>
          </w:tcPr>
          <w:p>
            <w:pPr>
              <w:pStyle w:val="TableParagraph"/>
              <w:spacing w:before="42"/>
              <w:ind w:left="388" w:right="382"/>
              <w:jc w:val="center"/>
              <w:rPr>
                <w:sz w:val="20"/>
              </w:rPr>
            </w:pPr>
            <w:r>
              <w:rPr>
                <w:sz w:val="20"/>
              </w:rPr>
              <w:t>RAM</w:t>
            </w:r>
          </w:p>
        </w:tc>
      </w:tr>
      <w:tr>
        <w:trPr>
          <w:trHeight w:val="342" w:hRule="atLeast"/>
        </w:trPr>
        <w:tc>
          <w:tcPr>
            <w:tcW w:w="773" w:type="dxa"/>
          </w:tcPr>
          <w:p>
            <w:pPr>
              <w:pStyle w:val="TableParagraph"/>
              <w:spacing w:before="54"/>
              <w:ind w:left="146" w:right="142"/>
              <w:jc w:val="center"/>
              <w:rPr>
                <w:sz w:val="20"/>
              </w:rPr>
            </w:pPr>
            <w:r>
              <w:rPr>
                <w:sz w:val="20"/>
              </w:rPr>
              <w:t>0x30</w:t>
            </w:r>
          </w:p>
        </w:tc>
        <w:tc>
          <w:tcPr>
            <w:tcW w:w="977" w:type="dxa"/>
          </w:tcPr>
          <w:p>
            <w:pPr>
              <w:pStyle w:val="TableParagraph"/>
              <w:spacing w:before="54"/>
              <w:ind w:left="238" w:right="231"/>
              <w:jc w:val="center"/>
              <w:rPr>
                <w:sz w:val="20"/>
              </w:rPr>
            </w:pPr>
            <w:r>
              <w:rPr>
                <w:sz w:val="20"/>
              </w:rPr>
              <w:t>0x7F</w:t>
            </w:r>
          </w:p>
        </w:tc>
        <w:tc>
          <w:tcPr>
            <w:tcW w:w="6055" w:type="dxa"/>
            <w:gridSpan w:val="2"/>
          </w:tcPr>
          <w:p>
            <w:pPr>
              <w:pStyle w:val="TableParagraph"/>
              <w:spacing w:before="54"/>
              <w:ind w:left="2003" w:right="2000"/>
              <w:jc w:val="center"/>
              <w:rPr>
                <w:sz w:val="20"/>
              </w:rPr>
            </w:pPr>
            <w:r>
              <w:rPr>
                <w:sz w:val="20"/>
              </w:rPr>
              <w:t>Byte addressable area</w:t>
            </w:r>
          </w:p>
        </w:tc>
      </w:tr>
      <w:tr>
        <w:trPr>
          <w:trHeight w:val="270" w:hRule="atLeast"/>
        </w:trPr>
        <w:tc>
          <w:tcPr>
            <w:tcW w:w="773" w:type="dxa"/>
          </w:tcPr>
          <w:p>
            <w:pPr>
              <w:pStyle w:val="TableParagraph"/>
              <w:spacing w:before="18"/>
              <w:ind w:left="146" w:right="142"/>
              <w:jc w:val="center"/>
              <w:rPr>
                <w:sz w:val="20"/>
              </w:rPr>
            </w:pPr>
            <w:r>
              <w:rPr>
                <w:sz w:val="20"/>
              </w:rPr>
              <w:t>0x20</w:t>
            </w:r>
          </w:p>
        </w:tc>
        <w:tc>
          <w:tcPr>
            <w:tcW w:w="977" w:type="dxa"/>
          </w:tcPr>
          <w:p>
            <w:pPr>
              <w:pStyle w:val="TableParagraph"/>
              <w:spacing w:before="18"/>
              <w:ind w:left="238" w:right="231"/>
              <w:jc w:val="center"/>
              <w:rPr>
                <w:sz w:val="20"/>
              </w:rPr>
            </w:pPr>
            <w:r>
              <w:rPr>
                <w:sz w:val="20"/>
              </w:rPr>
              <w:t>0x2F</w:t>
            </w:r>
          </w:p>
        </w:tc>
        <w:tc>
          <w:tcPr>
            <w:tcW w:w="6055" w:type="dxa"/>
            <w:gridSpan w:val="2"/>
          </w:tcPr>
          <w:p>
            <w:pPr>
              <w:pStyle w:val="TableParagraph"/>
              <w:spacing w:before="18"/>
              <w:ind w:left="2003" w:right="2000"/>
              <w:jc w:val="center"/>
              <w:rPr>
                <w:sz w:val="20"/>
              </w:rPr>
            </w:pPr>
            <w:r>
              <w:rPr>
                <w:sz w:val="20"/>
              </w:rPr>
              <w:t>Bit addressable area</w:t>
            </w:r>
          </w:p>
        </w:tc>
      </w:tr>
      <w:tr>
        <w:trPr>
          <w:trHeight w:val="270" w:hRule="atLeast"/>
        </w:trPr>
        <w:tc>
          <w:tcPr>
            <w:tcW w:w="773" w:type="dxa"/>
          </w:tcPr>
          <w:p>
            <w:pPr>
              <w:pStyle w:val="TableParagraph"/>
              <w:spacing w:before="18"/>
              <w:ind w:left="146" w:right="142"/>
              <w:jc w:val="center"/>
              <w:rPr>
                <w:sz w:val="20"/>
              </w:rPr>
            </w:pPr>
            <w:r>
              <w:rPr>
                <w:sz w:val="20"/>
              </w:rPr>
              <w:t>0x00</w:t>
            </w:r>
          </w:p>
        </w:tc>
        <w:tc>
          <w:tcPr>
            <w:tcW w:w="977" w:type="dxa"/>
          </w:tcPr>
          <w:p>
            <w:pPr>
              <w:pStyle w:val="TableParagraph"/>
              <w:spacing w:before="18"/>
              <w:ind w:left="238" w:right="231"/>
              <w:jc w:val="center"/>
              <w:rPr>
                <w:sz w:val="20"/>
              </w:rPr>
            </w:pPr>
            <w:r>
              <w:rPr>
                <w:sz w:val="20"/>
              </w:rPr>
              <w:t>0x1F</w:t>
            </w:r>
          </w:p>
        </w:tc>
        <w:tc>
          <w:tcPr>
            <w:tcW w:w="6055" w:type="dxa"/>
            <w:gridSpan w:val="2"/>
          </w:tcPr>
          <w:p>
            <w:pPr>
              <w:pStyle w:val="TableParagraph"/>
              <w:spacing w:before="18"/>
              <w:ind w:left="1977"/>
              <w:rPr>
                <w:sz w:val="20"/>
              </w:rPr>
            </w:pPr>
            <w:r>
              <w:rPr>
                <w:sz w:val="20"/>
              </w:rPr>
              <w:t>Register banks R0…R7</w:t>
            </w:r>
          </w:p>
        </w:tc>
      </w:tr>
    </w:tbl>
    <w:p>
      <w:pPr>
        <w:pStyle w:val="BodyText"/>
        <w:spacing w:before="10"/>
        <w:rPr>
          <w:b/>
          <w:sz w:val="29"/>
        </w:rPr>
      </w:pPr>
    </w:p>
    <w:p>
      <w:pPr>
        <w:pStyle w:val="ListParagraph"/>
        <w:numPr>
          <w:ilvl w:val="2"/>
          <w:numId w:val="7"/>
        </w:numPr>
        <w:tabs>
          <w:tab w:pos="1339" w:val="left" w:leader="none"/>
          <w:tab w:pos="1340" w:val="left" w:leader="none"/>
        </w:tabs>
        <w:spacing w:line="240" w:lineRule="auto" w:before="0" w:after="0"/>
        <w:ind w:left="1339" w:right="0" w:hanging="720"/>
        <w:jc w:val="left"/>
        <w:rPr>
          <w:b/>
          <w:sz w:val="22"/>
        </w:rPr>
      </w:pPr>
      <w:bookmarkStart w:name="2.4.2 Special Function Registers (SFRs)" w:id="108"/>
      <w:bookmarkEnd w:id="108"/>
      <w:r>
        <w:rPr/>
      </w:r>
      <w:bookmarkStart w:name="_bookmark47" w:id="109"/>
      <w:bookmarkEnd w:id="109"/>
      <w:r>
        <w:rPr/>
      </w:r>
      <w:bookmarkStart w:name="_bookmark47" w:id="110"/>
      <w:bookmarkEnd w:id="110"/>
      <w:r>
        <w:rPr>
          <w:b/>
          <w:sz w:val="22"/>
        </w:rPr>
        <w:t>Spec</w:t>
      </w:r>
      <w:r>
        <w:rPr>
          <w:b/>
          <w:sz w:val="22"/>
        </w:rPr>
        <w:t>ial Function Registers (SFRs)</w:t>
      </w:r>
    </w:p>
    <w:p>
      <w:pPr>
        <w:pStyle w:val="BodyText"/>
        <w:spacing w:before="124"/>
        <w:ind w:left="620"/>
      </w:pPr>
      <w:r>
        <w:rPr/>
        <w:t>A map of the Special Function Registers is shown in </w:t>
      </w:r>
      <w:hyperlink w:history="true" w:anchor="_bookmark48">
        <w:r>
          <w:rPr>
            <w:color w:val="0000FF"/>
          </w:rPr>
          <w:t>Table 11</w:t>
        </w:r>
        <w:r>
          <w:rPr/>
          <w:t>.</w:t>
        </w:r>
      </w:hyperlink>
    </w:p>
    <w:p>
      <w:pPr>
        <w:pStyle w:val="BodyText"/>
        <w:spacing w:before="120"/>
        <w:ind w:left="619" w:right="816"/>
      </w:pPr>
      <w:r>
        <w:rPr/>
        <w:t>Only a few addresses in the SFR memory space are occupied, the others are not implemented. A read access to unimplemented addresses returns undefined data, while a write access has no effect. SFRs specific to the 71M6543 are shown in </w:t>
      </w:r>
      <w:r>
        <w:rPr>
          <w:b/>
        </w:rPr>
        <w:t>bold </w:t>
      </w:r>
      <w:r>
        <w:rPr/>
        <w:t>print on a gray field. The registers at 0x80, 0x88, 0x90, etc., are bit addressable, all others are byte addressable.</w:t>
      </w:r>
    </w:p>
    <w:p>
      <w:pPr>
        <w:pStyle w:val="Heading1"/>
        <w:spacing w:before="117"/>
        <w:ind w:left="1316" w:right="1278"/>
      </w:pPr>
      <w:bookmarkStart w:name="_bookmark48" w:id="111"/>
      <w:bookmarkEnd w:id="111"/>
      <w:r>
        <w:rPr>
          <w:b w:val="0"/>
        </w:rPr>
      </w:r>
      <w:r>
        <w:rPr/>
        <w:t>Table 11: Special Function Register Map</w:t>
      </w:r>
    </w:p>
    <w:p>
      <w:pPr>
        <w:pStyle w:val="BodyText"/>
        <w:spacing w:before="8"/>
        <w:rPr>
          <w:b/>
          <w:sz w:val="5"/>
        </w:rPr>
      </w:pPr>
    </w:p>
    <w:tbl>
      <w:tblPr>
        <w:tblW w:w="0" w:type="auto"/>
        <w:jc w:val="left"/>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8"/>
        <w:gridCol w:w="1222"/>
        <w:gridCol w:w="888"/>
        <w:gridCol w:w="1085"/>
        <w:gridCol w:w="934"/>
        <w:gridCol w:w="891"/>
        <w:gridCol w:w="889"/>
        <w:gridCol w:w="1033"/>
        <w:gridCol w:w="987"/>
        <w:gridCol w:w="718"/>
      </w:tblGrid>
      <w:tr>
        <w:trPr>
          <w:trHeight w:val="529" w:hRule="atLeast"/>
        </w:trPr>
        <w:tc>
          <w:tcPr>
            <w:tcW w:w="718" w:type="dxa"/>
            <w:vMerge w:val="restart"/>
            <w:tcBorders>
              <w:bottom w:val="double" w:sz="1" w:space="0" w:color="000000"/>
            </w:tcBorders>
          </w:tcPr>
          <w:p>
            <w:pPr>
              <w:pStyle w:val="TableParagraph"/>
              <w:spacing w:line="261" w:lineRule="auto" w:before="177"/>
              <w:ind w:left="196" w:hanging="51"/>
              <w:rPr>
                <w:b/>
                <w:sz w:val="20"/>
              </w:rPr>
            </w:pPr>
            <w:r>
              <w:rPr>
                <w:b/>
                <w:w w:val="95"/>
                <w:sz w:val="20"/>
              </w:rPr>
              <w:t>Hex/ </w:t>
            </w:r>
            <w:r>
              <w:rPr>
                <w:b/>
                <w:sz w:val="20"/>
              </w:rPr>
              <w:t>Bin</w:t>
            </w:r>
          </w:p>
        </w:tc>
        <w:tc>
          <w:tcPr>
            <w:tcW w:w="1222" w:type="dxa"/>
          </w:tcPr>
          <w:p>
            <w:pPr>
              <w:pStyle w:val="TableParagraph"/>
              <w:spacing w:before="35"/>
              <w:ind w:left="37" w:right="-2" w:firstLine="444"/>
              <w:rPr>
                <w:b/>
                <w:sz w:val="20"/>
              </w:rPr>
            </w:pPr>
            <w:r>
              <w:rPr>
                <w:b/>
                <w:sz w:val="20"/>
              </w:rPr>
              <w:t>Bit </w:t>
            </w:r>
            <w:r>
              <w:rPr>
                <w:b/>
                <w:spacing w:val="-4"/>
                <w:sz w:val="20"/>
              </w:rPr>
              <w:t>Addressable</w:t>
            </w:r>
          </w:p>
        </w:tc>
        <w:tc>
          <w:tcPr>
            <w:tcW w:w="6707" w:type="dxa"/>
            <w:gridSpan w:val="7"/>
          </w:tcPr>
          <w:p>
            <w:pPr>
              <w:pStyle w:val="TableParagraph"/>
              <w:spacing w:before="150"/>
              <w:ind w:left="2483" w:right="2483"/>
              <w:jc w:val="center"/>
              <w:rPr>
                <w:b/>
                <w:sz w:val="20"/>
              </w:rPr>
            </w:pPr>
            <w:r>
              <w:rPr>
                <w:b/>
                <w:sz w:val="20"/>
              </w:rPr>
              <w:t>Byte Addressable</w:t>
            </w:r>
          </w:p>
        </w:tc>
        <w:tc>
          <w:tcPr>
            <w:tcW w:w="718" w:type="dxa"/>
            <w:vMerge w:val="restart"/>
            <w:tcBorders>
              <w:bottom w:val="double" w:sz="1" w:space="0" w:color="000000"/>
            </w:tcBorders>
          </w:tcPr>
          <w:p>
            <w:pPr>
              <w:pStyle w:val="TableParagraph"/>
              <w:spacing w:line="261" w:lineRule="auto" w:before="177"/>
              <w:ind w:left="170" w:right="145" w:hanging="5"/>
              <w:rPr>
                <w:b/>
                <w:sz w:val="20"/>
              </w:rPr>
            </w:pPr>
            <w:r>
              <w:rPr>
                <w:b/>
                <w:sz w:val="20"/>
              </w:rPr>
              <w:t>Bin/ Hex</w:t>
            </w:r>
          </w:p>
        </w:tc>
      </w:tr>
      <w:tr>
        <w:trPr>
          <w:trHeight w:val="279" w:hRule="atLeast"/>
        </w:trPr>
        <w:tc>
          <w:tcPr>
            <w:tcW w:w="718" w:type="dxa"/>
            <w:vMerge/>
            <w:tcBorders>
              <w:top w:val="nil"/>
              <w:bottom w:val="double" w:sz="1" w:space="0" w:color="000000"/>
            </w:tcBorders>
          </w:tcPr>
          <w:p>
            <w:pPr>
              <w:rPr>
                <w:sz w:val="2"/>
                <w:szCs w:val="2"/>
              </w:rPr>
            </w:pPr>
          </w:p>
        </w:tc>
        <w:tc>
          <w:tcPr>
            <w:tcW w:w="1222" w:type="dxa"/>
            <w:tcBorders>
              <w:bottom w:val="double" w:sz="1" w:space="0" w:color="000000"/>
            </w:tcBorders>
          </w:tcPr>
          <w:p>
            <w:pPr>
              <w:pStyle w:val="TableParagraph"/>
              <w:spacing w:before="25"/>
              <w:ind w:left="359" w:right="344"/>
              <w:jc w:val="center"/>
              <w:rPr>
                <w:b/>
                <w:sz w:val="20"/>
              </w:rPr>
            </w:pPr>
            <w:r>
              <w:rPr>
                <w:b/>
                <w:sz w:val="20"/>
              </w:rPr>
              <w:t>X000</w:t>
            </w:r>
          </w:p>
        </w:tc>
        <w:tc>
          <w:tcPr>
            <w:tcW w:w="888" w:type="dxa"/>
            <w:tcBorders>
              <w:bottom w:val="double" w:sz="1" w:space="0" w:color="000000"/>
            </w:tcBorders>
          </w:tcPr>
          <w:p>
            <w:pPr>
              <w:pStyle w:val="TableParagraph"/>
              <w:spacing w:before="25"/>
              <w:ind w:left="189" w:right="181"/>
              <w:jc w:val="center"/>
              <w:rPr>
                <w:b/>
                <w:sz w:val="20"/>
              </w:rPr>
            </w:pPr>
            <w:r>
              <w:rPr>
                <w:b/>
                <w:sz w:val="20"/>
              </w:rPr>
              <w:t>X001</w:t>
            </w:r>
          </w:p>
        </w:tc>
        <w:tc>
          <w:tcPr>
            <w:tcW w:w="1085" w:type="dxa"/>
            <w:tcBorders>
              <w:bottom w:val="double" w:sz="1" w:space="0" w:color="000000"/>
            </w:tcBorders>
          </w:tcPr>
          <w:p>
            <w:pPr>
              <w:pStyle w:val="TableParagraph"/>
              <w:spacing w:before="25"/>
              <w:ind w:left="285" w:right="282"/>
              <w:jc w:val="center"/>
              <w:rPr>
                <w:b/>
                <w:sz w:val="20"/>
              </w:rPr>
            </w:pPr>
            <w:r>
              <w:rPr>
                <w:b/>
                <w:sz w:val="20"/>
              </w:rPr>
              <w:t>X010</w:t>
            </w:r>
          </w:p>
        </w:tc>
        <w:tc>
          <w:tcPr>
            <w:tcW w:w="934" w:type="dxa"/>
            <w:tcBorders>
              <w:bottom w:val="double" w:sz="1" w:space="0" w:color="000000"/>
            </w:tcBorders>
          </w:tcPr>
          <w:p>
            <w:pPr>
              <w:pStyle w:val="TableParagraph"/>
              <w:spacing w:before="25"/>
              <w:ind w:left="210" w:right="205"/>
              <w:jc w:val="center"/>
              <w:rPr>
                <w:b/>
                <w:sz w:val="20"/>
              </w:rPr>
            </w:pPr>
            <w:r>
              <w:rPr>
                <w:b/>
                <w:sz w:val="20"/>
              </w:rPr>
              <w:t>X011</w:t>
            </w:r>
          </w:p>
        </w:tc>
        <w:tc>
          <w:tcPr>
            <w:tcW w:w="891" w:type="dxa"/>
            <w:tcBorders>
              <w:bottom w:val="double" w:sz="1" w:space="0" w:color="000000"/>
            </w:tcBorders>
          </w:tcPr>
          <w:p>
            <w:pPr>
              <w:pStyle w:val="TableParagraph"/>
              <w:spacing w:before="25"/>
              <w:ind w:left="188" w:right="184"/>
              <w:jc w:val="center"/>
              <w:rPr>
                <w:b/>
                <w:sz w:val="20"/>
              </w:rPr>
            </w:pPr>
            <w:r>
              <w:rPr>
                <w:b/>
                <w:sz w:val="20"/>
              </w:rPr>
              <w:t>X100</w:t>
            </w:r>
          </w:p>
        </w:tc>
        <w:tc>
          <w:tcPr>
            <w:tcW w:w="889" w:type="dxa"/>
            <w:tcBorders>
              <w:bottom w:val="double" w:sz="1" w:space="0" w:color="000000"/>
            </w:tcBorders>
          </w:tcPr>
          <w:p>
            <w:pPr>
              <w:pStyle w:val="TableParagraph"/>
              <w:spacing w:before="25"/>
              <w:ind w:left="187" w:right="183"/>
              <w:jc w:val="center"/>
              <w:rPr>
                <w:b/>
                <w:sz w:val="20"/>
              </w:rPr>
            </w:pPr>
            <w:r>
              <w:rPr>
                <w:b/>
                <w:sz w:val="20"/>
              </w:rPr>
              <w:t>X101</w:t>
            </w:r>
          </w:p>
        </w:tc>
        <w:tc>
          <w:tcPr>
            <w:tcW w:w="1033" w:type="dxa"/>
            <w:tcBorders>
              <w:bottom w:val="double" w:sz="1" w:space="0" w:color="000000"/>
            </w:tcBorders>
          </w:tcPr>
          <w:p>
            <w:pPr>
              <w:pStyle w:val="TableParagraph"/>
              <w:spacing w:before="25"/>
              <w:ind w:left="280"/>
              <w:rPr>
                <w:b/>
                <w:sz w:val="20"/>
              </w:rPr>
            </w:pPr>
            <w:r>
              <w:rPr>
                <w:b/>
                <w:sz w:val="20"/>
              </w:rPr>
              <w:t>X110</w:t>
            </w:r>
          </w:p>
        </w:tc>
        <w:tc>
          <w:tcPr>
            <w:tcW w:w="987" w:type="dxa"/>
            <w:tcBorders>
              <w:bottom w:val="double" w:sz="1" w:space="0" w:color="000000"/>
            </w:tcBorders>
          </w:tcPr>
          <w:p>
            <w:pPr>
              <w:pStyle w:val="TableParagraph"/>
              <w:spacing w:before="25"/>
              <w:ind w:left="255"/>
              <w:rPr>
                <w:b/>
                <w:sz w:val="20"/>
              </w:rPr>
            </w:pPr>
            <w:r>
              <w:rPr>
                <w:b/>
                <w:sz w:val="20"/>
              </w:rPr>
              <w:t>X111</w:t>
            </w:r>
          </w:p>
        </w:tc>
        <w:tc>
          <w:tcPr>
            <w:tcW w:w="718" w:type="dxa"/>
            <w:vMerge/>
            <w:tcBorders>
              <w:top w:val="nil"/>
              <w:bottom w:val="double" w:sz="1" w:space="0" w:color="000000"/>
            </w:tcBorders>
          </w:tcPr>
          <w:p>
            <w:pPr>
              <w:rPr>
                <w:sz w:val="2"/>
                <w:szCs w:val="2"/>
              </w:rPr>
            </w:pPr>
          </w:p>
        </w:tc>
      </w:tr>
      <w:tr>
        <w:trPr>
          <w:trHeight w:val="270" w:hRule="atLeast"/>
        </w:trPr>
        <w:tc>
          <w:tcPr>
            <w:tcW w:w="718" w:type="dxa"/>
            <w:tcBorders>
              <w:top w:val="double" w:sz="1" w:space="0" w:color="000000"/>
              <w:bottom w:val="single" w:sz="6" w:space="0" w:color="000000"/>
              <w:right w:val="single" w:sz="6" w:space="0" w:color="000000"/>
            </w:tcBorders>
          </w:tcPr>
          <w:p>
            <w:pPr>
              <w:pStyle w:val="TableParagraph"/>
              <w:spacing w:before="16"/>
              <w:ind w:left="194" w:right="187"/>
              <w:jc w:val="center"/>
              <w:rPr>
                <w:b/>
                <w:sz w:val="20"/>
              </w:rPr>
            </w:pPr>
            <w:r>
              <w:rPr>
                <w:b/>
                <w:sz w:val="20"/>
              </w:rPr>
              <w:t>F8</w:t>
            </w:r>
          </w:p>
        </w:tc>
        <w:tc>
          <w:tcPr>
            <w:tcW w:w="1222" w:type="dxa"/>
            <w:tcBorders>
              <w:top w:val="double" w:sz="1" w:space="0" w:color="000000"/>
              <w:left w:val="single" w:sz="6" w:space="0" w:color="000000"/>
              <w:bottom w:val="single" w:sz="6" w:space="0" w:color="000000"/>
              <w:right w:val="single" w:sz="6" w:space="0" w:color="000000"/>
            </w:tcBorders>
            <w:shd w:val="clear" w:color="auto" w:fill="DADADA"/>
          </w:tcPr>
          <w:p>
            <w:pPr>
              <w:pStyle w:val="TableParagraph"/>
              <w:spacing w:before="19"/>
              <w:ind w:left="229" w:right="213"/>
              <w:jc w:val="center"/>
              <w:rPr>
                <w:rFonts w:ascii="Times New Roman"/>
                <w:b/>
                <w:i/>
                <w:sz w:val="20"/>
              </w:rPr>
            </w:pPr>
            <w:r>
              <w:rPr>
                <w:rFonts w:ascii="Times New Roman"/>
                <w:b/>
                <w:i/>
                <w:sz w:val="20"/>
              </w:rPr>
              <w:t>FLAG1</w:t>
            </w:r>
          </w:p>
        </w:tc>
        <w:tc>
          <w:tcPr>
            <w:tcW w:w="888" w:type="dxa"/>
            <w:tcBorders>
              <w:top w:val="double" w:sz="1" w:space="0" w:color="000000"/>
              <w:left w:val="single" w:sz="6" w:space="0" w:color="000000"/>
              <w:bottom w:val="single" w:sz="6" w:space="0" w:color="000000"/>
              <w:right w:val="single" w:sz="6" w:space="0" w:color="000000"/>
            </w:tcBorders>
            <w:shd w:val="clear" w:color="auto" w:fill="DADADA"/>
          </w:tcPr>
          <w:p>
            <w:pPr>
              <w:pStyle w:val="TableParagraph"/>
              <w:spacing w:before="19"/>
              <w:ind w:left="105" w:right="104"/>
              <w:jc w:val="center"/>
              <w:rPr>
                <w:rFonts w:ascii="Times New Roman"/>
                <w:b/>
                <w:i/>
                <w:sz w:val="20"/>
              </w:rPr>
            </w:pPr>
            <w:r>
              <w:rPr>
                <w:rFonts w:ascii="Times New Roman"/>
                <w:b/>
                <w:i/>
                <w:sz w:val="20"/>
              </w:rPr>
              <w:t>VSTAT</w:t>
            </w:r>
          </w:p>
        </w:tc>
        <w:tc>
          <w:tcPr>
            <w:tcW w:w="1085" w:type="dxa"/>
            <w:tcBorders>
              <w:top w:val="double" w:sz="1"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934" w:type="dxa"/>
            <w:tcBorders>
              <w:top w:val="double" w:sz="1"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891" w:type="dxa"/>
            <w:tcBorders>
              <w:top w:val="double" w:sz="1" w:space="0" w:color="000000"/>
              <w:left w:val="single" w:sz="6" w:space="0" w:color="000000"/>
              <w:bottom w:val="single" w:sz="6" w:space="0" w:color="000000"/>
              <w:right w:val="single" w:sz="6" w:space="0" w:color="000000"/>
            </w:tcBorders>
            <w:shd w:val="clear" w:color="auto" w:fill="DADADA"/>
          </w:tcPr>
          <w:p>
            <w:pPr>
              <w:pStyle w:val="TableParagraph"/>
              <w:spacing w:before="19"/>
              <w:ind w:left="22" w:right="16"/>
              <w:jc w:val="center"/>
              <w:rPr>
                <w:rFonts w:ascii="Times New Roman"/>
                <w:b/>
                <w:i/>
                <w:sz w:val="20"/>
              </w:rPr>
            </w:pPr>
            <w:r>
              <w:rPr>
                <w:rFonts w:ascii="Times New Roman"/>
                <w:b/>
                <w:i/>
                <w:spacing w:val="-21"/>
                <w:sz w:val="20"/>
              </w:rPr>
              <w:t>REMOTE0</w:t>
            </w:r>
          </w:p>
        </w:tc>
        <w:tc>
          <w:tcPr>
            <w:tcW w:w="889" w:type="dxa"/>
            <w:tcBorders>
              <w:top w:val="double" w:sz="1" w:space="0" w:color="000000"/>
              <w:left w:val="single" w:sz="6" w:space="0" w:color="000000"/>
              <w:bottom w:val="single" w:sz="6" w:space="0" w:color="000000"/>
              <w:right w:val="single" w:sz="6" w:space="0" w:color="000000"/>
            </w:tcBorders>
            <w:shd w:val="clear" w:color="auto" w:fill="DADADA"/>
          </w:tcPr>
          <w:p>
            <w:pPr>
              <w:pStyle w:val="TableParagraph"/>
              <w:spacing w:before="19"/>
              <w:ind w:left="85" w:right="81"/>
              <w:jc w:val="center"/>
              <w:rPr>
                <w:rFonts w:ascii="Times New Roman"/>
                <w:b/>
                <w:i/>
                <w:sz w:val="20"/>
              </w:rPr>
            </w:pPr>
            <w:r>
              <w:rPr>
                <w:rFonts w:ascii="Times New Roman"/>
                <w:b/>
                <w:i/>
                <w:sz w:val="20"/>
              </w:rPr>
              <w:t>SPI1</w:t>
            </w:r>
          </w:p>
        </w:tc>
        <w:tc>
          <w:tcPr>
            <w:tcW w:w="1033" w:type="dxa"/>
            <w:tcBorders>
              <w:top w:val="double" w:sz="1"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987" w:type="dxa"/>
            <w:tcBorders>
              <w:top w:val="double" w:sz="1"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18" w:type="dxa"/>
            <w:tcBorders>
              <w:top w:val="double" w:sz="1" w:space="0" w:color="000000"/>
              <w:left w:val="single" w:sz="6" w:space="0" w:color="000000"/>
              <w:bottom w:val="single" w:sz="6" w:space="0" w:color="000000"/>
            </w:tcBorders>
          </w:tcPr>
          <w:p>
            <w:pPr>
              <w:pStyle w:val="TableParagraph"/>
              <w:spacing w:before="16"/>
              <w:ind w:left="194" w:right="194"/>
              <w:jc w:val="center"/>
              <w:rPr>
                <w:b/>
                <w:sz w:val="20"/>
              </w:rPr>
            </w:pPr>
            <w:r>
              <w:rPr>
                <w:b/>
                <w:sz w:val="20"/>
              </w:rPr>
              <w:t>FF</w:t>
            </w:r>
          </w:p>
        </w:tc>
      </w:tr>
      <w:tr>
        <w:trPr>
          <w:trHeight w:val="270" w:hRule="atLeast"/>
        </w:trPr>
        <w:tc>
          <w:tcPr>
            <w:tcW w:w="718" w:type="dxa"/>
            <w:tcBorders>
              <w:top w:val="single" w:sz="6" w:space="0" w:color="000000"/>
              <w:bottom w:val="single" w:sz="6" w:space="0" w:color="000000"/>
              <w:right w:val="single" w:sz="6" w:space="0" w:color="000000"/>
            </w:tcBorders>
          </w:tcPr>
          <w:p>
            <w:pPr>
              <w:pStyle w:val="TableParagraph"/>
              <w:spacing w:before="16"/>
              <w:ind w:left="194" w:right="187"/>
              <w:jc w:val="center"/>
              <w:rPr>
                <w:b/>
                <w:sz w:val="20"/>
              </w:rPr>
            </w:pPr>
            <w:r>
              <w:rPr>
                <w:b/>
                <w:sz w:val="20"/>
              </w:rPr>
              <w:t>F0</w:t>
            </w:r>
          </w:p>
        </w:tc>
        <w:tc>
          <w:tcPr>
            <w:tcW w:w="1222" w:type="dxa"/>
            <w:tcBorders>
              <w:top w:val="single" w:sz="6" w:space="0" w:color="000000"/>
              <w:left w:val="single" w:sz="6" w:space="0" w:color="000000"/>
              <w:bottom w:val="single" w:sz="6" w:space="0" w:color="000000"/>
              <w:right w:val="single" w:sz="6" w:space="0" w:color="000000"/>
            </w:tcBorders>
          </w:tcPr>
          <w:p>
            <w:pPr>
              <w:pStyle w:val="TableParagraph"/>
              <w:spacing w:before="14"/>
              <w:ind w:left="17"/>
              <w:jc w:val="center"/>
              <w:rPr>
                <w:rFonts w:ascii="Times New Roman"/>
                <w:i/>
                <w:sz w:val="20"/>
              </w:rPr>
            </w:pPr>
            <w:r>
              <w:rPr>
                <w:rFonts w:ascii="Times New Roman"/>
                <w:i/>
                <w:w w:val="99"/>
                <w:sz w:val="20"/>
              </w:rPr>
              <w:t>B</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108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93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8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88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103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98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18" w:type="dxa"/>
            <w:tcBorders>
              <w:top w:val="single" w:sz="6" w:space="0" w:color="000000"/>
              <w:left w:val="single" w:sz="6" w:space="0" w:color="000000"/>
              <w:bottom w:val="single" w:sz="6" w:space="0" w:color="000000"/>
            </w:tcBorders>
          </w:tcPr>
          <w:p>
            <w:pPr>
              <w:pStyle w:val="TableParagraph"/>
              <w:spacing w:before="16"/>
              <w:ind w:left="194" w:right="194"/>
              <w:jc w:val="center"/>
              <w:rPr>
                <w:b/>
                <w:sz w:val="20"/>
              </w:rPr>
            </w:pPr>
            <w:r>
              <w:rPr>
                <w:b/>
                <w:sz w:val="20"/>
              </w:rPr>
              <w:t>F7</w:t>
            </w:r>
          </w:p>
        </w:tc>
      </w:tr>
      <w:tr>
        <w:trPr>
          <w:trHeight w:val="268" w:hRule="atLeast"/>
        </w:trPr>
        <w:tc>
          <w:tcPr>
            <w:tcW w:w="718" w:type="dxa"/>
            <w:tcBorders>
              <w:top w:val="single" w:sz="6" w:space="0" w:color="000000"/>
              <w:bottom w:val="single" w:sz="6" w:space="0" w:color="000000"/>
              <w:right w:val="single" w:sz="6" w:space="0" w:color="000000"/>
            </w:tcBorders>
          </w:tcPr>
          <w:p>
            <w:pPr>
              <w:pStyle w:val="TableParagraph"/>
              <w:spacing w:before="16"/>
              <w:ind w:left="194" w:right="188"/>
              <w:jc w:val="center"/>
              <w:rPr>
                <w:b/>
                <w:sz w:val="20"/>
              </w:rPr>
            </w:pPr>
            <w:r>
              <w:rPr>
                <w:b/>
                <w:sz w:val="20"/>
              </w:rPr>
              <w:t>E8</w:t>
            </w:r>
          </w:p>
        </w:tc>
        <w:tc>
          <w:tcPr>
            <w:tcW w:w="1222" w:type="dxa"/>
            <w:tcBorders>
              <w:top w:val="single" w:sz="6" w:space="0" w:color="000000"/>
              <w:left w:val="single" w:sz="6" w:space="0" w:color="000000"/>
              <w:bottom w:val="single" w:sz="6" w:space="0" w:color="000000"/>
              <w:right w:val="single" w:sz="6" w:space="0" w:color="000000"/>
            </w:tcBorders>
            <w:shd w:val="clear" w:color="auto" w:fill="DADADA"/>
          </w:tcPr>
          <w:p>
            <w:pPr>
              <w:pStyle w:val="TableParagraph"/>
              <w:spacing w:line="229" w:lineRule="exact" w:before="19"/>
              <w:ind w:left="229" w:right="214"/>
              <w:jc w:val="center"/>
              <w:rPr>
                <w:rFonts w:ascii="Times New Roman"/>
                <w:b/>
                <w:i/>
                <w:sz w:val="20"/>
              </w:rPr>
            </w:pPr>
            <w:r>
              <w:rPr>
                <w:rFonts w:ascii="Times New Roman"/>
                <w:b/>
                <w:i/>
                <w:sz w:val="20"/>
              </w:rPr>
              <w:t>IFLAGS</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108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93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8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88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103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98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18" w:type="dxa"/>
            <w:tcBorders>
              <w:top w:val="single" w:sz="6" w:space="0" w:color="000000"/>
              <w:left w:val="single" w:sz="6" w:space="0" w:color="000000"/>
              <w:bottom w:val="single" w:sz="6" w:space="0" w:color="000000"/>
            </w:tcBorders>
          </w:tcPr>
          <w:p>
            <w:pPr>
              <w:pStyle w:val="TableParagraph"/>
              <w:spacing w:before="16"/>
              <w:ind w:left="194" w:right="195"/>
              <w:jc w:val="center"/>
              <w:rPr>
                <w:b/>
                <w:sz w:val="20"/>
              </w:rPr>
            </w:pPr>
            <w:r>
              <w:rPr>
                <w:b/>
                <w:sz w:val="20"/>
              </w:rPr>
              <w:t>EF</w:t>
            </w:r>
          </w:p>
        </w:tc>
      </w:tr>
      <w:tr>
        <w:trPr>
          <w:trHeight w:val="270" w:hRule="atLeast"/>
        </w:trPr>
        <w:tc>
          <w:tcPr>
            <w:tcW w:w="718" w:type="dxa"/>
            <w:tcBorders>
              <w:top w:val="single" w:sz="6" w:space="0" w:color="000000"/>
              <w:bottom w:val="single" w:sz="6" w:space="0" w:color="000000"/>
              <w:right w:val="single" w:sz="6" w:space="0" w:color="000000"/>
            </w:tcBorders>
          </w:tcPr>
          <w:p>
            <w:pPr>
              <w:pStyle w:val="TableParagraph"/>
              <w:spacing w:before="18"/>
              <w:ind w:left="194" w:right="188"/>
              <w:jc w:val="center"/>
              <w:rPr>
                <w:b/>
                <w:sz w:val="20"/>
              </w:rPr>
            </w:pPr>
            <w:r>
              <w:rPr>
                <w:b/>
                <w:sz w:val="20"/>
              </w:rPr>
              <w:t>E0</w:t>
            </w:r>
          </w:p>
        </w:tc>
        <w:tc>
          <w:tcPr>
            <w:tcW w:w="1222" w:type="dxa"/>
            <w:tcBorders>
              <w:top w:val="single" w:sz="6" w:space="0" w:color="000000"/>
              <w:left w:val="single" w:sz="6" w:space="0" w:color="000000"/>
              <w:bottom w:val="single" w:sz="6" w:space="0" w:color="000000"/>
              <w:right w:val="single" w:sz="6" w:space="0" w:color="000000"/>
            </w:tcBorders>
          </w:tcPr>
          <w:p>
            <w:pPr>
              <w:pStyle w:val="TableParagraph"/>
              <w:spacing w:before="17"/>
              <w:ind w:left="17"/>
              <w:jc w:val="center"/>
              <w:rPr>
                <w:rFonts w:ascii="Times New Roman"/>
                <w:i/>
                <w:sz w:val="20"/>
              </w:rPr>
            </w:pPr>
            <w:r>
              <w:rPr>
                <w:rFonts w:ascii="Times New Roman"/>
                <w:i/>
                <w:w w:val="99"/>
                <w:sz w:val="20"/>
              </w:rPr>
              <w:t>A</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108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93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8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88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103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98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18" w:type="dxa"/>
            <w:tcBorders>
              <w:top w:val="single" w:sz="6" w:space="0" w:color="000000"/>
              <w:left w:val="single" w:sz="6" w:space="0" w:color="000000"/>
              <w:bottom w:val="single" w:sz="6" w:space="0" w:color="000000"/>
            </w:tcBorders>
          </w:tcPr>
          <w:p>
            <w:pPr>
              <w:pStyle w:val="TableParagraph"/>
              <w:spacing w:before="18"/>
              <w:ind w:left="194" w:right="194"/>
              <w:jc w:val="center"/>
              <w:rPr>
                <w:b/>
                <w:sz w:val="20"/>
              </w:rPr>
            </w:pPr>
            <w:r>
              <w:rPr>
                <w:b/>
                <w:sz w:val="20"/>
              </w:rPr>
              <w:t>E7</w:t>
            </w:r>
          </w:p>
        </w:tc>
      </w:tr>
      <w:tr>
        <w:trPr>
          <w:trHeight w:val="270" w:hRule="atLeast"/>
        </w:trPr>
        <w:tc>
          <w:tcPr>
            <w:tcW w:w="718" w:type="dxa"/>
            <w:tcBorders>
              <w:top w:val="single" w:sz="6" w:space="0" w:color="000000"/>
              <w:bottom w:val="single" w:sz="6" w:space="0" w:color="000000"/>
              <w:right w:val="single" w:sz="6" w:space="0" w:color="000000"/>
            </w:tcBorders>
          </w:tcPr>
          <w:p>
            <w:pPr>
              <w:pStyle w:val="TableParagraph"/>
              <w:spacing w:before="16"/>
              <w:ind w:left="194" w:right="189"/>
              <w:jc w:val="center"/>
              <w:rPr>
                <w:b/>
                <w:sz w:val="20"/>
              </w:rPr>
            </w:pPr>
            <w:r>
              <w:rPr>
                <w:b/>
                <w:sz w:val="20"/>
              </w:rPr>
              <w:t>D8</w:t>
            </w:r>
          </w:p>
        </w:tc>
        <w:tc>
          <w:tcPr>
            <w:tcW w:w="1222" w:type="dxa"/>
            <w:tcBorders>
              <w:top w:val="single" w:sz="6" w:space="0" w:color="000000"/>
              <w:left w:val="single" w:sz="6" w:space="0" w:color="000000"/>
              <w:bottom w:val="single" w:sz="6" w:space="0" w:color="000000"/>
              <w:right w:val="single" w:sz="6" w:space="0" w:color="000000"/>
            </w:tcBorders>
          </w:tcPr>
          <w:p>
            <w:pPr>
              <w:pStyle w:val="TableParagraph"/>
              <w:spacing w:before="14"/>
              <w:ind w:left="229" w:right="213"/>
              <w:jc w:val="center"/>
              <w:rPr>
                <w:rFonts w:ascii="Times New Roman"/>
                <w:i/>
                <w:sz w:val="20"/>
              </w:rPr>
            </w:pPr>
            <w:r>
              <w:rPr>
                <w:rFonts w:ascii="Times New Roman"/>
                <w:i/>
                <w:sz w:val="20"/>
              </w:rPr>
              <w:t>WDCON</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108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93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8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88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103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98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18" w:type="dxa"/>
            <w:tcBorders>
              <w:top w:val="single" w:sz="6" w:space="0" w:color="000000"/>
              <w:left w:val="single" w:sz="6" w:space="0" w:color="000000"/>
              <w:bottom w:val="single" w:sz="6" w:space="0" w:color="000000"/>
            </w:tcBorders>
          </w:tcPr>
          <w:p>
            <w:pPr>
              <w:pStyle w:val="TableParagraph"/>
              <w:spacing w:before="16"/>
              <w:ind w:left="194" w:right="195"/>
              <w:jc w:val="center"/>
              <w:rPr>
                <w:b/>
                <w:sz w:val="20"/>
              </w:rPr>
            </w:pPr>
            <w:r>
              <w:rPr>
                <w:b/>
                <w:sz w:val="20"/>
              </w:rPr>
              <w:t>DF</w:t>
            </w:r>
          </w:p>
        </w:tc>
      </w:tr>
      <w:tr>
        <w:trPr>
          <w:trHeight w:val="270" w:hRule="atLeast"/>
        </w:trPr>
        <w:tc>
          <w:tcPr>
            <w:tcW w:w="718" w:type="dxa"/>
            <w:tcBorders>
              <w:top w:val="single" w:sz="6" w:space="0" w:color="000000"/>
              <w:bottom w:val="single" w:sz="6" w:space="0" w:color="000000"/>
              <w:right w:val="single" w:sz="6" w:space="0" w:color="000000"/>
            </w:tcBorders>
          </w:tcPr>
          <w:p>
            <w:pPr>
              <w:pStyle w:val="TableParagraph"/>
              <w:spacing w:before="16"/>
              <w:ind w:left="194" w:right="189"/>
              <w:jc w:val="center"/>
              <w:rPr>
                <w:b/>
                <w:sz w:val="20"/>
              </w:rPr>
            </w:pPr>
            <w:r>
              <w:rPr>
                <w:b/>
                <w:sz w:val="20"/>
              </w:rPr>
              <w:t>D0</w:t>
            </w:r>
          </w:p>
        </w:tc>
        <w:tc>
          <w:tcPr>
            <w:tcW w:w="1222" w:type="dxa"/>
            <w:tcBorders>
              <w:top w:val="single" w:sz="6" w:space="0" w:color="000000"/>
              <w:left w:val="single" w:sz="6" w:space="0" w:color="000000"/>
              <w:bottom w:val="single" w:sz="6" w:space="0" w:color="000000"/>
              <w:right w:val="single" w:sz="6" w:space="0" w:color="000000"/>
            </w:tcBorders>
          </w:tcPr>
          <w:p>
            <w:pPr>
              <w:pStyle w:val="TableParagraph"/>
              <w:spacing w:before="14"/>
              <w:ind w:left="229" w:right="209"/>
              <w:jc w:val="center"/>
              <w:rPr>
                <w:rFonts w:ascii="Times New Roman"/>
                <w:i/>
                <w:sz w:val="20"/>
              </w:rPr>
            </w:pPr>
            <w:r>
              <w:rPr>
                <w:rFonts w:ascii="Times New Roman"/>
                <w:i/>
                <w:sz w:val="20"/>
              </w:rPr>
              <w:t>PSW</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108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93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8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88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103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98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18" w:type="dxa"/>
            <w:tcBorders>
              <w:top w:val="single" w:sz="6" w:space="0" w:color="000000"/>
              <w:left w:val="single" w:sz="6" w:space="0" w:color="000000"/>
              <w:bottom w:val="single" w:sz="6" w:space="0" w:color="000000"/>
            </w:tcBorders>
          </w:tcPr>
          <w:p>
            <w:pPr>
              <w:pStyle w:val="TableParagraph"/>
              <w:spacing w:before="16"/>
              <w:ind w:left="194" w:right="196"/>
              <w:jc w:val="center"/>
              <w:rPr>
                <w:b/>
                <w:sz w:val="20"/>
              </w:rPr>
            </w:pPr>
            <w:r>
              <w:rPr>
                <w:b/>
                <w:sz w:val="20"/>
              </w:rPr>
              <w:t>D7</w:t>
            </w:r>
          </w:p>
        </w:tc>
      </w:tr>
      <w:tr>
        <w:trPr>
          <w:trHeight w:val="268" w:hRule="atLeast"/>
        </w:trPr>
        <w:tc>
          <w:tcPr>
            <w:tcW w:w="718" w:type="dxa"/>
            <w:tcBorders>
              <w:top w:val="single" w:sz="6" w:space="0" w:color="000000"/>
              <w:bottom w:val="single" w:sz="6" w:space="0" w:color="000000"/>
              <w:right w:val="single" w:sz="6" w:space="0" w:color="000000"/>
            </w:tcBorders>
          </w:tcPr>
          <w:p>
            <w:pPr>
              <w:pStyle w:val="TableParagraph"/>
              <w:spacing w:before="16"/>
              <w:ind w:left="194" w:right="189"/>
              <w:jc w:val="center"/>
              <w:rPr>
                <w:b/>
                <w:sz w:val="20"/>
              </w:rPr>
            </w:pPr>
            <w:r>
              <w:rPr>
                <w:b/>
                <w:sz w:val="20"/>
              </w:rPr>
              <w:t>C8</w:t>
            </w:r>
          </w:p>
        </w:tc>
        <w:tc>
          <w:tcPr>
            <w:tcW w:w="1222" w:type="dxa"/>
            <w:tcBorders>
              <w:top w:val="single" w:sz="6" w:space="0" w:color="000000"/>
              <w:left w:val="single" w:sz="6" w:space="0" w:color="000000"/>
              <w:bottom w:val="single" w:sz="6" w:space="0" w:color="000000"/>
              <w:right w:val="single" w:sz="6" w:space="0" w:color="000000"/>
            </w:tcBorders>
          </w:tcPr>
          <w:p>
            <w:pPr>
              <w:pStyle w:val="TableParagraph"/>
              <w:spacing w:before="14"/>
              <w:ind w:left="229" w:right="213"/>
              <w:jc w:val="center"/>
              <w:rPr>
                <w:rFonts w:ascii="Times New Roman"/>
                <w:i/>
                <w:sz w:val="20"/>
              </w:rPr>
            </w:pPr>
            <w:r>
              <w:rPr>
                <w:rFonts w:ascii="Times New Roman"/>
                <w:i/>
                <w:sz w:val="20"/>
              </w:rPr>
              <w:t>T2CON</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108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93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8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88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103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98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18" w:type="dxa"/>
            <w:tcBorders>
              <w:top w:val="single" w:sz="6" w:space="0" w:color="000000"/>
              <w:left w:val="single" w:sz="6" w:space="0" w:color="000000"/>
              <w:bottom w:val="single" w:sz="6" w:space="0" w:color="000000"/>
            </w:tcBorders>
          </w:tcPr>
          <w:p>
            <w:pPr>
              <w:pStyle w:val="TableParagraph"/>
              <w:spacing w:before="16"/>
              <w:ind w:left="194" w:right="195"/>
              <w:jc w:val="center"/>
              <w:rPr>
                <w:b/>
                <w:sz w:val="20"/>
              </w:rPr>
            </w:pPr>
            <w:r>
              <w:rPr>
                <w:b/>
                <w:sz w:val="20"/>
              </w:rPr>
              <w:t>CF</w:t>
            </w:r>
          </w:p>
        </w:tc>
      </w:tr>
      <w:tr>
        <w:trPr>
          <w:trHeight w:val="270" w:hRule="atLeast"/>
        </w:trPr>
        <w:tc>
          <w:tcPr>
            <w:tcW w:w="718" w:type="dxa"/>
            <w:tcBorders>
              <w:top w:val="single" w:sz="6" w:space="0" w:color="000000"/>
              <w:bottom w:val="single" w:sz="6" w:space="0" w:color="000000"/>
              <w:right w:val="single" w:sz="6" w:space="0" w:color="000000"/>
            </w:tcBorders>
          </w:tcPr>
          <w:p>
            <w:pPr>
              <w:pStyle w:val="TableParagraph"/>
              <w:spacing w:before="18"/>
              <w:ind w:left="194" w:right="189"/>
              <w:jc w:val="center"/>
              <w:rPr>
                <w:b/>
                <w:sz w:val="20"/>
              </w:rPr>
            </w:pPr>
            <w:r>
              <w:rPr>
                <w:b/>
                <w:sz w:val="20"/>
              </w:rPr>
              <w:t>C0</w:t>
            </w:r>
          </w:p>
        </w:tc>
        <w:tc>
          <w:tcPr>
            <w:tcW w:w="1222" w:type="dxa"/>
            <w:tcBorders>
              <w:top w:val="single" w:sz="6" w:space="0" w:color="000000"/>
              <w:left w:val="single" w:sz="6" w:space="0" w:color="000000"/>
              <w:bottom w:val="single" w:sz="6" w:space="0" w:color="000000"/>
              <w:right w:val="single" w:sz="6" w:space="0" w:color="000000"/>
            </w:tcBorders>
          </w:tcPr>
          <w:p>
            <w:pPr>
              <w:pStyle w:val="TableParagraph"/>
              <w:spacing w:before="17"/>
              <w:ind w:left="229" w:right="211"/>
              <w:jc w:val="center"/>
              <w:rPr>
                <w:rFonts w:ascii="Times New Roman"/>
                <w:i/>
                <w:sz w:val="20"/>
              </w:rPr>
            </w:pPr>
            <w:r>
              <w:rPr>
                <w:rFonts w:ascii="Times New Roman"/>
                <w:i/>
                <w:sz w:val="20"/>
              </w:rPr>
              <w:t>IRCON</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108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93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8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88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103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98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18" w:type="dxa"/>
            <w:tcBorders>
              <w:top w:val="single" w:sz="6" w:space="0" w:color="000000"/>
              <w:left w:val="single" w:sz="6" w:space="0" w:color="000000"/>
              <w:bottom w:val="single" w:sz="6" w:space="0" w:color="000000"/>
            </w:tcBorders>
          </w:tcPr>
          <w:p>
            <w:pPr>
              <w:pStyle w:val="TableParagraph"/>
              <w:spacing w:before="18"/>
              <w:ind w:left="194" w:right="196"/>
              <w:jc w:val="center"/>
              <w:rPr>
                <w:b/>
                <w:sz w:val="20"/>
              </w:rPr>
            </w:pPr>
            <w:r>
              <w:rPr>
                <w:b/>
                <w:sz w:val="20"/>
              </w:rPr>
              <w:t>C7</w:t>
            </w:r>
          </w:p>
        </w:tc>
      </w:tr>
      <w:tr>
        <w:trPr>
          <w:trHeight w:val="270" w:hRule="atLeast"/>
        </w:trPr>
        <w:tc>
          <w:tcPr>
            <w:tcW w:w="718" w:type="dxa"/>
            <w:tcBorders>
              <w:top w:val="single" w:sz="6" w:space="0" w:color="000000"/>
              <w:bottom w:val="single" w:sz="6" w:space="0" w:color="000000"/>
              <w:right w:val="single" w:sz="6" w:space="0" w:color="000000"/>
            </w:tcBorders>
          </w:tcPr>
          <w:p>
            <w:pPr>
              <w:pStyle w:val="TableParagraph"/>
              <w:spacing w:before="16"/>
              <w:ind w:left="194" w:right="189"/>
              <w:jc w:val="center"/>
              <w:rPr>
                <w:b/>
                <w:sz w:val="20"/>
              </w:rPr>
            </w:pPr>
            <w:r>
              <w:rPr>
                <w:b/>
                <w:sz w:val="20"/>
              </w:rPr>
              <w:t>B8</w:t>
            </w:r>
          </w:p>
        </w:tc>
        <w:tc>
          <w:tcPr>
            <w:tcW w:w="1222" w:type="dxa"/>
            <w:tcBorders>
              <w:top w:val="single" w:sz="6" w:space="0" w:color="000000"/>
              <w:left w:val="single" w:sz="6" w:space="0" w:color="000000"/>
              <w:bottom w:val="single" w:sz="6" w:space="0" w:color="000000"/>
              <w:right w:val="single" w:sz="6" w:space="0" w:color="000000"/>
            </w:tcBorders>
          </w:tcPr>
          <w:p>
            <w:pPr>
              <w:pStyle w:val="TableParagraph"/>
              <w:spacing w:before="14"/>
              <w:ind w:left="229" w:right="210"/>
              <w:jc w:val="center"/>
              <w:rPr>
                <w:rFonts w:ascii="Times New Roman"/>
                <w:i/>
                <w:sz w:val="20"/>
              </w:rPr>
            </w:pPr>
            <w:r>
              <w:rPr>
                <w:rFonts w:ascii="Times New Roman"/>
                <w:i/>
                <w:sz w:val="20"/>
              </w:rPr>
              <w:t>IEN1</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14"/>
              <w:ind w:left="105" w:right="101"/>
              <w:jc w:val="center"/>
              <w:rPr>
                <w:rFonts w:ascii="Times New Roman"/>
                <w:i/>
                <w:sz w:val="20"/>
              </w:rPr>
            </w:pPr>
            <w:r>
              <w:rPr>
                <w:rFonts w:ascii="Times New Roman"/>
                <w:i/>
                <w:sz w:val="20"/>
              </w:rPr>
              <w:t>IP1</w:t>
            </w:r>
          </w:p>
        </w:tc>
        <w:tc>
          <w:tcPr>
            <w:tcW w:w="1085" w:type="dxa"/>
            <w:tcBorders>
              <w:top w:val="single" w:sz="6" w:space="0" w:color="000000"/>
              <w:left w:val="single" w:sz="6" w:space="0" w:color="000000"/>
              <w:bottom w:val="single" w:sz="6" w:space="0" w:color="000000"/>
              <w:right w:val="single" w:sz="6" w:space="0" w:color="000000"/>
            </w:tcBorders>
          </w:tcPr>
          <w:p>
            <w:pPr>
              <w:pStyle w:val="TableParagraph"/>
              <w:spacing w:before="14"/>
              <w:ind w:left="65" w:right="63"/>
              <w:jc w:val="center"/>
              <w:rPr>
                <w:rFonts w:ascii="Times New Roman"/>
                <w:i/>
                <w:sz w:val="20"/>
              </w:rPr>
            </w:pPr>
            <w:r>
              <w:rPr>
                <w:rFonts w:ascii="Times New Roman"/>
                <w:i/>
                <w:sz w:val="20"/>
              </w:rPr>
              <w:t>S0RELH</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before="14"/>
              <w:ind w:left="91" w:right="87"/>
              <w:jc w:val="center"/>
              <w:rPr>
                <w:rFonts w:ascii="Times New Roman"/>
                <w:i/>
                <w:sz w:val="20"/>
              </w:rPr>
            </w:pPr>
            <w:r>
              <w:rPr>
                <w:rFonts w:ascii="Times New Roman"/>
                <w:i/>
                <w:sz w:val="20"/>
              </w:rPr>
              <w:t>S1RELH</w:t>
            </w:r>
          </w:p>
        </w:tc>
        <w:tc>
          <w:tcPr>
            <w:tcW w:w="8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88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103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before="14"/>
              <w:ind w:right="173"/>
              <w:jc w:val="right"/>
              <w:rPr>
                <w:rFonts w:ascii="Times New Roman"/>
                <w:i/>
                <w:sz w:val="20"/>
              </w:rPr>
            </w:pPr>
            <w:r>
              <w:rPr>
                <w:rFonts w:ascii="Times New Roman"/>
                <w:i/>
                <w:sz w:val="20"/>
              </w:rPr>
              <w:t>PDATA</w:t>
            </w:r>
          </w:p>
        </w:tc>
        <w:tc>
          <w:tcPr>
            <w:tcW w:w="718" w:type="dxa"/>
            <w:tcBorders>
              <w:top w:val="single" w:sz="6" w:space="0" w:color="000000"/>
              <w:left w:val="single" w:sz="6" w:space="0" w:color="000000"/>
              <w:bottom w:val="single" w:sz="6" w:space="0" w:color="000000"/>
            </w:tcBorders>
          </w:tcPr>
          <w:p>
            <w:pPr>
              <w:pStyle w:val="TableParagraph"/>
              <w:spacing w:before="16"/>
              <w:ind w:left="194" w:right="195"/>
              <w:jc w:val="center"/>
              <w:rPr>
                <w:b/>
                <w:sz w:val="20"/>
              </w:rPr>
            </w:pPr>
            <w:r>
              <w:rPr>
                <w:b/>
                <w:sz w:val="20"/>
              </w:rPr>
              <w:t>BF</w:t>
            </w:r>
          </w:p>
        </w:tc>
      </w:tr>
      <w:tr>
        <w:trPr>
          <w:trHeight w:val="270" w:hRule="atLeast"/>
        </w:trPr>
        <w:tc>
          <w:tcPr>
            <w:tcW w:w="718" w:type="dxa"/>
            <w:tcBorders>
              <w:top w:val="single" w:sz="6" w:space="0" w:color="000000"/>
              <w:bottom w:val="single" w:sz="6" w:space="0" w:color="000000"/>
              <w:right w:val="single" w:sz="6" w:space="0" w:color="000000"/>
            </w:tcBorders>
          </w:tcPr>
          <w:p>
            <w:pPr>
              <w:pStyle w:val="TableParagraph"/>
              <w:spacing w:before="16"/>
              <w:ind w:left="194" w:right="189"/>
              <w:jc w:val="center"/>
              <w:rPr>
                <w:b/>
                <w:sz w:val="20"/>
              </w:rPr>
            </w:pPr>
            <w:r>
              <w:rPr>
                <w:b/>
                <w:sz w:val="20"/>
              </w:rPr>
              <w:t>B0</w:t>
            </w:r>
          </w:p>
        </w:tc>
        <w:tc>
          <w:tcPr>
            <w:tcW w:w="1222" w:type="dxa"/>
            <w:tcBorders>
              <w:top w:val="single" w:sz="6" w:space="0" w:color="000000"/>
              <w:left w:val="single" w:sz="6" w:space="0" w:color="000000"/>
              <w:bottom w:val="single" w:sz="6" w:space="0" w:color="000000"/>
              <w:right w:val="single" w:sz="6" w:space="0" w:color="000000"/>
            </w:tcBorders>
            <w:shd w:val="clear" w:color="auto" w:fill="DADADA"/>
          </w:tcPr>
          <w:p>
            <w:pPr>
              <w:pStyle w:val="TableParagraph"/>
              <w:spacing w:before="19"/>
              <w:ind w:left="229" w:right="213"/>
              <w:jc w:val="center"/>
              <w:rPr>
                <w:rFonts w:ascii="Times New Roman"/>
                <w:b/>
                <w:i/>
                <w:sz w:val="20"/>
              </w:rPr>
            </w:pPr>
            <w:r>
              <w:rPr>
                <w:rFonts w:ascii="Times New Roman"/>
                <w:b/>
                <w:i/>
                <w:sz w:val="20"/>
              </w:rPr>
              <w:t>P3</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1085" w:type="dxa"/>
            <w:tcBorders>
              <w:top w:val="single" w:sz="6" w:space="0" w:color="000000"/>
              <w:left w:val="single" w:sz="6" w:space="0" w:color="000000"/>
              <w:bottom w:val="single" w:sz="6" w:space="0" w:color="000000"/>
              <w:right w:val="single" w:sz="6" w:space="0" w:color="000000"/>
            </w:tcBorders>
            <w:shd w:val="clear" w:color="auto" w:fill="DADADA"/>
          </w:tcPr>
          <w:p>
            <w:pPr>
              <w:pStyle w:val="TableParagraph"/>
              <w:spacing w:before="19"/>
              <w:ind w:left="65" w:right="63"/>
              <w:jc w:val="center"/>
              <w:rPr>
                <w:rFonts w:ascii="Times New Roman"/>
                <w:b/>
                <w:i/>
                <w:sz w:val="20"/>
              </w:rPr>
            </w:pPr>
            <w:r>
              <w:rPr>
                <w:rFonts w:ascii="Times New Roman"/>
                <w:b/>
                <w:i/>
                <w:sz w:val="20"/>
              </w:rPr>
              <w:t>FLSHCTL</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8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88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1033" w:type="dxa"/>
            <w:tcBorders>
              <w:top w:val="single" w:sz="6" w:space="0" w:color="000000"/>
              <w:left w:val="single" w:sz="6" w:space="0" w:color="000000"/>
              <w:bottom w:val="single" w:sz="6" w:space="0" w:color="000000"/>
              <w:right w:val="single" w:sz="6" w:space="0" w:color="000000"/>
            </w:tcBorders>
            <w:shd w:val="clear" w:color="auto" w:fill="DADADA"/>
          </w:tcPr>
          <w:p>
            <w:pPr>
              <w:pStyle w:val="TableParagraph"/>
              <w:spacing w:before="19"/>
              <w:ind w:left="59"/>
              <w:rPr>
                <w:rFonts w:ascii="Times New Roman"/>
                <w:b/>
                <w:i/>
                <w:sz w:val="20"/>
              </w:rPr>
            </w:pPr>
            <w:r>
              <w:rPr>
                <w:rFonts w:ascii="Times New Roman"/>
                <w:b/>
                <w:i/>
                <w:sz w:val="20"/>
              </w:rPr>
              <w:t>FL_BANK</w:t>
            </w:r>
          </w:p>
        </w:tc>
        <w:tc>
          <w:tcPr>
            <w:tcW w:w="987" w:type="dxa"/>
            <w:tcBorders>
              <w:top w:val="single" w:sz="6" w:space="0" w:color="000000"/>
              <w:left w:val="single" w:sz="6" w:space="0" w:color="000000"/>
              <w:bottom w:val="single" w:sz="6" w:space="0" w:color="000000"/>
              <w:right w:val="single" w:sz="6" w:space="0" w:color="000000"/>
            </w:tcBorders>
            <w:shd w:val="clear" w:color="auto" w:fill="DADADA"/>
          </w:tcPr>
          <w:p>
            <w:pPr>
              <w:pStyle w:val="TableParagraph"/>
              <w:spacing w:before="19"/>
              <w:ind w:right="147"/>
              <w:jc w:val="right"/>
              <w:rPr>
                <w:rFonts w:ascii="Times New Roman"/>
                <w:b/>
                <w:i/>
                <w:sz w:val="20"/>
              </w:rPr>
            </w:pPr>
            <w:r>
              <w:rPr>
                <w:rFonts w:ascii="Times New Roman"/>
                <w:b/>
                <w:i/>
                <w:sz w:val="20"/>
              </w:rPr>
              <w:t>PGADR</w:t>
            </w:r>
          </w:p>
        </w:tc>
        <w:tc>
          <w:tcPr>
            <w:tcW w:w="718" w:type="dxa"/>
            <w:tcBorders>
              <w:top w:val="single" w:sz="6" w:space="0" w:color="000000"/>
              <w:left w:val="single" w:sz="6" w:space="0" w:color="000000"/>
              <w:bottom w:val="single" w:sz="6" w:space="0" w:color="000000"/>
            </w:tcBorders>
          </w:tcPr>
          <w:p>
            <w:pPr>
              <w:pStyle w:val="TableParagraph"/>
              <w:spacing w:before="16"/>
              <w:ind w:left="194" w:right="196"/>
              <w:jc w:val="center"/>
              <w:rPr>
                <w:b/>
                <w:sz w:val="20"/>
              </w:rPr>
            </w:pPr>
            <w:r>
              <w:rPr>
                <w:b/>
                <w:sz w:val="20"/>
              </w:rPr>
              <w:t>B7</w:t>
            </w:r>
          </w:p>
        </w:tc>
      </w:tr>
      <w:tr>
        <w:trPr>
          <w:trHeight w:val="268" w:hRule="atLeast"/>
        </w:trPr>
        <w:tc>
          <w:tcPr>
            <w:tcW w:w="718" w:type="dxa"/>
            <w:tcBorders>
              <w:top w:val="single" w:sz="6" w:space="0" w:color="000000"/>
              <w:bottom w:val="single" w:sz="6" w:space="0" w:color="000000"/>
              <w:right w:val="single" w:sz="6" w:space="0" w:color="000000"/>
            </w:tcBorders>
          </w:tcPr>
          <w:p>
            <w:pPr>
              <w:pStyle w:val="TableParagraph"/>
              <w:spacing w:before="16"/>
              <w:ind w:left="194" w:right="194"/>
              <w:jc w:val="center"/>
              <w:rPr>
                <w:b/>
                <w:sz w:val="20"/>
              </w:rPr>
            </w:pPr>
            <w:r>
              <w:rPr>
                <w:b/>
                <w:sz w:val="20"/>
              </w:rPr>
              <w:t>A8</w:t>
            </w:r>
          </w:p>
        </w:tc>
        <w:tc>
          <w:tcPr>
            <w:tcW w:w="1222" w:type="dxa"/>
            <w:tcBorders>
              <w:top w:val="single" w:sz="6" w:space="0" w:color="000000"/>
              <w:left w:val="single" w:sz="6" w:space="0" w:color="000000"/>
              <w:bottom w:val="single" w:sz="6" w:space="0" w:color="000000"/>
              <w:right w:val="single" w:sz="6" w:space="0" w:color="000000"/>
            </w:tcBorders>
          </w:tcPr>
          <w:p>
            <w:pPr>
              <w:pStyle w:val="TableParagraph"/>
              <w:spacing w:before="14"/>
              <w:ind w:left="229" w:right="210"/>
              <w:jc w:val="center"/>
              <w:rPr>
                <w:rFonts w:ascii="Times New Roman"/>
                <w:i/>
                <w:sz w:val="20"/>
              </w:rPr>
            </w:pPr>
            <w:r>
              <w:rPr>
                <w:rFonts w:ascii="Times New Roman"/>
                <w:i/>
                <w:sz w:val="20"/>
              </w:rPr>
              <w:t>IEN0</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14"/>
              <w:ind w:left="105" w:right="101"/>
              <w:jc w:val="center"/>
              <w:rPr>
                <w:rFonts w:ascii="Times New Roman"/>
                <w:i/>
                <w:sz w:val="20"/>
              </w:rPr>
            </w:pPr>
            <w:r>
              <w:rPr>
                <w:rFonts w:ascii="Times New Roman"/>
                <w:i/>
                <w:sz w:val="20"/>
              </w:rPr>
              <w:t>IP0</w:t>
            </w:r>
          </w:p>
        </w:tc>
        <w:tc>
          <w:tcPr>
            <w:tcW w:w="1085" w:type="dxa"/>
            <w:tcBorders>
              <w:top w:val="single" w:sz="6" w:space="0" w:color="000000"/>
              <w:left w:val="single" w:sz="6" w:space="0" w:color="000000"/>
              <w:bottom w:val="single" w:sz="6" w:space="0" w:color="000000"/>
              <w:right w:val="single" w:sz="6" w:space="0" w:color="000000"/>
            </w:tcBorders>
          </w:tcPr>
          <w:p>
            <w:pPr>
              <w:pStyle w:val="TableParagraph"/>
              <w:spacing w:before="14"/>
              <w:ind w:left="65" w:right="62"/>
              <w:jc w:val="center"/>
              <w:rPr>
                <w:rFonts w:ascii="Times New Roman"/>
                <w:i/>
                <w:sz w:val="20"/>
              </w:rPr>
            </w:pPr>
            <w:r>
              <w:rPr>
                <w:rFonts w:ascii="Times New Roman"/>
                <w:i/>
                <w:sz w:val="20"/>
              </w:rPr>
              <w:t>S0RELL</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8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88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103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98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18" w:type="dxa"/>
            <w:tcBorders>
              <w:top w:val="single" w:sz="6" w:space="0" w:color="000000"/>
              <w:left w:val="single" w:sz="6" w:space="0" w:color="000000"/>
              <w:bottom w:val="single" w:sz="6" w:space="0" w:color="000000"/>
            </w:tcBorders>
          </w:tcPr>
          <w:p>
            <w:pPr>
              <w:pStyle w:val="TableParagraph"/>
              <w:spacing w:before="16"/>
              <w:ind w:left="189" w:right="199"/>
              <w:jc w:val="center"/>
              <w:rPr>
                <w:b/>
                <w:sz w:val="20"/>
              </w:rPr>
            </w:pPr>
            <w:r>
              <w:rPr>
                <w:b/>
                <w:sz w:val="20"/>
              </w:rPr>
              <w:t>AF</w:t>
            </w:r>
          </w:p>
        </w:tc>
      </w:tr>
      <w:tr>
        <w:trPr>
          <w:trHeight w:val="270" w:hRule="atLeast"/>
        </w:trPr>
        <w:tc>
          <w:tcPr>
            <w:tcW w:w="718" w:type="dxa"/>
            <w:tcBorders>
              <w:top w:val="single" w:sz="6" w:space="0" w:color="000000"/>
              <w:bottom w:val="single" w:sz="6" w:space="0" w:color="000000"/>
              <w:right w:val="single" w:sz="6" w:space="0" w:color="000000"/>
            </w:tcBorders>
          </w:tcPr>
          <w:p>
            <w:pPr>
              <w:pStyle w:val="TableParagraph"/>
              <w:spacing w:before="18"/>
              <w:ind w:left="194" w:right="194"/>
              <w:jc w:val="center"/>
              <w:rPr>
                <w:b/>
                <w:sz w:val="20"/>
              </w:rPr>
            </w:pPr>
            <w:r>
              <w:rPr>
                <w:b/>
                <w:sz w:val="20"/>
              </w:rPr>
              <w:t>A0</w:t>
            </w:r>
          </w:p>
        </w:tc>
        <w:tc>
          <w:tcPr>
            <w:tcW w:w="1222" w:type="dxa"/>
            <w:tcBorders>
              <w:top w:val="single" w:sz="6" w:space="0" w:color="000000"/>
              <w:left w:val="single" w:sz="6" w:space="0" w:color="000000"/>
              <w:bottom w:val="single" w:sz="6" w:space="0" w:color="000000"/>
              <w:right w:val="single" w:sz="6" w:space="0" w:color="000000"/>
            </w:tcBorders>
            <w:shd w:val="clear" w:color="auto" w:fill="DADADA"/>
          </w:tcPr>
          <w:p>
            <w:pPr>
              <w:pStyle w:val="TableParagraph"/>
              <w:spacing w:line="229" w:lineRule="exact" w:before="21"/>
              <w:ind w:left="229" w:right="213"/>
              <w:jc w:val="center"/>
              <w:rPr>
                <w:rFonts w:ascii="Times New Roman"/>
                <w:b/>
                <w:i/>
                <w:sz w:val="20"/>
              </w:rPr>
            </w:pPr>
            <w:r>
              <w:rPr>
                <w:rFonts w:ascii="Times New Roman"/>
                <w:b/>
                <w:i/>
                <w:sz w:val="20"/>
              </w:rPr>
              <w:t>P2</w:t>
            </w:r>
          </w:p>
        </w:tc>
        <w:tc>
          <w:tcPr>
            <w:tcW w:w="888" w:type="dxa"/>
            <w:tcBorders>
              <w:top w:val="single" w:sz="6" w:space="0" w:color="000000"/>
              <w:left w:val="single" w:sz="6" w:space="0" w:color="000000"/>
              <w:bottom w:val="single" w:sz="6" w:space="0" w:color="000000"/>
              <w:right w:val="single" w:sz="6" w:space="0" w:color="000000"/>
            </w:tcBorders>
            <w:shd w:val="clear" w:color="auto" w:fill="DADADA"/>
          </w:tcPr>
          <w:p>
            <w:pPr>
              <w:pStyle w:val="TableParagraph"/>
              <w:spacing w:line="229" w:lineRule="exact" w:before="21"/>
              <w:ind w:left="103" w:right="104"/>
              <w:jc w:val="center"/>
              <w:rPr>
                <w:rFonts w:ascii="Times New Roman"/>
                <w:b/>
                <w:i/>
                <w:sz w:val="20"/>
              </w:rPr>
            </w:pPr>
            <w:r>
              <w:rPr>
                <w:rFonts w:ascii="Times New Roman"/>
                <w:b/>
                <w:i/>
                <w:sz w:val="20"/>
              </w:rPr>
              <w:t>DIR2</w:t>
            </w:r>
          </w:p>
        </w:tc>
        <w:tc>
          <w:tcPr>
            <w:tcW w:w="1085" w:type="dxa"/>
            <w:tcBorders>
              <w:top w:val="single" w:sz="6" w:space="0" w:color="000000"/>
              <w:left w:val="single" w:sz="6" w:space="0" w:color="000000"/>
              <w:bottom w:val="single" w:sz="6" w:space="0" w:color="000000"/>
              <w:right w:val="single" w:sz="6" w:space="0" w:color="000000"/>
            </w:tcBorders>
            <w:shd w:val="clear" w:color="auto" w:fill="DADADA"/>
          </w:tcPr>
          <w:p>
            <w:pPr>
              <w:pStyle w:val="TableParagraph"/>
              <w:spacing w:line="229" w:lineRule="exact" w:before="21"/>
              <w:ind w:left="62" w:right="63"/>
              <w:jc w:val="center"/>
              <w:rPr>
                <w:rFonts w:ascii="Times New Roman"/>
                <w:b/>
                <w:i/>
                <w:sz w:val="20"/>
              </w:rPr>
            </w:pPr>
            <w:r>
              <w:rPr>
                <w:rFonts w:ascii="Times New Roman"/>
                <w:b/>
                <w:i/>
                <w:sz w:val="20"/>
              </w:rPr>
              <w:t>DIR0</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8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88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103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98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18" w:type="dxa"/>
            <w:tcBorders>
              <w:top w:val="single" w:sz="6" w:space="0" w:color="000000"/>
              <w:left w:val="single" w:sz="6" w:space="0" w:color="000000"/>
              <w:bottom w:val="single" w:sz="6" w:space="0" w:color="000000"/>
            </w:tcBorders>
          </w:tcPr>
          <w:p>
            <w:pPr>
              <w:pStyle w:val="TableParagraph"/>
              <w:spacing w:before="18"/>
              <w:ind w:left="192" w:right="199"/>
              <w:jc w:val="center"/>
              <w:rPr>
                <w:b/>
                <w:sz w:val="20"/>
              </w:rPr>
            </w:pPr>
            <w:r>
              <w:rPr>
                <w:b/>
                <w:sz w:val="20"/>
              </w:rPr>
              <w:t>A7</w:t>
            </w:r>
          </w:p>
        </w:tc>
      </w:tr>
      <w:tr>
        <w:trPr>
          <w:trHeight w:val="270" w:hRule="atLeast"/>
        </w:trPr>
        <w:tc>
          <w:tcPr>
            <w:tcW w:w="718" w:type="dxa"/>
            <w:tcBorders>
              <w:top w:val="single" w:sz="6" w:space="0" w:color="000000"/>
              <w:bottom w:val="single" w:sz="6" w:space="0" w:color="000000"/>
              <w:right w:val="single" w:sz="6" w:space="0" w:color="000000"/>
            </w:tcBorders>
          </w:tcPr>
          <w:p>
            <w:pPr>
              <w:pStyle w:val="TableParagraph"/>
              <w:spacing w:before="16"/>
              <w:ind w:left="194" w:right="190"/>
              <w:jc w:val="center"/>
              <w:rPr>
                <w:b/>
                <w:sz w:val="20"/>
              </w:rPr>
            </w:pPr>
            <w:r>
              <w:rPr>
                <w:b/>
                <w:sz w:val="20"/>
              </w:rPr>
              <w:t>98</w:t>
            </w:r>
          </w:p>
        </w:tc>
        <w:tc>
          <w:tcPr>
            <w:tcW w:w="1222" w:type="dxa"/>
            <w:tcBorders>
              <w:top w:val="single" w:sz="6" w:space="0" w:color="000000"/>
              <w:left w:val="single" w:sz="6" w:space="0" w:color="000000"/>
              <w:bottom w:val="single" w:sz="6" w:space="0" w:color="000000"/>
              <w:right w:val="single" w:sz="6" w:space="0" w:color="000000"/>
            </w:tcBorders>
          </w:tcPr>
          <w:p>
            <w:pPr>
              <w:pStyle w:val="TableParagraph"/>
              <w:spacing w:before="14"/>
              <w:ind w:left="229" w:right="213"/>
              <w:jc w:val="center"/>
              <w:rPr>
                <w:rFonts w:ascii="Times New Roman"/>
                <w:i/>
                <w:sz w:val="20"/>
              </w:rPr>
            </w:pPr>
            <w:r>
              <w:rPr>
                <w:rFonts w:ascii="Times New Roman"/>
                <w:i/>
                <w:sz w:val="20"/>
              </w:rPr>
              <w:t>S0CON</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14"/>
              <w:ind w:left="105" w:right="98"/>
              <w:jc w:val="center"/>
              <w:rPr>
                <w:rFonts w:ascii="Times New Roman"/>
                <w:i/>
                <w:sz w:val="20"/>
              </w:rPr>
            </w:pPr>
            <w:r>
              <w:rPr>
                <w:rFonts w:ascii="Times New Roman"/>
                <w:i/>
                <w:sz w:val="20"/>
              </w:rPr>
              <w:t>S0BUF</w:t>
            </w:r>
          </w:p>
        </w:tc>
        <w:tc>
          <w:tcPr>
            <w:tcW w:w="1085" w:type="dxa"/>
            <w:tcBorders>
              <w:top w:val="single" w:sz="6" w:space="0" w:color="000000"/>
              <w:left w:val="single" w:sz="6" w:space="0" w:color="000000"/>
              <w:bottom w:val="single" w:sz="6" w:space="0" w:color="000000"/>
              <w:right w:val="single" w:sz="6" w:space="0" w:color="000000"/>
            </w:tcBorders>
          </w:tcPr>
          <w:p>
            <w:pPr>
              <w:pStyle w:val="TableParagraph"/>
              <w:spacing w:before="14"/>
              <w:ind w:left="64" w:right="63"/>
              <w:jc w:val="center"/>
              <w:rPr>
                <w:rFonts w:ascii="Times New Roman"/>
                <w:i/>
                <w:sz w:val="20"/>
              </w:rPr>
            </w:pPr>
            <w:r>
              <w:rPr>
                <w:rFonts w:ascii="Times New Roman"/>
                <w:i/>
                <w:sz w:val="20"/>
              </w:rPr>
              <w:t>IEN2</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before="14"/>
              <w:ind w:left="87" w:right="87"/>
              <w:jc w:val="center"/>
              <w:rPr>
                <w:rFonts w:ascii="Times New Roman"/>
                <w:i/>
                <w:sz w:val="20"/>
              </w:rPr>
            </w:pPr>
            <w:r>
              <w:rPr>
                <w:rFonts w:ascii="Times New Roman"/>
                <w:i/>
                <w:sz w:val="20"/>
              </w:rPr>
              <w:t>S1CON</w:t>
            </w:r>
          </w:p>
        </w:tc>
        <w:tc>
          <w:tcPr>
            <w:tcW w:w="891" w:type="dxa"/>
            <w:tcBorders>
              <w:top w:val="single" w:sz="6" w:space="0" w:color="000000"/>
              <w:left w:val="single" w:sz="6" w:space="0" w:color="000000"/>
              <w:bottom w:val="single" w:sz="6" w:space="0" w:color="000000"/>
              <w:right w:val="single" w:sz="6" w:space="0" w:color="000000"/>
            </w:tcBorders>
          </w:tcPr>
          <w:p>
            <w:pPr>
              <w:pStyle w:val="TableParagraph"/>
              <w:spacing w:before="14"/>
              <w:ind w:left="22" w:right="15"/>
              <w:jc w:val="center"/>
              <w:rPr>
                <w:rFonts w:ascii="Times New Roman"/>
                <w:i/>
                <w:sz w:val="20"/>
              </w:rPr>
            </w:pPr>
            <w:r>
              <w:rPr>
                <w:rFonts w:ascii="Times New Roman"/>
                <w:i/>
                <w:sz w:val="20"/>
              </w:rPr>
              <w:t>S1BUF</w:t>
            </w:r>
          </w:p>
        </w:tc>
        <w:tc>
          <w:tcPr>
            <w:tcW w:w="889" w:type="dxa"/>
            <w:tcBorders>
              <w:top w:val="single" w:sz="6" w:space="0" w:color="000000"/>
              <w:left w:val="single" w:sz="6" w:space="0" w:color="000000"/>
              <w:bottom w:val="single" w:sz="6" w:space="0" w:color="000000"/>
              <w:right w:val="single" w:sz="6" w:space="0" w:color="000000"/>
            </w:tcBorders>
          </w:tcPr>
          <w:p>
            <w:pPr>
              <w:pStyle w:val="TableParagraph"/>
              <w:spacing w:before="14"/>
              <w:ind w:left="85" w:right="81"/>
              <w:jc w:val="center"/>
              <w:rPr>
                <w:rFonts w:ascii="Times New Roman"/>
                <w:i/>
                <w:sz w:val="20"/>
              </w:rPr>
            </w:pPr>
            <w:r>
              <w:rPr>
                <w:rFonts w:ascii="Times New Roman"/>
                <w:i/>
                <w:sz w:val="20"/>
              </w:rPr>
              <w:t>S1RELL</w:t>
            </w:r>
          </w:p>
        </w:tc>
        <w:tc>
          <w:tcPr>
            <w:tcW w:w="1033" w:type="dxa"/>
            <w:tcBorders>
              <w:top w:val="single" w:sz="6" w:space="0" w:color="000000"/>
              <w:left w:val="single" w:sz="6" w:space="0" w:color="000000"/>
              <w:bottom w:val="single" w:sz="6" w:space="0" w:color="000000"/>
              <w:right w:val="single" w:sz="6" w:space="0" w:color="000000"/>
            </w:tcBorders>
            <w:shd w:val="clear" w:color="auto" w:fill="DADADA"/>
          </w:tcPr>
          <w:p>
            <w:pPr>
              <w:pStyle w:val="TableParagraph"/>
              <w:spacing w:before="19"/>
              <w:ind w:left="109"/>
              <w:rPr>
                <w:rFonts w:ascii="Times New Roman"/>
                <w:b/>
                <w:i/>
                <w:sz w:val="20"/>
              </w:rPr>
            </w:pPr>
            <w:r>
              <w:rPr>
                <w:rFonts w:ascii="Times New Roman"/>
                <w:b/>
                <w:i/>
                <w:sz w:val="20"/>
              </w:rPr>
              <w:t>EEDATA</w:t>
            </w:r>
          </w:p>
        </w:tc>
        <w:tc>
          <w:tcPr>
            <w:tcW w:w="987" w:type="dxa"/>
            <w:tcBorders>
              <w:top w:val="single" w:sz="6" w:space="0" w:color="000000"/>
              <w:left w:val="single" w:sz="6" w:space="0" w:color="000000"/>
              <w:bottom w:val="single" w:sz="6" w:space="0" w:color="000000"/>
              <w:right w:val="single" w:sz="6" w:space="0" w:color="000000"/>
            </w:tcBorders>
            <w:shd w:val="clear" w:color="auto" w:fill="DADADA"/>
          </w:tcPr>
          <w:p>
            <w:pPr>
              <w:pStyle w:val="TableParagraph"/>
              <w:spacing w:before="19"/>
              <w:ind w:right="99"/>
              <w:jc w:val="right"/>
              <w:rPr>
                <w:rFonts w:ascii="Times New Roman"/>
                <w:b/>
                <w:i/>
                <w:sz w:val="20"/>
              </w:rPr>
            </w:pPr>
            <w:r>
              <w:rPr>
                <w:rFonts w:ascii="Times New Roman"/>
                <w:b/>
                <w:i/>
                <w:w w:val="95"/>
                <w:sz w:val="20"/>
              </w:rPr>
              <w:t>EECTRL</w:t>
            </w:r>
          </w:p>
        </w:tc>
        <w:tc>
          <w:tcPr>
            <w:tcW w:w="718" w:type="dxa"/>
            <w:tcBorders>
              <w:top w:val="single" w:sz="6" w:space="0" w:color="000000"/>
              <w:left w:val="single" w:sz="6" w:space="0" w:color="000000"/>
              <w:bottom w:val="single" w:sz="6" w:space="0" w:color="000000"/>
            </w:tcBorders>
          </w:tcPr>
          <w:p>
            <w:pPr>
              <w:pStyle w:val="TableParagraph"/>
              <w:spacing w:before="16"/>
              <w:ind w:left="194" w:right="195"/>
              <w:jc w:val="center"/>
              <w:rPr>
                <w:b/>
                <w:sz w:val="20"/>
              </w:rPr>
            </w:pPr>
            <w:r>
              <w:rPr>
                <w:b/>
                <w:sz w:val="20"/>
              </w:rPr>
              <w:t>9F</w:t>
            </w:r>
          </w:p>
        </w:tc>
      </w:tr>
      <w:tr>
        <w:trPr>
          <w:trHeight w:val="270" w:hRule="atLeast"/>
        </w:trPr>
        <w:tc>
          <w:tcPr>
            <w:tcW w:w="718" w:type="dxa"/>
            <w:tcBorders>
              <w:top w:val="single" w:sz="6" w:space="0" w:color="000000"/>
              <w:bottom w:val="single" w:sz="6" w:space="0" w:color="000000"/>
              <w:right w:val="single" w:sz="6" w:space="0" w:color="000000"/>
            </w:tcBorders>
          </w:tcPr>
          <w:p>
            <w:pPr>
              <w:pStyle w:val="TableParagraph"/>
              <w:spacing w:before="16"/>
              <w:ind w:left="194" w:right="190"/>
              <w:jc w:val="center"/>
              <w:rPr>
                <w:b/>
                <w:sz w:val="20"/>
              </w:rPr>
            </w:pPr>
            <w:r>
              <w:rPr>
                <w:b/>
                <w:sz w:val="20"/>
              </w:rPr>
              <w:t>90</w:t>
            </w:r>
          </w:p>
        </w:tc>
        <w:tc>
          <w:tcPr>
            <w:tcW w:w="1222" w:type="dxa"/>
            <w:tcBorders>
              <w:top w:val="single" w:sz="6" w:space="0" w:color="000000"/>
              <w:left w:val="single" w:sz="6" w:space="0" w:color="000000"/>
              <w:bottom w:val="single" w:sz="6" w:space="0" w:color="000000"/>
              <w:right w:val="single" w:sz="6" w:space="0" w:color="000000"/>
            </w:tcBorders>
            <w:shd w:val="clear" w:color="auto" w:fill="DADADA"/>
          </w:tcPr>
          <w:p>
            <w:pPr>
              <w:pStyle w:val="TableParagraph"/>
              <w:spacing w:before="19"/>
              <w:ind w:left="229" w:right="213"/>
              <w:jc w:val="center"/>
              <w:rPr>
                <w:rFonts w:ascii="Times New Roman"/>
                <w:b/>
                <w:i/>
                <w:sz w:val="20"/>
              </w:rPr>
            </w:pPr>
            <w:r>
              <w:rPr>
                <w:rFonts w:ascii="Times New Roman"/>
                <w:b/>
                <w:i/>
                <w:sz w:val="20"/>
              </w:rPr>
              <w:t>P1</w:t>
            </w:r>
          </w:p>
        </w:tc>
        <w:tc>
          <w:tcPr>
            <w:tcW w:w="888" w:type="dxa"/>
            <w:tcBorders>
              <w:top w:val="single" w:sz="6" w:space="0" w:color="000000"/>
              <w:left w:val="single" w:sz="6" w:space="0" w:color="000000"/>
              <w:bottom w:val="single" w:sz="6" w:space="0" w:color="000000"/>
              <w:right w:val="single" w:sz="6" w:space="0" w:color="000000"/>
            </w:tcBorders>
            <w:shd w:val="clear" w:color="auto" w:fill="DADADA"/>
          </w:tcPr>
          <w:p>
            <w:pPr>
              <w:pStyle w:val="TableParagraph"/>
              <w:spacing w:before="19"/>
              <w:ind w:left="103" w:right="104"/>
              <w:jc w:val="center"/>
              <w:rPr>
                <w:rFonts w:ascii="Times New Roman"/>
                <w:b/>
                <w:i/>
                <w:sz w:val="20"/>
              </w:rPr>
            </w:pPr>
            <w:r>
              <w:rPr>
                <w:rFonts w:ascii="Times New Roman"/>
                <w:b/>
                <w:i/>
                <w:sz w:val="20"/>
              </w:rPr>
              <w:t>DIR1</w:t>
            </w:r>
          </w:p>
        </w:tc>
        <w:tc>
          <w:tcPr>
            <w:tcW w:w="1085" w:type="dxa"/>
            <w:tcBorders>
              <w:top w:val="single" w:sz="6" w:space="0" w:color="000000"/>
              <w:left w:val="single" w:sz="6" w:space="0" w:color="000000"/>
              <w:bottom w:val="single" w:sz="6" w:space="0" w:color="000000"/>
              <w:right w:val="single" w:sz="6" w:space="0" w:color="000000"/>
            </w:tcBorders>
          </w:tcPr>
          <w:p>
            <w:pPr>
              <w:pStyle w:val="TableParagraph"/>
              <w:spacing w:before="14"/>
              <w:ind w:left="65" w:right="61"/>
              <w:jc w:val="center"/>
              <w:rPr>
                <w:rFonts w:ascii="Times New Roman"/>
                <w:i/>
                <w:sz w:val="20"/>
              </w:rPr>
            </w:pPr>
            <w:r>
              <w:rPr>
                <w:rFonts w:ascii="Times New Roman"/>
                <w:i/>
                <w:sz w:val="20"/>
              </w:rPr>
              <w:t>DPS</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891" w:type="dxa"/>
            <w:tcBorders>
              <w:top w:val="single" w:sz="6" w:space="0" w:color="000000"/>
              <w:left w:val="single" w:sz="6" w:space="0" w:color="000000"/>
              <w:bottom w:val="single" w:sz="6" w:space="0" w:color="000000"/>
              <w:right w:val="single" w:sz="6" w:space="0" w:color="000000"/>
            </w:tcBorders>
            <w:shd w:val="clear" w:color="auto" w:fill="DADADA"/>
          </w:tcPr>
          <w:p>
            <w:pPr>
              <w:pStyle w:val="TableParagraph"/>
              <w:spacing w:before="19"/>
              <w:ind w:left="20" w:right="16"/>
              <w:jc w:val="center"/>
              <w:rPr>
                <w:rFonts w:ascii="Times New Roman"/>
                <w:b/>
                <w:i/>
                <w:sz w:val="20"/>
              </w:rPr>
            </w:pPr>
            <w:r>
              <w:rPr>
                <w:rFonts w:ascii="Times New Roman"/>
                <w:b/>
                <w:i/>
                <w:sz w:val="20"/>
              </w:rPr>
              <w:t>ERASE</w:t>
            </w:r>
          </w:p>
        </w:tc>
        <w:tc>
          <w:tcPr>
            <w:tcW w:w="88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103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98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18" w:type="dxa"/>
            <w:tcBorders>
              <w:top w:val="single" w:sz="6" w:space="0" w:color="000000"/>
              <w:left w:val="single" w:sz="6" w:space="0" w:color="000000"/>
              <w:bottom w:val="single" w:sz="6" w:space="0" w:color="000000"/>
            </w:tcBorders>
          </w:tcPr>
          <w:p>
            <w:pPr>
              <w:pStyle w:val="TableParagraph"/>
              <w:spacing w:before="16"/>
              <w:ind w:left="194" w:right="196"/>
              <w:jc w:val="center"/>
              <w:rPr>
                <w:b/>
                <w:sz w:val="20"/>
              </w:rPr>
            </w:pPr>
            <w:r>
              <w:rPr>
                <w:b/>
                <w:sz w:val="20"/>
              </w:rPr>
              <w:t>97</w:t>
            </w:r>
          </w:p>
        </w:tc>
      </w:tr>
      <w:tr>
        <w:trPr>
          <w:trHeight w:val="268" w:hRule="atLeast"/>
        </w:trPr>
        <w:tc>
          <w:tcPr>
            <w:tcW w:w="718" w:type="dxa"/>
            <w:tcBorders>
              <w:top w:val="single" w:sz="6" w:space="0" w:color="000000"/>
              <w:bottom w:val="single" w:sz="6" w:space="0" w:color="000000"/>
              <w:right w:val="single" w:sz="6" w:space="0" w:color="000000"/>
            </w:tcBorders>
          </w:tcPr>
          <w:p>
            <w:pPr>
              <w:pStyle w:val="TableParagraph"/>
              <w:spacing w:before="16"/>
              <w:ind w:left="194" w:right="190"/>
              <w:jc w:val="center"/>
              <w:rPr>
                <w:b/>
                <w:sz w:val="20"/>
              </w:rPr>
            </w:pPr>
            <w:r>
              <w:rPr>
                <w:b/>
                <w:sz w:val="20"/>
              </w:rPr>
              <w:t>88</w:t>
            </w:r>
          </w:p>
        </w:tc>
        <w:tc>
          <w:tcPr>
            <w:tcW w:w="1222" w:type="dxa"/>
            <w:tcBorders>
              <w:top w:val="single" w:sz="6" w:space="0" w:color="000000"/>
              <w:left w:val="single" w:sz="6" w:space="0" w:color="000000"/>
              <w:bottom w:val="single" w:sz="6" w:space="0" w:color="000000"/>
              <w:right w:val="single" w:sz="6" w:space="0" w:color="000000"/>
            </w:tcBorders>
          </w:tcPr>
          <w:p>
            <w:pPr>
              <w:pStyle w:val="TableParagraph"/>
              <w:spacing w:before="14"/>
              <w:ind w:left="229" w:right="211"/>
              <w:jc w:val="center"/>
              <w:rPr>
                <w:rFonts w:ascii="Times New Roman"/>
                <w:i/>
                <w:sz w:val="20"/>
              </w:rPr>
            </w:pPr>
            <w:r>
              <w:rPr>
                <w:rFonts w:ascii="Times New Roman"/>
                <w:i/>
                <w:sz w:val="20"/>
              </w:rPr>
              <w:t>TCON</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14"/>
              <w:ind w:left="104" w:right="104"/>
              <w:jc w:val="center"/>
              <w:rPr>
                <w:rFonts w:ascii="Times New Roman"/>
                <w:i/>
                <w:sz w:val="20"/>
              </w:rPr>
            </w:pPr>
            <w:r>
              <w:rPr>
                <w:rFonts w:ascii="Times New Roman"/>
                <w:i/>
                <w:sz w:val="20"/>
              </w:rPr>
              <w:t>TMOD</w:t>
            </w:r>
          </w:p>
        </w:tc>
        <w:tc>
          <w:tcPr>
            <w:tcW w:w="1085" w:type="dxa"/>
            <w:tcBorders>
              <w:top w:val="single" w:sz="6" w:space="0" w:color="000000"/>
              <w:left w:val="single" w:sz="6" w:space="0" w:color="000000"/>
              <w:bottom w:val="single" w:sz="6" w:space="0" w:color="000000"/>
              <w:right w:val="single" w:sz="6" w:space="0" w:color="000000"/>
            </w:tcBorders>
          </w:tcPr>
          <w:p>
            <w:pPr>
              <w:pStyle w:val="TableParagraph"/>
              <w:spacing w:before="14"/>
              <w:ind w:left="64" w:right="63"/>
              <w:jc w:val="center"/>
              <w:rPr>
                <w:rFonts w:ascii="Times New Roman"/>
                <w:i/>
                <w:sz w:val="20"/>
              </w:rPr>
            </w:pPr>
            <w:r>
              <w:rPr>
                <w:rFonts w:ascii="Times New Roman"/>
                <w:i/>
                <w:sz w:val="20"/>
              </w:rPr>
              <w:t>TL0</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before="14"/>
              <w:ind w:left="90" w:right="87"/>
              <w:jc w:val="center"/>
              <w:rPr>
                <w:rFonts w:ascii="Times New Roman"/>
                <w:i/>
                <w:sz w:val="20"/>
              </w:rPr>
            </w:pPr>
            <w:r>
              <w:rPr>
                <w:rFonts w:ascii="Times New Roman"/>
                <w:i/>
                <w:sz w:val="20"/>
              </w:rPr>
              <w:t>TL1</w:t>
            </w:r>
          </w:p>
        </w:tc>
        <w:tc>
          <w:tcPr>
            <w:tcW w:w="891" w:type="dxa"/>
            <w:tcBorders>
              <w:top w:val="single" w:sz="6" w:space="0" w:color="000000"/>
              <w:left w:val="single" w:sz="6" w:space="0" w:color="000000"/>
              <w:bottom w:val="single" w:sz="6" w:space="0" w:color="000000"/>
              <w:right w:val="single" w:sz="6" w:space="0" w:color="000000"/>
            </w:tcBorders>
          </w:tcPr>
          <w:p>
            <w:pPr>
              <w:pStyle w:val="TableParagraph"/>
              <w:spacing w:before="14"/>
              <w:ind w:left="18" w:right="16"/>
              <w:jc w:val="center"/>
              <w:rPr>
                <w:rFonts w:ascii="Times New Roman"/>
                <w:i/>
                <w:sz w:val="20"/>
              </w:rPr>
            </w:pPr>
            <w:r>
              <w:rPr>
                <w:rFonts w:ascii="Times New Roman"/>
                <w:i/>
                <w:sz w:val="20"/>
              </w:rPr>
              <w:t>TH0</w:t>
            </w:r>
          </w:p>
        </w:tc>
        <w:tc>
          <w:tcPr>
            <w:tcW w:w="889" w:type="dxa"/>
            <w:tcBorders>
              <w:top w:val="single" w:sz="6" w:space="0" w:color="000000"/>
              <w:left w:val="single" w:sz="6" w:space="0" w:color="000000"/>
              <w:bottom w:val="single" w:sz="6" w:space="0" w:color="000000"/>
              <w:right w:val="single" w:sz="6" w:space="0" w:color="000000"/>
            </w:tcBorders>
          </w:tcPr>
          <w:p>
            <w:pPr>
              <w:pStyle w:val="TableParagraph"/>
              <w:spacing w:before="14"/>
              <w:ind w:left="84" w:right="81"/>
              <w:jc w:val="center"/>
              <w:rPr>
                <w:rFonts w:ascii="Times New Roman"/>
                <w:i/>
                <w:sz w:val="20"/>
              </w:rPr>
            </w:pPr>
            <w:r>
              <w:rPr>
                <w:rFonts w:ascii="Times New Roman"/>
                <w:i/>
                <w:sz w:val="20"/>
              </w:rPr>
              <w:t>TH1</w:t>
            </w:r>
          </w:p>
        </w:tc>
        <w:tc>
          <w:tcPr>
            <w:tcW w:w="1033" w:type="dxa"/>
            <w:tcBorders>
              <w:top w:val="single" w:sz="6" w:space="0" w:color="000000"/>
              <w:left w:val="single" w:sz="6" w:space="0" w:color="000000"/>
              <w:bottom w:val="single" w:sz="6" w:space="0" w:color="000000"/>
              <w:right w:val="single" w:sz="6" w:space="0" w:color="000000"/>
            </w:tcBorders>
          </w:tcPr>
          <w:p>
            <w:pPr>
              <w:pStyle w:val="TableParagraph"/>
              <w:spacing w:before="14"/>
              <w:ind w:left="169"/>
              <w:rPr>
                <w:rFonts w:ascii="Times New Roman"/>
                <w:i/>
                <w:sz w:val="20"/>
              </w:rPr>
            </w:pPr>
            <w:r>
              <w:rPr>
                <w:rFonts w:ascii="Times New Roman"/>
                <w:i/>
                <w:sz w:val="20"/>
              </w:rPr>
              <w:t>CKCON</w:t>
            </w:r>
          </w:p>
        </w:tc>
        <w:tc>
          <w:tcPr>
            <w:tcW w:w="98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718" w:type="dxa"/>
            <w:tcBorders>
              <w:top w:val="single" w:sz="6" w:space="0" w:color="000000"/>
              <w:left w:val="single" w:sz="6" w:space="0" w:color="000000"/>
              <w:bottom w:val="single" w:sz="6" w:space="0" w:color="000000"/>
            </w:tcBorders>
          </w:tcPr>
          <w:p>
            <w:pPr>
              <w:pStyle w:val="TableParagraph"/>
              <w:spacing w:before="16"/>
              <w:ind w:left="194" w:right="195"/>
              <w:jc w:val="center"/>
              <w:rPr>
                <w:b/>
                <w:sz w:val="20"/>
              </w:rPr>
            </w:pPr>
            <w:r>
              <w:rPr>
                <w:b/>
                <w:sz w:val="20"/>
              </w:rPr>
              <w:t>8F</w:t>
            </w:r>
          </w:p>
        </w:tc>
      </w:tr>
      <w:tr>
        <w:trPr>
          <w:trHeight w:val="270" w:hRule="atLeast"/>
        </w:trPr>
        <w:tc>
          <w:tcPr>
            <w:tcW w:w="718" w:type="dxa"/>
            <w:tcBorders>
              <w:top w:val="single" w:sz="6" w:space="0" w:color="000000"/>
              <w:bottom w:val="single" w:sz="6" w:space="0" w:color="000000"/>
              <w:right w:val="single" w:sz="6" w:space="0" w:color="000000"/>
            </w:tcBorders>
          </w:tcPr>
          <w:p>
            <w:pPr>
              <w:pStyle w:val="TableParagraph"/>
              <w:spacing w:before="18"/>
              <w:ind w:left="194" w:right="190"/>
              <w:jc w:val="center"/>
              <w:rPr>
                <w:b/>
                <w:sz w:val="20"/>
              </w:rPr>
            </w:pPr>
            <w:r>
              <w:rPr>
                <w:b/>
                <w:sz w:val="20"/>
              </w:rPr>
              <w:t>80</w:t>
            </w:r>
          </w:p>
        </w:tc>
        <w:tc>
          <w:tcPr>
            <w:tcW w:w="1222" w:type="dxa"/>
            <w:tcBorders>
              <w:top w:val="single" w:sz="6" w:space="0" w:color="000000"/>
              <w:left w:val="single" w:sz="6" w:space="0" w:color="000000"/>
              <w:bottom w:val="single" w:sz="6" w:space="0" w:color="000000"/>
              <w:right w:val="single" w:sz="6" w:space="0" w:color="000000"/>
            </w:tcBorders>
          </w:tcPr>
          <w:p>
            <w:pPr>
              <w:pStyle w:val="TableParagraph"/>
              <w:spacing w:before="17"/>
              <w:ind w:left="229" w:right="213"/>
              <w:jc w:val="center"/>
              <w:rPr>
                <w:rFonts w:ascii="Times New Roman"/>
                <w:i/>
                <w:sz w:val="20"/>
              </w:rPr>
            </w:pPr>
            <w:r>
              <w:rPr>
                <w:rFonts w:ascii="Times New Roman"/>
                <w:i/>
                <w:sz w:val="20"/>
              </w:rPr>
              <w:t>P0</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spacing w:before="17"/>
              <w:ind w:left="105" w:right="99"/>
              <w:jc w:val="center"/>
              <w:rPr>
                <w:rFonts w:ascii="Times New Roman"/>
                <w:i/>
                <w:sz w:val="20"/>
              </w:rPr>
            </w:pPr>
            <w:r>
              <w:rPr>
                <w:rFonts w:ascii="Times New Roman"/>
                <w:i/>
                <w:sz w:val="20"/>
              </w:rPr>
              <w:t>SP</w:t>
            </w:r>
          </w:p>
        </w:tc>
        <w:tc>
          <w:tcPr>
            <w:tcW w:w="1085" w:type="dxa"/>
            <w:tcBorders>
              <w:top w:val="single" w:sz="6" w:space="0" w:color="000000"/>
              <w:left w:val="single" w:sz="6" w:space="0" w:color="000000"/>
              <w:bottom w:val="single" w:sz="6" w:space="0" w:color="000000"/>
              <w:right w:val="single" w:sz="6" w:space="0" w:color="000000"/>
            </w:tcBorders>
          </w:tcPr>
          <w:p>
            <w:pPr>
              <w:pStyle w:val="TableParagraph"/>
              <w:spacing w:before="17"/>
              <w:ind w:left="65" w:right="60"/>
              <w:jc w:val="center"/>
              <w:rPr>
                <w:rFonts w:ascii="Times New Roman"/>
                <w:i/>
                <w:sz w:val="20"/>
              </w:rPr>
            </w:pPr>
            <w:r>
              <w:rPr>
                <w:rFonts w:ascii="Times New Roman"/>
                <w:i/>
                <w:sz w:val="20"/>
              </w:rPr>
              <w:t>DPL</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before="17"/>
              <w:ind w:left="89" w:right="87"/>
              <w:jc w:val="center"/>
              <w:rPr>
                <w:rFonts w:ascii="Times New Roman"/>
                <w:i/>
                <w:sz w:val="20"/>
              </w:rPr>
            </w:pPr>
            <w:r>
              <w:rPr>
                <w:rFonts w:ascii="Times New Roman"/>
                <w:i/>
                <w:sz w:val="20"/>
              </w:rPr>
              <w:t>DPH</w:t>
            </w:r>
          </w:p>
        </w:tc>
        <w:tc>
          <w:tcPr>
            <w:tcW w:w="891" w:type="dxa"/>
            <w:tcBorders>
              <w:top w:val="single" w:sz="6" w:space="0" w:color="000000"/>
              <w:left w:val="single" w:sz="6" w:space="0" w:color="000000"/>
              <w:bottom w:val="single" w:sz="6" w:space="0" w:color="000000"/>
              <w:right w:val="single" w:sz="6" w:space="0" w:color="000000"/>
            </w:tcBorders>
          </w:tcPr>
          <w:p>
            <w:pPr>
              <w:pStyle w:val="TableParagraph"/>
              <w:spacing w:before="17"/>
              <w:ind w:left="20" w:right="16"/>
              <w:jc w:val="center"/>
              <w:rPr>
                <w:rFonts w:ascii="Times New Roman"/>
                <w:i/>
                <w:sz w:val="20"/>
              </w:rPr>
            </w:pPr>
            <w:r>
              <w:rPr>
                <w:rFonts w:ascii="Times New Roman"/>
                <w:i/>
                <w:sz w:val="20"/>
              </w:rPr>
              <w:t>DPL1</w:t>
            </w:r>
          </w:p>
        </w:tc>
        <w:tc>
          <w:tcPr>
            <w:tcW w:w="889" w:type="dxa"/>
            <w:tcBorders>
              <w:top w:val="single" w:sz="6" w:space="0" w:color="000000"/>
              <w:left w:val="single" w:sz="6" w:space="0" w:color="000000"/>
              <w:bottom w:val="single" w:sz="6" w:space="0" w:color="000000"/>
              <w:right w:val="single" w:sz="6" w:space="0" w:color="000000"/>
            </w:tcBorders>
          </w:tcPr>
          <w:p>
            <w:pPr>
              <w:pStyle w:val="TableParagraph"/>
              <w:spacing w:before="17"/>
              <w:ind w:left="85" w:right="80"/>
              <w:jc w:val="center"/>
              <w:rPr>
                <w:rFonts w:ascii="Times New Roman"/>
                <w:i/>
                <w:sz w:val="20"/>
              </w:rPr>
            </w:pPr>
            <w:r>
              <w:rPr>
                <w:rFonts w:ascii="Times New Roman"/>
                <w:i/>
                <w:sz w:val="20"/>
              </w:rPr>
              <w:t>DPH1</w:t>
            </w:r>
          </w:p>
        </w:tc>
        <w:tc>
          <w:tcPr>
            <w:tcW w:w="103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8"/>
              </w:rPr>
            </w:pPr>
          </w:p>
        </w:tc>
        <w:tc>
          <w:tcPr>
            <w:tcW w:w="987" w:type="dxa"/>
            <w:tcBorders>
              <w:top w:val="single" w:sz="6" w:space="0" w:color="000000"/>
              <w:left w:val="single" w:sz="6" w:space="0" w:color="000000"/>
              <w:bottom w:val="single" w:sz="6" w:space="0" w:color="000000"/>
              <w:right w:val="single" w:sz="6" w:space="0" w:color="000000"/>
            </w:tcBorders>
          </w:tcPr>
          <w:p>
            <w:pPr>
              <w:pStyle w:val="TableParagraph"/>
              <w:spacing w:before="17"/>
              <w:ind w:left="218"/>
              <w:rPr>
                <w:rFonts w:ascii="Times New Roman"/>
                <w:i/>
                <w:sz w:val="20"/>
              </w:rPr>
            </w:pPr>
            <w:r>
              <w:rPr>
                <w:rFonts w:ascii="Times New Roman"/>
                <w:i/>
                <w:sz w:val="20"/>
              </w:rPr>
              <w:t>PCON</w:t>
            </w:r>
          </w:p>
        </w:tc>
        <w:tc>
          <w:tcPr>
            <w:tcW w:w="718" w:type="dxa"/>
            <w:tcBorders>
              <w:top w:val="single" w:sz="6" w:space="0" w:color="000000"/>
              <w:left w:val="single" w:sz="6" w:space="0" w:color="000000"/>
              <w:bottom w:val="single" w:sz="6" w:space="0" w:color="000000"/>
            </w:tcBorders>
          </w:tcPr>
          <w:p>
            <w:pPr>
              <w:pStyle w:val="TableParagraph"/>
              <w:spacing w:before="18"/>
              <w:ind w:left="194" w:right="196"/>
              <w:jc w:val="center"/>
              <w:rPr>
                <w:b/>
                <w:sz w:val="20"/>
              </w:rPr>
            </w:pPr>
            <w:r>
              <w:rPr>
                <w:b/>
                <w:sz w:val="20"/>
              </w:rPr>
              <w:t>87</w:t>
            </w:r>
          </w:p>
        </w:tc>
      </w:tr>
    </w:tbl>
    <w:p>
      <w:pPr>
        <w:spacing w:after="0"/>
        <w:jc w:val="center"/>
        <w:rPr>
          <w:sz w:val="20"/>
        </w:rPr>
        <w:sectPr>
          <w:pgSz w:w="12240" w:h="15840"/>
          <w:pgMar w:header="727" w:footer="819" w:top="960" w:bottom="1000" w:left="820" w:right="860"/>
        </w:sectPr>
      </w:pPr>
    </w:p>
    <w:p>
      <w:pPr>
        <w:pStyle w:val="BodyText"/>
        <w:spacing w:before="5"/>
        <w:rPr>
          <w:b/>
          <w:sz w:val="16"/>
        </w:rPr>
      </w:pPr>
    </w:p>
    <w:p>
      <w:pPr>
        <w:pStyle w:val="ListParagraph"/>
        <w:numPr>
          <w:ilvl w:val="2"/>
          <w:numId w:val="7"/>
        </w:numPr>
        <w:tabs>
          <w:tab w:pos="1339" w:val="left" w:leader="none"/>
          <w:tab w:pos="1340" w:val="left" w:leader="none"/>
        </w:tabs>
        <w:spacing w:line="240" w:lineRule="auto" w:before="94" w:after="0"/>
        <w:ind w:left="1339" w:right="0" w:hanging="720"/>
        <w:jc w:val="left"/>
        <w:rPr>
          <w:b/>
          <w:sz w:val="22"/>
        </w:rPr>
      </w:pPr>
      <w:bookmarkStart w:name="2.4.3 Generic 80515 Special Function Reg" w:id="112"/>
      <w:bookmarkEnd w:id="112"/>
      <w:r>
        <w:rPr/>
      </w:r>
      <w:bookmarkStart w:name="_bookmark49" w:id="113"/>
      <w:bookmarkEnd w:id="113"/>
      <w:r>
        <w:rPr/>
      </w:r>
      <w:bookmarkStart w:name="_bookmark49" w:id="114"/>
      <w:bookmarkEnd w:id="114"/>
      <w:r>
        <w:rPr>
          <w:b/>
          <w:sz w:val="22"/>
        </w:rPr>
        <w:t>G</w:t>
      </w:r>
      <w:r>
        <w:rPr>
          <w:b/>
          <w:sz w:val="22"/>
        </w:rPr>
        <w:t>eneric 80515 Special Function</w:t>
      </w:r>
      <w:r>
        <w:rPr>
          <w:b/>
          <w:spacing w:val="-5"/>
          <w:sz w:val="22"/>
        </w:rPr>
        <w:t> </w:t>
      </w:r>
      <w:r>
        <w:rPr>
          <w:b/>
          <w:sz w:val="22"/>
        </w:rPr>
        <w:t>Registers</w:t>
      </w:r>
    </w:p>
    <w:p>
      <w:pPr>
        <w:pStyle w:val="BodyText"/>
        <w:spacing w:before="121"/>
        <w:ind w:left="619"/>
      </w:pPr>
      <w:hyperlink w:history="true" w:anchor="_bookmark50">
        <w:r>
          <w:rPr>
            <w:color w:val="0000FF"/>
          </w:rPr>
          <w:t>Table</w:t>
        </w:r>
        <w:r>
          <w:rPr>
            <w:color w:val="0000FF"/>
            <w:spacing w:val="-10"/>
          </w:rPr>
          <w:t> </w:t>
        </w:r>
        <w:r>
          <w:rPr>
            <w:color w:val="0000FF"/>
          </w:rPr>
          <w:t>12</w:t>
        </w:r>
        <w:r>
          <w:rPr>
            <w:color w:val="0000FF"/>
            <w:spacing w:val="-9"/>
          </w:rPr>
          <w:t> </w:t>
        </w:r>
      </w:hyperlink>
      <w:r>
        <w:rPr>
          <w:spacing w:val="-3"/>
        </w:rPr>
        <w:t>shows</w:t>
      </w:r>
      <w:r>
        <w:rPr>
          <w:spacing w:val="-8"/>
        </w:rPr>
        <w:t> </w:t>
      </w:r>
      <w:r>
        <w:rPr/>
        <w:t>the</w:t>
      </w:r>
      <w:r>
        <w:rPr>
          <w:spacing w:val="-9"/>
        </w:rPr>
        <w:t> </w:t>
      </w:r>
      <w:r>
        <w:rPr>
          <w:spacing w:val="-3"/>
        </w:rPr>
        <w:t>location,</w:t>
      </w:r>
      <w:r>
        <w:rPr>
          <w:spacing w:val="-11"/>
        </w:rPr>
        <w:t> </w:t>
      </w:r>
      <w:r>
        <w:rPr>
          <w:spacing w:val="-3"/>
        </w:rPr>
        <w:t>description</w:t>
      </w:r>
      <w:r>
        <w:rPr>
          <w:spacing w:val="-10"/>
        </w:rPr>
        <w:t> </w:t>
      </w:r>
      <w:r>
        <w:rPr/>
        <w:t>and</w:t>
      </w:r>
      <w:r>
        <w:rPr>
          <w:spacing w:val="-9"/>
        </w:rPr>
        <w:t> </w:t>
      </w:r>
      <w:r>
        <w:rPr/>
        <w:t>reset</w:t>
      </w:r>
      <w:r>
        <w:rPr>
          <w:spacing w:val="-9"/>
        </w:rPr>
        <w:t> </w:t>
      </w:r>
      <w:r>
        <w:rPr/>
        <w:t>or</w:t>
      </w:r>
      <w:r>
        <w:rPr>
          <w:spacing w:val="-9"/>
        </w:rPr>
        <w:t> </w:t>
      </w:r>
      <w:r>
        <w:rPr>
          <w:spacing w:val="-3"/>
        </w:rPr>
        <w:t>power-up</w:t>
      </w:r>
      <w:r>
        <w:rPr>
          <w:spacing w:val="-9"/>
        </w:rPr>
        <w:t> </w:t>
      </w:r>
      <w:r>
        <w:rPr>
          <w:spacing w:val="-3"/>
        </w:rPr>
        <w:t>value</w:t>
      </w:r>
      <w:r>
        <w:rPr>
          <w:spacing w:val="-10"/>
        </w:rPr>
        <w:t> </w:t>
      </w:r>
      <w:r>
        <w:rPr/>
        <w:t>of</w:t>
      </w:r>
      <w:r>
        <w:rPr>
          <w:spacing w:val="-6"/>
        </w:rPr>
        <w:t> </w:t>
      </w:r>
      <w:r>
        <w:rPr/>
        <w:t>the</w:t>
      </w:r>
      <w:r>
        <w:rPr>
          <w:spacing w:val="-10"/>
        </w:rPr>
        <w:t> </w:t>
      </w:r>
      <w:r>
        <w:rPr>
          <w:spacing w:val="-3"/>
        </w:rPr>
        <w:t>generic</w:t>
      </w:r>
      <w:r>
        <w:rPr>
          <w:spacing w:val="-10"/>
        </w:rPr>
        <w:t> </w:t>
      </w:r>
      <w:r>
        <w:rPr>
          <w:spacing w:val="-3"/>
        </w:rPr>
        <w:t>80515</w:t>
      </w:r>
      <w:r>
        <w:rPr>
          <w:spacing w:val="-8"/>
        </w:rPr>
        <w:t> </w:t>
      </w:r>
      <w:r>
        <w:rPr>
          <w:spacing w:val="-3"/>
        </w:rPr>
        <w:t>SFRs.</w:t>
      </w:r>
      <w:r>
        <w:rPr>
          <w:spacing w:val="-10"/>
        </w:rPr>
        <w:t> </w:t>
      </w:r>
      <w:r>
        <w:rPr>
          <w:spacing w:val="-4"/>
        </w:rPr>
        <w:t>Additional </w:t>
      </w:r>
      <w:r>
        <w:rPr/>
        <w:t>descriptions of the registers can be found at the page numbers listed in the</w:t>
      </w:r>
      <w:r>
        <w:rPr>
          <w:spacing w:val="-11"/>
        </w:rPr>
        <w:t> </w:t>
      </w:r>
      <w:r>
        <w:rPr/>
        <w:t>table.</w:t>
      </w:r>
    </w:p>
    <w:p>
      <w:pPr>
        <w:pStyle w:val="Heading1"/>
        <w:spacing w:before="118"/>
        <w:ind w:left="1312" w:right="1278"/>
      </w:pPr>
      <w:bookmarkStart w:name="_bookmark50" w:id="115"/>
      <w:bookmarkEnd w:id="115"/>
      <w:r>
        <w:rPr>
          <w:b w:val="0"/>
        </w:rPr>
      </w:r>
      <w:r>
        <w:rPr/>
        <w:t>Table 12: Generic 80515 SFRs - Location and Reset Values</w:t>
      </w:r>
    </w:p>
    <w:p>
      <w:pPr>
        <w:pStyle w:val="BodyText"/>
        <w:spacing w:before="8"/>
        <w:rPr>
          <w:b/>
          <w:sz w:val="5"/>
        </w:rPr>
      </w:pPr>
    </w:p>
    <w:tbl>
      <w:tblPr>
        <w:tblW w:w="0" w:type="auto"/>
        <w:jc w:val="left"/>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6"/>
        <w:gridCol w:w="1133"/>
        <w:gridCol w:w="1313"/>
        <w:gridCol w:w="5043"/>
        <w:gridCol w:w="944"/>
      </w:tblGrid>
      <w:tr>
        <w:trPr>
          <w:trHeight w:val="520" w:hRule="atLeast"/>
        </w:trPr>
        <w:tc>
          <w:tcPr>
            <w:tcW w:w="1066" w:type="dxa"/>
            <w:tcBorders>
              <w:bottom w:val="single" w:sz="6" w:space="0" w:color="000000"/>
              <w:right w:val="single" w:sz="6" w:space="0" w:color="000000"/>
            </w:tcBorders>
          </w:tcPr>
          <w:p>
            <w:pPr>
              <w:pStyle w:val="TableParagraph"/>
              <w:spacing w:before="138"/>
              <w:ind w:left="259"/>
              <w:rPr>
                <w:b/>
                <w:sz w:val="20"/>
              </w:rPr>
            </w:pPr>
            <w:r>
              <w:rPr>
                <w:b/>
                <w:sz w:val="20"/>
              </w:rPr>
              <w:t>Name</w:t>
            </w:r>
          </w:p>
        </w:tc>
        <w:tc>
          <w:tcPr>
            <w:tcW w:w="1133" w:type="dxa"/>
            <w:tcBorders>
              <w:left w:val="single" w:sz="6" w:space="0" w:color="000000"/>
              <w:bottom w:val="single" w:sz="6" w:space="0" w:color="000000"/>
              <w:right w:val="single" w:sz="6" w:space="0" w:color="000000"/>
            </w:tcBorders>
          </w:tcPr>
          <w:p>
            <w:pPr>
              <w:pStyle w:val="TableParagraph"/>
              <w:spacing w:before="26"/>
              <w:ind w:left="313" w:hanging="152"/>
              <w:rPr>
                <w:b/>
                <w:sz w:val="20"/>
              </w:rPr>
            </w:pPr>
            <w:r>
              <w:rPr>
                <w:b/>
                <w:w w:val="95"/>
                <w:sz w:val="20"/>
              </w:rPr>
              <w:t>Address </w:t>
            </w:r>
            <w:r>
              <w:rPr>
                <w:b/>
                <w:sz w:val="20"/>
              </w:rPr>
              <w:t>(Hex)</w:t>
            </w:r>
          </w:p>
        </w:tc>
        <w:tc>
          <w:tcPr>
            <w:tcW w:w="1313" w:type="dxa"/>
            <w:tcBorders>
              <w:left w:val="single" w:sz="6" w:space="0" w:color="000000"/>
              <w:bottom w:val="single" w:sz="6" w:space="0" w:color="000000"/>
              <w:right w:val="single" w:sz="6" w:space="0" w:color="000000"/>
            </w:tcBorders>
          </w:tcPr>
          <w:p>
            <w:pPr>
              <w:pStyle w:val="TableParagraph"/>
              <w:spacing w:before="26"/>
              <w:ind w:left="402" w:right="72" w:hanging="308"/>
              <w:rPr>
                <w:b/>
                <w:sz w:val="20"/>
              </w:rPr>
            </w:pPr>
            <w:r>
              <w:rPr>
                <w:b/>
                <w:sz w:val="20"/>
              </w:rPr>
              <w:t>Reset value (Hex)</w:t>
            </w:r>
          </w:p>
        </w:tc>
        <w:tc>
          <w:tcPr>
            <w:tcW w:w="5043" w:type="dxa"/>
            <w:tcBorders>
              <w:left w:val="single" w:sz="6" w:space="0" w:color="000000"/>
              <w:bottom w:val="single" w:sz="6" w:space="0" w:color="000000"/>
              <w:right w:val="single" w:sz="6" w:space="0" w:color="000000"/>
            </w:tcBorders>
          </w:tcPr>
          <w:p>
            <w:pPr>
              <w:pStyle w:val="TableParagraph"/>
              <w:spacing w:before="138"/>
              <w:ind w:left="1945" w:right="1942"/>
              <w:jc w:val="center"/>
              <w:rPr>
                <w:b/>
                <w:sz w:val="20"/>
              </w:rPr>
            </w:pPr>
            <w:r>
              <w:rPr>
                <w:b/>
                <w:sz w:val="20"/>
              </w:rPr>
              <w:t>Description</w:t>
            </w:r>
          </w:p>
        </w:tc>
        <w:tc>
          <w:tcPr>
            <w:tcW w:w="944" w:type="dxa"/>
            <w:tcBorders>
              <w:left w:val="single" w:sz="6" w:space="0" w:color="000000"/>
              <w:bottom w:val="single" w:sz="6" w:space="0" w:color="000000"/>
            </w:tcBorders>
          </w:tcPr>
          <w:p>
            <w:pPr>
              <w:pStyle w:val="TableParagraph"/>
              <w:spacing w:before="138"/>
              <w:ind w:left="86" w:right="82"/>
              <w:jc w:val="center"/>
              <w:rPr>
                <w:b/>
                <w:sz w:val="20"/>
              </w:rPr>
            </w:pPr>
            <w:r>
              <w:rPr>
                <w:b/>
                <w:sz w:val="20"/>
              </w:rPr>
              <w:t>Page(s)</w:t>
            </w:r>
          </w:p>
        </w:tc>
      </w:tr>
      <w:tr>
        <w:trPr>
          <w:trHeight w:val="268" w:hRule="atLeast"/>
        </w:trPr>
        <w:tc>
          <w:tcPr>
            <w:tcW w:w="1066" w:type="dxa"/>
            <w:tcBorders>
              <w:top w:val="single" w:sz="6" w:space="0" w:color="000000"/>
              <w:bottom w:val="single" w:sz="6" w:space="0" w:color="000000"/>
              <w:right w:val="single" w:sz="6" w:space="0" w:color="000000"/>
            </w:tcBorders>
          </w:tcPr>
          <w:p>
            <w:pPr>
              <w:pStyle w:val="TableParagraph"/>
              <w:spacing w:before="14"/>
              <w:ind w:left="69"/>
              <w:rPr>
                <w:rFonts w:ascii="Times New Roman"/>
                <w:i/>
                <w:sz w:val="20"/>
              </w:rPr>
            </w:pPr>
            <w:r>
              <w:rPr>
                <w:rFonts w:ascii="Times New Roman"/>
                <w:i/>
                <w:sz w:val="20"/>
              </w:rPr>
              <w:t>P0</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189" w:right="186"/>
              <w:jc w:val="center"/>
              <w:rPr>
                <w:sz w:val="20"/>
              </w:rPr>
            </w:pPr>
            <w:r>
              <w:rPr>
                <w:sz w:val="20"/>
              </w:rPr>
              <w:t>0x80</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423"/>
              <w:rPr>
                <w:sz w:val="20"/>
              </w:rPr>
            </w:pPr>
            <w:r>
              <w:rPr>
                <w:sz w:val="20"/>
              </w:rPr>
              <w:t>0xFF</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121"/>
              <w:rPr>
                <w:sz w:val="20"/>
              </w:rPr>
            </w:pPr>
            <w:r>
              <w:rPr>
                <w:sz w:val="20"/>
              </w:rPr>
              <w:t>Port 0</w:t>
            </w:r>
          </w:p>
        </w:tc>
        <w:tc>
          <w:tcPr>
            <w:tcW w:w="944" w:type="dxa"/>
            <w:tcBorders>
              <w:top w:val="single" w:sz="6" w:space="0" w:color="000000"/>
              <w:left w:val="single" w:sz="6" w:space="0" w:color="000000"/>
              <w:bottom w:val="single" w:sz="6" w:space="0" w:color="000000"/>
            </w:tcBorders>
          </w:tcPr>
          <w:p>
            <w:pPr>
              <w:pStyle w:val="TableParagraph"/>
              <w:spacing w:line="230" w:lineRule="exact" w:before="18"/>
              <w:ind w:left="86" w:right="81"/>
              <w:jc w:val="center"/>
              <w:rPr>
                <w:sz w:val="20"/>
              </w:rPr>
            </w:pPr>
            <w:hyperlink w:history="true" w:anchor="_bookmark56">
              <w:r>
                <w:rPr>
                  <w:color w:val="0000FF"/>
                  <w:sz w:val="20"/>
                </w:rPr>
                <w:t>35</w:t>
              </w:r>
            </w:hyperlink>
          </w:p>
        </w:tc>
      </w:tr>
      <w:tr>
        <w:trPr>
          <w:trHeight w:val="270" w:hRule="atLeast"/>
        </w:trPr>
        <w:tc>
          <w:tcPr>
            <w:tcW w:w="1066" w:type="dxa"/>
            <w:tcBorders>
              <w:top w:val="single" w:sz="6" w:space="0" w:color="000000"/>
              <w:bottom w:val="single" w:sz="6" w:space="0" w:color="000000"/>
              <w:right w:val="single" w:sz="6" w:space="0" w:color="000000"/>
            </w:tcBorders>
          </w:tcPr>
          <w:p>
            <w:pPr>
              <w:pStyle w:val="TableParagraph"/>
              <w:spacing w:before="17"/>
              <w:ind w:left="69"/>
              <w:rPr>
                <w:rFonts w:ascii="Times New Roman"/>
                <w:i/>
                <w:sz w:val="20"/>
              </w:rPr>
            </w:pPr>
            <w:r>
              <w:rPr>
                <w:rFonts w:ascii="Times New Roman"/>
                <w:i/>
                <w:sz w:val="20"/>
              </w:rPr>
              <w:t>SP</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189" w:right="186"/>
              <w:jc w:val="center"/>
              <w:rPr>
                <w:sz w:val="20"/>
              </w:rPr>
            </w:pPr>
            <w:r>
              <w:rPr>
                <w:sz w:val="20"/>
              </w:rPr>
              <w:t>0x81</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433"/>
              <w:rPr>
                <w:sz w:val="20"/>
              </w:rPr>
            </w:pPr>
            <w:r>
              <w:rPr>
                <w:sz w:val="20"/>
              </w:rPr>
              <w:t>0x07</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121"/>
              <w:rPr>
                <w:sz w:val="20"/>
              </w:rPr>
            </w:pPr>
            <w:r>
              <w:rPr>
                <w:sz w:val="20"/>
              </w:rPr>
              <w:t>Stack Pointer</w:t>
            </w:r>
          </w:p>
        </w:tc>
        <w:tc>
          <w:tcPr>
            <w:tcW w:w="944" w:type="dxa"/>
            <w:tcBorders>
              <w:top w:val="single" w:sz="6" w:space="0" w:color="000000"/>
              <w:left w:val="single" w:sz="6" w:space="0" w:color="000000"/>
              <w:bottom w:val="single" w:sz="6" w:space="0" w:color="000000"/>
            </w:tcBorders>
          </w:tcPr>
          <w:p>
            <w:pPr>
              <w:pStyle w:val="TableParagraph"/>
              <w:spacing w:line="230" w:lineRule="exact" w:before="21"/>
              <w:ind w:left="86" w:right="81"/>
              <w:jc w:val="center"/>
              <w:rPr>
                <w:sz w:val="20"/>
              </w:rPr>
            </w:pPr>
            <w:hyperlink w:history="true" w:anchor="_bookmark54">
              <w:r>
                <w:rPr>
                  <w:color w:val="0000FF"/>
                  <w:sz w:val="20"/>
                </w:rPr>
                <w:t>34</w:t>
              </w:r>
            </w:hyperlink>
          </w:p>
        </w:tc>
      </w:tr>
      <w:tr>
        <w:trPr>
          <w:trHeight w:val="270" w:hRule="atLeast"/>
        </w:trPr>
        <w:tc>
          <w:tcPr>
            <w:tcW w:w="1066" w:type="dxa"/>
            <w:tcBorders>
              <w:top w:val="single" w:sz="6" w:space="0" w:color="000000"/>
              <w:bottom w:val="single" w:sz="6" w:space="0" w:color="000000"/>
              <w:right w:val="single" w:sz="6" w:space="0" w:color="000000"/>
            </w:tcBorders>
          </w:tcPr>
          <w:p>
            <w:pPr>
              <w:pStyle w:val="TableParagraph"/>
              <w:spacing w:before="14"/>
              <w:ind w:left="69"/>
              <w:rPr>
                <w:rFonts w:ascii="Times New Roman"/>
                <w:i/>
                <w:sz w:val="20"/>
              </w:rPr>
            </w:pPr>
            <w:r>
              <w:rPr>
                <w:rFonts w:ascii="Times New Roman"/>
                <w:i/>
                <w:sz w:val="20"/>
              </w:rPr>
              <w:t>DPL</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18"/>
              <w:ind w:left="189" w:right="186"/>
              <w:jc w:val="center"/>
              <w:rPr>
                <w:sz w:val="20"/>
              </w:rPr>
            </w:pPr>
            <w:r>
              <w:rPr>
                <w:sz w:val="20"/>
              </w:rPr>
              <w:t>0x82</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before="18"/>
              <w:ind w:left="433"/>
              <w:rPr>
                <w:sz w:val="20"/>
              </w:rPr>
            </w:pPr>
            <w:r>
              <w:rPr>
                <w:sz w:val="20"/>
              </w:rPr>
              <w:t>0x00</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before="18"/>
              <w:ind w:left="121"/>
              <w:rPr>
                <w:sz w:val="20"/>
              </w:rPr>
            </w:pPr>
            <w:r>
              <w:rPr>
                <w:sz w:val="20"/>
              </w:rPr>
              <w:t>Data Pointer Low 0</w:t>
            </w:r>
          </w:p>
        </w:tc>
        <w:tc>
          <w:tcPr>
            <w:tcW w:w="944" w:type="dxa"/>
            <w:tcBorders>
              <w:top w:val="single" w:sz="6" w:space="0" w:color="000000"/>
              <w:left w:val="single" w:sz="6" w:space="0" w:color="000000"/>
              <w:bottom w:val="single" w:sz="6" w:space="0" w:color="000000"/>
            </w:tcBorders>
          </w:tcPr>
          <w:p>
            <w:pPr>
              <w:pStyle w:val="TableParagraph"/>
              <w:spacing w:before="18"/>
              <w:ind w:left="86" w:right="81"/>
              <w:jc w:val="center"/>
              <w:rPr>
                <w:sz w:val="20"/>
              </w:rPr>
            </w:pPr>
            <w:hyperlink w:history="true" w:anchor="_bookmark55">
              <w:r>
                <w:rPr>
                  <w:color w:val="0000FF"/>
                  <w:sz w:val="20"/>
                </w:rPr>
                <w:t>34</w:t>
              </w:r>
            </w:hyperlink>
          </w:p>
        </w:tc>
      </w:tr>
      <w:tr>
        <w:trPr>
          <w:trHeight w:val="270" w:hRule="atLeast"/>
        </w:trPr>
        <w:tc>
          <w:tcPr>
            <w:tcW w:w="1066" w:type="dxa"/>
            <w:tcBorders>
              <w:top w:val="single" w:sz="6" w:space="0" w:color="000000"/>
              <w:bottom w:val="single" w:sz="6" w:space="0" w:color="000000"/>
              <w:right w:val="single" w:sz="6" w:space="0" w:color="000000"/>
            </w:tcBorders>
          </w:tcPr>
          <w:p>
            <w:pPr>
              <w:pStyle w:val="TableParagraph"/>
              <w:spacing w:before="14"/>
              <w:ind w:left="69"/>
              <w:rPr>
                <w:rFonts w:ascii="Times New Roman"/>
                <w:i/>
                <w:sz w:val="20"/>
              </w:rPr>
            </w:pPr>
            <w:r>
              <w:rPr>
                <w:rFonts w:ascii="Times New Roman"/>
                <w:i/>
                <w:sz w:val="20"/>
              </w:rPr>
              <w:t>DPH</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18"/>
              <w:ind w:left="189" w:right="186"/>
              <w:jc w:val="center"/>
              <w:rPr>
                <w:sz w:val="20"/>
              </w:rPr>
            </w:pPr>
            <w:r>
              <w:rPr>
                <w:sz w:val="20"/>
              </w:rPr>
              <w:t>0x83</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before="18"/>
              <w:ind w:left="433"/>
              <w:rPr>
                <w:sz w:val="20"/>
              </w:rPr>
            </w:pPr>
            <w:r>
              <w:rPr>
                <w:sz w:val="20"/>
              </w:rPr>
              <w:t>0x00</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before="18"/>
              <w:ind w:left="121"/>
              <w:rPr>
                <w:sz w:val="20"/>
              </w:rPr>
            </w:pPr>
            <w:r>
              <w:rPr>
                <w:sz w:val="20"/>
              </w:rPr>
              <w:t>Data Pointer High 0</w:t>
            </w:r>
          </w:p>
        </w:tc>
        <w:tc>
          <w:tcPr>
            <w:tcW w:w="944" w:type="dxa"/>
            <w:tcBorders>
              <w:top w:val="single" w:sz="6" w:space="0" w:color="000000"/>
              <w:left w:val="single" w:sz="6" w:space="0" w:color="000000"/>
              <w:bottom w:val="single" w:sz="6" w:space="0" w:color="000000"/>
            </w:tcBorders>
          </w:tcPr>
          <w:p>
            <w:pPr>
              <w:pStyle w:val="TableParagraph"/>
              <w:spacing w:before="18"/>
              <w:ind w:left="86" w:right="81"/>
              <w:jc w:val="center"/>
              <w:rPr>
                <w:sz w:val="20"/>
              </w:rPr>
            </w:pPr>
            <w:hyperlink w:history="true" w:anchor="_bookmark55">
              <w:r>
                <w:rPr>
                  <w:color w:val="0000FF"/>
                  <w:sz w:val="20"/>
                </w:rPr>
                <w:t>34</w:t>
              </w:r>
            </w:hyperlink>
          </w:p>
        </w:tc>
      </w:tr>
      <w:tr>
        <w:trPr>
          <w:trHeight w:val="268" w:hRule="atLeast"/>
        </w:trPr>
        <w:tc>
          <w:tcPr>
            <w:tcW w:w="1066" w:type="dxa"/>
            <w:tcBorders>
              <w:top w:val="single" w:sz="6" w:space="0" w:color="000000"/>
              <w:bottom w:val="single" w:sz="6" w:space="0" w:color="000000"/>
              <w:right w:val="single" w:sz="6" w:space="0" w:color="000000"/>
            </w:tcBorders>
          </w:tcPr>
          <w:p>
            <w:pPr>
              <w:pStyle w:val="TableParagraph"/>
              <w:spacing w:before="14"/>
              <w:ind w:left="69"/>
              <w:rPr>
                <w:rFonts w:ascii="Times New Roman"/>
                <w:i/>
                <w:sz w:val="20"/>
              </w:rPr>
            </w:pPr>
            <w:r>
              <w:rPr>
                <w:rFonts w:ascii="Times New Roman"/>
                <w:i/>
                <w:sz w:val="20"/>
              </w:rPr>
              <w:t>DPL1</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189" w:right="186"/>
              <w:jc w:val="center"/>
              <w:rPr>
                <w:sz w:val="20"/>
              </w:rPr>
            </w:pPr>
            <w:r>
              <w:rPr>
                <w:sz w:val="20"/>
              </w:rPr>
              <w:t>0x84</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433"/>
              <w:rPr>
                <w:sz w:val="20"/>
              </w:rPr>
            </w:pPr>
            <w:r>
              <w:rPr>
                <w:sz w:val="20"/>
              </w:rPr>
              <w:t>0x00</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121"/>
              <w:rPr>
                <w:sz w:val="20"/>
              </w:rPr>
            </w:pPr>
            <w:r>
              <w:rPr>
                <w:sz w:val="20"/>
              </w:rPr>
              <w:t>Data Pointer Low 1</w:t>
            </w:r>
          </w:p>
        </w:tc>
        <w:tc>
          <w:tcPr>
            <w:tcW w:w="944" w:type="dxa"/>
            <w:tcBorders>
              <w:top w:val="single" w:sz="6" w:space="0" w:color="000000"/>
              <w:left w:val="single" w:sz="6" w:space="0" w:color="000000"/>
              <w:bottom w:val="single" w:sz="6" w:space="0" w:color="000000"/>
            </w:tcBorders>
          </w:tcPr>
          <w:p>
            <w:pPr>
              <w:pStyle w:val="TableParagraph"/>
              <w:spacing w:line="230" w:lineRule="exact" w:before="18"/>
              <w:ind w:left="86" w:right="81"/>
              <w:jc w:val="center"/>
              <w:rPr>
                <w:sz w:val="20"/>
              </w:rPr>
            </w:pPr>
            <w:hyperlink w:history="true" w:anchor="_bookmark55">
              <w:r>
                <w:rPr>
                  <w:color w:val="0000FF"/>
                  <w:sz w:val="20"/>
                </w:rPr>
                <w:t>34</w:t>
              </w:r>
            </w:hyperlink>
          </w:p>
        </w:tc>
      </w:tr>
      <w:tr>
        <w:trPr>
          <w:trHeight w:val="270" w:hRule="atLeast"/>
        </w:trPr>
        <w:tc>
          <w:tcPr>
            <w:tcW w:w="1066" w:type="dxa"/>
            <w:tcBorders>
              <w:top w:val="single" w:sz="6" w:space="0" w:color="000000"/>
              <w:bottom w:val="single" w:sz="6" w:space="0" w:color="000000"/>
              <w:right w:val="single" w:sz="6" w:space="0" w:color="000000"/>
            </w:tcBorders>
          </w:tcPr>
          <w:p>
            <w:pPr>
              <w:pStyle w:val="TableParagraph"/>
              <w:spacing w:before="17"/>
              <w:ind w:left="69"/>
              <w:rPr>
                <w:rFonts w:ascii="Times New Roman"/>
                <w:i/>
                <w:sz w:val="20"/>
              </w:rPr>
            </w:pPr>
            <w:r>
              <w:rPr>
                <w:rFonts w:ascii="Times New Roman"/>
                <w:i/>
                <w:sz w:val="20"/>
              </w:rPr>
              <w:t>DPH1</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189" w:right="186"/>
              <w:jc w:val="center"/>
              <w:rPr>
                <w:sz w:val="20"/>
              </w:rPr>
            </w:pPr>
            <w:r>
              <w:rPr>
                <w:sz w:val="20"/>
              </w:rPr>
              <w:t>0x85</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433"/>
              <w:rPr>
                <w:sz w:val="20"/>
              </w:rPr>
            </w:pPr>
            <w:r>
              <w:rPr>
                <w:sz w:val="20"/>
              </w:rPr>
              <w:t>0x00</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121"/>
              <w:rPr>
                <w:sz w:val="20"/>
              </w:rPr>
            </w:pPr>
            <w:r>
              <w:rPr>
                <w:sz w:val="20"/>
              </w:rPr>
              <w:t>Data Pointer High 1</w:t>
            </w:r>
          </w:p>
        </w:tc>
        <w:tc>
          <w:tcPr>
            <w:tcW w:w="944" w:type="dxa"/>
            <w:tcBorders>
              <w:top w:val="single" w:sz="6" w:space="0" w:color="000000"/>
              <w:left w:val="single" w:sz="6" w:space="0" w:color="000000"/>
              <w:bottom w:val="single" w:sz="6" w:space="0" w:color="000000"/>
            </w:tcBorders>
          </w:tcPr>
          <w:p>
            <w:pPr>
              <w:pStyle w:val="TableParagraph"/>
              <w:spacing w:line="230" w:lineRule="exact" w:before="21"/>
              <w:ind w:left="86" w:right="81"/>
              <w:jc w:val="center"/>
              <w:rPr>
                <w:sz w:val="20"/>
              </w:rPr>
            </w:pPr>
            <w:hyperlink w:history="true" w:anchor="_bookmark55">
              <w:r>
                <w:rPr>
                  <w:color w:val="0000FF"/>
                  <w:sz w:val="20"/>
                </w:rPr>
                <w:t>34</w:t>
              </w:r>
            </w:hyperlink>
          </w:p>
        </w:tc>
      </w:tr>
      <w:tr>
        <w:trPr>
          <w:trHeight w:val="270" w:hRule="atLeast"/>
        </w:trPr>
        <w:tc>
          <w:tcPr>
            <w:tcW w:w="1066" w:type="dxa"/>
            <w:tcBorders>
              <w:top w:val="single" w:sz="6" w:space="0" w:color="000000"/>
              <w:bottom w:val="single" w:sz="6" w:space="0" w:color="000000"/>
              <w:right w:val="single" w:sz="6" w:space="0" w:color="000000"/>
            </w:tcBorders>
          </w:tcPr>
          <w:p>
            <w:pPr>
              <w:pStyle w:val="TableParagraph"/>
              <w:spacing w:before="14"/>
              <w:ind w:left="69"/>
              <w:rPr>
                <w:rFonts w:ascii="Times New Roman"/>
                <w:i/>
                <w:sz w:val="20"/>
              </w:rPr>
            </w:pPr>
            <w:r>
              <w:rPr>
                <w:rFonts w:ascii="Times New Roman"/>
                <w:i/>
                <w:sz w:val="20"/>
              </w:rPr>
              <w:t>PCON</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18"/>
              <w:ind w:left="189" w:right="186"/>
              <w:jc w:val="center"/>
              <w:rPr>
                <w:sz w:val="20"/>
              </w:rPr>
            </w:pPr>
            <w:r>
              <w:rPr>
                <w:sz w:val="20"/>
              </w:rPr>
              <w:t>0x87</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before="18"/>
              <w:ind w:left="433"/>
              <w:rPr>
                <w:sz w:val="20"/>
              </w:rPr>
            </w:pPr>
            <w:r>
              <w:rPr>
                <w:sz w:val="20"/>
              </w:rPr>
              <w:t>0x00</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before="18"/>
              <w:ind w:left="121"/>
              <w:rPr>
                <w:sz w:val="20"/>
              </w:rPr>
            </w:pPr>
            <w:r>
              <w:rPr>
                <w:sz w:val="20"/>
              </w:rPr>
              <w:t>Power Reduction Modes, UART Speed Control</w:t>
            </w:r>
          </w:p>
        </w:tc>
        <w:tc>
          <w:tcPr>
            <w:tcW w:w="944" w:type="dxa"/>
            <w:tcBorders>
              <w:top w:val="single" w:sz="6" w:space="0" w:color="000000"/>
              <w:left w:val="single" w:sz="6" w:space="0" w:color="000000"/>
              <w:bottom w:val="single" w:sz="6" w:space="0" w:color="000000"/>
            </w:tcBorders>
          </w:tcPr>
          <w:p>
            <w:pPr>
              <w:pStyle w:val="TableParagraph"/>
              <w:spacing w:before="18"/>
              <w:ind w:left="86" w:right="81"/>
              <w:jc w:val="center"/>
              <w:rPr>
                <w:sz w:val="20"/>
              </w:rPr>
            </w:pPr>
            <w:hyperlink w:history="true" w:anchor="_bookmark67">
              <w:r>
                <w:rPr>
                  <w:color w:val="0000FF"/>
                  <w:sz w:val="20"/>
                </w:rPr>
                <w:t>38</w:t>
              </w:r>
            </w:hyperlink>
          </w:p>
        </w:tc>
      </w:tr>
      <w:tr>
        <w:trPr>
          <w:trHeight w:val="270" w:hRule="atLeast"/>
        </w:trPr>
        <w:tc>
          <w:tcPr>
            <w:tcW w:w="1066" w:type="dxa"/>
            <w:tcBorders>
              <w:top w:val="single" w:sz="6" w:space="0" w:color="000000"/>
              <w:bottom w:val="single" w:sz="6" w:space="0" w:color="000000"/>
              <w:right w:val="single" w:sz="6" w:space="0" w:color="000000"/>
            </w:tcBorders>
          </w:tcPr>
          <w:p>
            <w:pPr>
              <w:pStyle w:val="TableParagraph"/>
              <w:spacing w:before="14"/>
              <w:ind w:left="69"/>
              <w:rPr>
                <w:rFonts w:ascii="Times New Roman"/>
                <w:i/>
                <w:sz w:val="20"/>
              </w:rPr>
            </w:pPr>
            <w:r>
              <w:rPr>
                <w:rFonts w:ascii="Times New Roman"/>
                <w:i/>
                <w:sz w:val="20"/>
              </w:rPr>
              <w:t>TCON</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18"/>
              <w:ind w:left="189" w:right="186"/>
              <w:jc w:val="center"/>
              <w:rPr>
                <w:sz w:val="20"/>
              </w:rPr>
            </w:pPr>
            <w:r>
              <w:rPr>
                <w:sz w:val="20"/>
              </w:rPr>
              <w:t>0x88</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before="18"/>
              <w:ind w:left="433"/>
              <w:rPr>
                <w:sz w:val="20"/>
              </w:rPr>
            </w:pPr>
            <w:r>
              <w:rPr>
                <w:sz w:val="20"/>
              </w:rPr>
              <w:t>0x00</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before="18"/>
              <w:ind w:left="121"/>
              <w:rPr>
                <w:sz w:val="20"/>
              </w:rPr>
            </w:pPr>
            <w:r>
              <w:rPr>
                <w:sz w:val="20"/>
              </w:rPr>
              <w:t>Timer/Counter Control</w:t>
            </w:r>
          </w:p>
        </w:tc>
        <w:tc>
          <w:tcPr>
            <w:tcW w:w="944" w:type="dxa"/>
            <w:tcBorders>
              <w:top w:val="single" w:sz="6" w:space="0" w:color="000000"/>
              <w:left w:val="single" w:sz="6" w:space="0" w:color="000000"/>
              <w:bottom w:val="single" w:sz="6" w:space="0" w:color="000000"/>
            </w:tcBorders>
          </w:tcPr>
          <w:p>
            <w:pPr>
              <w:pStyle w:val="TableParagraph"/>
              <w:spacing w:before="18"/>
              <w:ind w:left="86" w:right="81"/>
              <w:jc w:val="center"/>
              <w:rPr>
                <w:sz w:val="20"/>
              </w:rPr>
            </w:pPr>
            <w:hyperlink w:history="true" w:anchor="_bookmark80">
              <w:r>
                <w:rPr>
                  <w:color w:val="0000FF"/>
                  <w:sz w:val="20"/>
                </w:rPr>
                <w:t>41</w:t>
              </w:r>
            </w:hyperlink>
          </w:p>
        </w:tc>
      </w:tr>
      <w:tr>
        <w:trPr>
          <w:trHeight w:val="268" w:hRule="atLeast"/>
        </w:trPr>
        <w:tc>
          <w:tcPr>
            <w:tcW w:w="1066" w:type="dxa"/>
            <w:tcBorders>
              <w:top w:val="single" w:sz="6" w:space="0" w:color="000000"/>
              <w:bottom w:val="single" w:sz="6" w:space="0" w:color="000000"/>
              <w:right w:val="single" w:sz="6" w:space="0" w:color="000000"/>
            </w:tcBorders>
          </w:tcPr>
          <w:p>
            <w:pPr>
              <w:pStyle w:val="TableParagraph"/>
              <w:spacing w:before="14"/>
              <w:ind w:left="69"/>
              <w:rPr>
                <w:rFonts w:ascii="Times New Roman"/>
                <w:i/>
                <w:sz w:val="20"/>
              </w:rPr>
            </w:pPr>
            <w:r>
              <w:rPr>
                <w:rFonts w:ascii="Times New Roman"/>
                <w:i/>
                <w:sz w:val="20"/>
              </w:rPr>
              <w:t>TMOD</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189" w:right="186"/>
              <w:jc w:val="center"/>
              <w:rPr>
                <w:sz w:val="20"/>
              </w:rPr>
            </w:pPr>
            <w:r>
              <w:rPr>
                <w:sz w:val="20"/>
              </w:rPr>
              <w:t>0x89</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433"/>
              <w:rPr>
                <w:sz w:val="20"/>
              </w:rPr>
            </w:pPr>
            <w:r>
              <w:rPr>
                <w:sz w:val="20"/>
              </w:rPr>
              <w:t>0x00</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121"/>
              <w:rPr>
                <w:sz w:val="20"/>
              </w:rPr>
            </w:pPr>
            <w:r>
              <w:rPr>
                <w:sz w:val="20"/>
              </w:rPr>
              <w:t>Timer Mode Control</w:t>
            </w:r>
          </w:p>
        </w:tc>
        <w:tc>
          <w:tcPr>
            <w:tcW w:w="944" w:type="dxa"/>
            <w:tcBorders>
              <w:top w:val="single" w:sz="6" w:space="0" w:color="000000"/>
              <w:left w:val="single" w:sz="6" w:space="0" w:color="000000"/>
              <w:bottom w:val="single" w:sz="6" w:space="0" w:color="000000"/>
            </w:tcBorders>
          </w:tcPr>
          <w:p>
            <w:pPr>
              <w:pStyle w:val="TableParagraph"/>
              <w:spacing w:line="230" w:lineRule="exact" w:before="18"/>
              <w:ind w:left="86" w:right="81"/>
              <w:jc w:val="center"/>
              <w:rPr>
                <w:sz w:val="20"/>
              </w:rPr>
            </w:pPr>
            <w:hyperlink w:history="true" w:anchor="_bookmark71">
              <w:r>
                <w:rPr>
                  <w:color w:val="0000FF"/>
                  <w:sz w:val="20"/>
                </w:rPr>
                <w:t>39</w:t>
              </w:r>
            </w:hyperlink>
          </w:p>
        </w:tc>
      </w:tr>
      <w:tr>
        <w:trPr>
          <w:trHeight w:val="270" w:hRule="atLeast"/>
        </w:trPr>
        <w:tc>
          <w:tcPr>
            <w:tcW w:w="1066" w:type="dxa"/>
            <w:tcBorders>
              <w:top w:val="single" w:sz="6" w:space="0" w:color="000000"/>
              <w:bottom w:val="single" w:sz="6" w:space="0" w:color="000000"/>
              <w:right w:val="single" w:sz="6" w:space="0" w:color="000000"/>
            </w:tcBorders>
          </w:tcPr>
          <w:p>
            <w:pPr>
              <w:pStyle w:val="TableParagraph"/>
              <w:spacing w:before="17"/>
              <w:ind w:left="69"/>
              <w:rPr>
                <w:rFonts w:ascii="Times New Roman"/>
                <w:i/>
                <w:sz w:val="20"/>
              </w:rPr>
            </w:pPr>
            <w:r>
              <w:rPr>
                <w:rFonts w:ascii="Times New Roman"/>
                <w:i/>
                <w:sz w:val="20"/>
              </w:rPr>
              <w:t>TL0</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191" w:right="185"/>
              <w:jc w:val="center"/>
              <w:rPr>
                <w:sz w:val="20"/>
              </w:rPr>
            </w:pPr>
            <w:r>
              <w:rPr>
                <w:sz w:val="20"/>
              </w:rPr>
              <w:t>0x8A</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433"/>
              <w:rPr>
                <w:sz w:val="20"/>
              </w:rPr>
            </w:pPr>
            <w:r>
              <w:rPr>
                <w:sz w:val="20"/>
              </w:rPr>
              <w:t>0x00</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121"/>
              <w:rPr>
                <w:sz w:val="20"/>
              </w:rPr>
            </w:pPr>
            <w:r>
              <w:rPr>
                <w:sz w:val="20"/>
              </w:rPr>
              <w:t>Timer 0, low byte</w:t>
            </w:r>
          </w:p>
        </w:tc>
        <w:tc>
          <w:tcPr>
            <w:tcW w:w="944" w:type="dxa"/>
            <w:tcBorders>
              <w:top w:val="single" w:sz="6" w:space="0" w:color="000000"/>
              <w:left w:val="single" w:sz="6" w:space="0" w:color="000000"/>
              <w:bottom w:val="single" w:sz="6" w:space="0" w:color="000000"/>
            </w:tcBorders>
          </w:tcPr>
          <w:p>
            <w:pPr>
              <w:pStyle w:val="TableParagraph"/>
              <w:spacing w:line="230" w:lineRule="exact" w:before="21"/>
              <w:ind w:left="86" w:right="81"/>
              <w:jc w:val="center"/>
              <w:rPr>
                <w:sz w:val="20"/>
              </w:rPr>
            </w:pPr>
            <w:hyperlink w:history="true" w:anchor="_bookmark69">
              <w:r>
                <w:rPr>
                  <w:color w:val="0000FF"/>
                  <w:sz w:val="20"/>
                </w:rPr>
                <w:t>38</w:t>
              </w:r>
            </w:hyperlink>
          </w:p>
        </w:tc>
      </w:tr>
      <w:tr>
        <w:trPr>
          <w:trHeight w:val="270" w:hRule="atLeast"/>
        </w:trPr>
        <w:tc>
          <w:tcPr>
            <w:tcW w:w="1066" w:type="dxa"/>
            <w:tcBorders>
              <w:top w:val="single" w:sz="6" w:space="0" w:color="000000"/>
              <w:bottom w:val="single" w:sz="6" w:space="0" w:color="000000"/>
              <w:right w:val="single" w:sz="6" w:space="0" w:color="000000"/>
            </w:tcBorders>
          </w:tcPr>
          <w:p>
            <w:pPr>
              <w:pStyle w:val="TableParagraph"/>
              <w:spacing w:before="14"/>
              <w:ind w:left="69"/>
              <w:rPr>
                <w:rFonts w:ascii="Times New Roman"/>
                <w:i/>
                <w:sz w:val="20"/>
              </w:rPr>
            </w:pPr>
            <w:r>
              <w:rPr>
                <w:rFonts w:ascii="Times New Roman"/>
                <w:i/>
                <w:sz w:val="20"/>
              </w:rPr>
              <w:t>TL1</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18"/>
              <w:ind w:left="191" w:right="185"/>
              <w:jc w:val="center"/>
              <w:rPr>
                <w:sz w:val="20"/>
              </w:rPr>
            </w:pPr>
            <w:r>
              <w:rPr>
                <w:sz w:val="20"/>
              </w:rPr>
              <w:t>0x8B</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before="18"/>
              <w:ind w:left="433"/>
              <w:rPr>
                <w:sz w:val="20"/>
              </w:rPr>
            </w:pPr>
            <w:r>
              <w:rPr>
                <w:sz w:val="20"/>
              </w:rPr>
              <w:t>0x00</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before="18"/>
              <w:ind w:left="121"/>
              <w:rPr>
                <w:sz w:val="20"/>
              </w:rPr>
            </w:pPr>
            <w:r>
              <w:rPr>
                <w:sz w:val="20"/>
              </w:rPr>
              <w:t>Timer 1, high byte</w:t>
            </w:r>
          </w:p>
        </w:tc>
        <w:tc>
          <w:tcPr>
            <w:tcW w:w="944" w:type="dxa"/>
            <w:tcBorders>
              <w:top w:val="single" w:sz="6" w:space="0" w:color="000000"/>
              <w:left w:val="single" w:sz="6" w:space="0" w:color="000000"/>
              <w:bottom w:val="single" w:sz="6" w:space="0" w:color="000000"/>
            </w:tcBorders>
          </w:tcPr>
          <w:p>
            <w:pPr>
              <w:pStyle w:val="TableParagraph"/>
              <w:spacing w:before="18"/>
              <w:ind w:left="86" w:right="81"/>
              <w:jc w:val="center"/>
              <w:rPr>
                <w:sz w:val="20"/>
              </w:rPr>
            </w:pPr>
            <w:hyperlink w:history="true" w:anchor="_bookmark69">
              <w:r>
                <w:rPr>
                  <w:color w:val="0000FF"/>
                  <w:sz w:val="20"/>
                </w:rPr>
                <w:t>38</w:t>
              </w:r>
            </w:hyperlink>
          </w:p>
        </w:tc>
      </w:tr>
      <w:tr>
        <w:trPr>
          <w:trHeight w:val="270" w:hRule="atLeast"/>
        </w:trPr>
        <w:tc>
          <w:tcPr>
            <w:tcW w:w="1066" w:type="dxa"/>
            <w:tcBorders>
              <w:top w:val="single" w:sz="6" w:space="0" w:color="000000"/>
              <w:bottom w:val="single" w:sz="6" w:space="0" w:color="000000"/>
              <w:right w:val="single" w:sz="6" w:space="0" w:color="000000"/>
            </w:tcBorders>
          </w:tcPr>
          <w:p>
            <w:pPr>
              <w:pStyle w:val="TableParagraph"/>
              <w:spacing w:before="14"/>
              <w:ind w:left="69"/>
              <w:rPr>
                <w:rFonts w:ascii="Times New Roman"/>
                <w:i/>
                <w:sz w:val="20"/>
              </w:rPr>
            </w:pPr>
            <w:r>
              <w:rPr>
                <w:rFonts w:ascii="Times New Roman"/>
                <w:i/>
                <w:sz w:val="20"/>
              </w:rPr>
              <w:t>TH0</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18"/>
              <w:ind w:left="189" w:right="186"/>
              <w:jc w:val="center"/>
              <w:rPr>
                <w:sz w:val="20"/>
              </w:rPr>
            </w:pPr>
            <w:r>
              <w:rPr>
                <w:sz w:val="20"/>
              </w:rPr>
              <w:t>0x8C</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before="18"/>
              <w:ind w:left="433"/>
              <w:rPr>
                <w:sz w:val="20"/>
              </w:rPr>
            </w:pPr>
            <w:r>
              <w:rPr>
                <w:sz w:val="20"/>
              </w:rPr>
              <w:t>0x00</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before="18"/>
              <w:ind w:left="121"/>
              <w:rPr>
                <w:sz w:val="20"/>
              </w:rPr>
            </w:pPr>
            <w:r>
              <w:rPr>
                <w:sz w:val="20"/>
              </w:rPr>
              <w:t>Timer 0, low byte</w:t>
            </w:r>
          </w:p>
        </w:tc>
        <w:tc>
          <w:tcPr>
            <w:tcW w:w="944" w:type="dxa"/>
            <w:tcBorders>
              <w:top w:val="single" w:sz="6" w:space="0" w:color="000000"/>
              <w:left w:val="single" w:sz="6" w:space="0" w:color="000000"/>
              <w:bottom w:val="single" w:sz="6" w:space="0" w:color="000000"/>
            </w:tcBorders>
          </w:tcPr>
          <w:p>
            <w:pPr>
              <w:pStyle w:val="TableParagraph"/>
              <w:spacing w:before="18"/>
              <w:ind w:left="86" w:right="81"/>
              <w:jc w:val="center"/>
              <w:rPr>
                <w:sz w:val="20"/>
              </w:rPr>
            </w:pPr>
            <w:hyperlink w:history="true" w:anchor="_bookmark69">
              <w:r>
                <w:rPr>
                  <w:color w:val="0000FF"/>
                  <w:sz w:val="20"/>
                </w:rPr>
                <w:t>38</w:t>
              </w:r>
            </w:hyperlink>
          </w:p>
        </w:tc>
      </w:tr>
      <w:tr>
        <w:trPr>
          <w:trHeight w:val="268" w:hRule="atLeast"/>
        </w:trPr>
        <w:tc>
          <w:tcPr>
            <w:tcW w:w="1066" w:type="dxa"/>
            <w:tcBorders>
              <w:top w:val="single" w:sz="6" w:space="0" w:color="000000"/>
              <w:bottom w:val="single" w:sz="6" w:space="0" w:color="000000"/>
              <w:right w:val="single" w:sz="6" w:space="0" w:color="000000"/>
            </w:tcBorders>
          </w:tcPr>
          <w:p>
            <w:pPr>
              <w:pStyle w:val="TableParagraph"/>
              <w:spacing w:before="14"/>
              <w:ind w:left="69"/>
              <w:rPr>
                <w:rFonts w:ascii="Times New Roman"/>
                <w:i/>
                <w:sz w:val="20"/>
              </w:rPr>
            </w:pPr>
            <w:r>
              <w:rPr>
                <w:rFonts w:ascii="Times New Roman"/>
                <w:i/>
                <w:sz w:val="20"/>
              </w:rPr>
              <w:t>TH1</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189" w:right="186"/>
              <w:jc w:val="center"/>
              <w:rPr>
                <w:sz w:val="20"/>
              </w:rPr>
            </w:pPr>
            <w:r>
              <w:rPr>
                <w:sz w:val="20"/>
              </w:rPr>
              <w:t>0x8D</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433"/>
              <w:rPr>
                <w:sz w:val="20"/>
              </w:rPr>
            </w:pPr>
            <w:r>
              <w:rPr>
                <w:sz w:val="20"/>
              </w:rPr>
              <w:t>0x00</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121"/>
              <w:rPr>
                <w:sz w:val="20"/>
              </w:rPr>
            </w:pPr>
            <w:r>
              <w:rPr>
                <w:sz w:val="20"/>
              </w:rPr>
              <w:t>Timer 1, high byte</w:t>
            </w:r>
          </w:p>
        </w:tc>
        <w:tc>
          <w:tcPr>
            <w:tcW w:w="944" w:type="dxa"/>
            <w:tcBorders>
              <w:top w:val="single" w:sz="6" w:space="0" w:color="000000"/>
              <w:left w:val="single" w:sz="6" w:space="0" w:color="000000"/>
              <w:bottom w:val="single" w:sz="6" w:space="0" w:color="000000"/>
            </w:tcBorders>
          </w:tcPr>
          <w:p>
            <w:pPr>
              <w:pStyle w:val="TableParagraph"/>
              <w:spacing w:line="230" w:lineRule="exact" w:before="18"/>
              <w:ind w:left="86" w:right="81"/>
              <w:jc w:val="center"/>
              <w:rPr>
                <w:sz w:val="20"/>
              </w:rPr>
            </w:pPr>
            <w:hyperlink w:history="true" w:anchor="_bookmark69">
              <w:r>
                <w:rPr>
                  <w:color w:val="0000FF"/>
                  <w:sz w:val="20"/>
                </w:rPr>
                <w:t>38</w:t>
              </w:r>
            </w:hyperlink>
          </w:p>
        </w:tc>
      </w:tr>
      <w:tr>
        <w:trPr>
          <w:trHeight w:val="270" w:hRule="atLeast"/>
        </w:trPr>
        <w:tc>
          <w:tcPr>
            <w:tcW w:w="1066" w:type="dxa"/>
            <w:tcBorders>
              <w:top w:val="single" w:sz="6" w:space="0" w:color="000000"/>
              <w:bottom w:val="single" w:sz="6" w:space="0" w:color="000000"/>
              <w:right w:val="single" w:sz="6" w:space="0" w:color="000000"/>
            </w:tcBorders>
          </w:tcPr>
          <w:p>
            <w:pPr>
              <w:pStyle w:val="TableParagraph"/>
              <w:spacing w:before="17"/>
              <w:ind w:left="69"/>
              <w:rPr>
                <w:rFonts w:ascii="Times New Roman"/>
                <w:i/>
                <w:sz w:val="20"/>
              </w:rPr>
            </w:pPr>
            <w:r>
              <w:rPr>
                <w:rFonts w:ascii="Times New Roman"/>
                <w:i/>
                <w:sz w:val="20"/>
              </w:rPr>
              <w:t>CKCON</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191" w:right="185"/>
              <w:jc w:val="center"/>
              <w:rPr>
                <w:sz w:val="20"/>
              </w:rPr>
            </w:pPr>
            <w:r>
              <w:rPr>
                <w:sz w:val="20"/>
              </w:rPr>
              <w:t>0x8E</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433"/>
              <w:rPr>
                <w:sz w:val="20"/>
              </w:rPr>
            </w:pPr>
            <w:r>
              <w:rPr>
                <w:sz w:val="20"/>
              </w:rPr>
              <w:t>0x01</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121"/>
              <w:rPr>
                <w:sz w:val="20"/>
              </w:rPr>
            </w:pPr>
            <w:r>
              <w:rPr>
                <w:sz w:val="20"/>
              </w:rPr>
              <w:t>Clock Control (Stretch=1)</w:t>
            </w:r>
          </w:p>
        </w:tc>
        <w:tc>
          <w:tcPr>
            <w:tcW w:w="944" w:type="dxa"/>
            <w:tcBorders>
              <w:top w:val="single" w:sz="6" w:space="0" w:color="000000"/>
              <w:left w:val="single" w:sz="6" w:space="0" w:color="000000"/>
              <w:bottom w:val="single" w:sz="6" w:space="0" w:color="000000"/>
            </w:tcBorders>
          </w:tcPr>
          <w:p>
            <w:pPr>
              <w:pStyle w:val="TableParagraph"/>
              <w:spacing w:line="230" w:lineRule="exact" w:before="21"/>
              <w:ind w:left="86" w:right="81"/>
              <w:jc w:val="center"/>
              <w:rPr>
                <w:sz w:val="20"/>
              </w:rPr>
            </w:pPr>
            <w:hyperlink w:history="true" w:anchor="_bookmark58">
              <w:r>
                <w:rPr>
                  <w:color w:val="0000FF"/>
                  <w:sz w:val="20"/>
                </w:rPr>
                <w:t>35</w:t>
              </w:r>
            </w:hyperlink>
          </w:p>
        </w:tc>
      </w:tr>
      <w:tr>
        <w:trPr>
          <w:trHeight w:val="270" w:hRule="atLeast"/>
        </w:trPr>
        <w:tc>
          <w:tcPr>
            <w:tcW w:w="1066" w:type="dxa"/>
            <w:tcBorders>
              <w:top w:val="single" w:sz="6" w:space="0" w:color="000000"/>
              <w:bottom w:val="single" w:sz="6" w:space="0" w:color="000000"/>
              <w:right w:val="single" w:sz="6" w:space="0" w:color="000000"/>
            </w:tcBorders>
          </w:tcPr>
          <w:p>
            <w:pPr>
              <w:pStyle w:val="TableParagraph"/>
              <w:spacing w:before="14"/>
              <w:ind w:left="69"/>
              <w:rPr>
                <w:rFonts w:ascii="Times New Roman"/>
                <w:i/>
                <w:sz w:val="20"/>
              </w:rPr>
            </w:pPr>
            <w:r>
              <w:rPr>
                <w:rFonts w:ascii="Times New Roman"/>
                <w:i/>
                <w:sz w:val="20"/>
              </w:rPr>
              <w:t>P1</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18"/>
              <w:ind w:left="189" w:right="186"/>
              <w:jc w:val="center"/>
              <w:rPr>
                <w:sz w:val="20"/>
              </w:rPr>
            </w:pPr>
            <w:r>
              <w:rPr>
                <w:sz w:val="20"/>
              </w:rPr>
              <w:t>0x90</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before="18"/>
              <w:ind w:left="423"/>
              <w:rPr>
                <w:sz w:val="20"/>
              </w:rPr>
            </w:pPr>
            <w:r>
              <w:rPr>
                <w:sz w:val="20"/>
              </w:rPr>
              <w:t>0xFF</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before="18"/>
              <w:ind w:left="66"/>
              <w:rPr>
                <w:sz w:val="20"/>
              </w:rPr>
            </w:pPr>
            <w:r>
              <w:rPr>
                <w:sz w:val="20"/>
              </w:rPr>
              <w:t>Port 1</w:t>
            </w:r>
          </w:p>
        </w:tc>
        <w:tc>
          <w:tcPr>
            <w:tcW w:w="944" w:type="dxa"/>
            <w:tcBorders>
              <w:top w:val="single" w:sz="6" w:space="0" w:color="000000"/>
              <w:left w:val="single" w:sz="6" w:space="0" w:color="000000"/>
              <w:bottom w:val="single" w:sz="6" w:space="0" w:color="000000"/>
            </w:tcBorders>
          </w:tcPr>
          <w:p>
            <w:pPr>
              <w:pStyle w:val="TableParagraph"/>
              <w:spacing w:before="18"/>
              <w:ind w:left="86" w:right="81"/>
              <w:jc w:val="center"/>
              <w:rPr>
                <w:sz w:val="20"/>
              </w:rPr>
            </w:pPr>
            <w:hyperlink w:history="true" w:anchor="_bookmark56">
              <w:r>
                <w:rPr>
                  <w:color w:val="0000FF"/>
                  <w:sz w:val="20"/>
                </w:rPr>
                <w:t>35</w:t>
              </w:r>
            </w:hyperlink>
          </w:p>
        </w:tc>
      </w:tr>
      <w:tr>
        <w:trPr>
          <w:trHeight w:val="268" w:hRule="atLeast"/>
        </w:trPr>
        <w:tc>
          <w:tcPr>
            <w:tcW w:w="1066" w:type="dxa"/>
            <w:tcBorders>
              <w:top w:val="single" w:sz="6" w:space="0" w:color="000000"/>
              <w:bottom w:val="single" w:sz="6" w:space="0" w:color="000000"/>
              <w:right w:val="single" w:sz="6" w:space="0" w:color="000000"/>
            </w:tcBorders>
          </w:tcPr>
          <w:p>
            <w:pPr>
              <w:pStyle w:val="TableParagraph"/>
              <w:spacing w:before="14"/>
              <w:ind w:left="69"/>
              <w:rPr>
                <w:rFonts w:ascii="Times New Roman"/>
                <w:i/>
                <w:sz w:val="20"/>
              </w:rPr>
            </w:pPr>
            <w:r>
              <w:rPr>
                <w:rFonts w:ascii="Times New Roman"/>
                <w:i/>
                <w:sz w:val="20"/>
              </w:rPr>
              <w:t>DPS</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189" w:right="186"/>
              <w:jc w:val="center"/>
              <w:rPr>
                <w:sz w:val="20"/>
              </w:rPr>
            </w:pPr>
            <w:r>
              <w:rPr>
                <w:sz w:val="20"/>
              </w:rPr>
              <w:t>0x92</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433"/>
              <w:rPr>
                <w:sz w:val="20"/>
              </w:rPr>
            </w:pPr>
            <w:r>
              <w:rPr>
                <w:sz w:val="20"/>
              </w:rPr>
              <w:t>0x00</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121"/>
              <w:rPr>
                <w:sz w:val="20"/>
              </w:rPr>
            </w:pPr>
            <w:r>
              <w:rPr>
                <w:sz w:val="20"/>
              </w:rPr>
              <w:t>Data Pointer select Register</w:t>
            </w:r>
          </w:p>
        </w:tc>
        <w:tc>
          <w:tcPr>
            <w:tcW w:w="944" w:type="dxa"/>
            <w:tcBorders>
              <w:top w:val="single" w:sz="6" w:space="0" w:color="000000"/>
              <w:left w:val="single" w:sz="6" w:space="0" w:color="000000"/>
              <w:bottom w:val="single" w:sz="6" w:space="0" w:color="000000"/>
            </w:tcBorders>
          </w:tcPr>
          <w:p>
            <w:pPr>
              <w:pStyle w:val="TableParagraph"/>
              <w:spacing w:line="230" w:lineRule="exact" w:before="18"/>
              <w:ind w:left="86" w:right="81"/>
              <w:jc w:val="center"/>
              <w:rPr>
                <w:sz w:val="20"/>
              </w:rPr>
            </w:pPr>
            <w:hyperlink w:history="true" w:anchor="_bookmark45">
              <w:r>
                <w:rPr>
                  <w:color w:val="0000FF"/>
                  <w:sz w:val="20"/>
                </w:rPr>
                <w:t>31</w:t>
              </w:r>
            </w:hyperlink>
          </w:p>
        </w:tc>
      </w:tr>
      <w:tr>
        <w:trPr>
          <w:trHeight w:val="270" w:hRule="atLeast"/>
        </w:trPr>
        <w:tc>
          <w:tcPr>
            <w:tcW w:w="1066" w:type="dxa"/>
            <w:tcBorders>
              <w:top w:val="single" w:sz="6" w:space="0" w:color="000000"/>
              <w:bottom w:val="single" w:sz="6" w:space="0" w:color="000000"/>
              <w:right w:val="single" w:sz="6" w:space="0" w:color="000000"/>
            </w:tcBorders>
          </w:tcPr>
          <w:p>
            <w:pPr>
              <w:pStyle w:val="TableParagraph"/>
              <w:spacing w:before="17"/>
              <w:ind w:left="69"/>
              <w:rPr>
                <w:rFonts w:ascii="Times New Roman"/>
                <w:i/>
                <w:sz w:val="20"/>
              </w:rPr>
            </w:pPr>
            <w:r>
              <w:rPr>
                <w:rFonts w:ascii="Times New Roman"/>
                <w:i/>
                <w:sz w:val="20"/>
              </w:rPr>
              <w:t>S0CON</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189" w:right="186"/>
              <w:jc w:val="center"/>
              <w:rPr>
                <w:sz w:val="20"/>
              </w:rPr>
            </w:pPr>
            <w:r>
              <w:rPr>
                <w:sz w:val="20"/>
              </w:rPr>
              <w:t>0x98</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433"/>
              <w:rPr>
                <w:sz w:val="20"/>
              </w:rPr>
            </w:pPr>
            <w:r>
              <w:rPr>
                <w:sz w:val="20"/>
              </w:rPr>
              <w:t>0x00</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121"/>
              <w:rPr>
                <w:sz w:val="20"/>
              </w:rPr>
            </w:pPr>
            <w:r>
              <w:rPr>
                <w:sz w:val="20"/>
              </w:rPr>
              <w:t>Serial Port 0, Control Register</w:t>
            </w:r>
          </w:p>
        </w:tc>
        <w:tc>
          <w:tcPr>
            <w:tcW w:w="944" w:type="dxa"/>
            <w:tcBorders>
              <w:top w:val="single" w:sz="6" w:space="0" w:color="000000"/>
              <w:left w:val="single" w:sz="6" w:space="0" w:color="000000"/>
              <w:bottom w:val="single" w:sz="6" w:space="0" w:color="000000"/>
            </w:tcBorders>
          </w:tcPr>
          <w:p>
            <w:pPr>
              <w:pStyle w:val="TableParagraph"/>
              <w:spacing w:line="230" w:lineRule="exact" w:before="21"/>
              <w:ind w:left="86" w:right="81"/>
              <w:jc w:val="center"/>
              <w:rPr>
                <w:sz w:val="20"/>
              </w:rPr>
            </w:pPr>
            <w:hyperlink w:history="true" w:anchor="_bookmark64">
              <w:r>
                <w:rPr>
                  <w:color w:val="0000FF"/>
                  <w:sz w:val="20"/>
                </w:rPr>
                <w:t>37</w:t>
              </w:r>
            </w:hyperlink>
          </w:p>
        </w:tc>
      </w:tr>
      <w:tr>
        <w:trPr>
          <w:trHeight w:val="270" w:hRule="atLeast"/>
        </w:trPr>
        <w:tc>
          <w:tcPr>
            <w:tcW w:w="1066" w:type="dxa"/>
            <w:tcBorders>
              <w:top w:val="single" w:sz="6" w:space="0" w:color="000000"/>
              <w:bottom w:val="single" w:sz="6" w:space="0" w:color="000000"/>
              <w:right w:val="single" w:sz="6" w:space="0" w:color="000000"/>
            </w:tcBorders>
          </w:tcPr>
          <w:p>
            <w:pPr>
              <w:pStyle w:val="TableParagraph"/>
              <w:spacing w:before="14"/>
              <w:ind w:left="69"/>
              <w:rPr>
                <w:rFonts w:ascii="Times New Roman"/>
                <w:i/>
                <w:sz w:val="20"/>
              </w:rPr>
            </w:pPr>
            <w:r>
              <w:rPr>
                <w:rFonts w:ascii="Times New Roman"/>
                <w:i/>
                <w:sz w:val="20"/>
              </w:rPr>
              <w:t>S0BUF</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18"/>
              <w:ind w:left="189" w:right="186"/>
              <w:jc w:val="center"/>
              <w:rPr>
                <w:sz w:val="20"/>
              </w:rPr>
            </w:pPr>
            <w:r>
              <w:rPr>
                <w:sz w:val="20"/>
              </w:rPr>
              <w:t>0x99</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before="18"/>
              <w:ind w:left="433"/>
              <w:rPr>
                <w:sz w:val="20"/>
              </w:rPr>
            </w:pPr>
            <w:r>
              <w:rPr>
                <w:sz w:val="20"/>
              </w:rPr>
              <w:t>0x00</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before="18"/>
              <w:ind w:left="121"/>
              <w:rPr>
                <w:sz w:val="20"/>
              </w:rPr>
            </w:pPr>
            <w:r>
              <w:rPr>
                <w:sz w:val="20"/>
              </w:rPr>
              <w:t>Serial Port 0, Data Buffer</w:t>
            </w:r>
          </w:p>
        </w:tc>
        <w:tc>
          <w:tcPr>
            <w:tcW w:w="944" w:type="dxa"/>
            <w:tcBorders>
              <w:top w:val="single" w:sz="6" w:space="0" w:color="000000"/>
              <w:left w:val="single" w:sz="6" w:space="0" w:color="000000"/>
              <w:bottom w:val="single" w:sz="6" w:space="0" w:color="000000"/>
            </w:tcBorders>
          </w:tcPr>
          <w:p>
            <w:pPr>
              <w:pStyle w:val="TableParagraph"/>
              <w:spacing w:before="18"/>
              <w:ind w:left="86" w:right="81"/>
              <w:jc w:val="center"/>
              <w:rPr>
                <w:sz w:val="20"/>
              </w:rPr>
            </w:pPr>
            <w:hyperlink w:history="true" w:anchor="_bookmark61">
              <w:r>
                <w:rPr>
                  <w:color w:val="0000FF"/>
                  <w:sz w:val="20"/>
                </w:rPr>
                <w:t>35</w:t>
              </w:r>
            </w:hyperlink>
          </w:p>
        </w:tc>
      </w:tr>
      <w:tr>
        <w:trPr>
          <w:trHeight w:val="270" w:hRule="atLeast"/>
        </w:trPr>
        <w:tc>
          <w:tcPr>
            <w:tcW w:w="1066" w:type="dxa"/>
            <w:tcBorders>
              <w:top w:val="single" w:sz="6" w:space="0" w:color="000000"/>
              <w:bottom w:val="single" w:sz="6" w:space="0" w:color="000000"/>
              <w:right w:val="single" w:sz="6" w:space="0" w:color="000000"/>
            </w:tcBorders>
          </w:tcPr>
          <w:p>
            <w:pPr>
              <w:pStyle w:val="TableParagraph"/>
              <w:spacing w:before="14"/>
              <w:ind w:left="69"/>
              <w:rPr>
                <w:rFonts w:ascii="Times New Roman"/>
                <w:i/>
                <w:sz w:val="20"/>
              </w:rPr>
            </w:pPr>
            <w:r>
              <w:rPr>
                <w:rFonts w:ascii="Times New Roman"/>
                <w:i/>
                <w:sz w:val="20"/>
              </w:rPr>
              <w:t>IEN2</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18"/>
              <w:ind w:left="191" w:right="185"/>
              <w:jc w:val="center"/>
              <w:rPr>
                <w:sz w:val="20"/>
              </w:rPr>
            </w:pPr>
            <w:r>
              <w:rPr>
                <w:sz w:val="20"/>
              </w:rPr>
              <w:t>0x9A</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before="18"/>
              <w:ind w:left="433"/>
              <w:rPr>
                <w:sz w:val="20"/>
              </w:rPr>
            </w:pPr>
            <w:r>
              <w:rPr>
                <w:sz w:val="20"/>
              </w:rPr>
              <w:t>0x00</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before="18"/>
              <w:ind w:left="121"/>
              <w:rPr>
                <w:sz w:val="20"/>
              </w:rPr>
            </w:pPr>
            <w:r>
              <w:rPr>
                <w:sz w:val="20"/>
              </w:rPr>
              <w:t>Interrupt Enable Register 2</w:t>
            </w:r>
          </w:p>
        </w:tc>
        <w:tc>
          <w:tcPr>
            <w:tcW w:w="944" w:type="dxa"/>
            <w:tcBorders>
              <w:top w:val="single" w:sz="6" w:space="0" w:color="000000"/>
              <w:left w:val="single" w:sz="6" w:space="0" w:color="000000"/>
              <w:bottom w:val="single" w:sz="6" w:space="0" w:color="000000"/>
            </w:tcBorders>
          </w:tcPr>
          <w:p>
            <w:pPr>
              <w:pStyle w:val="TableParagraph"/>
              <w:spacing w:before="18"/>
              <w:ind w:left="86" w:right="81"/>
              <w:jc w:val="center"/>
              <w:rPr>
                <w:sz w:val="20"/>
              </w:rPr>
            </w:pPr>
            <w:hyperlink w:history="true" w:anchor="_bookmark79">
              <w:r>
                <w:rPr>
                  <w:color w:val="0000FF"/>
                  <w:sz w:val="20"/>
                </w:rPr>
                <w:t>41</w:t>
              </w:r>
            </w:hyperlink>
          </w:p>
        </w:tc>
      </w:tr>
      <w:tr>
        <w:trPr>
          <w:trHeight w:val="268" w:hRule="atLeast"/>
        </w:trPr>
        <w:tc>
          <w:tcPr>
            <w:tcW w:w="1066" w:type="dxa"/>
            <w:tcBorders>
              <w:top w:val="single" w:sz="6" w:space="0" w:color="000000"/>
              <w:bottom w:val="single" w:sz="6" w:space="0" w:color="000000"/>
              <w:right w:val="single" w:sz="6" w:space="0" w:color="000000"/>
            </w:tcBorders>
          </w:tcPr>
          <w:p>
            <w:pPr>
              <w:pStyle w:val="TableParagraph"/>
              <w:spacing w:before="14"/>
              <w:ind w:left="69"/>
              <w:rPr>
                <w:rFonts w:ascii="Times New Roman"/>
                <w:i/>
                <w:sz w:val="20"/>
              </w:rPr>
            </w:pPr>
            <w:r>
              <w:rPr>
                <w:rFonts w:ascii="Times New Roman"/>
                <w:i/>
                <w:sz w:val="20"/>
              </w:rPr>
              <w:t>S1CON</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191" w:right="185"/>
              <w:jc w:val="center"/>
              <w:rPr>
                <w:sz w:val="20"/>
              </w:rPr>
            </w:pPr>
            <w:r>
              <w:rPr>
                <w:sz w:val="20"/>
              </w:rPr>
              <w:t>0x9B</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433"/>
              <w:rPr>
                <w:sz w:val="20"/>
              </w:rPr>
            </w:pPr>
            <w:r>
              <w:rPr>
                <w:sz w:val="20"/>
              </w:rPr>
              <w:t>0x00</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121"/>
              <w:rPr>
                <w:sz w:val="20"/>
              </w:rPr>
            </w:pPr>
            <w:r>
              <w:rPr>
                <w:sz w:val="20"/>
              </w:rPr>
              <w:t>Serial Port 1, Control Register</w:t>
            </w:r>
          </w:p>
        </w:tc>
        <w:tc>
          <w:tcPr>
            <w:tcW w:w="944" w:type="dxa"/>
            <w:tcBorders>
              <w:top w:val="single" w:sz="6" w:space="0" w:color="000000"/>
              <w:left w:val="single" w:sz="6" w:space="0" w:color="000000"/>
              <w:bottom w:val="single" w:sz="6" w:space="0" w:color="000000"/>
            </w:tcBorders>
          </w:tcPr>
          <w:p>
            <w:pPr>
              <w:pStyle w:val="TableParagraph"/>
              <w:spacing w:line="230" w:lineRule="exact" w:before="18"/>
              <w:ind w:left="86" w:right="81"/>
              <w:jc w:val="center"/>
              <w:rPr>
                <w:sz w:val="20"/>
              </w:rPr>
            </w:pPr>
            <w:hyperlink w:history="true" w:anchor="_bookmark66">
              <w:r>
                <w:rPr>
                  <w:color w:val="0000FF"/>
                  <w:sz w:val="20"/>
                </w:rPr>
                <w:t>37</w:t>
              </w:r>
            </w:hyperlink>
          </w:p>
        </w:tc>
      </w:tr>
      <w:tr>
        <w:trPr>
          <w:trHeight w:val="270" w:hRule="atLeast"/>
        </w:trPr>
        <w:tc>
          <w:tcPr>
            <w:tcW w:w="1066" w:type="dxa"/>
            <w:tcBorders>
              <w:top w:val="single" w:sz="6" w:space="0" w:color="000000"/>
              <w:bottom w:val="single" w:sz="6" w:space="0" w:color="000000"/>
              <w:right w:val="single" w:sz="6" w:space="0" w:color="000000"/>
            </w:tcBorders>
          </w:tcPr>
          <w:p>
            <w:pPr>
              <w:pStyle w:val="TableParagraph"/>
              <w:spacing w:before="17"/>
              <w:ind w:left="69"/>
              <w:rPr>
                <w:rFonts w:ascii="Times New Roman"/>
                <w:i/>
                <w:sz w:val="20"/>
              </w:rPr>
            </w:pPr>
            <w:r>
              <w:rPr>
                <w:rFonts w:ascii="Times New Roman"/>
                <w:i/>
                <w:sz w:val="20"/>
              </w:rPr>
              <w:t>S1BUF</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189" w:right="186"/>
              <w:jc w:val="center"/>
              <w:rPr>
                <w:sz w:val="20"/>
              </w:rPr>
            </w:pPr>
            <w:r>
              <w:rPr>
                <w:sz w:val="20"/>
              </w:rPr>
              <w:t>0x9C</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433"/>
              <w:rPr>
                <w:sz w:val="20"/>
              </w:rPr>
            </w:pPr>
            <w:r>
              <w:rPr>
                <w:sz w:val="20"/>
              </w:rPr>
              <w:t>0x00</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121"/>
              <w:rPr>
                <w:sz w:val="20"/>
              </w:rPr>
            </w:pPr>
            <w:r>
              <w:rPr>
                <w:sz w:val="20"/>
              </w:rPr>
              <w:t>Serial Port 1, Data Buffer</w:t>
            </w:r>
          </w:p>
        </w:tc>
        <w:tc>
          <w:tcPr>
            <w:tcW w:w="944" w:type="dxa"/>
            <w:tcBorders>
              <w:top w:val="single" w:sz="6" w:space="0" w:color="000000"/>
              <w:left w:val="single" w:sz="6" w:space="0" w:color="000000"/>
              <w:bottom w:val="single" w:sz="6" w:space="0" w:color="000000"/>
            </w:tcBorders>
          </w:tcPr>
          <w:p>
            <w:pPr>
              <w:pStyle w:val="TableParagraph"/>
              <w:spacing w:line="230" w:lineRule="exact" w:before="21"/>
              <w:ind w:left="86" w:right="81"/>
              <w:jc w:val="center"/>
              <w:rPr>
                <w:sz w:val="20"/>
              </w:rPr>
            </w:pPr>
            <w:hyperlink w:history="true" w:anchor="_bookmark61">
              <w:r>
                <w:rPr>
                  <w:color w:val="0000FF"/>
                  <w:sz w:val="20"/>
                </w:rPr>
                <w:t>35</w:t>
              </w:r>
            </w:hyperlink>
          </w:p>
        </w:tc>
      </w:tr>
      <w:tr>
        <w:trPr>
          <w:trHeight w:val="270" w:hRule="atLeast"/>
        </w:trPr>
        <w:tc>
          <w:tcPr>
            <w:tcW w:w="1066" w:type="dxa"/>
            <w:tcBorders>
              <w:top w:val="single" w:sz="6" w:space="0" w:color="000000"/>
              <w:bottom w:val="single" w:sz="6" w:space="0" w:color="000000"/>
              <w:right w:val="single" w:sz="6" w:space="0" w:color="000000"/>
            </w:tcBorders>
          </w:tcPr>
          <w:p>
            <w:pPr>
              <w:pStyle w:val="TableParagraph"/>
              <w:spacing w:before="14"/>
              <w:ind w:left="69"/>
              <w:rPr>
                <w:rFonts w:ascii="Times New Roman"/>
                <w:i/>
                <w:sz w:val="20"/>
              </w:rPr>
            </w:pPr>
            <w:r>
              <w:rPr>
                <w:rFonts w:ascii="Times New Roman"/>
                <w:i/>
                <w:sz w:val="20"/>
              </w:rPr>
              <w:t>S1RELL</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18"/>
              <w:ind w:left="189" w:right="186"/>
              <w:jc w:val="center"/>
              <w:rPr>
                <w:sz w:val="20"/>
              </w:rPr>
            </w:pPr>
            <w:r>
              <w:rPr>
                <w:sz w:val="20"/>
              </w:rPr>
              <w:t>0x9D</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before="18"/>
              <w:ind w:left="433"/>
              <w:rPr>
                <w:sz w:val="20"/>
              </w:rPr>
            </w:pPr>
            <w:r>
              <w:rPr>
                <w:sz w:val="20"/>
              </w:rPr>
              <w:t>0x00</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before="18"/>
              <w:ind w:left="121"/>
              <w:rPr>
                <w:sz w:val="20"/>
              </w:rPr>
            </w:pPr>
            <w:r>
              <w:rPr>
                <w:sz w:val="20"/>
              </w:rPr>
              <w:t>Serial Port 1, Reload Register, low byte</w:t>
            </w:r>
          </w:p>
        </w:tc>
        <w:tc>
          <w:tcPr>
            <w:tcW w:w="944" w:type="dxa"/>
            <w:tcBorders>
              <w:top w:val="single" w:sz="6" w:space="0" w:color="000000"/>
              <w:left w:val="single" w:sz="6" w:space="0" w:color="000000"/>
              <w:bottom w:val="single" w:sz="6" w:space="0" w:color="000000"/>
            </w:tcBorders>
          </w:tcPr>
          <w:p>
            <w:pPr>
              <w:pStyle w:val="TableParagraph"/>
              <w:spacing w:before="18"/>
              <w:ind w:left="86" w:right="81"/>
              <w:jc w:val="center"/>
              <w:rPr>
                <w:sz w:val="20"/>
              </w:rPr>
            </w:pPr>
            <w:hyperlink w:history="true" w:anchor="_bookmark61">
              <w:r>
                <w:rPr>
                  <w:color w:val="0000FF"/>
                  <w:sz w:val="20"/>
                </w:rPr>
                <w:t>35</w:t>
              </w:r>
            </w:hyperlink>
          </w:p>
        </w:tc>
      </w:tr>
      <w:tr>
        <w:trPr>
          <w:trHeight w:val="270" w:hRule="atLeast"/>
        </w:trPr>
        <w:tc>
          <w:tcPr>
            <w:tcW w:w="1066" w:type="dxa"/>
            <w:tcBorders>
              <w:top w:val="single" w:sz="6" w:space="0" w:color="000000"/>
              <w:bottom w:val="single" w:sz="6" w:space="0" w:color="000000"/>
              <w:right w:val="single" w:sz="6" w:space="0" w:color="000000"/>
            </w:tcBorders>
          </w:tcPr>
          <w:p>
            <w:pPr>
              <w:pStyle w:val="TableParagraph"/>
              <w:spacing w:before="14"/>
              <w:ind w:left="69"/>
              <w:rPr>
                <w:rFonts w:ascii="Times New Roman"/>
                <w:i/>
                <w:sz w:val="20"/>
              </w:rPr>
            </w:pPr>
            <w:r>
              <w:rPr>
                <w:rFonts w:ascii="Times New Roman"/>
                <w:i/>
                <w:sz w:val="20"/>
              </w:rPr>
              <w:t>P2</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18"/>
              <w:ind w:left="191" w:right="186"/>
              <w:jc w:val="center"/>
              <w:rPr>
                <w:sz w:val="20"/>
              </w:rPr>
            </w:pPr>
            <w:r>
              <w:rPr>
                <w:sz w:val="20"/>
              </w:rPr>
              <w:t>0xA0</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before="18"/>
              <w:ind w:left="423"/>
              <w:rPr>
                <w:sz w:val="20"/>
              </w:rPr>
            </w:pPr>
            <w:r>
              <w:rPr>
                <w:sz w:val="20"/>
              </w:rPr>
              <w:t>0xFF</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before="18"/>
              <w:ind w:left="66"/>
              <w:rPr>
                <w:sz w:val="20"/>
              </w:rPr>
            </w:pPr>
            <w:r>
              <w:rPr>
                <w:sz w:val="20"/>
              </w:rPr>
              <w:t>Port 2</w:t>
            </w:r>
          </w:p>
        </w:tc>
        <w:tc>
          <w:tcPr>
            <w:tcW w:w="944" w:type="dxa"/>
            <w:tcBorders>
              <w:top w:val="single" w:sz="6" w:space="0" w:color="000000"/>
              <w:left w:val="single" w:sz="6" w:space="0" w:color="000000"/>
              <w:bottom w:val="single" w:sz="6" w:space="0" w:color="000000"/>
            </w:tcBorders>
          </w:tcPr>
          <w:p>
            <w:pPr>
              <w:pStyle w:val="TableParagraph"/>
              <w:spacing w:before="18"/>
              <w:ind w:left="86" w:right="81"/>
              <w:jc w:val="center"/>
              <w:rPr>
                <w:sz w:val="20"/>
              </w:rPr>
            </w:pPr>
            <w:hyperlink w:history="true" w:anchor="_bookmark56">
              <w:r>
                <w:rPr>
                  <w:color w:val="0000FF"/>
                  <w:sz w:val="20"/>
                </w:rPr>
                <w:t>35</w:t>
              </w:r>
            </w:hyperlink>
          </w:p>
        </w:tc>
      </w:tr>
      <w:tr>
        <w:trPr>
          <w:trHeight w:val="268" w:hRule="atLeast"/>
        </w:trPr>
        <w:tc>
          <w:tcPr>
            <w:tcW w:w="1066" w:type="dxa"/>
            <w:tcBorders>
              <w:top w:val="single" w:sz="6" w:space="0" w:color="000000"/>
              <w:bottom w:val="single" w:sz="6" w:space="0" w:color="000000"/>
              <w:right w:val="single" w:sz="6" w:space="0" w:color="000000"/>
            </w:tcBorders>
          </w:tcPr>
          <w:p>
            <w:pPr>
              <w:pStyle w:val="TableParagraph"/>
              <w:spacing w:before="14"/>
              <w:ind w:left="69"/>
              <w:rPr>
                <w:rFonts w:ascii="Times New Roman"/>
                <w:i/>
                <w:sz w:val="20"/>
              </w:rPr>
            </w:pPr>
            <w:r>
              <w:rPr>
                <w:rFonts w:ascii="Times New Roman"/>
                <w:i/>
                <w:sz w:val="20"/>
              </w:rPr>
              <w:t>IEN0</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191" w:right="186"/>
              <w:jc w:val="center"/>
              <w:rPr>
                <w:sz w:val="20"/>
              </w:rPr>
            </w:pPr>
            <w:r>
              <w:rPr>
                <w:sz w:val="20"/>
              </w:rPr>
              <w:t>0xA8</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433"/>
              <w:rPr>
                <w:sz w:val="20"/>
              </w:rPr>
            </w:pPr>
            <w:r>
              <w:rPr>
                <w:sz w:val="20"/>
              </w:rPr>
              <w:t>0x00</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121"/>
              <w:rPr>
                <w:sz w:val="20"/>
              </w:rPr>
            </w:pPr>
            <w:r>
              <w:rPr>
                <w:sz w:val="20"/>
              </w:rPr>
              <w:t>Interrupt Enable Register 0</w:t>
            </w:r>
          </w:p>
        </w:tc>
        <w:tc>
          <w:tcPr>
            <w:tcW w:w="944" w:type="dxa"/>
            <w:tcBorders>
              <w:top w:val="single" w:sz="6" w:space="0" w:color="000000"/>
              <w:left w:val="single" w:sz="6" w:space="0" w:color="000000"/>
              <w:bottom w:val="single" w:sz="6" w:space="0" w:color="000000"/>
            </w:tcBorders>
          </w:tcPr>
          <w:p>
            <w:pPr>
              <w:pStyle w:val="TableParagraph"/>
              <w:spacing w:line="230" w:lineRule="exact" w:before="18"/>
              <w:ind w:left="86" w:right="81"/>
              <w:jc w:val="center"/>
              <w:rPr>
                <w:sz w:val="20"/>
              </w:rPr>
            </w:pPr>
            <w:hyperlink w:history="true" w:anchor="_bookmark76">
              <w:r>
                <w:rPr>
                  <w:color w:val="0000FF"/>
                  <w:sz w:val="20"/>
                </w:rPr>
                <w:t>40</w:t>
              </w:r>
            </w:hyperlink>
          </w:p>
        </w:tc>
      </w:tr>
      <w:tr>
        <w:trPr>
          <w:trHeight w:val="270" w:hRule="atLeast"/>
        </w:trPr>
        <w:tc>
          <w:tcPr>
            <w:tcW w:w="1066" w:type="dxa"/>
            <w:tcBorders>
              <w:top w:val="single" w:sz="6" w:space="0" w:color="000000"/>
              <w:bottom w:val="single" w:sz="6" w:space="0" w:color="000000"/>
              <w:right w:val="single" w:sz="6" w:space="0" w:color="000000"/>
            </w:tcBorders>
          </w:tcPr>
          <w:p>
            <w:pPr>
              <w:pStyle w:val="TableParagraph"/>
              <w:spacing w:before="17"/>
              <w:ind w:left="69"/>
              <w:rPr>
                <w:rFonts w:ascii="Times New Roman"/>
                <w:i/>
                <w:sz w:val="20"/>
              </w:rPr>
            </w:pPr>
            <w:r>
              <w:rPr>
                <w:rFonts w:ascii="Times New Roman"/>
                <w:i/>
                <w:sz w:val="20"/>
              </w:rPr>
              <w:t>IP0</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191" w:right="186"/>
              <w:jc w:val="center"/>
              <w:rPr>
                <w:sz w:val="20"/>
              </w:rPr>
            </w:pPr>
            <w:r>
              <w:rPr>
                <w:sz w:val="20"/>
              </w:rPr>
              <w:t>0xA9</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433"/>
              <w:rPr>
                <w:sz w:val="20"/>
              </w:rPr>
            </w:pPr>
            <w:r>
              <w:rPr>
                <w:sz w:val="20"/>
              </w:rPr>
              <w:t>0x00</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121"/>
              <w:rPr>
                <w:sz w:val="20"/>
              </w:rPr>
            </w:pPr>
            <w:r>
              <w:rPr>
                <w:sz w:val="20"/>
              </w:rPr>
              <w:t>Interrupt Priority Register 0</w:t>
            </w:r>
          </w:p>
        </w:tc>
        <w:tc>
          <w:tcPr>
            <w:tcW w:w="944" w:type="dxa"/>
            <w:tcBorders>
              <w:top w:val="single" w:sz="6" w:space="0" w:color="000000"/>
              <w:left w:val="single" w:sz="6" w:space="0" w:color="000000"/>
              <w:bottom w:val="single" w:sz="6" w:space="0" w:color="000000"/>
            </w:tcBorders>
          </w:tcPr>
          <w:p>
            <w:pPr>
              <w:pStyle w:val="TableParagraph"/>
              <w:spacing w:line="230" w:lineRule="exact" w:before="21"/>
              <w:ind w:left="86" w:right="81"/>
              <w:jc w:val="center"/>
              <w:rPr>
                <w:sz w:val="20"/>
              </w:rPr>
            </w:pPr>
            <w:hyperlink w:history="true" w:anchor="_bookmark86">
              <w:r>
                <w:rPr>
                  <w:color w:val="0000FF"/>
                  <w:sz w:val="20"/>
                </w:rPr>
                <w:t>43</w:t>
              </w:r>
            </w:hyperlink>
          </w:p>
        </w:tc>
      </w:tr>
      <w:tr>
        <w:trPr>
          <w:trHeight w:val="270" w:hRule="atLeast"/>
        </w:trPr>
        <w:tc>
          <w:tcPr>
            <w:tcW w:w="1066" w:type="dxa"/>
            <w:tcBorders>
              <w:top w:val="single" w:sz="6" w:space="0" w:color="000000"/>
              <w:bottom w:val="single" w:sz="6" w:space="0" w:color="000000"/>
              <w:right w:val="single" w:sz="6" w:space="0" w:color="000000"/>
            </w:tcBorders>
          </w:tcPr>
          <w:p>
            <w:pPr>
              <w:pStyle w:val="TableParagraph"/>
              <w:spacing w:before="14"/>
              <w:ind w:left="69"/>
              <w:rPr>
                <w:rFonts w:ascii="Times New Roman"/>
                <w:i/>
                <w:sz w:val="20"/>
              </w:rPr>
            </w:pPr>
            <w:r>
              <w:rPr>
                <w:rFonts w:ascii="Times New Roman"/>
                <w:i/>
                <w:sz w:val="20"/>
              </w:rPr>
              <w:t>S0RELL</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18"/>
              <w:ind w:left="189" w:right="186"/>
              <w:jc w:val="center"/>
              <w:rPr>
                <w:sz w:val="20"/>
              </w:rPr>
            </w:pPr>
            <w:r>
              <w:rPr>
                <w:sz w:val="20"/>
              </w:rPr>
              <w:t>0xAA</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before="18"/>
              <w:ind w:left="416"/>
              <w:rPr>
                <w:sz w:val="20"/>
              </w:rPr>
            </w:pPr>
            <w:r>
              <w:rPr>
                <w:sz w:val="20"/>
              </w:rPr>
              <w:t>0xD9</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before="18"/>
              <w:ind w:left="121"/>
              <w:rPr>
                <w:sz w:val="20"/>
              </w:rPr>
            </w:pPr>
            <w:r>
              <w:rPr>
                <w:sz w:val="20"/>
              </w:rPr>
              <w:t>Serial Port 0, Reload Register, low byte</w:t>
            </w:r>
          </w:p>
        </w:tc>
        <w:tc>
          <w:tcPr>
            <w:tcW w:w="944" w:type="dxa"/>
            <w:tcBorders>
              <w:top w:val="single" w:sz="6" w:space="0" w:color="000000"/>
              <w:left w:val="single" w:sz="6" w:space="0" w:color="000000"/>
              <w:bottom w:val="single" w:sz="6" w:space="0" w:color="000000"/>
            </w:tcBorders>
          </w:tcPr>
          <w:p>
            <w:pPr>
              <w:pStyle w:val="TableParagraph"/>
              <w:spacing w:before="18"/>
              <w:ind w:left="86" w:right="81"/>
              <w:jc w:val="center"/>
              <w:rPr>
                <w:sz w:val="20"/>
              </w:rPr>
            </w:pPr>
            <w:hyperlink w:history="true" w:anchor="_bookmark61">
              <w:r>
                <w:rPr>
                  <w:color w:val="0000FF"/>
                  <w:sz w:val="20"/>
                </w:rPr>
                <w:t>35</w:t>
              </w:r>
            </w:hyperlink>
          </w:p>
        </w:tc>
      </w:tr>
      <w:tr>
        <w:trPr>
          <w:trHeight w:val="270" w:hRule="atLeast"/>
        </w:trPr>
        <w:tc>
          <w:tcPr>
            <w:tcW w:w="1066" w:type="dxa"/>
            <w:tcBorders>
              <w:top w:val="single" w:sz="6" w:space="0" w:color="000000"/>
              <w:bottom w:val="single" w:sz="6" w:space="0" w:color="000000"/>
              <w:right w:val="single" w:sz="6" w:space="0" w:color="000000"/>
            </w:tcBorders>
          </w:tcPr>
          <w:p>
            <w:pPr>
              <w:pStyle w:val="TableParagraph"/>
              <w:spacing w:before="14"/>
              <w:ind w:left="69"/>
              <w:rPr>
                <w:rFonts w:ascii="Times New Roman"/>
                <w:i/>
                <w:sz w:val="20"/>
              </w:rPr>
            </w:pPr>
            <w:r>
              <w:rPr>
                <w:rFonts w:ascii="Times New Roman"/>
                <w:i/>
                <w:sz w:val="20"/>
              </w:rPr>
              <w:t>P3</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18"/>
              <w:ind w:left="191" w:right="186"/>
              <w:jc w:val="center"/>
              <w:rPr>
                <w:sz w:val="20"/>
              </w:rPr>
            </w:pPr>
            <w:r>
              <w:rPr>
                <w:sz w:val="20"/>
              </w:rPr>
              <w:t>0xB0</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before="18"/>
              <w:ind w:left="423"/>
              <w:rPr>
                <w:sz w:val="20"/>
              </w:rPr>
            </w:pPr>
            <w:r>
              <w:rPr>
                <w:sz w:val="20"/>
              </w:rPr>
              <w:t>0xFF</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before="18"/>
              <w:ind w:left="66"/>
              <w:rPr>
                <w:sz w:val="20"/>
              </w:rPr>
            </w:pPr>
            <w:r>
              <w:rPr>
                <w:sz w:val="20"/>
              </w:rPr>
              <w:t>Port 3</w:t>
            </w:r>
          </w:p>
        </w:tc>
        <w:tc>
          <w:tcPr>
            <w:tcW w:w="944" w:type="dxa"/>
            <w:tcBorders>
              <w:top w:val="single" w:sz="6" w:space="0" w:color="000000"/>
              <w:left w:val="single" w:sz="6" w:space="0" w:color="000000"/>
              <w:bottom w:val="single" w:sz="6" w:space="0" w:color="000000"/>
            </w:tcBorders>
          </w:tcPr>
          <w:p>
            <w:pPr>
              <w:pStyle w:val="TableParagraph"/>
              <w:spacing w:before="18"/>
              <w:ind w:left="86" w:right="81"/>
              <w:jc w:val="center"/>
              <w:rPr>
                <w:sz w:val="20"/>
              </w:rPr>
            </w:pPr>
            <w:hyperlink w:history="true" w:anchor="_bookmark56">
              <w:r>
                <w:rPr>
                  <w:color w:val="0000FF"/>
                  <w:sz w:val="20"/>
                </w:rPr>
                <w:t>35</w:t>
              </w:r>
            </w:hyperlink>
          </w:p>
        </w:tc>
      </w:tr>
      <w:tr>
        <w:trPr>
          <w:trHeight w:val="268" w:hRule="atLeast"/>
        </w:trPr>
        <w:tc>
          <w:tcPr>
            <w:tcW w:w="1066" w:type="dxa"/>
            <w:tcBorders>
              <w:top w:val="single" w:sz="6" w:space="0" w:color="000000"/>
              <w:bottom w:val="single" w:sz="6" w:space="0" w:color="000000"/>
              <w:right w:val="single" w:sz="6" w:space="0" w:color="000000"/>
            </w:tcBorders>
          </w:tcPr>
          <w:p>
            <w:pPr>
              <w:pStyle w:val="TableParagraph"/>
              <w:spacing w:before="14"/>
              <w:ind w:left="69"/>
              <w:rPr>
                <w:rFonts w:ascii="Times New Roman"/>
                <w:i/>
                <w:sz w:val="20"/>
              </w:rPr>
            </w:pPr>
            <w:r>
              <w:rPr>
                <w:rFonts w:ascii="Times New Roman"/>
                <w:i/>
                <w:sz w:val="20"/>
              </w:rPr>
              <w:t>IEN1</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191" w:right="186"/>
              <w:jc w:val="center"/>
              <w:rPr>
                <w:sz w:val="20"/>
              </w:rPr>
            </w:pPr>
            <w:r>
              <w:rPr>
                <w:sz w:val="20"/>
              </w:rPr>
              <w:t>0xB8</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433"/>
              <w:rPr>
                <w:sz w:val="20"/>
              </w:rPr>
            </w:pPr>
            <w:r>
              <w:rPr>
                <w:sz w:val="20"/>
              </w:rPr>
              <w:t>0x00</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121"/>
              <w:rPr>
                <w:sz w:val="20"/>
              </w:rPr>
            </w:pPr>
            <w:r>
              <w:rPr>
                <w:sz w:val="20"/>
              </w:rPr>
              <w:t>Interrupt Enable Register 1</w:t>
            </w:r>
          </w:p>
        </w:tc>
        <w:tc>
          <w:tcPr>
            <w:tcW w:w="944" w:type="dxa"/>
            <w:tcBorders>
              <w:top w:val="single" w:sz="6" w:space="0" w:color="000000"/>
              <w:left w:val="single" w:sz="6" w:space="0" w:color="000000"/>
              <w:bottom w:val="single" w:sz="6" w:space="0" w:color="000000"/>
            </w:tcBorders>
          </w:tcPr>
          <w:p>
            <w:pPr>
              <w:pStyle w:val="TableParagraph"/>
              <w:spacing w:line="230" w:lineRule="exact" w:before="18"/>
              <w:ind w:left="86" w:right="81"/>
              <w:jc w:val="center"/>
              <w:rPr>
                <w:sz w:val="20"/>
              </w:rPr>
            </w:pPr>
            <w:hyperlink w:history="true" w:anchor="_bookmark78">
              <w:r>
                <w:rPr>
                  <w:color w:val="0000FF"/>
                  <w:sz w:val="20"/>
                </w:rPr>
                <w:t>40</w:t>
              </w:r>
            </w:hyperlink>
          </w:p>
        </w:tc>
      </w:tr>
      <w:tr>
        <w:trPr>
          <w:trHeight w:val="270" w:hRule="atLeast"/>
        </w:trPr>
        <w:tc>
          <w:tcPr>
            <w:tcW w:w="1066" w:type="dxa"/>
            <w:tcBorders>
              <w:top w:val="single" w:sz="6" w:space="0" w:color="000000"/>
              <w:bottom w:val="single" w:sz="6" w:space="0" w:color="000000"/>
              <w:right w:val="single" w:sz="6" w:space="0" w:color="000000"/>
            </w:tcBorders>
          </w:tcPr>
          <w:p>
            <w:pPr>
              <w:pStyle w:val="TableParagraph"/>
              <w:spacing w:before="17"/>
              <w:ind w:left="69"/>
              <w:rPr>
                <w:rFonts w:ascii="Times New Roman"/>
                <w:i/>
                <w:sz w:val="20"/>
              </w:rPr>
            </w:pPr>
            <w:r>
              <w:rPr>
                <w:rFonts w:ascii="Times New Roman"/>
                <w:i/>
                <w:sz w:val="20"/>
              </w:rPr>
              <w:t>IP1</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191" w:right="186"/>
              <w:jc w:val="center"/>
              <w:rPr>
                <w:sz w:val="20"/>
              </w:rPr>
            </w:pPr>
            <w:r>
              <w:rPr>
                <w:sz w:val="20"/>
              </w:rPr>
              <w:t>0xB9</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433"/>
              <w:rPr>
                <w:sz w:val="20"/>
              </w:rPr>
            </w:pPr>
            <w:r>
              <w:rPr>
                <w:sz w:val="20"/>
              </w:rPr>
              <w:t>0x00</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121"/>
              <w:rPr>
                <w:sz w:val="20"/>
              </w:rPr>
            </w:pPr>
            <w:r>
              <w:rPr>
                <w:sz w:val="20"/>
              </w:rPr>
              <w:t>Interrupt Priority Register 1</w:t>
            </w:r>
          </w:p>
        </w:tc>
        <w:tc>
          <w:tcPr>
            <w:tcW w:w="944" w:type="dxa"/>
            <w:tcBorders>
              <w:top w:val="single" w:sz="6" w:space="0" w:color="000000"/>
              <w:left w:val="single" w:sz="6" w:space="0" w:color="000000"/>
              <w:bottom w:val="single" w:sz="6" w:space="0" w:color="000000"/>
            </w:tcBorders>
          </w:tcPr>
          <w:p>
            <w:pPr>
              <w:pStyle w:val="TableParagraph"/>
              <w:spacing w:line="230" w:lineRule="exact" w:before="21"/>
              <w:ind w:left="86" w:right="81"/>
              <w:jc w:val="center"/>
              <w:rPr>
                <w:sz w:val="20"/>
              </w:rPr>
            </w:pPr>
            <w:hyperlink w:history="true" w:anchor="_bookmark86">
              <w:r>
                <w:rPr>
                  <w:color w:val="0000FF"/>
                  <w:sz w:val="20"/>
                </w:rPr>
                <w:t>43</w:t>
              </w:r>
            </w:hyperlink>
          </w:p>
        </w:tc>
      </w:tr>
      <w:tr>
        <w:trPr>
          <w:trHeight w:val="270" w:hRule="atLeast"/>
        </w:trPr>
        <w:tc>
          <w:tcPr>
            <w:tcW w:w="1066" w:type="dxa"/>
            <w:tcBorders>
              <w:top w:val="single" w:sz="6" w:space="0" w:color="000000"/>
              <w:bottom w:val="single" w:sz="6" w:space="0" w:color="000000"/>
              <w:right w:val="single" w:sz="6" w:space="0" w:color="000000"/>
            </w:tcBorders>
          </w:tcPr>
          <w:p>
            <w:pPr>
              <w:pStyle w:val="TableParagraph"/>
              <w:spacing w:before="14"/>
              <w:ind w:left="69"/>
              <w:rPr>
                <w:rFonts w:ascii="Times New Roman"/>
                <w:i/>
                <w:sz w:val="20"/>
              </w:rPr>
            </w:pPr>
            <w:r>
              <w:rPr>
                <w:rFonts w:ascii="Times New Roman"/>
                <w:i/>
                <w:sz w:val="20"/>
              </w:rPr>
              <w:t>S0RELH</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18"/>
              <w:ind w:left="189" w:right="186"/>
              <w:jc w:val="center"/>
              <w:rPr>
                <w:sz w:val="20"/>
              </w:rPr>
            </w:pPr>
            <w:r>
              <w:rPr>
                <w:sz w:val="20"/>
              </w:rPr>
              <w:t>0xBA</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before="18"/>
              <w:ind w:left="433"/>
              <w:rPr>
                <w:sz w:val="20"/>
              </w:rPr>
            </w:pPr>
            <w:r>
              <w:rPr>
                <w:sz w:val="20"/>
              </w:rPr>
              <w:t>0x03</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before="18"/>
              <w:ind w:left="121"/>
              <w:rPr>
                <w:sz w:val="20"/>
              </w:rPr>
            </w:pPr>
            <w:r>
              <w:rPr>
                <w:sz w:val="20"/>
              </w:rPr>
              <w:t>Serial Port 0, Reload Register, high byte</w:t>
            </w:r>
          </w:p>
        </w:tc>
        <w:tc>
          <w:tcPr>
            <w:tcW w:w="944" w:type="dxa"/>
            <w:tcBorders>
              <w:top w:val="single" w:sz="6" w:space="0" w:color="000000"/>
              <w:left w:val="single" w:sz="6" w:space="0" w:color="000000"/>
              <w:bottom w:val="single" w:sz="6" w:space="0" w:color="000000"/>
            </w:tcBorders>
          </w:tcPr>
          <w:p>
            <w:pPr>
              <w:pStyle w:val="TableParagraph"/>
              <w:spacing w:before="18"/>
              <w:ind w:left="86" w:right="81"/>
              <w:jc w:val="center"/>
              <w:rPr>
                <w:sz w:val="20"/>
              </w:rPr>
            </w:pPr>
            <w:hyperlink w:history="true" w:anchor="_bookmark61">
              <w:r>
                <w:rPr>
                  <w:color w:val="0000FF"/>
                  <w:sz w:val="20"/>
                </w:rPr>
                <w:t>35</w:t>
              </w:r>
            </w:hyperlink>
          </w:p>
        </w:tc>
      </w:tr>
      <w:tr>
        <w:trPr>
          <w:trHeight w:val="270" w:hRule="atLeast"/>
        </w:trPr>
        <w:tc>
          <w:tcPr>
            <w:tcW w:w="1066" w:type="dxa"/>
            <w:tcBorders>
              <w:top w:val="single" w:sz="6" w:space="0" w:color="000000"/>
              <w:bottom w:val="single" w:sz="6" w:space="0" w:color="000000"/>
              <w:right w:val="single" w:sz="6" w:space="0" w:color="000000"/>
            </w:tcBorders>
          </w:tcPr>
          <w:p>
            <w:pPr>
              <w:pStyle w:val="TableParagraph"/>
              <w:spacing w:before="14"/>
              <w:ind w:left="69"/>
              <w:rPr>
                <w:rFonts w:ascii="Times New Roman"/>
                <w:i/>
                <w:sz w:val="20"/>
              </w:rPr>
            </w:pPr>
            <w:r>
              <w:rPr>
                <w:rFonts w:ascii="Times New Roman"/>
                <w:i/>
                <w:sz w:val="20"/>
              </w:rPr>
              <w:t>S1RELH</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18"/>
              <w:ind w:left="189" w:right="186"/>
              <w:jc w:val="center"/>
              <w:rPr>
                <w:sz w:val="20"/>
              </w:rPr>
            </w:pPr>
            <w:r>
              <w:rPr>
                <w:sz w:val="20"/>
              </w:rPr>
              <w:t>0xBB</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before="18"/>
              <w:ind w:left="433"/>
              <w:rPr>
                <w:sz w:val="20"/>
              </w:rPr>
            </w:pPr>
            <w:r>
              <w:rPr>
                <w:sz w:val="20"/>
              </w:rPr>
              <w:t>0x03</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before="18"/>
              <w:ind w:left="121"/>
              <w:rPr>
                <w:sz w:val="20"/>
              </w:rPr>
            </w:pPr>
            <w:r>
              <w:rPr>
                <w:sz w:val="20"/>
              </w:rPr>
              <w:t>Serial Port 1, Reload Register, high byte</w:t>
            </w:r>
          </w:p>
        </w:tc>
        <w:tc>
          <w:tcPr>
            <w:tcW w:w="944" w:type="dxa"/>
            <w:tcBorders>
              <w:top w:val="single" w:sz="6" w:space="0" w:color="000000"/>
              <w:left w:val="single" w:sz="6" w:space="0" w:color="000000"/>
              <w:bottom w:val="single" w:sz="6" w:space="0" w:color="000000"/>
            </w:tcBorders>
          </w:tcPr>
          <w:p>
            <w:pPr>
              <w:pStyle w:val="TableParagraph"/>
              <w:spacing w:before="18"/>
              <w:ind w:left="86" w:right="81"/>
              <w:jc w:val="center"/>
              <w:rPr>
                <w:sz w:val="20"/>
              </w:rPr>
            </w:pPr>
            <w:hyperlink w:history="true" w:anchor="_bookmark61">
              <w:r>
                <w:rPr>
                  <w:color w:val="0000FF"/>
                  <w:sz w:val="20"/>
                </w:rPr>
                <w:t>35</w:t>
              </w:r>
            </w:hyperlink>
          </w:p>
        </w:tc>
      </w:tr>
      <w:tr>
        <w:trPr>
          <w:trHeight w:val="268" w:hRule="atLeast"/>
        </w:trPr>
        <w:tc>
          <w:tcPr>
            <w:tcW w:w="1066" w:type="dxa"/>
            <w:tcBorders>
              <w:top w:val="single" w:sz="6" w:space="0" w:color="000000"/>
              <w:bottom w:val="single" w:sz="6" w:space="0" w:color="000000"/>
              <w:right w:val="single" w:sz="6" w:space="0" w:color="000000"/>
            </w:tcBorders>
          </w:tcPr>
          <w:p>
            <w:pPr>
              <w:pStyle w:val="TableParagraph"/>
              <w:spacing w:before="14"/>
              <w:ind w:left="69"/>
              <w:rPr>
                <w:rFonts w:ascii="Times New Roman"/>
                <w:i/>
                <w:sz w:val="20"/>
              </w:rPr>
            </w:pPr>
            <w:r>
              <w:rPr>
                <w:rFonts w:ascii="Times New Roman"/>
                <w:i/>
                <w:sz w:val="20"/>
              </w:rPr>
              <w:t>PDATA</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188" w:right="186"/>
              <w:jc w:val="center"/>
              <w:rPr>
                <w:sz w:val="20"/>
              </w:rPr>
            </w:pPr>
            <w:r>
              <w:rPr>
                <w:sz w:val="20"/>
              </w:rPr>
              <w:t>0xBF</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433"/>
              <w:rPr>
                <w:sz w:val="20"/>
              </w:rPr>
            </w:pPr>
            <w:r>
              <w:rPr>
                <w:sz w:val="20"/>
              </w:rPr>
              <w:t>0x00</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before="16"/>
              <w:ind w:left="121"/>
              <w:rPr>
                <w:i/>
                <w:sz w:val="20"/>
              </w:rPr>
            </w:pPr>
            <w:r>
              <w:rPr>
                <w:sz w:val="20"/>
              </w:rPr>
              <w:t>High address byte for MOVX@Ri - also called </w:t>
            </w:r>
            <w:r>
              <w:rPr>
                <w:i/>
                <w:sz w:val="20"/>
              </w:rPr>
              <w:t>USR2</w:t>
            </w:r>
          </w:p>
        </w:tc>
        <w:tc>
          <w:tcPr>
            <w:tcW w:w="944" w:type="dxa"/>
            <w:tcBorders>
              <w:top w:val="single" w:sz="6" w:space="0" w:color="000000"/>
              <w:left w:val="single" w:sz="6" w:space="0" w:color="000000"/>
              <w:bottom w:val="single" w:sz="6" w:space="0" w:color="000000"/>
            </w:tcBorders>
          </w:tcPr>
          <w:p>
            <w:pPr>
              <w:pStyle w:val="TableParagraph"/>
              <w:spacing w:line="230" w:lineRule="exact" w:before="18"/>
              <w:ind w:left="86" w:right="81"/>
              <w:jc w:val="center"/>
              <w:rPr>
                <w:sz w:val="20"/>
              </w:rPr>
            </w:pPr>
            <w:hyperlink w:history="true" w:anchor="_bookmark44">
              <w:r>
                <w:rPr>
                  <w:color w:val="0000FF"/>
                  <w:sz w:val="20"/>
                </w:rPr>
                <w:t>31</w:t>
              </w:r>
            </w:hyperlink>
          </w:p>
        </w:tc>
      </w:tr>
      <w:tr>
        <w:trPr>
          <w:trHeight w:val="270" w:hRule="atLeast"/>
        </w:trPr>
        <w:tc>
          <w:tcPr>
            <w:tcW w:w="1066" w:type="dxa"/>
            <w:tcBorders>
              <w:top w:val="single" w:sz="6" w:space="0" w:color="000000"/>
              <w:bottom w:val="single" w:sz="6" w:space="0" w:color="000000"/>
              <w:right w:val="single" w:sz="6" w:space="0" w:color="000000"/>
            </w:tcBorders>
          </w:tcPr>
          <w:p>
            <w:pPr>
              <w:pStyle w:val="TableParagraph"/>
              <w:spacing w:before="17"/>
              <w:ind w:left="69"/>
              <w:rPr>
                <w:rFonts w:ascii="Times New Roman"/>
                <w:i/>
                <w:sz w:val="20"/>
              </w:rPr>
            </w:pPr>
            <w:r>
              <w:rPr>
                <w:rFonts w:ascii="Times New Roman"/>
                <w:i/>
                <w:sz w:val="20"/>
              </w:rPr>
              <w:t>IRCON</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190" w:right="186"/>
              <w:jc w:val="center"/>
              <w:rPr>
                <w:sz w:val="20"/>
              </w:rPr>
            </w:pPr>
            <w:r>
              <w:rPr>
                <w:sz w:val="20"/>
              </w:rPr>
              <w:t>0xC0</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433"/>
              <w:rPr>
                <w:sz w:val="20"/>
              </w:rPr>
            </w:pPr>
            <w:r>
              <w:rPr>
                <w:sz w:val="20"/>
              </w:rPr>
              <w:t>0x00</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121"/>
              <w:rPr>
                <w:sz w:val="20"/>
              </w:rPr>
            </w:pPr>
            <w:r>
              <w:rPr>
                <w:sz w:val="20"/>
              </w:rPr>
              <w:t>Interrupt Request Control Register</w:t>
            </w:r>
          </w:p>
        </w:tc>
        <w:tc>
          <w:tcPr>
            <w:tcW w:w="944" w:type="dxa"/>
            <w:tcBorders>
              <w:top w:val="single" w:sz="6" w:space="0" w:color="000000"/>
              <w:left w:val="single" w:sz="6" w:space="0" w:color="000000"/>
              <w:bottom w:val="single" w:sz="6" w:space="0" w:color="000000"/>
            </w:tcBorders>
          </w:tcPr>
          <w:p>
            <w:pPr>
              <w:pStyle w:val="TableParagraph"/>
              <w:spacing w:line="230" w:lineRule="exact" w:before="21"/>
              <w:ind w:left="86" w:right="81"/>
              <w:jc w:val="center"/>
              <w:rPr>
                <w:sz w:val="20"/>
              </w:rPr>
            </w:pPr>
            <w:hyperlink w:history="true" w:anchor="_bookmark83">
              <w:r>
                <w:rPr>
                  <w:color w:val="0000FF"/>
                  <w:sz w:val="20"/>
                </w:rPr>
                <w:t>41</w:t>
              </w:r>
            </w:hyperlink>
          </w:p>
        </w:tc>
      </w:tr>
      <w:tr>
        <w:trPr>
          <w:trHeight w:val="270" w:hRule="atLeast"/>
        </w:trPr>
        <w:tc>
          <w:tcPr>
            <w:tcW w:w="1066" w:type="dxa"/>
            <w:tcBorders>
              <w:top w:val="single" w:sz="6" w:space="0" w:color="000000"/>
              <w:bottom w:val="single" w:sz="6" w:space="0" w:color="000000"/>
              <w:right w:val="single" w:sz="6" w:space="0" w:color="000000"/>
            </w:tcBorders>
          </w:tcPr>
          <w:p>
            <w:pPr>
              <w:pStyle w:val="TableParagraph"/>
              <w:spacing w:before="14"/>
              <w:ind w:left="69"/>
              <w:rPr>
                <w:rFonts w:ascii="Times New Roman"/>
                <w:i/>
                <w:sz w:val="20"/>
              </w:rPr>
            </w:pPr>
            <w:r>
              <w:rPr>
                <w:rFonts w:ascii="Times New Roman"/>
                <w:i/>
                <w:sz w:val="20"/>
              </w:rPr>
              <w:t>T2CON</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18"/>
              <w:ind w:left="190" w:right="186"/>
              <w:jc w:val="center"/>
              <w:rPr>
                <w:sz w:val="20"/>
              </w:rPr>
            </w:pPr>
            <w:r>
              <w:rPr>
                <w:sz w:val="20"/>
              </w:rPr>
              <w:t>0xC8</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before="18"/>
              <w:ind w:left="433"/>
              <w:rPr>
                <w:sz w:val="20"/>
              </w:rPr>
            </w:pPr>
            <w:r>
              <w:rPr>
                <w:sz w:val="20"/>
              </w:rPr>
              <w:t>0x00</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before="18"/>
              <w:ind w:left="121"/>
              <w:rPr>
                <w:sz w:val="20"/>
              </w:rPr>
            </w:pPr>
            <w:r>
              <w:rPr>
                <w:sz w:val="20"/>
              </w:rPr>
              <w:t>Polarity for INT2 and INT3</w:t>
            </w:r>
          </w:p>
        </w:tc>
        <w:tc>
          <w:tcPr>
            <w:tcW w:w="944" w:type="dxa"/>
            <w:tcBorders>
              <w:top w:val="single" w:sz="6" w:space="0" w:color="000000"/>
              <w:left w:val="single" w:sz="6" w:space="0" w:color="000000"/>
              <w:bottom w:val="single" w:sz="6" w:space="0" w:color="000000"/>
            </w:tcBorders>
          </w:tcPr>
          <w:p>
            <w:pPr>
              <w:pStyle w:val="TableParagraph"/>
              <w:spacing w:before="18"/>
              <w:ind w:left="86" w:right="81"/>
              <w:jc w:val="center"/>
              <w:rPr>
                <w:sz w:val="20"/>
              </w:rPr>
            </w:pPr>
            <w:hyperlink w:history="true" w:anchor="_bookmark81">
              <w:r>
                <w:rPr>
                  <w:color w:val="0000FF"/>
                  <w:sz w:val="20"/>
                </w:rPr>
                <w:t>41</w:t>
              </w:r>
            </w:hyperlink>
          </w:p>
        </w:tc>
      </w:tr>
      <w:tr>
        <w:trPr>
          <w:trHeight w:val="270" w:hRule="atLeast"/>
        </w:trPr>
        <w:tc>
          <w:tcPr>
            <w:tcW w:w="1066" w:type="dxa"/>
            <w:tcBorders>
              <w:top w:val="single" w:sz="6" w:space="0" w:color="000000"/>
              <w:bottom w:val="single" w:sz="6" w:space="0" w:color="000000"/>
              <w:right w:val="single" w:sz="6" w:space="0" w:color="000000"/>
            </w:tcBorders>
          </w:tcPr>
          <w:p>
            <w:pPr>
              <w:pStyle w:val="TableParagraph"/>
              <w:spacing w:before="14"/>
              <w:ind w:left="69"/>
              <w:rPr>
                <w:rFonts w:ascii="Times New Roman"/>
                <w:i/>
                <w:sz w:val="20"/>
              </w:rPr>
            </w:pPr>
            <w:r>
              <w:rPr>
                <w:rFonts w:ascii="Times New Roman"/>
                <w:i/>
                <w:sz w:val="20"/>
              </w:rPr>
              <w:t>PSW</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18"/>
              <w:ind w:left="190" w:right="186"/>
              <w:jc w:val="center"/>
              <w:rPr>
                <w:sz w:val="20"/>
              </w:rPr>
            </w:pPr>
            <w:r>
              <w:rPr>
                <w:sz w:val="20"/>
              </w:rPr>
              <w:t>0xD0</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before="18"/>
              <w:ind w:left="433"/>
              <w:rPr>
                <w:sz w:val="20"/>
              </w:rPr>
            </w:pPr>
            <w:r>
              <w:rPr>
                <w:sz w:val="20"/>
              </w:rPr>
              <w:t>0x00</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before="18"/>
              <w:ind w:left="121"/>
              <w:rPr>
                <w:sz w:val="20"/>
              </w:rPr>
            </w:pPr>
            <w:r>
              <w:rPr>
                <w:sz w:val="20"/>
              </w:rPr>
              <w:t>Program Status Word</w:t>
            </w:r>
          </w:p>
        </w:tc>
        <w:tc>
          <w:tcPr>
            <w:tcW w:w="944" w:type="dxa"/>
            <w:tcBorders>
              <w:top w:val="single" w:sz="6" w:space="0" w:color="000000"/>
              <w:left w:val="single" w:sz="6" w:space="0" w:color="000000"/>
              <w:bottom w:val="single" w:sz="6" w:space="0" w:color="000000"/>
            </w:tcBorders>
          </w:tcPr>
          <w:p>
            <w:pPr>
              <w:pStyle w:val="TableParagraph"/>
              <w:spacing w:before="18"/>
              <w:ind w:left="86" w:right="81"/>
              <w:jc w:val="center"/>
              <w:rPr>
                <w:sz w:val="20"/>
              </w:rPr>
            </w:pPr>
            <w:hyperlink w:history="true" w:anchor="_bookmark53">
              <w:r>
                <w:rPr>
                  <w:color w:val="0000FF"/>
                  <w:sz w:val="20"/>
                </w:rPr>
                <w:t>34</w:t>
              </w:r>
            </w:hyperlink>
          </w:p>
        </w:tc>
      </w:tr>
      <w:tr>
        <w:trPr>
          <w:trHeight w:val="268" w:hRule="atLeast"/>
        </w:trPr>
        <w:tc>
          <w:tcPr>
            <w:tcW w:w="1066" w:type="dxa"/>
            <w:tcBorders>
              <w:top w:val="single" w:sz="6" w:space="0" w:color="000000"/>
              <w:bottom w:val="single" w:sz="6" w:space="0" w:color="000000"/>
              <w:right w:val="single" w:sz="6" w:space="0" w:color="000000"/>
            </w:tcBorders>
          </w:tcPr>
          <w:p>
            <w:pPr>
              <w:pStyle w:val="TableParagraph"/>
              <w:spacing w:before="14"/>
              <w:ind w:left="69"/>
              <w:rPr>
                <w:rFonts w:ascii="Times New Roman"/>
                <w:i/>
                <w:sz w:val="20"/>
              </w:rPr>
            </w:pPr>
            <w:r>
              <w:rPr>
                <w:rFonts w:ascii="Times New Roman"/>
                <w:i/>
                <w:sz w:val="20"/>
              </w:rPr>
              <w:t>WDCON</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190" w:right="186"/>
              <w:jc w:val="center"/>
              <w:rPr>
                <w:sz w:val="20"/>
              </w:rPr>
            </w:pPr>
            <w:r>
              <w:rPr>
                <w:sz w:val="20"/>
              </w:rPr>
              <w:t>0xD8</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433"/>
              <w:rPr>
                <w:sz w:val="20"/>
              </w:rPr>
            </w:pPr>
            <w:r>
              <w:rPr>
                <w:sz w:val="20"/>
              </w:rPr>
              <w:t>0x00</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121"/>
              <w:rPr>
                <w:sz w:val="20"/>
              </w:rPr>
            </w:pPr>
            <w:r>
              <w:rPr>
                <w:sz w:val="20"/>
              </w:rPr>
              <w:t>Baud Rate Control Register (only WDCON[7] bit used)</w:t>
            </w:r>
          </w:p>
        </w:tc>
        <w:tc>
          <w:tcPr>
            <w:tcW w:w="944" w:type="dxa"/>
            <w:tcBorders>
              <w:top w:val="single" w:sz="6" w:space="0" w:color="000000"/>
              <w:left w:val="single" w:sz="6" w:space="0" w:color="000000"/>
              <w:bottom w:val="single" w:sz="6" w:space="0" w:color="000000"/>
            </w:tcBorders>
          </w:tcPr>
          <w:p>
            <w:pPr>
              <w:pStyle w:val="TableParagraph"/>
              <w:spacing w:line="230" w:lineRule="exact" w:before="18"/>
              <w:ind w:left="86" w:right="81"/>
              <w:jc w:val="center"/>
              <w:rPr>
                <w:sz w:val="20"/>
              </w:rPr>
            </w:pPr>
            <w:hyperlink w:history="true" w:anchor="_bookmark61">
              <w:r>
                <w:rPr>
                  <w:color w:val="0000FF"/>
                  <w:sz w:val="20"/>
                </w:rPr>
                <w:t>35</w:t>
              </w:r>
            </w:hyperlink>
          </w:p>
        </w:tc>
      </w:tr>
      <w:tr>
        <w:trPr>
          <w:trHeight w:val="270" w:hRule="atLeast"/>
        </w:trPr>
        <w:tc>
          <w:tcPr>
            <w:tcW w:w="1066" w:type="dxa"/>
            <w:tcBorders>
              <w:top w:val="single" w:sz="6" w:space="0" w:color="000000"/>
              <w:bottom w:val="single" w:sz="6" w:space="0" w:color="000000"/>
              <w:right w:val="single" w:sz="6" w:space="0" w:color="000000"/>
            </w:tcBorders>
          </w:tcPr>
          <w:p>
            <w:pPr>
              <w:pStyle w:val="TableParagraph"/>
              <w:spacing w:before="17"/>
              <w:ind w:left="69"/>
              <w:rPr>
                <w:rFonts w:ascii="Times New Roman"/>
                <w:i/>
                <w:sz w:val="20"/>
              </w:rPr>
            </w:pPr>
            <w:r>
              <w:rPr>
                <w:rFonts w:ascii="Times New Roman"/>
                <w:i/>
                <w:w w:val="99"/>
                <w:sz w:val="20"/>
              </w:rPr>
              <w:t>A</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191" w:right="186"/>
              <w:jc w:val="center"/>
              <w:rPr>
                <w:sz w:val="20"/>
              </w:rPr>
            </w:pPr>
            <w:r>
              <w:rPr>
                <w:sz w:val="20"/>
              </w:rPr>
              <w:t>0xE0</w:t>
            </w:r>
          </w:p>
        </w:tc>
        <w:tc>
          <w:tcPr>
            <w:tcW w:w="131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433"/>
              <w:rPr>
                <w:sz w:val="20"/>
              </w:rPr>
            </w:pPr>
            <w:r>
              <w:rPr>
                <w:sz w:val="20"/>
              </w:rPr>
              <w:t>0x00</w:t>
            </w:r>
          </w:p>
        </w:tc>
        <w:tc>
          <w:tcPr>
            <w:tcW w:w="504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121"/>
              <w:rPr>
                <w:sz w:val="20"/>
              </w:rPr>
            </w:pPr>
            <w:r>
              <w:rPr>
                <w:sz w:val="20"/>
              </w:rPr>
              <w:t>Accumulator</w:t>
            </w:r>
          </w:p>
        </w:tc>
        <w:tc>
          <w:tcPr>
            <w:tcW w:w="944" w:type="dxa"/>
            <w:tcBorders>
              <w:top w:val="single" w:sz="6" w:space="0" w:color="000000"/>
              <w:left w:val="single" w:sz="6" w:space="0" w:color="000000"/>
              <w:bottom w:val="single" w:sz="6" w:space="0" w:color="000000"/>
            </w:tcBorders>
          </w:tcPr>
          <w:p>
            <w:pPr>
              <w:pStyle w:val="TableParagraph"/>
              <w:spacing w:line="230" w:lineRule="exact" w:before="21"/>
              <w:ind w:left="86" w:right="81"/>
              <w:jc w:val="center"/>
              <w:rPr>
                <w:sz w:val="20"/>
              </w:rPr>
            </w:pPr>
            <w:hyperlink w:history="true" w:anchor="_bookmark51">
              <w:r>
                <w:rPr>
                  <w:color w:val="0000FF"/>
                  <w:sz w:val="20"/>
                </w:rPr>
                <w:t>34</w:t>
              </w:r>
            </w:hyperlink>
          </w:p>
        </w:tc>
      </w:tr>
      <w:tr>
        <w:trPr>
          <w:trHeight w:val="270" w:hRule="atLeast"/>
        </w:trPr>
        <w:tc>
          <w:tcPr>
            <w:tcW w:w="1066" w:type="dxa"/>
            <w:tcBorders>
              <w:top w:val="single" w:sz="6" w:space="0" w:color="000000"/>
              <w:right w:val="single" w:sz="6" w:space="0" w:color="000000"/>
            </w:tcBorders>
          </w:tcPr>
          <w:p>
            <w:pPr>
              <w:pStyle w:val="TableParagraph"/>
              <w:spacing w:before="14"/>
              <w:ind w:left="69"/>
              <w:rPr>
                <w:rFonts w:ascii="Times New Roman"/>
                <w:i/>
                <w:sz w:val="20"/>
              </w:rPr>
            </w:pPr>
            <w:r>
              <w:rPr>
                <w:rFonts w:ascii="Times New Roman"/>
                <w:i/>
                <w:w w:val="99"/>
                <w:sz w:val="20"/>
              </w:rPr>
              <w:t>B</w:t>
            </w:r>
          </w:p>
        </w:tc>
        <w:tc>
          <w:tcPr>
            <w:tcW w:w="1133" w:type="dxa"/>
            <w:tcBorders>
              <w:top w:val="single" w:sz="6" w:space="0" w:color="000000"/>
              <w:left w:val="single" w:sz="6" w:space="0" w:color="000000"/>
              <w:right w:val="single" w:sz="6" w:space="0" w:color="000000"/>
            </w:tcBorders>
          </w:tcPr>
          <w:p>
            <w:pPr>
              <w:pStyle w:val="TableParagraph"/>
              <w:spacing w:before="18"/>
              <w:ind w:left="191" w:right="185"/>
              <w:jc w:val="center"/>
              <w:rPr>
                <w:sz w:val="20"/>
              </w:rPr>
            </w:pPr>
            <w:r>
              <w:rPr>
                <w:sz w:val="20"/>
              </w:rPr>
              <w:t>0xF0</w:t>
            </w:r>
          </w:p>
        </w:tc>
        <w:tc>
          <w:tcPr>
            <w:tcW w:w="1313" w:type="dxa"/>
            <w:tcBorders>
              <w:top w:val="single" w:sz="6" w:space="0" w:color="000000"/>
              <w:left w:val="single" w:sz="6" w:space="0" w:color="000000"/>
              <w:right w:val="single" w:sz="6" w:space="0" w:color="000000"/>
            </w:tcBorders>
          </w:tcPr>
          <w:p>
            <w:pPr>
              <w:pStyle w:val="TableParagraph"/>
              <w:spacing w:before="18"/>
              <w:ind w:left="433"/>
              <w:rPr>
                <w:sz w:val="20"/>
              </w:rPr>
            </w:pPr>
            <w:r>
              <w:rPr>
                <w:sz w:val="20"/>
              </w:rPr>
              <w:t>0x00</w:t>
            </w:r>
          </w:p>
        </w:tc>
        <w:tc>
          <w:tcPr>
            <w:tcW w:w="5043" w:type="dxa"/>
            <w:tcBorders>
              <w:top w:val="single" w:sz="6" w:space="0" w:color="000000"/>
              <w:left w:val="single" w:sz="6" w:space="0" w:color="000000"/>
              <w:right w:val="single" w:sz="6" w:space="0" w:color="000000"/>
            </w:tcBorders>
          </w:tcPr>
          <w:p>
            <w:pPr>
              <w:pStyle w:val="TableParagraph"/>
              <w:spacing w:before="18"/>
              <w:ind w:left="121"/>
              <w:rPr>
                <w:sz w:val="20"/>
              </w:rPr>
            </w:pPr>
            <w:r>
              <w:rPr>
                <w:sz w:val="20"/>
              </w:rPr>
              <w:t>B Register</w:t>
            </w:r>
          </w:p>
        </w:tc>
        <w:tc>
          <w:tcPr>
            <w:tcW w:w="944" w:type="dxa"/>
            <w:tcBorders>
              <w:top w:val="single" w:sz="6" w:space="0" w:color="000000"/>
              <w:left w:val="single" w:sz="6" w:space="0" w:color="000000"/>
            </w:tcBorders>
          </w:tcPr>
          <w:p>
            <w:pPr>
              <w:pStyle w:val="TableParagraph"/>
              <w:spacing w:before="18"/>
              <w:ind w:left="86" w:right="81"/>
              <w:jc w:val="center"/>
              <w:rPr>
                <w:sz w:val="20"/>
              </w:rPr>
            </w:pPr>
            <w:hyperlink w:history="true" w:anchor="_bookmark52">
              <w:r>
                <w:rPr>
                  <w:color w:val="0000FF"/>
                  <w:sz w:val="20"/>
                </w:rPr>
                <w:t>34</w:t>
              </w:r>
            </w:hyperlink>
          </w:p>
        </w:tc>
      </w:tr>
    </w:tbl>
    <w:p>
      <w:pPr>
        <w:spacing w:after="0"/>
        <w:jc w:val="center"/>
        <w:rPr>
          <w:sz w:val="20"/>
        </w:rPr>
        <w:sectPr>
          <w:pgSz w:w="12240" w:h="15840"/>
          <w:pgMar w:header="727" w:footer="819" w:top="960" w:bottom="1000" w:left="820" w:right="860"/>
        </w:sectPr>
      </w:pPr>
    </w:p>
    <w:p>
      <w:pPr>
        <w:pStyle w:val="BodyText"/>
        <w:spacing w:before="8"/>
        <w:rPr>
          <w:b/>
          <w:sz w:val="16"/>
        </w:rPr>
      </w:pPr>
    </w:p>
    <w:p>
      <w:pPr>
        <w:spacing w:before="93"/>
        <w:ind w:left="620" w:right="0" w:firstLine="0"/>
        <w:jc w:val="left"/>
        <w:rPr>
          <w:b/>
          <w:sz w:val="20"/>
        </w:rPr>
      </w:pPr>
      <w:bookmarkStart w:name="Accumulator (ACC, A, SFR 0x E0):" w:id="116"/>
      <w:bookmarkEnd w:id="116"/>
      <w:r>
        <w:rPr/>
      </w:r>
      <w:bookmarkStart w:name="_bookmark51" w:id="117"/>
      <w:bookmarkEnd w:id="117"/>
      <w:r>
        <w:rPr/>
      </w:r>
      <w:r>
        <w:rPr>
          <w:b/>
          <w:sz w:val="20"/>
        </w:rPr>
        <w:t>Accumulator (</w:t>
      </w:r>
      <w:r>
        <w:rPr>
          <w:rFonts w:ascii="Times New Roman"/>
          <w:b/>
          <w:i/>
          <w:sz w:val="20"/>
        </w:rPr>
        <w:t>ACC</w:t>
      </w:r>
      <w:r>
        <w:rPr>
          <w:b/>
          <w:i/>
          <w:sz w:val="20"/>
        </w:rPr>
        <w:t>, </w:t>
      </w:r>
      <w:r>
        <w:rPr>
          <w:rFonts w:ascii="Times New Roman"/>
          <w:b/>
          <w:i/>
          <w:sz w:val="20"/>
        </w:rPr>
        <w:t>A, SFR 0x E0</w:t>
      </w:r>
      <w:r>
        <w:rPr>
          <w:b/>
          <w:sz w:val="20"/>
        </w:rPr>
        <w:t>):</w:t>
      </w:r>
    </w:p>
    <w:p>
      <w:pPr>
        <w:pStyle w:val="BodyText"/>
        <w:spacing w:line="242" w:lineRule="auto" w:before="76"/>
        <w:ind w:left="620" w:right="559" w:hanging="1"/>
      </w:pPr>
      <w:r>
        <w:rPr>
          <w:rFonts w:ascii="Times New Roman"/>
          <w:i/>
          <w:spacing w:val="-3"/>
        </w:rPr>
        <w:t>ACC </w:t>
      </w:r>
      <w:r>
        <w:rPr>
          <w:spacing w:val="-3"/>
        </w:rPr>
        <w:t>is </w:t>
      </w:r>
      <w:r>
        <w:rPr/>
        <w:t>the </w:t>
      </w:r>
      <w:r>
        <w:rPr>
          <w:spacing w:val="-4"/>
        </w:rPr>
        <w:t>accumulator register. Most </w:t>
      </w:r>
      <w:r>
        <w:rPr>
          <w:spacing w:val="-5"/>
        </w:rPr>
        <w:t>instructions </w:t>
      </w:r>
      <w:r>
        <w:rPr>
          <w:spacing w:val="-3"/>
        </w:rPr>
        <w:t>use the </w:t>
      </w:r>
      <w:r>
        <w:rPr>
          <w:spacing w:val="-4"/>
        </w:rPr>
        <w:t>accumulator </w:t>
      </w:r>
      <w:r>
        <w:rPr/>
        <w:t>to </w:t>
      </w:r>
      <w:r>
        <w:rPr>
          <w:spacing w:val="-4"/>
        </w:rPr>
        <w:t>hold </w:t>
      </w:r>
      <w:r>
        <w:rPr>
          <w:spacing w:val="-3"/>
        </w:rPr>
        <w:t>the </w:t>
      </w:r>
      <w:r>
        <w:rPr>
          <w:spacing w:val="-4"/>
        </w:rPr>
        <w:t>operand. </w:t>
      </w:r>
      <w:r>
        <w:rPr/>
        <w:t>The </w:t>
      </w:r>
      <w:r>
        <w:rPr>
          <w:spacing w:val="-4"/>
        </w:rPr>
        <w:t>mnemonics </w:t>
      </w:r>
      <w:r>
        <w:rPr/>
        <w:t>for accumulator-specific instructions refer to accumulator as </w:t>
      </w:r>
      <w:r>
        <w:rPr>
          <w:rFonts w:ascii="Times New Roman"/>
          <w:i/>
        </w:rPr>
        <w:t>A</w:t>
      </w:r>
      <w:r>
        <w:rPr/>
        <w:t>, not </w:t>
      </w:r>
      <w:r>
        <w:rPr>
          <w:rFonts w:ascii="Times New Roman"/>
          <w:i/>
        </w:rPr>
        <w:t>ACC</w:t>
      </w:r>
      <w:r>
        <w:rPr/>
        <w:t>.</w:t>
      </w:r>
    </w:p>
    <w:p>
      <w:pPr>
        <w:spacing w:before="120"/>
        <w:ind w:left="620" w:right="0" w:firstLine="0"/>
        <w:jc w:val="left"/>
        <w:rPr>
          <w:b/>
          <w:sz w:val="20"/>
        </w:rPr>
      </w:pPr>
      <w:bookmarkStart w:name="B Register (SFR 0xF0):" w:id="118"/>
      <w:bookmarkEnd w:id="118"/>
      <w:r>
        <w:rPr/>
      </w:r>
      <w:bookmarkStart w:name="_bookmark52" w:id="119"/>
      <w:bookmarkEnd w:id="119"/>
      <w:r>
        <w:rPr/>
      </w:r>
      <w:r>
        <w:rPr>
          <w:rFonts w:ascii="Times New Roman"/>
          <w:b/>
          <w:i/>
          <w:sz w:val="20"/>
        </w:rPr>
        <w:t>B </w:t>
      </w:r>
      <w:r>
        <w:rPr>
          <w:b/>
          <w:sz w:val="20"/>
        </w:rPr>
        <w:t>Register (</w:t>
      </w:r>
      <w:r>
        <w:rPr>
          <w:rFonts w:ascii="Times New Roman"/>
          <w:b/>
          <w:i/>
          <w:sz w:val="20"/>
        </w:rPr>
        <w:t>SFR 0xF0</w:t>
      </w:r>
      <w:r>
        <w:rPr>
          <w:b/>
          <w:sz w:val="20"/>
        </w:rPr>
        <w:t>):</w:t>
      </w:r>
    </w:p>
    <w:p>
      <w:pPr>
        <w:pStyle w:val="BodyText"/>
        <w:spacing w:line="244" w:lineRule="auto" w:before="76"/>
        <w:ind w:left="620" w:right="589"/>
      </w:pPr>
      <w:r>
        <w:rPr/>
        <w:t>The </w:t>
      </w:r>
      <w:r>
        <w:rPr>
          <w:rFonts w:ascii="Times New Roman"/>
          <w:i/>
        </w:rPr>
        <w:t>B </w:t>
      </w:r>
      <w:r>
        <w:rPr>
          <w:spacing w:val="-3"/>
        </w:rPr>
        <w:t>register </w:t>
      </w:r>
      <w:r>
        <w:rPr/>
        <w:t>is </w:t>
      </w:r>
      <w:r>
        <w:rPr>
          <w:spacing w:val="-3"/>
        </w:rPr>
        <w:t>used during multiply </w:t>
      </w:r>
      <w:r>
        <w:rPr/>
        <w:t>and </w:t>
      </w:r>
      <w:r>
        <w:rPr>
          <w:spacing w:val="-3"/>
        </w:rPr>
        <w:t>divide instructions. </w:t>
      </w:r>
      <w:r>
        <w:rPr/>
        <w:t>It can </w:t>
      </w:r>
      <w:r>
        <w:rPr>
          <w:spacing w:val="-3"/>
        </w:rPr>
        <w:t>also </w:t>
      </w:r>
      <w:r>
        <w:rPr/>
        <w:t>be </w:t>
      </w:r>
      <w:r>
        <w:rPr>
          <w:spacing w:val="-3"/>
        </w:rPr>
        <w:t>used </w:t>
      </w:r>
      <w:r>
        <w:rPr/>
        <w:t>as a </w:t>
      </w:r>
      <w:r>
        <w:rPr>
          <w:spacing w:val="-3"/>
        </w:rPr>
        <w:t>scratch-pad register </w:t>
      </w:r>
      <w:r>
        <w:rPr/>
        <w:t>to hold temporary data.</w:t>
      </w:r>
    </w:p>
    <w:p>
      <w:pPr>
        <w:spacing w:before="113"/>
        <w:ind w:left="620" w:right="0" w:firstLine="0"/>
        <w:jc w:val="left"/>
        <w:rPr>
          <w:b/>
          <w:sz w:val="20"/>
        </w:rPr>
      </w:pPr>
      <w:bookmarkStart w:name="Program Status Word (PSW, SFR 0xD0):" w:id="120"/>
      <w:bookmarkEnd w:id="120"/>
      <w:r>
        <w:rPr/>
      </w:r>
      <w:r>
        <w:rPr>
          <w:b/>
          <w:sz w:val="20"/>
        </w:rPr>
        <w:t>Program Status Word (</w:t>
      </w:r>
      <w:r>
        <w:rPr>
          <w:rFonts w:ascii="Times New Roman"/>
          <w:b/>
          <w:i/>
          <w:sz w:val="20"/>
        </w:rPr>
        <w:t>PSW, SFR 0xD0</w:t>
      </w:r>
      <w:r>
        <w:rPr>
          <w:b/>
          <w:sz w:val="20"/>
        </w:rPr>
        <w:t>):</w:t>
      </w:r>
    </w:p>
    <w:p>
      <w:pPr>
        <w:pStyle w:val="BodyText"/>
        <w:spacing w:before="81"/>
        <w:ind w:left="620"/>
      </w:pPr>
      <w:r>
        <w:rPr/>
        <w:t>This register contains various flags and control bits for the selection of the register banks (see </w:t>
      </w:r>
      <w:hyperlink w:history="true" w:anchor="_bookmark53">
        <w:r>
          <w:rPr>
            <w:color w:val="0000FF"/>
          </w:rPr>
          <w:t>Table 13</w:t>
        </w:r>
      </w:hyperlink>
      <w:r>
        <w:rPr/>
        <w:t>).</w:t>
      </w:r>
    </w:p>
    <w:p>
      <w:pPr>
        <w:pStyle w:val="Heading1"/>
        <w:spacing w:before="121"/>
        <w:ind w:left="1313" w:right="1278"/>
      </w:pPr>
      <w:bookmarkStart w:name="_bookmark53" w:id="121"/>
      <w:bookmarkEnd w:id="121"/>
      <w:r>
        <w:rPr>
          <w:b w:val="0"/>
        </w:rPr>
      </w:r>
      <w:r>
        <w:rPr/>
        <w:t>Table 13: </w:t>
      </w:r>
      <w:r>
        <w:rPr>
          <w:rFonts w:ascii="Times New Roman"/>
          <w:i/>
        </w:rPr>
        <w:t>PSW </w:t>
      </w:r>
      <w:r>
        <w:rPr/>
        <w:t>Bit Functions (SFR 0xD0)</w:t>
      </w:r>
    </w:p>
    <w:p>
      <w:pPr>
        <w:pStyle w:val="BodyText"/>
        <w:spacing w:before="4"/>
        <w:rPr>
          <w:b/>
          <w:sz w:val="5"/>
        </w:rPr>
      </w:pPr>
    </w:p>
    <w:tbl>
      <w:tblPr>
        <w:tblW w:w="0" w:type="auto"/>
        <w:jc w:val="left"/>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2"/>
        <w:gridCol w:w="1135"/>
        <w:gridCol w:w="845"/>
        <w:gridCol w:w="1133"/>
        <w:gridCol w:w="1985"/>
        <w:gridCol w:w="2268"/>
        <w:gridCol w:w="842"/>
      </w:tblGrid>
      <w:tr>
        <w:trPr>
          <w:trHeight w:val="311" w:hRule="atLeast"/>
        </w:trPr>
        <w:tc>
          <w:tcPr>
            <w:tcW w:w="1152" w:type="dxa"/>
            <w:tcBorders>
              <w:bottom w:val="single" w:sz="6" w:space="0" w:color="000000"/>
              <w:right w:val="single" w:sz="6" w:space="0" w:color="000000"/>
            </w:tcBorders>
          </w:tcPr>
          <w:p>
            <w:pPr>
              <w:pStyle w:val="TableParagraph"/>
              <w:spacing w:before="35"/>
              <w:ind w:left="190" w:right="181"/>
              <w:jc w:val="center"/>
              <w:rPr>
                <w:b/>
                <w:sz w:val="20"/>
              </w:rPr>
            </w:pPr>
            <w:r>
              <w:rPr>
                <w:rFonts w:ascii="Times New Roman"/>
                <w:b/>
                <w:i/>
                <w:sz w:val="20"/>
              </w:rPr>
              <w:t>PSW </w:t>
            </w:r>
            <w:r>
              <w:rPr>
                <w:b/>
                <w:sz w:val="20"/>
              </w:rPr>
              <w:t>Bit</w:t>
            </w:r>
          </w:p>
        </w:tc>
        <w:tc>
          <w:tcPr>
            <w:tcW w:w="1135" w:type="dxa"/>
            <w:tcBorders>
              <w:left w:val="single" w:sz="6" w:space="0" w:color="000000"/>
              <w:bottom w:val="single" w:sz="6" w:space="0" w:color="000000"/>
              <w:right w:val="single" w:sz="6" w:space="0" w:color="000000"/>
            </w:tcBorders>
          </w:tcPr>
          <w:p>
            <w:pPr>
              <w:pStyle w:val="TableParagraph"/>
              <w:spacing w:before="35"/>
              <w:ind w:left="88" w:right="86"/>
              <w:jc w:val="center"/>
              <w:rPr>
                <w:b/>
                <w:sz w:val="20"/>
              </w:rPr>
            </w:pPr>
            <w:r>
              <w:rPr>
                <w:b/>
                <w:sz w:val="20"/>
              </w:rPr>
              <w:t>Symbol</w:t>
            </w:r>
          </w:p>
        </w:tc>
        <w:tc>
          <w:tcPr>
            <w:tcW w:w="7073" w:type="dxa"/>
            <w:gridSpan w:val="5"/>
            <w:tcBorders>
              <w:left w:val="single" w:sz="6" w:space="0" w:color="000000"/>
              <w:bottom w:val="single" w:sz="6" w:space="0" w:color="000000"/>
            </w:tcBorders>
          </w:tcPr>
          <w:p>
            <w:pPr>
              <w:pStyle w:val="TableParagraph"/>
              <w:spacing w:before="35"/>
              <w:ind w:left="3090" w:right="3086"/>
              <w:jc w:val="center"/>
              <w:rPr>
                <w:b/>
                <w:sz w:val="20"/>
              </w:rPr>
            </w:pPr>
            <w:r>
              <w:rPr>
                <w:b/>
                <w:sz w:val="20"/>
              </w:rPr>
              <w:t>Function</w:t>
            </w:r>
          </w:p>
        </w:tc>
      </w:tr>
      <w:tr>
        <w:trPr>
          <w:trHeight w:val="268" w:hRule="atLeast"/>
        </w:trPr>
        <w:tc>
          <w:tcPr>
            <w:tcW w:w="1152" w:type="dxa"/>
            <w:tcBorders>
              <w:top w:val="single" w:sz="6" w:space="0" w:color="000000"/>
              <w:bottom w:val="single" w:sz="6" w:space="0" w:color="000000"/>
              <w:right w:val="single" w:sz="6" w:space="0" w:color="000000"/>
            </w:tcBorders>
          </w:tcPr>
          <w:p>
            <w:pPr>
              <w:pStyle w:val="TableParagraph"/>
              <w:spacing w:before="16"/>
              <w:ind w:left="12"/>
              <w:jc w:val="center"/>
              <w:rPr>
                <w:sz w:val="20"/>
              </w:rPr>
            </w:pPr>
            <w:r>
              <w:rPr>
                <w:w w:val="99"/>
                <w:sz w:val="20"/>
              </w:rPr>
              <w:t>7</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before="12"/>
              <w:ind w:left="91" w:right="86"/>
              <w:jc w:val="center"/>
              <w:rPr>
                <w:rFonts w:ascii="Times New Roman"/>
                <w:i/>
                <w:sz w:val="20"/>
              </w:rPr>
            </w:pPr>
            <w:r>
              <w:rPr>
                <w:rFonts w:ascii="Times New Roman"/>
                <w:i/>
                <w:sz w:val="20"/>
              </w:rPr>
              <w:t>CV</w:t>
            </w:r>
          </w:p>
        </w:tc>
        <w:tc>
          <w:tcPr>
            <w:tcW w:w="7073" w:type="dxa"/>
            <w:gridSpan w:val="5"/>
            <w:tcBorders>
              <w:top w:val="single" w:sz="6" w:space="0" w:color="000000"/>
              <w:left w:val="single" w:sz="6" w:space="0" w:color="000000"/>
              <w:bottom w:val="single" w:sz="6" w:space="0" w:color="000000"/>
            </w:tcBorders>
          </w:tcPr>
          <w:p>
            <w:pPr>
              <w:pStyle w:val="TableParagraph"/>
              <w:spacing w:before="16"/>
              <w:ind w:left="67"/>
              <w:rPr>
                <w:sz w:val="20"/>
              </w:rPr>
            </w:pPr>
            <w:r>
              <w:rPr>
                <w:sz w:val="20"/>
              </w:rPr>
              <w:t>Carry flag.</w:t>
            </w:r>
          </w:p>
        </w:tc>
      </w:tr>
      <w:tr>
        <w:trPr>
          <w:trHeight w:val="270" w:hRule="atLeast"/>
        </w:trPr>
        <w:tc>
          <w:tcPr>
            <w:tcW w:w="1152" w:type="dxa"/>
            <w:tcBorders>
              <w:top w:val="single" w:sz="6" w:space="0" w:color="000000"/>
              <w:bottom w:val="single" w:sz="6" w:space="0" w:color="000000"/>
              <w:right w:val="single" w:sz="6" w:space="0" w:color="000000"/>
            </w:tcBorders>
          </w:tcPr>
          <w:p>
            <w:pPr>
              <w:pStyle w:val="TableParagraph"/>
              <w:spacing w:before="18"/>
              <w:ind w:left="12"/>
              <w:jc w:val="center"/>
              <w:rPr>
                <w:sz w:val="20"/>
              </w:rPr>
            </w:pPr>
            <w:r>
              <w:rPr>
                <w:w w:val="99"/>
                <w:sz w:val="20"/>
              </w:rPr>
              <w:t>6</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before="14"/>
              <w:ind w:left="93" w:right="85"/>
              <w:jc w:val="center"/>
              <w:rPr>
                <w:rFonts w:ascii="Times New Roman"/>
                <w:i/>
                <w:sz w:val="20"/>
              </w:rPr>
            </w:pPr>
            <w:r>
              <w:rPr>
                <w:rFonts w:ascii="Times New Roman"/>
                <w:i/>
                <w:sz w:val="20"/>
              </w:rPr>
              <w:t>AC</w:t>
            </w:r>
          </w:p>
        </w:tc>
        <w:tc>
          <w:tcPr>
            <w:tcW w:w="7073" w:type="dxa"/>
            <w:gridSpan w:val="5"/>
            <w:tcBorders>
              <w:top w:val="single" w:sz="6" w:space="0" w:color="000000"/>
              <w:left w:val="single" w:sz="6" w:space="0" w:color="000000"/>
              <w:bottom w:val="single" w:sz="6" w:space="0" w:color="000000"/>
            </w:tcBorders>
          </w:tcPr>
          <w:p>
            <w:pPr>
              <w:pStyle w:val="TableParagraph"/>
              <w:spacing w:before="18"/>
              <w:ind w:left="67"/>
              <w:rPr>
                <w:sz w:val="20"/>
              </w:rPr>
            </w:pPr>
            <w:r>
              <w:rPr>
                <w:sz w:val="20"/>
              </w:rPr>
              <w:t>Auxiliary Carry flag for BCD operations.</w:t>
            </w:r>
          </w:p>
        </w:tc>
      </w:tr>
      <w:tr>
        <w:trPr>
          <w:trHeight w:val="700" w:hRule="atLeast"/>
        </w:trPr>
        <w:tc>
          <w:tcPr>
            <w:tcW w:w="1152" w:type="dxa"/>
            <w:tcBorders>
              <w:top w:val="single" w:sz="6" w:space="0" w:color="000000"/>
              <w:bottom w:val="single" w:sz="6" w:space="0" w:color="000000"/>
              <w:right w:val="single" w:sz="6" w:space="0" w:color="000000"/>
            </w:tcBorders>
          </w:tcPr>
          <w:p>
            <w:pPr>
              <w:pStyle w:val="TableParagraph"/>
              <w:spacing w:before="18"/>
              <w:ind w:left="12"/>
              <w:jc w:val="center"/>
              <w:rPr>
                <w:sz w:val="20"/>
              </w:rPr>
            </w:pPr>
            <w:r>
              <w:rPr>
                <w:w w:val="99"/>
                <w:sz w:val="20"/>
              </w:rPr>
              <w:t>5</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before="14"/>
              <w:ind w:left="89" w:right="86"/>
              <w:jc w:val="center"/>
              <w:rPr>
                <w:rFonts w:ascii="Times New Roman"/>
                <w:i/>
                <w:sz w:val="20"/>
              </w:rPr>
            </w:pPr>
            <w:r>
              <w:rPr>
                <w:rFonts w:ascii="Times New Roman"/>
                <w:i/>
                <w:sz w:val="20"/>
              </w:rPr>
              <w:t>F0</w:t>
            </w:r>
          </w:p>
        </w:tc>
        <w:tc>
          <w:tcPr>
            <w:tcW w:w="7073" w:type="dxa"/>
            <w:gridSpan w:val="5"/>
            <w:tcBorders>
              <w:top w:val="single" w:sz="6" w:space="0" w:color="000000"/>
              <w:left w:val="single" w:sz="6" w:space="0" w:color="000000"/>
              <w:bottom w:val="single" w:sz="6" w:space="0" w:color="000000"/>
            </w:tcBorders>
          </w:tcPr>
          <w:p>
            <w:pPr>
              <w:pStyle w:val="TableParagraph"/>
              <w:spacing w:before="18"/>
              <w:ind w:left="67"/>
              <w:rPr>
                <w:sz w:val="20"/>
              </w:rPr>
            </w:pPr>
            <w:r>
              <w:rPr>
                <w:sz w:val="20"/>
              </w:rPr>
              <w:t>General purpose Flag 0 available for user.</w:t>
            </w:r>
          </w:p>
          <w:p>
            <w:pPr>
              <w:pStyle w:val="TableParagraph"/>
              <w:spacing w:before="11"/>
              <w:ind w:left="147"/>
              <w:rPr>
                <w:sz w:val="20"/>
              </w:rPr>
            </w:pPr>
            <w:r>
              <w:rPr>
                <w:position w:val="-20"/>
              </w:rPr>
              <w:drawing>
                <wp:inline distT="0" distB="0" distL="0" distR="0">
                  <wp:extent cx="167053" cy="266698"/>
                  <wp:effectExtent l="0" t="0" r="0" b="0"/>
                  <wp:docPr id="23" name="image64.png"/>
                  <wp:cNvGraphicFramePr>
                    <a:graphicFrameLocks noChangeAspect="1"/>
                  </wp:cNvGraphicFramePr>
                  <a:graphic>
                    <a:graphicData uri="http://schemas.openxmlformats.org/drawingml/2006/picture">
                      <pic:pic>
                        <pic:nvPicPr>
                          <pic:cNvPr id="24" name="image64.png"/>
                          <pic:cNvPicPr/>
                        </pic:nvPicPr>
                        <pic:blipFill>
                          <a:blip r:embed="rId73" cstate="print"/>
                          <a:stretch>
                            <a:fillRect/>
                          </a:stretch>
                        </pic:blipFill>
                        <pic:spPr>
                          <a:xfrm>
                            <a:off x="0" y="0"/>
                            <a:ext cx="167053" cy="266698"/>
                          </a:xfrm>
                          <a:prstGeom prst="rect">
                            <a:avLst/>
                          </a:prstGeom>
                        </pic:spPr>
                      </pic:pic>
                    </a:graphicData>
                  </a:graphic>
                </wp:inline>
              </w:drawing>
            </w:r>
            <w:r>
              <w:rPr>
                <w:position w:val="-20"/>
              </w:rPr>
            </w:r>
            <w:r>
              <w:rPr>
                <w:rFonts w:ascii="Times New Roman"/>
                <w:sz w:val="20"/>
              </w:rPr>
              <w:t>    </w:t>
            </w:r>
            <w:r>
              <w:rPr>
                <w:rFonts w:ascii="Times New Roman"/>
                <w:spacing w:val="-15"/>
                <w:sz w:val="20"/>
              </w:rPr>
              <w:t> </w:t>
            </w:r>
            <w:r>
              <w:rPr>
                <w:sz w:val="20"/>
              </w:rPr>
              <w:t>F0 is not to be confused with the F0 flag in the </w:t>
            </w:r>
            <w:r>
              <w:rPr>
                <w:rFonts w:ascii="Times New Roman"/>
                <w:i/>
                <w:sz w:val="20"/>
              </w:rPr>
              <w:t>CESTATUS</w:t>
            </w:r>
            <w:r>
              <w:rPr>
                <w:rFonts w:ascii="Times New Roman"/>
                <w:i/>
                <w:spacing w:val="-10"/>
                <w:sz w:val="20"/>
              </w:rPr>
              <w:t> </w:t>
            </w:r>
            <w:r>
              <w:rPr>
                <w:sz w:val="20"/>
              </w:rPr>
              <w:t>register.</w:t>
            </w:r>
          </w:p>
        </w:tc>
      </w:tr>
      <w:tr>
        <w:trPr>
          <w:trHeight w:val="536" w:hRule="atLeast"/>
        </w:trPr>
        <w:tc>
          <w:tcPr>
            <w:tcW w:w="1152" w:type="dxa"/>
            <w:vMerge w:val="restart"/>
            <w:tcBorders>
              <w:top w:val="single" w:sz="6" w:space="0" w:color="000000"/>
              <w:bottom w:val="single" w:sz="6" w:space="0" w:color="000000"/>
              <w:right w:val="single" w:sz="6" w:space="0" w:color="000000"/>
            </w:tcBorders>
          </w:tcPr>
          <w:p>
            <w:pPr>
              <w:pStyle w:val="TableParagraph"/>
              <w:spacing w:before="16"/>
              <w:ind w:left="12"/>
              <w:jc w:val="center"/>
              <w:rPr>
                <w:sz w:val="20"/>
              </w:rPr>
            </w:pPr>
            <w:r>
              <w:rPr>
                <w:w w:val="99"/>
                <w:sz w:val="20"/>
              </w:rPr>
              <w:t>4</w:t>
            </w:r>
          </w:p>
        </w:tc>
        <w:tc>
          <w:tcPr>
            <w:tcW w:w="113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2"/>
              <w:ind w:left="93" w:right="85"/>
              <w:jc w:val="center"/>
              <w:rPr>
                <w:rFonts w:ascii="Times New Roman"/>
                <w:i/>
                <w:sz w:val="20"/>
              </w:rPr>
            </w:pPr>
            <w:r>
              <w:rPr>
                <w:rFonts w:ascii="Times New Roman"/>
                <w:i/>
                <w:sz w:val="20"/>
              </w:rPr>
              <w:t>RS1</w:t>
            </w:r>
          </w:p>
        </w:tc>
        <w:tc>
          <w:tcPr>
            <w:tcW w:w="7073" w:type="dxa"/>
            <w:gridSpan w:val="5"/>
            <w:tcBorders>
              <w:top w:val="single" w:sz="6" w:space="0" w:color="000000"/>
              <w:left w:val="single" w:sz="6" w:space="0" w:color="000000"/>
              <w:bottom w:val="nil"/>
            </w:tcBorders>
          </w:tcPr>
          <w:p>
            <w:pPr>
              <w:pStyle w:val="TableParagraph"/>
              <w:spacing w:before="13"/>
              <w:ind w:left="67" w:right="603"/>
              <w:rPr>
                <w:sz w:val="20"/>
              </w:rPr>
            </w:pPr>
            <w:r>
              <w:rPr>
                <w:sz w:val="20"/>
              </w:rPr>
              <w:t>Register bank select control bits. The contents of </w:t>
            </w:r>
            <w:r>
              <w:rPr>
                <w:rFonts w:ascii="Times New Roman"/>
                <w:i/>
                <w:sz w:val="20"/>
              </w:rPr>
              <w:t>RS1 </w:t>
            </w:r>
            <w:r>
              <w:rPr>
                <w:sz w:val="20"/>
              </w:rPr>
              <w:t>and </w:t>
            </w:r>
            <w:r>
              <w:rPr>
                <w:rFonts w:ascii="Times New Roman"/>
                <w:i/>
                <w:sz w:val="20"/>
              </w:rPr>
              <w:t>RS0 </w:t>
            </w:r>
            <w:r>
              <w:rPr>
                <w:sz w:val="20"/>
              </w:rPr>
              <w:t>select the working register bank:</w:t>
            </w:r>
          </w:p>
        </w:tc>
      </w:tr>
      <w:tr>
        <w:trPr>
          <w:trHeight w:val="265" w:hRule="atLeast"/>
        </w:trPr>
        <w:tc>
          <w:tcPr>
            <w:tcW w:w="1152" w:type="dxa"/>
            <w:vMerge/>
            <w:tcBorders>
              <w:top w:val="nil"/>
              <w:bottom w:val="single" w:sz="6" w:space="0" w:color="000000"/>
              <w:right w:val="single" w:sz="6" w:space="0" w:color="000000"/>
            </w:tcBorders>
          </w:tcPr>
          <w:p>
            <w:pPr>
              <w:rPr>
                <w:sz w:val="2"/>
                <w:szCs w:val="2"/>
              </w:rPr>
            </w:pPr>
          </w:p>
        </w:tc>
        <w:tc>
          <w:tcPr>
            <w:tcW w:w="1135" w:type="dxa"/>
            <w:vMerge/>
            <w:tcBorders>
              <w:top w:val="nil"/>
              <w:left w:val="single" w:sz="6" w:space="0" w:color="000000"/>
              <w:bottom w:val="single" w:sz="6" w:space="0" w:color="000000"/>
              <w:right w:val="single" w:sz="6" w:space="0" w:color="000000"/>
            </w:tcBorders>
          </w:tcPr>
          <w:p>
            <w:pPr>
              <w:rPr>
                <w:sz w:val="2"/>
                <w:szCs w:val="2"/>
              </w:rPr>
            </w:pPr>
          </w:p>
        </w:tc>
        <w:tc>
          <w:tcPr>
            <w:tcW w:w="845" w:type="dxa"/>
            <w:vMerge w:val="restart"/>
            <w:tcBorders>
              <w:top w:val="nil"/>
              <w:left w:val="single" w:sz="6" w:space="0" w:color="000000"/>
              <w:bottom w:val="single" w:sz="6" w:space="0" w:color="000000"/>
            </w:tcBorders>
          </w:tcPr>
          <w:p>
            <w:pPr>
              <w:pStyle w:val="TableParagraph"/>
              <w:rPr>
                <w:rFonts w:ascii="Times New Roman"/>
                <w:sz w:val="18"/>
              </w:rPr>
            </w:pPr>
          </w:p>
        </w:tc>
        <w:tc>
          <w:tcPr>
            <w:tcW w:w="1133" w:type="dxa"/>
          </w:tcPr>
          <w:p>
            <w:pPr>
              <w:pStyle w:val="TableParagraph"/>
              <w:spacing w:line="229" w:lineRule="exact" w:before="17"/>
              <w:ind w:left="170" w:right="168"/>
              <w:jc w:val="center"/>
              <w:rPr>
                <w:rFonts w:ascii="Times New Roman"/>
                <w:b/>
                <w:i/>
                <w:sz w:val="20"/>
              </w:rPr>
            </w:pPr>
            <w:r>
              <w:rPr>
                <w:rFonts w:ascii="Times New Roman"/>
                <w:b/>
                <w:i/>
                <w:sz w:val="20"/>
              </w:rPr>
              <w:t>RS1/RS0</w:t>
            </w:r>
          </w:p>
        </w:tc>
        <w:tc>
          <w:tcPr>
            <w:tcW w:w="1985" w:type="dxa"/>
          </w:tcPr>
          <w:p>
            <w:pPr>
              <w:pStyle w:val="TableParagraph"/>
              <w:spacing w:before="13"/>
              <w:ind w:left="294" w:right="294"/>
              <w:jc w:val="center"/>
              <w:rPr>
                <w:b/>
                <w:sz w:val="20"/>
              </w:rPr>
            </w:pPr>
            <w:r>
              <w:rPr>
                <w:b/>
                <w:sz w:val="20"/>
              </w:rPr>
              <w:t>Bank selected</w:t>
            </w:r>
          </w:p>
        </w:tc>
        <w:tc>
          <w:tcPr>
            <w:tcW w:w="2268" w:type="dxa"/>
          </w:tcPr>
          <w:p>
            <w:pPr>
              <w:pStyle w:val="TableParagraph"/>
              <w:spacing w:before="13"/>
              <w:ind w:left="561" w:right="554"/>
              <w:jc w:val="center"/>
              <w:rPr>
                <w:b/>
                <w:sz w:val="20"/>
              </w:rPr>
            </w:pPr>
            <w:r>
              <w:rPr>
                <w:b/>
                <w:sz w:val="20"/>
              </w:rPr>
              <w:t>Location</w:t>
            </w:r>
          </w:p>
        </w:tc>
        <w:tc>
          <w:tcPr>
            <w:tcW w:w="842" w:type="dxa"/>
            <w:vMerge w:val="restart"/>
            <w:tcBorders>
              <w:top w:val="nil"/>
              <w:bottom w:val="single" w:sz="6" w:space="0" w:color="000000"/>
            </w:tcBorders>
          </w:tcPr>
          <w:p>
            <w:pPr>
              <w:pStyle w:val="TableParagraph"/>
              <w:rPr>
                <w:rFonts w:ascii="Times New Roman"/>
                <w:sz w:val="18"/>
              </w:rPr>
            </w:pPr>
          </w:p>
        </w:tc>
      </w:tr>
      <w:tr>
        <w:trPr>
          <w:trHeight w:val="216" w:hRule="atLeast"/>
        </w:trPr>
        <w:tc>
          <w:tcPr>
            <w:tcW w:w="1152" w:type="dxa"/>
            <w:vMerge/>
            <w:tcBorders>
              <w:top w:val="nil"/>
              <w:bottom w:val="single" w:sz="6" w:space="0" w:color="000000"/>
              <w:right w:val="single" w:sz="6" w:space="0" w:color="000000"/>
            </w:tcBorders>
          </w:tcPr>
          <w:p>
            <w:pPr>
              <w:rPr>
                <w:sz w:val="2"/>
                <w:szCs w:val="2"/>
              </w:rPr>
            </w:pPr>
          </w:p>
        </w:tc>
        <w:tc>
          <w:tcPr>
            <w:tcW w:w="1135" w:type="dxa"/>
            <w:vMerge/>
            <w:tcBorders>
              <w:top w:val="nil"/>
              <w:left w:val="single" w:sz="6" w:space="0" w:color="000000"/>
              <w:bottom w:val="single" w:sz="6" w:space="0" w:color="000000"/>
              <w:right w:val="single" w:sz="6" w:space="0" w:color="000000"/>
            </w:tcBorders>
          </w:tcPr>
          <w:p>
            <w:pPr>
              <w:rPr>
                <w:sz w:val="2"/>
                <w:szCs w:val="2"/>
              </w:rPr>
            </w:pPr>
          </w:p>
        </w:tc>
        <w:tc>
          <w:tcPr>
            <w:tcW w:w="845" w:type="dxa"/>
            <w:vMerge/>
            <w:tcBorders>
              <w:top w:val="nil"/>
              <w:left w:val="single" w:sz="6" w:space="0" w:color="000000"/>
              <w:bottom w:val="single" w:sz="6" w:space="0" w:color="000000"/>
            </w:tcBorders>
          </w:tcPr>
          <w:p>
            <w:pPr>
              <w:rPr>
                <w:sz w:val="2"/>
                <w:szCs w:val="2"/>
              </w:rPr>
            </w:pPr>
          </w:p>
        </w:tc>
        <w:tc>
          <w:tcPr>
            <w:tcW w:w="1133" w:type="dxa"/>
          </w:tcPr>
          <w:p>
            <w:pPr>
              <w:pStyle w:val="TableParagraph"/>
              <w:spacing w:line="190" w:lineRule="exact" w:before="6"/>
              <w:ind w:left="168" w:right="168"/>
              <w:jc w:val="center"/>
              <w:rPr>
                <w:sz w:val="20"/>
              </w:rPr>
            </w:pPr>
            <w:r>
              <w:rPr>
                <w:sz w:val="20"/>
              </w:rPr>
              <w:t>00</w:t>
            </w:r>
          </w:p>
        </w:tc>
        <w:tc>
          <w:tcPr>
            <w:tcW w:w="1985" w:type="dxa"/>
          </w:tcPr>
          <w:p>
            <w:pPr>
              <w:pStyle w:val="TableParagraph"/>
              <w:spacing w:line="190" w:lineRule="exact" w:before="6"/>
              <w:ind w:left="294" w:right="290"/>
              <w:jc w:val="center"/>
              <w:rPr>
                <w:sz w:val="20"/>
              </w:rPr>
            </w:pPr>
            <w:r>
              <w:rPr>
                <w:sz w:val="20"/>
              </w:rPr>
              <w:t>Bank 0</w:t>
            </w:r>
          </w:p>
        </w:tc>
        <w:tc>
          <w:tcPr>
            <w:tcW w:w="2268" w:type="dxa"/>
          </w:tcPr>
          <w:p>
            <w:pPr>
              <w:pStyle w:val="TableParagraph"/>
              <w:spacing w:line="190" w:lineRule="exact" w:before="6"/>
              <w:ind w:left="559" w:right="556"/>
              <w:jc w:val="center"/>
              <w:rPr>
                <w:sz w:val="20"/>
              </w:rPr>
            </w:pPr>
            <w:r>
              <w:rPr>
                <w:sz w:val="20"/>
              </w:rPr>
              <w:t>0x00 – 0x07</w:t>
            </w:r>
          </w:p>
        </w:tc>
        <w:tc>
          <w:tcPr>
            <w:tcW w:w="842" w:type="dxa"/>
            <w:vMerge/>
            <w:tcBorders>
              <w:top w:val="nil"/>
              <w:bottom w:val="single" w:sz="6" w:space="0" w:color="000000"/>
            </w:tcBorders>
          </w:tcPr>
          <w:p>
            <w:pPr>
              <w:rPr>
                <w:sz w:val="2"/>
                <w:szCs w:val="2"/>
              </w:rPr>
            </w:pPr>
          </w:p>
        </w:tc>
      </w:tr>
      <w:tr>
        <w:trPr>
          <w:trHeight w:val="271" w:hRule="atLeast"/>
        </w:trPr>
        <w:tc>
          <w:tcPr>
            <w:tcW w:w="1152" w:type="dxa"/>
            <w:vMerge w:val="restart"/>
            <w:tcBorders>
              <w:top w:val="single" w:sz="6" w:space="0" w:color="000000"/>
              <w:bottom w:val="single" w:sz="6" w:space="0" w:color="000000"/>
              <w:right w:val="single" w:sz="6" w:space="0" w:color="000000"/>
            </w:tcBorders>
          </w:tcPr>
          <w:p>
            <w:pPr>
              <w:pStyle w:val="TableParagraph"/>
              <w:spacing w:line="221" w:lineRule="exact"/>
              <w:ind w:left="12"/>
              <w:jc w:val="center"/>
              <w:rPr>
                <w:sz w:val="20"/>
              </w:rPr>
            </w:pPr>
            <w:r>
              <w:rPr>
                <w:w w:val="99"/>
                <w:sz w:val="20"/>
              </w:rPr>
              <w:t>3</w:t>
            </w:r>
          </w:p>
        </w:tc>
        <w:tc>
          <w:tcPr>
            <w:tcW w:w="1135"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17" w:lineRule="exact"/>
              <w:ind w:left="93" w:right="85"/>
              <w:jc w:val="center"/>
              <w:rPr>
                <w:rFonts w:ascii="Times New Roman"/>
                <w:i/>
                <w:sz w:val="20"/>
              </w:rPr>
            </w:pPr>
            <w:r>
              <w:rPr>
                <w:rFonts w:ascii="Times New Roman"/>
                <w:i/>
                <w:sz w:val="20"/>
              </w:rPr>
              <w:t>RS0</w:t>
            </w:r>
          </w:p>
        </w:tc>
        <w:tc>
          <w:tcPr>
            <w:tcW w:w="845" w:type="dxa"/>
            <w:vMerge/>
            <w:tcBorders>
              <w:top w:val="nil"/>
              <w:left w:val="single" w:sz="6" w:space="0" w:color="000000"/>
              <w:bottom w:val="single" w:sz="6" w:space="0" w:color="000000"/>
            </w:tcBorders>
          </w:tcPr>
          <w:p>
            <w:pPr>
              <w:rPr>
                <w:sz w:val="2"/>
                <w:szCs w:val="2"/>
              </w:rPr>
            </w:pPr>
          </w:p>
        </w:tc>
        <w:tc>
          <w:tcPr>
            <w:tcW w:w="1133" w:type="dxa"/>
          </w:tcPr>
          <w:p>
            <w:pPr>
              <w:pStyle w:val="TableParagraph"/>
              <w:spacing w:line="218" w:lineRule="exact" w:before="34"/>
              <w:ind w:left="168" w:right="168"/>
              <w:jc w:val="center"/>
              <w:rPr>
                <w:sz w:val="20"/>
              </w:rPr>
            </w:pPr>
            <w:r>
              <w:rPr>
                <w:sz w:val="20"/>
              </w:rPr>
              <w:t>01</w:t>
            </w:r>
          </w:p>
        </w:tc>
        <w:tc>
          <w:tcPr>
            <w:tcW w:w="1985" w:type="dxa"/>
          </w:tcPr>
          <w:p>
            <w:pPr>
              <w:pStyle w:val="TableParagraph"/>
              <w:spacing w:line="218" w:lineRule="exact" w:before="34"/>
              <w:ind w:left="294" w:right="290"/>
              <w:jc w:val="center"/>
              <w:rPr>
                <w:sz w:val="20"/>
              </w:rPr>
            </w:pPr>
            <w:r>
              <w:rPr>
                <w:sz w:val="20"/>
              </w:rPr>
              <w:t>Bank 1</w:t>
            </w:r>
          </w:p>
        </w:tc>
        <w:tc>
          <w:tcPr>
            <w:tcW w:w="2268" w:type="dxa"/>
          </w:tcPr>
          <w:p>
            <w:pPr>
              <w:pStyle w:val="TableParagraph"/>
              <w:spacing w:line="218" w:lineRule="exact" w:before="34"/>
              <w:ind w:left="561" w:right="556"/>
              <w:jc w:val="center"/>
              <w:rPr>
                <w:sz w:val="20"/>
              </w:rPr>
            </w:pPr>
            <w:r>
              <w:rPr>
                <w:sz w:val="20"/>
              </w:rPr>
              <w:t>0x08 – 0x0F</w:t>
            </w:r>
          </w:p>
        </w:tc>
        <w:tc>
          <w:tcPr>
            <w:tcW w:w="842" w:type="dxa"/>
            <w:vMerge/>
            <w:tcBorders>
              <w:top w:val="nil"/>
              <w:bottom w:val="single" w:sz="6" w:space="0" w:color="000000"/>
            </w:tcBorders>
          </w:tcPr>
          <w:p>
            <w:pPr>
              <w:rPr>
                <w:sz w:val="2"/>
                <w:szCs w:val="2"/>
              </w:rPr>
            </w:pPr>
          </w:p>
        </w:tc>
      </w:tr>
      <w:tr>
        <w:trPr>
          <w:trHeight w:val="246" w:hRule="atLeast"/>
        </w:trPr>
        <w:tc>
          <w:tcPr>
            <w:tcW w:w="1152" w:type="dxa"/>
            <w:vMerge/>
            <w:tcBorders>
              <w:top w:val="nil"/>
              <w:bottom w:val="single" w:sz="6" w:space="0" w:color="000000"/>
              <w:right w:val="single" w:sz="6" w:space="0" w:color="000000"/>
            </w:tcBorders>
          </w:tcPr>
          <w:p>
            <w:pPr>
              <w:rPr>
                <w:sz w:val="2"/>
                <w:szCs w:val="2"/>
              </w:rPr>
            </w:pPr>
          </w:p>
        </w:tc>
        <w:tc>
          <w:tcPr>
            <w:tcW w:w="1135" w:type="dxa"/>
            <w:vMerge/>
            <w:tcBorders>
              <w:top w:val="nil"/>
              <w:left w:val="single" w:sz="6" w:space="0" w:color="000000"/>
              <w:bottom w:val="single" w:sz="6" w:space="0" w:color="000000"/>
              <w:right w:val="single" w:sz="6" w:space="0" w:color="000000"/>
            </w:tcBorders>
          </w:tcPr>
          <w:p>
            <w:pPr>
              <w:rPr>
                <w:sz w:val="2"/>
                <w:szCs w:val="2"/>
              </w:rPr>
            </w:pPr>
          </w:p>
        </w:tc>
        <w:tc>
          <w:tcPr>
            <w:tcW w:w="845" w:type="dxa"/>
            <w:vMerge/>
            <w:tcBorders>
              <w:top w:val="nil"/>
              <w:left w:val="single" w:sz="6" w:space="0" w:color="000000"/>
              <w:bottom w:val="single" w:sz="6" w:space="0" w:color="000000"/>
            </w:tcBorders>
          </w:tcPr>
          <w:p>
            <w:pPr>
              <w:rPr>
                <w:sz w:val="2"/>
                <w:szCs w:val="2"/>
              </w:rPr>
            </w:pPr>
          </w:p>
        </w:tc>
        <w:tc>
          <w:tcPr>
            <w:tcW w:w="1133" w:type="dxa"/>
          </w:tcPr>
          <w:p>
            <w:pPr>
              <w:pStyle w:val="TableParagraph"/>
              <w:spacing w:line="218" w:lineRule="exact" w:before="9"/>
              <w:ind w:left="168" w:right="168"/>
              <w:jc w:val="center"/>
              <w:rPr>
                <w:sz w:val="20"/>
              </w:rPr>
            </w:pPr>
            <w:r>
              <w:rPr>
                <w:sz w:val="20"/>
              </w:rPr>
              <w:t>10</w:t>
            </w:r>
          </w:p>
        </w:tc>
        <w:tc>
          <w:tcPr>
            <w:tcW w:w="1985" w:type="dxa"/>
          </w:tcPr>
          <w:p>
            <w:pPr>
              <w:pStyle w:val="TableParagraph"/>
              <w:spacing w:line="218" w:lineRule="exact" w:before="9"/>
              <w:ind w:left="294" w:right="290"/>
              <w:jc w:val="center"/>
              <w:rPr>
                <w:sz w:val="20"/>
              </w:rPr>
            </w:pPr>
            <w:r>
              <w:rPr>
                <w:sz w:val="20"/>
              </w:rPr>
              <w:t>Bank 2</w:t>
            </w:r>
          </w:p>
        </w:tc>
        <w:tc>
          <w:tcPr>
            <w:tcW w:w="2268" w:type="dxa"/>
          </w:tcPr>
          <w:p>
            <w:pPr>
              <w:pStyle w:val="TableParagraph"/>
              <w:spacing w:line="218" w:lineRule="exact" w:before="9"/>
              <w:ind w:left="559" w:right="556"/>
              <w:jc w:val="center"/>
              <w:rPr>
                <w:sz w:val="20"/>
              </w:rPr>
            </w:pPr>
            <w:r>
              <w:rPr>
                <w:sz w:val="20"/>
              </w:rPr>
              <w:t>0x10 – 0x17</w:t>
            </w:r>
          </w:p>
        </w:tc>
        <w:tc>
          <w:tcPr>
            <w:tcW w:w="842" w:type="dxa"/>
            <w:vMerge/>
            <w:tcBorders>
              <w:top w:val="nil"/>
              <w:bottom w:val="single" w:sz="6" w:space="0" w:color="000000"/>
            </w:tcBorders>
          </w:tcPr>
          <w:p>
            <w:pPr>
              <w:rPr>
                <w:sz w:val="2"/>
                <w:szCs w:val="2"/>
              </w:rPr>
            </w:pPr>
          </w:p>
        </w:tc>
      </w:tr>
      <w:tr>
        <w:trPr>
          <w:trHeight w:val="274" w:hRule="atLeast"/>
        </w:trPr>
        <w:tc>
          <w:tcPr>
            <w:tcW w:w="1152" w:type="dxa"/>
            <w:vMerge/>
            <w:tcBorders>
              <w:top w:val="nil"/>
              <w:bottom w:val="single" w:sz="6" w:space="0" w:color="000000"/>
              <w:right w:val="single" w:sz="6" w:space="0" w:color="000000"/>
            </w:tcBorders>
          </w:tcPr>
          <w:p>
            <w:pPr>
              <w:rPr>
                <w:sz w:val="2"/>
                <w:szCs w:val="2"/>
              </w:rPr>
            </w:pPr>
          </w:p>
        </w:tc>
        <w:tc>
          <w:tcPr>
            <w:tcW w:w="1135" w:type="dxa"/>
            <w:vMerge/>
            <w:tcBorders>
              <w:top w:val="nil"/>
              <w:left w:val="single" w:sz="6" w:space="0" w:color="000000"/>
              <w:bottom w:val="single" w:sz="6" w:space="0" w:color="000000"/>
              <w:right w:val="single" w:sz="6" w:space="0" w:color="000000"/>
            </w:tcBorders>
          </w:tcPr>
          <w:p>
            <w:pPr>
              <w:rPr>
                <w:sz w:val="2"/>
                <w:szCs w:val="2"/>
              </w:rPr>
            </w:pPr>
          </w:p>
        </w:tc>
        <w:tc>
          <w:tcPr>
            <w:tcW w:w="845" w:type="dxa"/>
            <w:vMerge/>
            <w:tcBorders>
              <w:top w:val="nil"/>
              <w:left w:val="single" w:sz="6" w:space="0" w:color="000000"/>
              <w:bottom w:val="single" w:sz="6" w:space="0" w:color="000000"/>
            </w:tcBorders>
          </w:tcPr>
          <w:p>
            <w:pPr>
              <w:rPr>
                <w:sz w:val="2"/>
                <w:szCs w:val="2"/>
              </w:rPr>
            </w:pPr>
          </w:p>
        </w:tc>
        <w:tc>
          <w:tcPr>
            <w:tcW w:w="1133" w:type="dxa"/>
            <w:tcBorders>
              <w:bottom w:val="thickThinMediumGap" w:sz="3" w:space="0" w:color="000000"/>
            </w:tcBorders>
          </w:tcPr>
          <w:p>
            <w:pPr>
              <w:pStyle w:val="TableParagraph"/>
              <w:spacing w:before="6"/>
              <w:ind w:left="168" w:right="168"/>
              <w:jc w:val="center"/>
              <w:rPr>
                <w:sz w:val="20"/>
              </w:rPr>
            </w:pPr>
            <w:r>
              <w:rPr>
                <w:sz w:val="20"/>
              </w:rPr>
              <w:t>11</w:t>
            </w:r>
          </w:p>
        </w:tc>
        <w:tc>
          <w:tcPr>
            <w:tcW w:w="1985" w:type="dxa"/>
            <w:tcBorders>
              <w:bottom w:val="thickThinMediumGap" w:sz="3" w:space="0" w:color="000000"/>
            </w:tcBorders>
          </w:tcPr>
          <w:p>
            <w:pPr>
              <w:pStyle w:val="TableParagraph"/>
              <w:spacing w:before="6"/>
              <w:ind w:left="294" w:right="290"/>
              <w:jc w:val="center"/>
              <w:rPr>
                <w:sz w:val="20"/>
              </w:rPr>
            </w:pPr>
            <w:r>
              <w:rPr>
                <w:sz w:val="20"/>
              </w:rPr>
              <w:t>Bank 3</w:t>
            </w:r>
          </w:p>
        </w:tc>
        <w:tc>
          <w:tcPr>
            <w:tcW w:w="2268" w:type="dxa"/>
            <w:tcBorders>
              <w:bottom w:val="thickThinMediumGap" w:sz="3" w:space="0" w:color="000000"/>
            </w:tcBorders>
          </w:tcPr>
          <w:p>
            <w:pPr>
              <w:pStyle w:val="TableParagraph"/>
              <w:spacing w:before="6"/>
              <w:ind w:left="561" w:right="556"/>
              <w:jc w:val="center"/>
              <w:rPr>
                <w:sz w:val="20"/>
              </w:rPr>
            </w:pPr>
            <w:r>
              <w:rPr>
                <w:sz w:val="20"/>
              </w:rPr>
              <w:t>0x18 – 0x1F</w:t>
            </w:r>
          </w:p>
        </w:tc>
        <w:tc>
          <w:tcPr>
            <w:tcW w:w="842" w:type="dxa"/>
            <w:vMerge/>
            <w:tcBorders>
              <w:top w:val="nil"/>
              <w:bottom w:val="single" w:sz="6" w:space="0" w:color="000000"/>
            </w:tcBorders>
          </w:tcPr>
          <w:p>
            <w:pPr>
              <w:rPr>
                <w:sz w:val="2"/>
                <w:szCs w:val="2"/>
              </w:rPr>
            </w:pPr>
          </w:p>
        </w:tc>
      </w:tr>
      <w:tr>
        <w:trPr>
          <w:trHeight w:val="264" w:hRule="atLeast"/>
        </w:trPr>
        <w:tc>
          <w:tcPr>
            <w:tcW w:w="1152" w:type="dxa"/>
            <w:tcBorders>
              <w:top w:val="single" w:sz="6" w:space="0" w:color="000000"/>
              <w:bottom w:val="single" w:sz="6" w:space="0" w:color="000000"/>
              <w:right w:val="single" w:sz="6" w:space="0" w:color="000000"/>
            </w:tcBorders>
          </w:tcPr>
          <w:p>
            <w:pPr>
              <w:pStyle w:val="TableParagraph"/>
              <w:spacing w:before="12"/>
              <w:ind w:left="12"/>
              <w:jc w:val="center"/>
              <w:rPr>
                <w:sz w:val="20"/>
              </w:rPr>
            </w:pPr>
            <w:r>
              <w:rPr>
                <w:w w:val="99"/>
                <w:sz w:val="20"/>
              </w:rPr>
              <w:t>2</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before="8"/>
              <w:ind w:left="90" w:right="86"/>
              <w:jc w:val="center"/>
              <w:rPr>
                <w:rFonts w:ascii="Times New Roman"/>
                <w:i/>
                <w:sz w:val="20"/>
              </w:rPr>
            </w:pPr>
            <w:r>
              <w:rPr>
                <w:rFonts w:ascii="Times New Roman"/>
                <w:i/>
                <w:sz w:val="20"/>
              </w:rPr>
              <w:t>OV</w:t>
            </w:r>
          </w:p>
        </w:tc>
        <w:tc>
          <w:tcPr>
            <w:tcW w:w="7073" w:type="dxa"/>
            <w:gridSpan w:val="5"/>
            <w:tcBorders>
              <w:top w:val="nil"/>
              <w:left w:val="single" w:sz="6" w:space="0" w:color="000000"/>
              <w:bottom w:val="single" w:sz="6" w:space="0" w:color="000000"/>
            </w:tcBorders>
          </w:tcPr>
          <w:p>
            <w:pPr>
              <w:pStyle w:val="TableParagraph"/>
              <w:spacing w:before="12"/>
              <w:ind w:left="67"/>
              <w:rPr>
                <w:sz w:val="20"/>
              </w:rPr>
            </w:pPr>
            <w:r>
              <w:rPr>
                <w:sz w:val="20"/>
              </w:rPr>
              <w:t>Overflow flag.</w:t>
            </w:r>
          </w:p>
        </w:tc>
      </w:tr>
      <w:tr>
        <w:trPr>
          <w:trHeight w:val="270" w:hRule="atLeast"/>
        </w:trPr>
        <w:tc>
          <w:tcPr>
            <w:tcW w:w="1152" w:type="dxa"/>
            <w:tcBorders>
              <w:top w:val="single" w:sz="6" w:space="0" w:color="000000"/>
              <w:bottom w:val="single" w:sz="6" w:space="0" w:color="000000"/>
              <w:right w:val="single" w:sz="6" w:space="0" w:color="000000"/>
            </w:tcBorders>
          </w:tcPr>
          <w:p>
            <w:pPr>
              <w:pStyle w:val="TableParagraph"/>
              <w:spacing w:before="18"/>
              <w:ind w:left="12"/>
              <w:jc w:val="center"/>
              <w:rPr>
                <w:sz w:val="20"/>
              </w:rPr>
            </w:pPr>
            <w:r>
              <w:rPr>
                <w:w w:val="99"/>
                <w:sz w:val="20"/>
              </w:rPr>
              <w:t>1</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before="18"/>
              <w:ind w:left="7"/>
              <w:jc w:val="center"/>
              <w:rPr>
                <w:sz w:val="20"/>
              </w:rPr>
            </w:pPr>
            <w:r>
              <w:rPr>
                <w:w w:val="99"/>
                <w:sz w:val="20"/>
              </w:rPr>
              <w:t>–</w:t>
            </w:r>
          </w:p>
        </w:tc>
        <w:tc>
          <w:tcPr>
            <w:tcW w:w="7073" w:type="dxa"/>
            <w:gridSpan w:val="5"/>
            <w:tcBorders>
              <w:top w:val="single" w:sz="6" w:space="0" w:color="000000"/>
              <w:left w:val="single" w:sz="6" w:space="0" w:color="000000"/>
              <w:bottom w:val="single" w:sz="6" w:space="0" w:color="000000"/>
            </w:tcBorders>
          </w:tcPr>
          <w:p>
            <w:pPr>
              <w:pStyle w:val="TableParagraph"/>
              <w:spacing w:before="18"/>
              <w:ind w:left="67"/>
              <w:rPr>
                <w:sz w:val="20"/>
              </w:rPr>
            </w:pPr>
            <w:r>
              <w:rPr>
                <w:sz w:val="20"/>
              </w:rPr>
              <w:t>User defined flag.</w:t>
            </w:r>
          </w:p>
        </w:tc>
      </w:tr>
      <w:tr>
        <w:trPr>
          <w:trHeight w:val="501" w:hRule="atLeast"/>
        </w:trPr>
        <w:tc>
          <w:tcPr>
            <w:tcW w:w="1152" w:type="dxa"/>
            <w:tcBorders>
              <w:top w:val="single" w:sz="6" w:space="0" w:color="000000"/>
              <w:right w:val="single" w:sz="6" w:space="0" w:color="000000"/>
            </w:tcBorders>
          </w:tcPr>
          <w:p>
            <w:pPr>
              <w:pStyle w:val="TableParagraph"/>
              <w:spacing w:before="18"/>
              <w:ind w:left="12"/>
              <w:jc w:val="center"/>
              <w:rPr>
                <w:sz w:val="20"/>
              </w:rPr>
            </w:pPr>
            <w:r>
              <w:rPr>
                <w:w w:val="99"/>
                <w:sz w:val="20"/>
              </w:rPr>
              <w:t>0</w:t>
            </w:r>
          </w:p>
        </w:tc>
        <w:tc>
          <w:tcPr>
            <w:tcW w:w="1135" w:type="dxa"/>
            <w:tcBorders>
              <w:top w:val="single" w:sz="6" w:space="0" w:color="000000"/>
              <w:left w:val="single" w:sz="6" w:space="0" w:color="000000"/>
              <w:right w:val="single" w:sz="6" w:space="0" w:color="000000"/>
            </w:tcBorders>
          </w:tcPr>
          <w:p>
            <w:pPr>
              <w:pStyle w:val="TableParagraph"/>
              <w:spacing w:before="14"/>
              <w:ind w:left="4"/>
              <w:jc w:val="center"/>
              <w:rPr>
                <w:rFonts w:ascii="Times New Roman"/>
                <w:i/>
                <w:sz w:val="20"/>
              </w:rPr>
            </w:pPr>
            <w:r>
              <w:rPr>
                <w:rFonts w:ascii="Times New Roman"/>
                <w:i/>
                <w:w w:val="99"/>
                <w:sz w:val="20"/>
              </w:rPr>
              <w:t>P</w:t>
            </w:r>
          </w:p>
        </w:tc>
        <w:tc>
          <w:tcPr>
            <w:tcW w:w="7073" w:type="dxa"/>
            <w:gridSpan w:val="5"/>
            <w:tcBorders>
              <w:top w:val="single" w:sz="6" w:space="0" w:color="000000"/>
              <w:left w:val="single" w:sz="6" w:space="0" w:color="000000"/>
            </w:tcBorders>
          </w:tcPr>
          <w:p>
            <w:pPr>
              <w:pStyle w:val="TableParagraph"/>
              <w:spacing w:before="18"/>
              <w:ind w:left="67" w:right="102"/>
              <w:rPr>
                <w:sz w:val="20"/>
              </w:rPr>
            </w:pPr>
            <w:r>
              <w:rPr>
                <w:sz w:val="20"/>
              </w:rPr>
              <w:t>Parity flag, affected by hardware to indicate odd or even number of one bits in the Accumulator, i.e. even parity.</w:t>
            </w:r>
          </w:p>
        </w:tc>
      </w:tr>
    </w:tbl>
    <w:p>
      <w:pPr>
        <w:pStyle w:val="BodyText"/>
        <w:spacing w:before="9"/>
        <w:rPr>
          <w:b/>
          <w:sz w:val="19"/>
        </w:rPr>
      </w:pPr>
    </w:p>
    <w:p>
      <w:pPr>
        <w:spacing w:before="1"/>
        <w:ind w:left="620" w:right="0" w:firstLine="0"/>
        <w:jc w:val="left"/>
        <w:rPr>
          <w:b/>
          <w:sz w:val="20"/>
        </w:rPr>
      </w:pPr>
      <w:bookmarkStart w:name="Stack Pointer (SP, SFR 0x81):" w:id="122"/>
      <w:bookmarkEnd w:id="122"/>
      <w:r>
        <w:rPr/>
      </w:r>
      <w:bookmarkStart w:name="_bookmark54" w:id="123"/>
      <w:bookmarkEnd w:id="123"/>
      <w:r>
        <w:rPr/>
      </w:r>
      <w:r>
        <w:rPr>
          <w:b/>
          <w:sz w:val="20"/>
        </w:rPr>
        <w:t>Stack Pointer (</w:t>
      </w:r>
      <w:r>
        <w:rPr>
          <w:rFonts w:ascii="Times New Roman"/>
          <w:b/>
          <w:i/>
          <w:sz w:val="20"/>
        </w:rPr>
        <w:t>SP, SFR 0x81</w:t>
      </w:r>
      <w:r>
        <w:rPr>
          <w:b/>
          <w:sz w:val="20"/>
        </w:rPr>
        <w:t>):</w:t>
      </w:r>
    </w:p>
    <w:p>
      <w:pPr>
        <w:pStyle w:val="BodyText"/>
        <w:spacing w:before="78"/>
        <w:ind w:left="619" w:right="950"/>
      </w:pPr>
      <w:r>
        <w:rPr/>
        <w:t>The stack pointer is a 1-byte register initialized to 0x07 after reset. This register is incremented before PUSH and CALL instructions, causing the stack to begin at location 0x08.</w:t>
      </w:r>
    </w:p>
    <w:p>
      <w:pPr>
        <w:spacing w:before="121"/>
        <w:ind w:left="619" w:right="0" w:firstLine="0"/>
        <w:jc w:val="left"/>
        <w:rPr>
          <w:b/>
          <w:sz w:val="20"/>
        </w:rPr>
      </w:pPr>
      <w:bookmarkStart w:name="Data Pointer:" w:id="124"/>
      <w:bookmarkEnd w:id="124"/>
      <w:r>
        <w:rPr/>
      </w:r>
      <w:bookmarkStart w:name="_bookmark55" w:id="125"/>
      <w:bookmarkEnd w:id="125"/>
      <w:r>
        <w:rPr/>
      </w:r>
      <w:r>
        <w:rPr>
          <w:b/>
          <w:sz w:val="20"/>
        </w:rPr>
        <w:t>Data Pointer:</w:t>
      </w:r>
    </w:p>
    <w:p>
      <w:pPr>
        <w:spacing w:line="240" w:lineRule="auto" w:before="77"/>
        <w:ind w:left="619" w:right="649" w:firstLine="0"/>
        <w:jc w:val="left"/>
        <w:rPr>
          <w:sz w:val="20"/>
        </w:rPr>
      </w:pPr>
      <w:r>
        <w:rPr>
          <w:sz w:val="20"/>
        </w:rPr>
        <w:t>The data pointers (</w:t>
      </w:r>
      <w:r>
        <w:rPr>
          <w:rFonts w:ascii="Times New Roman"/>
          <w:i/>
          <w:sz w:val="20"/>
        </w:rPr>
        <w:t>DPTR and DPRT1</w:t>
      </w:r>
      <w:r>
        <w:rPr>
          <w:sz w:val="20"/>
        </w:rPr>
        <w:t>) are 2 bytes wide. The lower part is </w:t>
      </w:r>
      <w:r>
        <w:rPr>
          <w:rFonts w:ascii="Times New Roman"/>
          <w:i/>
          <w:sz w:val="20"/>
        </w:rPr>
        <w:t>DPL (SFR 0x82) </w:t>
      </w:r>
      <w:r>
        <w:rPr>
          <w:sz w:val="20"/>
        </w:rPr>
        <w:t>and </w:t>
      </w:r>
      <w:r>
        <w:rPr>
          <w:rFonts w:ascii="Times New Roman"/>
          <w:i/>
          <w:sz w:val="20"/>
        </w:rPr>
        <w:t>DPL1 (SFR </w:t>
      </w:r>
      <w:r>
        <w:rPr>
          <w:rFonts w:ascii="Times New Roman"/>
          <w:i/>
          <w:sz w:val="20"/>
        </w:rPr>
        <w:t>0x84), </w:t>
      </w:r>
      <w:r>
        <w:rPr>
          <w:sz w:val="20"/>
        </w:rPr>
        <w:t>respectively. The highest is </w:t>
      </w:r>
      <w:r>
        <w:rPr>
          <w:rFonts w:ascii="Times New Roman"/>
          <w:i/>
          <w:sz w:val="20"/>
        </w:rPr>
        <w:t>DPH (SFR 0x83) </w:t>
      </w:r>
      <w:r>
        <w:rPr>
          <w:sz w:val="20"/>
        </w:rPr>
        <w:t>and </w:t>
      </w:r>
      <w:r>
        <w:rPr>
          <w:rFonts w:ascii="Times New Roman"/>
          <w:i/>
          <w:sz w:val="20"/>
        </w:rPr>
        <w:t>DPH1 (SFR 0x85), </w:t>
      </w:r>
      <w:r>
        <w:rPr>
          <w:sz w:val="20"/>
        </w:rPr>
        <w:t>respectively. The data pointers can be loaded as two registers (e.g. MOV DPL,#data8). They are generally used to access external code or data space (e.g. MOVC A,@A+DPTR or MOVX A,@DPTR respectively).</w:t>
      </w:r>
    </w:p>
    <w:p>
      <w:pPr>
        <w:spacing w:before="123"/>
        <w:ind w:left="619" w:right="0" w:firstLine="0"/>
        <w:jc w:val="left"/>
        <w:rPr>
          <w:b/>
          <w:sz w:val="20"/>
        </w:rPr>
      </w:pPr>
      <w:bookmarkStart w:name="Program Counter:" w:id="126"/>
      <w:bookmarkEnd w:id="126"/>
      <w:r>
        <w:rPr/>
      </w:r>
      <w:r>
        <w:rPr>
          <w:b/>
          <w:sz w:val="20"/>
        </w:rPr>
        <w:t>Program Counter:</w:t>
      </w:r>
    </w:p>
    <w:p>
      <w:pPr>
        <w:pStyle w:val="BodyText"/>
        <w:spacing w:line="242" w:lineRule="auto" w:before="77"/>
        <w:ind w:left="619" w:right="559" w:hanging="1"/>
      </w:pPr>
      <w:r>
        <w:rPr/>
        <w:t>The </w:t>
      </w:r>
      <w:r>
        <w:rPr>
          <w:spacing w:val="-4"/>
        </w:rPr>
        <w:t>program </w:t>
      </w:r>
      <w:r>
        <w:rPr>
          <w:spacing w:val="-3"/>
        </w:rPr>
        <w:t>counter (</w:t>
      </w:r>
      <w:r>
        <w:rPr>
          <w:rFonts w:ascii="Times New Roman"/>
          <w:i/>
          <w:spacing w:val="-3"/>
        </w:rPr>
        <w:t>PC</w:t>
      </w:r>
      <w:r>
        <w:rPr>
          <w:spacing w:val="-3"/>
        </w:rPr>
        <w:t>) </w:t>
      </w:r>
      <w:r>
        <w:rPr/>
        <w:t>is 2 </w:t>
      </w:r>
      <w:r>
        <w:rPr>
          <w:spacing w:val="-4"/>
        </w:rPr>
        <w:t>bytes</w:t>
      </w:r>
      <w:r>
        <w:rPr>
          <w:spacing w:val="-3"/>
        </w:rPr>
        <w:t> wide </w:t>
      </w:r>
      <w:r>
        <w:rPr/>
        <w:t>and</w:t>
      </w:r>
      <w:r>
        <w:rPr>
          <w:spacing w:val="-4"/>
        </w:rPr>
        <w:t> initialized </w:t>
      </w:r>
      <w:r>
        <w:rPr/>
        <w:t>to </w:t>
      </w:r>
      <w:r>
        <w:rPr>
          <w:spacing w:val="-3"/>
        </w:rPr>
        <w:t>0x0000 after reset. </w:t>
      </w:r>
      <w:r>
        <w:rPr/>
        <w:t>This </w:t>
      </w:r>
      <w:r>
        <w:rPr>
          <w:spacing w:val="-3"/>
        </w:rPr>
        <w:t>register </w:t>
      </w:r>
      <w:r>
        <w:rPr/>
        <w:t>is </w:t>
      </w:r>
      <w:r>
        <w:rPr>
          <w:spacing w:val="-4"/>
        </w:rPr>
        <w:t>incremented </w:t>
      </w:r>
      <w:r>
        <w:rPr/>
        <w:t>when fetching operation code or when operating on data from program memory.</w:t>
      </w:r>
    </w:p>
    <w:p>
      <w:pPr>
        <w:spacing w:before="118"/>
        <w:ind w:left="619" w:right="0" w:firstLine="0"/>
        <w:jc w:val="left"/>
        <w:rPr>
          <w:b/>
          <w:sz w:val="20"/>
        </w:rPr>
      </w:pPr>
      <w:bookmarkStart w:name="Port Registers:" w:id="127"/>
      <w:bookmarkEnd w:id="127"/>
      <w:r>
        <w:rPr/>
      </w:r>
      <w:r>
        <w:rPr>
          <w:b/>
          <w:sz w:val="20"/>
        </w:rPr>
        <w:t>Port Registers:</w:t>
      </w:r>
    </w:p>
    <w:p>
      <w:pPr>
        <w:pStyle w:val="BodyText"/>
        <w:spacing w:before="77"/>
        <w:ind w:left="619" w:right="620"/>
      </w:pPr>
      <w:r>
        <w:rPr/>
        <w:t>SEGDIO0 through SEGDIO15 are controlled by Special Function Registers </w:t>
      </w:r>
      <w:r>
        <w:rPr>
          <w:rFonts w:ascii="Times New Roman"/>
          <w:i/>
        </w:rPr>
        <w:t>P0</w:t>
      </w:r>
      <w:r>
        <w:rPr/>
        <w:t>, </w:t>
      </w:r>
      <w:r>
        <w:rPr>
          <w:rFonts w:ascii="Times New Roman"/>
          <w:i/>
        </w:rPr>
        <w:t>P1, P2</w:t>
      </w:r>
      <w:r>
        <w:rPr/>
        <w:t>, and </w:t>
      </w:r>
      <w:r>
        <w:rPr>
          <w:rFonts w:ascii="Times New Roman"/>
          <w:i/>
        </w:rPr>
        <w:t>P3 </w:t>
      </w:r>
      <w:r>
        <w:rPr/>
        <w:t>as shown in </w:t>
      </w:r>
      <w:hyperlink w:history="true" w:anchor="_bookmark56">
        <w:r>
          <w:rPr>
            <w:color w:val="0000FF"/>
          </w:rPr>
          <w:t>Table 14. </w:t>
        </w:r>
      </w:hyperlink>
      <w:r>
        <w:rPr/>
        <w:t>Above SEGDIO15, the </w:t>
      </w:r>
      <w:r>
        <w:rPr>
          <w:rFonts w:ascii="Times New Roman"/>
          <w:i/>
        </w:rPr>
        <w:t>LCD_SEGDIOn[ ] </w:t>
      </w:r>
      <w:r>
        <w:rPr>
          <w:spacing w:val="-3"/>
        </w:rPr>
        <w:t>registers </w:t>
      </w:r>
      <w:r>
        <w:rPr/>
        <w:t>in </w:t>
      </w:r>
      <w:r>
        <w:rPr>
          <w:spacing w:val="-3"/>
        </w:rPr>
        <w:t>I/O RAM </w:t>
      </w:r>
      <w:r>
        <w:rPr/>
        <w:t>are </w:t>
      </w:r>
      <w:r>
        <w:rPr>
          <w:spacing w:val="-3"/>
        </w:rPr>
        <w:t>used. </w:t>
      </w:r>
      <w:r>
        <w:rPr/>
        <w:t>Since the direction bits are contained in the upper nibble of each SFR </w:t>
      </w:r>
      <w:r>
        <w:rPr>
          <w:i/>
        </w:rPr>
        <w:t>Pn </w:t>
      </w:r>
      <w:r>
        <w:rPr/>
        <w:t>register and the DIO bits are contained in the lower nibble, it is possible to configure the direction of a given DIO pin and set its output value with a single write </w:t>
      </w:r>
      <w:r>
        <w:rPr>
          <w:spacing w:val="2"/>
        </w:rPr>
        <w:t>operation, </w:t>
      </w:r>
      <w:r>
        <w:rPr/>
        <w:t>thus </w:t>
      </w:r>
      <w:r>
        <w:rPr>
          <w:spacing w:val="2"/>
        </w:rPr>
        <w:t>facilitating the implementation </w:t>
      </w:r>
      <w:r>
        <w:rPr/>
        <w:t>of </w:t>
      </w:r>
      <w:r>
        <w:rPr>
          <w:spacing w:val="2"/>
        </w:rPr>
        <w:t>bit-banged interfaces. Writing </w:t>
      </w:r>
      <w:r>
        <w:rPr/>
        <w:t>a 1 to a </w:t>
      </w:r>
      <w:r>
        <w:rPr>
          <w:rFonts w:ascii="Times New Roman"/>
          <w:i/>
          <w:spacing w:val="2"/>
        </w:rPr>
        <w:t>DIO_DIR </w:t>
      </w:r>
      <w:r>
        <w:rPr/>
        <w:t>bit </w:t>
      </w:r>
      <w:r>
        <w:rPr>
          <w:spacing w:val="2"/>
        </w:rPr>
        <w:t>configures </w:t>
      </w:r>
      <w:r>
        <w:rPr/>
        <w:t>the corresponding DIO as an output, while writing a 0 configures it as an input. Writing a 1 to a DIO bit causes the corresponding pin to be at high level (V3P3), </w:t>
      </w:r>
      <w:r>
        <w:rPr>
          <w:spacing w:val="-3"/>
        </w:rPr>
        <w:t>while writing </w:t>
      </w:r>
      <w:r>
        <w:rPr/>
        <w:t>a 0 causes the </w:t>
      </w:r>
      <w:r>
        <w:rPr>
          <w:spacing w:val="-3"/>
        </w:rPr>
        <w:t>corresponding</w:t>
      </w:r>
      <w:r>
        <w:rPr>
          <w:spacing w:val="-6"/>
        </w:rPr>
        <w:t> </w:t>
      </w:r>
      <w:r>
        <w:rPr/>
        <w:t>pin</w:t>
      </w:r>
      <w:r>
        <w:rPr>
          <w:spacing w:val="-6"/>
        </w:rPr>
        <w:t> </w:t>
      </w:r>
      <w:r>
        <w:rPr/>
        <w:t>to</w:t>
      </w:r>
      <w:r>
        <w:rPr>
          <w:spacing w:val="-7"/>
        </w:rPr>
        <w:t> </w:t>
      </w:r>
      <w:r>
        <w:rPr/>
        <w:t>be</w:t>
      </w:r>
      <w:r>
        <w:rPr>
          <w:spacing w:val="-6"/>
        </w:rPr>
        <w:t> </w:t>
      </w:r>
      <w:r>
        <w:rPr/>
        <w:t>held</w:t>
      </w:r>
      <w:r>
        <w:rPr>
          <w:spacing w:val="-8"/>
        </w:rPr>
        <w:t> </w:t>
      </w:r>
      <w:r>
        <w:rPr/>
        <w:t>at</w:t>
      </w:r>
      <w:r>
        <w:rPr>
          <w:spacing w:val="-3"/>
        </w:rPr>
        <w:t> </w:t>
      </w:r>
      <w:r>
        <w:rPr/>
        <w:t>a</w:t>
      </w:r>
      <w:r>
        <w:rPr>
          <w:spacing w:val="-6"/>
        </w:rPr>
        <w:t> </w:t>
      </w:r>
      <w:r>
        <w:rPr/>
        <w:t>low</w:t>
      </w:r>
      <w:r>
        <w:rPr>
          <w:spacing w:val="-8"/>
        </w:rPr>
        <w:t> </w:t>
      </w:r>
      <w:r>
        <w:rPr/>
        <w:t>level</w:t>
      </w:r>
      <w:r>
        <w:rPr>
          <w:spacing w:val="-8"/>
        </w:rPr>
        <w:t> </w:t>
      </w:r>
      <w:r>
        <w:rPr/>
        <w:t>(GND).</w:t>
      </w:r>
      <w:r>
        <w:rPr>
          <w:spacing w:val="-5"/>
        </w:rPr>
        <w:t> </w:t>
      </w:r>
      <w:r>
        <w:rPr/>
        <w:t>See</w:t>
      </w:r>
      <w:r>
        <w:rPr>
          <w:spacing w:val="-1"/>
        </w:rPr>
        <w:t> </w:t>
      </w:r>
      <w:hyperlink w:history="true" w:anchor="_bookmark117">
        <w:r>
          <w:rPr>
            <w:color w:val="0000FF"/>
          </w:rPr>
          <w:t>2.5.10</w:t>
        </w:r>
        <w:r>
          <w:rPr>
            <w:color w:val="0000FF"/>
            <w:spacing w:val="-3"/>
          </w:rPr>
          <w:t> </w:t>
        </w:r>
      </w:hyperlink>
      <w:hyperlink w:history="true" w:anchor="_bookmark117">
        <w:r>
          <w:rPr>
            <w:color w:val="0000FF"/>
          </w:rPr>
          <w:t>Digital</w:t>
        </w:r>
        <w:r>
          <w:rPr>
            <w:color w:val="0000FF"/>
            <w:spacing w:val="-2"/>
          </w:rPr>
          <w:t> </w:t>
        </w:r>
        <w:r>
          <w:rPr>
            <w:color w:val="0000FF"/>
          </w:rPr>
          <w:t>I/O</w:t>
        </w:r>
        <w:r>
          <w:rPr>
            <w:color w:val="0000FF"/>
            <w:spacing w:val="-1"/>
          </w:rPr>
          <w:t> </w:t>
        </w:r>
      </w:hyperlink>
      <w:r>
        <w:rPr/>
        <w:t>for</w:t>
      </w:r>
      <w:r>
        <w:rPr>
          <w:spacing w:val="-2"/>
        </w:rPr>
        <w:t> </w:t>
      </w:r>
      <w:r>
        <w:rPr/>
        <w:t>additional</w:t>
      </w:r>
      <w:r>
        <w:rPr>
          <w:spacing w:val="-1"/>
        </w:rPr>
        <w:t> </w:t>
      </w:r>
      <w:r>
        <w:rPr/>
        <w:t>details.</w:t>
      </w:r>
    </w:p>
    <w:p>
      <w:pPr>
        <w:spacing w:after="0"/>
        <w:sectPr>
          <w:pgSz w:w="12240" w:h="15840"/>
          <w:pgMar w:header="727" w:footer="819" w:top="960" w:bottom="1000" w:left="820" w:right="860"/>
        </w:sectPr>
      </w:pPr>
    </w:p>
    <w:p>
      <w:pPr>
        <w:pStyle w:val="BodyText"/>
        <w:spacing w:before="6"/>
        <w:rPr>
          <w:sz w:val="16"/>
        </w:rPr>
      </w:pPr>
    </w:p>
    <w:p>
      <w:pPr>
        <w:pStyle w:val="Heading1"/>
        <w:spacing w:before="93"/>
        <w:ind w:left="1314" w:right="1278"/>
      </w:pPr>
      <w:bookmarkStart w:name="_bookmark56" w:id="128"/>
      <w:bookmarkEnd w:id="128"/>
      <w:r>
        <w:rPr>
          <w:b w:val="0"/>
        </w:rPr>
      </w:r>
      <w:r>
        <w:rPr/>
        <w:t>Table 14: </w:t>
      </w:r>
      <w:bookmarkStart w:name="_bookmark57" w:id="129"/>
      <w:bookmarkEnd w:id="129"/>
      <w:r>
        <w:rPr/>
        <w:t>P</w:t>
      </w:r>
      <w:r>
        <w:rPr/>
        <w:t>ort Registers (SEGDIO0-15)</w:t>
      </w:r>
    </w:p>
    <w:p>
      <w:pPr>
        <w:pStyle w:val="BodyText"/>
        <w:spacing w:before="7"/>
        <w:rPr>
          <w:b/>
          <w:sz w:val="5"/>
        </w:rPr>
      </w:pPr>
    </w:p>
    <w:tbl>
      <w:tblPr>
        <w:tblW w:w="0" w:type="auto"/>
        <w:jc w:val="left"/>
        <w:tblInd w:w="1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8"/>
        <w:gridCol w:w="1449"/>
        <w:gridCol w:w="719"/>
        <w:gridCol w:w="808"/>
        <w:gridCol w:w="719"/>
        <w:gridCol w:w="719"/>
        <w:gridCol w:w="719"/>
        <w:gridCol w:w="719"/>
        <w:gridCol w:w="719"/>
        <w:gridCol w:w="719"/>
      </w:tblGrid>
      <w:tr>
        <w:trPr>
          <w:trHeight w:val="539" w:hRule="atLeast"/>
        </w:trPr>
        <w:tc>
          <w:tcPr>
            <w:tcW w:w="1178" w:type="dxa"/>
          </w:tcPr>
          <w:p>
            <w:pPr>
              <w:pStyle w:val="TableParagraph"/>
              <w:spacing w:line="229" w:lineRule="exact" w:before="35"/>
              <w:ind w:left="388"/>
              <w:rPr>
                <w:b/>
                <w:sz w:val="20"/>
              </w:rPr>
            </w:pPr>
            <w:r>
              <w:rPr>
                <w:b/>
                <w:sz w:val="20"/>
              </w:rPr>
              <w:t>SFR</w:t>
            </w:r>
          </w:p>
          <w:p>
            <w:pPr>
              <w:pStyle w:val="TableParagraph"/>
              <w:spacing w:line="229" w:lineRule="exact"/>
              <w:ind w:left="316"/>
              <w:rPr>
                <w:b/>
                <w:sz w:val="20"/>
              </w:rPr>
            </w:pPr>
            <w:r>
              <w:rPr>
                <w:b/>
                <w:sz w:val="20"/>
              </w:rPr>
              <w:t>Name</w:t>
            </w:r>
          </w:p>
        </w:tc>
        <w:tc>
          <w:tcPr>
            <w:tcW w:w="1449" w:type="dxa"/>
          </w:tcPr>
          <w:p>
            <w:pPr>
              <w:pStyle w:val="TableParagraph"/>
              <w:spacing w:line="229" w:lineRule="exact" w:before="35"/>
              <w:ind w:left="301" w:right="291"/>
              <w:jc w:val="center"/>
              <w:rPr>
                <w:b/>
                <w:sz w:val="20"/>
              </w:rPr>
            </w:pPr>
            <w:r>
              <w:rPr>
                <w:b/>
                <w:sz w:val="20"/>
              </w:rPr>
              <w:t>SFR</w:t>
            </w:r>
          </w:p>
          <w:p>
            <w:pPr>
              <w:pStyle w:val="TableParagraph"/>
              <w:spacing w:line="229" w:lineRule="exact"/>
              <w:ind w:left="301" w:right="296"/>
              <w:jc w:val="center"/>
              <w:rPr>
                <w:b/>
                <w:sz w:val="20"/>
              </w:rPr>
            </w:pPr>
            <w:r>
              <w:rPr>
                <w:b/>
                <w:sz w:val="20"/>
              </w:rPr>
              <w:t>Address</w:t>
            </w:r>
          </w:p>
        </w:tc>
        <w:tc>
          <w:tcPr>
            <w:tcW w:w="719" w:type="dxa"/>
          </w:tcPr>
          <w:p>
            <w:pPr>
              <w:pStyle w:val="TableParagraph"/>
              <w:spacing w:before="150"/>
              <w:ind w:left="231"/>
              <w:rPr>
                <w:b/>
                <w:sz w:val="20"/>
              </w:rPr>
            </w:pPr>
            <w:r>
              <w:rPr>
                <w:b/>
                <w:sz w:val="20"/>
              </w:rPr>
              <w:t>D7</w:t>
            </w:r>
          </w:p>
        </w:tc>
        <w:tc>
          <w:tcPr>
            <w:tcW w:w="808" w:type="dxa"/>
          </w:tcPr>
          <w:p>
            <w:pPr>
              <w:pStyle w:val="TableParagraph"/>
              <w:spacing w:before="150"/>
              <w:ind w:left="277"/>
              <w:rPr>
                <w:b/>
                <w:sz w:val="20"/>
              </w:rPr>
            </w:pPr>
            <w:r>
              <w:rPr>
                <w:b/>
                <w:sz w:val="20"/>
              </w:rPr>
              <w:t>D6</w:t>
            </w:r>
          </w:p>
        </w:tc>
        <w:tc>
          <w:tcPr>
            <w:tcW w:w="719" w:type="dxa"/>
          </w:tcPr>
          <w:p>
            <w:pPr>
              <w:pStyle w:val="TableParagraph"/>
              <w:spacing w:before="150"/>
              <w:ind w:left="232"/>
              <w:rPr>
                <w:b/>
                <w:sz w:val="20"/>
              </w:rPr>
            </w:pPr>
            <w:r>
              <w:rPr>
                <w:b/>
                <w:sz w:val="20"/>
              </w:rPr>
              <w:t>D5</w:t>
            </w:r>
          </w:p>
        </w:tc>
        <w:tc>
          <w:tcPr>
            <w:tcW w:w="719" w:type="dxa"/>
          </w:tcPr>
          <w:p>
            <w:pPr>
              <w:pStyle w:val="TableParagraph"/>
              <w:spacing w:before="150"/>
              <w:ind w:left="233"/>
              <w:rPr>
                <w:b/>
                <w:sz w:val="20"/>
              </w:rPr>
            </w:pPr>
            <w:r>
              <w:rPr>
                <w:b/>
                <w:sz w:val="20"/>
              </w:rPr>
              <w:t>D4</w:t>
            </w:r>
          </w:p>
        </w:tc>
        <w:tc>
          <w:tcPr>
            <w:tcW w:w="719" w:type="dxa"/>
          </w:tcPr>
          <w:p>
            <w:pPr>
              <w:pStyle w:val="TableParagraph"/>
              <w:spacing w:before="150"/>
              <w:ind w:left="234"/>
              <w:rPr>
                <w:b/>
                <w:sz w:val="20"/>
              </w:rPr>
            </w:pPr>
            <w:r>
              <w:rPr>
                <w:b/>
                <w:sz w:val="20"/>
              </w:rPr>
              <w:t>D3</w:t>
            </w:r>
          </w:p>
        </w:tc>
        <w:tc>
          <w:tcPr>
            <w:tcW w:w="719" w:type="dxa"/>
          </w:tcPr>
          <w:p>
            <w:pPr>
              <w:pStyle w:val="TableParagraph"/>
              <w:spacing w:before="150"/>
              <w:ind w:left="235"/>
              <w:rPr>
                <w:b/>
                <w:sz w:val="20"/>
              </w:rPr>
            </w:pPr>
            <w:r>
              <w:rPr>
                <w:b/>
                <w:sz w:val="20"/>
              </w:rPr>
              <w:t>D2</w:t>
            </w:r>
          </w:p>
        </w:tc>
        <w:tc>
          <w:tcPr>
            <w:tcW w:w="719" w:type="dxa"/>
          </w:tcPr>
          <w:p>
            <w:pPr>
              <w:pStyle w:val="TableParagraph"/>
              <w:spacing w:before="150"/>
              <w:ind w:left="236"/>
              <w:rPr>
                <w:b/>
                <w:sz w:val="20"/>
              </w:rPr>
            </w:pPr>
            <w:r>
              <w:rPr>
                <w:b/>
                <w:sz w:val="20"/>
              </w:rPr>
              <w:t>D1</w:t>
            </w:r>
          </w:p>
        </w:tc>
        <w:tc>
          <w:tcPr>
            <w:tcW w:w="719" w:type="dxa"/>
          </w:tcPr>
          <w:p>
            <w:pPr>
              <w:pStyle w:val="TableParagraph"/>
              <w:spacing w:before="150"/>
              <w:ind w:left="237"/>
              <w:rPr>
                <w:b/>
                <w:sz w:val="20"/>
              </w:rPr>
            </w:pPr>
            <w:r>
              <w:rPr>
                <w:b/>
                <w:sz w:val="20"/>
              </w:rPr>
              <w:t>D0</w:t>
            </w:r>
          </w:p>
        </w:tc>
      </w:tr>
      <w:tr>
        <w:trPr>
          <w:trHeight w:val="270" w:hRule="atLeast"/>
        </w:trPr>
        <w:tc>
          <w:tcPr>
            <w:tcW w:w="1178" w:type="dxa"/>
          </w:tcPr>
          <w:p>
            <w:pPr>
              <w:pStyle w:val="TableParagraph"/>
              <w:spacing w:before="16"/>
              <w:ind w:left="465"/>
              <w:rPr>
                <w:i/>
                <w:sz w:val="20"/>
              </w:rPr>
            </w:pPr>
            <w:r>
              <w:rPr>
                <w:i/>
                <w:sz w:val="20"/>
              </w:rPr>
              <w:t>P0</w:t>
            </w:r>
          </w:p>
        </w:tc>
        <w:tc>
          <w:tcPr>
            <w:tcW w:w="1449" w:type="dxa"/>
          </w:tcPr>
          <w:p>
            <w:pPr>
              <w:pStyle w:val="TableParagraph"/>
              <w:spacing w:before="18"/>
              <w:ind w:right="604"/>
              <w:jc w:val="right"/>
              <w:rPr>
                <w:sz w:val="20"/>
              </w:rPr>
            </w:pPr>
            <w:r>
              <w:rPr>
                <w:w w:val="95"/>
                <w:sz w:val="20"/>
              </w:rPr>
              <w:t>80</w:t>
            </w:r>
          </w:p>
        </w:tc>
        <w:tc>
          <w:tcPr>
            <w:tcW w:w="2965" w:type="dxa"/>
            <w:gridSpan w:val="4"/>
          </w:tcPr>
          <w:p>
            <w:pPr>
              <w:pStyle w:val="TableParagraph"/>
              <w:spacing w:before="16"/>
              <w:ind w:left="883"/>
              <w:rPr>
                <w:i/>
                <w:sz w:val="20"/>
              </w:rPr>
            </w:pPr>
            <w:r>
              <w:rPr>
                <w:i/>
                <w:sz w:val="20"/>
              </w:rPr>
              <w:t>DIO_DIR[3:0]</w:t>
            </w:r>
          </w:p>
        </w:tc>
        <w:tc>
          <w:tcPr>
            <w:tcW w:w="2876" w:type="dxa"/>
            <w:gridSpan w:val="4"/>
          </w:tcPr>
          <w:p>
            <w:pPr>
              <w:pStyle w:val="TableParagraph"/>
              <w:spacing w:before="16"/>
              <w:ind w:left="993" w:right="973"/>
              <w:jc w:val="center"/>
              <w:rPr>
                <w:i/>
                <w:sz w:val="20"/>
              </w:rPr>
            </w:pPr>
            <w:r>
              <w:rPr>
                <w:i/>
                <w:sz w:val="20"/>
              </w:rPr>
              <w:t>DIO[3:0]</w:t>
            </w:r>
          </w:p>
        </w:tc>
      </w:tr>
      <w:tr>
        <w:trPr>
          <w:trHeight w:val="268" w:hRule="atLeast"/>
        </w:trPr>
        <w:tc>
          <w:tcPr>
            <w:tcW w:w="1178" w:type="dxa"/>
          </w:tcPr>
          <w:p>
            <w:pPr>
              <w:pStyle w:val="TableParagraph"/>
              <w:spacing w:before="16"/>
              <w:ind w:left="465"/>
              <w:rPr>
                <w:i/>
                <w:sz w:val="20"/>
              </w:rPr>
            </w:pPr>
            <w:r>
              <w:rPr>
                <w:i/>
                <w:sz w:val="20"/>
              </w:rPr>
              <w:t>P1</w:t>
            </w:r>
          </w:p>
        </w:tc>
        <w:tc>
          <w:tcPr>
            <w:tcW w:w="1449" w:type="dxa"/>
          </w:tcPr>
          <w:p>
            <w:pPr>
              <w:pStyle w:val="TableParagraph"/>
              <w:spacing w:before="18"/>
              <w:ind w:right="604"/>
              <w:jc w:val="right"/>
              <w:rPr>
                <w:sz w:val="20"/>
              </w:rPr>
            </w:pPr>
            <w:r>
              <w:rPr>
                <w:w w:val="95"/>
                <w:sz w:val="20"/>
              </w:rPr>
              <w:t>90</w:t>
            </w:r>
          </w:p>
        </w:tc>
        <w:tc>
          <w:tcPr>
            <w:tcW w:w="2965" w:type="dxa"/>
            <w:gridSpan w:val="4"/>
          </w:tcPr>
          <w:p>
            <w:pPr>
              <w:pStyle w:val="TableParagraph"/>
              <w:spacing w:before="16"/>
              <w:ind w:left="883"/>
              <w:rPr>
                <w:i/>
                <w:sz w:val="20"/>
              </w:rPr>
            </w:pPr>
            <w:r>
              <w:rPr>
                <w:i/>
                <w:sz w:val="20"/>
              </w:rPr>
              <w:t>DIO_DIR[7:4]</w:t>
            </w:r>
          </w:p>
        </w:tc>
        <w:tc>
          <w:tcPr>
            <w:tcW w:w="2876" w:type="dxa"/>
            <w:gridSpan w:val="4"/>
          </w:tcPr>
          <w:p>
            <w:pPr>
              <w:pStyle w:val="TableParagraph"/>
              <w:spacing w:before="16"/>
              <w:ind w:left="993" w:right="973"/>
              <w:jc w:val="center"/>
              <w:rPr>
                <w:i/>
                <w:sz w:val="20"/>
              </w:rPr>
            </w:pPr>
            <w:r>
              <w:rPr>
                <w:i/>
                <w:sz w:val="20"/>
              </w:rPr>
              <w:t>DIO[7:4]</w:t>
            </w:r>
          </w:p>
        </w:tc>
      </w:tr>
      <w:tr>
        <w:trPr>
          <w:trHeight w:val="270" w:hRule="atLeast"/>
        </w:trPr>
        <w:tc>
          <w:tcPr>
            <w:tcW w:w="1178" w:type="dxa"/>
          </w:tcPr>
          <w:p>
            <w:pPr>
              <w:pStyle w:val="TableParagraph"/>
              <w:spacing w:before="16"/>
              <w:ind w:left="465"/>
              <w:rPr>
                <w:i/>
                <w:sz w:val="20"/>
              </w:rPr>
            </w:pPr>
            <w:r>
              <w:rPr>
                <w:i/>
                <w:sz w:val="20"/>
              </w:rPr>
              <w:t>P2</w:t>
            </w:r>
          </w:p>
        </w:tc>
        <w:tc>
          <w:tcPr>
            <w:tcW w:w="1449" w:type="dxa"/>
          </w:tcPr>
          <w:p>
            <w:pPr>
              <w:pStyle w:val="TableParagraph"/>
              <w:spacing w:before="18"/>
              <w:ind w:right="592"/>
              <w:jc w:val="right"/>
              <w:rPr>
                <w:sz w:val="20"/>
              </w:rPr>
            </w:pPr>
            <w:r>
              <w:rPr>
                <w:w w:val="95"/>
                <w:sz w:val="20"/>
              </w:rPr>
              <w:t>A0</w:t>
            </w:r>
          </w:p>
        </w:tc>
        <w:tc>
          <w:tcPr>
            <w:tcW w:w="2965" w:type="dxa"/>
            <w:gridSpan w:val="4"/>
          </w:tcPr>
          <w:p>
            <w:pPr>
              <w:pStyle w:val="TableParagraph"/>
              <w:spacing w:before="16"/>
              <w:ind w:left="828"/>
              <w:rPr>
                <w:i/>
                <w:sz w:val="20"/>
              </w:rPr>
            </w:pPr>
            <w:r>
              <w:rPr>
                <w:i/>
                <w:sz w:val="20"/>
              </w:rPr>
              <w:t>DIO_DIR[11:8]</w:t>
            </w:r>
          </w:p>
        </w:tc>
        <w:tc>
          <w:tcPr>
            <w:tcW w:w="2876" w:type="dxa"/>
            <w:gridSpan w:val="4"/>
          </w:tcPr>
          <w:p>
            <w:pPr>
              <w:pStyle w:val="TableParagraph"/>
              <w:spacing w:before="16"/>
              <w:ind w:left="993" w:right="976"/>
              <w:jc w:val="center"/>
              <w:rPr>
                <w:i/>
                <w:sz w:val="20"/>
              </w:rPr>
            </w:pPr>
            <w:r>
              <w:rPr>
                <w:i/>
                <w:sz w:val="20"/>
              </w:rPr>
              <w:t>DIO[11:8]</w:t>
            </w:r>
          </w:p>
        </w:tc>
      </w:tr>
      <w:tr>
        <w:trPr>
          <w:trHeight w:val="270" w:hRule="atLeast"/>
        </w:trPr>
        <w:tc>
          <w:tcPr>
            <w:tcW w:w="1178" w:type="dxa"/>
          </w:tcPr>
          <w:p>
            <w:pPr>
              <w:pStyle w:val="TableParagraph"/>
              <w:spacing w:before="16"/>
              <w:ind w:left="465"/>
              <w:rPr>
                <w:i/>
                <w:sz w:val="20"/>
              </w:rPr>
            </w:pPr>
            <w:r>
              <w:rPr>
                <w:i/>
                <w:sz w:val="20"/>
              </w:rPr>
              <w:t>P3</w:t>
            </w:r>
          </w:p>
        </w:tc>
        <w:tc>
          <w:tcPr>
            <w:tcW w:w="1449" w:type="dxa"/>
          </w:tcPr>
          <w:p>
            <w:pPr>
              <w:pStyle w:val="TableParagraph"/>
              <w:spacing w:before="18"/>
              <w:ind w:right="592"/>
              <w:jc w:val="right"/>
              <w:rPr>
                <w:sz w:val="20"/>
              </w:rPr>
            </w:pPr>
            <w:r>
              <w:rPr>
                <w:w w:val="95"/>
                <w:sz w:val="20"/>
              </w:rPr>
              <w:t>B0</w:t>
            </w:r>
          </w:p>
        </w:tc>
        <w:tc>
          <w:tcPr>
            <w:tcW w:w="2965" w:type="dxa"/>
            <w:gridSpan w:val="4"/>
          </w:tcPr>
          <w:p>
            <w:pPr>
              <w:pStyle w:val="TableParagraph"/>
              <w:spacing w:before="16"/>
              <w:ind w:left="773"/>
              <w:rPr>
                <w:i/>
                <w:sz w:val="20"/>
              </w:rPr>
            </w:pPr>
            <w:r>
              <w:rPr>
                <w:i/>
                <w:sz w:val="20"/>
              </w:rPr>
              <w:t>DIO_DIR[15:12]</w:t>
            </w:r>
          </w:p>
        </w:tc>
        <w:tc>
          <w:tcPr>
            <w:tcW w:w="2876" w:type="dxa"/>
            <w:gridSpan w:val="4"/>
          </w:tcPr>
          <w:p>
            <w:pPr>
              <w:pStyle w:val="TableParagraph"/>
              <w:spacing w:before="16"/>
              <w:ind w:left="959"/>
              <w:rPr>
                <w:i/>
                <w:sz w:val="20"/>
              </w:rPr>
            </w:pPr>
            <w:r>
              <w:rPr>
                <w:i/>
                <w:sz w:val="20"/>
              </w:rPr>
              <w:t>DIO[15:11]</w:t>
            </w:r>
          </w:p>
        </w:tc>
      </w:tr>
    </w:tbl>
    <w:p>
      <w:pPr>
        <w:pStyle w:val="BodyText"/>
        <w:spacing w:before="7"/>
        <w:rPr>
          <w:b/>
          <w:sz w:val="19"/>
        </w:rPr>
      </w:pPr>
    </w:p>
    <w:p>
      <w:pPr>
        <w:pStyle w:val="BodyText"/>
        <w:ind w:left="619" w:right="726"/>
      </w:pPr>
      <w:r>
        <w:rPr/>
        <w:t>All DIO ports on the chip are bi-directional. Each of them consists of a latch (SFR </w:t>
      </w:r>
      <w:r>
        <w:rPr>
          <w:rFonts w:ascii="Times New Roman"/>
          <w:i/>
        </w:rPr>
        <w:t>P0 </w:t>
      </w:r>
      <w:r>
        <w:rPr/>
        <w:t>to </w:t>
      </w:r>
      <w:r>
        <w:rPr>
          <w:rFonts w:ascii="Times New Roman"/>
          <w:i/>
        </w:rPr>
        <w:t>P3</w:t>
      </w:r>
      <w:r>
        <w:rPr/>
        <w:t>), an output driver and an input buffer, therefore the MPU can output or read data through any of these ports. Even if a DIO pin is configured as an output, the state of the pin can still be read by the MPU, for example when counting pulses issued via DIO pins that are under CE control.</w:t>
      </w:r>
    </w:p>
    <w:p>
      <w:pPr>
        <w:pStyle w:val="BodyText"/>
        <w:spacing w:before="121"/>
        <w:ind w:left="1428" w:right="667" w:firstLine="2"/>
        <w:jc w:val="both"/>
      </w:pPr>
      <w:r>
        <w:rPr/>
        <w:drawing>
          <wp:anchor distT="0" distB="0" distL="0" distR="0" allowOverlap="1" layoutInCell="1" locked="0" behindDoc="0" simplePos="0" relativeHeight="15763456">
            <wp:simplePos x="0" y="0"/>
            <wp:positionH relativeFrom="page">
              <wp:posOffset>923288</wp:posOffset>
            </wp:positionH>
            <wp:positionV relativeFrom="paragraph">
              <wp:posOffset>113217</wp:posOffset>
            </wp:positionV>
            <wp:extent cx="381000" cy="384810"/>
            <wp:effectExtent l="0" t="0" r="0" b="0"/>
            <wp:wrapNone/>
            <wp:docPr id="25" name="image87.png"/>
            <wp:cNvGraphicFramePr>
              <a:graphicFrameLocks noChangeAspect="1"/>
            </wp:cNvGraphicFramePr>
            <a:graphic>
              <a:graphicData uri="http://schemas.openxmlformats.org/drawingml/2006/picture">
                <pic:pic>
                  <pic:nvPicPr>
                    <pic:cNvPr id="26" name="image87.png"/>
                    <pic:cNvPicPr/>
                  </pic:nvPicPr>
                  <pic:blipFill>
                    <a:blip r:embed="rId104" cstate="print"/>
                    <a:stretch>
                      <a:fillRect/>
                    </a:stretch>
                  </pic:blipFill>
                  <pic:spPr>
                    <a:xfrm>
                      <a:off x="0" y="0"/>
                      <a:ext cx="381000" cy="384810"/>
                    </a:xfrm>
                    <a:prstGeom prst="rect">
                      <a:avLst/>
                    </a:prstGeom>
                  </pic:spPr>
                </pic:pic>
              </a:graphicData>
            </a:graphic>
          </wp:anchor>
        </w:drawing>
      </w:r>
      <w:r>
        <w:rPr/>
        <w:t>At power-up SEGDIO0-15 are configured as outputs, but the pins are in a high-impedance state because </w:t>
      </w:r>
      <w:r>
        <w:rPr>
          <w:rFonts w:ascii="Times New Roman"/>
          <w:i/>
        </w:rPr>
        <w:t>PORT_E </w:t>
      </w:r>
      <w:r>
        <w:rPr/>
        <w:t>= 0 (</w:t>
      </w:r>
      <w:r>
        <w:rPr>
          <w:rFonts w:ascii="Times New Roman"/>
          <w:i/>
        </w:rPr>
        <w:t>I/O RAM 0x270C[5]</w:t>
      </w:r>
      <w:r>
        <w:rPr/>
        <w:t>). Host firmware should first configure SEGDIO0-15 to the desired state, then set </w:t>
      </w:r>
      <w:r>
        <w:rPr>
          <w:rFonts w:ascii="Times New Roman"/>
          <w:i/>
        </w:rPr>
        <w:t>PORT_E </w:t>
      </w:r>
      <w:r>
        <w:rPr/>
        <w:t>= 1 to enable the function.</w:t>
      </w:r>
    </w:p>
    <w:p>
      <w:pPr>
        <w:pStyle w:val="BodyText"/>
      </w:pPr>
    </w:p>
    <w:p>
      <w:pPr>
        <w:spacing w:before="1"/>
        <w:ind w:left="619" w:right="0" w:firstLine="0"/>
        <w:jc w:val="left"/>
        <w:rPr>
          <w:b/>
          <w:sz w:val="20"/>
        </w:rPr>
      </w:pPr>
      <w:bookmarkStart w:name="Clock Stretching (CKCON[2:0], SFR 0x8E)" w:id="130"/>
      <w:bookmarkEnd w:id="130"/>
      <w:r>
        <w:rPr/>
      </w:r>
      <w:bookmarkStart w:name="_bookmark58" w:id="131"/>
      <w:bookmarkEnd w:id="131"/>
      <w:r>
        <w:rPr/>
      </w:r>
      <w:r>
        <w:rPr>
          <w:b/>
          <w:sz w:val="20"/>
        </w:rPr>
        <w:t>Clock Stretching (</w:t>
      </w:r>
      <w:r>
        <w:rPr>
          <w:rFonts w:ascii="Times New Roman"/>
          <w:b/>
          <w:i/>
          <w:sz w:val="20"/>
        </w:rPr>
        <w:t>CKCON[2:0], SFR 0x8E</w:t>
      </w:r>
      <w:r>
        <w:rPr>
          <w:b/>
          <w:sz w:val="20"/>
        </w:rPr>
        <w:t>)</w:t>
      </w:r>
    </w:p>
    <w:p>
      <w:pPr>
        <w:pStyle w:val="BodyText"/>
        <w:spacing w:before="78"/>
        <w:ind w:left="619" w:right="522"/>
      </w:pPr>
      <w:r>
        <w:rPr/>
        <w:t>The </w:t>
      </w:r>
      <w:r>
        <w:rPr>
          <w:rFonts w:ascii="Times New Roman"/>
          <w:i/>
        </w:rPr>
        <w:t>CKCON[2:0] </w:t>
      </w:r>
      <w:r>
        <w:rPr/>
        <w:t>field defines the stretch memory cycles that are used for MOVX instructions when accessing external peripherals. The practical value of this register for the 71M6543 is to guarantee access to XRAM between CE, MPU, and SPI. The default setting of </w:t>
      </w:r>
      <w:r>
        <w:rPr>
          <w:rFonts w:ascii="Times New Roman"/>
          <w:i/>
        </w:rPr>
        <w:t>CKCON[2:0] </w:t>
      </w:r>
      <w:r>
        <w:rPr/>
        <w:t>(001) should be changed to 000 for best performance.</w:t>
      </w:r>
    </w:p>
    <w:p>
      <w:pPr>
        <w:pStyle w:val="BodyText"/>
        <w:spacing w:before="123"/>
        <w:ind w:left="618" w:right="856"/>
      </w:pPr>
      <w:hyperlink w:history="true" w:anchor="_bookmark59">
        <w:r>
          <w:rPr>
            <w:color w:val="0000FF"/>
          </w:rPr>
          <w:t>Table 15 </w:t>
        </w:r>
      </w:hyperlink>
      <w:r>
        <w:rPr/>
        <w:t>shows how the signals of the External Memory Interface change when stretch values are set from 0 to 7. The widths of the signals are counted in MPU clock cycles. The post-reset state of the </w:t>
      </w:r>
      <w:r>
        <w:rPr>
          <w:rFonts w:ascii="Times New Roman"/>
          <w:i/>
        </w:rPr>
        <w:t>CKCON[2:0] </w:t>
      </w:r>
      <w:r>
        <w:rPr/>
        <w:t>field (001), which is shown in </w:t>
      </w:r>
      <w:r>
        <w:rPr>
          <w:b/>
        </w:rPr>
        <w:t>bold </w:t>
      </w:r>
      <w:r>
        <w:rPr/>
        <w:t>in the table, performs the MOVX instructions with a stretch value equal to 1.</w:t>
      </w:r>
    </w:p>
    <w:p>
      <w:pPr>
        <w:pStyle w:val="Heading1"/>
        <w:spacing w:before="116"/>
        <w:ind w:left="1315" w:right="1278"/>
      </w:pPr>
      <w:bookmarkStart w:name="_bookmark59" w:id="132"/>
      <w:bookmarkEnd w:id="132"/>
      <w:r>
        <w:rPr>
          <w:b w:val="0"/>
        </w:rPr>
      </w:r>
      <w:r>
        <w:rPr/>
        <w:t>Table 15: Stretch Memory Cycle Width</w:t>
      </w:r>
    </w:p>
    <w:p>
      <w:pPr>
        <w:pStyle w:val="BodyText"/>
        <w:spacing w:before="7"/>
        <w:rPr>
          <w:b/>
          <w:sz w:val="5"/>
        </w:rPr>
      </w:pPr>
    </w:p>
    <w:tbl>
      <w:tblPr>
        <w:tblW w:w="0" w:type="auto"/>
        <w:jc w:val="left"/>
        <w:tblInd w:w="1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0"/>
        <w:gridCol w:w="1224"/>
        <w:gridCol w:w="1135"/>
        <w:gridCol w:w="1133"/>
        <w:gridCol w:w="1135"/>
        <w:gridCol w:w="1133"/>
      </w:tblGrid>
      <w:tr>
        <w:trPr>
          <w:trHeight w:val="301" w:hRule="atLeast"/>
        </w:trPr>
        <w:tc>
          <w:tcPr>
            <w:tcW w:w="1440" w:type="dxa"/>
            <w:vMerge w:val="restart"/>
            <w:tcBorders>
              <w:bottom w:val="double" w:sz="1" w:space="0" w:color="000000"/>
              <w:right w:val="single" w:sz="6" w:space="0" w:color="000000"/>
            </w:tcBorders>
          </w:tcPr>
          <w:p>
            <w:pPr>
              <w:pStyle w:val="TableParagraph"/>
              <w:spacing w:before="7"/>
              <w:rPr>
                <w:b/>
                <w:sz w:val="17"/>
              </w:rPr>
            </w:pPr>
          </w:p>
          <w:p>
            <w:pPr>
              <w:pStyle w:val="TableParagraph"/>
              <w:ind w:left="173"/>
              <w:rPr>
                <w:rFonts w:ascii="Times New Roman"/>
                <w:b/>
                <w:i/>
                <w:sz w:val="20"/>
              </w:rPr>
            </w:pPr>
            <w:r>
              <w:rPr>
                <w:rFonts w:ascii="Times New Roman"/>
                <w:b/>
                <w:i/>
                <w:sz w:val="20"/>
              </w:rPr>
              <w:t>CKCON[2:0]</w:t>
            </w:r>
          </w:p>
        </w:tc>
        <w:tc>
          <w:tcPr>
            <w:tcW w:w="1224" w:type="dxa"/>
            <w:vMerge w:val="restart"/>
            <w:tcBorders>
              <w:left w:val="single" w:sz="6" w:space="0" w:color="000000"/>
              <w:bottom w:val="double" w:sz="1" w:space="0" w:color="000000"/>
              <w:right w:val="single" w:sz="6" w:space="0" w:color="000000"/>
            </w:tcBorders>
          </w:tcPr>
          <w:p>
            <w:pPr>
              <w:pStyle w:val="TableParagraph"/>
              <w:spacing w:before="84"/>
              <w:ind w:left="341" w:hanging="77"/>
              <w:rPr>
                <w:b/>
                <w:sz w:val="20"/>
              </w:rPr>
            </w:pPr>
            <w:r>
              <w:rPr>
                <w:b/>
                <w:w w:val="95"/>
                <w:sz w:val="20"/>
              </w:rPr>
              <w:t>Stretch </w:t>
            </w:r>
            <w:r>
              <w:rPr>
                <w:b/>
                <w:sz w:val="20"/>
              </w:rPr>
              <w:t>Value</w:t>
            </w:r>
          </w:p>
        </w:tc>
        <w:tc>
          <w:tcPr>
            <w:tcW w:w="2268" w:type="dxa"/>
            <w:gridSpan w:val="2"/>
            <w:tcBorders>
              <w:left w:val="single" w:sz="6" w:space="0" w:color="000000"/>
              <w:right w:val="single" w:sz="6" w:space="0" w:color="000000"/>
            </w:tcBorders>
          </w:tcPr>
          <w:p>
            <w:pPr>
              <w:pStyle w:val="TableParagraph"/>
              <w:spacing w:before="36"/>
              <w:ind w:left="250"/>
              <w:rPr>
                <w:b/>
                <w:sz w:val="20"/>
              </w:rPr>
            </w:pPr>
            <w:r>
              <w:rPr>
                <w:b/>
                <w:sz w:val="20"/>
              </w:rPr>
              <w:t>Read Signal Width</w:t>
            </w:r>
          </w:p>
        </w:tc>
        <w:tc>
          <w:tcPr>
            <w:tcW w:w="2268" w:type="dxa"/>
            <w:gridSpan w:val="2"/>
            <w:tcBorders>
              <w:left w:val="single" w:sz="6" w:space="0" w:color="000000"/>
            </w:tcBorders>
          </w:tcPr>
          <w:p>
            <w:pPr>
              <w:pStyle w:val="TableParagraph"/>
              <w:spacing w:before="36"/>
              <w:ind w:left="245"/>
              <w:rPr>
                <w:b/>
                <w:sz w:val="20"/>
              </w:rPr>
            </w:pPr>
            <w:r>
              <w:rPr>
                <w:b/>
                <w:sz w:val="20"/>
              </w:rPr>
              <w:t>Write Signal Width</w:t>
            </w:r>
          </w:p>
        </w:tc>
      </w:tr>
      <w:tr>
        <w:trPr>
          <w:trHeight w:val="303" w:hRule="atLeast"/>
        </w:trPr>
        <w:tc>
          <w:tcPr>
            <w:tcW w:w="1440" w:type="dxa"/>
            <w:vMerge/>
            <w:tcBorders>
              <w:top w:val="nil"/>
              <w:bottom w:val="double" w:sz="1" w:space="0" w:color="000000"/>
              <w:right w:val="single" w:sz="6" w:space="0" w:color="000000"/>
            </w:tcBorders>
          </w:tcPr>
          <w:p>
            <w:pPr>
              <w:rPr>
                <w:sz w:val="2"/>
                <w:szCs w:val="2"/>
              </w:rPr>
            </w:pPr>
          </w:p>
        </w:tc>
        <w:tc>
          <w:tcPr>
            <w:tcW w:w="1224" w:type="dxa"/>
            <w:vMerge/>
            <w:tcBorders>
              <w:top w:val="nil"/>
              <w:left w:val="single" w:sz="6" w:space="0" w:color="000000"/>
              <w:bottom w:val="double" w:sz="1" w:space="0" w:color="000000"/>
              <w:right w:val="single" w:sz="6" w:space="0" w:color="000000"/>
            </w:tcBorders>
          </w:tcPr>
          <w:p>
            <w:pPr>
              <w:rPr>
                <w:sz w:val="2"/>
                <w:szCs w:val="2"/>
              </w:rPr>
            </w:pPr>
          </w:p>
        </w:tc>
        <w:tc>
          <w:tcPr>
            <w:tcW w:w="1135" w:type="dxa"/>
            <w:tcBorders>
              <w:left w:val="single" w:sz="6" w:space="0" w:color="000000"/>
              <w:bottom w:val="double" w:sz="1" w:space="0" w:color="000000"/>
              <w:right w:val="single" w:sz="6" w:space="0" w:color="000000"/>
            </w:tcBorders>
          </w:tcPr>
          <w:p>
            <w:pPr>
              <w:pStyle w:val="TableParagraph"/>
              <w:spacing w:before="30"/>
              <w:ind w:left="93" w:right="86"/>
              <w:jc w:val="center"/>
              <w:rPr>
                <w:b/>
                <w:sz w:val="20"/>
              </w:rPr>
            </w:pPr>
            <w:r>
              <w:rPr>
                <w:b/>
                <w:sz w:val="20"/>
              </w:rPr>
              <w:t>memaddr</w:t>
            </w:r>
          </w:p>
        </w:tc>
        <w:tc>
          <w:tcPr>
            <w:tcW w:w="1133" w:type="dxa"/>
            <w:tcBorders>
              <w:left w:val="single" w:sz="6" w:space="0" w:color="000000"/>
              <w:bottom w:val="double" w:sz="1" w:space="0" w:color="000000"/>
              <w:right w:val="single" w:sz="6" w:space="0" w:color="000000"/>
            </w:tcBorders>
          </w:tcPr>
          <w:p>
            <w:pPr>
              <w:pStyle w:val="TableParagraph"/>
              <w:spacing w:before="30"/>
              <w:ind w:left="187" w:right="186"/>
              <w:jc w:val="center"/>
              <w:rPr>
                <w:b/>
                <w:sz w:val="20"/>
              </w:rPr>
            </w:pPr>
            <w:r>
              <w:rPr>
                <w:b/>
                <w:sz w:val="20"/>
              </w:rPr>
              <w:t>memrd</w:t>
            </w:r>
          </w:p>
        </w:tc>
        <w:tc>
          <w:tcPr>
            <w:tcW w:w="1135" w:type="dxa"/>
            <w:tcBorders>
              <w:left w:val="single" w:sz="6" w:space="0" w:color="000000"/>
              <w:bottom w:val="double" w:sz="1" w:space="0" w:color="000000"/>
              <w:right w:val="single" w:sz="6" w:space="0" w:color="000000"/>
            </w:tcBorders>
          </w:tcPr>
          <w:p>
            <w:pPr>
              <w:pStyle w:val="TableParagraph"/>
              <w:spacing w:before="30"/>
              <w:ind w:left="93" w:right="86"/>
              <w:jc w:val="center"/>
              <w:rPr>
                <w:b/>
                <w:sz w:val="20"/>
              </w:rPr>
            </w:pPr>
            <w:r>
              <w:rPr>
                <w:b/>
                <w:sz w:val="20"/>
              </w:rPr>
              <w:t>memaddr</w:t>
            </w:r>
          </w:p>
        </w:tc>
        <w:tc>
          <w:tcPr>
            <w:tcW w:w="1133" w:type="dxa"/>
            <w:tcBorders>
              <w:left w:val="single" w:sz="6" w:space="0" w:color="000000"/>
              <w:bottom w:val="double" w:sz="1" w:space="0" w:color="000000"/>
              <w:right w:val="single" w:sz="6" w:space="0" w:color="000000"/>
            </w:tcBorders>
          </w:tcPr>
          <w:p>
            <w:pPr>
              <w:pStyle w:val="TableParagraph"/>
              <w:spacing w:before="30"/>
              <w:ind w:left="191" w:right="186"/>
              <w:jc w:val="center"/>
              <w:rPr>
                <w:b/>
                <w:sz w:val="20"/>
              </w:rPr>
            </w:pPr>
            <w:r>
              <w:rPr>
                <w:b/>
                <w:sz w:val="20"/>
              </w:rPr>
              <w:t>memwr</w:t>
            </w:r>
          </w:p>
        </w:tc>
      </w:tr>
      <w:tr>
        <w:trPr>
          <w:trHeight w:val="270" w:hRule="atLeast"/>
        </w:trPr>
        <w:tc>
          <w:tcPr>
            <w:tcW w:w="1440" w:type="dxa"/>
            <w:tcBorders>
              <w:top w:val="double" w:sz="1" w:space="0" w:color="000000"/>
              <w:bottom w:val="single" w:sz="6" w:space="0" w:color="000000"/>
              <w:right w:val="single" w:sz="6" w:space="0" w:color="000000"/>
            </w:tcBorders>
          </w:tcPr>
          <w:p>
            <w:pPr>
              <w:pStyle w:val="TableParagraph"/>
              <w:spacing w:line="230" w:lineRule="exact" w:before="20"/>
              <w:ind w:left="551"/>
              <w:rPr>
                <w:sz w:val="20"/>
              </w:rPr>
            </w:pPr>
            <w:r>
              <w:rPr>
                <w:sz w:val="20"/>
              </w:rPr>
              <w:t>000</w:t>
            </w:r>
          </w:p>
        </w:tc>
        <w:tc>
          <w:tcPr>
            <w:tcW w:w="1224" w:type="dxa"/>
            <w:tcBorders>
              <w:top w:val="double" w:sz="1" w:space="0" w:color="000000"/>
              <w:left w:val="single" w:sz="6" w:space="0" w:color="000000"/>
              <w:bottom w:val="single" w:sz="6" w:space="0" w:color="000000"/>
              <w:right w:val="single" w:sz="6" w:space="0" w:color="000000"/>
            </w:tcBorders>
          </w:tcPr>
          <w:p>
            <w:pPr>
              <w:pStyle w:val="TableParagraph"/>
              <w:spacing w:line="230" w:lineRule="exact" w:before="20"/>
              <w:ind w:left="554"/>
              <w:rPr>
                <w:sz w:val="20"/>
              </w:rPr>
            </w:pPr>
            <w:r>
              <w:rPr>
                <w:w w:val="99"/>
                <w:sz w:val="20"/>
              </w:rPr>
              <w:t>0</w:t>
            </w:r>
          </w:p>
        </w:tc>
        <w:tc>
          <w:tcPr>
            <w:tcW w:w="1135" w:type="dxa"/>
            <w:tcBorders>
              <w:top w:val="double" w:sz="1" w:space="0" w:color="000000"/>
              <w:left w:val="single" w:sz="6" w:space="0" w:color="000000"/>
              <w:bottom w:val="single" w:sz="6" w:space="0" w:color="000000"/>
              <w:right w:val="single" w:sz="6" w:space="0" w:color="000000"/>
            </w:tcBorders>
          </w:tcPr>
          <w:p>
            <w:pPr>
              <w:pStyle w:val="TableParagraph"/>
              <w:spacing w:line="230" w:lineRule="exact" w:before="20"/>
              <w:ind w:left="7"/>
              <w:jc w:val="center"/>
              <w:rPr>
                <w:sz w:val="20"/>
              </w:rPr>
            </w:pPr>
            <w:r>
              <w:rPr>
                <w:w w:val="99"/>
                <w:sz w:val="20"/>
              </w:rPr>
              <w:t>1</w:t>
            </w:r>
          </w:p>
        </w:tc>
        <w:tc>
          <w:tcPr>
            <w:tcW w:w="1133" w:type="dxa"/>
            <w:tcBorders>
              <w:top w:val="double" w:sz="1" w:space="0" w:color="000000"/>
              <w:left w:val="single" w:sz="6" w:space="0" w:color="000000"/>
              <w:bottom w:val="single" w:sz="6" w:space="0" w:color="000000"/>
              <w:right w:val="single" w:sz="6" w:space="0" w:color="000000"/>
            </w:tcBorders>
          </w:tcPr>
          <w:p>
            <w:pPr>
              <w:pStyle w:val="TableParagraph"/>
              <w:spacing w:line="230" w:lineRule="exact" w:before="20"/>
              <w:ind w:left="5"/>
              <w:jc w:val="center"/>
              <w:rPr>
                <w:sz w:val="20"/>
              </w:rPr>
            </w:pPr>
            <w:r>
              <w:rPr>
                <w:w w:val="99"/>
                <w:sz w:val="20"/>
              </w:rPr>
              <w:t>1</w:t>
            </w:r>
          </w:p>
        </w:tc>
        <w:tc>
          <w:tcPr>
            <w:tcW w:w="1135" w:type="dxa"/>
            <w:tcBorders>
              <w:top w:val="double" w:sz="1" w:space="0" w:color="000000"/>
              <w:left w:val="single" w:sz="6" w:space="0" w:color="000000"/>
              <w:bottom w:val="single" w:sz="6" w:space="0" w:color="000000"/>
              <w:right w:val="single" w:sz="6" w:space="0" w:color="000000"/>
            </w:tcBorders>
          </w:tcPr>
          <w:p>
            <w:pPr>
              <w:pStyle w:val="TableParagraph"/>
              <w:spacing w:line="230" w:lineRule="exact" w:before="20"/>
              <w:ind w:left="7"/>
              <w:jc w:val="center"/>
              <w:rPr>
                <w:sz w:val="20"/>
              </w:rPr>
            </w:pPr>
            <w:r>
              <w:rPr>
                <w:w w:val="99"/>
                <w:sz w:val="20"/>
              </w:rPr>
              <w:t>2</w:t>
            </w:r>
          </w:p>
        </w:tc>
        <w:tc>
          <w:tcPr>
            <w:tcW w:w="1133" w:type="dxa"/>
            <w:tcBorders>
              <w:top w:val="double" w:sz="1" w:space="0" w:color="000000"/>
              <w:left w:val="single" w:sz="6" w:space="0" w:color="000000"/>
              <w:bottom w:val="single" w:sz="6" w:space="0" w:color="000000"/>
            </w:tcBorders>
          </w:tcPr>
          <w:p>
            <w:pPr>
              <w:pStyle w:val="TableParagraph"/>
              <w:spacing w:line="230" w:lineRule="exact" w:before="20"/>
              <w:ind w:left="2"/>
              <w:jc w:val="center"/>
              <w:rPr>
                <w:sz w:val="20"/>
              </w:rPr>
            </w:pPr>
            <w:r>
              <w:rPr>
                <w:w w:val="99"/>
                <w:sz w:val="20"/>
              </w:rPr>
              <w:t>1</w:t>
            </w:r>
          </w:p>
        </w:tc>
      </w:tr>
      <w:tr>
        <w:trPr>
          <w:trHeight w:val="270" w:hRule="atLeast"/>
        </w:trPr>
        <w:tc>
          <w:tcPr>
            <w:tcW w:w="1440" w:type="dxa"/>
            <w:tcBorders>
              <w:top w:val="single" w:sz="6" w:space="0" w:color="000000"/>
              <w:bottom w:val="single" w:sz="6" w:space="0" w:color="000000"/>
              <w:right w:val="single" w:sz="6" w:space="0" w:color="000000"/>
            </w:tcBorders>
          </w:tcPr>
          <w:p>
            <w:pPr>
              <w:pStyle w:val="TableParagraph"/>
              <w:spacing w:before="16"/>
              <w:ind w:left="551"/>
              <w:rPr>
                <w:b/>
                <w:sz w:val="20"/>
              </w:rPr>
            </w:pPr>
            <w:r>
              <w:rPr>
                <w:b/>
                <w:sz w:val="20"/>
              </w:rPr>
              <w:t>001</w:t>
            </w:r>
          </w:p>
        </w:tc>
        <w:tc>
          <w:tcPr>
            <w:tcW w:w="1224" w:type="dxa"/>
            <w:tcBorders>
              <w:top w:val="single" w:sz="6" w:space="0" w:color="000000"/>
              <w:left w:val="single" w:sz="6" w:space="0" w:color="000000"/>
              <w:bottom w:val="single" w:sz="6" w:space="0" w:color="000000"/>
              <w:right w:val="single" w:sz="6" w:space="0" w:color="000000"/>
            </w:tcBorders>
          </w:tcPr>
          <w:p>
            <w:pPr>
              <w:pStyle w:val="TableParagraph"/>
              <w:spacing w:before="16"/>
              <w:ind w:left="554"/>
              <w:rPr>
                <w:b/>
                <w:sz w:val="20"/>
              </w:rPr>
            </w:pPr>
            <w:r>
              <w:rPr>
                <w:b/>
                <w:w w:val="99"/>
                <w:sz w:val="20"/>
              </w:rPr>
              <w:t>1</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before="16"/>
              <w:ind w:left="7"/>
              <w:jc w:val="center"/>
              <w:rPr>
                <w:b/>
                <w:sz w:val="20"/>
              </w:rPr>
            </w:pPr>
            <w:r>
              <w:rPr>
                <w:b/>
                <w:w w:val="99"/>
                <w:sz w:val="20"/>
              </w:rPr>
              <w:t>2</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16"/>
              <w:ind w:left="5"/>
              <w:jc w:val="center"/>
              <w:rPr>
                <w:b/>
                <w:sz w:val="20"/>
              </w:rPr>
            </w:pPr>
            <w:r>
              <w:rPr>
                <w:b/>
                <w:w w:val="99"/>
                <w:sz w:val="20"/>
              </w:rPr>
              <w:t>2</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before="16"/>
              <w:ind w:left="7"/>
              <w:jc w:val="center"/>
              <w:rPr>
                <w:b/>
                <w:sz w:val="20"/>
              </w:rPr>
            </w:pPr>
            <w:r>
              <w:rPr>
                <w:b/>
                <w:w w:val="99"/>
                <w:sz w:val="20"/>
              </w:rPr>
              <w:t>3</w:t>
            </w:r>
          </w:p>
        </w:tc>
        <w:tc>
          <w:tcPr>
            <w:tcW w:w="1133" w:type="dxa"/>
            <w:tcBorders>
              <w:top w:val="single" w:sz="6" w:space="0" w:color="000000"/>
              <w:left w:val="single" w:sz="6" w:space="0" w:color="000000"/>
              <w:bottom w:val="single" w:sz="6" w:space="0" w:color="000000"/>
            </w:tcBorders>
          </w:tcPr>
          <w:p>
            <w:pPr>
              <w:pStyle w:val="TableParagraph"/>
              <w:spacing w:before="16"/>
              <w:ind w:left="2"/>
              <w:jc w:val="center"/>
              <w:rPr>
                <w:b/>
                <w:sz w:val="20"/>
              </w:rPr>
            </w:pPr>
            <w:r>
              <w:rPr>
                <w:b/>
                <w:w w:val="99"/>
                <w:sz w:val="20"/>
              </w:rPr>
              <w:t>1</w:t>
            </w:r>
          </w:p>
        </w:tc>
      </w:tr>
      <w:tr>
        <w:trPr>
          <w:trHeight w:val="268" w:hRule="atLeast"/>
        </w:trPr>
        <w:tc>
          <w:tcPr>
            <w:tcW w:w="1440" w:type="dxa"/>
            <w:tcBorders>
              <w:top w:val="single" w:sz="6" w:space="0" w:color="000000"/>
              <w:bottom w:val="single" w:sz="6" w:space="0" w:color="000000"/>
              <w:right w:val="single" w:sz="6" w:space="0" w:color="000000"/>
            </w:tcBorders>
          </w:tcPr>
          <w:p>
            <w:pPr>
              <w:pStyle w:val="TableParagraph"/>
              <w:spacing w:line="230" w:lineRule="exact" w:before="18"/>
              <w:ind w:left="551"/>
              <w:rPr>
                <w:sz w:val="20"/>
              </w:rPr>
            </w:pPr>
            <w:r>
              <w:rPr>
                <w:sz w:val="20"/>
              </w:rPr>
              <w:t>010</w:t>
            </w:r>
          </w:p>
        </w:tc>
        <w:tc>
          <w:tcPr>
            <w:tcW w:w="1224"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554"/>
              <w:rPr>
                <w:sz w:val="20"/>
              </w:rPr>
            </w:pPr>
            <w:r>
              <w:rPr>
                <w:w w:val="99"/>
                <w:sz w:val="20"/>
              </w:rPr>
              <w:t>2</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7"/>
              <w:jc w:val="center"/>
              <w:rPr>
                <w:sz w:val="20"/>
              </w:rPr>
            </w:pPr>
            <w:r>
              <w:rPr>
                <w:w w:val="99"/>
                <w:sz w:val="20"/>
              </w:rPr>
              <w:t>3</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5"/>
              <w:jc w:val="center"/>
              <w:rPr>
                <w:sz w:val="20"/>
              </w:rPr>
            </w:pPr>
            <w:r>
              <w:rPr>
                <w:w w:val="99"/>
                <w:sz w:val="20"/>
              </w:rPr>
              <w:t>3</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7"/>
              <w:jc w:val="center"/>
              <w:rPr>
                <w:sz w:val="20"/>
              </w:rPr>
            </w:pPr>
            <w:r>
              <w:rPr>
                <w:w w:val="99"/>
                <w:sz w:val="20"/>
              </w:rPr>
              <w:t>4</w:t>
            </w:r>
          </w:p>
        </w:tc>
        <w:tc>
          <w:tcPr>
            <w:tcW w:w="1133" w:type="dxa"/>
            <w:tcBorders>
              <w:top w:val="single" w:sz="6" w:space="0" w:color="000000"/>
              <w:left w:val="single" w:sz="6" w:space="0" w:color="000000"/>
              <w:bottom w:val="single" w:sz="6" w:space="0" w:color="000000"/>
            </w:tcBorders>
          </w:tcPr>
          <w:p>
            <w:pPr>
              <w:pStyle w:val="TableParagraph"/>
              <w:spacing w:line="230" w:lineRule="exact" w:before="18"/>
              <w:ind w:left="2"/>
              <w:jc w:val="center"/>
              <w:rPr>
                <w:sz w:val="20"/>
              </w:rPr>
            </w:pPr>
            <w:r>
              <w:rPr>
                <w:w w:val="99"/>
                <w:sz w:val="20"/>
              </w:rPr>
              <w:t>2</w:t>
            </w:r>
          </w:p>
        </w:tc>
      </w:tr>
      <w:tr>
        <w:trPr>
          <w:trHeight w:val="270" w:hRule="atLeast"/>
        </w:trPr>
        <w:tc>
          <w:tcPr>
            <w:tcW w:w="1440" w:type="dxa"/>
            <w:tcBorders>
              <w:top w:val="single" w:sz="6" w:space="0" w:color="000000"/>
              <w:bottom w:val="single" w:sz="6" w:space="0" w:color="000000"/>
              <w:right w:val="single" w:sz="6" w:space="0" w:color="000000"/>
            </w:tcBorders>
          </w:tcPr>
          <w:p>
            <w:pPr>
              <w:pStyle w:val="TableParagraph"/>
              <w:spacing w:line="230" w:lineRule="exact" w:before="21"/>
              <w:ind w:left="551"/>
              <w:rPr>
                <w:sz w:val="20"/>
              </w:rPr>
            </w:pPr>
            <w:r>
              <w:rPr>
                <w:sz w:val="20"/>
              </w:rPr>
              <w:t>011</w:t>
            </w:r>
          </w:p>
        </w:tc>
        <w:tc>
          <w:tcPr>
            <w:tcW w:w="1224"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554"/>
              <w:rPr>
                <w:sz w:val="20"/>
              </w:rPr>
            </w:pPr>
            <w:r>
              <w:rPr>
                <w:w w:val="99"/>
                <w:sz w:val="20"/>
              </w:rPr>
              <w:t>3</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7"/>
              <w:jc w:val="center"/>
              <w:rPr>
                <w:sz w:val="20"/>
              </w:rPr>
            </w:pPr>
            <w:r>
              <w:rPr>
                <w:w w:val="99"/>
                <w:sz w:val="20"/>
              </w:rPr>
              <w:t>4</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5"/>
              <w:jc w:val="center"/>
              <w:rPr>
                <w:sz w:val="20"/>
              </w:rPr>
            </w:pPr>
            <w:r>
              <w:rPr>
                <w:w w:val="99"/>
                <w:sz w:val="20"/>
              </w:rPr>
              <w:t>4</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7"/>
              <w:jc w:val="center"/>
              <w:rPr>
                <w:sz w:val="20"/>
              </w:rPr>
            </w:pPr>
            <w:r>
              <w:rPr>
                <w:w w:val="99"/>
                <w:sz w:val="20"/>
              </w:rPr>
              <w:t>5</w:t>
            </w:r>
          </w:p>
        </w:tc>
        <w:tc>
          <w:tcPr>
            <w:tcW w:w="1133" w:type="dxa"/>
            <w:tcBorders>
              <w:top w:val="single" w:sz="6" w:space="0" w:color="000000"/>
              <w:left w:val="single" w:sz="6" w:space="0" w:color="000000"/>
              <w:bottom w:val="single" w:sz="6" w:space="0" w:color="000000"/>
            </w:tcBorders>
          </w:tcPr>
          <w:p>
            <w:pPr>
              <w:pStyle w:val="TableParagraph"/>
              <w:spacing w:line="230" w:lineRule="exact" w:before="21"/>
              <w:ind w:left="2"/>
              <w:jc w:val="center"/>
              <w:rPr>
                <w:sz w:val="20"/>
              </w:rPr>
            </w:pPr>
            <w:r>
              <w:rPr>
                <w:w w:val="99"/>
                <w:sz w:val="20"/>
              </w:rPr>
              <w:t>3</w:t>
            </w:r>
          </w:p>
        </w:tc>
      </w:tr>
      <w:tr>
        <w:trPr>
          <w:trHeight w:val="270" w:hRule="atLeast"/>
        </w:trPr>
        <w:tc>
          <w:tcPr>
            <w:tcW w:w="1440" w:type="dxa"/>
            <w:tcBorders>
              <w:top w:val="single" w:sz="6" w:space="0" w:color="000000"/>
              <w:bottom w:val="single" w:sz="6" w:space="0" w:color="000000"/>
              <w:right w:val="single" w:sz="6" w:space="0" w:color="000000"/>
            </w:tcBorders>
          </w:tcPr>
          <w:p>
            <w:pPr>
              <w:pStyle w:val="TableParagraph"/>
              <w:spacing w:before="18"/>
              <w:ind w:left="551"/>
              <w:rPr>
                <w:sz w:val="20"/>
              </w:rPr>
            </w:pPr>
            <w:r>
              <w:rPr>
                <w:sz w:val="20"/>
              </w:rPr>
              <w:t>100</w:t>
            </w:r>
          </w:p>
        </w:tc>
        <w:tc>
          <w:tcPr>
            <w:tcW w:w="1224" w:type="dxa"/>
            <w:tcBorders>
              <w:top w:val="single" w:sz="6" w:space="0" w:color="000000"/>
              <w:left w:val="single" w:sz="6" w:space="0" w:color="000000"/>
              <w:bottom w:val="single" w:sz="6" w:space="0" w:color="000000"/>
              <w:right w:val="single" w:sz="6" w:space="0" w:color="000000"/>
            </w:tcBorders>
          </w:tcPr>
          <w:p>
            <w:pPr>
              <w:pStyle w:val="TableParagraph"/>
              <w:spacing w:before="18"/>
              <w:ind w:left="554"/>
              <w:rPr>
                <w:sz w:val="20"/>
              </w:rPr>
            </w:pPr>
            <w:r>
              <w:rPr>
                <w:w w:val="99"/>
                <w:sz w:val="20"/>
              </w:rPr>
              <w:t>4</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before="18"/>
              <w:ind w:left="7"/>
              <w:jc w:val="center"/>
              <w:rPr>
                <w:sz w:val="20"/>
              </w:rPr>
            </w:pPr>
            <w:r>
              <w:rPr>
                <w:w w:val="99"/>
                <w:sz w:val="20"/>
              </w:rPr>
              <w:t>5</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18"/>
              <w:ind w:left="5"/>
              <w:jc w:val="center"/>
              <w:rPr>
                <w:sz w:val="20"/>
              </w:rPr>
            </w:pPr>
            <w:r>
              <w:rPr>
                <w:w w:val="99"/>
                <w:sz w:val="20"/>
              </w:rPr>
              <w:t>5</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before="18"/>
              <w:ind w:left="7"/>
              <w:jc w:val="center"/>
              <w:rPr>
                <w:sz w:val="20"/>
              </w:rPr>
            </w:pPr>
            <w:r>
              <w:rPr>
                <w:w w:val="99"/>
                <w:sz w:val="20"/>
              </w:rPr>
              <w:t>6</w:t>
            </w:r>
          </w:p>
        </w:tc>
        <w:tc>
          <w:tcPr>
            <w:tcW w:w="1133" w:type="dxa"/>
            <w:tcBorders>
              <w:top w:val="single" w:sz="6" w:space="0" w:color="000000"/>
              <w:left w:val="single" w:sz="6" w:space="0" w:color="000000"/>
              <w:bottom w:val="single" w:sz="6" w:space="0" w:color="000000"/>
            </w:tcBorders>
          </w:tcPr>
          <w:p>
            <w:pPr>
              <w:pStyle w:val="TableParagraph"/>
              <w:spacing w:before="18"/>
              <w:ind w:left="2"/>
              <w:jc w:val="center"/>
              <w:rPr>
                <w:sz w:val="20"/>
              </w:rPr>
            </w:pPr>
            <w:r>
              <w:rPr>
                <w:w w:val="99"/>
                <w:sz w:val="20"/>
              </w:rPr>
              <w:t>4</w:t>
            </w:r>
          </w:p>
        </w:tc>
      </w:tr>
      <w:tr>
        <w:trPr>
          <w:trHeight w:val="270" w:hRule="atLeast"/>
        </w:trPr>
        <w:tc>
          <w:tcPr>
            <w:tcW w:w="1440" w:type="dxa"/>
            <w:tcBorders>
              <w:top w:val="single" w:sz="6" w:space="0" w:color="000000"/>
              <w:bottom w:val="single" w:sz="6" w:space="0" w:color="000000"/>
              <w:right w:val="single" w:sz="6" w:space="0" w:color="000000"/>
            </w:tcBorders>
          </w:tcPr>
          <w:p>
            <w:pPr>
              <w:pStyle w:val="TableParagraph"/>
              <w:spacing w:before="18"/>
              <w:ind w:left="551"/>
              <w:rPr>
                <w:sz w:val="20"/>
              </w:rPr>
            </w:pPr>
            <w:r>
              <w:rPr>
                <w:sz w:val="20"/>
              </w:rPr>
              <w:t>101</w:t>
            </w:r>
          </w:p>
        </w:tc>
        <w:tc>
          <w:tcPr>
            <w:tcW w:w="1224" w:type="dxa"/>
            <w:tcBorders>
              <w:top w:val="single" w:sz="6" w:space="0" w:color="000000"/>
              <w:left w:val="single" w:sz="6" w:space="0" w:color="000000"/>
              <w:bottom w:val="single" w:sz="6" w:space="0" w:color="000000"/>
              <w:right w:val="single" w:sz="6" w:space="0" w:color="000000"/>
            </w:tcBorders>
          </w:tcPr>
          <w:p>
            <w:pPr>
              <w:pStyle w:val="TableParagraph"/>
              <w:spacing w:before="18"/>
              <w:ind w:left="554"/>
              <w:rPr>
                <w:sz w:val="20"/>
              </w:rPr>
            </w:pPr>
            <w:r>
              <w:rPr>
                <w:w w:val="99"/>
                <w:sz w:val="20"/>
              </w:rPr>
              <w:t>5</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before="18"/>
              <w:ind w:left="7"/>
              <w:jc w:val="center"/>
              <w:rPr>
                <w:sz w:val="20"/>
              </w:rPr>
            </w:pPr>
            <w:r>
              <w:rPr>
                <w:w w:val="99"/>
                <w:sz w:val="20"/>
              </w:rPr>
              <w:t>6</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18"/>
              <w:ind w:left="5"/>
              <w:jc w:val="center"/>
              <w:rPr>
                <w:sz w:val="20"/>
              </w:rPr>
            </w:pPr>
            <w:r>
              <w:rPr>
                <w:w w:val="99"/>
                <w:sz w:val="20"/>
              </w:rPr>
              <w:t>6</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before="18"/>
              <w:ind w:left="7"/>
              <w:jc w:val="center"/>
              <w:rPr>
                <w:sz w:val="20"/>
              </w:rPr>
            </w:pPr>
            <w:r>
              <w:rPr>
                <w:w w:val="99"/>
                <w:sz w:val="20"/>
              </w:rPr>
              <w:t>7</w:t>
            </w:r>
          </w:p>
        </w:tc>
        <w:tc>
          <w:tcPr>
            <w:tcW w:w="1133" w:type="dxa"/>
            <w:tcBorders>
              <w:top w:val="single" w:sz="6" w:space="0" w:color="000000"/>
              <w:left w:val="single" w:sz="6" w:space="0" w:color="000000"/>
              <w:bottom w:val="single" w:sz="6" w:space="0" w:color="000000"/>
            </w:tcBorders>
          </w:tcPr>
          <w:p>
            <w:pPr>
              <w:pStyle w:val="TableParagraph"/>
              <w:spacing w:before="18"/>
              <w:ind w:left="2"/>
              <w:jc w:val="center"/>
              <w:rPr>
                <w:sz w:val="20"/>
              </w:rPr>
            </w:pPr>
            <w:r>
              <w:rPr>
                <w:w w:val="99"/>
                <w:sz w:val="20"/>
              </w:rPr>
              <w:t>5</w:t>
            </w:r>
          </w:p>
        </w:tc>
      </w:tr>
      <w:tr>
        <w:trPr>
          <w:trHeight w:val="268" w:hRule="atLeast"/>
        </w:trPr>
        <w:tc>
          <w:tcPr>
            <w:tcW w:w="1440" w:type="dxa"/>
            <w:tcBorders>
              <w:top w:val="single" w:sz="6" w:space="0" w:color="000000"/>
              <w:bottom w:val="single" w:sz="6" w:space="0" w:color="000000"/>
              <w:right w:val="single" w:sz="6" w:space="0" w:color="000000"/>
            </w:tcBorders>
          </w:tcPr>
          <w:p>
            <w:pPr>
              <w:pStyle w:val="TableParagraph"/>
              <w:spacing w:line="230" w:lineRule="exact" w:before="18"/>
              <w:ind w:left="551"/>
              <w:rPr>
                <w:sz w:val="20"/>
              </w:rPr>
            </w:pPr>
            <w:r>
              <w:rPr>
                <w:sz w:val="20"/>
              </w:rPr>
              <w:t>110</w:t>
            </w:r>
          </w:p>
        </w:tc>
        <w:tc>
          <w:tcPr>
            <w:tcW w:w="1224"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554"/>
              <w:rPr>
                <w:sz w:val="20"/>
              </w:rPr>
            </w:pPr>
            <w:r>
              <w:rPr>
                <w:w w:val="99"/>
                <w:sz w:val="20"/>
              </w:rPr>
              <w:t>6</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7"/>
              <w:jc w:val="center"/>
              <w:rPr>
                <w:sz w:val="20"/>
              </w:rPr>
            </w:pPr>
            <w:r>
              <w:rPr>
                <w:w w:val="99"/>
                <w:sz w:val="20"/>
              </w:rPr>
              <w:t>7</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5"/>
              <w:jc w:val="center"/>
              <w:rPr>
                <w:sz w:val="20"/>
              </w:rPr>
            </w:pPr>
            <w:r>
              <w:rPr>
                <w:w w:val="99"/>
                <w:sz w:val="20"/>
              </w:rPr>
              <w:t>7</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7"/>
              <w:jc w:val="center"/>
              <w:rPr>
                <w:sz w:val="20"/>
              </w:rPr>
            </w:pPr>
            <w:r>
              <w:rPr>
                <w:w w:val="99"/>
                <w:sz w:val="20"/>
              </w:rPr>
              <w:t>8</w:t>
            </w:r>
          </w:p>
        </w:tc>
        <w:tc>
          <w:tcPr>
            <w:tcW w:w="1133" w:type="dxa"/>
            <w:tcBorders>
              <w:top w:val="single" w:sz="6" w:space="0" w:color="000000"/>
              <w:left w:val="single" w:sz="6" w:space="0" w:color="000000"/>
              <w:bottom w:val="single" w:sz="6" w:space="0" w:color="000000"/>
            </w:tcBorders>
          </w:tcPr>
          <w:p>
            <w:pPr>
              <w:pStyle w:val="TableParagraph"/>
              <w:spacing w:line="230" w:lineRule="exact" w:before="18"/>
              <w:ind w:left="2"/>
              <w:jc w:val="center"/>
              <w:rPr>
                <w:sz w:val="20"/>
              </w:rPr>
            </w:pPr>
            <w:r>
              <w:rPr>
                <w:w w:val="99"/>
                <w:sz w:val="20"/>
              </w:rPr>
              <w:t>6</w:t>
            </w:r>
          </w:p>
        </w:tc>
      </w:tr>
      <w:tr>
        <w:trPr>
          <w:trHeight w:val="270" w:hRule="atLeast"/>
        </w:trPr>
        <w:tc>
          <w:tcPr>
            <w:tcW w:w="1440" w:type="dxa"/>
            <w:tcBorders>
              <w:top w:val="single" w:sz="6" w:space="0" w:color="000000"/>
              <w:right w:val="single" w:sz="6" w:space="0" w:color="000000"/>
            </w:tcBorders>
          </w:tcPr>
          <w:p>
            <w:pPr>
              <w:pStyle w:val="TableParagraph"/>
              <w:spacing w:before="21"/>
              <w:ind w:left="551"/>
              <w:rPr>
                <w:sz w:val="20"/>
              </w:rPr>
            </w:pPr>
            <w:r>
              <w:rPr>
                <w:sz w:val="20"/>
              </w:rPr>
              <w:t>111</w:t>
            </w:r>
          </w:p>
        </w:tc>
        <w:tc>
          <w:tcPr>
            <w:tcW w:w="1224" w:type="dxa"/>
            <w:tcBorders>
              <w:top w:val="single" w:sz="6" w:space="0" w:color="000000"/>
              <w:left w:val="single" w:sz="6" w:space="0" w:color="000000"/>
              <w:right w:val="single" w:sz="6" w:space="0" w:color="000000"/>
            </w:tcBorders>
          </w:tcPr>
          <w:p>
            <w:pPr>
              <w:pStyle w:val="TableParagraph"/>
              <w:spacing w:before="21"/>
              <w:ind w:left="554"/>
              <w:rPr>
                <w:sz w:val="20"/>
              </w:rPr>
            </w:pPr>
            <w:r>
              <w:rPr>
                <w:w w:val="99"/>
                <w:sz w:val="20"/>
              </w:rPr>
              <w:t>7</w:t>
            </w:r>
          </w:p>
        </w:tc>
        <w:tc>
          <w:tcPr>
            <w:tcW w:w="1135" w:type="dxa"/>
            <w:tcBorders>
              <w:top w:val="single" w:sz="6" w:space="0" w:color="000000"/>
              <w:left w:val="single" w:sz="6" w:space="0" w:color="000000"/>
              <w:right w:val="single" w:sz="6" w:space="0" w:color="000000"/>
            </w:tcBorders>
          </w:tcPr>
          <w:p>
            <w:pPr>
              <w:pStyle w:val="TableParagraph"/>
              <w:spacing w:before="21"/>
              <w:ind w:left="7"/>
              <w:jc w:val="center"/>
              <w:rPr>
                <w:sz w:val="20"/>
              </w:rPr>
            </w:pPr>
            <w:r>
              <w:rPr>
                <w:w w:val="99"/>
                <w:sz w:val="20"/>
              </w:rPr>
              <w:t>8</w:t>
            </w:r>
          </w:p>
        </w:tc>
        <w:tc>
          <w:tcPr>
            <w:tcW w:w="1133" w:type="dxa"/>
            <w:tcBorders>
              <w:top w:val="single" w:sz="6" w:space="0" w:color="000000"/>
              <w:left w:val="single" w:sz="6" w:space="0" w:color="000000"/>
              <w:right w:val="single" w:sz="6" w:space="0" w:color="000000"/>
            </w:tcBorders>
          </w:tcPr>
          <w:p>
            <w:pPr>
              <w:pStyle w:val="TableParagraph"/>
              <w:spacing w:before="21"/>
              <w:ind w:left="5"/>
              <w:jc w:val="center"/>
              <w:rPr>
                <w:sz w:val="20"/>
              </w:rPr>
            </w:pPr>
            <w:r>
              <w:rPr>
                <w:w w:val="99"/>
                <w:sz w:val="20"/>
              </w:rPr>
              <w:t>8</w:t>
            </w:r>
          </w:p>
        </w:tc>
        <w:tc>
          <w:tcPr>
            <w:tcW w:w="1135" w:type="dxa"/>
            <w:tcBorders>
              <w:top w:val="single" w:sz="6" w:space="0" w:color="000000"/>
              <w:left w:val="single" w:sz="6" w:space="0" w:color="000000"/>
              <w:right w:val="single" w:sz="6" w:space="0" w:color="000000"/>
            </w:tcBorders>
          </w:tcPr>
          <w:p>
            <w:pPr>
              <w:pStyle w:val="TableParagraph"/>
              <w:spacing w:before="21"/>
              <w:ind w:left="7"/>
              <w:jc w:val="center"/>
              <w:rPr>
                <w:sz w:val="20"/>
              </w:rPr>
            </w:pPr>
            <w:r>
              <w:rPr>
                <w:w w:val="99"/>
                <w:sz w:val="20"/>
              </w:rPr>
              <w:t>9</w:t>
            </w:r>
          </w:p>
        </w:tc>
        <w:tc>
          <w:tcPr>
            <w:tcW w:w="1133" w:type="dxa"/>
            <w:tcBorders>
              <w:top w:val="single" w:sz="6" w:space="0" w:color="000000"/>
              <w:left w:val="single" w:sz="6" w:space="0" w:color="000000"/>
            </w:tcBorders>
          </w:tcPr>
          <w:p>
            <w:pPr>
              <w:pStyle w:val="TableParagraph"/>
              <w:spacing w:before="21"/>
              <w:ind w:left="2"/>
              <w:jc w:val="center"/>
              <w:rPr>
                <w:sz w:val="20"/>
              </w:rPr>
            </w:pPr>
            <w:r>
              <w:rPr>
                <w:w w:val="99"/>
                <w:sz w:val="20"/>
              </w:rPr>
              <w:t>7</w:t>
            </w:r>
          </w:p>
        </w:tc>
      </w:tr>
    </w:tbl>
    <w:p>
      <w:pPr>
        <w:pStyle w:val="BodyText"/>
        <w:spacing w:before="1"/>
        <w:rPr>
          <w:b/>
          <w:sz w:val="30"/>
        </w:rPr>
      </w:pPr>
    </w:p>
    <w:p>
      <w:pPr>
        <w:pStyle w:val="ListParagraph"/>
        <w:numPr>
          <w:ilvl w:val="2"/>
          <w:numId w:val="7"/>
        </w:numPr>
        <w:tabs>
          <w:tab w:pos="1339" w:val="left" w:leader="none"/>
          <w:tab w:pos="1340" w:val="left" w:leader="none"/>
        </w:tabs>
        <w:spacing w:line="240" w:lineRule="auto" w:before="0" w:after="0"/>
        <w:ind w:left="1339" w:right="0" w:hanging="720"/>
        <w:jc w:val="left"/>
        <w:rPr>
          <w:b/>
          <w:sz w:val="22"/>
        </w:rPr>
      </w:pPr>
      <w:bookmarkStart w:name="2.4.4 Instruction Set" w:id="133"/>
      <w:bookmarkEnd w:id="133"/>
      <w:r>
        <w:rPr/>
      </w:r>
      <w:bookmarkStart w:name="_bookmark60" w:id="134"/>
      <w:bookmarkEnd w:id="134"/>
      <w:r>
        <w:rPr/>
      </w:r>
      <w:bookmarkStart w:name="_bookmark60" w:id="135"/>
      <w:bookmarkEnd w:id="135"/>
      <w:r>
        <w:rPr>
          <w:b/>
          <w:sz w:val="22"/>
        </w:rPr>
        <w:t>I</w:t>
      </w:r>
      <w:r>
        <w:rPr>
          <w:b/>
          <w:sz w:val="22"/>
        </w:rPr>
        <w:t>nstruction</w:t>
      </w:r>
      <w:r>
        <w:rPr>
          <w:b/>
          <w:spacing w:val="-3"/>
          <w:sz w:val="22"/>
        </w:rPr>
        <w:t> </w:t>
      </w:r>
      <w:r>
        <w:rPr>
          <w:b/>
          <w:sz w:val="22"/>
        </w:rPr>
        <w:t>Set</w:t>
      </w:r>
    </w:p>
    <w:p>
      <w:pPr>
        <w:pStyle w:val="BodyText"/>
        <w:spacing w:line="235" w:lineRule="auto" w:before="127"/>
        <w:ind w:left="620" w:right="856"/>
      </w:pPr>
      <w:r>
        <w:rPr/>
        <w:t>All instructions of the generic 8051 microcontroller are supported. A complete list of the instruction set and of the associated op-codes is contained in the </w:t>
      </w:r>
      <w:r>
        <w:rPr>
          <w:i/>
        </w:rPr>
        <w:t>71M654x Software User’s Guide (SUG)</w:t>
      </w:r>
      <w:r>
        <w:rPr/>
        <w:t>.</w:t>
      </w:r>
    </w:p>
    <w:p>
      <w:pPr>
        <w:pStyle w:val="ListParagraph"/>
        <w:numPr>
          <w:ilvl w:val="2"/>
          <w:numId w:val="7"/>
        </w:numPr>
        <w:tabs>
          <w:tab w:pos="1339" w:val="left" w:leader="none"/>
          <w:tab w:pos="1340" w:val="left" w:leader="none"/>
        </w:tabs>
        <w:spacing w:line="240" w:lineRule="auto" w:before="122" w:after="0"/>
        <w:ind w:left="1339" w:right="0" w:hanging="720"/>
        <w:jc w:val="left"/>
        <w:rPr>
          <w:b/>
          <w:sz w:val="22"/>
        </w:rPr>
      </w:pPr>
      <w:bookmarkStart w:name="2.4.5 UARTs" w:id="136"/>
      <w:bookmarkEnd w:id="136"/>
      <w:r>
        <w:rPr/>
      </w:r>
      <w:bookmarkStart w:name="_bookmark61" w:id="137"/>
      <w:bookmarkEnd w:id="137"/>
      <w:r>
        <w:rPr/>
      </w:r>
      <w:bookmarkStart w:name="_bookmark61" w:id="138"/>
      <w:bookmarkEnd w:id="138"/>
      <w:r>
        <w:rPr>
          <w:b/>
          <w:sz w:val="22"/>
        </w:rPr>
        <w:t>U</w:t>
      </w:r>
      <w:r>
        <w:rPr>
          <w:b/>
          <w:sz w:val="22"/>
        </w:rPr>
        <w:t>ARTs</w:t>
      </w:r>
    </w:p>
    <w:p>
      <w:pPr>
        <w:pStyle w:val="BodyText"/>
        <w:spacing w:before="123"/>
        <w:ind w:left="620" w:right="559"/>
      </w:pPr>
      <w:r>
        <w:rPr/>
        <w:t>The 71M6543 include a UART (UART0) that can be programmed to communicate with a variety of AMR modules and other external devices. A second UART (UART1) is connected to the optical port, as described in the </w:t>
      </w:r>
      <w:hyperlink w:history="true" w:anchor="_bookmark114">
        <w:r>
          <w:rPr>
            <w:color w:val="0000FF"/>
          </w:rPr>
          <w:t>2.5.9 </w:t>
        </w:r>
      </w:hyperlink>
      <w:hyperlink w:history="true" w:anchor="_bookmark114">
        <w:r>
          <w:rPr>
            <w:color w:val="0000FF"/>
          </w:rPr>
          <w:t>UART and Optical Interface </w:t>
        </w:r>
      </w:hyperlink>
      <w:r>
        <w:rPr/>
        <w:t>on page </w:t>
      </w:r>
      <w:hyperlink w:history="true" w:anchor="_bookmark114">
        <w:r>
          <w:rPr>
            <w:color w:val="0000FF"/>
          </w:rPr>
          <w:t>56</w:t>
        </w:r>
        <w:r>
          <w:rPr/>
          <w:t>.</w:t>
        </w:r>
      </w:hyperlink>
    </w:p>
    <w:p>
      <w:pPr>
        <w:pStyle w:val="BodyText"/>
        <w:spacing w:before="119"/>
        <w:ind w:left="619" w:right="684"/>
        <w:jc w:val="both"/>
      </w:pPr>
      <w:r>
        <w:rPr/>
        <w:t>The</w:t>
      </w:r>
      <w:r>
        <w:rPr>
          <w:spacing w:val="-14"/>
        </w:rPr>
        <w:t> </w:t>
      </w:r>
      <w:r>
        <w:rPr/>
        <w:t>UARTs</w:t>
      </w:r>
      <w:r>
        <w:rPr>
          <w:spacing w:val="-12"/>
        </w:rPr>
        <w:t> </w:t>
      </w:r>
      <w:r>
        <w:rPr/>
        <w:t>are</w:t>
      </w:r>
      <w:r>
        <w:rPr>
          <w:spacing w:val="-11"/>
        </w:rPr>
        <w:t> </w:t>
      </w:r>
      <w:r>
        <w:rPr>
          <w:spacing w:val="-2"/>
        </w:rPr>
        <w:t>dedicated</w:t>
      </w:r>
      <w:r>
        <w:rPr>
          <w:spacing w:val="-12"/>
        </w:rPr>
        <w:t> </w:t>
      </w:r>
      <w:r>
        <w:rPr/>
        <w:t>2-wire</w:t>
      </w:r>
      <w:r>
        <w:rPr>
          <w:spacing w:val="-12"/>
        </w:rPr>
        <w:t> </w:t>
      </w:r>
      <w:r>
        <w:rPr/>
        <w:t>serial</w:t>
      </w:r>
      <w:r>
        <w:rPr>
          <w:spacing w:val="-12"/>
        </w:rPr>
        <w:t> </w:t>
      </w:r>
      <w:r>
        <w:rPr>
          <w:spacing w:val="-3"/>
        </w:rPr>
        <w:t>interfaces,</w:t>
      </w:r>
      <w:r>
        <w:rPr>
          <w:spacing w:val="-9"/>
        </w:rPr>
        <w:t> </w:t>
      </w:r>
      <w:r>
        <w:rPr/>
        <w:t>which</w:t>
      </w:r>
      <w:r>
        <w:rPr>
          <w:spacing w:val="-11"/>
        </w:rPr>
        <w:t> </w:t>
      </w:r>
      <w:r>
        <w:rPr/>
        <w:t>can</w:t>
      </w:r>
      <w:r>
        <w:rPr>
          <w:spacing w:val="-12"/>
        </w:rPr>
        <w:t> </w:t>
      </w:r>
      <w:r>
        <w:rPr/>
        <w:t>communicate</w:t>
      </w:r>
      <w:r>
        <w:rPr>
          <w:spacing w:val="-11"/>
        </w:rPr>
        <w:t> </w:t>
      </w:r>
      <w:r>
        <w:rPr/>
        <w:t>with</w:t>
      </w:r>
      <w:r>
        <w:rPr>
          <w:spacing w:val="-12"/>
        </w:rPr>
        <w:t> </w:t>
      </w:r>
      <w:r>
        <w:rPr/>
        <w:t>an</w:t>
      </w:r>
      <w:r>
        <w:rPr>
          <w:spacing w:val="-12"/>
        </w:rPr>
        <w:t> </w:t>
      </w:r>
      <w:r>
        <w:rPr/>
        <w:t>external</w:t>
      </w:r>
      <w:r>
        <w:rPr>
          <w:spacing w:val="-12"/>
        </w:rPr>
        <w:t> </w:t>
      </w:r>
      <w:r>
        <w:rPr/>
        <w:t>host</w:t>
      </w:r>
      <w:r>
        <w:rPr>
          <w:spacing w:val="-11"/>
        </w:rPr>
        <w:t> </w:t>
      </w:r>
      <w:r>
        <w:rPr>
          <w:spacing w:val="-3"/>
        </w:rPr>
        <w:t>processor </w:t>
      </w:r>
      <w:r>
        <w:rPr/>
        <w:t>at up to 38,400 bits/s (with MPU clock = 1.2288 MHz). The operation of the RX and TX UART0 pins is as follows:</w:t>
      </w:r>
    </w:p>
    <w:p>
      <w:pPr>
        <w:spacing w:after="0"/>
        <w:jc w:val="both"/>
        <w:sectPr>
          <w:pgSz w:w="12240" w:h="15840"/>
          <w:pgMar w:header="727" w:footer="819" w:top="960" w:bottom="1000" w:left="820" w:right="860"/>
        </w:sectPr>
      </w:pPr>
    </w:p>
    <w:p>
      <w:pPr>
        <w:pStyle w:val="BodyText"/>
        <w:spacing w:before="9"/>
        <w:rPr>
          <w:sz w:val="15"/>
        </w:rPr>
      </w:pPr>
    </w:p>
    <w:p>
      <w:pPr>
        <w:pStyle w:val="ListParagraph"/>
        <w:numPr>
          <w:ilvl w:val="1"/>
          <w:numId w:val="10"/>
        </w:numPr>
        <w:tabs>
          <w:tab w:pos="979" w:val="left" w:leader="none"/>
          <w:tab w:pos="980" w:val="left" w:leader="none"/>
        </w:tabs>
        <w:spacing w:line="230" w:lineRule="auto" w:before="108" w:after="0"/>
        <w:ind w:left="979" w:right="876" w:hanging="360"/>
        <w:jc w:val="left"/>
        <w:rPr>
          <w:sz w:val="20"/>
        </w:rPr>
      </w:pPr>
      <w:r>
        <w:rPr>
          <w:sz w:val="20"/>
        </w:rPr>
        <w:t>UART0</w:t>
      </w:r>
      <w:r>
        <w:rPr>
          <w:spacing w:val="-4"/>
          <w:sz w:val="20"/>
        </w:rPr>
        <w:t> </w:t>
      </w:r>
      <w:r>
        <w:rPr>
          <w:sz w:val="20"/>
        </w:rPr>
        <w:t>RX:</w:t>
      </w:r>
      <w:r>
        <w:rPr>
          <w:spacing w:val="-3"/>
          <w:sz w:val="20"/>
        </w:rPr>
        <w:t> </w:t>
      </w:r>
      <w:r>
        <w:rPr>
          <w:sz w:val="20"/>
        </w:rPr>
        <w:t>Serial</w:t>
      </w:r>
      <w:r>
        <w:rPr>
          <w:spacing w:val="-4"/>
          <w:sz w:val="20"/>
        </w:rPr>
        <w:t> </w:t>
      </w:r>
      <w:r>
        <w:rPr>
          <w:sz w:val="20"/>
        </w:rPr>
        <w:t>input</w:t>
      </w:r>
      <w:r>
        <w:rPr>
          <w:spacing w:val="-2"/>
          <w:sz w:val="20"/>
        </w:rPr>
        <w:t> </w:t>
      </w:r>
      <w:r>
        <w:rPr>
          <w:sz w:val="20"/>
        </w:rPr>
        <w:t>data</w:t>
      </w:r>
      <w:r>
        <w:rPr>
          <w:spacing w:val="-3"/>
          <w:sz w:val="20"/>
        </w:rPr>
        <w:t> </w:t>
      </w:r>
      <w:r>
        <w:rPr>
          <w:sz w:val="20"/>
        </w:rPr>
        <w:t>are</w:t>
      </w:r>
      <w:r>
        <w:rPr>
          <w:spacing w:val="-3"/>
          <w:sz w:val="20"/>
        </w:rPr>
        <w:t> </w:t>
      </w:r>
      <w:r>
        <w:rPr>
          <w:sz w:val="20"/>
        </w:rPr>
        <w:t>applied</w:t>
      </w:r>
      <w:r>
        <w:rPr>
          <w:spacing w:val="-4"/>
          <w:sz w:val="20"/>
        </w:rPr>
        <w:t> </w:t>
      </w:r>
      <w:r>
        <w:rPr>
          <w:sz w:val="20"/>
        </w:rPr>
        <w:t>at</w:t>
      </w:r>
      <w:r>
        <w:rPr>
          <w:spacing w:val="-3"/>
          <w:sz w:val="20"/>
        </w:rPr>
        <w:t> </w:t>
      </w:r>
      <w:r>
        <w:rPr>
          <w:sz w:val="20"/>
        </w:rPr>
        <w:t>this</w:t>
      </w:r>
      <w:r>
        <w:rPr>
          <w:spacing w:val="-2"/>
          <w:sz w:val="20"/>
        </w:rPr>
        <w:t> </w:t>
      </w:r>
      <w:r>
        <w:rPr>
          <w:sz w:val="20"/>
        </w:rPr>
        <w:t>pin.</w:t>
      </w:r>
      <w:r>
        <w:rPr>
          <w:spacing w:val="-3"/>
          <w:sz w:val="20"/>
        </w:rPr>
        <w:t> </w:t>
      </w:r>
      <w:r>
        <w:rPr>
          <w:sz w:val="20"/>
        </w:rPr>
        <w:t>Conforming</w:t>
      </w:r>
      <w:r>
        <w:rPr>
          <w:spacing w:val="-3"/>
          <w:sz w:val="20"/>
        </w:rPr>
        <w:t> </w:t>
      </w:r>
      <w:r>
        <w:rPr>
          <w:sz w:val="20"/>
        </w:rPr>
        <w:t>to</w:t>
      </w:r>
      <w:r>
        <w:rPr>
          <w:spacing w:val="-3"/>
          <w:sz w:val="20"/>
        </w:rPr>
        <w:t> </w:t>
      </w:r>
      <w:r>
        <w:rPr>
          <w:sz w:val="20"/>
        </w:rPr>
        <w:t>RS-232</w:t>
      </w:r>
      <w:r>
        <w:rPr>
          <w:spacing w:val="-4"/>
          <w:sz w:val="20"/>
        </w:rPr>
        <w:t> </w:t>
      </w:r>
      <w:r>
        <w:rPr>
          <w:sz w:val="20"/>
        </w:rPr>
        <w:t>standard,</w:t>
      </w:r>
      <w:r>
        <w:rPr>
          <w:spacing w:val="-3"/>
          <w:sz w:val="20"/>
        </w:rPr>
        <w:t> </w:t>
      </w:r>
      <w:r>
        <w:rPr>
          <w:sz w:val="20"/>
        </w:rPr>
        <w:t>the</w:t>
      </w:r>
      <w:r>
        <w:rPr>
          <w:spacing w:val="-1"/>
          <w:sz w:val="20"/>
        </w:rPr>
        <w:t> </w:t>
      </w:r>
      <w:r>
        <w:rPr>
          <w:sz w:val="20"/>
        </w:rPr>
        <w:t>bytes</w:t>
      </w:r>
      <w:r>
        <w:rPr>
          <w:spacing w:val="-3"/>
          <w:sz w:val="20"/>
        </w:rPr>
        <w:t> </w:t>
      </w:r>
      <w:r>
        <w:rPr>
          <w:sz w:val="20"/>
        </w:rPr>
        <w:t>are input LSB</w:t>
      </w:r>
      <w:r>
        <w:rPr>
          <w:spacing w:val="-1"/>
          <w:sz w:val="20"/>
        </w:rPr>
        <w:t> </w:t>
      </w:r>
      <w:r>
        <w:rPr>
          <w:sz w:val="20"/>
        </w:rPr>
        <w:t>first.</w:t>
      </w:r>
    </w:p>
    <w:p>
      <w:pPr>
        <w:pStyle w:val="ListParagraph"/>
        <w:numPr>
          <w:ilvl w:val="1"/>
          <w:numId w:val="10"/>
        </w:numPr>
        <w:tabs>
          <w:tab w:pos="979" w:val="left" w:leader="none"/>
          <w:tab w:pos="980" w:val="left" w:leader="none"/>
        </w:tabs>
        <w:spacing w:line="240" w:lineRule="auto" w:before="40" w:after="0"/>
        <w:ind w:left="979" w:right="0" w:hanging="361"/>
        <w:jc w:val="left"/>
        <w:rPr>
          <w:sz w:val="20"/>
        </w:rPr>
      </w:pPr>
      <w:r>
        <w:rPr>
          <w:sz w:val="20"/>
        </w:rPr>
        <w:t>UART0 TX: This pin is used to output the serial data. The bytes are output LSB</w:t>
      </w:r>
      <w:r>
        <w:rPr>
          <w:spacing w:val="-14"/>
          <w:sz w:val="20"/>
        </w:rPr>
        <w:t> </w:t>
      </w:r>
      <w:r>
        <w:rPr>
          <w:sz w:val="20"/>
        </w:rPr>
        <w:t>first.</w:t>
      </w:r>
    </w:p>
    <w:p>
      <w:pPr>
        <w:pStyle w:val="BodyText"/>
        <w:spacing w:before="10"/>
        <w:rPr>
          <w:sz w:val="18"/>
        </w:rPr>
      </w:pPr>
    </w:p>
    <w:p>
      <w:pPr>
        <w:pStyle w:val="BodyText"/>
        <w:ind w:left="619"/>
      </w:pPr>
      <w:r>
        <w:rPr/>
        <w:t>The 71M6543 has several UART-related registers for the control and buffering of serial data.</w:t>
      </w:r>
    </w:p>
    <w:p>
      <w:pPr>
        <w:pStyle w:val="BodyText"/>
        <w:spacing w:before="118"/>
        <w:ind w:left="619" w:right="751"/>
      </w:pPr>
      <w:r>
        <w:rPr/>
        <w:t>A single SFR register serves as both the transmit buffer and receive buffer (</w:t>
      </w:r>
      <w:r>
        <w:rPr>
          <w:rFonts w:ascii="Times New Roman"/>
          <w:i/>
        </w:rPr>
        <w:t>S0BUF</w:t>
      </w:r>
      <w:r>
        <w:rPr/>
        <w:t>, </w:t>
      </w:r>
      <w:r>
        <w:rPr>
          <w:rFonts w:ascii="Times New Roman"/>
          <w:i/>
        </w:rPr>
        <w:t>SFR 0x99 </w:t>
      </w:r>
      <w:r>
        <w:rPr/>
        <w:t>for UART0 and </w:t>
      </w:r>
      <w:r>
        <w:rPr>
          <w:rFonts w:ascii="Times New Roman"/>
          <w:i/>
        </w:rPr>
        <w:t>S1BUF</w:t>
      </w:r>
      <w:r>
        <w:rPr/>
        <w:t>, </w:t>
      </w:r>
      <w:r>
        <w:rPr>
          <w:rFonts w:ascii="Times New Roman"/>
          <w:i/>
        </w:rPr>
        <w:t>SFR 0x9C </w:t>
      </w:r>
      <w:r>
        <w:rPr/>
        <w:t>for UART1). When written by the MPU, </w:t>
      </w:r>
      <w:r>
        <w:rPr>
          <w:rFonts w:ascii="Times New Roman"/>
          <w:i/>
        </w:rPr>
        <w:t>SxBUF </w:t>
      </w:r>
      <w:r>
        <w:rPr/>
        <w:t>acts as the transmit buffer, and when read by the MPU, it acts as the receive buffer. Writing data to the transmit buffer starts the transmission by the associated UART. Received data are available by reading from the receive buffer. Both UARTs can simultaneously transmit and receive data.</w:t>
      </w:r>
    </w:p>
    <w:p>
      <w:pPr>
        <w:pStyle w:val="BodyText"/>
        <w:spacing w:line="235" w:lineRule="auto" w:before="119"/>
        <w:ind w:left="619" w:right="559"/>
      </w:pPr>
      <w:r>
        <w:rPr>
          <w:rFonts w:ascii="Times New Roman"/>
          <w:i/>
        </w:rPr>
        <w:t>WDCON[7] (SFR 0xD8) </w:t>
      </w:r>
      <w:r>
        <w:rPr/>
        <w:t>selects whether timer 1 or the internal baud rate generator is used. All UART transfers are programmable for parity enable, parity, 2 stop bits/1 stop bit and XON/XOFF options for variable communication baud rates from 300 to 38400 bps. </w:t>
      </w:r>
      <w:hyperlink w:history="true" w:anchor="_bookmark62">
        <w:r>
          <w:rPr>
            <w:color w:val="0000FF"/>
          </w:rPr>
          <w:t>Table 16 </w:t>
        </w:r>
      </w:hyperlink>
      <w:r>
        <w:rPr/>
        <w:t>shows how the baud rates are calculated. </w:t>
      </w:r>
      <w:hyperlink w:history="true" w:anchor="_bookmark63">
        <w:r>
          <w:rPr>
            <w:color w:val="0000FF"/>
          </w:rPr>
          <w:t>Table 17 </w:t>
        </w:r>
      </w:hyperlink>
      <w:r>
        <w:rPr/>
        <w:t>shows the selectable UART operation modes.</w:t>
      </w:r>
    </w:p>
    <w:p>
      <w:pPr>
        <w:pStyle w:val="Heading1"/>
        <w:spacing w:before="117"/>
        <w:ind w:left="1312" w:right="1278"/>
      </w:pPr>
      <w:bookmarkStart w:name="_bookmark62" w:id="139"/>
      <w:bookmarkEnd w:id="139"/>
      <w:r>
        <w:rPr>
          <w:b w:val="0"/>
        </w:rPr>
      </w:r>
      <w:r>
        <w:rPr/>
        <w:t>Table 16: Baud Rate Generation</w:t>
      </w:r>
    </w:p>
    <w:p>
      <w:pPr>
        <w:pStyle w:val="BodyText"/>
        <w:spacing w:before="5"/>
        <w:rPr>
          <w:b/>
          <w:sz w:val="5"/>
        </w:rPr>
      </w:pPr>
    </w:p>
    <w:tbl>
      <w:tblPr>
        <w:tblW w:w="0" w:type="auto"/>
        <w:jc w:val="left"/>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2"/>
        <w:gridCol w:w="3207"/>
        <w:gridCol w:w="4213"/>
      </w:tblGrid>
      <w:tr>
        <w:trPr>
          <w:trHeight w:val="532" w:hRule="atLeast"/>
        </w:trPr>
        <w:tc>
          <w:tcPr>
            <w:tcW w:w="1942" w:type="dxa"/>
            <w:tcBorders>
              <w:top w:val="nil"/>
              <w:left w:val="nil"/>
            </w:tcBorders>
          </w:tcPr>
          <w:p>
            <w:pPr>
              <w:pStyle w:val="TableParagraph"/>
              <w:rPr>
                <w:rFonts w:ascii="Times New Roman"/>
                <w:sz w:val="18"/>
              </w:rPr>
            </w:pPr>
          </w:p>
        </w:tc>
        <w:tc>
          <w:tcPr>
            <w:tcW w:w="3207" w:type="dxa"/>
          </w:tcPr>
          <w:p>
            <w:pPr>
              <w:pStyle w:val="TableParagraph"/>
              <w:spacing w:line="228" w:lineRule="exact" w:before="31"/>
              <w:ind w:left="939"/>
              <w:rPr>
                <w:b/>
                <w:sz w:val="20"/>
              </w:rPr>
            </w:pPr>
            <w:r>
              <w:rPr>
                <w:b/>
                <w:sz w:val="20"/>
              </w:rPr>
              <w:t>Using Timer 1</w:t>
            </w:r>
          </w:p>
          <w:p>
            <w:pPr>
              <w:pStyle w:val="TableParagraph"/>
              <w:spacing w:line="229" w:lineRule="exact"/>
              <w:ind w:left="874"/>
              <w:rPr>
                <w:b/>
                <w:sz w:val="20"/>
              </w:rPr>
            </w:pPr>
            <w:r>
              <w:rPr>
                <w:b/>
                <w:sz w:val="20"/>
              </w:rPr>
              <w:t>(</w:t>
            </w:r>
            <w:r>
              <w:rPr>
                <w:rFonts w:ascii="Times New Roman"/>
                <w:b/>
                <w:i/>
                <w:sz w:val="20"/>
              </w:rPr>
              <w:t>WDCON[7] </w:t>
            </w:r>
            <w:r>
              <w:rPr>
                <w:b/>
                <w:sz w:val="20"/>
              </w:rPr>
              <w:t>= 0)</w:t>
            </w:r>
          </w:p>
        </w:tc>
        <w:tc>
          <w:tcPr>
            <w:tcW w:w="4213" w:type="dxa"/>
          </w:tcPr>
          <w:p>
            <w:pPr>
              <w:pStyle w:val="TableParagraph"/>
              <w:spacing w:line="235" w:lineRule="auto" w:before="35"/>
              <w:ind w:left="1377" w:right="384" w:hanging="968"/>
              <w:rPr>
                <w:b/>
                <w:sz w:val="20"/>
              </w:rPr>
            </w:pPr>
            <w:r>
              <w:rPr>
                <w:b/>
                <w:sz w:val="20"/>
              </w:rPr>
              <w:t>Using Internal Baud Rate Generator (</w:t>
            </w:r>
            <w:r>
              <w:rPr>
                <w:rFonts w:ascii="Times New Roman"/>
                <w:b/>
                <w:i/>
                <w:sz w:val="20"/>
              </w:rPr>
              <w:t>WDCON[7] </w:t>
            </w:r>
            <w:r>
              <w:rPr>
                <w:b/>
                <w:sz w:val="20"/>
              </w:rPr>
              <w:t>= 1)</w:t>
            </w:r>
          </w:p>
        </w:tc>
      </w:tr>
      <w:tr>
        <w:trPr>
          <w:trHeight w:val="306" w:hRule="atLeast"/>
        </w:trPr>
        <w:tc>
          <w:tcPr>
            <w:tcW w:w="1942" w:type="dxa"/>
          </w:tcPr>
          <w:p>
            <w:pPr>
              <w:pStyle w:val="TableParagraph"/>
              <w:spacing w:before="30"/>
              <w:ind w:left="614" w:right="605"/>
              <w:jc w:val="center"/>
              <w:rPr>
                <w:b/>
                <w:sz w:val="20"/>
              </w:rPr>
            </w:pPr>
            <w:r>
              <w:rPr>
                <w:b/>
                <w:sz w:val="20"/>
              </w:rPr>
              <w:t>UART0</w:t>
            </w:r>
          </w:p>
        </w:tc>
        <w:tc>
          <w:tcPr>
            <w:tcW w:w="3207" w:type="dxa"/>
          </w:tcPr>
          <w:p>
            <w:pPr>
              <w:pStyle w:val="TableParagraph"/>
              <w:spacing w:before="30"/>
              <w:ind w:left="107"/>
              <w:rPr>
                <w:sz w:val="20"/>
              </w:rPr>
            </w:pPr>
            <w:r>
              <w:rPr>
                <w:sz w:val="20"/>
              </w:rPr>
              <w:t>2</w:t>
            </w:r>
            <w:r>
              <w:rPr>
                <w:sz w:val="20"/>
                <w:vertAlign w:val="superscript"/>
              </w:rPr>
              <w:t>smod</w:t>
            </w:r>
            <w:r>
              <w:rPr>
                <w:sz w:val="20"/>
                <w:vertAlign w:val="baseline"/>
              </w:rPr>
              <w:t> * f</w:t>
            </w:r>
            <w:r>
              <w:rPr>
                <w:sz w:val="20"/>
                <w:vertAlign w:val="subscript"/>
              </w:rPr>
              <w:t>CKMPU</w:t>
            </w:r>
            <w:r>
              <w:rPr>
                <w:sz w:val="20"/>
                <w:vertAlign w:val="baseline"/>
              </w:rPr>
              <w:t>/ (384 * (256-</w:t>
            </w:r>
            <w:r>
              <w:rPr>
                <w:i/>
                <w:sz w:val="20"/>
                <w:vertAlign w:val="baseline"/>
              </w:rPr>
              <w:t>TH1</w:t>
            </w:r>
            <w:r>
              <w:rPr>
                <w:sz w:val="20"/>
                <w:vertAlign w:val="baseline"/>
              </w:rPr>
              <w:t>))</w:t>
            </w:r>
          </w:p>
        </w:tc>
        <w:tc>
          <w:tcPr>
            <w:tcW w:w="4213" w:type="dxa"/>
          </w:tcPr>
          <w:p>
            <w:pPr>
              <w:pStyle w:val="TableParagraph"/>
              <w:spacing w:before="28"/>
              <w:ind w:left="106"/>
              <w:rPr>
                <w:sz w:val="20"/>
              </w:rPr>
            </w:pPr>
            <w:r>
              <w:rPr>
                <w:sz w:val="20"/>
              </w:rPr>
              <w:t>2</w:t>
            </w:r>
            <w:r>
              <w:rPr>
                <w:sz w:val="20"/>
                <w:vertAlign w:val="superscript"/>
              </w:rPr>
              <w:t>smod</w:t>
            </w:r>
            <w:r>
              <w:rPr>
                <w:sz w:val="20"/>
                <w:vertAlign w:val="baseline"/>
              </w:rPr>
              <w:t> * f</w:t>
            </w:r>
            <w:r>
              <w:rPr>
                <w:sz w:val="20"/>
                <w:vertAlign w:val="subscript"/>
              </w:rPr>
              <w:t>CKMPU</w:t>
            </w:r>
            <w:r>
              <w:rPr>
                <w:sz w:val="20"/>
                <w:vertAlign w:val="baseline"/>
              </w:rPr>
              <w:t>/(64 * (2</w:t>
            </w:r>
            <w:r>
              <w:rPr>
                <w:sz w:val="20"/>
                <w:vertAlign w:val="superscript"/>
              </w:rPr>
              <w:t>10</w:t>
            </w:r>
            <w:r>
              <w:rPr>
                <w:sz w:val="20"/>
                <w:vertAlign w:val="baseline"/>
              </w:rPr>
              <w:t>-</w:t>
            </w:r>
            <w:r>
              <w:rPr>
                <w:rFonts w:ascii="Times New Roman"/>
                <w:i/>
                <w:sz w:val="20"/>
                <w:vertAlign w:val="baseline"/>
              </w:rPr>
              <w:t>S0REL</w:t>
            </w:r>
            <w:r>
              <w:rPr>
                <w:sz w:val="20"/>
                <w:vertAlign w:val="baseline"/>
              </w:rPr>
              <w:t>))</w:t>
            </w:r>
          </w:p>
        </w:tc>
      </w:tr>
      <w:tr>
        <w:trPr>
          <w:trHeight w:val="304" w:hRule="atLeast"/>
        </w:trPr>
        <w:tc>
          <w:tcPr>
            <w:tcW w:w="1942" w:type="dxa"/>
          </w:tcPr>
          <w:p>
            <w:pPr>
              <w:pStyle w:val="TableParagraph"/>
              <w:spacing w:before="30"/>
              <w:ind w:left="612" w:right="608"/>
              <w:jc w:val="center"/>
              <w:rPr>
                <w:b/>
                <w:sz w:val="20"/>
              </w:rPr>
            </w:pPr>
            <w:r>
              <w:rPr>
                <w:b/>
                <w:sz w:val="20"/>
              </w:rPr>
              <w:t>UART1</w:t>
            </w:r>
          </w:p>
        </w:tc>
        <w:tc>
          <w:tcPr>
            <w:tcW w:w="3207" w:type="dxa"/>
          </w:tcPr>
          <w:p>
            <w:pPr>
              <w:pStyle w:val="TableParagraph"/>
              <w:spacing w:before="33"/>
              <w:ind w:left="107"/>
              <w:rPr>
                <w:sz w:val="20"/>
              </w:rPr>
            </w:pPr>
            <w:r>
              <w:rPr>
                <w:sz w:val="20"/>
              </w:rPr>
              <w:t>N/A</w:t>
            </w:r>
          </w:p>
        </w:tc>
        <w:tc>
          <w:tcPr>
            <w:tcW w:w="4213" w:type="dxa"/>
          </w:tcPr>
          <w:p>
            <w:pPr>
              <w:pStyle w:val="TableParagraph"/>
              <w:spacing w:before="28"/>
              <w:ind w:left="106"/>
              <w:rPr>
                <w:sz w:val="20"/>
              </w:rPr>
            </w:pPr>
            <w:r>
              <w:rPr>
                <w:sz w:val="20"/>
              </w:rPr>
              <w:t>f</w:t>
            </w:r>
            <w:r>
              <w:rPr>
                <w:sz w:val="20"/>
                <w:vertAlign w:val="subscript"/>
              </w:rPr>
              <w:t>CKMPU</w:t>
            </w:r>
            <w:r>
              <w:rPr>
                <w:sz w:val="20"/>
                <w:vertAlign w:val="baseline"/>
              </w:rPr>
              <w:t>/(32 * (2</w:t>
            </w:r>
            <w:r>
              <w:rPr>
                <w:sz w:val="20"/>
                <w:vertAlign w:val="superscript"/>
              </w:rPr>
              <w:t>10</w:t>
            </w:r>
            <w:r>
              <w:rPr>
                <w:sz w:val="20"/>
                <w:vertAlign w:val="baseline"/>
              </w:rPr>
              <w:t>-</w:t>
            </w:r>
            <w:r>
              <w:rPr>
                <w:rFonts w:ascii="Times New Roman"/>
                <w:i/>
                <w:sz w:val="20"/>
                <w:vertAlign w:val="baseline"/>
              </w:rPr>
              <w:t>S1REL</w:t>
            </w:r>
            <w:r>
              <w:rPr>
                <w:sz w:val="20"/>
                <w:vertAlign w:val="baseline"/>
              </w:rPr>
              <w:t>))</w:t>
            </w:r>
          </w:p>
        </w:tc>
      </w:tr>
    </w:tbl>
    <w:p>
      <w:pPr>
        <w:spacing w:line="237" w:lineRule="auto" w:before="112"/>
        <w:ind w:left="619" w:right="632" w:firstLine="0"/>
        <w:jc w:val="left"/>
        <w:rPr>
          <w:rFonts w:ascii="Times New Roman"/>
          <w:i/>
          <w:sz w:val="20"/>
        </w:rPr>
      </w:pPr>
      <w:r>
        <w:rPr>
          <w:rFonts w:ascii="Times New Roman"/>
          <w:i/>
          <w:sz w:val="20"/>
        </w:rPr>
        <w:t>S0REL </w:t>
      </w:r>
      <w:r>
        <w:rPr>
          <w:sz w:val="20"/>
        </w:rPr>
        <w:t>and </w:t>
      </w:r>
      <w:r>
        <w:rPr>
          <w:rFonts w:ascii="Times New Roman"/>
          <w:i/>
          <w:sz w:val="20"/>
        </w:rPr>
        <w:t>S1REL </w:t>
      </w:r>
      <w:r>
        <w:rPr>
          <w:sz w:val="20"/>
        </w:rPr>
        <w:t>are 10-bit values derived by combining bits from the respective timer reload registers. (</w:t>
      </w:r>
      <w:r>
        <w:rPr>
          <w:rFonts w:ascii="Times New Roman"/>
          <w:i/>
          <w:sz w:val="20"/>
        </w:rPr>
        <w:t>S0RELL, S0RELH, S1RELL, S1RELH </w:t>
      </w:r>
      <w:r>
        <w:rPr>
          <w:sz w:val="20"/>
        </w:rPr>
        <w:t>are </w:t>
      </w:r>
      <w:r>
        <w:rPr>
          <w:rFonts w:ascii="Times New Roman"/>
          <w:i/>
          <w:sz w:val="20"/>
        </w:rPr>
        <w:t>SFR 0xAA, SFR 0xBA, SFR 0x9D </w:t>
      </w:r>
      <w:r>
        <w:rPr>
          <w:sz w:val="20"/>
        </w:rPr>
        <w:t>and </w:t>
      </w:r>
      <w:r>
        <w:rPr>
          <w:rFonts w:ascii="Times New Roman"/>
          <w:i/>
          <w:sz w:val="20"/>
        </w:rPr>
        <w:t>SFR 0xBB</w:t>
      </w:r>
      <w:r>
        <w:rPr>
          <w:sz w:val="20"/>
        </w:rPr>
        <w:t>, respectively) </w:t>
      </w:r>
      <w:r>
        <w:rPr>
          <w:rFonts w:ascii="Times New Roman"/>
          <w:i/>
          <w:sz w:val="20"/>
        </w:rPr>
        <w:t>SMOD</w:t>
      </w:r>
    </w:p>
    <w:p>
      <w:pPr>
        <w:spacing w:line="226" w:lineRule="exact" w:before="0"/>
        <w:ind w:left="619" w:right="0" w:firstLine="0"/>
        <w:jc w:val="left"/>
        <w:rPr>
          <w:sz w:val="20"/>
        </w:rPr>
      </w:pPr>
      <w:r>
        <w:rPr>
          <w:sz w:val="20"/>
        </w:rPr>
        <w:t>is the </w:t>
      </w:r>
      <w:r>
        <w:rPr>
          <w:rFonts w:ascii="Times New Roman"/>
          <w:i/>
          <w:sz w:val="20"/>
        </w:rPr>
        <w:t>SMOD </w:t>
      </w:r>
      <w:r>
        <w:rPr>
          <w:sz w:val="20"/>
        </w:rPr>
        <w:t>bit in the SFR </w:t>
      </w:r>
      <w:r>
        <w:rPr>
          <w:rFonts w:ascii="Times New Roman"/>
          <w:i/>
          <w:sz w:val="20"/>
        </w:rPr>
        <w:t>PCON </w:t>
      </w:r>
      <w:r>
        <w:rPr>
          <w:sz w:val="20"/>
        </w:rPr>
        <w:t>register (</w:t>
      </w:r>
      <w:r>
        <w:rPr>
          <w:rFonts w:ascii="Times New Roman"/>
          <w:i/>
          <w:sz w:val="20"/>
        </w:rPr>
        <w:t>SFR 0x87</w:t>
      </w:r>
      <w:r>
        <w:rPr>
          <w:sz w:val="20"/>
        </w:rPr>
        <w:t>). </w:t>
      </w:r>
      <w:r>
        <w:rPr>
          <w:rFonts w:ascii="Times New Roman"/>
          <w:i/>
          <w:sz w:val="20"/>
        </w:rPr>
        <w:t>TH1 (SFR 0x8D) </w:t>
      </w:r>
      <w:r>
        <w:rPr>
          <w:sz w:val="20"/>
        </w:rPr>
        <w:t>is the high byte of timer 1.</w:t>
      </w:r>
    </w:p>
    <w:p>
      <w:pPr>
        <w:pStyle w:val="Heading1"/>
        <w:spacing w:before="115"/>
        <w:ind w:left="1314" w:right="1278"/>
      </w:pPr>
      <w:bookmarkStart w:name="_bookmark63" w:id="140"/>
      <w:bookmarkEnd w:id="140"/>
      <w:r>
        <w:rPr>
          <w:b w:val="0"/>
        </w:rPr>
      </w:r>
      <w:r>
        <w:rPr/>
        <w:t>Table 17: UART Modes</w:t>
      </w:r>
    </w:p>
    <w:p>
      <w:pPr>
        <w:pStyle w:val="BodyText"/>
        <w:spacing w:before="7"/>
        <w:rPr>
          <w:b/>
          <w:sz w:val="5"/>
        </w:rPr>
      </w:pPr>
    </w:p>
    <w:tbl>
      <w:tblPr>
        <w:tblW w:w="0" w:type="auto"/>
        <w:jc w:val="left"/>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3773"/>
        <w:gridCol w:w="4311"/>
      </w:tblGrid>
      <w:tr>
        <w:trPr>
          <w:trHeight w:val="304" w:hRule="atLeast"/>
        </w:trPr>
        <w:tc>
          <w:tcPr>
            <w:tcW w:w="1277" w:type="dxa"/>
            <w:tcBorders>
              <w:top w:val="nil"/>
              <w:left w:val="nil"/>
            </w:tcBorders>
          </w:tcPr>
          <w:p>
            <w:pPr>
              <w:pStyle w:val="TableParagraph"/>
              <w:rPr>
                <w:rFonts w:ascii="Times New Roman"/>
                <w:sz w:val="18"/>
              </w:rPr>
            </w:pPr>
          </w:p>
        </w:tc>
        <w:tc>
          <w:tcPr>
            <w:tcW w:w="3773" w:type="dxa"/>
          </w:tcPr>
          <w:p>
            <w:pPr>
              <w:pStyle w:val="TableParagraph"/>
              <w:spacing w:before="31"/>
              <w:ind w:left="1501" w:right="1498"/>
              <w:jc w:val="center"/>
              <w:rPr>
                <w:b/>
                <w:sz w:val="20"/>
              </w:rPr>
            </w:pPr>
            <w:r>
              <w:rPr>
                <w:b/>
                <w:sz w:val="20"/>
              </w:rPr>
              <w:t>UART 0</w:t>
            </w:r>
          </w:p>
        </w:tc>
        <w:tc>
          <w:tcPr>
            <w:tcW w:w="4311" w:type="dxa"/>
          </w:tcPr>
          <w:p>
            <w:pPr>
              <w:pStyle w:val="TableParagraph"/>
              <w:spacing w:before="31"/>
              <w:ind w:left="1770" w:right="1768"/>
              <w:jc w:val="center"/>
              <w:rPr>
                <w:b/>
                <w:sz w:val="20"/>
              </w:rPr>
            </w:pPr>
            <w:r>
              <w:rPr>
                <w:b/>
                <w:sz w:val="20"/>
              </w:rPr>
              <w:t>UART 1</w:t>
            </w:r>
          </w:p>
        </w:tc>
      </w:tr>
      <w:tr>
        <w:trPr>
          <w:trHeight w:val="491" w:hRule="atLeast"/>
        </w:trPr>
        <w:tc>
          <w:tcPr>
            <w:tcW w:w="1277" w:type="dxa"/>
          </w:tcPr>
          <w:p>
            <w:pPr>
              <w:pStyle w:val="TableParagraph"/>
              <w:spacing w:before="124"/>
              <w:ind w:left="272" w:right="265"/>
              <w:jc w:val="center"/>
              <w:rPr>
                <w:b/>
                <w:sz w:val="20"/>
              </w:rPr>
            </w:pPr>
            <w:r>
              <w:rPr>
                <w:b/>
                <w:sz w:val="20"/>
              </w:rPr>
              <w:t>Mode 0</w:t>
            </w:r>
          </w:p>
        </w:tc>
        <w:tc>
          <w:tcPr>
            <w:tcW w:w="3773" w:type="dxa"/>
          </w:tcPr>
          <w:p>
            <w:pPr>
              <w:pStyle w:val="TableParagraph"/>
              <w:spacing w:before="126"/>
              <w:ind w:left="107"/>
              <w:rPr>
                <w:sz w:val="20"/>
              </w:rPr>
            </w:pPr>
            <w:r>
              <w:rPr>
                <w:sz w:val="20"/>
              </w:rPr>
              <w:t>N/A</w:t>
            </w:r>
          </w:p>
        </w:tc>
        <w:tc>
          <w:tcPr>
            <w:tcW w:w="4311" w:type="dxa"/>
          </w:tcPr>
          <w:p>
            <w:pPr>
              <w:pStyle w:val="TableParagraph"/>
              <w:spacing w:line="235" w:lineRule="auto" w:before="17"/>
              <w:ind w:left="107" w:right="283"/>
              <w:rPr>
                <w:sz w:val="20"/>
              </w:rPr>
            </w:pPr>
            <w:r>
              <w:rPr>
                <w:sz w:val="20"/>
              </w:rPr>
              <w:t>Start bit, 8 data bits, parity, stop bit, variable baud rate (internal baud rate generator)</w:t>
            </w:r>
          </w:p>
        </w:tc>
      </w:tr>
      <w:tr>
        <w:trPr>
          <w:trHeight w:val="714" w:hRule="atLeast"/>
        </w:trPr>
        <w:tc>
          <w:tcPr>
            <w:tcW w:w="1277" w:type="dxa"/>
          </w:tcPr>
          <w:p>
            <w:pPr>
              <w:pStyle w:val="TableParagraph"/>
              <w:spacing w:before="7"/>
              <w:rPr>
                <w:b/>
                <w:sz w:val="20"/>
              </w:rPr>
            </w:pPr>
          </w:p>
          <w:p>
            <w:pPr>
              <w:pStyle w:val="TableParagraph"/>
              <w:ind w:left="272" w:right="265"/>
              <w:jc w:val="center"/>
              <w:rPr>
                <w:b/>
                <w:sz w:val="20"/>
              </w:rPr>
            </w:pPr>
            <w:r>
              <w:rPr>
                <w:b/>
                <w:sz w:val="20"/>
              </w:rPr>
              <w:t>Mode 1</w:t>
            </w:r>
          </w:p>
        </w:tc>
        <w:tc>
          <w:tcPr>
            <w:tcW w:w="3773" w:type="dxa"/>
          </w:tcPr>
          <w:p>
            <w:pPr>
              <w:pStyle w:val="TableParagraph"/>
              <w:spacing w:line="235" w:lineRule="auto" w:before="17"/>
              <w:ind w:left="107" w:right="62"/>
              <w:rPr>
                <w:sz w:val="20"/>
              </w:rPr>
            </w:pPr>
            <w:r>
              <w:rPr>
                <w:sz w:val="20"/>
              </w:rPr>
              <w:t>Start bit, 8 data bits, stop bit, variable baud rate (internal baud rate generator or timer 1)</w:t>
            </w:r>
          </w:p>
        </w:tc>
        <w:tc>
          <w:tcPr>
            <w:tcW w:w="4311" w:type="dxa"/>
          </w:tcPr>
          <w:p>
            <w:pPr>
              <w:pStyle w:val="TableParagraph"/>
              <w:spacing w:line="235" w:lineRule="auto" w:before="130"/>
              <w:ind w:left="107" w:right="283"/>
              <w:rPr>
                <w:sz w:val="20"/>
              </w:rPr>
            </w:pPr>
            <w:r>
              <w:rPr>
                <w:sz w:val="20"/>
              </w:rPr>
              <w:t>Start bit, 8 data bits, stop bit, variable baud rate (internal baud rate generator)</w:t>
            </w:r>
          </w:p>
        </w:tc>
      </w:tr>
      <w:tr>
        <w:trPr>
          <w:trHeight w:val="489" w:hRule="atLeast"/>
        </w:trPr>
        <w:tc>
          <w:tcPr>
            <w:tcW w:w="1277" w:type="dxa"/>
          </w:tcPr>
          <w:p>
            <w:pPr>
              <w:pStyle w:val="TableParagraph"/>
              <w:spacing w:before="124"/>
              <w:ind w:left="272" w:right="265"/>
              <w:jc w:val="center"/>
              <w:rPr>
                <w:b/>
                <w:sz w:val="20"/>
              </w:rPr>
            </w:pPr>
            <w:r>
              <w:rPr>
                <w:b/>
                <w:sz w:val="20"/>
              </w:rPr>
              <w:t>Mode 2</w:t>
            </w:r>
          </w:p>
        </w:tc>
        <w:tc>
          <w:tcPr>
            <w:tcW w:w="3773" w:type="dxa"/>
          </w:tcPr>
          <w:p>
            <w:pPr>
              <w:pStyle w:val="TableParagraph"/>
              <w:spacing w:line="235" w:lineRule="auto" w:before="17"/>
              <w:ind w:left="107" w:right="386"/>
              <w:rPr>
                <w:sz w:val="20"/>
              </w:rPr>
            </w:pPr>
            <w:r>
              <w:rPr>
                <w:sz w:val="20"/>
              </w:rPr>
              <w:t>Start bit, 8 data bits, parity, stop bit, fixed baud rate 1/32 or 1/64 of f</w:t>
            </w:r>
            <w:r>
              <w:rPr>
                <w:sz w:val="20"/>
                <w:vertAlign w:val="subscript"/>
              </w:rPr>
              <w:t>CKMPU</w:t>
            </w:r>
          </w:p>
        </w:tc>
        <w:tc>
          <w:tcPr>
            <w:tcW w:w="4311" w:type="dxa"/>
          </w:tcPr>
          <w:p>
            <w:pPr>
              <w:pStyle w:val="TableParagraph"/>
              <w:spacing w:before="126"/>
              <w:ind w:left="107"/>
              <w:rPr>
                <w:sz w:val="20"/>
              </w:rPr>
            </w:pPr>
            <w:r>
              <w:rPr>
                <w:sz w:val="20"/>
              </w:rPr>
              <w:t>N/A</w:t>
            </w:r>
          </w:p>
        </w:tc>
      </w:tr>
      <w:tr>
        <w:trPr>
          <w:trHeight w:val="717" w:hRule="atLeast"/>
        </w:trPr>
        <w:tc>
          <w:tcPr>
            <w:tcW w:w="1277" w:type="dxa"/>
          </w:tcPr>
          <w:p>
            <w:pPr>
              <w:pStyle w:val="TableParagraph"/>
              <w:spacing w:before="7"/>
              <w:rPr>
                <w:b/>
                <w:sz w:val="20"/>
              </w:rPr>
            </w:pPr>
          </w:p>
          <w:p>
            <w:pPr>
              <w:pStyle w:val="TableParagraph"/>
              <w:ind w:left="272" w:right="265"/>
              <w:jc w:val="center"/>
              <w:rPr>
                <w:b/>
                <w:sz w:val="20"/>
              </w:rPr>
            </w:pPr>
            <w:r>
              <w:rPr>
                <w:b/>
                <w:sz w:val="20"/>
              </w:rPr>
              <w:t>Mode 3</w:t>
            </w:r>
          </w:p>
        </w:tc>
        <w:tc>
          <w:tcPr>
            <w:tcW w:w="3773" w:type="dxa"/>
          </w:tcPr>
          <w:p>
            <w:pPr>
              <w:pStyle w:val="TableParagraph"/>
              <w:spacing w:line="235" w:lineRule="auto" w:before="20"/>
              <w:ind w:left="107" w:right="371"/>
              <w:jc w:val="both"/>
              <w:rPr>
                <w:sz w:val="20"/>
              </w:rPr>
            </w:pPr>
            <w:r>
              <w:rPr>
                <w:sz w:val="20"/>
              </w:rPr>
              <w:t>Start bit, 8 data bits, parity, stop bit, variable baud rate (internal baud rate generator or timer 1)</w:t>
            </w:r>
          </w:p>
        </w:tc>
        <w:tc>
          <w:tcPr>
            <w:tcW w:w="4311" w:type="dxa"/>
          </w:tcPr>
          <w:p>
            <w:pPr>
              <w:pStyle w:val="TableParagraph"/>
              <w:spacing w:before="9"/>
              <w:rPr>
                <w:b/>
                <w:sz w:val="20"/>
              </w:rPr>
            </w:pPr>
          </w:p>
          <w:p>
            <w:pPr>
              <w:pStyle w:val="TableParagraph"/>
              <w:ind w:left="107"/>
              <w:rPr>
                <w:sz w:val="20"/>
              </w:rPr>
            </w:pPr>
            <w:r>
              <w:rPr>
                <w:sz w:val="20"/>
              </w:rPr>
              <w:t>N/A</w:t>
            </w:r>
          </w:p>
        </w:tc>
      </w:tr>
    </w:tbl>
    <w:p>
      <w:pPr>
        <w:pStyle w:val="BodyText"/>
        <w:spacing w:before="9"/>
        <w:rPr>
          <w:b/>
          <w:sz w:val="29"/>
        </w:rPr>
      </w:pPr>
    </w:p>
    <w:p>
      <w:pPr>
        <w:pStyle w:val="BodyText"/>
        <w:spacing w:line="235" w:lineRule="auto"/>
        <w:ind w:left="1339" w:right="618" w:firstLine="22"/>
      </w:pPr>
      <w:r>
        <w:rPr/>
        <w:drawing>
          <wp:anchor distT="0" distB="0" distL="0" distR="0" allowOverlap="1" layoutInCell="1" locked="0" behindDoc="0" simplePos="0" relativeHeight="15763968">
            <wp:simplePos x="0" y="0"/>
            <wp:positionH relativeFrom="page">
              <wp:posOffset>924306</wp:posOffset>
            </wp:positionH>
            <wp:positionV relativeFrom="paragraph">
              <wp:posOffset>10517</wp:posOffset>
            </wp:positionV>
            <wp:extent cx="339937" cy="505591"/>
            <wp:effectExtent l="0" t="0" r="0" b="0"/>
            <wp:wrapNone/>
            <wp:docPr id="27" name="image88.png"/>
            <wp:cNvGraphicFramePr>
              <a:graphicFrameLocks noChangeAspect="1"/>
            </wp:cNvGraphicFramePr>
            <a:graphic>
              <a:graphicData uri="http://schemas.openxmlformats.org/drawingml/2006/picture">
                <pic:pic>
                  <pic:nvPicPr>
                    <pic:cNvPr id="28" name="image88.png"/>
                    <pic:cNvPicPr/>
                  </pic:nvPicPr>
                  <pic:blipFill>
                    <a:blip r:embed="rId105" cstate="print"/>
                    <a:stretch>
                      <a:fillRect/>
                    </a:stretch>
                  </pic:blipFill>
                  <pic:spPr>
                    <a:xfrm>
                      <a:off x="0" y="0"/>
                      <a:ext cx="339937" cy="505591"/>
                    </a:xfrm>
                    <a:prstGeom prst="rect">
                      <a:avLst/>
                    </a:prstGeom>
                  </pic:spPr>
                </pic:pic>
              </a:graphicData>
            </a:graphic>
          </wp:anchor>
        </w:drawing>
      </w:r>
      <w:r>
        <w:rPr/>
        <w:t>Parity of serial data is available through the P flag of the accumulator. 7-bit serial modes with parity, such as those used by the FLAG protocol, can be simulated by setting and reading bit 7 of 8-bit</w:t>
      </w:r>
      <w:r>
        <w:rPr>
          <w:spacing w:val="-11"/>
        </w:rPr>
        <w:t> </w:t>
      </w:r>
      <w:r>
        <w:rPr/>
        <w:t>output</w:t>
      </w:r>
      <w:r>
        <w:rPr>
          <w:spacing w:val="-10"/>
        </w:rPr>
        <w:t> </w:t>
      </w:r>
      <w:r>
        <w:rPr/>
        <w:t>data.</w:t>
      </w:r>
      <w:r>
        <w:rPr>
          <w:spacing w:val="-10"/>
        </w:rPr>
        <w:t> </w:t>
      </w:r>
      <w:r>
        <w:rPr/>
        <w:t>7-bit</w:t>
      </w:r>
      <w:r>
        <w:rPr>
          <w:spacing w:val="-12"/>
        </w:rPr>
        <w:t> </w:t>
      </w:r>
      <w:r>
        <w:rPr/>
        <w:t>serial</w:t>
      </w:r>
      <w:r>
        <w:rPr>
          <w:spacing w:val="-11"/>
        </w:rPr>
        <w:t> </w:t>
      </w:r>
      <w:r>
        <w:rPr/>
        <w:t>modes</w:t>
      </w:r>
      <w:r>
        <w:rPr>
          <w:spacing w:val="-9"/>
        </w:rPr>
        <w:t> </w:t>
      </w:r>
      <w:r>
        <w:rPr>
          <w:spacing w:val="-3"/>
        </w:rPr>
        <w:t>without</w:t>
      </w:r>
      <w:r>
        <w:rPr>
          <w:spacing w:val="-10"/>
        </w:rPr>
        <w:t> </w:t>
      </w:r>
      <w:r>
        <w:rPr/>
        <w:t>parity</w:t>
      </w:r>
      <w:r>
        <w:rPr>
          <w:spacing w:val="-15"/>
        </w:rPr>
        <w:t> </w:t>
      </w:r>
      <w:r>
        <w:rPr/>
        <w:t>can</w:t>
      </w:r>
      <w:r>
        <w:rPr>
          <w:spacing w:val="-11"/>
        </w:rPr>
        <w:t> </w:t>
      </w:r>
      <w:r>
        <w:rPr/>
        <w:t>be</w:t>
      </w:r>
      <w:r>
        <w:rPr>
          <w:spacing w:val="-13"/>
        </w:rPr>
        <w:t> </w:t>
      </w:r>
      <w:r>
        <w:rPr/>
        <w:t>simulated</w:t>
      </w:r>
      <w:r>
        <w:rPr>
          <w:spacing w:val="-11"/>
        </w:rPr>
        <w:t> </w:t>
      </w:r>
      <w:r>
        <w:rPr/>
        <w:t>by</w:t>
      </w:r>
      <w:r>
        <w:rPr>
          <w:spacing w:val="-15"/>
        </w:rPr>
        <w:t> </w:t>
      </w:r>
      <w:r>
        <w:rPr/>
        <w:t>setting</w:t>
      </w:r>
      <w:r>
        <w:rPr>
          <w:spacing w:val="-11"/>
        </w:rPr>
        <w:t> </w:t>
      </w:r>
      <w:r>
        <w:rPr/>
        <w:t>bit</w:t>
      </w:r>
      <w:r>
        <w:rPr>
          <w:spacing w:val="-13"/>
        </w:rPr>
        <w:t> </w:t>
      </w:r>
      <w:r>
        <w:rPr/>
        <w:t>7</w:t>
      </w:r>
      <w:r>
        <w:rPr>
          <w:spacing w:val="-11"/>
        </w:rPr>
        <w:t> </w:t>
      </w:r>
      <w:r>
        <w:rPr/>
        <w:t>to</w:t>
      </w:r>
      <w:r>
        <w:rPr>
          <w:spacing w:val="-12"/>
        </w:rPr>
        <w:t> </w:t>
      </w:r>
      <w:r>
        <w:rPr/>
        <w:t>a</w:t>
      </w:r>
      <w:r>
        <w:rPr>
          <w:spacing w:val="-11"/>
        </w:rPr>
        <w:t> </w:t>
      </w:r>
      <w:r>
        <w:rPr/>
        <w:t>constant</w:t>
      </w:r>
      <w:r>
        <w:rPr>
          <w:spacing w:val="-10"/>
        </w:rPr>
        <w:t> </w:t>
      </w:r>
      <w:r>
        <w:rPr/>
        <w:t>1. 8-bit serial modes with parity can be simulated by setting and reading the 9</w:t>
      </w:r>
      <w:r>
        <w:rPr>
          <w:vertAlign w:val="superscript"/>
        </w:rPr>
        <w:t>th</w:t>
      </w:r>
      <w:r>
        <w:rPr>
          <w:vertAlign w:val="baseline"/>
        </w:rPr>
        <w:t> bit, using the control bits</w:t>
      </w:r>
      <w:r>
        <w:rPr>
          <w:spacing w:val="-14"/>
          <w:vertAlign w:val="baseline"/>
        </w:rPr>
        <w:t> </w:t>
      </w:r>
      <w:r>
        <w:rPr>
          <w:rFonts w:ascii="Times New Roman"/>
          <w:i/>
          <w:vertAlign w:val="baseline"/>
        </w:rPr>
        <w:t>TB80</w:t>
      </w:r>
      <w:r>
        <w:rPr>
          <w:rFonts w:ascii="Times New Roman"/>
          <w:i/>
          <w:spacing w:val="-12"/>
          <w:vertAlign w:val="baseline"/>
        </w:rPr>
        <w:t> </w:t>
      </w:r>
      <w:r>
        <w:rPr>
          <w:vertAlign w:val="baseline"/>
        </w:rPr>
        <w:t>(</w:t>
      </w:r>
      <w:r>
        <w:rPr>
          <w:rFonts w:ascii="Times New Roman"/>
          <w:i/>
          <w:vertAlign w:val="baseline"/>
        </w:rPr>
        <w:t>S0CON</w:t>
      </w:r>
      <w:r>
        <w:rPr>
          <w:vertAlign w:val="baseline"/>
        </w:rPr>
        <w:t>[</w:t>
      </w:r>
      <w:r>
        <w:rPr>
          <w:rFonts w:ascii="Times New Roman"/>
          <w:i/>
          <w:vertAlign w:val="baseline"/>
        </w:rPr>
        <w:t>3</w:t>
      </w:r>
      <w:r>
        <w:rPr>
          <w:vertAlign w:val="baseline"/>
        </w:rPr>
        <w:t>])</w:t>
      </w:r>
      <w:r>
        <w:rPr>
          <w:spacing w:val="-11"/>
          <w:vertAlign w:val="baseline"/>
        </w:rPr>
        <w:t> </w:t>
      </w:r>
      <w:r>
        <w:rPr>
          <w:vertAlign w:val="baseline"/>
        </w:rPr>
        <w:t>and</w:t>
      </w:r>
      <w:r>
        <w:rPr>
          <w:spacing w:val="-15"/>
          <w:vertAlign w:val="baseline"/>
        </w:rPr>
        <w:t> </w:t>
      </w:r>
      <w:r>
        <w:rPr>
          <w:rFonts w:ascii="Times New Roman"/>
          <w:i/>
          <w:vertAlign w:val="baseline"/>
        </w:rPr>
        <w:t>TB81</w:t>
      </w:r>
      <w:r>
        <w:rPr>
          <w:rFonts w:ascii="Times New Roman"/>
          <w:i/>
          <w:spacing w:val="-11"/>
          <w:vertAlign w:val="baseline"/>
        </w:rPr>
        <w:t> </w:t>
      </w:r>
      <w:r>
        <w:rPr>
          <w:vertAlign w:val="baseline"/>
        </w:rPr>
        <w:t>(</w:t>
      </w:r>
      <w:r>
        <w:rPr>
          <w:rFonts w:ascii="Times New Roman"/>
          <w:i/>
          <w:vertAlign w:val="baseline"/>
        </w:rPr>
        <w:t>S1CON[3]</w:t>
      </w:r>
      <w:r>
        <w:rPr>
          <w:vertAlign w:val="baseline"/>
        </w:rPr>
        <w:t>)</w:t>
      </w:r>
      <w:r>
        <w:rPr>
          <w:spacing w:val="-14"/>
          <w:vertAlign w:val="baseline"/>
        </w:rPr>
        <w:t> </w:t>
      </w:r>
      <w:r>
        <w:rPr>
          <w:vertAlign w:val="baseline"/>
        </w:rPr>
        <w:t>in</w:t>
      </w:r>
      <w:r>
        <w:rPr>
          <w:spacing w:val="-15"/>
          <w:vertAlign w:val="baseline"/>
        </w:rPr>
        <w:t> </w:t>
      </w:r>
      <w:r>
        <w:rPr>
          <w:vertAlign w:val="baseline"/>
        </w:rPr>
        <w:t>the</w:t>
      </w:r>
      <w:r>
        <w:rPr>
          <w:spacing w:val="-13"/>
          <w:vertAlign w:val="baseline"/>
        </w:rPr>
        <w:t> </w:t>
      </w:r>
      <w:r>
        <w:rPr>
          <w:rFonts w:ascii="Times New Roman"/>
          <w:i/>
          <w:vertAlign w:val="baseline"/>
        </w:rPr>
        <w:t>S0CON</w:t>
      </w:r>
      <w:r>
        <w:rPr>
          <w:rFonts w:ascii="Times New Roman"/>
          <w:i/>
          <w:spacing w:val="-7"/>
          <w:vertAlign w:val="baseline"/>
        </w:rPr>
        <w:t> </w:t>
      </w:r>
      <w:r>
        <w:rPr>
          <w:vertAlign w:val="baseline"/>
        </w:rPr>
        <w:t>(</w:t>
      </w:r>
      <w:r>
        <w:rPr>
          <w:rFonts w:ascii="Times New Roman"/>
          <w:i/>
          <w:vertAlign w:val="baseline"/>
        </w:rPr>
        <w:t>SFR</w:t>
      </w:r>
      <w:r>
        <w:rPr>
          <w:rFonts w:ascii="Times New Roman"/>
          <w:i/>
          <w:spacing w:val="-12"/>
          <w:vertAlign w:val="baseline"/>
        </w:rPr>
        <w:t> </w:t>
      </w:r>
      <w:r>
        <w:rPr>
          <w:rFonts w:ascii="Times New Roman"/>
          <w:i/>
          <w:vertAlign w:val="baseline"/>
        </w:rPr>
        <w:t>0x98</w:t>
      </w:r>
      <w:r>
        <w:rPr>
          <w:vertAlign w:val="baseline"/>
        </w:rPr>
        <w:t>)</w:t>
      </w:r>
      <w:r>
        <w:rPr>
          <w:spacing w:val="-14"/>
          <w:vertAlign w:val="baseline"/>
        </w:rPr>
        <w:t> </w:t>
      </w:r>
      <w:r>
        <w:rPr>
          <w:vertAlign w:val="baseline"/>
        </w:rPr>
        <w:t>and</w:t>
      </w:r>
      <w:r>
        <w:rPr>
          <w:spacing w:val="-15"/>
          <w:vertAlign w:val="baseline"/>
        </w:rPr>
        <w:t> </w:t>
      </w:r>
      <w:r>
        <w:rPr>
          <w:rFonts w:ascii="Times New Roman"/>
          <w:i/>
          <w:vertAlign w:val="baseline"/>
        </w:rPr>
        <w:t>S1CON</w:t>
      </w:r>
      <w:r>
        <w:rPr>
          <w:rFonts w:ascii="Times New Roman"/>
          <w:i/>
          <w:spacing w:val="-10"/>
          <w:vertAlign w:val="baseline"/>
        </w:rPr>
        <w:t> </w:t>
      </w:r>
      <w:r>
        <w:rPr>
          <w:vertAlign w:val="baseline"/>
        </w:rPr>
        <w:t>(</w:t>
      </w:r>
      <w:r>
        <w:rPr>
          <w:rFonts w:ascii="Times New Roman"/>
          <w:i/>
          <w:vertAlign w:val="baseline"/>
        </w:rPr>
        <w:t>SFR</w:t>
      </w:r>
      <w:r>
        <w:rPr>
          <w:rFonts w:ascii="Times New Roman"/>
          <w:i/>
          <w:spacing w:val="-10"/>
          <w:vertAlign w:val="baseline"/>
        </w:rPr>
        <w:t> </w:t>
      </w:r>
      <w:r>
        <w:rPr>
          <w:rFonts w:ascii="Times New Roman"/>
          <w:i/>
          <w:vertAlign w:val="baseline"/>
        </w:rPr>
        <w:t>0x9B</w:t>
      </w:r>
      <w:r>
        <w:rPr>
          <w:vertAlign w:val="baseline"/>
        </w:rPr>
        <w:t>)</w:t>
      </w:r>
      <w:r>
        <w:rPr>
          <w:spacing w:val="-14"/>
          <w:vertAlign w:val="baseline"/>
        </w:rPr>
        <w:t> </w:t>
      </w:r>
      <w:r>
        <w:rPr>
          <w:spacing w:val="-3"/>
          <w:vertAlign w:val="baseline"/>
        </w:rPr>
        <w:t>registers </w:t>
      </w:r>
      <w:r>
        <w:rPr>
          <w:vertAlign w:val="baseline"/>
        </w:rPr>
        <w:t>for transmit and </w:t>
      </w:r>
      <w:r>
        <w:rPr>
          <w:rFonts w:ascii="Times New Roman"/>
          <w:i/>
          <w:vertAlign w:val="baseline"/>
        </w:rPr>
        <w:t>RB81 </w:t>
      </w:r>
      <w:r>
        <w:rPr>
          <w:vertAlign w:val="baseline"/>
        </w:rPr>
        <w:t>(</w:t>
      </w:r>
      <w:r>
        <w:rPr>
          <w:rFonts w:ascii="Times New Roman"/>
          <w:i/>
          <w:vertAlign w:val="baseline"/>
        </w:rPr>
        <w:t>S1CON[2]</w:t>
      </w:r>
      <w:r>
        <w:rPr>
          <w:vertAlign w:val="baseline"/>
        </w:rPr>
        <w:t>) for receive</w:t>
      </w:r>
      <w:r>
        <w:rPr>
          <w:spacing w:val="-4"/>
          <w:vertAlign w:val="baseline"/>
        </w:rPr>
        <w:t> </w:t>
      </w:r>
      <w:r>
        <w:rPr>
          <w:vertAlign w:val="baseline"/>
        </w:rPr>
        <w:t>operations.</w:t>
      </w:r>
    </w:p>
    <w:p>
      <w:pPr>
        <w:pStyle w:val="BodyText"/>
        <w:spacing w:line="235" w:lineRule="auto" w:before="117"/>
        <w:ind w:left="619" w:right="649"/>
      </w:pPr>
      <w:r>
        <w:rPr/>
        <w:t>All supported operation modes use oversampling for the incoming bit stream when receiving data. Each bit is sampled three times at the projected middle of the bit duration. This technique allows for deviations of the received baud rate from nominal of up to 3.5%.</w:t>
      </w:r>
    </w:p>
    <w:p>
      <w:pPr>
        <w:pStyle w:val="BodyText"/>
        <w:spacing w:line="235" w:lineRule="auto" w:before="121"/>
        <w:ind w:left="618" w:right="651"/>
      </w:pPr>
      <w:r>
        <w:rPr/>
        <w:t>The </w:t>
      </w:r>
      <w:r>
        <w:rPr>
          <w:spacing w:val="-3"/>
        </w:rPr>
        <w:t>feature of </w:t>
      </w:r>
      <w:r>
        <w:rPr>
          <w:spacing w:val="-4"/>
        </w:rPr>
        <w:t>receiving </w:t>
      </w:r>
      <w:r>
        <w:rPr/>
        <w:t>9 bits </w:t>
      </w:r>
      <w:r>
        <w:rPr>
          <w:spacing w:val="-3"/>
        </w:rPr>
        <w:t>(Mode </w:t>
      </w:r>
      <w:r>
        <w:rPr/>
        <w:t>3 for </w:t>
      </w:r>
      <w:r>
        <w:rPr>
          <w:spacing w:val="-3"/>
        </w:rPr>
        <w:t>UART0, Mode </w:t>
      </w:r>
      <w:r>
        <w:rPr/>
        <w:t>A for </w:t>
      </w:r>
      <w:r>
        <w:rPr>
          <w:spacing w:val="-3"/>
        </w:rPr>
        <w:t>UART1) </w:t>
      </w:r>
      <w:r>
        <w:rPr/>
        <w:t>can be used as </w:t>
      </w:r>
      <w:r>
        <w:rPr>
          <w:spacing w:val="-3"/>
        </w:rPr>
        <w:t>handshake signals </w:t>
      </w:r>
      <w:r>
        <w:rPr/>
        <w:t>for inter-processor communication in multi-processor systems. In this case, the slave processors have bit </w:t>
      </w:r>
      <w:r>
        <w:rPr>
          <w:rFonts w:ascii="Times New Roman" w:hAnsi="Times New Roman"/>
          <w:i/>
          <w:spacing w:val="-3"/>
        </w:rPr>
        <w:t>SM20 </w:t>
      </w:r>
      <w:r>
        <w:rPr>
          <w:spacing w:val="-3"/>
        </w:rPr>
        <w:t>(</w:t>
      </w:r>
      <w:r>
        <w:rPr>
          <w:rFonts w:ascii="Times New Roman" w:hAnsi="Times New Roman"/>
          <w:i/>
          <w:spacing w:val="-3"/>
        </w:rPr>
        <w:t>S0CON[5]</w:t>
      </w:r>
      <w:r>
        <w:rPr>
          <w:spacing w:val="-3"/>
        </w:rPr>
        <w:t>) </w:t>
      </w:r>
      <w:r>
        <w:rPr/>
        <w:t>for </w:t>
      </w:r>
      <w:r>
        <w:rPr>
          <w:spacing w:val="-3"/>
        </w:rPr>
        <w:t>UART0, </w:t>
      </w:r>
      <w:r>
        <w:rPr/>
        <w:t>or </w:t>
      </w:r>
      <w:r>
        <w:rPr>
          <w:rFonts w:ascii="Times New Roman" w:hAnsi="Times New Roman"/>
          <w:i/>
          <w:spacing w:val="-3"/>
        </w:rPr>
        <w:t>SM21 </w:t>
      </w:r>
      <w:r>
        <w:rPr>
          <w:spacing w:val="-4"/>
        </w:rPr>
        <w:t>(</w:t>
      </w:r>
      <w:r>
        <w:rPr>
          <w:rFonts w:ascii="Times New Roman" w:hAnsi="Times New Roman"/>
          <w:i/>
          <w:spacing w:val="-4"/>
        </w:rPr>
        <w:t>S1CON[5] </w:t>
      </w:r>
      <w:r>
        <w:rPr>
          <w:spacing w:val="-3"/>
        </w:rPr>
        <w:t>for UART1, </w:t>
      </w:r>
      <w:r>
        <w:rPr/>
        <w:t>set to 1. When the master </w:t>
      </w:r>
      <w:r>
        <w:rPr>
          <w:spacing w:val="-3"/>
        </w:rPr>
        <w:t>processor outputs </w:t>
      </w:r>
      <w:r>
        <w:rPr/>
        <w:t>the </w:t>
      </w:r>
      <w:r>
        <w:rPr>
          <w:spacing w:val="-3"/>
        </w:rPr>
        <w:t>slave’s address, </w:t>
      </w:r>
      <w:r>
        <w:rPr/>
        <w:t>it </w:t>
      </w:r>
      <w:r>
        <w:rPr>
          <w:spacing w:val="-3"/>
        </w:rPr>
        <w:t>sets the </w:t>
      </w:r>
      <w:r>
        <w:rPr/>
        <w:t>9</w:t>
      </w:r>
      <w:r>
        <w:rPr>
          <w:vertAlign w:val="superscript"/>
        </w:rPr>
        <w:t>th</w:t>
      </w:r>
      <w:r>
        <w:rPr>
          <w:vertAlign w:val="baseline"/>
        </w:rPr>
        <w:t> </w:t>
      </w:r>
      <w:r>
        <w:rPr>
          <w:spacing w:val="-3"/>
          <w:vertAlign w:val="baseline"/>
        </w:rPr>
        <w:t>bit </w:t>
      </w:r>
      <w:r>
        <w:rPr>
          <w:vertAlign w:val="baseline"/>
        </w:rPr>
        <w:t>to 1, </w:t>
      </w:r>
      <w:r>
        <w:rPr>
          <w:spacing w:val="-3"/>
          <w:vertAlign w:val="baseline"/>
        </w:rPr>
        <w:t>causing </w:t>
      </w:r>
      <w:r>
        <w:rPr>
          <w:vertAlign w:val="baseline"/>
        </w:rPr>
        <w:t>a </w:t>
      </w:r>
      <w:r>
        <w:rPr>
          <w:spacing w:val="-3"/>
          <w:vertAlign w:val="baseline"/>
        </w:rPr>
        <w:t>serial </w:t>
      </w:r>
      <w:r>
        <w:rPr>
          <w:vertAlign w:val="baseline"/>
        </w:rPr>
        <w:t>port </w:t>
      </w:r>
      <w:r>
        <w:rPr>
          <w:spacing w:val="-3"/>
          <w:vertAlign w:val="baseline"/>
        </w:rPr>
        <w:t>receive interrupt </w:t>
      </w:r>
      <w:r>
        <w:rPr>
          <w:vertAlign w:val="baseline"/>
        </w:rPr>
        <w:t>in </w:t>
      </w:r>
      <w:r>
        <w:rPr>
          <w:spacing w:val="-3"/>
          <w:vertAlign w:val="baseline"/>
        </w:rPr>
        <w:t>all </w:t>
      </w:r>
      <w:r>
        <w:rPr>
          <w:vertAlign w:val="baseline"/>
        </w:rPr>
        <w:t>the </w:t>
      </w:r>
      <w:r>
        <w:rPr>
          <w:spacing w:val="-3"/>
          <w:vertAlign w:val="baseline"/>
        </w:rPr>
        <w:t>slaves. </w:t>
      </w:r>
      <w:r>
        <w:rPr>
          <w:vertAlign w:val="baseline"/>
        </w:rPr>
        <w:t>The </w:t>
      </w:r>
      <w:r>
        <w:rPr>
          <w:spacing w:val="-3"/>
          <w:vertAlign w:val="baseline"/>
        </w:rPr>
        <w:t>slave processors compare </w:t>
      </w:r>
      <w:r>
        <w:rPr>
          <w:vertAlign w:val="baseline"/>
        </w:rPr>
        <w:t>the </w:t>
      </w:r>
      <w:r>
        <w:rPr>
          <w:spacing w:val="-4"/>
          <w:vertAlign w:val="baseline"/>
        </w:rPr>
        <w:t>received </w:t>
      </w:r>
      <w:r>
        <w:rPr>
          <w:spacing w:val="-3"/>
          <w:vertAlign w:val="baseline"/>
        </w:rPr>
        <w:t>byte with their address. </w:t>
      </w:r>
      <w:r>
        <w:rPr>
          <w:vertAlign w:val="baseline"/>
        </w:rPr>
        <w:t>If </w:t>
      </w:r>
      <w:r>
        <w:rPr>
          <w:spacing w:val="-3"/>
          <w:vertAlign w:val="baseline"/>
        </w:rPr>
        <w:t>there </w:t>
      </w:r>
      <w:r>
        <w:rPr>
          <w:vertAlign w:val="baseline"/>
        </w:rPr>
        <w:t>is a </w:t>
      </w:r>
      <w:r>
        <w:rPr>
          <w:spacing w:val="-3"/>
          <w:vertAlign w:val="baseline"/>
        </w:rPr>
        <w:t>match, </w:t>
      </w:r>
      <w:r>
        <w:rPr>
          <w:vertAlign w:val="baseline"/>
        </w:rPr>
        <w:t>the </w:t>
      </w:r>
      <w:r>
        <w:rPr>
          <w:spacing w:val="-3"/>
          <w:vertAlign w:val="baseline"/>
        </w:rPr>
        <w:t>addressed slave clears </w:t>
      </w:r>
      <w:r>
        <w:rPr>
          <w:i/>
          <w:spacing w:val="-3"/>
          <w:vertAlign w:val="baseline"/>
        </w:rPr>
        <w:t>SM20 </w:t>
      </w:r>
      <w:r>
        <w:rPr>
          <w:vertAlign w:val="baseline"/>
        </w:rPr>
        <w:t>or </w:t>
      </w:r>
      <w:r>
        <w:rPr>
          <w:i/>
          <w:spacing w:val="-3"/>
          <w:vertAlign w:val="baseline"/>
        </w:rPr>
        <w:t>SM21 </w:t>
      </w:r>
      <w:r>
        <w:rPr>
          <w:vertAlign w:val="baseline"/>
        </w:rPr>
        <w:t>and </w:t>
      </w:r>
      <w:r>
        <w:rPr>
          <w:spacing w:val="-3"/>
          <w:vertAlign w:val="baseline"/>
        </w:rPr>
        <w:t>receive </w:t>
      </w:r>
      <w:r>
        <w:rPr>
          <w:vertAlign w:val="baseline"/>
        </w:rPr>
        <w:t>the rest </w:t>
      </w:r>
      <w:r>
        <w:rPr>
          <w:spacing w:val="-3"/>
          <w:vertAlign w:val="baseline"/>
        </w:rPr>
        <w:t>of </w:t>
      </w:r>
      <w:r>
        <w:rPr>
          <w:vertAlign w:val="baseline"/>
        </w:rPr>
        <w:t>the </w:t>
      </w:r>
      <w:r>
        <w:rPr>
          <w:spacing w:val="-3"/>
          <w:vertAlign w:val="baseline"/>
        </w:rPr>
        <w:t>message. </w:t>
      </w:r>
      <w:r>
        <w:rPr>
          <w:vertAlign w:val="baseline"/>
        </w:rPr>
        <w:t>The rest </w:t>
      </w:r>
      <w:r>
        <w:rPr>
          <w:spacing w:val="-3"/>
          <w:vertAlign w:val="baseline"/>
        </w:rPr>
        <w:t>of </w:t>
      </w:r>
      <w:r>
        <w:rPr>
          <w:vertAlign w:val="baseline"/>
        </w:rPr>
        <w:t>the </w:t>
      </w:r>
      <w:r>
        <w:rPr>
          <w:spacing w:val="-3"/>
          <w:vertAlign w:val="baseline"/>
        </w:rPr>
        <w:t>slaves ignore the </w:t>
      </w:r>
      <w:r>
        <w:rPr>
          <w:vertAlign w:val="baseline"/>
        </w:rPr>
        <w:t>message. After</w:t>
      </w:r>
    </w:p>
    <w:p>
      <w:pPr>
        <w:spacing w:after="0" w:line="235" w:lineRule="auto"/>
        <w:sectPr>
          <w:pgSz w:w="12240" w:h="15840"/>
          <w:pgMar w:header="727" w:footer="819" w:top="960" w:bottom="1000" w:left="820" w:right="860"/>
        </w:sectPr>
      </w:pPr>
    </w:p>
    <w:p>
      <w:pPr>
        <w:pStyle w:val="BodyText"/>
        <w:rPr>
          <w:sz w:val="13"/>
        </w:rPr>
      </w:pPr>
    </w:p>
    <w:p>
      <w:pPr>
        <w:pStyle w:val="BodyText"/>
        <w:spacing w:line="235" w:lineRule="auto" w:before="134"/>
        <w:ind w:left="620" w:right="895" w:hanging="1"/>
      </w:pPr>
      <w:r>
        <w:rPr/>
        <w:t>addressing the slave, the host outputs the rest of the message with the 9</w:t>
      </w:r>
      <w:r>
        <w:rPr>
          <w:vertAlign w:val="superscript"/>
        </w:rPr>
        <w:t>th</w:t>
      </w:r>
      <w:r>
        <w:rPr>
          <w:vertAlign w:val="baseline"/>
        </w:rPr>
        <w:t> bit set to 0, so no additional serial port receive interrupts is generated.</w:t>
      </w:r>
    </w:p>
    <w:p>
      <w:pPr>
        <w:spacing w:before="117"/>
        <w:ind w:left="620" w:right="0" w:firstLine="0"/>
        <w:jc w:val="left"/>
        <w:rPr>
          <w:b/>
          <w:sz w:val="20"/>
        </w:rPr>
      </w:pPr>
      <w:bookmarkStart w:name="UART Control Registers:" w:id="141"/>
      <w:bookmarkEnd w:id="141"/>
      <w:r>
        <w:rPr/>
      </w:r>
      <w:r>
        <w:rPr>
          <w:b/>
          <w:sz w:val="20"/>
        </w:rPr>
        <w:t>UART Control Registers:</w:t>
      </w:r>
    </w:p>
    <w:p>
      <w:pPr>
        <w:pStyle w:val="BodyText"/>
        <w:spacing w:line="227" w:lineRule="exact" w:before="70"/>
        <w:ind w:left="620"/>
        <w:rPr>
          <w:rFonts w:ascii="Times New Roman"/>
          <w:i/>
        </w:rPr>
      </w:pPr>
      <w:r>
        <w:rPr/>
        <w:t>The functions of UART0 and UART1 depend on the setting of the Serial Port Control Registers </w:t>
      </w:r>
      <w:r>
        <w:rPr>
          <w:rFonts w:ascii="Times New Roman"/>
          <w:i/>
        </w:rPr>
        <w:t>S0CON</w:t>
      </w:r>
    </w:p>
    <w:p>
      <w:pPr>
        <w:pStyle w:val="BodyText"/>
        <w:spacing w:line="227" w:lineRule="exact"/>
        <w:ind w:left="620"/>
      </w:pPr>
      <w:r>
        <w:rPr/>
        <w:t>and </w:t>
      </w:r>
      <w:r>
        <w:rPr>
          <w:rFonts w:ascii="Times New Roman"/>
          <w:i/>
        </w:rPr>
        <w:t>S1CON </w:t>
      </w:r>
      <w:r>
        <w:rPr/>
        <w:t>shown in </w:t>
      </w:r>
      <w:hyperlink w:history="true" w:anchor="_bookmark64">
        <w:r>
          <w:rPr>
            <w:color w:val="0000FF"/>
          </w:rPr>
          <w:t>Table 18 </w:t>
        </w:r>
      </w:hyperlink>
      <w:r>
        <w:rPr/>
        <w:t>and </w:t>
      </w:r>
      <w:hyperlink w:history="true" w:anchor="_bookmark65">
        <w:r>
          <w:rPr>
            <w:color w:val="0000FF"/>
          </w:rPr>
          <w:t>Table 19, </w:t>
        </w:r>
      </w:hyperlink>
      <w:r>
        <w:rPr/>
        <w:t>respectively, and the </w:t>
      </w:r>
      <w:r>
        <w:rPr>
          <w:rFonts w:ascii="Times New Roman"/>
          <w:i/>
        </w:rPr>
        <w:t>PCON </w:t>
      </w:r>
      <w:r>
        <w:rPr/>
        <w:t>register shown in </w:t>
      </w:r>
      <w:hyperlink w:history="true" w:anchor="_bookmark67">
        <w:r>
          <w:rPr>
            <w:color w:val="0000FF"/>
          </w:rPr>
          <w:t>Table 20</w:t>
        </w:r>
        <w:r>
          <w:rPr/>
          <w:t>.</w:t>
        </w:r>
      </w:hyperlink>
    </w:p>
    <w:p>
      <w:pPr>
        <w:pStyle w:val="BodyText"/>
        <w:spacing w:before="2"/>
        <w:rPr>
          <w:sz w:val="19"/>
        </w:rPr>
      </w:pPr>
    </w:p>
    <w:p>
      <w:pPr>
        <w:pStyle w:val="BodyText"/>
        <w:spacing w:line="230" w:lineRule="auto"/>
        <w:ind w:left="1788" w:right="613"/>
      </w:pPr>
      <w:r>
        <w:rPr/>
        <w:drawing>
          <wp:anchor distT="0" distB="0" distL="0" distR="0" allowOverlap="1" layoutInCell="1" locked="0" behindDoc="0" simplePos="0" relativeHeight="15764480">
            <wp:simplePos x="0" y="0"/>
            <wp:positionH relativeFrom="page">
              <wp:posOffset>962025</wp:posOffset>
            </wp:positionH>
            <wp:positionV relativeFrom="paragraph">
              <wp:posOffset>60003</wp:posOffset>
            </wp:positionV>
            <wp:extent cx="533400" cy="542924"/>
            <wp:effectExtent l="0" t="0" r="0" b="0"/>
            <wp:wrapNone/>
            <wp:docPr id="29" name="image54.png"/>
            <wp:cNvGraphicFramePr>
              <a:graphicFrameLocks noChangeAspect="1"/>
            </wp:cNvGraphicFramePr>
            <a:graphic>
              <a:graphicData uri="http://schemas.openxmlformats.org/drawingml/2006/picture">
                <pic:pic>
                  <pic:nvPicPr>
                    <pic:cNvPr id="30" name="image54.png"/>
                    <pic:cNvPicPr/>
                  </pic:nvPicPr>
                  <pic:blipFill>
                    <a:blip r:embed="rId63" cstate="print"/>
                    <a:stretch>
                      <a:fillRect/>
                    </a:stretch>
                  </pic:blipFill>
                  <pic:spPr>
                    <a:xfrm>
                      <a:off x="0" y="0"/>
                      <a:ext cx="533400" cy="542924"/>
                    </a:xfrm>
                    <a:prstGeom prst="rect">
                      <a:avLst/>
                    </a:prstGeom>
                  </pic:spPr>
                </pic:pic>
              </a:graphicData>
            </a:graphic>
          </wp:anchor>
        </w:drawing>
      </w:r>
      <w:r>
        <w:rPr/>
        <w:t>Since the </w:t>
      </w:r>
      <w:r>
        <w:rPr>
          <w:i/>
        </w:rPr>
        <w:t>TI0</w:t>
      </w:r>
      <w:r>
        <w:rPr/>
        <w:t>, </w:t>
      </w:r>
      <w:r>
        <w:rPr>
          <w:i/>
        </w:rPr>
        <w:t>RI0</w:t>
      </w:r>
      <w:r>
        <w:rPr/>
        <w:t>, </w:t>
      </w:r>
      <w:r>
        <w:rPr>
          <w:i/>
        </w:rPr>
        <w:t>TI1 </w:t>
      </w:r>
      <w:r>
        <w:rPr/>
        <w:t>and </w:t>
      </w:r>
      <w:r>
        <w:rPr>
          <w:i/>
        </w:rPr>
        <w:t>RI1 </w:t>
      </w:r>
      <w:r>
        <w:rPr/>
        <w:t>bits are in an SFR bit addressable byte, common practice </w:t>
      </w:r>
      <w:r>
        <w:rPr>
          <w:spacing w:val="-4"/>
        </w:rPr>
        <w:t>would </w:t>
      </w:r>
      <w:r>
        <w:rPr>
          <w:spacing w:val="-3"/>
        </w:rPr>
        <w:t>be </w:t>
      </w:r>
      <w:r>
        <w:rPr/>
        <w:t>to </w:t>
      </w:r>
      <w:r>
        <w:rPr>
          <w:spacing w:val="-3"/>
        </w:rPr>
        <w:t>clear </w:t>
      </w:r>
      <w:r>
        <w:rPr>
          <w:spacing w:val="-4"/>
        </w:rPr>
        <w:t>them with </w:t>
      </w:r>
      <w:r>
        <w:rPr/>
        <w:t>a </w:t>
      </w:r>
      <w:r>
        <w:rPr>
          <w:spacing w:val="-3"/>
        </w:rPr>
        <w:t>bit </w:t>
      </w:r>
      <w:r>
        <w:rPr>
          <w:spacing w:val="-4"/>
        </w:rPr>
        <w:t>operation, </w:t>
      </w:r>
      <w:r>
        <w:rPr>
          <w:spacing w:val="-3"/>
        </w:rPr>
        <w:t>but this </w:t>
      </w:r>
      <w:r>
        <w:rPr>
          <w:spacing w:val="-3"/>
          <w:u w:val="single"/>
        </w:rPr>
        <w:t>must be </w:t>
      </w:r>
      <w:r>
        <w:rPr>
          <w:spacing w:val="-4"/>
          <w:u w:val="single"/>
        </w:rPr>
        <w:t>avoided</w:t>
      </w:r>
      <w:r>
        <w:rPr>
          <w:spacing w:val="-4"/>
        </w:rPr>
        <w:t>. </w:t>
      </w:r>
      <w:r>
        <w:rPr/>
        <w:t>The </w:t>
      </w:r>
      <w:r>
        <w:rPr>
          <w:spacing w:val="-4"/>
        </w:rPr>
        <w:t>hardware implements </w:t>
      </w:r>
      <w:r>
        <w:rPr/>
        <w:t>bit operations as a byte wide read-modify-write hardware macro. If an interrupt occurs after the read, but before the write, its flag is cleared unintentionally.</w:t>
      </w:r>
    </w:p>
    <w:p>
      <w:pPr>
        <w:pStyle w:val="BodyText"/>
        <w:spacing w:before="4"/>
        <w:rPr>
          <w:sz w:val="19"/>
        </w:rPr>
      </w:pPr>
    </w:p>
    <w:p>
      <w:pPr>
        <w:pStyle w:val="BodyText"/>
        <w:spacing w:line="228" w:lineRule="auto" w:before="1"/>
        <w:ind w:left="1786" w:right="749"/>
        <w:jc w:val="both"/>
      </w:pPr>
      <w:r>
        <w:rPr/>
        <w:t>The proper way to clear these flag bits is to write a byte mask consisting of all ones except for</w:t>
      </w:r>
      <w:r>
        <w:rPr>
          <w:spacing w:val="-3"/>
        </w:rPr>
        <w:t> </w:t>
      </w:r>
      <w:r>
        <w:rPr/>
        <w:t>a</w:t>
      </w:r>
      <w:r>
        <w:rPr>
          <w:spacing w:val="-1"/>
        </w:rPr>
        <w:t> </w:t>
      </w:r>
      <w:r>
        <w:rPr/>
        <w:t>zero</w:t>
      </w:r>
      <w:r>
        <w:rPr>
          <w:spacing w:val="-1"/>
        </w:rPr>
        <w:t> </w:t>
      </w:r>
      <w:r>
        <w:rPr/>
        <w:t>in</w:t>
      </w:r>
      <w:r>
        <w:rPr>
          <w:spacing w:val="-3"/>
        </w:rPr>
        <w:t> </w:t>
      </w:r>
      <w:r>
        <w:rPr/>
        <w:t>the</w:t>
      </w:r>
      <w:r>
        <w:rPr>
          <w:spacing w:val="-2"/>
        </w:rPr>
        <w:t> </w:t>
      </w:r>
      <w:r>
        <w:rPr/>
        <w:t>location</w:t>
      </w:r>
      <w:r>
        <w:rPr>
          <w:spacing w:val="-1"/>
        </w:rPr>
        <w:t> </w:t>
      </w:r>
      <w:r>
        <w:rPr/>
        <w:t>of</w:t>
      </w:r>
      <w:r>
        <w:rPr>
          <w:spacing w:val="-1"/>
        </w:rPr>
        <w:t> </w:t>
      </w:r>
      <w:r>
        <w:rPr/>
        <w:t>the</w:t>
      </w:r>
      <w:r>
        <w:rPr>
          <w:spacing w:val="-3"/>
        </w:rPr>
        <w:t> </w:t>
      </w:r>
      <w:r>
        <w:rPr/>
        <w:t>bit</w:t>
      </w:r>
      <w:r>
        <w:rPr>
          <w:spacing w:val="-4"/>
        </w:rPr>
        <w:t> </w:t>
      </w:r>
      <w:r>
        <w:rPr/>
        <w:t>to</w:t>
      </w:r>
      <w:r>
        <w:rPr>
          <w:spacing w:val="-3"/>
        </w:rPr>
        <w:t> </w:t>
      </w:r>
      <w:r>
        <w:rPr/>
        <w:t>be</w:t>
      </w:r>
      <w:r>
        <w:rPr>
          <w:spacing w:val="-3"/>
        </w:rPr>
        <w:t> </w:t>
      </w:r>
      <w:r>
        <w:rPr/>
        <w:t>cleared.</w:t>
      </w:r>
      <w:r>
        <w:rPr>
          <w:spacing w:val="-1"/>
        </w:rPr>
        <w:t> </w:t>
      </w:r>
      <w:r>
        <w:rPr/>
        <w:t>The</w:t>
      </w:r>
      <w:r>
        <w:rPr>
          <w:spacing w:val="-3"/>
        </w:rPr>
        <w:t> </w:t>
      </w:r>
      <w:r>
        <w:rPr/>
        <w:t>flag</w:t>
      </w:r>
      <w:r>
        <w:rPr>
          <w:spacing w:val="-4"/>
        </w:rPr>
        <w:t> </w:t>
      </w:r>
      <w:r>
        <w:rPr/>
        <w:t>bits</w:t>
      </w:r>
      <w:r>
        <w:rPr>
          <w:spacing w:val="-2"/>
        </w:rPr>
        <w:t> </w:t>
      </w:r>
      <w:r>
        <w:rPr/>
        <w:t>are</w:t>
      </w:r>
      <w:r>
        <w:rPr>
          <w:spacing w:val="-3"/>
        </w:rPr>
        <w:t> </w:t>
      </w:r>
      <w:r>
        <w:rPr/>
        <w:t>configured</w:t>
      </w:r>
      <w:r>
        <w:rPr>
          <w:spacing w:val="-1"/>
        </w:rPr>
        <w:t> </w:t>
      </w:r>
      <w:r>
        <w:rPr/>
        <w:t>in</w:t>
      </w:r>
      <w:r>
        <w:rPr>
          <w:spacing w:val="-3"/>
        </w:rPr>
        <w:t> </w:t>
      </w:r>
      <w:r>
        <w:rPr/>
        <w:t>hardware</w:t>
      </w:r>
      <w:r>
        <w:rPr>
          <w:spacing w:val="-4"/>
        </w:rPr>
        <w:t> </w:t>
      </w:r>
      <w:r>
        <w:rPr/>
        <w:t>to ignore ones written to</w:t>
      </w:r>
      <w:r>
        <w:rPr>
          <w:spacing w:val="-1"/>
        </w:rPr>
        <w:t> </w:t>
      </w:r>
      <w:r>
        <w:rPr/>
        <w:t>them.</w:t>
      </w:r>
    </w:p>
    <w:p>
      <w:pPr>
        <w:pStyle w:val="BodyText"/>
        <w:spacing w:before="2"/>
        <w:rPr>
          <w:sz w:val="29"/>
        </w:rPr>
      </w:pPr>
    </w:p>
    <w:p>
      <w:pPr>
        <w:pStyle w:val="Heading1"/>
        <w:ind w:left="1312" w:right="1278"/>
      </w:pPr>
      <w:bookmarkStart w:name="_bookmark64" w:id="142"/>
      <w:bookmarkEnd w:id="142"/>
      <w:r>
        <w:rPr>
          <w:b w:val="0"/>
        </w:rPr>
      </w:r>
      <w:r>
        <w:rPr/>
        <w:t>Table 18: The </w:t>
      </w:r>
      <w:r>
        <w:rPr>
          <w:rFonts w:ascii="Times New Roman"/>
          <w:i/>
        </w:rPr>
        <w:t>S0CON </w:t>
      </w:r>
      <w:r>
        <w:rPr/>
        <w:t>(UART0) Register (SFR</w:t>
      </w:r>
      <w:r>
        <w:rPr>
          <w:spacing w:val="-17"/>
        </w:rPr>
        <w:t> </w:t>
      </w:r>
      <w:r>
        <w:rPr/>
        <w:t>0x98)</w:t>
      </w:r>
    </w:p>
    <w:p>
      <w:pPr>
        <w:pStyle w:val="BodyText"/>
        <w:spacing w:before="2"/>
        <w:rPr>
          <w:b/>
          <w:sz w:val="5"/>
        </w:rPr>
      </w:pPr>
    </w:p>
    <w:tbl>
      <w:tblPr>
        <w:tblW w:w="0" w:type="auto"/>
        <w:jc w:val="left"/>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0"/>
        <w:gridCol w:w="1426"/>
        <w:gridCol w:w="293"/>
        <w:gridCol w:w="1188"/>
        <w:gridCol w:w="1392"/>
        <w:gridCol w:w="1171"/>
        <w:gridCol w:w="1169"/>
        <w:gridCol w:w="1452"/>
      </w:tblGrid>
      <w:tr>
        <w:trPr>
          <w:trHeight w:val="280" w:hRule="atLeast"/>
        </w:trPr>
        <w:tc>
          <w:tcPr>
            <w:tcW w:w="1270" w:type="dxa"/>
            <w:tcBorders>
              <w:bottom w:val="single" w:sz="6" w:space="0" w:color="000000"/>
              <w:right w:val="single" w:sz="6" w:space="0" w:color="000000"/>
            </w:tcBorders>
          </w:tcPr>
          <w:p>
            <w:pPr>
              <w:pStyle w:val="TableParagraph"/>
              <w:spacing w:before="30"/>
              <w:ind w:left="493" w:right="484"/>
              <w:jc w:val="center"/>
              <w:rPr>
                <w:b/>
                <w:sz w:val="18"/>
              </w:rPr>
            </w:pPr>
            <w:r>
              <w:rPr>
                <w:b/>
                <w:sz w:val="18"/>
              </w:rPr>
              <w:t>Bit</w:t>
            </w:r>
          </w:p>
        </w:tc>
        <w:tc>
          <w:tcPr>
            <w:tcW w:w="1426" w:type="dxa"/>
            <w:tcBorders>
              <w:left w:val="single" w:sz="6" w:space="0" w:color="000000"/>
              <w:bottom w:val="single" w:sz="6" w:space="0" w:color="000000"/>
              <w:right w:val="single" w:sz="6" w:space="0" w:color="000000"/>
            </w:tcBorders>
          </w:tcPr>
          <w:p>
            <w:pPr>
              <w:pStyle w:val="TableParagraph"/>
              <w:spacing w:before="30"/>
              <w:ind w:left="383"/>
              <w:rPr>
                <w:b/>
                <w:sz w:val="18"/>
              </w:rPr>
            </w:pPr>
            <w:r>
              <w:rPr>
                <w:b/>
                <w:sz w:val="18"/>
              </w:rPr>
              <w:t>Symbol</w:t>
            </w:r>
          </w:p>
        </w:tc>
        <w:tc>
          <w:tcPr>
            <w:tcW w:w="6665" w:type="dxa"/>
            <w:gridSpan w:val="6"/>
            <w:tcBorders>
              <w:left w:val="single" w:sz="6" w:space="0" w:color="000000"/>
              <w:bottom w:val="single" w:sz="6" w:space="0" w:color="000000"/>
            </w:tcBorders>
          </w:tcPr>
          <w:p>
            <w:pPr>
              <w:pStyle w:val="TableParagraph"/>
              <w:spacing w:before="30"/>
              <w:ind w:left="2929" w:right="2923"/>
              <w:jc w:val="center"/>
              <w:rPr>
                <w:b/>
                <w:sz w:val="18"/>
              </w:rPr>
            </w:pPr>
            <w:r>
              <w:rPr>
                <w:b/>
                <w:sz w:val="18"/>
              </w:rPr>
              <w:t>Function</w:t>
            </w:r>
          </w:p>
        </w:tc>
      </w:tr>
      <w:tr>
        <w:trPr>
          <w:trHeight w:val="280" w:hRule="atLeast"/>
        </w:trPr>
        <w:tc>
          <w:tcPr>
            <w:tcW w:w="1270" w:type="dxa"/>
            <w:vMerge w:val="restart"/>
            <w:tcBorders>
              <w:top w:val="single" w:sz="6" w:space="0" w:color="000000"/>
              <w:bottom w:val="single" w:sz="6" w:space="0" w:color="000000"/>
              <w:right w:val="single" w:sz="6" w:space="0" w:color="000000"/>
            </w:tcBorders>
          </w:tcPr>
          <w:p>
            <w:pPr>
              <w:pStyle w:val="TableParagraph"/>
              <w:spacing w:before="11"/>
              <w:ind w:left="69"/>
              <w:rPr>
                <w:rFonts w:ascii="Times New Roman"/>
                <w:i/>
                <w:sz w:val="18"/>
              </w:rPr>
            </w:pPr>
            <w:r>
              <w:rPr>
                <w:rFonts w:ascii="Times New Roman"/>
                <w:i/>
                <w:sz w:val="18"/>
              </w:rPr>
              <w:t>S0CON[7]</w:t>
            </w:r>
          </w:p>
        </w:tc>
        <w:tc>
          <w:tcPr>
            <w:tcW w:w="142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
              <w:ind w:left="66"/>
              <w:rPr>
                <w:rFonts w:ascii="Times New Roman"/>
                <w:i/>
                <w:sz w:val="18"/>
              </w:rPr>
            </w:pPr>
            <w:r>
              <w:rPr>
                <w:rFonts w:ascii="Times New Roman"/>
                <w:i/>
                <w:sz w:val="18"/>
              </w:rPr>
              <w:t>SM0</w:t>
            </w:r>
          </w:p>
        </w:tc>
        <w:tc>
          <w:tcPr>
            <w:tcW w:w="6665" w:type="dxa"/>
            <w:gridSpan w:val="6"/>
            <w:tcBorders>
              <w:top w:val="single" w:sz="6" w:space="0" w:color="000000"/>
              <w:left w:val="single" w:sz="6" w:space="0" w:color="000000"/>
              <w:bottom w:val="nil"/>
            </w:tcBorders>
          </w:tcPr>
          <w:p>
            <w:pPr>
              <w:pStyle w:val="TableParagraph"/>
              <w:spacing w:before="13"/>
              <w:ind w:left="68"/>
              <w:rPr>
                <w:sz w:val="18"/>
              </w:rPr>
            </w:pPr>
            <w:r>
              <w:rPr>
                <w:sz w:val="18"/>
              </w:rPr>
              <w:t>The </w:t>
            </w:r>
            <w:r>
              <w:rPr>
                <w:rFonts w:ascii="Times New Roman"/>
                <w:i/>
                <w:sz w:val="18"/>
              </w:rPr>
              <w:t>SM0 </w:t>
            </w:r>
            <w:r>
              <w:rPr>
                <w:sz w:val="18"/>
              </w:rPr>
              <w:t>and </w:t>
            </w:r>
            <w:r>
              <w:rPr>
                <w:rFonts w:ascii="Times New Roman"/>
                <w:i/>
                <w:sz w:val="18"/>
              </w:rPr>
              <w:t>SM1 </w:t>
            </w:r>
            <w:r>
              <w:rPr>
                <w:sz w:val="18"/>
              </w:rPr>
              <w:t>bits set the UART0 mode:</w:t>
            </w:r>
          </w:p>
        </w:tc>
      </w:tr>
      <w:tr>
        <w:trPr>
          <w:trHeight w:val="237" w:hRule="atLeast"/>
        </w:trPr>
        <w:tc>
          <w:tcPr>
            <w:tcW w:w="1270" w:type="dxa"/>
            <w:vMerge/>
            <w:tcBorders>
              <w:top w:val="nil"/>
              <w:bottom w:val="single" w:sz="6" w:space="0" w:color="000000"/>
              <w:right w:val="single" w:sz="6" w:space="0" w:color="000000"/>
            </w:tcBorders>
          </w:tcPr>
          <w:p>
            <w:pPr>
              <w:rPr>
                <w:sz w:val="2"/>
                <w:szCs w:val="2"/>
              </w:rPr>
            </w:pPr>
          </w:p>
        </w:tc>
        <w:tc>
          <w:tcPr>
            <w:tcW w:w="1426" w:type="dxa"/>
            <w:vMerge/>
            <w:tcBorders>
              <w:top w:val="nil"/>
              <w:left w:val="single" w:sz="6" w:space="0" w:color="000000"/>
              <w:bottom w:val="single" w:sz="6" w:space="0" w:color="000000"/>
              <w:right w:val="single" w:sz="6" w:space="0" w:color="000000"/>
            </w:tcBorders>
          </w:tcPr>
          <w:p>
            <w:pPr>
              <w:rPr>
                <w:sz w:val="2"/>
                <w:szCs w:val="2"/>
              </w:rPr>
            </w:pPr>
          </w:p>
        </w:tc>
        <w:tc>
          <w:tcPr>
            <w:tcW w:w="293" w:type="dxa"/>
            <w:vMerge w:val="restart"/>
            <w:tcBorders>
              <w:top w:val="nil"/>
              <w:left w:val="single" w:sz="6" w:space="0" w:color="000000"/>
              <w:bottom w:val="single" w:sz="6" w:space="0" w:color="000000"/>
            </w:tcBorders>
          </w:tcPr>
          <w:p>
            <w:pPr>
              <w:pStyle w:val="TableParagraph"/>
              <w:rPr>
                <w:rFonts w:ascii="Times New Roman"/>
                <w:sz w:val="18"/>
              </w:rPr>
            </w:pPr>
          </w:p>
        </w:tc>
        <w:tc>
          <w:tcPr>
            <w:tcW w:w="1188" w:type="dxa"/>
          </w:tcPr>
          <w:p>
            <w:pPr>
              <w:pStyle w:val="TableParagraph"/>
              <w:spacing w:before="8"/>
              <w:ind w:left="76" w:right="70"/>
              <w:jc w:val="center"/>
              <w:rPr>
                <w:b/>
                <w:sz w:val="18"/>
              </w:rPr>
            </w:pPr>
            <w:r>
              <w:rPr>
                <w:b/>
                <w:sz w:val="18"/>
              </w:rPr>
              <w:t>Mode</w:t>
            </w:r>
          </w:p>
        </w:tc>
        <w:tc>
          <w:tcPr>
            <w:tcW w:w="1392" w:type="dxa"/>
          </w:tcPr>
          <w:p>
            <w:pPr>
              <w:pStyle w:val="TableParagraph"/>
              <w:spacing w:before="8"/>
              <w:ind w:left="197"/>
              <w:rPr>
                <w:b/>
                <w:sz w:val="18"/>
              </w:rPr>
            </w:pPr>
            <w:r>
              <w:rPr>
                <w:b/>
                <w:sz w:val="18"/>
              </w:rPr>
              <w:t>Description</w:t>
            </w:r>
          </w:p>
        </w:tc>
        <w:tc>
          <w:tcPr>
            <w:tcW w:w="1171" w:type="dxa"/>
          </w:tcPr>
          <w:p>
            <w:pPr>
              <w:pStyle w:val="TableParagraph"/>
              <w:spacing w:before="8"/>
              <w:ind w:left="289" w:right="285"/>
              <w:jc w:val="center"/>
              <w:rPr>
                <w:b/>
                <w:sz w:val="18"/>
              </w:rPr>
            </w:pPr>
            <w:r>
              <w:rPr>
                <w:b/>
                <w:sz w:val="18"/>
              </w:rPr>
              <w:t>SM0</w:t>
            </w:r>
          </w:p>
        </w:tc>
        <w:tc>
          <w:tcPr>
            <w:tcW w:w="1169" w:type="dxa"/>
          </w:tcPr>
          <w:p>
            <w:pPr>
              <w:pStyle w:val="TableParagraph"/>
              <w:spacing w:before="8"/>
              <w:ind w:left="39" w:right="37"/>
              <w:jc w:val="center"/>
              <w:rPr>
                <w:b/>
                <w:sz w:val="18"/>
              </w:rPr>
            </w:pPr>
            <w:r>
              <w:rPr>
                <w:b/>
                <w:sz w:val="18"/>
              </w:rPr>
              <w:t>SM1</w:t>
            </w:r>
          </w:p>
        </w:tc>
        <w:tc>
          <w:tcPr>
            <w:tcW w:w="1452" w:type="dxa"/>
            <w:vMerge w:val="restart"/>
            <w:tcBorders>
              <w:top w:val="nil"/>
              <w:bottom w:val="single" w:sz="6" w:space="0" w:color="000000"/>
            </w:tcBorders>
          </w:tcPr>
          <w:p>
            <w:pPr>
              <w:pStyle w:val="TableParagraph"/>
              <w:rPr>
                <w:rFonts w:ascii="Times New Roman"/>
                <w:sz w:val="18"/>
              </w:rPr>
            </w:pPr>
          </w:p>
        </w:tc>
      </w:tr>
      <w:tr>
        <w:trPr>
          <w:trHeight w:val="234" w:hRule="atLeast"/>
        </w:trPr>
        <w:tc>
          <w:tcPr>
            <w:tcW w:w="1270" w:type="dxa"/>
            <w:vMerge/>
            <w:tcBorders>
              <w:top w:val="nil"/>
              <w:bottom w:val="single" w:sz="6" w:space="0" w:color="000000"/>
              <w:right w:val="single" w:sz="6" w:space="0" w:color="000000"/>
            </w:tcBorders>
          </w:tcPr>
          <w:p>
            <w:pPr>
              <w:rPr>
                <w:sz w:val="2"/>
                <w:szCs w:val="2"/>
              </w:rPr>
            </w:pPr>
          </w:p>
        </w:tc>
        <w:tc>
          <w:tcPr>
            <w:tcW w:w="1426" w:type="dxa"/>
            <w:vMerge/>
            <w:tcBorders>
              <w:top w:val="nil"/>
              <w:left w:val="single" w:sz="6" w:space="0" w:color="000000"/>
              <w:bottom w:val="single" w:sz="6" w:space="0" w:color="000000"/>
              <w:right w:val="single" w:sz="6" w:space="0" w:color="000000"/>
            </w:tcBorders>
          </w:tcPr>
          <w:p>
            <w:pPr>
              <w:rPr>
                <w:sz w:val="2"/>
                <w:szCs w:val="2"/>
              </w:rPr>
            </w:pPr>
          </w:p>
        </w:tc>
        <w:tc>
          <w:tcPr>
            <w:tcW w:w="293" w:type="dxa"/>
            <w:vMerge/>
            <w:tcBorders>
              <w:top w:val="nil"/>
              <w:left w:val="single" w:sz="6" w:space="0" w:color="000000"/>
              <w:bottom w:val="single" w:sz="6" w:space="0" w:color="000000"/>
            </w:tcBorders>
          </w:tcPr>
          <w:p>
            <w:pPr>
              <w:rPr>
                <w:sz w:val="2"/>
                <w:szCs w:val="2"/>
              </w:rPr>
            </w:pPr>
          </w:p>
        </w:tc>
        <w:tc>
          <w:tcPr>
            <w:tcW w:w="1188" w:type="dxa"/>
          </w:tcPr>
          <w:p>
            <w:pPr>
              <w:pStyle w:val="TableParagraph"/>
              <w:spacing w:line="204" w:lineRule="exact" w:before="11"/>
              <w:ind w:left="4"/>
              <w:jc w:val="center"/>
              <w:rPr>
                <w:sz w:val="18"/>
              </w:rPr>
            </w:pPr>
            <w:r>
              <w:rPr>
                <w:sz w:val="18"/>
              </w:rPr>
              <w:t>0</w:t>
            </w:r>
          </w:p>
        </w:tc>
        <w:tc>
          <w:tcPr>
            <w:tcW w:w="1392" w:type="dxa"/>
          </w:tcPr>
          <w:p>
            <w:pPr>
              <w:pStyle w:val="TableParagraph"/>
              <w:spacing w:line="204" w:lineRule="exact" w:before="11"/>
              <w:ind w:left="106"/>
              <w:rPr>
                <w:sz w:val="18"/>
              </w:rPr>
            </w:pPr>
            <w:r>
              <w:rPr>
                <w:sz w:val="18"/>
              </w:rPr>
              <w:t>N/A</w:t>
            </w:r>
          </w:p>
        </w:tc>
        <w:tc>
          <w:tcPr>
            <w:tcW w:w="1171" w:type="dxa"/>
          </w:tcPr>
          <w:p>
            <w:pPr>
              <w:pStyle w:val="TableParagraph"/>
              <w:spacing w:line="204" w:lineRule="exact" w:before="11"/>
              <w:ind w:left="2"/>
              <w:jc w:val="center"/>
              <w:rPr>
                <w:sz w:val="18"/>
              </w:rPr>
            </w:pPr>
            <w:r>
              <w:rPr>
                <w:sz w:val="18"/>
              </w:rPr>
              <w:t>0</w:t>
            </w:r>
          </w:p>
        </w:tc>
        <w:tc>
          <w:tcPr>
            <w:tcW w:w="1169" w:type="dxa"/>
          </w:tcPr>
          <w:p>
            <w:pPr>
              <w:pStyle w:val="TableParagraph"/>
              <w:spacing w:line="204" w:lineRule="exact" w:before="11"/>
              <w:jc w:val="center"/>
              <w:rPr>
                <w:sz w:val="18"/>
              </w:rPr>
            </w:pPr>
            <w:r>
              <w:rPr>
                <w:sz w:val="18"/>
              </w:rPr>
              <w:t>0</w:t>
            </w:r>
          </w:p>
        </w:tc>
        <w:tc>
          <w:tcPr>
            <w:tcW w:w="1452" w:type="dxa"/>
            <w:vMerge/>
            <w:tcBorders>
              <w:top w:val="nil"/>
              <w:bottom w:val="single" w:sz="6" w:space="0" w:color="000000"/>
            </w:tcBorders>
          </w:tcPr>
          <w:p>
            <w:pPr>
              <w:rPr>
                <w:sz w:val="2"/>
                <w:szCs w:val="2"/>
              </w:rPr>
            </w:pPr>
          </w:p>
        </w:tc>
      </w:tr>
      <w:tr>
        <w:trPr>
          <w:trHeight w:val="201" w:hRule="atLeast"/>
        </w:trPr>
        <w:tc>
          <w:tcPr>
            <w:tcW w:w="1270" w:type="dxa"/>
            <w:vMerge/>
            <w:tcBorders>
              <w:top w:val="nil"/>
              <w:bottom w:val="single" w:sz="6" w:space="0" w:color="000000"/>
              <w:right w:val="single" w:sz="6" w:space="0" w:color="000000"/>
            </w:tcBorders>
          </w:tcPr>
          <w:p>
            <w:pPr>
              <w:rPr>
                <w:sz w:val="2"/>
                <w:szCs w:val="2"/>
              </w:rPr>
            </w:pPr>
          </w:p>
        </w:tc>
        <w:tc>
          <w:tcPr>
            <w:tcW w:w="1426" w:type="dxa"/>
            <w:vMerge/>
            <w:tcBorders>
              <w:top w:val="nil"/>
              <w:left w:val="single" w:sz="6" w:space="0" w:color="000000"/>
              <w:bottom w:val="single" w:sz="6" w:space="0" w:color="000000"/>
              <w:right w:val="single" w:sz="6" w:space="0" w:color="000000"/>
            </w:tcBorders>
          </w:tcPr>
          <w:p>
            <w:pPr>
              <w:rPr>
                <w:sz w:val="2"/>
                <w:szCs w:val="2"/>
              </w:rPr>
            </w:pPr>
          </w:p>
        </w:tc>
        <w:tc>
          <w:tcPr>
            <w:tcW w:w="293" w:type="dxa"/>
            <w:vMerge/>
            <w:tcBorders>
              <w:top w:val="nil"/>
              <w:left w:val="single" w:sz="6" w:space="0" w:color="000000"/>
              <w:bottom w:val="single" w:sz="6" w:space="0" w:color="000000"/>
            </w:tcBorders>
          </w:tcPr>
          <w:p>
            <w:pPr>
              <w:rPr>
                <w:sz w:val="2"/>
                <w:szCs w:val="2"/>
              </w:rPr>
            </w:pPr>
          </w:p>
        </w:tc>
        <w:tc>
          <w:tcPr>
            <w:tcW w:w="1188" w:type="dxa"/>
          </w:tcPr>
          <w:p>
            <w:pPr>
              <w:pStyle w:val="TableParagraph"/>
              <w:spacing w:line="170" w:lineRule="exact" w:before="11"/>
              <w:ind w:left="4"/>
              <w:jc w:val="center"/>
              <w:rPr>
                <w:sz w:val="18"/>
              </w:rPr>
            </w:pPr>
            <w:r>
              <w:rPr>
                <w:sz w:val="18"/>
              </w:rPr>
              <w:t>1</w:t>
            </w:r>
          </w:p>
        </w:tc>
        <w:tc>
          <w:tcPr>
            <w:tcW w:w="1392" w:type="dxa"/>
          </w:tcPr>
          <w:p>
            <w:pPr>
              <w:pStyle w:val="TableParagraph"/>
              <w:spacing w:line="170" w:lineRule="exact" w:before="11"/>
              <w:ind w:left="106"/>
              <w:rPr>
                <w:sz w:val="18"/>
              </w:rPr>
            </w:pPr>
            <w:r>
              <w:rPr>
                <w:sz w:val="18"/>
              </w:rPr>
              <w:t>8-bit UART</w:t>
            </w:r>
          </w:p>
        </w:tc>
        <w:tc>
          <w:tcPr>
            <w:tcW w:w="1171" w:type="dxa"/>
          </w:tcPr>
          <w:p>
            <w:pPr>
              <w:pStyle w:val="TableParagraph"/>
              <w:spacing w:line="170" w:lineRule="exact" w:before="11"/>
              <w:ind w:left="2"/>
              <w:jc w:val="center"/>
              <w:rPr>
                <w:sz w:val="18"/>
              </w:rPr>
            </w:pPr>
            <w:r>
              <w:rPr>
                <w:sz w:val="18"/>
              </w:rPr>
              <w:t>0</w:t>
            </w:r>
          </w:p>
        </w:tc>
        <w:tc>
          <w:tcPr>
            <w:tcW w:w="1169" w:type="dxa"/>
          </w:tcPr>
          <w:p>
            <w:pPr>
              <w:pStyle w:val="TableParagraph"/>
              <w:spacing w:line="170" w:lineRule="exact" w:before="11"/>
              <w:jc w:val="center"/>
              <w:rPr>
                <w:sz w:val="18"/>
              </w:rPr>
            </w:pPr>
            <w:r>
              <w:rPr>
                <w:sz w:val="18"/>
              </w:rPr>
              <w:t>1</w:t>
            </w:r>
          </w:p>
        </w:tc>
        <w:tc>
          <w:tcPr>
            <w:tcW w:w="1452" w:type="dxa"/>
            <w:vMerge/>
            <w:tcBorders>
              <w:top w:val="nil"/>
              <w:bottom w:val="single" w:sz="6" w:space="0" w:color="000000"/>
            </w:tcBorders>
          </w:tcPr>
          <w:p>
            <w:pPr>
              <w:rPr>
                <w:sz w:val="2"/>
                <w:szCs w:val="2"/>
              </w:rPr>
            </w:pPr>
          </w:p>
        </w:tc>
      </w:tr>
      <w:tr>
        <w:trPr>
          <w:trHeight w:val="270" w:hRule="atLeast"/>
        </w:trPr>
        <w:tc>
          <w:tcPr>
            <w:tcW w:w="1270" w:type="dxa"/>
            <w:vMerge w:val="restart"/>
            <w:tcBorders>
              <w:top w:val="single" w:sz="6" w:space="0" w:color="000000"/>
              <w:bottom w:val="single" w:sz="6" w:space="0" w:color="000000"/>
              <w:right w:val="single" w:sz="6" w:space="0" w:color="000000"/>
            </w:tcBorders>
          </w:tcPr>
          <w:p>
            <w:pPr>
              <w:pStyle w:val="TableParagraph"/>
              <w:spacing w:line="183" w:lineRule="exact"/>
              <w:ind w:left="69"/>
              <w:rPr>
                <w:rFonts w:ascii="Times New Roman"/>
                <w:i/>
                <w:sz w:val="18"/>
              </w:rPr>
            </w:pPr>
            <w:r>
              <w:rPr>
                <w:rFonts w:ascii="Times New Roman"/>
                <w:i/>
                <w:sz w:val="18"/>
              </w:rPr>
              <w:t>S0CON[6]</w:t>
            </w:r>
          </w:p>
        </w:tc>
        <w:tc>
          <w:tcPr>
            <w:tcW w:w="1426"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83" w:lineRule="exact"/>
              <w:ind w:left="66"/>
              <w:rPr>
                <w:rFonts w:ascii="Times New Roman"/>
                <w:i/>
                <w:sz w:val="18"/>
              </w:rPr>
            </w:pPr>
            <w:r>
              <w:rPr>
                <w:rFonts w:ascii="Times New Roman"/>
                <w:i/>
                <w:sz w:val="18"/>
              </w:rPr>
              <w:t>SM1</w:t>
            </w:r>
          </w:p>
        </w:tc>
        <w:tc>
          <w:tcPr>
            <w:tcW w:w="293" w:type="dxa"/>
            <w:vMerge/>
            <w:tcBorders>
              <w:top w:val="nil"/>
              <w:left w:val="single" w:sz="6" w:space="0" w:color="000000"/>
              <w:bottom w:val="single" w:sz="6" w:space="0" w:color="000000"/>
            </w:tcBorders>
          </w:tcPr>
          <w:p>
            <w:pPr>
              <w:rPr>
                <w:sz w:val="2"/>
                <w:szCs w:val="2"/>
              </w:rPr>
            </w:pPr>
          </w:p>
        </w:tc>
        <w:tc>
          <w:tcPr>
            <w:tcW w:w="1188" w:type="dxa"/>
          </w:tcPr>
          <w:p>
            <w:pPr>
              <w:pStyle w:val="TableParagraph"/>
              <w:spacing w:line="204" w:lineRule="exact" w:before="47"/>
              <w:ind w:left="4"/>
              <w:jc w:val="center"/>
              <w:rPr>
                <w:sz w:val="18"/>
              </w:rPr>
            </w:pPr>
            <w:r>
              <w:rPr>
                <w:sz w:val="18"/>
              </w:rPr>
              <w:t>2</w:t>
            </w:r>
          </w:p>
        </w:tc>
        <w:tc>
          <w:tcPr>
            <w:tcW w:w="1392" w:type="dxa"/>
          </w:tcPr>
          <w:p>
            <w:pPr>
              <w:pStyle w:val="TableParagraph"/>
              <w:spacing w:line="204" w:lineRule="exact" w:before="47"/>
              <w:ind w:left="106"/>
              <w:rPr>
                <w:sz w:val="18"/>
              </w:rPr>
            </w:pPr>
            <w:r>
              <w:rPr>
                <w:sz w:val="18"/>
              </w:rPr>
              <w:t>9-bit UART</w:t>
            </w:r>
          </w:p>
        </w:tc>
        <w:tc>
          <w:tcPr>
            <w:tcW w:w="1171" w:type="dxa"/>
          </w:tcPr>
          <w:p>
            <w:pPr>
              <w:pStyle w:val="TableParagraph"/>
              <w:spacing w:line="204" w:lineRule="exact" w:before="47"/>
              <w:ind w:left="2"/>
              <w:jc w:val="center"/>
              <w:rPr>
                <w:sz w:val="18"/>
              </w:rPr>
            </w:pPr>
            <w:r>
              <w:rPr>
                <w:sz w:val="18"/>
              </w:rPr>
              <w:t>1</w:t>
            </w:r>
          </w:p>
        </w:tc>
        <w:tc>
          <w:tcPr>
            <w:tcW w:w="1169" w:type="dxa"/>
          </w:tcPr>
          <w:p>
            <w:pPr>
              <w:pStyle w:val="TableParagraph"/>
              <w:spacing w:line="204" w:lineRule="exact" w:before="47"/>
              <w:jc w:val="center"/>
              <w:rPr>
                <w:sz w:val="18"/>
              </w:rPr>
            </w:pPr>
            <w:r>
              <w:rPr>
                <w:sz w:val="18"/>
              </w:rPr>
              <w:t>0</w:t>
            </w:r>
          </w:p>
        </w:tc>
        <w:tc>
          <w:tcPr>
            <w:tcW w:w="1452" w:type="dxa"/>
            <w:vMerge/>
            <w:tcBorders>
              <w:top w:val="nil"/>
              <w:bottom w:val="single" w:sz="6" w:space="0" w:color="000000"/>
            </w:tcBorders>
          </w:tcPr>
          <w:p>
            <w:pPr>
              <w:rPr>
                <w:sz w:val="2"/>
                <w:szCs w:val="2"/>
              </w:rPr>
            </w:pPr>
          </w:p>
        </w:tc>
      </w:tr>
      <w:tr>
        <w:trPr>
          <w:trHeight w:val="264" w:hRule="atLeast"/>
        </w:trPr>
        <w:tc>
          <w:tcPr>
            <w:tcW w:w="1270" w:type="dxa"/>
            <w:vMerge/>
            <w:tcBorders>
              <w:top w:val="nil"/>
              <w:bottom w:val="single" w:sz="6" w:space="0" w:color="000000"/>
              <w:right w:val="single" w:sz="6" w:space="0" w:color="000000"/>
            </w:tcBorders>
          </w:tcPr>
          <w:p>
            <w:pPr>
              <w:rPr>
                <w:sz w:val="2"/>
                <w:szCs w:val="2"/>
              </w:rPr>
            </w:pPr>
          </w:p>
        </w:tc>
        <w:tc>
          <w:tcPr>
            <w:tcW w:w="1426" w:type="dxa"/>
            <w:vMerge/>
            <w:tcBorders>
              <w:top w:val="nil"/>
              <w:left w:val="single" w:sz="6" w:space="0" w:color="000000"/>
              <w:bottom w:val="single" w:sz="6" w:space="0" w:color="000000"/>
              <w:right w:val="single" w:sz="6" w:space="0" w:color="000000"/>
            </w:tcBorders>
          </w:tcPr>
          <w:p>
            <w:pPr>
              <w:rPr>
                <w:sz w:val="2"/>
                <w:szCs w:val="2"/>
              </w:rPr>
            </w:pPr>
          </w:p>
        </w:tc>
        <w:tc>
          <w:tcPr>
            <w:tcW w:w="293" w:type="dxa"/>
            <w:vMerge/>
            <w:tcBorders>
              <w:top w:val="nil"/>
              <w:left w:val="single" w:sz="6" w:space="0" w:color="000000"/>
              <w:bottom w:val="single" w:sz="6" w:space="0" w:color="000000"/>
            </w:tcBorders>
          </w:tcPr>
          <w:p>
            <w:pPr>
              <w:rPr>
                <w:sz w:val="2"/>
                <w:szCs w:val="2"/>
              </w:rPr>
            </w:pPr>
          </w:p>
        </w:tc>
        <w:tc>
          <w:tcPr>
            <w:tcW w:w="1188" w:type="dxa"/>
            <w:tcBorders>
              <w:bottom w:val="thickThinMediumGap" w:sz="3" w:space="0" w:color="000000"/>
            </w:tcBorders>
          </w:tcPr>
          <w:p>
            <w:pPr>
              <w:pStyle w:val="TableParagraph"/>
              <w:spacing w:before="13"/>
              <w:ind w:left="4"/>
              <w:jc w:val="center"/>
              <w:rPr>
                <w:sz w:val="18"/>
              </w:rPr>
            </w:pPr>
            <w:r>
              <w:rPr>
                <w:sz w:val="18"/>
              </w:rPr>
              <w:t>3</w:t>
            </w:r>
          </w:p>
        </w:tc>
        <w:tc>
          <w:tcPr>
            <w:tcW w:w="1392" w:type="dxa"/>
            <w:tcBorders>
              <w:bottom w:val="thickThinMediumGap" w:sz="3" w:space="0" w:color="000000"/>
            </w:tcBorders>
          </w:tcPr>
          <w:p>
            <w:pPr>
              <w:pStyle w:val="TableParagraph"/>
              <w:spacing w:before="13"/>
              <w:ind w:left="106"/>
              <w:rPr>
                <w:sz w:val="18"/>
              </w:rPr>
            </w:pPr>
            <w:r>
              <w:rPr>
                <w:sz w:val="18"/>
              </w:rPr>
              <w:t>9-bit UART</w:t>
            </w:r>
          </w:p>
        </w:tc>
        <w:tc>
          <w:tcPr>
            <w:tcW w:w="1171" w:type="dxa"/>
            <w:tcBorders>
              <w:bottom w:val="thickThinMediumGap" w:sz="3" w:space="0" w:color="000000"/>
            </w:tcBorders>
          </w:tcPr>
          <w:p>
            <w:pPr>
              <w:pStyle w:val="TableParagraph"/>
              <w:spacing w:before="13"/>
              <w:ind w:left="2"/>
              <w:jc w:val="center"/>
              <w:rPr>
                <w:sz w:val="18"/>
              </w:rPr>
            </w:pPr>
            <w:r>
              <w:rPr>
                <w:sz w:val="18"/>
              </w:rPr>
              <w:t>1</w:t>
            </w:r>
          </w:p>
        </w:tc>
        <w:tc>
          <w:tcPr>
            <w:tcW w:w="1169" w:type="dxa"/>
            <w:tcBorders>
              <w:bottom w:val="thickThinMediumGap" w:sz="3" w:space="0" w:color="000000"/>
            </w:tcBorders>
          </w:tcPr>
          <w:p>
            <w:pPr>
              <w:pStyle w:val="TableParagraph"/>
              <w:spacing w:before="13"/>
              <w:jc w:val="center"/>
              <w:rPr>
                <w:sz w:val="18"/>
              </w:rPr>
            </w:pPr>
            <w:r>
              <w:rPr>
                <w:sz w:val="18"/>
              </w:rPr>
              <w:t>1</w:t>
            </w:r>
          </w:p>
        </w:tc>
        <w:tc>
          <w:tcPr>
            <w:tcW w:w="1452" w:type="dxa"/>
            <w:vMerge/>
            <w:tcBorders>
              <w:top w:val="nil"/>
              <w:bottom w:val="single" w:sz="6" w:space="0" w:color="000000"/>
            </w:tcBorders>
          </w:tcPr>
          <w:p>
            <w:pPr>
              <w:rPr>
                <w:sz w:val="2"/>
                <w:szCs w:val="2"/>
              </w:rPr>
            </w:pPr>
          </w:p>
        </w:tc>
      </w:tr>
      <w:tr>
        <w:trPr>
          <w:trHeight w:val="238" w:hRule="atLeast"/>
        </w:trPr>
        <w:tc>
          <w:tcPr>
            <w:tcW w:w="1270" w:type="dxa"/>
            <w:tcBorders>
              <w:top w:val="single" w:sz="6" w:space="0" w:color="000000"/>
              <w:bottom w:val="single" w:sz="6" w:space="0" w:color="000000"/>
              <w:right w:val="single" w:sz="6" w:space="0" w:color="000000"/>
            </w:tcBorders>
          </w:tcPr>
          <w:p>
            <w:pPr>
              <w:pStyle w:val="TableParagraph"/>
              <w:spacing w:before="8"/>
              <w:ind w:left="69"/>
              <w:rPr>
                <w:rFonts w:ascii="Times New Roman"/>
                <w:i/>
                <w:sz w:val="18"/>
              </w:rPr>
            </w:pPr>
            <w:r>
              <w:rPr>
                <w:rFonts w:ascii="Times New Roman"/>
                <w:i/>
                <w:sz w:val="18"/>
              </w:rPr>
              <w:t>S0CON[5]</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8"/>
              <w:ind w:left="66"/>
              <w:rPr>
                <w:rFonts w:ascii="Times New Roman"/>
                <w:i/>
                <w:sz w:val="18"/>
              </w:rPr>
            </w:pPr>
            <w:r>
              <w:rPr>
                <w:rFonts w:ascii="Times New Roman"/>
                <w:i/>
                <w:sz w:val="18"/>
              </w:rPr>
              <w:t>SM20</w:t>
            </w:r>
          </w:p>
        </w:tc>
        <w:tc>
          <w:tcPr>
            <w:tcW w:w="6665" w:type="dxa"/>
            <w:gridSpan w:val="6"/>
            <w:tcBorders>
              <w:top w:val="nil"/>
              <w:left w:val="single" w:sz="6" w:space="0" w:color="000000"/>
              <w:bottom w:val="single" w:sz="6" w:space="0" w:color="000000"/>
            </w:tcBorders>
          </w:tcPr>
          <w:p>
            <w:pPr>
              <w:pStyle w:val="TableParagraph"/>
              <w:spacing w:before="9"/>
              <w:ind w:left="68"/>
              <w:rPr>
                <w:sz w:val="18"/>
              </w:rPr>
            </w:pPr>
            <w:r>
              <w:rPr>
                <w:sz w:val="18"/>
              </w:rPr>
              <w:t>Enables the inter-processor communication feature.</w:t>
            </w:r>
          </w:p>
        </w:tc>
      </w:tr>
      <w:tr>
        <w:trPr>
          <w:trHeight w:val="241" w:hRule="atLeast"/>
        </w:trPr>
        <w:tc>
          <w:tcPr>
            <w:tcW w:w="1270" w:type="dxa"/>
            <w:tcBorders>
              <w:top w:val="single" w:sz="6" w:space="0" w:color="000000"/>
              <w:bottom w:val="single" w:sz="6" w:space="0" w:color="000000"/>
              <w:right w:val="single" w:sz="6" w:space="0" w:color="000000"/>
            </w:tcBorders>
          </w:tcPr>
          <w:p>
            <w:pPr>
              <w:pStyle w:val="TableParagraph"/>
              <w:spacing w:before="11"/>
              <w:ind w:left="69"/>
              <w:rPr>
                <w:rFonts w:ascii="Times New Roman"/>
                <w:i/>
                <w:sz w:val="18"/>
              </w:rPr>
            </w:pPr>
            <w:r>
              <w:rPr>
                <w:rFonts w:ascii="Times New Roman"/>
                <w:i/>
                <w:sz w:val="18"/>
              </w:rPr>
              <w:t>S0CON[4]</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11"/>
              <w:ind w:left="66"/>
              <w:rPr>
                <w:rFonts w:ascii="Times New Roman"/>
                <w:i/>
                <w:sz w:val="18"/>
              </w:rPr>
            </w:pPr>
            <w:r>
              <w:rPr>
                <w:rFonts w:ascii="Times New Roman"/>
                <w:i/>
                <w:sz w:val="18"/>
              </w:rPr>
              <w:t>REN0</w:t>
            </w:r>
          </w:p>
        </w:tc>
        <w:tc>
          <w:tcPr>
            <w:tcW w:w="6665" w:type="dxa"/>
            <w:gridSpan w:val="6"/>
            <w:tcBorders>
              <w:top w:val="single" w:sz="6" w:space="0" w:color="000000"/>
              <w:left w:val="single" w:sz="6" w:space="0" w:color="000000"/>
              <w:bottom w:val="single" w:sz="6" w:space="0" w:color="000000"/>
            </w:tcBorders>
          </w:tcPr>
          <w:p>
            <w:pPr>
              <w:pStyle w:val="TableParagraph"/>
              <w:spacing w:before="13"/>
              <w:ind w:left="68"/>
              <w:rPr>
                <w:sz w:val="18"/>
              </w:rPr>
            </w:pPr>
            <w:r>
              <w:rPr>
                <w:sz w:val="18"/>
              </w:rPr>
              <w:t>If set, enables serial reception. Cleared by software to disable reception.</w:t>
            </w:r>
          </w:p>
        </w:tc>
      </w:tr>
      <w:tr>
        <w:trPr>
          <w:trHeight w:val="642" w:hRule="atLeast"/>
        </w:trPr>
        <w:tc>
          <w:tcPr>
            <w:tcW w:w="1270" w:type="dxa"/>
            <w:tcBorders>
              <w:top w:val="single" w:sz="6" w:space="0" w:color="000000"/>
              <w:bottom w:val="single" w:sz="6" w:space="0" w:color="000000"/>
              <w:right w:val="single" w:sz="6" w:space="0" w:color="000000"/>
            </w:tcBorders>
          </w:tcPr>
          <w:p>
            <w:pPr>
              <w:pStyle w:val="TableParagraph"/>
              <w:spacing w:before="9"/>
              <w:ind w:left="69"/>
              <w:rPr>
                <w:rFonts w:ascii="Times New Roman"/>
                <w:i/>
                <w:sz w:val="18"/>
              </w:rPr>
            </w:pPr>
            <w:r>
              <w:rPr>
                <w:rFonts w:ascii="Times New Roman"/>
                <w:i/>
                <w:sz w:val="18"/>
              </w:rPr>
              <w:t>S0CON[3]</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9"/>
              <w:ind w:left="66"/>
              <w:rPr>
                <w:rFonts w:ascii="Times New Roman"/>
                <w:i/>
                <w:sz w:val="18"/>
              </w:rPr>
            </w:pPr>
            <w:r>
              <w:rPr>
                <w:rFonts w:ascii="Times New Roman"/>
                <w:i/>
                <w:sz w:val="18"/>
              </w:rPr>
              <w:t>TB80</w:t>
            </w:r>
          </w:p>
        </w:tc>
        <w:tc>
          <w:tcPr>
            <w:tcW w:w="6665" w:type="dxa"/>
            <w:gridSpan w:val="6"/>
            <w:tcBorders>
              <w:top w:val="single" w:sz="6" w:space="0" w:color="000000"/>
              <w:left w:val="single" w:sz="6" w:space="0" w:color="000000"/>
              <w:bottom w:val="single" w:sz="6" w:space="0" w:color="000000"/>
            </w:tcBorders>
          </w:tcPr>
          <w:p>
            <w:pPr>
              <w:pStyle w:val="TableParagraph"/>
              <w:spacing w:line="232" w:lineRule="auto" w:before="16"/>
              <w:ind w:left="68" w:right="681"/>
              <w:rPr>
                <w:sz w:val="18"/>
              </w:rPr>
            </w:pPr>
            <w:r>
              <w:rPr>
                <w:sz w:val="18"/>
              </w:rPr>
              <w:t>The 9th transmitted data bit in Modes 2 and 3. Set or cleared by the MPU, depending on the function it performs (parity check, multiprocessor communication etc.)</w:t>
            </w:r>
          </w:p>
        </w:tc>
      </w:tr>
      <w:tr>
        <w:trPr>
          <w:trHeight w:val="443" w:hRule="atLeast"/>
        </w:trPr>
        <w:tc>
          <w:tcPr>
            <w:tcW w:w="1270" w:type="dxa"/>
            <w:tcBorders>
              <w:top w:val="single" w:sz="6" w:space="0" w:color="000000"/>
              <w:bottom w:val="single" w:sz="6" w:space="0" w:color="000000"/>
              <w:right w:val="single" w:sz="6" w:space="0" w:color="000000"/>
            </w:tcBorders>
          </w:tcPr>
          <w:p>
            <w:pPr>
              <w:pStyle w:val="TableParagraph"/>
              <w:spacing w:before="9"/>
              <w:ind w:left="69"/>
              <w:rPr>
                <w:rFonts w:ascii="Times New Roman"/>
                <w:i/>
                <w:sz w:val="18"/>
              </w:rPr>
            </w:pPr>
            <w:r>
              <w:rPr>
                <w:rFonts w:ascii="Times New Roman"/>
                <w:i/>
                <w:sz w:val="18"/>
              </w:rPr>
              <w:t>S0CON[2]</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9"/>
              <w:ind w:left="66"/>
              <w:rPr>
                <w:rFonts w:ascii="Times New Roman"/>
                <w:i/>
                <w:sz w:val="18"/>
              </w:rPr>
            </w:pPr>
            <w:r>
              <w:rPr>
                <w:rFonts w:ascii="Times New Roman"/>
                <w:i/>
                <w:sz w:val="18"/>
              </w:rPr>
              <w:t>RB80</w:t>
            </w:r>
          </w:p>
        </w:tc>
        <w:tc>
          <w:tcPr>
            <w:tcW w:w="6665" w:type="dxa"/>
            <w:gridSpan w:val="6"/>
            <w:tcBorders>
              <w:top w:val="single" w:sz="6" w:space="0" w:color="000000"/>
              <w:left w:val="single" w:sz="6" w:space="0" w:color="000000"/>
              <w:bottom w:val="single" w:sz="6" w:space="0" w:color="000000"/>
            </w:tcBorders>
          </w:tcPr>
          <w:p>
            <w:pPr>
              <w:pStyle w:val="TableParagraph"/>
              <w:spacing w:line="232" w:lineRule="auto" w:before="16"/>
              <w:ind w:left="68" w:right="211"/>
              <w:rPr>
                <w:sz w:val="18"/>
              </w:rPr>
            </w:pPr>
            <w:r>
              <w:rPr>
                <w:sz w:val="18"/>
              </w:rPr>
              <w:t>In Modes 2 and 3 it is the 9</w:t>
            </w:r>
            <w:r>
              <w:rPr>
                <w:sz w:val="18"/>
                <w:vertAlign w:val="superscript"/>
              </w:rPr>
              <w:t>th</w:t>
            </w:r>
            <w:r>
              <w:rPr>
                <w:sz w:val="18"/>
                <w:vertAlign w:val="baseline"/>
              </w:rPr>
              <w:t> data bit received. In Mode 1, </w:t>
            </w:r>
            <w:r>
              <w:rPr>
                <w:rFonts w:ascii="Times New Roman"/>
                <w:i/>
                <w:sz w:val="18"/>
                <w:vertAlign w:val="baseline"/>
              </w:rPr>
              <w:t>SM20 </w:t>
            </w:r>
            <w:r>
              <w:rPr>
                <w:sz w:val="18"/>
                <w:vertAlign w:val="baseline"/>
              </w:rPr>
              <w:t>is 0, </w:t>
            </w:r>
            <w:r>
              <w:rPr>
                <w:rFonts w:ascii="Times New Roman"/>
                <w:i/>
                <w:sz w:val="18"/>
                <w:vertAlign w:val="baseline"/>
              </w:rPr>
              <w:t>RB80 </w:t>
            </w:r>
            <w:r>
              <w:rPr>
                <w:sz w:val="18"/>
                <w:vertAlign w:val="baseline"/>
              </w:rPr>
              <w:t>is the stop bit. In mode 0, this bit is not used. Must be cleared by software.</w:t>
            </w:r>
          </w:p>
        </w:tc>
      </w:tr>
      <w:tr>
        <w:trPr>
          <w:trHeight w:val="440" w:hRule="atLeast"/>
        </w:trPr>
        <w:tc>
          <w:tcPr>
            <w:tcW w:w="1270" w:type="dxa"/>
            <w:tcBorders>
              <w:top w:val="single" w:sz="6" w:space="0" w:color="000000"/>
              <w:bottom w:val="single" w:sz="6" w:space="0" w:color="000000"/>
              <w:right w:val="single" w:sz="6" w:space="0" w:color="000000"/>
            </w:tcBorders>
          </w:tcPr>
          <w:p>
            <w:pPr>
              <w:pStyle w:val="TableParagraph"/>
              <w:spacing w:before="9"/>
              <w:ind w:left="69"/>
              <w:rPr>
                <w:rFonts w:ascii="Times New Roman"/>
                <w:i/>
                <w:sz w:val="18"/>
              </w:rPr>
            </w:pPr>
            <w:r>
              <w:rPr>
                <w:rFonts w:ascii="Times New Roman"/>
                <w:i/>
                <w:sz w:val="18"/>
              </w:rPr>
              <w:t>S0CON[1]</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9"/>
              <w:ind w:left="66"/>
              <w:rPr>
                <w:rFonts w:ascii="Times New Roman"/>
                <w:i/>
                <w:sz w:val="18"/>
              </w:rPr>
            </w:pPr>
            <w:r>
              <w:rPr>
                <w:rFonts w:ascii="Times New Roman"/>
                <w:i/>
                <w:sz w:val="18"/>
              </w:rPr>
              <w:t>TI0</w:t>
            </w:r>
          </w:p>
        </w:tc>
        <w:tc>
          <w:tcPr>
            <w:tcW w:w="6665" w:type="dxa"/>
            <w:gridSpan w:val="6"/>
            <w:tcBorders>
              <w:top w:val="single" w:sz="6" w:space="0" w:color="000000"/>
              <w:left w:val="single" w:sz="6" w:space="0" w:color="000000"/>
              <w:bottom w:val="single" w:sz="6" w:space="0" w:color="000000"/>
            </w:tcBorders>
          </w:tcPr>
          <w:p>
            <w:pPr>
              <w:pStyle w:val="TableParagraph"/>
              <w:spacing w:line="232" w:lineRule="auto" w:before="16"/>
              <w:ind w:left="68" w:right="226"/>
              <w:rPr>
                <w:sz w:val="18"/>
              </w:rPr>
            </w:pPr>
            <w:r>
              <w:rPr>
                <w:spacing w:val="-3"/>
                <w:sz w:val="18"/>
              </w:rPr>
              <w:t>Transmit interrupt </w:t>
            </w:r>
            <w:r>
              <w:rPr>
                <w:sz w:val="18"/>
              </w:rPr>
              <w:t>flag; set by </w:t>
            </w:r>
            <w:r>
              <w:rPr>
                <w:spacing w:val="-3"/>
                <w:sz w:val="18"/>
              </w:rPr>
              <w:t>hardware </w:t>
            </w:r>
            <w:r>
              <w:rPr>
                <w:sz w:val="18"/>
              </w:rPr>
              <w:t>after completion of a </w:t>
            </w:r>
            <w:r>
              <w:rPr>
                <w:spacing w:val="-3"/>
                <w:sz w:val="18"/>
              </w:rPr>
              <w:t>serial </w:t>
            </w:r>
            <w:r>
              <w:rPr>
                <w:sz w:val="18"/>
              </w:rPr>
              <w:t>transfer. Must be cleared by software (see Caution above).</w:t>
            </w:r>
          </w:p>
        </w:tc>
      </w:tr>
      <w:tr>
        <w:trPr>
          <w:trHeight w:val="441" w:hRule="atLeast"/>
        </w:trPr>
        <w:tc>
          <w:tcPr>
            <w:tcW w:w="1270" w:type="dxa"/>
            <w:tcBorders>
              <w:top w:val="single" w:sz="6" w:space="0" w:color="000000"/>
              <w:right w:val="single" w:sz="6" w:space="0" w:color="000000"/>
            </w:tcBorders>
          </w:tcPr>
          <w:p>
            <w:pPr>
              <w:pStyle w:val="TableParagraph"/>
              <w:spacing w:before="9"/>
              <w:ind w:left="69"/>
              <w:rPr>
                <w:rFonts w:ascii="Times New Roman"/>
                <w:i/>
                <w:sz w:val="18"/>
              </w:rPr>
            </w:pPr>
            <w:r>
              <w:rPr>
                <w:rFonts w:ascii="Times New Roman"/>
                <w:i/>
                <w:sz w:val="18"/>
              </w:rPr>
              <w:t>S0CON[0]</w:t>
            </w:r>
          </w:p>
        </w:tc>
        <w:tc>
          <w:tcPr>
            <w:tcW w:w="1426" w:type="dxa"/>
            <w:tcBorders>
              <w:top w:val="single" w:sz="6" w:space="0" w:color="000000"/>
              <w:left w:val="single" w:sz="6" w:space="0" w:color="000000"/>
              <w:right w:val="single" w:sz="6" w:space="0" w:color="000000"/>
            </w:tcBorders>
          </w:tcPr>
          <w:p>
            <w:pPr>
              <w:pStyle w:val="TableParagraph"/>
              <w:spacing w:before="9"/>
              <w:ind w:left="66"/>
              <w:rPr>
                <w:rFonts w:ascii="Times New Roman"/>
                <w:i/>
                <w:sz w:val="18"/>
              </w:rPr>
            </w:pPr>
            <w:r>
              <w:rPr>
                <w:rFonts w:ascii="Times New Roman"/>
                <w:i/>
                <w:sz w:val="18"/>
              </w:rPr>
              <w:t>RI0</w:t>
            </w:r>
          </w:p>
        </w:tc>
        <w:tc>
          <w:tcPr>
            <w:tcW w:w="6665" w:type="dxa"/>
            <w:gridSpan w:val="6"/>
            <w:tcBorders>
              <w:top w:val="single" w:sz="6" w:space="0" w:color="000000"/>
              <w:left w:val="single" w:sz="6" w:space="0" w:color="000000"/>
            </w:tcBorders>
          </w:tcPr>
          <w:p>
            <w:pPr>
              <w:pStyle w:val="TableParagraph"/>
              <w:spacing w:line="232" w:lineRule="auto" w:before="16"/>
              <w:ind w:left="68" w:right="275"/>
              <w:rPr>
                <w:sz w:val="18"/>
              </w:rPr>
            </w:pPr>
            <w:r>
              <w:rPr>
                <w:spacing w:val="-3"/>
                <w:sz w:val="18"/>
              </w:rPr>
              <w:t>Receive interrupt flag; </w:t>
            </w:r>
            <w:r>
              <w:rPr>
                <w:spacing w:val="-2"/>
                <w:sz w:val="18"/>
              </w:rPr>
              <w:t>set </w:t>
            </w:r>
            <w:r>
              <w:rPr>
                <w:sz w:val="18"/>
              </w:rPr>
              <w:t>by </w:t>
            </w:r>
            <w:r>
              <w:rPr>
                <w:spacing w:val="-3"/>
                <w:sz w:val="18"/>
              </w:rPr>
              <w:t>hardware after </w:t>
            </w:r>
            <w:r>
              <w:rPr>
                <w:spacing w:val="-4"/>
                <w:sz w:val="18"/>
              </w:rPr>
              <w:t>completion </w:t>
            </w:r>
            <w:r>
              <w:rPr>
                <w:sz w:val="18"/>
              </w:rPr>
              <w:t>of a </w:t>
            </w:r>
            <w:r>
              <w:rPr>
                <w:spacing w:val="-3"/>
                <w:sz w:val="18"/>
              </w:rPr>
              <w:t>serial </w:t>
            </w:r>
            <w:r>
              <w:rPr>
                <w:spacing w:val="-4"/>
                <w:sz w:val="18"/>
              </w:rPr>
              <w:t>reception. </w:t>
            </w:r>
            <w:r>
              <w:rPr>
                <w:sz w:val="18"/>
              </w:rPr>
              <w:t>Must be cleared by software (see Caution above).</w:t>
            </w:r>
          </w:p>
        </w:tc>
      </w:tr>
    </w:tbl>
    <w:p>
      <w:pPr>
        <w:pStyle w:val="BodyText"/>
        <w:spacing w:before="3"/>
        <w:rPr>
          <w:b/>
          <w:sz w:val="29"/>
        </w:rPr>
      </w:pPr>
    </w:p>
    <w:p>
      <w:pPr>
        <w:pStyle w:val="Heading1"/>
        <w:ind w:left="1311" w:right="1278"/>
      </w:pPr>
      <w:bookmarkStart w:name="_bookmark65" w:id="143"/>
      <w:bookmarkEnd w:id="143"/>
      <w:r>
        <w:rPr>
          <w:b w:val="0"/>
        </w:rPr>
      </w:r>
      <w:bookmarkStart w:name="_bookmark66" w:id="144"/>
      <w:bookmarkEnd w:id="144"/>
      <w:r>
        <w:rPr>
          <w:b w:val="0"/>
        </w:rPr>
      </w:r>
      <w:r>
        <w:rPr/>
        <w:t>Table 19: The </w:t>
      </w:r>
      <w:r>
        <w:rPr>
          <w:rFonts w:ascii="Times New Roman"/>
          <w:i/>
        </w:rPr>
        <w:t>S1CON </w:t>
      </w:r>
      <w:r>
        <w:rPr/>
        <w:t>(UART1) Register (SFR</w:t>
      </w:r>
      <w:r>
        <w:rPr>
          <w:spacing w:val="-17"/>
        </w:rPr>
        <w:t> </w:t>
      </w:r>
      <w:r>
        <w:rPr/>
        <w:t>0x9B)</w:t>
      </w:r>
    </w:p>
    <w:p>
      <w:pPr>
        <w:pStyle w:val="BodyText"/>
        <w:spacing w:before="4"/>
        <w:rPr>
          <w:b/>
          <w:sz w:val="5"/>
        </w:rPr>
      </w:pPr>
    </w:p>
    <w:tbl>
      <w:tblPr>
        <w:tblW w:w="0" w:type="auto"/>
        <w:jc w:val="left"/>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0"/>
        <w:gridCol w:w="1426"/>
        <w:gridCol w:w="293"/>
        <w:gridCol w:w="852"/>
        <w:gridCol w:w="991"/>
        <w:gridCol w:w="1560"/>
        <w:gridCol w:w="1560"/>
        <w:gridCol w:w="1409"/>
      </w:tblGrid>
      <w:tr>
        <w:trPr>
          <w:trHeight w:val="280" w:hRule="atLeast"/>
        </w:trPr>
        <w:tc>
          <w:tcPr>
            <w:tcW w:w="1270" w:type="dxa"/>
            <w:tcBorders>
              <w:bottom w:val="single" w:sz="6" w:space="0" w:color="000000"/>
              <w:right w:val="single" w:sz="6" w:space="0" w:color="000000"/>
            </w:tcBorders>
          </w:tcPr>
          <w:p>
            <w:pPr>
              <w:pStyle w:val="TableParagraph"/>
              <w:spacing w:before="30"/>
              <w:ind w:left="493" w:right="484"/>
              <w:jc w:val="center"/>
              <w:rPr>
                <w:b/>
                <w:sz w:val="18"/>
              </w:rPr>
            </w:pPr>
            <w:r>
              <w:rPr>
                <w:b/>
                <w:sz w:val="18"/>
              </w:rPr>
              <w:t>Bit</w:t>
            </w:r>
          </w:p>
        </w:tc>
        <w:tc>
          <w:tcPr>
            <w:tcW w:w="1426" w:type="dxa"/>
            <w:tcBorders>
              <w:left w:val="single" w:sz="6" w:space="0" w:color="000000"/>
              <w:bottom w:val="single" w:sz="6" w:space="0" w:color="000000"/>
              <w:right w:val="single" w:sz="6" w:space="0" w:color="000000"/>
            </w:tcBorders>
          </w:tcPr>
          <w:p>
            <w:pPr>
              <w:pStyle w:val="TableParagraph"/>
              <w:spacing w:before="30"/>
              <w:ind w:left="383"/>
              <w:rPr>
                <w:b/>
                <w:sz w:val="18"/>
              </w:rPr>
            </w:pPr>
            <w:r>
              <w:rPr>
                <w:b/>
                <w:sz w:val="18"/>
              </w:rPr>
              <w:t>Symbol</w:t>
            </w:r>
          </w:p>
        </w:tc>
        <w:tc>
          <w:tcPr>
            <w:tcW w:w="6665" w:type="dxa"/>
            <w:gridSpan w:val="6"/>
            <w:tcBorders>
              <w:left w:val="single" w:sz="6" w:space="0" w:color="000000"/>
              <w:bottom w:val="single" w:sz="6" w:space="0" w:color="000000"/>
            </w:tcBorders>
          </w:tcPr>
          <w:p>
            <w:pPr>
              <w:pStyle w:val="TableParagraph"/>
              <w:spacing w:before="30"/>
              <w:ind w:left="2929" w:right="2923"/>
              <w:jc w:val="center"/>
              <w:rPr>
                <w:b/>
                <w:sz w:val="18"/>
              </w:rPr>
            </w:pPr>
            <w:r>
              <w:rPr>
                <w:b/>
                <w:sz w:val="18"/>
              </w:rPr>
              <w:t>Function</w:t>
            </w:r>
          </w:p>
        </w:tc>
      </w:tr>
      <w:tr>
        <w:trPr>
          <w:trHeight w:val="277" w:hRule="atLeast"/>
        </w:trPr>
        <w:tc>
          <w:tcPr>
            <w:tcW w:w="1270" w:type="dxa"/>
            <w:vMerge w:val="restart"/>
            <w:tcBorders>
              <w:top w:val="single" w:sz="6" w:space="0" w:color="000000"/>
              <w:bottom w:val="single" w:sz="6" w:space="0" w:color="000000"/>
              <w:right w:val="single" w:sz="6" w:space="0" w:color="000000"/>
            </w:tcBorders>
          </w:tcPr>
          <w:p>
            <w:pPr>
              <w:pStyle w:val="TableParagraph"/>
              <w:spacing w:before="11"/>
              <w:ind w:left="69"/>
              <w:rPr>
                <w:rFonts w:ascii="Times New Roman"/>
                <w:i/>
                <w:sz w:val="18"/>
              </w:rPr>
            </w:pPr>
            <w:r>
              <w:rPr>
                <w:rFonts w:ascii="Times New Roman"/>
                <w:i/>
                <w:sz w:val="18"/>
              </w:rPr>
              <w:t>S1CON[7]</w:t>
            </w:r>
          </w:p>
        </w:tc>
        <w:tc>
          <w:tcPr>
            <w:tcW w:w="142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
              <w:ind w:left="66"/>
              <w:rPr>
                <w:rFonts w:ascii="Times New Roman"/>
                <w:i/>
                <w:sz w:val="18"/>
              </w:rPr>
            </w:pPr>
            <w:r>
              <w:rPr>
                <w:rFonts w:ascii="Times New Roman"/>
                <w:i/>
                <w:sz w:val="18"/>
              </w:rPr>
              <w:t>SM</w:t>
            </w:r>
          </w:p>
        </w:tc>
        <w:tc>
          <w:tcPr>
            <w:tcW w:w="6665" w:type="dxa"/>
            <w:gridSpan w:val="6"/>
            <w:tcBorders>
              <w:top w:val="single" w:sz="6" w:space="0" w:color="000000"/>
              <w:left w:val="single" w:sz="6" w:space="0" w:color="000000"/>
              <w:bottom w:val="nil"/>
            </w:tcBorders>
          </w:tcPr>
          <w:p>
            <w:pPr>
              <w:pStyle w:val="TableParagraph"/>
              <w:spacing w:before="13"/>
              <w:ind w:left="68"/>
              <w:rPr>
                <w:sz w:val="18"/>
              </w:rPr>
            </w:pPr>
            <w:r>
              <w:rPr>
                <w:sz w:val="18"/>
              </w:rPr>
              <w:t>Sets the baud rate and mode for UART1.</w:t>
            </w:r>
          </w:p>
        </w:tc>
      </w:tr>
      <w:tr>
        <w:trPr>
          <w:trHeight w:val="239" w:hRule="atLeast"/>
        </w:trPr>
        <w:tc>
          <w:tcPr>
            <w:tcW w:w="1270" w:type="dxa"/>
            <w:vMerge/>
            <w:tcBorders>
              <w:top w:val="nil"/>
              <w:bottom w:val="single" w:sz="6" w:space="0" w:color="000000"/>
              <w:right w:val="single" w:sz="6" w:space="0" w:color="000000"/>
            </w:tcBorders>
          </w:tcPr>
          <w:p>
            <w:pPr>
              <w:rPr>
                <w:sz w:val="2"/>
                <w:szCs w:val="2"/>
              </w:rPr>
            </w:pPr>
          </w:p>
        </w:tc>
        <w:tc>
          <w:tcPr>
            <w:tcW w:w="1426" w:type="dxa"/>
            <w:vMerge/>
            <w:tcBorders>
              <w:top w:val="nil"/>
              <w:left w:val="single" w:sz="6" w:space="0" w:color="000000"/>
              <w:bottom w:val="single" w:sz="6" w:space="0" w:color="000000"/>
              <w:right w:val="single" w:sz="6" w:space="0" w:color="000000"/>
            </w:tcBorders>
          </w:tcPr>
          <w:p>
            <w:pPr>
              <w:rPr>
                <w:sz w:val="2"/>
                <w:szCs w:val="2"/>
              </w:rPr>
            </w:pPr>
          </w:p>
        </w:tc>
        <w:tc>
          <w:tcPr>
            <w:tcW w:w="293" w:type="dxa"/>
            <w:vMerge w:val="restart"/>
            <w:tcBorders>
              <w:top w:val="nil"/>
              <w:left w:val="single" w:sz="6" w:space="0" w:color="000000"/>
              <w:bottom w:val="single" w:sz="6" w:space="0" w:color="000000"/>
            </w:tcBorders>
          </w:tcPr>
          <w:p>
            <w:pPr>
              <w:pStyle w:val="TableParagraph"/>
              <w:rPr>
                <w:rFonts w:ascii="Times New Roman"/>
                <w:sz w:val="18"/>
              </w:rPr>
            </w:pPr>
          </w:p>
        </w:tc>
        <w:tc>
          <w:tcPr>
            <w:tcW w:w="852" w:type="dxa"/>
            <w:tcBorders>
              <w:bottom w:val="single" w:sz="6" w:space="0" w:color="000000"/>
              <w:right w:val="single" w:sz="6" w:space="0" w:color="000000"/>
            </w:tcBorders>
          </w:tcPr>
          <w:p>
            <w:pPr>
              <w:pStyle w:val="TableParagraph"/>
              <w:spacing w:line="205" w:lineRule="exact" w:before="14"/>
              <w:ind w:left="274" w:right="264"/>
              <w:jc w:val="center"/>
              <w:rPr>
                <w:rFonts w:ascii="Times New Roman"/>
                <w:b/>
                <w:i/>
                <w:sz w:val="18"/>
              </w:rPr>
            </w:pPr>
            <w:r>
              <w:rPr>
                <w:rFonts w:ascii="Times New Roman"/>
                <w:b/>
                <w:i/>
                <w:sz w:val="18"/>
              </w:rPr>
              <w:t>SM</w:t>
            </w:r>
          </w:p>
        </w:tc>
        <w:tc>
          <w:tcPr>
            <w:tcW w:w="991" w:type="dxa"/>
            <w:tcBorders>
              <w:left w:val="single" w:sz="6" w:space="0" w:color="000000"/>
              <w:bottom w:val="single" w:sz="6" w:space="0" w:color="000000"/>
              <w:right w:val="single" w:sz="6" w:space="0" w:color="000000"/>
            </w:tcBorders>
          </w:tcPr>
          <w:p>
            <w:pPr>
              <w:pStyle w:val="TableParagraph"/>
              <w:spacing w:before="11"/>
              <w:ind w:left="128" w:right="126"/>
              <w:jc w:val="center"/>
              <w:rPr>
                <w:b/>
                <w:sz w:val="18"/>
              </w:rPr>
            </w:pPr>
            <w:r>
              <w:rPr>
                <w:b/>
                <w:sz w:val="18"/>
              </w:rPr>
              <w:t>Mode</w:t>
            </w:r>
          </w:p>
        </w:tc>
        <w:tc>
          <w:tcPr>
            <w:tcW w:w="1560" w:type="dxa"/>
            <w:tcBorders>
              <w:left w:val="single" w:sz="6" w:space="0" w:color="000000"/>
              <w:bottom w:val="single" w:sz="6" w:space="0" w:color="000000"/>
              <w:right w:val="single" w:sz="6" w:space="0" w:color="000000"/>
            </w:tcBorders>
          </w:tcPr>
          <w:p>
            <w:pPr>
              <w:pStyle w:val="TableParagraph"/>
              <w:spacing w:before="11"/>
              <w:ind w:left="260" w:right="253"/>
              <w:jc w:val="center"/>
              <w:rPr>
                <w:b/>
                <w:sz w:val="18"/>
              </w:rPr>
            </w:pPr>
            <w:r>
              <w:rPr>
                <w:b/>
                <w:sz w:val="18"/>
              </w:rPr>
              <w:t>Description</w:t>
            </w:r>
          </w:p>
        </w:tc>
        <w:tc>
          <w:tcPr>
            <w:tcW w:w="1560" w:type="dxa"/>
            <w:tcBorders>
              <w:left w:val="single" w:sz="6" w:space="0" w:color="000000"/>
              <w:bottom w:val="single" w:sz="6" w:space="0" w:color="000000"/>
            </w:tcBorders>
          </w:tcPr>
          <w:p>
            <w:pPr>
              <w:pStyle w:val="TableParagraph"/>
              <w:spacing w:before="11"/>
              <w:ind w:left="310" w:right="306"/>
              <w:jc w:val="center"/>
              <w:rPr>
                <w:b/>
                <w:sz w:val="18"/>
              </w:rPr>
            </w:pPr>
            <w:r>
              <w:rPr>
                <w:b/>
                <w:sz w:val="18"/>
              </w:rPr>
              <w:t>Baud Rate</w:t>
            </w:r>
          </w:p>
        </w:tc>
        <w:tc>
          <w:tcPr>
            <w:tcW w:w="1409" w:type="dxa"/>
            <w:vMerge w:val="restart"/>
            <w:tcBorders>
              <w:top w:val="nil"/>
              <w:bottom w:val="single" w:sz="6" w:space="0" w:color="000000"/>
            </w:tcBorders>
          </w:tcPr>
          <w:p>
            <w:pPr>
              <w:pStyle w:val="TableParagraph"/>
              <w:rPr>
                <w:rFonts w:ascii="Times New Roman"/>
                <w:sz w:val="18"/>
              </w:rPr>
            </w:pPr>
          </w:p>
        </w:tc>
      </w:tr>
      <w:tr>
        <w:trPr>
          <w:trHeight w:val="241" w:hRule="atLeast"/>
        </w:trPr>
        <w:tc>
          <w:tcPr>
            <w:tcW w:w="1270" w:type="dxa"/>
            <w:vMerge/>
            <w:tcBorders>
              <w:top w:val="nil"/>
              <w:bottom w:val="single" w:sz="6" w:space="0" w:color="000000"/>
              <w:right w:val="single" w:sz="6" w:space="0" w:color="000000"/>
            </w:tcBorders>
          </w:tcPr>
          <w:p>
            <w:pPr>
              <w:rPr>
                <w:sz w:val="2"/>
                <w:szCs w:val="2"/>
              </w:rPr>
            </w:pPr>
          </w:p>
        </w:tc>
        <w:tc>
          <w:tcPr>
            <w:tcW w:w="1426" w:type="dxa"/>
            <w:vMerge/>
            <w:tcBorders>
              <w:top w:val="nil"/>
              <w:left w:val="single" w:sz="6" w:space="0" w:color="000000"/>
              <w:bottom w:val="single" w:sz="6" w:space="0" w:color="000000"/>
              <w:right w:val="single" w:sz="6" w:space="0" w:color="000000"/>
            </w:tcBorders>
          </w:tcPr>
          <w:p>
            <w:pPr>
              <w:rPr>
                <w:sz w:val="2"/>
                <w:szCs w:val="2"/>
              </w:rPr>
            </w:pPr>
          </w:p>
        </w:tc>
        <w:tc>
          <w:tcPr>
            <w:tcW w:w="293" w:type="dxa"/>
            <w:vMerge/>
            <w:tcBorders>
              <w:top w:val="nil"/>
              <w:left w:val="single" w:sz="6" w:space="0" w:color="000000"/>
              <w:bottom w:val="single" w:sz="6" w:space="0" w:color="000000"/>
            </w:tcBorders>
          </w:tcPr>
          <w:p>
            <w:pPr>
              <w:rPr>
                <w:sz w:val="2"/>
                <w:szCs w:val="2"/>
              </w:rPr>
            </w:pPr>
          </w:p>
        </w:tc>
        <w:tc>
          <w:tcPr>
            <w:tcW w:w="852" w:type="dxa"/>
            <w:tcBorders>
              <w:top w:val="single" w:sz="6" w:space="0" w:color="000000"/>
              <w:bottom w:val="single" w:sz="6" w:space="0" w:color="000000"/>
              <w:right w:val="single" w:sz="6" w:space="0" w:color="000000"/>
            </w:tcBorders>
          </w:tcPr>
          <w:p>
            <w:pPr>
              <w:pStyle w:val="TableParagraph"/>
              <w:spacing w:before="13"/>
              <w:ind w:left="7"/>
              <w:jc w:val="center"/>
              <w:rPr>
                <w:sz w:val="18"/>
              </w:rPr>
            </w:pPr>
            <w:r>
              <w:rPr>
                <w:sz w:val="18"/>
              </w:rPr>
              <w:t>0</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3"/>
              <w:jc w:val="center"/>
              <w:rPr>
                <w:sz w:val="18"/>
              </w:rPr>
            </w:pPr>
            <w:r>
              <w:rPr>
                <w:sz w:val="18"/>
              </w:rPr>
              <w:t>A</w:t>
            </w:r>
          </w:p>
        </w:tc>
        <w:tc>
          <w:tcPr>
            <w:tcW w:w="1560" w:type="dxa"/>
            <w:tcBorders>
              <w:top w:val="single" w:sz="6" w:space="0" w:color="000000"/>
              <w:left w:val="single" w:sz="6" w:space="0" w:color="000000"/>
              <w:bottom w:val="single" w:sz="6" w:space="0" w:color="000000"/>
              <w:right w:val="single" w:sz="6" w:space="0" w:color="000000"/>
            </w:tcBorders>
          </w:tcPr>
          <w:p>
            <w:pPr>
              <w:pStyle w:val="TableParagraph"/>
              <w:spacing w:before="13"/>
              <w:ind w:left="260" w:right="253"/>
              <w:jc w:val="center"/>
              <w:rPr>
                <w:sz w:val="18"/>
              </w:rPr>
            </w:pPr>
            <w:r>
              <w:rPr>
                <w:sz w:val="18"/>
              </w:rPr>
              <w:t>9-bit UART</w:t>
            </w:r>
          </w:p>
        </w:tc>
        <w:tc>
          <w:tcPr>
            <w:tcW w:w="1560" w:type="dxa"/>
            <w:tcBorders>
              <w:top w:val="single" w:sz="6" w:space="0" w:color="000000"/>
              <w:left w:val="single" w:sz="6" w:space="0" w:color="000000"/>
              <w:bottom w:val="single" w:sz="6" w:space="0" w:color="000000"/>
            </w:tcBorders>
          </w:tcPr>
          <w:p>
            <w:pPr>
              <w:pStyle w:val="TableParagraph"/>
              <w:spacing w:before="13"/>
              <w:ind w:left="310" w:right="306"/>
              <w:jc w:val="center"/>
              <w:rPr>
                <w:sz w:val="18"/>
              </w:rPr>
            </w:pPr>
            <w:r>
              <w:rPr>
                <w:sz w:val="18"/>
              </w:rPr>
              <w:t>variable</w:t>
            </w:r>
          </w:p>
        </w:tc>
        <w:tc>
          <w:tcPr>
            <w:tcW w:w="1409" w:type="dxa"/>
            <w:vMerge/>
            <w:tcBorders>
              <w:top w:val="nil"/>
              <w:bottom w:val="single" w:sz="6" w:space="0" w:color="000000"/>
            </w:tcBorders>
          </w:tcPr>
          <w:p>
            <w:pPr>
              <w:rPr>
                <w:sz w:val="2"/>
                <w:szCs w:val="2"/>
              </w:rPr>
            </w:pPr>
          </w:p>
        </w:tc>
      </w:tr>
      <w:tr>
        <w:trPr>
          <w:trHeight w:val="266" w:hRule="atLeast"/>
        </w:trPr>
        <w:tc>
          <w:tcPr>
            <w:tcW w:w="1270" w:type="dxa"/>
            <w:vMerge/>
            <w:tcBorders>
              <w:top w:val="nil"/>
              <w:bottom w:val="single" w:sz="6" w:space="0" w:color="000000"/>
              <w:right w:val="single" w:sz="6" w:space="0" w:color="000000"/>
            </w:tcBorders>
          </w:tcPr>
          <w:p>
            <w:pPr>
              <w:rPr>
                <w:sz w:val="2"/>
                <w:szCs w:val="2"/>
              </w:rPr>
            </w:pPr>
          </w:p>
        </w:tc>
        <w:tc>
          <w:tcPr>
            <w:tcW w:w="1426" w:type="dxa"/>
            <w:vMerge/>
            <w:tcBorders>
              <w:top w:val="nil"/>
              <w:left w:val="single" w:sz="6" w:space="0" w:color="000000"/>
              <w:bottom w:val="single" w:sz="6" w:space="0" w:color="000000"/>
              <w:right w:val="single" w:sz="6" w:space="0" w:color="000000"/>
            </w:tcBorders>
          </w:tcPr>
          <w:p>
            <w:pPr>
              <w:rPr>
                <w:sz w:val="2"/>
                <w:szCs w:val="2"/>
              </w:rPr>
            </w:pPr>
          </w:p>
        </w:tc>
        <w:tc>
          <w:tcPr>
            <w:tcW w:w="293" w:type="dxa"/>
            <w:vMerge/>
            <w:tcBorders>
              <w:top w:val="nil"/>
              <w:left w:val="single" w:sz="6" w:space="0" w:color="000000"/>
              <w:bottom w:val="single" w:sz="6" w:space="0" w:color="000000"/>
            </w:tcBorders>
          </w:tcPr>
          <w:p>
            <w:pPr>
              <w:rPr>
                <w:sz w:val="2"/>
                <w:szCs w:val="2"/>
              </w:rPr>
            </w:pPr>
          </w:p>
        </w:tc>
        <w:tc>
          <w:tcPr>
            <w:tcW w:w="852" w:type="dxa"/>
            <w:tcBorders>
              <w:top w:val="single" w:sz="6" w:space="0" w:color="000000"/>
              <w:bottom w:val="thickThinMediumGap" w:sz="3" w:space="0" w:color="000000"/>
              <w:right w:val="single" w:sz="6" w:space="0" w:color="000000"/>
            </w:tcBorders>
          </w:tcPr>
          <w:p>
            <w:pPr>
              <w:pStyle w:val="TableParagraph"/>
              <w:spacing w:before="13"/>
              <w:ind w:left="7"/>
              <w:jc w:val="center"/>
              <w:rPr>
                <w:sz w:val="18"/>
              </w:rPr>
            </w:pPr>
            <w:r>
              <w:rPr>
                <w:sz w:val="18"/>
              </w:rPr>
              <w:t>1</w:t>
            </w:r>
          </w:p>
        </w:tc>
        <w:tc>
          <w:tcPr>
            <w:tcW w:w="991" w:type="dxa"/>
            <w:tcBorders>
              <w:top w:val="single" w:sz="6" w:space="0" w:color="000000"/>
              <w:left w:val="single" w:sz="6" w:space="0" w:color="000000"/>
              <w:bottom w:val="thickThinMediumGap" w:sz="3" w:space="0" w:color="000000"/>
              <w:right w:val="single" w:sz="6" w:space="0" w:color="000000"/>
            </w:tcBorders>
          </w:tcPr>
          <w:p>
            <w:pPr>
              <w:pStyle w:val="TableParagraph"/>
              <w:spacing w:before="13"/>
              <w:jc w:val="center"/>
              <w:rPr>
                <w:sz w:val="18"/>
              </w:rPr>
            </w:pPr>
            <w:r>
              <w:rPr>
                <w:sz w:val="18"/>
              </w:rPr>
              <w:t>B</w:t>
            </w:r>
          </w:p>
        </w:tc>
        <w:tc>
          <w:tcPr>
            <w:tcW w:w="1560" w:type="dxa"/>
            <w:tcBorders>
              <w:top w:val="single" w:sz="6" w:space="0" w:color="000000"/>
              <w:left w:val="single" w:sz="6" w:space="0" w:color="000000"/>
              <w:bottom w:val="thickThinMediumGap" w:sz="3" w:space="0" w:color="000000"/>
              <w:right w:val="single" w:sz="6" w:space="0" w:color="000000"/>
            </w:tcBorders>
          </w:tcPr>
          <w:p>
            <w:pPr>
              <w:pStyle w:val="TableParagraph"/>
              <w:spacing w:before="13"/>
              <w:ind w:left="260" w:right="253"/>
              <w:jc w:val="center"/>
              <w:rPr>
                <w:sz w:val="18"/>
              </w:rPr>
            </w:pPr>
            <w:r>
              <w:rPr>
                <w:sz w:val="18"/>
              </w:rPr>
              <w:t>8-bit UART</w:t>
            </w:r>
          </w:p>
        </w:tc>
        <w:tc>
          <w:tcPr>
            <w:tcW w:w="1560" w:type="dxa"/>
            <w:tcBorders>
              <w:top w:val="single" w:sz="6" w:space="0" w:color="000000"/>
              <w:left w:val="single" w:sz="6" w:space="0" w:color="000000"/>
              <w:bottom w:val="thickThinMediumGap" w:sz="3" w:space="0" w:color="000000"/>
            </w:tcBorders>
          </w:tcPr>
          <w:p>
            <w:pPr>
              <w:pStyle w:val="TableParagraph"/>
              <w:spacing w:before="13"/>
              <w:ind w:left="310" w:right="306"/>
              <w:jc w:val="center"/>
              <w:rPr>
                <w:sz w:val="18"/>
              </w:rPr>
            </w:pPr>
            <w:r>
              <w:rPr>
                <w:sz w:val="18"/>
              </w:rPr>
              <w:t>variable</w:t>
            </w:r>
          </w:p>
        </w:tc>
        <w:tc>
          <w:tcPr>
            <w:tcW w:w="1409" w:type="dxa"/>
            <w:vMerge/>
            <w:tcBorders>
              <w:top w:val="nil"/>
              <w:bottom w:val="single" w:sz="6" w:space="0" w:color="000000"/>
            </w:tcBorders>
          </w:tcPr>
          <w:p>
            <w:pPr>
              <w:rPr>
                <w:sz w:val="2"/>
                <w:szCs w:val="2"/>
              </w:rPr>
            </w:pPr>
          </w:p>
        </w:tc>
      </w:tr>
      <w:tr>
        <w:trPr>
          <w:trHeight w:val="235" w:hRule="atLeast"/>
        </w:trPr>
        <w:tc>
          <w:tcPr>
            <w:tcW w:w="1270" w:type="dxa"/>
            <w:tcBorders>
              <w:top w:val="single" w:sz="6" w:space="0" w:color="000000"/>
              <w:bottom w:val="single" w:sz="6" w:space="0" w:color="000000"/>
              <w:right w:val="single" w:sz="6" w:space="0" w:color="000000"/>
            </w:tcBorders>
          </w:tcPr>
          <w:p>
            <w:pPr>
              <w:pStyle w:val="TableParagraph"/>
              <w:spacing w:before="5"/>
              <w:ind w:left="69"/>
              <w:rPr>
                <w:rFonts w:ascii="Times New Roman"/>
                <w:i/>
                <w:sz w:val="18"/>
              </w:rPr>
            </w:pPr>
            <w:r>
              <w:rPr>
                <w:rFonts w:ascii="Times New Roman"/>
                <w:i/>
                <w:sz w:val="18"/>
              </w:rPr>
              <w:t>S1CON[5]</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5"/>
              <w:ind w:left="66"/>
              <w:rPr>
                <w:rFonts w:ascii="Times New Roman"/>
                <w:i/>
                <w:sz w:val="18"/>
              </w:rPr>
            </w:pPr>
            <w:r>
              <w:rPr>
                <w:rFonts w:ascii="Times New Roman"/>
                <w:i/>
                <w:sz w:val="18"/>
              </w:rPr>
              <w:t>SM21</w:t>
            </w:r>
          </w:p>
        </w:tc>
        <w:tc>
          <w:tcPr>
            <w:tcW w:w="6665" w:type="dxa"/>
            <w:gridSpan w:val="6"/>
            <w:tcBorders>
              <w:top w:val="nil"/>
              <w:left w:val="single" w:sz="6" w:space="0" w:color="000000"/>
              <w:bottom w:val="single" w:sz="6" w:space="0" w:color="000000"/>
            </w:tcBorders>
          </w:tcPr>
          <w:p>
            <w:pPr>
              <w:pStyle w:val="TableParagraph"/>
              <w:spacing w:before="7"/>
              <w:ind w:left="68"/>
              <w:rPr>
                <w:sz w:val="18"/>
              </w:rPr>
            </w:pPr>
            <w:r>
              <w:rPr>
                <w:sz w:val="18"/>
              </w:rPr>
              <w:t>Enables the inter-processor communication feature.</w:t>
            </w:r>
          </w:p>
        </w:tc>
      </w:tr>
      <w:tr>
        <w:trPr>
          <w:trHeight w:val="241" w:hRule="atLeast"/>
        </w:trPr>
        <w:tc>
          <w:tcPr>
            <w:tcW w:w="1270" w:type="dxa"/>
            <w:tcBorders>
              <w:top w:val="single" w:sz="6" w:space="0" w:color="000000"/>
              <w:bottom w:val="single" w:sz="6" w:space="0" w:color="000000"/>
              <w:right w:val="single" w:sz="6" w:space="0" w:color="000000"/>
            </w:tcBorders>
          </w:tcPr>
          <w:p>
            <w:pPr>
              <w:pStyle w:val="TableParagraph"/>
              <w:spacing w:before="11"/>
              <w:ind w:left="69"/>
              <w:rPr>
                <w:rFonts w:ascii="Times New Roman"/>
                <w:i/>
                <w:sz w:val="18"/>
              </w:rPr>
            </w:pPr>
            <w:r>
              <w:rPr>
                <w:rFonts w:ascii="Times New Roman"/>
                <w:i/>
                <w:sz w:val="18"/>
              </w:rPr>
              <w:t>S1CON[4]</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11"/>
              <w:ind w:left="66"/>
              <w:rPr>
                <w:rFonts w:ascii="Times New Roman"/>
                <w:i/>
                <w:sz w:val="18"/>
              </w:rPr>
            </w:pPr>
            <w:r>
              <w:rPr>
                <w:rFonts w:ascii="Times New Roman"/>
                <w:i/>
                <w:sz w:val="18"/>
              </w:rPr>
              <w:t>REN1</w:t>
            </w:r>
          </w:p>
        </w:tc>
        <w:tc>
          <w:tcPr>
            <w:tcW w:w="6665" w:type="dxa"/>
            <w:gridSpan w:val="6"/>
            <w:tcBorders>
              <w:top w:val="single" w:sz="6" w:space="0" w:color="000000"/>
              <w:left w:val="single" w:sz="6" w:space="0" w:color="000000"/>
              <w:bottom w:val="single" w:sz="6" w:space="0" w:color="000000"/>
            </w:tcBorders>
          </w:tcPr>
          <w:p>
            <w:pPr>
              <w:pStyle w:val="TableParagraph"/>
              <w:spacing w:before="13"/>
              <w:ind w:left="68"/>
              <w:rPr>
                <w:sz w:val="18"/>
              </w:rPr>
            </w:pPr>
            <w:r>
              <w:rPr>
                <w:sz w:val="18"/>
              </w:rPr>
              <w:t>If set, enables serial reception. Cleared by software to disable reception.</w:t>
            </w:r>
          </w:p>
        </w:tc>
      </w:tr>
      <w:tr>
        <w:trPr>
          <w:trHeight w:val="441" w:hRule="atLeast"/>
        </w:trPr>
        <w:tc>
          <w:tcPr>
            <w:tcW w:w="1270" w:type="dxa"/>
            <w:tcBorders>
              <w:top w:val="single" w:sz="6" w:space="0" w:color="000000"/>
              <w:bottom w:val="single" w:sz="6" w:space="0" w:color="000000"/>
              <w:right w:val="single" w:sz="6" w:space="0" w:color="000000"/>
            </w:tcBorders>
          </w:tcPr>
          <w:p>
            <w:pPr>
              <w:pStyle w:val="TableParagraph"/>
              <w:spacing w:before="11"/>
              <w:ind w:left="69"/>
              <w:rPr>
                <w:rFonts w:ascii="Times New Roman"/>
                <w:i/>
                <w:sz w:val="18"/>
              </w:rPr>
            </w:pPr>
            <w:r>
              <w:rPr>
                <w:rFonts w:ascii="Times New Roman"/>
                <w:i/>
                <w:sz w:val="18"/>
              </w:rPr>
              <w:t>S1CON[3]</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11"/>
              <w:ind w:left="66"/>
              <w:rPr>
                <w:rFonts w:ascii="Times New Roman"/>
                <w:i/>
                <w:sz w:val="18"/>
              </w:rPr>
            </w:pPr>
            <w:r>
              <w:rPr>
                <w:rFonts w:ascii="Times New Roman"/>
                <w:i/>
                <w:sz w:val="18"/>
              </w:rPr>
              <w:t>TB81</w:t>
            </w:r>
          </w:p>
        </w:tc>
        <w:tc>
          <w:tcPr>
            <w:tcW w:w="6665" w:type="dxa"/>
            <w:gridSpan w:val="6"/>
            <w:tcBorders>
              <w:top w:val="single" w:sz="6" w:space="0" w:color="000000"/>
              <w:left w:val="single" w:sz="6" w:space="0" w:color="000000"/>
              <w:bottom w:val="single" w:sz="6" w:space="0" w:color="000000"/>
            </w:tcBorders>
          </w:tcPr>
          <w:p>
            <w:pPr>
              <w:pStyle w:val="TableParagraph"/>
              <w:spacing w:line="230" w:lineRule="auto" w:before="20"/>
              <w:ind w:left="68" w:right="275"/>
              <w:rPr>
                <w:sz w:val="18"/>
              </w:rPr>
            </w:pPr>
            <w:r>
              <w:rPr>
                <w:sz w:val="18"/>
              </w:rPr>
              <w:t>The 9</w:t>
            </w:r>
            <w:r>
              <w:rPr>
                <w:sz w:val="18"/>
                <w:vertAlign w:val="superscript"/>
              </w:rPr>
              <w:t>th</w:t>
            </w:r>
            <w:r>
              <w:rPr>
                <w:sz w:val="18"/>
                <w:vertAlign w:val="baseline"/>
              </w:rPr>
              <w:t> transmitted data bit in Mode A. Set or cleared by the MPU, depending on the function it performs (parity check, multiprocessor communication etc.)</w:t>
            </w:r>
          </w:p>
        </w:tc>
      </w:tr>
      <w:tr>
        <w:trPr>
          <w:trHeight w:val="443" w:hRule="atLeast"/>
        </w:trPr>
        <w:tc>
          <w:tcPr>
            <w:tcW w:w="1270" w:type="dxa"/>
            <w:tcBorders>
              <w:top w:val="single" w:sz="6" w:space="0" w:color="000000"/>
              <w:bottom w:val="single" w:sz="6" w:space="0" w:color="000000"/>
              <w:right w:val="single" w:sz="6" w:space="0" w:color="000000"/>
            </w:tcBorders>
          </w:tcPr>
          <w:p>
            <w:pPr>
              <w:pStyle w:val="TableParagraph"/>
              <w:spacing w:before="11"/>
              <w:ind w:left="69"/>
              <w:rPr>
                <w:rFonts w:ascii="Times New Roman"/>
                <w:i/>
                <w:sz w:val="18"/>
              </w:rPr>
            </w:pPr>
            <w:r>
              <w:rPr>
                <w:rFonts w:ascii="Times New Roman"/>
                <w:i/>
                <w:sz w:val="18"/>
              </w:rPr>
              <w:t>S1CON[2]</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11"/>
              <w:ind w:left="66"/>
              <w:rPr>
                <w:rFonts w:ascii="Times New Roman"/>
                <w:i/>
                <w:sz w:val="18"/>
              </w:rPr>
            </w:pPr>
            <w:r>
              <w:rPr>
                <w:rFonts w:ascii="Times New Roman"/>
                <w:i/>
                <w:sz w:val="18"/>
              </w:rPr>
              <w:t>RB81</w:t>
            </w:r>
          </w:p>
        </w:tc>
        <w:tc>
          <w:tcPr>
            <w:tcW w:w="6665" w:type="dxa"/>
            <w:gridSpan w:val="6"/>
            <w:tcBorders>
              <w:top w:val="single" w:sz="6" w:space="0" w:color="000000"/>
              <w:left w:val="single" w:sz="6" w:space="0" w:color="000000"/>
              <w:bottom w:val="single" w:sz="6" w:space="0" w:color="000000"/>
            </w:tcBorders>
          </w:tcPr>
          <w:p>
            <w:pPr>
              <w:pStyle w:val="TableParagraph"/>
              <w:spacing w:line="232" w:lineRule="auto" w:before="18"/>
              <w:ind w:left="68" w:right="261"/>
              <w:rPr>
                <w:sz w:val="18"/>
              </w:rPr>
            </w:pPr>
            <w:r>
              <w:rPr>
                <w:sz w:val="18"/>
              </w:rPr>
              <w:t>In Modes A and B, it is the 9</w:t>
            </w:r>
            <w:r>
              <w:rPr>
                <w:sz w:val="18"/>
                <w:vertAlign w:val="superscript"/>
              </w:rPr>
              <w:t>th</w:t>
            </w:r>
            <w:r>
              <w:rPr>
                <w:sz w:val="18"/>
                <w:vertAlign w:val="baseline"/>
              </w:rPr>
              <w:t> data bit received. In Mode B, if </w:t>
            </w:r>
            <w:r>
              <w:rPr>
                <w:rFonts w:ascii="Times New Roman"/>
                <w:i/>
                <w:sz w:val="18"/>
                <w:vertAlign w:val="baseline"/>
              </w:rPr>
              <w:t>SM21 </w:t>
            </w:r>
            <w:r>
              <w:rPr>
                <w:sz w:val="18"/>
                <w:vertAlign w:val="baseline"/>
              </w:rPr>
              <w:t>is 0, </w:t>
            </w:r>
            <w:r>
              <w:rPr>
                <w:rFonts w:ascii="Times New Roman"/>
                <w:i/>
                <w:sz w:val="18"/>
                <w:vertAlign w:val="baseline"/>
              </w:rPr>
              <w:t>RB81 </w:t>
            </w:r>
            <w:r>
              <w:rPr>
                <w:sz w:val="18"/>
                <w:vertAlign w:val="baseline"/>
              </w:rPr>
              <w:t>is the stop bit. Must be cleared by software</w:t>
            </w:r>
          </w:p>
        </w:tc>
      </w:tr>
      <w:tr>
        <w:trPr>
          <w:trHeight w:val="440" w:hRule="atLeast"/>
        </w:trPr>
        <w:tc>
          <w:tcPr>
            <w:tcW w:w="1270" w:type="dxa"/>
            <w:tcBorders>
              <w:top w:val="single" w:sz="6" w:space="0" w:color="000000"/>
              <w:bottom w:val="single" w:sz="6" w:space="0" w:color="000000"/>
              <w:right w:val="single" w:sz="6" w:space="0" w:color="000000"/>
            </w:tcBorders>
          </w:tcPr>
          <w:p>
            <w:pPr>
              <w:pStyle w:val="TableParagraph"/>
              <w:spacing w:before="11"/>
              <w:ind w:left="69"/>
              <w:rPr>
                <w:rFonts w:ascii="Times New Roman"/>
                <w:i/>
                <w:sz w:val="18"/>
              </w:rPr>
            </w:pPr>
            <w:r>
              <w:rPr>
                <w:rFonts w:ascii="Times New Roman"/>
                <w:i/>
                <w:sz w:val="18"/>
              </w:rPr>
              <w:t>S1CON[1]</w:t>
            </w:r>
          </w:p>
        </w:tc>
        <w:tc>
          <w:tcPr>
            <w:tcW w:w="1426" w:type="dxa"/>
            <w:tcBorders>
              <w:top w:val="single" w:sz="6" w:space="0" w:color="000000"/>
              <w:left w:val="single" w:sz="6" w:space="0" w:color="000000"/>
              <w:bottom w:val="single" w:sz="6" w:space="0" w:color="000000"/>
              <w:right w:val="single" w:sz="6" w:space="0" w:color="000000"/>
            </w:tcBorders>
          </w:tcPr>
          <w:p>
            <w:pPr>
              <w:pStyle w:val="TableParagraph"/>
              <w:spacing w:before="11"/>
              <w:ind w:left="66"/>
              <w:rPr>
                <w:rFonts w:ascii="Times New Roman"/>
                <w:i/>
                <w:sz w:val="18"/>
              </w:rPr>
            </w:pPr>
            <w:r>
              <w:rPr>
                <w:rFonts w:ascii="Times New Roman"/>
                <w:i/>
                <w:sz w:val="18"/>
              </w:rPr>
              <w:t>TI1</w:t>
            </w:r>
          </w:p>
        </w:tc>
        <w:tc>
          <w:tcPr>
            <w:tcW w:w="6665" w:type="dxa"/>
            <w:gridSpan w:val="6"/>
            <w:tcBorders>
              <w:top w:val="single" w:sz="6" w:space="0" w:color="000000"/>
              <w:left w:val="single" w:sz="6" w:space="0" w:color="000000"/>
              <w:bottom w:val="single" w:sz="6" w:space="0" w:color="000000"/>
            </w:tcBorders>
          </w:tcPr>
          <w:p>
            <w:pPr>
              <w:pStyle w:val="TableParagraph"/>
              <w:spacing w:line="230" w:lineRule="auto" w:before="20"/>
              <w:ind w:left="68" w:right="226"/>
              <w:rPr>
                <w:sz w:val="18"/>
              </w:rPr>
            </w:pPr>
            <w:r>
              <w:rPr>
                <w:spacing w:val="-3"/>
                <w:sz w:val="18"/>
              </w:rPr>
              <w:t>Transmit interrupt </w:t>
            </w:r>
            <w:r>
              <w:rPr>
                <w:sz w:val="18"/>
              </w:rPr>
              <w:t>flag, set by </w:t>
            </w:r>
            <w:r>
              <w:rPr>
                <w:spacing w:val="-3"/>
                <w:sz w:val="18"/>
              </w:rPr>
              <w:t>hardware </w:t>
            </w:r>
            <w:r>
              <w:rPr>
                <w:sz w:val="18"/>
              </w:rPr>
              <w:t>after completion of a </w:t>
            </w:r>
            <w:r>
              <w:rPr>
                <w:spacing w:val="-3"/>
                <w:sz w:val="18"/>
              </w:rPr>
              <w:t>serial </w:t>
            </w:r>
            <w:r>
              <w:rPr>
                <w:sz w:val="18"/>
              </w:rPr>
              <w:t>transfer. Must be cleared by software (see Caution above).</w:t>
            </w:r>
          </w:p>
        </w:tc>
      </w:tr>
      <w:tr>
        <w:trPr>
          <w:trHeight w:val="443" w:hRule="atLeast"/>
        </w:trPr>
        <w:tc>
          <w:tcPr>
            <w:tcW w:w="1270" w:type="dxa"/>
            <w:tcBorders>
              <w:top w:val="single" w:sz="6" w:space="0" w:color="000000"/>
              <w:right w:val="single" w:sz="6" w:space="0" w:color="000000"/>
            </w:tcBorders>
          </w:tcPr>
          <w:p>
            <w:pPr>
              <w:pStyle w:val="TableParagraph"/>
              <w:spacing w:before="11"/>
              <w:ind w:left="69"/>
              <w:rPr>
                <w:rFonts w:ascii="Times New Roman"/>
                <w:i/>
                <w:sz w:val="18"/>
              </w:rPr>
            </w:pPr>
            <w:r>
              <w:rPr>
                <w:rFonts w:ascii="Times New Roman"/>
                <w:i/>
                <w:sz w:val="18"/>
              </w:rPr>
              <w:t>S1CON[0]</w:t>
            </w:r>
          </w:p>
        </w:tc>
        <w:tc>
          <w:tcPr>
            <w:tcW w:w="1426" w:type="dxa"/>
            <w:tcBorders>
              <w:top w:val="single" w:sz="6" w:space="0" w:color="000000"/>
              <w:left w:val="single" w:sz="6" w:space="0" w:color="000000"/>
              <w:right w:val="single" w:sz="6" w:space="0" w:color="000000"/>
            </w:tcBorders>
          </w:tcPr>
          <w:p>
            <w:pPr>
              <w:pStyle w:val="TableParagraph"/>
              <w:spacing w:before="11"/>
              <w:ind w:left="66"/>
              <w:rPr>
                <w:rFonts w:ascii="Times New Roman"/>
                <w:i/>
                <w:sz w:val="18"/>
              </w:rPr>
            </w:pPr>
            <w:r>
              <w:rPr>
                <w:rFonts w:ascii="Times New Roman"/>
                <w:i/>
                <w:sz w:val="18"/>
              </w:rPr>
              <w:t>RI1</w:t>
            </w:r>
          </w:p>
        </w:tc>
        <w:tc>
          <w:tcPr>
            <w:tcW w:w="6665" w:type="dxa"/>
            <w:gridSpan w:val="6"/>
            <w:tcBorders>
              <w:top w:val="single" w:sz="6" w:space="0" w:color="000000"/>
              <w:left w:val="single" w:sz="6" w:space="0" w:color="000000"/>
            </w:tcBorders>
          </w:tcPr>
          <w:p>
            <w:pPr>
              <w:pStyle w:val="TableParagraph"/>
              <w:spacing w:line="232" w:lineRule="auto" w:before="18"/>
              <w:ind w:left="68" w:right="275"/>
              <w:rPr>
                <w:sz w:val="18"/>
              </w:rPr>
            </w:pPr>
            <w:r>
              <w:rPr>
                <w:spacing w:val="-3"/>
                <w:sz w:val="18"/>
              </w:rPr>
              <w:t>Receive interrupt flag, </w:t>
            </w:r>
            <w:r>
              <w:rPr>
                <w:spacing w:val="-2"/>
                <w:sz w:val="18"/>
              </w:rPr>
              <w:t>set </w:t>
            </w:r>
            <w:r>
              <w:rPr>
                <w:sz w:val="18"/>
              </w:rPr>
              <w:t>by </w:t>
            </w:r>
            <w:r>
              <w:rPr>
                <w:spacing w:val="-3"/>
                <w:sz w:val="18"/>
              </w:rPr>
              <w:t>hardware after </w:t>
            </w:r>
            <w:r>
              <w:rPr>
                <w:spacing w:val="-4"/>
                <w:sz w:val="18"/>
              </w:rPr>
              <w:t>completion </w:t>
            </w:r>
            <w:r>
              <w:rPr>
                <w:sz w:val="18"/>
              </w:rPr>
              <w:t>of a </w:t>
            </w:r>
            <w:r>
              <w:rPr>
                <w:spacing w:val="-3"/>
                <w:sz w:val="18"/>
              </w:rPr>
              <w:t>serial </w:t>
            </w:r>
            <w:r>
              <w:rPr>
                <w:spacing w:val="-4"/>
                <w:sz w:val="18"/>
              </w:rPr>
              <w:t>reception. </w:t>
            </w:r>
            <w:r>
              <w:rPr>
                <w:sz w:val="18"/>
              </w:rPr>
              <w:t>Must be cleared by software (see Caution above).</w:t>
            </w:r>
          </w:p>
        </w:tc>
      </w:tr>
    </w:tbl>
    <w:p>
      <w:pPr>
        <w:spacing w:after="0" w:line="232" w:lineRule="auto"/>
        <w:rPr>
          <w:sz w:val="18"/>
        </w:rPr>
        <w:sectPr>
          <w:pgSz w:w="12240" w:h="15840"/>
          <w:pgMar w:header="727" w:footer="819" w:top="960" w:bottom="1000" w:left="820" w:right="860"/>
        </w:sectPr>
      </w:pPr>
    </w:p>
    <w:p>
      <w:pPr>
        <w:pStyle w:val="BodyText"/>
        <w:spacing w:before="8"/>
        <w:rPr>
          <w:b/>
          <w:sz w:val="16"/>
        </w:rPr>
      </w:pPr>
    </w:p>
    <w:p>
      <w:pPr>
        <w:spacing w:before="93"/>
        <w:ind w:left="1320" w:right="1278" w:firstLine="0"/>
        <w:jc w:val="center"/>
        <w:rPr>
          <w:b/>
          <w:sz w:val="18"/>
        </w:rPr>
      </w:pPr>
      <w:bookmarkStart w:name="_bookmark71" w:id="145"/>
      <w:bookmarkEnd w:id="145"/>
      <w:r>
        <w:rPr/>
      </w:r>
      <w:bookmarkStart w:name="_bookmark67" w:id="146"/>
      <w:bookmarkEnd w:id="146"/>
      <w:r>
        <w:rPr/>
      </w:r>
      <w:r>
        <w:rPr>
          <w:b/>
          <w:sz w:val="20"/>
        </w:rPr>
        <w:t>Table 20: </w:t>
      </w:r>
      <w:r>
        <w:rPr>
          <w:b/>
          <w:i/>
          <w:sz w:val="18"/>
        </w:rPr>
        <w:t>PCON </w:t>
      </w:r>
      <w:r>
        <w:rPr>
          <w:b/>
          <w:sz w:val="18"/>
        </w:rPr>
        <w:t>Register Bit Description (</w:t>
      </w:r>
      <w:r>
        <w:rPr>
          <w:rFonts w:ascii="Times New Roman"/>
          <w:b/>
          <w:i/>
          <w:sz w:val="20"/>
        </w:rPr>
        <w:t>SFR 0x87</w:t>
      </w:r>
      <w:r>
        <w:rPr>
          <w:b/>
          <w:sz w:val="18"/>
        </w:rPr>
        <w:t>)</w:t>
      </w:r>
    </w:p>
    <w:p>
      <w:pPr>
        <w:pStyle w:val="BodyText"/>
        <w:spacing w:before="5"/>
        <w:rPr>
          <w:b/>
          <w:sz w:val="5"/>
        </w:rPr>
      </w:pPr>
    </w:p>
    <w:tbl>
      <w:tblPr>
        <w:tblW w:w="0" w:type="auto"/>
        <w:jc w:val="left"/>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0"/>
        <w:gridCol w:w="1426"/>
        <w:gridCol w:w="6665"/>
      </w:tblGrid>
      <w:tr>
        <w:trPr>
          <w:trHeight w:val="287" w:hRule="atLeast"/>
        </w:trPr>
        <w:tc>
          <w:tcPr>
            <w:tcW w:w="1270" w:type="dxa"/>
            <w:tcBorders>
              <w:bottom w:val="single" w:sz="6" w:space="0" w:color="000000"/>
              <w:right w:val="single" w:sz="6" w:space="0" w:color="000000"/>
            </w:tcBorders>
          </w:tcPr>
          <w:p>
            <w:pPr>
              <w:pStyle w:val="TableParagraph"/>
              <w:spacing w:before="32"/>
              <w:ind w:right="502"/>
              <w:jc w:val="right"/>
              <w:rPr>
                <w:b/>
                <w:sz w:val="18"/>
              </w:rPr>
            </w:pPr>
            <w:r>
              <w:rPr>
                <w:b/>
                <w:sz w:val="18"/>
              </w:rPr>
              <w:t>Bit</w:t>
            </w:r>
          </w:p>
        </w:tc>
        <w:tc>
          <w:tcPr>
            <w:tcW w:w="1426" w:type="dxa"/>
            <w:tcBorders>
              <w:left w:val="single" w:sz="6" w:space="0" w:color="000000"/>
              <w:bottom w:val="single" w:sz="6" w:space="0" w:color="000000"/>
              <w:right w:val="single" w:sz="6" w:space="0" w:color="000000"/>
            </w:tcBorders>
          </w:tcPr>
          <w:p>
            <w:pPr>
              <w:pStyle w:val="TableParagraph"/>
              <w:spacing w:before="32"/>
              <w:ind w:left="383"/>
              <w:rPr>
                <w:b/>
                <w:sz w:val="18"/>
              </w:rPr>
            </w:pPr>
            <w:r>
              <w:rPr>
                <w:b/>
                <w:sz w:val="18"/>
              </w:rPr>
              <w:t>Symbol</w:t>
            </w:r>
          </w:p>
        </w:tc>
        <w:tc>
          <w:tcPr>
            <w:tcW w:w="6665" w:type="dxa"/>
            <w:tcBorders>
              <w:left w:val="single" w:sz="6" w:space="0" w:color="000000"/>
              <w:bottom w:val="single" w:sz="6" w:space="0" w:color="000000"/>
            </w:tcBorders>
          </w:tcPr>
          <w:p>
            <w:pPr>
              <w:pStyle w:val="TableParagraph"/>
              <w:spacing w:before="32"/>
              <w:ind w:right="2939"/>
              <w:jc w:val="right"/>
              <w:rPr>
                <w:b/>
                <w:sz w:val="18"/>
              </w:rPr>
            </w:pPr>
            <w:r>
              <w:rPr>
                <w:b/>
                <w:sz w:val="18"/>
              </w:rPr>
              <w:t>Function</w:t>
            </w:r>
          </w:p>
        </w:tc>
      </w:tr>
      <w:tr>
        <w:trPr>
          <w:trHeight w:val="249" w:hRule="atLeast"/>
        </w:trPr>
        <w:tc>
          <w:tcPr>
            <w:tcW w:w="1270" w:type="dxa"/>
            <w:tcBorders>
              <w:top w:val="single" w:sz="6" w:space="0" w:color="000000"/>
              <w:right w:val="single" w:sz="6" w:space="0" w:color="000000"/>
            </w:tcBorders>
          </w:tcPr>
          <w:p>
            <w:pPr>
              <w:pStyle w:val="TableParagraph"/>
              <w:spacing w:before="14"/>
              <w:ind w:right="480"/>
              <w:jc w:val="right"/>
              <w:rPr>
                <w:rFonts w:ascii="Times New Roman"/>
                <w:i/>
                <w:sz w:val="18"/>
              </w:rPr>
            </w:pPr>
            <w:r>
              <w:rPr>
                <w:rFonts w:ascii="Times New Roman"/>
                <w:i/>
                <w:sz w:val="18"/>
              </w:rPr>
              <w:t>PCON[7]</w:t>
            </w:r>
          </w:p>
        </w:tc>
        <w:tc>
          <w:tcPr>
            <w:tcW w:w="1426" w:type="dxa"/>
            <w:tcBorders>
              <w:top w:val="single" w:sz="6" w:space="0" w:color="000000"/>
              <w:left w:val="single" w:sz="6" w:space="0" w:color="000000"/>
              <w:right w:val="single" w:sz="6" w:space="0" w:color="000000"/>
            </w:tcBorders>
          </w:tcPr>
          <w:p>
            <w:pPr>
              <w:pStyle w:val="TableParagraph"/>
              <w:spacing w:before="14"/>
              <w:ind w:left="66"/>
              <w:rPr>
                <w:rFonts w:ascii="Times New Roman"/>
                <w:i/>
                <w:sz w:val="18"/>
              </w:rPr>
            </w:pPr>
            <w:r>
              <w:rPr>
                <w:rFonts w:ascii="Times New Roman"/>
                <w:i/>
                <w:sz w:val="18"/>
              </w:rPr>
              <w:t>SMOD</w:t>
            </w:r>
          </w:p>
        </w:tc>
        <w:tc>
          <w:tcPr>
            <w:tcW w:w="6665" w:type="dxa"/>
            <w:tcBorders>
              <w:top w:val="single" w:sz="6" w:space="0" w:color="000000"/>
              <w:left w:val="single" w:sz="6" w:space="0" w:color="000000"/>
            </w:tcBorders>
          </w:tcPr>
          <w:p>
            <w:pPr>
              <w:pStyle w:val="TableParagraph"/>
              <w:spacing w:before="15"/>
              <w:ind w:right="2916"/>
              <w:jc w:val="right"/>
              <w:rPr>
                <w:sz w:val="18"/>
              </w:rPr>
            </w:pPr>
            <w:r>
              <w:rPr>
                <w:sz w:val="18"/>
              </w:rPr>
              <w:t>The </w:t>
            </w:r>
            <w:r>
              <w:rPr>
                <w:rFonts w:ascii="Times New Roman"/>
                <w:i/>
                <w:sz w:val="18"/>
              </w:rPr>
              <w:t>SMOD </w:t>
            </w:r>
            <w:r>
              <w:rPr>
                <w:sz w:val="18"/>
              </w:rPr>
              <w:t>bit doubles the baud rate when set</w:t>
            </w:r>
          </w:p>
        </w:tc>
      </w:tr>
    </w:tbl>
    <w:p>
      <w:pPr>
        <w:pStyle w:val="BodyText"/>
        <w:spacing w:before="9"/>
        <w:rPr>
          <w:b/>
          <w:sz w:val="29"/>
        </w:rPr>
      </w:pPr>
    </w:p>
    <w:p>
      <w:pPr>
        <w:pStyle w:val="ListParagraph"/>
        <w:numPr>
          <w:ilvl w:val="2"/>
          <w:numId w:val="7"/>
        </w:numPr>
        <w:tabs>
          <w:tab w:pos="1340" w:val="left" w:leader="none"/>
        </w:tabs>
        <w:spacing w:line="240" w:lineRule="auto" w:before="1" w:after="0"/>
        <w:ind w:left="1339" w:right="0" w:hanging="720"/>
        <w:jc w:val="both"/>
        <w:rPr>
          <w:b/>
          <w:sz w:val="22"/>
        </w:rPr>
      </w:pPr>
      <w:bookmarkStart w:name="2.4.6 Timers and Counters" w:id="147"/>
      <w:bookmarkEnd w:id="147"/>
      <w:r>
        <w:rPr/>
      </w:r>
      <w:bookmarkStart w:name="_bookmark68" w:id="148"/>
      <w:bookmarkEnd w:id="148"/>
      <w:r>
        <w:rPr/>
      </w:r>
      <w:bookmarkStart w:name="_bookmark68" w:id="149"/>
      <w:bookmarkEnd w:id="149"/>
      <w:r>
        <w:rPr>
          <w:b/>
          <w:sz w:val="22"/>
        </w:rPr>
        <w:t>T</w:t>
      </w:r>
      <w:r>
        <w:rPr>
          <w:b/>
          <w:sz w:val="22"/>
        </w:rPr>
        <w:t>imers and</w:t>
      </w:r>
      <w:r>
        <w:rPr>
          <w:b/>
          <w:spacing w:val="-1"/>
          <w:sz w:val="22"/>
        </w:rPr>
        <w:t> </w:t>
      </w:r>
      <w:r>
        <w:rPr>
          <w:b/>
          <w:sz w:val="22"/>
        </w:rPr>
        <w:t>Counters</w:t>
      </w:r>
    </w:p>
    <w:p>
      <w:pPr>
        <w:pStyle w:val="BodyText"/>
        <w:spacing w:before="123"/>
        <w:ind w:left="620" w:right="742"/>
      </w:pPr>
      <w:r>
        <w:rPr/>
        <w:t>The</w:t>
      </w:r>
      <w:r>
        <w:rPr>
          <w:spacing w:val="-15"/>
        </w:rPr>
        <w:t> </w:t>
      </w:r>
      <w:r>
        <w:rPr/>
        <w:t>80515</w:t>
      </w:r>
      <w:r>
        <w:rPr>
          <w:spacing w:val="-13"/>
        </w:rPr>
        <w:t> </w:t>
      </w:r>
      <w:r>
        <w:rPr/>
        <w:t>has</w:t>
      </w:r>
      <w:r>
        <w:rPr>
          <w:spacing w:val="-12"/>
        </w:rPr>
        <w:t> </w:t>
      </w:r>
      <w:r>
        <w:rPr/>
        <w:t>two</w:t>
      </w:r>
      <w:r>
        <w:rPr>
          <w:spacing w:val="-13"/>
        </w:rPr>
        <w:t> </w:t>
      </w:r>
      <w:r>
        <w:rPr>
          <w:spacing w:val="-3"/>
        </w:rPr>
        <w:t>16-bit</w:t>
      </w:r>
      <w:r>
        <w:rPr>
          <w:spacing w:val="-12"/>
        </w:rPr>
        <w:t> </w:t>
      </w:r>
      <w:r>
        <w:rPr/>
        <w:t>timer/counter</w:t>
      </w:r>
      <w:r>
        <w:rPr>
          <w:spacing w:val="-15"/>
        </w:rPr>
        <w:t> </w:t>
      </w:r>
      <w:r>
        <w:rPr/>
        <w:t>registers:</w:t>
      </w:r>
      <w:r>
        <w:rPr>
          <w:spacing w:val="-15"/>
        </w:rPr>
        <w:t> </w:t>
      </w:r>
      <w:r>
        <w:rPr/>
        <w:t>Timer</w:t>
      </w:r>
      <w:r>
        <w:rPr>
          <w:spacing w:val="-14"/>
        </w:rPr>
        <w:t> </w:t>
      </w:r>
      <w:r>
        <w:rPr/>
        <w:t>0</w:t>
      </w:r>
      <w:r>
        <w:rPr>
          <w:spacing w:val="-13"/>
        </w:rPr>
        <w:t> </w:t>
      </w:r>
      <w:r>
        <w:rPr/>
        <w:t>and</w:t>
      </w:r>
      <w:r>
        <w:rPr>
          <w:spacing w:val="-15"/>
        </w:rPr>
        <w:t> </w:t>
      </w:r>
      <w:r>
        <w:rPr/>
        <w:t>Timer</w:t>
      </w:r>
      <w:r>
        <w:rPr>
          <w:spacing w:val="-14"/>
        </w:rPr>
        <w:t> </w:t>
      </w:r>
      <w:r>
        <w:rPr/>
        <w:t>1.</w:t>
      </w:r>
      <w:r>
        <w:rPr>
          <w:spacing w:val="-14"/>
        </w:rPr>
        <w:t> </w:t>
      </w:r>
      <w:r>
        <w:rPr/>
        <w:t>These</w:t>
      </w:r>
      <w:r>
        <w:rPr>
          <w:spacing w:val="-14"/>
        </w:rPr>
        <w:t> </w:t>
      </w:r>
      <w:r>
        <w:rPr/>
        <w:t>registers</w:t>
      </w:r>
      <w:r>
        <w:rPr>
          <w:spacing w:val="-14"/>
        </w:rPr>
        <w:t> </w:t>
      </w:r>
      <w:r>
        <w:rPr/>
        <w:t>can</w:t>
      </w:r>
      <w:r>
        <w:rPr>
          <w:spacing w:val="-13"/>
        </w:rPr>
        <w:t> </w:t>
      </w:r>
      <w:r>
        <w:rPr/>
        <w:t>be</w:t>
      </w:r>
      <w:r>
        <w:rPr>
          <w:spacing w:val="-15"/>
        </w:rPr>
        <w:t> </w:t>
      </w:r>
      <w:r>
        <w:rPr/>
        <w:t>configured for counter or timer</w:t>
      </w:r>
      <w:r>
        <w:rPr>
          <w:spacing w:val="-1"/>
        </w:rPr>
        <w:t> </w:t>
      </w:r>
      <w:r>
        <w:rPr/>
        <w:t>operations.</w:t>
      </w:r>
    </w:p>
    <w:p>
      <w:pPr>
        <w:pStyle w:val="BodyText"/>
        <w:spacing w:before="118"/>
        <w:ind w:left="619" w:right="559"/>
      </w:pPr>
      <w:r>
        <w:rPr/>
        <w:t>In</w:t>
      </w:r>
      <w:r>
        <w:rPr>
          <w:spacing w:val="-11"/>
        </w:rPr>
        <w:t> </w:t>
      </w:r>
      <w:r>
        <w:rPr/>
        <w:t>timer</w:t>
      </w:r>
      <w:r>
        <w:rPr>
          <w:spacing w:val="-11"/>
        </w:rPr>
        <w:t> </w:t>
      </w:r>
      <w:r>
        <w:rPr/>
        <w:t>mode,</w:t>
      </w:r>
      <w:r>
        <w:rPr>
          <w:spacing w:val="-10"/>
        </w:rPr>
        <w:t> </w:t>
      </w:r>
      <w:r>
        <w:rPr/>
        <w:t>the</w:t>
      </w:r>
      <w:r>
        <w:rPr>
          <w:spacing w:val="-10"/>
        </w:rPr>
        <w:t> </w:t>
      </w:r>
      <w:r>
        <w:rPr>
          <w:spacing w:val="-3"/>
        </w:rPr>
        <w:t>register</w:t>
      </w:r>
      <w:r>
        <w:rPr>
          <w:spacing w:val="-9"/>
        </w:rPr>
        <w:t> </w:t>
      </w:r>
      <w:r>
        <w:rPr/>
        <w:t>is</w:t>
      </w:r>
      <w:r>
        <w:rPr>
          <w:spacing w:val="-11"/>
        </w:rPr>
        <w:t> </w:t>
      </w:r>
      <w:r>
        <w:rPr>
          <w:spacing w:val="-3"/>
        </w:rPr>
        <w:t>incremented</w:t>
      </w:r>
      <w:r>
        <w:rPr>
          <w:spacing w:val="-11"/>
        </w:rPr>
        <w:t> </w:t>
      </w:r>
      <w:r>
        <w:rPr>
          <w:spacing w:val="-3"/>
        </w:rPr>
        <w:t>every</w:t>
      </w:r>
      <w:r>
        <w:rPr>
          <w:spacing w:val="-15"/>
        </w:rPr>
        <w:t> </w:t>
      </w:r>
      <w:r>
        <w:rPr/>
        <w:t>machine</w:t>
      </w:r>
      <w:r>
        <w:rPr>
          <w:spacing w:val="-12"/>
        </w:rPr>
        <w:t> </w:t>
      </w:r>
      <w:r>
        <w:rPr>
          <w:spacing w:val="-3"/>
        </w:rPr>
        <w:t>cycle,</w:t>
      </w:r>
      <w:r>
        <w:rPr>
          <w:spacing w:val="-10"/>
        </w:rPr>
        <w:t> </w:t>
      </w:r>
      <w:r>
        <w:rPr>
          <w:spacing w:val="-3"/>
        </w:rPr>
        <w:t>i.e.</w:t>
      </w:r>
      <w:r>
        <w:rPr>
          <w:spacing w:val="-11"/>
        </w:rPr>
        <w:t> </w:t>
      </w:r>
      <w:r>
        <w:rPr/>
        <w:t>it</w:t>
      </w:r>
      <w:r>
        <w:rPr>
          <w:spacing w:val="-10"/>
        </w:rPr>
        <w:t> </w:t>
      </w:r>
      <w:r>
        <w:rPr>
          <w:spacing w:val="-3"/>
        </w:rPr>
        <w:t>counts</w:t>
      </w:r>
      <w:r>
        <w:rPr>
          <w:spacing w:val="-8"/>
        </w:rPr>
        <w:t> </w:t>
      </w:r>
      <w:r>
        <w:rPr/>
        <w:t>up</w:t>
      </w:r>
      <w:r>
        <w:rPr>
          <w:spacing w:val="-10"/>
        </w:rPr>
        <w:t> </w:t>
      </w:r>
      <w:r>
        <w:rPr/>
        <w:t>once</w:t>
      </w:r>
      <w:r>
        <w:rPr>
          <w:spacing w:val="-13"/>
        </w:rPr>
        <w:t> </w:t>
      </w:r>
      <w:r>
        <w:rPr/>
        <w:t>for</w:t>
      </w:r>
      <w:r>
        <w:rPr>
          <w:spacing w:val="-11"/>
        </w:rPr>
        <w:t> </w:t>
      </w:r>
      <w:r>
        <w:rPr/>
        <w:t>every</w:t>
      </w:r>
      <w:r>
        <w:rPr>
          <w:spacing w:val="-16"/>
        </w:rPr>
        <w:t> </w:t>
      </w:r>
      <w:r>
        <w:rPr/>
        <w:t>12</w:t>
      </w:r>
      <w:r>
        <w:rPr>
          <w:spacing w:val="-10"/>
        </w:rPr>
        <w:t> </w:t>
      </w:r>
      <w:r>
        <w:rPr>
          <w:spacing w:val="-3"/>
        </w:rPr>
        <w:t>periods</w:t>
      </w:r>
      <w:r>
        <w:rPr>
          <w:spacing w:val="-8"/>
        </w:rPr>
        <w:t> </w:t>
      </w:r>
      <w:r>
        <w:rPr>
          <w:spacing w:val="-3"/>
        </w:rPr>
        <w:t>of </w:t>
      </w:r>
      <w:r>
        <w:rPr/>
        <w:t>the MPU clock. In counter mode, the register is incremented when the falling edge is observed at the corresponding</w:t>
      </w:r>
      <w:r>
        <w:rPr>
          <w:spacing w:val="-9"/>
        </w:rPr>
        <w:t> </w:t>
      </w:r>
      <w:r>
        <w:rPr>
          <w:spacing w:val="-3"/>
        </w:rPr>
        <w:t>input</w:t>
      </w:r>
      <w:r>
        <w:rPr>
          <w:spacing w:val="-9"/>
        </w:rPr>
        <w:t> </w:t>
      </w:r>
      <w:r>
        <w:rPr>
          <w:spacing w:val="-3"/>
        </w:rPr>
        <w:t>signal</w:t>
      </w:r>
      <w:r>
        <w:rPr>
          <w:spacing w:val="-10"/>
        </w:rPr>
        <w:t> </w:t>
      </w:r>
      <w:r>
        <w:rPr/>
        <w:t>T0</w:t>
      </w:r>
      <w:r>
        <w:rPr>
          <w:spacing w:val="-9"/>
        </w:rPr>
        <w:t> </w:t>
      </w:r>
      <w:r>
        <w:rPr/>
        <w:t>or</w:t>
      </w:r>
      <w:r>
        <w:rPr>
          <w:spacing w:val="-10"/>
        </w:rPr>
        <w:t> </w:t>
      </w:r>
      <w:r>
        <w:rPr/>
        <w:t>T1</w:t>
      </w:r>
      <w:r>
        <w:rPr>
          <w:spacing w:val="-9"/>
        </w:rPr>
        <w:t> </w:t>
      </w:r>
      <w:r>
        <w:rPr>
          <w:spacing w:val="-2"/>
        </w:rPr>
        <w:t>(T0</w:t>
      </w:r>
      <w:r>
        <w:rPr>
          <w:spacing w:val="-9"/>
        </w:rPr>
        <w:t> </w:t>
      </w:r>
      <w:r>
        <w:rPr/>
        <w:t>and</w:t>
      </w:r>
      <w:r>
        <w:rPr>
          <w:spacing w:val="-11"/>
        </w:rPr>
        <w:t> </w:t>
      </w:r>
      <w:r>
        <w:rPr/>
        <w:t>T1</w:t>
      </w:r>
      <w:r>
        <w:rPr>
          <w:spacing w:val="-9"/>
        </w:rPr>
        <w:t> </w:t>
      </w:r>
      <w:r>
        <w:rPr/>
        <w:t>are</w:t>
      </w:r>
      <w:r>
        <w:rPr>
          <w:spacing w:val="-9"/>
        </w:rPr>
        <w:t> </w:t>
      </w:r>
      <w:r>
        <w:rPr/>
        <w:t>the</w:t>
      </w:r>
      <w:r>
        <w:rPr>
          <w:spacing w:val="-9"/>
        </w:rPr>
        <w:t> </w:t>
      </w:r>
      <w:r>
        <w:rPr>
          <w:spacing w:val="-3"/>
        </w:rPr>
        <w:t>timer</w:t>
      </w:r>
      <w:r>
        <w:rPr>
          <w:spacing w:val="-8"/>
        </w:rPr>
        <w:t> </w:t>
      </w:r>
      <w:r>
        <w:rPr>
          <w:spacing w:val="-3"/>
        </w:rPr>
        <w:t>gating</w:t>
      </w:r>
      <w:r>
        <w:rPr>
          <w:spacing w:val="-9"/>
        </w:rPr>
        <w:t> </w:t>
      </w:r>
      <w:r>
        <w:rPr>
          <w:spacing w:val="-3"/>
        </w:rPr>
        <w:t>inputs</w:t>
      </w:r>
      <w:r>
        <w:rPr>
          <w:spacing w:val="-5"/>
        </w:rPr>
        <w:t> </w:t>
      </w:r>
      <w:r>
        <w:rPr>
          <w:spacing w:val="-3"/>
        </w:rPr>
        <w:t>derived</w:t>
      </w:r>
      <w:r>
        <w:rPr>
          <w:spacing w:val="-12"/>
        </w:rPr>
        <w:t> </w:t>
      </w:r>
      <w:r>
        <w:rPr>
          <w:spacing w:val="-3"/>
        </w:rPr>
        <w:t>from</w:t>
      </w:r>
      <w:r>
        <w:rPr>
          <w:spacing w:val="-9"/>
        </w:rPr>
        <w:t> </w:t>
      </w:r>
      <w:r>
        <w:rPr>
          <w:spacing w:val="-3"/>
        </w:rPr>
        <w:t>certain</w:t>
      </w:r>
      <w:r>
        <w:rPr>
          <w:spacing w:val="-9"/>
        </w:rPr>
        <w:t> </w:t>
      </w:r>
      <w:r>
        <w:rPr/>
        <w:t>DIO</w:t>
      </w:r>
      <w:r>
        <w:rPr>
          <w:spacing w:val="-8"/>
        </w:rPr>
        <w:t> </w:t>
      </w:r>
      <w:r>
        <w:rPr>
          <w:spacing w:val="-3"/>
        </w:rPr>
        <w:t>pins,</w:t>
      </w:r>
      <w:r>
        <w:rPr>
          <w:spacing w:val="-8"/>
        </w:rPr>
        <w:t> </w:t>
      </w:r>
      <w:r>
        <w:rPr>
          <w:spacing w:val="-3"/>
        </w:rPr>
        <w:t>see</w:t>
      </w:r>
    </w:p>
    <w:p>
      <w:pPr>
        <w:pStyle w:val="BodyText"/>
        <w:spacing w:before="2"/>
        <w:ind w:left="619" w:right="634"/>
        <w:jc w:val="both"/>
      </w:pPr>
      <w:hyperlink w:history="true" w:anchor="_bookmark117">
        <w:r>
          <w:rPr>
            <w:color w:val="0000FF"/>
            <w:spacing w:val="-3"/>
          </w:rPr>
          <w:t>2.5.10</w:t>
        </w:r>
        <w:r>
          <w:rPr>
            <w:color w:val="0000FF"/>
            <w:spacing w:val="-9"/>
          </w:rPr>
          <w:t> </w:t>
        </w:r>
      </w:hyperlink>
      <w:hyperlink w:history="true" w:anchor="_bookmark117">
        <w:r>
          <w:rPr>
            <w:color w:val="0000FF"/>
            <w:spacing w:val="-3"/>
          </w:rPr>
          <w:t>Digital</w:t>
        </w:r>
        <w:r>
          <w:rPr>
            <w:color w:val="0000FF"/>
            <w:spacing w:val="-9"/>
          </w:rPr>
          <w:t> </w:t>
        </w:r>
        <w:r>
          <w:rPr>
            <w:color w:val="0000FF"/>
          </w:rPr>
          <w:t>I/O</w:t>
        </w:r>
      </w:hyperlink>
      <w:r>
        <w:rPr/>
        <w:t>).</w:t>
      </w:r>
      <w:r>
        <w:rPr>
          <w:spacing w:val="-9"/>
        </w:rPr>
        <w:t> </w:t>
      </w:r>
      <w:r>
        <w:rPr>
          <w:spacing w:val="-3"/>
        </w:rPr>
        <w:t>Since</w:t>
      </w:r>
      <w:r>
        <w:rPr>
          <w:spacing w:val="-9"/>
        </w:rPr>
        <w:t> </w:t>
      </w:r>
      <w:r>
        <w:rPr/>
        <w:t>it</w:t>
      </w:r>
      <w:r>
        <w:rPr>
          <w:spacing w:val="-8"/>
        </w:rPr>
        <w:t> </w:t>
      </w:r>
      <w:r>
        <w:rPr>
          <w:spacing w:val="-3"/>
        </w:rPr>
        <w:t>takes</w:t>
      </w:r>
      <w:r>
        <w:rPr>
          <w:spacing w:val="-7"/>
        </w:rPr>
        <w:t> </w:t>
      </w:r>
      <w:r>
        <w:rPr/>
        <w:t>2</w:t>
      </w:r>
      <w:r>
        <w:rPr>
          <w:spacing w:val="-11"/>
        </w:rPr>
        <w:t> </w:t>
      </w:r>
      <w:r>
        <w:rPr>
          <w:spacing w:val="-3"/>
        </w:rPr>
        <w:t>machine</w:t>
      </w:r>
      <w:r>
        <w:rPr>
          <w:spacing w:val="-11"/>
        </w:rPr>
        <w:t> </w:t>
      </w:r>
      <w:r>
        <w:rPr>
          <w:spacing w:val="-3"/>
        </w:rPr>
        <w:t>cycles</w:t>
      </w:r>
      <w:r>
        <w:rPr>
          <w:spacing w:val="-7"/>
        </w:rPr>
        <w:t> </w:t>
      </w:r>
      <w:r>
        <w:rPr/>
        <w:t>to</w:t>
      </w:r>
      <w:r>
        <w:rPr>
          <w:spacing w:val="-9"/>
        </w:rPr>
        <w:t> </w:t>
      </w:r>
      <w:r>
        <w:rPr>
          <w:spacing w:val="-3"/>
        </w:rPr>
        <w:t>recognize</w:t>
      </w:r>
      <w:r>
        <w:rPr>
          <w:spacing w:val="-8"/>
        </w:rPr>
        <w:t> </w:t>
      </w:r>
      <w:r>
        <w:rPr/>
        <w:t>a</w:t>
      </w:r>
      <w:r>
        <w:rPr>
          <w:spacing w:val="-9"/>
        </w:rPr>
        <w:t> </w:t>
      </w:r>
      <w:r>
        <w:rPr/>
        <w:t>1-to-0</w:t>
      </w:r>
      <w:r>
        <w:rPr>
          <w:spacing w:val="-8"/>
        </w:rPr>
        <w:t> </w:t>
      </w:r>
      <w:r>
        <w:rPr>
          <w:spacing w:val="-3"/>
        </w:rPr>
        <w:t>event,</w:t>
      </w:r>
      <w:r>
        <w:rPr>
          <w:spacing w:val="-9"/>
        </w:rPr>
        <w:t> </w:t>
      </w:r>
      <w:r>
        <w:rPr/>
        <w:t>the</w:t>
      </w:r>
      <w:r>
        <w:rPr>
          <w:spacing w:val="-8"/>
        </w:rPr>
        <w:t> </w:t>
      </w:r>
      <w:r>
        <w:rPr>
          <w:spacing w:val="-3"/>
        </w:rPr>
        <w:t>maximum</w:t>
      </w:r>
      <w:r>
        <w:rPr>
          <w:spacing w:val="-7"/>
        </w:rPr>
        <w:t> </w:t>
      </w:r>
      <w:r>
        <w:rPr>
          <w:spacing w:val="-3"/>
        </w:rPr>
        <w:t>input</w:t>
      </w:r>
      <w:r>
        <w:rPr>
          <w:spacing w:val="-8"/>
        </w:rPr>
        <w:t> </w:t>
      </w:r>
      <w:r>
        <w:rPr>
          <w:spacing w:val="-3"/>
        </w:rPr>
        <w:t>count</w:t>
      </w:r>
      <w:r>
        <w:rPr>
          <w:spacing w:val="-9"/>
        </w:rPr>
        <w:t> </w:t>
      </w:r>
      <w:r>
        <w:rPr/>
        <w:t>rate is</w:t>
      </w:r>
      <w:r>
        <w:rPr>
          <w:spacing w:val="-8"/>
        </w:rPr>
        <w:t> </w:t>
      </w:r>
      <w:r>
        <w:rPr/>
        <w:t>1/2</w:t>
      </w:r>
      <w:r>
        <w:rPr>
          <w:spacing w:val="-9"/>
        </w:rPr>
        <w:t> </w:t>
      </w:r>
      <w:r>
        <w:rPr/>
        <w:t>of</w:t>
      </w:r>
      <w:r>
        <w:rPr>
          <w:spacing w:val="-9"/>
        </w:rPr>
        <w:t> </w:t>
      </w:r>
      <w:r>
        <w:rPr/>
        <w:t>the</w:t>
      </w:r>
      <w:r>
        <w:rPr>
          <w:spacing w:val="-10"/>
        </w:rPr>
        <w:t> </w:t>
      </w:r>
      <w:r>
        <w:rPr>
          <w:spacing w:val="-3"/>
        </w:rPr>
        <w:t>clock</w:t>
      </w:r>
      <w:r>
        <w:rPr>
          <w:spacing w:val="-10"/>
        </w:rPr>
        <w:t> </w:t>
      </w:r>
      <w:r>
        <w:rPr>
          <w:spacing w:val="-3"/>
        </w:rPr>
        <w:t>frequency</w:t>
      </w:r>
      <w:r>
        <w:rPr>
          <w:spacing w:val="-12"/>
        </w:rPr>
        <w:t> </w:t>
      </w:r>
      <w:r>
        <w:rPr>
          <w:spacing w:val="-3"/>
        </w:rPr>
        <w:t>(CKMPU).</w:t>
      </w:r>
      <w:r>
        <w:rPr>
          <w:spacing w:val="-11"/>
        </w:rPr>
        <w:t> </w:t>
      </w:r>
      <w:r>
        <w:rPr/>
        <w:t>There</w:t>
      </w:r>
      <w:r>
        <w:rPr>
          <w:spacing w:val="-9"/>
        </w:rPr>
        <w:t> </w:t>
      </w:r>
      <w:r>
        <w:rPr/>
        <w:t>are</w:t>
      </w:r>
      <w:r>
        <w:rPr>
          <w:spacing w:val="-9"/>
        </w:rPr>
        <w:t> </w:t>
      </w:r>
      <w:r>
        <w:rPr/>
        <w:t>no</w:t>
      </w:r>
      <w:r>
        <w:rPr>
          <w:spacing w:val="-12"/>
        </w:rPr>
        <w:t> </w:t>
      </w:r>
      <w:r>
        <w:rPr>
          <w:spacing w:val="-3"/>
        </w:rPr>
        <w:t>restrictions</w:t>
      </w:r>
      <w:r>
        <w:rPr>
          <w:spacing w:val="-8"/>
        </w:rPr>
        <w:t> </w:t>
      </w:r>
      <w:r>
        <w:rPr/>
        <w:t>on</w:t>
      </w:r>
      <w:r>
        <w:rPr>
          <w:spacing w:val="-9"/>
        </w:rPr>
        <w:t> </w:t>
      </w:r>
      <w:r>
        <w:rPr/>
        <w:t>the</w:t>
      </w:r>
      <w:r>
        <w:rPr>
          <w:spacing w:val="-9"/>
        </w:rPr>
        <w:t> </w:t>
      </w:r>
      <w:r>
        <w:rPr/>
        <w:t>duty</w:t>
      </w:r>
      <w:r>
        <w:rPr>
          <w:spacing w:val="-15"/>
        </w:rPr>
        <w:t> </w:t>
      </w:r>
      <w:r>
        <w:rPr>
          <w:spacing w:val="-3"/>
        </w:rPr>
        <w:t>cycle,</w:t>
      </w:r>
      <w:r>
        <w:rPr>
          <w:spacing w:val="-9"/>
        </w:rPr>
        <w:t> </w:t>
      </w:r>
      <w:r>
        <w:rPr>
          <w:spacing w:val="-3"/>
        </w:rPr>
        <w:t>however</w:t>
      </w:r>
      <w:r>
        <w:rPr>
          <w:spacing w:val="-8"/>
        </w:rPr>
        <w:t> </w:t>
      </w:r>
      <w:r>
        <w:rPr/>
        <w:t>to</w:t>
      </w:r>
      <w:r>
        <w:rPr>
          <w:spacing w:val="-10"/>
        </w:rPr>
        <w:t> </w:t>
      </w:r>
      <w:r>
        <w:rPr>
          <w:spacing w:val="-3"/>
        </w:rPr>
        <w:t>ensure</w:t>
      </w:r>
      <w:r>
        <w:rPr>
          <w:spacing w:val="-9"/>
        </w:rPr>
        <w:t> </w:t>
      </w:r>
      <w:r>
        <w:rPr>
          <w:spacing w:val="-3"/>
        </w:rPr>
        <w:t>proper recognition</w:t>
      </w:r>
      <w:r>
        <w:rPr>
          <w:spacing w:val="-7"/>
        </w:rPr>
        <w:t> </w:t>
      </w:r>
      <w:r>
        <w:rPr/>
        <w:t>of</w:t>
      </w:r>
      <w:r>
        <w:rPr>
          <w:spacing w:val="-3"/>
        </w:rPr>
        <w:t> </w:t>
      </w:r>
      <w:r>
        <w:rPr/>
        <w:t>the</w:t>
      </w:r>
      <w:r>
        <w:rPr>
          <w:spacing w:val="-7"/>
        </w:rPr>
        <w:t> </w:t>
      </w:r>
      <w:r>
        <w:rPr/>
        <w:t>0</w:t>
      </w:r>
      <w:r>
        <w:rPr>
          <w:spacing w:val="-6"/>
        </w:rPr>
        <w:t> </w:t>
      </w:r>
      <w:r>
        <w:rPr>
          <w:spacing w:val="-3"/>
        </w:rPr>
        <w:t>or</w:t>
      </w:r>
      <w:r>
        <w:rPr>
          <w:spacing w:val="-6"/>
        </w:rPr>
        <w:t> </w:t>
      </w:r>
      <w:r>
        <w:rPr/>
        <w:t>1</w:t>
      </w:r>
      <w:r>
        <w:rPr>
          <w:spacing w:val="-6"/>
        </w:rPr>
        <w:t> </w:t>
      </w:r>
      <w:r>
        <w:rPr>
          <w:spacing w:val="-3"/>
        </w:rPr>
        <w:t>state,</w:t>
      </w:r>
      <w:r>
        <w:rPr>
          <w:spacing w:val="-7"/>
        </w:rPr>
        <w:t> </w:t>
      </w:r>
      <w:r>
        <w:rPr/>
        <w:t>an</w:t>
      </w:r>
      <w:r>
        <w:rPr>
          <w:spacing w:val="-6"/>
        </w:rPr>
        <w:t> </w:t>
      </w:r>
      <w:r>
        <w:rPr>
          <w:spacing w:val="-3"/>
        </w:rPr>
        <w:t>input</w:t>
      </w:r>
      <w:r>
        <w:rPr>
          <w:spacing w:val="-7"/>
        </w:rPr>
        <w:t> </w:t>
      </w:r>
      <w:r>
        <w:rPr>
          <w:spacing w:val="-3"/>
        </w:rPr>
        <w:t>should</w:t>
      </w:r>
      <w:r>
        <w:rPr>
          <w:spacing w:val="-6"/>
        </w:rPr>
        <w:t> </w:t>
      </w:r>
      <w:r>
        <w:rPr/>
        <w:t>be</w:t>
      </w:r>
      <w:r>
        <w:rPr>
          <w:spacing w:val="-6"/>
        </w:rPr>
        <w:t> </w:t>
      </w:r>
      <w:r>
        <w:rPr>
          <w:spacing w:val="-3"/>
        </w:rPr>
        <w:t>stable</w:t>
      </w:r>
      <w:r>
        <w:rPr>
          <w:spacing w:val="-7"/>
        </w:rPr>
        <w:t> </w:t>
      </w:r>
      <w:r>
        <w:rPr/>
        <w:t>for</w:t>
      </w:r>
      <w:r>
        <w:rPr>
          <w:spacing w:val="-7"/>
        </w:rPr>
        <w:t> </w:t>
      </w:r>
      <w:r>
        <w:rPr/>
        <w:t>at</w:t>
      </w:r>
      <w:r>
        <w:rPr>
          <w:spacing w:val="-7"/>
        </w:rPr>
        <w:t> </w:t>
      </w:r>
      <w:r>
        <w:rPr>
          <w:spacing w:val="-3"/>
        </w:rPr>
        <w:t>least</w:t>
      </w:r>
      <w:r>
        <w:rPr>
          <w:spacing w:val="-6"/>
        </w:rPr>
        <w:t> </w:t>
      </w:r>
      <w:r>
        <w:rPr/>
        <w:t>1</w:t>
      </w:r>
      <w:r>
        <w:rPr>
          <w:spacing w:val="-10"/>
        </w:rPr>
        <w:t> </w:t>
      </w:r>
      <w:r>
        <w:rPr>
          <w:spacing w:val="-3"/>
        </w:rPr>
        <w:t>machine</w:t>
      </w:r>
      <w:r>
        <w:rPr>
          <w:spacing w:val="-6"/>
        </w:rPr>
        <w:t> </w:t>
      </w:r>
      <w:r>
        <w:rPr>
          <w:spacing w:val="-4"/>
        </w:rPr>
        <w:t>cycle.</w:t>
      </w:r>
    </w:p>
    <w:p>
      <w:pPr>
        <w:pStyle w:val="BodyText"/>
        <w:spacing w:line="229" w:lineRule="exact" w:before="119"/>
        <w:ind w:left="619"/>
      </w:pPr>
      <w:r>
        <w:rPr/>
        <w:t>Four operating modes can be selected for Timer 0 and Timer 1, as shown in </w:t>
      </w:r>
      <w:hyperlink w:history="true" w:anchor="_bookmark69">
        <w:r>
          <w:rPr>
            <w:color w:val="0000FF"/>
          </w:rPr>
          <w:t>Table 21 </w:t>
        </w:r>
      </w:hyperlink>
      <w:r>
        <w:rPr/>
        <w:t>and </w:t>
      </w:r>
      <w:hyperlink w:history="true" w:anchor="_bookmark70">
        <w:r>
          <w:rPr>
            <w:color w:val="0000FF"/>
          </w:rPr>
          <w:t>Table 22</w:t>
        </w:r>
        <w:r>
          <w:rPr/>
          <w:t>. </w:t>
        </w:r>
      </w:hyperlink>
      <w:r>
        <w:rPr/>
        <w:t>The</w:t>
      </w:r>
    </w:p>
    <w:p>
      <w:pPr>
        <w:spacing w:line="230" w:lineRule="exact" w:before="0"/>
        <w:ind w:left="619" w:right="0" w:firstLine="0"/>
        <w:jc w:val="left"/>
        <w:rPr>
          <w:sz w:val="20"/>
        </w:rPr>
      </w:pPr>
      <w:r>
        <w:rPr>
          <w:rFonts w:ascii="Times New Roman"/>
          <w:i/>
          <w:sz w:val="20"/>
        </w:rPr>
        <w:t>TMOD </w:t>
      </w:r>
      <w:r>
        <w:rPr>
          <w:sz w:val="20"/>
        </w:rPr>
        <w:t>(</w:t>
      </w:r>
      <w:r>
        <w:rPr>
          <w:rFonts w:ascii="Times New Roman"/>
          <w:i/>
          <w:sz w:val="20"/>
        </w:rPr>
        <w:t>SFR 0x89</w:t>
      </w:r>
      <w:r>
        <w:rPr>
          <w:sz w:val="20"/>
        </w:rPr>
        <w:t>) register, shown in</w:t>
      </w:r>
    </w:p>
    <w:p>
      <w:pPr>
        <w:pStyle w:val="BodyText"/>
        <w:spacing w:line="242" w:lineRule="auto"/>
        <w:ind w:left="619" w:right="771"/>
      </w:pPr>
      <w:hyperlink w:history="true" w:anchor="_bookmark71">
        <w:r>
          <w:rPr>
            <w:color w:val="0000FF"/>
          </w:rPr>
          <w:t>Table </w:t>
        </w:r>
        <w:r>
          <w:rPr/>
          <w:t>23, </w:t>
        </w:r>
      </w:hyperlink>
      <w:r>
        <w:rPr/>
        <w:t>is used to select the appropriate mode. The timer/counter operation is controlled by the </w:t>
      </w:r>
      <w:r>
        <w:rPr>
          <w:rFonts w:ascii="Times New Roman"/>
          <w:i/>
        </w:rPr>
        <w:t>TCON </w:t>
      </w:r>
      <w:r>
        <w:rPr/>
        <w:t>(</w:t>
      </w:r>
      <w:r>
        <w:rPr>
          <w:rFonts w:ascii="Times New Roman"/>
          <w:i/>
        </w:rPr>
        <w:t>SFR 0x88</w:t>
      </w:r>
      <w:r>
        <w:rPr/>
        <w:t>) register, which is shown in </w:t>
      </w:r>
      <w:hyperlink w:history="true" w:anchor="_bookmark73">
        <w:r>
          <w:rPr>
            <w:color w:val="0000FF"/>
          </w:rPr>
          <w:t>Table 24</w:t>
        </w:r>
        <w:r>
          <w:rPr/>
          <w:t>. </w:t>
        </w:r>
      </w:hyperlink>
      <w:r>
        <w:rPr/>
        <w:t>Bits </w:t>
      </w:r>
      <w:r>
        <w:rPr>
          <w:rFonts w:ascii="Times New Roman"/>
          <w:i/>
        </w:rPr>
        <w:t>TR1 </w:t>
      </w:r>
      <w:r>
        <w:rPr/>
        <w:t>(</w:t>
      </w:r>
      <w:r>
        <w:rPr>
          <w:rFonts w:ascii="Times New Roman"/>
          <w:i/>
        </w:rPr>
        <w:t>TCON[6]</w:t>
      </w:r>
      <w:r>
        <w:rPr/>
        <w:t>) and </w:t>
      </w:r>
      <w:r>
        <w:rPr>
          <w:rFonts w:ascii="Times New Roman"/>
          <w:i/>
        </w:rPr>
        <w:t>TR0 </w:t>
      </w:r>
      <w:r>
        <w:rPr/>
        <w:t>(</w:t>
      </w:r>
      <w:r>
        <w:rPr>
          <w:rFonts w:ascii="Times New Roman"/>
          <w:i/>
        </w:rPr>
        <w:t>TCON[4]</w:t>
      </w:r>
      <w:r>
        <w:rPr/>
        <w:t>) in the </w:t>
      </w:r>
      <w:r>
        <w:rPr>
          <w:rFonts w:ascii="Times New Roman"/>
          <w:i/>
        </w:rPr>
        <w:t>TCON </w:t>
      </w:r>
      <w:r>
        <w:rPr/>
        <w:t>register start their associated timers when set.</w:t>
      </w:r>
    </w:p>
    <w:p>
      <w:pPr>
        <w:pStyle w:val="BodyText"/>
        <w:rPr>
          <w:sz w:val="22"/>
        </w:rPr>
      </w:pPr>
    </w:p>
    <w:p>
      <w:pPr>
        <w:pStyle w:val="BodyText"/>
        <w:spacing w:before="5"/>
        <w:rPr>
          <w:sz w:val="17"/>
        </w:rPr>
      </w:pPr>
    </w:p>
    <w:p>
      <w:pPr>
        <w:pStyle w:val="Heading1"/>
        <w:ind w:left="1308" w:right="1278"/>
      </w:pPr>
      <w:bookmarkStart w:name="_bookmark69" w:id="150"/>
      <w:bookmarkEnd w:id="150"/>
      <w:r>
        <w:rPr>
          <w:b w:val="0"/>
        </w:rPr>
      </w:r>
      <w:r>
        <w:rPr/>
        <w:t>Table 21: Timers/Counters Mode Description</w:t>
      </w:r>
    </w:p>
    <w:p>
      <w:pPr>
        <w:pStyle w:val="BodyText"/>
        <w:spacing w:before="7"/>
        <w:rPr>
          <w:b/>
          <w:sz w:val="5"/>
        </w:rPr>
      </w:pPr>
    </w:p>
    <w:tbl>
      <w:tblPr>
        <w:tblW w:w="0" w:type="auto"/>
        <w:jc w:val="left"/>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3"/>
        <w:gridCol w:w="869"/>
        <w:gridCol w:w="1162"/>
        <w:gridCol w:w="6387"/>
      </w:tblGrid>
      <w:tr>
        <w:trPr>
          <w:trHeight w:val="309" w:hRule="atLeast"/>
        </w:trPr>
        <w:tc>
          <w:tcPr>
            <w:tcW w:w="943" w:type="dxa"/>
            <w:tcBorders>
              <w:bottom w:val="single" w:sz="6" w:space="0" w:color="000000"/>
              <w:right w:val="single" w:sz="6" w:space="0" w:color="000000"/>
            </w:tcBorders>
          </w:tcPr>
          <w:p>
            <w:pPr>
              <w:pStyle w:val="TableParagraph"/>
              <w:spacing w:before="35"/>
              <w:ind w:left="314" w:right="298"/>
              <w:jc w:val="center"/>
              <w:rPr>
                <w:b/>
                <w:sz w:val="20"/>
              </w:rPr>
            </w:pPr>
            <w:r>
              <w:rPr>
                <w:b/>
                <w:sz w:val="20"/>
              </w:rPr>
              <w:t>M1</w:t>
            </w:r>
          </w:p>
        </w:tc>
        <w:tc>
          <w:tcPr>
            <w:tcW w:w="869" w:type="dxa"/>
            <w:tcBorders>
              <w:left w:val="single" w:sz="6" w:space="0" w:color="000000"/>
              <w:bottom w:val="single" w:sz="6" w:space="0" w:color="000000"/>
              <w:right w:val="single" w:sz="6" w:space="0" w:color="000000"/>
            </w:tcBorders>
          </w:tcPr>
          <w:p>
            <w:pPr>
              <w:pStyle w:val="TableParagraph"/>
              <w:spacing w:before="35"/>
              <w:ind w:left="276" w:right="260"/>
              <w:jc w:val="center"/>
              <w:rPr>
                <w:b/>
                <w:sz w:val="20"/>
              </w:rPr>
            </w:pPr>
            <w:r>
              <w:rPr>
                <w:b/>
                <w:sz w:val="20"/>
              </w:rPr>
              <w:t>M0</w:t>
            </w:r>
          </w:p>
        </w:tc>
        <w:tc>
          <w:tcPr>
            <w:tcW w:w="1162" w:type="dxa"/>
            <w:tcBorders>
              <w:left w:val="single" w:sz="6" w:space="0" w:color="000000"/>
              <w:bottom w:val="single" w:sz="6" w:space="0" w:color="000000"/>
              <w:right w:val="single" w:sz="6" w:space="0" w:color="000000"/>
            </w:tcBorders>
          </w:tcPr>
          <w:p>
            <w:pPr>
              <w:pStyle w:val="TableParagraph"/>
              <w:spacing w:before="35"/>
              <w:ind w:left="223" w:right="214"/>
              <w:jc w:val="center"/>
              <w:rPr>
                <w:b/>
                <w:sz w:val="20"/>
              </w:rPr>
            </w:pPr>
            <w:r>
              <w:rPr>
                <w:b/>
                <w:sz w:val="20"/>
              </w:rPr>
              <w:t>Mode</w:t>
            </w:r>
          </w:p>
        </w:tc>
        <w:tc>
          <w:tcPr>
            <w:tcW w:w="6387" w:type="dxa"/>
            <w:tcBorders>
              <w:left w:val="single" w:sz="6" w:space="0" w:color="000000"/>
              <w:bottom w:val="single" w:sz="6" w:space="0" w:color="000000"/>
            </w:tcBorders>
          </w:tcPr>
          <w:p>
            <w:pPr>
              <w:pStyle w:val="TableParagraph"/>
              <w:spacing w:before="35"/>
              <w:ind w:left="2746" w:right="2744"/>
              <w:jc w:val="center"/>
              <w:rPr>
                <w:b/>
                <w:sz w:val="20"/>
              </w:rPr>
            </w:pPr>
            <w:r>
              <w:rPr>
                <w:b/>
                <w:sz w:val="20"/>
              </w:rPr>
              <w:t>Function</w:t>
            </w:r>
          </w:p>
        </w:tc>
      </w:tr>
      <w:tr>
        <w:trPr>
          <w:trHeight w:val="892" w:hRule="atLeast"/>
        </w:trPr>
        <w:tc>
          <w:tcPr>
            <w:tcW w:w="943" w:type="dxa"/>
            <w:tcBorders>
              <w:top w:val="single" w:sz="6" w:space="0" w:color="000000"/>
              <w:bottom w:val="single" w:sz="6" w:space="0" w:color="000000"/>
              <w:right w:val="single" w:sz="6" w:space="0" w:color="000000"/>
            </w:tcBorders>
          </w:tcPr>
          <w:p>
            <w:pPr>
              <w:pStyle w:val="TableParagraph"/>
              <w:spacing w:before="21"/>
              <w:ind w:left="10"/>
              <w:jc w:val="center"/>
              <w:rPr>
                <w:sz w:val="20"/>
              </w:rPr>
            </w:pPr>
            <w:r>
              <w:rPr>
                <w:w w:val="99"/>
                <w:sz w:val="20"/>
              </w:rPr>
              <w:t>0</w:t>
            </w: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before="21"/>
              <w:ind w:left="10"/>
              <w:jc w:val="center"/>
              <w:rPr>
                <w:sz w:val="20"/>
              </w:rPr>
            </w:pPr>
            <w:r>
              <w:rPr>
                <w:w w:val="99"/>
                <w:sz w:val="20"/>
              </w:rPr>
              <w:t>0</w:t>
            </w:r>
          </w:p>
        </w:tc>
        <w:tc>
          <w:tcPr>
            <w:tcW w:w="1162" w:type="dxa"/>
            <w:tcBorders>
              <w:top w:val="single" w:sz="6" w:space="0" w:color="000000"/>
              <w:left w:val="single" w:sz="6" w:space="0" w:color="000000"/>
              <w:bottom w:val="single" w:sz="6" w:space="0" w:color="000000"/>
              <w:right w:val="single" w:sz="6" w:space="0" w:color="000000"/>
            </w:tcBorders>
          </w:tcPr>
          <w:p>
            <w:pPr>
              <w:pStyle w:val="TableParagraph"/>
              <w:spacing w:before="21"/>
              <w:ind w:left="223" w:right="216"/>
              <w:jc w:val="center"/>
              <w:rPr>
                <w:sz w:val="20"/>
              </w:rPr>
            </w:pPr>
            <w:r>
              <w:rPr>
                <w:sz w:val="20"/>
              </w:rPr>
              <w:t>Mode 0</w:t>
            </w:r>
          </w:p>
        </w:tc>
        <w:tc>
          <w:tcPr>
            <w:tcW w:w="6387" w:type="dxa"/>
            <w:tcBorders>
              <w:top w:val="single" w:sz="6" w:space="0" w:color="000000"/>
              <w:left w:val="single" w:sz="6" w:space="0" w:color="000000"/>
              <w:bottom w:val="single" w:sz="6" w:space="0" w:color="000000"/>
            </w:tcBorders>
          </w:tcPr>
          <w:p>
            <w:pPr>
              <w:pStyle w:val="TableParagraph"/>
              <w:spacing w:line="220" w:lineRule="auto" w:before="16"/>
              <w:ind w:left="66" w:right="59"/>
              <w:rPr>
                <w:sz w:val="20"/>
              </w:rPr>
            </w:pPr>
            <w:r>
              <w:rPr>
                <w:sz w:val="20"/>
              </w:rPr>
              <w:t>13-bit Counter/Timer mode with 5 lower bits in the </w:t>
            </w:r>
            <w:r>
              <w:rPr>
                <w:rFonts w:ascii="Times New Roman"/>
                <w:i/>
                <w:sz w:val="20"/>
              </w:rPr>
              <w:t>TL0 </w:t>
            </w:r>
            <w:r>
              <w:rPr>
                <w:sz w:val="20"/>
              </w:rPr>
              <w:t>or </w:t>
            </w:r>
            <w:r>
              <w:rPr>
                <w:rFonts w:ascii="Times New Roman"/>
                <w:i/>
                <w:sz w:val="20"/>
              </w:rPr>
              <w:t>TL1 </w:t>
            </w:r>
            <w:r>
              <w:rPr>
                <w:sz w:val="20"/>
              </w:rPr>
              <w:t>(</w:t>
            </w:r>
            <w:r>
              <w:rPr>
                <w:rFonts w:ascii="Times New Roman"/>
                <w:i/>
                <w:sz w:val="20"/>
              </w:rPr>
              <w:t>SFR </w:t>
            </w:r>
            <w:r>
              <w:rPr>
                <w:rFonts w:ascii="Times New Roman"/>
                <w:i/>
                <w:sz w:val="20"/>
              </w:rPr>
              <w:t>0x8A or SFR 0x8B</w:t>
            </w:r>
            <w:r>
              <w:rPr>
                <w:sz w:val="20"/>
              </w:rPr>
              <w:t>) register and the remaining 8 bits in the </w:t>
            </w:r>
            <w:r>
              <w:rPr>
                <w:rFonts w:ascii="Times New Roman"/>
                <w:i/>
                <w:sz w:val="20"/>
              </w:rPr>
              <w:t>TH0 </w:t>
            </w:r>
            <w:r>
              <w:rPr>
                <w:sz w:val="20"/>
              </w:rPr>
              <w:t>or </w:t>
            </w:r>
            <w:r>
              <w:rPr>
                <w:rFonts w:ascii="Times New Roman"/>
                <w:i/>
                <w:sz w:val="20"/>
              </w:rPr>
              <w:t>TH1 </w:t>
            </w:r>
            <w:r>
              <w:rPr>
                <w:spacing w:val="-3"/>
                <w:sz w:val="20"/>
              </w:rPr>
              <w:t>(</w:t>
            </w:r>
            <w:r>
              <w:rPr>
                <w:rFonts w:ascii="Times New Roman"/>
                <w:i/>
                <w:spacing w:val="-3"/>
                <w:sz w:val="20"/>
              </w:rPr>
              <w:t>SFR 0x8C </w:t>
            </w:r>
            <w:r>
              <w:rPr>
                <w:rFonts w:ascii="Times New Roman"/>
                <w:i/>
                <w:sz w:val="20"/>
              </w:rPr>
              <w:t>or </w:t>
            </w:r>
            <w:r>
              <w:rPr>
                <w:rFonts w:ascii="Times New Roman"/>
                <w:i/>
                <w:spacing w:val="-3"/>
                <w:sz w:val="20"/>
              </w:rPr>
              <w:t>SFR 0x8D</w:t>
            </w:r>
            <w:r>
              <w:rPr>
                <w:spacing w:val="-3"/>
                <w:sz w:val="20"/>
              </w:rPr>
              <w:t>) </w:t>
            </w:r>
            <w:r>
              <w:rPr>
                <w:sz w:val="20"/>
              </w:rPr>
              <w:t>register (for Timer 0 and Timer 1, respectively). The 3 high order bits of </w:t>
            </w:r>
            <w:r>
              <w:rPr>
                <w:rFonts w:ascii="Times New Roman"/>
                <w:i/>
                <w:sz w:val="20"/>
              </w:rPr>
              <w:t>TL0 </w:t>
            </w:r>
            <w:r>
              <w:rPr>
                <w:sz w:val="20"/>
              </w:rPr>
              <w:t>and </w:t>
            </w:r>
            <w:r>
              <w:rPr>
                <w:rFonts w:ascii="Times New Roman"/>
                <w:i/>
                <w:sz w:val="20"/>
              </w:rPr>
              <w:t>TL1 </w:t>
            </w:r>
            <w:r>
              <w:rPr>
                <w:sz w:val="20"/>
              </w:rPr>
              <w:t>are held at zero.</w:t>
            </w:r>
          </w:p>
        </w:tc>
      </w:tr>
      <w:tr>
        <w:trPr>
          <w:trHeight w:val="268" w:hRule="atLeast"/>
        </w:trPr>
        <w:tc>
          <w:tcPr>
            <w:tcW w:w="943" w:type="dxa"/>
            <w:tcBorders>
              <w:top w:val="single" w:sz="6" w:space="0" w:color="000000"/>
              <w:bottom w:val="single" w:sz="6" w:space="0" w:color="000000"/>
              <w:right w:val="single" w:sz="6" w:space="0" w:color="000000"/>
            </w:tcBorders>
          </w:tcPr>
          <w:p>
            <w:pPr>
              <w:pStyle w:val="TableParagraph"/>
              <w:spacing w:line="230" w:lineRule="exact" w:before="18"/>
              <w:ind w:left="10"/>
              <w:jc w:val="center"/>
              <w:rPr>
                <w:sz w:val="20"/>
              </w:rPr>
            </w:pPr>
            <w:r>
              <w:rPr>
                <w:w w:val="99"/>
                <w:sz w:val="20"/>
              </w:rPr>
              <w:t>0</w:t>
            </w: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10"/>
              <w:jc w:val="center"/>
              <w:rPr>
                <w:sz w:val="20"/>
              </w:rPr>
            </w:pPr>
            <w:r>
              <w:rPr>
                <w:w w:val="99"/>
                <w:sz w:val="20"/>
              </w:rPr>
              <w:t>1</w:t>
            </w:r>
          </w:p>
        </w:tc>
        <w:tc>
          <w:tcPr>
            <w:tcW w:w="1162"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223" w:right="216"/>
              <w:jc w:val="center"/>
              <w:rPr>
                <w:sz w:val="20"/>
              </w:rPr>
            </w:pPr>
            <w:r>
              <w:rPr>
                <w:sz w:val="20"/>
              </w:rPr>
              <w:t>Mode 1</w:t>
            </w:r>
          </w:p>
        </w:tc>
        <w:tc>
          <w:tcPr>
            <w:tcW w:w="6387" w:type="dxa"/>
            <w:tcBorders>
              <w:top w:val="single" w:sz="6" w:space="0" w:color="000000"/>
              <w:left w:val="single" w:sz="6" w:space="0" w:color="000000"/>
              <w:bottom w:val="single" w:sz="6" w:space="0" w:color="000000"/>
            </w:tcBorders>
          </w:tcPr>
          <w:p>
            <w:pPr>
              <w:pStyle w:val="TableParagraph"/>
              <w:spacing w:line="230" w:lineRule="exact" w:before="18"/>
              <w:ind w:left="66"/>
              <w:rPr>
                <w:sz w:val="20"/>
              </w:rPr>
            </w:pPr>
            <w:r>
              <w:rPr>
                <w:sz w:val="20"/>
              </w:rPr>
              <w:t>16-bit Counter/Timer mode.</w:t>
            </w:r>
          </w:p>
        </w:tc>
      </w:tr>
      <w:tr>
        <w:trPr>
          <w:trHeight w:val="964" w:hRule="atLeast"/>
        </w:trPr>
        <w:tc>
          <w:tcPr>
            <w:tcW w:w="943" w:type="dxa"/>
            <w:tcBorders>
              <w:top w:val="single" w:sz="6" w:space="0" w:color="000000"/>
              <w:bottom w:val="single" w:sz="6" w:space="0" w:color="000000"/>
              <w:right w:val="single" w:sz="6" w:space="0" w:color="000000"/>
            </w:tcBorders>
          </w:tcPr>
          <w:p>
            <w:pPr>
              <w:pStyle w:val="TableParagraph"/>
              <w:spacing w:before="21"/>
              <w:ind w:left="10"/>
              <w:jc w:val="center"/>
              <w:rPr>
                <w:sz w:val="20"/>
              </w:rPr>
            </w:pPr>
            <w:r>
              <w:rPr>
                <w:w w:val="99"/>
                <w:sz w:val="20"/>
              </w:rPr>
              <w:t>1</w:t>
            </w: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before="21"/>
              <w:ind w:left="10"/>
              <w:jc w:val="center"/>
              <w:rPr>
                <w:sz w:val="20"/>
              </w:rPr>
            </w:pPr>
            <w:r>
              <w:rPr>
                <w:w w:val="99"/>
                <w:sz w:val="20"/>
              </w:rPr>
              <w:t>0</w:t>
            </w:r>
          </w:p>
        </w:tc>
        <w:tc>
          <w:tcPr>
            <w:tcW w:w="1162" w:type="dxa"/>
            <w:tcBorders>
              <w:top w:val="single" w:sz="6" w:space="0" w:color="000000"/>
              <w:left w:val="single" w:sz="6" w:space="0" w:color="000000"/>
              <w:bottom w:val="single" w:sz="6" w:space="0" w:color="000000"/>
              <w:right w:val="single" w:sz="6" w:space="0" w:color="000000"/>
            </w:tcBorders>
          </w:tcPr>
          <w:p>
            <w:pPr>
              <w:pStyle w:val="TableParagraph"/>
              <w:spacing w:before="21"/>
              <w:ind w:left="223" w:right="216"/>
              <w:jc w:val="center"/>
              <w:rPr>
                <w:sz w:val="20"/>
              </w:rPr>
            </w:pPr>
            <w:r>
              <w:rPr>
                <w:sz w:val="20"/>
              </w:rPr>
              <w:t>Mode 2</w:t>
            </w:r>
          </w:p>
        </w:tc>
        <w:tc>
          <w:tcPr>
            <w:tcW w:w="6387" w:type="dxa"/>
            <w:tcBorders>
              <w:top w:val="single" w:sz="6" w:space="0" w:color="000000"/>
              <w:left w:val="single" w:sz="6" w:space="0" w:color="000000"/>
              <w:bottom w:val="single" w:sz="6" w:space="0" w:color="000000"/>
            </w:tcBorders>
          </w:tcPr>
          <w:p>
            <w:pPr>
              <w:pStyle w:val="TableParagraph"/>
              <w:spacing w:before="16"/>
              <w:ind w:left="66" w:right="114"/>
              <w:rPr>
                <w:sz w:val="20"/>
              </w:rPr>
            </w:pPr>
            <w:r>
              <w:rPr>
                <w:sz w:val="20"/>
              </w:rPr>
              <w:t>8-bit auto-reload Counter/Timer. The reload value is kept in </w:t>
            </w:r>
            <w:r>
              <w:rPr>
                <w:rFonts w:ascii="Times New Roman"/>
                <w:i/>
                <w:sz w:val="20"/>
              </w:rPr>
              <w:t>TH0 </w:t>
            </w:r>
            <w:r>
              <w:rPr>
                <w:sz w:val="20"/>
              </w:rPr>
              <w:t>or </w:t>
            </w:r>
            <w:r>
              <w:rPr>
                <w:rFonts w:ascii="Times New Roman"/>
                <w:i/>
                <w:sz w:val="20"/>
              </w:rPr>
              <w:t>TH1</w:t>
            </w:r>
            <w:r>
              <w:rPr>
                <w:sz w:val="20"/>
              </w:rPr>
              <w:t>, while </w:t>
            </w:r>
            <w:r>
              <w:rPr>
                <w:rFonts w:ascii="Times New Roman"/>
                <w:i/>
                <w:sz w:val="20"/>
              </w:rPr>
              <w:t>TL0 </w:t>
            </w:r>
            <w:r>
              <w:rPr>
                <w:sz w:val="20"/>
              </w:rPr>
              <w:t>or </w:t>
            </w:r>
            <w:r>
              <w:rPr>
                <w:rFonts w:ascii="Times New Roman"/>
                <w:i/>
                <w:sz w:val="20"/>
              </w:rPr>
              <w:t>TL1 </w:t>
            </w:r>
            <w:r>
              <w:rPr>
                <w:sz w:val="20"/>
              </w:rPr>
              <w:t>is incremented every machine cycle. When </w:t>
            </w:r>
            <w:r>
              <w:rPr>
                <w:rFonts w:ascii="Times New Roman"/>
                <w:i/>
                <w:sz w:val="20"/>
              </w:rPr>
              <w:t>TL(</w:t>
            </w:r>
            <w:r>
              <w:rPr>
                <w:sz w:val="20"/>
              </w:rPr>
              <w:t>x) overflows, a value from </w:t>
            </w:r>
            <w:r>
              <w:rPr>
                <w:rFonts w:ascii="Times New Roman"/>
                <w:i/>
                <w:sz w:val="20"/>
              </w:rPr>
              <w:t>TH(</w:t>
            </w:r>
            <w:r>
              <w:rPr>
                <w:sz w:val="20"/>
              </w:rPr>
              <w:t>x) is copied to </w:t>
            </w:r>
            <w:r>
              <w:rPr>
                <w:rFonts w:ascii="Times New Roman"/>
                <w:i/>
                <w:sz w:val="20"/>
              </w:rPr>
              <w:t>TL</w:t>
            </w:r>
            <w:r>
              <w:rPr>
                <w:sz w:val="20"/>
              </w:rPr>
              <w:t>(x) (where x is 0 for</w:t>
            </w:r>
          </w:p>
          <w:p>
            <w:pPr>
              <w:pStyle w:val="TableParagraph"/>
              <w:spacing w:line="230" w:lineRule="exact" w:before="6"/>
              <w:ind w:left="66"/>
              <w:rPr>
                <w:sz w:val="20"/>
              </w:rPr>
            </w:pPr>
            <w:r>
              <w:rPr>
                <w:sz w:val="20"/>
              </w:rPr>
              <w:t>counter/timer 0 or 1 for counter/timer 1.</w:t>
            </w:r>
          </w:p>
        </w:tc>
      </w:tr>
      <w:tr>
        <w:trPr>
          <w:trHeight w:val="750" w:hRule="atLeast"/>
        </w:trPr>
        <w:tc>
          <w:tcPr>
            <w:tcW w:w="943" w:type="dxa"/>
            <w:tcBorders>
              <w:top w:val="single" w:sz="6" w:space="0" w:color="000000"/>
              <w:right w:val="single" w:sz="6" w:space="0" w:color="000000"/>
            </w:tcBorders>
          </w:tcPr>
          <w:p>
            <w:pPr>
              <w:pStyle w:val="TableParagraph"/>
              <w:spacing w:before="18"/>
              <w:ind w:left="10"/>
              <w:jc w:val="center"/>
              <w:rPr>
                <w:sz w:val="20"/>
              </w:rPr>
            </w:pPr>
            <w:r>
              <w:rPr>
                <w:w w:val="99"/>
                <w:sz w:val="20"/>
              </w:rPr>
              <w:t>1</w:t>
            </w:r>
          </w:p>
        </w:tc>
        <w:tc>
          <w:tcPr>
            <w:tcW w:w="869" w:type="dxa"/>
            <w:tcBorders>
              <w:top w:val="single" w:sz="6" w:space="0" w:color="000000"/>
              <w:left w:val="single" w:sz="6" w:space="0" w:color="000000"/>
              <w:right w:val="single" w:sz="6" w:space="0" w:color="000000"/>
            </w:tcBorders>
          </w:tcPr>
          <w:p>
            <w:pPr>
              <w:pStyle w:val="TableParagraph"/>
              <w:spacing w:before="18"/>
              <w:ind w:left="10"/>
              <w:jc w:val="center"/>
              <w:rPr>
                <w:sz w:val="20"/>
              </w:rPr>
            </w:pPr>
            <w:r>
              <w:rPr>
                <w:w w:val="99"/>
                <w:sz w:val="20"/>
              </w:rPr>
              <w:t>1</w:t>
            </w:r>
          </w:p>
        </w:tc>
        <w:tc>
          <w:tcPr>
            <w:tcW w:w="1162" w:type="dxa"/>
            <w:tcBorders>
              <w:top w:val="single" w:sz="6" w:space="0" w:color="000000"/>
              <w:left w:val="single" w:sz="6" w:space="0" w:color="000000"/>
              <w:right w:val="single" w:sz="6" w:space="0" w:color="000000"/>
            </w:tcBorders>
          </w:tcPr>
          <w:p>
            <w:pPr>
              <w:pStyle w:val="TableParagraph"/>
              <w:spacing w:before="18"/>
              <w:ind w:left="223" w:right="216"/>
              <w:jc w:val="center"/>
              <w:rPr>
                <w:sz w:val="20"/>
              </w:rPr>
            </w:pPr>
            <w:r>
              <w:rPr>
                <w:sz w:val="20"/>
              </w:rPr>
              <w:t>Mode 3</w:t>
            </w:r>
          </w:p>
        </w:tc>
        <w:tc>
          <w:tcPr>
            <w:tcW w:w="6387" w:type="dxa"/>
            <w:tcBorders>
              <w:top w:val="single" w:sz="6" w:space="0" w:color="000000"/>
              <w:left w:val="single" w:sz="6" w:space="0" w:color="000000"/>
            </w:tcBorders>
          </w:tcPr>
          <w:p>
            <w:pPr>
              <w:pStyle w:val="TableParagraph"/>
              <w:spacing w:before="13"/>
              <w:ind w:left="66"/>
              <w:rPr>
                <w:sz w:val="20"/>
              </w:rPr>
            </w:pPr>
            <w:r>
              <w:rPr>
                <w:sz w:val="20"/>
              </w:rPr>
              <w:t>If Timer 1 </w:t>
            </w:r>
            <w:r>
              <w:rPr>
                <w:rFonts w:ascii="Times New Roman"/>
                <w:i/>
                <w:sz w:val="20"/>
              </w:rPr>
              <w:t>M1 </w:t>
            </w:r>
            <w:r>
              <w:rPr>
                <w:sz w:val="20"/>
              </w:rPr>
              <w:t>and </w:t>
            </w:r>
            <w:r>
              <w:rPr>
                <w:rFonts w:ascii="Times New Roman"/>
                <w:i/>
                <w:sz w:val="20"/>
              </w:rPr>
              <w:t>M0 </w:t>
            </w:r>
            <w:r>
              <w:rPr>
                <w:sz w:val="20"/>
              </w:rPr>
              <w:t>bits are set to 1, Timer 1 stops.</w:t>
            </w:r>
          </w:p>
          <w:p>
            <w:pPr>
              <w:pStyle w:val="TableParagraph"/>
              <w:spacing w:line="230" w:lineRule="atLeast" w:before="22"/>
              <w:ind w:left="66" w:right="218"/>
              <w:rPr>
                <w:sz w:val="20"/>
              </w:rPr>
            </w:pPr>
            <w:r>
              <w:rPr>
                <w:sz w:val="20"/>
              </w:rPr>
              <w:t>If</w:t>
            </w:r>
            <w:r>
              <w:rPr>
                <w:spacing w:val="-10"/>
                <w:sz w:val="20"/>
              </w:rPr>
              <w:t> </w:t>
            </w:r>
            <w:r>
              <w:rPr>
                <w:spacing w:val="-3"/>
                <w:sz w:val="20"/>
              </w:rPr>
              <w:t>Timer</w:t>
            </w:r>
            <w:r>
              <w:rPr>
                <w:spacing w:val="-8"/>
                <w:sz w:val="20"/>
              </w:rPr>
              <w:t> </w:t>
            </w:r>
            <w:r>
              <w:rPr>
                <w:sz w:val="20"/>
              </w:rPr>
              <w:t>0</w:t>
            </w:r>
            <w:r>
              <w:rPr>
                <w:spacing w:val="-9"/>
                <w:sz w:val="20"/>
              </w:rPr>
              <w:t> </w:t>
            </w:r>
            <w:r>
              <w:rPr>
                <w:rFonts w:ascii="Times New Roman"/>
                <w:i/>
                <w:sz w:val="20"/>
              </w:rPr>
              <w:t>M1</w:t>
            </w:r>
            <w:r>
              <w:rPr>
                <w:rFonts w:ascii="Times New Roman"/>
                <w:i/>
                <w:spacing w:val="-2"/>
                <w:sz w:val="20"/>
              </w:rPr>
              <w:t> </w:t>
            </w:r>
            <w:r>
              <w:rPr>
                <w:sz w:val="20"/>
              </w:rPr>
              <w:t>and</w:t>
            </w:r>
            <w:r>
              <w:rPr>
                <w:spacing w:val="-9"/>
                <w:sz w:val="20"/>
              </w:rPr>
              <w:t> </w:t>
            </w:r>
            <w:r>
              <w:rPr>
                <w:rFonts w:ascii="Times New Roman"/>
                <w:i/>
                <w:sz w:val="20"/>
              </w:rPr>
              <w:t>M0</w:t>
            </w:r>
            <w:r>
              <w:rPr>
                <w:rFonts w:ascii="Times New Roman"/>
                <w:i/>
                <w:spacing w:val="-2"/>
                <w:sz w:val="20"/>
              </w:rPr>
              <w:t> </w:t>
            </w:r>
            <w:r>
              <w:rPr>
                <w:spacing w:val="-3"/>
                <w:sz w:val="20"/>
              </w:rPr>
              <w:t>bits</w:t>
            </w:r>
            <w:r>
              <w:rPr>
                <w:spacing w:val="-7"/>
                <w:sz w:val="20"/>
              </w:rPr>
              <w:t> </w:t>
            </w:r>
            <w:r>
              <w:rPr>
                <w:spacing w:val="-3"/>
                <w:sz w:val="20"/>
              </w:rPr>
              <w:t>are</w:t>
            </w:r>
            <w:r>
              <w:rPr>
                <w:spacing w:val="-9"/>
                <w:sz w:val="20"/>
              </w:rPr>
              <w:t> </w:t>
            </w:r>
            <w:r>
              <w:rPr>
                <w:sz w:val="20"/>
              </w:rPr>
              <w:t>set</w:t>
            </w:r>
            <w:r>
              <w:rPr>
                <w:spacing w:val="-9"/>
                <w:sz w:val="20"/>
              </w:rPr>
              <w:t> </w:t>
            </w:r>
            <w:r>
              <w:rPr>
                <w:sz w:val="20"/>
              </w:rPr>
              <w:t>to</w:t>
            </w:r>
            <w:r>
              <w:rPr>
                <w:spacing w:val="-9"/>
                <w:sz w:val="20"/>
              </w:rPr>
              <w:t> </w:t>
            </w:r>
            <w:r>
              <w:rPr>
                <w:sz w:val="20"/>
              </w:rPr>
              <w:t>1,</w:t>
            </w:r>
            <w:r>
              <w:rPr>
                <w:spacing w:val="-11"/>
                <w:sz w:val="20"/>
              </w:rPr>
              <w:t> </w:t>
            </w:r>
            <w:r>
              <w:rPr>
                <w:sz w:val="20"/>
              </w:rPr>
              <w:t>Timer</w:t>
            </w:r>
            <w:r>
              <w:rPr>
                <w:spacing w:val="-8"/>
                <w:sz w:val="20"/>
              </w:rPr>
              <w:t> </w:t>
            </w:r>
            <w:r>
              <w:rPr>
                <w:sz w:val="20"/>
              </w:rPr>
              <w:t>0</w:t>
            </w:r>
            <w:r>
              <w:rPr>
                <w:spacing w:val="-9"/>
                <w:sz w:val="20"/>
              </w:rPr>
              <w:t> </w:t>
            </w:r>
            <w:r>
              <w:rPr>
                <w:spacing w:val="-3"/>
                <w:sz w:val="20"/>
              </w:rPr>
              <w:t>acts</w:t>
            </w:r>
            <w:r>
              <w:rPr>
                <w:spacing w:val="-7"/>
                <w:sz w:val="20"/>
              </w:rPr>
              <w:t> </w:t>
            </w:r>
            <w:r>
              <w:rPr>
                <w:spacing w:val="-3"/>
                <w:sz w:val="20"/>
              </w:rPr>
              <w:t>as</w:t>
            </w:r>
            <w:r>
              <w:rPr>
                <w:spacing w:val="-8"/>
                <w:sz w:val="20"/>
              </w:rPr>
              <w:t> </w:t>
            </w:r>
            <w:r>
              <w:rPr>
                <w:spacing w:val="-4"/>
                <w:sz w:val="20"/>
              </w:rPr>
              <w:t>two</w:t>
            </w:r>
            <w:r>
              <w:rPr>
                <w:spacing w:val="-9"/>
                <w:sz w:val="20"/>
              </w:rPr>
              <w:t> </w:t>
            </w:r>
            <w:r>
              <w:rPr>
                <w:spacing w:val="-3"/>
                <w:sz w:val="20"/>
              </w:rPr>
              <w:t>independent </w:t>
            </w:r>
            <w:r>
              <w:rPr>
                <w:sz w:val="20"/>
              </w:rPr>
              <w:t>8-bit</w:t>
            </w:r>
            <w:r>
              <w:rPr>
                <w:spacing w:val="-2"/>
                <w:sz w:val="20"/>
              </w:rPr>
              <w:t> </w:t>
            </w:r>
            <w:r>
              <w:rPr>
                <w:sz w:val="20"/>
              </w:rPr>
              <w:t>Timer/Counters.</w:t>
            </w:r>
          </w:p>
        </w:tc>
      </w:tr>
    </w:tbl>
    <w:p>
      <w:pPr>
        <w:pStyle w:val="BodyText"/>
        <w:rPr>
          <w:b/>
          <w:sz w:val="30"/>
        </w:rPr>
      </w:pPr>
    </w:p>
    <w:p>
      <w:pPr>
        <w:pStyle w:val="BodyText"/>
        <w:spacing w:line="231" w:lineRule="exact"/>
        <w:ind w:left="1131"/>
        <w:rPr>
          <w:rFonts w:ascii="Times New Roman"/>
          <w:i/>
        </w:rPr>
      </w:pPr>
      <w:r>
        <w:rPr/>
        <w:drawing>
          <wp:anchor distT="0" distB="0" distL="0" distR="0" allowOverlap="1" layoutInCell="1" locked="0" behindDoc="0" simplePos="0" relativeHeight="15764992">
            <wp:simplePos x="0" y="0"/>
            <wp:positionH relativeFrom="page">
              <wp:posOffset>919528</wp:posOffset>
            </wp:positionH>
            <wp:positionV relativeFrom="paragraph">
              <wp:posOffset>3806</wp:posOffset>
            </wp:positionV>
            <wp:extent cx="194896" cy="314323"/>
            <wp:effectExtent l="0" t="0" r="0" b="0"/>
            <wp:wrapNone/>
            <wp:docPr id="31" name="image64.png" descr="checkmark_-bottomheavy-60-blue"/>
            <wp:cNvGraphicFramePr>
              <a:graphicFrameLocks noChangeAspect="1"/>
            </wp:cNvGraphicFramePr>
            <a:graphic>
              <a:graphicData uri="http://schemas.openxmlformats.org/drawingml/2006/picture">
                <pic:pic>
                  <pic:nvPicPr>
                    <pic:cNvPr id="32" name="image64.png"/>
                    <pic:cNvPicPr/>
                  </pic:nvPicPr>
                  <pic:blipFill>
                    <a:blip r:embed="rId73" cstate="print"/>
                    <a:stretch>
                      <a:fillRect/>
                    </a:stretch>
                  </pic:blipFill>
                  <pic:spPr>
                    <a:xfrm>
                      <a:off x="0" y="0"/>
                      <a:ext cx="194896" cy="314323"/>
                    </a:xfrm>
                    <a:prstGeom prst="rect">
                      <a:avLst/>
                    </a:prstGeom>
                  </pic:spPr>
                </pic:pic>
              </a:graphicData>
            </a:graphic>
          </wp:anchor>
        </w:drawing>
      </w:r>
      <w:r>
        <w:rPr/>
        <w:t>In Mode 3, </w:t>
      </w:r>
      <w:r>
        <w:rPr>
          <w:rFonts w:ascii="Times New Roman"/>
          <w:i/>
        </w:rPr>
        <w:t>TL0 </w:t>
      </w:r>
      <w:r>
        <w:rPr/>
        <w:t>is affected by </w:t>
      </w:r>
      <w:r>
        <w:rPr>
          <w:rFonts w:ascii="Times New Roman"/>
          <w:i/>
        </w:rPr>
        <w:t>TR0 </w:t>
      </w:r>
      <w:r>
        <w:rPr/>
        <w:t>and gate control bits, and sets the </w:t>
      </w:r>
      <w:r>
        <w:rPr>
          <w:rFonts w:ascii="Times New Roman"/>
          <w:i/>
        </w:rPr>
        <w:t>TF0 </w:t>
      </w:r>
      <w:r>
        <w:rPr/>
        <w:t>flag on overflow, while </w:t>
      </w:r>
      <w:r>
        <w:rPr>
          <w:rFonts w:ascii="Times New Roman"/>
          <w:i/>
        </w:rPr>
        <w:t>TH0</w:t>
      </w:r>
    </w:p>
    <w:p>
      <w:pPr>
        <w:pStyle w:val="BodyText"/>
        <w:ind w:left="1131"/>
      </w:pPr>
      <w:r>
        <w:rPr/>
        <w:t>is affected by the </w:t>
      </w:r>
      <w:r>
        <w:rPr>
          <w:rFonts w:ascii="Times New Roman"/>
          <w:i/>
        </w:rPr>
        <w:t>TR1 </w:t>
      </w:r>
      <w:r>
        <w:rPr/>
        <w:t>bit, and the </w:t>
      </w:r>
      <w:r>
        <w:rPr>
          <w:rFonts w:ascii="Times New Roman"/>
          <w:i/>
        </w:rPr>
        <w:t>TF1 </w:t>
      </w:r>
      <w:r>
        <w:rPr/>
        <w:t>flag is set on overflow.</w:t>
      </w:r>
    </w:p>
    <w:p>
      <w:pPr>
        <w:pStyle w:val="BodyText"/>
        <w:spacing w:before="125"/>
        <w:ind w:left="620"/>
      </w:pPr>
      <w:hyperlink w:history="true" w:anchor="_bookmark70">
        <w:r>
          <w:rPr>
            <w:color w:val="0000FF"/>
          </w:rPr>
          <w:t>Table 22 </w:t>
        </w:r>
      </w:hyperlink>
      <w:r>
        <w:rPr/>
        <w:t>specifies the combinations of operation modes allowed for Timer 0 and Timer 1.</w:t>
      </w:r>
    </w:p>
    <w:p>
      <w:pPr>
        <w:pStyle w:val="BodyText"/>
        <w:spacing w:before="7"/>
        <w:rPr>
          <w:sz w:val="19"/>
        </w:rPr>
      </w:pPr>
    </w:p>
    <w:p>
      <w:pPr>
        <w:pStyle w:val="Heading1"/>
        <w:ind w:left="1318" w:right="1278"/>
      </w:pPr>
      <w:bookmarkStart w:name="_bookmark70" w:id="151"/>
      <w:bookmarkEnd w:id="151"/>
      <w:r>
        <w:rPr>
          <w:b w:val="0"/>
        </w:rPr>
      </w:r>
      <w:r>
        <w:rPr/>
        <w:t>Table 22: Allowed Timer/Counter Mode Combinations</w:t>
      </w:r>
    </w:p>
    <w:p>
      <w:pPr>
        <w:pStyle w:val="BodyText"/>
        <w:spacing w:before="8"/>
        <w:rPr>
          <w:b/>
          <w:sz w:val="5"/>
        </w:rPr>
      </w:pPr>
    </w:p>
    <w:tbl>
      <w:tblPr>
        <w:tblW w:w="0" w:type="auto"/>
        <w:jc w:val="left"/>
        <w:tblInd w:w="1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6"/>
        <w:gridCol w:w="1584"/>
        <w:gridCol w:w="1493"/>
        <w:gridCol w:w="1387"/>
      </w:tblGrid>
      <w:tr>
        <w:trPr>
          <w:trHeight w:val="299" w:hRule="atLeast"/>
        </w:trPr>
        <w:tc>
          <w:tcPr>
            <w:tcW w:w="2196" w:type="dxa"/>
            <w:vMerge w:val="restart"/>
            <w:tcBorders>
              <w:bottom w:val="double" w:sz="1" w:space="0" w:color="000000"/>
            </w:tcBorders>
          </w:tcPr>
          <w:p>
            <w:pPr>
              <w:pStyle w:val="TableParagraph"/>
              <w:rPr>
                <w:rFonts w:ascii="Times New Roman"/>
                <w:sz w:val="18"/>
              </w:rPr>
            </w:pPr>
          </w:p>
        </w:tc>
        <w:tc>
          <w:tcPr>
            <w:tcW w:w="4464" w:type="dxa"/>
            <w:gridSpan w:val="3"/>
          </w:tcPr>
          <w:p>
            <w:pPr>
              <w:pStyle w:val="TableParagraph"/>
              <w:spacing w:before="35"/>
              <w:ind w:left="1853" w:right="1849"/>
              <w:jc w:val="center"/>
              <w:rPr>
                <w:b/>
                <w:sz w:val="20"/>
              </w:rPr>
            </w:pPr>
            <w:r>
              <w:rPr>
                <w:b/>
                <w:sz w:val="20"/>
              </w:rPr>
              <w:t>Timer 1</w:t>
            </w:r>
          </w:p>
        </w:tc>
      </w:tr>
      <w:tr>
        <w:trPr>
          <w:trHeight w:val="301" w:hRule="atLeast"/>
        </w:trPr>
        <w:tc>
          <w:tcPr>
            <w:tcW w:w="2196" w:type="dxa"/>
            <w:vMerge/>
            <w:tcBorders>
              <w:top w:val="nil"/>
              <w:bottom w:val="double" w:sz="1" w:space="0" w:color="000000"/>
            </w:tcBorders>
          </w:tcPr>
          <w:p>
            <w:pPr>
              <w:rPr>
                <w:sz w:val="2"/>
                <w:szCs w:val="2"/>
              </w:rPr>
            </w:pPr>
          </w:p>
        </w:tc>
        <w:tc>
          <w:tcPr>
            <w:tcW w:w="1584" w:type="dxa"/>
            <w:tcBorders>
              <w:bottom w:val="double" w:sz="1" w:space="0" w:color="000000"/>
            </w:tcBorders>
          </w:tcPr>
          <w:p>
            <w:pPr>
              <w:pStyle w:val="TableParagraph"/>
              <w:spacing w:before="28"/>
              <w:ind w:left="244" w:right="242"/>
              <w:jc w:val="center"/>
              <w:rPr>
                <w:b/>
                <w:sz w:val="20"/>
              </w:rPr>
            </w:pPr>
            <w:r>
              <w:rPr>
                <w:b/>
                <w:sz w:val="20"/>
              </w:rPr>
              <w:t>Mode 0</w:t>
            </w:r>
          </w:p>
        </w:tc>
        <w:tc>
          <w:tcPr>
            <w:tcW w:w="1493" w:type="dxa"/>
            <w:tcBorders>
              <w:bottom w:val="double" w:sz="1" w:space="0" w:color="000000"/>
            </w:tcBorders>
          </w:tcPr>
          <w:p>
            <w:pPr>
              <w:pStyle w:val="TableParagraph"/>
              <w:spacing w:before="28"/>
              <w:ind w:left="199" w:right="197"/>
              <w:jc w:val="center"/>
              <w:rPr>
                <w:b/>
                <w:sz w:val="20"/>
              </w:rPr>
            </w:pPr>
            <w:r>
              <w:rPr>
                <w:b/>
                <w:sz w:val="20"/>
              </w:rPr>
              <w:t>Mode 1</w:t>
            </w:r>
          </w:p>
        </w:tc>
        <w:tc>
          <w:tcPr>
            <w:tcW w:w="1387" w:type="dxa"/>
            <w:tcBorders>
              <w:bottom w:val="double" w:sz="1" w:space="0" w:color="000000"/>
            </w:tcBorders>
          </w:tcPr>
          <w:p>
            <w:pPr>
              <w:pStyle w:val="TableParagraph"/>
              <w:spacing w:before="28"/>
              <w:ind w:left="327" w:right="320"/>
              <w:jc w:val="center"/>
              <w:rPr>
                <w:b/>
                <w:sz w:val="20"/>
              </w:rPr>
            </w:pPr>
            <w:r>
              <w:rPr>
                <w:b/>
                <w:sz w:val="20"/>
              </w:rPr>
              <w:t>Mode 2</w:t>
            </w:r>
          </w:p>
        </w:tc>
      </w:tr>
      <w:tr>
        <w:trPr>
          <w:trHeight w:val="270" w:hRule="atLeast"/>
        </w:trPr>
        <w:tc>
          <w:tcPr>
            <w:tcW w:w="2196" w:type="dxa"/>
            <w:tcBorders>
              <w:top w:val="double" w:sz="1" w:space="0" w:color="000000"/>
            </w:tcBorders>
          </w:tcPr>
          <w:p>
            <w:pPr>
              <w:pStyle w:val="TableParagraph"/>
              <w:spacing w:before="16"/>
              <w:ind w:left="278" w:right="278"/>
              <w:jc w:val="center"/>
              <w:rPr>
                <w:b/>
                <w:sz w:val="20"/>
              </w:rPr>
            </w:pPr>
            <w:r>
              <w:rPr>
                <w:b/>
                <w:sz w:val="20"/>
              </w:rPr>
              <w:t>Timer 0 - mode 0</w:t>
            </w:r>
          </w:p>
        </w:tc>
        <w:tc>
          <w:tcPr>
            <w:tcW w:w="1584" w:type="dxa"/>
            <w:tcBorders>
              <w:top w:val="double" w:sz="1" w:space="0" w:color="000000"/>
            </w:tcBorders>
          </w:tcPr>
          <w:p>
            <w:pPr>
              <w:pStyle w:val="TableParagraph"/>
              <w:spacing w:before="18"/>
              <w:ind w:left="244" w:right="244"/>
              <w:jc w:val="center"/>
              <w:rPr>
                <w:sz w:val="20"/>
              </w:rPr>
            </w:pPr>
            <w:r>
              <w:rPr>
                <w:sz w:val="20"/>
              </w:rPr>
              <w:t>Yes</w:t>
            </w:r>
          </w:p>
        </w:tc>
        <w:tc>
          <w:tcPr>
            <w:tcW w:w="1493" w:type="dxa"/>
            <w:tcBorders>
              <w:top w:val="double" w:sz="1" w:space="0" w:color="000000"/>
            </w:tcBorders>
          </w:tcPr>
          <w:p>
            <w:pPr>
              <w:pStyle w:val="TableParagraph"/>
              <w:spacing w:before="18"/>
              <w:ind w:left="199" w:right="199"/>
              <w:jc w:val="center"/>
              <w:rPr>
                <w:sz w:val="20"/>
              </w:rPr>
            </w:pPr>
            <w:r>
              <w:rPr>
                <w:sz w:val="20"/>
              </w:rPr>
              <w:t>Yes</w:t>
            </w:r>
          </w:p>
        </w:tc>
        <w:tc>
          <w:tcPr>
            <w:tcW w:w="1387" w:type="dxa"/>
            <w:tcBorders>
              <w:top w:val="double" w:sz="1" w:space="0" w:color="000000"/>
            </w:tcBorders>
          </w:tcPr>
          <w:p>
            <w:pPr>
              <w:pStyle w:val="TableParagraph"/>
              <w:spacing w:before="18"/>
              <w:ind w:left="325" w:right="320"/>
              <w:jc w:val="center"/>
              <w:rPr>
                <w:sz w:val="20"/>
              </w:rPr>
            </w:pPr>
            <w:r>
              <w:rPr>
                <w:sz w:val="20"/>
              </w:rPr>
              <w:t>Yes</w:t>
            </w:r>
          </w:p>
        </w:tc>
      </w:tr>
      <w:tr>
        <w:trPr>
          <w:trHeight w:val="268" w:hRule="atLeast"/>
        </w:trPr>
        <w:tc>
          <w:tcPr>
            <w:tcW w:w="2196" w:type="dxa"/>
          </w:tcPr>
          <w:p>
            <w:pPr>
              <w:pStyle w:val="TableParagraph"/>
              <w:spacing w:before="16"/>
              <w:ind w:left="278" w:right="278"/>
              <w:jc w:val="center"/>
              <w:rPr>
                <w:b/>
                <w:sz w:val="20"/>
              </w:rPr>
            </w:pPr>
            <w:r>
              <w:rPr>
                <w:b/>
                <w:sz w:val="20"/>
              </w:rPr>
              <w:t>Timer 0 - mode 1</w:t>
            </w:r>
          </w:p>
        </w:tc>
        <w:tc>
          <w:tcPr>
            <w:tcW w:w="1584" w:type="dxa"/>
          </w:tcPr>
          <w:p>
            <w:pPr>
              <w:pStyle w:val="TableParagraph"/>
              <w:spacing w:before="18"/>
              <w:ind w:left="244" w:right="244"/>
              <w:jc w:val="center"/>
              <w:rPr>
                <w:sz w:val="20"/>
              </w:rPr>
            </w:pPr>
            <w:r>
              <w:rPr>
                <w:sz w:val="20"/>
              </w:rPr>
              <w:t>Yes</w:t>
            </w:r>
          </w:p>
        </w:tc>
        <w:tc>
          <w:tcPr>
            <w:tcW w:w="1493" w:type="dxa"/>
          </w:tcPr>
          <w:p>
            <w:pPr>
              <w:pStyle w:val="TableParagraph"/>
              <w:spacing w:before="18"/>
              <w:ind w:left="199" w:right="199"/>
              <w:jc w:val="center"/>
              <w:rPr>
                <w:sz w:val="20"/>
              </w:rPr>
            </w:pPr>
            <w:r>
              <w:rPr>
                <w:sz w:val="20"/>
              </w:rPr>
              <w:t>Yes</w:t>
            </w:r>
          </w:p>
        </w:tc>
        <w:tc>
          <w:tcPr>
            <w:tcW w:w="1387" w:type="dxa"/>
          </w:tcPr>
          <w:p>
            <w:pPr>
              <w:pStyle w:val="TableParagraph"/>
              <w:spacing w:before="18"/>
              <w:ind w:left="325" w:right="320"/>
              <w:jc w:val="center"/>
              <w:rPr>
                <w:sz w:val="20"/>
              </w:rPr>
            </w:pPr>
            <w:r>
              <w:rPr>
                <w:sz w:val="20"/>
              </w:rPr>
              <w:t>Yes</w:t>
            </w:r>
          </w:p>
        </w:tc>
      </w:tr>
      <w:tr>
        <w:trPr>
          <w:trHeight w:val="270" w:hRule="atLeast"/>
        </w:trPr>
        <w:tc>
          <w:tcPr>
            <w:tcW w:w="2196" w:type="dxa"/>
          </w:tcPr>
          <w:p>
            <w:pPr>
              <w:pStyle w:val="TableParagraph"/>
              <w:spacing w:before="18"/>
              <w:ind w:left="278" w:right="278"/>
              <w:jc w:val="center"/>
              <w:rPr>
                <w:b/>
                <w:sz w:val="20"/>
              </w:rPr>
            </w:pPr>
            <w:r>
              <w:rPr>
                <w:b/>
                <w:sz w:val="20"/>
              </w:rPr>
              <w:t>Timer 0 - mode 2</w:t>
            </w:r>
          </w:p>
        </w:tc>
        <w:tc>
          <w:tcPr>
            <w:tcW w:w="1584" w:type="dxa"/>
          </w:tcPr>
          <w:p>
            <w:pPr>
              <w:pStyle w:val="TableParagraph"/>
              <w:spacing w:before="21"/>
              <w:ind w:left="244" w:right="244"/>
              <w:jc w:val="center"/>
              <w:rPr>
                <w:sz w:val="20"/>
              </w:rPr>
            </w:pPr>
            <w:r>
              <w:rPr>
                <w:sz w:val="20"/>
              </w:rPr>
              <w:t>Not allowed</w:t>
            </w:r>
          </w:p>
        </w:tc>
        <w:tc>
          <w:tcPr>
            <w:tcW w:w="1493" w:type="dxa"/>
          </w:tcPr>
          <w:p>
            <w:pPr>
              <w:pStyle w:val="TableParagraph"/>
              <w:spacing w:before="21"/>
              <w:ind w:left="199" w:right="199"/>
              <w:jc w:val="center"/>
              <w:rPr>
                <w:sz w:val="20"/>
              </w:rPr>
            </w:pPr>
            <w:r>
              <w:rPr>
                <w:sz w:val="20"/>
              </w:rPr>
              <w:t>Not allowed</w:t>
            </w:r>
          </w:p>
        </w:tc>
        <w:tc>
          <w:tcPr>
            <w:tcW w:w="1387" w:type="dxa"/>
          </w:tcPr>
          <w:p>
            <w:pPr>
              <w:pStyle w:val="TableParagraph"/>
              <w:spacing w:before="21"/>
              <w:ind w:left="325" w:right="320"/>
              <w:jc w:val="center"/>
              <w:rPr>
                <w:sz w:val="20"/>
              </w:rPr>
            </w:pPr>
            <w:r>
              <w:rPr>
                <w:sz w:val="20"/>
              </w:rPr>
              <w:t>Yes</w:t>
            </w:r>
          </w:p>
        </w:tc>
      </w:tr>
    </w:tbl>
    <w:p>
      <w:pPr>
        <w:spacing w:after="0"/>
        <w:jc w:val="center"/>
        <w:rPr>
          <w:sz w:val="20"/>
        </w:rPr>
        <w:sectPr>
          <w:pgSz w:w="12240" w:h="15840"/>
          <w:pgMar w:header="727" w:footer="819" w:top="960" w:bottom="1000" w:left="820" w:right="860"/>
        </w:sectPr>
      </w:pPr>
    </w:p>
    <w:p>
      <w:pPr>
        <w:pStyle w:val="BodyText"/>
        <w:spacing w:before="3"/>
        <w:rPr>
          <w:b/>
          <w:sz w:val="16"/>
        </w:rPr>
      </w:pPr>
    </w:p>
    <w:p>
      <w:pPr>
        <w:pStyle w:val="Heading1"/>
        <w:spacing w:before="93"/>
        <w:ind w:left="1313" w:right="1278"/>
      </w:pPr>
      <w:bookmarkStart w:name="_bookmark72" w:id="152"/>
      <w:bookmarkEnd w:id="152"/>
      <w:r>
        <w:rPr>
          <w:b w:val="0"/>
        </w:rPr>
      </w:r>
      <w:r>
        <w:rPr/>
        <w:t>Table 23: </w:t>
      </w:r>
      <w:r>
        <w:rPr>
          <w:rFonts w:ascii="Times New Roman"/>
          <w:i/>
        </w:rPr>
        <w:t>TMOD </w:t>
      </w:r>
      <w:r>
        <w:rPr/>
        <w:t>Register Bit Description (SFR 0x89)</w:t>
      </w:r>
    </w:p>
    <w:p>
      <w:pPr>
        <w:pStyle w:val="BodyText"/>
        <w:spacing w:before="2"/>
        <w:rPr>
          <w:b/>
          <w:sz w:val="5"/>
        </w:rPr>
      </w:pPr>
    </w:p>
    <w:tbl>
      <w:tblPr>
        <w:tblW w:w="0" w:type="auto"/>
        <w:jc w:val="left"/>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8"/>
        <w:gridCol w:w="1169"/>
        <w:gridCol w:w="6874"/>
      </w:tblGrid>
      <w:tr>
        <w:trPr>
          <w:trHeight w:val="304" w:hRule="atLeast"/>
        </w:trPr>
        <w:tc>
          <w:tcPr>
            <w:tcW w:w="1318" w:type="dxa"/>
            <w:tcBorders>
              <w:bottom w:val="single" w:sz="6" w:space="0" w:color="000000"/>
              <w:right w:val="single" w:sz="6" w:space="0" w:color="000000"/>
            </w:tcBorders>
          </w:tcPr>
          <w:p>
            <w:pPr>
              <w:pStyle w:val="TableParagraph"/>
              <w:spacing w:before="30"/>
              <w:ind w:left="501" w:right="496"/>
              <w:jc w:val="center"/>
              <w:rPr>
                <w:b/>
                <w:sz w:val="20"/>
              </w:rPr>
            </w:pPr>
            <w:r>
              <w:rPr>
                <w:b/>
                <w:sz w:val="20"/>
              </w:rPr>
              <w:t>Bit</w:t>
            </w:r>
          </w:p>
        </w:tc>
        <w:tc>
          <w:tcPr>
            <w:tcW w:w="1169" w:type="dxa"/>
            <w:tcBorders>
              <w:left w:val="single" w:sz="6" w:space="0" w:color="000000"/>
              <w:bottom w:val="single" w:sz="6" w:space="0" w:color="000000"/>
              <w:right w:val="single" w:sz="6" w:space="0" w:color="000000"/>
            </w:tcBorders>
          </w:tcPr>
          <w:p>
            <w:pPr>
              <w:pStyle w:val="TableParagraph"/>
              <w:spacing w:before="30"/>
              <w:ind w:left="220"/>
              <w:rPr>
                <w:b/>
                <w:sz w:val="20"/>
              </w:rPr>
            </w:pPr>
            <w:r>
              <w:rPr>
                <w:b/>
                <w:sz w:val="20"/>
              </w:rPr>
              <w:t>Symbol</w:t>
            </w:r>
          </w:p>
        </w:tc>
        <w:tc>
          <w:tcPr>
            <w:tcW w:w="6874" w:type="dxa"/>
            <w:tcBorders>
              <w:left w:val="single" w:sz="6" w:space="0" w:color="000000"/>
              <w:bottom w:val="single" w:sz="6" w:space="0" w:color="000000"/>
            </w:tcBorders>
          </w:tcPr>
          <w:p>
            <w:pPr>
              <w:pStyle w:val="TableParagraph"/>
              <w:spacing w:before="30"/>
              <w:ind w:left="2988" w:right="2988"/>
              <w:jc w:val="center"/>
              <w:rPr>
                <w:b/>
                <w:sz w:val="20"/>
              </w:rPr>
            </w:pPr>
            <w:r>
              <w:rPr>
                <w:b/>
                <w:sz w:val="20"/>
              </w:rPr>
              <w:t>Function</w:t>
            </w:r>
          </w:p>
        </w:tc>
      </w:tr>
      <w:tr>
        <w:trPr>
          <w:trHeight w:val="263" w:hRule="atLeast"/>
        </w:trPr>
        <w:tc>
          <w:tcPr>
            <w:tcW w:w="9361" w:type="dxa"/>
            <w:gridSpan w:val="3"/>
            <w:tcBorders>
              <w:top w:val="single" w:sz="6" w:space="0" w:color="000000"/>
              <w:bottom w:val="single" w:sz="6" w:space="0" w:color="000000"/>
            </w:tcBorders>
          </w:tcPr>
          <w:p>
            <w:pPr>
              <w:pStyle w:val="TableParagraph"/>
              <w:spacing w:before="11"/>
              <w:ind w:left="69"/>
              <w:rPr>
                <w:b/>
                <w:sz w:val="20"/>
              </w:rPr>
            </w:pPr>
            <w:r>
              <w:rPr>
                <w:b/>
                <w:sz w:val="20"/>
              </w:rPr>
              <w:t>Timer/Counter 1:</w:t>
            </w:r>
          </w:p>
        </w:tc>
      </w:tr>
      <w:tr>
        <w:trPr>
          <w:trHeight w:val="1381" w:hRule="atLeast"/>
        </w:trPr>
        <w:tc>
          <w:tcPr>
            <w:tcW w:w="1318" w:type="dxa"/>
            <w:tcBorders>
              <w:top w:val="single" w:sz="6" w:space="0" w:color="000000"/>
              <w:bottom w:val="single" w:sz="6" w:space="0" w:color="000000"/>
              <w:right w:val="single" w:sz="6" w:space="0" w:color="000000"/>
            </w:tcBorders>
          </w:tcPr>
          <w:p>
            <w:pPr>
              <w:pStyle w:val="TableParagraph"/>
              <w:spacing w:before="9"/>
              <w:ind w:left="69"/>
              <w:rPr>
                <w:rFonts w:ascii="Times New Roman"/>
                <w:i/>
                <w:sz w:val="20"/>
              </w:rPr>
            </w:pPr>
            <w:r>
              <w:rPr>
                <w:rFonts w:ascii="Times New Roman"/>
                <w:i/>
                <w:sz w:val="20"/>
              </w:rPr>
              <w:t>TMOD[7]</w:t>
            </w:r>
          </w:p>
        </w:tc>
        <w:tc>
          <w:tcPr>
            <w:tcW w:w="1169" w:type="dxa"/>
            <w:tcBorders>
              <w:top w:val="single" w:sz="6" w:space="0" w:color="000000"/>
              <w:left w:val="single" w:sz="6" w:space="0" w:color="000000"/>
              <w:bottom w:val="single" w:sz="6" w:space="0" w:color="000000"/>
              <w:right w:val="single" w:sz="6" w:space="0" w:color="000000"/>
            </w:tcBorders>
          </w:tcPr>
          <w:p>
            <w:pPr>
              <w:pStyle w:val="TableParagraph"/>
              <w:spacing w:before="9"/>
              <w:ind w:left="66"/>
              <w:rPr>
                <w:rFonts w:ascii="Times New Roman"/>
                <w:i/>
                <w:sz w:val="20"/>
              </w:rPr>
            </w:pPr>
            <w:r>
              <w:rPr>
                <w:rFonts w:ascii="Times New Roman"/>
                <w:i/>
                <w:sz w:val="20"/>
              </w:rPr>
              <w:t>Gate</w:t>
            </w:r>
          </w:p>
        </w:tc>
        <w:tc>
          <w:tcPr>
            <w:tcW w:w="6874" w:type="dxa"/>
            <w:tcBorders>
              <w:top w:val="single" w:sz="6" w:space="0" w:color="000000"/>
              <w:left w:val="single" w:sz="6" w:space="0" w:color="000000"/>
              <w:bottom w:val="single" w:sz="6" w:space="0" w:color="000000"/>
            </w:tcBorders>
          </w:tcPr>
          <w:p>
            <w:pPr>
              <w:pStyle w:val="TableParagraph"/>
              <w:spacing w:line="232" w:lineRule="auto" w:before="14"/>
              <w:ind w:left="65" w:right="46"/>
              <w:rPr>
                <w:sz w:val="20"/>
              </w:rPr>
            </w:pPr>
            <w:r>
              <w:rPr>
                <w:sz w:val="20"/>
              </w:rPr>
              <w:t>If </w:t>
            </w:r>
            <w:r>
              <w:rPr>
                <w:rFonts w:ascii="Times New Roman"/>
                <w:i/>
                <w:sz w:val="20"/>
              </w:rPr>
              <w:t>TMOD[7] </w:t>
            </w:r>
            <w:r>
              <w:rPr>
                <w:sz w:val="20"/>
              </w:rPr>
              <w:t>is set, external input signal control is enabled for Counter 1. The </w:t>
            </w:r>
            <w:r>
              <w:rPr>
                <w:rFonts w:ascii="Times New Roman"/>
                <w:i/>
                <w:sz w:val="20"/>
              </w:rPr>
              <w:t>TR0</w:t>
            </w:r>
            <w:r>
              <w:rPr>
                <w:rFonts w:ascii="Times New Roman"/>
                <w:i/>
                <w:spacing w:val="-7"/>
                <w:sz w:val="20"/>
              </w:rPr>
              <w:t> </w:t>
            </w:r>
            <w:r>
              <w:rPr>
                <w:sz w:val="20"/>
              </w:rPr>
              <w:t>bit</w:t>
            </w:r>
            <w:r>
              <w:rPr>
                <w:spacing w:val="-10"/>
                <w:sz w:val="20"/>
              </w:rPr>
              <w:t> </w:t>
            </w:r>
            <w:r>
              <w:rPr>
                <w:sz w:val="20"/>
              </w:rPr>
              <w:t>in</w:t>
            </w:r>
            <w:r>
              <w:rPr>
                <w:spacing w:val="-13"/>
                <w:sz w:val="20"/>
              </w:rPr>
              <w:t> </w:t>
            </w:r>
            <w:r>
              <w:rPr>
                <w:sz w:val="20"/>
              </w:rPr>
              <w:t>the</w:t>
            </w:r>
            <w:r>
              <w:rPr>
                <w:spacing w:val="-12"/>
                <w:sz w:val="20"/>
              </w:rPr>
              <w:t> </w:t>
            </w:r>
            <w:r>
              <w:rPr>
                <w:rFonts w:ascii="Times New Roman"/>
                <w:i/>
                <w:sz w:val="20"/>
              </w:rPr>
              <w:t>TCON</w:t>
            </w:r>
            <w:r>
              <w:rPr>
                <w:rFonts w:ascii="Times New Roman"/>
                <w:i/>
                <w:spacing w:val="-8"/>
                <w:sz w:val="20"/>
              </w:rPr>
              <w:t> </w:t>
            </w:r>
            <w:r>
              <w:rPr>
                <w:sz w:val="20"/>
              </w:rPr>
              <w:t>register</w:t>
            </w:r>
            <w:r>
              <w:rPr>
                <w:spacing w:val="-10"/>
                <w:sz w:val="20"/>
              </w:rPr>
              <w:t> </w:t>
            </w:r>
            <w:r>
              <w:rPr>
                <w:sz w:val="20"/>
              </w:rPr>
              <w:t>(</w:t>
            </w:r>
            <w:r>
              <w:rPr>
                <w:rFonts w:ascii="Times New Roman"/>
                <w:i/>
                <w:sz w:val="20"/>
              </w:rPr>
              <w:t>SFR</w:t>
            </w:r>
            <w:r>
              <w:rPr>
                <w:rFonts w:ascii="Times New Roman"/>
                <w:i/>
                <w:spacing w:val="-11"/>
                <w:sz w:val="20"/>
              </w:rPr>
              <w:t> </w:t>
            </w:r>
            <w:r>
              <w:rPr>
                <w:rFonts w:ascii="Times New Roman"/>
                <w:i/>
                <w:sz w:val="20"/>
              </w:rPr>
              <w:t>0x88</w:t>
            </w:r>
            <w:r>
              <w:rPr>
                <w:sz w:val="20"/>
              </w:rPr>
              <w:t>)</w:t>
            </w:r>
            <w:r>
              <w:rPr>
                <w:spacing w:val="-14"/>
                <w:sz w:val="20"/>
              </w:rPr>
              <w:t> </w:t>
            </w:r>
            <w:r>
              <w:rPr>
                <w:sz w:val="20"/>
              </w:rPr>
              <w:t>must</w:t>
            </w:r>
            <w:r>
              <w:rPr>
                <w:spacing w:val="-13"/>
                <w:sz w:val="20"/>
              </w:rPr>
              <w:t> </w:t>
            </w:r>
            <w:r>
              <w:rPr>
                <w:sz w:val="20"/>
              </w:rPr>
              <w:t>also</w:t>
            </w:r>
            <w:r>
              <w:rPr>
                <w:spacing w:val="-11"/>
                <w:sz w:val="20"/>
              </w:rPr>
              <w:t> </w:t>
            </w:r>
            <w:r>
              <w:rPr>
                <w:sz w:val="20"/>
              </w:rPr>
              <w:t>be</w:t>
            </w:r>
            <w:r>
              <w:rPr>
                <w:spacing w:val="-12"/>
                <w:sz w:val="20"/>
              </w:rPr>
              <w:t> </w:t>
            </w:r>
            <w:r>
              <w:rPr>
                <w:sz w:val="20"/>
              </w:rPr>
              <w:t>set</w:t>
            </w:r>
            <w:r>
              <w:rPr>
                <w:spacing w:val="-8"/>
                <w:sz w:val="20"/>
              </w:rPr>
              <w:t> </w:t>
            </w:r>
            <w:r>
              <w:rPr>
                <w:sz w:val="20"/>
              </w:rPr>
              <w:t>in</w:t>
            </w:r>
            <w:r>
              <w:rPr>
                <w:spacing w:val="-12"/>
                <w:sz w:val="20"/>
              </w:rPr>
              <w:t> </w:t>
            </w:r>
            <w:r>
              <w:rPr>
                <w:sz w:val="20"/>
              </w:rPr>
              <w:t>order</w:t>
            </w:r>
            <w:r>
              <w:rPr>
                <w:spacing w:val="-12"/>
                <w:sz w:val="20"/>
              </w:rPr>
              <w:t> </w:t>
            </w:r>
            <w:r>
              <w:rPr>
                <w:sz w:val="20"/>
              </w:rPr>
              <w:t>for</w:t>
            </w:r>
            <w:r>
              <w:rPr>
                <w:spacing w:val="-11"/>
                <w:sz w:val="20"/>
              </w:rPr>
              <w:t> </w:t>
            </w:r>
            <w:r>
              <w:rPr>
                <w:sz w:val="20"/>
              </w:rPr>
              <w:t>Counter</w:t>
            </w:r>
            <w:r>
              <w:rPr>
                <w:spacing w:val="-10"/>
                <w:sz w:val="20"/>
              </w:rPr>
              <w:t> </w:t>
            </w:r>
            <w:r>
              <w:rPr>
                <w:sz w:val="20"/>
              </w:rPr>
              <w:t>0 to increment. With these settings, Counter 0 increments on every falling edge of the logic signal applied to one or more of the SEGDIO2-11 pins, as specified by the contents of the </w:t>
            </w:r>
            <w:r>
              <w:rPr>
                <w:rFonts w:ascii="Times New Roman"/>
                <w:i/>
                <w:sz w:val="20"/>
              </w:rPr>
              <w:t>DIO_R2 </w:t>
            </w:r>
            <w:r>
              <w:rPr>
                <w:sz w:val="20"/>
              </w:rPr>
              <w:t>through </w:t>
            </w:r>
            <w:r>
              <w:rPr>
                <w:rFonts w:ascii="Times New Roman"/>
                <w:i/>
                <w:sz w:val="20"/>
              </w:rPr>
              <w:t>DIO_R11 </w:t>
            </w:r>
            <w:r>
              <w:rPr>
                <w:sz w:val="20"/>
              </w:rPr>
              <w:t>registers.</w:t>
            </w:r>
            <w:r>
              <w:rPr>
                <w:spacing w:val="-9"/>
                <w:sz w:val="20"/>
              </w:rPr>
              <w:t> </w:t>
            </w:r>
            <w:r>
              <w:rPr>
                <w:sz w:val="20"/>
              </w:rPr>
              <w:t>See</w:t>
            </w:r>
          </w:p>
          <w:p>
            <w:pPr>
              <w:pStyle w:val="TableParagraph"/>
              <w:spacing w:line="227" w:lineRule="exact" w:before="2"/>
              <w:ind w:left="66"/>
              <w:rPr>
                <w:sz w:val="20"/>
              </w:rPr>
            </w:pPr>
            <w:hyperlink w:history="true" w:anchor="_bookmark117">
              <w:r>
                <w:rPr>
                  <w:color w:val="0000FF"/>
                  <w:sz w:val="20"/>
                </w:rPr>
                <w:t>2.5.10 </w:t>
              </w:r>
            </w:hyperlink>
            <w:hyperlink w:history="true" w:anchor="_bookmark117">
              <w:r>
                <w:rPr>
                  <w:color w:val="0000FF"/>
                  <w:sz w:val="20"/>
                </w:rPr>
                <w:t>Digital I/O and LCD Segment Drivers </w:t>
              </w:r>
            </w:hyperlink>
            <w:r>
              <w:rPr>
                <w:sz w:val="20"/>
              </w:rPr>
              <w:t>and </w:t>
            </w:r>
            <w:hyperlink w:history="true" w:anchor="_bookmark118">
              <w:r>
                <w:rPr>
                  <w:color w:val="0000FF"/>
                  <w:sz w:val="20"/>
                </w:rPr>
                <w:t>Table 46.</w:t>
              </w:r>
            </w:hyperlink>
          </w:p>
        </w:tc>
      </w:tr>
      <w:tr>
        <w:trPr>
          <w:trHeight w:val="486" w:hRule="atLeast"/>
        </w:trPr>
        <w:tc>
          <w:tcPr>
            <w:tcW w:w="1318" w:type="dxa"/>
            <w:tcBorders>
              <w:top w:val="single" w:sz="6" w:space="0" w:color="000000"/>
              <w:bottom w:val="single" w:sz="6" w:space="0" w:color="000000"/>
              <w:right w:val="single" w:sz="6" w:space="0" w:color="000000"/>
            </w:tcBorders>
          </w:tcPr>
          <w:p>
            <w:pPr>
              <w:pStyle w:val="TableParagraph"/>
              <w:spacing w:before="9"/>
              <w:ind w:left="69"/>
              <w:rPr>
                <w:rFonts w:ascii="Times New Roman"/>
                <w:i/>
                <w:sz w:val="20"/>
              </w:rPr>
            </w:pPr>
            <w:r>
              <w:rPr>
                <w:rFonts w:ascii="Times New Roman"/>
                <w:i/>
                <w:sz w:val="20"/>
              </w:rPr>
              <w:t>TMOD[6]</w:t>
            </w:r>
          </w:p>
        </w:tc>
        <w:tc>
          <w:tcPr>
            <w:tcW w:w="1169" w:type="dxa"/>
            <w:tcBorders>
              <w:top w:val="single" w:sz="6" w:space="0" w:color="000000"/>
              <w:left w:val="single" w:sz="6" w:space="0" w:color="000000"/>
              <w:bottom w:val="single" w:sz="6" w:space="0" w:color="000000"/>
              <w:right w:val="single" w:sz="6" w:space="0" w:color="000000"/>
            </w:tcBorders>
          </w:tcPr>
          <w:p>
            <w:pPr>
              <w:pStyle w:val="TableParagraph"/>
              <w:spacing w:before="9"/>
              <w:ind w:left="66"/>
              <w:rPr>
                <w:rFonts w:ascii="Times New Roman"/>
                <w:i/>
                <w:sz w:val="20"/>
              </w:rPr>
            </w:pPr>
            <w:r>
              <w:rPr>
                <w:rFonts w:ascii="Times New Roman"/>
                <w:i/>
                <w:sz w:val="20"/>
              </w:rPr>
              <w:t>C/T</w:t>
            </w:r>
          </w:p>
        </w:tc>
        <w:tc>
          <w:tcPr>
            <w:tcW w:w="6874" w:type="dxa"/>
            <w:tcBorders>
              <w:top w:val="single" w:sz="6" w:space="0" w:color="000000"/>
              <w:left w:val="single" w:sz="6" w:space="0" w:color="000000"/>
              <w:bottom w:val="single" w:sz="6" w:space="0" w:color="000000"/>
            </w:tcBorders>
          </w:tcPr>
          <w:p>
            <w:pPr>
              <w:pStyle w:val="TableParagraph"/>
              <w:spacing w:line="226" w:lineRule="exact" w:before="20"/>
              <w:ind w:left="66" w:right="110"/>
              <w:rPr>
                <w:sz w:val="20"/>
              </w:rPr>
            </w:pPr>
            <w:r>
              <w:rPr>
                <w:spacing w:val="-4"/>
                <w:sz w:val="20"/>
              </w:rPr>
              <w:t>Selects timer </w:t>
            </w:r>
            <w:r>
              <w:rPr>
                <w:spacing w:val="-3"/>
                <w:sz w:val="20"/>
              </w:rPr>
              <w:t>or </w:t>
            </w:r>
            <w:r>
              <w:rPr>
                <w:spacing w:val="-4"/>
                <w:sz w:val="20"/>
              </w:rPr>
              <w:t>counter operation. </w:t>
            </w:r>
            <w:r>
              <w:rPr>
                <w:sz w:val="20"/>
              </w:rPr>
              <w:t>When </w:t>
            </w:r>
            <w:r>
              <w:rPr>
                <w:spacing w:val="-3"/>
                <w:sz w:val="20"/>
              </w:rPr>
              <w:t>set </w:t>
            </w:r>
            <w:r>
              <w:rPr>
                <w:sz w:val="20"/>
              </w:rPr>
              <w:t>to </w:t>
            </w:r>
            <w:r>
              <w:rPr>
                <w:spacing w:val="-3"/>
                <w:sz w:val="20"/>
              </w:rPr>
              <w:t>1, </w:t>
            </w:r>
            <w:r>
              <w:rPr>
                <w:sz w:val="20"/>
              </w:rPr>
              <w:t>a </w:t>
            </w:r>
            <w:r>
              <w:rPr>
                <w:spacing w:val="-4"/>
                <w:sz w:val="20"/>
              </w:rPr>
              <w:t>counter operation </w:t>
            </w:r>
            <w:r>
              <w:rPr>
                <w:spacing w:val="-3"/>
                <w:sz w:val="20"/>
              </w:rPr>
              <w:t>is </w:t>
            </w:r>
            <w:r>
              <w:rPr>
                <w:spacing w:val="-5"/>
                <w:sz w:val="20"/>
              </w:rPr>
              <w:t>performed. </w:t>
            </w:r>
            <w:r>
              <w:rPr>
                <w:sz w:val="20"/>
              </w:rPr>
              <w:t>When </w:t>
            </w:r>
            <w:r>
              <w:rPr>
                <w:spacing w:val="-4"/>
                <w:sz w:val="20"/>
              </w:rPr>
              <w:t>cleared </w:t>
            </w:r>
            <w:r>
              <w:rPr>
                <w:sz w:val="20"/>
              </w:rPr>
              <w:t>to </w:t>
            </w:r>
            <w:r>
              <w:rPr>
                <w:spacing w:val="-3"/>
                <w:sz w:val="20"/>
              </w:rPr>
              <w:t>0, </w:t>
            </w:r>
            <w:r>
              <w:rPr>
                <w:sz w:val="20"/>
              </w:rPr>
              <w:t>the </w:t>
            </w:r>
            <w:r>
              <w:rPr>
                <w:spacing w:val="-4"/>
                <w:sz w:val="20"/>
              </w:rPr>
              <w:t>corresponding register functions </w:t>
            </w:r>
            <w:r>
              <w:rPr>
                <w:spacing w:val="-3"/>
                <w:sz w:val="20"/>
              </w:rPr>
              <w:t>as </w:t>
            </w:r>
            <w:r>
              <w:rPr>
                <w:sz w:val="20"/>
              </w:rPr>
              <w:t>a </w:t>
            </w:r>
            <w:r>
              <w:rPr>
                <w:spacing w:val="-4"/>
                <w:sz w:val="20"/>
              </w:rPr>
              <w:t>timer.</w:t>
            </w:r>
          </w:p>
        </w:tc>
      </w:tr>
      <w:tr>
        <w:trPr>
          <w:trHeight w:val="263" w:hRule="atLeast"/>
        </w:trPr>
        <w:tc>
          <w:tcPr>
            <w:tcW w:w="1318" w:type="dxa"/>
            <w:tcBorders>
              <w:top w:val="single" w:sz="6" w:space="0" w:color="000000"/>
              <w:bottom w:val="single" w:sz="6" w:space="0" w:color="000000"/>
              <w:right w:val="single" w:sz="6" w:space="0" w:color="000000"/>
            </w:tcBorders>
          </w:tcPr>
          <w:p>
            <w:pPr>
              <w:pStyle w:val="TableParagraph"/>
              <w:spacing w:before="9"/>
              <w:ind w:left="69"/>
              <w:rPr>
                <w:rFonts w:ascii="Times New Roman"/>
                <w:i/>
                <w:sz w:val="20"/>
              </w:rPr>
            </w:pPr>
            <w:r>
              <w:rPr>
                <w:rFonts w:ascii="Times New Roman"/>
                <w:i/>
                <w:sz w:val="20"/>
              </w:rPr>
              <w:t>TMOD[5:4]</w:t>
            </w:r>
          </w:p>
        </w:tc>
        <w:tc>
          <w:tcPr>
            <w:tcW w:w="1169" w:type="dxa"/>
            <w:tcBorders>
              <w:top w:val="single" w:sz="6" w:space="0" w:color="000000"/>
              <w:left w:val="single" w:sz="6" w:space="0" w:color="000000"/>
              <w:bottom w:val="single" w:sz="6" w:space="0" w:color="000000"/>
              <w:right w:val="single" w:sz="6" w:space="0" w:color="000000"/>
            </w:tcBorders>
          </w:tcPr>
          <w:p>
            <w:pPr>
              <w:pStyle w:val="TableParagraph"/>
              <w:spacing w:before="9"/>
              <w:ind w:left="66"/>
              <w:rPr>
                <w:rFonts w:ascii="Times New Roman"/>
                <w:i/>
                <w:sz w:val="20"/>
              </w:rPr>
            </w:pPr>
            <w:r>
              <w:rPr>
                <w:rFonts w:ascii="Times New Roman"/>
                <w:i/>
                <w:sz w:val="20"/>
              </w:rPr>
              <w:t>M1:M0</w:t>
            </w:r>
          </w:p>
        </w:tc>
        <w:tc>
          <w:tcPr>
            <w:tcW w:w="6874" w:type="dxa"/>
            <w:tcBorders>
              <w:top w:val="single" w:sz="6" w:space="0" w:color="000000"/>
              <w:left w:val="single" w:sz="6" w:space="0" w:color="000000"/>
              <w:bottom w:val="single" w:sz="6" w:space="0" w:color="000000"/>
            </w:tcBorders>
          </w:tcPr>
          <w:p>
            <w:pPr>
              <w:pStyle w:val="TableParagraph"/>
              <w:spacing w:line="230" w:lineRule="exact" w:before="13"/>
              <w:ind w:left="66"/>
              <w:rPr>
                <w:sz w:val="20"/>
              </w:rPr>
            </w:pPr>
            <w:r>
              <w:rPr>
                <w:sz w:val="20"/>
              </w:rPr>
              <w:t>Selects the mode for Timer/Counter 0 as shown in </w:t>
            </w:r>
            <w:hyperlink w:history="true" w:anchor="_bookmark69">
              <w:r>
                <w:rPr>
                  <w:color w:val="0000FF"/>
                  <w:sz w:val="20"/>
                </w:rPr>
                <w:t>Table 21</w:t>
              </w:r>
              <w:r>
                <w:rPr>
                  <w:sz w:val="20"/>
                </w:rPr>
                <w:t>.</w:t>
              </w:r>
            </w:hyperlink>
          </w:p>
        </w:tc>
      </w:tr>
      <w:tr>
        <w:trPr>
          <w:trHeight w:val="263" w:hRule="atLeast"/>
        </w:trPr>
        <w:tc>
          <w:tcPr>
            <w:tcW w:w="9361" w:type="dxa"/>
            <w:gridSpan w:val="3"/>
            <w:tcBorders>
              <w:top w:val="single" w:sz="6" w:space="0" w:color="000000"/>
              <w:bottom w:val="single" w:sz="6" w:space="0" w:color="000000"/>
            </w:tcBorders>
          </w:tcPr>
          <w:p>
            <w:pPr>
              <w:pStyle w:val="TableParagraph"/>
              <w:spacing w:before="11"/>
              <w:ind w:left="69"/>
              <w:rPr>
                <w:b/>
                <w:sz w:val="20"/>
              </w:rPr>
            </w:pPr>
            <w:r>
              <w:rPr>
                <w:b/>
                <w:sz w:val="20"/>
              </w:rPr>
              <w:t>Timer/Counter 0</w:t>
            </w:r>
          </w:p>
        </w:tc>
      </w:tr>
      <w:tr>
        <w:trPr>
          <w:trHeight w:val="1381" w:hRule="atLeast"/>
        </w:trPr>
        <w:tc>
          <w:tcPr>
            <w:tcW w:w="1318" w:type="dxa"/>
            <w:tcBorders>
              <w:top w:val="single" w:sz="6" w:space="0" w:color="000000"/>
              <w:bottom w:val="single" w:sz="6" w:space="0" w:color="000000"/>
              <w:right w:val="single" w:sz="6" w:space="0" w:color="000000"/>
            </w:tcBorders>
          </w:tcPr>
          <w:p>
            <w:pPr>
              <w:pStyle w:val="TableParagraph"/>
              <w:spacing w:before="9"/>
              <w:ind w:left="69"/>
              <w:rPr>
                <w:rFonts w:ascii="Times New Roman"/>
                <w:i/>
                <w:sz w:val="20"/>
              </w:rPr>
            </w:pPr>
            <w:r>
              <w:rPr>
                <w:rFonts w:ascii="Times New Roman"/>
                <w:i/>
                <w:sz w:val="20"/>
              </w:rPr>
              <w:t>TMOD[3]</w:t>
            </w:r>
          </w:p>
        </w:tc>
        <w:tc>
          <w:tcPr>
            <w:tcW w:w="1169" w:type="dxa"/>
            <w:tcBorders>
              <w:top w:val="single" w:sz="6" w:space="0" w:color="000000"/>
              <w:left w:val="single" w:sz="6" w:space="0" w:color="000000"/>
              <w:bottom w:val="single" w:sz="6" w:space="0" w:color="000000"/>
              <w:right w:val="single" w:sz="6" w:space="0" w:color="000000"/>
            </w:tcBorders>
          </w:tcPr>
          <w:p>
            <w:pPr>
              <w:pStyle w:val="TableParagraph"/>
              <w:spacing w:before="9"/>
              <w:ind w:left="66"/>
              <w:rPr>
                <w:rFonts w:ascii="Times New Roman"/>
                <w:i/>
                <w:sz w:val="20"/>
              </w:rPr>
            </w:pPr>
            <w:r>
              <w:rPr>
                <w:rFonts w:ascii="Times New Roman"/>
                <w:i/>
                <w:sz w:val="20"/>
              </w:rPr>
              <w:t>Gate</w:t>
            </w:r>
          </w:p>
        </w:tc>
        <w:tc>
          <w:tcPr>
            <w:tcW w:w="6874" w:type="dxa"/>
            <w:tcBorders>
              <w:top w:val="single" w:sz="6" w:space="0" w:color="000000"/>
              <w:left w:val="single" w:sz="6" w:space="0" w:color="000000"/>
              <w:bottom w:val="single" w:sz="6" w:space="0" w:color="000000"/>
            </w:tcBorders>
          </w:tcPr>
          <w:p>
            <w:pPr>
              <w:pStyle w:val="TableParagraph"/>
              <w:spacing w:line="232" w:lineRule="auto" w:before="14"/>
              <w:ind w:left="66" w:right="46"/>
              <w:rPr>
                <w:sz w:val="20"/>
              </w:rPr>
            </w:pPr>
            <w:r>
              <w:rPr>
                <w:sz w:val="20"/>
              </w:rPr>
              <w:t>If </w:t>
            </w:r>
            <w:r>
              <w:rPr>
                <w:rFonts w:ascii="Times New Roman"/>
                <w:i/>
                <w:sz w:val="20"/>
              </w:rPr>
              <w:t>TMOD[3] </w:t>
            </w:r>
            <w:r>
              <w:rPr>
                <w:sz w:val="20"/>
              </w:rPr>
              <w:t>is set, external input signal control is enabled for Counter 0. The </w:t>
            </w:r>
            <w:r>
              <w:rPr>
                <w:rFonts w:ascii="Times New Roman"/>
                <w:i/>
                <w:sz w:val="20"/>
              </w:rPr>
              <w:t>TR1</w:t>
            </w:r>
            <w:r>
              <w:rPr>
                <w:rFonts w:ascii="Times New Roman"/>
                <w:i/>
                <w:spacing w:val="-7"/>
                <w:sz w:val="20"/>
              </w:rPr>
              <w:t> </w:t>
            </w:r>
            <w:r>
              <w:rPr>
                <w:sz w:val="20"/>
              </w:rPr>
              <w:t>bit</w:t>
            </w:r>
            <w:r>
              <w:rPr>
                <w:spacing w:val="-10"/>
                <w:sz w:val="20"/>
              </w:rPr>
              <w:t> </w:t>
            </w:r>
            <w:r>
              <w:rPr>
                <w:sz w:val="20"/>
              </w:rPr>
              <w:t>in</w:t>
            </w:r>
            <w:r>
              <w:rPr>
                <w:spacing w:val="-13"/>
                <w:sz w:val="20"/>
              </w:rPr>
              <w:t> </w:t>
            </w:r>
            <w:r>
              <w:rPr>
                <w:sz w:val="20"/>
              </w:rPr>
              <w:t>the</w:t>
            </w:r>
            <w:r>
              <w:rPr>
                <w:spacing w:val="-12"/>
                <w:sz w:val="20"/>
              </w:rPr>
              <w:t> </w:t>
            </w:r>
            <w:r>
              <w:rPr>
                <w:rFonts w:ascii="Times New Roman"/>
                <w:i/>
                <w:sz w:val="20"/>
              </w:rPr>
              <w:t>TCON</w:t>
            </w:r>
            <w:r>
              <w:rPr>
                <w:rFonts w:ascii="Times New Roman"/>
                <w:i/>
                <w:spacing w:val="-8"/>
                <w:sz w:val="20"/>
              </w:rPr>
              <w:t> </w:t>
            </w:r>
            <w:r>
              <w:rPr>
                <w:sz w:val="20"/>
              </w:rPr>
              <w:t>register</w:t>
            </w:r>
            <w:r>
              <w:rPr>
                <w:spacing w:val="-10"/>
                <w:sz w:val="20"/>
              </w:rPr>
              <w:t> </w:t>
            </w:r>
            <w:r>
              <w:rPr>
                <w:sz w:val="20"/>
              </w:rPr>
              <w:t>(</w:t>
            </w:r>
            <w:r>
              <w:rPr>
                <w:rFonts w:ascii="Times New Roman"/>
                <w:i/>
                <w:sz w:val="20"/>
              </w:rPr>
              <w:t>SFR</w:t>
            </w:r>
            <w:r>
              <w:rPr>
                <w:rFonts w:ascii="Times New Roman"/>
                <w:i/>
                <w:spacing w:val="-11"/>
                <w:sz w:val="20"/>
              </w:rPr>
              <w:t> </w:t>
            </w:r>
            <w:r>
              <w:rPr>
                <w:rFonts w:ascii="Times New Roman"/>
                <w:i/>
                <w:sz w:val="20"/>
              </w:rPr>
              <w:t>0x88</w:t>
            </w:r>
            <w:r>
              <w:rPr>
                <w:sz w:val="20"/>
              </w:rPr>
              <w:t>)</w:t>
            </w:r>
            <w:r>
              <w:rPr>
                <w:spacing w:val="-14"/>
                <w:sz w:val="20"/>
              </w:rPr>
              <w:t> </w:t>
            </w:r>
            <w:r>
              <w:rPr>
                <w:sz w:val="20"/>
              </w:rPr>
              <w:t>must</w:t>
            </w:r>
            <w:r>
              <w:rPr>
                <w:spacing w:val="-13"/>
                <w:sz w:val="20"/>
              </w:rPr>
              <w:t> </w:t>
            </w:r>
            <w:r>
              <w:rPr>
                <w:sz w:val="20"/>
              </w:rPr>
              <w:t>also</w:t>
            </w:r>
            <w:r>
              <w:rPr>
                <w:spacing w:val="-11"/>
                <w:sz w:val="20"/>
              </w:rPr>
              <w:t> </w:t>
            </w:r>
            <w:r>
              <w:rPr>
                <w:sz w:val="20"/>
              </w:rPr>
              <w:t>be</w:t>
            </w:r>
            <w:r>
              <w:rPr>
                <w:spacing w:val="-12"/>
                <w:sz w:val="20"/>
              </w:rPr>
              <w:t> </w:t>
            </w:r>
            <w:r>
              <w:rPr>
                <w:sz w:val="20"/>
              </w:rPr>
              <w:t>set</w:t>
            </w:r>
            <w:r>
              <w:rPr>
                <w:spacing w:val="-9"/>
                <w:sz w:val="20"/>
              </w:rPr>
              <w:t> </w:t>
            </w:r>
            <w:r>
              <w:rPr>
                <w:sz w:val="20"/>
              </w:rPr>
              <w:t>in</w:t>
            </w:r>
            <w:r>
              <w:rPr>
                <w:spacing w:val="-11"/>
                <w:sz w:val="20"/>
              </w:rPr>
              <w:t> </w:t>
            </w:r>
            <w:r>
              <w:rPr>
                <w:sz w:val="20"/>
              </w:rPr>
              <w:t>order</w:t>
            </w:r>
            <w:r>
              <w:rPr>
                <w:spacing w:val="-12"/>
                <w:sz w:val="20"/>
              </w:rPr>
              <w:t> </w:t>
            </w:r>
            <w:r>
              <w:rPr>
                <w:sz w:val="20"/>
              </w:rPr>
              <w:t>for</w:t>
            </w:r>
            <w:r>
              <w:rPr>
                <w:spacing w:val="-11"/>
                <w:sz w:val="20"/>
              </w:rPr>
              <w:t> </w:t>
            </w:r>
            <w:r>
              <w:rPr>
                <w:sz w:val="20"/>
              </w:rPr>
              <w:t>Counter</w:t>
            </w:r>
            <w:r>
              <w:rPr>
                <w:spacing w:val="-10"/>
                <w:sz w:val="20"/>
              </w:rPr>
              <w:t> </w:t>
            </w:r>
            <w:r>
              <w:rPr>
                <w:sz w:val="20"/>
              </w:rPr>
              <w:t>1 to increment. With these settings, Counter 1 increments on every falling edge of the logic signal applied to one or more of the SEGDIO2-11 pins, as specified by the contents of the </w:t>
            </w:r>
            <w:r>
              <w:rPr>
                <w:rFonts w:ascii="Times New Roman"/>
                <w:i/>
                <w:sz w:val="20"/>
              </w:rPr>
              <w:t>DIO_R2 </w:t>
            </w:r>
            <w:r>
              <w:rPr>
                <w:sz w:val="20"/>
              </w:rPr>
              <w:t>through </w:t>
            </w:r>
            <w:r>
              <w:rPr>
                <w:rFonts w:ascii="Times New Roman"/>
                <w:i/>
                <w:sz w:val="20"/>
              </w:rPr>
              <w:t>DIO_R11 </w:t>
            </w:r>
            <w:r>
              <w:rPr>
                <w:sz w:val="20"/>
              </w:rPr>
              <w:t>registers.</w:t>
            </w:r>
            <w:r>
              <w:rPr>
                <w:spacing w:val="-9"/>
                <w:sz w:val="20"/>
              </w:rPr>
              <w:t> </w:t>
            </w:r>
            <w:r>
              <w:rPr>
                <w:sz w:val="20"/>
              </w:rPr>
              <w:t>See</w:t>
            </w:r>
          </w:p>
          <w:p>
            <w:pPr>
              <w:pStyle w:val="TableParagraph"/>
              <w:spacing w:line="227" w:lineRule="exact" w:before="2"/>
              <w:ind w:left="66"/>
              <w:rPr>
                <w:sz w:val="20"/>
              </w:rPr>
            </w:pPr>
            <w:hyperlink w:history="true" w:anchor="_bookmark117">
              <w:r>
                <w:rPr>
                  <w:color w:val="0000FF"/>
                  <w:sz w:val="20"/>
                </w:rPr>
                <w:t>2.5.10 </w:t>
              </w:r>
            </w:hyperlink>
            <w:hyperlink w:history="true" w:anchor="_bookmark117">
              <w:r>
                <w:rPr>
                  <w:color w:val="0000FF"/>
                  <w:sz w:val="20"/>
                </w:rPr>
                <w:t>Digital I/O and LCD Segment Drivers </w:t>
              </w:r>
            </w:hyperlink>
            <w:r>
              <w:rPr>
                <w:sz w:val="20"/>
              </w:rPr>
              <w:t>and </w:t>
            </w:r>
            <w:hyperlink w:history="true" w:anchor="_bookmark118">
              <w:r>
                <w:rPr>
                  <w:color w:val="0000FF"/>
                  <w:sz w:val="20"/>
                </w:rPr>
                <w:t>Table 46.</w:t>
              </w:r>
            </w:hyperlink>
          </w:p>
        </w:tc>
      </w:tr>
      <w:tr>
        <w:trPr>
          <w:trHeight w:val="709" w:hRule="atLeast"/>
        </w:trPr>
        <w:tc>
          <w:tcPr>
            <w:tcW w:w="1318" w:type="dxa"/>
            <w:tcBorders>
              <w:top w:val="single" w:sz="6" w:space="0" w:color="000000"/>
              <w:bottom w:val="single" w:sz="6" w:space="0" w:color="000000"/>
              <w:right w:val="single" w:sz="6" w:space="0" w:color="000000"/>
            </w:tcBorders>
          </w:tcPr>
          <w:p>
            <w:pPr>
              <w:pStyle w:val="TableParagraph"/>
              <w:spacing w:before="9"/>
              <w:ind w:left="69"/>
              <w:rPr>
                <w:rFonts w:ascii="Times New Roman"/>
                <w:i/>
                <w:sz w:val="20"/>
              </w:rPr>
            </w:pPr>
            <w:r>
              <w:rPr>
                <w:rFonts w:ascii="Times New Roman"/>
                <w:i/>
                <w:sz w:val="20"/>
              </w:rPr>
              <w:t>TMOD[2]</w:t>
            </w:r>
          </w:p>
        </w:tc>
        <w:tc>
          <w:tcPr>
            <w:tcW w:w="1169" w:type="dxa"/>
            <w:tcBorders>
              <w:top w:val="single" w:sz="6" w:space="0" w:color="000000"/>
              <w:left w:val="single" w:sz="6" w:space="0" w:color="000000"/>
              <w:bottom w:val="single" w:sz="6" w:space="0" w:color="000000"/>
              <w:right w:val="single" w:sz="6" w:space="0" w:color="000000"/>
            </w:tcBorders>
          </w:tcPr>
          <w:p>
            <w:pPr>
              <w:pStyle w:val="TableParagraph"/>
              <w:spacing w:before="9"/>
              <w:ind w:left="66"/>
              <w:rPr>
                <w:rFonts w:ascii="Times New Roman"/>
                <w:i/>
                <w:sz w:val="20"/>
              </w:rPr>
            </w:pPr>
            <w:r>
              <w:rPr>
                <w:rFonts w:ascii="Times New Roman"/>
                <w:i/>
                <w:sz w:val="20"/>
              </w:rPr>
              <w:t>C/T</w:t>
            </w:r>
          </w:p>
        </w:tc>
        <w:tc>
          <w:tcPr>
            <w:tcW w:w="6874" w:type="dxa"/>
            <w:tcBorders>
              <w:top w:val="single" w:sz="6" w:space="0" w:color="000000"/>
              <w:left w:val="single" w:sz="6" w:space="0" w:color="000000"/>
              <w:bottom w:val="single" w:sz="6" w:space="0" w:color="000000"/>
            </w:tcBorders>
          </w:tcPr>
          <w:p>
            <w:pPr>
              <w:pStyle w:val="TableParagraph"/>
              <w:spacing w:line="228" w:lineRule="exact" w:before="13"/>
              <w:ind w:left="66"/>
              <w:rPr>
                <w:sz w:val="20"/>
              </w:rPr>
            </w:pPr>
            <w:r>
              <w:rPr>
                <w:sz w:val="20"/>
              </w:rPr>
              <w:t>Selects timer or counter operation. When set to 1, a counter operation is</w:t>
            </w:r>
          </w:p>
          <w:p>
            <w:pPr>
              <w:pStyle w:val="TableParagraph"/>
              <w:spacing w:line="224" w:lineRule="exact" w:before="7"/>
              <w:ind w:left="66" w:right="405"/>
              <w:rPr>
                <w:sz w:val="20"/>
              </w:rPr>
            </w:pPr>
            <w:r>
              <w:rPr>
                <w:sz w:val="20"/>
              </w:rPr>
              <w:t>performed. When cleared to 0, the corresponding register functions as a timer.</w:t>
            </w:r>
          </w:p>
        </w:tc>
      </w:tr>
      <w:tr>
        <w:trPr>
          <w:trHeight w:val="263" w:hRule="atLeast"/>
        </w:trPr>
        <w:tc>
          <w:tcPr>
            <w:tcW w:w="1318" w:type="dxa"/>
            <w:tcBorders>
              <w:top w:val="single" w:sz="6" w:space="0" w:color="000000"/>
              <w:right w:val="single" w:sz="6" w:space="0" w:color="000000"/>
            </w:tcBorders>
          </w:tcPr>
          <w:p>
            <w:pPr>
              <w:pStyle w:val="TableParagraph"/>
              <w:spacing w:before="9"/>
              <w:ind w:left="69"/>
              <w:rPr>
                <w:rFonts w:ascii="Times New Roman"/>
                <w:i/>
                <w:sz w:val="20"/>
              </w:rPr>
            </w:pPr>
            <w:r>
              <w:rPr>
                <w:rFonts w:ascii="Times New Roman"/>
                <w:i/>
                <w:sz w:val="20"/>
              </w:rPr>
              <w:t>TMOD[1:0]</w:t>
            </w:r>
          </w:p>
        </w:tc>
        <w:tc>
          <w:tcPr>
            <w:tcW w:w="1169" w:type="dxa"/>
            <w:tcBorders>
              <w:top w:val="single" w:sz="6" w:space="0" w:color="000000"/>
              <w:left w:val="single" w:sz="6" w:space="0" w:color="000000"/>
              <w:right w:val="single" w:sz="6" w:space="0" w:color="000000"/>
            </w:tcBorders>
          </w:tcPr>
          <w:p>
            <w:pPr>
              <w:pStyle w:val="TableParagraph"/>
              <w:spacing w:before="9"/>
              <w:ind w:left="66"/>
              <w:rPr>
                <w:rFonts w:ascii="Times New Roman"/>
                <w:i/>
                <w:sz w:val="20"/>
              </w:rPr>
            </w:pPr>
            <w:r>
              <w:rPr>
                <w:rFonts w:ascii="Times New Roman"/>
                <w:i/>
                <w:sz w:val="20"/>
              </w:rPr>
              <w:t>M1:M0</w:t>
            </w:r>
          </w:p>
        </w:tc>
        <w:tc>
          <w:tcPr>
            <w:tcW w:w="6874" w:type="dxa"/>
            <w:tcBorders>
              <w:top w:val="single" w:sz="6" w:space="0" w:color="000000"/>
              <w:left w:val="single" w:sz="6" w:space="0" w:color="000000"/>
            </w:tcBorders>
          </w:tcPr>
          <w:p>
            <w:pPr>
              <w:pStyle w:val="TableParagraph"/>
              <w:spacing w:before="13"/>
              <w:ind w:left="66"/>
              <w:rPr>
                <w:sz w:val="20"/>
              </w:rPr>
            </w:pPr>
            <w:r>
              <w:rPr>
                <w:sz w:val="20"/>
              </w:rPr>
              <w:t>Selects the mode for Timer/Counter 1, as shown in </w:t>
            </w:r>
            <w:hyperlink w:history="true" w:anchor="_bookmark69">
              <w:r>
                <w:rPr>
                  <w:color w:val="0000FF"/>
                  <w:sz w:val="20"/>
                </w:rPr>
                <w:t>Table 21</w:t>
              </w:r>
              <w:r>
                <w:rPr>
                  <w:sz w:val="20"/>
                </w:rPr>
                <w:t>.</w:t>
              </w:r>
            </w:hyperlink>
          </w:p>
        </w:tc>
      </w:tr>
    </w:tbl>
    <w:p>
      <w:pPr>
        <w:pStyle w:val="BodyText"/>
        <w:rPr>
          <w:b/>
          <w:sz w:val="24"/>
        </w:rPr>
      </w:pPr>
    </w:p>
    <w:p>
      <w:pPr>
        <w:pStyle w:val="Heading1"/>
        <w:ind w:left="1311" w:right="1278"/>
      </w:pPr>
      <w:bookmarkStart w:name="_bookmark73" w:id="153"/>
      <w:bookmarkEnd w:id="153"/>
      <w:r>
        <w:rPr>
          <w:b w:val="0"/>
        </w:rPr>
      </w:r>
      <w:r>
        <w:rPr/>
        <w:t>Table 24: The </w:t>
      </w:r>
      <w:r>
        <w:rPr>
          <w:rFonts w:ascii="Times New Roman"/>
          <w:i/>
        </w:rPr>
        <w:t>TCON </w:t>
      </w:r>
      <w:r>
        <w:rPr/>
        <w:t>Register Bit Functions (SFR 0x88)</w:t>
      </w:r>
    </w:p>
    <w:p>
      <w:pPr>
        <w:pStyle w:val="BodyText"/>
        <w:spacing w:before="5"/>
        <w:rPr>
          <w:b/>
          <w:sz w:val="5"/>
        </w:rPr>
      </w:pPr>
    </w:p>
    <w:tbl>
      <w:tblPr>
        <w:tblW w:w="0" w:type="auto"/>
        <w:jc w:val="left"/>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5"/>
        <w:gridCol w:w="1317"/>
        <w:gridCol w:w="6727"/>
      </w:tblGrid>
      <w:tr>
        <w:trPr>
          <w:trHeight w:val="301" w:hRule="atLeast"/>
        </w:trPr>
        <w:tc>
          <w:tcPr>
            <w:tcW w:w="1315" w:type="dxa"/>
            <w:tcBorders>
              <w:bottom w:val="single" w:sz="6" w:space="0" w:color="000000"/>
              <w:right w:val="single" w:sz="6" w:space="0" w:color="000000"/>
            </w:tcBorders>
          </w:tcPr>
          <w:p>
            <w:pPr>
              <w:pStyle w:val="TableParagraph"/>
              <w:spacing w:before="30"/>
              <w:ind w:left="502" w:right="493"/>
              <w:jc w:val="center"/>
              <w:rPr>
                <w:b/>
                <w:sz w:val="20"/>
              </w:rPr>
            </w:pPr>
            <w:r>
              <w:rPr>
                <w:b/>
                <w:sz w:val="20"/>
              </w:rPr>
              <w:t>Bit</w:t>
            </w:r>
          </w:p>
        </w:tc>
        <w:tc>
          <w:tcPr>
            <w:tcW w:w="1317" w:type="dxa"/>
            <w:tcBorders>
              <w:left w:val="single" w:sz="6" w:space="0" w:color="000000"/>
              <w:bottom w:val="single" w:sz="6" w:space="0" w:color="000000"/>
              <w:right w:val="single" w:sz="6" w:space="0" w:color="000000"/>
            </w:tcBorders>
          </w:tcPr>
          <w:p>
            <w:pPr>
              <w:pStyle w:val="TableParagraph"/>
              <w:spacing w:before="30"/>
              <w:ind w:left="295"/>
              <w:rPr>
                <w:b/>
                <w:sz w:val="20"/>
              </w:rPr>
            </w:pPr>
            <w:r>
              <w:rPr>
                <w:b/>
                <w:sz w:val="20"/>
              </w:rPr>
              <w:t>Symbol</w:t>
            </w:r>
          </w:p>
        </w:tc>
        <w:tc>
          <w:tcPr>
            <w:tcW w:w="6727" w:type="dxa"/>
            <w:tcBorders>
              <w:left w:val="single" w:sz="6" w:space="0" w:color="000000"/>
              <w:bottom w:val="single" w:sz="6" w:space="0" w:color="000000"/>
            </w:tcBorders>
          </w:tcPr>
          <w:p>
            <w:pPr>
              <w:pStyle w:val="TableParagraph"/>
              <w:spacing w:before="30"/>
              <w:ind w:left="2917" w:right="2912"/>
              <w:jc w:val="center"/>
              <w:rPr>
                <w:b/>
                <w:sz w:val="20"/>
              </w:rPr>
            </w:pPr>
            <w:r>
              <w:rPr>
                <w:b/>
                <w:sz w:val="20"/>
              </w:rPr>
              <w:t>Function</w:t>
            </w:r>
          </w:p>
        </w:tc>
      </w:tr>
      <w:tr>
        <w:trPr>
          <w:trHeight w:val="709" w:hRule="atLeast"/>
        </w:trPr>
        <w:tc>
          <w:tcPr>
            <w:tcW w:w="1315" w:type="dxa"/>
            <w:tcBorders>
              <w:top w:val="single" w:sz="6" w:space="0" w:color="000000"/>
              <w:bottom w:val="single" w:sz="6" w:space="0" w:color="000000"/>
              <w:right w:val="single" w:sz="6" w:space="0" w:color="000000"/>
            </w:tcBorders>
          </w:tcPr>
          <w:p>
            <w:pPr>
              <w:pStyle w:val="TableParagraph"/>
              <w:spacing w:before="9"/>
              <w:ind w:left="69"/>
              <w:rPr>
                <w:rFonts w:ascii="Times New Roman"/>
                <w:i/>
                <w:sz w:val="20"/>
              </w:rPr>
            </w:pPr>
            <w:r>
              <w:rPr>
                <w:rFonts w:ascii="Times New Roman"/>
                <w:i/>
                <w:sz w:val="20"/>
              </w:rPr>
              <w:t>TCON[7]</w:t>
            </w:r>
          </w:p>
        </w:tc>
        <w:tc>
          <w:tcPr>
            <w:tcW w:w="1317" w:type="dxa"/>
            <w:tcBorders>
              <w:top w:val="single" w:sz="6" w:space="0" w:color="000000"/>
              <w:left w:val="single" w:sz="6" w:space="0" w:color="000000"/>
              <w:bottom w:val="single" w:sz="6" w:space="0" w:color="000000"/>
              <w:right w:val="single" w:sz="6" w:space="0" w:color="000000"/>
            </w:tcBorders>
          </w:tcPr>
          <w:p>
            <w:pPr>
              <w:pStyle w:val="TableParagraph"/>
              <w:spacing w:before="9"/>
              <w:ind w:left="69"/>
              <w:rPr>
                <w:rFonts w:ascii="Times New Roman"/>
                <w:i/>
                <w:sz w:val="20"/>
              </w:rPr>
            </w:pPr>
            <w:r>
              <w:rPr>
                <w:rFonts w:ascii="Times New Roman"/>
                <w:i/>
                <w:sz w:val="20"/>
              </w:rPr>
              <w:t>TF1</w:t>
            </w:r>
          </w:p>
        </w:tc>
        <w:tc>
          <w:tcPr>
            <w:tcW w:w="6727" w:type="dxa"/>
            <w:tcBorders>
              <w:top w:val="single" w:sz="6" w:space="0" w:color="000000"/>
              <w:left w:val="single" w:sz="6" w:space="0" w:color="000000"/>
              <w:bottom w:val="single" w:sz="6" w:space="0" w:color="000000"/>
            </w:tcBorders>
          </w:tcPr>
          <w:p>
            <w:pPr>
              <w:pStyle w:val="TableParagraph"/>
              <w:spacing w:line="228" w:lineRule="exact" w:before="13"/>
              <w:ind w:left="67"/>
              <w:rPr>
                <w:sz w:val="20"/>
              </w:rPr>
            </w:pPr>
            <w:r>
              <w:rPr>
                <w:sz w:val="20"/>
              </w:rPr>
              <w:t>The Timer 1 overflow flag is set by hardware when Timer 1 overflows.</w:t>
            </w:r>
          </w:p>
          <w:p>
            <w:pPr>
              <w:pStyle w:val="TableParagraph"/>
              <w:spacing w:line="224" w:lineRule="exact" w:before="7"/>
              <w:ind w:left="67"/>
              <w:rPr>
                <w:sz w:val="20"/>
              </w:rPr>
            </w:pPr>
            <w:r>
              <w:rPr>
                <w:sz w:val="20"/>
              </w:rPr>
              <w:t>This flag can be cleared by software and is automatically cleared when an interrupt is processed.</w:t>
            </w:r>
          </w:p>
        </w:tc>
      </w:tr>
      <w:tr>
        <w:trPr>
          <w:trHeight w:val="263" w:hRule="atLeast"/>
        </w:trPr>
        <w:tc>
          <w:tcPr>
            <w:tcW w:w="1315" w:type="dxa"/>
            <w:tcBorders>
              <w:top w:val="single" w:sz="6" w:space="0" w:color="000000"/>
              <w:bottom w:val="single" w:sz="6" w:space="0" w:color="000000"/>
              <w:right w:val="single" w:sz="6" w:space="0" w:color="000000"/>
            </w:tcBorders>
          </w:tcPr>
          <w:p>
            <w:pPr>
              <w:pStyle w:val="TableParagraph"/>
              <w:spacing w:before="9"/>
              <w:ind w:left="69"/>
              <w:rPr>
                <w:rFonts w:ascii="Times New Roman"/>
                <w:i/>
                <w:sz w:val="20"/>
              </w:rPr>
            </w:pPr>
            <w:r>
              <w:rPr>
                <w:rFonts w:ascii="Times New Roman"/>
                <w:i/>
                <w:sz w:val="20"/>
              </w:rPr>
              <w:t>TCON[6]</w:t>
            </w:r>
          </w:p>
        </w:tc>
        <w:tc>
          <w:tcPr>
            <w:tcW w:w="1317" w:type="dxa"/>
            <w:tcBorders>
              <w:top w:val="single" w:sz="6" w:space="0" w:color="000000"/>
              <w:left w:val="single" w:sz="6" w:space="0" w:color="000000"/>
              <w:bottom w:val="single" w:sz="6" w:space="0" w:color="000000"/>
              <w:right w:val="single" w:sz="6" w:space="0" w:color="000000"/>
            </w:tcBorders>
          </w:tcPr>
          <w:p>
            <w:pPr>
              <w:pStyle w:val="TableParagraph"/>
              <w:spacing w:before="9"/>
              <w:ind w:left="69"/>
              <w:rPr>
                <w:rFonts w:ascii="Times New Roman"/>
                <w:i/>
                <w:sz w:val="20"/>
              </w:rPr>
            </w:pPr>
            <w:r>
              <w:rPr>
                <w:rFonts w:ascii="Times New Roman"/>
                <w:i/>
                <w:sz w:val="20"/>
              </w:rPr>
              <w:t>TR1</w:t>
            </w:r>
          </w:p>
        </w:tc>
        <w:tc>
          <w:tcPr>
            <w:tcW w:w="6727" w:type="dxa"/>
            <w:tcBorders>
              <w:top w:val="single" w:sz="6" w:space="0" w:color="000000"/>
              <w:left w:val="single" w:sz="6" w:space="0" w:color="000000"/>
              <w:bottom w:val="single" w:sz="6" w:space="0" w:color="000000"/>
            </w:tcBorders>
          </w:tcPr>
          <w:p>
            <w:pPr>
              <w:pStyle w:val="TableParagraph"/>
              <w:spacing w:line="230" w:lineRule="exact" w:before="13"/>
              <w:ind w:left="67"/>
              <w:rPr>
                <w:sz w:val="20"/>
              </w:rPr>
            </w:pPr>
            <w:r>
              <w:rPr>
                <w:sz w:val="20"/>
              </w:rPr>
              <w:t>Timer 1 run control bit. If cleared, Timer 1 stops.</w:t>
            </w:r>
          </w:p>
        </w:tc>
      </w:tr>
      <w:tr>
        <w:trPr>
          <w:trHeight w:val="709" w:hRule="atLeast"/>
        </w:trPr>
        <w:tc>
          <w:tcPr>
            <w:tcW w:w="1315" w:type="dxa"/>
            <w:tcBorders>
              <w:top w:val="single" w:sz="6" w:space="0" w:color="000000"/>
              <w:bottom w:val="single" w:sz="6" w:space="0" w:color="000000"/>
              <w:right w:val="single" w:sz="6" w:space="0" w:color="000000"/>
            </w:tcBorders>
          </w:tcPr>
          <w:p>
            <w:pPr>
              <w:pStyle w:val="TableParagraph"/>
              <w:spacing w:before="9"/>
              <w:ind w:left="69"/>
              <w:rPr>
                <w:rFonts w:ascii="Times New Roman"/>
                <w:i/>
                <w:sz w:val="20"/>
              </w:rPr>
            </w:pPr>
            <w:r>
              <w:rPr>
                <w:rFonts w:ascii="Times New Roman"/>
                <w:i/>
                <w:sz w:val="20"/>
              </w:rPr>
              <w:t>TCON[5]</w:t>
            </w:r>
          </w:p>
        </w:tc>
        <w:tc>
          <w:tcPr>
            <w:tcW w:w="1317" w:type="dxa"/>
            <w:tcBorders>
              <w:top w:val="single" w:sz="6" w:space="0" w:color="000000"/>
              <w:left w:val="single" w:sz="6" w:space="0" w:color="000000"/>
              <w:bottom w:val="single" w:sz="6" w:space="0" w:color="000000"/>
              <w:right w:val="single" w:sz="6" w:space="0" w:color="000000"/>
            </w:tcBorders>
          </w:tcPr>
          <w:p>
            <w:pPr>
              <w:pStyle w:val="TableParagraph"/>
              <w:spacing w:before="9"/>
              <w:ind w:left="69"/>
              <w:rPr>
                <w:rFonts w:ascii="Times New Roman"/>
                <w:i/>
                <w:sz w:val="20"/>
              </w:rPr>
            </w:pPr>
            <w:r>
              <w:rPr>
                <w:rFonts w:ascii="Times New Roman"/>
                <w:i/>
                <w:sz w:val="20"/>
              </w:rPr>
              <w:t>TF0</w:t>
            </w:r>
          </w:p>
        </w:tc>
        <w:tc>
          <w:tcPr>
            <w:tcW w:w="6727" w:type="dxa"/>
            <w:tcBorders>
              <w:top w:val="single" w:sz="6" w:space="0" w:color="000000"/>
              <w:left w:val="single" w:sz="6" w:space="0" w:color="000000"/>
              <w:bottom w:val="single" w:sz="6" w:space="0" w:color="000000"/>
            </w:tcBorders>
          </w:tcPr>
          <w:p>
            <w:pPr>
              <w:pStyle w:val="TableParagraph"/>
              <w:spacing w:line="228" w:lineRule="exact" w:before="13"/>
              <w:ind w:left="67"/>
              <w:rPr>
                <w:sz w:val="20"/>
              </w:rPr>
            </w:pPr>
            <w:r>
              <w:rPr>
                <w:sz w:val="20"/>
              </w:rPr>
              <w:t>Timer 0 overflow flag set by hardware when Timer 0 overflows. This flag</w:t>
            </w:r>
          </w:p>
          <w:p>
            <w:pPr>
              <w:pStyle w:val="TableParagraph"/>
              <w:spacing w:line="224" w:lineRule="exact" w:before="7"/>
              <w:ind w:left="67" w:right="8"/>
              <w:rPr>
                <w:sz w:val="20"/>
              </w:rPr>
            </w:pPr>
            <w:r>
              <w:rPr>
                <w:sz w:val="20"/>
              </w:rPr>
              <w:t>can be cleared by software and is automatically cleared when an interrupt is processed.</w:t>
            </w:r>
          </w:p>
        </w:tc>
      </w:tr>
      <w:tr>
        <w:trPr>
          <w:trHeight w:val="263" w:hRule="atLeast"/>
        </w:trPr>
        <w:tc>
          <w:tcPr>
            <w:tcW w:w="1315" w:type="dxa"/>
            <w:tcBorders>
              <w:top w:val="single" w:sz="6" w:space="0" w:color="000000"/>
              <w:bottom w:val="single" w:sz="6" w:space="0" w:color="000000"/>
              <w:right w:val="single" w:sz="6" w:space="0" w:color="000000"/>
            </w:tcBorders>
          </w:tcPr>
          <w:p>
            <w:pPr>
              <w:pStyle w:val="TableParagraph"/>
              <w:spacing w:before="9"/>
              <w:ind w:left="69"/>
              <w:rPr>
                <w:rFonts w:ascii="Times New Roman"/>
                <w:i/>
                <w:sz w:val="20"/>
              </w:rPr>
            </w:pPr>
            <w:r>
              <w:rPr>
                <w:rFonts w:ascii="Times New Roman"/>
                <w:i/>
                <w:sz w:val="20"/>
              </w:rPr>
              <w:t>TCON[4]</w:t>
            </w:r>
          </w:p>
        </w:tc>
        <w:tc>
          <w:tcPr>
            <w:tcW w:w="1317" w:type="dxa"/>
            <w:tcBorders>
              <w:top w:val="single" w:sz="6" w:space="0" w:color="000000"/>
              <w:left w:val="single" w:sz="6" w:space="0" w:color="000000"/>
              <w:bottom w:val="single" w:sz="6" w:space="0" w:color="000000"/>
              <w:right w:val="single" w:sz="6" w:space="0" w:color="000000"/>
            </w:tcBorders>
          </w:tcPr>
          <w:p>
            <w:pPr>
              <w:pStyle w:val="TableParagraph"/>
              <w:spacing w:before="9"/>
              <w:ind w:left="69"/>
              <w:rPr>
                <w:rFonts w:ascii="Times New Roman"/>
                <w:i/>
                <w:sz w:val="20"/>
              </w:rPr>
            </w:pPr>
            <w:r>
              <w:rPr>
                <w:rFonts w:ascii="Times New Roman"/>
                <w:i/>
                <w:sz w:val="20"/>
              </w:rPr>
              <w:t>TR0</w:t>
            </w:r>
          </w:p>
        </w:tc>
        <w:tc>
          <w:tcPr>
            <w:tcW w:w="6727" w:type="dxa"/>
            <w:tcBorders>
              <w:top w:val="single" w:sz="6" w:space="0" w:color="000000"/>
              <w:left w:val="single" w:sz="6" w:space="0" w:color="000000"/>
              <w:bottom w:val="single" w:sz="6" w:space="0" w:color="000000"/>
            </w:tcBorders>
          </w:tcPr>
          <w:p>
            <w:pPr>
              <w:pStyle w:val="TableParagraph"/>
              <w:spacing w:line="230" w:lineRule="exact" w:before="13"/>
              <w:ind w:left="67"/>
              <w:rPr>
                <w:sz w:val="20"/>
              </w:rPr>
            </w:pPr>
            <w:r>
              <w:rPr>
                <w:sz w:val="20"/>
              </w:rPr>
              <w:t>Timer 0 Run control bit. If cleared, Timer 0 stops.</w:t>
            </w:r>
          </w:p>
        </w:tc>
      </w:tr>
      <w:tr>
        <w:trPr>
          <w:trHeight w:val="486" w:hRule="atLeast"/>
        </w:trPr>
        <w:tc>
          <w:tcPr>
            <w:tcW w:w="1315" w:type="dxa"/>
            <w:tcBorders>
              <w:top w:val="single" w:sz="6" w:space="0" w:color="000000"/>
              <w:bottom w:val="single" w:sz="6" w:space="0" w:color="000000"/>
              <w:right w:val="single" w:sz="6" w:space="0" w:color="000000"/>
            </w:tcBorders>
          </w:tcPr>
          <w:p>
            <w:pPr>
              <w:pStyle w:val="TableParagraph"/>
              <w:spacing w:before="9"/>
              <w:ind w:left="69"/>
              <w:rPr>
                <w:rFonts w:ascii="Times New Roman"/>
                <w:i/>
                <w:sz w:val="20"/>
              </w:rPr>
            </w:pPr>
            <w:r>
              <w:rPr>
                <w:rFonts w:ascii="Times New Roman"/>
                <w:i/>
                <w:sz w:val="20"/>
              </w:rPr>
              <w:t>TCON[3]</w:t>
            </w:r>
          </w:p>
        </w:tc>
        <w:tc>
          <w:tcPr>
            <w:tcW w:w="1317" w:type="dxa"/>
            <w:tcBorders>
              <w:top w:val="single" w:sz="6" w:space="0" w:color="000000"/>
              <w:left w:val="single" w:sz="6" w:space="0" w:color="000000"/>
              <w:bottom w:val="single" w:sz="6" w:space="0" w:color="000000"/>
              <w:right w:val="single" w:sz="6" w:space="0" w:color="000000"/>
            </w:tcBorders>
          </w:tcPr>
          <w:p>
            <w:pPr>
              <w:pStyle w:val="TableParagraph"/>
              <w:spacing w:before="9"/>
              <w:ind w:left="69"/>
              <w:rPr>
                <w:rFonts w:ascii="Times New Roman"/>
                <w:i/>
                <w:sz w:val="20"/>
              </w:rPr>
            </w:pPr>
            <w:r>
              <w:rPr>
                <w:rFonts w:ascii="Times New Roman"/>
                <w:i/>
                <w:sz w:val="20"/>
              </w:rPr>
              <w:t>IE1</w:t>
            </w:r>
          </w:p>
        </w:tc>
        <w:tc>
          <w:tcPr>
            <w:tcW w:w="6727" w:type="dxa"/>
            <w:tcBorders>
              <w:top w:val="single" w:sz="6" w:space="0" w:color="000000"/>
              <w:left w:val="single" w:sz="6" w:space="0" w:color="000000"/>
              <w:bottom w:val="single" w:sz="6" w:space="0" w:color="000000"/>
            </w:tcBorders>
          </w:tcPr>
          <w:p>
            <w:pPr>
              <w:pStyle w:val="TableParagraph"/>
              <w:spacing w:line="226" w:lineRule="exact" w:before="20"/>
              <w:ind w:left="67"/>
              <w:rPr>
                <w:sz w:val="20"/>
              </w:rPr>
            </w:pPr>
            <w:r>
              <w:rPr>
                <w:sz w:val="20"/>
              </w:rPr>
              <w:t>Interrupt 1 edge flag is set by hardware when the falling edge on external pin int1 is observed. Cleared when an interrupt is processed.</w:t>
            </w:r>
          </w:p>
        </w:tc>
      </w:tr>
      <w:tr>
        <w:trPr>
          <w:trHeight w:val="486" w:hRule="atLeast"/>
        </w:trPr>
        <w:tc>
          <w:tcPr>
            <w:tcW w:w="1315" w:type="dxa"/>
            <w:tcBorders>
              <w:top w:val="single" w:sz="6" w:space="0" w:color="000000"/>
              <w:bottom w:val="single" w:sz="6" w:space="0" w:color="000000"/>
              <w:right w:val="single" w:sz="6" w:space="0" w:color="000000"/>
            </w:tcBorders>
          </w:tcPr>
          <w:p>
            <w:pPr>
              <w:pStyle w:val="TableParagraph"/>
              <w:spacing w:before="9"/>
              <w:ind w:left="69"/>
              <w:rPr>
                <w:rFonts w:ascii="Times New Roman"/>
                <w:i/>
                <w:sz w:val="20"/>
              </w:rPr>
            </w:pPr>
            <w:r>
              <w:rPr>
                <w:rFonts w:ascii="Times New Roman"/>
                <w:i/>
                <w:sz w:val="20"/>
              </w:rPr>
              <w:t>TCON[2]</w:t>
            </w:r>
          </w:p>
        </w:tc>
        <w:tc>
          <w:tcPr>
            <w:tcW w:w="1317" w:type="dxa"/>
            <w:tcBorders>
              <w:top w:val="single" w:sz="6" w:space="0" w:color="000000"/>
              <w:left w:val="single" w:sz="6" w:space="0" w:color="000000"/>
              <w:bottom w:val="single" w:sz="6" w:space="0" w:color="000000"/>
              <w:right w:val="single" w:sz="6" w:space="0" w:color="000000"/>
            </w:tcBorders>
          </w:tcPr>
          <w:p>
            <w:pPr>
              <w:pStyle w:val="TableParagraph"/>
              <w:spacing w:before="9"/>
              <w:ind w:left="69"/>
              <w:rPr>
                <w:rFonts w:ascii="Times New Roman"/>
                <w:i/>
                <w:sz w:val="20"/>
              </w:rPr>
            </w:pPr>
            <w:r>
              <w:rPr>
                <w:rFonts w:ascii="Times New Roman"/>
                <w:i/>
                <w:sz w:val="20"/>
              </w:rPr>
              <w:t>IT1</w:t>
            </w:r>
          </w:p>
        </w:tc>
        <w:tc>
          <w:tcPr>
            <w:tcW w:w="6727" w:type="dxa"/>
            <w:tcBorders>
              <w:top w:val="single" w:sz="6" w:space="0" w:color="000000"/>
              <w:left w:val="single" w:sz="6" w:space="0" w:color="000000"/>
              <w:bottom w:val="single" w:sz="6" w:space="0" w:color="000000"/>
            </w:tcBorders>
          </w:tcPr>
          <w:p>
            <w:pPr>
              <w:pStyle w:val="TableParagraph"/>
              <w:spacing w:line="226" w:lineRule="exact" w:before="20"/>
              <w:ind w:left="67" w:right="290"/>
              <w:rPr>
                <w:sz w:val="20"/>
              </w:rPr>
            </w:pPr>
            <w:r>
              <w:rPr>
                <w:sz w:val="20"/>
              </w:rPr>
              <w:t>Interrupt 1 type control bit. Selects either the falling edge or low level on input pin to cause an interrupt.</w:t>
            </w:r>
          </w:p>
        </w:tc>
      </w:tr>
      <w:tr>
        <w:trPr>
          <w:trHeight w:val="486" w:hRule="atLeast"/>
        </w:trPr>
        <w:tc>
          <w:tcPr>
            <w:tcW w:w="1315" w:type="dxa"/>
            <w:tcBorders>
              <w:top w:val="single" w:sz="6" w:space="0" w:color="000000"/>
              <w:bottom w:val="single" w:sz="6" w:space="0" w:color="000000"/>
              <w:right w:val="single" w:sz="6" w:space="0" w:color="000000"/>
            </w:tcBorders>
          </w:tcPr>
          <w:p>
            <w:pPr>
              <w:pStyle w:val="TableParagraph"/>
              <w:spacing w:before="9"/>
              <w:ind w:left="69"/>
              <w:rPr>
                <w:rFonts w:ascii="Times New Roman"/>
                <w:i/>
                <w:sz w:val="20"/>
              </w:rPr>
            </w:pPr>
            <w:r>
              <w:rPr>
                <w:rFonts w:ascii="Times New Roman"/>
                <w:i/>
                <w:sz w:val="20"/>
              </w:rPr>
              <w:t>TCON[1]</w:t>
            </w:r>
          </w:p>
        </w:tc>
        <w:tc>
          <w:tcPr>
            <w:tcW w:w="1317" w:type="dxa"/>
            <w:tcBorders>
              <w:top w:val="single" w:sz="6" w:space="0" w:color="000000"/>
              <w:left w:val="single" w:sz="6" w:space="0" w:color="000000"/>
              <w:bottom w:val="single" w:sz="6" w:space="0" w:color="000000"/>
              <w:right w:val="single" w:sz="6" w:space="0" w:color="000000"/>
            </w:tcBorders>
          </w:tcPr>
          <w:p>
            <w:pPr>
              <w:pStyle w:val="TableParagraph"/>
              <w:spacing w:before="9"/>
              <w:ind w:left="69"/>
              <w:rPr>
                <w:rFonts w:ascii="Times New Roman"/>
                <w:i/>
                <w:sz w:val="20"/>
              </w:rPr>
            </w:pPr>
            <w:r>
              <w:rPr>
                <w:rFonts w:ascii="Times New Roman"/>
                <w:i/>
                <w:sz w:val="20"/>
              </w:rPr>
              <w:t>IE0</w:t>
            </w:r>
          </w:p>
        </w:tc>
        <w:tc>
          <w:tcPr>
            <w:tcW w:w="6727" w:type="dxa"/>
            <w:tcBorders>
              <w:top w:val="single" w:sz="6" w:space="0" w:color="000000"/>
              <w:left w:val="single" w:sz="6" w:space="0" w:color="000000"/>
              <w:bottom w:val="single" w:sz="6" w:space="0" w:color="000000"/>
            </w:tcBorders>
          </w:tcPr>
          <w:p>
            <w:pPr>
              <w:pStyle w:val="TableParagraph"/>
              <w:spacing w:line="226" w:lineRule="exact" w:before="20"/>
              <w:ind w:left="67"/>
              <w:rPr>
                <w:sz w:val="20"/>
              </w:rPr>
            </w:pPr>
            <w:r>
              <w:rPr>
                <w:sz w:val="20"/>
              </w:rPr>
              <w:t>Interrupt 0 edge flag is set by hardware when the falling edge on external pin int0 is observed. Cleared when an interrupt is processed.</w:t>
            </w:r>
          </w:p>
        </w:tc>
      </w:tr>
      <w:tr>
        <w:trPr>
          <w:trHeight w:val="486" w:hRule="atLeast"/>
        </w:trPr>
        <w:tc>
          <w:tcPr>
            <w:tcW w:w="1315" w:type="dxa"/>
            <w:tcBorders>
              <w:top w:val="single" w:sz="6" w:space="0" w:color="000000"/>
              <w:right w:val="single" w:sz="6" w:space="0" w:color="000000"/>
            </w:tcBorders>
          </w:tcPr>
          <w:p>
            <w:pPr>
              <w:pStyle w:val="TableParagraph"/>
              <w:spacing w:before="9"/>
              <w:ind w:left="69"/>
              <w:rPr>
                <w:rFonts w:ascii="Times New Roman"/>
                <w:i/>
                <w:sz w:val="20"/>
              </w:rPr>
            </w:pPr>
            <w:r>
              <w:rPr>
                <w:rFonts w:ascii="Times New Roman"/>
                <w:i/>
                <w:sz w:val="20"/>
              </w:rPr>
              <w:t>TCON[0]</w:t>
            </w:r>
          </w:p>
        </w:tc>
        <w:tc>
          <w:tcPr>
            <w:tcW w:w="1317" w:type="dxa"/>
            <w:tcBorders>
              <w:top w:val="single" w:sz="6" w:space="0" w:color="000000"/>
              <w:left w:val="single" w:sz="6" w:space="0" w:color="000000"/>
              <w:right w:val="single" w:sz="6" w:space="0" w:color="000000"/>
            </w:tcBorders>
          </w:tcPr>
          <w:p>
            <w:pPr>
              <w:pStyle w:val="TableParagraph"/>
              <w:spacing w:before="9"/>
              <w:ind w:left="69"/>
              <w:rPr>
                <w:rFonts w:ascii="Times New Roman"/>
                <w:i/>
                <w:sz w:val="20"/>
              </w:rPr>
            </w:pPr>
            <w:r>
              <w:rPr>
                <w:rFonts w:ascii="Times New Roman"/>
                <w:i/>
                <w:sz w:val="20"/>
              </w:rPr>
              <w:t>IT0</w:t>
            </w:r>
          </w:p>
        </w:tc>
        <w:tc>
          <w:tcPr>
            <w:tcW w:w="6727" w:type="dxa"/>
            <w:tcBorders>
              <w:top w:val="single" w:sz="6" w:space="0" w:color="000000"/>
              <w:left w:val="single" w:sz="6" w:space="0" w:color="000000"/>
            </w:tcBorders>
          </w:tcPr>
          <w:p>
            <w:pPr>
              <w:pStyle w:val="TableParagraph"/>
              <w:spacing w:line="226" w:lineRule="exact" w:before="20"/>
              <w:ind w:left="67" w:right="290"/>
              <w:rPr>
                <w:sz w:val="20"/>
              </w:rPr>
            </w:pPr>
            <w:r>
              <w:rPr>
                <w:sz w:val="20"/>
              </w:rPr>
              <w:t>Interrupt 0 type control bit. Selects either the falling edge or low level on input pin to cause interrupt.</w:t>
            </w:r>
          </w:p>
        </w:tc>
      </w:tr>
    </w:tbl>
    <w:p>
      <w:pPr>
        <w:pStyle w:val="BodyText"/>
        <w:spacing w:before="5"/>
        <w:rPr>
          <w:b/>
          <w:sz w:val="25"/>
        </w:rPr>
      </w:pPr>
    </w:p>
    <w:p>
      <w:pPr>
        <w:tabs>
          <w:tab w:pos="1339" w:val="left" w:leader="none"/>
        </w:tabs>
        <w:spacing w:before="0"/>
        <w:ind w:left="620" w:right="0" w:firstLine="0"/>
        <w:jc w:val="left"/>
        <w:rPr>
          <w:b/>
          <w:sz w:val="22"/>
        </w:rPr>
      </w:pPr>
      <w:bookmarkStart w:name="2.4.7 WD Timer (Software Watchdog Timer)" w:id="154"/>
      <w:bookmarkEnd w:id="154"/>
      <w:r>
        <w:rPr/>
      </w:r>
      <w:bookmarkStart w:name="_bookmark74" w:id="155"/>
      <w:bookmarkEnd w:id="155"/>
      <w:r>
        <w:rPr/>
      </w:r>
      <w:r>
        <w:rPr>
          <w:b/>
          <w:sz w:val="22"/>
        </w:rPr>
        <w:t>2.4.7</w:t>
        <w:tab/>
        <w:t>WD Timer (Software Watchdog</w:t>
      </w:r>
      <w:r>
        <w:rPr>
          <w:b/>
          <w:spacing w:val="-4"/>
          <w:sz w:val="22"/>
        </w:rPr>
        <w:t> </w:t>
      </w:r>
      <w:r>
        <w:rPr>
          <w:b/>
          <w:sz w:val="22"/>
        </w:rPr>
        <w:t>Timer)</w:t>
      </w:r>
    </w:p>
    <w:p>
      <w:pPr>
        <w:pStyle w:val="BodyText"/>
        <w:spacing w:line="227" w:lineRule="exact" w:before="119"/>
        <w:ind w:left="620"/>
      </w:pPr>
      <w:r>
        <w:rPr/>
        <w:t>There is no internal software watchdog timer. Use the standard hardware watchdog timer instead (see</w:t>
      </w:r>
    </w:p>
    <w:p>
      <w:pPr>
        <w:pStyle w:val="BodyText"/>
        <w:spacing w:line="227" w:lineRule="exact"/>
        <w:ind w:left="620"/>
      </w:pPr>
      <w:hyperlink w:history="true" w:anchor="_bookmark144">
        <w:r>
          <w:rPr>
            <w:color w:val="0000FF"/>
          </w:rPr>
          <w:t>2.5.13 </w:t>
        </w:r>
      </w:hyperlink>
      <w:hyperlink w:history="true" w:anchor="_bookmark144">
        <w:r>
          <w:rPr>
            <w:color w:val="0000FF"/>
          </w:rPr>
          <w:t>Hardware Watchdog Timer</w:t>
        </w:r>
      </w:hyperlink>
      <w:r>
        <w:rPr/>
        <w:t>).</w:t>
      </w:r>
    </w:p>
    <w:p>
      <w:pPr>
        <w:tabs>
          <w:tab w:pos="1339" w:val="left" w:leader="none"/>
        </w:tabs>
        <w:spacing w:before="109"/>
        <w:ind w:left="620" w:right="0" w:firstLine="0"/>
        <w:jc w:val="left"/>
        <w:rPr>
          <w:b/>
          <w:sz w:val="22"/>
        </w:rPr>
      </w:pPr>
      <w:bookmarkStart w:name="2.4.8 Interrupts" w:id="156"/>
      <w:bookmarkEnd w:id="156"/>
      <w:r>
        <w:rPr/>
      </w:r>
      <w:bookmarkStart w:name="_bookmark75" w:id="157"/>
      <w:bookmarkEnd w:id="157"/>
      <w:r>
        <w:rPr/>
      </w:r>
      <w:r>
        <w:rPr>
          <w:b/>
          <w:sz w:val="22"/>
        </w:rPr>
        <w:t>2.4.8</w:t>
        <w:tab/>
        <w:t>Interrupts</w:t>
      </w:r>
    </w:p>
    <w:p>
      <w:pPr>
        <w:pStyle w:val="BodyText"/>
        <w:spacing w:line="230" w:lineRule="auto" w:before="124"/>
        <w:ind w:left="620" w:right="559" w:hanging="1"/>
      </w:pPr>
      <w:r>
        <w:rPr/>
        <w:t>The </w:t>
      </w:r>
      <w:r>
        <w:rPr>
          <w:spacing w:val="-3"/>
        </w:rPr>
        <w:t>80515 provides </w:t>
      </w:r>
      <w:r>
        <w:rPr/>
        <w:t>11 </w:t>
      </w:r>
      <w:r>
        <w:rPr>
          <w:spacing w:val="-3"/>
        </w:rPr>
        <w:t>interrupt sources with </w:t>
      </w:r>
      <w:r>
        <w:rPr/>
        <w:t>four </w:t>
      </w:r>
      <w:r>
        <w:rPr>
          <w:spacing w:val="-3"/>
        </w:rPr>
        <w:t>priority levels. Each </w:t>
      </w:r>
      <w:r>
        <w:rPr>
          <w:spacing w:val="-2"/>
        </w:rPr>
        <w:t>source </w:t>
      </w:r>
      <w:r>
        <w:rPr/>
        <w:t>has </w:t>
      </w:r>
      <w:r>
        <w:rPr>
          <w:spacing w:val="-3"/>
        </w:rPr>
        <w:t>its own interrupt request </w:t>
      </w:r>
      <w:r>
        <w:rPr/>
        <w:t>flag(s) located in a special function register (</w:t>
      </w:r>
      <w:r>
        <w:rPr>
          <w:rFonts w:ascii="Times New Roman"/>
          <w:i/>
        </w:rPr>
        <w:t>TCON</w:t>
      </w:r>
      <w:r>
        <w:rPr>
          <w:i/>
        </w:rPr>
        <w:t>, </w:t>
      </w:r>
      <w:r>
        <w:rPr>
          <w:rFonts w:ascii="Times New Roman"/>
          <w:i/>
        </w:rPr>
        <w:t>IRCON</w:t>
      </w:r>
      <w:r>
        <w:rPr>
          <w:i/>
        </w:rPr>
        <w:t>, and </w:t>
      </w:r>
      <w:r>
        <w:rPr>
          <w:rFonts w:ascii="Times New Roman"/>
          <w:i/>
        </w:rPr>
        <w:t>SCON</w:t>
      </w:r>
      <w:r>
        <w:rPr/>
        <w:t>). Each interrupt requested by the </w:t>
      </w:r>
      <w:r>
        <w:rPr>
          <w:spacing w:val="3"/>
        </w:rPr>
        <w:t>corresponding </w:t>
      </w:r>
      <w:r>
        <w:rPr/>
        <w:t>flag can be individually enabled or disabled by the enable bits in </w:t>
      </w:r>
      <w:r>
        <w:rPr>
          <w:rFonts w:ascii="Times New Roman"/>
          <w:i/>
        </w:rPr>
        <w:t>IEN0 (SFR 0xA8)</w:t>
      </w:r>
      <w:r>
        <w:rPr>
          <w:i/>
        </w:rPr>
        <w:t>, </w:t>
      </w:r>
      <w:r>
        <w:rPr>
          <w:rFonts w:ascii="Times New Roman"/>
          <w:i/>
        </w:rPr>
        <w:t>IEN1 </w:t>
      </w:r>
      <w:r>
        <w:rPr>
          <w:rFonts w:ascii="Times New Roman"/>
          <w:i/>
        </w:rPr>
        <w:t>(SFR 0xB8)</w:t>
      </w:r>
      <w:r>
        <w:rPr/>
        <w:t>, and </w:t>
      </w:r>
      <w:r>
        <w:rPr>
          <w:rFonts w:ascii="Times New Roman"/>
          <w:i/>
        </w:rPr>
        <w:t>IEN2 (SFR 0x9A)</w:t>
      </w:r>
      <w:r>
        <w:rPr/>
        <w:t>. </w:t>
      </w:r>
      <w:hyperlink w:history="true" w:anchor="_bookmark92">
        <w:r>
          <w:rPr>
            <w:color w:val="0000FF"/>
          </w:rPr>
          <w:t>Figure 12 </w:t>
        </w:r>
      </w:hyperlink>
      <w:r>
        <w:rPr/>
        <w:t>shows the device interrupt structure.</w:t>
      </w:r>
    </w:p>
    <w:p>
      <w:pPr>
        <w:spacing w:after="0" w:line="230" w:lineRule="auto"/>
        <w:sectPr>
          <w:pgSz w:w="12240" w:h="15840"/>
          <w:pgMar w:header="727" w:footer="819" w:top="960" w:bottom="1000" w:left="820" w:right="860"/>
        </w:sectPr>
      </w:pPr>
    </w:p>
    <w:p>
      <w:pPr>
        <w:pStyle w:val="BodyText"/>
        <w:spacing w:before="1"/>
        <w:rPr>
          <w:sz w:val="16"/>
        </w:rPr>
      </w:pPr>
    </w:p>
    <w:p>
      <w:pPr>
        <w:pStyle w:val="BodyText"/>
        <w:spacing w:line="225" w:lineRule="auto" w:before="104"/>
        <w:ind w:left="619" w:right="594"/>
      </w:pPr>
      <w:r>
        <w:rPr/>
        <w:t>Referring to </w:t>
      </w:r>
      <w:hyperlink w:history="true" w:anchor="_bookmark92">
        <w:r>
          <w:rPr>
            <w:color w:val="0000FF"/>
          </w:rPr>
          <w:t>Figure 12, </w:t>
        </w:r>
      </w:hyperlink>
      <w:r>
        <w:rPr/>
        <w:t>interrupt sources can originate from within the 80515 MPU core (referred to as Internal Sources) or can originate from other parts of the 71M6543 SoC (referred to as External Sources). There are seven external interrupt sources, as seen in the leftmost part of </w:t>
      </w:r>
      <w:hyperlink w:history="true" w:anchor="_bookmark92">
        <w:r>
          <w:rPr>
            <w:color w:val="0000FF"/>
          </w:rPr>
          <w:t>Figure 12</w:t>
        </w:r>
        <w:r>
          <w:rPr/>
          <w:t>, </w:t>
        </w:r>
      </w:hyperlink>
      <w:r>
        <w:rPr/>
        <w:t>and in </w:t>
      </w:r>
      <w:hyperlink w:history="true" w:anchor="_bookmark76">
        <w:r>
          <w:rPr>
            <w:color w:val="0000FF"/>
          </w:rPr>
          <w:t>Table 25 </w:t>
        </w:r>
      </w:hyperlink>
      <w:r>
        <w:rPr/>
        <w:t>and </w:t>
      </w:r>
      <w:hyperlink w:history="true" w:anchor="_bookmark77">
        <w:r>
          <w:rPr>
            <w:color w:val="0000FF"/>
          </w:rPr>
          <w:t>Table 26 </w:t>
        </w:r>
      </w:hyperlink>
      <w:r>
        <w:rPr/>
        <w:t>(i.e., </w:t>
      </w:r>
      <w:r>
        <w:rPr>
          <w:rFonts w:ascii="Times New Roman"/>
          <w:i/>
        </w:rPr>
        <w:t>EX0-EX6</w:t>
      </w:r>
      <w:r>
        <w:rPr/>
        <w:t>).</w:t>
      </w:r>
    </w:p>
    <w:p>
      <w:pPr>
        <w:spacing w:before="124"/>
        <w:ind w:left="620" w:right="0" w:firstLine="0"/>
        <w:jc w:val="left"/>
        <w:rPr>
          <w:b/>
          <w:sz w:val="20"/>
        </w:rPr>
      </w:pPr>
      <w:bookmarkStart w:name="Interrupt Overview" w:id="158"/>
      <w:bookmarkEnd w:id="158"/>
      <w:r>
        <w:rPr/>
      </w:r>
      <w:r>
        <w:rPr>
          <w:b/>
          <w:sz w:val="20"/>
        </w:rPr>
        <w:t>Interrupt Overview</w:t>
      </w:r>
    </w:p>
    <w:p>
      <w:pPr>
        <w:pStyle w:val="BodyText"/>
        <w:spacing w:before="82"/>
        <w:ind w:left="619" w:right="616"/>
      </w:pPr>
      <w:r>
        <w:rPr/>
        <w:t>When an interrupt occurs, the MPU vectors to the predetermined address as shown in </w:t>
      </w:r>
      <w:hyperlink w:history="true" w:anchor="_bookmark91">
        <w:r>
          <w:rPr>
            <w:color w:val="0000FF"/>
          </w:rPr>
          <w:t>Table 37</w:t>
        </w:r>
        <w:r>
          <w:rPr/>
          <w:t>.</w:t>
        </w:r>
      </w:hyperlink>
      <w:r>
        <w:rPr/>
        <w:t> Once the </w:t>
      </w:r>
      <w:r>
        <w:rPr>
          <w:spacing w:val="-3"/>
        </w:rPr>
        <w:t>interrupt service </w:t>
      </w:r>
      <w:r>
        <w:rPr/>
        <w:t>has </w:t>
      </w:r>
      <w:r>
        <w:rPr>
          <w:spacing w:val="-3"/>
        </w:rPr>
        <w:t>begun, </w:t>
      </w:r>
      <w:r>
        <w:rPr/>
        <w:t>it can be </w:t>
      </w:r>
      <w:r>
        <w:rPr>
          <w:spacing w:val="-3"/>
        </w:rPr>
        <w:t>interrupted </w:t>
      </w:r>
      <w:r>
        <w:rPr/>
        <w:t>only by a </w:t>
      </w:r>
      <w:r>
        <w:rPr>
          <w:spacing w:val="-3"/>
        </w:rPr>
        <w:t>higher priority interrupt. </w:t>
      </w:r>
      <w:r>
        <w:rPr/>
        <w:t>The </w:t>
      </w:r>
      <w:r>
        <w:rPr>
          <w:spacing w:val="-3"/>
        </w:rPr>
        <w:t>interrupt service </w:t>
      </w:r>
      <w:r>
        <w:rPr/>
        <w:t>is terminated by a return from instruction, RETI. When an RETI is performed, the processor returns to the instruction that would have been next when the interrupt</w:t>
      </w:r>
      <w:r>
        <w:rPr>
          <w:spacing w:val="-3"/>
        </w:rPr>
        <w:t> </w:t>
      </w:r>
      <w:r>
        <w:rPr/>
        <w:t>occurred.</w:t>
      </w:r>
    </w:p>
    <w:p>
      <w:pPr>
        <w:pStyle w:val="BodyText"/>
        <w:spacing w:before="119"/>
        <w:ind w:left="619" w:right="595"/>
      </w:pPr>
      <w:r>
        <w:rPr/>
        <w:t>When the interrupt condition occurs, the processor also indicates this by setting a flag bit. This bit is set regardless of whether the interrupt is enabled or disabled. Each interrupt flag is sampled once per machine</w:t>
      </w:r>
      <w:r>
        <w:rPr>
          <w:spacing w:val="-14"/>
        </w:rPr>
        <w:t> </w:t>
      </w:r>
      <w:r>
        <w:rPr/>
        <w:t>cycle,</w:t>
      </w:r>
      <w:r>
        <w:rPr>
          <w:spacing w:val="-13"/>
        </w:rPr>
        <w:t> </w:t>
      </w:r>
      <w:r>
        <w:rPr/>
        <w:t>then</w:t>
      </w:r>
      <w:r>
        <w:rPr>
          <w:spacing w:val="-13"/>
        </w:rPr>
        <w:t> </w:t>
      </w:r>
      <w:r>
        <w:rPr/>
        <w:t>samples</w:t>
      </w:r>
      <w:r>
        <w:rPr>
          <w:spacing w:val="-11"/>
        </w:rPr>
        <w:t> </w:t>
      </w:r>
      <w:r>
        <w:rPr/>
        <w:t>are</w:t>
      </w:r>
      <w:r>
        <w:rPr>
          <w:spacing w:val="-12"/>
        </w:rPr>
        <w:t> </w:t>
      </w:r>
      <w:r>
        <w:rPr/>
        <w:t>polled</w:t>
      </w:r>
      <w:r>
        <w:rPr>
          <w:spacing w:val="-11"/>
        </w:rPr>
        <w:t> </w:t>
      </w:r>
      <w:r>
        <w:rPr/>
        <w:t>by</w:t>
      </w:r>
      <w:r>
        <w:rPr>
          <w:spacing w:val="-16"/>
        </w:rPr>
        <w:t> </w:t>
      </w:r>
      <w:r>
        <w:rPr/>
        <w:t>the</w:t>
      </w:r>
      <w:r>
        <w:rPr>
          <w:spacing w:val="-11"/>
        </w:rPr>
        <w:t> </w:t>
      </w:r>
      <w:r>
        <w:rPr/>
        <w:t>hardware.</w:t>
      </w:r>
      <w:r>
        <w:rPr>
          <w:spacing w:val="35"/>
        </w:rPr>
        <w:t> </w:t>
      </w:r>
      <w:r>
        <w:rPr/>
        <w:t>If</w:t>
      </w:r>
      <w:r>
        <w:rPr>
          <w:spacing w:val="-10"/>
        </w:rPr>
        <w:t> </w:t>
      </w:r>
      <w:r>
        <w:rPr/>
        <w:t>the</w:t>
      </w:r>
      <w:r>
        <w:rPr>
          <w:spacing w:val="-14"/>
        </w:rPr>
        <w:t> </w:t>
      </w:r>
      <w:r>
        <w:rPr/>
        <w:t>sample</w:t>
      </w:r>
      <w:r>
        <w:rPr>
          <w:spacing w:val="-11"/>
        </w:rPr>
        <w:t> </w:t>
      </w:r>
      <w:r>
        <w:rPr>
          <w:spacing w:val="-2"/>
        </w:rPr>
        <w:t>indicates</w:t>
      </w:r>
      <w:r>
        <w:rPr>
          <w:spacing w:val="-11"/>
        </w:rPr>
        <w:t> </w:t>
      </w:r>
      <w:r>
        <w:rPr/>
        <w:t>a</w:t>
      </w:r>
      <w:r>
        <w:rPr>
          <w:spacing w:val="-9"/>
        </w:rPr>
        <w:t> </w:t>
      </w:r>
      <w:r>
        <w:rPr/>
        <w:t>pending</w:t>
      </w:r>
      <w:r>
        <w:rPr>
          <w:spacing w:val="-12"/>
        </w:rPr>
        <w:t> </w:t>
      </w:r>
      <w:r>
        <w:rPr>
          <w:spacing w:val="-3"/>
        </w:rPr>
        <w:t>interrupt</w:t>
      </w:r>
      <w:r>
        <w:rPr>
          <w:spacing w:val="-9"/>
        </w:rPr>
        <w:t> </w:t>
      </w:r>
      <w:r>
        <w:rPr/>
        <w:t>when the</w:t>
      </w:r>
      <w:r>
        <w:rPr>
          <w:spacing w:val="-12"/>
        </w:rPr>
        <w:t> </w:t>
      </w:r>
      <w:r>
        <w:rPr/>
        <w:t>interrupt</w:t>
      </w:r>
      <w:r>
        <w:rPr>
          <w:spacing w:val="-12"/>
        </w:rPr>
        <w:t> </w:t>
      </w:r>
      <w:r>
        <w:rPr/>
        <w:t>is</w:t>
      </w:r>
      <w:r>
        <w:rPr>
          <w:spacing w:val="-10"/>
        </w:rPr>
        <w:t> </w:t>
      </w:r>
      <w:r>
        <w:rPr/>
        <w:t>enabled,</w:t>
      </w:r>
      <w:r>
        <w:rPr>
          <w:spacing w:val="-11"/>
        </w:rPr>
        <w:t> </w:t>
      </w:r>
      <w:r>
        <w:rPr/>
        <w:t>then</w:t>
      </w:r>
      <w:r>
        <w:rPr>
          <w:spacing w:val="-14"/>
        </w:rPr>
        <w:t> </w:t>
      </w:r>
      <w:r>
        <w:rPr/>
        <w:t>the</w:t>
      </w:r>
      <w:r>
        <w:rPr>
          <w:spacing w:val="-11"/>
        </w:rPr>
        <w:t> </w:t>
      </w:r>
      <w:r>
        <w:rPr/>
        <w:t>interrupt</w:t>
      </w:r>
      <w:r>
        <w:rPr>
          <w:spacing w:val="-14"/>
        </w:rPr>
        <w:t> </w:t>
      </w:r>
      <w:r>
        <w:rPr/>
        <w:t>request</w:t>
      </w:r>
      <w:r>
        <w:rPr>
          <w:spacing w:val="-11"/>
        </w:rPr>
        <w:t> </w:t>
      </w:r>
      <w:r>
        <w:rPr/>
        <w:t>flag</w:t>
      </w:r>
      <w:r>
        <w:rPr>
          <w:spacing w:val="-12"/>
        </w:rPr>
        <w:t> </w:t>
      </w:r>
      <w:r>
        <w:rPr/>
        <w:t>is</w:t>
      </w:r>
      <w:r>
        <w:rPr>
          <w:spacing w:val="-12"/>
        </w:rPr>
        <w:t> </w:t>
      </w:r>
      <w:r>
        <w:rPr/>
        <w:t>set.</w:t>
      </w:r>
      <w:r>
        <w:rPr>
          <w:spacing w:val="33"/>
        </w:rPr>
        <w:t> </w:t>
      </w:r>
      <w:r>
        <w:rPr/>
        <w:t>On</w:t>
      </w:r>
      <w:r>
        <w:rPr>
          <w:spacing w:val="-12"/>
        </w:rPr>
        <w:t> </w:t>
      </w:r>
      <w:r>
        <w:rPr/>
        <w:t>the</w:t>
      </w:r>
      <w:r>
        <w:rPr>
          <w:spacing w:val="-12"/>
        </w:rPr>
        <w:t> </w:t>
      </w:r>
      <w:r>
        <w:rPr/>
        <w:t>next</w:t>
      </w:r>
      <w:r>
        <w:rPr>
          <w:spacing w:val="-11"/>
        </w:rPr>
        <w:t> </w:t>
      </w:r>
      <w:r>
        <w:rPr/>
        <w:t>instruction</w:t>
      </w:r>
      <w:r>
        <w:rPr>
          <w:spacing w:val="-13"/>
        </w:rPr>
        <w:t> </w:t>
      </w:r>
      <w:r>
        <w:rPr/>
        <w:t>cycle,</w:t>
      </w:r>
      <w:r>
        <w:rPr>
          <w:spacing w:val="-11"/>
        </w:rPr>
        <w:t> </w:t>
      </w:r>
      <w:r>
        <w:rPr/>
        <w:t>the</w:t>
      </w:r>
      <w:r>
        <w:rPr>
          <w:spacing w:val="-12"/>
        </w:rPr>
        <w:t> </w:t>
      </w:r>
      <w:r>
        <w:rPr>
          <w:spacing w:val="-3"/>
        </w:rPr>
        <w:t>interrupt</w:t>
      </w:r>
      <w:r>
        <w:rPr>
          <w:spacing w:val="-9"/>
        </w:rPr>
        <w:t> </w:t>
      </w:r>
      <w:r>
        <w:rPr/>
        <w:t>is </w:t>
      </w:r>
      <w:r>
        <w:rPr>
          <w:spacing w:val="-3"/>
        </w:rPr>
        <w:t>acknowledged </w:t>
      </w:r>
      <w:r>
        <w:rPr/>
        <w:t>by </w:t>
      </w:r>
      <w:r>
        <w:rPr>
          <w:spacing w:val="-3"/>
        </w:rPr>
        <w:t>hardware forcing </w:t>
      </w:r>
      <w:r>
        <w:rPr/>
        <w:t>an </w:t>
      </w:r>
      <w:r>
        <w:rPr>
          <w:spacing w:val="-3"/>
        </w:rPr>
        <w:t>LCALL </w:t>
      </w:r>
      <w:r>
        <w:rPr/>
        <w:t>to the </w:t>
      </w:r>
      <w:r>
        <w:rPr>
          <w:spacing w:val="-3"/>
        </w:rPr>
        <w:t>appropriate vector address, </w:t>
      </w:r>
      <w:r>
        <w:rPr/>
        <w:t>if </w:t>
      </w:r>
      <w:r>
        <w:rPr>
          <w:spacing w:val="-3"/>
        </w:rPr>
        <w:t>the following </w:t>
      </w:r>
      <w:r>
        <w:rPr>
          <w:spacing w:val="-4"/>
        </w:rPr>
        <w:t>conditions </w:t>
      </w:r>
      <w:r>
        <w:rPr/>
        <w:t>are</w:t>
      </w:r>
      <w:r>
        <w:rPr>
          <w:spacing w:val="-10"/>
        </w:rPr>
        <w:t> </w:t>
      </w:r>
      <w:r>
        <w:rPr/>
        <w:t>met:</w:t>
      </w:r>
    </w:p>
    <w:p>
      <w:pPr>
        <w:pStyle w:val="ListParagraph"/>
        <w:numPr>
          <w:ilvl w:val="1"/>
          <w:numId w:val="10"/>
        </w:numPr>
        <w:tabs>
          <w:tab w:pos="979" w:val="left" w:leader="none"/>
          <w:tab w:pos="980" w:val="left" w:leader="none"/>
        </w:tabs>
        <w:spacing w:line="240" w:lineRule="auto" w:before="122" w:after="0"/>
        <w:ind w:left="979" w:right="0" w:hanging="361"/>
        <w:jc w:val="left"/>
        <w:rPr>
          <w:sz w:val="20"/>
        </w:rPr>
      </w:pPr>
      <w:r>
        <w:rPr>
          <w:sz w:val="20"/>
        </w:rPr>
        <w:t>No interrupt of equal or higher priority is already in</w:t>
      </w:r>
      <w:r>
        <w:rPr>
          <w:spacing w:val="-7"/>
          <w:sz w:val="20"/>
        </w:rPr>
        <w:t> </w:t>
      </w:r>
      <w:r>
        <w:rPr>
          <w:sz w:val="20"/>
        </w:rPr>
        <w:t>progress.</w:t>
      </w:r>
    </w:p>
    <w:p>
      <w:pPr>
        <w:pStyle w:val="ListParagraph"/>
        <w:numPr>
          <w:ilvl w:val="1"/>
          <w:numId w:val="10"/>
        </w:numPr>
        <w:tabs>
          <w:tab w:pos="979" w:val="left" w:leader="none"/>
          <w:tab w:pos="980" w:val="left" w:leader="none"/>
        </w:tabs>
        <w:spacing w:line="240" w:lineRule="auto" w:before="38" w:after="0"/>
        <w:ind w:left="979" w:right="0" w:hanging="361"/>
        <w:jc w:val="left"/>
        <w:rPr>
          <w:sz w:val="20"/>
        </w:rPr>
      </w:pPr>
      <w:r>
        <w:rPr>
          <w:sz w:val="20"/>
        </w:rPr>
        <w:t>An instruction is currently being executed and is not</w:t>
      </w:r>
      <w:r>
        <w:rPr>
          <w:spacing w:val="-8"/>
          <w:sz w:val="20"/>
        </w:rPr>
        <w:t> </w:t>
      </w:r>
      <w:r>
        <w:rPr>
          <w:sz w:val="20"/>
        </w:rPr>
        <w:t>completed.</w:t>
      </w:r>
    </w:p>
    <w:p>
      <w:pPr>
        <w:pStyle w:val="ListParagraph"/>
        <w:numPr>
          <w:ilvl w:val="1"/>
          <w:numId w:val="10"/>
        </w:numPr>
        <w:tabs>
          <w:tab w:pos="979" w:val="left" w:leader="none"/>
          <w:tab w:pos="980" w:val="left" w:leader="none"/>
        </w:tabs>
        <w:spacing w:line="240" w:lineRule="auto" w:before="33" w:after="0"/>
        <w:ind w:left="979" w:right="0" w:hanging="361"/>
        <w:jc w:val="left"/>
        <w:rPr>
          <w:sz w:val="20"/>
        </w:rPr>
      </w:pPr>
      <w:r>
        <w:rPr>
          <w:sz w:val="20"/>
        </w:rPr>
        <w:t>The</w:t>
      </w:r>
      <w:r>
        <w:rPr>
          <w:spacing w:val="-10"/>
          <w:sz w:val="20"/>
        </w:rPr>
        <w:t> </w:t>
      </w:r>
      <w:r>
        <w:rPr>
          <w:spacing w:val="-3"/>
          <w:sz w:val="20"/>
        </w:rPr>
        <w:t>instruction</w:t>
      </w:r>
      <w:r>
        <w:rPr>
          <w:spacing w:val="-9"/>
          <w:sz w:val="20"/>
        </w:rPr>
        <w:t> </w:t>
      </w:r>
      <w:r>
        <w:rPr>
          <w:sz w:val="20"/>
        </w:rPr>
        <w:t>in</w:t>
      </w:r>
      <w:r>
        <w:rPr>
          <w:spacing w:val="-9"/>
          <w:sz w:val="20"/>
        </w:rPr>
        <w:t> </w:t>
      </w:r>
      <w:r>
        <w:rPr>
          <w:sz w:val="20"/>
        </w:rPr>
        <w:t>progress</w:t>
      </w:r>
      <w:r>
        <w:rPr>
          <w:spacing w:val="-9"/>
          <w:sz w:val="20"/>
        </w:rPr>
        <w:t> </w:t>
      </w:r>
      <w:r>
        <w:rPr>
          <w:sz w:val="20"/>
        </w:rPr>
        <w:t>is</w:t>
      </w:r>
      <w:r>
        <w:rPr>
          <w:spacing w:val="-8"/>
          <w:sz w:val="20"/>
        </w:rPr>
        <w:t> </w:t>
      </w:r>
      <w:r>
        <w:rPr>
          <w:sz w:val="20"/>
        </w:rPr>
        <w:t>not</w:t>
      </w:r>
      <w:r>
        <w:rPr>
          <w:spacing w:val="-10"/>
          <w:sz w:val="20"/>
        </w:rPr>
        <w:t> </w:t>
      </w:r>
      <w:r>
        <w:rPr>
          <w:sz w:val="20"/>
        </w:rPr>
        <w:t>RETI</w:t>
      </w:r>
      <w:r>
        <w:rPr>
          <w:spacing w:val="-10"/>
          <w:sz w:val="20"/>
        </w:rPr>
        <w:t> </w:t>
      </w:r>
      <w:r>
        <w:rPr>
          <w:sz w:val="20"/>
        </w:rPr>
        <w:t>or</w:t>
      </w:r>
      <w:r>
        <w:rPr>
          <w:spacing w:val="-7"/>
          <w:sz w:val="20"/>
        </w:rPr>
        <w:t> </w:t>
      </w:r>
      <w:r>
        <w:rPr>
          <w:sz w:val="20"/>
        </w:rPr>
        <w:t>any</w:t>
      </w:r>
      <w:r>
        <w:rPr>
          <w:spacing w:val="-11"/>
          <w:sz w:val="20"/>
        </w:rPr>
        <w:t> </w:t>
      </w:r>
      <w:r>
        <w:rPr>
          <w:sz w:val="20"/>
        </w:rPr>
        <w:t>write</w:t>
      </w:r>
      <w:r>
        <w:rPr>
          <w:spacing w:val="-8"/>
          <w:sz w:val="20"/>
        </w:rPr>
        <w:t> </w:t>
      </w:r>
      <w:r>
        <w:rPr>
          <w:sz w:val="20"/>
        </w:rPr>
        <w:t>access</w:t>
      </w:r>
      <w:r>
        <w:rPr>
          <w:spacing w:val="-8"/>
          <w:sz w:val="20"/>
        </w:rPr>
        <w:t> </w:t>
      </w:r>
      <w:r>
        <w:rPr>
          <w:sz w:val="20"/>
        </w:rPr>
        <w:t>to</w:t>
      </w:r>
      <w:r>
        <w:rPr>
          <w:spacing w:val="-10"/>
          <w:sz w:val="20"/>
        </w:rPr>
        <w:t> </w:t>
      </w:r>
      <w:r>
        <w:rPr>
          <w:sz w:val="20"/>
        </w:rPr>
        <w:t>the</w:t>
      </w:r>
      <w:r>
        <w:rPr>
          <w:spacing w:val="-8"/>
          <w:sz w:val="20"/>
        </w:rPr>
        <w:t> </w:t>
      </w:r>
      <w:r>
        <w:rPr>
          <w:sz w:val="20"/>
        </w:rPr>
        <w:t>registers</w:t>
      </w:r>
      <w:r>
        <w:rPr>
          <w:spacing w:val="-8"/>
          <w:sz w:val="20"/>
        </w:rPr>
        <w:t> </w:t>
      </w:r>
      <w:r>
        <w:rPr>
          <w:rFonts w:ascii="Times New Roman" w:hAnsi="Times New Roman"/>
          <w:i/>
          <w:sz w:val="20"/>
        </w:rPr>
        <w:t>IEN0</w:t>
      </w:r>
      <w:r>
        <w:rPr>
          <w:i/>
          <w:sz w:val="20"/>
        </w:rPr>
        <w:t>,</w:t>
      </w:r>
      <w:r>
        <w:rPr>
          <w:i/>
          <w:spacing w:val="-10"/>
          <w:sz w:val="20"/>
        </w:rPr>
        <w:t> </w:t>
      </w:r>
      <w:r>
        <w:rPr>
          <w:rFonts w:ascii="Times New Roman" w:hAnsi="Times New Roman"/>
          <w:i/>
          <w:sz w:val="20"/>
        </w:rPr>
        <w:t>IEN1</w:t>
      </w:r>
      <w:r>
        <w:rPr>
          <w:i/>
          <w:sz w:val="20"/>
        </w:rPr>
        <w:t>,</w:t>
      </w:r>
      <w:r>
        <w:rPr>
          <w:i/>
          <w:spacing w:val="-10"/>
          <w:sz w:val="20"/>
        </w:rPr>
        <w:t> </w:t>
      </w:r>
      <w:r>
        <w:rPr>
          <w:rFonts w:ascii="Times New Roman" w:hAnsi="Times New Roman"/>
          <w:i/>
          <w:sz w:val="20"/>
        </w:rPr>
        <w:t>IEN2</w:t>
      </w:r>
      <w:r>
        <w:rPr>
          <w:i/>
          <w:sz w:val="20"/>
        </w:rPr>
        <w:t>,</w:t>
      </w:r>
      <w:r>
        <w:rPr>
          <w:i/>
          <w:spacing w:val="-7"/>
          <w:sz w:val="20"/>
        </w:rPr>
        <w:t> </w:t>
      </w:r>
      <w:r>
        <w:rPr>
          <w:rFonts w:ascii="Times New Roman" w:hAnsi="Times New Roman"/>
          <w:i/>
          <w:sz w:val="20"/>
        </w:rPr>
        <w:t>IP0</w:t>
      </w:r>
      <w:r>
        <w:rPr>
          <w:rFonts w:ascii="Times New Roman" w:hAnsi="Times New Roman"/>
          <w:i/>
          <w:spacing w:val="-3"/>
          <w:sz w:val="20"/>
        </w:rPr>
        <w:t> </w:t>
      </w:r>
      <w:r>
        <w:rPr>
          <w:sz w:val="20"/>
        </w:rPr>
        <w:t>or</w:t>
      </w:r>
      <w:r>
        <w:rPr>
          <w:spacing w:val="-6"/>
          <w:sz w:val="20"/>
        </w:rPr>
        <w:t> </w:t>
      </w:r>
      <w:r>
        <w:rPr>
          <w:rFonts w:ascii="Times New Roman" w:hAnsi="Times New Roman"/>
          <w:i/>
          <w:sz w:val="20"/>
        </w:rPr>
        <w:t>IP1</w:t>
      </w:r>
      <w:r>
        <w:rPr>
          <w:sz w:val="20"/>
        </w:rPr>
        <w:t>.</w:t>
      </w:r>
    </w:p>
    <w:p>
      <w:pPr>
        <w:pStyle w:val="BodyText"/>
        <w:spacing w:before="4"/>
      </w:pPr>
    </w:p>
    <w:p>
      <w:pPr>
        <w:spacing w:before="0"/>
        <w:ind w:left="619" w:right="0" w:firstLine="0"/>
        <w:jc w:val="left"/>
        <w:rPr>
          <w:b/>
          <w:sz w:val="20"/>
        </w:rPr>
      </w:pPr>
      <w:bookmarkStart w:name="Special Function Registers for Interrupt" w:id="159"/>
      <w:bookmarkEnd w:id="159"/>
      <w:r>
        <w:rPr/>
      </w:r>
      <w:r>
        <w:rPr>
          <w:b/>
          <w:sz w:val="20"/>
        </w:rPr>
        <w:t>Special Function Registers for Interrupts</w:t>
      </w:r>
    </w:p>
    <w:p>
      <w:pPr>
        <w:pStyle w:val="BodyText"/>
        <w:spacing w:before="80"/>
        <w:ind w:left="619"/>
      </w:pPr>
      <w:r>
        <w:rPr/>
        <w:t>The following SFR registers control the interrupt functions:</w:t>
      </w:r>
    </w:p>
    <w:p>
      <w:pPr>
        <w:pStyle w:val="ListParagraph"/>
        <w:numPr>
          <w:ilvl w:val="1"/>
          <w:numId w:val="10"/>
        </w:numPr>
        <w:tabs>
          <w:tab w:pos="979" w:val="left" w:leader="none"/>
          <w:tab w:pos="980" w:val="left" w:leader="none"/>
        </w:tabs>
        <w:spacing w:line="240" w:lineRule="auto" w:before="117" w:after="0"/>
        <w:ind w:left="979" w:right="0" w:hanging="361"/>
        <w:jc w:val="left"/>
        <w:rPr>
          <w:sz w:val="20"/>
        </w:rPr>
      </w:pPr>
      <w:r>
        <w:rPr>
          <w:sz w:val="20"/>
        </w:rPr>
        <w:t>The interrupt enable registers: </w:t>
      </w:r>
      <w:r>
        <w:rPr>
          <w:rFonts w:ascii="Times New Roman" w:hAnsi="Times New Roman"/>
          <w:i/>
          <w:sz w:val="20"/>
        </w:rPr>
        <w:t>IEN0, IEN1 </w:t>
      </w:r>
      <w:r>
        <w:rPr>
          <w:sz w:val="20"/>
        </w:rPr>
        <w:t>and </w:t>
      </w:r>
      <w:r>
        <w:rPr>
          <w:rFonts w:ascii="Times New Roman" w:hAnsi="Times New Roman"/>
          <w:i/>
          <w:sz w:val="20"/>
        </w:rPr>
        <w:t>IEN2 </w:t>
      </w:r>
      <w:r>
        <w:rPr>
          <w:sz w:val="20"/>
        </w:rPr>
        <w:t>(see </w:t>
      </w:r>
      <w:hyperlink w:history="true" w:anchor="_bookmark76">
        <w:r>
          <w:rPr>
            <w:color w:val="0000FF"/>
            <w:sz w:val="20"/>
          </w:rPr>
          <w:t>Table 25</w:t>
        </w:r>
        <w:r>
          <w:rPr>
            <w:sz w:val="20"/>
          </w:rPr>
          <w:t>, </w:t>
        </w:r>
      </w:hyperlink>
      <w:hyperlink w:history="true" w:anchor="_bookmark77">
        <w:r>
          <w:rPr>
            <w:color w:val="0000FF"/>
            <w:sz w:val="20"/>
          </w:rPr>
          <w:t>Table 26 </w:t>
        </w:r>
      </w:hyperlink>
      <w:r>
        <w:rPr>
          <w:sz w:val="20"/>
        </w:rPr>
        <w:t>and </w:t>
      </w:r>
      <w:hyperlink w:history="true" w:anchor="_bookmark79">
        <w:r>
          <w:rPr>
            <w:color w:val="0000FF"/>
            <w:sz w:val="20"/>
          </w:rPr>
          <w:t>Table</w:t>
        </w:r>
        <w:r>
          <w:rPr>
            <w:color w:val="0000FF"/>
            <w:spacing w:val="-13"/>
            <w:sz w:val="20"/>
          </w:rPr>
          <w:t> </w:t>
        </w:r>
        <w:r>
          <w:rPr>
            <w:color w:val="0000FF"/>
            <w:sz w:val="20"/>
          </w:rPr>
          <w:t>27</w:t>
        </w:r>
      </w:hyperlink>
      <w:r>
        <w:rPr>
          <w:sz w:val="20"/>
        </w:rPr>
        <w:t>).</w:t>
      </w:r>
    </w:p>
    <w:p>
      <w:pPr>
        <w:pStyle w:val="ListParagraph"/>
        <w:numPr>
          <w:ilvl w:val="1"/>
          <w:numId w:val="10"/>
        </w:numPr>
        <w:tabs>
          <w:tab w:pos="978" w:val="left" w:leader="none"/>
          <w:tab w:pos="979" w:val="left" w:leader="none"/>
        </w:tabs>
        <w:spacing w:line="240" w:lineRule="auto" w:before="38" w:after="0"/>
        <w:ind w:left="978" w:right="0" w:hanging="361"/>
        <w:jc w:val="left"/>
        <w:rPr>
          <w:sz w:val="20"/>
        </w:rPr>
      </w:pPr>
      <w:r>
        <w:rPr>
          <w:sz w:val="20"/>
        </w:rPr>
        <w:t>The Timer/Counter control registers, </w:t>
      </w:r>
      <w:r>
        <w:rPr>
          <w:rFonts w:ascii="Times New Roman" w:hAnsi="Times New Roman"/>
          <w:i/>
          <w:sz w:val="20"/>
        </w:rPr>
        <w:t>TCON </w:t>
      </w:r>
      <w:r>
        <w:rPr>
          <w:sz w:val="20"/>
        </w:rPr>
        <w:t>and </w:t>
      </w:r>
      <w:r>
        <w:rPr>
          <w:rFonts w:ascii="Times New Roman" w:hAnsi="Times New Roman"/>
          <w:i/>
          <w:sz w:val="20"/>
        </w:rPr>
        <w:t>T2CON </w:t>
      </w:r>
      <w:r>
        <w:rPr>
          <w:sz w:val="20"/>
        </w:rPr>
        <w:t>(see </w:t>
      </w:r>
      <w:hyperlink w:history="true" w:anchor="_bookmark80">
        <w:r>
          <w:rPr>
            <w:color w:val="0000FF"/>
            <w:sz w:val="20"/>
          </w:rPr>
          <w:t>Table 28 </w:t>
        </w:r>
      </w:hyperlink>
      <w:r>
        <w:rPr>
          <w:sz w:val="20"/>
        </w:rPr>
        <w:t>and </w:t>
      </w:r>
      <w:hyperlink w:history="true" w:anchor="_bookmark81">
        <w:r>
          <w:rPr>
            <w:color w:val="0000FF"/>
            <w:sz w:val="20"/>
          </w:rPr>
          <w:t>Table</w:t>
        </w:r>
        <w:r>
          <w:rPr>
            <w:color w:val="0000FF"/>
            <w:spacing w:val="-7"/>
            <w:sz w:val="20"/>
          </w:rPr>
          <w:t> </w:t>
        </w:r>
        <w:r>
          <w:rPr>
            <w:color w:val="0000FF"/>
            <w:sz w:val="20"/>
          </w:rPr>
          <w:t>29</w:t>
        </w:r>
      </w:hyperlink>
      <w:r>
        <w:rPr>
          <w:sz w:val="20"/>
        </w:rPr>
        <w:t>).</w:t>
      </w:r>
    </w:p>
    <w:p>
      <w:pPr>
        <w:pStyle w:val="ListParagraph"/>
        <w:numPr>
          <w:ilvl w:val="1"/>
          <w:numId w:val="10"/>
        </w:numPr>
        <w:tabs>
          <w:tab w:pos="978" w:val="left" w:leader="none"/>
          <w:tab w:pos="979" w:val="left" w:leader="none"/>
        </w:tabs>
        <w:spacing w:line="240" w:lineRule="auto" w:before="40" w:after="0"/>
        <w:ind w:left="978" w:right="0" w:hanging="360"/>
        <w:jc w:val="left"/>
        <w:rPr>
          <w:sz w:val="20"/>
        </w:rPr>
      </w:pPr>
      <w:r>
        <w:rPr>
          <w:sz w:val="20"/>
        </w:rPr>
        <w:t>The interrupt request register, </w:t>
      </w:r>
      <w:r>
        <w:rPr>
          <w:rFonts w:ascii="Times New Roman" w:hAnsi="Times New Roman"/>
          <w:i/>
          <w:sz w:val="20"/>
        </w:rPr>
        <w:t>IRCON </w:t>
      </w:r>
      <w:r>
        <w:rPr>
          <w:sz w:val="20"/>
        </w:rPr>
        <w:t>(see </w:t>
      </w:r>
      <w:hyperlink w:history="true" w:anchor="_bookmark82">
        <w:r>
          <w:rPr>
            <w:color w:val="0000FF"/>
            <w:sz w:val="20"/>
          </w:rPr>
          <w:t>Table</w:t>
        </w:r>
        <w:r>
          <w:rPr>
            <w:color w:val="0000FF"/>
            <w:spacing w:val="2"/>
            <w:sz w:val="20"/>
          </w:rPr>
          <w:t> </w:t>
        </w:r>
        <w:r>
          <w:rPr>
            <w:color w:val="0000FF"/>
            <w:sz w:val="20"/>
          </w:rPr>
          <w:t>30</w:t>
        </w:r>
      </w:hyperlink>
      <w:r>
        <w:rPr>
          <w:sz w:val="20"/>
        </w:rPr>
        <w:t>).</w:t>
      </w:r>
    </w:p>
    <w:p>
      <w:pPr>
        <w:pStyle w:val="ListParagraph"/>
        <w:numPr>
          <w:ilvl w:val="1"/>
          <w:numId w:val="10"/>
        </w:numPr>
        <w:tabs>
          <w:tab w:pos="978" w:val="left" w:leader="none"/>
          <w:tab w:pos="979" w:val="left" w:leader="none"/>
        </w:tabs>
        <w:spacing w:line="240" w:lineRule="auto" w:before="39" w:after="0"/>
        <w:ind w:left="978" w:right="0" w:hanging="361"/>
        <w:jc w:val="left"/>
        <w:rPr>
          <w:sz w:val="20"/>
        </w:rPr>
      </w:pPr>
      <w:r>
        <w:rPr>
          <w:sz w:val="20"/>
        </w:rPr>
        <w:t>The interrupt priority registers: </w:t>
      </w:r>
      <w:r>
        <w:rPr>
          <w:rFonts w:ascii="Times New Roman" w:hAnsi="Times New Roman"/>
          <w:i/>
          <w:sz w:val="20"/>
        </w:rPr>
        <w:t>IP0 </w:t>
      </w:r>
      <w:r>
        <w:rPr>
          <w:sz w:val="20"/>
        </w:rPr>
        <w:t>and </w:t>
      </w:r>
      <w:r>
        <w:rPr>
          <w:rFonts w:ascii="Times New Roman" w:hAnsi="Times New Roman"/>
          <w:i/>
          <w:sz w:val="20"/>
        </w:rPr>
        <w:t>IP1 </w:t>
      </w:r>
      <w:r>
        <w:rPr>
          <w:sz w:val="20"/>
        </w:rPr>
        <w:t>(see </w:t>
      </w:r>
      <w:hyperlink w:history="true" w:anchor="_bookmark89">
        <w:r>
          <w:rPr>
            <w:color w:val="0000FF"/>
            <w:sz w:val="20"/>
          </w:rPr>
          <w:t>Table</w:t>
        </w:r>
        <w:r>
          <w:rPr>
            <w:color w:val="0000FF"/>
            <w:spacing w:val="-2"/>
            <w:sz w:val="20"/>
          </w:rPr>
          <w:t> </w:t>
        </w:r>
        <w:r>
          <w:rPr>
            <w:color w:val="0000FF"/>
            <w:sz w:val="20"/>
          </w:rPr>
          <w:t>35</w:t>
        </w:r>
      </w:hyperlink>
      <w:r>
        <w:rPr>
          <w:sz w:val="20"/>
        </w:rPr>
        <w:t>).</w:t>
      </w:r>
    </w:p>
    <w:p>
      <w:pPr>
        <w:pStyle w:val="BodyText"/>
        <w:spacing w:before="4"/>
      </w:pPr>
    </w:p>
    <w:p>
      <w:pPr>
        <w:pStyle w:val="Heading1"/>
        <w:ind w:left="1309" w:right="1278"/>
      </w:pPr>
      <w:bookmarkStart w:name="_bookmark76" w:id="160"/>
      <w:bookmarkEnd w:id="160"/>
      <w:r>
        <w:rPr>
          <w:b w:val="0"/>
        </w:rPr>
      </w:r>
      <w:r>
        <w:rPr/>
        <w:t>Table 25: The </w:t>
      </w:r>
      <w:r>
        <w:rPr>
          <w:rFonts w:ascii="Times New Roman"/>
          <w:i/>
        </w:rPr>
        <w:t>IEN0 </w:t>
      </w:r>
      <w:r>
        <w:rPr/>
        <w:t>Bit Functions (SFR</w:t>
      </w:r>
      <w:r>
        <w:rPr>
          <w:spacing w:val="-16"/>
        </w:rPr>
        <w:t> </w:t>
      </w:r>
      <w:r>
        <w:rPr/>
        <w:t>0xA8)</w:t>
      </w:r>
    </w:p>
    <w:p>
      <w:pPr>
        <w:pStyle w:val="BodyText"/>
        <w:spacing w:before="4"/>
        <w:rPr>
          <w:b/>
          <w:sz w:val="5"/>
        </w:rPr>
      </w:pPr>
    </w:p>
    <w:tbl>
      <w:tblPr>
        <w:tblW w:w="0" w:type="auto"/>
        <w:jc w:val="left"/>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5"/>
        <w:gridCol w:w="1022"/>
        <w:gridCol w:w="7142"/>
      </w:tblGrid>
      <w:tr>
        <w:trPr>
          <w:trHeight w:val="309" w:hRule="atLeast"/>
        </w:trPr>
        <w:tc>
          <w:tcPr>
            <w:tcW w:w="1195" w:type="dxa"/>
          </w:tcPr>
          <w:p>
            <w:pPr>
              <w:pStyle w:val="TableParagraph"/>
              <w:spacing w:before="36"/>
              <w:ind w:left="50" w:right="47"/>
              <w:jc w:val="center"/>
              <w:rPr>
                <w:b/>
                <w:sz w:val="20"/>
              </w:rPr>
            </w:pPr>
            <w:r>
              <w:rPr>
                <w:b/>
                <w:sz w:val="20"/>
              </w:rPr>
              <w:t>Bit</w:t>
            </w:r>
          </w:p>
        </w:tc>
        <w:tc>
          <w:tcPr>
            <w:tcW w:w="1022" w:type="dxa"/>
          </w:tcPr>
          <w:p>
            <w:pPr>
              <w:pStyle w:val="TableParagraph"/>
              <w:spacing w:before="36"/>
              <w:ind w:left="126" w:right="119"/>
              <w:jc w:val="center"/>
              <w:rPr>
                <w:b/>
                <w:sz w:val="20"/>
              </w:rPr>
            </w:pPr>
            <w:r>
              <w:rPr>
                <w:b/>
                <w:sz w:val="20"/>
              </w:rPr>
              <w:t>Symbol</w:t>
            </w:r>
          </w:p>
        </w:tc>
        <w:tc>
          <w:tcPr>
            <w:tcW w:w="7142" w:type="dxa"/>
          </w:tcPr>
          <w:p>
            <w:pPr>
              <w:pStyle w:val="TableParagraph"/>
              <w:spacing w:before="36"/>
              <w:ind w:left="3125" w:right="3118"/>
              <w:jc w:val="center"/>
              <w:rPr>
                <w:b/>
                <w:sz w:val="20"/>
              </w:rPr>
            </w:pPr>
            <w:r>
              <w:rPr>
                <w:b/>
                <w:sz w:val="20"/>
              </w:rPr>
              <w:t>Function</w:t>
            </w:r>
          </w:p>
        </w:tc>
      </w:tr>
      <w:tr>
        <w:trPr>
          <w:trHeight w:val="282" w:hRule="atLeast"/>
        </w:trPr>
        <w:tc>
          <w:tcPr>
            <w:tcW w:w="1195" w:type="dxa"/>
          </w:tcPr>
          <w:p>
            <w:pPr>
              <w:pStyle w:val="TableParagraph"/>
              <w:spacing w:before="14"/>
              <w:ind w:left="51" w:right="47"/>
              <w:jc w:val="center"/>
              <w:rPr>
                <w:rFonts w:ascii="Times New Roman"/>
                <w:i/>
                <w:sz w:val="20"/>
              </w:rPr>
            </w:pPr>
            <w:r>
              <w:rPr>
                <w:rFonts w:ascii="Times New Roman"/>
                <w:i/>
                <w:sz w:val="20"/>
              </w:rPr>
              <w:t>IEN0[7]</w:t>
            </w:r>
          </w:p>
        </w:tc>
        <w:tc>
          <w:tcPr>
            <w:tcW w:w="1022" w:type="dxa"/>
          </w:tcPr>
          <w:p>
            <w:pPr>
              <w:pStyle w:val="TableParagraph"/>
              <w:spacing w:before="14"/>
              <w:ind w:left="128" w:right="118"/>
              <w:jc w:val="center"/>
              <w:rPr>
                <w:rFonts w:ascii="Times New Roman"/>
                <w:i/>
                <w:sz w:val="20"/>
              </w:rPr>
            </w:pPr>
            <w:r>
              <w:rPr>
                <w:rFonts w:ascii="Times New Roman"/>
                <w:i/>
                <w:sz w:val="20"/>
              </w:rPr>
              <w:t>EAL</w:t>
            </w:r>
          </w:p>
        </w:tc>
        <w:tc>
          <w:tcPr>
            <w:tcW w:w="7142" w:type="dxa"/>
          </w:tcPr>
          <w:p>
            <w:pPr>
              <w:pStyle w:val="TableParagraph"/>
              <w:spacing w:before="14"/>
              <w:ind w:left="70"/>
              <w:rPr>
                <w:sz w:val="20"/>
              </w:rPr>
            </w:pPr>
            <w:r>
              <w:rPr>
                <w:rFonts w:ascii="Times New Roman"/>
                <w:i/>
                <w:sz w:val="20"/>
              </w:rPr>
              <w:t>EAL </w:t>
            </w:r>
            <w:r>
              <w:rPr>
                <w:sz w:val="20"/>
              </w:rPr>
              <w:t>= 0 disables all interrupts.</w:t>
            </w:r>
          </w:p>
        </w:tc>
      </w:tr>
      <w:tr>
        <w:trPr>
          <w:trHeight w:val="282" w:hRule="atLeast"/>
        </w:trPr>
        <w:tc>
          <w:tcPr>
            <w:tcW w:w="1195" w:type="dxa"/>
          </w:tcPr>
          <w:p>
            <w:pPr>
              <w:pStyle w:val="TableParagraph"/>
              <w:spacing w:before="14"/>
              <w:ind w:left="51" w:right="47"/>
              <w:jc w:val="center"/>
              <w:rPr>
                <w:rFonts w:ascii="Times New Roman"/>
                <w:i/>
                <w:sz w:val="20"/>
              </w:rPr>
            </w:pPr>
            <w:r>
              <w:rPr>
                <w:rFonts w:ascii="Times New Roman"/>
                <w:i/>
                <w:sz w:val="20"/>
              </w:rPr>
              <w:t>IEN0[6]</w:t>
            </w:r>
          </w:p>
        </w:tc>
        <w:tc>
          <w:tcPr>
            <w:tcW w:w="1022" w:type="dxa"/>
          </w:tcPr>
          <w:p>
            <w:pPr>
              <w:pStyle w:val="TableParagraph"/>
              <w:spacing w:before="18"/>
              <w:ind w:left="10"/>
              <w:jc w:val="center"/>
              <w:rPr>
                <w:sz w:val="20"/>
              </w:rPr>
            </w:pPr>
            <w:r>
              <w:rPr>
                <w:w w:val="99"/>
                <w:sz w:val="20"/>
              </w:rPr>
              <w:t>–</w:t>
            </w:r>
          </w:p>
        </w:tc>
        <w:tc>
          <w:tcPr>
            <w:tcW w:w="7142" w:type="dxa"/>
          </w:tcPr>
          <w:p>
            <w:pPr>
              <w:pStyle w:val="TableParagraph"/>
              <w:spacing w:before="18"/>
              <w:ind w:left="70"/>
              <w:rPr>
                <w:sz w:val="20"/>
              </w:rPr>
            </w:pPr>
            <w:r>
              <w:rPr>
                <w:sz w:val="20"/>
              </w:rPr>
              <w:t>Not used.</w:t>
            </w:r>
          </w:p>
        </w:tc>
      </w:tr>
      <w:tr>
        <w:trPr>
          <w:trHeight w:val="282" w:hRule="atLeast"/>
        </w:trPr>
        <w:tc>
          <w:tcPr>
            <w:tcW w:w="1195" w:type="dxa"/>
          </w:tcPr>
          <w:p>
            <w:pPr>
              <w:pStyle w:val="TableParagraph"/>
              <w:spacing w:before="14"/>
              <w:ind w:left="51" w:right="47"/>
              <w:jc w:val="center"/>
              <w:rPr>
                <w:rFonts w:ascii="Times New Roman"/>
                <w:i/>
                <w:sz w:val="20"/>
              </w:rPr>
            </w:pPr>
            <w:r>
              <w:rPr>
                <w:rFonts w:ascii="Times New Roman"/>
                <w:i/>
                <w:sz w:val="20"/>
              </w:rPr>
              <w:t>IEN0[5]</w:t>
            </w:r>
          </w:p>
        </w:tc>
        <w:tc>
          <w:tcPr>
            <w:tcW w:w="1022" w:type="dxa"/>
          </w:tcPr>
          <w:p>
            <w:pPr>
              <w:pStyle w:val="TableParagraph"/>
              <w:spacing w:before="18"/>
              <w:ind w:left="10"/>
              <w:jc w:val="center"/>
              <w:rPr>
                <w:sz w:val="20"/>
              </w:rPr>
            </w:pPr>
            <w:r>
              <w:rPr>
                <w:w w:val="99"/>
                <w:sz w:val="20"/>
              </w:rPr>
              <w:t>–</w:t>
            </w:r>
          </w:p>
        </w:tc>
        <w:tc>
          <w:tcPr>
            <w:tcW w:w="7142" w:type="dxa"/>
          </w:tcPr>
          <w:p>
            <w:pPr>
              <w:pStyle w:val="TableParagraph"/>
              <w:spacing w:before="18"/>
              <w:ind w:left="70"/>
              <w:rPr>
                <w:sz w:val="20"/>
              </w:rPr>
            </w:pPr>
            <w:r>
              <w:rPr>
                <w:sz w:val="20"/>
              </w:rPr>
              <w:t>Not used.</w:t>
            </w:r>
          </w:p>
        </w:tc>
      </w:tr>
      <w:tr>
        <w:trPr>
          <w:trHeight w:val="282" w:hRule="atLeast"/>
        </w:trPr>
        <w:tc>
          <w:tcPr>
            <w:tcW w:w="1195" w:type="dxa"/>
          </w:tcPr>
          <w:p>
            <w:pPr>
              <w:pStyle w:val="TableParagraph"/>
              <w:spacing w:before="14"/>
              <w:ind w:left="51" w:right="47"/>
              <w:jc w:val="center"/>
              <w:rPr>
                <w:rFonts w:ascii="Times New Roman"/>
                <w:i/>
                <w:sz w:val="20"/>
              </w:rPr>
            </w:pPr>
            <w:r>
              <w:rPr>
                <w:rFonts w:ascii="Times New Roman"/>
                <w:i/>
                <w:sz w:val="20"/>
              </w:rPr>
              <w:t>IEN0[4]</w:t>
            </w:r>
          </w:p>
        </w:tc>
        <w:tc>
          <w:tcPr>
            <w:tcW w:w="1022" w:type="dxa"/>
          </w:tcPr>
          <w:p>
            <w:pPr>
              <w:pStyle w:val="TableParagraph"/>
              <w:spacing w:before="14"/>
              <w:ind w:left="128" w:right="117"/>
              <w:jc w:val="center"/>
              <w:rPr>
                <w:rFonts w:ascii="Times New Roman"/>
                <w:i/>
                <w:sz w:val="20"/>
              </w:rPr>
            </w:pPr>
            <w:r>
              <w:rPr>
                <w:rFonts w:ascii="Times New Roman"/>
                <w:i/>
                <w:sz w:val="20"/>
              </w:rPr>
              <w:t>ES0</w:t>
            </w:r>
          </w:p>
        </w:tc>
        <w:tc>
          <w:tcPr>
            <w:tcW w:w="7142" w:type="dxa"/>
          </w:tcPr>
          <w:p>
            <w:pPr>
              <w:pStyle w:val="TableParagraph"/>
              <w:spacing w:before="14"/>
              <w:ind w:left="70"/>
              <w:rPr>
                <w:sz w:val="20"/>
              </w:rPr>
            </w:pPr>
            <w:r>
              <w:rPr>
                <w:rFonts w:ascii="Times New Roman"/>
                <w:i/>
                <w:sz w:val="20"/>
              </w:rPr>
              <w:t>ES0 </w:t>
            </w:r>
            <w:r>
              <w:rPr>
                <w:sz w:val="20"/>
              </w:rPr>
              <w:t>= 0 disables serial channel 0 interrupt.</w:t>
            </w:r>
          </w:p>
        </w:tc>
      </w:tr>
      <w:tr>
        <w:trPr>
          <w:trHeight w:val="282" w:hRule="atLeast"/>
        </w:trPr>
        <w:tc>
          <w:tcPr>
            <w:tcW w:w="1195" w:type="dxa"/>
          </w:tcPr>
          <w:p>
            <w:pPr>
              <w:pStyle w:val="TableParagraph"/>
              <w:spacing w:before="14"/>
              <w:ind w:left="51" w:right="47"/>
              <w:jc w:val="center"/>
              <w:rPr>
                <w:rFonts w:ascii="Times New Roman"/>
                <w:i/>
                <w:sz w:val="20"/>
              </w:rPr>
            </w:pPr>
            <w:r>
              <w:rPr>
                <w:rFonts w:ascii="Times New Roman"/>
                <w:i/>
                <w:sz w:val="20"/>
              </w:rPr>
              <w:t>IEN0[3]</w:t>
            </w:r>
          </w:p>
        </w:tc>
        <w:tc>
          <w:tcPr>
            <w:tcW w:w="1022" w:type="dxa"/>
          </w:tcPr>
          <w:p>
            <w:pPr>
              <w:pStyle w:val="TableParagraph"/>
              <w:spacing w:before="14"/>
              <w:ind w:left="128" w:right="117"/>
              <w:jc w:val="center"/>
              <w:rPr>
                <w:rFonts w:ascii="Times New Roman"/>
                <w:i/>
                <w:sz w:val="20"/>
              </w:rPr>
            </w:pPr>
            <w:r>
              <w:rPr>
                <w:rFonts w:ascii="Times New Roman"/>
                <w:i/>
                <w:sz w:val="20"/>
              </w:rPr>
              <w:t>ET1</w:t>
            </w:r>
          </w:p>
        </w:tc>
        <w:tc>
          <w:tcPr>
            <w:tcW w:w="7142" w:type="dxa"/>
          </w:tcPr>
          <w:p>
            <w:pPr>
              <w:pStyle w:val="TableParagraph"/>
              <w:spacing w:before="14"/>
              <w:ind w:left="70"/>
              <w:rPr>
                <w:sz w:val="20"/>
              </w:rPr>
            </w:pPr>
            <w:r>
              <w:rPr>
                <w:rFonts w:ascii="Times New Roman"/>
                <w:i/>
                <w:sz w:val="20"/>
              </w:rPr>
              <w:t>ET1 </w:t>
            </w:r>
            <w:r>
              <w:rPr>
                <w:sz w:val="20"/>
              </w:rPr>
              <w:t>= 0 disables timer 1 overflow interrupt.</w:t>
            </w:r>
          </w:p>
        </w:tc>
      </w:tr>
      <w:tr>
        <w:trPr>
          <w:trHeight w:val="282" w:hRule="atLeast"/>
        </w:trPr>
        <w:tc>
          <w:tcPr>
            <w:tcW w:w="1195" w:type="dxa"/>
          </w:tcPr>
          <w:p>
            <w:pPr>
              <w:pStyle w:val="TableParagraph"/>
              <w:spacing w:before="14"/>
              <w:ind w:left="51" w:right="47"/>
              <w:jc w:val="center"/>
              <w:rPr>
                <w:rFonts w:ascii="Times New Roman"/>
                <w:i/>
                <w:sz w:val="20"/>
              </w:rPr>
            </w:pPr>
            <w:r>
              <w:rPr>
                <w:rFonts w:ascii="Times New Roman"/>
                <w:i/>
                <w:sz w:val="20"/>
              </w:rPr>
              <w:t>IEN0[2]</w:t>
            </w:r>
          </w:p>
        </w:tc>
        <w:tc>
          <w:tcPr>
            <w:tcW w:w="1022" w:type="dxa"/>
          </w:tcPr>
          <w:p>
            <w:pPr>
              <w:pStyle w:val="TableParagraph"/>
              <w:spacing w:before="14"/>
              <w:ind w:left="128" w:right="115"/>
              <w:jc w:val="center"/>
              <w:rPr>
                <w:rFonts w:ascii="Times New Roman"/>
                <w:i/>
                <w:sz w:val="20"/>
              </w:rPr>
            </w:pPr>
            <w:r>
              <w:rPr>
                <w:rFonts w:ascii="Times New Roman"/>
                <w:i/>
                <w:sz w:val="20"/>
              </w:rPr>
              <w:t>EX1</w:t>
            </w:r>
          </w:p>
        </w:tc>
        <w:tc>
          <w:tcPr>
            <w:tcW w:w="7142" w:type="dxa"/>
          </w:tcPr>
          <w:p>
            <w:pPr>
              <w:pStyle w:val="TableParagraph"/>
              <w:spacing w:before="14"/>
              <w:ind w:left="70"/>
              <w:rPr>
                <w:sz w:val="20"/>
              </w:rPr>
            </w:pPr>
            <w:r>
              <w:rPr>
                <w:rFonts w:ascii="Times New Roman"/>
                <w:i/>
                <w:sz w:val="20"/>
              </w:rPr>
              <w:t>EX1 </w:t>
            </w:r>
            <w:r>
              <w:rPr>
                <w:sz w:val="20"/>
              </w:rPr>
              <w:t>= 0 disables external interrupt 1.</w:t>
            </w:r>
          </w:p>
        </w:tc>
      </w:tr>
      <w:tr>
        <w:trPr>
          <w:trHeight w:val="282" w:hRule="atLeast"/>
        </w:trPr>
        <w:tc>
          <w:tcPr>
            <w:tcW w:w="1195" w:type="dxa"/>
          </w:tcPr>
          <w:p>
            <w:pPr>
              <w:pStyle w:val="TableParagraph"/>
              <w:spacing w:before="14"/>
              <w:ind w:left="51" w:right="47"/>
              <w:jc w:val="center"/>
              <w:rPr>
                <w:rFonts w:ascii="Times New Roman"/>
                <w:i/>
                <w:sz w:val="20"/>
              </w:rPr>
            </w:pPr>
            <w:r>
              <w:rPr>
                <w:rFonts w:ascii="Times New Roman"/>
                <w:i/>
                <w:sz w:val="20"/>
              </w:rPr>
              <w:t>IEN0[1]</w:t>
            </w:r>
          </w:p>
        </w:tc>
        <w:tc>
          <w:tcPr>
            <w:tcW w:w="1022" w:type="dxa"/>
          </w:tcPr>
          <w:p>
            <w:pPr>
              <w:pStyle w:val="TableParagraph"/>
              <w:spacing w:before="14"/>
              <w:ind w:left="128" w:right="117"/>
              <w:jc w:val="center"/>
              <w:rPr>
                <w:rFonts w:ascii="Times New Roman"/>
                <w:i/>
                <w:sz w:val="20"/>
              </w:rPr>
            </w:pPr>
            <w:r>
              <w:rPr>
                <w:rFonts w:ascii="Times New Roman"/>
                <w:i/>
                <w:sz w:val="20"/>
              </w:rPr>
              <w:t>ET0</w:t>
            </w:r>
          </w:p>
        </w:tc>
        <w:tc>
          <w:tcPr>
            <w:tcW w:w="7142" w:type="dxa"/>
          </w:tcPr>
          <w:p>
            <w:pPr>
              <w:pStyle w:val="TableParagraph"/>
              <w:spacing w:before="14"/>
              <w:ind w:left="70"/>
              <w:rPr>
                <w:sz w:val="20"/>
              </w:rPr>
            </w:pPr>
            <w:r>
              <w:rPr>
                <w:rFonts w:ascii="Times New Roman"/>
                <w:i/>
                <w:sz w:val="20"/>
              </w:rPr>
              <w:t>ET0 </w:t>
            </w:r>
            <w:r>
              <w:rPr>
                <w:sz w:val="20"/>
              </w:rPr>
              <w:t>= 0 disables timer 0 overflow interrupt.</w:t>
            </w:r>
          </w:p>
        </w:tc>
      </w:tr>
      <w:tr>
        <w:trPr>
          <w:trHeight w:val="285" w:hRule="atLeast"/>
        </w:trPr>
        <w:tc>
          <w:tcPr>
            <w:tcW w:w="1195" w:type="dxa"/>
          </w:tcPr>
          <w:p>
            <w:pPr>
              <w:pStyle w:val="TableParagraph"/>
              <w:spacing w:before="17"/>
              <w:ind w:left="51" w:right="47"/>
              <w:jc w:val="center"/>
              <w:rPr>
                <w:rFonts w:ascii="Times New Roman"/>
                <w:i/>
                <w:sz w:val="20"/>
              </w:rPr>
            </w:pPr>
            <w:r>
              <w:rPr>
                <w:rFonts w:ascii="Times New Roman"/>
                <w:i/>
                <w:sz w:val="20"/>
              </w:rPr>
              <w:t>IEN0[0]</w:t>
            </w:r>
          </w:p>
        </w:tc>
        <w:tc>
          <w:tcPr>
            <w:tcW w:w="1022" w:type="dxa"/>
          </w:tcPr>
          <w:p>
            <w:pPr>
              <w:pStyle w:val="TableParagraph"/>
              <w:spacing w:before="17"/>
              <w:ind w:left="128" w:right="115"/>
              <w:jc w:val="center"/>
              <w:rPr>
                <w:rFonts w:ascii="Times New Roman"/>
                <w:i/>
                <w:sz w:val="20"/>
              </w:rPr>
            </w:pPr>
            <w:r>
              <w:rPr>
                <w:rFonts w:ascii="Times New Roman"/>
                <w:i/>
                <w:sz w:val="20"/>
              </w:rPr>
              <w:t>EX0</w:t>
            </w:r>
          </w:p>
        </w:tc>
        <w:tc>
          <w:tcPr>
            <w:tcW w:w="7142" w:type="dxa"/>
          </w:tcPr>
          <w:p>
            <w:pPr>
              <w:pStyle w:val="TableParagraph"/>
              <w:spacing w:before="16"/>
              <w:ind w:left="70"/>
              <w:rPr>
                <w:sz w:val="20"/>
              </w:rPr>
            </w:pPr>
            <w:r>
              <w:rPr>
                <w:rFonts w:ascii="Times New Roman"/>
                <w:i/>
                <w:sz w:val="20"/>
              </w:rPr>
              <w:t>EX0 </w:t>
            </w:r>
            <w:r>
              <w:rPr>
                <w:sz w:val="20"/>
              </w:rPr>
              <w:t>= 0 disables external interrupt 0.</w:t>
            </w:r>
          </w:p>
        </w:tc>
      </w:tr>
    </w:tbl>
    <w:p>
      <w:pPr>
        <w:pStyle w:val="BodyText"/>
        <w:rPr>
          <w:b/>
          <w:sz w:val="30"/>
        </w:rPr>
      </w:pPr>
    </w:p>
    <w:p>
      <w:pPr>
        <w:pStyle w:val="Heading1"/>
        <w:ind w:left="1311" w:right="1278"/>
      </w:pPr>
      <w:bookmarkStart w:name="_bookmark77" w:id="161"/>
      <w:bookmarkEnd w:id="161"/>
      <w:r>
        <w:rPr>
          <w:b w:val="0"/>
        </w:rPr>
      </w:r>
      <w:bookmarkStart w:name="_bookmark78" w:id="162"/>
      <w:bookmarkEnd w:id="162"/>
      <w:r>
        <w:rPr>
          <w:b w:val="0"/>
        </w:rPr>
      </w:r>
      <w:r>
        <w:rPr/>
        <w:t>Table 26: The </w:t>
      </w:r>
      <w:r>
        <w:rPr>
          <w:rFonts w:ascii="Times New Roman"/>
          <w:i/>
        </w:rPr>
        <w:t>IEN1 </w:t>
      </w:r>
      <w:r>
        <w:rPr/>
        <w:t>Bit Functions (SFR</w:t>
      </w:r>
      <w:r>
        <w:rPr>
          <w:spacing w:val="-16"/>
        </w:rPr>
        <w:t> </w:t>
      </w:r>
      <w:r>
        <w:rPr/>
        <w:t>0xB8)</w:t>
      </w:r>
    </w:p>
    <w:p>
      <w:pPr>
        <w:pStyle w:val="BodyText"/>
        <w:spacing w:before="7"/>
        <w:rPr>
          <w:b/>
          <w:sz w:val="5"/>
        </w:rPr>
      </w:pPr>
    </w:p>
    <w:tbl>
      <w:tblPr>
        <w:tblW w:w="0" w:type="auto"/>
        <w:jc w:val="left"/>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5"/>
        <w:gridCol w:w="1022"/>
        <w:gridCol w:w="7142"/>
      </w:tblGrid>
      <w:tr>
        <w:trPr>
          <w:trHeight w:val="309" w:hRule="atLeast"/>
        </w:trPr>
        <w:tc>
          <w:tcPr>
            <w:tcW w:w="1195" w:type="dxa"/>
          </w:tcPr>
          <w:p>
            <w:pPr>
              <w:pStyle w:val="TableParagraph"/>
              <w:spacing w:before="35"/>
              <w:ind w:left="52" w:right="46"/>
              <w:jc w:val="center"/>
              <w:rPr>
                <w:b/>
                <w:sz w:val="20"/>
              </w:rPr>
            </w:pPr>
            <w:r>
              <w:rPr>
                <w:b/>
                <w:sz w:val="20"/>
              </w:rPr>
              <w:t>Bit</w:t>
            </w:r>
          </w:p>
        </w:tc>
        <w:tc>
          <w:tcPr>
            <w:tcW w:w="1022" w:type="dxa"/>
          </w:tcPr>
          <w:p>
            <w:pPr>
              <w:pStyle w:val="TableParagraph"/>
              <w:spacing w:before="35"/>
              <w:ind w:left="128" w:right="119"/>
              <w:jc w:val="center"/>
              <w:rPr>
                <w:b/>
                <w:sz w:val="20"/>
              </w:rPr>
            </w:pPr>
            <w:r>
              <w:rPr>
                <w:b/>
                <w:sz w:val="20"/>
              </w:rPr>
              <w:t>Symbol</w:t>
            </w:r>
          </w:p>
        </w:tc>
        <w:tc>
          <w:tcPr>
            <w:tcW w:w="7142" w:type="dxa"/>
          </w:tcPr>
          <w:p>
            <w:pPr>
              <w:pStyle w:val="TableParagraph"/>
              <w:spacing w:before="35"/>
              <w:ind w:left="3127" w:right="3118"/>
              <w:jc w:val="center"/>
              <w:rPr>
                <w:b/>
                <w:sz w:val="20"/>
              </w:rPr>
            </w:pPr>
            <w:r>
              <w:rPr>
                <w:b/>
                <w:sz w:val="20"/>
              </w:rPr>
              <w:t>Function</w:t>
            </w:r>
          </w:p>
        </w:tc>
      </w:tr>
      <w:tr>
        <w:trPr>
          <w:trHeight w:val="282" w:hRule="atLeast"/>
        </w:trPr>
        <w:tc>
          <w:tcPr>
            <w:tcW w:w="1195" w:type="dxa"/>
          </w:tcPr>
          <w:p>
            <w:pPr>
              <w:pStyle w:val="TableParagraph"/>
              <w:spacing w:before="14"/>
              <w:ind w:left="51" w:right="47"/>
              <w:jc w:val="center"/>
              <w:rPr>
                <w:rFonts w:ascii="Times New Roman"/>
                <w:i/>
                <w:sz w:val="20"/>
              </w:rPr>
            </w:pPr>
            <w:r>
              <w:rPr>
                <w:rFonts w:ascii="Times New Roman"/>
                <w:i/>
                <w:sz w:val="20"/>
              </w:rPr>
              <w:t>IEN1[7]</w:t>
            </w:r>
          </w:p>
        </w:tc>
        <w:tc>
          <w:tcPr>
            <w:tcW w:w="1022" w:type="dxa"/>
          </w:tcPr>
          <w:p>
            <w:pPr>
              <w:pStyle w:val="TableParagraph"/>
              <w:spacing w:before="18"/>
              <w:ind w:left="10"/>
              <w:jc w:val="center"/>
              <w:rPr>
                <w:sz w:val="20"/>
              </w:rPr>
            </w:pPr>
            <w:r>
              <w:rPr>
                <w:w w:val="99"/>
                <w:sz w:val="20"/>
              </w:rPr>
              <w:t>–</w:t>
            </w:r>
          </w:p>
        </w:tc>
        <w:tc>
          <w:tcPr>
            <w:tcW w:w="7142" w:type="dxa"/>
          </w:tcPr>
          <w:p>
            <w:pPr>
              <w:pStyle w:val="TableParagraph"/>
              <w:spacing w:before="18"/>
              <w:ind w:left="70"/>
              <w:rPr>
                <w:sz w:val="20"/>
              </w:rPr>
            </w:pPr>
            <w:r>
              <w:rPr>
                <w:sz w:val="20"/>
              </w:rPr>
              <w:t>Not used.</w:t>
            </w:r>
          </w:p>
        </w:tc>
      </w:tr>
      <w:tr>
        <w:trPr>
          <w:trHeight w:val="282" w:hRule="atLeast"/>
        </w:trPr>
        <w:tc>
          <w:tcPr>
            <w:tcW w:w="1195" w:type="dxa"/>
          </w:tcPr>
          <w:p>
            <w:pPr>
              <w:pStyle w:val="TableParagraph"/>
              <w:spacing w:before="14"/>
              <w:ind w:left="51" w:right="47"/>
              <w:jc w:val="center"/>
              <w:rPr>
                <w:rFonts w:ascii="Times New Roman"/>
                <w:i/>
                <w:sz w:val="20"/>
              </w:rPr>
            </w:pPr>
            <w:r>
              <w:rPr>
                <w:rFonts w:ascii="Times New Roman"/>
                <w:i/>
                <w:sz w:val="20"/>
              </w:rPr>
              <w:t>IEN1[6]</w:t>
            </w:r>
          </w:p>
        </w:tc>
        <w:tc>
          <w:tcPr>
            <w:tcW w:w="1022" w:type="dxa"/>
          </w:tcPr>
          <w:p>
            <w:pPr>
              <w:pStyle w:val="TableParagraph"/>
              <w:spacing w:before="18"/>
              <w:ind w:left="10"/>
              <w:jc w:val="center"/>
              <w:rPr>
                <w:sz w:val="20"/>
              </w:rPr>
            </w:pPr>
            <w:r>
              <w:rPr>
                <w:w w:val="99"/>
                <w:sz w:val="20"/>
              </w:rPr>
              <w:t>–</w:t>
            </w:r>
          </w:p>
        </w:tc>
        <w:tc>
          <w:tcPr>
            <w:tcW w:w="7142" w:type="dxa"/>
          </w:tcPr>
          <w:p>
            <w:pPr>
              <w:pStyle w:val="TableParagraph"/>
              <w:spacing w:before="18"/>
              <w:ind w:left="70"/>
              <w:rPr>
                <w:sz w:val="20"/>
              </w:rPr>
            </w:pPr>
            <w:r>
              <w:rPr>
                <w:sz w:val="20"/>
              </w:rPr>
              <w:t>Not used.</w:t>
            </w:r>
          </w:p>
        </w:tc>
      </w:tr>
      <w:tr>
        <w:trPr>
          <w:trHeight w:val="282" w:hRule="atLeast"/>
        </w:trPr>
        <w:tc>
          <w:tcPr>
            <w:tcW w:w="1195" w:type="dxa"/>
          </w:tcPr>
          <w:p>
            <w:pPr>
              <w:pStyle w:val="TableParagraph"/>
              <w:spacing w:before="14"/>
              <w:ind w:left="51" w:right="47"/>
              <w:jc w:val="center"/>
              <w:rPr>
                <w:rFonts w:ascii="Times New Roman"/>
                <w:i/>
                <w:sz w:val="20"/>
              </w:rPr>
            </w:pPr>
            <w:r>
              <w:rPr>
                <w:rFonts w:ascii="Times New Roman"/>
                <w:i/>
                <w:sz w:val="20"/>
              </w:rPr>
              <w:t>IEN1[5]</w:t>
            </w:r>
          </w:p>
        </w:tc>
        <w:tc>
          <w:tcPr>
            <w:tcW w:w="1022" w:type="dxa"/>
          </w:tcPr>
          <w:p>
            <w:pPr>
              <w:pStyle w:val="TableParagraph"/>
              <w:spacing w:before="14"/>
              <w:ind w:left="128" w:right="115"/>
              <w:jc w:val="center"/>
              <w:rPr>
                <w:rFonts w:ascii="Times New Roman"/>
                <w:i/>
                <w:sz w:val="20"/>
              </w:rPr>
            </w:pPr>
            <w:r>
              <w:rPr>
                <w:rFonts w:ascii="Times New Roman"/>
                <w:i/>
                <w:sz w:val="20"/>
              </w:rPr>
              <w:t>EX6</w:t>
            </w:r>
          </w:p>
        </w:tc>
        <w:tc>
          <w:tcPr>
            <w:tcW w:w="7142" w:type="dxa"/>
          </w:tcPr>
          <w:p>
            <w:pPr>
              <w:pStyle w:val="TableParagraph"/>
              <w:spacing w:before="14"/>
              <w:ind w:left="70"/>
              <w:rPr>
                <w:sz w:val="20"/>
              </w:rPr>
            </w:pPr>
            <w:r>
              <w:rPr>
                <w:rFonts w:ascii="Times New Roman"/>
                <w:i/>
                <w:sz w:val="20"/>
              </w:rPr>
              <w:t>EX6 </w:t>
            </w:r>
            <w:r>
              <w:rPr>
                <w:sz w:val="20"/>
              </w:rPr>
              <w:t>= 0 disables external interrupt 6.</w:t>
            </w:r>
          </w:p>
        </w:tc>
      </w:tr>
      <w:tr>
        <w:trPr>
          <w:trHeight w:val="282" w:hRule="atLeast"/>
        </w:trPr>
        <w:tc>
          <w:tcPr>
            <w:tcW w:w="1195" w:type="dxa"/>
          </w:tcPr>
          <w:p>
            <w:pPr>
              <w:pStyle w:val="TableParagraph"/>
              <w:spacing w:before="14"/>
              <w:ind w:left="51" w:right="47"/>
              <w:jc w:val="center"/>
              <w:rPr>
                <w:rFonts w:ascii="Times New Roman"/>
                <w:i/>
                <w:sz w:val="20"/>
              </w:rPr>
            </w:pPr>
            <w:r>
              <w:rPr>
                <w:rFonts w:ascii="Times New Roman"/>
                <w:i/>
                <w:sz w:val="20"/>
              </w:rPr>
              <w:t>IEN1[4]</w:t>
            </w:r>
          </w:p>
        </w:tc>
        <w:tc>
          <w:tcPr>
            <w:tcW w:w="1022" w:type="dxa"/>
          </w:tcPr>
          <w:p>
            <w:pPr>
              <w:pStyle w:val="TableParagraph"/>
              <w:spacing w:before="14"/>
              <w:ind w:left="128" w:right="115"/>
              <w:jc w:val="center"/>
              <w:rPr>
                <w:rFonts w:ascii="Times New Roman"/>
                <w:i/>
                <w:sz w:val="20"/>
              </w:rPr>
            </w:pPr>
            <w:r>
              <w:rPr>
                <w:rFonts w:ascii="Times New Roman"/>
                <w:i/>
                <w:sz w:val="20"/>
              </w:rPr>
              <w:t>EX5</w:t>
            </w:r>
          </w:p>
        </w:tc>
        <w:tc>
          <w:tcPr>
            <w:tcW w:w="7142" w:type="dxa"/>
          </w:tcPr>
          <w:p>
            <w:pPr>
              <w:pStyle w:val="TableParagraph"/>
              <w:spacing w:before="14"/>
              <w:ind w:left="70"/>
              <w:rPr>
                <w:sz w:val="20"/>
              </w:rPr>
            </w:pPr>
            <w:r>
              <w:rPr>
                <w:rFonts w:ascii="Times New Roman"/>
                <w:i/>
                <w:sz w:val="20"/>
              </w:rPr>
              <w:t>EX5 </w:t>
            </w:r>
            <w:r>
              <w:rPr>
                <w:sz w:val="20"/>
              </w:rPr>
              <w:t>= 0 disables external interrupt 5.</w:t>
            </w:r>
          </w:p>
        </w:tc>
      </w:tr>
      <w:tr>
        <w:trPr>
          <w:trHeight w:val="282" w:hRule="atLeast"/>
        </w:trPr>
        <w:tc>
          <w:tcPr>
            <w:tcW w:w="1195" w:type="dxa"/>
          </w:tcPr>
          <w:p>
            <w:pPr>
              <w:pStyle w:val="TableParagraph"/>
              <w:spacing w:before="14"/>
              <w:ind w:left="51" w:right="47"/>
              <w:jc w:val="center"/>
              <w:rPr>
                <w:rFonts w:ascii="Times New Roman"/>
                <w:i/>
                <w:sz w:val="20"/>
              </w:rPr>
            </w:pPr>
            <w:r>
              <w:rPr>
                <w:rFonts w:ascii="Times New Roman"/>
                <w:i/>
                <w:sz w:val="20"/>
              </w:rPr>
              <w:t>IEN1[3]</w:t>
            </w:r>
          </w:p>
        </w:tc>
        <w:tc>
          <w:tcPr>
            <w:tcW w:w="1022" w:type="dxa"/>
          </w:tcPr>
          <w:p>
            <w:pPr>
              <w:pStyle w:val="TableParagraph"/>
              <w:spacing w:before="14"/>
              <w:ind w:left="128" w:right="115"/>
              <w:jc w:val="center"/>
              <w:rPr>
                <w:rFonts w:ascii="Times New Roman"/>
                <w:i/>
                <w:sz w:val="20"/>
              </w:rPr>
            </w:pPr>
            <w:r>
              <w:rPr>
                <w:rFonts w:ascii="Times New Roman"/>
                <w:i/>
                <w:sz w:val="20"/>
              </w:rPr>
              <w:t>EX4</w:t>
            </w:r>
          </w:p>
        </w:tc>
        <w:tc>
          <w:tcPr>
            <w:tcW w:w="7142" w:type="dxa"/>
          </w:tcPr>
          <w:p>
            <w:pPr>
              <w:pStyle w:val="TableParagraph"/>
              <w:spacing w:before="14"/>
              <w:ind w:left="70"/>
              <w:rPr>
                <w:sz w:val="20"/>
              </w:rPr>
            </w:pPr>
            <w:r>
              <w:rPr>
                <w:rFonts w:ascii="Times New Roman"/>
                <w:i/>
                <w:sz w:val="20"/>
              </w:rPr>
              <w:t>EX4 </w:t>
            </w:r>
            <w:r>
              <w:rPr>
                <w:sz w:val="20"/>
              </w:rPr>
              <w:t>= 0 disables external interrupt 4.</w:t>
            </w:r>
          </w:p>
        </w:tc>
      </w:tr>
      <w:tr>
        <w:trPr>
          <w:trHeight w:val="282" w:hRule="atLeast"/>
        </w:trPr>
        <w:tc>
          <w:tcPr>
            <w:tcW w:w="1195" w:type="dxa"/>
          </w:tcPr>
          <w:p>
            <w:pPr>
              <w:pStyle w:val="TableParagraph"/>
              <w:spacing w:before="14"/>
              <w:ind w:left="51" w:right="47"/>
              <w:jc w:val="center"/>
              <w:rPr>
                <w:rFonts w:ascii="Times New Roman"/>
                <w:i/>
                <w:sz w:val="20"/>
              </w:rPr>
            </w:pPr>
            <w:r>
              <w:rPr>
                <w:rFonts w:ascii="Times New Roman"/>
                <w:i/>
                <w:sz w:val="20"/>
              </w:rPr>
              <w:t>IEN1[2]</w:t>
            </w:r>
          </w:p>
        </w:tc>
        <w:tc>
          <w:tcPr>
            <w:tcW w:w="1022" w:type="dxa"/>
          </w:tcPr>
          <w:p>
            <w:pPr>
              <w:pStyle w:val="TableParagraph"/>
              <w:spacing w:before="14"/>
              <w:ind w:left="128" w:right="115"/>
              <w:jc w:val="center"/>
              <w:rPr>
                <w:rFonts w:ascii="Times New Roman"/>
                <w:i/>
                <w:sz w:val="20"/>
              </w:rPr>
            </w:pPr>
            <w:r>
              <w:rPr>
                <w:rFonts w:ascii="Times New Roman"/>
                <w:i/>
                <w:sz w:val="20"/>
              </w:rPr>
              <w:t>EX3</w:t>
            </w:r>
          </w:p>
        </w:tc>
        <w:tc>
          <w:tcPr>
            <w:tcW w:w="7142" w:type="dxa"/>
          </w:tcPr>
          <w:p>
            <w:pPr>
              <w:pStyle w:val="TableParagraph"/>
              <w:spacing w:before="14"/>
              <w:ind w:left="70"/>
              <w:rPr>
                <w:sz w:val="20"/>
              </w:rPr>
            </w:pPr>
            <w:r>
              <w:rPr>
                <w:rFonts w:ascii="Times New Roman"/>
                <w:i/>
                <w:sz w:val="20"/>
              </w:rPr>
              <w:t>EX3 </w:t>
            </w:r>
            <w:r>
              <w:rPr>
                <w:sz w:val="20"/>
              </w:rPr>
              <w:t>= 0 disables external interrupt 3.</w:t>
            </w:r>
          </w:p>
        </w:tc>
      </w:tr>
      <w:tr>
        <w:trPr>
          <w:trHeight w:val="282" w:hRule="atLeast"/>
        </w:trPr>
        <w:tc>
          <w:tcPr>
            <w:tcW w:w="1195" w:type="dxa"/>
          </w:tcPr>
          <w:p>
            <w:pPr>
              <w:pStyle w:val="TableParagraph"/>
              <w:spacing w:before="14"/>
              <w:ind w:left="51" w:right="47"/>
              <w:jc w:val="center"/>
              <w:rPr>
                <w:rFonts w:ascii="Times New Roman"/>
                <w:i/>
                <w:sz w:val="20"/>
              </w:rPr>
            </w:pPr>
            <w:r>
              <w:rPr>
                <w:rFonts w:ascii="Times New Roman"/>
                <w:i/>
                <w:sz w:val="20"/>
              </w:rPr>
              <w:t>IEN1[1]</w:t>
            </w:r>
          </w:p>
        </w:tc>
        <w:tc>
          <w:tcPr>
            <w:tcW w:w="1022" w:type="dxa"/>
          </w:tcPr>
          <w:p>
            <w:pPr>
              <w:pStyle w:val="TableParagraph"/>
              <w:spacing w:before="14"/>
              <w:ind w:left="128" w:right="115"/>
              <w:jc w:val="center"/>
              <w:rPr>
                <w:rFonts w:ascii="Times New Roman"/>
                <w:i/>
                <w:sz w:val="20"/>
              </w:rPr>
            </w:pPr>
            <w:r>
              <w:rPr>
                <w:rFonts w:ascii="Times New Roman"/>
                <w:i/>
                <w:sz w:val="20"/>
              </w:rPr>
              <w:t>EX2</w:t>
            </w:r>
          </w:p>
        </w:tc>
        <w:tc>
          <w:tcPr>
            <w:tcW w:w="7142" w:type="dxa"/>
          </w:tcPr>
          <w:p>
            <w:pPr>
              <w:pStyle w:val="TableParagraph"/>
              <w:spacing w:before="14"/>
              <w:ind w:left="70"/>
              <w:rPr>
                <w:sz w:val="20"/>
              </w:rPr>
            </w:pPr>
            <w:r>
              <w:rPr>
                <w:rFonts w:ascii="Times New Roman"/>
                <w:i/>
                <w:sz w:val="20"/>
              </w:rPr>
              <w:t>EX2 </w:t>
            </w:r>
            <w:r>
              <w:rPr>
                <w:sz w:val="20"/>
              </w:rPr>
              <w:t>= 0 disables external interrupt 2.</w:t>
            </w:r>
          </w:p>
        </w:tc>
      </w:tr>
      <w:tr>
        <w:trPr>
          <w:trHeight w:val="282" w:hRule="atLeast"/>
        </w:trPr>
        <w:tc>
          <w:tcPr>
            <w:tcW w:w="1195" w:type="dxa"/>
          </w:tcPr>
          <w:p>
            <w:pPr>
              <w:pStyle w:val="TableParagraph"/>
              <w:spacing w:before="14"/>
              <w:ind w:left="51" w:right="47"/>
              <w:jc w:val="center"/>
              <w:rPr>
                <w:rFonts w:ascii="Times New Roman"/>
                <w:i/>
                <w:sz w:val="20"/>
              </w:rPr>
            </w:pPr>
            <w:r>
              <w:rPr>
                <w:rFonts w:ascii="Times New Roman"/>
                <w:i/>
                <w:sz w:val="20"/>
              </w:rPr>
              <w:t>IEN1[0]</w:t>
            </w:r>
          </w:p>
        </w:tc>
        <w:tc>
          <w:tcPr>
            <w:tcW w:w="1022" w:type="dxa"/>
          </w:tcPr>
          <w:p>
            <w:pPr>
              <w:pStyle w:val="TableParagraph"/>
              <w:spacing w:before="18"/>
              <w:ind w:left="10"/>
              <w:jc w:val="center"/>
              <w:rPr>
                <w:sz w:val="20"/>
              </w:rPr>
            </w:pPr>
            <w:r>
              <w:rPr>
                <w:w w:val="99"/>
                <w:sz w:val="20"/>
              </w:rPr>
              <w:t>–</w:t>
            </w:r>
          </w:p>
        </w:tc>
        <w:tc>
          <w:tcPr>
            <w:tcW w:w="7142" w:type="dxa"/>
          </w:tcPr>
          <w:p>
            <w:pPr>
              <w:pStyle w:val="TableParagraph"/>
              <w:spacing w:before="18"/>
              <w:ind w:left="70"/>
              <w:rPr>
                <w:sz w:val="20"/>
              </w:rPr>
            </w:pPr>
            <w:r>
              <w:rPr>
                <w:sz w:val="20"/>
              </w:rPr>
              <w:t>Not used.</w:t>
            </w:r>
          </w:p>
        </w:tc>
      </w:tr>
    </w:tbl>
    <w:p>
      <w:pPr>
        <w:spacing w:after="0"/>
        <w:rPr>
          <w:sz w:val="20"/>
        </w:rPr>
        <w:sectPr>
          <w:pgSz w:w="12240" w:h="15840"/>
          <w:pgMar w:header="727" w:footer="819" w:top="960" w:bottom="1000" w:left="820" w:right="860"/>
        </w:sectPr>
      </w:pPr>
    </w:p>
    <w:p>
      <w:pPr>
        <w:pStyle w:val="BodyText"/>
        <w:spacing w:before="8"/>
        <w:rPr>
          <w:b/>
          <w:sz w:val="16"/>
        </w:rPr>
      </w:pPr>
    </w:p>
    <w:p>
      <w:pPr>
        <w:pStyle w:val="Heading1"/>
        <w:spacing w:before="93"/>
        <w:ind w:left="1312" w:right="1278"/>
      </w:pPr>
      <w:bookmarkStart w:name="_bookmark79" w:id="163"/>
      <w:bookmarkEnd w:id="163"/>
      <w:r>
        <w:rPr>
          <w:b w:val="0"/>
        </w:rPr>
      </w:r>
      <w:r>
        <w:rPr/>
        <w:t>Table 27: The </w:t>
      </w:r>
      <w:r>
        <w:rPr>
          <w:rFonts w:ascii="Times New Roman"/>
          <w:i/>
        </w:rPr>
        <w:t>IEN2 </w:t>
      </w:r>
      <w:r>
        <w:rPr/>
        <w:t>Bit Functions (SFR 0x9A)</w:t>
      </w:r>
    </w:p>
    <w:p>
      <w:pPr>
        <w:pStyle w:val="BodyText"/>
        <w:spacing w:before="5"/>
        <w:rPr>
          <w:b/>
          <w:sz w:val="5"/>
        </w:rPr>
      </w:pPr>
    </w:p>
    <w:tbl>
      <w:tblPr>
        <w:tblW w:w="0" w:type="auto"/>
        <w:jc w:val="left"/>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5"/>
        <w:gridCol w:w="1022"/>
        <w:gridCol w:w="7142"/>
      </w:tblGrid>
      <w:tr>
        <w:trPr>
          <w:trHeight w:val="309" w:hRule="atLeast"/>
        </w:trPr>
        <w:tc>
          <w:tcPr>
            <w:tcW w:w="1195" w:type="dxa"/>
          </w:tcPr>
          <w:p>
            <w:pPr>
              <w:pStyle w:val="TableParagraph"/>
              <w:spacing w:before="35"/>
              <w:ind w:left="52" w:right="46"/>
              <w:jc w:val="center"/>
              <w:rPr>
                <w:b/>
                <w:sz w:val="20"/>
              </w:rPr>
            </w:pPr>
            <w:r>
              <w:rPr>
                <w:b/>
                <w:sz w:val="20"/>
              </w:rPr>
              <w:t>Bit</w:t>
            </w:r>
          </w:p>
        </w:tc>
        <w:tc>
          <w:tcPr>
            <w:tcW w:w="1022" w:type="dxa"/>
          </w:tcPr>
          <w:p>
            <w:pPr>
              <w:pStyle w:val="TableParagraph"/>
              <w:spacing w:before="35"/>
              <w:ind w:left="128" w:right="118"/>
              <w:jc w:val="center"/>
              <w:rPr>
                <w:b/>
                <w:sz w:val="20"/>
              </w:rPr>
            </w:pPr>
            <w:r>
              <w:rPr>
                <w:b/>
                <w:sz w:val="20"/>
              </w:rPr>
              <w:t>Symbol</w:t>
            </w:r>
          </w:p>
        </w:tc>
        <w:tc>
          <w:tcPr>
            <w:tcW w:w="7142" w:type="dxa"/>
          </w:tcPr>
          <w:p>
            <w:pPr>
              <w:pStyle w:val="TableParagraph"/>
              <w:spacing w:before="35"/>
              <w:ind w:left="3127" w:right="3118"/>
              <w:jc w:val="center"/>
              <w:rPr>
                <w:b/>
                <w:sz w:val="20"/>
              </w:rPr>
            </w:pPr>
            <w:r>
              <w:rPr>
                <w:b/>
                <w:sz w:val="20"/>
              </w:rPr>
              <w:t>Function</w:t>
            </w:r>
          </w:p>
        </w:tc>
      </w:tr>
      <w:tr>
        <w:trPr>
          <w:trHeight w:val="273" w:hRule="atLeast"/>
        </w:trPr>
        <w:tc>
          <w:tcPr>
            <w:tcW w:w="1195" w:type="dxa"/>
          </w:tcPr>
          <w:p>
            <w:pPr>
              <w:pStyle w:val="TableParagraph"/>
              <w:spacing w:before="17"/>
              <w:ind w:left="52" w:right="44"/>
              <w:jc w:val="center"/>
              <w:rPr>
                <w:rFonts w:ascii="Times New Roman"/>
                <w:i/>
                <w:sz w:val="20"/>
              </w:rPr>
            </w:pPr>
            <w:r>
              <w:rPr>
                <w:rFonts w:ascii="Times New Roman"/>
                <w:i/>
                <w:sz w:val="20"/>
              </w:rPr>
              <w:t>IEN2[0]</w:t>
            </w:r>
          </w:p>
        </w:tc>
        <w:tc>
          <w:tcPr>
            <w:tcW w:w="1022" w:type="dxa"/>
          </w:tcPr>
          <w:p>
            <w:pPr>
              <w:pStyle w:val="TableParagraph"/>
              <w:spacing w:before="17"/>
              <w:ind w:left="128" w:right="117"/>
              <w:jc w:val="center"/>
              <w:rPr>
                <w:rFonts w:ascii="Times New Roman"/>
                <w:i/>
                <w:sz w:val="20"/>
              </w:rPr>
            </w:pPr>
            <w:r>
              <w:rPr>
                <w:rFonts w:ascii="Times New Roman"/>
                <w:i/>
                <w:sz w:val="20"/>
              </w:rPr>
              <w:t>ES1</w:t>
            </w:r>
          </w:p>
        </w:tc>
        <w:tc>
          <w:tcPr>
            <w:tcW w:w="7142" w:type="dxa"/>
          </w:tcPr>
          <w:p>
            <w:pPr>
              <w:pStyle w:val="TableParagraph"/>
              <w:spacing w:before="16"/>
              <w:ind w:left="70"/>
              <w:rPr>
                <w:sz w:val="20"/>
              </w:rPr>
            </w:pPr>
            <w:r>
              <w:rPr>
                <w:rFonts w:ascii="Times New Roman"/>
                <w:i/>
                <w:sz w:val="20"/>
              </w:rPr>
              <w:t>ES1 </w:t>
            </w:r>
            <w:r>
              <w:rPr>
                <w:sz w:val="20"/>
              </w:rPr>
              <w:t>= 0 disables the serial channel 1 interrupt.</w:t>
            </w:r>
          </w:p>
        </w:tc>
      </w:tr>
    </w:tbl>
    <w:p>
      <w:pPr>
        <w:pStyle w:val="BodyText"/>
        <w:rPr>
          <w:b/>
          <w:sz w:val="30"/>
        </w:rPr>
      </w:pPr>
    </w:p>
    <w:p>
      <w:pPr>
        <w:pStyle w:val="Heading1"/>
        <w:ind w:left="1311" w:right="1278"/>
      </w:pPr>
      <w:bookmarkStart w:name="_bookmark80" w:id="164"/>
      <w:bookmarkEnd w:id="164"/>
      <w:r>
        <w:rPr>
          <w:b w:val="0"/>
        </w:rPr>
      </w:r>
      <w:r>
        <w:rPr/>
        <w:t>Table 28: </w:t>
      </w:r>
      <w:r>
        <w:rPr>
          <w:rFonts w:ascii="Times New Roman"/>
          <w:i/>
        </w:rPr>
        <w:t>TCON </w:t>
      </w:r>
      <w:r>
        <w:rPr/>
        <w:t>Bit Functions (SFR 0x88)</w:t>
      </w:r>
    </w:p>
    <w:p>
      <w:pPr>
        <w:pStyle w:val="BodyText"/>
        <w:spacing w:before="7"/>
        <w:rPr>
          <w:b/>
          <w:sz w:val="5"/>
        </w:rPr>
      </w:pPr>
    </w:p>
    <w:tbl>
      <w:tblPr>
        <w:tblW w:w="0" w:type="auto"/>
        <w:jc w:val="left"/>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5"/>
        <w:gridCol w:w="1022"/>
        <w:gridCol w:w="7142"/>
      </w:tblGrid>
      <w:tr>
        <w:trPr>
          <w:trHeight w:val="309" w:hRule="atLeast"/>
        </w:trPr>
        <w:tc>
          <w:tcPr>
            <w:tcW w:w="1195" w:type="dxa"/>
          </w:tcPr>
          <w:p>
            <w:pPr>
              <w:pStyle w:val="TableParagraph"/>
              <w:spacing w:before="35"/>
              <w:ind w:left="52" w:right="46"/>
              <w:jc w:val="center"/>
              <w:rPr>
                <w:b/>
                <w:sz w:val="20"/>
              </w:rPr>
            </w:pPr>
            <w:r>
              <w:rPr>
                <w:b/>
                <w:sz w:val="20"/>
              </w:rPr>
              <w:t>Bit</w:t>
            </w:r>
          </w:p>
        </w:tc>
        <w:tc>
          <w:tcPr>
            <w:tcW w:w="1022" w:type="dxa"/>
          </w:tcPr>
          <w:p>
            <w:pPr>
              <w:pStyle w:val="TableParagraph"/>
              <w:spacing w:before="35"/>
              <w:ind w:left="128" w:right="118"/>
              <w:jc w:val="center"/>
              <w:rPr>
                <w:b/>
                <w:sz w:val="20"/>
              </w:rPr>
            </w:pPr>
            <w:r>
              <w:rPr>
                <w:b/>
                <w:sz w:val="20"/>
              </w:rPr>
              <w:t>Symbol</w:t>
            </w:r>
          </w:p>
        </w:tc>
        <w:tc>
          <w:tcPr>
            <w:tcW w:w="7142" w:type="dxa"/>
          </w:tcPr>
          <w:p>
            <w:pPr>
              <w:pStyle w:val="TableParagraph"/>
              <w:spacing w:before="35"/>
              <w:ind w:left="3127" w:right="3117"/>
              <w:jc w:val="center"/>
              <w:rPr>
                <w:b/>
                <w:sz w:val="20"/>
              </w:rPr>
            </w:pPr>
            <w:r>
              <w:rPr>
                <w:b/>
                <w:sz w:val="20"/>
              </w:rPr>
              <w:t>Function</w:t>
            </w:r>
          </w:p>
        </w:tc>
      </w:tr>
      <w:tr>
        <w:trPr>
          <w:trHeight w:val="282" w:hRule="atLeast"/>
        </w:trPr>
        <w:tc>
          <w:tcPr>
            <w:tcW w:w="1195" w:type="dxa"/>
          </w:tcPr>
          <w:p>
            <w:pPr>
              <w:pStyle w:val="TableParagraph"/>
              <w:spacing w:before="14"/>
              <w:ind w:left="52" w:right="47"/>
              <w:jc w:val="center"/>
              <w:rPr>
                <w:rFonts w:ascii="Times New Roman"/>
                <w:i/>
                <w:sz w:val="20"/>
              </w:rPr>
            </w:pPr>
            <w:r>
              <w:rPr>
                <w:rFonts w:ascii="Times New Roman"/>
                <w:i/>
                <w:sz w:val="20"/>
              </w:rPr>
              <w:t>TCON[7]</w:t>
            </w:r>
          </w:p>
        </w:tc>
        <w:tc>
          <w:tcPr>
            <w:tcW w:w="1022" w:type="dxa"/>
          </w:tcPr>
          <w:p>
            <w:pPr>
              <w:pStyle w:val="TableParagraph"/>
              <w:spacing w:before="14"/>
              <w:ind w:left="128" w:right="117"/>
              <w:jc w:val="center"/>
              <w:rPr>
                <w:rFonts w:ascii="Times New Roman"/>
                <w:i/>
                <w:sz w:val="20"/>
              </w:rPr>
            </w:pPr>
            <w:r>
              <w:rPr>
                <w:rFonts w:ascii="Times New Roman"/>
                <w:i/>
                <w:sz w:val="20"/>
              </w:rPr>
              <w:t>TF1</w:t>
            </w:r>
          </w:p>
        </w:tc>
        <w:tc>
          <w:tcPr>
            <w:tcW w:w="7142" w:type="dxa"/>
          </w:tcPr>
          <w:p>
            <w:pPr>
              <w:pStyle w:val="TableParagraph"/>
              <w:spacing w:before="18"/>
              <w:ind w:left="70"/>
              <w:rPr>
                <w:sz w:val="20"/>
              </w:rPr>
            </w:pPr>
            <w:r>
              <w:rPr>
                <w:sz w:val="20"/>
              </w:rPr>
              <w:t>Timer 1 overflow flag.</w:t>
            </w:r>
          </w:p>
        </w:tc>
      </w:tr>
      <w:tr>
        <w:trPr>
          <w:trHeight w:val="282" w:hRule="atLeast"/>
        </w:trPr>
        <w:tc>
          <w:tcPr>
            <w:tcW w:w="1195" w:type="dxa"/>
          </w:tcPr>
          <w:p>
            <w:pPr>
              <w:pStyle w:val="TableParagraph"/>
              <w:spacing w:before="14"/>
              <w:ind w:left="52" w:right="47"/>
              <w:jc w:val="center"/>
              <w:rPr>
                <w:rFonts w:ascii="Times New Roman"/>
                <w:i/>
                <w:sz w:val="20"/>
              </w:rPr>
            </w:pPr>
            <w:r>
              <w:rPr>
                <w:rFonts w:ascii="Times New Roman"/>
                <w:i/>
                <w:sz w:val="20"/>
              </w:rPr>
              <w:t>TCON[6]</w:t>
            </w:r>
          </w:p>
        </w:tc>
        <w:tc>
          <w:tcPr>
            <w:tcW w:w="1022" w:type="dxa"/>
          </w:tcPr>
          <w:p>
            <w:pPr>
              <w:pStyle w:val="TableParagraph"/>
              <w:spacing w:before="14"/>
              <w:ind w:left="128" w:right="117"/>
              <w:jc w:val="center"/>
              <w:rPr>
                <w:rFonts w:ascii="Times New Roman"/>
                <w:i/>
                <w:sz w:val="20"/>
              </w:rPr>
            </w:pPr>
            <w:r>
              <w:rPr>
                <w:rFonts w:ascii="Times New Roman"/>
                <w:i/>
                <w:sz w:val="20"/>
              </w:rPr>
              <w:t>TR1</w:t>
            </w:r>
          </w:p>
        </w:tc>
        <w:tc>
          <w:tcPr>
            <w:tcW w:w="7142" w:type="dxa"/>
          </w:tcPr>
          <w:p>
            <w:pPr>
              <w:pStyle w:val="TableParagraph"/>
              <w:spacing w:before="18"/>
              <w:ind w:left="70"/>
              <w:rPr>
                <w:sz w:val="20"/>
              </w:rPr>
            </w:pPr>
            <w:r>
              <w:rPr>
                <w:sz w:val="20"/>
              </w:rPr>
              <w:t>Not used for interrupt control.</w:t>
            </w:r>
          </w:p>
        </w:tc>
      </w:tr>
      <w:tr>
        <w:trPr>
          <w:trHeight w:val="282" w:hRule="atLeast"/>
        </w:trPr>
        <w:tc>
          <w:tcPr>
            <w:tcW w:w="1195" w:type="dxa"/>
          </w:tcPr>
          <w:p>
            <w:pPr>
              <w:pStyle w:val="TableParagraph"/>
              <w:spacing w:before="14"/>
              <w:ind w:left="52" w:right="47"/>
              <w:jc w:val="center"/>
              <w:rPr>
                <w:rFonts w:ascii="Times New Roman"/>
                <w:i/>
                <w:sz w:val="20"/>
              </w:rPr>
            </w:pPr>
            <w:r>
              <w:rPr>
                <w:rFonts w:ascii="Times New Roman"/>
                <w:i/>
                <w:sz w:val="20"/>
              </w:rPr>
              <w:t>TCON[5]</w:t>
            </w:r>
          </w:p>
        </w:tc>
        <w:tc>
          <w:tcPr>
            <w:tcW w:w="1022" w:type="dxa"/>
          </w:tcPr>
          <w:p>
            <w:pPr>
              <w:pStyle w:val="TableParagraph"/>
              <w:spacing w:before="14"/>
              <w:ind w:left="128" w:right="117"/>
              <w:jc w:val="center"/>
              <w:rPr>
                <w:rFonts w:ascii="Times New Roman"/>
                <w:i/>
                <w:sz w:val="20"/>
              </w:rPr>
            </w:pPr>
            <w:r>
              <w:rPr>
                <w:rFonts w:ascii="Times New Roman"/>
                <w:i/>
                <w:sz w:val="20"/>
              </w:rPr>
              <w:t>TF0</w:t>
            </w:r>
          </w:p>
        </w:tc>
        <w:tc>
          <w:tcPr>
            <w:tcW w:w="7142" w:type="dxa"/>
          </w:tcPr>
          <w:p>
            <w:pPr>
              <w:pStyle w:val="TableParagraph"/>
              <w:spacing w:before="18"/>
              <w:ind w:left="70"/>
              <w:rPr>
                <w:sz w:val="20"/>
              </w:rPr>
            </w:pPr>
            <w:r>
              <w:rPr>
                <w:sz w:val="20"/>
              </w:rPr>
              <w:t>Timer 0 overflow flag.</w:t>
            </w:r>
          </w:p>
        </w:tc>
      </w:tr>
      <w:tr>
        <w:trPr>
          <w:trHeight w:val="282" w:hRule="atLeast"/>
        </w:trPr>
        <w:tc>
          <w:tcPr>
            <w:tcW w:w="1195" w:type="dxa"/>
          </w:tcPr>
          <w:p>
            <w:pPr>
              <w:pStyle w:val="TableParagraph"/>
              <w:spacing w:before="14"/>
              <w:ind w:left="52" w:right="47"/>
              <w:jc w:val="center"/>
              <w:rPr>
                <w:rFonts w:ascii="Times New Roman"/>
                <w:i/>
                <w:sz w:val="20"/>
              </w:rPr>
            </w:pPr>
            <w:r>
              <w:rPr>
                <w:rFonts w:ascii="Times New Roman"/>
                <w:i/>
                <w:sz w:val="20"/>
              </w:rPr>
              <w:t>TCON[4]</w:t>
            </w:r>
          </w:p>
        </w:tc>
        <w:tc>
          <w:tcPr>
            <w:tcW w:w="1022" w:type="dxa"/>
          </w:tcPr>
          <w:p>
            <w:pPr>
              <w:pStyle w:val="TableParagraph"/>
              <w:spacing w:before="14"/>
              <w:ind w:left="128" w:right="117"/>
              <w:jc w:val="center"/>
              <w:rPr>
                <w:rFonts w:ascii="Times New Roman"/>
                <w:i/>
                <w:sz w:val="20"/>
              </w:rPr>
            </w:pPr>
            <w:r>
              <w:rPr>
                <w:rFonts w:ascii="Times New Roman"/>
                <w:i/>
                <w:sz w:val="20"/>
              </w:rPr>
              <w:t>TR0</w:t>
            </w:r>
          </w:p>
        </w:tc>
        <w:tc>
          <w:tcPr>
            <w:tcW w:w="7142" w:type="dxa"/>
          </w:tcPr>
          <w:p>
            <w:pPr>
              <w:pStyle w:val="TableParagraph"/>
              <w:spacing w:before="18"/>
              <w:ind w:left="70"/>
              <w:rPr>
                <w:sz w:val="20"/>
              </w:rPr>
            </w:pPr>
            <w:r>
              <w:rPr>
                <w:sz w:val="20"/>
              </w:rPr>
              <w:t>Not used for interrupt control.</w:t>
            </w:r>
          </w:p>
        </w:tc>
      </w:tr>
      <w:tr>
        <w:trPr>
          <w:trHeight w:val="282" w:hRule="atLeast"/>
        </w:trPr>
        <w:tc>
          <w:tcPr>
            <w:tcW w:w="1195" w:type="dxa"/>
          </w:tcPr>
          <w:p>
            <w:pPr>
              <w:pStyle w:val="TableParagraph"/>
              <w:spacing w:before="14"/>
              <w:ind w:left="52" w:right="47"/>
              <w:jc w:val="center"/>
              <w:rPr>
                <w:rFonts w:ascii="Times New Roman"/>
                <w:i/>
                <w:sz w:val="20"/>
              </w:rPr>
            </w:pPr>
            <w:r>
              <w:rPr>
                <w:rFonts w:ascii="Times New Roman"/>
                <w:i/>
                <w:sz w:val="20"/>
              </w:rPr>
              <w:t>TCON[3]</w:t>
            </w:r>
          </w:p>
        </w:tc>
        <w:tc>
          <w:tcPr>
            <w:tcW w:w="1022" w:type="dxa"/>
          </w:tcPr>
          <w:p>
            <w:pPr>
              <w:pStyle w:val="TableParagraph"/>
              <w:spacing w:before="14"/>
              <w:ind w:left="128" w:right="117"/>
              <w:jc w:val="center"/>
              <w:rPr>
                <w:rFonts w:ascii="Times New Roman"/>
                <w:i/>
                <w:sz w:val="20"/>
              </w:rPr>
            </w:pPr>
            <w:r>
              <w:rPr>
                <w:rFonts w:ascii="Times New Roman"/>
                <w:i/>
                <w:sz w:val="20"/>
              </w:rPr>
              <w:t>IE1</w:t>
            </w:r>
          </w:p>
        </w:tc>
        <w:tc>
          <w:tcPr>
            <w:tcW w:w="7142" w:type="dxa"/>
          </w:tcPr>
          <w:p>
            <w:pPr>
              <w:pStyle w:val="TableParagraph"/>
              <w:spacing w:before="18"/>
              <w:ind w:left="70"/>
              <w:rPr>
                <w:sz w:val="20"/>
              </w:rPr>
            </w:pPr>
            <w:r>
              <w:rPr>
                <w:sz w:val="20"/>
              </w:rPr>
              <w:t>External interrupt 1 flag.</w:t>
            </w:r>
          </w:p>
        </w:tc>
      </w:tr>
      <w:tr>
        <w:trPr>
          <w:trHeight w:val="729" w:hRule="atLeast"/>
        </w:trPr>
        <w:tc>
          <w:tcPr>
            <w:tcW w:w="1195" w:type="dxa"/>
          </w:tcPr>
          <w:p>
            <w:pPr>
              <w:pStyle w:val="TableParagraph"/>
              <w:spacing w:before="14"/>
              <w:ind w:left="52" w:right="47"/>
              <w:jc w:val="center"/>
              <w:rPr>
                <w:rFonts w:ascii="Times New Roman"/>
                <w:i/>
                <w:sz w:val="20"/>
              </w:rPr>
            </w:pPr>
            <w:r>
              <w:rPr>
                <w:rFonts w:ascii="Times New Roman"/>
                <w:i/>
                <w:sz w:val="20"/>
              </w:rPr>
              <w:t>TCON[2]</w:t>
            </w:r>
          </w:p>
        </w:tc>
        <w:tc>
          <w:tcPr>
            <w:tcW w:w="1022" w:type="dxa"/>
          </w:tcPr>
          <w:p>
            <w:pPr>
              <w:pStyle w:val="TableParagraph"/>
              <w:spacing w:before="14"/>
              <w:ind w:left="127" w:right="119"/>
              <w:jc w:val="center"/>
              <w:rPr>
                <w:rFonts w:ascii="Times New Roman"/>
                <w:i/>
                <w:sz w:val="20"/>
              </w:rPr>
            </w:pPr>
            <w:r>
              <w:rPr>
                <w:rFonts w:ascii="Times New Roman"/>
                <w:i/>
                <w:sz w:val="20"/>
              </w:rPr>
              <w:t>IT1</w:t>
            </w:r>
          </w:p>
        </w:tc>
        <w:tc>
          <w:tcPr>
            <w:tcW w:w="7142" w:type="dxa"/>
          </w:tcPr>
          <w:p>
            <w:pPr>
              <w:pStyle w:val="TableParagraph"/>
              <w:spacing w:line="261" w:lineRule="auto" w:before="18"/>
              <w:ind w:left="329" w:right="3941" w:hanging="260"/>
              <w:rPr>
                <w:sz w:val="20"/>
              </w:rPr>
            </w:pPr>
            <w:r>
              <w:rPr>
                <w:sz w:val="20"/>
              </w:rPr>
              <w:t>External interrupt 1 type control bit: 0 = interrupt on low level.</w:t>
            </w:r>
          </w:p>
          <w:p>
            <w:pPr>
              <w:pStyle w:val="TableParagraph"/>
              <w:spacing w:line="189" w:lineRule="exact"/>
              <w:ind w:left="329"/>
              <w:rPr>
                <w:sz w:val="20"/>
              </w:rPr>
            </w:pPr>
            <w:r>
              <w:rPr>
                <w:sz w:val="20"/>
              </w:rPr>
              <w:t>1 = interrupt on falling edge.</w:t>
            </w:r>
          </w:p>
        </w:tc>
      </w:tr>
      <w:tr>
        <w:trPr>
          <w:trHeight w:val="282" w:hRule="atLeast"/>
        </w:trPr>
        <w:tc>
          <w:tcPr>
            <w:tcW w:w="1195" w:type="dxa"/>
          </w:tcPr>
          <w:p>
            <w:pPr>
              <w:pStyle w:val="TableParagraph"/>
              <w:spacing w:before="14"/>
              <w:ind w:left="52" w:right="47"/>
              <w:jc w:val="center"/>
              <w:rPr>
                <w:rFonts w:ascii="Times New Roman"/>
                <w:i/>
                <w:sz w:val="20"/>
              </w:rPr>
            </w:pPr>
            <w:r>
              <w:rPr>
                <w:rFonts w:ascii="Times New Roman"/>
                <w:i/>
                <w:sz w:val="20"/>
              </w:rPr>
              <w:t>TCON[1]</w:t>
            </w:r>
          </w:p>
        </w:tc>
        <w:tc>
          <w:tcPr>
            <w:tcW w:w="1022" w:type="dxa"/>
          </w:tcPr>
          <w:p>
            <w:pPr>
              <w:pStyle w:val="TableParagraph"/>
              <w:spacing w:before="14"/>
              <w:ind w:left="128" w:right="117"/>
              <w:jc w:val="center"/>
              <w:rPr>
                <w:rFonts w:ascii="Times New Roman"/>
                <w:i/>
                <w:sz w:val="20"/>
              </w:rPr>
            </w:pPr>
            <w:r>
              <w:rPr>
                <w:rFonts w:ascii="Times New Roman"/>
                <w:i/>
                <w:sz w:val="20"/>
              </w:rPr>
              <w:t>IE0</w:t>
            </w:r>
          </w:p>
        </w:tc>
        <w:tc>
          <w:tcPr>
            <w:tcW w:w="7142" w:type="dxa"/>
          </w:tcPr>
          <w:p>
            <w:pPr>
              <w:pStyle w:val="TableParagraph"/>
              <w:spacing w:before="18"/>
              <w:ind w:left="70"/>
              <w:rPr>
                <w:sz w:val="20"/>
              </w:rPr>
            </w:pPr>
            <w:r>
              <w:rPr>
                <w:sz w:val="20"/>
              </w:rPr>
              <w:t>External interrupt 0 flag</w:t>
            </w:r>
          </w:p>
        </w:tc>
      </w:tr>
      <w:tr>
        <w:trPr>
          <w:trHeight w:val="731" w:hRule="atLeast"/>
        </w:trPr>
        <w:tc>
          <w:tcPr>
            <w:tcW w:w="1195" w:type="dxa"/>
          </w:tcPr>
          <w:p>
            <w:pPr>
              <w:pStyle w:val="TableParagraph"/>
              <w:spacing w:before="17"/>
              <w:ind w:left="52" w:right="47"/>
              <w:jc w:val="center"/>
              <w:rPr>
                <w:rFonts w:ascii="Times New Roman"/>
                <w:i/>
                <w:sz w:val="20"/>
              </w:rPr>
            </w:pPr>
            <w:r>
              <w:rPr>
                <w:rFonts w:ascii="Times New Roman"/>
                <w:i/>
                <w:sz w:val="20"/>
              </w:rPr>
              <w:t>TCON[0]</w:t>
            </w:r>
          </w:p>
        </w:tc>
        <w:tc>
          <w:tcPr>
            <w:tcW w:w="1022" w:type="dxa"/>
          </w:tcPr>
          <w:p>
            <w:pPr>
              <w:pStyle w:val="TableParagraph"/>
              <w:spacing w:before="17"/>
              <w:ind w:left="127" w:right="119"/>
              <w:jc w:val="center"/>
              <w:rPr>
                <w:rFonts w:ascii="Times New Roman"/>
                <w:i/>
                <w:sz w:val="20"/>
              </w:rPr>
            </w:pPr>
            <w:r>
              <w:rPr>
                <w:rFonts w:ascii="Times New Roman"/>
                <w:i/>
                <w:sz w:val="20"/>
              </w:rPr>
              <w:t>IT0</w:t>
            </w:r>
          </w:p>
        </w:tc>
        <w:tc>
          <w:tcPr>
            <w:tcW w:w="7142" w:type="dxa"/>
          </w:tcPr>
          <w:p>
            <w:pPr>
              <w:pStyle w:val="TableParagraph"/>
              <w:spacing w:line="256" w:lineRule="auto" w:before="21"/>
              <w:ind w:left="329" w:right="3941" w:hanging="260"/>
              <w:rPr>
                <w:sz w:val="20"/>
              </w:rPr>
            </w:pPr>
            <w:r>
              <w:rPr>
                <w:sz w:val="20"/>
              </w:rPr>
              <w:t>External interrupt 0 type control bit: 0 = interrupt on low level.</w:t>
            </w:r>
          </w:p>
          <w:p>
            <w:pPr>
              <w:pStyle w:val="TableParagraph"/>
              <w:spacing w:line="198" w:lineRule="exact"/>
              <w:ind w:left="329"/>
              <w:rPr>
                <w:sz w:val="20"/>
              </w:rPr>
            </w:pPr>
            <w:r>
              <w:rPr>
                <w:sz w:val="20"/>
              </w:rPr>
              <w:t>1 = interrupt on falling edge.</w:t>
            </w:r>
          </w:p>
        </w:tc>
      </w:tr>
    </w:tbl>
    <w:p>
      <w:pPr>
        <w:pStyle w:val="BodyText"/>
        <w:spacing w:before="3"/>
        <w:rPr>
          <w:b/>
          <w:sz w:val="30"/>
        </w:rPr>
      </w:pPr>
    </w:p>
    <w:p>
      <w:pPr>
        <w:pStyle w:val="Heading1"/>
        <w:ind w:left="1313" w:right="1278"/>
      </w:pPr>
      <w:bookmarkStart w:name="_bookmark81" w:id="165"/>
      <w:bookmarkEnd w:id="165"/>
      <w:r>
        <w:rPr>
          <w:b w:val="0"/>
        </w:rPr>
      </w:r>
      <w:r>
        <w:rPr/>
        <w:t>Table 29: The </w:t>
      </w:r>
      <w:r>
        <w:rPr>
          <w:rFonts w:ascii="Times New Roman"/>
          <w:i/>
        </w:rPr>
        <w:t>T2CON </w:t>
      </w:r>
      <w:r>
        <w:rPr/>
        <w:t>Bit Functions (SFR</w:t>
      </w:r>
      <w:r>
        <w:rPr>
          <w:spacing w:val="-17"/>
        </w:rPr>
        <w:t> </w:t>
      </w:r>
      <w:r>
        <w:rPr/>
        <w:t>0xC8)</w:t>
      </w:r>
    </w:p>
    <w:p>
      <w:pPr>
        <w:pStyle w:val="BodyText"/>
        <w:spacing w:before="4"/>
        <w:rPr>
          <w:b/>
          <w:sz w:val="5"/>
        </w:rPr>
      </w:pPr>
    </w:p>
    <w:tbl>
      <w:tblPr>
        <w:tblW w:w="0" w:type="auto"/>
        <w:jc w:val="left"/>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5"/>
        <w:gridCol w:w="1022"/>
        <w:gridCol w:w="7142"/>
      </w:tblGrid>
      <w:tr>
        <w:trPr>
          <w:trHeight w:val="309" w:hRule="atLeast"/>
        </w:trPr>
        <w:tc>
          <w:tcPr>
            <w:tcW w:w="1195" w:type="dxa"/>
          </w:tcPr>
          <w:p>
            <w:pPr>
              <w:pStyle w:val="TableParagraph"/>
              <w:spacing w:before="35"/>
              <w:ind w:left="52" w:right="46"/>
              <w:jc w:val="center"/>
              <w:rPr>
                <w:b/>
                <w:sz w:val="20"/>
              </w:rPr>
            </w:pPr>
            <w:r>
              <w:rPr>
                <w:b/>
                <w:sz w:val="20"/>
              </w:rPr>
              <w:t>Bit</w:t>
            </w:r>
          </w:p>
        </w:tc>
        <w:tc>
          <w:tcPr>
            <w:tcW w:w="1022" w:type="dxa"/>
          </w:tcPr>
          <w:p>
            <w:pPr>
              <w:pStyle w:val="TableParagraph"/>
              <w:spacing w:before="35"/>
              <w:ind w:left="128" w:right="118"/>
              <w:jc w:val="center"/>
              <w:rPr>
                <w:b/>
                <w:sz w:val="20"/>
              </w:rPr>
            </w:pPr>
            <w:r>
              <w:rPr>
                <w:b/>
                <w:sz w:val="20"/>
              </w:rPr>
              <w:t>Symbol</w:t>
            </w:r>
          </w:p>
        </w:tc>
        <w:tc>
          <w:tcPr>
            <w:tcW w:w="7142" w:type="dxa"/>
          </w:tcPr>
          <w:p>
            <w:pPr>
              <w:pStyle w:val="TableParagraph"/>
              <w:spacing w:before="35"/>
              <w:ind w:left="3127" w:right="3118"/>
              <w:jc w:val="center"/>
              <w:rPr>
                <w:b/>
                <w:sz w:val="20"/>
              </w:rPr>
            </w:pPr>
            <w:r>
              <w:rPr>
                <w:b/>
                <w:sz w:val="20"/>
              </w:rPr>
              <w:t>Function</w:t>
            </w:r>
          </w:p>
        </w:tc>
      </w:tr>
      <w:tr>
        <w:trPr>
          <w:trHeight w:val="282" w:hRule="atLeast"/>
        </w:trPr>
        <w:tc>
          <w:tcPr>
            <w:tcW w:w="1195" w:type="dxa"/>
          </w:tcPr>
          <w:p>
            <w:pPr>
              <w:pStyle w:val="TableParagraph"/>
              <w:spacing w:before="14"/>
              <w:ind w:left="52" w:right="47"/>
              <w:jc w:val="center"/>
              <w:rPr>
                <w:rFonts w:ascii="Times New Roman"/>
                <w:i/>
                <w:sz w:val="20"/>
              </w:rPr>
            </w:pPr>
            <w:r>
              <w:rPr>
                <w:rFonts w:ascii="Times New Roman"/>
                <w:i/>
                <w:sz w:val="20"/>
              </w:rPr>
              <w:t>T2CON[7]</w:t>
            </w:r>
          </w:p>
        </w:tc>
        <w:tc>
          <w:tcPr>
            <w:tcW w:w="1022" w:type="dxa"/>
          </w:tcPr>
          <w:p>
            <w:pPr>
              <w:pStyle w:val="TableParagraph"/>
              <w:spacing w:before="18"/>
              <w:ind w:left="10"/>
              <w:jc w:val="center"/>
              <w:rPr>
                <w:sz w:val="20"/>
              </w:rPr>
            </w:pPr>
            <w:r>
              <w:rPr>
                <w:w w:val="99"/>
                <w:sz w:val="20"/>
              </w:rPr>
              <w:t>–</w:t>
            </w:r>
          </w:p>
        </w:tc>
        <w:tc>
          <w:tcPr>
            <w:tcW w:w="7142" w:type="dxa"/>
          </w:tcPr>
          <w:p>
            <w:pPr>
              <w:pStyle w:val="TableParagraph"/>
              <w:spacing w:before="18"/>
              <w:ind w:left="70"/>
              <w:rPr>
                <w:sz w:val="20"/>
              </w:rPr>
            </w:pPr>
            <w:r>
              <w:rPr>
                <w:sz w:val="20"/>
              </w:rPr>
              <w:t>Not used.</w:t>
            </w:r>
          </w:p>
        </w:tc>
      </w:tr>
      <w:tr>
        <w:trPr>
          <w:trHeight w:val="729" w:hRule="atLeast"/>
        </w:trPr>
        <w:tc>
          <w:tcPr>
            <w:tcW w:w="1195" w:type="dxa"/>
          </w:tcPr>
          <w:p>
            <w:pPr>
              <w:pStyle w:val="TableParagraph"/>
              <w:spacing w:before="14"/>
              <w:ind w:left="52" w:right="47"/>
              <w:jc w:val="center"/>
              <w:rPr>
                <w:rFonts w:ascii="Times New Roman"/>
                <w:i/>
                <w:sz w:val="20"/>
              </w:rPr>
            </w:pPr>
            <w:r>
              <w:rPr>
                <w:rFonts w:ascii="Times New Roman"/>
                <w:i/>
                <w:sz w:val="20"/>
              </w:rPr>
              <w:t>T2CON[6]</w:t>
            </w:r>
          </w:p>
        </w:tc>
        <w:tc>
          <w:tcPr>
            <w:tcW w:w="1022" w:type="dxa"/>
          </w:tcPr>
          <w:p>
            <w:pPr>
              <w:pStyle w:val="TableParagraph"/>
              <w:spacing w:before="14"/>
              <w:ind w:left="128" w:right="114"/>
              <w:jc w:val="center"/>
              <w:rPr>
                <w:rFonts w:ascii="Times New Roman"/>
                <w:i/>
                <w:sz w:val="20"/>
              </w:rPr>
            </w:pPr>
            <w:r>
              <w:rPr>
                <w:rFonts w:ascii="Times New Roman"/>
                <w:i/>
                <w:sz w:val="20"/>
              </w:rPr>
              <w:t>I3FR</w:t>
            </w:r>
          </w:p>
        </w:tc>
        <w:tc>
          <w:tcPr>
            <w:tcW w:w="7142" w:type="dxa"/>
          </w:tcPr>
          <w:p>
            <w:pPr>
              <w:pStyle w:val="TableParagraph"/>
              <w:spacing w:before="18"/>
              <w:ind w:left="324" w:right="4886" w:hanging="255"/>
              <w:rPr>
                <w:sz w:val="20"/>
              </w:rPr>
            </w:pPr>
            <w:r>
              <w:rPr>
                <w:sz w:val="20"/>
              </w:rPr>
              <w:t>Polarity control for INT3: 0 = falling edge.</w:t>
            </w:r>
          </w:p>
          <w:p>
            <w:pPr>
              <w:pStyle w:val="TableParagraph"/>
              <w:spacing w:before="1"/>
              <w:ind w:left="324"/>
              <w:rPr>
                <w:sz w:val="20"/>
              </w:rPr>
            </w:pPr>
            <w:r>
              <w:rPr>
                <w:sz w:val="20"/>
              </w:rPr>
              <w:t>1 = rising edge.</w:t>
            </w:r>
          </w:p>
        </w:tc>
      </w:tr>
      <w:tr>
        <w:trPr>
          <w:trHeight w:val="729" w:hRule="atLeast"/>
        </w:trPr>
        <w:tc>
          <w:tcPr>
            <w:tcW w:w="1195" w:type="dxa"/>
          </w:tcPr>
          <w:p>
            <w:pPr>
              <w:pStyle w:val="TableParagraph"/>
              <w:spacing w:before="14"/>
              <w:ind w:left="52" w:right="47"/>
              <w:jc w:val="center"/>
              <w:rPr>
                <w:rFonts w:ascii="Times New Roman"/>
                <w:i/>
                <w:sz w:val="20"/>
              </w:rPr>
            </w:pPr>
            <w:r>
              <w:rPr>
                <w:rFonts w:ascii="Times New Roman"/>
                <w:i/>
                <w:sz w:val="20"/>
              </w:rPr>
              <w:t>T2CON[5]</w:t>
            </w:r>
          </w:p>
        </w:tc>
        <w:tc>
          <w:tcPr>
            <w:tcW w:w="1022" w:type="dxa"/>
          </w:tcPr>
          <w:p>
            <w:pPr>
              <w:pStyle w:val="TableParagraph"/>
              <w:spacing w:before="14"/>
              <w:ind w:left="128" w:right="114"/>
              <w:jc w:val="center"/>
              <w:rPr>
                <w:rFonts w:ascii="Times New Roman"/>
                <w:i/>
                <w:sz w:val="20"/>
              </w:rPr>
            </w:pPr>
            <w:r>
              <w:rPr>
                <w:rFonts w:ascii="Times New Roman"/>
                <w:i/>
                <w:sz w:val="20"/>
              </w:rPr>
              <w:t>I2FR</w:t>
            </w:r>
          </w:p>
        </w:tc>
        <w:tc>
          <w:tcPr>
            <w:tcW w:w="7142" w:type="dxa"/>
          </w:tcPr>
          <w:p>
            <w:pPr>
              <w:pStyle w:val="TableParagraph"/>
              <w:spacing w:before="18"/>
              <w:ind w:left="324" w:right="4886" w:hanging="255"/>
              <w:rPr>
                <w:sz w:val="20"/>
              </w:rPr>
            </w:pPr>
            <w:r>
              <w:rPr>
                <w:sz w:val="20"/>
              </w:rPr>
              <w:t>Polarity control for INT2: 0 = falling edge.</w:t>
            </w:r>
          </w:p>
          <w:p>
            <w:pPr>
              <w:pStyle w:val="TableParagraph"/>
              <w:spacing w:before="1"/>
              <w:ind w:left="329"/>
              <w:rPr>
                <w:sz w:val="20"/>
              </w:rPr>
            </w:pPr>
            <w:r>
              <w:rPr>
                <w:sz w:val="20"/>
              </w:rPr>
              <w:t>1 = rising edge.</w:t>
            </w:r>
          </w:p>
        </w:tc>
      </w:tr>
      <w:tr>
        <w:trPr>
          <w:trHeight w:val="285" w:hRule="atLeast"/>
        </w:trPr>
        <w:tc>
          <w:tcPr>
            <w:tcW w:w="1195" w:type="dxa"/>
          </w:tcPr>
          <w:p>
            <w:pPr>
              <w:pStyle w:val="TableParagraph"/>
              <w:spacing w:before="17"/>
              <w:ind w:left="52" w:right="47"/>
              <w:jc w:val="center"/>
              <w:rPr>
                <w:rFonts w:ascii="Times New Roman"/>
                <w:i/>
                <w:sz w:val="20"/>
              </w:rPr>
            </w:pPr>
            <w:r>
              <w:rPr>
                <w:rFonts w:ascii="Times New Roman"/>
                <w:i/>
                <w:sz w:val="20"/>
              </w:rPr>
              <w:t>T2CON[4:0]</w:t>
            </w:r>
          </w:p>
        </w:tc>
        <w:tc>
          <w:tcPr>
            <w:tcW w:w="1022" w:type="dxa"/>
          </w:tcPr>
          <w:p>
            <w:pPr>
              <w:pStyle w:val="TableParagraph"/>
              <w:spacing w:before="21"/>
              <w:ind w:left="10"/>
              <w:jc w:val="center"/>
              <w:rPr>
                <w:sz w:val="20"/>
              </w:rPr>
            </w:pPr>
            <w:r>
              <w:rPr>
                <w:w w:val="99"/>
                <w:sz w:val="20"/>
              </w:rPr>
              <w:t>–</w:t>
            </w:r>
          </w:p>
        </w:tc>
        <w:tc>
          <w:tcPr>
            <w:tcW w:w="7142" w:type="dxa"/>
          </w:tcPr>
          <w:p>
            <w:pPr>
              <w:pStyle w:val="TableParagraph"/>
              <w:spacing w:before="21"/>
              <w:ind w:left="70"/>
              <w:rPr>
                <w:sz w:val="20"/>
              </w:rPr>
            </w:pPr>
            <w:r>
              <w:rPr>
                <w:sz w:val="20"/>
              </w:rPr>
              <w:t>Not used.</w:t>
            </w:r>
          </w:p>
        </w:tc>
      </w:tr>
    </w:tbl>
    <w:p>
      <w:pPr>
        <w:pStyle w:val="BodyText"/>
        <w:spacing w:before="3"/>
        <w:rPr>
          <w:b/>
          <w:sz w:val="30"/>
        </w:rPr>
      </w:pPr>
    </w:p>
    <w:p>
      <w:pPr>
        <w:pStyle w:val="Heading1"/>
        <w:ind w:left="1312" w:right="1278"/>
      </w:pPr>
      <w:bookmarkStart w:name="_bookmark82" w:id="166"/>
      <w:bookmarkEnd w:id="166"/>
      <w:r>
        <w:rPr>
          <w:b w:val="0"/>
        </w:rPr>
      </w:r>
      <w:bookmarkStart w:name="_bookmark83" w:id="167"/>
      <w:bookmarkEnd w:id="167"/>
      <w:r>
        <w:rPr>
          <w:b w:val="0"/>
        </w:rPr>
      </w:r>
      <w:r>
        <w:rPr/>
        <w:t>Table 30: The </w:t>
      </w:r>
      <w:r>
        <w:rPr>
          <w:rFonts w:ascii="Times New Roman"/>
          <w:i/>
        </w:rPr>
        <w:t>IRCON </w:t>
      </w:r>
      <w:r>
        <w:rPr/>
        <w:t>Bit Functions (SFR</w:t>
      </w:r>
      <w:r>
        <w:rPr>
          <w:spacing w:val="-18"/>
        </w:rPr>
        <w:t> </w:t>
      </w:r>
      <w:r>
        <w:rPr/>
        <w:t>0xC0)</w:t>
      </w:r>
    </w:p>
    <w:p>
      <w:pPr>
        <w:pStyle w:val="BodyText"/>
        <w:spacing w:before="5"/>
        <w:rPr>
          <w:b/>
          <w:sz w:val="5"/>
        </w:rPr>
      </w:pPr>
    </w:p>
    <w:tbl>
      <w:tblPr>
        <w:tblW w:w="0" w:type="auto"/>
        <w:jc w:val="left"/>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5"/>
        <w:gridCol w:w="1022"/>
        <w:gridCol w:w="7142"/>
      </w:tblGrid>
      <w:tr>
        <w:trPr>
          <w:trHeight w:val="309" w:hRule="atLeast"/>
        </w:trPr>
        <w:tc>
          <w:tcPr>
            <w:tcW w:w="1195" w:type="dxa"/>
          </w:tcPr>
          <w:p>
            <w:pPr>
              <w:pStyle w:val="TableParagraph"/>
              <w:spacing w:before="35"/>
              <w:ind w:left="52" w:right="46"/>
              <w:jc w:val="center"/>
              <w:rPr>
                <w:b/>
                <w:sz w:val="20"/>
              </w:rPr>
            </w:pPr>
            <w:r>
              <w:rPr>
                <w:b/>
                <w:sz w:val="20"/>
              </w:rPr>
              <w:t>Bit</w:t>
            </w:r>
          </w:p>
        </w:tc>
        <w:tc>
          <w:tcPr>
            <w:tcW w:w="1022" w:type="dxa"/>
          </w:tcPr>
          <w:p>
            <w:pPr>
              <w:pStyle w:val="TableParagraph"/>
              <w:spacing w:before="35"/>
              <w:ind w:left="128" w:right="118"/>
              <w:jc w:val="center"/>
              <w:rPr>
                <w:b/>
                <w:sz w:val="20"/>
              </w:rPr>
            </w:pPr>
            <w:r>
              <w:rPr>
                <w:b/>
                <w:sz w:val="20"/>
              </w:rPr>
              <w:t>Symbol</w:t>
            </w:r>
          </w:p>
        </w:tc>
        <w:tc>
          <w:tcPr>
            <w:tcW w:w="7142" w:type="dxa"/>
          </w:tcPr>
          <w:p>
            <w:pPr>
              <w:pStyle w:val="TableParagraph"/>
              <w:spacing w:before="35"/>
              <w:ind w:left="3127" w:right="3118"/>
              <w:jc w:val="center"/>
              <w:rPr>
                <w:b/>
                <w:sz w:val="20"/>
              </w:rPr>
            </w:pPr>
            <w:r>
              <w:rPr>
                <w:b/>
                <w:sz w:val="20"/>
              </w:rPr>
              <w:t>Function</w:t>
            </w:r>
          </w:p>
        </w:tc>
      </w:tr>
      <w:tr>
        <w:trPr>
          <w:trHeight w:val="350" w:hRule="atLeast"/>
        </w:trPr>
        <w:tc>
          <w:tcPr>
            <w:tcW w:w="1195" w:type="dxa"/>
          </w:tcPr>
          <w:p>
            <w:pPr>
              <w:pStyle w:val="TableParagraph"/>
              <w:spacing w:before="14"/>
              <w:ind w:left="50" w:right="47"/>
              <w:jc w:val="center"/>
              <w:rPr>
                <w:rFonts w:ascii="Times New Roman"/>
                <w:i/>
                <w:sz w:val="20"/>
              </w:rPr>
            </w:pPr>
            <w:r>
              <w:rPr>
                <w:rFonts w:ascii="Times New Roman"/>
                <w:i/>
                <w:sz w:val="20"/>
              </w:rPr>
              <w:t>IRCON[7]</w:t>
            </w:r>
          </w:p>
        </w:tc>
        <w:tc>
          <w:tcPr>
            <w:tcW w:w="1022" w:type="dxa"/>
          </w:tcPr>
          <w:p>
            <w:pPr>
              <w:pStyle w:val="TableParagraph"/>
              <w:spacing w:line="227" w:lineRule="exact"/>
              <w:ind w:left="10"/>
              <w:jc w:val="center"/>
              <w:rPr>
                <w:sz w:val="20"/>
              </w:rPr>
            </w:pPr>
            <w:r>
              <w:rPr>
                <w:w w:val="99"/>
                <w:sz w:val="20"/>
              </w:rPr>
              <w:t>–</w:t>
            </w:r>
          </w:p>
        </w:tc>
        <w:tc>
          <w:tcPr>
            <w:tcW w:w="7142" w:type="dxa"/>
          </w:tcPr>
          <w:p>
            <w:pPr>
              <w:pStyle w:val="TableParagraph"/>
              <w:spacing w:before="18"/>
              <w:ind w:left="70"/>
              <w:rPr>
                <w:sz w:val="20"/>
              </w:rPr>
            </w:pPr>
            <w:r>
              <w:rPr>
                <w:sz w:val="20"/>
              </w:rPr>
              <w:t>Not used.</w:t>
            </w:r>
          </w:p>
        </w:tc>
      </w:tr>
      <w:tr>
        <w:trPr>
          <w:trHeight w:val="350" w:hRule="atLeast"/>
        </w:trPr>
        <w:tc>
          <w:tcPr>
            <w:tcW w:w="1195" w:type="dxa"/>
          </w:tcPr>
          <w:p>
            <w:pPr>
              <w:pStyle w:val="TableParagraph"/>
              <w:spacing w:before="14"/>
              <w:ind w:left="50" w:right="47"/>
              <w:jc w:val="center"/>
              <w:rPr>
                <w:rFonts w:ascii="Times New Roman"/>
                <w:i/>
                <w:sz w:val="20"/>
              </w:rPr>
            </w:pPr>
            <w:r>
              <w:rPr>
                <w:rFonts w:ascii="Times New Roman"/>
                <w:i/>
                <w:sz w:val="20"/>
              </w:rPr>
              <w:t>IRCON[6]</w:t>
            </w:r>
          </w:p>
        </w:tc>
        <w:tc>
          <w:tcPr>
            <w:tcW w:w="1022" w:type="dxa"/>
          </w:tcPr>
          <w:p>
            <w:pPr>
              <w:pStyle w:val="TableParagraph"/>
              <w:spacing w:line="227" w:lineRule="exact"/>
              <w:ind w:left="10"/>
              <w:jc w:val="center"/>
              <w:rPr>
                <w:sz w:val="20"/>
              </w:rPr>
            </w:pPr>
            <w:r>
              <w:rPr>
                <w:w w:val="99"/>
                <w:sz w:val="20"/>
              </w:rPr>
              <w:t>–</w:t>
            </w:r>
          </w:p>
        </w:tc>
        <w:tc>
          <w:tcPr>
            <w:tcW w:w="7142" w:type="dxa"/>
          </w:tcPr>
          <w:p>
            <w:pPr>
              <w:pStyle w:val="TableParagraph"/>
              <w:spacing w:before="18"/>
              <w:ind w:left="70"/>
              <w:rPr>
                <w:sz w:val="20"/>
              </w:rPr>
            </w:pPr>
            <w:r>
              <w:rPr>
                <w:sz w:val="20"/>
              </w:rPr>
              <w:t>Not used.</w:t>
            </w:r>
          </w:p>
        </w:tc>
      </w:tr>
      <w:tr>
        <w:trPr>
          <w:trHeight w:val="282" w:hRule="atLeast"/>
        </w:trPr>
        <w:tc>
          <w:tcPr>
            <w:tcW w:w="1195" w:type="dxa"/>
          </w:tcPr>
          <w:p>
            <w:pPr>
              <w:pStyle w:val="TableParagraph"/>
              <w:spacing w:before="14"/>
              <w:ind w:left="50" w:right="47"/>
              <w:jc w:val="center"/>
              <w:rPr>
                <w:rFonts w:ascii="Times New Roman"/>
                <w:i/>
                <w:sz w:val="20"/>
              </w:rPr>
            </w:pPr>
            <w:r>
              <w:rPr>
                <w:rFonts w:ascii="Times New Roman"/>
                <w:i/>
                <w:sz w:val="20"/>
              </w:rPr>
              <w:t>IRCON[5]</w:t>
            </w:r>
          </w:p>
        </w:tc>
        <w:tc>
          <w:tcPr>
            <w:tcW w:w="1022" w:type="dxa"/>
          </w:tcPr>
          <w:p>
            <w:pPr>
              <w:pStyle w:val="TableParagraph"/>
              <w:spacing w:before="14"/>
              <w:ind w:left="128" w:right="115"/>
              <w:jc w:val="center"/>
              <w:rPr>
                <w:rFonts w:ascii="Times New Roman"/>
                <w:i/>
                <w:sz w:val="20"/>
              </w:rPr>
            </w:pPr>
            <w:r>
              <w:rPr>
                <w:rFonts w:ascii="Times New Roman"/>
                <w:i/>
                <w:sz w:val="20"/>
              </w:rPr>
              <w:t>IEX6</w:t>
            </w:r>
          </w:p>
        </w:tc>
        <w:tc>
          <w:tcPr>
            <w:tcW w:w="7142" w:type="dxa"/>
          </w:tcPr>
          <w:p>
            <w:pPr>
              <w:pStyle w:val="TableParagraph"/>
              <w:spacing w:before="18"/>
              <w:ind w:left="70"/>
              <w:rPr>
                <w:sz w:val="20"/>
              </w:rPr>
            </w:pPr>
            <w:r>
              <w:rPr>
                <w:sz w:val="20"/>
              </w:rPr>
              <w:t>1 = External interrupt 6 flag.</w:t>
            </w:r>
          </w:p>
        </w:tc>
      </w:tr>
      <w:tr>
        <w:trPr>
          <w:trHeight w:val="282" w:hRule="atLeast"/>
        </w:trPr>
        <w:tc>
          <w:tcPr>
            <w:tcW w:w="1195" w:type="dxa"/>
          </w:tcPr>
          <w:p>
            <w:pPr>
              <w:pStyle w:val="TableParagraph"/>
              <w:spacing w:before="14"/>
              <w:ind w:left="49" w:right="47"/>
              <w:jc w:val="center"/>
              <w:rPr>
                <w:rFonts w:ascii="Times New Roman"/>
                <w:i/>
                <w:sz w:val="20"/>
              </w:rPr>
            </w:pPr>
            <w:r>
              <w:rPr>
                <w:rFonts w:ascii="Times New Roman"/>
                <w:i/>
                <w:sz w:val="20"/>
              </w:rPr>
              <w:t>IRCON[4]</w:t>
            </w:r>
          </w:p>
        </w:tc>
        <w:tc>
          <w:tcPr>
            <w:tcW w:w="1022" w:type="dxa"/>
          </w:tcPr>
          <w:p>
            <w:pPr>
              <w:pStyle w:val="TableParagraph"/>
              <w:spacing w:before="14"/>
              <w:ind w:left="128" w:right="115"/>
              <w:jc w:val="center"/>
              <w:rPr>
                <w:rFonts w:ascii="Times New Roman"/>
                <w:i/>
                <w:sz w:val="20"/>
              </w:rPr>
            </w:pPr>
            <w:r>
              <w:rPr>
                <w:rFonts w:ascii="Times New Roman"/>
                <w:i/>
                <w:sz w:val="20"/>
              </w:rPr>
              <w:t>IEX5</w:t>
            </w:r>
          </w:p>
        </w:tc>
        <w:tc>
          <w:tcPr>
            <w:tcW w:w="7142" w:type="dxa"/>
          </w:tcPr>
          <w:p>
            <w:pPr>
              <w:pStyle w:val="TableParagraph"/>
              <w:spacing w:before="18"/>
              <w:ind w:left="70"/>
              <w:rPr>
                <w:sz w:val="20"/>
              </w:rPr>
            </w:pPr>
            <w:r>
              <w:rPr>
                <w:sz w:val="20"/>
              </w:rPr>
              <w:t>1 = External interrupt 5 flag.</w:t>
            </w:r>
          </w:p>
        </w:tc>
      </w:tr>
      <w:tr>
        <w:trPr>
          <w:trHeight w:val="282" w:hRule="atLeast"/>
        </w:trPr>
        <w:tc>
          <w:tcPr>
            <w:tcW w:w="1195" w:type="dxa"/>
          </w:tcPr>
          <w:p>
            <w:pPr>
              <w:pStyle w:val="TableParagraph"/>
              <w:spacing w:before="14"/>
              <w:ind w:left="50" w:right="47"/>
              <w:jc w:val="center"/>
              <w:rPr>
                <w:rFonts w:ascii="Times New Roman"/>
                <w:i/>
                <w:sz w:val="20"/>
              </w:rPr>
            </w:pPr>
            <w:r>
              <w:rPr>
                <w:rFonts w:ascii="Times New Roman"/>
                <w:i/>
                <w:sz w:val="20"/>
              </w:rPr>
              <w:t>IRCON[3]</w:t>
            </w:r>
          </w:p>
        </w:tc>
        <w:tc>
          <w:tcPr>
            <w:tcW w:w="1022" w:type="dxa"/>
          </w:tcPr>
          <w:p>
            <w:pPr>
              <w:pStyle w:val="TableParagraph"/>
              <w:spacing w:before="14"/>
              <w:ind w:left="128" w:right="115"/>
              <w:jc w:val="center"/>
              <w:rPr>
                <w:rFonts w:ascii="Times New Roman"/>
                <w:i/>
                <w:sz w:val="20"/>
              </w:rPr>
            </w:pPr>
            <w:r>
              <w:rPr>
                <w:rFonts w:ascii="Times New Roman"/>
                <w:i/>
                <w:sz w:val="20"/>
              </w:rPr>
              <w:t>IEX4</w:t>
            </w:r>
          </w:p>
        </w:tc>
        <w:tc>
          <w:tcPr>
            <w:tcW w:w="7142" w:type="dxa"/>
          </w:tcPr>
          <w:p>
            <w:pPr>
              <w:pStyle w:val="TableParagraph"/>
              <w:spacing w:before="18"/>
              <w:ind w:left="70"/>
              <w:rPr>
                <w:sz w:val="20"/>
              </w:rPr>
            </w:pPr>
            <w:r>
              <w:rPr>
                <w:sz w:val="20"/>
              </w:rPr>
              <w:t>1 = External interrupt 4 flag.</w:t>
            </w:r>
          </w:p>
        </w:tc>
      </w:tr>
      <w:tr>
        <w:trPr>
          <w:trHeight w:val="282" w:hRule="atLeast"/>
        </w:trPr>
        <w:tc>
          <w:tcPr>
            <w:tcW w:w="1195" w:type="dxa"/>
          </w:tcPr>
          <w:p>
            <w:pPr>
              <w:pStyle w:val="TableParagraph"/>
              <w:spacing w:before="14"/>
              <w:ind w:left="50" w:right="47"/>
              <w:jc w:val="center"/>
              <w:rPr>
                <w:rFonts w:ascii="Times New Roman"/>
                <w:i/>
                <w:sz w:val="20"/>
              </w:rPr>
            </w:pPr>
            <w:r>
              <w:rPr>
                <w:rFonts w:ascii="Times New Roman"/>
                <w:i/>
                <w:sz w:val="20"/>
              </w:rPr>
              <w:t>IRCON[2]</w:t>
            </w:r>
          </w:p>
        </w:tc>
        <w:tc>
          <w:tcPr>
            <w:tcW w:w="1022" w:type="dxa"/>
          </w:tcPr>
          <w:p>
            <w:pPr>
              <w:pStyle w:val="TableParagraph"/>
              <w:spacing w:before="14"/>
              <w:ind w:left="128" w:right="115"/>
              <w:jc w:val="center"/>
              <w:rPr>
                <w:rFonts w:ascii="Times New Roman"/>
                <w:i/>
                <w:sz w:val="20"/>
              </w:rPr>
            </w:pPr>
            <w:r>
              <w:rPr>
                <w:rFonts w:ascii="Times New Roman"/>
                <w:i/>
                <w:sz w:val="20"/>
              </w:rPr>
              <w:t>IEX3</w:t>
            </w:r>
          </w:p>
        </w:tc>
        <w:tc>
          <w:tcPr>
            <w:tcW w:w="7142" w:type="dxa"/>
          </w:tcPr>
          <w:p>
            <w:pPr>
              <w:pStyle w:val="TableParagraph"/>
              <w:spacing w:before="18"/>
              <w:ind w:left="70"/>
              <w:rPr>
                <w:sz w:val="20"/>
              </w:rPr>
            </w:pPr>
            <w:r>
              <w:rPr>
                <w:sz w:val="20"/>
              </w:rPr>
              <w:t>1 = External interrupt 3 flag.</w:t>
            </w:r>
          </w:p>
        </w:tc>
      </w:tr>
      <w:tr>
        <w:trPr>
          <w:trHeight w:val="282" w:hRule="atLeast"/>
        </w:trPr>
        <w:tc>
          <w:tcPr>
            <w:tcW w:w="1195" w:type="dxa"/>
          </w:tcPr>
          <w:p>
            <w:pPr>
              <w:pStyle w:val="TableParagraph"/>
              <w:spacing w:before="17"/>
              <w:ind w:left="50" w:right="47"/>
              <w:jc w:val="center"/>
              <w:rPr>
                <w:rFonts w:ascii="Times New Roman"/>
                <w:i/>
                <w:sz w:val="20"/>
              </w:rPr>
            </w:pPr>
            <w:r>
              <w:rPr>
                <w:rFonts w:ascii="Times New Roman"/>
                <w:i/>
                <w:sz w:val="20"/>
              </w:rPr>
              <w:t>IRCON[1]</w:t>
            </w:r>
          </w:p>
        </w:tc>
        <w:tc>
          <w:tcPr>
            <w:tcW w:w="1022" w:type="dxa"/>
          </w:tcPr>
          <w:p>
            <w:pPr>
              <w:pStyle w:val="TableParagraph"/>
              <w:spacing w:before="17"/>
              <w:ind w:left="128" w:right="115"/>
              <w:jc w:val="center"/>
              <w:rPr>
                <w:rFonts w:ascii="Times New Roman"/>
                <w:i/>
                <w:sz w:val="20"/>
              </w:rPr>
            </w:pPr>
            <w:r>
              <w:rPr>
                <w:rFonts w:ascii="Times New Roman"/>
                <w:i/>
                <w:sz w:val="20"/>
              </w:rPr>
              <w:t>IEX2</w:t>
            </w:r>
          </w:p>
        </w:tc>
        <w:tc>
          <w:tcPr>
            <w:tcW w:w="7142" w:type="dxa"/>
          </w:tcPr>
          <w:p>
            <w:pPr>
              <w:pStyle w:val="TableParagraph"/>
              <w:spacing w:before="21"/>
              <w:ind w:left="70"/>
              <w:rPr>
                <w:sz w:val="20"/>
              </w:rPr>
            </w:pPr>
            <w:r>
              <w:rPr>
                <w:sz w:val="20"/>
              </w:rPr>
              <w:t>1 = External interrupt 2 flag.</w:t>
            </w:r>
          </w:p>
        </w:tc>
      </w:tr>
      <w:tr>
        <w:trPr>
          <w:trHeight w:val="285" w:hRule="atLeast"/>
        </w:trPr>
        <w:tc>
          <w:tcPr>
            <w:tcW w:w="1195" w:type="dxa"/>
          </w:tcPr>
          <w:p>
            <w:pPr>
              <w:pStyle w:val="TableParagraph"/>
              <w:spacing w:before="17"/>
              <w:ind w:left="50" w:right="47"/>
              <w:jc w:val="center"/>
              <w:rPr>
                <w:rFonts w:ascii="Times New Roman"/>
                <w:i/>
                <w:sz w:val="20"/>
              </w:rPr>
            </w:pPr>
            <w:r>
              <w:rPr>
                <w:rFonts w:ascii="Times New Roman"/>
                <w:i/>
                <w:sz w:val="20"/>
              </w:rPr>
              <w:t>IRCON[0]</w:t>
            </w:r>
          </w:p>
        </w:tc>
        <w:tc>
          <w:tcPr>
            <w:tcW w:w="1022" w:type="dxa"/>
          </w:tcPr>
          <w:p>
            <w:pPr>
              <w:pStyle w:val="TableParagraph"/>
              <w:spacing w:before="21"/>
              <w:ind w:left="10"/>
              <w:jc w:val="center"/>
              <w:rPr>
                <w:sz w:val="20"/>
              </w:rPr>
            </w:pPr>
            <w:r>
              <w:rPr>
                <w:w w:val="99"/>
                <w:sz w:val="20"/>
              </w:rPr>
              <w:t>–</w:t>
            </w:r>
          </w:p>
        </w:tc>
        <w:tc>
          <w:tcPr>
            <w:tcW w:w="7142" w:type="dxa"/>
          </w:tcPr>
          <w:p>
            <w:pPr>
              <w:pStyle w:val="TableParagraph"/>
              <w:spacing w:before="21"/>
              <w:ind w:left="70"/>
              <w:rPr>
                <w:sz w:val="20"/>
              </w:rPr>
            </w:pPr>
            <w:r>
              <w:rPr>
                <w:sz w:val="20"/>
              </w:rPr>
              <w:t>Not used.</w:t>
            </w:r>
          </w:p>
        </w:tc>
      </w:tr>
    </w:tbl>
    <w:p>
      <w:pPr>
        <w:pStyle w:val="BodyText"/>
        <w:spacing w:before="7"/>
        <w:rPr>
          <w:b/>
          <w:sz w:val="19"/>
        </w:rPr>
      </w:pPr>
    </w:p>
    <w:p>
      <w:pPr>
        <w:pStyle w:val="BodyText"/>
        <w:ind w:left="1339" w:right="675"/>
      </w:pPr>
      <w:r>
        <w:rPr/>
        <w:drawing>
          <wp:anchor distT="0" distB="0" distL="0" distR="0" allowOverlap="1" layoutInCell="1" locked="0" behindDoc="0" simplePos="0" relativeHeight="15765504">
            <wp:simplePos x="0" y="0"/>
            <wp:positionH relativeFrom="page">
              <wp:posOffset>970964</wp:posOffset>
            </wp:positionH>
            <wp:positionV relativeFrom="paragraph">
              <wp:posOffset>14042</wp:posOffset>
            </wp:positionV>
            <wp:extent cx="194895" cy="314323"/>
            <wp:effectExtent l="0" t="0" r="0" b="0"/>
            <wp:wrapNone/>
            <wp:docPr id="33" name="image64.png" descr="checkmark_-bottomheavy-60-blue"/>
            <wp:cNvGraphicFramePr>
              <a:graphicFrameLocks noChangeAspect="1"/>
            </wp:cNvGraphicFramePr>
            <a:graphic>
              <a:graphicData uri="http://schemas.openxmlformats.org/drawingml/2006/picture">
                <pic:pic>
                  <pic:nvPicPr>
                    <pic:cNvPr id="34" name="image64.png"/>
                    <pic:cNvPicPr/>
                  </pic:nvPicPr>
                  <pic:blipFill>
                    <a:blip r:embed="rId73" cstate="print"/>
                    <a:stretch>
                      <a:fillRect/>
                    </a:stretch>
                  </pic:blipFill>
                  <pic:spPr>
                    <a:xfrm>
                      <a:off x="0" y="0"/>
                      <a:ext cx="194895" cy="314323"/>
                    </a:xfrm>
                    <a:prstGeom prst="rect">
                      <a:avLst/>
                    </a:prstGeom>
                  </pic:spPr>
                </pic:pic>
              </a:graphicData>
            </a:graphic>
          </wp:anchor>
        </w:drawing>
      </w:r>
      <w:r>
        <w:rPr>
          <w:rFonts w:ascii="Times New Roman" w:hAnsi="Times New Roman"/>
          <w:i/>
        </w:rPr>
        <w:t>TF0 </w:t>
      </w:r>
      <w:r>
        <w:rPr/>
        <w:t>and </w:t>
      </w:r>
      <w:r>
        <w:rPr>
          <w:rFonts w:ascii="Times New Roman" w:hAnsi="Times New Roman"/>
          <w:i/>
        </w:rPr>
        <w:t>TF1 </w:t>
      </w:r>
      <w:r>
        <w:rPr/>
        <w:t>(Timer 0 and Timer 1 overflow flags) is automatically cleared by hardware when the service routine is called (Signals T0ACK and T1ACK – port ISR – active high when the service routine is called). IE0, IE1, and IEX2-IEX6 are cleared automatically when hardware causes execution to vector to the interrupt service routine.</w:t>
      </w:r>
    </w:p>
    <w:p>
      <w:pPr>
        <w:spacing w:after="0"/>
        <w:sectPr>
          <w:pgSz w:w="12240" w:h="15840"/>
          <w:pgMar w:header="727" w:footer="819" w:top="960" w:bottom="1000" w:left="820" w:right="860"/>
        </w:sectPr>
      </w:pPr>
    </w:p>
    <w:p>
      <w:pPr>
        <w:pStyle w:val="BodyText"/>
        <w:spacing w:before="8"/>
        <w:rPr>
          <w:sz w:val="16"/>
        </w:rPr>
      </w:pPr>
    </w:p>
    <w:p>
      <w:pPr>
        <w:spacing w:before="93"/>
        <w:ind w:left="620" w:right="0" w:firstLine="0"/>
        <w:jc w:val="left"/>
        <w:rPr>
          <w:b/>
          <w:sz w:val="20"/>
        </w:rPr>
      </w:pPr>
      <w:bookmarkStart w:name="External MPU Interrupts" w:id="168"/>
      <w:bookmarkEnd w:id="168"/>
      <w:r>
        <w:rPr/>
      </w:r>
      <w:r>
        <w:rPr>
          <w:b/>
          <w:sz w:val="20"/>
        </w:rPr>
        <w:t>External MPU Interrupts</w:t>
      </w:r>
    </w:p>
    <w:p>
      <w:pPr>
        <w:pStyle w:val="BodyText"/>
        <w:spacing w:before="79"/>
        <w:ind w:left="620" w:right="559"/>
      </w:pPr>
      <w:r>
        <w:rPr/>
        <w:t>The seven external interrupts are the interrupts external to the 80515 core, i.e. signals that originate in other parts of the 71M6543, for example the CE, DIO, RTC, or EEPROM interface.</w:t>
      </w:r>
    </w:p>
    <w:p>
      <w:pPr>
        <w:pStyle w:val="BodyText"/>
        <w:spacing w:before="121"/>
        <w:ind w:left="619" w:right="856"/>
      </w:pPr>
      <w:r>
        <w:rPr>
          <w:spacing w:val="4"/>
        </w:rPr>
        <w:t>The </w:t>
      </w:r>
      <w:r>
        <w:rPr>
          <w:spacing w:val="3"/>
        </w:rPr>
        <w:t>external interrupts </w:t>
      </w:r>
      <w:r>
        <w:rPr/>
        <w:t>are </w:t>
      </w:r>
      <w:r>
        <w:rPr>
          <w:spacing w:val="3"/>
        </w:rPr>
        <w:t>connected </w:t>
      </w:r>
      <w:r>
        <w:rPr/>
        <w:t>as </w:t>
      </w:r>
      <w:r>
        <w:rPr>
          <w:spacing w:val="3"/>
        </w:rPr>
        <w:t>shown </w:t>
      </w:r>
      <w:r>
        <w:rPr/>
        <w:t>in </w:t>
      </w:r>
      <w:hyperlink w:history="true" w:anchor="_bookmark84">
        <w:r>
          <w:rPr>
            <w:color w:val="0000FF"/>
            <w:spacing w:val="3"/>
          </w:rPr>
          <w:t>Table </w:t>
        </w:r>
        <w:r>
          <w:rPr>
            <w:color w:val="0000FF"/>
            <w:spacing w:val="2"/>
          </w:rPr>
          <w:t>31</w:t>
        </w:r>
        <w:r>
          <w:rPr>
            <w:spacing w:val="2"/>
          </w:rPr>
          <w:t>.</w:t>
        </w:r>
      </w:hyperlink>
      <w:r>
        <w:rPr>
          <w:spacing w:val="2"/>
        </w:rPr>
        <w:t> </w:t>
      </w:r>
      <w:r>
        <w:rPr>
          <w:spacing w:val="4"/>
        </w:rPr>
        <w:t>The </w:t>
      </w:r>
      <w:r>
        <w:rPr>
          <w:spacing w:val="3"/>
        </w:rPr>
        <w:t>polarity </w:t>
      </w:r>
      <w:r>
        <w:rPr/>
        <w:t>of </w:t>
      </w:r>
      <w:r>
        <w:rPr>
          <w:spacing w:val="3"/>
        </w:rPr>
        <w:t>interrupts </w:t>
      </w:r>
      <w:r>
        <w:rPr/>
        <w:t>2 </w:t>
      </w:r>
      <w:r>
        <w:rPr>
          <w:spacing w:val="2"/>
        </w:rPr>
        <w:t>and </w:t>
      </w:r>
      <w:r>
        <w:rPr/>
        <w:t>3 is programmable in the MPU via the </w:t>
      </w:r>
      <w:r>
        <w:rPr>
          <w:rFonts w:ascii="Times New Roman"/>
          <w:i/>
          <w:spacing w:val="2"/>
        </w:rPr>
        <w:t>I3FR </w:t>
      </w:r>
      <w:r>
        <w:rPr/>
        <w:t>and </w:t>
      </w:r>
      <w:r>
        <w:rPr>
          <w:rFonts w:ascii="Times New Roman"/>
          <w:i/>
          <w:spacing w:val="2"/>
        </w:rPr>
        <w:t>I2FR </w:t>
      </w:r>
      <w:r>
        <w:rPr/>
        <w:t>bits in </w:t>
      </w:r>
      <w:r>
        <w:rPr>
          <w:rFonts w:ascii="Times New Roman"/>
          <w:i/>
        </w:rPr>
        <w:t>T2CON (SFR 0xC8)</w:t>
      </w:r>
      <w:r>
        <w:rPr/>
        <w:t>. Interrupts 2 and 3 should be programmed for falling sensitivity </w:t>
      </w:r>
      <w:r>
        <w:rPr>
          <w:spacing w:val="2"/>
        </w:rPr>
        <w:t>(</w:t>
      </w:r>
      <w:r>
        <w:rPr>
          <w:rFonts w:ascii="Times New Roman"/>
          <w:i/>
          <w:spacing w:val="2"/>
        </w:rPr>
        <w:t>I3FR </w:t>
      </w:r>
      <w:r>
        <w:rPr/>
        <w:t>= </w:t>
      </w:r>
      <w:r>
        <w:rPr>
          <w:rFonts w:ascii="Times New Roman"/>
          <w:i/>
          <w:spacing w:val="2"/>
        </w:rPr>
        <w:t>I2FR </w:t>
      </w:r>
      <w:r>
        <w:rPr/>
        <w:t>= 0). The generic 8051 MPU literature states that interrupts 4 through 6 are </w:t>
      </w:r>
      <w:r>
        <w:rPr>
          <w:spacing w:val="2"/>
        </w:rPr>
        <w:t>defined </w:t>
      </w:r>
      <w:r>
        <w:rPr/>
        <w:t>as </w:t>
      </w:r>
      <w:r>
        <w:rPr>
          <w:spacing w:val="2"/>
        </w:rPr>
        <w:t>rising-edge sensitive. </w:t>
      </w:r>
      <w:r>
        <w:rPr/>
        <w:t>Thus, the </w:t>
      </w:r>
      <w:r>
        <w:rPr>
          <w:spacing w:val="2"/>
        </w:rPr>
        <w:t>hardware </w:t>
      </w:r>
      <w:r>
        <w:rPr/>
        <w:t>signals </w:t>
      </w:r>
      <w:r>
        <w:rPr>
          <w:spacing w:val="2"/>
        </w:rPr>
        <w:t>attached </w:t>
      </w:r>
      <w:r>
        <w:rPr/>
        <w:t>to </w:t>
      </w:r>
      <w:r>
        <w:rPr>
          <w:spacing w:val="2"/>
        </w:rPr>
        <w:t>interrupts </w:t>
      </w:r>
      <w:r>
        <w:rPr/>
        <w:t>5 and 6 are inverted to achieve the edge polarity shown in </w:t>
      </w:r>
      <w:hyperlink w:history="true" w:anchor="_bookmark84">
        <w:r>
          <w:rPr>
            <w:color w:val="0000FF"/>
          </w:rPr>
          <w:t>Table</w:t>
        </w:r>
        <w:r>
          <w:rPr>
            <w:color w:val="0000FF"/>
            <w:spacing w:val="21"/>
          </w:rPr>
          <w:t> </w:t>
        </w:r>
        <w:r>
          <w:rPr>
            <w:color w:val="0000FF"/>
          </w:rPr>
          <w:t>31</w:t>
        </w:r>
        <w:r>
          <w:rPr/>
          <w:t>.</w:t>
        </w:r>
      </w:hyperlink>
    </w:p>
    <w:p>
      <w:pPr>
        <w:pStyle w:val="Heading1"/>
        <w:spacing w:before="119"/>
        <w:ind w:left="1314" w:right="1278"/>
      </w:pPr>
      <w:bookmarkStart w:name="_bookmark84" w:id="169"/>
      <w:bookmarkEnd w:id="169"/>
      <w:r>
        <w:rPr>
          <w:b w:val="0"/>
        </w:rPr>
      </w:r>
      <w:r>
        <w:rPr/>
        <w:t>Table 31: External MPU Interrupts</w:t>
      </w:r>
    </w:p>
    <w:p>
      <w:pPr>
        <w:pStyle w:val="BodyText"/>
        <w:spacing w:before="5"/>
        <w:rPr>
          <w:b/>
          <w:sz w:val="5"/>
        </w:rPr>
      </w:pPr>
    </w:p>
    <w:tbl>
      <w:tblPr>
        <w:tblW w:w="0" w:type="auto"/>
        <w:jc w:val="left"/>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9"/>
        <w:gridCol w:w="5441"/>
        <w:gridCol w:w="1440"/>
        <w:gridCol w:w="1440"/>
      </w:tblGrid>
      <w:tr>
        <w:trPr>
          <w:trHeight w:val="542" w:hRule="atLeast"/>
        </w:trPr>
        <w:tc>
          <w:tcPr>
            <w:tcW w:w="1039" w:type="dxa"/>
          </w:tcPr>
          <w:p>
            <w:pPr>
              <w:pStyle w:val="TableParagraph"/>
              <w:spacing w:before="38"/>
              <w:ind w:left="107" w:right="96" w:firstLine="16"/>
              <w:rPr>
                <w:b/>
                <w:sz w:val="20"/>
              </w:rPr>
            </w:pPr>
            <w:r>
              <w:rPr>
                <w:b/>
                <w:sz w:val="20"/>
              </w:rPr>
              <w:t>External </w:t>
            </w:r>
            <w:r>
              <w:rPr>
                <w:b/>
                <w:w w:val="95"/>
                <w:sz w:val="20"/>
              </w:rPr>
              <w:t>Interrupt</w:t>
            </w:r>
          </w:p>
        </w:tc>
        <w:tc>
          <w:tcPr>
            <w:tcW w:w="5441" w:type="dxa"/>
          </w:tcPr>
          <w:p>
            <w:pPr>
              <w:pStyle w:val="TableParagraph"/>
              <w:spacing w:before="151"/>
              <w:ind w:left="2148" w:right="2143"/>
              <w:jc w:val="center"/>
              <w:rPr>
                <w:b/>
                <w:sz w:val="20"/>
              </w:rPr>
            </w:pPr>
            <w:r>
              <w:rPr>
                <w:b/>
                <w:sz w:val="20"/>
              </w:rPr>
              <w:t>Connection</w:t>
            </w:r>
          </w:p>
        </w:tc>
        <w:tc>
          <w:tcPr>
            <w:tcW w:w="1440" w:type="dxa"/>
          </w:tcPr>
          <w:p>
            <w:pPr>
              <w:pStyle w:val="TableParagraph"/>
              <w:spacing w:before="151"/>
              <w:ind w:left="191" w:right="182"/>
              <w:jc w:val="center"/>
              <w:rPr>
                <w:b/>
                <w:sz w:val="20"/>
              </w:rPr>
            </w:pPr>
            <w:r>
              <w:rPr>
                <w:b/>
                <w:sz w:val="20"/>
              </w:rPr>
              <w:t>Polarity</w:t>
            </w:r>
          </w:p>
        </w:tc>
        <w:tc>
          <w:tcPr>
            <w:tcW w:w="1440" w:type="dxa"/>
          </w:tcPr>
          <w:p>
            <w:pPr>
              <w:pStyle w:val="TableParagraph"/>
              <w:spacing w:before="151"/>
              <w:ind w:left="191" w:right="187"/>
              <w:jc w:val="center"/>
              <w:rPr>
                <w:b/>
                <w:sz w:val="20"/>
              </w:rPr>
            </w:pPr>
            <w:r>
              <w:rPr>
                <w:b/>
                <w:sz w:val="20"/>
              </w:rPr>
              <w:t>Flag Reset</w:t>
            </w:r>
          </w:p>
        </w:tc>
      </w:tr>
      <w:tr>
        <w:trPr>
          <w:trHeight w:val="268" w:hRule="atLeast"/>
        </w:trPr>
        <w:tc>
          <w:tcPr>
            <w:tcW w:w="1039" w:type="dxa"/>
          </w:tcPr>
          <w:p>
            <w:pPr>
              <w:pStyle w:val="TableParagraph"/>
              <w:spacing w:before="18"/>
              <w:ind w:left="7"/>
              <w:jc w:val="center"/>
              <w:rPr>
                <w:sz w:val="20"/>
              </w:rPr>
            </w:pPr>
            <w:r>
              <w:rPr>
                <w:w w:val="99"/>
                <w:sz w:val="20"/>
              </w:rPr>
              <w:t>0</w:t>
            </w:r>
          </w:p>
        </w:tc>
        <w:tc>
          <w:tcPr>
            <w:tcW w:w="5441" w:type="dxa"/>
          </w:tcPr>
          <w:p>
            <w:pPr>
              <w:pStyle w:val="TableParagraph"/>
              <w:spacing w:before="18"/>
              <w:ind w:left="108"/>
              <w:rPr>
                <w:sz w:val="20"/>
              </w:rPr>
            </w:pPr>
            <w:r>
              <w:rPr>
                <w:sz w:val="20"/>
              </w:rPr>
              <w:t>Digital I/O (IE0)</w:t>
            </w:r>
          </w:p>
        </w:tc>
        <w:tc>
          <w:tcPr>
            <w:tcW w:w="1440" w:type="dxa"/>
          </w:tcPr>
          <w:p>
            <w:pPr>
              <w:pStyle w:val="TableParagraph"/>
              <w:spacing w:before="18"/>
              <w:ind w:left="191" w:right="185"/>
              <w:jc w:val="center"/>
              <w:rPr>
                <w:sz w:val="20"/>
              </w:rPr>
            </w:pPr>
            <w:r>
              <w:rPr>
                <w:sz w:val="20"/>
              </w:rPr>
              <w:t>see</w:t>
            </w:r>
            <w:r>
              <w:rPr>
                <w:spacing w:val="51"/>
                <w:sz w:val="20"/>
              </w:rPr>
              <w:t> </w:t>
            </w:r>
            <w:hyperlink w:history="true" w:anchor="_bookmark117">
              <w:r>
                <w:rPr>
                  <w:color w:val="0000FF"/>
                  <w:sz w:val="20"/>
                </w:rPr>
                <w:t>2.5.10</w:t>
              </w:r>
            </w:hyperlink>
          </w:p>
        </w:tc>
        <w:tc>
          <w:tcPr>
            <w:tcW w:w="1440" w:type="dxa"/>
          </w:tcPr>
          <w:p>
            <w:pPr>
              <w:pStyle w:val="TableParagraph"/>
              <w:spacing w:before="18"/>
              <w:ind w:left="191" w:right="186"/>
              <w:jc w:val="center"/>
              <w:rPr>
                <w:sz w:val="20"/>
              </w:rPr>
            </w:pPr>
            <w:r>
              <w:rPr>
                <w:sz w:val="20"/>
              </w:rPr>
              <w:t>automatic</w:t>
            </w:r>
          </w:p>
        </w:tc>
      </w:tr>
      <w:tr>
        <w:trPr>
          <w:trHeight w:val="270" w:hRule="atLeast"/>
        </w:trPr>
        <w:tc>
          <w:tcPr>
            <w:tcW w:w="1039" w:type="dxa"/>
          </w:tcPr>
          <w:p>
            <w:pPr>
              <w:pStyle w:val="TableParagraph"/>
              <w:spacing w:before="18"/>
              <w:ind w:left="7"/>
              <w:jc w:val="center"/>
              <w:rPr>
                <w:sz w:val="20"/>
              </w:rPr>
            </w:pPr>
            <w:r>
              <w:rPr>
                <w:w w:val="99"/>
                <w:sz w:val="20"/>
              </w:rPr>
              <w:t>1</w:t>
            </w:r>
          </w:p>
        </w:tc>
        <w:tc>
          <w:tcPr>
            <w:tcW w:w="5441" w:type="dxa"/>
          </w:tcPr>
          <w:p>
            <w:pPr>
              <w:pStyle w:val="TableParagraph"/>
              <w:spacing w:before="18"/>
              <w:ind w:left="108"/>
              <w:rPr>
                <w:sz w:val="20"/>
              </w:rPr>
            </w:pPr>
            <w:r>
              <w:rPr>
                <w:sz w:val="20"/>
              </w:rPr>
              <w:t>Digital I/O (IE1)</w:t>
            </w:r>
          </w:p>
        </w:tc>
        <w:tc>
          <w:tcPr>
            <w:tcW w:w="1440" w:type="dxa"/>
          </w:tcPr>
          <w:p>
            <w:pPr>
              <w:pStyle w:val="TableParagraph"/>
              <w:spacing w:before="18"/>
              <w:ind w:left="191" w:right="185"/>
              <w:jc w:val="center"/>
              <w:rPr>
                <w:sz w:val="20"/>
              </w:rPr>
            </w:pPr>
            <w:r>
              <w:rPr>
                <w:sz w:val="20"/>
              </w:rPr>
              <w:t>see</w:t>
            </w:r>
            <w:r>
              <w:rPr>
                <w:spacing w:val="51"/>
                <w:sz w:val="20"/>
              </w:rPr>
              <w:t> </w:t>
            </w:r>
            <w:hyperlink w:history="true" w:anchor="_bookmark117">
              <w:r>
                <w:rPr>
                  <w:color w:val="0000FF"/>
                  <w:sz w:val="20"/>
                </w:rPr>
                <w:t>2.5.10</w:t>
              </w:r>
            </w:hyperlink>
          </w:p>
        </w:tc>
        <w:tc>
          <w:tcPr>
            <w:tcW w:w="1440" w:type="dxa"/>
          </w:tcPr>
          <w:p>
            <w:pPr>
              <w:pStyle w:val="TableParagraph"/>
              <w:spacing w:before="18"/>
              <w:ind w:left="191" w:right="186"/>
              <w:jc w:val="center"/>
              <w:rPr>
                <w:sz w:val="20"/>
              </w:rPr>
            </w:pPr>
            <w:r>
              <w:rPr>
                <w:sz w:val="20"/>
              </w:rPr>
              <w:t>automatic</w:t>
            </w:r>
          </w:p>
        </w:tc>
      </w:tr>
      <w:tr>
        <w:trPr>
          <w:trHeight w:val="498" w:hRule="atLeast"/>
        </w:trPr>
        <w:tc>
          <w:tcPr>
            <w:tcW w:w="1039" w:type="dxa"/>
          </w:tcPr>
          <w:p>
            <w:pPr>
              <w:pStyle w:val="TableParagraph"/>
              <w:spacing w:before="18"/>
              <w:ind w:left="7"/>
              <w:jc w:val="center"/>
              <w:rPr>
                <w:sz w:val="20"/>
              </w:rPr>
            </w:pPr>
            <w:r>
              <w:rPr>
                <w:w w:val="99"/>
                <w:sz w:val="20"/>
              </w:rPr>
              <w:t>2</w:t>
            </w:r>
          </w:p>
        </w:tc>
        <w:tc>
          <w:tcPr>
            <w:tcW w:w="5441" w:type="dxa"/>
          </w:tcPr>
          <w:p>
            <w:pPr>
              <w:pStyle w:val="TableParagraph"/>
              <w:spacing w:before="18"/>
              <w:ind w:left="108" w:right="534"/>
              <w:rPr>
                <w:sz w:val="20"/>
              </w:rPr>
            </w:pPr>
            <w:r>
              <w:rPr>
                <w:sz w:val="20"/>
              </w:rPr>
              <w:t>CE_PULSE (IE_XPULSE, IE_YPULSE, IE_WPULSE, IE_VPULSE)</w:t>
            </w:r>
          </w:p>
        </w:tc>
        <w:tc>
          <w:tcPr>
            <w:tcW w:w="1440" w:type="dxa"/>
          </w:tcPr>
          <w:p>
            <w:pPr>
              <w:pStyle w:val="TableParagraph"/>
              <w:spacing w:before="134"/>
              <w:ind w:left="191" w:right="186"/>
              <w:jc w:val="center"/>
              <w:rPr>
                <w:sz w:val="20"/>
              </w:rPr>
            </w:pPr>
            <w:r>
              <w:rPr>
                <w:sz w:val="20"/>
              </w:rPr>
              <w:t>rising</w:t>
            </w:r>
          </w:p>
        </w:tc>
        <w:tc>
          <w:tcPr>
            <w:tcW w:w="1440" w:type="dxa"/>
          </w:tcPr>
          <w:p>
            <w:pPr>
              <w:pStyle w:val="TableParagraph"/>
              <w:spacing w:before="134"/>
              <w:ind w:left="191" w:right="184"/>
              <w:jc w:val="center"/>
              <w:rPr>
                <w:sz w:val="20"/>
              </w:rPr>
            </w:pPr>
            <w:r>
              <w:rPr>
                <w:sz w:val="20"/>
              </w:rPr>
              <w:t>manual</w:t>
            </w:r>
          </w:p>
        </w:tc>
      </w:tr>
      <w:tr>
        <w:trPr>
          <w:trHeight w:val="270" w:hRule="atLeast"/>
        </w:trPr>
        <w:tc>
          <w:tcPr>
            <w:tcW w:w="1039" w:type="dxa"/>
          </w:tcPr>
          <w:p>
            <w:pPr>
              <w:pStyle w:val="TableParagraph"/>
              <w:spacing w:before="21"/>
              <w:ind w:left="7"/>
              <w:jc w:val="center"/>
              <w:rPr>
                <w:sz w:val="20"/>
              </w:rPr>
            </w:pPr>
            <w:r>
              <w:rPr>
                <w:w w:val="99"/>
                <w:sz w:val="20"/>
              </w:rPr>
              <w:t>3</w:t>
            </w:r>
          </w:p>
        </w:tc>
        <w:tc>
          <w:tcPr>
            <w:tcW w:w="5441" w:type="dxa"/>
          </w:tcPr>
          <w:p>
            <w:pPr>
              <w:pStyle w:val="TableParagraph"/>
              <w:spacing w:before="21"/>
              <w:ind w:left="108"/>
              <w:rPr>
                <w:sz w:val="20"/>
              </w:rPr>
            </w:pPr>
            <w:r>
              <w:rPr>
                <w:sz w:val="20"/>
              </w:rPr>
              <w:t>CE_BUSY (IE3)</w:t>
            </w:r>
          </w:p>
        </w:tc>
        <w:tc>
          <w:tcPr>
            <w:tcW w:w="1440" w:type="dxa"/>
          </w:tcPr>
          <w:p>
            <w:pPr>
              <w:pStyle w:val="TableParagraph"/>
              <w:spacing w:before="21"/>
              <w:ind w:left="191" w:right="184"/>
              <w:jc w:val="center"/>
              <w:rPr>
                <w:sz w:val="20"/>
              </w:rPr>
            </w:pPr>
            <w:r>
              <w:rPr>
                <w:sz w:val="20"/>
              </w:rPr>
              <w:t>falling</w:t>
            </w:r>
          </w:p>
        </w:tc>
        <w:tc>
          <w:tcPr>
            <w:tcW w:w="1440" w:type="dxa"/>
          </w:tcPr>
          <w:p>
            <w:pPr>
              <w:pStyle w:val="TableParagraph"/>
              <w:spacing w:before="21"/>
              <w:ind w:left="191" w:right="186"/>
              <w:jc w:val="center"/>
              <w:rPr>
                <w:sz w:val="20"/>
              </w:rPr>
            </w:pPr>
            <w:r>
              <w:rPr>
                <w:sz w:val="20"/>
              </w:rPr>
              <w:t>automatic</w:t>
            </w:r>
          </w:p>
        </w:tc>
      </w:tr>
      <w:tr>
        <w:trPr>
          <w:trHeight w:val="270" w:hRule="atLeast"/>
        </w:trPr>
        <w:tc>
          <w:tcPr>
            <w:tcW w:w="1039" w:type="dxa"/>
          </w:tcPr>
          <w:p>
            <w:pPr>
              <w:pStyle w:val="TableParagraph"/>
              <w:spacing w:before="18"/>
              <w:ind w:left="7"/>
              <w:jc w:val="center"/>
              <w:rPr>
                <w:sz w:val="20"/>
              </w:rPr>
            </w:pPr>
            <w:r>
              <w:rPr>
                <w:w w:val="99"/>
                <w:sz w:val="20"/>
              </w:rPr>
              <w:t>4</w:t>
            </w:r>
          </w:p>
        </w:tc>
        <w:tc>
          <w:tcPr>
            <w:tcW w:w="5441" w:type="dxa"/>
          </w:tcPr>
          <w:p>
            <w:pPr>
              <w:pStyle w:val="TableParagraph"/>
              <w:spacing w:before="18"/>
              <w:ind w:left="108"/>
              <w:rPr>
                <w:sz w:val="20"/>
              </w:rPr>
            </w:pPr>
            <w:r>
              <w:rPr>
                <w:sz w:val="20"/>
              </w:rPr>
              <w:t>VSTAT (VSTAT[2:0] changed) (IE4)</w:t>
            </w:r>
          </w:p>
        </w:tc>
        <w:tc>
          <w:tcPr>
            <w:tcW w:w="1440" w:type="dxa"/>
          </w:tcPr>
          <w:p>
            <w:pPr>
              <w:pStyle w:val="TableParagraph"/>
              <w:spacing w:before="18"/>
              <w:ind w:left="191" w:right="186"/>
              <w:jc w:val="center"/>
              <w:rPr>
                <w:sz w:val="20"/>
              </w:rPr>
            </w:pPr>
            <w:r>
              <w:rPr>
                <w:sz w:val="20"/>
              </w:rPr>
              <w:t>rising</w:t>
            </w:r>
          </w:p>
        </w:tc>
        <w:tc>
          <w:tcPr>
            <w:tcW w:w="1440" w:type="dxa"/>
          </w:tcPr>
          <w:p>
            <w:pPr>
              <w:pStyle w:val="TableParagraph"/>
              <w:spacing w:before="18"/>
              <w:ind w:left="191" w:right="186"/>
              <w:jc w:val="center"/>
              <w:rPr>
                <w:sz w:val="20"/>
              </w:rPr>
            </w:pPr>
            <w:r>
              <w:rPr>
                <w:sz w:val="20"/>
              </w:rPr>
              <w:t>automatic</w:t>
            </w:r>
          </w:p>
        </w:tc>
      </w:tr>
      <w:tr>
        <w:trPr>
          <w:trHeight w:val="268" w:hRule="atLeast"/>
        </w:trPr>
        <w:tc>
          <w:tcPr>
            <w:tcW w:w="1039" w:type="dxa"/>
          </w:tcPr>
          <w:p>
            <w:pPr>
              <w:pStyle w:val="TableParagraph"/>
              <w:spacing w:before="18"/>
              <w:ind w:left="7"/>
              <w:jc w:val="center"/>
              <w:rPr>
                <w:sz w:val="20"/>
              </w:rPr>
            </w:pPr>
            <w:r>
              <w:rPr>
                <w:w w:val="99"/>
                <w:sz w:val="20"/>
              </w:rPr>
              <w:t>5</w:t>
            </w:r>
          </w:p>
        </w:tc>
        <w:tc>
          <w:tcPr>
            <w:tcW w:w="5441" w:type="dxa"/>
          </w:tcPr>
          <w:p>
            <w:pPr>
              <w:pStyle w:val="TableParagraph"/>
              <w:spacing w:before="18"/>
              <w:ind w:left="108"/>
              <w:rPr>
                <w:sz w:val="20"/>
              </w:rPr>
            </w:pPr>
            <w:r>
              <w:rPr>
                <w:sz w:val="20"/>
              </w:rPr>
              <w:t>EEPROM busy (falling), SPI (rising) (IE_EEX, IE_SPI)</w:t>
            </w:r>
          </w:p>
        </w:tc>
        <w:tc>
          <w:tcPr>
            <w:tcW w:w="1440" w:type="dxa"/>
          </w:tcPr>
          <w:p>
            <w:pPr>
              <w:pStyle w:val="TableParagraph"/>
              <w:spacing w:before="18"/>
              <w:ind w:left="7"/>
              <w:jc w:val="center"/>
              <w:rPr>
                <w:sz w:val="20"/>
              </w:rPr>
            </w:pPr>
            <w:r>
              <w:rPr>
                <w:w w:val="99"/>
                <w:sz w:val="20"/>
              </w:rPr>
              <w:t>—</w:t>
            </w:r>
          </w:p>
        </w:tc>
        <w:tc>
          <w:tcPr>
            <w:tcW w:w="1440" w:type="dxa"/>
          </w:tcPr>
          <w:p>
            <w:pPr>
              <w:pStyle w:val="TableParagraph"/>
              <w:spacing w:before="18"/>
              <w:ind w:left="191" w:right="184"/>
              <w:jc w:val="center"/>
              <w:rPr>
                <w:sz w:val="20"/>
              </w:rPr>
            </w:pPr>
            <w:r>
              <w:rPr>
                <w:sz w:val="20"/>
              </w:rPr>
              <w:t>manual</w:t>
            </w:r>
          </w:p>
        </w:tc>
      </w:tr>
      <w:tr>
        <w:trPr>
          <w:trHeight w:val="501" w:hRule="atLeast"/>
        </w:trPr>
        <w:tc>
          <w:tcPr>
            <w:tcW w:w="1039" w:type="dxa"/>
          </w:tcPr>
          <w:p>
            <w:pPr>
              <w:pStyle w:val="TableParagraph"/>
              <w:spacing w:before="21"/>
              <w:ind w:left="7"/>
              <w:jc w:val="center"/>
              <w:rPr>
                <w:sz w:val="20"/>
              </w:rPr>
            </w:pPr>
            <w:r>
              <w:rPr>
                <w:w w:val="99"/>
                <w:sz w:val="20"/>
              </w:rPr>
              <w:t>6</w:t>
            </w:r>
          </w:p>
        </w:tc>
        <w:tc>
          <w:tcPr>
            <w:tcW w:w="5441" w:type="dxa"/>
          </w:tcPr>
          <w:p>
            <w:pPr>
              <w:pStyle w:val="TableParagraph"/>
              <w:spacing w:before="21"/>
              <w:ind w:left="108" w:right="379"/>
              <w:rPr>
                <w:sz w:val="20"/>
              </w:rPr>
            </w:pPr>
            <w:r>
              <w:rPr>
                <w:sz w:val="20"/>
              </w:rPr>
              <w:t>XFER_BUSY (falling), RTC_1SEC, RTC_1MIN, RTC_T (IE_XFER, IE_RTC1S, IE_RTC1M, IE_RTCT)</w:t>
            </w:r>
          </w:p>
        </w:tc>
        <w:tc>
          <w:tcPr>
            <w:tcW w:w="1440" w:type="dxa"/>
          </w:tcPr>
          <w:p>
            <w:pPr>
              <w:pStyle w:val="TableParagraph"/>
              <w:spacing w:before="134"/>
              <w:ind w:left="191" w:right="184"/>
              <w:jc w:val="center"/>
              <w:rPr>
                <w:sz w:val="20"/>
              </w:rPr>
            </w:pPr>
            <w:r>
              <w:rPr>
                <w:sz w:val="20"/>
              </w:rPr>
              <w:t>falling</w:t>
            </w:r>
          </w:p>
        </w:tc>
        <w:tc>
          <w:tcPr>
            <w:tcW w:w="1440" w:type="dxa"/>
          </w:tcPr>
          <w:p>
            <w:pPr>
              <w:pStyle w:val="TableParagraph"/>
              <w:spacing w:before="134"/>
              <w:ind w:left="191" w:right="184"/>
              <w:jc w:val="center"/>
              <w:rPr>
                <w:sz w:val="20"/>
              </w:rPr>
            </w:pPr>
            <w:r>
              <w:rPr>
                <w:sz w:val="20"/>
              </w:rPr>
              <w:t>manual</w:t>
            </w:r>
          </w:p>
        </w:tc>
      </w:tr>
    </w:tbl>
    <w:p>
      <w:pPr>
        <w:pStyle w:val="BodyText"/>
        <w:spacing w:before="9"/>
        <w:rPr>
          <w:b/>
          <w:sz w:val="19"/>
        </w:rPr>
      </w:pPr>
    </w:p>
    <w:p>
      <w:pPr>
        <w:pStyle w:val="BodyText"/>
        <w:ind w:left="619" w:right="559"/>
      </w:pPr>
      <w:r>
        <w:rPr/>
        <w:t>External interrupt 0 and 1 can be mapped to pins on the device using DIO resource maps. See </w:t>
      </w:r>
      <w:hyperlink w:history="true" w:anchor="_bookmark117">
        <w:r>
          <w:rPr>
            <w:color w:val="0000FF"/>
          </w:rPr>
          <w:t>2.5.10</w:t>
        </w:r>
      </w:hyperlink>
      <w:r>
        <w:rPr>
          <w:color w:val="0000FF"/>
        </w:rPr>
        <w:t> </w:t>
      </w:r>
      <w:hyperlink w:history="true" w:anchor="_bookmark117">
        <w:r>
          <w:rPr>
            <w:color w:val="0000FF"/>
          </w:rPr>
          <w:t>Digital I/O </w:t>
        </w:r>
      </w:hyperlink>
      <w:r>
        <w:rPr/>
        <w:t>for more information.</w:t>
      </w:r>
    </w:p>
    <w:p>
      <w:pPr>
        <w:pStyle w:val="BodyText"/>
        <w:spacing w:before="119"/>
        <w:ind w:left="619" w:right="588"/>
      </w:pPr>
      <w:r>
        <w:rPr>
          <w:spacing w:val="-2"/>
        </w:rPr>
        <w:t>SFR </w:t>
      </w:r>
      <w:r>
        <w:rPr/>
        <w:t>enable bits must be set to permit any of these </w:t>
      </w:r>
      <w:r>
        <w:rPr>
          <w:spacing w:val="-3"/>
        </w:rPr>
        <w:t>interrupts </w:t>
      </w:r>
      <w:r>
        <w:rPr/>
        <w:t>to occur. </w:t>
      </w:r>
      <w:r>
        <w:rPr>
          <w:spacing w:val="-3"/>
        </w:rPr>
        <w:t>Likewise, </w:t>
      </w:r>
      <w:r>
        <w:rPr/>
        <w:t>each interrupt has </w:t>
      </w:r>
      <w:r>
        <w:rPr>
          <w:spacing w:val="-3"/>
        </w:rPr>
        <w:t>its </w:t>
      </w:r>
      <w:r>
        <w:rPr/>
        <w:t>own flag bit, </w:t>
      </w:r>
      <w:r>
        <w:rPr>
          <w:spacing w:val="-3"/>
        </w:rPr>
        <w:t>which </w:t>
      </w:r>
      <w:r>
        <w:rPr/>
        <w:t>is set by the interrupt hardware, and reset by the MPU </w:t>
      </w:r>
      <w:r>
        <w:rPr>
          <w:spacing w:val="-3"/>
        </w:rPr>
        <w:t>interrupt </w:t>
      </w:r>
      <w:r>
        <w:rPr/>
        <w:t>handler. XFER_BUSY, RTC_1SEC, RTC_1MIN, RTC_T, </w:t>
      </w:r>
      <w:r>
        <w:rPr>
          <w:spacing w:val="-3"/>
        </w:rPr>
        <w:t>SPI, </w:t>
      </w:r>
      <w:r>
        <w:rPr/>
        <w:t>PLLRISE and PLLFALL have their own enable and flag bits in </w:t>
      </w:r>
      <w:r>
        <w:rPr>
          <w:spacing w:val="-3"/>
        </w:rPr>
        <w:t>addition </w:t>
      </w:r>
      <w:r>
        <w:rPr/>
        <w:t>to the interrupt 6, 4 and enable and flag bits (see </w:t>
      </w:r>
      <w:hyperlink w:history="true" w:anchor="_bookmark85">
        <w:r>
          <w:rPr>
            <w:color w:val="0000FF"/>
          </w:rPr>
          <w:t>Table 32: Interrupt Enable and Flag Bits</w:t>
        </w:r>
      </w:hyperlink>
      <w:r>
        <w:rPr/>
        <w:t>).</w:t>
      </w:r>
    </w:p>
    <w:p>
      <w:pPr>
        <w:pStyle w:val="BodyText"/>
        <w:spacing w:before="122"/>
        <w:ind w:left="1699" w:right="559" w:hanging="3"/>
      </w:pPr>
      <w:r>
        <w:rPr/>
        <w:drawing>
          <wp:anchor distT="0" distB="0" distL="0" distR="0" allowOverlap="1" layoutInCell="1" locked="0" behindDoc="0" simplePos="0" relativeHeight="15766016">
            <wp:simplePos x="0" y="0"/>
            <wp:positionH relativeFrom="page">
              <wp:posOffset>962025</wp:posOffset>
            </wp:positionH>
            <wp:positionV relativeFrom="paragraph">
              <wp:posOffset>140100</wp:posOffset>
            </wp:positionV>
            <wp:extent cx="539114" cy="548639"/>
            <wp:effectExtent l="0" t="0" r="0" b="0"/>
            <wp:wrapNone/>
            <wp:docPr id="35" name="image54.png"/>
            <wp:cNvGraphicFramePr>
              <a:graphicFrameLocks noChangeAspect="1"/>
            </wp:cNvGraphicFramePr>
            <a:graphic>
              <a:graphicData uri="http://schemas.openxmlformats.org/drawingml/2006/picture">
                <pic:pic>
                  <pic:nvPicPr>
                    <pic:cNvPr id="36" name="image54.png"/>
                    <pic:cNvPicPr/>
                  </pic:nvPicPr>
                  <pic:blipFill>
                    <a:blip r:embed="rId63" cstate="print"/>
                    <a:stretch>
                      <a:fillRect/>
                    </a:stretch>
                  </pic:blipFill>
                  <pic:spPr>
                    <a:xfrm>
                      <a:off x="0" y="0"/>
                      <a:ext cx="539114" cy="548639"/>
                    </a:xfrm>
                    <a:prstGeom prst="rect">
                      <a:avLst/>
                    </a:prstGeom>
                  </pic:spPr>
                </pic:pic>
              </a:graphicData>
            </a:graphic>
          </wp:anchor>
        </w:drawing>
      </w:r>
      <w:r>
        <w:rPr/>
        <w:t>IE0</w:t>
      </w:r>
      <w:r>
        <w:rPr>
          <w:spacing w:val="-16"/>
        </w:rPr>
        <w:t> </w:t>
      </w:r>
      <w:r>
        <w:rPr/>
        <w:t>through</w:t>
      </w:r>
      <w:r>
        <w:rPr>
          <w:spacing w:val="-16"/>
        </w:rPr>
        <w:t> </w:t>
      </w:r>
      <w:r>
        <w:rPr/>
        <w:t>IEX6</w:t>
      </w:r>
      <w:r>
        <w:rPr>
          <w:spacing w:val="-13"/>
        </w:rPr>
        <w:t> </w:t>
      </w:r>
      <w:r>
        <w:rPr/>
        <w:t>are</w:t>
      </w:r>
      <w:r>
        <w:rPr>
          <w:spacing w:val="-16"/>
        </w:rPr>
        <w:t> </w:t>
      </w:r>
      <w:r>
        <w:rPr/>
        <w:t>cleared</w:t>
      </w:r>
      <w:r>
        <w:rPr>
          <w:spacing w:val="-15"/>
        </w:rPr>
        <w:t> </w:t>
      </w:r>
      <w:r>
        <w:rPr/>
        <w:t>automatically</w:t>
      </w:r>
      <w:r>
        <w:rPr>
          <w:spacing w:val="-17"/>
        </w:rPr>
        <w:t> </w:t>
      </w:r>
      <w:r>
        <w:rPr/>
        <w:t>when</w:t>
      </w:r>
      <w:r>
        <w:rPr>
          <w:spacing w:val="-15"/>
        </w:rPr>
        <w:t> </w:t>
      </w:r>
      <w:r>
        <w:rPr/>
        <w:t>the</w:t>
      </w:r>
      <w:r>
        <w:rPr>
          <w:spacing w:val="-14"/>
        </w:rPr>
        <w:t> </w:t>
      </w:r>
      <w:r>
        <w:rPr/>
        <w:t>hardware</w:t>
      </w:r>
      <w:r>
        <w:rPr>
          <w:spacing w:val="-14"/>
        </w:rPr>
        <w:t> </w:t>
      </w:r>
      <w:r>
        <w:rPr/>
        <w:t>vectors</w:t>
      </w:r>
      <w:r>
        <w:rPr>
          <w:spacing w:val="-14"/>
        </w:rPr>
        <w:t> </w:t>
      </w:r>
      <w:r>
        <w:rPr/>
        <w:t>to</w:t>
      </w:r>
      <w:r>
        <w:rPr>
          <w:spacing w:val="-14"/>
        </w:rPr>
        <w:t> </w:t>
      </w:r>
      <w:r>
        <w:rPr/>
        <w:t>the</w:t>
      </w:r>
      <w:r>
        <w:rPr>
          <w:spacing w:val="-14"/>
        </w:rPr>
        <w:t> </w:t>
      </w:r>
      <w:r>
        <w:rPr>
          <w:spacing w:val="-3"/>
        </w:rPr>
        <w:t>interrupt</w:t>
      </w:r>
      <w:r>
        <w:rPr>
          <w:spacing w:val="-13"/>
        </w:rPr>
        <w:t> </w:t>
      </w:r>
      <w:r>
        <w:rPr/>
        <w:t>handler. The other flags, IE_XFER through IE_VPULSE, are cleared by writing a zero to</w:t>
      </w:r>
      <w:r>
        <w:rPr>
          <w:spacing w:val="-20"/>
        </w:rPr>
        <w:t> </w:t>
      </w:r>
      <w:r>
        <w:rPr/>
        <w:t>them.</w:t>
      </w:r>
    </w:p>
    <w:p>
      <w:pPr>
        <w:pStyle w:val="BodyText"/>
        <w:spacing w:before="118"/>
        <w:ind w:left="1699" w:right="559"/>
      </w:pPr>
      <w:r>
        <w:rPr/>
        <w:t>Since these bits are in an SFR bit addressable byte, common practice would be to clear them with a bit operation, but this </w:t>
      </w:r>
      <w:r>
        <w:rPr>
          <w:u w:val="single"/>
        </w:rPr>
        <w:t>must be avoided</w:t>
      </w:r>
      <w:r>
        <w:rPr/>
        <w:t>. The hardware implements bit operations as a byte wide read-modify-write hardware macro. If an interrupt occurs after the read, but before the write, its flag is cleared unintentionally.</w:t>
      </w:r>
    </w:p>
    <w:p>
      <w:pPr>
        <w:pStyle w:val="BodyText"/>
        <w:spacing w:before="121"/>
        <w:ind w:left="1700" w:right="622"/>
        <w:jc w:val="both"/>
      </w:pPr>
      <w:r>
        <w:rPr/>
        <w:t>The proper way to clear the flag bits is to write a byte mask consisting of all ones except for a zero in the location of the bit to be cleared. The flag bits are configured in hardware to ignore ones written to them.</w:t>
      </w:r>
    </w:p>
    <w:p>
      <w:pPr>
        <w:pStyle w:val="BodyText"/>
        <w:spacing w:before="9"/>
        <w:rPr>
          <w:sz w:val="19"/>
        </w:rPr>
      </w:pPr>
    </w:p>
    <w:p>
      <w:pPr>
        <w:pStyle w:val="Heading1"/>
        <w:ind w:left="1312" w:right="1278"/>
      </w:pPr>
      <w:bookmarkStart w:name="_bookmark85" w:id="170"/>
      <w:bookmarkEnd w:id="170"/>
      <w:r>
        <w:rPr>
          <w:b w:val="0"/>
        </w:rPr>
      </w:r>
      <w:r>
        <w:rPr/>
        <w:t>Table 32: Interrupt Enable and Flag Bits</w:t>
      </w:r>
    </w:p>
    <w:p>
      <w:pPr>
        <w:pStyle w:val="BodyText"/>
        <w:spacing w:before="8"/>
        <w:rPr>
          <w:b/>
          <w:sz w:val="5"/>
        </w:rPr>
      </w:pPr>
    </w:p>
    <w:tbl>
      <w:tblPr>
        <w:tblW w:w="0" w:type="auto"/>
        <w:jc w:val="left"/>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2"/>
        <w:gridCol w:w="1210"/>
        <w:gridCol w:w="1376"/>
        <w:gridCol w:w="1165"/>
        <w:gridCol w:w="2775"/>
      </w:tblGrid>
      <w:tr>
        <w:trPr>
          <w:trHeight w:val="299" w:hRule="atLeast"/>
        </w:trPr>
        <w:tc>
          <w:tcPr>
            <w:tcW w:w="2552" w:type="dxa"/>
            <w:gridSpan w:val="2"/>
          </w:tcPr>
          <w:p>
            <w:pPr>
              <w:pStyle w:val="TableParagraph"/>
              <w:spacing w:before="35"/>
              <w:ind w:left="506"/>
              <w:rPr>
                <w:b/>
                <w:sz w:val="20"/>
              </w:rPr>
            </w:pPr>
            <w:r>
              <w:rPr>
                <w:b/>
                <w:sz w:val="20"/>
              </w:rPr>
              <w:t>Interrupt Enable</w:t>
            </w:r>
          </w:p>
        </w:tc>
        <w:tc>
          <w:tcPr>
            <w:tcW w:w="2541" w:type="dxa"/>
            <w:gridSpan w:val="2"/>
          </w:tcPr>
          <w:p>
            <w:pPr>
              <w:pStyle w:val="TableParagraph"/>
              <w:spacing w:before="35"/>
              <w:ind w:left="623"/>
              <w:rPr>
                <w:b/>
                <w:sz w:val="20"/>
              </w:rPr>
            </w:pPr>
            <w:r>
              <w:rPr>
                <w:b/>
                <w:sz w:val="20"/>
              </w:rPr>
              <w:t>Interrupt Flag</w:t>
            </w:r>
          </w:p>
        </w:tc>
        <w:tc>
          <w:tcPr>
            <w:tcW w:w="2775" w:type="dxa"/>
            <w:vMerge w:val="restart"/>
            <w:tcBorders>
              <w:bottom w:val="double" w:sz="1" w:space="0" w:color="000000"/>
            </w:tcBorders>
          </w:tcPr>
          <w:p>
            <w:pPr>
              <w:pStyle w:val="TableParagraph"/>
              <w:spacing w:before="10"/>
              <w:rPr>
                <w:b/>
                <w:sz w:val="17"/>
              </w:rPr>
            </w:pPr>
          </w:p>
          <w:p>
            <w:pPr>
              <w:pStyle w:val="TableParagraph"/>
              <w:ind w:left="395"/>
              <w:rPr>
                <w:b/>
                <w:sz w:val="20"/>
              </w:rPr>
            </w:pPr>
            <w:r>
              <w:rPr>
                <w:b/>
                <w:sz w:val="20"/>
              </w:rPr>
              <w:t>Interrupt Description</w:t>
            </w:r>
          </w:p>
        </w:tc>
      </w:tr>
      <w:tr>
        <w:trPr>
          <w:trHeight w:val="320" w:hRule="atLeast"/>
        </w:trPr>
        <w:tc>
          <w:tcPr>
            <w:tcW w:w="1342" w:type="dxa"/>
            <w:tcBorders>
              <w:bottom w:val="double" w:sz="1" w:space="0" w:color="000000"/>
            </w:tcBorders>
          </w:tcPr>
          <w:p>
            <w:pPr>
              <w:pStyle w:val="TableParagraph"/>
              <w:spacing w:before="47"/>
              <w:ind w:left="93" w:right="86"/>
              <w:jc w:val="center"/>
              <w:rPr>
                <w:b/>
                <w:sz w:val="20"/>
              </w:rPr>
            </w:pPr>
            <w:r>
              <w:rPr>
                <w:b/>
                <w:sz w:val="20"/>
              </w:rPr>
              <w:t>Name</w:t>
            </w:r>
          </w:p>
        </w:tc>
        <w:tc>
          <w:tcPr>
            <w:tcW w:w="1210" w:type="dxa"/>
            <w:tcBorders>
              <w:bottom w:val="double" w:sz="1" w:space="0" w:color="000000"/>
            </w:tcBorders>
          </w:tcPr>
          <w:p>
            <w:pPr>
              <w:pStyle w:val="TableParagraph"/>
              <w:spacing w:before="47"/>
              <w:ind w:left="91" w:right="87"/>
              <w:jc w:val="center"/>
              <w:rPr>
                <w:b/>
                <w:sz w:val="20"/>
              </w:rPr>
            </w:pPr>
            <w:r>
              <w:rPr>
                <w:b/>
                <w:sz w:val="20"/>
              </w:rPr>
              <w:t>Location</w:t>
            </w:r>
          </w:p>
        </w:tc>
        <w:tc>
          <w:tcPr>
            <w:tcW w:w="1376" w:type="dxa"/>
            <w:tcBorders>
              <w:bottom w:val="double" w:sz="1" w:space="0" w:color="000000"/>
            </w:tcBorders>
          </w:tcPr>
          <w:p>
            <w:pPr>
              <w:pStyle w:val="TableParagraph"/>
              <w:spacing w:before="47"/>
              <w:ind w:left="92" w:right="87"/>
              <w:jc w:val="center"/>
              <w:rPr>
                <w:b/>
                <w:sz w:val="20"/>
              </w:rPr>
            </w:pPr>
            <w:r>
              <w:rPr>
                <w:b/>
                <w:sz w:val="20"/>
              </w:rPr>
              <w:t>Name</w:t>
            </w:r>
          </w:p>
        </w:tc>
        <w:tc>
          <w:tcPr>
            <w:tcW w:w="1165" w:type="dxa"/>
            <w:tcBorders>
              <w:bottom w:val="double" w:sz="1" w:space="0" w:color="000000"/>
            </w:tcBorders>
          </w:tcPr>
          <w:p>
            <w:pPr>
              <w:pStyle w:val="TableParagraph"/>
              <w:spacing w:before="47"/>
              <w:ind w:left="91" w:right="87"/>
              <w:jc w:val="center"/>
              <w:rPr>
                <w:b/>
                <w:sz w:val="20"/>
              </w:rPr>
            </w:pPr>
            <w:r>
              <w:rPr>
                <w:b/>
                <w:sz w:val="20"/>
              </w:rPr>
              <w:t>Location</w:t>
            </w:r>
          </w:p>
        </w:tc>
        <w:tc>
          <w:tcPr>
            <w:tcW w:w="2775" w:type="dxa"/>
            <w:vMerge/>
            <w:tcBorders>
              <w:top w:val="nil"/>
              <w:bottom w:val="double" w:sz="1" w:space="0" w:color="000000"/>
            </w:tcBorders>
          </w:tcPr>
          <w:p>
            <w:pPr>
              <w:rPr>
                <w:sz w:val="2"/>
                <w:szCs w:val="2"/>
              </w:rPr>
            </w:pPr>
          </w:p>
        </w:tc>
      </w:tr>
      <w:tr>
        <w:trPr>
          <w:trHeight w:val="270" w:hRule="atLeast"/>
        </w:trPr>
        <w:tc>
          <w:tcPr>
            <w:tcW w:w="1342" w:type="dxa"/>
            <w:tcBorders>
              <w:top w:val="double" w:sz="1" w:space="0" w:color="000000"/>
            </w:tcBorders>
          </w:tcPr>
          <w:p>
            <w:pPr>
              <w:pStyle w:val="TableParagraph"/>
              <w:spacing w:before="14"/>
              <w:ind w:left="93" w:right="83"/>
              <w:jc w:val="center"/>
              <w:rPr>
                <w:rFonts w:ascii="Times New Roman"/>
                <w:i/>
                <w:sz w:val="20"/>
              </w:rPr>
            </w:pPr>
            <w:r>
              <w:rPr>
                <w:rFonts w:ascii="Times New Roman"/>
                <w:i/>
                <w:sz w:val="20"/>
              </w:rPr>
              <w:t>EX0</w:t>
            </w:r>
          </w:p>
        </w:tc>
        <w:tc>
          <w:tcPr>
            <w:tcW w:w="1210" w:type="dxa"/>
            <w:tcBorders>
              <w:top w:val="double" w:sz="1" w:space="0" w:color="000000"/>
            </w:tcBorders>
          </w:tcPr>
          <w:p>
            <w:pPr>
              <w:pStyle w:val="TableParagraph"/>
              <w:spacing w:before="18"/>
              <w:ind w:left="93" w:right="87"/>
              <w:jc w:val="center"/>
              <w:rPr>
                <w:sz w:val="20"/>
              </w:rPr>
            </w:pPr>
            <w:r>
              <w:rPr>
                <w:sz w:val="20"/>
              </w:rPr>
              <w:t>SFR A8[[0]</w:t>
            </w:r>
          </w:p>
        </w:tc>
        <w:tc>
          <w:tcPr>
            <w:tcW w:w="1376" w:type="dxa"/>
            <w:tcBorders>
              <w:top w:val="double" w:sz="1" w:space="0" w:color="000000"/>
            </w:tcBorders>
          </w:tcPr>
          <w:p>
            <w:pPr>
              <w:pStyle w:val="TableParagraph"/>
              <w:spacing w:before="18"/>
              <w:ind w:left="92" w:right="88"/>
              <w:jc w:val="center"/>
              <w:rPr>
                <w:sz w:val="20"/>
              </w:rPr>
            </w:pPr>
            <w:r>
              <w:rPr>
                <w:sz w:val="20"/>
              </w:rPr>
              <w:t>IE0</w:t>
            </w:r>
          </w:p>
        </w:tc>
        <w:tc>
          <w:tcPr>
            <w:tcW w:w="1165" w:type="dxa"/>
            <w:tcBorders>
              <w:top w:val="double" w:sz="1" w:space="0" w:color="000000"/>
            </w:tcBorders>
          </w:tcPr>
          <w:p>
            <w:pPr>
              <w:pStyle w:val="TableParagraph"/>
              <w:spacing w:before="18"/>
              <w:ind w:left="91" w:right="89"/>
              <w:jc w:val="center"/>
              <w:rPr>
                <w:sz w:val="20"/>
              </w:rPr>
            </w:pPr>
            <w:r>
              <w:rPr>
                <w:sz w:val="20"/>
              </w:rPr>
              <w:t>SFR 88[1]</w:t>
            </w:r>
          </w:p>
        </w:tc>
        <w:tc>
          <w:tcPr>
            <w:tcW w:w="2775" w:type="dxa"/>
            <w:tcBorders>
              <w:top w:val="double" w:sz="1" w:space="0" w:color="000000"/>
            </w:tcBorders>
          </w:tcPr>
          <w:p>
            <w:pPr>
              <w:pStyle w:val="TableParagraph"/>
              <w:spacing w:before="18"/>
              <w:ind w:left="112"/>
              <w:rPr>
                <w:sz w:val="20"/>
              </w:rPr>
            </w:pPr>
            <w:r>
              <w:rPr>
                <w:sz w:val="20"/>
              </w:rPr>
              <w:t>External interrupt 0</w:t>
            </w:r>
          </w:p>
        </w:tc>
      </w:tr>
      <w:tr>
        <w:trPr>
          <w:trHeight w:val="268" w:hRule="atLeast"/>
        </w:trPr>
        <w:tc>
          <w:tcPr>
            <w:tcW w:w="1342" w:type="dxa"/>
          </w:tcPr>
          <w:p>
            <w:pPr>
              <w:pStyle w:val="TableParagraph"/>
              <w:spacing w:before="12"/>
              <w:ind w:left="93" w:right="83"/>
              <w:jc w:val="center"/>
              <w:rPr>
                <w:rFonts w:ascii="Times New Roman"/>
                <w:i/>
                <w:sz w:val="20"/>
              </w:rPr>
            </w:pPr>
            <w:r>
              <w:rPr>
                <w:rFonts w:ascii="Times New Roman"/>
                <w:i/>
                <w:sz w:val="20"/>
              </w:rPr>
              <w:t>EX1</w:t>
            </w:r>
          </w:p>
        </w:tc>
        <w:tc>
          <w:tcPr>
            <w:tcW w:w="1210" w:type="dxa"/>
          </w:tcPr>
          <w:p>
            <w:pPr>
              <w:pStyle w:val="TableParagraph"/>
              <w:spacing w:before="16"/>
              <w:ind w:left="92" w:right="87"/>
              <w:jc w:val="center"/>
              <w:rPr>
                <w:sz w:val="20"/>
              </w:rPr>
            </w:pPr>
            <w:r>
              <w:rPr>
                <w:sz w:val="20"/>
              </w:rPr>
              <w:t>SFR A8[2]</w:t>
            </w:r>
          </w:p>
        </w:tc>
        <w:tc>
          <w:tcPr>
            <w:tcW w:w="1376" w:type="dxa"/>
          </w:tcPr>
          <w:p>
            <w:pPr>
              <w:pStyle w:val="TableParagraph"/>
              <w:spacing w:before="16"/>
              <w:ind w:left="92" w:right="88"/>
              <w:jc w:val="center"/>
              <w:rPr>
                <w:sz w:val="20"/>
              </w:rPr>
            </w:pPr>
            <w:r>
              <w:rPr>
                <w:sz w:val="20"/>
              </w:rPr>
              <w:t>IE1</w:t>
            </w:r>
          </w:p>
        </w:tc>
        <w:tc>
          <w:tcPr>
            <w:tcW w:w="1165" w:type="dxa"/>
          </w:tcPr>
          <w:p>
            <w:pPr>
              <w:pStyle w:val="TableParagraph"/>
              <w:spacing w:before="16"/>
              <w:ind w:left="91" w:right="89"/>
              <w:jc w:val="center"/>
              <w:rPr>
                <w:sz w:val="20"/>
              </w:rPr>
            </w:pPr>
            <w:r>
              <w:rPr>
                <w:sz w:val="20"/>
              </w:rPr>
              <w:t>SFR 88[3]</w:t>
            </w:r>
          </w:p>
        </w:tc>
        <w:tc>
          <w:tcPr>
            <w:tcW w:w="2775" w:type="dxa"/>
          </w:tcPr>
          <w:p>
            <w:pPr>
              <w:pStyle w:val="TableParagraph"/>
              <w:spacing w:before="16"/>
              <w:ind w:left="112"/>
              <w:rPr>
                <w:sz w:val="20"/>
              </w:rPr>
            </w:pPr>
            <w:r>
              <w:rPr>
                <w:sz w:val="20"/>
              </w:rPr>
              <w:t>External interrupt 1</w:t>
            </w:r>
          </w:p>
        </w:tc>
      </w:tr>
      <w:tr>
        <w:trPr>
          <w:trHeight w:val="270" w:hRule="atLeast"/>
        </w:trPr>
        <w:tc>
          <w:tcPr>
            <w:tcW w:w="1342" w:type="dxa"/>
          </w:tcPr>
          <w:p>
            <w:pPr>
              <w:pStyle w:val="TableParagraph"/>
              <w:spacing w:before="14"/>
              <w:ind w:left="93" w:right="83"/>
              <w:jc w:val="center"/>
              <w:rPr>
                <w:rFonts w:ascii="Times New Roman"/>
                <w:i/>
                <w:sz w:val="20"/>
              </w:rPr>
            </w:pPr>
            <w:r>
              <w:rPr>
                <w:rFonts w:ascii="Times New Roman"/>
                <w:i/>
                <w:sz w:val="20"/>
              </w:rPr>
              <w:t>EX2</w:t>
            </w:r>
          </w:p>
        </w:tc>
        <w:tc>
          <w:tcPr>
            <w:tcW w:w="1210" w:type="dxa"/>
          </w:tcPr>
          <w:p>
            <w:pPr>
              <w:pStyle w:val="TableParagraph"/>
              <w:spacing w:before="18"/>
              <w:ind w:left="92" w:right="87"/>
              <w:jc w:val="center"/>
              <w:rPr>
                <w:sz w:val="20"/>
              </w:rPr>
            </w:pPr>
            <w:r>
              <w:rPr>
                <w:sz w:val="20"/>
              </w:rPr>
              <w:t>SFR B8[1]</w:t>
            </w:r>
          </w:p>
        </w:tc>
        <w:tc>
          <w:tcPr>
            <w:tcW w:w="1376" w:type="dxa"/>
          </w:tcPr>
          <w:p>
            <w:pPr>
              <w:pStyle w:val="TableParagraph"/>
              <w:spacing w:before="18"/>
              <w:ind w:left="92" w:right="87"/>
              <w:jc w:val="center"/>
              <w:rPr>
                <w:sz w:val="20"/>
              </w:rPr>
            </w:pPr>
            <w:r>
              <w:rPr>
                <w:sz w:val="20"/>
              </w:rPr>
              <w:t>IEX2</w:t>
            </w:r>
          </w:p>
        </w:tc>
        <w:tc>
          <w:tcPr>
            <w:tcW w:w="1165" w:type="dxa"/>
          </w:tcPr>
          <w:p>
            <w:pPr>
              <w:pStyle w:val="TableParagraph"/>
              <w:spacing w:before="18"/>
              <w:ind w:left="91" w:right="89"/>
              <w:jc w:val="center"/>
              <w:rPr>
                <w:sz w:val="20"/>
              </w:rPr>
            </w:pPr>
            <w:r>
              <w:rPr>
                <w:sz w:val="20"/>
              </w:rPr>
              <w:t>SFR C0[1]</w:t>
            </w:r>
          </w:p>
        </w:tc>
        <w:tc>
          <w:tcPr>
            <w:tcW w:w="2775" w:type="dxa"/>
          </w:tcPr>
          <w:p>
            <w:pPr>
              <w:pStyle w:val="TableParagraph"/>
              <w:spacing w:before="18"/>
              <w:ind w:left="112"/>
              <w:rPr>
                <w:sz w:val="20"/>
              </w:rPr>
            </w:pPr>
            <w:r>
              <w:rPr>
                <w:sz w:val="20"/>
              </w:rPr>
              <w:t>External interrupt 2</w:t>
            </w:r>
          </w:p>
        </w:tc>
      </w:tr>
      <w:tr>
        <w:trPr>
          <w:trHeight w:val="270" w:hRule="atLeast"/>
        </w:trPr>
        <w:tc>
          <w:tcPr>
            <w:tcW w:w="1342" w:type="dxa"/>
          </w:tcPr>
          <w:p>
            <w:pPr>
              <w:pStyle w:val="TableParagraph"/>
              <w:spacing w:before="14"/>
              <w:ind w:left="93" w:right="83"/>
              <w:jc w:val="center"/>
              <w:rPr>
                <w:rFonts w:ascii="Times New Roman"/>
                <w:i/>
                <w:sz w:val="20"/>
              </w:rPr>
            </w:pPr>
            <w:r>
              <w:rPr>
                <w:rFonts w:ascii="Times New Roman"/>
                <w:i/>
                <w:sz w:val="20"/>
              </w:rPr>
              <w:t>EX3</w:t>
            </w:r>
          </w:p>
        </w:tc>
        <w:tc>
          <w:tcPr>
            <w:tcW w:w="1210" w:type="dxa"/>
          </w:tcPr>
          <w:p>
            <w:pPr>
              <w:pStyle w:val="TableParagraph"/>
              <w:spacing w:before="18"/>
              <w:ind w:left="92" w:right="87"/>
              <w:jc w:val="center"/>
              <w:rPr>
                <w:sz w:val="20"/>
              </w:rPr>
            </w:pPr>
            <w:r>
              <w:rPr>
                <w:sz w:val="20"/>
              </w:rPr>
              <w:t>SFR B8[2]</w:t>
            </w:r>
          </w:p>
        </w:tc>
        <w:tc>
          <w:tcPr>
            <w:tcW w:w="1376" w:type="dxa"/>
          </w:tcPr>
          <w:p>
            <w:pPr>
              <w:pStyle w:val="TableParagraph"/>
              <w:spacing w:before="18"/>
              <w:ind w:left="92" w:right="87"/>
              <w:jc w:val="center"/>
              <w:rPr>
                <w:sz w:val="20"/>
              </w:rPr>
            </w:pPr>
            <w:r>
              <w:rPr>
                <w:sz w:val="20"/>
              </w:rPr>
              <w:t>IEX3</w:t>
            </w:r>
          </w:p>
        </w:tc>
        <w:tc>
          <w:tcPr>
            <w:tcW w:w="1165" w:type="dxa"/>
          </w:tcPr>
          <w:p>
            <w:pPr>
              <w:pStyle w:val="TableParagraph"/>
              <w:spacing w:before="18"/>
              <w:ind w:left="91" w:right="89"/>
              <w:jc w:val="center"/>
              <w:rPr>
                <w:sz w:val="20"/>
              </w:rPr>
            </w:pPr>
            <w:r>
              <w:rPr>
                <w:sz w:val="20"/>
              </w:rPr>
              <w:t>SFR C0[2]</w:t>
            </w:r>
          </w:p>
        </w:tc>
        <w:tc>
          <w:tcPr>
            <w:tcW w:w="2775" w:type="dxa"/>
          </w:tcPr>
          <w:p>
            <w:pPr>
              <w:pStyle w:val="TableParagraph"/>
              <w:spacing w:before="18"/>
              <w:ind w:left="112"/>
              <w:rPr>
                <w:sz w:val="20"/>
              </w:rPr>
            </w:pPr>
            <w:r>
              <w:rPr>
                <w:sz w:val="20"/>
              </w:rPr>
              <w:t>External interrupt 3</w:t>
            </w:r>
          </w:p>
        </w:tc>
      </w:tr>
      <w:tr>
        <w:trPr>
          <w:trHeight w:val="268" w:hRule="atLeast"/>
        </w:trPr>
        <w:tc>
          <w:tcPr>
            <w:tcW w:w="1342" w:type="dxa"/>
          </w:tcPr>
          <w:p>
            <w:pPr>
              <w:pStyle w:val="TableParagraph"/>
              <w:spacing w:before="12"/>
              <w:ind w:left="93" w:right="83"/>
              <w:jc w:val="center"/>
              <w:rPr>
                <w:rFonts w:ascii="Times New Roman"/>
                <w:i/>
                <w:sz w:val="20"/>
              </w:rPr>
            </w:pPr>
            <w:r>
              <w:rPr>
                <w:rFonts w:ascii="Times New Roman"/>
                <w:i/>
                <w:sz w:val="20"/>
              </w:rPr>
              <w:t>EX4</w:t>
            </w:r>
          </w:p>
        </w:tc>
        <w:tc>
          <w:tcPr>
            <w:tcW w:w="1210" w:type="dxa"/>
          </w:tcPr>
          <w:p>
            <w:pPr>
              <w:pStyle w:val="TableParagraph"/>
              <w:spacing w:before="16"/>
              <w:ind w:left="92" w:right="87"/>
              <w:jc w:val="center"/>
              <w:rPr>
                <w:sz w:val="20"/>
              </w:rPr>
            </w:pPr>
            <w:r>
              <w:rPr>
                <w:sz w:val="20"/>
              </w:rPr>
              <w:t>SFR B8[3]</w:t>
            </w:r>
          </w:p>
        </w:tc>
        <w:tc>
          <w:tcPr>
            <w:tcW w:w="1376" w:type="dxa"/>
          </w:tcPr>
          <w:p>
            <w:pPr>
              <w:pStyle w:val="TableParagraph"/>
              <w:spacing w:before="16"/>
              <w:ind w:left="92" w:right="87"/>
              <w:jc w:val="center"/>
              <w:rPr>
                <w:sz w:val="20"/>
              </w:rPr>
            </w:pPr>
            <w:r>
              <w:rPr>
                <w:sz w:val="20"/>
              </w:rPr>
              <w:t>IEX4</w:t>
            </w:r>
          </w:p>
        </w:tc>
        <w:tc>
          <w:tcPr>
            <w:tcW w:w="1165" w:type="dxa"/>
          </w:tcPr>
          <w:p>
            <w:pPr>
              <w:pStyle w:val="TableParagraph"/>
              <w:spacing w:before="16"/>
              <w:ind w:left="91" w:right="89"/>
              <w:jc w:val="center"/>
              <w:rPr>
                <w:sz w:val="20"/>
              </w:rPr>
            </w:pPr>
            <w:r>
              <w:rPr>
                <w:sz w:val="20"/>
              </w:rPr>
              <w:t>SFR C0[3]</w:t>
            </w:r>
          </w:p>
        </w:tc>
        <w:tc>
          <w:tcPr>
            <w:tcW w:w="2775" w:type="dxa"/>
          </w:tcPr>
          <w:p>
            <w:pPr>
              <w:pStyle w:val="TableParagraph"/>
              <w:spacing w:before="16"/>
              <w:ind w:left="112"/>
              <w:rPr>
                <w:sz w:val="20"/>
              </w:rPr>
            </w:pPr>
            <w:r>
              <w:rPr>
                <w:sz w:val="20"/>
              </w:rPr>
              <w:t>External interrupt 4</w:t>
            </w:r>
          </w:p>
        </w:tc>
      </w:tr>
      <w:tr>
        <w:trPr>
          <w:trHeight w:val="270" w:hRule="atLeast"/>
        </w:trPr>
        <w:tc>
          <w:tcPr>
            <w:tcW w:w="1342" w:type="dxa"/>
          </w:tcPr>
          <w:p>
            <w:pPr>
              <w:pStyle w:val="TableParagraph"/>
              <w:spacing w:before="14"/>
              <w:ind w:left="93" w:right="83"/>
              <w:jc w:val="center"/>
              <w:rPr>
                <w:rFonts w:ascii="Times New Roman"/>
                <w:i/>
                <w:sz w:val="20"/>
              </w:rPr>
            </w:pPr>
            <w:r>
              <w:rPr>
                <w:rFonts w:ascii="Times New Roman"/>
                <w:i/>
                <w:sz w:val="20"/>
              </w:rPr>
              <w:t>EX5</w:t>
            </w:r>
          </w:p>
        </w:tc>
        <w:tc>
          <w:tcPr>
            <w:tcW w:w="1210" w:type="dxa"/>
          </w:tcPr>
          <w:p>
            <w:pPr>
              <w:pStyle w:val="TableParagraph"/>
              <w:spacing w:before="18"/>
              <w:ind w:left="92" w:right="87"/>
              <w:jc w:val="center"/>
              <w:rPr>
                <w:sz w:val="20"/>
              </w:rPr>
            </w:pPr>
            <w:r>
              <w:rPr>
                <w:sz w:val="20"/>
              </w:rPr>
              <w:t>SFR B8[4]</w:t>
            </w:r>
          </w:p>
        </w:tc>
        <w:tc>
          <w:tcPr>
            <w:tcW w:w="1376" w:type="dxa"/>
          </w:tcPr>
          <w:p>
            <w:pPr>
              <w:pStyle w:val="TableParagraph"/>
              <w:spacing w:before="18"/>
              <w:ind w:left="92" w:right="87"/>
              <w:jc w:val="center"/>
              <w:rPr>
                <w:sz w:val="20"/>
              </w:rPr>
            </w:pPr>
            <w:r>
              <w:rPr>
                <w:sz w:val="20"/>
              </w:rPr>
              <w:t>IEX5</w:t>
            </w:r>
          </w:p>
        </w:tc>
        <w:tc>
          <w:tcPr>
            <w:tcW w:w="1165" w:type="dxa"/>
          </w:tcPr>
          <w:p>
            <w:pPr>
              <w:pStyle w:val="TableParagraph"/>
              <w:spacing w:before="18"/>
              <w:ind w:left="91" w:right="89"/>
              <w:jc w:val="center"/>
              <w:rPr>
                <w:sz w:val="20"/>
              </w:rPr>
            </w:pPr>
            <w:r>
              <w:rPr>
                <w:sz w:val="20"/>
              </w:rPr>
              <w:t>SFR C0[4]</w:t>
            </w:r>
          </w:p>
        </w:tc>
        <w:tc>
          <w:tcPr>
            <w:tcW w:w="2775" w:type="dxa"/>
          </w:tcPr>
          <w:p>
            <w:pPr>
              <w:pStyle w:val="TableParagraph"/>
              <w:spacing w:before="18"/>
              <w:ind w:left="112"/>
              <w:rPr>
                <w:sz w:val="20"/>
              </w:rPr>
            </w:pPr>
            <w:r>
              <w:rPr>
                <w:sz w:val="20"/>
              </w:rPr>
              <w:t>External interrupt 5</w:t>
            </w:r>
          </w:p>
        </w:tc>
      </w:tr>
      <w:tr>
        <w:trPr>
          <w:trHeight w:val="270" w:hRule="atLeast"/>
        </w:trPr>
        <w:tc>
          <w:tcPr>
            <w:tcW w:w="1342" w:type="dxa"/>
          </w:tcPr>
          <w:p>
            <w:pPr>
              <w:pStyle w:val="TableParagraph"/>
              <w:spacing w:before="14"/>
              <w:ind w:left="93" w:right="83"/>
              <w:jc w:val="center"/>
              <w:rPr>
                <w:rFonts w:ascii="Times New Roman"/>
                <w:i/>
                <w:sz w:val="20"/>
              </w:rPr>
            </w:pPr>
            <w:r>
              <w:rPr>
                <w:rFonts w:ascii="Times New Roman"/>
                <w:i/>
                <w:sz w:val="20"/>
              </w:rPr>
              <w:t>EX6</w:t>
            </w:r>
          </w:p>
        </w:tc>
        <w:tc>
          <w:tcPr>
            <w:tcW w:w="1210" w:type="dxa"/>
          </w:tcPr>
          <w:p>
            <w:pPr>
              <w:pStyle w:val="TableParagraph"/>
              <w:spacing w:before="18"/>
              <w:ind w:left="92" w:right="87"/>
              <w:jc w:val="center"/>
              <w:rPr>
                <w:sz w:val="20"/>
              </w:rPr>
            </w:pPr>
            <w:r>
              <w:rPr>
                <w:sz w:val="20"/>
              </w:rPr>
              <w:t>SFR B8[5]</w:t>
            </w:r>
          </w:p>
        </w:tc>
        <w:tc>
          <w:tcPr>
            <w:tcW w:w="1376" w:type="dxa"/>
          </w:tcPr>
          <w:p>
            <w:pPr>
              <w:pStyle w:val="TableParagraph"/>
              <w:spacing w:before="18"/>
              <w:ind w:left="92" w:right="87"/>
              <w:jc w:val="center"/>
              <w:rPr>
                <w:sz w:val="20"/>
              </w:rPr>
            </w:pPr>
            <w:r>
              <w:rPr>
                <w:sz w:val="20"/>
              </w:rPr>
              <w:t>IEX6</w:t>
            </w:r>
          </w:p>
        </w:tc>
        <w:tc>
          <w:tcPr>
            <w:tcW w:w="1165" w:type="dxa"/>
          </w:tcPr>
          <w:p>
            <w:pPr>
              <w:pStyle w:val="TableParagraph"/>
              <w:spacing w:before="18"/>
              <w:ind w:left="91" w:right="89"/>
              <w:jc w:val="center"/>
              <w:rPr>
                <w:sz w:val="20"/>
              </w:rPr>
            </w:pPr>
            <w:r>
              <w:rPr>
                <w:sz w:val="20"/>
              </w:rPr>
              <w:t>SFR C0[5]</w:t>
            </w:r>
          </w:p>
        </w:tc>
        <w:tc>
          <w:tcPr>
            <w:tcW w:w="2775" w:type="dxa"/>
          </w:tcPr>
          <w:p>
            <w:pPr>
              <w:pStyle w:val="TableParagraph"/>
              <w:spacing w:before="18"/>
              <w:ind w:left="112"/>
              <w:rPr>
                <w:sz w:val="20"/>
              </w:rPr>
            </w:pPr>
            <w:r>
              <w:rPr>
                <w:sz w:val="20"/>
              </w:rPr>
              <w:t>External interrupt 6</w:t>
            </w:r>
          </w:p>
        </w:tc>
      </w:tr>
      <w:tr>
        <w:trPr>
          <w:trHeight w:val="498" w:hRule="atLeast"/>
        </w:trPr>
        <w:tc>
          <w:tcPr>
            <w:tcW w:w="1342" w:type="dxa"/>
          </w:tcPr>
          <w:p>
            <w:pPr>
              <w:pStyle w:val="TableParagraph"/>
              <w:spacing w:before="12"/>
              <w:ind w:left="213" w:right="187" w:firstLine="40"/>
              <w:rPr>
                <w:rFonts w:ascii="Times New Roman"/>
                <w:i/>
                <w:sz w:val="20"/>
              </w:rPr>
            </w:pPr>
            <w:r>
              <w:rPr>
                <w:rFonts w:ascii="Times New Roman"/>
                <w:i/>
                <w:sz w:val="20"/>
              </w:rPr>
              <w:t>EX_XFER </w:t>
            </w:r>
            <w:r>
              <w:rPr>
                <w:rFonts w:ascii="Times New Roman"/>
                <w:i/>
                <w:sz w:val="20"/>
              </w:rPr>
              <w:t>EX_RTC1S</w:t>
            </w:r>
          </w:p>
        </w:tc>
        <w:tc>
          <w:tcPr>
            <w:tcW w:w="1210" w:type="dxa"/>
          </w:tcPr>
          <w:p>
            <w:pPr>
              <w:pStyle w:val="TableParagraph"/>
              <w:spacing w:before="16"/>
              <w:ind w:left="270"/>
              <w:rPr>
                <w:sz w:val="20"/>
              </w:rPr>
            </w:pPr>
            <w:r>
              <w:rPr>
                <w:sz w:val="20"/>
              </w:rPr>
              <w:t>2700[0]</w:t>
            </w:r>
          </w:p>
          <w:p>
            <w:pPr>
              <w:pStyle w:val="TableParagraph"/>
              <w:ind w:left="270"/>
              <w:rPr>
                <w:sz w:val="20"/>
              </w:rPr>
            </w:pPr>
            <w:r>
              <w:rPr>
                <w:sz w:val="20"/>
              </w:rPr>
              <w:t>2700[1]</w:t>
            </w:r>
          </w:p>
        </w:tc>
        <w:tc>
          <w:tcPr>
            <w:tcW w:w="1376" w:type="dxa"/>
          </w:tcPr>
          <w:p>
            <w:pPr>
              <w:pStyle w:val="TableParagraph"/>
              <w:spacing w:before="16"/>
              <w:ind w:left="207" w:firstLine="62"/>
              <w:rPr>
                <w:sz w:val="20"/>
              </w:rPr>
            </w:pPr>
            <w:r>
              <w:rPr>
                <w:sz w:val="20"/>
              </w:rPr>
              <w:t>IE_XFER </w:t>
            </w:r>
            <w:r>
              <w:rPr>
                <w:w w:val="95"/>
                <w:sz w:val="20"/>
              </w:rPr>
              <w:t>IE_RTC1S</w:t>
            </w:r>
          </w:p>
        </w:tc>
        <w:tc>
          <w:tcPr>
            <w:tcW w:w="1165" w:type="dxa"/>
          </w:tcPr>
          <w:p>
            <w:pPr>
              <w:pStyle w:val="TableParagraph"/>
              <w:spacing w:before="16"/>
              <w:ind w:left="118"/>
              <w:rPr>
                <w:sz w:val="20"/>
              </w:rPr>
            </w:pPr>
            <w:r>
              <w:rPr>
                <w:sz w:val="20"/>
              </w:rPr>
              <w:t>SFR E8[0] SFR E8[1]</w:t>
            </w:r>
          </w:p>
        </w:tc>
        <w:tc>
          <w:tcPr>
            <w:tcW w:w="2775" w:type="dxa"/>
          </w:tcPr>
          <w:p>
            <w:pPr>
              <w:pStyle w:val="TableParagraph"/>
              <w:spacing w:before="16"/>
              <w:ind w:left="112" w:right="87"/>
              <w:rPr>
                <w:sz w:val="20"/>
              </w:rPr>
            </w:pPr>
            <w:r>
              <w:rPr>
                <w:sz w:val="20"/>
              </w:rPr>
              <w:t>XFER_BUSY interrupt (int 6) RTC_1SEC interrupt (int 6)</w:t>
            </w:r>
          </w:p>
        </w:tc>
      </w:tr>
    </w:tbl>
    <w:p>
      <w:pPr>
        <w:spacing w:after="0"/>
        <w:rPr>
          <w:sz w:val="20"/>
        </w:rPr>
        <w:sectPr>
          <w:pgSz w:w="12240" w:h="15840"/>
          <w:pgMar w:header="727" w:footer="819" w:top="960" w:bottom="1000" w:left="820" w:right="860"/>
        </w:sectPr>
      </w:pPr>
    </w:p>
    <w:p>
      <w:pPr>
        <w:pStyle w:val="BodyText"/>
        <w:rPr>
          <w:b/>
          <w:sz w:val="25"/>
        </w:rPr>
      </w:pPr>
    </w:p>
    <w:tbl>
      <w:tblPr>
        <w:tblW w:w="0" w:type="auto"/>
        <w:jc w:val="left"/>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2"/>
        <w:gridCol w:w="1210"/>
        <w:gridCol w:w="1376"/>
        <w:gridCol w:w="1165"/>
        <w:gridCol w:w="2775"/>
      </w:tblGrid>
      <w:tr>
        <w:trPr>
          <w:trHeight w:val="299" w:hRule="atLeast"/>
        </w:trPr>
        <w:tc>
          <w:tcPr>
            <w:tcW w:w="2552" w:type="dxa"/>
            <w:gridSpan w:val="2"/>
          </w:tcPr>
          <w:p>
            <w:pPr>
              <w:pStyle w:val="TableParagraph"/>
              <w:spacing w:before="35"/>
              <w:ind w:left="506"/>
              <w:rPr>
                <w:b/>
                <w:sz w:val="20"/>
              </w:rPr>
            </w:pPr>
            <w:r>
              <w:rPr>
                <w:b/>
                <w:sz w:val="20"/>
              </w:rPr>
              <w:t>Interrupt Enable</w:t>
            </w:r>
          </w:p>
        </w:tc>
        <w:tc>
          <w:tcPr>
            <w:tcW w:w="2541" w:type="dxa"/>
            <w:gridSpan w:val="2"/>
          </w:tcPr>
          <w:p>
            <w:pPr>
              <w:pStyle w:val="TableParagraph"/>
              <w:spacing w:before="35"/>
              <w:ind w:left="623"/>
              <w:rPr>
                <w:b/>
                <w:sz w:val="20"/>
              </w:rPr>
            </w:pPr>
            <w:r>
              <w:rPr>
                <w:b/>
                <w:sz w:val="20"/>
              </w:rPr>
              <w:t>Interrupt Flag</w:t>
            </w:r>
          </w:p>
        </w:tc>
        <w:tc>
          <w:tcPr>
            <w:tcW w:w="2775" w:type="dxa"/>
            <w:vMerge w:val="restart"/>
            <w:tcBorders>
              <w:bottom w:val="double" w:sz="1" w:space="0" w:color="000000"/>
            </w:tcBorders>
          </w:tcPr>
          <w:p>
            <w:pPr>
              <w:pStyle w:val="TableParagraph"/>
              <w:spacing w:before="10"/>
              <w:rPr>
                <w:b/>
                <w:sz w:val="17"/>
              </w:rPr>
            </w:pPr>
          </w:p>
          <w:p>
            <w:pPr>
              <w:pStyle w:val="TableParagraph"/>
              <w:ind w:left="395"/>
              <w:rPr>
                <w:b/>
                <w:sz w:val="20"/>
              </w:rPr>
            </w:pPr>
            <w:r>
              <w:rPr>
                <w:b/>
                <w:sz w:val="20"/>
              </w:rPr>
              <w:t>Interrupt Description</w:t>
            </w:r>
          </w:p>
        </w:tc>
      </w:tr>
      <w:tr>
        <w:trPr>
          <w:trHeight w:val="320" w:hRule="atLeast"/>
        </w:trPr>
        <w:tc>
          <w:tcPr>
            <w:tcW w:w="1342" w:type="dxa"/>
            <w:tcBorders>
              <w:bottom w:val="double" w:sz="1" w:space="0" w:color="000000"/>
            </w:tcBorders>
          </w:tcPr>
          <w:p>
            <w:pPr>
              <w:pStyle w:val="TableParagraph"/>
              <w:spacing w:before="47"/>
              <w:ind w:left="93" w:right="86"/>
              <w:jc w:val="center"/>
              <w:rPr>
                <w:b/>
                <w:sz w:val="20"/>
              </w:rPr>
            </w:pPr>
            <w:r>
              <w:rPr>
                <w:b/>
                <w:sz w:val="20"/>
              </w:rPr>
              <w:t>Name</w:t>
            </w:r>
          </w:p>
        </w:tc>
        <w:tc>
          <w:tcPr>
            <w:tcW w:w="1210" w:type="dxa"/>
            <w:tcBorders>
              <w:bottom w:val="double" w:sz="1" w:space="0" w:color="000000"/>
            </w:tcBorders>
          </w:tcPr>
          <w:p>
            <w:pPr>
              <w:pStyle w:val="TableParagraph"/>
              <w:spacing w:before="47"/>
              <w:ind w:left="91" w:right="87"/>
              <w:jc w:val="center"/>
              <w:rPr>
                <w:b/>
                <w:sz w:val="20"/>
              </w:rPr>
            </w:pPr>
            <w:r>
              <w:rPr>
                <w:b/>
                <w:sz w:val="20"/>
              </w:rPr>
              <w:t>Location</w:t>
            </w:r>
          </w:p>
        </w:tc>
        <w:tc>
          <w:tcPr>
            <w:tcW w:w="1376" w:type="dxa"/>
            <w:tcBorders>
              <w:bottom w:val="double" w:sz="1" w:space="0" w:color="000000"/>
            </w:tcBorders>
          </w:tcPr>
          <w:p>
            <w:pPr>
              <w:pStyle w:val="TableParagraph"/>
              <w:spacing w:before="47"/>
              <w:ind w:left="92" w:right="87"/>
              <w:jc w:val="center"/>
              <w:rPr>
                <w:b/>
                <w:sz w:val="20"/>
              </w:rPr>
            </w:pPr>
            <w:r>
              <w:rPr>
                <w:b/>
                <w:sz w:val="20"/>
              </w:rPr>
              <w:t>Name</w:t>
            </w:r>
          </w:p>
        </w:tc>
        <w:tc>
          <w:tcPr>
            <w:tcW w:w="1165" w:type="dxa"/>
            <w:tcBorders>
              <w:bottom w:val="double" w:sz="1" w:space="0" w:color="000000"/>
            </w:tcBorders>
          </w:tcPr>
          <w:p>
            <w:pPr>
              <w:pStyle w:val="TableParagraph"/>
              <w:spacing w:before="47"/>
              <w:ind w:left="91" w:right="87"/>
              <w:jc w:val="center"/>
              <w:rPr>
                <w:b/>
                <w:sz w:val="20"/>
              </w:rPr>
            </w:pPr>
            <w:r>
              <w:rPr>
                <w:b/>
                <w:sz w:val="20"/>
              </w:rPr>
              <w:t>Location</w:t>
            </w:r>
          </w:p>
        </w:tc>
        <w:tc>
          <w:tcPr>
            <w:tcW w:w="2775" w:type="dxa"/>
            <w:vMerge/>
            <w:tcBorders>
              <w:top w:val="nil"/>
              <w:bottom w:val="double" w:sz="1" w:space="0" w:color="000000"/>
            </w:tcBorders>
          </w:tcPr>
          <w:p>
            <w:pPr>
              <w:rPr>
                <w:sz w:val="2"/>
                <w:szCs w:val="2"/>
              </w:rPr>
            </w:pPr>
          </w:p>
        </w:tc>
      </w:tr>
      <w:tr>
        <w:trPr>
          <w:trHeight w:val="229" w:hRule="atLeast"/>
        </w:trPr>
        <w:tc>
          <w:tcPr>
            <w:tcW w:w="1342" w:type="dxa"/>
            <w:tcBorders>
              <w:top w:val="double" w:sz="1" w:space="0" w:color="000000"/>
              <w:bottom w:val="nil"/>
            </w:tcBorders>
          </w:tcPr>
          <w:p>
            <w:pPr>
              <w:pStyle w:val="TableParagraph"/>
              <w:spacing w:line="209" w:lineRule="exact"/>
              <w:ind w:left="93" w:right="84"/>
              <w:jc w:val="center"/>
              <w:rPr>
                <w:rFonts w:ascii="Times New Roman"/>
                <w:i/>
                <w:sz w:val="20"/>
              </w:rPr>
            </w:pPr>
            <w:r>
              <w:rPr>
                <w:rFonts w:ascii="Times New Roman"/>
                <w:i/>
                <w:sz w:val="20"/>
              </w:rPr>
              <w:t>EX_RTC1M</w:t>
            </w:r>
          </w:p>
        </w:tc>
        <w:tc>
          <w:tcPr>
            <w:tcW w:w="1210" w:type="dxa"/>
            <w:tcBorders>
              <w:top w:val="double" w:sz="1" w:space="0" w:color="000000"/>
              <w:bottom w:val="nil"/>
            </w:tcBorders>
          </w:tcPr>
          <w:p>
            <w:pPr>
              <w:pStyle w:val="TableParagraph"/>
              <w:spacing w:line="209" w:lineRule="exact"/>
              <w:ind w:left="92" w:right="87"/>
              <w:jc w:val="center"/>
              <w:rPr>
                <w:sz w:val="20"/>
              </w:rPr>
            </w:pPr>
            <w:r>
              <w:rPr>
                <w:sz w:val="20"/>
              </w:rPr>
              <w:t>2700[2]</w:t>
            </w:r>
          </w:p>
        </w:tc>
        <w:tc>
          <w:tcPr>
            <w:tcW w:w="1376" w:type="dxa"/>
            <w:tcBorders>
              <w:top w:val="double" w:sz="1" w:space="0" w:color="000000"/>
              <w:bottom w:val="nil"/>
            </w:tcBorders>
          </w:tcPr>
          <w:p>
            <w:pPr>
              <w:pStyle w:val="TableParagraph"/>
              <w:spacing w:line="209" w:lineRule="exact"/>
              <w:ind w:left="90" w:right="88"/>
              <w:jc w:val="center"/>
              <w:rPr>
                <w:sz w:val="20"/>
              </w:rPr>
            </w:pPr>
            <w:r>
              <w:rPr>
                <w:sz w:val="20"/>
              </w:rPr>
              <w:t>IE_RTC1M</w:t>
            </w:r>
          </w:p>
        </w:tc>
        <w:tc>
          <w:tcPr>
            <w:tcW w:w="1165" w:type="dxa"/>
            <w:tcBorders>
              <w:top w:val="double" w:sz="1" w:space="0" w:color="000000"/>
              <w:bottom w:val="nil"/>
            </w:tcBorders>
          </w:tcPr>
          <w:p>
            <w:pPr>
              <w:pStyle w:val="TableParagraph"/>
              <w:spacing w:line="209" w:lineRule="exact"/>
              <w:ind w:left="89" w:right="89"/>
              <w:jc w:val="center"/>
              <w:rPr>
                <w:sz w:val="20"/>
              </w:rPr>
            </w:pPr>
            <w:r>
              <w:rPr>
                <w:sz w:val="20"/>
              </w:rPr>
              <w:t>SFR E8[2]</w:t>
            </w:r>
          </w:p>
        </w:tc>
        <w:tc>
          <w:tcPr>
            <w:tcW w:w="2775" w:type="dxa"/>
            <w:tcBorders>
              <w:top w:val="double" w:sz="1" w:space="0" w:color="000000"/>
              <w:bottom w:val="nil"/>
            </w:tcBorders>
          </w:tcPr>
          <w:p>
            <w:pPr>
              <w:pStyle w:val="TableParagraph"/>
              <w:spacing w:line="209" w:lineRule="exact"/>
              <w:ind w:left="112"/>
              <w:rPr>
                <w:sz w:val="20"/>
              </w:rPr>
            </w:pPr>
            <w:r>
              <w:rPr>
                <w:sz w:val="20"/>
              </w:rPr>
              <w:t>RTC_1MIN interrupt (int 6)</w:t>
            </w:r>
          </w:p>
        </w:tc>
      </w:tr>
      <w:tr>
        <w:trPr>
          <w:trHeight w:val="230" w:hRule="atLeast"/>
        </w:trPr>
        <w:tc>
          <w:tcPr>
            <w:tcW w:w="1342" w:type="dxa"/>
            <w:tcBorders>
              <w:top w:val="nil"/>
              <w:bottom w:val="nil"/>
            </w:tcBorders>
          </w:tcPr>
          <w:p>
            <w:pPr>
              <w:pStyle w:val="TableParagraph"/>
              <w:spacing w:line="210" w:lineRule="exact"/>
              <w:ind w:left="93" w:right="86"/>
              <w:jc w:val="center"/>
              <w:rPr>
                <w:rFonts w:ascii="Times New Roman"/>
                <w:i/>
                <w:sz w:val="20"/>
              </w:rPr>
            </w:pPr>
            <w:r>
              <w:rPr>
                <w:rFonts w:ascii="Times New Roman"/>
                <w:i/>
                <w:sz w:val="20"/>
              </w:rPr>
              <w:t>EX_RTCT</w:t>
            </w:r>
          </w:p>
        </w:tc>
        <w:tc>
          <w:tcPr>
            <w:tcW w:w="1210" w:type="dxa"/>
            <w:tcBorders>
              <w:top w:val="nil"/>
              <w:bottom w:val="nil"/>
            </w:tcBorders>
          </w:tcPr>
          <w:p>
            <w:pPr>
              <w:pStyle w:val="TableParagraph"/>
              <w:spacing w:line="210" w:lineRule="exact"/>
              <w:ind w:left="92" w:right="87"/>
              <w:jc w:val="center"/>
              <w:rPr>
                <w:sz w:val="20"/>
              </w:rPr>
            </w:pPr>
            <w:r>
              <w:rPr>
                <w:sz w:val="20"/>
              </w:rPr>
              <w:t>2700[4]</w:t>
            </w:r>
          </w:p>
        </w:tc>
        <w:tc>
          <w:tcPr>
            <w:tcW w:w="1376" w:type="dxa"/>
            <w:tcBorders>
              <w:top w:val="nil"/>
              <w:bottom w:val="nil"/>
            </w:tcBorders>
          </w:tcPr>
          <w:p>
            <w:pPr>
              <w:pStyle w:val="TableParagraph"/>
              <w:spacing w:line="210" w:lineRule="exact"/>
              <w:ind w:left="92" w:right="86"/>
              <w:jc w:val="center"/>
              <w:rPr>
                <w:sz w:val="20"/>
              </w:rPr>
            </w:pPr>
            <w:r>
              <w:rPr>
                <w:sz w:val="20"/>
              </w:rPr>
              <w:t>IE_RTCT</w:t>
            </w:r>
          </w:p>
        </w:tc>
        <w:tc>
          <w:tcPr>
            <w:tcW w:w="1165" w:type="dxa"/>
            <w:tcBorders>
              <w:top w:val="nil"/>
              <w:bottom w:val="nil"/>
            </w:tcBorders>
          </w:tcPr>
          <w:p>
            <w:pPr>
              <w:pStyle w:val="TableParagraph"/>
              <w:spacing w:line="210" w:lineRule="exact"/>
              <w:ind w:left="89" w:right="89"/>
              <w:jc w:val="center"/>
              <w:rPr>
                <w:sz w:val="20"/>
              </w:rPr>
            </w:pPr>
            <w:r>
              <w:rPr>
                <w:sz w:val="20"/>
              </w:rPr>
              <w:t>SFR E8[4]</w:t>
            </w:r>
          </w:p>
        </w:tc>
        <w:tc>
          <w:tcPr>
            <w:tcW w:w="2775" w:type="dxa"/>
            <w:tcBorders>
              <w:top w:val="nil"/>
              <w:bottom w:val="nil"/>
            </w:tcBorders>
          </w:tcPr>
          <w:p>
            <w:pPr>
              <w:pStyle w:val="TableParagraph"/>
              <w:spacing w:line="210" w:lineRule="exact"/>
              <w:ind w:left="112"/>
              <w:rPr>
                <w:sz w:val="20"/>
              </w:rPr>
            </w:pPr>
            <w:r>
              <w:rPr>
                <w:sz w:val="20"/>
              </w:rPr>
              <w:t>RTC_T interrupt (int 6)</w:t>
            </w:r>
          </w:p>
        </w:tc>
      </w:tr>
      <w:tr>
        <w:trPr>
          <w:trHeight w:val="230" w:hRule="atLeast"/>
        </w:trPr>
        <w:tc>
          <w:tcPr>
            <w:tcW w:w="1342" w:type="dxa"/>
            <w:tcBorders>
              <w:top w:val="nil"/>
              <w:bottom w:val="nil"/>
            </w:tcBorders>
          </w:tcPr>
          <w:p>
            <w:pPr>
              <w:pStyle w:val="TableParagraph"/>
              <w:spacing w:line="210" w:lineRule="exact"/>
              <w:ind w:left="93" w:right="86"/>
              <w:jc w:val="center"/>
              <w:rPr>
                <w:rFonts w:ascii="Times New Roman"/>
                <w:i/>
                <w:sz w:val="20"/>
              </w:rPr>
            </w:pPr>
            <w:r>
              <w:rPr>
                <w:rFonts w:ascii="Times New Roman"/>
                <w:i/>
                <w:sz w:val="20"/>
              </w:rPr>
              <w:t>EX_SPI</w:t>
            </w:r>
          </w:p>
        </w:tc>
        <w:tc>
          <w:tcPr>
            <w:tcW w:w="1210" w:type="dxa"/>
            <w:tcBorders>
              <w:top w:val="nil"/>
              <w:bottom w:val="nil"/>
            </w:tcBorders>
          </w:tcPr>
          <w:p>
            <w:pPr>
              <w:pStyle w:val="TableParagraph"/>
              <w:spacing w:line="210" w:lineRule="exact"/>
              <w:ind w:left="92" w:right="87"/>
              <w:jc w:val="center"/>
              <w:rPr>
                <w:sz w:val="20"/>
              </w:rPr>
            </w:pPr>
            <w:r>
              <w:rPr>
                <w:sz w:val="20"/>
              </w:rPr>
              <w:t>2701[7]</w:t>
            </w:r>
          </w:p>
        </w:tc>
        <w:tc>
          <w:tcPr>
            <w:tcW w:w="1376" w:type="dxa"/>
            <w:tcBorders>
              <w:top w:val="nil"/>
              <w:bottom w:val="nil"/>
            </w:tcBorders>
          </w:tcPr>
          <w:p>
            <w:pPr>
              <w:pStyle w:val="TableParagraph"/>
              <w:spacing w:line="210" w:lineRule="exact"/>
              <w:ind w:left="91" w:right="88"/>
              <w:jc w:val="center"/>
              <w:rPr>
                <w:sz w:val="20"/>
              </w:rPr>
            </w:pPr>
            <w:r>
              <w:rPr>
                <w:sz w:val="20"/>
              </w:rPr>
              <w:t>IE_SPI</w:t>
            </w:r>
          </w:p>
        </w:tc>
        <w:tc>
          <w:tcPr>
            <w:tcW w:w="1165" w:type="dxa"/>
            <w:tcBorders>
              <w:top w:val="nil"/>
              <w:bottom w:val="nil"/>
            </w:tcBorders>
          </w:tcPr>
          <w:p>
            <w:pPr>
              <w:pStyle w:val="TableParagraph"/>
              <w:spacing w:line="210" w:lineRule="exact"/>
              <w:ind w:left="89" w:right="89"/>
              <w:jc w:val="center"/>
              <w:rPr>
                <w:sz w:val="20"/>
              </w:rPr>
            </w:pPr>
            <w:r>
              <w:rPr>
                <w:sz w:val="20"/>
              </w:rPr>
              <w:t>SFR F8[7]</w:t>
            </w:r>
          </w:p>
        </w:tc>
        <w:tc>
          <w:tcPr>
            <w:tcW w:w="2775" w:type="dxa"/>
            <w:tcBorders>
              <w:top w:val="nil"/>
              <w:bottom w:val="nil"/>
            </w:tcBorders>
          </w:tcPr>
          <w:p>
            <w:pPr>
              <w:pStyle w:val="TableParagraph"/>
              <w:spacing w:line="210" w:lineRule="exact"/>
              <w:ind w:left="112"/>
              <w:rPr>
                <w:sz w:val="20"/>
              </w:rPr>
            </w:pPr>
            <w:r>
              <w:rPr>
                <w:sz w:val="20"/>
              </w:rPr>
              <w:t>SPI interrupt</w:t>
            </w:r>
          </w:p>
        </w:tc>
      </w:tr>
      <w:tr>
        <w:trPr>
          <w:trHeight w:val="230" w:hRule="atLeast"/>
        </w:trPr>
        <w:tc>
          <w:tcPr>
            <w:tcW w:w="1342" w:type="dxa"/>
            <w:tcBorders>
              <w:top w:val="nil"/>
              <w:bottom w:val="nil"/>
            </w:tcBorders>
          </w:tcPr>
          <w:p>
            <w:pPr>
              <w:pStyle w:val="TableParagraph"/>
              <w:spacing w:line="210" w:lineRule="exact"/>
              <w:ind w:left="93" w:right="85"/>
              <w:jc w:val="center"/>
              <w:rPr>
                <w:rFonts w:ascii="Times New Roman"/>
                <w:i/>
                <w:sz w:val="20"/>
              </w:rPr>
            </w:pPr>
            <w:r>
              <w:rPr>
                <w:rFonts w:ascii="Times New Roman"/>
                <w:i/>
                <w:sz w:val="20"/>
              </w:rPr>
              <w:t>EX_EEX</w:t>
            </w:r>
          </w:p>
        </w:tc>
        <w:tc>
          <w:tcPr>
            <w:tcW w:w="1210" w:type="dxa"/>
            <w:tcBorders>
              <w:top w:val="nil"/>
              <w:bottom w:val="nil"/>
            </w:tcBorders>
          </w:tcPr>
          <w:p>
            <w:pPr>
              <w:pStyle w:val="TableParagraph"/>
              <w:spacing w:line="210" w:lineRule="exact"/>
              <w:ind w:left="92" w:right="87"/>
              <w:jc w:val="center"/>
              <w:rPr>
                <w:sz w:val="20"/>
              </w:rPr>
            </w:pPr>
            <w:r>
              <w:rPr>
                <w:sz w:val="20"/>
              </w:rPr>
              <w:t>2700[7]</w:t>
            </w:r>
          </w:p>
        </w:tc>
        <w:tc>
          <w:tcPr>
            <w:tcW w:w="1376" w:type="dxa"/>
            <w:tcBorders>
              <w:top w:val="nil"/>
              <w:bottom w:val="nil"/>
            </w:tcBorders>
          </w:tcPr>
          <w:p>
            <w:pPr>
              <w:pStyle w:val="TableParagraph"/>
              <w:spacing w:line="210" w:lineRule="exact"/>
              <w:ind w:left="88" w:right="88"/>
              <w:jc w:val="center"/>
              <w:rPr>
                <w:sz w:val="20"/>
              </w:rPr>
            </w:pPr>
            <w:r>
              <w:rPr>
                <w:sz w:val="20"/>
              </w:rPr>
              <w:t>IE_EEX</w:t>
            </w:r>
          </w:p>
        </w:tc>
        <w:tc>
          <w:tcPr>
            <w:tcW w:w="1165" w:type="dxa"/>
            <w:tcBorders>
              <w:top w:val="nil"/>
              <w:bottom w:val="nil"/>
            </w:tcBorders>
          </w:tcPr>
          <w:p>
            <w:pPr>
              <w:pStyle w:val="TableParagraph"/>
              <w:spacing w:line="210" w:lineRule="exact"/>
              <w:ind w:left="89" w:right="89"/>
              <w:jc w:val="center"/>
              <w:rPr>
                <w:sz w:val="20"/>
              </w:rPr>
            </w:pPr>
            <w:r>
              <w:rPr>
                <w:sz w:val="20"/>
              </w:rPr>
              <w:t>SFR E8[7]</w:t>
            </w:r>
          </w:p>
        </w:tc>
        <w:tc>
          <w:tcPr>
            <w:tcW w:w="2775" w:type="dxa"/>
            <w:tcBorders>
              <w:top w:val="nil"/>
              <w:bottom w:val="nil"/>
            </w:tcBorders>
          </w:tcPr>
          <w:p>
            <w:pPr>
              <w:pStyle w:val="TableParagraph"/>
              <w:spacing w:line="210" w:lineRule="exact"/>
              <w:ind w:left="112"/>
              <w:rPr>
                <w:sz w:val="20"/>
              </w:rPr>
            </w:pPr>
            <w:r>
              <w:rPr>
                <w:sz w:val="20"/>
              </w:rPr>
              <w:t>EEPROM interrupt</w:t>
            </w:r>
          </w:p>
        </w:tc>
      </w:tr>
      <w:tr>
        <w:trPr>
          <w:trHeight w:val="230" w:hRule="atLeast"/>
        </w:trPr>
        <w:tc>
          <w:tcPr>
            <w:tcW w:w="1342" w:type="dxa"/>
            <w:tcBorders>
              <w:top w:val="nil"/>
              <w:bottom w:val="nil"/>
            </w:tcBorders>
          </w:tcPr>
          <w:p>
            <w:pPr>
              <w:pStyle w:val="TableParagraph"/>
              <w:spacing w:line="210" w:lineRule="exact"/>
              <w:ind w:left="93" w:right="86"/>
              <w:jc w:val="center"/>
              <w:rPr>
                <w:rFonts w:ascii="Times New Roman"/>
                <w:i/>
                <w:sz w:val="20"/>
              </w:rPr>
            </w:pPr>
            <w:r>
              <w:rPr>
                <w:rFonts w:ascii="Times New Roman"/>
                <w:i/>
                <w:sz w:val="20"/>
              </w:rPr>
              <w:t>EX_XPULSE</w:t>
            </w:r>
          </w:p>
        </w:tc>
        <w:tc>
          <w:tcPr>
            <w:tcW w:w="1210" w:type="dxa"/>
            <w:tcBorders>
              <w:top w:val="nil"/>
              <w:bottom w:val="nil"/>
            </w:tcBorders>
          </w:tcPr>
          <w:p>
            <w:pPr>
              <w:pStyle w:val="TableParagraph"/>
              <w:spacing w:line="210" w:lineRule="exact"/>
              <w:ind w:left="92" w:right="87"/>
              <w:jc w:val="center"/>
              <w:rPr>
                <w:sz w:val="20"/>
              </w:rPr>
            </w:pPr>
            <w:r>
              <w:rPr>
                <w:sz w:val="20"/>
              </w:rPr>
              <w:t>2700[6]</w:t>
            </w:r>
          </w:p>
        </w:tc>
        <w:tc>
          <w:tcPr>
            <w:tcW w:w="1376" w:type="dxa"/>
            <w:tcBorders>
              <w:top w:val="nil"/>
              <w:bottom w:val="nil"/>
            </w:tcBorders>
          </w:tcPr>
          <w:p>
            <w:pPr>
              <w:pStyle w:val="TableParagraph"/>
              <w:spacing w:line="210" w:lineRule="exact"/>
              <w:ind w:left="90" w:right="88"/>
              <w:jc w:val="center"/>
              <w:rPr>
                <w:sz w:val="20"/>
              </w:rPr>
            </w:pPr>
            <w:r>
              <w:rPr>
                <w:sz w:val="20"/>
              </w:rPr>
              <w:t>IE_XPULSE</w:t>
            </w:r>
          </w:p>
        </w:tc>
        <w:tc>
          <w:tcPr>
            <w:tcW w:w="1165" w:type="dxa"/>
            <w:tcBorders>
              <w:top w:val="nil"/>
              <w:bottom w:val="nil"/>
            </w:tcBorders>
          </w:tcPr>
          <w:p>
            <w:pPr>
              <w:pStyle w:val="TableParagraph"/>
              <w:spacing w:line="210" w:lineRule="exact"/>
              <w:ind w:left="89" w:right="89"/>
              <w:jc w:val="center"/>
              <w:rPr>
                <w:sz w:val="20"/>
              </w:rPr>
            </w:pPr>
            <w:r>
              <w:rPr>
                <w:sz w:val="20"/>
              </w:rPr>
              <w:t>SFR E8[6]</w:t>
            </w:r>
          </w:p>
        </w:tc>
        <w:tc>
          <w:tcPr>
            <w:tcW w:w="2775" w:type="dxa"/>
            <w:tcBorders>
              <w:top w:val="nil"/>
              <w:bottom w:val="nil"/>
            </w:tcBorders>
          </w:tcPr>
          <w:p>
            <w:pPr>
              <w:pStyle w:val="TableParagraph"/>
              <w:spacing w:line="210" w:lineRule="exact"/>
              <w:ind w:left="112"/>
              <w:rPr>
                <w:sz w:val="20"/>
              </w:rPr>
            </w:pPr>
            <w:r>
              <w:rPr>
                <w:sz w:val="20"/>
              </w:rPr>
              <w:t>CE_Xpulse interrupt (int 2)</w:t>
            </w:r>
          </w:p>
        </w:tc>
      </w:tr>
      <w:tr>
        <w:trPr>
          <w:trHeight w:val="229" w:hRule="atLeast"/>
        </w:trPr>
        <w:tc>
          <w:tcPr>
            <w:tcW w:w="1342" w:type="dxa"/>
            <w:tcBorders>
              <w:top w:val="nil"/>
              <w:bottom w:val="nil"/>
            </w:tcBorders>
          </w:tcPr>
          <w:p>
            <w:pPr>
              <w:pStyle w:val="TableParagraph"/>
              <w:spacing w:line="209" w:lineRule="exact"/>
              <w:ind w:left="93" w:right="88"/>
              <w:jc w:val="center"/>
              <w:rPr>
                <w:rFonts w:ascii="Times New Roman"/>
                <w:i/>
                <w:sz w:val="20"/>
              </w:rPr>
            </w:pPr>
            <w:r>
              <w:rPr>
                <w:rFonts w:ascii="Times New Roman"/>
                <w:i/>
                <w:sz w:val="20"/>
              </w:rPr>
              <w:t>EX_YPULSE</w:t>
            </w:r>
          </w:p>
        </w:tc>
        <w:tc>
          <w:tcPr>
            <w:tcW w:w="1210" w:type="dxa"/>
            <w:tcBorders>
              <w:top w:val="nil"/>
              <w:bottom w:val="nil"/>
            </w:tcBorders>
          </w:tcPr>
          <w:p>
            <w:pPr>
              <w:pStyle w:val="TableParagraph"/>
              <w:spacing w:line="209" w:lineRule="exact"/>
              <w:ind w:left="92" w:right="87"/>
              <w:jc w:val="center"/>
              <w:rPr>
                <w:sz w:val="20"/>
              </w:rPr>
            </w:pPr>
            <w:r>
              <w:rPr>
                <w:sz w:val="20"/>
              </w:rPr>
              <w:t>2700[5]</w:t>
            </w:r>
          </w:p>
        </w:tc>
        <w:tc>
          <w:tcPr>
            <w:tcW w:w="1376" w:type="dxa"/>
            <w:tcBorders>
              <w:top w:val="nil"/>
              <w:bottom w:val="nil"/>
            </w:tcBorders>
          </w:tcPr>
          <w:p>
            <w:pPr>
              <w:pStyle w:val="TableParagraph"/>
              <w:spacing w:line="209" w:lineRule="exact"/>
              <w:ind w:left="90" w:right="88"/>
              <w:jc w:val="center"/>
              <w:rPr>
                <w:sz w:val="20"/>
              </w:rPr>
            </w:pPr>
            <w:r>
              <w:rPr>
                <w:sz w:val="20"/>
              </w:rPr>
              <w:t>IE_YPULSE</w:t>
            </w:r>
          </w:p>
        </w:tc>
        <w:tc>
          <w:tcPr>
            <w:tcW w:w="1165" w:type="dxa"/>
            <w:tcBorders>
              <w:top w:val="nil"/>
              <w:bottom w:val="nil"/>
            </w:tcBorders>
          </w:tcPr>
          <w:p>
            <w:pPr>
              <w:pStyle w:val="TableParagraph"/>
              <w:spacing w:line="209" w:lineRule="exact"/>
              <w:ind w:left="89" w:right="89"/>
              <w:jc w:val="center"/>
              <w:rPr>
                <w:sz w:val="20"/>
              </w:rPr>
            </w:pPr>
            <w:r>
              <w:rPr>
                <w:sz w:val="20"/>
              </w:rPr>
              <w:t>SFR E8[5]</w:t>
            </w:r>
          </w:p>
        </w:tc>
        <w:tc>
          <w:tcPr>
            <w:tcW w:w="2775" w:type="dxa"/>
            <w:tcBorders>
              <w:top w:val="nil"/>
              <w:bottom w:val="nil"/>
            </w:tcBorders>
          </w:tcPr>
          <w:p>
            <w:pPr>
              <w:pStyle w:val="TableParagraph"/>
              <w:spacing w:line="209" w:lineRule="exact"/>
              <w:ind w:left="112"/>
              <w:rPr>
                <w:sz w:val="20"/>
              </w:rPr>
            </w:pPr>
            <w:r>
              <w:rPr>
                <w:sz w:val="20"/>
              </w:rPr>
              <w:t>CE_Ypulse interrupt (int 2)</w:t>
            </w:r>
          </w:p>
        </w:tc>
      </w:tr>
      <w:tr>
        <w:trPr>
          <w:trHeight w:val="229" w:hRule="atLeast"/>
        </w:trPr>
        <w:tc>
          <w:tcPr>
            <w:tcW w:w="1342" w:type="dxa"/>
            <w:tcBorders>
              <w:top w:val="nil"/>
              <w:bottom w:val="nil"/>
            </w:tcBorders>
          </w:tcPr>
          <w:p>
            <w:pPr>
              <w:pStyle w:val="TableParagraph"/>
              <w:spacing w:line="209" w:lineRule="exact"/>
              <w:ind w:left="93" w:right="88"/>
              <w:jc w:val="center"/>
              <w:rPr>
                <w:rFonts w:ascii="Times New Roman"/>
                <w:i/>
                <w:sz w:val="20"/>
              </w:rPr>
            </w:pPr>
            <w:r>
              <w:rPr>
                <w:rFonts w:ascii="Times New Roman"/>
                <w:i/>
                <w:sz w:val="20"/>
              </w:rPr>
              <w:t>EX_WPULSE</w:t>
            </w:r>
          </w:p>
        </w:tc>
        <w:tc>
          <w:tcPr>
            <w:tcW w:w="1210" w:type="dxa"/>
            <w:tcBorders>
              <w:top w:val="nil"/>
              <w:bottom w:val="nil"/>
            </w:tcBorders>
          </w:tcPr>
          <w:p>
            <w:pPr>
              <w:pStyle w:val="TableParagraph"/>
              <w:spacing w:line="209" w:lineRule="exact"/>
              <w:ind w:left="92" w:right="87"/>
              <w:jc w:val="center"/>
              <w:rPr>
                <w:sz w:val="20"/>
              </w:rPr>
            </w:pPr>
            <w:r>
              <w:rPr>
                <w:sz w:val="20"/>
              </w:rPr>
              <w:t>2701[6]</w:t>
            </w:r>
          </w:p>
        </w:tc>
        <w:tc>
          <w:tcPr>
            <w:tcW w:w="1376" w:type="dxa"/>
            <w:tcBorders>
              <w:top w:val="nil"/>
              <w:bottom w:val="nil"/>
            </w:tcBorders>
          </w:tcPr>
          <w:p>
            <w:pPr>
              <w:pStyle w:val="TableParagraph"/>
              <w:spacing w:line="209" w:lineRule="exact"/>
              <w:ind w:left="92" w:right="88"/>
              <w:jc w:val="center"/>
              <w:rPr>
                <w:sz w:val="20"/>
              </w:rPr>
            </w:pPr>
            <w:r>
              <w:rPr>
                <w:sz w:val="20"/>
              </w:rPr>
              <w:t>IE_WPULSE</w:t>
            </w:r>
          </w:p>
        </w:tc>
        <w:tc>
          <w:tcPr>
            <w:tcW w:w="1165" w:type="dxa"/>
            <w:tcBorders>
              <w:top w:val="nil"/>
              <w:bottom w:val="nil"/>
            </w:tcBorders>
          </w:tcPr>
          <w:p>
            <w:pPr>
              <w:pStyle w:val="TableParagraph"/>
              <w:spacing w:line="209" w:lineRule="exact"/>
              <w:ind w:left="90" w:right="89"/>
              <w:jc w:val="center"/>
              <w:rPr>
                <w:sz w:val="20"/>
              </w:rPr>
            </w:pPr>
            <w:r>
              <w:rPr>
                <w:sz w:val="20"/>
              </w:rPr>
              <w:t>SFR F8[6]</w:t>
            </w:r>
          </w:p>
        </w:tc>
        <w:tc>
          <w:tcPr>
            <w:tcW w:w="2775" w:type="dxa"/>
            <w:tcBorders>
              <w:top w:val="nil"/>
              <w:bottom w:val="nil"/>
            </w:tcBorders>
          </w:tcPr>
          <w:p>
            <w:pPr>
              <w:pStyle w:val="TableParagraph"/>
              <w:spacing w:line="209" w:lineRule="exact"/>
              <w:ind w:left="112"/>
              <w:rPr>
                <w:sz w:val="20"/>
              </w:rPr>
            </w:pPr>
            <w:r>
              <w:rPr>
                <w:sz w:val="20"/>
              </w:rPr>
              <w:t>CE_Wpulse interrupt (int 2)</w:t>
            </w:r>
          </w:p>
        </w:tc>
      </w:tr>
      <w:tr>
        <w:trPr>
          <w:trHeight w:val="252" w:hRule="atLeast"/>
        </w:trPr>
        <w:tc>
          <w:tcPr>
            <w:tcW w:w="1342" w:type="dxa"/>
            <w:tcBorders>
              <w:top w:val="nil"/>
            </w:tcBorders>
          </w:tcPr>
          <w:p>
            <w:pPr>
              <w:pStyle w:val="TableParagraph"/>
              <w:spacing w:line="224" w:lineRule="exact"/>
              <w:ind w:left="93" w:right="85"/>
              <w:jc w:val="center"/>
              <w:rPr>
                <w:rFonts w:ascii="Times New Roman"/>
                <w:i/>
                <w:sz w:val="20"/>
              </w:rPr>
            </w:pPr>
            <w:r>
              <w:rPr>
                <w:rFonts w:ascii="Times New Roman"/>
                <w:i/>
                <w:sz w:val="20"/>
              </w:rPr>
              <w:t>EX_VPULSE</w:t>
            </w:r>
          </w:p>
        </w:tc>
        <w:tc>
          <w:tcPr>
            <w:tcW w:w="1210" w:type="dxa"/>
            <w:tcBorders>
              <w:top w:val="nil"/>
            </w:tcBorders>
          </w:tcPr>
          <w:p>
            <w:pPr>
              <w:pStyle w:val="TableParagraph"/>
              <w:spacing w:line="227" w:lineRule="exact"/>
              <w:ind w:left="92" w:right="87"/>
              <w:jc w:val="center"/>
              <w:rPr>
                <w:sz w:val="20"/>
              </w:rPr>
            </w:pPr>
            <w:r>
              <w:rPr>
                <w:sz w:val="20"/>
              </w:rPr>
              <w:t>2701[5]</w:t>
            </w:r>
          </w:p>
        </w:tc>
        <w:tc>
          <w:tcPr>
            <w:tcW w:w="1376" w:type="dxa"/>
            <w:tcBorders>
              <w:top w:val="nil"/>
            </w:tcBorders>
          </w:tcPr>
          <w:p>
            <w:pPr>
              <w:pStyle w:val="TableParagraph"/>
              <w:spacing w:line="227" w:lineRule="exact"/>
              <w:ind w:left="91" w:right="88"/>
              <w:jc w:val="center"/>
              <w:rPr>
                <w:sz w:val="20"/>
              </w:rPr>
            </w:pPr>
            <w:r>
              <w:rPr>
                <w:sz w:val="20"/>
              </w:rPr>
              <w:t>IE_VPULSE</w:t>
            </w:r>
          </w:p>
        </w:tc>
        <w:tc>
          <w:tcPr>
            <w:tcW w:w="1165" w:type="dxa"/>
            <w:tcBorders>
              <w:top w:val="nil"/>
            </w:tcBorders>
          </w:tcPr>
          <w:p>
            <w:pPr>
              <w:pStyle w:val="TableParagraph"/>
              <w:spacing w:line="227" w:lineRule="exact"/>
              <w:ind w:left="89" w:right="89"/>
              <w:jc w:val="center"/>
              <w:rPr>
                <w:sz w:val="20"/>
              </w:rPr>
            </w:pPr>
            <w:r>
              <w:rPr>
                <w:sz w:val="20"/>
              </w:rPr>
              <w:t>SFR F8[5]</w:t>
            </w:r>
          </w:p>
        </w:tc>
        <w:tc>
          <w:tcPr>
            <w:tcW w:w="2775" w:type="dxa"/>
            <w:tcBorders>
              <w:top w:val="nil"/>
            </w:tcBorders>
          </w:tcPr>
          <w:p>
            <w:pPr>
              <w:pStyle w:val="TableParagraph"/>
              <w:spacing w:line="227" w:lineRule="exact"/>
              <w:ind w:left="112"/>
              <w:rPr>
                <w:sz w:val="20"/>
              </w:rPr>
            </w:pPr>
            <w:r>
              <w:rPr>
                <w:sz w:val="20"/>
              </w:rPr>
              <w:t>CE_Vpulse interrupt (int 2)</w:t>
            </w:r>
          </w:p>
        </w:tc>
      </w:tr>
    </w:tbl>
    <w:p>
      <w:pPr>
        <w:pStyle w:val="BodyText"/>
        <w:spacing w:before="7"/>
        <w:rPr>
          <w:b/>
          <w:sz w:val="18"/>
        </w:rPr>
      </w:pPr>
    </w:p>
    <w:p>
      <w:pPr>
        <w:spacing w:before="92"/>
        <w:ind w:left="620" w:right="0" w:firstLine="0"/>
        <w:jc w:val="left"/>
        <w:rPr>
          <w:b/>
          <w:sz w:val="20"/>
        </w:rPr>
      </w:pPr>
      <w:bookmarkStart w:name="Interrupt Priority Level Structure" w:id="171"/>
      <w:bookmarkEnd w:id="171"/>
      <w:r>
        <w:rPr/>
      </w:r>
      <w:bookmarkStart w:name="_bookmark86" w:id="172"/>
      <w:bookmarkEnd w:id="172"/>
      <w:r>
        <w:rPr/>
      </w:r>
      <w:r>
        <w:rPr>
          <w:b/>
          <w:sz w:val="20"/>
        </w:rPr>
        <w:t>Interrupt Priority Level Structure</w:t>
      </w:r>
    </w:p>
    <w:p>
      <w:pPr>
        <w:pStyle w:val="BodyText"/>
        <w:spacing w:before="80"/>
        <w:ind w:left="620"/>
      </w:pPr>
      <w:r>
        <w:rPr/>
        <w:t>All interrupt sources are combined in groups, as shown in </w:t>
      </w:r>
      <w:hyperlink w:history="true" w:anchor="_bookmark87">
        <w:r>
          <w:rPr>
            <w:color w:val="0000FF"/>
          </w:rPr>
          <w:t>Table 33</w:t>
        </w:r>
        <w:r>
          <w:rPr/>
          <w:t>.</w:t>
        </w:r>
      </w:hyperlink>
    </w:p>
    <w:p>
      <w:pPr>
        <w:pStyle w:val="BodyText"/>
        <w:spacing w:before="8"/>
        <w:rPr>
          <w:sz w:val="19"/>
        </w:rPr>
      </w:pPr>
    </w:p>
    <w:p>
      <w:pPr>
        <w:pStyle w:val="Heading1"/>
        <w:ind w:left="1314" w:right="1278"/>
      </w:pPr>
      <w:bookmarkStart w:name="_bookmark87" w:id="173"/>
      <w:bookmarkEnd w:id="173"/>
      <w:r>
        <w:rPr>
          <w:b w:val="0"/>
        </w:rPr>
      </w:r>
      <w:r>
        <w:rPr/>
        <w:t>Table 33: Interrupt Priority Level Groups</w:t>
      </w:r>
    </w:p>
    <w:p>
      <w:pPr>
        <w:pStyle w:val="BodyText"/>
        <w:spacing w:before="8"/>
        <w:rPr>
          <w:b/>
          <w:sz w:val="5"/>
        </w:rPr>
      </w:pPr>
    </w:p>
    <w:tbl>
      <w:tblPr>
        <w:tblW w:w="0" w:type="auto"/>
        <w:jc w:val="left"/>
        <w:tblInd w:w="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8"/>
        <w:gridCol w:w="2576"/>
        <w:gridCol w:w="4518"/>
      </w:tblGrid>
      <w:tr>
        <w:trPr>
          <w:trHeight w:val="311" w:hRule="atLeast"/>
        </w:trPr>
        <w:tc>
          <w:tcPr>
            <w:tcW w:w="1078" w:type="dxa"/>
          </w:tcPr>
          <w:p>
            <w:pPr>
              <w:pStyle w:val="TableParagraph"/>
              <w:spacing w:before="35"/>
              <w:ind w:left="216" w:right="211"/>
              <w:jc w:val="center"/>
              <w:rPr>
                <w:b/>
                <w:sz w:val="20"/>
              </w:rPr>
            </w:pPr>
            <w:r>
              <w:rPr>
                <w:b/>
                <w:sz w:val="20"/>
              </w:rPr>
              <w:t>Group</w:t>
            </w:r>
          </w:p>
        </w:tc>
        <w:tc>
          <w:tcPr>
            <w:tcW w:w="7094" w:type="dxa"/>
            <w:gridSpan w:val="2"/>
          </w:tcPr>
          <w:p>
            <w:pPr>
              <w:pStyle w:val="TableParagraph"/>
              <w:spacing w:before="35"/>
              <w:ind w:left="2758" w:right="2752"/>
              <w:jc w:val="center"/>
              <w:rPr>
                <w:b/>
                <w:sz w:val="20"/>
              </w:rPr>
            </w:pPr>
            <w:r>
              <w:rPr>
                <w:b/>
                <w:sz w:val="20"/>
              </w:rPr>
              <w:t>Group Members</w:t>
            </w:r>
          </w:p>
        </w:tc>
      </w:tr>
      <w:tr>
        <w:trPr>
          <w:trHeight w:val="268" w:hRule="atLeast"/>
        </w:trPr>
        <w:tc>
          <w:tcPr>
            <w:tcW w:w="1078" w:type="dxa"/>
          </w:tcPr>
          <w:p>
            <w:pPr>
              <w:pStyle w:val="TableParagraph"/>
              <w:spacing w:before="18"/>
              <w:ind w:left="7"/>
              <w:jc w:val="center"/>
              <w:rPr>
                <w:sz w:val="20"/>
              </w:rPr>
            </w:pPr>
            <w:r>
              <w:rPr>
                <w:w w:val="99"/>
                <w:sz w:val="20"/>
              </w:rPr>
              <w:t>0</w:t>
            </w:r>
          </w:p>
        </w:tc>
        <w:tc>
          <w:tcPr>
            <w:tcW w:w="2576" w:type="dxa"/>
          </w:tcPr>
          <w:p>
            <w:pPr>
              <w:pStyle w:val="TableParagraph"/>
              <w:spacing w:before="18"/>
              <w:ind w:left="69"/>
              <w:rPr>
                <w:sz w:val="20"/>
              </w:rPr>
            </w:pPr>
            <w:r>
              <w:rPr>
                <w:sz w:val="20"/>
              </w:rPr>
              <w:t>External interrupt 0</w:t>
            </w:r>
          </w:p>
        </w:tc>
        <w:tc>
          <w:tcPr>
            <w:tcW w:w="4518" w:type="dxa"/>
          </w:tcPr>
          <w:p>
            <w:pPr>
              <w:pStyle w:val="TableParagraph"/>
              <w:spacing w:before="18"/>
              <w:ind w:left="68"/>
              <w:rPr>
                <w:sz w:val="20"/>
              </w:rPr>
            </w:pPr>
            <w:r>
              <w:rPr>
                <w:sz w:val="20"/>
              </w:rPr>
              <w:t>Serial channel 1 interrupt</w:t>
            </w:r>
          </w:p>
        </w:tc>
      </w:tr>
      <w:tr>
        <w:trPr>
          <w:trHeight w:val="270" w:hRule="atLeast"/>
        </w:trPr>
        <w:tc>
          <w:tcPr>
            <w:tcW w:w="1078" w:type="dxa"/>
          </w:tcPr>
          <w:p>
            <w:pPr>
              <w:pStyle w:val="TableParagraph"/>
              <w:spacing w:before="18"/>
              <w:ind w:left="7"/>
              <w:jc w:val="center"/>
              <w:rPr>
                <w:sz w:val="20"/>
              </w:rPr>
            </w:pPr>
            <w:r>
              <w:rPr>
                <w:w w:val="99"/>
                <w:sz w:val="20"/>
              </w:rPr>
              <w:t>1</w:t>
            </w:r>
          </w:p>
        </w:tc>
        <w:tc>
          <w:tcPr>
            <w:tcW w:w="2576" w:type="dxa"/>
          </w:tcPr>
          <w:p>
            <w:pPr>
              <w:pStyle w:val="TableParagraph"/>
              <w:spacing w:before="18"/>
              <w:ind w:left="69"/>
              <w:rPr>
                <w:sz w:val="20"/>
              </w:rPr>
            </w:pPr>
            <w:r>
              <w:rPr>
                <w:sz w:val="20"/>
              </w:rPr>
              <w:t>Timer 0 interrupt</w:t>
            </w:r>
          </w:p>
        </w:tc>
        <w:tc>
          <w:tcPr>
            <w:tcW w:w="4518" w:type="dxa"/>
          </w:tcPr>
          <w:p>
            <w:pPr>
              <w:pStyle w:val="TableParagraph"/>
              <w:spacing w:before="18"/>
              <w:ind w:left="68"/>
              <w:rPr>
                <w:sz w:val="20"/>
              </w:rPr>
            </w:pPr>
            <w:r>
              <w:rPr>
                <w:sz w:val="20"/>
              </w:rPr>
              <w:t>External interrupt 2</w:t>
            </w:r>
          </w:p>
        </w:tc>
      </w:tr>
      <w:tr>
        <w:trPr>
          <w:trHeight w:val="270" w:hRule="atLeast"/>
        </w:trPr>
        <w:tc>
          <w:tcPr>
            <w:tcW w:w="1078" w:type="dxa"/>
          </w:tcPr>
          <w:p>
            <w:pPr>
              <w:pStyle w:val="TableParagraph"/>
              <w:spacing w:before="18"/>
              <w:ind w:left="7"/>
              <w:jc w:val="center"/>
              <w:rPr>
                <w:sz w:val="20"/>
              </w:rPr>
            </w:pPr>
            <w:r>
              <w:rPr>
                <w:w w:val="99"/>
                <w:sz w:val="20"/>
              </w:rPr>
              <w:t>2</w:t>
            </w:r>
          </w:p>
        </w:tc>
        <w:tc>
          <w:tcPr>
            <w:tcW w:w="2576" w:type="dxa"/>
          </w:tcPr>
          <w:p>
            <w:pPr>
              <w:pStyle w:val="TableParagraph"/>
              <w:spacing w:before="18"/>
              <w:ind w:left="69"/>
              <w:rPr>
                <w:sz w:val="20"/>
              </w:rPr>
            </w:pPr>
            <w:r>
              <w:rPr>
                <w:sz w:val="20"/>
              </w:rPr>
              <w:t>External interrupt 1</w:t>
            </w:r>
          </w:p>
        </w:tc>
        <w:tc>
          <w:tcPr>
            <w:tcW w:w="4518" w:type="dxa"/>
          </w:tcPr>
          <w:p>
            <w:pPr>
              <w:pStyle w:val="TableParagraph"/>
              <w:spacing w:before="18"/>
              <w:ind w:left="68"/>
              <w:rPr>
                <w:sz w:val="20"/>
              </w:rPr>
            </w:pPr>
            <w:r>
              <w:rPr>
                <w:sz w:val="20"/>
              </w:rPr>
              <w:t>External interrupt 3</w:t>
            </w:r>
          </w:p>
        </w:tc>
      </w:tr>
      <w:tr>
        <w:trPr>
          <w:trHeight w:val="268" w:hRule="atLeast"/>
        </w:trPr>
        <w:tc>
          <w:tcPr>
            <w:tcW w:w="1078" w:type="dxa"/>
          </w:tcPr>
          <w:p>
            <w:pPr>
              <w:pStyle w:val="TableParagraph"/>
              <w:spacing w:before="18"/>
              <w:ind w:left="7"/>
              <w:jc w:val="center"/>
              <w:rPr>
                <w:sz w:val="20"/>
              </w:rPr>
            </w:pPr>
            <w:r>
              <w:rPr>
                <w:w w:val="99"/>
                <w:sz w:val="20"/>
              </w:rPr>
              <w:t>3</w:t>
            </w:r>
          </w:p>
        </w:tc>
        <w:tc>
          <w:tcPr>
            <w:tcW w:w="2576" w:type="dxa"/>
          </w:tcPr>
          <w:p>
            <w:pPr>
              <w:pStyle w:val="TableParagraph"/>
              <w:spacing w:before="18"/>
              <w:ind w:left="69"/>
              <w:rPr>
                <w:sz w:val="20"/>
              </w:rPr>
            </w:pPr>
            <w:r>
              <w:rPr>
                <w:sz w:val="20"/>
              </w:rPr>
              <w:t>Timer 1 interrupt</w:t>
            </w:r>
          </w:p>
        </w:tc>
        <w:tc>
          <w:tcPr>
            <w:tcW w:w="4518" w:type="dxa"/>
          </w:tcPr>
          <w:p>
            <w:pPr>
              <w:pStyle w:val="TableParagraph"/>
              <w:spacing w:before="18"/>
              <w:ind w:left="68"/>
              <w:rPr>
                <w:sz w:val="20"/>
              </w:rPr>
            </w:pPr>
            <w:r>
              <w:rPr>
                <w:sz w:val="20"/>
              </w:rPr>
              <w:t>External interrupt 4</w:t>
            </w:r>
          </w:p>
        </w:tc>
      </w:tr>
      <w:tr>
        <w:trPr>
          <w:trHeight w:val="270" w:hRule="atLeast"/>
        </w:trPr>
        <w:tc>
          <w:tcPr>
            <w:tcW w:w="1078" w:type="dxa"/>
          </w:tcPr>
          <w:p>
            <w:pPr>
              <w:pStyle w:val="TableParagraph"/>
              <w:spacing w:before="18"/>
              <w:ind w:left="7"/>
              <w:jc w:val="center"/>
              <w:rPr>
                <w:sz w:val="20"/>
              </w:rPr>
            </w:pPr>
            <w:r>
              <w:rPr>
                <w:w w:val="99"/>
                <w:sz w:val="20"/>
              </w:rPr>
              <w:t>4</w:t>
            </w:r>
          </w:p>
        </w:tc>
        <w:tc>
          <w:tcPr>
            <w:tcW w:w="2576" w:type="dxa"/>
          </w:tcPr>
          <w:p>
            <w:pPr>
              <w:pStyle w:val="TableParagraph"/>
              <w:spacing w:before="18"/>
              <w:ind w:left="69"/>
              <w:rPr>
                <w:sz w:val="20"/>
              </w:rPr>
            </w:pPr>
            <w:r>
              <w:rPr>
                <w:sz w:val="20"/>
              </w:rPr>
              <w:t>Serial channel 0 interrupt</w:t>
            </w:r>
          </w:p>
        </w:tc>
        <w:tc>
          <w:tcPr>
            <w:tcW w:w="4518" w:type="dxa"/>
          </w:tcPr>
          <w:p>
            <w:pPr>
              <w:pStyle w:val="TableParagraph"/>
              <w:spacing w:before="18"/>
              <w:ind w:left="68"/>
              <w:rPr>
                <w:sz w:val="20"/>
              </w:rPr>
            </w:pPr>
            <w:r>
              <w:rPr>
                <w:sz w:val="20"/>
              </w:rPr>
              <w:t>External interrupt 5</w:t>
            </w:r>
          </w:p>
        </w:tc>
      </w:tr>
      <w:tr>
        <w:trPr>
          <w:trHeight w:val="270" w:hRule="atLeast"/>
        </w:trPr>
        <w:tc>
          <w:tcPr>
            <w:tcW w:w="1078" w:type="dxa"/>
          </w:tcPr>
          <w:p>
            <w:pPr>
              <w:pStyle w:val="TableParagraph"/>
              <w:spacing w:before="18"/>
              <w:ind w:left="7"/>
              <w:jc w:val="center"/>
              <w:rPr>
                <w:sz w:val="20"/>
              </w:rPr>
            </w:pPr>
            <w:r>
              <w:rPr>
                <w:w w:val="99"/>
                <w:sz w:val="20"/>
              </w:rPr>
              <w:t>5</w:t>
            </w:r>
          </w:p>
        </w:tc>
        <w:tc>
          <w:tcPr>
            <w:tcW w:w="2576" w:type="dxa"/>
          </w:tcPr>
          <w:p>
            <w:pPr>
              <w:pStyle w:val="TableParagraph"/>
              <w:spacing w:before="18"/>
              <w:ind w:left="5"/>
              <w:jc w:val="center"/>
              <w:rPr>
                <w:sz w:val="20"/>
              </w:rPr>
            </w:pPr>
            <w:r>
              <w:rPr>
                <w:w w:val="99"/>
                <w:sz w:val="20"/>
              </w:rPr>
              <w:t>–</w:t>
            </w:r>
          </w:p>
        </w:tc>
        <w:tc>
          <w:tcPr>
            <w:tcW w:w="4518" w:type="dxa"/>
          </w:tcPr>
          <w:p>
            <w:pPr>
              <w:pStyle w:val="TableParagraph"/>
              <w:spacing w:before="18"/>
              <w:ind w:left="68"/>
              <w:rPr>
                <w:sz w:val="20"/>
              </w:rPr>
            </w:pPr>
            <w:r>
              <w:rPr>
                <w:sz w:val="20"/>
              </w:rPr>
              <w:t>External interrupt 6</w:t>
            </w:r>
          </w:p>
        </w:tc>
      </w:tr>
    </w:tbl>
    <w:p>
      <w:pPr>
        <w:pStyle w:val="BodyText"/>
        <w:spacing w:before="2"/>
        <w:rPr>
          <w:b/>
          <w:sz w:val="30"/>
        </w:rPr>
      </w:pPr>
    </w:p>
    <w:p>
      <w:pPr>
        <w:pStyle w:val="BodyText"/>
        <w:ind w:left="619" w:right="559"/>
      </w:pPr>
      <w:r>
        <w:rPr/>
        <w:t>Each group of interrupt sources can be programmed individually to one of four priority levels (as shown in </w:t>
      </w:r>
      <w:hyperlink w:history="true" w:anchor="_bookmark88">
        <w:r>
          <w:rPr>
            <w:color w:val="0000FF"/>
          </w:rPr>
          <w:t>Table 34</w:t>
        </w:r>
      </w:hyperlink>
      <w:r>
        <w:rPr>
          <w:color w:val="0000FF"/>
        </w:rPr>
        <w:t>) </w:t>
      </w:r>
      <w:r>
        <w:rPr/>
        <w:t>by setting or clearing one bit in the SFR interrupt priority register </w:t>
      </w:r>
      <w:r>
        <w:rPr>
          <w:rFonts w:ascii="Times New Roman"/>
          <w:i/>
        </w:rPr>
        <w:t>IP0 </w:t>
      </w:r>
      <w:r>
        <w:rPr/>
        <w:t>(</w:t>
      </w:r>
      <w:r>
        <w:rPr>
          <w:rFonts w:ascii="Times New Roman"/>
          <w:i/>
        </w:rPr>
        <w:t>SFR 0xA9</w:t>
      </w:r>
      <w:r>
        <w:rPr/>
        <w:t>) and one in </w:t>
      </w:r>
      <w:r>
        <w:rPr>
          <w:rFonts w:ascii="Times New Roman"/>
          <w:i/>
        </w:rPr>
        <w:t>IP1(SFR 0xB9) </w:t>
      </w:r>
      <w:r>
        <w:rPr/>
        <w:t>(</w:t>
      </w:r>
      <w:hyperlink w:history="true" w:anchor="_bookmark89">
        <w:r>
          <w:rPr>
            <w:color w:val="0000FF"/>
          </w:rPr>
          <w:t>Table 35</w:t>
        </w:r>
      </w:hyperlink>
      <w:r>
        <w:rPr/>
        <w:t>). If requests of the same priority level are received simultaneously, an internal polling sequence as shown in </w:t>
      </w:r>
      <w:hyperlink w:history="true" w:anchor="_bookmark90">
        <w:r>
          <w:rPr>
            <w:color w:val="0000FF"/>
          </w:rPr>
          <w:t>Table 36 </w:t>
        </w:r>
      </w:hyperlink>
      <w:r>
        <w:rPr/>
        <w:t>determines which request is serviced first.</w:t>
      </w:r>
    </w:p>
    <w:p>
      <w:pPr>
        <w:pStyle w:val="BodyText"/>
        <w:spacing w:before="10"/>
        <w:rPr>
          <w:sz w:val="19"/>
        </w:rPr>
      </w:pPr>
    </w:p>
    <w:p>
      <w:pPr>
        <w:pStyle w:val="BodyText"/>
        <w:ind w:left="1209" w:right="559"/>
      </w:pPr>
      <w:r>
        <w:rPr/>
        <w:drawing>
          <wp:anchor distT="0" distB="0" distL="0" distR="0" allowOverlap="1" layoutInCell="1" locked="0" behindDoc="0" simplePos="0" relativeHeight="15766528">
            <wp:simplePos x="0" y="0"/>
            <wp:positionH relativeFrom="page">
              <wp:posOffset>970964</wp:posOffset>
            </wp:positionH>
            <wp:positionV relativeFrom="paragraph">
              <wp:posOffset>2046</wp:posOffset>
            </wp:positionV>
            <wp:extent cx="194895" cy="314324"/>
            <wp:effectExtent l="0" t="0" r="0" b="0"/>
            <wp:wrapNone/>
            <wp:docPr id="37" name="image64.png" descr="checkmark_-bottomheavy-60-blue"/>
            <wp:cNvGraphicFramePr>
              <a:graphicFrameLocks noChangeAspect="1"/>
            </wp:cNvGraphicFramePr>
            <a:graphic>
              <a:graphicData uri="http://schemas.openxmlformats.org/drawingml/2006/picture">
                <pic:pic>
                  <pic:nvPicPr>
                    <pic:cNvPr id="38" name="image64.png"/>
                    <pic:cNvPicPr/>
                  </pic:nvPicPr>
                  <pic:blipFill>
                    <a:blip r:embed="rId73" cstate="print"/>
                    <a:stretch>
                      <a:fillRect/>
                    </a:stretch>
                  </pic:blipFill>
                  <pic:spPr>
                    <a:xfrm>
                      <a:off x="0" y="0"/>
                      <a:ext cx="194895" cy="314324"/>
                    </a:xfrm>
                    <a:prstGeom prst="rect">
                      <a:avLst/>
                    </a:prstGeom>
                  </pic:spPr>
                </pic:pic>
              </a:graphicData>
            </a:graphic>
          </wp:anchor>
        </w:drawing>
      </w:r>
      <w:r>
        <w:rPr/>
        <w:t>Changing</w:t>
      </w:r>
      <w:r>
        <w:rPr>
          <w:spacing w:val="-13"/>
        </w:rPr>
        <w:t> </w:t>
      </w:r>
      <w:r>
        <w:rPr/>
        <w:t>interrupt</w:t>
      </w:r>
      <w:r>
        <w:rPr>
          <w:spacing w:val="-12"/>
        </w:rPr>
        <w:t> </w:t>
      </w:r>
      <w:r>
        <w:rPr>
          <w:spacing w:val="-3"/>
        </w:rPr>
        <w:t>priorities</w:t>
      </w:r>
      <w:r>
        <w:rPr>
          <w:spacing w:val="-11"/>
        </w:rPr>
        <w:t> </w:t>
      </w:r>
      <w:r>
        <w:rPr/>
        <w:t>while</w:t>
      </w:r>
      <w:r>
        <w:rPr>
          <w:spacing w:val="-13"/>
        </w:rPr>
        <w:t> </w:t>
      </w:r>
      <w:r>
        <w:rPr>
          <w:spacing w:val="-3"/>
        </w:rPr>
        <w:t>interrupts</w:t>
      </w:r>
      <w:r>
        <w:rPr>
          <w:spacing w:val="-11"/>
        </w:rPr>
        <w:t> </w:t>
      </w:r>
      <w:r>
        <w:rPr/>
        <w:t>are</w:t>
      </w:r>
      <w:r>
        <w:rPr>
          <w:spacing w:val="-13"/>
        </w:rPr>
        <w:t> </w:t>
      </w:r>
      <w:r>
        <w:rPr/>
        <w:t>enabled</w:t>
      </w:r>
      <w:r>
        <w:rPr>
          <w:spacing w:val="-10"/>
        </w:rPr>
        <w:t> </w:t>
      </w:r>
      <w:r>
        <w:rPr/>
        <w:t>can</w:t>
      </w:r>
      <w:r>
        <w:rPr>
          <w:spacing w:val="-13"/>
        </w:rPr>
        <w:t> </w:t>
      </w:r>
      <w:r>
        <w:rPr/>
        <w:t>easily</w:t>
      </w:r>
      <w:r>
        <w:rPr>
          <w:spacing w:val="-16"/>
        </w:rPr>
        <w:t> </w:t>
      </w:r>
      <w:r>
        <w:rPr/>
        <w:t>cause</w:t>
      </w:r>
      <w:r>
        <w:rPr>
          <w:spacing w:val="-15"/>
        </w:rPr>
        <w:t> </w:t>
      </w:r>
      <w:r>
        <w:rPr/>
        <w:t>software</w:t>
      </w:r>
      <w:r>
        <w:rPr>
          <w:spacing w:val="-13"/>
        </w:rPr>
        <w:t> </w:t>
      </w:r>
      <w:r>
        <w:rPr/>
        <w:t>defects.</w:t>
      </w:r>
      <w:r>
        <w:rPr>
          <w:spacing w:val="32"/>
        </w:rPr>
        <w:t> </w:t>
      </w:r>
      <w:r>
        <w:rPr/>
        <w:t>It</w:t>
      </w:r>
      <w:r>
        <w:rPr>
          <w:spacing w:val="-12"/>
        </w:rPr>
        <w:t> </w:t>
      </w:r>
      <w:r>
        <w:rPr/>
        <w:t>is</w:t>
      </w:r>
      <w:r>
        <w:rPr>
          <w:spacing w:val="-11"/>
        </w:rPr>
        <w:t> </w:t>
      </w:r>
      <w:r>
        <w:rPr/>
        <w:t>best to</w:t>
      </w:r>
      <w:r>
        <w:rPr>
          <w:spacing w:val="-9"/>
        </w:rPr>
        <w:t> </w:t>
      </w:r>
      <w:r>
        <w:rPr/>
        <w:t>set</w:t>
      </w:r>
      <w:r>
        <w:rPr>
          <w:spacing w:val="-9"/>
        </w:rPr>
        <w:t> </w:t>
      </w:r>
      <w:r>
        <w:rPr/>
        <w:t>the</w:t>
      </w:r>
      <w:r>
        <w:rPr>
          <w:spacing w:val="-4"/>
        </w:rPr>
        <w:t> </w:t>
      </w:r>
      <w:r>
        <w:rPr>
          <w:spacing w:val="-3"/>
        </w:rPr>
        <w:t>interrupt</w:t>
      </w:r>
      <w:r>
        <w:rPr>
          <w:spacing w:val="-6"/>
        </w:rPr>
        <w:t> </w:t>
      </w:r>
      <w:r>
        <w:rPr/>
        <w:t>priority</w:t>
      </w:r>
      <w:r>
        <w:rPr>
          <w:spacing w:val="-11"/>
        </w:rPr>
        <w:t> </w:t>
      </w:r>
      <w:r>
        <w:rPr/>
        <w:t>registers</w:t>
      </w:r>
      <w:r>
        <w:rPr>
          <w:spacing w:val="-7"/>
        </w:rPr>
        <w:t> </w:t>
      </w:r>
      <w:r>
        <w:rPr/>
        <w:t>only</w:t>
      </w:r>
      <w:r>
        <w:rPr>
          <w:spacing w:val="-10"/>
        </w:rPr>
        <w:t> </w:t>
      </w:r>
      <w:r>
        <w:rPr/>
        <w:t>once</w:t>
      </w:r>
      <w:r>
        <w:rPr>
          <w:spacing w:val="-7"/>
        </w:rPr>
        <w:t> </w:t>
      </w:r>
      <w:r>
        <w:rPr/>
        <w:t>during</w:t>
      </w:r>
      <w:r>
        <w:rPr>
          <w:spacing w:val="-7"/>
        </w:rPr>
        <w:t> </w:t>
      </w:r>
      <w:r>
        <w:rPr>
          <w:spacing w:val="-3"/>
        </w:rPr>
        <w:t>initialization</w:t>
      </w:r>
      <w:r>
        <w:rPr>
          <w:spacing w:val="-6"/>
        </w:rPr>
        <w:t> </w:t>
      </w:r>
      <w:r>
        <w:rPr/>
        <w:t>before</w:t>
      </w:r>
      <w:r>
        <w:rPr>
          <w:spacing w:val="-7"/>
        </w:rPr>
        <w:t> </w:t>
      </w:r>
      <w:r>
        <w:rPr>
          <w:spacing w:val="-3"/>
        </w:rPr>
        <w:t>interrupts</w:t>
      </w:r>
      <w:r>
        <w:rPr>
          <w:spacing w:val="-5"/>
        </w:rPr>
        <w:t> </w:t>
      </w:r>
      <w:r>
        <w:rPr/>
        <w:t>are</w:t>
      </w:r>
      <w:r>
        <w:rPr>
          <w:spacing w:val="-9"/>
        </w:rPr>
        <w:t> </w:t>
      </w:r>
      <w:r>
        <w:rPr>
          <w:spacing w:val="-3"/>
        </w:rPr>
        <w:t>enabled.</w:t>
      </w:r>
    </w:p>
    <w:p>
      <w:pPr>
        <w:pStyle w:val="BodyText"/>
        <w:spacing w:before="11"/>
        <w:rPr>
          <w:sz w:val="19"/>
        </w:rPr>
      </w:pPr>
    </w:p>
    <w:p>
      <w:pPr>
        <w:pStyle w:val="Heading1"/>
        <w:ind w:left="1311" w:right="1278"/>
      </w:pPr>
      <w:bookmarkStart w:name="_bookmark88" w:id="174"/>
      <w:bookmarkEnd w:id="174"/>
      <w:r>
        <w:rPr>
          <w:b w:val="0"/>
        </w:rPr>
      </w:r>
      <w:r>
        <w:rPr/>
        <w:t>Table 34: Interrupt Priority Levels</w:t>
      </w:r>
    </w:p>
    <w:p>
      <w:pPr>
        <w:pStyle w:val="BodyText"/>
        <w:spacing w:before="7"/>
        <w:rPr>
          <w:b/>
          <w:sz w:val="5"/>
        </w:rPr>
      </w:pPr>
    </w:p>
    <w:tbl>
      <w:tblPr>
        <w:tblW w:w="0" w:type="auto"/>
        <w:jc w:val="left"/>
        <w:tblInd w:w="3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171"/>
        <w:gridCol w:w="1980"/>
      </w:tblGrid>
      <w:tr>
        <w:trPr>
          <w:trHeight w:val="309" w:hRule="atLeast"/>
        </w:trPr>
        <w:tc>
          <w:tcPr>
            <w:tcW w:w="1260" w:type="dxa"/>
          </w:tcPr>
          <w:p>
            <w:pPr>
              <w:pStyle w:val="TableParagraph"/>
              <w:spacing w:before="36"/>
              <w:ind w:left="119" w:right="112"/>
              <w:jc w:val="center"/>
              <w:rPr>
                <w:b/>
                <w:sz w:val="20"/>
              </w:rPr>
            </w:pPr>
            <w:r>
              <w:rPr>
                <w:rFonts w:ascii="Times New Roman"/>
                <w:b/>
                <w:i/>
                <w:sz w:val="20"/>
              </w:rPr>
              <w:t>IP1</w:t>
            </w:r>
            <w:r>
              <w:rPr>
                <w:b/>
                <w:sz w:val="20"/>
              </w:rPr>
              <w:t>[x]</w:t>
            </w:r>
          </w:p>
        </w:tc>
        <w:tc>
          <w:tcPr>
            <w:tcW w:w="1171" w:type="dxa"/>
          </w:tcPr>
          <w:p>
            <w:pPr>
              <w:pStyle w:val="TableParagraph"/>
              <w:spacing w:before="36"/>
              <w:ind w:left="290" w:right="285"/>
              <w:jc w:val="center"/>
              <w:rPr>
                <w:b/>
                <w:sz w:val="20"/>
              </w:rPr>
            </w:pPr>
            <w:r>
              <w:rPr>
                <w:rFonts w:ascii="Times New Roman"/>
                <w:b/>
                <w:i/>
                <w:sz w:val="20"/>
              </w:rPr>
              <w:t>IP0</w:t>
            </w:r>
            <w:r>
              <w:rPr>
                <w:b/>
                <w:sz w:val="20"/>
              </w:rPr>
              <w:t>[x]</w:t>
            </w:r>
          </w:p>
        </w:tc>
        <w:tc>
          <w:tcPr>
            <w:tcW w:w="1980" w:type="dxa"/>
          </w:tcPr>
          <w:p>
            <w:pPr>
              <w:pStyle w:val="TableParagraph"/>
              <w:spacing w:before="36"/>
              <w:ind w:left="354"/>
              <w:rPr>
                <w:b/>
                <w:sz w:val="20"/>
              </w:rPr>
            </w:pPr>
            <w:r>
              <w:rPr>
                <w:b/>
                <w:sz w:val="20"/>
              </w:rPr>
              <w:t>Priority Level</w:t>
            </w:r>
          </w:p>
        </w:tc>
      </w:tr>
      <w:tr>
        <w:trPr>
          <w:trHeight w:val="270" w:hRule="atLeast"/>
        </w:trPr>
        <w:tc>
          <w:tcPr>
            <w:tcW w:w="1260" w:type="dxa"/>
          </w:tcPr>
          <w:p>
            <w:pPr>
              <w:pStyle w:val="TableParagraph"/>
              <w:spacing w:before="21"/>
              <w:ind w:left="7"/>
              <w:jc w:val="center"/>
              <w:rPr>
                <w:sz w:val="20"/>
              </w:rPr>
            </w:pPr>
            <w:r>
              <w:rPr>
                <w:w w:val="99"/>
                <w:sz w:val="20"/>
              </w:rPr>
              <w:t>0</w:t>
            </w:r>
          </w:p>
        </w:tc>
        <w:tc>
          <w:tcPr>
            <w:tcW w:w="1171" w:type="dxa"/>
          </w:tcPr>
          <w:p>
            <w:pPr>
              <w:pStyle w:val="TableParagraph"/>
              <w:spacing w:before="21"/>
              <w:ind w:left="5"/>
              <w:jc w:val="center"/>
              <w:rPr>
                <w:sz w:val="20"/>
              </w:rPr>
            </w:pPr>
            <w:r>
              <w:rPr>
                <w:w w:val="99"/>
                <w:sz w:val="20"/>
              </w:rPr>
              <w:t>0</w:t>
            </w:r>
          </w:p>
        </w:tc>
        <w:tc>
          <w:tcPr>
            <w:tcW w:w="1980" w:type="dxa"/>
          </w:tcPr>
          <w:p>
            <w:pPr>
              <w:pStyle w:val="TableParagraph"/>
              <w:spacing w:before="21"/>
              <w:ind w:left="69"/>
              <w:rPr>
                <w:sz w:val="20"/>
              </w:rPr>
            </w:pPr>
            <w:r>
              <w:rPr>
                <w:sz w:val="20"/>
              </w:rPr>
              <w:t>Level 0 (lowest)</w:t>
            </w:r>
          </w:p>
        </w:tc>
      </w:tr>
      <w:tr>
        <w:trPr>
          <w:trHeight w:val="270" w:hRule="atLeast"/>
        </w:trPr>
        <w:tc>
          <w:tcPr>
            <w:tcW w:w="1260" w:type="dxa"/>
          </w:tcPr>
          <w:p>
            <w:pPr>
              <w:pStyle w:val="TableParagraph"/>
              <w:spacing w:before="18"/>
              <w:ind w:left="7"/>
              <w:jc w:val="center"/>
              <w:rPr>
                <w:sz w:val="20"/>
              </w:rPr>
            </w:pPr>
            <w:r>
              <w:rPr>
                <w:w w:val="99"/>
                <w:sz w:val="20"/>
              </w:rPr>
              <w:t>0</w:t>
            </w:r>
          </w:p>
        </w:tc>
        <w:tc>
          <w:tcPr>
            <w:tcW w:w="1171" w:type="dxa"/>
          </w:tcPr>
          <w:p>
            <w:pPr>
              <w:pStyle w:val="TableParagraph"/>
              <w:spacing w:before="18"/>
              <w:ind w:left="5"/>
              <w:jc w:val="center"/>
              <w:rPr>
                <w:sz w:val="20"/>
              </w:rPr>
            </w:pPr>
            <w:r>
              <w:rPr>
                <w:w w:val="99"/>
                <w:sz w:val="20"/>
              </w:rPr>
              <w:t>1</w:t>
            </w:r>
          </w:p>
        </w:tc>
        <w:tc>
          <w:tcPr>
            <w:tcW w:w="1980" w:type="dxa"/>
          </w:tcPr>
          <w:p>
            <w:pPr>
              <w:pStyle w:val="TableParagraph"/>
              <w:spacing w:before="18"/>
              <w:ind w:left="69"/>
              <w:rPr>
                <w:sz w:val="20"/>
              </w:rPr>
            </w:pPr>
            <w:r>
              <w:rPr>
                <w:sz w:val="20"/>
              </w:rPr>
              <w:t>Level 1</w:t>
            </w:r>
          </w:p>
        </w:tc>
      </w:tr>
      <w:tr>
        <w:trPr>
          <w:trHeight w:val="268" w:hRule="atLeast"/>
        </w:trPr>
        <w:tc>
          <w:tcPr>
            <w:tcW w:w="1260" w:type="dxa"/>
          </w:tcPr>
          <w:p>
            <w:pPr>
              <w:pStyle w:val="TableParagraph"/>
              <w:spacing w:before="18"/>
              <w:ind w:left="7"/>
              <w:jc w:val="center"/>
              <w:rPr>
                <w:sz w:val="20"/>
              </w:rPr>
            </w:pPr>
            <w:r>
              <w:rPr>
                <w:w w:val="99"/>
                <w:sz w:val="20"/>
              </w:rPr>
              <w:t>1</w:t>
            </w:r>
          </w:p>
        </w:tc>
        <w:tc>
          <w:tcPr>
            <w:tcW w:w="1171" w:type="dxa"/>
          </w:tcPr>
          <w:p>
            <w:pPr>
              <w:pStyle w:val="TableParagraph"/>
              <w:spacing w:before="18"/>
              <w:ind w:left="5"/>
              <w:jc w:val="center"/>
              <w:rPr>
                <w:sz w:val="20"/>
              </w:rPr>
            </w:pPr>
            <w:r>
              <w:rPr>
                <w:w w:val="99"/>
                <w:sz w:val="20"/>
              </w:rPr>
              <w:t>0</w:t>
            </w:r>
          </w:p>
        </w:tc>
        <w:tc>
          <w:tcPr>
            <w:tcW w:w="1980" w:type="dxa"/>
          </w:tcPr>
          <w:p>
            <w:pPr>
              <w:pStyle w:val="TableParagraph"/>
              <w:spacing w:before="18"/>
              <w:ind w:left="69"/>
              <w:rPr>
                <w:sz w:val="20"/>
              </w:rPr>
            </w:pPr>
            <w:r>
              <w:rPr>
                <w:sz w:val="20"/>
              </w:rPr>
              <w:t>Level 2</w:t>
            </w:r>
          </w:p>
        </w:tc>
      </w:tr>
      <w:tr>
        <w:trPr>
          <w:trHeight w:val="270" w:hRule="atLeast"/>
        </w:trPr>
        <w:tc>
          <w:tcPr>
            <w:tcW w:w="1260" w:type="dxa"/>
          </w:tcPr>
          <w:p>
            <w:pPr>
              <w:pStyle w:val="TableParagraph"/>
              <w:spacing w:before="21"/>
              <w:ind w:left="7"/>
              <w:jc w:val="center"/>
              <w:rPr>
                <w:sz w:val="20"/>
              </w:rPr>
            </w:pPr>
            <w:r>
              <w:rPr>
                <w:w w:val="99"/>
                <w:sz w:val="20"/>
              </w:rPr>
              <w:t>1</w:t>
            </w:r>
          </w:p>
        </w:tc>
        <w:tc>
          <w:tcPr>
            <w:tcW w:w="1171" w:type="dxa"/>
          </w:tcPr>
          <w:p>
            <w:pPr>
              <w:pStyle w:val="TableParagraph"/>
              <w:spacing w:before="21"/>
              <w:ind w:left="5"/>
              <w:jc w:val="center"/>
              <w:rPr>
                <w:sz w:val="20"/>
              </w:rPr>
            </w:pPr>
            <w:r>
              <w:rPr>
                <w:w w:val="99"/>
                <w:sz w:val="20"/>
              </w:rPr>
              <w:t>1</w:t>
            </w:r>
          </w:p>
        </w:tc>
        <w:tc>
          <w:tcPr>
            <w:tcW w:w="1980" w:type="dxa"/>
          </w:tcPr>
          <w:p>
            <w:pPr>
              <w:pStyle w:val="TableParagraph"/>
              <w:spacing w:before="21"/>
              <w:ind w:left="69"/>
              <w:rPr>
                <w:sz w:val="20"/>
              </w:rPr>
            </w:pPr>
            <w:r>
              <w:rPr>
                <w:sz w:val="20"/>
              </w:rPr>
              <w:t>Level 3 (highest)</w:t>
            </w:r>
          </w:p>
        </w:tc>
      </w:tr>
    </w:tbl>
    <w:p>
      <w:pPr>
        <w:pStyle w:val="BodyText"/>
        <w:spacing w:before="3"/>
        <w:rPr>
          <w:b/>
          <w:sz w:val="30"/>
        </w:rPr>
      </w:pPr>
    </w:p>
    <w:p>
      <w:pPr>
        <w:pStyle w:val="Heading1"/>
        <w:ind w:left="1317" w:right="1278"/>
      </w:pPr>
      <w:bookmarkStart w:name="_bookmark89" w:id="175"/>
      <w:bookmarkEnd w:id="175"/>
      <w:r>
        <w:rPr>
          <w:b w:val="0"/>
        </w:rPr>
      </w:r>
      <w:r>
        <w:rPr/>
        <w:t>Table 35: Interrupt Priority Registers (</w:t>
      </w:r>
      <w:r>
        <w:rPr>
          <w:rFonts w:ascii="Times New Roman"/>
          <w:i/>
        </w:rPr>
        <w:t>IP0 </w:t>
      </w:r>
      <w:r>
        <w:rPr/>
        <w:t>and </w:t>
      </w:r>
      <w:r>
        <w:rPr>
          <w:rFonts w:ascii="Times New Roman"/>
          <w:i/>
        </w:rPr>
        <w:t>IP1</w:t>
      </w:r>
      <w:r>
        <w:rPr/>
        <w:t>)</w:t>
      </w:r>
    </w:p>
    <w:p>
      <w:pPr>
        <w:pStyle w:val="BodyText"/>
        <w:spacing w:before="5"/>
        <w:rPr>
          <w:b/>
          <w:sz w:val="5"/>
        </w:rPr>
      </w:pPr>
    </w:p>
    <w:tbl>
      <w:tblPr>
        <w:tblW w:w="0" w:type="auto"/>
        <w:jc w:val="left"/>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4"/>
        <w:gridCol w:w="1380"/>
        <w:gridCol w:w="874"/>
        <w:gridCol w:w="872"/>
        <w:gridCol w:w="872"/>
        <w:gridCol w:w="874"/>
        <w:gridCol w:w="872"/>
        <w:gridCol w:w="872"/>
        <w:gridCol w:w="874"/>
        <w:gridCol w:w="872"/>
      </w:tblGrid>
      <w:tr>
        <w:trPr>
          <w:trHeight w:val="539" w:hRule="atLeast"/>
        </w:trPr>
        <w:tc>
          <w:tcPr>
            <w:tcW w:w="994" w:type="dxa"/>
          </w:tcPr>
          <w:p>
            <w:pPr>
              <w:pStyle w:val="TableParagraph"/>
              <w:spacing w:before="150"/>
              <w:ind w:left="73" w:right="69"/>
              <w:jc w:val="center"/>
              <w:rPr>
                <w:b/>
                <w:sz w:val="20"/>
              </w:rPr>
            </w:pPr>
            <w:r>
              <w:rPr>
                <w:b/>
                <w:sz w:val="20"/>
              </w:rPr>
              <w:t>Register</w:t>
            </w:r>
          </w:p>
        </w:tc>
        <w:tc>
          <w:tcPr>
            <w:tcW w:w="1380" w:type="dxa"/>
          </w:tcPr>
          <w:p>
            <w:pPr>
              <w:pStyle w:val="TableParagraph"/>
              <w:spacing w:before="150"/>
              <w:ind w:right="281"/>
              <w:jc w:val="right"/>
              <w:rPr>
                <w:b/>
                <w:sz w:val="20"/>
              </w:rPr>
            </w:pPr>
            <w:r>
              <w:rPr>
                <w:b/>
                <w:w w:val="95"/>
                <w:sz w:val="20"/>
              </w:rPr>
              <w:t>Address</w:t>
            </w:r>
          </w:p>
        </w:tc>
        <w:tc>
          <w:tcPr>
            <w:tcW w:w="874" w:type="dxa"/>
          </w:tcPr>
          <w:p>
            <w:pPr>
              <w:pStyle w:val="TableParagraph"/>
              <w:spacing w:before="35"/>
              <w:ind w:left="146" w:right="120" w:firstLine="71"/>
              <w:rPr>
                <w:b/>
                <w:sz w:val="20"/>
              </w:rPr>
            </w:pPr>
            <w:r>
              <w:rPr>
                <w:b/>
                <w:sz w:val="20"/>
              </w:rPr>
              <w:t>Bit 7 (MSB)</w:t>
            </w:r>
          </w:p>
        </w:tc>
        <w:tc>
          <w:tcPr>
            <w:tcW w:w="872" w:type="dxa"/>
          </w:tcPr>
          <w:p>
            <w:pPr>
              <w:pStyle w:val="TableParagraph"/>
              <w:spacing w:before="150"/>
              <w:ind w:left="137" w:right="132"/>
              <w:jc w:val="center"/>
              <w:rPr>
                <w:b/>
                <w:sz w:val="20"/>
              </w:rPr>
            </w:pPr>
            <w:r>
              <w:rPr>
                <w:b/>
                <w:sz w:val="20"/>
              </w:rPr>
              <w:t>Bit 6</w:t>
            </w:r>
          </w:p>
        </w:tc>
        <w:tc>
          <w:tcPr>
            <w:tcW w:w="872" w:type="dxa"/>
          </w:tcPr>
          <w:p>
            <w:pPr>
              <w:pStyle w:val="TableParagraph"/>
              <w:spacing w:before="150"/>
              <w:ind w:left="137" w:right="133"/>
              <w:jc w:val="center"/>
              <w:rPr>
                <w:b/>
                <w:sz w:val="20"/>
              </w:rPr>
            </w:pPr>
            <w:r>
              <w:rPr>
                <w:b/>
                <w:sz w:val="20"/>
              </w:rPr>
              <w:t>Bit 5</w:t>
            </w:r>
          </w:p>
        </w:tc>
        <w:tc>
          <w:tcPr>
            <w:tcW w:w="874" w:type="dxa"/>
          </w:tcPr>
          <w:p>
            <w:pPr>
              <w:pStyle w:val="TableParagraph"/>
              <w:spacing w:before="150"/>
              <w:ind w:left="139" w:right="139"/>
              <w:jc w:val="center"/>
              <w:rPr>
                <w:b/>
                <w:sz w:val="20"/>
              </w:rPr>
            </w:pPr>
            <w:r>
              <w:rPr>
                <w:b/>
                <w:sz w:val="20"/>
              </w:rPr>
              <w:t>Bit 4</w:t>
            </w:r>
          </w:p>
        </w:tc>
        <w:tc>
          <w:tcPr>
            <w:tcW w:w="872" w:type="dxa"/>
          </w:tcPr>
          <w:p>
            <w:pPr>
              <w:pStyle w:val="TableParagraph"/>
              <w:spacing w:before="150"/>
              <w:ind w:left="137" w:right="135"/>
              <w:jc w:val="center"/>
              <w:rPr>
                <w:b/>
                <w:sz w:val="20"/>
              </w:rPr>
            </w:pPr>
            <w:r>
              <w:rPr>
                <w:b/>
                <w:sz w:val="20"/>
              </w:rPr>
              <w:t>Bit 3</w:t>
            </w:r>
          </w:p>
        </w:tc>
        <w:tc>
          <w:tcPr>
            <w:tcW w:w="872" w:type="dxa"/>
          </w:tcPr>
          <w:p>
            <w:pPr>
              <w:pStyle w:val="TableParagraph"/>
              <w:spacing w:before="150"/>
              <w:ind w:left="137" w:right="137"/>
              <w:jc w:val="center"/>
              <w:rPr>
                <w:b/>
                <w:sz w:val="20"/>
              </w:rPr>
            </w:pPr>
            <w:r>
              <w:rPr>
                <w:b/>
                <w:sz w:val="20"/>
              </w:rPr>
              <w:t>Bit 2</w:t>
            </w:r>
          </w:p>
        </w:tc>
        <w:tc>
          <w:tcPr>
            <w:tcW w:w="874" w:type="dxa"/>
          </w:tcPr>
          <w:p>
            <w:pPr>
              <w:pStyle w:val="TableParagraph"/>
              <w:spacing w:before="150"/>
              <w:ind w:left="214"/>
              <w:rPr>
                <w:b/>
                <w:sz w:val="20"/>
              </w:rPr>
            </w:pPr>
            <w:r>
              <w:rPr>
                <w:b/>
                <w:sz w:val="20"/>
              </w:rPr>
              <w:t>Bit 1</w:t>
            </w:r>
          </w:p>
        </w:tc>
        <w:tc>
          <w:tcPr>
            <w:tcW w:w="872" w:type="dxa"/>
          </w:tcPr>
          <w:p>
            <w:pPr>
              <w:pStyle w:val="TableParagraph"/>
              <w:spacing w:before="35"/>
              <w:ind w:left="163" w:right="145" w:firstLine="50"/>
              <w:rPr>
                <w:b/>
                <w:sz w:val="20"/>
              </w:rPr>
            </w:pPr>
            <w:r>
              <w:rPr>
                <w:b/>
                <w:sz w:val="20"/>
              </w:rPr>
              <w:t>Bit 0 (LSB)</w:t>
            </w:r>
          </w:p>
        </w:tc>
      </w:tr>
      <w:tr>
        <w:trPr>
          <w:trHeight w:val="350" w:hRule="atLeast"/>
        </w:trPr>
        <w:tc>
          <w:tcPr>
            <w:tcW w:w="994" w:type="dxa"/>
          </w:tcPr>
          <w:p>
            <w:pPr>
              <w:pStyle w:val="TableParagraph"/>
              <w:spacing w:before="17"/>
              <w:ind w:left="73" w:right="68"/>
              <w:jc w:val="center"/>
              <w:rPr>
                <w:rFonts w:ascii="Times New Roman"/>
                <w:i/>
                <w:sz w:val="20"/>
              </w:rPr>
            </w:pPr>
            <w:r>
              <w:rPr>
                <w:rFonts w:ascii="Times New Roman"/>
                <w:i/>
                <w:sz w:val="20"/>
              </w:rPr>
              <w:t>IP0</w:t>
            </w:r>
          </w:p>
        </w:tc>
        <w:tc>
          <w:tcPr>
            <w:tcW w:w="1380" w:type="dxa"/>
          </w:tcPr>
          <w:p>
            <w:pPr>
              <w:pStyle w:val="TableParagraph"/>
              <w:spacing w:before="21"/>
              <w:ind w:right="225"/>
              <w:jc w:val="right"/>
              <w:rPr>
                <w:sz w:val="20"/>
              </w:rPr>
            </w:pPr>
            <w:r>
              <w:rPr>
                <w:sz w:val="20"/>
              </w:rPr>
              <w:t>SFR 0xA9</w:t>
            </w:r>
          </w:p>
        </w:tc>
        <w:tc>
          <w:tcPr>
            <w:tcW w:w="874" w:type="dxa"/>
          </w:tcPr>
          <w:p>
            <w:pPr>
              <w:pStyle w:val="TableParagraph"/>
              <w:spacing w:line="229" w:lineRule="exact"/>
              <w:ind w:left="378"/>
              <w:rPr>
                <w:sz w:val="20"/>
              </w:rPr>
            </w:pPr>
            <w:r>
              <w:rPr>
                <w:w w:val="99"/>
                <w:sz w:val="20"/>
              </w:rPr>
              <w:t>–</w:t>
            </w:r>
          </w:p>
        </w:tc>
        <w:tc>
          <w:tcPr>
            <w:tcW w:w="872" w:type="dxa"/>
          </w:tcPr>
          <w:p>
            <w:pPr>
              <w:pStyle w:val="TableParagraph"/>
              <w:spacing w:line="229" w:lineRule="exact"/>
              <w:ind w:left="5"/>
              <w:jc w:val="center"/>
              <w:rPr>
                <w:sz w:val="20"/>
              </w:rPr>
            </w:pPr>
            <w:r>
              <w:rPr>
                <w:w w:val="99"/>
                <w:sz w:val="20"/>
              </w:rPr>
              <w:t>–</w:t>
            </w:r>
          </w:p>
        </w:tc>
        <w:tc>
          <w:tcPr>
            <w:tcW w:w="872" w:type="dxa"/>
          </w:tcPr>
          <w:p>
            <w:pPr>
              <w:pStyle w:val="TableParagraph"/>
              <w:spacing w:before="17"/>
              <w:ind w:left="137" w:right="136"/>
              <w:jc w:val="center"/>
              <w:rPr>
                <w:rFonts w:ascii="Times New Roman"/>
                <w:i/>
                <w:sz w:val="20"/>
              </w:rPr>
            </w:pPr>
            <w:r>
              <w:rPr>
                <w:rFonts w:ascii="Times New Roman"/>
                <w:i/>
                <w:sz w:val="20"/>
              </w:rPr>
              <w:t>IP0[5]</w:t>
            </w:r>
          </w:p>
        </w:tc>
        <w:tc>
          <w:tcPr>
            <w:tcW w:w="874" w:type="dxa"/>
          </w:tcPr>
          <w:p>
            <w:pPr>
              <w:pStyle w:val="TableParagraph"/>
              <w:spacing w:before="17"/>
              <w:ind w:left="139" w:right="139"/>
              <w:jc w:val="center"/>
              <w:rPr>
                <w:rFonts w:ascii="Times New Roman"/>
                <w:i/>
                <w:sz w:val="20"/>
              </w:rPr>
            </w:pPr>
            <w:r>
              <w:rPr>
                <w:rFonts w:ascii="Times New Roman"/>
                <w:i/>
                <w:sz w:val="20"/>
              </w:rPr>
              <w:t>IP0[4]</w:t>
            </w:r>
          </w:p>
        </w:tc>
        <w:tc>
          <w:tcPr>
            <w:tcW w:w="872" w:type="dxa"/>
          </w:tcPr>
          <w:p>
            <w:pPr>
              <w:pStyle w:val="TableParagraph"/>
              <w:spacing w:before="17"/>
              <w:ind w:left="137" w:right="137"/>
              <w:jc w:val="center"/>
              <w:rPr>
                <w:rFonts w:ascii="Times New Roman"/>
                <w:i/>
                <w:sz w:val="20"/>
              </w:rPr>
            </w:pPr>
            <w:r>
              <w:rPr>
                <w:rFonts w:ascii="Times New Roman"/>
                <w:i/>
                <w:sz w:val="20"/>
              </w:rPr>
              <w:t>IP0[3]</w:t>
            </w:r>
          </w:p>
        </w:tc>
        <w:tc>
          <w:tcPr>
            <w:tcW w:w="872" w:type="dxa"/>
          </w:tcPr>
          <w:p>
            <w:pPr>
              <w:pStyle w:val="TableParagraph"/>
              <w:spacing w:before="17"/>
              <w:ind w:left="137" w:right="137"/>
              <w:jc w:val="center"/>
              <w:rPr>
                <w:rFonts w:ascii="Times New Roman"/>
                <w:i/>
                <w:sz w:val="20"/>
              </w:rPr>
            </w:pPr>
            <w:r>
              <w:rPr>
                <w:rFonts w:ascii="Times New Roman"/>
                <w:i/>
                <w:sz w:val="20"/>
              </w:rPr>
              <w:t>IP0[2]</w:t>
            </w:r>
          </w:p>
        </w:tc>
        <w:tc>
          <w:tcPr>
            <w:tcW w:w="874" w:type="dxa"/>
          </w:tcPr>
          <w:p>
            <w:pPr>
              <w:pStyle w:val="TableParagraph"/>
              <w:spacing w:before="17"/>
              <w:ind w:left="158"/>
              <w:rPr>
                <w:rFonts w:ascii="Times New Roman"/>
                <w:i/>
                <w:sz w:val="20"/>
              </w:rPr>
            </w:pPr>
            <w:r>
              <w:rPr>
                <w:rFonts w:ascii="Times New Roman"/>
                <w:i/>
                <w:sz w:val="20"/>
              </w:rPr>
              <w:t>IP0[1]</w:t>
            </w:r>
          </w:p>
        </w:tc>
        <w:tc>
          <w:tcPr>
            <w:tcW w:w="872" w:type="dxa"/>
          </w:tcPr>
          <w:p>
            <w:pPr>
              <w:pStyle w:val="TableParagraph"/>
              <w:spacing w:before="17"/>
              <w:ind w:left="136" w:right="138"/>
              <w:jc w:val="center"/>
              <w:rPr>
                <w:rFonts w:ascii="Times New Roman"/>
                <w:i/>
                <w:sz w:val="20"/>
              </w:rPr>
            </w:pPr>
            <w:r>
              <w:rPr>
                <w:rFonts w:ascii="Times New Roman"/>
                <w:i/>
                <w:sz w:val="20"/>
              </w:rPr>
              <w:t>IP0[0]</w:t>
            </w:r>
          </w:p>
        </w:tc>
      </w:tr>
      <w:tr>
        <w:trPr>
          <w:trHeight w:val="352" w:hRule="atLeast"/>
        </w:trPr>
        <w:tc>
          <w:tcPr>
            <w:tcW w:w="994" w:type="dxa"/>
          </w:tcPr>
          <w:p>
            <w:pPr>
              <w:pStyle w:val="TableParagraph"/>
              <w:spacing w:before="17"/>
              <w:ind w:left="73" w:right="68"/>
              <w:jc w:val="center"/>
              <w:rPr>
                <w:rFonts w:ascii="Times New Roman"/>
                <w:i/>
                <w:sz w:val="20"/>
              </w:rPr>
            </w:pPr>
            <w:r>
              <w:rPr>
                <w:rFonts w:ascii="Times New Roman"/>
                <w:i/>
                <w:sz w:val="20"/>
              </w:rPr>
              <w:t>IP1</w:t>
            </w:r>
          </w:p>
        </w:tc>
        <w:tc>
          <w:tcPr>
            <w:tcW w:w="1380" w:type="dxa"/>
          </w:tcPr>
          <w:p>
            <w:pPr>
              <w:pStyle w:val="TableParagraph"/>
              <w:spacing w:before="21"/>
              <w:ind w:right="225"/>
              <w:jc w:val="right"/>
              <w:rPr>
                <w:sz w:val="20"/>
              </w:rPr>
            </w:pPr>
            <w:r>
              <w:rPr>
                <w:sz w:val="20"/>
              </w:rPr>
              <w:t>SFR 0xB9</w:t>
            </w:r>
          </w:p>
        </w:tc>
        <w:tc>
          <w:tcPr>
            <w:tcW w:w="874" w:type="dxa"/>
          </w:tcPr>
          <w:p>
            <w:pPr>
              <w:pStyle w:val="TableParagraph"/>
              <w:spacing w:line="229" w:lineRule="exact"/>
              <w:ind w:left="378"/>
              <w:rPr>
                <w:sz w:val="20"/>
              </w:rPr>
            </w:pPr>
            <w:r>
              <w:rPr>
                <w:w w:val="99"/>
                <w:sz w:val="20"/>
              </w:rPr>
              <w:t>–</w:t>
            </w:r>
          </w:p>
        </w:tc>
        <w:tc>
          <w:tcPr>
            <w:tcW w:w="872" w:type="dxa"/>
          </w:tcPr>
          <w:p>
            <w:pPr>
              <w:pStyle w:val="TableParagraph"/>
              <w:spacing w:line="229" w:lineRule="exact"/>
              <w:ind w:left="5"/>
              <w:jc w:val="center"/>
              <w:rPr>
                <w:sz w:val="20"/>
              </w:rPr>
            </w:pPr>
            <w:r>
              <w:rPr>
                <w:w w:val="99"/>
                <w:sz w:val="20"/>
              </w:rPr>
              <w:t>–</w:t>
            </w:r>
          </w:p>
        </w:tc>
        <w:tc>
          <w:tcPr>
            <w:tcW w:w="872" w:type="dxa"/>
          </w:tcPr>
          <w:p>
            <w:pPr>
              <w:pStyle w:val="TableParagraph"/>
              <w:spacing w:before="17"/>
              <w:ind w:left="137" w:right="136"/>
              <w:jc w:val="center"/>
              <w:rPr>
                <w:rFonts w:ascii="Times New Roman"/>
                <w:i/>
                <w:sz w:val="20"/>
              </w:rPr>
            </w:pPr>
            <w:r>
              <w:rPr>
                <w:rFonts w:ascii="Times New Roman"/>
                <w:i/>
                <w:sz w:val="20"/>
              </w:rPr>
              <w:t>IP1[5]</w:t>
            </w:r>
          </w:p>
        </w:tc>
        <w:tc>
          <w:tcPr>
            <w:tcW w:w="874" w:type="dxa"/>
          </w:tcPr>
          <w:p>
            <w:pPr>
              <w:pStyle w:val="TableParagraph"/>
              <w:spacing w:before="17"/>
              <w:ind w:left="139" w:right="139"/>
              <w:jc w:val="center"/>
              <w:rPr>
                <w:rFonts w:ascii="Times New Roman"/>
                <w:i/>
                <w:sz w:val="20"/>
              </w:rPr>
            </w:pPr>
            <w:r>
              <w:rPr>
                <w:rFonts w:ascii="Times New Roman"/>
                <w:i/>
                <w:sz w:val="20"/>
              </w:rPr>
              <w:t>IP1[4]</w:t>
            </w:r>
          </w:p>
        </w:tc>
        <w:tc>
          <w:tcPr>
            <w:tcW w:w="872" w:type="dxa"/>
          </w:tcPr>
          <w:p>
            <w:pPr>
              <w:pStyle w:val="TableParagraph"/>
              <w:spacing w:before="17"/>
              <w:ind w:left="137" w:right="137"/>
              <w:jc w:val="center"/>
              <w:rPr>
                <w:rFonts w:ascii="Times New Roman"/>
                <w:i/>
                <w:sz w:val="20"/>
              </w:rPr>
            </w:pPr>
            <w:r>
              <w:rPr>
                <w:rFonts w:ascii="Times New Roman"/>
                <w:i/>
                <w:sz w:val="20"/>
              </w:rPr>
              <w:t>IP1[3]</w:t>
            </w:r>
          </w:p>
        </w:tc>
        <w:tc>
          <w:tcPr>
            <w:tcW w:w="872" w:type="dxa"/>
          </w:tcPr>
          <w:p>
            <w:pPr>
              <w:pStyle w:val="TableParagraph"/>
              <w:spacing w:before="17"/>
              <w:ind w:left="137" w:right="137"/>
              <w:jc w:val="center"/>
              <w:rPr>
                <w:rFonts w:ascii="Times New Roman"/>
                <w:i/>
                <w:sz w:val="20"/>
              </w:rPr>
            </w:pPr>
            <w:r>
              <w:rPr>
                <w:rFonts w:ascii="Times New Roman"/>
                <w:i/>
                <w:sz w:val="20"/>
              </w:rPr>
              <w:t>IP1[2]</w:t>
            </w:r>
          </w:p>
        </w:tc>
        <w:tc>
          <w:tcPr>
            <w:tcW w:w="874" w:type="dxa"/>
          </w:tcPr>
          <w:p>
            <w:pPr>
              <w:pStyle w:val="TableParagraph"/>
              <w:spacing w:before="17"/>
              <w:ind w:left="158"/>
              <w:rPr>
                <w:rFonts w:ascii="Times New Roman"/>
                <w:i/>
                <w:sz w:val="20"/>
              </w:rPr>
            </w:pPr>
            <w:r>
              <w:rPr>
                <w:rFonts w:ascii="Times New Roman"/>
                <w:i/>
                <w:sz w:val="20"/>
              </w:rPr>
              <w:t>IP1[1]</w:t>
            </w:r>
          </w:p>
        </w:tc>
        <w:tc>
          <w:tcPr>
            <w:tcW w:w="872" w:type="dxa"/>
          </w:tcPr>
          <w:p>
            <w:pPr>
              <w:pStyle w:val="TableParagraph"/>
              <w:spacing w:before="17"/>
              <w:ind w:left="136" w:right="138"/>
              <w:jc w:val="center"/>
              <w:rPr>
                <w:rFonts w:ascii="Times New Roman"/>
                <w:i/>
                <w:sz w:val="20"/>
              </w:rPr>
            </w:pPr>
            <w:r>
              <w:rPr>
                <w:rFonts w:ascii="Times New Roman"/>
                <w:i/>
                <w:sz w:val="20"/>
              </w:rPr>
              <w:t>IP1[0]</w:t>
            </w:r>
          </w:p>
        </w:tc>
      </w:tr>
    </w:tbl>
    <w:p>
      <w:pPr>
        <w:spacing w:after="0"/>
        <w:jc w:val="center"/>
        <w:rPr>
          <w:rFonts w:ascii="Times New Roman"/>
          <w:sz w:val="20"/>
        </w:rPr>
        <w:sectPr>
          <w:pgSz w:w="12240" w:h="15840"/>
          <w:pgMar w:header="727" w:footer="819" w:top="960" w:bottom="1000" w:left="820" w:right="860"/>
        </w:sectPr>
      </w:pPr>
    </w:p>
    <w:p>
      <w:pPr>
        <w:pStyle w:val="BodyText"/>
        <w:spacing w:before="6"/>
        <w:rPr>
          <w:b/>
          <w:sz w:val="16"/>
        </w:rPr>
      </w:pPr>
    </w:p>
    <w:p>
      <w:pPr>
        <w:pStyle w:val="Heading1"/>
        <w:spacing w:before="93"/>
        <w:ind w:left="1312" w:right="1278"/>
      </w:pPr>
      <w:bookmarkStart w:name="_bookmark90" w:id="176"/>
      <w:bookmarkEnd w:id="176"/>
      <w:r>
        <w:rPr>
          <w:b w:val="0"/>
        </w:rPr>
      </w:r>
      <w:r>
        <w:rPr/>
        <w:t>Table 36: Interrupt Polling Sequence</w:t>
      </w:r>
    </w:p>
    <w:p>
      <w:pPr>
        <w:pStyle w:val="BodyText"/>
        <w:spacing w:before="7"/>
        <w:rPr>
          <w:b/>
          <w:sz w:val="5"/>
        </w:rPr>
      </w:pPr>
    </w:p>
    <w:tbl>
      <w:tblPr>
        <w:tblW w:w="0" w:type="auto"/>
        <w:jc w:val="left"/>
        <w:tblInd w:w="3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29"/>
        <w:gridCol w:w="315"/>
        <w:gridCol w:w="432"/>
      </w:tblGrid>
      <w:tr>
        <w:trPr>
          <w:trHeight w:val="268" w:hRule="atLeast"/>
        </w:trPr>
        <w:tc>
          <w:tcPr>
            <w:tcW w:w="3429" w:type="dxa"/>
            <w:tcBorders>
              <w:right w:val="single" w:sz="24" w:space="0" w:color="000000"/>
            </w:tcBorders>
          </w:tcPr>
          <w:p>
            <w:pPr>
              <w:pStyle w:val="TableParagraph"/>
              <w:spacing w:before="18"/>
              <w:ind w:left="737" w:right="391"/>
              <w:jc w:val="center"/>
              <w:rPr>
                <w:sz w:val="20"/>
              </w:rPr>
            </w:pPr>
            <w:r>
              <w:rPr>
                <w:sz w:val="20"/>
              </w:rPr>
              <w:t>External interrupt 0</w:t>
            </w:r>
          </w:p>
        </w:tc>
        <w:tc>
          <w:tcPr>
            <w:tcW w:w="315" w:type="dxa"/>
            <w:tcBorders>
              <w:left w:val="single" w:sz="24" w:space="0" w:color="000000"/>
            </w:tcBorders>
          </w:tcPr>
          <w:p>
            <w:pPr>
              <w:pStyle w:val="TableParagraph"/>
              <w:rPr>
                <w:rFonts w:ascii="Times New Roman"/>
                <w:sz w:val="18"/>
              </w:rPr>
            </w:pPr>
          </w:p>
        </w:tc>
        <w:tc>
          <w:tcPr>
            <w:tcW w:w="432" w:type="dxa"/>
            <w:vMerge w:val="restart"/>
            <w:textDirection w:val="btLr"/>
          </w:tcPr>
          <w:p>
            <w:pPr>
              <w:pStyle w:val="TableParagraph"/>
              <w:spacing w:before="71"/>
              <w:ind w:left="772"/>
              <w:rPr>
                <w:sz w:val="20"/>
              </w:rPr>
            </w:pPr>
            <w:bookmarkStart w:name="Interrupt Sources and Vectors" w:id="177"/>
            <w:bookmarkEnd w:id="177"/>
            <w:r>
              <w:rPr/>
            </w:r>
            <w:bookmarkStart w:name="_bookmark91" w:id="178"/>
            <w:bookmarkEnd w:id="178"/>
            <w:r>
              <w:rPr/>
            </w:r>
            <w:r>
              <w:rPr>
                <w:sz w:val="20"/>
              </w:rPr>
              <w:t>Polling sequence</w:t>
            </w:r>
          </w:p>
        </w:tc>
      </w:tr>
      <w:tr>
        <w:trPr>
          <w:trHeight w:val="270" w:hRule="atLeast"/>
        </w:trPr>
        <w:tc>
          <w:tcPr>
            <w:tcW w:w="3429" w:type="dxa"/>
            <w:tcBorders>
              <w:right w:val="single" w:sz="24" w:space="0" w:color="000000"/>
            </w:tcBorders>
          </w:tcPr>
          <w:p>
            <w:pPr>
              <w:pStyle w:val="TableParagraph"/>
              <w:spacing w:before="21"/>
              <w:ind w:left="737" w:right="393"/>
              <w:jc w:val="center"/>
              <w:rPr>
                <w:sz w:val="20"/>
              </w:rPr>
            </w:pPr>
            <w:r>
              <w:rPr>
                <w:sz w:val="20"/>
              </w:rPr>
              <w:t>Serial channel 1 interrupt</w:t>
            </w:r>
          </w:p>
        </w:tc>
        <w:tc>
          <w:tcPr>
            <w:tcW w:w="315" w:type="dxa"/>
            <w:tcBorders>
              <w:left w:val="single" w:sz="24" w:space="0" w:color="000000"/>
            </w:tcBorders>
          </w:tcPr>
          <w:p>
            <w:pPr>
              <w:pStyle w:val="TableParagraph"/>
              <w:rPr>
                <w:rFonts w:ascii="Times New Roman"/>
                <w:sz w:val="18"/>
              </w:rPr>
            </w:pPr>
          </w:p>
        </w:tc>
        <w:tc>
          <w:tcPr>
            <w:tcW w:w="432" w:type="dxa"/>
            <w:vMerge/>
            <w:tcBorders>
              <w:top w:val="nil"/>
            </w:tcBorders>
            <w:textDirection w:val="btLr"/>
          </w:tcPr>
          <w:p>
            <w:pPr>
              <w:rPr>
                <w:sz w:val="2"/>
                <w:szCs w:val="2"/>
              </w:rPr>
            </w:pPr>
          </w:p>
        </w:tc>
      </w:tr>
      <w:tr>
        <w:trPr>
          <w:trHeight w:val="270" w:hRule="atLeast"/>
        </w:trPr>
        <w:tc>
          <w:tcPr>
            <w:tcW w:w="3429" w:type="dxa"/>
            <w:tcBorders>
              <w:right w:val="single" w:sz="24" w:space="0" w:color="000000"/>
            </w:tcBorders>
          </w:tcPr>
          <w:p>
            <w:pPr>
              <w:pStyle w:val="TableParagraph"/>
              <w:spacing w:before="18"/>
              <w:ind w:left="736" w:right="393"/>
              <w:jc w:val="center"/>
              <w:rPr>
                <w:sz w:val="20"/>
              </w:rPr>
            </w:pPr>
            <w:r>
              <w:rPr>
                <w:sz w:val="20"/>
              </w:rPr>
              <w:t>Timer 0 interrupt</w:t>
            </w:r>
          </w:p>
        </w:tc>
        <w:tc>
          <w:tcPr>
            <w:tcW w:w="315" w:type="dxa"/>
            <w:tcBorders>
              <w:left w:val="single" w:sz="24" w:space="0" w:color="000000"/>
            </w:tcBorders>
          </w:tcPr>
          <w:p>
            <w:pPr>
              <w:pStyle w:val="TableParagraph"/>
              <w:rPr>
                <w:rFonts w:ascii="Times New Roman"/>
                <w:sz w:val="18"/>
              </w:rPr>
            </w:pPr>
          </w:p>
        </w:tc>
        <w:tc>
          <w:tcPr>
            <w:tcW w:w="432" w:type="dxa"/>
            <w:vMerge/>
            <w:tcBorders>
              <w:top w:val="nil"/>
            </w:tcBorders>
            <w:textDirection w:val="btLr"/>
          </w:tcPr>
          <w:p>
            <w:pPr>
              <w:rPr>
                <w:sz w:val="2"/>
                <w:szCs w:val="2"/>
              </w:rPr>
            </w:pPr>
          </w:p>
        </w:tc>
      </w:tr>
      <w:tr>
        <w:trPr>
          <w:trHeight w:val="268" w:hRule="atLeast"/>
        </w:trPr>
        <w:tc>
          <w:tcPr>
            <w:tcW w:w="3429" w:type="dxa"/>
            <w:tcBorders>
              <w:right w:val="single" w:sz="24" w:space="0" w:color="000000"/>
            </w:tcBorders>
          </w:tcPr>
          <w:p>
            <w:pPr>
              <w:pStyle w:val="TableParagraph"/>
              <w:spacing w:before="18"/>
              <w:ind w:left="737" w:right="391"/>
              <w:jc w:val="center"/>
              <w:rPr>
                <w:sz w:val="20"/>
              </w:rPr>
            </w:pPr>
            <w:r>
              <w:rPr>
                <w:sz w:val="20"/>
              </w:rPr>
              <w:t>External interrupt 2</w:t>
            </w:r>
          </w:p>
        </w:tc>
        <w:tc>
          <w:tcPr>
            <w:tcW w:w="315" w:type="dxa"/>
            <w:tcBorders>
              <w:left w:val="single" w:sz="24" w:space="0" w:color="000000"/>
            </w:tcBorders>
          </w:tcPr>
          <w:p>
            <w:pPr>
              <w:pStyle w:val="TableParagraph"/>
              <w:rPr>
                <w:rFonts w:ascii="Times New Roman"/>
                <w:sz w:val="18"/>
              </w:rPr>
            </w:pPr>
          </w:p>
        </w:tc>
        <w:tc>
          <w:tcPr>
            <w:tcW w:w="432" w:type="dxa"/>
            <w:vMerge/>
            <w:tcBorders>
              <w:top w:val="nil"/>
            </w:tcBorders>
            <w:textDirection w:val="btLr"/>
          </w:tcPr>
          <w:p>
            <w:pPr>
              <w:rPr>
                <w:sz w:val="2"/>
                <w:szCs w:val="2"/>
              </w:rPr>
            </w:pPr>
          </w:p>
        </w:tc>
      </w:tr>
      <w:tr>
        <w:trPr>
          <w:trHeight w:val="270" w:hRule="atLeast"/>
        </w:trPr>
        <w:tc>
          <w:tcPr>
            <w:tcW w:w="3429" w:type="dxa"/>
            <w:tcBorders>
              <w:right w:val="single" w:sz="24" w:space="0" w:color="000000"/>
            </w:tcBorders>
          </w:tcPr>
          <w:p>
            <w:pPr>
              <w:pStyle w:val="TableParagraph"/>
              <w:spacing w:before="21"/>
              <w:ind w:left="737" w:right="391"/>
              <w:jc w:val="center"/>
              <w:rPr>
                <w:sz w:val="20"/>
              </w:rPr>
            </w:pPr>
            <w:r>
              <w:rPr>
                <w:sz w:val="20"/>
              </w:rPr>
              <w:t>External interrupt 1</w:t>
            </w:r>
          </w:p>
        </w:tc>
        <w:tc>
          <w:tcPr>
            <w:tcW w:w="315" w:type="dxa"/>
            <w:tcBorders>
              <w:left w:val="single" w:sz="24" w:space="0" w:color="000000"/>
            </w:tcBorders>
          </w:tcPr>
          <w:p>
            <w:pPr>
              <w:pStyle w:val="TableParagraph"/>
              <w:rPr>
                <w:rFonts w:ascii="Times New Roman"/>
                <w:sz w:val="18"/>
              </w:rPr>
            </w:pPr>
          </w:p>
        </w:tc>
        <w:tc>
          <w:tcPr>
            <w:tcW w:w="432" w:type="dxa"/>
            <w:vMerge/>
            <w:tcBorders>
              <w:top w:val="nil"/>
            </w:tcBorders>
            <w:textDirection w:val="btLr"/>
          </w:tcPr>
          <w:p>
            <w:pPr>
              <w:rPr>
                <w:sz w:val="2"/>
                <w:szCs w:val="2"/>
              </w:rPr>
            </w:pPr>
          </w:p>
        </w:tc>
      </w:tr>
      <w:tr>
        <w:trPr>
          <w:trHeight w:val="270" w:hRule="atLeast"/>
        </w:trPr>
        <w:tc>
          <w:tcPr>
            <w:tcW w:w="3429" w:type="dxa"/>
            <w:tcBorders>
              <w:right w:val="single" w:sz="24" w:space="0" w:color="000000"/>
            </w:tcBorders>
          </w:tcPr>
          <w:p>
            <w:pPr>
              <w:pStyle w:val="TableParagraph"/>
              <w:spacing w:before="18"/>
              <w:ind w:left="737" w:right="391"/>
              <w:jc w:val="center"/>
              <w:rPr>
                <w:sz w:val="20"/>
              </w:rPr>
            </w:pPr>
            <w:r>
              <w:rPr>
                <w:sz w:val="20"/>
              </w:rPr>
              <w:t>External interrupt 3</w:t>
            </w:r>
          </w:p>
        </w:tc>
        <w:tc>
          <w:tcPr>
            <w:tcW w:w="315" w:type="dxa"/>
            <w:tcBorders>
              <w:left w:val="single" w:sz="24" w:space="0" w:color="000000"/>
            </w:tcBorders>
          </w:tcPr>
          <w:p>
            <w:pPr>
              <w:pStyle w:val="TableParagraph"/>
              <w:rPr>
                <w:rFonts w:ascii="Times New Roman"/>
                <w:sz w:val="18"/>
              </w:rPr>
            </w:pPr>
          </w:p>
        </w:tc>
        <w:tc>
          <w:tcPr>
            <w:tcW w:w="432" w:type="dxa"/>
            <w:vMerge/>
            <w:tcBorders>
              <w:top w:val="nil"/>
            </w:tcBorders>
            <w:textDirection w:val="btLr"/>
          </w:tcPr>
          <w:p>
            <w:pPr>
              <w:rPr>
                <w:sz w:val="2"/>
                <w:szCs w:val="2"/>
              </w:rPr>
            </w:pPr>
          </w:p>
        </w:tc>
      </w:tr>
      <w:tr>
        <w:trPr>
          <w:trHeight w:val="268" w:hRule="atLeast"/>
        </w:trPr>
        <w:tc>
          <w:tcPr>
            <w:tcW w:w="3429" w:type="dxa"/>
            <w:tcBorders>
              <w:right w:val="single" w:sz="24" w:space="0" w:color="000000"/>
            </w:tcBorders>
          </w:tcPr>
          <w:p>
            <w:pPr>
              <w:pStyle w:val="TableParagraph"/>
              <w:spacing w:before="18"/>
              <w:ind w:left="736" w:right="393"/>
              <w:jc w:val="center"/>
              <w:rPr>
                <w:sz w:val="20"/>
              </w:rPr>
            </w:pPr>
            <w:r>
              <w:rPr>
                <w:sz w:val="20"/>
              </w:rPr>
              <w:t>Timer 1 interrupt</w:t>
            </w:r>
          </w:p>
        </w:tc>
        <w:tc>
          <w:tcPr>
            <w:tcW w:w="315" w:type="dxa"/>
            <w:tcBorders>
              <w:left w:val="single" w:sz="24" w:space="0" w:color="000000"/>
            </w:tcBorders>
          </w:tcPr>
          <w:p>
            <w:pPr>
              <w:pStyle w:val="TableParagraph"/>
              <w:rPr>
                <w:rFonts w:ascii="Times New Roman"/>
                <w:sz w:val="18"/>
              </w:rPr>
            </w:pPr>
          </w:p>
        </w:tc>
        <w:tc>
          <w:tcPr>
            <w:tcW w:w="432" w:type="dxa"/>
            <w:vMerge/>
            <w:tcBorders>
              <w:top w:val="nil"/>
            </w:tcBorders>
            <w:textDirection w:val="btLr"/>
          </w:tcPr>
          <w:p>
            <w:pPr>
              <w:rPr>
                <w:sz w:val="2"/>
                <w:szCs w:val="2"/>
              </w:rPr>
            </w:pPr>
          </w:p>
        </w:tc>
      </w:tr>
      <w:tr>
        <w:trPr>
          <w:trHeight w:val="270" w:hRule="atLeast"/>
        </w:trPr>
        <w:tc>
          <w:tcPr>
            <w:tcW w:w="3429" w:type="dxa"/>
            <w:tcBorders>
              <w:right w:val="single" w:sz="24" w:space="0" w:color="000000"/>
            </w:tcBorders>
          </w:tcPr>
          <w:p>
            <w:pPr>
              <w:pStyle w:val="TableParagraph"/>
              <w:spacing w:before="21"/>
              <w:ind w:left="737" w:right="391"/>
              <w:jc w:val="center"/>
              <w:rPr>
                <w:sz w:val="20"/>
              </w:rPr>
            </w:pPr>
            <w:r>
              <w:rPr>
                <w:sz w:val="20"/>
              </w:rPr>
              <w:t>External interrupt 4</w:t>
            </w:r>
          </w:p>
        </w:tc>
        <w:tc>
          <w:tcPr>
            <w:tcW w:w="315" w:type="dxa"/>
            <w:tcBorders>
              <w:left w:val="single" w:sz="24" w:space="0" w:color="000000"/>
            </w:tcBorders>
          </w:tcPr>
          <w:p>
            <w:pPr>
              <w:pStyle w:val="TableParagraph"/>
              <w:rPr>
                <w:rFonts w:ascii="Times New Roman"/>
                <w:sz w:val="18"/>
              </w:rPr>
            </w:pPr>
          </w:p>
        </w:tc>
        <w:tc>
          <w:tcPr>
            <w:tcW w:w="432" w:type="dxa"/>
            <w:vMerge/>
            <w:tcBorders>
              <w:top w:val="nil"/>
            </w:tcBorders>
            <w:textDirection w:val="btLr"/>
          </w:tcPr>
          <w:p>
            <w:pPr>
              <w:rPr>
                <w:sz w:val="2"/>
                <w:szCs w:val="2"/>
              </w:rPr>
            </w:pPr>
          </w:p>
        </w:tc>
      </w:tr>
      <w:tr>
        <w:trPr>
          <w:trHeight w:val="270" w:hRule="atLeast"/>
        </w:trPr>
        <w:tc>
          <w:tcPr>
            <w:tcW w:w="3429" w:type="dxa"/>
            <w:tcBorders>
              <w:right w:val="single" w:sz="24" w:space="0" w:color="000000"/>
            </w:tcBorders>
          </w:tcPr>
          <w:p>
            <w:pPr>
              <w:pStyle w:val="TableParagraph"/>
              <w:spacing w:before="18"/>
              <w:ind w:left="737" w:right="393"/>
              <w:jc w:val="center"/>
              <w:rPr>
                <w:sz w:val="20"/>
              </w:rPr>
            </w:pPr>
            <w:r>
              <w:rPr>
                <w:sz w:val="20"/>
              </w:rPr>
              <w:t>Serial channel 0 interrupt</w:t>
            </w:r>
          </w:p>
        </w:tc>
        <w:tc>
          <w:tcPr>
            <w:tcW w:w="315" w:type="dxa"/>
            <w:tcBorders>
              <w:left w:val="single" w:sz="24" w:space="0" w:color="000000"/>
            </w:tcBorders>
          </w:tcPr>
          <w:p>
            <w:pPr>
              <w:pStyle w:val="TableParagraph"/>
              <w:rPr>
                <w:rFonts w:ascii="Times New Roman"/>
                <w:sz w:val="18"/>
              </w:rPr>
            </w:pPr>
          </w:p>
        </w:tc>
        <w:tc>
          <w:tcPr>
            <w:tcW w:w="432" w:type="dxa"/>
            <w:vMerge/>
            <w:tcBorders>
              <w:top w:val="nil"/>
            </w:tcBorders>
            <w:textDirection w:val="btLr"/>
          </w:tcPr>
          <w:p>
            <w:pPr>
              <w:rPr>
                <w:sz w:val="2"/>
                <w:szCs w:val="2"/>
              </w:rPr>
            </w:pPr>
          </w:p>
        </w:tc>
      </w:tr>
      <w:tr>
        <w:trPr>
          <w:trHeight w:val="268" w:hRule="atLeast"/>
        </w:trPr>
        <w:tc>
          <w:tcPr>
            <w:tcW w:w="3429" w:type="dxa"/>
            <w:tcBorders>
              <w:right w:val="single" w:sz="24" w:space="0" w:color="000000"/>
            </w:tcBorders>
          </w:tcPr>
          <w:p>
            <w:pPr>
              <w:pStyle w:val="TableParagraph"/>
              <w:spacing w:before="18"/>
              <w:ind w:left="737" w:right="391"/>
              <w:jc w:val="center"/>
              <w:rPr>
                <w:sz w:val="20"/>
              </w:rPr>
            </w:pPr>
            <w:r>
              <w:rPr>
                <w:sz w:val="20"/>
              </w:rPr>
              <w:t>External interrupt 5</w:t>
            </w:r>
          </w:p>
        </w:tc>
        <w:tc>
          <w:tcPr>
            <w:tcW w:w="315" w:type="dxa"/>
            <w:tcBorders>
              <w:left w:val="single" w:sz="24" w:space="0" w:color="000000"/>
            </w:tcBorders>
          </w:tcPr>
          <w:p>
            <w:pPr>
              <w:pStyle w:val="TableParagraph"/>
              <w:rPr>
                <w:rFonts w:ascii="Times New Roman"/>
                <w:sz w:val="18"/>
              </w:rPr>
            </w:pPr>
          </w:p>
        </w:tc>
        <w:tc>
          <w:tcPr>
            <w:tcW w:w="432" w:type="dxa"/>
            <w:vMerge/>
            <w:tcBorders>
              <w:top w:val="nil"/>
            </w:tcBorders>
            <w:textDirection w:val="btLr"/>
          </w:tcPr>
          <w:p>
            <w:pPr>
              <w:rPr>
                <w:sz w:val="2"/>
                <w:szCs w:val="2"/>
              </w:rPr>
            </w:pPr>
          </w:p>
        </w:tc>
      </w:tr>
      <w:tr>
        <w:trPr>
          <w:trHeight w:val="270" w:hRule="atLeast"/>
        </w:trPr>
        <w:tc>
          <w:tcPr>
            <w:tcW w:w="3429" w:type="dxa"/>
            <w:tcBorders>
              <w:right w:val="single" w:sz="24" w:space="0" w:color="000000"/>
            </w:tcBorders>
          </w:tcPr>
          <w:p>
            <w:pPr>
              <w:pStyle w:val="TableParagraph"/>
              <w:spacing w:before="18"/>
              <w:ind w:left="737" w:right="391"/>
              <w:jc w:val="center"/>
              <w:rPr>
                <w:sz w:val="20"/>
              </w:rPr>
            </w:pPr>
            <w:r>
              <w:rPr>
                <w:sz w:val="20"/>
              </w:rPr>
              <w:t>External interrupt 6</w:t>
            </w:r>
          </w:p>
        </w:tc>
        <w:tc>
          <w:tcPr>
            <w:tcW w:w="315" w:type="dxa"/>
            <w:tcBorders>
              <w:left w:val="single" w:sz="24" w:space="0" w:color="000000"/>
            </w:tcBorders>
          </w:tcPr>
          <w:p>
            <w:pPr>
              <w:pStyle w:val="TableParagraph"/>
              <w:rPr>
                <w:rFonts w:ascii="Times New Roman"/>
                <w:sz w:val="18"/>
              </w:rPr>
            </w:pPr>
          </w:p>
        </w:tc>
        <w:tc>
          <w:tcPr>
            <w:tcW w:w="432" w:type="dxa"/>
            <w:vMerge/>
            <w:tcBorders>
              <w:top w:val="nil"/>
            </w:tcBorders>
            <w:textDirection w:val="btLr"/>
          </w:tcPr>
          <w:p>
            <w:pPr>
              <w:rPr>
                <w:sz w:val="2"/>
                <w:szCs w:val="2"/>
              </w:rPr>
            </w:pPr>
          </w:p>
        </w:tc>
      </w:tr>
    </w:tbl>
    <w:p>
      <w:pPr>
        <w:pStyle w:val="BodyText"/>
        <w:spacing w:before="3"/>
        <w:rPr>
          <w:b/>
          <w:sz w:val="30"/>
        </w:rPr>
      </w:pPr>
    </w:p>
    <w:p>
      <w:pPr>
        <w:spacing w:before="0"/>
        <w:ind w:left="620" w:right="0" w:firstLine="0"/>
        <w:jc w:val="left"/>
        <w:rPr>
          <w:b/>
          <w:sz w:val="20"/>
        </w:rPr>
      </w:pPr>
      <w:r>
        <w:rPr/>
        <w:pict>
          <v:shape style="position:absolute;margin-left:368.549988pt;margin-top:-25.89978pt;width:9pt;height:9pt;mso-position-horizontal-relative:page;mso-position-vertical-relative:paragraph;z-index:-38814208" coordorigin="7371,-518" coordsize="180,180" path="m7551,-518l7371,-518,7461,-338,7551,-518xe" filled="true" fillcolor="#000000" stroked="false">
            <v:path arrowok="t"/>
            <v:fill type="solid"/>
            <w10:wrap type="none"/>
          </v:shape>
        </w:pict>
      </w:r>
      <w:r>
        <w:rPr>
          <w:b/>
          <w:sz w:val="20"/>
        </w:rPr>
        <w:t>Interrupt Sources and Vectors</w:t>
      </w:r>
    </w:p>
    <w:p>
      <w:pPr>
        <w:pStyle w:val="BodyText"/>
        <w:spacing w:before="80"/>
        <w:ind w:left="620"/>
      </w:pPr>
      <w:hyperlink w:history="true" w:anchor="_bookmark91">
        <w:r>
          <w:rPr>
            <w:color w:val="0000FF"/>
          </w:rPr>
          <w:t>Table 37 </w:t>
        </w:r>
      </w:hyperlink>
      <w:r>
        <w:rPr/>
        <w:t>shows the interrupts with their associated flags and vector addresses.</w:t>
      </w:r>
    </w:p>
    <w:p>
      <w:pPr>
        <w:pStyle w:val="BodyText"/>
        <w:spacing w:before="10"/>
        <w:rPr>
          <w:sz w:val="19"/>
        </w:rPr>
      </w:pPr>
    </w:p>
    <w:p>
      <w:pPr>
        <w:pStyle w:val="Heading1"/>
        <w:ind w:left="1318" w:right="1278"/>
      </w:pPr>
      <w:r>
        <w:rPr/>
        <w:t>Table 37: Interrupt Vectors</w:t>
      </w:r>
    </w:p>
    <w:p>
      <w:pPr>
        <w:pStyle w:val="BodyText"/>
        <w:spacing w:before="8"/>
        <w:rPr>
          <w:b/>
          <w:sz w:val="5"/>
        </w:rPr>
      </w:pPr>
    </w:p>
    <w:tbl>
      <w:tblPr>
        <w:tblW w:w="0" w:type="auto"/>
        <w:jc w:val="left"/>
        <w:tblInd w:w="2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8"/>
        <w:gridCol w:w="2880"/>
        <w:gridCol w:w="1728"/>
      </w:tblGrid>
      <w:tr>
        <w:trPr>
          <w:trHeight w:val="539" w:hRule="atLeast"/>
        </w:trPr>
        <w:tc>
          <w:tcPr>
            <w:tcW w:w="1728" w:type="dxa"/>
          </w:tcPr>
          <w:p>
            <w:pPr>
              <w:pStyle w:val="TableParagraph"/>
              <w:spacing w:before="35"/>
              <w:ind w:left="235" w:firstLine="218"/>
              <w:rPr>
                <w:b/>
                <w:sz w:val="20"/>
              </w:rPr>
            </w:pPr>
            <w:r>
              <w:rPr>
                <w:b/>
                <w:sz w:val="20"/>
              </w:rPr>
              <w:t>Interrupt Request Flag</w:t>
            </w:r>
          </w:p>
        </w:tc>
        <w:tc>
          <w:tcPr>
            <w:tcW w:w="2880" w:type="dxa"/>
          </w:tcPr>
          <w:p>
            <w:pPr>
              <w:pStyle w:val="TableParagraph"/>
              <w:spacing w:before="151"/>
              <w:ind w:left="890"/>
              <w:rPr>
                <w:b/>
                <w:sz w:val="20"/>
              </w:rPr>
            </w:pPr>
            <w:r>
              <w:rPr>
                <w:b/>
                <w:sz w:val="20"/>
              </w:rPr>
              <w:t>Description</w:t>
            </w:r>
          </w:p>
        </w:tc>
        <w:tc>
          <w:tcPr>
            <w:tcW w:w="1728" w:type="dxa"/>
          </w:tcPr>
          <w:p>
            <w:pPr>
              <w:pStyle w:val="TableParagraph"/>
              <w:spacing w:before="35"/>
              <w:ind w:left="463" w:hanging="348"/>
              <w:rPr>
                <w:b/>
                <w:sz w:val="20"/>
              </w:rPr>
            </w:pPr>
            <w:r>
              <w:rPr>
                <w:b/>
                <w:sz w:val="20"/>
              </w:rPr>
              <w:t>Interrupt Vector Address</w:t>
            </w:r>
          </w:p>
        </w:tc>
      </w:tr>
      <w:tr>
        <w:trPr>
          <w:trHeight w:val="268" w:hRule="atLeast"/>
        </w:trPr>
        <w:tc>
          <w:tcPr>
            <w:tcW w:w="1728" w:type="dxa"/>
          </w:tcPr>
          <w:p>
            <w:pPr>
              <w:pStyle w:val="TableParagraph"/>
              <w:spacing w:before="14"/>
              <w:ind w:left="164" w:right="154"/>
              <w:jc w:val="center"/>
              <w:rPr>
                <w:rFonts w:ascii="Times New Roman"/>
                <w:i/>
                <w:sz w:val="20"/>
              </w:rPr>
            </w:pPr>
            <w:r>
              <w:rPr>
                <w:rFonts w:ascii="Times New Roman"/>
                <w:i/>
                <w:sz w:val="20"/>
              </w:rPr>
              <w:t>IE0</w:t>
            </w:r>
          </w:p>
        </w:tc>
        <w:tc>
          <w:tcPr>
            <w:tcW w:w="2880" w:type="dxa"/>
          </w:tcPr>
          <w:p>
            <w:pPr>
              <w:pStyle w:val="TableParagraph"/>
              <w:spacing w:before="18"/>
              <w:ind w:left="69"/>
              <w:rPr>
                <w:sz w:val="20"/>
              </w:rPr>
            </w:pPr>
            <w:r>
              <w:rPr>
                <w:sz w:val="20"/>
              </w:rPr>
              <w:t>External interrupt 0</w:t>
            </w:r>
          </w:p>
        </w:tc>
        <w:tc>
          <w:tcPr>
            <w:tcW w:w="1728" w:type="dxa"/>
          </w:tcPr>
          <w:p>
            <w:pPr>
              <w:pStyle w:val="TableParagraph"/>
              <w:spacing w:before="18"/>
              <w:ind w:left="535"/>
              <w:rPr>
                <w:sz w:val="20"/>
              </w:rPr>
            </w:pPr>
            <w:r>
              <w:rPr>
                <w:sz w:val="20"/>
              </w:rPr>
              <w:t>0x0003</w:t>
            </w:r>
          </w:p>
        </w:tc>
      </w:tr>
      <w:tr>
        <w:trPr>
          <w:trHeight w:val="270" w:hRule="atLeast"/>
        </w:trPr>
        <w:tc>
          <w:tcPr>
            <w:tcW w:w="1728" w:type="dxa"/>
          </w:tcPr>
          <w:p>
            <w:pPr>
              <w:pStyle w:val="TableParagraph"/>
              <w:spacing w:before="17"/>
              <w:ind w:left="162" w:right="157"/>
              <w:jc w:val="center"/>
              <w:rPr>
                <w:rFonts w:ascii="Times New Roman"/>
                <w:i/>
                <w:sz w:val="20"/>
              </w:rPr>
            </w:pPr>
            <w:r>
              <w:rPr>
                <w:rFonts w:ascii="Times New Roman"/>
                <w:i/>
                <w:sz w:val="20"/>
              </w:rPr>
              <w:t>TF0</w:t>
            </w:r>
          </w:p>
        </w:tc>
        <w:tc>
          <w:tcPr>
            <w:tcW w:w="2880" w:type="dxa"/>
          </w:tcPr>
          <w:p>
            <w:pPr>
              <w:pStyle w:val="TableParagraph"/>
              <w:spacing w:before="21"/>
              <w:ind w:left="69"/>
              <w:rPr>
                <w:sz w:val="20"/>
              </w:rPr>
            </w:pPr>
            <w:r>
              <w:rPr>
                <w:sz w:val="20"/>
              </w:rPr>
              <w:t>Timer 0 interrupt</w:t>
            </w:r>
          </w:p>
        </w:tc>
        <w:tc>
          <w:tcPr>
            <w:tcW w:w="1728" w:type="dxa"/>
          </w:tcPr>
          <w:p>
            <w:pPr>
              <w:pStyle w:val="TableParagraph"/>
              <w:spacing w:before="21"/>
              <w:ind w:left="523"/>
              <w:rPr>
                <w:sz w:val="20"/>
              </w:rPr>
            </w:pPr>
            <w:r>
              <w:rPr>
                <w:sz w:val="20"/>
              </w:rPr>
              <w:t>0x000B</w:t>
            </w:r>
          </w:p>
        </w:tc>
      </w:tr>
      <w:tr>
        <w:trPr>
          <w:trHeight w:val="270" w:hRule="atLeast"/>
        </w:trPr>
        <w:tc>
          <w:tcPr>
            <w:tcW w:w="1728" w:type="dxa"/>
          </w:tcPr>
          <w:p>
            <w:pPr>
              <w:pStyle w:val="TableParagraph"/>
              <w:spacing w:before="14"/>
              <w:ind w:left="164" w:right="154"/>
              <w:jc w:val="center"/>
              <w:rPr>
                <w:rFonts w:ascii="Times New Roman"/>
                <w:i/>
                <w:sz w:val="20"/>
              </w:rPr>
            </w:pPr>
            <w:r>
              <w:rPr>
                <w:rFonts w:ascii="Times New Roman"/>
                <w:i/>
                <w:sz w:val="20"/>
              </w:rPr>
              <w:t>IE1</w:t>
            </w:r>
          </w:p>
        </w:tc>
        <w:tc>
          <w:tcPr>
            <w:tcW w:w="2880" w:type="dxa"/>
          </w:tcPr>
          <w:p>
            <w:pPr>
              <w:pStyle w:val="TableParagraph"/>
              <w:spacing w:before="18"/>
              <w:ind w:left="69"/>
              <w:rPr>
                <w:sz w:val="20"/>
              </w:rPr>
            </w:pPr>
            <w:r>
              <w:rPr>
                <w:sz w:val="20"/>
              </w:rPr>
              <w:t>External interrupt 1</w:t>
            </w:r>
          </w:p>
        </w:tc>
        <w:tc>
          <w:tcPr>
            <w:tcW w:w="1728" w:type="dxa"/>
          </w:tcPr>
          <w:p>
            <w:pPr>
              <w:pStyle w:val="TableParagraph"/>
              <w:spacing w:before="18"/>
              <w:ind w:left="535"/>
              <w:rPr>
                <w:sz w:val="20"/>
              </w:rPr>
            </w:pPr>
            <w:r>
              <w:rPr>
                <w:sz w:val="20"/>
              </w:rPr>
              <w:t>0x0013</w:t>
            </w:r>
          </w:p>
        </w:tc>
      </w:tr>
      <w:tr>
        <w:trPr>
          <w:trHeight w:val="268" w:hRule="atLeast"/>
        </w:trPr>
        <w:tc>
          <w:tcPr>
            <w:tcW w:w="1728" w:type="dxa"/>
          </w:tcPr>
          <w:p>
            <w:pPr>
              <w:pStyle w:val="TableParagraph"/>
              <w:spacing w:before="14"/>
              <w:ind w:left="162" w:right="157"/>
              <w:jc w:val="center"/>
              <w:rPr>
                <w:rFonts w:ascii="Times New Roman"/>
                <w:i/>
                <w:sz w:val="20"/>
              </w:rPr>
            </w:pPr>
            <w:r>
              <w:rPr>
                <w:rFonts w:ascii="Times New Roman"/>
                <w:i/>
                <w:sz w:val="20"/>
              </w:rPr>
              <w:t>TF1</w:t>
            </w:r>
          </w:p>
        </w:tc>
        <w:tc>
          <w:tcPr>
            <w:tcW w:w="2880" w:type="dxa"/>
          </w:tcPr>
          <w:p>
            <w:pPr>
              <w:pStyle w:val="TableParagraph"/>
              <w:spacing w:before="18"/>
              <w:ind w:left="69"/>
              <w:rPr>
                <w:sz w:val="20"/>
              </w:rPr>
            </w:pPr>
            <w:r>
              <w:rPr>
                <w:sz w:val="20"/>
              </w:rPr>
              <w:t>Timer 1 interrupt</w:t>
            </w:r>
          </w:p>
        </w:tc>
        <w:tc>
          <w:tcPr>
            <w:tcW w:w="1728" w:type="dxa"/>
          </w:tcPr>
          <w:p>
            <w:pPr>
              <w:pStyle w:val="TableParagraph"/>
              <w:spacing w:before="18"/>
              <w:ind w:left="523"/>
              <w:rPr>
                <w:sz w:val="20"/>
              </w:rPr>
            </w:pPr>
            <w:r>
              <w:rPr>
                <w:sz w:val="20"/>
              </w:rPr>
              <w:t>0x001B</w:t>
            </w:r>
          </w:p>
        </w:tc>
      </w:tr>
      <w:tr>
        <w:trPr>
          <w:trHeight w:val="270" w:hRule="atLeast"/>
        </w:trPr>
        <w:tc>
          <w:tcPr>
            <w:tcW w:w="1728" w:type="dxa"/>
          </w:tcPr>
          <w:p>
            <w:pPr>
              <w:pStyle w:val="TableParagraph"/>
              <w:spacing w:before="17"/>
              <w:ind w:left="164" w:right="156"/>
              <w:jc w:val="center"/>
              <w:rPr>
                <w:rFonts w:ascii="Times New Roman"/>
                <w:i/>
                <w:sz w:val="20"/>
              </w:rPr>
            </w:pPr>
            <w:r>
              <w:rPr>
                <w:rFonts w:ascii="Times New Roman"/>
                <w:i/>
                <w:sz w:val="20"/>
              </w:rPr>
              <w:t>RI0/TI0</w:t>
            </w:r>
          </w:p>
        </w:tc>
        <w:tc>
          <w:tcPr>
            <w:tcW w:w="2880" w:type="dxa"/>
          </w:tcPr>
          <w:p>
            <w:pPr>
              <w:pStyle w:val="TableParagraph"/>
              <w:spacing w:before="21"/>
              <w:ind w:left="69"/>
              <w:rPr>
                <w:sz w:val="20"/>
              </w:rPr>
            </w:pPr>
            <w:r>
              <w:rPr>
                <w:sz w:val="20"/>
              </w:rPr>
              <w:t>Serial channel 0 interrupt</w:t>
            </w:r>
          </w:p>
        </w:tc>
        <w:tc>
          <w:tcPr>
            <w:tcW w:w="1728" w:type="dxa"/>
          </w:tcPr>
          <w:p>
            <w:pPr>
              <w:pStyle w:val="TableParagraph"/>
              <w:spacing w:before="21"/>
              <w:ind w:left="535"/>
              <w:rPr>
                <w:sz w:val="20"/>
              </w:rPr>
            </w:pPr>
            <w:r>
              <w:rPr>
                <w:sz w:val="20"/>
              </w:rPr>
              <w:t>0x0023</w:t>
            </w:r>
          </w:p>
        </w:tc>
      </w:tr>
      <w:tr>
        <w:trPr>
          <w:trHeight w:val="270" w:hRule="atLeast"/>
        </w:trPr>
        <w:tc>
          <w:tcPr>
            <w:tcW w:w="1728" w:type="dxa"/>
          </w:tcPr>
          <w:p>
            <w:pPr>
              <w:pStyle w:val="TableParagraph"/>
              <w:spacing w:before="14"/>
              <w:ind w:left="164" w:right="156"/>
              <w:jc w:val="center"/>
              <w:rPr>
                <w:rFonts w:ascii="Times New Roman"/>
                <w:i/>
                <w:sz w:val="20"/>
              </w:rPr>
            </w:pPr>
            <w:r>
              <w:rPr>
                <w:rFonts w:ascii="Times New Roman"/>
                <w:i/>
                <w:sz w:val="20"/>
              </w:rPr>
              <w:t>RI1/TI1</w:t>
            </w:r>
          </w:p>
        </w:tc>
        <w:tc>
          <w:tcPr>
            <w:tcW w:w="2880" w:type="dxa"/>
          </w:tcPr>
          <w:p>
            <w:pPr>
              <w:pStyle w:val="TableParagraph"/>
              <w:spacing w:before="18"/>
              <w:ind w:left="69"/>
              <w:rPr>
                <w:sz w:val="20"/>
              </w:rPr>
            </w:pPr>
            <w:r>
              <w:rPr>
                <w:sz w:val="20"/>
              </w:rPr>
              <w:t>Serial channel 1 interrupt</w:t>
            </w:r>
          </w:p>
        </w:tc>
        <w:tc>
          <w:tcPr>
            <w:tcW w:w="1728" w:type="dxa"/>
          </w:tcPr>
          <w:p>
            <w:pPr>
              <w:pStyle w:val="TableParagraph"/>
              <w:spacing w:before="18"/>
              <w:ind w:left="535"/>
              <w:rPr>
                <w:sz w:val="20"/>
              </w:rPr>
            </w:pPr>
            <w:r>
              <w:rPr>
                <w:sz w:val="20"/>
              </w:rPr>
              <w:t>0x0083</w:t>
            </w:r>
          </w:p>
        </w:tc>
      </w:tr>
      <w:tr>
        <w:trPr>
          <w:trHeight w:val="268" w:hRule="atLeast"/>
        </w:trPr>
        <w:tc>
          <w:tcPr>
            <w:tcW w:w="1728" w:type="dxa"/>
          </w:tcPr>
          <w:p>
            <w:pPr>
              <w:pStyle w:val="TableParagraph"/>
              <w:spacing w:before="14"/>
              <w:ind w:left="164" w:right="156"/>
              <w:jc w:val="center"/>
              <w:rPr>
                <w:rFonts w:ascii="Times New Roman"/>
                <w:i/>
                <w:sz w:val="20"/>
              </w:rPr>
            </w:pPr>
            <w:r>
              <w:rPr>
                <w:rFonts w:ascii="Times New Roman"/>
                <w:i/>
                <w:sz w:val="20"/>
              </w:rPr>
              <w:t>IEX2</w:t>
            </w:r>
          </w:p>
        </w:tc>
        <w:tc>
          <w:tcPr>
            <w:tcW w:w="2880" w:type="dxa"/>
          </w:tcPr>
          <w:p>
            <w:pPr>
              <w:pStyle w:val="TableParagraph"/>
              <w:spacing w:before="18"/>
              <w:ind w:left="69"/>
              <w:rPr>
                <w:sz w:val="20"/>
              </w:rPr>
            </w:pPr>
            <w:r>
              <w:rPr>
                <w:sz w:val="20"/>
              </w:rPr>
              <w:t>External interrupt 2</w:t>
            </w:r>
          </w:p>
        </w:tc>
        <w:tc>
          <w:tcPr>
            <w:tcW w:w="1728" w:type="dxa"/>
          </w:tcPr>
          <w:p>
            <w:pPr>
              <w:pStyle w:val="TableParagraph"/>
              <w:spacing w:before="18"/>
              <w:ind w:left="523"/>
              <w:rPr>
                <w:sz w:val="20"/>
              </w:rPr>
            </w:pPr>
            <w:r>
              <w:rPr>
                <w:sz w:val="20"/>
              </w:rPr>
              <w:t>0x004B</w:t>
            </w:r>
          </w:p>
        </w:tc>
      </w:tr>
      <w:tr>
        <w:trPr>
          <w:trHeight w:val="270" w:hRule="atLeast"/>
        </w:trPr>
        <w:tc>
          <w:tcPr>
            <w:tcW w:w="1728" w:type="dxa"/>
          </w:tcPr>
          <w:p>
            <w:pPr>
              <w:pStyle w:val="TableParagraph"/>
              <w:spacing w:before="17"/>
              <w:ind w:left="164" w:right="156"/>
              <w:jc w:val="center"/>
              <w:rPr>
                <w:rFonts w:ascii="Times New Roman"/>
                <w:i/>
                <w:sz w:val="20"/>
              </w:rPr>
            </w:pPr>
            <w:r>
              <w:rPr>
                <w:rFonts w:ascii="Times New Roman"/>
                <w:i/>
                <w:sz w:val="20"/>
              </w:rPr>
              <w:t>IEX3</w:t>
            </w:r>
          </w:p>
        </w:tc>
        <w:tc>
          <w:tcPr>
            <w:tcW w:w="2880" w:type="dxa"/>
          </w:tcPr>
          <w:p>
            <w:pPr>
              <w:pStyle w:val="TableParagraph"/>
              <w:spacing w:before="21"/>
              <w:ind w:left="69"/>
              <w:rPr>
                <w:sz w:val="20"/>
              </w:rPr>
            </w:pPr>
            <w:r>
              <w:rPr>
                <w:sz w:val="20"/>
              </w:rPr>
              <w:t>External interrupt 3</w:t>
            </w:r>
          </w:p>
        </w:tc>
        <w:tc>
          <w:tcPr>
            <w:tcW w:w="1728" w:type="dxa"/>
          </w:tcPr>
          <w:p>
            <w:pPr>
              <w:pStyle w:val="TableParagraph"/>
              <w:spacing w:before="21"/>
              <w:ind w:left="535"/>
              <w:rPr>
                <w:sz w:val="20"/>
              </w:rPr>
            </w:pPr>
            <w:r>
              <w:rPr>
                <w:sz w:val="20"/>
              </w:rPr>
              <w:t>0x0053</w:t>
            </w:r>
          </w:p>
        </w:tc>
      </w:tr>
      <w:tr>
        <w:trPr>
          <w:trHeight w:val="270" w:hRule="atLeast"/>
        </w:trPr>
        <w:tc>
          <w:tcPr>
            <w:tcW w:w="1728" w:type="dxa"/>
          </w:tcPr>
          <w:p>
            <w:pPr>
              <w:pStyle w:val="TableParagraph"/>
              <w:spacing w:before="14"/>
              <w:ind w:left="164" w:right="156"/>
              <w:jc w:val="center"/>
              <w:rPr>
                <w:rFonts w:ascii="Times New Roman"/>
                <w:i/>
                <w:sz w:val="20"/>
              </w:rPr>
            </w:pPr>
            <w:r>
              <w:rPr>
                <w:rFonts w:ascii="Times New Roman"/>
                <w:i/>
                <w:sz w:val="20"/>
              </w:rPr>
              <w:t>IEX4</w:t>
            </w:r>
          </w:p>
        </w:tc>
        <w:tc>
          <w:tcPr>
            <w:tcW w:w="2880" w:type="dxa"/>
          </w:tcPr>
          <w:p>
            <w:pPr>
              <w:pStyle w:val="TableParagraph"/>
              <w:spacing w:before="18"/>
              <w:ind w:left="69"/>
              <w:rPr>
                <w:sz w:val="20"/>
              </w:rPr>
            </w:pPr>
            <w:r>
              <w:rPr>
                <w:sz w:val="20"/>
              </w:rPr>
              <w:t>External interrupt 4</w:t>
            </w:r>
          </w:p>
        </w:tc>
        <w:tc>
          <w:tcPr>
            <w:tcW w:w="1728" w:type="dxa"/>
          </w:tcPr>
          <w:p>
            <w:pPr>
              <w:pStyle w:val="TableParagraph"/>
              <w:spacing w:before="18"/>
              <w:ind w:left="523"/>
              <w:rPr>
                <w:sz w:val="20"/>
              </w:rPr>
            </w:pPr>
            <w:r>
              <w:rPr>
                <w:sz w:val="20"/>
              </w:rPr>
              <w:t>0x005B</w:t>
            </w:r>
          </w:p>
        </w:tc>
      </w:tr>
      <w:tr>
        <w:trPr>
          <w:trHeight w:val="268" w:hRule="atLeast"/>
        </w:trPr>
        <w:tc>
          <w:tcPr>
            <w:tcW w:w="1728" w:type="dxa"/>
          </w:tcPr>
          <w:p>
            <w:pPr>
              <w:pStyle w:val="TableParagraph"/>
              <w:spacing w:before="14"/>
              <w:ind w:left="164" w:right="156"/>
              <w:jc w:val="center"/>
              <w:rPr>
                <w:rFonts w:ascii="Times New Roman"/>
                <w:i/>
                <w:sz w:val="20"/>
              </w:rPr>
            </w:pPr>
            <w:r>
              <w:rPr>
                <w:rFonts w:ascii="Times New Roman"/>
                <w:i/>
                <w:sz w:val="20"/>
              </w:rPr>
              <w:t>IEX5</w:t>
            </w:r>
          </w:p>
        </w:tc>
        <w:tc>
          <w:tcPr>
            <w:tcW w:w="2880" w:type="dxa"/>
          </w:tcPr>
          <w:p>
            <w:pPr>
              <w:pStyle w:val="TableParagraph"/>
              <w:spacing w:before="18"/>
              <w:ind w:left="69"/>
              <w:rPr>
                <w:sz w:val="20"/>
              </w:rPr>
            </w:pPr>
            <w:r>
              <w:rPr>
                <w:sz w:val="20"/>
              </w:rPr>
              <w:t>External interrupt 5</w:t>
            </w:r>
          </w:p>
        </w:tc>
        <w:tc>
          <w:tcPr>
            <w:tcW w:w="1728" w:type="dxa"/>
          </w:tcPr>
          <w:p>
            <w:pPr>
              <w:pStyle w:val="TableParagraph"/>
              <w:spacing w:before="18"/>
              <w:ind w:left="535"/>
              <w:rPr>
                <w:sz w:val="20"/>
              </w:rPr>
            </w:pPr>
            <w:r>
              <w:rPr>
                <w:sz w:val="20"/>
              </w:rPr>
              <w:t>0x0063</w:t>
            </w:r>
          </w:p>
        </w:tc>
      </w:tr>
      <w:tr>
        <w:trPr>
          <w:trHeight w:val="270" w:hRule="atLeast"/>
        </w:trPr>
        <w:tc>
          <w:tcPr>
            <w:tcW w:w="1728" w:type="dxa"/>
          </w:tcPr>
          <w:p>
            <w:pPr>
              <w:pStyle w:val="TableParagraph"/>
              <w:spacing w:before="17"/>
              <w:ind w:left="164" w:right="156"/>
              <w:jc w:val="center"/>
              <w:rPr>
                <w:rFonts w:ascii="Times New Roman"/>
                <w:i/>
                <w:sz w:val="20"/>
              </w:rPr>
            </w:pPr>
            <w:r>
              <w:rPr>
                <w:rFonts w:ascii="Times New Roman"/>
                <w:i/>
                <w:sz w:val="20"/>
              </w:rPr>
              <w:t>IEX6</w:t>
            </w:r>
          </w:p>
        </w:tc>
        <w:tc>
          <w:tcPr>
            <w:tcW w:w="2880" w:type="dxa"/>
          </w:tcPr>
          <w:p>
            <w:pPr>
              <w:pStyle w:val="TableParagraph"/>
              <w:spacing w:before="21"/>
              <w:ind w:left="69"/>
              <w:rPr>
                <w:sz w:val="20"/>
              </w:rPr>
            </w:pPr>
            <w:r>
              <w:rPr>
                <w:sz w:val="20"/>
              </w:rPr>
              <w:t>External interrupt 6</w:t>
            </w:r>
          </w:p>
        </w:tc>
        <w:tc>
          <w:tcPr>
            <w:tcW w:w="1728" w:type="dxa"/>
          </w:tcPr>
          <w:p>
            <w:pPr>
              <w:pStyle w:val="TableParagraph"/>
              <w:spacing w:before="21"/>
              <w:ind w:left="523"/>
              <w:rPr>
                <w:sz w:val="20"/>
              </w:rPr>
            </w:pPr>
            <w:r>
              <w:rPr>
                <w:sz w:val="20"/>
              </w:rPr>
              <w:t>0x006B</w:t>
            </w:r>
          </w:p>
        </w:tc>
      </w:tr>
    </w:tbl>
    <w:p>
      <w:pPr>
        <w:spacing w:after="0"/>
        <w:rPr>
          <w:sz w:val="20"/>
        </w:rPr>
        <w:sectPr>
          <w:pgSz w:w="12240" w:h="15840"/>
          <w:pgMar w:header="727" w:footer="819" w:top="960" w:bottom="1000" w:left="820" w:right="860"/>
        </w:sectPr>
      </w:pPr>
    </w:p>
    <w:p>
      <w:pPr>
        <w:pStyle w:val="BodyText"/>
        <w:spacing w:before="79" w:after="21"/>
        <w:ind w:right="139"/>
        <w:jc w:val="right"/>
      </w:pPr>
      <w:r>
        <w:rPr/>
        <w:t>71M6543F/71M6543G Data Sheet</w:t>
      </w:r>
    </w:p>
    <w:p>
      <w:pPr>
        <w:pStyle w:val="BodyText"/>
        <w:spacing w:line="20" w:lineRule="exact"/>
        <w:ind w:left="-129"/>
        <w:rPr>
          <w:sz w:val="2"/>
        </w:rPr>
      </w:pPr>
      <w:r>
        <w:rPr>
          <w:sz w:val="2"/>
        </w:rPr>
        <w:pict>
          <v:group style="width:650.9pt;height:.5pt;mso-position-horizontal-relative:char;mso-position-vertical-relative:line" coordorigin="0,0" coordsize="13018,10">
            <v:rect style="position:absolute;left:0;top:0;width:13018;height:10" filled="true" fillcolor="#000000" stroked="false">
              <v:fill type="solid"/>
            </v:rect>
          </v:group>
        </w:pict>
      </w:r>
      <w:r>
        <w:rPr>
          <w:sz w:val="2"/>
        </w:rPr>
      </w:r>
    </w:p>
    <w:p>
      <w:pPr>
        <w:pStyle w:val="BodyText"/>
        <w:spacing w:before="8"/>
        <w:rPr>
          <w:sz w:val="13"/>
        </w:rPr>
      </w:pPr>
      <w:r>
        <w:rPr/>
        <w:drawing>
          <wp:anchor distT="0" distB="0" distL="0" distR="0" allowOverlap="1" layoutInCell="1" locked="0" behindDoc="0" simplePos="0" relativeHeight="77">
            <wp:simplePos x="0" y="0"/>
            <wp:positionH relativeFrom="page">
              <wp:posOffset>1047727</wp:posOffset>
            </wp:positionH>
            <wp:positionV relativeFrom="paragraph">
              <wp:posOffset>125232</wp:posOffset>
            </wp:positionV>
            <wp:extent cx="7826543" cy="5955411"/>
            <wp:effectExtent l="0" t="0" r="0" b="0"/>
            <wp:wrapTopAndBottom/>
            <wp:docPr id="39" name="image89.png"/>
            <wp:cNvGraphicFramePr>
              <a:graphicFrameLocks noChangeAspect="1"/>
            </wp:cNvGraphicFramePr>
            <a:graphic>
              <a:graphicData uri="http://schemas.openxmlformats.org/drawingml/2006/picture">
                <pic:pic>
                  <pic:nvPicPr>
                    <pic:cNvPr id="40" name="image89.png"/>
                    <pic:cNvPicPr/>
                  </pic:nvPicPr>
                  <pic:blipFill>
                    <a:blip r:embed="rId109" cstate="print"/>
                    <a:stretch>
                      <a:fillRect/>
                    </a:stretch>
                  </pic:blipFill>
                  <pic:spPr>
                    <a:xfrm>
                      <a:off x="0" y="0"/>
                      <a:ext cx="7826543" cy="5955411"/>
                    </a:xfrm>
                    <a:prstGeom prst="rect">
                      <a:avLst/>
                    </a:prstGeom>
                  </pic:spPr>
                </pic:pic>
              </a:graphicData>
            </a:graphic>
          </wp:anchor>
        </w:drawing>
      </w:r>
    </w:p>
    <w:p>
      <w:pPr>
        <w:pStyle w:val="BodyText"/>
        <w:spacing w:before="8"/>
        <w:rPr>
          <w:sz w:val="12"/>
        </w:rPr>
      </w:pPr>
    </w:p>
    <w:p>
      <w:pPr>
        <w:spacing w:before="92"/>
        <w:ind w:left="4970" w:right="5210" w:firstLine="0"/>
        <w:jc w:val="center"/>
        <w:rPr>
          <w:b/>
          <w:sz w:val="20"/>
        </w:rPr>
      </w:pPr>
      <w:r>
        <w:rPr/>
        <w:pict>
          <v:rect style="position:absolute;margin-left:70.559998pt;margin-top:19.979603pt;width:650.88pt;height:.481pt;mso-position-horizontal-relative:page;mso-position-vertical-relative:paragraph;z-index:15768576" filled="true" fillcolor="#000000" stroked="false">
            <v:fill type="solid"/>
            <w10:wrap type="none"/>
          </v:rect>
        </w:pict>
      </w:r>
      <w:bookmarkStart w:name="_bookmark92" w:id="179"/>
      <w:bookmarkEnd w:id="179"/>
      <w:r>
        <w:rPr/>
      </w:r>
      <w:r>
        <w:rPr>
          <w:b/>
          <w:sz w:val="20"/>
        </w:rPr>
        <w:t>Figure 12: Interrupt Structure</w:t>
      </w:r>
    </w:p>
    <w:p>
      <w:pPr>
        <w:spacing w:after="0"/>
        <w:jc w:val="center"/>
        <w:rPr>
          <w:sz w:val="20"/>
        </w:rPr>
        <w:sectPr>
          <w:headerReference w:type="default" r:id="rId106"/>
          <w:footerReference w:type="default" r:id="rId107"/>
          <w:footerReference w:type="even" r:id="rId108"/>
          <w:pgSz w:w="15840" w:h="12240" w:orient="landscape"/>
          <w:pgMar w:header="0" w:footer="864" w:top="640" w:bottom="1060" w:left="1540" w:right="1300"/>
        </w:sectPr>
      </w:pPr>
    </w:p>
    <w:p>
      <w:pPr>
        <w:pStyle w:val="BodyText"/>
        <w:spacing w:before="7"/>
        <w:rPr>
          <w:b/>
          <w:sz w:val="16"/>
        </w:rPr>
      </w:pPr>
    </w:p>
    <w:p>
      <w:pPr>
        <w:pStyle w:val="ListParagraph"/>
        <w:numPr>
          <w:ilvl w:val="1"/>
          <w:numId w:val="7"/>
        </w:numPr>
        <w:tabs>
          <w:tab w:pos="959" w:val="left" w:leader="none"/>
          <w:tab w:pos="960" w:val="left" w:leader="none"/>
        </w:tabs>
        <w:spacing w:line="240" w:lineRule="auto" w:before="92" w:after="0"/>
        <w:ind w:left="960" w:right="0" w:hanging="720"/>
        <w:jc w:val="left"/>
        <w:rPr>
          <w:b/>
          <w:sz w:val="24"/>
        </w:rPr>
      </w:pPr>
      <w:bookmarkStart w:name="2.5 On-Chip Resources" w:id="180"/>
      <w:bookmarkEnd w:id="180"/>
      <w:r>
        <w:rPr/>
      </w:r>
      <w:bookmarkStart w:name="_bookmark93" w:id="181"/>
      <w:bookmarkEnd w:id="181"/>
      <w:r>
        <w:rPr/>
      </w:r>
      <w:bookmarkStart w:name="_bookmark93" w:id="182"/>
      <w:bookmarkEnd w:id="182"/>
      <w:r>
        <w:rPr>
          <w:b/>
          <w:sz w:val="24"/>
        </w:rPr>
        <w:t>O</w:t>
      </w:r>
      <w:r>
        <w:rPr>
          <w:b/>
          <w:sz w:val="24"/>
        </w:rPr>
        <w:t>n-Chip</w:t>
      </w:r>
      <w:r>
        <w:rPr>
          <w:b/>
          <w:spacing w:val="-1"/>
          <w:sz w:val="24"/>
        </w:rPr>
        <w:t> </w:t>
      </w:r>
      <w:r>
        <w:rPr>
          <w:b/>
          <w:sz w:val="24"/>
        </w:rPr>
        <w:t>Resources</w:t>
      </w:r>
    </w:p>
    <w:p>
      <w:pPr>
        <w:pStyle w:val="ListParagraph"/>
        <w:numPr>
          <w:ilvl w:val="2"/>
          <w:numId w:val="7"/>
        </w:numPr>
        <w:tabs>
          <w:tab w:pos="959" w:val="left" w:leader="none"/>
          <w:tab w:pos="960" w:val="left" w:leader="none"/>
        </w:tabs>
        <w:spacing w:line="240" w:lineRule="auto" w:before="120" w:after="0"/>
        <w:ind w:left="959" w:right="0" w:hanging="720"/>
        <w:jc w:val="left"/>
        <w:rPr>
          <w:b/>
          <w:sz w:val="22"/>
        </w:rPr>
      </w:pPr>
      <w:bookmarkStart w:name="2.5.1 Physical Memory" w:id="183"/>
      <w:bookmarkEnd w:id="183"/>
      <w:r>
        <w:rPr/>
      </w:r>
      <w:bookmarkStart w:name="_bookmark94" w:id="184"/>
      <w:bookmarkEnd w:id="184"/>
      <w:r>
        <w:rPr/>
      </w:r>
      <w:bookmarkStart w:name="_bookmark94" w:id="185"/>
      <w:bookmarkEnd w:id="185"/>
      <w:r>
        <w:rPr>
          <w:b/>
          <w:sz w:val="22"/>
        </w:rPr>
        <w:t>P</w:t>
      </w:r>
      <w:r>
        <w:rPr>
          <w:b/>
          <w:sz w:val="22"/>
        </w:rPr>
        <w:t>hysical</w:t>
      </w:r>
      <w:r>
        <w:rPr>
          <w:b/>
          <w:spacing w:val="1"/>
          <w:sz w:val="22"/>
        </w:rPr>
        <w:t> </w:t>
      </w:r>
      <w:r>
        <w:rPr>
          <w:b/>
          <w:sz w:val="22"/>
        </w:rPr>
        <w:t>Memory</w:t>
      </w:r>
    </w:p>
    <w:p>
      <w:pPr>
        <w:pStyle w:val="ListParagraph"/>
        <w:numPr>
          <w:ilvl w:val="3"/>
          <w:numId w:val="7"/>
        </w:numPr>
        <w:tabs>
          <w:tab w:pos="960" w:val="left" w:leader="none"/>
        </w:tabs>
        <w:spacing w:line="240" w:lineRule="auto" w:before="121" w:after="0"/>
        <w:ind w:left="959" w:right="0" w:hanging="720"/>
        <w:jc w:val="left"/>
        <w:rPr>
          <w:b/>
          <w:sz w:val="20"/>
        </w:rPr>
      </w:pPr>
      <w:bookmarkStart w:name="2.5.1.1 Flash Memory" w:id="186"/>
      <w:bookmarkEnd w:id="186"/>
      <w:r>
        <w:rPr/>
      </w:r>
      <w:bookmarkStart w:name="_bookmark95" w:id="187"/>
      <w:bookmarkEnd w:id="187"/>
      <w:r>
        <w:rPr/>
      </w:r>
      <w:bookmarkStart w:name="_bookmark95" w:id="188"/>
      <w:bookmarkEnd w:id="188"/>
      <w:r>
        <w:rPr>
          <w:b/>
          <w:sz w:val="20"/>
        </w:rPr>
        <w:t>F</w:t>
      </w:r>
      <w:r>
        <w:rPr>
          <w:b/>
          <w:sz w:val="20"/>
        </w:rPr>
        <w:t>lash</w:t>
      </w:r>
      <w:r>
        <w:rPr>
          <w:b/>
          <w:spacing w:val="-1"/>
          <w:sz w:val="20"/>
        </w:rPr>
        <w:t> </w:t>
      </w:r>
      <w:r>
        <w:rPr>
          <w:b/>
          <w:sz w:val="20"/>
        </w:rPr>
        <w:t>Memory</w:t>
      </w:r>
    </w:p>
    <w:p>
      <w:pPr>
        <w:pStyle w:val="BodyText"/>
        <w:spacing w:before="80"/>
        <w:ind w:left="239" w:right="401"/>
      </w:pPr>
      <w:r>
        <w:rPr/>
        <w:t>The device includes 64 KB (71M6543F) or 128 KB (71M6543G) of on-chip flash memory. The flash memory primarily contains MPU and CE program code. It also contains images of the CE RAM and I/O RAM. On power-up, before enabling the CE, the MPU copies these images to their respective locations.</w:t>
      </w:r>
    </w:p>
    <w:p>
      <w:pPr>
        <w:spacing w:before="121"/>
        <w:ind w:left="239" w:right="401" w:firstLine="0"/>
        <w:jc w:val="left"/>
        <w:rPr>
          <w:sz w:val="20"/>
        </w:rPr>
      </w:pPr>
      <w:r>
        <w:rPr>
          <w:sz w:val="20"/>
        </w:rPr>
        <w:t>Flash space allocated for the CE program is limited to 4096 16-bit words (8 KB). The CE program must begin on a 1-KB boundary of the flash address space.  The </w:t>
      </w:r>
      <w:r>
        <w:rPr>
          <w:rFonts w:ascii="Times New Roman"/>
          <w:i/>
          <w:sz w:val="20"/>
        </w:rPr>
        <w:t>CE_LCTN[6/5:0] </w:t>
      </w:r>
      <w:r>
        <w:rPr>
          <w:sz w:val="20"/>
        </w:rPr>
        <w:t>(</w:t>
      </w:r>
      <w:r>
        <w:rPr>
          <w:rFonts w:ascii="Times New Roman"/>
          <w:i/>
          <w:sz w:val="20"/>
        </w:rPr>
        <w:t>I/O RAM 0x2109[5:0]</w:t>
      </w:r>
      <w:r>
        <w:rPr>
          <w:sz w:val="20"/>
        </w:rPr>
        <w:t>) field on the 71M6543F and the </w:t>
      </w:r>
      <w:r>
        <w:rPr>
          <w:rFonts w:ascii="Times New Roman"/>
          <w:i/>
          <w:sz w:val="20"/>
        </w:rPr>
        <w:t>CE_LCTN[6:0] </w:t>
      </w:r>
      <w:r>
        <w:rPr>
          <w:sz w:val="20"/>
        </w:rPr>
        <w:t>(</w:t>
      </w:r>
      <w:r>
        <w:rPr>
          <w:rFonts w:ascii="Times New Roman"/>
          <w:i/>
          <w:sz w:val="20"/>
        </w:rPr>
        <w:t>I/O RAM 0x2109[6:0]</w:t>
      </w:r>
      <w:r>
        <w:rPr>
          <w:sz w:val="20"/>
        </w:rPr>
        <w:t>) field on the 71M6543G define which 1-KB boundary contains the CE code. Thus, the first CE instruction is located at 1024*</w:t>
      </w:r>
      <w:r>
        <w:rPr>
          <w:rFonts w:ascii="Times New Roman"/>
          <w:i/>
          <w:sz w:val="20"/>
        </w:rPr>
        <w:t>CE_LCTN[6/5:0] </w:t>
      </w:r>
      <w:r>
        <w:rPr>
          <w:sz w:val="20"/>
        </w:rPr>
        <w:t>on the 71M6543F and at 1024*</w:t>
      </w:r>
      <w:r>
        <w:rPr>
          <w:rFonts w:ascii="Times New Roman"/>
          <w:i/>
          <w:sz w:val="20"/>
        </w:rPr>
        <w:t>CE_LCTN[6:0] </w:t>
      </w:r>
      <w:r>
        <w:rPr>
          <w:sz w:val="20"/>
        </w:rPr>
        <w:t>on the</w:t>
      </w:r>
      <w:r>
        <w:rPr>
          <w:spacing w:val="7"/>
          <w:sz w:val="20"/>
        </w:rPr>
        <w:t> </w:t>
      </w:r>
      <w:r>
        <w:rPr>
          <w:sz w:val="20"/>
        </w:rPr>
        <w:t>71M6543G.</w:t>
      </w:r>
    </w:p>
    <w:p>
      <w:pPr>
        <w:pStyle w:val="BodyText"/>
        <w:spacing w:before="121"/>
        <w:ind w:left="240"/>
      </w:pPr>
      <w:r>
        <w:rPr/>
        <w:t>Flash memory can be accessed by the MPU, the CE, and by the SPI interface (R/W).</w:t>
      </w:r>
    </w:p>
    <w:p>
      <w:pPr>
        <w:pStyle w:val="Heading1"/>
        <w:spacing w:before="116"/>
        <w:ind w:left="63" w:right="204"/>
      </w:pPr>
      <w:bookmarkStart w:name="_bookmark96" w:id="189"/>
      <w:bookmarkEnd w:id="189"/>
      <w:r>
        <w:rPr>
          <w:b w:val="0"/>
        </w:rPr>
      </w:r>
      <w:r>
        <w:rPr/>
        <w:t>Table 38: Flash Memory Access</w:t>
      </w:r>
    </w:p>
    <w:p>
      <w:pPr>
        <w:pStyle w:val="BodyText"/>
        <w:spacing w:before="7"/>
        <w:rPr>
          <w:b/>
          <w:sz w:val="5"/>
        </w:rPr>
      </w:pPr>
    </w:p>
    <w:tbl>
      <w:tblPr>
        <w:tblW w:w="0" w:type="auto"/>
        <w:jc w:val="left"/>
        <w:tblInd w:w="1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8"/>
        <w:gridCol w:w="1188"/>
        <w:gridCol w:w="4742"/>
      </w:tblGrid>
      <w:tr>
        <w:trPr>
          <w:trHeight w:val="539" w:hRule="atLeast"/>
        </w:trPr>
        <w:tc>
          <w:tcPr>
            <w:tcW w:w="1188" w:type="dxa"/>
          </w:tcPr>
          <w:p>
            <w:pPr>
              <w:pStyle w:val="TableParagraph"/>
              <w:spacing w:before="151"/>
              <w:ind w:left="77" w:right="70"/>
              <w:jc w:val="center"/>
              <w:rPr>
                <w:b/>
                <w:sz w:val="20"/>
              </w:rPr>
            </w:pPr>
            <w:r>
              <w:rPr>
                <w:b/>
                <w:sz w:val="20"/>
              </w:rPr>
              <w:t>Access by</w:t>
            </w:r>
          </w:p>
        </w:tc>
        <w:tc>
          <w:tcPr>
            <w:tcW w:w="1188" w:type="dxa"/>
          </w:tcPr>
          <w:p>
            <w:pPr>
              <w:pStyle w:val="TableParagraph"/>
              <w:spacing w:before="35"/>
              <w:ind w:left="359" w:hanging="116"/>
              <w:rPr>
                <w:b/>
                <w:sz w:val="20"/>
              </w:rPr>
            </w:pPr>
            <w:r>
              <w:rPr>
                <w:b/>
                <w:w w:val="95"/>
                <w:sz w:val="20"/>
              </w:rPr>
              <w:t>Access </w:t>
            </w:r>
            <w:r>
              <w:rPr>
                <w:b/>
                <w:sz w:val="20"/>
              </w:rPr>
              <w:t>Type</w:t>
            </w:r>
          </w:p>
        </w:tc>
        <w:tc>
          <w:tcPr>
            <w:tcW w:w="4742" w:type="dxa"/>
          </w:tcPr>
          <w:p>
            <w:pPr>
              <w:pStyle w:val="TableParagraph"/>
              <w:spacing w:before="150"/>
              <w:ind w:left="69"/>
              <w:rPr>
                <w:b/>
                <w:sz w:val="20"/>
              </w:rPr>
            </w:pPr>
            <w:r>
              <w:rPr>
                <w:b/>
                <w:sz w:val="20"/>
              </w:rPr>
              <w:t>Condition</w:t>
            </w:r>
          </w:p>
        </w:tc>
      </w:tr>
      <w:tr>
        <w:trPr>
          <w:trHeight w:val="270" w:hRule="atLeast"/>
        </w:trPr>
        <w:tc>
          <w:tcPr>
            <w:tcW w:w="1188" w:type="dxa"/>
          </w:tcPr>
          <w:p>
            <w:pPr>
              <w:pStyle w:val="TableParagraph"/>
              <w:spacing w:before="21"/>
              <w:ind w:left="76" w:right="70"/>
              <w:jc w:val="center"/>
              <w:rPr>
                <w:sz w:val="20"/>
              </w:rPr>
            </w:pPr>
            <w:r>
              <w:rPr>
                <w:sz w:val="20"/>
              </w:rPr>
              <w:t>MPU</w:t>
            </w:r>
          </w:p>
        </w:tc>
        <w:tc>
          <w:tcPr>
            <w:tcW w:w="1188" w:type="dxa"/>
          </w:tcPr>
          <w:p>
            <w:pPr>
              <w:pStyle w:val="TableParagraph"/>
              <w:spacing w:before="21"/>
              <w:ind w:left="77" w:right="67"/>
              <w:jc w:val="center"/>
              <w:rPr>
                <w:sz w:val="20"/>
              </w:rPr>
            </w:pPr>
            <w:r>
              <w:rPr>
                <w:sz w:val="20"/>
              </w:rPr>
              <w:t>R/W/E</w:t>
            </w:r>
          </w:p>
        </w:tc>
        <w:tc>
          <w:tcPr>
            <w:tcW w:w="4742" w:type="dxa"/>
          </w:tcPr>
          <w:p>
            <w:pPr>
              <w:pStyle w:val="TableParagraph"/>
              <w:spacing w:before="21"/>
              <w:ind w:left="69"/>
              <w:rPr>
                <w:sz w:val="20"/>
              </w:rPr>
            </w:pPr>
            <w:r>
              <w:rPr>
                <w:sz w:val="20"/>
              </w:rPr>
              <w:t>W/E only if CE is disabled.</w:t>
            </w:r>
          </w:p>
        </w:tc>
      </w:tr>
      <w:tr>
        <w:trPr>
          <w:trHeight w:val="270" w:hRule="atLeast"/>
        </w:trPr>
        <w:tc>
          <w:tcPr>
            <w:tcW w:w="1188" w:type="dxa"/>
          </w:tcPr>
          <w:p>
            <w:pPr>
              <w:pStyle w:val="TableParagraph"/>
              <w:spacing w:before="18"/>
              <w:ind w:left="75" w:right="70"/>
              <w:jc w:val="center"/>
              <w:rPr>
                <w:sz w:val="20"/>
              </w:rPr>
            </w:pPr>
            <w:r>
              <w:rPr>
                <w:sz w:val="20"/>
              </w:rPr>
              <w:t>CE</w:t>
            </w:r>
          </w:p>
        </w:tc>
        <w:tc>
          <w:tcPr>
            <w:tcW w:w="1188" w:type="dxa"/>
          </w:tcPr>
          <w:p>
            <w:pPr>
              <w:pStyle w:val="TableParagraph"/>
              <w:spacing w:before="18"/>
              <w:ind w:left="7"/>
              <w:jc w:val="center"/>
              <w:rPr>
                <w:sz w:val="20"/>
              </w:rPr>
            </w:pPr>
            <w:r>
              <w:rPr>
                <w:w w:val="99"/>
                <w:sz w:val="20"/>
              </w:rPr>
              <w:t>R</w:t>
            </w:r>
          </w:p>
        </w:tc>
        <w:tc>
          <w:tcPr>
            <w:tcW w:w="4742" w:type="dxa"/>
          </w:tcPr>
          <w:p>
            <w:pPr>
              <w:pStyle w:val="TableParagraph"/>
              <w:rPr>
                <w:rFonts w:ascii="Times New Roman"/>
                <w:sz w:val="18"/>
              </w:rPr>
            </w:pPr>
          </w:p>
        </w:tc>
      </w:tr>
      <w:tr>
        <w:trPr>
          <w:trHeight w:val="268" w:hRule="atLeast"/>
        </w:trPr>
        <w:tc>
          <w:tcPr>
            <w:tcW w:w="1188" w:type="dxa"/>
          </w:tcPr>
          <w:p>
            <w:pPr>
              <w:pStyle w:val="TableParagraph"/>
              <w:spacing w:before="18"/>
              <w:ind w:left="74" w:right="70"/>
              <w:jc w:val="center"/>
              <w:rPr>
                <w:sz w:val="20"/>
              </w:rPr>
            </w:pPr>
            <w:r>
              <w:rPr>
                <w:sz w:val="20"/>
              </w:rPr>
              <w:t>SPI</w:t>
            </w:r>
          </w:p>
        </w:tc>
        <w:tc>
          <w:tcPr>
            <w:tcW w:w="1188" w:type="dxa"/>
          </w:tcPr>
          <w:p>
            <w:pPr>
              <w:pStyle w:val="TableParagraph"/>
              <w:spacing w:before="18"/>
              <w:ind w:left="77" w:right="67"/>
              <w:jc w:val="center"/>
              <w:rPr>
                <w:sz w:val="20"/>
              </w:rPr>
            </w:pPr>
            <w:r>
              <w:rPr>
                <w:sz w:val="20"/>
              </w:rPr>
              <w:t>R/W/E</w:t>
            </w:r>
          </w:p>
        </w:tc>
        <w:tc>
          <w:tcPr>
            <w:tcW w:w="4742" w:type="dxa"/>
          </w:tcPr>
          <w:p>
            <w:pPr>
              <w:pStyle w:val="TableParagraph"/>
              <w:spacing w:before="18"/>
              <w:ind w:left="69"/>
              <w:rPr>
                <w:sz w:val="20"/>
              </w:rPr>
            </w:pPr>
            <w:r>
              <w:rPr>
                <w:sz w:val="20"/>
              </w:rPr>
              <w:t>Access only when SFM is invoked (MPU halted).</w:t>
            </w:r>
          </w:p>
        </w:tc>
      </w:tr>
    </w:tbl>
    <w:p>
      <w:pPr>
        <w:pStyle w:val="BodyText"/>
        <w:rPr>
          <w:b/>
        </w:rPr>
      </w:pPr>
    </w:p>
    <w:p>
      <w:pPr>
        <w:pStyle w:val="BodyText"/>
        <w:spacing w:before="1"/>
        <w:ind w:left="240"/>
        <w:jc w:val="both"/>
      </w:pPr>
      <w:r>
        <w:rPr>
          <w:u w:val="single"/>
        </w:rPr>
        <w:t>Flash Write Procedures</w:t>
      </w:r>
    </w:p>
    <w:p>
      <w:pPr>
        <w:pStyle w:val="BodyText"/>
        <w:spacing w:line="242" w:lineRule="auto" w:before="74"/>
        <w:ind w:left="240" w:right="497"/>
        <w:jc w:val="both"/>
      </w:pPr>
      <w:r>
        <w:rPr/>
        <w:t>If the </w:t>
      </w:r>
      <w:r>
        <w:rPr>
          <w:rFonts w:ascii="Times New Roman"/>
          <w:i/>
        </w:rPr>
        <w:t>FLSH_UNLOCK[3:0] (I/O RAM 0x2702[7:4]) </w:t>
      </w:r>
      <w:r>
        <w:rPr/>
        <w:t>key is correctly programmed, the MPU may write to the flash memory. This is one of the non-volatile storage options available to the user in addition to external EEPROM.</w:t>
      </w:r>
    </w:p>
    <w:p>
      <w:pPr>
        <w:pStyle w:val="BodyText"/>
        <w:spacing w:line="242" w:lineRule="auto" w:before="114"/>
        <w:ind w:left="240" w:right="569"/>
        <w:jc w:val="both"/>
      </w:pPr>
      <w:r>
        <w:rPr/>
        <w:t>The </w:t>
      </w:r>
      <w:r>
        <w:rPr>
          <w:spacing w:val="-3"/>
        </w:rPr>
        <w:t>flash program write enable bit, </w:t>
      </w:r>
      <w:r>
        <w:rPr>
          <w:rFonts w:ascii="Times New Roman"/>
          <w:i/>
          <w:spacing w:val="-3"/>
        </w:rPr>
        <w:t>FLSH_PSTWR </w:t>
      </w:r>
      <w:r>
        <w:rPr>
          <w:rFonts w:ascii="Times New Roman"/>
          <w:i/>
        </w:rPr>
        <w:t>(SFR </w:t>
      </w:r>
      <w:r>
        <w:rPr>
          <w:rFonts w:ascii="Times New Roman"/>
          <w:i/>
          <w:spacing w:val="-3"/>
        </w:rPr>
        <w:t>0xB2[0]), </w:t>
      </w:r>
      <w:r>
        <w:rPr>
          <w:spacing w:val="-3"/>
        </w:rPr>
        <w:t>differentiates 80515 data </w:t>
      </w:r>
      <w:r>
        <w:rPr/>
        <w:t>store </w:t>
      </w:r>
      <w:r>
        <w:rPr>
          <w:spacing w:val="-4"/>
        </w:rPr>
        <w:t>instructions </w:t>
      </w:r>
      <w:r>
        <w:rPr/>
        <w:t>(MOVX@DPTR,A) between Flash and XRAM writes. This bit is automatically cleared by hardware after each byte write operation. Write operations to this bit are inhibited when interrupts are enabled.</w:t>
      </w:r>
    </w:p>
    <w:p>
      <w:pPr>
        <w:pStyle w:val="BodyText"/>
        <w:spacing w:before="6"/>
        <w:rPr>
          <w:sz w:val="19"/>
        </w:rPr>
      </w:pPr>
    </w:p>
    <w:p>
      <w:pPr>
        <w:pStyle w:val="BodyText"/>
        <w:ind w:left="239" w:right="484"/>
      </w:pPr>
      <w:r>
        <w:rPr/>
        <w:t>If the CE is enabled (</w:t>
      </w:r>
      <w:r>
        <w:rPr>
          <w:rFonts w:ascii="Times New Roman" w:hAnsi="Times New Roman"/>
          <w:i/>
        </w:rPr>
        <w:t>CE_E </w:t>
      </w:r>
      <w:r>
        <w:rPr/>
        <w:t>= 1, </w:t>
      </w:r>
      <w:r>
        <w:rPr>
          <w:rFonts w:ascii="Times New Roman" w:hAnsi="Times New Roman"/>
          <w:i/>
        </w:rPr>
        <w:t>I/O RAM 0x2106[0]</w:t>
      </w:r>
      <w:r>
        <w:rPr/>
        <w:t>), flash write operations must not be attempted unless </w:t>
      </w:r>
      <w:r>
        <w:rPr>
          <w:rFonts w:ascii="Times New Roman" w:hAnsi="Times New Roman"/>
          <w:i/>
        </w:rPr>
        <w:t>FLSH_PSTWR </w:t>
      </w:r>
      <w:r>
        <w:rPr/>
        <w:t>is set. This bit enables the “posted flash write” capability. </w:t>
      </w:r>
      <w:r>
        <w:rPr>
          <w:rFonts w:ascii="Times New Roman" w:hAnsi="Times New Roman"/>
          <w:i/>
        </w:rPr>
        <w:t>FLSH_PSTWR </w:t>
      </w:r>
      <w:r>
        <w:rPr/>
        <w:t>has no effect when </w:t>
      </w:r>
      <w:r>
        <w:rPr>
          <w:i/>
        </w:rPr>
        <w:t>CE_E </w:t>
      </w:r>
      <w:r>
        <w:rPr/>
        <w:t>= 0). When </w:t>
      </w:r>
      <w:r>
        <w:rPr>
          <w:i/>
        </w:rPr>
        <w:t>CE_E </w:t>
      </w:r>
      <w:r>
        <w:rPr/>
        <w:t>= 1, however, </w:t>
      </w:r>
      <w:r>
        <w:rPr>
          <w:rFonts w:ascii="Times New Roman" w:hAnsi="Times New Roman"/>
          <w:i/>
        </w:rPr>
        <w:t>FLSH_PSTWR </w:t>
      </w:r>
      <w:r>
        <w:rPr/>
        <w:t>delays a flash write until the time interval between the CE code passes. During this delay time, the </w:t>
      </w:r>
      <w:r>
        <w:rPr>
          <w:rFonts w:ascii="Times New Roman" w:hAnsi="Times New Roman"/>
          <w:i/>
        </w:rPr>
        <w:t>FLSH_PEND </w:t>
      </w:r>
      <w:r>
        <w:rPr>
          <w:spacing w:val="-3"/>
        </w:rPr>
        <w:t>(</w:t>
      </w:r>
      <w:r>
        <w:rPr>
          <w:rFonts w:ascii="Times New Roman" w:hAnsi="Times New Roman"/>
          <w:i/>
          <w:spacing w:val="-3"/>
        </w:rPr>
        <w:t>SFR 0xB2[3]</w:t>
      </w:r>
      <w:r>
        <w:rPr>
          <w:spacing w:val="-3"/>
        </w:rPr>
        <w:t>) </w:t>
      </w:r>
      <w:r>
        <w:rPr/>
        <w:t>bit is high, and the MPU continues to execute commands. When the CE code pass ends (CE_BUSY falls), the </w:t>
      </w:r>
      <w:r>
        <w:rPr>
          <w:rFonts w:ascii="Times New Roman" w:hAnsi="Times New Roman"/>
          <w:i/>
          <w:spacing w:val="2"/>
        </w:rPr>
        <w:t>FLSH_PEND </w:t>
      </w:r>
      <w:r>
        <w:rPr/>
        <w:t>bit falls and the write operation </w:t>
      </w:r>
      <w:r>
        <w:rPr>
          <w:spacing w:val="2"/>
        </w:rPr>
        <w:t>occurs. </w:t>
      </w:r>
      <w:r>
        <w:rPr/>
        <w:t>The MPU can query the </w:t>
      </w:r>
      <w:r>
        <w:rPr>
          <w:rFonts w:ascii="Times New Roman" w:hAnsi="Times New Roman"/>
          <w:i/>
          <w:spacing w:val="2"/>
        </w:rPr>
        <w:t>FLSH_PEND </w:t>
      </w:r>
      <w:r>
        <w:rPr/>
        <w:t>bit to determine when the  write</w:t>
      </w:r>
      <w:r>
        <w:rPr>
          <w:spacing w:val="5"/>
        </w:rPr>
        <w:t> </w:t>
      </w:r>
      <w:r>
        <w:rPr/>
        <w:t>operation</w:t>
      </w:r>
      <w:r>
        <w:rPr>
          <w:spacing w:val="6"/>
        </w:rPr>
        <w:t> </w:t>
      </w:r>
      <w:r>
        <w:rPr/>
        <w:t>has</w:t>
      </w:r>
      <w:r>
        <w:rPr>
          <w:spacing w:val="7"/>
        </w:rPr>
        <w:t> </w:t>
      </w:r>
      <w:r>
        <w:rPr/>
        <w:t>been</w:t>
      </w:r>
      <w:r>
        <w:rPr>
          <w:spacing w:val="6"/>
        </w:rPr>
        <w:t> </w:t>
      </w:r>
      <w:r>
        <w:rPr/>
        <w:t>completed.</w:t>
      </w:r>
      <w:r>
        <w:rPr>
          <w:spacing w:val="6"/>
        </w:rPr>
        <w:t> </w:t>
      </w:r>
      <w:r>
        <w:rPr>
          <w:spacing w:val="2"/>
        </w:rPr>
        <w:t>While</w:t>
      </w:r>
      <w:r>
        <w:rPr>
          <w:spacing w:val="7"/>
        </w:rPr>
        <w:t> </w:t>
      </w:r>
      <w:r>
        <w:rPr>
          <w:rFonts w:ascii="Times New Roman" w:hAnsi="Times New Roman"/>
          <w:i/>
        </w:rPr>
        <w:t>FLSH_PEND</w:t>
      </w:r>
      <w:r>
        <w:rPr>
          <w:rFonts w:ascii="Times New Roman" w:hAnsi="Times New Roman"/>
          <w:i/>
          <w:spacing w:val="14"/>
        </w:rPr>
        <w:t> </w:t>
      </w:r>
      <w:r>
        <w:rPr/>
        <w:t>=</w:t>
      </w:r>
      <w:r>
        <w:rPr>
          <w:spacing w:val="5"/>
        </w:rPr>
        <w:t> </w:t>
      </w:r>
      <w:r>
        <w:rPr/>
        <w:t>1,</w:t>
      </w:r>
      <w:r>
        <w:rPr>
          <w:spacing w:val="7"/>
        </w:rPr>
        <w:t> </w:t>
      </w:r>
      <w:r>
        <w:rPr/>
        <w:t>further</w:t>
      </w:r>
      <w:r>
        <w:rPr>
          <w:spacing w:val="8"/>
        </w:rPr>
        <w:t> </w:t>
      </w:r>
      <w:r>
        <w:rPr/>
        <w:t>flash</w:t>
      </w:r>
      <w:r>
        <w:rPr>
          <w:spacing w:val="5"/>
        </w:rPr>
        <w:t> </w:t>
      </w:r>
      <w:r>
        <w:rPr/>
        <w:t>write</w:t>
      </w:r>
      <w:r>
        <w:rPr>
          <w:spacing w:val="6"/>
        </w:rPr>
        <w:t> </w:t>
      </w:r>
      <w:r>
        <w:rPr/>
        <w:t>requests</w:t>
      </w:r>
      <w:r>
        <w:rPr>
          <w:spacing w:val="4"/>
        </w:rPr>
        <w:t> </w:t>
      </w:r>
      <w:r>
        <w:rPr/>
        <w:t>are</w:t>
      </w:r>
      <w:r>
        <w:rPr>
          <w:spacing w:val="5"/>
        </w:rPr>
        <w:t> </w:t>
      </w:r>
      <w:r>
        <w:rPr/>
        <w:t>ignored.</w:t>
      </w:r>
    </w:p>
    <w:p>
      <w:pPr>
        <w:pStyle w:val="BodyText"/>
        <w:spacing w:before="3"/>
      </w:pPr>
    </w:p>
    <w:p>
      <w:pPr>
        <w:pStyle w:val="BodyText"/>
        <w:spacing w:before="1"/>
        <w:ind w:left="240"/>
      </w:pPr>
      <w:r>
        <w:rPr>
          <w:u w:val="single"/>
        </w:rPr>
        <w:t>Updating Individual Bytes in Flash Memory</w:t>
      </w:r>
    </w:p>
    <w:p>
      <w:pPr>
        <w:pStyle w:val="BodyText"/>
        <w:spacing w:before="77"/>
        <w:ind w:left="239" w:right="417"/>
      </w:pPr>
      <w:r>
        <w:rPr/>
        <w:t>The original state of a flash byte is 0xFF (all bits are 1). Once a value other than 0xFF is written to a flash memory cell, overwriting with a different value usually requires that the cell be erased first. Since cells cannot be erased individually, the page has to be first copied to RAM, followed by a page erase. After this, the page can be updated in RAM and then written back to the flash</w:t>
      </w:r>
      <w:r>
        <w:rPr>
          <w:spacing w:val="-12"/>
        </w:rPr>
        <w:t> </w:t>
      </w:r>
      <w:r>
        <w:rPr/>
        <w:t>memory.</w:t>
      </w:r>
    </w:p>
    <w:p>
      <w:pPr>
        <w:pStyle w:val="BodyText"/>
        <w:spacing w:before="124"/>
        <w:ind w:left="240"/>
        <w:jc w:val="both"/>
      </w:pPr>
      <w:r>
        <w:rPr>
          <w:u w:val="single"/>
        </w:rPr>
        <w:t>Flash Erase Procedures</w:t>
      </w:r>
    </w:p>
    <w:p>
      <w:pPr>
        <w:pStyle w:val="BodyText"/>
        <w:spacing w:before="77"/>
        <w:ind w:left="240" w:right="401"/>
      </w:pPr>
      <w:r>
        <w:rPr/>
        <w:t>Flash</w:t>
      </w:r>
      <w:r>
        <w:rPr>
          <w:spacing w:val="-13"/>
        </w:rPr>
        <w:t> </w:t>
      </w:r>
      <w:r>
        <w:rPr/>
        <w:t>erasure</w:t>
      </w:r>
      <w:r>
        <w:rPr>
          <w:spacing w:val="-11"/>
        </w:rPr>
        <w:t> </w:t>
      </w:r>
      <w:r>
        <w:rPr/>
        <w:t>is</w:t>
      </w:r>
      <w:r>
        <w:rPr>
          <w:spacing w:val="-9"/>
        </w:rPr>
        <w:t> </w:t>
      </w:r>
      <w:r>
        <w:rPr>
          <w:spacing w:val="-3"/>
        </w:rPr>
        <w:t>initiated</w:t>
      </w:r>
      <w:r>
        <w:rPr>
          <w:spacing w:val="-13"/>
        </w:rPr>
        <w:t> </w:t>
      </w:r>
      <w:r>
        <w:rPr/>
        <w:t>by</w:t>
      </w:r>
      <w:r>
        <w:rPr>
          <w:spacing w:val="-10"/>
        </w:rPr>
        <w:t> </w:t>
      </w:r>
      <w:r>
        <w:rPr>
          <w:spacing w:val="-3"/>
        </w:rPr>
        <w:t>writing</w:t>
      </w:r>
      <w:r>
        <w:rPr>
          <w:spacing w:val="-11"/>
        </w:rPr>
        <w:t> </w:t>
      </w:r>
      <w:r>
        <w:rPr/>
        <w:t>a</w:t>
      </w:r>
      <w:r>
        <w:rPr>
          <w:spacing w:val="-13"/>
        </w:rPr>
        <w:t> </w:t>
      </w:r>
      <w:r>
        <w:rPr/>
        <w:t>specific</w:t>
      </w:r>
      <w:r>
        <w:rPr>
          <w:spacing w:val="-11"/>
        </w:rPr>
        <w:t> </w:t>
      </w:r>
      <w:r>
        <w:rPr/>
        <w:t>data</w:t>
      </w:r>
      <w:r>
        <w:rPr>
          <w:spacing w:val="-12"/>
        </w:rPr>
        <w:t> </w:t>
      </w:r>
      <w:r>
        <w:rPr/>
        <w:t>pattern</w:t>
      </w:r>
      <w:r>
        <w:rPr>
          <w:spacing w:val="-13"/>
        </w:rPr>
        <w:t> </w:t>
      </w:r>
      <w:r>
        <w:rPr/>
        <w:t>to</w:t>
      </w:r>
      <w:r>
        <w:rPr>
          <w:spacing w:val="-13"/>
        </w:rPr>
        <w:t> </w:t>
      </w:r>
      <w:r>
        <w:rPr>
          <w:spacing w:val="-3"/>
        </w:rPr>
        <w:t>specific</w:t>
      </w:r>
      <w:r>
        <w:rPr>
          <w:spacing w:val="-9"/>
        </w:rPr>
        <w:t> </w:t>
      </w:r>
      <w:r>
        <w:rPr/>
        <w:t>SFR</w:t>
      </w:r>
      <w:r>
        <w:rPr>
          <w:spacing w:val="-11"/>
        </w:rPr>
        <w:t> </w:t>
      </w:r>
      <w:r>
        <w:rPr/>
        <w:t>registers</w:t>
      </w:r>
      <w:r>
        <w:rPr>
          <w:spacing w:val="-9"/>
        </w:rPr>
        <w:t> </w:t>
      </w:r>
      <w:r>
        <w:rPr/>
        <w:t>in</w:t>
      </w:r>
      <w:r>
        <w:rPr>
          <w:spacing w:val="-13"/>
        </w:rPr>
        <w:t> </w:t>
      </w:r>
      <w:r>
        <w:rPr/>
        <w:t>the</w:t>
      </w:r>
      <w:r>
        <w:rPr>
          <w:spacing w:val="-11"/>
        </w:rPr>
        <w:t> </w:t>
      </w:r>
      <w:r>
        <w:rPr/>
        <w:t>proper</w:t>
      </w:r>
      <w:r>
        <w:rPr>
          <w:spacing w:val="-10"/>
        </w:rPr>
        <w:t> </w:t>
      </w:r>
      <w:r>
        <w:rPr/>
        <w:t>sequence. These</w:t>
      </w:r>
      <w:r>
        <w:rPr>
          <w:spacing w:val="-11"/>
        </w:rPr>
        <w:t> </w:t>
      </w:r>
      <w:r>
        <w:rPr/>
        <w:t>special</w:t>
      </w:r>
      <w:r>
        <w:rPr>
          <w:spacing w:val="-9"/>
        </w:rPr>
        <w:t> </w:t>
      </w:r>
      <w:r>
        <w:rPr/>
        <w:t>pattern/sequence</w:t>
      </w:r>
      <w:r>
        <w:rPr>
          <w:spacing w:val="-9"/>
        </w:rPr>
        <w:t> </w:t>
      </w:r>
      <w:r>
        <w:rPr/>
        <w:t>requirements</w:t>
      </w:r>
      <w:r>
        <w:rPr>
          <w:spacing w:val="-7"/>
        </w:rPr>
        <w:t> </w:t>
      </w:r>
      <w:r>
        <w:rPr/>
        <w:t>prevent</w:t>
      </w:r>
      <w:r>
        <w:rPr>
          <w:spacing w:val="-8"/>
        </w:rPr>
        <w:t> </w:t>
      </w:r>
      <w:r>
        <w:rPr>
          <w:spacing w:val="-3"/>
        </w:rPr>
        <w:t>inadvertent</w:t>
      </w:r>
      <w:r>
        <w:rPr>
          <w:spacing w:val="-8"/>
        </w:rPr>
        <w:t> </w:t>
      </w:r>
      <w:r>
        <w:rPr/>
        <w:t>erasure</w:t>
      </w:r>
      <w:r>
        <w:rPr>
          <w:spacing w:val="-11"/>
        </w:rPr>
        <w:t> </w:t>
      </w:r>
      <w:r>
        <w:rPr/>
        <w:t>of</w:t>
      </w:r>
      <w:r>
        <w:rPr>
          <w:spacing w:val="-8"/>
        </w:rPr>
        <w:t> </w:t>
      </w:r>
      <w:r>
        <w:rPr/>
        <w:t>the</w:t>
      </w:r>
      <w:r>
        <w:rPr>
          <w:spacing w:val="-8"/>
        </w:rPr>
        <w:t> </w:t>
      </w:r>
      <w:r>
        <w:rPr/>
        <w:t>flash</w:t>
      </w:r>
      <w:r>
        <w:rPr>
          <w:spacing w:val="-11"/>
        </w:rPr>
        <w:t> </w:t>
      </w:r>
      <w:r>
        <w:rPr/>
        <w:t>memory.</w:t>
      </w:r>
    </w:p>
    <w:p>
      <w:pPr>
        <w:pStyle w:val="BodyText"/>
        <w:spacing w:before="121"/>
        <w:ind w:left="240"/>
      </w:pPr>
      <w:r>
        <w:rPr/>
        <w:t>The mass erase sequence is:</w:t>
      </w:r>
    </w:p>
    <w:p>
      <w:pPr>
        <w:pStyle w:val="ListParagraph"/>
        <w:numPr>
          <w:ilvl w:val="0"/>
          <w:numId w:val="15"/>
        </w:numPr>
        <w:tabs>
          <w:tab w:pos="599" w:val="left" w:leader="none"/>
          <w:tab w:pos="600" w:val="left" w:leader="none"/>
        </w:tabs>
        <w:spacing w:line="240" w:lineRule="auto" w:before="76" w:after="0"/>
        <w:ind w:left="599" w:right="0" w:hanging="360"/>
        <w:jc w:val="left"/>
        <w:rPr>
          <w:sz w:val="20"/>
        </w:rPr>
      </w:pPr>
      <w:r>
        <w:rPr>
          <w:sz w:val="20"/>
        </w:rPr>
        <w:t>Write 1 to the </w:t>
      </w:r>
      <w:r>
        <w:rPr>
          <w:rFonts w:ascii="Times New Roman" w:hAnsi="Times New Roman"/>
          <w:i/>
          <w:sz w:val="20"/>
        </w:rPr>
        <w:t>FLSH_MEEN </w:t>
      </w:r>
      <w:r>
        <w:rPr>
          <w:sz w:val="20"/>
        </w:rPr>
        <w:t>bit (</w:t>
      </w:r>
      <w:r>
        <w:rPr>
          <w:rFonts w:ascii="Times New Roman" w:hAnsi="Times New Roman"/>
          <w:i/>
          <w:sz w:val="20"/>
        </w:rPr>
        <w:t>SFR</w:t>
      </w:r>
      <w:r>
        <w:rPr>
          <w:rFonts w:ascii="Times New Roman" w:hAnsi="Times New Roman"/>
          <w:i/>
          <w:spacing w:val="4"/>
          <w:sz w:val="20"/>
        </w:rPr>
        <w:t> </w:t>
      </w:r>
      <w:r>
        <w:rPr>
          <w:rFonts w:ascii="Times New Roman" w:hAnsi="Times New Roman"/>
          <w:i/>
          <w:sz w:val="20"/>
        </w:rPr>
        <w:t>0xB2[1]</w:t>
      </w:r>
      <w:r>
        <w:rPr>
          <w:sz w:val="20"/>
        </w:rPr>
        <w:t>).</w:t>
      </w:r>
    </w:p>
    <w:p>
      <w:pPr>
        <w:pStyle w:val="ListParagraph"/>
        <w:numPr>
          <w:ilvl w:val="0"/>
          <w:numId w:val="15"/>
        </w:numPr>
        <w:tabs>
          <w:tab w:pos="599" w:val="left" w:leader="none"/>
          <w:tab w:pos="600" w:val="left" w:leader="none"/>
        </w:tabs>
        <w:spacing w:line="240" w:lineRule="auto" w:before="38" w:after="0"/>
        <w:ind w:left="599" w:right="0" w:hanging="361"/>
        <w:jc w:val="left"/>
        <w:rPr>
          <w:sz w:val="20"/>
        </w:rPr>
      </w:pPr>
      <w:r>
        <w:rPr>
          <w:sz w:val="20"/>
        </w:rPr>
        <w:t>Write the pattern 0xAA to the </w:t>
      </w:r>
      <w:r>
        <w:rPr>
          <w:rFonts w:ascii="Times New Roman" w:hAnsi="Times New Roman"/>
          <w:i/>
          <w:sz w:val="20"/>
        </w:rPr>
        <w:t>FLSH_ERASE </w:t>
      </w:r>
      <w:r>
        <w:rPr>
          <w:sz w:val="20"/>
        </w:rPr>
        <w:t>(</w:t>
      </w:r>
      <w:r>
        <w:rPr>
          <w:rFonts w:ascii="Times New Roman" w:hAnsi="Times New Roman"/>
          <w:i/>
          <w:sz w:val="20"/>
        </w:rPr>
        <w:t>SFR 0x94</w:t>
      </w:r>
      <w:r>
        <w:rPr>
          <w:sz w:val="20"/>
        </w:rPr>
        <w:t>) register.</w:t>
      </w:r>
    </w:p>
    <w:p>
      <w:pPr>
        <w:pStyle w:val="BodyText"/>
        <w:spacing w:before="4"/>
      </w:pPr>
    </w:p>
    <w:p>
      <w:pPr>
        <w:pStyle w:val="BodyText"/>
        <w:ind w:left="719"/>
      </w:pPr>
      <w:r>
        <w:rPr/>
        <w:drawing>
          <wp:anchor distT="0" distB="0" distL="0" distR="0" allowOverlap="1" layoutInCell="1" locked="0" behindDoc="0" simplePos="0" relativeHeight="15769088">
            <wp:simplePos x="0" y="0"/>
            <wp:positionH relativeFrom="page">
              <wp:posOffset>937846</wp:posOffset>
            </wp:positionH>
            <wp:positionV relativeFrom="paragraph">
              <wp:posOffset>-25006</wp:posOffset>
            </wp:positionV>
            <wp:extent cx="167053" cy="266698"/>
            <wp:effectExtent l="0" t="0" r="0" b="0"/>
            <wp:wrapNone/>
            <wp:docPr id="41" name="image64.png"/>
            <wp:cNvGraphicFramePr>
              <a:graphicFrameLocks noChangeAspect="1"/>
            </wp:cNvGraphicFramePr>
            <a:graphic>
              <a:graphicData uri="http://schemas.openxmlformats.org/drawingml/2006/picture">
                <pic:pic>
                  <pic:nvPicPr>
                    <pic:cNvPr id="42" name="image64.png"/>
                    <pic:cNvPicPr/>
                  </pic:nvPicPr>
                  <pic:blipFill>
                    <a:blip r:embed="rId73" cstate="print"/>
                    <a:stretch>
                      <a:fillRect/>
                    </a:stretch>
                  </pic:blipFill>
                  <pic:spPr>
                    <a:xfrm>
                      <a:off x="0" y="0"/>
                      <a:ext cx="167053" cy="266698"/>
                    </a:xfrm>
                    <a:prstGeom prst="rect">
                      <a:avLst/>
                    </a:prstGeom>
                  </pic:spPr>
                </pic:pic>
              </a:graphicData>
            </a:graphic>
          </wp:anchor>
        </w:drawing>
      </w:r>
      <w:r>
        <w:rPr/>
        <w:t>The mass erase cycle can only be initiated when the ICE port is enabled.</w:t>
      </w:r>
    </w:p>
    <w:p>
      <w:pPr>
        <w:spacing w:after="0"/>
        <w:sectPr>
          <w:headerReference w:type="even" r:id="rId110"/>
          <w:headerReference w:type="default" r:id="rId111"/>
          <w:pgSz w:w="12240" w:h="15840"/>
          <w:pgMar w:header="727" w:footer="819" w:top="960" w:bottom="1000" w:left="1200" w:right="1060"/>
        </w:sectPr>
      </w:pPr>
    </w:p>
    <w:p>
      <w:pPr>
        <w:pStyle w:val="BodyText"/>
        <w:spacing w:before="3"/>
        <w:rPr>
          <w:sz w:val="16"/>
        </w:rPr>
      </w:pPr>
    </w:p>
    <w:p>
      <w:pPr>
        <w:pStyle w:val="BodyText"/>
        <w:spacing w:before="93"/>
        <w:ind w:left="240"/>
      </w:pPr>
      <w:r>
        <w:rPr/>
        <w:t>The page erase sequence is:</w:t>
      </w:r>
    </w:p>
    <w:p>
      <w:pPr>
        <w:pStyle w:val="ListParagraph"/>
        <w:numPr>
          <w:ilvl w:val="0"/>
          <w:numId w:val="15"/>
        </w:numPr>
        <w:tabs>
          <w:tab w:pos="599" w:val="left" w:leader="none"/>
          <w:tab w:pos="600" w:val="left" w:leader="none"/>
        </w:tabs>
        <w:spacing w:line="240" w:lineRule="auto" w:before="112" w:after="0"/>
        <w:ind w:left="599" w:right="0" w:hanging="360"/>
        <w:jc w:val="left"/>
        <w:rPr>
          <w:sz w:val="20"/>
        </w:rPr>
      </w:pPr>
      <w:r>
        <w:rPr>
          <w:sz w:val="20"/>
        </w:rPr>
        <w:t>Write the page address to </w:t>
      </w:r>
      <w:r>
        <w:rPr>
          <w:rFonts w:ascii="Times New Roman" w:hAnsi="Times New Roman"/>
          <w:i/>
          <w:sz w:val="20"/>
        </w:rPr>
        <w:t>FLSH_PGADR[5:0] </w:t>
      </w:r>
      <w:r>
        <w:rPr>
          <w:sz w:val="20"/>
        </w:rPr>
        <w:t>(</w:t>
      </w:r>
      <w:r>
        <w:rPr>
          <w:rFonts w:ascii="Times New Roman" w:hAnsi="Times New Roman"/>
          <w:i/>
          <w:sz w:val="20"/>
        </w:rPr>
        <w:t>SFR</w:t>
      </w:r>
      <w:r>
        <w:rPr>
          <w:rFonts w:ascii="Times New Roman" w:hAnsi="Times New Roman"/>
          <w:i/>
          <w:spacing w:val="8"/>
          <w:sz w:val="20"/>
        </w:rPr>
        <w:t> </w:t>
      </w:r>
      <w:r>
        <w:rPr>
          <w:rFonts w:ascii="Times New Roman" w:hAnsi="Times New Roman"/>
          <w:i/>
          <w:sz w:val="20"/>
        </w:rPr>
        <w:t>0xB7[7:2])</w:t>
      </w:r>
      <w:r>
        <w:rPr>
          <w:sz w:val="20"/>
        </w:rPr>
        <w:t>.</w:t>
      </w:r>
    </w:p>
    <w:p>
      <w:pPr>
        <w:pStyle w:val="ListParagraph"/>
        <w:numPr>
          <w:ilvl w:val="0"/>
          <w:numId w:val="15"/>
        </w:numPr>
        <w:tabs>
          <w:tab w:pos="599" w:val="left" w:leader="none"/>
          <w:tab w:pos="600" w:val="left" w:leader="none"/>
        </w:tabs>
        <w:spacing w:line="362" w:lineRule="auto" w:before="33" w:after="0"/>
        <w:ind w:left="240" w:right="3881" w:firstLine="0"/>
        <w:jc w:val="left"/>
        <w:rPr>
          <w:sz w:val="20"/>
        </w:rPr>
      </w:pPr>
      <w:r>
        <w:rPr>
          <w:sz w:val="20"/>
        </w:rPr>
        <w:t>Write the pattern 0x55 to the </w:t>
      </w:r>
      <w:r>
        <w:rPr>
          <w:rFonts w:ascii="Times New Roman" w:hAnsi="Times New Roman"/>
          <w:i/>
          <w:sz w:val="20"/>
        </w:rPr>
        <w:t>FLSH_ERASE </w:t>
      </w:r>
      <w:r>
        <w:rPr>
          <w:sz w:val="20"/>
        </w:rPr>
        <w:t>register (</w:t>
      </w:r>
      <w:r>
        <w:rPr>
          <w:rFonts w:ascii="Times New Roman" w:hAnsi="Times New Roman"/>
          <w:i/>
          <w:sz w:val="20"/>
        </w:rPr>
        <w:t>SFR 0x94</w:t>
      </w:r>
      <w:r>
        <w:rPr>
          <w:sz w:val="20"/>
        </w:rPr>
        <w:t>).</w:t>
      </w:r>
      <w:r>
        <w:rPr>
          <w:sz w:val="20"/>
          <w:u w:val="single"/>
        </w:rPr>
        <w:t> Bank-Switching in the</w:t>
      </w:r>
      <w:r>
        <w:rPr>
          <w:spacing w:val="1"/>
          <w:sz w:val="20"/>
          <w:u w:val="single"/>
        </w:rPr>
        <w:t> </w:t>
      </w:r>
      <w:r>
        <w:rPr>
          <w:sz w:val="20"/>
          <w:u w:val="single"/>
        </w:rPr>
        <w:t>71M6543G</w:t>
      </w:r>
    </w:p>
    <w:p>
      <w:pPr>
        <w:pStyle w:val="BodyText"/>
        <w:spacing w:line="191" w:lineRule="exact"/>
        <w:ind w:left="240"/>
      </w:pPr>
      <w:r>
        <w:rPr/>
        <w:t>The 128 KB program memory in the 71M6543G consists of a fixed lower bank of 32 KB, addressable at</w:t>
      </w:r>
    </w:p>
    <w:p>
      <w:pPr>
        <w:pStyle w:val="BodyText"/>
        <w:spacing w:before="1"/>
        <w:ind w:left="239" w:right="429"/>
      </w:pPr>
      <w:r>
        <w:rPr/>
        <w:t>0x0000 to 0x7FFF plus an upper banked area of 32 KB, addressable at 0x8000 to 0xFFFF. The I/O RAM register </w:t>
      </w:r>
      <w:r>
        <w:rPr>
          <w:rFonts w:ascii="Times New Roman"/>
          <w:i/>
        </w:rPr>
        <w:t>FL_BANK[1:0] (SFR 0xB6[1:0]) </w:t>
      </w:r>
      <w:r>
        <w:rPr/>
        <w:t>is used to switch four memory banks of 32 KB each into the address range from 0x8000 to 0xFFFF. Note that when </w:t>
      </w:r>
      <w:r>
        <w:rPr>
          <w:rFonts w:ascii="Times New Roman"/>
          <w:i/>
        </w:rPr>
        <w:t>FL_BANK[1:0] (SFR 0xB6[1:0]) </w:t>
      </w:r>
      <w:r>
        <w:rPr/>
        <w:t>= 0, the upper bank is the same as the lower bank.</w:t>
      </w:r>
    </w:p>
    <w:p>
      <w:pPr>
        <w:spacing w:before="120"/>
        <w:ind w:left="61" w:right="204" w:firstLine="0"/>
        <w:jc w:val="center"/>
        <w:rPr>
          <w:b/>
          <w:sz w:val="20"/>
        </w:rPr>
      </w:pPr>
      <w:bookmarkStart w:name="_bookmark97" w:id="190"/>
      <w:bookmarkEnd w:id="190"/>
      <w:r>
        <w:rPr/>
      </w:r>
      <w:r>
        <w:rPr>
          <w:b/>
          <w:sz w:val="20"/>
        </w:rPr>
        <w:t>Table 39: Bank Switching with </w:t>
      </w:r>
      <w:r>
        <w:rPr>
          <w:rFonts w:ascii="Times New Roman"/>
          <w:b/>
          <w:i/>
          <w:sz w:val="20"/>
        </w:rPr>
        <w:t>FL_BANK[1:0] (SFR 0xB6[1:0])</w:t>
      </w:r>
      <w:r>
        <w:rPr>
          <w:b/>
          <w:sz w:val="20"/>
        </w:rPr>
        <w:t>in the 71M6543G</w:t>
      </w:r>
    </w:p>
    <w:p>
      <w:pPr>
        <w:pStyle w:val="BodyText"/>
        <w:spacing w:before="4"/>
        <w:rPr>
          <w:b/>
          <w:sz w:val="5"/>
        </w:rPr>
      </w:pPr>
    </w:p>
    <w:tbl>
      <w:tblPr>
        <w:tblW w:w="0" w:type="auto"/>
        <w:jc w:val="left"/>
        <w:tblInd w:w="1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8"/>
        <w:gridCol w:w="2880"/>
        <w:gridCol w:w="2880"/>
      </w:tblGrid>
      <w:tr>
        <w:trPr>
          <w:trHeight w:val="580" w:hRule="atLeast"/>
        </w:trPr>
        <w:tc>
          <w:tcPr>
            <w:tcW w:w="1728" w:type="dxa"/>
          </w:tcPr>
          <w:p>
            <w:pPr>
              <w:pStyle w:val="TableParagraph"/>
              <w:spacing w:line="225" w:lineRule="exact"/>
              <w:ind w:left="164" w:right="157"/>
              <w:jc w:val="center"/>
              <w:rPr>
                <w:b/>
                <w:sz w:val="20"/>
              </w:rPr>
            </w:pPr>
            <w:r>
              <w:rPr>
                <w:b/>
                <w:sz w:val="20"/>
              </w:rPr>
              <w:t>71M6543G</w:t>
            </w:r>
          </w:p>
          <w:p>
            <w:pPr>
              <w:pStyle w:val="TableParagraph"/>
              <w:spacing w:before="3"/>
              <w:ind w:left="164" w:right="157"/>
              <w:jc w:val="center"/>
              <w:rPr>
                <w:b/>
                <w:i/>
                <w:sz w:val="20"/>
              </w:rPr>
            </w:pPr>
            <w:r>
              <w:rPr>
                <w:b/>
                <w:i/>
                <w:sz w:val="20"/>
              </w:rPr>
              <w:t>FL_BANK[1:0]</w:t>
            </w:r>
          </w:p>
        </w:tc>
        <w:tc>
          <w:tcPr>
            <w:tcW w:w="2880" w:type="dxa"/>
          </w:tcPr>
          <w:p>
            <w:pPr>
              <w:pStyle w:val="TableParagraph"/>
              <w:ind w:left="362" w:hanging="164"/>
              <w:rPr>
                <w:b/>
                <w:sz w:val="20"/>
              </w:rPr>
            </w:pPr>
            <w:r>
              <w:rPr>
                <w:b/>
                <w:sz w:val="20"/>
              </w:rPr>
              <w:t>Address Range for Lower Bank (0x0000-0x7FFF)</w:t>
            </w:r>
          </w:p>
        </w:tc>
        <w:tc>
          <w:tcPr>
            <w:tcW w:w="2880" w:type="dxa"/>
          </w:tcPr>
          <w:p>
            <w:pPr>
              <w:pStyle w:val="TableParagraph"/>
              <w:ind w:left="357" w:hanging="152"/>
              <w:rPr>
                <w:b/>
                <w:sz w:val="20"/>
              </w:rPr>
            </w:pPr>
            <w:r>
              <w:rPr>
                <w:b/>
                <w:sz w:val="20"/>
              </w:rPr>
              <w:t>Address Range for Upper Bank (0x8000-0xFFFF)</w:t>
            </w:r>
          </w:p>
        </w:tc>
      </w:tr>
      <w:tr>
        <w:trPr>
          <w:trHeight w:val="350" w:hRule="atLeast"/>
        </w:trPr>
        <w:tc>
          <w:tcPr>
            <w:tcW w:w="1728" w:type="dxa"/>
          </w:tcPr>
          <w:p>
            <w:pPr>
              <w:pStyle w:val="TableParagraph"/>
              <w:spacing w:line="227" w:lineRule="exact"/>
              <w:ind w:left="164" w:right="155"/>
              <w:jc w:val="center"/>
              <w:rPr>
                <w:sz w:val="20"/>
              </w:rPr>
            </w:pPr>
            <w:r>
              <w:rPr>
                <w:sz w:val="20"/>
              </w:rPr>
              <w:t>00</w:t>
            </w:r>
          </w:p>
        </w:tc>
        <w:tc>
          <w:tcPr>
            <w:tcW w:w="2880" w:type="dxa"/>
          </w:tcPr>
          <w:p>
            <w:pPr>
              <w:pStyle w:val="TableParagraph"/>
              <w:spacing w:line="227" w:lineRule="exact"/>
              <w:ind w:left="594" w:right="588"/>
              <w:jc w:val="center"/>
              <w:rPr>
                <w:sz w:val="20"/>
              </w:rPr>
            </w:pPr>
            <w:r>
              <w:rPr>
                <w:sz w:val="20"/>
              </w:rPr>
              <w:t>0x0000-0x7FFF</w:t>
            </w:r>
          </w:p>
        </w:tc>
        <w:tc>
          <w:tcPr>
            <w:tcW w:w="2880" w:type="dxa"/>
          </w:tcPr>
          <w:p>
            <w:pPr>
              <w:pStyle w:val="TableParagraph"/>
              <w:spacing w:line="227" w:lineRule="exact"/>
              <w:ind w:left="594" w:right="588"/>
              <w:jc w:val="center"/>
              <w:rPr>
                <w:sz w:val="20"/>
              </w:rPr>
            </w:pPr>
            <w:r>
              <w:rPr>
                <w:sz w:val="20"/>
              </w:rPr>
              <w:t>0x0000-0x7FFF</w:t>
            </w:r>
          </w:p>
        </w:tc>
      </w:tr>
      <w:tr>
        <w:trPr>
          <w:trHeight w:val="350" w:hRule="atLeast"/>
        </w:trPr>
        <w:tc>
          <w:tcPr>
            <w:tcW w:w="1728" w:type="dxa"/>
          </w:tcPr>
          <w:p>
            <w:pPr>
              <w:pStyle w:val="TableParagraph"/>
              <w:spacing w:line="227" w:lineRule="exact"/>
              <w:ind w:left="164" w:right="155"/>
              <w:jc w:val="center"/>
              <w:rPr>
                <w:sz w:val="20"/>
              </w:rPr>
            </w:pPr>
            <w:r>
              <w:rPr>
                <w:sz w:val="20"/>
              </w:rPr>
              <w:t>01</w:t>
            </w:r>
          </w:p>
        </w:tc>
        <w:tc>
          <w:tcPr>
            <w:tcW w:w="2880" w:type="dxa"/>
          </w:tcPr>
          <w:p>
            <w:pPr>
              <w:pStyle w:val="TableParagraph"/>
              <w:spacing w:line="227" w:lineRule="exact"/>
              <w:ind w:left="594" w:right="588"/>
              <w:jc w:val="center"/>
              <w:rPr>
                <w:sz w:val="20"/>
              </w:rPr>
            </w:pPr>
            <w:r>
              <w:rPr>
                <w:sz w:val="20"/>
              </w:rPr>
              <w:t>0x0000-0x7FFF</w:t>
            </w:r>
          </w:p>
        </w:tc>
        <w:tc>
          <w:tcPr>
            <w:tcW w:w="2880" w:type="dxa"/>
          </w:tcPr>
          <w:p>
            <w:pPr>
              <w:pStyle w:val="TableParagraph"/>
              <w:spacing w:line="227" w:lineRule="exact"/>
              <w:ind w:left="596" w:right="588"/>
              <w:jc w:val="center"/>
              <w:rPr>
                <w:sz w:val="20"/>
              </w:rPr>
            </w:pPr>
            <w:r>
              <w:rPr>
                <w:sz w:val="20"/>
              </w:rPr>
              <w:t>0x8000-0xFFFF</w:t>
            </w:r>
          </w:p>
        </w:tc>
      </w:tr>
      <w:tr>
        <w:trPr>
          <w:trHeight w:val="350" w:hRule="atLeast"/>
        </w:trPr>
        <w:tc>
          <w:tcPr>
            <w:tcW w:w="1728" w:type="dxa"/>
          </w:tcPr>
          <w:p>
            <w:pPr>
              <w:pStyle w:val="TableParagraph"/>
              <w:spacing w:line="227" w:lineRule="exact"/>
              <w:ind w:left="164" w:right="155"/>
              <w:jc w:val="center"/>
              <w:rPr>
                <w:sz w:val="20"/>
              </w:rPr>
            </w:pPr>
            <w:r>
              <w:rPr>
                <w:sz w:val="20"/>
              </w:rPr>
              <w:t>10</w:t>
            </w:r>
          </w:p>
        </w:tc>
        <w:tc>
          <w:tcPr>
            <w:tcW w:w="2880" w:type="dxa"/>
          </w:tcPr>
          <w:p>
            <w:pPr>
              <w:pStyle w:val="TableParagraph"/>
              <w:spacing w:line="227" w:lineRule="exact"/>
              <w:ind w:left="594" w:right="588"/>
              <w:jc w:val="center"/>
              <w:rPr>
                <w:sz w:val="20"/>
              </w:rPr>
            </w:pPr>
            <w:r>
              <w:rPr>
                <w:sz w:val="20"/>
              </w:rPr>
              <w:t>0x0000-0x7FFF</w:t>
            </w:r>
          </w:p>
        </w:tc>
        <w:tc>
          <w:tcPr>
            <w:tcW w:w="2880" w:type="dxa"/>
          </w:tcPr>
          <w:p>
            <w:pPr>
              <w:pStyle w:val="TableParagraph"/>
              <w:spacing w:line="227" w:lineRule="exact"/>
              <w:ind w:left="594" w:right="588"/>
              <w:jc w:val="center"/>
              <w:rPr>
                <w:sz w:val="20"/>
              </w:rPr>
            </w:pPr>
            <w:r>
              <w:rPr>
                <w:sz w:val="20"/>
              </w:rPr>
              <w:t>0x10000-0x17FFF</w:t>
            </w:r>
          </w:p>
        </w:tc>
      </w:tr>
      <w:tr>
        <w:trPr>
          <w:trHeight w:val="350" w:hRule="atLeast"/>
        </w:trPr>
        <w:tc>
          <w:tcPr>
            <w:tcW w:w="1728" w:type="dxa"/>
          </w:tcPr>
          <w:p>
            <w:pPr>
              <w:pStyle w:val="TableParagraph"/>
              <w:spacing w:line="227" w:lineRule="exact"/>
              <w:ind w:left="164" w:right="155"/>
              <w:jc w:val="center"/>
              <w:rPr>
                <w:sz w:val="20"/>
              </w:rPr>
            </w:pPr>
            <w:r>
              <w:rPr>
                <w:sz w:val="20"/>
              </w:rPr>
              <w:t>11</w:t>
            </w:r>
          </w:p>
        </w:tc>
        <w:tc>
          <w:tcPr>
            <w:tcW w:w="2880" w:type="dxa"/>
          </w:tcPr>
          <w:p>
            <w:pPr>
              <w:pStyle w:val="TableParagraph"/>
              <w:spacing w:line="227" w:lineRule="exact"/>
              <w:ind w:left="594" w:right="588"/>
              <w:jc w:val="center"/>
              <w:rPr>
                <w:sz w:val="20"/>
              </w:rPr>
            </w:pPr>
            <w:r>
              <w:rPr>
                <w:sz w:val="20"/>
              </w:rPr>
              <w:t>0x0000-0x7FFF</w:t>
            </w:r>
          </w:p>
        </w:tc>
        <w:tc>
          <w:tcPr>
            <w:tcW w:w="2880" w:type="dxa"/>
          </w:tcPr>
          <w:p>
            <w:pPr>
              <w:pStyle w:val="TableParagraph"/>
              <w:spacing w:line="227" w:lineRule="exact"/>
              <w:ind w:left="596" w:right="588"/>
              <w:jc w:val="center"/>
              <w:rPr>
                <w:sz w:val="20"/>
              </w:rPr>
            </w:pPr>
            <w:r>
              <w:rPr>
                <w:sz w:val="20"/>
              </w:rPr>
              <w:t>0x18000-0x1FFFF</w:t>
            </w:r>
          </w:p>
        </w:tc>
      </w:tr>
    </w:tbl>
    <w:p>
      <w:pPr>
        <w:pStyle w:val="BodyText"/>
        <w:spacing w:before="1"/>
        <w:rPr>
          <w:b/>
          <w:sz w:val="30"/>
        </w:rPr>
      </w:pPr>
    </w:p>
    <w:p>
      <w:pPr>
        <w:spacing w:line="240" w:lineRule="auto" w:before="0"/>
        <w:ind w:left="239" w:right="574" w:firstLine="0"/>
        <w:jc w:val="left"/>
        <w:rPr>
          <w:sz w:val="20"/>
        </w:rPr>
      </w:pPr>
      <w:r>
        <w:rPr>
          <w:sz w:val="20"/>
        </w:rPr>
        <w:t>In the 71M6543G, the address that the </w:t>
      </w:r>
      <w:r>
        <w:rPr>
          <w:rFonts w:ascii="Times New Roman"/>
          <w:i/>
          <w:sz w:val="20"/>
        </w:rPr>
        <w:t>FLSH_PGADR[6:0] (SFR 0xB7[7:1]) </w:t>
      </w:r>
      <w:r>
        <w:rPr>
          <w:sz w:val="20"/>
        </w:rPr>
        <w:t>points to in the program address space can reference different flash memory locations, depending on the setting of the </w:t>
      </w:r>
      <w:r>
        <w:rPr>
          <w:rFonts w:ascii="Times New Roman"/>
          <w:i/>
          <w:sz w:val="20"/>
        </w:rPr>
        <w:t>FL_BANK[1:0] (SFR 0xB6[1:0]) </w:t>
      </w:r>
      <w:r>
        <w:rPr>
          <w:sz w:val="20"/>
        </w:rPr>
        <w:t>bits. The </w:t>
      </w:r>
      <w:r>
        <w:rPr>
          <w:rFonts w:ascii="Times New Roman"/>
          <w:i/>
          <w:sz w:val="20"/>
        </w:rPr>
        <w:t>CE_LCTN[6:0] </w:t>
      </w:r>
      <w:r>
        <w:rPr>
          <w:sz w:val="20"/>
        </w:rPr>
        <w:t>(</w:t>
      </w:r>
      <w:r>
        <w:rPr>
          <w:rFonts w:ascii="Times New Roman"/>
          <w:i/>
          <w:sz w:val="20"/>
        </w:rPr>
        <w:t>I/O RAM 0x2109[6:0]</w:t>
      </w:r>
      <w:r>
        <w:rPr>
          <w:sz w:val="20"/>
        </w:rPr>
        <w:t>) field on the 71M6543G on</w:t>
      </w:r>
    </w:p>
    <w:p>
      <w:pPr>
        <w:spacing w:before="0"/>
        <w:ind w:left="239" w:right="429" w:firstLine="0"/>
        <w:jc w:val="left"/>
        <w:rPr>
          <w:sz w:val="20"/>
        </w:rPr>
      </w:pPr>
      <w:r>
        <w:rPr>
          <w:sz w:val="20"/>
        </w:rPr>
        <w:t>the other hand, points directly to a location in the flash memory are not affected by the </w:t>
      </w:r>
      <w:r>
        <w:rPr>
          <w:rFonts w:ascii="Times New Roman"/>
          <w:i/>
          <w:sz w:val="20"/>
        </w:rPr>
        <w:t>FL_BANK[1:0] </w:t>
      </w:r>
      <w:r>
        <w:rPr>
          <w:rFonts w:ascii="Times New Roman"/>
          <w:i/>
          <w:sz w:val="20"/>
        </w:rPr>
        <w:t>(SFR 0xB6[1:0]) </w:t>
      </w:r>
      <w:r>
        <w:rPr>
          <w:sz w:val="20"/>
        </w:rPr>
        <w:t>bits</w:t>
      </w:r>
    </w:p>
    <w:p>
      <w:pPr>
        <w:pStyle w:val="BodyText"/>
        <w:spacing w:before="85"/>
        <w:ind w:left="240"/>
      </w:pPr>
      <w:r>
        <w:rPr>
          <w:u w:val="single"/>
        </w:rPr>
        <w:t>Program Security</w:t>
      </w:r>
    </w:p>
    <w:p>
      <w:pPr>
        <w:pStyle w:val="BodyText"/>
        <w:spacing w:before="77"/>
        <w:ind w:left="240" w:right="490"/>
      </w:pPr>
      <w:r>
        <w:rPr/>
        <w:t>When enabled, the security feature limits the ICE to global flash erase operations only. All other ICE </w:t>
      </w:r>
      <w:r>
        <w:rPr>
          <w:spacing w:val="-3"/>
        </w:rPr>
        <w:t>operations,</w:t>
      </w:r>
      <w:r>
        <w:rPr>
          <w:spacing w:val="-13"/>
        </w:rPr>
        <w:t> </w:t>
      </w:r>
      <w:r>
        <w:rPr/>
        <w:t>such</w:t>
      </w:r>
      <w:r>
        <w:rPr>
          <w:spacing w:val="-11"/>
        </w:rPr>
        <w:t> </w:t>
      </w:r>
      <w:r>
        <w:rPr/>
        <w:t>as</w:t>
      </w:r>
      <w:r>
        <w:rPr>
          <w:spacing w:val="-11"/>
        </w:rPr>
        <w:t> </w:t>
      </w:r>
      <w:r>
        <w:rPr/>
        <w:t>reading</w:t>
      </w:r>
      <w:r>
        <w:rPr>
          <w:spacing w:val="-11"/>
        </w:rPr>
        <w:t> </w:t>
      </w:r>
      <w:r>
        <w:rPr>
          <w:spacing w:val="-2"/>
        </w:rPr>
        <w:t>via</w:t>
      </w:r>
      <w:r>
        <w:rPr>
          <w:spacing w:val="-12"/>
        </w:rPr>
        <w:t> </w:t>
      </w:r>
      <w:r>
        <w:rPr/>
        <w:t>the</w:t>
      </w:r>
      <w:r>
        <w:rPr>
          <w:spacing w:val="-11"/>
        </w:rPr>
        <w:t> </w:t>
      </w:r>
      <w:r>
        <w:rPr/>
        <w:t>SPI</w:t>
      </w:r>
      <w:r>
        <w:rPr>
          <w:spacing w:val="-10"/>
        </w:rPr>
        <w:t> </w:t>
      </w:r>
      <w:r>
        <w:rPr/>
        <w:t>or</w:t>
      </w:r>
      <w:r>
        <w:rPr>
          <w:spacing w:val="-10"/>
        </w:rPr>
        <w:t> </w:t>
      </w:r>
      <w:r>
        <w:rPr/>
        <w:t>ICE</w:t>
      </w:r>
      <w:r>
        <w:rPr>
          <w:spacing w:val="-11"/>
        </w:rPr>
        <w:t> </w:t>
      </w:r>
      <w:r>
        <w:rPr/>
        <w:t>port,</w:t>
      </w:r>
      <w:r>
        <w:rPr>
          <w:spacing w:val="-13"/>
        </w:rPr>
        <w:t> </w:t>
      </w:r>
      <w:r>
        <w:rPr/>
        <w:t>are</w:t>
      </w:r>
      <w:r>
        <w:rPr>
          <w:spacing w:val="-11"/>
        </w:rPr>
        <w:t> </w:t>
      </w:r>
      <w:r>
        <w:rPr/>
        <w:t>blocked.</w:t>
      </w:r>
      <w:r>
        <w:rPr>
          <w:spacing w:val="33"/>
        </w:rPr>
        <w:t> </w:t>
      </w:r>
      <w:r>
        <w:rPr/>
        <w:t>This</w:t>
      </w:r>
      <w:r>
        <w:rPr>
          <w:spacing w:val="-11"/>
        </w:rPr>
        <w:t> </w:t>
      </w:r>
      <w:r>
        <w:rPr/>
        <w:t>guarantees</w:t>
      </w:r>
      <w:r>
        <w:rPr>
          <w:spacing w:val="-12"/>
        </w:rPr>
        <w:t> </w:t>
      </w:r>
      <w:r>
        <w:rPr/>
        <w:t>the</w:t>
      </w:r>
      <w:r>
        <w:rPr>
          <w:spacing w:val="-12"/>
        </w:rPr>
        <w:t> </w:t>
      </w:r>
      <w:r>
        <w:rPr/>
        <w:t>security</w:t>
      </w:r>
      <w:r>
        <w:rPr>
          <w:spacing w:val="-14"/>
        </w:rPr>
        <w:t> </w:t>
      </w:r>
      <w:r>
        <w:rPr/>
        <w:t>of</w:t>
      </w:r>
      <w:r>
        <w:rPr>
          <w:spacing w:val="-10"/>
        </w:rPr>
        <w:t> </w:t>
      </w:r>
      <w:r>
        <w:rPr/>
        <w:t>the</w:t>
      </w:r>
      <w:r>
        <w:rPr>
          <w:spacing w:val="-13"/>
        </w:rPr>
        <w:t> </w:t>
      </w:r>
      <w:r>
        <w:rPr/>
        <w:t>user’s MPU and CE program code. Security is enabled by MPU code that is executed in a 64 CKMPU cycle pre-boot interval before the primary boot sequence begins. Once security is enabled, the only way to disable it is to perform a global erase of the flash, followed by a chip</w:t>
      </w:r>
      <w:r>
        <w:rPr>
          <w:spacing w:val="-11"/>
        </w:rPr>
        <w:t> </w:t>
      </w:r>
      <w:r>
        <w:rPr/>
        <w:t>reset.</w:t>
      </w:r>
    </w:p>
    <w:p>
      <w:pPr>
        <w:pStyle w:val="BodyText"/>
        <w:spacing w:before="120"/>
        <w:ind w:left="240" w:right="736"/>
      </w:pPr>
      <w:r>
        <w:rPr/>
        <w:t>The first 64 cycles of the MPU boot code are called the pre-boot phase because during this phase the ICE is inhibited. A read-only status bit, </w:t>
      </w:r>
      <w:r>
        <w:rPr>
          <w:rFonts w:ascii="Times New Roman"/>
          <w:i/>
        </w:rPr>
        <w:t>PREBOOT (SFR 0xB2[7])</w:t>
      </w:r>
      <w:r>
        <w:rPr/>
        <w:t>, identifies these cycles to the MPU. Upon completion of pre-boot, the ICE can be enabled and is permitted to take control of the MPU.</w:t>
      </w:r>
    </w:p>
    <w:p>
      <w:pPr>
        <w:pStyle w:val="BodyText"/>
        <w:spacing w:line="242" w:lineRule="auto" w:before="118"/>
        <w:ind w:left="239" w:right="368"/>
      </w:pPr>
      <w:r>
        <w:rPr/>
        <w:t>The security enable bit, </w:t>
      </w:r>
      <w:r>
        <w:rPr>
          <w:rFonts w:ascii="Times New Roman"/>
          <w:i/>
        </w:rPr>
        <w:t>SECURE (SFR 0xB2[6])</w:t>
      </w:r>
      <w:r>
        <w:rPr>
          <w:i/>
        </w:rPr>
        <w:t>, </w:t>
      </w:r>
      <w:r>
        <w:rPr/>
        <w:t>is reset whenever the chip is reset. Hardware associated with the bit </w:t>
      </w:r>
      <w:r>
        <w:rPr>
          <w:spacing w:val="-3"/>
        </w:rPr>
        <w:t>allows </w:t>
      </w:r>
      <w:r>
        <w:rPr/>
        <w:t>only ones to be </w:t>
      </w:r>
      <w:r>
        <w:rPr>
          <w:spacing w:val="-3"/>
        </w:rPr>
        <w:t>written </w:t>
      </w:r>
      <w:r>
        <w:rPr/>
        <w:t>to </w:t>
      </w:r>
      <w:r>
        <w:rPr>
          <w:spacing w:val="-3"/>
        </w:rPr>
        <w:t>it. </w:t>
      </w:r>
      <w:r>
        <w:rPr/>
        <w:t>Thus, pre-boot code may set </w:t>
      </w:r>
      <w:r>
        <w:rPr>
          <w:rFonts w:ascii="Times New Roman"/>
          <w:i/>
        </w:rPr>
        <w:t>SECURE </w:t>
      </w:r>
      <w:r>
        <w:rPr/>
        <w:t>to enable the security feature but may not reset it. Once </w:t>
      </w:r>
      <w:r>
        <w:rPr>
          <w:rFonts w:ascii="Times New Roman"/>
          <w:i/>
        </w:rPr>
        <w:t>SECURE </w:t>
      </w:r>
      <w:r>
        <w:rPr/>
        <w:t>is set, the pre-boot and CE code are protected from erasure, and no external read of program code is possible.</w:t>
      </w:r>
    </w:p>
    <w:p>
      <w:pPr>
        <w:pStyle w:val="BodyText"/>
        <w:spacing w:before="105"/>
        <w:ind w:left="239"/>
      </w:pPr>
      <w:r>
        <w:rPr/>
        <w:t>Specifically, when the </w:t>
      </w:r>
      <w:r>
        <w:rPr>
          <w:rFonts w:ascii="Times New Roman"/>
          <w:i/>
        </w:rPr>
        <w:t>SECURE </w:t>
      </w:r>
      <w:r>
        <w:rPr/>
        <w:t>bit is set, the following applies:</w:t>
      </w:r>
    </w:p>
    <w:p>
      <w:pPr>
        <w:pStyle w:val="ListParagraph"/>
        <w:numPr>
          <w:ilvl w:val="0"/>
          <w:numId w:val="15"/>
        </w:numPr>
        <w:tabs>
          <w:tab w:pos="599" w:val="left" w:leader="none"/>
          <w:tab w:pos="600" w:val="left" w:leader="none"/>
        </w:tabs>
        <w:spacing w:line="240" w:lineRule="auto" w:before="80" w:after="0"/>
        <w:ind w:left="599" w:right="0" w:hanging="361"/>
        <w:jc w:val="left"/>
        <w:rPr>
          <w:sz w:val="20"/>
        </w:rPr>
      </w:pPr>
      <w:r>
        <w:rPr>
          <w:sz w:val="20"/>
        </w:rPr>
        <w:t>The ICE is limited to bulk flash erase</w:t>
      </w:r>
      <w:r>
        <w:rPr>
          <w:spacing w:val="-3"/>
          <w:sz w:val="20"/>
        </w:rPr>
        <w:t> </w:t>
      </w:r>
      <w:r>
        <w:rPr>
          <w:sz w:val="20"/>
        </w:rPr>
        <w:t>only.</w:t>
      </w:r>
    </w:p>
    <w:p>
      <w:pPr>
        <w:pStyle w:val="ListParagraph"/>
        <w:numPr>
          <w:ilvl w:val="0"/>
          <w:numId w:val="15"/>
        </w:numPr>
        <w:tabs>
          <w:tab w:pos="599" w:val="left" w:leader="none"/>
          <w:tab w:pos="600" w:val="left" w:leader="none"/>
        </w:tabs>
        <w:spacing w:line="232" w:lineRule="auto" w:before="40" w:after="0"/>
        <w:ind w:left="599" w:right="1346" w:hanging="360"/>
        <w:jc w:val="left"/>
        <w:rPr>
          <w:sz w:val="20"/>
        </w:rPr>
      </w:pPr>
      <w:r>
        <w:rPr>
          <w:sz w:val="20"/>
        </w:rPr>
        <w:t>Page zero of flash memory, the preferred location for the user’s pre-boot code, may not be page-erased by either MPU or ICE. Page zero may only be erased with global flash</w:t>
      </w:r>
      <w:r>
        <w:rPr>
          <w:spacing w:val="14"/>
          <w:sz w:val="20"/>
        </w:rPr>
        <w:t> </w:t>
      </w:r>
      <w:r>
        <w:rPr>
          <w:sz w:val="20"/>
        </w:rPr>
        <w:t>erase.</w:t>
      </w:r>
    </w:p>
    <w:p>
      <w:pPr>
        <w:pStyle w:val="ListParagraph"/>
        <w:numPr>
          <w:ilvl w:val="0"/>
          <w:numId w:val="15"/>
        </w:numPr>
        <w:tabs>
          <w:tab w:pos="599" w:val="left" w:leader="none"/>
          <w:tab w:pos="600" w:val="left" w:leader="none"/>
        </w:tabs>
        <w:spacing w:line="240" w:lineRule="auto" w:before="37" w:after="0"/>
        <w:ind w:left="599" w:right="0" w:hanging="361"/>
        <w:jc w:val="left"/>
        <w:rPr>
          <w:sz w:val="20"/>
        </w:rPr>
      </w:pPr>
      <w:r>
        <w:rPr>
          <w:sz w:val="20"/>
        </w:rPr>
        <w:t>Write operations to page zero, whether by MPU or ICE are</w:t>
      </w:r>
      <w:r>
        <w:rPr>
          <w:spacing w:val="-4"/>
          <w:sz w:val="20"/>
        </w:rPr>
        <w:t> </w:t>
      </w:r>
      <w:r>
        <w:rPr>
          <w:sz w:val="20"/>
        </w:rPr>
        <w:t>inhibited.</w:t>
      </w:r>
    </w:p>
    <w:p>
      <w:pPr>
        <w:pStyle w:val="BodyText"/>
        <w:spacing w:before="116"/>
        <w:ind w:left="239" w:right="420"/>
      </w:pPr>
      <w:r>
        <w:rPr/>
        <w:t>The </w:t>
      </w:r>
      <w:r>
        <w:rPr>
          <w:spacing w:val="-3"/>
        </w:rPr>
        <w:t>71M6543 also includes hardware </w:t>
      </w:r>
      <w:r>
        <w:rPr/>
        <w:t>to </w:t>
      </w:r>
      <w:r>
        <w:rPr>
          <w:spacing w:val="-3"/>
        </w:rPr>
        <w:t>protect against unintentional Flash write </w:t>
      </w:r>
      <w:r>
        <w:rPr/>
        <w:t>and </w:t>
      </w:r>
      <w:r>
        <w:rPr>
          <w:spacing w:val="-3"/>
        </w:rPr>
        <w:t>erase. </w:t>
      </w:r>
      <w:r>
        <w:rPr/>
        <w:t>To </w:t>
      </w:r>
      <w:r>
        <w:rPr>
          <w:spacing w:val="-3"/>
        </w:rPr>
        <w:t>enable </w:t>
      </w:r>
      <w:r>
        <w:rPr/>
        <w:t>flash </w:t>
      </w:r>
      <w:r>
        <w:rPr>
          <w:spacing w:val="-3"/>
        </w:rPr>
        <w:t>write </w:t>
      </w:r>
      <w:r>
        <w:rPr/>
        <w:t>and erase </w:t>
      </w:r>
      <w:r>
        <w:rPr>
          <w:spacing w:val="-3"/>
        </w:rPr>
        <w:t>operations, </w:t>
      </w:r>
      <w:r>
        <w:rPr/>
        <w:t>a </w:t>
      </w:r>
      <w:r>
        <w:rPr>
          <w:spacing w:val="-3"/>
        </w:rPr>
        <w:t>4-bit hardware </w:t>
      </w:r>
      <w:r>
        <w:rPr/>
        <w:t>key </w:t>
      </w:r>
      <w:r>
        <w:rPr>
          <w:spacing w:val="-3"/>
        </w:rPr>
        <w:t>that </w:t>
      </w:r>
      <w:r>
        <w:rPr/>
        <w:t>must be </w:t>
      </w:r>
      <w:r>
        <w:rPr>
          <w:spacing w:val="-3"/>
        </w:rPr>
        <w:t>written </w:t>
      </w:r>
      <w:r>
        <w:rPr/>
        <w:t>to the </w:t>
      </w:r>
      <w:r>
        <w:rPr>
          <w:rFonts w:ascii="Times New Roman" w:hAnsi="Times New Roman"/>
          <w:i/>
          <w:spacing w:val="-3"/>
        </w:rPr>
        <w:t>FLSH_UNLOCK[3:0] </w:t>
      </w:r>
      <w:r>
        <w:rPr>
          <w:spacing w:val="-3"/>
        </w:rPr>
        <w:t>field. </w:t>
      </w:r>
      <w:r>
        <w:rPr/>
        <w:t>The key is the </w:t>
      </w:r>
      <w:r>
        <w:rPr>
          <w:spacing w:val="-3"/>
        </w:rPr>
        <w:t>binary </w:t>
      </w:r>
      <w:r>
        <w:rPr/>
        <w:t>number </w:t>
      </w:r>
      <w:r>
        <w:rPr>
          <w:spacing w:val="-4"/>
        </w:rPr>
        <w:t>‘0010’. </w:t>
      </w:r>
      <w:r>
        <w:rPr/>
        <w:t>If </w:t>
      </w:r>
      <w:r>
        <w:rPr>
          <w:rFonts w:ascii="Times New Roman" w:hAnsi="Times New Roman"/>
          <w:i/>
          <w:spacing w:val="-4"/>
        </w:rPr>
        <w:t>FLSH_UNLOCK[3:0] </w:t>
      </w:r>
      <w:r>
        <w:rPr>
          <w:spacing w:val="-3"/>
        </w:rPr>
        <w:t>is </w:t>
      </w:r>
      <w:r>
        <w:rPr/>
        <w:t>not </w:t>
      </w:r>
      <w:r>
        <w:rPr>
          <w:spacing w:val="-3"/>
        </w:rPr>
        <w:t>‘0010’, </w:t>
      </w:r>
      <w:r>
        <w:rPr/>
        <w:t>the </w:t>
      </w:r>
      <w:r>
        <w:rPr>
          <w:spacing w:val="-3"/>
        </w:rPr>
        <w:t>Flash </w:t>
      </w:r>
      <w:r>
        <w:rPr/>
        <w:t>erase and </w:t>
      </w:r>
      <w:r>
        <w:rPr>
          <w:spacing w:val="-3"/>
        </w:rPr>
        <w:t>write operation </w:t>
      </w:r>
      <w:r>
        <w:rPr/>
        <w:t>is </w:t>
      </w:r>
      <w:r>
        <w:rPr>
          <w:spacing w:val="-3"/>
        </w:rPr>
        <w:t>inhibited </w:t>
      </w:r>
      <w:r>
        <w:rPr/>
        <w:t>by </w:t>
      </w:r>
      <w:r>
        <w:rPr>
          <w:spacing w:val="-3"/>
        </w:rPr>
        <w:t>hardware. Proper operation </w:t>
      </w:r>
      <w:r>
        <w:rPr/>
        <w:t>of </w:t>
      </w:r>
      <w:r>
        <w:rPr>
          <w:spacing w:val="-3"/>
        </w:rPr>
        <w:t>this security </w:t>
      </w:r>
      <w:r>
        <w:rPr/>
        <w:t>key </w:t>
      </w:r>
      <w:r>
        <w:rPr>
          <w:spacing w:val="-3"/>
        </w:rPr>
        <w:t>requires that there </w:t>
      </w:r>
      <w:r>
        <w:rPr/>
        <w:t>be no </w:t>
      </w:r>
      <w:r>
        <w:rPr>
          <w:spacing w:val="-3"/>
        </w:rPr>
        <w:t>firmware function that writes ‘0010’ </w:t>
      </w:r>
      <w:r>
        <w:rPr/>
        <w:t>to </w:t>
      </w:r>
      <w:r>
        <w:rPr>
          <w:rFonts w:ascii="Times New Roman" w:hAnsi="Times New Roman"/>
          <w:i/>
          <w:spacing w:val="-3"/>
        </w:rPr>
        <w:t>FLSH_UNLOCK[3:0]</w:t>
      </w:r>
      <w:r>
        <w:rPr>
          <w:i/>
          <w:spacing w:val="-3"/>
        </w:rPr>
        <w:t>. </w:t>
      </w:r>
      <w:r>
        <w:rPr/>
        <w:t>The key </w:t>
      </w:r>
      <w:r>
        <w:rPr>
          <w:spacing w:val="-3"/>
        </w:rPr>
        <w:t>should </w:t>
      </w:r>
      <w:r>
        <w:rPr/>
        <w:t>be </w:t>
      </w:r>
      <w:r>
        <w:rPr>
          <w:spacing w:val="-3"/>
        </w:rPr>
        <w:t>written </w:t>
      </w:r>
      <w:r>
        <w:rPr/>
        <w:t>by the </w:t>
      </w:r>
      <w:r>
        <w:rPr>
          <w:spacing w:val="-3"/>
        </w:rPr>
        <w:t>external SPI master, </w:t>
      </w:r>
      <w:r>
        <w:rPr/>
        <w:t>in the </w:t>
      </w:r>
      <w:r>
        <w:rPr>
          <w:spacing w:val="-3"/>
        </w:rPr>
        <w:t>case of SPI </w:t>
      </w:r>
      <w:r>
        <w:rPr/>
        <w:t>flash </w:t>
      </w:r>
      <w:r>
        <w:rPr>
          <w:spacing w:val="-3"/>
        </w:rPr>
        <w:t>programming (SFM </w:t>
      </w:r>
      <w:r>
        <w:rPr/>
        <w:t>mode), </w:t>
      </w:r>
      <w:r>
        <w:rPr>
          <w:spacing w:val="-3"/>
        </w:rPr>
        <w:t>or through </w:t>
      </w:r>
      <w:r>
        <w:rPr/>
        <w:t>the ICE </w:t>
      </w:r>
      <w:r>
        <w:rPr>
          <w:spacing w:val="-3"/>
        </w:rPr>
        <w:t>interface </w:t>
      </w:r>
      <w:r>
        <w:rPr/>
        <w:t>in the </w:t>
      </w:r>
      <w:r>
        <w:rPr>
          <w:spacing w:val="-3"/>
        </w:rPr>
        <w:t>case of </w:t>
      </w:r>
      <w:r>
        <w:rPr/>
        <w:t>ICE flash </w:t>
      </w:r>
      <w:r>
        <w:rPr>
          <w:spacing w:val="-3"/>
        </w:rPr>
        <w:t>programming.</w:t>
      </w:r>
    </w:p>
    <w:p>
      <w:pPr>
        <w:pStyle w:val="BodyText"/>
        <w:spacing w:before="3"/>
        <w:ind w:left="239"/>
      </w:pPr>
      <w:r>
        <w:rPr/>
        <w:t>When a boot loader is used, the key should be sent to the boot load code which then writes it to</w:t>
      </w:r>
    </w:p>
    <w:p>
      <w:pPr>
        <w:spacing w:after="0"/>
        <w:sectPr>
          <w:footerReference w:type="default" r:id="rId112"/>
          <w:footerReference w:type="even" r:id="rId113"/>
          <w:pgSz w:w="12240" w:h="15840"/>
          <w:pgMar w:footer="819" w:header="727" w:top="960" w:bottom="1000" w:left="1200" w:right="1060"/>
          <w:pgNumType w:start="47"/>
        </w:sectPr>
      </w:pPr>
    </w:p>
    <w:p>
      <w:pPr>
        <w:pStyle w:val="BodyText"/>
        <w:spacing w:before="6"/>
        <w:rPr>
          <w:sz w:val="16"/>
        </w:rPr>
      </w:pPr>
    </w:p>
    <w:p>
      <w:pPr>
        <w:pStyle w:val="BodyText"/>
        <w:spacing w:line="242" w:lineRule="auto" w:before="93"/>
        <w:ind w:left="240" w:right="401"/>
      </w:pPr>
      <w:r>
        <w:rPr>
          <w:rFonts w:ascii="Times New Roman"/>
          <w:i/>
          <w:spacing w:val="-3"/>
        </w:rPr>
        <w:t>FLSH_UNLOCK[3:0]. FLSH_UNLOCK[3:0] </w:t>
      </w:r>
      <w:r>
        <w:rPr/>
        <w:t>is not </w:t>
      </w:r>
      <w:r>
        <w:rPr>
          <w:spacing w:val="-3"/>
        </w:rPr>
        <w:t>automatically reset. </w:t>
      </w:r>
      <w:r>
        <w:rPr/>
        <w:t>It </w:t>
      </w:r>
      <w:r>
        <w:rPr>
          <w:spacing w:val="-3"/>
        </w:rPr>
        <w:t>should </w:t>
      </w:r>
      <w:r>
        <w:rPr/>
        <w:t>be </w:t>
      </w:r>
      <w:r>
        <w:rPr>
          <w:spacing w:val="-3"/>
        </w:rPr>
        <w:t>cleared when </w:t>
      </w:r>
      <w:r>
        <w:rPr/>
        <w:t>the SPI </w:t>
      </w:r>
      <w:r>
        <w:rPr>
          <w:spacing w:val="-3"/>
        </w:rPr>
        <w:t>or </w:t>
      </w:r>
      <w:r>
        <w:rPr/>
        <w:t>ICE has </w:t>
      </w:r>
      <w:r>
        <w:rPr>
          <w:spacing w:val="-3"/>
        </w:rPr>
        <w:t>finished changing </w:t>
      </w:r>
      <w:r>
        <w:rPr/>
        <w:t>the </w:t>
      </w:r>
      <w:r>
        <w:rPr>
          <w:spacing w:val="-3"/>
        </w:rPr>
        <w:t>Flash. </w:t>
      </w:r>
      <w:hyperlink w:history="true" w:anchor="_bookmark98">
        <w:r>
          <w:rPr>
            <w:color w:val="0000FF"/>
          </w:rPr>
          <w:t>Table 40 </w:t>
        </w:r>
      </w:hyperlink>
      <w:r>
        <w:rPr>
          <w:spacing w:val="-3"/>
        </w:rPr>
        <w:t>summarizes </w:t>
      </w:r>
      <w:r>
        <w:rPr/>
        <w:t>the I/O </w:t>
      </w:r>
      <w:r>
        <w:rPr>
          <w:spacing w:val="-3"/>
        </w:rPr>
        <w:t>RAM registers used </w:t>
      </w:r>
      <w:r>
        <w:rPr/>
        <w:t>for flash </w:t>
      </w:r>
      <w:r>
        <w:rPr>
          <w:spacing w:val="-4"/>
        </w:rPr>
        <w:t>security.</w:t>
      </w:r>
    </w:p>
    <w:p>
      <w:pPr>
        <w:pStyle w:val="BodyText"/>
        <w:spacing w:before="7"/>
        <w:rPr>
          <w:sz w:val="19"/>
        </w:rPr>
      </w:pPr>
    </w:p>
    <w:p>
      <w:pPr>
        <w:pStyle w:val="Heading1"/>
        <w:ind w:left="66" w:right="204"/>
      </w:pPr>
      <w:bookmarkStart w:name="_bookmark98" w:id="191"/>
      <w:bookmarkEnd w:id="191"/>
      <w:r>
        <w:rPr>
          <w:b w:val="0"/>
        </w:rPr>
      </w:r>
      <w:r>
        <w:rPr/>
        <w:t>Table 40: Flash Security</w:t>
      </w:r>
    </w:p>
    <w:p>
      <w:pPr>
        <w:pStyle w:val="BodyText"/>
        <w:spacing w:before="8"/>
        <w:rPr>
          <w:b/>
          <w:sz w:val="5"/>
        </w:rPr>
      </w:pPr>
    </w:p>
    <w:tbl>
      <w:tblPr>
        <w:tblW w:w="0" w:type="auto"/>
        <w:jc w:val="left"/>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28"/>
        <w:gridCol w:w="1255"/>
        <w:gridCol w:w="689"/>
        <w:gridCol w:w="612"/>
        <w:gridCol w:w="624"/>
        <w:gridCol w:w="4152"/>
      </w:tblGrid>
      <w:tr>
        <w:trPr>
          <w:trHeight w:val="309" w:hRule="atLeast"/>
        </w:trPr>
        <w:tc>
          <w:tcPr>
            <w:tcW w:w="2028" w:type="dxa"/>
          </w:tcPr>
          <w:p>
            <w:pPr>
              <w:pStyle w:val="TableParagraph"/>
              <w:spacing w:before="35"/>
              <w:ind w:left="107"/>
              <w:rPr>
                <w:b/>
                <w:sz w:val="20"/>
              </w:rPr>
            </w:pPr>
            <w:r>
              <w:rPr>
                <w:b/>
                <w:sz w:val="20"/>
              </w:rPr>
              <w:t>Name</w:t>
            </w:r>
          </w:p>
        </w:tc>
        <w:tc>
          <w:tcPr>
            <w:tcW w:w="1255" w:type="dxa"/>
          </w:tcPr>
          <w:p>
            <w:pPr>
              <w:pStyle w:val="TableParagraph"/>
              <w:spacing w:before="35"/>
              <w:ind w:left="211"/>
              <w:rPr>
                <w:b/>
                <w:sz w:val="20"/>
              </w:rPr>
            </w:pPr>
            <w:r>
              <w:rPr>
                <w:b/>
                <w:sz w:val="20"/>
              </w:rPr>
              <w:t>Location</w:t>
            </w:r>
          </w:p>
        </w:tc>
        <w:tc>
          <w:tcPr>
            <w:tcW w:w="689" w:type="dxa"/>
          </w:tcPr>
          <w:p>
            <w:pPr>
              <w:pStyle w:val="TableParagraph"/>
              <w:spacing w:before="35"/>
              <w:ind w:left="161" w:right="155"/>
              <w:jc w:val="center"/>
              <w:rPr>
                <w:b/>
                <w:sz w:val="20"/>
              </w:rPr>
            </w:pPr>
            <w:r>
              <w:rPr>
                <w:b/>
                <w:sz w:val="20"/>
              </w:rPr>
              <w:t>Rst</w:t>
            </w:r>
          </w:p>
        </w:tc>
        <w:tc>
          <w:tcPr>
            <w:tcW w:w="612" w:type="dxa"/>
          </w:tcPr>
          <w:p>
            <w:pPr>
              <w:pStyle w:val="TableParagraph"/>
              <w:spacing w:before="35"/>
              <w:ind w:left="134" w:right="128"/>
              <w:jc w:val="center"/>
              <w:rPr>
                <w:b/>
                <w:sz w:val="20"/>
              </w:rPr>
            </w:pPr>
            <w:r>
              <w:rPr>
                <w:b/>
                <w:sz w:val="20"/>
              </w:rPr>
              <w:t>Wk</w:t>
            </w:r>
          </w:p>
        </w:tc>
        <w:tc>
          <w:tcPr>
            <w:tcW w:w="624" w:type="dxa"/>
          </w:tcPr>
          <w:p>
            <w:pPr>
              <w:pStyle w:val="TableParagraph"/>
              <w:spacing w:before="35"/>
              <w:ind w:left="92" w:right="85"/>
              <w:jc w:val="center"/>
              <w:rPr>
                <w:b/>
                <w:sz w:val="20"/>
              </w:rPr>
            </w:pPr>
            <w:r>
              <w:rPr>
                <w:b/>
                <w:sz w:val="20"/>
              </w:rPr>
              <w:t>Dir</w:t>
            </w:r>
          </w:p>
        </w:tc>
        <w:tc>
          <w:tcPr>
            <w:tcW w:w="4152" w:type="dxa"/>
          </w:tcPr>
          <w:p>
            <w:pPr>
              <w:pStyle w:val="TableParagraph"/>
              <w:spacing w:before="32"/>
              <w:ind w:left="107"/>
              <w:rPr>
                <w:b/>
                <w:sz w:val="18"/>
              </w:rPr>
            </w:pPr>
            <w:r>
              <w:rPr>
                <w:b/>
                <w:sz w:val="18"/>
              </w:rPr>
              <w:t>Description</w:t>
            </w:r>
          </w:p>
        </w:tc>
      </w:tr>
      <w:tr>
        <w:trPr>
          <w:trHeight w:val="729" w:hRule="atLeast"/>
        </w:trPr>
        <w:tc>
          <w:tcPr>
            <w:tcW w:w="2028" w:type="dxa"/>
          </w:tcPr>
          <w:p>
            <w:pPr>
              <w:pStyle w:val="TableParagraph"/>
              <w:spacing w:before="14"/>
              <w:ind w:left="107"/>
              <w:rPr>
                <w:rFonts w:ascii="Times New Roman"/>
                <w:i/>
                <w:sz w:val="20"/>
              </w:rPr>
            </w:pPr>
            <w:r>
              <w:rPr>
                <w:rFonts w:ascii="Times New Roman"/>
                <w:i/>
                <w:sz w:val="20"/>
              </w:rPr>
              <w:t>FLSH_UNLOCK[3:0]</w:t>
            </w:r>
          </w:p>
        </w:tc>
        <w:tc>
          <w:tcPr>
            <w:tcW w:w="1255" w:type="dxa"/>
          </w:tcPr>
          <w:p>
            <w:pPr>
              <w:pStyle w:val="TableParagraph"/>
              <w:spacing w:before="18"/>
              <w:ind w:left="208"/>
              <w:rPr>
                <w:sz w:val="20"/>
              </w:rPr>
            </w:pPr>
            <w:r>
              <w:rPr>
                <w:sz w:val="20"/>
              </w:rPr>
              <w:t>2702[7:4]</w:t>
            </w:r>
          </w:p>
        </w:tc>
        <w:tc>
          <w:tcPr>
            <w:tcW w:w="689" w:type="dxa"/>
          </w:tcPr>
          <w:p>
            <w:pPr>
              <w:pStyle w:val="TableParagraph"/>
              <w:spacing w:before="18"/>
              <w:ind w:left="7"/>
              <w:jc w:val="center"/>
              <w:rPr>
                <w:sz w:val="20"/>
              </w:rPr>
            </w:pPr>
            <w:r>
              <w:rPr>
                <w:w w:val="99"/>
                <w:sz w:val="20"/>
              </w:rPr>
              <w:t>0</w:t>
            </w:r>
          </w:p>
        </w:tc>
        <w:tc>
          <w:tcPr>
            <w:tcW w:w="612" w:type="dxa"/>
          </w:tcPr>
          <w:p>
            <w:pPr>
              <w:pStyle w:val="TableParagraph"/>
              <w:spacing w:before="18"/>
              <w:ind w:left="7"/>
              <w:jc w:val="center"/>
              <w:rPr>
                <w:sz w:val="20"/>
              </w:rPr>
            </w:pPr>
            <w:r>
              <w:rPr>
                <w:w w:val="99"/>
                <w:sz w:val="20"/>
              </w:rPr>
              <w:t>0</w:t>
            </w:r>
          </w:p>
        </w:tc>
        <w:tc>
          <w:tcPr>
            <w:tcW w:w="624" w:type="dxa"/>
          </w:tcPr>
          <w:p>
            <w:pPr>
              <w:pStyle w:val="TableParagraph"/>
              <w:spacing w:before="18"/>
              <w:ind w:left="92" w:right="93"/>
              <w:jc w:val="center"/>
              <w:rPr>
                <w:sz w:val="20"/>
              </w:rPr>
            </w:pPr>
            <w:r>
              <w:rPr>
                <w:sz w:val="20"/>
              </w:rPr>
              <w:t>R/W</w:t>
            </w:r>
          </w:p>
        </w:tc>
        <w:tc>
          <w:tcPr>
            <w:tcW w:w="4152" w:type="dxa"/>
          </w:tcPr>
          <w:p>
            <w:pPr>
              <w:pStyle w:val="TableParagraph"/>
              <w:spacing w:before="18"/>
              <w:ind w:left="107" w:right="117"/>
              <w:rPr>
                <w:sz w:val="20"/>
              </w:rPr>
            </w:pPr>
            <w:r>
              <w:rPr>
                <w:sz w:val="20"/>
              </w:rPr>
              <w:t>Must be a 2 to </w:t>
            </w:r>
            <w:r>
              <w:rPr>
                <w:spacing w:val="-3"/>
                <w:sz w:val="20"/>
              </w:rPr>
              <w:t>enable </w:t>
            </w:r>
            <w:r>
              <w:rPr>
                <w:sz w:val="20"/>
              </w:rPr>
              <w:t>any flash </w:t>
            </w:r>
            <w:r>
              <w:rPr>
                <w:spacing w:val="-3"/>
                <w:sz w:val="20"/>
              </w:rPr>
              <w:t>modification. </w:t>
            </w:r>
            <w:r>
              <w:rPr>
                <w:sz w:val="20"/>
              </w:rPr>
              <w:t>See the description of Flash security for more details.</w:t>
            </w:r>
          </w:p>
        </w:tc>
      </w:tr>
      <w:tr>
        <w:trPr>
          <w:trHeight w:val="1422" w:hRule="atLeast"/>
        </w:trPr>
        <w:tc>
          <w:tcPr>
            <w:tcW w:w="2028" w:type="dxa"/>
          </w:tcPr>
          <w:p>
            <w:pPr>
              <w:pStyle w:val="TableParagraph"/>
              <w:spacing w:before="14"/>
              <w:ind w:left="107"/>
              <w:rPr>
                <w:rFonts w:ascii="Times New Roman"/>
                <w:i/>
                <w:sz w:val="20"/>
              </w:rPr>
            </w:pPr>
            <w:r>
              <w:rPr>
                <w:rFonts w:ascii="Times New Roman"/>
                <w:i/>
                <w:sz w:val="20"/>
              </w:rPr>
              <w:t>SECURE</w:t>
            </w:r>
          </w:p>
        </w:tc>
        <w:tc>
          <w:tcPr>
            <w:tcW w:w="1255" w:type="dxa"/>
          </w:tcPr>
          <w:p>
            <w:pPr>
              <w:pStyle w:val="TableParagraph"/>
              <w:spacing w:before="18"/>
              <w:ind w:left="165"/>
              <w:rPr>
                <w:sz w:val="20"/>
              </w:rPr>
            </w:pPr>
            <w:r>
              <w:rPr>
                <w:sz w:val="20"/>
              </w:rPr>
              <w:t>SFR B2[6]</w:t>
            </w:r>
          </w:p>
        </w:tc>
        <w:tc>
          <w:tcPr>
            <w:tcW w:w="689" w:type="dxa"/>
          </w:tcPr>
          <w:p>
            <w:pPr>
              <w:pStyle w:val="TableParagraph"/>
              <w:spacing w:before="18"/>
              <w:ind w:left="7"/>
              <w:jc w:val="center"/>
              <w:rPr>
                <w:sz w:val="20"/>
              </w:rPr>
            </w:pPr>
            <w:r>
              <w:rPr>
                <w:w w:val="99"/>
                <w:sz w:val="20"/>
              </w:rPr>
              <w:t>0</w:t>
            </w:r>
          </w:p>
        </w:tc>
        <w:tc>
          <w:tcPr>
            <w:tcW w:w="612" w:type="dxa"/>
          </w:tcPr>
          <w:p>
            <w:pPr>
              <w:pStyle w:val="TableParagraph"/>
              <w:spacing w:before="18"/>
              <w:ind w:left="7"/>
              <w:jc w:val="center"/>
              <w:rPr>
                <w:sz w:val="20"/>
              </w:rPr>
            </w:pPr>
            <w:r>
              <w:rPr>
                <w:w w:val="99"/>
                <w:sz w:val="20"/>
              </w:rPr>
              <w:t>0</w:t>
            </w:r>
          </w:p>
        </w:tc>
        <w:tc>
          <w:tcPr>
            <w:tcW w:w="624" w:type="dxa"/>
          </w:tcPr>
          <w:p>
            <w:pPr>
              <w:pStyle w:val="TableParagraph"/>
              <w:spacing w:before="18"/>
              <w:ind w:left="92" w:right="93"/>
              <w:jc w:val="center"/>
              <w:rPr>
                <w:sz w:val="20"/>
              </w:rPr>
            </w:pPr>
            <w:r>
              <w:rPr>
                <w:sz w:val="20"/>
              </w:rPr>
              <w:t>R/W</w:t>
            </w:r>
          </w:p>
        </w:tc>
        <w:tc>
          <w:tcPr>
            <w:tcW w:w="4152" w:type="dxa"/>
          </w:tcPr>
          <w:p>
            <w:pPr>
              <w:pStyle w:val="TableParagraph"/>
              <w:spacing w:before="18"/>
              <w:ind w:left="107" w:right="18"/>
              <w:rPr>
                <w:i/>
                <w:sz w:val="20"/>
              </w:rPr>
            </w:pPr>
            <w:r>
              <w:rPr>
                <w:spacing w:val="-4"/>
                <w:sz w:val="20"/>
              </w:rPr>
              <w:t>Inhibits erasure </w:t>
            </w:r>
            <w:r>
              <w:rPr>
                <w:spacing w:val="-3"/>
                <w:sz w:val="20"/>
              </w:rPr>
              <w:t>of page </w:t>
            </w:r>
            <w:r>
              <w:rPr>
                <w:sz w:val="20"/>
              </w:rPr>
              <w:t>0 and </w:t>
            </w:r>
            <w:r>
              <w:rPr>
                <w:spacing w:val="-3"/>
                <w:sz w:val="20"/>
              </w:rPr>
              <w:t>flash </w:t>
            </w:r>
            <w:r>
              <w:rPr>
                <w:spacing w:val="-5"/>
                <w:sz w:val="20"/>
              </w:rPr>
              <w:t>addresses </w:t>
            </w:r>
            <w:r>
              <w:rPr>
                <w:sz w:val="20"/>
              </w:rPr>
              <w:t>above the beginning of CE code as defined by </w:t>
            </w:r>
            <w:r>
              <w:rPr>
                <w:rFonts w:ascii="Times New Roman"/>
                <w:i/>
                <w:sz w:val="20"/>
              </w:rPr>
              <w:t>CE_LCTN[6/5:0]</w:t>
            </w:r>
            <w:r>
              <w:rPr>
                <w:i/>
                <w:sz w:val="20"/>
              </w:rPr>
              <w:t>(I/O </w:t>
            </w:r>
            <w:r>
              <w:rPr>
                <w:i/>
                <w:spacing w:val="-3"/>
                <w:sz w:val="20"/>
              </w:rPr>
              <w:t>RAM 0x2109[5:0]) </w:t>
            </w:r>
            <w:r>
              <w:rPr>
                <w:spacing w:val="-3"/>
                <w:sz w:val="20"/>
              </w:rPr>
              <w:t>on </w:t>
            </w:r>
            <w:r>
              <w:rPr>
                <w:sz w:val="20"/>
              </w:rPr>
              <w:t>the </w:t>
            </w:r>
            <w:r>
              <w:rPr>
                <w:spacing w:val="-3"/>
                <w:sz w:val="20"/>
              </w:rPr>
              <w:t>71M6543F </w:t>
            </w:r>
            <w:r>
              <w:rPr>
                <w:sz w:val="20"/>
              </w:rPr>
              <w:t>and </w:t>
            </w:r>
            <w:r>
              <w:rPr>
                <w:rFonts w:ascii="Times New Roman"/>
                <w:i/>
                <w:sz w:val="20"/>
              </w:rPr>
              <w:t>CE_LCTN[6:0] </w:t>
            </w:r>
            <w:r>
              <w:rPr>
                <w:i/>
                <w:sz w:val="20"/>
              </w:rPr>
              <w:t>I/O </w:t>
            </w:r>
            <w:r>
              <w:rPr>
                <w:i/>
                <w:spacing w:val="-3"/>
                <w:sz w:val="20"/>
              </w:rPr>
              <w:t>RAM</w:t>
            </w:r>
          </w:p>
          <w:p>
            <w:pPr>
              <w:pStyle w:val="TableParagraph"/>
              <w:spacing w:line="228" w:lineRule="exact"/>
              <w:ind w:left="107"/>
              <w:rPr>
                <w:sz w:val="20"/>
              </w:rPr>
            </w:pPr>
            <w:r>
              <w:rPr>
                <w:i/>
                <w:sz w:val="20"/>
              </w:rPr>
              <w:t>0x2109[6:0]) </w:t>
            </w:r>
            <w:r>
              <w:rPr>
                <w:sz w:val="20"/>
              </w:rPr>
              <w:t>on the 71M6543G</w:t>
            </w:r>
            <w:r>
              <w:rPr>
                <w:i/>
                <w:sz w:val="20"/>
              </w:rPr>
              <w:t>. </w:t>
            </w:r>
            <w:r>
              <w:rPr>
                <w:sz w:val="20"/>
              </w:rPr>
              <w:t>Also inhibits</w:t>
            </w:r>
          </w:p>
          <w:p>
            <w:pPr>
              <w:pStyle w:val="TableParagraph"/>
              <w:spacing w:before="5"/>
              <w:ind w:left="107"/>
              <w:rPr>
                <w:sz w:val="20"/>
              </w:rPr>
            </w:pPr>
            <w:r>
              <w:rPr>
                <w:sz w:val="20"/>
              </w:rPr>
              <w:t>the read of flash via the ICE and SPI ports.</w:t>
            </w:r>
          </w:p>
        </w:tc>
      </w:tr>
    </w:tbl>
    <w:p>
      <w:pPr>
        <w:pStyle w:val="BodyText"/>
        <w:spacing w:before="3"/>
        <w:rPr>
          <w:b/>
          <w:sz w:val="26"/>
        </w:rPr>
      </w:pPr>
    </w:p>
    <w:p>
      <w:pPr>
        <w:pStyle w:val="BodyText"/>
        <w:ind w:left="240"/>
      </w:pPr>
      <w:r>
        <w:rPr>
          <w:u w:val="single"/>
        </w:rPr>
        <w:t>SPI Flash Mode</w:t>
      </w:r>
    </w:p>
    <w:p>
      <w:pPr>
        <w:pStyle w:val="BodyText"/>
        <w:spacing w:line="235" w:lineRule="auto" w:before="119"/>
        <w:ind w:left="240" w:right="538"/>
      </w:pPr>
      <w:r>
        <w:rPr/>
        <w:t>In normal operation, the SPI slave interface cannot read or write the flash memory. However, the 71M6543 contains a Special Flash Mode (SFM) that facilitates initial (production) programming of the flash memory. </w:t>
      </w:r>
      <w:r>
        <w:rPr>
          <w:spacing w:val="2"/>
        </w:rPr>
        <w:t>When </w:t>
      </w:r>
      <w:r>
        <w:rPr/>
        <w:t>the 71M6543 is in SFM mode, the SPI interface can erase, read, and write the flash. Other memory elements such as XRAM and I/O RAM are not accessible to the SPI in this mode. In</w:t>
      </w:r>
      <w:r>
        <w:rPr>
          <w:spacing w:val="-14"/>
        </w:rPr>
        <w:t> </w:t>
      </w:r>
      <w:r>
        <w:rPr/>
        <w:t>order</w:t>
      </w:r>
      <w:r>
        <w:rPr>
          <w:spacing w:val="-14"/>
        </w:rPr>
        <w:t> </w:t>
      </w:r>
      <w:r>
        <w:rPr/>
        <w:t>to</w:t>
      </w:r>
      <w:r>
        <w:rPr>
          <w:spacing w:val="-14"/>
        </w:rPr>
        <w:t> </w:t>
      </w:r>
      <w:r>
        <w:rPr/>
        <w:t>protect</w:t>
      </w:r>
      <w:r>
        <w:rPr>
          <w:spacing w:val="-13"/>
        </w:rPr>
        <w:t> </w:t>
      </w:r>
      <w:r>
        <w:rPr/>
        <w:t>the</w:t>
      </w:r>
      <w:r>
        <w:rPr>
          <w:spacing w:val="-15"/>
        </w:rPr>
        <w:t> </w:t>
      </w:r>
      <w:r>
        <w:rPr/>
        <w:t>flash</w:t>
      </w:r>
      <w:r>
        <w:rPr>
          <w:spacing w:val="-13"/>
        </w:rPr>
        <w:t> </w:t>
      </w:r>
      <w:r>
        <w:rPr/>
        <w:t>contents,</w:t>
      </w:r>
      <w:r>
        <w:rPr>
          <w:spacing w:val="-14"/>
        </w:rPr>
        <w:t> </w:t>
      </w:r>
      <w:r>
        <w:rPr/>
        <w:t>several</w:t>
      </w:r>
      <w:r>
        <w:rPr>
          <w:spacing w:val="-13"/>
        </w:rPr>
        <w:t> </w:t>
      </w:r>
      <w:r>
        <w:rPr>
          <w:spacing w:val="-3"/>
        </w:rPr>
        <w:t>operations</w:t>
      </w:r>
      <w:r>
        <w:rPr>
          <w:spacing w:val="-12"/>
        </w:rPr>
        <w:t> </w:t>
      </w:r>
      <w:r>
        <w:rPr/>
        <w:t>are</w:t>
      </w:r>
      <w:r>
        <w:rPr>
          <w:spacing w:val="-14"/>
        </w:rPr>
        <w:t> </w:t>
      </w:r>
      <w:r>
        <w:rPr/>
        <w:t>required</w:t>
      </w:r>
      <w:r>
        <w:rPr>
          <w:spacing w:val="-13"/>
        </w:rPr>
        <w:t> </w:t>
      </w:r>
      <w:r>
        <w:rPr/>
        <w:t>before</w:t>
      </w:r>
      <w:r>
        <w:rPr>
          <w:spacing w:val="-14"/>
        </w:rPr>
        <w:t> </w:t>
      </w:r>
      <w:r>
        <w:rPr/>
        <w:t>the</w:t>
      </w:r>
      <w:r>
        <w:rPr>
          <w:spacing w:val="-13"/>
        </w:rPr>
        <w:t> </w:t>
      </w:r>
      <w:r>
        <w:rPr/>
        <w:t>SFM</w:t>
      </w:r>
      <w:r>
        <w:rPr>
          <w:spacing w:val="-15"/>
        </w:rPr>
        <w:t> </w:t>
      </w:r>
      <w:r>
        <w:rPr/>
        <w:t>mode</w:t>
      </w:r>
      <w:r>
        <w:rPr>
          <w:spacing w:val="-14"/>
        </w:rPr>
        <w:t> </w:t>
      </w:r>
      <w:r>
        <w:rPr/>
        <w:t>is</w:t>
      </w:r>
      <w:r>
        <w:rPr>
          <w:spacing w:val="-13"/>
        </w:rPr>
        <w:t> </w:t>
      </w:r>
      <w:r>
        <w:rPr/>
        <w:t>successfully invoked.</w:t>
      </w:r>
    </w:p>
    <w:p>
      <w:pPr>
        <w:pStyle w:val="BodyText"/>
        <w:spacing w:line="235" w:lineRule="auto" w:before="117"/>
        <w:ind w:left="240" w:right="401"/>
      </w:pPr>
      <w:r>
        <w:rPr/>
        <w:t>When the 71M6543G is operating SFM, SPI single-byte transactions are used to write to </w:t>
      </w:r>
      <w:r>
        <w:rPr>
          <w:rFonts w:ascii="Times New Roman"/>
          <w:i/>
        </w:rPr>
        <w:t>FL_BANK[1:0] </w:t>
      </w:r>
      <w:r>
        <w:rPr>
          <w:rFonts w:ascii="Times New Roman"/>
          <w:i/>
        </w:rPr>
        <w:t>(SFR 0xB6[1:0])</w:t>
      </w:r>
      <w:r>
        <w:rPr/>
        <w:t>. During an SPI single-byte transaction, SPI_CMD[1:0] will over-write the contents of </w:t>
      </w:r>
      <w:r>
        <w:rPr>
          <w:rFonts w:ascii="Times New Roman"/>
          <w:i/>
        </w:rPr>
        <w:t>FL_BANK[1:0] (SFR 0xB6[1:0])</w:t>
      </w:r>
      <w:r>
        <w:rPr/>
        <w:t>. This will allow for access of the entire 128 KB flash memory while operating in SFM.</w:t>
      </w:r>
    </w:p>
    <w:p>
      <w:pPr>
        <w:pStyle w:val="BodyText"/>
        <w:spacing w:line="235" w:lineRule="auto" w:before="121"/>
        <w:ind w:left="240" w:right="401"/>
      </w:pPr>
      <w:r>
        <w:rPr/>
        <w:t>If the SPI port is used for code updates (in lieu of a programmer that uses the ICE port), then a code that disables the flash access via SPI can potentially lock out flash program updates.</w:t>
      </w:r>
    </w:p>
    <w:p>
      <w:pPr>
        <w:pStyle w:val="BodyText"/>
        <w:spacing w:before="117"/>
        <w:ind w:left="240"/>
      </w:pPr>
      <w:r>
        <w:rPr/>
        <w:t>Details on the SFM can be found in </w:t>
      </w:r>
      <w:hyperlink w:history="true" w:anchor="_bookmark138">
        <w:r>
          <w:rPr>
            <w:color w:val="0000FF"/>
          </w:rPr>
          <w:t>2.5.12 </w:t>
        </w:r>
      </w:hyperlink>
      <w:hyperlink w:history="true" w:anchor="_bookmark138">
        <w:r>
          <w:rPr>
            <w:color w:val="0000FF"/>
          </w:rPr>
          <w:t>SPI Slave Port</w:t>
        </w:r>
        <w:r>
          <w:rPr/>
          <w:t>.</w:t>
        </w:r>
      </w:hyperlink>
    </w:p>
    <w:p>
      <w:pPr>
        <w:pStyle w:val="ListParagraph"/>
        <w:numPr>
          <w:ilvl w:val="3"/>
          <w:numId w:val="7"/>
        </w:numPr>
        <w:tabs>
          <w:tab w:pos="961" w:val="left" w:leader="none"/>
        </w:tabs>
        <w:spacing w:line="240" w:lineRule="auto" w:before="120" w:after="0"/>
        <w:ind w:left="960" w:right="0" w:hanging="721"/>
        <w:jc w:val="left"/>
        <w:rPr>
          <w:b/>
          <w:sz w:val="20"/>
        </w:rPr>
      </w:pPr>
      <w:bookmarkStart w:name="2.5.1.2 MPU/CE RAM" w:id="192"/>
      <w:bookmarkEnd w:id="192"/>
      <w:r>
        <w:rPr/>
      </w:r>
      <w:bookmarkStart w:name="2.5.1.2 MPU/CE RAM" w:id="193"/>
      <w:bookmarkEnd w:id="193"/>
      <w:r>
        <w:rPr>
          <w:b/>
          <w:sz w:val="20"/>
        </w:rPr>
        <w:t>M</w:t>
      </w:r>
      <w:r>
        <w:rPr>
          <w:b/>
          <w:sz w:val="20"/>
        </w:rPr>
        <w:t>PU/CE</w:t>
      </w:r>
      <w:r>
        <w:rPr>
          <w:b/>
          <w:spacing w:val="-3"/>
          <w:sz w:val="20"/>
        </w:rPr>
        <w:t> </w:t>
      </w:r>
      <w:r>
        <w:rPr>
          <w:b/>
          <w:sz w:val="20"/>
        </w:rPr>
        <w:t>RAM</w:t>
      </w:r>
    </w:p>
    <w:p>
      <w:pPr>
        <w:pStyle w:val="BodyText"/>
        <w:spacing w:before="80"/>
        <w:ind w:left="240" w:right="382"/>
      </w:pPr>
      <w:r>
        <w:rPr/>
        <w:t>The 71M6543 includes 5 KB of static RAM memory on-chip (XRAM) plus 256 bytes of internal RAM in the MPU core. The 5KB of static RAM are used for data storage by both MPU and CE and for the communication between MPU and CE.</w:t>
      </w:r>
    </w:p>
    <w:p>
      <w:pPr>
        <w:pStyle w:val="ListParagraph"/>
        <w:numPr>
          <w:ilvl w:val="3"/>
          <w:numId w:val="7"/>
        </w:numPr>
        <w:tabs>
          <w:tab w:pos="961" w:val="left" w:leader="none"/>
        </w:tabs>
        <w:spacing w:line="240" w:lineRule="auto" w:before="119" w:after="0"/>
        <w:ind w:left="960" w:right="0" w:hanging="721"/>
        <w:jc w:val="left"/>
        <w:rPr>
          <w:b/>
          <w:sz w:val="20"/>
        </w:rPr>
      </w:pPr>
      <w:bookmarkStart w:name="2.5.1.3 I/O RAM (Configuration RAM)" w:id="194"/>
      <w:bookmarkEnd w:id="194"/>
      <w:r>
        <w:rPr/>
      </w:r>
      <w:bookmarkStart w:name="2.5.1.3 I/O RAM (Configuration RAM)" w:id="195"/>
      <w:bookmarkEnd w:id="195"/>
      <w:r>
        <w:rPr>
          <w:b/>
          <w:sz w:val="20"/>
        </w:rPr>
        <w:t>I</w:t>
      </w:r>
      <w:r>
        <w:rPr>
          <w:b/>
          <w:sz w:val="20"/>
        </w:rPr>
        <w:t>/O RAM (Configuration</w:t>
      </w:r>
      <w:r>
        <w:rPr>
          <w:b/>
          <w:spacing w:val="3"/>
          <w:sz w:val="20"/>
        </w:rPr>
        <w:t> </w:t>
      </w:r>
      <w:r>
        <w:rPr>
          <w:b/>
          <w:sz w:val="20"/>
        </w:rPr>
        <w:t>RAM)</w:t>
      </w:r>
    </w:p>
    <w:p>
      <w:pPr>
        <w:pStyle w:val="BodyText"/>
        <w:spacing w:before="82"/>
        <w:ind w:left="240" w:right="401"/>
      </w:pPr>
      <w:r>
        <w:rPr/>
        <w:t>The I/O RAM can be seen as a series of hardware registers that control basic hardware functions. I/O RAM address space starts at 0x2000. The registers of the I/O RAM are listed in </w:t>
      </w:r>
      <w:hyperlink w:history="true" w:anchor="_bookmark209">
        <w:r>
          <w:rPr>
            <w:color w:val="0000FF"/>
          </w:rPr>
          <w:t>Table 68</w:t>
        </w:r>
        <w:r>
          <w:rPr/>
          <w:t>.</w:t>
        </w:r>
      </w:hyperlink>
    </w:p>
    <w:p>
      <w:pPr>
        <w:pStyle w:val="BodyText"/>
        <w:spacing w:before="118"/>
        <w:ind w:left="239" w:right="401"/>
      </w:pPr>
      <w:r>
        <w:rPr/>
        <w:t>The 71M6543 includes 128 bytes non-volatile RAM memory on-chip in the I/O RAM address space (addresses 0x2800 to 0x287F). This memory section is supported by the voltage applied at VBAT_RTC, and the data in it are preserved in BRN, LCD, and SLP modes as long as the voltage at VBAT_RTC is within specification.</w:t>
      </w:r>
    </w:p>
    <w:p>
      <w:pPr>
        <w:pStyle w:val="ListParagraph"/>
        <w:numPr>
          <w:ilvl w:val="2"/>
          <w:numId w:val="7"/>
        </w:numPr>
        <w:tabs>
          <w:tab w:pos="959" w:val="left" w:leader="none"/>
          <w:tab w:pos="960" w:val="left" w:leader="none"/>
        </w:tabs>
        <w:spacing w:line="240" w:lineRule="auto" w:before="119" w:after="0"/>
        <w:ind w:left="959" w:right="0" w:hanging="720"/>
        <w:jc w:val="left"/>
        <w:rPr>
          <w:b/>
          <w:sz w:val="22"/>
        </w:rPr>
      </w:pPr>
      <w:bookmarkStart w:name="2.5.2 Oscillator" w:id="196"/>
      <w:bookmarkEnd w:id="196"/>
      <w:r>
        <w:rPr/>
      </w:r>
      <w:bookmarkStart w:name="_bookmark99" w:id="197"/>
      <w:bookmarkEnd w:id="197"/>
      <w:r>
        <w:rPr/>
      </w:r>
      <w:bookmarkStart w:name="_bookmark99" w:id="198"/>
      <w:bookmarkEnd w:id="198"/>
      <w:r>
        <w:rPr>
          <w:b/>
          <w:sz w:val="22"/>
        </w:rPr>
        <w:t>O</w:t>
      </w:r>
      <w:r>
        <w:rPr>
          <w:b/>
          <w:sz w:val="22"/>
        </w:rPr>
        <w:t>scillator</w:t>
      </w:r>
    </w:p>
    <w:p>
      <w:pPr>
        <w:pStyle w:val="BodyText"/>
        <w:spacing w:before="121"/>
        <w:ind w:left="240" w:right="401" w:hanging="1"/>
      </w:pPr>
      <w:r>
        <w:rPr/>
        <w:t>The 71M6543 oscillator drives a standard 32.768 kHz watch crystal. This type of crystal is accurate and does not require a high-current oscillator circuit. The oscillator has been designed specifically to handle watch crystals and is compatible with their high impedance and limited power handling capability. The oscillator power dissipation is very low to maximize the lifetime of any battery attached to VBAT_RTC.</w:t>
      </w:r>
    </w:p>
    <w:p>
      <w:pPr>
        <w:pStyle w:val="BodyText"/>
        <w:spacing w:before="120"/>
        <w:ind w:left="240" w:right="401"/>
      </w:pPr>
      <w:r>
        <w:rPr/>
        <w:t>Oscillator calibration can improve the accuracy of both the RTC and metering. Refer to </w:t>
      </w:r>
      <w:hyperlink w:history="true" w:anchor="_bookmark102">
        <w:r>
          <w:rPr>
            <w:color w:val="0000FF"/>
          </w:rPr>
          <w:t>2.5.4, </w:t>
        </w:r>
      </w:hyperlink>
      <w:hyperlink w:history="true" w:anchor="_bookmark102">
        <w:r>
          <w:rPr>
            <w:color w:val="0000FF"/>
          </w:rPr>
          <w:t>Real-Time</w:t>
        </w:r>
      </w:hyperlink>
      <w:r>
        <w:rPr>
          <w:color w:val="0000FF"/>
        </w:rPr>
        <w:t> </w:t>
      </w:r>
      <w:hyperlink w:history="true" w:anchor="_bookmark102">
        <w:r>
          <w:rPr>
            <w:color w:val="0000FF"/>
          </w:rPr>
          <w:t>Clock (RTC) </w:t>
        </w:r>
      </w:hyperlink>
      <w:r>
        <w:rPr/>
        <w:t>for more information.</w:t>
      </w:r>
    </w:p>
    <w:p>
      <w:pPr>
        <w:pStyle w:val="BodyText"/>
        <w:spacing w:before="118"/>
        <w:ind w:left="239" w:right="610"/>
        <w:jc w:val="both"/>
      </w:pPr>
      <w:r>
        <w:rPr/>
        <w:t>The oscillator is powered from the V3P3SYS pin or from the VBAT_RTC pin, depending on the </w:t>
      </w:r>
      <w:r>
        <w:rPr>
          <w:rFonts w:ascii="Times New Roman" w:hAnsi="Times New Roman"/>
          <w:i/>
        </w:rPr>
        <w:t>V3OK </w:t>
      </w:r>
      <w:r>
        <w:rPr/>
        <w:t>internal bit (i.e., </w:t>
      </w:r>
      <w:r>
        <w:rPr>
          <w:rFonts w:ascii="Times New Roman" w:hAnsi="Times New Roman"/>
          <w:i/>
        </w:rPr>
        <w:t>V3OK </w:t>
      </w:r>
      <w:r>
        <w:rPr/>
        <w:t>= 1 if V3P3SYS ≥ 2.8 VDC and </w:t>
      </w:r>
      <w:r>
        <w:rPr>
          <w:rFonts w:ascii="Times New Roman" w:hAnsi="Times New Roman"/>
          <w:i/>
        </w:rPr>
        <w:t>V3OK </w:t>
      </w:r>
      <w:r>
        <w:rPr/>
        <w:t>= 0 if V3P3SYS &lt; 2.8 VDC). The oscillator requires approximately 100 nA, which is negligible compared to the internal leakage of a battery.</w:t>
      </w:r>
    </w:p>
    <w:p>
      <w:pPr>
        <w:spacing w:after="0"/>
        <w:jc w:val="both"/>
        <w:sectPr>
          <w:pgSz w:w="12240" w:h="15840"/>
          <w:pgMar w:header="727" w:footer="819" w:top="960" w:bottom="1000" w:left="1200" w:right="1060"/>
        </w:sectPr>
      </w:pPr>
    </w:p>
    <w:p>
      <w:pPr>
        <w:pStyle w:val="BodyText"/>
        <w:spacing w:before="8"/>
        <w:rPr>
          <w:sz w:val="16"/>
        </w:rPr>
      </w:pPr>
    </w:p>
    <w:p>
      <w:pPr>
        <w:pStyle w:val="BodyText"/>
        <w:spacing w:before="93"/>
        <w:ind w:left="240"/>
      </w:pPr>
      <w:r>
        <w:rPr/>
        <w:t>Although the oscillator may appear to work when VBAT is not connected, this mode of operation is not re- commended.</w:t>
      </w:r>
    </w:p>
    <w:p>
      <w:pPr>
        <w:pStyle w:val="BodyText"/>
        <w:spacing w:before="121"/>
        <w:ind w:left="868" w:right="490"/>
      </w:pPr>
      <w:r>
        <w:rPr/>
        <w:drawing>
          <wp:anchor distT="0" distB="0" distL="0" distR="0" allowOverlap="1" layoutInCell="1" locked="0" behindDoc="0" simplePos="0" relativeHeight="15769600">
            <wp:simplePos x="0" y="0"/>
            <wp:positionH relativeFrom="page">
              <wp:posOffset>970964</wp:posOffset>
            </wp:positionH>
            <wp:positionV relativeFrom="paragraph">
              <wp:posOffset>147784</wp:posOffset>
            </wp:positionV>
            <wp:extent cx="194895" cy="314323"/>
            <wp:effectExtent l="0" t="0" r="0" b="0"/>
            <wp:wrapNone/>
            <wp:docPr id="43" name="image64.png" descr="checkmark_-bottomheavy-60-blue"/>
            <wp:cNvGraphicFramePr>
              <a:graphicFrameLocks noChangeAspect="1"/>
            </wp:cNvGraphicFramePr>
            <a:graphic>
              <a:graphicData uri="http://schemas.openxmlformats.org/drawingml/2006/picture">
                <pic:pic>
                  <pic:nvPicPr>
                    <pic:cNvPr id="44" name="image64.png"/>
                    <pic:cNvPicPr/>
                  </pic:nvPicPr>
                  <pic:blipFill>
                    <a:blip r:embed="rId73" cstate="print"/>
                    <a:stretch>
                      <a:fillRect/>
                    </a:stretch>
                  </pic:blipFill>
                  <pic:spPr>
                    <a:xfrm>
                      <a:off x="0" y="0"/>
                      <a:ext cx="194895" cy="314323"/>
                    </a:xfrm>
                    <a:prstGeom prst="rect">
                      <a:avLst/>
                    </a:prstGeom>
                  </pic:spPr>
                </pic:pic>
              </a:graphicData>
            </a:graphic>
          </wp:anchor>
        </w:drawing>
      </w:r>
      <w:r>
        <w:rPr/>
        <w:t>If VBAT_RTC is connected to a drained battery or disconnected, a battery test that sets </w:t>
      </w:r>
      <w:r>
        <w:rPr>
          <w:rFonts w:ascii="Times New Roman"/>
          <w:i/>
        </w:rPr>
        <w:t>TEMP_BAT </w:t>
      </w:r>
      <w:r>
        <w:rPr/>
        <w:t>may drain the supply connected to VBAT_RTC and cause the oscillator to stop. A stopped oscillator may force the device to reset. Therefore, an unexpected reset during a battery test should be interpreted as a battery failure.</w:t>
      </w:r>
    </w:p>
    <w:p>
      <w:pPr>
        <w:pStyle w:val="ListParagraph"/>
        <w:numPr>
          <w:ilvl w:val="2"/>
          <w:numId w:val="7"/>
        </w:numPr>
        <w:tabs>
          <w:tab w:pos="959" w:val="left" w:leader="none"/>
          <w:tab w:pos="960" w:val="left" w:leader="none"/>
        </w:tabs>
        <w:spacing w:line="240" w:lineRule="auto" w:before="116" w:after="0"/>
        <w:ind w:left="959" w:right="0" w:hanging="720"/>
        <w:jc w:val="left"/>
        <w:rPr>
          <w:b/>
          <w:sz w:val="22"/>
        </w:rPr>
      </w:pPr>
      <w:bookmarkStart w:name="2.5.3 PLL and Internal Clocks" w:id="199"/>
      <w:bookmarkEnd w:id="199"/>
      <w:r>
        <w:rPr/>
      </w:r>
      <w:bookmarkStart w:name="_bookmark100" w:id="200"/>
      <w:bookmarkEnd w:id="200"/>
      <w:r>
        <w:rPr/>
      </w:r>
      <w:bookmarkStart w:name="_bookmark100" w:id="201"/>
      <w:bookmarkEnd w:id="201"/>
      <w:r>
        <w:rPr>
          <w:b/>
          <w:sz w:val="22"/>
        </w:rPr>
        <w:t>PL</w:t>
      </w:r>
      <w:r>
        <w:rPr>
          <w:b/>
          <w:sz w:val="22"/>
        </w:rPr>
        <w:t>L and Internal</w:t>
      </w:r>
      <w:r>
        <w:rPr>
          <w:b/>
          <w:spacing w:val="2"/>
          <w:sz w:val="22"/>
        </w:rPr>
        <w:t> </w:t>
      </w:r>
      <w:r>
        <w:rPr>
          <w:b/>
          <w:sz w:val="22"/>
        </w:rPr>
        <w:t>Clocks</w:t>
      </w:r>
    </w:p>
    <w:p>
      <w:pPr>
        <w:pStyle w:val="BodyText"/>
        <w:spacing w:before="124"/>
        <w:ind w:left="240" w:right="404"/>
      </w:pPr>
      <w:r>
        <w:rPr/>
        <w:t>Timing for the device is derived from the 32.768 kHz crystal oscillator output that is multiplied by a PLL by 600 to obtain 19.660800 MHz, the master clock (MCK). All on-chip timing, except for the RTC clock, is derived from MCK. </w:t>
      </w:r>
      <w:hyperlink w:history="true" w:anchor="_bookmark101">
        <w:r>
          <w:rPr>
            <w:color w:val="0000FF"/>
          </w:rPr>
          <w:t>Table 41 </w:t>
        </w:r>
      </w:hyperlink>
      <w:r>
        <w:rPr/>
        <w:t>provides a summary of the clock functions and their controls.</w:t>
      </w:r>
    </w:p>
    <w:p>
      <w:pPr>
        <w:pStyle w:val="BodyText"/>
        <w:spacing w:before="119"/>
        <w:ind w:left="239" w:right="401"/>
      </w:pPr>
      <w:r>
        <w:rPr/>
        <w:t>The two general-purpose counter/timers contained in the MPU are controlled by CKMPU (see </w:t>
      </w:r>
      <w:hyperlink w:history="true" w:anchor="_bookmark68">
        <w:r>
          <w:rPr>
            <w:color w:val="0000FF"/>
          </w:rPr>
          <w:t>2.4.6</w:t>
        </w:r>
      </w:hyperlink>
      <w:r>
        <w:rPr>
          <w:color w:val="0000FF"/>
        </w:rPr>
        <w:t> </w:t>
      </w:r>
      <w:hyperlink w:history="true" w:anchor="_bookmark68">
        <w:r>
          <w:rPr>
            <w:color w:val="0000FF"/>
          </w:rPr>
          <w:t>Timers and Counters</w:t>
        </w:r>
      </w:hyperlink>
      <w:r>
        <w:rPr/>
        <w:t>).</w:t>
      </w:r>
    </w:p>
    <w:p>
      <w:pPr>
        <w:pStyle w:val="BodyText"/>
        <w:spacing w:before="118"/>
        <w:ind w:left="239" w:right="528"/>
      </w:pPr>
      <w:r>
        <w:rPr/>
        <w:t>The master clock can be boosted to 19.66 MHz by setting the </w:t>
      </w:r>
      <w:r>
        <w:rPr>
          <w:rFonts w:ascii="Times New Roman"/>
          <w:i/>
        </w:rPr>
        <w:t>PLL_FAST </w:t>
      </w:r>
      <w:r>
        <w:rPr/>
        <w:t>bit = 1 (</w:t>
      </w:r>
      <w:r>
        <w:rPr>
          <w:rFonts w:ascii="Times New Roman"/>
          <w:i/>
        </w:rPr>
        <w:t>I/O RAM 0x2200[4]</w:t>
      </w:r>
      <w:r>
        <w:rPr/>
        <w:t>) and can be reduced to 6.29 MHz by </w:t>
      </w:r>
      <w:r>
        <w:rPr>
          <w:rFonts w:ascii="Times New Roman"/>
          <w:i/>
        </w:rPr>
        <w:t>PLL_FAST </w:t>
      </w:r>
      <w:r>
        <w:rPr/>
        <w:t>= 0. The MPU clock frequency CKMPU is determined by another divider controlled by the I/O RAM control field </w:t>
      </w:r>
      <w:r>
        <w:rPr>
          <w:rFonts w:ascii="Times New Roman"/>
          <w:i/>
        </w:rPr>
        <w:t>MPU_DIV[2:0] (I/O RAM 0x2200[2:0]) </w:t>
      </w:r>
      <w:r>
        <w:rPr/>
        <w:t>and can be set to MCK*2</w:t>
      </w:r>
      <w:r>
        <w:rPr>
          <w:vertAlign w:val="superscript"/>
        </w:rPr>
        <w:t>-(</w:t>
      </w:r>
      <w:r>
        <w:rPr>
          <w:i/>
          <w:vertAlign w:val="superscript"/>
        </w:rPr>
        <w:t>MPU_DIV</w:t>
      </w:r>
      <w:r>
        <w:rPr>
          <w:vertAlign w:val="superscript"/>
        </w:rPr>
        <w:t>+2)</w:t>
      </w:r>
      <w:r>
        <w:rPr>
          <w:vertAlign w:val="baseline"/>
        </w:rPr>
        <w:t> where </w:t>
      </w:r>
      <w:r>
        <w:rPr>
          <w:rFonts w:ascii="Times New Roman"/>
          <w:i/>
          <w:vertAlign w:val="baseline"/>
        </w:rPr>
        <w:t>MPU_DIV[2:0] </w:t>
      </w:r>
      <w:r>
        <w:rPr>
          <w:vertAlign w:val="baseline"/>
        </w:rPr>
        <w:t>may vary from 0 to 4. When the ICE_E pin is high, the circuit also generates the 9.83 MHz clock for use by the emulator.</w:t>
      </w:r>
    </w:p>
    <w:p>
      <w:pPr>
        <w:pStyle w:val="BodyText"/>
        <w:spacing w:before="119"/>
        <w:ind w:left="239"/>
        <w:rPr>
          <w:i/>
        </w:rPr>
      </w:pPr>
      <w:r>
        <w:rPr/>
        <w:t>The PLL is only turned off in SLP mode or in LCD mode when </w:t>
      </w:r>
      <w:r>
        <w:rPr>
          <w:rFonts w:ascii="Times New Roman"/>
          <w:i/>
        </w:rPr>
        <w:t>LCD_BSTE </w:t>
      </w:r>
      <w:r>
        <w:rPr/>
        <w:t>is disabled. The </w:t>
      </w:r>
      <w:r>
        <w:rPr>
          <w:i/>
        </w:rPr>
        <w:t>LCD_BSTE</w:t>
      </w:r>
    </w:p>
    <w:p>
      <w:pPr>
        <w:spacing w:before="2"/>
        <w:ind w:left="239" w:right="0" w:firstLine="0"/>
        <w:jc w:val="left"/>
        <w:rPr>
          <w:sz w:val="20"/>
        </w:rPr>
      </w:pPr>
      <w:r>
        <w:rPr>
          <w:sz w:val="20"/>
        </w:rPr>
        <w:t>value depends on the setting of the </w:t>
      </w:r>
      <w:r>
        <w:rPr>
          <w:rFonts w:ascii="Times New Roman"/>
          <w:i/>
          <w:sz w:val="20"/>
        </w:rPr>
        <w:t>LCD_VMODE [1:0] </w:t>
      </w:r>
      <w:r>
        <w:rPr>
          <w:sz w:val="20"/>
        </w:rPr>
        <w:t>field (see </w:t>
      </w:r>
      <w:hyperlink w:history="true" w:anchor="_bookmark126">
        <w:r>
          <w:rPr>
            <w:color w:val="0000FF"/>
            <w:sz w:val="20"/>
          </w:rPr>
          <w:t>Table 51</w:t>
        </w:r>
      </w:hyperlink>
      <w:r>
        <w:rPr>
          <w:sz w:val="20"/>
        </w:rPr>
        <w:t>).</w:t>
      </w:r>
    </w:p>
    <w:p>
      <w:pPr>
        <w:pStyle w:val="BodyText"/>
        <w:spacing w:before="121"/>
        <w:ind w:left="239" w:right="529"/>
      </w:pPr>
      <w:r>
        <w:rPr/>
        <w:t>When the part is waking up from SLP or LCD modes, the PLL is turned on in 6.29 MHz mode, and the </w:t>
      </w:r>
      <w:r>
        <w:rPr>
          <w:spacing w:val="-3"/>
        </w:rPr>
        <w:t>PLL frequency </w:t>
      </w:r>
      <w:r>
        <w:rPr/>
        <w:t>is not be </w:t>
      </w:r>
      <w:r>
        <w:rPr>
          <w:spacing w:val="-3"/>
        </w:rPr>
        <w:t>accurate until </w:t>
      </w:r>
      <w:r>
        <w:rPr/>
        <w:t>the </w:t>
      </w:r>
      <w:r>
        <w:rPr>
          <w:rFonts w:ascii="Times New Roman"/>
          <w:i/>
          <w:spacing w:val="-3"/>
        </w:rPr>
        <w:t>PLL_OK </w:t>
      </w:r>
      <w:r>
        <w:rPr/>
        <w:t>(</w:t>
      </w:r>
      <w:r>
        <w:rPr>
          <w:rFonts w:ascii="Times New Roman"/>
          <w:i/>
        </w:rPr>
        <w:t>SFR 0xF9[4]</w:t>
      </w:r>
      <w:r>
        <w:rPr/>
        <w:t>) flag </w:t>
      </w:r>
      <w:r>
        <w:rPr>
          <w:spacing w:val="-3"/>
        </w:rPr>
        <w:t>rises. </w:t>
      </w:r>
      <w:r>
        <w:rPr/>
        <w:t>Due to </w:t>
      </w:r>
      <w:r>
        <w:rPr>
          <w:spacing w:val="-4"/>
        </w:rPr>
        <w:t>potential </w:t>
      </w:r>
      <w:r>
        <w:rPr>
          <w:spacing w:val="-3"/>
        </w:rPr>
        <w:t>overshoot, </w:t>
      </w:r>
      <w:r>
        <w:rPr/>
        <w:t>the MPU should not change the value of </w:t>
      </w:r>
      <w:r>
        <w:rPr>
          <w:rFonts w:ascii="Times New Roman"/>
          <w:i/>
        </w:rPr>
        <w:t>PLL_FAST </w:t>
      </w:r>
      <w:r>
        <w:rPr/>
        <w:t>until </w:t>
      </w:r>
      <w:r>
        <w:rPr>
          <w:rFonts w:ascii="Times New Roman"/>
          <w:i/>
        </w:rPr>
        <w:t>PLL_OK </w:t>
      </w:r>
      <w:r>
        <w:rPr/>
        <w:t>is true.</w:t>
      </w:r>
    </w:p>
    <w:p>
      <w:pPr>
        <w:pStyle w:val="BodyText"/>
        <w:spacing w:before="9"/>
        <w:rPr>
          <w:sz w:val="19"/>
        </w:rPr>
      </w:pPr>
    </w:p>
    <w:p>
      <w:pPr>
        <w:pStyle w:val="Heading1"/>
        <w:spacing w:before="1"/>
        <w:ind w:left="65" w:right="204"/>
      </w:pPr>
      <w:bookmarkStart w:name="_bookmark101" w:id="202"/>
      <w:bookmarkEnd w:id="202"/>
      <w:r>
        <w:rPr>
          <w:b w:val="0"/>
        </w:rPr>
      </w:r>
      <w:r>
        <w:rPr/>
        <w:t>Table 41: Clock System Summary</w:t>
      </w:r>
    </w:p>
    <w:p>
      <w:pPr>
        <w:pStyle w:val="BodyText"/>
        <w:spacing w:before="7"/>
        <w:rPr>
          <w:b/>
          <w:sz w:val="5"/>
        </w:rPr>
      </w:pPr>
    </w:p>
    <w:tbl>
      <w:tblPr>
        <w:tblW w:w="0" w:type="auto"/>
        <w:jc w:val="left"/>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1168"/>
        <w:gridCol w:w="1710"/>
        <w:gridCol w:w="1708"/>
        <w:gridCol w:w="1439"/>
        <w:gridCol w:w="1326"/>
      </w:tblGrid>
      <w:tr>
        <w:trPr>
          <w:trHeight w:val="309" w:hRule="atLeast"/>
        </w:trPr>
        <w:tc>
          <w:tcPr>
            <w:tcW w:w="1418" w:type="dxa"/>
            <w:vMerge w:val="restart"/>
          </w:tcPr>
          <w:p>
            <w:pPr>
              <w:pStyle w:val="TableParagraph"/>
              <w:spacing w:before="196"/>
              <w:ind w:left="56"/>
              <w:rPr>
                <w:b/>
                <w:sz w:val="20"/>
              </w:rPr>
            </w:pPr>
            <w:r>
              <w:rPr>
                <w:b/>
                <w:sz w:val="20"/>
              </w:rPr>
              <w:t>Clock</w:t>
            </w:r>
          </w:p>
        </w:tc>
        <w:tc>
          <w:tcPr>
            <w:tcW w:w="1168" w:type="dxa"/>
            <w:vMerge w:val="restart"/>
          </w:tcPr>
          <w:p>
            <w:pPr>
              <w:pStyle w:val="TableParagraph"/>
              <w:spacing w:before="81"/>
              <w:ind w:left="333" w:hanging="116"/>
              <w:rPr>
                <w:b/>
                <w:sz w:val="20"/>
              </w:rPr>
            </w:pPr>
            <w:r>
              <w:rPr>
                <w:b/>
                <w:w w:val="95"/>
                <w:sz w:val="20"/>
              </w:rPr>
              <w:t>Derived </w:t>
            </w:r>
            <w:r>
              <w:rPr>
                <w:b/>
                <w:sz w:val="20"/>
              </w:rPr>
              <w:t>From</w:t>
            </w:r>
          </w:p>
        </w:tc>
        <w:tc>
          <w:tcPr>
            <w:tcW w:w="4857" w:type="dxa"/>
            <w:gridSpan w:val="3"/>
          </w:tcPr>
          <w:p>
            <w:pPr>
              <w:pStyle w:val="TableParagraph"/>
              <w:spacing w:before="35"/>
              <w:ind w:left="1174"/>
              <w:rPr>
                <w:b/>
                <w:sz w:val="20"/>
              </w:rPr>
            </w:pPr>
            <w:r>
              <w:rPr>
                <w:b/>
                <w:sz w:val="20"/>
              </w:rPr>
              <w:t>Fixed Frequency or Range</w:t>
            </w:r>
          </w:p>
        </w:tc>
        <w:tc>
          <w:tcPr>
            <w:tcW w:w="1326" w:type="dxa"/>
            <w:vMerge w:val="restart"/>
          </w:tcPr>
          <w:p>
            <w:pPr>
              <w:pStyle w:val="TableParagraph"/>
              <w:spacing w:before="196"/>
              <w:ind w:left="243"/>
              <w:rPr>
                <w:b/>
                <w:sz w:val="20"/>
              </w:rPr>
            </w:pPr>
            <w:r>
              <w:rPr>
                <w:b/>
                <w:sz w:val="20"/>
              </w:rPr>
              <w:t>Function</w:t>
            </w:r>
          </w:p>
        </w:tc>
      </w:tr>
      <w:tr>
        <w:trPr>
          <w:trHeight w:val="311" w:hRule="atLeast"/>
        </w:trPr>
        <w:tc>
          <w:tcPr>
            <w:tcW w:w="1418" w:type="dxa"/>
            <w:vMerge/>
            <w:tcBorders>
              <w:top w:val="nil"/>
            </w:tcBorders>
          </w:tcPr>
          <w:p>
            <w:pPr>
              <w:rPr>
                <w:sz w:val="2"/>
                <w:szCs w:val="2"/>
              </w:rPr>
            </w:pPr>
          </w:p>
        </w:tc>
        <w:tc>
          <w:tcPr>
            <w:tcW w:w="1168" w:type="dxa"/>
            <w:vMerge/>
            <w:tcBorders>
              <w:top w:val="nil"/>
            </w:tcBorders>
          </w:tcPr>
          <w:p>
            <w:pPr>
              <w:rPr>
                <w:sz w:val="2"/>
                <w:szCs w:val="2"/>
              </w:rPr>
            </w:pPr>
          </w:p>
        </w:tc>
        <w:tc>
          <w:tcPr>
            <w:tcW w:w="1710" w:type="dxa"/>
          </w:tcPr>
          <w:p>
            <w:pPr>
              <w:pStyle w:val="TableParagraph"/>
              <w:spacing w:before="38"/>
              <w:ind w:left="236" w:right="228"/>
              <w:jc w:val="center"/>
              <w:rPr>
                <w:b/>
                <w:sz w:val="20"/>
              </w:rPr>
            </w:pPr>
            <w:r>
              <w:rPr>
                <w:rFonts w:ascii="Times New Roman"/>
                <w:b/>
                <w:i/>
                <w:sz w:val="20"/>
              </w:rPr>
              <w:t>PLL_FAST</w:t>
            </w:r>
            <w:r>
              <w:rPr>
                <w:b/>
                <w:sz w:val="20"/>
              </w:rPr>
              <w:t>=1</w:t>
            </w:r>
          </w:p>
        </w:tc>
        <w:tc>
          <w:tcPr>
            <w:tcW w:w="1708" w:type="dxa"/>
          </w:tcPr>
          <w:p>
            <w:pPr>
              <w:pStyle w:val="TableParagraph"/>
              <w:spacing w:before="38"/>
              <w:ind w:left="258"/>
              <w:rPr>
                <w:b/>
                <w:sz w:val="20"/>
              </w:rPr>
            </w:pPr>
            <w:r>
              <w:rPr>
                <w:rFonts w:ascii="Times New Roman"/>
                <w:b/>
                <w:i/>
                <w:sz w:val="20"/>
              </w:rPr>
              <w:t>PLL_FAST</w:t>
            </w:r>
            <w:r>
              <w:rPr>
                <w:b/>
                <w:sz w:val="20"/>
              </w:rPr>
              <w:t>=0</w:t>
            </w:r>
          </w:p>
        </w:tc>
        <w:tc>
          <w:tcPr>
            <w:tcW w:w="1439" w:type="dxa"/>
          </w:tcPr>
          <w:p>
            <w:pPr>
              <w:pStyle w:val="TableParagraph"/>
              <w:spacing w:before="38"/>
              <w:ind w:left="54" w:right="40"/>
              <w:jc w:val="center"/>
              <w:rPr>
                <w:b/>
                <w:sz w:val="20"/>
              </w:rPr>
            </w:pPr>
            <w:r>
              <w:rPr>
                <w:b/>
                <w:sz w:val="20"/>
              </w:rPr>
              <w:t>Controlled by</w:t>
            </w:r>
          </w:p>
        </w:tc>
        <w:tc>
          <w:tcPr>
            <w:tcW w:w="1326" w:type="dxa"/>
            <w:vMerge/>
            <w:tcBorders>
              <w:top w:val="nil"/>
            </w:tcBorders>
          </w:tcPr>
          <w:p>
            <w:pPr>
              <w:rPr>
                <w:sz w:val="2"/>
                <w:szCs w:val="2"/>
              </w:rPr>
            </w:pPr>
          </w:p>
        </w:tc>
      </w:tr>
      <w:tr>
        <w:trPr>
          <w:trHeight w:val="270" w:hRule="atLeast"/>
        </w:trPr>
        <w:tc>
          <w:tcPr>
            <w:tcW w:w="1418" w:type="dxa"/>
          </w:tcPr>
          <w:p>
            <w:pPr>
              <w:pStyle w:val="TableParagraph"/>
              <w:spacing w:before="18"/>
              <w:ind w:left="57"/>
              <w:rPr>
                <w:sz w:val="20"/>
              </w:rPr>
            </w:pPr>
            <w:r>
              <w:rPr>
                <w:sz w:val="20"/>
              </w:rPr>
              <w:t>OSC</w:t>
            </w:r>
          </w:p>
        </w:tc>
        <w:tc>
          <w:tcPr>
            <w:tcW w:w="1168" w:type="dxa"/>
          </w:tcPr>
          <w:p>
            <w:pPr>
              <w:pStyle w:val="TableParagraph"/>
              <w:spacing w:before="18"/>
              <w:ind w:left="57"/>
              <w:rPr>
                <w:sz w:val="20"/>
              </w:rPr>
            </w:pPr>
            <w:r>
              <w:rPr>
                <w:sz w:val="20"/>
              </w:rPr>
              <w:t>Crystal</w:t>
            </w:r>
          </w:p>
        </w:tc>
        <w:tc>
          <w:tcPr>
            <w:tcW w:w="3418" w:type="dxa"/>
            <w:gridSpan w:val="2"/>
          </w:tcPr>
          <w:p>
            <w:pPr>
              <w:pStyle w:val="TableParagraph"/>
              <w:spacing w:before="18"/>
              <w:ind w:left="1184" w:right="1169"/>
              <w:jc w:val="center"/>
              <w:rPr>
                <w:sz w:val="20"/>
              </w:rPr>
            </w:pPr>
            <w:r>
              <w:rPr>
                <w:sz w:val="20"/>
              </w:rPr>
              <w:t>32.768 kHz</w:t>
            </w:r>
          </w:p>
        </w:tc>
        <w:tc>
          <w:tcPr>
            <w:tcW w:w="1439" w:type="dxa"/>
          </w:tcPr>
          <w:p>
            <w:pPr>
              <w:pStyle w:val="TableParagraph"/>
              <w:spacing w:before="18"/>
              <w:ind w:left="17"/>
              <w:jc w:val="center"/>
              <w:rPr>
                <w:sz w:val="20"/>
              </w:rPr>
            </w:pPr>
            <w:r>
              <w:rPr>
                <w:w w:val="99"/>
                <w:sz w:val="20"/>
              </w:rPr>
              <w:t>–</w:t>
            </w:r>
          </w:p>
        </w:tc>
        <w:tc>
          <w:tcPr>
            <w:tcW w:w="1326" w:type="dxa"/>
          </w:tcPr>
          <w:p>
            <w:pPr>
              <w:pStyle w:val="TableParagraph"/>
              <w:spacing w:before="18"/>
              <w:ind w:left="78" w:right="63"/>
              <w:jc w:val="center"/>
              <w:rPr>
                <w:sz w:val="20"/>
              </w:rPr>
            </w:pPr>
            <w:r>
              <w:rPr>
                <w:sz w:val="20"/>
              </w:rPr>
              <w:t>Crystal clock</w:t>
            </w:r>
          </w:p>
        </w:tc>
      </w:tr>
      <w:tr>
        <w:trPr>
          <w:trHeight w:val="520" w:hRule="atLeast"/>
        </w:trPr>
        <w:tc>
          <w:tcPr>
            <w:tcW w:w="1418" w:type="dxa"/>
          </w:tcPr>
          <w:p>
            <w:pPr>
              <w:pStyle w:val="TableParagraph"/>
              <w:spacing w:before="143"/>
              <w:ind w:left="57"/>
              <w:rPr>
                <w:sz w:val="20"/>
              </w:rPr>
            </w:pPr>
            <w:r>
              <w:rPr>
                <w:sz w:val="20"/>
              </w:rPr>
              <w:t>MCK</w:t>
            </w:r>
          </w:p>
        </w:tc>
        <w:tc>
          <w:tcPr>
            <w:tcW w:w="1168" w:type="dxa"/>
          </w:tcPr>
          <w:p>
            <w:pPr>
              <w:pStyle w:val="TableParagraph"/>
              <w:spacing w:before="143"/>
              <w:ind w:left="57"/>
              <w:rPr>
                <w:sz w:val="20"/>
              </w:rPr>
            </w:pPr>
            <w:r>
              <w:rPr>
                <w:sz w:val="20"/>
              </w:rPr>
              <w:t>Crystal/PLL</w:t>
            </w:r>
          </w:p>
        </w:tc>
        <w:tc>
          <w:tcPr>
            <w:tcW w:w="1710" w:type="dxa"/>
          </w:tcPr>
          <w:p>
            <w:pPr>
              <w:pStyle w:val="TableParagraph"/>
              <w:spacing w:line="250" w:lineRule="exact" w:before="6"/>
              <w:ind w:left="346" w:hanging="178"/>
              <w:rPr>
                <w:sz w:val="20"/>
              </w:rPr>
            </w:pPr>
            <w:r>
              <w:rPr>
                <w:sz w:val="20"/>
              </w:rPr>
              <w:t>19.660800 MHz (600*CK32)</w:t>
            </w:r>
          </w:p>
        </w:tc>
        <w:tc>
          <w:tcPr>
            <w:tcW w:w="1708" w:type="dxa"/>
          </w:tcPr>
          <w:p>
            <w:pPr>
              <w:pStyle w:val="TableParagraph"/>
              <w:spacing w:line="250" w:lineRule="exact" w:before="6"/>
              <w:ind w:left="333" w:right="172" w:hanging="128"/>
              <w:rPr>
                <w:sz w:val="20"/>
              </w:rPr>
            </w:pPr>
            <w:r>
              <w:rPr>
                <w:sz w:val="20"/>
              </w:rPr>
              <w:t>6.291456 MHz (192*CK32)</w:t>
            </w:r>
          </w:p>
        </w:tc>
        <w:tc>
          <w:tcPr>
            <w:tcW w:w="1439" w:type="dxa"/>
          </w:tcPr>
          <w:p>
            <w:pPr>
              <w:pStyle w:val="TableParagraph"/>
              <w:spacing w:before="139"/>
              <w:ind w:left="54" w:right="40"/>
              <w:jc w:val="center"/>
              <w:rPr>
                <w:rFonts w:ascii="Times New Roman"/>
                <w:i/>
                <w:sz w:val="20"/>
              </w:rPr>
            </w:pPr>
            <w:r>
              <w:rPr>
                <w:rFonts w:ascii="Times New Roman"/>
                <w:i/>
                <w:sz w:val="20"/>
              </w:rPr>
              <w:t>PLL_FAST</w:t>
            </w:r>
          </w:p>
        </w:tc>
        <w:tc>
          <w:tcPr>
            <w:tcW w:w="1326" w:type="dxa"/>
          </w:tcPr>
          <w:p>
            <w:pPr>
              <w:pStyle w:val="TableParagraph"/>
              <w:spacing w:before="143"/>
              <w:ind w:left="75" w:right="63"/>
              <w:jc w:val="center"/>
              <w:rPr>
                <w:sz w:val="20"/>
              </w:rPr>
            </w:pPr>
            <w:r>
              <w:rPr>
                <w:sz w:val="20"/>
              </w:rPr>
              <w:t>Master clock</w:t>
            </w:r>
          </w:p>
        </w:tc>
      </w:tr>
      <w:tr>
        <w:trPr>
          <w:trHeight w:val="268" w:hRule="atLeast"/>
        </w:trPr>
        <w:tc>
          <w:tcPr>
            <w:tcW w:w="1418" w:type="dxa"/>
          </w:tcPr>
          <w:p>
            <w:pPr>
              <w:pStyle w:val="TableParagraph"/>
              <w:spacing w:before="18"/>
              <w:ind w:left="57"/>
              <w:rPr>
                <w:sz w:val="20"/>
              </w:rPr>
            </w:pPr>
            <w:r>
              <w:rPr>
                <w:sz w:val="20"/>
              </w:rPr>
              <w:t>CKCE</w:t>
            </w:r>
          </w:p>
        </w:tc>
        <w:tc>
          <w:tcPr>
            <w:tcW w:w="1168" w:type="dxa"/>
          </w:tcPr>
          <w:p>
            <w:pPr>
              <w:pStyle w:val="TableParagraph"/>
              <w:spacing w:before="18"/>
              <w:ind w:left="57"/>
              <w:rPr>
                <w:sz w:val="20"/>
              </w:rPr>
            </w:pPr>
            <w:r>
              <w:rPr>
                <w:sz w:val="20"/>
              </w:rPr>
              <w:t>MCK</w:t>
            </w:r>
          </w:p>
        </w:tc>
        <w:tc>
          <w:tcPr>
            <w:tcW w:w="1710" w:type="dxa"/>
          </w:tcPr>
          <w:p>
            <w:pPr>
              <w:pStyle w:val="TableParagraph"/>
              <w:spacing w:before="18"/>
              <w:ind w:left="236" w:right="227"/>
              <w:jc w:val="center"/>
              <w:rPr>
                <w:sz w:val="20"/>
              </w:rPr>
            </w:pPr>
            <w:r>
              <w:rPr>
                <w:sz w:val="20"/>
              </w:rPr>
              <w:t>4.9152 MHz</w:t>
            </w:r>
          </w:p>
        </w:tc>
        <w:tc>
          <w:tcPr>
            <w:tcW w:w="1708" w:type="dxa"/>
          </w:tcPr>
          <w:p>
            <w:pPr>
              <w:pStyle w:val="TableParagraph"/>
              <w:spacing w:before="18"/>
              <w:ind w:left="316"/>
              <w:rPr>
                <w:sz w:val="20"/>
              </w:rPr>
            </w:pPr>
            <w:r>
              <w:rPr>
                <w:sz w:val="20"/>
              </w:rPr>
              <w:t>1.5728 MHz</w:t>
            </w:r>
          </w:p>
        </w:tc>
        <w:tc>
          <w:tcPr>
            <w:tcW w:w="1439" w:type="dxa"/>
          </w:tcPr>
          <w:p>
            <w:pPr>
              <w:pStyle w:val="TableParagraph"/>
              <w:spacing w:before="18"/>
              <w:ind w:left="17"/>
              <w:jc w:val="center"/>
              <w:rPr>
                <w:sz w:val="20"/>
              </w:rPr>
            </w:pPr>
            <w:r>
              <w:rPr>
                <w:w w:val="99"/>
                <w:sz w:val="20"/>
              </w:rPr>
              <w:t>–</w:t>
            </w:r>
          </w:p>
        </w:tc>
        <w:tc>
          <w:tcPr>
            <w:tcW w:w="1326" w:type="dxa"/>
          </w:tcPr>
          <w:p>
            <w:pPr>
              <w:pStyle w:val="TableParagraph"/>
              <w:spacing w:before="18"/>
              <w:ind w:left="78" w:right="62"/>
              <w:jc w:val="center"/>
              <w:rPr>
                <w:sz w:val="20"/>
              </w:rPr>
            </w:pPr>
            <w:r>
              <w:rPr>
                <w:sz w:val="20"/>
              </w:rPr>
              <w:t>CE clock</w:t>
            </w:r>
          </w:p>
        </w:tc>
      </w:tr>
      <w:tr>
        <w:trPr>
          <w:trHeight w:val="520" w:hRule="atLeast"/>
        </w:trPr>
        <w:tc>
          <w:tcPr>
            <w:tcW w:w="1418" w:type="dxa"/>
          </w:tcPr>
          <w:p>
            <w:pPr>
              <w:pStyle w:val="TableParagraph"/>
              <w:spacing w:before="146"/>
              <w:ind w:left="57"/>
              <w:rPr>
                <w:sz w:val="20"/>
              </w:rPr>
            </w:pPr>
            <w:r>
              <w:rPr>
                <w:sz w:val="20"/>
              </w:rPr>
              <w:t>CKADC</w:t>
            </w:r>
          </w:p>
        </w:tc>
        <w:tc>
          <w:tcPr>
            <w:tcW w:w="1168" w:type="dxa"/>
          </w:tcPr>
          <w:p>
            <w:pPr>
              <w:pStyle w:val="TableParagraph"/>
              <w:spacing w:before="146"/>
              <w:ind w:left="57"/>
              <w:rPr>
                <w:sz w:val="20"/>
              </w:rPr>
            </w:pPr>
            <w:r>
              <w:rPr>
                <w:sz w:val="20"/>
              </w:rPr>
              <w:t>MCK</w:t>
            </w:r>
          </w:p>
        </w:tc>
        <w:tc>
          <w:tcPr>
            <w:tcW w:w="1710" w:type="dxa"/>
          </w:tcPr>
          <w:p>
            <w:pPr>
              <w:pStyle w:val="TableParagraph"/>
              <w:spacing w:before="30"/>
              <w:ind w:left="288"/>
              <w:rPr>
                <w:sz w:val="20"/>
              </w:rPr>
            </w:pPr>
            <w:r>
              <w:rPr>
                <w:sz w:val="20"/>
              </w:rPr>
              <w:t>4.9152</w:t>
            </w:r>
            <w:r>
              <w:rPr>
                <w:spacing w:val="-9"/>
                <w:sz w:val="20"/>
              </w:rPr>
              <w:t> </w:t>
            </w:r>
            <w:r>
              <w:rPr>
                <w:sz w:val="20"/>
              </w:rPr>
              <w:t>MHz,</w:t>
            </w:r>
          </w:p>
          <w:p>
            <w:pPr>
              <w:pStyle w:val="TableParagraph"/>
              <w:spacing w:before="1"/>
              <w:ind w:left="315"/>
              <w:rPr>
                <w:sz w:val="20"/>
              </w:rPr>
            </w:pPr>
            <w:r>
              <w:rPr>
                <w:sz w:val="20"/>
              </w:rPr>
              <w:t>2.4576</w:t>
            </w:r>
            <w:r>
              <w:rPr>
                <w:spacing w:val="-5"/>
                <w:sz w:val="20"/>
              </w:rPr>
              <w:t> </w:t>
            </w:r>
            <w:r>
              <w:rPr>
                <w:sz w:val="20"/>
              </w:rPr>
              <w:t>MHz</w:t>
            </w:r>
          </w:p>
        </w:tc>
        <w:tc>
          <w:tcPr>
            <w:tcW w:w="1708" w:type="dxa"/>
          </w:tcPr>
          <w:p>
            <w:pPr>
              <w:pStyle w:val="TableParagraph"/>
              <w:spacing w:before="18"/>
              <w:ind w:left="177"/>
              <w:rPr>
                <w:sz w:val="20"/>
              </w:rPr>
            </w:pPr>
            <w:r>
              <w:rPr>
                <w:sz w:val="20"/>
              </w:rPr>
              <w:t>1.572864</w:t>
            </w:r>
            <w:r>
              <w:rPr>
                <w:spacing w:val="-11"/>
                <w:sz w:val="20"/>
              </w:rPr>
              <w:t> </w:t>
            </w:r>
            <w:r>
              <w:rPr>
                <w:sz w:val="20"/>
              </w:rPr>
              <w:t>MHz,</w:t>
            </w:r>
          </w:p>
          <w:p>
            <w:pPr>
              <w:pStyle w:val="TableParagraph"/>
              <w:spacing w:before="22"/>
              <w:ind w:left="206"/>
              <w:rPr>
                <w:sz w:val="20"/>
              </w:rPr>
            </w:pPr>
            <w:r>
              <w:rPr>
                <w:sz w:val="20"/>
              </w:rPr>
              <w:t>0.786432</w:t>
            </w:r>
            <w:r>
              <w:rPr>
                <w:spacing w:val="-8"/>
                <w:sz w:val="20"/>
              </w:rPr>
              <w:t> </w:t>
            </w:r>
            <w:r>
              <w:rPr>
                <w:sz w:val="20"/>
              </w:rPr>
              <w:t>MHz</w:t>
            </w:r>
          </w:p>
        </w:tc>
        <w:tc>
          <w:tcPr>
            <w:tcW w:w="1439" w:type="dxa"/>
          </w:tcPr>
          <w:p>
            <w:pPr>
              <w:pStyle w:val="TableParagraph"/>
              <w:spacing w:before="142"/>
              <w:ind w:left="54" w:right="41"/>
              <w:jc w:val="center"/>
              <w:rPr>
                <w:rFonts w:ascii="Times New Roman"/>
                <w:i/>
                <w:sz w:val="20"/>
              </w:rPr>
            </w:pPr>
            <w:r>
              <w:rPr>
                <w:rFonts w:ascii="Times New Roman"/>
                <w:i/>
                <w:sz w:val="20"/>
              </w:rPr>
              <w:t>ADC_DIV</w:t>
            </w:r>
          </w:p>
        </w:tc>
        <w:tc>
          <w:tcPr>
            <w:tcW w:w="1326" w:type="dxa"/>
          </w:tcPr>
          <w:p>
            <w:pPr>
              <w:pStyle w:val="TableParagraph"/>
              <w:spacing w:before="145"/>
              <w:ind w:left="78" w:right="60"/>
              <w:jc w:val="center"/>
              <w:rPr>
                <w:sz w:val="20"/>
              </w:rPr>
            </w:pPr>
            <w:r>
              <w:rPr>
                <w:sz w:val="20"/>
              </w:rPr>
              <w:t>ADC clock</w:t>
            </w:r>
          </w:p>
        </w:tc>
      </w:tr>
      <w:tr>
        <w:trPr>
          <w:trHeight w:val="501" w:hRule="atLeast"/>
        </w:trPr>
        <w:tc>
          <w:tcPr>
            <w:tcW w:w="1418" w:type="dxa"/>
          </w:tcPr>
          <w:p>
            <w:pPr>
              <w:pStyle w:val="TableParagraph"/>
              <w:spacing w:before="134"/>
              <w:ind w:left="57"/>
              <w:rPr>
                <w:sz w:val="20"/>
              </w:rPr>
            </w:pPr>
            <w:r>
              <w:rPr>
                <w:sz w:val="20"/>
              </w:rPr>
              <w:t>CKMPU</w:t>
            </w:r>
          </w:p>
        </w:tc>
        <w:tc>
          <w:tcPr>
            <w:tcW w:w="1168" w:type="dxa"/>
          </w:tcPr>
          <w:p>
            <w:pPr>
              <w:pStyle w:val="TableParagraph"/>
              <w:spacing w:before="134"/>
              <w:ind w:left="57"/>
              <w:rPr>
                <w:sz w:val="20"/>
              </w:rPr>
            </w:pPr>
            <w:r>
              <w:rPr>
                <w:sz w:val="20"/>
              </w:rPr>
              <w:t>MCK</w:t>
            </w:r>
          </w:p>
        </w:tc>
        <w:tc>
          <w:tcPr>
            <w:tcW w:w="1710" w:type="dxa"/>
          </w:tcPr>
          <w:p>
            <w:pPr>
              <w:pStyle w:val="TableParagraph"/>
              <w:spacing w:before="18"/>
              <w:ind w:left="188"/>
              <w:rPr>
                <w:sz w:val="20"/>
              </w:rPr>
            </w:pPr>
            <w:r>
              <w:rPr>
                <w:sz w:val="20"/>
              </w:rPr>
              <w:t>4.9152 MHz …</w:t>
            </w:r>
          </w:p>
          <w:p>
            <w:pPr>
              <w:pStyle w:val="TableParagraph"/>
              <w:spacing w:before="1"/>
              <w:ind w:left="404"/>
              <w:rPr>
                <w:sz w:val="20"/>
              </w:rPr>
            </w:pPr>
            <w:r>
              <w:rPr>
                <w:sz w:val="20"/>
              </w:rPr>
              <w:t>307.2 kHz</w:t>
            </w:r>
          </w:p>
        </w:tc>
        <w:tc>
          <w:tcPr>
            <w:tcW w:w="1708" w:type="dxa"/>
          </w:tcPr>
          <w:p>
            <w:pPr>
              <w:pStyle w:val="TableParagraph"/>
              <w:spacing w:before="18"/>
              <w:ind w:left="105"/>
              <w:rPr>
                <w:sz w:val="20"/>
              </w:rPr>
            </w:pPr>
            <w:r>
              <w:rPr>
                <w:sz w:val="20"/>
              </w:rPr>
              <w:t>1.572864 MHz…</w:t>
            </w:r>
          </w:p>
          <w:p>
            <w:pPr>
              <w:pStyle w:val="TableParagraph"/>
              <w:spacing w:before="1"/>
              <w:ind w:left="350"/>
              <w:rPr>
                <w:sz w:val="20"/>
              </w:rPr>
            </w:pPr>
            <w:r>
              <w:rPr>
                <w:sz w:val="20"/>
              </w:rPr>
              <w:t>98.304 kHz</w:t>
            </w:r>
          </w:p>
        </w:tc>
        <w:tc>
          <w:tcPr>
            <w:tcW w:w="1439" w:type="dxa"/>
          </w:tcPr>
          <w:p>
            <w:pPr>
              <w:pStyle w:val="TableParagraph"/>
              <w:spacing w:before="130"/>
              <w:ind w:left="52" w:right="43"/>
              <w:jc w:val="center"/>
              <w:rPr>
                <w:rFonts w:ascii="Times New Roman"/>
                <w:i/>
                <w:sz w:val="20"/>
              </w:rPr>
            </w:pPr>
            <w:r>
              <w:rPr>
                <w:rFonts w:ascii="Times New Roman"/>
                <w:i/>
                <w:sz w:val="20"/>
              </w:rPr>
              <w:t>MPU_DIV[2:0]</w:t>
            </w:r>
          </w:p>
        </w:tc>
        <w:tc>
          <w:tcPr>
            <w:tcW w:w="1326" w:type="dxa"/>
          </w:tcPr>
          <w:p>
            <w:pPr>
              <w:pStyle w:val="TableParagraph"/>
              <w:spacing w:before="133"/>
              <w:ind w:left="78" w:right="63"/>
              <w:jc w:val="center"/>
              <w:rPr>
                <w:sz w:val="20"/>
              </w:rPr>
            </w:pPr>
            <w:r>
              <w:rPr>
                <w:sz w:val="20"/>
              </w:rPr>
              <w:t>MPU clock</w:t>
            </w:r>
          </w:p>
        </w:tc>
      </w:tr>
      <w:tr>
        <w:trPr>
          <w:trHeight w:val="517" w:hRule="atLeast"/>
        </w:trPr>
        <w:tc>
          <w:tcPr>
            <w:tcW w:w="1418" w:type="dxa"/>
          </w:tcPr>
          <w:p>
            <w:pPr>
              <w:pStyle w:val="TableParagraph"/>
              <w:spacing w:before="143"/>
              <w:ind w:left="57"/>
              <w:rPr>
                <w:sz w:val="20"/>
              </w:rPr>
            </w:pPr>
            <w:r>
              <w:rPr>
                <w:sz w:val="20"/>
              </w:rPr>
              <w:t>CKICE</w:t>
            </w:r>
          </w:p>
        </w:tc>
        <w:tc>
          <w:tcPr>
            <w:tcW w:w="1168" w:type="dxa"/>
          </w:tcPr>
          <w:p>
            <w:pPr>
              <w:pStyle w:val="TableParagraph"/>
              <w:spacing w:before="143"/>
              <w:ind w:left="57"/>
              <w:rPr>
                <w:sz w:val="20"/>
              </w:rPr>
            </w:pPr>
            <w:r>
              <w:rPr>
                <w:sz w:val="20"/>
              </w:rPr>
              <w:t>MCK</w:t>
            </w:r>
          </w:p>
        </w:tc>
        <w:tc>
          <w:tcPr>
            <w:tcW w:w="1710" w:type="dxa"/>
          </w:tcPr>
          <w:p>
            <w:pPr>
              <w:pStyle w:val="TableParagraph"/>
              <w:spacing w:before="18"/>
              <w:ind w:left="214"/>
              <w:rPr>
                <w:sz w:val="20"/>
              </w:rPr>
            </w:pPr>
            <w:r>
              <w:rPr>
                <w:sz w:val="20"/>
              </w:rPr>
              <w:t>9.8304 MHz…</w:t>
            </w:r>
          </w:p>
          <w:p>
            <w:pPr>
              <w:pStyle w:val="TableParagraph"/>
              <w:spacing w:before="20"/>
              <w:ind w:left="404"/>
              <w:rPr>
                <w:sz w:val="20"/>
              </w:rPr>
            </w:pPr>
            <w:r>
              <w:rPr>
                <w:sz w:val="20"/>
              </w:rPr>
              <w:t>614.4 kHz</w:t>
            </w:r>
          </w:p>
        </w:tc>
        <w:tc>
          <w:tcPr>
            <w:tcW w:w="1708" w:type="dxa"/>
          </w:tcPr>
          <w:p>
            <w:pPr>
              <w:pStyle w:val="TableParagraph"/>
              <w:spacing w:before="28"/>
              <w:ind w:left="57" w:right="43"/>
              <w:jc w:val="center"/>
              <w:rPr>
                <w:sz w:val="20"/>
              </w:rPr>
            </w:pPr>
            <w:r>
              <w:rPr>
                <w:sz w:val="20"/>
              </w:rPr>
              <w:t>3.145728 MHz …</w:t>
            </w:r>
          </w:p>
          <w:p>
            <w:pPr>
              <w:pStyle w:val="TableParagraph"/>
              <w:ind w:left="57" w:right="42"/>
              <w:jc w:val="center"/>
              <w:rPr>
                <w:sz w:val="20"/>
              </w:rPr>
            </w:pPr>
            <w:r>
              <w:rPr>
                <w:sz w:val="20"/>
              </w:rPr>
              <w:t>196.608 kHz</w:t>
            </w:r>
          </w:p>
        </w:tc>
        <w:tc>
          <w:tcPr>
            <w:tcW w:w="1439" w:type="dxa"/>
          </w:tcPr>
          <w:p>
            <w:pPr>
              <w:pStyle w:val="TableParagraph"/>
              <w:spacing w:before="139"/>
              <w:ind w:left="54" w:right="42"/>
              <w:jc w:val="center"/>
              <w:rPr>
                <w:rFonts w:ascii="Times New Roman"/>
                <w:i/>
                <w:sz w:val="20"/>
              </w:rPr>
            </w:pPr>
            <w:r>
              <w:rPr>
                <w:rFonts w:ascii="Times New Roman"/>
                <w:i/>
                <w:sz w:val="20"/>
              </w:rPr>
              <w:t>MPU_DIV[2:0]</w:t>
            </w:r>
          </w:p>
        </w:tc>
        <w:tc>
          <w:tcPr>
            <w:tcW w:w="1326" w:type="dxa"/>
          </w:tcPr>
          <w:p>
            <w:pPr>
              <w:pStyle w:val="TableParagraph"/>
              <w:spacing w:before="143"/>
              <w:ind w:left="78" w:right="62"/>
              <w:jc w:val="center"/>
              <w:rPr>
                <w:sz w:val="20"/>
              </w:rPr>
            </w:pPr>
            <w:r>
              <w:rPr>
                <w:sz w:val="20"/>
              </w:rPr>
              <w:t>ICE clock</w:t>
            </w:r>
          </w:p>
        </w:tc>
      </w:tr>
      <w:tr>
        <w:trPr>
          <w:trHeight w:val="731" w:hRule="atLeast"/>
        </w:trPr>
        <w:tc>
          <w:tcPr>
            <w:tcW w:w="1418" w:type="dxa"/>
          </w:tcPr>
          <w:p>
            <w:pPr>
              <w:pStyle w:val="TableParagraph"/>
              <w:spacing w:before="7"/>
              <w:rPr>
                <w:b/>
                <w:sz w:val="21"/>
              </w:rPr>
            </w:pPr>
          </w:p>
          <w:p>
            <w:pPr>
              <w:pStyle w:val="TableParagraph"/>
              <w:ind w:left="57"/>
              <w:rPr>
                <w:sz w:val="20"/>
              </w:rPr>
            </w:pPr>
            <w:r>
              <w:rPr>
                <w:sz w:val="20"/>
              </w:rPr>
              <w:t>CKOPTMOD</w:t>
            </w:r>
          </w:p>
        </w:tc>
        <w:tc>
          <w:tcPr>
            <w:tcW w:w="1168" w:type="dxa"/>
          </w:tcPr>
          <w:p>
            <w:pPr>
              <w:pStyle w:val="TableParagraph"/>
              <w:spacing w:before="7"/>
              <w:rPr>
                <w:b/>
                <w:sz w:val="21"/>
              </w:rPr>
            </w:pPr>
          </w:p>
          <w:p>
            <w:pPr>
              <w:pStyle w:val="TableParagraph"/>
              <w:ind w:left="57"/>
              <w:rPr>
                <w:sz w:val="20"/>
              </w:rPr>
            </w:pPr>
            <w:r>
              <w:rPr>
                <w:sz w:val="20"/>
              </w:rPr>
              <w:t>MCK</w:t>
            </w:r>
          </w:p>
        </w:tc>
        <w:tc>
          <w:tcPr>
            <w:tcW w:w="1710" w:type="dxa"/>
          </w:tcPr>
          <w:p>
            <w:pPr>
              <w:pStyle w:val="TableParagraph"/>
              <w:spacing w:before="7"/>
              <w:rPr>
                <w:b/>
                <w:sz w:val="21"/>
              </w:rPr>
            </w:pPr>
          </w:p>
          <w:p>
            <w:pPr>
              <w:pStyle w:val="TableParagraph"/>
              <w:ind w:left="404"/>
              <w:rPr>
                <w:sz w:val="20"/>
              </w:rPr>
            </w:pPr>
            <w:r>
              <w:rPr>
                <w:sz w:val="20"/>
              </w:rPr>
              <w:t>38.40 kHz</w:t>
            </w:r>
          </w:p>
        </w:tc>
        <w:tc>
          <w:tcPr>
            <w:tcW w:w="1708" w:type="dxa"/>
          </w:tcPr>
          <w:p>
            <w:pPr>
              <w:pStyle w:val="TableParagraph"/>
              <w:spacing w:before="7"/>
              <w:rPr>
                <w:b/>
                <w:sz w:val="21"/>
              </w:rPr>
            </w:pPr>
          </w:p>
          <w:p>
            <w:pPr>
              <w:pStyle w:val="TableParagraph"/>
              <w:ind w:left="460"/>
              <w:rPr>
                <w:sz w:val="20"/>
              </w:rPr>
            </w:pPr>
            <w:r>
              <w:rPr>
                <w:sz w:val="20"/>
              </w:rPr>
              <w:t>38.6 kHz</w:t>
            </w:r>
          </w:p>
        </w:tc>
        <w:tc>
          <w:tcPr>
            <w:tcW w:w="1439" w:type="dxa"/>
          </w:tcPr>
          <w:p>
            <w:pPr>
              <w:pStyle w:val="TableParagraph"/>
              <w:spacing w:before="7"/>
              <w:rPr>
                <w:b/>
                <w:sz w:val="21"/>
              </w:rPr>
            </w:pPr>
          </w:p>
          <w:p>
            <w:pPr>
              <w:pStyle w:val="TableParagraph"/>
              <w:ind w:left="17"/>
              <w:jc w:val="center"/>
              <w:rPr>
                <w:sz w:val="20"/>
              </w:rPr>
            </w:pPr>
            <w:r>
              <w:rPr>
                <w:w w:val="99"/>
                <w:sz w:val="20"/>
              </w:rPr>
              <w:t>–</w:t>
            </w:r>
          </w:p>
        </w:tc>
        <w:tc>
          <w:tcPr>
            <w:tcW w:w="1326" w:type="dxa"/>
          </w:tcPr>
          <w:p>
            <w:pPr>
              <w:pStyle w:val="TableParagraph"/>
              <w:spacing w:before="21"/>
              <w:ind w:left="356" w:right="337"/>
              <w:jc w:val="center"/>
              <w:rPr>
                <w:sz w:val="20"/>
              </w:rPr>
            </w:pPr>
            <w:r>
              <w:rPr>
                <w:sz w:val="20"/>
              </w:rPr>
              <w:t>Optical UART</w:t>
            </w:r>
          </w:p>
          <w:p>
            <w:pPr>
              <w:pStyle w:val="TableParagraph"/>
              <w:spacing w:before="1"/>
              <w:ind w:left="77" w:right="63"/>
              <w:jc w:val="center"/>
              <w:rPr>
                <w:sz w:val="20"/>
              </w:rPr>
            </w:pPr>
            <w:r>
              <w:rPr>
                <w:sz w:val="20"/>
              </w:rPr>
              <w:t>Modulation</w:t>
            </w:r>
          </w:p>
        </w:tc>
      </w:tr>
      <w:tr>
        <w:trPr>
          <w:trHeight w:val="270" w:hRule="atLeast"/>
        </w:trPr>
        <w:tc>
          <w:tcPr>
            <w:tcW w:w="1418" w:type="dxa"/>
          </w:tcPr>
          <w:p>
            <w:pPr>
              <w:pStyle w:val="TableParagraph"/>
              <w:spacing w:before="18"/>
              <w:ind w:left="57"/>
              <w:rPr>
                <w:sz w:val="20"/>
              </w:rPr>
            </w:pPr>
            <w:r>
              <w:rPr>
                <w:sz w:val="20"/>
              </w:rPr>
              <w:t>CK32</w:t>
            </w:r>
          </w:p>
        </w:tc>
        <w:tc>
          <w:tcPr>
            <w:tcW w:w="1168" w:type="dxa"/>
          </w:tcPr>
          <w:p>
            <w:pPr>
              <w:pStyle w:val="TableParagraph"/>
              <w:spacing w:before="18"/>
              <w:ind w:left="57"/>
              <w:rPr>
                <w:sz w:val="20"/>
              </w:rPr>
            </w:pPr>
            <w:r>
              <w:rPr>
                <w:sz w:val="20"/>
              </w:rPr>
              <w:t>MCK</w:t>
            </w:r>
          </w:p>
        </w:tc>
        <w:tc>
          <w:tcPr>
            <w:tcW w:w="3418" w:type="dxa"/>
            <w:gridSpan w:val="2"/>
          </w:tcPr>
          <w:p>
            <w:pPr>
              <w:pStyle w:val="TableParagraph"/>
              <w:spacing w:before="18"/>
              <w:ind w:left="1182" w:right="1170"/>
              <w:jc w:val="center"/>
              <w:rPr>
                <w:sz w:val="20"/>
              </w:rPr>
            </w:pPr>
            <w:r>
              <w:rPr>
                <w:sz w:val="20"/>
              </w:rPr>
              <w:t>32.768 kHz</w:t>
            </w:r>
          </w:p>
        </w:tc>
        <w:tc>
          <w:tcPr>
            <w:tcW w:w="1439" w:type="dxa"/>
          </w:tcPr>
          <w:p>
            <w:pPr>
              <w:pStyle w:val="TableParagraph"/>
              <w:spacing w:before="18"/>
              <w:ind w:left="17"/>
              <w:jc w:val="center"/>
              <w:rPr>
                <w:sz w:val="20"/>
              </w:rPr>
            </w:pPr>
            <w:r>
              <w:rPr>
                <w:w w:val="99"/>
                <w:sz w:val="20"/>
              </w:rPr>
              <w:t>–</w:t>
            </w:r>
          </w:p>
        </w:tc>
        <w:tc>
          <w:tcPr>
            <w:tcW w:w="1326" w:type="dxa"/>
          </w:tcPr>
          <w:p>
            <w:pPr>
              <w:pStyle w:val="TableParagraph"/>
              <w:spacing w:before="18"/>
              <w:ind w:left="78" w:right="63"/>
              <w:jc w:val="center"/>
              <w:rPr>
                <w:sz w:val="20"/>
              </w:rPr>
            </w:pPr>
            <w:r>
              <w:rPr>
                <w:sz w:val="20"/>
              </w:rPr>
              <w:t>32 kHz clock</w:t>
            </w:r>
          </w:p>
        </w:tc>
      </w:tr>
    </w:tbl>
    <w:p>
      <w:pPr>
        <w:pStyle w:val="BodyText"/>
        <w:spacing w:before="10"/>
        <w:rPr>
          <w:b/>
          <w:sz w:val="29"/>
        </w:rPr>
      </w:pPr>
    </w:p>
    <w:p>
      <w:pPr>
        <w:pStyle w:val="ListParagraph"/>
        <w:numPr>
          <w:ilvl w:val="2"/>
          <w:numId w:val="7"/>
        </w:numPr>
        <w:tabs>
          <w:tab w:pos="959" w:val="left" w:leader="none"/>
          <w:tab w:pos="960" w:val="left" w:leader="none"/>
        </w:tabs>
        <w:spacing w:line="240" w:lineRule="auto" w:before="0" w:after="0"/>
        <w:ind w:left="959" w:right="0" w:hanging="720"/>
        <w:jc w:val="left"/>
        <w:rPr>
          <w:b/>
          <w:sz w:val="22"/>
        </w:rPr>
      </w:pPr>
      <w:bookmarkStart w:name="2.5.4 Real-Time Clock (RTC)" w:id="203"/>
      <w:bookmarkEnd w:id="203"/>
      <w:r>
        <w:rPr/>
      </w:r>
      <w:bookmarkStart w:name="_bookmark102" w:id="204"/>
      <w:bookmarkEnd w:id="204"/>
      <w:r>
        <w:rPr/>
      </w:r>
      <w:bookmarkStart w:name="_bookmark102" w:id="205"/>
      <w:bookmarkEnd w:id="205"/>
      <w:r>
        <w:rPr>
          <w:b/>
          <w:sz w:val="22"/>
        </w:rPr>
        <w:t>R</w:t>
      </w:r>
      <w:r>
        <w:rPr>
          <w:b/>
          <w:sz w:val="22"/>
        </w:rPr>
        <w:t>eal-Time Clock</w:t>
      </w:r>
      <w:r>
        <w:rPr>
          <w:b/>
          <w:spacing w:val="-13"/>
          <w:sz w:val="22"/>
        </w:rPr>
        <w:t> </w:t>
      </w:r>
      <w:r>
        <w:rPr>
          <w:b/>
          <w:sz w:val="22"/>
        </w:rPr>
        <w:t>(RTC)</w:t>
      </w:r>
    </w:p>
    <w:p>
      <w:pPr>
        <w:pStyle w:val="ListParagraph"/>
        <w:numPr>
          <w:ilvl w:val="3"/>
          <w:numId w:val="7"/>
        </w:numPr>
        <w:tabs>
          <w:tab w:pos="960" w:val="left" w:leader="none"/>
        </w:tabs>
        <w:spacing w:line="240" w:lineRule="auto" w:before="124" w:after="0"/>
        <w:ind w:left="959" w:right="0" w:hanging="720"/>
        <w:jc w:val="left"/>
        <w:rPr>
          <w:b/>
          <w:sz w:val="20"/>
        </w:rPr>
      </w:pPr>
      <w:bookmarkStart w:name="2.5.4.1 RTC General Description" w:id="206"/>
      <w:bookmarkEnd w:id="206"/>
      <w:r>
        <w:rPr/>
      </w:r>
      <w:bookmarkStart w:name="2.5.4.1 RTC General Description" w:id="207"/>
      <w:bookmarkEnd w:id="207"/>
      <w:r>
        <w:rPr>
          <w:b/>
          <w:sz w:val="20"/>
        </w:rPr>
        <w:t>R</w:t>
      </w:r>
      <w:r>
        <w:rPr>
          <w:b/>
          <w:sz w:val="20"/>
        </w:rPr>
        <w:t>TC General</w:t>
      </w:r>
      <w:r>
        <w:rPr>
          <w:b/>
          <w:spacing w:val="-15"/>
          <w:sz w:val="20"/>
        </w:rPr>
        <w:t> </w:t>
      </w:r>
      <w:r>
        <w:rPr>
          <w:b/>
          <w:sz w:val="20"/>
        </w:rPr>
        <w:t>Description</w:t>
      </w:r>
    </w:p>
    <w:p>
      <w:pPr>
        <w:pStyle w:val="BodyText"/>
        <w:spacing w:before="79"/>
        <w:ind w:left="239" w:right="401"/>
      </w:pPr>
      <w:r>
        <w:rPr/>
        <w:t>The RTC is driven directly by the crystal oscillator and is powered by either the V3P3SYS pin or the VBAT_RTC pin, depending on the </w:t>
      </w:r>
      <w:r>
        <w:rPr>
          <w:rFonts w:ascii="Times New Roman"/>
          <w:i/>
        </w:rPr>
        <w:t>V3OK </w:t>
      </w:r>
      <w:r>
        <w:rPr/>
        <w:t>internal bit. The RTC consists of a counter chain and output registers.</w:t>
      </w:r>
      <w:r>
        <w:rPr>
          <w:spacing w:val="34"/>
        </w:rPr>
        <w:t> </w:t>
      </w:r>
      <w:r>
        <w:rPr/>
        <w:t>The</w:t>
      </w:r>
      <w:r>
        <w:rPr>
          <w:spacing w:val="-13"/>
        </w:rPr>
        <w:t> </w:t>
      </w:r>
      <w:r>
        <w:rPr/>
        <w:t>counter</w:t>
      </w:r>
      <w:r>
        <w:rPr>
          <w:spacing w:val="-13"/>
        </w:rPr>
        <w:t> </w:t>
      </w:r>
      <w:r>
        <w:rPr/>
        <w:t>chain</w:t>
      </w:r>
      <w:r>
        <w:rPr>
          <w:spacing w:val="-13"/>
        </w:rPr>
        <w:t> </w:t>
      </w:r>
      <w:r>
        <w:rPr>
          <w:spacing w:val="-3"/>
        </w:rPr>
        <w:t>consists</w:t>
      </w:r>
      <w:r>
        <w:rPr>
          <w:spacing w:val="-9"/>
        </w:rPr>
        <w:t> </w:t>
      </w:r>
      <w:r>
        <w:rPr/>
        <w:t>of</w:t>
      </w:r>
      <w:r>
        <w:rPr>
          <w:spacing w:val="-11"/>
        </w:rPr>
        <w:t> </w:t>
      </w:r>
      <w:r>
        <w:rPr/>
        <w:t>registers</w:t>
      </w:r>
      <w:r>
        <w:rPr>
          <w:spacing w:val="-12"/>
        </w:rPr>
        <w:t> </w:t>
      </w:r>
      <w:r>
        <w:rPr/>
        <w:t>for</w:t>
      </w:r>
      <w:r>
        <w:rPr>
          <w:spacing w:val="-12"/>
        </w:rPr>
        <w:t> </w:t>
      </w:r>
      <w:r>
        <w:rPr/>
        <w:t>seconds,</w:t>
      </w:r>
      <w:r>
        <w:rPr>
          <w:spacing w:val="-13"/>
        </w:rPr>
        <w:t> </w:t>
      </w:r>
      <w:r>
        <w:rPr/>
        <w:t>minutes,</w:t>
      </w:r>
      <w:r>
        <w:rPr>
          <w:spacing w:val="-7"/>
        </w:rPr>
        <w:t> </w:t>
      </w:r>
      <w:r>
        <w:rPr/>
        <w:t>hours,</w:t>
      </w:r>
      <w:r>
        <w:rPr>
          <w:spacing w:val="-11"/>
        </w:rPr>
        <w:t> </w:t>
      </w:r>
      <w:r>
        <w:rPr/>
        <w:t>day</w:t>
      </w:r>
      <w:r>
        <w:rPr>
          <w:spacing w:val="-14"/>
        </w:rPr>
        <w:t> </w:t>
      </w:r>
      <w:r>
        <w:rPr/>
        <w:t>of</w:t>
      </w:r>
      <w:r>
        <w:rPr>
          <w:spacing w:val="-9"/>
        </w:rPr>
        <w:t> </w:t>
      </w:r>
      <w:r>
        <w:rPr/>
        <w:t>week,</w:t>
      </w:r>
      <w:r>
        <w:rPr>
          <w:spacing w:val="-13"/>
        </w:rPr>
        <w:t> </w:t>
      </w:r>
      <w:r>
        <w:rPr/>
        <w:t>day</w:t>
      </w:r>
      <w:r>
        <w:rPr>
          <w:spacing w:val="-14"/>
        </w:rPr>
        <w:t> </w:t>
      </w:r>
      <w:r>
        <w:rPr/>
        <w:t>of</w:t>
      </w:r>
      <w:r>
        <w:rPr>
          <w:spacing w:val="-10"/>
        </w:rPr>
        <w:t> </w:t>
      </w:r>
      <w:r>
        <w:rPr>
          <w:spacing w:val="-3"/>
        </w:rPr>
        <w:t>month, </w:t>
      </w:r>
      <w:r>
        <w:rPr/>
        <w:t>month, and </w:t>
      </w:r>
      <w:r>
        <w:rPr>
          <w:spacing w:val="-3"/>
        </w:rPr>
        <w:t>year. </w:t>
      </w:r>
      <w:r>
        <w:rPr/>
        <w:t>The chain registers are supported by a shadow register that facilitates read and write operations.</w:t>
      </w:r>
    </w:p>
    <w:p>
      <w:pPr>
        <w:pStyle w:val="BodyText"/>
        <w:spacing w:before="119"/>
        <w:ind w:left="239"/>
      </w:pPr>
      <w:hyperlink w:history="true" w:anchor="_bookmark103">
        <w:r>
          <w:rPr>
            <w:color w:val="0000FF"/>
          </w:rPr>
          <w:t>Table 42 </w:t>
        </w:r>
      </w:hyperlink>
      <w:r>
        <w:rPr/>
        <w:t>shows the I/O RAM registers for accessing the RTC.</w:t>
      </w:r>
    </w:p>
    <w:p>
      <w:pPr>
        <w:spacing w:after="0"/>
        <w:sectPr>
          <w:pgSz w:w="12240" w:h="15840"/>
          <w:pgMar w:header="727" w:footer="819" w:top="960" w:bottom="1000" w:left="1200" w:right="1060"/>
        </w:sectPr>
      </w:pPr>
    </w:p>
    <w:p>
      <w:pPr>
        <w:pStyle w:val="BodyText"/>
        <w:spacing w:before="8"/>
        <w:rPr>
          <w:sz w:val="16"/>
        </w:rPr>
      </w:pPr>
    </w:p>
    <w:p>
      <w:pPr>
        <w:pStyle w:val="ListParagraph"/>
        <w:numPr>
          <w:ilvl w:val="3"/>
          <w:numId w:val="7"/>
        </w:numPr>
        <w:tabs>
          <w:tab w:pos="960" w:val="left" w:leader="none"/>
        </w:tabs>
        <w:spacing w:line="240" w:lineRule="auto" w:before="93" w:after="0"/>
        <w:ind w:left="959" w:right="0" w:hanging="720"/>
        <w:jc w:val="left"/>
        <w:rPr>
          <w:b/>
          <w:sz w:val="20"/>
        </w:rPr>
      </w:pPr>
      <w:bookmarkStart w:name="2.5.4.2 Accessing the RTC" w:id="208"/>
      <w:bookmarkEnd w:id="208"/>
      <w:r>
        <w:rPr/>
      </w:r>
      <w:bookmarkStart w:name="2.5.4.2 Accessing the RTC" w:id="209"/>
      <w:bookmarkEnd w:id="209"/>
      <w:r>
        <w:rPr>
          <w:b/>
          <w:sz w:val="20"/>
        </w:rPr>
        <w:t>A</w:t>
      </w:r>
      <w:r>
        <w:rPr>
          <w:b/>
          <w:sz w:val="20"/>
        </w:rPr>
        <w:t>ccessing the</w:t>
      </w:r>
      <w:r>
        <w:rPr>
          <w:b/>
          <w:spacing w:val="-2"/>
          <w:sz w:val="20"/>
        </w:rPr>
        <w:t> </w:t>
      </w:r>
      <w:r>
        <w:rPr>
          <w:b/>
          <w:sz w:val="20"/>
        </w:rPr>
        <w:t>RTC</w:t>
      </w:r>
    </w:p>
    <w:p>
      <w:pPr>
        <w:spacing w:line="242" w:lineRule="auto" w:before="77"/>
        <w:ind w:left="240" w:right="401" w:firstLine="0"/>
        <w:jc w:val="left"/>
        <w:rPr>
          <w:sz w:val="20"/>
        </w:rPr>
      </w:pPr>
      <w:r>
        <w:rPr>
          <w:sz w:val="20"/>
        </w:rPr>
        <w:t>Two bits, </w:t>
      </w:r>
      <w:r>
        <w:rPr>
          <w:rFonts w:ascii="Times New Roman"/>
          <w:i/>
          <w:sz w:val="20"/>
        </w:rPr>
        <w:t>RTC_RD (I/O RAM 0x2890[6]</w:t>
      </w:r>
      <w:r>
        <w:rPr>
          <w:sz w:val="20"/>
        </w:rPr>
        <w:t>) and </w:t>
      </w:r>
      <w:r>
        <w:rPr>
          <w:rFonts w:ascii="Times New Roman"/>
          <w:i/>
          <w:sz w:val="20"/>
        </w:rPr>
        <w:t>RTC_WR (I/O RAM 0x2890[7])</w:t>
      </w:r>
      <w:r>
        <w:rPr>
          <w:sz w:val="20"/>
        </w:rPr>
        <w:t>, control the behavior of the shadow register.</w:t>
      </w:r>
    </w:p>
    <w:p>
      <w:pPr>
        <w:pStyle w:val="BodyText"/>
        <w:spacing w:before="116"/>
        <w:ind w:left="239" w:right="417"/>
      </w:pPr>
      <w:r>
        <w:rPr/>
        <w:t>When </w:t>
      </w:r>
      <w:r>
        <w:rPr>
          <w:rFonts w:ascii="Times New Roman"/>
          <w:i/>
        </w:rPr>
        <w:t>RTC_RD </w:t>
      </w:r>
      <w:r>
        <w:rPr/>
        <w:t>is low, the shadow register is updated by the RTC after each two milliseconds. When </w:t>
      </w:r>
      <w:r>
        <w:rPr>
          <w:rFonts w:ascii="Times New Roman"/>
          <w:i/>
        </w:rPr>
        <w:t>RTC_RD</w:t>
      </w:r>
      <w:r>
        <w:rPr>
          <w:rFonts w:ascii="Times New Roman"/>
          <w:i/>
          <w:spacing w:val="-10"/>
        </w:rPr>
        <w:t> </w:t>
      </w:r>
      <w:r>
        <w:rPr/>
        <w:t>is</w:t>
      </w:r>
      <w:r>
        <w:rPr>
          <w:spacing w:val="-15"/>
        </w:rPr>
        <w:t> </w:t>
      </w:r>
      <w:r>
        <w:rPr/>
        <w:t>high,</w:t>
      </w:r>
      <w:r>
        <w:rPr>
          <w:spacing w:val="-14"/>
        </w:rPr>
        <w:t> </w:t>
      </w:r>
      <w:r>
        <w:rPr/>
        <w:t>this</w:t>
      </w:r>
      <w:r>
        <w:rPr>
          <w:spacing w:val="-14"/>
        </w:rPr>
        <w:t> </w:t>
      </w:r>
      <w:r>
        <w:rPr/>
        <w:t>update</w:t>
      </w:r>
      <w:r>
        <w:rPr>
          <w:spacing w:val="-15"/>
        </w:rPr>
        <w:t> </w:t>
      </w:r>
      <w:r>
        <w:rPr/>
        <w:t>is</w:t>
      </w:r>
      <w:r>
        <w:rPr>
          <w:spacing w:val="-14"/>
        </w:rPr>
        <w:t> </w:t>
      </w:r>
      <w:r>
        <w:rPr/>
        <w:t>halted</w:t>
      </w:r>
      <w:r>
        <w:rPr>
          <w:spacing w:val="-15"/>
        </w:rPr>
        <w:t> </w:t>
      </w:r>
      <w:r>
        <w:rPr/>
        <w:t>and</w:t>
      </w:r>
      <w:r>
        <w:rPr>
          <w:spacing w:val="-16"/>
        </w:rPr>
        <w:t> </w:t>
      </w:r>
      <w:r>
        <w:rPr/>
        <w:t>the</w:t>
      </w:r>
      <w:r>
        <w:rPr>
          <w:spacing w:val="-16"/>
        </w:rPr>
        <w:t> </w:t>
      </w:r>
      <w:r>
        <w:rPr/>
        <w:t>shadow</w:t>
      </w:r>
      <w:r>
        <w:rPr>
          <w:spacing w:val="-16"/>
        </w:rPr>
        <w:t> </w:t>
      </w:r>
      <w:r>
        <w:rPr/>
        <w:t>register</w:t>
      </w:r>
      <w:r>
        <w:rPr>
          <w:spacing w:val="-16"/>
        </w:rPr>
        <w:t> </w:t>
      </w:r>
      <w:r>
        <w:rPr/>
        <w:t>contents</w:t>
      </w:r>
      <w:r>
        <w:rPr>
          <w:spacing w:val="-16"/>
        </w:rPr>
        <w:t> </w:t>
      </w:r>
      <w:r>
        <w:rPr/>
        <w:t>become</w:t>
      </w:r>
      <w:r>
        <w:rPr>
          <w:spacing w:val="-16"/>
        </w:rPr>
        <w:t> </w:t>
      </w:r>
      <w:r>
        <w:rPr/>
        <w:t>stationary</w:t>
      </w:r>
      <w:r>
        <w:rPr>
          <w:spacing w:val="-18"/>
        </w:rPr>
        <w:t> </w:t>
      </w:r>
      <w:r>
        <w:rPr/>
        <w:t>and</w:t>
      </w:r>
      <w:r>
        <w:rPr>
          <w:spacing w:val="-15"/>
        </w:rPr>
        <w:t> </w:t>
      </w:r>
      <w:r>
        <w:rPr/>
        <w:t>are</w:t>
      </w:r>
      <w:r>
        <w:rPr>
          <w:spacing w:val="-15"/>
        </w:rPr>
        <w:t> </w:t>
      </w:r>
      <w:r>
        <w:rPr/>
        <w:t>suitable to be read by the MPU. Thus, when the MPU wishes to read the RTC, it freezes the shadow register by setting the </w:t>
      </w:r>
      <w:r>
        <w:rPr>
          <w:rFonts w:ascii="Times New Roman"/>
          <w:i/>
        </w:rPr>
        <w:t>RTC_RD </w:t>
      </w:r>
      <w:r>
        <w:rPr/>
        <w:t>bit, reads the shadow register, and then lowers the </w:t>
      </w:r>
      <w:r>
        <w:rPr>
          <w:rFonts w:ascii="Times New Roman"/>
          <w:i/>
        </w:rPr>
        <w:t>RTC_RD </w:t>
      </w:r>
      <w:r>
        <w:rPr/>
        <w:t>bit to let updates to the shadow register resume. Since the RTC clock is only 500 Hz, there may be a delay of</w:t>
      </w:r>
      <w:r>
        <w:rPr>
          <w:spacing w:val="-33"/>
        </w:rPr>
        <w:t> </w:t>
      </w:r>
      <w:r>
        <w:rPr/>
        <w:t>approximately</w:t>
      </w:r>
    </w:p>
    <w:p>
      <w:pPr>
        <w:pStyle w:val="BodyText"/>
        <w:ind w:left="240"/>
      </w:pPr>
      <w:r>
        <w:rPr/>
        <w:t>2 ms from when the </w:t>
      </w:r>
      <w:r>
        <w:rPr>
          <w:rFonts w:ascii="Times New Roman"/>
          <w:i/>
        </w:rPr>
        <w:t>RTC_RD </w:t>
      </w:r>
      <w:r>
        <w:rPr/>
        <w:t>bit is lowered until the shadow register receives its first update. Reads to</w:t>
      </w:r>
    </w:p>
    <w:p>
      <w:pPr>
        <w:pStyle w:val="BodyText"/>
        <w:spacing w:before="1"/>
        <w:ind w:left="240"/>
      </w:pPr>
      <w:r>
        <w:rPr>
          <w:rFonts w:ascii="Times New Roman"/>
          <w:i/>
        </w:rPr>
        <w:t>RTC_RD </w:t>
      </w:r>
      <w:r>
        <w:rPr/>
        <w:t>continues to return a one until the first shadow update occurs.</w:t>
      </w:r>
    </w:p>
    <w:p>
      <w:pPr>
        <w:pStyle w:val="BodyText"/>
        <w:spacing w:before="120"/>
        <w:ind w:left="239" w:right="300"/>
      </w:pPr>
      <w:r>
        <w:rPr/>
        <w:t>When </w:t>
      </w:r>
      <w:r>
        <w:rPr>
          <w:rFonts w:ascii="Times New Roman" w:hAnsi="Times New Roman"/>
          <w:i/>
        </w:rPr>
        <w:t>RTC_WR </w:t>
      </w:r>
      <w:r>
        <w:rPr/>
        <w:t>is high, the update of the shadow register is also inhibited. During this time, the MPU may </w:t>
      </w:r>
      <w:r>
        <w:rPr>
          <w:spacing w:val="-2"/>
        </w:rPr>
        <w:t>overwrite </w:t>
      </w:r>
      <w:r>
        <w:rPr/>
        <w:t>the contents of the shadow register. When </w:t>
      </w:r>
      <w:r>
        <w:rPr>
          <w:rFonts w:ascii="Times New Roman" w:hAnsi="Times New Roman"/>
          <w:i/>
          <w:spacing w:val="-2"/>
        </w:rPr>
        <w:t>RTC_WR </w:t>
      </w:r>
      <w:r>
        <w:rPr/>
        <w:t>is lowered, the shadow register is written into the RTC counter on the next 500Hz RTC clock. A ‘change’ bit is included for each word in the shadow register to ensure that only programmed words are updated when the MPU writes a zero to </w:t>
      </w:r>
      <w:r>
        <w:rPr>
          <w:rFonts w:ascii="Times New Roman" w:hAnsi="Times New Roman"/>
          <w:i/>
        </w:rPr>
        <w:t>RTC_WR</w:t>
      </w:r>
      <w:r>
        <w:rPr/>
        <w:t>. Reads of </w:t>
      </w:r>
      <w:r>
        <w:rPr>
          <w:rFonts w:ascii="Times New Roman" w:hAnsi="Times New Roman"/>
          <w:i/>
        </w:rPr>
        <w:t>RTC_WR </w:t>
      </w:r>
      <w:r>
        <w:rPr/>
        <w:t>returns one until the counter has actually been updated by the register.</w:t>
      </w:r>
    </w:p>
    <w:p>
      <w:pPr>
        <w:pStyle w:val="BodyText"/>
        <w:spacing w:before="119"/>
        <w:ind w:left="239" w:right="359"/>
      </w:pPr>
      <w:r>
        <w:rPr/>
        <w:t>The sub-second register of the RTC, </w:t>
      </w:r>
      <w:r>
        <w:rPr>
          <w:rFonts w:ascii="Times New Roman"/>
          <w:i/>
        </w:rPr>
        <w:t>RTC_SBSC (I/O RAM 0x2892)</w:t>
      </w:r>
      <w:r>
        <w:rPr/>
        <w:t>, can be read by the MPU after the one second interrupt and before reaching the next one second boundary. </w:t>
      </w:r>
      <w:r>
        <w:rPr>
          <w:rFonts w:ascii="Times New Roman"/>
          <w:i/>
        </w:rPr>
        <w:t>RTC_SBSC </w:t>
      </w:r>
      <w:r>
        <w:rPr/>
        <w:t>contains the count since the last full second, in 1/128 second nominal clock periods, until the next one-second boundary. When the </w:t>
      </w:r>
      <w:r>
        <w:rPr>
          <w:rFonts w:ascii="Times New Roman"/>
          <w:i/>
        </w:rPr>
        <w:t>RST_SUBSEC </w:t>
      </w:r>
      <w:r>
        <w:rPr/>
        <w:t>bit is written, the </w:t>
      </w:r>
      <w:r>
        <w:rPr>
          <w:rFonts w:ascii="Times New Roman"/>
          <w:i/>
        </w:rPr>
        <w:t>SUBSEC </w:t>
      </w:r>
      <w:r>
        <w:rPr/>
        <w:t>counter is restarted, counting from 0 to 127. Reading and resetting the sub-second counter can be used as part of an algorithm to accurately set the RTC.</w:t>
      </w:r>
    </w:p>
    <w:p>
      <w:pPr>
        <w:pStyle w:val="BodyText"/>
        <w:spacing w:before="124"/>
        <w:ind w:left="239" w:right="404"/>
      </w:pPr>
      <w:r>
        <w:rPr/>
        <w:t>The RTC is capable of processing leap years. Each counter has its own output register. The RTC chain registers are not be affected by the reset pin, watchdog timer resets, or by transitions between the battery modes and mission mode.</w:t>
      </w:r>
    </w:p>
    <w:p>
      <w:pPr>
        <w:pStyle w:val="Heading1"/>
        <w:spacing w:before="117"/>
        <w:ind w:right="204"/>
      </w:pPr>
      <w:bookmarkStart w:name="_bookmark103" w:id="210"/>
      <w:bookmarkEnd w:id="210"/>
      <w:r>
        <w:rPr>
          <w:b w:val="0"/>
        </w:rPr>
      </w:r>
      <w:r>
        <w:rPr/>
        <w:t>Table 42: RTC Control Registers</w:t>
      </w:r>
    </w:p>
    <w:p>
      <w:pPr>
        <w:pStyle w:val="BodyText"/>
        <w:spacing w:before="7"/>
        <w:rPr>
          <w:b/>
          <w:sz w:val="5"/>
        </w:rPr>
      </w:pPr>
    </w:p>
    <w:tbl>
      <w:tblPr>
        <w:tblW w:w="0" w:type="auto"/>
        <w:jc w:val="left"/>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4"/>
        <w:gridCol w:w="1082"/>
        <w:gridCol w:w="540"/>
        <w:gridCol w:w="516"/>
        <w:gridCol w:w="607"/>
        <w:gridCol w:w="5030"/>
      </w:tblGrid>
      <w:tr>
        <w:trPr>
          <w:trHeight w:val="309" w:hRule="atLeast"/>
        </w:trPr>
        <w:tc>
          <w:tcPr>
            <w:tcW w:w="1584" w:type="dxa"/>
          </w:tcPr>
          <w:p>
            <w:pPr>
              <w:pStyle w:val="TableParagraph"/>
              <w:spacing w:before="35"/>
              <w:ind w:left="107"/>
              <w:rPr>
                <w:b/>
                <w:sz w:val="20"/>
              </w:rPr>
            </w:pPr>
            <w:r>
              <w:rPr>
                <w:b/>
                <w:sz w:val="20"/>
              </w:rPr>
              <w:t>Name</w:t>
            </w:r>
          </w:p>
        </w:tc>
        <w:tc>
          <w:tcPr>
            <w:tcW w:w="1082" w:type="dxa"/>
          </w:tcPr>
          <w:p>
            <w:pPr>
              <w:pStyle w:val="TableParagraph"/>
              <w:spacing w:before="35"/>
              <w:ind w:left="85" w:right="77"/>
              <w:jc w:val="center"/>
              <w:rPr>
                <w:b/>
                <w:sz w:val="20"/>
              </w:rPr>
            </w:pPr>
            <w:r>
              <w:rPr>
                <w:b/>
                <w:sz w:val="20"/>
              </w:rPr>
              <w:t>Location</w:t>
            </w:r>
          </w:p>
        </w:tc>
        <w:tc>
          <w:tcPr>
            <w:tcW w:w="540" w:type="dxa"/>
          </w:tcPr>
          <w:p>
            <w:pPr>
              <w:pStyle w:val="TableParagraph"/>
              <w:spacing w:before="35"/>
              <w:ind w:left="86" w:right="80"/>
              <w:jc w:val="center"/>
              <w:rPr>
                <w:b/>
                <w:sz w:val="20"/>
              </w:rPr>
            </w:pPr>
            <w:r>
              <w:rPr>
                <w:b/>
                <w:sz w:val="20"/>
              </w:rPr>
              <w:t>Rst</w:t>
            </w:r>
          </w:p>
        </w:tc>
        <w:tc>
          <w:tcPr>
            <w:tcW w:w="516" w:type="dxa"/>
          </w:tcPr>
          <w:p>
            <w:pPr>
              <w:pStyle w:val="TableParagraph"/>
              <w:spacing w:before="35"/>
              <w:ind w:left="89" w:right="77"/>
              <w:jc w:val="center"/>
              <w:rPr>
                <w:b/>
                <w:sz w:val="20"/>
              </w:rPr>
            </w:pPr>
            <w:r>
              <w:rPr>
                <w:b/>
                <w:sz w:val="20"/>
              </w:rPr>
              <w:t>Wk</w:t>
            </w:r>
          </w:p>
        </w:tc>
        <w:tc>
          <w:tcPr>
            <w:tcW w:w="607" w:type="dxa"/>
          </w:tcPr>
          <w:p>
            <w:pPr>
              <w:pStyle w:val="TableParagraph"/>
              <w:spacing w:before="35"/>
              <w:ind w:right="155"/>
              <w:jc w:val="right"/>
              <w:rPr>
                <w:b/>
                <w:sz w:val="20"/>
              </w:rPr>
            </w:pPr>
            <w:r>
              <w:rPr>
                <w:b/>
                <w:w w:val="95"/>
                <w:sz w:val="20"/>
              </w:rPr>
              <w:t>Dir</w:t>
            </w:r>
          </w:p>
        </w:tc>
        <w:tc>
          <w:tcPr>
            <w:tcW w:w="5030" w:type="dxa"/>
          </w:tcPr>
          <w:p>
            <w:pPr>
              <w:pStyle w:val="TableParagraph"/>
              <w:spacing w:before="35"/>
              <w:ind w:left="108"/>
              <w:rPr>
                <w:b/>
                <w:sz w:val="20"/>
              </w:rPr>
            </w:pPr>
            <w:r>
              <w:rPr>
                <w:b/>
                <w:sz w:val="20"/>
              </w:rPr>
              <w:t>Description</w:t>
            </w:r>
          </w:p>
        </w:tc>
      </w:tr>
      <w:tr>
        <w:trPr>
          <w:trHeight w:val="270" w:hRule="atLeast"/>
        </w:trPr>
        <w:tc>
          <w:tcPr>
            <w:tcW w:w="1584" w:type="dxa"/>
          </w:tcPr>
          <w:p>
            <w:pPr>
              <w:pStyle w:val="TableParagraph"/>
              <w:spacing w:before="14"/>
              <w:ind w:left="107"/>
              <w:rPr>
                <w:rFonts w:ascii="Times New Roman"/>
                <w:i/>
                <w:sz w:val="20"/>
              </w:rPr>
            </w:pPr>
            <w:r>
              <w:rPr>
                <w:rFonts w:ascii="Times New Roman"/>
                <w:i/>
                <w:sz w:val="20"/>
              </w:rPr>
              <w:t>RTCA_ADJ[6:0]</w:t>
            </w:r>
          </w:p>
        </w:tc>
        <w:tc>
          <w:tcPr>
            <w:tcW w:w="1082" w:type="dxa"/>
          </w:tcPr>
          <w:p>
            <w:pPr>
              <w:pStyle w:val="TableParagraph"/>
              <w:spacing w:before="18"/>
              <w:ind w:left="85" w:right="75"/>
              <w:jc w:val="center"/>
              <w:rPr>
                <w:sz w:val="20"/>
              </w:rPr>
            </w:pPr>
            <w:r>
              <w:rPr>
                <w:sz w:val="20"/>
              </w:rPr>
              <w:t>2504[6:0]</w:t>
            </w:r>
          </w:p>
        </w:tc>
        <w:tc>
          <w:tcPr>
            <w:tcW w:w="540" w:type="dxa"/>
          </w:tcPr>
          <w:p>
            <w:pPr>
              <w:pStyle w:val="TableParagraph"/>
              <w:spacing w:before="18"/>
              <w:ind w:left="86" w:right="79"/>
              <w:jc w:val="center"/>
              <w:rPr>
                <w:sz w:val="20"/>
              </w:rPr>
            </w:pPr>
            <w:r>
              <w:rPr>
                <w:sz w:val="20"/>
              </w:rPr>
              <w:t>40</w:t>
            </w:r>
          </w:p>
        </w:tc>
        <w:tc>
          <w:tcPr>
            <w:tcW w:w="516" w:type="dxa"/>
          </w:tcPr>
          <w:p>
            <w:pPr>
              <w:pStyle w:val="TableParagraph"/>
              <w:spacing w:before="18"/>
              <w:ind w:left="84" w:right="77"/>
              <w:jc w:val="center"/>
              <w:rPr>
                <w:sz w:val="20"/>
              </w:rPr>
            </w:pPr>
            <w:r>
              <w:rPr>
                <w:sz w:val="20"/>
              </w:rPr>
              <w:t>--</w:t>
            </w:r>
          </w:p>
        </w:tc>
        <w:tc>
          <w:tcPr>
            <w:tcW w:w="607" w:type="dxa"/>
          </w:tcPr>
          <w:p>
            <w:pPr>
              <w:pStyle w:val="TableParagraph"/>
              <w:spacing w:before="18"/>
              <w:ind w:right="109"/>
              <w:jc w:val="right"/>
              <w:rPr>
                <w:sz w:val="20"/>
              </w:rPr>
            </w:pPr>
            <w:r>
              <w:rPr>
                <w:sz w:val="20"/>
              </w:rPr>
              <w:t>R/W</w:t>
            </w:r>
          </w:p>
        </w:tc>
        <w:tc>
          <w:tcPr>
            <w:tcW w:w="5030" w:type="dxa"/>
          </w:tcPr>
          <w:p>
            <w:pPr>
              <w:pStyle w:val="TableParagraph"/>
              <w:spacing w:before="18"/>
              <w:ind w:left="108"/>
              <w:rPr>
                <w:sz w:val="20"/>
              </w:rPr>
            </w:pPr>
            <w:r>
              <w:rPr>
                <w:sz w:val="20"/>
              </w:rPr>
              <w:t>Register for analog RTC frequency adjustment.</w:t>
            </w:r>
          </w:p>
        </w:tc>
      </w:tr>
      <w:tr>
        <w:trPr>
          <w:trHeight w:val="770" w:hRule="atLeast"/>
        </w:trPr>
        <w:tc>
          <w:tcPr>
            <w:tcW w:w="1584" w:type="dxa"/>
          </w:tcPr>
          <w:p>
            <w:pPr>
              <w:pStyle w:val="TableParagraph"/>
              <w:spacing w:line="261" w:lineRule="auto" w:before="14"/>
              <w:ind w:left="107"/>
              <w:rPr>
                <w:rFonts w:ascii="Times New Roman"/>
                <w:i/>
                <w:sz w:val="20"/>
              </w:rPr>
            </w:pPr>
            <w:r>
              <w:rPr>
                <w:rFonts w:ascii="Times New Roman"/>
                <w:i/>
                <w:w w:val="95"/>
                <w:sz w:val="20"/>
              </w:rPr>
              <w:t>RTC_P[16:14] </w:t>
            </w:r>
            <w:r>
              <w:rPr>
                <w:rFonts w:ascii="Times New Roman"/>
                <w:i/>
                <w:sz w:val="20"/>
              </w:rPr>
              <w:t>RTC_P[13:6]</w:t>
            </w:r>
          </w:p>
          <w:p>
            <w:pPr>
              <w:pStyle w:val="TableParagraph"/>
              <w:spacing w:before="1"/>
              <w:ind w:left="107"/>
              <w:rPr>
                <w:rFonts w:ascii="Times New Roman"/>
                <w:i/>
                <w:sz w:val="20"/>
              </w:rPr>
            </w:pPr>
            <w:r>
              <w:rPr>
                <w:rFonts w:ascii="Times New Roman"/>
                <w:i/>
                <w:sz w:val="20"/>
              </w:rPr>
              <w:t>RTC_P[5:0]</w:t>
            </w:r>
          </w:p>
        </w:tc>
        <w:tc>
          <w:tcPr>
            <w:tcW w:w="1082" w:type="dxa"/>
          </w:tcPr>
          <w:p>
            <w:pPr>
              <w:pStyle w:val="TableParagraph"/>
              <w:spacing w:before="18"/>
              <w:ind w:left="112"/>
              <w:rPr>
                <w:sz w:val="20"/>
              </w:rPr>
            </w:pPr>
            <w:r>
              <w:rPr>
                <w:sz w:val="20"/>
              </w:rPr>
              <w:t>289B[2:0]</w:t>
            </w:r>
          </w:p>
          <w:p>
            <w:pPr>
              <w:pStyle w:val="TableParagraph"/>
              <w:spacing w:before="20"/>
              <w:ind w:left="107"/>
              <w:rPr>
                <w:sz w:val="20"/>
              </w:rPr>
            </w:pPr>
            <w:r>
              <w:rPr>
                <w:sz w:val="20"/>
              </w:rPr>
              <w:t>289C[7:0]</w:t>
            </w:r>
          </w:p>
          <w:p>
            <w:pPr>
              <w:pStyle w:val="TableParagraph"/>
              <w:spacing w:before="22"/>
              <w:ind w:left="107"/>
              <w:rPr>
                <w:sz w:val="20"/>
              </w:rPr>
            </w:pPr>
            <w:r>
              <w:rPr>
                <w:sz w:val="20"/>
              </w:rPr>
              <w:t>289D[7:2]</w:t>
            </w:r>
          </w:p>
        </w:tc>
        <w:tc>
          <w:tcPr>
            <w:tcW w:w="540" w:type="dxa"/>
          </w:tcPr>
          <w:p>
            <w:pPr>
              <w:pStyle w:val="TableParagraph"/>
              <w:spacing w:before="18"/>
              <w:ind w:left="8"/>
              <w:jc w:val="center"/>
              <w:rPr>
                <w:sz w:val="20"/>
              </w:rPr>
            </w:pPr>
            <w:r>
              <w:rPr>
                <w:w w:val="99"/>
                <w:sz w:val="20"/>
              </w:rPr>
              <w:t>4</w:t>
            </w:r>
          </w:p>
          <w:p>
            <w:pPr>
              <w:pStyle w:val="TableParagraph"/>
              <w:spacing w:before="20"/>
              <w:ind w:left="8"/>
              <w:jc w:val="center"/>
              <w:rPr>
                <w:sz w:val="20"/>
              </w:rPr>
            </w:pPr>
            <w:r>
              <w:rPr>
                <w:w w:val="99"/>
                <w:sz w:val="20"/>
              </w:rPr>
              <w:t>0</w:t>
            </w:r>
          </w:p>
          <w:p>
            <w:pPr>
              <w:pStyle w:val="TableParagraph"/>
              <w:spacing w:before="22"/>
              <w:ind w:left="8"/>
              <w:jc w:val="center"/>
              <w:rPr>
                <w:sz w:val="20"/>
              </w:rPr>
            </w:pPr>
            <w:r>
              <w:rPr>
                <w:w w:val="99"/>
                <w:sz w:val="20"/>
              </w:rPr>
              <w:t>0</w:t>
            </w:r>
          </w:p>
        </w:tc>
        <w:tc>
          <w:tcPr>
            <w:tcW w:w="516" w:type="dxa"/>
          </w:tcPr>
          <w:p>
            <w:pPr>
              <w:pStyle w:val="TableParagraph"/>
              <w:spacing w:before="18"/>
              <w:ind w:left="8"/>
              <w:jc w:val="center"/>
              <w:rPr>
                <w:sz w:val="20"/>
              </w:rPr>
            </w:pPr>
            <w:r>
              <w:rPr>
                <w:w w:val="99"/>
                <w:sz w:val="20"/>
              </w:rPr>
              <w:t>4</w:t>
            </w:r>
          </w:p>
          <w:p>
            <w:pPr>
              <w:pStyle w:val="TableParagraph"/>
              <w:spacing w:before="20"/>
              <w:ind w:left="8"/>
              <w:jc w:val="center"/>
              <w:rPr>
                <w:sz w:val="20"/>
              </w:rPr>
            </w:pPr>
            <w:r>
              <w:rPr>
                <w:w w:val="99"/>
                <w:sz w:val="20"/>
              </w:rPr>
              <w:t>0</w:t>
            </w:r>
          </w:p>
          <w:p>
            <w:pPr>
              <w:pStyle w:val="TableParagraph"/>
              <w:spacing w:before="22"/>
              <w:ind w:left="8"/>
              <w:jc w:val="center"/>
              <w:rPr>
                <w:sz w:val="20"/>
              </w:rPr>
            </w:pPr>
            <w:r>
              <w:rPr>
                <w:w w:val="99"/>
                <w:sz w:val="20"/>
              </w:rPr>
              <w:t>0</w:t>
            </w:r>
          </w:p>
        </w:tc>
        <w:tc>
          <w:tcPr>
            <w:tcW w:w="607" w:type="dxa"/>
          </w:tcPr>
          <w:p>
            <w:pPr>
              <w:pStyle w:val="TableParagraph"/>
              <w:spacing w:before="18"/>
              <w:ind w:right="109"/>
              <w:jc w:val="right"/>
              <w:rPr>
                <w:sz w:val="20"/>
              </w:rPr>
            </w:pPr>
            <w:r>
              <w:rPr>
                <w:sz w:val="20"/>
              </w:rPr>
              <w:t>R/W</w:t>
            </w:r>
          </w:p>
        </w:tc>
        <w:tc>
          <w:tcPr>
            <w:tcW w:w="5030" w:type="dxa"/>
          </w:tcPr>
          <w:p>
            <w:pPr>
              <w:pStyle w:val="TableParagraph"/>
              <w:spacing w:before="136"/>
              <w:ind w:left="88" w:right="1623"/>
              <w:jc w:val="center"/>
              <w:rPr>
                <w:sz w:val="20"/>
              </w:rPr>
            </w:pPr>
            <w:r>
              <w:rPr>
                <w:sz w:val="20"/>
              </w:rPr>
              <w:t>Registers for digital RTC adjustment.</w:t>
            </w:r>
          </w:p>
          <w:p>
            <w:pPr>
              <w:pStyle w:val="TableParagraph"/>
              <w:spacing w:before="16"/>
              <w:ind w:left="88" w:right="1565"/>
              <w:jc w:val="center"/>
              <w:rPr>
                <w:sz w:val="20"/>
              </w:rPr>
            </w:pPr>
            <w:r>
              <w:rPr>
                <w:sz w:val="20"/>
              </w:rPr>
              <w:t>0x0FFBF </w:t>
            </w:r>
            <w:r>
              <w:rPr>
                <w:rFonts w:ascii="Symbol" w:hAnsi="Symbol"/>
                <w:sz w:val="20"/>
              </w:rPr>
              <w:t></w:t>
            </w:r>
            <w:r>
              <w:rPr>
                <w:rFonts w:ascii="Times New Roman" w:hAnsi="Times New Roman"/>
                <w:sz w:val="20"/>
              </w:rPr>
              <w:t> </w:t>
            </w:r>
            <w:r>
              <w:rPr>
                <w:rFonts w:ascii="Times New Roman" w:hAnsi="Times New Roman"/>
                <w:i/>
                <w:sz w:val="20"/>
              </w:rPr>
              <w:t>RTC_P </w:t>
            </w:r>
            <w:r>
              <w:rPr>
                <w:rFonts w:ascii="Symbol" w:hAnsi="Symbol"/>
                <w:sz w:val="20"/>
              </w:rPr>
              <w:t></w:t>
            </w:r>
            <w:r>
              <w:rPr>
                <w:rFonts w:ascii="Times New Roman" w:hAnsi="Times New Roman"/>
                <w:sz w:val="20"/>
              </w:rPr>
              <w:t> </w:t>
            </w:r>
            <w:r>
              <w:rPr>
                <w:sz w:val="20"/>
              </w:rPr>
              <w:t>0x10040</w:t>
            </w:r>
          </w:p>
        </w:tc>
      </w:tr>
      <w:tr>
        <w:trPr>
          <w:trHeight w:val="268" w:hRule="atLeast"/>
        </w:trPr>
        <w:tc>
          <w:tcPr>
            <w:tcW w:w="1584" w:type="dxa"/>
          </w:tcPr>
          <w:p>
            <w:pPr>
              <w:pStyle w:val="TableParagraph"/>
              <w:spacing w:before="14"/>
              <w:ind w:left="107"/>
              <w:rPr>
                <w:rFonts w:ascii="Times New Roman"/>
                <w:i/>
                <w:sz w:val="20"/>
              </w:rPr>
            </w:pPr>
            <w:r>
              <w:rPr>
                <w:rFonts w:ascii="Times New Roman"/>
                <w:i/>
                <w:sz w:val="20"/>
              </w:rPr>
              <w:t>RTC_Q[1:0]</w:t>
            </w:r>
          </w:p>
        </w:tc>
        <w:tc>
          <w:tcPr>
            <w:tcW w:w="1082" w:type="dxa"/>
          </w:tcPr>
          <w:p>
            <w:pPr>
              <w:pStyle w:val="TableParagraph"/>
              <w:spacing w:before="18"/>
              <w:ind w:left="85" w:right="78"/>
              <w:jc w:val="center"/>
              <w:rPr>
                <w:sz w:val="20"/>
              </w:rPr>
            </w:pPr>
            <w:r>
              <w:rPr>
                <w:sz w:val="20"/>
              </w:rPr>
              <w:t>289D[1:0]</w:t>
            </w:r>
          </w:p>
        </w:tc>
        <w:tc>
          <w:tcPr>
            <w:tcW w:w="540" w:type="dxa"/>
          </w:tcPr>
          <w:p>
            <w:pPr>
              <w:pStyle w:val="TableParagraph"/>
              <w:spacing w:before="18"/>
              <w:ind w:left="8"/>
              <w:jc w:val="center"/>
              <w:rPr>
                <w:sz w:val="20"/>
              </w:rPr>
            </w:pPr>
            <w:r>
              <w:rPr>
                <w:w w:val="99"/>
                <w:sz w:val="20"/>
              </w:rPr>
              <w:t>0</w:t>
            </w:r>
          </w:p>
        </w:tc>
        <w:tc>
          <w:tcPr>
            <w:tcW w:w="516" w:type="dxa"/>
          </w:tcPr>
          <w:p>
            <w:pPr>
              <w:pStyle w:val="TableParagraph"/>
              <w:spacing w:before="18"/>
              <w:ind w:left="8"/>
              <w:jc w:val="center"/>
              <w:rPr>
                <w:sz w:val="20"/>
              </w:rPr>
            </w:pPr>
            <w:r>
              <w:rPr>
                <w:w w:val="99"/>
                <w:sz w:val="20"/>
              </w:rPr>
              <w:t>0</w:t>
            </w:r>
          </w:p>
        </w:tc>
        <w:tc>
          <w:tcPr>
            <w:tcW w:w="607" w:type="dxa"/>
          </w:tcPr>
          <w:p>
            <w:pPr>
              <w:pStyle w:val="TableParagraph"/>
              <w:spacing w:before="18"/>
              <w:ind w:right="109"/>
              <w:jc w:val="right"/>
              <w:rPr>
                <w:sz w:val="20"/>
              </w:rPr>
            </w:pPr>
            <w:r>
              <w:rPr>
                <w:sz w:val="20"/>
              </w:rPr>
              <w:t>R/W</w:t>
            </w:r>
          </w:p>
        </w:tc>
        <w:tc>
          <w:tcPr>
            <w:tcW w:w="5030" w:type="dxa"/>
          </w:tcPr>
          <w:p>
            <w:pPr>
              <w:pStyle w:val="TableParagraph"/>
              <w:spacing w:before="18"/>
              <w:ind w:left="108"/>
              <w:rPr>
                <w:sz w:val="20"/>
              </w:rPr>
            </w:pPr>
            <w:r>
              <w:rPr>
                <w:sz w:val="20"/>
              </w:rPr>
              <w:t>Register for digital RTC adjustment.</w:t>
            </w:r>
          </w:p>
        </w:tc>
      </w:tr>
      <w:tr>
        <w:trPr>
          <w:trHeight w:val="1442" w:hRule="atLeast"/>
        </w:trPr>
        <w:tc>
          <w:tcPr>
            <w:tcW w:w="1584" w:type="dxa"/>
          </w:tcPr>
          <w:p>
            <w:pPr>
              <w:pStyle w:val="TableParagraph"/>
              <w:rPr>
                <w:b/>
                <w:sz w:val="22"/>
              </w:rPr>
            </w:pPr>
          </w:p>
          <w:p>
            <w:pPr>
              <w:pStyle w:val="TableParagraph"/>
              <w:spacing w:before="4"/>
              <w:rPr>
                <w:b/>
                <w:sz w:val="30"/>
              </w:rPr>
            </w:pPr>
          </w:p>
          <w:p>
            <w:pPr>
              <w:pStyle w:val="TableParagraph"/>
              <w:ind w:left="107"/>
              <w:rPr>
                <w:rFonts w:ascii="Times New Roman"/>
                <w:i/>
                <w:sz w:val="20"/>
              </w:rPr>
            </w:pPr>
            <w:r>
              <w:rPr>
                <w:rFonts w:ascii="Times New Roman"/>
                <w:i/>
                <w:sz w:val="20"/>
              </w:rPr>
              <w:t>RTC_RD</w:t>
            </w:r>
          </w:p>
        </w:tc>
        <w:tc>
          <w:tcPr>
            <w:tcW w:w="1082" w:type="dxa"/>
          </w:tcPr>
          <w:p>
            <w:pPr>
              <w:pStyle w:val="TableParagraph"/>
              <w:rPr>
                <w:b/>
                <w:sz w:val="22"/>
              </w:rPr>
            </w:pPr>
          </w:p>
          <w:p>
            <w:pPr>
              <w:pStyle w:val="TableParagraph"/>
              <w:spacing w:before="8"/>
              <w:rPr>
                <w:b/>
                <w:sz w:val="30"/>
              </w:rPr>
            </w:pPr>
          </w:p>
          <w:p>
            <w:pPr>
              <w:pStyle w:val="TableParagraph"/>
              <w:ind w:left="85" w:right="76"/>
              <w:jc w:val="center"/>
              <w:rPr>
                <w:sz w:val="20"/>
              </w:rPr>
            </w:pPr>
            <w:r>
              <w:rPr>
                <w:sz w:val="20"/>
              </w:rPr>
              <w:t>2890[6]</w:t>
            </w:r>
          </w:p>
        </w:tc>
        <w:tc>
          <w:tcPr>
            <w:tcW w:w="540" w:type="dxa"/>
          </w:tcPr>
          <w:p>
            <w:pPr>
              <w:pStyle w:val="TableParagraph"/>
              <w:rPr>
                <w:b/>
                <w:sz w:val="22"/>
              </w:rPr>
            </w:pPr>
          </w:p>
          <w:p>
            <w:pPr>
              <w:pStyle w:val="TableParagraph"/>
              <w:spacing w:before="8"/>
              <w:rPr>
                <w:b/>
                <w:sz w:val="30"/>
              </w:rPr>
            </w:pPr>
          </w:p>
          <w:p>
            <w:pPr>
              <w:pStyle w:val="TableParagraph"/>
              <w:ind w:left="8"/>
              <w:jc w:val="center"/>
              <w:rPr>
                <w:sz w:val="20"/>
              </w:rPr>
            </w:pPr>
            <w:r>
              <w:rPr>
                <w:w w:val="99"/>
                <w:sz w:val="20"/>
              </w:rPr>
              <w:t>0</w:t>
            </w:r>
          </w:p>
        </w:tc>
        <w:tc>
          <w:tcPr>
            <w:tcW w:w="516" w:type="dxa"/>
          </w:tcPr>
          <w:p>
            <w:pPr>
              <w:pStyle w:val="TableParagraph"/>
              <w:rPr>
                <w:b/>
                <w:sz w:val="22"/>
              </w:rPr>
            </w:pPr>
          </w:p>
          <w:p>
            <w:pPr>
              <w:pStyle w:val="TableParagraph"/>
              <w:spacing w:before="8"/>
              <w:rPr>
                <w:b/>
                <w:sz w:val="30"/>
              </w:rPr>
            </w:pPr>
          </w:p>
          <w:p>
            <w:pPr>
              <w:pStyle w:val="TableParagraph"/>
              <w:ind w:left="7"/>
              <w:jc w:val="center"/>
              <w:rPr>
                <w:sz w:val="20"/>
              </w:rPr>
            </w:pPr>
            <w:r>
              <w:rPr>
                <w:w w:val="99"/>
                <w:sz w:val="20"/>
              </w:rPr>
              <w:t>0</w:t>
            </w:r>
          </w:p>
        </w:tc>
        <w:tc>
          <w:tcPr>
            <w:tcW w:w="607" w:type="dxa"/>
          </w:tcPr>
          <w:p>
            <w:pPr>
              <w:pStyle w:val="TableParagraph"/>
              <w:rPr>
                <w:b/>
                <w:sz w:val="22"/>
              </w:rPr>
            </w:pPr>
          </w:p>
          <w:p>
            <w:pPr>
              <w:pStyle w:val="TableParagraph"/>
              <w:spacing w:before="8"/>
              <w:rPr>
                <w:b/>
                <w:sz w:val="30"/>
              </w:rPr>
            </w:pPr>
          </w:p>
          <w:p>
            <w:pPr>
              <w:pStyle w:val="TableParagraph"/>
              <w:ind w:right="109"/>
              <w:jc w:val="right"/>
              <w:rPr>
                <w:sz w:val="20"/>
              </w:rPr>
            </w:pPr>
            <w:r>
              <w:rPr>
                <w:sz w:val="20"/>
              </w:rPr>
              <w:t>R/W</w:t>
            </w:r>
          </w:p>
        </w:tc>
        <w:tc>
          <w:tcPr>
            <w:tcW w:w="5030" w:type="dxa"/>
          </w:tcPr>
          <w:p>
            <w:pPr>
              <w:pStyle w:val="TableParagraph"/>
              <w:spacing w:before="21"/>
              <w:ind w:left="108" w:right="162"/>
              <w:rPr>
                <w:sz w:val="20"/>
              </w:rPr>
            </w:pPr>
            <w:r>
              <w:rPr>
                <w:sz w:val="20"/>
              </w:rPr>
              <w:t>Freezes the RTC shadow register so it is suitable for MPU reads. When </w:t>
            </w:r>
            <w:r>
              <w:rPr>
                <w:rFonts w:ascii="Times New Roman"/>
                <w:i/>
                <w:sz w:val="20"/>
              </w:rPr>
              <w:t>RTC_RD </w:t>
            </w:r>
            <w:r>
              <w:rPr>
                <w:sz w:val="20"/>
              </w:rPr>
              <w:t>is read, it returns the status of the shadow register: 0 = up to date, 1 = frozen.</w:t>
            </w:r>
          </w:p>
          <w:p>
            <w:pPr>
              <w:pStyle w:val="TableParagraph"/>
              <w:spacing w:line="230" w:lineRule="atLeast" w:before="17"/>
              <w:ind w:left="108"/>
              <w:rPr>
                <w:sz w:val="20"/>
              </w:rPr>
            </w:pPr>
            <w:r>
              <w:rPr>
                <w:spacing w:val="-4"/>
                <w:sz w:val="20"/>
              </w:rPr>
              <w:t>Writing </w:t>
            </w:r>
            <w:r>
              <w:rPr>
                <w:sz w:val="20"/>
              </w:rPr>
              <w:t>0 </w:t>
            </w:r>
            <w:r>
              <w:rPr>
                <w:spacing w:val="-3"/>
                <w:sz w:val="20"/>
              </w:rPr>
              <w:t>to </w:t>
            </w:r>
            <w:r>
              <w:rPr>
                <w:spacing w:val="-4"/>
                <w:sz w:val="20"/>
              </w:rPr>
              <w:t>RTC_RD </w:t>
            </w:r>
            <w:r>
              <w:rPr>
                <w:spacing w:val="-3"/>
                <w:sz w:val="20"/>
              </w:rPr>
              <w:t>bit </w:t>
            </w:r>
            <w:r>
              <w:rPr>
                <w:sz w:val="20"/>
              </w:rPr>
              <w:t>to </w:t>
            </w:r>
            <w:r>
              <w:rPr>
                <w:spacing w:val="-4"/>
                <w:sz w:val="20"/>
              </w:rPr>
              <w:t>enable </w:t>
            </w:r>
            <w:r>
              <w:rPr>
                <w:spacing w:val="-3"/>
                <w:sz w:val="20"/>
              </w:rPr>
              <w:t>shadow </w:t>
            </w:r>
            <w:r>
              <w:rPr>
                <w:spacing w:val="-4"/>
                <w:sz w:val="20"/>
              </w:rPr>
              <w:t>register update, </w:t>
            </w:r>
            <w:r>
              <w:rPr>
                <w:spacing w:val="-3"/>
                <w:sz w:val="20"/>
              </w:rPr>
              <w:t>and </w:t>
            </w:r>
            <w:r>
              <w:rPr>
                <w:spacing w:val="-4"/>
                <w:sz w:val="20"/>
              </w:rPr>
              <w:t>writing </w:t>
            </w:r>
            <w:r>
              <w:rPr>
                <w:sz w:val="20"/>
              </w:rPr>
              <w:t>1 </w:t>
            </w:r>
            <w:r>
              <w:rPr>
                <w:spacing w:val="-3"/>
                <w:sz w:val="20"/>
              </w:rPr>
              <w:t>to </w:t>
            </w:r>
            <w:r>
              <w:rPr>
                <w:spacing w:val="-4"/>
                <w:sz w:val="20"/>
              </w:rPr>
              <w:t>RTC_RD </w:t>
            </w:r>
            <w:r>
              <w:rPr>
                <w:spacing w:val="-3"/>
                <w:sz w:val="20"/>
              </w:rPr>
              <w:t>to </w:t>
            </w:r>
            <w:r>
              <w:rPr>
                <w:spacing w:val="-4"/>
                <w:sz w:val="20"/>
              </w:rPr>
              <w:t>disable </w:t>
            </w:r>
            <w:r>
              <w:rPr>
                <w:spacing w:val="-3"/>
                <w:sz w:val="20"/>
              </w:rPr>
              <w:t>update</w:t>
            </w:r>
          </w:p>
        </w:tc>
      </w:tr>
      <w:tr>
        <w:trPr>
          <w:trHeight w:val="2361" w:hRule="atLeast"/>
        </w:trPr>
        <w:tc>
          <w:tcPr>
            <w:tcW w:w="1584" w:type="dxa"/>
          </w:tcPr>
          <w:p>
            <w:pPr>
              <w:pStyle w:val="TableParagraph"/>
              <w:rPr>
                <w:b/>
                <w:sz w:val="22"/>
              </w:rPr>
            </w:pPr>
          </w:p>
          <w:p>
            <w:pPr>
              <w:pStyle w:val="TableParagraph"/>
              <w:rPr>
                <w:b/>
                <w:sz w:val="22"/>
              </w:rPr>
            </w:pPr>
          </w:p>
          <w:p>
            <w:pPr>
              <w:pStyle w:val="TableParagraph"/>
              <w:rPr>
                <w:b/>
                <w:sz w:val="22"/>
              </w:rPr>
            </w:pPr>
          </w:p>
          <w:p>
            <w:pPr>
              <w:pStyle w:val="TableParagraph"/>
              <w:spacing w:before="3"/>
              <w:rPr>
                <w:b/>
                <w:sz w:val="26"/>
              </w:rPr>
            </w:pPr>
          </w:p>
          <w:p>
            <w:pPr>
              <w:pStyle w:val="TableParagraph"/>
              <w:ind w:left="107"/>
              <w:rPr>
                <w:rFonts w:ascii="Times New Roman"/>
                <w:i/>
                <w:sz w:val="20"/>
              </w:rPr>
            </w:pPr>
            <w:r>
              <w:rPr>
                <w:rFonts w:ascii="Times New Roman"/>
                <w:i/>
                <w:sz w:val="20"/>
              </w:rPr>
              <w:t>RTC_WR</w:t>
            </w:r>
          </w:p>
        </w:tc>
        <w:tc>
          <w:tcPr>
            <w:tcW w:w="1082" w:type="dxa"/>
          </w:tcPr>
          <w:p>
            <w:pPr>
              <w:pStyle w:val="TableParagraph"/>
              <w:rPr>
                <w:b/>
                <w:sz w:val="22"/>
              </w:rPr>
            </w:pPr>
          </w:p>
          <w:p>
            <w:pPr>
              <w:pStyle w:val="TableParagraph"/>
              <w:rPr>
                <w:b/>
                <w:sz w:val="22"/>
              </w:rPr>
            </w:pPr>
          </w:p>
          <w:p>
            <w:pPr>
              <w:pStyle w:val="TableParagraph"/>
              <w:rPr>
                <w:b/>
                <w:sz w:val="22"/>
              </w:rPr>
            </w:pPr>
          </w:p>
          <w:p>
            <w:pPr>
              <w:pStyle w:val="TableParagraph"/>
              <w:spacing w:before="7"/>
              <w:rPr>
                <w:b/>
                <w:sz w:val="26"/>
              </w:rPr>
            </w:pPr>
          </w:p>
          <w:p>
            <w:pPr>
              <w:pStyle w:val="TableParagraph"/>
              <w:ind w:left="85" w:right="76"/>
              <w:jc w:val="center"/>
              <w:rPr>
                <w:sz w:val="20"/>
              </w:rPr>
            </w:pPr>
            <w:r>
              <w:rPr>
                <w:sz w:val="20"/>
              </w:rPr>
              <w:t>2890[7]</w:t>
            </w:r>
          </w:p>
        </w:tc>
        <w:tc>
          <w:tcPr>
            <w:tcW w:w="540" w:type="dxa"/>
          </w:tcPr>
          <w:p>
            <w:pPr>
              <w:pStyle w:val="TableParagraph"/>
              <w:rPr>
                <w:b/>
                <w:sz w:val="22"/>
              </w:rPr>
            </w:pPr>
          </w:p>
          <w:p>
            <w:pPr>
              <w:pStyle w:val="TableParagraph"/>
              <w:rPr>
                <w:b/>
                <w:sz w:val="22"/>
              </w:rPr>
            </w:pPr>
          </w:p>
          <w:p>
            <w:pPr>
              <w:pStyle w:val="TableParagraph"/>
              <w:rPr>
                <w:b/>
                <w:sz w:val="22"/>
              </w:rPr>
            </w:pPr>
          </w:p>
          <w:p>
            <w:pPr>
              <w:pStyle w:val="TableParagraph"/>
              <w:spacing w:before="7"/>
              <w:rPr>
                <w:b/>
                <w:sz w:val="26"/>
              </w:rPr>
            </w:pPr>
          </w:p>
          <w:p>
            <w:pPr>
              <w:pStyle w:val="TableParagraph"/>
              <w:ind w:left="8"/>
              <w:jc w:val="center"/>
              <w:rPr>
                <w:sz w:val="20"/>
              </w:rPr>
            </w:pPr>
            <w:r>
              <w:rPr>
                <w:w w:val="99"/>
                <w:sz w:val="20"/>
              </w:rPr>
              <w:t>0</w:t>
            </w:r>
          </w:p>
        </w:tc>
        <w:tc>
          <w:tcPr>
            <w:tcW w:w="516" w:type="dxa"/>
          </w:tcPr>
          <w:p>
            <w:pPr>
              <w:pStyle w:val="TableParagraph"/>
              <w:rPr>
                <w:b/>
                <w:sz w:val="22"/>
              </w:rPr>
            </w:pPr>
          </w:p>
          <w:p>
            <w:pPr>
              <w:pStyle w:val="TableParagraph"/>
              <w:rPr>
                <w:b/>
                <w:sz w:val="22"/>
              </w:rPr>
            </w:pPr>
          </w:p>
          <w:p>
            <w:pPr>
              <w:pStyle w:val="TableParagraph"/>
              <w:rPr>
                <w:b/>
                <w:sz w:val="22"/>
              </w:rPr>
            </w:pPr>
          </w:p>
          <w:p>
            <w:pPr>
              <w:pStyle w:val="TableParagraph"/>
              <w:spacing w:before="7"/>
              <w:rPr>
                <w:b/>
                <w:sz w:val="26"/>
              </w:rPr>
            </w:pPr>
          </w:p>
          <w:p>
            <w:pPr>
              <w:pStyle w:val="TableParagraph"/>
              <w:ind w:left="7"/>
              <w:jc w:val="center"/>
              <w:rPr>
                <w:sz w:val="20"/>
              </w:rPr>
            </w:pPr>
            <w:r>
              <w:rPr>
                <w:w w:val="99"/>
                <w:sz w:val="20"/>
              </w:rPr>
              <w:t>0</w:t>
            </w:r>
          </w:p>
        </w:tc>
        <w:tc>
          <w:tcPr>
            <w:tcW w:w="607" w:type="dxa"/>
          </w:tcPr>
          <w:p>
            <w:pPr>
              <w:pStyle w:val="TableParagraph"/>
              <w:rPr>
                <w:b/>
                <w:sz w:val="22"/>
              </w:rPr>
            </w:pPr>
          </w:p>
          <w:p>
            <w:pPr>
              <w:pStyle w:val="TableParagraph"/>
              <w:rPr>
                <w:b/>
                <w:sz w:val="22"/>
              </w:rPr>
            </w:pPr>
          </w:p>
          <w:p>
            <w:pPr>
              <w:pStyle w:val="TableParagraph"/>
              <w:rPr>
                <w:b/>
                <w:sz w:val="22"/>
              </w:rPr>
            </w:pPr>
          </w:p>
          <w:p>
            <w:pPr>
              <w:pStyle w:val="TableParagraph"/>
              <w:spacing w:before="7"/>
              <w:rPr>
                <w:b/>
                <w:sz w:val="26"/>
              </w:rPr>
            </w:pPr>
          </w:p>
          <w:p>
            <w:pPr>
              <w:pStyle w:val="TableParagraph"/>
              <w:ind w:right="109"/>
              <w:jc w:val="right"/>
              <w:rPr>
                <w:sz w:val="20"/>
              </w:rPr>
            </w:pPr>
            <w:r>
              <w:rPr>
                <w:sz w:val="20"/>
              </w:rPr>
              <w:t>R/W</w:t>
            </w:r>
          </w:p>
        </w:tc>
        <w:tc>
          <w:tcPr>
            <w:tcW w:w="5030" w:type="dxa"/>
          </w:tcPr>
          <w:p>
            <w:pPr>
              <w:pStyle w:val="TableParagraph"/>
              <w:spacing w:before="18"/>
              <w:ind w:left="107" w:right="126"/>
              <w:rPr>
                <w:sz w:val="20"/>
              </w:rPr>
            </w:pPr>
            <w:r>
              <w:rPr>
                <w:sz w:val="20"/>
              </w:rPr>
              <w:t>Freezes the RTC shadow register so it is suitable for MPU write operations. When </w:t>
            </w:r>
            <w:r>
              <w:rPr>
                <w:rFonts w:ascii="Times New Roman"/>
                <w:i/>
                <w:sz w:val="20"/>
              </w:rPr>
              <w:t>RTC_WR </w:t>
            </w:r>
            <w:r>
              <w:rPr>
                <w:sz w:val="20"/>
              </w:rPr>
              <w:t>is cleared, the contents of the shadow register are written to the</w:t>
            </w:r>
            <w:r>
              <w:rPr>
                <w:spacing w:val="-25"/>
                <w:sz w:val="20"/>
              </w:rPr>
              <w:t> </w:t>
            </w:r>
            <w:r>
              <w:rPr>
                <w:sz w:val="20"/>
              </w:rPr>
              <w:t>RTC counter on the next RTC clock (~1 kHz). When </w:t>
            </w:r>
            <w:r>
              <w:rPr>
                <w:rFonts w:ascii="Times New Roman"/>
                <w:i/>
                <w:sz w:val="20"/>
              </w:rPr>
              <w:t>RTC_WR </w:t>
            </w:r>
            <w:r>
              <w:rPr>
                <w:sz w:val="20"/>
              </w:rPr>
              <w:t>is read, it returns 1 as long as </w:t>
            </w:r>
            <w:r>
              <w:rPr>
                <w:rFonts w:ascii="Times New Roman"/>
                <w:i/>
                <w:sz w:val="20"/>
              </w:rPr>
              <w:t>RTC_WR </w:t>
            </w:r>
            <w:r>
              <w:rPr>
                <w:sz w:val="20"/>
              </w:rPr>
              <w:t>is set, and continues to return one until the RTC counter is</w:t>
            </w:r>
            <w:r>
              <w:rPr>
                <w:spacing w:val="-1"/>
                <w:sz w:val="20"/>
              </w:rPr>
              <w:t> </w:t>
            </w:r>
            <w:r>
              <w:rPr>
                <w:sz w:val="20"/>
              </w:rPr>
              <w:t>updated.</w:t>
            </w:r>
          </w:p>
          <w:p>
            <w:pPr>
              <w:pStyle w:val="TableParagraph"/>
              <w:spacing w:before="18"/>
              <w:ind w:left="108" w:right="162"/>
              <w:rPr>
                <w:sz w:val="20"/>
              </w:rPr>
            </w:pPr>
            <w:r>
              <w:rPr>
                <w:spacing w:val="-4"/>
                <w:sz w:val="20"/>
              </w:rPr>
              <w:t>Writing </w:t>
            </w:r>
            <w:r>
              <w:rPr>
                <w:sz w:val="20"/>
              </w:rPr>
              <w:t>0 </w:t>
            </w:r>
            <w:r>
              <w:rPr>
                <w:spacing w:val="-3"/>
                <w:sz w:val="20"/>
              </w:rPr>
              <w:t>to RTC_WR </w:t>
            </w:r>
            <w:r>
              <w:rPr>
                <w:spacing w:val="-4"/>
                <w:sz w:val="20"/>
              </w:rPr>
              <w:t>bit </w:t>
            </w:r>
            <w:r>
              <w:rPr>
                <w:sz w:val="20"/>
              </w:rPr>
              <w:t>to </w:t>
            </w:r>
            <w:r>
              <w:rPr>
                <w:spacing w:val="-4"/>
                <w:sz w:val="20"/>
              </w:rPr>
              <w:t>enable copying </w:t>
            </w:r>
            <w:r>
              <w:rPr>
                <w:sz w:val="20"/>
              </w:rPr>
              <w:t>the </w:t>
            </w:r>
            <w:r>
              <w:rPr>
                <w:spacing w:val="-4"/>
                <w:sz w:val="20"/>
              </w:rPr>
              <w:t>shadow register contents </w:t>
            </w:r>
            <w:r>
              <w:rPr>
                <w:spacing w:val="-3"/>
                <w:sz w:val="20"/>
              </w:rPr>
              <w:t>to RTC </w:t>
            </w:r>
            <w:r>
              <w:rPr>
                <w:spacing w:val="-4"/>
                <w:sz w:val="20"/>
              </w:rPr>
              <w:t>counter, </w:t>
            </w:r>
            <w:r>
              <w:rPr>
                <w:spacing w:val="-3"/>
                <w:sz w:val="20"/>
              </w:rPr>
              <w:t>and </w:t>
            </w:r>
            <w:r>
              <w:rPr>
                <w:spacing w:val="-4"/>
                <w:sz w:val="20"/>
              </w:rPr>
              <w:t>writing </w:t>
            </w:r>
            <w:r>
              <w:rPr>
                <w:sz w:val="20"/>
              </w:rPr>
              <w:t>1 </w:t>
            </w:r>
            <w:r>
              <w:rPr>
                <w:spacing w:val="-3"/>
                <w:sz w:val="20"/>
              </w:rPr>
              <w:t>to</w:t>
            </w:r>
          </w:p>
          <w:p>
            <w:pPr>
              <w:pStyle w:val="TableParagraph"/>
              <w:spacing w:before="4"/>
              <w:ind w:left="108"/>
              <w:rPr>
                <w:sz w:val="20"/>
              </w:rPr>
            </w:pPr>
            <w:r>
              <w:rPr>
                <w:sz w:val="20"/>
              </w:rPr>
              <w:t>RTC_WR to disable copying</w:t>
            </w:r>
          </w:p>
        </w:tc>
      </w:tr>
      <w:tr>
        <w:trPr>
          <w:trHeight w:val="729" w:hRule="atLeast"/>
        </w:trPr>
        <w:tc>
          <w:tcPr>
            <w:tcW w:w="1584" w:type="dxa"/>
          </w:tcPr>
          <w:p>
            <w:pPr>
              <w:pStyle w:val="TableParagraph"/>
              <w:spacing w:before="3"/>
              <w:rPr>
                <w:b/>
                <w:sz w:val="21"/>
              </w:rPr>
            </w:pPr>
          </w:p>
          <w:p>
            <w:pPr>
              <w:pStyle w:val="TableParagraph"/>
              <w:ind w:left="107"/>
              <w:rPr>
                <w:rFonts w:ascii="Times New Roman"/>
                <w:i/>
                <w:sz w:val="20"/>
              </w:rPr>
            </w:pPr>
            <w:r>
              <w:rPr>
                <w:rFonts w:ascii="Times New Roman"/>
                <w:i/>
                <w:sz w:val="20"/>
              </w:rPr>
              <w:t>RTC_FAIL</w:t>
            </w:r>
          </w:p>
        </w:tc>
        <w:tc>
          <w:tcPr>
            <w:tcW w:w="1082" w:type="dxa"/>
          </w:tcPr>
          <w:p>
            <w:pPr>
              <w:pStyle w:val="TableParagraph"/>
              <w:spacing w:before="7"/>
              <w:rPr>
                <w:b/>
                <w:sz w:val="21"/>
              </w:rPr>
            </w:pPr>
          </w:p>
          <w:p>
            <w:pPr>
              <w:pStyle w:val="TableParagraph"/>
              <w:ind w:left="85" w:right="76"/>
              <w:jc w:val="center"/>
              <w:rPr>
                <w:sz w:val="20"/>
              </w:rPr>
            </w:pPr>
            <w:r>
              <w:rPr>
                <w:sz w:val="20"/>
              </w:rPr>
              <w:t>2890[4]</w:t>
            </w:r>
          </w:p>
        </w:tc>
        <w:tc>
          <w:tcPr>
            <w:tcW w:w="540" w:type="dxa"/>
          </w:tcPr>
          <w:p>
            <w:pPr>
              <w:pStyle w:val="TableParagraph"/>
              <w:spacing w:before="7"/>
              <w:rPr>
                <w:b/>
                <w:sz w:val="21"/>
              </w:rPr>
            </w:pPr>
          </w:p>
          <w:p>
            <w:pPr>
              <w:pStyle w:val="TableParagraph"/>
              <w:ind w:left="8"/>
              <w:jc w:val="center"/>
              <w:rPr>
                <w:sz w:val="20"/>
              </w:rPr>
            </w:pPr>
            <w:r>
              <w:rPr>
                <w:w w:val="99"/>
                <w:sz w:val="20"/>
              </w:rPr>
              <w:t>0</w:t>
            </w:r>
          </w:p>
        </w:tc>
        <w:tc>
          <w:tcPr>
            <w:tcW w:w="516" w:type="dxa"/>
          </w:tcPr>
          <w:p>
            <w:pPr>
              <w:pStyle w:val="TableParagraph"/>
              <w:spacing w:before="7"/>
              <w:rPr>
                <w:b/>
                <w:sz w:val="21"/>
              </w:rPr>
            </w:pPr>
          </w:p>
          <w:p>
            <w:pPr>
              <w:pStyle w:val="TableParagraph"/>
              <w:ind w:left="7"/>
              <w:jc w:val="center"/>
              <w:rPr>
                <w:sz w:val="20"/>
              </w:rPr>
            </w:pPr>
            <w:r>
              <w:rPr>
                <w:w w:val="99"/>
                <w:sz w:val="20"/>
              </w:rPr>
              <w:t>0</w:t>
            </w:r>
          </w:p>
        </w:tc>
        <w:tc>
          <w:tcPr>
            <w:tcW w:w="607" w:type="dxa"/>
          </w:tcPr>
          <w:p>
            <w:pPr>
              <w:pStyle w:val="TableParagraph"/>
              <w:spacing w:before="7"/>
              <w:rPr>
                <w:b/>
                <w:sz w:val="21"/>
              </w:rPr>
            </w:pPr>
          </w:p>
          <w:p>
            <w:pPr>
              <w:pStyle w:val="TableParagraph"/>
              <w:ind w:right="109"/>
              <w:jc w:val="right"/>
              <w:rPr>
                <w:sz w:val="20"/>
              </w:rPr>
            </w:pPr>
            <w:r>
              <w:rPr>
                <w:sz w:val="20"/>
              </w:rPr>
              <w:t>R/W</w:t>
            </w:r>
          </w:p>
        </w:tc>
        <w:tc>
          <w:tcPr>
            <w:tcW w:w="5030" w:type="dxa"/>
          </w:tcPr>
          <w:p>
            <w:pPr>
              <w:pStyle w:val="TableParagraph"/>
              <w:spacing w:before="18"/>
              <w:ind w:left="108" w:right="289"/>
              <w:rPr>
                <w:sz w:val="20"/>
              </w:rPr>
            </w:pPr>
            <w:r>
              <w:rPr>
                <w:sz w:val="20"/>
              </w:rPr>
              <w:t>Indicates that a count error has occurred in the RTC and that the time is not trustworthy. This bit can be cleared by writing a 0.</w:t>
            </w:r>
          </w:p>
        </w:tc>
      </w:tr>
      <w:tr>
        <w:trPr>
          <w:trHeight w:val="501" w:hRule="atLeast"/>
        </w:trPr>
        <w:tc>
          <w:tcPr>
            <w:tcW w:w="1584" w:type="dxa"/>
          </w:tcPr>
          <w:p>
            <w:pPr>
              <w:pStyle w:val="TableParagraph"/>
              <w:spacing w:before="130"/>
              <w:ind w:left="107"/>
              <w:rPr>
                <w:rFonts w:ascii="Times New Roman"/>
                <w:i/>
                <w:sz w:val="20"/>
              </w:rPr>
            </w:pPr>
            <w:r>
              <w:rPr>
                <w:rFonts w:ascii="Times New Roman"/>
                <w:i/>
                <w:sz w:val="20"/>
              </w:rPr>
              <w:t>RTC_SBSC[7:0]</w:t>
            </w:r>
          </w:p>
        </w:tc>
        <w:tc>
          <w:tcPr>
            <w:tcW w:w="1082" w:type="dxa"/>
          </w:tcPr>
          <w:p>
            <w:pPr>
              <w:pStyle w:val="TableParagraph"/>
              <w:spacing w:before="133"/>
              <w:ind w:left="85" w:right="76"/>
              <w:jc w:val="center"/>
              <w:rPr>
                <w:sz w:val="20"/>
              </w:rPr>
            </w:pPr>
            <w:r>
              <w:rPr>
                <w:sz w:val="20"/>
              </w:rPr>
              <w:t>2892[7:0]</w:t>
            </w:r>
          </w:p>
        </w:tc>
        <w:tc>
          <w:tcPr>
            <w:tcW w:w="540" w:type="dxa"/>
          </w:tcPr>
          <w:p>
            <w:pPr>
              <w:pStyle w:val="TableParagraph"/>
              <w:rPr>
                <w:rFonts w:ascii="Times New Roman"/>
                <w:sz w:val="18"/>
              </w:rPr>
            </w:pPr>
          </w:p>
        </w:tc>
        <w:tc>
          <w:tcPr>
            <w:tcW w:w="516" w:type="dxa"/>
          </w:tcPr>
          <w:p>
            <w:pPr>
              <w:pStyle w:val="TableParagraph"/>
              <w:rPr>
                <w:rFonts w:ascii="Times New Roman"/>
                <w:sz w:val="18"/>
              </w:rPr>
            </w:pPr>
          </w:p>
        </w:tc>
        <w:tc>
          <w:tcPr>
            <w:tcW w:w="607" w:type="dxa"/>
          </w:tcPr>
          <w:p>
            <w:pPr>
              <w:pStyle w:val="TableParagraph"/>
              <w:spacing w:before="133"/>
              <w:ind w:left="8"/>
              <w:jc w:val="center"/>
              <w:rPr>
                <w:sz w:val="20"/>
              </w:rPr>
            </w:pPr>
            <w:r>
              <w:rPr>
                <w:w w:val="99"/>
                <w:sz w:val="20"/>
              </w:rPr>
              <w:t>R</w:t>
            </w:r>
          </w:p>
        </w:tc>
        <w:tc>
          <w:tcPr>
            <w:tcW w:w="5030" w:type="dxa"/>
          </w:tcPr>
          <w:p>
            <w:pPr>
              <w:pStyle w:val="TableParagraph"/>
              <w:spacing w:before="21"/>
              <w:ind w:left="108" w:right="162"/>
              <w:rPr>
                <w:sz w:val="20"/>
              </w:rPr>
            </w:pPr>
            <w:r>
              <w:rPr>
                <w:sz w:val="20"/>
              </w:rPr>
              <w:t>Time remaining since the last 1 second boundary. LSB = 1/128 second.</w:t>
            </w:r>
          </w:p>
        </w:tc>
      </w:tr>
    </w:tbl>
    <w:p>
      <w:pPr>
        <w:spacing w:after="0"/>
        <w:rPr>
          <w:sz w:val="20"/>
        </w:rPr>
        <w:sectPr>
          <w:pgSz w:w="12240" w:h="15840"/>
          <w:pgMar w:header="727" w:footer="819" w:top="960" w:bottom="1000" w:left="1200" w:right="1060"/>
        </w:sectPr>
      </w:pPr>
    </w:p>
    <w:p>
      <w:pPr>
        <w:pStyle w:val="BodyText"/>
        <w:spacing w:before="8"/>
        <w:rPr>
          <w:b/>
          <w:sz w:val="16"/>
        </w:rPr>
      </w:pPr>
    </w:p>
    <w:p>
      <w:pPr>
        <w:pStyle w:val="ListParagraph"/>
        <w:numPr>
          <w:ilvl w:val="3"/>
          <w:numId w:val="7"/>
        </w:numPr>
        <w:tabs>
          <w:tab w:pos="960" w:val="left" w:leader="none"/>
        </w:tabs>
        <w:spacing w:line="240" w:lineRule="auto" w:before="93" w:after="0"/>
        <w:ind w:left="959" w:right="0" w:hanging="720"/>
        <w:jc w:val="left"/>
        <w:rPr>
          <w:b/>
          <w:sz w:val="20"/>
        </w:rPr>
      </w:pPr>
      <w:bookmarkStart w:name="2.5.4.3 RTC Rate Control" w:id="211"/>
      <w:bookmarkEnd w:id="211"/>
      <w:r>
        <w:rPr/>
      </w:r>
      <w:bookmarkStart w:name="_bookmark104" w:id="212"/>
      <w:bookmarkEnd w:id="212"/>
      <w:r>
        <w:rPr/>
      </w:r>
      <w:bookmarkStart w:name="_bookmark104" w:id="213"/>
      <w:bookmarkEnd w:id="213"/>
      <w:r>
        <w:rPr>
          <w:b/>
          <w:sz w:val="20"/>
        </w:rPr>
        <w:t>R</w:t>
      </w:r>
      <w:r>
        <w:rPr>
          <w:b/>
          <w:sz w:val="20"/>
        </w:rPr>
        <w:t>TC Rate</w:t>
      </w:r>
      <w:r>
        <w:rPr>
          <w:b/>
          <w:spacing w:val="-3"/>
          <w:sz w:val="20"/>
        </w:rPr>
        <w:t> </w:t>
      </w:r>
      <w:r>
        <w:rPr>
          <w:b/>
          <w:sz w:val="20"/>
        </w:rPr>
        <w:t>Control</w:t>
      </w:r>
    </w:p>
    <w:p>
      <w:pPr>
        <w:pStyle w:val="BodyText"/>
        <w:spacing w:before="79"/>
        <w:ind w:left="239"/>
      </w:pPr>
      <w:r>
        <w:rPr/>
        <w:t>The 71M6543 has two rate adjustment mechanisms:</w:t>
      </w:r>
    </w:p>
    <w:p>
      <w:pPr>
        <w:pStyle w:val="ListParagraph"/>
        <w:numPr>
          <w:ilvl w:val="0"/>
          <w:numId w:val="15"/>
        </w:numPr>
        <w:tabs>
          <w:tab w:pos="599" w:val="left" w:leader="none"/>
          <w:tab w:pos="600" w:val="left" w:leader="none"/>
        </w:tabs>
        <w:spacing w:line="241" w:lineRule="exact" w:before="122" w:after="0"/>
        <w:ind w:left="599" w:right="0" w:hanging="361"/>
        <w:jc w:val="left"/>
        <w:rPr>
          <w:sz w:val="20"/>
        </w:rPr>
      </w:pPr>
      <w:r>
        <w:rPr>
          <w:sz w:val="20"/>
        </w:rPr>
        <w:t>The first rate adjustment mechanism is an analog rate adjustment, using the I/O RAM</w:t>
      </w:r>
      <w:r>
        <w:rPr>
          <w:spacing w:val="-20"/>
          <w:sz w:val="20"/>
        </w:rPr>
        <w:t> </w:t>
      </w:r>
      <w:r>
        <w:rPr>
          <w:sz w:val="20"/>
        </w:rPr>
        <w:t>register</w:t>
      </w:r>
    </w:p>
    <w:p>
      <w:pPr>
        <w:spacing w:line="227" w:lineRule="exact" w:before="0"/>
        <w:ind w:left="599" w:right="0" w:firstLine="0"/>
        <w:jc w:val="left"/>
        <w:rPr>
          <w:sz w:val="20"/>
        </w:rPr>
      </w:pPr>
      <w:r>
        <w:rPr>
          <w:rFonts w:ascii="Times New Roman"/>
          <w:i/>
          <w:sz w:val="20"/>
        </w:rPr>
        <w:t>RTCA_ADJ[6:0], </w:t>
      </w:r>
      <w:r>
        <w:rPr>
          <w:sz w:val="20"/>
        </w:rPr>
        <w:t>that trims the crystal load capacitance.</w:t>
      </w:r>
    </w:p>
    <w:p>
      <w:pPr>
        <w:pStyle w:val="ListParagraph"/>
        <w:numPr>
          <w:ilvl w:val="0"/>
          <w:numId w:val="15"/>
        </w:numPr>
        <w:tabs>
          <w:tab w:pos="599" w:val="left" w:leader="none"/>
          <w:tab w:pos="600" w:val="left" w:leader="none"/>
        </w:tabs>
        <w:spacing w:line="240" w:lineRule="auto" w:before="46" w:after="0"/>
        <w:ind w:left="599" w:right="530" w:hanging="360"/>
        <w:jc w:val="left"/>
        <w:rPr>
          <w:sz w:val="20"/>
        </w:rPr>
      </w:pPr>
      <w:r>
        <w:rPr>
          <w:sz w:val="20"/>
        </w:rPr>
        <w:t>The</w:t>
      </w:r>
      <w:r>
        <w:rPr>
          <w:spacing w:val="-15"/>
          <w:sz w:val="20"/>
        </w:rPr>
        <w:t> </w:t>
      </w:r>
      <w:r>
        <w:rPr>
          <w:sz w:val="20"/>
        </w:rPr>
        <w:t>second</w:t>
      </w:r>
      <w:r>
        <w:rPr>
          <w:spacing w:val="-15"/>
          <w:sz w:val="20"/>
        </w:rPr>
        <w:t> </w:t>
      </w:r>
      <w:r>
        <w:rPr>
          <w:sz w:val="20"/>
        </w:rPr>
        <w:t>rate</w:t>
      </w:r>
      <w:r>
        <w:rPr>
          <w:spacing w:val="-14"/>
          <w:sz w:val="20"/>
        </w:rPr>
        <w:t> </w:t>
      </w:r>
      <w:r>
        <w:rPr>
          <w:sz w:val="20"/>
        </w:rPr>
        <w:t>adjustment</w:t>
      </w:r>
      <w:r>
        <w:rPr>
          <w:spacing w:val="-12"/>
          <w:sz w:val="20"/>
        </w:rPr>
        <w:t> </w:t>
      </w:r>
      <w:r>
        <w:rPr>
          <w:sz w:val="20"/>
        </w:rPr>
        <w:t>mechanism</w:t>
      </w:r>
      <w:r>
        <w:rPr>
          <w:spacing w:val="-11"/>
          <w:sz w:val="20"/>
        </w:rPr>
        <w:t> </w:t>
      </w:r>
      <w:r>
        <w:rPr>
          <w:sz w:val="20"/>
        </w:rPr>
        <w:t>is</w:t>
      </w:r>
      <w:r>
        <w:rPr>
          <w:spacing w:val="-12"/>
          <w:sz w:val="20"/>
        </w:rPr>
        <w:t> </w:t>
      </w:r>
      <w:r>
        <w:rPr>
          <w:sz w:val="20"/>
        </w:rPr>
        <w:t>a</w:t>
      </w:r>
      <w:r>
        <w:rPr>
          <w:spacing w:val="-15"/>
          <w:sz w:val="20"/>
        </w:rPr>
        <w:t> </w:t>
      </w:r>
      <w:r>
        <w:rPr>
          <w:sz w:val="20"/>
        </w:rPr>
        <w:t>digital</w:t>
      </w:r>
      <w:r>
        <w:rPr>
          <w:spacing w:val="-16"/>
          <w:sz w:val="20"/>
        </w:rPr>
        <w:t> </w:t>
      </w:r>
      <w:r>
        <w:rPr>
          <w:sz w:val="20"/>
        </w:rPr>
        <w:t>rate</w:t>
      </w:r>
      <w:r>
        <w:rPr>
          <w:spacing w:val="-10"/>
          <w:sz w:val="20"/>
        </w:rPr>
        <w:t> </w:t>
      </w:r>
      <w:r>
        <w:rPr>
          <w:spacing w:val="-3"/>
          <w:sz w:val="20"/>
        </w:rPr>
        <w:t>adjust</w:t>
      </w:r>
      <w:r>
        <w:rPr>
          <w:spacing w:val="-13"/>
          <w:sz w:val="20"/>
        </w:rPr>
        <w:t> </w:t>
      </w:r>
      <w:r>
        <w:rPr>
          <w:sz w:val="20"/>
        </w:rPr>
        <w:t>that</w:t>
      </w:r>
      <w:r>
        <w:rPr>
          <w:spacing w:val="-13"/>
          <w:sz w:val="20"/>
        </w:rPr>
        <w:t> </w:t>
      </w:r>
      <w:r>
        <w:rPr>
          <w:sz w:val="20"/>
        </w:rPr>
        <w:t>affects</w:t>
      </w:r>
      <w:r>
        <w:rPr>
          <w:spacing w:val="-13"/>
          <w:sz w:val="20"/>
        </w:rPr>
        <w:t> </w:t>
      </w:r>
      <w:r>
        <w:rPr>
          <w:sz w:val="20"/>
        </w:rPr>
        <w:t>the</w:t>
      </w:r>
      <w:r>
        <w:rPr>
          <w:spacing w:val="-13"/>
          <w:sz w:val="20"/>
        </w:rPr>
        <w:t> </w:t>
      </w:r>
      <w:r>
        <w:rPr>
          <w:sz w:val="20"/>
        </w:rPr>
        <w:t>way</w:t>
      </w:r>
      <w:r>
        <w:rPr>
          <w:spacing w:val="-16"/>
          <w:sz w:val="20"/>
        </w:rPr>
        <w:t> </w:t>
      </w:r>
      <w:r>
        <w:rPr>
          <w:sz w:val="20"/>
        </w:rPr>
        <w:t>the</w:t>
      </w:r>
      <w:r>
        <w:rPr>
          <w:spacing w:val="-15"/>
          <w:sz w:val="20"/>
        </w:rPr>
        <w:t> </w:t>
      </w:r>
      <w:r>
        <w:rPr>
          <w:sz w:val="20"/>
        </w:rPr>
        <w:t>clock</w:t>
      </w:r>
      <w:r>
        <w:rPr>
          <w:spacing w:val="-12"/>
          <w:sz w:val="20"/>
        </w:rPr>
        <w:t> </w:t>
      </w:r>
      <w:r>
        <w:rPr>
          <w:sz w:val="20"/>
        </w:rPr>
        <w:t>frequency is processed in the</w:t>
      </w:r>
      <w:r>
        <w:rPr>
          <w:spacing w:val="-2"/>
          <w:sz w:val="20"/>
        </w:rPr>
        <w:t> </w:t>
      </w:r>
      <w:r>
        <w:rPr>
          <w:sz w:val="20"/>
        </w:rPr>
        <w:t>RTC.</w:t>
      </w:r>
    </w:p>
    <w:p>
      <w:pPr>
        <w:pStyle w:val="BodyText"/>
        <w:spacing w:before="6"/>
        <w:rPr>
          <w:sz w:val="19"/>
        </w:rPr>
      </w:pPr>
    </w:p>
    <w:p>
      <w:pPr>
        <w:pStyle w:val="BodyText"/>
        <w:spacing w:line="242" w:lineRule="auto" w:before="1"/>
        <w:ind w:left="239" w:right="401"/>
      </w:pPr>
      <w:r>
        <w:rPr/>
        <w:t>Setting </w:t>
      </w:r>
      <w:r>
        <w:rPr>
          <w:rFonts w:ascii="Times New Roman"/>
          <w:i/>
        </w:rPr>
        <w:t>RTCA_ADJ[6:0] </w:t>
      </w:r>
      <w:r>
        <w:rPr/>
        <w:t>to 00 minimizes the load capacitance, maximizing the </w:t>
      </w:r>
      <w:r>
        <w:rPr>
          <w:spacing w:val="-3"/>
        </w:rPr>
        <w:t>oscillator </w:t>
      </w:r>
      <w:r>
        <w:rPr/>
        <w:t>frequency. </w:t>
      </w:r>
      <w:r>
        <w:rPr>
          <w:spacing w:val="-3"/>
        </w:rPr>
        <w:t>Setting </w:t>
      </w:r>
      <w:r>
        <w:rPr>
          <w:rFonts w:ascii="Times New Roman"/>
          <w:i/>
          <w:spacing w:val="-3"/>
        </w:rPr>
        <w:t>RTCA_ADJ[6:0] </w:t>
      </w:r>
      <w:r>
        <w:rPr/>
        <w:t>to </w:t>
      </w:r>
      <w:r>
        <w:rPr>
          <w:spacing w:val="-3"/>
        </w:rPr>
        <w:t>0x7F maximizes </w:t>
      </w:r>
      <w:r>
        <w:rPr/>
        <w:t>the </w:t>
      </w:r>
      <w:r>
        <w:rPr>
          <w:spacing w:val="-3"/>
        </w:rPr>
        <w:t>load capacitance, minimizing </w:t>
      </w:r>
      <w:r>
        <w:rPr/>
        <w:t>the </w:t>
      </w:r>
      <w:r>
        <w:rPr>
          <w:spacing w:val="-3"/>
        </w:rPr>
        <w:t>oscillator frequency. </w:t>
      </w:r>
      <w:r>
        <w:rPr/>
        <w:t>The </w:t>
      </w:r>
      <w:r>
        <w:rPr>
          <w:spacing w:val="-3"/>
        </w:rPr>
        <w:t>adjustable </w:t>
      </w:r>
      <w:r>
        <w:rPr/>
        <w:t>capacitance is approximately:</w:t>
      </w:r>
    </w:p>
    <w:p>
      <w:pPr>
        <w:spacing w:after="0" w:line="242" w:lineRule="auto"/>
        <w:sectPr>
          <w:pgSz w:w="12240" w:h="15840"/>
          <w:pgMar w:header="727" w:footer="819" w:top="960" w:bottom="1000" w:left="1200" w:right="1060"/>
        </w:sectPr>
      </w:pPr>
    </w:p>
    <w:p>
      <w:pPr>
        <w:spacing w:before="281"/>
        <w:ind w:left="0" w:right="0" w:firstLine="0"/>
        <w:jc w:val="right"/>
        <w:rPr>
          <w:rFonts w:ascii="Times New Roman"/>
          <w:i/>
          <w:sz w:val="14"/>
        </w:rPr>
      </w:pPr>
      <w:r>
        <w:rPr>
          <w:rFonts w:ascii="Times New Roman"/>
          <w:i/>
          <w:w w:val="95"/>
          <w:position w:val="6"/>
          <w:sz w:val="25"/>
        </w:rPr>
        <w:t>C</w:t>
      </w:r>
      <w:r>
        <w:rPr>
          <w:rFonts w:ascii="Times New Roman"/>
          <w:i/>
          <w:w w:val="95"/>
          <w:sz w:val="14"/>
        </w:rPr>
        <w:t>ADJ</w:t>
      </w:r>
    </w:p>
    <w:p>
      <w:pPr>
        <w:spacing w:line="187" w:lineRule="auto" w:before="138"/>
        <w:ind w:left="55" w:right="0" w:firstLine="0"/>
        <w:jc w:val="left"/>
        <w:rPr>
          <w:rFonts w:ascii="Times New Roman" w:hAnsi="Times New Roman"/>
          <w:i/>
          <w:sz w:val="25"/>
        </w:rPr>
      </w:pPr>
      <w:r>
        <w:rPr/>
        <w:br w:type="column"/>
      </w:r>
      <w:r>
        <w:rPr>
          <w:rFonts w:ascii="Symbol" w:hAnsi="Symbol"/>
          <w:position w:val="-15"/>
          <w:sz w:val="25"/>
        </w:rPr>
        <w:t></w:t>
      </w:r>
      <w:r>
        <w:rPr>
          <w:rFonts w:ascii="Times New Roman" w:hAnsi="Times New Roman"/>
          <w:position w:val="-15"/>
          <w:sz w:val="25"/>
        </w:rPr>
        <w:t> </w:t>
      </w:r>
      <w:r>
        <w:rPr>
          <w:rFonts w:ascii="Times New Roman" w:hAnsi="Times New Roman"/>
          <w:i/>
          <w:sz w:val="25"/>
        </w:rPr>
        <w:t>RTCA </w:t>
      </w:r>
      <w:r>
        <w:rPr>
          <w:rFonts w:ascii="Times New Roman" w:hAnsi="Times New Roman"/>
          <w:sz w:val="25"/>
        </w:rPr>
        <w:t>_ </w:t>
      </w:r>
      <w:r>
        <w:rPr>
          <w:rFonts w:ascii="Times New Roman" w:hAnsi="Times New Roman"/>
          <w:i/>
          <w:sz w:val="25"/>
        </w:rPr>
        <w:t>ADJ </w:t>
      </w:r>
      <w:r>
        <w:rPr>
          <w:rFonts w:ascii="Symbol" w:hAnsi="Symbol"/>
          <w:position w:val="-15"/>
          <w:sz w:val="25"/>
        </w:rPr>
        <w:t></w:t>
      </w:r>
      <w:r>
        <w:rPr>
          <w:rFonts w:ascii="Times New Roman" w:hAnsi="Times New Roman"/>
          <w:position w:val="-15"/>
          <w:sz w:val="25"/>
        </w:rPr>
        <w:t>16.5 </w:t>
      </w:r>
      <w:r>
        <w:rPr>
          <w:rFonts w:ascii="Times New Roman" w:hAnsi="Times New Roman"/>
          <w:i/>
          <w:position w:val="-15"/>
          <w:sz w:val="25"/>
        </w:rPr>
        <w:t>pF</w:t>
      </w:r>
    </w:p>
    <w:p>
      <w:pPr>
        <w:spacing w:line="241" w:lineRule="exact" w:before="0"/>
        <w:ind w:left="707" w:right="0" w:firstLine="0"/>
        <w:jc w:val="left"/>
        <w:rPr>
          <w:rFonts w:ascii="Times New Roman"/>
          <w:sz w:val="25"/>
        </w:rPr>
      </w:pPr>
      <w:r>
        <w:rPr/>
        <w:pict>
          <v:line style="position:absolute;mso-position-horizontal-relative:page;mso-position-vertical-relative:paragraph;z-index:-38810624" from="269.940216pt,-3.64605pt" to="334.552989pt,-3.64605pt" stroked="true" strokeweight=".520162pt" strokecolor="#000000">
            <v:stroke dashstyle="solid"/>
            <w10:wrap type="none"/>
          </v:line>
        </w:pict>
      </w:r>
      <w:r>
        <w:rPr>
          <w:rFonts w:ascii="Times New Roman"/>
          <w:sz w:val="25"/>
        </w:rPr>
        <w:t>128</w:t>
      </w:r>
    </w:p>
    <w:p>
      <w:pPr>
        <w:spacing w:after="0" w:line="241" w:lineRule="exact"/>
        <w:jc w:val="left"/>
        <w:rPr>
          <w:rFonts w:ascii="Times New Roman"/>
          <w:sz w:val="25"/>
        </w:rPr>
        <w:sectPr>
          <w:type w:val="continuous"/>
          <w:pgSz w:w="12240" w:h="15840"/>
          <w:pgMar w:top="940" w:bottom="280" w:left="1200" w:right="1060"/>
          <w:cols w:num="2" w:equalWidth="0">
            <w:col w:w="3913" w:space="40"/>
            <w:col w:w="6027"/>
          </w:cols>
        </w:sectPr>
      </w:pPr>
    </w:p>
    <w:p>
      <w:pPr>
        <w:pStyle w:val="BodyText"/>
        <w:spacing w:line="230" w:lineRule="auto" w:before="118"/>
        <w:ind w:left="240" w:right="401"/>
      </w:pPr>
      <w:r>
        <w:rPr/>
        <w:t>The precise amount of adjustment </w:t>
      </w:r>
      <w:r>
        <w:rPr>
          <w:spacing w:val="-3"/>
        </w:rPr>
        <w:t>depends </w:t>
      </w:r>
      <w:r>
        <w:rPr/>
        <w:t>on the crystal properties, the PCB </w:t>
      </w:r>
      <w:r>
        <w:rPr>
          <w:spacing w:val="-3"/>
        </w:rPr>
        <w:t>layout </w:t>
      </w:r>
      <w:r>
        <w:rPr/>
        <w:t>and the value of </w:t>
      </w:r>
      <w:r>
        <w:rPr>
          <w:spacing w:val="-3"/>
        </w:rPr>
        <w:t>the </w:t>
      </w:r>
      <w:r>
        <w:rPr/>
        <w:t>external</w:t>
      </w:r>
      <w:r>
        <w:rPr>
          <w:spacing w:val="-15"/>
        </w:rPr>
        <w:t> </w:t>
      </w:r>
      <w:r>
        <w:rPr/>
        <w:t>crystal</w:t>
      </w:r>
      <w:r>
        <w:rPr>
          <w:spacing w:val="-14"/>
        </w:rPr>
        <w:t> </w:t>
      </w:r>
      <w:r>
        <w:rPr/>
        <w:t>capacitors</w:t>
      </w:r>
      <w:r>
        <w:rPr>
          <w:spacing w:val="-12"/>
        </w:rPr>
        <w:t> </w:t>
      </w:r>
      <w:r>
        <w:rPr/>
        <w:t>(see</w:t>
      </w:r>
      <w:r>
        <w:rPr>
          <w:spacing w:val="-11"/>
        </w:rPr>
        <w:t> </w:t>
      </w:r>
      <w:r>
        <w:rPr/>
        <w:t>CXS</w:t>
      </w:r>
      <w:r>
        <w:rPr>
          <w:spacing w:val="-12"/>
        </w:rPr>
        <w:t> </w:t>
      </w:r>
      <w:r>
        <w:rPr/>
        <w:t>and</w:t>
      </w:r>
      <w:r>
        <w:rPr>
          <w:spacing w:val="-11"/>
        </w:rPr>
        <w:t> </w:t>
      </w:r>
      <w:r>
        <w:rPr/>
        <w:t>CXS</w:t>
      </w:r>
      <w:r>
        <w:rPr>
          <w:spacing w:val="-11"/>
        </w:rPr>
        <w:t> </w:t>
      </w:r>
      <w:r>
        <w:rPr/>
        <w:t>in</w:t>
      </w:r>
      <w:r>
        <w:rPr>
          <w:spacing w:val="-14"/>
        </w:rPr>
        <w:t> </w:t>
      </w:r>
      <w:hyperlink w:history="true" w:anchor="_bookmark247">
        <w:r>
          <w:rPr>
            <w:color w:val="0000FF"/>
          </w:rPr>
          <w:t>Table</w:t>
        </w:r>
        <w:r>
          <w:rPr>
            <w:color w:val="0000FF"/>
            <w:spacing w:val="-5"/>
          </w:rPr>
          <w:t> </w:t>
        </w:r>
        <w:r>
          <w:rPr>
            <w:color w:val="0000FF"/>
          </w:rPr>
          <w:t>87</w:t>
        </w:r>
      </w:hyperlink>
      <w:r>
        <w:rPr/>
        <w:t>).</w:t>
      </w:r>
      <w:r>
        <w:rPr>
          <w:spacing w:val="34"/>
        </w:rPr>
        <w:t> </w:t>
      </w:r>
      <w:r>
        <w:rPr/>
        <w:t>The</w:t>
      </w:r>
      <w:r>
        <w:rPr>
          <w:spacing w:val="-11"/>
        </w:rPr>
        <w:t> </w:t>
      </w:r>
      <w:r>
        <w:rPr/>
        <w:t>adjustment</w:t>
      </w:r>
      <w:r>
        <w:rPr>
          <w:spacing w:val="-11"/>
        </w:rPr>
        <w:t> </w:t>
      </w:r>
      <w:r>
        <w:rPr/>
        <w:t>may</w:t>
      </w:r>
      <w:r>
        <w:rPr>
          <w:spacing w:val="-16"/>
        </w:rPr>
        <w:t> </w:t>
      </w:r>
      <w:r>
        <w:rPr/>
        <w:t>occur</w:t>
      </w:r>
      <w:r>
        <w:rPr>
          <w:spacing w:val="-13"/>
        </w:rPr>
        <w:t> </w:t>
      </w:r>
      <w:r>
        <w:rPr/>
        <w:t>at</w:t>
      </w:r>
      <w:r>
        <w:rPr>
          <w:spacing w:val="-10"/>
        </w:rPr>
        <w:t> </w:t>
      </w:r>
      <w:r>
        <w:rPr/>
        <w:t>any</w:t>
      </w:r>
      <w:r>
        <w:rPr>
          <w:spacing w:val="-15"/>
        </w:rPr>
        <w:t> </w:t>
      </w:r>
      <w:r>
        <w:rPr/>
        <w:t>time,</w:t>
      </w:r>
      <w:r>
        <w:rPr>
          <w:spacing w:val="-13"/>
        </w:rPr>
        <w:t> </w:t>
      </w:r>
      <w:r>
        <w:rPr/>
        <w:t>and</w:t>
      </w:r>
      <w:r>
        <w:rPr>
          <w:spacing w:val="-12"/>
        </w:rPr>
        <w:t> </w:t>
      </w:r>
      <w:r>
        <w:rPr/>
        <w:t>the </w:t>
      </w:r>
      <w:r>
        <w:rPr>
          <w:spacing w:val="-3"/>
        </w:rPr>
        <w:t>resulting </w:t>
      </w:r>
      <w:r>
        <w:rPr/>
        <w:t>clock frequency should be measured over a one-second</w:t>
      </w:r>
      <w:r>
        <w:rPr>
          <w:spacing w:val="-20"/>
        </w:rPr>
        <w:t> </w:t>
      </w:r>
      <w:r>
        <w:rPr/>
        <w:t>interval.</w:t>
      </w:r>
    </w:p>
    <w:p>
      <w:pPr>
        <w:pStyle w:val="BodyText"/>
        <w:spacing w:line="228" w:lineRule="auto" w:before="123"/>
        <w:ind w:left="240" w:right="574"/>
      </w:pPr>
      <w:r>
        <w:rPr/>
        <w:t>The second rate adjustment is digital, and can be used to adjust the clock rate up to </w:t>
      </w:r>
      <w:r>
        <w:rPr>
          <w:rFonts w:ascii="Symbol" w:hAnsi="Symbol"/>
        </w:rPr>
        <w:t></w:t>
      </w:r>
      <w:r>
        <w:rPr/>
        <w:t>988ppm, with a resolution of 3.8 ppm. The rate adjustment is implemented starting at the next second-boundary following the adjustment. Since the LSB (define first) results in an adjustment every four seconds, the frequency should be measured over an interval that is a multiple of four seconds.</w:t>
      </w:r>
    </w:p>
    <w:p>
      <w:pPr>
        <w:spacing w:line="230" w:lineRule="auto" w:before="121"/>
        <w:ind w:left="239" w:right="429" w:firstLine="0"/>
        <w:jc w:val="left"/>
        <w:rPr>
          <w:sz w:val="20"/>
        </w:rPr>
      </w:pPr>
      <w:r>
        <w:rPr>
          <w:sz w:val="20"/>
        </w:rPr>
        <w:t>The clock rate is adjusted by writing the appropriate values to </w:t>
      </w:r>
      <w:r>
        <w:rPr>
          <w:rFonts w:ascii="Times New Roman"/>
          <w:i/>
          <w:sz w:val="20"/>
        </w:rPr>
        <w:t>RTC_P[16:0] </w:t>
      </w:r>
      <w:r>
        <w:rPr>
          <w:sz w:val="20"/>
        </w:rPr>
        <w:t>(</w:t>
      </w:r>
      <w:r>
        <w:rPr>
          <w:rFonts w:ascii="Times New Roman"/>
          <w:i/>
          <w:sz w:val="20"/>
        </w:rPr>
        <w:t>I/O RAM 0x289B[2:0], 0x289C, </w:t>
      </w:r>
      <w:r>
        <w:rPr>
          <w:rFonts w:ascii="Times New Roman"/>
          <w:i/>
          <w:sz w:val="20"/>
        </w:rPr>
        <w:t>0x289D[7:2]</w:t>
      </w:r>
      <w:r>
        <w:rPr>
          <w:sz w:val="20"/>
        </w:rPr>
        <w:t>) and </w:t>
      </w:r>
      <w:r>
        <w:rPr>
          <w:rFonts w:ascii="Times New Roman"/>
          <w:i/>
          <w:sz w:val="20"/>
        </w:rPr>
        <w:t>RTC_Q[1:0] (I/O RAM 0x289D[1:0]). </w:t>
      </w:r>
      <w:r>
        <w:rPr>
          <w:sz w:val="20"/>
        </w:rPr>
        <w:t>Updates to RTC rate adjust registers, </w:t>
      </w:r>
      <w:r>
        <w:rPr>
          <w:rFonts w:ascii="Times New Roman"/>
          <w:i/>
          <w:sz w:val="20"/>
        </w:rPr>
        <w:t>RTC_P </w:t>
      </w:r>
      <w:r>
        <w:rPr>
          <w:sz w:val="20"/>
        </w:rPr>
        <w:t>and </w:t>
      </w:r>
      <w:r>
        <w:rPr>
          <w:rFonts w:ascii="Times New Roman"/>
          <w:i/>
          <w:sz w:val="20"/>
        </w:rPr>
        <w:t>RTC_Q</w:t>
      </w:r>
      <w:r>
        <w:rPr>
          <w:sz w:val="20"/>
        </w:rPr>
        <w:t>, are done through the shadow register described above. The new values are loaded into the counters when </w:t>
      </w:r>
      <w:r>
        <w:rPr>
          <w:rFonts w:ascii="Times New Roman"/>
          <w:i/>
          <w:sz w:val="20"/>
        </w:rPr>
        <w:t>RTC_WR (I/O RAM 0x2890[7]</w:t>
      </w:r>
      <w:r>
        <w:rPr>
          <w:sz w:val="20"/>
        </w:rPr>
        <w:t>) is lowered.</w:t>
      </w:r>
    </w:p>
    <w:p>
      <w:pPr>
        <w:pStyle w:val="BodyText"/>
        <w:spacing w:line="238" w:lineRule="exact" w:before="114"/>
        <w:ind w:left="239"/>
      </w:pPr>
      <w:r>
        <w:rPr/>
        <w:t>The default frequency is 32,768 RTCLK cycles per second. To shift the clock frequency by </w:t>
      </w:r>
      <w:r>
        <w:rPr>
          <w:rFonts w:ascii="Symbol" w:hAnsi="Symbol"/>
        </w:rPr>
        <w:t></w:t>
      </w:r>
      <w:r>
        <w:rPr>
          <w:rFonts w:ascii="Times New Roman" w:hAnsi="Times New Roman"/>
        </w:rPr>
        <w:t> </w:t>
      </w:r>
      <w:r>
        <w:rPr/>
        <w:t>ppm,</w:t>
      </w:r>
    </w:p>
    <w:p>
      <w:pPr>
        <w:pStyle w:val="BodyText"/>
        <w:spacing w:line="224" w:lineRule="exact"/>
        <w:ind w:left="239"/>
      </w:pPr>
      <w:r>
        <w:rPr>
          <w:rFonts w:ascii="Times New Roman"/>
          <w:i/>
        </w:rPr>
        <w:t>RTC_P </w:t>
      </w:r>
      <w:r>
        <w:rPr/>
        <w:t>and </w:t>
      </w:r>
      <w:r>
        <w:rPr>
          <w:rFonts w:ascii="Times New Roman"/>
          <w:i/>
        </w:rPr>
        <w:t>RTC_Q </w:t>
      </w:r>
      <w:r>
        <w:rPr/>
        <w:t>are calculated using the following equation:</w:t>
      </w:r>
    </w:p>
    <w:p>
      <w:pPr>
        <w:spacing w:after="0" w:line="224" w:lineRule="exact"/>
        <w:sectPr>
          <w:type w:val="continuous"/>
          <w:pgSz w:w="12240" w:h="15840"/>
          <w:pgMar w:top="940" w:bottom="280" w:left="1200" w:right="1060"/>
        </w:sectPr>
      </w:pPr>
    </w:p>
    <w:p>
      <w:pPr>
        <w:spacing w:line="163" w:lineRule="exact" w:before="146"/>
        <w:ind w:left="2990" w:right="0" w:firstLine="0"/>
        <w:jc w:val="left"/>
        <w:rPr>
          <w:rFonts w:ascii="Symbol" w:hAnsi="Symbol"/>
          <w:sz w:val="25"/>
        </w:rPr>
      </w:pPr>
      <w:r>
        <w:rPr>
          <w:rFonts w:ascii="Times New Roman" w:hAnsi="Times New Roman"/>
          <w:w w:val="90"/>
          <w:sz w:val="25"/>
        </w:rPr>
        <w:t>4 </w:t>
      </w:r>
      <w:r>
        <w:rPr>
          <w:rFonts w:ascii="Symbol" w:hAnsi="Symbol"/>
          <w:w w:val="90"/>
          <w:sz w:val="25"/>
        </w:rPr>
        <w:t></w:t>
      </w:r>
      <w:r>
        <w:rPr>
          <w:rFonts w:ascii="Times New Roman" w:hAnsi="Times New Roman"/>
          <w:w w:val="90"/>
          <w:sz w:val="25"/>
        </w:rPr>
        <w:t> RTC_P </w:t>
      </w:r>
      <w:r>
        <w:rPr>
          <w:rFonts w:ascii="Symbol" w:hAnsi="Symbol"/>
          <w:w w:val="90"/>
          <w:sz w:val="25"/>
        </w:rPr>
        <w:t></w:t>
      </w:r>
      <w:r>
        <w:rPr>
          <w:rFonts w:ascii="Times New Roman" w:hAnsi="Times New Roman"/>
          <w:w w:val="90"/>
          <w:sz w:val="25"/>
        </w:rPr>
        <w:t> RTC_Q </w:t>
      </w:r>
      <w:r>
        <w:rPr>
          <w:rFonts w:ascii="Symbol" w:hAnsi="Symbol"/>
          <w:w w:val="90"/>
          <w:sz w:val="25"/>
        </w:rPr>
        <w:t></w:t>
      </w:r>
      <w:r>
        <w:rPr>
          <w:rFonts w:ascii="Times New Roman" w:hAnsi="Times New Roman"/>
          <w:w w:val="90"/>
          <w:sz w:val="25"/>
        </w:rPr>
        <w:t> </w:t>
      </w:r>
      <w:r>
        <w:rPr>
          <w:rFonts w:ascii="Times New Roman" w:hAnsi="Times New Roman"/>
          <w:i/>
          <w:w w:val="90"/>
          <w:sz w:val="25"/>
        </w:rPr>
        <w:t>floor</w:t>
      </w:r>
      <w:r>
        <w:rPr>
          <w:rFonts w:ascii="Symbol" w:hAnsi="Symbol"/>
          <w:w w:val="90"/>
          <w:position w:val="14"/>
          <w:sz w:val="25"/>
        </w:rPr>
        <w:t></w:t>
      </w:r>
    </w:p>
    <w:p>
      <w:pPr>
        <w:spacing w:line="179" w:lineRule="exact" w:before="130"/>
        <w:ind w:left="77" w:right="0" w:firstLine="0"/>
        <w:jc w:val="left"/>
        <w:rPr>
          <w:rFonts w:ascii="Times New Roman" w:hAnsi="Times New Roman"/>
          <w:sz w:val="25"/>
        </w:rPr>
      </w:pPr>
      <w:r>
        <w:rPr/>
        <w:br w:type="column"/>
      </w:r>
      <w:r>
        <w:rPr>
          <w:rFonts w:ascii="Times New Roman" w:hAnsi="Times New Roman"/>
          <w:w w:val="90"/>
          <w:sz w:val="25"/>
        </w:rPr>
        <w:t>32768 </w:t>
      </w:r>
      <w:r>
        <w:rPr>
          <w:rFonts w:ascii="Symbol" w:hAnsi="Symbol"/>
          <w:w w:val="90"/>
          <w:sz w:val="25"/>
        </w:rPr>
        <w:t></w:t>
      </w:r>
      <w:r>
        <w:rPr>
          <w:rFonts w:ascii="Times New Roman" w:hAnsi="Times New Roman"/>
          <w:w w:val="90"/>
          <w:sz w:val="25"/>
        </w:rPr>
        <w:t>8</w:t>
      </w:r>
    </w:p>
    <w:p>
      <w:pPr>
        <w:spacing w:line="163" w:lineRule="exact" w:before="146"/>
        <w:ind w:left="92" w:right="0" w:firstLine="0"/>
        <w:jc w:val="left"/>
        <w:rPr>
          <w:rFonts w:ascii="Symbol" w:hAnsi="Symbol"/>
          <w:sz w:val="25"/>
        </w:rPr>
      </w:pPr>
      <w:r>
        <w:rPr/>
        <w:br w:type="column"/>
      </w:r>
      <w:r>
        <w:rPr>
          <w:rFonts w:ascii="Symbol" w:hAnsi="Symbol"/>
          <w:sz w:val="25"/>
        </w:rPr>
        <w:t></w:t>
      </w:r>
      <w:r>
        <w:rPr>
          <w:rFonts w:ascii="Times New Roman" w:hAnsi="Times New Roman"/>
          <w:sz w:val="25"/>
        </w:rPr>
        <w:t> 0.5</w:t>
      </w:r>
      <w:r>
        <w:rPr>
          <w:rFonts w:ascii="Symbol" w:hAnsi="Symbol"/>
          <w:position w:val="14"/>
          <w:sz w:val="25"/>
        </w:rPr>
        <w:t></w:t>
      </w:r>
    </w:p>
    <w:p>
      <w:pPr>
        <w:spacing w:after="0" w:line="163" w:lineRule="exact"/>
        <w:jc w:val="left"/>
        <w:rPr>
          <w:rFonts w:ascii="Symbol" w:hAnsi="Symbol"/>
          <w:sz w:val="25"/>
        </w:rPr>
        <w:sectPr>
          <w:type w:val="continuous"/>
          <w:pgSz w:w="12240" w:h="15840"/>
          <w:pgMar w:top="940" w:bottom="280" w:left="1200" w:right="1060"/>
          <w:cols w:num="3" w:equalWidth="0">
            <w:col w:w="5688" w:space="40"/>
            <w:col w:w="868" w:space="39"/>
            <w:col w:w="3345"/>
          </w:cols>
        </w:sectPr>
      </w:pPr>
    </w:p>
    <w:p>
      <w:pPr>
        <w:tabs>
          <w:tab w:pos="7196" w:val="left" w:leader="none"/>
        </w:tabs>
        <w:spacing w:before="3"/>
        <w:ind w:left="5599" w:right="0" w:firstLine="0"/>
        <w:jc w:val="left"/>
        <w:rPr>
          <w:rFonts w:ascii="Symbol" w:hAnsi="Symbol"/>
          <w:sz w:val="25"/>
        </w:rPr>
      </w:pPr>
      <w:r>
        <w:rPr/>
        <w:pict>
          <v:line style="position:absolute;mso-position-horizontal-relative:page;mso-position-vertical-relative:paragraph;z-index:-38810112" from="345.86969pt,8.328222pt" to="393.959824pt,8.328222pt" stroked="true" strokeweight=".518382pt" strokecolor="#000000">
            <v:stroke dashstyle="solid"/>
            <w10:wrap type="none"/>
          </v:line>
        </w:pict>
      </w:r>
      <w:r>
        <w:rPr/>
        <w:pict>
          <v:shape style="position:absolute;margin-left:339.97937pt;margin-top:10.10219pt;width:4.45pt;height:15.25pt;mso-position-horizontal-relative:page;mso-position-vertical-relative:paragraph;z-index:-38809600" type="#_x0000_t202" filled="false" stroked="false">
            <v:textbox inset="0,0,0,0">
              <w:txbxContent>
                <w:p>
                  <w:pPr>
                    <w:spacing w:line="305" w:lineRule="exact" w:before="0"/>
                    <w:ind w:left="0" w:right="0" w:firstLine="0"/>
                    <w:jc w:val="left"/>
                    <w:rPr>
                      <w:rFonts w:ascii="Symbol" w:hAnsi="Symbol"/>
                      <w:sz w:val="25"/>
                    </w:rPr>
                  </w:pPr>
                  <w:r>
                    <w:rPr>
                      <w:rFonts w:ascii="Symbol" w:hAnsi="Symbol"/>
                      <w:w w:val="91"/>
                      <w:sz w:val="25"/>
                    </w:rPr>
                    <w:t></w:t>
                  </w:r>
                </w:p>
              </w:txbxContent>
            </v:textbox>
            <w10:wrap type="none"/>
          </v:shape>
        </w:pict>
      </w:r>
      <w:r>
        <w:rPr/>
        <w:pict>
          <v:shape style="position:absolute;margin-left:419.82901pt;margin-top:10.10219pt;width:4.45pt;height:15.25pt;mso-position-horizontal-relative:page;mso-position-vertical-relative:paragraph;z-index:-38808576" type="#_x0000_t202" filled="false" stroked="false">
            <v:textbox inset="0,0,0,0">
              <w:txbxContent>
                <w:p>
                  <w:pPr>
                    <w:spacing w:line="305" w:lineRule="exact" w:before="0"/>
                    <w:ind w:left="0" w:right="0" w:firstLine="0"/>
                    <w:jc w:val="left"/>
                    <w:rPr>
                      <w:rFonts w:ascii="Symbol" w:hAnsi="Symbol"/>
                      <w:sz w:val="25"/>
                    </w:rPr>
                  </w:pPr>
                  <w:r>
                    <w:rPr>
                      <w:rFonts w:ascii="Symbol" w:hAnsi="Symbol"/>
                      <w:w w:val="91"/>
                      <w:sz w:val="25"/>
                    </w:rPr>
                    <w:t></w:t>
                  </w:r>
                </w:p>
              </w:txbxContent>
            </v:textbox>
            <w10:wrap type="none"/>
          </v:shape>
        </w:pict>
      </w:r>
      <w:r>
        <w:rPr>
          <w:rFonts w:ascii="Symbol" w:hAnsi="Symbol"/>
          <w:spacing w:val="13"/>
          <w:position w:val="17"/>
          <w:sz w:val="25"/>
        </w:rPr>
        <w:t></w:t>
      </w:r>
      <w:r>
        <w:rPr>
          <w:rFonts w:ascii="Times New Roman" w:hAnsi="Times New Roman"/>
          <w:spacing w:val="13"/>
          <w:sz w:val="25"/>
        </w:rPr>
        <w:t>1</w:t>
      </w:r>
      <w:r>
        <w:rPr>
          <w:rFonts w:ascii="Symbol" w:hAnsi="Symbol"/>
          <w:spacing w:val="13"/>
          <w:sz w:val="25"/>
        </w:rPr>
        <w:t></w:t>
      </w:r>
      <w:r>
        <w:rPr>
          <w:rFonts w:ascii="Times New Roman" w:hAnsi="Times New Roman"/>
          <w:spacing w:val="-34"/>
          <w:sz w:val="25"/>
        </w:rPr>
        <w:t> </w:t>
      </w:r>
      <w:r>
        <w:rPr>
          <w:rFonts w:ascii="Symbol" w:hAnsi="Symbol"/>
          <w:sz w:val="25"/>
        </w:rPr>
        <w:t></w:t>
      </w:r>
      <w:r>
        <w:rPr>
          <w:rFonts w:ascii="Times New Roman" w:hAnsi="Times New Roman"/>
          <w:spacing w:val="-40"/>
          <w:sz w:val="25"/>
        </w:rPr>
        <w:t> </w:t>
      </w:r>
      <w:r>
        <w:rPr>
          <w:rFonts w:ascii="Symbol" w:hAnsi="Symbol"/>
          <w:spacing w:val="4"/>
          <w:sz w:val="25"/>
        </w:rPr>
        <w:t></w:t>
      </w:r>
      <w:r>
        <w:rPr>
          <w:rFonts w:ascii="Times New Roman" w:hAnsi="Times New Roman"/>
          <w:spacing w:val="4"/>
          <w:sz w:val="25"/>
        </w:rPr>
        <w:t>10</w:t>
      </w:r>
      <w:r>
        <w:rPr>
          <w:rFonts w:ascii="Symbol" w:hAnsi="Symbol"/>
          <w:spacing w:val="4"/>
          <w:sz w:val="25"/>
          <w:vertAlign w:val="superscript"/>
        </w:rPr>
        <w:t></w:t>
      </w:r>
      <w:r>
        <w:rPr>
          <w:rFonts w:ascii="Times New Roman" w:hAnsi="Times New Roman"/>
          <w:spacing w:val="4"/>
          <w:sz w:val="25"/>
          <w:vertAlign w:val="superscript"/>
        </w:rPr>
        <w:t>6</w:t>
      </w:r>
      <w:r>
        <w:rPr>
          <w:rFonts w:ascii="Times New Roman" w:hAnsi="Times New Roman"/>
          <w:spacing w:val="4"/>
          <w:sz w:val="25"/>
          <w:vertAlign w:val="baseline"/>
        </w:rPr>
        <w:tab/>
      </w:r>
      <w:r>
        <w:rPr>
          <w:rFonts w:ascii="Symbol" w:hAnsi="Symbol"/>
          <w:position w:val="17"/>
          <w:sz w:val="25"/>
          <w:vertAlign w:val="baseline"/>
        </w:rPr>
        <w:t></w:t>
      </w:r>
    </w:p>
    <w:p>
      <w:pPr>
        <w:pStyle w:val="BodyText"/>
        <w:spacing w:before="151"/>
        <w:ind w:left="240"/>
      </w:pPr>
      <w:r>
        <w:rPr/>
        <w:t>Conversely, the amount of ppm shift for a given value of </w:t>
      </w:r>
      <w:r>
        <w:rPr>
          <w:rFonts w:ascii="Times New Roman"/>
          <w:i/>
        </w:rPr>
        <w:t>4RTC_P</w:t>
      </w:r>
      <w:r>
        <w:rPr/>
        <w:t>+</w:t>
      </w:r>
      <w:r>
        <w:rPr>
          <w:rFonts w:ascii="Times New Roman"/>
          <w:i/>
        </w:rPr>
        <w:t>RTC_Q </w:t>
      </w:r>
      <w:r>
        <w:rPr/>
        <w:t>is:</w:t>
      </w:r>
    </w:p>
    <w:p>
      <w:pPr>
        <w:pStyle w:val="BodyText"/>
        <w:spacing w:before="7"/>
        <w:rPr>
          <w:sz w:val="27"/>
        </w:rPr>
      </w:pPr>
    </w:p>
    <w:p>
      <w:pPr>
        <w:pStyle w:val="BodyText"/>
        <w:tabs>
          <w:tab w:pos="1160" w:val="left" w:leader="none"/>
          <w:tab w:pos="2480" w:val="left" w:leader="none"/>
          <w:tab w:pos="2846" w:val="left" w:leader="none"/>
        </w:tabs>
        <w:spacing w:line="131" w:lineRule="exact" w:before="98"/>
        <w:ind w:left="702"/>
        <w:jc w:val="center"/>
        <w:rPr>
          <w:rFonts w:ascii="Times New Roman" w:hAnsi="Times New Roman"/>
          <w:sz w:val="14"/>
        </w:rPr>
      </w:pPr>
      <w:r>
        <w:rPr>
          <w:rFonts w:ascii="Symbol" w:hAnsi="Symbol"/>
          <w:position w:val="5"/>
        </w:rPr>
        <w:t></w:t>
      </w:r>
      <w:r>
        <w:rPr>
          <w:rFonts w:ascii="Times New Roman" w:hAnsi="Times New Roman"/>
          <w:position w:val="5"/>
        </w:rPr>
        <w:tab/>
      </w:r>
      <w:r>
        <w:rPr>
          <w:rFonts w:ascii="Times New Roman" w:hAnsi="Times New Roman"/>
        </w:rPr>
        <w:t>32768</w:t>
      </w:r>
      <w:r>
        <w:rPr>
          <w:rFonts w:ascii="Times New Roman" w:hAnsi="Times New Roman"/>
          <w:spacing w:val="-30"/>
        </w:rPr>
        <w:t> </w:t>
      </w:r>
      <w:r>
        <w:rPr>
          <w:rFonts w:ascii="Symbol" w:hAnsi="Symbol"/>
          <w:w w:val="95"/>
        </w:rPr>
        <w:t></w:t>
      </w:r>
      <w:r>
        <w:rPr>
          <w:rFonts w:ascii="Times New Roman" w:hAnsi="Times New Roman"/>
          <w:spacing w:val="-29"/>
          <w:w w:val="95"/>
        </w:rPr>
        <w:t> </w:t>
      </w:r>
      <w:r>
        <w:rPr>
          <w:rFonts w:ascii="Times New Roman" w:hAnsi="Times New Roman"/>
        </w:rPr>
        <w:t>8</w:t>
        <w:tab/>
      </w:r>
      <w:r>
        <w:rPr>
          <w:rFonts w:ascii="Symbol" w:hAnsi="Symbol"/>
          <w:position w:val="5"/>
        </w:rPr>
        <w:t></w:t>
      </w:r>
      <w:r>
        <w:rPr>
          <w:rFonts w:ascii="Times New Roman" w:hAnsi="Times New Roman"/>
          <w:position w:val="5"/>
        </w:rPr>
        <w:tab/>
      </w:r>
      <w:r>
        <w:rPr>
          <w:rFonts w:ascii="Times New Roman" w:hAnsi="Times New Roman"/>
          <w:position w:val="-3"/>
          <w:sz w:val="14"/>
        </w:rPr>
        <w:t>6</w:t>
      </w:r>
    </w:p>
    <w:p>
      <w:pPr>
        <w:pStyle w:val="BodyText"/>
        <w:tabs>
          <w:tab w:pos="2341" w:val="left" w:leader="none"/>
        </w:tabs>
        <w:spacing w:line="163" w:lineRule="exact"/>
        <w:ind w:right="204"/>
        <w:jc w:val="center"/>
        <w:rPr>
          <w:rFonts w:ascii="Times New Roman" w:hAnsi="Times New Roman"/>
        </w:rPr>
      </w:pPr>
      <w:r>
        <w:rPr>
          <w:rFonts w:ascii="Symbol" w:hAnsi="Symbol"/>
          <w:spacing w:val="2"/>
        </w:rPr>
        <w:t></w:t>
      </w:r>
      <w:r>
        <w:rPr>
          <w:rFonts w:ascii="Times New Roman" w:hAnsi="Times New Roman"/>
          <w:spacing w:val="2"/>
        </w:rPr>
        <w:t>( </w:t>
      </w:r>
      <w:r>
        <w:rPr>
          <w:rFonts w:ascii="Times New Roman" w:hAnsi="Times New Roman"/>
          <w:i/>
        </w:rPr>
        <w:t>ppm</w:t>
      </w:r>
      <w:r>
        <w:rPr>
          <w:rFonts w:ascii="Times New Roman" w:hAnsi="Times New Roman"/>
        </w:rPr>
        <w:t>)</w:t>
      </w:r>
      <w:r>
        <w:rPr>
          <w:rFonts w:ascii="Times New Roman" w:hAnsi="Times New Roman"/>
          <w:spacing w:val="-26"/>
        </w:rPr>
        <w:t> </w:t>
      </w:r>
      <w:r>
        <w:rPr>
          <w:rFonts w:ascii="Symbol" w:hAnsi="Symbol"/>
        </w:rPr>
        <w:t></w:t>
      </w:r>
      <w:r>
        <w:rPr>
          <w:rFonts w:ascii="Times New Roman" w:hAnsi="Times New Roman"/>
          <w:spacing w:val="-9"/>
        </w:rPr>
        <w:t> </w:t>
      </w:r>
      <w:r>
        <w:rPr>
          <w:rFonts w:ascii="Symbol" w:hAnsi="Symbol"/>
          <w:position w:val="5"/>
        </w:rPr>
        <w:t></w:t>
      </w:r>
      <w:r>
        <w:rPr>
          <w:rFonts w:ascii="Symbol" w:hAnsi="Symbol"/>
          <w:position w:val="5"/>
          <w:u w:val="single"/>
        </w:rPr>
        <w:t></w:t>
      </w:r>
      <w:r>
        <w:rPr>
          <w:rFonts w:ascii="Symbol" w:hAnsi="Symbol"/>
          <w:spacing w:val="5"/>
        </w:rPr>
        <w:t></w:t>
      </w:r>
      <w:r>
        <w:rPr>
          <w:rFonts w:ascii="Times New Roman" w:hAnsi="Times New Roman"/>
          <w:spacing w:val="5"/>
        </w:rPr>
        <w:t>1</w:t>
      </w:r>
      <w:r>
        <w:rPr>
          <w:rFonts w:ascii="Symbol" w:hAnsi="Symbol"/>
          <w:spacing w:val="5"/>
          <w:position w:val="5"/>
        </w:rPr>
        <w:t></w:t>
      </w:r>
      <w:r>
        <w:rPr>
          <w:rFonts w:ascii="Times New Roman" w:hAnsi="Times New Roman"/>
          <w:spacing w:val="-22"/>
          <w:position w:val="5"/>
        </w:rPr>
        <w:t> </w:t>
      </w:r>
      <w:r>
        <w:rPr>
          <w:rFonts w:ascii="Symbol" w:hAnsi="Symbol"/>
          <w:spacing w:val="2"/>
        </w:rPr>
        <w:t></w:t>
      </w:r>
      <w:r>
        <w:rPr>
          <w:rFonts w:ascii="Times New Roman" w:hAnsi="Times New Roman"/>
          <w:spacing w:val="2"/>
        </w:rPr>
        <w:t>10</w:t>
      </w:r>
    </w:p>
    <w:p>
      <w:pPr>
        <w:tabs>
          <w:tab w:pos="2122" w:val="left" w:leader="none"/>
        </w:tabs>
        <w:spacing w:before="5"/>
        <w:ind w:left="343" w:right="0" w:firstLine="0"/>
        <w:jc w:val="center"/>
        <w:rPr>
          <w:rFonts w:ascii="Symbol" w:hAnsi="Symbol"/>
          <w:sz w:val="20"/>
        </w:rPr>
      </w:pPr>
      <w:r>
        <w:rPr/>
        <w:pict>
          <v:shape style="position:absolute;margin-left:271.698792pt;margin-top:6.458557pt;width:3.85pt;height:12.35pt;mso-position-horizontal-relative:page;mso-position-vertical-relative:paragraph;z-index:-38809088" type="#_x0000_t202" filled="false" stroked="false">
            <v:textbox inset="0,0,0,0">
              <w:txbxContent>
                <w:p>
                  <w:pPr>
                    <w:pStyle w:val="BodyText"/>
                    <w:spacing w:before="1"/>
                    <w:rPr>
                      <w:rFonts w:ascii="Symbol" w:hAnsi="Symbol"/>
                    </w:rPr>
                  </w:pPr>
                  <w:r>
                    <w:rPr>
                      <w:rFonts w:ascii="Symbol" w:hAnsi="Symbol"/>
                    </w:rPr>
                    <w:t></w:t>
                  </w:r>
                </w:p>
              </w:txbxContent>
            </v:textbox>
            <w10:wrap type="none"/>
          </v:shape>
        </w:pict>
      </w:r>
      <w:r>
        <w:rPr/>
        <w:pict>
          <v:shape style="position:absolute;margin-left:360.638794pt;margin-top:6.458557pt;width:3.85pt;height:12.35pt;mso-position-horizontal-relative:page;mso-position-vertical-relative:paragraph;z-index:-38808064" type="#_x0000_t202" filled="false" stroked="false">
            <v:textbox inset="0,0,0,0">
              <w:txbxContent>
                <w:p>
                  <w:pPr>
                    <w:pStyle w:val="BodyText"/>
                    <w:spacing w:before="1"/>
                    <w:rPr>
                      <w:rFonts w:ascii="Symbol" w:hAnsi="Symbol"/>
                    </w:rPr>
                  </w:pPr>
                  <w:r>
                    <w:rPr>
                      <w:rFonts w:ascii="Symbol" w:hAnsi="Symbol"/>
                    </w:rPr>
                    <w:t></w:t>
                  </w:r>
                </w:p>
              </w:txbxContent>
            </v:textbox>
            <w10:wrap type="none"/>
          </v:shape>
        </w:pict>
      </w:r>
      <w:r>
        <w:rPr>
          <w:rFonts w:ascii="Symbol" w:hAnsi="Symbol"/>
          <w:position w:val="4"/>
          <w:sz w:val="20"/>
        </w:rPr>
        <w:t></w:t>
      </w:r>
      <w:r>
        <w:rPr>
          <w:rFonts w:ascii="Times New Roman" w:hAnsi="Times New Roman"/>
          <w:position w:val="4"/>
          <w:sz w:val="20"/>
        </w:rPr>
        <w:t> </w:t>
      </w:r>
      <w:r>
        <w:rPr>
          <w:rFonts w:ascii="Times New Roman" w:hAnsi="Times New Roman"/>
          <w:sz w:val="20"/>
        </w:rPr>
        <w:t>4 </w:t>
      </w:r>
      <w:r>
        <w:rPr>
          <w:rFonts w:ascii="Symbol" w:hAnsi="Symbol"/>
          <w:w w:val="95"/>
          <w:sz w:val="20"/>
        </w:rPr>
        <w:t></w:t>
      </w:r>
      <w:r>
        <w:rPr>
          <w:rFonts w:ascii="Times New Roman" w:hAnsi="Times New Roman"/>
          <w:spacing w:val="-28"/>
          <w:w w:val="95"/>
          <w:sz w:val="20"/>
        </w:rPr>
        <w:t> </w:t>
      </w:r>
      <w:r>
        <w:rPr>
          <w:rFonts w:ascii="Times New Roman" w:hAnsi="Times New Roman"/>
          <w:i/>
          <w:sz w:val="20"/>
        </w:rPr>
        <w:t>RTC</w:t>
      </w:r>
      <w:r>
        <w:rPr>
          <w:rFonts w:ascii="Times New Roman" w:hAnsi="Times New Roman"/>
          <w:i/>
          <w:position w:val="-4"/>
          <w:sz w:val="14"/>
        </w:rPr>
        <w:t>P </w:t>
      </w:r>
      <w:r>
        <w:rPr>
          <w:rFonts w:ascii="Symbol" w:hAnsi="Symbol"/>
          <w:sz w:val="20"/>
        </w:rPr>
        <w:t></w:t>
      </w:r>
      <w:r>
        <w:rPr>
          <w:rFonts w:ascii="Times New Roman" w:hAnsi="Times New Roman"/>
          <w:spacing w:val="-5"/>
          <w:sz w:val="20"/>
        </w:rPr>
        <w:t> </w:t>
      </w:r>
      <w:r>
        <w:rPr>
          <w:rFonts w:ascii="Times New Roman" w:hAnsi="Times New Roman"/>
          <w:i/>
          <w:sz w:val="20"/>
        </w:rPr>
        <w:t>RTC</w:t>
      </w:r>
      <w:r>
        <w:rPr>
          <w:rFonts w:ascii="Times New Roman" w:hAnsi="Times New Roman"/>
          <w:i/>
          <w:position w:val="-4"/>
          <w:sz w:val="14"/>
        </w:rPr>
        <w:t>Q</w:t>
        <w:tab/>
      </w:r>
      <w:r>
        <w:rPr>
          <w:rFonts w:ascii="Symbol" w:hAnsi="Symbol"/>
          <w:position w:val="4"/>
          <w:sz w:val="20"/>
        </w:rPr>
        <w:t></w:t>
      </w:r>
    </w:p>
    <w:p>
      <w:pPr>
        <w:spacing w:line="237" w:lineRule="auto" w:before="123"/>
        <w:ind w:left="239" w:right="401" w:firstLine="0"/>
        <w:jc w:val="left"/>
        <w:rPr>
          <w:sz w:val="20"/>
        </w:rPr>
      </w:pPr>
      <w:r>
        <w:rPr>
          <w:sz w:val="20"/>
        </w:rPr>
        <w:t>For example, for a shift of -988 ppm, 4 </w:t>
      </w:r>
      <w:r>
        <w:rPr>
          <w:rFonts w:ascii="Symbol" w:hAnsi="Symbol"/>
          <w:w w:val="95"/>
          <w:sz w:val="20"/>
        </w:rPr>
        <w:t></w:t>
      </w:r>
      <w:r>
        <w:rPr>
          <w:rFonts w:ascii="Times New Roman" w:hAnsi="Times New Roman"/>
          <w:w w:val="95"/>
          <w:sz w:val="20"/>
        </w:rPr>
        <w:t> </w:t>
      </w:r>
      <w:r>
        <w:rPr>
          <w:rFonts w:ascii="Times New Roman" w:hAnsi="Times New Roman"/>
          <w:i/>
          <w:sz w:val="20"/>
        </w:rPr>
        <w:t>RTC_P </w:t>
      </w:r>
      <w:r>
        <w:rPr>
          <w:sz w:val="20"/>
        </w:rPr>
        <w:t>+ </w:t>
      </w:r>
      <w:r>
        <w:rPr>
          <w:rFonts w:ascii="Times New Roman" w:hAnsi="Times New Roman"/>
          <w:i/>
          <w:sz w:val="20"/>
        </w:rPr>
        <w:t>RTC_Q </w:t>
      </w:r>
      <w:r>
        <w:rPr>
          <w:sz w:val="20"/>
        </w:rPr>
        <w:t>= 262403 = 0x40103. </w:t>
      </w:r>
      <w:r>
        <w:rPr>
          <w:rFonts w:ascii="Times New Roman" w:hAnsi="Times New Roman"/>
          <w:i/>
          <w:sz w:val="20"/>
        </w:rPr>
        <w:t>RTC_P[16:0] </w:t>
      </w:r>
      <w:r>
        <w:rPr>
          <w:sz w:val="20"/>
        </w:rPr>
        <w:t>= 0x10040, (</w:t>
      </w:r>
      <w:r>
        <w:rPr>
          <w:rFonts w:ascii="Times New Roman" w:hAnsi="Times New Roman"/>
          <w:i/>
          <w:sz w:val="20"/>
        </w:rPr>
        <w:t>I/O RAM 0x289B[2:0], 0x289C, 0x289D[7:2]</w:t>
      </w:r>
      <w:r>
        <w:rPr>
          <w:sz w:val="20"/>
        </w:rPr>
        <w:t>) and </w:t>
      </w:r>
      <w:r>
        <w:rPr>
          <w:rFonts w:ascii="Times New Roman" w:hAnsi="Times New Roman"/>
          <w:i/>
          <w:sz w:val="20"/>
        </w:rPr>
        <w:t>RTC_Q[1:0] </w:t>
      </w:r>
      <w:r>
        <w:rPr>
          <w:sz w:val="20"/>
        </w:rPr>
        <w:t>= 0x03 (</w:t>
      </w:r>
      <w:r>
        <w:rPr>
          <w:rFonts w:ascii="Times New Roman" w:hAnsi="Times New Roman"/>
          <w:i/>
          <w:sz w:val="20"/>
        </w:rPr>
        <w:t>I/O RAM 0x289D[1:0]</w:t>
      </w:r>
      <w:r>
        <w:rPr>
          <w:sz w:val="20"/>
        </w:rPr>
        <w:t>. The default</w:t>
      </w:r>
    </w:p>
    <w:p>
      <w:pPr>
        <w:spacing w:line="227" w:lineRule="exact" w:before="0"/>
        <w:ind w:left="239" w:right="0" w:firstLine="0"/>
        <w:jc w:val="left"/>
        <w:rPr>
          <w:sz w:val="20"/>
        </w:rPr>
      </w:pPr>
      <w:r>
        <w:rPr>
          <w:sz w:val="20"/>
        </w:rPr>
        <w:t>values of </w:t>
      </w:r>
      <w:r>
        <w:rPr>
          <w:rFonts w:ascii="Times New Roman"/>
          <w:i/>
          <w:sz w:val="20"/>
        </w:rPr>
        <w:t>RTC_P[16:0] </w:t>
      </w:r>
      <w:r>
        <w:rPr>
          <w:sz w:val="20"/>
        </w:rPr>
        <w:t>and </w:t>
      </w:r>
      <w:r>
        <w:rPr>
          <w:rFonts w:ascii="Times New Roman"/>
          <w:i/>
          <w:sz w:val="20"/>
        </w:rPr>
        <w:t>RTC_Q[1:0]</w:t>
      </w:r>
      <w:r>
        <w:rPr>
          <w:sz w:val="20"/>
        </w:rPr>
        <w:t>, corresponding to zero adjustment, are 0x10000 and 0x0, respectively.</w:t>
      </w:r>
    </w:p>
    <w:p>
      <w:pPr>
        <w:pStyle w:val="BodyText"/>
        <w:spacing w:line="235" w:lineRule="auto" w:before="121"/>
        <w:ind w:left="239" w:right="401"/>
      </w:pPr>
      <w:r>
        <w:rPr/>
        <w:t>Two settings for the TMUX2OUT test pin, PULSE_1S and PULSE_4S, are available for measuring and calibrating the RTC clock frequency. These are waveforms of approximately 25% duty cycle with 1s or 4s period.</w:t>
      </w:r>
    </w:p>
    <w:p>
      <w:pPr>
        <w:pStyle w:val="BodyText"/>
        <w:spacing w:line="235" w:lineRule="auto" w:before="116"/>
        <w:ind w:left="824" w:right="638"/>
      </w:pPr>
      <w:r>
        <w:rPr/>
        <w:drawing>
          <wp:anchor distT="0" distB="0" distL="0" distR="0" allowOverlap="1" layoutInCell="1" locked="0" behindDoc="0" simplePos="0" relativeHeight="15770112">
            <wp:simplePos x="0" y="0"/>
            <wp:positionH relativeFrom="page">
              <wp:posOffset>967153</wp:posOffset>
            </wp:positionH>
            <wp:positionV relativeFrom="paragraph">
              <wp:posOffset>77424</wp:posOffset>
            </wp:positionV>
            <wp:extent cx="194896" cy="314323"/>
            <wp:effectExtent l="0" t="0" r="0" b="0"/>
            <wp:wrapNone/>
            <wp:docPr id="45" name="image64.png"/>
            <wp:cNvGraphicFramePr>
              <a:graphicFrameLocks noChangeAspect="1"/>
            </wp:cNvGraphicFramePr>
            <a:graphic>
              <a:graphicData uri="http://schemas.openxmlformats.org/drawingml/2006/picture">
                <pic:pic>
                  <pic:nvPicPr>
                    <pic:cNvPr id="46" name="image64.png"/>
                    <pic:cNvPicPr/>
                  </pic:nvPicPr>
                  <pic:blipFill>
                    <a:blip r:embed="rId73" cstate="print"/>
                    <a:stretch>
                      <a:fillRect/>
                    </a:stretch>
                  </pic:blipFill>
                  <pic:spPr>
                    <a:xfrm>
                      <a:off x="0" y="0"/>
                      <a:ext cx="194896" cy="314323"/>
                    </a:xfrm>
                    <a:prstGeom prst="rect">
                      <a:avLst/>
                    </a:prstGeom>
                  </pic:spPr>
                </pic:pic>
              </a:graphicData>
            </a:graphic>
          </wp:anchor>
        </w:drawing>
      </w:r>
      <w:r>
        <w:rPr/>
        <w:t>Default values for </w:t>
      </w:r>
      <w:r>
        <w:rPr>
          <w:rFonts w:ascii="Times New Roman"/>
          <w:i/>
        </w:rPr>
        <w:t>RTCA_ADJ[6:0]</w:t>
      </w:r>
      <w:r>
        <w:rPr/>
        <w:t>, </w:t>
      </w:r>
      <w:r>
        <w:rPr>
          <w:rFonts w:ascii="Times New Roman"/>
          <w:i/>
        </w:rPr>
        <w:t>RTC_P[16:0] </w:t>
      </w:r>
      <w:r>
        <w:rPr/>
        <w:t>and </w:t>
      </w:r>
      <w:r>
        <w:rPr>
          <w:rFonts w:ascii="Times New Roman"/>
          <w:i/>
        </w:rPr>
        <w:t>RTC_Q[1:0] </w:t>
      </w:r>
      <w:r>
        <w:rPr/>
        <w:t>should be nominal values, at the center of the adjustment range. Un-calibrated extreme values (zero, for example) can cause incorrect operation.</w:t>
      </w:r>
    </w:p>
    <w:p>
      <w:pPr>
        <w:pStyle w:val="BodyText"/>
        <w:spacing w:line="235" w:lineRule="auto" w:before="123"/>
        <w:ind w:left="238" w:right="401"/>
      </w:pPr>
      <w:r>
        <w:rPr/>
        <w:t>If the crystal temperature coefficient is known, the MPU can integrate temperature and correct the RTC time as necessary. Alternatively, the characteristics can be loaded into an NV RAM and the </w:t>
      </w:r>
      <w:r>
        <w:rPr>
          <w:rFonts w:ascii="Times New Roman"/>
          <w:i/>
        </w:rPr>
        <w:t>OSC_COMP </w:t>
      </w:r>
      <w:r>
        <w:rPr/>
        <w:t>(</w:t>
      </w:r>
      <w:r>
        <w:rPr>
          <w:rFonts w:ascii="Times New Roman"/>
          <w:i/>
        </w:rPr>
        <w:t>I/O RAM 0x28A0[5</w:t>
      </w:r>
      <w:r>
        <w:rPr/>
        <w:t>]) bit may be set. In this case, the oscillator is adjusted automatically, even in SLP mode. See </w:t>
      </w:r>
      <w:hyperlink w:history="true" w:anchor="_bookmark105">
        <w:r>
          <w:rPr>
            <w:color w:val="0000FF"/>
          </w:rPr>
          <w:t>2.5.4.4 </w:t>
        </w:r>
      </w:hyperlink>
      <w:hyperlink w:history="true" w:anchor="_bookmark105">
        <w:r>
          <w:rPr>
            <w:color w:val="0000FF"/>
          </w:rPr>
          <w:t>RTC Temperature Compensation </w:t>
        </w:r>
      </w:hyperlink>
      <w:r>
        <w:rPr/>
        <w:t>for details.</w:t>
      </w:r>
    </w:p>
    <w:p>
      <w:pPr>
        <w:spacing w:after="0" w:line="235" w:lineRule="auto"/>
        <w:sectPr>
          <w:type w:val="continuous"/>
          <w:pgSz w:w="12240" w:h="15840"/>
          <w:pgMar w:top="940" w:bottom="280" w:left="1200" w:right="1060"/>
        </w:sectPr>
      </w:pPr>
    </w:p>
    <w:p>
      <w:pPr>
        <w:pStyle w:val="BodyText"/>
        <w:spacing w:before="3"/>
        <w:rPr>
          <w:sz w:val="16"/>
        </w:rPr>
      </w:pPr>
    </w:p>
    <w:p>
      <w:pPr>
        <w:pStyle w:val="ListParagraph"/>
        <w:numPr>
          <w:ilvl w:val="3"/>
          <w:numId w:val="16"/>
        </w:numPr>
        <w:tabs>
          <w:tab w:pos="960" w:val="left" w:leader="none"/>
        </w:tabs>
        <w:spacing w:line="240" w:lineRule="auto" w:before="93" w:after="0"/>
        <w:ind w:left="959" w:right="0" w:hanging="720"/>
        <w:jc w:val="left"/>
        <w:rPr>
          <w:b/>
          <w:sz w:val="20"/>
        </w:rPr>
      </w:pPr>
      <w:bookmarkStart w:name="2.5.4.4 RTC Temperature Compensation" w:id="214"/>
      <w:bookmarkEnd w:id="214"/>
      <w:r>
        <w:rPr/>
      </w:r>
      <w:bookmarkStart w:name="_bookmark105" w:id="215"/>
      <w:bookmarkEnd w:id="215"/>
      <w:r>
        <w:rPr/>
      </w:r>
      <w:bookmarkStart w:name="_bookmark105" w:id="216"/>
      <w:bookmarkEnd w:id="216"/>
      <w:r>
        <w:rPr>
          <w:b/>
          <w:sz w:val="20"/>
        </w:rPr>
        <w:t>R</w:t>
      </w:r>
      <w:r>
        <w:rPr>
          <w:b/>
          <w:sz w:val="20"/>
        </w:rPr>
        <w:t>TC Temperature</w:t>
      </w:r>
      <w:r>
        <w:rPr>
          <w:b/>
          <w:spacing w:val="-3"/>
          <w:sz w:val="20"/>
        </w:rPr>
        <w:t> </w:t>
      </w:r>
      <w:r>
        <w:rPr>
          <w:b/>
          <w:sz w:val="20"/>
        </w:rPr>
        <w:t>Compensation</w:t>
      </w:r>
    </w:p>
    <w:p>
      <w:pPr>
        <w:pStyle w:val="BodyText"/>
        <w:spacing w:line="235" w:lineRule="auto" w:before="79"/>
        <w:ind w:left="240" w:right="460" w:hanging="1"/>
      </w:pPr>
      <w:r>
        <w:rPr/>
        <w:t>The 71M6543 can be configured to regularly measure die temperature, including in SLP and LCD modes and while the MPU is halted. If enabled by </w:t>
      </w:r>
      <w:r>
        <w:rPr>
          <w:rFonts w:ascii="Times New Roman"/>
          <w:i/>
        </w:rPr>
        <w:t>OSC_COMP</w:t>
      </w:r>
      <w:r>
        <w:rPr/>
        <w:t>, this temperature information is automatically used to correct for the temperature variation of the crystal. A table lookup method is used.</w:t>
      </w:r>
    </w:p>
    <w:p>
      <w:pPr>
        <w:pStyle w:val="BodyText"/>
        <w:spacing w:before="116"/>
        <w:ind w:left="297"/>
      </w:pPr>
      <w:hyperlink w:history="true" w:anchor="_bookmark106">
        <w:r>
          <w:rPr>
            <w:color w:val="0000FF"/>
          </w:rPr>
          <w:t>Table 43 </w:t>
        </w:r>
      </w:hyperlink>
      <w:r>
        <w:rPr/>
        <w:t>shows I/O RAM registers involved in automatic RTC temperature compensation.</w:t>
      </w:r>
    </w:p>
    <w:p>
      <w:pPr>
        <w:pStyle w:val="Heading1"/>
        <w:spacing w:before="113"/>
        <w:ind w:left="61" w:right="204"/>
      </w:pPr>
      <w:bookmarkStart w:name="_bookmark106" w:id="217"/>
      <w:bookmarkEnd w:id="217"/>
      <w:r>
        <w:rPr>
          <w:b w:val="0"/>
        </w:rPr>
      </w:r>
      <w:r>
        <w:rPr/>
        <w:t>Table 43: I/O RAM Registers for RTC Temperature Compensation</w:t>
      </w:r>
    </w:p>
    <w:p>
      <w:pPr>
        <w:pStyle w:val="BodyText"/>
        <w:spacing w:before="8"/>
        <w:rPr>
          <w:b/>
          <w:sz w:val="5"/>
        </w:rPr>
      </w:pPr>
    </w:p>
    <w:tbl>
      <w:tblPr>
        <w:tblW w:w="0" w:type="auto"/>
        <w:jc w:val="left"/>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8"/>
        <w:gridCol w:w="1161"/>
        <w:gridCol w:w="537"/>
        <w:gridCol w:w="515"/>
        <w:gridCol w:w="609"/>
        <w:gridCol w:w="4996"/>
      </w:tblGrid>
      <w:tr>
        <w:trPr>
          <w:trHeight w:val="304" w:hRule="atLeast"/>
        </w:trPr>
        <w:tc>
          <w:tcPr>
            <w:tcW w:w="1538" w:type="dxa"/>
          </w:tcPr>
          <w:p>
            <w:pPr>
              <w:pStyle w:val="TableParagraph"/>
              <w:spacing w:before="30"/>
              <w:ind w:left="107"/>
              <w:rPr>
                <w:b/>
                <w:sz w:val="20"/>
              </w:rPr>
            </w:pPr>
            <w:r>
              <w:rPr>
                <w:b/>
                <w:sz w:val="20"/>
              </w:rPr>
              <w:t>Name</w:t>
            </w:r>
          </w:p>
        </w:tc>
        <w:tc>
          <w:tcPr>
            <w:tcW w:w="1161" w:type="dxa"/>
          </w:tcPr>
          <w:p>
            <w:pPr>
              <w:pStyle w:val="TableParagraph"/>
              <w:spacing w:before="30"/>
              <w:ind w:left="139" w:right="132"/>
              <w:jc w:val="center"/>
              <w:rPr>
                <w:b/>
                <w:sz w:val="20"/>
              </w:rPr>
            </w:pPr>
            <w:r>
              <w:rPr>
                <w:b/>
                <w:sz w:val="20"/>
              </w:rPr>
              <w:t>Location</w:t>
            </w:r>
          </w:p>
        </w:tc>
        <w:tc>
          <w:tcPr>
            <w:tcW w:w="537" w:type="dxa"/>
          </w:tcPr>
          <w:p>
            <w:pPr>
              <w:pStyle w:val="TableParagraph"/>
              <w:spacing w:before="30"/>
              <w:ind w:left="87" w:right="77"/>
              <w:jc w:val="center"/>
              <w:rPr>
                <w:b/>
                <w:sz w:val="20"/>
              </w:rPr>
            </w:pPr>
            <w:r>
              <w:rPr>
                <w:b/>
                <w:sz w:val="20"/>
              </w:rPr>
              <w:t>Rst</w:t>
            </w:r>
          </w:p>
        </w:tc>
        <w:tc>
          <w:tcPr>
            <w:tcW w:w="515" w:type="dxa"/>
          </w:tcPr>
          <w:p>
            <w:pPr>
              <w:pStyle w:val="TableParagraph"/>
              <w:spacing w:before="30"/>
              <w:ind w:left="89" w:right="74"/>
              <w:jc w:val="center"/>
              <w:rPr>
                <w:b/>
                <w:sz w:val="20"/>
              </w:rPr>
            </w:pPr>
            <w:r>
              <w:rPr>
                <w:b/>
                <w:sz w:val="20"/>
              </w:rPr>
              <w:t>Wk</w:t>
            </w:r>
          </w:p>
        </w:tc>
        <w:tc>
          <w:tcPr>
            <w:tcW w:w="609" w:type="dxa"/>
          </w:tcPr>
          <w:p>
            <w:pPr>
              <w:pStyle w:val="TableParagraph"/>
              <w:spacing w:before="30"/>
              <w:ind w:right="154"/>
              <w:jc w:val="right"/>
              <w:rPr>
                <w:b/>
                <w:sz w:val="20"/>
              </w:rPr>
            </w:pPr>
            <w:r>
              <w:rPr>
                <w:b/>
                <w:w w:val="95"/>
                <w:sz w:val="20"/>
              </w:rPr>
              <w:t>Dir</w:t>
            </w:r>
          </w:p>
        </w:tc>
        <w:tc>
          <w:tcPr>
            <w:tcW w:w="4996" w:type="dxa"/>
          </w:tcPr>
          <w:p>
            <w:pPr>
              <w:pStyle w:val="TableParagraph"/>
              <w:spacing w:before="30"/>
              <w:ind w:left="110"/>
              <w:rPr>
                <w:b/>
                <w:sz w:val="20"/>
              </w:rPr>
            </w:pPr>
            <w:r>
              <w:rPr>
                <w:b/>
                <w:sz w:val="20"/>
              </w:rPr>
              <w:t>Description</w:t>
            </w:r>
          </w:p>
        </w:tc>
      </w:tr>
      <w:tr>
        <w:trPr>
          <w:trHeight w:val="491" w:hRule="atLeast"/>
        </w:trPr>
        <w:tc>
          <w:tcPr>
            <w:tcW w:w="1538" w:type="dxa"/>
          </w:tcPr>
          <w:p>
            <w:pPr>
              <w:pStyle w:val="TableParagraph"/>
              <w:spacing w:before="122"/>
              <w:ind w:left="107"/>
              <w:rPr>
                <w:rFonts w:ascii="Times New Roman"/>
                <w:i/>
                <w:sz w:val="20"/>
              </w:rPr>
            </w:pPr>
            <w:r>
              <w:rPr>
                <w:rFonts w:ascii="Times New Roman"/>
                <w:i/>
                <w:sz w:val="20"/>
              </w:rPr>
              <w:t>OSC_COMP</w:t>
            </w:r>
          </w:p>
        </w:tc>
        <w:tc>
          <w:tcPr>
            <w:tcW w:w="1161" w:type="dxa"/>
          </w:tcPr>
          <w:p>
            <w:pPr>
              <w:pStyle w:val="TableParagraph"/>
              <w:spacing w:before="126"/>
              <w:ind w:left="139" w:right="134"/>
              <w:jc w:val="center"/>
              <w:rPr>
                <w:sz w:val="20"/>
              </w:rPr>
            </w:pPr>
            <w:r>
              <w:rPr>
                <w:sz w:val="20"/>
              </w:rPr>
              <w:t>28A0[5]</w:t>
            </w:r>
          </w:p>
        </w:tc>
        <w:tc>
          <w:tcPr>
            <w:tcW w:w="537" w:type="dxa"/>
          </w:tcPr>
          <w:p>
            <w:pPr>
              <w:pStyle w:val="TableParagraph"/>
              <w:spacing w:before="126"/>
              <w:ind w:left="12"/>
              <w:jc w:val="center"/>
              <w:rPr>
                <w:sz w:val="20"/>
              </w:rPr>
            </w:pPr>
            <w:r>
              <w:rPr>
                <w:w w:val="99"/>
                <w:sz w:val="20"/>
              </w:rPr>
              <w:t>0</w:t>
            </w:r>
          </w:p>
        </w:tc>
        <w:tc>
          <w:tcPr>
            <w:tcW w:w="515" w:type="dxa"/>
          </w:tcPr>
          <w:p>
            <w:pPr>
              <w:pStyle w:val="TableParagraph"/>
              <w:spacing w:before="126"/>
              <w:ind w:left="11"/>
              <w:jc w:val="center"/>
              <w:rPr>
                <w:sz w:val="20"/>
              </w:rPr>
            </w:pPr>
            <w:r>
              <w:rPr>
                <w:w w:val="99"/>
                <w:sz w:val="20"/>
              </w:rPr>
              <w:t>0</w:t>
            </w:r>
          </w:p>
        </w:tc>
        <w:tc>
          <w:tcPr>
            <w:tcW w:w="609" w:type="dxa"/>
          </w:tcPr>
          <w:p>
            <w:pPr>
              <w:pStyle w:val="TableParagraph"/>
              <w:spacing w:before="126"/>
              <w:ind w:right="109"/>
              <w:jc w:val="right"/>
              <w:rPr>
                <w:sz w:val="20"/>
              </w:rPr>
            </w:pPr>
            <w:r>
              <w:rPr>
                <w:sz w:val="20"/>
              </w:rPr>
              <w:t>R/W</w:t>
            </w:r>
          </w:p>
        </w:tc>
        <w:tc>
          <w:tcPr>
            <w:tcW w:w="4996" w:type="dxa"/>
          </w:tcPr>
          <w:p>
            <w:pPr>
              <w:pStyle w:val="TableParagraph"/>
              <w:spacing w:line="229" w:lineRule="exact" w:before="9"/>
              <w:ind w:left="110"/>
              <w:rPr>
                <w:sz w:val="20"/>
              </w:rPr>
            </w:pPr>
            <w:r>
              <w:rPr>
                <w:sz w:val="20"/>
              </w:rPr>
              <w:t>Enables the automatic update of </w:t>
            </w:r>
            <w:r>
              <w:rPr>
                <w:rFonts w:ascii="Times New Roman"/>
                <w:i/>
                <w:sz w:val="20"/>
              </w:rPr>
              <w:t>RTC_P[16:0] </w:t>
            </w:r>
            <w:r>
              <w:rPr>
                <w:sz w:val="20"/>
              </w:rPr>
              <w:t>and</w:t>
            </w:r>
          </w:p>
          <w:p>
            <w:pPr>
              <w:pStyle w:val="TableParagraph"/>
              <w:spacing w:line="229" w:lineRule="exact"/>
              <w:ind w:left="110"/>
              <w:rPr>
                <w:sz w:val="20"/>
              </w:rPr>
            </w:pPr>
            <w:r>
              <w:rPr>
                <w:rFonts w:ascii="Times New Roman"/>
                <w:i/>
                <w:sz w:val="20"/>
              </w:rPr>
              <w:t>RTC_Q[1:0] </w:t>
            </w:r>
            <w:r>
              <w:rPr>
                <w:sz w:val="20"/>
              </w:rPr>
              <w:t>every time the temperature is measured.</w:t>
            </w:r>
          </w:p>
        </w:tc>
      </w:tr>
      <w:tr>
        <w:trPr>
          <w:trHeight w:val="491" w:hRule="atLeast"/>
        </w:trPr>
        <w:tc>
          <w:tcPr>
            <w:tcW w:w="1538" w:type="dxa"/>
          </w:tcPr>
          <w:p>
            <w:pPr>
              <w:pStyle w:val="TableParagraph"/>
              <w:spacing w:line="235" w:lineRule="auto" w:before="13"/>
              <w:ind w:left="107" w:right="180"/>
              <w:rPr>
                <w:rFonts w:ascii="Times New Roman"/>
                <w:i/>
                <w:sz w:val="20"/>
              </w:rPr>
            </w:pPr>
            <w:r>
              <w:rPr>
                <w:rFonts w:ascii="Times New Roman"/>
                <w:i/>
                <w:w w:val="95"/>
                <w:sz w:val="20"/>
              </w:rPr>
              <w:t>STEMP[10:3] </w:t>
            </w:r>
            <w:r>
              <w:rPr>
                <w:rFonts w:ascii="Times New Roman"/>
                <w:i/>
                <w:sz w:val="20"/>
              </w:rPr>
              <w:t>STEMP[2:0]</w:t>
            </w:r>
          </w:p>
        </w:tc>
        <w:tc>
          <w:tcPr>
            <w:tcW w:w="1161" w:type="dxa"/>
          </w:tcPr>
          <w:p>
            <w:pPr>
              <w:pStyle w:val="TableParagraph"/>
              <w:spacing w:line="228" w:lineRule="exact" w:before="14"/>
              <w:ind w:left="160"/>
              <w:rPr>
                <w:sz w:val="20"/>
              </w:rPr>
            </w:pPr>
            <w:r>
              <w:rPr>
                <w:sz w:val="20"/>
              </w:rPr>
              <w:t>2881[7:0]</w:t>
            </w:r>
          </w:p>
          <w:p>
            <w:pPr>
              <w:pStyle w:val="TableParagraph"/>
              <w:spacing w:line="228" w:lineRule="exact"/>
              <w:ind w:left="160"/>
              <w:rPr>
                <w:sz w:val="20"/>
              </w:rPr>
            </w:pPr>
            <w:r>
              <w:rPr>
                <w:sz w:val="20"/>
              </w:rPr>
              <w:t>2882[7:5]</w:t>
            </w:r>
          </w:p>
        </w:tc>
        <w:tc>
          <w:tcPr>
            <w:tcW w:w="537" w:type="dxa"/>
          </w:tcPr>
          <w:p>
            <w:pPr>
              <w:pStyle w:val="TableParagraph"/>
              <w:spacing w:before="126"/>
              <w:ind w:left="12"/>
              <w:jc w:val="center"/>
              <w:rPr>
                <w:sz w:val="20"/>
              </w:rPr>
            </w:pPr>
            <w:r>
              <w:rPr>
                <w:w w:val="99"/>
                <w:sz w:val="20"/>
              </w:rPr>
              <w:t>–</w:t>
            </w:r>
          </w:p>
        </w:tc>
        <w:tc>
          <w:tcPr>
            <w:tcW w:w="515" w:type="dxa"/>
          </w:tcPr>
          <w:p>
            <w:pPr>
              <w:pStyle w:val="TableParagraph"/>
              <w:spacing w:before="126"/>
              <w:ind w:left="11"/>
              <w:jc w:val="center"/>
              <w:rPr>
                <w:sz w:val="20"/>
              </w:rPr>
            </w:pPr>
            <w:r>
              <w:rPr>
                <w:w w:val="99"/>
                <w:sz w:val="20"/>
              </w:rPr>
              <w:t>–</w:t>
            </w:r>
          </w:p>
        </w:tc>
        <w:tc>
          <w:tcPr>
            <w:tcW w:w="609" w:type="dxa"/>
          </w:tcPr>
          <w:p>
            <w:pPr>
              <w:pStyle w:val="TableParagraph"/>
              <w:spacing w:before="126"/>
              <w:ind w:right="220"/>
              <w:jc w:val="right"/>
              <w:rPr>
                <w:sz w:val="20"/>
              </w:rPr>
            </w:pPr>
            <w:r>
              <w:rPr>
                <w:w w:val="99"/>
                <w:sz w:val="20"/>
              </w:rPr>
              <w:t>R</w:t>
            </w:r>
          </w:p>
        </w:tc>
        <w:tc>
          <w:tcPr>
            <w:tcW w:w="4996" w:type="dxa"/>
          </w:tcPr>
          <w:p>
            <w:pPr>
              <w:pStyle w:val="TableParagraph"/>
              <w:spacing w:line="235" w:lineRule="auto" w:before="17"/>
              <w:ind w:left="110" w:right="276"/>
              <w:rPr>
                <w:sz w:val="20"/>
              </w:rPr>
            </w:pPr>
            <w:r>
              <w:rPr>
                <w:sz w:val="20"/>
              </w:rPr>
              <w:t>The result of the temperature measurement (10-bits of magnitude data plus a sign bit).</w:t>
            </w:r>
          </w:p>
        </w:tc>
      </w:tr>
      <w:tr>
        <w:trPr>
          <w:trHeight w:val="489" w:hRule="atLeast"/>
        </w:trPr>
        <w:tc>
          <w:tcPr>
            <w:tcW w:w="1538" w:type="dxa"/>
          </w:tcPr>
          <w:p>
            <w:pPr>
              <w:pStyle w:val="TableParagraph"/>
              <w:spacing w:before="122"/>
              <w:ind w:left="107"/>
              <w:rPr>
                <w:rFonts w:ascii="Times New Roman"/>
                <w:i/>
                <w:sz w:val="20"/>
              </w:rPr>
            </w:pPr>
            <w:r>
              <w:rPr>
                <w:rFonts w:ascii="Times New Roman"/>
                <w:i/>
                <w:sz w:val="20"/>
              </w:rPr>
              <w:t>LKPADDR[6:0]</w:t>
            </w:r>
          </w:p>
        </w:tc>
        <w:tc>
          <w:tcPr>
            <w:tcW w:w="1161" w:type="dxa"/>
          </w:tcPr>
          <w:p>
            <w:pPr>
              <w:pStyle w:val="TableParagraph"/>
              <w:spacing w:before="126"/>
              <w:ind w:left="138" w:right="135"/>
              <w:jc w:val="center"/>
              <w:rPr>
                <w:sz w:val="20"/>
              </w:rPr>
            </w:pPr>
            <w:r>
              <w:rPr>
                <w:sz w:val="20"/>
              </w:rPr>
              <w:t>2887[6:0]</w:t>
            </w:r>
          </w:p>
        </w:tc>
        <w:tc>
          <w:tcPr>
            <w:tcW w:w="537" w:type="dxa"/>
          </w:tcPr>
          <w:p>
            <w:pPr>
              <w:pStyle w:val="TableParagraph"/>
              <w:spacing w:before="126"/>
              <w:ind w:left="12"/>
              <w:jc w:val="center"/>
              <w:rPr>
                <w:sz w:val="20"/>
              </w:rPr>
            </w:pPr>
            <w:r>
              <w:rPr>
                <w:w w:val="99"/>
                <w:sz w:val="20"/>
              </w:rPr>
              <w:t>0</w:t>
            </w:r>
          </w:p>
        </w:tc>
        <w:tc>
          <w:tcPr>
            <w:tcW w:w="515" w:type="dxa"/>
          </w:tcPr>
          <w:p>
            <w:pPr>
              <w:pStyle w:val="TableParagraph"/>
              <w:spacing w:before="126"/>
              <w:ind w:left="11"/>
              <w:jc w:val="center"/>
              <w:rPr>
                <w:sz w:val="20"/>
              </w:rPr>
            </w:pPr>
            <w:r>
              <w:rPr>
                <w:w w:val="99"/>
                <w:sz w:val="20"/>
              </w:rPr>
              <w:t>0</w:t>
            </w:r>
          </w:p>
        </w:tc>
        <w:tc>
          <w:tcPr>
            <w:tcW w:w="609" w:type="dxa"/>
          </w:tcPr>
          <w:p>
            <w:pPr>
              <w:pStyle w:val="TableParagraph"/>
              <w:spacing w:before="126"/>
              <w:ind w:right="109"/>
              <w:jc w:val="right"/>
              <w:rPr>
                <w:sz w:val="20"/>
              </w:rPr>
            </w:pPr>
            <w:r>
              <w:rPr>
                <w:sz w:val="20"/>
              </w:rPr>
              <w:t>R/W</w:t>
            </w:r>
          </w:p>
        </w:tc>
        <w:tc>
          <w:tcPr>
            <w:tcW w:w="4996" w:type="dxa"/>
          </w:tcPr>
          <w:p>
            <w:pPr>
              <w:pStyle w:val="TableParagraph"/>
              <w:spacing w:line="235" w:lineRule="auto" w:before="17"/>
              <w:ind w:left="110"/>
              <w:rPr>
                <w:sz w:val="20"/>
              </w:rPr>
            </w:pPr>
            <w:r>
              <w:rPr>
                <w:spacing w:val="-3"/>
                <w:sz w:val="20"/>
              </w:rPr>
              <w:t>The </w:t>
            </w:r>
            <w:r>
              <w:rPr>
                <w:spacing w:val="-4"/>
                <w:sz w:val="20"/>
              </w:rPr>
              <w:t>address </w:t>
            </w:r>
            <w:r>
              <w:rPr>
                <w:spacing w:val="-3"/>
                <w:sz w:val="20"/>
              </w:rPr>
              <w:t>for reading and </w:t>
            </w:r>
            <w:r>
              <w:rPr>
                <w:spacing w:val="-4"/>
                <w:sz w:val="20"/>
              </w:rPr>
              <w:t>writing </w:t>
            </w:r>
            <w:r>
              <w:rPr>
                <w:spacing w:val="-3"/>
                <w:sz w:val="20"/>
              </w:rPr>
              <w:t>the RTC </w:t>
            </w:r>
            <w:r>
              <w:rPr>
                <w:spacing w:val="-4"/>
                <w:sz w:val="20"/>
              </w:rPr>
              <w:t>lookup </w:t>
            </w:r>
            <w:r>
              <w:rPr>
                <w:spacing w:val="-3"/>
                <w:sz w:val="20"/>
              </w:rPr>
              <w:t>RAM.</w:t>
            </w:r>
          </w:p>
        </w:tc>
      </w:tr>
      <w:tr>
        <w:trPr>
          <w:trHeight w:val="942" w:hRule="atLeast"/>
        </w:trPr>
        <w:tc>
          <w:tcPr>
            <w:tcW w:w="1538" w:type="dxa"/>
          </w:tcPr>
          <w:p>
            <w:pPr>
              <w:pStyle w:val="TableParagraph"/>
              <w:spacing w:before="5"/>
              <w:rPr>
                <w:b/>
                <w:sz w:val="30"/>
              </w:rPr>
            </w:pPr>
          </w:p>
          <w:p>
            <w:pPr>
              <w:pStyle w:val="TableParagraph"/>
              <w:ind w:left="107"/>
              <w:rPr>
                <w:rFonts w:ascii="Times New Roman"/>
                <w:i/>
                <w:sz w:val="20"/>
              </w:rPr>
            </w:pPr>
            <w:r>
              <w:rPr>
                <w:rFonts w:ascii="Times New Roman"/>
                <w:i/>
                <w:sz w:val="20"/>
              </w:rPr>
              <w:t>LKPAUTOI</w:t>
            </w:r>
          </w:p>
        </w:tc>
        <w:tc>
          <w:tcPr>
            <w:tcW w:w="1161" w:type="dxa"/>
          </w:tcPr>
          <w:p>
            <w:pPr>
              <w:pStyle w:val="TableParagraph"/>
              <w:spacing w:before="9"/>
              <w:rPr>
                <w:b/>
                <w:sz w:val="30"/>
              </w:rPr>
            </w:pPr>
          </w:p>
          <w:p>
            <w:pPr>
              <w:pStyle w:val="TableParagraph"/>
              <w:ind w:left="138" w:right="135"/>
              <w:jc w:val="center"/>
              <w:rPr>
                <w:sz w:val="20"/>
              </w:rPr>
            </w:pPr>
            <w:r>
              <w:rPr>
                <w:sz w:val="20"/>
              </w:rPr>
              <w:t>2887[7]</w:t>
            </w:r>
          </w:p>
        </w:tc>
        <w:tc>
          <w:tcPr>
            <w:tcW w:w="537" w:type="dxa"/>
          </w:tcPr>
          <w:p>
            <w:pPr>
              <w:pStyle w:val="TableParagraph"/>
              <w:spacing w:before="9"/>
              <w:rPr>
                <w:b/>
                <w:sz w:val="30"/>
              </w:rPr>
            </w:pPr>
          </w:p>
          <w:p>
            <w:pPr>
              <w:pStyle w:val="TableParagraph"/>
              <w:ind w:left="12"/>
              <w:jc w:val="center"/>
              <w:rPr>
                <w:sz w:val="20"/>
              </w:rPr>
            </w:pPr>
            <w:r>
              <w:rPr>
                <w:w w:val="99"/>
                <w:sz w:val="20"/>
              </w:rPr>
              <w:t>0</w:t>
            </w:r>
          </w:p>
        </w:tc>
        <w:tc>
          <w:tcPr>
            <w:tcW w:w="515" w:type="dxa"/>
          </w:tcPr>
          <w:p>
            <w:pPr>
              <w:pStyle w:val="TableParagraph"/>
              <w:spacing w:before="9"/>
              <w:rPr>
                <w:b/>
                <w:sz w:val="30"/>
              </w:rPr>
            </w:pPr>
          </w:p>
          <w:p>
            <w:pPr>
              <w:pStyle w:val="TableParagraph"/>
              <w:ind w:left="11"/>
              <w:jc w:val="center"/>
              <w:rPr>
                <w:sz w:val="20"/>
              </w:rPr>
            </w:pPr>
            <w:r>
              <w:rPr>
                <w:w w:val="99"/>
                <w:sz w:val="20"/>
              </w:rPr>
              <w:t>0</w:t>
            </w:r>
          </w:p>
        </w:tc>
        <w:tc>
          <w:tcPr>
            <w:tcW w:w="609" w:type="dxa"/>
          </w:tcPr>
          <w:p>
            <w:pPr>
              <w:pStyle w:val="TableParagraph"/>
              <w:spacing w:before="9"/>
              <w:rPr>
                <w:b/>
                <w:sz w:val="30"/>
              </w:rPr>
            </w:pPr>
          </w:p>
          <w:p>
            <w:pPr>
              <w:pStyle w:val="TableParagraph"/>
              <w:ind w:right="109"/>
              <w:jc w:val="right"/>
              <w:rPr>
                <w:sz w:val="20"/>
              </w:rPr>
            </w:pPr>
            <w:r>
              <w:rPr>
                <w:sz w:val="20"/>
              </w:rPr>
              <w:t>R/W</w:t>
            </w:r>
          </w:p>
        </w:tc>
        <w:tc>
          <w:tcPr>
            <w:tcW w:w="4996" w:type="dxa"/>
          </w:tcPr>
          <w:p>
            <w:pPr>
              <w:pStyle w:val="TableParagraph"/>
              <w:spacing w:line="235" w:lineRule="auto" w:before="12"/>
              <w:ind w:left="110" w:right="177"/>
              <w:rPr>
                <w:sz w:val="20"/>
              </w:rPr>
            </w:pPr>
            <w:r>
              <w:rPr>
                <w:sz w:val="20"/>
              </w:rPr>
              <w:t>Auto-increment flag. When set, </w:t>
            </w:r>
            <w:r>
              <w:rPr>
                <w:rFonts w:ascii="Times New Roman"/>
                <w:i/>
                <w:sz w:val="20"/>
              </w:rPr>
              <w:t>LKPADDR[6:0] </w:t>
            </w:r>
            <w:r>
              <w:rPr>
                <w:sz w:val="20"/>
              </w:rPr>
              <w:t>auto increments every time </w:t>
            </w:r>
            <w:r>
              <w:rPr>
                <w:rFonts w:ascii="Times New Roman"/>
                <w:i/>
                <w:sz w:val="20"/>
              </w:rPr>
              <w:t>LKP_RD </w:t>
            </w:r>
            <w:r>
              <w:rPr>
                <w:sz w:val="20"/>
              </w:rPr>
              <w:t>or </w:t>
            </w:r>
            <w:r>
              <w:rPr>
                <w:rFonts w:ascii="Times New Roman"/>
                <w:i/>
                <w:sz w:val="20"/>
              </w:rPr>
              <w:t>LKP_WR </w:t>
            </w:r>
            <w:r>
              <w:rPr>
                <w:sz w:val="20"/>
              </w:rPr>
              <w:t>is pulsed. The incremented address can be read at </w:t>
            </w:r>
            <w:r>
              <w:rPr>
                <w:rFonts w:ascii="Times New Roman"/>
                <w:i/>
                <w:sz w:val="20"/>
              </w:rPr>
              <w:t>LKPADDR[6:0]</w:t>
            </w:r>
            <w:r>
              <w:rPr>
                <w:sz w:val="20"/>
              </w:rPr>
              <w:t>.</w:t>
            </w:r>
          </w:p>
        </w:tc>
      </w:tr>
      <w:tr>
        <w:trPr>
          <w:trHeight w:val="491" w:hRule="atLeast"/>
        </w:trPr>
        <w:tc>
          <w:tcPr>
            <w:tcW w:w="1538" w:type="dxa"/>
          </w:tcPr>
          <w:p>
            <w:pPr>
              <w:pStyle w:val="TableParagraph"/>
              <w:spacing w:before="122"/>
              <w:ind w:left="107"/>
              <w:rPr>
                <w:rFonts w:ascii="Times New Roman"/>
                <w:i/>
                <w:sz w:val="20"/>
              </w:rPr>
            </w:pPr>
            <w:r>
              <w:rPr>
                <w:rFonts w:ascii="Times New Roman"/>
                <w:i/>
                <w:sz w:val="20"/>
              </w:rPr>
              <w:t>LKPDAT[7:0]</w:t>
            </w:r>
          </w:p>
        </w:tc>
        <w:tc>
          <w:tcPr>
            <w:tcW w:w="1161" w:type="dxa"/>
          </w:tcPr>
          <w:p>
            <w:pPr>
              <w:pStyle w:val="TableParagraph"/>
              <w:spacing w:before="126"/>
              <w:ind w:left="138" w:right="135"/>
              <w:jc w:val="center"/>
              <w:rPr>
                <w:sz w:val="20"/>
              </w:rPr>
            </w:pPr>
            <w:r>
              <w:rPr>
                <w:sz w:val="20"/>
              </w:rPr>
              <w:t>2888[7:0]</w:t>
            </w:r>
          </w:p>
        </w:tc>
        <w:tc>
          <w:tcPr>
            <w:tcW w:w="537" w:type="dxa"/>
          </w:tcPr>
          <w:p>
            <w:pPr>
              <w:pStyle w:val="TableParagraph"/>
              <w:spacing w:before="126"/>
              <w:ind w:left="12"/>
              <w:jc w:val="center"/>
              <w:rPr>
                <w:sz w:val="20"/>
              </w:rPr>
            </w:pPr>
            <w:r>
              <w:rPr>
                <w:w w:val="99"/>
                <w:sz w:val="20"/>
              </w:rPr>
              <w:t>0</w:t>
            </w:r>
          </w:p>
        </w:tc>
        <w:tc>
          <w:tcPr>
            <w:tcW w:w="515" w:type="dxa"/>
          </w:tcPr>
          <w:p>
            <w:pPr>
              <w:pStyle w:val="TableParagraph"/>
              <w:spacing w:before="126"/>
              <w:ind w:left="11"/>
              <w:jc w:val="center"/>
              <w:rPr>
                <w:sz w:val="20"/>
              </w:rPr>
            </w:pPr>
            <w:r>
              <w:rPr>
                <w:w w:val="99"/>
                <w:sz w:val="20"/>
              </w:rPr>
              <w:t>0</w:t>
            </w:r>
          </w:p>
        </w:tc>
        <w:tc>
          <w:tcPr>
            <w:tcW w:w="609" w:type="dxa"/>
          </w:tcPr>
          <w:p>
            <w:pPr>
              <w:pStyle w:val="TableParagraph"/>
              <w:spacing w:before="126"/>
              <w:ind w:right="109"/>
              <w:jc w:val="right"/>
              <w:rPr>
                <w:sz w:val="20"/>
              </w:rPr>
            </w:pPr>
            <w:r>
              <w:rPr>
                <w:sz w:val="20"/>
              </w:rPr>
              <w:t>R/W</w:t>
            </w:r>
          </w:p>
        </w:tc>
        <w:tc>
          <w:tcPr>
            <w:tcW w:w="4996" w:type="dxa"/>
          </w:tcPr>
          <w:p>
            <w:pPr>
              <w:pStyle w:val="TableParagraph"/>
              <w:spacing w:line="235" w:lineRule="auto" w:before="20"/>
              <w:ind w:left="110" w:right="276"/>
              <w:rPr>
                <w:sz w:val="20"/>
              </w:rPr>
            </w:pPr>
            <w:r>
              <w:rPr>
                <w:sz w:val="20"/>
              </w:rPr>
              <w:t>The data for reading and writing the RTC lookup RAM.</w:t>
            </w:r>
          </w:p>
        </w:tc>
      </w:tr>
      <w:tr>
        <w:trPr>
          <w:trHeight w:val="1393" w:hRule="atLeast"/>
        </w:trPr>
        <w:tc>
          <w:tcPr>
            <w:tcW w:w="1538" w:type="dxa"/>
          </w:tcPr>
          <w:p>
            <w:pPr>
              <w:pStyle w:val="TableParagraph"/>
              <w:rPr>
                <w:b/>
                <w:sz w:val="22"/>
              </w:rPr>
            </w:pPr>
          </w:p>
          <w:p>
            <w:pPr>
              <w:pStyle w:val="TableParagraph"/>
              <w:spacing w:before="3"/>
              <w:rPr>
                <w:b/>
                <w:sz w:val="17"/>
              </w:rPr>
            </w:pPr>
          </w:p>
          <w:p>
            <w:pPr>
              <w:pStyle w:val="TableParagraph"/>
              <w:spacing w:line="256" w:lineRule="auto"/>
              <w:ind w:left="107" w:right="180"/>
              <w:rPr>
                <w:rFonts w:ascii="Times New Roman"/>
                <w:i/>
                <w:sz w:val="20"/>
              </w:rPr>
            </w:pPr>
            <w:r>
              <w:rPr>
                <w:rFonts w:ascii="Times New Roman"/>
                <w:i/>
                <w:sz w:val="20"/>
              </w:rPr>
              <w:t>LKP_RD </w:t>
            </w:r>
            <w:r>
              <w:rPr>
                <w:rFonts w:ascii="Times New Roman"/>
                <w:i/>
                <w:sz w:val="20"/>
              </w:rPr>
              <w:t>LKP_WR</w:t>
            </w:r>
          </w:p>
        </w:tc>
        <w:tc>
          <w:tcPr>
            <w:tcW w:w="1161" w:type="dxa"/>
          </w:tcPr>
          <w:p>
            <w:pPr>
              <w:pStyle w:val="TableParagraph"/>
              <w:rPr>
                <w:b/>
                <w:sz w:val="22"/>
              </w:rPr>
            </w:pPr>
          </w:p>
          <w:p>
            <w:pPr>
              <w:pStyle w:val="TableParagraph"/>
              <w:spacing w:before="6"/>
              <w:rPr>
                <w:b/>
                <w:sz w:val="17"/>
              </w:rPr>
            </w:pPr>
          </w:p>
          <w:p>
            <w:pPr>
              <w:pStyle w:val="TableParagraph"/>
              <w:spacing w:before="1"/>
              <w:ind w:left="244"/>
              <w:rPr>
                <w:sz w:val="20"/>
              </w:rPr>
            </w:pPr>
            <w:r>
              <w:rPr>
                <w:sz w:val="20"/>
              </w:rPr>
              <w:t>2889[1]</w:t>
            </w:r>
          </w:p>
          <w:p>
            <w:pPr>
              <w:pStyle w:val="TableParagraph"/>
              <w:spacing w:before="17"/>
              <w:ind w:left="244"/>
              <w:rPr>
                <w:sz w:val="20"/>
              </w:rPr>
            </w:pPr>
            <w:r>
              <w:rPr>
                <w:sz w:val="20"/>
              </w:rPr>
              <w:t>2889[0]</w:t>
            </w:r>
          </w:p>
        </w:tc>
        <w:tc>
          <w:tcPr>
            <w:tcW w:w="537" w:type="dxa"/>
          </w:tcPr>
          <w:p>
            <w:pPr>
              <w:pStyle w:val="TableParagraph"/>
              <w:rPr>
                <w:b/>
                <w:sz w:val="22"/>
              </w:rPr>
            </w:pPr>
          </w:p>
          <w:p>
            <w:pPr>
              <w:pStyle w:val="TableParagraph"/>
              <w:spacing w:before="6"/>
              <w:rPr>
                <w:b/>
                <w:sz w:val="17"/>
              </w:rPr>
            </w:pPr>
          </w:p>
          <w:p>
            <w:pPr>
              <w:pStyle w:val="TableParagraph"/>
              <w:spacing w:before="1"/>
              <w:ind w:left="12"/>
              <w:jc w:val="center"/>
              <w:rPr>
                <w:sz w:val="20"/>
              </w:rPr>
            </w:pPr>
            <w:r>
              <w:rPr>
                <w:w w:val="99"/>
                <w:sz w:val="20"/>
              </w:rPr>
              <w:t>0</w:t>
            </w:r>
          </w:p>
          <w:p>
            <w:pPr>
              <w:pStyle w:val="TableParagraph"/>
              <w:spacing w:before="17"/>
              <w:ind w:left="12"/>
              <w:jc w:val="center"/>
              <w:rPr>
                <w:sz w:val="20"/>
              </w:rPr>
            </w:pPr>
            <w:r>
              <w:rPr>
                <w:w w:val="99"/>
                <w:sz w:val="20"/>
              </w:rPr>
              <w:t>0</w:t>
            </w:r>
          </w:p>
        </w:tc>
        <w:tc>
          <w:tcPr>
            <w:tcW w:w="515" w:type="dxa"/>
          </w:tcPr>
          <w:p>
            <w:pPr>
              <w:pStyle w:val="TableParagraph"/>
              <w:rPr>
                <w:b/>
                <w:sz w:val="22"/>
              </w:rPr>
            </w:pPr>
          </w:p>
          <w:p>
            <w:pPr>
              <w:pStyle w:val="TableParagraph"/>
              <w:spacing w:before="6"/>
              <w:rPr>
                <w:b/>
                <w:sz w:val="17"/>
              </w:rPr>
            </w:pPr>
          </w:p>
          <w:p>
            <w:pPr>
              <w:pStyle w:val="TableParagraph"/>
              <w:spacing w:before="1"/>
              <w:ind w:left="11"/>
              <w:jc w:val="center"/>
              <w:rPr>
                <w:sz w:val="20"/>
              </w:rPr>
            </w:pPr>
            <w:r>
              <w:rPr>
                <w:w w:val="99"/>
                <w:sz w:val="20"/>
              </w:rPr>
              <w:t>0</w:t>
            </w:r>
          </w:p>
          <w:p>
            <w:pPr>
              <w:pStyle w:val="TableParagraph"/>
              <w:spacing w:before="17"/>
              <w:ind w:left="11"/>
              <w:jc w:val="center"/>
              <w:rPr>
                <w:sz w:val="20"/>
              </w:rPr>
            </w:pPr>
            <w:r>
              <w:rPr>
                <w:w w:val="99"/>
                <w:sz w:val="20"/>
              </w:rPr>
              <w:t>0</w:t>
            </w:r>
          </w:p>
        </w:tc>
        <w:tc>
          <w:tcPr>
            <w:tcW w:w="609" w:type="dxa"/>
          </w:tcPr>
          <w:p>
            <w:pPr>
              <w:pStyle w:val="TableParagraph"/>
              <w:rPr>
                <w:b/>
                <w:sz w:val="22"/>
              </w:rPr>
            </w:pPr>
          </w:p>
          <w:p>
            <w:pPr>
              <w:pStyle w:val="TableParagraph"/>
              <w:spacing w:before="6"/>
              <w:rPr>
                <w:b/>
                <w:sz w:val="17"/>
              </w:rPr>
            </w:pPr>
          </w:p>
          <w:p>
            <w:pPr>
              <w:pStyle w:val="TableParagraph"/>
              <w:spacing w:line="256" w:lineRule="auto" w:before="1"/>
              <w:ind w:left="109"/>
              <w:rPr>
                <w:sz w:val="20"/>
              </w:rPr>
            </w:pPr>
            <w:r>
              <w:rPr>
                <w:sz w:val="20"/>
              </w:rPr>
              <w:t>R/W R/W</w:t>
            </w:r>
          </w:p>
        </w:tc>
        <w:tc>
          <w:tcPr>
            <w:tcW w:w="4996" w:type="dxa"/>
          </w:tcPr>
          <w:p>
            <w:pPr>
              <w:pStyle w:val="TableParagraph"/>
              <w:spacing w:line="235" w:lineRule="auto" w:before="17"/>
              <w:ind w:left="110" w:right="31"/>
              <w:rPr>
                <w:sz w:val="20"/>
              </w:rPr>
            </w:pPr>
            <w:r>
              <w:rPr>
                <w:sz w:val="20"/>
              </w:rPr>
              <w:t>Strobe bits for the RTC lookup RAM read and write. When set, the </w:t>
            </w:r>
            <w:r>
              <w:rPr>
                <w:rFonts w:ascii="Times New Roman"/>
                <w:i/>
                <w:sz w:val="20"/>
              </w:rPr>
              <w:t>LKPADDR[6:0] </w:t>
            </w:r>
            <w:r>
              <w:rPr>
                <w:sz w:val="20"/>
              </w:rPr>
              <w:t>and </w:t>
            </w:r>
            <w:r>
              <w:rPr>
                <w:rFonts w:ascii="Times New Roman"/>
                <w:i/>
                <w:sz w:val="20"/>
              </w:rPr>
              <w:t>LKPDAT </w:t>
            </w:r>
            <w:r>
              <w:rPr>
                <w:sz w:val="20"/>
              </w:rPr>
              <w:t>registers are used in a read or write operation. When a strobe is set, it stays set until the operation completes, at which time the strobe is cleared and </w:t>
            </w:r>
            <w:r>
              <w:rPr>
                <w:rFonts w:ascii="Times New Roman"/>
                <w:i/>
                <w:sz w:val="20"/>
              </w:rPr>
              <w:t>LKPADDR[6:0] </w:t>
            </w:r>
            <w:r>
              <w:rPr>
                <w:sz w:val="20"/>
              </w:rPr>
              <w:t>is incremented if </w:t>
            </w:r>
            <w:r>
              <w:rPr>
                <w:rFonts w:ascii="Times New Roman"/>
                <w:i/>
                <w:sz w:val="20"/>
              </w:rPr>
              <w:t>LKPAUTOI </w:t>
            </w:r>
            <w:r>
              <w:rPr>
                <w:sz w:val="20"/>
              </w:rPr>
              <w:t>is set.</w:t>
            </w:r>
          </w:p>
        </w:tc>
      </w:tr>
    </w:tbl>
    <w:p>
      <w:pPr>
        <w:pStyle w:val="BodyText"/>
        <w:spacing w:before="1"/>
        <w:rPr>
          <w:b/>
          <w:sz w:val="19"/>
        </w:rPr>
      </w:pPr>
    </w:p>
    <w:p>
      <w:pPr>
        <w:pStyle w:val="BodyText"/>
        <w:spacing w:line="235" w:lineRule="auto"/>
        <w:ind w:left="240" w:right="491"/>
      </w:pPr>
      <w:r>
        <w:rPr/>
        <w:t>Referring to </w:t>
      </w:r>
      <w:hyperlink w:history="true" w:anchor="_bookmark107">
        <w:r>
          <w:rPr>
            <w:color w:val="0000FF"/>
          </w:rPr>
          <w:t>Figure 13 </w:t>
        </w:r>
      </w:hyperlink>
      <w:r>
        <w:rPr/>
        <w:t>the table lookup method uses the 10-bits plus sign-bit value in </w:t>
      </w:r>
      <w:r>
        <w:rPr>
          <w:rFonts w:ascii="Times New Roman" w:hAnsi="Times New Roman"/>
          <w:i/>
        </w:rPr>
        <w:t>STEMP[10:0] </w:t>
      </w:r>
      <w:r>
        <w:rPr/>
        <w:t>right-shifted by two bits to obtain an 8-bit plus sign value (i.e., NV RAM Address = </w:t>
      </w:r>
      <w:r>
        <w:rPr>
          <w:rFonts w:ascii="Times New Roman" w:hAnsi="Times New Roman"/>
          <w:i/>
        </w:rPr>
        <w:t>STEMP[10:0]</w:t>
      </w:r>
      <w:r>
        <w:rPr/>
        <w:t>/4). A limiter ensures that the resulting look-up address is in the 6-bit plus sign range of -64 to +63 (decimal). The 8-bit NV RAM content pointed to by the address is added as a 2’s complement value to 0x40000, the nominal value of 4*</w:t>
      </w:r>
      <w:r>
        <w:rPr>
          <w:rFonts w:ascii="Times New Roman" w:hAnsi="Times New Roman"/>
          <w:i/>
        </w:rPr>
        <w:t>RTC_P[16:0] </w:t>
      </w:r>
      <w:r>
        <w:rPr/>
        <w:t>+ </w:t>
      </w:r>
      <w:r>
        <w:rPr>
          <w:rFonts w:ascii="Times New Roman" w:hAnsi="Times New Roman"/>
          <w:i/>
        </w:rPr>
        <w:t>RTC_Q[1:0]</w:t>
      </w:r>
      <w:r>
        <w:rPr/>
        <w:t>.</w:t>
      </w:r>
    </w:p>
    <w:p>
      <w:pPr>
        <w:pStyle w:val="BodyText"/>
        <w:spacing w:before="8"/>
        <w:rPr>
          <w:sz w:val="19"/>
        </w:rPr>
      </w:pPr>
    </w:p>
    <w:p>
      <w:pPr>
        <w:pStyle w:val="BodyText"/>
        <w:spacing w:line="235" w:lineRule="auto"/>
        <w:ind w:left="240" w:right="371"/>
      </w:pPr>
      <w:r>
        <w:rPr/>
        <w:t>Refer to </w:t>
      </w:r>
      <w:hyperlink w:history="true" w:anchor="_bookmark104">
        <w:r>
          <w:rPr>
            <w:color w:val="0000FF"/>
          </w:rPr>
          <w:t>2.5.4.3 </w:t>
        </w:r>
      </w:hyperlink>
      <w:hyperlink w:history="true" w:anchor="_bookmark104">
        <w:r>
          <w:rPr>
            <w:color w:val="0000FF"/>
          </w:rPr>
          <w:t>RTC Rate Control </w:t>
        </w:r>
      </w:hyperlink>
      <w:r>
        <w:rPr/>
        <w:t>for information on the rate adjustments performed by registers </w:t>
      </w:r>
      <w:r>
        <w:rPr>
          <w:rFonts w:ascii="Times New Roman" w:hAnsi="Times New Roman"/>
          <w:i/>
        </w:rPr>
        <w:t>RTC_P[16:0] </w:t>
      </w:r>
      <w:r>
        <w:rPr/>
        <w:t>and </w:t>
      </w:r>
      <w:r>
        <w:rPr>
          <w:rFonts w:ascii="Times New Roman" w:hAnsi="Times New Roman"/>
          <w:i/>
        </w:rPr>
        <w:t>RTC_Q[1:0]</w:t>
      </w:r>
      <w:r>
        <w:rPr>
          <w:i/>
        </w:rPr>
        <w:t>. </w:t>
      </w:r>
      <w:r>
        <w:rPr/>
        <w:t>The 8-bit values loaded in to NV RAM must be scaled correctly to produce rate adjustments that are consistent with the equations given in </w:t>
      </w:r>
      <w:hyperlink w:history="true" w:anchor="_bookmark104">
        <w:r>
          <w:rPr>
            <w:color w:val="0000FF"/>
          </w:rPr>
          <w:t>2.5.4.3 </w:t>
        </w:r>
      </w:hyperlink>
      <w:hyperlink w:history="true" w:anchor="_bookmark104">
        <w:r>
          <w:rPr>
            <w:color w:val="0000FF"/>
          </w:rPr>
          <w:t>RTC Rate Control </w:t>
        </w:r>
      </w:hyperlink>
      <w:r>
        <w:rPr/>
        <w:t>for </w:t>
      </w:r>
      <w:r>
        <w:rPr>
          <w:rFonts w:ascii="Times New Roman" w:hAnsi="Times New Roman"/>
          <w:i/>
        </w:rPr>
        <w:t>RTC_P[16:0] </w:t>
      </w:r>
      <w:r>
        <w:rPr/>
        <w:t>and </w:t>
      </w:r>
      <w:r>
        <w:rPr>
          <w:rFonts w:ascii="Times New Roman" w:hAnsi="Times New Roman"/>
          <w:i/>
        </w:rPr>
        <w:t>RTC_Q[1:0]. </w:t>
      </w:r>
      <w:r>
        <w:rPr/>
        <w:t>Note that the sum of the looked-up 8-bit 2’s complement value and 0x40000 form a 19- bit value, which is equal to 4*</w:t>
      </w:r>
      <w:r>
        <w:rPr>
          <w:rFonts w:ascii="Times New Roman" w:hAnsi="Times New Roman"/>
          <w:i/>
        </w:rPr>
        <w:t>RTC_P[16:0] </w:t>
      </w:r>
      <w:r>
        <w:rPr/>
        <w:t>+ </w:t>
      </w:r>
      <w:r>
        <w:rPr>
          <w:rFonts w:ascii="Times New Roman" w:hAnsi="Times New Roman"/>
          <w:i/>
        </w:rPr>
        <w:t>RTC_Q[1:0], </w:t>
      </w:r>
      <w:r>
        <w:rPr/>
        <w:t>as shown in </w:t>
      </w:r>
      <w:hyperlink w:history="true" w:anchor="_bookmark107">
        <w:r>
          <w:rPr>
            <w:color w:val="0000FF"/>
          </w:rPr>
          <w:t>Figure 13.</w:t>
        </w:r>
      </w:hyperlink>
      <w:r>
        <w:rPr>
          <w:color w:val="0000FF"/>
        </w:rPr>
        <w:t> </w:t>
      </w:r>
      <w:r>
        <w:rPr/>
        <w:t>The output of the Temperature Compensation is automatically loaded into the </w:t>
      </w:r>
      <w:r>
        <w:rPr>
          <w:rFonts w:ascii="Times New Roman" w:hAnsi="Times New Roman"/>
          <w:i/>
        </w:rPr>
        <w:t>RTC_P[16:0] </w:t>
      </w:r>
      <w:r>
        <w:rPr/>
        <w:t>and </w:t>
      </w:r>
      <w:r>
        <w:rPr>
          <w:rFonts w:ascii="Times New Roman" w:hAnsi="Times New Roman"/>
          <w:i/>
        </w:rPr>
        <w:t>RTC_Q[1:0] </w:t>
      </w:r>
      <w:r>
        <w:rPr/>
        <w:t>locations after each look-up and summation operation.</w:t>
      </w:r>
    </w:p>
    <w:p>
      <w:pPr>
        <w:pStyle w:val="BodyText"/>
        <w:spacing w:before="5"/>
        <w:rPr>
          <w:sz w:val="25"/>
        </w:rPr>
      </w:pPr>
    </w:p>
    <w:p>
      <w:pPr>
        <w:pStyle w:val="BodyText"/>
        <w:tabs>
          <w:tab w:pos="3340" w:val="left" w:leader="none"/>
        </w:tabs>
        <w:ind w:left="2574"/>
      </w:pPr>
      <w:r>
        <w:rPr>
          <w:position w:val="9"/>
        </w:rPr>
        <w:pict>
          <v:shape style="width:21.45pt;height:8.75pt;mso-position-horizontal-relative:char;mso-position-vertical-relative:line" type="#_x0000_t202" filled="false" stroked="false">
            <w10:anchorlock/>
            <v:textbox inset="0,0,0,0">
              <w:txbxContent>
                <w:p>
                  <w:pPr>
                    <w:spacing w:before="1"/>
                    <w:ind w:left="0" w:right="0" w:firstLine="0"/>
                    <w:jc w:val="left"/>
                    <w:rPr>
                      <w:sz w:val="15"/>
                    </w:rPr>
                  </w:pPr>
                  <w:r>
                    <w:rPr>
                      <w:w w:val="105"/>
                      <w:sz w:val="15"/>
                    </w:rPr>
                    <w:t>LIMIT</w:t>
                  </w:r>
                </w:p>
              </w:txbxContent>
            </v:textbox>
          </v:shape>
        </w:pict>
      </w:r>
      <w:r>
        <w:rPr>
          <w:position w:val="9"/>
        </w:rPr>
      </w:r>
      <w:r>
        <w:rPr>
          <w:position w:val="9"/>
        </w:rPr>
        <w:tab/>
      </w:r>
      <w:r>
        <w:rPr/>
        <w:pict>
          <v:shape style="width:7.7pt;height:6.6pt;mso-position-horizontal-relative:char;mso-position-vertical-relative:line" type="#_x0000_t202" filled="false" stroked="false">
            <w10:anchorlock/>
            <v:textbox inset="0,0,0,0">
              <w:txbxContent>
                <w:p>
                  <w:pPr>
                    <w:spacing w:before="3"/>
                    <w:ind w:left="0" w:right="0" w:firstLine="0"/>
                    <w:jc w:val="left"/>
                    <w:rPr>
                      <w:sz w:val="11"/>
                    </w:rPr>
                  </w:pPr>
                  <w:r>
                    <w:rPr>
                      <w:w w:val="110"/>
                      <w:sz w:val="11"/>
                    </w:rPr>
                    <w:t>63</w:t>
                  </w:r>
                </w:p>
              </w:txbxContent>
            </v:textbox>
          </v:shape>
        </w:pict>
      </w:r>
      <w:r>
        <w:rPr/>
      </w:r>
    </w:p>
    <w:p>
      <w:pPr>
        <w:spacing w:after="0"/>
        <w:sectPr>
          <w:pgSz w:w="12240" w:h="15840"/>
          <w:pgMar w:header="727" w:footer="819" w:top="960" w:bottom="1000" w:left="1200" w:right="1060"/>
        </w:sectPr>
      </w:pPr>
    </w:p>
    <w:p>
      <w:pPr>
        <w:spacing w:line="348" w:lineRule="auto" w:before="65"/>
        <w:ind w:left="1263" w:right="-7" w:hanging="171"/>
        <w:jc w:val="left"/>
        <w:rPr>
          <w:sz w:val="15"/>
        </w:rPr>
      </w:pPr>
      <w:r>
        <w:rPr/>
        <w:pict>
          <v:group style="position:absolute;margin-left:140.559128pt;margin-top:-14.207296pt;width:171.75pt;height:53.15pt;mso-position-horizontal-relative:page;mso-position-vertical-relative:paragraph;z-index:-38806528" coordorigin="2811,-284" coordsize="3435,1063">
            <v:rect style="position:absolute;left:3729;top:-282;width:1887;height:1058" filled="false" stroked="true" strokeweight=".236058pt" strokecolor="#000000">
              <v:stroke dashstyle="solid"/>
            </v:rect>
            <v:line style="position:absolute" from="5617,247" to="6162,247" stroked="true" strokeweight=".234954pt" strokecolor="#000000">
              <v:stroke dashstyle="solid"/>
            </v:line>
            <v:shape style="position:absolute;left:6135;top:192;width:111;height:109" type="#_x0000_t75" stroked="false">
              <v:imagedata r:id="rId65" o:title=""/>
            </v:shape>
            <v:shape style="position:absolute;left:2811;top:192;width:111;height:109" type="#_x0000_t75" stroked="false">
              <v:imagedata r:id="rId65" o:title=""/>
            </v:shape>
            <v:rect style="position:absolute;left:2921;top:-18;width:450;height:529" filled="false" stroked="true" strokeweight=".237638pt" strokecolor="#000000">
              <v:stroke dashstyle="solid"/>
            </v:rect>
            <v:line style="position:absolute" from="3371,247" to="3647,247" stroked="true" strokeweight=".234954pt" strokecolor="#000000">
              <v:stroke dashstyle="solid"/>
            </v:line>
            <v:shape style="position:absolute;left:3619;top:192;width:111;height:109" coordorigin="3620,193" coordsize="111,109" path="m3620,301l3630,274,3633,247,3630,219,3620,193,3730,247,3620,301xe" filled="true" fillcolor="#000000" stroked="false">
              <v:path arrowok="t"/>
              <v:fill type="solid"/>
            </v:shape>
            <v:line style="position:absolute" from="3999,291" to="5437,291" stroked="true" strokeweight=".234954pt" strokecolor="#000000">
              <v:stroke dashstyle="solid"/>
            </v:line>
            <v:line style="position:absolute" from="4718,-150" to="4718,731" stroked="true" strokeweight=".239576pt" strokecolor="#000000">
              <v:stroke dashstyle="solid"/>
            </v:line>
            <v:shape style="position:absolute;left:4358;top:-62;width:1079;height:705" coordorigin="4359,-62" coordsize="1079,705" path="m4359,643l5078,-62,5437,-62e" filled="false" stroked="true" strokeweight=".236338pt" strokecolor="#000000">
              <v:path arrowok="t"/>
              <v:stroke dashstyle="solid"/>
            </v:shape>
            <v:line style="position:absolute" from="4741,-62" to="4696,-62" stroked="true" strokeweight=".234954pt" strokecolor="#000000">
              <v:stroke dashstyle="solid"/>
            </v:line>
            <v:line style="position:absolute" from="4741,643" to="4696,643" stroked="true" strokeweight=".234954pt" strokecolor="#000000">
              <v:stroke dashstyle="solid"/>
            </v:line>
            <v:line style="position:absolute" from="5078,269" to="5078,313" stroked="true" strokeweight=".239576pt" strokecolor="#000000">
              <v:stroke dashstyle="solid"/>
            </v:line>
            <v:line style="position:absolute" from="4359,269" to="4359,313" stroked="true" strokeweight=".239576pt" strokecolor="#000000">
              <v:stroke dashstyle="solid"/>
            </v:line>
            <v:line style="position:absolute" from="5437,269" to="5437,313" stroked="true" strokeweight=".239576pt" strokecolor="#000000">
              <v:stroke dashstyle="solid"/>
            </v:line>
            <v:line style="position:absolute" from="3999,269" to="3999,313" stroked="true" strokeweight=".239576pt" strokecolor="#000000">
              <v:stroke dashstyle="solid"/>
            </v:line>
            <v:line style="position:absolute" from="5931,203" to="5841,291" stroked="true" strokeweight=".23722pt" strokecolor="#000000">
              <v:stroke dashstyle="solid"/>
            </v:line>
            <v:line style="position:absolute" from="3573,203" to="3483,291" stroked="true" strokeweight=".23722pt" strokecolor="#000000">
              <v:stroke dashstyle="solid"/>
            </v:line>
            <w10:wrap type="none"/>
          </v:group>
        </w:pict>
      </w:r>
      <w:r>
        <w:rPr/>
        <w:pict>
          <v:line style="position:absolute;mso-position-horizontal-relative:page;mso-position-vertical-relative:paragraph;z-index:-38805504" from="130.347149pt,10.140274pt" to="125.855103pt,14.545654pt" stroked="true" strokeweight=".23722pt" strokecolor="#000000">
            <v:stroke dashstyle="solid"/>
            <w10:wrap type="none"/>
          </v:line>
        </w:pict>
      </w:r>
      <w:r>
        <w:rPr>
          <w:rFonts w:ascii="Times New Roman"/>
          <w:w w:val="106"/>
          <w:sz w:val="15"/>
          <w:u w:val="single"/>
        </w:rPr>
        <w:t> </w:t>
      </w:r>
      <w:r>
        <w:rPr>
          <w:w w:val="105"/>
          <w:sz w:val="15"/>
          <w:u w:val="single"/>
        </w:rPr>
        <w:t>STEMP</w:t>
      </w:r>
      <w:r>
        <w:rPr>
          <w:w w:val="105"/>
          <w:sz w:val="15"/>
        </w:rPr>
        <w:t> 10+S</w:t>
      </w:r>
    </w:p>
    <w:p>
      <w:pPr>
        <w:pStyle w:val="BodyText"/>
        <w:spacing w:before="4"/>
        <w:rPr>
          <w:sz w:val="13"/>
        </w:rPr>
      </w:pPr>
      <w:r>
        <w:rPr/>
        <w:br w:type="column"/>
      </w:r>
      <w:r>
        <w:rPr>
          <w:sz w:val="13"/>
        </w:rPr>
      </w:r>
    </w:p>
    <w:p>
      <w:pPr>
        <w:spacing w:before="0"/>
        <w:ind w:left="80" w:right="0" w:firstLine="0"/>
        <w:jc w:val="left"/>
        <w:rPr>
          <w:sz w:val="15"/>
        </w:rPr>
      </w:pPr>
      <w:r>
        <w:rPr>
          <w:w w:val="105"/>
          <w:sz w:val="15"/>
        </w:rPr>
        <w:t>&gt;&gt;2</w:t>
      </w:r>
    </w:p>
    <w:p>
      <w:pPr>
        <w:pStyle w:val="BodyText"/>
        <w:spacing w:before="10"/>
        <w:rPr>
          <w:sz w:val="22"/>
        </w:rPr>
      </w:pPr>
      <w:r>
        <w:rPr/>
        <w:br w:type="column"/>
      </w:r>
      <w:r>
        <w:rPr>
          <w:sz w:val="22"/>
        </w:rPr>
      </w:r>
    </w:p>
    <w:p>
      <w:pPr>
        <w:spacing w:before="0"/>
        <w:ind w:left="59" w:right="0" w:firstLine="0"/>
        <w:jc w:val="left"/>
        <w:rPr>
          <w:sz w:val="15"/>
        </w:rPr>
      </w:pPr>
      <w:r>
        <w:rPr>
          <w:w w:val="105"/>
          <w:sz w:val="15"/>
        </w:rPr>
        <w:t>8+S</w:t>
      </w:r>
    </w:p>
    <w:p>
      <w:pPr>
        <w:pStyle w:val="BodyText"/>
        <w:rPr>
          <w:sz w:val="12"/>
        </w:rPr>
      </w:pPr>
      <w:r>
        <w:rPr/>
        <w:br w:type="column"/>
      </w:r>
      <w:r>
        <w:rPr>
          <w:sz w:val="12"/>
        </w:rPr>
      </w:r>
    </w:p>
    <w:p>
      <w:pPr>
        <w:pStyle w:val="BodyText"/>
        <w:spacing w:before="1"/>
        <w:rPr>
          <w:sz w:val="15"/>
        </w:rPr>
      </w:pPr>
    </w:p>
    <w:p>
      <w:pPr>
        <w:tabs>
          <w:tab w:pos="1452" w:val="left" w:leader="none"/>
        </w:tabs>
        <w:spacing w:before="0"/>
        <w:ind w:left="1092" w:right="0" w:firstLine="0"/>
        <w:jc w:val="left"/>
        <w:rPr>
          <w:sz w:val="11"/>
        </w:rPr>
      </w:pPr>
      <w:r>
        <w:rPr/>
        <w:pict>
          <v:shape style="position:absolute;margin-left:186.497787pt;margin-top:-2.110107pt;width:49.45pt;height:25.35pt;mso-position-horizontal-relative:page;mso-position-vertical-relative:paragraph;z-index:15776256" type="#_x0000_t202" filled="false" stroked="true" strokeweight=".239576pt" strokecolor="#000000">
            <v:textbox inset="0,0,0,0">
              <w:txbxContent>
                <w:p>
                  <w:pPr>
                    <w:spacing w:before="40"/>
                    <w:ind w:left="139" w:right="0" w:firstLine="0"/>
                    <w:jc w:val="left"/>
                    <w:rPr>
                      <w:sz w:val="11"/>
                    </w:rPr>
                  </w:pPr>
                  <w:r>
                    <w:rPr>
                      <w:w w:val="110"/>
                      <w:sz w:val="11"/>
                    </w:rPr>
                    <w:t>-256 -64</w:t>
                  </w:r>
                </w:p>
                <w:p>
                  <w:pPr>
                    <w:pStyle w:val="BodyText"/>
                    <w:spacing w:before="7"/>
                    <w:rPr>
                      <w:sz w:val="11"/>
                    </w:rPr>
                  </w:pPr>
                </w:p>
                <w:p>
                  <w:pPr>
                    <w:tabs>
                      <w:tab w:pos="626" w:val="left" w:leader="none"/>
                    </w:tabs>
                    <w:spacing w:before="0"/>
                    <w:ind w:left="267" w:right="0" w:firstLine="0"/>
                    <w:jc w:val="left"/>
                    <w:rPr>
                      <w:sz w:val="11"/>
                    </w:rPr>
                  </w:pPr>
                  <w:r>
                    <w:rPr>
                      <w:rFonts w:ascii="Times New Roman"/>
                      <w:w w:val="108"/>
                      <w:sz w:val="11"/>
                      <w:u w:val="single"/>
                    </w:rPr>
                    <w:t> </w:t>
                  </w:r>
                  <w:r>
                    <w:rPr>
                      <w:rFonts w:ascii="Times New Roman"/>
                      <w:sz w:val="11"/>
                      <w:u w:val="single"/>
                    </w:rPr>
                    <w:tab/>
                  </w:r>
                  <w:r>
                    <w:rPr>
                      <w:rFonts w:ascii="Times New Roman"/>
                      <w:sz w:val="11"/>
                    </w:rPr>
                    <w:t>     </w:t>
                  </w:r>
                  <w:r>
                    <w:rPr>
                      <w:rFonts w:ascii="Times New Roman"/>
                      <w:spacing w:val="-13"/>
                      <w:sz w:val="11"/>
                    </w:rPr>
                    <w:t> </w:t>
                  </w:r>
                  <w:r>
                    <w:rPr>
                      <w:w w:val="110"/>
                      <w:sz w:val="11"/>
                    </w:rPr>
                    <w:t>-64</w:t>
                  </w:r>
                </w:p>
              </w:txbxContent>
            </v:textbox>
            <v:stroke dashstyle="solid"/>
            <w10:wrap type="none"/>
          </v:shape>
        </w:pict>
      </w:r>
      <w:r>
        <w:rPr>
          <w:w w:val="110"/>
          <w:sz w:val="11"/>
        </w:rPr>
        <w:t>63</w:t>
        <w:tab/>
      </w:r>
      <w:r>
        <w:rPr>
          <w:spacing w:val="-7"/>
          <w:w w:val="110"/>
          <w:sz w:val="11"/>
        </w:rPr>
        <w:t>255</w:t>
      </w:r>
    </w:p>
    <w:p>
      <w:pPr>
        <w:pStyle w:val="BodyText"/>
        <w:rPr>
          <w:sz w:val="16"/>
        </w:rPr>
      </w:pPr>
      <w:r>
        <w:rPr/>
        <w:br w:type="column"/>
      </w:r>
      <w:r>
        <w:rPr>
          <w:sz w:val="16"/>
        </w:rPr>
      </w:r>
    </w:p>
    <w:p>
      <w:pPr>
        <w:spacing w:before="131"/>
        <w:ind w:left="174" w:right="0" w:firstLine="0"/>
        <w:jc w:val="left"/>
        <w:rPr>
          <w:sz w:val="15"/>
        </w:rPr>
      </w:pPr>
      <w:r>
        <w:rPr>
          <w:w w:val="105"/>
          <w:sz w:val="15"/>
        </w:rPr>
        <w:t>6+S</w:t>
      </w:r>
    </w:p>
    <w:p>
      <w:pPr>
        <w:pStyle w:val="BodyText"/>
        <w:rPr>
          <w:sz w:val="16"/>
        </w:rPr>
      </w:pPr>
      <w:r>
        <w:rPr/>
        <w:br w:type="column"/>
      </w:r>
      <w:r>
        <w:rPr>
          <w:sz w:val="16"/>
        </w:rPr>
      </w:r>
    </w:p>
    <w:p>
      <w:pPr>
        <w:pStyle w:val="BodyText"/>
        <w:rPr>
          <w:sz w:val="16"/>
        </w:rPr>
      </w:pPr>
    </w:p>
    <w:p>
      <w:pPr>
        <w:spacing w:before="138"/>
        <w:ind w:left="1092" w:right="0" w:firstLine="0"/>
        <w:jc w:val="left"/>
        <w:rPr>
          <w:sz w:val="15"/>
        </w:rPr>
      </w:pPr>
      <w:r>
        <w:rPr/>
        <w:pict>
          <v:group style="position:absolute;margin-left:312.155914pt;margin-top:-32.587425pt;width:107.95pt;height:79.45pt;mso-position-horizontal-relative:page;mso-position-vertical-relative:paragraph;z-index:15775232" coordorigin="6243,-652" coordsize="2159,1589">
            <v:shape style="position:absolute;left:7680;top:53;width:365;height:358" type="#_x0000_t75" stroked="false">
              <v:imagedata r:id="rId114" o:title=""/>
            </v:shape>
            <v:line style="position:absolute" from="7863,937" to="7863,490" stroked="true" strokeweight=".239576pt" strokecolor="#000000">
              <v:stroke dashstyle="solid"/>
            </v:line>
            <v:shape style="position:absolute;left:7807;top:407;width:111;height:109" type="#_x0000_t75" stroked="false">
              <v:imagedata r:id="rId115" o:title=""/>
            </v:shape>
            <v:line style="position:absolute" from="7908,650" to="7818,738" stroked="true" strokeweight=".23722pt" strokecolor="#000000">
              <v:stroke dashstyle="solid"/>
            </v:line>
            <v:line style="position:absolute" from="6964,232" to="7600,232" stroked="true" strokeweight=".234954pt" strokecolor="#000000">
              <v:stroke dashstyle="solid"/>
            </v:line>
            <v:shape style="position:absolute;left:7572;top:177;width:111;height:109" type="#_x0000_t75" stroked="false">
              <v:imagedata r:id="rId116" o:title=""/>
            </v:shape>
            <v:line style="position:absolute" from="7413,188" to="7324,276" stroked="true" strokeweight=".23722pt" strokecolor="#000000">
              <v:stroke dashstyle="solid"/>
            </v:line>
            <v:line style="position:absolute" from="8042,232" to="8318,232" stroked="true" strokeweight=".234954pt" strokecolor="#000000">
              <v:stroke dashstyle="solid"/>
            </v:line>
            <v:shape style="position:absolute;left:8291;top:177;width:111;height:109" coordorigin="8291,178" coordsize="111,109" path="m8291,286l8301,259,8304,232,8301,204,8291,178,8402,232,8291,286xe" filled="true" fillcolor="#000000" stroked="false">
              <v:path arrowok="t"/>
              <v:fill type="solid"/>
            </v:shape>
            <v:line style="position:absolute" from="8233,188" to="8143,276" stroked="true" strokeweight=".23722pt" strokecolor="#000000">
              <v:stroke dashstyle="solid"/>
            </v:line>
            <v:shape style="position:absolute;left:7224;top:261;width:309;height:175" type="#_x0000_t202" filled="false" stroked="false">
              <v:textbox inset="0,0,0,0">
                <w:txbxContent>
                  <w:p>
                    <w:pPr>
                      <w:spacing w:before="1"/>
                      <w:ind w:left="0" w:right="0" w:firstLine="0"/>
                      <w:jc w:val="left"/>
                      <w:rPr>
                        <w:sz w:val="15"/>
                      </w:rPr>
                    </w:pPr>
                    <w:r>
                      <w:rPr>
                        <w:w w:val="105"/>
                        <w:sz w:val="15"/>
                      </w:rPr>
                      <w:t>7+S</w:t>
                    </w:r>
                  </w:p>
                </w:txbxContent>
              </v:textbox>
              <w10:wrap type="none"/>
            </v:shape>
            <v:shape style="position:absolute;left:7791;top:65;width:162;height:288" type="#_x0000_t202" filled="false" stroked="false">
              <v:textbox inset="0,0,0,0">
                <w:txbxContent>
                  <w:p>
                    <w:pPr>
                      <w:spacing w:before="5"/>
                      <w:ind w:left="0" w:right="0" w:firstLine="0"/>
                      <w:jc w:val="left"/>
                      <w:rPr>
                        <w:rFonts w:ascii="Symbol" w:hAnsi="Symbol"/>
                        <w:sz w:val="23"/>
                      </w:rPr>
                    </w:pPr>
                    <w:r>
                      <w:rPr>
                        <w:rFonts w:ascii="Symbol" w:hAnsi="Symbol"/>
                        <w:w w:val="104"/>
                        <w:sz w:val="23"/>
                      </w:rPr>
                      <w:t></w:t>
                    </w:r>
                  </w:p>
                </w:txbxContent>
              </v:textbox>
              <w10:wrap type="none"/>
            </v:shape>
            <v:shape style="position:absolute;left:8071;top:261;width:198;height:175" type="#_x0000_t202" filled="false" stroked="false">
              <v:textbox inset="0,0,0,0">
                <w:txbxContent>
                  <w:p>
                    <w:pPr>
                      <w:spacing w:before="1"/>
                      <w:ind w:left="0" w:right="0" w:firstLine="0"/>
                      <w:jc w:val="left"/>
                      <w:rPr>
                        <w:sz w:val="15"/>
                      </w:rPr>
                    </w:pPr>
                    <w:r>
                      <w:rPr>
                        <w:w w:val="105"/>
                        <w:sz w:val="15"/>
                      </w:rPr>
                      <w:t>19</w:t>
                    </w:r>
                  </w:p>
                </w:txbxContent>
              </v:textbox>
              <w10:wrap type="none"/>
            </v:shape>
            <v:shape style="position:absolute;left:7594;top:636;width:198;height:175" type="#_x0000_t202" filled="false" stroked="false">
              <v:textbox inset="0,0,0,0">
                <w:txbxContent>
                  <w:p>
                    <w:pPr>
                      <w:spacing w:before="1"/>
                      <w:ind w:left="0" w:right="0" w:firstLine="0"/>
                      <w:jc w:val="left"/>
                      <w:rPr>
                        <w:sz w:val="15"/>
                      </w:rPr>
                    </w:pPr>
                    <w:r>
                      <w:rPr>
                        <w:w w:val="105"/>
                        <w:sz w:val="15"/>
                      </w:rPr>
                      <w:t>19</w:t>
                    </w:r>
                  </w:p>
                </w:txbxContent>
              </v:textbox>
              <w10:wrap type="none"/>
            </v:shape>
            <v:shape style="position:absolute;left:6245;top:-650;width:719;height:1058" type="#_x0000_t202" filled="false" stroked="true" strokeweight=".238154pt" strokecolor="#000000">
              <v:textbox inset="0,0,0,0">
                <w:txbxContent>
                  <w:p>
                    <w:pPr>
                      <w:spacing w:line="159" w:lineRule="exact" w:before="0"/>
                      <w:ind w:left="59" w:right="0" w:firstLine="0"/>
                      <w:jc w:val="left"/>
                      <w:rPr>
                        <w:sz w:val="15"/>
                      </w:rPr>
                    </w:pPr>
                    <w:r>
                      <w:rPr>
                        <w:w w:val="105"/>
                        <w:sz w:val="15"/>
                      </w:rPr>
                      <w:t>Look Up</w:t>
                    </w:r>
                  </w:p>
                  <w:p>
                    <w:pPr>
                      <w:spacing w:line="360" w:lineRule="auto" w:before="15"/>
                      <w:ind w:left="42" w:right="165" w:firstLine="137"/>
                      <w:jc w:val="left"/>
                      <w:rPr>
                        <w:sz w:val="15"/>
                      </w:rPr>
                    </w:pPr>
                    <w:r>
                      <w:rPr>
                        <w:w w:val="105"/>
                        <w:sz w:val="15"/>
                      </w:rPr>
                      <w:t>RAM ADDR</w:t>
                    </w:r>
                  </w:p>
                  <w:p>
                    <w:pPr>
                      <w:spacing w:before="94"/>
                      <w:ind w:left="592" w:right="-15" w:firstLine="0"/>
                      <w:jc w:val="left"/>
                      <w:rPr>
                        <w:sz w:val="15"/>
                      </w:rPr>
                    </w:pPr>
                    <w:r>
                      <w:rPr>
                        <w:w w:val="106"/>
                        <w:sz w:val="15"/>
                      </w:rPr>
                      <w:t>Q</w:t>
                    </w:r>
                  </w:p>
                </w:txbxContent>
              </v:textbox>
              <v:stroke dashstyle="solid"/>
              <w10:wrap type="none"/>
            </v:shape>
            <w10:wrap type="none"/>
          </v:group>
        </w:pict>
      </w:r>
      <w:r>
        <w:rPr>
          <w:w w:val="105"/>
          <w:sz w:val="15"/>
        </w:rPr>
        <w:t>4*RTC_P+RTC_Q</w:t>
      </w:r>
    </w:p>
    <w:p>
      <w:pPr>
        <w:spacing w:after="0"/>
        <w:jc w:val="left"/>
        <w:rPr>
          <w:sz w:val="15"/>
        </w:rPr>
        <w:sectPr>
          <w:type w:val="continuous"/>
          <w:pgSz w:w="12240" w:h="15840"/>
          <w:pgMar w:top="940" w:bottom="280" w:left="1200" w:right="1060"/>
          <w:cols w:num="6" w:equalWidth="0">
            <w:col w:w="1688" w:space="40"/>
            <w:col w:w="357" w:space="39"/>
            <w:col w:w="389" w:space="206"/>
            <w:col w:w="1653" w:space="40"/>
            <w:col w:w="504" w:space="1238"/>
            <w:col w:w="3826"/>
          </w:cols>
        </w:sectPr>
      </w:pPr>
    </w:p>
    <w:p>
      <w:pPr>
        <w:pStyle w:val="BodyText"/>
      </w:pPr>
    </w:p>
    <w:p>
      <w:pPr>
        <w:pStyle w:val="BodyText"/>
        <w:spacing w:before="2"/>
        <w:rPr>
          <w:sz w:val="25"/>
        </w:rPr>
      </w:pPr>
    </w:p>
    <w:p>
      <w:pPr>
        <w:spacing w:before="101"/>
        <w:ind w:left="6348" w:right="0" w:firstLine="0"/>
        <w:jc w:val="left"/>
        <w:rPr>
          <w:sz w:val="15"/>
        </w:rPr>
      </w:pPr>
      <w:r>
        <w:rPr>
          <w:w w:val="105"/>
          <w:sz w:val="15"/>
        </w:rPr>
        <w:t>0x40000</w:t>
      </w:r>
    </w:p>
    <w:p>
      <w:pPr>
        <w:pStyle w:val="BodyText"/>
        <w:spacing w:before="1"/>
        <w:rPr>
          <w:sz w:val="14"/>
        </w:rPr>
      </w:pPr>
    </w:p>
    <w:p>
      <w:pPr>
        <w:spacing w:before="0"/>
        <w:ind w:left="64" w:right="204" w:firstLine="0"/>
        <w:jc w:val="center"/>
        <w:rPr>
          <w:b/>
          <w:sz w:val="20"/>
        </w:rPr>
      </w:pPr>
      <w:bookmarkStart w:name="_bookmark107" w:id="218"/>
      <w:bookmarkEnd w:id="218"/>
      <w:r>
        <w:rPr/>
      </w:r>
      <w:r>
        <w:rPr>
          <w:b/>
          <w:sz w:val="20"/>
        </w:rPr>
        <w:t>Figure 13: Automatic Temperature Compensation</w:t>
      </w:r>
    </w:p>
    <w:p>
      <w:pPr>
        <w:pStyle w:val="BodyText"/>
        <w:spacing w:before="3"/>
        <w:rPr>
          <w:b/>
        </w:rPr>
      </w:pPr>
    </w:p>
    <w:p>
      <w:pPr>
        <w:pStyle w:val="BodyText"/>
        <w:ind w:left="240" w:right="401"/>
      </w:pPr>
      <w:r>
        <w:rPr/>
        <w:t>The 128 NV RAM locations are organized in 2’s complement format. As mentioned above, the </w:t>
      </w:r>
      <w:r>
        <w:rPr>
          <w:rFonts w:ascii="Times New Roman" w:hAnsi="Times New Roman"/>
          <w:i/>
        </w:rPr>
        <w:t>STEMP[10:0] </w:t>
      </w:r>
      <w:r>
        <w:rPr/>
        <w:t>digital temperature values are scaled such that the corresponding NV RAM addresses are equal to </w:t>
      </w:r>
      <w:r>
        <w:rPr>
          <w:rFonts w:ascii="Times New Roman" w:hAnsi="Times New Roman"/>
          <w:i/>
        </w:rPr>
        <w:t>STEMP[10:0]</w:t>
      </w:r>
      <w:r>
        <w:rPr/>
        <w:t>/4 (limited in the range of -64 to +63). See </w:t>
      </w:r>
      <w:hyperlink w:history="true" w:anchor="_bookmark109">
        <w:r>
          <w:rPr>
            <w:color w:val="0000FF"/>
          </w:rPr>
          <w:t>2.5.5 </w:t>
        </w:r>
      </w:hyperlink>
      <w:hyperlink w:history="true" w:anchor="_bookmark109">
        <w:r>
          <w:rPr>
            <w:color w:val="0000FF"/>
          </w:rPr>
          <w:t>71M6543 Temperature Sensor </w:t>
        </w:r>
      </w:hyperlink>
      <w:r>
        <w:rPr/>
        <w:t>on page </w:t>
      </w:r>
      <w:hyperlink w:history="true" w:anchor="_bookmark109">
        <w:r>
          <w:rPr>
            <w:color w:val="0000FF"/>
          </w:rPr>
          <w:t>53 </w:t>
        </w:r>
      </w:hyperlink>
      <w:r>
        <w:rPr/>
        <w:t>for the equations to calculate temperature in degrees °C from the </w:t>
      </w:r>
      <w:r>
        <w:rPr>
          <w:rFonts w:ascii="Times New Roman" w:hAnsi="Times New Roman"/>
          <w:i/>
        </w:rPr>
        <w:t>STEMP[10:0] </w:t>
      </w:r>
      <w:r>
        <w:rPr/>
        <w:t>reading.</w:t>
      </w:r>
    </w:p>
    <w:p>
      <w:pPr>
        <w:spacing w:after="0"/>
        <w:sectPr>
          <w:type w:val="continuous"/>
          <w:pgSz w:w="12240" w:h="15840"/>
          <w:pgMar w:top="940" w:bottom="280" w:left="1200" w:right="1060"/>
        </w:sectPr>
      </w:pPr>
    </w:p>
    <w:p>
      <w:pPr>
        <w:pStyle w:val="BodyText"/>
      </w:pPr>
    </w:p>
    <w:p>
      <w:pPr>
        <w:pStyle w:val="BodyText"/>
        <w:spacing w:before="2"/>
        <w:rPr>
          <w:sz w:val="27"/>
        </w:rPr>
      </w:pPr>
    </w:p>
    <w:p>
      <w:pPr>
        <w:pStyle w:val="BodyText"/>
        <w:spacing w:before="93"/>
        <w:ind w:left="239" w:right="538"/>
      </w:pPr>
      <w:r>
        <w:rPr/>
        <w:t>For proper operation, the MPU has to load the lookup table with values that reflect the crystal properties with respect to temperature, which is typically done once during initialization. Since the lookup table is not directly addressable, the MPU uses the following procedure to load the NV RAM table:</w:t>
      </w:r>
    </w:p>
    <w:p>
      <w:pPr>
        <w:pStyle w:val="ListParagraph"/>
        <w:numPr>
          <w:ilvl w:val="0"/>
          <w:numId w:val="17"/>
        </w:numPr>
        <w:tabs>
          <w:tab w:pos="600" w:val="left" w:leader="none"/>
        </w:tabs>
        <w:spacing w:line="240" w:lineRule="auto" w:before="114" w:after="0"/>
        <w:ind w:left="599" w:right="0" w:hanging="361"/>
        <w:jc w:val="left"/>
        <w:rPr>
          <w:sz w:val="20"/>
        </w:rPr>
      </w:pPr>
      <w:r>
        <w:rPr>
          <w:sz w:val="20"/>
        </w:rPr>
        <w:t>Set the </w:t>
      </w:r>
      <w:r>
        <w:rPr>
          <w:rFonts w:ascii="Times New Roman"/>
          <w:i/>
          <w:sz w:val="20"/>
        </w:rPr>
        <w:t>LKPAUTOI </w:t>
      </w:r>
      <w:r>
        <w:rPr>
          <w:sz w:val="20"/>
        </w:rPr>
        <w:t>bit (</w:t>
      </w:r>
      <w:r>
        <w:rPr>
          <w:rFonts w:ascii="Times New Roman"/>
          <w:i/>
          <w:sz w:val="20"/>
        </w:rPr>
        <w:t>I/O RAM 0x2887[7]</w:t>
      </w:r>
      <w:r>
        <w:rPr>
          <w:sz w:val="20"/>
        </w:rPr>
        <w:t>) to enable address</w:t>
      </w:r>
      <w:r>
        <w:rPr>
          <w:spacing w:val="-8"/>
          <w:sz w:val="20"/>
        </w:rPr>
        <w:t> </w:t>
      </w:r>
      <w:r>
        <w:rPr>
          <w:sz w:val="20"/>
        </w:rPr>
        <w:t>auto-increment.</w:t>
      </w:r>
    </w:p>
    <w:p>
      <w:pPr>
        <w:pStyle w:val="ListParagraph"/>
        <w:numPr>
          <w:ilvl w:val="0"/>
          <w:numId w:val="17"/>
        </w:numPr>
        <w:tabs>
          <w:tab w:pos="601" w:val="left" w:leader="none"/>
        </w:tabs>
        <w:spacing w:line="240" w:lineRule="auto" w:before="40" w:after="0"/>
        <w:ind w:left="600" w:right="0" w:hanging="361"/>
        <w:jc w:val="left"/>
        <w:rPr>
          <w:sz w:val="20"/>
        </w:rPr>
      </w:pPr>
      <w:r>
        <w:rPr>
          <w:sz w:val="20"/>
        </w:rPr>
        <w:t>Write zero into the I/O RAM register </w:t>
      </w:r>
      <w:r>
        <w:rPr>
          <w:rFonts w:ascii="Times New Roman"/>
          <w:i/>
          <w:sz w:val="20"/>
        </w:rPr>
        <w:t>LKPADDR[6:0] </w:t>
      </w:r>
      <w:r>
        <w:rPr>
          <w:sz w:val="20"/>
        </w:rPr>
        <w:t>(</w:t>
      </w:r>
      <w:r>
        <w:rPr>
          <w:rFonts w:ascii="Times New Roman"/>
          <w:i/>
          <w:sz w:val="20"/>
        </w:rPr>
        <w:t>I/O RAM</w:t>
      </w:r>
      <w:r>
        <w:rPr>
          <w:rFonts w:ascii="Times New Roman"/>
          <w:i/>
          <w:spacing w:val="9"/>
          <w:sz w:val="20"/>
        </w:rPr>
        <w:t> </w:t>
      </w:r>
      <w:r>
        <w:rPr>
          <w:rFonts w:ascii="Times New Roman"/>
          <w:i/>
          <w:sz w:val="20"/>
        </w:rPr>
        <w:t>0x2887[6:0]</w:t>
      </w:r>
      <w:r>
        <w:rPr>
          <w:sz w:val="20"/>
        </w:rPr>
        <w:t>).</w:t>
      </w:r>
    </w:p>
    <w:p>
      <w:pPr>
        <w:pStyle w:val="ListParagraph"/>
        <w:numPr>
          <w:ilvl w:val="0"/>
          <w:numId w:val="17"/>
        </w:numPr>
        <w:tabs>
          <w:tab w:pos="601" w:val="left" w:leader="none"/>
        </w:tabs>
        <w:spacing w:line="240" w:lineRule="auto" w:before="41" w:after="0"/>
        <w:ind w:left="600" w:right="0" w:hanging="361"/>
        <w:jc w:val="left"/>
        <w:rPr>
          <w:sz w:val="20"/>
        </w:rPr>
      </w:pPr>
      <w:r>
        <w:rPr>
          <w:sz w:val="20"/>
        </w:rPr>
        <w:t>Write the 8-bit datum into I/O RAM register </w:t>
      </w:r>
      <w:r>
        <w:rPr>
          <w:rFonts w:ascii="Times New Roman"/>
          <w:i/>
          <w:sz w:val="20"/>
        </w:rPr>
        <w:t>LKPDAT </w:t>
      </w:r>
      <w:r>
        <w:rPr>
          <w:sz w:val="20"/>
        </w:rPr>
        <w:t>(</w:t>
      </w:r>
      <w:r>
        <w:rPr>
          <w:rFonts w:ascii="Times New Roman"/>
          <w:i/>
          <w:sz w:val="20"/>
        </w:rPr>
        <w:t>I/O RAM</w:t>
      </w:r>
      <w:r>
        <w:rPr>
          <w:rFonts w:ascii="Times New Roman"/>
          <w:i/>
          <w:spacing w:val="1"/>
          <w:sz w:val="20"/>
        </w:rPr>
        <w:t> </w:t>
      </w:r>
      <w:r>
        <w:rPr>
          <w:rFonts w:ascii="Times New Roman"/>
          <w:i/>
          <w:sz w:val="20"/>
        </w:rPr>
        <w:t>0x2888</w:t>
      </w:r>
      <w:r>
        <w:rPr>
          <w:sz w:val="20"/>
        </w:rPr>
        <w:t>).</w:t>
      </w:r>
    </w:p>
    <w:p>
      <w:pPr>
        <w:pStyle w:val="ListParagraph"/>
        <w:numPr>
          <w:ilvl w:val="0"/>
          <w:numId w:val="17"/>
        </w:numPr>
        <w:tabs>
          <w:tab w:pos="601" w:val="left" w:leader="none"/>
        </w:tabs>
        <w:spacing w:line="240" w:lineRule="auto" w:before="40" w:after="0"/>
        <w:ind w:left="600" w:right="0" w:hanging="361"/>
        <w:jc w:val="left"/>
        <w:rPr>
          <w:sz w:val="20"/>
        </w:rPr>
      </w:pPr>
      <w:r>
        <w:rPr>
          <w:sz w:val="20"/>
        </w:rPr>
        <w:t>Set the </w:t>
      </w:r>
      <w:r>
        <w:rPr>
          <w:rFonts w:ascii="Times New Roman"/>
          <w:i/>
          <w:sz w:val="20"/>
        </w:rPr>
        <w:t>LKP_WR </w:t>
      </w:r>
      <w:r>
        <w:rPr>
          <w:sz w:val="20"/>
        </w:rPr>
        <w:t>bit (</w:t>
      </w:r>
      <w:r>
        <w:rPr>
          <w:rFonts w:ascii="Times New Roman"/>
          <w:i/>
          <w:sz w:val="20"/>
        </w:rPr>
        <w:t>I/O RAM 0x2889[0</w:t>
      </w:r>
      <w:r>
        <w:rPr>
          <w:i/>
          <w:sz w:val="20"/>
        </w:rPr>
        <w:t>]</w:t>
      </w:r>
      <w:r>
        <w:rPr>
          <w:sz w:val="20"/>
        </w:rPr>
        <w:t>) to write the 8-bit datum into</w:t>
      </w:r>
      <w:r>
        <w:rPr>
          <w:spacing w:val="3"/>
          <w:sz w:val="20"/>
        </w:rPr>
        <w:t> </w:t>
      </w:r>
      <w:r>
        <w:rPr>
          <w:sz w:val="20"/>
        </w:rPr>
        <w:t>NV_RAM</w:t>
      </w:r>
    </w:p>
    <w:p>
      <w:pPr>
        <w:pStyle w:val="ListParagraph"/>
        <w:numPr>
          <w:ilvl w:val="0"/>
          <w:numId w:val="17"/>
        </w:numPr>
        <w:tabs>
          <w:tab w:pos="650" w:val="left" w:leader="none"/>
          <w:tab w:pos="651" w:val="left" w:leader="none"/>
        </w:tabs>
        <w:spacing w:line="240" w:lineRule="auto" w:before="40" w:after="0"/>
        <w:ind w:left="650" w:right="0" w:hanging="412"/>
        <w:jc w:val="left"/>
        <w:rPr>
          <w:sz w:val="20"/>
        </w:rPr>
      </w:pPr>
      <w:r>
        <w:rPr>
          <w:sz w:val="20"/>
        </w:rPr>
        <w:t>Wait for </w:t>
      </w:r>
      <w:r>
        <w:rPr>
          <w:rFonts w:ascii="Times New Roman"/>
          <w:i/>
          <w:sz w:val="20"/>
        </w:rPr>
        <w:t>LKP_WR </w:t>
      </w:r>
      <w:r>
        <w:rPr>
          <w:sz w:val="20"/>
        </w:rPr>
        <w:t>to clear (</w:t>
      </w:r>
      <w:r>
        <w:rPr>
          <w:rFonts w:ascii="Times New Roman"/>
          <w:i/>
          <w:sz w:val="20"/>
        </w:rPr>
        <w:t>LKP_WR </w:t>
      </w:r>
      <w:r>
        <w:rPr>
          <w:sz w:val="20"/>
        </w:rPr>
        <w:t>auto-clears when the data has been copied to NV</w:t>
      </w:r>
      <w:r>
        <w:rPr>
          <w:spacing w:val="-2"/>
          <w:sz w:val="20"/>
        </w:rPr>
        <w:t> </w:t>
      </w:r>
      <w:r>
        <w:rPr>
          <w:sz w:val="20"/>
        </w:rPr>
        <w:t>RAM).</w:t>
      </w:r>
    </w:p>
    <w:p>
      <w:pPr>
        <w:pStyle w:val="ListParagraph"/>
        <w:numPr>
          <w:ilvl w:val="0"/>
          <w:numId w:val="17"/>
        </w:numPr>
        <w:tabs>
          <w:tab w:pos="600" w:val="left" w:leader="none"/>
        </w:tabs>
        <w:spacing w:line="228" w:lineRule="exact" w:before="45" w:after="0"/>
        <w:ind w:left="599" w:right="0" w:hanging="361"/>
        <w:jc w:val="left"/>
        <w:rPr>
          <w:sz w:val="20"/>
        </w:rPr>
      </w:pPr>
      <w:r>
        <w:rPr>
          <w:sz w:val="20"/>
        </w:rPr>
        <w:t>Repeat steps 3 through 5 until all data has been written to NV</w:t>
      </w:r>
      <w:r>
        <w:rPr>
          <w:spacing w:val="-9"/>
          <w:sz w:val="20"/>
        </w:rPr>
        <w:t> </w:t>
      </w:r>
      <w:r>
        <w:rPr>
          <w:sz w:val="20"/>
        </w:rPr>
        <w:t>RAM.</w:t>
      </w:r>
    </w:p>
    <w:p>
      <w:pPr>
        <w:spacing w:line="240" w:lineRule="auto" w:before="0"/>
        <w:ind w:left="239" w:right="401" w:firstLine="55"/>
        <w:jc w:val="left"/>
        <w:rPr>
          <w:i/>
          <w:sz w:val="20"/>
        </w:rPr>
      </w:pPr>
      <w:r>
        <w:rPr>
          <w:sz w:val="20"/>
        </w:rPr>
        <w:t>The NV RAM table can also be read by writing a 1 into the </w:t>
      </w:r>
      <w:r>
        <w:rPr>
          <w:rFonts w:ascii="Times New Roman"/>
          <w:i/>
          <w:sz w:val="20"/>
        </w:rPr>
        <w:t>LKP_RD </w:t>
      </w:r>
      <w:r>
        <w:rPr>
          <w:sz w:val="20"/>
        </w:rPr>
        <w:t>bit (</w:t>
      </w:r>
      <w:r>
        <w:rPr>
          <w:rFonts w:ascii="Times New Roman"/>
          <w:i/>
          <w:sz w:val="20"/>
        </w:rPr>
        <w:t>I/O RAM 0x2889[1]</w:t>
      </w:r>
      <w:r>
        <w:rPr>
          <w:sz w:val="20"/>
        </w:rPr>
        <w:t>). The process of </w:t>
      </w:r>
      <w:r>
        <w:rPr>
          <w:spacing w:val="-3"/>
          <w:sz w:val="20"/>
        </w:rPr>
        <w:t>reading from </w:t>
      </w:r>
      <w:r>
        <w:rPr>
          <w:sz w:val="20"/>
        </w:rPr>
        <w:t>and </w:t>
      </w:r>
      <w:r>
        <w:rPr>
          <w:spacing w:val="-3"/>
          <w:sz w:val="20"/>
        </w:rPr>
        <w:t>writing </w:t>
      </w:r>
      <w:r>
        <w:rPr>
          <w:sz w:val="20"/>
        </w:rPr>
        <w:t>to the NV </w:t>
      </w:r>
      <w:r>
        <w:rPr>
          <w:spacing w:val="-3"/>
          <w:sz w:val="20"/>
        </w:rPr>
        <w:t>RAM </w:t>
      </w:r>
      <w:r>
        <w:rPr>
          <w:sz w:val="20"/>
        </w:rPr>
        <w:t>is </w:t>
      </w:r>
      <w:r>
        <w:rPr>
          <w:spacing w:val="-3"/>
          <w:sz w:val="20"/>
        </w:rPr>
        <w:t>accelerated </w:t>
      </w:r>
      <w:r>
        <w:rPr>
          <w:sz w:val="20"/>
        </w:rPr>
        <w:t>by </w:t>
      </w:r>
      <w:r>
        <w:rPr>
          <w:spacing w:val="-3"/>
          <w:sz w:val="20"/>
        </w:rPr>
        <w:t>setting </w:t>
      </w:r>
      <w:r>
        <w:rPr>
          <w:sz w:val="20"/>
        </w:rPr>
        <w:t>the </w:t>
      </w:r>
      <w:r>
        <w:rPr>
          <w:rFonts w:ascii="Times New Roman"/>
          <w:i/>
          <w:spacing w:val="-3"/>
          <w:sz w:val="20"/>
        </w:rPr>
        <w:t>LKPAUTOI </w:t>
      </w:r>
      <w:r>
        <w:rPr>
          <w:spacing w:val="-4"/>
          <w:sz w:val="20"/>
        </w:rPr>
        <w:t>bit </w:t>
      </w:r>
      <w:r>
        <w:rPr>
          <w:sz w:val="20"/>
        </w:rPr>
        <w:t>(</w:t>
      </w:r>
      <w:r>
        <w:rPr>
          <w:rFonts w:ascii="Times New Roman"/>
          <w:i/>
          <w:sz w:val="20"/>
        </w:rPr>
        <w:t>I/O RAM </w:t>
      </w:r>
      <w:r>
        <w:rPr>
          <w:rFonts w:ascii="Times New Roman"/>
          <w:i/>
          <w:spacing w:val="-3"/>
          <w:sz w:val="20"/>
        </w:rPr>
        <w:t>0x2887[7]</w:t>
      </w:r>
      <w:r>
        <w:rPr>
          <w:spacing w:val="-3"/>
          <w:sz w:val="20"/>
        </w:rPr>
        <w:t>). </w:t>
      </w:r>
      <w:r>
        <w:rPr>
          <w:sz w:val="20"/>
        </w:rPr>
        <w:t>When </w:t>
      </w:r>
      <w:r>
        <w:rPr>
          <w:rFonts w:ascii="Times New Roman"/>
          <w:i/>
          <w:sz w:val="20"/>
        </w:rPr>
        <w:t>LKPAUTOI </w:t>
      </w:r>
      <w:r>
        <w:rPr>
          <w:sz w:val="20"/>
        </w:rPr>
        <w:t>is set, </w:t>
      </w:r>
      <w:r>
        <w:rPr>
          <w:rFonts w:ascii="Times New Roman"/>
          <w:i/>
          <w:sz w:val="20"/>
        </w:rPr>
        <w:t>LKPADDR[6:0] </w:t>
      </w:r>
      <w:r>
        <w:rPr>
          <w:sz w:val="20"/>
        </w:rPr>
        <w:t>(</w:t>
      </w:r>
      <w:r>
        <w:rPr>
          <w:rFonts w:ascii="Times New Roman"/>
          <w:i/>
          <w:sz w:val="20"/>
        </w:rPr>
        <w:t>I/O RAM 0x2887[6:0]</w:t>
      </w:r>
      <w:r>
        <w:rPr>
          <w:sz w:val="20"/>
        </w:rPr>
        <w:t>) auto-increments every time </w:t>
      </w:r>
      <w:r>
        <w:rPr>
          <w:rFonts w:ascii="Times New Roman"/>
          <w:i/>
          <w:sz w:val="20"/>
        </w:rPr>
        <w:t>LKP_RD </w:t>
      </w:r>
      <w:r>
        <w:rPr>
          <w:sz w:val="20"/>
        </w:rPr>
        <w:t>or </w:t>
      </w:r>
      <w:r>
        <w:rPr>
          <w:rFonts w:ascii="Times New Roman"/>
          <w:i/>
          <w:sz w:val="20"/>
        </w:rPr>
        <w:t>LKP_WR </w:t>
      </w:r>
      <w:r>
        <w:rPr>
          <w:sz w:val="20"/>
        </w:rPr>
        <w:t>is pulsed. It is also possible to perform random access of the NV RAM by writing a 0 to the </w:t>
      </w:r>
      <w:r>
        <w:rPr>
          <w:rFonts w:ascii="Times New Roman"/>
          <w:i/>
          <w:sz w:val="20"/>
        </w:rPr>
        <w:t>LKPAUTOI </w:t>
      </w:r>
      <w:r>
        <w:rPr>
          <w:sz w:val="20"/>
        </w:rPr>
        <w:t>bit and loading the desired address into </w:t>
      </w:r>
      <w:r>
        <w:rPr>
          <w:rFonts w:ascii="Times New Roman"/>
          <w:i/>
          <w:sz w:val="20"/>
        </w:rPr>
        <w:t>LKPADDR[6:0]</w:t>
      </w:r>
      <w:r>
        <w:rPr>
          <w:i/>
          <w:sz w:val="20"/>
        </w:rPr>
        <w:t>.</w:t>
      </w:r>
    </w:p>
    <w:p>
      <w:pPr>
        <w:pStyle w:val="BodyText"/>
        <w:spacing w:before="1"/>
        <w:rPr>
          <w:i/>
        </w:rPr>
      </w:pPr>
    </w:p>
    <w:p>
      <w:pPr>
        <w:pStyle w:val="BodyText"/>
        <w:spacing w:before="1"/>
        <w:ind w:left="1033" w:right="401"/>
      </w:pPr>
      <w:r>
        <w:rPr/>
        <w:drawing>
          <wp:anchor distT="0" distB="0" distL="0" distR="0" allowOverlap="1" layoutInCell="1" locked="0" behindDoc="0" simplePos="0" relativeHeight="15776768">
            <wp:simplePos x="0" y="0"/>
            <wp:positionH relativeFrom="page">
              <wp:posOffset>962282</wp:posOffset>
            </wp:positionH>
            <wp:positionV relativeFrom="paragraph">
              <wp:posOffset>25366</wp:posOffset>
            </wp:positionV>
            <wp:extent cx="335703" cy="506213"/>
            <wp:effectExtent l="0" t="0" r="0" b="0"/>
            <wp:wrapNone/>
            <wp:docPr id="47" name="image93.png"/>
            <wp:cNvGraphicFramePr>
              <a:graphicFrameLocks noChangeAspect="1"/>
            </wp:cNvGraphicFramePr>
            <a:graphic>
              <a:graphicData uri="http://schemas.openxmlformats.org/drawingml/2006/picture">
                <pic:pic>
                  <pic:nvPicPr>
                    <pic:cNvPr id="48" name="image93.png"/>
                    <pic:cNvPicPr/>
                  </pic:nvPicPr>
                  <pic:blipFill>
                    <a:blip r:embed="rId117" cstate="print"/>
                    <a:stretch>
                      <a:fillRect/>
                    </a:stretch>
                  </pic:blipFill>
                  <pic:spPr>
                    <a:xfrm>
                      <a:off x="0" y="0"/>
                      <a:ext cx="335703" cy="506213"/>
                    </a:xfrm>
                    <a:prstGeom prst="rect">
                      <a:avLst/>
                    </a:prstGeom>
                  </pic:spPr>
                </pic:pic>
              </a:graphicData>
            </a:graphic>
          </wp:anchor>
        </w:drawing>
      </w:r>
      <w:r>
        <w:rPr/>
        <w:t>If the oscillator temperature compensation feature is not being used, it is possible to use the NV RAM storage area as ordinary battery-backed NV storage space using the procedure described above to read and write NV RAM data. In this case, the </w:t>
      </w:r>
      <w:r>
        <w:rPr>
          <w:i/>
        </w:rPr>
        <w:t>OSC_COMP </w:t>
      </w:r>
      <w:r>
        <w:rPr/>
        <w:t>bit (</w:t>
      </w:r>
      <w:r>
        <w:rPr>
          <w:i/>
        </w:rPr>
        <w:t>I/O RAM 0x28A0[5]</w:t>
      </w:r>
      <w:r>
        <w:rPr/>
        <w:t>) is reset to disable the automatic oscillator temperature compensation feature.</w:t>
      </w:r>
    </w:p>
    <w:p>
      <w:pPr>
        <w:pStyle w:val="BodyText"/>
        <w:spacing w:before="11"/>
        <w:rPr>
          <w:sz w:val="19"/>
        </w:rPr>
      </w:pPr>
    </w:p>
    <w:p>
      <w:pPr>
        <w:pStyle w:val="ListParagraph"/>
        <w:numPr>
          <w:ilvl w:val="3"/>
          <w:numId w:val="16"/>
        </w:numPr>
        <w:tabs>
          <w:tab w:pos="960" w:val="left" w:leader="none"/>
        </w:tabs>
        <w:spacing w:line="240" w:lineRule="auto" w:before="0" w:after="0"/>
        <w:ind w:left="959" w:right="0" w:hanging="721"/>
        <w:jc w:val="left"/>
        <w:rPr>
          <w:b/>
          <w:sz w:val="20"/>
        </w:rPr>
      </w:pPr>
      <w:bookmarkStart w:name="2.5.4.5 RTC Interrupts" w:id="219"/>
      <w:bookmarkEnd w:id="219"/>
      <w:r>
        <w:rPr/>
      </w:r>
      <w:bookmarkStart w:name="2.5.4.5 RTC Interrupts" w:id="220"/>
      <w:bookmarkEnd w:id="220"/>
      <w:r>
        <w:rPr>
          <w:b/>
          <w:sz w:val="20"/>
        </w:rPr>
        <w:t>R</w:t>
      </w:r>
      <w:r>
        <w:rPr>
          <w:b/>
          <w:sz w:val="20"/>
        </w:rPr>
        <w:t>TC</w:t>
      </w:r>
      <w:r>
        <w:rPr>
          <w:b/>
          <w:spacing w:val="-2"/>
          <w:sz w:val="20"/>
        </w:rPr>
        <w:t> </w:t>
      </w:r>
      <w:r>
        <w:rPr>
          <w:b/>
          <w:sz w:val="20"/>
        </w:rPr>
        <w:t>Interrupts</w:t>
      </w:r>
    </w:p>
    <w:p>
      <w:pPr>
        <w:pStyle w:val="BodyText"/>
        <w:spacing w:before="77"/>
        <w:ind w:left="238" w:right="460"/>
      </w:pPr>
      <w:r>
        <w:rPr/>
        <w:t>The RTC generates interrupts each second and each minute. These interrupts are called </w:t>
      </w:r>
      <w:r>
        <w:rPr>
          <w:i/>
        </w:rPr>
        <w:t>RTC_1SEC </w:t>
      </w:r>
      <w:r>
        <w:rPr/>
        <w:t>and </w:t>
      </w:r>
      <w:r>
        <w:rPr>
          <w:i/>
        </w:rPr>
        <w:t>RTC_1MIN</w:t>
      </w:r>
      <w:r>
        <w:rPr/>
        <w:t>. In addition, the RTC functions as an alarm clock by generating an interrupt when the minutes and hours registers both equal their respective target counts as defined in </w:t>
      </w:r>
      <w:hyperlink w:history="true" w:anchor="_bookmark108">
        <w:r>
          <w:rPr>
            <w:color w:val="0000FF"/>
          </w:rPr>
          <w:t>Table 44</w:t>
        </w:r>
        <w:r>
          <w:rPr/>
          <w:t>.</w:t>
        </w:r>
      </w:hyperlink>
      <w:r>
        <w:rPr/>
        <w:t> The alarm </w:t>
      </w:r>
      <w:r>
        <w:rPr>
          <w:spacing w:val="-3"/>
        </w:rPr>
        <w:t>clock interrupt </w:t>
      </w:r>
      <w:r>
        <w:rPr/>
        <w:t>is called </w:t>
      </w:r>
      <w:r>
        <w:rPr>
          <w:i/>
        </w:rPr>
        <w:t>RTC_T. </w:t>
      </w:r>
      <w:r>
        <w:rPr/>
        <w:t>All three </w:t>
      </w:r>
      <w:r>
        <w:rPr>
          <w:spacing w:val="-3"/>
        </w:rPr>
        <w:t>interrupts </w:t>
      </w:r>
      <w:r>
        <w:rPr/>
        <w:t>appear in the MPU’s external interrupt 6. See </w:t>
      </w:r>
      <w:hyperlink w:history="true" w:anchor="_bookmark85">
        <w:r>
          <w:rPr>
            <w:color w:val="0000FF"/>
          </w:rPr>
          <w:t>Table </w:t>
        </w:r>
        <w:r>
          <w:rPr>
            <w:color w:val="0000FF"/>
            <w:spacing w:val="-3"/>
          </w:rPr>
          <w:t>32</w:t>
        </w:r>
      </w:hyperlink>
      <w:r>
        <w:rPr>
          <w:color w:val="0000FF"/>
          <w:spacing w:val="-3"/>
        </w:rPr>
        <w:t> </w:t>
      </w:r>
      <w:r>
        <w:rPr/>
        <w:t>in the interrupt section for the enable bits and flags for these interrupts.</w:t>
      </w:r>
    </w:p>
    <w:p>
      <w:pPr>
        <w:pStyle w:val="BodyText"/>
        <w:spacing w:before="125"/>
        <w:ind w:left="238"/>
      </w:pPr>
      <w:r>
        <w:rPr/>
        <w:t>The minute and hour target registers are listed in </w:t>
      </w:r>
      <w:hyperlink w:history="true" w:anchor="_bookmark108">
        <w:r>
          <w:rPr>
            <w:color w:val="0000FF"/>
          </w:rPr>
          <w:t>Table 44</w:t>
        </w:r>
        <w:r>
          <w:rPr/>
          <w:t>.</w:t>
        </w:r>
      </w:hyperlink>
    </w:p>
    <w:p>
      <w:pPr>
        <w:pStyle w:val="Heading1"/>
        <w:spacing w:before="116"/>
        <w:ind w:left="60" w:right="204"/>
      </w:pPr>
      <w:bookmarkStart w:name="_bookmark108" w:id="221"/>
      <w:bookmarkEnd w:id="221"/>
      <w:r>
        <w:rPr>
          <w:b w:val="0"/>
        </w:rPr>
      </w:r>
      <w:r>
        <w:rPr/>
        <w:t>Table 44: I/O RAM Registers for RTC Interrupts</w:t>
      </w:r>
    </w:p>
    <w:p>
      <w:pPr>
        <w:pStyle w:val="BodyText"/>
        <w:spacing w:before="7"/>
        <w:rPr>
          <w:b/>
          <w:sz w:val="5"/>
        </w:rPr>
      </w:pPr>
    </w:p>
    <w:tbl>
      <w:tblPr>
        <w:tblW w:w="0" w:type="auto"/>
        <w:jc w:val="left"/>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1"/>
        <w:gridCol w:w="1037"/>
        <w:gridCol w:w="531"/>
        <w:gridCol w:w="533"/>
        <w:gridCol w:w="617"/>
        <w:gridCol w:w="5112"/>
      </w:tblGrid>
      <w:tr>
        <w:trPr>
          <w:trHeight w:val="311" w:hRule="atLeast"/>
        </w:trPr>
        <w:tc>
          <w:tcPr>
            <w:tcW w:w="1531" w:type="dxa"/>
          </w:tcPr>
          <w:p>
            <w:pPr>
              <w:pStyle w:val="TableParagraph"/>
              <w:spacing w:before="36"/>
              <w:ind w:left="70"/>
              <w:rPr>
                <w:b/>
                <w:sz w:val="20"/>
              </w:rPr>
            </w:pPr>
            <w:r>
              <w:rPr>
                <w:b/>
                <w:sz w:val="20"/>
              </w:rPr>
              <w:t>Name</w:t>
            </w:r>
          </w:p>
        </w:tc>
        <w:tc>
          <w:tcPr>
            <w:tcW w:w="1037" w:type="dxa"/>
          </w:tcPr>
          <w:p>
            <w:pPr>
              <w:pStyle w:val="TableParagraph"/>
              <w:spacing w:before="36"/>
              <w:ind w:left="66" w:right="63"/>
              <w:jc w:val="center"/>
              <w:rPr>
                <w:b/>
                <w:sz w:val="20"/>
              </w:rPr>
            </w:pPr>
            <w:r>
              <w:rPr>
                <w:b/>
                <w:sz w:val="20"/>
              </w:rPr>
              <w:t>Location</w:t>
            </w:r>
          </w:p>
        </w:tc>
        <w:tc>
          <w:tcPr>
            <w:tcW w:w="531" w:type="dxa"/>
          </w:tcPr>
          <w:p>
            <w:pPr>
              <w:pStyle w:val="TableParagraph"/>
              <w:spacing w:before="36"/>
              <w:ind w:left="80" w:right="78"/>
              <w:jc w:val="center"/>
              <w:rPr>
                <w:b/>
                <w:sz w:val="20"/>
              </w:rPr>
            </w:pPr>
            <w:r>
              <w:rPr>
                <w:b/>
                <w:sz w:val="20"/>
              </w:rPr>
              <w:t>Rst</w:t>
            </w:r>
          </w:p>
        </w:tc>
        <w:tc>
          <w:tcPr>
            <w:tcW w:w="533" w:type="dxa"/>
          </w:tcPr>
          <w:p>
            <w:pPr>
              <w:pStyle w:val="TableParagraph"/>
              <w:spacing w:before="36"/>
              <w:ind w:left="93" w:right="89"/>
              <w:jc w:val="center"/>
              <w:rPr>
                <w:b/>
                <w:sz w:val="20"/>
              </w:rPr>
            </w:pPr>
            <w:r>
              <w:rPr>
                <w:b/>
                <w:sz w:val="20"/>
              </w:rPr>
              <w:t>Wk</w:t>
            </w:r>
          </w:p>
        </w:tc>
        <w:tc>
          <w:tcPr>
            <w:tcW w:w="617" w:type="dxa"/>
          </w:tcPr>
          <w:p>
            <w:pPr>
              <w:pStyle w:val="TableParagraph"/>
              <w:spacing w:before="36"/>
              <w:ind w:left="165"/>
              <w:rPr>
                <w:b/>
                <w:sz w:val="20"/>
              </w:rPr>
            </w:pPr>
            <w:r>
              <w:rPr>
                <w:b/>
                <w:sz w:val="20"/>
              </w:rPr>
              <w:t>Dir</w:t>
            </w:r>
          </w:p>
        </w:tc>
        <w:tc>
          <w:tcPr>
            <w:tcW w:w="5112" w:type="dxa"/>
          </w:tcPr>
          <w:p>
            <w:pPr>
              <w:pStyle w:val="TableParagraph"/>
              <w:spacing w:before="32"/>
              <w:ind w:left="70"/>
              <w:rPr>
                <w:b/>
                <w:sz w:val="18"/>
              </w:rPr>
            </w:pPr>
            <w:r>
              <w:rPr>
                <w:b/>
                <w:sz w:val="18"/>
              </w:rPr>
              <w:t>Description</w:t>
            </w:r>
          </w:p>
        </w:tc>
      </w:tr>
      <w:tr>
        <w:trPr>
          <w:trHeight w:val="268" w:hRule="atLeast"/>
        </w:trPr>
        <w:tc>
          <w:tcPr>
            <w:tcW w:w="1531" w:type="dxa"/>
          </w:tcPr>
          <w:p>
            <w:pPr>
              <w:pStyle w:val="TableParagraph"/>
              <w:spacing w:before="14"/>
              <w:ind w:left="55"/>
              <w:rPr>
                <w:rFonts w:ascii="Times New Roman"/>
                <w:i/>
                <w:sz w:val="20"/>
              </w:rPr>
            </w:pPr>
            <w:r>
              <w:rPr>
                <w:rFonts w:ascii="Times New Roman"/>
                <w:i/>
                <w:sz w:val="20"/>
              </w:rPr>
              <w:t>RTC_TMIN[5:0]</w:t>
            </w:r>
          </w:p>
        </w:tc>
        <w:tc>
          <w:tcPr>
            <w:tcW w:w="1037" w:type="dxa"/>
          </w:tcPr>
          <w:p>
            <w:pPr>
              <w:pStyle w:val="TableParagraph"/>
              <w:spacing w:before="18"/>
              <w:ind w:left="67" w:right="63"/>
              <w:jc w:val="center"/>
              <w:rPr>
                <w:sz w:val="20"/>
              </w:rPr>
            </w:pPr>
            <w:r>
              <w:rPr>
                <w:sz w:val="20"/>
              </w:rPr>
              <w:t>289E[5:0]</w:t>
            </w:r>
          </w:p>
        </w:tc>
        <w:tc>
          <w:tcPr>
            <w:tcW w:w="531" w:type="dxa"/>
          </w:tcPr>
          <w:p>
            <w:pPr>
              <w:pStyle w:val="TableParagraph"/>
              <w:spacing w:before="18"/>
              <w:ind w:left="6"/>
              <w:jc w:val="center"/>
              <w:rPr>
                <w:sz w:val="20"/>
              </w:rPr>
            </w:pPr>
            <w:r>
              <w:rPr>
                <w:w w:val="99"/>
                <w:sz w:val="20"/>
              </w:rPr>
              <w:t>0</w:t>
            </w:r>
          </w:p>
        </w:tc>
        <w:tc>
          <w:tcPr>
            <w:tcW w:w="533" w:type="dxa"/>
          </w:tcPr>
          <w:p>
            <w:pPr>
              <w:pStyle w:val="TableParagraph"/>
              <w:spacing w:before="18"/>
              <w:ind w:left="3"/>
              <w:jc w:val="center"/>
              <w:rPr>
                <w:sz w:val="20"/>
              </w:rPr>
            </w:pPr>
            <w:r>
              <w:rPr>
                <w:w w:val="99"/>
                <w:sz w:val="20"/>
              </w:rPr>
              <w:t>0</w:t>
            </w:r>
          </w:p>
        </w:tc>
        <w:tc>
          <w:tcPr>
            <w:tcW w:w="617" w:type="dxa"/>
          </w:tcPr>
          <w:p>
            <w:pPr>
              <w:pStyle w:val="TableParagraph"/>
              <w:spacing w:before="18"/>
              <w:ind w:left="111"/>
              <w:rPr>
                <w:sz w:val="20"/>
              </w:rPr>
            </w:pPr>
            <w:r>
              <w:rPr>
                <w:sz w:val="20"/>
              </w:rPr>
              <w:t>R/W</w:t>
            </w:r>
          </w:p>
        </w:tc>
        <w:tc>
          <w:tcPr>
            <w:tcW w:w="5112" w:type="dxa"/>
          </w:tcPr>
          <w:p>
            <w:pPr>
              <w:pStyle w:val="TableParagraph"/>
              <w:spacing w:before="18"/>
              <w:ind w:left="58"/>
              <w:rPr>
                <w:sz w:val="20"/>
              </w:rPr>
            </w:pPr>
            <w:r>
              <w:rPr>
                <w:sz w:val="20"/>
              </w:rPr>
              <w:t>The target minutes register. See below.</w:t>
            </w:r>
          </w:p>
        </w:tc>
      </w:tr>
      <w:tr>
        <w:trPr>
          <w:trHeight w:val="731" w:hRule="atLeast"/>
        </w:trPr>
        <w:tc>
          <w:tcPr>
            <w:tcW w:w="1531" w:type="dxa"/>
          </w:tcPr>
          <w:p>
            <w:pPr>
              <w:pStyle w:val="TableParagraph"/>
              <w:spacing w:before="6"/>
              <w:rPr>
                <w:b/>
                <w:sz w:val="21"/>
              </w:rPr>
            </w:pPr>
          </w:p>
          <w:p>
            <w:pPr>
              <w:pStyle w:val="TableParagraph"/>
              <w:ind w:left="55"/>
              <w:rPr>
                <w:rFonts w:ascii="Times New Roman"/>
                <w:i/>
                <w:sz w:val="20"/>
              </w:rPr>
            </w:pPr>
            <w:r>
              <w:rPr>
                <w:rFonts w:ascii="Times New Roman"/>
                <w:i/>
                <w:sz w:val="20"/>
              </w:rPr>
              <w:t>RTC_THR[4:0]</w:t>
            </w:r>
          </w:p>
        </w:tc>
        <w:tc>
          <w:tcPr>
            <w:tcW w:w="1037" w:type="dxa"/>
          </w:tcPr>
          <w:p>
            <w:pPr>
              <w:pStyle w:val="TableParagraph"/>
              <w:spacing w:before="9"/>
              <w:rPr>
                <w:b/>
                <w:sz w:val="21"/>
              </w:rPr>
            </w:pPr>
          </w:p>
          <w:p>
            <w:pPr>
              <w:pStyle w:val="TableParagraph"/>
              <w:spacing w:before="1"/>
              <w:ind w:left="67" w:right="61"/>
              <w:jc w:val="center"/>
              <w:rPr>
                <w:sz w:val="20"/>
              </w:rPr>
            </w:pPr>
            <w:r>
              <w:rPr>
                <w:sz w:val="20"/>
              </w:rPr>
              <w:t>289F[4:0]</w:t>
            </w:r>
          </w:p>
        </w:tc>
        <w:tc>
          <w:tcPr>
            <w:tcW w:w="531" w:type="dxa"/>
          </w:tcPr>
          <w:p>
            <w:pPr>
              <w:pStyle w:val="TableParagraph"/>
              <w:spacing w:before="9"/>
              <w:rPr>
                <w:b/>
                <w:sz w:val="21"/>
              </w:rPr>
            </w:pPr>
          </w:p>
          <w:p>
            <w:pPr>
              <w:pStyle w:val="TableParagraph"/>
              <w:spacing w:before="1"/>
              <w:ind w:left="6"/>
              <w:jc w:val="center"/>
              <w:rPr>
                <w:sz w:val="20"/>
              </w:rPr>
            </w:pPr>
            <w:r>
              <w:rPr>
                <w:w w:val="99"/>
                <w:sz w:val="20"/>
              </w:rPr>
              <w:t>0</w:t>
            </w:r>
          </w:p>
        </w:tc>
        <w:tc>
          <w:tcPr>
            <w:tcW w:w="533" w:type="dxa"/>
          </w:tcPr>
          <w:p>
            <w:pPr>
              <w:pStyle w:val="TableParagraph"/>
              <w:spacing w:before="9"/>
              <w:rPr>
                <w:b/>
                <w:sz w:val="21"/>
              </w:rPr>
            </w:pPr>
          </w:p>
          <w:p>
            <w:pPr>
              <w:pStyle w:val="TableParagraph"/>
              <w:spacing w:before="1"/>
              <w:ind w:left="3"/>
              <w:jc w:val="center"/>
              <w:rPr>
                <w:sz w:val="20"/>
              </w:rPr>
            </w:pPr>
            <w:r>
              <w:rPr>
                <w:w w:val="99"/>
                <w:sz w:val="20"/>
              </w:rPr>
              <w:t>0</w:t>
            </w:r>
          </w:p>
        </w:tc>
        <w:tc>
          <w:tcPr>
            <w:tcW w:w="617" w:type="dxa"/>
          </w:tcPr>
          <w:p>
            <w:pPr>
              <w:pStyle w:val="TableParagraph"/>
              <w:spacing w:before="9"/>
              <w:rPr>
                <w:b/>
                <w:sz w:val="21"/>
              </w:rPr>
            </w:pPr>
          </w:p>
          <w:p>
            <w:pPr>
              <w:pStyle w:val="TableParagraph"/>
              <w:spacing w:before="1"/>
              <w:ind w:left="111"/>
              <w:rPr>
                <w:sz w:val="20"/>
              </w:rPr>
            </w:pPr>
            <w:r>
              <w:rPr>
                <w:sz w:val="20"/>
              </w:rPr>
              <w:t>R/W</w:t>
            </w:r>
          </w:p>
        </w:tc>
        <w:tc>
          <w:tcPr>
            <w:tcW w:w="5112" w:type="dxa"/>
          </w:tcPr>
          <w:p>
            <w:pPr>
              <w:pStyle w:val="TableParagraph"/>
              <w:spacing w:before="16"/>
              <w:ind w:left="58"/>
              <w:rPr>
                <w:sz w:val="20"/>
              </w:rPr>
            </w:pPr>
            <w:r>
              <w:rPr>
                <w:sz w:val="20"/>
              </w:rPr>
              <w:t>The target hours register. The </w:t>
            </w:r>
            <w:r>
              <w:rPr>
                <w:i/>
                <w:sz w:val="20"/>
              </w:rPr>
              <w:t>RTC_T </w:t>
            </w:r>
            <w:r>
              <w:rPr>
                <w:sz w:val="20"/>
              </w:rPr>
              <w:t>interrupt occurs when </w:t>
            </w:r>
            <w:r>
              <w:rPr>
                <w:rFonts w:ascii="Times New Roman"/>
                <w:i/>
                <w:sz w:val="20"/>
              </w:rPr>
              <w:t>RTC_MIN[5:0] </w:t>
            </w:r>
            <w:r>
              <w:rPr>
                <w:sz w:val="20"/>
              </w:rPr>
              <w:t>becomes equal to </w:t>
            </w:r>
            <w:r>
              <w:rPr>
                <w:rFonts w:ascii="Times New Roman"/>
                <w:i/>
                <w:sz w:val="20"/>
              </w:rPr>
              <w:t>RTC_TMIN[5:0] </w:t>
            </w:r>
            <w:r>
              <w:rPr>
                <w:sz w:val="20"/>
              </w:rPr>
              <w:t>and </w:t>
            </w:r>
            <w:r>
              <w:rPr>
                <w:rFonts w:ascii="Times New Roman"/>
                <w:i/>
                <w:sz w:val="20"/>
              </w:rPr>
              <w:t>RTC_HR[4:0] </w:t>
            </w:r>
            <w:r>
              <w:rPr>
                <w:sz w:val="20"/>
              </w:rPr>
              <w:t>becomes equal to </w:t>
            </w:r>
            <w:r>
              <w:rPr>
                <w:rFonts w:ascii="Times New Roman"/>
                <w:i/>
                <w:sz w:val="20"/>
              </w:rPr>
              <w:t>RTC_THR[4:0]</w:t>
            </w:r>
            <w:r>
              <w:rPr>
                <w:sz w:val="20"/>
              </w:rPr>
              <w:t>.</w:t>
            </w:r>
          </w:p>
        </w:tc>
      </w:tr>
    </w:tbl>
    <w:p>
      <w:pPr>
        <w:pStyle w:val="BodyText"/>
        <w:rPr>
          <w:b/>
          <w:sz w:val="30"/>
        </w:rPr>
      </w:pPr>
    </w:p>
    <w:p>
      <w:pPr>
        <w:pStyle w:val="ListParagraph"/>
        <w:numPr>
          <w:ilvl w:val="2"/>
          <w:numId w:val="7"/>
        </w:numPr>
        <w:tabs>
          <w:tab w:pos="959" w:val="left" w:leader="none"/>
          <w:tab w:pos="960" w:val="left" w:leader="none"/>
        </w:tabs>
        <w:spacing w:line="240" w:lineRule="auto" w:before="0" w:after="0"/>
        <w:ind w:left="959" w:right="0" w:hanging="720"/>
        <w:jc w:val="left"/>
        <w:rPr>
          <w:b/>
          <w:sz w:val="22"/>
        </w:rPr>
      </w:pPr>
      <w:bookmarkStart w:name="2.5.5 71M6543 Temperature Sensor" w:id="222"/>
      <w:bookmarkEnd w:id="222"/>
      <w:r>
        <w:rPr/>
      </w:r>
      <w:bookmarkStart w:name="_bookmark109" w:id="223"/>
      <w:bookmarkEnd w:id="223"/>
      <w:r>
        <w:rPr/>
      </w:r>
      <w:bookmarkStart w:name="_bookmark109" w:id="224"/>
      <w:bookmarkEnd w:id="224"/>
      <w:r>
        <w:rPr>
          <w:b/>
          <w:sz w:val="22"/>
        </w:rPr>
        <w:t>71</w:t>
      </w:r>
      <w:r>
        <w:rPr>
          <w:b/>
          <w:sz w:val="22"/>
        </w:rPr>
        <w:t>M6543 Temperature</w:t>
      </w:r>
      <w:r>
        <w:rPr>
          <w:b/>
          <w:spacing w:val="-2"/>
          <w:sz w:val="22"/>
        </w:rPr>
        <w:t> </w:t>
      </w:r>
      <w:r>
        <w:rPr>
          <w:b/>
          <w:sz w:val="22"/>
        </w:rPr>
        <w:t>Sensor</w:t>
      </w:r>
    </w:p>
    <w:p>
      <w:pPr>
        <w:pStyle w:val="BodyText"/>
        <w:spacing w:before="124"/>
        <w:ind w:left="239" w:right="401"/>
      </w:pPr>
      <w:r>
        <w:rPr/>
        <w:t>The 71M6543 includes an on-chip temperature sensor for determining the temperature of its bandgap reference. The primary use of the temperature data is to determine the magnitude of compensation required to offset the thermal drift in the system for the compensation of current, voltage and energy measurement and the RTC. See </w:t>
      </w:r>
      <w:hyperlink w:history="true" w:anchor="_bookmark182">
        <w:r>
          <w:rPr>
            <w:color w:val="0000FF"/>
          </w:rPr>
          <w:t>4.5 </w:t>
        </w:r>
      </w:hyperlink>
      <w:hyperlink w:history="true" w:anchor="_bookmark182">
        <w:r>
          <w:rPr>
            <w:color w:val="0000FF"/>
          </w:rPr>
          <w:t>Metrology Temperature Compensation </w:t>
        </w:r>
      </w:hyperlink>
      <w:r>
        <w:rPr/>
        <w:t>on page </w:t>
      </w:r>
      <w:hyperlink w:history="true" w:anchor="_bookmark182">
        <w:r>
          <w:rPr>
            <w:color w:val="0000FF"/>
          </w:rPr>
          <w:t>88</w:t>
        </w:r>
        <w:r>
          <w:rPr/>
          <w:t>. </w:t>
        </w:r>
      </w:hyperlink>
      <w:r>
        <w:rPr/>
        <w:t>Also see </w:t>
      </w:r>
      <w:hyperlink w:history="true" w:anchor="_bookmark105">
        <w:r>
          <w:rPr>
            <w:color w:val="0000FF"/>
          </w:rPr>
          <w:t>2.5.4.4</w:t>
        </w:r>
      </w:hyperlink>
      <w:r>
        <w:rPr>
          <w:color w:val="0000FF"/>
        </w:rPr>
        <w:t> </w:t>
      </w:r>
      <w:hyperlink w:history="true" w:anchor="_bookmark105">
        <w:r>
          <w:rPr>
            <w:color w:val="0000FF"/>
          </w:rPr>
          <w:t>RTC Temperature Compensation </w:t>
        </w:r>
      </w:hyperlink>
      <w:r>
        <w:rPr/>
        <w:t>on page </w:t>
      </w:r>
      <w:hyperlink w:history="true" w:anchor="_bookmark105">
        <w:r>
          <w:rPr>
            <w:color w:val="0000FF"/>
          </w:rPr>
          <w:t>52</w:t>
        </w:r>
        <w:r>
          <w:rPr/>
          <w:t>.</w:t>
        </w:r>
      </w:hyperlink>
    </w:p>
    <w:p>
      <w:pPr>
        <w:pStyle w:val="BodyText"/>
        <w:spacing w:before="120"/>
        <w:ind w:left="239" w:right="490"/>
      </w:pPr>
      <w:r>
        <w:rPr/>
        <w:t>Unlike earlier generation Maxim SoCs, the 71M6543 does not use the ADC to read the temperature sensor. Instead, it uses a technique that is operational in SLP and LCD mode, as well as BRN and MSN modes. This means that the temperature sensor can be used to compensate for the frequency variation of the crystal, even in SLP mode while the MPU is halted. See </w:t>
      </w:r>
      <w:hyperlink w:history="true" w:anchor="_bookmark105">
        <w:r>
          <w:rPr>
            <w:color w:val="0000FF"/>
          </w:rPr>
          <w:t>2.5.4.4 </w:t>
        </w:r>
      </w:hyperlink>
      <w:hyperlink w:history="true" w:anchor="_bookmark105">
        <w:r>
          <w:rPr>
            <w:color w:val="0000FF"/>
          </w:rPr>
          <w:t>RTC Temperature Compensation</w:t>
        </w:r>
      </w:hyperlink>
      <w:r>
        <w:rPr>
          <w:color w:val="0000FF"/>
        </w:rPr>
        <w:t> </w:t>
      </w:r>
      <w:r>
        <w:rPr/>
        <w:t>on page </w:t>
      </w:r>
      <w:hyperlink w:history="true" w:anchor="_bookmark105">
        <w:r>
          <w:rPr>
            <w:color w:val="0000FF"/>
          </w:rPr>
          <w:t>52</w:t>
        </w:r>
        <w:r>
          <w:rPr/>
          <w:t>.</w:t>
        </w:r>
      </w:hyperlink>
    </w:p>
    <w:p>
      <w:pPr>
        <w:spacing w:before="120"/>
        <w:ind w:left="239" w:right="457" w:hanging="1"/>
        <w:jc w:val="left"/>
        <w:rPr>
          <w:rFonts w:ascii="Times New Roman"/>
          <w:i/>
          <w:sz w:val="20"/>
        </w:rPr>
      </w:pPr>
      <w:r>
        <w:rPr>
          <w:sz w:val="20"/>
        </w:rPr>
        <w:t>In MSN and BRN modes, the temperature sensor is awakened on command from the MPU by setting the </w:t>
      </w:r>
      <w:r>
        <w:rPr>
          <w:rFonts w:ascii="Times New Roman"/>
          <w:i/>
          <w:sz w:val="20"/>
        </w:rPr>
        <w:t>TEMP_START (I/O RAM 0x28B4[6]) </w:t>
      </w:r>
      <w:r>
        <w:rPr>
          <w:sz w:val="20"/>
        </w:rPr>
        <w:t>control bit. In SLP and LCD modes, it is awakened at a regular rate set by </w:t>
      </w:r>
      <w:r>
        <w:rPr>
          <w:rFonts w:ascii="Times New Roman"/>
          <w:i/>
          <w:sz w:val="20"/>
        </w:rPr>
        <w:t>TEMP_PER[2:0] (I/O RAM</w:t>
      </w:r>
      <w:r>
        <w:rPr>
          <w:rFonts w:ascii="Times New Roman"/>
          <w:i/>
          <w:spacing w:val="1"/>
          <w:sz w:val="20"/>
        </w:rPr>
        <w:t> </w:t>
      </w:r>
      <w:r>
        <w:rPr>
          <w:rFonts w:ascii="Times New Roman"/>
          <w:i/>
          <w:sz w:val="20"/>
        </w:rPr>
        <w:t>0x28A0[2:0]).</w:t>
      </w:r>
    </w:p>
    <w:p>
      <w:pPr>
        <w:spacing w:before="117"/>
        <w:ind w:left="239" w:right="580" w:firstLine="0"/>
        <w:jc w:val="left"/>
        <w:rPr>
          <w:sz w:val="20"/>
        </w:rPr>
      </w:pPr>
      <w:r>
        <w:rPr>
          <w:sz w:val="20"/>
        </w:rPr>
        <w:t>The result of the temperature measurement is read from the two I/O RAM locations </w:t>
      </w:r>
      <w:r>
        <w:rPr>
          <w:rFonts w:ascii="Times New Roman"/>
          <w:i/>
          <w:sz w:val="20"/>
        </w:rPr>
        <w:t>STEMP[10:3] </w:t>
      </w:r>
      <w:r>
        <w:rPr>
          <w:sz w:val="20"/>
        </w:rPr>
        <w:t>(</w:t>
      </w:r>
      <w:r>
        <w:rPr>
          <w:rFonts w:ascii="Times New Roman"/>
          <w:i/>
          <w:sz w:val="20"/>
        </w:rPr>
        <w:t>I/O </w:t>
      </w:r>
      <w:r>
        <w:rPr>
          <w:rFonts w:ascii="Times New Roman"/>
          <w:i/>
          <w:sz w:val="20"/>
        </w:rPr>
        <w:t>RAM 0x2881) </w:t>
      </w:r>
      <w:r>
        <w:rPr>
          <w:sz w:val="20"/>
        </w:rPr>
        <w:t>and </w:t>
      </w:r>
      <w:r>
        <w:rPr>
          <w:rFonts w:ascii="Times New Roman"/>
          <w:i/>
          <w:sz w:val="20"/>
        </w:rPr>
        <w:t>STEMP[2:0] (I/O RAM 0x2882[7:5]</w:t>
      </w:r>
      <w:r>
        <w:rPr>
          <w:i/>
          <w:sz w:val="20"/>
        </w:rPr>
        <w:t>). </w:t>
      </w:r>
      <w:r>
        <w:rPr>
          <w:sz w:val="20"/>
        </w:rPr>
        <w:t>Note that both of these I/O RAM locations must be</w:t>
      </w:r>
    </w:p>
    <w:p>
      <w:pPr>
        <w:spacing w:after="0"/>
        <w:jc w:val="left"/>
        <w:rPr>
          <w:sz w:val="20"/>
        </w:rPr>
        <w:sectPr>
          <w:pgSz w:w="12240" w:h="15840"/>
          <w:pgMar w:header="727" w:footer="819" w:top="960" w:bottom="1000" w:left="1200" w:right="1060"/>
        </w:sectPr>
      </w:pPr>
    </w:p>
    <w:p>
      <w:pPr>
        <w:pStyle w:val="BodyText"/>
        <w:spacing w:before="6"/>
        <w:rPr>
          <w:sz w:val="16"/>
        </w:rPr>
      </w:pPr>
    </w:p>
    <w:p>
      <w:pPr>
        <w:pStyle w:val="BodyText"/>
        <w:spacing w:line="242" w:lineRule="auto" w:before="93"/>
        <w:ind w:left="240" w:right="448"/>
      </w:pPr>
      <w:r>
        <w:rPr/>
        <w:t>read and properly combined to form the </w:t>
      </w:r>
      <w:r>
        <w:rPr>
          <w:rFonts w:ascii="Times New Roman" w:hAnsi="Times New Roman"/>
          <w:i/>
        </w:rPr>
        <w:t>STEMP[10:0] </w:t>
      </w:r>
      <w:r>
        <w:rPr/>
        <w:t>11-bit value (see </w:t>
      </w:r>
      <w:r>
        <w:rPr>
          <w:rFonts w:ascii="Times New Roman" w:hAnsi="Times New Roman"/>
          <w:i/>
        </w:rPr>
        <w:t>STEMP </w:t>
      </w:r>
      <w:r>
        <w:rPr/>
        <w:t>in </w:t>
      </w:r>
      <w:hyperlink w:history="true" w:anchor="_bookmark110">
        <w:r>
          <w:rPr>
            <w:color w:val="0000FF"/>
          </w:rPr>
          <w:t>Table 45</w:t>
        </w:r>
      </w:hyperlink>
      <w:r>
        <w:rPr/>
        <w:t>). The resulting 11-bit value is in 2’s complement form and ranges from -1024 to +1023 (decimal).</w:t>
      </w:r>
    </w:p>
    <w:p>
      <w:pPr>
        <w:pStyle w:val="BodyText"/>
        <w:spacing w:before="117"/>
        <w:ind w:left="239" w:right="348"/>
      </w:pPr>
      <w:r>
        <w:rPr/>
        <w:t>The equations below are used to calculate the sensed temperature. The first equation applies when the 71M6543F and 71M6543G are in MSN mode and </w:t>
      </w:r>
      <w:r>
        <w:rPr>
          <w:rFonts w:ascii="Times New Roman"/>
          <w:i/>
        </w:rPr>
        <w:t>TEMP_PWR </w:t>
      </w:r>
      <w:r>
        <w:rPr/>
        <w:t>= 1. The second equation applies when the 71M6543F and 71M6543G are in BRN mode, and in this case, the </w:t>
      </w:r>
      <w:r>
        <w:rPr>
          <w:rFonts w:ascii="Times New Roman"/>
          <w:i/>
        </w:rPr>
        <w:t>TEMP_PWR </w:t>
      </w:r>
      <w:r>
        <w:rPr/>
        <w:t>and </w:t>
      </w:r>
      <w:r>
        <w:rPr>
          <w:rFonts w:ascii="Times New Roman"/>
          <w:i/>
        </w:rPr>
        <w:t>TEMP_BSEL </w:t>
      </w:r>
      <w:r>
        <w:rPr/>
        <w:t>bits must both be set to the same value, so that the battery that supplies the temperature sensor is also the battery that is measured and reported in </w:t>
      </w:r>
      <w:r>
        <w:rPr>
          <w:rFonts w:ascii="Times New Roman"/>
          <w:i/>
        </w:rPr>
        <w:t>BSENSE</w:t>
      </w:r>
      <w:r>
        <w:rPr/>
        <w:t>. Thus, the second equation requires reading </w:t>
      </w:r>
      <w:r>
        <w:rPr>
          <w:rFonts w:ascii="Times New Roman"/>
          <w:i/>
        </w:rPr>
        <w:t>STEMP </w:t>
      </w:r>
      <w:r>
        <w:rPr/>
        <w:t>and </w:t>
      </w:r>
      <w:r>
        <w:rPr>
          <w:rFonts w:ascii="Times New Roman"/>
          <w:i/>
        </w:rPr>
        <w:t>BSENSE</w:t>
      </w:r>
      <w:r>
        <w:rPr/>
        <w:t>. In the second equation, </w:t>
      </w:r>
      <w:r>
        <w:rPr>
          <w:rFonts w:ascii="Times New Roman"/>
          <w:i/>
        </w:rPr>
        <w:t>BSENSE </w:t>
      </w:r>
      <w:r>
        <w:rPr/>
        <w:t>(the sensed battery voltage) is used to obtain a more accurate temperature reading when the IC is in BRN mode. The coefficients provided in the various </w:t>
      </w:r>
      <w:r>
        <w:rPr>
          <w:rFonts w:ascii="Times New Roman"/>
          <w:i/>
        </w:rPr>
        <w:t>STEMP </w:t>
      </w:r>
      <w:r>
        <w:rPr/>
        <w:t>equations below are typical.</w:t>
      </w:r>
    </w:p>
    <w:p>
      <w:pPr>
        <w:pStyle w:val="BodyText"/>
        <w:spacing w:before="117"/>
        <w:ind w:left="239"/>
      </w:pPr>
      <w:r>
        <w:rPr/>
        <w:t>For the 71M6543F and 71M6543G in MSN Mode (with </w:t>
      </w:r>
      <w:r>
        <w:rPr>
          <w:rFonts w:ascii="Times New Roman"/>
          <w:i/>
        </w:rPr>
        <w:t>TEMP_PWR </w:t>
      </w:r>
      <w:r>
        <w:rPr/>
        <w:t>= 1):</w:t>
      </w:r>
    </w:p>
    <w:p>
      <w:pPr>
        <w:spacing w:before="169"/>
        <w:ind w:left="702" w:right="1007" w:firstLine="0"/>
        <w:jc w:val="center"/>
        <w:rPr>
          <w:rFonts w:ascii="Times New Roman" w:hAnsi="Times New Roman"/>
          <w:sz w:val="19"/>
        </w:rPr>
      </w:pPr>
      <w:r>
        <w:rPr>
          <w:rFonts w:ascii="Times New Roman" w:hAnsi="Times New Roman"/>
          <w:i/>
          <w:sz w:val="19"/>
        </w:rPr>
        <w:t>Temp</w:t>
      </w:r>
      <w:r>
        <w:rPr>
          <w:rFonts w:ascii="Times New Roman" w:hAnsi="Times New Roman"/>
          <w:sz w:val="19"/>
        </w:rPr>
        <w:t>(</w:t>
      </w:r>
      <w:r>
        <w:rPr>
          <w:rFonts w:ascii="Symbol" w:hAnsi="Symbol"/>
          <w:sz w:val="19"/>
        </w:rPr>
        <w:t></w:t>
      </w:r>
      <w:r>
        <w:rPr>
          <w:rFonts w:ascii="Times New Roman" w:hAnsi="Times New Roman"/>
          <w:i/>
          <w:sz w:val="19"/>
        </w:rPr>
        <w:t>C</w:t>
      </w:r>
      <w:r>
        <w:rPr>
          <w:rFonts w:ascii="Times New Roman" w:hAnsi="Times New Roman"/>
          <w:sz w:val="19"/>
        </w:rPr>
        <w:t>) </w:t>
      </w:r>
      <w:r>
        <w:rPr>
          <w:rFonts w:ascii="Symbol" w:hAnsi="Symbol"/>
          <w:sz w:val="19"/>
        </w:rPr>
        <w:t></w:t>
      </w:r>
      <w:r>
        <w:rPr>
          <w:rFonts w:ascii="Times New Roman" w:hAnsi="Times New Roman"/>
          <w:sz w:val="19"/>
        </w:rPr>
        <w:t> 0.325 </w:t>
      </w:r>
      <w:r>
        <w:rPr>
          <w:rFonts w:ascii="Symbol" w:hAnsi="Symbol"/>
          <w:w w:val="95"/>
          <w:sz w:val="19"/>
        </w:rPr>
        <w:t></w:t>
      </w:r>
      <w:r>
        <w:rPr>
          <w:rFonts w:ascii="Times New Roman" w:hAnsi="Times New Roman"/>
          <w:w w:val="95"/>
          <w:sz w:val="19"/>
        </w:rPr>
        <w:t> </w:t>
      </w:r>
      <w:r>
        <w:rPr>
          <w:rFonts w:ascii="Times New Roman" w:hAnsi="Times New Roman"/>
          <w:i/>
          <w:sz w:val="19"/>
        </w:rPr>
        <w:t>STEMP </w:t>
      </w:r>
      <w:r>
        <w:rPr>
          <w:rFonts w:ascii="Symbol" w:hAnsi="Symbol"/>
          <w:sz w:val="19"/>
        </w:rPr>
        <w:t></w:t>
      </w:r>
      <w:r>
        <w:rPr>
          <w:rFonts w:ascii="Times New Roman" w:hAnsi="Times New Roman"/>
          <w:sz w:val="19"/>
        </w:rPr>
        <w:t> 22</w:t>
      </w:r>
    </w:p>
    <w:p>
      <w:pPr>
        <w:spacing w:before="169"/>
        <w:ind w:left="239" w:right="0" w:firstLine="0"/>
        <w:jc w:val="left"/>
        <w:rPr>
          <w:sz w:val="20"/>
        </w:rPr>
      </w:pPr>
      <w:r>
        <w:rPr>
          <w:sz w:val="20"/>
        </w:rPr>
        <w:t>For the 71M6543F and 71M6543G in BRN Mode, (with </w:t>
      </w:r>
      <w:r>
        <w:rPr>
          <w:rFonts w:ascii="Times New Roman"/>
          <w:i/>
          <w:sz w:val="20"/>
        </w:rPr>
        <w:t>TEMP_PWR</w:t>
      </w:r>
      <w:r>
        <w:rPr>
          <w:sz w:val="20"/>
        </w:rPr>
        <w:t>=</w:t>
      </w:r>
      <w:r>
        <w:rPr>
          <w:rFonts w:ascii="Times New Roman"/>
          <w:i/>
          <w:sz w:val="20"/>
        </w:rPr>
        <w:t>TEMP_BSEL</w:t>
      </w:r>
      <w:r>
        <w:rPr>
          <w:sz w:val="20"/>
        </w:rPr>
        <w:t>):</w:t>
      </w:r>
    </w:p>
    <w:p>
      <w:pPr>
        <w:spacing w:before="166"/>
        <w:ind w:left="43" w:right="204" w:firstLine="0"/>
        <w:jc w:val="center"/>
        <w:rPr>
          <w:rFonts w:ascii="Times New Roman" w:hAnsi="Times New Roman"/>
          <w:sz w:val="20"/>
        </w:rPr>
      </w:pPr>
      <w:r>
        <w:rPr>
          <w:rFonts w:ascii="Times New Roman" w:hAnsi="Times New Roman"/>
          <w:i/>
          <w:w w:val="110"/>
          <w:sz w:val="20"/>
        </w:rPr>
        <w:t>Temp</w:t>
      </w:r>
      <w:r>
        <w:rPr>
          <w:rFonts w:ascii="Times New Roman" w:hAnsi="Times New Roman"/>
          <w:w w:val="110"/>
          <w:sz w:val="20"/>
        </w:rPr>
        <w:t>(</w:t>
      </w:r>
      <w:r>
        <w:rPr>
          <w:rFonts w:ascii="Times New Roman" w:hAnsi="Times New Roman"/>
          <w:i/>
          <w:w w:val="110"/>
          <w:sz w:val="20"/>
          <w:vertAlign w:val="superscript"/>
        </w:rPr>
        <w:t>o</w:t>
      </w:r>
      <w:r>
        <w:rPr>
          <w:rFonts w:ascii="Times New Roman" w:hAnsi="Times New Roman"/>
          <w:i/>
          <w:w w:val="110"/>
          <w:sz w:val="20"/>
          <w:vertAlign w:val="baseline"/>
        </w:rPr>
        <w:t>C</w:t>
      </w:r>
      <w:r>
        <w:rPr>
          <w:rFonts w:ascii="Times New Roman" w:hAnsi="Times New Roman"/>
          <w:w w:val="110"/>
          <w:sz w:val="20"/>
          <w:vertAlign w:val="baseline"/>
        </w:rPr>
        <w:t>) </w:t>
      </w:r>
      <w:r>
        <w:rPr>
          <w:rFonts w:ascii="Symbol" w:hAnsi="Symbol"/>
          <w:w w:val="110"/>
          <w:sz w:val="20"/>
          <w:vertAlign w:val="baseline"/>
        </w:rPr>
        <w:t></w:t>
      </w:r>
      <w:r>
        <w:rPr>
          <w:rFonts w:ascii="Times New Roman" w:hAnsi="Times New Roman"/>
          <w:w w:val="110"/>
          <w:sz w:val="20"/>
          <w:vertAlign w:val="baseline"/>
        </w:rPr>
        <w:t> 0.325 </w:t>
      </w:r>
      <w:r>
        <w:rPr>
          <w:rFonts w:ascii="Symbol" w:hAnsi="Symbol"/>
          <w:sz w:val="20"/>
          <w:vertAlign w:val="baseline"/>
        </w:rPr>
        <w:t></w:t>
      </w:r>
      <w:r>
        <w:rPr>
          <w:rFonts w:ascii="Times New Roman" w:hAnsi="Times New Roman"/>
          <w:sz w:val="20"/>
          <w:vertAlign w:val="baseline"/>
        </w:rPr>
        <w:t> </w:t>
      </w:r>
      <w:r>
        <w:rPr>
          <w:rFonts w:ascii="Times New Roman" w:hAnsi="Times New Roman"/>
          <w:i/>
          <w:w w:val="110"/>
          <w:sz w:val="20"/>
          <w:vertAlign w:val="baseline"/>
        </w:rPr>
        <w:t>STEMP </w:t>
      </w:r>
      <w:r>
        <w:rPr>
          <w:rFonts w:ascii="Symbol" w:hAnsi="Symbol"/>
          <w:w w:val="110"/>
          <w:sz w:val="20"/>
          <w:vertAlign w:val="baseline"/>
        </w:rPr>
        <w:t></w:t>
      </w:r>
      <w:r>
        <w:rPr>
          <w:rFonts w:ascii="Times New Roman" w:hAnsi="Times New Roman"/>
          <w:w w:val="110"/>
          <w:sz w:val="20"/>
          <w:vertAlign w:val="baseline"/>
        </w:rPr>
        <w:t> 0.00218 </w:t>
      </w:r>
      <w:r>
        <w:rPr>
          <w:rFonts w:ascii="Symbol" w:hAnsi="Symbol"/>
          <w:sz w:val="20"/>
          <w:vertAlign w:val="baseline"/>
        </w:rPr>
        <w:t></w:t>
      </w:r>
      <w:r>
        <w:rPr>
          <w:rFonts w:ascii="Times New Roman" w:hAnsi="Times New Roman"/>
          <w:sz w:val="20"/>
          <w:vertAlign w:val="baseline"/>
        </w:rPr>
        <w:t> </w:t>
      </w:r>
      <w:r>
        <w:rPr>
          <w:rFonts w:ascii="Times New Roman" w:hAnsi="Times New Roman"/>
          <w:i/>
          <w:w w:val="110"/>
          <w:sz w:val="20"/>
          <w:vertAlign w:val="baseline"/>
        </w:rPr>
        <w:t>BSENSE </w:t>
      </w:r>
      <w:r>
        <w:rPr>
          <w:rFonts w:ascii="Times New Roman" w:hAnsi="Times New Roman"/>
          <w:w w:val="110"/>
          <w:sz w:val="20"/>
          <w:vertAlign w:val="superscript"/>
        </w:rPr>
        <w:t>2</w:t>
      </w:r>
      <w:r>
        <w:rPr>
          <w:rFonts w:ascii="Times New Roman" w:hAnsi="Times New Roman"/>
          <w:w w:val="110"/>
          <w:sz w:val="20"/>
          <w:vertAlign w:val="baseline"/>
        </w:rPr>
        <w:t> </w:t>
      </w:r>
      <w:r>
        <w:rPr>
          <w:rFonts w:ascii="Symbol" w:hAnsi="Symbol"/>
          <w:w w:val="110"/>
          <w:sz w:val="20"/>
          <w:vertAlign w:val="baseline"/>
        </w:rPr>
        <w:t></w:t>
      </w:r>
      <w:r>
        <w:rPr>
          <w:rFonts w:ascii="Times New Roman" w:hAnsi="Times New Roman"/>
          <w:w w:val="110"/>
          <w:sz w:val="20"/>
          <w:vertAlign w:val="baseline"/>
        </w:rPr>
        <w:t> 0.609 </w:t>
      </w:r>
      <w:r>
        <w:rPr>
          <w:rFonts w:ascii="Symbol" w:hAnsi="Symbol"/>
          <w:sz w:val="20"/>
          <w:vertAlign w:val="baseline"/>
        </w:rPr>
        <w:t></w:t>
      </w:r>
      <w:r>
        <w:rPr>
          <w:rFonts w:ascii="Times New Roman" w:hAnsi="Times New Roman"/>
          <w:sz w:val="20"/>
          <w:vertAlign w:val="baseline"/>
        </w:rPr>
        <w:t> </w:t>
      </w:r>
      <w:r>
        <w:rPr>
          <w:rFonts w:ascii="Times New Roman" w:hAnsi="Times New Roman"/>
          <w:i/>
          <w:w w:val="110"/>
          <w:sz w:val="20"/>
          <w:vertAlign w:val="baseline"/>
        </w:rPr>
        <w:t>BSENSE </w:t>
      </w:r>
      <w:r>
        <w:rPr>
          <w:rFonts w:ascii="Symbol" w:hAnsi="Symbol"/>
          <w:w w:val="110"/>
          <w:sz w:val="20"/>
          <w:vertAlign w:val="baseline"/>
        </w:rPr>
        <w:t></w:t>
      </w:r>
      <w:r>
        <w:rPr>
          <w:rFonts w:ascii="Times New Roman" w:hAnsi="Times New Roman"/>
          <w:w w:val="110"/>
          <w:sz w:val="20"/>
          <w:vertAlign w:val="baseline"/>
        </w:rPr>
        <w:t> 64.4</w:t>
      </w:r>
    </w:p>
    <w:p>
      <w:pPr>
        <w:pStyle w:val="BodyText"/>
        <w:spacing w:before="176"/>
        <w:ind w:left="239"/>
      </w:pPr>
      <w:hyperlink w:history="true" w:anchor="_bookmark110">
        <w:r>
          <w:rPr>
            <w:color w:val="0000FF"/>
          </w:rPr>
          <w:t>Table 45 </w:t>
        </w:r>
      </w:hyperlink>
      <w:r>
        <w:rPr/>
        <w:t>shows the I/O RAM registers used for temperature and battery measurement.</w:t>
      </w:r>
    </w:p>
    <w:p>
      <w:pPr>
        <w:spacing w:after="0"/>
        <w:sectPr>
          <w:pgSz w:w="12240" w:h="15840"/>
          <w:pgMar w:header="727" w:footer="819" w:top="960" w:bottom="1000" w:left="1200" w:right="1060"/>
        </w:sectPr>
      </w:pPr>
    </w:p>
    <w:p>
      <w:pPr>
        <w:pStyle w:val="BodyText"/>
      </w:pPr>
    </w:p>
    <w:p>
      <w:pPr>
        <w:pStyle w:val="BodyText"/>
        <w:spacing w:before="6"/>
        <w:rPr>
          <w:sz w:val="16"/>
        </w:rPr>
      </w:pPr>
    </w:p>
    <w:p>
      <w:pPr>
        <w:pStyle w:val="BodyText"/>
        <w:spacing w:before="93"/>
        <w:ind w:left="875" w:right="368"/>
      </w:pPr>
      <w:r>
        <w:rPr/>
        <w:drawing>
          <wp:anchor distT="0" distB="0" distL="0" distR="0" allowOverlap="1" layoutInCell="1" locked="0" behindDoc="0" simplePos="0" relativeHeight="15777280">
            <wp:simplePos x="0" y="0"/>
            <wp:positionH relativeFrom="page">
              <wp:posOffset>1014290</wp:posOffset>
            </wp:positionH>
            <wp:positionV relativeFrom="paragraph">
              <wp:posOffset>93036</wp:posOffset>
            </wp:positionV>
            <wp:extent cx="176334" cy="276224"/>
            <wp:effectExtent l="0" t="0" r="0" b="0"/>
            <wp:wrapNone/>
            <wp:docPr id="49" name="image64.png"/>
            <wp:cNvGraphicFramePr>
              <a:graphicFrameLocks noChangeAspect="1"/>
            </wp:cNvGraphicFramePr>
            <a:graphic>
              <a:graphicData uri="http://schemas.openxmlformats.org/drawingml/2006/picture">
                <pic:pic>
                  <pic:nvPicPr>
                    <pic:cNvPr id="50" name="image64.png"/>
                    <pic:cNvPicPr/>
                  </pic:nvPicPr>
                  <pic:blipFill>
                    <a:blip r:embed="rId73" cstate="print"/>
                    <a:stretch>
                      <a:fillRect/>
                    </a:stretch>
                  </pic:blipFill>
                  <pic:spPr>
                    <a:xfrm>
                      <a:off x="0" y="0"/>
                      <a:ext cx="176334" cy="276224"/>
                    </a:xfrm>
                    <a:prstGeom prst="rect">
                      <a:avLst/>
                    </a:prstGeom>
                  </pic:spPr>
                </pic:pic>
              </a:graphicData>
            </a:graphic>
          </wp:anchor>
        </w:drawing>
      </w:r>
      <w:r>
        <w:rPr/>
        <w:t>If </w:t>
      </w:r>
      <w:r>
        <w:rPr>
          <w:rFonts w:ascii="Times New Roman"/>
          <w:i/>
          <w:spacing w:val="-4"/>
        </w:rPr>
        <w:t>TEMP_PWR </w:t>
      </w:r>
      <w:r>
        <w:rPr>
          <w:spacing w:val="-4"/>
        </w:rPr>
        <w:t>selects </w:t>
      </w:r>
      <w:r>
        <w:rPr>
          <w:rFonts w:ascii="Times New Roman"/>
          <w:i/>
          <w:spacing w:val="-4"/>
        </w:rPr>
        <w:t>VBAT_RTC </w:t>
      </w:r>
      <w:r>
        <w:rPr>
          <w:spacing w:val="-3"/>
        </w:rPr>
        <w:t>when the battery is nearly </w:t>
      </w:r>
      <w:r>
        <w:rPr>
          <w:spacing w:val="-4"/>
        </w:rPr>
        <w:t>discharged, </w:t>
      </w:r>
      <w:r>
        <w:rPr>
          <w:spacing w:val="-3"/>
        </w:rPr>
        <w:t>the </w:t>
      </w:r>
      <w:r>
        <w:rPr>
          <w:spacing w:val="-4"/>
        </w:rPr>
        <w:t>temperature </w:t>
      </w:r>
      <w:r>
        <w:rPr>
          <w:spacing w:val="-5"/>
        </w:rPr>
        <w:t>measurement </w:t>
      </w:r>
      <w:r>
        <w:rPr/>
        <w:t>may not finish. In this case, firmware may complete the measurement by selecting V3P3D (</w:t>
      </w:r>
      <w:r>
        <w:rPr>
          <w:rFonts w:ascii="Times New Roman"/>
          <w:i/>
        </w:rPr>
        <w:t>TEMP_PWR </w:t>
      </w:r>
      <w:r>
        <w:rPr/>
        <w:t>= 1).</w:t>
      </w:r>
    </w:p>
    <w:p>
      <w:pPr>
        <w:pStyle w:val="BodyText"/>
      </w:pPr>
    </w:p>
    <w:p>
      <w:pPr>
        <w:pStyle w:val="Heading1"/>
        <w:ind w:left="60" w:right="204"/>
      </w:pPr>
      <w:bookmarkStart w:name="_bookmark110" w:id="225"/>
      <w:bookmarkEnd w:id="225"/>
      <w:r>
        <w:rPr>
          <w:b w:val="0"/>
        </w:rPr>
      </w:r>
      <w:r>
        <w:rPr/>
        <w:t>Table 45: I/O RAM Registers for Temperature and Battery Measurement</w:t>
      </w:r>
    </w:p>
    <w:p>
      <w:pPr>
        <w:pStyle w:val="BodyText"/>
        <w:spacing w:before="8"/>
        <w:rPr>
          <w:b/>
          <w:sz w:val="5"/>
        </w:rPr>
      </w:pPr>
    </w:p>
    <w:tbl>
      <w:tblPr>
        <w:tblW w:w="0" w:type="auto"/>
        <w:jc w:val="left"/>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4"/>
        <w:gridCol w:w="1048"/>
        <w:gridCol w:w="714"/>
        <w:gridCol w:w="515"/>
        <w:gridCol w:w="532"/>
        <w:gridCol w:w="76"/>
        <w:gridCol w:w="1262"/>
        <w:gridCol w:w="98"/>
        <w:gridCol w:w="2395"/>
        <w:gridCol w:w="1003"/>
        <w:gridCol w:w="77"/>
      </w:tblGrid>
      <w:tr>
        <w:trPr>
          <w:trHeight w:val="309" w:hRule="atLeast"/>
        </w:trPr>
        <w:tc>
          <w:tcPr>
            <w:tcW w:w="1634" w:type="dxa"/>
          </w:tcPr>
          <w:p>
            <w:pPr>
              <w:pStyle w:val="TableParagraph"/>
              <w:spacing w:before="36"/>
              <w:ind w:left="107"/>
              <w:rPr>
                <w:b/>
                <w:sz w:val="20"/>
              </w:rPr>
            </w:pPr>
            <w:r>
              <w:rPr>
                <w:b/>
                <w:sz w:val="20"/>
              </w:rPr>
              <w:t>Name</w:t>
            </w:r>
          </w:p>
        </w:tc>
        <w:tc>
          <w:tcPr>
            <w:tcW w:w="1048" w:type="dxa"/>
          </w:tcPr>
          <w:p>
            <w:pPr>
              <w:pStyle w:val="TableParagraph"/>
              <w:spacing w:before="36"/>
              <w:ind w:left="85" w:right="76"/>
              <w:jc w:val="center"/>
              <w:rPr>
                <w:b/>
                <w:sz w:val="20"/>
              </w:rPr>
            </w:pPr>
            <w:r>
              <w:rPr>
                <w:b/>
                <w:sz w:val="20"/>
              </w:rPr>
              <w:t>Location</w:t>
            </w:r>
          </w:p>
        </w:tc>
        <w:tc>
          <w:tcPr>
            <w:tcW w:w="714" w:type="dxa"/>
          </w:tcPr>
          <w:p>
            <w:pPr>
              <w:pStyle w:val="TableParagraph"/>
              <w:spacing w:before="36"/>
              <w:ind w:left="176" w:right="165"/>
              <w:jc w:val="center"/>
              <w:rPr>
                <w:b/>
                <w:sz w:val="20"/>
              </w:rPr>
            </w:pPr>
            <w:r>
              <w:rPr>
                <w:b/>
                <w:sz w:val="20"/>
              </w:rPr>
              <w:t>Rst</w:t>
            </w:r>
          </w:p>
        </w:tc>
        <w:tc>
          <w:tcPr>
            <w:tcW w:w="515" w:type="dxa"/>
          </w:tcPr>
          <w:p>
            <w:pPr>
              <w:pStyle w:val="TableParagraph"/>
              <w:spacing w:before="36"/>
              <w:ind w:left="90" w:right="74"/>
              <w:jc w:val="center"/>
              <w:rPr>
                <w:b/>
                <w:sz w:val="20"/>
              </w:rPr>
            </w:pPr>
            <w:r>
              <w:rPr>
                <w:b/>
                <w:sz w:val="20"/>
              </w:rPr>
              <w:t>Wk</w:t>
            </w:r>
          </w:p>
        </w:tc>
        <w:tc>
          <w:tcPr>
            <w:tcW w:w="532" w:type="dxa"/>
          </w:tcPr>
          <w:p>
            <w:pPr>
              <w:pStyle w:val="TableParagraph"/>
              <w:spacing w:before="36"/>
              <w:ind w:left="49" w:right="35"/>
              <w:jc w:val="center"/>
              <w:rPr>
                <w:b/>
                <w:sz w:val="20"/>
              </w:rPr>
            </w:pPr>
            <w:r>
              <w:rPr>
                <w:b/>
                <w:sz w:val="20"/>
              </w:rPr>
              <w:t>Dir</w:t>
            </w:r>
          </w:p>
        </w:tc>
        <w:tc>
          <w:tcPr>
            <w:tcW w:w="4911" w:type="dxa"/>
            <w:gridSpan w:val="6"/>
          </w:tcPr>
          <w:p>
            <w:pPr>
              <w:pStyle w:val="TableParagraph"/>
              <w:spacing w:before="36"/>
              <w:ind w:left="111"/>
              <w:rPr>
                <w:b/>
                <w:sz w:val="20"/>
              </w:rPr>
            </w:pPr>
            <w:r>
              <w:rPr>
                <w:b/>
                <w:sz w:val="20"/>
              </w:rPr>
              <w:t>Description</w:t>
            </w:r>
          </w:p>
        </w:tc>
      </w:tr>
      <w:tr>
        <w:trPr>
          <w:trHeight w:val="729" w:hRule="atLeast"/>
        </w:trPr>
        <w:tc>
          <w:tcPr>
            <w:tcW w:w="1634" w:type="dxa"/>
          </w:tcPr>
          <w:p>
            <w:pPr>
              <w:pStyle w:val="TableParagraph"/>
              <w:spacing w:before="1"/>
              <w:rPr>
                <w:b/>
                <w:sz w:val="21"/>
              </w:rPr>
            </w:pPr>
          </w:p>
          <w:p>
            <w:pPr>
              <w:pStyle w:val="TableParagraph"/>
              <w:ind w:left="71"/>
              <w:rPr>
                <w:rFonts w:ascii="Times New Roman"/>
                <w:i/>
                <w:sz w:val="20"/>
              </w:rPr>
            </w:pPr>
            <w:r>
              <w:rPr>
                <w:rFonts w:ascii="Times New Roman"/>
                <w:i/>
                <w:sz w:val="20"/>
              </w:rPr>
              <w:t>TBYTE_BUSY</w:t>
            </w:r>
          </w:p>
        </w:tc>
        <w:tc>
          <w:tcPr>
            <w:tcW w:w="1048" w:type="dxa"/>
          </w:tcPr>
          <w:p>
            <w:pPr>
              <w:pStyle w:val="TableParagraph"/>
              <w:spacing w:before="5"/>
              <w:rPr>
                <w:b/>
                <w:sz w:val="21"/>
              </w:rPr>
            </w:pPr>
          </w:p>
          <w:p>
            <w:pPr>
              <w:pStyle w:val="TableParagraph"/>
              <w:ind w:left="84" w:right="76"/>
              <w:jc w:val="center"/>
              <w:rPr>
                <w:sz w:val="20"/>
              </w:rPr>
            </w:pPr>
            <w:r>
              <w:rPr>
                <w:sz w:val="20"/>
              </w:rPr>
              <w:t>28A0[3]</w:t>
            </w:r>
          </w:p>
        </w:tc>
        <w:tc>
          <w:tcPr>
            <w:tcW w:w="714" w:type="dxa"/>
          </w:tcPr>
          <w:p>
            <w:pPr>
              <w:pStyle w:val="TableParagraph"/>
              <w:spacing w:before="5"/>
              <w:rPr>
                <w:b/>
                <w:sz w:val="21"/>
              </w:rPr>
            </w:pPr>
          </w:p>
          <w:p>
            <w:pPr>
              <w:pStyle w:val="TableParagraph"/>
              <w:ind w:left="13"/>
              <w:jc w:val="center"/>
              <w:rPr>
                <w:sz w:val="20"/>
              </w:rPr>
            </w:pPr>
            <w:r>
              <w:rPr>
                <w:w w:val="99"/>
                <w:sz w:val="20"/>
              </w:rPr>
              <w:t>0</w:t>
            </w:r>
          </w:p>
        </w:tc>
        <w:tc>
          <w:tcPr>
            <w:tcW w:w="515" w:type="dxa"/>
          </w:tcPr>
          <w:p>
            <w:pPr>
              <w:pStyle w:val="TableParagraph"/>
              <w:spacing w:before="5"/>
              <w:rPr>
                <w:b/>
                <w:sz w:val="21"/>
              </w:rPr>
            </w:pPr>
          </w:p>
          <w:p>
            <w:pPr>
              <w:pStyle w:val="TableParagraph"/>
              <w:ind w:left="13"/>
              <w:jc w:val="center"/>
              <w:rPr>
                <w:sz w:val="20"/>
              </w:rPr>
            </w:pPr>
            <w:r>
              <w:rPr>
                <w:w w:val="99"/>
                <w:sz w:val="20"/>
              </w:rPr>
              <w:t>0</w:t>
            </w:r>
          </w:p>
        </w:tc>
        <w:tc>
          <w:tcPr>
            <w:tcW w:w="532" w:type="dxa"/>
          </w:tcPr>
          <w:p>
            <w:pPr>
              <w:pStyle w:val="TableParagraph"/>
              <w:spacing w:before="5"/>
              <w:rPr>
                <w:b/>
                <w:sz w:val="21"/>
              </w:rPr>
            </w:pPr>
          </w:p>
          <w:p>
            <w:pPr>
              <w:pStyle w:val="TableParagraph"/>
              <w:ind w:left="17"/>
              <w:jc w:val="center"/>
              <w:rPr>
                <w:sz w:val="20"/>
              </w:rPr>
            </w:pPr>
            <w:r>
              <w:rPr>
                <w:w w:val="99"/>
                <w:sz w:val="20"/>
              </w:rPr>
              <w:t>R</w:t>
            </w:r>
          </w:p>
        </w:tc>
        <w:tc>
          <w:tcPr>
            <w:tcW w:w="4911" w:type="dxa"/>
            <w:gridSpan w:val="6"/>
          </w:tcPr>
          <w:p>
            <w:pPr>
              <w:pStyle w:val="TableParagraph"/>
              <w:spacing w:before="16"/>
              <w:ind w:left="75" w:right="57"/>
              <w:rPr>
                <w:sz w:val="20"/>
              </w:rPr>
            </w:pPr>
            <w:r>
              <w:rPr>
                <w:sz w:val="20"/>
              </w:rPr>
              <w:t>Indicates that hardware is still writing the 0x28A0 byte. Additional writes to this byte are locked out </w:t>
            </w:r>
            <w:r>
              <w:rPr>
                <w:spacing w:val="-3"/>
                <w:sz w:val="20"/>
              </w:rPr>
              <w:t>while </w:t>
            </w:r>
            <w:r>
              <w:rPr>
                <w:sz w:val="20"/>
              </w:rPr>
              <w:t>it is </w:t>
            </w:r>
            <w:r>
              <w:rPr>
                <w:spacing w:val="-3"/>
                <w:sz w:val="20"/>
              </w:rPr>
              <w:t>one. </w:t>
            </w:r>
            <w:r>
              <w:rPr>
                <w:sz w:val="20"/>
              </w:rPr>
              <w:t>Write </w:t>
            </w:r>
            <w:r>
              <w:rPr>
                <w:spacing w:val="-3"/>
                <w:sz w:val="20"/>
              </w:rPr>
              <w:t>duration could </w:t>
            </w:r>
            <w:r>
              <w:rPr>
                <w:sz w:val="20"/>
              </w:rPr>
              <w:t>be as </w:t>
            </w:r>
            <w:r>
              <w:rPr>
                <w:spacing w:val="-3"/>
                <w:sz w:val="20"/>
              </w:rPr>
              <w:t>long </w:t>
            </w:r>
            <w:r>
              <w:rPr>
                <w:sz w:val="20"/>
              </w:rPr>
              <w:t>as 6</w:t>
            </w:r>
            <w:r>
              <w:rPr>
                <w:spacing w:val="-38"/>
                <w:sz w:val="20"/>
              </w:rPr>
              <w:t> </w:t>
            </w:r>
            <w:r>
              <w:rPr>
                <w:sz w:val="20"/>
              </w:rPr>
              <w:t>ms.</w:t>
            </w:r>
          </w:p>
        </w:tc>
      </w:tr>
      <w:tr>
        <w:trPr>
          <w:trHeight w:val="770" w:hRule="atLeast"/>
        </w:trPr>
        <w:tc>
          <w:tcPr>
            <w:tcW w:w="1634" w:type="dxa"/>
            <w:vMerge w:val="restart"/>
          </w:tcPr>
          <w:p>
            <w:pPr>
              <w:pStyle w:val="TableParagraph"/>
              <w:rPr>
                <w:b/>
                <w:sz w:val="22"/>
              </w:rPr>
            </w:pPr>
          </w:p>
          <w:p>
            <w:pPr>
              <w:pStyle w:val="TableParagraph"/>
              <w:rPr>
                <w:b/>
                <w:sz w:val="22"/>
              </w:rPr>
            </w:pPr>
          </w:p>
          <w:p>
            <w:pPr>
              <w:pStyle w:val="TableParagraph"/>
              <w:rPr>
                <w:b/>
                <w:sz w:val="29"/>
              </w:rPr>
            </w:pPr>
          </w:p>
          <w:p>
            <w:pPr>
              <w:pStyle w:val="TableParagraph"/>
              <w:spacing w:before="1"/>
              <w:ind w:left="71"/>
              <w:rPr>
                <w:rFonts w:ascii="Times New Roman"/>
                <w:i/>
                <w:sz w:val="20"/>
              </w:rPr>
            </w:pPr>
            <w:r>
              <w:rPr>
                <w:rFonts w:ascii="Times New Roman"/>
                <w:i/>
                <w:sz w:val="20"/>
              </w:rPr>
              <w:t>TEMP_PER[2:0]</w:t>
            </w:r>
          </w:p>
        </w:tc>
        <w:tc>
          <w:tcPr>
            <w:tcW w:w="1048" w:type="dxa"/>
            <w:vMerge w:val="restart"/>
          </w:tcPr>
          <w:p>
            <w:pPr>
              <w:pStyle w:val="TableParagraph"/>
              <w:rPr>
                <w:b/>
                <w:sz w:val="22"/>
              </w:rPr>
            </w:pPr>
          </w:p>
          <w:p>
            <w:pPr>
              <w:pStyle w:val="TableParagraph"/>
              <w:rPr>
                <w:b/>
                <w:sz w:val="22"/>
              </w:rPr>
            </w:pPr>
          </w:p>
          <w:p>
            <w:pPr>
              <w:pStyle w:val="TableParagraph"/>
              <w:spacing w:before="4"/>
              <w:rPr>
                <w:b/>
                <w:sz w:val="29"/>
              </w:rPr>
            </w:pPr>
          </w:p>
          <w:p>
            <w:pPr>
              <w:pStyle w:val="TableParagraph"/>
              <w:ind w:left="96"/>
              <w:rPr>
                <w:sz w:val="20"/>
              </w:rPr>
            </w:pPr>
            <w:r>
              <w:rPr>
                <w:sz w:val="20"/>
              </w:rPr>
              <w:t>28A0[2:0]</w:t>
            </w:r>
          </w:p>
        </w:tc>
        <w:tc>
          <w:tcPr>
            <w:tcW w:w="714" w:type="dxa"/>
            <w:vMerge w:val="restart"/>
          </w:tcPr>
          <w:p>
            <w:pPr>
              <w:pStyle w:val="TableParagraph"/>
              <w:rPr>
                <w:b/>
                <w:sz w:val="22"/>
              </w:rPr>
            </w:pPr>
          </w:p>
          <w:p>
            <w:pPr>
              <w:pStyle w:val="TableParagraph"/>
              <w:rPr>
                <w:b/>
                <w:sz w:val="22"/>
              </w:rPr>
            </w:pPr>
          </w:p>
          <w:p>
            <w:pPr>
              <w:pStyle w:val="TableParagraph"/>
              <w:spacing w:before="4"/>
              <w:rPr>
                <w:b/>
                <w:sz w:val="29"/>
              </w:rPr>
            </w:pPr>
          </w:p>
          <w:p>
            <w:pPr>
              <w:pStyle w:val="TableParagraph"/>
              <w:ind w:left="13"/>
              <w:jc w:val="center"/>
              <w:rPr>
                <w:sz w:val="20"/>
              </w:rPr>
            </w:pPr>
            <w:r>
              <w:rPr>
                <w:w w:val="99"/>
                <w:sz w:val="20"/>
              </w:rPr>
              <w:t>0</w:t>
            </w:r>
          </w:p>
        </w:tc>
        <w:tc>
          <w:tcPr>
            <w:tcW w:w="515" w:type="dxa"/>
            <w:vMerge w:val="restart"/>
          </w:tcPr>
          <w:p>
            <w:pPr>
              <w:pStyle w:val="TableParagraph"/>
              <w:rPr>
                <w:b/>
                <w:sz w:val="22"/>
              </w:rPr>
            </w:pPr>
          </w:p>
          <w:p>
            <w:pPr>
              <w:pStyle w:val="TableParagraph"/>
              <w:rPr>
                <w:b/>
                <w:sz w:val="22"/>
              </w:rPr>
            </w:pPr>
          </w:p>
          <w:p>
            <w:pPr>
              <w:pStyle w:val="TableParagraph"/>
              <w:spacing w:before="4"/>
              <w:rPr>
                <w:b/>
                <w:sz w:val="29"/>
              </w:rPr>
            </w:pPr>
          </w:p>
          <w:p>
            <w:pPr>
              <w:pStyle w:val="TableParagraph"/>
              <w:ind w:left="13"/>
              <w:jc w:val="center"/>
              <w:rPr>
                <w:sz w:val="20"/>
              </w:rPr>
            </w:pPr>
            <w:r>
              <w:rPr>
                <w:w w:val="99"/>
                <w:sz w:val="20"/>
              </w:rPr>
              <w:t>–</w:t>
            </w:r>
          </w:p>
        </w:tc>
        <w:tc>
          <w:tcPr>
            <w:tcW w:w="532" w:type="dxa"/>
            <w:vMerge w:val="restart"/>
          </w:tcPr>
          <w:p>
            <w:pPr>
              <w:pStyle w:val="TableParagraph"/>
              <w:rPr>
                <w:b/>
                <w:sz w:val="22"/>
              </w:rPr>
            </w:pPr>
          </w:p>
          <w:p>
            <w:pPr>
              <w:pStyle w:val="TableParagraph"/>
              <w:rPr>
                <w:b/>
                <w:sz w:val="22"/>
              </w:rPr>
            </w:pPr>
          </w:p>
          <w:p>
            <w:pPr>
              <w:pStyle w:val="TableParagraph"/>
              <w:spacing w:before="4"/>
              <w:rPr>
                <w:b/>
                <w:sz w:val="29"/>
              </w:rPr>
            </w:pPr>
          </w:p>
          <w:p>
            <w:pPr>
              <w:pStyle w:val="TableParagraph"/>
              <w:ind w:left="75"/>
              <w:rPr>
                <w:sz w:val="20"/>
              </w:rPr>
            </w:pPr>
            <w:r>
              <w:rPr>
                <w:sz w:val="20"/>
              </w:rPr>
              <w:t>R/W</w:t>
            </w:r>
          </w:p>
        </w:tc>
        <w:tc>
          <w:tcPr>
            <w:tcW w:w="4911" w:type="dxa"/>
            <w:gridSpan w:val="6"/>
          </w:tcPr>
          <w:p>
            <w:pPr>
              <w:pStyle w:val="TableParagraph"/>
              <w:spacing w:before="18"/>
              <w:ind w:left="75" w:right="143"/>
              <w:rPr>
                <w:sz w:val="20"/>
              </w:rPr>
            </w:pPr>
            <w:r>
              <w:rPr>
                <w:spacing w:val="-3"/>
                <w:sz w:val="20"/>
              </w:rPr>
              <w:t>Sets </w:t>
            </w:r>
            <w:r>
              <w:rPr>
                <w:sz w:val="20"/>
              </w:rPr>
              <w:t>the </w:t>
            </w:r>
            <w:r>
              <w:rPr>
                <w:spacing w:val="-3"/>
                <w:sz w:val="20"/>
              </w:rPr>
              <w:t>period between temperature measurements. </w:t>
            </w:r>
            <w:r>
              <w:rPr>
                <w:sz w:val="20"/>
              </w:rPr>
              <w:t>Automatic measurements can be enabled in any mode (MSN, BRN, LCD, or SLP).</w:t>
            </w:r>
          </w:p>
        </w:tc>
      </w:tr>
      <w:tr>
        <w:trPr>
          <w:trHeight w:val="270" w:hRule="atLeast"/>
        </w:trPr>
        <w:tc>
          <w:tcPr>
            <w:tcW w:w="1634" w:type="dxa"/>
            <w:vMerge/>
            <w:tcBorders>
              <w:top w:val="nil"/>
            </w:tcBorders>
          </w:tcPr>
          <w:p>
            <w:pPr>
              <w:rPr>
                <w:sz w:val="2"/>
                <w:szCs w:val="2"/>
              </w:rPr>
            </w:pPr>
          </w:p>
        </w:tc>
        <w:tc>
          <w:tcPr>
            <w:tcW w:w="1048" w:type="dxa"/>
            <w:vMerge/>
            <w:tcBorders>
              <w:top w:val="nil"/>
            </w:tcBorders>
          </w:tcPr>
          <w:p>
            <w:pPr>
              <w:rPr>
                <w:sz w:val="2"/>
                <w:szCs w:val="2"/>
              </w:rPr>
            </w:pPr>
          </w:p>
        </w:tc>
        <w:tc>
          <w:tcPr>
            <w:tcW w:w="714" w:type="dxa"/>
            <w:vMerge/>
            <w:tcBorders>
              <w:top w:val="nil"/>
            </w:tcBorders>
          </w:tcPr>
          <w:p>
            <w:pPr>
              <w:rPr>
                <w:sz w:val="2"/>
                <w:szCs w:val="2"/>
              </w:rPr>
            </w:pPr>
          </w:p>
        </w:tc>
        <w:tc>
          <w:tcPr>
            <w:tcW w:w="515" w:type="dxa"/>
            <w:vMerge/>
            <w:tcBorders>
              <w:top w:val="nil"/>
            </w:tcBorders>
          </w:tcPr>
          <w:p>
            <w:pPr>
              <w:rPr>
                <w:sz w:val="2"/>
                <w:szCs w:val="2"/>
              </w:rPr>
            </w:pPr>
          </w:p>
        </w:tc>
        <w:tc>
          <w:tcPr>
            <w:tcW w:w="532" w:type="dxa"/>
            <w:vMerge/>
            <w:tcBorders>
              <w:top w:val="nil"/>
            </w:tcBorders>
          </w:tcPr>
          <w:p>
            <w:pPr>
              <w:rPr>
                <w:sz w:val="2"/>
                <w:szCs w:val="2"/>
              </w:rPr>
            </w:pPr>
          </w:p>
        </w:tc>
        <w:tc>
          <w:tcPr>
            <w:tcW w:w="76" w:type="dxa"/>
            <w:vMerge w:val="restart"/>
            <w:tcBorders>
              <w:top w:val="nil"/>
            </w:tcBorders>
          </w:tcPr>
          <w:p>
            <w:pPr>
              <w:pStyle w:val="TableParagraph"/>
              <w:rPr>
                <w:rFonts w:ascii="Times New Roman"/>
                <w:sz w:val="18"/>
              </w:rPr>
            </w:pPr>
          </w:p>
        </w:tc>
        <w:tc>
          <w:tcPr>
            <w:tcW w:w="1262" w:type="dxa"/>
          </w:tcPr>
          <w:p>
            <w:pPr>
              <w:pStyle w:val="TableParagraph"/>
              <w:spacing w:before="19"/>
              <w:ind w:left="91" w:right="75"/>
              <w:jc w:val="center"/>
              <w:rPr>
                <w:rFonts w:ascii="Times New Roman"/>
                <w:b/>
                <w:i/>
                <w:sz w:val="20"/>
              </w:rPr>
            </w:pPr>
            <w:r>
              <w:rPr>
                <w:rFonts w:ascii="Times New Roman"/>
                <w:b/>
                <w:i/>
                <w:sz w:val="20"/>
              </w:rPr>
              <w:t>TEMP_PER</w:t>
            </w:r>
          </w:p>
        </w:tc>
        <w:tc>
          <w:tcPr>
            <w:tcW w:w="3496" w:type="dxa"/>
            <w:gridSpan w:val="3"/>
          </w:tcPr>
          <w:p>
            <w:pPr>
              <w:pStyle w:val="TableParagraph"/>
              <w:spacing w:before="16"/>
              <w:ind w:left="113"/>
              <w:rPr>
                <w:b/>
                <w:sz w:val="20"/>
              </w:rPr>
            </w:pPr>
            <w:r>
              <w:rPr>
                <w:b/>
                <w:sz w:val="20"/>
              </w:rPr>
              <w:t>Time</w:t>
            </w:r>
          </w:p>
        </w:tc>
        <w:tc>
          <w:tcPr>
            <w:tcW w:w="77" w:type="dxa"/>
            <w:tcBorders>
              <w:top w:val="nil"/>
              <w:bottom w:val="nil"/>
            </w:tcBorders>
          </w:tcPr>
          <w:p>
            <w:pPr>
              <w:pStyle w:val="TableParagraph"/>
              <w:rPr>
                <w:rFonts w:ascii="Times New Roman"/>
                <w:sz w:val="18"/>
              </w:rPr>
            </w:pPr>
          </w:p>
        </w:tc>
      </w:tr>
      <w:tr>
        <w:trPr>
          <w:trHeight w:val="270" w:hRule="atLeast"/>
        </w:trPr>
        <w:tc>
          <w:tcPr>
            <w:tcW w:w="1634" w:type="dxa"/>
            <w:vMerge/>
            <w:tcBorders>
              <w:top w:val="nil"/>
            </w:tcBorders>
          </w:tcPr>
          <w:p>
            <w:pPr>
              <w:rPr>
                <w:sz w:val="2"/>
                <w:szCs w:val="2"/>
              </w:rPr>
            </w:pPr>
          </w:p>
        </w:tc>
        <w:tc>
          <w:tcPr>
            <w:tcW w:w="1048" w:type="dxa"/>
            <w:vMerge/>
            <w:tcBorders>
              <w:top w:val="nil"/>
            </w:tcBorders>
          </w:tcPr>
          <w:p>
            <w:pPr>
              <w:rPr>
                <w:sz w:val="2"/>
                <w:szCs w:val="2"/>
              </w:rPr>
            </w:pPr>
          </w:p>
        </w:tc>
        <w:tc>
          <w:tcPr>
            <w:tcW w:w="714" w:type="dxa"/>
            <w:vMerge/>
            <w:tcBorders>
              <w:top w:val="nil"/>
            </w:tcBorders>
          </w:tcPr>
          <w:p>
            <w:pPr>
              <w:rPr>
                <w:sz w:val="2"/>
                <w:szCs w:val="2"/>
              </w:rPr>
            </w:pPr>
          </w:p>
        </w:tc>
        <w:tc>
          <w:tcPr>
            <w:tcW w:w="515" w:type="dxa"/>
            <w:vMerge/>
            <w:tcBorders>
              <w:top w:val="nil"/>
            </w:tcBorders>
          </w:tcPr>
          <w:p>
            <w:pPr>
              <w:rPr>
                <w:sz w:val="2"/>
                <w:szCs w:val="2"/>
              </w:rPr>
            </w:pPr>
          </w:p>
        </w:tc>
        <w:tc>
          <w:tcPr>
            <w:tcW w:w="532" w:type="dxa"/>
            <w:vMerge/>
            <w:tcBorders>
              <w:top w:val="nil"/>
            </w:tcBorders>
          </w:tcPr>
          <w:p>
            <w:pPr>
              <w:rPr>
                <w:sz w:val="2"/>
                <w:szCs w:val="2"/>
              </w:rPr>
            </w:pPr>
          </w:p>
        </w:tc>
        <w:tc>
          <w:tcPr>
            <w:tcW w:w="76" w:type="dxa"/>
            <w:vMerge/>
            <w:tcBorders>
              <w:top w:val="nil"/>
            </w:tcBorders>
          </w:tcPr>
          <w:p>
            <w:pPr>
              <w:rPr>
                <w:sz w:val="2"/>
                <w:szCs w:val="2"/>
              </w:rPr>
            </w:pPr>
          </w:p>
        </w:tc>
        <w:tc>
          <w:tcPr>
            <w:tcW w:w="1262" w:type="dxa"/>
          </w:tcPr>
          <w:p>
            <w:pPr>
              <w:pStyle w:val="TableParagraph"/>
              <w:spacing w:before="18"/>
              <w:ind w:left="15"/>
              <w:jc w:val="center"/>
              <w:rPr>
                <w:sz w:val="20"/>
              </w:rPr>
            </w:pPr>
            <w:r>
              <w:rPr>
                <w:w w:val="99"/>
                <w:sz w:val="20"/>
              </w:rPr>
              <w:t>0</w:t>
            </w:r>
          </w:p>
        </w:tc>
        <w:tc>
          <w:tcPr>
            <w:tcW w:w="3496" w:type="dxa"/>
            <w:gridSpan w:val="3"/>
          </w:tcPr>
          <w:p>
            <w:pPr>
              <w:pStyle w:val="TableParagraph"/>
              <w:spacing w:before="14"/>
              <w:ind w:left="113"/>
              <w:rPr>
                <w:sz w:val="20"/>
              </w:rPr>
            </w:pPr>
            <w:r>
              <w:rPr>
                <w:sz w:val="20"/>
              </w:rPr>
              <w:t>Manual updates (see </w:t>
            </w:r>
            <w:r>
              <w:rPr>
                <w:rFonts w:ascii="Times New Roman"/>
                <w:i/>
                <w:sz w:val="20"/>
              </w:rPr>
              <w:t>TEMP_START</w:t>
            </w:r>
            <w:r>
              <w:rPr>
                <w:sz w:val="20"/>
              </w:rPr>
              <w:t>)</w:t>
            </w:r>
          </w:p>
        </w:tc>
        <w:tc>
          <w:tcPr>
            <w:tcW w:w="77" w:type="dxa"/>
            <w:tcBorders>
              <w:top w:val="nil"/>
              <w:bottom w:val="nil"/>
            </w:tcBorders>
          </w:tcPr>
          <w:p>
            <w:pPr>
              <w:pStyle w:val="TableParagraph"/>
              <w:rPr>
                <w:rFonts w:ascii="Times New Roman"/>
                <w:sz w:val="18"/>
              </w:rPr>
            </w:pPr>
          </w:p>
        </w:tc>
      </w:tr>
      <w:tr>
        <w:trPr>
          <w:trHeight w:val="270" w:hRule="atLeast"/>
        </w:trPr>
        <w:tc>
          <w:tcPr>
            <w:tcW w:w="1634" w:type="dxa"/>
            <w:vMerge/>
            <w:tcBorders>
              <w:top w:val="nil"/>
            </w:tcBorders>
          </w:tcPr>
          <w:p>
            <w:pPr>
              <w:rPr>
                <w:sz w:val="2"/>
                <w:szCs w:val="2"/>
              </w:rPr>
            </w:pPr>
          </w:p>
        </w:tc>
        <w:tc>
          <w:tcPr>
            <w:tcW w:w="1048" w:type="dxa"/>
            <w:vMerge/>
            <w:tcBorders>
              <w:top w:val="nil"/>
            </w:tcBorders>
          </w:tcPr>
          <w:p>
            <w:pPr>
              <w:rPr>
                <w:sz w:val="2"/>
                <w:szCs w:val="2"/>
              </w:rPr>
            </w:pPr>
          </w:p>
        </w:tc>
        <w:tc>
          <w:tcPr>
            <w:tcW w:w="714" w:type="dxa"/>
            <w:vMerge/>
            <w:tcBorders>
              <w:top w:val="nil"/>
            </w:tcBorders>
          </w:tcPr>
          <w:p>
            <w:pPr>
              <w:rPr>
                <w:sz w:val="2"/>
                <w:szCs w:val="2"/>
              </w:rPr>
            </w:pPr>
          </w:p>
        </w:tc>
        <w:tc>
          <w:tcPr>
            <w:tcW w:w="515" w:type="dxa"/>
            <w:vMerge/>
            <w:tcBorders>
              <w:top w:val="nil"/>
            </w:tcBorders>
          </w:tcPr>
          <w:p>
            <w:pPr>
              <w:rPr>
                <w:sz w:val="2"/>
                <w:szCs w:val="2"/>
              </w:rPr>
            </w:pPr>
          </w:p>
        </w:tc>
        <w:tc>
          <w:tcPr>
            <w:tcW w:w="532" w:type="dxa"/>
            <w:vMerge/>
            <w:tcBorders>
              <w:top w:val="nil"/>
            </w:tcBorders>
          </w:tcPr>
          <w:p>
            <w:pPr>
              <w:rPr>
                <w:sz w:val="2"/>
                <w:szCs w:val="2"/>
              </w:rPr>
            </w:pPr>
          </w:p>
        </w:tc>
        <w:tc>
          <w:tcPr>
            <w:tcW w:w="76" w:type="dxa"/>
            <w:vMerge/>
            <w:tcBorders>
              <w:top w:val="nil"/>
            </w:tcBorders>
          </w:tcPr>
          <w:p>
            <w:pPr>
              <w:rPr>
                <w:sz w:val="2"/>
                <w:szCs w:val="2"/>
              </w:rPr>
            </w:pPr>
          </w:p>
        </w:tc>
        <w:tc>
          <w:tcPr>
            <w:tcW w:w="1262" w:type="dxa"/>
          </w:tcPr>
          <w:p>
            <w:pPr>
              <w:pStyle w:val="TableParagraph"/>
              <w:spacing w:before="18"/>
              <w:ind w:left="90" w:right="75"/>
              <w:jc w:val="center"/>
              <w:rPr>
                <w:sz w:val="20"/>
              </w:rPr>
            </w:pPr>
            <w:r>
              <w:rPr>
                <w:sz w:val="20"/>
              </w:rPr>
              <w:t>1-6</w:t>
            </w:r>
          </w:p>
        </w:tc>
        <w:tc>
          <w:tcPr>
            <w:tcW w:w="3496" w:type="dxa"/>
            <w:gridSpan w:val="3"/>
          </w:tcPr>
          <w:p>
            <w:pPr>
              <w:pStyle w:val="TableParagraph"/>
              <w:spacing w:before="14"/>
              <w:ind w:left="113"/>
              <w:rPr>
                <w:sz w:val="20"/>
              </w:rPr>
            </w:pPr>
            <w:r>
              <w:rPr>
                <w:sz w:val="20"/>
              </w:rPr>
              <w:t>2 ^ (3+</w:t>
            </w:r>
            <w:r>
              <w:rPr>
                <w:rFonts w:ascii="Times New Roman"/>
                <w:i/>
                <w:sz w:val="20"/>
              </w:rPr>
              <w:t>TEMP_PER</w:t>
            </w:r>
            <w:r>
              <w:rPr>
                <w:sz w:val="20"/>
              </w:rPr>
              <w:t>) (seconds)</w:t>
            </w:r>
          </w:p>
        </w:tc>
        <w:tc>
          <w:tcPr>
            <w:tcW w:w="77" w:type="dxa"/>
            <w:tcBorders>
              <w:top w:val="nil"/>
              <w:bottom w:val="nil"/>
            </w:tcBorders>
          </w:tcPr>
          <w:p>
            <w:pPr>
              <w:pStyle w:val="TableParagraph"/>
              <w:rPr>
                <w:rFonts w:ascii="Times New Roman"/>
                <w:sz w:val="18"/>
              </w:rPr>
            </w:pPr>
          </w:p>
        </w:tc>
      </w:tr>
      <w:tr>
        <w:trPr>
          <w:trHeight w:val="289" w:hRule="atLeast"/>
        </w:trPr>
        <w:tc>
          <w:tcPr>
            <w:tcW w:w="1634" w:type="dxa"/>
            <w:vMerge/>
            <w:tcBorders>
              <w:top w:val="nil"/>
            </w:tcBorders>
          </w:tcPr>
          <w:p>
            <w:pPr>
              <w:rPr>
                <w:sz w:val="2"/>
                <w:szCs w:val="2"/>
              </w:rPr>
            </w:pPr>
          </w:p>
        </w:tc>
        <w:tc>
          <w:tcPr>
            <w:tcW w:w="1048" w:type="dxa"/>
            <w:vMerge/>
            <w:tcBorders>
              <w:top w:val="nil"/>
            </w:tcBorders>
          </w:tcPr>
          <w:p>
            <w:pPr>
              <w:rPr>
                <w:sz w:val="2"/>
                <w:szCs w:val="2"/>
              </w:rPr>
            </w:pPr>
          </w:p>
        </w:tc>
        <w:tc>
          <w:tcPr>
            <w:tcW w:w="714" w:type="dxa"/>
            <w:vMerge/>
            <w:tcBorders>
              <w:top w:val="nil"/>
            </w:tcBorders>
          </w:tcPr>
          <w:p>
            <w:pPr>
              <w:rPr>
                <w:sz w:val="2"/>
                <w:szCs w:val="2"/>
              </w:rPr>
            </w:pPr>
          </w:p>
        </w:tc>
        <w:tc>
          <w:tcPr>
            <w:tcW w:w="515" w:type="dxa"/>
            <w:vMerge/>
            <w:tcBorders>
              <w:top w:val="nil"/>
            </w:tcBorders>
          </w:tcPr>
          <w:p>
            <w:pPr>
              <w:rPr>
                <w:sz w:val="2"/>
                <w:szCs w:val="2"/>
              </w:rPr>
            </w:pPr>
          </w:p>
        </w:tc>
        <w:tc>
          <w:tcPr>
            <w:tcW w:w="532" w:type="dxa"/>
            <w:vMerge/>
            <w:tcBorders>
              <w:top w:val="nil"/>
            </w:tcBorders>
          </w:tcPr>
          <w:p>
            <w:pPr>
              <w:rPr>
                <w:sz w:val="2"/>
                <w:szCs w:val="2"/>
              </w:rPr>
            </w:pPr>
          </w:p>
        </w:tc>
        <w:tc>
          <w:tcPr>
            <w:tcW w:w="76" w:type="dxa"/>
            <w:vMerge/>
            <w:tcBorders>
              <w:top w:val="nil"/>
            </w:tcBorders>
          </w:tcPr>
          <w:p>
            <w:pPr>
              <w:rPr>
                <w:sz w:val="2"/>
                <w:szCs w:val="2"/>
              </w:rPr>
            </w:pPr>
          </w:p>
        </w:tc>
        <w:tc>
          <w:tcPr>
            <w:tcW w:w="1262" w:type="dxa"/>
            <w:tcBorders>
              <w:bottom w:val="double" w:sz="1" w:space="0" w:color="000000"/>
            </w:tcBorders>
          </w:tcPr>
          <w:p>
            <w:pPr>
              <w:pStyle w:val="TableParagraph"/>
              <w:spacing w:before="18"/>
              <w:ind w:left="15"/>
              <w:jc w:val="center"/>
              <w:rPr>
                <w:sz w:val="20"/>
              </w:rPr>
            </w:pPr>
            <w:r>
              <w:rPr>
                <w:w w:val="99"/>
                <w:sz w:val="20"/>
              </w:rPr>
              <w:t>7</w:t>
            </w:r>
          </w:p>
        </w:tc>
        <w:tc>
          <w:tcPr>
            <w:tcW w:w="3496" w:type="dxa"/>
            <w:gridSpan w:val="3"/>
            <w:tcBorders>
              <w:bottom w:val="double" w:sz="1" w:space="0" w:color="000000"/>
            </w:tcBorders>
          </w:tcPr>
          <w:p>
            <w:pPr>
              <w:pStyle w:val="TableParagraph"/>
              <w:spacing w:before="18"/>
              <w:ind w:left="113"/>
              <w:rPr>
                <w:sz w:val="20"/>
              </w:rPr>
            </w:pPr>
            <w:r>
              <w:rPr>
                <w:sz w:val="20"/>
              </w:rPr>
              <w:t>Continuous</w:t>
            </w:r>
          </w:p>
        </w:tc>
        <w:tc>
          <w:tcPr>
            <w:tcW w:w="77" w:type="dxa"/>
            <w:tcBorders>
              <w:top w:val="nil"/>
            </w:tcBorders>
          </w:tcPr>
          <w:p>
            <w:pPr>
              <w:pStyle w:val="TableParagraph"/>
              <w:rPr>
                <w:rFonts w:ascii="Times New Roman"/>
                <w:sz w:val="18"/>
              </w:rPr>
            </w:pPr>
          </w:p>
        </w:tc>
      </w:tr>
      <w:tr>
        <w:trPr>
          <w:trHeight w:val="491" w:hRule="atLeast"/>
        </w:trPr>
        <w:tc>
          <w:tcPr>
            <w:tcW w:w="1634" w:type="dxa"/>
          </w:tcPr>
          <w:p>
            <w:pPr>
              <w:pStyle w:val="TableParagraph"/>
              <w:spacing w:before="117"/>
              <w:ind w:left="71"/>
              <w:rPr>
                <w:rFonts w:ascii="Times New Roman"/>
                <w:i/>
                <w:sz w:val="20"/>
              </w:rPr>
            </w:pPr>
            <w:r>
              <w:rPr>
                <w:rFonts w:ascii="Times New Roman"/>
                <w:i/>
                <w:sz w:val="20"/>
              </w:rPr>
              <w:t>TEMP_BAT</w:t>
            </w:r>
          </w:p>
        </w:tc>
        <w:tc>
          <w:tcPr>
            <w:tcW w:w="1048" w:type="dxa"/>
          </w:tcPr>
          <w:p>
            <w:pPr>
              <w:pStyle w:val="TableParagraph"/>
              <w:spacing w:before="121"/>
              <w:ind w:left="84" w:right="76"/>
              <w:jc w:val="center"/>
              <w:rPr>
                <w:sz w:val="20"/>
              </w:rPr>
            </w:pPr>
            <w:r>
              <w:rPr>
                <w:sz w:val="20"/>
              </w:rPr>
              <w:t>28A0[4]</w:t>
            </w:r>
          </w:p>
        </w:tc>
        <w:tc>
          <w:tcPr>
            <w:tcW w:w="714" w:type="dxa"/>
          </w:tcPr>
          <w:p>
            <w:pPr>
              <w:pStyle w:val="TableParagraph"/>
              <w:spacing w:before="121"/>
              <w:ind w:left="13"/>
              <w:jc w:val="center"/>
              <w:rPr>
                <w:sz w:val="20"/>
              </w:rPr>
            </w:pPr>
            <w:r>
              <w:rPr>
                <w:w w:val="99"/>
                <w:sz w:val="20"/>
              </w:rPr>
              <w:t>0</w:t>
            </w:r>
          </w:p>
        </w:tc>
        <w:tc>
          <w:tcPr>
            <w:tcW w:w="515" w:type="dxa"/>
          </w:tcPr>
          <w:p>
            <w:pPr>
              <w:pStyle w:val="TableParagraph"/>
              <w:spacing w:before="121"/>
              <w:ind w:left="13"/>
              <w:jc w:val="center"/>
              <w:rPr>
                <w:sz w:val="20"/>
              </w:rPr>
            </w:pPr>
            <w:r>
              <w:rPr>
                <w:w w:val="99"/>
                <w:sz w:val="20"/>
              </w:rPr>
              <w:t>–</w:t>
            </w:r>
          </w:p>
        </w:tc>
        <w:tc>
          <w:tcPr>
            <w:tcW w:w="532" w:type="dxa"/>
          </w:tcPr>
          <w:p>
            <w:pPr>
              <w:pStyle w:val="TableParagraph"/>
              <w:spacing w:before="121"/>
              <w:ind w:left="49" w:right="43"/>
              <w:jc w:val="center"/>
              <w:rPr>
                <w:sz w:val="20"/>
              </w:rPr>
            </w:pPr>
            <w:r>
              <w:rPr>
                <w:sz w:val="20"/>
              </w:rPr>
              <w:t>R/W</w:t>
            </w:r>
          </w:p>
        </w:tc>
        <w:tc>
          <w:tcPr>
            <w:tcW w:w="4911" w:type="dxa"/>
            <w:gridSpan w:val="6"/>
            <w:tcBorders>
              <w:top w:val="double" w:sz="1" w:space="0" w:color="000000"/>
            </w:tcBorders>
          </w:tcPr>
          <w:p>
            <w:pPr>
              <w:pStyle w:val="TableParagraph"/>
              <w:spacing w:before="8"/>
              <w:ind w:left="75"/>
              <w:rPr>
                <w:sz w:val="20"/>
              </w:rPr>
            </w:pPr>
            <w:r>
              <w:rPr>
                <w:sz w:val="20"/>
              </w:rPr>
              <w:t>Causes VBAT to be measured whenever a temperature measurement is performed.</w:t>
            </w:r>
          </w:p>
        </w:tc>
      </w:tr>
      <w:tr>
        <w:trPr>
          <w:trHeight w:val="1422" w:hRule="atLeast"/>
        </w:trPr>
        <w:tc>
          <w:tcPr>
            <w:tcW w:w="1634" w:type="dxa"/>
          </w:tcPr>
          <w:p>
            <w:pPr>
              <w:pStyle w:val="TableParagraph"/>
              <w:rPr>
                <w:b/>
                <w:sz w:val="22"/>
              </w:rPr>
            </w:pPr>
          </w:p>
          <w:p>
            <w:pPr>
              <w:pStyle w:val="TableParagraph"/>
              <w:spacing w:before="1"/>
              <w:rPr>
                <w:b/>
                <w:sz w:val="29"/>
              </w:rPr>
            </w:pPr>
          </w:p>
          <w:p>
            <w:pPr>
              <w:pStyle w:val="TableParagraph"/>
              <w:spacing w:before="1"/>
              <w:ind w:left="71"/>
              <w:rPr>
                <w:rFonts w:ascii="Times New Roman"/>
                <w:i/>
                <w:sz w:val="20"/>
              </w:rPr>
            </w:pPr>
            <w:r>
              <w:rPr>
                <w:rFonts w:ascii="Times New Roman"/>
                <w:i/>
                <w:sz w:val="20"/>
              </w:rPr>
              <w:t>TEMP_START</w:t>
            </w:r>
          </w:p>
        </w:tc>
        <w:tc>
          <w:tcPr>
            <w:tcW w:w="1048" w:type="dxa"/>
          </w:tcPr>
          <w:p>
            <w:pPr>
              <w:pStyle w:val="TableParagraph"/>
              <w:rPr>
                <w:b/>
                <w:sz w:val="22"/>
              </w:rPr>
            </w:pPr>
          </w:p>
          <w:p>
            <w:pPr>
              <w:pStyle w:val="TableParagraph"/>
              <w:spacing w:before="5"/>
              <w:rPr>
                <w:b/>
                <w:sz w:val="29"/>
              </w:rPr>
            </w:pPr>
          </w:p>
          <w:p>
            <w:pPr>
              <w:pStyle w:val="TableParagraph"/>
              <w:ind w:left="84" w:right="76"/>
              <w:jc w:val="center"/>
              <w:rPr>
                <w:sz w:val="20"/>
              </w:rPr>
            </w:pPr>
            <w:r>
              <w:rPr>
                <w:sz w:val="20"/>
              </w:rPr>
              <w:t>28B4[6]</w:t>
            </w:r>
          </w:p>
        </w:tc>
        <w:tc>
          <w:tcPr>
            <w:tcW w:w="714" w:type="dxa"/>
          </w:tcPr>
          <w:p>
            <w:pPr>
              <w:pStyle w:val="TableParagraph"/>
              <w:rPr>
                <w:b/>
                <w:sz w:val="22"/>
              </w:rPr>
            </w:pPr>
          </w:p>
          <w:p>
            <w:pPr>
              <w:pStyle w:val="TableParagraph"/>
              <w:spacing w:before="5"/>
              <w:rPr>
                <w:b/>
                <w:sz w:val="29"/>
              </w:rPr>
            </w:pPr>
          </w:p>
          <w:p>
            <w:pPr>
              <w:pStyle w:val="TableParagraph"/>
              <w:ind w:left="13"/>
              <w:jc w:val="center"/>
              <w:rPr>
                <w:sz w:val="20"/>
              </w:rPr>
            </w:pPr>
            <w:r>
              <w:rPr>
                <w:w w:val="99"/>
                <w:sz w:val="20"/>
              </w:rPr>
              <w:t>0</w:t>
            </w:r>
          </w:p>
        </w:tc>
        <w:tc>
          <w:tcPr>
            <w:tcW w:w="515" w:type="dxa"/>
          </w:tcPr>
          <w:p>
            <w:pPr>
              <w:pStyle w:val="TableParagraph"/>
              <w:rPr>
                <w:b/>
                <w:sz w:val="22"/>
              </w:rPr>
            </w:pPr>
          </w:p>
          <w:p>
            <w:pPr>
              <w:pStyle w:val="TableParagraph"/>
              <w:spacing w:before="5"/>
              <w:rPr>
                <w:b/>
                <w:sz w:val="29"/>
              </w:rPr>
            </w:pPr>
          </w:p>
          <w:p>
            <w:pPr>
              <w:pStyle w:val="TableParagraph"/>
              <w:ind w:left="13"/>
              <w:jc w:val="center"/>
              <w:rPr>
                <w:sz w:val="20"/>
              </w:rPr>
            </w:pPr>
            <w:r>
              <w:rPr>
                <w:w w:val="99"/>
                <w:sz w:val="20"/>
              </w:rPr>
              <w:t>–</w:t>
            </w:r>
          </w:p>
        </w:tc>
        <w:tc>
          <w:tcPr>
            <w:tcW w:w="532" w:type="dxa"/>
          </w:tcPr>
          <w:p>
            <w:pPr>
              <w:pStyle w:val="TableParagraph"/>
              <w:rPr>
                <w:b/>
                <w:sz w:val="22"/>
              </w:rPr>
            </w:pPr>
          </w:p>
          <w:p>
            <w:pPr>
              <w:pStyle w:val="TableParagraph"/>
              <w:spacing w:before="5"/>
              <w:rPr>
                <w:b/>
                <w:sz w:val="29"/>
              </w:rPr>
            </w:pPr>
          </w:p>
          <w:p>
            <w:pPr>
              <w:pStyle w:val="TableParagraph"/>
              <w:ind w:left="49" w:right="43"/>
              <w:jc w:val="center"/>
              <w:rPr>
                <w:sz w:val="20"/>
              </w:rPr>
            </w:pPr>
            <w:r>
              <w:rPr>
                <w:sz w:val="20"/>
              </w:rPr>
              <w:t>R/W</w:t>
            </w:r>
          </w:p>
        </w:tc>
        <w:tc>
          <w:tcPr>
            <w:tcW w:w="4911" w:type="dxa"/>
            <w:gridSpan w:val="6"/>
          </w:tcPr>
          <w:p>
            <w:pPr>
              <w:pStyle w:val="TableParagraph"/>
              <w:spacing w:before="14"/>
              <w:ind w:left="75"/>
              <w:rPr>
                <w:sz w:val="20"/>
              </w:rPr>
            </w:pPr>
            <w:r>
              <w:rPr>
                <w:rFonts w:ascii="Times New Roman"/>
                <w:i/>
                <w:spacing w:val="-3"/>
                <w:sz w:val="20"/>
              </w:rPr>
              <w:t>TEMP_PER[2:0] </w:t>
            </w:r>
            <w:r>
              <w:rPr>
                <w:spacing w:val="-3"/>
                <w:sz w:val="20"/>
              </w:rPr>
              <w:t>must </w:t>
            </w:r>
            <w:r>
              <w:rPr>
                <w:sz w:val="20"/>
              </w:rPr>
              <w:t>be </w:t>
            </w:r>
            <w:r>
              <w:rPr>
                <w:spacing w:val="-3"/>
                <w:sz w:val="20"/>
              </w:rPr>
              <w:t>zero </w:t>
            </w:r>
            <w:r>
              <w:rPr>
                <w:sz w:val="20"/>
              </w:rPr>
              <w:t>in </w:t>
            </w:r>
            <w:r>
              <w:rPr>
                <w:spacing w:val="-3"/>
                <w:sz w:val="20"/>
              </w:rPr>
              <w:t>order </w:t>
            </w:r>
            <w:r>
              <w:rPr>
                <w:sz w:val="20"/>
              </w:rPr>
              <w:t>for </w:t>
            </w:r>
            <w:r>
              <w:rPr>
                <w:rFonts w:ascii="Times New Roman"/>
                <w:i/>
                <w:spacing w:val="-3"/>
                <w:sz w:val="20"/>
              </w:rPr>
              <w:t>TEMP_START </w:t>
            </w:r>
            <w:r>
              <w:rPr>
                <w:sz w:val="20"/>
              </w:rPr>
              <w:t>to </w:t>
            </w:r>
            <w:r>
              <w:rPr>
                <w:spacing w:val="2"/>
                <w:sz w:val="20"/>
              </w:rPr>
              <w:t>function. </w:t>
            </w:r>
            <w:r>
              <w:rPr>
                <w:sz w:val="20"/>
              </w:rPr>
              <w:t>If </w:t>
            </w:r>
            <w:r>
              <w:rPr>
                <w:rFonts w:ascii="Times New Roman"/>
                <w:i/>
                <w:spacing w:val="2"/>
                <w:sz w:val="20"/>
              </w:rPr>
              <w:t>TEMP_PER[2:0] </w:t>
            </w:r>
            <w:r>
              <w:rPr>
                <w:sz w:val="20"/>
              </w:rPr>
              <w:t>= 0, </w:t>
            </w:r>
            <w:r>
              <w:rPr>
                <w:spacing w:val="2"/>
                <w:sz w:val="20"/>
              </w:rPr>
              <w:t>then setting </w:t>
            </w:r>
            <w:r>
              <w:rPr>
                <w:rFonts w:ascii="Times New Roman"/>
                <w:i/>
                <w:spacing w:val="2"/>
                <w:sz w:val="20"/>
              </w:rPr>
              <w:t>TEMP_START </w:t>
            </w:r>
            <w:r>
              <w:rPr>
                <w:sz w:val="20"/>
              </w:rPr>
              <w:t>starts a temperature measurement.</w:t>
            </w:r>
          </w:p>
          <w:p>
            <w:pPr>
              <w:pStyle w:val="TableParagraph"/>
              <w:spacing w:before="3"/>
              <w:ind w:left="75" w:right="143"/>
              <w:rPr>
                <w:sz w:val="20"/>
              </w:rPr>
            </w:pPr>
            <w:r>
              <w:rPr>
                <w:sz w:val="20"/>
              </w:rPr>
              <w:t>Ignored in SLP and LCD modes. Hardware clears </w:t>
            </w:r>
            <w:r>
              <w:rPr>
                <w:rFonts w:ascii="Times New Roman"/>
                <w:i/>
                <w:sz w:val="20"/>
              </w:rPr>
              <w:t>TEMP_START </w:t>
            </w:r>
            <w:r>
              <w:rPr>
                <w:sz w:val="20"/>
              </w:rPr>
              <w:t>when the temperature measurement is complete.</w:t>
            </w:r>
          </w:p>
        </w:tc>
      </w:tr>
      <w:tr>
        <w:trPr>
          <w:trHeight w:val="959" w:hRule="atLeast"/>
        </w:trPr>
        <w:tc>
          <w:tcPr>
            <w:tcW w:w="1634" w:type="dxa"/>
          </w:tcPr>
          <w:p>
            <w:pPr>
              <w:pStyle w:val="TableParagraph"/>
              <w:spacing w:before="1"/>
              <w:rPr>
                <w:b/>
                <w:sz w:val="31"/>
              </w:rPr>
            </w:pPr>
          </w:p>
          <w:p>
            <w:pPr>
              <w:pStyle w:val="TableParagraph"/>
              <w:ind w:left="71"/>
              <w:rPr>
                <w:rFonts w:ascii="Times New Roman"/>
                <w:i/>
                <w:sz w:val="20"/>
              </w:rPr>
            </w:pPr>
            <w:r>
              <w:rPr>
                <w:rFonts w:ascii="Times New Roman"/>
                <w:i/>
                <w:sz w:val="20"/>
              </w:rPr>
              <w:t>TEMP_PWR</w:t>
            </w:r>
          </w:p>
        </w:tc>
        <w:tc>
          <w:tcPr>
            <w:tcW w:w="1048" w:type="dxa"/>
          </w:tcPr>
          <w:p>
            <w:pPr>
              <w:pStyle w:val="TableParagraph"/>
              <w:spacing w:before="5"/>
              <w:rPr>
                <w:b/>
                <w:sz w:val="31"/>
              </w:rPr>
            </w:pPr>
          </w:p>
          <w:p>
            <w:pPr>
              <w:pStyle w:val="TableParagraph"/>
              <w:ind w:left="84" w:right="76"/>
              <w:jc w:val="center"/>
              <w:rPr>
                <w:sz w:val="20"/>
              </w:rPr>
            </w:pPr>
            <w:r>
              <w:rPr>
                <w:sz w:val="20"/>
              </w:rPr>
              <w:t>28A0[6]</w:t>
            </w:r>
          </w:p>
        </w:tc>
        <w:tc>
          <w:tcPr>
            <w:tcW w:w="714" w:type="dxa"/>
          </w:tcPr>
          <w:p>
            <w:pPr>
              <w:pStyle w:val="TableParagraph"/>
              <w:spacing w:before="5"/>
              <w:rPr>
                <w:b/>
                <w:sz w:val="31"/>
              </w:rPr>
            </w:pPr>
          </w:p>
          <w:p>
            <w:pPr>
              <w:pStyle w:val="TableParagraph"/>
              <w:ind w:left="13"/>
              <w:jc w:val="center"/>
              <w:rPr>
                <w:sz w:val="20"/>
              </w:rPr>
            </w:pPr>
            <w:r>
              <w:rPr>
                <w:w w:val="99"/>
                <w:sz w:val="20"/>
              </w:rPr>
              <w:t>0</w:t>
            </w:r>
          </w:p>
        </w:tc>
        <w:tc>
          <w:tcPr>
            <w:tcW w:w="515" w:type="dxa"/>
          </w:tcPr>
          <w:p>
            <w:pPr>
              <w:pStyle w:val="TableParagraph"/>
              <w:spacing w:before="5"/>
              <w:rPr>
                <w:b/>
                <w:sz w:val="31"/>
              </w:rPr>
            </w:pPr>
          </w:p>
          <w:p>
            <w:pPr>
              <w:pStyle w:val="TableParagraph"/>
              <w:ind w:left="13"/>
              <w:jc w:val="center"/>
              <w:rPr>
                <w:sz w:val="20"/>
              </w:rPr>
            </w:pPr>
            <w:r>
              <w:rPr>
                <w:w w:val="99"/>
                <w:sz w:val="20"/>
              </w:rPr>
              <w:t>–</w:t>
            </w:r>
          </w:p>
        </w:tc>
        <w:tc>
          <w:tcPr>
            <w:tcW w:w="532" w:type="dxa"/>
          </w:tcPr>
          <w:p>
            <w:pPr>
              <w:pStyle w:val="TableParagraph"/>
              <w:spacing w:before="5"/>
              <w:rPr>
                <w:b/>
                <w:sz w:val="31"/>
              </w:rPr>
            </w:pPr>
          </w:p>
          <w:p>
            <w:pPr>
              <w:pStyle w:val="TableParagraph"/>
              <w:ind w:left="48" w:right="43"/>
              <w:jc w:val="center"/>
              <w:rPr>
                <w:sz w:val="20"/>
              </w:rPr>
            </w:pPr>
            <w:r>
              <w:rPr>
                <w:sz w:val="20"/>
              </w:rPr>
              <w:t>R/W</w:t>
            </w:r>
          </w:p>
        </w:tc>
        <w:tc>
          <w:tcPr>
            <w:tcW w:w="4911" w:type="dxa"/>
            <w:gridSpan w:val="6"/>
          </w:tcPr>
          <w:p>
            <w:pPr>
              <w:pStyle w:val="TableParagraph"/>
              <w:spacing w:before="16"/>
              <w:ind w:left="75" w:right="92"/>
              <w:rPr>
                <w:sz w:val="20"/>
              </w:rPr>
            </w:pPr>
            <w:r>
              <w:rPr>
                <w:sz w:val="20"/>
              </w:rPr>
              <w:t>Selects the power source for the temperature sensor: 1 = V3P3D, 0 = VBAT_RTC. This bit is ignored in SLP and </w:t>
            </w:r>
            <w:r>
              <w:rPr>
                <w:spacing w:val="-3"/>
                <w:sz w:val="20"/>
              </w:rPr>
              <w:t>LCD modes, </w:t>
            </w:r>
            <w:r>
              <w:rPr>
                <w:spacing w:val="-4"/>
                <w:sz w:val="20"/>
              </w:rPr>
              <w:t>where </w:t>
            </w:r>
            <w:r>
              <w:rPr>
                <w:spacing w:val="-3"/>
                <w:sz w:val="20"/>
              </w:rPr>
              <w:t>the </w:t>
            </w:r>
            <w:r>
              <w:rPr>
                <w:spacing w:val="-4"/>
                <w:sz w:val="20"/>
              </w:rPr>
              <w:t>temperature sensor </w:t>
            </w:r>
            <w:r>
              <w:rPr>
                <w:spacing w:val="-3"/>
                <w:sz w:val="20"/>
              </w:rPr>
              <w:t>is </w:t>
            </w:r>
            <w:r>
              <w:rPr>
                <w:spacing w:val="-4"/>
                <w:sz w:val="20"/>
              </w:rPr>
              <w:t>always </w:t>
            </w:r>
            <w:r>
              <w:rPr>
                <w:sz w:val="20"/>
              </w:rPr>
              <w:t>powered by VBAT_RTC.</w:t>
            </w:r>
          </w:p>
        </w:tc>
      </w:tr>
      <w:tr>
        <w:trPr>
          <w:trHeight w:val="498" w:hRule="atLeast"/>
        </w:trPr>
        <w:tc>
          <w:tcPr>
            <w:tcW w:w="1634" w:type="dxa"/>
          </w:tcPr>
          <w:p>
            <w:pPr>
              <w:pStyle w:val="TableParagraph"/>
              <w:spacing w:before="127"/>
              <w:ind w:left="71"/>
              <w:rPr>
                <w:rFonts w:ascii="Times New Roman"/>
                <w:i/>
                <w:sz w:val="20"/>
              </w:rPr>
            </w:pPr>
            <w:r>
              <w:rPr>
                <w:rFonts w:ascii="Times New Roman"/>
                <w:i/>
                <w:sz w:val="20"/>
              </w:rPr>
              <w:t>TEMP_BSEL</w:t>
            </w:r>
          </w:p>
        </w:tc>
        <w:tc>
          <w:tcPr>
            <w:tcW w:w="1048" w:type="dxa"/>
          </w:tcPr>
          <w:p>
            <w:pPr>
              <w:pStyle w:val="TableParagraph"/>
              <w:spacing w:before="131"/>
              <w:ind w:left="84" w:right="76"/>
              <w:jc w:val="center"/>
              <w:rPr>
                <w:sz w:val="20"/>
              </w:rPr>
            </w:pPr>
            <w:r>
              <w:rPr>
                <w:sz w:val="20"/>
              </w:rPr>
              <w:t>28A0[7]</w:t>
            </w:r>
          </w:p>
        </w:tc>
        <w:tc>
          <w:tcPr>
            <w:tcW w:w="714" w:type="dxa"/>
          </w:tcPr>
          <w:p>
            <w:pPr>
              <w:pStyle w:val="TableParagraph"/>
              <w:spacing w:before="131"/>
              <w:ind w:left="13"/>
              <w:jc w:val="center"/>
              <w:rPr>
                <w:sz w:val="20"/>
              </w:rPr>
            </w:pPr>
            <w:r>
              <w:rPr>
                <w:w w:val="99"/>
                <w:sz w:val="20"/>
              </w:rPr>
              <w:t>0</w:t>
            </w:r>
          </w:p>
        </w:tc>
        <w:tc>
          <w:tcPr>
            <w:tcW w:w="515" w:type="dxa"/>
          </w:tcPr>
          <w:p>
            <w:pPr>
              <w:pStyle w:val="TableParagraph"/>
              <w:spacing w:before="131"/>
              <w:ind w:left="13"/>
              <w:jc w:val="center"/>
              <w:rPr>
                <w:sz w:val="20"/>
              </w:rPr>
            </w:pPr>
            <w:r>
              <w:rPr>
                <w:w w:val="99"/>
                <w:sz w:val="20"/>
              </w:rPr>
              <w:t>–</w:t>
            </w:r>
          </w:p>
        </w:tc>
        <w:tc>
          <w:tcPr>
            <w:tcW w:w="532" w:type="dxa"/>
          </w:tcPr>
          <w:p>
            <w:pPr>
              <w:pStyle w:val="TableParagraph"/>
              <w:spacing w:before="131"/>
              <w:ind w:left="49" w:right="43"/>
              <w:jc w:val="center"/>
              <w:rPr>
                <w:sz w:val="20"/>
              </w:rPr>
            </w:pPr>
            <w:r>
              <w:rPr>
                <w:sz w:val="20"/>
              </w:rPr>
              <w:t>R/W</w:t>
            </w:r>
          </w:p>
        </w:tc>
        <w:tc>
          <w:tcPr>
            <w:tcW w:w="4911" w:type="dxa"/>
            <w:gridSpan w:val="6"/>
          </w:tcPr>
          <w:p>
            <w:pPr>
              <w:pStyle w:val="TableParagraph"/>
              <w:spacing w:before="16"/>
              <w:ind w:left="75" w:right="143"/>
              <w:rPr>
                <w:sz w:val="20"/>
              </w:rPr>
            </w:pPr>
            <w:r>
              <w:rPr>
                <w:sz w:val="20"/>
              </w:rPr>
              <w:t>Selects which battery is monitored by the temperature sensor: 1 = VBAT, 0 = VBAT_RTC</w:t>
            </w:r>
          </w:p>
        </w:tc>
      </w:tr>
      <w:tr>
        <w:trPr>
          <w:trHeight w:val="1002" w:hRule="atLeast"/>
        </w:trPr>
        <w:tc>
          <w:tcPr>
            <w:tcW w:w="1634"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196"/>
              <w:ind w:left="71"/>
              <w:rPr>
                <w:rFonts w:ascii="Times New Roman"/>
                <w:i/>
                <w:sz w:val="20"/>
              </w:rPr>
            </w:pPr>
            <w:r>
              <w:rPr>
                <w:rFonts w:ascii="Times New Roman"/>
                <w:i/>
                <w:sz w:val="20"/>
              </w:rPr>
              <w:t>TEMP_TEST[1:0]</w:t>
            </w:r>
          </w:p>
        </w:tc>
        <w:tc>
          <w:tcPr>
            <w:tcW w:w="1048"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4"/>
              <w:rPr>
                <w:b/>
                <w:sz w:val="17"/>
              </w:rPr>
            </w:pPr>
          </w:p>
          <w:p>
            <w:pPr>
              <w:pStyle w:val="TableParagraph"/>
              <w:spacing w:before="1"/>
              <w:ind w:left="108"/>
              <w:rPr>
                <w:sz w:val="20"/>
              </w:rPr>
            </w:pPr>
            <w:r>
              <w:rPr>
                <w:sz w:val="20"/>
              </w:rPr>
              <w:t>2500[1:0]</w:t>
            </w:r>
          </w:p>
        </w:tc>
        <w:tc>
          <w:tcPr>
            <w:tcW w:w="714"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4"/>
              <w:rPr>
                <w:b/>
                <w:sz w:val="17"/>
              </w:rPr>
            </w:pPr>
          </w:p>
          <w:p>
            <w:pPr>
              <w:pStyle w:val="TableParagraph"/>
              <w:spacing w:before="1"/>
              <w:ind w:left="13"/>
              <w:jc w:val="center"/>
              <w:rPr>
                <w:sz w:val="20"/>
              </w:rPr>
            </w:pPr>
            <w:r>
              <w:rPr>
                <w:w w:val="99"/>
                <w:sz w:val="20"/>
              </w:rPr>
              <w:t>0</w:t>
            </w:r>
          </w:p>
        </w:tc>
        <w:tc>
          <w:tcPr>
            <w:tcW w:w="515"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4"/>
              <w:rPr>
                <w:b/>
                <w:sz w:val="17"/>
              </w:rPr>
            </w:pPr>
          </w:p>
          <w:p>
            <w:pPr>
              <w:pStyle w:val="TableParagraph"/>
              <w:spacing w:before="1"/>
              <w:ind w:left="13"/>
              <w:jc w:val="center"/>
              <w:rPr>
                <w:sz w:val="20"/>
              </w:rPr>
            </w:pPr>
            <w:r>
              <w:rPr>
                <w:w w:val="99"/>
                <w:sz w:val="20"/>
              </w:rPr>
              <w:t>–</w:t>
            </w:r>
          </w:p>
        </w:tc>
        <w:tc>
          <w:tcPr>
            <w:tcW w:w="532"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4"/>
              <w:rPr>
                <w:b/>
                <w:sz w:val="17"/>
              </w:rPr>
            </w:pPr>
          </w:p>
          <w:p>
            <w:pPr>
              <w:pStyle w:val="TableParagraph"/>
              <w:spacing w:before="1"/>
              <w:ind w:left="75"/>
              <w:rPr>
                <w:sz w:val="20"/>
              </w:rPr>
            </w:pPr>
            <w:r>
              <w:rPr>
                <w:sz w:val="20"/>
              </w:rPr>
              <w:t>R/W</w:t>
            </w:r>
          </w:p>
        </w:tc>
        <w:tc>
          <w:tcPr>
            <w:tcW w:w="4911" w:type="dxa"/>
            <w:gridSpan w:val="6"/>
            <w:tcBorders>
              <w:bottom w:val="nil"/>
            </w:tcBorders>
          </w:tcPr>
          <w:p>
            <w:pPr>
              <w:pStyle w:val="TableParagraph"/>
              <w:spacing w:before="18"/>
              <w:ind w:left="75" w:right="159"/>
              <w:rPr>
                <w:sz w:val="20"/>
              </w:rPr>
            </w:pPr>
            <w:r>
              <w:rPr>
                <w:sz w:val="20"/>
              </w:rPr>
              <w:t>Test bits for the temperature monitor VCO. </w:t>
            </w:r>
            <w:r>
              <w:rPr>
                <w:rFonts w:ascii="Times New Roman"/>
                <w:i/>
                <w:sz w:val="20"/>
              </w:rPr>
              <w:t>TEMP_TEST </w:t>
            </w:r>
            <w:r>
              <w:rPr>
                <w:sz w:val="20"/>
              </w:rPr>
              <w:t>must be 00 in regular operation. Any other value causes the VCO to run continuously with the control voltage described below.</w:t>
            </w:r>
          </w:p>
        </w:tc>
      </w:tr>
      <w:tr>
        <w:trPr>
          <w:trHeight w:val="268" w:hRule="atLeast"/>
        </w:trPr>
        <w:tc>
          <w:tcPr>
            <w:tcW w:w="1634" w:type="dxa"/>
            <w:vMerge/>
            <w:tcBorders>
              <w:top w:val="nil"/>
            </w:tcBorders>
          </w:tcPr>
          <w:p>
            <w:pPr>
              <w:rPr>
                <w:sz w:val="2"/>
                <w:szCs w:val="2"/>
              </w:rPr>
            </w:pPr>
          </w:p>
        </w:tc>
        <w:tc>
          <w:tcPr>
            <w:tcW w:w="1048" w:type="dxa"/>
            <w:vMerge/>
            <w:tcBorders>
              <w:top w:val="nil"/>
            </w:tcBorders>
          </w:tcPr>
          <w:p>
            <w:pPr>
              <w:rPr>
                <w:sz w:val="2"/>
                <w:szCs w:val="2"/>
              </w:rPr>
            </w:pPr>
          </w:p>
        </w:tc>
        <w:tc>
          <w:tcPr>
            <w:tcW w:w="714" w:type="dxa"/>
            <w:vMerge/>
            <w:tcBorders>
              <w:top w:val="nil"/>
            </w:tcBorders>
          </w:tcPr>
          <w:p>
            <w:pPr>
              <w:rPr>
                <w:sz w:val="2"/>
                <w:szCs w:val="2"/>
              </w:rPr>
            </w:pPr>
          </w:p>
        </w:tc>
        <w:tc>
          <w:tcPr>
            <w:tcW w:w="515" w:type="dxa"/>
            <w:vMerge/>
            <w:tcBorders>
              <w:top w:val="nil"/>
            </w:tcBorders>
          </w:tcPr>
          <w:p>
            <w:pPr>
              <w:rPr>
                <w:sz w:val="2"/>
                <w:szCs w:val="2"/>
              </w:rPr>
            </w:pPr>
          </w:p>
        </w:tc>
        <w:tc>
          <w:tcPr>
            <w:tcW w:w="532" w:type="dxa"/>
            <w:vMerge/>
            <w:tcBorders>
              <w:top w:val="nil"/>
            </w:tcBorders>
          </w:tcPr>
          <w:p>
            <w:pPr>
              <w:rPr>
                <w:sz w:val="2"/>
                <w:szCs w:val="2"/>
              </w:rPr>
            </w:pPr>
          </w:p>
        </w:tc>
        <w:tc>
          <w:tcPr>
            <w:tcW w:w="76" w:type="dxa"/>
            <w:vMerge w:val="restart"/>
            <w:tcBorders>
              <w:top w:val="nil"/>
            </w:tcBorders>
          </w:tcPr>
          <w:p>
            <w:pPr>
              <w:pStyle w:val="TableParagraph"/>
              <w:rPr>
                <w:rFonts w:ascii="Times New Roman"/>
                <w:sz w:val="18"/>
              </w:rPr>
            </w:pPr>
          </w:p>
        </w:tc>
        <w:tc>
          <w:tcPr>
            <w:tcW w:w="1360" w:type="dxa"/>
            <w:gridSpan w:val="2"/>
          </w:tcPr>
          <w:p>
            <w:pPr>
              <w:pStyle w:val="TableParagraph"/>
              <w:spacing w:line="229" w:lineRule="exact" w:before="19"/>
              <w:ind w:left="112"/>
              <w:rPr>
                <w:rFonts w:ascii="Times New Roman"/>
                <w:b/>
                <w:i/>
                <w:sz w:val="20"/>
              </w:rPr>
            </w:pPr>
            <w:r>
              <w:rPr>
                <w:rFonts w:ascii="Times New Roman"/>
                <w:b/>
                <w:i/>
                <w:sz w:val="20"/>
              </w:rPr>
              <w:t>TEMP_TEST</w:t>
            </w:r>
          </w:p>
        </w:tc>
        <w:tc>
          <w:tcPr>
            <w:tcW w:w="2395" w:type="dxa"/>
          </w:tcPr>
          <w:p>
            <w:pPr>
              <w:pStyle w:val="TableParagraph"/>
              <w:spacing w:before="16"/>
              <w:ind w:left="113"/>
              <w:rPr>
                <w:b/>
                <w:sz w:val="20"/>
              </w:rPr>
            </w:pPr>
            <w:r>
              <w:rPr>
                <w:b/>
                <w:sz w:val="20"/>
              </w:rPr>
              <w:t>Function</w:t>
            </w:r>
          </w:p>
        </w:tc>
        <w:tc>
          <w:tcPr>
            <w:tcW w:w="1080" w:type="dxa"/>
            <w:gridSpan w:val="2"/>
            <w:vMerge w:val="restart"/>
            <w:tcBorders>
              <w:top w:val="nil"/>
            </w:tcBorders>
          </w:tcPr>
          <w:p>
            <w:pPr>
              <w:pStyle w:val="TableParagraph"/>
              <w:rPr>
                <w:rFonts w:ascii="Times New Roman"/>
                <w:sz w:val="18"/>
              </w:rPr>
            </w:pPr>
          </w:p>
        </w:tc>
      </w:tr>
      <w:tr>
        <w:trPr>
          <w:trHeight w:val="270" w:hRule="atLeast"/>
        </w:trPr>
        <w:tc>
          <w:tcPr>
            <w:tcW w:w="1634" w:type="dxa"/>
            <w:vMerge/>
            <w:tcBorders>
              <w:top w:val="nil"/>
            </w:tcBorders>
          </w:tcPr>
          <w:p>
            <w:pPr>
              <w:rPr>
                <w:sz w:val="2"/>
                <w:szCs w:val="2"/>
              </w:rPr>
            </w:pPr>
          </w:p>
        </w:tc>
        <w:tc>
          <w:tcPr>
            <w:tcW w:w="1048" w:type="dxa"/>
            <w:vMerge/>
            <w:tcBorders>
              <w:top w:val="nil"/>
            </w:tcBorders>
          </w:tcPr>
          <w:p>
            <w:pPr>
              <w:rPr>
                <w:sz w:val="2"/>
                <w:szCs w:val="2"/>
              </w:rPr>
            </w:pPr>
          </w:p>
        </w:tc>
        <w:tc>
          <w:tcPr>
            <w:tcW w:w="714" w:type="dxa"/>
            <w:vMerge/>
            <w:tcBorders>
              <w:top w:val="nil"/>
            </w:tcBorders>
          </w:tcPr>
          <w:p>
            <w:pPr>
              <w:rPr>
                <w:sz w:val="2"/>
                <w:szCs w:val="2"/>
              </w:rPr>
            </w:pPr>
          </w:p>
        </w:tc>
        <w:tc>
          <w:tcPr>
            <w:tcW w:w="515" w:type="dxa"/>
            <w:vMerge/>
            <w:tcBorders>
              <w:top w:val="nil"/>
            </w:tcBorders>
          </w:tcPr>
          <w:p>
            <w:pPr>
              <w:rPr>
                <w:sz w:val="2"/>
                <w:szCs w:val="2"/>
              </w:rPr>
            </w:pPr>
          </w:p>
        </w:tc>
        <w:tc>
          <w:tcPr>
            <w:tcW w:w="532" w:type="dxa"/>
            <w:vMerge/>
            <w:tcBorders>
              <w:top w:val="nil"/>
            </w:tcBorders>
          </w:tcPr>
          <w:p>
            <w:pPr>
              <w:rPr>
                <w:sz w:val="2"/>
                <w:szCs w:val="2"/>
              </w:rPr>
            </w:pPr>
          </w:p>
        </w:tc>
        <w:tc>
          <w:tcPr>
            <w:tcW w:w="76" w:type="dxa"/>
            <w:vMerge/>
            <w:tcBorders>
              <w:top w:val="nil"/>
            </w:tcBorders>
          </w:tcPr>
          <w:p>
            <w:pPr>
              <w:rPr>
                <w:sz w:val="2"/>
                <w:szCs w:val="2"/>
              </w:rPr>
            </w:pPr>
          </w:p>
        </w:tc>
        <w:tc>
          <w:tcPr>
            <w:tcW w:w="1360" w:type="dxa"/>
            <w:gridSpan w:val="2"/>
          </w:tcPr>
          <w:p>
            <w:pPr>
              <w:pStyle w:val="TableParagraph"/>
              <w:spacing w:before="18"/>
              <w:ind w:left="540" w:right="523"/>
              <w:jc w:val="center"/>
              <w:rPr>
                <w:sz w:val="20"/>
              </w:rPr>
            </w:pPr>
            <w:r>
              <w:rPr>
                <w:sz w:val="20"/>
              </w:rPr>
              <w:t>00</w:t>
            </w:r>
          </w:p>
        </w:tc>
        <w:tc>
          <w:tcPr>
            <w:tcW w:w="2395" w:type="dxa"/>
          </w:tcPr>
          <w:p>
            <w:pPr>
              <w:pStyle w:val="TableParagraph"/>
              <w:spacing w:before="18"/>
              <w:ind w:left="113"/>
              <w:rPr>
                <w:sz w:val="20"/>
              </w:rPr>
            </w:pPr>
            <w:r>
              <w:rPr>
                <w:sz w:val="20"/>
              </w:rPr>
              <w:t>Normal operation</w:t>
            </w:r>
          </w:p>
        </w:tc>
        <w:tc>
          <w:tcPr>
            <w:tcW w:w="1080" w:type="dxa"/>
            <w:gridSpan w:val="2"/>
            <w:vMerge/>
            <w:tcBorders>
              <w:top w:val="nil"/>
            </w:tcBorders>
          </w:tcPr>
          <w:p>
            <w:pPr>
              <w:rPr>
                <w:sz w:val="2"/>
                <w:szCs w:val="2"/>
              </w:rPr>
            </w:pPr>
          </w:p>
        </w:tc>
      </w:tr>
      <w:tr>
        <w:trPr>
          <w:trHeight w:val="270" w:hRule="atLeast"/>
        </w:trPr>
        <w:tc>
          <w:tcPr>
            <w:tcW w:w="1634" w:type="dxa"/>
            <w:vMerge/>
            <w:tcBorders>
              <w:top w:val="nil"/>
            </w:tcBorders>
          </w:tcPr>
          <w:p>
            <w:pPr>
              <w:rPr>
                <w:sz w:val="2"/>
                <w:szCs w:val="2"/>
              </w:rPr>
            </w:pPr>
          </w:p>
        </w:tc>
        <w:tc>
          <w:tcPr>
            <w:tcW w:w="1048" w:type="dxa"/>
            <w:vMerge/>
            <w:tcBorders>
              <w:top w:val="nil"/>
            </w:tcBorders>
          </w:tcPr>
          <w:p>
            <w:pPr>
              <w:rPr>
                <w:sz w:val="2"/>
                <w:szCs w:val="2"/>
              </w:rPr>
            </w:pPr>
          </w:p>
        </w:tc>
        <w:tc>
          <w:tcPr>
            <w:tcW w:w="714" w:type="dxa"/>
            <w:vMerge/>
            <w:tcBorders>
              <w:top w:val="nil"/>
            </w:tcBorders>
          </w:tcPr>
          <w:p>
            <w:pPr>
              <w:rPr>
                <w:sz w:val="2"/>
                <w:szCs w:val="2"/>
              </w:rPr>
            </w:pPr>
          </w:p>
        </w:tc>
        <w:tc>
          <w:tcPr>
            <w:tcW w:w="515" w:type="dxa"/>
            <w:vMerge/>
            <w:tcBorders>
              <w:top w:val="nil"/>
            </w:tcBorders>
          </w:tcPr>
          <w:p>
            <w:pPr>
              <w:rPr>
                <w:sz w:val="2"/>
                <w:szCs w:val="2"/>
              </w:rPr>
            </w:pPr>
          </w:p>
        </w:tc>
        <w:tc>
          <w:tcPr>
            <w:tcW w:w="532" w:type="dxa"/>
            <w:vMerge/>
            <w:tcBorders>
              <w:top w:val="nil"/>
            </w:tcBorders>
          </w:tcPr>
          <w:p>
            <w:pPr>
              <w:rPr>
                <w:sz w:val="2"/>
                <w:szCs w:val="2"/>
              </w:rPr>
            </w:pPr>
          </w:p>
        </w:tc>
        <w:tc>
          <w:tcPr>
            <w:tcW w:w="76" w:type="dxa"/>
            <w:vMerge/>
            <w:tcBorders>
              <w:top w:val="nil"/>
            </w:tcBorders>
          </w:tcPr>
          <w:p>
            <w:pPr>
              <w:rPr>
                <w:sz w:val="2"/>
                <w:szCs w:val="2"/>
              </w:rPr>
            </w:pPr>
          </w:p>
        </w:tc>
        <w:tc>
          <w:tcPr>
            <w:tcW w:w="1360" w:type="dxa"/>
            <w:gridSpan w:val="2"/>
          </w:tcPr>
          <w:p>
            <w:pPr>
              <w:pStyle w:val="TableParagraph"/>
              <w:spacing w:before="18"/>
              <w:ind w:left="540" w:right="523"/>
              <w:jc w:val="center"/>
              <w:rPr>
                <w:sz w:val="20"/>
              </w:rPr>
            </w:pPr>
            <w:r>
              <w:rPr>
                <w:sz w:val="20"/>
              </w:rPr>
              <w:t>01</w:t>
            </w:r>
          </w:p>
        </w:tc>
        <w:tc>
          <w:tcPr>
            <w:tcW w:w="2395" w:type="dxa"/>
          </w:tcPr>
          <w:p>
            <w:pPr>
              <w:pStyle w:val="TableParagraph"/>
              <w:spacing w:before="18"/>
              <w:ind w:left="113"/>
              <w:rPr>
                <w:sz w:val="20"/>
              </w:rPr>
            </w:pPr>
            <w:r>
              <w:rPr>
                <w:sz w:val="20"/>
              </w:rPr>
              <w:t>Reserved for factory test</w:t>
            </w:r>
          </w:p>
        </w:tc>
        <w:tc>
          <w:tcPr>
            <w:tcW w:w="1080" w:type="dxa"/>
            <w:gridSpan w:val="2"/>
            <w:vMerge/>
            <w:tcBorders>
              <w:top w:val="nil"/>
            </w:tcBorders>
          </w:tcPr>
          <w:p>
            <w:pPr>
              <w:rPr>
                <w:sz w:val="2"/>
                <w:szCs w:val="2"/>
              </w:rPr>
            </w:pPr>
          </w:p>
        </w:tc>
      </w:tr>
      <w:tr>
        <w:trPr>
          <w:trHeight w:val="289" w:hRule="atLeast"/>
        </w:trPr>
        <w:tc>
          <w:tcPr>
            <w:tcW w:w="1634" w:type="dxa"/>
            <w:vMerge/>
            <w:tcBorders>
              <w:top w:val="nil"/>
            </w:tcBorders>
          </w:tcPr>
          <w:p>
            <w:pPr>
              <w:rPr>
                <w:sz w:val="2"/>
                <w:szCs w:val="2"/>
              </w:rPr>
            </w:pPr>
          </w:p>
        </w:tc>
        <w:tc>
          <w:tcPr>
            <w:tcW w:w="1048" w:type="dxa"/>
            <w:vMerge/>
            <w:tcBorders>
              <w:top w:val="nil"/>
            </w:tcBorders>
          </w:tcPr>
          <w:p>
            <w:pPr>
              <w:rPr>
                <w:sz w:val="2"/>
                <w:szCs w:val="2"/>
              </w:rPr>
            </w:pPr>
          </w:p>
        </w:tc>
        <w:tc>
          <w:tcPr>
            <w:tcW w:w="714" w:type="dxa"/>
            <w:vMerge/>
            <w:tcBorders>
              <w:top w:val="nil"/>
            </w:tcBorders>
          </w:tcPr>
          <w:p>
            <w:pPr>
              <w:rPr>
                <w:sz w:val="2"/>
                <w:szCs w:val="2"/>
              </w:rPr>
            </w:pPr>
          </w:p>
        </w:tc>
        <w:tc>
          <w:tcPr>
            <w:tcW w:w="515" w:type="dxa"/>
            <w:vMerge/>
            <w:tcBorders>
              <w:top w:val="nil"/>
            </w:tcBorders>
          </w:tcPr>
          <w:p>
            <w:pPr>
              <w:rPr>
                <w:sz w:val="2"/>
                <w:szCs w:val="2"/>
              </w:rPr>
            </w:pPr>
          </w:p>
        </w:tc>
        <w:tc>
          <w:tcPr>
            <w:tcW w:w="532" w:type="dxa"/>
            <w:vMerge/>
            <w:tcBorders>
              <w:top w:val="nil"/>
            </w:tcBorders>
          </w:tcPr>
          <w:p>
            <w:pPr>
              <w:rPr>
                <w:sz w:val="2"/>
                <w:szCs w:val="2"/>
              </w:rPr>
            </w:pPr>
          </w:p>
        </w:tc>
        <w:tc>
          <w:tcPr>
            <w:tcW w:w="76" w:type="dxa"/>
            <w:vMerge/>
            <w:tcBorders>
              <w:top w:val="nil"/>
            </w:tcBorders>
          </w:tcPr>
          <w:p>
            <w:pPr>
              <w:rPr>
                <w:sz w:val="2"/>
                <w:szCs w:val="2"/>
              </w:rPr>
            </w:pPr>
          </w:p>
        </w:tc>
        <w:tc>
          <w:tcPr>
            <w:tcW w:w="1360" w:type="dxa"/>
            <w:gridSpan w:val="2"/>
            <w:tcBorders>
              <w:bottom w:val="double" w:sz="1" w:space="0" w:color="000000"/>
            </w:tcBorders>
          </w:tcPr>
          <w:p>
            <w:pPr>
              <w:pStyle w:val="TableParagraph"/>
              <w:spacing w:before="18"/>
              <w:ind w:left="540" w:right="524"/>
              <w:jc w:val="center"/>
              <w:rPr>
                <w:sz w:val="20"/>
              </w:rPr>
            </w:pPr>
            <w:r>
              <w:rPr>
                <w:sz w:val="20"/>
              </w:rPr>
              <w:t>1X</w:t>
            </w:r>
          </w:p>
        </w:tc>
        <w:tc>
          <w:tcPr>
            <w:tcW w:w="2395" w:type="dxa"/>
            <w:tcBorders>
              <w:bottom w:val="double" w:sz="1" w:space="0" w:color="000000"/>
            </w:tcBorders>
          </w:tcPr>
          <w:p>
            <w:pPr>
              <w:pStyle w:val="TableParagraph"/>
              <w:spacing w:before="18"/>
              <w:ind w:left="113"/>
              <w:rPr>
                <w:sz w:val="20"/>
              </w:rPr>
            </w:pPr>
            <w:r>
              <w:rPr>
                <w:sz w:val="20"/>
              </w:rPr>
              <w:t>Reserved for factory test</w:t>
            </w:r>
          </w:p>
        </w:tc>
        <w:tc>
          <w:tcPr>
            <w:tcW w:w="1080" w:type="dxa"/>
            <w:gridSpan w:val="2"/>
            <w:vMerge/>
            <w:tcBorders>
              <w:top w:val="nil"/>
            </w:tcBorders>
          </w:tcPr>
          <w:p>
            <w:pPr>
              <w:rPr>
                <w:sz w:val="2"/>
                <w:szCs w:val="2"/>
              </w:rPr>
            </w:pPr>
          </w:p>
        </w:tc>
      </w:tr>
      <w:tr>
        <w:trPr>
          <w:trHeight w:val="1410" w:hRule="atLeast"/>
        </w:trPr>
        <w:tc>
          <w:tcPr>
            <w:tcW w:w="1634" w:type="dxa"/>
          </w:tcPr>
          <w:p>
            <w:pPr>
              <w:pStyle w:val="TableParagraph"/>
              <w:spacing w:before="2"/>
              <w:ind w:left="71"/>
              <w:rPr>
                <w:rFonts w:ascii="Times New Roman"/>
                <w:i/>
                <w:sz w:val="20"/>
              </w:rPr>
            </w:pPr>
            <w:r>
              <w:rPr>
                <w:rFonts w:ascii="Times New Roman"/>
                <w:i/>
                <w:w w:val="95"/>
                <w:sz w:val="20"/>
              </w:rPr>
              <w:t>STEMP[10:3] </w:t>
            </w:r>
            <w:r>
              <w:rPr>
                <w:rFonts w:ascii="Times New Roman"/>
                <w:i/>
                <w:sz w:val="20"/>
              </w:rPr>
              <w:t>STEMP[2:0]</w:t>
            </w:r>
          </w:p>
        </w:tc>
        <w:tc>
          <w:tcPr>
            <w:tcW w:w="1048" w:type="dxa"/>
          </w:tcPr>
          <w:p>
            <w:pPr>
              <w:pStyle w:val="TableParagraph"/>
              <w:spacing w:before="6"/>
              <w:ind w:left="108"/>
              <w:rPr>
                <w:sz w:val="20"/>
              </w:rPr>
            </w:pPr>
            <w:r>
              <w:rPr>
                <w:sz w:val="20"/>
              </w:rPr>
              <w:t>2881[7:0]</w:t>
            </w:r>
          </w:p>
          <w:p>
            <w:pPr>
              <w:pStyle w:val="TableParagraph"/>
              <w:ind w:left="108"/>
              <w:rPr>
                <w:sz w:val="20"/>
              </w:rPr>
            </w:pPr>
            <w:r>
              <w:rPr>
                <w:sz w:val="20"/>
              </w:rPr>
              <w:t>2882[7:5]</w:t>
            </w:r>
          </w:p>
        </w:tc>
        <w:tc>
          <w:tcPr>
            <w:tcW w:w="714" w:type="dxa"/>
          </w:tcPr>
          <w:p>
            <w:pPr>
              <w:pStyle w:val="TableParagraph"/>
              <w:rPr>
                <w:rFonts w:ascii="Times New Roman"/>
                <w:sz w:val="18"/>
              </w:rPr>
            </w:pPr>
          </w:p>
        </w:tc>
        <w:tc>
          <w:tcPr>
            <w:tcW w:w="515" w:type="dxa"/>
          </w:tcPr>
          <w:p>
            <w:pPr>
              <w:pStyle w:val="TableParagraph"/>
              <w:rPr>
                <w:rFonts w:ascii="Times New Roman"/>
                <w:sz w:val="18"/>
              </w:rPr>
            </w:pPr>
          </w:p>
        </w:tc>
        <w:tc>
          <w:tcPr>
            <w:tcW w:w="532" w:type="dxa"/>
          </w:tcPr>
          <w:p>
            <w:pPr>
              <w:pStyle w:val="TableParagraph"/>
              <w:spacing w:before="6"/>
              <w:ind w:left="197" w:right="178"/>
              <w:jc w:val="center"/>
              <w:rPr>
                <w:sz w:val="20"/>
              </w:rPr>
            </w:pPr>
            <w:r>
              <w:rPr>
                <w:sz w:val="20"/>
              </w:rPr>
              <w:t>R</w:t>
            </w:r>
            <w:r>
              <w:rPr>
                <w:w w:val="99"/>
                <w:sz w:val="20"/>
              </w:rPr>
              <w:t> </w:t>
            </w:r>
            <w:r>
              <w:rPr>
                <w:sz w:val="20"/>
              </w:rPr>
              <w:t>R</w:t>
            </w:r>
          </w:p>
        </w:tc>
        <w:tc>
          <w:tcPr>
            <w:tcW w:w="4911" w:type="dxa"/>
            <w:gridSpan w:val="6"/>
            <w:tcBorders>
              <w:top w:val="nil"/>
            </w:tcBorders>
          </w:tcPr>
          <w:p>
            <w:pPr>
              <w:pStyle w:val="TableParagraph"/>
              <w:spacing w:before="6"/>
              <w:ind w:left="75"/>
              <w:rPr>
                <w:sz w:val="20"/>
              </w:rPr>
            </w:pPr>
            <w:r>
              <w:rPr>
                <w:sz w:val="20"/>
              </w:rPr>
              <w:t>The result of the temperature measurement.</w:t>
            </w:r>
          </w:p>
          <w:p>
            <w:pPr>
              <w:pStyle w:val="TableParagraph"/>
              <w:ind w:left="76"/>
              <w:rPr>
                <w:sz w:val="20"/>
              </w:rPr>
            </w:pPr>
            <w:r>
              <w:rPr>
                <w:sz w:val="20"/>
              </w:rPr>
              <w:t>The STEMP[10:0] value may be obtained in C with a single 16-bit read and divide by 32 operation as follows:</w:t>
            </w:r>
          </w:p>
          <w:p>
            <w:pPr>
              <w:pStyle w:val="TableParagraph"/>
              <w:spacing w:line="237" w:lineRule="auto" w:before="4"/>
              <w:ind w:left="75" w:right="1081"/>
              <w:rPr>
                <w:sz w:val="20"/>
              </w:rPr>
            </w:pPr>
            <w:r>
              <w:rPr>
                <w:sz w:val="20"/>
              </w:rPr>
              <w:t>volatile int16_t xdata STEMP _at_0x2881; fa = (float)(STEMP/32);</w:t>
            </w:r>
          </w:p>
        </w:tc>
      </w:tr>
      <w:tr>
        <w:trPr>
          <w:trHeight w:val="268" w:hRule="atLeast"/>
        </w:trPr>
        <w:tc>
          <w:tcPr>
            <w:tcW w:w="1634" w:type="dxa"/>
          </w:tcPr>
          <w:p>
            <w:pPr>
              <w:pStyle w:val="TableParagraph"/>
              <w:spacing w:before="12"/>
              <w:ind w:left="71"/>
              <w:rPr>
                <w:rFonts w:ascii="Times New Roman"/>
                <w:i/>
                <w:sz w:val="20"/>
              </w:rPr>
            </w:pPr>
            <w:r>
              <w:rPr>
                <w:rFonts w:ascii="Times New Roman"/>
                <w:i/>
                <w:sz w:val="20"/>
              </w:rPr>
              <w:t>BSENSE[7:0]</w:t>
            </w:r>
          </w:p>
        </w:tc>
        <w:tc>
          <w:tcPr>
            <w:tcW w:w="1048" w:type="dxa"/>
          </w:tcPr>
          <w:p>
            <w:pPr>
              <w:pStyle w:val="TableParagraph"/>
              <w:spacing w:before="16"/>
              <w:ind w:left="86" w:right="76"/>
              <w:jc w:val="center"/>
              <w:rPr>
                <w:sz w:val="20"/>
              </w:rPr>
            </w:pPr>
            <w:r>
              <w:rPr>
                <w:sz w:val="20"/>
              </w:rPr>
              <w:t>2885[7:0]</w:t>
            </w:r>
          </w:p>
        </w:tc>
        <w:tc>
          <w:tcPr>
            <w:tcW w:w="714" w:type="dxa"/>
          </w:tcPr>
          <w:p>
            <w:pPr>
              <w:pStyle w:val="TableParagraph"/>
              <w:spacing w:before="16"/>
              <w:ind w:left="13"/>
              <w:jc w:val="center"/>
              <w:rPr>
                <w:sz w:val="20"/>
              </w:rPr>
            </w:pPr>
            <w:r>
              <w:rPr>
                <w:w w:val="99"/>
                <w:sz w:val="20"/>
              </w:rPr>
              <w:t>–</w:t>
            </w:r>
          </w:p>
        </w:tc>
        <w:tc>
          <w:tcPr>
            <w:tcW w:w="515" w:type="dxa"/>
          </w:tcPr>
          <w:p>
            <w:pPr>
              <w:pStyle w:val="TableParagraph"/>
              <w:spacing w:before="16"/>
              <w:ind w:left="13"/>
              <w:jc w:val="center"/>
              <w:rPr>
                <w:sz w:val="20"/>
              </w:rPr>
            </w:pPr>
            <w:r>
              <w:rPr>
                <w:w w:val="99"/>
                <w:sz w:val="20"/>
              </w:rPr>
              <w:t>–</w:t>
            </w:r>
          </w:p>
        </w:tc>
        <w:tc>
          <w:tcPr>
            <w:tcW w:w="532" w:type="dxa"/>
          </w:tcPr>
          <w:p>
            <w:pPr>
              <w:pStyle w:val="TableParagraph"/>
              <w:spacing w:before="16"/>
              <w:ind w:left="17"/>
              <w:jc w:val="center"/>
              <w:rPr>
                <w:sz w:val="20"/>
              </w:rPr>
            </w:pPr>
            <w:r>
              <w:rPr>
                <w:w w:val="99"/>
                <w:sz w:val="20"/>
              </w:rPr>
              <w:t>R</w:t>
            </w:r>
          </w:p>
        </w:tc>
        <w:tc>
          <w:tcPr>
            <w:tcW w:w="4911" w:type="dxa"/>
            <w:gridSpan w:val="6"/>
          </w:tcPr>
          <w:p>
            <w:pPr>
              <w:pStyle w:val="TableParagraph"/>
              <w:spacing w:before="16"/>
              <w:ind w:left="75"/>
              <w:rPr>
                <w:sz w:val="20"/>
              </w:rPr>
            </w:pPr>
            <w:r>
              <w:rPr>
                <w:sz w:val="20"/>
              </w:rPr>
              <w:t>The result of the battery measurement.</w:t>
            </w:r>
          </w:p>
        </w:tc>
      </w:tr>
      <w:tr>
        <w:trPr>
          <w:trHeight w:val="501" w:hRule="atLeast"/>
        </w:trPr>
        <w:tc>
          <w:tcPr>
            <w:tcW w:w="1634" w:type="dxa"/>
          </w:tcPr>
          <w:p>
            <w:pPr>
              <w:pStyle w:val="TableParagraph"/>
              <w:spacing w:before="130"/>
              <w:ind w:left="71"/>
              <w:rPr>
                <w:rFonts w:ascii="Times New Roman"/>
                <w:i/>
                <w:sz w:val="20"/>
              </w:rPr>
            </w:pPr>
            <w:r>
              <w:rPr>
                <w:rFonts w:ascii="Times New Roman"/>
                <w:i/>
                <w:sz w:val="20"/>
              </w:rPr>
              <w:t>BCURR</w:t>
            </w:r>
          </w:p>
        </w:tc>
        <w:tc>
          <w:tcPr>
            <w:tcW w:w="1048" w:type="dxa"/>
          </w:tcPr>
          <w:p>
            <w:pPr>
              <w:pStyle w:val="TableParagraph"/>
              <w:spacing w:before="133"/>
              <w:ind w:left="86" w:right="76"/>
              <w:jc w:val="center"/>
              <w:rPr>
                <w:sz w:val="20"/>
              </w:rPr>
            </w:pPr>
            <w:r>
              <w:rPr>
                <w:sz w:val="20"/>
              </w:rPr>
              <w:t>2704[3]</w:t>
            </w:r>
          </w:p>
        </w:tc>
        <w:tc>
          <w:tcPr>
            <w:tcW w:w="714" w:type="dxa"/>
          </w:tcPr>
          <w:p>
            <w:pPr>
              <w:pStyle w:val="TableParagraph"/>
              <w:spacing w:before="133"/>
              <w:ind w:left="13"/>
              <w:jc w:val="center"/>
              <w:rPr>
                <w:sz w:val="20"/>
              </w:rPr>
            </w:pPr>
            <w:r>
              <w:rPr>
                <w:w w:val="99"/>
                <w:sz w:val="20"/>
              </w:rPr>
              <w:t>0</w:t>
            </w:r>
          </w:p>
        </w:tc>
        <w:tc>
          <w:tcPr>
            <w:tcW w:w="515" w:type="dxa"/>
          </w:tcPr>
          <w:p>
            <w:pPr>
              <w:pStyle w:val="TableParagraph"/>
              <w:spacing w:before="133"/>
              <w:ind w:left="13"/>
              <w:jc w:val="center"/>
              <w:rPr>
                <w:sz w:val="20"/>
              </w:rPr>
            </w:pPr>
            <w:r>
              <w:rPr>
                <w:w w:val="99"/>
                <w:sz w:val="20"/>
              </w:rPr>
              <w:t>0</w:t>
            </w:r>
          </w:p>
        </w:tc>
        <w:tc>
          <w:tcPr>
            <w:tcW w:w="532" w:type="dxa"/>
          </w:tcPr>
          <w:p>
            <w:pPr>
              <w:pStyle w:val="TableParagraph"/>
              <w:spacing w:before="133"/>
              <w:ind w:left="48" w:right="43"/>
              <w:jc w:val="center"/>
              <w:rPr>
                <w:sz w:val="20"/>
              </w:rPr>
            </w:pPr>
            <w:r>
              <w:rPr>
                <w:sz w:val="20"/>
              </w:rPr>
              <w:t>R/W</w:t>
            </w:r>
          </w:p>
        </w:tc>
        <w:tc>
          <w:tcPr>
            <w:tcW w:w="4911" w:type="dxa"/>
            <w:gridSpan w:val="6"/>
          </w:tcPr>
          <w:p>
            <w:pPr>
              <w:pStyle w:val="TableParagraph"/>
              <w:spacing w:line="228" w:lineRule="exact" w:before="18"/>
              <w:ind w:left="75"/>
              <w:rPr>
                <w:sz w:val="20"/>
              </w:rPr>
            </w:pPr>
            <w:r>
              <w:rPr>
                <w:sz w:val="20"/>
              </w:rPr>
              <w:t>Connects a 100 µA load to the battery selected by</w:t>
            </w:r>
          </w:p>
          <w:p>
            <w:pPr>
              <w:pStyle w:val="TableParagraph"/>
              <w:spacing w:line="229" w:lineRule="exact"/>
              <w:ind w:left="75"/>
              <w:rPr>
                <w:sz w:val="20"/>
              </w:rPr>
            </w:pPr>
            <w:r>
              <w:rPr>
                <w:rFonts w:ascii="Times New Roman"/>
                <w:i/>
                <w:sz w:val="20"/>
              </w:rPr>
              <w:t>TEMP_BSEL</w:t>
            </w:r>
            <w:r>
              <w:rPr>
                <w:sz w:val="20"/>
              </w:rPr>
              <w:t>.</w:t>
            </w:r>
          </w:p>
        </w:tc>
      </w:tr>
    </w:tbl>
    <w:p>
      <w:pPr>
        <w:spacing w:after="0" w:line="229" w:lineRule="exact"/>
        <w:rPr>
          <w:sz w:val="20"/>
        </w:rPr>
        <w:sectPr>
          <w:pgSz w:w="12240" w:h="15840"/>
          <w:pgMar w:header="727" w:footer="819" w:top="960" w:bottom="1000" w:left="1200" w:right="1060"/>
        </w:sectPr>
      </w:pPr>
    </w:p>
    <w:p>
      <w:pPr>
        <w:pStyle w:val="BodyText"/>
        <w:rPr>
          <w:b/>
        </w:rPr>
      </w:pPr>
    </w:p>
    <w:p>
      <w:pPr>
        <w:pStyle w:val="BodyText"/>
        <w:spacing w:before="6"/>
        <w:rPr>
          <w:b/>
          <w:sz w:val="16"/>
        </w:rPr>
      </w:pPr>
    </w:p>
    <w:p>
      <w:pPr>
        <w:pStyle w:val="ListParagraph"/>
        <w:numPr>
          <w:ilvl w:val="2"/>
          <w:numId w:val="7"/>
        </w:numPr>
        <w:tabs>
          <w:tab w:pos="959" w:val="left" w:leader="none"/>
          <w:tab w:pos="960" w:val="left" w:leader="none"/>
        </w:tabs>
        <w:spacing w:line="240" w:lineRule="auto" w:before="93" w:after="0"/>
        <w:ind w:left="959" w:right="0" w:hanging="720"/>
        <w:jc w:val="left"/>
        <w:rPr>
          <w:b/>
          <w:sz w:val="22"/>
        </w:rPr>
      </w:pPr>
      <w:bookmarkStart w:name="2.5.6 71M6xx3 Temperature Sensor" w:id="226"/>
      <w:bookmarkEnd w:id="226"/>
      <w:r>
        <w:rPr/>
      </w:r>
      <w:bookmarkStart w:name="_bookmark111" w:id="227"/>
      <w:bookmarkEnd w:id="227"/>
      <w:r>
        <w:rPr/>
      </w:r>
      <w:bookmarkStart w:name="_bookmark111" w:id="228"/>
      <w:bookmarkEnd w:id="228"/>
      <w:r>
        <w:rPr>
          <w:b/>
          <w:sz w:val="22"/>
        </w:rPr>
        <w:t>71</w:t>
      </w:r>
      <w:r>
        <w:rPr>
          <w:b/>
          <w:sz w:val="22"/>
        </w:rPr>
        <w:t>M6xx3 Temperature</w:t>
      </w:r>
      <w:r>
        <w:rPr>
          <w:b/>
          <w:spacing w:val="-3"/>
          <w:sz w:val="22"/>
        </w:rPr>
        <w:t> </w:t>
      </w:r>
      <w:r>
        <w:rPr>
          <w:b/>
          <w:sz w:val="22"/>
        </w:rPr>
        <w:t>Sensor</w:t>
      </w:r>
    </w:p>
    <w:p>
      <w:pPr>
        <w:pStyle w:val="BodyText"/>
        <w:spacing w:before="121"/>
        <w:ind w:left="239" w:right="490"/>
      </w:pPr>
      <w:r>
        <w:rPr/>
        <w:t>The </w:t>
      </w:r>
      <w:r>
        <w:rPr>
          <w:spacing w:val="2"/>
        </w:rPr>
        <w:t>71M6xx3 </w:t>
      </w:r>
      <w:r>
        <w:rPr/>
        <w:t>includes an on-chip </w:t>
      </w:r>
      <w:r>
        <w:rPr>
          <w:spacing w:val="2"/>
        </w:rPr>
        <w:t>temperature sensor </w:t>
      </w:r>
      <w:r>
        <w:rPr/>
        <w:t>for </w:t>
      </w:r>
      <w:r>
        <w:rPr>
          <w:spacing w:val="2"/>
        </w:rPr>
        <w:t>determining the temperature </w:t>
      </w:r>
      <w:r>
        <w:rPr/>
        <w:t>of its </w:t>
      </w:r>
      <w:r>
        <w:rPr>
          <w:spacing w:val="2"/>
        </w:rPr>
        <w:t>bandgap reference. </w:t>
      </w:r>
      <w:r>
        <w:rPr/>
        <w:t>The </w:t>
      </w:r>
      <w:r>
        <w:rPr>
          <w:spacing w:val="2"/>
        </w:rPr>
        <w:t>primary </w:t>
      </w:r>
      <w:r>
        <w:rPr/>
        <w:t>use of </w:t>
      </w:r>
      <w:r>
        <w:rPr>
          <w:spacing w:val="2"/>
        </w:rPr>
        <w:t>the temperature data </w:t>
      </w:r>
      <w:r>
        <w:rPr/>
        <w:t>is to </w:t>
      </w:r>
      <w:r>
        <w:rPr>
          <w:spacing w:val="2"/>
        </w:rPr>
        <w:t>determine the magnitude </w:t>
      </w:r>
      <w:r>
        <w:rPr/>
        <w:t>of </w:t>
      </w:r>
      <w:r>
        <w:rPr>
          <w:spacing w:val="2"/>
        </w:rPr>
        <w:t>compensation </w:t>
      </w:r>
      <w:r>
        <w:rPr/>
        <w:t>re- </w:t>
      </w:r>
      <w:r>
        <w:rPr>
          <w:spacing w:val="2"/>
        </w:rPr>
        <w:t>quired </w:t>
      </w:r>
      <w:r>
        <w:rPr/>
        <w:t>to </w:t>
      </w:r>
      <w:r>
        <w:rPr>
          <w:spacing w:val="2"/>
        </w:rPr>
        <w:t>offset </w:t>
      </w:r>
      <w:r>
        <w:rPr/>
        <w:t>the </w:t>
      </w:r>
      <w:r>
        <w:rPr>
          <w:spacing w:val="2"/>
        </w:rPr>
        <w:t>thermal drift </w:t>
      </w:r>
      <w:r>
        <w:rPr/>
        <w:t>in the system for the compensation of the </w:t>
      </w:r>
      <w:r>
        <w:rPr>
          <w:spacing w:val="-4"/>
        </w:rPr>
        <w:t>current measurement performed </w:t>
      </w:r>
      <w:r>
        <w:rPr/>
        <w:t>by </w:t>
      </w:r>
      <w:r>
        <w:rPr>
          <w:spacing w:val="-4"/>
        </w:rPr>
        <w:t>the71M6xx3. See </w:t>
      </w:r>
      <w:r>
        <w:rPr/>
        <w:t>the </w:t>
      </w:r>
      <w:r>
        <w:rPr>
          <w:spacing w:val="-4"/>
        </w:rPr>
        <w:t>71M6xxx </w:t>
      </w:r>
      <w:r>
        <w:rPr>
          <w:spacing w:val="-3"/>
        </w:rPr>
        <w:t>Data </w:t>
      </w:r>
      <w:r>
        <w:rPr>
          <w:spacing w:val="-4"/>
        </w:rPr>
        <w:t>Sheet </w:t>
      </w:r>
      <w:r>
        <w:rPr>
          <w:spacing w:val="-3"/>
        </w:rPr>
        <w:t>for </w:t>
      </w:r>
      <w:r>
        <w:rPr/>
        <w:t>the </w:t>
      </w:r>
      <w:r>
        <w:rPr>
          <w:spacing w:val="-4"/>
        </w:rPr>
        <w:t>equation </w:t>
      </w:r>
      <w:r>
        <w:rPr/>
        <w:t>to </w:t>
      </w:r>
      <w:r>
        <w:rPr>
          <w:spacing w:val="-4"/>
        </w:rPr>
        <w:t>calculate temperature from </w:t>
      </w:r>
      <w:r>
        <w:rPr>
          <w:spacing w:val="-5"/>
        </w:rPr>
        <w:t>the </w:t>
      </w:r>
      <w:r>
        <w:rPr>
          <w:spacing w:val="-4"/>
        </w:rPr>
        <w:t>71M6xx3 </w:t>
      </w:r>
      <w:r>
        <w:rPr>
          <w:rFonts w:ascii="Times New Roman"/>
          <w:i/>
        </w:rPr>
        <w:t>STEMP[10:0] </w:t>
      </w:r>
      <w:r>
        <w:rPr>
          <w:spacing w:val="-4"/>
        </w:rPr>
        <w:t>reading. Also, </w:t>
      </w:r>
      <w:r>
        <w:rPr/>
        <w:t>see </w:t>
      </w:r>
      <w:hyperlink w:history="true" w:anchor="_bookmark182">
        <w:r>
          <w:rPr>
            <w:color w:val="0000FF"/>
          </w:rPr>
          <w:t>4.5 </w:t>
        </w:r>
      </w:hyperlink>
      <w:hyperlink w:history="true" w:anchor="_bookmark182">
        <w:r>
          <w:rPr>
            <w:color w:val="0000FF"/>
            <w:spacing w:val="2"/>
          </w:rPr>
          <w:t>Metrology Temperature </w:t>
        </w:r>
        <w:r>
          <w:rPr>
            <w:color w:val="0000FF"/>
          </w:rPr>
          <w:t>Compensation </w:t>
        </w:r>
      </w:hyperlink>
      <w:r>
        <w:rPr/>
        <w:t>on page</w:t>
      </w:r>
      <w:r>
        <w:rPr>
          <w:spacing w:val="4"/>
        </w:rPr>
        <w:t> </w:t>
      </w:r>
      <w:hyperlink w:history="true" w:anchor="_bookmark182">
        <w:r>
          <w:rPr>
            <w:color w:val="0000FF"/>
          </w:rPr>
          <w:t>88</w:t>
        </w:r>
        <w:r>
          <w:rPr/>
          <w:t>.</w:t>
        </w:r>
      </w:hyperlink>
    </w:p>
    <w:p>
      <w:pPr>
        <w:pStyle w:val="BodyText"/>
        <w:spacing w:line="228" w:lineRule="exact" w:before="122"/>
        <w:ind w:left="240"/>
      </w:pPr>
      <w:r>
        <w:rPr/>
        <w:t>See </w:t>
      </w:r>
      <w:hyperlink w:history="true" w:anchor="_bookmark22">
        <w:r>
          <w:rPr>
            <w:color w:val="0000FF"/>
          </w:rPr>
          <w:t>2.2.8.3 </w:t>
        </w:r>
      </w:hyperlink>
      <w:hyperlink w:history="true" w:anchor="_bookmark22">
        <w:r>
          <w:rPr>
            <w:color w:val="0000FF"/>
          </w:rPr>
          <w:t>Control of the 71M6xx3 Isolated Sensor </w:t>
        </w:r>
      </w:hyperlink>
      <w:r>
        <w:rPr/>
        <w:t>on page </w:t>
      </w:r>
      <w:hyperlink w:history="true" w:anchor="_bookmark22">
        <w:r>
          <w:rPr>
            <w:color w:val="0000FF"/>
          </w:rPr>
          <w:t>22 </w:t>
        </w:r>
      </w:hyperlink>
      <w:r>
        <w:rPr/>
        <w:t>for information on how to read the</w:t>
      </w:r>
    </w:p>
    <w:p>
      <w:pPr>
        <w:spacing w:line="229" w:lineRule="exact" w:before="0"/>
        <w:ind w:left="239" w:right="0" w:firstLine="0"/>
        <w:jc w:val="left"/>
        <w:rPr>
          <w:sz w:val="20"/>
        </w:rPr>
      </w:pPr>
      <w:r>
        <w:rPr>
          <w:rFonts w:ascii="Times New Roman"/>
          <w:i/>
          <w:sz w:val="20"/>
        </w:rPr>
        <w:t>STEMP[10:0] </w:t>
      </w:r>
      <w:r>
        <w:rPr>
          <w:sz w:val="20"/>
        </w:rPr>
        <w:t>information from the 71M6xx3.</w:t>
      </w:r>
    </w:p>
    <w:p>
      <w:pPr>
        <w:pStyle w:val="BodyText"/>
      </w:pPr>
    </w:p>
    <w:p>
      <w:pPr>
        <w:pStyle w:val="ListParagraph"/>
        <w:numPr>
          <w:ilvl w:val="2"/>
          <w:numId w:val="7"/>
        </w:numPr>
        <w:tabs>
          <w:tab w:pos="959" w:val="left" w:leader="none"/>
          <w:tab w:pos="960" w:val="left" w:leader="none"/>
        </w:tabs>
        <w:spacing w:line="240" w:lineRule="auto" w:before="0" w:after="0"/>
        <w:ind w:left="959" w:right="0" w:hanging="720"/>
        <w:jc w:val="left"/>
        <w:rPr>
          <w:b/>
          <w:sz w:val="22"/>
        </w:rPr>
      </w:pPr>
      <w:bookmarkStart w:name="2.5.7 71M6543 Battery Monitor" w:id="229"/>
      <w:bookmarkEnd w:id="229"/>
      <w:r>
        <w:rPr/>
      </w:r>
      <w:bookmarkStart w:name="_bookmark112" w:id="230"/>
      <w:bookmarkEnd w:id="230"/>
      <w:r>
        <w:rPr/>
      </w:r>
      <w:bookmarkStart w:name="_bookmark112" w:id="231"/>
      <w:bookmarkEnd w:id="231"/>
      <w:r>
        <w:rPr>
          <w:b/>
          <w:sz w:val="22"/>
        </w:rPr>
        <w:t>71</w:t>
      </w:r>
      <w:r>
        <w:rPr>
          <w:b/>
          <w:sz w:val="22"/>
        </w:rPr>
        <w:t>M6543 Battery</w:t>
      </w:r>
      <w:r>
        <w:rPr>
          <w:b/>
          <w:spacing w:val="-5"/>
          <w:sz w:val="22"/>
        </w:rPr>
        <w:t> </w:t>
      </w:r>
      <w:r>
        <w:rPr>
          <w:b/>
          <w:sz w:val="22"/>
        </w:rPr>
        <w:t>Monitor</w:t>
      </w:r>
    </w:p>
    <w:p>
      <w:pPr>
        <w:pStyle w:val="BodyText"/>
        <w:spacing w:before="123"/>
        <w:ind w:left="239" w:right="501"/>
      </w:pPr>
      <w:r>
        <w:rPr/>
        <w:t>The 71M6543 temperature measurement circuit can also monitor the batteries at the VBAT and VBAT_RTC pins. The battery to be tested (i.e., VBAT or VBAT_RTC pin) is selected by </w:t>
      </w:r>
      <w:r>
        <w:rPr>
          <w:rFonts w:ascii="Times New Roman"/>
          <w:i/>
        </w:rPr>
        <w:t>TEMP_BSEL </w:t>
      </w:r>
      <w:r>
        <w:rPr>
          <w:i/>
        </w:rPr>
        <w:t>(</w:t>
      </w:r>
      <w:r>
        <w:rPr>
          <w:rFonts w:ascii="Times New Roman"/>
          <w:i/>
        </w:rPr>
        <w:t>I/O </w:t>
      </w:r>
      <w:r>
        <w:rPr>
          <w:rFonts w:ascii="Times New Roman"/>
          <w:i/>
        </w:rPr>
        <w:t>RAM 0x28A0[7]</w:t>
      </w:r>
      <w:r>
        <w:rPr>
          <w:i/>
        </w:rPr>
        <w:t>)</w:t>
      </w:r>
      <w:r>
        <w:rPr/>
        <w:t>.</w:t>
      </w:r>
    </w:p>
    <w:p>
      <w:pPr>
        <w:pStyle w:val="BodyText"/>
        <w:spacing w:before="118"/>
        <w:ind w:left="239" w:right="368"/>
      </w:pPr>
      <w:r>
        <w:rPr/>
        <w:t>When </w:t>
      </w:r>
      <w:r>
        <w:rPr>
          <w:rFonts w:ascii="Times New Roman"/>
          <w:i/>
        </w:rPr>
        <w:t>TEMP_BAT </w:t>
      </w:r>
      <w:r>
        <w:rPr/>
        <w:t>(</w:t>
      </w:r>
      <w:r>
        <w:rPr>
          <w:rFonts w:ascii="Times New Roman"/>
          <w:i/>
        </w:rPr>
        <w:t>I/O RAM 0x28A0[4]</w:t>
      </w:r>
      <w:r>
        <w:rPr/>
        <w:t>) is set, a battery measurement is performed as part of each temperature measurement. The value of the battery reading is stored in register </w:t>
      </w:r>
      <w:r>
        <w:rPr>
          <w:rFonts w:ascii="Times New Roman"/>
          <w:i/>
        </w:rPr>
        <w:t>BSENSE[7:0] </w:t>
      </w:r>
      <w:r>
        <w:rPr>
          <w:rFonts w:ascii="Times New Roman"/>
          <w:i/>
          <w:spacing w:val="-3"/>
        </w:rPr>
        <w:t>(I/O </w:t>
      </w:r>
      <w:r>
        <w:rPr>
          <w:rFonts w:ascii="Times New Roman"/>
          <w:i/>
        </w:rPr>
        <w:t>RAM </w:t>
      </w:r>
      <w:r>
        <w:rPr>
          <w:rFonts w:ascii="Times New Roman"/>
          <w:i/>
        </w:rPr>
        <w:t>0x2885)</w:t>
      </w:r>
      <w:r>
        <w:rPr/>
        <w:t>. The following equations are used to </w:t>
      </w:r>
      <w:r>
        <w:rPr>
          <w:spacing w:val="-2"/>
        </w:rPr>
        <w:t>calculate </w:t>
      </w:r>
      <w:r>
        <w:rPr/>
        <w:t>the voltage measured on the </w:t>
      </w:r>
      <w:r>
        <w:rPr>
          <w:spacing w:val="-3"/>
        </w:rPr>
        <w:t>VBAT </w:t>
      </w:r>
      <w:r>
        <w:rPr/>
        <w:t>pin </w:t>
      </w:r>
      <w:r>
        <w:rPr>
          <w:spacing w:val="-3"/>
        </w:rPr>
        <w:t>(or </w:t>
      </w:r>
      <w:r>
        <w:rPr/>
        <w:t>VBAT_RTC</w:t>
      </w:r>
      <w:r>
        <w:rPr>
          <w:spacing w:val="-13"/>
        </w:rPr>
        <w:t> </w:t>
      </w:r>
      <w:r>
        <w:rPr/>
        <w:t>pin)</w:t>
      </w:r>
      <w:r>
        <w:rPr>
          <w:spacing w:val="-12"/>
        </w:rPr>
        <w:t> </w:t>
      </w:r>
      <w:r>
        <w:rPr/>
        <w:t>from</w:t>
      </w:r>
      <w:r>
        <w:rPr>
          <w:spacing w:val="-9"/>
        </w:rPr>
        <w:t> </w:t>
      </w:r>
      <w:r>
        <w:rPr/>
        <w:t>the</w:t>
      </w:r>
      <w:r>
        <w:rPr>
          <w:spacing w:val="-13"/>
        </w:rPr>
        <w:t> </w:t>
      </w:r>
      <w:r>
        <w:rPr>
          <w:rFonts w:ascii="Times New Roman"/>
          <w:i/>
        </w:rPr>
        <w:t>BSENSE[7:0] </w:t>
      </w:r>
      <w:r>
        <w:rPr/>
        <w:t>and</w:t>
      </w:r>
      <w:r>
        <w:rPr>
          <w:spacing w:val="-13"/>
        </w:rPr>
        <w:t> </w:t>
      </w:r>
      <w:r>
        <w:rPr>
          <w:rFonts w:ascii="Times New Roman"/>
          <w:i/>
        </w:rPr>
        <w:t>STEMP[10:0] </w:t>
      </w:r>
      <w:r>
        <w:rPr>
          <w:spacing w:val="-3"/>
        </w:rPr>
        <w:t>values.</w:t>
      </w:r>
      <w:r>
        <w:rPr>
          <w:spacing w:val="-13"/>
        </w:rPr>
        <w:t> </w:t>
      </w:r>
      <w:r>
        <w:rPr/>
        <w:t>The</w:t>
      </w:r>
      <w:r>
        <w:rPr>
          <w:spacing w:val="-12"/>
        </w:rPr>
        <w:t> </w:t>
      </w:r>
      <w:r>
        <w:rPr/>
        <w:t>result</w:t>
      </w:r>
      <w:r>
        <w:rPr>
          <w:spacing w:val="-12"/>
        </w:rPr>
        <w:t> </w:t>
      </w:r>
      <w:r>
        <w:rPr/>
        <w:t>of</w:t>
      </w:r>
      <w:r>
        <w:rPr>
          <w:spacing w:val="-11"/>
        </w:rPr>
        <w:t> </w:t>
      </w:r>
      <w:r>
        <w:rPr/>
        <w:t>the</w:t>
      </w:r>
      <w:r>
        <w:rPr>
          <w:spacing w:val="-11"/>
        </w:rPr>
        <w:t> </w:t>
      </w:r>
      <w:r>
        <w:rPr/>
        <w:t>equation</w:t>
      </w:r>
      <w:r>
        <w:rPr>
          <w:spacing w:val="-14"/>
        </w:rPr>
        <w:t> </w:t>
      </w:r>
      <w:r>
        <w:rPr/>
        <w:t>below</w:t>
      </w:r>
      <w:r>
        <w:rPr>
          <w:spacing w:val="-12"/>
        </w:rPr>
        <w:t> </w:t>
      </w:r>
      <w:r>
        <w:rPr/>
        <w:t>is</w:t>
      </w:r>
      <w:r>
        <w:rPr>
          <w:spacing w:val="-10"/>
        </w:rPr>
        <w:t> </w:t>
      </w:r>
      <w:r>
        <w:rPr/>
        <w:t>in</w:t>
      </w:r>
      <w:r>
        <w:rPr>
          <w:spacing w:val="-11"/>
        </w:rPr>
        <w:t> </w:t>
      </w:r>
      <w:r>
        <w:rPr/>
        <w:t>volts. A</w:t>
      </w:r>
      <w:r>
        <w:rPr>
          <w:spacing w:val="-8"/>
        </w:rPr>
        <w:t> </w:t>
      </w:r>
      <w:r>
        <w:rPr/>
        <w:t>slightly</w:t>
      </w:r>
      <w:r>
        <w:rPr>
          <w:spacing w:val="-9"/>
        </w:rPr>
        <w:t> </w:t>
      </w:r>
      <w:r>
        <w:rPr/>
        <w:t>different</w:t>
      </w:r>
      <w:r>
        <w:rPr>
          <w:spacing w:val="-5"/>
        </w:rPr>
        <w:t> </w:t>
      </w:r>
      <w:r>
        <w:rPr/>
        <w:t>equation</w:t>
      </w:r>
      <w:r>
        <w:rPr>
          <w:spacing w:val="-6"/>
        </w:rPr>
        <w:t> </w:t>
      </w:r>
      <w:r>
        <w:rPr/>
        <w:t>is</w:t>
      </w:r>
      <w:r>
        <w:rPr>
          <w:spacing w:val="-6"/>
        </w:rPr>
        <w:t> </w:t>
      </w:r>
      <w:r>
        <w:rPr/>
        <w:t>used</w:t>
      </w:r>
      <w:r>
        <w:rPr>
          <w:spacing w:val="-7"/>
        </w:rPr>
        <w:t> </w:t>
      </w:r>
      <w:r>
        <w:rPr/>
        <w:t>for</w:t>
      </w:r>
      <w:r>
        <w:rPr>
          <w:spacing w:val="-4"/>
        </w:rPr>
        <w:t> </w:t>
      </w:r>
      <w:r>
        <w:rPr/>
        <w:t>MSN</w:t>
      </w:r>
      <w:r>
        <w:rPr>
          <w:spacing w:val="-7"/>
        </w:rPr>
        <w:t> </w:t>
      </w:r>
      <w:r>
        <w:rPr/>
        <w:t>mode</w:t>
      </w:r>
      <w:r>
        <w:rPr>
          <w:spacing w:val="-6"/>
        </w:rPr>
        <w:t> </w:t>
      </w:r>
      <w:r>
        <w:rPr/>
        <w:t>and</w:t>
      </w:r>
      <w:r>
        <w:rPr>
          <w:spacing w:val="-6"/>
        </w:rPr>
        <w:t> </w:t>
      </w:r>
      <w:r>
        <w:rPr>
          <w:spacing w:val="-3"/>
        </w:rPr>
        <w:t>BRN</w:t>
      </w:r>
      <w:r>
        <w:rPr>
          <w:spacing w:val="-5"/>
        </w:rPr>
        <w:t> </w:t>
      </w:r>
      <w:r>
        <w:rPr/>
        <w:t>mode,</w:t>
      </w:r>
      <w:r>
        <w:rPr>
          <w:spacing w:val="-4"/>
        </w:rPr>
        <w:t> </w:t>
      </w:r>
      <w:r>
        <w:rPr/>
        <w:t>as</w:t>
      </w:r>
      <w:r>
        <w:rPr>
          <w:spacing w:val="-6"/>
        </w:rPr>
        <w:t> </w:t>
      </w:r>
      <w:r>
        <w:rPr/>
        <w:t>follows.</w:t>
      </w:r>
    </w:p>
    <w:p>
      <w:pPr>
        <w:spacing w:before="121"/>
        <w:ind w:left="239" w:right="0" w:firstLine="0"/>
        <w:jc w:val="left"/>
        <w:rPr>
          <w:sz w:val="20"/>
        </w:rPr>
      </w:pPr>
      <w:r>
        <w:rPr>
          <w:sz w:val="20"/>
        </w:rPr>
        <w:t>In MSN mode, </w:t>
      </w:r>
      <w:r>
        <w:rPr>
          <w:rFonts w:ascii="Times New Roman"/>
          <w:i/>
          <w:sz w:val="20"/>
        </w:rPr>
        <w:t>TEMP_PWR </w:t>
      </w:r>
      <w:r>
        <w:rPr>
          <w:sz w:val="20"/>
        </w:rPr>
        <w:t>= 1 use:</w:t>
      </w:r>
    </w:p>
    <w:p>
      <w:pPr>
        <w:spacing w:before="123"/>
        <w:ind w:left="9" w:right="204" w:firstLine="0"/>
        <w:jc w:val="center"/>
        <w:rPr>
          <w:rFonts w:ascii="Times New Roman" w:hAnsi="Times New Roman"/>
          <w:i/>
          <w:sz w:val="22"/>
        </w:rPr>
      </w:pPr>
      <w:r>
        <w:rPr>
          <w:rFonts w:ascii="Times New Roman" w:hAnsi="Times New Roman"/>
          <w:i/>
          <w:w w:val="90"/>
          <w:sz w:val="22"/>
        </w:rPr>
        <w:t>VBAT </w:t>
      </w:r>
      <w:r>
        <w:rPr>
          <w:rFonts w:ascii="Times New Roman" w:hAnsi="Times New Roman"/>
          <w:w w:val="90"/>
          <w:sz w:val="22"/>
        </w:rPr>
        <w:t>(</w:t>
      </w:r>
      <w:r>
        <w:rPr>
          <w:rFonts w:ascii="Times New Roman" w:hAnsi="Times New Roman"/>
          <w:i/>
          <w:w w:val="90"/>
          <w:sz w:val="22"/>
        </w:rPr>
        <w:t>orVBAT </w:t>
      </w:r>
      <w:r>
        <w:rPr>
          <w:rFonts w:ascii="Times New Roman" w:hAnsi="Times New Roman"/>
          <w:w w:val="90"/>
          <w:sz w:val="22"/>
        </w:rPr>
        <w:t>_ </w:t>
      </w:r>
      <w:r>
        <w:rPr>
          <w:rFonts w:ascii="Times New Roman" w:hAnsi="Times New Roman"/>
          <w:i/>
          <w:w w:val="90"/>
          <w:sz w:val="22"/>
        </w:rPr>
        <w:t>RTC</w:t>
      </w:r>
      <w:r>
        <w:rPr>
          <w:rFonts w:ascii="Times New Roman" w:hAnsi="Times New Roman"/>
          <w:w w:val="90"/>
          <w:sz w:val="22"/>
        </w:rPr>
        <w:t>) </w:t>
      </w:r>
      <w:r>
        <w:rPr>
          <w:rFonts w:ascii="Symbol" w:hAnsi="Symbol"/>
          <w:w w:val="90"/>
          <w:sz w:val="22"/>
        </w:rPr>
        <w:t></w:t>
      </w:r>
      <w:r>
        <w:rPr>
          <w:rFonts w:ascii="Times New Roman" w:hAnsi="Times New Roman"/>
          <w:w w:val="90"/>
          <w:sz w:val="22"/>
        </w:rPr>
        <w:t> 3.3</w:t>
      </w:r>
      <w:r>
        <w:rPr>
          <w:rFonts w:ascii="Times New Roman" w:hAnsi="Times New Roman"/>
          <w:i/>
          <w:w w:val="90"/>
          <w:sz w:val="22"/>
        </w:rPr>
        <w:t>V </w:t>
      </w:r>
      <w:r>
        <w:rPr>
          <w:rFonts w:ascii="Symbol" w:hAnsi="Symbol"/>
          <w:w w:val="90"/>
          <w:sz w:val="22"/>
        </w:rPr>
        <w:t></w:t>
      </w:r>
      <w:r>
        <w:rPr>
          <w:rFonts w:ascii="Times New Roman" w:hAnsi="Times New Roman"/>
          <w:w w:val="90"/>
          <w:sz w:val="22"/>
        </w:rPr>
        <w:t> (</w:t>
      </w:r>
      <w:r>
        <w:rPr>
          <w:rFonts w:ascii="Times New Roman" w:hAnsi="Times New Roman"/>
          <w:i/>
          <w:w w:val="90"/>
          <w:sz w:val="22"/>
        </w:rPr>
        <w:t>BSENSE </w:t>
      </w:r>
      <w:r>
        <w:rPr>
          <w:rFonts w:ascii="Symbol" w:hAnsi="Symbol"/>
          <w:w w:val="90"/>
          <w:sz w:val="22"/>
        </w:rPr>
        <w:t></w:t>
      </w:r>
      <w:r>
        <w:rPr>
          <w:rFonts w:ascii="Times New Roman" w:hAnsi="Times New Roman"/>
          <w:w w:val="90"/>
          <w:sz w:val="22"/>
        </w:rPr>
        <w:t>142) </w:t>
      </w:r>
      <w:r>
        <w:rPr>
          <w:rFonts w:ascii="Symbol" w:hAnsi="Symbol"/>
          <w:w w:val="90"/>
          <w:sz w:val="22"/>
        </w:rPr>
        <w:t></w:t>
      </w:r>
      <w:r>
        <w:rPr>
          <w:rFonts w:ascii="Times New Roman" w:hAnsi="Times New Roman"/>
          <w:w w:val="90"/>
          <w:sz w:val="22"/>
        </w:rPr>
        <w:t> 0.0246</w:t>
      </w:r>
      <w:r>
        <w:rPr>
          <w:rFonts w:ascii="Times New Roman" w:hAnsi="Times New Roman"/>
          <w:i/>
          <w:w w:val="90"/>
          <w:sz w:val="22"/>
        </w:rPr>
        <w:t>V </w:t>
      </w:r>
      <w:r>
        <w:rPr>
          <w:rFonts w:ascii="Symbol" w:hAnsi="Symbol"/>
          <w:w w:val="90"/>
          <w:sz w:val="22"/>
        </w:rPr>
        <w:t></w:t>
      </w:r>
      <w:r>
        <w:rPr>
          <w:rFonts w:ascii="Times New Roman" w:hAnsi="Times New Roman"/>
          <w:w w:val="90"/>
          <w:sz w:val="22"/>
        </w:rPr>
        <w:t> </w:t>
      </w:r>
      <w:r>
        <w:rPr>
          <w:rFonts w:ascii="Times New Roman" w:hAnsi="Times New Roman"/>
          <w:i/>
          <w:w w:val="90"/>
          <w:sz w:val="22"/>
        </w:rPr>
        <w:t>STEMP </w:t>
      </w:r>
      <w:r>
        <w:rPr>
          <w:rFonts w:ascii="Symbol" w:hAnsi="Symbol"/>
          <w:w w:val="90"/>
          <w:sz w:val="22"/>
        </w:rPr>
        <w:t></w:t>
      </w:r>
      <w:r>
        <w:rPr>
          <w:rFonts w:ascii="Times New Roman" w:hAnsi="Times New Roman"/>
          <w:w w:val="90"/>
          <w:sz w:val="22"/>
        </w:rPr>
        <w:t> 0.000297</w:t>
      </w:r>
      <w:r>
        <w:rPr>
          <w:rFonts w:ascii="Times New Roman" w:hAnsi="Times New Roman"/>
          <w:i/>
          <w:w w:val="90"/>
          <w:sz w:val="22"/>
        </w:rPr>
        <w:t>V</w:t>
      </w:r>
    </w:p>
    <w:p>
      <w:pPr>
        <w:spacing w:before="175"/>
        <w:ind w:left="239" w:right="0" w:firstLine="0"/>
        <w:jc w:val="left"/>
        <w:rPr>
          <w:sz w:val="20"/>
        </w:rPr>
      </w:pPr>
      <w:r>
        <w:rPr>
          <w:sz w:val="20"/>
        </w:rPr>
        <w:t>In BRN mode, </w:t>
      </w:r>
      <w:r>
        <w:rPr>
          <w:rFonts w:ascii="Times New Roman"/>
          <w:i/>
          <w:sz w:val="20"/>
        </w:rPr>
        <w:t>TEMP_PWR </w:t>
      </w:r>
      <w:r>
        <w:rPr>
          <w:sz w:val="20"/>
        </w:rPr>
        <w:t>= </w:t>
      </w:r>
      <w:r>
        <w:rPr>
          <w:rFonts w:ascii="Times New Roman"/>
          <w:i/>
          <w:sz w:val="20"/>
        </w:rPr>
        <w:t>TEMP_BSEL </w:t>
      </w:r>
      <w:r>
        <w:rPr>
          <w:sz w:val="20"/>
        </w:rPr>
        <w:t>use:</w:t>
      </w:r>
    </w:p>
    <w:p>
      <w:pPr>
        <w:spacing w:before="109"/>
        <w:ind w:left="9" w:right="204" w:firstLine="0"/>
        <w:jc w:val="center"/>
        <w:rPr>
          <w:rFonts w:ascii="Times New Roman" w:hAnsi="Times New Roman"/>
          <w:i/>
          <w:sz w:val="19"/>
        </w:rPr>
      </w:pPr>
      <w:r>
        <w:rPr>
          <w:rFonts w:ascii="Times New Roman" w:hAnsi="Times New Roman"/>
          <w:i/>
          <w:sz w:val="19"/>
        </w:rPr>
        <w:t>VBAT </w:t>
      </w:r>
      <w:r>
        <w:rPr>
          <w:rFonts w:ascii="Times New Roman" w:hAnsi="Times New Roman"/>
          <w:sz w:val="19"/>
        </w:rPr>
        <w:t>(</w:t>
      </w:r>
      <w:r>
        <w:rPr>
          <w:rFonts w:ascii="Times New Roman" w:hAnsi="Times New Roman"/>
          <w:i/>
          <w:sz w:val="19"/>
        </w:rPr>
        <w:t>orVBAT </w:t>
      </w:r>
      <w:r>
        <w:rPr>
          <w:rFonts w:ascii="Times New Roman" w:hAnsi="Times New Roman"/>
          <w:sz w:val="19"/>
        </w:rPr>
        <w:t>_ </w:t>
      </w:r>
      <w:r>
        <w:rPr>
          <w:rFonts w:ascii="Times New Roman" w:hAnsi="Times New Roman"/>
          <w:i/>
          <w:sz w:val="19"/>
        </w:rPr>
        <w:t>RTC</w:t>
      </w:r>
      <w:r>
        <w:rPr>
          <w:rFonts w:ascii="Times New Roman" w:hAnsi="Times New Roman"/>
          <w:sz w:val="19"/>
        </w:rPr>
        <w:t>) </w:t>
      </w:r>
      <w:r>
        <w:rPr>
          <w:rFonts w:ascii="Symbol" w:hAnsi="Symbol"/>
          <w:sz w:val="19"/>
        </w:rPr>
        <w:t></w:t>
      </w:r>
      <w:r>
        <w:rPr>
          <w:rFonts w:ascii="Times New Roman" w:hAnsi="Times New Roman"/>
          <w:sz w:val="19"/>
        </w:rPr>
        <w:t> 3.291</w:t>
      </w:r>
      <w:r>
        <w:rPr>
          <w:rFonts w:ascii="Times New Roman" w:hAnsi="Times New Roman"/>
          <w:i/>
          <w:sz w:val="19"/>
        </w:rPr>
        <w:t>V </w:t>
      </w:r>
      <w:r>
        <w:rPr>
          <w:rFonts w:ascii="Symbol" w:hAnsi="Symbol"/>
          <w:sz w:val="19"/>
        </w:rPr>
        <w:t></w:t>
      </w:r>
      <w:r>
        <w:rPr>
          <w:rFonts w:ascii="Times New Roman" w:hAnsi="Times New Roman"/>
          <w:sz w:val="19"/>
        </w:rPr>
        <w:t> (</w:t>
      </w:r>
      <w:r>
        <w:rPr>
          <w:rFonts w:ascii="Times New Roman" w:hAnsi="Times New Roman"/>
          <w:i/>
          <w:sz w:val="19"/>
        </w:rPr>
        <w:t>BSENSE </w:t>
      </w:r>
      <w:r>
        <w:rPr>
          <w:rFonts w:ascii="Symbol" w:hAnsi="Symbol"/>
          <w:sz w:val="19"/>
        </w:rPr>
        <w:t></w:t>
      </w:r>
      <w:r>
        <w:rPr>
          <w:rFonts w:ascii="Times New Roman" w:hAnsi="Times New Roman"/>
          <w:sz w:val="19"/>
        </w:rPr>
        <w:t>142) </w:t>
      </w:r>
      <w:r>
        <w:rPr>
          <w:rFonts w:ascii="Symbol" w:hAnsi="Symbol"/>
          <w:w w:val="95"/>
          <w:sz w:val="19"/>
        </w:rPr>
        <w:t></w:t>
      </w:r>
      <w:r>
        <w:rPr>
          <w:rFonts w:ascii="Times New Roman" w:hAnsi="Times New Roman"/>
          <w:w w:val="95"/>
          <w:sz w:val="19"/>
        </w:rPr>
        <w:t> </w:t>
      </w:r>
      <w:r>
        <w:rPr>
          <w:rFonts w:ascii="Times New Roman" w:hAnsi="Times New Roman"/>
          <w:sz w:val="19"/>
        </w:rPr>
        <w:t>0.0255</w:t>
      </w:r>
      <w:r>
        <w:rPr>
          <w:rFonts w:ascii="Times New Roman" w:hAnsi="Times New Roman"/>
          <w:i/>
          <w:sz w:val="19"/>
        </w:rPr>
        <w:t>V </w:t>
      </w:r>
      <w:r>
        <w:rPr>
          <w:rFonts w:ascii="Symbol" w:hAnsi="Symbol"/>
          <w:sz w:val="19"/>
        </w:rPr>
        <w:t></w:t>
      </w:r>
      <w:r>
        <w:rPr>
          <w:rFonts w:ascii="Times New Roman" w:hAnsi="Times New Roman"/>
          <w:sz w:val="19"/>
        </w:rPr>
        <w:t> </w:t>
      </w:r>
      <w:r>
        <w:rPr>
          <w:rFonts w:ascii="Times New Roman" w:hAnsi="Times New Roman"/>
          <w:i/>
          <w:sz w:val="19"/>
        </w:rPr>
        <w:t>STEMP </w:t>
      </w:r>
      <w:r>
        <w:rPr>
          <w:rFonts w:ascii="Symbol" w:hAnsi="Symbol"/>
          <w:w w:val="95"/>
          <w:sz w:val="19"/>
        </w:rPr>
        <w:t></w:t>
      </w:r>
      <w:r>
        <w:rPr>
          <w:rFonts w:ascii="Times New Roman" w:hAnsi="Times New Roman"/>
          <w:w w:val="95"/>
          <w:sz w:val="19"/>
        </w:rPr>
        <w:t> </w:t>
      </w:r>
      <w:r>
        <w:rPr>
          <w:rFonts w:ascii="Times New Roman" w:hAnsi="Times New Roman"/>
          <w:sz w:val="19"/>
        </w:rPr>
        <w:t>0.000328</w:t>
      </w:r>
      <w:r>
        <w:rPr>
          <w:rFonts w:ascii="Times New Roman" w:hAnsi="Times New Roman"/>
          <w:i/>
          <w:sz w:val="19"/>
        </w:rPr>
        <w:t>V</w:t>
      </w:r>
    </w:p>
    <w:p>
      <w:pPr>
        <w:pStyle w:val="BodyText"/>
        <w:spacing w:before="172"/>
        <w:ind w:left="240" w:right="574"/>
      </w:pPr>
      <w:r>
        <w:rPr>
          <w:spacing w:val="-3"/>
        </w:rPr>
        <w:t>In MSN mode, </w:t>
      </w:r>
      <w:r>
        <w:rPr/>
        <w:t>a </w:t>
      </w:r>
      <w:r>
        <w:rPr>
          <w:spacing w:val="-3"/>
        </w:rPr>
        <w:t>100 </w:t>
      </w:r>
      <w:r>
        <w:rPr/>
        <w:t>µA </w:t>
      </w:r>
      <w:r>
        <w:rPr>
          <w:spacing w:val="-4"/>
        </w:rPr>
        <w:t>de-passivation load </w:t>
      </w:r>
      <w:r>
        <w:rPr/>
        <w:t>can be </w:t>
      </w:r>
      <w:r>
        <w:rPr>
          <w:spacing w:val="-4"/>
        </w:rPr>
        <w:t>applied </w:t>
      </w:r>
      <w:r>
        <w:rPr/>
        <w:t>to </w:t>
      </w:r>
      <w:r>
        <w:rPr>
          <w:spacing w:val="-3"/>
        </w:rPr>
        <w:t>the </w:t>
      </w:r>
      <w:r>
        <w:rPr>
          <w:spacing w:val="-4"/>
        </w:rPr>
        <w:t>selected </w:t>
      </w:r>
      <w:r>
        <w:rPr>
          <w:spacing w:val="-3"/>
        </w:rPr>
        <w:t>battery (i.e., </w:t>
      </w:r>
      <w:r>
        <w:rPr>
          <w:spacing w:val="-4"/>
        </w:rPr>
        <w:t>selected </w:t>
      </w:r>
      <w:r>
        <w:rPr/>
        <w:t>by the </w:t>
      </w:r>
      <w:r>
        <w:rPr>
          <w:rFonts w:ascii="Times New Roman" w:hAnsi="Times New Roman"/>
          <w:i/>
          <w:spacing w:val="-4"/>
        </w:rPr>
        <w:t>TEMP_BSEL </w:t>
      </w:r>
      <w:r>
        <w:rPr>
          <w:spacing w:val="-4"/>
        </w:rPr>
        <w:t>bit) </w:t>
      </w:r>
      <w:r>
        <w:rPr/>
        <w:t>by </w:t>
      </w:r>
      <w:r>
        <w:rPr>
          <w:spacing w:val="-4"/>
        </w:rPr>
        <w:t>setting </w:t>
      </w:r>
      <w:r>
        <w:rPr/>
        <w:t>the </w:t>
      </w:r>
      <w:r>
        <w:rPr>
          <w:rFonts w:ascii="Times New Roman" w:hAnsi="Times New Roman"/>
          <w:i/>
          <w:spacing w:val="-3"/>
        </w:rPr>
        <w:t>BCURR </w:t>
      </w:r>
      <w:r>
        <w:rPr>
          <w:i/>
        </w:rPr>
        <w:t>(</w:t>
      </w:r>
      <w:r>
        <w:rPr>
          <w:rFonts w:ascii="Times New Roman" w:hAnsi="Times New Roman"/>
          <w:i/>
        </w:rPr>
        <w:t>I/O RAM 0x2704[3]</w:t>
      </w:r>
      <w:r>
        <w:rPr/>
        <w:t>) </w:t>
      </w:r>
      <w:r>
        <w:rPr>
          <w:spacing w:val="-3"/>
        </w:rPr>
        <w:t>bit. Battery impedance can </w:t>
      </w:r>
      <w:r>
        <w:rPr/>
        <w:t>be measured </w:t>
      </w:r>
      <w:r>
        <w:rPr>
          <w:spacing w:val="-3"/>
        </w:rPr>
        <w:t>by taking </w:t>
      </w:r>
      <w:r>
        <w:rPr/>
        <w:t>a </w:t>
      </w:r>
      <w:r>
        <w:rPr>
          <w:spacing w:val="-3"/>
        </w:rPr>
        <w:t>battery measurement with </w:t>
      </w:r>
      <w:r>
        <w:rPr/>
        <w:t>and </w:t>
      </w:r>
      <w:r>
        <w:rPr>
          <w:spacing w:val="-3"/>
        </w:rPr>
        <w:t>without </w:t>
      </w:r>
      <w:r>
        <w:rPr>
          <w:rFonts w:ascii="Times New Roman" w:hAnsi="Times New Roman"/>
          <w:i/>
          <w:spacing w:val="-2"/>
        </w:rPr>
        <w:t>BCURR</w:t>
      </w:r>
      <w:r>
        <w:rPr>
          <w:spacing w:val="-2"/>
        </w:rPr>
        <w:t>. </w:t>
      </w:r>
      <w:r>
        <w:rPr>
          <w:spacing w:val="-3"/>
        </w:rPr>
        <w:t>Regardless of </w:t>
      </w:r>
      <w:r>
        <w:rPr/>
        <w:t>the </w:t>
      </w:r>
      <w:r>
        <w:rPr>
          <w:rFonts w:ascii="Times New Roman" w:hAnsi="Times New Roman"/>
          <w:i/>
          <w:spacing w:val="-3"/>
        </w:rPr>
        <w:t>BCURR </w:t>
      </w:r>
      <w:r>
        <w:rPr>
          <w:spacing w:val="-3"/>
        </w:rPr>
        <w:t>bit setting, </w:t>
      </w:r>
      <w:r>
        <w:rPr/>
        <w:t>the </w:t>
      </w:r>
      <w:r>
        <w:rPr>
          <w:spacing w:val="-3"/>
        </w:rPr>
        <w:t>battery load </w:t>
      </w:r>
      <w:r>
        <w:rPr/>
        <w:t>is </w:t>
      </w:r>
      <w:r>
        <w:rPr>
          <w:spacing w:val="-3"/>
        </w:rPr>
        <w:t>never applied </w:t>
      </w:r>
      <w:r>
        <w:rPr/>
        <w:t>in BRN, </w:t>
      </w:r>
      <w:r>
        <w:rPr>
          <w:spacing w:val="-3"/>
        </w:rPr>
        <w:t>LCD, </w:t>
      </w:r>
      <w:r>
        <w:rPr/>
        <w:t>and </w:t>
      </w:r>
      <w:r>
        <w:rPr>
          <w:spacing w:val="-3"/>
        </w:rPr>
        <w:t>SLP </w:t>
      </w:r>
      <w:r>
        <w:rPr/>
        <w:t>modes.</w:t>
      </w:r>
    </w:p>
    <w:p>
      <w:pPr>
        <w:pStyle w:val="ListParagraph"/>
        <w:numPr>
          <w:ilvl w:val="2"/>
          <w:numId w:val="7"/>
        </w:numPr>
        <w:tabs>
          <w:tab w:pos="959" w:val="left" w:leader="none"/>
          <w:tab w:pos="960" w:val="left" w:leader="none"/>
        </w:tabs>
        <w:spacing w:line="240" w:lineRule="auto" w:before="118" w:after="0"/>
        <w:ind w:left="959" w:right="0" w:hanging="720"/>
        <w:jc w:val="left"/>
        <w:rPr>
          <w:b/>
          <w:sz w:val="22"/>
        </w:rPr>
      </w:pPr>
      <w:bookmarkStart w:name="2.5.8 71M6xx3 VCC Monitor" w:id="232"/>
      <w:bookmarkEnd w:id="232"/>
      <w:r>
        <w:rPr/>
      </w:r>
      <w:bookmarkStart w:name="_bookmark113" w:id="233"/>
      <w:bookmarkEnd w:id="233"/>
      <w:r>
        <w:rPr/>
      </w:r>
      <w:bookmarkStart w:name="_bookmark113" w:id="234"/>
      <w:bookmarkEnd w:id="234"/>
      <w:r>
        <w:rPr>
          <w:b/>
          <w:sz w:val="22"/>
        </w:rPr>
        <w:t>71</w:t>
      </w:r>
      <w:r>
        <w:rPr>
          <w:b/>
          <w:sz w:val="22"/>
        </w:rPr>
        <w:t>M6xx3 VCC</w:t>
      </w:r>
      <w:r>
        <w:rPr>
          <w:b/>
          <w:spacing w:val="-4"/>
          <w:sz w:val="22"/>
        </w:rPr>
        <w:t> </w:t>
      </w:r>
      <w:r>
        <w:rPr>
          <w:b/>
          <w:sz w:val="22"/>
        </w:rPr>
        <w:t>Monitor</w:t>
      </w:r>
    </w:p>
    <w:p>
      <w:pPr>
        <w:pStyle w:val="BodyText"/>
        <w:spacing w:before="123"/>
        <w:ind w:left="239" w:right="429"/>
      </w:pPr>
      <w:r>
        <w:rPr/>
        <w:t>The</w:t>
      </w:r>
      <w:r>
        <w:rPr>
          <w:spacing w:val="-7"/>
        </w:rPr>
        <w:t> </w:t>
      </w:r>
      <w:r>
        <w:rPr/>
        <w:t>71M6xx3</w:t>
      </w:r>
      <w:r>
        <w:rPr>
          <w:spacing w:val="-7"/>
        </w:rPr>
        <w:t> </w:t>
      </w:r>
      <w:r>
        <w:rPr/>
        <w:t>monitors</w:t>
      </w:r>
      <w:r>
        <w:rPr>
          <w:spacing w:val="-6"/>
        </w:rPr>
        <w:t> </w:t>
      </w:r>
      <w:r>
        <w:rPr/>
        <w:t>its</w:t>
      </w:r>
      <w:r>
        <w:rPr>
          <w:spacing w:val="-4"/>
        </w:rPr>
        <w:t> </w:t>
      </w:r>
      <w:r>
        <w:rPr/>
        <w:t>VCC</w:t>
      </w:r>
      <w:r>
        <w:rPr>
          <w:spacing w:val="-7"/>
        </w:rPr>
        <w:t> </w:t>
      </w:r>
      <w:r>
        <w:rPr/>
        <w:t>pin</w:t>
      </w:r>
      <w:r>
        <w:rPr>
          <w:spacing w:val="-5"/>
        </w:rPr>
        <w:t> </w:t>
      </w:r>
      <w:r>
        <w:rPr/>
        <w:t>voltage.</w:t>
      </w:r>
      <w:r>
        <w:rPr>
          <w:spacing w:val="-4"/>
        </w:rPr>
        <w:t> </w:t>
      </w:r>
      <w:r>
        <w:rPr/>
        <w:t>The</w:t>
      </w:r>
      <w:r>
        <w:rPr>
          <w:spacing w:val="-9"/>
        </w:rPr>
        <w:t> </w:t>
      </w:r>
      <w:r>
        <w:rPr/>
        <w:t>voltage</w:t>
      </w:r>
      <w:r>
        <w:rPr>
          <w:spacing w:val="-9"/>
        </w:rPr>
        <w:t> </w:t>
      </w:r>
      <w:r>
        <w:rPr/>
        <w:t>of</w:t>
      </w:r>
      <w:r>
        <w:rPr>
          <w:spacing w:val="-9"/>
        </w:rPr>
        <w:t> </w:t>
      </w:r>
      <w:r>
        <w:rPr/>
        <w:t>the</w:t>
      </w:r>
      <w:r>
        <w:rPr>
          <w:spacing w:val="-9"/>
        </w:rPr>
        <w:t> </w:t>
      </w:r>
      <w:r>
        <w:rPr/>
        <w:t>VCC</w:t>
      </w:r>
      <w:r>
        <w:rPr>
          <w:spacing w:val="-11"/>
        </w:rPr>
        <w:t> </w:t>
      </w:r>
      <w:r>
        <w:rPr/>
        <w:t>pin</w:t>
      </w:r>
      <w:r>
        <w:rPr>
          <w:spacing w:val="-11"/>
        </w:rPr>
        <w:t> </w:t>
      </w:r>
      <w:r>
        <w:rPr/>
        <w:t>can</w:t>
      </w:r>
      <w:r>
        <w:rPr>
          <w:spacing w:val="-10"/>
        </w:rPr>
        <w:t> </w:t>
      </w:r>
      <w:r>
        <w:rPr/>
        <w:t>be</w:t>
      </w:r>
      <w:r>
        <w:rPr>
          <w:spacing w:val="-10"/>
        </w:rPr>
        <w:t> </w:t>
      </w:r>
      <w:r>
        <w:rPr/>
        <w:t>obtained</w:t>
      </w:r>
      <w:r>
        <w:rPr>
          <w:spacing w:val="-11"/>
        </w:rPr>
        <w:t> </w:t>
      </w:r>
      <w:r>
        <w:rPr/>
        <w:t>by</w:t>
      </w:r>
      <w:r>
        <w:rPr>
          <w:spacing w:val="-12"/>
        </w:rPr>
        <w:t> </w:t>
      </w:r>
      <w:r>
        <w:rPr/>
        <w:t>the</w:t>
      </w:r>
      <w:r>
        <w:rPr>
          <w:spacing w:val="-10"/>
        </w:rPr>
        <w:t> </w:t>
      </w:r>
      <w:r>
        <w:rPr/>
        <w:t>71M6543 by issuing a read command to the 71M6xx3. The 71M6543 must request both the </w:t>
      </w:r>
      <w:r>
        <w:rPr>
          <w:rFonts w:ascii="Times New Roman"/>
          <w:i/>
        </w:rPr>
        <w:t>VSENSE[7:0] </w:t>
      </w:r>
      <w:r>
        <w:rPr>
          <w:spacing w:val="-3"/>
        </w:rPr>
        <w:t>and </w:t>
      </w:r>
      <w:r>
        <w:rPr>
          <w:rFonts w:ascii="Times New Roman"/>
          <w:i/>
        </w:rPr>
        <w:t>STEMP[10:0] </w:t>
      </w:r>
      <w:r>
        <w:rPr>
          <w:spacing w:val="-3"/>
        </w:rPr>
        <w:t>values </w:t>
      </w:r>
      <w:r>
        <w:rPr/>
        <w:t>from the 71M6xx3. See the 71M6xxx Data Sheet for the equation to </w:t>
      </w:r>
      <w:r>
        <w:rPr>
          <w:spacing w:val="-2"/>
        </w:rPr>
        <w:t>calculate </w:t>
      </w:r>
      <w:r>
        <w:rPr/>
        <w:t>the 71M6xx3</w:t>
      </w:r>
      <w:r>
        <w:rPr>
          <w:spacing w:val="-9"/>
        </w:rPr>
        <w:t> </w:t>
      </w:r>
      <w:r>
        <w:rPr/>
        <w:t>VCC</w:t>
      </w:r>
      <w:r>
        <w:rPr>
          <w:spacing w:val="-8"/>
        </w:rPr>
        <w:t> </w:t>
      </w:r>
      <w:r>
        <w:rPr/>
        <w:t>pin</w:t>
      </w:r>
      <w:r>
        <w:rPr>
          <w:spacing w:val="-8"/>
        </w:rPr>
        <w:t> </w:t>
      </w:r>
      <w:r>
        <w:rPr/>
        <w:t>voltage</w:t>
      </w:r>
      <w:r>
        <w:rPr>
          <w:spacing w:val="-9"/>
        </w:rPr>
        <w:t> </w:t>
      </w:r>
      <w:r>
        <w:rPr/>
        <w:t>from</w:t>
      </w:r>
      <w:r>
        <w:rPr>
          <w:spacing w:val="-6"/>
        </w:rPr>
        <w:t> </w:t>
      </w:r>
      <w:r>
        <w:rPr/>
        <w:t>the</w:t>
      </w:r>
      <w:r>
        <w:rPr>
          <w:spacing w:val="-10"/>
        </w:rPr>
        <w:t> </w:t>
      </w:r>
      <w:r>
        <w:rPr>
          <w:rFonts w:ascii="Times New Roman"/>
          <w:i/>
        </w:rPr>
        <w:t>VSENSE[7:0]</w:t>
      </w:r>
      <w:r>
        <w:rPr>
          <w:rFonts w:ascii="Times New Roman"/>
          <w:i/>
          <w:spacing w:val="2"/>
        </w:rPr>
        <w:t> </w:t>
      </w:r>
      <w:r>
        <w:rPr/>
        <w:t>and</w:t>
      </w:r>
      <w:r>
        <w:rPr>
          <w:spacing w:val="-11"/>
        </w:rPr>
        <w:t> </w:t>
      </w:r>
      <w:r>
        <w:rPr>
          <w:rFonts w:ascii="Times New Roman"/>
          <w:i/>
        </w:rPr>
        <w:t>STEMP[10:0]</w:t>
      </w:r>
      <w:r>
        <w:rPr>
          <w:rFonts w:ascii="Times New Roman"/>
          <w:i/>
          <w:spacing w:val="2"/>
        </w:rPr>
        <w:t> </w:t>
      </w:r>
      <w:r>
        <w:rPr>
          <w:spacing w:val="-3"/>
        </w:rPr>
        <w:t>values</w:t>
      </w:r>
      <w:r>
        <w:rPr>
          <w:spacing w:val="-8"/>
        </w:rPr>
        <w:t> </w:t>
      </w:r>
      <w:r>
        <w:rPr/>
        <w:t>read</w:t>
      </w:r>
      <w:r>
        <w:rPr>
          <w:spacing w:val="-9"/>
        </w:rPr>
        <w:t> </w:t>
      </w:r>
      <w:r>
        <w:rPr/>
        <w:t>from</w:t>
      </w:r>
      <w:r>
        <w:rPr>
          <w:spacing w:val="-8"/>
        </w:rPr>
        <w:t> </w:t>
      </w:r>
      <w:r>
        <w:rPr/>
        <w:t>the</w:t>
      </w:r>
      <w:r>
        <w:rPr>
          <w:spacing w:val="-9"/>
        </w:rPr>
        <w:t> </w:t>
      </w:r>
      <w:r>
        <w:rPr/>
        <w:t>71M6xx3.</w:t>
      </w:r>
    </w:p>
    <w:p>
      <w:pPr>
        <w:pStyle w:val="BodyText"/>
        <w:spacing w:line="229" w:lineRule="exact" w:before="119"/>
        <w:ind w:left="239"/>
      </w:pPr>
      <w:r>
        <w:rPr/>
        <w:t>See </w:t>
      </w:r>
      <w:hyperlink w:history="true" w:anchor="_bookmark22">
        <w:r>
          <w:rPr>
            <w:color w:val="0000FF"/>
          </w:rPr>
          <w:t>2.2.8.3 </w:t>
        </w:r>
      </w:hyperlink>
      <w:hyperlink w:history="true" w:anchor="_bookmark22">
        <w:r>
          <w:rPr>
            <w:color w:val="0000FF"/>
          </w:rPr>
          <w:t>Control of the 71M6xx3 Isolated Sensor </w:t>
        </w:r>
      </w:hyperlink>
      <w:r>
        <w:rPr/>
        <w:t>on page </w:t>
      </w:r>
      <w:hyperlink w:history="true" w:anchor="_bookmark22">
        <w:r>
          <w:rPr>
            <w:color w:val="0000FF"/>
          </w:rPr>
          <w:t>22 </w:t>
        </w:r>
      </w:hyperlink>
      <w:r>
        <w:rPr/>
        <w:t>for information on how to read</w:t>
      </w:r>
    </w:p>
    <w:p>
      <w:pPr>
        <w:spacing w:line="230" w:lineRule="exact" w:before="0"/>
        <w:ind w:left="239" w:right="0" w:firstLine="0"/>
        <w:jc w:val="left"/>
        <w:rPr>
          <w:sz w:val="20"/>
        </w:rPr>
      </w:pPr>
      <w:r>
        <w:rPr>
          <w:rFonts w:ascii="Times New Roman"/>
          <w:i/>
          <w:sz w:val="20"/>
        </w:rPr>
        <w:t>VSENSE[7:0] </w:t>
      </w:r>
      <w:r>
        <w:rPr>
          <w:sz w:val="20"/>
        </w:rPr>
        <w:t>and </w:t>
      </w:r>
      <w:r>
        <w:rPr>
          <w:rFonts w:ascii="Times New Roman"/>
          <w:i/>
          <w:sz w:val="20"/>
        </w:rPr>
        <w:t>STEMP[10:0] </w:t>
      </w:r>
      <w:r>
        <w:rPr>
          <w:sz w:val="20"/>
        </w:rPr>
        <w:t>from the 71M6xx3 remote sensors.</w:t>
      </w:r>
    </w:p>
    <w:p>
      <w:pPr>
        <w:pStyle w:val="ListParagraph"/>
        <w:numPr>
          <w:ilvl w:val="2"/>
          <w:numId w:val="7"/>
        </w:numPr>
        <w:tabs>
          <w:tab w:pos="959" w:val="left" w:leader="none"/>
          <w:tab w:pos="960" w:val="left" w:leader="none"/>
        </w:tabs>
        <w:spacing w:line="240" w:lineRule="auto" w:before="120" w:after="0"/>
        <w:ind w:left="959" w:right="0" w:hanging="720"/>
        <w:jc w:val="left"/>
        <w:rPr>
          <w:b/>
          <w:sz w:val="22"/>
        </w:rPr>
      </w:pPr>
      <w:bookmarkStart w:name="2.5.9 UART and Optical Interface" w:id="235"/>
      <w:bookmarkEnd w:id="235"/>
      <w:r>
        <w:rPr/>
      </w:r>
      <w:bookmarkStart w:name="_bookmark114" w:id="236"/>
      <w:bookmarkEnd w:id="236"/>
      <w:r>
        <w:rPr/>
      </w:r>
      <w:bookmarkStart w:name="_bookmark114" w:id="237"/>
      <w:bookmarkEnd w:id="237"/>
      <w:r>
        <w:rPr>
          <w:b/>
          <w:sz w:val="22"/>
        </w:rPr>
        <w:t>U</w:t>
      </w:r>
      <w:r>
        <w:rPr>
          <w:b/>
          <w:sz w:val="22"/>
        </w:rPr>
        <w:t>ART and Optical</w:t>
      </w:r>
      <w:r>
        <w:rPr>
          <w:b/>
          <w:spacing w:val="-2"/>
          <w:sz w:val="22"/>
        </w:rPr>
        <w:t> </w:t>
      </w:r>
      <w:r>
        <w:rPr>
          <w:b/>
          <w:sz w:val="22"/>
        </w:rPr>
        <w:t>Interface</w:t>
      </w:r>
    </w:p>
    <w:p>
      <w:pPr>
        <w:pStyle w:val="BodyText"/>
        <w:spacing w:line="230" w:lineRule="auto" w:before="121"/>
        <w:ind w:left="239" w:right="505"/>
      </w:pPr>
      <w:r>
        <w:rPr/>
        <w:t>The 71M6543 provides two asynchronous interfaces, UART0 and UART1. Both can be used to connect to AMR modules, user interfaces, etc., and also support a mechanism for programming the on-chip flash memory.</w:t>
      </w:r>
    </w:p>
    <w:p>
      <w:pPr>
        <w:pStyle w:val="BodyText"/>
        <w:spacing w:line="230" w:lineRule="auto" w:before="120"/>
        <w:ind w:left="239" w:right="401"/>
      </w:pPr>
      <w:r>
        <w:rPr/>
        <w:t>Referring to </w:t>
      </w:r>
      <w:hyperlink w:history="true" w:anchor="_bookmark115">
        <w:r>
          <w:rPr>
            <w:color w:val="0000FF"/>
          </w:rPr>
          <w:t>Figure 14</w:t>
        </w:r>
        <w:r>
          <w:rPr/>
          <w:t>, </w:t>
        </w:r>
      </w:hyperlink>
      <w:r>
        <w:rPr/>
        <w:t>UART1 includes an interface to implement an IR/optical port. The pin OPT_TX is designed to directly drive an external LED for transmitting data on an optical link. The pin OPT_RX has the</w:t>
      </w:r>
      <w:r>
        <w:rPr>
          <w:spacing w:val="-7"/>
        </w:rPr>
        <w:t> </w:t>
      </w:r>
      <w:r>
        <w:rPr/>
        <w:t>same</w:t>
      </w:r>
      <w:r>
        <w:rPr>
          <w:spacing w:val="-7"/>
        </w:rPr>
        <w:t> </w:t>
      </w:r>
      <w:r>
        <w:rPr/>
        <w:t>threshold</w:t>
      </w:r>
      <w:r>
        <w:rPr>
          <w:spacing w:val="-7"/>
        </w:rPr>
        <w:t> </w:t>
      </w:r>
      <w:r>
        <w:rPr/>
        <w:t>as</w:t>
      </w:r>
      <w:r>
        <w:rPr>
          <w:spacing w:val="-8"/>
        </w:rPr>
        <w:t> </w:t>
      </w:r>
      <w:r>
        <w:rPr/>
        <w:t>the</w:t>
      </w:r>
      <w:r>
        <w:rPr>
          <w:spacing w:val="-9"/>
        </w:rPr>
        <w:t> </w:t>
      </w:r>
      <w:r>
        <w:rPr/>
        <w:t>RX</w:t>
      </w:r>
      <w:r>
        <w:rPr>
          <w:spacing w:val="-10"/>
        </w:rPr>
        <w:t> </w:t>
      </w:r>
      <w:r>
        <w:rPr/>
        <w:t>pin,</w:t>
      </w:r>
      <w:r>
        <w:rPr>
          <w:spacing w:val="-8"/>
        </w:rPr>
        <w:t> </w:t>
      </w:r>
      <w:r>
        <w:rPr/>
        <w:t>but</w:t>
      </w:r>
      <w:r>
        <w:rPr>
          <w:spacing w:val="-11"/>
        </w:rPr>
        <w:t> </w:t>
      </w:r>
      <w:r>
        <w:rPr/>
        <w:t>can</w:t>
      </w:r>
      <w:r>
        <w:rPr>
          <w:spacing w:val="-10"/>
        </w:rPr>
        <w:t> </w:t>
      </w:r>
      <w:r>
        <w:rPr/>
        <w:t>also</w:t>
      </w:r>
      <w:r>
        <w:rPr>
          <w:spacing w:val="-9"/>
        </w:rPr>
        <w:t> </w:t>
      </w:r>
      <w:r>
        <w:rPr/>
        <w:t>be</w:t>
      </w:r>
      <w:r>
        <w:rPr>
          <w:spacing w:val="-12"/>
        </w:rPr>
        <w:t> </w:t>
      </w:r>
      <w:r>
        <w:rPr/>
        <w:t>used</w:t>
      </w:r>
      <w:r>
        <w:rPr>
          <w:spacing w:val="-11"/>
        </w:rPr>
        <w:t> </w:t>
      </w:r>
      <w:r>
        <w:rPr/>
        <w:t>to</w:t>
      </w:r>
      <w:r>
        <w:rPr>
          <w:spacing w:val="-11"/>
        </w:rPr>
        <w:t> </w:t>
      </w:r>
      <w:r>
        <w:rPr/>
        <w:t>sense</w:t>
      </w:r>
      <w:r>
        <w:rPr>
          <w:spacing w:val="-10"/>
        </w:rPr>
        <w:t> </w:t>
      </w:r>
      <w:r>
        <w:rPr/>
        <w:t>the</w:t>
      </w:r>
      <w:r>
        <w:rPr>
          <w:spacing w:val="-9"/>
        </w:rPr>
        <w:t> </w:t>
      </w:r>
      <w:r>
        <w:rPr/>
        <w:t>input</w:t>
      </w:r>
      <w:r>
        <w:rPr>
          <w:spacing w:val="-12"/>
        </w:rPr>
        <w:t> </w:t>
      </w:r>
      <w:r>
        <w:rPr/>
        <w:t>from</w:t>
      </w:r>
      <w:r>
        <w:rPr>
          <w:spacing w:val="-6"/>
        </w:rPr>
        <w:t> </w:t>
      </w:r>
      <w:r>
        <w:rPr/>
        <w:t>an</w:t>
      </w:r>
      <w:r>
        <w:rPr>
          <w:spacing w:val="-10"/>
        </w:rPr>
        <w:t> </w:t>
      </w:r>
      <w:r>
        <w:rPr/>
        <w:t>external</w:t>
      </w:r>
      <w:r>
        <w:rPr>
          <w:spacing w:val="-9"/>
        </w:rPr>
        <w:t> </w:t>
      </w:r>
      <w:r>
        <w:rPr/>
        <w:t>photo</w:t>
      </w:r>
      <w:r>
        <w:rPr>
          <w:spacing w:val="-10"/>
        </w:rPr>
        <w:t> </w:t>
      </w:r>
      <w:r>
        <w:rPr>
          <w:spacing w:val="-3"/>
        </w:rPr>
        <w:t>detector </w:t>
      </w:r>
      <w:r>
        <w:rPr/>
        <w:t>used as the receiver for the optical link. OPT_TX and OPT_RX are connected to a dedicated UART port (UART1).</w:t>
      </w:r>
    </w:p>
    <w:p>
      <w:pPr>
        <w:spacing w:line="230" w:lineRule="auto" w:before="115"/>
        <w:ind w:left="239" w:right="405" w:firstLine="0"/>
        <w:jc w:val="left"/>
        <w:rPr>
          <w:sz w:val="20"/>
        </w:rPr>
      </w:pPr>
      <w:r>
        <w:rPr>
          <w:sz w:val="20"/>
        </w:rPr>
        <w:t>The OPT_TX and OPT_RX pins can be inverted with configuration bits </w:t>
      </w:r>
      <w:r>
        <w:rPr>
          <w:rFonts w:ascii="Times New Roman"/>
          <w:i/>
          <w:sz w:val="20"/>
        </w:rPr>
        <w:t>OPT_TXINV (I/O RAM 0x2456[0]) </w:t>
      </w:r>
      <w:r>
        <w:rPr>
          <w:sz w:val="20"/>
        </w:rPr>
        <w:t>and </w:t>
      </w:r>
      <w:r>
        <w:rPr>
          <w:rFonts w:ascii="Times New Roman"/>
          <w:i/>
          <w:sz w:val="20"/>
        </w:rPr>
        <w:t>OPT_RXINV (I/O RAM 0x2457[1])</w:t>
      </w:r>
      <w:r>
        <w:rPr>
          <w:sz w:val="20"/>
        </w:rPr>
        <w:t>, respectively. Additionally, the OPT_TX output may be modulated at 38 kHz. Modulation is available in MSN and BRN modes (see </w:t>
      </w:r>
      <w:hyperlink w:history="true" w:anchor="_bookmark153">
        <w:r>
          <w:rPr>
            <w:color w:val="0000FF"/>
            <w:sz w:val="20"/>
          </w:rPr>
          <w:t>Table 61</w:t>
        </w:r>
      </w:hyperlink>
      <w:r>
        <w:rPr>
          <w:sz w:val="20"/>
        </w:rPr>
        <w:t>). The </w:t>
      </w:r>
      <w:r>
        <w:rPr>
          <w:rFonts w:ascii="Times New Roman"/>
          <w:i/>
          <w:sz w:val="20"/>
        </w:rPr>
        <w:t>OPT_TXMOD </w:t>
      </w:r>
      <w:r>
        <w:rPr>
          <w:sz w:val="20"/>
        </w:rPr>
        <w:t>bit (</w:t>
      </w:r>
      <w:r>
        <w:rPr>
          <w:rFonts w:ascii="Times New Roman"/>
          <w:i/>
          <w:sz w:val="20"/>
        </w:rPr>
        <w:t>I/O RAM </w:t>
      </w:r>
      <w:r>
        <w:rPr>
          <w:rFonts w:ascii="Times New Roman"/>
          <w:i/>
          <w:sz w:val="20"/>
        </w:rPr>
        <w:t>0x2456[1]</w:t>
      </w:r>
      <w:r>
        <w:rPr>
          <w:sz w:val="20"/>
        </w:rPr>
        <w:t>) enables modulation. The duty cycle is controlled by </w:t>
      </w:r>
      <w:r>
        <w:rPr>
          <w:rFonts w:ascii="Times New Roman"/>
          <w:i/>
          <w:sz w:val="20"/>
        </w:rPr>
        <w:t>OPT_FDC[1:0] (I/O RAM 0x2457[5:4]) </w:t>
      </w:r>
      <w:r>
        <w:rPr>
          <w:i/>
          <w:sz w:val="20"/>
        </w:rPr>
        <w:t>, </w:t>
      </w:r>
      <w:r>
        <w:rPr>
          <w:sz w:val="20"/>
        </w:rPr>
        <w:t>which can select 50%, 25%, 12.5%, and 6.25% duty cycle. A 6.25% duty cycle means that OPT_TX is low for 6.25% of the</w:t>
      </w:r>
      <w:r>
        <w:rPr>
          <w:spacing w:val="-4"/>
          <w:sz w:val="20"/>
        </w:rPr>
        <w:t> </w:t>
      </w:r>
      <w:r>
        <w:rPr>
          <w:sz w:val="20"/>
        </w:rPr>
        <w:t>period.</w:t>
      </w:r>
    </w:p>
    <w:p>
      <w:pPr>
        <w:spacing w:after="0" w:line="230" w:lineRule="auto"/>
        <w:jc w:val="left"/>
        <w:rPr>
          <w:sz w:val="20"/>
        </w:rPr>
        <w:sectPr>
          <w:pgSz w:w="12240" w:h="15840"/>
          <w:pgMar w:header="727" w:footer="819" w:top="960" w:bottom="1000" w:left="1200" w:right="1060"/>
        </w:sectPr>
      </w:pPr>
    </w:p>
    <w:p>
      <w:pPr>
        <w:pStyle w:val="BodyText"/>
        <w:spacing w:before="1"/>
        <w:rPr>
          <w:sz w:val="16"/>
        </w:rPr>
      </w:pPr>
    </w:p>
    <w:p>
      <w:pPr>
        <w:spacing w:line="228" w:lineRule="auto" w:before="102"/>
        <w:ind w:left="240" w:right="574" w:firstLine="0"/>
        <w:jc w:val="left"/>
        <w:rPr>
          <w:sz w:val="20"/>
        </w:rPr>
      </w:pPr>
      <w:r>
        <w:rPr>
          <w:sz w:val="20"/>
        </w:rPr>
        <w:t>When not needed for UART1, OPT_TX can alternatively be configured as SEGDIO51. Configuration is via the </w:t>
      </w:r>
      <w:r>
        <w:rPr>
          <w:rFonts w:ascii="Times New Roman"/>
          <w:i/>
          <w:sz w:val="20"/>
        </w:rPr>
        <w:t>OPT_TXE[1:0] (I/O RAM 0x2456[3:2]) </w:t>
      </w:r>
      <w:r>
        <w:rPr>
          <w:sz w:val="20"/>
        </w:rPr>
        <w:t>field </w:t>
      </w:r>
      <w:r>
        <w:rPr>
          <w:i/>
          <w:sz w:val="20"/>
        </w:rPr>
        <w:t>and </w:t>
      </w:r>
      <w:r>
        <w:rPr>
          <w:rFonts w:ascii="Times New Roman"/>
          <w:i/>
          <w:sz w:val="20"/>
        </w:rPr>
        <w:t>LCD_MAP[51] (I/O RAM 0x2405[0])</w:t>
      </w:r>
      <w:r>
        <w:rPr>
          <w:i/>
          <w:sz w:val="20"/>
        </w:rPr>
        <w:t>. </w:t>
      </w:r>
      <w:r>
        <w:rPr>
          <w:sz w:val="20"/>
        </w:rPr>
        <w:t>The</w:t>
      </w:r>
    </w:p>
    <w:p>
      <w:pPr>
        <w:spacing w:line="230" w:lineRule="auto" w:before="0"/>
        <w:ind w:left="239" w:right="401" w:firstLine="0"/>
        <w:jc w:val="left"/>
        <w:rPr>
          <w:sz w:val="20"/>
        </w:rPr>
      </w:pPr>
      <w:r>
        <w:rPr>
          <w:rFonts w:ascii="Times New Roman"/>
          <w:i/>
          <w:sz w:val="20"/>
        </w:rPr>
        <w:t>OPT_TXE[1:0] </w:t>
      </w:r>
      <w:r>
        <w:rPr>
          <w:sz w:val="20"/>
        </w:rPr>
        <w:t>field allows the MPU to select VPULSE, WPULSE, SEGDIO51 or the output of the pulse modulator to be sourced onto the OPT_TX pin. Likewise, the OPT_RX pin can alternately be configured as SEGDIO55, and its control is </w:t>
      </w:r>
      <w:r>
        <w:rPr>
          <w:rFonts w:ascii="Times New Roman"/>
          <w:i/>
          <w:sz w:val="20"/>
        </w:rPr>
        <w:t>OPT_RXDIS (I/O RAM 0x2457[2]) </w:t>
      </w:r>
      <w:r>
        <w:rPr>
          <w:sz w:val="20"/>
        </w:rPr>
        <w:t>and </w:t>
      </w:r>
      <w:r>
        <w:rPr>
          <w:rFonts w:ascii="Times New Roman"/>
          <w:i/>
          <w:sz w:val="20"/>
        </w:rPr>
        <w:t>LCD_MAP[55] (I/O RAM 0x2405[4])</w:t>
      </w:r>
      <w:r>
        <w:rPr>
          <w:sz w:val="20"/>
        </w:rPr>
        <w:t>.</w:t>
      </w:r>
    </w:p>
    <w:p>
      <w:pPr>
        <w:pStyle w:val="BodyText"/>
      </w:pPr>
    </w:p>
    <w:p>
      <w:pPr>
        <w:pStyle w:val="BodyText"/>
        <w:spacing w:before="1"/>
        <w:rPr>
          <w:sz w:val="28"/>
        </w:rPr>
      </w:pPr>
    </w:p>
    <w:p>
      <w:pPr>
        <w:spacing w:after="0"/>
        <w:rPr>
          <w:sz w:val="28"/>
        </w:rPr>
        <w:sectPr>
          <w:pgSz w:w="12240" w:h="15840"/>
          <w:pgMar w:header="727" w:footer="819" w:top="960" w:bottom="1000" w:left="1200" w:right="1060"/>
        </w:sectPr>
      </w:pPr>
    </w:p>
    <w:p>
      <w:pPr>
        <w:pStyle w:val="BodyText"/>
      </w:pPr>
    </w:p>
    <w:p>
      <w:pPr>
        <w:pStyle w:val="BodyText"/>
      </w:pPr>
    </w:p>
    <w:p>
      <w:pPr>
        <w:pStyle w:val="BodyText"/>
        <w:spacing w:before="10"/>
        <w:rPr>
          <w:sz w:val="18"/>
        </w:rPr>
      </w:pPr>
    </w:p>
    <w:p>
      <w:pPr>
        <w:spacing w:before="0"/>
        <w:ind w:left="313" w:right="0" w:firstLine="0"/>
        <w:jc w:val="left"/>
        <w:rPr>
          <w:sz w:val="18"/>
        </w:rPr>
      </w:pPr>
      <w:r>
        <w:rPr>
          <w:sz w:val="18"/>
        </w:rPr>
        <w:t>from</w:t>
      </w:r>
    </w:p>
    <w:p>
      <w:pPr>
        <w:spacing w:before="7"/>
        <w:ind w:left="313" w:right="0" w:firstLine="0"/>
        <w:jc w:val="left"/>
        <w:rPr>
          <w:sz w:val="18"/>
        </w:rPr>
      </w:pPr>
      <w:r>
        <w:rPr>
          <w:sz w:val="18"/>
        </w:rPr>
        <w:t>OPT_TX UART</w:t>
      </w:r>
    </w:p>
    <w:p>
      <w:pPr>
        <w:spacing w:line="309" w:lineRule="auto" w:before="160"/>
        <w:ind w:left="1865" w:right="281" w:hanging="200"/>
        <w:jc w:val="right"/>
        <w:rPr>
          <w:sz w:val="18"/>
        </w:rPr>
      </w:pPr>
      <w:r>
        <w:rPr/>
        <w:br w:type="column"/>
      </w:r>
      <w:r>
        <w:rPr>
          <w:w w:val="95"/>
          <w:sz w:val="18"/>
        </w:rPr>
        <w:t>VARPULSE WPULSE</w:t>
      </w:r>
    </w:p>
    <w:p>
      <w:pPr>
        <w:spacing w:line="193" w:lineRule="exact" w:before="1"/>
        <w:ind w:left="0" w:right="281" w:firstLine="0"/>
        <w:jc w:val="right"/>
        <w:rPr>
          <w:sz w:val="18"/>
        </w:rPr>
      </w:pPr>
      <w:r>
        <w:rPr/>
        <w:pict>
          <v:group style="position:absolute;margin-left:153.884155pt;margin-top:9.453751pt;width:98.7pt;height:18.8pt;mso-position-horizontal-relative:page;mso-position-vertical-relative:paragraph;z-index:15780864" coordorigin="3078,189" coordsize="1974,376">
            <v:line style="position:absolute" from="3118,289" to="4550,289" stroked="true" strokeweight=".237739pt" strokecolor="#000000">
              <v:stroke dashstyle="solid"/>
            </v:line>
            <v:shape style="position:absolute;left:4594;top:199;width:455;height:363" coordorigin="4595,200" coordsize="455,363" path="m4601,205l4624,275,4636,347,4636,420,4624,492,4601,562,4595,556,4789,556,4796,562,4873,540,4943,502,5002,449,5049,384,5002,318,4943,265,4873,227,4796,205,4789,200,4595,200e" filled="false" stroked="true" strokeweight=".238095pt" strokecolor="#000000">
              <v:path arrowok="t"/>
              <v:stroke dashstyle="solid"/>
            </v:shape>
            <v:shape style="position:absolute;left:4191;top:202;width:433;height:362" type="#_x0000_t75" stroked="false">
              <v:imagedata r:id="rId118" o:title=""/>
            </v:shape>
            <v:shape style="position:absolute;left:3080;top:272;width:45;height:45" coordorigin="3080,272" coordsize="45,45" path="m3080,294l3080,282,3090,272,3102,272,3115,272,3125,282,3125,294,3125,307,3115,317,3102,317,3090,317,3080,307,3080,294e" filled="false" stroked="true" strokeweight=".238196pt" strokecolor="#000000">
              <v:path arrowok="t"/>
              <v:stroke dashstyle="solid"/>
            </v:shape>
            <v:shape style="position:absolute;left:3077;top:189;width:1974;height:376" type="#_x0000_t202" filled="false" stroked="false">
              <v:textbox inset="0,0,0,0">
                <w:txbxContent>
                  <w:p>
                    <w:pPr>
                      <w:spacing w:line="207" w:lineRule="exact" w:before="169"/>
                      <w:ind w:left="106" w:right="0" w:firstLine="0"/>
                      <w:jc w:val="left"/>
                      <w:rPr>
                        <w:rFonts w:ascii="Times New Roman"/>
                        <w:i/>
                        <w:sz w:val="18"/>
                      </w:rPr>
                    </w:pPr>
                    <w:r>
                      <w:rPr>
                        <w:rFonts w:ascii="Times New Roman"/>
                        <w:i/>
                        <w:sz w:val="18"/>
                      </w:rPr>
                      <w:t>OPT_TXINV</w:t>
                    </w:r>
                  </w:p>
                </w:txbxContent>
              </v:textbox>
              <w10:wrap type="none"/>
            </v:shape>
            <w10:wrap type="none"/>
          </v:group>
        </w:pict>
      </w:r>
      <w:r>
        <w:rPr/>
        <w:pict>
          <v:group style="position:absolute;margin-left:281.07254pt;margin-top:7.636715pt;width:58.45pt;height:44.85pt;mso-position-horizontal-relative:page;mso-position-vertical-relative:paragraph;z-index:-38798336" coordorigin="5621,153" coordsize="1169,897">
            <v:shape style="position:absolute;left:5623;top:690;width:269;height:90" coordorigin="5624,690" coordsize="269,90" path="m5624,779l5892,779,5892,690e" filled="false" stroked="true" strokeweight=".23783pt" strokecolor="#000000">
              <v:path arrowok="t"/>
              <v:stroke dashstyle="solid"/>
            </v:shape>
            <v:shape style="position:absolute;left:5623;top:690;width:895;height:313" coordorigin="5624,690" coordsize="895,313" path="m5624,1002l6519,1002,6519,690e" filled="false" stroked="true" strokeweight=".237838pt" strokecolor="#000000">
              <v:path arrowok="t"/>
              <v:stroke dashstyle="solid"/>
            </v:shape>
            <v:line style="position:absolute" from="6191,957" to="6101,1047" stroked="true" strokeweight=".238196pt" strokecolor="#000000">
              <v:stroke dashstyle="solid"/>
            </v:line>
            <v:shape style="position:absolute;left:5713;top:155;width:1074;height:535" type="#_x0000_t202" filled="false" stroked="true" strokeweight=".237922pt" strokecolor="#000000">
              <v:textbox inset="0,0,0,0">
                <w:txbxContent>
                  <w:p>
                    <w:pPr>
                      <w:spacing w:before="21"/>
                      <w:ind w:left="0" w:right="7" w:firstLine="0"/>
                      <w:jc w:val="center"/>
                      <w:rPr>
                        <w:sz w:val="18"/>
                      </w:rPr>
                    </w:pPr>
                    <w:r>
                      <w:rPr>
                        <w:sz w:val="18"/>
                      </w:rPr>
                      <w:t>MOD</w:t>
                    </w:r>
                  </w:p>
                  <w:p>
                    <w:pPr>
                      <w:tabs>
                        <w:tab w:pos="479" w:val="left" w:leader="none"/>
                      </w:tabs>
                      <w:spacing w:line="196" w:lineRule="exact" w:before="105"/>
                      <w:ind w:left="0" w:right="5" w:firstLine="0"/>
                      <w:jc w:val="center"/>
                      <w:rPr>
                        <w:sz w:val="18"/>
                      </w:rPr>
                    </w:pPr>
                    <w:r>
                      <w:rPr>
                        <w:sz w:val="18"/>
                      </w:rPr>
                      <w:t>EN</w:t>
                      <w:tab/>
                      <w:t>DUTY</w:t>
                    </w:r>
                  </w:p>
                </w:txbxContent>
              </v:textbox>
              <v:stroke dashstyle="solid"/>
              <w10:wrap type="none"/>
            </v:shape>
            <w10:wrap type="none"/>
          </v:group>
        </w:pict>
      </w:r>
      <w:r>
        <w:rPr>
          <w:spacing w:val="-2"/>
          <w:sz w:val="18"/>
        </w:rPr>
        <w:t>DIO2</w:t>
      </w:r>
    </w:p>
    <w:p>
      <w:pPr>
        <w:tabs>
          <w:tab w:pos="753" w:val="left" w:leader="none"/>
          <w:tab w:pos="2058" w:val="left" w:leader="none"/>
          <w:tab w:pos="2382" w:val="left" w:leader="none"/>
          <w:tab w:pos="2774" w:val="left" w:leader="none"/>
        </w:tabs>
        <w:spacing w:line="218" w:lineRule="auto" w:before="0"/>
        <w:ind w:left="313" w:right="0" w:firstLine="0"/>
        <w:jc w:val="left"/>
        <w:rPr>
          <w:sz w:val="18"/>
        </w:rPr>
      </w:pPr>
      <w:r>
        <w:rPr/>
        <w:drawing>
          <wp:anchor distT="0" distB="0" distL="0" distR="0" allowOverlap="1" layoutInCell="1" locked="0" behindDoc="1" simplePos="0" relativeHeight="464516608">
            <wp:simplePos x="0" y="0"/>
            <wp:positionH relativeFrom="page">
              <wp:posOffset>3561663</wp:posOffset>
            </wp:positionH>
            <wp:positionV relativeFrom="paragraph">
              <wp:posOffset>89495</wp:posOffset>
            </wp:positionV>
            <wp:extent cx="66301" cy="69443"/>
            <wp:effectExtent l="0" t="0" r="0" b="0"/>
            <wp:wrapNone/>
            <wp:docPr id="51" name="image95.png"/>
            <wp:cNvGraphicFramePr>
              <a:graphicFrameLocks noChangeAspect="1"/>
            </wp:cNvGraphicFramePr>
            <a:graphic>
              <a:graphicData uri="http://schemas.openxmlformats.org/drawingml/2006/picture">
                <pic:pic>
                  <pic:nvPicPr>
                    <pic:cNvPr id="52" name="image95.png"/>
                    <pic:cNvPicPr/>
                  </pic:nvPicPr>
                  <pic:blipFill>
                    <a:blip r:embed="rId119" cstate="print"/>
                    <a:stretch>
                      <a:fillRect/>
                    </a:stretch>
                  </pic:blipFill>
                  <pic:spPr>
                    <a:xfrm>
                      <a:off x="0" y="0"/>
                      <a:ext cx="66301" cy="69443"/>
                    </a:xfrm>
                    <a:prstGeom prst="rect">
                      <a:avLst/>
                    </a:prstGeom>
                  </pic:spPr>
                </pic:pic>
              </a:graphicData>
            </a:graphic>
          </wp:anchor>
        </w:drawing>
      </w:r>
      <w:r>
        <w:rPr/>
        <w:drawing>
          <wp:anchor distT="0" distB="0" distL="0" distR="0" allowOverlap="1" layoutInCell="1" locked="0" behindDoc="1" simplePos="0" relativeHeight="464517120">
            <wp:simplePos x="0" y="0"/>
            <wp:positionH relativeFrom="page">
              <wp:posOffset>4745617</wp:posOffset>
            </wp:positionH>
            <wp:positionV relativeFrom="paragraph">
              <wp:posOffset>117800</wp:posOffset>
            </wp:positionV>
            <wp:extent cx="75773" cy="69443"/>
            <wp:effectExtent l="0" t="0" r="0" b="0"/>
            <wp:wrapNone/>
            <wp:docPr id="53" name="image96.png"/>
            <wp:cNvGraphicFramePr>
              <a:graphicFrameLocks noChangeAspect="1"/>
            </wp:cNvGraphicFramePr>
            <a:graphic>
              <a:graphicData uri="http://schemas.openxmlformats.org/drawingml/2006/picture">
                <pic:pic>
                  <pic:nvPicPr>
                    <pic:cNvPr id="54" name="image96.png"/>
                    <pic:cNvPicPr/>
                  </pic:nvPicPr>
                  <pic:blipFill>
                    <a:blip r:embed="rId120" cstate="print"/>
                    <a:stretch>
                      <a:fillRect/>
                    </a:stretch>
                  </pic:blipFill>
                  <pic:spPr>
                    <a:xfrm>
                      <a:off x="0" y="0"/>
                      <a:ext cx="75773" cy="69443"/>
                    </a:xfrm>
                    <a:prstGeom prst="rect">
                      <a:avLst/>
                    </a:prstGeom>
                  </pic:spPr>
                </pic:pic>
              </a:graphicData>
            </a:graphic>
          </wp:anchor>
        </w:drawing>
      </w:r>
      <w:r>
        <w:rPr>
          <w:rFonts w:ascii="Times New Roman"/>
          <w:w w:val="99"/>
          <w:sz w:val="18"/>
          <w:u w:val="single"/>
        </w:rPr>
        <w:t> </w:t>
      </w:r>
      <w:r>
        <w:rPr>
          <w:rFonts w:ascii="Times New Roman"/>
          <w:sz w:val="18"/>
          <w:u w:val="single"/>
        </w:rPr>
        <w:tab/>
      </w:r>
      <w:r>
        <w:rPr>
          <w:sz w:val="18"/>
          <w:u w:val="single"/>
        </w:rPr>
        <w:t>A</w:t>
      </w:r>
      <w:r>
        <w:rPr>
          <w:sz w:val="18"/>
        </w:rPr>
        <w:tab/>
      </w:r>
      <w:r>
        <w:rPr>
          <w:position w:val="-6"/>
          <w:sz w:val="18"/>
          <w:u w:val="single"/>
        </w:rPr>
        <w:t> </w:t>
        <w:tab/>
        <w:t>B</w:t>
        <w:tab/>
      </w:r>
    </w:p>
    <w:p>
      <w:pPr>
        <w:spacing w:before="93"/>
        <w:ind w:left="1298" w:right="0" w:firstLine="0"/>
        <w:jc w:val="left"/>
        <w:rPr>
          <w:sz w:val="18"/>
        </w:rPr>
      </w:pPr>
      <w:r>
        <w:rPr/>
        <w:br w:type="column"/>
      </w:r>
      <w:r>
        <w:rPr>
          <w:sz w:val="18"/>
        </w:rPr>
        <w:t>V3P3</w:t>
      </w:r>
    </w:p>
    <w:p>
      <w:pPr>
        <w:pStyle w:val="BodyText"/>
        <w:spacing w:before="9"/>
        <w:rPr>
          <w:sz w:val="18"/>
        </w:rPr>
      </w:pPr>
    </w:p>
    <w:p>
      <w:pPr>
        <w:tabs>
          <w:tab w:pos="1347" w:val="left" w:leader="none"/>
        </w:tabs>
        <w:spacing w:before="0"/>
        <w:ind w:left="313" w:right="0" w:firstLine="0"/>
        <w:jc w:val="left"/>
        <w:rPr>
          <w:rFonts w:ascii="Times New Roman"/>
          <w:sz w:val="18"/>
        </w:rPr>
      </w:pPr>
      <w:r>
        <w:rPr/>
        <w:pict>
          <v:group style="position:absolute;margin-left:367.703979pt;margin-top:-22.052176pt;width:88.15pt;height:64.6pt;mso-position-horizontal-relative:page;mso-position-vertical-relative:paragraph;z-index:-38798848" coordorigin="7354,-441" coordsize="1763,1292">
            <v:rect style="position:absolute;left:8935;top:109;width:179;height:179" filled="false" stroked="true" strokeweight=".238196pt" strokecolor="#000000">
              <v:stroke dashstyle="solid"/>
            </v:rect>
            <v:shape style="position:absolute;left:7726;top:198;width:1209;height:357" coordorigin="7727,199" coordsize="1209,357" path="m7727,555l8219,199,8935,199e" filled="false" stroked="true" strokeweight=".237813pt" strokecolor="#000000">
              <v:path arrowok="t"/>
              <v:stroke dashstyle="solid"/>
            </v:shape>
            <v:line style="position:absolute" from="8040,808" to="8040,481" stroked="true" strokeweight=".238655pt" strokecolor="#000000">
              <v:stroke dashstyle="solid"/>
            </v:line>
            <v:shape style="position:absolute;left:7980;top:406;width:110;height:108" coordorigin="7981,407" coordsize="110,108" path="m8090,514l8064,505,8036,502,8008,505,7981,514,7981,511,8040,407,8085,511,8090,514xe" filled="true" fillcolor="#000000" stroked="false">
              <v:path arrowok="t"/>
              <v:fill type="solid"/>
            </v:shape>
            <v:shape style="position:absolute;left:8840;top:-420;width:179;height:535" coordorigin="8841,-420" coordsize="179,535" path="m8841,-420l9020,-420,9020,115e" filled="false" stroked="true" strokeweight="2.147069pt" strokecolor="#000000">
              <v:path arrowok="t"/>
              <v:stroke dashstyle="solid"/>
            </v:shape>
            <v:shape style="position:absolute;left:8840;top:293;width:179;height:535" coordorigin="8841,294" coordsize="179,535" path="m9020,294l9020,829,8841,829e" filled="false" stroked="true" strokeweight="2.147069pt" strokecolor="#000000">
              <v:path arrowok="t"/>
              <v:stroke dashstyle="solid"/>
            </v:shape>
            <v:shape style="position:absolute;left:7354;top:238;width:344;height:110" type="#_x0000_t75" stroked="false">
              <v:imagedata r:id="rId121" o:title=""/>
            </v:shape>
            <v:line style="position:absolute" from="7354,-247" to="7593,-247" stroked="true" strokeweight=".237739pt" strokecolor="#000000">
              <v:stroke dashstyle="solid"/>
            </v:line>
            <v:shape style="position:absolute;left:7571;top:-296;width:111;height:110" coordorigin="7572,-296" coordsize="111,110" path="m7572,-187l7582,-213,7585,-241,7582,-269,7572,-296,7578,-291,7682,-247,7578,-187,7572,-187xe" filled="true" fillcolor="#000000" stroked="false">
              <v:path arrowok="t"/>
              <v:fill type="solid"/>
            </v:shape>
            <v:line style="position:absolute" from="7354,21" to="7593,21" stroked="true" strokeweight=".237739pt" strokecolor="#000000">
              <v:stroke dashstyle="solid"/>
            </v:line>
            <v:shape style="position:absolute;left:7571;top:-29;width:111;height:110" coordorigin="7572,-28" coordsize="111,110" path="m7572,81l7582,54,7585,26,7582,-2,7572,-28,7578,-24,7682,21,7578,80,7572,81xe" filled="true" fillcolor="#000000" stroked="false">
              <v:path arrowok="t"/>
              <v:fill type="solid"/>
            </v:shape>
            <v:shape style="position:absolute;left:7707;top:-338;width:120;height:723" type="#_x0000_t202" filled="false" stroked="false">
              <v:textbox inset="0,0,0,0">
                <w:txbxContent>
                  <w:p>
                    <w:pPr>
                      <w:spacing w:line="200" w:lineRule="exact" w:before="0"/>
                      <w:ind w:left="0" w:right="0" w:firstLine="0"/>
                      <w:jc w:val="left"/>
                      <w:rPr>
                        <w:sz w:val="18"/>
                      </w:rPr>
                    </w:pPr>
                    <w:r>
                      <w:rPr>
                        <w:w w:val="99"/>
                        <w:sz w:val="18"/>
                      </w:rPr>
                      <w:t>3</w:t>
                    </w:r>
                  </w:p>
                  <w:p>
                    <w:pPr>
                      <w:spacing w:before="49"/>
                      <w:ind w:left="0" w:right="0" w:firstLine="0"/>
                      <w:jc w:val="left"/>
                      <w:rPr>
                        <w:sz w:val="18"/>
                      </w:rPr>
                    </w:pPr>
                    <w:r>
                      <w:rPr>
                        <w:w w:val="99"/>
                        <w:sz w:val="18"/>
                      </w:rPr>
                      <w:t>2</w:t>
                    </w:r>
                  </w:p>
                  <w:p>
                    <w:pPr>
                      <w:spacing w:line="207" w:lineRule="exact" w:before="60"/>
                      <w:ind w:left="0" w:right="0" w:firstLine="0"/>
                      <w:jc w:val="left"/>
                      <w:rPr>
                        <w:sz w:val="18"/>
                      </w:rPr>
                    </w:pPr>
                    <w:r>
                      <w:rPr>
                        <w:w w:val="99"/>
                        <w:sz w:val="18"/>
                      </w:rPr>
                      <w:t>0</w:t>
                    </w:r>
                  </w:p>
                </w:txbxContent>
              </v:textbox>
              <w10:wrap type="none"/>
            </v:shape>
            <v:shape style="position:absolute;left:8333;top:-350;width:618;height:200" type="#_x0000_t202" filled="false" stroked="false">
              <v:textbox inset="0,0,0,0">
                <w:txbxContent>
                  <w:p>
                    <w:pPr>
                      <w:spacing w:line="199" w:lineRule="exact" w:before="0"/>
                      <w:ind w:left="0" w:right="0" w:firstLine="0"/>
                      <w:jc w:val="left"/>
                      <w:rPr>
                        <w:sz w:val="18"/>
                      </w:rPr>
                    </w:pPr>
                    <w:r>
                      <w:rPr>
                        <w:sz w:val="18"/>
                      </w:rPr>
                      <w:t>Internal</w:t>
                    </w:r>
                  </w:p>
                </w:txbxContent>
              </v:textbox>
              <w10:wrap type="none"/>
            </v:shape>
            <v:shape style="position:absolute;left:7587;top:508;width:120;height:200" type="#_x0000_t202" filled="false" stroked="false">
              <v:textbox inset="0,0,0,0">
                <w:txbxContent>
                  <w:p>
                    <w:pPr>
                      <w:spacing w:line="199" w:lineRule="exact" w:before="0"/>
                      <w:ind w:left="0" w:right="0" w:firstLine="0"/>
                      <w:jc w:val="left"/>
                      <w:rPr>
                        <w:sz w:val="18"/>
                      </w:rPr>
                    </w:pPr>
                    <w:r>
                      <w:rPr>
                        <w:w w:val="99"/>
                        <w:sz w:val="18"/>
                      </w:rPr>
                      <w:t>1</w:t>
                    </w:r>
                  </w:p>
                </w:txbxContent>
              </v:textbox>
              <w10:wrap type="none"/>
            </v:shape>
            <w10:wrap type="none"/>
          </v:group>
        </w:pict>
      </w:r>
      <w:r>
        <w:rPr/>
        <w:pict>
          <v:shape style="position:absolute;margin-left:491.506531pt;margin-top:5.484713pt;width:17.9pt;height:8.950pt;mso-position-horizontal-relative:page;mso-position-vertical-relative:paragraph;z-index:-38797824" coordorigin="9830,110" coordsize="358,179" path="m9830,199l9875,110,9964,288,10054,110,10143,288,10188,199e" filled="false" stroked="true" strokeweight=".237921pt" strokecolor="#000000">
            <v:path arrowok="t"/>
            <v:stroke dashstyle="solid"/>
            <w10:wrap type="none"/>
          </v:shape>
        </w:pict>
      </w:r>
      <w:r>
        <w:rPr/>
        <w:pict>
          <v:group style="position:absolute;margin-left:513.761475pt;margin-top:-12.345743pt;width:18.8pt;height:17.95pt;mso-position-horizontal-relative:page;mso-position-vertical-relative:paragraph;z-index:-38797312" coordorigin="10275,-247" coordsize="376,359">
            <v:shape style="position:absolute;left:10277;top:-25;width:179;height:134" coordorigin="10278,-24" coordsize="179,134" path="m10278,-24l10457,-24,10367,110,10278,-24e" filled="false" stroked="true" strokeweight=".238067pt" strokecolor="#000000">
              <v:path arrowok="t"/>
              <v:stroke dashstyle="solid"/>
            </v:shape>
            <v:line style="position:absolute" from="10278,110" to="10457,110" stroked="true" strokeweight=".237739pt" strokecolor="#000000">
              <v:stroke dashstyle="solid"/>
            </v:line>
            <v:line style="position:absolute" from="10367,-24" to="10367,-247" stroked="true" strokeweight=".238655pt" strokecolor="#000000">
              <v:stroke dashstyle="solid"/>
            </v:line>
            <v:shape style="position:absolute;left:10456;top:-39;width:150;height:90" coordorigin="10457,-39" coordsize="150,90" path="m10457,50l10546,-39,10546,21,10606,-9e" filled="false" stroked="true" strokeweight=".23798pt" strokecolor="#000000">
              <v:path arrowok="t"/>
              <v:stroke dashstyle="solid"/>
            </v:shape>
            <v:shape style="position:absolute;left:10575;top:-39;width:75;height:61" coordorigin="10576,-39" coordsize="75,61" path="m10611,13l10610,5,10603,-10,10592,-24,10579,-35,10576,-39,10651,-39,10611,13xm10613,22l10606,21,10611,13,10613,22xe" filled="true" fillcolor="#000000" stroked="false">
              <v:path arrowok="t"/>
              <v:fill type="solid"/>
            </v:shape>
            <w10:wrap type="none"/>
          </v:group>
        </w:pict>
      </w:r>
      <w:r>
        <w:rPr>
          <w:sz w:val="18"/>
          <w:u w:val="single"/>
        </w:rPr>
        <w:t>OPT_TX</w:t>
      </w:r>
      <w:r>
        <w:rPr>
          <w:sz w:val="18"/>
        </w:rPr>
        <w:tab/>
      </w:r>
      <w:r>
        <w:rPr>
          <w:rFonts w:ascii="Times New Roman"/>
          <w:w w:val="99"/>
          <w:sz w:val="18"/>
          <w:u w:val="single"/>
        </w:rPr>
        <w:t> </w:t>
      </w:r>
      <w:r>
        <w:rPr>
          <w:rFonts w:ascii="Times New Roman"/>
          <w:spacing w:val="-1"/>
          <w:sz w:val="18"/>
          <w:u w:val="single"/>
        </w:rPr>
        <w:t> </w:t>
      </w:r>
    </w:p>
    <w:p>
      <w:pPr>
        <w:spacing w:after="0"/>
        <w:jc w:val="left"/>
        <w:rPr>
          <w:rFonts w:ascii="Times New Roman"/>
          <w:sz w:val="18"/>
        </w:rPr>
        <w:sectPr>
          <w:type w:val="continuous"/>
          <w:pgSz w:w="12240" w:h="15840"/>
          <w:pgMar w:top="940" w:bottom="280" w:left="1200" w:right="1060"/>
          <w:cols w:num="3" w:equalWidth="0">
            <w:col w:w="1638" w:space="1891"/>
            <w:col w:w="2905" w:space="1206"/>
            <w:col w:w="2340"/>
          </w:cols>
        </w:sect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4"/>
        <w:rPr>
          <w:rFonts w:ascii="Times New Roman"/>
          <w:sz w:val="18"/>
        </w:rPr>
      </w:pPr>
    </w:p>
    <w:p>
      <w:pPr>
        <w:spacing w:before="0"/>
        <w:ind w:left="1835" w:right="0" w:firstLine="0"/>
        <w:jc w:val="left"/>
        <w:rPr>
          <w:sz w:val="18"/>
        </w:rPr>
      </w:pPr>
      <w:r>
        <w:rPr>
          <w:sz w:val="18"/>
        </w:rPr>
        <w:t>OPT_TXMOD = </w:t>
      </w:r>
      <w:r>
        <w:rPr>
          <w:spacing w:val="-18"/>
          <w:sz w:val="18"/>
        </w:rPr>
        <w:t>0</w:t>
      </w:r>
    </w:p>
    <w:p>
      <w:pPr>
        <w:spacing w:line="448" w:lineRule="auto" w:before="105"/>
        <w:ind w:left="492" w:right="2620" w:firstLine="0"/>
        <w:jc w:val="left"/>
        <w:rPr>
          <w:sz w:val="18"/>
        </w:rPr>
      </w:pPr>
      <w:r>
        <w:rPr/>
        <w:pict>
          <v:shape style="position:absolute;margin-left:92.504944pt;margin-top:29.308411pt;width:179pt;height:8.950pt;mso-position-horizontal-relative:page;mso-position-vertical-relative:paragraph;z-index:15777792" coordorigin="1850,586" coordsize="3580,179" path="m1850,586l3282,586,3282,764,5430,764e" filled="false" stroked="true" strokeweight=".713224pt" strokecolor="#000000">
            <v:path arrowok="t"/>
            <v:stroke dashstyle="solid"/>
            <w10:wrap type="none"/>
          </v:shape>
        </w:pict>
      </w:r>
      <w:r>
        <w:rPr/>
        <w:pict>
          <v:shape style="position:absolute;margin-left:92.504936pt;margin-top:11.478027pt;width:179pt;height:8.950pt;mso-position-horizontal-relative:page;mso-position-vertical-relative:paragraph;z-index:15778304" coordorigin="1850,230" coordsize="3580,179" path="m1850,230l3282,230,3282,408,5430,408e" filled="false" stroked="true" strokeweight=".713224pt" strokecolor="#000000">
            <v:path arrowok="t"/>
            <v:stroke dashstyle="solid"/>
            <w10:wrap type="none"/>
          </v:shape>
        </w:pict>
      </w:r>
      <w:r>
        <w:rPr>
          <w:sz w:val="18"/>
        </w:rPr>
        <w:t>A B</w:t>
      </w:r>
    </w:p>
    <w:p>
      <w:pPr>
        <w:pStyle w:val="BodyText"/>
        <w:rPr>
          <w:sz w:val="19"/>
        </w:rPr>
      </w:pPr>
      <w:r>
        <w:rPr/>
        <w:br w:type="column"/>
      </w:r>
      <w:r>
        <w:rPr>
          <w:sz w:val="19"/>
        </w:rPr>
      </w:r>
    </w:p>
    <w:p>
      <w:pPr>
        <w:spacing w:line="292" w:lineRule="auto" w:before="0"/>
        <w:ind w:left="295" w:right="-17" w:hanging="259"/>
        <w:jc w:val="left"/>
        <w:rPr>
          <w:rFonts w:ascii="Times New Roman"/>
          <w:i/>
          <w:sz w:val="18"/>
        </w:rPr>
      </w:pPr>
      <w:r>
        <w:rPr>
          <w:rFonts w:ascii="Times New Roman"/>
          <w:i/>
          <w:spacing w:val="-1"/>
          <w:sz w:val="18"/>
        </w:rPr>
        <w:t>OPT_TXMOD </w:t>
      </w:r>
      <w:r>
        <w:rPr>
          <w:rFonts w:ascii="Times New Roman"/>
          <w:i/>
          <w:spacing w:val="-1"/>
          <w:sz w:val="18"/>
        </w:rPr>
        <w:t>OPT_FDC</w:t>
      </w:r>
    </w:p>
    <w:p>
      <w:pPr>
        <w:pStyle w:val="BodyText"/>
        <w:spacing w:before="5"/>
        <w:rPr>
          <w:rFonts w:ascii="Times New Roman"/>
          <w:i/>
          <w:sz w:val="16"/>
        </w:rPr>
      </w:pPr>
      <w:r>
        <w:rPr/>
        <w:br w:type="column"/>
      </w:r>
      <w:r>
        <w:rPr>
          <w:rFonts w:ascii="Times New Roman"/>
          <w:i/>
          <w:sz w:val="16"/>
        </w:rPr>
      </w:r>
    </w:p>
    <w:p>
      <w:pPr>
        <w:spacing w:before="0"/>
        <w:ind w:left="1847" w:right="2538" w:firstLine="0"/>
        <w:jc w:val="center"/>
        <w:rPr>
          <w:rFonts w:ascii="Times New Roman"/>
          <w:i/>
          <w:sz w:val="18"/>
        </w:rPr>
      </w:pPr>
      <w:r>
        <w:rPr>
          <w:rFonts w:ascii="Times New Roman"/>
          <w:i/>
          <w:sz w:val="18"/>
        </w:rPr>
        <w:t>OPT_TXE[1:0]</w:t>
      </w:r>
    </w:p>
    <w:p>
      <w:pPr>
        <w:spacing w:before="156"/>
        <w:ind w:left="492" w:right="0" w:firstLine="0"/>
        <w:jc w:val="left"/>
        <w:rPr>
          <w:sz w:val="18"/>
        </w:rPr>
      </w:pPr>
      <w:r>
        <w:rPr>
          <w:w w:val="99"/>
          <w:sz w:val="18"/>
        </w:rPr>
        <w:t>2</w:t>
      </w:r>
    </w:p>
    <w:p>
      <w:pPr>
        <w:spacing w:before="5"/>
        <w:ind w:left="1745" w:right="0" w:firstLine="0"/>
        <w:jc w:val="left"/>
        <w:rPr>
          <w:sz w:val="18"/>
        </w:rPr>
      </w:pPr>
      <w:r>
        <w:rPr>
          <w:sz w:val="18"/>
        </w:rPr>
        <w:t>OPT_TXMOD = 1,</w:t>
      </w:r>
    </w:p>
    <w:p>
      <w:pPr>
        <w:spacing w:before="7"/>
        <w:ind w:left="1645" w:right="0" w:firstLine="0"/>
        <w:jc w:val="left"/>
        <w:rPr>
          <w:sz w:val="18"/>
        </w:rPr>
      </w:pPr>
      <w:r>
        <w:rPr>
          <w:sz w:val="18"/>
        </w:rPr>
        <w:t>OPT_FDC = 2 (25%)</w:t>
      </w:r>
    </w:p>
    <w:p>
      <w:pPr>
        <w:spacing w:line="448" w:lineRule="auto" w:before="28"/>
        <w:ind w:left="949" w:right="4432" w:firstLine="34"/>
        <w:jc w:val="left"/>
        <w:rPr>
          <w:sz w:val="18"/>
        </w:rPr>
      </w:pPr>
      <w:r>
        <w:rPr/>
        <w:pict>
          <v:group style="position:absolute;margin-left:339.007385pt;margin-top:25.104746pt;width:179.75pt;height:9.65pt;mso-position-horizontal-relative:page;mso-position-vertical-relative:paragraph;z-index:15778816" coordorigin="6780,502" coordsize="3595,193">
            <v:shape style="position:absolute;left:6787;top:509;width:1432;height:179" coordorigin="6787,509" coordsize="1432,179" path="m6787,509l8219,509,8219,688e" filled="false" stroked="true" strokeweight=".713259pt" strokecolor="#000000">
              <v:path arrowok="t"/>
              <v:stroke dashstyle="solid"/>
            </v:shape>
            <v:shape style="position:absolute;left:8219;top:509;width:716;height:179" coordorigin="8219,509" coordsize="716,179" path="m8219,688l8398,688,8398,509,8935,509,8935,688e" filled="false" stroked="true" strokeweight=".713378pt" strokecolor="#000000">
              <v:path arrowok="t"/>
              <v:stroke dashstyle="solid"/>
            </v:shape>
            <v:shape style="position:absolute;left:8935;top:509;width:716;height:179" coordorigin="8935,509" coordsize="716,179" path="m8935,688l9114,688,9114,509,9651,509,9651,688e" filled="false" stroked="true" strokeweight=".713378pt" strokecolor="#000000">
              <v:path arrowok="t"/>
              <v:stroke dashstyle="solid"/>
            </v:shape>
            <v:shape style="position:absolute;left:9651;top:509;width:716;height:179" coordorigin="9651,509" coordsize="716,179" path="m9651,688l9830,688,9830,509,10367,509,10367,688e" filled="false" stroked="true" strokeweight=".713378pt" strokecolor="#000000">
              <v:path arrowok="t"/>
              <v:stroke dashstyle="solid"/>
            </v:shape>
            <w10:wrap type="none"/>
          </v:group>
        </w:pict>
      </w:r>
      <w:r>
        <w:rPr/>
        <w:pict>
          <v:shape style="position:absolute;margin-left:339.364014pt;margin-top:7.631018pt;width:179pt;height:8.950pt;mso-position-horizontal-relative:page;mso-position-vertical-relative:paragraph;z-index:15779328" coordorigin="6787,153" coordsize="3580,179" path="m6787,153l8130,153,8130,331,10367,331e" filled="false" stroked="true" strokeweight=".713224pt" strokecolor="#000000">
            <v:path arrowok="t"/>
            <v:stroke dashstyle="solid"/>
            <w10:wrap type="none"/>
          </v:shape>
        </w:pict>
      </w:r>
      <w:r>
        <w:rPr/>
        <w:pict>
          <v:group style="position:absolute;margin-left:393.061493pt;margin-top:43.291878pt;width:18.05pt;height:13.4pt;mso-position-horizontal-relative:page;mso-position-vertical-relative:paragraph;z-index:15779840" coordorigin="7861,866" coordsize="361,268">
            <v:line style="position:absolute" from="8219,866" to="8219,1133" stroked="true" strokeweight=".238655pt" strokecolor="#000000">
              <v:stroke dashstyle="solid"/>
            </v:line>
            <v:line style="position:absolute" from="7861,955" to="8130,955" stroked="true" strokeweight=".237739pt" strokecolor="#000000">
              <v:stroke dashstyle="solid"/>
            </v:line>
            <v:shape style="position:absolute;left:8099;top:905;width:120;height:110" coordorigin="8100,906" coordsize="120,110" path="m8107,913l8100,910,8105,906,8107,913xm8106,1011l8114,989,8118,961,8114,933,8107,913,8219,955,8106,1011xm8105,1015l8100,1014,8106,1011,8105,1015xe" filled="true" fillcolor="#000000" stroked="false">
              <v:path arrowok="t"/>
              <v:fill type="solid"/>
            </v:shape>
            <w10:wrap type="none"/>
          </v:group>
        </w:pict>
      </w:r>
      <w:r>
        <w:rPr/>
        <w:pict>
          <v:group style="position:absolute;margin-left:446.639648pt;margin-top:43.291878pt;width:18.05pt;height:13.4pt;mso-position-horizontal-relative:page;mso-position-vertical-relative:paragraph;z-index:15780352" coordorigin="8933,866" coordsize="361,268">
            <v:line style="position:absolute" from="8935,866" to="8935,1133" stroked="true" strokeweight=".238655pt" strokecolor="#000000">
              <v:stroke dashstyle="solid"/>
            </v:line>
            <v:line style="position:absolute" from="9293,955" to="9010,955" stroked="true" strokeweight=".237739pt" strokecolor="#000000">
              <v:stroke dashstyle="solid"/>
            </v:line>
            <v:shape style="position:absolute;left:8935;top:905;width:106;height:110" coordorigin="8935,906" coordsize="106,110" path="m9038,911l9040,906,9040,910,9038,911xm9040,1015l9040,1014,8935,955,9038,911,9031,933,9027,961,9031,989,9040,1015xe" filled="true" fillcolor="#000000" stroked="false">
              <v:path arrowok="t"/>
              <v:fill type="solid"/>
            </v:shape>
            <w10:wrap type="none"/>
          </v:group>
        </w:pict>
      </w:r>
      <w:r>
        <w:rPr>
          <w:sz w:val="18"/>
        </w:rPr>
        <w:t>A B</w:t>
      </w:r>
    </w:p>
    <w:p>
      <w:pPr>
        <w:spacing w:after="0" w:line="448" w:lineRule="auto"/>
        <w:jc w:val="left"/>
        <w:rPr>
          <w:sz w:val="18"/>
        </w:rPr>
        <w:sectPr>
          <w:type w:val="continuous"/>
          <w:pgSz w:w="12240" w:h="15840"/>
          <w:pgMar w:top="940" w:bottom="280" w:left="1200" w:right="1060"/>
          <w:cols w:num="3" w:equalWidth="0">
            <w:col w:w="3253" w:space="40"/>
            <w:col w:w="1082" w:space="49"/>
            <w:col w:w="5556"/>
          </w:cols>
        </w:sectPr>
      </w:pPr>
    </w:p>
    <w:p>
      <w:pPr>
        <w:pStyle w:val="BodyText"/>
        <w:rPr>
          <w:sz w:val="22"/>
        </w:rPr>
      </w:pPr>
    </w:p>
    <w:p>
      <w:pPr>
        <w:pStyle w:val="BodyText"/>
        <w:spacing w:before="9"/>
      </w:pPr>
    </w:p>
    <w:p>
      <w:pPr>
        <w:spacing w:before="1"/>
        <w:ind w:left="3628" w:right="0" w:firstLine="0"/>
        <w:jc w:val="left"/>
        <w:rPr>
          <w:b/>
          <w:sz w:val="20"/>
        </w:rPr>
      </w:pPr>
      <w:bookmarkStart w:name="_bookmark115" w:id="238"/>
      <w:bookmarkEnd w:id="238"/>
      <w:r>
        <w:rPr/>
      </w:r>
      <w:r>
        <w:rPr>
          <w:b/>
          <w:sz w:val="20"/>
        </w:rPr>
        <w:t>Figure 14: Optical</w:t>
      </w:r>
      <w:r>
        <w:rPr>
          <w:b/>
          <w:spacing w:val="-14"/>
          <w:sz w:val="20"/>
        </w:rPr>
        <w:t> </w:t>
      </w:r>
      <w:r>
        <w:rPr>
          <w:b/>
          <w:sz w:val="20"/>
        </w:rPr>
        <w:t>Interface</w:t>
      </w:r>
    </w:p>
    <w:p>
      <w:pPr>
        <w:spacing w:before="103"/>
        <w:ind w:left="795" w:right="0" w:firstLine="0"/>
        <w:jc w:val="left"/>
        <w:rPr>
          <w:sz w:val="18"/>
        </w:rPr>
      </w:pPr>
      <w:r>
        <w:rPr/>
        <w:br w:type="column"/>
      </w:r>
      <w:r>
        <w:rPr>
          <w:sz w:val="18"/>
        </w:rPr>
        <w:t>1/38kHz</w:t>
      </w:r>
    </w:p>
    <w:p>
      <w:pPr>
        <w:spacing w:after="0"/>
        <w:jc w:val="left"/>
        <w:rPr>
          <w:sz w:val="18"/>
        </w:rPr>
        <w:sectPr>
          <w:type w:val="continuous"/>
          <w:pgSz w:w="12240" w:h="15840"/>
          <w:pgMar w:top="940" w:bottom="280" w:left="1200" w:right="1060"/>
          <w:cols w:num="2" w:equalWidth="0">
            <w:col w:w="6206" w:space="40"/>
            <w:col w:w="3734"/>
          </w:cols>
        </w:sectPr>
      </w:pPr>
    </w:p>
    <w:p>
      <w:pPr>
        <w:pStyle w:val="BodyText"/>
        <w:spacing w:before="9"/>
        <w:rPr>
          <w:sz w:val="12"/>
        </w:rPr>
      </w:pPr>
    </w:p>
    <w:p>
      <w:pPr>
        <w:spacing w:before="93"/>
        <w:ind w:left="239" w:right="0" w:firstLine="0"/>
        <w:jc w:val="left"/>
        <w:rPr>
          <w:b/>
          <w:sz w:val="20"/>
        </w:rPr>
      </w:pPr>
      <w:r>
        <w:rPr>
          <w:b/>
          <w:sz w:val="20"/>
        </w:rPr>
        <w:t>Bit Banged Optical UART (Third UART)</w:t>
      </w:r>
    </w:p>
    <w:p>
      <w:pPr>
        <w:pStyle w:val="BodyText"/>
        <w:spacing w:before="123"/>
        <w:ind w:left="239" w:right="490"/>
      </w:pPr>
      <w:r>
        <w:rPr/>
        <w:pict>
          <v:group style="position:absolute;margin-left:264.760742pt;margin-top:72.089363pt;width:135.15pt;height:114.1pt;mso-position-horizontal-relative:page;mso-position-vertical-relative:paragraph;z-index:-38796800" coordorigin="5295,1442" coordsize="2703,2282">
            <v:shape style="position:absolute;left:7942;top:2095;width:2;height:1628" coordorigin="7943,2096" coordsize="0,1628" path="m7943,3560l7943,3723m7943,2665l7943,3452m7943,2096l7943,2557e" filled="false" stroked="true" strokeweight="1.291914pt" strokecolor="#9c9c9c">
              <v:path arrowok="t"/>
              <v:stroke dashstyle="solid"/>
            </v:shape>
            <v:rect style="position:absolute;left:7889;top:2556;width:108;height:109" filled="false" stroked="true" strokeweight=".144084pt" strokecolor="#000000">
              <v:stroke dashstyle="solid"/>
            </v:rect>
            <v:shape style="position:absolute;left:6462;top:2610;width:943;height:217" coordorigin="6463,2611" coordsize="943,217" path="m6463,2828l6759,2611,7405,2611e" filled="false" stroked="true" strokeweight=".144575pt" strokecolor="#000000">
              <v:path arrowok="t"/>
              <v:stroke dashstyle="solid"/>
            </v:shape>
            <v:line style="position:absolute" from="6651,2977" to="6651,2783" stroked="true" strokeweight=".143546pt" strokecolor="#000000">
              <v:stroke dashstyle="solid"/>
            </v:line>
            <v:shape style="position:absolute;left:6617;top:2732;width:67;height:67" coordorigin="6618,2733" coordsize="67,67" path="m6684,2799l6668,2793,6651,2791,6634,2793,6618,2799,6651,2733,6684,2799xe" filled="true" fillcolor="#000000" stroked="false">
              <v:path arrowok="t"/>
              <v:fill type="solid"/>
            </v:shape>
            <v:shape style="position:absolute;left:7421;top:2502;width:468;height:109" coordorigin="7421,2502" coordsize="468,109" path="m7889,2611l7502,2611,7421,2502e" filled="false" stroked="true" strokeweight=".144574pt" strokecolor="#000000">
              <v:path arrowok="t"/>
              <v:stroke dashstyle="solid"/>
            </v:shape>
            <v:line style="position:absolute" from="7458,2746" to="7458,2675" stroked="true" strokeweight=".143546pt" strokecolor="#000000">
              <v:stroke dashstyle="solid"/>
            </v:line>
            <v:shape style="position:absolute;left:7425;top:2624;width:67;height:67" coordorigin="7425,2624" coordsize="67,67" path="m7491,2691l7475,2685,7458,2683,7442,2685,7425,2691,7458,2624,7491,2691xe" filled="true" fillcolor="#000000" stroked="false">
              <v:path arrowok="t"/>
              <v:fill type="solid"/>
            </v:shape>
            <v:line style="position:absolute" from="7943,1442" to="7943,1987" stroked="true" strokeweight="1.291914pt" strokecolor="#9c9c9c">
              <v:stroke dashstyle="solid"/>
            </v:line>
            <v:rect style="position:absolute;left:7889;top:1987;width:108;height:109" filled="false" stroked="true" strokeweight=".144084pt" strokecolor="#000000">
              <v:stroke dashstyle="solid"/>
            </v:rect>
            <v:shape style="position:absolute;left:7396;top:1932;width:493;height:109" coordorigin="7396,1933" coordsize="493,109" path="m7889,2041l7504,2041,7396,1933e" filled="false" stroked="true" strokeweight=".144580pt" strokecolor="#000000">
              <v:path arrowok="t"/>
              <v:stroke dashstyle="solid"/>
            </v:shape>
            <v:line style="position:absolute" from="7450,2204" to="7450,2105" stroked="true" strokeweight=".143546pt" strokecolor="#000000">
              <v:stroke dashstyle="solid"/>
            </v:line>
            <v:shape style="position:absolute;left:7416;top:2054;width:67;height:67" coordorigin="7417,2055" coordsize="67,67" path="m7483,2121l7467,2115,7450,2113,7433,2115,7417,2121,7450,2055,7483,2121xe" filled="true" fillcolor="#000000" stroked="false">
              <v:path arrowok="t"/>
              <v:fill type="solid"/>
            </v:shape>
            <v:shape style="position:absolute;left:5296;top:1959;width:2100;height:109" coordorigin="5297,1960" coordsize="2100,109" path="m5297,1960l5404,2068,7396,2068e" filled="false" stroked="true" strokeweight=".144627pt" strokecolor="#000000">
              <v:path arrowok="t"/>
              <v:stroke dashstyle="solid"/>
            </v:shape>
            <v:line style="position:absolute" from="5337,2231" to="5337,2132" stroked="true" strokeweight=".143546pt" strokecolor="#000000">
              <v:stroke dashstyle="solid"/>
            </v:line>
            <v:shape style="position:absolute;left:5304;top:2081;width:67;height:67" coordorigin="5304,2082" coordsize="67,67" path="m5370,2148l5354,2142,5337,2141,5320,2142,5304,2148,5337,2082,5370,2148xe" filled="true" fillcolor="#000000" stroked="false">
              <v:path arrowok="t"/>
              <v:fill type="solid"/>
            </v:shape>
            <v:rect style="position:absolute;left:7889;top:3451;width:108;height:109" filled="false" stroked="true" strokeweight=".144084pt" strokecolor="#000000">
              <v:stroke dashstyle="solid"/>
            </v:rect>
            <v:shape style="position:absolute;left:7421;top:3397;width:468;height:109" coordorigin="7421,3398" coordsize="468,109" path="m7889,3506l7502,3506,7421,3398e" filled="false" stroked="true" strokeweight=".144574pt" strokecolor="#000000">
              <v:path arrowok="t"/>
              <v:stroke dashstyle="solid"/>
            </v:shape>
            <v:line style="position:absolute" from="7445,3628" to="7445,3556" stroked="true" strokeweight=".143546pt" strokecolor="#000000">
              <v:stroke dashstyle="solid"/>
            </v:line>
            <v:shape style="position:absolute;left:7412;top:3506;width:67;height:67" coordorigin="7412,3506" coordsize="67,67" path="m7478,3573l7462,3567,7445,3565,7428,3567,7412,3573,7445,3506,7478,3573xe" filled="true" fillcolor="#000000" stroked="false">
              <v:path arrowok="t"/>
              <v:fill type="solid"/>
            </v:shape>
            <w10:wrap type="none"/>
          </v:group>
        </w:pict>
      </w:r>
      <w:r>
        <w:rPr/>
        <w:pict>
          <v:group style="position:absolute;margin-left:189.902481pt;margin-top:133.729553pt;width:55.25pt;height:51.1pt;mso-position-horizontal-relative:page;mso-position-vertical-relative:paragraph;z-index:-38795264" coordorigin="3798,2675" coordsize="1105,1022">
            <v:shape style="position:absolute;left:4632;top:2746;width:270;height:217" coordorigin="4632,2746" coordsize="270,217" path="m4632,2746l4648,2800,4654,2855,4648,2910,4632,2963,4749,2963,4796,2950,4838,2927,4873,2895,4901,2855,4873,2815,4838,2783,4796,2760,4749,2746,4632,2746xe" filled="false" stroked="true" strokeweight=".144203pt" strokecolor="#000000">
              <v:path arrowok="t"/>
              <v:stroke dashstyle="solid"/>
            </v:shape>
            <v:shape style="position:absolute;left:4589;top:2746;width:60;height:217" coordorigin="4589,2746" coordsize="60,217" path="m4605,2801l4649,2801m4605,2909l4649,2909m4589,2746l4605,2800,4611,2855,4605,2910,4589,2963e" filled="false" stroked="true" strokeweight=".144088pt" strokecolor="#000000">
              <v:path arrowok="t"/>
              <v:stroke dashstyle="solid"/>
            </v:shape>
            <v:line style="position:absolute" from="4444,2801" to="4605,2801" stroked="true" strokeweight=".14463pt" strokecolor="#000000">
              <v:stroke dashstyle="solid"/>
            </v:line>
            <v:line style="position:absolute" from="4444,2909" to="4444,3234" stroked="true" strokeweight=".143546pt" strokecolor="#000000">
              <v:stroke dashstyle="solid"/>
            </v:line>
            <v:line style="position:absolute" from="4444,2909" to="4605,2909" stroked="true" strokeweight=".14463pt" strokecolor="#000000">
              <v:stroke dashstyle="solid"/>
            </v:line>
            <v:shape style="position:absolute;left:4013;top:2719;width:431;height:82" coordorigin="4013,2720" coordsize="431,82" path="m4444,2800l4121,2801,4013,2720e" filled="false" stroked="true" strokeweight=".144592pt" strokecolor="#000000">
              <v:path arrowok="t"/>
              <v:stroke dashstyle="solid"/>
            </v:shape>
            <v:line style="position:absolute" from="4013,2909" to="3798,2909" stroked="true" strokeweight=".14463pt" strokecolor="#000000">
              <v:stroke dashstyle="solid"/>
            </v:line>
            <v:line style="position:absolute" from="4121,3506" to="4013,3425" stroked="true" strokeweight=".144236pt" strokecolor="#000000">
              <v:stroke dashstyle="solid"/>
            </v:line>
            <v:shape style="position:absolute;left:3959;top:2909;width:54;height:489" coordorigin="3960,2909" coordsize="54,489" path="m4013,3398l3960,3398,3960,2909e" filled="false" stroked="true" strokeweight=".143559pt" strokecolor="#000000">
              <v:path arrowok="t"/>
              <v:stroke dashstyle="solid"/>
            </v:shape>
            <v:shape style="position:absolute;left:3851;top:2692;width:162;height:923" coordorigin="3852,2692" coordsize="162,923" path="m4013,3614l3852,3614,3852,2692e" filled="false" stroked="true" strokeweight=".143578pt" strokecolor="#000000">
              <v:path arrowok="t"/>
              <v:stroke dashstyle="solid"/>
            </v:shape>
            <v:shape style="position:absolute;left:3838;top:2678;width:27;height:28" coordorigin="3838,2679" coordsize="27,28" path="m3859,2706l3844,2706,3838,2700,3838,2692,3838,2685,3844,2679,3859,2679,3865,2685,3865,2700,3859,2706xe" filled="true" fillcolor="#000000" stroked="false">
              <v:path arrowok="t"/>
              <v:fill type="solid"/>
            </v:shape>
            <v:shape style="position:absolute;left:3838;top:2678;width:27;height:28" coordorigin="3838,2679" coordsize="27,28" path="m3838,2692l3838,2685,3844,2679,3852,2679,3859,2679,3865,2685,3865,2692,3865,2700,3859,2706,3852,2706,3844,2706,3838,2700,3838,2692xe" filled="false" stroked="true" strokeweight=".432251pt" strokecolor="#000000">
              <v:path arrowok="t"/>
              <v:stroke dashstyle="solid"/>
            </v:shape>
            <v:shape style="position:absolute;left:3946;top:2895;width:27;height:28" coordorigin="3946,2896" coordsize="27,28" path="m3967,2923l3952,2923,3946,2917,3946,2909,3946,2902,3952,2896,3967,2896,3973,2902,3973,2917,3967,2923xe" filled="true" fillcolor="#000000" stroked="false">
              <v:path arrowok="t"/>
              <v:fill type="solid"/>
            </v:shape>
            <v:shape style="position:absolute;left:3946;top:2895;width:27;height:28" coordorigin="3946,2896" coordsize="27,28" path="m3946,2909l3946,2902,3952,2896,3960,2896,3967,2896,3973,2902,3973,2909,3973,2917,3967,2923,3960,2923,3952,2923,3946,2917,3946,2909xe" filled="false" stroked="true" strokeweight=".432251pt" strokecolor="#000000">
              <v:path arrowok="t"/>
              <v:stroke dashstyle="solid"/>
            </v:shape>
            <v:line style="position:absolute" from="4040,3696" to="4040,2774" stroked="true" strokeweight=".143546pt" strokecolor="#000000">
              <v:stroke dashstyle="shortdash"/>
            </v:line>
            <w10:wrap type="none"/>
          </v:group>
        </w:pict>
      </w:r>
      <w:r>
        <w:rPr/>
        <w:pict>
          <v:group style="position:absolute;margin-left:259.266418pt;margin-top:134.532669pt;width:35.7pt;height:25.95pt;mso-position-horizontal-relative:page;mso-position-vertical-relative:paragraph;z-index:-38794752" coordorigin="5185,2691" coordsize="714,519">
            <v:shape style="position:absolute;left:5185;top:2821;width:67;height:67" coordorigin="5185,2822" coordsize="67,67" path="m5185,2888l5191,2872,5193,2855,5191,2838,5185,2822,5251,2855,5185,2888xe" filled="true" fillcolor="#000000" stroked="false">
              <v:path arrowok="t"/>
              <v:fill type="solid"/>
            </v:shape>
            <v:rect style="position:absolute;left:5251;top:2692;width:646;height:326" filled="false" stroked="true" strokeweight=".144410pt" strokecolor="#000000">
              <v:stroke dashstyle="solid"/>
            </v:rect>
            <v:shape style="position:absolute;left:5197;top:3017;width:162;height:55" coordorigin="5198,3017" coordsize="162,55" path="m5198,3072l5359,3072,5359,3017e" filled="false" stroked="true" strokeweight=".144520pt" strokecolor="#000000">
              <v:path arrowok="t"/>
              <v:stroke dashstyle="solid"/>
            </v:shape>
            <v:shape style="position:absolute;left:5197;top:3017;width:539;height:163" coordorigin="5198,3017" coordsize="539,163" path="m5198,3180l5736,3180,5736,3017e" filled="false" stroked="true" strokeweight=".144539pt" strokecolor="#000000">
              <v:path arrowok="t"/>
              <v:stroke dashstyle="solid"/>
            </v:shape>
            <v:line style="position:absolute" from="5557,3153" to="5503,3207" stroked="true" strokeweight=".144084pt" strokecolor="#000000">
              <v:stroke dashstyle="solid"/>
            </v:line>
            <w10:wrap type="none"/>
          </v:group>
        </w:pict>
      </w:r>
      <w:r>
        <w:rPr/>
        <w:pict>
          <v:shape style="position:absolute;margin-left:315.78775pt;margin-top:141.076935pt;width:3.35pt;height:3.35pt;mso-position-horizontal-relative:page;mso-position-vertical-relative:paragraph;z-index:-38794240" coordorigin="6316,2822" coordsize="67,67" path="m6316,2888l6322,2872,6324,2855,6322,2838,6316,2822,6382,2855,6316,2888xe" filled="true" fillcolor="#000000" stroked="false">
            <v:path arrowok="t"/>
            <v:fill type="solid"/>
            <w10:wrap type="none"/>
          </v:shape>
        </w:pict>
      </w:r>
      <w:r>
        <w:rPr/>
        <w:pict>
          <v:group style="position:absolute;margin-left:421.294556pt;margin-top:116.976845pt;width:25pt;height:16.3500pt;mso-position-horizontal-relative:page;mso-position-vertical-relative:paragraph;z-index:-38793728" coordorigin="8426,2340" coordsize="500,327">
            <v:shape style="position:absolute;left:8427;top:2556;width:216;height:109" coordorigin="8427,2556" coordsize="216,109" path="m8427,2611l8454,2556,8508,2665,8562,2556,8616,2665,8643,2611e" filled="false" stroked="true" strokeweight=".144410pt" strokecolor="#000000">
              <v:path arrowok="t"/>
              <v:stroke dashstyle="solid"/>
            </v:shape>
            <v:shape style="position:absolute;left:8696;top:2475;width:108;height:82" coordorigin="8696,2475" coordsize="108,82" path="m8696,2475l8804,2475,8750,2556,8696,2475xe" filled="false" stroked="true" strokeweight=".144236pt" strokecolor="#000000">
              <v:path arrowok="t"/>
              <v:stroke dashstyle="solid"/>
            </v:shape>
            <v:line style="position:absolute" from="8696,2556" to="8804,2556" stroked="true" strokeweight=".14463pt" strokecolor="#000000">
              <v:stroke dashstyle="solid"/>
            </v:line>
            <v:shape style="position:absolute;left:8642;top:2556;width:108;height:55" coordorigin="8643,2556" coordsize="108,55" path="m8750,2556l8750,2611,8643,2611e" filled="false" stroked="true" strokeweight=".144410pt" strokecolor="#000000">
              <v:path arrowok="t"/>
              <v:stroke dashstyle="solid"/>
            </v:shape>
            <v:line style="position:absolute" from="8750,2475" to="8750,2340" stroked="true" strokeweight=".143546pt" strokecolor="#000000">
              <v:stroke dashstyle="solid"/>
            </v:line>
            <v:shape style="position:absolute;left:8804;top:2461;width:96;height:55" coordorigin="8804,2462" coordsize="96,55" path="m8804,2516l8858,2462,8858,2502,8899,2477e" filled="false" stroked="true" strokeweight=".144363pt" strokecolor="#000000">
              <v:path arrowok="t"/>
              <v:stroke dashstyle="solid"/>
            </v:shape>
            <v:shape style="position:absolute;left:8880;top:2461;width:45;height:39" coordorigin="8880,2462" coordsize="45,39" path="m8901,2500l8899,2489,8895,2480,8889,2472,8880,2465,8925,2462,8901,2500xe" filled="true" fillcolor="#000000" stroked="false">
              <v:path arrowok="t"/>
              <v:fill type="solid"/>
            </v:shape>
            <w10:wrap type="none"/>
          </v:group>
        </w:pict>
      </w:r>
      <w:r>
        <w:rPr/>
        <w:pict>
          <v:group style="position:absolute;margin-left:308.325958pt;margin-top:132.93869pt;width:8.1pt;height:3.35pt;mso-position-horizontal-relative:page;mso-position-vertical-relative:paragraph;z-index:-38791168" coordorigin="6167,2659" coordsize="162,67">
            <v:line style="position:absolute" from="6278,2692" to="6216,2692" stroked="true" strokeweight=".14463pt" strokecolor="#000000">
              <v:stroke dashstyle="solid"/>
            </v:line>
            <v:shape style="position:absolute;left:6166;top:2658;width:162;height:67" coordorigin="6167,2659" coordsize="162,67" path="m6233,2659l6167,2692,6233,2725,6227,2709,6225,2692,6227,2675,6233,2659xm6328,2692l6262,2659,6268,2675,6270,2692,6268,2709,6262,2725,6328,2692xe" filled="true" fillcolor="#000000" stroked="false">
              <v:path arrowok="t"/>
              <v:fill type="solid"/>
            </v:shape>
            <w10:wrap type="none"/>
          </v:group>
        </w:pict>
      </w:r>
      <w:r>
        <w:rPr/>
        <w:pict>
          <v:shape style="position:absolute;margin-left:315.790344pt;margin-top:116.667824pt;width:3.35pt;height:3.35pt;mso-position-horizontal-relative:page;mso-position-vertical-relative:paragraph;z-index:-38790656" coordorigin="6316,2333" coordsize="67,67" path="m6316,2400l6322,2384,6324,2367,6322,2350,6316,2333,6382,2367,6316,2400xe" filled="true" fillcolor="#000000" stroked="false">
            <v:path arrowok="t"/>
            <v:fill type="solid"/>
            <w10:wrap type="none"/>
          </v:shape>
        </w:pict>
      </w:r>
      <w:r>
        <w:rPr/>
        <w:pict>
          <v:group style="position:absolute;margin-left:308.325928pt;margin-top:124.803169pt;width:8.1pt;height:3.35pt;mso-position-horizontal-relative:page;mso-position-vertical-relative:paragraph;z-index:-38790144" coordorigin="6167,2496" coordsize="162,67">
            <v:line style="position:absolute" from="6167,2529" to="6278,2529" stroked="true" strokeweight=".14463pt" strokecolor="#000000">
              <v:stroke dashstyle="solid"/>
            </v:line>
            <v:shape style="position:absolute;left:6261;top:2496;width:67;height:67" coordorigin="6262,2496" coordsize="67,67" path="m6262,2563l6268,2546,6270,2529,6268,2512,6262,2496,6328,2529,6262,2563xe" filled="true" fillcolor="#000000" stroked="false">
              <v:path arrowok="t"/>
              <v:fill type="solid"/>
            </v:shape>
            <w10:wrap type="none"/>
          </v:group>
        </w:pict>
      </w:r>
      <w:r>
        <w:rPr/>
        <w:pict>
          <v:shape style="position:absolute;margin-left:232.535507pt;margin-top:103.106697pt;width:3.35pt;height:3.35pt;mso-position-horizontal-relative:page;mso-position-vertical-relative:paragraph;z-index:-38789632" coordorigin="4651,2062" coordsize="67,67" path="m4717,2129l4651,2095,4717,2062,4711,2078,4709,2095,4711,2112,4717,2129xe" filled="true" fillcolor="#000000" stroked="false">
            <v:path arrowok="t"/>
            <v:fill type="solid"/>
            <w10:wrap type="none"/>
          </v:shape>
        </w:pict>
      </w:r>
      <w:r>
        <w:rPr/>
        <w:t>As shown in </w:t>
      </w:r>
      <w:hyperlink w:history="true" w:anchor="_bookmark116">
        <w:r>
          <w:rPr>
            <w:color w:val="0000FF"/>
          </w:rPr>
          <w:t>Figure 15</w:t>
        </w:r>
        <w:r>
          <w:rPr/>
          <w:t>, </w:t>
        </w:r>
      </w:hyperlink>
      <w:r>
        <w:rPr/>
        <w:t>the 71M6543 can also be configured to drive the optical UART with a DIO signal in a bit banged configuration. When control bit </w:t>
      </w:r>
      <w:r>
        <w:rPr>
          <w:rFonts w:ascii="Times New Roman"/>
          <w:i/>
        </w:rPr>
        <w:t>OPT_BB </w:t>
      </w:r>
      <w:r>
        <w:rPr/>
        <w:t>(</w:t>
      </w:r>
      <w:r>
        <w:rPr>
          <w:rFonts w:ascii="Times New Roman"/>
          <w:i/>
        </w:rPr>
        <w:t>I/O RAM 0x2022[0]</w:t>
      </w:r>
      <w:r>
        <w:rPr/>
        <w:t>) is set, the optical port is driven by DIO5 and the SEGDIO5 pin is driven by UART1_TX. This configuration is typically used when the two dedicated UARTs must be connected to high speed clients and a slower optical UART is permissible.</w:t>
      </w:r>
    </w:p>
    <w:p>
      <w:pPr>
        <w:pStyle w:val="BodyText"/>
        <w:spacing w:before="3"/>
        <w:rPr>
          <w:sz w:val="9"/>
        </w:rPr>
      </w:pPr>
    </w:p>
    <w:tbl>
      <w:tblPr>
        <w:tblW w:w="0" w:type="auto"/>
        <w:jc w:val="left"/>
        <w:tblInd w:w="2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18"/>
        <w:gridCol w:w="430"/>
        <w:gridCol w:w="1108"/>
      </w:tblGrid>
      <w:tr>
        <w:trPr>
          <w:trHeight w:val="3199" w:hRule="atLeast"/>
        </w:trPr>
        <w:tc>
          <w:tcPr>
            <w:tcW w:w="5756" w:type="dxa"/>
            <w:gridSpan w:val="3"/>
            <w:tcBorders>
              <w:bottom w:val="nil"/>
            </w:tcBorders>
          </w:tcPr>
          <w:p>
            <w:pPr>
              <w:pStyle w:val="TableParagraph"/>
              <w:spacing w:before="49"/>
              <w:ind w:right="1095"/>
              <w:jc w:val="right"/>
              <w:rPr>
                <w:sz w:val="9"/>
              </w:rPr>
            </w:pPr>
            <w:r>
              <w:rPr>
                <w:w w:val="105"/>
                <w:sz w:val="9"/>
              </w:rPr>
              <w:t>Internal</w:t>
            </w:r>
          </w:p>
          <w:p>
            <w:pPr>
              <w:pStyle w:val="TableParagraph"/>
              <w:spacing w:before="1"/>
              <w:rPr>
                <w:sz w:val="10"/>
              </w:rPr>
            </w:pPr>
          </w:p>
          <w:p>
            <w:pPr>
              <w:pStyle w:val="TableParagraph"/>
              <w:tabs>
                <w:tab w:pos="3596" w:val="left" w:leader="none"/>
              </w:tabs>
              <w:spacing w:before="1"/>
              <w:ind w:left="1515"/>
              <w:rPr>
                <w:sz w:val="9"/>
              </w:rPr>
            </w:pPr>
            <w:r>
              <w:rPr>
                <w:w w:val="105"/>
                <w:position w:val="-2"/>
                <w:sz w:val="9"/>
              </w:rPr>
              <w:t>DIO55</w:t>
              <w:tab/>
            </w:r>
            <w:r>
              <w:rPr>
                <w:w w:val="105"/>
                <w:sz w:val="9"/>
              </w:rPr>
              <w:t>SEG55</w:t>
            </w:r>
          </w:p>
          <w:p>
            <w:pPr>
              <w:pStyle w:val="TableParagraph"/>
              <w:tabs>
                <w:tab w:pos="2002" w:val="left" w:leader="none"/>
                <w:tab w:pos="3778" w:val="left" w:leader="none"/>
                <w:tab w:pos="4115" w:val="left" w:leader="none"/>
              </w:tabs>
              <w:spacing w:line="211" w:lineRule="auto" w:before="37"/>
              <w:ind w:left="1666"/>
              <w:rPr>
                <w:sz w:val="7"/>
              </w:rPr>
            </w:pPr>
            <w:r>
              <w:rPr>
                <w:rFonts w:ascii="Times New Roman"/>
                <w:w w:val="102"/>
                <w:position w:val="-2"/>
                <w:sz w:val="7"/>
                <w:u w:val="single"/>
              </w:rPr>
              <w:t> </w:t>
            </w:r>
            <w:r>
              <w:rPr>
                <w:rFonts w:ascii="Times New Roman"/>
                <w:position w:val="-2"/>
                <w:sz w:val="7"/>
                <w:u w:val="single"/>
              </w:rPr>
              <w:tab/>
            </w:r>
            <w:r>
              <w:rPr>
                <w:w w:val="105"/>
                <w:position w:val="-2"/>
                <w:sz w:val="7"/>
                <w:u w:val="single"/>
              </w:rPr>
              <w:t>1</w:t>
            </w:r>
            <w:r>
              <w:rPr>
                <w:w w:val="105"/>
                <w:position w:val="-2"/>
                <w:sz w:val="7"/>
              </w:rPr>
              <w:tab/>
            </w:r>
            <w:r>
              <w:rPr>
                <w:w w:val="105"/>
                <w:sz w:val="7"/>
                <w:u w:val="single"/>
              </w:rPr>
              <w:t> </w:t>
              <w:tab/>
              <w:t>1</w:t>
            </w:r>
          </w:p>
          <w:p>
            <w:pPr>
              <w:pStyle w:val="TableParagraph"/>
              <w:tabs>
                <w:tab w:pos="4115" w:val="left" w:leader="none"/>
                <w:tab w:pos="4783" w:val="left" w:leader="none"/>
              </w:tabs>
              <w:spacing w:line="177" w:lineRule="auto" w:before="6"/>
              <w:ind w:left="2002"/>
              <w:rPr>
                <w:sz w:val="9"/>
              </w:rPr>
            </w:pPr>
            <w:r>
              <w:rPr>
                <w:w w:val="105"/>
                <w:position w:val="-4"/>
                <w:sz w:val="7"/>
              </w:rPr>
              <w:t>0</w:t>
              <w:tab/>
            </w:r>
            <w:r>
              <w:rPr>
                <w:w w:val="105"/>
                <w:position w:val="-1"/>
                <w:sz w:val="7"/>
              </w:rPr>
              <w:t>0</w:t>
              <w:tab/>
            </w:r>
            <w:r>
              <w:rPr>
                <w:w w:val="105"/>
                <w:sz w:val="9"/>
              </w:rPr>
              <w:t>SEGDIO55/</w:t>
            </w:r>
          </w:p>
          <w:p>
            <w:pPr>
              <w:pStyle w:val="TableParagraph"/>
              <w:tabs>
                <w:tab w:pos="2042" w:val="left" w:leader="none"/>
                <w:tab w:pos="4783" w:val="left" w:leader="none"/>
              </w:tabs>
              <w:spacing w:line="87" w:lineRule="exact"/>
              <w:ind w:left="876"/>
              <w:rPr>
                <w:sz w:val="9"/>
              </w:rPr>
            </w:pPr>
            <w:r>
              <w:rPr>
                <w:w w:val="105"/>
                <w:sz w:val="9"/>
              </w:rPr>
              <w:t>UART1_RX</w:t>
            </w:r>
            <w:r>
              <w:rPr>
                <w:w w:val="105"/>
                <w:sz w:val="9"/>
                <w:u w:val="single"/>
              </w:rPr>
              <w:t> </w:t>
              <w:tab/>
            </w:r>
            <w:r>
              <w:rPr>
                <w:w w:val="105"/>
                <w:sz w:val="9"/>
              </w:rPr>
              <w:tab/>
              <w:t>OPT_RX</w:t>
            </w:r>
          </w:p>
          <w:p>
            <w:pPr>
              <w:pStyle w:val="TableParagraph"/>
              <w:tabs>
                <w:tab w:pos="3596" w:val="left" w:leader="none"/>
                <w:tab w:pos="5375" w:val="left" w:leader="none"/>
              </w:tabs>
              <w:spacing w:line="182" w:lineRule="auto" w:before="65"/>
              <w:ind w:left="2415" w:right="134" w:hanging="620"/>
              <w:rPr>
                <w:sz w:val="7"/>
              </w:rPr>
            </w:pPr>
            <w:r>
              <w:rPr>
                <w:i/>
                <w:color w:val="0000FF"/>
                <w:w w:val="105"/>
                <w:position w:val="-2"/>
                <w:sz w:val="9"/>
              </w:rPr>
              <w:t>OPT_RXDIS</w:t>
              <w:tab/>
              <w:tab/>
            </w:r>
            <w:r>
              <w:rPr>
                <w:w w:val="105"/>
                <w:sz w:val="9"/>
              </w:rPr>
              <w:t>SEG51   </w:t>
            </w:r>
            <w:r>
              <w:rPr>
                <w:spacing w:val="19"/>
                <w:w w:val="105"/>
                <w:sz w:val="9"/>
              </w:rPr>
              <w:t> </w:t>
            </w:r>
            <w:r>
              <w:rPr>
                <w:i/>
                <w:color w:val="0000FF"/>
                <w:w w:val="105"/>
                <w:sz w:val="9"/>
              </w:rPr>
              <w:t>LCD_MAP[55]</w:t>
              <w:tab/>
            </w:r>
            <w:r>
              <w:rPr>
                <w:spacing w:val="-5"/>
                <w:w w:val="105"/>
                <w:position w:val="-3"/>
                <w:sz w:val="9"/>
              </w:rPr>
              <w:t>V3P3 </w:t>
            </w:r>
            <w:r>
              <w:rPr>
                <w:w w:val="105"/>
                <w:sz w:val="9"/>
              </w:rPr>
              <w:t>VARPULSE</w:t>
            </w:r>
            <w:r>
              <w:rPr>
                <w:spacing w:val="4"/>
                <w:w w:val="105"/>
                <w:sz w:val="9"/>
              </w:rPr>
              <w:t> </w:t>
            </w:r>
            <w:r>
              <w:rPr>
                <w:w w:val="105"/>
                <w:sz w:val="7"/>
              </w:rPr>
              <w:t>3</w:t>
            </w:r>
          </w:p>
          <w:p>
            <w:pPr>
              <w:pStyle w:val="TableParagraph"/>
              <w:tabs>
                <w:tab w:pos="4123" w:val="left" w:leader="none"/>
                <w:tab w:pos="4781" w:val="left" w:leader="none"/>
              </w:tabs>
              <w:spacing w:line="71" w:lineRule="exact"/>
              <w:ind w:left="3778"/>
              <w:rPr>
                <w:sz w:val="9"/>
              </w:rPr>
            </w:pPr>
            <w:r>
              <w:rPr>
                <w:rFonts w:ascii="Times New Roman"/>
                <w:w w:val="102"/>
                <w:position w:val="1"/>
                <w:sz w:val="7"/>
                <w:u w:val="single"/>
              </w:rPr>
              <w:t> </w:t>
            </w:r>
            <w:r>
              <w:rPr>
                <w:rFonts w:ascii="Times New Roman"/>
                <w:position w:val="1"/>
                <w:sz w:val="7"/>
                <w:u w:val="single"/>
              </w:rPr>
              <w:tab/>
            </w:r>
            <w:r>
              <w:rPr>
                <w:w w:val="105"/>
                <w:position w:val="1"/>
                <w:sz w:val="7"/>
                <w:u w:val="single"/>
              </w:rPr>
              <w:t>1</w:t>
            </w:r>
            <w:r>
              <w:rPr>
                <w:w w:val="105"/>
                <w:position w:val="1"/>
                <w:sz w:val="7"/>
              </w:rPr>
              <w:tab/>
            </w:r>
            <w:r>
              <w:rPr>
                <w:w w:val="105"/>
                <w:sz w:val="9"/>
              </w:rPr>
              <w:t>SEGDIO51/</w:t>
            </w:r>
          </w:p>
          <w:p>
            <w:pPr>
              <w:pStyle w:val="TableParagraph"/>
              <w:tabs>
                <w:tab w:pos="4123" w:val="left" w:leader="none"/>
                <w:tab w:pos="4781" w:val="left" w:leader="none"/>
              </w:tabs>
              <w:spacing w:line="192" w:lineRule="auto"/>
              <w:ind w:left="2522"/>
              <w:rPr>
                <w:sz w:val="9"/>
              </w:rPr>
            </w:pPr>
            <w:r>
              <w:rPr>
                <w:w w:val="105"/>
                <w:sz w:val="9"/>
              </w:rPr>
              <w:t>WPULSE     </w:t>
            </w:r>
            <w:r>
              <w:rPr>
                <w:spacing w:val="6"/>
                <w:w w:val="105"/>
                <w:sz w:val="9"/>
              </w:rPr>
              <w:t> </w:t>
            </w:r>
            <w:r>
              <w:rPr>
                <w:w w:val="105"/>
                <w:position w:val="1"/>
                <w:sz w:val="7"/>
              </w:rPr>
              <w:t>2</w:t>
              <w:tab/>
            </w:r>
            <w:r>
              <w:rPr>
                <w:w w:val="105"/>
                <w:position w:val="-4"/>
                <w:sz w:val="7"/>
              </w:rPr>
              <w:t>0</w:t>
              <w:tab/>
            </w:r>
            <w:r>
              <w:rPr>
                <w:w w:val="105"/>
                <w:position w:val="-2"/>
                <w:sz w:val="9"/>
                <w:u w:val="single"/>
              </w:rPr>
              <w:t>OPT_TX</w:t>
            </w:r>
          </w:p>
          <w:p>
            <w:pPr>
              <w:pStyle w:val="TableParagraph"/>
              <w:tabs>
                <w:tab w:pos="2649" w:val="left" w:leader="none"/>
              </w:tabs>
              <w:spacing w:line="120" w:lineRule="exact"/>
              <w:ind w:left="61"/>
              <w:rPr>
                <w:sz w:val="7"/>
              </w:rPr>
            </w:pPr>
            <w:r>
              <w:rPr>
                <w:w w:val="105"/>
                <w:sz w:val="9"/>
              </w:rPr>
              <w:t>UART1_TX</w:t>
            </w:r>
            <w:r>
              <w:rPr>
                <w:w w:val="105"/>
                <w:position w:val="4"/>
                <w:sz w:val="9"/>
                <w:u w:val="single"/>
              </w:rPr>
              <w:t>     </w:t>
            </w:r>
            <w:r>
              <w:rPr>
                <w:spacing w:val="8"/>
                <w:w w:val="105"/>
                <w:position w:val="4"/>
                <w:sz w:val="9"/>
                <w:u w:val="single"/>
              </w:rPr>
              <w:t> </w:t>
            </w:r>
            <w:r>
              <w:rPr>
                <w:w w:val="105"/>
                <w:position w:val="4"/>
                <w:sz w:val="9"/>
                <w:u w:val="single"/>
              </w:rPr>
              <w:t>0</w:t>
            </w:r>
            <w:r>
              <w:rPr>
                <w:w w:val="105"/>
                <w:position w:val="4"/>
                <w:sz w:val="9"/>
              </w:rPr>
              <w:tab/>
            </w:r>
            <w:r>
              <w:rPr>
                <w:w w:val="105"/>
                <w:sz w:val="9"/>
              </w:rPr>
              <w:t>DIO51</w:t>
            </w:r>
            <w:r>
              <w:rPr>
                <w:spacing w:val="3"/>
                <w:w w:val="105"/>
                <w:sz w:val="9"/>
              </w:rPr>
              <w:t> </w:t>
            </w:r>
            <w:r>
              <w:rPr>
                <w:w w:val="105"/>
                <w:position w:val="1"/>
                <w:sz w:val="7"/>
              </w:rPr>
              <w:t>0</w:t>
            </w:r>
          </w:p>
          <w:p>
            <w:pPr>
              <w:pStyle w:val="TableParagraph"/>
              <w:tabs>
                <w:tab w:pos="2222" w:val="left" w:leader="none"/>
                <w:tab w:pos="2657" w:val="left" w:leader="none"/>
                <w:tab w:pos="3091" w:val="left" w:leader="none"/>
                <w:tab w:pos="3907" w:val="left" w:leader="none"/>
              </w:tabs>
              <w:spacing w:line="103" w:lineRule="exact"/>
              <w:ind w:left="1661"/>
              <w:rPr>
                <w:i/>
                <w:sz w:val="9"/>
              </w:rPr>
            </w:pPr>
            <w:r>
              <w:rPr>
                <w:rFonts w:ascii="Times New Roman"/>
                <w:w w:val="106"/>
                <w:sz w:val="9"/>
                <w:u w:val="single"/>
              </w:rPr>
              <w:t> </w:t>
            </w:r>
            <w:r>
              <w:rPr>
                <w:rFonts w:ascii="Times New Roman"/>
                <w:sz w:val="9"/>
                <w:u w:val="single"/>
              </w:rPr>
              <w:t>   </w:t>
            </w:r>
            <w:r>
              <w:rPr>
                <w:rFonts w:ascii="Times New Roman"/>
                <w:spacing w:val="-12"/>
                <w:sz w:val="9"/>
                <w:u w:val="single"/>
              </w:rPr>
              <w:t> </w:t>
            </w:r>
            <w:r>
              <w:rPr>
                <w:w w:val="105"/>
                <w:sz w:val="9"/>
                <w:u w:val="single"/>
              </w:rPr>
              <w:t>A</w:t>
            </w:r>
            <w:r>
              <w:rPr>
                <w:w w:val="105"/>
                <w:sz w:val="9"/>
              </w:rPr>
              <w:tab/>
            </w:r>
            <w:r>
              <w:rPr>
                <w:w w:val="105"/>
                <w:position w:val="4"/>
                <w:sz w:val="9"/>
              </w:rPr>
              <w:t>MOD</w:t>
              <w:tab/>
            </w:r>
            <w:r>
              <w:rPr>
                <w:w w:val="105"/>
                <w:sz w:val="9"/>
                <w:u w:val="single"/>
              </w:rPr>
              <w:t> B</w:t>
              <w:tab/>
            </w:r>
            <w:r>
              <w:rPr>
                <w:w w:val="105"/>
                <w:sz w:val="9"/>
              </w:rPr>
              <w:tab/>
            </w:r>
            <w:r>
              <w:rPr>
                <w:i/>
                <w:color w:val="0000FF"/>
                <w:w w:val="105"/>
                <w:position w:val="1"/>
                <w:sz w:val="9"/>
              </w:rPr>
              <w:t>LCD_MAP[51]</w:t>
            </w:r>
          </w:p>
          <w:p>
            <w:pPr>
              <w:pStyle w:val="TableParagraph"/>
              <w:tabs>
                <w:tab w:pos="3181" w:val="right" w:leader="none"/>
              </w:tabs>
              <w:spacing w:line="98" w:lineRule="exact"/>
              <w:ind w:left="334"/>
              <w:rPr>
                <w:sz w:val="7"/>
              </w:rPr>
            </w:pPr>
            <w:r>
              <w:rPr>
                <w:w w:val="105"/>
                <w:sz w:val="9"/>
              </w:rPr>
              <w:t>DIO5</w:t>
            </w:r>
            <w:r>
              <w:rPr>
                <w:spacing w:val="13"/>
                <w:w w:val="105"/>
                <w:sz w:val="9"/>
              </w:rPr>
              <w:t> </w:t>
            </w:r>
            <w:r>
              <w:rPr>
                <w:w w:val="105"/>
                <w:position w:val="5"/>
                <w:sz w:val="9"/>
              </w:rPr>
              <w:t>1</w:t>
              <w:tab/>
            </w:r>
            <w:r>
              <w:rPr>
                <w:w w:val="105"/>
                <w:position w:val="6"/>
                <w:sz w:val="7"/>
              </w:rPr>
              <w:t>1</w:t>
            </w:r>
          </w:p>
          <w:p>
            <w:pPr>
              <w:pStyle w:val="TableParagraph"/>
              <w:tabs>
                <w:tab w:pos="1318" w:val="left" w:leader="none"/>
              </w:tabs>
              <w:spacing w:line="117" w:lineRule="exact"/>
              <w:ind w:left="138"/>
              <w:jc w:val="center"/>
              <w:rPr>
                <w:rFonts w:ascii="Times New Roman"/>
                <w:i/>
                <w:sz w:val="9"/>
              </w:rPr>
            </w:pPr>
            <w:r>
              <w:rPr>
                <w:w w:val="105"/>
                <w:position w:val="7"/>
                <w:sz w:val="9"/>
              </w:rPr>
              <w:t>EN     </w:t>
            </w:r>
            <w:r>
              <w:rPr>
                <w:spacing w:val="23"/>
                <w:w w:val="105"/>
                <w:position w:val="7"/>
                <w:sz w:val="9"/>
              </w:rPr>
              <w:t> </w:t>
            </w:r>
            <w:r>
              <w:rPr>
                <w:w w:val="105"/>
                <w:position w:val="7"/>
                <w:sz w:val="9"/>
              </w:rPr>
              <w:t>DUTY</w:t>
              <w:tab/>
            </w:r>
            <w:r>
              <w:rPr>
                <w:rFonts w:ascii="Times New Roman"/>
                <w:i/>
                <w:color w:val="0000FF"/>
                <w:w w:val="105"/>
                <w:sz w:val="9"/>
              </w:rPr>
              <w:t>OPT_TXE[1:0]</w:t>
            </w:r>
          </w:p>
          <w:p>
            <w:pPr>
              <w:pStyle w:val="TableParagraph"/>
              <w:spacing w:line="72" w:lineRule="exact"/>
              <w:ind w:left="26" w:right="2467"/>
              <w:jc w:val="center"/>
              <w:rPr>
                <w:rFonts w:ascii="Times New Roman"/>
                <w:i/>
                <w:sz w:val="9"/>
              </w:rPr>
            </w:pPr>
            <w:r>
              <w:rPr>
                <w:rFonts w:ascii="Times New Roman"/>
                <w:i/>
                <w:color w:val="0000FF"/>
                <w:w w:val="105"/>
                <w:sz w:val="9"/>
              </w:rPr>
              <w:t>OPT_TXMOD</w:t>
            </w:r>
          </w:p>
          <w:p>
            <w:pPr>
              <w:pStyle w:val="TableParagraph"/>
              <w:tabs>
                <w:tab w:pos="2495" w:val="left" w:leader="none"/>
                <w:tab w:pos="3649" w:val="left" w:leader="none"/>
              </w:tabs>
              <w:spacing w:line="86" w:lineRule="exact" w:before="5"/>
              <w:ind w:left="1510"/>
              <w:rPr>
                <w:sz w:val="9"/>
              </w:rPr>
            </w:pPr>
            <w:r>
              <w:rPr>
                <w:rFonts w:ascii="Times New Roman"/>
                <w:i/>
                <w:color w:val="0000FF"/>
                <w:w w:val="105"/>
                <w:sz w:val="9"/>
              </w:rPr>
              <w:t>OPT_FDC</w:t>
            </w:r>
            <w:r>
              <w:rPr>
                <w:rFonts w:ascii="Times New Roman"/>
                <w:i/>
                <w:color w:val="0000FF"/>
                <w:w w:val="105"/>
                <w:sz w:val="9"/>
                <w:u w:val="single" w:color="000000"/>
              </w:rPr>
              <w:t> </w:t>
              <w:tab/>
            </w:r>
            <w:r>
              <w:rPr>
                <w:rFonts w:ascii="Times New Roman"/>
                <w:i/>
                <w:color w:val="0000FF"/>
                <w:w w:val="105"/>
                <w:sz w:val="9"/>
              </w:rPr>
              <w:tab/>
            </w:r>
            <w:r>
              <w:rPr>
                <w:w w:val="105"/>
                <w:sz w:val="9"/>
              </w:rPr>
              <w:t>SEG5</w:t>
            </w:r>
          </w:p>
          <w:p>
            <w:pPr>
              <w:pStyle w:val="TableParagraph"/>
              <w:tabs>
                <w:tab w:pos="1283" w:val="left" w:leader="none"/>
              </w:tabs>
              <w:spacing w:line="108" w:lineRule="exact"/>
              <w:ind w:right="2467"/>
              <w:jc w:val="center"/>
              <w:rPr>
                <w:sz w:val="9"/>
              </w:rPr>
            </w:pPr>
            <w:r>
              <w:rPr>
                <w:rFonts w:ascii="Times New Roman"/>
                <w:i/>
                <w:color w:val="0000FF"/>
                <w:w w:val="105"/>
                <w:sz w:val="9"/>
              </w:rPr>
              <w:t>OPT_TXINV</w:t>
              <w:tab/>
            </w:r>
            <w:r>
              <w:rPr>
                <w:w w:val="105"/>
                <w:position w:val="4"/>
                <w:sz w:val="9"/>
              </w:rPr>
              <w:t>2</w:t>
            </w:r>
          </w:p>
          <w:p>
            <w:pPr>
              <w:pStyle w:val="TableParagraph"/>
              <w:tabs>
                <w:tab w:pos="3778" w:val="left" w:leader="none"/>
                <w:tab w:pos="4110" w:val="left" w:leader="none"/>
              </w:tabs>
              <w:spacing w:line="85" w:lineRule="exact"/>
              <w:ind w:left="729"/>
              <w:rPr>
                <w:sz w:val="7"/>
              </w:rPr>
            </w:pPr>
            <w:r>
              <w:rPr>
                <w:w w:val="105"/>
                <w:sz w:val="9"/>
              </w:rPr>
              <w:t>0</w:t>
              <w:tab/>
            </w:r>
            <w:r>
              <w:rPr>
                <w:w w:val="105"/>
                <w:sz w:val="9"/>
                <w:u w:val="single"/>
              </w:rPr>
              <w:t> </w:t>
              <w:tab/>
            </w:r>
            <w:r>
              <w:rPr>
                <w:w w:val="105"/>
                <w:sz w:val="7"/>
                <w:u w:val="single"/>
              </w:rPr>
              <w:t>1</w:t>
            </w:r>
          </w:p>
          <w:p>
            <w:pPr>
              <w:pStyle w:val="TableParagraph"/>
              <w:tabs>
                <w:tab w:pos="4110" w:val="left" w:leader="none"/>
                <w:tab w:pos="4783" w:val="left" w:leader="none"/>
              </w:tabs>
              <w:spacing w:line="95" w:lineRule="exact" w:before="35"/>
              <w:ind w:left="880"/>
              <w:rPr>
                <w:sz w:val="9"/>
              </w:rPr>
            </w:pPr>
            <w:r>
              <w:rPr>
                <w:rFonts w:ascii="Times New Roman"/>
                <w:w w:val="102"/>
                <w:position w:val="3"/>
                <w:sz w:val="7"/>
                <w:u w:val="single"/>
              </w:rPr>
              <w:t> </w:t>
            </w:r>
            <w:r>
              <w:rPr>
                <w:rFonts w:ascii="Times New Roman"/>
                <w:position w:val="3"/>
                <w:sz w:val="7"/>
                <w:u w:val="single"/>
              </w:rPr>
              <w:tab/>
            </w:r>
            <w:r>
              <w:rPr>
                <w:w w:val="105"/>
                <w:position w:val="3"/>
                <w:sz w:val="7"/>
                <w:u w:val="single"/>
              </w:rPr>
              <w:t>0</w:t>
            </w:r>
            <w:r>
              <w:rPr>
                <w:w w:val="105"/>
                <w:position w:val="3"/>
                <w:sz w:val="7"/>
              </w:rPr>
              <w:tab/>
            </w:r>
            <w:r>
              <w:rPr>
                <w:w w:val="105"/>
                <w:sz w:val="9"/>
              </w:rPr>
              <w:t>SEGDIO5/TX2</w:t>
            </w:r>
          </w:p>
          <w:p>
            <w:pPr>
              <w:pStyle w:val="TableParagraph"/>
              <w:spacing w:line="81" w:lineRule="exact"/>
              <w:ind w:left="729"/>
              <w:rPr>
                <w:sz w:val="9"/>
              </w:rPr>
            </w:pPr>
            <w:r>
              <w:rPr>
                <w:w w:val="106"/>
                <w:sz w:val="9"/>
              </w:rPr>
              <w:t>1</w:t>
            </w:r>
          </w:p>
          <w:p>
            <w:pPr>
              <w:pStyle w:val="TableParagraph"/>
              <w:spacing w:line="91" w:lineRule="exact"/>
              <w:ind w:right="1229"/>
              <w:jc w:val="right"/>
              <w:rPr>
                <w:i/>
                <w:sz w:val="9"/>
              </w:rPr>
            </w:pPr>
            <w:r>
              <w:rPr>
                <w:i/>
                <w:color w:val="0000FF"/>
                <w:w w:val="105"/>
                <w:sz w:val="9"/>
              </w:rPr>
              <w:t>LCD_MAP[5]</w:t>
            </w:r>
          </w:p>
          <w:p>
            <w:pPr>
              <w:pStyle w:val="TableParagraph"/>
              <w:spacing w:line="93" w:lineRule="exact"/>
              <w:ind w:left="623"/>
              <w:rPr>
                <w:rFonts w:ascii="Times New Roman"/>
                <w:i/>
                <w:sz w:val="9"/>
              </w:rPr>
            </w:pPr>
            <w:r>
              <w:rPr>
                <w:rFonts w:ascii="Times New Roman"/>
                <w:i/>
                <w:color w:val="0000FF"/>
                <w:w w:val="105"/>
                <w:sz w:val="9"/>
              </w:rPr>
              <w:t>OPT_BB</w:t>
            </w:r>
          </w:p>
          <w:p>
            <w:pPr>
              <w:pStyle w:val="TableParagraph"/>
              <w:spacing w:before="28"/>
              <w:ind w:right="1227"/>
              <w:jc w:val="right"/>
              <w:rPr>
                <w:sz w:val="9"/>
              </w:rPr>
            </w:pPr>
            <w:r>
              <w:rPr>
                <w:i/>
                <w:color w:val="0000FF"/>
                <w:w w:val="105"/>
                <w:sz w:val="9"/>
              </w:rPr>
              <w:t>OPT_TXMOD</w:t>
            </w:r>
            <w:r>
              <w:rPr>
                <w:w w:val="105"/>
                <w:sz w:val="9"/>
              </w:rPr>
              <w:t>=1,</w:t>
            </w:r>
          </w:p>
          <w:p>
            <w:pPr>
              <w:pStyle w:val="TableParagraph"/>
              <w:tabs>
                <w:tab w:pos="2703" w:val="left" w:leader="none"/>
              </w:tabs>
              <w:spacing w:before="12"/>
              <w:ind w:right="1174"/>
              <w:jc w:val="right"/>
              <w:rPr>
                <w:sz w:val="9"/>
              </w:rPr>
            </w:pPr>
            <w:r>
              <w:rPr>
                <w:i/>
                <w:color w:val="0000FF"/>
                <w:w w:val="105"/>
                <w:sz w:val="9"/>
              </w:rPr>
              <w:t>OPT_TXMOD</w:t>
            </w:r>
            <w:r>
              <w:rPr>
                <w:w w:val="105"/>
                <w:sz w:val="9"/>
              </w:rPr>
              <w:t>=0</w:t>
              <w:tab/>
            </w:r>
            <w:r>
              <w:rPr>
                <w:i/>
                <w:color w:val="0000FF"/>
                <w:w w:val="105"/>
                <w:sz w:val="9"/>
              </w:rPr>
              <w:t>OPT_FDC</w:t>
            </w:r>
            <w:r>
              <w:rPr>
                <w:w w:val="105"/>
                <w:sz w:val="9"/>
              </w:rPr>
              <w:t>=2</w:t>
            </w:r>
            <w:r>
              <w:rPr>
                <w:spacing w:val="9"/>
                <w:w w:val="105"/>
                <w:sz w:val="9"/>
              </w:rPr>
              <w:t> </w:t>
            </w:r>
            <w:r>
              <w:rPr>
                <w:w w:val="105"/>
                <w:sz w:val="9"/>
              </w:rPr>
              <w:t>(25%)</w:t>
            </w:r>
          </w:p>
          <w:p>
            <w:pPr>
              <w:pStyle w:val="TableParagraph"/>
              <w:spacing w:line="216" w:lineRule="exact" w:before="21"/>
              <w:ind w:left="3239" w:right="2440"/>
              <w:jc w:val="center"/>
              <w:rPr>
                <w:sz w:val="9"/>
              </w:rPr>
            </w:pPr>
            <w:r>
              <w:rPr>
                <w:w w:val="105"/>
                <w:sz w:val="9"/>
              </w:rPr>
              <w:t>A B</w:t>
            </w:r>
          </w:p>
        </w:tc>
      </w:tr>
      <w:tr>
        <w:trPr>
          <w:trHeight w:val="183" w:hRule="atLeast"/>
        </w:trPr>
        <w:tc>
          <w:tcPr>
            <w:tcW w:w="4218" w:type="dxa"/>
            <w:tcBorders>
              <w:top w:val="nil"/>
              <w:right w:val="single" w:sz="2" w:space="0" w:color="000000"/>
            </w:tcBorders>
          </w:tcPr>
          <w:p>
            <w:pPr>
              <w:pStyle w:val="TableParagraph"/>
              <w:spacing w:line="103" w:lineRule="exact"/>
              <w:ind w:right="40"/>
              <w:jc w:val="right"/>
              <w:rPr>
                <w:rFonts w:ascii="Times New Roman"/>
                <w:sz w:val="9"/>
              </w:rPr>
            </w:pPr>
            <w:r>
              <w:rPr>
                <w:rFonts w:ascii="Times New Roman"/>
                <w:w w:val="106"/>
                <w:sz w:val="9"/>
                <w:u w:val="single"/>
              </w:rPr>
              <w:t> </w:t>
            </w:r>
            <w:r>
              <w:rPr>
                <w:rFonts w:ascii="Times New Roman"/>
                <w:spacing w:val="6"/>
                <w:sz w:val="9"/>
                <w:u w:val="single"/>
              </w:rPr>
              <w:t> </w:t>
            </w:r>
          </w:p>
        </w:tc>
        <w:tc>
          <w:tcPr>
            <w:tcW w:w="430" w:type="dxa"/>
            <w:tcBorders>
              <w:top w:val="nil"/>
              <w:left w:val="single" w:sz="2" w:space="0" w:color="000000"/>
              <w:right w:val="single" w:sz="2" w:space="0" w:color="000000"/>
            </w:tcBorders>
          </w:tcPr>
          <w:p>
            <w:pPr>
              <w:pStyle w:val="TableParagraph"/>
              <w:spacing w:line="102" w:lineRule="exact"/>
              <w:ind w:left="56"/>
              <w:rPr>
                <w:sz w:val="9"/>
              </w:rPr>
            </w:pPr>
            <w:r>
              <w:rPr>
                <w:w w:val="105"/>
                <w:sz w:val="9"/>
              </w:rPr>
              <w:t>1/38kHz</w:t>
            </w:r>
          </w:p>
        </w:tc>
        <w:tc>
          <w:tcPr>
            <w:tcW w:w="1108" w:type="dxa"/>
            <w:tcBorders>
              <w:top w:val="nil"/>
              <w:left w:val="single" w:sz="2" w:space="0" w:color="000000"/>
            </w:tcBorders>
          </w:tcPr>
          <w:p>
            <w:pPr>
              <w:pStyle w:val="TableParagraph"/>
              <w:spacing w:line="103" w:lineRule="exact"/>
              <w:ind w:left="53"/>
              <w:rPr>
                <w:rFonts w:ascii="Times New Roman"/>
                <w:sz w:val="9"/>
              </w:rPr>
            </w:pPr>
            <w:r>
              <w:rPr>
                <w:rFonts w:ascii="Times New Roman"/>
                <w:w w:val="106"/>
                <w:sz w:val="9"/>
                <w:u w:val="single"/>
              </w:rPr>
              <w:t> </w:t>
            </w:r>
            <w:r>
              <w:rPr>
                <w:rFonts w:ascii="Times New Roman"/>
                <w:spacing w:val="6"/>
                <w:sz w:val="9"/>
                <w:u w:val="single"/>
              </w:rPr>
              <w:t> </w:t>
            </w:r>
          </w:p>
        </w:tc>
      </w:tr>
    </w:tbl>
    <w:p>
      <w:pPr>
        <w:spacing w:before="0"/>
        <w:ind w:left="62" w:right="204" w:firstLine="0"/>
        <w:jc w:val="center"/>
        <w:rPr>
          <w:b/>
          <w:sz w:val="20"/>
        </w:rPr>
      </w:pPr>
      <w:r>
        <w:rPr/>
        <w:pict>
          <v:shape style="position:absolute;margin-left:168.365799pt;margin-top:-20.259033pt;width:107.7pt;height:5.45pt;mso-position-horizontal-relative:page;mso-position-vertical-relative:paragraph;z-index:-38796288" coordorigin="3367,-405" coordsize="2154,109" path="m3367,-405l4229,-405,4229,-297,5521,-297e" filled="false" stroked="true" strokeweight=".43388pt" strokecolor="#000000">
            <v:path arrowok="t"/>
            <v:stroke dashstyle="solid"/>
            <w10:wrap type="none"/>
          </v:shape>
        </w:pict>
      </w:r>
      <w:r>
        <w:rPr/>
        <w:pict>
          <v:shape style="position:absolute;margin-left:168.365799pt;margin-top:-31.106277pt;width:107.7pt;height:5.45pt;mso-position-horizontal-relative:page;mso-position-vertical-relative:paragraph;z-index:-38795776" coordorigin="3367,-622" coordsize="2154,109" path="m3367,-622l4229,-622,4229,-514,5521,-514e" filled="false" stroked="true" strokeweight=".43388pt" strokecolor="#000000">
            <v:path arrowok="t"/>
            <v:stroke dashstyle="solid"/>
            <w10:wrap type="none"/>
          </v:shape>
        </w:pict>
      </w:r>
      <w:r>
        <w:rPr/>
        <w:pict>
          <v:group style="position:absolute;margin-left:329.640656pt;margin-top:-20.478989pt;width:108.1pt;height:5.9pt;mso-position-horizontal-relative:page;mso-position-vertical-relative:paragraph;z-index:-38793216" coordorigin="6593,-410" coordsize="2162,118">
            <v:shape style="position:absolute;left:6597;top:-406;width:862;height:109" coordorigin="6597,-405" coordsize="862,109" path="m6597,-405l7458,-405,7458,-297e" filled="false" stroked="true" strokeweight=".433838pt" strokecolor="#000000">
              <v:path arrowok="t"/>
              <v:stroke dashstyle="solid"/>
            </v:shape>
            <v:shape style="position:absolute;left:7458;top:-406;width:431;height:109" coordorigin="7458,-405" coordsize="431,109" path="m7458,-297l7566,-297,7566,-405,7889,-405,7889,-297e" filled="false" stroked="true" strokeweight=".433695pt" strokecolor="#000000">
              <v:path arrowok="t"/>
              <v:stroke dashstyle="solid"/>
            </v:shape>
            <v:shape style="position:absolute;left:7889;top:-406;width:431;height:109" coordorigin="7889,-405" coordsize="431,109" path="m7889,-297l7997,-297,7997,-405,8320,-405,8320,-297e" filled="false" stroked="true" strokeweight=".433695pt" strokecolor="#000000">
              <v:path arrowok="t"/>
              <v:stroke dashstyle="solid"/>
            </v:shape>
            <v:shape style="position:absolute;left:8319;top:-406;width:431;height:109" coordorigin="8320,-405" coordsize="431,109" path="m8320,-297l8427,-297,8427,-405,8750,-405,8750,-297e" filled="false" stroked="true" strokeweight=".433695pt" strokecolor="#000000">
              <v:path arrowok="t"/>
              <v:stroke dashstyle="solid"/>
            </v:shape>
            <w10:wrap type="none"/>
          </v:group>
        </w:pict>
      </w:r>
      <w:r>
        <w:rPr/>
        <w:pict>
          <v:shape style="position:absolute;margin-left:329.857574pt;margin-top:-31.109299pt;width:107.7pt;height:5.45pt;mso-position-horizontal-relative:page;mso-position-vertical-relative:paragraph;z-index:-38792704" coordorigin="6597,-622" coordsize="2154,109" path="m6597,-622l7405,-622,7405,-514,8750,-514e" filled="false" stroked="true" strokeweight=".43388pt" strokecolor="#000000">
            <v:path arrowok="t"/>
            <v:stroke dashstyle="solid"/>
            <w10:wrap type="none"/>
          </v:shape>
        </w:pict>
      </w:r>
      <w:r>
        <w:rPr/>
        <w:pict>
          <v:shape style="position:absolute;margin-left:369.619812pt;margin-top:-8.366518pt;width:3.35pt;height:3.35pt;mso-position-horizontal-relative:page;mso-position-vertical-relative:paragraph;z-index:-38792192" coordorigin="7392,-167" coordsize="67,67" path="m7392,-101l7398,-117,7400,-134,7398,-151,7392,-167,7458,-134,7392,-101xe" filled="true" fillcolor="#000000" stroked="false">
            <v:path arrowok="t"/>
            <v:fill type="solid"/>
            <w10:wrap type="none"/>
          </v:shape>
        </w:pict>
      </w:r>
      <w:r>
        <w:rPr/>
        <w:pict>
          <v:shape style="position:absolute;margin-left:394.453217pt;margin-top:-8.366579pt;width:3.35pt;height:3.35pt;mso-position-horizontal-relative:page;mso-position-vertical-relative:paragraph;z-index:-38791680" coordorigin="7889,-167" coordsize="67,67" path="m7955,-101l7889,-134,7955,-167,7949,-151,7947,-134,7949,-117,7955,-101xe" filled="true" fillcolor="#000000" stroked="false">
            <v:path arrowok="t"/>
            <v:fill type="solid"/>
            <w10:wrap type="none"/>
          </v:shape>
        </w:pict>
      </w:r>
      <w:bookmarkStart w:name="_bookmark116" w:id="239"/>
      <w:bookmarkEnd w:id="239"/>
      <w:r>
        <w:rPr/>
      </w:r>
      <w:r>
        <w:rPr>
          <w:b/>
          <w:sz w:val="20"/>
        </w:rPr>
        <w:t>Figure 15: Optical Interface (UART1)</w:t>
      </w:r>
    </w:p>
    <w:p>
      <w:pPr>
        <w:pStyle w:val="BodyText"/>
        <w:spacing w:before="6"/>
        <w:rPr>
          <w:b/>
          <w:sz w:val="30"/>
        </w:rPr>
      </w:pPr>
    </w:p>
    <w:p>
      <w:pPr>
        <w:pStyle w:val="ListParagraph"/>
        <w:numPr>
          <w:ilvl w:val="2"/>
          <w:numId w:val="7"/>
        </w:numPr>
        <w:tabs>
          <w:tab w:pos="961" w:val="left" w:leader="none"/>
        </w:tabs>
        <w:spacing w:line="240" w:lineRule="auto" w:before="0" w:after="0"/>
        <w:ind w:left="960" w:right="0" w:hanging="721"/>
        <w:jc w:val="left"/>
        <w:rPr>
          <w:b/>
          <w:sz w:val="22"/>
        </w:rPr>
      </w:pPr>
      <w:bookmarkStart w:name="2.5.10 Digital I/O and LCD Segment Drive" w:id="240"/>
      <w:bookmarkEnd w:id="240"/>
      <w:r>
        <w:rPr/>
      </w:r>
      <w:bookmarkStart w:name="_bookmark117" w:id="241"/>
      <w:bookmarkEnd w:id="241"/>
      <w:r>
        <w:rPr/>
      </w:r>
      <w:bookmarkStart w:name="_bookmark117" w:id="242"/>
      <w:bookmarkEnd w:id="242"/>
      <w:r>
        <w:rPr>
          <w:b/>
          <w:sz w:val="22"/>
        </w:rPr>
        <w:t>D</w:t>
      </w:r>
      <w:r>
        <w:rPr>
          <w:b/>
          <w:sz w:val="22"/>
        </w:rPr>
        <w:t>igital I/O and LCD Segment</w:t>
      </w:r>
      <w:r>
        <w:rPr>
          <w:b/>
          <w:spacing w:val="-3"/>
          <w:sz w:val="22"/>
        </w:rPr>
        <w:t> </w:t>
      </w:r>
      <w:r>
        <w:rPr>
          <w:b/>
          <w:sz w:val="22"/>
        </w:rPr>
        <w:t>Drivers</w:t>
      </w:r>
    </w:p>
    <w:p>
      <w:pPr>
        <w:pStyle w:val="ListParagraph"/>
        <w:numPr>
          <w:ilvl w:val="3"/>
          <w:numId w:val="7"/>
        </w:numPr>
        <w:tabs>
          <w:tab w:pos="1105" w:val="left" w:leader="none"/>
        </w:tabs>
        <w:spacing w:line="240" w:lineRule="auto" w:before="121" w:after="0"/>
        <w:ind w:left="1104" w:right="0" w:hanging="865"/>
        <w:jc w:val="left"/>
        <w:rPr>
          <w:b/>
          <w:sz w:val="20"/>
        </w:rPr>
      </w:pPr>
      <w:bookmarkStart w:name="2.5.10.1 General Information" w:id="243"/>
      <w:bookmarkEnd w:id="243"/>
      <w:r>
        <w:rPr/>
      </w:r>
      <w:bookmarkStart w:name="2.5.10.1 General Information" w:id="244"/>
      <w:bookmarkEnd w:id="244"/>
      <w:r>
        <w:rPr>
          <w:b/>
          <w:sz w:val="20"/>
        </w:rPr>
        <w:t>G</w:t>
      </w:r>
      <w:r>
        <w:rPr>
          <w:b/>
          <w:sz w:val="20"/>
        </w:rPr>
        <w:t>eneral Information</w:t>
      </w:r>
    </w:p>
    <w:p>
      <w:pPr>
        <w:pStyle w:val="BodyText"/>
        <w:spacing w:before="80"/>
        <w:ind w:left="239" w:right="401"/>
      </w:pPr>
      <w:r>
        <w:rPr/>
        <w:t>The 71M6543 combines most DIO pins with LCD segment drivers. Each SEG/DIO pin can be configured as a DIO pin or as a segment driver pin (SEG).</w:t>
      </w:r>
    </w:p>
    <w:p>
      <w:pPr>
        <w:pStyle w:val="BodyText"/>
        <w:spacing w:line="232" w:lineRule="auto" w:before="124"/>
        <w:ind w:left="239" w:right="461"/>
      </w:pPr>
      <w:r>
        <w:rPr/>
        <w:t>On reset or power-up, all DIO pins are DIO inputs (except for SEGDIO0-15, see caution note below) until they are configured as desired under MPU control. The pin function can be configured by the I/O RAM</w:t>
      </w:r>
    </w:p>
    <w:p>
      <w:pPr>
        <w:spacing w:after="0" w:line="232" w:lineRule="auto"/>
        <w:sectPr>
          <w:type w:val="continuous"/>
          <w:pgSz w:w="12240" w:h="15840"/>
          <w:pgMar w:top="940" w:bottom="280" w:left="1200" w:right="1060"/>
        </w:sectPr>
      </w:pPr>
    </w:p>
    <w:p>
      <w:pPr>
        <w:pStyle w:val="BodyText"/>
        <w:spacing w:before="1"/>
        <w:rPr>
          <w:sz w:val="16"/>
        </w:rPr>
      </w:pPr>
    </w:p>
    <w:p>
      <w:pPr>
        <w:spacing w:line="232" w:lineRule="auto" w:before="98"/>
        <w:ind w:left="239" w:right="401" w:firstLine="0"/>
        <w:jc w:val="left"/>
        <w:rPr>
          <w:sz w:val="20"/>
        </w:rPr>
      </w:pPr>
      <w:r>
        <w:rPr>
          <w:sz w:val="20"/>
        </w:rPr>
        <w:t>registers </w:t>
      </w:r>
      <w:r>
        <w:rPr>
          <w:rFonts w:ascii="Times New Roman" w:hAnsi="Times New Roman"/>
          <w:i/>
          <w:sz w:val="20"/>
        </w:rPr>
        <w:t>LCD_MAPn (0x2405 – 0x240B)</w:t>
      </w:r>
      <w:r>
        <w:rPr>
          <w:sz w:val="20"/>
        </w:rPr>
        <w:t>. Setting the bit corresponding to the pin in </w:t>
      </w:r>
      <w:r>
        <w:rPr>
          <w:rFonts w:ascii="Times New Roman" w:hAnsi="Times New Roman"/>
          <w:i/>
          <w:sz w:val="20"/>
        </w:rPr>
        <w:t>LCD_MAPn </w:t>
      </w:r>
      <w:r>
        <w:rPr>
          <w:i/>
          <w:sz w:val="20"/>
        </w:rPr>
        <w:t>to </w:t>
      </w:r>
      <w:r>
        <w:rPr>
          <w:sz w:val="20"/>
        </w:rPr>
        <w:t>1 configures the pin for LCD, setting </w:t>
      </w:r>
      <w:r>
        <w:rPr>
          <w:rFonts w:ascii="Times New Roman" w:hAnsi="Times New Roman"/>
          <w:i/>
          <w:sz w:val="20"/>
        </w:rPr>
        <w:t>LCD_MAPn </w:t>
      </w:r>
      <w:r>
        <w:rPr>
          <w:sz w:val="20"/>
        </w:rPr>
        <w:t>to 0 configures it for DIO.</w:t>
      </w:r>
    </w:p>
    <w:p>
      <w:pPr>
        <w:pStyle w:val="BodyText"/>
        <w:spacing w:line="232" w:lineRule="auto" w:before="126"/>
        <w:ind w:left="1080" w:right="870" w:hanging="75"/>
        <w:jc w:val="both"/>
      </w:pPr>
      <w:r>
        <w:rPr/>
        <w:drawing>
          <wp:anchor distT="0" distB="0" distL="0" distR="0" allowOverlap="1" layoutInCell="1" locked="0" behindDoc="0" simplePos="0" relativeHeight="15792640">
            <wp:simplePos x="0" y="0"/>
            <wp:positionH relativeFrom="page">
              <wp:posOffset>908686</wp:posOffset>
            </wp:positionH>
            <wp:positionV relativeFrom="paragraph">
              <wp:posOffset>105203</wp:posOffset>
            </wp:positionV>
            <wp:extent cx="446403" cy="449579"/>
            <wp:effectExtent l="0" t="0" r="0" b="0"/>
            <wp:wrapNone/>
            <wp:docPr id="55" name="image54.png"/>
            <wp:cNvGraphicFramePr>
              <a:graphicFrameLocks noChangeAspect="1"/>
            </wp:cNvGraphicFramePr>
            <a:graphic>
              <a:graphicData uri="http://schemas.openxmlformats.org/drawingml/2006/picture">
                <pic:pic>
                  <pic:nvPicPr>
                    <pic:cNvPr id="56" name="image54.png"/>
                    <pic:cNvPicPr/>
                  </pic:nvPicPr>
                  <pic:blipFill>
                    <a:blip r:embed="rId63" cstate="print"/>
                    <a:stretch>
                      <a:fillRect/>
                    </a:stretch>
                  </pic:blipFill>
                  <pic:spPr>
                    <a:xfrm>
                      <a:off x="0" y="0"/>
                      <a:ext cx="446403" cy="449579"/>
                    </a:xfrm>
                    <a:prstGeom prst="rect">
                      <a:avLst/>
                    </a:prstGeom>
                  </pic:spPr>
                </pic:pic>
              </a:graphicData>
            </a:graphic>
          </wp:anchor>
        </w:drawing>
      </w:r>
      <w:r>
        <w:rPr/>
        <w:t>After reset or power up, pins SEGDIO0 through SEGDIO15 are initially DIO outputs, but are disabled by </w:t>
      </w:r>
      <w:r>
        <w:rPr>
          <w:rFonts w:ascii="Times New Roman"/>
          <w:i/>
        </w:rPr>
        <w:t>PORT_E </w:t>
      </w:r>
      <w:r>
        <w:rPr/>
        <w:t>= 0 </w:t>
      </w:r>
      <w:r>
        <w:rPr>
          <w:rFonts w:ascii="Times New Roman"/>
          <w:i/>
        </w:rPr>
        <w:t>(I/O RAM 0x270C[5]</w:t>
      </w:r>
      <w:r>
        <w:rPr/>
        <w:t>) to avoid unwanted pulses during reset. After configuring pins SEGDIO0 through SEGDIO15 the MPU must enable these pins by setting</w:t>
      </w:r>
    </w:p>
    <w:p>
      <w:pPr>
        <w:spacing w:line="220" w:lineRule="exact" w:before="0"/>
        <w:ind w:left="960" w:right="0" w:firstLine="0"/>
        <w:jc w:val="left"/>
        <w:rPr>
          <w:sz w:val="20"/>
        </w:rPr>
      </w:pPr>
      <w:r>
        <w:rPr>
          <w:rFonts w:ascii="Times New Roman"/>
          <w:i/>
          <w:sz w:val="20"/>
        </w:rPr>
        <w:t>PORT_E</w:t>
      </w:r>
      <w:r>
        <w:rPr>
          <w:sz w:val="20"/>
        </w:rPr>
        <w:t>.</w:t>
      </w:r>
    </w:p>
    <w:p>
      <w:pPr>
        <w:spacing w:line="230" w:lineRule="auto" w:before="127"/>
        <w:ind w:left="240" w:right="460" w:firstLine="0"/>
        <w:jc w:val="left"/>
        <w:rPr>
          <w:sz w:val="20"/>
        </w:rPr>
      </w:pPr>
      <w:r>
        <w:rPr>
          <w:sz w:val="20"/>
        </w:rPr>
        <w:t>Once a pin is configured as DIO, it can be configured independently as an input or output. For SEGDIO0 to SEGDIO15, this is done with the SFR registers </w:t>
      </w:r>
      <w:r>
        <w:rPr>
          <w:rFonts w:ascii="Times New Roman"/>
          <w:i/>
          <w:sz w:val="20"/>
        </w:rPr>
        <w:t>P0 (SFR 0x80)</w:t>
      </w:r>
      <w:r>
        <w:rPr>
          <w:i/>
          <w:sz w:val="20"/>
        </w:rPr>
        <w:t>, </w:t>
      </w:r>
      <w:r>
        <w:rPr>
          <w:rFonts w:ascii="Times New Roman"/>
          <w:i/>
          <w:sz w:val="20"/>
        </w:rPr>
        <w:t>P1 (SFR 0x90)</w:t>
      </w:r>
      <w:r>
        <w:rPr>
          <w:sz w:val="20"/>
        </w:rPr>
        <w:t>, </w:t>
      </w:r>
      <w:r>
        <w:rPr>
          <w:rFonts w:ascii="Times New Roman"/>
          <w:i/>
          <w:sz w:val="20"/>
        </w:rPr>
        <w:t>P2 (SFR 0xA0) </w:t>
      </w:r>
      <w:r>
        <w:rPr>
          <w:sz w:val="20"/>
        </w:rPr>
        <w:t>and </w:t>
      </w:r>
      <w:r>
        <w:rPr>
          <w:rFonts w:ascii="Times New Roman"/>
          <w:i/>
          <w:sz w:val="20"/>
        </w:rPr>
        <w:t>P3 </w:t>
      </w:r>
      <w:r>
        <w:rPr>
          <w:rFonts w:ascii="Times New Roman"/>
          <w:i/>
          <w:sz w:val="20"/>
        </w:rPr>
        <w:t>(SFR 0xB0)</w:t>
      </w:r>
      <w:r>
        <w:rPr>
          <w:sz w:val="20"/>
        </w:rPr>
        <w:t>, as shown in </w:t>
      </w:r>
      <w:hyperlink w:history="true" w:anchor="_bookmark121">
        <w:r>
          <w:rPr>
            <w:color w:val="0000FF"/>
            <w:sz w:val="20"/>
          </w:rPr>
          <w:t>Table 47</w:t>
        </w:r>
        <w:r>
          <w:rPr>
            <w:sz w:val="20"/>
          </w:rPr>
          <w:t>.</w:t>
        </w:r>
      </w:hyperlink>
    </w:p>
    <w:p>
      <w:pPr>
        <w:pStyle w:val="BodyText"/>
        <w:spacing w:before="120"/>
        <w:ind w:left="240" w:right="607"/>
        <w:rPr>
          <w:rFonts w:ascii="Times New Roman"/>
          <w:i/>
        </w:rPr>
      </w:pPr>
      <w:r>
        <w:rPr/>
        <w:t>Example: SEGDIO12 (pin 32 in </w:t>
      </w:r>
      <w:hyperlink w:history="true" w:anchor="_bookmark121">
        <w:r>
          <w:rPr>
            <w:color w:val="0000FF"/>
          </w:rPr>
          <w:t>Table 47</w:t>
        </w:r>
      </w:hyperlink>
      <w:r>
        <w:rPr/>
        <w:t>) is configured as a DIO output pin with a value of 1 (high) by writing 0 to bit 4 of </w:t>
      </w:r>
      <w:r>
        <w:rPr>
          <w:rFonts w:ascii="Times New Roman"/>
          <w:i/>
          <w:spacing w:val="2"/>
        </w:rPr>
        <w:t>LCD_MAP[15:8]</w:t>
      </w:r>
      <w:r>
        <w:rPr>
          <w:spacing w:val="2"/>
        </w:rPr>
        <w:t>, </w:t>
      </w:r>
      <w:r>
        <w:rPr/>
        <w:t>and writing 1 to both </w:t>
      </w:r>
      <w:r>
        <w:rPr>
          <w:rFonts w:ascii="Times New Roman"/>
          <w:i/>
        </w:rPr>
        <w:t>P3[4]and P3[0]</w:t>
      </w:r>
      <w:r>
        <w:rPr/>
        <w:t>. The same pin is configured as an LCD driver by writing 1 to bit 4 of </w:t>
      </w:r>
      <w:r>
        <w:rPr>
          <w:rFonts w:ascii="Times New Roman"/>
          <w:i/>
        </w:rPr>
        <w:t>LCD_MAP[15:8]</w:t>
      </w:r>
      <w:r>
        <w:rPr/>
        <w:t>. The display information is written to bits 0 to 5 of </w:t>
      </w:r>
      <w:r>
        <w:rPr>
          <w:rFonts w:ascii="Times New Roman"/>
          <w:i/>
        </w:rPr>
        <w:t>LCD_SEG12.</w:t>
      </w:r>
    </w:p>
    <w:p>
      <w:pPr>
        <w:pStyle w:val="BodyText"/>
        <w:rPr>
          <w:rFonts w:ascii="Times New Roman"/>
          <w:i/>
        </w:rPr>
      </w:pPr>
    </w:p>
    <w:p>
      <w:pPr>
        <w:pStyle w:val="BodyText"/>
        <w:ind w:left="240"/>
      </w:pPr>
      <w:r>
        <w:rPr/>
        <w:t>The PB pin is a dedicated digital input and is not part of the SEGDIO system.</w:t>
      </w:r>
    </w:p>
    <w:p>
      <w:pPr>
        <w:pStyle w:val="BodyText"/>
        <w:spacing w:line="232" w:lineRule="auto" w:before="119"/>
        <w:ind w:left="960" w:right="401"/>
      </w:pPr>
      <w:r>
        <w:rPr/>
        <w:drawing>
          <wp:anchor distT="0" distB="0" distL="0" distR="0" allowOverlap="1" layoutInCell="1" locked="0" behindDoc="0" simplePos="0" relativeHeight="15792128">
            <wp:simplePos x="0" y="0"/>
            <wp:positionH relativeFrom="page">
              <wp:posOffset>950907</wp:posOffset>
            </wp:positionH>
            <wp:positionV relativeFrom="paragraph">
              <wp:posOffset>89765</wp:posOffset>
            </wp:positionV>
            <wp:extent cx="272190" cy="414160"/>
            <wp:effectExtent l="0" t="0" r="0" b="0"/>
            <wp:wrapNone/>
            <wp:docPr id="57" name="image98.png"/>
            <wp:cNvGraphicFramePr>
              <a:graphicFrameLocks noChangeAspect="1"/>
            </wp:cNvGraphicFramePr>
            <a:graphic>
              <a:graphicData uri="http://schemas.openxmlformats.org/drawingml/2006/picture">
                <pic:pic>
                  <pic:nvPicPr>
                    <pic:cNvPr id="58" name="image98.png"/>
                    <pic:cNvPicPr/>
                  </pic:nvPicPr>
                  <pic:blipFill>
                    <a:blip r:embed="rId122" cstate="print"/>
                    <a:stretch>
                      <a:fillRect/>
                    </a:stretch>
                  </pic:blipFill>
                  <pic:spPr>
                    <a:xfrm>
                      <a:off x="0" y="0"/>
                      <a:ext cx="272190" cy="414160"/>
                    </a:xfrm>
                    <a:prstGeom prst="rect">
                      <a:avLst/>
                    </a:prstGeom>
                  </pic:spPr>
                </pic:pic>
              </a:graphicData>
            </a:graphic>
          </wp:anchor>
        </w:drawing>
      </w:r>
      <w:r>
        <w:rPr/>
        <w:t>The CE features pulse counting registers and each pulse counter interrupt output is internally routed to the pulse interrupt logic. Thus, no routing of pulse signals to external pins is required in order to generate pulse interrupts. See interrupt source No. 2 in </w:t>
      </w:r>
      <w:hyperlink w:history="true" w:anchor="_bookmark92">
        <w:r>
          <w:rPr>
            <w:color w:val="0000FF"/>
          </w:rPr>
          <w:t>Figure 12</w:t>
        </w:r>
        <w:r>
          <w:rPr/>
          <w:t>.</w:t>
        </w:r>
      </w:hyperlink>
    </w:p>
    <w:p>
      <w:pPr>
        <w:pStyle w:val="BodyText"/>
        <w:spacing w:line="232" w:lineRule="auto" w:before="115"/>
        <w:ind w:left="240" w:right="401"/>
      </w:pPr>
      <w:r>
        <w:rPr/>
        <w:t>A 3-bit configuration word, I/O RAM register </w:t>
      </w:r>
      <w:r>
        <w:rPr>
          <w:rFonts w:ascii="Times New Roman"/>
          <w:i/>
        </w:rPr>
        <w:t>DIO_Rn </w:t>
      </w:r>
      <w:r>
        <w:rPr/>
        <w:t>(</w:t>
      </w:r>
      <w:r>
        <w:rPr>
          <w:rFonts w:ascii="Times New Roman"/>
          <w:i/>
        </w:rPr>
        <w:t>I/O RAM 0x2009[2:0] </w:t>
      </w:r>
      <w:r>
        <w:rPr/>
        <w:t>through </w:t>
      </w:r>
      <w:r>
        <w:rPr>
          <w:rFonts w:ascii="Times New Roman"/>
          <w:i/>
        </w:rPr>
        <w:t>0x200E[6:4]</w:t>
      </w:r>
      <w:r>
        <w:rPr/>
        <w:t>) can be used for pins SEGDIO2 through SEGDIO11 (when configured as DIO) and PB to individually assign an internal resource such as an interrupt or a timer control (</w:t>
      </w:r>
      <w:r>
        <w:rPr>
          <w:rFonts w:ascii="Times New Roman"/>
          <w:i/>
        </w:rPr>
        <w:t>DIO_RPB[2:0], I/O RAM 0x2450[2:0], </w:t>
      </w:r>
      <w:r>
        <w:rPr/>
        <w:t>configures the PB pin). This way, DIO pins can be tracked even if they are configured as outputs. </w:t>
      </w:r>
      <w:hyperlink w:history="true" w:anchor="_bookmark121">
        <w:r>
          <w:rPr>
            <w:color w:val="0000FF"/>
          </w:rPr>
          <w:t>Table 47 </w:t>
        </w:r>
      </w:hyperlink>
      <w:r>
        <w:rPr/>
        <w:t>lists the internal resources which can be assigned using </w:t>
      </w:r>
      <w:r>
        <w:rPr>
          <w:rFonts w:ascii="Times New Roman"/>
          <w:i/>
        </w:rPr>
        <w:t>DIO_R2[2:0] </w:t>
      </w:r>
      <w:r>
        <w:rPr/>
        <w:t>through </w:t>
      </w:r>
      <w:r>
        <w:rPr>
          <w:rFonts w:ascii="Times New Roman"/>
          <w:i/>
        </w:rPr>
        <w:t>DIO_R11[2:0] </w:t>
      </w:r>
      <w:r>
        <w:rPr/>
        <w:t>and </w:t>
      </w:r>
      <w:r>
        <w:rPr>
          <w:rFonts w:ascii="Times New Roman"/>
          <w:i/>
        </w:rPr>
        <w:t>DIO_RPB[2:0]</w:t>
      </w:r>
      <w:r>
        <w:rPr/>
        <w:t>. If more than one input is connected to the same resource, the resources are combined using a logical OR.</w:t>
      </w:r>
    </w:p>
    <w:p>
      <w:pPr>
        <w:pStyle w:val="BodyText"/>
        <w:spacing w:before="5"/>
        <w:rPr>
          <w:sz w:val="25"/>
        </w:rPr>
      </w:pPr>
    </w:p>
    <w:p>
      <w:pPr>
        <w:spacing w:before="0"/>
        <w:ind w:left="70" w:right="204" w:firstLine="0"/>
        <w:jc w:val="center"/>
        <w:rPr>
          <w:b/>
          <w:sz w:val="20"/>
        </w:rPr>
      </w:pPr>
      <w:bookmarkStart w:name="_bookmark118" w:id="245"/>
      <w:bookmarkEnd w:id="245"/>
      <w:r>
        <w:rPr/>
      </w:r>
      <w:r>
        <w:rPr>
          <w:b/>
          <w:sz w:val="20"/>
        </w:rPr>
        <w:t>Table 46: Selectable Resources using the </w:t>
      </w:r>
      <w:r>
        <w:rPr>
          <w:rFonts w:ascii="Times New Roman"/>
          <w:b/>
          <w:i/>
          <w:sz w:val="20"/>
        </w:rPr>
        <w:t>DIO_Rn[2:0] </w:t>
      </w:r>
      <w:r>
        <w:rPr>
          <w:b/>
          <w:sz w:val="20"/>
        </w:rPr>
        <w:t>Bits</w:t>
      </w:r>
    </w:p>
    <w:p>
      <w:pPr>
        <w:pStyle w:val="BodyText"/>
        <w:spacing w:before="5"/>
        <w:rPr>
          <w:b/>
          <w:sz w:val="5"/>
        </w:rPr>
      </w:pPr>
    </w:p>
    <w:tbl>
      <w:tblPr>
        <w:tblW w:w="0" w:type="auto"/>
        <w:jc w:val="left"/>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7"/>
        <w:gridCol w:w="4591"/>
      </w:tblGrid>
      <w:tr>
        <w:trPr>
          <w:trHeight w:val="350" w:hRule="atLeast"/>
        </w:trPr>
        <w:tc>
          <w:tcPr>
            <w:tcW w:w="2357" w:type="dxa"/>
          </w:tcPr>
          <w:p>
            <w:pPr>
              <w:pStyle w:val="TableParagraph"/>
              <w:spacing w:line="228" w:lineRule="exact"/>
              <w:ind w:left="188" w:right="185"/>
              <w:jc w:val="center"/>
              <w:rPr>
                <w:rFonts w:ascii="Times New Roman"/>
                <w:b/>
                <w:i/>
                <w:sz w:val="20"/>
              </w:rPr>
            </w:pPr>
            <w:r>
              <w:rPr>
                <w:b/>
                <w:sz w:val="20"/>
              </w:rPr>
              <w:t>Value in </w:t>
            </w:r>
            <w:r>
              <w:rPr>
                <w:rFonts w:ascii="Times New Roman"/>
                <w:b/>
                <w:i/>
                <w:sz w:val="20"/>
              </w:rPr>
              <w:t>DIO_Rn[2:0]</w:t>
            </w:r>
          </w:p>
        </w:tc>
        <w:tc>
          <w:tcPr>
            <w:tcW w:w="4591" w:type="dxa"/>
          </w:tcPr>
          <w:p>
            <w:pPr>
              <w:pStyle w:val="TableParagraph"/>
              <w:spacing w:line="225" w:lineRule="exact"/>
              <w:ind w:left="107"/>
              <w:rPr>
                <w:b/>
                <w:sz w:val="20"/>
              </w:rPr>
            </w:pPr>
            <w:r>
              <w:rPr>
                <w:b/>
                <w:sz w:val="20"/>
              </w:rPr>
              <w:t>Resource Selected for SEGDIOn or PB Pin</w:t>
            </w:r>
          </w:p>
        </w:tc>
      </w:tr>
      <w:tr>
        <w:trPr>
          <w:trHeight w:val="350" w:hRule="atLeast"/>
        </w:trPr>
        <w:tc>
          <w:tcPr>
            <w:tcW w:w="2357" w:type="dxa"/>
          </w:tcPr>
          <w:p>
            <w:pPr>
              <w:pStyle w:val="TableParagraph"/>
              <w:spacing w:line="229" w:lineRule="exact"/>
              <w:ind w:left="4"/>
              <w:jc w:val="center"/>
              <w:rPr>
                <w:sz w:val="20"/>
              </w:rPr>
            </w:pPr>
            <w:r>
              <w:rPr>
                <w:w w:val="99"/>
                <w:sz w:val="20"/>
              </w:rPr>
              <w:t>0</w:t>
            </w:r>
          </w:p>
        </w:tc>
        <w:tc>
          <w:tcPr>
            <w:tcW w:w="4591" w:type="dxa"/>
          </w:tcPr>
          <w:p>
            <w:pPr>
              <w:pStyle w:val="TableParagraph"/>
              <w:spacing w:before="59"/>
              <w:ind w:left="107"/>
              <w:rPr>
                <w:sz w:val="20"/>
              </w:rPr>
            </w:pPr>
            <w:r>
              <w:rPr>
                <w:sz w:val="20"/>
              </w:rPr>
              <w:t>None</w:t>
            </w:r>
          </w:p>
        </w:tc>
      </w:tr>
      <w:tr>
        <w:trPr>
          <w:trHeight w:val="350" w:hRule="atLeast"/>
        </w:trPr>
        <w:tc>
          <w:tcPr>
            <w:tcW w:w="2357" w:type="dxa"/>
          </w:tcPr>
          <w:p>
            <w:pPr>
              <w:pStyle w:val="TableParagraph"/>
              <w:spacing w:line="229" w:lineRule="exact"/>
              <w:ind w:left="4"/>
              <w:jc w:val="center"/>
              <w:rPr>
                <w:sz w:val="20"/>
              </w:rPr>
            </w:pPr>
            <w:r>
              <w:rPr>
                <w:w w:val="99"/>
                <w:sz w:val="20"/>
              </w:rPr>
              <w:t>1</w:t>
            </w:r>
          </w:p>
        </w:tc>
        <w:tc>
          <w:tcPr>
            <w:tcW w:w="4591" w:type="dxa"/>
          </w:tcPr>
          <w:p>
            <w:pPr>
              <w:pStyle w:val="TableParagraph"/>
              <w:spacing w:before="59"/>
              <w:ind w:left="107"/>
              <w:rPr>
                <w:sz w:val="20"/>
              </w:rPr>
            </w:pPr>
            <w:r>
              <w:rPr>
                <w:sz w:val="20"/>
              </w:rPr>
              <w:t>Reserved</w:t>
            </w:r>
          </w:p>
        </w:tc>
      </w:tr>
      <w:tr>
        <w:trPr>
          <w:trHeight w:val="350" w:hRule="atLeast"/>
        </w:trPr>
        <w:tc>
          <w:tcPr>
            <w:tcW w:w="2357" w:type="dxa"/>
          </w:tcPr>
          <w:p>
            <w:pPr>
              <w:pStyle w:val="TableParagraph"/>
              <w:spacing w:line="229" w:lineRule="exact"/>
              <w:ind w:left="4"/>
              <w:jc w:val="center"/>
              <w:rPr>
                <w:sz w:val="20"/>
              </w:rPr>
            </w:pPr>
            <w:r>
              <w:rPr>
                <w:w w:val="99"/>
                <w:sz w:val="20"/>
              </w:rPr>
              <w:t>2</w:t>
            </w:r>
          </w:p>
        </w:tc>
        <w:tc>
          <w:tcPr>
            <w:tcW w:w="4591" w:type="dxa"/>
          </w:tcPr>
          <w:p>
            <w:pPr>
              <w:pStyle w:val="TableParagraph"/>
              <w:spacing w:before="59"/>
              <w:ind w:left="107"/>
              <w:rPr>
                <w:sz w:val="20"/>
              </w:rPr>
            </w:pPr>
            <w:r>
              <w:rPr>
                <w:sz w:val="20"/>
              </w:rPr>
              <w:t>T0 (counter0 clock)</w:t>
            </w:r>
          </w:p>
        </w:tc>
      </w:tr>
      <w:tr>
        <w:trPr>
          <w:trHeight w:val="350" w:hRule="atLeast"/>
        </w:trPr>
        <w:tc>
          <w:tcPr>
            <w:tcW w:w="2357" w:type="dxa"/>
          </w:tcPr>
          <w:p>
            <w:pPr>
              <w:pStyle w:val="TableParagraph"/>
              <w:spacing w:line="229" w:lineRule="exact"/>
              <w:ind w:left="4"/>
              <w:jc w:val="center"/>
              <w:rPr>
                <w:sz w:val="20"/>
              </w:rPr>
            </w:pPr>
            <w:r>
              <w:rPr>
                <w:w w:val="99"/>
                <w:sz w:val="20"/>
              </w:rPr>
              <w:t>3</w:t>
            </w:r>
          </w:p>
        </w:tc>
        <w:tc>
          <w:tcPr>
            <w:tcW w:w="4591" w:type="dxa"/>
          </w:tcPr>
          <w:p>
            <w:pPr>
              <w:pStyle w:val="TableParagraph"/>
              <w:spacing w:before="59"/>
              <w:ind w:left="107"/>
              <w:rPr>
                <w:sz w:val="20"/>
              </w:rPr>
            </w:pPr>
            <w:r>
              <w:rPr>
                <w:sz w:val="20"/>
              </w:rPr>
              <w:t>T1 (counter1 clock)</w:t>
            </w:r>
          </w:p>
        </w:tc>
      </w:tr>
      <w:tr>
        <w:trPr>
          <w:trHeight w:val="350" w:hRule="atLeast"/>
        </w:trPr>
        <w:tc>
          <w:tcPr>
            <w:tcW w:w="2357" w:type="dxa"/>
          </w:tcPr>
          <w:p>
            <w:pPr>
              <w:pStyle w:val="TableParagraph"/>
              <w:spacing w:line="229" w:lineRule="exact"/>
              <w:ind w:left="4"/>
              <w:jc w:val="center"/>
              <w:rPr>
                <w:sz w:val="20"/>
              </w:rPr>
            </w:pPr>
            <w:r>
              <w:rPr>
                <w:w w:val="99"/>
                <w:sz w:val="20"/>
              </w:rPr>
              <w:t>4</w:t>
            </w:r>
          </w:p>
        </w:tc>
        <w:tc>
          <w:tcPr>
            <w:tcW w:w="4591" w:type="dxa"/>
          </w:tcPr>
          <w:p>
            <w:pPr>
              <w:pStyle w:val="TableParagraph"/>
              <w:spacing w:before="59"/>
              <w:ind w:left="107"/>
              <w:rPr>
                <w:sz w:val="20"/>
              </w:rPr>
            </w:pPr>
            <w:r>
              <w:rPr>
                <w:sz w:val="20"/>
              </w:rPr>
              <w:t>High priority I/O interrupt (INT0)</w:t>
            </w:r>
          </w:p>
        </w:tc>
      </w:tr>
      <w:tr>
        <w:trPr>
          <w:trHeight w:val="350" w:hRule="atLeast"/>
        </w:trPr>
        <w:tc>
          <w:tcPr>
            <w:tcW w:w="2357" w:type="dxa"/>
          </w:tcPr>
          <w:p>
            <w:pPr>
              <w:pStyle w:val="TableParagraph"/>
              <w:spacing w:line="229" w:lineRule="exact"/>
              <w:ind w:left="4"/>
              <w:jc w:val="center"/>
              <w:rPr>
                <w:sz w:val="20"/>
              </w:rPr>
            </w:pPr>
            <w:r>
              <w:rPr>
                <w:w w:val="99"/>
                <w:sz w:val="20"/>
              </w:rPr>
              <w:t>5</w:t>
            </w:r>
          </w:p>
        </w:tc>
        <w:tc>
          <w:tcPr>
            <w:tcW w:w="4591" w:type="dxa"/>
          </w:tcPr>
          <w:p>
            <w:pPr>
              <w:pStyle w:val="TableParagraph"/>
              <w:spacing w:line="229" w:lineRule="exact"/>
              <w:ind w:left="107"/>
              <w:rPr>
                <w:sz w:val="20"/>
              </w:rPr>
            </w:pPr>
            <w:r>
              <w:rPr>
                <w:sz w:val="20"/>
              </w:rPr>
              <w:t>Low priority I/O interrupt (INT1)</w:t>
            </w:r>
          </w:p>
        </w:tc>
      </w:tr>
      <w:tr>
        <w:trPr>
          <w:trHeight w:val="690" w:hRule="atLeast"/>
        </w:trPr>
        <w:tc>
          <w:tcPr>
            <w:tcW w:w="6948" w:type="dxa"/>
            <w:gridSpan w:val="2"/>
          </w:tcPr>
          <w:p>
            <w:pPr>
              <w:pStyle w:val="TableParagraph"/>
              <w:spacing w:line="225" w:lineRule="exact"/>
              <w:ind w:left="105"/>
              <w:rPr>
                <w:b/>
                <w:sz w:val="20"/>
              </w:rPr>
            </w:pPr>
            <w:r>
              <w:rPr>
                <w:b/>
                <w:sz w:val="20"/>
              </w:rPr>
              <w:t>Note:</w:t>
            </w:r>
          </w:p>
          <w:p>
            <w:pPr>
              <w:pStyle w:val="TableParagraph"/>
              <w:spacing w:line="230" w:lineRule="atLeast" w:before="2"/>
              <w:ind w:left="105" w:right="171"/>
              <w:rPr>
                <w:sz w:val="20"/>
              </w:rPr>
            </w:pPr>
            <w:r>
              <w:rPr>
                <w:sz w:val="20"/>
              </w:rPr>
              <w:t>Resources are selectable only on SEGDIO2 through SEGDIO11 and the PB pin. See </w:t>
            </w:r>
            <w:hyperlink w:history="true" w:anchor="_bookmark122">
              <w:r>
                <w:rPr>
                  <w:color w:val="0000FF"/>
                  <w:sz w:val="20"/>
                </w:rPr>
                <w:t>Table 48</w:t>
              </w:r>
              <w:r>
                <w:rPr>
                  <w:sz w:val="20"/>
                </w:rPr>
                <w:t>.</w:t>
              </w:r>
            </w:hyperlink>
          </w:p>
        </w:tc>
      </w:tr>
    </w:tbl>
    <w:p>
      <w:pPr>
        <w:pStyle w:val="BodyText"/>
        <w:spacing w:before="6"/>
        <w:rPr>
          <w:b/>
          <w:sz w:val="30"/>
        </w:rPr>
      </w:pPr>
    </w:p>
    <w:p>
      <w:pPr>
        <w:pStyle w:val="BodyText"/>
        <w:spacing w:line="232" w:lineRule="auto"/>
        <w:ind w:left="1228" w:right="449" w:firstLine="2"/>
      </w:pPr>
      <w:r>
        <w:rPr/>
        <w:drawing>
          <wp:anchor distT="0" distB="0" distL="0" distR="0" allowOverlap="1" layoutInCell="1" locked="0" behindDoc="0" simplePos="0" relativeHeight="15793152">
            <wp:simplePos x="0" y="0"/>
            <wp:positionH relativeFrom="page">
              <wp:posOffset>962025</wp:posOffset>
            </wp:positionH>
            <wp:positionV relativeFrom="paragraph">
              <wp:posOffset>-3574</wp:posOffset>
            </wp:positionV>
            <wp:extent cx="448309" cy="447674"/>
            <wp:effectExtent l="0" t="0" r="0" b="0"/>
            <wp:wrapNone/>
            <wp:docPr id="59" name="image54.png"/>
            <wp:cNvGraphicFramePr>
              <a:graphicFrameLocks noChangeAspect="1"/>
            </wp:cNvGraphicFramePr>
            <a:graphic>
              <a:graphicData uri="http://schemas.openxmlformats.org/drawingml/2006/picture">
                <pic:pic>
                  <pic:nvPicPr>
                    <pic:cNvPr id="60" name="image54.png"/>
                    <pic:cNvPicPr/>
                  </pic:nvPicPr>
                  <pic:blipFill>
                    <a:blip r:embed="rId63" cstate="print"/>
                    <a:stretch>
                      <a:fillRect/>
                    </a:stretch>
                  </pic:blipFill>
                  <pic:spPr>
                    <a:xfrm>
                      <a:off x="0" y="0"/>
                      <a:ext cx="448309" cy="447674"/>
                    </a:xfrm>
                    <a:prstGeom prst="rect">
                      <a:avLst/>
                    </a:prstGeom>
                  </pic:spPr>
                </pic:pic>
              </a:graphicData>
            </a:graphic>
          </wp:anchor>
        </w:drawing>
      </w:r>
      <w:r>
        <w:rPr/>
        <w:t>When driving LEDs, relay coils etc., the DIO pins should </w:t>
      </w:r>
      <w:r>
        <w:rPr>
          <w:u w:val="single"/>
        </w:rPr>
        <w:t>sink</w:t>
      </w:r>
      <w:r>
        <w:rPr/>
        <w:t> the current into GNDD (as shown in </w:t>
      </w:r>
      <w:hyperlink w:history="true" w:anchor="_bookmark119">
        <w:r>
          <w:rPr>
            <w:color w:val="0000FF"/>
          </w:rPr>
          <w:t>Figure 16, </w:t>
        </w:r>
      </w:hyperlink>
      <w:r>
        <w:rPr/>
        <w:t>right), </w:t>
      </w:r>
      <w:r>
        <w:rPr>
          <w:u w:val="single"/>
        </w:rPr>
        <w:t>not</w:t>
      </w:r>
      <w:r>
        <w:rPr/>
        <w:t> source it from V3P3D (as shown in </w:t>
      </w:r>
      <w:hyperlink w:history="true" w:anchor="_bookmark119">
        <w:r>
          <w:rPr>
            <w:color w:val="0000FF"/>
          </w:rPr>
          <w:t>Figure 16</w:t>
        </w:r>
        <w:r>
          <w:rPr/>
          <w:t>, </w:t>
        </w:r>
      </w:hyperlink>
      <w:r>
        <w:rPr/>
        <w:t>left). This is due to the resistance of the internal switch that connects V3P3D to either V3P3SYS or VBAT. See</w:t>
      </w:r>
    </w:p>
    <w:p>
      <w:pPr>
        <w:pStyle w:val="BodyText"/>
        <w:spacing w:line="225" w:lineRule="exact"/>
        <w:ind w:left="1228"/>
      </w:pPr>
      <w:hyperlink w:history="true" w:anchor="_bookmark261">
        <w:r>
          <w:rPr>
            <w:color w:val="0000FF"/>
          </w:rPr>
          <w:t>6.4.6 </w:t>
        </w:r>
      </w:hyperlink>
      <w:hyperlink w:history="true" w:anchor="_bookmark261">
        <w:r>
          <w:rPr>
            <w:color w:val="0000FF"/>
          </w:rPr>
          <w:t>V3P3D Switch </w:t>
        </w:r>
      </w:hyperlink>
      <w:r>
        <w:rPr/>
        <w:t>on page </w:t>
      </w:r>
      <w:hyperlink w:history="true" w:anchor="_bookmark261">
        <w:r>
          <w:rPr>
            <w:color w:val="0000FF"/>
          </w:rPr>
          <w:t>136</w:t>
        </w:r>
        <w:r>
          <w:rPr/>
          <w:t>.</w:t>
        </w:r>
      </w:hyperlink>
    </w:p>
    <w:p>
      <w:pPr>
        <w:pStyle w:val="BodyText"/>
        <w:spacing w:before="3"/>
        <w:rPr>
          <w:sz w:val="19"/>
        </w:rPr>
      </w:pPr>
    </w:p>
    <w:p>
      <w:pPr>
        <w:pStyle w:val="BodyText"/>
        <w:spacing w:line="232" w:lineRule="auto"/>
        <w:ind w:left="1229" w:right="401"/>
      </w:pPr>
      <w:r>
        <w:rPr/>
        <w:drawing>
          <wp:anchor distT="0" distB="0" distL="0" distR="0" allowOverlap="1" layoutInCell="1" locked="0" behindDoc="0" simplePos="0" relativeHeight="15793664">
            <wp:simplePos x="0" y="0"/>
            <wp:positionH relativeFrom="page">
              <wp:posOffset>962025</wp:posOffset>
            </wp:positionH>
            <wp:positionV relativeFrom="paragraph">
              <wp:posOffset>10640</wp:posOffset>
            </wp:positionV>
            <wp:extent cx="453390" cy="457197"/>
            <wp:effectExtent l="0" t="0" r="0" b="0"/>
            <wp:wrapNone/>
            <wp:docPr id="61" name="image54.png"/>
            <wp:cNvGraphicFramePr>
              <a:graphicFrameLocks noChangeAspect="1"/>
            </wp:cNvGraphicFramePr>
            <a:graphic>
              <a:graphicData uri="http://schemas.openxmlformats.org/drawingml/2006/picture">
                <pic:pic>
                  <pic:nvPicPr>
                    <pic:cNvPr id="62" name="image54.png"/>
                    <pic:cNvPicPr/>
                  </pic:nvPicPr>
                  <pic:blipFill>
                    <a:blip r:embed="rId63" cstate="print"/>
                    <a:stretch>
                      <a:fillRect/>
                    </a:stretch>
                  </pic:blipFill>
                  <pic:spPr>
                    <a:xfrm>
                      <a:off x="0" y="0"/>
                      <a:ext cx="453390" cy="457197"/>
                    </a:xfrm>
                    <a:prstGeom prst="rect">
                      <a:avLst/>
                    </a:prstGeom>
                  </pic:spPr>
                </pic:pic>
              </a:graphicData>
            </a:graphic>
          </wp:anchor>
        </w:drawing>
      </w:r>
      <w:r>
        <w:rPr/>
        <w:t>Sourcing current in or out of DIO pins other than those dedicated for wake functions, for example with pullup or pulldown resistors, must be avoided. Violating this rule leads to increased quiescent current in sleep and LCD modes.</w:t>
      </w:r>
    </w:p>
    <w:p>
      <w:pPr>
        <w:spacing w:after="0" w:line="232" w:lineRule="auto"/>
        <w:sectPr>
          <w:pgSz w:w="12240" w:h="15840"/>
          <w:pgMar w:header="727" w:footer="819" w:top="960" w:bottom="1000" w:left="1200" w:right="1060"/>
        </w:sectPr>
      </w:pPr>
    </w:p>
    <w:p>
      <w:pPr>
        <w:pStyle w:val="BodyText"/>
        <w:spacing w:before="7"/>
        <w:rPr>
          <w:sz w:val="26"/>
        </w:rPr>
      </w:pPr>
      <w:r>
        <w:rPr/>
        <w:drawing>
          <wp:anchor distT="0" distB="0" distL="0" distR="0" allowOverlap="1" layoutInCell="1" locked="0" behindDoc="1" simplePos="0" relativeHeight="464530432">
            <wp:simplePos x="0" y="0"/>
            <wp:positionH relativeFrom="page">
              <wp:posOffset>3447841</wp:posOffset>
            </wp:positionH>
            <wp:positionV relativeFrom="page">
              <wp:posOffset>1354445</wp:posOffset>
            </wp:positionV>
            <wp:extent cx="67114" cy="68579"/>
            <wp:effectExtent l="0" t="0" r="0" b="0"/>
            <wp:wrapNone/>
            <wp:docPr id="63" name="image59.png"/>
            <wp:cNvGraphicFramePr>
              <a:graphicFrameLocks noChangeAspect="1"/>
            </wp:cNvGraphicFramePr>
            <a:graphic>
              <a:graphicData uri="http://schemas.openxmlformats.org/drawingml/2006/picture">
                <pic:pic>
                  <pic:nvPicPr>
                    <pic:cNvPr id="64" name="image59.png"/>
                    <pic:cNvPicPr/>
                  </pic:nvPicPr>
                  <pic:blipFill>
                    <a:blip r:embed="rId68" cstate="print"/>
                    <a:stretch>
                      <a:fillRect/>
                    </a:stretch>
                  </pic:blipFill>
                  <pic:spPr>
                    <a:xfrm>
                      <a:off x="0" y="0"/>
                      <a:ext cx="67114" cy="68579"/>
                    </a:xfrm>
                    <a:prstGeom prst="rect">
                      <a:avLst/>
                    </a:prstGeom>
                  </pic:spPr>
                </pic:pic>
              </a:graphicData>
            </a:graphic>
          </wp:anchor>
        </w:drawing>
      </w:r>
    </w:p>
    <w:p>
      <w:pPr>
        <w:pStyle w:val="BodyText"/>
        <w:tabs>
          <w:tab w:pos="5213" w:val="left" w:leader="none"/>
        </w:tabs>
        <w:ind w:left="2133"/>
      </w:pPr>
      <w:r>
        <w:rPr/>
        <w:pict>
          <v:group style="width:111.1pt;height:165.3pt;mso-position-horizontal-relative:char;mso-position-vertical-relative:line" coordorigin="0,0" coordsize="2222,3306">
            <v:rect style="position:absolute;left:1;top:1;width:1467;height:2998" filled="true" fillcolor="#f3f3f3" stroked="false">
              <v:fill type="solid"/>
            </v:rect>
            <v:rect style="position:absolute;left:1;top:1;width:1467;height:2998" filled="false" stroked="true" strokeweight=".196379pt" strokecolor="#000000">
              <v:stroke dashstyle="shortdashdot"/>
            </v:rect>
            <v:shape style="position:absolute;left:1431;top:1463;width:74;height:75" coordorigin="1432,1463" coordsize="74,75" path="m1469,1538l1454,1535,1443,1527,1435,1515,1432,1501,1435,1486,1443,1474,1454,1466,1469,1463,1483,1466,1495,1474,1502,1486,1505,1501,1502,1515,1495,1527,1483,1535,1469,1538xe" filled="true" fillcolor="#ffffff" stroked="false">
              <v:path arrowok="t"/>
              <v:fill type="solid"/>
            </v:shape>
            <v:shape style="position:absolute;left:1431;top:1463;width:74;height:75" coordorigin="1432,1463" coordsize="74,75" path="m1505,1501l1502,1486,1495,1474,1483,1466,1469,1463,1454,1466,1443,1474,1435,1486,1432,1501,1435,1515,1443,1527,1454,1535,1469,1538,1483,1535,1495,1527,1502,1515,1505,1501xe" filled="false" stroked="true" strokeweight=".592927pt" strokecolor="#000000">
              <v:path arrowok="t"/>
              <v:stroke dashstyle="solid"/>
            </v:shape>
            <v:shape style="position:absolute;left:1505;top:247;width:106;height:108" type="#_x0000_t75" stroked="false">
              <v:imagedata r:id="rId123" o:title=""/>
            </v:shape>
            <v:shape style="position:absolute;left:1505;top:547;width:106;height:108" type="#_x0000_t75" stroked="false">
              <v:imagedata r:id="rId123" o:title=""/>
            </v:shape>
            <v:line style="position:absolute" from="2055,1501" to="1505,1501" stroked="true" strokeweight=".599468pt" strokecolor="#000000">
              <v:stroke dashstyle="solid"/>
            </v:line>
            <v:line style="position:absolute" from="1505,2858" to="1762,2858" stroked="true" strokeweight=".599468pt" strokecolor="#000000">
              <v:stroke dashstyle="solid"/>
            </v:line>
            <v:line style="position:absolute" from="1762,3189" to="1762,2858" stroked="true" strokeweight=".586662pt" strokecolor="#000000">
              <v:stroke dashstyle="solid"/>
            </v:line>
            <v:line style="position:absolute" from="1432,901" to="295,901" stroked="true" strokeweight=".599468pt" strokecolor="#000000">
              <v:stroke dashstyle="solid"/>
            </v:line>
            <v:shape style="position:absolute;left:295;top:301;width:294;height:600" coordorigin="295,302" coordsize="294,600" path="m589,302l295,452,295,901e" filled="false" stroked="true" strokeweight=".196379pt" strokecolor="#000000">
              <v:path arrowok="t"/>
              <v:stroke dashstyle="solid"/>
            </v:shape>
            <v:line style="position:absolute" from="295,452" to="589,302" stroked="true" strokeweight=".994696pt" strokecolor="#000000">
              <v:stroke dashstyle="solid"/>
            </v:line>
            <v:line style="position:absolute" from="295,452" to="295,901" stroked="true" strokeweight=".586662pt" strokecolor="#000000">
              <v:stroke dashstyle="solid"/>
            </v:line>
            <v:shape style="position:absolute;left:606;top:282;width:37;height:38" coordorigin="607,283" coordsize="37,38" path="m644,302l644,291,635,283,625,283,615,283,607,291,607,302,607,312,615,320,625,320,635,320,644,312,644,302xe" filled="false" stroked="true" strokeweight=".197642pt" strokecolor="#000000">
              <v:path arrowok="t"/>
              <v:stroke dashstyle="solid"/>
            </v:shape>
            <v:shape style="position:absolute;left:643;top:432;width:37;height:38" coordorigin="644,433" coordsize="37,38" path="m680,452l680,441,672,433,662,433,652,433,644,441,644,452,644,462,652,470,662,470,672,470,680,462,680,452xe" filled="false" stroked="true" strokeweight=".197642pt" strokecolor="#000000">
              <v:path arrowok="t"/>
              <v:stroke dashstyle="solid"/>
            </v:shape>
            <v:shape style="position:absolute;left:606;top:582;width:37;height:38" coordorigin="607,583" coordsize="37,38" path="m644,601l644,591,635,583,625,583,615,583,607,591,607,601,607,612,615,620,625,620,635,620,644,612,644,601xe" filled="false" stroked="true" strokeweight=".197642pt" strokecolor="#000000">
              <v:path arrowok="t"/>
              <v:stroke dashstyle="solid"/>
            </v:shape>
            <v:line style="position:absolute" from="1029,1501" to="735,1351" stroked="true" strokeweight=".994696pt" strokecolor="#000000">
              <v:stroke dashstyle="solid"/>
            </v:line>
            <v:line style="position:absolute" from="1029,1501" to="1432,1501" stroked="true" strokeweight=".599468pt" strokecolor="#000000">
              <v:stroke dashstyle="solid"/>
            </v:line>
            <v:shape style="position:absolute;left:680;top:1332;width:37;height:38" coordorigin="680,1332" coordsize="37,38" path="m709,1370l689,1370,680,1361,680,1351,680,1340,689,1332,709,1332,717,1340,717,1361,709,1370xe" filled="true" fillcolor="#000000" stroked="false">
              <v:path arrowok="t"/>
              <v:fill type="solid"/>
            </v:shape>
            <v:shape style="position:absolute;left:680;top:1332;width:37;height:38" coordorigin="680,1332" coordsize="37,38" path="m680,1351l680,1340,689,1332,699,1332,709,1332,717,1340,717,1351,717,1361,709,1370,699,1370,689,1370,680,1361,680,1351xe" filled="false" stroked="true" strokeweight=".197642pt" strokecolor="#000000">
              <v:path arrowok="t"/>
              <v:stroke dashstyle="solid"/>
            </v:shape>
            <v:shape style="position:absolute;left:643;top:1481;width:37;height:38" coordorigin="644,1482" coordsize="37,38" path="m672,1519l652,1519,644,1511,644,1501,644,1490,652,1482,672,1482,680,1490,680,1511,672,1519xe" filled="true" fillcolor="#000000" stroked="false">
              <v:path arrowok="t"/>
              <v:fill type="solid"/>
            </v:shape>
            <v:shape style="position:absolute;left:643;top:1481;width:37;height:38" coordorigin="644,1482" coordsize="37,38" path="m644,1501l644,1490,652,1482,662,1482,672,1482,680,1490,680,1501,680,1511,672,1519,662,1519,652,1519,644,1511,644,1501xe" filled="false" stroked="true" strokeweight=".197642pt" strokecolor="#000000">
              <v:path arrowok="t"/>
              <v:stroke dashstyle="solid"/>
            </v:shape>
            <v:shape style="position:absolute;left:680;top:1631;width:37;height:28" coordorigin="680,1632" coordsize="37,28" path="m709,1659l689,1659,680,1653,680,1646,680,1638,689,1632,709,1632,717,1638,717,1653,709,1659xe" filled="true" fillcolor="#000000" stroked="false">
              <v:path arrowok="t"/>
              <v:fill type="solid"/>
            </v:shape>
            <v:shape style="position:absolute;left:680;top:1631;width:37;height:28" coordorigin="680,1632" coordsize="37,28" path="m680,1646l680,1638,689,1632,699,1632,709,1632,717,1638,717,1646,717,1653,709,1659,699,1659,689,1659,680,1653,680,1646xe" filled="false" stroked="true" strokeweight=".198282pt" strokecolor="#000000">
              <v:path arrowok="t"/>
              <v:stroke dashstyle="solid"/>
            </v:shape>
            <v:line style="position:absolute" from="295,1351" to="295,901" stroked="true" strokeweight=".586662pt" strokecolor="#000000">
              <v:stroke dashstyle="solid"/>
            </v:line>
            <v:shape style="position:absolute;left:276;top:882;width:37;height:38" coordorigin="277,882" coordsize="37,38" path="m305,920l285,920,277,912,277,901,277,891,285,882,305,882,314,891,314,912,305,920xe" filled="true" fillcolor="#000000" stroked="false">
              <v:path arrowok="t"/>
              <v:fill type="solid"/>
            </v:shape>
            <v:shape style="position:absolute;left:276;top:882;width:37;height:38" coordorigin="277,882" coordsize="37,38" path="m277,901l277,891,285,882,295,882,305,882,314,891,314,901,314,912,305,920,295,920,285,920,277,912,277,901xe" filled="false" stroked="true" strokeweight=".197642pt" strokecolor="#000000">
              <v:path arrowok="t"/>
              <v:stroke dashstyle="solid"/>
            </v:shape>
            <v:line style="position:absolute" from="295,2858" to="295,1646" stroked="true" strokeweight=".586662pt" strokecolor="#000000">
              <v:stroke dashstyle="solid"/>
            </v:line>
            <v:line style="position:absolute" from="1432,2858" to="295,2858" stroked="true" strokeweight=".599468pt" strokecolor="#000000">
              <v:stroke dashstyle="solid"/>
            </v:line>
            <v:shape style="position:absolute;left:1615;top:3188;width:294;height:111" coordorigin="1615,3189" coordsize="294,111" path="m1762,3299l1615,3189,1909,3189,1762,3299xe" filled="false" stroked="true" strokeweight=".597884pt" strokecolor="#000000">
              <v:path arrowok="t"/>
              <v:stroke dashstyle="solid"/>
            </v:shape>
            <v:shape style="position:absolute;left:1431;top:863;width:74;height:75" coordorigin="1432,864" coordsize="74,75" path="m1469,939l1454,936,1443,928,1435,916,1432,901,1435,887,1443,875,1454,867,1469,864,1483,867,1495,875,1502,887,1505,901,1502,916,1495,928,1483,936,1469,939xe" filled="true" fillcolor="#ffffff" stroked="false">
              <v:path arrowok="t"/>
              <v:fill type="solid"/>
            </v:shape>
            <v:shape style="position:absolute;left:1431;top:863;width:74;height:75" coordorigin="1432,864" coordsize="74,75" path="m1505,901l1502,887,1495,875,1483,867,1469,864,1454,867,1443,875,1435,887,1432,901,1435,916,1443,928,1454,936,1469,939,1483,936,1495,928,1502,916,1505,901xe" filled="false" stroked="true" strokeweight=".592927pt" strokecolor="#000000">
              <v:path arrowok="t"/>
              <v:stroke dashstyle="solid"/>
            </v:shape>
            <v:shape style="position:absolute;left:1431;top:563;width:74;height:75" coordorigin="1432,564" coordsize="74,75" path="m1469,639l1454,636,1443,628,1435,616,1432,601,1435,587,1443,575,1454,567,1469,564,1483,567,1495,575,1502,587,1505,601,1502,616,1495,628,1483,636,1469,639xe" filled="true" fillcolor="#ffffff" stroked="false">
              <v:path arrowok="t"/>
              <v:fill type="solid"/>
            </v:shape>
            <v:shape style="position:absolute;left:1431;top:563;width:74;height:75" coordorigin="1432,564" coordsize="74,75" path="m1505,601l1502,587,1495,575,1483,567,1469,564,1454,567,1443,575,1435,587,1432,601,1435,616,1443,628,1454,636,1469,639,1483,636,1495,628,1502,616,1505,601xe" filled="false" stroked="true" strokeweight=".592927pt" strokecolor="#000000">
              <v:path arrowok="t"/>
              <v:stroke dashstyle="solid"/>
            </v:shape>
            <v:shape style="position:absolute;left:1431;top:264;width:74;height:75" coordorigin="1432,264" coordsize="74,75" path="m1469,339l1454,336,1443,328,1435,316,1432,302,1435,287,1443,275,1454,267,1469,264,1483,267,1495,275,1502,287,1505,302,1502,316,1495,328,1483,336,1469,339xe" filled="true" fillcolor="#ffffff" stroked="false">
              <v:path arrowok="t"/>
              <v:fill type="solid"/>
            </v:shape>
            <v:shape style="position:absolute;left:1431;top:264;width:74;height:75" coordorigin="1432,264" coordsize="74,75" path="m1505,302l1502,287,1495,275,1483,267,1469,264,1454,267,1443,275,1435,287,1432,302,1435,316,1443,328,1454,336,1469,339,1483,336,1495,328,1502,316,1505,302xe" filled="false" stroked="true" strokeweight=".592927pt" strokecolor="#000000">
              <v:path arrowok="t"/>
              <v:stroke dashstyle="solid"/>
            </v:shape>
            <v:shape style="position:absolute;left:1431;top:2830;width:74;height:56" coordorigin="1432,2831" coordsize="74,56" path="m1469,2886l1454,2884,1443,2878,1435,2869,1432,2858,1435,2847,1443,2839,1454,2833,1469,2831,1483,2833,1495,2839,1502,2847,1505,2858,1502,2869,1495,2878,1483,2884,1469,2886xe" filled="true" fillcolor="#ffffff" stroked="false">
              <v:path arrowok="t"/>
              <v:fill type="solid"/>
            </v:shape>
            <v:shape style="position:absolute;left:1431;top:2830;width:74;height:56" coordorigin="1432,2831" coordsize="74,56" path="m1505,2858l1502,2847,1495,2839,1483,2833,1469,2831,1454,2833,1443,2839,1435,2847,1432,2858,1435,2869,1443,2878,1454,2884,1469,2886,1483,2884,1495,2878,1502,2869,1505,2858xe" filled="false" stroked="true" strokeweight=".594844pt" strokecolor="#000000">
              <v:path arrowok="t"/>
              <v:stroke dashstyle="solid"/>
            </v:shape>
            <v:shape style="position:absolute;left:276;top:432;width:37;height:38" coordorigin="277,433" coordsize="37,38" path="m305,470l285,470,277,462,277,441,285,433,305,433,314,441,314,452,314,462,305,470xe" filled="true" fillcolor="#000000" stroked="false">
              <v:path arrowok="t"/>
              <v:fill type="solid"/>
            </v:shape>
            <v:shape style="position:absolute;left:276;top:432;width:37;height:38" coordorigin="277,433" coordsize="37,38" path="m314,452l314,441,305,433,295,433,285,433,277,441,277,452,277,462,285,470,295,470,305,470,314,462,314,452xe" filled="false" stroked="true" strokeweight=".197642pt" strokecolor="#000000">
              <v:path arrowok="t"/>
              <v:stroke dashstyle="solid"/>
            </v:shape>
            <v:shape style="position:absolute;left:1010;top:1481;width:37;height:38" coordorigin="1010,1482" coordsize="37,38" path="m1039,1519l1019,1519,1010,1511,1010,1490,1019,1482,1039,1482,1047,1490,1047,1501,1047,1511,1039,1519xe" filled="true" fillcolor="#000000" stroked="false">
              <v:path arrowok="t"/>
              <v:fill type="solid"/>
            </v:shape>
            <v:shape style="position:absolute;left:1010;top:1481;width:37;height:38" coordorigin="1010,1482" coordsize="37,38" path="m1047,1501l1047,1490,1039,1482,1029,1482,1019,1482,1010,1490,1010,1501,1010,1511,1019,1519,1029,1519,1039,1519,1047,1511,1047,1501xe" filled="false" stroked="true" strokeweight=".197642pt" strokecolor="#000000">
              <v:path arrowok="t"/>
              <v:stroke dashstyle="solid"/>
            </v:shape>
            <v:shape style="position:absolute;left:1981;top:1755;width:147;height:221" coordorigin="1982,1756" coordsize="147,221" path="m2055,1756l2129,1783,1982,1838,2129,1894,1982,1949,2055,1976e" filled="false" stroked="true" strokeweight=".590591pt" strokecolor="#2f2f2f">
              <v:path arrowok="t"/>
              <v:stroke dashstyle="solid"/>
            </v:shape>
            <v:line style="position:absolute" from="2055,2858" to="1762,2858" stroked="true" strokeweight=".599468pt" strokecolor="#000000">
              <v:stroke dashstyle="solid"/>
            </v:line>
            <v:line style="position:absolute" from="2055,1976" to="2055,2858" stroked="true" strokeweight=".586662pt" strokecolor="#000000">
              <v:stroke dashstyle="solid"/>
            </v:line>
            <v:line style="position:absolute" from="2055,1501" to="2055,1756" stroked="true" strokeweight=".586662pt" strokecolor="#000000">
              <v:stroke dashstyle="solid"/>
            </v:line>
            <v:shape style="position:absolute;left:1743;top:2844;width:37;height:28" coordorigin="1744,2844" coordsize="37,28" path="m1772,2872l1752,2872,1744,2866,1744,2851,1752,2844,1772,2844,1780,2851,1780,2858,1780,2866,1772,2872xe" filled="true" fillcolor="#000000" stroked="false">
              <v:path arrowok="t"/>
              <v:fill type="solid"/>
            </v:shape>
            <v:shape style="position:absolute;left:1743;top:2844;width:37;height:28" coordorigin="1744,2844" coordsize="37,28" path="m1780,2858l1780,2851,1772,2844,1762,2844,1752,2844,1744,2851,1744,2858,1744,2866,1752,2872,1762,2872,1772,2872,1780,2866,1780,2858xe" filled="false" stroked="true" strokeweight=".198282pt" strokecolor="#000000">
              <v:path arrowok="t"/>
              <v:stroke dashstyle="solid"/>
            </v:shape>
            <v:shape style="position:absolute;left:1981;top:2196;width:147;height:83" coordorigin="1982,2197" coordsize="147,83" path="m2055,2279l1982,2197,2129,2197,2055,2279xe" filled="true" fillcolor="#000000" stroked="false">
              <v:path arrowok="t"/>
              <v:fill type="solid"/>
            </v:shape>
            <v:shape style="position:absolute;left:1981;top:2196;width:147;height:83" coordorigin="1982,2197" coordsize="147,83" path="m1982,2197l2129,2197,2055,2279,1982,2197xe" filled="false" stroked="true" strokeweight=".59638pt" strokecolor="#000000">
              <v:path arrowok="t"/>
              <v:stroke dashstyle="solid"/>
            </v:shape>
            <v:line style="position:absolute" from="1982,2279" to="2129,2279" stroked="true" strokeweight=".599468pt" strokecolor="#000000">
              <v:stroke dashstyle="solid"/>
            </v:line>
            <v:shape style="position:absolute;left:698;top:1500;width:330;height:150" coordorigin="699,1501" coordsize="330,150" path="m1029,1501l735,1651m1029,1501l699,1501e" filled="false" stroked="true" strokeweight=".197688pt" strokecolor="#000000">
              <v:path arrowok="t"/>
              <v:stroke dashstyle="shortdash"/>
            </v:shape>
            <v:line style="position:absolute" from="589,601" to="295,452" stroked="true" strokeweight=".198939pt" strokecolor="#000000">
              <v:stroke dashstyle="shortdash"/>
            </v:line>
            <v:line style="position:absolute" from="625,452" to="295,452" stroked="true" strokeweight=".199823pt" strokecolor="#000000">
              <v:stroke dashstyle="shortdash"/>
            </v:line>
            <v:shape style="position:absolute;left:1505;top:164;width:717;height:749" type="#_x0000_t202" filled="false" stroked="false">
              <v:textbox inset="0,0,0,0">
                <w:txbxContent>
                  <w:p>
                    <w:pPr>
                      <w:spacing w:line="148" w:lineRule="exact" w:before="0"/>
                      <w:ind w:left="113" w:right="0" w:firstLine="0"/>
                      <w:jc w:val="left"/>
                      <w:rPr>
                        <w:sz w:val="13"/>
                      </w:rPr>
                    </w:pPr>
                    <w:r>
                      <w:rPr>
                        <w:sz w:val="13"/>
                        <w:u w:val="single"/>
                      </w:rPr>
                      <w:t>V3P3SYS</w:t>
                    </w:r>
                  </w:p>
                  <w:p>
                    <w:pPr>
                      <w:spacing w:line="240" w:lineRule="auto" w:before="0"/>
                      <w:rPr>
                        <w:sz w:val="13"/>
                      </w:rPr>
                    </w:pPr>
                  </w:p>
                  <w:p>
                    <w:pPr>
                      <w:tabs>
                        <w:tab w:pos="696" w:val="left" w:leader="none"/>
                      </w:tabs>
                      <w:spacing w:before="0"/>
                      <w:ind w:left="79" w:right="0" w:firstLine="0"/>
                      <w:jc w:val="left"/>
                      <w:rPr>
                        <w:sz w:val="13"/>
                      </w:rPr>
                    </w:pPr>
                    <w:r>
                      <w:rPr>
                        <w:rFonts w:ascii="Times New Roman"/>
                        <w:w w:val="100"/>
                        <w:sz w:val="13"/>
                        <w:u w:val="single"/>
                      </w:rPr>
                      <w:t> </w:t>
                    </w:r>
                    <w:r>
                      <w:rPr>
                        <w:rFonts w:ascii="Times New Roman"/>
                        <w:spacing w:val="-4"/>
                        <w:sz w:val="13"/>
                        <w:u w:val="single"/>
                      </w:rPr>
                      <w:t> </w:t>
                    </w:r>
                    <w:r>
                      <w:rPr>
                        <w:sz w:val="13"/>
                        <w:u w:val="single"/>
                      </w:rPr>
                      <w:t>VBAT</w:t>
                      <w:tab/>
                    </w:r>
                  </w:p>
                  <w:p>
                    <w:pPr>
                      <w:spacing w:line="240" w:lineRule="auto" w:before="1"/>
                      <w:rPr>
                        <w:sz w:val="13"/>
                      </w:rPr>
                    </w:pPr>
                  </w:p>
                  <w:p>
                    <w:pPr>
                      <w:spacing w:before="0"/>
                      <w:ind w:left="0" w:right="0" w:firstLine="0"/>
                      <w:jc w:val="left"/>
                      <w:rPr>
                        <w:sz w:val="13"/>
                      </w:rPr>
                    </w:pPr>
                    <w:r>
                      <w:rPr>
                        <w:rFonts w:ascii="Times New Roman"/>
                        <w:w w:val="100"/>
                        <w:sz w:val="13"/>
                        <w:u w:val="single"/>
                      </w:rPr>
                      <w:t> </w:t>
                    </w:r>
                    <w:r>
                      <w:rPr>
                        <w:rFonts w:ascii="Times New Roman"/>
                        <w:sz w:val="13"/>
                        <w:u w:val="single"/>
                      </w:rPr>
                      <w:t>   </w:t>
                    </w:r>
                    <w:r>
                      <w:rPr>
                        <w:sz w:val="13"/>
                        <w:u w:val="single"/>
                      </w:rPr>
                      <w:t>V3P3D</w:t>
                    </w:r>
                  </w:p>
                </w:txbxContent>
              </v:textbox>
              <w10:wrap type="none"/>
            </v:shape>
            <v:shape style="position:absolute;left:1591;top:1363;width:252;height:149" type="#_x0000_t202" filled="false" stroked="false">
              <v:textbox inset="0,0,0,0">
                <w:txbxContent>
                  <w:p>
                    <w:pPr>
                      <w:spacing w:line="148" w:lineRule="exact" w:before="0"/>
                      <w:ind w:left="0" w:right="0" w:firstLine="0"/>
                      <w:jc w:val="left"/>
                      <w:rPr>
                        <w:sz w:val="13"/>
                      </w:rPr>
                    </w:pPr>
                    <w:r>
                      <w:rPr>
                        <w:sz w:val="13"/>
                      </w:rPr>
                      <w:t>DIO</w:t>
                    </w:r>
                  </w:p>
                </w:txbxContent>
              </v:textbox>
              <w10:wrap type="none"/>
            </v:shape>
            <v:shape style="position:absolute;left:1634;top:2736;width:404;height:149" type="#_x0000_t202" filled="false" stroked="false">
              <v:textbox inset="0,0,0,0">
                <w:txbxContent>
                  <w:p>
                    <w:pPr>
                      <w:spacing w:line="148" w:lineRule="exact" w:before="0"/>
                      <w:ind w:left="0" w:right="0" w:firstLine="0"/>
                      <w:jc w:val="left"/>
                      <w:rPr>
                        <w:sz w:val="13"/>
                      </w:rPr>
                    </w:pPr>
                    <w:r>
                      <w:rPr>
                        <w:sz w:val="13"/>
                      </w:rPr>
                      <w:t>GNDD</w:t>
                    </w:r>
                  </w:p>
                </w:txbxContent>
              </v:textbox>
              <w10:wrap type="none"/>
            </v:shape>
            <v:shape style="position:absolute;left:19;top:3104;width:1451;height:187" type="#_x0000_t202" filled="false" stroked="false">
              <v:textbox inset="0,0,0,0">
                <w:txbxContent>
                  <w:p>
                    <w:pPr>
                      <w:spacing w:before="0"/>
                      <w:ind w:left="0" w:right="0" w:firstLine="0"/>
                      <w:jc w:val="left"/>
                      <w:rPr>
                        <w:b/>
                        <w:sz w:val="16"/>
                      </w:rPr>
                    </w:pPr>
                    <w:r>
                      <w:rPr>
                        <w:b/>
                        <w:sz w:val="16"/>
                      </w:rPr>
                      <w:t>Not recommended</w:t>
                    </w:r>
                  </w:p>
                </w:txbxContent>
              </v:textbox>
              <w10:wrap type="none"/>
            </v:shape>
            <v:shape style="position:absolute;left:1;top:1;width:1467;height:2998" type="#_x0000_t202" filled="false" stroked="false">
              <v:textbox inset="0,0,0,0">
                <w:txbxContent>
                  <w:p>
                    <w:pPr>
                      <w:spacing w:line="240" w:lineRule="auto" w:before="0"/>
                      <w:rPr>
                        <w:sz w:val="10"/>
                      </w:rPr>
                    </w:pPr>
                  </w:p>
                  <w:p>
                    <w:pPr>
                      <w:tabs>
                        <w:tab w:pos="1429" w:val="left" w:leader="none"/>
                      </w:tabs>
                      <w:spacing w:before="64"/>
                      <w:ind w:left="604" w:right="0" w:firstLine="0"/>
                      <w:jc w:val="left"/>
                      <w:rPr>
                        <w:sz w:val="10"/>
                      </w:rPr>
                    </w:pPr>
                    <w:r>
                      <w:rPr>
                        <w:rFonts w:ascii="Times New Roman"/>
                        <w:w w:val="97"/>
                        <w:sz w:val="10"/>
                        <w:u w:val="single"/>
                      </w:rPr>
                      <w:t> </w:t>
                    </w:r>
                    <w:r>
                      <w:rPr>
                        <w:rFonts w:ascii="Times New Roman"/>
                        <w:sz w:val="10"/>
                        <w:u w:val="single"/>
                      </w:rPr>
                      <w:t>    </w:t>
                    </w:r>
                    <w:r>
                      <w:rPr>
                        <w:rFonts w:ascii="Times New Roman"/>
                        <w:spacing w:val="-8"/>
                        <w:sz w:val="10"/>
                        <w:u w:val="single"/>
                      </w:rPr>
                      <w:t> </w:t>
                    </w:r>
                    <w:r>
                      <w:rPr>
                        <w:sz w:val="10"/>
                        <w:u w:val="single"/>
                      </w:rPr>
                      <w:t>MISSION</w:t>
                      <w:tab/>
                    </w:r>
                  </w:p>
                  <w:p>
                    <w:pPr>
                      <w:spacing w:before="35"/>
                      <w:ind w:left="641" w:right="0" w:firstLine="0"/>
                      <w:jc w:val="left"/>
                      <w:rPr>
                        <w:sz w:val="10"/>
                      </w:rPr>
                    </w:pPr>
                    <w:r>
                      <w:rPr>
                        <w:rFonts w:ascii="Times New Roman"/>
                        <w:w w:val="97"/>
                        <w:sz w:val="10"/>
                        <w:u w:val="single"/>
                      </w:rPr>
                      <w:t> </w:t>
                    </w:r>
                    <w:r>
                      <w:rPr>
                        <w:rFonts w:ascii="Times New Roman"/>
                        <w:sz w:val="10"/>
                        <w:u w:val="single"/>
                      </w:rPr>
                      <w:t>   </w:t>
                    </w:r>
                    <w:r>
                      <w:rPr>
                        <w:rFonts w:ascii="Times New Roman"/>
                        <w:spacing w:val="-9"/>
                        <w:sz w:val="10"/>
                        <w:u w:val="single"/>
                      </w:rPr>
                      <w:t> </w:t>
                    </w:r>
                    <w:r>
                      <w:rPr>
                        <w:sz w:val="10"/>
                        <w:u w:val="single"/>
                      </w:rPr>
                      <w:t>L</w:t>
                    </w:r>
                    <w:r>
                      <w:rPr>
                        <w:sz w:val="10"/>
                      </w:rPr>
                      <w:t>CD/SLEEP</w:t>
                    </w:r>
                  </w:p>
                  <w:p>
                    <w:pPr>
                      <w:spacing w:before="35"/>
                      <w:ind w:left="604" w:right="0" w:firstLine="0"/>
                      <w:jc w:val="left"/>
                      <w:rPr>
                        <w:sz w:val="10"/>
                      </w:rPr>
                    </w:pPr>
                    <w:r>
                      <w:rPr>
                        <w:rFonts w:ascii="Times New Roman"/>
                        <w:w w:val="97"/>
                        <w:sz w:val="10"/>
                        <w:u w:val="single"/>
                      </w:rPr>
                      <w:t> </w:t>
                    </w:r>
                    <w:r>
                      <w:rPr>
                        <w:rFonts w:ascii="Times New Roman"/>
                        <w:sz w:val="10"/>
                        <w:u w:val="single"/>
                      </w:rPr>
                      <w:t>   </w:t>
                    </w:r>
                    <w:r>
                      <w:rPr>
                        <w:rFonts w:ascii="Times New Roman"/>
                        <w:spacing w:val="6"/>
                        <w:sz w:val="10"/>
                        <w:u w:val="single"/>
                      </w:rPr>
                      <w:t> </w:t>
                    </w:r>
                    <w:r>
                      <w:rPr>
                        <w:sz w:val="10"/>
                        <w:u w:val="single"/>
                      </w:rPr>
                      <w:t>BROWNOUT</w:t>
                    </w:r>
                    <w:r>
                      <w:rPr>
                        <w:spacing w:val="1"/>
                        <w:sz w:val="10"/>
                        <w:u w:val="single"/>
                      </w:rPr>
                      <w:t> </w:t>
                    </w: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312" w:lineRule="auto" w:before="60"/>
                      <w:ind w:left="299" w:right="769" w:hanging="6"/>
                      <w:jc w:val="left"/>
                      <w:rPr>
                        <w:sz w:val="10"/>
                      </w:rPr>
                    </w:pPr>
                    <w:r>
                      <w:rPr>
                        <w:rFonts w:ascii="Times New Roman"/>
                        <w:w w:val="97"/>
                        <w:sz w:val="10"/>
                        <w:u w:val="single"/>
                      </w:rPr>
                      <w:t> </w:t>
                    </w:r>
                    <w:r>
                      <w:rPr>
                        <w:rFonts w:ascii="Times New Roman"/>
                        <w:sz w:val="10"/>
                        <w:u w:val="single"/>
                      </w:rPr>
                      <w:t>  </w:t>
                    </w:r>
                    <w:r>
                      <w:rPr>
                        <w:rFonts w:ascii="Times New Roman"/>
                        <w:spacing w:val="-2"/>
                        <w:sz w:val="10"/>
                        <w:u w:val="single"/>
                      </w:rPr>
                      <w:t> </w:t>
                    </w:r>
                    <w:r>
                      <w:rPr>
                        <w:sz w:val="10"/>
                        <w:u w:val="single"/>
                      </w:rPr>
                      <w:t>HIGH</w:t>
                    </w:r>
                    <w:r>
                      <w:rPr>
                        <w:sz w:val="10"/>
                      </w:rPr>
                      <w:t> HIGH</w:t>
                    </w:r>
                    <w:r>
                      <w:rPr>
                        <w:sz w:val="10"/>
                        <w:u w:val="single"/>
                      </w:rPr>
                      <w:t>-Z</w:t>
                    </w:r>
                  </w:p>
                  <w:p>
                    <w:pPr>
                      <w:spacing w:before="0"/>
                      <w:ind w:left="293" w:right="0" w:firstLine="0"/>
                      <w:jc w:val="left"/>
                      <w:rPr>
                        <w:sz w:val="10"/>
                      </w:rPr>
                    </w:pPr>
                    <w:r>
                      <w:rPr>
                        <w:rFonts w:ascii="Times New Roman"/>
                        <w:w w:val="97"/>
                        <w:sz w:val="10"/>
                        <w:u w:val="single"/>
                      </w:rPr>
                      <w:t> </w:t>
                    </w:r>
                    <w:r>
                      <w:rPr>
                        <w:rFonts w:ascii="Times New Roman"/>
                        <w:sz w:val="10"/>
                        <w:u w:val="single"/>
                      </w:rPr>
                      <w:t>  </w:t>
                    </w:r>
                    <w:r>
                      <w:rPr>
                        <w:rFonts w:ascii="Times New Roman"/>
                        <w:spacing w:val="9"/>
                        <w:sz w:val="10"/>
                        <w:u w:val="single"/>
                      </w:rPr>
                      <w:t> </w:t>
                    </w:r>
                    <w:r>
                      <w:rPr>
                        <w:sz w:val="10"/>
                        <w:u w:val="single"/>
                      </w:rPr>
                      <w:t>LOW</w:t>
                    </w:r>
                    <w:r>
                      <w:rPr>
                        <w:spacing w:val="-12"/>
                        <w:sz w:val="10"/>
                        <w:u w:val="single"/>
                      </w:rPr>
                      <w:t> </w:t>
                    </w:r>
                  </w:p>
                </w:txbxContent>
              </v:textbox>
              <w10:wrap type="none"/>
            </v:shape>
          </v:group>
        </w:pict>
      </w:r>
      <w:r>
        <w:rPr/>
      </w:r>
      <w:r>
        <w:rPr/>
        <w:tab/>
      </w:r>
      <w:r>
        <w:rPr/>
        <w:pict>
          <v:group style="width:124.8pt;height:165.3pt;mso-position-horizontal-relative:char;mso-position-vertical-relative:line" coordorigin="0,0" coordsize="2496,3306">
            <v:rect style="position:absolute;left:1;top:1;width:1467;height:2998" filled="true" fillcolor="#f3f3f3" stroked="false">
              <v:fill type="solid"/>
            </v:rect>
            <v:rect style="position:absolute;left:1;top:1;width:1467;height:2998" filled="false" stroked="true" strokeweight=".196379pt" strokecolor="#000000">
              <v:stroke dashstyle="shortdashdot"/>
            </v:rect>
            <v:shape style="position:absolute;left:1431;top:1463;width:74;height:75" coordorigin="1432,1463" coordsize="74,75" path="m1469,1538l1454,1535,1443,1527,1435,1515,1432,1501,1435,1486,1443,1474,1454,1466,1469,1463,1483,1466,1495,1474,1502,1486,1505,1501,1502,1515,1495,1527,1483,1535,1469,1538xe" filled="true" fillcolor="#ffffff" stroked="false">
              <v:path arrowok="t"/>
              <v:fill type="solid"/>
            </v:shape>
            <v:shape style="position:absolute;left:1431;top:1463;width:74;height:75" coordorigin="1432,1463" coordsize="74,75" path="m1505,1501l1502,1486,1495,1474,1483,1466,1469,1463,1454,1466,1443,1474,1435,1486,1432,1501,1435,1515,1443,1527,1454,1535,1469,1538,1483,1535,1495,1527,1502,1515,1505,1501xe" filled="false" stroked="true" strokeweight=".592927pt" strokecolor="#000000">
              <v:path arrowok="t"/>
              <v:stroke dashstyle="solid"/>
            </v:shape>
            <v:line style="position:absolute" from="2495,302" to="1585,302" stroked="true" strokeweight=".599468pt" strokecolor="#000000">
              <v:stroke dashstyle="solid"/>
            </v:line>
            <v:shape style="position:absolute;left:1505;top:247;width:106;height:108" type="#_x0000_t75" stroked="false">
              <v:imagedata r:id="rId123" o:title=""/>
            </v:shape>
            <v:line style="position:absolute" from="2349,601" to="1585,601" stroked="true" strokeweight=".599468pt" strokecolor="#000000">
              <v:stroke dashstyle="solid"/>
            </v:line>
            <v:shape style="position:absolute;left:1505;top:547;width:106;height:108" type="#_x0000_t75" stroked="false">
              <v:imagedata r:id="rId123" o:title=""/>
            </v:shape>
            <v:line style="position:absolute" from="1505,901" to="2269,901" stroked="true" strokeweight=".599468pt" strokecolor="#000000">
              <v:stroke dashstyle="solid"/>
            </v:line>
            <v:shape style="position:absolute;left:2243;top:847;width:106;height:108" type="#_x0000_t75" stroked="false">
              <v:imagedata r:id="rId68" o:title=""/>
            </v:shape>
            <v:line style="position:absolute" from="1505,2858" to="1762,2858" stroked="true" strokeweight=".599468pt" strokecolor="#000000">
              <v:stroke dashstyle="solid"/>
            </v:line>
            <v:line style="position:absolute" from="1762,3189" to="1762,2858" stroked="true" strokeweight=".586662pt" strokecolor="#000000">
              <v:stroke dashstyle="solid"/>
            </v:line>
            <v:line style="position:absolute" from="1432,901" to="295,901" stroked="true" strokeweight=".599468pt" strokecolor="#000000">
              <v:stroke dashstyle="solid"/>
            </v:line>
            <v:shape style="position:absolute;left:295;top:301;width:294;height:600" coordorigin="295,302" coordsize="294,600" path="m589,302l295,452,295,901e" filled="false" stroked="true" strokeweight=".196379pt" strokecolor="#000000">
              <v:path arrowok="t"/>
              <v:stroke dashstyle="solid"/>
            </v:shape>
            <v:line style="position:absolute" from="295,452" to="589,302" stroked="true" strokeweight=".994696pt" strokecolor="#000000">
              <v:stroke dashstyle="solid"/>
            </v:line>
            <v:line style="position:absolute" from="295,452" to="295,901" stroked="true" strokeweight=".586662pt" strokecolor="#000000">
              <v:stroke dashstyle="solid"/>
            </v:line>
            <v:shape style="position:absolute;left:606;top:282;width:37;height:38" coordorigin="607,283" coordsize="37,38" path="m644,302l644,291,635,283,625,283,615,283,607,291,607,302,607,312,615,320,625,320,635,320,644,312,644,302xe" filled="false" stroked="true" strokeweight=".197642pt" strokecolor="#000000">
              <v:path arrowok="t"/>
              <v:stroke dashstyle="solid"/>
            </v:shape>
            <v:shape style="position:absolute;left:643;top:432;width:37;height:38" coordorigin="644,433" coordsize="37,38" path="m680,452l680,441,672,433,662,433,652,433,644,441,644,452,644,462,652,470,662,470,672,470,680,462,680,452xe" filled="false" stroked="true" strokeweight=".197642pt" strokecolor="#000000">
              <v:path arrowok="t"/>
              <v:stroke dashstyle="solid"/>
            </v:shape>
            <v:shape style="position:absolute;left:606;top:582;width:37;height:38" coordorigin="607,583" coordsize="37,38" path="m644,601l644,591,635,583,625,583,615,583,607,591,607,601,607,612,615,620,625,620,635,620,644,612,644,601xe" filled="false" stroked="true" strokeweight=".197642pt" strokecolor="#000000">
              <v:path arrowok="t"/>
              <v:stroke dashstyle="solid"/>
            </v:shape>
            <v:line style="position:absolute" from="1029,1501" to="735,1651" stroked="true" strokeweight=".994696pt" strokecolor="#000000">
              <v:stroke dashstyle="solid"/>
            </v:line>
            <v:line style="position:absolute" from="1029,1501" to="1432,1501" stroked="true" strokeweight=".599468pt" strokecolor="#000000">
              <v:stroke dashstyle="solid"/>
            </v:line>
            <v:shape style="position:absolute;left:680;top:1332;width:37;height:38" coordorigin="680,1332" coordsize="37,38" path="m709,1370l688,1370,680,1361,680,1351,680,1340,688,1332,709,1332,717,1340,717,1361,709,1370xe" filled="true" fillcolor="#000000" stroked="false">
              <v:path arrowok="t"/>
              <v:fill type="solid"/>
            </v:shape>
            <v:shape style="position:absolute;left:680;top:1332;width:37;height:38" coordorigin="680,1332" coordsize="37,38" path="m680,1351l680,1340,688,1332,699,1332,709,1332,717,1340,717,1351,717,1361,709,1370,699,1370,688,1370,680,1361,680,1351xe" filled="false" stroked="true" strokeweight=".197642pt" strokecolor="#000000">
              <v:path arrowok="t"/>
              <v:stroke dashstyle="solid"/>
            </v:shape>
            <v:shape style="position:absolute;left:643;top:1481;width:37;height:38" coordorigin="644,1482" coordsize="37,38" path="m672,1519l652,1519,644,1511,644,1501,644,1490,652,1482,672,1482,680,1490,680,1511,672,1519xe" filled="true" fillcolor="#000000" stroked="false">
              <v:path arrowok="t"/>
              <v:fill type="solid"/>
            </v:shape>
            <v:shape style="position:absolute;left:643;top:1481;width:37;height:38" coordorigin="644,1482" coordsize="37,38" path="m644,1501l644,1490,652,1482,662,1482,672,1482,680,1490,680,1501,680,1511,672,1519,662,1519,652,1519,644,1511,644,1501xe" filled="false" stroked="true" strokeweight=".197642pt" strokecolor="#000000">
              <v:path arrowok="t"/>
              <v:stroke dashstyle="solid"/>
            </v:shape>
            <v:shape style="position:absolute;left:680;top:1631;width:37;height:28" coordorigin="680,1632" coordsize="37,28" path="m709,1659l688,1659,680,1653,680,1646,680,1638,688,1632,709,1632,717,1638,717,1653,709,1659xe" filled="true" fillcolor="#000000" stroked="false">
              <v:path arrowok="t"/>
              <v:fill type="solid"/>
            </v:shape>
            <v:shape style="position:absolute;left:680;top:1631;width:37;height:28" coordorigin="680,1632" coordsize="37,28" path="m680,1646l680,1638,688,1632,699,1632,709,1632,717,1638,717,1646,717,1653,709,1659,699,1659,688,1659,680,1653,680,1646xe" filled="false" stroked="true" strokeweight=".198282pt" strokecolor="#000000">
              <v:path arrowok="t"/>
              <v:stroke dashstyle="solid"/>
            </v:shape>
            <v:line style="position:absolute" from="295,1351" to="295,901" stroked="true" strokeweight=".586662pt" strokecolor="#000000">
              <v:stroke dashstyle="solid"/>
            </v:line>
            <v:shape style="position:absolute;left:276;top:882;width:37;height:38" coordorigin="277,882" coordsize="37,38" path="m305,920l285,920,277,912,277,901,277,891,285,882,305,882,314,891,314,912,305,920xe" filled="true" fillcolor="#000000" stroked="false">
              <v:path arrowok="t"/>
              <v:fill type="solid"/>
            </v:shape>
            <v:shape style="position:absolute;left:276;top:882;width:37;height:38" coordorigin="277,882" coordsize="37,38" path="m277,901l277,891,285,882,295,882,305,882,314,891,314,901,314,912,305,920,295,920,285,920,277,912,277,901xe" filled="false" stroked="true" strokeweight=".197642pt" strokecolor="#000000">
              <v:path arrowok="t"/>
              <v:stroke dashstyle="solid"/>
            </v:shape>
            <v:line style="position:absolute" from="295,2858" to="295,1646" stroked="true" strokeweight=".586662pt" strokecolor="#000000">
              <v:stroke dashstyle="solid"/>
            </v:line>
            <v:line style="position:absolute" from="1432,2858" to="295,2858" stroked="true" strokeweight=".599468pt" strokecolor="#000000">
              <v:stroke dashstyle="solid"/>
            </v:line>
            <v:shape style="position:absolute;left:1615;top:3188;width:294;height:111" coordorigin="1615,3189" coordsize="294,111" path="m1762,3299l1615,3189,1909,3189,1762,3299xe" filled="false" stroked="true" strokeweight=".597884pt" strokecolor="#000000">
              <v:path arrowok="t"/>
              <v:stroke dashstyle="solid"/>
            </v:shape>
            <v:shape style="position:absolute;left:1431;top:863;width:74;height:75" coordorigin="1432,864" coordsize="74,75" path="m1469,939l1454,936,1443,928,1435,916,1432,901,1435,887,1443,875,1454,867,1469,864,1483,867,1495,875,1502,887,1505,901,1502,916,1495,928,1483,936,1469,939xe" filled="true" fillcolor="#ffffff" stroked="false">
              <v:path arrowok="t"/>
              <v:fill type="solid"/>
            </v:shape>
            <v:shape style="position:absolute;left:1431;top:863;width:74;height:75" coordorigin="1432,864" coordsize="74,75" path="m1505,901l1502,887,1495,875,1483,867,1469,864,1454,867,1443,875,1435,887,1432,901,1435,916,1443,928,1454,936,1469,939,1483,936,1495,928,1502,916,1505,901xe" filled="false" stroked="true" strokeweight=".592927pt" strokecolor="#000000">
              <v:path arrowok="t"/>
              <v:stroke dashstyle="solid"/>
            </v:shape>
            <v:shape style="position:absolute;left:1431;top:563;width:74;height:75" coordorigin="1432,564" coordsize="74,75" path="m1469,639l1454,636,1443,628,1435,616,1432,601,1435,587,1443,575,1454,567,1469,564,1483,567,1495,575,1502,587,1505,601,1502,616,1495,628,1483,636,1469,639xe" filled="true" fillcolor="#ffffff" stroked="false">
              <v:path arrowok="t"/>
              <v:fill type="solid"/>
            </v:shape>
            <v:shape style="position:absolute;left:1431;top:563;width:74;height:75" coordorigin="1432,564" coordsize="74,75" path="m1505,601l1502,587,1495,575,1483,567,1469,564,1454,567,1443,575,1435,587,1432,601,1435,616,1443,628,1454,636,1469,639,1483,636,1495,628,1502,616,1505,601xe" filled="false" stroked="true" strokeweight=".592927pt" strokecolor="#000000">
              <v:path arrowok="t"/>
              <v:stroke dashstyle="solid"/>
            </v:shape>
            <v:shape style="position:absolute;left:1431;top:264;width:74;height:75" coordorigin="1432,264" coordsize="74,75" path="m1469,339l1454,336,1443,328,1435,316,1432,302,1435,287,1443,275,1454,267,1469,264,1483,267,1495,275,1502,287,1505,302,1502,316,1495,328,1483,336,1469,339xe" filled="true" fillcolor="#ffffff" stroked="false">
              <v:path arrowok="t"/>
              <v:fill type="solid"/>
            </v:shape>
            <v:shape style="position:absolute;left:1431;top:264;width:74;height:75" coordorigin="1432,264" coordsize="74,75" path="m1505,302l1502,287,1495,275,1483,267,1469,264,1454,267,1443,275,1435,287,1432,302,1435,316,1443,328,1454,336,1469,339,1483,336,1495,328,1502,316,1505,302xe" filled="false" stroked="true" strokeweight=".592927pt" strokecolor="#000000">
              <v:path arrowok="t"/>
              <v:stroke dashstyle="solid"/>
            </v:shape>
            <v:shape style="position:absolute;left:1431;top:2830;width:74;height:56" coordorigin="1432,2831" coordsize="74,56" path="m1469,2886l1454,2884,1443,2878,1435,2869,1432,2858,1435,2847,1443,2839,1454,2833,1469,2831,1483,2833,1495,2839,1502,2847,1505,2858,1502,2869,1495,2878,1483,2884,1469,2886xe" filled="true" fillcolor="#ffffff" stroked="false">
              <v:path arrowok="t"/>
              <v:fill type="solid"/>
            </v:shape>
            <v:shape style="position:absolute;left:1431;top:2830;width:74;height:56" coordorigin="1432,2831" coordsize="74,56" path="m1505,2858l1502,2847,1495,2839,1483,2833,1469,2831,1454,2833,1443,2839,1435,2847,1432,2858,1435,2869,1443,2878,1454,2884,1469,2886,1483,2884,1495,2878,1502,2869,1505,2858xe" filled="false" stroked="true" strokeweight=".594844pt" strokecolor="#000000">
              <v:path arrowok="t"/>
              <v:stroke dashstyle="solid"/>
            </v:shape>
            <v:shape style="position:absolute;left:276;top:432;width:37;height:38" coordorigin="277,433" coordsize="37,38" path="m305,470l285,470,277,462,277,441,285,433,305,433,314,441,314,452,314,462,305,470xe" filled="true" fillcolor="#000000" stroked="false">
              <v:path arrowok="t"/>
              <v:fill type="solid"/>
            </v:shape>
            <v:shape style="position:absolute;left:276;top:432;width:37;height:38" coordorigin="277,433" coordsize="37,38" path="m314,452l314,441,305,433,295,433,285,433,277,441,277,452,277,462,285,470,295,470,305,470,314,462,314,452xe" filled="false" stroked="true" strokeweight=".197642pt" strokecolor="#000000">
              <v:path arrowok="t"/>
              <v:stroke dashstyle="solid"/>
            </v:shape>
            <v:shape style="position:absolute;left:1010;top:1481;width:37;height:38" coordorigin="1010,1482" coordsize="37,38" path="m1039,1519l1018,1519,1010,1511,1010,1490,1018,1482,1039,1482,1047,1490,1047,1501,1047,1511,1039,1519xe" filled="true" fillcolor="#000000" stroked="false">
              <v:path arrowok="t"/>
              <v:fill type="solid"/>
            </v:shape>
            <v:shape style="position:absolute;left:1010;top:1481;width:37;height:38" coordorigin="1010,1482" coordsize="37,38" path="m1047,1501l1047,1490,1039,1482,1029,1482,1018,1482,1010,1490,1010,1501,1010,1511,1018,1519,1029,1519,1039,1519,1047,1511,1047,1501xe" filled="false" stroked="true" strokeweight=".197642pt" strokecolor="#000000">
              <v:path arrowok="t"/>
              <v:stroke dashstyle="solid"/>
            </v:shape>
            <v:shape style="position:absolute;left:1761;top:1425;width:294;height:150" coordorigin="1762,1426" coordsize="294,150" path="m1762,1501l1799,1426,1872,1576,1945,1426,2019,1576,2055,1501e" filled="false" stroked="true" strokeweight=".596817pt" strokecolor="#2f2f2f">
              <v:path arrowok="t"/>
              <v:stroke dashstyle="solid"/>
            </v:shape>
            <v:line style="position:absolute" from="2202,302" to="2202,1501" stroked="true" strokeweight=".586662pt" strokecolor="#000000">
              <v:stroke dashstyle="solid"/>
            </v:line>
            <v:shape style="position:absolute;left:2122;top:1157;width:159;height:125" type="#_x0000_t75" stroked="false">
              <v:imagedata r:id="rId124" o:title=""/>
            </v:shape>
            <v:shape style="position:absolute;left:698;top:1350;width:330;height:150" coordorigin="699,1351" coordsize="330,150" path="m1029,1501l735,1351m1029,1501l699,1501e" filled="false" stroked="true" strokeweight=".197688pt" strokecolor="#000000">
              <v:path arrowok="t"/>
              <v:stroke dashstyle="shortdash"/>
            </v:shape>
            <v:line style="position:absolute" from="589,601" to="295,452" stroked="true" strokeweight=".198939pt" strokecolor="#000000">
              <v:stroke dashstyle="shortdash"/>
            </v:line>
            <v:shape style="position:absolute;left:2183;top:282;width:37;height:38" coordorigin="2184,283" coordsize="37,38" path="m2212,320l2192,320,2184,312,2184,302,2184,291,2192,283,2212,283,2220,291,2220,312,2212,320xe" filled="true" fillcolor="#000000" stroked="false">
              <v:path arrowok="t"/>
              <v:fill type="solid"/>
            </v:shape>
            <v:shape style="position:absolute;left:2183;top:282;width:37;height:38" coordorigin="2184,283" coordsize="37,38" path="m2184,302l2184,291,2192,283,2202,283,2212,283,2220,291,2220,302,2220,312,2212,320,2202,320,2192,320,2184,312,2184,302xe" filled="false" stroked="true" strokeweight=".197642pt" strokecolor="#000000">
              <v:path arrowok="t"/>
              <v:stroke dashstyle="solid"/>
            </v:shape>
            <v:line style="position:absolute" from="2202,1501" to="2055,1501" stroked="true" strokeweight=".599468pt" strokecolor="#000000">
              <v:stroke dashstyle="solid"/>
            </v:line>
            <v:shape style="position:absolute;left:1563;top:164;width:600;height:749" type="#_x0000_t202" filled="false" stroked="false">
              <v:textbox inset="0,0,0,0">
                <w:txbxContent>
                  <w:p>
                    <w:pPr>
                      <w:spacing w:line="482" w:lineRule="auto" w:before="0"/>
                      <w:ind w:left="9" w:right="2" w:hanging="10"/>
                      <w:jc w:val="left"/>
                      <w:rPr>
                        <w:sz w:val="13"/>
                      </w:rPr>
                    </w:pPr>
                    <w:r>
                      <w:rPr>
                        <w:sz w:val="13"/>
                      </w:rPr>
                      <w:t>V3P3SYS VBAT</w:t>
                    </w:r>
                  </w:p>
                  <w:p>
                    <w:pPr>
                      <w:spacing w:line="148" w:lineRule="exact" w:before="0"/>
                      <w:ind w:left="19" w:right="0" w:firstLine="0"/>
                      <w:jc w:val="left"/>
                      <w:rPr>
                        <w:sz w:val="13"/>
                      </w:rPr>
                    </w:pPr>
                    <w:r>
                      <w:rPr>
                        <w:sz w:val="13"/>
                      </w:rPr>
                      <w:t>V3P3D</w:t>
                    </w:r>
                  </w:p>
                </w:txbxContent>
              </v:textbox>
              <w10:wrap type="none"/>
            </v:shape>
            <v:shape style="position:absolute;left:1517;top:1363;width:252;height:149" type="#_x0000_t202" filled="false" stroked="false">
              <v:textbox inset="0,0,0,0">
                <w:txbxContent>
                  <w:p>
                    <w:pPr>
                      <w:spacing w:line="148" w:lineRule="exact" w:before="0"/>
                      <w:ind w:left="0" w:right="0" w:firstLine="0"/>
                      <w:jc w:val="left"/>
                      <w:rPr>
                        <w:sz w:val="13"/>
                      </w:rPr>
                    </w:pPr>
                    <w:r>
                      <w:rPr>
                        <w:sz w:val="13"/>
                        <w:u w:val="single"/>
                      </w:rPr>
                      <w:t>DIO</w:t>
                    </w:r>
                  </w:p>
                </w:txbxContent>
              </v:textbox>
              <w10:wrap type="none"/>
            </v:shape>
            <v:shape style="position:absolute;left:1634;top:2736;width:404;height:149" type="#_x0000_t202" filled="false" stroked="false">
              <v:textbox inset="0,0,0,0">
                <w:txbxContent>
                  <w:p>
                    <w:pPr>
                      <w:spacing w:line="148" w:lineRule="exact" w:before="0"/>
                      <w:ind w:left="0" w:right="0" w:firstLine="0"/>
                      <w:jc w:val="left"/>
                      <w:rPr>
                        <w:sz w:val="13"/>
                      </w:rPr>
                    </w:pPr>
                    <w:r>
                      <w:rPr>
                        <w:sz w:val="13"/>
                      </w:rPr>
                      <w:t>GNDD</w:t>
                    </w:r>
                  </w:p>
                </w:txbxContent>
              </v:textbox>
              <w10:wrap type="none"/>
            </v:shape>
            <v:shape style="position:absolute;left:151;top:3104;width:1188;height:187" type="#_x0000_t202" filled="false" stroked="false">
              <v:textbox inset="0,0,0,0">
                <w:txbxContent>
                  <w:p>
                    <w:pPr>
                      <w:spacing w:before="0"/>
                      <w:ind w:left="0" w:right="0" w:firstLine="0"/>
                      <w:jc w:val="left"/>
                      <w:rPr>
                        <w:b/>
                        <w:sz w:val="16"/>
                      </w:rPr>
                    </w:pPr>
                    <w:r>
                      <w:rPr>
                        <w:b/>
                        <w:sz w:val="16"/>
                      </w:rPr>
                      <w:t>Recommended</w:t>
                    </w:r>
                  </w:p>
                </w:txbxContent>
              </v:textbox>
              <w10:wrap type="none"/>
            </v:shape>
            <v:shape style="position:absolute;left:1;top:1;width:1467;height:2998" type="#_x0000_t202" filled="false" stroked="false">
              <v:textbox inset="0,0,0,0">
                <w:txbxContent>
                  <w:p>
                    <w:pPr>
                      <w:spacing w:line="240" w:lineRule="auto" w:before="0"/>
                      <w:rPr>
                        <w:sz w:val="10"/>
                      </w:rPr>
                    </w:pPr>
                  </w:p>
                  <w:p>
                    <w:pPr>
                      <w:tabs>
                        <w:tab w:pos="1429" w:val="left" w:leader="none"/>
                      </w:tabs>
                      <w:spacing w:before="64"/>
                      <w:ind w:left="604" w:right="0" w:firstLine="0"/>
                      <w:jc w:val="left"/>
                      <w:rPr>
                        <w:sz w:val="10"/>
                      </w:rPr>
                    </w:pPr>
                    <w:r>
                      <w:rPr>
                        <w:rFonts w:ascii="Times New Roman"/>
                        <w:w w:val="97"/>
                        <w:sz w:val="10"/>
                        <w:u w:val="single"/>
                      </w:rPr>
                      <w:t> </w:t>
                    </w:r>
                    <w:r>
                      <w:rPr>
                        <w:rFonts w:ascii="Times New Roman"/>
                        <w:sz w:val="10"/>
                        <w:u w:val="single"/>
                      </w:rPr>
                      <w:t>    </w:t>
                    </w:r>
                    <w:r>
                      <w:rPr>
                        <w:rFonts w:ascii="Times New Roman"/>
                        <w:spacing w:val="-8"/>
                        <w:sz w:val="10"/>
                        <w:u w:val="single"/>
                      </w:rPr>
                      <w:t> </w:t>
                    </w:r>
                    <w:r>
                      <w:rPr>
                        <w:sz w:val="10"/>
                        <w:u w:val="single"/>
                      </w:rPr>
                      <w:t>MISSION</w:t>
                      <w:tab/>
                    </w:r>
                  </w:p>
                  <w:p>
                    <w:pPr>
                      <w:tabs>
                        <w:tab w:pos="623" w:val="left" w:leader="none"/>
                      </w:tabs>
                      <w:spacing w:before="35"/>
                      <w:ind w:left="293" w:right="0" w:firstLine="0"/>
                      <w:jc w:val="left"/>
                      <w:rPr>
                        <w:sz w:val="10"/>
                      </w:rPr>
                    </w:pPr>
                    <w:r>
                      <w:rPr>
                        <w:rFonts w:ascii="Times New Roman"/>
                        <w:w w:val="97"/>
                        <w:sz w:val="10"/>
                        <w:u w:val="dotted"/>
                      </w:rPr>
                      <w:t> </w:t>
                    </w:r>
                    <w:r>
                      <w:rPr>
                        <w:rFonts w:ascii="Times New Roman"/>
                        <w:sz w:val="10"/>
                        <w:u w:val="dotted"/>
                      </w:rPr>
                      <w:tab/>
                    </w:r>
                    <w:r>
                      <w:rPr>
                        <w:rFonts w:ascii="Times New Roman"/>
                        <w:spacing w:val="-7"/>
                        <w:sz w:val="10"/>
                      </w:rPr>
                      <w:t> </w:t>
                    </w:r>
                    <w:r>
                      <w:rPr>
                        <w:rFonts w:ascii="Times New Roman"/>
                        <w:w w:val="97"/>
                        <w:sz w:val="10"/>
                        <w:u w:val="dotted"/>
                      </w:rPr>
                      <w:t> </w:t>
                    </w:r>
                    <w:r>
                      <w:rPr>
                        <w:rFonts w:ascii="Times New Roman"/>
                        <w:sz w:val="10"/>
                        <w:u w:val="dotted"/>
                      </w:rPr>
                      <w:t>   </w:t>
                    </w:r>
                    <w:r>
                      <w:rPr>
                        <w:rFonts w:ascii="Times New Roman"/>
                        <w:spacing w:val="-9"/>
                        <w:sz w:val="10"/>
                        <w:u w:val="dotted"/>
                      </w:rPr>
                      <w:t> </w:t>
                    </w:r>
                    <w:r>
                      <w:rPr>
                        <w:sz w:val="10"/>
                        <w:u w:val="dotted"/>
                      </w:rPr>
                      <w:t>L</w:t>
                    </w:r>
                    <w:r>
                      <w:rPr>
                        <w:sz w:val="10"/>
                      </w:rPr>
                      <w:t>CD/SLEEP</w:t>
                    </w:r>
                  </w:p>
                  <w:p>
                    <w:pPr>
                      <w:spacing w:before="35"/>
                      <w:ind w:left="604" w:right="0" w:firstLine="0"/>
                      <w:jc w:val="left"/>
                      <w:rPr>
                        <w:sz w:val="10"/>
                      </w:rPr>
                    </w:pPr>
                    <w:r>
                      <w:rPr>
                        <w:rFonts w:ascii="Times New Roman"/>
                        <w:w w:val="97"/>
                        <w:sz w:val="10"/>
                        <w:u w:val="single"/>
                      </w:rPr>
                      <w:t> </w:t>
                    </w:r>
                    <w:r>
                      <w:rPr>
                        <w:rFonts w:ascii="Times New Roman"/>
                        <w:sz w:val="10"/>
                        <w:u w:val="single"/>
                      </w:rPr>
                      <w:t>   </w:t>
                    </w:r>
                    <w:r>
                      <w:rPr>
                        <w:rFonts w:ascii="Times New Roman"/>
                        <w:spacing w:val="6"/>
                        <w:sz w:val="10"/>
                        <w:u w:val="single"/>
                      </w:rPr>
                      <w:t> </w:t>
                    </w:r>
                    <w:r>
                      <w:rPr>
                        <w:sz w:val="10"/>
                        <w:u w:val="single"/>
                      </w:rPr>
                      <w:t>BROWNOUT</w:t>
                    </w:r>
                    <w:r>
                      <w:rPr>
                        <w:spacing w:val="1"/>
                        <w:sz w:val="10"/>
                        <w:u w:val="single"/>
                      </w:rPr>
                      <w:t> </w:t>
                    </w: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312" w:lineRule="auto" w:before="60"/>
                      <w:ind w:left="299" w:right="769" w:hanging="6"/>
                      <w:jc w:val="left"/>
                      <w:rPr>
                        <w:sz w:val="10"/>
                      </w:rPr>
                    </w:pPr>
                    <w:r>
                      <w:rPr>
                        <w:rFonts w:ascii="Times New Roman"/>
                        <w:w w:val="97"/>
                        <w:sz w:val="10"/>
                        <w:u w:val="single"/>
                      </w:rPr>
                      <w:t> </w:t>
                    </w:r>
                    <w:r>
                      <w:rPr>
                        <w:rFonts w:ascii="Times New Roman"/>
                        <w:sz w:val="10"/>
                        <w:u w:val="single"/>
                      </w:rPr>
                      <w:t>  </w:t>
                    </w:r>
                    <w:r>
                      <w:rPr>
                        <w:rFonts w:ascii="Times New Roman"/>
                        <w:spacing w:val="-2"/>
                        <w:sz w:val="10"/>
                        <w:u w:val="single"/>
                      </w:rPr>
                      <w:t> </w:t>
                    </w:r>
                    <w:r>
                      <w:rPr>
                        <w:sz w:val="10"/>
                        <w:u w:val="single"/>
                      </w:rPr>
                      <w:t>HIGH</w:t>
                    </w:r>
                    <w:r>
                      <w:rPr>
                        <w:sz w:val="10"/>
                      </w:rPr>
                      <w:t> HIGH</w:t>
                    </w:r>
                    <w:r>
                      <w:rPr>
                        <w:sz w:val="10"/>
                        <w:u w:val="single"/>
                      </w:rPr>
                      <w:t>-Z</w:t>
                    </w:r>
                  </w:p>
                  <w:p>
                    <w:pPr>
                      <w:spacing w:before="0"/>
                      <w:ind w:left="293" w:right="0" w:firstLine="0"/>
                      <w:jc w:val="left"/>
                      <w:rPr>
                        <w:sz w:val="10"/>
                      </w:rPr>
                    </w:pPr>
                    <w:r>
                      <w:rPr>
                        <w:rFonts w:ascii="Times New Roman"/>
                        <w:w w:val="97"/>
                        <w:sz w:val="10"/>
                        <w:u w:val="single"/>
                      </w:rPr>
                      <w:t> </w:t>
                    </w:r>
                    <w:r>
                      <w:rPr>
                        <w:rFonts w:ascii="Times New Roman"/>
                        <w:sz w:val="10"/>
                        <w:u w:val="single"/>
                      </w:rPr>
                      <w:t>  </w:t>
                    </w:r>
                    <w:r>
                      <w:rPr>
                        <w:rFonts w:ascii="Times New Roman"/>
                        <w:spacing w:val="9"/>
                        <w:sz w:val="10"/>
                        <w:u w:val="single"/>
                      </w:rPr>
                      <w:t> </w:t>
                    </w:r>
                    <w:r>
                      <w:rPr>
                        <w:sz w:val="10"/>
                        <w:u w:val="single"/>
                      </w:rPr>
                      <w:t>LOW</w:t>
                    </w:r>
                    <w:r>
                      <w:rPr>
                        <w:spacing w:val="-12"/>
                        <w:sz w:val="10"/>
                        <w:u w:val="single"/>
                      </w:rPr>
                      <w:t> </w:t>
                    </w:r>
                  </w:p>
                </w:txbxContent>
              </v:textbox>
              <w10:wrap type="none"/>
            </v:shape>
          </v:group>
        </w:pict>
      </w:r>
      <w:r>
        <w:rPr/>
      </w:r>
    </w:p>
    <w:p>
      <w:pPr>
        <w:spacing w:before="83"/>
        <w:ind w:left="62" w:right="204" w:firstLine="0"/>
        <w:jc w:val="center"/>
        <w:rPr>
          <w:b/>
          <w:sz w:val="20"/>
        </w:rPr>
      </w:pPr>
      <w:bookmarkStart w:name="_bookmark119" w:id="246"/>
      <w:bookmarkEnd w:id="246"/>
      <w:r>
        <w:rPr/>
      </w:r>
      <w:r>
        <w:rPr>
          <w:b/>
          <w:sz w:val="20"/>
        </w:rPr>
        <w:t>Figure 16: Connecting an External Load to DIO Pins</w:t>
      </w:r>
    </w:p>
    <w:p>
      <w:pPr>
        <w:pStyle w:val="BodyText"/>
        <w:spacing w:before="5"/>
        <w:rPr>
          <w:b/>
          <w:sz w:val="30"/>
        </w:rPr>
      </w:pPr>
    </w:p>
    <w:p>
      <w:pPr>
        <w:pStyle w:val="ListParagraph"/>
        <w:numPr>
          <w:ilvl w:val="3"/>
          <w:numId w:val="7"/>
        </w:numPr>
        <w:tabs>
          <w:tab w:pos="1105" w:val="left" w:leader="none"/>
        </w:tabs>
        <w:spacing w:line="240" w:lineRule="auto" w:before="1" w:after="0"/>
        <w:ind w:left="1104" w:right="0" w:hanging="866"/>
        <w:jc w:val="left"/>
        <w:rPr>
          <w:b/>
          <w:sz w:val="20"/>
        </w:rPr>
      </w:pPr>
      <w:bookmarkStart w:name="2.5.10.2 Combined DIO and SEG Pins" w:id="247"/>
      <w:bookmarkEnd w:id="247"/>
      <w:r>
        <w:rPr/>
      </w:r>
      <w:bookmarkStart w:name="_bookmark120" w:id="248"/>
      <w:bookmarkEnd w:id="248"/>
      <w:r>
        <w:rPr/>
      </w:r>
      <w:bookmarkStart w:name="_bookmark120" w:id="249"/>
      <w:bookmarkEnd w:id="249"/>
      <w:r>
        <w:rPr>
          <w:b/>
          <w:sz w:val="20"/>
        </w:rPr>
        <w:t>Comb</w:t>
      </w:r>
      <w:r>
        <w:rPr>
          <w:b/>
          <w:sz w:val="20"/>
        </w:rPr>
        <w:t>ined DIO and SEG</w:t>
      </w:r>
      <w:r>
        <w:rPr>
          <w:b/>
          <w:spacing w:val="4"/>
          <w:sz w:val="20"/>
        </w:rPr>
        <w:t> </w:t>
      </w:r>
      <w:r>
        <w:rPr>
          <w:b/>
          <w:sz w:val="20"/>
        </w:rPr>
        <w:t>Pins</w:t>
      </w:r>
    </w:p>
    <w:p>
      <w:pPr>
        <w:pStyle w:val="BodyText"/>
        <w:spacing w:before="79"/>
        <w:ind w:left="240"/>
      </w:pPr>
      <w:r>
        <w:rPr/>
        <w:t>A total of 51 combined DIO/LCD pins are available. These pins can be categorized as follows:</w:t>
      </w:r>
    </w:p>
    <w:p>
      <w:pPr>
        <w:pStyle w:val="BodyText"/>
        <w:spacing w:before="121"/>
        <w:ind w:left="240"/>
      </w:pPr>
      <w:r>
        <w:rPr/>
        <w:t>39 combined DIO/LCD segment pins:</w:t>
      </w:r>
    </w:p>
    <w:p>
      <w:pPr>
        <w:pStyle w:val="ListParagraph"/>
        <w:numPr>
          <w:ilvl w:val="0"/>
          <w:numId w:val="18"/>
        </w:numPr>
        <w:tabs>
          <w:tab w:pos="1319" w:val="left" w:leader="none"/>
          <w:tab w:pos="1321" w:val="left" w:leader="none"/>
        </w:tabs>
        <w:spacing w:line="240" w:lineRule="auto" w:before="38" w:after="0"/>
        <w:ind w:left="1320" w:right="0" w:hanging="361"/>
        <w:jc w:val="left"/>
        <w:rPr>
          <w:sz w:val="20"/>
        </w:rPr>
      </w:pPr>
      <w:r>
        <w:rPr>
          <w:sz w:val="20"/>
        </w:rPr>
        <w:t>SEGDIO4…SEGDIO25 (22</w:t>
      </w:r>
      <w:r>
        <w:rPr>
          <w:spacing w:val="-15"/>
          <w:sz w:val="20"/>
        </w:rPr>
        <w:t> </w:t>
      </w:r>
      <w:r>
        <w:rPr>
          <w:sz w:val="20"/>
        </w:rPr>
        <w:t>pins)</w:t>
      </w:r>
    </w:p>
    <w:p>
      <w:pPr>
        <w:pStyle w:val="ListParagraph"/>
        <w:numPr>
          <w:ilvl w:val="0"/>
          <w:numId w:val="18"/>
        </w:numPr>
        <w:tabs>
          <w:tab w:pos="1319" w:val="left" w:leader="none"/>
          <w:tab w:pos="1321" w:val="left" w:leader="none"/>
        </w:tabs>
        <w:spacing w:line="240" w:lineRule="auto" w:before="24" w:after="0"/>
        <w:ind w:left="1320" w:right="0" w:hanging="361"/>
        <w:jc w:val="left"/>
        <w:rPr>
          <w:sz w:val="20"/>
        </w:rPr>
      </w:pPr>
      <w:r>
        <w:rPr>
          <w:sz w:val="20"/>
        </w:rPr>
        <w:t>SEGDIO28…SEGDIO35 (8</w:t>
      </w:r>
      <w:r>
        <w:rPr>
          <w:spacing w:val="-14"/>
          <w:sz w:val="20"/>
        </w:rPr>
        <w:t> </w:t>
      </w:r>
      <w:r>
        <w:rPr>
          <w:sz w:val="20"/>
        </w:rPr>
        <w:t>pins)</w:t>
      </w:r>
    </w:p>
    <w:p>
      <w:pPr>
        <w:pStyle w:val="ListParagraph"/>
        <w:numPr>
          <w:ilvl w:val="0"/>
          <w:numId w:val="18"/>
        </w:numPr>
        <w:tabs>
          <w:tab w:pos="1319" w:val="left" w:leader="none"/>
          <w:tab w:pos="1321" w:val="left" w:leader="none"/>
        </w:tabs>
        <w:spacing w:line="240" w:lineRule="auto" w:before="21" w:after="0"/>
        <w:ind w:left="1320" w:right="0" w:hanging="361"/>
        <w:jc w:val="left"/>
        <w:rPr>
          <w:sz w:val="20"/>
        </w:rPr>
      </w:pPr>
      <w:r>
        <w:rPr>
          <w:sz w:val="20"/>
        </w:rPr>
        <w:t>SEGDIO40…SEGDIO45 (6</w:t>
      </w:r>
      <w:r>
        <w:rPr>
          <w:spacing w:val="-14"/>
          <w:sz w:val="20"/>
        </w:rPr>
        <w:t> </w:t>
      </w:r>
      <w:r>
        <w:rPr>
          <w:sz w:val="20"/>
        </w:rPr>
        <w:t>pins)</w:t>
      </w:r>
    </w:p>
    <w:p>
      <w:pPr>
        <w:pStyle w:val="ListParagraph"/>
        <w:numPr>
          <w:ilvl w:val="0"/>
          <w:numId w:val="18"/>
        </w:numPr>
        <w:tabs>
          <w:tab w:pos="1319" w:val="left" w:leader="none"/>
          <w:tab w:pos="1321" w:val="left" w:leader="none"/>
        </w:tabs>
        <w:spacing w:line="240" w:lineRule="auto" w:before="23" w:after="0"/>
        <w:ind w:left="1320" w:right="0" w:hanging="361"/>
        <w:jc w:val="left"/>
        <w:rPr>
          <w:sz w:val="20"/>
        </w:rPr>
      </w:pPr>
      <w:r>
        <w:rPr>
          <w:sz w:val="20"/>
        </w:rPr>
        <w:t>SEGDIO52…SEGDIO54 (3</w:t>
      </w:r>
      <w:r>
        <w:rPr>
          <w:spacing w:val="-14"/>
          <w:sz w:val="20"/>
        </w:rPr>
        <w:t> </w:t>
      </w:r>
      <w:r>
        <w:rPr>
          <w:sz w:val="20"/>
        </w:rPr>
        <w:t>pins)</w:t>
      </w:r>
    </w:p>
    <w:p>
      <w:pPr>
        <w:pStyle w:val="BodyText"/>
        <w:spacing w:before="103"/>
        <w:ind w:left="240"/>
      </w:pPr>
      <w:r>
        <w:rPr/>
        <w:t>12 combined DIO/LCD segment pins shared with other functions:</w:t>
      </w:r>
    </w:p>
    <w:p>
      <w:pPr>
        <w:pStyle w:val="ListParagraph"/>
        <w:numPr>
          <w:ilvl w:val="0"/>
          <w:numId w:val="19"/>
        </w:numPr>
        <w:tabs>
          <w:tab w:pos="1319" w:val="left" w:leader="none"/>
          <w:tab w:pos="1321" w:val="left" w:leader="none"/>
        </w:tabs>
        <w:spacing w:line="240" w:lineRule="auto" w:before="39" w:after="0"/>
        <w:ind w:left="1320" w:right="0" w:hanging="361"/>
        <w:jc w:val="left"/>
        <w:rPr>
          <w:sz w:val="20"/>
        </w:rPr>
      </w:pPr>
      <w:r>
        <w:rPr>
          <w:sz w:val="20"/>
        </w:rPr>
        <w:t>SEGDIO0/WPULSE, SEGDIO1/VPULSE (2</w:t>
      </w:r>
      <w:r>
        <w:rPr>
          <w:spacing w:val="-3"/>
          <w:sz w:val="20"/>
        </w:rPr>
        <w:t> </w:t>
      </w:r>
      <w:r>
        <w:rPr>
          <w:sz w:val="20"/>
        </w:rPr>
        <w:t>pins)</w:t>
      </w:r>
    </w:p>
    <w:p>
      <w:pPr>
        <w:pStyle w:val="ListParagraph"/>
        <w:numPr>
          <w:ilvl w:val="0"/>
          <w:numId w:val="19"/>
        </w:numPr>
        <w:tabs>
          <w:tab w:pos="1319" w:val="left" w:leader="none"/>
          <w:tab w:pos="1321" w:val="left" w:leader="none"/>
        </w:tabs>
        <w:spacing w:line="240" w:lineRule="auto" w:before="23" w:after="0"/>
        <w:ind w:left="1320" w:right="0" w:hanging="361"/>
        <w:jc w:val="left"/>
        <w:rPr>
          <w:sz w:val="20"/>
        </w:rPr>
      </w:pPr>
      <w:r>
        <w:rPr>
          <w:sz w:val="20"/>
        </w:rPr>
        <w:t>SEGDIO2/SDCK, SEGDIO3/SDATA (2</w:t>
      </w:r>
      <w:r>
        <w:rPr>
          <w:spacing w:val="-3"/>
          <w:sz w:val="20"/>
        </w:rPr>
        <w:t> </w:t>
      </w:r>
      <w:r>
        <w:rPr>
          <w:sz w:val="20"/>
        </w:rPr>
        <w:t>pins)</w:t>
      </w:r>
    </w:p>
    <w:p>
      <w:pPr>
        <w:pStyle w:val="ListParagraph"/>
        <w:numPr>
          <w:ilvl w:val="0"/>
          <w:numId w:val="19"/>
        </w:numPr>
        <w:tabs>
          <w:tab w:pos="1319" w:val="left" w:leader="none"/>
          <w:tab w:pos="1321" w:val="left" w:leader="none"/>
        </w:tabs>
        <w:spacing w:line="240" w:lineRule="auto" w:before="21" w:after="0"/>
        <w:ind w:left="1320" w:right="0" w:hanging="361"/>
        <w:jc w:val="left"/>
        <w:rPr>
          <w:sz w:val="20"/>
        </w:rPr>
      </w:pPr>
      <w:r>
        <w:rPr>
          <w:sz w:val="20"/>
        </w:rPr>
        <w:t>SEGDIO26/COM5, SEGDIO27/COM4 (2 pins)</w:t>
      </w:r>
    </w:p>
    <w:p>
      <w:pPr>
        <w:pStyle w:val="ListParagraph"/>
        <w:numPr>
          <w:ilvl w:val="0"/>
          <w:numId w:val="19"/>
        </w:numPr>
        <w:tabs>
          <w:tab w:pos="1319" w:val="left" w:leader="none"/>
          <w:tab w:pos="1320" w:val="left" w:leader="none"/>
        </w:tabs>
        <w:spacing w:line="240" w:lineRule="auto" w:before="24" w:after="0"/>
        <w:ind w:left="1319" w:right="0" w:hanging="361"/>
        <w:jc w:val="left"/>
        <w:rPr>
          <w:sz w:val="20"/>
        </w:rPr>
      </w:pPr>
      <w:r>
        <w:rPr>
          <w:sz w:val="20"/>
        </w:rPr>
        <w:t>SEGDIO36/SPI_CSZ…SEGDIO39/SPI_CKI (4</w:t>
      </w:r>
      <w:r>
        <w:rPr>
          <w:spacing w:val="-1"/>
          <w:sz w:val="20"/>
        </w:rPr>
        <w:t> </w:t>
      </w:r>
      <w:r>
        <w:rPr>
          <w:sz w:val="20"/>
        </w:rPr>
        <w:t>pins)</w:t>
      </w:r>
    </w:p>
    <w:p>
      <w:pPr>
        <w:pStyle w:val="ListParagraph"/>
        <w:numPr>
          <w:ilvl w:val="0"/>
          <w:numId w:val="19"/>
        </w:numPr>
        <w:tabs>
          <w:tab w:pos="1319" w:val="left" w:leader="none"/>
          <w:tab w:pos="1320" w:val="left" w:leader="none"/>
        </w:tabs>
        <w:spacing w:line="240" w:lineRule="auto" w:before="21" w:after="0"/>
        <w:ind w:left="1319" w:right="0" w:hanging="361"/>
        <w:jc w:val="left"/>
        <w:rPr>
          <w:sz w:val="20"/>
        </w:rPr>
      </w:pPr>
      <w:r>
        <w:rPr>
          <w:sz w:val="20"/>
        </w:rPr>
        <w:t>SEGDIO51/OPT_TX, SEGDIO55/OPT_RX (2</w:t>
      </w:r>
      <w:r>
        <w:rPr>
          <w:spacing w:val="-2"/>
          <w:sz w:val="20"/>
        </w:rPr>
        <w:t> </w:t>
      </w:r>
      <w:r>
        <w:rPr>
          <w:sz w:val="20"/>
        </w:rPr>
        <w:t>pins)</w:t>
      </w:r>
    </w:p>
    <w:p>
      <w:pPr>
        <w:pStyle w:val="BodyText"/>
        <w:spacing w:before="102"/>
        <w:ind w:left="239"/>
      </w:pPr>
      <w:r>
        <w:rPr/>
        <w:t>Additionally, 5 LCD segment (SEG) pins are available. These pins can be categorized as follows:</w:t>
      </w:r>
    </w:p>
    <w:p>
      <w:pPr>
        <w:pStyle w:val="ListParagraph"/>
        <w:numPr>
          <w:ilvl w:val="0"/>
          <w:numId w:val="19"/>
        </w:numPr>
        <w:tabs>
          <w:tab w:pos="1319" w:val="left" w:leader="none"/>
          <w:tab w:pos="1320" w:val="left" w:leader="none"/>
        </w:tabs>
        <w:spacing w:line="223" w:lineRule="auto" w:before="51" w:after="0"/>
        <w:ind w:left="1319" w:right="1546" w:hanging="360"/>
        <w:jc w:val="left"/>
        <w:rPr>
          <w:sz w:val="20"/>
        </w:rPr>
      </w:pPr>
      <w:r>
        <w:rPr>
          <w:sz w:val="20"/>
        </w:rPr>
        <w:t>3 SEG pins combined with the ICE interface (SEG48/E_RXTX,</w:t>
      </w:r>
      <w:r>
        <w:rPr>
          <w:spacing w:val="-32"/>
          <w:sz w:val="20"/>
        </w:rPr>
        <w:t> </w:t>
      </w:r>
      <w:r>
        <w:rPr>
          <w:sz w:val="20"/>
        </w:rPr>
        <w:t>SEG49/E_TCLK, SEG50/E_RST)</w:t>
      </w:r>
    </w:p>
    <w:p>
      <w:pPr>
        <w:pStyle w:val="ListParagraph"/>
        <w:numPr>
          <w:ilvl w:val="0"/>
          <w:numId w:val="19"/>
        </w:numPr>
        <w:tabs>
          <w:tab w:pos="1319" w:val="left" w:leader="none"/>
          <w:tab w:pos="1320" w:val="left" w:leader="none"/>
        </w:tabs>
        <w:spacing w:line="223" w:lineRule="auto" w:before="56" w:after="0"/>
        <w:ind w:left="1319" w:right="1887" w:hanging="360"/>
        <w:jc w:val="left"/>
        <w:rPr>
          <w:sz w:val="20"/>
        </w:rPr>
      </w:pPr>
      <w:r>
        <w:rPr>
          <w:sz w:val="20"/>
        </w:rPr>
        <w:t>2 SEG pins combined with the test multiplexer outputs (SEG46/TMUX2OUT, SEG47/TMUXOUT)</w:t>
      </w:r>
    </w:p>
    <w:p>
      <w:pPr>
        <w:pStyle w:val="BodyText"/>
        <w:spacing w:before="3"/>
        <w:rPr>
          <w:sz w:val="27"/>
        </w:rPr>
      </w:pPr>
    </w:p>
    <w:p>
      <w:pPr>
        <w:pStyle w:val="BodyText"/>
        <w:ind w:left="239"/>
      </w:pPr>
      <w:r>
        <w:rPr/>
        <w:t>Thus, a total of 51 DIO pins are available with minimum LCD configuration, and a total of 56 LCD pins are available with minimum DIO configuration.</w:t>
      </w:r>
    </w:p>
    <w:p>
      <w:pPr>
        <w:spacing w:after="0"/>
        <w:sectPr>
          <w:pgSz w:w="12240" w:h="15840"/>
          <w:pgMar w:header="727" w:footer="819" w:top="960" w:bottom="1000" w:left="1200" w:right="1060"/>
        </w:sectPr>
      </w:pPr>
    </w:p>
    <w:p>
      <w:pPr>
        <w:pStyle w:val="BodyText"/>
        <w:spacing w:before="8"/>
        <w:rPr>
          <w:sz w:val="16"/>
        </w:rPr>
      </w:pPr>
    </w:p>
    <w:p>
      <w:pPr>
        <w:pStyle w:val="Heading1"/>
        <w:spacing w:before="93"/>
        <w:ind w:left="64" w:right="204"/>
      </w:pPr>
      <w:bookmarkStart w:name="_bookmark121" w:id="250"/>
      <w:bookmarkEnd w:id="250"/>
      <w:r>
        <w:rPr>
          <w:b w:val="0"/>
        </w:rPr>
      </w:r>
      <w:r>
        <w:rPr/>
        <w:t>Table 47: Data/Direction Registers and Internal Resources for SEGDIO0 to SEGDIO15</w:t>
      </w:r>
    </w:p>
    <w:p>
      <w:pPr>
        <w:pStyle w:val="BodyText"/>
        <w:spacing w:before="2"/>
        <w:rPr>
          <w:b/>
          <w:sz w:val="7"/>
        </w:rPr>
      </w:pPr>
    </w:p>
    <w:tbl>
      <w:tblPr>
        <w:tblW w:w="0" w:type="auto"/>
        <w:jc w:val="left"/>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9"/>
        <w:gridCol w:w="475"/>
        <w:gridCol w:w="444"/>
        <w:gridCol w:w="449"/>
        <w:gridCol w:w="456"/>
        <w:gridCol w:w="485"/>
        <w:gridCol w:w="451"/>
        <w:gridCol w:w="449"/>
        <w:gridCol w:w="487"/>
        <w:gridCol w:w="449"/>
        <w:gridCol w:w="447"/>
        <w:gridCol w:w="536"/>
        <w:gridCol w:w="447"/>
        <w:gridCol w:w="447"/>
        <w:gridCol w:w="449"/>
        <w:gridCol w:w="447"/>
        <w:gridCol w:w="447"/>
      </w:tblGrid>
      <w:tr>
        <w:trPr>
          <w:trHeight w:val="309" w:hRule="atLeast"/>
        </w:trPr>
        <w:tc>
          <w:tcPr>
            <w:tcW w:w="1999" w:type="dxa"/>
          </w:tcPr>
          <w:p>
            <w:pPr>
              <w:pStyle w:val="TableParagraph"/>
              <w:spacing w:before="35"/>
              <w:ind w:left="587" w:right="584"/>
              <w:jc w:val="center"/>
              <w:rPr>
                <w:b/>
                <w:sz w:val="20"/>
              </w:rPr>
            </w:pPr>
            <w:r>
              <w:rPr>
                <w:b/>
                <w:sz w:val="20"/>
              </w:rPr>
              <w:t>SEGDIO</w:t>
            </w:r>
          </w:p>
        </w:tc>
        <w:tc>
          <w:tcPr>
            <w:tcW w:w="475" w:type="dxa"/>
          </w:tcPr>
          <w:p>
            <w:pPr>
              <w:pStyle w:val="TableParagraph"/>
              <w:spacing w:before="35"/>
              <w:ind w:left="10"/>
              <w:jc w:val="center"/>
              <w:rPr>
                <w:b/>
                <w:sz w:val="20"/>
              </w:rPr>
            </w:pPr>
            <w:r>
              <w:rPr>
                <w:b/>
                <w:w w:val="99"/>
                <w:sz w:val="20"/>
              </w:rPr>
              <w:t>0</w:t>
            </w:r>
          </w:p>
        </w:tc>
        <w:tc>
          <w:tcPr>
            <w:tcW w:w="444" w:type="dxa"/>
          </w:tcPr>
          <w:p>
            <w:pPr>
              <w:pStyle w:val="TableParagraph"/>
              <w:spacing w:before="35"/>
              <w:ind w:right="155"/>
              <w:jc w:val="right"/>
              <w:rPr>
                <w:b/>
                <w:sz w:val="20"/>
              </w:rPr>
            </w:pPr>
            <w:r>
              <w:rPr>
                <w:b/>
                <w:w w:val="99"/>
                <w:sz w:val="20"/>
              </w:rPr>
              <w:t>1</w:t>
            </w:r>
          </w:p>
        </w:tc>
        <w:tc>
          <w:tcPr>
            <w:tcW w:w="449" w:type="dxa"/>
          </w:tcPr>
          <w:p>
            <w:pPr>
              <w:pStyle w:val="TableParagraph"/>
              <w:spacing w:before="35"/>
              <w:ind w:left="8"/>
              <w:jc w:val="center"/>
              <w:rPr>
                <w:b/>
                <w:sz w:val="20"/>
              </w:rPr>
            </w:pPr>
            <w:r>
              <w:rPr>
                <w:b/>
                <w:w w:val="99"/>
                <w:sz w:val="20"/>
              </w:rPr>
              <w:t>2</w:t>
            </w:r>
          </w:p>
        </w:tc>
        <w:tc>
          <w:tcPr>
            <w:tcW w:w="456" w:type="dxa"/>
          </w:tcPr>
          <w:p>
            <w:pPr>
              <w:pStyle w:val="TableParagraph"/>
              <w:spacing w:before="35"/>
              <w:ind w:left="10"/>
              <w:jc w:val="center"/>
              <w:rPr>
                <w:b/>
                <w:sz w:val="20"/>
              </w:rPr>
            </w:pPr>
            <w:r>
              <w:rPr>
                <w:b/>
                <w:w w:val="99"/>
                <w:sz w:val="20"/>
              </w:rPr>
              <w:t>3</w:t>
            </w:r>
          </w:p>
        </w:tc>
        <w:tc>
          <w:tcPr>
            <w:tcW w:w="485" w:type="dxa"/>
          </w:tcPr>
          <w:p>
            <w:pPr>
              <w:pStyle w:val="TableParagraph"/>
              <w:spacing w:before="35"/>
              <w:ind w:left="10"/>
              <w:jc w:val="center"/>
              <w:rPr>
                <w:b/>
                <w:sz w:val="20"/>
              </w:rPr>
            </w:pPr>
            <w:r>
              <w:rPr>
                <w:b/>
                <w:w w:val="99"/>
                <w:sz w:val="20"/>
              </w:rPr>
              <w:t>4</w:t>
            </w:r>
          </w:p>
        </w:tc>
        <w:tc>
          <w:tcPr>
            <w:tcW w:w="451" w:type="dxa"/>
          </w:tcPr>
          <w:p>
            <w:pPr>
              <w:pStyle w:val="TableParagraph"/>
              <w:spacing w:before="35"/>
              <w:ind w:left="170"/>
              <w:rPr>
                <w:b/>
                <w:sz w:val="20"/>
              </w:rPr>
            </w:pPr>
            <w:r>
              <w:rPr>
                <w:b/>
                <w:w w:val="99"/>
                <w:sz w:val="20"/>
              </w:rPr>
              <w:t>5</w:t>
            </w:r>
          </w:p>
        </w:tc>
        <w:tc>
          <w:tcPr>
            <w:tcW w:w="449" w:type="dxa"/>
          </w:tcPr>
          <w:p>
            <w:pPr>
              <w:pStyle w:val="TableParagraph"/>
              <w:spacing w:before="35"/>
              <w:ind w:left="12"/>
              <w:jc w:val="center"/>
              <w:rPr>
                <w:b/>
                <w:sz w:val="20"/>
              </w:rPr>
            </w:pPr>
            <w:r>
              <w:rPr>
                <w:b/>
                <w:w w:val="99"/>
                <w:sz w:val="20"/>
              </w:rPr>
              <w:t>6</w:t>
            </w:r>
          </w:p>
        </w:tc>
        <w:tc>
          <w:tcPr>
            <w:tcW w:w="487" w:type="dxa"/>
          </w:tcPr>
          <w:p>
            <w:pPr>
              <w:pStyle w:val="TableParagraph"/>
              <w:spacing w:before="35"/>
              <w:ind w:left="7"/>
              <w:jc w:val="center"/>
              <w:rPr>
                <w:b/>
                <w:sz w:val="20"/>
              </w:rPr>
            </w:pPr>
            <w:r>
              <w:rPr>
                <w:b/>
                <w:w w:val="99"/>
                <w:sz w:val="20"/>
              </w:rPr>
              <w:t>7</w:t>
            </w:r>
          </w:p>
        </w:tc>
        <w:tc>
          <w:tcPr>
            <w:tcW w:w="449" w:type="dxa"/>
          </w:tcPr>
          <w:p>
            <w:pPr>
              <w:pStyle w:val="TableParagraph"/>
              <w:spacing w:before="35"/>
              <w:ind w:left="7"/>
              <w:jc w:val="center"/>
              <w:rPr>
                <w:b/>
                <w:sz w:val="20"/>
              </w:rPr>
            </w:pPr>
            <w:r>
              <w:rPr>
                <w:b/>
                <w:w w:val="99"/>
                <w:sz w:val="20"/>
              </w:rPr>
              <w:t>8</w:t>
            </w:r>
          </w:p>
        </w:tc>
        <w:tc>
          <w:tcPr>
            <w:tcW w:w="447" w:type="dxa"/>
          </w:tcPr>
          <w:p>
            <w:pPr>
              <w:pStyle w:val="TableParagraph"/>
              <w:spacing w:before="35"/>
              <w:ind w:left="167"/>
              <w:rPr>
                <w:b/>
                <w:sz w:val="20"/>
              </w:rPr>
            </w:pPr>
            <w:r>
              <w:rPr>
                <w:b/>
                <w:w w:val="99"/>
                <w:sz w:val="20"/>
              </w:rPr>
              <w:t>9</w:t>
            </w:r>
          </w:p>
        </w:tc>
        <w:tc>
          <w:tcPr>
            <w:tcW w:w="536" w:type="dxa"/>
          </w:tcPr>
          <w:p>
            <w:pPr>
              <w:pStyle w:val="TableParagraph"/>
              <w:spacing w:before="35"/>
              <w:ind w:left="134" w:right="129"/>
              <w:jc w:val="center"/>
              <w:rPr>
                <w:b/>
                <w:sz w:val="20"/>
              </w:rPr>
            </w:pPr>
            <w:r>
              <w:rPr>
                <w:b/>
                <w:sz w:val="20"/>
              </w:rPr>
              <w:t>10</w:t>
            </w:r>
          </w:p>
        </w:tc>
        <w:tc>
          <w:tcPr>
            <w:tcW w:w="447" w:type="dxa"/>
          </w:tcPr>
          <w:p>
            <w:pPr>
              <w:pStyle w:val="TableParagraph"/>
              <w:spacing w:before="35"/>
              <w:ind w:right="105"/>
              <w:jc w:val="right"/>
              <w:rPr>
                <w:b/>
                <w:sz w:val="20"/>
              </w:rPr>
            </w:pPr>
            <w:r>
              <w:rPr>
                <w:b/>
                <w:w w:val="95"/>
                <w:sz w:val="20"/>
              </w:rPr>
              <w:t>11</w:t>
            </w:r>
          </w:p>
        </w:tc>
        <w:tc>
          <w:tcPr>
            <w:tcW w:w="447" w:type="dxa"/>
          </w:tcPr>
          <w:p>
            <w:pPr>
              <w:pStyle w:val="TableParagraph"/>
              <w:spacing w:before="35"/>
              <w:ind w:left="105"/>
              <w:rPr>
                <w:b/>
                <w:sz w:val="20"/>
              </w:rPr>
            </w:pPr>
            <w:r>
              <w:rPr>
                <w:b/>
                <w:sz w:val="20"/>
              </w:rPr>
              <w:t>12</w:t>
            </w:r>
          </w:p>
        </w:tc>
        <w:tc>
          <w:tcPr>
            <w:tcW w:w="449" w:type="dxa"/>
          </w:tcPr>
          <w:p>
            <w:pPr>
              <w:pStyle w:val="TableParagraph"/>
              <w:spacing w:before="35"/>
              <w:ind w:left="87" w:right="88"/>
              <w:jc w:val="center"/>
              <w:rPr>
                <w:b/>
                <w:sz w:val="20"/>
              </w:rPr>
            </w:pPr>
            <w:r>
              <w:rPr>
                <w:b/>
                <w:sz w:val="20"/>
              </w:rPr>
              <w:t>13</w:t>
            </w:r>
          </w:p>
        </w:tc>
        <w:tc>
          <w:tcPr>
            <w:tcW w:w="447" w:type="dxa"/>
          </w:tcPr>
          <w:p>
            <w:pPr>
              <w:pStyle w:val="TableParagraph"/>
              <w:spacing w:before="35"/>
              <w:ind w:left="107"/>
              <w:rPr>
                <w:b/>
                <w:sz w:val="20"/>
              </w:rPr>
            </w:pPr>
            <w:r>
              <w:rPr>
                <w:b/>
                <w:sz w:val="20"/>
              </w:rPr>
              <w:t>14</w:t>
            </w:r>
          </w:p>
        </w:tc>
        <w:tc>
          <w:tcPr>
            <w:tcW w:w="447" w:type="dxa"/>
          </w:tcPr>
          <w:p>
            <w:pPr>
              <w:pStyle w:val="TableParagraph"/>
              <w:spacing w:before="35"/>
              <w:ind w:left="87" w:right="87"/>
              <w:jc w:val="center"/>
              <w:rPr>
                <w:b/>
                <w:sz w:val="20"/>
              </w:rPr>
            </w:pPr>
            <w:r>
              <w:rPr>
                <w:b/>
                <w:sz w:val="20"/>
              </w:rPr>
              <w:t>15</w:t>
            </w:r>
          </w:p>
        </w:tc>
      </w:tr>
      <w:tr>
        <w:trPr>
          <w:trHeight w:val="311" w:hRule="atLeast"/>
        </w:trPr>
        <w:tc>
          <w:tcPr>
            <w:tcW w:w="1999" w:type="dxa"/>
            <w:tcBorders>
              <w:bottom w:val="double" w:sz="1" w:space="0" w:color="000000"/>
            </w:tcBorders>
          </w:tcPr>
          <w:p>
            <w:pPr>
              <w:pStyle w:val="TableParagraph"/>
              <w:spacing w:before="38"/>
              <w:ind w:left="587" w:right="580"/>
              <w:jc w:val="center"/>
              <w:rPr>
                <w:b/>
                <w:sz w:val="20"/>
              </w:rPr>
            </w:pPr>
            <w:r>
              <w:rPr>
                <w:b/>
                <w:sz w:val="20"/>
              </w:rPr>
              <w:t>Pin #</w:t>
            </w:r>
          </w:p>
        </w:tc>
        <w:tc>
          <w:tcPr>
            <w:tcW w:w="475" w:type="dxa"/>
            <w:tcBorders>
              <w:bottom w:val="double" w:sz="1" w:space="0" w:color="000000"/>
            </w:tcBorders>
          </w:tcPr>
          <w:p>
            <w:pPr>
              <w:pStyle w:val="TableParagraph"/>
              <w:spacing w:before="44"/>
              <w:ind w:left="119" w:right="104"/>
              <w:jc w:val="center"/>
              <w:rPr>
                <w:b/>
                <w:sz w:val="18"/>
              </w:rPr>
            </w:pPr>
            <w:r>
              <w:rPr>
                <w:b/>
                <w:sz w:val="18"/>
              </w:rPr>
              <w:t>45</w:t>
            </w:r>
          </w:p>
        </w:tc>
        <w:tc>
          <w:tcPr>
            <w:tcW w:w="444" w:type="dxa"/>
            <w:tcBorders>
              <w:bottom w:val="double" w:sz="1" w:space="0" w:color="000000"/>
            </w:tcBorders>
          </w:tcPr>
          <w:p>
            <w:pPr>
              <w:pStyle w:val="TableParagraph"/>
              <w:spacing w:before="44"/>
              <w:ind w:right="107"/>
              <w:jc w:val="right"/>
              <w:rPr>
                <w:b/>
                <w:sz w:val="18"/>
              </w:rPr>
            </w:pPr>
            <w:r>
              <w:rPr>
                <w:b/>
                <w:sz w:val="18"/>
              </w:rPr>
              <w:t>44</w:t>
            </w:r>
          </w:p>
        </w:tc>
        <w:tc>
          <w:tcPr>
            <w:tcW w:w="449" w:type="dxa"/>
            <w:tcBorders>
              <w:bottom w:val="double" w:sz="1" w:space="0" w:color="000000"/>
            </w:tcBorders>
          </w:tcPr>
          <w:p>
            <w:pPr>
              <w:pStyle w:val="TableParagraph"/>
              <w:spacing w:before="44"/>
              <w:ind w:left="87" w:right="79"/>
              <w:jc w:val="center"/>
              <w:rPr>
                <w:b/>
                <w:sz w:val="18"/>
              </w:rPr>
            </w:pPr>
            <w:r>
              <w:rPr>
                <w:b/>
                <w:sz w:val="18"/>
              </w:rPr>
              <w:t>43</w:t>
            </w:r>
          </w:p>
        </w:tc>
        <w:tc>
          <w:tcPr>
            <w:tcW w:w="456" w:type="dxa"/>
            <w:tcBorders>
              <w:bottom w:val="double" w:sz="1" w:space="0" w:color="000000"/>
            </w:tcBorders>
          </w:tcPr>
          <w:p>
            <w:pPr>
              <w:pStyle w:val="TableParagraph"/>
              <w:spacing w:before="44"/>
              <w:ind w:left="103" w:right="69"/>
              <w:jc w:val="center"/>
              <w:rPr>
                <w:b/>
                <w:sz w:val="18"/>
              </w:rPr>
            </w:pPr>
            <w:r>
              <w:rPr>
                <w:b/>
                <w:sz w:val="18"/>
              </w:rPr>
              <w:t>42</w:t>
            </w:r>
          </w:p>
        </w:tc>
        <w:tc>
          <w:tcPr>
            <w:tcW w:w="485" w:type="dxa"/>
            <w:tcBorders>
              <w:bottom w:val="double" w:sz="1" w:space="0" w:color="000000"/>
            </w:tcBorders>
          </w:tcPr>
          <w:p>
            <w:pPr>
              <w:pStyle w:val="TableParagraph"/>
              <w:spacing w:before="44"/>
              <w:ind w:left="119" w:right="109"/>
              <w:jc w:val="center"/>
              <w:rPr>
                <w:b/>
                <w:sz w:val="18"/>
              </w:rPr>
            </w:pPr>
            <w:r>
              <w:rPr>
                <w:b/>
                <w:sz w:val="18"/>
              </w:rPr>
              <w:t>41</w:t>
            </w:r>
          </w:p>
        </w:tc>
        <w:tc>
          <w:tcPr>
            <w:tcW w:w="451" w:type="dxa"/>
            <w:tcBorders>
              <w:bottom w:val="double" w:sz="1" w:space="0" w:color="000000"/>
            </w:tcBorders>
          </w:tcPr>
          <w:p>
            <w:pPr>
              <w:pStyle w:val="TableParagraph"/>
              <w:spacing w:before="44"/>
              <w:ind w:left="124"/>
              <w:rPr>
                <w:b/>
                <w:sz w:val="18"/>
              </w:rPr>
            </w:pPr>
            <w:r>
              <w:rPr>
                <w:b/>
                <w:sz w:val="18"/>
              </w:rPr>
              <w:t>39</w:t>
            </w:r>
          </w:p>
        </w:tc>
        <w:tc>
          <w:tcPr>
            <w:tcW w:w="449" w:type="dxa"/>
            <w:tcBorders>
              <w:bottom w:val="double" w:sz="1" w:space="0" w:color="000000"/>
            </w:tcBorders>
          </w:tcPr>
          <w:p>
            <w:pPr>
              <w:pStyle w:val="TableParagraph"/>
              <w:spacing w:before="44"/>
              <w:ind w:left="87" w:right="75"/>
              <w:jc w:val="center"/>
              <w:rPr>
                <w:b/>
                <w:sz w:val="18"/>
              </w:rPr>
            </w:pPr>
            <w:r>
              <w:rPr>
                <w:b/>
                <w:sz w:val="18"/>
              </w:rPr>
              <w:t>38</w:t>
            </w:r>
          </w:p>
        </w:tc>
        <w:tc>
          <w:tcPr>
            <w:tcW w:w="487" w:type="dxa"/>
            <w:tcBorders>
              <w:bottom w:val="double" w:sz="1" w:space="0" w:color="000000"/>
            </w:tcBorders>
          </w:tcPr>
          <w:p>
            <w:pPr>
              <w:pStyle w:val="TableParagraph"/>
              <w:spacing w:before="44"/>
              <w:ind w:left="124" w:right="112"/>
              <w:jc w:val="center"/>
              <w:rPr>
                <w:b/>
                <w:sz w:val="18"/>
              </w:rPr>
            </w:pPr>
            <w:r>
              <w:rPr>
                <w:b/>
                <w:sz w:val="18"/>
              </w:rPr>
              <w:t>37</w:t>
            </w:r>
          </w:p>
        </w:tc>
        <w:tc>
          <w:tcPr>
            <w:tcW w:w="449" w:type="dxa"/>
            <w:tcBorders>
              <w:bottom w:val="double" w:sz="1" w:space="0" w:color="000000"/>
            </w:tcBorders>
          </w:tcPr>
          <w:p>
            <w:pPr>
              <w:pStyle w:val="TableParagraph"/>
              <w:spacing w:before="44"/>
              <w:ind w:left="87" w:right="79"/>
              <w:jc w:val="center"/>
              <w:rPr>
                <w:b/>
                <w:sz w:val="18"/>
              </w:rPr>
            </w:pPr>
            <w:r>
              <w:rPr>
                <w:b/>
                <w:sz w:val="18"/>
              </w:rPr>
              <w:t>36</w:t>
            </w:r>
          </w:p>
        </w:tc>
        <w:tc>
          <w:tcPr>
            <w:tcW w:w="447" w:type="dxa"/>
            <w:tcBorders>
              <w:bottom w:val="double" w:sz="1" w:space="0" w:color="000000"/>
            </w:tcBorders>
          </w:tcPr>
          <w:p>
            <w:pPr>
              <w:pStyle w:val="TableParagraph"/>
              <w:spacing w:before="44"/>
              <w:ind w:left="120"/>
              <w:rPr>
                <w:b/>
                <w:sz w:val="18"/>
              </w:rPr>
            </w:pPr>
            <w:r>
              <w:rPr>
                <w:b/>
                <w:sz w:val="18"/>
              </w:rPr>
              <w:t>35</w:t>
            </w:r>
          </w:p>
        </w:tc>
        <w:tc>
          <w:tcPr>
            <w:tcW w:w="536" w:type="dxa"/>
            <w:tcBorders>
              <w:bottom w:val="double" w:sz="1" w:space="0" w:color="000000"/>
            </w:tcBorders>
          </w:tcPr>
          <w:p>
            <w:pPr>
              <w:pStyle w:val="TableParagraph"/>
              <w:spacing w:before="44"/>
              <w:ind w:left="134" w:right="124"/>
              <w:jc w:val="center"/>
              <w:rPr>
                <w:b/>
                <w:sz w:val="18"/>
              </w:rPr>
            </w:pPr>
            <w:r>
              <w:rPr>
                <w:b/>
                <w:sz w:val="18"/>
              </w:rPr>
              <w:t>34</w:t>
            </w:r>
          </w:p>
        </w:tc>
        <w:tc>
          <w:tcPr>
            <w:tcW w:w="447" w:type="dxa"/>
            <w:tcBorders>
              <w:bottom w:val="double" w:sz="1" w:space="0" w:color="000000"/>
            </w:tcBorders>
          </w:tcPr>
          <w:p>
            <w:pPr>
              <w:pStyle w:val="TableParagraph"/>
              <w:spacing w:before="44"/>
              <w:ind w:right="112"/>
              <w:jc w:val="right"/>
              <w:rPr>
                <w:b/>
                <w:sz w:val="18"/>
              </w:rPr>
            </w:pPr>
            <w:r>
              <w:rPr>
                <w:b/>
                <w:sz w:val="18"/>
              </w:rPr>
              <w:t>33</w:t>
            </w:r>
          </w:p>
        </w:tc>
        <w:tc>
          <w:tcPr>
            <w:tcW w:w="447" w:type="dxa"/>
            <w:tcBorders>
              <w:bottom w:val="double" w:sz="1" w:space="0" w:color="000000"/>
            </w:tcBorders>
          </w:tcPr>
          <w:p>
            <w:pPr>
              <w:pStyle w:val="TableParagraph"/>
              <w:spacing w:before="44"/>
              <w:ind w:left="120"/>
              <w:rPr>
                <w:b/>
                <w:sz w:val="18"/>
              </w:rPr>
            </w:pPr>
            <w:r>
              <w:rPr>
                <w:b/>
                <w:sz w:val="18"/>
              </w:rPr>
              <w:t>32</w:t>
            </w:r>
          </w:p>
        </w:tc>
        <w:tc>
          <w:tcPr>
            <w:tcW w:w="449" w:type="dxa"/>
            <w:tcBorders>
              <w:bottom w:val="double" w:sz="1" w:space="0" w:color="000000"/>
            </w:tcBorders>
          </w:tcPr>
          <w:p>
            <w:pPr>
              <w:pStyle w:val="TableParagraph"/>
              <w:spacing w:before="44"/>
              <w:ind w:left="87" w:right="85"/>
              <w:jc w:val="center"/>
              <w:rPr>
                <w:b/>
                <w:sz w:val="18"/>
              </w:rPr>
            </w:pPr>
            <w:r>
              <w:rPr>
                <w:b/>
                <w:sz w:val="18"/>
              </w:rPr>
              <w:t>31</w:t>
            </w:r>
          </w:p>
        </w:tc>
        <w:tc>
          <w:tcPr>
            <w:tcW w:w="447" w:type="dxa"/>
            <w:tcBorders>
              <w:bottom w:val="double" w:sz="1" w:space="0" w:color="000000"/>
            </w:tcBorders>
          </w:tcPr>
          <w:p>
            <w:pPr>
              <w:pStyle w:val="TableParagraph"/>
              <w:spacing w:before="44"/>
              <w:ind w:left="117"/>
              <w:rPr>
                <w:b/>
                <w:sz w:val="18"/>
              </w:rPr>
            </w:pPr>
            <w:r>
              <w:rPr>
                <w:b/>
                <w:sz w:val="18"/>
              </w:rPr>
              <w:t>30</w:t>
            </w:r>
          </w:p>
        </w:tc>
        <w:tc>
          <w:tcPr>
            <w:tcW w:w="447" w:type="dxa"/>
            <w:tcBorders>
              <w:bottom w:val="double" w:sz="1" w:space="0" w:color="000000"/>
            </w:tcBorders>
          </w:tcPr>
          <w:p>
            <w:pPr>
              <w:pStyle w:val="TableParagraph"/>
              <w:spacing w:before="44"/>
              <w:ind w:left="87" w:right="84"/>
              <w:jc w:val="center"/>
              <w:rPr>
                <w:b/>
                <w:sz w:val="18"/>
              </w:rPr>
            </w:pPr>
            <w:r>
              <w:rPr>
                <w:b/>
                <w:sz w:val="18"/>
              </w:rPr>
              <w:t>29</w:t>
            </w:r>
          </w:p>
        </w:tc>
      </w:tr>
      <w:tr>
        <w:trPr>
          <w:trHeight w:val="270" w:hRule="atLeast"/>
        </w:trPr>
        <w:tc>
          <w:tcPr>
            <w:tcW w:w="1999" w:type="dxa"/>
            <w:vMerge w:val="restart"/>
            <w:tcBorders>
              <w:top w:val="double" w:sz="1" w:space="0" w:color="000000"/>
            </w:tcBorders>
          </w:tcPr>
          <w:p>
            <w:pPr>
              <w:pStyle w:val="TableParagraph"/>
              <w:spacing w:before="44"/>
              <w:ind w:left="115"/>
              <w:rPr>
                <w:sz w:val="20"/>
              </w:rPr>
            </w:pPr>
            <w:r>
              <w:rPr>
                <w:sz w:val="20"/>
              </w:rPr>
              <w:t>Configuration:</w:t>
            </w:r>
          </w:p>
          <w:p>
            <w:pPr>
              <w:pStyle w:val="TableParagraph"/>
              <w:spacing w:before="1"/>
              <w:ind w:left="115"/>
              <w:rPr>
                <w:sz w:val="20"/>
              </w:rPr>
            </w:pPr>
            <w:r>
              <w:rPr>
                <w:sz w:val="20"/>
              </w:rPr>
              <w:t>0 = DIO, 1 = LCD</w:t>
            </w:r>
          </w:p>
        </w:tc>
        <w:tc>
          <w:tcPr>
            <w:tcW w:w="475" w:type="dxa"/>
            <w:tcBorders>
              <w:top w:val="double" w:sz="1" w:space="0" w:color="000000"/>
            </w:tcBorders>
          </w:tcPr>
          <w:p>
            <w:pPr>
              <w:pStyle w:val="TableParagraph"/>
              <w:spacing w:before="18"/>
              <w:ind w:left="10"/>
              <w:jc w:val="center"/>
              <w:rPr>
                <w:sz w:val="20"/>
              </w:rPr>
            </w:pPr>
            <w:r>
              <w:rPr>
                <w:w w:val="99"/>
                <w:sz w:val="20"/>
              </w:rPr>
              <w:t>0</w:t>
            </w:r>
          </w:p>
        </w:tc>
        <w:tc>
          <w:tcPr>
            <w:tcW w:w="444" w:type="dxa"/>
            <w:tcBorders>
              <w:top w:val="double" w:sz="1" w:space="0" w:color="000000"/>
            </w:tcBorders>
          </w:tcPr>
          <w:p>
            <w:pPr>
              <w:pStyle w:val="TableParagraph"/>
              <w:spacing w:before="18"/>
              <w:ind w:right="155"/>
              <w:jc w:val="right"/>
              <w:rPr>
                <w:sz w:val="20"/>
              </w:rPr>
            </w:pPr>
            <w:r>
              <w:rPr>
                <w:w w:val="99"/>
                <w:sz w:val="20"/>
              </w:rPr>
              <w:t>1</w:t>
            </w:r>
          </w:p>
        </w:tc>
        <w:tc>
          <w:tcPr>
            <w:tcW w:w="449" w:type="dxa"/>
            <w:tcBorders>
              <w:top w:val="double" w:sz="1" w:space="0" w:color="000000"/>
            </w:tcBorders>
          </w:tcPr>
          <w:p>
            <w:pPr>
              <w:pStyle w:val="TableParagraph"/>
              <w:spacing w:before="18"/>
              <w:ind w:left="8"/>
              <w:jc w:val="center"/>
              <w:rPr>
                <w:sz w:val="20"/>
              </w:rPr>
            </w:pPr>
            <w:r>
              <w:rPr>
                <w:w w:val="99"/>
                <w:sz w:val="20"/>
              </w:rPr>
              <w:t>2</w:t>
            </w:r>
          </w:p>
        </w:tc>
        <w:tc>
          <w:tcPr>
            <w:tcW w:w="456" w:type="dxa"/>
            <w:tcBorders>
              <w:top w:val="double" w:sz="1" w:space="0" w:color="000000"/>
            </w:tcBorders>
          </w:tcPr>
          <w:p>
            <w:pPr>
              <w:pStyle w:val="TableParagraph"/>
              <w:spacing w:before="18"/>
              <w:ind w:left="5"/>
              <w:jc w:val="center"/>
              <w:rPr>
                <w:sz w:val="20"/>
              </w:rPr>
            </w:pPr>
            <w:r>
              <w:rPr>
                <w:w w:val="99"/>
                <w:sz w:val="20"/>
              </w:rPr>
              <w:t>3</w:t>
            </w:r>
          </w:p>
        </w:tc>
        <w:tc>
          <w:tcPr>
            <w:tcW w:w="485" w:type="dxa"/>
            <w:tcBorders>
              <w:top w:val="double" w:sz="1" w:space="0" w:color="000000"/>
            </w:tcBorders>
          </w:tcPr>
          <w:p>
            <w:pPr>
              <w:pStyle w:val="TableParagraph"/>
              <w:spacing w:before="18"/>
              <w:ind w:left="5"/>
              <w:jc w:val="center"/>
              <w:rPr>
                <w:sz w:val="20"/>
              </w:rPr>
            </w:pPr>
            <w:r>
              <w:rPr>
                <w:w w:val="99"/>
                <w:sz w:val="20"/>
              </w:rPr>
              <w:t>4</w:t>
            </w:r>
          </w:p>
        </w:tc>
        <w:tc>
          <w:tcPr>
            <w:tcW w:w="451" w:type="dxa"/>
            <w:tcBorders>
              <w:top w:val="double" w:sz="1" w:space="0" w:color="000000"/>
            </w:tcBorders>
          </w:tcPr>
          <w:p>
            <w:pPr>
              <w:pStyle w:val="TableParagraph"/>
              <w:spacing w:before="18"/>
              <w:ind w:left="170"/>
              <w:rPr>
                <w:sz w:val="20"/>
              </w:rPr>
            </w:pPr>
            <w:r>
              <w:rPr>
                <w:w w:val="99"/>
                <w:sz w:val="20"/>
              </w:rPr>
              <w:t>5</w:t>
            </w:r>
          </w:p>
        </w:tc>
        <w:tc>
          <w:tcPr>
            <w:tcW w:w="449" w:type="dxa"/>
            <w:tcBorders>
              <w:top w:val="double" w:sz="1" w:space="0" w:color="000000"/>
            </w:tcBorders>
          </w:tcPr>
          <w:p>
            <w:pPr>
              <w:pStyle w:val="TableParagraph"/>
              <w:spacing w:before="18"/>
              <w:ind w:left="12"/>
              <w:jc w:val="center"/>
              <w:rPr>
                <w:sz w:val="20"/>
              </w:rPr>
            </w:pPr>
            <w:r>
              <w:rPr>
                <w:w w:val="99"/>
                <w:sz w:val="20"/>
              </w:rPr>
              <w:t>6</w:t>
            </w:r>
          </w:p>
        </w:tc>
        <w:tc>
          <w:tcPr>
            <w:tcW w:w="487" w:type="dxa"/>
            <w:tcBorders>
              <w:top w:val="double" w:sz="1" w:space="0" w:color="000000"/>
            </w:tcBorders>
          </w:tcPr>
          <w:p>
            <w:pPr>
              <w:pStyle w:val="TableParagraph"/>
              <w:spacing w:before="18"/>
              <w:ind w:left="7"/>
              <w:jc w:val="center"/>
              <w:rPr>
                <w:sz w:val="20"/>
              </w:rPr>
            </w:pPr>
            <w:r>
              <w:rPr>
                <w:w w:val="99"/>
                <w:sz w:val="20"/>
              </w:rPr>
              <w:t>7</w:t>
            </w:r>
          </w:p>
        </w:tc>
        <w:tc>
          <w:tcPr>
            <w:tcW w:w="449" w:type="dxa"/>
            <w:tcBorders>
              <w:top w:val="double" w:sz="1" w:space="0" w:color="000000"/>
            </w:tcBorders>
          </w:tcPr>
          <w:p>
            <w:pPr>
              <w:pStyle w:val="TableParagraph"/>
              <w:spacing w:before="18"/>
              <w:ind w:left="7"/>
              <w:jc w:val="center"/>
              <w:rPr>
                <w:sz w:val="20"/>
              </w:rPr>
            </w:pPr>
            <w:r>
              <w:rPr>
                <w:w w:val="99"/>
                <w:sz w:val="20"/>
              </w:rPr>
              <w:t>0</w:t>
            </w:r>
          </w:p>
        </w:tc>
        <w:tc>
          <w:tcPr>
            <w:tcW w:w="447" w:type="dxa"/>
            <w:tcBorders>
              <w:top w:val="double" w:sz="1" w:space="0" w:color="000000"/>
            </w:tcBorders>
          </w:tcPr>
          <w:p>
            <w:pPr>
              <w:pStyle w:val="TableParagraph"/>
              <w:spacing w:before="18"/>
              <w:ind w:left="165"/>
              <w:rPr>
                <w:sz w:val="20"/>
              </w:rPr>
            </w:pPr>
            <w:r>
              <w:rPr>
                <w:w w:val="99"/>
                <w:sz w:val="20"/>
              </w:rPr>
              <w:t>1</w:t>
            </w:r>
          </w:p>
        </w:tc>
        <w:tc>
          <w:tcPr>
            <w:tcW w:w="536" w:type="dxa"/>
            <w:tcBorders>
              <w:top w:val="double" w:sz="1" w:space="0" w:color="000000"/>
            </w:tcBorders>
          </w:tcPr>
          <w:p>
            <w:pPr>
              <w:pStyle w:val="TableParagraph"/>
              <w:spacing w:before="18"/>
              <w:ind w:left="5"/>
              <w:jc w:val="center"/>
              <w:rPr>
                <w:sz w:val="20"/>
              </w:rPr>
            </w:pPr>
            <w:r>
              <w:rPr>
                <w:w w:val="99"/>
                <w:sz w:val="20"/>
              </w:rPr>
              <w:t>2</w:t>
            </w:r>
          </w:p>
        </w:tc>
        <w:tc>
          <w:tcPr>
            <w:tcW w:w="447" w:type="dxa"/>
            <w:tcBorders>
              <w:top w:val="double" w:sz="1" w:space="0" w:color="000000"/>
            </w:tcBorders>
          </w:tcPr>
          <w:p>
            <w:pPr>
              <w:pStyle w:val="TableParagraph"/>
              <w:spacing w:before="18"/>
              <w:ind w:right="157"/>
              <w:jc w:val="right"/>
              <w:rPr>
                <w:sz w:val="20"/>
              </w:rPr>
            </w:pPr>
            <w:r>
              <w:rPr>
                <w:w w:val="99"/>
                <w:sz w:val="20"/>
              </w:rPr>
              <w:t>3</w:t>
            </w:r>
          </w:p>
        </w:tc>
        <w:tc>
          <w:tcPr>
            <w:tcW w:w="447" w:type="dxa"/>
            <w:tcBorders>
              <w:top w:val="double" w:sz="1" w:space="0" w:color="000000"/>
            </w:tcBorders>
          </w:tcPr>
          <w:p>
            <w:pPr>
              <w:pStyle w:val="TableParagraph"/>
              <w:spacing w:before="18"/>
              <w:ind w:left="165"/>
              <w:rPr>
                <w:sz w:val="20"/>
              </w:rPr>
            </w:pPr>
            <w:r>
              <w:rPr>
                <w:w w:val="99"/>
                <w:sz w:val="20"/>
              </w:rPr>
              <w:t>4</w:t>
            </w:r>
          </w:p>
        </w:tc>
        <w:tc>
          <w:tcPr>
            <w:tcW w:w="449" w:type="dxa"/>
            <w:tcBorders>
              <w:top w:val="double" w:sz="1" w:space="0" w:color="000000"/>
            </w:tcBorders>
          </w:tcPr>
          <w:p>
            <w:pPr>
              <w:pStyle w:val="TableParagraph"/>
              <w:spacing w:before="18"/>
              <w:ind w:left="2"/>
              <w:jc w:val="center"/>
              <w:rPr>
                <w:sz w:val="20"/>
              </w:rPr>
            </w:pPr>
            <w:r>
              <w:rPr>
                <w:w w:val="99"/>
                <w:sz w:val="20"/>
              </w:rPr>
              <w:t>5</w:t>
            </w:r>
          </w:p>
        </w:tc>
        <w:tc>
          <w:tcPr>
            <w:tcW w:w="447" w:type="dxa"/>
            <w:tcBorders>
              <w:top w:val="double" w:sz="1" w:space="0" w:color="000000"/>
            </w:tcBorders>
          </w:tcPr>
          <w:p>
            <w:pPr>
              <w:pStyle w:val="TableParagraph"/>
              <w:spacing w:before="18"/>
              <w:ind w:left="162"/>
              <w:rPr>
                <w:sz w:val="20"/>
              </w:rPr>
            </w:pPr>
            <w:r>
              <w:rPr>
                <w:w w:val="99"/>
                <w:sz w:val="20"/>
              </w:rPr>
              <w:t>6</w:t>
            </w:r>
          </w:p>
        </w:tc>
        <w:tc>
          <w:tcPr>
            <w:tcW w:w="447" w:type="dxa"/>
            <w:tcBorders>
              <w:top w:val="double" w:sz="1" w:space="0" w:color="000000"/>
            </w:tcBorders>
          </w:tcPr>
          <w:p>
            <w:pPr>
              <w:pStyle w:val="TableParagraph"/>
              <w:spacing w:before="18"/>
              <w:ind w:left="2"/>
              <w:jc w:val="center"/>
              <w:rPr>
                <w:sz w:val="20"/>
              </w:rPr>
            </w:pPr>
            <w:r>
              <w:rPr>
                <w:w w:val="99"/>
                <w:sz w:val="20"/>
              </w:rPr>
              <w:t>7</w:t>
            </w:r>
          </w:p>
        </w:tc>
      </w:tr>
      <w:tr>
        <w:trPr>
          <w:trHeight w:val="268" w:hRule="atLeast"/>
        </w:trPr>
        <w:tc>
          <w:tcPr>
            <w:tcW w:w="1999" w:type="dxa"/>
            <w:vMerge/>
            <w:tcBorders>
              <w:top w:val="nil"/>
            </w:tcBorders>
          </w:tcPr>
          <w:p>
            <w:pPr>
              <w:rPr>
                <w:sz w:val="2"/>
                <w:szCs w:val="2"/>
              </w:rPr>
            </w:pPr>
          </w:p>
        </w:tc>
        <w:tc>
          <w:tcPr>
            <w:tcW w:w="3696" w:type="dxa"/>
            <w:gridSpan w:val="8"/>
          </w:tcPr>
          <w:p>
            <w:pPr>
              <w:pStyle w:val="TableParagraph"/>
              <w:spacing w:before="14"/>
              <w:ind w:left="482"/>
              <w:rPr>
                <w:rFonts w:ascii="Times New Roman"/>
                <w:i/>
                <w:sz w:val="20"/>
              </w:rPr>
            </w:pPr>
            <w:r>
              <w:rPr>
                <w:rFonts w:ascii="Times New Roman"/>
                <w:b/>
                <w:i/>
                <w:sz w:val="20"/>
              </w:rPr>
              <w:t>LCD_MAP[7:0] </w:t>
            </w:r>
            <w:r>
              <w:rPr>
                <w:rFonts w:ascii="Times New Roman"/>
                <w:i/>
                <w:sz w:val="20"/>
              </w:rPr>
              <w:t>(I/O RAM 0x240B)</w:t>
            </w:r>
          </w:p>
        </w:tc>
        <w:tc>
          <w:tcPr>
            <w:tcW w:w="3669" w:type="dxa"/>
            <w:gridSpan w:val="8"/>
          </w:tcPr>
          <w:p>
            <w:pPr>
              <w:pStyle w:val="TableParagraph"/>
              <w:spacing w:before="14"/>
              <w:ind w:left="420"/>
              <w:rPr>
                <w:rFonts w:ascii="Times New Roman"/>
                <w:i/>
                <w:sz w:val="20"/>
              </w:rPr>
            </w:pPr>
            <w:r>
              <w:rPr>
                <w:rFonts w:ascii="Times New Roman"/>
                <w:b/>
                <w:i/>
                <w:sz w:val="20"/>
              </w:rPr>
              <w:t>LCD_MAP[15:8] </w:t>
            </w:r>
            <w:r>
              <w:rPr>
                <w:rFonts w:ascii="Times New Roman"/>
                <w:i/>
                <w:sz w:val="20"/>
              </w:rPr>
              <w:t>(I/O RAM 0x240A)</w:t>
            </w:r>
          </w:p>
        </w:tc>
      </w:tr>
      <w:tr>
        <w:trPr>
          <w:trHeight w:val="270" w:hRule="atLeast"/>
        </w:trPr>
        <w:tc>
          <w:tcPr>
            <w:tcW w:w="1999" w:type="dxa"/>
            <w:vMerge w:val="restart"/>
          </w:tcPr>
          <w:p>
            <w:pPr>
              <w:pStyle w:val="TableParagraph"/>
              <w:spacing w:before="160"/>
              <w:ind w:left="115"/>
              <w:rPr>
                <w:sz w:val="20"/>
              </w:rPr>
            </w:pPr>
            <w:r>
              <w:rPr>
                <w:sz w:val="20"/>
              </w:rPr>
              <w:t>SEG Data Register</w:t>
            </w:r>
          </w:p>
        </w:tc>
        <w:tc>
          <w:tcPr>
            <w:tcW w:w="475" w:type="dxa"/>
          </w:tcPr>
          <w:p>
            <w:pPr>
              <w:pStyle w:val="TableParagraph"/>
              <w:spacing w:before="21"/>
              <w:ind w:left="10"/>
              <w:jc w:val="center"/>
              <w:rPr>
                <w:sz w:val="20"/>
              </w:rPr>
            </w:pPr>
            <w:r>
              <w:rPr>
                <w:w w:val="99"/>
                <w:sz w:val="20"/>
              </w:rPr>
              <w:t>0</w:t>
            </w:r>
          </w:p>
        </w:tc>
        <w:tc>
          <w:tcPr>
            <w:tcW w:w="444" w:type="dxa"/>
          </w:tcPr>
          <w:p>
            <w:pPr>
              <w:pStyle w:val="TableParagraph"/>
              <w:spacing w:before="21"/>
              <w:ind w:right="155"/>
              <w:jc w:val="right"/>
              <w:rPr>
                <w:sz w:val="20"/>
              </w:rPr>
            </w:pPr>
            <w:r>
              <w:rPr>
                <w:w w:val="99"/>
                <w:sz w:val="20"/>
              </w:rPr>
              <w:t>1</w:t>
            </w:r>
          </w:p>
        </w:tc>
        <w:tc>
          <w:tcPr>
            <w:tcW w:w="449" w:type="dxa"/>
          </w:tcPr>
          <w:p>
            <w:pPr>
              <w:pStyle w:val="TableParagraph"/>
              <w:spacing w:before="21"/>
              <w:ind w:left="8"/>
              <w:jc w:val="center"/>
              <w:rPr>
                <w:sz w:val="20"/>
              </w:rPr>
            </w:pPr>
            <w:r>
              <w:rPr>
                <w:w w:val="99"/>
                <w:sz w:val="20"/>
              </w:rPr>
              <w:t>2</w:t>
            </w:r>
          </w:p>
        </w:tc>
        <w:tc>
          <w:tcPr>
            <w:tcW w:w="456" w:type="dxa"/>
          </w:tcPr>
          <w:p>
            <w:pPr>
              <w:pStyle w:val="TableParagraph"/>
              <w:spacing w:before="21"/>
              <w:ind w:left="5"/>
              <w:jc w:val="center"/>
              <w:rPr>
                <w:sz w:val="20"/>
              </w:rPr>
            </w:pPr>
            <w:r>
              <w:rPr>
                <w:w w:val="99"/>
                <w:sz w:val="20"/>
              </w:rPr>
              <w:t>3</w:t>
            </w:r>
          </w:p>
        </w:tc>
        <w:tc>
          <w:tcPr>
            <w:tcW w:w="485" w:type="dxa"/>
          </w:tcPr>
          <w:p>
            <w:pPr>
              <w:pStyle w:val="TableParagraph"/>
              <w:spacing w:before="21"/>
              <w:ind w:left="5"/>
              <w:jc w:val="center"/>
              <w:rPr>
                <w:sz w:val="20"/>
              </w:rPr>
            </w:pPr>
            <w:r>
              <w:rPr>
                <w:w w:val="99"/>
                <w:sz w:val="20"/>
              </w:rPr>
              <w:t>4</w:t>
            </w:r>
          </w:p>
        </w:tc>
        <w:tc>
          <w:tcPr>
            <w:tcW w:w="451" w:type="dxa"/>
          </w:tcPr>
          <w:p>
            <w:pPr>
              <w:pStyle w:val="TableParagraph"/>
              <w:spacing w:before="21"/>
              <w:ind w:left="170"/>
              <w:rPr>
                <w:sz w:val="20"/>
              </w:rPr>
            </w:pPr>
            <w:r>
              <w:rPr>
                <w:w w:val="99"/>
                <w:sz w:val="20"/>
              </w:rPr>
              <w:t>5</w:t>
            </w:r>
          </w:p>
        </w:tc>
        <w:tc>
          <w:tcPr>
            <w:tcW w:w="449" w:type="dxa"/>
          </w:tcPr>
          <w:p>
            <w:pPr>
              <w:pStyle w:val="TableParagraph"/>
              <w:spacing w:before="21"/>
              <w:ind w:left="12"/>
              <w:jc w:val="center"/>
              <w:rPr>
                <w:sz w:val="20"/>
              </w:rPr>
            </w:pPr>
            <w:r>
              <w:rPr>
                <w:w w:val="99"/>
                <w:sz w:val="20"/>
              </w:rPr>
              <w:t>6</w:t>
            </w:r>
          </w:p>
        </w:tc>
        <w:tc>
          <w:tcPr>
            <w:tcW w:w="487" w:type="dxa"/>
          </w:tcPr>
          <w:p>
            <w:pPr>
              <w:pStyle w:val="TableParagraph"/>
              <w:spacing w:before="21"/>
              <w:ind w:left="7"/>
              <w:jc w:val="center"/>
              <w:rPr>
                <w:sz w:val="20"/>
              </w:rPr>
            </w:pPr>
            <w:r>
              <w:rPr>
                <w:w w:val="99"/>
                <w:sz w:val="20"/>
              </w:rPr>
              <w:t>7</w:t>
            </w:r>
          </w:p>
        </w:tc>
        <w:tc>
          <w:tcPr>
            <w:tcW w:w="449" w:type="dxa"/>
          </w:tcPr>
          <w:p>
            <w:pPr>
              <w:pStyle w:val="TableParagraph"/>
              <w:spacing w:before="21"/>
              <w:ind w:left="7"/>
              <w:jc w:val="center"/>
              <w:rPr>
                <w:sz w:val="20"/>
              </w:rPr>
            </w:pPr>
            <w:r>
              <w:rPr>
                <w:w w:val="99"/>
                <w:sz w:val="20"/>
              </w:rPr>
              <w:t>8</w:t>
            </w:r>
          </w:p>
        </w:tc>
        <w:tc>
          <w:tcPr>
            <w:tcW w:w="447" w:type="dxa"/>
          </w:tcPr>
          <w:p>
            <w:pPr>
              <w:pStyle w:val="TableParagraph"/>
              <w:spacing w:before="21"/>
              <w:ind w:left="165"/>
              <w:rPr>
                <w:sz w:val="20"/>
              </w:rPr>
            </w:pPr>
            <w:r>
              <w:rPr>
                <w:w w:val="99"/>
                <w:sz w:val="20"/>
              </w:rPr>
              <w:t>9</w:t>
            </w:r>
          </w:p>
        </w:tc>
        <w:tc>
          <w:tcPr>
            <w:tcW w:w="536" w:type="dxa"/>
          </w:tcPr>
          <w:p>
            <w:pPr>
              <w:pStyle w:val="TableParagraph"/>
              <w:spacing w:before="30"/>
              <w:ind w:left="134" w:right="124"/>
              <w:jc w:val="center"/>
              <w:rPr>
                <w:sz w:val="18"/>
              </w:rPr>
            </w:pPr>
            <w:r>
              <w:rPr>
                <w:sz w:val="18"/>
              </w:rPr>
              <w:t>10</w:t>
            </w:r>
          </w:p>
        </w:tc>
        <w:tc>
          <w:tcPr>
            <w:tcW w:w="447" w:type="dxa"/>
          </w:tcPr>
          <w:p>
            <w:pPr>
              <w:pStyle w:val="TableParagraph"/>
              <w:spacing w:before="30"/>
              <w:ind w:right="112"/>
              <w:jc w:val="right"/>
              <w:rPr>
                <w:sz w:val="18"/>
              </w:rPr>
            </w:pPr>
            <w:r>
              <w:rPr>
                <w:sz w:val="18"/>
              </w:rPr>
              <w:t>11</w:t>
            </w:r>
          </w:p>
        </w:tc>
        <w:tc>
          <w:tcPr>
            <w:tcW w:w="447" w:type="dxa"/>
          </w:tcPr>
          <w:p>
            <w:pPr>
              <w:pStyle w:val="TableParagraph"/>
              <w:spacing w:before="30"/>
              <w:ind w:left="120"/>
              <w:rPr>
                <w:sz w:val="18"/>
              </w:rPr>
            </w:pPr>
            <w:r>
              <w:rPr>
                <w:sz w:val="18"/>
              </w:rPr>
              <w:t>12</w:t>
            </w:r>
          </w:p>
        </w:tc>
        <w:tc>
          <w:tcPr>
            <w:tcW w:w="449" w:type="dxa"/>
          </w:tcPr>
          <w:p>
            <w:pPr>
              <w:pStyle w:val="TableParagraph"/>
              <w:spacing w:before="30"/>
              <w:ind w:left="87" w:right="86"/>
              <w:jc w:val="center"/>
              <w:rPr>
                <w:sz w:val="18"/>
              </w:rPr>
            </w:pPr>
            <w:r>
              <w:rPr>
                <w:sz w:val="18"/>
              </w:rPr>
              <w:t>13</w:t>
            </w:r>
          </w:p>
        </w:tc>
        <w:tc>
          <w:tcPr>
            <w:tcW w:w="447" w:type="dxa"/>
          </w:tcPr>
          <w:p>
            <w:pPr>
              <w:pStyle w:val="TableParagraph"/>
              <w:spacing w:before="30"/>
              <w:ind w:left="116"/>
              <w:rPr>
                <w:sz w:val="18"/>
              </w:rPr>
            </w:pPr>
            <w:r>
              <w:rPr>
                <w:sz w:val="18"/>
              </w:rPr>
              <w:t>14</w:t>
            </w:r>
          </w:p>
        </w:tc>
        <w:tc>
          <w:tcPr>
            <w:tcW w:w="447" w:type="dxa"/>
          </w:tcPr>
          <w:p>
            <w:pPr>
              <w:pStyle w:val="TableParagraph"/>
              <w:spacing w:before="30"/>
              <w:ind w:left="87" w:right="85"/>
              <w:jc w:val="center"/>
              <w:rPr>
                <w:sz w:val="18"/>
              </w:rPr>
            </w:pPr>
            <w:r>
              <w:rPr>
                <w:sz w:val="18"/>
              </w:rPr>
              <w:t>15</w:t>
            </w:r>
          </w:p>
        </w:tc>
      </w:tr>
      <w:tr>
        <w:trPr>
          <w:trHeight w:val="270" w:hRule="atLeast"/>
        </w:trPr>
        <w:tc>
          <w:tcPr>
            <w:tcW w:w="1999" w:type="dxa"/>
            <w:vMerge/>
            <w:tcBorders>
              <w:top w:val="nil"/>
            </w:tcBorders>
          </w:tcPr>
          <w:p>
            <w:pPr>
              <w:rPr>
                <w:sz w:val="2"/>
                <w:szCs w:val="2"/>
              </w:rPr>
            </w:pPr>
          </w:p>
        </w:tc>
        <w:tc>
          <w:tcPr>
            <w:tcW w:w="7365" w:type="dxa"/>
            <w:gridSpan w:val="16"/>
          </w:tcPr>
          <w:p>
            <w:pPr>
              <w:pStyle w:val="TableParagraph"/>
              <w:spacing w:before="14"/>
              <w:ind w:left="501"/>
              <w:rPr>
                <w:rFonts w:ascii="Times New Roman"/>
                <w:i/>
                <w:sz w:val="20"/>
              </w:rPr>
            </w:pPr>
            <w:r>
              <w:rPr>
                <w:rFonts w:ascii="Times New Roman"/>
                <w:b/>
                <w:i/>
                <w:sz w:val="20"/>
              </w:rPr>
              <w:t>LCD_SEG0[5:0] </w:t>
            </w:r>
            <w:r>
              <w:rPr>
                <w:sz w:val="20"/>
              </w:rPr>
              <w:t>to </w:t>
            </w:r>
            <w:r>
              <w:rPr>
                <w:rFonts w:ascii="Times New Roman"/>
                <w:b/>
                <w:i/>
                <w:sz w:val="20"/>
              </w:rPr>
              <w:t>LCD_SEG15[5:0] </w:t>
            </w:r>
            <w:r>
              <w:rPr>
                <w:rFonts w:ascii="Times New Roman"/>
                <w:i/>
                <w:sz w:val="20"/>
              </w:rPr>
              <w:t>(I/O RAM 0x2410[5:0] </w:t>
            </w:r>
            <w:r>
              <w:rPr>
                <w:sz w:val="20"/>
              </w:rPr>
              <w:t>to </w:t>
            </w:r>
            <w:r>
              <w:rPr>
                <w:rFonts w:ascii="Times New Roman"/>
                <w:i/>
                <w:sz w:val="20"/>
              </w:rPr>
              <w:t>0x241F[5:0]</w:t>
            </w:r>
          </w:p>
        </w:tc>
      </w:tr>
      <w:tr>
        <w:trPr>
          <w:trHeight w:val="270" w:hRule="atLeast"/>
        </w:trPr>
        <w:tc>
          <w:tcPr>
            <w:tcW w:w="1999" w:type="dxa"/>
            <w:vMerge w:val="restart"/>
          </w:tcPr>
          <w:p>
            <w:pPr>
              <w:pStyle w:val="TableParagraph"/>
              <w:spacing w:before="160"/>
              <w:ind w:left="115"/>
              <w:rPr>
                <w:sz w:val="20"/>
              </w:rPr>
            </w:pPr>
            <w:r>
              <w:rPr>
                <w:sz w:val="20"/>
              </w:rPr>
              <w:t>DIO Data Register</w:t>
            </w:r>
          </w:p>
        </w:tc>
        <w:tc>
          <w:tcPr>
            <w:tcW w:w="475" w:type="dxa"/>
          </w:tcPr>
          <w:p>
            <w:pPr>
              <w:pStyle w:val="TableParagraph"/>
              <w:spacing w:before="18"/>
              <w:ind w:left="10"/>
              <w:jc w:val="center"/>
              <w:rPr>
                <w:sz w:val="20"/>
              </w:rPr>
            </w:pPr>
            <w:r>
              <w:rPr>
                <w:w w:val="99"/>
                <w:sz w:val="20"/>
              </w:rPr>
              <w:t>0</w:t>
            </w:r>
          </w:p>
        </w:tc>
        <w:tc>
          <w:tcPr>
            <w:tcW w:w="444" w:type="dxa"/>
          </w:tcPr>
          <w:p>
            <w:pPr>
              <w:pStyle w:val="TableParagraph"/>
              <w:spacing w:before="18"/>
              <w:ind w:right="155"/>
              <w:jc w:val="right"/>
              <w:rPr>
                <w:sz w:val="20"/>
              </w:rPr>
            </w:pPr>
            <w:r>
              <w:rPr>
                <w:w w:val="99"/>
                <w:sz w:val="20"/>
              </w:rPr>
              <w:t>1</w:t>
            </w:r>
          </w:p>
        </w:tc>
        <w:tc>
          <w:tcPr>
            <w:tcW w:w="449" w:type="dxa"/>
          </w:tcPr>
          <w:p>
            <w:pPr>
              <w:pStyle w:val="TableParagraph"/>
              <w:spacing w:before="18"/>
              <w:ind w:left="8"/>
              <w:jc w:val="center"/>
              <w:rPr>
                <w:sz w:val="20"/>
              </w:rPr>
            </w:pPr>
            <w:r>
              <w:rPr>
                <w:w w:val="99"/>
                <w:sz w:val="20"/>
              </w:rPr>
              <w:t>2</w:t>
            </w:r>
          </w:p>
        </w:tc>
        <w:tc>
          <w:tcPr>
            <w:tcW w:w="456" w:type="dxa"/>
          </w:tcPr>
          <w:p>
            <w:pPr>
              <w:pStyle w:val="TableParagraph"/>
              <w:spacing w:before="18"/>
              <w:ind w:left="5"/>
              <w:jc w:val="center"/>
              <w:rPr>
                <w:sz w:val="20"/>
              </w:rPr>
            </w:pPr>
            <w:r>
              <w:rPr>
                <w:w w:val="99"/>
                <w:sz w:val="20"/>
              </w:rPr>
              <w:t>3</w:t>
            </w:r>
          </w:p>
        </w:tc>
        <w:tc>
          <w:tcPr>
            <w:tcW w:w="485" w:type="dxa"/>
          </w:tcPr>
          <w:p>
            <w:pPr>
              <w:pStyle w:val="TableParagraph"/>
              <w:spacing w:before="18"/>
              <w:ind w:left="5"/>
              <w:jc w:val="center"/>
              <w:rPr>
                <w:sz w:val="20"/>
              </w:rPr>
            </w:pPr>
            <w:r>
              <w:rPr>
                <w:w w:val="99"/>
                <w:sz w:val="20"/>
              </w:rPr>
              <w:t>0</w:t>
            </w:r>
          </w:p>
        </w:tc>
        <w:tc>
          <w:tcPr>
            <w:tcW w:w="451" w:type="dxa"/>
          </w:tcPr>
          <w:p>
            <w:pPr>
              <w:pStyle w:val="TableParagraph"/>
              <w:spacing w:before="18"/>
              <w:ind w:left="170"/>
              <w:rPr>
                <w:sz w:val="20"/>
              </w:rPr>
            </w:pPr>
            <w:r>
              <w:rPr>
                <w:w w:val="99"/>
                <w:sz w:val="20"/>
              </w:rPr>
              <w:t>1</w:t>
            </w:r>
          </w:p>
        </w:tc>
        <w:tc>
          <w:tcPr>
            <w:tcW w:w="449" w:type="dxa"/>
          </w:tcPr>
          <w:p>
            <w:pPr>
              <w:pStyle w:val="TableParagraph"/>
              <w:spacing w:before="18"/>
              <w:ind w:left="12"/>
              <w:jc w:val="center"/>
              <w:rPr>
                <w:sz w:val="20"/>
              </w:rPr>
            </w:pPr>
            <w:r>
              <w:rPr>
                <w:w w:val="99"/>
                <w:sz w:val="20"/>
              </w:rPr>
              <w:t>2</w:t>
            </w:r>
          </w:p>
        </w:tc>
        <w:tc>
          <w:tcPr>
            <w:tcW w:w="487" w:type="dxa"/>
          </w:tcPr>
          <w:p>
            <w:pPr>
              <w:pStyle w:val="TableParagraph"/>
              <w:spacing w:before="18"/>
              <w:ind w:left="7"/>
              <w:jc w:val="center"/>
              <w:rPr>
                <w:sz w:val="20"/>
              </w:rPr>
            </w:pPr>
            <w:r>
              <w:rPr>
                <w:w w:val="99"/>
                <w:sz w:val="20"/>
              </w:rPr>
              <w:t>3</w:t>
            </w:r>
          </w:p>
        </w:tc>
        <w:tc>
          <w:tcPr>
            <w:tcW w:w="449" w:type="dxa"/>
          </w:tcPr>
          <w:p>
            <w:pPr>
              <w:pStyle w:val="TableParagraph"/>
              <w:spacing w:before="18"/>
              <w:ind w:left="7"/>
              <w:jc w:val="center"/>
              <w:rPr>
                <w:sz w:val="20"/>
              </w:rPr>
            </w:pPr>
            <w:r>
              <w:rPr>
                <w:w w:val="99"/>
                <w:sz w:val="20"/>
              </w:rPr>
              <w:t>0</w:t>
            </w:r>
          </w:p>
        </w:tc>
        <w:tc>
          <w:tcPr>
            <w:tcW w:w="447" w:type="dxa"/>
          </w:tcPr>
          <w:p>
            <w:pPr>
              <w:pStyle w:val="TableParagraph"/>
              <w:spacing w:before="18"/>
              <w:ind w:left="165"/>
              <w:rPr>
                <w:sz w:val="20"/>
              </w:rPr>
            </w:pPr>
            <w:r>
              <w:rPr>
                <w:w w:val="99"/>
                <w:sz w:val="20"/>
              </w:rPr>
              <w:t>1</w:t>
            </w:r>
          </w:p>
        </w:tc>
        <w:tc>
          <w:tcPr>
            <w:tcW w:w="536" w:type="dxa"/>
          </w:tcPr>
          <w:p>
            <w:pPr>
              <w:pStyle w:val="TableParagraph"/>
              <w:spacing w:before="18"/>
              <w:ind w:left="5"/>
              <w:jc w:val="center"/>
              <w:rPr>
                <w:sz w:val="20"/>
              </w:rPr>
            </w:pPr>
            <w:r>
              <w:rPr>
                <w:w w:val="99"/>
                <w:sz w:val="20"/>
              </w:rPr>
              <w:t>2</w:t>
            </w:r>
          </w:p>
        </w:tc>
        <w:tc>
          <w:tcPr>
            <w:tcW w:w="447" w:type="dxa"/>
          </w:tcPr>
          <w:p>
            <w:pPr>
              <w:pStyle w:val="TableParagraph"/>
              <w:spacing w:before="18"/>
              <w:ind w:right="157"/>
              <w:jc w:val="right"/>
              <w:rPr>
                <w:sz w:val="20"/>
              </w:rPr>
            </w:pPr>
            <w:r>
              <w:rPr>
                <w:w w:val="99"/>
                <w:sz w:val="20"/>
              </w:rPr>
              <w:t>3</w:t>
            </w:r>
          </w:p>
        </w:tc>
        <w:tc>
          <w:tcPr>
            <w:tcW w:w="447" w:type="dxa"/>
          </w:tcPr>
          <w:p>
            <w:pPr>
              <w:pStyle w:val="TableParagraph"/>
              <w:spacing w:before="18"/>
              <w:ind w:left="165"/>
              <w:rPr>
                <w:sz w:val="20"/>
              </w:rPr>
            </w:pPr>
            <w:r>
              <w:rPr>
                <w:w w:val="99"/>
                <w:sz w:val="20"/>
              </w:rPr>
              <w:t>0</w:t>
            </w:r>
          </w:p>
        </w:tc>
        <w:tc>
          <w:tcPr>
            <w:tcW w:w="449" w:type="dxa"/>
          </w:tcPr>
          <w:p>
            <w:pPr>
              <w:pStyle w:val="TableParagraph"/>
              <w:spacing w:before="18"/>
              <w:ind w:left="2"/>
              <w:jc w:val="center"/>
              <w:rPr>
                <w:sz w:val="20"/>
              </w:rPr>
            </w:pPr>
            <w:r>
              <w:rPr>
                <w:w w:val="99"/>
                <w:sz w:val="20"/>
              </w:rPr>
              <w:t>1</w:t>
            </w:r>
          </w:p>
        </w:tc>
        <w:tc>
          <w:tcPr>
            <w:tcW w:w="447" w:type="dxa"/>
          </w:tcPr>
          <w:p>
            <w:pPr>
              <w:pStyle w:val="TableParagraph"/>
              <w:spacing w:before="18"/>
              <w:ind w:left="162"/>
              <w:rPr>
                <w:sz w:val="20"/>
              </w:rPr>
            </w:pPr>
            <w:r>
              <w:rPr>
                <w:w w:val="99"/>
                <w:sz w:val="20"/>
              </w:rPr>
              <w:t>2</w:t>
            </w:r>
          </w:p>
        </w:tc>
        <w:tc>
          <w:tcPr>
            <w:tcW w:w="447" w:type="dxa"/>
          </w:tcPr>
          <w:p>
            <w:pPr>
              <w:pStyle w:val="TableParagraph"/>
              <w:spacing w:before="18"/>
              <w:ind w:left="2"/>
              <w:jc w:val="center"/>
              <w:rPr>
                <w:sz w:val="20"/>
              </w:rPr>
            </w:pPr>
            <w:r>
              <w:rPr>
                <w:w w:val="99"/>
                <w:sz w:val="20"/>
              </w:rPr>
              <w:t>3</w:t>
            </w:r>
          </w:p>
        </w:tc>
      </w:tr>
      <w:tr>
        <w:trPr>
          <w:trHeight w:val="270" w:hRule="atLeast"/>
        </w:trPr>
        <w:tc>
          <w:tcPr>
            <w:tcW w:w="1999" w:type="dxa"/>
            <w:vMerge/>
            <w:tcBorders>
              <w:top w:val="nil"/>
            </w:tcBorders>
          </w:tcPr>
          <w:p>
            <w:pPr>
              <w:rPr>
                <w:sz w:val="2"/>
                <w:szCs w:val="2"/>
              </w:rPr>
            </w:pPr>
          </w:p>
        </w:tc>
        <w:tc>
          <w:tcPr>
            <w:tcW w:w="1824" w:type="dxa"/>
            <w:gridSpan w:val="4"/>
          </w:tcPr>
          <w:p>
            <w:pPr>
              <w:pStyle w:val="TableParagraph"/>
              <w:spacing w:before="14"/>
              <w:ind w:left="436"/>
              <w:rPr>
                <w:sz w:val="20"/>
              </w:rPr>
            </w:pPr>
            <w:r>
              <w:rPr>
                <w:rFonts w:ascii="Times New Roman"/>
                <w:b/>
                <w:i/>
                <w:sz w:val="20"/>
              </w:rPr>
              <w:t>P0 </w:t>
            </w:r>
            <w:r>
              <w:rPr>
                <w:sz w:val="20"/>
              </w:rPr>
              <w:t>(</w:t>
            </w:r>
            <w:r>
              <w:rPr>
                <w:rFonts w:ascii="Times New Roman"/>
                <w:i/>
                <w:sz w:val="20"/>
              </w:rPr>
              <w:t>SFR80</w:t>
            </w:r>
            <w:r>
              <w:rPr>
                <w:sz w:val="20"/>
              </w:rPr>
              <w:t>)</w:t>
            </w:r>
          </w:p>
        </w:tc>
        <w:tc>
          <w:tcPr>
            <w:tcW w:w="1872" w:type="dxa"/>
            <w:gridSpan w:val="4"/>
          </w:tcPr>
          <w:p>
            <w:pPr>
              <w:pStyle w:val="TableParagraph"/>
              <w:spacing w:before="14"/>
              <w:ind w:left="340"/>
              <w:rPr>
                <w:rFonts w:ascii="Times New Roman"/>
                <w:i/>
                <w:sz w:val="20"/>
              </w:rPr>
            </w:pPr>
            <w:r>
              <w:rPr>
                <w:rFonts w:ascii="Times New Roman"/>
                <w:b/>
                <w:i/>
                <w:sz w:val="20"/>
              </w:rPr>
              <w:t>P1 </w:t>
            </w:r>
            <w:r>
              <w:rPr>
                <w:rFonts w:ascii="Times New Roman"/>
                <w:i/>
                <w:sz w:val="20"/>
              </w:rPr>
              <w:t>(SFR 0x90)</w:t>
            </w:r>
          </w:p>
        </w:tc>
        <w:tc>
          <w:tcPr>
            <w:tcW w:w="1879" w:type="dxa"/>
            <w:gridSpan w:val="4"/>
          </w:tcPr>
          <w:p>
            <w:pPr>
              <w:pStyle w:val="TableParagraph"/>
              <w:spacing w:before="14"/>
              <w:ind w:left="333"/>
              <w:rPr>
                <w:sz w:val="20"/>
              </w:rPr>
            </w:pPr>
            <w:r>
              <w:rPr>
                <w:rFonts w:ascii="Times New Roman"/>
                <w:b/>
                <w:i/>
                <w:sz w:val="20"/>
              </w:rPr>
              <w:t>P2 </w:t>
            </w:r>
            <w:r>
              <w:rPr>
                <w:sz w:val="20"/>
              </w:rPr>
              <w:t>(</w:t>
            </w:r>
            <w:r>
              <w:rPr>
                <w:rFonts w:ascii="Times New Roman"/>
                <w:i/>
                <w:sz w:val="20"/>
              </w:rPr>
              <w:t>SFR 0xA0</w:t>
            </w:r>
            <w:r>
              <w:rPr>
                <w:sz w:val="20"/>
              </w:rPr>
              <w:t>)</w:t>
            </w:r>
          </w:p>
        </w:tc>
        <w:tc>
          <w:tcPr>
            <w:tcW w:w="1790" w:type="dxa"/>
            <w:gridSpan w:val="4"/>
          </w:tcPr>
          <w:p>
            <w:pPr>
              <w:pStyle w:val="TableParagraph"/>
              <w:spacing w:before="14"/>
              <w:ind w:left="285"/>
              <w:rPr>
                <w:sz w:val="20"/>
              </w:rPr>
            </w:pPr>
            <w:r>
              <w:rPr>
                <w:rFonts w:ascii="Times New Roman"/>
                <w:b/>
                <w:i/>
                <w:sz w:val="20"/>
              </w:rPr>
              <w:t>P3 </w:t>
            </w:r>
            <w:r>
              <w:rPr>
                <w:sz w:val="20"/>
              </w:rPr>
              <w:t>(</w:t>
            </w:r>
            <w:r>
              <w:rPr>
                <w:rFonts w:ascii="Times New Roman"/>
                <w:i/>
                <w:sz w:val="20"/>
              </w:rPr>
              <w:t>SFR 0xB0</w:t>
            </w:r>
            <w:r>
              <w:rPr>
                <w:sz w:val="20"/>
              </w:rPr>
              <w:t>)</w:t>
            </w:r>
          </w:p>
        </w:tc>
      </w:tr>
      <w:tr>
        <w:trPr>
          <w:trHeight w:val="268" w:hRule="atLeast"/>
        </w:trPr>
        <w:tc>
          <w:tcPr>
            <w:tcW w:w="1999" w:type="dxa"/>
            <w:vMerge w:val="restart"/>
          </w:tcPr>
          <w:p>
            <w:pPr>
              <w:pStyle w:val="TableParagraph"/>
              <w:spacing w:before="45"/>
              <w:ind w:left="115" w:right="137"/>
              <w:rPr>
                <w:sz w:val="20"/>
              </w:rPr>
            </w:pPr>
            <w:r>
              <w:rPr>
                <w:sz w:val="20"/>
              </w:rPr>
              <w:t>Direction Register: 0 = </w:t>
            </w:r>
            <w:r>
              <w:rPr>
                <w:spacing w:val="-4"/>
                <w:sz w:val="20"/>
              </w:rPr>
              <w:t>input, </w:t>
            </w:r>
            <w:r>
              <w:rPr>
                <w:sz w:val="20"/>
              </w:rPr>
              <w:t>1 = </w:t>
            </w:r>
            <w:r>
              <w:rPr>
                <w:spacing w:val="-7"/>
                <w:sz w:val="20"/>
              </w:rPr>
              <w:t>output</w:t>
            </w:r>
          </w:p>
        </w:tc>
        <w:tc>
          <w:tcPr>
            <w:tcW w:w="475" w:type="dxa"/>
          </w:tcPr>
          <w:p>
            <w:pPr>
              <w:pStyle w:val="TableParagraph"/>
              <w:spacing w:before="18"/>
              <w:ind w:left="10"/>
              <w:jc w:val="center"/>
              <w:rPr>
                <w:sz w:val="20"/>
              </w:rPr>
            </w:pPr>
            <w:r>
              <w:rPr>
                <w:w w:val="99"/>
                <w:sz w:val="20"/>
              </w:rPr>
              <w:t>4</w:t>
            </w:r>
          </w:p>
        </w:tc>
        <w:tc>
          <w:tcPr>
            <w:tcW w:w="444" w:type="dxa"/>
          </w:tcPr>
          <w:p>
            <w:pPr>
              <w:pStyle w:val="TableParagraph"/>
              <w:spacing w:before="18"/>
              <w:ind w:right="155"/>
              <w:jc w:val="right"/>
              <w:rPr>
                <w:sz w:val="20"/>
              </w:rPr>
            </w:pPr>
            <w:r>
              <w:rPr>
                <w:w w:val="99"/>
                <w:sz w:val="20"/>
              </w:rPr>
              <w:t>5</w:t>
            </w:r>
          </w:p>
        </w:tc>
        <w:tc>
          <w:tcPr>
            <w:tcW w:w="449" w:type="dxa"/>
          </w:tcPr>
          <w:p>
            <w:pPr>
              <w:pStyle w:val="TableParagraph"/>
              <w:spacing w:before="18"/>
              <w:ind w:left="8"/>
              <w:jc w:val="center"/>
              <w:rPr>
                <w:sz w:val="20"/>
              </w:rPr>
            </w:pPr>
            <w:r>
              <w:rPr>
                <w:w w:val="99"/>
                <w:sz w:val="20"/>
              </w:rPr>
              <w:t>6</w:t>
            </w:r>
          </w:p>
        </w:tc>
        <w:tc>
          <w:tcPr>
            <w:tcW w:w="456" w:type="dxa"/>
          </w:tcPr>
          <w:p>
            <w:pPr>
              <w:pStyle w:val="TableParagraph"/>
              <w:spacing w:before="18"/>
              <w:ind w:left="5"/>
              <w:jc w:val="center"/>
              <w:rPr>
                <w:sz w:val="20"/>
              </w:rPr>
            </w:pPr>
            <w:r>
              <w:rPr>
                <w:w w:val="99"/>
                <w:sz w:val="20"/>
              </w:rPr>
              <w:t>7</w:t>
            </w:r>
          </w:p>
        </w:tc>
        <w:tc>
          <w:tcPr>
            <w:tcW w:w="485" w:type="dxa"/>
          </w:tcPr>
          <w:p>
            <w:pPr>
              <w:pStyle w:val="TableParagraph"/>
              <w:spacing w:before="18"/>
              <w:ind w:left="5"/>
              <w:jc w:val="center"/>
              <w:rPr>
                <w:sz w:val="20"/>
              </w:rPr>
            </w:pPr>
            <w:r>
              <w:rPr>
                <w:w w:val="99"/>
                <w:sz w:val="20"/>
              </w:rPr>
              <w:t>4</w:t>
            </w:r>
          </w:p>
        </w:tc>
        <w:tc>
          <w:tcPr>
            <w:tcW w:w="451" w:type="dxa"/>
          </w:tcPr>
          <w:p>
            <w:pPr>
              <w:pStyle w:val="TableParagraph"/>
              <w:spacing w:before="18"/>
              <w:ind w:left="170"/>
              <w:rPr>
                <w:sz w:val="20"/>
              </w:rPr>
            </w:pPr>
            <w:r>
              <w:rPr>
                <w:w w:val="99"/>
                <w:sz w:val="20"/>
              </w:rPr>
              <w:t>5</w:t>
            </w:r>
          </w:p>
        </w:tc>
        <w:tc>
          <w:tcPr>
            <w:tcW w:w="449" w:type="dxa"/>
          </w:tcPr>
          <w:p>
            <w:pPr>
              <w:pStyle w:val="TableParagraph"/>
              <w:spacing w:before="18"/>
              <w:ind w:left="12"/>
              <w:jc w:val="center"/>
              <w:rPr>
                <w:sz w:val="20"/>
              </w:rPr>
            </w:pPr>
            <w:r>
              <w:rPr>
                <w:w w:val="99"/>
                <w:sz w:val="20"/>
              </w:rPr>
              <w:t>6</w:t>
            </w:r>
          </w:p>
        </w:tc>
        <w:tc>
          <w:tcPr>
            <w:tcW w:w="487" w:type="dxa"/>
          </w:tcPr>
          <w:p>
            <w:pPr>
              <w:pStyle w:val="TableParagraph"/>
              <w:spacing w:before="18"/>
              <w:ind w:left="7"/>
              <w:jc w:val="center"/>
              <w:rPr>
                <w:sz w:val="20"/>
              </w:rPr>
            </w:pPr>
            <w:r>
              <w:rPr>
                <w:w w:val="99"/>
                <w:sz w:val="20"/>
              </w:rPr>
              <w:t>7</w:t>
            </w:r>
          </w:p>
        </w:tc>
        <w:tc>
          <w:tcPr>
            <w:tcW w:w="449" w:type="dxa"/>
          </w:tcPr>
          <w:p>
            <w:pPr>
              <w:pStyle w:val="TableParagraph"/>
              <w:spacing w:before="18"/>
              <w:ind w:left="7"/>
              <w:jc w:val="center"/>
              <w:rPr>
                <w:sz w:val="20"/>
              </w:rPr>
            </w:pPr>
            <w:r>
              <w:rPr>
                <w:w w:val="99"/>
                <w:sz w:val="20"/>
              </w:rPr>
              <w:t>4</w:t>
            </w:r>
          </w:p>
        </w:tc>
        <w:tc>
          <w:tcPr>
            <w:tcW w:w="447" w:type="dxa"/>
          </w:tcPr>
          <w:p>
            <w:pPr>
              <w:pStyle w:val="TableParagraph"/>
              <w:spacing w:before="18"/>
              <w:ind w:left="165"/>
              <w:rPr>
                <w:sz w:val="20"/>
              </w:rPr>
            </w:pPr>
            <w:r>
              <w:rPr>
                <w:w w:val="99"/>
                <w:sz w:val="20"/>
              </w:rPr>
              <w:t>5</w:t>
            </w:r>
          </w:p>
        </w:tc>
        <w:tc>
          <w:tcPr>
            <w:tcW w:w="536" w:type="dxa"/>
          </w:tcPr>
          <w:p>
            <w:pPr>
              <w:pStyle w:val="TableParagraph"/>
              <w:spacing w:before="18"/>
              <w:ind w:left="5"/>
              <w:jc w:val="center"/>
              <w:rPr>
                <w:sz w:val="20"/>
              </w:rPr>
            </w:pPr>
            <w:r>
              <w:rPr>
                <w:w w:val="99"/>
                <w:sz w:val="20"/>
              </w:rPr>
              <w:t>6</w:t>
            </w:r>
          </w:p>
        </w:tc>
        <w:tc>
          <w:tcPr>
            <w:tcW w:w="447" w:type="dxa"/>
          </w:tcPr>
          <w:p>
            <w:pPr>
              <w:pStyle w:val="TableParagraph"/>
              <w:spacing w:before="18"/>
              <w:ind w:right="157"/>
              <w:jc w:val="right"/>
              <w:rPr>
                <w:sz w:val="20"/>
              </w:rPr>
            </w:pPr>
            <w:r>
              <w:rPr>
                <w:w w:val="99"/>
                <w:sz w:val="20"/>
              </w:rPr>
              <w:t>7</w:t>
            </w:r>
          </w:p>
        </w:tc>
        <w:tc>
          <w:tcPr>
            <w:tcW w:w="447" w:type="dxa"/>
          </w:tcPr>
          <w:p>
            <w:pPr>
              <w:pStyle w:val="TableParagraph"/>
              <w:spacing w:before="18"/>
              <w:ind w:left="165"/>
              <w:rPr>
                <w:sz w:val="20"/>
              </w:rPr>
            </w:pPr>
            <w:r>
              <w:rPr>
                <w:w w:val="99"/>
                <w:sz w:val="20"/>
              </w:rPr>
              <w:t>4</w:t>
            </w:r>
          </w:p>
        </w:tc>
        <w:tc>
          <w:tcPr>
            <w:tcW w:w="449" w:type="dxa"/>
          </w:tcPr>
          <w:p>
            <w:pPr>
              <w:pStyle w:val="TableParagraph"/>
              <w:spacing w:before="18"/>
              <w:ind w:left="2"/>
              <w:jc w:val="center"/>
              <w:rPr>
                <w:sz w:val="20"/>
              </w:rPr>
            </w:pPr>
            <w:r>
              <w:rPr>
                <w:w w:val="99"/>
                <w:sz w:val="20"/>
              </w:rPr>
              <w:t>5</w:t>
            </w:r>
          </w:p>
        </w:tc>
        <w:tc>
          <w:tcPr>
            <w:tcW w:w="447" w:type="dxa"/>
          </w:tcPr>
          <w:p>
            <w:pPr>
              <w:pStyle w:val="TableParagraph"/>
              <w:spacing w:before="18"/>
              <w:ind w:left="162"/>
              <w:rPr>
                <w:sz w:val="20"/>
              </w:rPr>
            </w:pPr>
            <w:r>
              <w:rPr>
                <w:w w:val="99"/>
                <w:sz w:val="20"/>
              </w:rPr>
              <w:t>6</w:t>
            </w:r>
          </w:p>
        </w:tc>
        <w:tc>
          <w:tcPr>
            <w:tcW w:w="447" w:type="dxa"/>
          </w:tcPr>
          <w:p>
            <w:pPr>
              <w:pStyle w:val="TableParagraph"/>
              <w:spacing w:before="18"/>
              <w:ind w:left="2"/>
              <w:jc w:val="center"/>
              <w:rPr>
                <w:sz w:val="20"/>
              </w:rPr>
            </w:pPr>
            <w:r>
              <w:rPr>
                <w:w w:val="99"/>
                <w:sz w:val="20"/>
              </w:rPr>
              <w:t>7</w:t>
            </w:r>
          </w:p>
        </w:tc>
      </w:tr>
      <w:tr>
        <w:trPr>
          <w:trHeight w:val="270" w:hRule="atLeast"/>
        </w:trPr>
        <w:tc>
          <w:tcPr>
            <w:tcW w:w="1999" w:type="dxa"/>
            <w:vMerge/>
            <w:tcBorders>
              <w:top w:val="nil"/>
            </w:tcBorders>
          </w:tcPr>
          <w:p>
            <w:pPr>
              <w:rPr>
                <w:sz w:val="2"/>
                <w:szCs w:val="2"/>
              </w:rPr>
            </w:pPr>
          </w:p>
        </w:tc>
        <w:tc>
          <w:tcPr>
            <w:tcW w:w="1824" w:type="dxa"/>
            <w:gridSpan w:val="4"/>
          </w:tcPr>
          <w:p>
            <w:pPr>
              <w:pStyle w:val="TableParagraph"/>
              <w:spacing w:before="16"/>
              <w:ind w:left="316"/>
              <w:rPr>
                <w:sz w:val="20"/>
              </w:rPr>
            </w:pPr>
            <w:r>
              <w:rPr>
                <w:rFonts w:ascii="Times New Roman"/>
                <w:b/>
                <w:i/>
                <w:sz w:val="20"/>
              </w:rPr>
              <w:t>P0 </w:t>
            </w:r>
            <w:r>
              <w:rPr>
                <w:sz w:val="20"/>
              </w:rPr>
              <w:t>(</w:t>
            </w:r>
            <w:r>
              <w:rPr>
                <w:rFonts w:ascii="Times New Roman"/>
                <w:i/>
                <w:sz w:val="20"/>
              </w:rPr>
              <w:t>SFR 0x80</w:t>
            </w:r>
            <w:r>
              <w:rPr>
                <w:sz w:val="20"/>
              </w:rPr>
              <w:t>)</w:t>
            </w:r>
          </w:p>
        </w:tc>
        <w:tc>
          <w:tcPr>
            <w:tcW w:w="1872" w:type="dxa"/>
            <w:gridSpan w:val="4"/>
          </w:tcPr>
          <w:p>
            <w:pPr>
              <w:pStyle w:val="TableParagraph"/>
              <w:spacing w:before="16"/>
              <w:ind w:left="340"/>
              <w:rPr>
                <w:sz w:val="20"/>
              </w:rPr>
            </w:pPr>
            <w:r>
              <w:rPr>
                <w:rFonts w:ascii="Times New Roman"/>
                <w:b/>
                <w:i/>
                <w:sz w:val="20"/>
              </w:rPr>
              <w:t>P1 </w:t>
            </w:r>
            <w:r>
              <w:rPr>
                <w:b/>
                <w:sz w:val="20"/>
              </w:rPr>
              <w:t>(</w:t>
            </w:r>
            <w:r>
              <w:rPr>
                <w:rFonts w:ascii="Times New Roman"/>
                <w:i/>
                <w:sz w:val="20"/>
              </w:rPr>
              <w:t>SFR 0x90</w:t>
            </w:r>
            <w:r>
              <w:rPr>
                <w:sz w:val="20"/>
              </w:rPr>
              <w:t>)</w:t>
            </w:r>
          </w:p>
        </w:tc>
        <w:tc>
          <w:tcPr>
            <w:tcW w:w="1879" w:type="dxa"/>
            <w:gridSpan w:val="4"/>
          </w:tcPr>
          <w:p>
            <w:pPr>
              <w:pStyle w:val="TableParagraph"/>
              <w:spacing w:before="16"/>
              <w:ind w:left="333"/>
              <w:rPr>
                <w:sz w:val="20"/>
              </w:rPr>
            </w:pPr>
            <w:r>
              <w:rPr>
                <w:rFonts w:ascii="Times New Roman"/>
                <w:b/>
                <w:i/>
                <w:sz w:val="20"/>
              </w:rPr>
              <w:t>P2 </w:t>
            </w:r>
            <w:r>
              <w:rPr>
                <w:sz w:val="20"/>
              </w:rPr>
              <w:t>(</w:t>
            </w:r>
            <w:r>
              <w:rPr>
                <w:rFonts w:ascii="Times New Roman"/>
                <w:i/>
                <w:sz w:val="20"/>
              </w:rPr>
              <w:t>SFR 0xA0</w:t>
            </w:r>
            <w:r>
              <w:rPr>
                <w:sz w:val="20"/>
              </w:rPr>
              <w:t>)</w:t>
            </w:r>
          </w:p>
        </w:tc>
        <w:tc>
          <w:tcPr>
            <w:tcW w:w="1790" w:type="dxa"/>
            <w:gridSpan w:val="4"/>
          </w:tcPr>
          <w:p>
            <w:pPr>
              <w:pStyle w:val="TableParagraph"/>
              <w:spacing w:before="16"/>
              <w:ind w:left="285"/>
              <w:rPr>
                <w:sz w:val="20"/>
              </w:rPr>
            </w:pPr>
            <w:r>
              <w:rPr>
                <w:rFonts w:ascii="Times New Roman"/>
                <w:b/>
                <w:i/>
                <w:sz w:val="20"/>
              </w:rPr>
              <w:t>P3 </w:t>
            </w:r>
            <w:r>
              <w:rPr>
                <w:sz w:val="20"/>
              </w:rPr>
              <w:t>(</w:t>
            </w:r>
            <w:r>
              <w:rPr>
                <w:rFonts w:ascii="Times New Roman"/>
                <w:i/>
                <w:sz w:val="20"/>
              </w:rPr>
              <w:t>SFR 0xB0</w:t>
            </w:r>
            <w:r>
              <w:rPr>
                <w:sz w:val="20"/>
              </w:rPr>
              <w:t>)</w:t>
            </w:r>
          </w:p>
        </w:tc>
      </w:tr>
      <w:tr>
        <w:trPr>
          <w:trHeight w:val="750" w:hRule="atLeast"/>
        </w:trPr>
        <w:tc>
          <w:tcPr>
            <w:tcW w:w="1999" w:type="dxa"/>
          </w:tcPr>
          <w:p>
            <w:pPr>
              <w:pStyle w:val="TableParagraph"/>
              <w:spacing w:before="21"/>
              <w:ind w:left="115" w:right="175"/>
              <w:rPr>
                <w:sz w:val="20"/>
              </w:rPr>
            </w:pPr>
            <w:r>
              <w:rPr>
                <w:sz w:val="20"/>
              </w:rPr>
              <w:t>Internal Resources Configurable</w:t>
            </w:r>
          </w:p>
          <w:p>
            <w:pPr>
              <w:pStyle w:val="TableParagraph"/>
              <w:spacing w:before="20"/>
              <w:ind w:left="115"/>
              <w:rPr>
                <w:sz w:val="20"/>
              </w:rPr>
            </w:pPr>
            <w:r>
              <w:rPr>
                <w:sz w:val="20"/>
              </w:rPr>
              <w:t>(see </w:t>
            </w:r>
            <w:hyperlink w:history="true" w:anchor="_bookmark118">
              <w:r>
                <w:rPr>
                  <w:color w:val="0000FF"/>
                  <w:sz w:val="20"/>
                </w:rPr>
                <w:t>Table 46</w:t>
              </w:r>
            </w:hyperlink>
            <w:r>
              <w:rPr>
                <w:sz w:val="20"/>
              </w:rPr>
              <w:t>)</w:t>
            </w:r>
          </w:p>
        </w:tc>
        <w:tc>
          <w:tcPr>
            <w:tcW w:w="475" w:type="dxa"/>
          </w:tcPr>
          <w:p>
            <w:pPr>
              <w:pStyle w:val="TableParagraph"/>
              <w:spacing w:before="8"/>
              <w:rPr>
                <w:b/>
                <w:sz w:val="22"/>
              </w:rPr>
            </w:pPr>
          </w:p>
          <w:p>
            <w:pPr>
              <w:pStyle w:val="TableParagraph"/>
              <w:ind w:left="10"/>
              <w:jc w:val="center"/>
              <w:rPr>
                <w:sz w:val="20"/>
              </w:rPr>
            </w:pPr>
            <w:r>
              <w:rPr>
                <w:w w:val="99"/>
                <w:sz w:val="20"/>
              </w:rPr>
              <w:t>–</w:t>
            </w:r>
          </w:p>
        </w:tc>
        <w:tc>
          <w:tcPr>
            <w:tcW w:w="444" w:type="dxa"/>
          </w:tcPr>
          <w:p>
            <w:pPr>
              <w:pStyle w:val="TableParagraph"/>
              <w:spacing w:before="8"/>
              <w:rPr>
                <w:b/>
                <w:sz w:val="22"/>
              </w:rPr>
            </w:pPr>
          </w:p>
          <w:p>
            <w:pPr>
              <w:pStyle w:val="TableParagraph"/>
              <w:ind w:right="155"/>
              <w:jc w:val="right"/>
              <w:rPr>
                <w:sz w:val="20"/>
              </w:rPr>
            </w:pPr>
            <w:r>
              <w:rPr>
                <w:w w:val="99"/>
                <w:sz w:val="20"/>
              </w:rPr>
              <w:t>–</w:t>
            </w:r>
          </w:p>
        </w:tc>
        <w:tc>
          <w:tcPr>
            <w:tcW w:w="449" w:type="dxa"/>
          </w:tcPr>
          <w:p>
            <w:pPr>
              <w:pStyle w:val="TableParagraph"/>
              <w:spacing w:before="8"/>
              <w:rPr>
                <w:b/>
                <w:sz w:val="22"/>
              </w:rPr>
            </w:pPr>
          </w:p>
          <w:p>
            <w:pPr>
              <w:pStyle w:val="TableParagraph"/>
              <w:ind w:left="6"/>
              <w:jc w:val="center"/>
              <w:rPr>
                <w:sz w:val="20"/>
              </w:rPr>
            </w:pPr>
            <w:r>
              <w:rPr>
                <w:w w:val="99"/>
                <w:sz w:val="20"/>
              </w:rPr>
              <w:t>Y</w:t>
            </w:r>
          </w:p>
        </w:tc>
        <w:tc>
          <w:tcPr>
            <w:tcW w:w="456" w:type="dxa"/>
          </w:tcPr>
          <w:p>
            <w:pPr>
              <w:pStyle w:val="TableParagraph"/>
              <w:spacing w:before="8"/>
              <w:rPr>
                <w:b/>
                <w:sz w:val="22"/>
              </w:rPr>
            </w:pPr>
          </w:p>
          <w:p>
            <w:pPr>
              <w:pStyle w:val="TableParagraph"/>
              <w:ind w:left="3"/>
              <w:jc w:val="center"/>
              <w:rPr>
                <w:sz w:val="20"/>
              </w:rPr>
            </w:pPr>
            <w:r>
              <w:rPr>
                <w:w w:val="99"/>
                <w:sz w:val="20"/>
              </w:rPr>
              <w:t>Y</w:t>
            </w:r>
          </w:p>
        </w:tc>
        <w:tc>
          <w:tcPr>
            <w:tcW w:w="485" w:type="dxa"/>
          </w:tcPr>
          <w:p>
            <w:pPr>
              <w:pStyle w:val="TableParagraph"/>
              <w:spacing w:before="8"/>
              <w:rPr>
                <w:b/>
                <w:sz w:val="22"/>
              </w:rPr>
            </w:pPr>
          </w:p>
          <w:p>
            <w:pPr>
              <w:pStyle w:val="TableParagraph"/>
              <w:ind w:left="3"/>
              <w:jc w:val="center"/>
              <w:rPr>
                <w:sz w:val="20"/>
              </w:rPr>
            </w:pPr>
            <w:r>
              <w:rPr>
                <w:w w:val="99"/>
                <w:sz w:val="20"/>
              </w:rPr>
              <w:t>Y</w:t>
            </w:r>
          </w:p>
        </w:tc>
        <w:tc>
          <w:tcPr>
            <w:tcW w:w="451" w:type="dxa"/>
          </w:tcPr>
          <w:p>
            <w:pPr>
              <w:pStyle w:val="TableParagraph"/>
              <w:spacing w:before="8"/>
              <w:rPr>
                <w:b/>
                <w:sz w:val="22"/>
              </w:rPr>
            </w:pPr>
          </w:p>
          <w:p>
            <w:pPr>
              <w:pStyle w:val="TableParagraph"/>
              <w:ind w:left="158"/>
              <w:rPr>
                <w:sz w:val="20"/>
              </w:rPr>
            </w:pPr>
            <w:r>
              <w:rPr>
                <w:w w:val="99"/>
                <w:sz w:val="20"/>
              </w:rPr>
              <w:t>Y</w:t>
            </w:r>
          </w:p>
        </w:tc>
        <w:tc>
          <w:tcPr>
            <w:tcW w:w="449" w:type="dxa"/>
          </w:tcPr>
          <w:p>
            <w:pPr>
              <w:pStyle w:val="TableParagraph"/>
              <w:spacing w:before="8"/>
              <w:rPr>
                <w:b/>
                <w:sz w:val="22"/>
              </w:rPr>
            </w:pPr>
          </w:p>
          <w:p>
            <w:pPr>
              <w:pStyle w:val="TableParagraph"/>
              <w:ind w:left="11"/>
              <w:jc w:val="center"/>
              <w:rPr>
                <w:sz w:val="20"/>
              </w:rPr>
            </w:pPr>
            <w:r>
              <w:rPr>
                <w:w w:val="99"/>
                <w:sz w:val="20"/>
              </w:rPr>
              <w:t>Y</w:t>
            </w:r>
          </w:p>
        </w:tc>
        <w:tc>
          <w:tcPr>
            <w:tcW w:w="487" w:type="dxa"/>
          </w:tcPr>
          <w:p>
            <w:pPr>
              <w:pStyle w:val="TableParagraph"/>
              <w:spacing w:before="8"/>
              <w:rPr>
                <w:b/>
                <w:sz w:val="22"/>
              </w:rPr>
            </w:pPr>
          </w:p>
          <w:p>
            <w:pPr>
              <w:pStyle w:val="TableParagraph"/>
              <w:ind w:left="6"/>
              <w:jc w:val="center"/>
              <w:rPr>
                <w:sz w:val="20"/>
              </w:rPr>
            </w:pPr>
            <w:r>
              <w:rPr>
                <w:w w:val="99"/>
                <w:sz w:val="20"/>
              </w:rPr>
              <w:t>Y</w:t>
            </w:r>
          </w:p>
        </w:tc>
        <w:tc>
          <w:tcPr>
            <w:tcW w:w="449" w:type="dxa"/>
          </w:tcPr>
          <w:p>
            <w:pPr>
              <w:pStyle w:val="TableParagraph"/>
              <w:spacing w:before="8"/>
              <w:rPr>
                <w:b/>
                <w:sz w:val="22"/>
              </w:rPr>
            </w:pPr>
          </w:p>
          <w:p>
            <w:pPr>
              <w:pStyle w:val="TableParagraph"/>
              <w:ind w:left="6"/>
              <w:jc w:val="center"/>
              <w:rPr>
                <w:sz w:val="20"/>
              </w:rPr>
            </w:pPr>
            <w:r>
              <w:rPr>
                <w:w w:val="99"/>
                <w:sz w:val="20"/>
              </w:rPr>
              <w:t>Y</w:t>
            </w:r>
          </w:p>
        </w:tc>
        <w:tc>
          <w:tcPr>
            <w:tcW w:w="447" w:type="dxa"/>
          </w:tcPr>
          <w:p>
            <w:pPr>
              <w:pStyle w:val="TableParagraph"/>
              <w:spacing w:before="8"/>
              <w:rPr>
                <w:b/>
                <w:sz w:val="22"/>
              </w:rPr>
            </w:pPr>
          </w:p>
          <w:p>
            <w:pPr>
              <w:pStyle w:val="TableParagraph"/>
              <w:ind w:left="153"/>
              <w:rPr>
                <w:sz w:val="20"/>
              </w:rPr>
            </w:pPr>
            <w:r>
              <w:rPr>
                <w:w w:val="99"/>
                <w:sz w:val="20"/>
              </w:rPr>
              <w:t>Y</w:t>
            </w:r>
          </w:p>
        </w:tc>
        <w:tc>
          <w:tcPr>
            <w:tcW w:w="536" w:type="dxa"/>
          </w:tcPr>
          <w:p>
            <w:pPr>
              <w:pStyle w:val="TableParagraph"/>
              <w:spacing w:before="8"/>
              <w:rPr>
                <w:b/>
                <w:sz w:val="22"/>
              </w:rPr>
            </w:pPr>
          </w:p>
          <w:p>
            <w:pPr>
              <w:pStyle w:val="TableParagraph"/>
              <w:ind w:left="4"/>
              <w:jc w:val="center"/>
              <w:rPr>
                <w:sz w:val="20"/>
              </w:rPr>
            </w:pPr>
            <w:r>
              <w:rPr>
                <w:w w:val="99"/>
                <w:sz w:val="20"/>
              </w:rPr>
              <w:t>Y</w:t>
            </w:r>
          </w:p>
        </w:tc>
        <w:tc>
          <w:tcPr>
            <w:tcW w:w="447" w:type="dxa"/>
          </w:tcPr>
          <w:p>
            <w:pPr>
              <w:pStyle w:val="TableParagraph"/>
              <w:spacing w:before="8"/>
              <w:rPr>
                <w:b/>
                <w:sz w:val="22"/>
              </w:rPr>
            </w:pPr>
          </w:p>
          <w:p>
            <w:pPr>
              <w:pStyle w:val="TableParagraph"/>
              <w:ind w:right="147"/>
              <w:jc w:val="right"/>
              <w:rPr>
                <w:sz w:val="20"/>
              </w:rPr>
            </w:pPr>
            <w:r>
              <w:rPr>
                <w:w w:val="99"/>
                <w:sz w:val="20"/>
              </w:rPr>
              <w:t>Y</w:t>
            </w:r>
          </w:p>
        </w:tc>
        <w:tc>
          <w:tcPr>
            <w:tcW w:w="447" w:type="dxa"/>
          </w:tcPr>
          <w:p>
            <w:pPr>
              <w:pStyle w:val="TableParagraph"/>
              <w:spacing w:before="8"/>
              <w:rPr>
                <w:b/>
                <w:sz w:val="22"/>
              </w:rPr>
            </w:pPr>
          </w:p>
          <w:p>
            <w:pPr>
              <w:pStyle w:val="TableParagraph"/>
              <w:ind w:left="166"/>
              <w:rPr>
                <w:sz w:val="20"/>
              </w:rPr>
            </w:pPr>
            <w:r>
              <w:rPr>
                <w:w w:val="99"/>
                <w:sz w:val="20"/>
              </w:rPr>
              <w:t>–</w:t>
            </w:r>
          </w:p>
        </w:tc>
        <w:tc>
          <w:tcPr>
            <w:tcW w:w="449" w:type="dxa"/>
          </w:tcPr>
          <w:p>
            <w:pPr>
              <w:pStyle w:val="TableParagraph"/>
              <w:spacing w:before="8"/>
              <w:rPr>
                <w:b/>
                <w:sz w:val="22"/>
              </w:rPr>
            </w:pPr>
          </w:p>
          <w:p>
            <w:pPr>
              <w:pStyle w:val="TableParagraph"/>
              <w:ind w:left="3"/>
              <w:jc w:val="center"/>
              <w:rPr>
                <w:sz w:val="20"/>
              </w:rPr>
            </w:pPr>
            <w:r>
              <w:rPr>
                <w:w w:val="99"/>
                <w:sz w:val="20"/>
              </w:rPr>
              <w:t>–</w:t>
            </w:r>
          </w:p>
        </w:tc>
        <w:tc>
          <w:tcPr>
            <w:tcW w:w="447" w:type="dxa"/>
          </w:tcPr>
          <w:p>
            <w:pPr>
              <w:pStyle w:val="TableParagraph"/>
              <w:spacing w:before="8"/>
              <w:rPr>
                <w:b/>
                <w:sz w:val="22"/>
              </w:rPr>
            </w:pPr>
          </w:p>
          <w:p>
            <w:pPr>
              <w:pStyle w:val="TableParagraph"/>
              <w:ind w:left="163"/>
              <w:rPr>
                <w:sz w:val="20"/>
              </w:rPr>
            </w:pPr>
            <w:r>
              <w:rPr>
                <w:w w:val="99"/>
                <w:sz w:val="20"/>
              </w:rPr>
              <w:t>–</w:t>
            </w:r>
          </w:p>
        </w:tc>
        <w:tc>
          <w:tcPr>
            <w:tcW w:w="447" w:type="dxa"/>
          </w:tcPr>
          <w:p>
            <w:pPr>
              <w:pStyle w:val="TableParagraph"/>
              <w:spacing w:before="8"/>
              <w:rPr>
                <w:b/>
                <w:sz w:val="22"/>
              </w:rPr>
            </w:pPr>
          </w:p>
          <w:p>
            <w:pPr>
              <w:pStyle w:val="TableParagraph"/>
              <w:ind w:left="3"/>
              <w:jc w:val="center"/>
              <w:rPr>
                <w:sz w:val="20"/>
              </w:rPr>
            </w:pPr>
            <w:r>
              <w:rPr>
                <w:w w:val="99"/>
                <w:sz w:val="20"/>
              </w:rPr>
              <w:t>–</w:t>
            </w:r>
          </w:p>
        </w:tc>
      </w:tr>
    </w:tbl>
    <w:p>
      <w:pPr>
        <w:pStyle w:val="BodyText"/>
        <w:spacing w:before="9"/>
        <w:rPr>
          <w:b/>
          <w:sz w:val="19"/>
        </w:rPr>
      </w:pPr>
    </w:p>
    <w:p>
      <w:pPr>
        <w:pStyle w:val="BodyText"/>
        <w:ind w:left="240" w:right="582"/>
        <w:jc w:val="both"/>
      </w:pPr>
      <w:r>
        <w:rPr/>
        <w:t>The</w:t>
      </w:r>
      <w:r>
        <w:rPr>
          <w:spacing w:val="-4"/>
        </w:rPr>
        <w:t> </w:t>
      </w:r>
      <w:r>
        <w:rPr/>
        <w:t>configuration</w:t>
      </w:r>
      <w:r>
        <w:rPr>
          <w:spacing w:val="-4"/>
        </w:rPr>
        <w:t> </w:t>
      </w:r>
      <w:r>
        <w:rPr/>
        <w:t>for</w:t>
      </w:r>
      <w:r>
        <w:rPr>
          <w:spacing w:val="-3"/>
        </w:rPr>
        <w:t> </w:t>
      </w:r>
      <w:r>
        <w:rPr/>
        <w:t>pins</w:t>
      </w:r>
      <w:r>
        <w:rPr>
          <w:spacing w:val="-2"/>
        </w:rPr>
        <w:t> </w:t>
      </w:r>
      <w:r>
        <w:rPr/>
        <w:t>SEGDIO16</w:t>
      </w:r>
      <w:r>
        <w:rPr>
          <w:spacing w:val="-2"/>
        </w:rPr>
        <w:t> </w:t>
      </w:r>
      <w:r>
        <w:rPr/>
        <w:t>to</w:t>
      </w:r>
      <w:r>
        <w:rPr>
          <w:spacing w:val="-2"/>
        </w:rPr>
        <w:t> </w:t>
      </w:r>
      <w:r>
        <w:rPr/>
        <w:t>SEGDIO31</w:t>
      </w:r>
      <w:r>
        <w:rPr>
          <w:spacing w:val="-2"/>
        </w:rPr>
        <w:t> </w:t>
      </w:r>
      <w:r>
        <w:rPr/>
        <w:t>is</w:t>
      </w:r>
      <w:r>
        <w:rPr>
          <w:spacing w:val="-3"/>
        </w:rPr>
        <w:t> </w:t>
      </w:r>
      <w:r>
        <w:rPr/>
        <w:t>shown</w:t>
      </w:r>
      <w:r>
        <w:rPr>
          <w:spacing w:val="-2"/>
        </w:rPr>
        <w:t> </w:t>
      </w:r>
      <w:r>
        <w:rPr/>
        <w:t>in</w:t>
      </w:r>
      <w:r>
        <w:rPr>
          <w:spacing w:val="-4"/>
        </w:rPr>
        <w:t> </w:t>
      </w:r>
      <w:hyperlink w:history="true" w:anchor="_bookmark122">
        <w:r>
          <w:rPr>
            <w:color w:val="0000FF"/>
          </w:rPr>
          <w:t>Table</w:t>
        </w:r>
        <w:r>
          <w:rPr>
            <w:color w:val="0000FF"/>
            <w:spacing w:val="-4"/>
          </w:rPr>
          <w:t> </w:t>
        </w:r>
        <w:r>
          <w:rPr>
            <w:color w:val="0000FF"/>
          </w:rPr>
          <w:t>48</w:t>
        </w:r>
        <w:r>
          <w:rPr/>
          <w:t>,</w:t>
        </w:r>
        <w:r>
          <w:rPr>
            <w:spacing w:val="-4"/>
          </w:rPr>
          <w:t> </w:t>
        </w:r>
      </w:hyperlink>
      <w:r>
        <w:rPr/>
        <w:t>and</w:t>
      </w:r>
      <w:r>
        <w:rPr>
          <w:spacing w:val="-4"/>
        </w:rPr>
        <w:t> </w:t>
      </w:r>
      <w:r>
        <w:rPr/>
        <w:t>the</w:t>
      </w:r>
      <w:r>
        <w:rPr>
          <w:spacing w:val="-2"/>
        </w:rPr>
        <w:t> </w:t>
      </w:r>
      <w:r>
        <w:rPr/>
        <w:t>configuration</w:t>
      </w:r>
      <w:r>
        <w:rPr>
          <w:spacing w:val="-2"/>
        </w:rPr>
        <w:t> </w:t>
      </w:r>
      <w:r>
        <w:rPr/>
        <w:t>for</w:t>
      </w:r>
      <w:r>
        <w:rPr>
          <w:spacing w:val="-3"/>
        </w:rPr>
        <w:t> </w:t>
      </w:r>
      <w:r>
        <w:rPr/>
        <w:t>pins SEGDIO32 to SEGDIO45 is shown in </w:t>
      </w:r>
      <w:hyperlink w:history="true" w:anchor="_bookmark123">
        <w:r>
          <w:rPr>
            <w:color w:val="0000FF"/>
          </w:rPr>
          <w:t>Table 49</w:t>
        </w:r>
        <w:r>
          <w:rPr/>
          <w:t>.</w:t>
        </w:r>
      </w:hyperlink>
      <w:r>
        <w:rPr/>
        <w:t> The configuration for pins SEGDIO51 to SEGDIO55 is shown in </w:t>
      </w:r>
      <w:hyperlink w:history="true" w:anchor="_bookmark124">
        <w:r>
          <w:rPr/>
          <w:t>Table</w:t>
        </w:r>
        <w:r>
          <w:rPr>
            <w:spacing w:val="-2"/>
          </w:rPr>
          <w:t> </w:t>
        </w:r>
        <w:r>
          <w:rPr/>
          <w:t>50.</w:t>
        </w:r>
      </w:hyperlink>
    </w:p>
    <w:p>
      <w:pPr>
        <w:pStyle w:val="BodyText"/>
        <w:spacing w:before="9"/>
        <w:rPr>
          <w:sz w:val="19"/>
        </w:rPr>
      </w:pPr>
    </w:p>
    <w:p>
      <w:pPr>
        <w:pStyle w:val="Heading1"/>
        <w:ind w:right="204"/>
      </w:pPr>
      <w:bookmarkStart w:name="_bookmark122" w:id="251"/>
      <w:bookmarkEnd w:id="251"/>
      <w:r>
        <w:rPr>
          <w:b w:val="0"/>
        </w:rPr>
      </w:r>
      <w:r>
        <w:rPr/>
        <w:t>Table 48: Data/Direction Registers for SEGDIO16 to</w:t>
      </w:r>
      <w:r>
        <w:rPr>
          <w:spacing w:val="-28"/>
        </w:rPr>
        <w:t> </w:t>
      </w:r>
      <w:r>
        <w:rPr/>
        <w:t>SEGDIO31</w:t>
      </w:r>
    </w:p>
    <w:p>
      <w:pPr>
        <w:pStyle w:val="BodyText"/>
        <w:spacing w:before="7"/>
        <w:rPr>
          <w:b/>
          <w:sz w:val="5"/>
        </w:rPr>
      </w:pPr>
    </w:p>
    <w:tbl>
      <w:tblPr>
        <w:tblW w:w="0" w:type="auto"/>
        <w:jc w:val="left"/>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38"/>
        <w:gridCol w:w="509"/>
        <w:gridCol w:w="456"/>
        <w:gridCol w:w="454"/>
        <w:gridCol w:w="420"/>
        <w:gridCol w:w="490"/>
        <w:gridCol w:w="454"/>
        <w:gridCol w:w="456"/>
        <w:gridCol w:w="485"/>
        <w:gridCol w:w="423"/>
        <w:gridCol w:w="454"/>
        <w:gridCol w:w="454"/>
        <w:gridCol w:w="454"/>
        <w:gridCol w:w="456"/>
        <w:gridCol w:w="454"/>
        <w:gridCol w:w="454"/>
        <w:gridCol w:w="454"/>
      </w:tblGrid>
      <w:tr>
        <w:trPr>
          <w:trHeight w:val="287" w:hRule="atLeast"/>
        </w:trPr>
        <w:tc>
          <w:tcPr>
            <w:tcW w:w="2038" w:type="dxa"/>
          </w:tcPr>
          <w:p>
            <w:pPr>
              <w:pStyle w:val="TableParagraph"/>
              <w:spacing w:before="32"/>
              <w:ind w:left="107"/>
              <w:rPr>
                <w:b/>
                <w:sz w:val="18"/>
              </w:rPr>
            </w:pPr>
            <w:r>
              <w:rPr>
                <w:b/>
                <w:sz w:val="18"/>
              </w:rPr>
              <w:t>SEGDIO</w:t>
            </w:r>
          </w:p>
        </w:tc>
        <w:tc>
          <w:tcPr>
            <w:tcW w:w="509" w:type="dxa"/>
          </w:tcPr>
          <w:p>
            <w:pPr>
              <w:pStyle w:val="TableParagraph"/>
              <w:spacing w:before="32"/>
              <w:ind w:right="139"/>
              <w:jc w:val="right"/>
              <w:rPr>
                <w:b/>
                <w:sz w:val="18"/>
              </w:rPr>
            </w:pPr>
            <w:r>
              <w:rPr>
                <w:b/>
                <w:sz w:val="18"/>
              </w:rPr>
              <w:t>16</w:t>
            </w:r>
          </w:p>
        </w:tc>
        <w:tc>
          <w:tcPr>
            <w:tcW w:w="456" w:type="dxa"/>
          </w:tcPr>
          <w:p>
            <w:pPr>
              <w:pStyle w:val="TableParagraph"/>
              <w:spacing w:before="32"/>
              <w:ind w:right="115"/>
              <w:jc w:val="right"/>
              <w:rPr>
                <w:b/>
                <w:sz w:val="18"/>
              </w:rPr>
            </w:pPr>
            <w:r>
              <w:rPr>
                <w:b/>
                <w:sz w:val="18"/>
              </w:rPr>
              <w:t>17</w:t>
            </w:r>
          </w:p>
        </w:tc>
        <w:tc>
          <w:tcPr>
            <w:tcW w:w="454" w:type="dxa"/>
          </w:tcPr>
          <w:p>
            <w:pPr>
              <w:pStyle w:val="TableParagraph"/>
              <w:spacing w:before="32"/>
              <w:ind w:left="126"/>
              <w:rPr>
                <w:b/>
                <w:sz w:val="18"/>
              </w:rPr>
            </w:pPr>
            <w:r>
              <w:rPr>
                <w:b/>
                <w:sz w:val="18"/>
              </w:rPr>
              <w:t>18</w:t>
            </w:r>
          </w:p>
        </w:tc>
        <w:tc>
          <w:tcPr>
            <w:tcW w:w="420" w:type="dxa"/>
          </w:tcPr>
          <w:p>
            <w:pPr>
              <w:pStyle w:val="TableParagraph"/>
              <w:spacing w:before="32"/>
              <w:ind w:left="111"/>
              <w:rPr>
                <w:b/>
                <w:sz w:val="18"/>
              </w:rPr>
            </w:pPr>
            <w:r>
              <w:rPr>
                <w:b/>
                <w:sz w:val="18"/>
              </w:rPr>
              <w:t>19</w:t>
            </w:r>
          </w:p>
        </w:tc>
        <w:tc>
          <w:tcPr>
            <w:tcW w:w="490" w:type="dxa"/>
          </w:tcPr>
          <w:p>
            <w:pPr>
              <w:pStyle w:val="TableParagraph"/>
              <w:spacing w:before="32"/>
              <w:ind w:left="145"/>
              <w:rPr>
                <w:b/>
                <w:sz w:val="18"/>
              </w:rPr>
            </w:pPr>
            <w:r>
              <w:rPr>
                <w:b/>
                <w:sz w:val="18"/>
              </w:rPr>
              <w:t>20</w:t>
            </w:r>
          </w:p>
        </w:tc>
        <w:tc>
          <w:tcPr>
            <w:tcW w:w="454" w:type="dxa"/>
          </w:tcPr>
          <w:p>
            <w:pPr>
              <w:pStyle w:val="TableParagraph"/>
              <w:spacing w:before="32"/>
              <w:ind w:left="125"/>
              <w:rPr>
                <w:b/>
                <w:sz w:val="18"/>
              </w:rPr>
            </w:pPr>
            <w:r>
              <w:rPr>
                <w:b/>
                <w:sz w:val="18"/>
              </w:rPr>
              <w:t>21</w:t>
            </w:r>
          </w:p>
        </w:tc>
        <w:tc>
          <w:tcPr>
            <w:tcW w:w="456" w:type="dxa"/>
          </w:tcPr>
          <w:p>
            <w:pPr>
              <w:pStyle w:val="TableParagraph"/>
              <w:spacing w:before="32"/>
              <w:ind w:left="91" w:right="85"/>
              <w:jc w:val="center"/>
              <w:rPr>
                <w:b/>
                <w:sz w:val="18"/>
              </w:rPr>
            </w:pPr>
            <w:r>
              <w:rPr>
                <w:b/>
                <w:sz w:val="18"/>
              </w:rPr>
              <w:t>22</w:t>
            </w:r>
          </w:p>
        </w:tc>
        <w:tc>
          <w:tcPr>
            <w:tcW w:w="485" w:type="dxa"/>
          </w:tcPr>
          <w:p>
            <w:pPr>
              <w:pStyle w:val="TableParagraph"/>
              <w:spacing w:before="32"/>
              <w:ind w:left="118" w:right="112"/>
              <w:jc w:val="center"/>
              <w:rPr>
                <w:b/>
                <w:sz w:val="18"/>
              </w:rPr>
            </w:pPr>
            <w:r>
              <w:rPr>
                <w:b/>
                <w:sz w:val="18"/>
              </w:rPr>
              <w:t>23</w:t>
            </w:r>
          </w:p>
        </w:tc>
        <w:tc>
          <w:tcPr>
            <w:tcW w:w="423" w:type="dxa"/>
          </w:tcPr>
          <w:p>
            <w:pPr>
              <w:pStyle w:val="TableParagraph"/>
              <w:spacing w:before="32"/>
              <w:ind w:right="100"/>
              <w:jc w:val="right"/>
              <w:rPr>
                <w:b/>
                <w:sz w:val="18"/>
              </w:rPr>
            </w:pPr>
            <w:r>
              <w:rPr>
                <w:b/>
                <w:sz w:val="18"/>
              </w:rPr>
              <w:t>24</w:t>
            </w:r>
          </w:p>
        </w:tc>
        <w:tc>
          <w:tcPr>
            <w:tcW w:w="454" w:type="dxa"/>
          </w:tcPr>
          <w:p>
            <w:pPr>
              <w:pStyle w:val="TableParagraph"/>
              <w:spacing w:before="32"/>
              <w:ind w:left="101" w:right="94"/>
              <w:jc w:val="center"/>
              <w:rPr>
                <w:b/>
                <w:sz w:val="18"/>
              </w:rPr>
            </w:pPr>
            <w:r>
              <w:rPr>
                <w:b/>
                <w:sz w:val="18"/>
              </w:rPr>
              <w:t>25</w:t>
            </w:r>
          </w:p>
        </w:tc>
        <w:tc>
          <w:tcPr>
            <w:tcW w:w="454" w:type="dxa"/>
          </w:tcPr>
          <w:p>
            <w:pPr>
              <w:pStyle w:val="TableParagraph"/>
              <w:spacing w:before="32"/>
              <w:ind w:left="101" w:right="95"/>
              <w:jc w:val="center"/>
              <w:rPr>
                <w:b/>
                <w:sz w:val="18"/>
              </w:rPr>
            </w:pPr>
            <w:r>
              <w:rPr>
                <w:b/>
                <w:sz w:val="18"/>
              </w:rPr>
              <w:t>26</w:t>
            </w:r>
          </w:p>
        </w:tc>
        <w:tc>
          <w:tcPr>
            <w:tcW w:w="454" w:type="dxa"/>
          </w:tcPr>
          <w:p>
            <w:pPr>
              <w:pStyle w:val="TableParagraph"/>
              <w:spacing w:before="32"/>
              <w:ind w:left="124"/>
              <w:rPr>
                <w:b/>
                <w:sz w:val="18"/>
              </w:rPr>
            </w:pPr>
            <w:r>
              <w:rPr>
                <w:b/>
                <w:sz w:val="18"/>
              </w:rPr>
              <w:t>27</w:t>
            </w:r>
          </w:p>
        </w:tc>
        <w:tc>
          <w:tcPr>
            <w:tcW w:w="456" w:type="dxa"/>
          </w:tcPr>
          <w:p>
            <w:pPr>
              <w:pStyle w:val="TableParagraph"/>
              <w:spacing w:before="32"/>
              <w:ind w:left="87" w:right="85"/>
              <w:jc w:val="center"/>
              <w:rPr>
                <w:b/>
                <w:sz w:val="18"/>
              </w:rPr>
            </w:pPr>
            <w:r>
              <w:rPr>
                <w:b/>
                <w:sz w:val="18"/>
              </w:rPr>
              <w:t>28</w:t>
            </w:r>
          </w:p>
        </w:tc>
        <w:tc>
          <w:tcPr>
            <w:tcW w:w="454" w:type="dxa"/>
          </w:tcPr>
          <w:p>
            <w:pPr>
              <w:pStyle w:val="TableParagraph"/>
              <w:spacing w:before="32"/>
              <w:ind w:left="98" w:right="98"/>
              <w:jc w:val="center"/>
              <w:rPr>
                <w:b/>
                <w:sz w:val="18"/>
              </w:rPr>
            </w:pPr>
            <w:r>
              <w:rPr>
                <w:b/>
                <w:sz w:val="18"/>
              </w:rPr>
              <w:t>29</w:t>
            </w:r>
          </w:p>
        </w:tc>
        <w:tc>
          <w:tcPr>
            <w:tcW w:w="454" w:type="dxa"/>
          </w:tcPr>
          <w:p>
            <w:pPr>
              <w:pStyle w:val="TableParagraph"/>
              <w:spacing w:before="32"/>
              <w:ind w:left="123"/>
              <w:rPr>
                <w:b/>
                <w:sz w:val="18"/>
              </w:rPr>
            </w:pPr>
            <w:r>
              <w:rPr>
                <w:b/>
                <w:sz w:val="18"/>
              </w:rPr>
              <w:t>30</w:t>
            </w:r>
          </w:p>
        </w:tc>
        <w:tc>
          <w:tcPr>
            <w:tcW w:w="454" w:type="dxa"/>
          </w:tcPr>
          <w:p>
            <w:pPr>
              <w:pStyle w:val="TableParagraph"/>
              <w:spacing w:before="32"/>
              <w:ind w:left="101" w:right="98"/>
              <w:jc w:val="center"/>
              <w:rPr>
                <w:b/>
                <w:sz w:val="18"/>
              </w:rPr>
            </w:pPr>
            <w:r>
              <w:rPr>
                <w:b/>
                <w:sz w:val="18"/>
              </w:rPr>
              <w:t>31</w:t>
            </w:r>
          </w:p>
        </w:tc>
      </w:tr>
      <w:tr>
        <w:trPr>
          <w:trHeight w:val="287" w:hRule="atLeast"/>
        </w:trPr>
        <w:tc>
          <w:tcPr>
            <w:tcW w:w="2038" w:type="dxa"/>
            <w:tcBorders>
              <w:bottom w:val="double" w:sz="1" w:space="0" w:color="000000"/>
            </w:tcBorders>
          </w:tcPr>
          <w:p>
            <w:pPr>
              <w:pStyle w:val="TableParagraph"/>
              <w:spacing w:before="32"/>
              <w:ind w:left="107"/>
              <w:rPr>
                <w:b/>
                <w:sz w:val="18"/>
              </w:rPr>
            </w:pPr>
            <w:r>
              <w:rPr>
                <w:b/>
                <w:sz w:val="18"/>
              </w:rPr>
              <w:t>Pin #</w:t>
            </w:r>
          </w:p>
        </w:tc>
        <w:tc>
          <w:tcPr>
            <w:tcW w:w="509" w:type="dxa"/>
            <w:tcBorders>
              <w:bottom w:val="double" w:sz="1" w:space="0" w:color="000000"/>
            </w:tcBorders>
          </w:tcPr>
          <w:p>
            <w:pPr>
              <w:pStyle w:val="TableParagraph"/>
              <w:spacing w:before="32"/>
              <w:ind w:right="139"/>
              <w:jc w:val="right"/>
              <w:rPr>
                <w:b/>
                <w:sz w:val="18"/>
              </w:rPr>
            </w:pPr>
            <w:r>
              <w:rPr>
                <w:b/>
                <w:sz w:val="18"/>
              </w:rPr>
              <w:t>28</w:t>
            </w:r>
          </w:p>
        </w:tc>
        <w:tc>
          <w:tcPr>
            <w:tcW w:w="456" w:type="dxa"/>
            <w:tcBorders>
              <w:bottom w:val="double" w:sz="1" w:space="0" w:color="000000"/>
            </w:tcBorders>
          </w:tcPr>
          <w:p>
            <w:pPr>
              <w:pStyle w:val="TableParagraph"/>
              <w:spacing w:before="32"/>
              <w:ind w:right="115"/>
              <w:jc w:val="right"/>
              <w:rPr>
                <w:b/>
                <w:sz w:val="18"/>
              </w:rPr>
            </w:pPr>
            <w:r>
              <w:rPr>
                <w:b/>
                <w:sz w:val="18"/>
              </w:rPr>
              <w:t>27</w:t>
            </w:r>
          </w:p>
        </w:tc>
        <w:tc>
          <w:tcPr>
            <w:tcW w:w="454" w:type="dxa"/>
            <w:tcBorders>
              <w:bottom w:val="double" w:sz="1" w:space="0" w:color="000000"/>
            </w:tcBorders>
          </w:tcPr>
          <w:p>
            <w:pPr>
              <w:pStyle w:val="TableParagraph"/>
              <w:spacing w:before="32"/>
              <w:ind w:left="126"/>
              <w:rPr>
                <w:b/>
                <w:sz w:val="18"/>
              </w:rPr>
            </w:pPr>
            <w:r>
              <w:rPr>
                <w:b/>
                <w:sz w:val="18"/>
              </w:rPr>
              <w:t>25</w:t>
            </w:r>
          </w:p>
        </w:tc>
        <w:tc>
          <w:tcPr>
            <w:tcW w:w="420" w:type="dxa"/>
            <w:tcBorders>
              <w:bottom w:val="double" w:sz="1" w:space="0" w:color="000000"/>
            </w:tcBorders>
          </w:tcPr>
          <w:p>
            <w:pPr>
              <w:pStyle w:val="TableParagraph"/>
              <w:spacing w:before="32"/>
              <w:ind w:left="111"/>
              <w:rPr>
                <w:b/>
                <w:sz w:val="18"/>
              </w:rPr>
            </w:pPr>
            <w:r>
              <w:rPr>
                <w:b/>
                <w:sz w:val="18"/>
              </w:rPr>
              <w:t>24</w:t>
            </w:r>
          </w:p>
        </w:tc>
        <w:tc>
          <w:tcPr>
            <w:tcW w:w="490" w:type="dxa"/>
            <w:tcBorders>
              <w:bottom w:val="double" w:sz="1" w:space="0" w:color="000000"/>
            </w:tcBorders>
          </w:tcPr>
          <w:p>
            <w:pPr>
              <w:pStyle w:val="TableParagraph"/>
              <w:spacing w:before="32"/>
              <w:ind w:left="145"/>
              <w:rPr>
                <w:b/>
                <w:sz w:val="18"/>
              </w:rPr>
            </w:pPr>
            <w:r>
              <w:rPr>
                <w:b/>
                <w:sz w:val="18"/>
              </w:rPr>
              <w:t>23</w:t>
            </w:r>
          </w:p>
        </w:tc>
        <w:tc>
          <w:tcPr>
            <w:tcW w:w="454" w:type="dxa"/>
            <w:tcBorders>
              <w:bottom w:val="double" w:sz="1" w:space="0" w:color="000000"/>
            </w:tcBorders>
          </w:tcPr>
          <w:p>
            <w:pPr>
              <w:pStyle w:val="TableParagraph"/>
              <w:spacing w:before="32"/>
              <w:ind w:left="125"/>
              <w:rPr>
                <w:b/>
                <w:sz w:val="18"/>
              </w:rPr>
            </w:pPr>
            <w:r>
              <w:rPr>
                <w:b/>
                <w:sz w:val="18"/>
              </w:rPr>
              <w:t>22</w:t>
            </w:r>
          </w:p>
        </w:tc>
        <w:tc>
          <w:tcPr>
            <w:tcW w:w="456" w:type="dxa"/>
            <w:tcBorders>
              <w:bottom w:val="double" w:sz="1" w:space="0" w:color="000000"/>
            </w:tcBorders>
          </w:tcPr>
          <w:p>
            <w:pPr>
              <w:pStyle w:val="TableParagraph"/>
              <w:spacing w:before="32"/>
              <w:ind w:left="91" w:right="85"/>
              <w:jc w:val="center"/>
              <w:rPr>
                <w:b/>
                <w:sz w:val="18"/>
              </w:rPr>
            </w:pPr>
            <w:r>
              <w:rPr>
                <w:b/>
                <w:sz w:val="18"/>
              </w:rPr>
              <w:t>21</w:t>
            </w:r>
          </w:p>
        </w:tc>
        <w:tc>
          <w:tcPr>
            <w:tcW w:w="485" w:type="dxa"/>
            <w:tcBorders>
              <w:bottom w:val="double" w:sz="1" w:space="0" w:color="000000"/>
            </w:tcBorders>
          </w:tcPr>
          <w:p>
            <w:pPr>
              <w:pStyle w:val="TableParagraph"/>
              <w:spacing w:before="32"/>
              <w:ind w:left="118" w:right="112"/>
              <w:jc w:val="center"/>
              <w:rPr>
                <w:b/>
                <w:sz w:val="18"/>
              </w:rPr>
            </w:pPr>
            <w:r>
              <w:rPr>
                <w:b/>
                <w:sz w:val="18"/>
              </w:rPr>
              <w:t>20</w:t>
            </w:r>
          </w:p>
        </w:tc>
        <w:tc>
          <w:tcPr>
            <w:tcW w:w="423" w:type="dxa"/>
            <w:tcBorders>
              <w:bottom w:val="double" w:sz="1" w:space="0" w:color="000000"/>
            </w:tcBorders>
          </w:tcPr>
          <w:p>
            <w:pPr>
              <w:pStyle w:val="TableParagraph"/>
              <w:spacing w:before="32"/>
              <w:ind w:right="100"/>
              <w:jc w:val="right"/>
              <w:rPr>
                <w:b/>
                <w:sz w:val="18"/>
              </w:rPr>
            </w:pPr>
            <w:r>
              <w:rPr>
                <w:b/>
                <w:sz w:val="18"/>
              </w:rPr>
              <w:t>19</w:t>
            </w:r>
          </w:p>
        </w:tc>
        <w:tc>
          <w:tcPr>
            <w:tcW w:w="454" w:type="dxa"/>
            <w:tcBorders>
              <w:bottom w:val="double" w:sz="1" w:space="0" w:color="000000"/>
            </w:tcBorders>
          </w:tcPr>
          <w:p>
            <w:pPr>
              <w:pStyle w:val="TableParagraph"/>
              <w:spacing w:before="32"/>
              <w:ind w:left="101" w:right="94"/>
              <w:jc w:val="center"/>
              <w:rPr>
                <w:b/>
                <w:sz w:val="18"/>
              </w:rPr>
            </w:pPr>
            <w:r>
              <w:rPr>
                <w:b/>
                <w:sz w:val="18"/>
              </w:rPr>
              <w:t>18</w:t>
            </w:r>
          </w:p>
        </w:tc>
        <w:tc>
          <w:tcPr>
            <w:tcW w:w="454" w:type="dxa"/>
            <w:tcBorders>
              <w:bottom w:val="double" w:sz="1" w:space="0" w:color="000000"/>
            </w:tcBorders>
          </w:tcPr>
          <w:p>
            <w:pPr>
              <w:pStyle w:val="TableParagraph"/>
              <w:spacing w:before="32"/>
              <w:ind w:left="101" w:right="95"/>
              <w:jc w:val="center"/>
              <w:rPr>
                <w:b/>
                <w:sz w:val="18"/>
              </w:rPr>
            </w:pPr>
            <w:r>
              <w:rPr>
                <w:b/>
                <w:sz w:val="18"/>
              </w:rPr>
              <w:t>17</w:t>
            </w:r>
          </w:p>
        </w:tc>
        <w:tc>
          <w:tcPr>
            <w:tcW w:w="454" w:type="dxa"/>
            <w:tcBorders>
              <w:bottom w:val="double" w:sz="1" w:space="0" w:color="000000"/>
            </w:tcBorders>
          </w:tcPr>
          <w:p>
            <w:pPr>
              <w:pStyle w:val="TableParagraph"/>
              <w:spacing w:before="32"/>
              <w:ind w:left="124"/>
              <w:rPr>
                <w:b/>
                <w:sz w:val="18"/>
              </w:rPr>
            </w:pPr>
            <w:r>
              <w:rPr>
                <w:b/>
                <w:sz w:val="18"/>
              </w:rPr>
              <w:t>16</w:t>
            </w:r>
          </w:p>
        </w:tc>
        <w:tc>
          <w:tcPr>
            <w:tcW w:w="456" w:type="dxa"/>
            <w:tcBorders>
              <w:bottom w:val="double" w:sz="1" w:space="0" w:color="000000"/>
            </w:tcBorders>
          </w:tcPr>
          <w:p>
            <w:pPr>
              <w:pStyle w:val="TableParagraph"/>
              <w:spacing w:before="32"/>
              <w:ind w:left="87" w:right="85"/>
              <w:jc w:val="center"/>
              <w:rPr>
                <w:b/>
                <w:sz w:val="18"/>
              </w:rPr>
            </w:pPr>
            <w:r>
              <w:rPr>
                <w:b/>
                <w:sz w:val="18"/>
              </w:rPr>
              <w:t>11</w:t>
            </w:r>
          </w:p>
        </w:tc>
        <w:tc>
          <w:tcPr>
            <w:tcW w:w="454" w:type="dxa"/>
            <w:tcBorders>
              <w:bottom w:val="double" w:sz="1" w:space="0" w:color="000000"/>
            </w:tcBorders>
          </w:tcPr>
          <w:p>
            <w:pPr>
              <w:pStyle w:val="TableParagraph"/>
              <w:spacing w:before="32"/>
              <w:ind w:left="98" w:right="98"/>
              <w:jc w:val="center"/>
              <w:rPr>
                <w:b/>
                <w:sz w:val="18"/>
              </w:rPr>
            </w:pPr>
            <w:r>
              <w:rPr>
                <w:b/>
                <w:sz w:val="18"/>
              </w:rPr>
              <w:t>10</w:t>
            </w:r>
          </w:p>
        </w:tc>
        <w:tc>
          <w:tcPr>
            <w:tcW w:w="454" w:type="dxa"/>
            <w:tcBorders>
              <w:bottom w:val="double" w:sz="1" w:space="0" w:color="000000"/>
            </w:tcBorders>
          </w:tcPr>
          <w:p>
            <w:pPr>
              <w:pStyle w:val="TableParagraph"/>
              <w:spacing w:before="32"/>
              <w:ind w:left="171"/>
              <w:rPr>
                <w:b/>
                <w:sz w:val="18"/>
              </w:rPr>
            </w:pPr>
            <w:r>
              <w:rPr>
                <w:b/>
                <w:sz w:val="18"/>
              </w:rPr>
              <w:t>9</w:t>
            </w:r>
          </w:p>
        </w:tc>
        <w:tc>
          <w:tcPr>
            <w:tcW w:w="454" w:type="dxa"/>
            <w:tcBorders>
              <w:bottom w:val="double" w:sz="1" w:space="0" w:color="000000"/>
            </w:tcBorders>
          </w:tcPr>
          <w:p>
            <w:pPr>
              <w:pStyle w:val="TableParagraph"/>
              <w:spacing w:before="32"/>
              <w:jc w:val="center"/>
              <w:rPr>
                <w:b/>
                <w:sz w:val="18"/>
              </w:rPr>
            </w:pPr>
            <w:r>
              <w:rPr>
                <w:b/>
                <w:sz w:val="18"/>
              </w:rPr>
              <w:t>8</w:t>
            </w:r>
          </w:p>
        </w:tc>
      </w:tr>
      <w:tr>
        <w:trPr>
          <w:trHeight w:val="246" w:hRule="atLeast"/>
        </w:trPr>
        <w:tc>
          <w:tcPr>
            <w:tcW w:w="2038" w:type="dxa"/>
            <w:vMerge w:val="restart"/>
            <w:tcBorders>
              <w:top w:val="double" w:sz="1" w:space="0" w:color="000000"/>
            </w:tcBorders>
          </w:tcPr>
          <w:p>
            <w:pPr>
              <w:pStyle w:val="TableParagraph"/>
              <w:spacing w:line="207" w:lineRule="exact" w:before="44"/>
              <w:ind w:left="107"/>
              <w:rPr>
                <w:sz w:val="18"/>
              </w:rPr>
            </w:pPr>
            <w:r>
              <w:rPr>
                <w:sz w:val="18"/>
              </w:rPr>
              <w:t>Configuration:</w:t>
            </w:r>
          </w:p>
          <w:p>
            <w:pPr>
              <w:pStyle w:val="TableParagraph"/>
              <w:spacing w:line="207" w:lineRule="exact"/>
              <w:ind w:left="107"/>
              <w:rPr>
                <w:sz w:val="18"/>
              </w:rPr>
            </w:pPr>
            <w:r>
              <w:rPr>
                <w:sz w:val="18"/>
              </w:rPr>
              <w:t>0 = DIO, 1 = LCD</w:t>
            </w:r>
          </w:p>
        </w:tc>
        <w:tc>
          <w:tcPr>
            <w:tcW w:w="509" w:type="dxa"/>
            <w:tcBorders>
              <w:top w:val="double" w:sz="1" w:space="0" w:color="000000"/>
            </w:tcBorders>
          </w:tcPr>
          <w:p>
            <w:pPr>
              <w:pStyle w:val="TableParagraph"/>
              <w:spacing w:before="17"/>
              <w:ind w:right="193"/>
              <w:jc w:val="right"/>
              <w:rPr>
                <w:sz w:val="18"/>
              </w:rPr>
            </w:pPr>
            <w:r>
              <w:rPr>
                <w:sz w:val="18"/>
              </w:rPr>
              <w:t>0</w:t>
            </w:r>
          </w:p>
        </w:tc>
        <w:tc>
          <w:tcPr>
            <w:tcW w:w="456" w:type="dxa"/>
            <w:tcBorders>
              <w:top w:val="double" w:sz="1" w:space="0" w:color="000000"/>
            </w:tcBorders>
          </w:tcPr>
          <w:p>
            <w:pPr>
              <w:pStyle w:val="TableParagraph"/>
              <w:spacing w:before="17"/>
              <w:ind w:right="167"/>
              <w:jc w:val="right"/>
              <w:rPr>
                <w:sz w:val="18"/>
              </w:rPr>
            </w:pPr>
            <w:r>
              <w:rPr>
                <w:sz w:val="18"/>
              </w:rPr>
              <w:t>1</w:t>
            </w:r>
          </w:p>
        </w:tc>
        <w:tc>
          <w:tcPr>
            <w:tcW w:w="454" w:type="dxa"/>
            <w:tcBorders>
              <w:top w:val="double" w:sz="1" w:space="0" w:color="000000"/>
            </w:tcBorders>
          </w:tcPr>
          <w:p>
            <w:pPr>
              <w:pStyle w:val="TableParagraph"/>
              <w:spacing w:before="17"/>
              <w:ind w:left="176"/>
              <w:rPr>
                <w:sz w:val="18"/>
              </w:rPr>
            </w:pPr>
            <w:r>
              <w:rPr>
                <w:sz w:val="18"/>
              </w:rPr>
              <w:t>2</w:t>
            </w:r>
          </w:p>
        </w:tc>
        <w:tc>
          <w:tcPr>
            <w:tcW w:w="420" w:type="dxa"/>
            <w:tcBorders>
              <w:top w:val="double" w:sz="1" w:space="0" w:color="000000"/>
            </w:tcBorders>
          </w:tcPr>
          <w:p>
            <w:pPr>
              <w:pStyle w:val="TableParagraph"/>
              <w:spacing w:before="17"/>
              <w:ind w:left="157"/>
              <w:rPr>
                <w:sz w:val="18"/>
              </w:rPr>
            </w:pPr>
            <w:r>
              <w:rPr>
                <w:sz w:val="18"/>
              </w:rPr>
              <w:t>3</w:t>
            </w:r>
          </w:p>
        </w:tc>
        <w:tc>
          <w:tcPr>
            <w:tcW w:w="490" w:type="dxa"/>
            <w:tcBorders>
              <w:top w:val="double" w:sz="1" w:space="0" w:color="000000"/>
            </w:tcBorders>
          </w:tcPr>
          <w:p>
            <w:pPr>
              <w:pStyle w:val="TableParagraph"/>
              <w:spacing w:before="17"/>
              <w:ind w:left="193"/>
              <w:rPr>
                <w:sz w:val="18"/>
              </w:rPr>
            </w:pPr>
            <w:r>
              <w:rPr>
                <w:sz w:val="18"/>
              </w:rPr>
              <w:t>4</w:t>
            </w:r>
          </w:p>
        </w:tc>
        <w:tc>
          <w:tcPr>
            <w:tcW w:w="454" w:type="dxa"/>
            <w:tcBorders>
              <w:top w:val="double" w:sz="1" w:space="0" w:color="000000"/>
            </w:tcBorders>
          </w:tcPr>
          <w:p>
            <w:pPr>
              <w:pStyle w:val="TableParagraph"/>
              <w:spacing w:before="17"/>
              <w:ind w:left="173"/>
              <w:rPr>
                <w:sz w:val="18"/>
              </w:rPr>
            </w:pPr>
            <w:r>
              <w:rPr>
                <w:sz w:val="18"/>
              </w:rPr>
              <w:t>5</w:t>
            </w:r>
          </w:p>
        </w:tc>
        <w:tc>
          <w:tcPr>
            <w:tcW w:w="456" w:type="dxa"/>
            <w:tcBorders>
              <w:top w:val="double" w:sz="1" w:space="0" w:color="000000"/>
            </w:tcBorders>
          </w:tcPr>
          <w:p>
            <w:pPr>
              <w:pStyle w:val="TableParagraph"/>
              <w:spacing w:before="17"/>
              <w:jc w:val="center"/>
              <w:rPr>
                <w:sz w:val="18"/>
              </w:rPr>
            </w:pPr>
            <w:r>
              <w:rPr>
                <w:sz w:val="18"/>
              </w:rPr>
              <w:t>6</w:t>
            </w:r>
          </w:p>
        </w:tc>
        <w:tc>
          <w:tcPr>
            <w:tcW w:w="485" w:type="dxa"/>
            <w:tcBorders>
              <w:top w:val="double" w:sz="1" w:space="0" w:color="000000"/>
            </w:tcBorders>
          </w:tcPr>
          <w:p>
            <w:pPr>
              <w:pStyle w:val="TableParagraph"/>
              <w:spacing w:before="17"/>
              <w:jc w:val="center"/>
              <w:rPr>
                <w:sz w:val="18"/>
              </w:rPr>
            </w:pPr>
            <w:r>
              <w:rPr>
                <w:sz w:val="18"/>
              </w:rPr>
              <w:t>7</w:t>
            </w:r>
          </w:p>
        </w:tc>
        <w:tc>
          <w:tcPr>
            <w:tcW w:w="423" w:type="dxa"/>
            <w:tcBorders>
              <w:top w:val="double" w:sz="1" w:space="0" w:color="000000"/>
            </w:tcBorders>
          </w:tcPr>
          <w:p>
            <w:pPr>
              <w:pStyle w:val="TableParagraph"/>
              <w:spacing w:before="17"/>
              <w:ind w:right="152"/>
              <w:jc w:val="right"/>
              <w:rPr>
                <w:sz w:val="18"/>
              </w:rPr>
            </w:pPr>
            <w:r>
              <w:rPr>
                <w:sz w:val="18"/>
              </w:rPr>
              <w:t>0</w:t>
            </w:r>
          </w:p>
        </w:tc>
        <w:tc>
          <w:tcPr>
            <w:tcW w:w="454" w:type="dxa"/>
            <w:tcBorders>
              <w:top w:val="double" w:sz="1" w:space="0" w:color="000000"/>
            </w:tcBorders>
          </w:tcPr>
          <w:p>
            <w:pPr>
              <w:pStyle w:val="TableParagraph"/>
              <w:spacing w:before="17"/>
              <w:jc w:val="center"/>
              <w:rPr>
                <w:sz w:val="18"/>
              </w:rPr>
            </w:pPr>
            <w:r>
              <w:rPr>
                <w:sz w:val="18"/>
              </w:rPr>
              <w:t>1</w:t>
            </w:r>
          </w:p>
        </w:tc>
        <w:tc>
          <w:tcPr>
            <w:tcW w:w="454" w:type="dxa"/>
            <w:tcBorders>
              <w:top w:val="double" w:sz="1" w:space="0" w:color="000000"/>
            </w:tcBorders>
          </w:tcPr>
          <w:p>
            <w:pPr>
              <w:pStyle w:val="TableParagraph"/>
              <w:spacing w:before="17"/>
              <w:jc w:val="center"/>
              <w:rPr>
                <w:sz w:val="18"/>
              </w:rPr>
            </w:pPr>
            <w:r>
              <w:rPr>
                <w:sz w:val="18"/>
              </w:rPr>
              <w:t>2</w:t>
            </w:r>
          </w:p>
        </w:tc>
        <w:tc>
          <w:tcPr>
            <w:tcW w:w="454" w:type="dxa"/>
            <w:tcBorders>
              <w:top w:val="double" w:sz="1" w:space="0" w:color="000000"/>
            </w:tcBorders>
          </w:tcPr>
          <w:p>
            <w:pPr>
              <w:pStyle w:val="TableParagraph"/>
              <w:spacing w:before="17"/>
              <w:ind w:left="171"/>
              <w:rPr>
                <w:sz w:val="18"/>
              </w:rPr>
            </w:pPr>
            <w:r>
              <w:rPr>
                <w:sz w:val="18"/>
              </w:rPr>
              <w:t>3</w:t>
            </w:r>
          </w:p>
        </w:tc>
        <w:tc>
          <w:tcPr>
            <w:tcW w:w="456" w:type="dxa"/>
            <w:tcBorders>
              <w:top w:val="double" w:sz="1" w:space="0" w:color="000000"/>
            </w:tcBorders>
          </w:tcPr>
          <w:p>
            <w:pPr>
              <w:pStyle w:val="TableParagraph"/>
              <w:spacing w:before="17"/>
              <w:ind w:right="1"/>
              <w:jc w:val="center"/>
              <w:rPr>
                <w:sz w:val="18"/>
              </w:rPr>
            </w:pPr>
            <w:r>
              <w:rPr>
                <w:sz w:val="18"/>
              </w:rPr>
              <w:t>4</w:t>
            </w:r>
          </w:p>
        </w:tc>
        <w:tc>
          <w:tcPr>
            <w:tcW w:w="454" w:type="dxa"/>
            <w:tcBorders>
              <w:top w:val="double" w:sz="1" w:space="0" w:color="000000"/>
            </w:tcBorders>
          </w:tcPr>
          <w:p>
            <w:pPr>
              <w:pStyle w:val="TableParagraph"/>
              <w:spacing w:before="17"/>
              <w:ind w:right="4"/>
              <w:jc w:val="center"/>
              <w:rPr>
                <w:sz w:val="18"/>
              </w:rPr>
            </w:pPr>
            <w:r>
              <w:rPr>
                <w:sz w:val="18"/>
              </w:rPr>
              <w:t>5</w:t>
            </w:r>
          </w:p>
        </w:tc>
        <w:tc>
          <w:tcPr>
            <w:tcW w:w="454" w:type="dxa"/>
            <w:tcBorders>
              <w:top w:val="double" w:sz="1" w:space="0" w:color="000000"/>
            </w:tcBorders>
          </w:tcPr>
          <w:p>
            <w:pPr>
              <w:pStyle w:val="TableParagraph"/>
              <w:spacing w:before="17"/>
              <w:ind w:left="170"/>
              <w:rPr>
                <w:sz w:val="18"/>
              </w:rPr>
            </w:pPr>
            <w:r>
              <w:rPr>
                <w:sz w:val="18"/>
              </w:rPr>
              <w:t>6</w:t>
            </w:r>
          </w:p>
        </w:tc>
        <w:tc>
          <w:tcPr>
            <w:tcW w:w="454" w:type="dxa"/>
            <w:tcBorders>
              <w:top w:val="double" w:sz="1" w:space="0" w:color="000000"/>
            </w:tcBorders>
          </w:tcPr>
          <w:p>
            <w:pPr>
              <w:pStyle w:val="TableParagraph"/>
              <w:spacing w:before="17"/>
              <w:ind w:right="1"/>
              <w:jc w:val="center"/>
              <w:rPr>
                <w:sz w:val="18"/>
              </w:rPr>
            </w:pPr>
            <w:r>
              <w:rPr>
                <w:sz w:val="18"/>
              </w:rPr>
              <w:t>7</w:t>
            </w:r>
          </w:p>
        </w:tc>
      </w:tr>
      <w:tr>
        <w:trPr>
          <w:trHeight w:val="246" w:hRule="atLeast"/>
        </w:trPr>
        <w:tc>
          <w:tcPr>
            <w:tcW w:w="2038" w:type="dxa"/>
            <w:vMerge/>
            <w:tcBorders>
              <w:top w:val="nil"/>
            </w:tcBorders>
          </w:tcPr>
          <w:p>
            <w:pPr>
              <w:rPr>
                <w:sz w:val="2"/>
                <w:szCs w:val="2"/>
              </w:rPr>
            </w:pPr>
          </w:p>
        </w:tc>
        <w:tc>
          <w:tcPr>
            <w:tcW w:w="3724" w:type="dxa"/>
            <w:gridSpan w:val="8"/>
          </w:tcPr>
          <w:p>
            <w:pPr>
              <w:pStyle w:val="TableParagraph"/>
              <w:spacing w:before="14"/>
              <w:ind w:left="580"/>
              <w:rPr>
                <w:rFonts w:ascii="Times New Roman"/>
                <w:i/>
                <w:sz w:val="18"/>
              </w:rPr>
            </w:pPr>
            <w:r>
              <w:rPr>
                <w:rFonts w:ascii="Times New Roman"/>
                <w:b/>
                <w:i/>
                <w:sz w:val="18"/>
              </w:rPr>
              <w:t>LCD_MAP[23:16] </w:t>
            </w:r>
            <w:r>
              <w:rPr>
                <w:rFonts w:ascii="Times New Roman"/>
                <w:i/>
                <w:sz w:val="18"/>
              </w:rPr>
              <w:t>(I/O RAM 0x2409)</w:t>
            </w:r>
          </w:p>
        </w:tc>
        <w:tc>
          <w:tcPr>
            <w:tcW w:w="3603" w:type="dxa"/>
            <w:gridSpan w:val="8"/>
          </w:tcPr>
          <w:p>
            <w:pPr>
              <w:pStyle w:val="TableParagraph"/>
              <w:spacing w:before="14"/>
              <w:ind w:left="504"/>
              <w:rPr>
                <w:rFonts w:ascii="Times New Roman"/>
                <w:i/>
                <w:sz w:val="18"/>
              </w:rPr>
            </w:pPr>
            <w:r>
              <w:rPr>
                <w:rFonts w:ascii="Times New Roman"/>
                <w:b/>
                <w:i/>
                <w:sz w:val="18"/>
              </w:rPr>
              <w:t>LCD_MAP[31:24] </w:t>
            </w:r>
            <w:r>
              <w:rPr>
                <w:rFonts w:ascii="Times New Roman"/>
                <w:i/>
                <w:sz w:val="18"/>
              </w:rPr>
              <w:t>(I/O RAM 0x2408)</w:t>
            </w:r>
          </w:p>
        </w:tc>
      </w:tr>
      <w:tr>
        <w:trPr>
          <w:trHeight w:val="246" w:hRule="atLeast"/>
        </w:trPr>
        <w:tc>
          <w:tcPr>
            <w:tcW w:w="2038" w:type="dxa"/>
            <w:vMerge w:val="restart"/>
          </w:tcPr>
          <w:p>
            <w:pPr>
              <w:pStyle w:val="TableParagraph"/>
              <w:spacing w:before="9"/>
              <w:rPr>
                <w:b/>
                <w:sz w:val="21"/>
              </w:rPr>
            </w:pPr>
          </w:p>
          <w:p>
            <w:pPr>
              <w:pStyle w:val="TableParagraph"/>
              <w:ind w:left="107"/>
              <w:rPr>
                <w:sz w:val="18"/>
              </w:rPr>
            </w:pPr>
            <w:r>
              <w:rPr>
                <w:sz w:val="18"/>
              </w:rPr>
              <w:t>SEG Data Register</w:t>
            </w:r>
          </w:p>
        </w:tc>
        <w:tc>
          <w:tcPr>
            <w:tcW w:w="509" w:type="dxa"/>
          </w:tcPr>
          <w:p>
            <w:pPr>
              <w:pStyle w:val="TableParagraph"/>
              <w:spacing w:before="18"/>
              <w:ind w:right="141"/>
              <w:jc w:val="right"/>
              <w:rPr>
                <w:sz w:val="18"/>
              </w:rPr>
            </w:pPr>
            <w:r>
              <w:rPr>
                <w:sz w:val="18"/>
              </w:rPr>
              <w:t>16</w:t>
            </w:r>
          </w:p>
        </w:tc>
        <w:tc>
          <w:tcPr>
            <w:tcW w:w="456" w:type="dxa"/>
          </w:tcPr>
          <w:p>
            <w:pPr>
              <w:pStyle w:val="TableParagraph"/>
              <w:spacing w:before="18"/>
              <w:ind w:right="117"/>
              <w:jc w:val="right"/>
              <w:rPr>
                <w:sz w:val="18"/>
              </w:rPr>
            </w:pPr>
            <w:r>
              <w:rPr>
                <w:sz w:val="18"/>
              </w:rPr>
              <w:t>17</w:t>
            </w:r>
          </w:p>
        </w:tc>
        <w:tc>
          <w:tcPr>
            <w:tcW w:w="454" w:type="dxa"/>
          </w:tcPr>
          <w:p>
            <w:pPr>
              <w:pStyle w:val="TableParagraph"/>
              <w:spacing w:before="18"/>
              <w:ind w:left="126"/>
              <w:rPr>
                <w:sz w:val="18"/>
              </w:rPr>
            </w:pPr>
            <w:r>
              <w:rPr>
                <w:sz w:val="18"/>
              </w:rPr>
              <w:t>18</w:t>
            </w:r>
          </w:p>
        </w:tc>
        <w:tc>
          <w:tcPr>
            <w:tcW w:w="420" w:type="dxa"/>
          </w:tcPr>
          <w:p>
            <w:pPr>
              <w:pStyle w:val="TableParagraph"/>
              <w:spacing w:before="18"/>
              <w:ind w:left="106"/>
              <w:rPr>
                <w:sz w:val="18"/>
              </w:rPr>
            </w:pPr>
            <w:r>
              <w:rPr>
                <w:sz w:val="18"/>
              </w:rPr>
              <w:t>19</w:t>
            </w:r>
          </w:p>
        </w:tc>
        <w:tc>
          <w:tcPr>
            <w:tcW w:w="490" w:type="dxa"/>
          </w:tcPr>
          <w:p>
            <w:pPr>
              <w:pStyle w:val="TableParagraph"/>
              <w:spacing w:before="18"/>
              <w:ind w:left="145"/>
              <w:rPr>
                <w:sz w:val="18"/>
              </w:rPr>
            </w:pPr>
            <w:r>
              <w:rPr>
                <w:sz w:val="18"/>
              </w:rPr>
              <w:t>20</w:t>
            </w:r>
          </w:p>
        </w:tc>
        <w:tc>
          <w:tcPr>
            <w:tcW w:w="454" w:type="dxa"/>
          </w:tcPr>
          <w:p>
            <w:pPr>
              <w:pStyle w:val="TableParagraph"/>
              <w:spacing w:before="18"/>
              <w:ind w:left="125"/>
              <w:rPr>
                <w:sz w:val="18"/>
              </w:rPr>
            </w:pPr>
            <w:r>
              <w:rPr>
                <w:sz w:val="18"/>
              </w:rPr>
              <w:t>21</w:t>
            </w:r>
          </w:p>
        </w:tc>
        <w:tc>
          <w:tcPr>
            <w:tcW w:w="456" w:type="dxa"/>
          </w:tcPr>
          <w:p>
            <w:pPr>
              <w:pStyle w:val="TableParagraph"/>
              <w:spacing w:before="18"/>
              <w:ind w:left="91" w:right="85"/>
              <w:jc w:val="center"/>
              <w:rPr>
                <w:sz w:val="18"/>
              </w:rPr>
            </w:pPr>
            <w:r>
              <w:rPr>
                <w:sz w:val="18"/>
              </w:rPr>
              <w:t>22</w:t>
            </w:r>
          </w:p>
        </w:tc>
        <w:tc>
          <w:tcPr>
            <w:tcW w:w="485" w:type="dxa"/>
          </w:tcPr>
          <w:p>
            <w:pPr>
              <w:pStyle w:val="TableParagraph"/>
              <w:spacing w:before="18"/>
              <w:ind w:left="117" w:right="112"/>
              <w:jc w:val="center"/>
              <w:rPr>
                <w:sz w:val="18"/>
              </w:rPr>
            </w:pPr>
            <w:r>
              <w:rPr>
                <w:sz w:val="18"/>
              </w:rPr>
              <w:t>23</w:t>
            </w:r>
          </w:p>
        </w:tc>
        <w:tc>
          <w:tcPr>
            <w:tcW w:w="423" w:type="dxa"/>
          </w:tcPr>
          <w:p>
            <w:pPr>
              <w:pStyle w:val="TableParagraph"/>
              <w:spacing w:before="18"/>
              <w:ind w:right="101"/>
              <w:jc w:val="right"/>
              <w:rPr>
                <w:sz w:val="18"/>
              </w:rPr>
            </w:pPr>
            <w:r>
              <w:rPr>
                <w:sz w:val="18"/>
              </w:rPr>
              <w:t>24</w:t>
            </w:r>
          </w:p>
        </w:tc>
        <w:tc>
          <w:tcPr>
            <w:tcW w:w="454" w:type="dxa"/>
          </w:tcPr>
          <w:p>
            <w:pPr>
              <w:pStyle w:val="TableParagraph"/>
              <w:spacing w:before="18"/>
              <w:ind w:left="101" w:right="95"/>
              <w:jc w:val="center"/>
              <w:rPr>
                <w:sz w:val="18"/>
              </w:rPr>
            </w:pPr>
            <w:r>
              <w:rPr>
                <w:sz w:val="18"/>
              </w:rPr>
              <w:t>25</w:t>
            </w:r>
          </w:p>
        </w:tc>
        <w:tc>
          <w:tcPr>
            <w:tcW w:w="454" w:type="dxa"/>
          </w:tcPr>
          <w:p>
            <w:pPr>
              <w:pStyle w:val="TableParagraph"/>
              <w:spacing w:before="18"/>
              <w:ind w:left="101" w:right="96"/>
              <w:jc w:val="center"/>
              <w:rPr>
                <w:sz w:val="18"/>
              </w:rPr>
            </w:pPr>
            <w:r>
              <w:rPr>
                <w:sz w:val="18"/>
              </w:rPr>
              <w:t>26</w:t>
            </w:r>
          </w:p>
        </w:tc>
        <w:tc>
          <w:tcPr>
            <w:tcW w:w="454" w:type="dxa"/>
          </w:tcPr>
          <w:p>
            <w:pPr>
              <w:pStyle w:val="TableParagraph"/>
              <w:spacing w:before="18"/>
              <w:ind w:left="123"/>
              <w:rPr>
                <w:sz w:val="18"/>
              </w:rPr>
            </w:pPr>
            <w:r>
              <w:rPr>
                <w:sz w:val="18"/>
              </w:rPr>
              <w:t>27</w:t>
            </w:r>
          </w:p>
        </w:tc>
        <w:tc>
          <w:tcPr>
            <w:tcW w:w="456" w:type="dxa"/>
          </w:tcPr>
          <w:p>
            <w:pPr>
              <w:pStyle w:val="TableParagraph"/>
              <w:spacing w:before="18"/>
              <w:ind w:left="87" w:right="85"/>
              <w:jc w:val="center"/>
              <w:rPr>
                <w:sz w:val="18"/>
              </w:rPr>
            </w:pPr>
            <w:r>
              <w:rPr>
                <w:sz w:val="18"/>
              </w:rPr>
              <w:t>28</w:t>
            </w:r>
          </w:p>
        </w:tc>
        <w:tc>
          <w:tcPr>
            <w:tcW w:w="454" w:type="dxa"/>
          </w:tcPr>
          <w:p>
            <w:pPr>
              <w:pStyle w:val="TableParagraph"/>
              <w:spacing w:before="18"/>
              <w:ind w:left="98" w:right="98"/>
              <w:jc w:val="center"/>
              <w:rPr>
                <w:sz w:val="18"/>
              </w:rPr>
            </w:pPr>
            <w:r>
              <w:rPr>
                <w:sz w:val="18"/>
              </w:rPr>
              <w:t>29</w:t>
            </w:r>
          </w:p>
        </w:tc>
        <w:tc>
          <w:tcPr>
            <w:tcW w:w="454" w:type="dxa"/>
          </w:tcPr>
          <w:p>
            <w:pPr>
              <w:pStyle w:val="TableParagraph"/>
              <w:spacing w:before="18"/>
              <w:ind w:left="122"/>
              <w:rPr>
                <w:sz w:val="18"/>
              </w:rPr>
            </w:pPr>
            <w:r>
              <w:rPr>
                <w:sz w:val="18"/>
              </w:rPr>
              <w:t>30</w:t>
            </w:r>
          </w:p>
        </w:tc>
        <w:tc>
          <w:tcPr>
            <w:tcW w:w="454" w:type="dxa"/>
          </w:tcPr>
          <w:p>
            <w:pPr>
              <w:pStyle w:val="TableParagraph"/>
              <w:spacing w:before="18"/>
              <w:ind w:left="100" w:right="98"/>
              <w:jc w:val="center"/>
              <w:rPr>
                <w:sz w:val="18"/>
              </w:rPr>
            </w:pPr>
            <w:r>
              <w:rPr>
                <w:sz w:val="18"/>
              </w:rPr>
              <w:t>31</w:t>
            </w:r>
          </w:p>
        </w:tc>
      </w:tr>
      <w:tr>
        <w:trPr>
          <w:trHeight w:val="455" w:hRule="atLeast"/>
        </w:trPr>
        <w:tc>
          <w:tcPr>
            <w:tcW w:w="2038" w:type="dxa"/>
            <w:vMerge/>
            <w:tcBorders>
              <w:top w:val="nil"/>
            </w:tcBorders>
          </w:tcPr>
          <w:p>
            <w:pPr>
              <w:rPr>
                <w:sz w:val="2"/>
                <w:szCs w:val="2"/>
              </w:rPr>
            </w:pPr>
          </w:p>
        </w:tc>
        <w:tc>
          <w:tcPr>
            <w:tcW w:w="7327" w:type="dxa"/>
            <w:gridSpan w:val="16"/>
          </w:tcPr>
          <w:p>
            <w:pPr>
              <w:pStyle w:val="TableParagraph"/>
              <w:spacing w:line="206" w:lineRule="exact" w:before="18"/>
              <w:ind w:left="1864" w:right="1827"/>
              <w:jc w:val="center"/>
              <w:rPr>
                <w:rFonts w:ascii="Times New Roman"/>
                <w:b/>
                <w:i/>
                <w:sz w:val="18"/>
              </w:rPr>
            </w:pPr>
            <w:r>
              <w:rPr>
                <w:rFonts w:ascii="Times New Roman"/>
                <w:b/>
                <w:i/>
                <w:sz w:val="18"/>
              </w:rPr>
              <w:t>LCD_SEGDIO16[5:0] </w:t>
            </w:r>
            <w:r>
              <w:rPr>
                <w:sz w:val="18"/>
              </w:rPr>
              <w:t>to </w:t>
            </w:r>
            <w:r>
              <w:rPr>
                <w:rFonts w:ascii="Times New Roman"/>
                <w:b/>
                <w:i/>
                <w:sz w:val="18"/>
              </w:rPr>
              <w:t>LCD_SEGDIO31[5:0]</w:t>
            </w:r>
          </w:p>
          <w:p>
            <w:pPr>
              <w:pStyle w:val="TableParagraph"/>
              <w:spacing w:line="206" w:lineRule="exact"/>
              <w:ind w:left="1864" w:right="1827"/>
              <w:jc w:val="center"/>
              <w:rPr>
                <w:rFonts w:ascii="Times New Roman"/>
                <w:i/>
                <w:sz w:val="18"/>
              </w:rPr>
            </w:pPr>
            <w:r>
              <w:rPr>
                <w:rFonts w:ascii="Times New Roman"/>
                <w:i/>
                <w:sz w:val="18"/>
              </w:rPr>
              <w:t>(I/O RAM 0x2420[5:0] </w:t>
            </w:r>
            <w:r>
              <w:rPr>
                <w:sz w:val="18"/>
              </w:rPr>
              <w:t>to </w:t>
            </w:r>
            <w:r>
              <w:rPr>
                <w:rFonts w:ascii="Times New Roman"/>
                <w:i/>
                <w:sz w:val="18"/>
              </w:rPr>
              <w:t>0x242F[5:0])</w:t>
            </w:r>
          </w:p>
        </w:tc>
      </w:tr>
      <w:tr>
        <w:trPr>
          <w:trHeight w:val="246" w:hRule="atLeast"/>
        </w:trPr>
        <w:tc>
          <w:tcPr>
            <w:tcW w:w="2038" w:type="dxa"/>
            <w:vMerge w:val="restart"/>
          </w:tcPr>
          <w:p>
            <w:pPr>
              <w:pStyle w:val="TableParagraph"/>
              <w:spacing w:before="9"/>
              <w:rPr>
                <w:b/>
                <w:sz w:val="21"/>
              </w:rPr>
            </w:pPr>
          </w:p>
          <w:p>
            <w:pPr>
              <w:pStyle w:val="TableParagraph"/>
              <w:ind w:left="107"/>
              <w:rPr>
                <w:sz w:val="18"/>
              </w:rPr>
            </w:pPr>
            <w:r>
              <w:rPr>
                <w:sz w:val="18"/>
              </w:rPr>
              <w:t>DIO Data Register</w:t>
            </w:r>
          </w:p>
        </w:tc>
        <w:tc>
          <w:tcPr>
            <w:tcW w:w="509" w:type="dxa"/>
          </w:tcPr>
          <w:p>
            <w:pPr>
              <w:pStyle w:val="TableParagraph"/>
              <w:spacing w:before="18"/>
              <w:ind w:right="141"/>
              <w:jc w:val="right"/>
              <w:rPr>
                <w:sz w:val="18"/>
              </w:rPr>
            </w:pPr>
            <w:r>
              <w:rPr>
                <w:sz w:val="18"/>
              </w:rPr>
              <w:t>16</w:t>
            </w:r>
          </w:p>
        </w:tc>
        <w:tc>
          <w:tcPr>
            <w:tcW w:w="456" w:type="dxa"/>
          </w:tcPr>
          <w:p>
            <w:pPr>
              <w:pStyle w:val="TableParagraph"/>
              <w:spacing w:before="18"/>
              <w:ind w:right="117"/>
              <w:jc w:val="right"/>
              <w:rPr>
                <w:sz w:val="18"/>
              </w:rPr>
            </w:pPr>
            <w:r>
              <w:rPr>
                <w:sz w:val="18"/>
              </w:rPr>
              <w:t>17</w:t>
            </w:r>
          </w:p>
        </w:tc>
        <w:tc>
          <w:tcPr>
            <w:tcW w:w="454" w:type="dxa"/>
          </w:tcPr>
          <w:p>
            <w:pPr>
              <w:pStyle w:val="TableParagraph"/>
              <w:spacing w:before="18"/>
              <w:ind w:left="126"/>
              <w:rPr>
                <w:sz w:val="18"/>
              </w:rPr>
            </w:pPr>
            <w:r>
              <w:rPr>
                <w:sz w:val="18"/>
              </w:rPr>
              <w:t>18</w:t>
            </w:r>
          </w:p>
        </w:tc>
        <w:tc>
          <w:tcPr>
            <w:tcW w:w="420" w:type="dxa"/>
          </w:tcPr>
          <w:p>
            <w:pPr>
              <w:pStyle w:val="TableParagraph"/>
              <w:spacing w:before="18"/>
              <w:ind w:left="106"/>
              <w:rPr>
                <w:sz w:val="18"/>
              </w:rPr>
            </w:pPr>
            <w:r>
              <w:rPr>
                <w:sz w:val="18"/>
              </w:rPr>
              <w:t>19</w:t>
            </w:r>
          </w:p>
        </w:tc>
        <w:tc>
          <w:tcPr>
            <w:tcW w:w="490" w:type="dxa"/>
          </w:tcPr>
          <w:p>
            <w:pPr>
              <w:pStyle w:val="TableParagraph"/>
              <w:spacing w:before="18"/>
              <w:ind w:left="145"/>
              <w:rPr>
                <w:sz w:val="18"/>
              </w:rPr>
            </w:pPr>
            <w:r>
              <w:rPr>
                <w:sz w:val="18"/>
              </w:rPr>
              <w:t>20</w:t>
            </w:r>
          </w:p>
        </w:tc>
        <w:tc>
          <w:tcPr>
            <w:tcW w:w="454" w:type="dxa"/>
          </w:tcPr>
          <w:p>
            <w:pPr>
              <w:pStyle w:val="TableParagraph"/>
              <w:spacing w:before="18"/>
              <w:ind w:left="125"/>
              <w:rPr>
                <w:sz w:val="18"/>
              </w:rPr>
            </w:pPr>
            <w:r>
              <w:rPr>
                <w:sz w:val="18"/>
              </w:rPr>
              <w:t>21</w:t>
            </w:r>
          </w:p>
        </w:tc>
        <w:tc>
          <w:tcPr>
            <w:tcW w:w="456" w:type="dxa"/>
          </w:tcPr>
          <w:p>
            <w:pPr>
              <w:pStyle w:val="TableParagraph"/>
              <w:spacing w:before="18"/>
              <w:ind w:left="91" w:right="85"/>
              <w:jc w:val="center"/>
              <w:rPr>
                <w:sz w:val="18"/>
              </w:rPr>
            </w:pPr>
            <w:r>
              <w:rPr>
                <w:sz w:val="18"/>
              </w:rPr>
              <w:t>22</w:t>
            </w:r>
          </w:p>
        </w:tc>
        <w:tc>
          <w:tcPr>
            <w:tcW w:w="485" w:type="dxa"/>
          </w:tcPr>
          <w:p>
            <w:pPr>
              <w:pStyle w:val="TableParagraph"/>
              <w:spacing w:before="18"/>
              <w:ind w:left="117" w:right="112"/>
              <w:jc w:val="center"/>
              <w:rPr>
                <w:sz w:val="18"/>
              </w:rPr>
            </w:pPr>
            <w:r>
              <w:rPr>
                <w:sz w:val="18"/>
              </w:rPr>
              <w:t>23</w:t>
            </w:r>
          </w:p>
        </w:tc>
        <w:tc>
          <w:tcPr>
            <w:tcW w:w="423" w:type="dxa"/>
          </w:tcPr>
          <w:p>
            <w:pPr>
              <w:pStyle w:val="TableParagraph"/>
              <w:spacing w:before="18"/>
              <w:ind w:right="101"/>
              <w:jc w:val="right"/>
              <w:rPr>
                <w:sz w:val="18"/>
              </w:rPr>
            </w:pPr>
            <w:r>
              <w:rPr>
                <w:sz w:val="18"/>
              </w:rPr>
              <w:t>24</w:t>
            </w:r>
          </w:p>
        </w:tc>
        <w:tc>
          <w:tcPr>
            <w:tcW w:w="454" w:type="dxa"/>
          </w:tcPr>
          <w:p>
            <w:pPr>
              <w:pStyle w:val="TableParagraph"/>
              <w:spacing w:before="18"/>
              <w:ind w:left="101" w:right="95"/>
              <w:jc w:val="center"/>
              <w:rPr>
                <w:sz w:val="18"/>
              </w:rPr>
            </w:pPr>
            <w:r>
              <w:rPr>
                <w:sz w:val="18"/>
              </w:rPr>
              <w:t>25</w:t>
            </w:r>
          </w:p>
        </w:tc>
        <w:tc>
          <w:tcPr>
            <w:tcW w:w="454" w:type="dxa"/>
          </w:tcPr>
          <w:p>
            <w:pPr>
              <w:pStyle w:val="TableParagraph"/>
              <w:spacing w:before="18"/>
              <w:ind w:left="101" w:right="96"/>
              <w:jc w:val="center"/>
              <w:rPr>
                <w:sz w:val="18"/>
              </w:rPr>
            </w:pPr>
            <w:r>
              <w:rPr>
                <w:sz w:val="18"/>
              </w:rPr>
              <w:t>26</w:t>
            </w:r>
          </w:p>
        </w:tc>
        <w:tc>
          <w:tcPr>
            <w:tcW w:w="454" w:type="dxa"/>
          </w:tcPr>
          <w:p>
            <w:pPr>
              <w:pStyle w:val="TableParagraph"/>
              <w:spacing w:before="18"/>
              <w:ind w:left="123"/>
              <w:rPr>
                <w:sz w:val="18"/>
              </w:rPr>
            </w:pPr>
            <w:r>
              <w:rPr>
                <w:sz w:val="18"/>
              </w:rPr>
              <w:t>27</w:t>
            </w:r>
          </w:p>
        </w:tc>
        <w:tc>
          <w:tcPr>
            <w:tcW w:w="456" w:type="dxa"/>
          </w:tcPr>
          <w:p>
            <w:pPr>
              <w:pStyle w:val="TableParagraph"/>
              <w:spacing w:before="18"/>
              <w:ind w:left="87" w:right="85"/>
              <w:jc w:val="center"/>
              <w:rPr>
                <w:sz w:val="18"/>
              </w:rPr>
            </w:pPr>
            <w:r>
              <w:rPr>
                <w:sz w:val="18"/>
              </w:rPr>
              <w:t>28</w:t>
            </w:r>
          </w:p>
        </w:tc>
        <w:tc>
          <w:tcPr>
            <w:tcW w:w="454" w:type="dxa"/>
          </w:tcPr>
          <w:p>
            <w:pPr>
              <w:pStyle w:val="TableParagraph"/>
              <w:spacing w:before="18"/>
              <w:ind w:left="98" w:right="98"/>
              <w:jc w:val="center"/>
              <w:rPr>
                <w:sz w:val="18"/>
              </w:rPr>
            </w:pPr>
            <w:r>
              <w:rPr>
                <w:sz w:val="18"/>
              </w:rPr>
              <w:t>29</w:t>
            </w:r>
          </w:p>
        </w:tc>
        <w:tc>
          <w:tcPr>
            <w:tcW w:w="454" w:type="dxa"/>
          </w:tcPr>
          <w:p>
            <w:pPr>
              <w:pStyle w:val="TableParagraph"/>
              <w:spacing w:before="18"/>
              <w:ind w:left="122"/>
              <w:rPr>
                <w:sz w:val="18"/>
              </w:rPr>
            </w:pPr>
            <w:r>
              <w:rPr>
                <w:sz w:val="18"/>
              </w:rPr>
              <w:t>30</w:t>
            </w:r>
          </w:p>
        </w:tc>
        <w:tc>
          <w:tcPr>
            <w:tcW w:w="454" w:type="dxa"/>
          </w:tcPr>
          <w:p>
            <w:pPr>
              <w:pStyle w:val="TableParagraph"/>
              <w:spacing w:before="18"/>
              <w:ind w:left="100" w:right="98"/>
              <w:jc w:val="center"/>
              <w:rPr>
                <w:sz w:val="18"/>
              </w:rPr>
            </w:pPr>
            <w:r>
              <w:rPr>
                <w:sz w:val="18"/>
              </w:rPr>
              <w:t>31</w:t>
            </w:r>
          </w:p>
        </w:tc>
      </w:tr>
      <w:tr>
        <w:trPr>
          <w:trHeight w:val="455" w:hRule="atLeast"/>
        </w:trPr>
        <w:tc>
          <w:tcPr>
            <w:tcW w:w="2038" w:type="dxa"/>
            <w:vMerge/>
            <w:tcBorders>
              <w:top w:val="nil"/>
            </w:tcBorders>
          </w:tcPr>
          <w:p>
            <w:pPr>
              <w:rPr>
                <w:sz w:val="2"/>
                <w:szCs w:val="2"/>
              </w:rPr>
            </w:pPr>
          </w:p>
        </w:tc>
        <w:tc>
          <w:tcPr>
            <w:tcW w:w="7327" w:type="dxa"/>
            <w:gridSpan w:val="16"/>
          </w:tcPr>
          <w:p>
            <w:pPr>
              <w:pStyle w:val="TableParagraph"/>
              <w:spacing w:before="13"/>
              <w:ind w:left="1838" w:right="1827"/>
              <w:jc w:val="center"/>
              <w:rPr>
                <w:rFonts w:ascii="Times New Roman"/>
                <w:b/>
                <w:i/>
                <w:sz w:val="18"/>
              </w:rPr>
            </w:pPr>
            <w:r>
              <w:rPr>
                <w:rFonts w:ascii="Times New Roman"/>
                <w:b/>
                <w:i/>
                <w:sz w:val="18"/>
              </w:rPr>
              <w:t>LCD_SEGDIO16[0</w:t>
            </w:r>
            <w:r>
              <w:rPr>
                <w:rFonts w:ascii="Times New Roman"/>
                <w:i/>
                <w:sz w:val="18"/>
              </w:rPr>
              <w:t>] </w:t>
            </w:r>
            <w:r>
              <w:rPr>
                <w:sz w:val="18"/>
              </w:rPr>
              <w:t>to </w:t>
            </w:r>
            <w:r>
              <w:rPr>
                <w:rFonts w:ascii="Times New Roman"/>
                <w:b/>
                <w:i/>
                <w:sz w:val="18"/>
              </w:rPr>
              <w:t>LCD_SEGDIO31[0]</w:t>
            </w:r>
          </w:p>
          <w:p>
            <w:pPr>
              <w:pStyle w:val="TableParagraph"/>
              <w:spacing w:before="1"/>
              <w:ind w:left="1838" w:right="1827"/>
              <w:jc w:val="center"/>
              <w:rPr>
                <w:rFonts w:ascii="Times New Roman"/>
                <w:i/>
                <w:sz w:val="18"/>
              </w:rPr>
            </w:pPr>
            <w:r>
              <w:rPr>
                <w:rFonts w:ascii="Times New Roman"/>
                <w:i/>
                <w:sz w:val="18"/>
              </w:rPr>
              <w:t>(I/O RAM 0x2420[0] </w:t>
            </w:r>
            <w:r>
              <w:rPr>
                <w:sz w:val="18"/>
              </w:rPr>
              <w:t>to </w:t>
            </w:r>
            <w:r>
              <w:rPr>
                <w:rFonts w:ascii="Times New Roman"/>
                <w:i/>
                <w:sz w:val="18"/>
              </w:rPr>
              <w:t>0x242F[0])</w:t>
            </w:r>
          </w:p>
        </w:tc>
      </w:tr>
      <w:tr>
        <w:trPr>
          <w:trHeight w:val="246" w:hRule="atLeast"/>
        </w:trPr>
        <w:tc>
          <w:tcPr>
            <w:tcW w:w="2038" w:type="dxa"/>
            <w:vMerge w:val="restart"/>
          </w:tcPr>
          <w:p>
            <w:pPr>
              <w:pStyle w:val="TableParagraph"/>
              <w:spacing w:before="147"/>
              <w:ind w:left="107" w:right="314"/>
              <w:rPr>
                <w:sz w:val="18"/>
              </w:rPr>
            </w:pPr>
            <w:r>
              <w:rPr>
                <w:sz w:val="18"/>
              </w:rPr>
              <w:t>Direction Register: 0 = input, 1 =</w:t>
            </w:r>
            <w:r>
              <w:rPr>
                <w:spacing w:val="-6"/>
                <w:sz w:val="18"/>
              </w:rPr>
              <w:t> </w:t>
            </w:r>
            <w:r>
              <w:rPr>
                <w:sz w:val="18"/>
              </w:rPr>
              <w:t>output</w:t>
            </w:r>
          </w:p>
        </w:tc>
        <w:tc>
          <w:tcPr>
            <w:tcW w:w="509" w:type="dxa"/>
          </w:tcPr>
          <w:p>
            <w:pPr>
              <w:pStyle w:val="TableParagraph"/>
              <w:spacing w:before="18"/>
              <w:ind w:right="141"/>
              <w:jc w:val="right"/>
              <w:rPr>
                <w:sz w:val="18"/>
              </w:rPr>
            </w:pPr>
            <w:r>
              <w:rPr>
                <w:sz w:val="18"/>
              </w:rPr>
              <w:t>16</w:t>
            </w:r>
          </w:p>
        </w:tc>
        <w:tc>
          <w:tcPr>
            <w:tcW w:w="456" w:type="dxa"/>
          </w:tcPr>
          <w:p>
            <w:pPr>
              <w:pStyle w:val="TableParagraph"/>
              <w:spacing w:before="18"/>
              <w:ind w:right="117"/>
              <w:jc w:val="right"/>
              <w:rPr>
                <w:sz w:val="18"/>
              </w:rPr>
            </w:pPr>
            <w:r>
              <w:rPr>
                <w:sz w:val="18"/>
              </w:rPr>
              <w:t>17</w:t>
            </w:r>
          </w:p>
        </w:tc>
        <w:tc>
          <w:tcPr>
            <w:tcW w:w="454" w:type="dxa"/>
          </w:tcPr>
          <w:p>
            <w:pPr>
              <w:pStyle w:val="TableParagraph"/>
              <w:spacing w:before="18"/>
              <w:ind w:left="126"/>
              <w:rPr>
                <w:sz w:val="18"/>
              </w:rPr>
            </w:pPr>
            <w:r>
              <w:rPr>
                <w:sz w:val="18"/>
              </w:rPr>
              <w:t>18</w:t>
            </w:r>
          </w:p>
        </w:tc>
        <w:tc>
          <w:tcPr>
            <w:tcW w:w="420" w:type="dxa"/>
          </w:tcPr>
          <w:p>
            <w:pPr>
              <w:pStyle w:val="TableParagraph"/>
              <w:spacing w:before="18"/>
              <w:ind w:left="106"/>
              <w:rPr>
                <w:sz w:val="18"/>
              </w:rPr>
            </w:pPr>
            <w:r>
              <w:rPr>
                <w:sz w:val="18"/>
              </w:rPr>
              <w:t>19</w:t>
            </w:r>
          </w:p>
        </w:tc>
        <w:tc>
          <w:tcPr>
            <w:tcW w:w="490" w:type="dxa"/>
          </w:tcPr>
          <w:p>
            <w:pPr>
              <w:pStyle w:val="TableParagraph"/>
              <w:spacing w:before="18"/>
              <w:ind w:left="145"/>
              <w:rPr>
                <w:sz w:val="18"/>
              </w:rPr>
            </w:pPr>
            <w:r>
              <w:rPr>
                <w:sz w:val="18"/>
              </w:rPr>
              <w:t>20</w:t>
            </w:r>
          </w:p>
        </w:tc>
        <w:tc>
          <w:tcPr>
            <w:tcW w:w="454" w:type="dxa"/>
          </w:tcPr>
          <w:p>
            <w:pPr>
              <w:pStyle w:val="TableParagraph"/>
              <w:spacing w:before="18"/>
              <w:ind w:left="125"/>
              <w:rPr>
                <w:sz w:val="18"/>
              </w:rPr>
            </w:pPr>
            <w:r>
              <w:rPr>
                <w:sz w:val="18"/>
              </w:rPr>
              <w:t>21</w:t>
            </w:r>
          </w:p>
        </w:tc>
        <w:tc>
          <w:tcPr>
            <w:tcW w:w="456" w:type="dxa"/>
          </w:tcPr>
          <w:p>
            <w:pPr>
              <w:pStyle w:val="TableParagraph"/>
              <w:spacing w:before="18"/>
              <w:ind w:left="91" w:right="85"/>
              <w:jc w:val="center"/>
              <w:rPr>
                <w:sz w:val="18"/>
              </w:rPr>
            </w:pPr>
            <w:r>
              <w:rPr>
                <w:sz w:val="18"/>
              </w:rPr>
              <w:t>22</w:t>
            </w:r>
          </w:p>
        </w:tc>
        <w:tc>
          <w:tcPr>
            <w:tcW w:w="485" w:type="dxa"/>
          </w:tcPr>
          <w:p>
            <w:pPr>
              <w:pStyle w:val="TableParagraph"/>
              <w:spacing w:before="18"/>
              <w:ind w:left="117" w:right="112"/>
              <w:jc w:val="center"/>
              <w:rPr>
                <w:sz w:val="18"/>
              </w:rPr>
            </w:pPr>
            <w:r>
              <w:rPr>
                <w:sz w:val="18"/>
              </w:rPr>
              <w:t>23</w:t>
            </w:r>
          </w:p>
        </w:tc>
        <w:tc>
          <w:tcPr>
            <w:tcW w:w="423" w:type="dxa"/>
          </w:tcPr>
          <w:p>
            <w:pPr>
              <w:pStyle w:val="TableParagraph"/>
              <w:spacing w:before="18"/>
              <w:ind w:right="101"/>
              <w:jc w:val="right"/>
              <w:rPr>
                <w:sz w:val="18"/>
              </w:rPr>
            </w:pPr>
            <w:r>
              <w:rPr>
                <w:sz w:val="18"/>
              </w:rPr>
              <w:t>24</w:t>
            </w:r>
          </w:p>
        </w:tc>
        <w:tc>
          <w:tcPr>
            <w:tcW w:w="454" w:type="dxa"/>
          </w:tcPr>
          <w:p>
            <w:pPr>
              <w:pStyle w:val="TableParagraph"/>
              <w:spacing w:before="18"/>
              <w:ind w:left="101" w:right="95"/>
              <w:jc w:val="center"/>
              <w:rPr>
                <w:sz w:val="18"/>
              </w:rPr>
            </w:pPr>
            <w:r>
              <w:rPr>
                <w:sz w:val="18"/>
              </w:rPr>
              <w:t>25</w:t>
            </w:r>
          </w:p>
        </w:tc>
        <w:tc>
          <w:tcPr>
            <w:tcW w:w="454" w:type="dxa"/>
          </w:tcPr>
          <w:p>
            <w:pPr>
              <w:pStyle w:val="TableParagraph"/>
              <w:spacing w:before="18"/>
              <w:ind w:left="101" w:right="96"/>
              <w:jc w:val="center"/>
              <w:rPr>
                <w:sz w:val="18"/>
              </w:rPr>
            </w:pPr>
            <w:r>
              <w:rPr>
                <w:sz w:val="18"/>
              </w:rPr>
              <w:t>26</w:t>
            </w:r>
          </w:p>
        </w:tc>
        <w:tc>
          <w:tcPr>
            <w:tcW w:w="454" w:type="dxa"/>
          </w:tcPr>
          <w:p>
            <w:pPr>
              <w:pStyle w:val="TableParagraph"/>
              <w:spacing w:before="18"/>
              <w:ind w:left="123"/>
              <w:rPr>
                <w:sz w:val="18"/>
              </w:rPr>
            </w:pPr>
            <w:r>
              <w:rPr>
                <w:sz w:val="18"/>
              </w:rPr>
              <w:t>27</w:t>
            </w:r>
          </w:p>
        </w:tc>
        <w:tc>
          <w:tcPr>
            <w:tcW w:w="456" w:type="dxa"/>
          </w:tcPr>
          <w:p>
            <w:pPr>
              <w:pStyle w:val="TableParagraph"/>
              <w:spacing w:before="18"/>
              <w:ind w:left="87" w:right="85"/>
              <w:jc w:val="center"/>
              <w:rPr>
                <w:sz w:val="18"/>
              </w:rPr>
            </w:pPr>
            <w:r>
              <w:rPr>
                <w:sz w:val="18"/>
              </w:rPr>
              <w:t>28</w:t>
            </w:r>
          </w:p>
        </w:tc>
        <w:tc>
          <w:tcPr>
            <w:tcW w:w="454" w:type="dxa"/>
          </w:tcPr>
          <w:p>
            <w:pPr>
              <w:pStyle w:val="TableParagraph"/>
              <w:spacing w:before="18"/>
              <w:ind w:left="98" w:right="98"/>
              <w:jc w:val="center"/>
              <w:rPr>
                <w:sz w:val="18"/>
              </w:rPr>
            </w:pPr>
            <w:r>
              <w:rPr>
                <w:sz w:val="18"/>
              </w:rPr>
              <w:t>29</w:t>
            </w:r>
          </w:p>
        </w:tc>
        <w:tc>
          <w:tcPr>
            <w:tcW w:w="454" w:type="dxa"/>
          </w:tcPr>
          <w:p>
            <w:pPr>
              <w:pStyle w:val="TableParagraph"/>
              <w:spacing w:before="18"/>
              <w:ind w:left="122"/>
              <w:rPr>
                <w:sz w:val="18"/>
              </w:rPr>
            </w:pPr>
            <w:r>
              <w:rPr>
                <w:sz w:val="18"/>
              </w:rPr>
              <w:t>30</w:t>
            </w:r>
          </w:p>
        </w:tc>
        <w:tc>
          <w:tcPr>
            <w:tcW w:w="454" w:type="dxa"/>
          </w:tcPr>
          <w:p>
            <w:pPr>
              <w:pStyle w:val="TableParagraph"/>
              <w:spacing w:before="18"/>
              <w:ind w:left="100" w:right="98"/>
              <w:jc w:val="center"/>
              <w:rPr>
                <w:sz w:val="18"/>
              </w:rPr>
            </w:pPr>
            <w:r>
              <w:rPr>
                <w:sz w:val="18"/>
              </w:rPr>
              <w:t>31</w:t>
            </w:r>
          </w:p>
        </w:tc>
      </w:tr>
      <w:tr>
        <w:trPr>
          <w:trHeight w:val="455" w:hRule="atLeast"/>
        </w:trPr>
        <w:tc>
          <w:tcPr>
            <w:tcW w:w="2038" w:type="dxa"/>
            <w:vMerge/>
            <w:tcBorders>
              <w:top w:val="nil"/>
            </w:tcBorders>
          </w:tcPr>
          <w:p>
            <w:pPr>
              <w:rPr>
                <w:sz w:val="2"/>
                <w:szCs w:val="2"/>
              </w:rPr>
            </w:pPr>
          </w:p>
        </w:tc>
        <w:tc>
          <w:tcPr>
            <w:tcW w:w="7327" w:type="dxa"/>
            <w:gridSpan w:val="16"/>
          </w:tcPr>
          <w:p>
            <w:pPr>
              <w:pStyle w:val="TableParagraph"/>
              <w:spacing w:line="205" w:lineRule="exact" w:before="20"/>
              <w:ind w:left="1838" w:right="1827"/>
              <w:jc w:val="center"/>
              <w:rPr>
                <w:rFonts w:ascii="Times New Roman"/>
                <w:b/>
                <w:i/>
                <w:sz w:val="18"/>
              </w:rPr>
            </w:pPr>
            <w:r>
              <w:rPr>
                <w:rFonts w:ascii="Times New Roman"/>
                <w:b/>
                <w:i/>
                <w:sz w:val="18"/>
              </w:rPr>
              <w:t>LCD_SEGDIO16[1] </w:t>
            </w:r>
            <w:r>
              <w:rPr>
                <w:sz w:val="18"/>
              </w:rPr>
              <w:t>to </w:t>
            </w:r>
            <w:r>
              <w:rPr>
                <w:rFonts w:ascii="Times New Roman"/>
                <w:b/>
                <w:i/>
                <w:sz w:val="18"/>
              </w:rPr>
              <w:t>LCD_SEGDIO31[1]</w:t>
            </w:r>
          </w:p>
          <w:p>
            <w:pPr>
              <w:pStyle w:val="TableParagraph"/>
              <w:spacing w:line="205" w:lineRule="exact"/>
              <w:ind w:left="1838" w:right="1827"/>
              <w:jc w:val="center"/>
              <w:rPr>
                <w:rFonts w:ascii="Times New Roman"/>
                <w:i/>
                <w:sz w:val="18"/>
              </w:rPr>
            </w:pPr>
            <w:r>
              <w:rPr>
                <w:rFonts w:ascii="Times New Roman"/>
                <w:i/>
                <w:sz w:val="18"/>
              </w:rPr>
              <w:t>(I/O RAM 0x2420[1] </w:t>
            </w:r>
            <w:r>
              <w:rPr>
                <w:sz w:val="18"/>
              </w:rPr>
              <w:t>to </w:t>
            </w:r>
            <w:r>
              <w:rPr>
                <w:rFonts w:ascii="Times New Roman"/>
                <w:i/>
                <w:sz w:val="18"/>
              </w:rPr>
              <w:t>0x242F[1])</w:t>
            </w:r>
          </w:p>
        </w:tc>
      </w:tr>
    </w:tbl>
    <w:p>
      <w:pPr>
        <w:pStyle w:val="BodyText"/>
        <w:spacing w:before="3"/>
        <w:rPr>
          <w:b/>
          <w:sz w:val="30"/>
        </w:rPr>
      </w:pPr>
    </w:p>
    <w:p>
      <w:pPr>
        <w:pStyle w:val="Heading1"/>
        <w:ind w:left="60" w:right="204"/>
      </w:pPr>
      <w:bookmarkStart w:name="_bookmark123" w:id="252"/>
      <w:bookmarkEnd w:id="252"/>
      <w:r>
        <w:rPr>
          <w:b w:val="0"/>
        </w:rPr>
      </w:r>
      <w:r>
        <w:rPr/>
        <w:t>Table 49: Data/Direction Registers for SEGDIO32 to</w:t>
      </w:r>
      <w:r>
        <w:rPr>
          <w:spacing w:val="-29"/>
        </w:rPr>
        <w:t> </w:t>
      </w:r>
      <w:r>
        <w:rPr/>
        <w:t>SEGDIO45</w:t>
      </w:r>
    </w:p>
    <w:p>
      <w:pPr>
        <w:pStyle w:val="BodyText"/>
        <w:spacing w:before="2"/>
        <w:rPr>
          <w:b/>
          <w:sz w:val="7"/>
        </w:rPr>
      </w:pPr>
    </w:p>
    <w:tbl>
      <w:tblPr>
        <w:tblW w:w="0" w:type="auto"/>
        <w:jc w:val="left"/>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8"/>
        <w:gridCol w:w="520"/>
        <w:gridCol w:w="465"/>
        <w:gridCol w:w="463"/>
        <w:gridCol w:w="427"/>
        <w:gridCol w:w="501"/>
        <w:gridCol w:w="463"/>
        <w:gridCol w:w="465"/>
        <w:gridCol w:w="494"/>
        <w:gridCol w:w="432"/>
        <w:gridCol w:w="463"/>
        <w:gridCol w:w="465"/>
        <w:gridCol w:w="463"/>
        <w:gridCol w:w="463"/>
        <w:gridCol w:w="473"/>
      </w:tblGrid>
      <w:tr>
        <w:trPr>
          <w:trHeight w:val="287" w:hRule="atLeast"/>
        </w:trPr>
        <w:tc>
          <w:tcPr>
            <w:tcW w:w="2078" w:type="dxa"/>
          </w:tcPr>
          <w:p>
            <w:pPr>
              <w:pStyle w:val="TableParagraph"/>
              <w:spacing w:before="35"/>
              <w:ind w:left="667" w:right="659"/>
              <w:jc w:val="center"/>
              <w:rPr>
                <w:b/>
                <w:sz w:val="18"/>
              </w:rPr>
            </w:pPr>
            <w:r>
              <w:rPr>
                <w:b/>
                <w:sz w:val="18"/>
              </w:rPr>
              <w:t>SEGDIO</w:t>
            </w:r>
          </w:p>
        </w:tc>
        <w:tc>
          <w:tcPr>
            <w:tcW w:w="520" w:type="dxa"/>
          </w:tcPr>
          <w:p>
            <w:pPr>
              <w:pStyle w:val="TableParagraph"/>
              <w:spacing w:before="35"/>
              <w:ind w:left="141" w:right="128"/>
              <w:jc w:val="center"/>
              <w:rPr>
                <w:b/>
                <w:sz w:val="18"/>
              </w:rPr>
            </w:pPr>
            <w:r>
              <w:rPr>
                <w:b/>
                <w:sz w:val="18"/>
              </w:rPr>
              <w:t>32</w:t>
            </w:r>
          </w:p>
        </w:tc>
        <w:tc>
          <w:tcPr>
            <w:tcW w:w="465" w:type="dxa"/>
          </w:tcPr>
          <w:p>
            <w:pPr>
              <w:pStyle w:val="TableParagraph"/>
              <w:spacing w:before="35"/>
              <w:ind w:left="109" w:right="97"/>
              <w:jc w:val="center"/>
              <w:rPr>
                <w:b/>
                <w:sz w:val="18"/>
              </w:rPr>
            </w:pPr>
            <w:r>
              <w:rPr>
                <w:b/>
                <w:sz w:val="18"/>
              </w:rPr>
              <w:t>33</w:t>
            </w:r>
          </w:p>
        </w:tc>
        <w:tc>
          <w:tcPr>
            <w:tcW w:w="463" w:type="dxa"/>
          </w:tcPr>
          <w:p>
            <w:pPr>
              <w:pStyle w:val="TableParagraph"/>
              <w:spacing w:before="35"/>
              <w:ind w:right="115"/>
              <w:jc w:val="right"/>
              <w:rPr>
                <w:b/>
                <w:sz w:val="18"/>
              </w:rPr>
            </w:pPr>
            <w:r>
              <w:rPr>
                <w:b/>
                <w:sz w:val="18"/>
              </w:rPr>
              <w:t>34</w:t>
            </w:r>
          </w:p>
        </w:tc>
        <w:tc>
          <w:tcPr>
            <w:tcW w:w="427" w:type="dxa"/>
          </w:tcPr>
          <w:p>
            <w:pPr>
              <w:pStyle w:val="TableParagraph"/>
              <w:spacing w:before="35"/>
              <w:ind w:left="119"/>
              <w:rPr>
                <w:b/>
                <w:sz w:val="18"/>
              </w:rPr>
            </w:pPr>
            <w:r>
              <w:rPr>
                <w:b/>
                <w:sz w:val="18"/>
              </w:rPr>
              <w:t>35</w:t>
            </w:r>
          </w:p>
        </w:tc>
        <w:tc>
          <w:tcPr>
            <w:tcW w:w="501" w:type="dxa"/>
          </w:tcPr>
          <w:p>
            <w:pPr>
              <w:pStyle w:val="TableParagraph"/>
              <w:spacing w:before="35"/>
              <w:ind w:left="132" w:right="115"/>
              <w:jc w:val="center"/>
              <w:rPr>
                <w:b/>
                <w:sz w:val="18"/>
              </w:rPr>
            </w:pPr>
            <w:r>
              <w:rPr>
                <w:b/>
                <w:sz w:val="18"/>
              </w:rPr>
              <w:t>36</w:t>
            </w:r>
          </w:p>
        </w:tc>
        <w:tc>
          <w:tcPr>
            <w:tcW w:w="463" w:type="dxa"/>
          </w:tcPr>
          <w:p>
            <w:pPr>
              <w:pStyle w:val="TableParagraph"/>
              <w:spacing w:before="35"/>
              <w:ind w:left="112" w:right="94"/>
              <w:jc w:val="center"/>
              <w:rPr>
                <w:b/>
                <w:sz w:val="18"/>
              </w:rPr>
            </w:pPr>
            <w:r>
              <w:rPr>
                <w:b/>
                <w:sz w:val="18"/>
              </w:rPr>
              <w:t>37</w:t>
            </w:r>
          </w:p>
        </w:tc>
        <w:tc>
          <w:tcPr>
            <w:tcW w:w="465" w:type="dxa"/>
          </w:tcPr>
          <w:p>
            <w:pPr>
              <w:pStyle w:val="TableParagraph"/>
              <w:spacing w:before="35"/>
              <w:ind w:left="112" w:right="96"/>
              <w:jc w:val="center"/>
              <w:rPr>
                <w:b/>
                <w:sz w:val="18"/>
              </w:rPr>
            </w:pPr>
            <w:r>
              <w:rPr>
                <w:b/>
                <w:sz w:val="18"/>
              </w:rPr>
              <w:t>38</w:t>
            </w:r>
          </w:p>
        </w:tc>
        <w:tc>
          <w:tcPr>
            <w:tcW w:w="494" w:type="dxa"/>
          </w:tcPr>
          <w:p>
            <w:pPr>
              <w:pStyle w:val="TableParagraph"/>
              <w:spacing w:before="35"/>
              <w:ind w:right="127"/>
              <w:jc w:val="right"/>
              <w:rPr>
                <w:b/>
                <w:sz w:val="18"/>
              </w:rPr>
            </w:pPr>
            <w:r>
              <w:rPr>
                <w:b/>
                <w:sz w:val="18"/>
              </w:rPr>
              <w:t>39</w:t>
            </w:r>
          </w:p>
        </w:tc>
        <w:tc>
          <w:tcPr>
            <w:tcW w:w="432" w:type="dxa"/>
          </w:tcPr>
          <w:p>
            <w:pPr>
              <w:pStyle w:val="TableParagraph"/>
              <w:spacing w:before="35"/>
              <w:ind w:right="99"/>
              <w:jc w:val="right"/>
              <w:rPr>
                <w:b/>
                <w:sz w:val="18"/>
              </w:rPr>
            </w:pPr>
            <w:r>
              <w:rPr>
                <w:b/>
                <w:sz w:val="18"/>
              </w:rPr>
              <w:t>40</w:t>
            </w:r>
          </w:p>
        </w:tc>
        <w:tc>
          <w:tcPr>
            <w:tcW w:w="463" w:type="dxa"/>
          </w:tcPr>
          <w:p>
            <w:pPr>
              <w:pStyle w:val="TableParagraph"/>
              <w:spacing w:before="35"/>
              <w:ind w:left="136"/>
              <w:rPr>
                <w:b/>
                <w:sz w:val="18"/>
              </w:rPr>
            </w:pPr>
            <w:r>
              <w:rPr>
                <w:b/>
                <w:sz w:val="18"/>
              </w:rPr>
              <w:t>41</w:t>
            </w:r>
          </w:p>
        </w:tc>
        <w:tc>
          <w:tcPr>
            <w:tcW w:w="465" w:type="dxa"/>
          </w:tcPr>
          <w:p>
            <w:pPr>
              <w:pStyle w:val="TableParagraph"/>
              <w:spacing w:before="35"/>
              <w:ind w:left="112" w:right="93"/>
              <w:jc w:val="center"/>
              <w:rPr>
                <w:b/>
                <w:sz w:val="18"/>
              </w:rPr>
            </w:pPr>
            <w:r>
              <w:rPr>
                <w:b/>
                <w:sz w:val="18"/>
              </w:rPr>
              <w:t>42</w:t>
            </w:r>
          </w:p>
        </w:tc>
        <w:tc>
          <w:tcPr>
            <w:tcW w:w="463" w:type="dxa"/>
          </w:tcPr>
          <w:p>
            <w:pPr>
              <w:pStyle w:val="TableParagraph"/>
              <w:spacing w:before="35"/>
              <w:ind w:left="114" w:right="91"/>
              <w:jc w:val="center"/>
              <w:rPr>
                <w:b/>
                <w:sz w:val="18"/>
              </w:rPr>
            </w:pPr>
            <w:r>
              <w:rPr>
                <w:b/>
                <w:sz w:val="18"/>
              </w:rPr>
              <w:t>43</w:t>
            </w:r>
          </w:p>
        </w:tc>
        <w:tc>
          <w:tcPr>
            <w:tcW w:w="463" w:type="dxa"/>
          </w:tcPr>
          <w:p>
            <w:pPr>
              <w:pStyle w:val="TableParagraph"/>
              <w:spacing w:before="35"/>
              <w:ind w:right="111"/>
              <w:jc w:val="right"/>
              <w:rPr>
                <w:b/>
                <w:sz w:val="18"/>
              </w:rPr>
            </w:pPr>
            <w:r>
              <w:rPr>
                <w:b/>
                <w:sz w:val="18"/>
              </w:rPr>
              <w:t>44</w:t>
            </w:r>
          </w:p>
        </w:tc>
        <w:tc>
          <w:tcPr>
            <w:tcW w:w="473" w:type="dxa"/>
          </w:tcPr>
          <w:p>
            <w:pPr>
              <w:pStyle w:val="TableParagraph"/>
              <w:spacing w:before="35"/>
              <w:ind w:left="142"/>
              <w:rPr>
                <w:b/>
                <w:sz w:val="18"/>
              </w:rPr>
            </w:pPr>
            <w:r>
              <w:rPr>
                <w:b/>
                <w:sz w:val="18"/>
              </w:rPr>
              <w:t>45</w:t>
            </w:r>
          </w:p>
        </w:tc>
      </w:tr>
      <w:tr>
        <w:trPr>
          <w:trHeight w:val="287" w:hRule="atLeast"/>
        </w:trPr>
        <w:tc>
          <w:tcPr>
            <w:tcW w:w="2078" w:type="dxa"/>
            <w:tcBorders>
              <w:bottom w:val="double" w:sz="1" w:space="0" w:color="000000"/>
            </w:tcBorders>
          </w:tcPr>
          <w:p>
            <w:pPr>
              <w:pStyle w:val="TableParagraph"/>
              <w:spacing w:before="32"/>
              <w:ind w:left="667" w:right="658"/>
              <w:jc w:val="center"/>
              <w:rPr>
                <w:b/>
                <w:sz w:val="18"/>
              </w:rPr>
            </w:pPr>
            <w:r>
              <w:rPr>
                <w:b/>
                <w:sz w:val="18"/>
              </w:rPr>
              <w:t>Pin #</w:t>
            </w:r>
          </w:p>
        </w:tc>
        <w:tc>
          <w:tcPr>
            <w:tcW w:w="520" w:type="dxa"/>
            <w:tcBorders>
              <w:bottom w:val="double" w:sz="1" w:space="0" w:color="000000"/>
            </w:tcBorders>
          </w:tcPr>
          <w:p>
            <w:pPr>
              <w:pStyle w:val="TableParagraph"/>
              <w:spacing w:before="32"/>
              <w:ind w:left="8"/>
              <w:jc w:val="center"/>
              <w:rPr>
                <w:b/>
                <w:sz w:val="18"/>
              </w:rPr>
            </w:pPr>
            <w:r>
              <w:rPr>
                <w:b/>
                <w:sz w:val="18"/>
              </w:rPr>
              <w:t>7</w:t>
            </w:r>
          </w:p>
        </w:tc>
        <w:tc>
          <w:tcPr>
            <w:tcW w:w="465" w:type="dxa"/>
            <w:tcBorders>
              <w:bottom w:val="double" w:sz="1" w:space="0" w:color="000000"/>
            </w:tcBorders>
          </w:tcPr>
          <w:p>
            <w:pPr>
              <w:pStyle w:val="TableParagraph"/>
              <w:spacing w:before="32"/>
              <w:ind w:left="12"/>
              <w:jc w:val="center"/>
              <w:rPr>
                <w:b/>
                <w:sz w:val="18"/>
              </w:rPr>
            </w:pPr>
            <w:r>
              <w:rPr>
                <w:b/>
                <w:sz w:val="18"/>
              </w:rPr>
              <w:t>6</w:t>
            </w:r>
          </w:p>
        </w:tc>
        <w:tc>
          <w:tcPr>
            <w:tcW w:w="463" w:type="dxa"/>
            <w:tcBorders>
              <w:bottom w:val="double" w:sz="1" w:space="0" w:color="000000"/>
            </w:tcBorders>
          </w:tcPr>
          <w:p>
            <w:pPr>
              <w:pStyle w:val="TableParagraph"/>
              <w:spacing w:before="32"/>
              <w:ind w:right="166"/>
              <w:jc w:val="right"/>
              <w:rPr>
                <w:b/>
                <w:sz w:val="18"/>
              </w:rPr>
            </w:pPr>
            <w:r>
              <w:rPr>
                <w:b/>
                <w:sz w:val="18"/>
              </w:rPr>
              <w:t>5</w:t>
            </w:r>
          </w:p>
        </w:tc>
        <w:tc>
          <w:tcPr>
            <w:tcW w:w="427" w:type="dxa"/>
            <w:tcBorders>
              <w:bottom w:val="double" w:sz="1" w:space="0" w:color="000000"/>
            </w:tcBorders>
          </w:tcPr>
          <w:p>
            <w:pPr>
              <w:pStyle w:val="TableParagraph"/>
              <w:spacing w:before="32"/>
              <w:ind w:left="167"/>
              <w:rPr>
                <w:b/>
                <w:sz w:val="18"/>
              </w:rPr>
            </w:pPr>
            <w:r>
              <w:rPr>
                <w:b/>
                <w:sz w:val="18"/>
              </w:rPr>
              <w:t>4</w:t>
            </w:r>
          </w:p>
        </w:tc>
        <w:tc>
          <w:tcPr>
            <w:tcW w:w="501" w:type="dxa"/>
            <w:tcBorders>
              <w:bottom w:val="double" w:sz="1" w:space="0" w:color="000000"/>
            </w:tcBorders>
          </w:tcPr>
          <w:p>
            <w:pPr>
              <w:pStyle w:val="TableParagraph"/>
              <w:spacing w:before="32"/>
              <w:ind w:left="11"/>
              <w:jc w:val="center"/>
              <w:rPr>
                <w:b/>
                <w:sz w:val="18"/>
              </w:rPr>
            </w:pPr>
            <w:r>
              <w:rPr>
                <w:b/>
                <w:sz w:val="18"/>
              </w:rPr>
              <w:t>3</w:t>
            </w:r>
          </w:p>
        </w:tc>
        <w:tc>
          <w:tcPr>
            <w:tcW w:w="463" w:type="dxa"/>
            <w:tcBorders>
              <w:bottom w:val="double" w:sz="1" w:space="0" w:color="000000"/>
            </w:tcBorders>
          </w:tcPr>
          <w:p>
            <w:pPr>
              <w:pStyle w:val="TableParagraph"/>
              <w:spacing w:before="32"/>
              <w:ind w:left="12"/>
              <w:jc w:val="center"/>
              <w:rPr>
                <w:b/>
                <w:sz w:val="18"/>
              </w:rPr>
            </w:pPr>
            <w:r>
              <w:rPr>
                <w:b/>
                <w:sz w:val="18"/>
              </w:rPr>
              <w:t>2</w:t>
            </w:r>
          </w:p>
        </w:tc>
        <w:tc>
          <w:tcPr>
            <w:tcW w:w="465" w:type="dxa"/>
            <w:tcBorders>
              <w:bottom w:val="double" w:sz="1" w:space="0" w:color="000000"/>
            </w:tcBorders>
          </w:tcPr>
          <w:p>
            <w:pPr>
              <w:pStyle w:val="TableParagraph"/>
              <w:spacing w:before="32"/>
              <w:ind w:left="11"/>
              <w:jc w:val="center"/>
              <w:rPr>
                <w:b/>
                <w:sz w:val="18"/>
              </w:rPr>
            </w:pPr>
            <w:r>
              <w:rPr>
                <w:b/>
                <w:sz w:val="18"/>
              </w:rPr>
              <w:t>1</w:t>
            </w:r>
          </w:p>
        </w:tc>
        <w:tc>
          <w:tcPr>
            <w:tcW w:w="494" w:type="dxa"/>
            <w:tcBorders>
              <w:bottom w:val="double" w:sz="1" w:space="0" w:color="000000"/>
            </w:tcBorders>
          </w:tcPr>
          <w:p>
            <w:pPr>
              <w:pStyle w:val="TableParagraph"/>
              <w:spacing w:before="32"/>
              <w:ind w:right="77"/>
              <w:jc w:val="right"/>
              <w:rPr>
                <w:b/>
                <w:sz w:val="18"/>
              </w:rPr>
            </w:pPr>
            <w:r>
              <w:rPr>
                <w:b/>
                <w:sz w:val="18"/>
              </w:rPr>
              <w:t>100</w:t>
            </w:r>
          </w:p>
        </w:tc>
        <w:tc>
          <w:tcPr>
            <w:tcW w:w="432" w:type="dxa"/>
            <w:tcBorders>
              <w:bottom w:val="double" w:sz="1" w:space="0" w:color="000000"/>
            </w:tcBorders>
          </w:tcPr>
          <w:p>
            <w:pPr>
              <w:pStyle w:val="TableParagraph"/>
              <w:spacing w:before="32"/>
              <w:ind w:right="99"/>
              <w:jc w:val="right"/>
              <w:rPr>
                <w:b/>
                <w:sz w:val="18"/>
              </w:rPr>
            </w:pPr>
            <w:r>
              <w:rPr>
                <w:b/>
                <w:sz w:val="18"/>
              </w:rPr>
              <w:t>99</w:t>
            </w:r>
          </w:p>
        </w:tc>
        <w:tc>
          <w:tcPr>
            <w:tcW w:w="463" w:type="dxa"/>
            <w:tcBorders>
              <w:bottom w:val="double" w:sz="1" w:space="0" w:color="000000"/>
            </w:tcBorders>
          </w:tcPr>
          <w:p>
            <w:pPr>
              <w:pStyle w:val="TableParagraph"/>
              <w:spacing w:before="32"/>
              <w:ind w:left="136"/>
              <w:rPr>
                <w:b/>
                <w:sz w:val="18"/>
              </w:rPr>
            </w:pPr>
            <w:r>
              <w:rPr>
                <w:b/>
                <w:sz w:val="18"/>
              </w:rPr>
              <w:t>98</w:t>
            </w:r>
          </w:p>
        </w:tc>
        <w:tc>
          <w:tcPr>
            <w:tcW w:w="465" w:type="dxa"/>
            <w:tcBorders>
              <w:bottom w:val="double" w:sz="1" w:space="0" w:color="000000"/>
            </w:tcBorders>
          </w:tcPr>
          <w:p>
            <w:pPr>
              <w:pStyle w:val="TableParagraph"/>
              <w:spacing w:before="32"/>
              <w:ind w:left="112" w:right="93"/>
              <w:jc w:val="center"/>
              <w:rPr>
                <w:b/>
                <w:sz w:val="18"/>
              </w:rPr>
            </w:pPr>
            <w:r>
              <w:rPr>
                <w:b/>
                <w:sz w:val="18"/>
              </w:rPr>
              <w:t>97</w:t>
            </w:r>
          </w:p>
        </w:tc>
        <w:tc>
          <w:tcPr>
            <w:tcW w:w="463" w:type="dxa"/>
            <w:tcBorders>
              <w:bottom w:val="double" w:sz="1" w:space="0" w:color="000000"/>
            </w:tcBorders>
          </w:tcPr>
          <w:p>
            <w:pPr>
              <w:pStyle w:val="TableParagraph"/>
              <w:spacing w:before="32"/>
              <w:ind w:left="114" w:right="92"/>
              <w:jc w:val="center"/>
              <w:rPr>
                <w:b/>
                <w:sz w:val="18"/>
              </w:rPr>
            </w:pPr>
            <w:r>
              <w:rPr>
                <w:b/>
                <w:sz w:val="18"/>
              </w:rPr>
              <w:t>96</w:t>
            </w:r>
          </w:p>
        </w:tc>
        <w:tc>
          <w:tcPr>
            <w:tcW w:w="463" w:type="dxa"/>
            <w:tcBorders>
              <w:bottom w:val="double" w:sz="1" w:space="0" w:color="000000"/>
            </w:tcBorders>
          </w:tcPr>
          <w:p>
            <w:pPr>
              <w:pStyle w:val="TableParagraph"/>
              <w:spacing w:before="32"/>
              <w:ind w:right="112"/>
              <w:jc w:val="right"/>
              <w:rPr>
                <w:b/>
                <w:sz w:val="18"/>
              </w:rPr>
            </w:pPr>
            <w:r>
              <w:rPr>
                <w:b/>
                <w:sz w:val="18"/>
              </w:rPr>
              <w:t>95</w:t>
            </w:r>
          </w:p>
        </w:tc>
        <w:tc>
          <w:tcPr>
            <w:tcW w:w="473" w:type="dxa"/>
            <w:tcBorders>
              <w:bottom w:val="double" w:sz="1" w:space="0" w:color="000000"/>
            </w:tcBorders>
          </w:tcPr>
          <w:p>
            <w:pPr>
              <w:pStyle w:val="TableParagraph"/>
              <w:spacing w:before="32"/>
              <w:ind w:left="142"/>
              <w:rPr>
                <w:b/>
                <w:sz w:val="18"/>
              </w:rPr>
            </w:pPr>
            <w:r>
              <w:rPr>
                <w:b/>
                <w:sz w:val="18"/>
              </w:rPr>
              <w:t>94</w:t>
            </w:r>
          </w:p>
        </w:tc>
      </w:tr>
      <w:tr>
        <w:trPr>
          <w:trHeight w:val="246" w:hRule="atLeast"/>
        </w:trPr>
        <w:tc>
          <w:tcPr>
            <w:tcW w:w="2078" w:type="dxa"/>
            <w:vMerge w:val="restart"/>
            <w:tcBorders>
              <w:top w:val="double" w:sz="1" w:space="0" w:color="000000"/>
            </w:tcBorders>
          </w:tcPr>
          <w:p>
            <w:pPr>
              <w:pStyle w:val="TableParagraph"/>
              <w:spacing w:before="147"/>
              <w:ind w:left="107"/>
              <w:rPr>
                <w:sz w:val="18"/>
              </w:rPr>
            </w:pPr>
            <w:r>
              <w:rPr>
                <w:sz w:val="18"/>
              </w:rPr>
              <w:t>Configuration:</w:t>
            </w:r>
          </w:p>
          <w:p>
            <w:pPr>
              <w:pStyle w:val="TableParagraph"/>
              <w:spacing w:before="2"/>
              <w:ind w:left="107"/>
              <w:rPr>
                <w:sz w:val="18"/>
              </w:rPr>
            </w:pPr>
            <w:r>
              <w:rPr>
                <w:sz w:val="18"/>
              </w:rPr>
              <w:t>0 = DIO, 1 = LCD</w:t>
            </w:r>
          </w:p>
        </w:tc>
        <w:tc>
          <w:tcPr>
            <w:tcW w:w="520" w:type="dxa"/>
            <w:tcBorders>
              <w:top w:val="double" w:sz="1" w:space="0" w:color="000000"/>
            </w:tcBorders>
          </w:tcPr>
          <w:p>
            <w:pPr>
              <w:pStyle w:val="TableParagraph"/>
              <w:spacing w:before="17"/>
              <w:ind w:left="8"/>
              <w:jc w:val="center"/>
              <w:rPr>
                <w:sz w:val="18"/>
              </w:rPr>
            </w:pPr>
            <w:r>
              <w:rPr>
                <w:sz w:val="18"/>
              </w:rPr>
              <w:t>0</w:t>
            </w:r>
          </w:p>
        </w:tc>
        <w:tc>
          <w:tcPr>
            <w:tcW w:w="465" w:type="dxa"/>
            <w:tcBorders>
              <w:top w:val="double" w:sz="1" w:space="0" w:color="000000"/>
            </w:tcBorders>
          </w:tcPr>
          <w:p>
            <w:pPr>
              <w:pStyle w:val="TableParagraph"/>
              <w:spacing w:before="17"/>
              <w:ind w:left="11"/>
              <w:jc w:val="center"/>
              <w:rPr>
                <w:sz w:val="18"/>
              </w:rPr>
            </w:pPr>
            <w:r>
              <w:rPr>
                <w:sz w:val="18"/>
              </w:rPr>
              <w:t>1</w:t>
            </w:r>
          </w:p>
        </w:tc>
        <w:tc>
          <w:tcPr>
            <w:tcW w:w="463" w:type="dxa"/>
            <w:tcBorders>
              <w:top w:val="double" w:sz="1" w:space="0" w:color="000000"/>
            </w:tcBorders>
          </w:tcPr>
          <w:p>
            <w:pPr>
              <w:pStyle w:val="TableParagraph"/>
              <w:spacing w:before="17"/>
              <w:ind w:right="166"/>
              <w:jc w:val="right"/>
              <w:rPr>
                <w:sz w:val="18"/>
              </w:rPr>
            </w:pPr>
            <w:r>
              <w:rPr>
                <w:sz w:val="18"/>
              </w:rPr>
              <w:t>2</w:t>
            </w:r>
          </w:p>
        </w:tc>
        <w:tc>
          <w:tcPr>
            <w:tcW w:w="427" w:type="dxa"/>
            <w:tcBorders>
              <w:top w:val="double" w:sz="1" w:space="0" w:color="000000"/>
            </w:tcBorders>
          </w:tcPr>
          <w:p>
            <w:pPr>
              <w:pStyle w:val="TableParagraph"/>
              <w:spacing w:before="17"/>
              <w:ind w:left="165"/>
              <w:rPr>
                <w:sz w:val="18"/>
              </w:rPr>
            </w:pPr>
            <w:r>
              <w:rPr>
                <w:sz w:val="18"/>
              </w:rPr>
              <w:t>3</w:t>
            </w:r>
          </w:p>
        </w:tc>
        <w:tc>
          <w:tcPr>
            <w:tcW w:w="501" w:type="dxa"/>
            <w:tcBorders>
              <w:top w:val="double" w:sz="1" w:space="0" w:color="000000"/>
            </w:tcBorders>
          </w:tcPr>
          <w:p>
            <w:pPr>
              <w:pStyle w:val="TableParagraph"/>
              <w:spacing w:before="17"/>
              <w:ind w:left="11"/>
              <w:jc w:val="center"/>
              <w:rPr>
                <w:sz w:val="18"/>
              </w:rPr>
            </w:pPr>
            <w:r>
              <w:rPr>
                <w:sz w:val="18"/>
              </w:rPr>
              <w:t>4</w:t>
            </w:r>
          </w:p>
        </w:tc>
        <w:tc>
          <w:tcPr>
            <w:tcW w:w="463" w:type="dxa"/>
            <w:tcBorders>
              <w:top w:val="double" w:sz="1" w:space="0" w:color="000000"/>
            </w:tcBorders>
          </w:tcPr>
          <w:p>
            <w:pPr>
              <w:pStyle w:val="TableParagraph"/>
              <w:spacing w:before="17"/>
              <w:ind w:left="12"/>
              <w:jc w:val="center"/>
              <w:rPr>
                <w:sz w:val="18"/>
              </w:rPr>
            </w:pPr>
            <w:r>
              <w:rPr>
                <w:sz w:val="18"/>
              </w:rPr>
              <w:t>5</w:t>
            </w:r>
          </w:p>
        </w:tc>
        <w:tc>
          <w:tcPr>
            <w:tcW w:w="465" w:type="dxa"/>
            <w:tcBorders>
              <w:top w:val="double" w:sz="1" w:space="0" w:color="000000"/>
            </w:tcBorders>
          </w:tcPr>
          <w:p>
            <w:pPr>
              <w:pStyle w:val="TableParagraph"/>
              <w:spacing w:before="17"/>
              <w:ind w:left="10"/>
              <w:jc w:val="center"/>
              <w:rPr>
                <w:sz w:val="18"/>
              </w:rPr>
            </w:pPr>
            <w:r>
              <w:rPr>
                <w:sz w:val="18"/>
              </w:rPr>
              <w:t>6</w:t>
            </w:r>
          </w:p>
        </w:tc>
        <w:tc>
          <w:tcPr>
            <w:tcW w:w="494" w:type="dxa"/>
            <w:tcBorders>
              <w:top w:val="double" w:sz="1" w:space="0" w:color="000000"/>
            </w:tcBorders>
          </w:tcPr>
          <w:p>
            <w:pPr>
              <w:pStyle w:val="TableParagraph"/>
              <w:spacing w:before="17"/>
              <w:ind w:right="181"/>
              <w:jc w:val="right"/>
              <w:rPr>
                <w:sz w:val="18"/>
              </w:rPr>
            </w:pPr>
            <w:r>
              <w:rPr>
                <w:sz w:val="18"/>
              </w:rPr>
              <w:t>7</w:t>
            </w:r>
          </w:p>
        </w:tc>
        <w:tc>
          <w:tcPr>
            <w:tcW w:w="432" w:type="dxa"/>
            <w:tcBorders>
              <w:top w:val="double" w:sz="1" w:space="0" w:color="000000"/>
            </w:tcBorders>
          </w:tcPr>
          <w:p>
            <w:pPr>
              <w:pStyle w:val="TableParagraph"/>
              <w:spacing w:before="17"/>
              <w:ind w:right="150"/>
              <w:jc w:val="right"/>
              <w:rPr>
                <w:sz w:val="18"/>
              </w:rPr>
            </w:pPr>
            <w:r>
              <w:rPr>
                <w:sz w:val="18"/>
              </w:rPr>
              <w:t>0</w:t>
            </w:r>
          </w:p>
        </w:tc>
        <w:tc>
          <w:tcPr>
            <w:tcW w:w="463" w:type="dxa"/>
            <w:tcBorders>
              <w:top w:val="double" w:sz="1" w:space="0" w:color="000000"/>
            </w:tcBorders>
          </w:tcPr>
          <w:p>
            <w:pPr>
              <w:pStyle w:val="TableParagraph"/>
              <w:spacing w:before="17"/>
              <w:ind w:left="183"/>
              <w:rPr>
                <w:sz w:val="18"/>
              </w:rPr>
            </w:pPr>
            <w:r>
              <w:rPr>
                <w:sz w:val="18"/>
              </w:rPr>
              <w:t>1</w:t>
            </w:r>
          </w:p>
        </w:tc>
        <w:tc>
          <w:tcPr>
            <w:tcW w:w="465" w:type="dxa"/>
            <w:tcBorders>
              <w:top w:val="double" w:sz="1" w:space="0" w:color="000000"/>
            </w:tcBorders>
          </w:tcPr>
          <w:p>
            <w:pPr>
              <w:pStyle w:val="TableParagraph"/>
              <w:spacing w:before="17"/>
              <w:ind w:left="13"/>
              <w:jc w:val="center"/>
              <w:rPr>
                <w:sz w:val="18"/>
              </w:rPr>
            </w:pPr>
            <w:r>
              <w:rPr>
                <w:sz w:val="18"/>
              </w:rPr>
              <w:t>2</w:t>
            </w:r>
          </w:p>
        </w:tc>
        <w:tc>
          <w:tcPr>
            <w:tcW w:w="463" w:type="dxa"/>
            <w:tcBorders>
              <w:top w:val="double" w:sz="1" w:space="0" w:color="000000"/>
            </w:tcBorders>
          </w:tcPr>
          <w:p>
            <w:pPr>
              <w:pStyle w:val="TableParagraph"/>
              <w:spacing w:before="17"/>
              <w:ind w:left="16"/>
              <w:jc w:val="center"/>
              <w:rPr>
                <w:sz w:val="18"/>
              </w:rPr>
            </w:pPr>
            <w:r>
              <w:rPr>
                <w:sz w:val="18"/>
              </w:rPr>
              <w:t>3</w:t>
            </w:r>
          </w:p>
        </w:tc>
        <w:tc>
          <w:tcPr>
            <w:tcW w:w="463" w:type="dxa"/>
            <w:tcBorders>
              <w:top w:val="double" w:sz="1" w:space="0" w:color="000000"/>
            </w:tcBorders>
          </w:tcPr>
          <w:p>
            <w:pPr>
              <w:pStyle w:val="TableParagraph"/>
              <w:spacing w:before="17"/>
              <w:ind w:right="166"/>
              <w:jc w:val="right"/>
              <w:rPr>
                <w:sz w:val="18"/>
              </w:rPr>
            </w:pPr>
            <w:r>
              <w:rPr>
                <w:sz w:val="18"/>
              </w:rPr>
              <w:t>4</w:t>
            </w:r>
          </w:p>
        </w:tc>
        <w:tc>
          <w:tcPr>
            <w:tcW w:w="473" w:type="dxa"/>
            <w:tcBorders>
              <w:top w:val="double" w:sz="1" w:space="0" w:color="000000"/>
            </w:tcBorders>
          </w:tcPr>
          <w:p>
            <w:pPr>
              <w:pStyle w:val="TableParagraph"/>
              <w:spacing w:before="17"/>
              <w:ind w:left="189"/>
              <w:rPr>
                <w:sz w:val="18"/>
              </w:rPr>
            </w:pPr>
            <w:r>
              <w:rPr>
                <w:sz w:val="18"/>
              </w:rPr>
              <w:t>5</w:t>
            </w:r>
          </w:p>
        </w:tc>
      </w:tr>
      <w:tr>
        <w:trPr>
          <w:trHeight w:val="455" w:hRule="atLeast"/>
        </w:trPr>
        <w:tc>
          <w:tcPr>
            <w:tcW w:w="2078" w:type="dxa"/>
            <w:vMerge/>
            <w:tcBorders>
              <w:top w:val="nil"/>
            </w:tcBorders>
          </w:tcPr>
          <w:p>
            <w:pPr>
              <w:rPr>
                <w:sz w:val="2"/>
                <w:szCs w:val="2"/>
              </w:rPr>
            </w:pPr>
          </w:p>
        </w:tc>
        <w:tc>
          <w:tcPr>
            <w:tcW w:w="3798" w:type="dxa"/>
            <w:gridSpan w:val="8"/>
          </w:tcPr>
          <w:p>
            <w:pPr>
              <w:pStyle w:val="TableParagraph"/>
              <w:spacing w:line="204" w:lineRule="exact" w:before="21"/>
              <w:ind w:left="1267"/>
              <w:rPr>
                <w:rFonts w:ascii="Times New Roman"/>
                <w:b/>
                <w:i/>
                <w:sz w:val="18"/>
              </w:rPr>
            </w:pPr>
            <w:r>
              <w:rPr>
                <w:rFonts w:ascii="Times New Roman"/>
                <w:b/>
                <w:i/>
                <w:spacing w:val="-7"/>
                <w:sz w:val="18"/>
              </w:rPr>
              <w:t>LCD_MAP[39:32]</w:t>
            </w:r>
          </w:p>
          <w:p>
            <w:pPr>
              <w:pStyle w:val="TableParagraph"/>
              <w:spacing w:line="204" w:lineRule="exact"/>
              <w:ind w:left="1288"/>
              <w:rPr>
                <w:rFonts w:ascii="Times New Roman"/>
                <w:i/>
                <w:sz w:val="18"/>
              </w:rPr>
            </w:pPr>
            <w:r>
              <w:rPr>
                <w:rFonts w:ascii="Times New Roman"/>
                <w:i/>
                <w:spacing w:val="-6"/>
                <w:sz w:val="18"/>
              </w:rPr>
              <w:t>(I/O </w:t>
            </w:r>
            <w:r>
              <w:rPr>
                <w:rFonts w:ascii="Times New Roman"/>
                <w:i/>
                <w:spacing w:val="-4"/>
                <w:sz w:val="18"/>
              </w:rPr>
              <w:t>RAM</w:t>
            </w:r>
            <w:r>
              <w:rPr>
                <w:rFonts w:ascii="Times New Roman"/>
                <w:i/>
                <w:spacing w:val="-18"/>
                <w:sz w:val="18"/>
              </w:rPr>
              <w:t> </w:t>
            </w:r>
            <w:r>
              <w:rPr>
                <w:rFonts w:ascii="Times New Roman"/>
                <w:i/>
                <w:spacing w:val="-6"/>
                <w:sz w:val="18"/>
              </w:rPr>
              <w:t>0x2407)</w:t>
            </w:r>
          </w:p>
        </w:tc>
        <w:tc>
          <w:tcPr>
            <w:tcW w:w="2759" w:type="dxa"/>
            <w:gridSpan w:val="6"/>
          </w:tcPr>
          <w:p>
            <w:pPr>
              <w:pStyle w:val="TableParagraph"/>
              <w:spacing w:line="204" w:lineRule="exact" w:before="21"/>
              <w:ind w:left="492" w:right="475"/>
              <w:jc w:val="center"/>
              <w:rPr>
                <w:rFonts w:ascii="Times New Roman"/>
                <w:b/>
                <w:i/>
                <w:sz w:val="18"/>
              </w:rPr>
            </w:pPr>
            <w:r>
              <w:rPr>
                <w:rFonts w:ascii="Times New Roman"/>
                <w:b/>
                <w:i/>
                <w:sz w:val="18"/>
              </w:rPr>
              <w:t>LCD_MAP[45:40]</w:t>
            </w:r>
          </w:p>
          <w:p>
            <w:pPr>
              <w:pStyle w:val="TableParagraph"/>
              <w:spacing w:line="204" w:lineRule="exact"/>
              <w:ind w:left="503" w:right="475"/>
              <w:jc w:val="center"/>
              <w:rPr>
                <w:rFonts w:ascii="Times New Roman"/>
                <w:i/>
                <w:sz w:val="18"/>
              </w:rPr>
            </w:pPr>
            <w:r>
              <w:rPr>
                <w:rFonts w:ascii="Times New Roman"/>
                <w:i/>
                <w:sz w:val="18"/>
              </w:rPr>
              <w:t>(I/O RAM 0x2406[5:0])</w:t>
            </w:r>
          </w:p>
        </w:tc>
      </w:tr>
      <w:tr>
        <w:trPr>
          <w:trHeight w:val="246" w:hRule="atLeast"/>
        </w:trPr>
        <w:tc>
          <w:tcPr>
            <w:tcW w:w="2078" w:type="dxa"/>
            <w:vMerge w:val="restart"/>
          </w:tcPr>
          <w:p>
            <w:pPr>
              <w:pStyle w:val="TableParagraph"/>
              <w:spacing w:before="9"/>
              <w:rPr>
                <w:b/>
                <w:sz w:val="21"/>
              </w:rPr>
            </w:pPr>
          </w:p>
          <w:p>
            <w:pPr>
              <w:pStyle w:val="TableParagraph"/>
              <w:ind w:left="107"/>
              <w:rPr>
                <w:sz w:val="18"/>
              </w:rPr>
            </w:pPr>
            <w:r>
              <w:rPr>
                <w:sz w:val="18"/>
              </w:rPr>
              <w:t>SEG Data Register</w:t>
            </w:r>
          </w:p>
        </w:tc>
        <w:tc>
          <w:tcPr>
            <w:tcW w:w="520" w:type="dxa"/>
          </w:tcPr>
          <w:p>
            <w:pPr>
              <w:pStyle w:val="TableParagraph"/>
              <w:spacing w:before="18"/>
              <w:ind w:left="141" w:right="128"/>
              <w:jc w:val="center"/>
              <w:rPr>
                <w:sz w:val="18"/>
              </w:rPr>
            </w:pPr>
            <w:r>
              <w:rPr>
                <w:sz w:val="18"/>
              </w:rPr>
              <w:t>32</w:t>
            </w:r>
          </w:p>
        </w:tc>
        <w:tc>
          <w:tcPr>
            <w:tcW w:w="465" w:type="dxa"/>
          </w:tcPr>
          <w:p>
            <w:pPr>
              <w:pStyle w:val="TableParagraph"/>
              <w:spacing w:before="18"/>
              <w:ind w:left="109" w:right="97"/>
              <w:jc w:val="center"/>
              <w:rPr>
                <w:sz w:val="18"/>
              </w:rPr>
            </w:pPr>
            <w:r>
              <w:rPr>
                <w:sz w:val="18"/>
              </w:rPr>
              <w:t>33</w:t>
            </w:r>
          </w:p>
        </w:tc>
        <w:tc>
          <w:tcPr>
            <w:tcW w:w="463" w:type="dxa"/>
          </w:tcPr>
          <w:p>
            <w:pPr>
              <w:pStyle w:val="TableParagraph"/>
              <w:spacing w:before="18"/>
              <w:ind w:right="115"/>
              <w:jc w:val="right"/>
              <w:rPr>
                <w:sz w:val="18"/>
              </w:rPr>
            </w:pPr>
            <w:r>
              <w:rPr>
                <w:sz w:val="18"/>
              </w:rPr>
              <w:t>34</w:t>
            </w:r>
          </w:p>
        </w:tc>
        <w:tc>
          <w:tcPr>
            <w:tcW w:w="427" w:type="dxa"/>
          </w:tcPr>
          <w:p>
            <w:pPr>
              <w:pStyle w:val="TableParagraph"/>
              <w:spacing w:before="18"/>
              <w:ind w:left="119"/>
              <w:rPr>
                <w:sz w:val="18"/>
              </w:rPr>
            </w:pPr>
            <w:r>
              <w:rPr>
                <w:sz w:val="18"/>
              </w:rPr>
              <w:t>35</w:t>
            </w:r>
          </w:p>
        </w:tc>
        <w:tc>
          <w:tcPr>
            <w:tcW w:w="501" w:type="dxa"/>
          </w:tcPr>
          <w:p>
            <w:pPr>
              <w:pStyle w:val="TableParagraph"/>
              <w:spacing w:before="18"/>
              <w:ind w:left="132" w:right="115"/>
              <w:jc w:val="center"/>
              <w:rPr>
                <w:sz w:val="18"/>
              </w:rPr>
            </w:pPr>
            <w:r>
              <w:rPr>
                <w:sz w:val="18"/>
              </w:rPr>
              <w:t>36</w:t>
            </w:r>
          </w:p>
        </w:tc>
        <w:tc>
          <w:tcPr>
            <w:tcW w:w="463" w:type="dxa"/>
          </w:tcPr>
          <w:p>
            <w:pPr>
              <w:pStyle w:val="TableParagraph"/>
              <w:spacing w:before="18"/>
              <w:ind w:left="111" w:right="94"/>
              <w:jc w:val="center"/>
              <w:rPr>
                <w:sz w:val="18"/>
              </w:rPr>
            </w:pPr>
            <w:r>
              <w:rPr>
                <w:sz w:val="18"/>
              </w:rPr>
              <w:t>37</w:t>
            </w:r>
          </w:p>
        </w:tc>
        <w:tc>
          <w:tcPr>
            <w:tcW w:w="465" w:type="dxa"/>
          </w:tcPr>
          <w:p>
            <w:pPr>
              <w:pStyle w:val="TableParagraph"/>
              <w:spacing w:before="18"/>
              <w:ind w:left="112" w:right="96"/>
              <w:jc w:val="center"/>
              <w:rPr>
                <w:sz w:val="18"/>
              </w:rPr>
            </w:pPr>
            <w:r>
              <w:rPr>
                <w:sz w:val="18"/>
              </w:rPr>
              <w:t>38</w:t>
            </w:r>
          </w:p>
        </w:tc>
        <w:tc>
          <w:tcPr>
            <w:tcW w:w="494" w:type="dxa"/>
          </w:tcPr>
          <w:p>
            <w:pPr>
              <w:pStyle w:val="TableParagraph"/>
              <w:spacing w:before="18"/>
              <w:ind w:right="128"/>
              <w:jc w:val="right"/>
              <w:rPr>
                <w:sz w:val="18"/>
              </w:rPr>
            </w:pPr>
            <w:r>
              <w:rPr>
                <w:sz w:val="18"/>
              </w:rPr>
              <w:t>39</w:t>
            </w:r>
          </w:p>
        </w:tc>
        <w:tc>
          <w:tcPr>
            <w:tcW w:w="432" w:type="dxa"/>
          </w:tcPr>
          <w:p>
            <w:pPr>
              <w:pStyle w:val="TableParagraph"/>
              <w:spacing w:before="18"/>
              <w:ind w:right="99"/>
              <w:jc w:val="right"/>
              <w:rPr>
                <w:sz w:val="18"/>
              </w:rPr>
            </w:pPr>
            <w:r>
              <w:rPr>
                <w:sz w:val="18"/>
              </w:rPr>
              <w:t>40</w:t>
            </w:r>
          </w:p>
        </w:tc>
        <w:tc>
          <w:tcPr>
            <w:tcW w:w="463" w:type="dxa"/>
          </w:tcPr>
          <w:p>
            <w:pPr>
              <w:pStyle w:val="TableParagraph"/>
              <w:spacing w:before="18"/>
              <w:ind w:left="135"/>
              <w:rPr>
                <w:sz w:val="18"/>
              </w:rPr>
            </w:pPr>
            <w:r>
              <w:rPr>
                <w:sz w:val="18"/>
              </w:rPr>
              <w:t>41</w:t>
            </w:r>
          </w:p>
        </w:tc>
        <w:tc>
          <w:tcPr>
            <w:tcW w:w="465" w:type="dxa"/>
          </w:tcPr>
          <w:p>
            <w:pPr>
              <w:pStyle w:val="TableParagraph"/>
              <w:spacing w:before="18"/>
              <w:ind w:left="112" w:right="94"/>
              <w:jc w:val="center"/>
              <w:rPr>
                <w:sz w:val="18"/>
              </w:rPr>
            </w:pPr>
            <w:r>
              <w:rPr>
                <w:sz w:val="18"/>
              </w:rPr>
              <w:t>42</w:t>
            </w:r>
          </w:p>
        </w:tc>
        <w:tc>
          <w:tcPr>
            <w:tcW w:w="463" w:type="dxa"/>
          </w:tcPr>
          <w:p>
            <w:pPr>
              <w:pStyle w:val="TableParagraph"/>
              <w:spacing w:before="18"/>
              <w:ind w:left="114" w:right="93"/>
              <w:jc w:val="center"/>
              <w:rPr>
                <w:sz w:val="18"/>
              </w:rPr>
            </w:pPr>
            <w:r>
              <w:rPr>
                <w:sz w:val="18"/>
              </w:rPr>
              <w:t>43</w:t>
            </w:r>
          </w:p>
        </w:tc>
        <w:tc>
          <w:tcPr>
            <w:tcW w:w="463" w:type="dxa"/>
          </w:tcPr>
          <w:p>
            <w:pPr>
              <w:pStyle w:val="TableParagraph"/>
              <w:spacing w:before="18"/>
              <w:ind w:right="112"/>
              <w:jc w:val="right"/>
              <w:rPr>
                <w:sz w:val="18"/>
              </w:rPr>
            </w:pPr>
            <w:r>
              <w:rPr>
                <w:sz w:val="18"/>
              </w:rPr>
              <w:t>44</w:t>
            </w:r>
          </w:p>
        </w:tc>
        <w:tc>
          <w:tcPr>
            <w:tcW w:w="473" w:type="dxa"/>
          </w:tcPr>
          <w:p>
            <w:pPr>
              <w:pStyle w:val="TableParagraph"/>
              <w:spacing w:before="18"/>
              <w:ind w:left="141"/>
              <w:rPr>
                <w:sz w:val="18"/>
              </w:rPr>
            </w:pPr>
            <w:r>
              <w:rPr>
                <w:sz w:val="18"/>
              </w:rPr>
              <w:t>45</w:t>
            </w:r>
          </w:p>
        </w:tc>
      </w:tr>
      <w:tr>
        <w:trPr>
          <w:trHeight w:val="453" w:hRule="atLeast"/>
        </w:trPr>
        <w:tc>
          <w:tcPr>
            <w:tcW w:w="2078" w:type="dxa"/>
            <w:vMerge/>
            <w:tcBorders>
              <w:top w:val="nil"/>
            </w:tcBorders>
          </w:tcPr>
          <w:p>
            <w:pPr>
              <w:rPr>
                <w:sz w:val="2"/>
                <w:szCs w:val="2"/>
              </w:rPr>
            </w:pPr>
          </w:p>
        </w:tc>
        <w:tc>
          <w:tcPr>
            <w:tcW w:w="6557" w:type="dxa"/>
            <w:gridSpan w:val="14"/>
          </w:tcPr>
          <w:p>
            <w:pPr>
              <w:pStyle w:val="TableParagraph"/>
              <w:spacing w:line="206" w:lineRule="exact" w:before="18"/>
              <w:ind w:left="1480" w:right="1440"/>
              <w:jc w:val="center"/>
              <w:rPr>
                <w:rFonts w:ascii="Times New Roman"/>
                <w:b/>
                <w:i/>
                <w:sz w:val="18"/>
              </w:rPr>
            </w:pPr>
            <w:r>
              <w:rPr>
                <w:rFonts w:ascii="Times New Roman"/>
                <w:b/>
                <w:i/>
                <w:sz w:val="18"/>
              </w:rPr>
              <w:t>LCD_SEGDIO32[5:0] </w:t>
            </w:r>
            <w:r>
              <w:rPr>
                <w:sz w:val="18"/>
              </w:rPr>
              <w:t>to </w:t>
            </w:r>
            <w:r>
              <w:rPr>
                <w:rFonts w:ascii="Times New Roman"/>
                <w:b/>
                <w:i/>
                <w:sz w:val="18"/>
              </w:rPr>
              <w:t>LCD_SEGDIO45[5:0]</w:t>
            </w:r>
          </w:p>
          <w:p>
            <w:pPr>
              <w:pStyle w:val="TableParagraph"/>
              <w:spacing w:line="205" w:lineRule="exact"/>
              <w:ind w:left="1480" w:right="1432"/>
              <w:jc w:val="center"/>
              <w:rPr>
                <w:rFonts w:ascii="Times New Roman"/>
                <w:i/>
                <w:sz w:val="18"/>
              </w:rPr>
            </w:pPr>
            <w:r>
              <w:rPr>
                <w:rFonts w:ascii="Times New Roman"/>
                <w:i/>
                <w:sz w:val="18"/>
              </w:rPr>
              <w:t>(I/O RAM 0x2430[5:0] to 0x243D[5:0])</w:t>
            </w:r>
          </w:p>
        </w:tc>
      </w:tr>
      <w:tr>
        <w:trPr>
          <w:trHeight w:val="246" w:hRule="atLeast"/>
        </w:trPr>
        <w:tc>
          <w:tcPr>
            <w:tcW w:w="2078" w:type="dxa"/>
            <w:vMerge w:val="restart"/>
          </w:tcPr>
          <w:p>
            <w:pPr>
              <w:pStyle w:val="TableParagraph"/>
              <w:spacing w:before="9"/>
              <w:rPr>
                <w:b/>
                <w:sz w:val="21"/>
              </w:rPr>
            </w:pPr>
          </w:p>
          <w:p>
            <w:pPr>
              <w:pStyle w:val="TableParagraph"/>
              <w:ind w:left="107"/>
              <w:rPr>
                <w:sz w:val="18"/>
              </w:rPr>
            </w:pPr>
            <w:r>
              <w:rPr>
                <w:sz w:val="18"/>
              </w:rPr>
              <w:t>DIO Data Register</w:t>
            </w:r>
          </w:p>
        </w:tc>
        <w:tc>
          <w:tcPr>
            <w:tcW w:w="520" w:type="dxa"/>
          </w:tcPr>
          <w:p>
            <w:pPr>
              <w:pStyle w:val="TableParagraph"/>
              <w:spacing w:line="206" w:lineRule="exact" w:before="20"/>
              <w:ind w:left="141" w:right="128"/>
              <w:jc w:val="center"/>
              <w:rPr>
                <w:sz w:val="18"/>
              </w:rPr>
            </w:pPr>
            <w:r>
              <w:rPr>
                <w:sz w:val="18"/>
              </w:rPr>
              <w:t>32</w:t>
            </w:r>
          </w:p>
        </w:tc>
        <w:tc>
          <w:tcPr>
            <w:tcW w:w="465" w:type="dxa"/>
          </w:tcPr>
          <w:p>
            <w:pPr>
              <w:pStyle w:val="TableParagraph"/>
              <w:spacing w:line="206" w:lineRule="exact" w:before="20"/>
              <w:ind w:left="109" w:right="97"/>
              <w:jc w:val="center"/>
              <w:rPr>
                <w:sz w:val="18"/>
              </w:rPr>
            </w:pPr>
            <w:r>
              <w:rPr>
                <w:sz w:val="18"/>
              </w:rPr>
              <w:t>33</w:t>
            </w:r>
          </w:p>
        </w:tc>
        <w:tc>
          <w:tcPr>
            <w:tcW w:w="463" w:type="dxa"/>
          </w:tcPr>
          <w:p>
            <w:pPr>
              <w:pStyle w:val="TableParagraph"/>
              <w:spacing w:line="206" w:lineRule="exact" w:before="20"/>
              <w:ind w:right="115"/>
              <w:jc w:val="right"/>
              <w:rPr>
                <w:sz w:val="18"/>
              </w:rPr>
            </w:pPr>
            <w:r>
              <w:rPr>
                <w:sz w:val="18"/>
              </w:rPr>
              <w:t>34</w:t>
            </w:r>
          </w:p>
        </w:tc>
        <w:tc>
          <w:tcPr>
            <w:tcW w:w="427" w:type="dxa"/>
          </w:tcPr>
          <w:p>
            <w:pPr>
              <w:pStyle w:val="TableParagraph"/>
              <w:spacing w:line="206" w:lineRule="exact" w:before="20"/>
              <w:ind w:left="119"/>
              <w:rPr>
                <w:sz w:val="18"/>
              </w:rPr>
            </w:pPr>
            <w:r>
              <w:rPr>
                <w:sz w:val="18"/>
              </w:rPr>
              <w:t>35</w:t>
            </w:r>
          </w:p>
        </w:tc>
        <w:tc>
          <w:tcPr>
            <w:tcW w:w="501" w:type="dxa"/>
          </w:tcPr>
          <w:p>
            <w:pPr>
              <w:pStyle w:val="TableParagraph"/>
              <w:spacing w:line="206" w:lineRule="exact" w:before="20"/>
              <w:ind w:left="132" w:right="115"/>
              <w:jc w:val="center"/>
              <w:rPr>
                <w:sz w:val="18"/>
              </w:rPr>
            </w:pPr>
            <w:r>
              <w:rPr>
                <w:sz w:val="18"/>
              </w:rPr>
              <w:t>36</w:t>
            </w:r>
          </w:p>
        </w:tc>
        <w:tc>
          <w:tcPr>
            <w:tcW w:w="463" w:type="dxa"/>
          </w:tcPr>
          <w:p>
            <w:pPr>
              <w:pStyle w:val="TableParagraph"/>
              <w:spacing w:line="206" w:lineRule="exact" w:before="20"/>
              <w:ind w:left="111" w:right="94"/>
              <w:jc w:val="center"/>
              <w:rPr>
                <w:sz w:val="18"/>
              </w:rPr>
            </w:pPr>
            <w:r>
              <w:rPr>
                <w:sz w:val="18"/>
              </w:rPr>
              <w:t>37</w:t>
            </w:r>
          </w:p>
        </w:tc>
        <w:tc>
          <w:tcPr>
            <w:tcW w:w="465" w:type="dxa"/>
          </w:tcPr>
          <w:p>
            <w:pPr>
              <w:pStyle w:val="TableParagraph"/>
              <w:spacing w:line="206" w:lineRule="exact" w:before="20"/>
              <w:ind w:left="112" w:right="96"/>
              <w:jc w:val="center"/>
              <w:rPr>
                <w:sz w:val="18"/>
              </w:rPr>
            </w:pPr>
            <w:r>
              <w:rPr>
                <w:sz w:val="18"/>
              </w:rPr>
              <w:t>38</w:t>
            </w:r>
          </w:p>
        </w:tc>
        <w:tc>
          <w:tcPr>
            <w:tcW w:w="494" w:type="dxa"/>
          </w:tcPr>
          <w:p>
            <w:pPr>
              <w:pStyle w:val="TableParagraph"/>
              <w:spacing w:line="206" w:lineRule="exact" w:before="20"/>
              <w:ind w:right="128"/>
              <w:jc w:val="right"/>
              <w:rPr>
                <w:sz w:val="18"/>
              </w:rPr>
            </w:pPr>
            <w:r>
              <w:rPr>
                <w:sz w:val="18"/>
              </w:rPr>
              <w:t>39</w:t>
            </w:r>
          </w:p>
        </w:tc>
        <w:tc>
          <w:tcPr>
            <w:tcW w:w="432" w:type="dxa"/>
          </w:tcPr>
          <w:p>
            <w:pPr>
              <w:pStyle w:val="TableParagraph"/>
              <w:spacing w:line="206" w:lineRule="exact" w:before="20"/>
              <w:ind w:right="99"/>
              <w:jc w:val="right"/>
              <w:rPr>
                <w:sz w:val="18"/>
              </w:rPr>
            </w:pPr>
            <w:r>
              <w:rPr>
                <w:sz w:val="18"/>
              </w:rPr>
              <w:t>40</w:t>
            </w:r>
          </w:p>
        </w:tc>
        <w:tc>
          <w:tcPr>
            <w:tcW w:w="463" w:type="dxa"/>
          </w:tcPr>
          <w:p>
            <w:pPr>
              <w:pStyle w:val="TableParagraph"/>
              <w:spacing w:line="206" w:lineRule="exact" w:before="20"/>
              <w:ind w:left="135"/>
              <w:rPr>
                <w:sz w:val="18"/>
              </w:rPr>
            </w:pPr>
            <w:r>
              <w:rPr>
                <w:sz w:val="18"/>
              </w:rPr>
              <w:t>41</w:t>
            </w:r>
          </w:p>
        </w:tc>
        <w:tc>
          <w:tcPr>
            <w:tcW w:w="465" w:type="dxa"/>
          </w:tcPr>
          <w:p>
            <w:pPr>
              <w:pStyle w:val="TableParagraph"/>
              <w:spacing w:line="206" w:lineRule="exact" w:before="20"/>
              <w:ind w:left="112" w:right="94"/>
              <w:jc w:val="center"/>
              <w:rPr>
                <w:sz w:val="18"/>
              </w:rPr>
            </w:pPr>
            <w:r>
              <w:rPr>
                <w:sz w:val="18"/>
              </w:rPr>
              <w:t>42</w:t>
            </w:r>
          </w:p>
        </w:tc>
        <w:tc>
          <w:tcPr>
            <w:tcW w:w="463" w:type="dxa"/>
          </w:tcPr>
          <w:p>
            <w:pPr>
              <w:pStyle w:val="TableParagraph"/>
              <w:spacing w:line="206" w:lineRule="exact" w:before="20"/>
              <w:ind w:left="114" w:right="93"/>
              <w:jc w:val="center"/>
              <w:rPr>
                <w:sz w:val="18"/>
              </w:rPr>
            </w:pPr>
            <w:r>
              <w:rPr>
                <w:sz w:val="18"/>
              </w:rPr>
              <w:t>43</w:t>
            </w:r>
          </w:p>
        </w:tc>
        <w:tc>
          <w:tcPr>
            <w:tcW w:w="463" w:type="dxa"/>
          </w:tcPr>
          <w:p>
            <w:pPr>
              <w:pStyle w:val="TableParagraph"/>
              <w:spacing w:line="206" w:lineRule="exact" w:before="20"/>
              <w:ind w:right="112"/>
              <w:jc w:val="right"/>
              <w:rPr>
                <w:sz w:val="18"/>
              </w:rPr>
            </w:pPr>
            <w:r>
              <w:rPr>
                <w:sz w:val="18"/>
              </w:rPr>
              <w:t>44</w:t>
            </w:r>
          </w:p>
        </w:tc>
        <w:tc>
          <w:tcPr>
            <w:tcW w:w="473" w:type="dxa"/>
          </w:tcPr>
          <w:p>
            <w:pPr>
              <w:pStyle w:val="TableParagraph"/>
              <w:spacing w:line="206" w:lineRule="exact" w:before="20"/>
              <w:ind w:left="141"/>
              <w:rPr>
                <w:sz w:val="18"/>
              </w:rPr>
            </w:pPr>
            <w:r>
              <w:rPr>
                <w:sz w:val="18"/>
              </w:rPr>
              <w:t>45</w:t>
            </w:r>
          </w:p>
        </w:tc>
      </w:tr>
      <w:tr>
        <w:trPr>
          <w:trHeight w:val="455" w:hRule="atLeast"/>
        </w:trPr>
        <w:tc>
          <w:tcPr>
            <w:tcW w:w="2078" w:type="dxa"/>
            <w:vMerge/>
            <w:tcBorders>
              <w:top w:val="nil"/>
            </w:tcBorders>
          </w:tcPr>
          <w:p>
            <w:pPr>
              <w:rPr>
                <w:sz w:val="2"/>
                <w:szCs w:val="2"/>
              </w:rPr>
            </w:pPr>
          </w:p>
        </w:tc>
        <w:tc>
          <w:tcPr>
            <w:tcW w:w="6557" w:type="dxa"/>
            <w:gridSpan w:val="14"/>
          </w:tcPr>
          <w:p>
            <w:pPr>
              <w:pStyle w:val="TableParagraph"/>
              <w:spacing w:line="206" w:lineRule="exact" w:before="20"/>
              <w:ind w:left="1459" w:right="1440"/>
              <w:jc w:val="center"/>
              <w:rPr>
                <w:rFonts w:ascii="Times New Roman"/>
                <w:b/>
                <w:i/>
                <w:sz w:val="18"/>
              </w:rPr>
            </w:pPr>
            <w:r>
              <w:rPr>
                <w:rFonts w:ascii="Times New Roman"/>
                <w:b/>
                <w:i/>
                <w:sz w:val="18"/>
              </w:rPr>
              <w:t>LCD_SEGDIO32[0] </w:t>
            </w:r>
            <w:r>
              <w:rPr>
                <w:sz w:val="18"/>
              </w:rPr>
              <w:t>to </w:t>
            </w:r>
            <w:r>
              <w:rPr>
                <w:rFonts w:ascii="Times New Roman"/>
                <w:b/>
                <w:i/>
                <w:sz w:val="18"/>
              </w:rPr>
              <w:t>LCD_SEGDIO45[0]</w:t>
            </w:r>
          </w:p>
          <w:p>
            <w:pPr>
              <w:pStyle w:val="TableParagraph"/>
              <w:spacing w:line="205" w:lineRule="exact"/>
              <w:ind w:left="1462" w:right="1440"/>
              <w:jc w:val="center"/>
              <w:rPr>
                <w:rFonts w:ascii="Times New Roman"/>
                <w:i/>
                <w:sz w:val="18"/>
              </w:rPr>
            </w:pPr>
            <w:r>
              <w:rPr>
                <w:rFonts w:ascii="Times New Roman"/>
                <w:i/>
                <w:sz w:val="18"/>
              </w:rPr>
              <w:t>(I/O RAM 0x2430[0] to 0x243D[0])</w:t>
            </w:r>
          </w:p>
        </w:tc>
      </w:tr>
      <w:tr>
        <w:trPr>
          <w:trHeight w:val="246" w:hRule="atLeast"/>
        </w:trPr>
        <w:tc>
          <w:tcPr>
            <w:tcW w:w="2078" w:type="dxa"/>
            <w:vMerge w:val="restart"/>
          </w:tcPr>
          <w:p>
            <w:pPr>
              <w:pStyle w:val="TableParagraph"/>
              <w:spacing w:before="147"/>
              <w:ind w:left="107" w:right="354"/>
              <w:rPr>
                <w:sz w:val="18"/>
              </w:rPr>
            </w:pPr>
            <w:r>
              <w:rPr>
                <w:sz w:val="18"/>
              </w:rPr>
              <w:t>Direction Register: 0 = input, 1 =</w:t>
            </w:r>
            <w:r>
              <w:rPr>
                <w:spacing w:val="-6"/>
                <w:sz w:val="18"/>
              </w:rPr>
              <w:t> </w:t>
            </w:r>
            <w:r>
              <w:rPr>
                <w:sz w:val="18"/>
              </w:rPr>
              <w:t>output</w:t>
            </w:r>
          </w:p>
        </w:tc>
        <w:tc>
          <w:tcPr>
            <w:tcW w:w="520" w:type="dxa"/>
          </w:tcPr>
          <w:p>
            <w:pPr>
              <w:pStyle w:val="TableParagraph"/>
              <w:spacing w:before="18"/>
              <w:ind w:left="141" w:right="128"/>
              <w:jc w:val="center"/>
              <w:rPr>
                <w:sz w:val="18"/>
              </w:rPr>
            </w:pPr>
            <w:r>
              <w:rPr>
                <w:sz w:val="18"/>
              </w:rPr>
              <w:t>32</w:t>
            </w:r>
          </w:p>
        </w:tc>
        <w:tc>
          <w:tcPr>
            <w:tcW w:w="465" w:type="dxa"/>
          </w:tcPr>
          <w:p>
            <w:pPr>
              <w:pStyle w:val="TableParagraph"/>
              <w:spacing w:before="18"/>
              <w:ind w:left="109" w:right="97"/>
              <w:jc w:val="center"/>
              <w:rPr>
                <w:sz w:val="18"/>
              </w:rPr>
            </w:pPr>
            <w:r>
              <w:rPr>
                <w:sz w:val="18"/>
              </w:rPr>
              <w:t>33</w:t>
            </w:r>
          </w:p>
        </w:tc>
        <w:tc>
          <w:tcPr>
            <w:tcW w:w="463" w:type="dxa"/>
          </w:tcPr>
          <w:p>
            <w:pPr>
              <w:pStyle w:val="TableParagraph"/>
              <w:spacing w:before="18"/>
              <w:ind w:right="115"/>
              <w:jc w:val="right"/>
              <w:rPr>
                <w:sz w:val="18"/>
              </w:rPr>
            </w:pPr>
            <w:r>
              <w:rPr>
                <w:sz w:val="18"/>
              </w:rPr>
              <w:t>34</w:t>
            </w:r>
          </w:p>
        </w:tc>
        <w:tc>
          <w:tcPr>
            <w:tcW w:w="427" w:type="dxa"/>
          </w:tcPr>
          <w:p>
            <w:pPr>
              <w:pStyle w:val="TableParagraph"/>
              <w:spacing w:before="18"/>
              <w:ind w:left="119"/>
              <w:rPr>
                <w:sz w:val="18"/>
              </w:rPr>
            </w:pPr>
            <w:r>
              <w:rPr>
                <w:sz w:val="18"/>
              </w:rPr>
              <w:t>35</w:t>
            </w:r>
          </w:p>
        </w:tc>
        <w:tc>
          <w:tcPr>
            <w:tcW w:w="501" w:type="dxa"/>
          </w:tcPr>
          <w:p>
            <w:pPr>
              <w:pStyle w:val="TableParagraph"/>
              <w:spacing w:before="18"/>
              <w:ind w:left="132" w:right="115"/>
              <w:jc w:val="center"/>
              <w:rPr>
                <w:sz w:val="18"/>
              </w:rPr>
            </w:pPr>
            <w:r>
              <w:rPr>
                <w:sz w:val="18"/>
              </w:rPr>
              <w:t>36</w:t>
            </w:r>
          </w:p>
        </w:tc>
        <w:tc>
          <w:tcPr>
            <w:tcW w:w="463" w:type="dxa"/>
          </w:tcPr>
          <w:p>
            <w:pPr>
              <w:pStyle w:val="TableParagraph"/>
              <w:spacing w:before="18"/>
              <w:ind w:left="111" w:right="94"/>
              <w:jc w:val="center"/>
              <w:rPr>
                <w:sz w:val="18"/>
              </w:rPr>
            </w:pPr>
            <w:r>
              <w:rPr>
                <w:sz w:val="18"/>
              </w:rPr>
              <w:t>37</w:t>
            </w:r>
          </w:p>
        </w:tc>
        <w:tc>
          <w:tcPr>
            <w:tcW w:w="465" w:type="dxa"/>
          </w:tcPr>
          <w:p>
            <w:pPr>
              <w:pStyle w:val="TableParagraph"/>
              <w:spacing w:before="18"/>
              <w:ind w:left="112" w:right="96"/>
              <w:jc w:val="center"/>
              <w:rPr>
                <w:sz w:val="18"/>
              </w:rPr>
            </w:pPr>
            <w:r>
              <w:rPr>
                <w:sz w:val="18"/>
              </w:rPr>
              <w:t>38</w:t>
            </w:r>
          </w:p>
        </w:tc>
        <w:tc>
          <w:tcPr>
            <w:tcW w:w="494" w:type="dxa"/>
          </w:tcPr>
          <w:p>
            <w:pPr>
              <w:pStyle w:val="TableParagraph"/>
              <w:spacing w:before="18"/>
              <w:ind w:right="128"/>
              <w:jc w:val="right"/>
              <w:rPr>
                <w:sz w:val="18"/>
              </w:rPr>
            </w:pPr>
            <w:r>
              <w:rPr>
                <w:sz w:val="18"/>
              </w:rPr>
              <w:t>39</w:t>
            </w:r>
          </w:p>
        </w:tc>
        <w:tc>
          <w:tcPr>
            <w:tcW w:w="432" w:type="dxa"/>
          </w:tcPr>
          <w:p>
            <w:pPr>
              <w:pStyle w:val="TableParagraph"/>
              <w:spacing w:before="18"/>
              <w:ind w:right="99"/>
              <w:jc w:val="right"/>
              <w:rPr>
                <w:sz w:val="18"/>
              </w:rPr>
            </w:pPr>
            <w:r>
              <w:rPr>
                <w:sz w:val="18"/>
              </w:rPr>
              <w:t>40</w:t>
            </w:r>
          </w:p>
        </w:tc>
        <w:tc>
          <w:tcPr>
            <w:tcW w:w="463" w:type="dxa"/>
          </w:tcPr>
          <w:p>
            <w:pPr>
              <w:pStyle w:val="TableParagraph"/>
              <w:spacing w:before="18"/>
              <w:ind w:left="135"/>
              <w:rPr>
                <w:sz w:val="18"/>
              </w:rPr>
            </w:pPr>
            <w:r>
              <w:rPr>
                <w:sz w:val="18"/>
              </w:rPr>
              <w:t>41</w:t>
            </w:r>
          </w:p>
        </w:tc>
        <w:tc>
          <w:tcPr>
            <w:tcW w:w="465" w:type="dxa"/>
          </w:tcPr>
          <w:p>
            <w:pPr>
              <w:pStyle w:val="TableParagraph"/>
              <w:spacing w:before="18"/>
              <w:ind w:left="112" w:right="94"/>
              <w:jc w:val="center"/>
              <w:rPr>
                <w:sz w:val="18"/>
              </w:rPr>
            </w:pPr>
            <w:r>
              <w:rPr>
                <w:sz w:val="18"/>
              </w:rPr>
              <w:t>42</w:t>
            </w:r>
          </w:p>
        </w:tc>
        <w:tc>
          <w:tcPr>
            <w:tcW w:w="463" w:type="dxa"/>
          </w:tcPr>
          <w:p>
            <w:pPr>
              <w:pStyle w:val="TableParagraph"/>
              <w:spacing w:before="18"/>
              <w:ind w:left="114" w:right="93"/>
              <w:jc w:val="center"/>
              <w:rPr>
                <w:sz w:val="18"/>
              </w:rPr>
            </w:pPr>
            <w:r>
              <w:rPr>
                <w:sz w:val="18"/>
              </w:rPr>
              <w:t>43</w:t>
            </w:r>
          </w:p>
        </w:tc>
        <w:tc>
          <w:tcPr>
            <w:tcW w:w="463" w:type="dxa"/>
          </w:tcPr>
          <w:p>
            <w:pPr>
              <w:pStyle w:val="TableParagraph"/>
              <w:spacing w:before="18"/>
              <w:ind w:right="112"/>
              <w:jc w:val="right"/>
              <w:rPr>
                <w:sz w:val="18"/>
              </w:rPr>
            </w:pPr>
            <w:r>
              <w:rPr>
                <w:sz w:val="18"/>
              </w:rPr>
              <w:t>44</w:t>
            </w:r>
          </w:p>
        </w:tc>
        <w:tc>
          <w:tcPr>
            <w:tcW w:w="473" w:type="dxa"/>
          </w:tcPr>
          <w:p>
            <w:pPr>
              <w:pStyle w:val="TableParagraph"/>
              <w:spacing w:before="18"/>
              <w:ind w:left="141"/>
              <w:rPr>
                <w:sz w:val="18"/>
              </w:rPr>
            </w:pPr>
            <w:r>
              <w:rPr>
                <w:sz w:val="18"/>
              </w:rPr>
              <w:t>45</w:t>
            </w:r>
          </w:p>
        </w:tc>
      </w:tr>
      <w:tr>
        <w:trPr>
          <w:trHeight w:val="455" w:hRule="atLeast"/>
        </w:trPr>
        <w:tc>
          <w:tcPr>
            <w:tcW w:w="2078" w:type="dxa"/>
            <w:vMerge/>
            <w:tcBorders>
              <w:top w:val="nil"/>
            </w:tcBorders>
          </w:tcPr>
          <w:p>
            <w:pPr>
              <w:rPr>
                <w:sz w:val="2"/>
                <w:szCs w:val="2"/>
              </w:rPr>
            </w:pPr>
          </w:p>
        </w:tc>
        <w:tc>
          <w:tcPr>
            <w:tcW w:w="6557" w:type="dxa"/>
            <w:gridSpan w:val="14"/>
          </w:tcPr>
          <w:p>
            <w:pPr>
              <w:pStyle w:val="TableParagraph"/>
              <w:spacing w:line="206" w:lineRule="exact" w:before="18"/>
              <w:ind w:left="1459" w:right="1440"/>
              <w:jc w:val="center"/>
              <w:rPr>
                <w:rFonts w:ascii="Times New Roman"/>
                <w:b/>
                <w:i/>
                <w:sz w:val="18"/>
              </w:rPr>
            </w:pPr>
            <w:r>
              <w:rPr>
                <w:rFonts w:ascii="Times New Roman"/>
                <w:b/>
                <w:i/>
                <w:sz w:val="18"/>
              </w:rPr>
              <w:t>LCD_SEGDIO32[1] </w:t>
            </w:r>
            <w:r>
              <w:rPr>
                <w:sz w:val="18"/>
              </w:rPr>
              <w:t>to </w:t>
            </w:r>
            <w:r>
              <w:rPr>
                <w:rFonts w:ascii="Times New Roman"/>
                <w:b/>
                <w:i/>
                <w:sz w:val="18"/>
              </w:rPr>
              <w:t>LCD_SEGDIO45[1]</w:t>
            </w:r>
          </w:p>
          <w:p>
            <w:pPr>
              <w:pStyle w:val="TableParagraph"/>
              <w:spacing w:line="205" w:lineRule="exact"/>
              <w:ind w:left="1462" w:right="1440"/>
              <w:jc w:val="center"/>
              <w:rPr>
                <w:rFonts w:ascii="Times New Roman"/>
                <w:i/>
                <w:sz w:val="18"/>
              </w:rPr>
            </w:pPr>
            <w:r>
              <w:rPr>
                <w:rFonts w:ascii="Times New Roman"/>
                <w:i/>
                <w:sz w:val="18"/>
              </w:rPr>
              <w:t>(I/O RAM 0x2430[1] to 0x243D[1])</w:t>
            </w:r>
          </w:p>
        </w:tc>
      </w:tr>
    </w:tbl>
    <w:p>
      <w:pPr>
        <w:spacing w:after="0" w:line="205" w:lineRule="exact"/>
        <w:jc w:val="center"/>
        <w:rPr>
          <w:rFonts w:ascii="Times New Roman"/>
          <w:sz w:val="18"/>
        </w:rPr>
        <w:sectPr>
          <w:pgSz w:w="12240" w:h="15840"/>
          <w:pgMar w:header="727" w:footer="819" w:top="960" w:bottom="1000" w:left="1200" w:right="1060"/>
        </w:sectPr>
      </w:pPr>
    </w:p>
    <w:p>
      <w:pPr>
        <w:pStyle w:val="BodyText"/>
        <w:spacing w:before="8"/>
        <w:rPr>
          <w:b/>
          <w:sz w:val="16"/>
        </w:rPr>
      </w:pPr>
    </w:p>
    <w:p>
      <w:pPr>
        <w:pStyle w:val="Heading1"/>
        <w:spacing w:before="93"/>
        <w:ind w:left="60" w:right="204"/>
      </w:pPr>
      <w:bookmarkStart w:name="_bookmark124" w:id="253"/>
      <w:bookmarkEnd w:id="253"/>
      <w:r>
        <w:rPr>
          <w:b w:val="0"/>
        </w:rPr>
      </w:r>
      <w:r>
        <w:rPr/>
        <w:t>Table 50: Data/Direction Registers for SEGDIO51 to SEGDIO55</w:t>
      </w:r>
    </w:p>
    <w:p>
      <w:pPr>
        <w:pStyle w:val="BodyText"/>
        <w:spacing w:before="2"/>
        <w:rPr>
          <w:b/>
          <w:sz w:val="7"/>
        </w:rPr>
      </w:pPr>
    </w:p>
    <w:tbl>
      <w:tblPr>
        <w:tblW w:w="0" w:type="auto"/>
        <w:jc w:val="left"/>
        <w:tblInd w:w="1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3"/>
        <w:gridCol w:w="523"/>
        <w:gridCol w:w="465"/>
        <w:gridCol w:w="463"/>
        <w:gridCol w:w="427"/>
        <w:gridCol w:w="501"/>
        <w:gridCol w:w="551"/>
        <w:gridCol w:w="551"/>
        <w:gridCol w:w="551"/>
      </w:tblGrid>
      <w:tr>
        <w:trPr>
          <w:trHeight w:val="265" w:hRule="atLeast"/>
        </w:trPr>
        <w:tc>
          <w:tcPr>
            <w:tcW w:w="2083" w:type="dxa"/>
          </w:tcPr>
          <w:p>
            <w:pPr>
              <w:pStyle w:val="TableParagraph"/>
              <w:spacing w:before="23"/>
              <w:ind w:left="670" w:right="662"/>
              <w:jc w:val="center"/>
              <w:rPr>
                <w:b/>
                <w:sz w:val="18"/>
              </w:rPr>
            </w:pPr>
            <w:r>
              <w:rPr>
                <w:b/>
                <w:sz w:val="18"/>
              </w:rPr>
              <w:t>SEGDIO</w:t>
            </w:r>
          </w:p>
        </w:tc>
        <w:tc>
          <w:tcPr>
            <w:tcW w:w="523" w:type="dxa"/>
          </w:tcPr>
          <w:p>
            <w:pPr>
              <w:pStyle w:val="TableParagraph"/>
              <w:spacing w:before="23"/>
              <w:ind w:left="160"/>
              <w:rPr>
                <w:b/>
                <w:sz w:val="18"/>
              </w:rPr>
            </w:pPr>
            <w:r>
              <w:rPr>
                <w:b/>
                <w:sz w:val="18"/>
              </w:rPr>
              <w:t>51</w:t>
            </w:r>
          </w:p>
        </w:tc>
        <w:tc>
          <w:tcPr>
            <w:tcW w:w="465" w:type="dxa"/>
          </w:tcPr>
          <w:p>
            <w:pPr>
              <w:pStyle w:val="TableParagraph"/>
              <w:spacing w:before="23"/>
              <w:ind w:left="108" w:right="97"/>
              <w:jc w:val="center"/>
              <w:rPr>
                <w:b/>
                <w:sz w:val="18"/>
              </w:rPr>
            </w:pPr>
            <w:r>
              <w:rPr>
                <w:b/>
                <w:sz w:val="18"/>
              </w:rPr>
              <w:t>52</w:t>
            </w:r>
          </w:p>
        </w:tc>
        <w:tc>
          <w:tcPr>
            <w:tcW w:w="463" w:type="dxa"/>
          </w:tcPr>
          <w:p>
            <w:pPr>
              <w:pStyle w:val="TableParagraph"/>
              <w:spacing w:before="23"/>
              <w:ind w:left="132"/>
              <w:rPr>
                <w:b/>
                <w:sz w:val="18"/>
              </w:rPr>
            </w:pPr>
            <w:r>
              <w:rPr>
                <w:b/>
                <w:sz w:val="18"/>
              </w:rPr>
              <w:t>53</w:t>
            </w:r>
          </w:p>
        </w:tc>
        <w:tc>
          <w:tcPr>
            <w:tcW w:w="427" w:type="dxa"/>
          </w:tcPr>
          <w:p>
            <w:pPr>
              <w:pStyle w:val="TableParagraph"/>
              <w:spacing w:before="23"/>
              <w:ind w:left="94" w:right="82"/>
              <w:jc w:val="center"/>
              <w:rPr>
                <w:b/>
                <w:sz w:val="18"/>
              </w:rPr>
            </w:pPr>
            <w:r>
              <w:rPr>
                <w:b/>
                <w:sz w:val="18"/>
              </w:rPr>
              <w:t>54</w:t>
            </w:r>
          </w:p>
        </w:tc>
        <w:tc>
          <w:tcPr>
            <w:tcW w:w="501" w:type="dxa"/>
          </w:tcPr>
          <w:p>
            <w:pPr>
              <w:pStyle w:val="TableParagraph"/>
              <w:spacing w:before="23"/>
              <w:ind w:left="131" w:right="116"/>
              <w:jc w:val="center"/>
              <w:rPr>
                <w:b/>
                <w:sz w:val="18"/>
              </w:rPr>
            </w:pPr>
            <w:r>
              <w:rPr>
                <w:b/>
                <w:sz w:val="18"/>
              </w:rPr>
              <w:t>55</w:t>
            </w:r>
          </w:p>
        </w:tc>
        <w:tc>
          <w:tcPr>
            <w:tcW w:w="551" w:type="dxa"/>
          </w:tcPr>
          <w:p>
            <w:pPr>
              <w:pStyle w:val="TableParagraph"/>
              <w:rPr>
                <w:rFonts w:ascii="Times New Roman"/>
                <w:sz w:val="18"/>
              </w:rPr>
            </w:pPr>
          </w:p>
        </w:tc>
        <w:tc>
          <w:tcPr>
            <w:tcW w:w="551" w:type="dxa"/>
          </w:tcPr>
          <w:p>
            <w:pPr>
              <w:pStyle w:val="TableParagraph"/>
              <w:rPr>
                <w:rFonts w:ascii="Times New Roman"/>
                <w:sz w:val="18"/>
              </w:rPr>
            </w:pPr>
          </w:p>
        </w:tc>
        <w:tc>
          <w:tcPr>
            <w:tcW w:w="551" w:type="dxa"/>
          </w:tcPr>
          <w:p>
            <w:pPr>
              <w:pStyle w:val="TableParagraph"/>
              <w:rPr>
                <w:rFonts w:ascii="Times New Roman"/>
                <w:sz w:val="18"/>
              </w:rPr>
            </w:pPr>
          </w:p>
        </w:tc>
      </w:tr>
      <w:tr>
        <w:trPr>
          <w:trHeight w:val="268" w:hRule="atLeast"/>
        </w:trPr>
        <w:tc>
          <w:tcPr>
            <w:tcW w:w="2083" w:type="dxa"/>
            <w:tcBorders>
              <w:bottom w:val="double" w:sz="1" w:space="0" w:color="000000"/>
            </w:tcBorders>
          </w:tcPr>
          <w:p>
            <w:pPr>
              <w:pStyle w:val="TableParagraph"/>
              <w:spacing w:before="25"/>
              <w:ind w:left="670" w:right="661"/>
              <w:jc w:val="center"/>
              <w:rPr>
                <w:b/>
                <w:sz w:val="18"/>
              </w:rPr>
            </w:pPr>
            <w:r>
              <w:rPr>
                <w:b/>
                <w:sz w:val="18"/>
              </w:rPr>
              <w:t>Pin #</w:t>
            </w:r>
          </w:p>
        </w:tc>
        <w:tc>
          <w:tcPr>
            <w:tcW w:w="523" w:type="dxa"/>
            <w:tcBorders>
              <w:bottom w:val="double" w:sz="1" w:space="0" w:color="000000"/>
            </w:tcBorders>
          </w:tcPr>
          <w:p>
            <w:pPr>
              <w:pStyle w:val="TableParagraph"/>
              <w:spacing w:before="25"/>
              <w:ind w:left="160"/>
              <w:rPr>
                <w:b/>
                <w:sz w:val="18"/>
              </w:rPr>
            </w:pPr>
            <w:r>
              <w:rPr>
                <w:b/>
                <w:sz w:val="18"/>
              </w:rPr>
              <w:t>53</w:t>
            </w:r>
          </w:p>
        </w:tc>
        <w:tc>
          <w:tcPr>
            <w:tcW w:w="465" w:type="dxa"/>
            <w:tcBorders>
              <w:bottom w:val="double" w:sz="1" w:space="0" w:color="000000"/>
            </w:tcBorders>
          </w:tcPr>
          <w:p>
            <w:pPr>
              <w:pStyle w:val="TableParagraph"/>
              <w:spacing w:before="25"/>
              <w:ind w:left="108" w:right="97"/>
              <w:jc w:val="center"/>
              <w:rPr>
                <w:b/>
                <w:sz w:val="18"/>
              </w:rPr>
            </w:pPr>
            <w:r>
              <w:rPr>
                <w:b/>
                <w:sz w:val="18"/>
              </w:rPr>
              <w:t>52</w:t>
            </w:r>
          </w:p>
        </w:tc>
        <w:tc>
          <w:tcPr>
            <w:tcW w:w="463" w:type="dxa"/>
            <w:tcBorders>
              <w:bottom w:val="double" w:sz="1" w:space="0" w:color="000000"/>
            </w:tcBorders>
          </w:tcPr>
          <w:p>
            <w:pPr>
              <w:pStyle w:val="TableParagraph"/>
              <w:spacing w:before="25"/>
              <w:ind w:left="132"/>
              <w:rPr>
                <w:b/>
                <w:sz w:val="18"/>
              </w:rPr>
            </w:pPr>
            <w:r>
              <w:rPr>
                <w:b/>
                <w:sz w:val="18"/>
              </w:rPr>
              <w:t>51</w:t>
            </w:r>
          </w:p>
        </w:tc>
        <w:tc>
          <w:tcPr>
            <w:tcW w:w="427" w:type="dxa"/>
            <w:tcBorders>
              <w:bottom w:val="double" w:sz="1" w:space="0" w:color="000000"/>
            </w:tcBorders>
          </w:tcPr>
          <w:p>
            <w:pPr>
              <w:pStyle w:val="TableParagraph"/>
              <w:spacing w:before="25"/>
              <w:ind w:left="94" w:right="82"/>
              <w:jc w:val="center"/>
              <w:rPr>
                <w:b/>
                <w:sz w:val="18"/>
              </w:rPr>
            </w:pPr>
            <w:r>
              <w:rPr>
                <w:b/>
                <w:sz w:val="18"/>
              </w:rPr>
              <w:t>47</w:t>
            </w:r>
          </w:p>
        </w:tc>
        <w:tc>
          <w:tcPr>
            <w:tcW w:w="501" w:type="dxa"/>
            <w:tcBorders>
              <w:bottom w:val="double" w:sz="1" w:space="0" w:color="000000"/>
            </w:tcBorders>
          </w:tcPr>
          <w:p>
            <w:pPr>
              <w:pStyle w:val="TableParagraph"/>
              <w:spacing w:before="25"/>
              <w:ind w:left="131" w:right="116"/>
              <w:jc w:val="center"/>
              <w:rPr>
                <w:b/>
                <w:sz w:val="18"/>
              </w:rPr>
            </w:pPr>
            <w:r>
              <w:rPr>
                <w:b/>
                <w:sz w:val="18"/>
              </w:rPr>
              <w:t>46</w:t>
            </w:r>
          </w:p>
        </w:tc>
        <w:tc>
          <w:tcPr>
            <w:tcW w:w="551" w:type="dxa"/>
            <w:tcBorders>
              <w:bottom w:val="double" w:sz="1" w:space="0" w:color="000000"/>
            </w:tcBorders>
          </w:tcPr>
          <w:p>
            <w:pPr>
              <w:pStyle w:val="TableParagraph"/>
              <w:spacing w:before="25"/>
              <w:ind w:left="13"/>
              <w:jc w:val="center"/>
              <w:rPr>
                <w:b/>
                <w:sz w:val="18"/>
              </w:rPr>
            </w:pPr>
            <w:r>
              <w:rPr>
                <w:b/>
                <w:sz w:val="18"/>
              </w:rPr>
              <w:t>–</w:t>
            </w:r>
          </w:p>
        </w:tc>
        <w:tc>
          <w:tcPr>
            <w:tcW w:w="551" w:type="dxa"/>
            <w:tcBorders>
              <w:bottom w:val="double" w:sz="1" w:space="0" w:color="000000"/>
            </w:tcBorders>
          </w:tcPr>
          <w:p>
            <w:pPr>
              <w:pStyle w:val="TableParagraph"/>
              <w:spacing w:before="25"/>
              <w:ind w:left="15"/>
              <w:jc w:val="center"/>
              <w:rPr>
                <w:b/>
                <w:sz w:val="18"/>
              </w:rPr>
            </w:pPr>
            <w:r>
              <w:rPr>
                <w:b/>
                <w:sz w:val="18"/>
              </w:rPr>
              <w:t>–</w:t>
            </w:r>
          </w:p>
        </w:tc>
        <w:tc>
          <w:tcPr>
            <w:tcW w:w="551" w:type="dxa"/>
            <w:tcBorders>
              <w:bottom w:val="double" w:sz="1" w:space="0" w:color="000000"/>
            </w:tcBorders>
          </w:tcPr>
          <w:p>
            <w:pPr>
              <w:pStyle w:val="TableParagraph"/>
              <w:spacing w:before="25"/>
              <w:ind w:left="17"/>
              <w:jc w:val="center"/>
              <w:rPr>
                <w:b/>
                <w:sz w:val="18"/>
              </w:rPr>
            </w:pPr>
            <w:r>
              <w:rPr>
                <w:b/>
                <w:sz w:val="18"/>
              </w:rPr>
              <w:t>–</w:t>
            </w:r>
          </w:p>
        </w:tc>
      </w:tr>
      <w:tr>
        <w:trPr>
          <w:trHeight w:val="246" w:hRule="atLeast"/>
        </w:trPr>
        <w:tc>
          <w:tcPr>
            <w:tcW w:w="2083" w:type="dxa"/>
            <w:vMerge w:val="restart"/>
            <w:tcBorders>
              <w:top w:val="double" w:sz="1" w:space="0" w:color="000000"/>
            </w:tcBorders>
          </w:tcPr>
          <w:p>
            <w:pPr>
              <w:pStyle w:val="TableParagraph"/>
              <w:spacing w:before="137"/>
              <w:ind w:left="107"/>
              <w:rPr>
                <w:sz w:val="18"/>
              </w:rPr>
            </w:pPr>
            <w:r>
              <w:rPr>
                <w:sz w:val="18"/>
              </w:rPr>
              <w:t>Configuration:</w:t>
            </w:r>
          </w:p>
          <w:p>
            <w:pPr>
              <w:pStyle w:val="TableParagraph"/>
              <w:spacing w:before="22"/>
              <w:ind w:left="107"/>
              <w:rPr>
                <w:sz w:val="18"/>
              </w:rPr>
            </w:pPr>
            <w:r>
              <w:rPr>
                <w:sz w:val="18"/>
              </w:rPr>
              <w:t>0 = DIO, 1 = LCD</w:t>
            </w:r>
          </w:p>
        </w:tc>
        <w:tc>
          <w:tcPr>
            <w:tcW w:w="523" w:type="dxa"/>
            <w:tcBorders>
              <w:top w:val="double" w:sz="1" w:space="0" w:color="000000"/>
            </w:tcBorders>
          </w:tcPr>
          <w:p>
            <w:pPr>
              <w:pStyle w:val="TableParagraph"/>
              <w:spacing w:before="17"/>
              <w:ind w:left="211"/>
              <w:rPr>
                <w:sz w:val="18"/>
              </w:rPr>
            </w:pPr>
            <w:r>
              <w:rPr>
                <w:sz w:val="18"/>
              </w:rPr>
              <w:t>3</w:t>
            </w:r>
          </w:p>
        </w:tc>
        <w:tc>
          <w:tcPr>
            <w:tcW w:w="465" w:type="dxa"/>
            <w:tcBorders>
              <w:top w:val="double" w:sz="1" w:space="0" w:color="000000"/>
            </w:tcBorders>
          </w:tcPr>
          <w:p>
            <w:pPr>
              <w:pStyle w:val="TableParagraph"/>
              <w:spacing w:before="17"/>
              <w:ind w:left="10"/>
              <w:jc w:val="center"/>
              <w:rPr>
                <w:sz w:val="18"/>
              </w:rPr>
            </w:pPr>
            <w:r>
              <w:rPr>
                <w:sz w:val="18"/>
              </w:rPr>
              <w:t>4</w:t>
            </w:r>
          </w:p>
        </w:tc>
        <w:tc>
          <w:tcPr>
            <w:tcW w:w="463" w:type="dxa"/>
            <w:tcBorders>
              <w:top w:val="double" w:sz="1" w:space="0" w:color="000000"/>
            </w:tcBorders>
          </w:tcPr>
          <w:p>
            <w:pPr>
              <w:pStyle w:val="TableParagraph"/>
              <w:spacing w:before="17"/>
              <w:ind w:left="183"/>
              <w:rPr>
                <w:sz w:val="18"/>
              </w:rPr>
            </w:pPr>
            <w:r>
              <w:rPr>
                <w:sz w:val="18"/>
              </w:rPr>
              <w:t>5</w:t>
            </w:r>
          </w:p>
        </w:tc>
        <w:tc>
          <w:tcPr>
            <w:tcW w:w="427" w:type="dxa"/>
            <w:tcBorders>
              <w:top w:val="double" w:sz="1" w:space="0" w:color="000000"/>
            </w:tcBorders>
          </w:tcPr>
          <w:p>
            <w:pPr>
              <w:pStyle w:val="TableParagraph"/>
              <w:spacing w:before="17"/>
              <w:ind w:left="11"/>
              <w:jc w:val="center"/>
              <w:rPr>
                <w:sz w:val="18"/>
              </w:rPr>
            </w:pPr>
            <w:r>
              <w:rPr>
                <w:sz w:val="18"/>
              </w:rPr>
              <w:t>6</w:t>
            </w:r>
          </w:p>
        </w:tc>
        <w:tc>
          <w:tcPr>
            <w:tcW w:w="501" w:type="dxa"/>
            <w:tcBorders>
              <w:top w:val="double" w:sz="1" w:space="0" w:color="000000"/>
            </w:tcBorders>
          </w:tcPr>
          <w:p>
            <w:pPr>
              <w:pStyle w:val="TableParagraph"/>
              <w:spacing w:before="17"/>
              <w:ind w:left="9"/>
              <w:jc w:val="center"/>
              <w:rPr>
                <w:sz w:val="18"/>
              </w:rPr>
            </w:pPr>
            <w:r>
              <w:rPr>
                <w:sz w:val="18"/>
              </w:rPr>
              <w:t>7</w:t>
            </w:r>
          </w:p>
        </w:tc>
        <w:tc>
          <w:tcPr>
            <w:tcW w:w="551" w:type="dxa"/>
            <w:tcBorders>
              <w:top w:val="double" w:sz="1" w:space="0" w:color="000000"/>
            </w:tcBorders>
          </w:tcPr>
          <w:p>
            <w:pPr>
              <w:pStyle w:val="TableParagraph"/>
              <w:spacing w:before="17"/>
              <w:ind w:left="13"/>
              <w:jc w:val="center"/>
              <w:rPr>
                <w:sz w:val="18"/>
              </w:rPr>
            </w:pPr>
            <w:r>
              <w:rPr>
                <w:sz w:val="18"/>
              </w:rPr>
              <w:t>–</w:t>
            </w:r>
          </w:p>
        </w:tc>
        <w:tc>
          <w:tcPr>
            <w:tcW w:w="551" w:type="dxa"/>
            <w:tcBorders>
              <w:top w:val="double" w:sz="1" w:space="0" w:color="000000"/>
            </w:tcBorders>
          </w:tcPr>
          <w:p>
            <w:pPr>
              <w:pStyle w:val="TableParagraph"/>
              <w:spacing w:before="17"/>
              <w:ind w:left="15"/>
              <w:jc w:val="center"/>
              <w:rPr>
                <w:sz w:val="18"/>
              </w:rPr>
            </w:pPr>
            <w:r>
              <w:rPr>
                <w:sz w:val="18"/>
              </w:rPr>
              <w:t>–</w:t>
            </w:r>
          </w:p>
        </w:tc>
        <w:tc>
          <w:tcPr>
            <w:tcW w:w="551" w:type="dxa"/>
            <w:tcBorders>
              <w:top w:val="double" w:sz="1" w:space="0" w:color="000000"/>
            </w:tcBorders>
          </w:tcPr>
          <w:p>
            <w:pPr>
              <w:pStyle w:val="TableParagraph"/>
              <w:spacing w:before="17"/>
              <w:ind w:left="17"/>
              <w:jc w:val="center"/>
              <w:rPr>
                <w:sz w:val="18"/>
              </w:rPr>
            </w:pPr>
            <w:r>
              <w:rPr>
                <w:sz w:val="18"/>
              </w:rPr>
              <w:t>–</w:t>
            </w:r>
          </w:p>
        </w:tc>
      </w:tr>
      <w:tr>
        <w:trPr>
          <w:trHeight w:val="455" w:hRule="atLeast"/>
        </w:trPr>
        <w:tc>
          <w:tcPr>
            <w:tcW w:w="2083" w:type="dxa"/>
            <w:vMerge/>
            <w:tcBorders>
              <w:top w:val="nil"/>
            </w:tcBorders>
          </w:tcPr>
          <w:p>
            <w:pPr>
              <w:rPr>
                <w:sz w:val="2"/>
                <w:szCs w:val="2"/>
              </w:rPr>
            </w:pPr>
          </w:p>
        </w:tc>
        <w:tc>
          <w:tcPr>
            <w:tcW w:w="4032" w:type="dxa"/>
            <w:gridSpan w:val="8"/>
          </w:tcPr>
          <w:p>
            <w:pPr>
              <w:pStyle w:val="TableParagraph"/>
              <w:spacing w:line="205" w:lineRule="exact" w:before="19"/>
              <w:ind w:left="218" w:right="176"/>
              <w:jc w:val="center"/>
              <w:rPr>
                <w:rFonts w:ascii="Times New Roman"/>
                <w:b/>
                <w:i/>
                <w:sz w:val="18"/>
              </w:rPr>
            </w:pPr>
            <w:r>
              <w:rPr>
                <w:rFonts w:ascii="Times New Roman"/>
                <w:b/>
                <w:i/>
                <w:spacing w:val="-7"/>
                <w:sz w:val="18"/>
              </w:rPr>
              <w:t>LCD_MAP[55:48]</w:t>
            </w:r>
          </w:p>
          <w:p>
            <w:pPr>
              <w:pStyle w:val="TableParagraph"/>
              <w:spacing w:line="205" w:lineRule="exact"/>
              <w:ind w:left="215" w:right="178"/>
              <w:jc w:val="center"/>
              <w:rPr>
                <w:rFonts w:ascii="Times New Roman"/>
                <w:i/>
                <w:sz w:val="18"/>
              </w:rPr>
            </w:pPr>
            <w:r>
              <w:rPr>
                <w:rFonts w:ascii="Times New Roman"/>
                <w:i/>
                <w:spacing w:val="-6"/>
                <w:sz w:val="18"/>
              </w:rPr>
              <w:t>(I/O </w:t>
            </w:r>
            <w:r>
              <w:rPr>
                <w:rFonts w:ascii="Times New Roman"/>
                <w:i/>
                <w:spacing w:val="-4"/>
                <w:sz w:val="18"/>
              </w:rPr>
              <w:t>RAM</w:t>
            </w:r>
            <w:r>
              <w:rPr>
                <w:rFonts w:ascii="Times New Roman"/>
                <w:i/>
                <w:spacing w:val="-18"/>
                <w:sz w:val="18"/>
              </w:rPr>
              <w:t> </w:t>
            </w:r>
            <w:r>
              <w:rPr>
                <w:rFonts w:ascii="Times New Roman"/>
                <w:i/>
                <w:spacing w:val="-6"/>
                <w:sz w:val="18"/>
              </w:rPr>
              <w:t>0x2405)</w:t>
            </w:r>
          </w:p>
        </w:tc>
      </w:tr>
      <w:tr>
        <w:trPr>
          <w:trHeight w:val="246" w:hRule="atLeast"/>
        </w:trPr>
        <w:tc>
          <w:tcPr>
            <w:tcW w:w="2083" w:type="dxa"/>
            <w:vMerge w:val="restart"/>
          </w:tcPr>
          <w:p>
            <w:pPr>
              <w:pStyle w:val="TableParagraph"/>
              <w:spacing w:before="9"/>
              <w:rPr>
                <w:b/>
                <w:sz w:val="21"/>
              </w:rPr>
            </w:pPr>
          </w:p>
          <w:p>
            <w:pPr>
              <w:pStyle w:val="TableParagraph"/>
              <w:ind w:left="107"/>
              <w:rPr>
                <w:sz w:val="18"/>
              </w:rPr>
            </w:pPr>
            <w:r>
              <w:rPr>
                <w:sz w:val="18"/>
              </w:rPr>
              <w:t>SEG Data Register</w:t>
            </w:r>
          </w:p>
        </w:tc>
        <w:tc>
          <w:tcPr>
            <w:tcW w:w="523" w:type="dxa"/>
          </w:tcPr>
          <w:p>
            <w:pPr>
              <w:pStyle w:val="TableParagraph"/>
              <w:spacing w:before="18"/>
              <w:ind w:left="160"/>
              <w:rPr>
                <w:sz w:val="18"/>
              </w:rPr>
            </w:pPr>
            <w:r>
              <w:rPr>
                <w:sz w:val="18"/>
              </w:rPr>
              <w:t>51</w:t>
            </w:r>
          </w:p>
        </w:tc>
        <w:tc>
          <w:tcPr>
            <w:tcW w:w="465" w:type="dxa"/>
          </w:tcPr>
          <w:p>
            <w:pPr>
              <w:pStyle w:val="TableParagraph"/>
              <w:spacing w:before="18"/>
              <w:ind w:left="108" w:right="97"/>
              <w:jc w:val="center"/>
              <w:rPr>
                <w:sz w:val="18"/>
              </w:rPr>
            </w:pPr>
            <w:r>
              <w:rPr>
                <w:sz w:val="18"/>
              </w:rPr>
              <w:t>52</w:t>
            </w:r>
          </w:p>
        </w:tc>
        <w:tc>
          <w:tcPr>
            <w:tcW w:w="463" w:type="dxa"/>
          </w:tcPr>
          <w:p>
            <w:pPr>
              <w:pStyle w:val="TableParagraph"/>
              <w:spacing w:before="18"/>
              <w:ind w:left="132"/>
              <w:rPr>
                <w:sz w:val="18"/>
              </w:rPr>
            </w:pPr>
            <w:r>
              <w:rPr>
                <w:sz w:val="18"/>
              </w:rPr>
              <w:t>53</w:t>
            </w:r>
          </w:p>
        </w:tc>
        <w:tc>
          <w:tcPr>
            <w:tcW w:w="427" w:type="dxa"/>
          </w:tcPr>
          <w:p>
            <w:pPr>
              <w:pStyle w:val="TableParagraph"/>
              <w:spacing w:before="18"/>
              <w:ind w:left="94" w:right="82"/>
              <w:jc w:val="center"/>
              <w:rPr>
                <w:sz w:val="18"/>
              </w:rPr>
            </w:pPr>
            <w:r>
              <w:rPr>
                <w:sz w:val="18"/>
              </w:rPr>
              <w:t>54</w:t>
            </w:r>
          </w:p>
        </w:tc>
        <w:tc>
          <w:tcPr>
            <w:tcW w:w="501" w:type="dxa"/>
          </w:tcPr>
          <w:p>
            <w:pPr>
              <w:pStyle w:val="TableParagraph"/>
              <w:spacing w:before="18"/>
              <w:ind w:left="131" w:right="116"/>
              <w:jc w:val="center"/>
              <w:rPr>
                <w:sz w:val="18"/>
              </w:rPr>
            </w:pPr>
            <w:r>
              <w:rPr>
                <w:sz w:val="18"/>
              </w:rPr>
              <w:t>55</w:t>
            </w:r>
          </w:p>
        </w:tc>
        <w:tc>
          <w:tcPr>
            <w:tcW w:w="551" w:type="dxa"/>
          </w:tcPr>
          <w:p>
            <w:pPr>
              <w:pStyle w:val="TableParagraph"/>
              <w:spacing w:before="18"/>
              <w:ind w:left="13"/>
              <w:jc w:val="center"/>
              <w:rPr>
                <w:sz w:val="18"/>
              </w:rPr>
            </w:pPr>
            <w:r>
              <w:rPr>
                <w:sz w:val="18"/>
              </w:rPr>
              <w:t>–</w:t>
            </w:r>
          </w:p>
        </w:tc>
        <w:tc>
          <w:tcPr>
            <w:tcW w:w="551" w:type="dxa"/>
          </w:tcPr>
          <w:p>
            <w:pPr>
              <w:pStyle w:val="TableParagraph"/>
              <w:spacing w:before="18"/>
              <w:ind w:left="15"/>
              <w:jc w:val="center"/>
              <w:rPr>
                <w:sz w:val="18"/>
              </w:rPr>
            </w:pPr>
            <w:r>
              <w:rPr>
                <w:sz w:val="18"/>
              </w:rPr>
              <w:t>–</w:t>
            </w:r>
          </w:p>
        </w:tc>
        <w:tc>
          <w:tcPr>
            <w:tcW w:w="551" w:type="dxa"/>
          </w:tcPr>
          <w:p>
            <w:pPr>
              <w:pStyle w:val="TableParagraph"/>
              <w:spacing w:before="18"/>
              <w:ind w:left="17"/>
              <w:jc w:val="center"/>
              <w:rPr>
                <w:sz w:val="18"/>
              </w:rPr>
            </w:pPr>
            <w:r>
              <w:rPr>
                <w:sz w:val="18"/>
              </w:rPr>
              <w:t>–</w:t>
            </w:r>
          </w:p>
        </w:tc>
      </w:tr>
      <w:tr>
        <w:trPr>
          <w:trHeight w:val="453" w:hRule="atLeast"/>
        </w:trPr>
        <w:tc>
          <w:tcPr>
            <w:tcW w:w="2083" w:type="dxa"/>
            <w:vMerge/>
            <w:tcBorders>
              <w:top w:val="nil"/>
            </w:tcBorders>
          </w:tcPr>
          <w:p>
            <w:pPr>
              <w:rPr>
                <w:sz w:val="2"/>
                <w:szCs w:val="2"/>
              </w:rPr>
            </w:pPr>
          </w:p>
        </w:tc>
        <w:tc>
          <w:tcPr>
            <w:tcW w:w="4032" w:type="dxa"/>
            <w:gridSpan w:val="8"/>
          </w:tcPr>
          <w:p>
            <w:pPr>
              <w:pStyle w:val="TableParagraph"/>
              <w:spacing w:line="206" w:lineRule="exact" w:before="18"/>
              <w:ind w:left="218" w:right="178"/>
              <w:jc w:val="center"/>
              <w:rPr>
                <w:rFonts w:ascii="Times New Roman"/>
                <w:b/>
                <w:i/>
                <w:sz w:val="18"/>
              </w:rPr>
            </w:pPr>
            <w:r>
              <w:rPr>
                <w:rFonts w:ascii="Times New Roman"/>
                <w:b/>
                <w:i/>
                <w:sz w:val="18"/>
              </w:rPr>
              <w:t>LCD_SEGDIO51[5:0] </w:t>
            </w:r>
            <w:r>
              <w:rPr>
                <w:sz w:val="18"/>
              </w:rPr>
              <w:t>to </w:t>
            </w:r>
            <w:r>
              <w:rPr>
                <w:rFonts w:ascii="Times New Roman"/>
                <w:b/>
                <w:i/>
                <w:sz w:val="18"/>
              </w:rPr>
              <w:t>LCD_SEGDIO55[5:0]</w:t>
            </w:r>
          </w:p>
          <w:p>
            <w:pPr>
              <w:pStyle w:val="TableParagraph"/>
              <w:spacing w:line="205" w:lineRule="exact"/>
              <w:ind w:left="218" w:right="170"/>
              <w:jc w:val="center"/>
              <w:rPr>
                <w:rFonts w:ascii="Times New Roman"/>
                <w:i/>
                <w:sz w:val="18"/>
              </w:rPr>
            </w:pPr>
            <w:r>
              <w:rPr>
                <w:rFonts w:ascii="Times New Roman"/>
                <w:i/>
                <w:sz w:val="18"/>
              </w:rPr>
              <w:t>(I/O RAM 0x2443[5:0] to 0x2447[5:0])</w:t>
            </w:r>
          </w:p>
        </w:tc>
      </w:tr>
      <w:tr>
        <w:trPr>
          <w:trHeight w:val="246" w:hRule="atLeast"/>
        </w:trPr>
        <w:tc>
          <w:tcPr>
            <w:tcW w:w="2083" w:type="dxa"/>
            <w:vMerge w:val="restart"/>
          </w:tcPr>
          <w:p>
            <w:pPr>
              <w:pStyle w:val="TableParagraph"/>
              <w:spacing w:before="9"/>
              <w:rPr>
                <w:b/>
                <w:sz w:val="21"/>
              </w:rPr>
            </w:pPr>
          </w:p>
          <w:p>
            <w:pPr>
              <w:pStyle w:val="TableParagraph"/>
              <w:ind w:left="107"/>
              <w:rPr>
                <w:sz w:val="18"/>
              </w:rPr>
            </w:pPr>
            <w:r>
              <w:rPr>
                <w:sz w:val="18"/>
              </w:rPr>
              <w:t>DIO Data Register</w:t>
            </w:r>
          </w:p>
        </w:tc>
        <w:tc>
          <w:tcPr>
            <w:tcW w:w="523" w:type="dxa"/>
          </w:tcPr>
          <w:p>
            <w:pPr>
              <w:pStyle w:val="TableParagraph"/>
              <w:spacing w:line="206" w:lineRule="exact" w:before="20"/>
              <w:ind w:left="160"/>
              <w:rPr>
                <w:sz w:val="18"/>
              </w:rPr>
            </w:pPr>
            <w:r>
              <w:rPr>
                <w:sz w:val="18"/>
              </w:rPr>
              <w:t>51</w:t>
            </w:r>
          </w:p>
        </w:tc>
        <w:tc>
          <w:tcPr>
            <w:tcW w:w="465" w:type="dxa"/>
          </w:tcPr>
          <w:p>
            <w:pPr>
              <w:pStyle w:val="TableParagraph"/>
              <w:spacing w:line="206" w:lineRule="exact" w:before="20"/>
              <w:ind w:left="108" w:right="97"/>
              <w:jc w:val="center"/>
              <w:rPr>
                <w:sz w:val="18"/>
              </w:rPr>
            </w:pPr>
            <w:r>
              <w:rPr>
                <w:sz w:val="18"/>
              </w:rPr>
              <w:t>52</w:t>
            </w:r>
          </w:p>
        </w:tc>
        <w:tc>
          <w:tcPr>
            <w:tcW w:w="463" w:type="dxa"/>
          </w:tcPr>
          <w:p>
            <w:pPr>
              <w:pStyle w:val="TableParagraph"/>
              <w:spacing w:line="206" w:lineRule="exact" w:before="20"/>
              <w:ind w:left="132"/>
              <w:rPr>
                <w:sz w:val="18"/>
              </w:rPr>
            </w:pPr>
            <w:r>
              <w:rPr>
                <w:sz w:val="18"/>
              </w:rPr>
              <w:t>53</w:t>
            </w:r>
          </w:p>
        </w:tc>
        <w:tc>
          <w:tcPr>
            <w:tcW w:w="427" w:type="dxa"/>
          </w:tcPr>
          <w:p>
            <w:pPr>
              <w:pStyle w:val="TableParagraph"/>
              <w:spacing w:line="206" w:lineRule="exact" w:before="20"/>
              <w:ind w:left="94" w:right="82"/>
              <w:jc w:val="center"/>
              <w:rPr>
                <w:sz w:val="18"/>
              </w:rPr>
            </w:pPr>
            <w:r>
              <w:rPr>
                <w:sz w:val="18"/>
              </w:rPr>
              <w:t>54</w:t>
            </w:r>
          </w:p>
        </w:tc>
        <w:tc>
          <w:tcPr>
            <w:tcW w:w="501" w:type="dxa"/>
          </w:tcPr>
          <w:p>
            <w:pPr>
              <w:pStyle w:val="TableParagraph"/>
              <w:spacing w:line="206" w:lineRule="exact" w:before="20"/>
              <w:ind w:left="131" w:right="116"/>
              <w:jc w:val="center"/>
              <w:rPr>
                <w:sz w:val="18"/>
              </w:rPr>
            </w:pPr>
            <w:r>
              <w:rPr>
                <w:sz w:val="18"/>
              </w:rPr>
              <w:t>55</w:t>
            </w:r>
          </w:p>
        </w:tc>
        <w:tc>
          <w:tcPr>
            <w:tcW w:w="551" w:type="dxa"/>
          </w:tcPr>
          <w:p>
            <w:pPr>
              <w:pStyle w:val="TableParagraph"/>
              <w:spacing w:line="206" w:lineRule="exact" w:before="20"/>
              <w:ind w:left="13"/>
              <w:jc w:val="center"/>
              <w:rPr>
                <w:sz w:val="18"/>
              </w:rPr>
            </w:pPr>
            <w:r>
              <w:rPr>
                <w:sz w:val="18"/>
              </w:rPr>
              <w:t>–</w:t>
            </w:r>
          </w:p>
        </w:tc>
        <w:tc>
          <w:tcPr>
            <w:tcW w:w="551" w:type="dxa"/>
          </w:tcPr>
          <w:p>
            <w:pPr>
              <w:pStyle w:val="TableParagraph"/>
              <w:spacing w:line="206" w:lineRule="exact" w:before="20"/>
              <w:ind w:left="15"/>
              <w:jc w:val="center"/>
              <w:rPr>
                <w:sz w:val="18"/>
              </w:rPr>
            </w:pPr>
            <w:r>
              <w:rPr>
                <w:sz w:val="18"/>
              </w:rPr>
              <w:t>–</w:t>
            </w:r>
          </w:p>
        </w:tc>
        <w:tc>
          <w:tcPr>
            <w:tcW w:w="551" w:type="dxa"/>
          </w:tcPr>
          <w:p>
            <w:pPr>
              <w:pStyle w:val="TableParagraph"/>
              <w:spacing w:line="206" w:lineRule="exact" w:before="20"/>
              <w:ind w:left="17"/>
              <w:jc w:val="center"/>
              <w:rPr>
                <w:sz w:val="18"/>
              </w:rPr>
            </w:pPr>
            <w:r>
              <w:rPr>
                <w:sz w:val="18"/>
              </w:rPr>
              <w:t>–</w:t>
            </w:r>
          </w:p>
        </w:tc>
      </w:tr>
      <w:tr>
        <w:trPr>
          <w:trHeight w:val="455" w:hRule="atLeast"/>
        </w:trPr>
        <w:tc>
          <w:tcPr>
            <w:tcW w:w="2083" w:type="dxa"/>
            <w:vMerge/>
            <w:tcBorders>
              <w:top w:val="nil"/>
            </w:tcBorders>
          </w:tcPr>
          <w:p>
            <w:pPr>
              <w:rPr>
                <w:sz w:val="2"/>
                <w:szCs w:val="2"/>
              </w:rPr>
            </w:pPr>
          </w:p>
        </w:tc>
        <w:tc>
          <w:tcPr>
            <w:tcW w:w="4032" w:type="dxa"/>
            <w:gridSpan w:val="8"/>
          </w:tcPr>
          <w:p>
            <w:pPr>
              <w:pStyle w:val="TableParagraph"/>
              <w:spacing w:line="205" w:lineRule="exact" w:before="20"/>
              <w:ind w:left="197" w:right="178"/>
              <w:jc w:val="center"/>
              <w:rPr>
                <w:rFonts w:ascii="Times New Roman"/>
                <w:b/>
                <w:i/>
                <w:sz w:val="18"/>
              </w:rPr>
            </w:pPr>
            <w:r>
              <w:rPr>
                <w:rFonts w:ascii="Times New Roman"/>
                <w:b/>
                <w:i/>
                <w:sz w:val="18"/>
              </w:rPr>
              <w:t>LCD_SEGDIO51[0] </w:t>
            </w:r>
            <w:r>
              <w:rPr>
                <w:sz w:val="18"/>
              </w:rPr>
              <w:t>to </w:t>
            </w:r>
            <w:r>
              <w:rPr>
                <w:rFonts w:ascii="Times New Roman"/>
                <w:b/>
                <w:i/>
                <w:sz w:val="18"/>
              </w:rPr>
              <w:t>LCD_SEGDIO55[0]</w:t>
            </w:r>
          </w:p>
          <w:p>
            <w:pPr>
              <w:pStyle w:val="TableParagraph"/>
              <w:spacing w:line="204" w:lineRule="exact"/>
              <w:ind w:left="197" w:right="178"/>
              <w:jc w:val="center"/>
              <w:rPr>
                <w:rFonts w:ascii="Times New Roman"/>
                <w:i/>
                <w:sz w:val="18"/>
              </w:rPr>
            </w:pPr>
            <w:r>
              <w:rPr>
                <w:rFonts w:ascii="Times New Roman"/>
                <w:i/>
                <w:sz w:val="18"/>
              </w:rPr>
              <w:t>(I/O RAM 0x2443[0] to 0x2447[0])</w:t>
            </w:r>
          </w:p>
        </w:tc>
      </w:tr>
      <w:tr>
        <w:trPr>
          <w:trHeight w:val="246" w:hRule="atLeast"/>
        </w:trPr>
        <w:tc>
          <w:tcPr>
            <w:tcW w:w="2083" w:type="dxa"/>
            <w:vMerge w:val="restart"/>
          </w:tcPr>
          <w:p>
            <w:pPr>
              <w:pStyle w:val="TableParagraph"/>
              <w:spacing w:before="147"/>
              <w:ind w:left="107" w:right="359"/>
              <w:rPr>
                <w:sz w:val="18"/>
              </w:rPr>
            </w:pPr>
            <w:r>
              <w:rPr>
                <w:sz w:val="18"/>
              </w:rPr>
              <w:t>Direction Register: 0 = input, 1 =</w:t>
            </w:r>
            <w:r>
              <w:rPr>
                <w:spacing w:val="-6"/>
                <w:sz w:val="18"/>
              </w:rPr>
              <w:t> </w:t>
            </w:r>
            <w:r>
              <w:rPr>
                <w:sz w:val="18"/>
              </w:rPr>
              <w:t>output</w:t>
            </w:r>
          </w:p>
        </w:tc>
        <w:tc>
          <w:tcPr>
            <w:tcW w:w="523" w:type="dxa"/>
          </w:tcPr>
          <w:p>
            <w:pPr>
              <w:pStyle w:val="TableParagraph"/>
              <w:spacing w:before="18"/>
              <w:ind w:left="160"/>
              <w:rPr>
                <w:sz w:val="18"/>
              </w:rPr>
            </w:pPr>
            <w:r>
              <w:rPr>
                <w:sz w:val="18"/>
              </w:rPr>
              <w:t>51</w:t>
            </w:r>
          </w:p>
        </w:tc>
        <w:tc>
          <w:tcPr>
            <w:tcW w:w="465" w:type="dxa"/>
          </w:tcPr>
          <w:p>
            <w:pPr>
              <w:pStyle w:val="TableParagraph"/>
              <w:spacing w:before="18"/>
              <w:ind w:left="108" w:right="97"/>
              <w:jc w:val="center"/>
              <w:rPr>
                <w:sz w:val="18"/>
              </w:rPr>
            </w:pPr>
            <w:r>
              <w:rPr>
                <w:sz w:val="18"/>
              </w:rPr>
              <w:t>52</w:t>
            </w:r>
          </w:p>
        </w:tc>
        <w:tc>
          <w:tcPr>
            <w:tcW w:w="463" w:type="dxa"/>
          </w:tcPr>
          <w:p>
            <w:pPr>
              <w:pStyle w:val="TableParagraph"/>
              <w:spacing w:before="18"/>
              <w:ind w:left="132"/>
              <w:rPr>
                <w:sz w:val="18"/>
              </w:rPr>
            </w:pPr>
            <w:r>
              <w:rPr>
                <w:sz w:val="18"/>
              </w:rPr>
              <w:t>53</w:t>
            </w:r>
          </w:p>
        </w:tc>
        <w:tc>
          <w:tcPr>
            <w:tcW w:w="427" w:type="dxa"/>
          </w:tcPr>
          <w:p>
            <w:pPr>
              <w:pStyle w:val="TableParagraph"/>
              <w:spacing w:before="18"/>
              <w:ind w:left="94" w:right="82"/>
              <w:jc w:val="center"/>
              <w:rPr>
                <w:sz w:val="18"/>
              </w:rPr>
            </w:pPr>
            <w:r>
              <w:rPr>
                <w:sz w:val="18"/>
              </w:rPr>
              <w:t>54</w:t>
            </w:r>
          </w:p>
        </w:tc>
        <w:tc>
          <w:tcPr>
            <w:tcW w:w="501" w:type="dxa"/>
          </w:tcPr>
          <w:p>
            <w:pPr>
              <w:pStyle w:val="TableParagraph"/>
              <w:spacing w:before="18"/>
              <w:ind w:left="131" w:right="116"/>
              <w:jc w:val="center"/>
              <w:rPr>
                <w:sz w:val="18"/>
              </w:rPr>
            </w:pPr>
            <w:r>
              <w:rPr>
                <w:sz w:val="18"/>
              </w:rPr>
              <w:t>55</w:t>
            </w:r>
          </w:p>
        </w:tc>
        <w:tc>
          <w:tcPr>
            <w:tcW w:w="551" w:type="dxa"/>
          </w:tcPr>
          <w:p>
            <w:pPr>
              <w:pStyle w:val="TableParagraph"/>
              <w:spacing w:before="18"/>
              <w:ind w:left="13"/>
              <w:jc w:val="center"/>
              <w:rPr>
                <w:sz w:val="18"/>
              </w:rPr>
            </w:pPr>
            <w:r>
              <w:rPr>
                <w:sz w:val="18"/>
              </w:rPr>
              <w:t>–</w:t>
            </w:r>
          </w:p>
        </w:tc>
        <w:tc>
          <w:tcPr>
            <w:tcW w:w="551" w:type="dxa"/>
          </w:tcPr>
          <w:p>
            <w:pPr>
              <w:pStyle w:val="TableParagraph"/>
              <w:spacing w:before="18"/>
              <w:ind w:left="15"/>
              <w:jc w:val="center"/>
              <w:rPr>
                <w:sz w:val="18"/>
              </w:rPr>
            </w:pPr>
            <w:r>
              <w:rPr>
                <w:sz w:val="18"/>
              </w:rPr>
              <w:t>–</w:t>
            </w:r>
          </w:p>
        </w:tc>
        <w:tc>
          <w:tcPr>
            <w:tcW w:w="551" w:type="dxa"/>
          </w:tcPr>
          <w:p>
            <w:pPr>
              <w:pStyle w:val="TableParagraph"/>
              <w:spacing w:before="18"/>
              <w:ind w:left="17"/>
              <w:jc w:val="center"/>
              <w:rPr>
                <w:sz w:val="18"/>
              </w:rPr>
            </w:pPr>
            <w:r>
              <w:rPr>
                <w:sz w:val="18"/>
              </w:rPr>
              <w:t>–</w:t>
            </w:r>
          </w:p>
        </w:tc>
      </w:tr>
      <w:tr>
        <w:trPr>
          <w:trHeight w:val="455" w:hRule="atLeast"/>
        </w:trPr>
        <w:tc>
          <w:tcPr>
            <w:tcW w:w="2083" w:type="dxa"/>
            <w:vMerge/>
            <w:tcBorders>
              <w:top w:val="nil"/>
            </w:tcBorders>
          </w:tcPr>
          <w:p>
            <w:pPr>
              <w:rPr>
                <w:sz w:val="2"/>
                <w:szCs w:val="2"/>
              </w:rPr>
            </w:pPr>
          </w:p>
        </w:tc>
        <w:tc>
          <w:tcPr>
            <w:tcW w:w="4032" w:type="dxa"/>
            <w:gridSpan w:val="8"/>
          </w:tcPr>
          <w:p>
            <w:pPr>
              <w:pStyle w:val="TableParagraph"/>
              <w:spacing w:line="206" w:lineRule="exact" w:before="18"/>
              <w:ind w:left="197" w:right="178"/>
              <w:jc w:val="center"/>
              <w:rPr>
                <w:rFonts w:ascii="Times New Roman"/>
                <w:b/>
                <w:i/>
                <w:sz w:val="18"/>
              </w:rPr>
            </w:pPr>
            <w:r>
              <w:rPr>
                <w:rFonts w:ascii="Times New Roman"/>
                <w:b/>
                <w:i/>
                <w:sz w:val="18"/>
              </w:rPr>
              <w:t>LCD_SEGDIO51[1] </w:t>
            </w:r>
            <w:r>
              <w:rPr>
                <w:sz w:val="18"/>
              </w:rPr>
              <w:t>to </w:t>
            </w:r>
            <w:r>
              <w:rPr>
                <w:rFonts w:ascii="Times New Roman"/>
                <w:b/>
                <w:i/>
                <w:sz w:val="18"/>
              </w:rPr>
              <w:t>LCD_SEGDIO55[1]</w:t>
            </w:r>
          </w:p>
          <w:p>
            <w:pPr>
              <w:pStyle w:val="TableParagraph"/>
              <w:spacing w:line="205" w:lineRule="exact"/>
              <w:ind w:left="197" w:right="178"/>
              <w:jc w:val="center"/>
              <w:rPr>
                <w:rFonts w:ascii="Times New Roman"/>
                <w:i/>
                <w:sz w:val="18"/>
              </w:rPr>
            </w:pPr>
            <w:r>
              <w:rPr>
                <w:rFonts w:ascii="Times New Roman"/>
                <w:i/>
                <w:sz w:val="18"/>
              </w:rPr>
              <w:t>(I/O RAM 0x2443[1] to 0x2447[1])</w:t>
            </w:r>
          </w:p>
        </w:tc>
      </w:tr>
    </w:tbl>
    <w:p>
      <w:pPr>
        <w:pStyle w:val="BodyText"/>
        <w:spacing w:before="1"/>
        <w:rPr>
          <w:b/>
          <w:sz w:val="19"/>
        </w:rPr>
      </w:pPr>
    </w:p>
    <w:p>
      <w:pPr>
        <w:pStyle w:val="ListParagraph"/>
        <w:numPr>
          <w:ilvl w:val="3"/>
          <w:numId w:val="7"/>
        </w:numPr>
        <w:tabs>
          <w:tab w:pos="1105" w:val="left" w:leader="none"/>
        </w:tabs>
        <w:spacing w:line="240" w:lineRule="auto" w:before="1" w:after="0"/>
        <w:ind w:left="1104" w:right="0" w:hanging="865"/>
        <w:jc w:val="left"/>
        <w:rPr>
          <w:b/>
          <w:sz w:val="20"/>
        </w:rPr>
      </w:pPr>
      <w:bookmarkStart w:name="2.5.10.3 LCD Drivers" w:id="254"/>
      <w:bookmarkEnd w:id="254"/>
      <w:r>
        <w:rPr/>
      </w:r>
      <w:bookmarkStart w:name="_bookmark125" w:id="255"/>
      <w:bookmarkEnd w:id="255"/>
      <w:r>
        <w:rPr/>
      </w:r>
      <w:bookmarkStart w:name="_bookmark125" w:id="256"/>
      <w:bookmarkEnd w:id="256"/>
      <w:r>
        <w:rPr>
          <w:b/>
          <w:sz w:val="20"/>
        </w:rPr>
        <w:t>LCD</w:t>
      </w:r>
      <w:r>
        <w:rPr>
          <w:b/>
          <w:spacing w:val="-2"/>
          <w:sz w:val="20"/>
        </w:rPr>
        <w:t> </w:t>
      </w:r>
      <w:r>
        <w:rPr>
          <w:b/>
          <w:sz w:val="20"/>
        </w:rPr>
        <w:t>Drivers</w:t>
      </w:r>
    </w:p>
    <w:p>
      <w:pPr>
        <w:pStyle w:val="BodyText"/>
        <w:spacing w:line="228" w:lineRule="auto" w:before="79"/>
        <w:ind w:left="240" w:right="682"/>
      </w:pPr>
      <w:r>
        <w:rPr/>
        <w:t>The LCD drivers are grouped into up to six commons (COM0 – COM5) and up to 56 segment drivers. The LCD interface is flexible and can drive 7-segment digits, 14-segment digits or enunciator symbols.</w:t>
      </w:r>
    </w:p>
    <w:p>
      <w:pPr>
        <w:pStyle w:val="BodyText"/>
        <w:spacing w:line="228" w:lineRule="auto" w:before="120"/>
        <w:ind w:left="239" w:right="445"/>
      </w:pPr>
      <w:r>
        <w:rPr/>
        <w:t>A voltage doubler and a contrast DAC generate VLCD from either VBAT or V3P3SYS, depending on the V3P3SYS voltage. The voltage doubler, while capable of driving into a 500 kΩ load, is able to generate a maximum LCD voltage that is within 1 V of twice the supply voltage. The doubler and DAC operate from a trimmed low-power</w:t>
      </w:r>
      <w:r>
        <w:rPr>
          <w:spacing w:val="-3"/>
        </w:rPr>
        <w:t> </w:t>
      </w:r>
      <w:r>
        <w:rPr/>
        <w:t>reference.</w:t>
      </w:r>
    </w:p>
    <w:p>
      <w:pPr>
        <w:spacing w:line="225" w:lineRule="auto" w:before="119"/>
        <w:ind w:left="239" w:right="484" w:hanging="1"/>
        <w:jc w:val="left"/>
        <w:rPr>
          <w:sz w:val="20"/>
        </w:rPr>
      </w:pPr>
      <w:r>
        <w:rPr>
          <w:sz w:val="20"/>
        </w:rPr>
        <w:t>The configuration of the VLCD generation is controlled by the I/O RAM field </w:t>
      </w:r>
      <w:r>
        <w:rPr>
          <w:i/>
          <w:sz w:val="20"/>
        </w:rPr>
        <w:t>LCD_VMODE[1:0] (I/O RAM </w:t>
      </w:r>
      <w:r>
        <w:rPr>
          <w:i/>
          <w:sz w:val="20"/>
        </w:rPr>
        <w:t>0x2401[7:6])</w:t>
      </w:r>
      <w:r>
        <w:rPr>
          <w:sz w:val="20"/>
        </w:rPr>
        <w:t>. It is decoded into </w:t>
      </w:r>
      <w:r>
        <w:rPr>
          <w:i/>
          <w:sz w:val="20"/>
        </w:rPr>
        <w:t>LCD_EXT, LDAC_E, </w:t>
      </w:r>
      <w:r>
        <w:rPr>
          <w:sz w:val="20"/>
        </w:rPr>
        <w:t>and </w:t>
      </w:r>
      <w:r>
        <w:rPr>
          <w:i/>
          <w:sz w:val="20"/>
        </w:rPr>
        <w:t>LCD_BSTE</w:t>
      </w:r>
      <w:r>
        <w:rPr>
          <w:sz w:val="20"/>
        </w:rPr>
        <w:t>. </w:t>
      </w:r>
      <w:hyperlink w:history="true" w:anchor="_bookmark126">
        <w:r>
          <w:rPr>
            <w:color w:val="0000FF"/>
            <w:sz w:val="20"/>
          </w:rPr>
          <w:t>Table 51 </w:t>
        </w:r>
      </w:hyperlink>
      <w:r>
        <w:rPr>
          <w:sz w:val="20"/>
        </w:rPr>
        <w:t>details the </w:t>
      </w:r>
      <w:r>
        <w:rPr>
          <w:rFonts w:ascii="Times New Roman"/>
          <w:i/>
          <w:sz w:val="20"/>
        </w:rPr>
        <w:t>LCD_VMODE[1:0] </w:t>
      </w:r>
      <w:r>
        <w:rPr>
          <w:sz w:val="20"/>
        </w:rPr>
        <w:t>configurations.</w:t>
      </w:r>
    </w:p>
    <w:p>
      <w:pPr>
        <w:pStyle w:val="BodyText"/>
        <w:spacing w:before="10"/>
        <w:rPr>
          <w:sz w:val="18"/>
        </w:rPr>
      </w:pPr>
    </w:p>
    <w:p>
      <w:pPr>
        <w:spacing w:before="0"/>
        <w:ind w:left="66" w:right="204" w:firstLine="0"/>
        <w:jc w:val="center"/>
        <w:rPr>
          <w:b/>
          <w:sz w:val="20"/>
        </w:rPr>
      </w:pPr>
      <w:bookmarkStart w:name="_bookmark126" w:id="257"/>
      <w:bookmarkEnd w:id="257"/>
      <w:r>
        <w:rPr/>
      </w:r>
      <w:r>
        <w:rPr>
          <w:b/>
          <w:sz w:val="20"/>
        </w:rPr>
        <w:t>Table 51: </w:t>
      </w:r>
      <w:r>
        <w:rPr>
          <w:rFonts w:ascii="Times New Roman"/>
          <w:b/>
          <w:i/>
          <w:sz w:val="20"/>
        </w:rPr>
        <w:t>LCD_VMODE </w:t>
      </w:r>
      <w:r>
        <w:rPr>
          <w:b/>
          <w:sz w:val="20"/>
        </w:rPr>
        <w:t>Configurations</w:t>
      </w:r>
    </w:p>
    <w:p>
      <w:pPr>
        <w:pStyle w:val="BodyText"/>
        <w:spacing w:before="6"/>
        <w:rPr>
          <w:b/>
          <w:sz w:val="5"/>
        </w:rPr>
      </w:pPr>
    </w:p>
    <w:tbl>
      <w:tblPr>
        <w:tblW w:w="0" w:type="auto"/>
        <w:jc w:val="left"/>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8"/>
        <w:gridCol w:w="993"/>
        <w:gridCol w:w="880"/>
        <w:gridCol w:w="1103"/>
        <w:gridCol w:w="4804"/>
      </w:tblGrid>
      <w:tr>
        <w:trPr>
          <w:trHeight w:val="299" w:hRule="atLeast"/>
        </w:trPr>
        <w:tc>
          <w:tcPr>
            <w:tcW w:w="1658" w:type="dxa"/>
          </w:tcPr>
          <w:p>
            <w:pPr>
              <w:pStyle w:val="TableParagraph"/>
              <w:spacing w:before="31"/>
              <w:ind w:left="11"/>
              <w:jc w:val="center"/>
              <w:rPr>
                <w:rFonts w:ascii="Times New Roman"/>
                <w:b/>
                <w:i/>
                <w:sz w:val="20"/>
              </w:rPr>
            </w:pPr>
            <w:r>
              <w:rPr>
                <w:rFonts w:ascii="Times New Roman"/>
                <w:b/>
                <w:i/>
                <w:sz w:val="20"/>
              </w:rPr>
              <w:t>LCD_VMODE[1:0]</w:t>
            </w:r>
          </w:p>
        </w:tc>
        <w:tc>
          <w:tcPr>
            <w:tcW w:w="993" w:type="dxa"/>
          </w:tcPr>
          <w:p>
            <w:pPr>
              <w:pStyle w:val="TableParagraph"/>
              <w:spacing w:before="30"/>
              <w:ind w:left="19" w:right="12"/>
              <w:jc w:val="center"/>
              <w:rPr>
                <w:b/>
                <w:i/>
                <w:sz w:val="20"/>
              </w:rPr>
            </w:pPr>
            <w:r>
              <w:rPr>
                <w:b/>
                <w:i/>
                <w:sz w:val="20"/>
              </w:rPr>
              <w:t>LCD_EXT</w:t>
            </w:r>
          </w:p>
        </w:tc>
        <w:tc>
          <w:tcPr>
            <w:tcW w:w="880" w:type="dxa"/>
          </w:tcPr>
          <w:p>
            <w:pPr>
              <w:pStyle w:val="TableParagraph"/>
              <w:spacing w:before="30"/>
              <w:ind w:left="17" w:right="12"/>
              <w:jc w:val="center"/>
              <w:rPr>
                <w:b/>
                <w:i/>
                <w:sz w:val="20"/>
              </w:rPr>
            </w:pPr>
            <w:r>
              <w:rPr>
                <w:b/>
                <w:i/>
                <w:sz w:val="20"/>
              </w:rPr>
              <w:t>LDAC_E</w:t>
            </w:r>
          </w:p>
        </w:tc>
        <w:tc>
          <w:tcPr>
            <w:tcW w:w="1103" w:type="dxa"/>
          </w:tcPr>
          <w:p>
            <w:pPr>
              <w:pStyle w:val="TableParagraph"/>
              <w:spacing w:before="30"/>
              <w:ind w:left="15"/>
              <w:jc w:val="center"/>
              <w:rPr>
                <w:b/>
                <w:i/>
                <w:sz w:val="20"/>
              </w:rPr>
            </w:pPr>
            <w:r>
              <w:rPr>
                <w:b/>
                <w:i/>
                <w:sz w:val="20"/>
              </w:rPr>
              <w:t>LCD_BSTE</w:t>
            </w:r>
          </w:p>
        </w:tc>
        <w:tc>
          <w:tcPr>
            <w:tcW w:w="4804" w:type="dxa"/>
          </w:tcPr>
          <w:p>
            <w:pPr>
              <w:pStyle w:val="TableParagraph"/>
              <w:spacing w:before="28"/>
              <w:ind w:left="41"/>
              <w:rPr>
                <w:b/>
                <w:sz w:val="20"/>
              </w:rPr>
            </w:pPr>
            <w:r>
              <w:rPr>
                <w:b/>
                <w:sz w:val="20"/>
              </w:rPr>
              <w:t>Description</w:t>
            </w:r>
          </w:p>
        </w:tc>
      </w:tr>
      <w:tr>
        <w:trPr>
          <w:trHeight w:val="261" w:hRule="atLeast"/>
        </w:trPr>
        <w:tc>
          <w:tcPr>
            <w:tcW w:w="1658" w:type="dxa"/>
          </w:tcPr>
          <w:p>
            <w:pPr>
              <w:pStyle w:val="TableParagraph"/>
              <w:spacing w:before="11"/>
              <w:ind w:left="7"/>
              <w:jc w:val="center"/>
              <w:rPr>
                <w:sz w:val="20"/>
              </w:rPr>
            </w:pPr>
            <w:r>
              <w:rPr>
                <w:sz w:val="20"/>
              </w:rPr>
              <w:t>11</w:t>
            </w:r>
          </w:p>
        </w:tc>
        <w:tc>
          <w:tcPr>
            <w:tcW w:w="993" w:type="dxa"/>
          </w:tcPr>
          <w:p>
            <w:pPr>
              <w:pStyle w:val="TableParagraph"/>
              <w:spacing w:before="11"/>
              <w:ind w:left="11"/>
              <w:jc w:val="center"/>
              <w:rPr>
                <w:sz w:val="20"/>
              </w:rPr>
            </w:pPr>
            <w:r>
              <w:rPr>
                <w:w w:val="99"/>
                <w:sz w:val="20"/>
              </w:rPr>
              <w:t>1</w:t>
            </w:r>
          </w:p>
        </w:tc>
        <w:tc>
          <w:tcPr>
            <w:tcW w:w="880" w:type="dxa"/>
          </w:tcPr>
          <w:p>
            <w:pPr>
              <w:pStyle w:val="TableParagraph"/>
              <w:spacing w:before="11"/>
              <w:ind w:left="10"/>
              <w:jc w:val="center"/>
              <w:rPr>
                <w:sz w:val="20"/>
              </w:rPr>
            </w:pPr>
            <w:r>
              <w:rPr>
                <w:w w:val="99"/>
                <w:sz w:val="20"/>
              </w:rPr>
              <w:t>0</w:t>
            </w:r>
          </w:p>
        </w:tc>
        <w:tc>
          <w:tcPr>
            <w:tcW w:w="1103" w:type="dxa"/>
          </w:tcPr>
          <w:p>
            <w:pPr>
              <w:pStyle w:val="TableParagraph"/>
              <w:spacing w:before="11"/>
              <w:ind w:left="9"/>
              <w:jc w:val="center"/>
              <w:rPr>
                <w:sz w:val="20"/>
              </w:rPr>
            </w:pPr>
            <w:r>
              <w:rPr>
                <w:w w:val="99"/>
                <w:sz w:val="20"/>
              </w:rPr>
              <w:t>0</w:t>
            </w:r>
          </w:p>
        </w:tc>
        <w:tc>
          <w:tcPr>
            <w:tcW w:w="4804" w:type="dxa"/>
          </w:tcPr>
          <w:p>
            <w:pPr>
              <w:pStyle w:val="TableParagraph"/>
              <w:spacing w:before="11"/>
              <w:ind w:left="41"/>
              <w:rPr>
                <w:sz w:val="20"/>
              </w:rPr>
            </w:pPr>
            <w:r>
              <w:rPr>
                <w:sz w:val="20"/>
              </w:rPr>
              <w:t>External VLCD connected to the VLCD pin.</w:t>
            </w:r>
          </w:p>
        </w:tc>
      </w:tr>
      <w:tr>
        <w:trPr>
          <w:trHeight w:val="721" w:hRule="atLeast"/>
        </w:trPr>
        <w:tc>
          <w:tcPr>
            <w:tcW w:w="1658" w:type="dxa"/>
          </w:tcPr>
          <w:p>
            <w:pPr>
              <w:pStyle w:val="TableParagraph"/>
              <w:rPr>
                <w:b/>
                <w:sz w:val="21"/>
              </w:rPr>
            </w:pPr>
          </w:p>
          <w:p>
            <w:pPr>
              <w:pStyle w:val="TableParagraph"/>
              <w:ind w:left="7"/>
              <w:jc w:val="center"/>
              <w:rPr>
                <w:sz w:val="20"/>
              </w:rPr>
            </w:pPr>
            <w:r>
              <w:rPr>
                <w:sz w:val="20"/>
              </w:rPr>
              <w:t>10</w:t>
            </w:r>
          </w:p>
        </w:tc>
        <w:tc>
          <w:tcPr>
            <w:tcW w:w="993" w:type="dxa"/>
          </w:tcPr>
          <w:p>
            <w:pPr>
              <w:pStyle w:val="TableParagraph"/>
              <w:rPr>
                <w:b/>
                <w:sz w:val="21"/>
              </w:rPr>
            </w:pPr>
          </w:p>
          <w:p>
            <w:pPr>
              <w:pStyle w:val="TableParagraph"/>
              <w:ind w:left="11"/>
              <w:jc w:val="center"/>
              <w:rPr>
                <w:sz w:val="20"/>
              </w:rPr>
            </w:pPr>
            <w:r>
              <w:rPr>
                <w:w w:val="99"/>
                <w:sz w:val="20"/>
              </w:rPr>
              <w:t>0</w:t>
            </w:r>
          </w:p>
        </w:tc>
        <w:tc>
          <w:tcPr>
            <w:tcW w:w="880" w:type="dxa"/>
          </w:tcPr>
          <w:p>
            <w:pPr>
              <w:pStyle w:val="TableParagraph"/>
              <w:rPr>
                <w:b/>
                <w:sz w:val="21"/>
              </w:rPr>
            </w:pPr>
          </w:p>
          <w:p>
            <w:pPr>
              <w:pStyle w:val="TableParagraph"/>
              <w:ind w:left="10"/>
              <w:jc w:val="center"/>
              <w:rPr>
                <w:sz w:val="20"/>
              </w:rPr>
            </w:pPr>
            <w:r>
              <w:rPr>
                <w:w w:val="99"/>
                <w:sz w:val="20"/>
              </w:rPr>
              <w:t>1</w:t>
            </w:r>
          </w:p>
        </w:tc>
        <w:tc>
          <w:tcPr>
            <w:tcW w:w="1103" w:type="dxa"/>
          </w:tcPr>
          <w:p>
            <w:pPr>
              <w:pStyle w:val="TableParagraph"/>
              <w:rPr>
                <w:b/>
                <w:sz w:val="21"/>
              </w:rPr>
            </w:pPr>
          </w:p>
          <w:p>
            <w:pPr>
              <w:pStyle w:val="TableParagraph"/>
              <w:ind w:left="9"/>
              <w:jc w:val="center"/>
              <w:rPr>
                <w:sz w:val="20"/>
              </w:rPr>
            </w:pPr>
            <w:r>
              <w:rPr>
                <w:w w:val="99"/>
                <w:sz w:val="20"/>
              </w:rPr>
              <w:t>1</w:t>
            </w:r>
          </w:p>
        </w:tc>
        <w:tc>
          <w:tcPr>
            <w:tcW w:w="4804" w:type="dxa"/>
          </w:tcPr>
          <w:p>
            <w:pPr>
              <w:pStyle w:val="TableParagraph"/>
              <w:spacing w:line="230" w:lineRule="auto" w:before="19"/>
              <w:ind w:left="41" w:right="320"/>
              <w:rPr>
                <w:sz w:val="20"/>
              </w:rPr>
            </w:pPr>
            <w:r>
              <w:rPr>
                <w:sz w:val="20"/>
              </w:rPr>
              <w:t>LCD boost is enabled. Maximum VLCD voltage is 2*V3P3L-1.</w:t>
            </w:r>
          </w:p>
          <w:p>
            <w:pPr>
              <w:pStyle w:val="TableParagraph"/>
              <w:spacing w:before="7"/>
              <w:ind w:left="41"/>
              <w:rPr>
                <w:sz w:val="20"/>
              </w:rPr>
            </w:pPr>
            <w:r>
              <w:rPr>
                <w:sz w:val="20"/>
              </w:rPr>
              <w:t>VLCD = max(2*V3P3L-1, 2.65(1+</w:t>
            </w:r>
            <w:r>
              <w:rPr>
                <w:rFonts w:ascii="Times New Roman"/>
                <w:i/>
                <w:sz w:val="20"/>
              </w:rPr>
              <w:t>LCD_DAC[4:0]</w:t>
            </w:r>
            <w:r>
              <w:rPr>
                <w:sz w:val="20"/>
              </w:rPr>
              <w:t>/31)</w:t>
            </w:r>
          </w:p>
        </w:tc>
      </w:tr>
      <w:tr>
        <w:trPr>
          <w:trHeight w:val="722" w:hRule="atLeast"/>
        </w:trPr>
        <w:tc>
          <w:tcPr>
            <w:tcW w:w="1658" w:type="dxa"/>
          </w:tcPr>
          <w:p>
            <w:pPr>
              <w:pStyle w:val="TableParagraph"/>
              <w:rPr>
                <w:b/>
                <w:sz w:val="21"/>
              </w:rPr>
            </w:pPr>
          </w:p>
          <w:p>
            <w:pPr>
              <w:pStyle w:val="TableParagraph"/>
              <w:ind w:left="7"/>
              <w:jc w:val="center"/>
              <w:rPr>
                <w:sz w:val="20"/>
              </w:rPr>
            </w:pPr>
            <w:r>
              <w:rPr>
                <w:sz w:val="20"/>
              </w:rPr>
              <w:t>01</w:t>
            </w:r>
          </w:p>
        </w:tc>
        <w:tc>
          <w:tcPr>
            <w:tcW w:w="993" w:type="dxa"/>
          </w:tcPr>
          <w:p>
            <w:pPr>
              <w:pStyle w:val="TableParagraph"/>
              <w:rPr>
                <w:b/>
                <w:sz w:val="21"/>
              </w:rPr>
            </w:pPr>
          </w:p>
          <w:p>
            <w:pPr>
              <w:pStyle w:val="TableParagraph"/>
              <w:ind w:left="11"/>
              <w:jc w:val="center"/>
              <w:rPr>
                <w:sz w:val="20"/>
              </w:rPr>
            </w:pPr>
            <w:r>
              <w:rPr>
                <w:w w:val="99"/>
                <w:sz w:val="20"/>
              </w:rPr>
              <w:t>0</w:t>
            </w:r>
          </w:p>
        </w:tc>
        <w:tc>
          <w:tcPr>
            <w:tcW w:w="880" w:type="dxa"/>
          </w:tcPr>
          <w:p>
            <w:pPr>
              <w:pStyle w:val="TableParagraph"/>
              <w:rPr>
                <w:b/>
                <w:sz w:val="21"/>
              </w:rPr>
            </w:pPr>
          </w:p>
          <w:p>
            <w:pPr>
              <w:pStyle w:val="TableParagraph"/>
              <w:ind w:left="10"/>
              <w:jc w:val="center"/>
              <w:rPr>
                <w:sz w:val="20"/>
              </w:rPr>
            </w:pPr>
            <w:r>
              <w:rPr>
                <w:w w:val="99"/>
                <w:sz w:val="20"/>
              </w:rPr>
              <w:t>1</w:t>
            </w:r>
          </w:p>
        </w:tc>
        <w:tc>
          <w:tcPr>
            <w:tcW w:w="1103" w:type="dxa"/>
          </w:tcPr>
          <w:p>
            <w:pPr>
              <w:pStyle w:val="TableParagraph"/>
              <w:rPr>
                <w:b/>
                <w:sz w:val="21"/>
              </w:rPr>
            </w:pPr>
          </w:p>
          <w:p>
            <w:pPr>
              <w:pStyle w:val="TableParagraph"/>
              <w:ind w:left="9"/>
              <w:jc w:val="center"/>
              <w:rPr>
                <w:sz w:val="20"/>
              </w:rPr>
            </w:pPr>
            <w:r>
              <w:rPr>
                <w:w w:val="99"/>
                <w:sz w:val="20"/>
              </w:rPr>
              <w:t>0</w:t>
            </w:r>
          </w:p>
        </w:tc>
        <w:tc>
          <w:tcPr>
            <w:tcW w:w="4804" w:type="dxa"/>
          </w:tcPr>
          <w:p>
            <w:pPr>
              <w:pStyle w:val="TableParagraph"/>
              <w:spacing w:line="230" w:lineRule="auto" w:before="19"/>
              <w:ind w:left="41" w:right="320"/>
              <w:rPr>
                <w:sz w:val="20"/>
              </w:rPr>
            </w:pPr>
            <w:r>
              <w:rPr>
                <w:sz w:val="20"/>
              </w:rPr>
              <w:t>LCD boost is disabled. The maximum VLCD voltage is V3P3L.</w:t>
            </w:r>
          </w:p>
          <w:p>
            <w:pPr>
              <w:pStyle w:val="TableParagraph"/>
              <w:spacing w:before="7"/>
              <w:ind w:left="41"/>
              <w:rPr>
                <w:sz w:val="20"/>
              </w:rPr>
            </w:pPr>
            <w:r>
              <w:rPr>
                <w:sz w:val="20"/>
              </w:rPr>
              <w:t>VLCD = max(V3P3L, 2.65(1+</w:t>
            </w:r>
            <w:r>
              <w:rPr>
                <w:rFonts w:ascii="Times New Roman"/>
                <w:i/>
                <w:sz w:val="20"/>
              </w:rPr>
              <w:t>LCD_DAC[4:0]</w:t>
            </w:r>
            <w:r>
              <w:rPr>
                <w:sz w:val="20"/>
              </w:rPr>
              <w:t>/31)</w:t>
            </w:r>
          </w:p>
        </w:tc>
      </w:tr>
      <w:tr>
        <w:trPr>
          <w:trHeight w:val="700" w:hRule="atLeast"/>
        </w:trPr>
        <w:tc>
          <w:tcPr>
            <w:tcW w:w="1658" w:type="dxa"/>
          </w:tcPr>
          <w:p>
            <w:pPr>
              <w:pStyle w:val="TableParagraph"/>
              <w:spacing w:before="2"/>
              <w:rPr>
                <w:b/>
                <w:sz w:val="20"/>
              </w:rPr>
            </w:pPr>
          </w:p>
          <w:p>
            <w:pPr>
              <w:pStyle w:val="TableParagraph"/>
              <w:ind w:left="7"/>
              <w:jc w:val="center"/>
              <w:rPr>
                <w:sz w:val="20"/>
              </w:rPr>
            </w:pPr>
            <w:r>
              <w:rPr>
                <w:sz w:val="20"/>
              </w:rPr>
              <w:t>00</w:t>
            </w:r>
          </w:p>
        </w:tc>
        <w:tc>
          <w:tcPr>
            <w:tcW w:w="993" w:type="dxa"/>
          </w:tcPr>
          <w:p>
            <w:pPr>
              <w:pStyle w:val="TableParagraph"/>
              <w:spacing w:before="2"/>
              <w:rPr>
                <w:b/>
                <w:sz w:val="20"/>
              </w:rPr>
            </w:pPr>
          </w:p>
          <w:p>
            <w:pPr>
              <w:pStyle w:val="TableParagraph"/>
              <w:ind w:left="11"/>
              <w:jc w:val="center"/>
              <w:rPr>
                <w:sz w:val="20"/>
              </w:rPr>
            </w:pPr>
            <w:r>
              <w:rPr>
                <w:w w:val="99"/>
                <w:sz w:val="20"/>
              </w:rPr>
              <w:t>0</w:t>
            </w:r>
          </w:p>
        </w:tc>
        <w:tc>
          <w:tcPr>
            <w:tcW w:w="880" w:type="dxa"/>
          </w:tcPr>
          <w:p>
            <w:pPr>
              <w:pStyle w:val="TableParagraph"/>
              <w:spacing w:before="2"/>
              <w:rPr>
                <w:b/>
                <w:sz w:val="20"/>
              </w:rPr>
            </w:pPr>
          </w:p>
          <w:p>
            <w:pPr>
              <w:pStyle w:val="TableParagraph"/>
              <w:ind w:left="10"/>
              <w:jc w:val="center"/>
              <w:rPr>
                <w:sz w:val="20"/>
              </w:rPr>
            </w:pPr>
            <w:r>
              <w:rPr>
                <w:w w:val="99"/>
                <w:sz w:val="20"/>
              </w:rPr>
              <w:t>0</w:t>
            </w:r>
          </w:p>
        </w:tc>
        <w:tc>
          <w:tcPr>
            <w:tcW w:w="1103" w:type="dxa"/>
          </w:tcPr>
          <w:p>
            <w:pPr>
              <w:pStyle w:val="TableParagraph"/>
              <w:spacing w:before="2"/>
              <w:rPr>
                <w:b/>
                <w:sz w:val="20"/>
              </w:rPr>
            </w:pPr>
          </w:p>
          <w:p>
            <w:pPr>
              <w:pStyle w:val="TableParagraph"/>
              <w:ind w:left="9"/>
              <w:jc w:val="center"/>
              <w:rPr>
                <w:sz w:val="20"/>
              </w:rPr>
            </w:pPr>
            <w:r>
              <w:rPr>
                <w:w w:val="99"/>
                <w:sz w:val="20"/>
              </w:rPr>
              <w:t>0</w:t>
            </w:r>
          </w:p>
        </w:tc>
        <w:tc>
          <w:tcPr>
            <w:tcW w:w="4804" w:type="dxa"/>
          </w:tcPr>
          <w:p>
            <w:pPr>
              <w:pStyle w:val="TableParagraph"/>
              <w:spacing w:line="228" w:lineRule="auto" w:before="20"/>
              <w:ind w:left="41"/>
              <w:rPr>
                <w:sz w:val="20"/>
              </w:rPr>
            </w:pPr>
            <w:r>
              <w:rPr>
                <w:sz w:val="20"/>
              </w:rPr>
              <w:t>VLCD=V3P3L, the LCD DAC and LCD boost are dis- abled. In LCD mode, this setting causes the lowest</w:t>
            </w:r>
          </w:p>
          <w:p>
            <w:pPr>
              <w:pStyle w:val="TableParagraph"/>
              <w:spacing w:line="223" w:lineRule="exact"/>
              <w:ind w:left="41"/>
              <w:rPr>
                <w:sz w:val="20"/>
              </w:rPr>
            </w:pPr>
            <w:r>
              <w:rPr>
                <w:sz w:val="20"/>
              </w:rPr>
              <w:t>battery current.</w:t>
            </w:r>
          </w:p>
        </w:tc>
      </w:tr>
      <w:tr>
        <w:trPr>
          <w:trHeight w:val="2785" w:hRule="atLeast"/>
        </w:trPr>
        <w:tc>
          <w:tcPr>
            <w:tcW w:w="9438" w:type="dxa"/>
            <w:gridSpan w:val="5"/>
          </w:tcPr>
          <w:p>
            <w:pPr>
              <w:pStyle w:val="TableParagraph"/>
              <w:spacing w:before="9"/>
              <w:ind w:left="40"/>
              <w:rPr>
                <w:b/>
                <w:sz w:val="20"/>
              </w:rPr>
            </w:pPr>
            <w:r>
              <w:rPr>
                <w:b/>
                <w:sz w:val="20"/>
              </w:rPr>
              <w:t>Notes:</w:t>
            </w:r>
          </w:p>
          <w:p>
            <w:pPr>
              <w:pStyle w:val="TableParagraph"/>
              <w:numPr>
                <w:ilvl w:val="0"/>
                <w:numId w:val="20"/>
              </w:numPr>
              <w:tabs>
                <w:tab w:pos="761" w:val="left" w:leader="none"/>
              </w:tabs>
              <w:spacing w:line="230" w:lineRule="auto" w:before="20" w:after="0"/>
              <w:ind w:left="760" w:right="64" w:hanging="360"/>
              <w:jc w:val="left"/>
              <w:rPr>
                <w:sz w:val="20"/>
              </w:rPr>
            </w:pPr>
            <w:r>
              <w:rPr>
                <w:spacing w:val="2"/>
                <w:sz w:val="20"/>
              </w:rPr>
              <w:t>LCD_EXT, LDAC_E and LCD_BSTE </w:t>
            </w:r>
            <w:r>
              <w:rPr>
                <w:sz w:val="20"/>
              </w:rPr>
              <w:t>are </w:t>
            </w:r>
            <w:r>
              <w:rPr>
                <w:spacing w:val="2"/>
                <w:sz w:val="20"/>
              </w:rPr>
              <w:t>71M6543 internal signals </w:t>
            </w:r>
            <w:r>
              <w:rPr>
                <w:sz w:val="20"/>
              </w:rPr>
              <w:t>which are decoded from   </w:t>
            </w:r>
            <w:r>
              <w:rPr>
                <w:spacing w:val="2"/>
                <w:sz w:val="20"/>
              </w:rPr>
              <w:t>the </w:t>
            </w:r>
            <w:r>
              <w:rPr>
                <w:rFonts w:ascii="Times New Roman"/>
                <w:i/>
                <w:sz w:val="20"/>
              </w:rPr>
              <w:t>LCD_VMODE[1:0] </w:t>
            </w:r>
            <w:r>
              <w:rPr>
                <w:sz w:val="20"/>
              </w:rPr>
              <w:t>control field setting (</w:t>
            </w:r>
            <w:r>
              <w:rPr>
                <w:rFonts w:ascii="Times New Roman"/>
                <w:i/>
                <w:sz w:val="20"/>
              </w:rPr>
              <w:t>I/O RAM 0x2401[7:6]</w:t>
            </w:r>
            <w:r>
              <w:rPr>
                <w:sz w:val="20"/>
              </w:rPr>
              <w:t>). Each of these decoded signals, when asserted, has the effect indicated in the description column above, and as summarized below.</w:t>
            </w:r>
          </w:p>
          <w:p>
            <w:pPr>
              <w:pStyle w:val="TableParagraph"/>
              <w:spacing w:line="252" w:lineRule="auto" w:before="10"/>
              <w:ind w:left="1480" w:right="853"/>
              <w:rPr>
                <w:sz w:val="20"/>
              </w:rPr>
            </w:pPr>
            <w:r>
              <w:rPr>
                <w:sz w:val="20"/>
              </w:rPr>
              <w:t>LCD_EXT : When set, the VLCD pin expects an external supply voltage LDAC_E : When set, LCD DAC is enabled</w:t>
            </w:r>
          </w:p>
          <w:p>
            <w:pPr>
              <w:pStyle w:val="TableParagraph"/>
              <w:spacing w:line="229" w:lineRule="exact"/>
              <w:ind w:left="1480"/>
              <w:rPr>
                <w:sz w:val="20"/>
              </w:rPr>
            </w:pPr>
            <w:r>
              <w:rPr>
                <w:sz w:val="20"/>
              </w:rPr>
              <w:t>LCD_BSTE : When set, the LCD boost circuit is enabled</w:t>
            </w:r>
          </w:p>
          <w:p>
            <w:pPr>
              <w:pStyle w:val="TableParagraph"/>
              <w:numPr>
                <w:ilvl w:val="0"/>
                <w:numId w:val="20"/>
              </w:numPr>
              <w:tabs>
                <w:tab w:pos="761" w:val="left" w:leader="none"/>
              </w:tabs>
              <w:spacing w:line="228" w:lineRule="auto" w:before="20" w:after="0"/>
              <w:ind w:left="760" w:right="116" w:hanging="360"/>
              <w:jc w:val="left"/>
              <w:rPr>
                <w:sz w:val="20"/>
              </w:rPr>
            </w:pPr>
            <w:r>
              <w:rPr>
                <w:sz w:val="20"/>
              </w:rPr>
              <w:t>V3P3L is an </w:t>
            </w:r>
            <w:r>
              <w:rPr>
                <w:spacing w:val="2"/>
                <w:sz w:val="20"/>
              </w:rPr>
              <w:t>internal supply rail that </w:t>
            </w:r>
            <w:r>
              <w:rPr>
                <w:sz w:val="20"/>
              </w:rPr>
              <w:t>is </w:t>
            </w:r>
            <w:r>
              <w:rPr>
                <w:spacing w:val="2"/>
                <w:sz w:val="20"/>
              </w:rPr>
              <w:t>supplied </w:t>
            </w:r>
            <w:r>
              <w:rPr>
                <w:sz w:val="20"/>
              </w:rPr>
              <w:t>from either </w:t>
            </w:r>
            <w:r>
              <w:rPr>
                <w:spacing w:val="2"/>
                <w:sz w:val="20"/>
              </w:rPr>
              <w:t>the </w:t>
            </w:r>
            <w:r>
              <w:rPr>
                <w:sz w:val="20"/>
              </w:rPr>
              <w:t>VBAT pin or the </w:t>
            </w:r>
            <w:r>
              <w:rPr>
                <w:spacing w:val="2"/>
                <w:sz w:val="20"/>
              </w:rPr>
              <w:t>V3P3SYS pin, depending </w:t>
            </w:r>
            <w:r>
              <w:rPr>
                <w:sz w:val="20"/>
              </w:rPr>
              <w:t>on the </w:t>
            </w:r>
            <w:r>
              <w:rPr>
                <w:spacing w:val="2"/>
                <w:sz w:val="20"/>
              </w:rPr>
              <w:t>V3P3SYS </w:t>
            </w:r>
            <w:r>
              <w:rPr>
                <w:sz w:val="20"/>
              </w:rPr>
              <w:t>pin voltage. </w:t>
            </w:r>
            <w:r>
              <w:rPr>
                <w:spacing w:val="3"/>
                <w:sz w:val="20"/>
              </w:rPr>
              <w:t>When </w:t>
            </w:r>
            <w:r>
              <w:rPr>
                <w:spacing w:val="2"/>
                <w:sz w:val="20"/>
              </w:rPr>
              <w:t>the V3P3SYS </w:t>
            </w:r>
            <w:r>
              <w:rPr>
                <w:sz w:val="20"/>
              </w:rPr>
              <w:t>pin drops </w:t>
            </w:r>
            <w:r>
              <w:rPr>
                <w:spacing w:val="2"/>
                <w:sz w:val="20"/>
              </w:rPr>
              <w:t>below 3.0 VDC, the 71M6543</w:t>
            </w:r>
            <w:r>
              <w:rPr>
                <w:spacing w:val="8"/>
                <w:sz w:val="20"/>
              </w:rPr>
              <w:t> </w:t>
            </w:r>
            <w:r>
              <w:rPr>
                <w:spacing w:val="2"/>
                <w:sz w:val="20"/>
              </w:rPr>
              <w:t>switches</w:t>
            </w:r>
            <w:r>
              <w:rPr>
                <w:spacing w:val="10"/>
                <w:sz w:val="20"/>
              </w:rPr>
              <w:t> </w:t>
            </w:r>
            <w:r>
              <w:rPr>
                <w:sz w:val="20"/>
              </w:rPr>
              <w:t>to</w:t>
            </w:r>
            <w:r>
              <w:rPr>
                <w:spacing w:val="9"/>
                <w:sz w:val="20"/>
              </w:rPr>
              <w:t> </w:t>
            </w:r>
            <w:r>
              <w:rPr>
                <w:sz w:val="20"/>
              </w:rPr>
              <w:t>BRN</w:t>
            </w:r>
            <w:r>
              <w:rPr>
                <w:spacing w:val="8"/>
                <w:sz w:val="20"/>
              </w:rPr>
              <w:t> </w:t>
            </w:r>
            <w:r>
              <w:rPr>
                <w:sz w:val="20"/>
              </w:rPr>
              <w:t>mode</w:t>
            </w:r>
            <w:r>
              <w:rPr>
                <w:spacing w:val="9"/>
                <w:sz w:val="20"/>
              </w:rPr>
              <w:t> </w:t>
            </w:r>
            <w:r>
              <w:rPr>
                <w:sz w:val="20"/>
              </w:rPr>
              <w:t>and</w:t>
            </w:r>
            <w:r>
              <w:rPr>
                <w:spacing w:val="8"/>
                <w:sz w:val="20"/>
              </w:rPr>
              <w:t> </w:t>
            </w:r>
            <w:r>
              <w:rPr>
                <w:spacing w:val="2"/>
                <w:sz w:val="20"/>
              </w:rPr>
              <w:t>V3P3L</w:t>
            </w:r>
            <w:r>
              <w:rPr>
                <w:spacing w:val="8"/>
                <w:sz w:val="20"/>
              </w:rPr>
              <w:t> </w:t>
            </w:r>
            <w:r>
              <w:rPr>
                <w:sz w:val="20"/>
              </w:rPr>
              <w:t>is</w:t>
            </w:r>
            <w:r>
              <w:rPr>
                <w:spacing w:val="8"/>
                <w:sz w:val="20"/>
              </w:rPr>
              <w:t> </w:t>
            </w:r>
            <w:r>
              <w:rPr>
                <w:spacing w:val="2"/>
                <w:sz w:val="20"/>
              </w:rPr>
              <w:t>sourced</w:t>
            </w:r>
            <w:r>
              <w:rPr>
                <w:spacing w:val="8"/>
                <w:sz w:val="20"/>
              </w:rPr>
              <w:t> </w:t>
            </w:r>
            <w:r>
              <w:rPr>
                <w:sz w:val="20"/>
              </w:rPr>
              <w:t>from</w:t>
            </w:r>
            <w:r>
              <w:rPr>
                <w:spacing w:val="11"/>
                <w:sz w:val="20"/>
              </w:rPr>
              <w:t> </w:t>
            </w:r>
            <w:r>
              <w:rPr>
                <w:sz w:val="20"/>
              </w:rPr>
              <w:t>the</w:t>
            </w:r>
            <w:r>
              <w:rPr>
                <w:spacing w:val="10"/>
                <w:sz w:val="20"/>
              </w:rPr>
              <w:t> </w:t>
            </w:r>
            <w:r>
              <w:rPr>
                <w:sz w:val="20"/>
              </w:rPr>
              <w:t>VBAT</w:t>
            </w:r>
            <w:r>
              <w:rPr>
                <w:spacing w:val="9"/>
                <w:sz w:val="20"/>
              </w:rPr>
              <w:t> </w:t>
            </w:r>
            <w:r>
              <w:rPr>
                <w:sz w:val="20"/>
              </w:rPr>
              <w:t>pin,</w:t>
            </w:r>
            <w:r>
              <w:rPr>
                <w:spacing w:val="9"/>
                <w:sz w:val="20"/>
              </w:rPr>
              <w:t> </w:t>
            </w:r>
            <w:r>
              <w:rPr>
                <w:spacing w:val="2"/>
                <w:sz w:val="20"/>
              </w:rPr>
              <w:t>otherwise</w:t>
            </w:r>
            <w:r>
              <w:rPr>
                <w:spacing w:val="10"/>
                <w:sz w:val="20"/>
              </w:rPr>
              <w:t> </w:t>
            </w:r>
            <w:r>
              <w:rPr>
                <w:sz w:val="20"/>
              </w:rPr>
              <w:t>V3P3L</w:t>
            </w:r>
          </w:p>
          <w:p>
            <w:pPr>
              <w:pStyle w:val="TableParagraph"/>
              <w:spacing w:line="225" w:lineRule="exact"/>
              <w:ind w:left="760"/>
              <w:rPr>
                <w:sz w:val="20"/>
              </w:rPr>
            </w:pPr>
            <w:r>
              <w:rPr>
                <w:sz w:val="20"/>
              </w:rPr>
              <w:t>is sourced from the V3P3SYS pin while in MSN mode.</w:t>
            </w:r>
          </w:p>
        </w:tc>
      </w:tr>
    </w:tbl>
    <w:p>
      <w:pPr>
        <w:spacing w:after="0" w:line="225" w:lineRule="exact"/>
        <w:rPr>
          <w:sz w:val="20"/>
        </w:rPr>
        <w:sectPr>
          <w:pgSz w:w="12240" w:h="15840"/>
          <w:pgMar w:header="727" w:footer="819" w:top="960" w:bottom="1000" w:left="1200" w:right="1060"/>
        </w:sectPr>
      </w:pPr>
    </w:p>
    <w:p>
      <w:pPr>
        <w:pStyle w:val="BodyText"/>
        <w:rPr>
          <w:b/>
        </w:rPr>
      </w:pPr>
    </w:p>
    <w:p>
      <w:pPr>
        <w:pStyle w:val="BodyText"/>
        <w:spacing w:before="4"/>
        <w:rPr>
          <w:b/>
          <w:sz w:val="23"/>
        </w:rPr>
      </w:pPr>
    </w:p>
    <w:p>
      <w:pPr>
        <w:pStyle w:val="BodyText"/>
        <w:spacing w:line="230" w:lineRule="auto"/>
        <w:ind w:left="1048" w:right="393" w:firstLine="2"/>
        <w:jc w:val="both"/>
      </w:pPr>
      <w:r>
        <w:rPr/>
        <w:drawing>
          <wp:anchor distT="0" distB="0" distL="0" distR="0" allowOverlap="1" layoutInCell="1" locked="0" behindDoc="0" simplePos="0" relativeHeight="15795712">
            <wp:simplePos x="0" y="0"/>
            <wp:positionH relativeFrom="page">
              <wp:posOffset>895350</wp:posOffset>
            </wp:positionH>
            <wp:positionV relativeFrom="paragraph">
              <wp:posOffset>-48394</wp:posOffset>
            </wp:positionV>
            <wp:extent cx="390525" cy="390523"/>
            <wp:effectExtent l="0" t="0" r="0" b="0"/>
            <wp:wrapNone/>
            <wp:docPr id="65" name="image101.png"/>
            <wp:cNvGraphicFramePr>
              <a:graphicFrameLocks noChangeAspect="1"/>
            </wp:cNvGraphicFramePr>
            <a:graphic>
              <a:graphicData uri="http://schemas.openxmlformats.org/drawingml/2006/picture">
                <pic:pic>
                  <pic:nvPicPr>
                    <pic:cNvPr id="66" name="image101.png"/>
                    <pic:cNvPicPr/>
                  </pic:nvPicPr>
                  <pic:blipFill>
                    <a:blip r:embed="rId125" cstate="print"/>
                    <a:stretch>
                      <a:fillRect/>
                    </a:stretch>
                  </pic:blipFill>
                  <pic:spPr>
                    <a:xfrm>
                      <a:off x="0" y="0"/>
                      <a:ext cx="390525" cy="390523"/>
                    </a:xfrm>
                    <a:prstGeom prst="rect">
                      <a:avLst/>
                    </a:prstGeom>
                  </pic:spPr>
                </pic:pic>
              </a:graphicData>
            </a:graphic>
          </wp:anchor>
        </w:drawing>
      </w:r>
      <w:r>
        <w:rPr>
          <w:spacing w:val="-3"/>
        </w:rPr>
        <w:t>When</w:t>
      </w:r>
      <w:r>
        <w:rPr>
          <w:spacing w:val="-12"/>
        </w:rPr>
        <w:t> </w:t>
      </w:r>
      <w:r>
        <w:rPr>
          <w:spacing w:val="-4"/>
        </w:rPr>
        <w:t>using</w:t>
      </w:r>
      <w:r>
        <w:rPr>
          <w:spacing w:val="-8"/>
        </w:rPr>
        <w:t> </w:t>
      </w:r>
      <w:r>
        <w:rPr/>
        <w:t>the</w:t>
      </w:r>
      <w:r>
        <w:rPr>
          <w:spacing w:val="-9"/>
        </w:rPr>
        <w:t> </w:t>
      </w:r>
      <w:r>
        <w:rPr>
          <w:spacing w:val="-4"/>
        </w:rPr>
        <w:t>VLCD</w:t>
      </w:r>
      <w:r>
        <w:rPr>
          <w:spacing w:val="-8"/>
        </w:rPr>
        <w:t> </w:t>
      </w:r>
      <w:r>
        <w:rPr>
          <w:spacing w:val="-4"/>
        </w:rPr>
        <w:t>boost</w:t>
      </w:r>
      <w:r>
        <w:rPr>
          <w:spacing w:val="-8"/>
        </w:rPr>
        <w:t> </w:t>
      </w:r>
      <w:r>
        <w:rPr>
          <w:spacing w:val="-4"/>
        </w:rPr>
        <w:t>circuit,</w:t>
      </w:r>
      <w:r>
        <w:rPr>
          <w:spacing w:val="-8"/>
        </w:rPr>
        <w:t> </w:t>
      </w:r>
      <w:r>
        <w:rPr>
          <w:spacing w:val="-3"/>
        </w:rPr>
        <w:t>use</w:t>
      </w:r>
      <w:r>
        <w:rPr>
          <w:spacing w:val="-11"/>
        </w:rPr>
        <w:t> </w:t>
      </w:r>
      <w:r>
        <w:rPr>
          <w:spacing w:val="-3"/>
        </w:rPr>
        <w:t>care</w:t>
      </w:r>
      <w:r>
        <w:rPr>
          <w:spacing w:val="-9"/>
        </w:rPr>
        <w:t> </w:t>
      </w:r>
      <w:r>
        <w:rPr>
          <w:spacing w:val="-3"/>
        </w:rPr>
        <w:t>when</w:t>
      </w:r>
      <w:r>
        <w:rPr>
          <w:spacing w:val="-11"/>
        </w:rPr>
        <w:t> </w:t>
      </w:r>
      <w:r>
        <w:rPr>
          <w:spacing w:val="-4"/>
        </w:rPr>
        <w:t>setting</w:t>
      </w:r>
      <w:r>
        <w:rPr>
          <w:spacing w:val="-9"/>
        </w:rPr>
        <w:t> </w:t>
      </w:r>
      <w:r>
        <w:rPr>
          <w:spacing w:val="-3"/>
        </w:rPr>
        <w:t>the</w:t>
      </w:r>
      <w:r>
        <w:rPr>
          <w:spacing w:val="-9"/>
        </w:rPr>
        <w:t> </w:t>
      </w:r>
      <w:r>
        <w:rPr>
          <w:rFonts w:ascii="Times New Roman" w:hAnsi="Times New Roman"/>
          <w:i/>
          <w:spacing w:val="-4"/>
        </w:rPr>
        <w:t>LCD_DAC[4:0]</w:t>
      </w:r>
      <w:r>
        <w:rPr>
          <w:rFonts w:ascii="Times New Roman" w:hAnsi="Times New Roman"/>
          <w:i/>
        </w:rPr>
        <w:t> </w:t>
      </w:r>
      <w:r>
        <w:rPr>
          <w:rFonts w:ascii="Times New Roman" w:hAnsi="Times New Roman"/>
          <w:i/>
          <w:spacing w:val="-4"/>
        </w:rPr>
        <w:t>(I/O</w:t>
      </w:r>
      <w:r>
        <w:rPr>
          <w:rFonts w:ascii="Times New Roman" w:hAnsi="Times New Roman"/>
          <w:i/>
          <w:spacing w:val="-7"/>
        </w:rPr>
        <w:t> </w:t>
      </w:r>
      <w:r>
        <w:rPr>
          <w:rFonts w:ascii="Times New Roman" w:hAnsi="Times New Roman"/>
          <w:i/>
          <w:spacing w:val="-3"/>
        </w:rPr>
        <w:t>RAM</w:t>
      </w:r>
      <w:r>
        <w:rPr>
          <w:rFonts w:ascii="Times New Roman" w:hAnsi="Times New Roman"/>
          <w:i/>
          <w:spacing w:val="-10"/>
        </w:rPr>
        <w:t> </w:t>
      </w:r>
      <w:r>
        <w:rPr>
          <w:rFonts w:ascii="Times New Roman" w:hAnsi="Times New Roman"/>
          <w:i/>
          <w:spacing w:val="-4"/>
        </w:rPr>
        <w:t>0x240D[4:0]) </w:t>
      </w:r>
      <w:r>
        <w:rPr/>
        <w:t>value</w:t>
      </w:r>
      <w:r>
        <w:rPr>
          <w:spacing w:val="-4"/>
        </w:rPr>
        <w:t> </w:t>
      </w:r>
      <w:r>
        <w:rPr/>
        <w:t>to</w:t>
      </w:r>
      <w:r>
        <w:rPr>
          <w:spacing w:val="-5"/>
        </w:rPr>
        <w:t> </w:t>
      </w:r>
      <w:r>
        <w:rPr/>
        <w:t>ensure</w:t>
      </w:r>
      <w:r>
        <w:rPr>
          <w:spacing w:val="-5"/>
        </w:rPr>
        <w:t> </w:t>
      </w:r>
      <w:r>
        <w:rPr/>
        <w:t>that</w:t>
      </w:r>
      <w:r>
        <w:rPr>
          <w:spacing w:val="-5"/>
        </w:rPr>
        <w:t> </w:t>
      </w:r>
      <w:r>
        <w:rPr/>
        <w:t>the</w:t>
      </w:r>
      <w:r>
        <w:rPr>
          <w:spacing w:val="-3"/>
        </w:rPr>
        <w:t> </w:t>
      </w:r>
      <w:r>
        <w:rPr/>
        <w:t>LCD</w:t>
      </w:r>
      <w:r>
        <w:rPr>
          <w:spacing w:val="-5"/>
        </w:rPr>
        <w:t> </w:t>
      </w:r>
      <w:r>
        <w:rPr/>
        <w:t>manufacturer’s</w:t>
      </w:r>
      <w:r>
        <w:rPr>
          <w:spacing w:val="-4"/>
        </w:rPr>
        <w:t> </w:t>
      </w:r>
      <w:r>
        <w:rPr/>
        <w:t>recommended</w:t>
      </w:r>
      <w:r>
        <w:rPr>
          <w:spacing w:val="-3"/>
        </w:rPr>
        <w:t> </w:t>
      </w:r>
      <w:r>
        <w:rPr/>
        <w:t>operating</w:t>
      </w:r>
      <w:r>
        <w:rPr>
          <w:spacing w:val="-3"/>
        </w:rPr>
        <w:t> </w:t>
      </w:r>
      <w:r>
        <w:rPr/>
        <w:t>voltage</w:t>
      </w:r>
      <w:r>
        <w:rPr>
          <w:spacing w:val="-5"/>
        </w:rPr>
        <w:t> </w:t>
      </w:r>
      <w:r>
        <w:rPr/>
        <w:t>specification</w:t>
      </w:r>
      <w:r>
        <w:rPr>
          <w:spacing w:val="-3"/>
        </w:rPr>
        <w:t> </w:t>
      </w:r>
      <w:r>
        <w:rPr/>
        <w:t>is</w:t>
      </w:r>
      <w:r>
        <w:rPr>
          <w:spacing w:val="-4"/>
        </w:rPr>
        <w:t> </w:t>
      </w:r>
      <w:r>
        <w:rPr/>
        <w:t>not exceeded.</w:t>
      </w:r>
    </w:p>
    <w:p>
      <w:pPr>
        <w:pStyle w:val="BodyText"/>
        <w:spacing w:line="228" w:lineRule="auto" w:before="116"/>
        <w:ind w:left="240" w:right="615"/>
        <w:jc w:val="both"/>
      </w:pPr>
      <w:r>
        <w:rPr/>
        <w:t>The voltage doubler is active in all LCD modes including the LCD mode when </w:t>
      </w:r>
      <w:r>
        <w:rPr>
          <w:i/>
        </w:rPr>
        <w:t>LCD_BSTE </w:t>
      </w:r>
      <w:r>
        <w:rPr/>
        <w:t>= 1. Current dissipation</w:t>
      </w:r>
      <w:r>
        <w:rPr>
          <w:spacing w:val="-4"/>
        </w:rPr>
        <w:t> </w:t>
      </w:r>
      <w:r>
        <w:rPr/>
        <w:t>in</w:t>
      </w:r>
      <w:r>
        <w:rPr>
          <w:spacing w:val="-4"/>
        </w:rPr>
        <w:t> </w:t>
      </w:r>
      <w:r>
        <w:rPr/>
        <w:t>LCD</w:t>
      </w:r>
      <w:r>
        <w:rPr>
          <w:spacing w:val="-3"/>
        </w:rPr>
        <w:t> </w:t>
      </w:r>
      <w:r>
        <w:rPr/>
        <w:t>mode</w:t>
      </w:r>
      <w:r>
        <w:rPr>
          <w:spacing w:val="-4"/>
        </w:rPr>
        <w:t> </w:t>
      </w:r>
      <w:r>
        <w:rPr/>
        <w:t>can</w:t>
      </w:r>
      <w:r>
        <w:rPr>
          <w:spacing w:val="-3"/>
        </w:rPr>
        <w:t> </w:t>
      </w:r>
      <w:r>
        <w:rPr/>
        <w:t>be</w:t>
      </w:r>
      <w:r>
        <w:rPr>
          <w:spacing w:val="-4"/>
        </w:rPr>
        <w:t> </w:t>
      </w:r>
      <w:r>
        <w:rPr/>
        <w:t>reduced</w:t>
      </w:r>
      <w:r>
        <w:rPr>
          <w:spacing w:val="-4"/>
        </w:rPr>
        <w:t> </w:t>
      </w:r>
      <w:r>
        <w:rPr/>
        <w:t>if</w:t>
      </w:r>
      <w:r>
        <w:rPr>
          <w:spacing w:val="-1"/>
        </w:rPr>
        <w:t> </w:t>
      </w:r>
      <w:r>
        <w:rPr/>
        <w:t>the</w:t>
      </w:r>
      <w:r>
        <w:rPr>
          <w:spacing w:val="-2"/>
        </w:rPr>
        <w:t> </w:t>
      </w:r>
      <w:r>
        <w:rPr/>
        <w:t>boost</w:t>
      </w:r>
      <w:r>
        <w:rPr>
          <w:spacing w:val="-3"/>
        </w:rPr>
        <w:t> </w:t>
      </w:r>
      <w:r>
        <w:rPr/>
        <w:t>circuit</w:t>
      </w:r>
      <w:r>
        <w:rPr>
          <w:spacing w:val="-4"/>
        </w:rPr>
        <w:t> </w:t>
      </w:r>
      <w:r>
        <w:rPr/>
        <w:t>is</w:t>
      </w:r>
      <w:r>
        <w:rPr>
          <w:spacing w:val="-3"/>
        </w:rPr>
        <w:t> </w:t>
      </w:r>
      <w:r>
        <w:rPr/>
        <w:t>disabled</w:t>
      </w:r>
      <w:r>
        <w:rPr>
          <w:spacing w:val="-1"/>
        </w:rPr>
        <w:t> </w:t>
      </w:r>
      <w:r>
        <w:rPr/>
        <w:t>and</w:t>
      </w:r>
      <w:r>
        <w:rPr>
          <w:spacing w:val="-4"/>
        </w:rPr>
        <w:t> </w:t>
      </w:r>
      <w:r>
        <w:rPr/>
        <w:t>the</w:t>
      </w:r>
      <w:r>
        <w:rPr>
          <w:spacing w:val="-4"/>
        </w:rPr>
        <w:t> </w:t>
      </w:r>
      <w:r>
        <w:rPr/>
        <w:t>LCD</w:t>
      </w:r>
      <w:r>
        <w:rPr>
          <w:spacing w:val="-3"/>
        </w:rPr>
        <w:t> </w:t>
      </w:r>
      <w:r>
        <w:rPr/>
        <w:t>system is</w:t>
      </w:r>
      <w:r>
        <w:rPr>
          <w:spacing w:val="-2"/>
        </w:rPr>
        <w:t> </w:t>
      </w:r>
      <w:r>
        <w:rPr/>
        <w:t>operated directly from</w:t>
      </w:r>
      <w:r>
        <w:rPr>
          <w:spacing w:val="-1"/>
        </w:rPr>
        <w:t> </w:t>
      </w:r>
      <w:r>
        <w:rPr/>
        <w:t>VBAT.</w:t>
      </w:r>
    </w:p>
    <w:p>
      <w:pPr>
        <w:pStyle w:val="BodyText"/>
        <w:spacing w:before="123"/>
        <w:ind w:left="239" w:right="377"/>
      </w:pPr>
      <w:r>
        <w:rPr/>
        <w:t>The LCD DAC uses a low-power reference and, within the constraints of VBAT and the voltage doubler, generates a VLCD voltage of 2.65 VDC + 2.65 * </w:t>
      </w:r>
      <w:r>
        <w:rPr>
          <w:rFonts w:ascii="Times New Roman"/>
          <w:i/>
        </w:rPr>
        <w:t>LCD_DAC[4:0]</w:t>
      </w:r>
      <w:r>
        <w:rPr/>
        <w:t>/31. Two fuse bytes increase the accuracy of the LCD_DAC. LCDADJ12 and LCDADJ0 indicate the actual VLCD output voltage when the DAC is programmed to 12 and 0 respectively.</w:t>
      </w:r>
    </w:p>
    <w:p>
      <w:pPr>
        <w:pStyle w:val="BodyText"/>
        <w:spacing w:line="230" w:lineRule="auto" w:before="114"/>
        <w:ind w:left="239" w:right="638"/>
      </w:pPr>
      <w:r>
        <w:rPr/>
        <w:t>The </w:t>
      </w:r>
      <w:r>
        <w:rPr>
          <w:rFonts w:ascii="Times New Roman"/>
          <w:i/>
        </w:rPr>
        <w:t>LCD_BAT (I/O RAM 0x2402[7]) </w:t>
      </w:r>
      <w:r>
        <w:rPr/>
        <w:t>bit causes the LCD system to use the battery voltage in all power modes. This may be useful when an external supply is available for the LCD system. The advantage of connecting the external supply to VBAT, rather than VLCD is that the LCD DAC is still active.</w:t>
      </w:r>
    </w:p>
    <w:p>
      <w:pPr>
        <w:pStyle w:val="BodyText"/>
        <w:spacing w:line="230" w:lineRule="auto" w:before="117"/>
        <w:ind w:left="239" w:right="574"/>
      </w:pPr>
      <w:r>
        <w:rPr/>
        <w:t>If </w:t>
      </w:r>
      <w:r>
        <w:rPr>
          <w:i/>
        </w:rPr>
        <w:t>LCD_EXT </w:t>
      </w:r>
      <w:r>
        <w:rPr/>
        <w:t>= 1, the VLCD pin must be driven from an external source. In this case, the LCD DAC has no effect.</w:t>
      </w:r>
    </w:p>
    <w:p>
      <w:pPr>
        <w:pStyle w:val="BodyText"/>
        <w:spacing w:line="228" w:lineRule="auto" w:before="119"/>
        <w:ind w:left="238" w:right="394"/>
      </w:pPr>
      <w:r>
        <w:rPr/>
        <w:t>The LCD </w:t>
      </w:r>
      <w:r>
        <w:rPr>
          <w:spacing w:val="-4"/>
        </w:rPr>
        <w:t>system </w:t>
      </w:r>
      <w:r>
        <w:rPr/>
        <w:t>has the </w:t>
      </w:r>
      <w:r>
        <w:rPr>
          <w:spacing w:val="-3"/>
        </w:rPr>
        <w:t>ability </w:t>
      </w:r>
      <w:r>
        <w:rPr/>
        <w:t>to </w:t>
      </w:r>
      <w:r>
        <w:rPr>
          <w:spacing w:val="-3"/>
        </w:rPr>
        <w:t>drive </w:t>
      </w:r>
      <w:r>
        <w:rPr/>
        <w:t>up to </w:t>
      </w:r>
      <w:r>
        <w:rPr>
          <w:spacing w:val="-2"/>
        </w:rPr>
        <w:t>six </w:t>
      </w:r>
      <w:r>
        <w:rPr>
          <w:spacing w:val="-3"/>
        </w:rPr>
        <w:t>segments </w:t>
      </w:r>
      <w:r>
        <w:rPr/>
        <w:t>per </w:t>
      </w:r>
      <w:r>
        <w:rPr>
          <w:spacing w:val="-3"/>
        </w:rPr>
        <w:t>SEG driver. If </w:t>
      </w:r>
      <w:r>
        <w:rPr/>
        <w:t>the </w:t>
      </w:r>
      <w:r>
        <w:rPr>
          <w:spacing w:val="-3"/>
        </w:rPr>
        <w:t>display </w:t>
      </w:r>
      <w:r>
        <w:rPr/>
        <w:t>is </w:t>
      </w:r>
      <w:r>
        <w:rPr>
          <w:spacing w:val="-3"/>
        </w:rPr>
        <w:t>configured with </w:t>
      </w:r>
      <w:r>
        <w:rPr>
          <w:spacing w:val="-2"/>
        </w:rPr>
        <w:t>six </w:t>
      </w:r>
      <w:r>
        <w:rPr>
          <w:spacing w:val="-3"/>
        </w:rPr>
        <w:t>back planes, </w:t>
      </w:r>
      <w:r>
        <w:rPr/>
        <w:t>the </w:t>
      </w:r>
      <w:r>
        <w:rPr>
          <w:spacing w:val="-3"/>
        </w:rPr>
        <w:t>6-way multiplexing reduces </w:t>
      </w:r>
      <w:r>
        <w:rPr/>
        <w:t>the </w:t>
      </w:r>
      <w:r>
        <w:rPr>
          <w:spacing w:val="-3"/>
        </w:rPr>
        <w:t>number of SEG pins required to drive </w:t>
      </w:r>
      <w:r>
        <w:rPr/>
        <w:t>a </w:t>
      </w:r>
      <w:r>
        <w:rPr>
          <w:spacing w:val="-3"/>
        </w:rPr>
        <w:t>display and therefore enhances </w:t>
      </w:r>
      <w:r>
        <w:rPr/>
        <w:t>the </w:t>
      </w:r>
      <w:r>
        <w:rPr>
          <w:spacing w:val="-3"/>
        </w:rPr>
        <w:t>number </w:t>
      </w:r>
      <w:r>
        <w:rPr/>
        <w:t>of DIO </w:t>
      </w:r>
      <w:r>
        <w:rPr>
          <w:spacing w:val="-3"/>
        </w:rPr>
        <w:t>pins </w:t>
      </w:r>
      <w:r>
        <w:rPr>
          <w:spacing w:val="-4"/>
        </w:rPr>
        <w:t>available </w:t>
      </w:r>
      <w:r>
        <w:rPr/>
        <w:t>to the </w:t>
      </w:r>
      <w:r>
        <w:rPr>
          <w:spacing w:val="-3"/>
        </w:rPr>
        <w:t>application. </w:t>
      </w:r>
      <w:r>
        <w:rPr/>
        <w:t>Refer to the </w:t>
      </w:r>
      <w:r>
        <w:rPr>
          <w:rFonts w:ascii="Times New Roman"/>
          <w:i/>
          <w:spacing w:val="-3"/>
        </w:rPr>
        <w:t>LCD_MODE[2:0] </w:t>
      </w:r>
      <w:r>
        <w:rPr/>
        <w:t>field </w:t>
      </w:r>
      <w:r>
        <w:rPr>
          <w:rFonts w:ascii="Times New Roman"/>
          <w:i/>
        </w:rPr>
        <w:t>(I/O RAM 0x2400[6:4]) </w:t>
      </w:r>
      <w:r>
        <w:rPr/>
        <w:t>settings (</w:t>
      </w:r>
      <w:hyperlink w:history="true" w:anchor="_bookmark127">
        <w:r>
          <w:rPr>
            <w:color w:val="0000FF"/>
          </w:rPr>
          <w:t>Table 52</w:t>
        </w:r>
      </w:hyperlink>
      <w:r>
        <w:rPr/>
        <w:t>) for the different </w:t>
      </w:r>
      <w:r>
        <w:rPr>
          <w:spacing w:val="-3"/>
        </w:rPr>
        <w:t>LCD </w:t>
      </w:r>
      <w:r>
        <w:rPr>
          <w:spacing w:val="-4"/>
        </w:rPr>
        <w:t>multiplexing choices. </w:t>
      </w:r>
      <w:r>
        <w:rPr>
          <w:spacing w:val="-3"/>
        </w:rPr>
        <w:t>If </w:t>
      </w:r>
      <w:r>
        <w:rPr>
          <w:spacing w:val="-4"/>
        </w:rPr>
        <w:t>5-state </w:t>
      </w:r>
      <w:r>
        <w:rPr>
          <w:spacing w:val="-5"/>
        </w:rPr>
        <w:t>multiplexing  </w:t>
      </w:r>
      <w:r>
        <w:rPr/>
        <w:t>is selected, SEGDIO27 is converted to COM4. If 6-state multiplexing is selected, SEGDIO26 is converted to COM5. These conversions override the SEG/DIO mapping of SEGDIO26 and SEGDIO27. Additionally, independent of </w:t>
      </w:r>
      <w:r>
        <w:rPr>
          <w:rFonts w:ascii="Times New Roman"/>
          <w:i/>
        </w:rPr>
        <w:t>LCD_MODE[2:0], </w:t>
      </w:r>
      <w:r>
        <w:rPr/>
        <w:t>if </w:t>
      </w:r>
      <w:r>
        <w:rPr>
          <w:rFonts w:ascii="Times New Roman"/>
          <w:i/>
        </w:rPr>
        <w:t>LCD_ALLCOM </w:t>
      </w:r>
      <w:r>
        <w:rPr/>
        <w:t>= 1 (</w:t>
      </w:r>
      <w:r>
        <w:rPr>
          <w:rFonts w:ascii="Times New Roman"/>
          <w:i/>
        </w:rPr>
        <w:t>I/O RAM 0x2400[3])</w:t>
      </w:r>
      <w:r>
        <w:rPr/>
        <w:t>, then SEGDIO26 and SEGDIO27 become COM4 and COM5 if their </w:t>
      </w:r>
      <w:r>
        <w:rPr>
          <w:rFonts w:ascii="Times New Roman"/>
          <w:i/>
        </w:rPr>
        <w:t>LCD_MAP[ ] </w:t>
      </w:r>
      <w:r>
        <w:rPr/>
        <w:t>bits are</w:t>
      </w:r>
      <w:r>
        <w:rPr>
          <w:spacing w:val="4"/>
        </w:rPr>
        <w:t> </w:t>
      </w:r>
      <w:r>
        <w:rPr/>
        <w:t>set.</w:t>
      </w:r>
    </w:p>
    <w:p>
      <w:pPr>
        <w:spacing w:line="228" w:lineRule="auto" w:before="113"/>
        <w:ind w:left="237" w:right="687" w:firstLine="0"/>
        <w:jc w:val="left"/>
        <w:rPr>
          <w:sz w:val="20"/>
        </w:rPr>
      </w:pPr>
      <w:r>
        <w:rPr/>
        <w:drawing>
          <wp:anchor distT="0" distB="0" distL="0" distR="0" allowOverlap="1" layoutInCell="1" locked="0" behindDoc="0" simplePos="0" relativeHeight="15796224">
            <wp:simplePos x="0" y="0"/>
            <wp:positionH relativeFrom="page">
              <wp:posOffset>899774</wp:posOffset>
            </wp:positionH>
            <wp:positionV relativeFrom="paragraph">
              <wp:posOffset>678145</wp:posOffset>
            </wp:positionV>
            <wp:extent cx="217147" cy="322741"/>
            <wp:effectExtent l="0" t="0" r="0" b="0"/>
            <wp:wrapNone/>
            <wp:docPr id="67" name="image102.png"/>
            <wp:cNvGraphicFramePr>
              <a:graphicFrameLocks noChangeAspect="1"/>
            </wp:cNvGraphicFramePr>
            <a:graphic>
              <a:graphicData uri="http://schemas.openxmlformats.org/drawingml/2006/picture">
                <pic:pic>
                  <pic:nvPicPr>
                    <pic:cNvPr id="68" name="image102.png"/>
                    <pic:cNvPicPr/>
                  </pic:nvPicPr>
                  <pic:blipFill>
                    <a:blip r:embed="rId126" cstate="print"/>
                    <a:stretch>
                      <a:fillRect/>
                    </a:stretch>
                  </pic:blipFill>
                  <pic:spPr>
                    <a:xfrm>
                      <a:off x="0" y="0"/>
                      <a:ext cx="217147" cy="322741"/>
                    </a:xfrm>
                    <a:prstGeom prst="rect">
                      <a:avLst/>
                    </a:prstGeom>
                  </pic:spPr>
                </pic:pic>
              </a:graphicData>
            </a:graphic>
          </wp:anchor>
        </w:drawing>
      </w:r>
      <w:r>
        <w:rPr>
          <w:sz w:val="20"/>
        </w:rPr>
        <w:t>The </w:t>
      </w:r>
      <w:r>
        <w:rPr>
          <w:rFonts w:ascii="Times New Roman"/>
          <w:i/>
          <w:sz w:val="20"/>
        </w:rPr>
        <w:t>LCD_ON </w:t>
      </w:r>
      <w:r>
        <w:rPr>
          <w:sz w:val="20"/>
        </w:rPr>
        <w:t>(</w:t>
      </w:r>
      <w:r>
        <w:rPr>
          <w:rFonts w:ascii="Times New Roman"/>
          <w:i/>
          <w:sz w:val="20"/>
        </w:rPr>
        <w:t>I/O RAM 0x240C[0</w:t>
      </w:r>
      <w:r>
        <w:rPr>
          <w:sz w:val="20"/>
        </w:rPr>
        <w:t>]) and </w:t>
      </w:r>
      <w:r>
        <w:rPr>
          <w:rFonts w:ascii="Times New Roman"/>
          <w:i/>
          <w:sz w:val="20"/>
        </w:rPr>
        <w:t>LCD_BLANK </w:t>
      </w:r>
      <w:r>
        <w:rPr>
          <w:sz w:val="20"/>
        </w:rPr>
        <w:t>(</w:t>
      </w:r>
      <w:r>
        <w:rPr>
          <w:rFonts w:ascii="Times New Roman"/>
          <w:i/>
          <w:sz w:val="20"/>
        </w:rPr>
        <w:t>I/O RAM 0x240C[1]</w:t>
      </w:r>
      <w:r>
        <w:rPr>
          <w:sz w:val="20"/>
        </w:rPr>
        <w:t>) bits are an easy way to either blank the LCD display or turn it fully on. Neither bit affects the contents of the LCD data stored in the </w:t>
      </w:r>
      <w:r>
        <w:rPr>
          <w:rFonts w:ascii="Times New Roman"/>
          <w:i/>
          <w:sz w:val="20"/>
        </w:rPr>
        <w:t>LCDSEG_DIO[ ] </w:t>
      </w:r>
      <w:r>
        <w:rPr>
          <w:sz w:val="20"/>
        </w:rPr>
        <w:t>registers. In comparison, </w:t>
      </w:r>
      <w:r>
        <w:rPr>
          <w:rFonts w:ascii="Times New Roman"/>
          <w:i/>
          <w:sz w:val="20"/>
        </w:rPr>
        <w:t>LCD_RST </w:t>
      </w:r>
      <w:r>
        <w:rPr>
          <w:sz w:val="20"/>
        </w:rPr>
        <w:t>(</w:t>
      </w:r>
      <w:r>
        <w:rPr>
          <w:i/>
          <w:sz w:val="20"/>
        </w:rPr>
        <w:t>I/O RAM 0x240C[2]</w:t>
      </w:r>
      <w:r>
        <w:rPr>
          <w:sz w:val="20"/>
        </w:rPr>
        <w:t>) clears all LCD data to zero. </w:t>
      </w:r>
      <w:r>
        <w:rPr>
          <w:rFonts w:ascii="Times New Roman"/>
          <w:i/>
          <w:sz w:val="20"/>
        </w:rPr>
        <w:t>LCD_RST </w:t>
      </w:r>
      <w:r>
        <w:rPr>
          <w:sz w:val="20"/>
        </w:rPr>
        <w:t>affects only pins that are configured as LCD.</w:t>
      </w:r>
    </w:p>
    <w:p>
      <w:pPr>
        <w:pStyle w:val="BodyText"/>
        <w:spacing w:before="7"/>
        <w:rPr>
          <w:sz w:val="19"/>
        </w:rPr>
      </w:pPr>
    </w:p>
    <w:p>
      <w:pPr>
        <w:pStyle w:val="BodyText"/>
        <w:spacing w:line="228" w:lineRule="auto"/>
        <w:ind w:left="662" w:right="401" w:firstLine="50"/>
      </w:pPr>
      <w:r>
        <w:rPr/>
        <w:t>A small amount of power can be saved by programming the LCD frequency to the lowest value that provides satisfactory LCD visibility over the required temperature range.</w:t>
      </w:r>
    </w:p>
    <w:p>
      <w:pPr>
        <w:pStyle w:val="BodyText"/>
        <w:spacing w:before="9"/>
        <w:rPr>
          <w:sz w:val="28"/>
        </w:rPr>
      </w:pPr>
    </w:p>
    <w:p>
      <w:pPr>
        <w:pStyle w:val="BodyText"/>
        <w:ind w:left="237"/>
      </w:pPr>
      <w:hyperlink w:history="true" w:anchor="_bookmark127">
        <w:r>
          <w:rPr>
            <w:color w:val="0000FF"/>
          </w:rPr>
          <w:t>Table 52 </w:t>
        </w:r>
      </w:hyperlink>
      <w:r>
        <w:rPr/>
        <w:t>shows all I/O RAM registers that control the operation of the LCD interface.</w:t>
      </w:r>
    </w:p>
    <w:p>
      <w:pPr>
        <w:spacing w:after="0"/>
        <w:sectPr>
          <w:pgSz w:w="12240" w:h="15840"/>
          <w:pgMar w:header="727" w:footer="819" w:top="960" w:bottom="1000" w:left="1200" w:right="1060"/>
        </w:sectPr>
      </w:pPr>
    </w:p>
    <w:p>
      <w:pPr>
        <w:pStyle w:val="BodyText"/>
        <w:spacing w:before="10"/>
        <w:rPr>
          <w:sz w:val="15"/>
        </w:rPr>
      </w:pPr>
    </w:p>
    <w:p>
      <w:pPr>
        <w:pStyle w:val="Heading1"/>
        <w:spacing w:before="93"/>
        <w:ind w:left="64" w:right="204"/>
      </w:pPr>
      <w:bookmarkStart w:name="_bookmark127" w:id="258"/>
      <w:bookmarkEnd w:id="258"/>
      <w:r>
        <w:rPr>
          <w:b w:val="0"/>
        </w:rPr>
      </w:r>
      <w:r>
        <w:rPr/>
        <w:t>Table 52: LCD Configurations</w:t>
      </w:r>
    </w:p>
    <w:p>
      <w:pPr>
        <w:pStyle w:val="BodyText"/>
        <w:spacing w:before="5"/>
        <w:rPr>
          <w:b/>
          <w:sz w:val="5"/>
        </w:rPr>
      </w:pPr>
    </w:p>
    <w:tbl>
      <w:tblPr>
        <w:tblW w:w="0" w:type="auto"/>
        <w:jc w:val="left"/>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0"/>
        <w:gridCol w:w="1030"/>
        <w:gridCol w:w="550"/>
        <w:gridCol w:w="550"/>
        <w:gridCol w:w="644"/>
        <w:gridCol w:w="114"/>
        <w:gridCol w:w="1408"/>
        <w:gridCol w:w="83"/>
        <w:gridCol w:w="2077"/>
        <w:gridCol w:w="896"/>
        <w:gridCol w:w="397"/>
      </w:tblGrid>
      <w:tr>
        <w:trPr>
          <w:trHeight w:val="299" w:hRule="atLeast"/>
        </w:trPr>
        <w:tc>
          <w:tcPr>
            <w:tcW w:w="1620" w:type="dxa"/>
          </w:tcPr>
          <w:p>
            <w:pPr>
              <w:pStyle w:val="TableParagraph"/>
              <w:spacing w:before="28"/>
              <w:ind w:left="57"/>
              <w:rPr>
                <w:b/>
                <w:sz w:val="20"/>
              </w:rPr>
            </w:pPr>
            <w:r>
              <w:rPr>
                <w:b/>
                <w:sz w:val="20"/>
              </w:rPr>
              <w:t>Name</w:t>
            </w:r>
          </w:p>
        </w:tc>
        <w:tc>
          <w:tcPr>
            <w:tcW w:w="1030" w:type="dxa"/>
          </w:tcPr>
          <w:p>
            <w:pPr>
              <w:pStyle w:val="TableParagraph"/>
              <w:spacing w:before="28"/>
              <w:ind w:left="59" w:right="52"/>
              <w:jc w:val="center"/>
              <w:rPr>
                <w:b/>
                <w:sz w:val="20"/>
              </w:rPr>
            </w:pPr>
            <w:r>
              <w:rPr>
                <w:b/>
                <w:sz w:val="20"/>
              </w:rPr>
              <w:t>Location</w:t>
            </w:r>
          </w:p>
        </w:tc>
        <w:tc>
          <w:tcPr>
            <w:tcW w:w="550" w:type="dxa"/>
          </w:tcPr>
          <w:p>
            <w:pPr>
              <w:pStyle w:val="TableParagraph"/>
              <w:spacing w:before="28"/>
              <w:ind w:left="82" w:right="78"/>
              <w:jc w:val="center"/>
              <w:rPr>
                <w:b/>
                <w:sz w:val="20"/>
              </w:rPr>
            </w:pPr>
            <w:r>
              <w:rPr>
                <w:b/>
                <w:sz w:val="20"/>
              </w:rPr>
              <w:t>Rst</w:t>
            </w:r>
          </w:p>
        </w:tc>
        <w:tc>
          <w:tcPr>
            <w:tcW w:w="550" w:type="dxa"/>
          </w:tcPr>
          <w:p>
            <w:pPr>
              <w:pStyle w:val="TableParagraph"/>
              <w:spacing w:before="28"/>
              <w:ind w:left="87" w:right="78"/>
              <w:jc w:val="center"/>
              <w:rPr>
                <w:b/>
                <w:sz w:val="20"/>
              </w:rPr>
            </w:pPr>
            <w:r>
              <w:rPr>
                <w:b/>
                <w:sz w:val="20"/>
              </w:rPr>
              <w:t>Wk</w:t>
            </w:r>
          </w:p>
        </w:tc>
        <w:tc>
          <w:tcPr>
            <w:tcW w:w="644" w:type="dxa"/>
          </w:tcPr>
          <w:p>
            <w:pPr>
              <w:pStyle w:val="TableParagraph"/>
              <w:spacing w:before="28"/>
              <w:ind w:right="176"/>
              <w:jc w:val="right"/>
              <w:rPr>
                <w:b/>
                <w:sz w:val="20"/>
              </w:rPr>
            </w:pPr>
            <w:r>
              <w:rPr>
                <w:b/>
                <w:w w:val="95"/>
                <w:sz w:val="20"/>
              </w:rPr>
              <w:t>Dir</w:t>
            </w:r>
          </w:p>
        </w:tc>
        <w:tc>
          <w:tcPr>
            <w:tcW w:w="4975" w:type="dxa"/>
            <w:gridSpan w:val="6"/>
          </w:tcPr>
          <w:p>
            <w:pPr>
              <w:pStyle w:val="TableParagraph"/>
              <w:spacing w:before="28"/>
              <w:ind w:left="26"/>
              <w:rPr>
                <w:b/>
                <w:sz w:val="20"/>
              </w:rPr>
            </w:pPr>
            <w:r>
              <w:rPr>
                <w:b/>
                <w:sz w:val="20"/>
              </w:rPr>
              <w:t>Description</w:t>
            </w:r>
          </w:p>
        </w:tc>
      </w:tr>
      <w:tr>
        <w:trPr>
          <w:trHeight w:val="477" w:hRule="atLeast"/>
        </w:trPr>
        <w:tc>
          <w:tcPr>
            <w:tcW w:w="1620" w:type="dxa"/>
          </w:tcPr>
          <w:p>
            <w:pPr>
              <w:pStyle w:val="TableParagraph"/>
              <w:spacing w:before="115"/>
              <w:ind w:left="57"/>
              <w:rPr>
                <w:rFonts w:ascii="Times New Roman"/>
                <w:i/>
                <w:sz w:val="20"/>
              </w:rPr>
            </w:pPr>
            <w:r>
              <w:rPr>
                <w:rFonts w:ascii="Times New Roman"/>
                <w:i/>
                <w:sz w:val="20"/>
              </w:rPr>
              <w:t>LCD_ALLCOM</w:t>
            </w:r>
          </w:p>
        </w:tc>
        <w:tc>
          <w:tcPr>
            <w:tcW w:w="1030" w:type="dxa"/>
          </w:tcPr>
          <w:p>
            <w:pPr>
              <w:pStyle w:val="TableParagraph"/>
              <w:spacing w:before="119"/>
              <w:ind w:left="56" w:right="53"/>
              <w:jc w:val="center"/>
              <w:rPr>
                <w:sz w:val="20"/>
              </w:rPr>
            </w:pPr>
            <w:r>
              <w:rPr>
                <w:sz w:val="20"/>
              </w:rPr>
              <w:t>2400[3]</w:t>
            </w:r>
          </w:p>
        </w:tc>
        <w:tc>
          <w:tcPr>
            <w:tcW w:w="550" w:type="dxa"/>
          </w:tcPr>
          <w:p>
            <w:pPr>
              <w:pStyle w:val="TableParagraph"/>
              <w:spacing w:before="119"/>
              <w:ind w:left="6"/>
              <w:jc w:val="center"/>
              <w:rPr>
                <w:sz w:val="20"/>
              </w:rPr>
            </w:pPr>
            <w:r>
              <w:rPr>
                <w:w w:val="99"/>
                <w:sz w:val="20"/>
              </w:rPr>
              <w:t>0</w:t>
            </w:r>
          </w:p>
        </w:tc>
        <w:tc>
          <w:tcPr>
            <w:tcW w:w="550" w:type="dxa"/>
          </w:tcPr>
          <w:p>
            <w:pPr>
              <w:pStyle w:val="TableParagraph"/>
              <w:spacing w:before="119"/>
              <w:ind w:left="5"/>
              <w:jc w:val="center"/>
              <w:rPr>
                <w:sz w:val="20"/>
              </w:rPr>
            </w:pPr>
            <w:r>
              <w:rPr>
                <w:w w:val="99"/>
                <w:sz w:val="20"/>
              </w:rPr>
              <w:t>–</w:t>
            </w:r>
          </w:p>
        </w:tc>
        <w:tc>
          <w:tcPr>
            <w:tcW w:w="644" w:type="dxa"/>
          </w:tcPr>
          <w:p>
            <w:pPr>
              <w:pStyle w:val="TableParagraph"/>
              <w:spacing w:before="119"/>
              <w:ind w:right="131"/>
              <w:jc w:val="right"/>
              <w:rPr>
                <w:sz w:val="20"/>
              </w:rPr>
            </w:pPr>
            <w:r>
              <w:rPr>
                <w:sz w:val="20"/>
              </w:rPr>
              <w:t>R/W</w:t>
            </w:r>
          </w:p>
        </w:tc>
        <w:tc>
          <w:tcPr>
            <w:tcW w:w="4975" w:type="dxa"/>
            <w:gridSpan w:val="6"/>
          </w:tcPr>
          <w:p>
            <w:pPr>
              <w:pStyle w:val="TableParagraph"/>
              <w:spacing w:line="223" w:lineRule="auto" w:before="24"/>
              <w:ind w:left="26"/>
              <w:rPr>
                <w:sz w:val="20"/>
              </w:rPr>
            </w:pPr>
            <w:r>
              <w:rPr>
                <w:spacing w:val="-3"/>
                <w:sz w:val="20"/>
              </w:rPr>
              <w:t>Configures all </w:t>
            </w:r>
            <w:r>
              <w:rPr>
                <w:sz w:val="20"/>
              </w:rPr>
              <w:t>6 </w:t>
            </w:r>
            <w:r>
              <w:rPr>
                <w:spacing w:val="-3"/>
                <w:sz w:val="20"/>
              </w:rPr>
              <w:t>SEG/COM pins </w:t>
            </w:r>
            <w:r>
              <w:rPr>
                <w:sz w:val="20"/>
              </w:rPr>
              <w:t>as COM. </w:t>
            </w:r>
            <w:r>
              <w:rPr>
                <w:spacing w:val="-3"/>
                <w:sz w:val="20"/>
              </w:rPr>
              <w:t>Has </w:t>
            </w:r>
            <w:r>
              <w:rPr>
                <w:sz w:val="20"/>
              </w:rPr>
              <w:t>no </w:t>
            </w:r>
            <w:r>
              <w:rPr>
                <w:spacing w:val="-3"/>
                <w:sz w:val="20"/>
              </w:rPr>
              <w:t>effect </w:t>
            </w:r>
            <w:r>
              <w:rPr>
                <w:sz w:val="20"/>
              </w:rPr>
              <w:t>on pins whose </w:t>
            </w:r>
            <w:r>
              <w:rPr>
                <w:rFonts w:ascii="Times New Roman"/>
                <w:i/>
                <w:sz w:val="20"/>
              </w:rPr>
              <w:t>LCD_MAP </w:t>
            </w:r>
            <w:r>
              <w:rPr>
                <w:sz w:val="20"/>
              </w:rPr>
              <w:t>bit is zero.</w:t>
            </w:r>
          </w:p>
        </w:tc>
      </w:tr>
      <w:tr>
        <w:trPr>
          <w:trHeight w:val="258" w:hRule="atLeast"/>
        </w:trPr>
        <w:tc>
          <w:tcPr>
            <w:tcW w:w="1620" w:type="dxa"/>
          </w:tcPr>
          <w:p>
            <w:pPr>
              <w:pStyle w:val="TableParagraph"/>
              <w:spacing w:before="7"/>
              <w:ind w:left="57"/>
              <w:rPr>
                <w:rFonts w:ascii="Times New Roman"/>
                <w:i/>
                <w:sz w:val="20"/>
              </w:rPr>
            </w:pPr>
            <w:r>
              <w:rPr>
                <w:rFonts w:ascii="Times New Roman"/>
                <w:i/>
                <w:sz w:val="20"/>
              </w:rPr>
              <w:t>LCD_BAT</w:t>
            </w:r>
          </w:p>
        </w:tc>
        <w:tc>
          <w:tcPr>
            <w:tcW w:w="1030" w:type="dxa"/>
          </w:tcPr>
          <w:p>
            <w:pPr>
              <w:pStyle w:val="TableParagraph"/>
              <w:spacing w:line="227" w:lineRule="exact" w:before="11"/>
              <w:ind w:left="56" w:right="53"/>
              <w:jc w:val="center"/>
              <w:rPr>
                <w:sz w:val="20"/>
              </w:rPr>
            </w:pPr>
            <w:r>
              <w:rPr>
                <w:sz w:val="20"/>
              </w:rPr>
              <w:t>2402[7]</w:t>
            </w:r>
          </w:p>
        </w:tc>
        <w:tc>
          <w:tcPr>
            <w:tcW w:w="550" w:type="dxa"/>
          </w:tcPr>
          <w:p>
            <w:pPr>
              <w:pStyle w:val="TableParagraph"/>
              <w:spacing w:line="227" w:lineRule="exact" w:before="11"/>
              <w:ind w:left="6"/>
              <w:jc w:val="center"/>
              <w:rPr>
                <w:sz w:val="20"/>
              </w:rPr>
            </w:pPr>
            <w:r>
              <w:rPr>
                <w:w w:val="99"/>
                <w:sz w:val="20"/>
              </w:rPr>
              <w:t>0</w:t>
            </w:r>
          </w:p>
        </w:tc>
        <w:tc>
          <w:tcPr>
            <w:tcW w:w="550" w:type="dxa"/>
          </w:tcPr>
          <w:p>
            <w:pPr>
              <w:pStyle w:val="TableParagraph"/>
              <w:spacing w:line="227" w:lineRule="exact" w:before="11"/>
              <w:ind w:left="5"/>
              <w:jc w:val="center"/>
              <w:rPr>
                <w:sz w:val="20"/>
              </w:rPr>
            </w:pPr>
            <w:r>
              <w:rPr>
                <w:w w:val="99"/>
                <w:sz w:val="20"/>
              </w:rPr>
              <w:t>–</w:t>
            </w:r>
          </w:p>
        </w:tc>
        <w:tc>
          <w:tcPr>
            <w:tcW w:w="644" w:type="dxa"/>
          </w:tcPr>
          <w:p>
            <w:pPr>
              <w:pStyle w:val="TableParagraph"/>
              <w:spacing w:line="227" w:lineRule="exact" w:before="11"/>
              <w:ind w:right="131"/>
              <w:jc w:val="right"/>
              <w:rPr>
                <w:sz w:val="20"/>
              </w:rPr>
            </w:pPr>
            <w:r>
              <w:rPr>
                <w:sz w:val="20"/>
              </w:rPr>
              <w:t>R/W</w:t>
            </w:r>
          </w:p>
        </w:tc>
        <w:tc>
          <w:tcPr>
            <w:tcW w:w="4975" w:type="dxa"/>
            <w:gridSpan w:val="6"/>
          </w:tcPr>
          <w:p>
            <w:pPr>
              <w:pStyle w:val="TableParagraph"/>
              <w:spacing w:line="227" w:lineRule="exact" w:before="11"/>
              <w:ind w:left="26"/>
              <w:rPr>
                <w:sz w:val="20"/>
              </w:rPr>
            </w:pPr>
            <w:r>
              <w:rPr>
                <w:sz w:val="20"/>
              </w:rPr>
              <w:t>Connects the LCD power supply to VBAT in all modes.</w:t>
            </w:r>
          </w:p>
        </w:tc>
      </w:tr>
      <w:tr>
        <w:trPr>
          <w:trHeight w:val="697" w:hRule="atLeast"/>
        </w:trPr>
        <w:tc>
          <w:tcPr>
            <w:tcW w:w="1620" w:type="dxa"/>
          </w:tcPr>
          <w:p>
            <w:pPr>
              <w:pStyle w:val="TableParagraph"/>
              <w:spacing w:before="7"/>
              <w:rPr>
                <w:b/>
                <w:sz w:val="19"/>
              </w:rPr>
            </w:pPr>
          </w:p>
          <w:p>
            <w:pPr>
              <w:pStyle w:val="TableParagraph"/>
              <w:ind w:left="57"/>
              <w:rPr>
                <w:rFonts w:ascii="Times New Roman"/>
                <w:i/>
                <w:sz w:val="20"/>
              </w:rPr>
            </w:pPr>
            <w:r>
              <w:rPr>
                <w:rFonts w:ascii="Times New Roman"/>
                <w:i/>
                <w:sz w:val="20"/>
              </w:rPr>
              <w:t>LCD_E</w:t>
            </w:r>
          </w:p>
        </w:tc>
        <w:tc>
          <w:tcPr>
            <w:tcW w:w="1030" w:type="dxa"/>
          </w:tcPr>
          <w:p>
            <w:pPr>
              <w:pStyle w:val="TableParagraph"/>
              <w:spacing w:before="11"/>
              <w:rPr>
                <w:b/>
                <w:sz w:val="19"/>
              </w:rPr>
            </w:pPr>
          </w:p>
          <w:p>
            <w:pPr>
              <w:pStyle w:val="TableParagraph"/>
              <w:ind w:left="56" w:right="53"/>
              <w:jc w:val="center"/>
              <w:rPr>
                <w:sz w:val="20"/>
              </w:rPr>
            </w:pPr>
            <w:r>
              <w:rPr>
                <w:sz w:val="20"/>
              </w:rPr>
              <w:t>2400[7]</w:t>
            </w:r>
          </w:p>
        </w:tc>
        <w:tc>
          <w:tcPr>
            <w:tcW w:w="550" w:type="dxa"/>
          </w:tcPr>
          <w:p>
            <w:pPr>
              <w:pStyle w:val="TableParagraph"/>
              <w:spacing w:before="11"/>
              <w:rPr>
                <w:b/>
                <w:sz w:val="19"/>
              </w:rPr>
            </w:pPr>
          </w:p>
          <w:p>
            <w:pPr>
              <w:pStyle w:val="TableParagraph"/>
              <w:ind w:left="6"/>
              <w:jc w:val="center"/>
              <w:rPr>
                <w:sz w:val="20"/>
              </w:rPr>
            </w:pPr>
            <w:r>
              <w:rPr>
                <w:w w:val="99"/>
                <w:sz w:val="20"/>
              </w:rPr>
              <w:t>0</w:t>
            </w:r>
          </w:p>
        </w:tc>
        <w:tc>
          <w:tcPr>
            <w:tcW w:w="550" w:type="dxa"/>
          </w:tcPr>
          <w:p>
            <w:pPr>
              <w:pStyle w:val="TableParagraph"/>
              <w:spacing w:before="11"/>
              <w:rPr>
                <w:b/>
                <w:sz w:val="19"/>
              </w:rPr>
            </w:pPr>
          </w:p>
          <w:p>
            <w:pPr>
              <w:pStyle w:val="TableParagraph"/>
              <w:ind w:left="5"/>
              <w:jc w:val="center"/>
              <w:rPr>
                <w:sz w:val="20"/>
              </w:rPr>
            </w:pPr>
            <w:r>
              <w:rPr>
                <w:w w:val="99"/>
                <w:sz w:val="20"/>
              </w:rPr>
              <w:t>–</w:t>
            </w:r>
          </w:p>
        </w:tc>
        <w:tc>
          <w:tcPr>
            <w:tcW w:w="644" w:type="dxa"/>
          </w:tcPr>
          <w:p>
            <w:pPr>
              <w:pStyle w:val="TableParagraph"/>
              <w:spacing w:before="11"/>
              <w:rPr>
                <w:b/>
                <w:sz w:val="19"/>
              </w:rPr>
            </w:pPr>
          </w:p>
          <w:p>
            <w:pPr>
              <w:pStyle w:val="TableParagraph"/>
              <w:ind w:right="131"/>
              <w:jc w:val="right"/>
              <w:rPr>
                <w:sz w:val="20"/>
              </w:rPr>
            </w:pPr>
            <w:r>
              <w:rPr>
                <w:sz w:val="20"/>
              </w:rPr>
              <w:t>R/W</w:t>
            </w:r>
          </w:p>
        </w:tc>
        <w:tc>
          <w:tcPr>
            <w:tcW w:w="4975" w:type="dxa"/>
            <w:gridSpan w:val="6"/>
          </w:tcPr>
          <w:p>
            <w:pPr>
              <w:pStyle w:val="TableParagraph"/>
              <w:spacing w:line="225" w:lineRule="auto" w:before="22"/>
              <w:ind w:left="26" w:right="83"/>
              <w:rPr>
                <w:sz w:val="20"/>
              </w:rPr>
            </w:pPr>
            <w:r>
              <w:rPr>
                <w:sz w:val="20"/>
              </w:rPr>
              <w:t>Enables the LCD display. When disabled, VLC2, VLC1, and VLC0 are ground as are the COM and</w:t>
            </w:r>
            <w:r>
              <w:rPr>
                <w:spacing w:val="-24"/>
                <w:sz w:val="20"/>
              </w:rPr>
              <w:t> </w:t>
            </w:r>
            <w:r>
              <w:rPr>
                <w:sz w:val="20"/>
              </w:rPr>
              <w:t>SEG outputs if their </w:t>
            </w:r>
            <w:r>
              <w:rPr>
                <w:rFonts w:ascii="Times New Roman"/>
                <w:i/>
                <w:sz w:val="20"/>
              </w:rPr>
              <w:t>LCD_MAP </w:t>
            </w:r>
            <w:r>
              <w:rPr>
                <w:sz w:val="20"/>
              </w:rPr>
              <w:t>bit is</w:t>
            </w:r>
            <w:r>
              <w:rPr>
                <w:spacing w:val="4"/>
                <w:sz w:val="20"/>
              </w:rPr>
              <w:t> </w:t>
            </w:r>
            <w:r>
              <w:rPr>
                <w:sz w:val="20"/>
              </w:rPr>
              <w:t>1.</w:t>
            </w:r>
          </w:p>
        </w:tc>
      </w:tr>
      <w:tr>
        <w:trPr>
          <w:trHeight w:val="1132" w:hRule="atLeast"/>
        </w:trPr>
        <w:tc>
          <w:tcPr>
            <w:tcW w:w="1620" w:type="dxa"/>
          </w:tcPr>
          <w:p>
            <w:pPr>
              <w:pStyle w:val="TableParagraph"/>
              <w:spacing w:before="9"/>
              <w:rPr>
                <w:b/>
                <w:sz w:val="29"/>
              </w:rPr>
            </w:pPr>
          </w:p>
          <w:p>
            <w:pPr>
              <w:pStyle w:val="TableParagraph"/>
              <w:spacing w:line="228" w:lineRule="auto"/>
              <w:ind w:left="57"/>
              <w:rPr>
                <w:rFonts w:ascii="Times New Roman"/>
                <w:i/>
                <w:sz w:val="20"/>
              </w:rPr>
            </w:pPr>
            <w:r>
              <w:rPr>
                <w:rFonts w:ascii="Times New Roman"/>
                <w:i/>
                <w:sz w:val="20"/>
              </w:rPr>
              <w:t>LCD_ON </w:t>
            </w:r>
            <w:r>
              <w:rPr>
                <w:rFonts w:ascii="Times New Roman"/>
                <w:i/>
                <w:w w:val="95"/>
                <w:sz w:val="20"/>
              </w:rPr>
              <w:t>LCD_BLANK</w:t>
            </w:r>
          </w:p>
        </w:tc>
        <w:tc>
          <w:tcPr>
            <w:tcW w:w="1030" w:type="dxa"/>
          </w:tcPr>
          <w:p>
            <w:pPr>
              <w:pStyle w:val="TableParagraph"/>
              <w:spacing w:before="4"/>
              <w:rPr>
                <w:b/>
                <w:sz w:val="29"/>
              </w:rPr>
            </w:pPr>
          </w:p>
          <w:p>
            <w:pPr>
              <w:pStyle w:val="TableParagraph"/>
              <w:spacing w:line="224" w:lineRule="exact"/>
              <w:ind w:left="162"/>
              <w:rPr>
                <w:sz w:val="20"/>
              </w:rPr>
            </w:pPr>
            <w:r>
              <w:rPr>
                <w:sz w:val="20"/>
              </w:rPr>
              <w:t>240C[0]</w:t>
            </w:r>
          </w:p>
          <w:p>
            <w:pPr>
              <w:pStyle w:val="TableParagraph"/>
              <w:spacing w:line="224" w:lineRule="exact"/>
              <w:ind w:left="162"/>
              <w:rPr>
                <w:sz w:val="20"/>
              </w:rPr>
            </w:pPr>
            <w:r>
              <w:rPr>
                <w:sz w:val="20"/>
              </w:rPr>
              <w:t>240C[1]</w:t>
            </w:r>
          </w:p>
        </w:tc>
        <w:tc>
          <w:tcPr>
            <w:tcW w:w="550" w:type="dxa"/>
          </w:tcPr>
          <w:p>
            <w:pPr>
              <w:pStyle w:val="TableParagraph"/>
              <w:spacing w:before="4"/>
              <w:rPr>
                <w:b/>
                <w:sz w:val="29"/>
              </w:rPr>
            </w:pPr>
          </w:p>
          <w:p>
            <w:pPr>
              <w:pStyle w:val="TableParagraph"/>
              <w:spacing w:line="224" w:lineRule="exact"/>
              <w:ind w:left="6"/>
              <w:jc w:val="center"/>
              <w:rPr>
                <w:sz w:val="20"/>
              </w:rPr>
            </w:pPr>
            <w:r>
              <w:rPr>
                <w:w w:val="99"/>
                <w:sz w:val="20"/>
              </w:rPr>
              <w:t>0</w:t>
            </w:r>
          </w:p>
          <w:p>
            <w:pPr>
              <w:pStyle w:val="TableParagraph"/>
              <w:spacing w:line="224" w:lineRule="exact"/>
              <w:ind w:left="6"/>
              <w:jc w:val="center"/>
              <w:rPr>
                <w:sz w:val="20"/>
              </w:rPr>
            </w:pPr>
            <w:r>
              <w:rPr>
                <w:w w:val="99"/>
                <w:sz w:val="20"/>
              </w:rPr>
              <w:t>0</w:t>
            </w:r>
          </w:p>
        </w:tc>
        <w:tc>
          <w:tcPr>
            <w:tcW w:w="550" w:type="dxa"/>
          </w:tcPr>
          <w:p>
            <w:pPr>
              <w:pStyle w:val="TableParagraph"/>
              <w:spacing w:before="4"/>
              <w:rPr>
                <w:b/>
                <w:sz w:val="29"/>
              </w:rPr>
            </w:pPr>
          </w:p>
          <w:p>
            <w:pPr>
              <w:pStyle w:val="TableParagraph"/>
              <w:spacing w:line="224" w:lineRule="exact"/>
              <w:ind w:left="5"/>
              <w:jc w:val="center"/>
              <w:rPr>
                <w:sz w:val="20"/>
              </w:rPr>
            </w:pPr>
            <w:r>
              <w:rPr>
                <w:w w:val="99"/>
                <w:sz w:val="20"/>
              </w:rPr>
              <w:t>–</w:t>
            </w:r>
          </w:p>
          <w:p>
            <w:pPr>
              <w:pStyle w:val="TableParagraph"/>
              <w:spacing w:line="224" w:lineRule="exact"/>
              <w:ind w:left="5"/>
              <w:jc w:val="center"/>
              <w:rPr>
                <w:sz w:val="20"/>
              </w:rPr>
            </w:pPr>
            <w:r>
              <w:rPr>
                <w:w w:val="99"/>
                <w:sz w:val="20"/>
              </w:rPr>
              <w:t>–</w:t>
            </w:r>
          </w:p>
        </w:tc>
        <w:tc>
          <w:tcPr>
            <w:tcW w:w="644" w:type="dxa"/>
          </w:tcPr>
          <w:p>
            <w:pPr>
              <w:pStyle w:val="TableParagraph"/>
              <w:spacing w:before="2"/>
              <w:rPr>
                <w:b/>
                <w:sz w:val="30"/>
              </w:rPr>
            </w:pPr>
          </w:p>
          <w:p>
            <w:pPr>
              <w:pStyle w:val="TableParagraph"/>
              <w:spacing w:line="228" w:lineRule="auto"/>
              <w:ind w:left="123"/>
              <w:rPr>
                <w:sz w:val="20"/>
              </w:rPr>
            </w:pPr>
            <w:r>
              <w:rPr>
                <w:sz w:val="20"/>
              </w:rPr>
              <w:t>R/W R/W</w:t>
            </w:r>
          </w:p>
        </w:tc>
        <w:tc>
          <w:tcPr>
            <w:tcW w:w="4975" w:type="dxa"/>
            <w:gridSpan w:val="6"/>
          </w:tcPr>
          <w:p>
            <w:pPr>
              <w:pStyle w:val="TableParagraph"/>
              <w:spacing w:line="230" w:lineRule="auto" w:before="11"/>
              <w:ind w:left="26" w:right="172"/>
              <w:rPr>
                <w:sz w:val="20"/>
              </w:rPr>
            </w:pPr>
            <w:r>
              <w:rPr>
                <w:rFonts w:ascii="Times New Roman"/>
                <w:i/>
                <w:sz w:val="20"/>
              </w:rPr>
              <w:t>LCD_ON </w:t>
            </w:r>
            <w:r>
              <w:rPr>
                <w:sz w:val="20"/>
              </w:rPr>
              <w:t>= 1 turns on all LCD segments without affecting the LCD data. Similarly, </w:t>
            </w:r>
            <w:r>
              <w:rPr>
                <w:rFonts w:ascii="Times New Roman"/>
                <w:i/>
                <w:sz w:val="20"/>
              </w:rPr>
              <w:t>LCD_BLANK </w:t>
            </w:r>
            <w:r>
              <w:rPr>
                <w:sz w:val="20"/>
              </w:rPr>
              <w:t>= 1 turns off all LCD segments without affecting the LCD</w:t>
            </w:r>
          </w:p>
          <w:p>
            <w:pPr>
              <w:pStyle w:val="TableParagraph"/>
              <w:spacing w:line="218" w:lineRule="exact" w:before="4"/>
              <w:ind w:left="26" w:right="172"/>
              <w:rPr>
                <w:sz w:val="20"/>
              </w:rPr>
            </w:pPr>
            <w:r>
              <w:rPr>
                <w:sz w:val="20"/>
              </w:rPr>
              <w:t>data. If both bits are set, all LCD segments are turned on.</w:t>
            </w:r>
          </w:p>
        </w:tc>
      </w:tr>
      <w:tr>
        <w:trPr>
          <w:trHeight w:val="477" w:hRule="atLeast"/>
        </w:trPr>
        <w:tc>
          <w:tcPr>
            <w:tcW w:w="1620" w:type="dxa"/>
          </w:tcPr>
          <w:p>
            <w:pPr>
              <w:pStyle w:val="TableParagraph"/>
              <w:spacing w:before="115"/>
              <w:ind w:left="57"/>
              <w:rPr>
                <w:rFonts w:ascii="Times New Roman"/>
                <w:i/>
                <w:sz w:val="20"/>
              </w:rPr>
            </w:pPr>
            <w:r>
              <w:rPr>
                <w:rFonts w:ascii="Times New Roman"/>
                <w:i/>
                <w:sz w:val="20"/>
              </w:rPr>
              <w:t>LCD_RST</w:t>
            </w:r>
          </w:p>
        </w:tc>
        <w:tc>
          <w:tcPr>
            <w:tcW w:w="1030" w:type="dxa"/>
          </w:tcPr>
          <w:p>
            <w:pPr>
              <w:pStyle w:val="TableParagraph"/>
              <w:spacing w:before="119"/>
              <w:ind w:left="57" w:right="53"/>
              <w:jc w:val="center"/>
              <w:rPr>
                <w:sz w:val="20"/>
              </w:rPr>
            </w:pPr>
            <w:r>
              <w:rPr>
                <w:sz w:val="20"/>
              </w:rPr>
              <w:t>240C[2]</w:t>
            </w:r>
          </w:p>
        </w:tc>
        <w:tc>
          <w:tcPr>
            <w:tcW w:w="550" w:type="dxa"/>
          </w:tcPr>
          <w:p>
            <w:pPr>
              <w:pStyle w:val="TableParagraph"/>
              <w:spacing w:before="119"/>
              <w:ind w:left="6"/>
              <w:jc w:val="center"/>
              <w:rPr>
                <w:sz w:val="20"/>
              </w:rPr>
            </w:pPr>
            <w:r>
              <w:rPr>
                <w:w w:val="99"/>
                <w:sz w:val="20"/>
              </w:rPr>
              <w:t>0</w:t>
            </w:r>
          </w:p>
        </w:tc>
        <w:tc>
          <w:tcPr>
            <w:tcW w:w="550" w:type="dxa"/>
          </w:tcPr>
          <w:p>
            <w:pPr>
              <w:pStyle w:val="TableParagraph"/>
              <w:spacing w:before="119"/>
              <w:ind w:left="5"/>
              <w:jc w:val="center"/>
              <w:rPr>
                <w:sz w:val="20"/>
              </w:rPr>
            </w:pPr>
            <w:r>
              <w:rPr>
                <w:w w:val="99"/>
                <w:sz w:val="20"/>
              </w:rPr>
              <w:t>–</w:t>
            </w:r>
          </w:p>
        </w:tc>
        <w:tc>
          <w:tcPr>
            <w:tcW w:w="644" w:type="dxa"/>
          </w:tcPr>
          <w:p>
            <w:pPr>
              <w:pStyle w:val="TableParagraph"/>
              <w:spacing w:before="119"/>
              <w:ind w:right="131"/>
              <w:jc w:val="right"/>
              <w:rPr>
                <w:sz w:val="20"/>
              </w:rPr>
            </w:pPr>
            <w:r>
              <w:rPr>
                <w:sz w:val="20"/>
              </w:rPr>
              <w:t>R/W</w:t>
            </w:r>
          </w:p>
        </w:tc>
        <w:tc>
          <w:tcPr>
            <w:tcW w:w="4975" w:type="dxa"/>
            <w:gridSpan w:val="6"/>
          </w:tcPr>
          <w:p>
            <w:pPr>
              <w:pStyle w:val="TableParagraph"/>
              <w:spacing w:line="218" w:lineRule="exact" w:before="24"/>
              <w:ind w:left="26"/>
              <w:rPr>
                <w:sz w:val="20"/>
              </w:rPr>
            </w:pPr>
            <w:r>
              <w:rPr>
                <w:sz w:val="20"/>
              </w:rPr>
              <w:t>Clear all bits of LCD data. These bits affect SEGDIO pins that are configured as LCD drivers.</w:t>
            </w:r>
          </w:p>
        </w:tc>
      </w:tr>
      <w:tr>
        <w:trPr>
          <w:trHeight w:val="1650" w:hRule="atLeast"/>
        </w:trPr>
        <w:tc>
          <w:tcPr>
            <w:tcW w:w="1620" w:type="dxa"/>
          </w:tcPr>
          <w:p>
            <w:pPr>
              <w:pStyle w:val="TableParagraph"/>
              <w:rPr>
                <w:b/>
                <w:sz w:val="22"/>
              </w:rPr>
            </w:pPr>
          </w:p>
          <w:p>
            <w:pPr>
              <w:pStyle w:val="TableParagraph"/>
              <w:rPr>
                <w:b/>
                <w:sz w:val="22"/>
              </w:rPr>
            </w:pPr>
          </w:p>
          <w:p>
            <w:pPr>
              <w:pStyle w:val="TableParagraph"/>
              <w:spacing w:before="197"/>
              <w:ind w:left="57"/>
              <w:rPr>
                <w:rFonts w:ascii="Times New Roman"/>
                <w:i/>
                <w:sz w:val="20"/>
              </w:rPr>
            </w:pPr>
            <w:r>
              <w:rPr>
                <w:rFonts w:ascii="Times New Roman"/>
                <w:i/>
                <w:sz w:val="20"/>
              </w:rPr>
              <w:t>LCD_DAC[4:0]</w:t>
            </w:r>
          </w:p>
        </w:tc>
        <w:tc>
          <w:tcPr>
            <w:tcW w:w="1030" w:type="dxa"/>
          </w:tcPr>
          <w:p>
            <w:pPr>
              <w:pStyle w:val="TableParagraph"/>
              <w:rPr>
                <w:b/>
                <w:sz w:val="22"/>
              </w:rPr>
            </w:pPr>
          </w:p>
          <w:p>
            <w:pPr>
              <w:pStyle w:val="TableParagraph"/>
              <w:rPr>
                <w:b/>
                <w:sz w:val="22"/>
              </w:rPr>
            </w:pPr>
          </w:p>
          <w:p>
            <w:pPr>
              <w:pStyle w:val="TableParagraph"/>
              <w:spacing w:before="5"/>
              <w:rPr>
                <w:b/>
                <w:sz w:val="17"/>
              </w:rPr>
            </w:pPr>
          </w:p>
          <w:p>
            <w:pPr>
              <w:pStyle w:val="TableParagraph"/>
              <w:spacing w:before="1"/>
              <w:ind w:left="59" w:right="53"/>
              <w:jc w:val="center"/>
              <w:rPr>
                <w:sz w:val="20"/>
              </w:rPr>
            </w:pPr>
            <w:r>
              <w:rPr>
                <w:sz w:val="20"/>
              </w:rPr>
              <w:t>240D[4:0]</w:t>
            </w:r>
          </w:p>
        </w:tc>
        <w:tc>
          <w:tcPr>
            <w:tcW w:w="550" w:type="dxa"/>
          </w:tcPr>
          <w:p>
            <w:pPr>
              <w:pStyle w:val="TableParagraph"/>
              <w:rPr>
                <w:b/>
                <w:sz w:val="22"/>
              </w:rPr>
            </w:pPr>
          </w:p>
          <w:p>
            <w:pPr>
              <w:pStyle w:val="TableParagraph"/>
              <w:rPr>
                <w:b/>
                <w:sz w:val="22"/>
              </w:rPr>
            </w:pPr>
          </w:p>
          <w:p>
            <w:pPr>
              <w:pStyle w:val="TableParagraph"/>
              <w:spacing w:before="5"/>
              <w:rPr>
                <w:b/>
                <w:sz w:val="17"/>
              </w:rPr>
            </w:pPr>
          </w:p>
          <w:p>
            <w:pPr>
              <w:pStyle w:val="TableParagraph"/>
              <w:spacing w:before="1"/>
              <w:ind w:left="6"/>
              <w:jc w:val="center"/>
              <w:rPr>
                <w:sz w:val="20"/>
              </w:rPr>
            </w:pPr>
            <w:r>
              <w:rPr>
                <w:w w:val="99"/>
                <w:sz w:val="20"/>
              </w:rPr>
              <w:t>0</w:t>
            </w:r>
          </w:p>
        </w:tc>
        <w:tc>
          <w:tcPr>
            <w:tcW w:w="550" w:type="dxa"/>
          </w:tcPr>
          <w:p>
            <w:pPr>
              <w:pStyle w:val="TableParagraph"/>
              <w:rPr>
                <w:b/>
                <w:sz w:val="22"/>
              </w:rPr>
            </w:pPr>
          </w:p>
          <w:p>
            <w:pPr>
              <w:pStyle w:val="TableParagraph"/>
              <w:rPr>
                <w:b/>
                <w:sz w:val="22"/>
              </w:rPr>
            </w:pPr>
          </w:p>
          <w:p>
            <w:pPr>
              <w:pStyle w:val="TableParagraph"/>
              <w:spacing w:before="5"/>
              <w:rPr>
                <w:b/>
                <w:sz w:val="17"/>
              </w:rPr>
            </w:pPr>
          </w:p>
          <w:p>
            <w:pPr>
              <w:pStyle w:val="TableParagraph"/>
              <w:spacing w:before="1"/>
              <w:ind w:left="5"/>
              <w:jc w:val="center"/>
              <w:rPr>
                <w:sz w:val="20"/>
              </w:rPr>
            </w:pPr>
            <w:r>
              <w:rPr>
                <w:w w:val="99"/>
                <w:sz w:val="20"/>
              </w:rPr>
              <w:t>–</w:t>
            </w:r>
          </w:p>
        </w:tc>
        <w:tc>
          <w:tcPr>
            <w:tcW w:w="644" w:type="dxa"/>
          </w:tcPr>
          <w:p>
            <w:pPr>
              <w:pStyle w:val="TableParagraph"/>
              <w:rPr>
                <w:b/>
                <w:sz w:val="22"/>
              </w:rPr>
            </w:pPr>
          </w:p>
          <w:p>
            <w:pPr>
              <w:pStyle w:val="TableParagraph"/>
              <w:rPr>
                <w:b/>
                <w:sz w:val="22"/>
              </w:rPr>
            </w:pPr>
          </w:p>
          <w:p>
            <w:pPr>
              <w:pStyle w:val="TableParagraph"/>
              <w:spacing w:before="5"/>
              <w:rPr>
                <w:b/>
                <w:sz w:val="17"/>
              </w:rPr>
            </w:pPr>
          </w:p>
          <w:p>
            <w:pPr>
              <w:pStyle w:val="TableParagraph"/>
              <w:spacing w:before="1"/>
              <w:ind w:right="131"/>
              <w:jc w:val="right"/>
              <w:rPr>
                <w:sz w:val="20"/>
              </w:rPr>
            </w:pPr>
            <w:r>
              <w:rPr>
                <w:sz w:val="20"/>
              </w:rPr>
              <w:t>R/W</w:t>
            </w:r>
          </w:p>
        </w:tc>
        <w:tc>
          <w:tcPr>
            <w:tcW w:w="4975" w:type="dxa"/>
            <w:gridSpan w:val="6"/>
          </w:tcPr>
          <w:p>
            <w:pPr>
              <w:pStyle w:val="TableParagraph"/>
              <w:spacing w:line="228" w:lineRule="auto" w:before="20"/>
              <w:ind w:left="26"/>
              <w:rPr>
                <w:sz w:val="20"/>
              </w:rPr>
            </w:pPr>
            <w:r>
              <w:rPr>
                <w:sz w:val="20"/>
              </w:rPr>
              <w:t>This register controls the LCD contrast DAC which adjusts the VLCD voltage and has an output range of</w:t>
            </w:r>
          </w:p>
          <w:p>
            <w:pPr>
              <w:pStyle w:val="TableParagraph"/>
              <w:spacing w:line="264" w:lineRule="auto"/>
              <w:ind w:left="470" w:right="928" w:hanging="445"/>
              <w:rPr>
                <w:sz w:val="20"/>
              </w:rPr>
            </w:pPr>
            <w:r>
              <w:rPr>
                <w:sz w:val="20"/>
              </w:rPr>
              <w:t>2.65 VDC to 5.3 VDC. The VLCD voltage is VLCD = 2.65 + 2.65 * </w:t>
            </w:r>
            <w:r>
              <w:rPr>
                <w:rFonts w:ascii="Times New Roman"/>
                <w:i/>
                <w:sz w:val="20"/>
              </w:rPr>
              <w:t>LCD_DAC[4:0]</w:t>
            </w:r>
            <w:r>
              <w:rPr>
                <w:sz w:val="20"/>
              </w:rPr>
              <w:t>/31</w:t>
            </w:r>
          </w:p>
          <w:p>
            <w:pPr>
              <w:pStyle w:val="TableParagraph"/>
              <w:spacing w:line="225" w:lineRule="auto" w:before="11"/>
              <w:ind w:left="26" w:right="61"/>
              <w:rPr>
                <w:sz w:val="20"/>
              </w:rPr>
            </w:pPr>
            <w:r>
              <w:rPr>
                <w:sz w:val="20"/>
              </w:rPr>
              <w:t>Thus, the LSB of the DAC is 85.5 mV. The maximum DAC output voltage is limited by V3P3SYS, VBAT, and whether </w:t>
            </w:r>
            <w:r>
              <w:rPr>
                <w:rFonts w:ascii="Times New Roman"/>
                <w:i/>
                <w:sz w:val="20"/>
              </w:rPr>
              <w:t>LCD_BSTE </w:t>
            </w:r>
            <w:r>
              <w:rPr>
                <w:sz w:val="20"/>
              </w:rPr>
              <w:t>is set.</w:t>
            </w:r>
          </w:p>
        </w:tc>
      </w:tr>
      <w:tr>
        <w:trPr>
          <w:trHeight w:val="695" w:hRule="atLeast"/>
        </w:trPr>
        <w:tc>
          <w:tcPr>
            <w:tcW w:w="1620" w:type="dxa"/>
          </w:tcPr>
          <w:p>
            <w:pPr>
              <w:pStyle w:val="TableParagraph"/>
              <w:spacing w:before="7"/>
              <w:rPr>
                <w:b/>
                <w:sz w:val="19"/>
              </w:rPr>
            </w:pPr>
          </w:p>
          <w:p>
            <w:pPr>
              <w:pStyle w:val="TableParagraph"/>
              <w:ind w:left="57"/>
              <w:rPr>
                <w:rFonts w:ascii="Times New Roman"/>
                <w:i/>
                <w:sz w:val="20"/>
              </w:rPr>
            </w:pPr>
            <w:r>
              <w:rPr>
                <w:rFonts w:ascii="Times New Roman"/>
                <w:i/>
                <w:sz w:val="20"/>
              </w:rPr>
              <w:t>LCD_CLK[1:0]</w:t>
            </w:r>
          </w:p>
        </w:tc>
        <w:tc>
          <w:tcPr>
            <w:tcW w:w="1030" w:type="dxa"/>
          </w:tcPr>
          <w:p>
            <w:pPr>
              <w:pStyle w:val="TableParagraph"/>
              <w:spacing w:before="11"/>
              <w:rPr>
                <w:b/>
                <w:sz w:val="19"/>
              </w:rPr>
            </w:pPr>
          </w:p>
          <w:p>
            <w:pPr>
              <w:pStyle w:val="TableParagraph"/>
              <w:ind w:left="57" w:right="53"/>
              <w:jc w:val="center"/>
              <w:rPr>
                <w:sz w:val="20"/>
              </w:rPr>
            </w:pPr>
            <w:r>
              <w:rPr>
                <w:sz w:val="20"/>
              </w:rPr>
              <w:t>2400[1:0]</w:t>
            </w:r>
          </w:p>
        </w:tc>
        <w:tc>
          <w:tcPr>
            <w:tcW w:w="550" w:type="dxa"/>
          </w:tcPr>
          <w:p>
            <w:pPr>
              <w:pStyle w:val="TableParagraph"/>
              <w:spacing w:before="11"/>
              <w:rPr>
                <w:b/>
                <w:sz w:val="19"/>
              </w:rPr>
            </w:pPr>
          </w:p>
          <w:p>
            <w:pPr>
              <w:pStyle w:val="TableParagraph"/>
              <w:ind w:left="6"/>
              <w:jc w:val="center"/>
              <w:rPr>
                <w:sz w:val="20"/>
              </w:rPr>
            </w:pPr>
            <w:r>
              <w:rPr>
                <w:w w:val="99"/>
                <w:sz w:val="20"/>
              </w:rPr>
              <w:t>0</w:t>
            </w:r>
          </w:p>
        </w:tc>
        <w:tc>
          <w:tcPr>
            <w:tcW w:w="550" w:type="dxa"/>
          </w:tcPr>
          <w:p>
            <w:pPr>
              <w:pStyle w:val="TableParagraph"/>
              <w:spacing w:before="11"/>
              <w:rPr>
                <w:b/>
                <w:sz w:val="19"/>
              </w:rPr>
            </w:pPr>
          </w:p>
          <w:p>
            <w:pPr>
              <w:pStyle w:val="TableParagraph"/>
              <w:ind w:left="5"/>
              <w:jc w:val="center"/>
              <w:rPr>
                <w:sz w:val="20"/>
              </w:rPr>
            </w:pPr>
            <w:r>
              <w:rPr>
                <w:w w:val="99"/>
                <w:sz w:val="20"/>
              </w:rPr>
              <w:t>–</w:t>
            </w:r>
          </w:p>
        </w:tc>
        <w:tc>
          <w:tcPr>
            <w:tcW w:w="644" w:type="dxa"/>
          </w:tcPr>
          <w:p>
            <w:pPr>
              <w:pStyle w:val="TableParagraph"/>
              <w:spacing w:before="11"/>
              <w:rPr>
                <w:b/>
                <w:sz w:val="19"/>
              </w:rPr>
            </w:pPr>
          </w:p>
          <w:p>
            <w:pPr>
              <w:pStyle w:val="TableParagraph"/>
              <w:ind w:right="131"/>
              <w:jc w:val="right"/>
              <w:rPr>
                <w:sz w:val="20"/>
              </w:rPr>
            </w:pPr>
            <w:r>
              <w:rPr>
                <w:sz w:val="20"/>
              </w:rPr>
              <w:t>R/W</w:t>
            </w:r>
          </w:p>
        </w:tc>
        <w:tc>
          <w:tcPr>
            <w:tcW w:w="4975" w:type="dxa"/>
            <w:gridSpan w:val="6"/>
          </w:tcPr>
          <w:p>
            <w:pPr>
              <w:pStyle w:val="TableParagraph"/>
              <w:tabs>
                <w:tab w:pos="1521" w:val="left" w:leader="none"/>
              </w:tabs>
              <w:spacing w:line="228" w:lineRule="auto" w:before="20"/>
              <w:ind w:left="26" w:right="61"/>
              <w:rPr>
                <w:sz w:val="20"/>
              </w:rPr>
            </w:pPr>
            <w:r>
              <w:rPr>
                <w:sz w:val="20"/>
              </w:rPr>
              <w:t>Sets the LCD clock frequency (1/T). See definition of T in</w:t>
            </w:r>
            <w:r>
              <w:rPr>
                <w:spacing w:val="-4"/>
                <w:sz w:val="20"/>
              </w:rPr>
              <w:t> </w:t>
            </w:r>
            <w:hyperlink w:history="true" w:anchor="_bookmark128">
              <w:r>
                <w:rPr>
                  <w:color w:val="0000FF"/>
                  <w:sz w:val="20"/>
                </w:rPr>
                <w:t>Figure</w:t>
              </w:r>
              <w:r>
                <w:rPr>
                  <w:color w:val="0000FF"/>
                  <w:spacing w:val="-1"/>
                  <w:sz w:val="20"/>
                </w:rPr>
                <w:t> </w:t>
              </w:r>
              <w:r>
                <w:rPr>
                  <w:color w:val="0000FF"/>
                  <w:sz w:val="20"/>
                </w:rPr>
                <w:t>17</w:t>
              </w:r>
              <w:r>
                <w:rPr>
                  <w:sz w:val="20"/>
                </w:rPr>
                <w:t>.</w:t>
              </w:r>
            </w:hyperlink>
            <w:r>
              <w:rPr>
                <w:sz w:val="20"/>
              </w:rPr>
              <w:tab/>
              <w:t>Note: fw = 32768</w:t>
            </w:r>
            <w:r>
              <w:rPr>
                <w:spacing w:val="-4"/>
                <w:sz w:val="20"/>
              </w:rPr>
              <w:t> </w:t>
            </w:r>
            <w:r>
              <w:rPr>
                <w:sz w:val="20"/>
              </w:rPr>
              <w:t>Hz</w:t>
            </w:r>
          </w:p>
          <w:p>
            <w:pPr>
              <w:pStyle w:val="TableParagraph"/>
              <w:spacing w:line="218" w:lineRule="exact"/>
              <w:ind w:left="746"/>
              <w:rPr>
                <w:sz w:val="20"/>
              </w:rPr>
            </w:pPr>
            <w:r>
              <w:rPr>
                <w:sz w:val="20"/>
              </w:rPr>
              <w:t>00-fw/2^9, 01-fw/2^8, 10-fw/2^7, 11-fw/2^6</w:t>
            </w:r>
          </w:p>
        </w:tc>
      </w:tr>
      <w:tr>
        <w:trPr>
          <w:trHeight w:val="299" w:hRule="atLeast"/>
        </w:trPr>
        <w:tc>
          <w:tcPr>
            <w:tcW w:w="162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5"/>
              </w:rPr>
            </w:pPr>
          </w:p>
          <w:p>
            <w:pPr>
              <w:pStyle w:val="TableParagraph"/>
              <w:ind w:left="57"/>
              <w:rPr>
                <w:rFonts w:ascii="Times New Roman"/>
                <w:i/>
                <w:sz w:val="20"/>
              </w:rPr>
            </w:pPr>
            <w:r>
              <w:rPr>
                <w:rFonts w:ascii="Times New Roman"/>
                <w:i/>
                <w:sz w:val="20"/>
              </w:rPr>
              <w:t>LCD_MODE[2:0]</w:t>
            </w:r>
          </w:p>
        </w:tc>
        <w:tc>
          <w:tcPr>
            <w:tcW w:w="1030"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4"/>
              <w:rPr>
                <w:b/>
                <w:sz w:val="25"/>
              </w:rPr>
            </w:pPr>
          </w:p>
          <w:p>
            <w:pPr>
              <w:pStyle w:val="TableParagraph"/>
              <w:ind w:left="95"/>
              <w:rPr>
                <w:sz w:val="20"/>
              </w:rPr>
            </w:pPr>
            <w:r>
              <w:rPr>
                <w:sz w:val="20"/>
              </w:rPr>
              <w:t>2400[6:4]</w:t>
            </w:r>
          </w:p>
        </w:tc>
        <w:tc>
          <w:tcPr>
            <w:tcW w:w="550"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4"/>
              <w:rPr>
                <w:b/>
                <w:sz w:val="25"/>
              </w:rPr>
            </w:pPr>
          </w:p>
          <w:p>
            <w:pPr>
              <w:pStyle w:val="TableParagraph"/>
              <w:ind w:left="6"/>
              <w:jc w:val="center"/>
              <w:rPr>
                <w:sz w:val="20"/>
              </w:rPr>
            </w:pPr>
            <w:r>
              <w:rPr>
                <w:w w:val="99"/>
                <w:sz w:val="20"/>
              </w:rPr>
              <w:t>0</w:t>
            </w:r>
          </w:p>
        </w:tc>
        <w:tc>
          <w:tcPr>
            <w:tcW w:w="550"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4"/>
              <w:rPr>
                <w:b/>
                <w:sz w:val="25"/>
              </w:rPr>
            </w:pPr>
          </w:p>
          <w:p>
            <w:pPr>
              <w:pStyle w:val="TableParagraph"/>
              <w:ind w:left="5"/>
              <w:jc w:val="center"/>
              <w:rPr>
                <w:sz w:val="20"/>
              </w:rPr>
            </w:pPr>
            <w:r>
              <w:rPr>
                <w:w w:val="99"/>
                <w:sz w:val="20"/>
              </w:rPr>
              <w:t>–</w:t>
            </w:r>
          </w:p>
        </w:tc>
        <w:tc>
          <w:tcPr>
            <w:tcW w:w="644"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4"/>
              <w:rPr>
                <w:b/>
                <w:sz w:val="25"/>
              </w:rPr>
            </w:pPr>
          </w:p>
          <w:p>
            <w:pPr>
              <w:pStyle w:val="TableParagraph"/>
              <w:ind w:left="123"/>
              <w:rPr>
                <w:sz w:val="20"/>
              </w:rPr>
            </w:pPr>
            <w:r>
              <w:rPr>
                <w:sz w:val="20"/>
              </w:rPr>
              <w:t>R/W</w:t>
            </w:r>
          </w:p>
        </w:tc>
        <w:tc>
          <w:tcPr>
            <w:tcW w:w="4975" w:type="dxa"/>
            <w:gridSpan w:val="6"/>
            <w:tcBorders>
              <w:bottom w:val="nil"/>
            </w:tcBorders>
          </w:tcPr>
          <w:p>
            <w:pPr>
              <w:pStyle w:val="TableParagraph"/>
              <w:spacing w:before="11"/>
              <w:ind w:left="26"/>
              <w:rPr>
                <w:sz w:val="20"/>
              </w:rPr>
            </w:pPr>
            <w:r>
              <w:rPr>
                <w:sz w:val="20"/>
              </w:rPr>
              <w:t>The LCD bias and multiplex mode.</w:t>
            </w:r>
          </w:p>
        </w:tc>
      </w:tr>
      <w:tr>
        <w:trPr>
          <w:trHeight w:val="258" w:hRule="atLeast"/>
        </w:trPr>
        <w:tc>
          <w:tcPr>
            <w:tcW w:w="1620" w:type="dxa"/>
            <w:vMerge/>
            <w:tcBorders>
              <w:top w:val="nil"/>
            </w:tcBorders>
          </w:tcPr>
          <w:p>
            <w:pPr>
              <w:rPr>
                <w:sz w:val="2"/>
                <w:szCs w:val="2"/>
              </w:rPr>
            </w:pPr>
          </w:p>
        </w:tc>
        <w:tc>
          <w:tcPr>
            <w:tcW w:w="1030" w:type="dxa"/>
            <w:vMerge/>
            <w:tcBorders>
              <w:top w:val="nil"/>
            </w:tcBorders>
          </w:tcPr>
          <w:p>
            <w:pPr>
              <w:rPr>
                <w:sz w:val="2"/>
                <w:szCs w:val="2"/>
              </w:rPr>
            </w:pPr>
          </w:p>
        </w:tc>
        <w:tc>
          <w:tcPr>
            <w:tcW w:w="550" w:type="dxa"/>
            <w:vMerge/>
            <w:tcBorders>
              <w:top w:val="nil"/>
            </w:tcBorders>
          </w:tcPr>
          <w:p>
            <w:pPr>
              <w:rPr>
                <w:sz w:val="2"/>
                <w:szCs w:val="2"/>
              </w:rPr>
            </w:pPr>
          </w:p>
        </w:tc>
        <w:tc>
          <w:tcPr>
            <w:tcW w:w="550" w:type="dxa"/>
            <w:vMerge/>
            <w:tcBorders>
              <w:top w:val="nil"/>
            </w:tcBorders>
          </w:tcPr>
          <w:p>
            <w:pPr>
              <w:rPr>
                <w:sz w:val="2"/>
                <w:szCs w:val="2"/>
              </w:rPr>
            </w:pPr>
          </w:p>
        </w:tc>
        <w:tc>
          <w:tcPr>
            <w:tcW w:w="644" w:type="dxa"/>
            <w:vMerge/>
            <w:tcBorders>
              <w:top w:val="nil"/>
            </w:tcBorders>
          </w:tcPr>
          <w:p>
            <w:pPr>
              <w:rPr>
                <w:sz w:val="2"/>
                <w:szCs w:val="2"/>
              </w:rPr>
            </w:pPr>
          </w:p>
        </w:tc>
        <w:tc>
          <w:tcPr>
            <w:tcW w:w="114" w:type="dxa"/>
            <w:vMerge w:val="restart"/>
            <w:tcBorders>
              <w:top w:val="nil"/>
            </w:tcBorders>
          </w:tcPr>
          <w:p>
            <w:pPr>
              <w:pStyle w:val="TableParagraph"/>
              <w:rPr>
                <w:rFonts w:ascii="Times New Roman"/>
                <w:sz w:val="18"/>
              </w:rPr>
            </w:pPr>
          </w:p>
        </w:tc>
        <w:tc>
          <w:tcPr>
            <w:tcW w:w="1408" w:type="dxa"/>
          </w:tcPr>
          <w:p>
            <w:pPr>
              <w:pStyle w:val="TableParagraph"/>
              <w:spacing w:line="229" w:lineRule="exact" w:before="10"/>
              <w:ind w:left="127" w:right="129"/>
              <w:jc w:val="center"/>
              <w:rPr>
                <w:rFonts w:ascii="Times New Roman"/>
                <w:b/>
                <w:i/>
                <w:sz w:val="20"/>
              </w:rPr>
            </w:pPr>
            <w:r>
              <w:rPr>
                <w:rFonts w:ascii="Times New Roman"/>
                <w:b/>
                <w:i/>
                <w:sz w:val="20"/>
              </w:rPr>
              <w:t>LCD_MODE</w:t>
            </w:r>
          </w:p>
        </w:tc>
        <w:tc>
          <w:tcPr>
            <w:tcW w:w="2160" w:type="dxa"/>
            <w:gridSpan w:val="2"/>
          </w:tcPr>
          <w:p>
            <w:pPr>
              <w:pStyle w:val="TableParagraph"/>
              <w:spacing w:before="6"/>
              <w:ind w:left="725" w:right="729"/>
              <w:jc w:val="center"/>
              <w:rPr>
                <w:b/>
                <w:sz w:val="20"/>
              </w:rPr>
            </w:pPr>
            <w:r>
              <w:rPr>
                <w:b/>
                <w:sz w:val="20"/>
              </w:rPr>
              <w:t>Output</w:t>
            </w:r>
          </w:p>
        </w:tc>
        <w:tc>
          <w:tcPr>
            <w:tcW w:w="1293" w:type="dxa"/>
            <w:gridSpan w:val="2"/>
            <w:vMerge w:val="restart"/>
            <w:tcBorders>
              <w:top w:val="nil"/>
            </w:tcBorders>
          </w:tcPr>
          <w:p>
            <w:pPr>
              <w:pStyle w:val="TableParagraph"/>
              <w:rPr>
                <w:rFonts w:ascii="Times New Roman"/>
                <w:sz w:val="18"/>
              </w:rPr>
            </w:pPr>
          </w:p>
        </w:tc>
      </w:tr>
      <w:tr>
        <w:trPr>
          <w:trHeight w:val="237" w:hRule="atLeast"/>
        </w:trPr>
        <w:tc>
          <w:tcPr>
            <w:tcW w:w="1620" w:type="dxa"/>
            <w:vMerge/>
            <w:tcBorders>
              <w:top w:val="nil"/>
            </w:tcBorders>
          </w:tcPr>
          <w:p>
            <w:pPr>
              <w:rPr>
                <w:sz w:val="2"/>
                <w:szCs w:val="2"/>
              </w:rPr>
            </w:pPr>
          </w:p>
        </w:tc>
        <w:tc>
          <w:tcPr>
            <w:tcW w:w="1030" w:type="dxa"/>
            <w:vMerge/>
            <w:tcBorders>
              <w:top w:val="nil"/>
            </w:tcBorders>
          </w:tcPr>
          <w:p>
            <w:pPr>
              <w:rPr>
                <w:sz w:val="2"/>
                <w:szCs w:val="2"/>
              </w:rPr>
            </w:pPr>
          </w:p>
        </w:tc>
        <w:tc>
          <w:tcPr>
            <w:tcW w:w="550" w:type="dxa"/>
            <w:vMerge/>
            <w:tcBorders>
              <w:top w:val="nil"/>
            </w:tcBorders>
          </w:tcPr>
          <w:p>
            <w:pPr>
              <w:rPr>
                <w:sz w:val="2"/>
                <w:szCs w:val="2"/>
              </w:rPr>
            </w:pPr>
          </w:p>
        </w:tc>
        <w:tc>
          <w:tcPr>
            <w:tcW w:w="550" w:type="dxa"/>
            <w:vMerge/>
            <w:tcBorders>
              <w:top w:val="nil"/>
            </w:tcBorders>
          </w:tcPr>
          <w:p>
            <w:pPr>
              <w:rPr>
                <w:sz w:val="2"/>
                <w:szCs w:val="2"/>
              </w:rPr>
            </w:pPr>
          </w:p>
        </w:tc>
        <w:tc>
          <w:tcPr>
            <w:tcW w:w="644" w:type="dxa"/>
            <w:vMerge/>
            <w:tcBorders>
              <w:top w:val="nil"/>
            </w:tcBorders>
          </w:tcPr>
          <w:p>
            <w:pPr>
              <w:rPr>
                <w:sz w:val="2"/>
                <w:szCs w:val="2"/>
              </w:rPr>
            </w:pPr>
          </w:p>
        </w:tc>
        <w:tc>
          <w:tcPr>
            <w:tcW w:w="114" w:type="dxa"/>
            <w:vMerge/>
            <w:tcBorders>
              <w:top w:val="nil"/>
            </w:tcBorders>
          </w:tcPr>
          <w:p>
            <w:pPr>
              <w:rPr>
                <w:sz w:val="2"/>
                <w:szCs w:val="2"/>
              </w:rPr>
            </w:pPr>
          </w:p>
        </w:tc>
        <w:tc>
          <w:tcPr>
            <w:tcW w:w="1408" w:type="dxa"/>
          </w:tcPr>
          <w:p>
            <w:pPr>
              <w:pStyle w:val="TableParagraph"/>
              <w:spacing w:line="217" w:lineRule="exact"/>
              <w:ind w:left="127" w:right="128"/>
              <w:jc w:val="center"/>
              <w:rPr>
                <w:sz w:val="20"/>
              </w:rPr>
            </w:pPr>
            <w:r>
              <w:rPr>
                <w:sz w:val="20"/>
              </w:rPr>
              <w:t>000</w:t>
            </w:r>
          </w:p>
        </w:tc>
        <w:tc>
          <w:tcPr>
            <w:tcW w:w="2160" w:type="dxa"/>
            <w:gridSpan w:val="2"/>
          </w:tcPr>
          <w:p>
            <w:pPr>
              <w:pStyle w:val="TableParagraph"/>
              <w:spacing w:line="217" w:lineRule="exact"/>
              <w:ind w:left="316"/>
              <w:rPr>
                <w:sz w:val="20"/>
              </w:rPr>
            </w:pPr>
            <w:r>
              <w:rPr>
                <w:sz w:val="20"/>
              </w:rPr>
              <w:t>4 states, 1/3 bias</w:t>
            </w:r>
          </w:p>
        </w:tc>
        <w:tc>
          <w:tcPr>
            <w:tcW w:w="1293" w:type="dxa"/>
            <w:gridSpan w:val="2"/>
            <w:vMerge/>
            <w:tcBorders>
              <w:top w:val="nil"/>
            </w:tcBorders>
          </w:tcPr>
          <w:p>
            <w:pPr>
              <w:rPr>
                <w:sz w:val="2"/>
                <w:szCs w:val="2"/>
              </w:rPr>
            </w:pPr>
          </w:p>
        </w:tc>
      </w:tr>
      <w:tr>
        <w:trPr>
          <w:trHeight w:val="239" w:hRule="atLeast"/>
        </w:trPr>
        <w:tc>
          <w:tcPr>
            <w:tcW w:w="1620" w:type="dxa"/>
            <w:vMerge/>
            <w:tcBorders>
              <w:top w:val="nil"/>
            </w:tcBorders>
          </w:tcPr>
          <w:p>
            <w:pPr>
              <w:rPr>
                <w:sz w:val="2"/>
                <w:szCs w:val="2"/>
              </w:rPr>
            </w:pPr>
          </w:p>
        </w:tc>
        <w:tc>
          <w:tcPr>
            <w:tcW w:w="1030" w:type="dxa"/>
            <w:vMerge/>
            <w:tcBorders>
              <w:top w:val="nil"/>
            </w:tcBorders>
          </w:tcPr>
          <w:p>
            <w:pPr>
              <w:rPr>
                <w:sz w:val="2"/>
                <w:szCs w:val="2"/>
              </w:rPr>
            </w:pPr>
          </w:p>
        </w:tc>
        <w:tc>
          <w:tcPr>
            <w:tcW w:w="550" w:type="dxa"/>
            <w:vMerge/>
            <w:tcBorders>
              <w:top w:val="nil"/>
            </w:tcBorders>
          </w:tcPr>
          <w:p>
            <w:pPr>
              <w:rPr>
                <w:sz w:val="2"/>
                <w:szCs w:val="2"/>
              </w:rPr>
            </w:pPr>
          </w:p>
        </w:tc>
        <w:tc>
          <w:tcPr>
            <w:tcW w:w="550" w:type="dxa"/>
            <w:vMerge/>
            <w:tcBorders>
              <w:top w:val="nil"/>
            </w:tcBorders>
          </w:tcPr>
          <w:p>
            <w:pPr>
              <w:rPr>
                <w:sz w:val="2"/>
                <w:szCs w:val="2"/>
              </w:rPr>
            </w:pPr>
          </w:p>
        </w:tc>
        <w:tc>
          <w:tcPr>
            <w:tcW w:w="644" w:type="dxa"/>
            <w:vMerge/>
            <w:tcBorders>
              <w:top w:val="nil"/>
            </w:tcBorders>
          </w:tcPr>
          <w:p>
            <w:pPr>
              <w:rPr>
                <w:sz w:val="2"/>
                <w:szCs w:val="2"/>
              </w:rPr>
            </w:pPr>
          </w:p>
        </w:tc>
        <w:tc>
          <w:tcPr>
            <w:tcW w:w="114" w:type="dxa"/>
            <w:vMerge/>
            <w:tcBorders>
              <w:top w:val="nil"/>
            </w:tcBorders>
          </w:tcPr>
          <w:p>
            <w:pPr>
              <w:rPr>
                <w:sz w:val="2"/>
                <w:szCs w:val="2"/>
              </w:rPr>
            </w:pPr>
          </w:p>
        </w:tc>
        <w:tc>
          <w:tcPr>
            <w:tcW w:w="1408" w:type="dxa"/>
          </w:tcPr>
          <w:p>
            <w:pPr>
              <w:pStyle w:val="TableParagraph"/>
              <w:spacing w:line="220" w:lineRule="exact"/>
              <w:ind w:left="127" w:right="128"/>
              <w:jc w:val="center"/>
              <w:rPr>
                <w:sz w:val="20"/>
              </w:rPr>
            </w:pPr>
            <w:r>
              <w:rPr>
                <w:sz w:val="20"/>
              </w:rPr>
              <w:t>001</w:t>
            </w:r>
          </w:p>
        </w:tc>
        <w:tc>
          <w:tcPr>
            <w:tcW w:w="2160" w:type="dxa"/>
            <w:gridSpan w:val="2"/>
          </w:tcPr>
          <w:p>
            <w:pPr>
              <w:pStyle w:val="TableParagraph"/>
              <w:spacing w:line="220" w:lineRule="exact"/>
              <w:ind w:left="316"/>
              <w:rPr>
                <w:sz w:val="20"/>
              </w:rPr>
            </w:pPr>
            <w:r>
              <w:rPr>
                <w:sz w:val="20"/>
              </w:rPr>
              <w:t>3 states, 1/3 bias</w:t>
            </w:r>
          </w:p>
        </w:tc>
        <w:tc>
          <w:tcPr>
            <w:tcW w:w="1293" w:type="dxa"/>
            <w:gridSpan w:val="2"/>
            <w:vMerge/>
            <w:tcBorders>
              <w:top w:val="nil"/>
            </w:tcBorders>
          </w:tcPr>
          <w:p>
            <w:pPr>
              <w:rPr>
                <w:sz w:val="2"/>
                <w:szCs w:val="2"/>
              </w:rPr>
            </w:pPr>
          </w:p>
        </w:tc>
      </w:tr>
      <w:tr>
        <w:trPr>
          <w:trHeight w:val="237" w:hRule="atLeast"/>
        </w:trPr>
        <w:tc>
          <w:tcPr>
            <w:tcW w:w="1620" w:type="dxa"/>
            <w:vMerge/>
            <w:tcBorders>
              <w:top w:val="nil"/>
            </w:tcBorders>
          </w:tcPr>
          <w:p>
            <w:pPr>
              <w:rPr>
                <w:sz w:val="2"/>
                <w:szCs w:val="2"/>
              </w:rPr>
            </w:pPr>
          </w:p>
        </w:tc>
        <w:tc>
          <w:tcPr>
            <w:tcW w:w="1030" w:type="dxa"/>
            <w:vMerge/>
            <w:tcBorders>
              <w:top w:val="nil"/>
            </w:tcBorders>
          </w:tcPr>
          <w:p>
            <w:pPr>
              <w:rPr>
                <w:sz w:val="2"/>
                <w:szCs w:val="2"/>
              </w:rPr>
            </w:pPr>
          </w:p>
        </w:tc>
        <w:tc>
          <w:tcPr>
            <w:tcW w:w="550" w:type="dxa"/>
            <w:vMerge/>
            <w:tcBorders>
              <w:top w:val="nil"/>
            </w:tcBorders>
          </w:tcPr>
          <w:p>
            <w:pPr>
              <w:rPr>
                <w:sz w:val="2"/>
                <w:szCs w:val="2"/>
              </w:rPr>
            </w:pPr>
          </w:p>
        </w:tc>
        <w:tc>
          <w:tcPr>
            <w:tcW w:w="550" w:type="dxa"/>
            <w:vMerge/>
            <w:tcBorders>
              <w:top w:val="nil"/>
            </w:tcBorders>
          </w:tcPr>
          <w:p>
            <w:pPr>
              <w:rPr>
                <w:sz w:val="2"/>
                <w:szCs w:val="2"/>
              </w:rPr>
            </w:pPr>
          </w:p>
        </w:tc>
        <w:tc>
          <w:tcPr>
            <w:tcW w:w="644" w:type="dxa"/>
            <w:vMerge/>
            <w:tcBorders>
              <w:top w:val="nil"/>
            </w:tcBorders>
          </w:tcPr>
          <w:p>
            <w:pPr>
              <w:rPr>
                <w:sz w:val="2"/>
                <w:szCs w:val="2"/>
              </w:rPr>
            </w:pPr>
          </w:p>
        </w:tc>
        <w:tc>
          <w:tcPr>
            <w:tcW w:w="114" w:type="dxa"/>
            <w:vMerge/>
            <w:tcBorders>
              <w:top w:val="nil"/>
            </w:tcBorders>
          </w:tcPr>
          <w:p>
            <w:pPr>
              <w:rPr>
                <w:sz w:val="2"/>
                <w:szCs w:val="2"/>
              </w:rPr>
            </w:pPr>
          </w:p>
        </w:tc>
        <w:tc>
          <w:tcPr>
            <w:tcW w:w="1408" w:type="dxa"/>
          </w:tcPr>
          <w:p>
            <w:pPr>
              <w:pStyle w:val="TableParagraph"/>
              <w:spacing w:line="217" w:lineRule="exact"/>
              <w:ind w:left="127" w:right="128"/>
              <w:jc w:val="center"/>
              <w:rPr>
                <w:sz w:val="20"/>
              </w:rPr>
            </w:pPr>
            <w:r>
              <w:rPr>
                <w:sz w:val="20"/>
              </w:rPr>
              <w:t>010</w:t>
            </w:r>
          </w:p>
        </w:tc>
        <w:tc>
          <w:tcPr>
            <w:tcW w:w="2160" w:type="dxa"/>
            <w:gridSpan w:val="2"/>
          </w:tcPr>
          <w:p>
            <w:pPr>
              <w:pStyle w:val="TableParagraph"/>
              <w:spacing w:line="217" w:lineRule="exact"/>
              <w:ind w:left="371"/>
              <w:rPr>
                <w:sz w:val="20"/>
              </w:rPr>
            </w:pPr>
            <w:r>
              <w:rPr>
                <w:sz w:val="20"/>
              </w:rPr>
              <w:t>2 states, ½ bias</w:t>
            </w:r>
          </w:p>
        </w:tc>
        <w:tc>
          <w:tcPr>
            <w:tcW w:w="1293" w:type="dxa"/>
            <w:gridSpan w:val="2"/>
            <w:vMerge/>
            <w:tcBorders>
              <w:top w:val="nil"/>
            </w:tcBorders>
          </w:tcPr>
          <w:p>
            <w:pPr>
              <w:rPr>
                <w:sz w:val="2"/>
                <w:szCs w:val="2"/>
              </w:rPr>
            </w:pPr>
          </w:p>
        </w:tc>
      </w:tr>
      <w:tr>
        <w:trPr>
          <w:trHeight w:val="239" w:hRule="atLeast"/>
        </w:trPr>
        <w:tc>
          <w:tcPr>
            <w:tcW w:w="1620" w:type="dxa"/>
            <w:vMerge/>
            <w:tcBorders>
              <w:top w:val="nil"/>
            </w:tcBorders>
          </w:tcPr>
          <w:p>
            <w:pPr>
              <w:rPr>
                <w:sz w:val="2"/>
                <w:szCs w:val="2"/>
              </w:rPr>
            </w:pPr>
          </w:p>
        </w:tc>
        <w:tc>
          <w:tcPr>
            <w:tcW w:w="1030" w:type="dxa"/>
            <w:vMerge/>
            <w:tcBorders>
              <w:top w:val="nil"/>
            </w:tcBorders>
          </w:tcPr>
          <w:p>
            <w:pPr>
              <w:rPr>
                <w:sz w:val="2"/>
                <w:szCs w:val="2"/>
              </w:rPr>
            </w:pPr>
          </w:p>
        </w:tc>
        <w:tc>
          <w:tcPr>
            <w:tcW w:w="550" w:type="dxa"/>
            <w:vMerge/>
            <w:tcBorders>
              <w:top w:val="nil"/>
            </w:tcBorders>
          </w:tcPr>
          <w:p>
            <w:pPr>
              <w:rPr>
                <w:sz w:val="2"/>
                <w:szCs w:val="2"/>
              </w:rPr>
            </w:pPr>
          </w:p>
        </w:tc>
        <w:tc>
          <w:tcPr>
            <w:tcW w:w="550" w:type="dxa"/>
            <w:vMerge/>
            <w:tcBorders>
              <w:top w:val="nil"/>
            </w:tcBorders>
          </w:tcPr>
          <w:p>
            <w:pPr>
              <w:rPr>
                <w:sz w:val="2"/>
                <w:szCs w:val="2"/>
              </w:rPr>
            </w:pPr>
          </w:p>
        </w:tc>
        <w:tc>
          <w:tcPr>
            <w:tcW w:w="644" w:type="dxa"/>
            <w:vMerge/>
            <w:tcBorders>
              <w:top w:val="nil"/>
            </w:tcBorders>
          </w:tcPr>
          <w:p>
            <w:pPr>
              <w:rPr>
                <w:sz w:val="2"/>
                <w:szCs w:val="2"/>
              </w:rPr>
            </w:pPr>
          </w:p>
        </w:tc>
        <w:tc>
          <w:tcPr>
            <w:tcW w:w="114" w:type="dxa"/>
            <w:vMerge/>
            <w:tcBorders>
              <w:top w:val="nil"/>
            </w:tcBorders>
          </w:tcPr>
          <w:p>
            <w:pPr>
              <w:rPr>
                <w:sz w:val="2"/>
                <w:szCs w:val="2"/>
              </w:rPr>
            </w:pPr>
          </w:p>
        </w:tc>
        <w:tc>
          <w:tcPr>
            <w:tcW w:w="1408" w:type="dxa"/>
          </w:tcPr>
          <w:p>
            <w:pPr>
              <w:pStyle w:val="TableParagraph"/>
              <w:spacing w:line="220" w:lineRule="exact"/>
              <w:ind w:left="127" w:right="128"/>
              <w:jc w:val="center"/>
              <w:rPr>
                <w:sz w:val="20"/>
              </w:rPr>
            </w:pPr>
            <w:r>
              <w:rPr>
                <w:sz w:val="20"/>
              </w:rPr>
              <w:t>011</w:t>
            </w:r>
          </w:p>
        </w:tc>
        <w:tc>
          <w:tcPr>
            <w:tcW w:w="2160" w:type="dxa"/>
            <w:gridSpan w:val="2"/>
          </w:tcPr>
          <w:p>
            <w:pPr>
              <w:pStyle w:val="TableParagraph"/>
              <w:spacing w:line="220" w:lineRule="exact"/>
              <w:ind w:left="371"/>
              <w:rPr>
                <w:sz w:val="20"/>
              </w:rPr>
            </w:pPr>
            <w:r>
              <w:rPr>
                <w:sz w:val="20"/>
              </w:rPr>
              <w:t>3 states, ½ bias</w:t>
            </w:r>
          </w:p>
        </w:tc>
        <w:tc>
          <w:tcPr>
            <w:tcW w:w="1293" w:type="dxa"/>
            <w:gridSpan w:val="2"/>
            <w:vMerge/>
            <w:tcBorders>
              <w:top w:val="nil"/>
            </w:tcBorders>
          </w:tcPr>
          <w:p>
            <w:pPr>
              <w:rPr>
                <w:sz w:val="2"/>
                <w:szCs w:val="2"/>
              </w:rPr>
            </w:pPr>
          </w:p>
        </w:tc>
      </w:tr>
      <w:tr>
        <w:trPr>
          <w:trHeight w:val="237" w:hRule="atLeast"/>
        </w:trPr>
        <w:tc>
          <w:tcPr>
            <w:tcW w:w="1620" w:type="dxa"/>
            <w:vMerge/>
            <w:tcBorders>
              <w:top w:val="nil"/>
            </w:tcBorders>
          </w:tcPr>
          <w:p>
            <w:pPr>
              <w:rPr>
                <w:sz w:val="2"/>
                <w:szCs w:val="2"/>
              </w:rPr>
            </w:pPr>
          </w:p>
        </w:tc>
        <w:tc>
          <w:tcPr>
            <w:tcW w:w="1030" w:type="dxa"/>
            <w:vMerge/>
            <w:tcBorders>
              <w:top w:val="nil"/>
            </w:tcBorders>
          </w:tcPr>
          <w:p>
            <w:pPr>
              <w:rPr>
                <w:sz w:val="2"/>
                <w:szCs w:val="2"/>
              </w:rPr>
            </w:pPr>
          </w:p>
        </w:tc>
        <w:tc>
          <w:tcPr>
            <w:tcW w:w="550" w:type="dxa"/>
            <w:vMerge/>
            <w:tcBorders>
              <w:top w:val="nil"/>
            </w:tcBorders>
          </w:tcPr>
          <w:p>
            <w:pPr>
              <w:rPr>
                <w:sz w:val="2"/>
                <w:szCs w:val="2"/>
              </w:rPr>
            </w:pPr>
          </w:p>
        </w:tc>
        <w:tc>
          <w:tcPr>
            <w:tcW w:w="550" w:type="dxa"/>
            <w:vMerge/>
            <w:tcBorders>
              <w:top w:val="nil"/>
            </w:tcBorders>
          </w:tcPr>
          <w:p>
            <w:pPr>
              <w:rPr>
                <w:sz w:val="2"/>
                <w:szCs w:val="2"/>
              </w:rPr>
            </w:pPr>
          </w:p>
        </w:tc>
        <w:tc>
          <w:tcPr>
            <w:tcW w:w="644" w:type="dxa"/>
            <w:vMerge/>
            <w:tcBorders>
              <w:top w:val="nil"/>
            </w:tcBorders>
          </w:tcPr>
          <w:p>
            <w:pPr>
              <w:rPr>
                <w:sz w:val="2"/>
                <w:szCs w:val="2"/>
              </w:rPr>
            </w:pPr>
          </w:p>
        </w:tc>
        <w:tc>
          <w:tcPr>
            <w:tcW w:w="114" w:type="dxa"/>
            <w:vMerge/>
            <w:tcBorders>
              <w:top w:val="nil"/>
            </w:tcBorders>
          </w:tcPr>
          <w:p>
            <w:pPr>
              <w:rPr>
                <w:sz w:val="2"/>
                <w:szCs w:val="2"/>
              </w:rPr>
            </w:pPr>
          </w:p>
        </w:tc>
        <w:tc>
          <w:tcPr>
            <w:tcW w:w="1408" w:type="dxa"/>
          </w:tcPr>
          <w:p>
            <w:pPr>
              <w:pStyle w:val="TableParagraph"/>
              <w:spacing w:line="217" w:lineRule="exact"/>
              <w:ind w:left="127" w:right="128"/>
              <w:jc w:val="center"/>
              <w:rPr>
                <w:sz w:val="20"/>
              </w:rPr>
            </w:pPr>
            <w:r>
              <w:rPr>
                <w:sz w:val="20"/>
              </w:rPr>
              <w:t>100</w:t>
            </w:r>
          </w:p>
        </w:tc>
        <w:tc>
          <w:tcPr>
            <w:tcW w:w="2160" w:type="dxa"/>
            <w:gridSpan w:val="2"/>
          </w:tcPr>
          <w:p>
            <w:pPr>
              <w:pStyle w:val="TableParagraph"/>
              <w:spacing w:line="217" w:lineRule="exact"/>
              <w:ind w:left="482"/>
              <w:rPr>
                <w:sz w:val="20"/>
              </w:rPr>
            </w:pPr>
            <w:r>
              <w:rPr>
                <w:sz w:val="20"/>
              </w:rPr>
              <w:t>Static display</w:t>
            </w:r>
          </w:p>
        </w:tc>
        <w:tc>
          <w:tcPr>
            <w:tcW w:w="1293" w:type="dxa"/>
            <w:gridSpan w:val="2"/>
            <w:vMerge/>
            <w:tcBorders>
              <w:top w:val="nil"/>
            </w:tcBorders>
          </w:tcPr>
          <w:p>
            <w:pPr>
              <w:rPr>
                <w:sz w:val="2"/>
                <w:szCs w:val="2"/>
              </w:rPr>
            </w:pPr>
          </w:p>
        </w:tc>
      </w:tr>
      <w:tr>
        <w:trPr>
          <w:trHeight w:val="239" w:hRule="atLeast"/>
        </w:trPr>
        <w:tc>
          <w:tcPr>
            <w:tcW w:w="1620" w:type="dxa"/>
            <w:vMerge/>
            <w:tcBorders>
              <w:top w:val="nil"/>
            </w:tcBorders>
          </w:tcPr>
          <w:p>
            <w:pPr>
              <w:rPr>
                <w:sz w:val="2"/>
                <w:szCs w:val="2"/>
              </w:rPr>
            </w:pPr>
          </w:p>
        </w:tc>
        <w:tc>
          <w:tcPr>
            <w:tcW w:w="1030" w:type="dxa"/>
            <w:vMerge/>
            <w:tcBorders>
              <w:top w:val="nil"/>
            </w:tcBorders>
          </w:tcPr>
          <w:p>
            <w:pPr>
              <w:rPr>
                <w:sz w:val="2"/>
                <w:szCs w:val="2"/>
              </w:rPr>
            </w:pPr>
          </w:p>
        </w:tc>
        <w:tc>
          <w:tcPr>
            <w:tcW w:w="550" w:type="dxa"/>
            <w:vMerge/>
            <w:tcBorders>
              <w:top w:val="nil"/>
            </w:tcBorders>
          </w:tcPr>
          <w:p>
            <w:pPr>
              <w:rPr>
                <w:sz w:val="2"/>
                <w:szCs w:val="2"/>
              </w:rPr>
            </w:pPr>
          </w:p>
        </w:tc>
        <w:tc>
          <w:tcPr>
            <w:tcW w:w="550" w:type="dxa"/>
            <w:vMerge/>
            <w:tcBorders>
              <w:top w:val="nil"/>
            </w:tcBorders>
          </w:tcPr>
          <w:p>
            <w:pPr>
              <w:rPr>
                <w:sz w:val="2"/>
                <w:szCs w:val="2"/>
              </w:rPr>
            </w:pPr>
          </w:p>
        </w:tc>
        <w:tc>
          <w:tcPr>
            <w:tcW w:w="644" w:type="dxa"/>
            <w:vMerge/>
            <w:tcBorders>
              <w:top w:val="nil"/>
            </w:tcBorders>
          </w:tcPr>
          <w:p>
            <w:pPr>
              <w:rPr>
                <w:sz w:val="2"/>
                <w:szCs w:val="2"/>
              </w:rPr>
            </w:pPr>
          </w:p>
        </w:tc>
        <w:tc>
          <w:tcPr>
            <w:tcW w:w="114" w:type="dxa"/>
            <w:vMerge/>
            <w:tcBorders>
              <w:top w:val="nil"/>
            </w:tcBorders>
          </w:tcPr>
          <w:p>
            <w:pPr>
              <w:rPr>
                <w:sz w:val="2"/>
                <w:szCs w:val="2"/>
              </w:rPr>
            </w:pPr>
          </w:p>
        </w:tc>
        <w:tc>
          <w:tcPr>
            <w:tcW w:w="1408" w:type="dxa"/>
          </w:tcPr>
          <w:p>
            <w:pPr>
              <w:pStyle w:val="TableParagraph"/>
              <w:spacing w:line="220" w:lineRule="exact"/>
              <w:ind w:left="127" w:right="128"/>
              <w:jc w:val="center"/>
              <w:rPr>
                <w:sz w:val="20"/>
              </w:rPr>
            </w:pPr>
            <w:r>
              <w:rPr>
                <w:sz w:val="20"/>
              </w:rPr>
              <w:t>101</w:t>
            </w:r>
          </w:p>
        </w:tc>
        <w:tc>
          <w:tcPr>
            <w:tcW w:w="2160" w:type="dxa"/>
            <w:gridSpan w:val="2"/>
          </w:tcPr>
          <w:p>
            <w:pPr>
              <w:pStyle w:val="TableParagraph"/>
              <w:spacing w:line="220" w:lineRule="exact"/>
              <w:ind w:left="316"/>
              <w:rPr>
                <w:sz w:val="20"/>
              </w:rPr>
            </w:pPr>
            <w:r>
              <w:rPr>
                <w:sz w:val="20"/>
              </w:rPr>
              <w:t>5 states, 1/3 bias</w:t>
            </w:r>
          </w:p>
        </w:tc>
        <w:tc>
          <w:tcPr>
            <w:tcW w:w="1293" w:type="dxa"/>
            <w:gridSpan w:val="2"/>
            <w:vMerge/>
            <w:tcBorders>
              <w:top w:val="nil"/>
            </w:tcBorders>
          </w:tcPr>
          <w:p>
            <w:pPr>
              <w:rPr>
                <w:sz w:val="2"/>
                <w:szCs w:val="2"/>
              </w:rPr>
            </w:pPr>
          </w:p>
        </w:tc>
      </w:tr>
      <w:tr>
        <w:trPr>
          <w:trHeight w:val="258" w:hRule="atLeast"/>
        </w:trPr>
        <w:tc>
          <w:tcPr>
            <w:tcW w:w="1620" w:type="dxa"/>
            <w:vMerge/>
            <w:tcBorders>
              <w:top w:val="nil"/>
            </w:tcBorders>
          </w:tcPr>
          <w:p>
            <w:pPr>
              <w:rPr>
                <w:sz w:val="2"/>
                <w:szCs w:val="2"/>
              </w:rPr>
            </w:pPr>
          </w:p>
        </w:tc>
        <w:tc>
          <w:tcPr>
            <w:tcW w:w="1030" w:type="dxa"/>
            <w:vMerge/>
            <w:tcBorders>
              <w:top w:val="nil"/>
            </w:tcBorders>
          </w:tcPr>
          <w:p>
            <w:pPr>
              <w:rPr>
                <w:sz w:val="2"/>
                <w:szCs w:val="2"/>
              </w:rPr>
            </w:pPr>
          </w:p>
        </w:tc>
        <w:tc>
          <w:tcPr>
            <w:tcW w:w="550" w:type="dxa"/>
            <w:vMerge/>
            <w:tcBorders>
              <w:top w:val="nil"/>
            </w:tcBorders>
          </w:tcPr>
          <w:p>
            <w:pPr>
              <w:rPr>
                <w:sz w:val="2"/>
                <w:szCs w:val="2"/>
              </w:rPr>
            </w:pPr>
          </w:p>
        </w:tc>
        <w:tc>
          <w:tcPr>
            <w:tcW w:w="550" w:type="dxa"/>
            <w:vMerge/>
            <w:tcBorders>
              <w:top w:val="nil"/>
            </w:tcBorders>
          </w:tcPr>
          <w:p>
            <w:pPr>
              <w:rPr>
                <w:sz w:val="2"/>
                <w:szCs w:val="2"/>
              </w:rPr>
            </w:pPr>
          </w:p>
        </w:tc>
        <w:tc>
          <w:tcPr>
            <w:tcW w:w="644" w:type="dxa"/>
            <w:vMerge/>
            <w:tcBorders>
              <w:top w:val="nil"/>
            </w:tcBorders>
          </w:tcPr>
          <w:p>
            <w:pPr>
              <w:rPr>
                <w:sz w:val="2"/>
                <w:szCs w:val="2"/>
              </w:rPr>
            </w:pPr>
          </w:p>
        </w:tc>
        <w:tc>
          <w:tcPr>
            <w:tcW w:w="114" w:type="dxa"/>
            <w:vMerge/>
            <w:tcBorders>
              <w:top w:val="nil"/>
            </w:tcBorders>
          </w:tcPr>
          <w:p>
            <w:pPr>
              <w:rPr>
                <w:sz w:val="2"/>
                <w:szCs w:val="2"/>
              </w:rPr>
            </w:pPr>
          </w:p>
        </w:tc>
        <w:tc>
          <w:tcPr>
            <w:tcW w:w="1408" w:type="dxa"/>
            <w:tcBorders>
              <w:bottom w:val="double" w:sz="1" w:space="0" w:color="000000"/>
            </w:tcBorders>
          </w:tcPr>
          <w:p>
            <w:pPr>
              <w:pStyle w:val="TableParagraph"/>
              <w:spacing w:line="229" w:lineRule="exact"/>
              <w:ind w:left="127" w:right="128"/>
              <w:jc w:val="center"/>
              <w:rPr>
                <w:sz w:val="20"/>
              </w:rPr>
            </w:pPr>
            <w:r>
              <w:rPr>
                <w:sz w:val="20"/>
              </w:rPr>
              <w:t>110</w:t>
            </w:r>
          </w:p>
        </w:tc>
        <w:tc>
          <w:tcPr>
            <w:tcW w:w="2160" w:type="dxa"/>
            <w:gridSpan w:val="2"/>
            <w:tcBorders>
              <w:bottom w:val="double" w:sz="1" w:space="0" w:color="000000"/>
            </w:tcBorders>
          </w:tcPr>
          <w:p>
            <w:pPr>
              <w:pStyle w:val="TableParagraph"/>
              <w:spacing w:line="229" w:lineRule="exact"/>
              <w:ind w:left="316"/>
              <w:rPr>
                <w:sz w:val="20"/>
              </w:rPr>
            </w:pPr>
            <w:r>
              <w:rPr>
                <w:sz w:val="20"/>
              </w:rPr>
              <w:t>6 states, 1/3 bias</w:t>
            </w:r>
          </w:p>
        </w:tc>
        <w:tc>
          <w:tcPr>
            <w:tcW w:w="1293" w:type="dxa"/>
            <w:gridSpan w:val="2"/>
            <w:vMerge/>
            <w:tcBorders>
              <w:top w:val="nil"/>
            </w:tcBorders>
          </w:tcPr>
          <w:p>
            <w:pPr>
              <w:rPr>
                <w:sz w:val="2"/>
                <w:szCs w:val="2"/>
              </w:rPr>
            </w:pPr>
          </w:p>
        </w:tc>
      </w:tr>
      <w:tr>
        <w:trPr>
          <w:trHeight w:val="287" w:hRule="atLeast"/>
        </w:trPr>
        <w:tc>
          <w:tcPr>
            <w:tcW w:w="1620" w:type="dxa"/>
            <w:vMerge w:val="restart"/>
          </w:tcPr>
          <w:p>
            <w:pPr>
              <w:pStyle w:val="TableParagraph"/>
              <w:rPr>
                <w:b/>
                <w:sz w:val="22"/>
              </w:rPr>
            </w:pPr>
          </w:p>
          <w:p>
            <w:pPr>
              <w:pStyle w:val="TableParagraph"/>
              <w:rPr>
                <w:b/>
                <w:sz w:val="22"/>
              </w:rPr>
            </w:pPr>
          </w:p>
          <w:p>
            <w:pPr>
              <w:pStyle w:val="TableParagraph"/>
              <w:spacing w:before="6"/>
              <w:rPr>
                <w:b/>
                <w:sz w:val="32"/>
              </w:rPr>
            </w:pPr>
          </w:p>
          <w:p>
            <w:pPr>
              <w:pStyle w:val="TableParagraph"/>
              <w:ind w:left="4"/>
              <w:rPr>
                <w:rFonts w:ascii="Times New Roman"/>
                <w:i/>
                <w:sz w:val="20"/>
              </w:rPr>
            </w:pPr>
            <w:r>
              <w:rPr>
                <w:rFonts w:ascii="Times New Roman"/>
                <w:i/>
                <w:spacing w:val="-4"/>
                <w:sz w:val="20"/>
              </w:rPr>
              <w:t>LCD_VMODE[1:0]</w:t>
            </w:r>
          </w:p>
        </w:tc>
        <w:tc>
          <w:tcPr>
            <w:tcW w:w="1030" w:type="dxa"/>
            <w:vMerge w:val="restart"/>
          </w:tcPr>
          <w:p>
            <w:pPr>
              <w:pStyle w:val="TableParagraph"/>
              <w:rPr>
                <w:b/>
                <w:sz w:val="22"/>
              </w:rPr>
            </w:pPr>
          </w:p>
          <w:p>
            <w:pPr>
              <w:pStyle w:val="TableParagraph"/>
              <w:rPr>
                <w:b/>
                <w:sz w:val="22"/>
              </w:rPr>
            </w:pPr>
          </w:p>
          <w:p>
            <w:pPr>
              <w:pStyle w:val="TableParagraph"/>
              <w:spacing w:before="10"/>
              <w:rPr>
                <w:b/>
                <w:sz w:val="32"/>
              </w:rPr>
            </w:pPr>
          </w:p>
          <w:p>
            <w:pPr>
              <w:pStyle w:val="TableParagraph"/>
              <w:ind w:left="95"/>
              <w:rPr>
                <w:sz w:val="20"/>
              </w:rPr>
            </w:pPr>
            <w:r>
              <w:rPr>
                <w:sz w:val="20"/>
              </w:rPr>
              <w:t>2401[7:6]</w:t>
            </w:r>
          </w:p>
        </w:tc>
        <w:tc>
          <w:tcPr>
            <w:tcW w:w="550" w:type="dxa"/>
            <w:vMerge w:val="restart"/>
          </w:tcPr>
          <w:p>
            <w:pPr>
              <w:pStyle w:val="TableParagraph"/>
              <w:rPr>
                <w:b/>
                <w:sz w:val="22"/>
              </w:rPr>
            </w:pPr>
          </w:p>
          <w:p>
            <w:pPr>
              <w:pStyle w:val="TableParagraph"/>
              <w:rPr>
                <w:b/>
                <w:sz w:val="22"/>
              </w:rPr>
            </w:pPr>
          </w:p>
          <w:p>
            <w:pPr>
              <w:pStyle w:val="TableParagraph"/>
              <w:spacing w:before="10"/>
              <w:rPr>
                <w:b/>
                <w:sz w:val="32"/>
              </w:rPr>
            </w:pPr>
          </w:p>
          <w:p>
            <w:pPr>
              <w:pStyle w:val="TableParagraph"/>
              <w:ind w:left="162"/>
              <w:rPr>
                <w:sz w:val="20"/>
              </w:rPr>
            </w:pPr>
            <w:r>
              <w:rPr>
                <w:sz w:val="20"/>
              </w:rPr>
              <w:t>00</w:t>
            </w:r>
          </w:p>
        </w:tc>
        <w:tc>
          <w:tcPr>
            <w:tcW w:w="550" w:type="dxa"/>
            <w:vMerge w:val="restart"/>
          </w:tcPr>
          <w:p>
            <w:pPr>
              <w:pStyle w:val="TableParagraph"/>
              <w:rPr>
                <w:b/>
                <w:sz w:val="22"/>
              </w:rPr>
            </w:pPr>
          </w:p>
          <w:p>
            <w:pPr>
              <w:pStyle w:val="TableParagraph"/>
              <w:rPr>
                <w:b/>
                <w:sz w:val="22"/>
              </w:rPr>
            </w:pPr>
          </w:p>
          <w:p>
            <w:pPr>
              <w:pStyle w:val="TableParagraph"/>
              <w:spacing w:before="10"/>
              <w:rPr>
                <w:b/>
                <w:sz w:val="32"/>
              </w:rPr>
            </w:pPr>
          </w:p>
          <w:p>
            <w:pPr>
              <w:pStyle w:val="TableParagraph"/>
              <w:ind w:left="162"/>
              <w:rPr>
                <w:sz w:val="20"/>
              </w:rPr>
            </w:pPr>
            <w:r>
              <w:rPr>
                <w:sz w:val="20"/>
              </w:rPr>
              <w:t>00</w:t>
            </w:r>
          </w:p>
        </w:tc>
        <w:tc>
          <w:tcPr>
            <w:tcW w:w="644" w:type="dxa"/>
            <w:vMerge w:val="restart"/>
          </w:tcPr>
          <w:p>
            <w:pPr>
              <w:pStyle w:val="TableParagraph"/>
              <w:rPr>
                <w:b/>
                <w:sz w:val="22"/>
              </w:rPr>
            </w:pPr>
          </w:p>
          <w:p>
            <w:pPr>
              <w:pStyle w:val="TableParagraph"/>
              <w:rPr>
                <w:b/>
                <w:sz w:val="22"/>
              </w:rPr>
            </w:pPr>
          </w:p>
          <w:p>
            <w:pPr>
              <w:pStyle w:val="TableParagraph"/>
              <w:spacing w:before="10"/>
              <w:rPr>
                <w:b/>
                <w:sz w:val="32"/>
              </w:rPr>
            </w:pPr>
          </w:p>
          <w:p>
            <w:pPr>
              <w:pStyle w:val="TableParagraph"/>
              <w:ind w:left="123"/>
              <w:rPr>
                <w:sz w:val="20"/>
              </w:rPr>
            </w:pPr>
            <w:r>
              <w:rPr>
                <w:sz w:val="20"/>
              </w:rPr>
              <w:t>R/W</w:t>
            </w:r>
          </w:p>
        </w:tc>
        <w:tc>
          <w:tcPr>
            <w:tcW w:w="4975" w:type="dxa"/>
            <w:gridSpan w:val="6"/>
            <w:tcBorders>
              <w:top w:val="nil"/>
              <w:bottom w:val="nil"/>
            </w:tcBorders>
          </w:tcPr>
          <w:p>
            <w:pPr>
              <w:pStyle w:val="TableParagraph"/>
              <w:spacing w:line="229" w:lineRule="exact"/>
              <w:ind w:left="26"/>
              <w:rPr>
                <w:sz w:val="20"/>
              </w:rPr>
            </w:pPr>
            <w:r>
              <w:rPr>
                <w:sz w:val="20"/>
              </w:rPr>
              <w:t>This register specifies how VLCD is generated.</w:t>
            </w:r>
          </w:p>
        </w:tc>
      </w:tr>
      <w:tr>
        <w:trPr>
          <w:trHeight w:val="258" w:hRule="atLeast"/>
        </w:trPr>
        <w:tc>
          <w:tcPr>
            <w:tcW w:w="1620" w:type="dxa"/>
            <w:vMerge/>
            <w:tcBorders>
              <w:top w:val="nil"/>
            </w:tcBorders>
          </w:tcPr>
          <w:p>
            <w:pPr>
              <w:rPr>
                <w:sz w:val="2"/>
                <w:szCs w:val="2"/>
              </w:rPr>
            </w:pPr>
          </w:p>
        </w:tc>
        <w:tc>
          <w:tcPr>
            <w:tcW w:w="1030" w:type="dxa"/>
            <w:vMerge/>
            <w:tcBorders>
              <w:top w:val="nil"/>
            </w:tcBorders>
          </w:tcPr>
          <w:p>
            <w:pPr>
              <w:rPr>
                <w:sz w:val="2"/>
                <w:szCs w:val="2"/>
              </w:rPr>
            </w:pPr>
          </w:p>
        </w:tc>
        <w:tc>
          <w:tcPr>
            <w:tcW w:w="550" w:type="dxa"/>
            <w:vMerge/>
            <w:tcBorders>
              <w:top w:val="nil"/>
            </w:tcBorders>
          </w:tcPr>
          <w:p>
            <w:pPr>
              <w:rPr>
                <w:sz w:val="2"/>
                <w:szCs w:val="2"/>
              </w:rPr>
            </w:pPr>
          </w:p>
        </w:tc>
        <w:tc>
          <w:tcPr>
            <w:tcW w:w="550" w:type="dxa"/>
            <w:vMerge/>
            <w:tcBorders>
              <w:top w:val="nil"/>
            </w:tcBorders>
          </w:tcPr>
          <w:p>
            <w:pPr>
              <w:rPr>
                <w:sz w:val="2"/>
                <w:szCs w:val="2"/>
              </w:rPr>
            </w:pPr>
          </w:p>
        </w:tc>
        <w:tc>
          <w:tcPr>
            <w:tcW w:w="644" w:type="dxa"/>
            <w:vMerge/>
            <w:tcBorders>
              <w:top w:val="nil"/>
            </w:tcBorders>
          </w:tcPr>
          <w:p>
            <w:pPr>
              <w:rPr>
                <w:sz w:val="2"/>
                <w:szCs w:val="2"/>
              </w:rPr>
            </w:pPr>
          </w:p>
        </w:tc>
        <w:tc>
          <w:tcPr>
            <w:tcW w:w="114" w:type="dxa"/>
            <w:vMerge w:val="restart"/>
            <w:tcBorders>
              <w:top w:val="nil"/>
            </w:tcBorders>
          </w:tcPr>
          <w:p>
            <w:pPr>
              <w:pStyle w:val="TableParagraph"/>
              <w:rPr>
                <w:rFonts w:ascii="Times New Roman"/>
                <w:sz w:val="18"/>
              </w:rPr>
            </w:pPr>
          </w:p>
        </w:tc>
        <w:tc>
          <w:tcPr>
            <w:tcW w:w="1491" w:type="dxa"/>
            <w:gridSpan w:val="2"/>
          </w:tcPr>
          <w:p>
            <w:pPr>
              <w:pStyle w:val="TableParagraph"/>
              <w:spacing w:line="227" w:lineRule="exact" w:before="12"/>
              <w:ind w:left="123"/>
              <w:rPr>
                <w:rFonts w:ascii="Times New Roman"/>
                <w:b/>
                <w:i/>
                <w:sz w:val="20"/>
              </w:rPr>
            </w:pPr>
            <w:r>
              <w:rPr>
                <w:rFonts w:ascii="Times New Roman"/>
                <w:b/>
                <w:i/>
                <w:sz w:val="20"/>
              </w:rPr>
              <w:t>LCD_VMODE</w:t>
            </w:r>
          </w:p>
        </w:tc>
        <w:tc>
          <w:tcPr>
            <w:tcW w:w="2973" w:type="dxa"/>
            <w:gridSpan w:val="2"/>
          </w:tcPr>
          <w:p>
            <w:pPr>
              <w:pStyle w:val="TableParagraph"/>
              <w:spacing w:before="9"/>
              <w:ind w:left="101"/>
              <w:rPr>
                <w:b/>
                <w:sz w:val="20"/>
              </w:rPr>
            </w:pPr>
            <w:r>
              <w:rPr>
                <w:b/>
                <w:sz w:val="20"/>
              </w:rPr>
              <w:t>Description</w:t>
            </w:r>
          </w:p>
        </w:tc>
        <w:tc>
          <w:tcPr>
            <w:tcW w:w="397" w:type="dxa"/>
            <w:vMerge w:val="restart"/>
            <w:tcBorders>
              <w:top w:val="nil"/>
            </w:tcBorders>
          </w:tcPr>
          <w:p>
            <w:pPr>
              <w:pStyle w:val="TableParagraph"/>
              <w:rPr>
                <w:rFonts w:ascii="Times New Roman"/>
                <w:sz w:val="18"/>
              </w:rPr>
            </w:pPr>
          </w:p>
        </w:tc>
      </w:tr>
      <w:tr>
        <w:trPr>
          <w:trHeight w:val="239" w:hRule="atLeast"/>
        </w:trPr>
        <w:tc>
          <w:tcPr>
            <w:tcW w:w="1620" w:type="dxa"/>
            <w:vMerge/>
            <w:tcBorders>
              <w:top w:val="nil"/>
            </w:tcBorders>
          </w:tcPr>
          <w:p>
            <w:pPr>
              <w:rPr>
                <w:sz w:val="2"/>
                <w:szCs w:val="2"/>
              </w:rPr>
            </w:pPr>
          </w:p>
        </w:tc>
        <w:tc>
          <w:tcPr>
            <w:tcW w:w="1030" w:type="dxa"/>
            <w:vMerge/>
            <w:tcBorders>
              <w:top w:val="nil"/>
            </w:tcBorders>
          </w:tcPr>
          <w:p>
            <w:pPr>
              <w:rPr>
                <w:sz w:val="2"/>
                <w:szCs w:val="2"/>
              </w:rPr>
            </w:pPr>
          </w:p>
        </w:tc>
        <w:tc>
          <w:tcPr>
            <w:tcW w:w="550" w:type="dxa"/>
            <w:vMerge/>
            <w:tcBorders>
              <w:top w:val="nil"/>
            </w:tcBorders>
          </w:tcPr>
          <w:p>
            <w:pPr>
              <w:rPr>
                <w:sz w:val="2"/>
                <w:szCs w:val="2"/>
              </w:rPr>
            </w:pPr>
          </w:p>
        </w:tc>
        <w:tc>
          <w:tcPr>
            <w:tcW w:w="550" w:type="dxa"/>
            <w:vMerge/>
            <w:tcBorders>
              <w:top w:val="nil"/>
            </w:tcBorders>
          </w:tcPr>
          <w:p>
            <w:pPr>
              <w:rPr>
                <w:sz w:val="2"/>
                <w:szCs w:val="2"/>
              </w:rPr>
            </w:pPr>
          </w:p>
        </w:tc>
        <w:tc>
          <w:tcPr>
            <w:tcW w:w="644" w:type="dxa"/>
            <w:vMerge/>
            <w:tcBorders>
              <w:top w:val="nil"/>
            </w:tcBorders>
          </w:tcPr>
          <w:p>
            <w:pPr>
              <w:rPr>
                <w:sz w:val="2"/>
                <w:szCs w:val="2"/>
              </w:rPr>
            </w:pPr>
          </w:p>
        </w:tc>
        <w:tc>
          <w:tcPr>
            <w:tcW w:w="114" w:type="dxa"/>
            <w:vMerge/>
            <w:tcBorders>
              <w:top w:val="nil"/>
            </w:tcBorders>
          </w:tcPr>
          <w:p>
            <w:pPr>
              <w:rPr>
                <w:sz w:val="2"/>
                <w:szCs w:val="2"/>
              </w:rPr>
            </w:pPr>
          </w:p>
        </w:tc>
        <w:tc>
          <w:tcPr>
            <w:tcW w:w="1491" w:type="dxa"/>
            <w:gridSpan w:val="2"/>
          </w:tcPr>
          <w:p>
            <w:pPr>
              <w:pStyle w:val="TableParagraph"/>
              <w:spacing w:line="220" w:lineRule="exact"/>
              <w:ind w:left="608" w:right="610"/>
              <w:jc w:val="center"/>
              <w:rPr>
                <w:sz w:val="20"/>
              </w:rPr>
            </w:pPr>
            <w:r>
              <w:rPr>
                <w:sz w:val="20"/>
              </w:rPr>
              <w:t>11</w:t>
            </w:r>
          </w:p>
        </w:tc>
        <w:tc>
          <w:tcPr>
            <w:tcW w:w="2973" w:type="dxa"/>
            <w:gridSpan w:val="2"/>
          </w:tcPr>
          <w:p>
            <w:pPr>
              <w:pStyle w:val="TableParagraph"/>
              <w:spacing w:line="220" w:lineRule="exact"/>
              <w:ind w:left="101"/>
              <w:rPr>
                <w:sz w:val="20"/>
              </w:rPr>
            </w:pPr>
            <w:r>
              <w:rPr>
                <w:sz w:val="20"/>
              </w:rPr>
              <w:t>External VLCD</w:t>
            </w:r>
          </w:p>
        </w:tc>
        <w:tc>
          <w:tcPr>
            <w:tcW w:w="397" w:type="dxa"/>
            <w:vMerge/>
            <w:tcBorders>
              <w:top w:val="nil"/>
            </w:tcBorders>
          </w:tcPr>
          <w:p>
            <w:pPr>
              <w:rPr>
                <w:sz w:val="2"/>
                <w:szCs w:val="2"/>
              </w:rPr>
            </w:pPr>
          </w:p>
        </w:tc>
      </w:tr>
      <w:tr>
        <w:trPr>
          <w:trHeight w:val="455" w:hRule="atLeast"/>
        </w:trPr>
        <w:tc>
          <w:tcPr>
            <w:tcW w:w="1620" w:type="dxa"/>
            <w:vMerge/>
            <w:tcBorders>
              <w:top w:val="nil"/>
            </w:tcBorders>
          </w:tcPr>
          <w:p>
            <w:pPr>
              <w:rPr>
                <w:sz w:val="2"/>
                <w:szCs w:val="2"/>
              </w:rPr>
            </w:pPr>
          </w:p>
        </w:tc>
        <w:tc>
          <w:tcPr>
            <w:tcW w:w="1030" w:type="dxa"/>
            <w:vMerge/>
            <w:tcBorders>
              <w:top w:val="nil"/>
            </w:tcBorders>
          </w:tcPr>
          <w:p>
            <w:pPr>
              <w:rPr>
                <w:sz w:val="2"/>
                <w:szCs w:val="2"/>
              </w:rPr>
            </w:pPr>
          </w:p>
        </w:tc>
        <w:tc>
          <w:tcPr>
            <w:tcW w:w="550" w:type="dxa"/>
            <w:vMerge/>
            <w:tcBorders>
              <w:top w:val="nil"/>
            </w:tcBorders>
          </w:tcPr>
          <w:p>
            <w:pPr>
              <w:rPr>
                <w:sz w:val="2"/>
                <w:szCs w:val="2"/>
              </w:rPr>
            </w:pPr>
          </w:p>
        </w:tc>
        <w:tc>
          <w:tcPr>
            <w:tcW w:w="550" w:type="dxa"/>
            <w:vMerge/>
            <w:tcBorders>
              <w:top w:val="nil"/>
            </w:tcBorders>
          </w:tcPr>
          <w:p>
            <w:pPr>
              <w:rPr>
                <w:sz w:val="2"/>
                <w:szCs w:val="2"/>
              </w:rPr>
            </w:pPr>
          </w:p>
        </w:tc>
        <w:tc>
          <w:tcPr>
            <w:tcW w:w="644" w:type="dxa"/>
            <w:vMerge/>
            <w:tcBorders>
              <w:top w:val="nil"/>
            </w:tcBorders>
          </w:tcPr>
          <w:p>
            <w:pPr>
              <w:rPr>
                <w:sz w:val="2"/>
                <w:szCs w:val="2"/>
              </w:rPr>
            </w:pPr>
          </w:p>
        </w:tc>
        <w:tc>
          <w:tcPr>
            <w:tcW w:w="114" w:type="dxa"/>
            <w:vMerge/>
            <w:tcBorders>
              <w:top w:val="nil"/>
            </w:tcBorders>
          </w:tcPr>
          <w:p>
            <w:pPr>
              <w:rPr>
                <w:sz w:val="2"/>
                <w:szCs w:val="2"/>
              </w:rPr>
            </w:pPr>
          </w:p>
        </w:tc>
        <w:tc>
          <w:tcPr>
            <w:tcW w:w="1491" w:type="dxa"/>
            <w:gridSpan w:val="2"/>
          </w:tcPr>
          <w:p>
            <w:pPr>
              <w:pStyle w:val="TableParagraph"/>
              <w:spacing w:before="107"/>
              <w:ind w:left="608" w:right="610"/>
              <w:jc w:val="center"/>
              <w:rPr>
                <w:sz w:val="20"/>
              </w:rPr>
            </w:pPr>
            <w:r>
              <w:rPr>
                <w:sz w:val="20"/>
              </w:rPr>
              <w:t>10</w:t>
            </w:r>
          </w:p>
        </w:tc>
        <w:tc>
          <w:tcPr>
            <w:tcW w:w="2973" w:type="dxa"/>
            <w:gridSpan w:val="2"/>
          </w:tcPr>
          <w:p>
            <w:pPr>
              <w:pStyle w:val="TableParagraph"/>
              <w:spacing w:line="218" w:lineRule="exact" w:before="12"/>
              <w:ind w:left="101" w:right="574"/>
              <w:rPr>
                <w:sz w:val="20"/>
              </w:rPr>
            </w:pPr>
            <w:r>
              <w:rPr>
                <w:sz w:val="20"/>
              </w:rPr>
              <w:t>LCD boost and LCD DAC enabled</w:t>
            </w:r>
          </w:p>
        </w:tc>
        <w:tc>
          <w:tcPr>
            <w:tcW w:w="397" w:type="dxa"/>
            <w:vMerge/>
            <w:tcBorders>
              <w:top w:val="nil"/>
            </w:tcBorders>
          </w:tcPr>
          <w:p>
            <w:pPr>
              <w:rPr>
                <w:sz w:val="2"/>
                <w:szCs w:val="2"/>
              </w:rPr>
            </w:pPr>
          </w:p>
        </w:tc>
      </w:tr>
      <w:tr>
        <w:trPr>
          <w:trHeight w:val="239" w:hRule="atLeast"/>
        </w:trPr>
        <w:tc>
          <w:tcPr>
            <w:tcW w:w="1620" w:type="dxa"/>
            <w:vMerge/>
            <w:tcBorders>
              <w:top w:val="nil"/>
            </w:tcBorders>
          </w:tcPr>
          <w:p>
            <w:pPr>
              <w:rPr>
                <w:sz w:val="2"/>
                <w:szCs w:val="2"/>
              </w:rPr>
            </w:pPr>
          </w:p>
        </w:tc>
        <w:tc>
          <w:tcPr>
            <w:tcW w:w="1030" w:type="dxa"/>
            <w:vMerge/>
            <w:tcBorders>
              <w:top w:val="nil"/>
            </w:tcBorders>
          </w:tcPr>
          <w:p>
            <w:pPr>
              <w:rPr>
                <w:sz w:val="2"/>
                <w:szCs w:val="2"/>
              </w:rPr>
            </w:pPr>
          </w:p>
        </w:tc>
        <w:tc>
          <w:tcPr>
            <w:tcW w:w="550" w:type="dxa"/>
            <w:vMerge/>
            <w:tcBorders>
              <w:top w:val="nil"/>
            </w:tcBorders>
          </w:tcPr>
          <w:p>
            <w:pPr>
              <w:rPr>
                <w:sz w:val="2"/>
                <w:szCs w:val="2"/>
              </w:rPr>
            </w:pPr>
          </w:p>
        </w:tc>
        <w:tc>
          <w:tcPr>
            <w:tcW w:w="550" w:type="dxa"/>
            <w:vMerge/>
            <w:tcBorders>
              <w:top w:val="nil"/>
            </w:tcBorders>
          </w:tcPr>
          <w:p>
            <w:pPr>
              <w:rPr>
                <w:sz w:val="2"/>
                <w:szCs w:val="2"/>
              </w:rPr>
            </w:pPr>
          </w:p>
        </w:tc>
        <w:tc>
          <w:tcPr>
            <w:tcW w:w="644" w:type="dxa"/>
            <w:vMerge/>
            <w:tcBorders>
              <w:top w:val="nil"/>
            </w:tcBorders>
          </w:tcPr>
          <w:p>
            <w:pPr>
              <w:rPr>
                <w:sz w:val="2"/>
                <w:szCs w:val="2"/>
              </w:rPr>
            </w:pPr>
          </w:p>
        </w:tc>
        <w:tc>
          <w:tcPr>
            <w:tcW w:w="114" w:type="dxa"/>
            <w:vMerge/>
            <w:tcBorders>
              <w:top w:val="nil"/>
            </w:tcBorders>
          </w:tcPr>
          <w:p>
            <w:pPr>
              <w:rPr>
                <w:sz w:val="2"/>
                <w:szCs w:val="2"/>
              </w:rPr>
            </w:pPr>
          </w:p>
        </w:tc>
        <w:tc>
          <w:tcPr>
            <w:tcW w:w="1491" w:type="dxa"/>
            <w:gridSpan w:val="2"/>
          </w:tcPr>
          <w:p>
            <w:pPr>
              <w:pStyle w:val="TableParagraph"/>
              <w:spacing w:line="218" w:lineRule="exact" w:before="2"/>
              <w:ind w:left="608" w:right="610"/>
              <w:jc w:val="center"/>
              <w:rPr>
                <w:sz w:val="20"/>
              </w:rPr>
            </w:pPr>
            <w:r>
              <w:rPr>
                <w:sz w:val="20"/>
              </w:rPr>
              <w:t>01</w:t>
            </w:r>
          </w:p>
        </w:tc>
        <w:tc>
          <w:tcPr>
            <w:tcW w:w="2973" w:type="dxa"/>
            <w:gridSpan w:val="2"/>
          </w:tcPr>
          <w:p>
            <w:pPr>
              <w:pStyle w:val="TableParagraph"/>
              <w:spacing w:line="218" w:lineRule="exact" w:before="2"/>
              <w:ind w:left="101"/>
              <w:rPr>
                <w:sz w:val="20"/>
              </w:rPr>
            </w:pPr>
            <w:r>
              <w:rPr>
                <w:sz w:val="20"/>
              </w:rPr>
              <w:t>LCD DAC enabled</w:t>
            </w:r>
          </w:p>
        </w:tc>
        <w:tc>
          <w:tcPr>
            <w:tcW w:w="397" w:type="dxa"/>
            <w:vMerge/>
            <w:tcBorders>
              <w:top w:val="nil"/>
            </w:tcBorders>
          </w:tcPr>
          <w:p>
            <w:pPr>
              <w:rPr>
                <w:sz w:val="2"/>
                <w:szCs w:val="2"/>
              </w:rPr>
            </w:pPr>
          </w:p>
        </w:tc>
      </w:tr>
      <w:tr>
        <w:trPr>
          <w:trHeight w:val="476" w:hRule="atLeast"/>
        </w:trPr>
        <w:tc>
          <w:tcPr>
            <w:tcW w:w="1620" w:type="dxa"/>
            <w:vMerge/>
            <w:tcBorders>
              <w:top w:val="nil"/>
            </w:tcBorders>
          </w:tcPr>
          <w:p>
            <w:pPr>
              <w:rPr>
                <w:sz w:val="2"/>
                <w:szCs w:val="2"/>
              </w:rPr>
            </w:pPr>
          </w:p>
        </w:tc>
        <w:tc>
          <w:tcPr>
            <w:tcW w:w="1030" w:type="dxa"/>
            <w:vMerge/>
            <w:tcBorders>
              <w:top w:val="nil"/>
            </w:tcBorders>
          </w:tcPr>
          <w:p>
            <w:pPr>
              <w:rPr>
                <w:sz w:val="2"/>
                <w:szCs w:val="2"/>
              </w:rPr>
            </w:pPr>
          </w:p>
        </w:tc>
        <w:tc>
          <w:tcPr>
            <w:tcW w:w="550" w:type="dxa"/>
            <w:vMerge/>
            <w:tcBorders>
              <w:top w:val="nil"/>
            </w:tcBorders>
          </w:tcPr>
          <w:p>
            <w:pPr>
              <w:rPr>
                <w:sz w:val="2"/>
                <w:szCs w:val="2"/>
              </w:rPr>
            </w:pPr>
          </w:p>
        </w:tc>
        <w:tc>
          <w:tcPr>
            <w:tcW w:w="550" w:type="dxa"/>
            <w:vMerge/>
            <w:tcBorders>
              <w:top w:val="nil"/>
            </w:tcBorders>
          </w:tcPr>
          <w:p>
            <w:pPr>
              <w:rPr>
                <w:sz w:val="2"/>
                <w:szCs w:val="2"/>
              </w:rPr>
            </w:pPr>
          </w:p>
        </w:tc>
        <w:tc>
          <w:tcPr>
            <w:tcW w:w="644" w:type="dxa"/>
            <w:vMerge/>
            <w:tcBorders>
              <w:top w:val="nil"/>
            </w:tcBorders>
          </w:tcPr>
          <w:p>
            <w:pPr>
              <w:rPr>
                <w:sz w:val="2"/>
                <w:szCs w:val="2"/>
              </w:rPr>
            </w:pPr>
          </w:p>
        </w:tc>
        <w:tc>
          <w:tcPr>
            <w:tcW w:w="114" w:type="dxa"/>
            <w:vMerge/>
            <w:tcBorders>
              <w:top w:val="nil"/>
            </w:tcBorders>
          </w:tcPr>
          <w:p>
            <w:pPr>
              <w:rPr>
                <w:sz w:val="2"/>
                <w:szCs w:val="2"/>
              </w:rPr>
            </w:pPr>
          </w:p>
        </w:tc>
        <w:tc>
          <w:tcPr>
            <w:tcW w:w="1491" w:type="dxa"/>
            <w:gridSpan w:val="2"/>
            <w:tcBorders>
              <w:bottom w:val="double" w:sz="1" w:space="0" w:color="000000"/>
            </w:tcBorders>
          </w:tcPr>
          <w:p>
            <w:pPr>
              <w:pStyle w:val="TableParagraph"/>
              <w:spacing w:before="110"/>
              <w:ind w:left="608" w:right="610"/>
              <w:jc w:val="center"/>
              <w:rPr>
                <w:sz w:val="20"/>
              </w:rPr>
            </w:pPr>
            <w:r>
              <w:rPr>
                <w:sz w:val="20"/>
              </w:rPr>
              <w:t>00</w:t>
            </w:r>
          </w:p>
        </w:tc>
        <w:tc>
          <w:tcPr>
            <w:tcW w:w="2973" w:type="dxa"/>
            <w:gridSpan w:val="2"/>
            <w:tcBorders>
              <w:bottom w:val="double" w:sz="1" w:space="0" w:color="000000"/>
            </w:tcBorders>
          </w:tcPr>
          <w:p>
            <w:pPr>
              <w:pStyle w:val="TableParagraph"/>
              <w:spacing w:line="228" w:lineRule="auto" w:before="8"/>
              <w:ind w:left="101" w:right="379"/>
              <w:rPr>
                <w:sz w:val="20"/>
              </w:rPr>
            </w:pPr>
            <w:r>
              <w:rPr>
                <w:sz w:val="20"/>
              </w:rPr>
              <w:t>No boost and no DAC. VLCD = VBAT or V3P3SYS</w:t>
            </w:r>
          </w:p>
        </w:tc>
        <w:tc>
          <w:tcPr>
            <w:tcW w:w="397" w:type="dxa"/>
            <w:vMerge/>
            <w:tcBorders>
              <w:top w:val="nil"/>
            </w:tcBorders>
          </w:tcPr>
          <w:p>
            <w:pPr>
              <w:rPr>
                <w:sz w:val="2"/>
                <w:szCs w:val="2"/>
              </w:rPr>
            </w:pPr>
          </w:p>
        </w:tc>
      </w:tr>
    </w:tbl>
    <w:p>
      <w:pPr>
        <w:pStyle w:val="BodyText"/>
        <w:spacing w:before="5"/>
        <w:rPr>
          <w:b/>
          <w:sz w:val="29"/>
        </w:rPr>
      </w:pPr>
    </w:p>
    <w:p>
      <w:pPr>
        <w:pStyle w:val="BodyText"/>
        <w:spacing w:line="228" w:lineRule="auto"/>
        <w:ind w:left="239" w:right="401"/>
      </w:pPr>
      <w:r>
        <w:rPr/>
        <w:t>The LCD can be driven in static, ½ bias, and 1/3 bias modes. </w:t>
      </w:r>
      <w:hyperlink w:history="true" w:anchor="_bookmark128">
        <w:r>
          <w:rPr>
            <w:color w:val="0000FF"/>
          </w:rPr>
          <w:t>Figure 17 </w:t>
        </w:r>
      </w:hyperlink>
      <w:r>
        <w:rPr/>
        <w:t>defines the COM waveforms. Note that COM pins that are not required in a specific mode maintain a segment off state rather than GND, VCC, or high impedance.</w:t>
      </w:r>
    </w:p>
    <w:p>
      <w:pPr>
        <w:spacing w:before="117"/>
        <w:ind w:left="239" w:right="580" w:firstLine="0"/>
        <w:jc w:val="left"/>
        <w:rPr>
          <w:sz w:val="20"/>
        </w:rPr>
      </w:pPr>
      <w:r>
        <w:rPr>
          <w:sz w:val="20"/>
        </w:rPr>
        <w:t>The segment drivers SEGDIO22 and SEGDIO23 can be configured to blink at either 0.5 Hz or 1 Hz. The blink rate is controlled by </w:t>
      </w:r>
      <w:r>
        <w:rPr>
          <w:rFonts w:ascii="Times New Roman"/>
          <w:i/>
          <w:sz w:val="20"/>
        </w:rPr>
        <w:t>LCD_Y (I/O RAM 0x2400[2])</w:t>
      </w:r>
      <w:r>
        <w:rPr>
          <w:sz w:val="20"/>
        </w:rPr>
        <w:t>. There can be up to six pixels/segments connected to each of these driver pins. The I/O RAM fields </w:t>
      </w:r>
      <w:r>
        <w:rPr>
          <w:rFonts w:ascii="Times New Roman"/>
          <w:i/>
          <w:sz w:val="20"/>
        </w:rPr>
        <w:t>LCD_BLKMAP22[5:0] (I/O RAM 0x2402[5:0]) </w:t>
      </w:r>
      <w:r>
        <w:rPr>
          <w:sz w:val="20"/>
        </w:rPr>
        <w:t>and </w:t>
      </w:r>
      <w:r>
        <w:rPr>
          <w:rFonts w:ascii="Times New Roman"/>
          <w:i/>
          <w:sz w:val="20"/>
        </w:rPr>
        <w:t>LCD_BLKMAP23[5:0] (I/O RAM 0x2401[5:0]) </w:t>
      </w:r>
      <w:r>
        <w:rPr>
          <w:sz w:val="20"/>
        </w:rPr>
        <w:t>identify which pixels, if any, are to blink.</w:t>
      </w:r>
    </w:p>
    <w:p>
      <w:pPr>
        <w:spacing w:line="230" w:lineRule="exact" w:before="0"/>
        <w:ind w:left="239" w:right="0" w:firstLine="0"/>
        <w:jc w:val="left"/>
        <w:rPr>
          <w:sz w:val="20"/>
        </w:rPr>
      </w:pPr>
      <w:r>
        <w:rPr>
          <w:rFonts w:ascii="Times New Roman"/>
          <w:i/>
          <w:sz w:val="20"/>
        </w:rPr>
        <w:t>LCD_BLKMAP22[5:0] and LCD_BLKMAP23[5:0] </w:t>
      </w:r>
      <w:r>
        <w:rPr>
          <w:sz w:val="20"/>
        </w:rPr>
        <w:t>are non-volatile.</w:t>
      </w:r>
    </w:p>
    <w:p>
      <w:pPr>
        <w:spacing w:after="0" w:line="230" w:lineRule="exact"/>
        <w:jc w:val="left"/>
        <w:rPr>
          <w:sz w:val="20"/>
        </w:rPr>
        <w:sectPr>
          <w:pgSz w:w="12240" w:h="15840"/>
          <w:pgMar w:header="727" w:footer="819" w:top="960" w:bottom="1000" w:left="1200" w:right="1060"/>
        </w:sectPr>
      </w:pPr>
    </w:p>
    <w:p>
      <w:pPr>
        <w:pStyle w:val="BodyText"/>
        <w:spacing w:before="6"/>
        <w:rPr>
          <w:sz w:val="16"/>
        </w:rPr>
      </w:pPr>
    </w:p>
    <w:p>
      <w:pPr>
        <w:pStyle w:val="BodyText"/>
        <w:spacing w:before="93"/>
        <w:ind w:left="240" w:right="409" w:hanging="1"/>
      </w:pPr>
      <w:r>
        <w:rPr/>
        <w:t>The LCD bias may be compensated for temperature using the </w:t>
      </w:r>
      <w:r>
        <w:rPr>
          <w:rFonts w:ascii="Times New Roman"/>
          <w:i/>
        </w:rPr>
        <w:t>LCD_DAC[4:0] </w:t>
      </w:r>
      <w:r>
        <w:rPr/>
        <w:t>field (</w:t>
      </w:r>
      <w:r>
        <w:rPr>
          <w:rFonts w:ascii="Times New Roman"/>
          <w:i/>
        </w:rPr>
        <w:t>I/O RAM 0x240D[4:0</w:t>
      </w:r>
      <w:r>
        <w:rPr/>
        <w:t>]). The bias may be adjusted from 1.4 V below the 3.3 V supply (V3P3SYS in MSN mode and VBAT in BRN and LCD </w:t>
      </w:r>
      <w:r>
        <w:rPr>
          <w:spacing w:val="2"/>
        </w:rPr>
        <w:t>modes).  When </w:t>
      </w:r>
      <w:r>
        <w:rPr/>
        <w:t>the </w:t>
      </w:r>
      <w:r>
        <w:rPr>
          <w:rFonts w:ascii="Times New Roman"/>
          <w:i/>
        </w:rPr>
        <w:t>LCD_DAC[4:0] </w:t>
      </w:r>
      <w:r>
        <w:rPr/>
        <w:t>field is set to 000, the DAC is </w:t>
      </w:r>
      <w:r>
        <w:rPr>
          <w:spacing w:val="2"/>
        </w:rPr>
        <w:t>bypassed </w:t>
      </w:r>
      <w:r>
        <w:rPr/>
        <w:t>and powered  down. This setting can be used to reduce current in LCD</w:t>
      </w:r>
      <w:r>
        <w:rPr>
          <w:spacing w:val="-4"/>
        </w:rPr>
        <w:t> </w:t>
      </w:r>
      <w:r>
        <w:rPr/>
        <w:t>mode.</w:t>
      </w:r>
    </w:p>
    <w:p>
      <w:pPr>
        <w:pStyle w:val="BodyText"/>
      </w:pPr>
    </w:p>
    <w:p>
      <w:pPr>
        <w:pStyle w:val="BodyText"/>
        <w:spacing w:before="1"/>
        <w:rPr>
          <w:sz w:val="17"/>
        </w:rPr>
      </w:pPr>
      <w:r>
        <w:rPr/>
        <w:pict>
          <v:group style="position:absolute;margin-left:90.75pt;margin-top:11.840774pt;width:430.5pt;height:283.5pt;mso-position-horizontal-relative:page;mso-position-vertical-relative:paragraph;z-index:-15660544;mso-wrap-distance-left:0;mso-wrap-distance-right:0" coordorigin="1815,237" coordsize="8610,5670">
            <v:shape style="position:absolute;left:3145;top:721;width:289;height:216" coordorigin="3146,721" coordsize="289,216" path="m3146,721l3290,721,3290,936,3434,936e" filled="false" stroked="true" strokeweight=".573101pt" strokecolor="#000000">
              <v:path arrowok="t"/>
              <v:stroke dashstyle="solid"/>
            </v:shape>
            <v:shape style="position:absolute;left:3145;top:2434;width:289;height:216" coordorigin="3146,2434" coordsize="289,216" path="m3146,2649l3290,2649,3290,2434,3434,2434e" filled="false" stroked="true" strokeweight=".573101pt" strokecolor="#000000">
              <v:path arrowok="t"/>
              <v:stroke dashstyle="solid"/>
            </v:shape>
            <v:shape style="position:absolute;left:3145;top:2719;width:289;height:216" coordorigin="3146,2720" coordsize="289,216" path="m3146,2720l3290,2720,3290,2935,3434,2935e" filled="false" stroked="true" strokeweight=".573101pt" strokecolor="#000000">
              <v:path arrowok="t"/>
              <v:stroke dashstyle="solid"/>
            </v:shape>
            <v:line style="position:absolute" from="3146,1115" to="3434,1115" stroked="true" strokeweight=".570957pt" strokecolor="#000000">
              <v:stroke dashstyle="solid"/>
            </v:line>
            <v:line style="position:absolute" from="3146,1401" to="3434,1401" stroked="true" strokeweight=".570957pt" strokecolor="#000000">
              <v:stroke dashstyle="solid"/>
            </v:line>
            <v:line style="position:absolute" from="3146,1686" to="3434,1686" stroked="true" strokeweight=".570957pt" strokecolor="#000000">
              <v:stroke dashstyle="solid"/>
            </v:line>
            <v:line style="position:absolute" from="3146,1972" to="3434,1972" stroked="true" strokeweight=".570957pt" strokecolor="#000000">
              <v:stroke dashstyle="solid"/>
            </v:line>
            <v:line style="position:absolute" from="3146,2257" to="3434,2257" stroked="true" strokeweight=".570957pt" strokecolor="#000000">
              <v:stroke dashstyle="solid"/>
            </v:line>
            <v:shape style="position:absolute;left:3145;top:686;width:289;height:2269" coordorigin="3146,687" coordsize="289,2269" path="m3146,687l3146,2956m3434,687l3434,2956e" filled="false" stroked="true" strokeweight=".19232pt" strokecolor="#000000">
              <v:path arrowok="t"/>
              <v:stroke dashstyle="shortdot"/>
            </v:shape>
            <v:shape style="position:absolute;left:5815;top:721;width:289;height:216" coordorigin="5815,721" coordsize="289,216" path="m5815,721l5959,721,5959,936,6104,936e" filled="false" stroked="true" strokeweight=".573101pt" strokecolor="#000000">
              <v:path arrowok="t"/>
              <v:stroke dashstyle="solid"/>
            </v:shape>
            <v:shape style="position:absolute;left:5815;top:1006;width:577;height:216" coordorigin="5815,1007" coordsize="577,216" path="m5815,1115l6104,1115,6104,1007,6248,1007,6248,1222,6392,1222,6392,1115e" filled="false" stroked="true" strokeweight=".571689pt" strokecolor="#000000">
              <v:path arrowok="t"/>
              <v:stroke dashstyle="solid"/>
            </v:shape>
            <v:shape style="position:absolute;left:5815;top:2434;width:289;height:216" coordorigin="5815,2434" coordsize="289,216" path="m5815,2649l5959,2649,5959,2434,6104,2434e" filled="false" stroked="true" strokeweight=".573101pt" strokecolor="#000000">
              <v:path arrowok="t"/>
              <v:stroke dashstyle="solid"/>
            </v:shape>
            <v:line style="position:absolute" from="5815,1401" to="6392,1401" stroked="true" strokeweight=".570957pt" strokecolor="#000000">
              <v:stroke dashstyle="solid"/>
            </v:line>
            <v:line style="position:absolute" from="5815,1686" to="6392,1686" stroked="true" strokeweight=".570957pt" strokecolor="#000000">
              <v:stroke dashstyle="solid"/>
            </v:line>
            <v:line style="position:absolute" from="5815,1972" to="6392,1972" stroked="true" strokeweight=".570957pt" strokecolor="#000000">
              <v:stroke dashstyle="solid"/>
            </v:line>
            <v:line style="position:absolute" from="5815,2257" to="6392,2257" stroked="true" strokeweight=".570957pt" strokecolor="#000000">
              <v:stroke dashstyle="solid"/>
            </v:line>
            <v:line style="position:absolute" from="5815,687" to="5815,3199" stroked="true" strokeweight=".19232pt" strokecolor="#000000">
              <v:stroke dashstyle="shortdot"/>
            </v:line>
            <v:line style="position:absolute" from="5813,3217" to="5817,3217" stroked="true" strokeweight=".285479pt" strokecolor="#000000">
              <v:stroke dashstyle="solid"/>
            </v:line>
            <v:line style="position:absolute" from="6104,687" to="6104,702" stroked="true" strokeweight=".19232pt" strokecolor="#000000">
              <v:stroke dashstyle="solid"/>
            </v:line>
            <v:line style="position:absolute" from="6104,717" to="6104,3199" stroked="true" strokeweight=".19232pt" strokecolor="#000000">
              <v:stroke dashstyle="shortdot"/>
            </v:line>
            <v:line style="position:absolute" from="6102,3217" to="6105,3217" stroked="true" strokeweight=".285479pt" strokecolor="#000000">
              <v:stroke dashstyle="solid"/>
            </v:line>
            <v:line style="position:absolute" from="6392,687" to="6392,702" stroked="true" strokeweight=".19232pt" strokecolor="#000000">
              <v:stroke dashstyle="solid"/>
            </v:line>
            <v:line style="position:absolute" from="6392,717" to="6392,2316" stroked="true" strokeweight=".19232pt" strokecolor="#000000">
              <v:stroke dashstyle="shortdot"/>
            </v:line>
            <v:shape style="position:absolute;left:6103;top:829;width:289;height:107" coordorigin="6104,830" coordsize="289,107" path="m6392,830l6104,830,6104,936e" filled="false" stroked="true" strokeweight=".571678pt" strokecolor="#000000">
              <v:path arrowok="t"/>
              <v:stroke dashstyle="solid"/>
            </v:shape>
            <v:shape style="position:absolute;left:5815;top:2719;width:289;height:216" coordorigin="5815,2720" coordsize="289,216" path="m5815,2720l5959,2720,5959,2935,6104,2935e" filled="false" stroked="true" strokeweight=".573101pt" strokecolor="#000000">
              <v:path arrowok="t"/>
              <v:stroke dashstyle="solid"/>
            </v:shape>
            <v:line style="position:absolute" from="5634,3113" to="5748,3113" stroked="true" strokeweight=".190319pt" strokecolor="#000000">
              <v:stroke dashstyle="solid"/>
            </v:line>
            <v:shape style="position:absolute;left:5726;top:3069;width:89;height:88" coordorigin="5727,3070" coordsize="89,88" path="m5727,3157l5729,3152,5730,3148,5734,3136,5734,3133,5736,3127,5736,3100,5734,3094,5734,3089,5732,3085,5729,3074,5727,3070,5815,3113,5727,3157xe" filled="true" fillcolor="#000000" stroked="false">
              <v:path arrowok="t"/>
              <v:fill type="solid"/>
            </v:shape>
            <v:line style="position:absolute" from="6284,3113" to="6171,3113" stroked="true" strokeweight=".190319pt" strokecolor="#000000">
              <v:stroke dashstyle="solid"/>
            </v:line>
            <v:shape style="position:absolute;left:6103;top:3069;width:89;height:88" coordorigin="6104,3070" coordsize="89,88" path="m6192,3157l6104,3113,6192,3070,6190,3074,6186,3085,6184,3089,6184,3094,6182,3100,6182,3127,6184,3133,6184,3136,6188,3148,6190,3152,6192,3157xe" filled="true" fillcolor="#000000" stroked="false">
              <v:path arrowok="t"/>
              <v:fill type="solid"/>
            </v:shape>
            <v:shape style="position:absolute;left:8484;top:721;width:289;height:216" coordorigin="8484,721" coordsize="289,216" path="m8484,721l8629,721,8629,936,8773,936e" filled="false" stroked="true" strokeweight=".573101pt" strokecolor="#000000">
              <v:path arrowok="t"/>
              <v:stroke dashstyle="solid"/>
            </v:shape>
            <v:shape style="position:absolute;left:8772;top:829;width:289;height:71" coordorigin="8773,830" coordsize="289,71" path="m8773,900l8773,830,9061,830e" filled="false" stroked="true" strokeweight=".571295pt" strokecolor="#000000">
              <v:path arrowok="t"/>
              <v:stroke dashstyle="solid"/>
            </v:shape>
            <v:shape style="position:absolute;left:8484;top:1006;width:577;height:216" coordorigin="8484,1007" coordsize="577,216" path="m8484,1115l8773,1115,8773,1007,8917,1007,8917,1222,9061,1222,9061,1115e" filled="false" stroked="true" strokeweight=".571689pt" strokecolor="#000000">
              <v:path arrowok="t"/>
              <v:stroke dashstyle="solid"/>
            </v:shape>
            <v:shape style="position:absolute;left:8484;top:2434;width:289;height:216" coordorigin="8484,2434" coordsize="289,216" path="m8484,2649l8629,2649,8629,2434,8773,2434e" filled="false" stroked="true" strokeweight=".573101pt" strokecolor="#000000">
              <v:path arrowok="t"/>
              <v:stroke dashstyle="solid"/>
            </v:shape>
            <v:line style="position:absolute" from="8484,1401" to="9061,1401" stroked="true" strokeweight=".570957pt" strokecolor="#000000">
              <v:stroke dashstyle="solid"/>
            </v:line>
            <v:line style="position:absolute" from="8484,1686" to="9061,1686" stroked="true" strokeweight=".570957pt" strokecolor="#000000">
              <v:stroke dashstyle="solid"/>
            </v:line>
            <v:line style="position:absolute" from="8484,1972" to="9061,1972" stroked="true" strokeweight=".570957pt" strokecolor="#000000">
              <v:stroke dashstyle="solid"/>
            </v:line>
            <v:line style="position:absolute" from="8484,2257" to="9061,2257" stroked="true" strokeweight=".570957pt" strokecolor="#000000">
              <v:stroke dashstyle="solid"/>
            </v:line>
            <v:shape style="position:absolute;left:8484;top:686;width:289;height:2269" coordorigin="8484,687" coordsize="289,2269" path="m8484,687l8484,2956m8773,687l8773,2956e" filled="false" stroked="true" strokeweight=".19232pt" strokecolor="#000000">
              <v:path arrowok="t"/>
              <v:stroke dashstyle="shortdot"/>
            </v:shape>
            <v:line style="position:absolute" from="9061,687" to="9061,2316" stroked="true" strokeweight=".19232pt" strokecolor="#000000">
              <v:stroke dashstyle="shortdot"/>
            </v:line>
            <v:line style="position:absolute" from="9061,1115" to="9350,1115" stroked="true" strokeweight=".570957pt" strokecolor="#000000">
              <v:stroke dashstyle="solid"/>
            </v:line>
            <v:line style="position:absolute" from="9061,830" to="9350,830" stroked="true" strokeweight=".570957pt" strokecolor="#000000">
              <v:stroke dashstyle="solid"/>
            </v:line>
            <v:shape style="position:absolute;left:9061;top:1292;width:289;height:216" coordorigin="9061,1292" coordsize="289,216" path="m9061,1401l9061,1292,9206,1292,9206,1507,9350,1507,9350,1401e" filled="false" stroked="true" strokeweight=".573101pt" strokecolor="#000000">
              <v:path arrowok="t"/>
              <v:stroke dashstyle="solid"/>
            </v:shape>
            <v:line style="position:absolute" from="9061,1686" to="9350,1686" stroked="true" strokeweight=".570957pt" strokecolor="#000000">
              <v:stroke dashstyle="solid"/>
            </v:line>
            <v:line style="position:absolute" from="9061,1972" to="9350,1972" stroked="true" strokeweight=".570957pt" strokecolor="#000000">
              <v:stroke dashstyle="solid"/>
            </v:line>
            <v:line style="position:absolute" from="9061,2257" to="9350,2257" stroked="true" strokeweight=".570957pt" strokecolor="#000000">
              <v:stroke dashstyle="solid"/>
            </v:line>
            <v:line style="position:absolute" from="8484,757" to="8484,830" stroked="true" strokeweight=".576959pt" strokecolor="#000000">
              <v:stroke dashstyle="solid"/>
            </v:line>
            <v:line style="position:absolute" from="9350,687" to="9350,702" stroked="true" strokeweight=".19232pt" strokecolor="#000000">
              <v:stroke dashstyle="solid"/>
            </v:line>
            <v:line style="position:absolute" from="9350,717" to="9350,2316" stroked="true" strokeweight=".19232pt" strokecolor="#000000">
              <v:stroke dashstyle="shortdot"/>
            </v:line>
            <v:line style="position:absolute" from="8484,830" to="8484,721" stroked="true" strokeweight=".576959pt" strokecolor="#000000">
              <v:stroke dashstyle="solid"/>
            </v:line>
            <v:line style="position:absolute" from="8773,940" to="8773,833" stroked="true" strokeweight=".576959pt" strokecolor="#000000">
              <v:stroke dashstyle="solid"/>
            </v:line>
            <v:shape style="position:absolute;left:8484;top:2719;width:289;height:216" coordorigin="8484,2720" coordsize="289,216" path="m8484,2720l8629,2720,8629,2935,8773,2935e" filled="false" stroked="true" strokeweight=".573101pt" strokecolor="#000000">
              <v:path arrowok="t"/>
              <v:stroke dashstyle="solid"/>
            </v:shape>
            <v:shape style="position:absolute;left:3145;top:3577;width:289;height:214" coordorigin="3146,3578" coordsize="289,214" path="m3146,3578l3290,3578,3290,3791,3434,3791e" filled="false" stroked="true" strokeweight=".573077pt" strokecolor="#000000">
              <v:path arrowok="t"/>
              <v:stroke dashstyle="solid"/>
            </v:shape>
            <v:shape style="position:absolute;left:3145;top:5290;width:289;height:214" coordorigin="3146,5291" coordsize="289,214" path="m3146,5504l3290,5504,3290,5291,3434,5291e" filled="false" stroked="true" strokeweight=".573077pt" strokecolor="#000000">
              <v:path arrowok="t"/>
              <v:stroke dashstyle="solid"/>
            </v:shape>
            <v:shape style="position:absolute;left:3145;top:3541;width:289;height:2269" coordorigin="3146,3542" coordsize="289,2269" path="m3146,3542l3146,5810m3434,3542l3434,5810e" filled="false" stroked="true" strokeweight=".19232pt" strokecolor="#000000">
              <v:path arrowok="t"/>
              <v:stroke dashstyle="shortdot"/>
            </v:shape>
            <v:line style="position:absolute" from="3146,3684" to="3146,3578" stroked="true" strokeweight=".576959pt" strokecolor="#000000">
              <v:stroke dashstyle="solid"/>
            </v:line>
            <v:line style="position:absolute" from="3723,3542" to="3723,5171" stroked="true" strokeweight=".19232pt" strokecolor="#000000">
              <v:stroke dashstyle="shortdot"/>
            </v:line>
            <v:line style="position:absolute" from="4011,3542" to="4011,5171" stroked="true" strokeweight=".19232pt" strokecolor="#000000">
              <v:stroke dashstyle="shortdot"/>
            </v:line>
            <v:shape style="position:absolute;left:3434;top:3648;width:577;height:143" coordorigin="3434,3648" coordsize="577,143" path="m3434,3791l3434,3721,3578,3721,3578,3648,3723,3648,3723,3721,3867,3721,3867,3648,4011,3648e" filled="false" stroked="true" strokeweight=".571303pt" strokecolor="#000000">
              <v:path arrowok="t"/>
              <v:stroke dashstyle="solid"/>
            </v:shape>
            <v:shape style="position:absolute;left:3434;top:3863;width:289;height:214" coordorigin="3434,3863" coordsize="289,214" path="m3434,3863l3578,3863,3578,4077,3723,4077e" filled="false" stroked="true" strokeweight=".573077pt" strokecolor="#000000">
              <v:path arrowok="t"/>
              <v:stroke dashstyle="solid"/>
            </v:shape>
            <v:shape style="position:absolute;left:3722;top:4148;width:289;height:214" coordorigin="3723,4149" coordsize="289,214" path="m3723,4149l3867,4149,3867,4362,4011,4362e" filled="false" stroked="true" strokeweight=".573077pt" strokecolor="#000000">
              <v:path arrowok="t"/>
              <v:stroke dashstyle="solid"/>
            </v:shape>
            <v:shape style="position:absolute;left:3145;top:4219;width:577;height:73" coordorigin="3146,4219" coordsize="577,73" path="m3146,4292l3290,4292,3290,4219,3434,4219,3434,4292,3578,4292,3578,4219,3723,4219e" filled="false" stroked="true" strokeweight=".571050pt" strokecolor="#000000">
              <v:path arrowok="t"/>
              <v:stroke dashstyle="solid"/>
            </v:shape>
            <v:line style="position:absolute" from="3723,4219" to="3723,4145" stroked="true" strokeweight=".576959pt" strokecolor="#000000">
              <v:stroke dashstyle="solid"/>
            </v:line>
            <v:shape style="position:absolute;left:3145;top:3861;width:289;height:145" coordorigin="3146,3861" coordsize="289,145" path="m3434,3863l3434,3861,3434,3936,3290,3934,3290,4006,3146,4006e" filled="false" stroked="true" strokeweight=".572163pt" strokecolor="#000000">
              <v:path arrowok="t"/>
              <v:stroke dashstyle="solid"/>
            </v:shape>
            <v:shape style="position:absolute;left:3722;top:3933;width:289;height:143" coordorigin="3723,3934" coordsize="289,143" path="m3723,4077l3723,4006,3867,4006,3867,3934,4011,3934e" filled="false" stroked="true" strokeweight=".572138pt" strokecolor="#000000">
              <v:path arrowok="t"/>
              <v:stroke dashstyle="solid"/>
            </v:shape>
            <v:shape style="position:absolute;left:3145;top:4504;width:577;height:73" coordorigin="3146,4505" coordsize="577,73" path="m3146,4577l3290,4577,3290,4505,3434,4505,3434,4577,3578,4577,3578,4505,3723,4505e" filled="false" stroked="true" strokeweight=".571050pt" strokecolor="#000000">
              <v:path arrowok="t"/>
              <v:stroke dashstyle="solid"/>
            </v:shape>
            <v:shape style="position:absolute;left:3722;top:4504;width:289;height:73" coordorigin="3723,4505" coordsize="289,73" path="m3723,4505l3723,4575,3867,4577,3867,4505,4011,4505e" filled="false" stroked="true" strokeweight=".571312pt" strokecolor="#000000">
              <v:path arrowok="t"/>
              <v:stroke dashstyle="solid"/>
            </v:shape>
            <v:shape style="position:absolute;left:3145;top:4790;width:577;height:73" coordorigin="3146,4790" coordsize="577,73" path="m3146,4863l3290,4863,3290,4790,3434,4790,3434,4863,3578,4861,3578,4790,3723,4790e" filled="false" stroked="true" strokeweight=".571050pt" strokecolor="#000000">
              <v:path arrowok="t"/>
              <v:stroke dashstyle="solid"/>
            </v:shape>
            <v:shape style="position:absolute;left:3722;top:4790;width:289;height:73" coordorigin="3723,4790" coordsize="289,73" path="m3723,4790l3723,4863,3867,4861,3867,4790,4011,4790e" filled="false" stroked="true" strokeweight=".571312pt" strokecolor="#000000">
              <v:path arrowok="t"/>
              <v:stroke dashstyle="solid"/>
            </v:shape>
            <v:shape style="position:absolute;left:3145;top:5075;width:577;height:73" coordorigin="3146,5076" coordsize="577,73" path="m3146,5148l3290,5146,3290,5076,3434,5076,3434,5148,3578,5146,3578,5076,3723,5076e" filled="false" stroked="true" strokeweight=".571050pt" strokecolor="#000000">
              <v:path arrowok="t"/>
              <v:stroke dashstyle="solid"/>
            </v:shape>
            <v:shape style="position:absolute;left:3722;top:5075;width:289;height:71" coordorigin="3723,5076" coordsize="289,71" path="m3723,5076l3723,5146,3867,5146,3867,5076,4011,5076e" filled="false" stroked="true" strokeweight=".571295pt" strokecolor="#000000">
              <v:path arrowok="t"/>
              <v:stroke dashstyle="solid"/>
            </v:shape>
            <v:shape style="position:absolute;left:3145;top:5646;width:289;height:73" coordorigin="3146,5647" coordsize="289,73" path="m3146,5647l3290,5647,3290,5719,3434,5719e" filled="false" stroked="true" strokeweight=".571312pt" strokecolor="#000000">
              <v:path arrowok="t"/>
              <v:stroke dashstyle="solid"/>
            </v:shape>
            <v:shape style="position:absolute;left:5815;top:3577;width:289;height:214" coordorigin="5815,3578" coordsize="289,214" path="m5815,3578l5959,3578,5959,3791,6104,3791e" filled="false" stroked="true" strokeweight=".573077pt" strokecolor="#000000">
              <v:path arrowok="t"/>
              <v:stroke dashstyle="solid"/>
            </v:shape>
            <v:shape style="position:absolute;left:5815;top:5290;width:289;height:214" coordorigin="5815,5291" coordsize="289,214" path="m5815,5504l5959,5504,5959,5291,6104,5291e" filled="false" stroked="true" strokeweight=".573077pt" strokecolor="#000000">
              <v:path arrowok="t"/>
              <v:stroke dashstyle="solid"/>
            </v:shape>
            <v:shape style="position:absolute;left:5815;top:3541;width:289;height:2269" coordorigin="5815,3542" coordsize="289,2269" path="m5815,3542l5815,5810m6104,3542l6104,5810e" filled="false" stroked="true" strokeweight=".19232pt" strokecolor="#000000">
              <v:path arrowok="t"/>
              <v:stroke dashstyle="shortdot"/>
            </v:shape>
            <v:line style="position:absolute" from="5815,3684" to="5815,3578" stroked="true" strokeweight=".576959pt" strokecolor="#000000">
              <v:stroke dashstyle="solid"/>
            </v:line>
            <v:shape style="position:absolute;left:6392;top:3541;width:289;height:1630" coordorigin="6392,3542" coordsize="289,1630" path="m6392,3542l6392,5171m6681,3542l6681,5171e" filled="false" stroked="true" strokeweight=".19232pt" strokecolor="#000000">
              <v:path arrowok="t"/>
              <v:stroke dashstyle="shortdot"/>
            </v:shape>
            <v:shape style="position:absolute;left:6103;top:3648;width:577;height:143" coordorigin="6104,3648" coordsize="577,143" path="m6104,3791l6104,3721,6248,3721,6248,3648,6392,3648,6392,3721,6536,3721,6536,3648,6681,3648e" filled="false" stroked="true" strokeweight=".571303pt" strokecolor="#000000">
              <v:path arrowok="t"/>
              <v:stroke dashstyle="solid"/>
            </v:shape>
            <v:shape style="position:absolute;left:6103;top:3863;width:289;height:214" coordorigin="6104,3863" coordsize="289,214" path="m6104,3863l6248,3863,6248,4077,6392,4077e" filled="false" stroked="true" strokeweight=".573077pt" strokecolor="#000000">
              <v:path arrowok="t"/>
              <v:stroke dashstyle="solid"/>
            </v:shape>
            <v:shape style="position:absolute;left:6392;top:4148;width:289;height:214" coordorigin="6392,4149" coordsize="289,214" path="m6392,4149l6536,4149,6536,4362,6681,4362e" filled="false" stroked="true" strokeweight=".573077pt" strokecolor="#000000">
              <v:path arrowok="t"/>
              <v:stroke dashstyle="solid"/>
            </v:shape>
            <v:shape style="position:absolute;left:5815;top:4219;width:577;height:73" coordorigin="5815,4219" coordsize="577,73" path="m5815,4292l5959,4292,5959,4219,6104,4219,6104,4292,6248,4292,6248,4219,6392,4219e" filled="false" stroked="true" strokeweight=".571050pt" strokecolor="#000000">
              <v:path arrowok="t"/>
              <v:stroke dashstyle="solid"/>
            </v:shape>
            <v:line style="position:absolute" from="6392,4219" to="6392,4145" stroked="true" strokeweight=".576959pt" strokecolor="#000000">
              <v:stroke dashstyle="solid"/>
            </v:line>
            <v:shape style="position:absolute;left:5815;top:3861;width:289;height:145" coordorigin="5815,3861" coordsize="289,145" path="m6104,3863l6104,3861,6104,3936,5959,3934,5959,4006,5815,4006e" filled="false" stroked="true" strokeweight=".572163pt" strokecolor="#000000">
              <v:path arrowok="t"/>
              <v:stroke dashstyle="solid"/>
            </v:shape>
            <v:shape style="position:absolute;left:6392;top:3933;width:289;height:143" coordorigin="6392,3934" coordsize="289,143" path="m6392,4077l6392,4006,6536,4006,6536,3934,6681,3934e" filled="false" stroked="true" strokeweight=".572138pt" strokecolor="#000000">
              <v:path arrowok="t"/>
              <v:stroke dashstyle="solid"/>
            </v:shape>
            <v:shape style="position:absolute;left:5815;top:4504;width:577;height:73" coordorigin="5815,4505" coordsize="577,73" path="m5815,4577l5959,4577,5959,4505,6104,4505,6104,4577,6248,4577,6248,4505,6392,4505e" filled="false" stroked="true" strokeweight=".571050pt" strokecolor="#000000">
              <v:path arrowok="t"/>
              <v:stroke dashstyle="solid"/>
            </v:shape>
            <v:shape style="position:absolute;left:6392;top:4504;width:289;height:73" coordorigin="6392,4505" coordsize="289,73" path="m6392,4505l6392,4575,6536,4577,6536,4505,6681,4505e" filled="false" stroked="true" strokeweight=".571312pt" strokecolor="#000000">
              <v:path arrowok="t"/>
              <v:stroke dashstyle="solid"/>
            </v:shape>
            <v:shape style="position:absolute;left:5815;top:4790;width:577;height:73" coordorigin="5815,4790" coordsize="577,73" path="m5815,4863l5959,4861,5959,4790,6104,4790,6104,4863,6248,4861,6248,4790,6392,4790e" filled="false" stroked="true" strokeweight=".571050pt" strokecolor="#000000">
              <v:path arrowok="t"/>
              <v:stroke dashstyle="solid"/>
            </v:shape>
            <v:shape style="position:absolute;left:6392;top:4790;width:289;height:73" coordorigin="6392,4790" coordsize="289,73" path="m6392,4790l6392,4863,6536,4861,6536,4790,6681,4790e" filled="false" stroked="true" strokeweight=".571312pt" strokecolor="#000000">
              <v:path arrowok="t"/>
              <v:stroke dashstyle="solid"/>
            </v:shape>
            <v:shape style="position:absolute;left:5815;top:5075;width:577;height:73" coordorigin="5815,5076" coordsize="577,73" path="m5815,5148l5959,5146,5959,5076,6104,5076,6104,5148,6248,5146,6248,5076,6392,5076e" filled="false" stroked="true" strokeweight=".571050pt" strokecolor="#000000">
              <v:path arrowok="t"/>
              <v:stroke dashstyle="solid"/>
            </v:shape>
            <v:shape style="position:absolute;left:6392;top:5075;width:289;height:73" coordorigin="6392,5076" coordsize="289,73" path="m6392,5076l6392,5148,6536,5146,6536,5076,6681,5076e" filled="false" stroked="true" strokeweight=".571312pt" strokecolor="#000000">
              <v:path arrowok="t"/>
              <v:stroke dashstyle="solid"/>
            </v:shape>
            <v:shape style="position:absolute;left:5815;top:5646;width:289;height:73" coordorigin="5815,5647" coordsize="289,73" path="m5815,5647l5959,5647,5959,5719,6104,5719e" filled="false" stroked="true" strokeweight=".571312pt" strokecolor="#000000">
              <v:path arrowok="t"/>
              <v:stroke dashstyle="solid"/>
            </v:shape>
            <v:shape style="position:absolute;left:6680;top:3644;width:289;height:77" coordorigin="6681,3644" coordsize="289,77" path="m6681,3644l6681,3721,6825,3721,6825,3648,6969,3648e" filled="false" stroked="true" strokeweight=".571348pt" strokecolor="#000000">
              <v:path arrowok="t"/>
              <v:stroke dashstyle="solid"/>
            </v:shape>
            <v:shape style="position:absolute;left:6680;top:3933;width:289;height:75" coordorigin="6681,3934" coordsize="289,75" path="m6681,3934l6681,4008,6825,4008,6825,3938,6969,3938e" filled="false" stroked="true" strokeweight=".57133pt" strokecolor="#000000">
              <v:path arrowok="t"/>
              <v:stroke dashstyle="solid"/>
            </v:shape>
            <v:shape style="position:absolute;left:6680;top:4219;width:289;height:139" coordorigin="6681,4219" coordsize="289,139" path="m6681,4358l6681,4292,6825,4292,6825,4219,6969,4219e" filled="false" stroked="true" strokeweight=".572087pt" strokecolor="#000000">
              <v:path arrowok="t"/>
              <v:stroke dashstyle="solid"/>
            </v:shape>
            <v:shape style="position:absolute;left:6680;top:4790;width:289;height:75" coordorigin="6681,4790" coordsize="289,75" path="m6681,4790l6681,4864,6825,4864,6825,4794,6969,4794e" filled="false" stroked="true" strokeweight=".57133pt" strokecolor="#000000">
              <v:path arrowok="t"/>
              <v:stroke dashstyle="solid"/>
            </v:shape>
            <v:shape style="position:absolute;left:6680;top:5071;width:289;height:77" coordorigin="6681,5072" coordsize="289,77" path="m6681,5072l6681,5148,6825,5148,6825,5076,6969,5076e" filled="false" stroked="true" strokeweight=".571348pt" strokecolor="#000000">
              <v:path arrowok="t"/>
              <v:stroke dashstyle="solid"/>
            </v:shape>
            <v:line style="position:absolute" from="6681,4505" to="6681,4430" stroked="true" strokeweight=".576959pt" strokecolor="#000000">
              <v:stroke dashstyle="solid"/>
            </v:line>
            <v:shape style="position:absolute;left:6680;top:4434;width:289;height:214" coordorigin="6681,4434" coordsize="289,214" path="m6681,4434l6825,4434,6825,4647,6969,4647,6969,4577e" filled="false" stroked="true" strokeweight=".573077pt" strokecolor="#000000">
              <v:path arrowok="t"/>
              <v:stroke dashstyle="solid"/>
            </v:shape>
            <v:line style="position:absolute" from="6969,3542" to="6969,5171" stroked="true" strokeweight=".19232pt" strokecolor="#000000">
              <v:stroke dashstyle="shortdot"/>
            </v:line>
            <v:shape style="position:absolute;left:8484;top:3577;width:289;height:214" coordorigin="8484,3578" coordsize="289,214" path="m8484,3578l8629,3578,8629,3791,8773,3791e" filled="false" stroked="true" strokeweight=".573077pt" strokecolor="#000000">
              <v:path arrowok="t"/>
              <v:stroke dashstyle="solid"/>
            </v:shape>
            <v:shape style="position:absolute;left:8484;top:5290;width:289;height:214" coordorigin="8484,5291" coordsize="289,214" path="m8484,5504l8629,5504,8629,5291,8773,5291e" filled="false" stroked="true" strokeweight=".573077pt" strokecolor="#000000">
              <v:path arrowok="t"/>
              <v:stroke dashstyle="solid"/>
            </v:shape>
            <v:shape style="position:absolute;left:8484;top:3541;width:289;height:2269" coordorigin="8484,3542" coordsize="289,2269" path="m8484,3542l8484,5810m8773,3542l8773,5810e" filled="false" stroked="true" strokeweight=".19232pt" strokecolor="#000000">
              <v:path arrowok="t"/>
              <v:stroke dashstyle="shortdot"/>
            </v:shape>
            <v:line style="position:absolute" from="8484,3684" to="8484,3578" stroked="true" strokeweight=".576959pt" strokecolor="#000000">
              <v:stroke dashstyle="solid"/>
            </v:line>
            <v:line style="position:absolute" from="9061,3542" to="9061,5171" stroked="true" strokeweight=".19232pt" strokecolor="#000000">
              <v:stroke dashstyle="shortdot"/>
            </v:line>
            <v:line style="position:absolute" from="9350,3542" to="9350,5171" stroked="true" strokeweight=".19232pt" strokecolor="#000000">
              <v:stroke dashstyle="shortdot"/>
            </v:line>
            <v:shape style="position:absolute;left:8772;top:3648;width:577;height:143" coordorigin="8773,3648" coordsize="577,143" path="m8773,3791l8773,3721,8917,3721,8917,3648,9061,3648,9061,3721,9206,3721,9206,3648,9350,3648e" filled="false" stroked="true" strokeweight=".571303pt" strokecolor="#000000">
              <v:path arrowok="t"/>
              <v:stroke dashstyle="solid"/>
            </v:shape>
            <v:shape style="position:absolute;left:8772;top:3863;width:289;height:214" coordorigin="8773,3863" coordsize="289,214" path="m8773,3863l8917,3863,8917,4077,9061,4077e" filled="false" stroked="true" strokeweight=".573077pt" strokecolor="#000000">
              <v:path arrowok="t"/>
              <v:stroke dashstyle="solid"/>
            </v:shape>
            <v:shape style="position:absolute;left:9061;top:4148;width:289;height:214" coordorigin="9061,4149" coordsize="289,214" path="m9061,4149l9206,4149,9206,4362,9350,4362e" filled="false" stroked="true" strokeweight=".573077pt" strokecolor="#000000">
              <v:path arrowok="t"/>
              <v:stroke dashstyle="solid"/>
            </v:shape>
            <v:shape style="position:absolute;left:8484;top:4219;width:577;height:73" coordorigin="8484,4219" coordsize="577,73" path="m8484,4292l8629,4292,8629,4219,8773,4219,8773,4292,8917,4292,8917,4219,9061,4219e" filled="false" stroked="true" strokeweight=".571050pt" strokecolor="#000000">
              <v:path arrowok="t"/>
              <v:stroke dashstyle="solid"/>
            </v:shape>
            <v:line style="position:absolute" from="9061,4219" to="9061,4145" stroked="true" strokeweight=".576959pt" strokecolor="#000000">
              <v:stroke dashstyle="solid"/>
            </v:line>
            <v:shape style="position:absolute;left:8484;top:3861;width:289;height:145" coordorigin="8484,3861" coordsize="289,145" path="m8773,3863l8773,3861,8773,3936,8629,3934,8629,4006,8484,4006e" filled="false" stroked="true" strokeweight=".572163pt" strokecolor="#000000">
              <v:path arrowok="t"/>
              <v:stroke dashstyle="solid"/>
            </v:shape>
            <v:shape style="position:absolute;left:9061;top:3933;width:289;height:143" coordorigin="9061,3934" coordsize="289,143" path="m9061,4077l9061,4006,9206,4006,9206,3934,9350,3934e" filled="false" stroked="true" strokeweight=".572138pt" strokecolor="#000000">
              <v:path arrowok="t"/>
              <v:stroke dashstyle="solid"/>
            </v:shape>
            <v:shape style="position:absolute;left:8484;top:4504;width:577;height:73" coordorigin="8484,4505" coordsize="577,73" path="m8484,4577l8629,4577,8629,4505,8773,4505,8773,4577,8917,4577,8917,4505,9061,4505e" filled="false" stroked="true" strokeweight=".571050pt" strokecolor="#000000">
              <v:path arrowok="t"/>
              <v:stroke dashstyle="solid"/>
            </v:shape>
            <v:shape style="position:absolute;left:9061;top:4504;width:289;height:73" coordorigin="9061,4505" coordsize="289,73" path="m9061,4505l9061,4575,9206,4577,9206,4505,9350,4505e" filled="false" stroked="true" strokeweight=".571312pt" strokecolor="#000000">
              <v:path arrowok="t"/>
              <v:stroke dashstyle="solid"/>
            </v:shape>
            <v:shape style="position:absolute;left:8484;top:4790;width:577;height:73" coordorigin="8484,4790" coordsize="577,73" path="m8484,4863l8629,4861,8629,4790,8773,4790,8773,4863,8917,4861,8917,4790,9061,4790e" filled="false" stroked="true" strokeweight=".571050pt" strokecolor="#000000">
              <v:path arrowok="t"/>
              <v:stroke dashstyle="solid"/>
            </v:shape>
            <v:shape style="position:absolute;left:9061;top:4790;width:289;height:73" coordorigin="9061,4790" coordsize="289,73" path="m9061,4790l9061,4863,9206,4861,9206,4790,9350,4790e" filled="false" stroked="true" strokeweight=".571312pt" strokecolor="#000000">
              <v:path arrowok="t"/>
              <v:stroke dashstyle="solid"/>
            </v:shape>
            <v:shape style="position:absolute;left:8484;top:5075;width:577;height:73" coordorigin="8484,5076" coordsize="577,73" path="m8484,5148l8629,5146,8629,5076,8773,5076,8773,5148,8917,5146,8917,5076,9061,5076e" filled="false" stroked="true" strokeweight=".571050pt" strokecolor="#000000">
              <v:path arrowok="t"/>
              <v:stroke dashstyle="solid"/>
            </v:shape>
            <v:shape style="position:absolute;left:9061;top:5075;width:289;height:73" coordorigin="9061,5076" coordsize="289,73" path="m9061,5076l9061,5148,9206,5146,9206,5076,9350,5076e" filled="false" stroked="true" strokeweight=".571312pt" strokecolor="#000000">
              <v:path arrowok="t"/>
              <v:stroke dashstyle="solid"/>
            </v:shape>
            <v:shape style="position:absolute;left:8484;top:5646;width:289;height:73" coordorigin="8484,5647" coordsize="289,73" path="m8484,5647l8629,5647,8629,5719,8773,5719e" filled="false" stroked="true" strokeweight=".571312pt" strokecolor="#000000">
              <v:path arrowok="t"/>
              <v:stroke dashstyle="solid"/>
            </v:shape>
            <v:shape style="position:absolute;left:9349;top:3644;width:289;height:77" coordorigin="9350,3644" coordsize="289,77" path="m9350,3644l9350,3721,9494,3721,9494,3648,9638,3648e" filled="false" stroked="true" strokeweight=".571348pt" strokecolor="#000000">
              <v:path arrowok="t"/>
              <v:stroke dashstyle="solid"/>
            </v:shape>
            <v:shape style="position:absolute;left:9349;top:3933;width:289;height:75" coordorigin="9350,3934" coordsize="289,75" path="m9350,3934l9350,4008,9494,4008,9494,3938,9638,3938e" filled="false" stroked="true" strokeweight=".57133pt" strokecolor="#000000">
              <v:path arrowok="t"/>
              <v:stroke dashstyle="solid"/>
            </v:shape>
            <v:shape style="position:absolute;left:9349;top:4219;width:289;height:143" coordorigin="9350,4219" coordsize="289,143" path="m9350,4362l9350,4292,9494,4292,9494,4219,9638,4219e" filled="false" stroked="true" strokeweight=".572138pt" strokecolor="#000000">
              <v:path arrowok="t"/>
              <v:stroke dashstyle="solid"/>
            </v:shape>
            <v:shape style="position:absolute;left:9349;top:4790;width:289;height:75" coordorigin="9350,4790" coordsize="289,75" path="m9350,4790l9350,4864,9494,4864,9494,4794,9638,4794e" filled="false" stroked="true" strokeweight=".57133pt" strokecolor="#000000">
              <v:path arrowok="t"/>
              <v:stroke dashstyle="solid"/>
            </v:shape>
            <v:shape style="position:absolute;left:9349;top:5071;width:289;height:77" coordorigin="9350,5072" coordsize="289,77" path="m9350,5072l9350,5148,9494,5148,9494,5076,9638,5076e" filled="false" stroked="true" strokeweight=".571348pt" strokecolor="#000000">
              <v:path arrowok="t"/>
              <v:stroke dashstyle="solid"/>
            </v:shape>
            <v:line style="position:absolute" from="9350,4505" to="9350,4430" stroked="true" strokeweight=".576959pt" strokecolor="#000000">
              <v:stroke dashstyle="solid"/>
            </v:line>
            <v:shape style="position:absolute;left:9349;top:4434;width:289;height:214" coordorigin="9350,4434" coordsize="289,214" path="m9350,4434l9494,4434,9494,4647,9638,4647e" filled="false" stroked="true" strokeweight=".573077pt" strokecolor="#000000">
              <v:path arrowok="t"/>
              <v:stroke dashstyle="solid"/>
            </v:shape>
            <v:shape style="position:absolute;left:9638;top:3644;width:289;height:77" coordorigin="9638,3644" coordsize="289,77" path="m9638,3644l9638,3721,9783,3721,9783,3648,9927,3648e" filled="false" stroked="true" strokeweight=".571348pt" strokecolor="#000000">
              <v:path arrowok="t"/>
              <v:stroke dashstyle="solid"/>
            </v:shape>
            <v:shape style="position:absolute;left:9926;top:3644;width:289;height:77" coordorigin="9927,3644" coordsize="289,77" path="m9927,3644l9927,3721,10071,3721,10071,3648,10215,3648e" filled="false" stroked="true" strokeweight=".571348pt" strokecolor="#000000">
              <v:path arrowok="t"/>
              <v:stroke dashstyle="solid"/>
            </v:shape>
            <v:shape style="position:absolute;left:9638;top:3929;width:289;height:77" coordorigin="9638,3930" coordsize="289,77" path="m9638,3930l9638,4006,9783,4006,9783,3934,9927,3934e" filled="false" stroked="true" strokeweight=".571348pt" strokecolor="#000000">
              <v:path arrowok="t"/>
              <v:stroke dashstyle="solid"/>
            </v:shape>
            <v:shape style="position:absolute;left:9926;top:3929;width:289;height:77" coordorigin="9927,3930" coordsize="289,77" path="m9927,3930l9927,4006,10071,4006,10071,3934,10215,3934e" filled="false" stroked="true" strokeweight=".571348pt" strokecolor="#000000">
              <v:path arrowok="t"/>
              <v:stroke dashstyle="solid"/>
            </v:shape>
            <v:shape style="position:absolute;left:9638;top:4215;width:289;height:77" coordorigin="9638,4215" coordsize="289,77" path="m9638,4215l9638,4292,9783,4292,9783,4219,9927,4219e" filled="false" stroked="true" strokeweight=".571348pt" strokecolor="#000000">
              <v:path arrowok="t"/>
              <v:stroke dashstyle="solid"/>
            </v:shape>
            <v:shape style="position:absolute;left:9926;top:4215;width:289;height:77" coordorigin="9927,4215" coordsize="289,77" path="m9927,4215l9927,4292,10071,4292,10071,4219,10215,4219e" filled="false" stroked="true" strokeweight=".571348pt" strokecolor="#000000">
              <v:path arrowok="t"/>
              <v:stroke dashstyle="solid"/>
            </v:shape>
            <v:shape style="position:absolute;left:9638;top:4504;width:289;height:73" coordorigin="9638,4505" coordsize="289,73" path="m9638,4577l9783,4577,9783,4505,9927,4505e" filled="false" stroked="true" strokeweight=".571312pt" strokecolor="#000000">
              <v:path arrowok="t"/>
              <v:stroke dashstyle="solid"/>
            </v:shape>
            <v:shape style="position:absolute;left:9926;top:4790;width:289;height:73" coordorigin="9927,4790" coordsize="289,73" path="m9927,4863l10071,4863,10071,4790,10215,4790e" filled="false" stroked="true" strokeweight=".571312pt" strokecolor="#000000">
              <v:path arrowok="t"/>
              <v:stroke dashstyle="solid"/>
            </v:shape>
            <v:shape style="position:absolute;left:9638;top:5075;width:289;height:75" coordorigin="9638,5076" coordsize="289,75" path="m9638,5076l9638,5150,9783,5150,9783,5079,9927,5079e" filled="false" stroked="true" strokeweight=".57133pt" strokecolor="#000000">
              <v:path arrowok="t"/>
              <v:stroke dashstyle="solid"/>
            </v:shape>
            <v:line style="position:absolute" from="9638,4647" to="9638,4577" stroked="true" strokeweight=".576959pt" strokecolor="#000000">
              <v:stroke dashstyle="solid"/>
            </v:line>
            <v:shape style="position:absolute;left:9638;top:4719;width:289;height:214" coordorigin="9638,4720" coordsize="289,214" path="m9638,4794l9638,4720,9783,4720,9783,4933,9927,4933,9927,4863e" filled="false" stroked="true" strokeweight=".573077pt" strokecolor="#000000">
              <v:path arrowok="t"/>
              <v:stroke dashstyle="solid"/>
            </v:shape>
            <v:shape style="position:absolute;left:9926;top:4504;width:289;height:75" coordorigin="9927,4505" coordsize="289,75" path="m9927,4505l9927,4579,10071,4579,10071,4509,10215,4509e" filled="false" stroked="true" strokeweight=".57133pt" strokecolor="#000000">
              <v:path arrowok="t"/>
              <v:stroke dashstyle="solid"/>
            </v:shape>
            <v:shape style="position:absolute;left:9926;top:5005;width:289;height:214" coordorigin="9927,5005" coordsize="289,214" path="m9927,5079l9927,5005,10071,5005,10071,5218,10215,5218e" filled="false" stroked="true" strokeweight=".573077pt" strokecolor="#000000">
              <v:path arrowok="t"/>
              <v:stroke dashstyle="solid"/>
            </v:shape>
            <v:shape style="position:absolute;left:9638;top:3541;width:577;height:1630" coordorigin="9638,3542" coordsize="577,1630" path="m9638,3542l9638,5171m9927,3542l9927,5171m10215,3542l10215,5171e" filled="false" stroked="true" strokeweight=".19232pt" strokecolor="#000000">
              <v:path arrowok="t"/>
              <v:stroke dashstyle="shortdot"/>
            </v:shape>
            <v:rect style="position:absolute;left:1822;top:244;width:8595;height:5655" filled="false" stroked="true" strokeweight=".75pt" strokecolor="#000000">
              <v:stroke dashstyle="solid"/>
            </v:rect>
            <v:shape style="position:absolute;left:1991;top:394;width:1601;height:143" type="#_x0000_t202" filled="false" stroked="false">
              <v:textbox inset="0,0,0,0">
                <w:txbxContent>
                  <w:p>
                    <w:pPr>
                      <w:spacing w:before="3"/>
                      <w:ind w:left="0" w:right="0" w:firstLine="0"/>
                      <w:jc w:val="left"/>
                      <w:rPr>
                        <w:sz w:val="12"/>
                      </w:rPr>
                    </w:pPr>
                    <w:r>
                      <w:rPr>
                        <w:w w:val="105"/>
                        <w:sz w:val="12"/>
                      </w:rPr>
                      <w:t>STATIC (LCD_MODE=100)</w:t>
                    </w:r>
                  </w:p>
                </w:txbxContent>
              </v:textbox>
              <w10:wrap type="none"/>
            </v:shape>
            <v:shape style="position:absolute;left:4661;top:394;width:5262;height:322" type="#_x0000_t202" filled="false" stroked="false">
              <v:textbox inset="0,0,0,0">
                <w:txbxContent>
                  <w:p>
                    <w:pPr>
                      <w:tabs>
                        <w:tab w:pos="2813" w:val="left" w:leader="none"/>
                      </w:tabs>
                      <w:spacing w:before="3"/>
                      <w:ind w:left="0" w:right="0" w:firstLine="0"/>
                      <w:jc w:val="left"/>
                      <w:rPr>
                        <w:sz w:val="12"/>
                      </w:rPr>
                    </w:pPr>
                    <w:r>
                      <w:rPr>
                        <w:w w:val="105"/>
                        <w:sz w:val="12"/>
                      </w:rPr>
                      <w:t>1/2 BIAS, 2 STATES (LCD_MODE =</w:t>
                    </w:r>
                    <w:r>
                      <w:rPr>
                        <w:spacing w:val="30"/>
                        <w:w w:val="105"/>
                        <w:sz w:val="12"/>
                      </w:rPr>
                      <w:t> </w:t>
                    </w:r>
                    <w:r>
                      <w:rPr>
                        <w:w w:val="105"/>
                        <w:sz w:val="12"/>
                      </w:rPr>
                      <w:t>010</w:t>
                    </w:r>
                    <w:r>
                      <w:rPr>
                        <w:spacing w:val="4"/>
                        <w:w w:val="105"/>
                        <w:sz w:val="12"/>
                      </w:rPr>
                      <w:t> </w:t>
                    </w:r>
                    <w:r>
                      <w:rPr>
                        <w:w w:val="105"/>
                        <w:sz w:val="12"/>
                      </w:rPr>
                      <w:t>)</w:t>
                      <w:tab/>
                      <w:t>1/2 BIAS, 3 STATES (LCD_MODE = 011</w:t>
                    </w:r>
                    <w:r>
                      <w:rPr>
                        <w:spacing w:val="4"/>
                        <w:w w:val="105"/>
                        <w:sz w:val="12"/>
                      </w:rPr>
                      <w:t> </w:t>
                    </w:r>
                    <w:r>
                      <w:rPr>
                        <w:w w:val="105"/>
                        <w:sz w:val="12"/>
                      </w:rPr>
                      <w:t>)</w:t>
                    </w:r>
                  </w:p>
                  <w:p>
                    <w:pPr>
                      <w:tabs>
                        <w:tab w:pos="1551" w:val="left" w:leader="none"/>
                        <w:tab w:pos="3930" w:val="left" w:leader="none"/>
                        <w:tab w:pos="4219" w:val="left" w:leader="none"/>
                        <w:tab w:pos="4507" w:val="left" w:leader="none"/>
                      </w:tabs>
                      <w:spacing w:before="40"/>
                      <w:ind w:left="1261" w:right="0" w:firstLine="0"/>
                      <w:jc w:val="left"/>
                      <w:rPr>
                        <w:sz w:val="12"/>
                      </w:rPr>
                    </w:pPr>
                    <w:r>
                      <w:rPr>
                        <w:w w:val="105"/>
                        <w:sz w:val="12"/>
                      </w:rPr>
                      <w:t>0</w:t>
                      <w:tab/>
                      <w:t>1</w:t>
                      <w:tab/>
                      <w:t>0</w:t>
                      <w:tab/>
                      <w:t>1</w:t>
                      <w:tab/>
                      <w:t>2</w:t>
                    </w:r>
                  </w:p>
                </w:txbxContent>
              </v:textbox>
              <w10:wrap type="none"/>
            </v:shape>
            <v:shape style="position:absolute;left:1991;top:752;width:7713;height:2819" type="#_x0000_t202" filled="false" stroked="false">
              <v:textbox inset="0,0,0,0">
                <w:txbxContent>
                  <w:p>
                    <w:pPr>
                      <w:tabs>
                        <w:tab w:pos="3165" w:val="left" w:leader="none"/>
                        <w:tab w:pos="5834" w:val="left" w:leader="none"/>
                      </w:tabs>
                      <w:spacing w:before="3"/>
                      <w:ind w:left="496" w:right="0" w:firstLine="0"/>
                      <w:jc w:val="left"/>
                      <w:rPr>
                        <w:sz w:val="12"/>
                      </w:rPr>
                    </w:pPr>
                    <w:r>
                      <w:rPr>
                        <w:w w:val="105"/>
                        <w:sz w:val="12"/>
                      </w:rPr>
                      <w:t>COM0</w:t>
                      <w:tab/>
                      <w:t>COM0</w:t>
                      <w:tab/>
                      <w:t>COM0</w:t>
                    </w:r>
                  </w:p>
                  <w:p>
                    <w:pPr>
                      <w:spacing w:line="240" w:lineRule="auto" w:before="9"/>
                      <w:rPr>
                        <w:sz w:val="12"/>
                      </w:rPr>
                    </w:pPr>
                  </w:p>
                  <w:p>
                    <w:pPr>
                      <w:tabs>
                        <w:tab w:pos="1478" w:val="left" w:leader="none"/>
                        <w:tab w:pos="3165" w:val="left" w:leader="none"/>
                        <w:tab w:pos="5834" w:val="left" w:leader="none"/>
                      </w:tabs>
                      <w:spacing w:before="0"/>
                      <w:ind w:left="496" w:right="0" w:firstLine="0"/>
                      <w:jc w:val="left"/>
                      <w:rPr>
                        <w:sz w:val="12"/>
                      </w:rPr>
                    </w:pPr>
                    <w:r>
                      <w:rPr>
                        <w:w w:val="105"/>
                        <w:sz w:val="12"/>
                      </w:rPr>
                      <w:t>COM1</w:t>
                      <w:tab/>
                      <w:t>(1/2)</w:t>
                      <w:tab/>
                      <w:t>COM1</w:t>
                      <w:tab/>
                      <w:t>COM1</w:t>
                    </w:r>
                  </w:p>
                  <w:p>
                    <w:pPr>
                      <w:spacing w:line="240" w:lineRule="auto" w:before="9"/>
                      <w:rPr>
                        <w:sz w:val="12"/>
                      </w:rPr>
                    </w:pPr>
                  </w:p>
                  <w:p>
                    <w:pPr>
                      <w:tabs>
                        <w:tab w:pos="1478" w:val="left" w:leader="none"/>
                        <w:tab w:pos="3165" w:val="left" w:leader="none"/>
                        <w:tab w:pos="4473" w:val="left" w:leader="none"/>
                        <w:tab w:pos="5834" w:val="left" w:leader="none"/>
                      </w:tabs>
                      <w:spacing w:before="1"/>
                      <w:ind w:left="496" w:right="0" w:firstLine="0"/>
                      <w:jc w:val="left"/>
                      <w:rPr>
                        <w:sz w:val="12"/>
                      </w:rPr>
                    </w:pPr>
                    <w:r>
                      <w:rPr>
                        <w:w w:val="105"/>
                        <w:sz w:val="12"/>
                      </w:rPr>
                      <w:t>COM2</w:t>
                      <w:tab/>
                      <w:t>(1/2)</w:t>
                      <w:tab/>
                      <w:t>COM2</w:t>
                      <w:tab/>
                      <w:t>(1/2)</w:t>
                      <w:tab/>
                      <w:t>COM2</w:t>
                    </w:r>
                  </w:p>
                  <w:p>
                    <w:pPr>
                      <w:spacing w:line="240" w:lineRule="auto" w:before="9"/>
                      <w:rPr>
                        <w:sz w:val="12"/>
                      </w:rPr>
                    </w:pPr>
                  </w:p>
                  <w:p>
                    <w:pPr>
                      <w:tabs>
                        <w:tab w:pos="1478" w:val="left" w:leader="none"/>
                        <w:tab w:pos="3165" w:val="left" w:leader="none"/>
                        <w:tab w:pos="4473" w:val="left" w:leader="none"/>
                        <w:tab w:pos="5834" w:val="left" w:leader="none"/>
                        <w:tab w:pos="7429" w:val="left" w:leader="none"/>
                      </w:tabs>
                      <w:spacing w:line="496" w:lineRule="auto" w:before="0"/>
                      <w:ind w:left="496" w:right="18" w:firstLine="0"/>
                      <w:jc w:val="both"/>
                      <w:rPr>
                        <w:sz w:val="12"/>
                      </w:rPr>
                    </w:pPr>
                    <w:r>
                      <w:rPr>
                        <w:w w:val="105"/>
                        <w:sz w:val="12"/>
                      </w:rPr>
                      <w:t>COM3</w:t>
                      <w:tab/>
                      <w:t>(1/2)</w:t>
                      <w:tab/>
                      <w:t>COM3</w:t>
                      <w:tab/>
                      <w:t>(1/2)</w:t>
                      <w:tab/>
                      <w:t>COM3</w:t>
                      <w:tab/>
                    </w:r>
                    <w:r>
                      <w:rPr>
                        <w:spacing w:val="-5"/>
                        <w:w w:val="105"/>
                        <w:sz w:val="12"/>
                      </w:rPr>
                      <w:t>(1/2) </w:t>
                    </w:r>
                    <w:r>
                      <w:rPr>
                        <w:w w:val="105"/>
                        <w:sz w:val="12"/>
                      </w:rPr>
                      <w:t>COM4</w:t>
                      <w:tab/>
                      <w:t>(1/2)</w:t>
                      <w:tab/>
                      <w:t>COM4</w:t>
                      <w:tab/>
                      <w:t>(1/2)</w:t>
                      <w:tab/>
                      <w:t>COM4</w:t>
                      <w:tab/>
                    </w:r>
                    <w:r>
                      <w:rPr>
                        <w:spacing w:val="-5"/>
                        <w:w w:val="105"/>
                        <w:sz w:val="12"/>
                      </w:rPr>
                      <w:t>(1/2) </w:t>
                    </w:r>
                    <w:r>
                      <w:rPr>
                        <w:w w:val="105"/>
                        <w:sz w:val="12"/>
                      </w:rPr>
                      <w:t>COM5</w:t>
                      <w:tab/>
                      <w:t>(1/2)</w:t>
                      <w:tab/>
                      <w:t>COM5</w:t>
                      <w:tab/>
                      <w:t>(1/2)</w:t>
                      <w:tab/>
                      <w:t>COM5</w:t>
                      <w:tab/>
                    </w:r>
                    <w:r>
                      <w:rPr>
                        <w:spacing w:val="-5"/>
                        <w:w w:val="105"/>
                        <w:sz w:val="12"/>
                      </w:rPr>
                      <w:t>(1/2)</w:t>
                    </w:r>
                  </w:p>
                  <w:p>
                    <w:pPr>
                      <w:tabs>
                        <w:tab w:pos="2998" w:val="left" w:leader="none"/>
                        <w:tab w:pos="5667" w:val="left" w:leader="none"/>
                      </w:tabs>
                      <w:spacing w:line="137" w:lineRule="exact" w:before="0"/>
                      <w:ind w:left="328" w:right="0" w:firstLine="0"/>
                      <w:jc w:val="left"/>
                      <w:rPr>
                        <w:sz w:val="12"/>
                      </w:rPr>
                    </w:pPr>
                    <w:r>
                      <w:rPr>
                        <w:w w:val="105"/>
                        <w:sz w:val="12"/>
                      </w:rPr>
                      <w:t>SEG_ON</w:t>
                      <w:tab/>
                      <w:t>SEG_ON</w:t>
                      <w:tab/>
                      <w:t>SEG_ON</w:t>
                    </w:r>
                  </w:p>
                  <w:p>
                    <w:pPr>
                      <w:tabs>
                        <w:tab w:pos="2932" w:val="left" w:leader="none"/>
                        <w:tab w:pos="5602" w:val="left" w:leader="none"/>
                      </w:tabs>
                      <w:spacing w:line="280" w:lineRule="atLeast" w:before="6"/>
                      <w:ind w:left="3927" w:right="1506" w:hanging="3664"/>
                      <w:jc w:val="left"/>
                      <w:rPr>
                        <w:sz w:val="12"/>
                      </w:rPr>
                    </w:pPr>
                    <w:r>
                      <w:rPr>
                        <w:w w:val="105"/>
                        <w:sz w:val="12"/>
                      </w:rPr>
                      <w:t>SEG_OFF</w:t>
                      <w:tab/>
                      <w:t>SEG_OFF</w:t>
                      <w:tab/>
                      <w:tab/>
                    </w:r>
                    <w:r>
                      <w:rPr>
                        <w:spacing w:val="-3"/>
                        <w:w w:val="105"/>
                        <w:sz w:val="12"/>
                      </w:rPr>
                      <w:t>SEG_OFF </w:t>
                    </w:r>
                    <w:r>
                      <w:rPr>
                        <w:w w:val="105"/>
                        <w:sz w:val="12"/>
                      </w:rPr>
                      <w:t>T</w:t>
                    </w:r>
                  </w:p>
                  <w:p>
                    <w:pPr>
                      <w:tabs>
                        <w:tab w:pos="2669" w:val="left" w:leader="none"/>
                      </w:tabs>
                      <w:spacing w:before="80"/>
                      <w:ind w:left="0" w:right="0" w:firstLine="0"/>
                      <w:jc w:val="left"/>
                      <w:rPr>
                        <w:sz w:val="12"/>
                      </w:rPr>
                    </w:pPr>
                    <w:r>
                      <w:rPr>
                        <w:w w:val="105"/>
                        <w:sz w:val="12"/>
                      </w:rPr>
                      <w:t>1/3 BIAS, 3 STATES (LCD_MODE =</w:t>
                    </w:r>
                    <w:r>
                      <w:rPr>
                        <w:spacing w:val="31"/>
                        <w:w w:val="105"/>
                        <w:sz w:val="12"/>
                      </w:rPr>
                      <w:t> </w:t>
                    </w:r>
                    <w:r>
                      <w:rPr>
                        <w:w w:val="105"/>
                        <w:sz w:val="12"/>
                      </w:rPr>
                      <w:t>011</w:t>
                    </w:r>
                    <w:r>
                      <w:rPr>
                        <w:spacing w:val="4"/>
                        <w:w w:val="105"/>
                        <w:sz w:val="12"/>
                      </w:rPr>
                      <w:t> </w:t>
                    </w:r>
                    <w:r>
                      <w:rPr>
                        <w:w w:val="105"/>
                        <w:sz w:val="12"/>
                      </w:rPr>
                      <w:t>)</w:t>
                      <w:tab/>
                      <w:t>1/3 BIAS, 4 STATES (LCD_MODE = 000</w:t>
                    </w:r>
                    <w:r>
                      <w:rPr>
                        <w:spacing w:val="11"/>
                        <w:w w:val="105"/>
                        <w:sz w:val="12"/>
                      </w:rPr>
                      <w:t> </w:t>
                    </w:r>
                    <w:r>
                      <w:rPr>
                        <w:w w:val="105"/>
                        <w:sz w:val="12"/>
                      </w:rPr>
                      <w:t>)</w:t>
                    </w:r>
                  </w:p>
                  <w:p>
                    <w:pPr>
                      <w:tabs>
                        <w:tab w:pos="1551" w:val="left" w:leader="none"/>
                        <w:tab w:pos="1840" w:val="left" w:leader="none"/>
                        <w:tab w:pos="3930" w:val="left" w:leader="none"/>
                        <w:tab w:pos="4221" w:val="left" w:leader="none"/>
                        <w:tab w:pos="4509" w:val="left" w:leader="none"/>
                        <w:tab w:pos="4798" w:val="left" w:leader="none"/>
                      </w:tabs>
                      <w:spacing w:before="41"/>
                      <w:ind w:left="1263" w:right="0" w:firstLine="0"/>
                      <w:jc w:val="left"/>
                      <w:rPr>
                        <w:sz w:val="12"/>
                      </w:rPr>
                    </w:pPr>
                    <w:r>
                      <w:rPr>
                        <w:w w:val="105"/>
                        <w:sz w:val="12"/>
                      </w:rPr>
                      <w:t>0</w:t>
                      <w:tab/>
                      <w:t>1</w:t>
                      <w:tab/>
                      <w:t>2</w:t>
                      <w:tab/>
                      <w:t>0</w:t>
                      <w:tab/>
                      <w:t>1</w:t>
                      <w:tab/>
                      <w:t>2</w:t>
                      <w:tab/>
                      <w:t>3</w:t>
                    </w:r>
                  </w:p>
                </w:txbxContent>
              </v:textbox>
              <w10:wrap type="none"/>
            </v:shape>
            <v:shape style="position:absolute;left:2487;top:3607;width:3058;height:143" type="#_x0000_t202" filled="false" stroked="false">
              <v:textbox inset="0,0,0,0">
                <w:txbxContent>
                  <w:p>
                    <w:pPr>
                      <w:tabs>
                        <w:tab w:pos="2669" w:val="left" w:leader="none"/>
                      </w:tabs>
                      <w:spacing w:before="3"/>
                      <w:ind w:left="0" w:right="0" w:firstLine="0"/>
                      <w:jc w:val="left"/>
                      <w:rPr>
                        <w:sz w:val="12"/>
                      </w:rPr>
                    </w:pPr>
                    <w:r>
                      <w:rPr>
                        <w:w w:val="105"/>
                        <w:sz w:val="12"/>
                      </w:rPr>
                      <w:t>COM0</w:t>
                      <w:tab/>
                      <w:t>COM0</w:t>
                    </w:r>
                  </w:p>
                </w:txbxContent>
              </v:textbox>
              <w10:wrap type="none"/>
            </v:shape>
            <v:shape style="position:absolute;left:7797;top:3249;width:2448;height:501" type="#_x0000_t202" filled="false" stroked="false">
              <v:textbox inset="0,0,0,0">
                <w:txbxContent>
                  <w:p>
                    <w:pPr>
                      <w:spacing w:before="3"/>
                      <w:ind w:left="0" w:right="0" w:firstLine="0"/>
                      <w:jc w:val="left"/>
                      <w:rPr>
                        <w:sz w:val="12"/>
                      </w:rPr>
                    </w:pPr>
                    <w:r>
                      <w:rPr>
                        <w:w w:val="105"/>
                        <w:sz w:val="12"/>
                      </w:rPr>
                      <w:t>1/3 BIAS, 6 STATES (LCD_MODE = 110 )</w:t>
                    </w:r>
                  </w:p>
                  <w:p>
                    <w:pPr>
                      <w:tabs>
                        <w:tab w:pos="1082" w:val="left" w:leader="none"/>
                        <w:tab w:pos="1371" w:val="left" w:leader="none"/>
                        <w:tab w:pos="1659" w:val="left" w:leader="none"/>
                        <w:tab w:pos="1948" w:val="left" w:leader="none"/>
                        <w:tab w:pos="2236" w:val="left" w:leader="none"/>
                      </w:tabs>
                      <w:spacing w:before="40"/>
                      <w:ind w:left="794" w:right="0" w:firstLine="0"/>
                      <w:jc w:val="left"/>
                      <w:rPr>
                        <w:sz w:val="12"/>
                      </w:rPr>
                    </w:pPr>
                    <w:r>
                      <w:rPr>
                        <w:w w:val="105"/>
                        <w:sz w:val="12"/>
                      </w:rPr>
                      <w:t>0</w:t>
                      <w:tab/>
                      <w:t>1</w:t>
                      <w:tab/>
                      <w:t>2</w:t>
                      <w:tab/>
                      <w:t>3</w:t>
                      <w:tab/>
                      <w:t>4</w:t>
                      <w:tab/>
                      <w:t>5</w:t>
                    </w:r>
                  </w:p>
                  <w:p>
                    <w:pPr>
                      <w:spacing w:before="41"/>
                      <w:ind w:left="28" w:right="0" w:firstLine="0"/>
                      <w:jc w:val="left"/>
                      <w:rPr>
                        <w:sz w:val="12"/>
                      </w:rPr>
                    </w:pPr>
                    <w:r>
                      <w:rPr>
                        <w:w w:val="105"/>
                        <w:sz w:val="12"/>
                      </w:rPr>
                      <w:t>COM0</w:t>
                    </w:r>
                  </w:p>
                </w:txbxContent>
              </v:textbox>
              <w10:wrap type="none"/>
            </v:shape>
            <v:shape style="position:absolute;left:2487;top:3892;width:5727;height:428" type="#_x0000_t202" filled="false" stroked="false">
              <v:textbox inset="0,0,0,0">
                <w:txbxContent>
                  <w:p>
                    <w:pPr>
                      <w:tabs>
                        <w:tab w:pos="2669" w:val="left" w:leader="none"/>
                        <w:tab w:pos="5338" w:val="left" w:leader="none"/>
                      </w:tabs>
                      <w:spacing w:before="3"/>
                      <w:ind w:left="0" w:right="0" w:firstLine="0"/>
                      <w:jc w:val="left"/>
                      <w:rPr>
                        <w:sz w:val="12"/>
                      </w:rPr>
                    </w:pPr>
                    <w:r>
                      <w:rPr>
                        <w:w w:val="105"/>
                        <w:sz w:val="12"/>
                      </w:rPr>
                      <w:t>COM1</w:t>
                      <w:tab/>
                      <w:t>COM1</w:t>
                      <w:tab/>
                      <w:t>COM1</w:t>
                    </w:r>
                  </w:p>
                  <w:p>
                    <w:pPr>
                      <w:spacing w:line="240" w:lineRule="auto" w:before="9"/>
                      <w:rPr>
                        <w:sz w:val="12"/>
                      </w:rPr>
                    </w:pPr>
                  </w:p>
                  <w:p>
                    <w:pPr>
                      <w:tabs>
                        <w:tab w:pos="2669" w:val="left" w:leader="none"/>
                        <w:tab w:pos="5338" w:val="left" w:leader="none"/>
                      </w:tabs>
                      <w:spacing w:before="0"/>
                      <w:ind w:left="0" w:right="0" w:firstLine="0"/>
                      <w:jc w:val="left"/>
                      <w:rPr>
                        <w:sz w:val="12"/>
                      </w:rPr>
                    </w:pPr>
                    <w:r>
                      <w:rPr>
                        <w:w w:val="105"/>
                        <w:sz w:val="12"/>
                      </w:rPr>
                      <w:t>COM2</w:t>
                      <w:tab/>
                      <w:t>COM2</w:t>
                      <w:tab/>
                      <w:t>COM2</w:t>
                    </w:r>
                  </w:p>
                </w:txbxContent>
              </v:textbox>
              <w10:wrap type="none"/>
            </v:shape>
            <v:shape style="position:absolute;left:2487;top:4463;width:389;height:143" type="#_x0000_t202" filled="false" stroked="false">
              <v:textbox inset="0,0,0,0">
                <w:txbxContent>
                  <w:p>
                    <w:pPr>
                      <w:spacing w:before="3"/>
                      <w:ind w:left="0" w:right="0" w:firstLine="0"/>
                      <w:jc w:val="left"/>
                      <w:rPr>
                        <w:sz w:val="12"/>
                      </w:rPr>
                    </w:pPr>
                    <w:r>
                      <w:rPr>
                        <w:w w:val="105"/>
                        <w:sz w:val="12"/>
                      </w:rPr>
                      <w:t>COM3</w:t>
                    </w:r>
                  </w:p>
                </w:txbxContent>
              </v:textbox>
              <w10:wrap type="none"/>
            </v:shape>
            <v:shape style="position:absolute;left:4047;top:4391;width:284;height:286" type="#_x0000_t202" filled="false" stroked="false">
              <v:textbox inset="0,0,0,0">
                <w:txbxContent>
                  <w:p>
                    <w:pPr>
                      <w:spacing w:before="3"/>
                      <w:ind w:left="0" w:right="0" w:firstLine="0"/>
                      <w:jc w:val="left"/>
                      <w:rPr>
                        <w:sz w:val="12"/>
                      </w:rPr>
                    </w:pPr>
                    <w:r>
                      <w:rPr>
                        <w:w w:val="105"/>
                        <w:sz w:val="12"/>
                      </w:rPr>
                      <w:t>(2/3)</w:t>
                    </w:r>
                  </w:p>
                  <w:p>
                    <w:pPr>
                      <w:spacing w:before="4"/>
                      <w:ind w:left="0" w:right="0" w:firstLine="0"/>
                      <w:jc w:val="left"/>
                      <w:rPr>
                        <w:sz w:val="12"/>
                      </w:rPr>
                    </w:pPr>
                    <w:r>
                      <w:rPr>
                        <w:w w:val="105"/>
                        <w:sz w:val="12"/>
                      </w:rPr>
                      <w:t>(1/3)</w:t>
                    </w:r>
                  </w:p>
                </w:txbxContent>
              </v:textbox>
              <w10:wrap type="none"/>
            </v:shape>
            <v:shape style="position:absolute;left:5157;top:4463;width:389;height:143" type="#_x0000_t202" filled="false" stroked="false">
              <v:textbox inset="0,0,0,0">
                <w:txbxContent>
                  <w:p>
                    <w:pPr>
                      <w:spacing w:before="3"/>
                      <w:ind w:left="0" w:right="0" w:firstLine="0"/>
                      <w:jc w:val="left"/>
                      <w:rPr>
                        <w:sz w:val="12"/>
                      </w:rPr>
                    </w:pPr>
                    <w:r>
                      <w:rPr>
                        <w:w w:val="105"/>
                        <w:sz w:val="12"/>
                      </w:rPr>
                      <w:t>COM3</w:t>
                    </w:r>
                  </w:p>
                </w:txbxContent>
              </v:textbox>
              <w10:wrap type="none"/>
            </v:shape>
            <v:shape style="position:absolute;left:7826;top:4463;width:389;height:143" type="#_x0000_t202" filled="false" stroked="false">
              <v:textbox inset="0,0,0,0">
                <w:txbxContent>
                  <w:p>
                    <w:pPr>
                      <w:spacing w:before="3"/>
                      <w:ind w:left="0" w:right="0" w:firstLine="0"/>
                      <w:jc w:val="left"/>
                      <w:rPr>
                        <w:sz w:val="12"/>
                      </w:rPr>
                    </w:pPr>
                    <w:r>
                      <w:rPr>
                        <w:w w:val="105"/>
                        <w:sz w:val="12"/>
                      </w:rPr>
                      <w:t>COM3</w:t>
                    </w:r>
                  </w:p>
                </w:txbxContent>
              </v:textbox>
              <w10:wrap type="none"/>
            </v:shape>
            <v:shape style="position:absolute;left:2255;top:4749;width:5962;height:999" type="#_x0000_t202" filled="false" stroked="false">
              <v:textbox inset="0,0,0,0">
                <w:txbxContent>
                  <w:p>
                    <w:pPr>
                      <w:tabs>
                        <w:tab w:pos="2669" w:val="left" w:leader="none"/>
                        <w:tab w:pos="5338" w:val="left" w:leader="none"/>
                      </w:tabs>
                      <w:spacing w:before="3"/>
                      <w:ind w:left="0" w:right="19" w:firstLine="0"/>
                      <w:jc w:val="right"/>
                      <w:rPr>
                        <w:sz w:val="12"/>
                      </w:rPr>
                    </w:pPr>
                    <w:r>
                      <w:rPr>
                        <w:w w:val="105"/>
                        <w:sz w:val="12"/>
                      </w:rPr>
                      <w:t>COM4</w:t>
                      <w:tab/>
                      <w:t>COM4</w:t>
                      <w:tab/>
                    </w:r>
                    <w:r>
                      <w:rPr>
                        <w:spacing w:val="-2"/>
                        <w:w w:val="105"/>
                        <w:sz w:val="12"/>
                      </w:rPr>
                      <w:t>COM4</w:t>
                    </w:r>
                  </w:p>
                  <w:p>
                    <w:pPr>
                      <w:spacing w:line="240" w:lineRule="auto" w:before="9"/>
                      <w:rPr>
                        <w:sz w:val="12"/>
                      </w:rPr>
                    </w:pPr>
                  </w:p>
                  <w:p>
                    <w:pPr>
                      <w:tabs>
                        <w:tab w:pos="2669" w:val="left" w:leader="none"/>
                        <w:tab w:pos="5338" w:val="left" w:leader="none"/>
                      </w:tabs>
                      <w:spacing w:before="0"/>
                      <w:ind w:left="0" w:right="19" w:firstLine="0"/>
                      <w:jc w:val="right"/>
                      <w:rPr>
                        <w:sz w:val="12"/>
                      </w:rPr>
                    </w:pPr>
                    <w:r>
                      <w:rPr>
                        <w:w w:val="105"/>
                        <w:sz w:val="12"/>
                      </w:rPr>
                      <w:t>COM5</w:t>
                      <w:tab/>
                      <w:t>COM5</w:t>
                      <w:tab/>
                    </w:r>
                    <w:r>
                      <w:rPr>
                        <w:spacing w:val="-2"/>
                        <w:w w:val="105"/>
                        <w:sz w:val="12"/>
                      </w:rPr>
                      <w:t>COM5</w:t>
                    </w:r>
                  </w:p>
                  <w:p>
                    <w:pPr>
                      <w:spacing w:line="240" w:lineRule="auto" w:before="9"/>
                      <w:rPr>
                        <w:sz w:val="12"/>
                      </w:rPr>
                    </w:pPr>
                  </w:p>
                  <w:p>
                    <w:pPr>
                      <w:tabs>
                        <w:tab w:pos="2669" w:val="left" w:leader="none"/>
                        <w:tab w:pos="5338" w:val="left" w:leader="none"/>
                      </w:tabs>
                      <w:spacing w:before="1"/>
                      <w:ind w:left="0" w:right="18" w:firstLine="0"/>
                      <w:jc w:val="right"/>
                      <w:rPr>
                        <w:sz w:val="12"/>
                      </w:rPr>
                    </w:pPr>
                    <w:r>
                      <w:rPr>
                        <w:w w:val="105"/>
                        <w:sz w:val="12"/>
                      </w:rPr>
                      <w:t>SEG_ON</w:t>
                      <w:tab/>
                      <w:t>SEG_ON</w:t>
                      <w:tab/>
                    </w:r>
                    <w:r>
                      <w:rPr>
                        <w:spacing w:val="-1"/>
                        <w:w w:val="105"/>
                        <w:sz w:val="12"/>
                      </w:rPr>
                      <w:t>SEG_ON</w:t>
                    </w:r>
                  </w:p>
                  <w:p>
                    <w:pPr>
                      <w:spacing w:line="240" w:lineRule="auto" w:before="9"/>
                      <w:rPr>
                        <w:sz w:val="12"/>
                      </w:rPr>
                    </w:pPr>
                  </w:p>
                  <w:p>
                    <w:pPr>
                      <w:tabs>
                        <w:tab w:pos="2669" w:val="left" w:leader="none"/>
                        <w:tab w:pos="5338" w:val="left" w:leader="none"/>
                      </w:tabs>
                      <w:spacing w:before="0"/>
                      <w:ind w:left="0" w:right="18" w:firstLine="0"/>
                      <w:jc w:val="right"/>
                      <w:rPr>
                        <w:sz w:val="12"/>
                      </w:rPr>
                    </w:pPr>
                    <w:r>
                      <w:rPr>
                        <w:w w:val="105"/>
                        <w:sz w:val="12"/>
                      </w:rPr>
                      <w:t>SEG_OFF</w:t>
                      <w:tab/>
                      <w:t>SEG_OFF</w:t>
                      <w:tab/>
                    </w:r>
                    <w:r>
                      <w:rPr>
                        <w:spacing w:val="-3"/>
                        <w:w w:val="105"/>
                        <w:sz w:val="12"/>
                      </w:rPr>
                      <w:t>SEG_OFF</w:t>
                    </w:r>
                  </w:p>
                </w:txbxContent>
              </v:textbox>
              <w10:wrap type="none"/>
            </v:shape>
            <w10:wrap type="topAndBottom"/>
          </v:group>
        </w:pict>
      </w:r>
    </w:p>
    <w:p>
      <w:pPr>
        <w:spacing w:before="93"/>
        <w:ind w:left="65" w:right="204" w:firstLine="0"/>
        <w:jc w:val="center"/>
        <w:rPr>
          <w:b/>
          <w:sz w:val="20"/>
        </w:rPr>
      </w:pPr>
      <w:bookmarkStart w:name="_bookmark128" w:id="259"/>
      <w:bookmarkEnd w:id="259"/>
      <w:r>
        <w:rPr/>
      </w:r>
      <w:r>
        <w:rPr>
          <w:b/>
          <w:sz w:val="20"/>
        </w:rPr>
        <w:t>Figure 17: LCD Waveforms</w:t>
      </w:r>
    </w:p>
    <w:p>
      <w:pPr>
        <w:pStyle w:val="BodyText"/>
        <w:spacing w:before="3"/>
        <w:rPr>
          <w:b/>
          <w:sz w:val="19"/>
        </w:rPr>
      </w:pPr>
    </w:p>
    <w:p>
      <w:pPr>
        <w:pStyle w:val="BodyText"/>
        <w:spacing w:line="223" w:lineRule="auto"/>
        <w:ind w:left="239" w:right="401"/>
      </w:pPr>
      <w:r>
        <w:rPr/>
        <w:t>SEG46 through SEG50 cannot be configured as DIO pins. Display data for these pins are written to I/O RAM registers </w:t>
      </w:r>
      <w:r>
        <w:rPr>
          <w:rFonts w:ascii="Times New Roman"/>
          <w:i/>
        </w:rPr>
        <w:t>LCD_SEG46[5:0] </w:t>
      </w:r>
      <w:r>
        <w:rPr/>
        <w:t>through </w:t>
      </w:r>
      <w:r>
        <w:rPr>
          <w:rFonts w:ascii="Times New Roman"/>
          <w:i/>
        </w:rPr>
        <w:t>LCD_SEG50[5:0] </w:t>
      </w:r>
      <w:r>
        <w:rPr/>
        <w:t>(see </w:t>
      </w:r>
      <w:hyperlink w:history="true" w:anchor="_bookmark129">
        <w:r>
          <w:rPr>
            <w:color w:val="0000FF"/>
          </w:rPr>
          <w:t>Table 53</w:t>
        </w:r>
      </w:hyperlink>
      <w:r>
        <w:rPr>
          <w:color w:val="0000FF"/>
        </w:rPr>
        <w:t>)</w:t>
      </w:r>
      <w:r>
        <w:rPr/>
        <w:t>.</w:t>
      </w:r>
    </w:p>
    <w:p>
      <w:pPr>
        <w:pStyle w:val="BodyText"/>
        <w:spacing w:before="6"/>
        <w:rPr>
          <w:sz w:val="18"/>
        </w:rPr>
      </w:pPr>
    </w:p>
    <w:p>
      <w:pPr>
        <w:pStyle w:val="Heading1"/>
        <w:spacing w:before="1"/>
        <w:ind w:right="204"/>
      </w:pPr>
      <w:bookmarkStart w:name="_bookmark129" w:id="260"/>
      <w:bookmarkEnd w:id="260"/>
      <w:r>
        <w:rPr>
          <w:b w:val="0"/>
        </w:rPr>
      </w:r>
      <w:r>
        <w:rPr/>
        <w:t>Table 53: LCD Data Registers for SEGDIO46 to SEGDIO55</w:t>
      </w:r>
    </w:p>
    <w:p>
      <w:pPr>
        <w:pStyle w:val="BodyText"/>
        <w:spacing w:before="3"/>
        <w:rPr>
          <w:b/>
          <w:sz w:val="5"/>
        </w:rPr>
      </w:pPr>
    </w:p>
    <w:tbl>
      <w:tblPr>
        <w:tblW w:w="0" w:type="auto"/>
        <w:jc w:val="left"/>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6"/>
        <w:gridCol w:w="543"/>
        <w:gridCol w:w="545"/>
        <w:gridCol w:w="545"/>
        <w:gridCol w:w="543"/>
        <w:gridCol w:w="545"/>
        <w:gridCol w:w="564"/>
        <w:gridCol w:w="562"/>
        <w:gridCol w:w="564"/>
        <w:gridCol w:w="562"/>
        <w:gridCol w:w="564"/>
      </w:tblGrid>
      <w:tr>
        <w:trPr>
          <w:trHeight w:val="297" w:hRule="atLeast"/>
        </w:trPr>
        <w:tc>
          <w:tcPr>
            <w:tcW w:w="1666" w:type="dxa"/>
          </w:tcPr>
          <w:p>
            <w:pPr>
              <w:pStyle w:val="TableParagraph"/>
              <w:spacing w:before="26"/>
              <w:ind w:left="443"/>
              <w:rPr>
                <w:b/>
                <w:sz w:val="20"/>
              </w:rPr>
            </w:pPr>
            <w:r>
              <w:rPr>
                <w:b/>
                <w:sz w:val="20"/>
              </w:rPr>
              <w:t>SEGDIO</w:t>
            </w:r>
          </w:p>
        </w:tc>
        <w:tc>
          <w:tcPr>
            <w:tcW w:w="543" w:type="dxa"/>
          </w:tcPr>
          <w:p>
            <w:pPr>
              <w:pStyle w:val="TableParagraph"/>
              <w:spacing w:before="26"/>
              <w:ind w:left="139" w:right="131"/>
              <w:jc w:val="center"/>
              <w:rPr>
                <w:b/>
                <w:sz w:val="20"/>
              </w:rPr>
            </w:pPr>
            <w:r>
              <w:rPr>
                <w:b/>
                <w:sz w:val="20"/>
              </w:rPr>
              <w:t>46</w:t>
            </w:r>
          </w:p>
        </w:tc>
        <w:tc>
          <w:tcPr>
            <w:tcW w:w="545" w:type="dxa"/>
          </w:tcPr>
          <w:p>
            <w:pPr>
              <w:pStyle w:val="TableParagraph"/>
              <w:spacing w:before="26"/>
              <w:ind w:left="137" w:right="133"/>
              <w:jc w:val="center"/>
              <w:rPr>
                <w:b/>
                <w:sz w:val="20"/>
              </w:rPr>
            </w:pPr>
            <w:r>
              <w:rPr>
                <w:b/>
                <w:sz w:val="20"/>
              </w:rPr>
              <w:t>47</w:t>
            </w:r>
          </w:p>
        </w:tc>
        <w:tc>
          <w:tcPr>
            <w:tcW w:w="545" w:type="dxa"/>
          </w:tcPr>
          <w:p>
            <w:pPr>
              <w:pStyle w:val="TableParagraph"/>
              <w:spacing w:before="26"/>
              <w:ind w:left="137" w:right="133"/>
              <w:jc w:val="center"/>
              <w:rPr>
                <w:b/>
                <w:sz w:val="20"/>
              </w:rPr>
            </w:pPr>
            <w:r>
              <w:rPr>
                <w:b/>
                <w:sz w:val="20"/>
              </w:rPr>
              <w:t>48</w:t>
            </w:r>
          </w:p>
        </w:tc>
        <w:tc>
          <w:tcPr>
            <w:tcW w:w="543" w:type="dxa"/>
          </w:tcPr>
          <w:p>
            <w:pPr>
              <w:pStyle w:val="TableParagraph"/>
              <w:spacing w:before="26"/>
              <w:ind w:left="163"/>
              <w:rPr>
                <w:b/>
                <w:sz w:val="20"/>
              </w:rPr>
            </w:pPr>
            <w:r>
              <w:rPr>
                <w:b/>
                <w:sz w:val="20"/>
              </w:rPr>
              <w:t>49</w:t>
            </w:r>
          </w:p>
        </w:tc>
        <w:tc>
          <w:tcPr>
            <w:tcW w:w="545" w:type="dxa"/>
          </w:tcPr>
          <w:p>
            <w:pPr>
              <w:pStyle w:val="TableParagraph"/>
              <w:spacing w:before="26"/>
              <w:ind w:left="136" w:right="134"/>
              <w:jc w:val="center"/>
              <w:rPr>
                <w:b/>
                <w:sz w:val="20"/>
              </w:rPr>
            </w:pPr>
            <w:r>
              <w:rPr>
                <w:b/>
                <w:sz w:val="20"/>
              </w:rPr>
              <w:t>50</w:t>
            </w:r>
          </w:p>
        </w:tc>
        <w:tc>
          <w:tcPr>
            <w:tcW w:w="564" w:type="dxa"/>
          </w:tcPr>
          <w:p>
            <w:pPr>
              <w:pStyle w:val="TableParagraph"/>
              <w:spacing w:before="26"/>
              <w:ind w:left="146" w:right="144"/>
              <w:jc w:val="center"/>
              <w:rPr>
                <w:b/>
                <w:sz w:val="20"/>
              </w:rPr>
            </w:pPr>
            <w:r>
              <w:rPr>
                <w:b/>
                <w:sz w:val="20"/>
              </w:rPr>
              <w:t>51</w:t>
            </w:r>
          </w:p>
        </w:tc>
        <w:tc>
          <w:tcPr>
            <w:tcW w:w="562" w:type="dxa"/>
          </w:tcPr>
          <w:p>
            <w:pPr>
              <w:pStyle w:val="TableParagraph"/>
              <w:spacing w:before="26"/>
              <w:ind w:left="146" w:right="142"/>
              <w:jc w:val="center"/>
              <w:rPr>
                <w:b/>
                <w:sz w:val="20"/>
              </w:rPr>
            </w:pPr>
            <w:r>
              <w:rPr>
                <w:b/>
                <w:sz w:val="20"/>
              </w:rPr>
              <w:t>52</w:t>
            </w:r>
          </w:p>
        </w:tc>
        <w:tc>
          <w:tcPr>
            <w:tcW w:w="564" w:type="dxa"/>
          </w:tcPr>
          <w:p>
            <w:pPr>
              <w:pStyle w:val="TableParagraph"/>
              <w:spacing w:before="26"/>
              <w:ind w:right="163"/>
              <w:jc w:val="right"/>
              <w:rPr>
                <w:b/>
                <w:sz w:val="20"/>
              </w:rPr>
            </w:pPr>
            <w:r>
              <w:rPr>
                <w:b/>
                <w:w w:val="95"/>
                <w:sz w:val="20"/>
              </w:rPr>
              <w:t>53</w:t>
            </w:r>
          </w:p>
        </w:tc>
        <w:tc>
          <w:tcPr>
            <w:tcW w:w="562" w:type="dxa"/>
          </w:tcPr>
          <w:p>
            <w:pPr>
              <w:pStyle w:val="TableParagraph"/>
              <w:spacing w:before="26"/>
              <w:ind w:right="161"/>
              <w:jc w:val="right"/>
              <w:rPr>
                <w:b/>
                <w:sz w:val="20"/>
              </w:rPr>
            </w:pPr>
            <w:r>
              <w:rPr>
                <w:b/>
                <w:w w:val="95"/>
                <w:sz w:val="20"/>
              </w:rPr>
              <w:t>54</w:t>
            </w:r>
          </w:p>
        </w:tc>
        <w:tc>
          <w:tcPr>
            <w:tcW w:w="564" w:type="dxa"/>
          </w:tcPr>
          <w:p>
            <w:pPr>
              <w:pStyle w:val="TableParagraph"/>
              <w:spacing w:before="26"/>
              <w:ind w:left="145" w:right="144"/>
              <w:jc w:val="center"/>
              <w:rPr>
                <w:b/>
                <w:sz w:val="20"/>
              </w:rPr>
            </w:pPr>
            <w:r>
              <w:rPr>
                <w:b/>
                <w:sz w:val="20"/>
              </w:rPr>
              <w:t>55</w:t>
            </w:r>
          </w:p>
        </w:tc>
      </w:tr>
      <w:tr>
        <w:trPr>
          <w:trHeight w:val="299" w:hRule="atLeast"/>
        </w:trPr>
        <w:tc>
          <w:tcPr>
            <w:tcW w:w="1666" w:type="dxa"/>
            <w:tcBorders>
              <w:bottom w:val="double" w:sz="1" w:space="0" w:color="000000"/>
            </w:tcBorders>
          </w:tcPr>
          <w:p>
            <w:pPr>
              <w:pStyle w:val="TableParagraph"/>
              <w:spacing w:before="26"/>
              <w:ind w:left="571" w:right="567"/>
              <w:jc w:val="center"/>
              <w:rPr>
                <w:b/>
                <w:sz w:val="20"/>
              </w:rPr>
            </w:pPr>
            <w:r>
              <w:rPr>
                <w:b/>
                <w:sz w:val="20"/>
              </w:rPr>
              <w:t>Pin #</w:t>
            </w:r>
          </w:p>
        </w:tc>
        <w:tc>
          <w:tcPr>
            <w:tcW w:w="543" w:type="dxa"/>
            <w:tcBorders>
              <w:bottom w:val="double" w:sz="1" w:space="0" w:color="000000"/>
            </w:tcBorders>
          </w:tcPr>
          <w:p>
            <w:pPr>
              <w:pStyle w:val="TableParagraph"/>
              <w:spacing w:before="37"/>
              <w:ind w:left="139" w:right="126"/>
              <w:jc w:val="center"/>
              <w:rPr>
                <w:b/>
                <w:sz w:val="18"/>
              </w:rPr>
            </w:pPr>
            <w:r>
              <w:rPr>
                <w:b/>
                <w:sz w:val="18"/>
              </w:rPr>
              <w:t>93</w:t>
            </w:r>
          </w:p>
        </w:tc>
        <w:tc>
          <w:tcPr>
            <w:tcW w:w="545" w:type="dxa"/>
            <w:tcBorders>
              <w:bottom w:val="double" w:sz="1" w:space="0" w:color="000000"/>
            </w:tcBorders>
          </w:tcPr>
          <w:p>
            <w:pPr>
              <w:pStyle w:val="TableParagraph"/>
              <w:spacing w:before="37"/>
              <w:ind w:left="137" w:right="127"/>
              <w:jc w:val="center"/>
              <w:rPr>
                <w:b/>
                <w:sz w:val="18"/>
              </w:rPr>
            </w:pPr>
            <w:r>
              <w:rPr>
                <w:b/>
                <w:sz w:val="18"/>
              </w:rPr>
              <w:t>92</w:t>
            </w:r>
          </w:p>
        </w:tc>
        <w:tc>
          <w:tcPr>
            <w:tcW w:w="545" w:type="dxa"/>
            <w:tcBorders>
              <w:bottom w:val="double" w:sz="1" w:space="0" w:color="000000"/>
            </w:tcBorders>
          </w:tcPr>
          <w:p>
            <w:pPr>
              <w:pStyle w:val="TableParagraph"/>
              <w:spacing w:before="37"/>
              <w:ind w:left="137" w:right="128"/>
              <w:jc w:val="center"/>
              <w:rPr>
                <w:b/>
                <w:sz w:val="18"/>
              </w:rPr>
            </w:pPr>
            <w:r>
              <w:rPr>
                <w:b/>
                <w:sz w:val="18"/>
              </w:rPr>
              <w:t>58</w:t>
            </w:r>
          </w:p>
        </w:tc>
        <w:tc>
          <w:tcPr>
            <w:tcW w:w="543" w:type="dxa"/>
            <w:tcBorders>
              <w:bottom w:val="double" w:sz="1" w:space="0" w:color="000000"/>
            </w:tcBorders>
          </w:tcPr>
          <w:p>
            <w:pPr>
              <w:pStyle w:val="TableParagraph"/>
              <w:spacing w:before="37"/>
              <w:ind w:left="173"/>
              <w:rPr>
                <w:b/>
                <w:sz w:val="18"/>
              </w:rPr>
            </w:pPr>
            <w:r>
              <w:rPr>
                <w:b/>
                <w:sz w:val="18"/>
              </w:rPr>
              <w:t>57</w:t>
            </w:r>
          </w:p>
        </w:tc>
        <w:tc>
          <w:tcPr>
            <w:tcW w:w="545" w:type="dxa"/>
            <w:tcBorders>
              <w:bottom w:val="double" w:sz="1" w:space="0" w:color="000000"/>
            </w:tcBorders>
          </w:tcPr>
          <w:p>
            <w:pPr>
              <w:pStyle w:val="TableParagraph"/>
              <w:spacing w:before="37"/>
              <w:ind w:left="137" w:right="129"/>
              <w:jc w:val="center"/>
              <w:rPr>
                <w:b/>
                <w:sz w:val="18"/>
              </w:rPr>
            </w:pPr>
            <w:r>
              <w:rPr>
                <w:b/>
                <w:sz w:val="18"/>
              </w:rPr>
              <w:t>56</w:t>
            </w:r>
          </w:p>
        </w:tc>
        <w:tc>
          <w:tcPr>
            <w:tcW w:w="564" w:type="dxa"/>
            <w:tcBorders>
              <w:bottom w:val="double" w:sz="1" w:space="0" w:color="000000"/>
            </w:tcBorders>
          </w:tcPr>
          <w:p>
            <w:pPr>
              <w:pStyle w:val="TableParagraph"/>
              <w:spacing w:before="25"/>
              <w:ind w:left="146" w:right="139"/>
              <w:jc w:val="center"/>
              <w:rPr>
                <w:b/>
                <w:sz w:val="18"/>
              </w:rPr>
            </w:pPr>
            <w:r>
              <w:rPr>
                <w:b/>
                <w:sz w:val="18"/>
              </w:rPr>
              <w:t>53</w:t>
            </w:r>
          </w:p>
        </w:tc>
        <w:tc>
          <w:tcPr>
            <w:tcW w:w="562" w:type="dxa"/>
            <w:tcBorders>
              <w:bottom w:val="double" w:sz="1" w:space="0" w:color="000000"/>
            </w:tcBorders>
          </w:tcPr>
          <w:p>
            <w:pPr>
              <w:pStyle w:val="TableParagraph"/>
              <w:spacing w:before="25"/>
              <w:ind w:left="146" w:right="137"/>
              <w:jc w:val="center"/>
              <w:rPr>
                <w:b/>
                <w:sz w:val="18"/>
              </w:rPr>
            </w:pPr>
            <w:r>
              <w:rPr>
                <w:b/>
                <w:sz w:val="18"/>
              </w:rPr>
              <w:t>52</w:t>
            </w:r>
          </w:p>
        </w:tc>
        <w:tc>
          <w:tcPr>
            <w:tcW w:w="564" w:type="dxa"/>
            <w:tcBorders>
              <w:bottom w:val="double" w:sz="1" w:space="0" w:color="000000"/>
            </w:tcBorders>
          </w:tcPr>
          <w:p>
            <w:pPr>
              <w:pStyle w:val="TableParagraph"/>
              <w:spacing w:before="25"/>
              <w:ind w:right="170"/>
              <w:jc w:val="right"/>
              <w:rPr>
                <w:b/>
                <w:sz w:val="18"/>
              </w:rPr>
            </w:pPr>
            <w:r>
              <w:rPr>
                <w:b/>
                <w:sz w:val="18"/>
              </w:rPr>
              <w:t>51</w:t>
            </w:r>
          </w:p>
        </w:tc>
        <w:tc>
          <w:tcPr>
            <w:tcW w:w="562" w:type="dxa"/>
            <w:tcBorders>
              <w:bottom w:val="double" w:sz="1" w:space="0" w:color="000000"/>
            </w:tcBorders>
          </w:tcPr>
          <w:p>
            <w:pPr>
              <w:pStyle w:val="TableParagraph"/>
              <w:spacing w:before="25"/>
              <w:ind w:right="168"/>
              <w:jc w:val="right"/>
              <w:rPr>
                <w:b/>
                <w:sz w:val="18"/>
              </w:rPr>
            </w:pPr>
            <w:r>
              <w:rPr>
                <w:b/>
                <w:sz w:val="18"/>
              </w:rPr>
              <w:t>47</w:t>
            </w:r>
          </w:p>
        </w:tc>
        <w:tc>
          <w:tcPr>
            <w:tcW w:w="564" w:type="dxa"/>
            <w:tcBorders>
              <w:bottom w:val="double" w:sz="1" w:space="0" w:color="000000"/>
            </w:tcBorders>
          </w:tcPr>
          <w:p>
            <w:pPr>
              <w:pStyle w:val="TableParagraph"/>
              <w:spacing w:before="25"/>
              <w:ind w:left="146" w:right="140"/>
              <w:jc w:val="center"/>
              <w:rPr>
                <w:b/>
                <w:sz w:val="18"/>
              </w:rPr>
            </w:pPr>
            <w:r>
              <w:rPr>
                <w:b/>
                <w:sz w:val="18"/>
              </w:rPr>
              <w:t>46</w:t>
            </w:r>
          </w:p>
        </w:tc>
      </w:tr>
      <w:tr>
        <w:trPr>
          <w:trHeight w:val="327" w:hRule="atLeast"/>
        </w:trPr>
        <w:tc>
          <w:tcPr>
            <w:tcW w:w="1666" w:type="dxa"/>
            <w:tcBorders>
              <w:top w:val="double" w:sz="1" w:space="0" w:color="000000"/>
            </w:tcBorders>
          </w:tcPr>
          <w:p>
            <w:pPr>
              <w:pStyle w:val="TableParagraph"/>
              <w:spacing w:before="44"/>
              <w:ind w:left="107"/>
              <w:rPr>
                <w:sz w:val="20"/>
              </w:rPr>
            </w:pPr>
            <w:r>
              <w:rPr>
                <w:sz w:val="20"/>
              </w:rPr>
              <w:t>Configuration:</w:t>
            </w:r>
          </w:p>
        </w:tc>
        <w:tc>
          <w:tcPr>
            <w:tcW w:w="2721" w:type="dxa"/>
            <w:gridSpan w:val="5"/>
            <w:tcBorders>
              <w:top w:val="double" w:sz="1" w:space="0" w:color="000000"/>
            </w:tcBorders>
          </w:tcPr>
          <w:p>
            <w:pPr>
              <w:pStyle w:val="TableParagraph"/>
              <w:spacing w:before="44"/>
              <w:ind w:left="601"/>
              <w:rPr>
                <w:sz w:val="20"/>
              </w:rPr>
            </w:pPr>
            <w:r>
              <w:rPr>
                <w:sz w:val="20"/>
              </w:rPr>
              <w:t>Always LCD pins</w:t>
            </w:r>
          </w:p>
        </w:tc>
        <w:tc>
          <w:tcPr>
            <w:tcW w:w="2816" w:type="dxa"/>
            <w:gridSpan w:val="5"/>
            <w:tcBorders>
              <w:top w:val="double" w:sz="1" w:space="0" w:color="000000"/>
            </w:tcBorders>
          </w:tcPr>
          <w:p>
            <w:pPr>
              <w:pStyle w:val="TableParagraph"/>
              <w:spacing w:before="44"/>
              <w:ind w:left="808"/>
              <w:rPr>
                <w:sz w:val="20"/>
              </w:rPr>
            </w:pPr>
            <w:r>
              <w:rPr>
                <w:sz w:val="20"/>
              </w:rPr>
              <w:t>See</w:t>
            </w:r>
            <w:r>
              <w:rPr>
                <w:spacing w:val="55"/>
                <w:sz w:val="20"/>
              </w:rPr>
              <w:t> </w:t>
            </w:r>
            <w:hyperlink w:history="true" w:anchor="_bookmark120">
              <w:r>
                <w:rPr>
                  <w:color w:val="0000FF"/>
                  <w:sz w:val="20"/>
                </w:rPr>
                <w:t>2.5.10.2</w:t>
              </w:r>
            </w:hyperlink>
          </w:p>
        </w:tc>
      </w:tr>
      <w:tr>
        <w:trPr>
          <w:trHeight w:val="2104" w:hRule="atLeast"/>
        </w:trPr>
        <w:tc>
          <w:tcPr>
            <w:tcW w:w="1666" w:type="dxa"/>
          </w:tcPr>
          <w:p>
            <w:pPr>
              <w:pStyle w:val="TableParagraph"/>
              <w:rPr>
                <w:b/>
                <w:sz w:val="22"/>
              </w:rPr>
            </w:pPr>
          </w:p>
          <w:p>
            <w:pPr>
              <w:pStyle w:val="TableParagraph"/>
              <w:rPr>
                <w:b/>
                <w:sz w:val="22"/>
              </w:rPr>
            </w:pPr>
          </w:p>
          <w:p>
            <w:pPr>
              <w:pStyle w:val="TableParagraph"/>
              <w:spacing w:before="4"/>
              <w:rPr>
                <w:b/>
                <w:sz w:val="28"/>
              </w:rPr>
            </w:pPr>
          </w:p>
          <w:p>
            <w:pPr>
              <w:pStyle w:val="TableParagraph"/>
              <w:spacing w:line="228" w:lineRule="auto"/>
              <w:ind w:left="107" w:right="628"/>
              <w:rPr>
                <w:sz w:val="20"/>
              </w:rPr>
            </w:pPr>
            <w:r>
              <w:rPr>
                <w:sz w:val="20"/>
              </w:rPr>
              <w:t>SEG Data Register</w:t>
            </w:r>
          </w:p>
        </w:tc>
        <w:tc>
          <w:tcPr>
            <w:tcW w:w="543" w:type="dxa"/>
            <w:textDirection w:val="btLr"/>
          </w:tcPr>
          <w:p>
            <w:pPr>
              <w:pStyle w:val="TableParagraph"/>
              <w:spacing w:line="228" w:lineRule="exact" w:before="36"/>
              <w:ind w:left="177"/>
              <w:rPr>
                <w:rFonts w:ascii="Times New Roman"/>
                <w:b/>
                <w:i/>
                <w:sz w:val="20"/>
              </w:rPr>
            </w:pPr>
            <w:r>
              <w:rPr>
                <w:rFonts w:ascii="Times New Roman"/>
                <w:b/>
                <w:i/>
                <w:spacing w:val="-6"/>
                <w:sz w:val="20"/>
              </w:rPr>
              <w:t>LCD_SEGDIO46[5:0]</w:t>
            </w:r>
          </w:p>
          <w:p>
            <w:pPr>
              <w:pStyle w:val="TableParagraph"/>
              <w:spacing w:line="228" w:lineRule="exact"/>
              <w:ind w:left="175"/>
              <w:rPr>
                <w:rFonts w:ascii="Times New Roman"/>
                <w:i/>
                <w:sz w:val="20"/>
              </w:rPr>
            </w:pPr>
            <w:r>
              <w:rPr>
                <w:rFonts w:ascii="Times New Roman"/>
                <w:i/>
                <w:spacing w:val="-5"/>
                <w:sz w:val="20"/>
              </w:rPr>
              <w:t>(I/O </w:t>
            </w:r>
            <w:r>
              <w:rPr>
                <w:rFonts w:ascii="Times New Roman"/>
                <w:i/>
                <w:spacing w:val="-4"/>
                <w:sz w:val="20"/>
              </w:rPr>
              <w:t>RAM</w:t>
            </w:r>
            <w:r>
              <w:rPr>
                <w:rFonts w:ascii="Times New Roman"/>
                <w:i/>
                <w:spacing w:val="-20"/>
                <w:sz w:val="20"/>
              </w:rPr>
              <w:t> </w:t>
            </w:r>
            <w:r>
              <w:rPr>
                <w:rFonts w:ascii="Times New Roman"/>
                <w:i/>
                <w:spacing w:val="-6"/>
                <w:sz w:val="20"/>
              </w:rPr>
              <w:t>0x243E[5:0]</w:t>
            </w:r>
          </w:p>
        </w:tc>
        <w:tc>
          <w:tcPr>
            <w:tcW w:w="545" w:type="dxa"/>
            <w:textDirection w:val="btLr"/>
          </w:tcPr>
          <w:p>
            <w:pPr>
              <w:pStyle w:val="TableParagraph"/>
              <w:spacing w:line="228" w:lineRule="exact" w:before="37"/>
              <w:ind w:left="177"/>
              <w:rPr>
                <w:rFonts w:ascii="Times New Roman"/>
                <w:b/>
                <w:i/>
                <w:sz w:val="20"/>
              </w:rPr>
            </w:pPr>
            <w:r>
              <w:rPr>
                <w:rFonts w:ascii="Times New Roman"/>
                <w:b/>
                <w:i/>
                <w:spacing w:val="-6"/>
                <w:sz w:val="20"/>
              </w:rPr>
              <w:t>LCD_SEGDIO47[5:0]</w:t>
            </w:r>
          </w:p>
          <w:p>
            <w:pPr>
              <w:pStyle w:val="TableParagraph"/>
              <w:spacing w:line="228" w:lineRule="exact"/>
              <w:ind w:left="143"/>
              <w:rPr>
                <w:rFonts w:ascii="Times New Roman"/>
                <w:i/>
                <w:sz w:val="20"/>
              </w:rPr>
            </w:pPr>
            <w:r>
              <w:rPr>
                <w:rFonts w:ascii="Times New Roman"/>
                <w:i/>
                <w:spacing w:val="-5"/>
                <w:sz w:val="20"/>
              </w:rPr>
              <w:t>(I/O </w:t>
            </w:r>
            <w:r>
              <w:rPr>
                <w:rFonts w:ascii="Times New Roman"/>
                <w:i/>
                <w:spacing w:val="-4"/>
                <w:sz w:val="20"/>
              </w:rPr>
              <w:t>RAM</w:t>
            </w:r>
            <w:r>
              <w:rPr>
                <w:rFonts w:ascii="Times New Roman"/>
                <w:i/>
                <w:spacing w:val="-20"/>
                <w:sz w:val="20"/>
              </w:rPr>
              <w:t> </w:t>
            </w:r>
            <w:r>
              <w:rPr>
                <w:rFonts w:ascii="Times New Roman"/>
                <w:i/>
                <w:spacing w:val="-6"/>
                <w:sz w:val="20"/>
              </w:rPr>
              <w:t>0x243F[5:0])</w:t>
            </w:r>
          </w:p>
        </w:tc>
        <w:tc>
          <w:tcPr>
            <w:tcW w:w="545" w:type="dxa"/>
            <w:textDirection w:val="btLr"/>
          </w:tcPr>
          <w:p>
            <w:pPr>
              <w:pStyle w:val="TableParagraph"/>
              <w:spacing w:line="227" w:lineRule="exact" w:before="37"/>
              <w:ind w:left="177"/>
              <w:rPr>
                <w:rFonts w:ascii="Times New Roman"/>
                <w:b/>
                <w:i/>
                <w:sz w:val="20"/>
              </w:rPr>
            </w:pPr>
            <w:r>
              <w:rPr>
                <w:rFonts w:ascii="Times New Roman"/>
                <w:b/>
                <w:i/>
                <w:spacing w:val="-6"/>
                <w:sz w:val="20"/>
              </w:rPr>
              <w:t>LCD_SEGDIO48[5:0]</w:t>
            </w:r>
          </w:p>
          <w:p>
            <w:pPr>
              <w:pStyle w:val="TableParagraph"/>
              <w:spacing w:line="227" w:lineRule="exact"/>
              <w:ind w:left="184"/>
              <w:rPr>
                <w:rFonts w:ascii="Times New Roman"/>
                <w:i/>
                <w:sz w:val="20"/>
              </w:rPr>
            </w:pPr>
            <w:r>
              <w:rPr>
                <w:rFonts w:ascii="Times New Roman"/>
                <w:i/>
                <w:spacing w:val="-5"/>
                <w:sz w:val="20"/>
              </w:rPr>
              <w:t>(I/O </w:t>
            </w:r>
            <w:r>
              <w:rPr>
                <w:rFonts w:ascii="Times New Roman"/>
                <w:i/>
                <w:spacing w:val="-4"/>
                <w:sz w:val="20"/>
              </w:rPr>
              <w:t>RAM</w:t>
            </w:r>
            <w:r>
              <w:rPr>
                <w:rFonts w:ascii="Times New Roman"/>
                <w:i/>
                <w:spacing w:val="-19"/>
                <w:sz w:val="20"/>
              </w:rPr>
              <w:t> </w:t>
            </w:r>
            <w:r>
              <w:rPr>
                <w:rFonts w:ascii="Times New Roman"/>
                <w:i/>
                <w:spacing w:val="-6"/>
                <w:sz w:val="20"/>
              </w:rPr>
              <w:t>0x2440[5:0]</w:t>
            </w:r>
          </w:p>
        </w:tc>
        <w:tc>
          <w:tcPr>
            <w:tcW w:w="543" w:type="dxa"/>
            <w:textDirection w:val="btLr"/>
          </w:tcPr>
          <w:p>
            <w:pPr>
              <w:pStyle w:val="TableParagraph"/>
              <w:spacing w:line="228" w:lineRule="exact" w:before="35"/>
              <w:ind w:left="177"/>
              <w:rPr>
                <w:rFonts w:ascii="Times New Roman"/>
                <w:b/>
                <w:i/>
                <w:sz w:val="20"/>
              </w:rPr>
            </w:pPr>
            <w:r>
              <w:rPr>
                <w:rFonts w:ascii="Times New Roman"/>
                <w:b/>
                <w:i/>
                <w:spacing w:val="-6"/>
                <w:sz w:val="20"/>
              </w:rPr>
              <w:t>LCD_SEGDIO49[5:0]</w:t>
            </w:r>
          </w:p>
          <w:p>
            <w:pPr>
              <w:pStyle w:val="TableParagraph"/>
              <w:spacing w:line="228" w:lineRule="exact"/>
              <w:ind w:left="155"/>
              <w:rPr>
                <w:rFonts w:ascii="Times New Roman"/>
                <w:i/>
                <w:sz w:val="20"/>
              </w:rPr>
            </w:pPr>
            <w:r>
              <w:rPr>
                <w:rFonts w:ascii="Times New Roman"/>
                <w:i/>
                <w:spacing w:val="-5"/>
                <w:sz w:val="20"/>
              </w:rPr>
              <w:t>(I/O </w:t>
            </w:r>
            <w:r>
              <w:rPr>
                <w:rFonts w:ascii="Times New Roman"/>
                <w:i/>
                <w:spacing w:val="-4"/>
                <w:sz w:val="20"/>
              </w:rPr>
              <w:t>RAM</w:t>
            </w:r>
            <w:r>
              <w:rPr>
                <w:rFonts w:ascii="Times New Roman"/>
                <w:i/>
                <w:spacing w:val="-21"/>
                <w:sz w:val="20"/>
              </w:rPr>
              <w:t> </w:t>
            </w:r>
            <w:r>
              <w:rPr>
                <w:rFonts w:ascii="Times New Roman"/>
                <w:i/>
                <w:spacing w:val="-6"/>
                <w:sz w:val="20"/>
              </w:rPr>
              <w:t>0x2441[5:0])</w:t>
            </w:r>
          </w:p>
        </w:tc>
        <w:tc>
          <w:tcPr>
            <w:tcW w:w="545" w:type="dxa"/>
            <w:textDirection w:val="btLr"/>
          </w:tcPr>
          <w:p>
            <w:pPr>
              <w:pStyle w:val="TableParagraph"/>
              <w:spacing w:line="228" w:lineRule="exact" w:before="36"/>
              <w:ind w:left="177"/>
              <w:rPr>
                <w:rFonts w:ascii="Times New Roman"/>
                <w:b/>
                <w:i/>
                <w:sz w:val="20"/>
              </w:rPr>
            </w:pPr>
            <w:r>
              <w:rPr>
                <w:rFonts w:ascii="Times New Roman"/>
                <w:b/>
                <w:i/>
                <w:spacing w:val="-6"/>
                <w:sz w:val="20"/>
              </w:rPr>
              <w:t>LCD_SEGDIO50[5:0]</w:t>
            </w:r>
          </w:p>
          <w:p>
            <w:pPr>
              <w:pStyle w:val="TableParagraph"/>
              <w:spacing w:line="228" w:lineRule="exact"/>
              <w:ind w:left="155"/>
              <w:rPr>
                <w:rFonts w:ascii="Times New Roman"/>
                <w:i/>
                <w:sz w:val="20"/>
              </w:rPr>
            </w:pPr>
            <w:r>
              <w:rPr>
                <w:rFonts w:ascii="Times New Roman"/>
                <w:i/>
                <w:spacing w:val="-5"/>
                <w:sz w:val="20"/>
              </w:rPr>
              <w:t>(I/O </w:t>
            </w:r>
            <w:r>
              <w:rPr>
                <w:rFonts w:ascii="Times New Roman"/>
                <w:i/>
                <w:spacing w:val="-4"/>
                <w:sz w:val="20"/>
              </w:rPr>
              <w:t>RAM</w:t>
            </w:r>
            <w:r>
              <w:rPr>
                <w:rFonts w:ascii="Times New Roman"/>
                <w:i/>
                <w:spacing w:val="-21"/>
                <w:sz w:val="20"/>
              </w:rPr>
              <w:t> </w:t>
            </w:r>
            <w:r>
              <w:rPr>
                <w:rFonts w:ascii="Times New Roman"/>
                <w:i/>
                <w:spacing w:val="-6"/>
                <w:sz w:val="20"/>
              </w:rPr>
              <w:t>0x2442[5:0])</w:t>
            </w:r>
          </w:p>
        </w:tc>
        <w:tc>
          <w:tcPr>
            <w:tcW w:w="564" w:type="dxa"/>
            <w:textDirection w:val="btLr"/>
          </w:tcPr>
          <w:p>
            <w:pPr>
              <w:pStyle w:val="TableParagraph"/>
              <w:spacing w:line="227" w:lineRule="exact" w:before="46"/>
              <w:ind w:left="177"/>
              <w:rPr>
                <w:rFonts w:ascii="Times New Roman"/>
                <w:b/>
                <w:i/>
                <w:sz w:val="20"/>
              </w:rPr>
            </w:pPr>
            <w:r>
              <w:rPr>
                <w:rFonts w:ascii="Times New Roman"/>
                <w:b/>
                <w:i/>
                <w:spacing w:val="-6"/>
                <w:sz w:val="20"/>
              </w:rPr>
              <w:t>LCD_SEGDIO51[5:0]</w:t>
            </w:r>
          </w:p>
          <w:p>
            <w:pPr>
              <w:pStyle w:val="TableParagraph"/>
              <w:spacing w:line="227" w:lineRule="exact"/>
              <w:ind w:left="155"/>
              <w:rPr>
                <w:rFonts w:ascii="Times New Roman"/>
                <w:i/>
                <w:sz w:val="20"/>
              </w:rPr>
            </w:pPr>
            <w:r>
              <w:rPr>
                <w:rFonts w:ascii="Times New Roman"/>
                <w:i/>
                <w:spacing w:val="-5"/>
                <w:sz w:val="20"/>
              </w:rPr>
              <w:t>(I/O </w:t>
            </w:r>
            <w:r>
              <w:rPr>
                <w:rFonts w:ascii="Times New Roman"/>
                <w:i/>
                <w:spacing w:val="-4"/>
                <w:sz w:val="20"/>
              </w:rPr>
              <w:t>RAM</w:t>
            </w:r>
            <w:r>
              <w:rPr>
                <w:rFonts w:ascii="Times New Roman"/>
                <w:i/>
                <w:spacing w:val="-21"/>
                <w:sz w:val="20"/>
              </w:rPr>
              <w:t> </w:t>
            </w:r>
            <w:r>
              <w:rPr>
                <w:rFonts w:ascii="Times New Roman"/>
                <w:i/>
                <w:spacing w:val="-6"/>
                <w:sz w:val="20"/>
              </w:rPr>
              <w:t>0x2443[5:0])</w:t>
            </w:r>
          </w:p>
        </w:tc>
        <w:tc>
          <w:tcPr>
            <w:tcW w:w="562" w:type="dxa"/>
            <w:textDirection w:val="btLr"/>
          </w:tcPr>
          <w:p>
            <w:pPr>
              <w:pStyle w:val="TableParagraph"/>
              <w:spacing w:line="228" w:lineRule="exact" w:before="43"/>
              <w:ind w:left="177"/>
              <w:rPr>
                <w:rFonts w:ascii="Times New Roman"/>
                <w:b/>
                <w:i/>
                <w:sz w:val="20"/>
              </w:rPr>
            </w:pPr>
            <w:r>
              <w:rPr>
                <w:rFonts w:ascii="Times New Roman"/>
                <w:b/>
                <w:i/>
                <w:spacing w:val="-6"/>
                <w:sz w:val="20"/>
              </w:rPr>
              <w:t>LCD_SEGDIO52[5:0]</w:t>
            </w:r>
          </w:p>
          <w:p>
            <w:pPr>
              <w:pStyle w:val="TableParagraph"/>
              <w:spacing w:line="228" w:lineRule="exact"/>
              <w:ind w:left="155"/>
              <w:rPr>
                <w:rFonts w:ascii="Times New Roman"/>
                <w:i/>
                <w:sz w:val="20"/>
              </w:rPr>
            </w:pPr>
            <w:r>
              <w:rPr>
                <w:rFonts w:ascii="Times New Roman"/>
                <w:i/>
                <w:spacing w:val="-5"/>
                <w:sz w:val="20"/>
              </w:rPr>
              <w:t>(I/O </w:t>
            </w:r>
            <w:r>
              <w:rPr>
                <w:rFonts w:ascii="Times New Roman"/>
                <w:i/>
                <w:spacing w:val="-4"/>
                <w:sz w:val="20"/>
              </w:rPr>
              <w:t>RAM</w:t>
            </w:r>
            <w:r>
              <w:rPr>
                <w:rFonts w:ascii="Times New Roman"/>
                <w:i/>
                <w:spacing w:val="-21"/>
                <w:sz w:val="20"/>
              </w:rPr>
              <w:t> </w:t>
            </w:r>
            <w:r>
              <w:rPr>
                <w:rFonts w:ascii="Times New Roman"/>
                <w:i/>
                <w:spacing w:val="-6"/>
                <w:sz w:val="20"/>
              </w:rPr>
              <w:t>0x2444[5:0])</w:t>
            </w:r>
          </w:p>
        </w:tc>
        <w:tc>
          <w:tcPr>
            <w:tcW w:w="564" w:type="dxa"/>
            <w:textDirection w:val="btLr"/>
          </w:tcPr>
          <w:p>
            <w:pPr>
              <w:pStyle w:val="TableParagraph"/>
              <w:spacing w:line="228" w:lineRule="exact" w:before="45"/>
              <w:ind w:left="177"/>
              <w:rPr>
                <w:rFonts w:ascii="Times New Roman"/>
                <w:b/>
                <w:i/>
                <w:sz w:val="20"/>
              </w:rPr>
            </w:pPr>
            <w:r>
              <w:rPr>
                <w:rFonts w:ascii="Times New Roman"/>
                <w:b/>
                <w:i/>
                <w:spacing w:val="-6"/>
                <w:sz w:val="20"/>
              </w:rPr>
              <w:t>LCD_SEGDIO53[5:0]</w:t>
            </w:r>
          </w:p>
          <w:p>
            <w:pPr>
              <w:pStyle w:val="TableParagraph"/>
              <w:spacing w:line="228" w:lineRule="exact"/>
              <w:ind w:left="155"/>
              <w:rPr>
                <w:rFonts w:ascii="Times New Roman"/>
                <w:i/>
                <w:sz w:val="20"/>
              </w:rPr>
            </w:pPr>
            <w:r>
              <w:rPr>
                <w:rFonts w:ascii="Times New Roman"/>
                <w:i/>
                <w:spacing w:val="-5"/>
                <w:sz w:val="20"/>
              </w:rPr>
              <w:t>(I/O </w:t>
            </w:r>
            <w:r>
              <w:rPr>
                <w:rFonts w:ascii="Times New Roman"/>
                <w:i/>
                <w:spacing w:val="-4"/>
                <w:sz w:val="20"/>
              </w:rPr>
              <w:t>RAM</w:t>
            </w:r>
            <w:r>
              <w:rPr>
                <w:rFonts w:ascii="Times New Roman"/>
                <w:i/>
                <w:spacing w:val="-21"/>
                <w:sz w:val="20"/>
              </w:rPr>
              <w:t> </w:t>
            </w:r>
            <w:r>
              <w:rPr>
                <w:rFonts w:ascii="Times New Roman"/>
                <w:i/>
                <w:spacing w:val="-6"/>
                <w:sz w:val="20"/>
              </w:rPr>
              <w:t>0x2445[5:0])</w:t>
            </w:r>
          </w:p>
        </w:tc>
        <w:tc>
          <w:tcPr>
            <w:tcW w:w="562" w:type="dxa"/>
            <w:textDirection w:val="btLr"/>
          </w:tcPr>
          <w:p>
            <w:pPr>
              <w:pStyle w:val="TableParagraph"/>
              <w:spacing w:line="228" w:lineRule="exact" w:before="43"/>
              <w:ind w:left="177"/>
              <w:rPr>
                <w:rFonts w:ascii="Times New Roman"/>
                <w:b/>
                <w:i/>
                <w:sz w:val="20"/>
              </w:rPr>
            </w:pPr>
            <w:r>
              <w:rPr>
                <w:rFonts w:ascii="Times New Roman"/>
                <w:b/>
                <w:i/>
                <w:spacing w:val="-6"/>
                <w:sz w:val="20"/>
              </w:rPr>
              <w:t>LCD_SEGDIO54[5:0]</w:t>
            </w:r>
          </w:p>
          <w:p>
            <w:pPr>
              <w:pStyle w:val="TableParagraph"/>
              <w:spacing w:line="228" w:lineRule="exact"/>
              <w:ind w:left="155"/>
              <w:rPr>
                <w:rFonts w:ascii="Times New Roman"/>
                <w:i/>
                <w:sz w:val="20"/>
              </w:rPr>
            </w:pPr>
            <w:r>
              <w:rPr>
                <w:rFonts w:ascii="Times New Roman"/>
                <w:i/>
                <w:spacing w:val="-5"/>
                <w:sz w:val="20"/>
              </w:rPr>
              <w:t>(I/O </w:t>
            </w:r>
            <w:r>
              <w:rPr>
                <w:rFonts w:ascii="Times New Roman"/>
                <w:i/>
                <w:spacing w:val="-4"/>
                <w:sz w:val="20"/>
              </w:rPr>
              <w:t>RAM</w:t>
            </w:r>
            <w:r>
              <w:rPr>
                <w:rFonts w:ascii="Times New Roman"/>
                <w:i/>
                <w:spacing w:val="-21"/>
                <w:sz w:val="20"/>
              </w:rPr>
              <w:t> </w:t>
            </w:r>
            <w:r>
              <w:rPr>
                <w:rFonts w:ascii="Times New Roman"/>
                <w:i/>
                <w:spacing w:val="-6"/>
                <w:sz w:val="20"/>
              </w:rPr>
              <w:t>0x2446[5:0])</w:t>
            </w:r>
          </w:p>
        </w:tc>
        <w:tc>
          <w:tcPr>
            <w:tcW w:w="564" w:type="dxa"/>
            <w:textDirection w:val="btLr"/>
          </w:tcPr>
          <w:p>
            <w:pPr>
              <w:pStyle w:val="TableParagraph"/>
              <w:spacing w:line="228" w:lineRule="exact" w:before="45"/>
              <w:ind w:left="177"/>
              <w:rPr>
                <w:rFonts w:ascii="Times New Roman"/>
                <w:b/>
                <w:i/>
                <w:sz w:val="20"/>
              </w:rPr>
            </w:pPr>
            <w:r>
              <w:rPr>
                <w:rFonts w:ascii="Times New Roman"/>
                <w:b/>
                <w:i/>
                <w:spacing w:val="-6"/>
                <w:sz w:val="20"/>
              </w:rPr>
              <w:t>LCD_SEGDIO55[5:0]</w:t>
            </w:r>
          </w:p>
          <w:p>
            <w:pPr>
              <w:pStyle w:val="TableParagraph"/>
              <w:spacing w:line="228" w:lineRule="exact"/>
              <w:ind w:left="155"/>
              <w:rPr>
                <w:rFonts w:ascii="Times New Roman"/>
                <w:i/>
                <w:sz w:val="20"/>
              </w:rPr>
            </w:pPr>
            <w:r>
              <w:rPr>
                <w:rFonts w:ascii="Times New Roman"/>
                <w:i/>
                <w:spacing w:val="-5"/>
                <w:sz w:val="20"/>
              </w:rPr>
              <w:t>(I/O </w:t>
            </w:r>
            <w:r>
              <w:rPr>
                <w:rFonts w:ascii="Times New Roman"/>
                <w:i/>
                <w:spacing w:val="-4"/>
                <w:sz w:val="20"/>
              </w:rPr>
              <w:t>RAM</w:t>
            </w:r>
            <w:r>
              <w:rPr>
                <w:rFonts w:ascii="Times New Roman"/>
                <w:i/>
                <w:spacing w:val="-21"/>
                <w:sz w:val="20"/>
              </w:rPr>
              <w:t> </w:t>
            </w:r>
            <w:r>
              <w:rPr>
                <w:rFonts w:ascii="Times New Roman"/>
                <w:i/>
                <w:spacing w:val="-6"/>
                <w:sz w:val="20"/>
              </w:rPr>
              <w:t>0x2447[5:0])</w:t>
            </w:r>
          </w:p>
        </w:tc>
      </w:tr>
    </w:tbl>
    <w:p>
      <w:pPr>
        <w:pStyle w:val="BodyText"/>
        <w:spacing w:before="9"/>
        <w:rPr>
          <w:b/>
          <w:sz w:val="29"/>
        </w:rPr>
      </w:pPr>
    </w:p>
    <w:p>
      <w:pPr>
        <w:pStyle w:val="BodyText"/>
        <w:spacing w:line="242" w:lineRule="auto"/>
        <w:ind w:left="239" w:right="477"/>
      </w:pPr>
      <w:r>
        <w:rPr/>
        <w:t>The </w:t>
      </w:r>
      <w:r>
        <w:rPr>
          <w:rFonts w:ascii="Times New Roman"/>
          <w:i/>
        </w:rPr>
        <w:t>LCD_MAP[47:46] </w:t>
      </w:r>
      <w:r>
        <w:rPr/>
        <w:t>(</w:t>
      </w:r>
      <w:r>
        <w:rPr>
          <w:rFonts w:ascii="Times New Roman"/>
          <w:i/>
        </w:rPr>
        <w:t>I/O RAM 0x2406[7:6]</w:t>
      </w:r>
      <w:r>
        <w:rPr/>
        <w:t>) bits are used to determine whether SEG46 and SEG47 are SEG pins or their alternate function (see pins 93 and 92 in </w:t>
      </w:r>
      <w:hyperlink w:history="true" w:anchor="_bookmark297">
        <w:r>
          <w:rPr>
            <w:color w:val="0000FF"/>
          </w:rPr>
          <w:t>Figure 42</w:t>
        </w:r>
      </w:hyperlink>
      <w:r>
        <w:rPr/>
        <w:t>). If the </w:t>
      </w:r>
      <w:r>
        <w:rPr>
          <w:rFonts w:ascii="Times New Roman"/>
          <w:i/>
        </w:rPr>
        <w:t>LCD_MAP[47:46] </w:t>
      </w:r>
      <w:r>
        <w:rPr/>
        <w:t>bits are 1, then the pins are configured as SEG pins. If the </w:t>
      </w:r>
      <w:r>
        <w:rPr>
          <w:rFonts w:ascii="Times New Roman"/>
          <w:i/>
        </w:rPr>
        <w:t>LCD_MAP[47:46] </w:t>
      </w:r>
      <w:r>
        <w:rPr/>
        <w:t>bits are 0, then the pins are configured as their alternate functions (TMUX2OUT and TMUXOUT, respectively).</w:t>
      </w:r>
    </w:p>
    <w:p>
      <w:pPr>
        <w:spacing w:after="0" w:line="242" w:lineRule="auto"/>
        <w:sectPr>
          <w:pgSz w:w="12240" w:h="15840"/>
          <w:pgMar w:header="727" w:footer="819" w:top="960" w:bottom="1000" w:left="1200" w:right="1060"/>
        </w:sectPr>
      </w:pPr>
    </w:p>
    <w:p>
      <w:pPr>
        <w:pStyle w:val="BodyText"/>
        <w:spacing w:before="6"/>
        <w:rPr>
          <w:sz w:val="16"/>
        </w:rPr>
      </w:pPr>
    </w:p>
    <w:p>
      <w:pPr>
        <w:pStyle w:val="BodyText"/>
        <w:spacing w:line="231" w:lineRule="exact" w:before="93"/>
        <w:ind w:left="240"/>
      </w:pPr>
      <w:r>
        <w:rPr/>
        <w:t>For example, if </w:t>
      </w:r>
      <w:r>
        <w:rPr>
          <w:rFonts w:ascii="Times New Roman"/>
          <w:i/>
        </w:rPr>
        <w:t>LCD_MAP[46] </w:t>
      </w:r>
      <w:r>
        <w:rPr/>
        <w:t>= 1, then pin 93 (TMUX2OUT/SEG46) is configured as SEG46, and if</w:t>
      </w:r>
    </w:p>
    <w:p>
      <w:pPr>
        <w:spacing w:before="0"/>
        <w:ind w:left="239" w:right="0" w:firstLine="0"/>
        <w:jc w:val="left"/>
        <w:rPr>
          <w:sz w:val="20"/>
        </w:rPr>
      </w:pPr>
      <w:r>
        <w:rPr>
          <w:rFonts w:ascii="Times New Roman"/>
          <w:i/>
          <w:sz w:val="20"/>
        </w:rPr>
        <w:t>LCD_MAP[46]=0</w:t>
      </w:r>
      <w:r>
        <w:rPr>
          <w:sz w:val="20"/>
        </w:rPr>
        <w:t>, then pin 93 is configured as TMUX2OUT.</w:t>
      </w:r>
    </w:p>
    <w:p>
      <w:pPr>
        <w:pStyle w:val="BodyText"/>
        <w:spacing w:before="121"/>
        <w:ind w:left="239" w:right="368"/>
      </w:pPr>
      <w:r>
        <w:rPr/>
        <w:t>The SEG pins with alternate ICE interface function (see pins 56-58 in </w:t>
      </w:r>
      <w:hyperlink w:history="true" w:anchor="_bookmark297">
        <w:r>
          <w:rPr>
            <w:color w:val="0000FF"/>
          </w:rPr>
          <w:t>Figure 42</w:t>
        </w:r>
      </w:hyperlink>
      <w:r>
        <w:rPr/>
        <w:t>) are forced to their alternate ICE interface function (i.e., E_RXTX, E_TCLK and E_RST) if the ICE_E pin (pin 59) is driven high, and in this case, the bits </w:t>
      </w:r>
      <w:r>
        <w:rPr>
          <w:rFonts w:ascii="Times New Roman" w:hAnsi="Times New Roman"/>
          <w:i/>
        </w:rPr>
        <w:t>LCD_MAP[50:48] </w:t>
      </w:r>
      <w:r>
        <w:rPr/>
        <w:t>(</w:t>
      </w:r>
      <w:r>
        <w:rPr>
          <w:rFonts w:ascii="Times New Roman" w:hAnsi="Times New Roman"/>
          <w:i/>
        </w:rPr>
        <w:t>I/O RAM 0x2405[2:0]</w:t>
      </w:r>
      <w:r>
        <w:rPr/>
        <w:t>) bits are “don’t care” bits. If the ICE_E pin is driven low, then </w:t>
      </w:r>
      <w:r>
        <w:rPr>
          <w:rFonts w:ascii="Times New Roman" w:hAnsi="Times New Roman"/>
          <w:i/>
        </w:rPr>
        <w:t>LCD_MAP[50:48] </w:t>
      </w:r>
      <w:r>
        <w:rPr/>
        <w:t>bits </w:t>
      </w:r>
      <w:r>
        <w:rPr>
          <w:b/>
          <w:i/>
        </w:rPr>
        <w:t>must </w:t>
      </w:r>
      <w:r>
        <w:rPr/>
        <w:t>written with 1 in order to configure these pins as SEG pins. If the ICE_E pin is low and </w:t>
      </w:r>
      <w:r>
        <w:rPr>
          <w:rFonts w:ascii="Times New Roman" w:hAnsi="Times New Roman"/>
          <w:i/>
        </w:rPr>
        <w:t>LCD_MAP[50:48] </w:t>
      </w:r>
      <w:r>
        <w:rPr/>
        <w:t>are written with 0, then these pins are tied to an internal pullup.</w:t>
      </w:r>
    </w:p>
    <w:p>
      <w:pPr>
        <w:pStyle w:val="ListParagraph"/>
        <w:numPr>
          <w:ilvl w:val="2"/>
          <w:numId w:val="7"/>
        </w:numPr>
        <w:tabs>
          <w:tab w:pos="961" w:val="left" w:leader="none"/>
        </w:tabs>
        <w:spacing w:line="240" w:lineRule="auto" w:before="118" w:after="0"/>
        <w:ind w:left="960" w:right="0" w:hanging="721"/>
        <w:jc w:val="left"/>
        <w:rPr>
          <w:b/>
          <w:sz w:val="22"/>
        </w:rPr>
      </w:pPr>
      <w:bookmarkStart w:name="2.5.11 EEPROM Interface" w:id="261"/>
      <w:bookmarkEnd w:id="261"/>
      <w:r>
        <w:rPr/>
      </w:r>
      <w:bookmarkStart w:name="_bookmark130" w:id="262"/>
      <w:bookmarkEnd w:id="262"/>
      <w:r>
        <w:rPr/>
      </w:r>
      <w:bookmarkStart w:name="_bookmark130" w:id="263"/>
      <w:bookmarkEnd w:id="263"/>
      <w:r>
        <w:rPr>
          <w:b/>
          <w:sz w:val="22"/>
        </w:rPr>
        <w:t>EEP</w:t>
      </w:r>
      <w:r>
        <w:rPr>
          <w:b/>
          <w:sz w:val="22"/>
        </w:rPr>
        <w:t>ROM</w:t>
      </w:r>
      <w:r>
        <w:rPr>
          <w:b/>
          <w:spacing w:val="-2"/>
          <w:sz w:val="22"/>
        </w:rPr>
        <w:t> </w:t>
      </w:r>
      <w:r>
        <w:rPr>
          <w:b/>
          <w:sz w:val="22"/>
        </w:rPr>
        <w:t>Interface</w:t>
      </w:r>
    </w:p>
    <w:p>
      <w:pPr>
        <w:pStyle w:val="BodyText"/>
        <w:spacing w:before="123"/>
        <w:ind w:left="240" w:right="401"/>
      </w:pPr>
      <w:r>
        <w:rPr/>
        <w:t>The 71M6543 provides hardware support for either a two-pin or a three-wire (µ-wire) type of EEPROM </w:t>
      </w:r>
      <w:r>
        <w:rPr>
          <w:spacing w:val="-3"/>
        </w:rPr>
        <w:t>interface.</w:t>
      </w:r>
      <w:r>
        <w:rPr>
          <w:spacing w:val="29"/>
        </w:rPr>
        <w:t> </w:t>
      </w:r>
      <w:r>
        <w:rPr/>
        <w:t>The</w:t>
      </w:r>
      <w:r>
        <w:rPr>
          <w:spacing w:val="-13"/>
        </w:rPr>
        <w:t> </w:t>
      </w:r>
      <w:r>
        <w:rPr/>
        <w:t>interfaces</w:t>
      </w:r>
      <w:r>
        <w:rPr>
          <w:spacing w:val="-14"/>
        </w:rPr>
        <w:t> </w:t>
      </w:r>
      <w:r>
        <w:rPr/>
        <w:t>use</w:t>
      </w:r>
      <w:r>
        <w:rPr>
          <w:spacing w:val="-16"/>
        </w:rPr>
        <w:t> </w:t>
      </w:r>
      <w:r>
        <w:rPr/>
        <w:t>the</w:t>
      </w:r>
      <w:r>
        <w:rPr>
          <w:spacing w:val="-12"/>
        </w:rPr>
        <w:t> </w:t>
      </w:r>
      <w:r>
        <w:rPr>
          <w:rFonts w:ascii="Times New Roman" w:hAnsi="Times New Roman"/>
          <w:i/>
        </w:rPr>
        <w:t>EECTRL</w:t>
      </w:r>
      <w:r>
        <w:rPr>
          <w:rFonts w:ascii="Times New Roman" w:hAnsi="Times New Roman"/>
          <w:i/>
          <w:spacing w:val="-14"/>
        </w:rPr>
        <w:t> </w:t>
      </w:r>
      <w:r>
        <w:rPr>
          <w:rFonts w:ascii="Times New Roman" w:hAnsi="Times New Roman"/>
          <w:i/>
        </w:rPr>
        <w:t>(SFR</w:t>
      </w:r>
      <w:r>
        <w:rPr>
          <w:rFonts w:ascii="Times New Roman" w:hAnsi="Times New Roman"/>
          <w:i/>
          <w:spacing w:val="-13"/>
        </w:rPr>
        <w:t> </w:t>
      </w:r>
      <w:r>
        <w:rPr>
          <w:rFonts w:ascii="Times New Roman" w:hAnsi="Times New Roman"/>
          <w:i/>
        </w:rPr>
        <w:t>0x9F)</w:t>
      </w:r>
      <w:r>
        <w:rPr>
          <w:rFonts w:ascii="Times New Roman" w:hAnsi="Times New Roman"/>
          <w:i/>
          <w:spacing w:val="-6"/>
        </w:rPr>
        <w:t> </w:t>
      </w:r>
      <w:r>
        <w:rPr/>
        <w:t>and</w:t>
      </w:r>
      <w:r>
        <w:rPr>
          <w:spacing w:val="-11"/>
        </w:rPr>
        <w:t> </w:t>
      </w:r>
      <w:r>
        <w:rPr>
          <w:rFonts w:ascii="Times New Roman" w:hAnsi="Times New Roman"/>
          <w:i/>
        </w:rPr>
        <w:t>EEDATA</w:t>
      </w:r>
      <w:r>
        <w:rPr>
          <w:rFonts w:ascii="Times New Roman" w:hAnsi="Times New Roman"/>
          <w:i/>
          <w:spacing w:val="-11"/>
        </w:rPr>
        <w:t> </w:t>
      </w:r>
      <w:r>
        <w:rPr>
          <w:rFonts w:ascii="Times New Roman" w:hAnsi="Times New Roman"/>
          <w:i/>
        </w:rPr>
        <w:t>(SFR</w:t>
      </w:r>
      <w:r>
        <w:rPr>
          <w:rFonts w:ascii="Times New Roman" w:hAnsi="Times New Roman"/>
          <w:i/>
          <w:spacing w:val="-13"/>
        </w:rPr>
        <w:t> </w:t>
      </w:r>
      <w:r>
        <w:rPr>
          <w:rFonts w:ascii="Times New Roman" w:hAnsi="Times New Roman"/>
          <w:i/>
        </w:rPr>
        <w:t>0x9E)</w:t>
      </w:r>
      <w:r>
        <w:rPr>
          <w:rFonts w:ascii="Times New Roman" w:hAnsi="Times New Roman"/>
          <w:i/>
          <w:spacing w:val="-8"/>
        </w:rPr>
        <w:t> </w:t>
      </w:r>
      <w:r>
        <w:rPr/>
        <w:t>registers</w:t>
      </w:r>
      <w:r>
        <w:rPr>
          <w:spacing w:val="-14"/>
        </w:rPr>
        <w:t> </w:t>
      </w:r>
      <w:r>
        <w:rPr/>
        <w:t>for</w:t>
      </w:r>
      <w:r>
        <w:rPr>
          <w:spacing w:val="-15"/>
        </w:rPr>
        <w:t> </w:t>
      </w:r>
      <w:r>
        <w:rPr/>
        <w:t>communication.</w:t>
      </w:r>
    </w:p>
    <w:p>
      <w:pPr>
        <w:pStyle w:val="ListParagraph"/>
        <w:numPr>
          <w:ilvl w:val="3"/>
          <w:numId w:val="7"/>
        </w:numPr>
        <w:tabs>
          <w:tab w:pos="1105" w:val="left" w:leader="none"/>
        </w:tabs>
        <w:spacing w:line="240" w:lineRule="auto" w:before="121" w:after="0"/>
        <w:ind w:left="1104" w:right="0" w:hanging="865"/>
        <w:jc w:val="left"/>
        <w:rPr>
          <w:b/>
          <w:sz w:val="20"/>
        </w:rPr>
      </w:pPr>
      <w:bookmarkStart w:name="2.5.11.1 Two-pin EEPROM Interface" w:id="264"/>
      <w:bookmarkEnd w:id="264"/>
      <w:r>
        <w:rPr/>
      </w:r>
      <w:bookmarkStart w:name="2.5.11.1 Two-pin EEPROM Interface" w:id="265"/>
      <w:bookmarkEnd w:id="265"/>
      <w:r>
        <w:rPr>
          <w:b/>
          <w:sz w:val="20"/>
        </w:rPr>
        <w:t>T</w:t>
      </w:r>
      <w:r>
        <w:rPr>
          <w:b/>
          <w:sz w:val="20"/>
        </w:rPr>
        <w:t>wo-pin EEPROM</w:t>
      </w:r>
      <w:r>
        <w:rPr>
          <w:b/>
          <w:spacing w:val="3"/>
          <w:sz w:val="20"/>
        </w:rPr>
        <w:t> </w:t>
      </w:r>
      <w:r>
        <w:rPr>
          <w:b/>
          <w:sz w:val="20"/>
        </w:rPr>
        <w:t>Interface</w:t>
      </w:r>
    </w:p>
    <w:p>
      <w:pPr>
        <w:pStyle w:val="BodyText"/>
        <w:spacing w:before="79"/>
        <w:ind w:left="239" w:right="401"/>
      </w:pPr>
      <w:r>
        <w:rPr/>
        <w:t>The dedicated 2-pin serial interface communicates with external EEPROM devices. The interface is multiplexed onto the SEGDIO2 (SDCK) and SEGDIO3 (SDATA) pins and is selected by setting </w:t>
      </w:r>
      <w:r>
        <w:rPr>
          <w:rFonts w:ascii="Times New Roman"/>
          <w:i/>
        </w:rPr>
        <w:t>DIO_EEX[1:0] </w:t>
      </w:r>
      <w:r>
        <w:rPr/>
        <w:t>= 01 (</w:t>
      </w:r>
      <w:r>
        <w:rPr>
          <w:i/>
        </w:rPr>
        <w:t>I/O RAM 0x2456[7:6]</w:t>
      </w:r>
      <w:r>
        <w:rPr/>
        <w:t>). The MPU communicates with the interface through the SFR registers </w:t>
      </w:r>
      <w:r>
        <w:rPr>
          <w:rFonts w:ascii="Times New Roman"/>
          <w:i/>
        </w:rPr>
        <w:t>EEDATA </w:t>
      </w:r>
      <w:r>
        <w:rPr/>
        <w:t>and </w:t>
      </w:r>
      <w:r>
        <w:rPr>
          <w:rFonts w:ascii="Times New Roman"/>
          <w:i/>
        </w:rPr>
        <w:t>EECTRL</w:t>
      </w:r>
      <w:r>
        <w:rPr/>
        <w:t>. If the MPU wishes to write a byte of data to the EEPROM, it places the data in </w:t>
      </w:r>
      <w:r>
        <w:rPr>
          <w:rFonts w:ascii="Times New Roman"/>
          <w:i/>
        </w:rPr>
        <w:t>EEDATA </w:t>
      </w:r>
      <w:r>
        <w:rPr/>
        <w:t>and then writes the Transmit code to </w:t>
      </w:r>
      <w:r>
        <w:rPr>
          <w:rFonts w:ascii="Times New Roman"/>
          <w:i/>
        </w:rPr>
        <w:t>EECTRL</w:t>
      </w:r>
      <w:r>
        <w:rPr/>
        <w:t>. This initiates the transmit operation which is finished when the </w:t>
      </w:r>
      <w:r>
        <w:rPr>
          <w:rFonts w:ascii="Times New Roman"/>
          <w:i/>
        </w:rPr>
        <w:t>BUSY </w:t>
      </w:r>
      <w:r>
        <w:rPr/>
        <w:t>bit falls. INT5 is also asserted when </w:t>
      </w:r>
      <w:r>
        <w:rPr>
          <w:rFonts w:ascii="Times New Roman"/>
          <w:i/>
        </w:rPr>
        <w:t>BUSY </w:t>
      </w:r>
      <w:r>
        <w:rPr/>
        <w:t>falls. The MPU can then check the </w:t>
      </w:r>
      <w:r>
        <w:rPr>
          <w:rFonts w:ascii="Times New Roman"/>
          <w:i/>
        </w:rPr>
        <w:t>RX_ACK </w:t>
      </w:r>
      <w:r>
        <w:rPr/>
        <w:t>bit to see if the EEPROM acknowledged the transmission.</w:t>
      </w:r>
    </w:p>
    <w:p>
      <w:pPr>
        <w:pStyle w:val="BodyText"/>
        <w:spacing w:before="119"/>
        <w:ind w:left="239" w:right="401"/>
      </w:pPr>
      <w:r>
        <w:rPr/>
        <w:t>A byte is read by writing the Receive command to </w:t>
      </w:r>
      <w:r>
        <w:rPr>
          <w:rFonts w:ascii="Times New Roman"/>
          <w:i/>
        </w:rPr>
        <w:t>EECTRL </w:t>
      </w:r>
      <w:r>
        <w:rPr/>
        <w:t>and waiting for the </w:t>
      </w:r>
      <w:r>
        <w:rPr>
          <w:rFonts w:ascii="Times New Roman"/>
          <w:i/>
        </w:rPr>
        <w:t>BUSY </w:t>
      </w:r>
      <w:r>
        <w:rPr/>
        <w:t>bit to fall. Upon completion, the received data is in </w:t>
      </w:r>
      <w:r>
        <w:rPr>
          <w:rFonts w:ascii="Times New Roman"/>
          <w:i/>
        </w:rPr>
        <w:t>EEDATA</w:t>
      </w:r>
      <w:r>
        <w:rPr/>
        <w:t>. The serial transmit and receive clock is 78 kHz during each </w:t>
      </w:r>
      <w:r>
        <w:rPr>
          <w:spacing w:val="-3"/>
        </w:rPr>
        <w:t>transmission,</w:t>
      </w:r>
      <w:r>
        <w:rPr>
          <w:spacing w:val="-11"/>
        </w:rPr>
        <w:t> </w:t>
      </w:r>
      <w:r>
        <w:rPr/>
        <w:t>and</w:t>
      </w:r>
      <w:r>
        <w:rPr>
          <w:spacing w:val="-10"/>
        </w:rPr>
        <w:t> </w:t>
      </w:r>
      <w:r>
        <w:rPr/>
        <w:t>then</w:t>
      </w:r>
      <w:r>
        <w:rPr>
          <w:spacing w:val="-11"/>
        </w:rPr>
        <w:t> </w:t>
      </w:r>
      <w:r>
        <w:rPr/>
        <w:t>holds</w:t>
      </w:r>
      <w:r>
        <w:rPr>
          <w:spacing w:val="-11"/>
        </w:rPr>
        <w:t> </w:t>
      </w:r>
      <w:r>
        <w:rPr/>
        <w:t>in</w:t>
      </w:r>
      <w:r>
        <w:rPr>
          <w:spacing w:val="-11"/>
        </w:rPr>
        <w:t> </w:t>
      </w:r>
      <w:r>
        <w:rPr/>
        <w:t>a</w:t>
      </w:r>
      <w:r>
        <w:rPr>
          <w:spacing w:val="-11"/>
        </w:rPr>
        <w:t> </w:t>
      </w:r>
      <w:r>
        <w:rPr/>
        <w:t>high</w:t>
      </w:r>
      <w:r>
        <w:rPr>
          <w:spacing w:val="-13"/>
        </w:rPr>
        <w:t> </w:t>
      </w:r>
      <w:r>
        <w:rPr/>
        <w:t>state</w:t>
      </w:r>
      <w:r>
        <w:rPr>
          <w:spacing w:val="-12"/>
        </w:rPr>
        <w:t> </w:t>
      </w:r>
      <w:r>
        <w:rPr/>
        <w:t>until</w:t>
      </w:r>
      <w:r>
        <w:rPr>
          <w:spacing w:val="-14"/>
        </w:rPr>
        <w:t> </w:t>
      </w:r>
      <w:r>
        <w:rPr/>
        <w:t>the</w:t>
      </w:r>
      <w:r>
        <w:rPr>
          <w:spacing w:val="-11"/>
        </w:rPr>
        <w:t> </w:t>
      </w:r>
      <w:r>
        <w:rPr/>
        <w:t>next</w:t>
      </w:r>
      <w:r>
        <w:rPr>
          <w:spacing w:val="-12"/>
        </w:rPr>
        <w:t> </w:t>
      </w:r>
      <w:r>
        <w:rPr/>
        <w:t>transmission.</w:t>
      </w:r>
      <w:r>
        <w:rPr>
          <w:spacing w:val="33"/>
        </w:rPr>
        <w:t> </w:t>
      </w:r>
      <w:r>
        <w:rPr/>
        <w:t>The</w:t>
      </w:r>
      <w:r>
        <w:rPr>
          <w:spacing w:val="-11"/>
        </w:rPr>
        <w:t> </w:t>
      </w:r>
      <w:r>
        <w:rPr>
          <w:rFonts w:ascii="Times New Roman"/>
          <w:i/>
        </w:rPr>
        <w:t>EECTRL</w:t>
      </w:r>
      <w:r>
        <w:rPr>
          <w:rFonts w:ascii="Times New Roman"/>
          <w:i/>
          <w:spacing w:val="-7"/>
        </w:rPr>
        <w:t> </w:t>
      </w:r>
      <w:r>
        <w:rPr/>
        <w:t>bits</w:t>
      </w:r>
      <w:r>
        <w:rPr>
          <w:spacing w:val="-7"/>
        </w:rPr>
        <w:t> </w:t>
      </w:r>
      <w:r>
        <w:rPr>
          <w:spacing w:val="-3"/>
        </w:rPr>
        <w:t>when</w:t>
      </w:r>
      <w:r>
        <w:rPr>
          <w:spacing w:val="-11"/>
        </w:rPr>
        <w:t> </w:t>
      </w:r>
      <w:r>
        <w:rPr/>
        <w:t>the</w:t>
      </w:r>
      <w:r>
        <w:rPr>
          <w:spacing w:val="-11"/>
        </w:rPr>
        <w:t> </w:t>
      </w:r>
      <w:r>
        <w:rPr/>
        <w:t>two-pin interface is selected are shown in </w:t>
      </w:r>
      <w:hyperlink w:history="true" w:anchor="_bookmark131">
        <w:r>
          <w:rPr>
            <w:color w:val="0000FF"/>
          </w:rPr>
          <w:t>Table</w:t>
        </w:r>
        <w:r>
          <w:rPr>
            <w:color w:val="0000FF"/>
            <w:spacing w:val="-6"/>
          </w:rPr>
          <w:t> </w:t>
        </w:r>
        <w:r>
          <w:rPr>
            <w:color w:val="0000FF"/>
          </w:rPr>
          <w:t>54</w:t>
        </w:r>
        <w:r>
          <w:rPr/>
          <w:t>.</w:t>
        </w:r>
      </w:hyperlink>
    </w:p>
    <w:p>
      <w:pPr>
        <w:pStyle w:val="BodyText"/>
        <w:spacing w:before="2"/>
      </w:pPr>
    </w:p>
    <w:p>
      <w:pPr>
        <w:pStyle w:val="Heading1"/>
        <w:ind w:left="63" w:right="204"/>
      </w:pPr>
      <w:bookmarkStart w:name="_bookmark131" w:id="266"/>
      <w:bookmarkEnd w:id="266"/>
      <w:r>
        <w:rPr>
          <w:b w:val="0"/>
        </w:rPr>
      </w:r>
      <w:r>
        <w:rPr/>
        <w:t>Table 54: </w:t>
      </w:r>
      <w:r>
        <w:rPr>
          <w:rFonts w:ascii="Times New Roman"/>
          <w:i/>
        </w:rPr>
        <w:t>EECTRL </w:t>
      </w:r>
      <w:r>
        <w:rPr/>
        <w:t>Bits for 2-pin Interface</w:t>
      </w:r>
    </w:p>
    <w:p>
      <w:pPr>
        <w:pStyle w:val="BodyText"/>
        <w:spacing w:before="4"/>
        <w:rPr>
          <w:b/>
          <w:sz w:val="5"/>
        </w:rPr>
      </w:pPr>
    </w:p>
    <w:tbl>
      <w:tblPr>
        <w:tblW w:w="0" w:type="auto"/>
        <w:jc w:val="left"/>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7"/>
        <w:gridCol w:w="1025"/>
        <w:gridCol w:w="775"/>
        <w:gridCol w:w="773"/>
        <w:gridCol w:w="1011"/>
        <w:gridCol w:w="121"/>
        <w:gridCol w:w="1043"/>
        <w:gridCol w:w="3735"/>
      </w:tblGrid>
      <w:tr>
        <w:trPr>
          <w:trHeight w:val="539" w:hRule="atLeast"/>
        </w:trPr>
        <w:tc>
          <w:tcPr>
            <w:tcW w:w="847" w:type="dxa"/>
            <w:tcBorders>
              <w:bottom w:val="single" w:sz="6" w:space="0" w:color="000000"/>
              <w:right w:val="single" w:sz="6" w:space="0" w:color="000000"/>
            </w:tcBorders>
          </w:tcPr>
          <w:p>
            <w:pPr>
              <w:pStyle w:val="TableParagraph"/>
              <w:spacing w:before="36"/>
              <w:ind w:left="289" w:right="87" w:hanging="173"/>
              <w:rPr>
                <w:b/>
                <w:sz w:val="20"/>
              </w:rPr>
            </w:pPr>
            <w:r>
              <w:rPr>
                <w:b/>
                <w:sz w:val="20"/>
              </w:rPr>
              <w:t>Status Bit</w:t>
            </w:r>
          </w:p>
        </w:tc>
        <w:tc>
          <w:tcPr>
            <w:tcW w:w="1025" w:type="dxa"/>
            <w:tcBorders>
              <w:left w:val="single" w:sz="6" w:space="0" w:color="000000"/>
              <w:bottom w:val="single" w:sz="6" w:space="0" w:color="000000"/>
              <w:right w:val="single" w:sz="6" w:space="0" w:color="000000"/>
            </w:tcBorders>
          </w:tcPr>
          <w:p>
            <w:pPr>
              <w:pStyle w:val="TableParagraph"/>
              <w:spacing w:before="151"/>
              <w:ind w:left="237"/>
              <w:rPr>
                <w:b/>
                <w:sz w:val="20"/>
              </w:rPr>
            </w:pPr>
            <w:r>
              <w:rPr>
                <w:b/>
                <w:sz w:val="20"/>
              </w:rPr>
              <w:t>Name</w:t>
            </w:r>
          </w:p>
        </w:tc>
        <w:tc>
          <w:tcPr>
            <w:tcW w:w="775" w:type="dxa"/>
            <w:tcBorders>
              <w:left w:val="single" w:sz="6" w:space="0" w:color="000000"/>
              <w:bottom w:val="single" w:sz="6" w:space="0" w:color="000000"/>
              <w:right w:val="single" w:sz="6" w:space="0" w:color="000000"/>
            </w:tcBorders>
          </w:tcPr>
          <w:p>
            <w:pPr>
              <w:pStyle w:val="TableParagraph"/>
              <w:spacing w:before="36"/>
              <w:ind w:left="133" w:hanging="22"/>
              <w:rPr>
                <w:b/>
                <w:sz w:val="20"/>
              </w:rPr>
            </w:pPr>
            <w:r>
              <w:rPr>
                <w:b/>
                <w:w w:val="95"/>
                <w:sz w:val="20"/>
              </w:rPr>
              <w:t>Read/ </w:t>
            </w:r>
            <w:r>
              <w:rPr>
                <w:b/>
                <w:sz w:val="20"/>
              </w:rPr>
              <w:t>Write</w:t>
            </w:r>
          </w:p>
        </w:tc>
        <w:tc>
          <w:tcPr>
            <w:tcW w:w="773" w:type="dxa"/>
            <w:tcBorders>
              <w:left w:val="single" w:sz="6" w:space="0" w:color="000000"/>
              <w:bottom w:val="single" w:sz="6" w:space="0" w:color="000000"/>
              <w:right w:val="single" w:sz="6" w:space="0" w:color="000000"/>
            </w:tcBorders>
          </w:tcPr>
          <w:p>
            <w:pPr>
              <w:pStyle w:val="TableParagraph"/>
              <w:spacing w:before="36"/>
              <w:ind w:left="138" w:hanging="27"/>
              <w:rPr>
                <w:b/>
                <w:sz w:val="20"/>
              </w:rPr>
            </w:pPr>
            <w:r>
              <w:rPr>
                <w:b/>
                <w:w w:val="95"/>
                <w:sz w:val="20"/>
              </w:rPr>
              <w:t>Reset </w:t>
            </w:r>
            <w:r>
              <w:rPr>
                <w:b/>
                <w:sz w:val="20"/>
              </w:rPr>
              <w:t>State</w:t>
            </w:r>
          </w:p>
        </w:tc>
        <w:tc>
          <w:tcPr>
            <w:tcW w:w="1011" w:type="dxa"/>
            <w:tcBorders>
              <w:left w:val="single" w:sz="6" w:space="0" w:color="000000"/>
              <w:bottom w:val="single" w:sz="6" w:space="0" w:color="000000"/>
              <w:right w:val="single" w:sz="6" w:space="0" w:color="000000"/>
            </w:tcBorders>
          </w:tcPr>
          <w:p>
            <w:pPr>
              <w:pStyle w:val="TableParagraph"/>
              <w:spacing w:before="152"/>
              <w:ind w:left="133"/>
              <w:rPr>
                <w:b/>
                <w:sz w:val="20"/>
              </w:rPr>
            </w:pPr>
            <w:r>
              <w:rPr>
                <w:b/>
                <w:sz w:val="20"/>
              </w:rPr>
              <w:t>Polarity</w:t>
            </w:r>
          </w:p>
        </w:tc>
        <w:tc>
          <w:tcPr>
            <w:tcW w:w="4899" w:type="dxa"/>
            <w:gridSpan w:val="3"/>
            <w:tcBorders>
              <w:left w:val="single" w:sz="6" w:space="0" w:color="000000"/>
              <w:bottom w:val="single" w:sz="6" w:space="0" w:color="000000"/>
            </w:tcBorders>
          </w:tcPr>
          <w:p>
            <w:pPr>
              <w:pStyle w:val="TableParagraph"/>
              <w:spacing w:before="152"/>
              <w:ind w:left="104"/>
              <w:rPr>
                <w:b/>
                <w:sz w:val="20"/>
              </w:rPr>
            </w:pPr>
            <w:r>
              <w:rPr>
                <w:b/>
                <w:sz w:val="20"/>
              </w:rPr>
              <w:t>Description</w:t>
            </w:r>
          </w:p>
        </w:tc>
      </w:tr>
      <w:tr>
        <w:trPr>
          <w:trHeight w:val="270" w:hRule="atLeast"/>
        </w:trPr>
        <w:tc>
          <w:tcPr>
            <w:tcW w:w="847" w:type="dxa"/>
            <w:tcBorders>
              <w:top w:val="single" w:sz="6" w:space="0" w:color="000000"/>
              <w:bottom w:val="single" w:sz="6" w:space="0" w:color="000000"/>
              <w:right w:val="single" w:sz="6" w:space="0" w:color="000000"/>
            </w:tcBorders>
          </w:tcPr>
          <w:p>
            <w:pPr>
              <w:pStyle w:val="TableParagraph"/>
              <w:spacing w:before="18"/>
              <w:ind w:left="10"/>
              <w:jc w:val="center"/>
              <w:rPr>
                <w:sz w:val="20"/>
              </w:rPr>
            </w:pPr>
            <w:r>
              <w:rPr>
                <w:w w:val="99"/>
                <w:sz w:val="20"/>
              </w:rPr>
              <w:t>7</w:t>
            </w:r>
          </w:p>
        </w:tc>
        <w:tc>
          <w:tcPr>
            <w:tcW w:w="1025" w:type="dxa"/>
            <w:tcBorders>
              <w:top w:val="single" w:sz="6" w:space="0" w:color="000000"/>
              <w:left w:val="single" w:sz="6" w:space="0" w:color="000000"/>
              <w:bottom w:val="single" w:sz="6" w:space="0" w:color="000000"/>
              <w:right w:val="single" w:sz="6" w:space="0" w:color="000000"/>
            </w:tcBorders>
          </w:tcPr>
          <w:p>
            <w:pPr>
              <w:pStyle w:val="TableParagraph"/>
              <w:spacing w:before="14"/>
              <w:ind w:left="105"/>
              <w:rPr>
                <w:rFonts w:ascii="Times New Roman"/>
                <w:i/>
                <w:sz w:val="20"/>
              </w:rPr>
            </w:pPr>
            <w:r>
              <w:rPr>
                <w:rFonts w:ascii="Times New Roman"/>
                <w:i/>
                <w:sz w:val="20"/>
              </w:rPr>
              <w:t>ERROR</w:t>
            </w:r>
          </w:p>
        </w:tc>
        <w:tc>
          <w:tcPr>
            <w:tcW w:w="775" w:type="dxa"/>
            <w:tcBorders>
              <w:top w:val="single" w:sz="6" w:space="0" w:color="000000"/>
              <w:left w:val="single" w:sz="6" w:space="0" w:color="000000"/>
              <w:bottom w:val="single" w:sz="6" w:space="0" w:color="000000"/>
              <w:right w:val="single" w:sz="6" w:space="0" w:color="000000"/>
            </w:tcBorders>
          </w:tcPr>
          <w:p>
            <w:pPr>
              <w:pStyle w:val="TableParagraph"/>
              <w:spacing w:before="18"/>
              <w:ind w:left="7"/>
              <w:jc w:val="center"/>
              <w:rPr>
                <w:sz w:val="20"/>
              </w:rPr>
            </w:pPr>
            <w:r>
              <w:rPr>
                <w:w w:val="99"/>
                <w:sz w:val="20"/>
              </w:rPr>
              <w:t>R</w:t>
            </w:r>
          </w:p>
        </w:tc>
        <w:tc>
          <w:tcPr>
            <w:tcW w:w="773" w:type="dxa"/>
            <w:tcBorders>
              <w:top w:val="single" w:sz="6" w:space="0" w:color="000000"/>
              <w:left w:val="single" w:sz="6" w:space="0" w:color="000000"/>
              <w:bottom w:val="single" w:sz="6" w:space="0" w:color="000000"/>
              <w:right w:val="single" w:sz="6" w:space="0" w:color="000000"/>
            </w:tcBorders>
          </w:tcPr>
          <w:p>
            <w:pPr>
              <w:pStyle w:val="TableParagraph"/>
              <w:spacing w:before="18"/>
              <w:ind w:left="10"/>
              <w:jc w:val="center"/>
              <w:rPr>
                <w:sz w:val="20"/>
              </w:rPr>
            </w:pPr>
            <w:r>
              <w:rPr>
                <w:w w:val="99"/>
                <w:sz w:val="20"/>
              </w:rPr>
              <w:t>0</w:t>
            </w:r>
          </w:p>
        </w:tc>
        <w:tc>
          <w:tcPr>
            <w:tcW w:w="1011" w:type="dxa"/>
            <w:tcBorders>
              <w:top w:val="single" w:sz="6" w:space="0" w:color="000000"/>
              <w:left w:val="single" w:sz="6" w:space="0" w:color="000000"/>
              <w:bottom w:val="single" w:sz="6" w:space="0" w:color="000000"/>
              <w:right w:val="single" w:sz="6" w:space="0" w:color="000000"/>
            </w:tcBorders>
          </w:tcPr>
          <w:p>
            <w:pPr>
              <w:pStyle w:val="TableParagraph"/>
              <w:spacing w:before="18"/>
              <w:ind w:left="105"/>
              <w:rPr>
                <w:sz w:val="20"/>
              </w:rPr>
            </w:pPr>
            <w:r>
              <w:rPr>
                <w:sz w:val="20"/>
              </w:rPr>
              <w:t>Positive</w:t>
            </w:r>
          </w:p>
        </w:tc>
        <w:tc>
          <w:tcPr>
            <w:tcW w:w="4899" w:type="dxa"/>
            <w:gridSpan w:val="3"/>
            <w:tcBorders>
              <w:top w:val="single" w:sz="6" w:space="0" w:color="000000"/>
              <w:left w:val="single" w:sz="6" w:space="0" w:color="000000"/>
              <w:bottom w:val="single" w:sz="6" w:space="0" w:color="000000"/>
            </w:tcBorders>
          </w:tcPr>
          <w:p>
            <w:pPr>
              <w:pStyle w:val="TableParagraph"/>
              <w:spacing w:before="18"/>
              <w:ind w:left="104"/>
              <w:rPr>
                <w:sz w:val="20"/>
              </w:rPr>
            </w:pPr>
            <w:r>
              <w:rPr>
                <w:sz w:val="20"/>
              </w:rPr>
              <w:t>1 when an illegal command is received.</w:t>
            </w:r>
          </w:p>
        </w:tc>
      </w:tr>
      <w:tr>
        <w:trPr>
          <w:trHeight w:val="270" w:hRule="atLeast"/>
        </w:trPr>
        <w:tc>
          <w:tcPr>
            <w:tcW w:w="847" w:type="dxa"/>
            <w:tcBorders>
              <w:top w:val="single" w:sz="6" w:space="0" w:color="000000"/>
              <w:bottom w:val="single" w:sz="6" w:space="0" w:color="000000"/>
              <w:right w:val="single" w:sz="6" w:space="0" w:color="000000"/>
            </w:tcBorders>
          </w:tcPr>
          <w:p>
            <w:pPr>
              <w:pStyle w:val="TableParagraph"/>
              <w:spacing w:before="18"/>
              <w:ind w:left="10"/>
              <w:jc w:val="center"/>
              <w:rPr>
                <w:sz w:val="20"/>
              </w:rPr>
            </w:pPr>
            <w:r>
              <w:rPr>
                <w:w w:val="99"/>
                <w:sz w:val="20"/>
              </w:rPr>
              <w:t>6</w:t>
            </w:r>
          </w:p>
        </w:tc>
        <w:tc>
          <w:tcPr>
            <w:tcW w:w="1025" w:type="dxa"/>
            <w:tcBorders>
              <w:top w:val="single" w:sz="6" w:space="0" w:color="000000"/>
              <w:left w:val="single" w:sz="6" w:space="0" w:color="000000"/>
              <w:bottom w:val="single" w:sz="6" w:space="0" w:color="000000"/>
              <w:right w:val="single" w:sz="6" w:space="0" w:color="000000"/>
            </w:tcBorders>
          </w:tcPr>
          <w:p>
            <w:pPr>
              <w:pStyle w:val="TableParagraph"/>
              <w:spacing w:before="14"/>
              <w:ind w:left="105"/>
              <w:rPr>
                <w:rFonts w:ascii="Times New Roman"/>
                <w:i/>
                <w:sz w:val="20"/>
              </w:rPr>
            </w:pPr>
            <w:r>
              <w:rPr>
                <w:rFonts w:ascii="Times New Roman"/>
                <w:i/>
                <w:sz w:val="20"/>
              </w:rPr>
              <w:t>BUSY</w:t>
            </w:r>
          </w:p>
        </w:tc>
        <w:tc>
          <w:tcPr>
            <w:tcW w:w="775" w:type="dxa"/>
            <w:tcBorders>
              <w:top w:val="single" w:sz="6" w:space="0" w:color="000000"/>
              <w:left w:val="single" w:sz="6" w:space="0" w:color="000000"/>
              <w:bottom w:val="single" w:sz="6" w:space="0" w:color="000000"/>
              <w:right w:val="single" w:sz="6" w:space="0" w:color="000000"/>
            </w:tcBorders>
          </w:tcPr>
          <w:p>
            <w:pPr>
              <w:pStyle w:val="TableParagraph"/>
              <w:spacing w:before="18"/>
              <w:ind w:left="7"/>
              <w:jc w:val="center"/>
              <w:rPr>
                <w:sz w:val="20"/>
              </w:rPr>
            </w:pPr>
            <w:r>
              <w:rPr>
                <w:w w:val="99"/>
                <w:sz w:val="20"/>
              </w:rPr>
              <w:t>R</w:t>
            </w:r>
          </w:p>
        </w:tc>
        <w:tc>
          <w:tcPr>
            <w:tcW w:w="773" w:type="dxa"/>
            <w:tcBorders>
              <w:top w:val="single" w:sz="6" w:space="0" w:color="000000"/>
              <w:left w:val="single" w:sz="6" w:space="0" w:color="000000"/>
              <w:bottom w:val="single" w:sz="6" w:space="0" w:color="000000"/>
              <w:right w:val="single" w:sz="6" w:space="0" w:color="000000"/>
            </w:tcBorders>
          </w:tcPr>
          <w:p>
            <w:pPr>
              <w:pStyle w:val="TableParagraph"/>
              <w:spacing w:before="18"/>
              <w:ind w:left="10"/>
              <w:jc w:val="center"/>
              <w:rPr>
                <w:sz w:val="20"/>
              </w:rPr>
            </w:pPr>
            <w:r>
              <w:rPr>
                <w:w w:val="99"/>
                <w:sz w:val="20"/>
              </w:rPr>
              <w:t>0</w:t>
            </w:r>
          </w:p>
        </w:tc>
        <w:tc>
          <w:tcPr>
            <w:tcW w:w="1011" w:type="dxa"/>
            <w:tcBorders>
              <w:top w:val="single" w:sz="6" w:space="0" w:color="000000"/>
              <w:left w:val="single" w:sz="6" w:space="0" w:color="000000"/>
              <w:bottom w:val="single" w:sz="6" w:space="0" w:color="000000"/>
              <w:right w:val="single" w:sz="6" w:space="0" w:color="000000"/>
            </w:tcBorders>
          </w:tcPr>
          <w:p>
            <w:pPr>
              <w:pStyle w:val="TableParagraph"/>
              <w:spacing w:before="18"/>
              <w:ind w:left="105"/>
              <w:rPr>
                <w:sz w:val="20"/>
              </w:rPr>
            </w:pPr>
            <w:r>
              <w:rPr>
                <w:sz w:val="20"/>
              </w:rPr>
              <w:t>Positive</w:t>
            </w:r>
          </w:p>
        </w:tc>
        <w:tc>
          <w:tcPr>
            <w:tcW w:w="4899" w:type="dxa"/>
            <w:gridSpan w:val="3"/>
            <w:tcBorders>
              <w:top w:val="single" w:sz="6" w:space="0" w:color="000000"/>
              <w:left w:val="single" w:sz="6" w:space="0" w:color="000000"/>
              <w:bottom w:val="single" w:sz="6" w:space="0" w:color="000000"/>
            </w:tcBorders>
          </w:tcPr>
          <w:p>
            <w:pPr>
              <w:pStyle w:val="TableParagraph"/>
              <w:spacing w:before="18"/>
              <w:ind w:left="104"/>
              <w:rPr>
                <w:sz w:val="20"/>
              </w:rPr>
            </w:pPr>
            <w:r>
              <w:rPr>
                <w:sz w:val="20"/>
              </w:rPr>
              <w:t>1 when serial data bus is busy.</w:t>
            </w:r>
          </w:p>
        </w:tc>
      </w:tr>
      <w:tr>
        <w:trPr>
          <w:trHeight w:val="268" w:hRule="atLeast"/>
        </w:trPr>
        <w:tc>
          <w:tcPr>
            <w:tcW w:w="847" w:type="dxa"/>
            <w:tcBorders>
              <w:top w:val="single" w:sz="6" w:space="0" w:color="000000"/>
              <w:bottom w:val="single" w:sz="6" w:space="0" w:color="000000"/>
              <w:right w:val="single" w:sz="6" w:space="0" w:color="000000"/>
            </w:tcBorders>
          </w:tcPr>
          <w:p>
            <w:pPr>
              <w:pStyle w:val="TableParagraph"/>
              <w:spacing w:line="230" w:lineRule="exact" w:before="18"/>
              <w:ind w:left="10"/>
              <w:jc w:val="center"/>
              <w:rPr>
                <w:sz w:val="20"/>
              </w:rPr>
            </w:pPr>
            <w:r>
              <w:rPr>
                <w:w w:val="99"/>
                <w:sz w:val="20"/>
              </w:rPr>
              <w:t>5</w:t>
            </w:r>
          </w:p>
        </w:tc>
        <w:tc>
          <w:tcPr>
            <w:tcW w:w="1025" w:type="dxa"/>
            <w:tcBorders>
              <w:top w:val="single" w:sz="6" w:space="0" w:color="000000"/>
              <w:left w:val="single" w:sz="6" w:space="0" w:color="000000"/>
              <w:bottom w:val="single" w:sz="6" w:space="0" w:color="000000"/>
              <w:right w:val="single" w:sz="6" w:space="0" w:color="000000"/>
            </w:tcBorders>
          </w:tcPr>
          <w:p>
            <w:pPr>
              <w:pStyle w:val="TableParagraph"/>
              <w:spacing w:before="14"/>
              <w:ind w:left="105"/>
              <w:rPr>
                <w:rFonts w:ascii="Times New Roman"/>
                <w:i/>
                <w:sz w:val="20"/>
              </w:rPr>
            </w:pPr>
            <w:r>
              <w:rPr>
                <w:rFonts w:ascii="Times New Roman"/>
                <w:i/>
                <w:sz w:val="20"/>
              </w:rPr>
              <w:t>RX_ACK</w:t>
            </w:r>
          </w:p>
        </w:tc>
        <w:tc>
          <w:tcPr>
            <w:tcW w:w="775"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7"/>
              <w:jc w:val="center"/>
              <w:rPr>
                <w:sz w:val="20"/>
              </w:rPr>
            </w:pPr>
            <w:r>
              <w:rPr>
                <w:w w:val="99"/>
                <w:sz w:val="20"/>
              </w:rPr>
              <w:t>R</w:t>
            </w:r>
          </w:p>
        </w:tc>
        <w:tc>
          <w:tcPr>
            <w:tcW w:w="77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10"/>
              <w:jc w:val="center"/>
              <w:rPr>
                <w:sz w:val="20"/>
              </w:rPr>
            </w:pPr>
            <w:r>
              <w:rPr>
                <w:w w:val="99"/>
                <w:sz w:val="20"/>
              </w:rPr>
              <w:t>1</w:t>
            </w:r>
          </w:p>
        </w:tc>
        <w:tc>
          <w:tcPr>
            <w:tcW w:w="1011"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105"/>
              <w:rPr>
                <w:sz w:val="20"/>
              </w:rPr>
            </w:pPr>
            <w:r>
              <w:rPr>
                <w:sz w:val="20"/>
              </w:rPr>
              <w:t>Positive</w:t>
            </w:r>
          </w:p>
        </w:tc>
        <w:tc>
          <w:tcPr>
            <w:tcW w:w="4899" w:type="dxa"/>
            <w:gridSpan w:val="3"/>
            <w:tcBorders>
              <w:top w:val="single" w:sz="6" w:space="0" w:color="000000"/>
              <w:left w:val="single" w:sz="6" w:space="0" w:color="000000"/>
              <w:bottom w:val="single" w:sz="6" w:space="0" w:color="000000"/>
            </w:tcBorders>
          </w:tcPr>
          <w:p>
            <w:pPr>
              <w:pStyle w:val="TableParagraph"/>
              <w:spacing w:line="230" w:lineRule="exact" w:before="18"/>
              <w:ind w:left="104"/>
              <w:rPr>
                <w:sz w:val="20"/>
              </w:rPr>
            </w:pPr>
            <w:r>
              <w:rPr>
                <w:sz w:val="20"/>
              </w:rPr>
              <w:t>1 indicates that the EEPROM sent an ACK bit.</w:t>
            </w:r>
          </w:p>
        </w:tc>
      </w:tr>
      <w:tr>
        <w:trPr>
          <w:trHeight w:val="497" w:hRule="atLeast"/>
        </w:trPr>
        <w:tc>
          <w:tcPr>
            <w:tcW w:w="847" w:type="dxa"/>
            <w:tcBorders>
              <w:top w:val="single" w:sz="6" w:space="0" w:color="000000"/>
              <w:bottom w:val="single" w:sz="6" w:space="0" w:color="000000"/>
              <w:right w:val="single" w:sz="6" w:space="0" w:color="000000"/>
            </w:tcBorders>
          </w:tcPr>
          <w:p>
            <w:pPr>
              <w:pStyle w:val="TableParagraph"/>
              <w:spacing w:before="133"/>
              <w:ind w:left="10"/>
              <w:jc w:val="center"/>
              <w:rPr>
                <w:sz w:val="20"/>
              </w:rPr>
            </w:pPr>
            <w:r>
              <w:rPr>
                <w:w w:val="99"/>
                <w:sz w:val="20"/>
              </w:rPr>
              <w:t>4</w:t>
            </w:r>
          </w:p>
        </w:tc>
        <w:tc>
          <w:tcPr>
            <w:tcW w:w="1025" w:type="dxa"/>
            <w:tcBorders>
              <w:top w:val="single" w:sz="6" w:space="0" w:color="000000"/>
              <w:left w:val="single" w:sz="6" w:space="0" w:color="000000"/>
              <w:bottom w:val="single" w:sz="6" w:space="0" w:color="000000"/>
              <w:right w:val="single" w:sz="6" w:space="0" w:color="000000"/>
            </w:tcBorders>
          </w:tcPr>
          <w:p>
            <w:pPr>
              <w:pStyle w:val="TableParagraph"/>
              <w:spacing w:before="130"/>
              <w:ind w:left="105"/>
              <w:rPr>
                <w:rFonts w:ascii="Times New Roman"/>
                <w:i/>
                <w:sz w:val="20"/>
              </w:rPr>
            </w:pPr>
            <w:r>
              <w:rPr>
                <w:rFonts w:ascii="Times New Roman"/>
                <w:i/>
                <w:sz w:val="20"/>
              </w:rPr>
              <w:t>TX_ACK</w:t>
            </w:r>
          </w:p>
        </w:tc>
        <w:tc>
          <w:tcPr>
            <w:tcW w:w="775" w:type="dxa"/>
            <w:tcBorders>
              <w:top w:val="single" w:sz="6" w:space="0" w:color="000000"/>
              <w:left w:val="single" w:sz="6" w:space="0" w:color="000000"/>
              <w:bottom w:val="single" w:sz="6" w:space="0" w:color="000000"/>
              <w:right w:val="single" w:sz="6" w:space="0" w:color="000000"/>
            </w:tcBorders>
          </w:tcPr>
          <w:p>
            <w:pPr>
              <w:pStyle w:val="TableParagraph"/>
              <w:spacing w:before="133"/>
              <w:ind w:left="7"/>
              <w:jc w:val="center"/>
              <w:rPr>
                <w:sz w:val="20"/>
              </w:rPr>
            </w:pPr>
            <w:r>
              <w:rPr>
                <w:w w:val="99"/>
                <w:sz w:val="20"/>
              </w:rPr>
              <w:t>R</w:t>
            </w:r>
          </w:p>
        </w:tc>
        <w:tc>
          <w:tcPr>
            <w:tcW w:w="773" w:type="dxa"/>
            <w:tcBorders>
              <w:top w:val="single" w:sz="6" w:space="0" w:color="000000"/>
              <w:left w:val="single" w:sz="6" w:space="0" w:color="000000"/>
              <w:bottom w:val="single" w:sz="6" w:space="0" w:color="000000"/>
              <w:right w:val="single" w:sz="6" w:space="0" w:color="000000"/>
            </w:tcBorders>
          </w:tcPr>
          <w:p>
            <w:pPr>
              <w:pStyle w:val="TableParagraph"/>
              <w:spacing w:before="133"/>
              <w:ind w:left="10"/>
              <w:jc w:val="center"/>
              <w:rPr>
                <w:sz w:val="20"/>
              </w:rPr>
            </w:pPr>
            <w:r>
              <w:rPr>
                <w:w w:val="99"/>
                <w:sz w:val="20"/>
              </w:rPr>
              <w:t>1</w:t>
            </w:r>
          </w:p>
        </w:tc>
        <w:tc>
          <w:tcPr>
            <w:tcW w:w="1011" w:type="dxa"/>
            <w:tcBorders>
              <w:top w:val="single" w:sz="6" w:space="0" w:color="000000"/>
              <w:left w:val="single" w:sz="6" w:space="0" w:color="000000"/>
              <w:bottom w:val="single" w:sz="6" w:space="0" w:color="000000"/>
              <w:right w:val="single" w:sz="6" w:space="0" w:color="000000"/>
            </w:tcBorders>
          </w:tcPr>
          <w:p>
            <w:pPr>
              <w:pStyle w:val="TableParagraph"/>
              <w:spacing w:before="133"/>
              <w:ind w:left="105"/>
              <w:rPr>
                <w:sz w:val="20"/>
              </w:rPr>
            </w:pPr>
            <w:r>
              <w:rPr>
                <w:sz w:val="20"/>
              </w:rPr>
              <w:t>Positive</w:t>
            </w:r>
          </w:p>
        </w:tc>
        <w:tc>
          <w:tcPr>
            <w:tcW w:w="4899" w:type="dxa"/>
            <w:gridSpan w:val="3"/>
            <w:tcBorders>
              <w:top w:val="single" w:sz="6" w:space="0" w:color="000000"/>
              <w:left w:val="single" w:sz="6" w:space="0" w:color="000000"/>
              <w:bottom w:val="thinThickMediumGap" w:sz="3" w:space="0" w:color="000000"/>
            </w:tcBorders>
          </w:tcPr>
          <w:p>
            <w:pPr>
              <w:pStyle w:val="TableParagraph"/>
              <w:spacing w:line="230" w:lineRule="atLeast" w:before="21"/>
              <w:ind w:left="104" w:right="531"/>
              <w:rPr>
                <w:sz w:val="20"/>
              </w:rPr>
            </w:pPr>
            <w:r>
              <w:rPr>
                <w:sz w:val="20"/>
              </w:rPr>
              <w:t>1 </w:t>
            </w:r>
            <w:r>
              <w:rPr>
                <w:spacing w:val="-4"/>
                <w:sz w:val="20"/>
              </w:rPr>
              <w:t>indicates when </w:t>
            </w:r>
            <w:r>
              <w:rPr>
                <w:sz w:val="20"/>
              </w:rPr>
              <w:t>an </w:t>
            </w:r>
            <w:r>
              <w:rPr>
                <w:spacing w:val="-3"/>
                <w:sz w:val="20"/>
              </w:rPr>
              <w:t>ACK bit </w:t>
            </w:r>
            <w:r>
              <w:rPr>
                <w:spacing w:val="-4"/>
                <w:sz w:val="20"/>
              </w:rPr>
              <w:t>has </w:t>
            </w:r>
            <w:r>
              <w:rPr>
                <w:spacing w:val="-3"/>
                <w:sz w:val="20"/>
              </w:rPr>
              <w:t>been sent </w:t>
            </w:r>
            <w:r>
              <w:rPr>
                <w:sz w:val="20"/>
              </w:rPr>
              <w:t>to </w:t>
            </w:r>
            <w:r>
              <w:rPr>
                <w:spacing w:val="-3"/>
                <w:sz w:val="20"/>
              </w:rPr>
              <w:t>the </w:t>
            </w:r>
            <w:r>
              <w:rPr>
                <w:spacing w:val="-4"/>
                <w:sz w:val="20"/>
              </w:rPr>
              <w:t>EEPROM.</w:t>
            </w:r>
          </w:p>
        </w:tc>
      </w:tr>
      <w:tr>
        <w:trPr>
          <w:trHeight w:val="295" w:hRule="atLeast"/>
        </w:trPr>
        <w:tc>
          <w:tcPr>
            <w:tcW w:w="847" w:type="dxa"/>
            <w:vMerge w:val="restart"/>
            <w:tcBorders>
              <w:top w:val="single" w:sz="6" w:space="0" w:color="000000"/>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
              <w:rPr>
                <w:b/>
                <w:sz w:val="19"/>
              </w:rPr>
            </w:pPr>
          </w:p>
          <w:p>
            <w:pPr>
              <w:pStyle w:val="TableParagraph"/>
              <w:ind w:left="282"/>
              <w:rPr>
                <w:sz w:val="20"/>
              </w:rPr>
            </w:pPr>
            <w:r>
              <w:rPr>
                <w:sz w:val="20"/>
              </w:rPr>
              <w:t>3:0</w:t>
            </w:r>
          </w:p>
        </w:tc>
        <w:tc>
          <w:tcPr>
            <w:tcW w:w="1025" w:type="dxa"/>
            <w:vMerge w:val="restart"/>
            <w:tcBorders>
              <w:top w:val="single" w:sz="6" w:space="0" w:color="000000"/>
              <w:left w:val="single" w:sz="6" w:space="0" w:color="000000"/>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18"/>
              </w:rPr>
            </w:pPr>
          </w:p>
          <w:p>
            <w:pPr>
              <w:pStyle w:val="TableParagraph"/>
              <w:ind w:left="98"/>
              <w:rPr>
                <w:rFonts w:ascii="Times New Roman"/>
                <w:i/>
                <w:sz w:val="20"/>
              </w:rPr>
            </w:pPr>
            <w:r>
              <w:rPr>
                <w:rFonts w:ascii="Times New Roman"/>
                <w:i/>
                <w:sz w:val="20"/>
              </w:rPr>
              <w:t>CMD[3:0]</w:t>
            </w:r>
          </w:p>
        </w:tc>
        <w:tc>
          <w:tcPr>
            <w:tcW w:w="775" w:type="dxa"/>
            <w:vMerge w:val="restart"/>
            <w:tcBorders>
              <w:top w:val="single" w:sz="6" w:space="0" w:color="000000"/>
              <w:left w:val="single" w:sz="6" w:space="0" w:color="000000"/>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
              <w:rPr>
                <w:b/>
                <w:sz w:val="19"/>
              </w:rPr>
            </w:pPr>
          </w:p>
          <w:p>
            <w:pPr>
              <w:pStyle w:val="TableParagraph"/>
              <w:ind w:left="8"/>
              <w:jc w:val="center"/>
              <w:rPr>
                <w:sz w:val="20"/>
              </w:rPr>
            </w:pPr>
            <w:r>
              <w:rPr>
                <w:w w:val="99"/>
                <w:sz w:val="20"/>
              </w:rPr>
              <w:t>W</w:t>
            </w:r>
          </w:p>
        </w:tc>
        <w:tc>
          <w:tcPr>
            <w:tcW w:w="773" w:type="dxa"/>
            <w:vMerge w:val="restart"/>
            <w:tcBorders>
              <w:top w:val="single" w:sz="6" w:space="0" w:color="000000"/>
              <w:left w:val="single" w:sz="6" w:space="0" w:color="000000"/>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
              <w:rPr>
                <w:b/>
                <w:sz w:val="19"/>
              </w:rPr>
            </w:pPr>
          </w:p>
          <w:p>
            <w:pPr>
              <w:pStyle w:val="TableParagraph"/>
              <w:ind w:left="160"/>
              <w:rPr>
                <w:sz w:val="20"/>
              </w:rPr>
            </w:pPr>
            <w:r>
              <w:rPr>
                <w:sz w:val="20"/>
              </w:rPr>
              <w:t>0000</w:t>
            </w:r>
          </w:p>
        </w:tc>
        <w:tc>
          <w:tcPr>
            <w:tcW w:w="1011" w:type="dxa"/>
            <w:vMerge w:val="restart"/>
            <w:tcBorders>
              <w:top w:val="single" w:sz="6" w:space="0" w:color="000000"/>
              <w:left w:val="single" w:sz="6" w:space="0" w:color="000000"/>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
              <w:rPr>
                <w:b/>
                <w:sz w:val="19"/>
              </w:rPr>
            </w:pPr>
          </w:p>
          <w:p>
            <w:pPr>
              <w:pStyle w:val="TableParagraph"/>
              <w:ind w:left="105"/>
              <w:rPr>
                <w:sz w:val="20"/>
              </w:rPr>
            </w:pPr>
            <w:r>
              <w:rPr>
                <w:sz w:val="20"/>
              </w:rPr>
              <w:t>Positive</w:t>
            </w:r>
          </w:p>
        </w:tc>
        <w:tc>
          <w:tcPr>
            <w:tcW w:w="121" w:type="dxa"/>
            <w:vMerge w:val="restart"/>
            <w:tcBorders>
              <w:top w:val="single" w:sz="6" w:space="0" w:color="000000"/>
              <w:left w:val="single" w:sz="6" w:space="0" w:color="000000"/>
            </w:tcBorders>
          </w:tcPr>
          <w:p>
            <w:pPr>
              <w:pStyle w:val="TableParagraph"/>
              <w:rPr>
                <w:rFonts w:ascii="Times New Roman"/>
                <w:sz w:val="18"/>
              </w:rPr>
            </w:pPr>
          </w:p>
        </w:tc>
        <w:tc>
          <w:tcPr>
            <w:tcW w:w="1043" w:type="dxa"/>
            <w:tcBorders>
              <w:top w:val="thickThinMediumGap" w:sz="3" w:space="0" w:color="000000"/>
            </w:tcBorders>
          </w:tcPr>
          <w:p>
            <w:pPr>
              <w:pStyle w:val="TableParagraph"/>
              <w:spacing w:line="229" w:lineRule="exact" w:before="47"/>
              <w:ind w:left="70" w:right="66"/>
              <w:jc w:val="center"/>
              <w:rPr>
                <w:rFonts w:ascii="Times New Roman"/>
                <w:b/>
                <w:i/>
                <w:sz w:val="20"/>
              </w:rPr>
            </w:pPr>
            <w:r>
              <w:rPr>
                <w:rFonts w:ascii="Times New Roman"/>
                <w:b/>
                <w:i/>
                <w:sz w:val="20"/>
              </w:rPr>
              <w:t>CMD[3:0]</w:t>
            </w:r>
          </w:p>
        </w:tc>
        <w:tc>
          <w:tcPr>
            <w:tcW w:w="3735" w:type="dxa"/>
            <w:tcBorders>
              <w:top w:val="thickThinMediumGap" w:sz="3" w:space="0" w:color="000000"/>
              <w:right w:val="double" w:sz="1" w:space="0" w:color="000000"/>
            </w:tcBorders>
          </w:tcPr>
          <w:p>
            <w:pPr>
              <w:pStyle w:val="TableParagraph"/>
              <w:spacing w:before="43"/>
              <w:ind w:left="1352" w:right="1378"/>
              <w:jc w:val="center"/>
              <w:rPr>
                <w:b/>
                <w:sz w:val="20"/>
              </w:rPr>
            </w:pPr>
            <w:r>
              <w:rPr>
                <w:b/>
                <w:sz w:val="20"/>
              </w:rPr>
              <w:t>Operation</w:t>
            </w:r>
          </w:p>
        </w:tc>
      </w:tr>
      <w:tr>
        <w:trPr>
          <w:trHeight w:val="729" w:hRule="atLeast"/>
        </w:trPr>
        <w:tc>
          <w:tcPr>
            <w:tcW w:w="847" w:type="dxa"/>
            <w:vMerge/>
            <w:tcBorders>
              <w:top w:val="nil"/>
              <w:right w:val="single" w:sz="6" w:space="0" w:color="000000"/>
            </w:tcBorders>
          </w:tcPr>
          <w:p>
            <w:pPr>
              <w:rPr>
                <w:sz w:val="2"/>
                <w:szCs w:val="2"/>
              </w:rPr>
            </w:pPr>
          </w:p>
        </w:tc>
        <w:tc>
          <w:tcPr>
            <w:tcW w:w="1025" w:type="dxa"/>
            <w:vMerge/>
            <w:tcBorders>
              <w:top w:val="nil"/>
              <w:left w:val="single" w:sz="6" w:space="0" w:color="000000"/>
              <w:right w:val="single" w:sz="6" w:space="0" w:color="000000"/>
            </w:tcBorders>
          </w:tcPr>
          <w:p>
            <w:pPr>
              <w:rPr>
                <w:sz w:val="2"/>
                <w:szCs w:val="2"/>
              </w:rPr>
            </w:pPr>
          </w:p>
        </w:tc>
        <w:tc>
          <w:tcPr>
            <w:tcW w:w="775" w:type="dxa"/>
            <w:vMerge/>
            <w:tcBorders>
              <w:top w:val="nil"/>
              <w:left w:val="single" w:sz="6" w:space="0" w:color="000000"/>
              <w:right w:val="single" w:sz="6" w:space="0" w:color="000000"/>
            </w:tcBorders>
          </w:tcPr>
          <w:p>
            <w:pPr>
              <w:rPr>
                <w:sz w:val="2"/>
                <w:szCs w:val="2"/>
              </w:rPr>
            </w:pPr>
          </w:p>
        </w:tc>
        <w:tc>
          <w:tcPr>
            <w:tcW w:w="773" w:type="dxa"/>
            <w:vMerge/>
            <w:tcBorders>
              <w:top w:val="nil"/>
              <w:left w:val="single" w:sz="6" w:space="0" w:color="000000"/>
              <w:right w:val="single" w:sz="6" w:space="0" w:color="000000"/>
            </w:tcBorders>
          </w:tcPr>
          <w:p>
            <w:pPr>
              <w:rPr>
                <w:sz w:val="2"/>
                <w:szCs w:val="2"/>
              </w:rPr>
            </w:pPr>
          </w:p>
        </w:tc>
        <w:tc>
          <w:tcPr>
            <w:tcW w:w="1011" w:type="dxa"/>
            <w:vMerge/>
            <w:tcBorders>
              <w:top w:val="nil"/>
              <w:left w:val="single" w:sz="6" w:space="0" w:color="000000"/>
              <w:right w:val="single" w:sz="6" w:space="0" w:color="000000"/>
            </w:tcBorders>
          </w:tcPr>
          <w:p>
            <w:pPr>
              <w:rPr>
                <w:sz w:val="2"/>
                <w:szCs w:val="2"/>
              </w:rPr>
            </w:pPr>
          </w:p>
        </w:tc>
        <w:tc>
          <w:tcPr>
            <w:tcW w:w="121" w:type="dxa"/>
            <w:vMerge/>
            <w:tcBorders>
              <w:top w:val="nil"/>
              <w:left w:val="single" w:sz="6" w:space="0" w:color="000000"/>
            </w:tcBorders>
          </w:tcPr>
          <w:p>
            <w:pPr>
              <w:rPr>
                <w:sz w:val="2"/>
                <w:szCs w:val="2"/>
              </w:rPr>
            </w:pPr>
          </w:p>
        </w:tc>
        <w:tc>
          <w:tcPr>
            <w:tcW w:w="1043" w:type="dxa"/>
          </w:tcPr>
          <w:p>
            <w:pPr>
              <w:pStyle w:val="TableParagraph"/>
              <w:spacing w:before="7"/>
              <w:rPr>
                <w:b/>
                <w:sz w:val="21"/>
              </w:rPr>
            </w:pPr>
          </w:p>
          <w:p>
            <w:pPr>
              <w:pStyle w:val="TableParagraph"/>
              <w:ind w:left="66" w:right="66"/>
              <w:jc w:val="center"/>
              <w:rPr>
                <w:sz w:val="20"/>
              </w:rPr>
            </w:pPr>
            <w:r>
              <w:rPr>
                <w:sz w:val="20"/>
              </w:rPr>
              <w:t>0000</w:t>
            </w:r>
          </w:p>
        </w:tc>
        <w:tc>
          <w:tcPr>
            <w:tcW w:w="3735" w:type="dxa"/>
            <w:tcBorders>
              <w:right w:val="double" w:sz="1" w:space="0" w:color="000000"/>
            </w:tcBorders>
          </w:tcPr>
          <w:p>
            <w:pPr>
              <w:pStyle w:val="TableParagraph"/>
              <w:spacing w:before="18"/>
              <w:ind w:left="104"/>
              <w:rPr>
                <w:sz w:val="20"/>
              </w:rPr>
            </w:pPr>
            <w:r>
              <w:rPr>
                <w:sz w:val="20"/>
              </w:rPr>
              <w:t>No-op command. Stops the I</w:t>
            </w:r>
            <w:r>
              <w:rPr>
                <w:sz w:val="20"/>
                <w:vertAlign w:val="superscript"/>
              </w:rPr>
              <w:t>2</w:t>
            </w:r>
            <w:r>
              <w:rPr>
                <w:sz w:val="20"/>
                <w:vertAlign w:val="baseline"/>
              </w:rPr>
              <w:t>C clock (SDCK). If not issued, SDCK keeps toggling.</w:t>
            </w:r>
          </w:p>
        </w:tc>
      </w:tr>
      <w:tr>
        <w:trPr>
          <w:trHeight w:val="501" w:hRule="atLeast"/>
        </w:trPr>
        <w:tc>
          <w:tcPr>
            <w:tcW w:w="847" w:type="dxa"/>
            <w:vMerge/>
            <w:tcBorders>
              <w:top w:val="nil"/>
              <w:right w:val="single" w:sz="6" w:space="0" w:color="000000"/>
            </w:tcBorders>
          </w:tcPr>
          <w:p>
            <w:pPr>
              <w:rPr>
                <w:sz w:val="2"/>
                <w:szCs w:val="2"/>
              </w:rPr>
            </w:pPr>
          </w:p>
        </w:tc>
        <w:tc>
          <w:tcPr>
            <w:tcW w:w="1025" w:type="dxa"/>
            <w:vMerge/>
            <w:tcBorders>
              <w:top w:val="nil"/>
              <w:left w:val="single" w:sz="6" w:space="0" w:color="000000"/>
              <w:right w:val="single" w:sz="6" w:space="0" w:color="000000"/>
            </w:tcBorders>
          </w:tcPr>
          <w:p>
            <w:pPr>
              <w:rPr>
                <w:sz w:val="2"/>
                <w:szCs w:val="2"/>
              </w:rPr>
            </w:pPr>
          </w:p>
        </w:tc>
        <w:tc>
          <w:tcPr>
            <w:tcW w:w="775" w:type="dxa"/>
            <w:vMerge/>
            <w:tcBorders>
              <w:top w:val="nil"/>
              <w:left w:val="single" w:sz="6" w:space="0" w:color="000000"/>
              <w:right w:val="single" w:sz="6" w:space="0" w:color="000000"/>
            </w:tcBorders>
          </w:tcPr>
          <w:p>
            <w:pPr>
              <w:rPr>
                <w:sz w:val="2"/>
                <w:szCs w:val="2"/>
              </w:rPr>
            </w:pPr>
          </w:p>
        </w:tc>
        <w:tc>
          <w:tcPr>
            <w:tcW w:w="773" w:type="dxa"/>
            <w:vMerge/>
            <w:tcBorders>
              <w:top w:val="nil"/>
              <w:left w:val="single" w:sz="6" w:space="0" w:color="000000"/>
              <w:right w:val="single" w:sz="6" w:space="0" w:color="000000"/>
            </w:tcBorders>
          </w:tcPr>
          <w:p>
            <w:pPr>
              <w:rPr>
                <w:sz w:val="2"/>
                <w:szCs w:val="2"/>
              </w:rPr>
            </w:pPr>
          </w:p>
        </w:tc>
        <w:tc>
          <w:tcPr>
            <w:tcW w:w="1011" w:type="dxa"/>
            <w:vMerge/>
            <w:tcBorders>
              <w:top w:val="nil"/>
              <w:left w:val="single" w:sz="6" w:space="0" w:color="000000"/>
              <w:right w:val="single" w:sz="6" w:space="0" w:color="000000"/>
            </w:tcBorders>
          </w:tcPr>
          <w:p>
            <w:pPr>
              <w:rPr>
                <w:sz w:val="2"/>
                <w:szCs w:val="2"/>
              </w:rPr>
            </w:pPr>
          </w:p>
        </w:tc>
        <w:tc>
          <w:tcPr>
            <w:tcW w:w="121" w:type="dxa"/>
            <w:vMerge/>
            <w:tcBorders>
              <w:top w:val="nil"/>
              <w:left w:val="single" w:sz="6" w:space="0" w:color="000000"/>
            </w:tcBorders>
          </w:tcPr>
          <w:p>
            <w:pPr>
              <w:rPr>
                <w:sz w:val="2"/>
                <w:szCs w:val="2"/>
              </w:rPr>
            </w:pPr>
          </w:p>
        </w:tc>
        <w:tc>
          <w:tcPr>
            <w:tcW w:w="1043" w:type="dxa"/>
          </w:tcPr>
          <w:p>
            <w:pPr>
              <w:pStyle w:val="TableParagraph"/>
              <w:spacing w:before="136"/>
              <w:ind w:left="66" w:right="66"/>
              <w:jc w:val="center"/>
              <w:rPr>
                <w:sz w:val="20"/>
              </w:rPr>
            </w:pPr>
            <w:r>
              <w:rPr>
                <w:sz w:val="20"/>
              </w:rPr>
              <w:t>0010</w:t>
            </w:r>
          </w:p>
        </w:tc>
        <w:tc>
          <w:tcPr>
            <w:tcW w:w="3735" w:type="dxa"/>
            <w:tcBorders>
              <w:right w:val="double" w:sz="1" w:space="0" w:color="000000"/>
            </w:tcBorders>
          </w:tcPr>
          <w:p>
            <w:pPr>
              <w:pStyle w:val="TableParagraph"/>
              <w:spacing w:before="21"/>
              <w:ind w:left="104"/>
              <w:rPr>
                <w:sz w:val="20"/>
              </w:rPr>
            </w:pPr>
            <w:r>
              <w:rPr>
                <w:sz w:val="20"/>
              </w:rPr>
              <w:t>Receive a byte from the EEPROM and send ACK.</w:t>
            </w:r>
          </w:p>
        </w:tc>
      </w:tr>
      <w:tr>
        <w:trPr>
          <w:trHeight w:val="270" w:hRule="atLeast"/>
        </w:trPr>
        <w:tc>
          <w:tcPr>
            <w:tcW w:w="847" w:type="dxa"/>
            <w:vMerge/>
            <w:tcBorders>
              <w:top w:val="nil"/>
              <w:right w:val="single" w:sz="6" w:space="0" w:color="000000"/>
            </w:tcBorders>
          </w:tcPr>
          <w:p>
            <w:pPr>
              <w:rPr>
                <w:sz w:val="2"/>
                <w:szCs w:val="2"/>
              </w:rPr>
            </w:pPr>
          </w:p>
        </w:tc>
        <w:tc>
          <w:tcPr>
            <w:tcW w:w="1025" w:type="dxa"/>
            <w:vMerge/>
            <w:tcBorders>
              <w:top w:val="nil"/>
              <w:left w:val="single" w:sz="6" w:space="0" w:color="000000"/>
              <w:right w:val="single" w:sz="6" w:space="0" w:color="000000"/>
            </w:tcBorders>
          </w:tcPr>
          <w:p>
            <w:pPr>
              <w:rPr>
                <w:sz w:val="2"/>
                <w:szCs w:val="2"/>
              </w:rPr>
            </w:pPr>
          </w:p>
        </w:tc>
        <w:tc>
          <w:tcPr>
            <w:tcW w:w="775" w:type="dxa"/>
            <w:vMerge/>
            <w:tcBorders>
              <w:top w:val="nil"/>
              <w:left w:val="single" w:sz="6" w:space="0" w:color="000000"/>
              <w:right w:val="single" w:sz="6" w:space="0" w:color="000000"/>
            </w:tcBorders>
          </w:tcPr>
          <w:p>
            <w:pPr>
              <w:rPr>
                <w:sz w:val="2"/>
                <w:szCs w:val="2"/>
              </w:rPr>
            </w:pPr>
          </w:p>
        </w:tc>
        <w:tc>
          <w:tcPr>
            <w:tcW w:w="773" w:type="dxa"/>
            <w:vMerge/>
            <w:tcBorders>
              <w:top w:val="nil"/>
              <w:left w:val="single" w:sz="6" w:space="0" w:color="000000"/>
              <w:right w:val="single" w:sz="6" w:space="0" w:color="000000"/>
            </w:tcBorders>
          </w:tcPr>
          <w:p>
            <w:pPr>
              <w:rPr>
                <w:sz w:val="2"/>
                <w:szCs w:val="2"/>
              </w:rPr>
            </w:pPr>
          </w:p>
        </w:tc>
        <w:tc>
          <w:tcPr>
            <w:tcW w:w="1011" w:type="dxa"/>
            <w:vMerge/>
            <w:tcBorders>
              <w:top w:val="nil"/>
              <w:left w:val="single" w:sz="6" w:space="0" w:color="000000"/>
              <w:right w:val="single" w:sz="6" w:space="0" w:color="000000"/>
            </w:tcBorders>
          </w:tcPr>
          <w:p>
            <w:pPr>
              <w:rPr>
                <w:sz w:val="2"/>
                <w:szCs w:val="2"/>
              </w:rPr>
            </w:pPr>
          </w:p>
        </w:tc>
        <w:tc>
          <w:tcPr>
            <w:tcW w:w="121" w:type="dxa"/>
            <w:vMerge/>
            <w:tcBorders>
              <w:top w:val="nil"/>
              <w:left w:val="single" w:sz="6" w:space="0" w:color="000000"/>
            </w:tcBorders>
          </w:tcPr>
          <w:p>
            <w:pPr>
              <w:rPr>
                <w:sz w:val="2"/>
                <w:szCs w:val="2"/>
              </w:rPr>
            </w:pPr>
          </w:p>
        </w:tc>
        <w:tc>
          <w:tcPr>
            <w:tcW w:w="1043" w:type="dxa"/>
          </w:tcPr>
          <w:p>
            <w:pPr>
              <w:pStyle w:val="TableParagraph"/>
              <w:spacing w:before="18"/>
              <w:ind w:left="66" w:right="66"/>
              <w:jc w:val="center"/>
              <w:rPr>
                <w:sz w:val="20"/>
              </w:rPr>
            </w:pPr>
            <w:r>
              <w:rPr>
                <w:sz w:val="20"/>
              </w:rPr>
              <w:t>0011</w:t>
            </w:r>
          </w:p>
        </w:tc>
        <w:tc>
          <w:tcPr>
            <w:tcW w:w="3735" w:type="dxa"/>
            <w:tcBorders>
              <w:right w:val="double" w:sz="1" w:space="0" w:color="000000"/>
            </w:tcBorders>
          </w:tcPr>
          <w:p>
            <w:pPr>
              <w:pStyle w:val="TableParagraph"/>
              <w:spacing w:before="18"/>
              <w:ind w:left="104"/>
              <w:rPr>
                <w:sz w:val="20"/>
              </w:rPr>
            </w:pPr>
            <w:r>
              <w:rPr>
                <w:sz w:val="20"/>
              </w:rPr>
              <w:t>Transmit a byte to the EEPROM.</w:t>
            </w:r>
          </w:p>
        </w:tc>
      </w:tr>
      <w:tr>
        <w:trPr>
          <w:trHeight w:val="268" w:hRule="atLeast"/>
        </w:trPr>
        <w:tc>
          <w:tcPr>
            <w:tcW w:w="847" w:type="dxa"/>
            <w:vMerge/>
            <w:tcBorders>
              <w:top w:val="nil"/>
              <w:right w:val="single" w:sz="6" w:space="0" w:color="000000"/>
            </w:tcBorders>
          </w:tcPr>
          <w:p>
            <w:pPr>
              <w:rPr>
                <w:sz w:val="2"/>
                <w:szCs w:val="2"/>
              </w:rPr>
            </w:pPr>
          </w:p>
        </w:tc>
        <w:tc>
          <w:tcPr>
            <w:tcW w:w="1025" w:type="dxa"/>
            <w:vMerge/>
            <w:tcBorders>
              <w:top w:val="nil"/>
              <w:left w:val="single" w:sz="6" w:space="0" w:color="000000"/>
              <w:right w:val="single" w:sz="6" w:space="0" w:color="000000"/>
            </w:tcBorders>
          </w:tcPr>
          <w:p>
            <w:pPr>
              <w:rPr>
                <w:sz w:val="2"/>
                <w:szCs w:val="2"/>
              </w:rPr>
            </w:pPr>
          </w:p>
        </w:tc>
        <w:tc>
          <w:tcPr>
            <w:tcW w:w="775" w:type="dxa"/>
            <w:vMerge/>
            <w:tcBorders>
              <w:top w:val="nil"/>
              <w:left w:val="single" w:sz="6" w:space="0" w:color="000000"/>
              <w:right w:val="single" w:sz="6" w:space="0" w:color="000000"/>
            </w:tcBorders>
          </w:tcPr>
          <w:p>
            <w:pPr>
              <w:rPr>
                <w:sz w:val="2"/>
                <w:szCs w:val="2"/>
              </w:rPr>
            </w:pPr>
          </w:p>
        </w:tc>
        <w:tc>
          <w:tcPr>
            <w:tcW w:w="773" w:type="dxa"/>
            <w:vMerge/>
            <w:tcBorders>
              <w:top w:val="nil"/>
              <w:left w:val="single" w:sz="6" w:space="0" w:color="000000"/>
              <w:right w:val="single" w:sz="6" w:space="0" w:color="000000"/>
            </w:tcBorders>
          </w:tcPr>
          <w:p>
            <w:pPr>
              <w:rPr>
                <w:sz w:val="2"/>
                <w:szCs w:val="2"/>
              </w:rPr>
            </w:pPr>
          </w:p>
        </w:tc>
        <w:tc>
          <w:tcPr>
            <w:tcW w:w="1011" w:type="dxa"/>
            <w:vMerge/>
            <w:tcBorders>
              <w:top w:val="nil"/>
              <w:left w:val="single" w:sz="6" w:space="0" w:color="000000"/>
              <w:right w:val="single" w:sz="6" w:space="0" w:color="000000"/>
            </w:tcBorders>
          </w:tcPr>
          <w:p>
            <w:pPr>
              <w:rPr>
                <w:sz w:val="2"/>
                <w:szCs w:val="2"/>
              </w:rPr>
            </w:pPr>
          </w:p>
        </w:tc>
        <w:tc>
          <w:tcPr>
            <w:tcW w:w="121" w:type="dxa"/>
            <w:vMerge/>
            <w:tcBorders>
              <w:top w:val="nil"/>
              <w:left w:val="single" w:sz="6" w:space="0" w:color="000000"/>
            </w:tcBorders>
          </w:tcPr>
          <w:p>
            <w:pPr>
              <w:rPr>
                <w:sz w:val="2"/>
                <w:szCs w:val="2"/>
              </w:rPr>
            </w:pPr>
          </w:p>
        </w:tc>
        <w:tc>
          <w:tcPr>
            <w:tcW w:w="1043" w:type="dxa"/>
          </w:tcPr>
          <w:p>
            <w:pPr>
              <w:pStyle w:val="TableParagraph"/>
              <w:spacing w:before="18"/>
              <w:ind w:left="66" w:right="66"/>
              <w:jc w:val="center"/>
              <w:rPr>
                <w:sz w:val="20"/>
              </w:rPr>
            </w:pPr>
            <w:r>
              <w:rPr>
                <w:sz w:val="20"/>
              </w:rPr>
              <w:t>0101</w:t>
            </w:r>
          </w:p>
        </w:tc>
        <w:tc>
          <w:tcPr>
            <w:tcW w:w="3735" w:type="dxa"/>
            <w:tcBorders>
              <w:right w:val="double" w:sz="1" w:space="0" w:color="000000"/>
            </w:tcBorders>
          </w:tcPr>
          <w:p>
            <w:pPr>
              <w:pStyle w:val="TableParagraph"/>
              <w:spacing w:before="18"/>
              <w:ind w:left="104"/>
              <w:rPr>
                <w:sz w:val="20"/>
              </w:rPr>
            </w:pPr>
            <w:r>
              <w:rPr>
                <w:sz w:val="20"/>
              </w:rPr>
              <w:t>Issue a STOP sequence.</w:t>
            </w:r>
          </w:p>
        </w:tc>
      </w:tr>
      <w:tr>
        <w:trPr>
          <w:trHeight w:val="501" w:hRule="atLeast"/>
        </w:trPr>
        <w:tc>
          <w:tcPr>
            <w:tcW w:w="847" w:type="dxa"/>
            <w:vMerge/>
            <w:tcBorders>
              <w:top w:val="nil"/>
              <w:right w:val="single" w:sz="6" w:space="0" w:color="000000"/>
            </w:tcBorders>
          </w:tcPr>
          <w:p>
            <w:pPr>
              <w:rPr>
                <w:sz w:val="2"/>
                <w:szCs w:val="2"/>
              </w:rPr>
            </w:pPr>
          </w:p>
        </w:tc>
        <w:tc>
          <w:tcPr>
            <w:tcW w:w="1025" w:type="dxa"/>
            <w:vMerge/>
            <w:tcBorders>
              <w:top w:val="nil"/>
              <w:left w:val="single" w:sz="6" w:space="0" w:color="000000"/>
              <w:right w:val="single" w:sz="6" w:space="0" w:color="000000"/>
            </w:tcBorders>
          </w:tcPr>
          <w:p>
            <w:pPr>
              <w:rPr>
                <w:sz w:val="2"/>
                <w:szCs w:val="2"/>
              </w:rPr>
            </w:pPr>
          </w:p>
        </w:tc>
        <w:tc>
          <w:tcPr>
            <w:tcW w:w="775" w:type="dxa"/>
            <w:vMerge/>
            <w:tcBorders>
              <w:top w:val="nil"/>
              <w:left w:val="single" w:sz="6" w:space="0" w:color="000000"/>
              <w:right w:val="single" w:sz="6" w:space="0" w:color="000000"/>
            </w:tcBorders>
          </w:tcPr>
          <w:p>
            <w:pPr>
              <w:rPr>
                <w:sz w:val="2"/>
                <w:szCs w:val="2"/>
              </w:rPr>
            </w:pPr>
          </w:p>
        </w:tc>
        <w:tc>
          <w:tcPr>
            <w:tcW w:w="773" w:type="dxa"/>
            <w:vMerge/>
            <w:tcBorders>
              <w:top w:val="nil"/>
              <w:left w:val="single" w:sz="6" w:space="0" w:color="000000"/>
              <w:right w:val="single" w:sz="6" w:space="0" w:color="000000"/>
            </w:tcBorders>
          </w:tcPr>
          <w:p>
            <w:pPr>
              <w:rPr>
                <w:sz w:val="2"/>
                <w:szCs w:val="2"/>
              </w:rPr>
            </w:pPr>
          </w:p>
        </w:tc>
        <w:tc>
          <w:tcPr>
            <w:tcW w:w="1011" w:type="dxa"/>
            <w:vMerge/>
            <w:tcBorders>
              <w:top w:val="nil"/>
              <w:left w:val="single" w:sz="6" w:space="0" w:color="000000"/>
              <w:right w:val="single" w:sz="6" w:space="0" w:color="000000"/>
            </w:tcBorders>
          </w:tcPr>
          <w:p>
            <w:pPr>
              <w:rPr>
                <w:sz w:val="2"/>
                <w:szCs w:val="2"/>
              </w:rPr>
            </w:pPr>
          </w:p>
        </w:tc>
        <w:tc>
          <w:tcPr>
            <w:tcW w:w="121" w:type="dxa"/>
            <w:vMerge/>
            <w:tcBorders>
              <w:top w:val="nil"/>
              <w:left w:val="single" w:sz="6" w:space="0" w:color="000000"/>
            </w:tcBorders>
          </w:tcPr>
          <w:p>
            <w:pPr>
              <w:rPr>
                <w:sz w:val="2"/>
                <w:szCs w:val="2"/>
              </w:rPr>
            </w:pPr>
          </w:p>
        </w:tc>
        <w:tc>
          <w:tcPr>
            <w:tcW w:w="1043" w:type="dxa"/>
          </w:tcPr>
          <w:p>
            <w:pPr>
              <w:pStyle w:val="TableParagraph"/>
              <w:spacing w:before="134"/>
              <w:ind w:left="66" w:right="66"/>
              <w:jc w:val="center"/>
              <w:rPr>
                <w:sz w:val="20"/>
              </w:rPr>
            </w:pPr>
            <w:r>
              <w:rPr>
                <w:sz w:val="20"/>
              </w:rPr>
              <w:t>0110</w:t>
            </w:r>
          </w:p>
        </w:tc>
        <w:tc>
          <w:tcPr>
            <w:tcW w:w="3735" w:type="dxa"/>
            <w:tcBorders>
              <w:right w:val="double" w:sz="1" w:space="0" w:color="000000"/>
            </w:tcBorders>
          </w:tcPr>
          <w:p>
            <w:pPr>
              <w:pStyle w:val="TableParagraph"/>
              <w:spacing w:line="230" w:lineRule="atLeast" w:before="18"/>
              <w:ind w:left="104" w:right="711"/>
              <w:rPr>
                <w:sz w:val="20"/>
              </w:rPr>
            </w:pPr>
            <w:r>
              <w:rPr>
                <w:sz w:val="20"/>
              </w:rPr>
              <w:t>Receive the last byte from the EEPROM and do not send ACK.</w:t>
            </w:r>
          </w:p>
        </w:tc>
      </w:tr>
      <w:tr>
        <w:trPr>
          <w:trHeight w:val="268" w:hRule="atLeast"/>
        </w:trPr>
        <w:tc>
          <w:tcPr>
            <w:tcW w:w="847" w:type="dxa"/>
            <w:vMerge/>
            <w:tcBorders>
              <w:top w:val="nil"/>
              <w:right w:val="single" w:sz="6" w:space="0" w:color="000000"/>
            </w:tcBorders>
          </w:tcPr>
          <w:p>
            <w:pPr>
              <w:rPr>
                <w:sz w:val="2"/>
                <w:szCs w:val="2"/>
              </w:rPr>
            </w:pPr>
          </w:p>
        </w:tc>
        <w:tc>
          <w:tcPr>
            <w:tcW w:w="1025" w:type="dxa"/>
            <w:vMerge/>
            <w:tcBorders>
              <w:top w:val="nil"/>
              <w:left w:val="single" w:sz="6" w:space="0" w:color="000000"/>
              <w:right w:val="single" w:sz="6" w:space="0" w:color="000000"/>
            </w:tcBorders>
          </w:tcPr>
          <w:p>
            <w:pPr>
              <w:rPr>
                <w:sz w:val="2"/>
                <w:szCs w:val="2"/>
              </w:rPr>
            </w:pPr>
          </w:p>
        </w:tc>
        <w:tc>
          <w:tcPr>
            <w:tcW w:w="775" w:type="dxa"/>
            <w:vMerge/>
            <w:tcBorders>
              <w:top w:val="nil"/>
              <w:left w:val="single" w:sz="6" w:space="0" w:color="000000"/>
              <w:right w:val="single" w:sz="6" w:space="0" w:color="000000"/>
            </w:tcBorders>
          </w:tcPr>
          <w:p>
            <w:pPr>
              <w:rPr>
                <w:sz w:val="2"/>
                <w:szCs w:val="2"/>
              </w:rPr>
            </w:pPr>
          </w:p>
        </w:tc>
        <w:tc>
          <w:tcPr>
            <w:tcW w:w="773" w:type="dxa"/>
            <w:vMerge/>
            <w:tcBorders>
              <w:top w:val="nil"/>
              <w:left w:val="single" w:sz="6" w:space="0" w:color="000000"/>
              <w:right w:val="single" w:sz="6" w:space="0" w:color="000000"/>
            </w:tcBorders>
          </w:tcPr>
          <w:p>
            <w:pPr>
              <w:rPr>
                <w:sz w:val="2"/>
                <w:szCs w:val="2"/>
              </w:rPr>
            </w:pPr>
          </w:p>
        </w:tc>
        <w:tc>
          <w:tcPr>
            <w:tcW w:w="1011" w:type="dxa"/>
            <w:vMerge/>
            <w:tcBorders>
              <w:top w:val="nil"/>
              <w:left w:val="single" w:sz="6" w:space="0" w:color="000000"/>
              <w:right w:val="single" w:sz="6" w:space="0" w:color="000000"/>
            </w:tcBorders>
          </w:tcPr>
          <w:p>
            <w:pPr>
              <w:rPr>
                <w:sz w:val="2"/>
                <w:szCs w:val="2"/>
              </w:rPr>
            </w:pPr>
          </w:p>
        </w:tc>
        <w:tc>
          <w:tcPr>
            <w:tcW w:w="121" w:type="dxa"/>
            <w:vMerge/>
            <w:tcBorders>
              <w:top w:val="nil"/>
              <w:left w:val="single" w:sz="6" w:space="0" w:color="000000"/>
            </w:tcBorders>
          </w:tcPr>
          <w:p>
            <w:pPr>
              <w:rPr>
                <w:sz w:val="2"/>
                <w:szCs w:val="2"/>
              </w:rPr>
            </w:pPr>
          </w:p>
        </w:tc>
        <w:tc>
          <w:tcPr>
            <w:tcW w:w="1043" w:type="dxa"/>
          </w:tcPr>
          <w:p>
            <w:pPr>
              <w:pStyle w:val="TableParagraph"/>
              <w:spacing w:before="18"/>
              <w:ind w:left="66" w:right="66"/>
              <w:jc w:val="center"/>
              <w:rPr>
                <w:sz w:val="20"/>
              </w:rPr>
            </w:pPr>
            <w:r>
              <w:rPr>
                <w:sz w:val="20"/>
              </w:rPr>
              <w:t>1001</w:t>
            </w:r>
          </w:p>
        </w:tc>
        <w:tc>
          <w:tcPr>
            <w:tcW w:w="3735" w:type="dxa"/>
            <w:tcBorders>
              <w:right w:val="double" w:sz="1" w:space="0" w:color="000000"/>
            </w:tcBorders>
          </w:tcPr>
          <w:p>
            <w:pPr>
              <w:pStyle w:val="TableParagraph"/>
              <w:spacing w:before="18"/>
              <w:ind w:left="104"/>
              <w:rPr>
                <w:sz w:val="20"/>
              </w:rPr>
            </w:pPr>
            <w:r>
              <w:rPr>
                <w:sz w:val="20"/>
              </w:rPr>
              <w:t>Issue a START sequence.</w:t>
            </w:r>
          </w:p>
        </w:tc>
      </w:tr>
      <w:tr>
        <w:trPr>
          <w:trHeight w:val="287" w:hRule="atLeast"/>
        </w:trPr>
        <w:tc>
          <w:tcPr>
            <w:tcW w:w="847" w:type="dxa"/>
            <w:vMerge/>
            <w:tcBorders>
              <w:top w:val="nil"/>
              <w:right w:val="single" w:sz="6" w:space="0" w:color="000000"/>
            </w:tcBorders>
          </w:tcPr>
          <w:p>
            <w:pPr>
              <w:rPr>
                <w:sz w:val="2"/>
                <w:szCs w:val="2"/>
              </w:rPr>
            </w:pPr>
          </w:p>
        </w:tc>
        <w:tc>
          <w:tcPr>
            <w:tcW w:w="1025" w:type="dxa"/>
            <w:vMerge/>
            <w:tcBorders>
              <w:top w:val="nil"/>
              <w:left w:val="single" w:sz="6" w:space="0" w:color="000000"/>
              <w:right w:val="single" w:sz="6" w:space="0" w:color="000000"/>
            </w:tcBorders>
          </w:tcPr>
          <w:p>
            <w:pPr>
              <w:rPr>
                <w:sz w:val="2"/>
                <w:szCs w:val="2"/>
              </w:rPr>
            </w:pPr>
          </w:p>
        </w:tc>
        <w:tc>
          <w:tcPr>
            <w:tcW w:w="775" w:type="dxa"/>
            <w:vMerge/>
            <w:tcBorders>
              <w:top w:val="nil"/>
              <w:left w:val="single" w:sz="6" w:space="0" w:color="000000"/>
              <w:right w:val="single" w:sz="6" w:space="0" w:color="000000"/>
            </w:tcBorders>
          </w:tcPr>
          <w:p>
            <w:pPr>
              <w:rPr>
                <w:sz w:val="2"/>
                <w:szCs w:val="2"/>
              </w:rPr>
            </w:pPr>
          </w:p>
        </w:tc>
        <w:tc>
          <w:tcPr>
            <w:tcW w:w="773" w:type="dxa"/>
            <w:vMerge/>
            <w:tcBorders>
              <w:top w:val="nil"/>
              <w:left w:val="single" w:sz="6" w:space="0" w:color="000000"/>
              <w:right w:val="single" w:sz="6" w:space="0" w:color="000000"/>
            </w:tcBorders>
          </w:tcPr>
          <w:p>
            <w:pPr>
              <w:rPr>
                <w:sz w:val="2"/>
                <w:szCs w:val="2"/>
              </w:rPr>
            </w:pPr>
          </w:p>
        </w:tc>
        <w:tc>
          <w:tcPr>
            <w:tcW w:w="1011" w:type="dxa"/>
            <w:vMerge/>
            <w:tcBorders>
              <w:top w:val="nil"/>
              <w:left w:val="single" w:sz="6" w:space="0" w:color="000000"/>
              <w:right w:val="single" w:sz="6" w:space="0" w:color="000000"/>
            </w:tcBorders>
          </w:tcPr>
          <w:p>
            <w:pPr>
              <w:rPr>
                <w:sz w:val="2"/>
                <w:szCs w:val="2"/>
              </w:rPr>
            </w:pPr>
          </w:p>
        </w:tc>
        <w:tc>
          <w:tcPr>
            <w:tcW w:w="121" w:type="dxa"/>
            <w:vMerge/>
            <w:tcBorders>
              <w:top w:val="nil"/>
              <w:left w:val="single" w:sz="6" w:space="0" w:color="000000"/>
            </w:tcBorders>
          </w:tcPr>
          <w:p>
            <w:pPr>
              <w:rPr>
                <w:sz w:val="2"/>
                <w:szCs w:val="2"/>
              </w:rPr>
            </w:pPr>
          </w:p>
        </w:tc>
        <w:tc>
          <w:tcPr>
            <w:tcW w:w="1043" w:type="dxa"/>
            <w:tcBorders>
              <w:bottom w:val="double" w:sz="1" w:space="0" w:color="000000"/>
            </w:tcBorders>
          </w:tcPr>
          <w:p>
            <w:pPr>
              <w:pStyle w:val="TableParagraph"/>
              <w:spacing w:before="21"/>
              <w:ind w:left="69" w:right="66"/>
              <w:jc w:val="center"/>
              <w:rPr>
                <w:sz w:val="20"/>
              </w:rPr>
            </w:pPr>
            <w:r>
              <w:rPr>
                <w:sz w:val="20"/>
              </w:rPr>
              <w:t>Others</w:t>
            </w:r>
          </w:p>
        </w:tc>
        <w:tc>
          <w:tcPr>
            <w:tcW w:w="3735" w:type="dxa"/>
            <w:tcBorders>
              <w:bottom w:val="double" w:sz="1" w:space="0" w:color="000000"/>
              <w:right w:val="double" w:sz="1" w:space="0" w:color="000000"/>
            </w:tcBorders>
          </w:tcPr>
          <w:p>
            <w:pPr>
              <w:pStyle w:val="TableParagraph"/>
              <w:spacing w:before="16"/>
              <w:ind w:left="104"/>
              <w:rPr>
                <w:sz w:val="20"/>
              </w:rPr>
            </w:pPr>
            <w:r>
              <w:rPr>
                <w:sz w:val="20"/>
              </w:rPr>
              <w:t>No operation, set the </w:t>
            </w:r>
            <w:r>
              <w:rPr>
                <w:rFonts w:ascii="Times New Roman"/>
                <w:i/>
                <w:sz w:val="20"/>
              </w:rPr>
              <w:t>ERROR </w:t>
            </w:r>
            <w:r>
              <w:rPr>
                <w:sz w:val="20"/>
              </w:rPr>
              <w:t>bit.</w:t>
            </w:r>
          </w:p>
        </w:tc>
      </w:tr>
    </w:tbl>
    <w:p>
      <w:pPr>
        <w:pStyle w:val="BodyText"/>
        <w:spacing w:before="1"/>
        <w:rPr>
          <w:b/>
          <w:sz w:val="26"/>
        </w:rPr>
      </w:pPr>
    </w:p>
    <w:p>
      <w:pPr>
        <w:pStyle w:val="BodyText"/>
        <w:ind w:left="786" w:right="458" w:firstLine="5"/>
      </w:pPr>
      <w:r>
        <w:rPr/>
        <w:drawing>
          <wp:anchor distT="0" distB="0" distL="0" distR="0" allowOverlap="1" layoutInCell="1" locked="0" behindDoc="0" simplePos="0" relativeHeight="15797248">
            <wp:simplePos x="0" y="0"/>
            <wp:positionH relativeFrom="page">
              <wp:posOffset>946833</wp:posOffset>
            </wp:positionH>
            <wp:positionV relativeFrom="paragraph">
              <wp:posOffset>29335</wp:posOffset>
            </wp:positionV>
            <wp:extent cx="194895" cy="314323"/>
            <wp:effectExtent l="0" t="0" r="0" b="0"/>
            <wp:wrapNone/>
            <wp:docPr id="69" name="image64.png" descr="checkmark_-bottomheavy-60-blue"/>
            <wp:cNvGraphicFramePr>
              <a:graphicFrameLocks noChangeAspect="1"/>
            </wp:cNvGraphicFramePr>
            <a:graphic>
              <a:graphicData uri="http://schemas.openxmlformats.org/drawingml/2006/picture">
                <pic:pic>
                  <pic:nvPicPr>
                    <pic:cNvPr id="70" name="image64.png"/>
                    <pic:cNvPicPr/>
                  </pic:nvPicPr>
                  <pic:blipFill>
                    <a:blip r:embed="rId73" cstate="print"/>
                    <a:stretch>
                      <a:fillRect/>
                    </a:stretch>
                  </pic:blipFill>
                  <pic:spPr>
                    <a:xfrm>
                      <a:off x="0" y="0"/>
                      <a:ext cx="194895" cy="314323"/>
                    </a:xfrm>
                    <a:prstGeom prst="rect">
                      <a:avLst/>
                    </a:prstGeom>
                  </pic:spPr>
                </pic:pic>
              </a:graphicData>
            </a:graphic>
          </wp:anchor>
        </w:drawing>
      </w:r>
      <w:r>
        <w:rPr/>
        <w:t>The EEPROM interface can also be operated by controlling the DIO2 and DIO3 pins directly. The direction of the DIO line can be changed from input to output and an output value can be written with a single write operation, thus avoiding collisions (see </w:t>
      </w:r>
      <w:hyperlink w:history="true" w:anchor="_bookmark56">
        <w:r>
          <w:rPr>
            <w:color w:val="0000FF"/>
          </w:rPr>
          <w:t>Table 14 </w:t>
        </w:r>
      </w:hyperlink>
      <w:hyperlink w:history="true" w:anchor="_bookmark57">
        <w:r>
          <w:rPr>
            <w:color w:val="0000FF"/>
          </w:rPr>
          <w:t>Port Registers (SEGDIO0-15)</w:t>
        </w:r>
      </w:hyperlink>
      <w:r>
        <w:rPr/>
        <w:t>). Therefore, no resistor is required in series SDATA to protect against collisions.</w:t>
      </w:r>
    </w:p>
    <w:p>
      <w:pPr>
        <w:spacing w:after="0"/>
        <w:sectPr>
          <w:pgSz w:w="12240" w:h="15840"/>
          <w:pgMar w:header="727" w:footer="819" w:top="960" w:bottom="1000" w:left="1200" w:right="1060"/>
        </w:sectPr>
      </w:pPr>
    </w:p>
    <w:p>
      <w:pPr>
        <w:pStyle w:val="BodyText"/>
        <w:spacing w:before="8"/>
        <w:rPr>
          <w:sz w:val="16"/>
        </w:rPr>
      </w:pPr>
    </w:p>
    <w:p>
      <w:pPr>
        <w:pStyle w:val="ListParagraph"/>
        <w:numPr>
          <w:ilvl w:val="3"/>
          <w:numId w:val="7"/>
        </w:numPr>
        <w:tabs>
          <w:tab w:pos="1105" w:val="left" w:leader="none"/>
        </w:tabs>
        <w:spacing w:line="240" w:lineRule="auto" w:before="93" w:after="0"/>
        <w:ind w:left="1104" w:right="0" w:hanging="865"/>
        <w:jc w:val="left"/>
        <w:rPr>
          <w:b/>
          <w:sz w:val="20"/>
        </w:rPr>
      </w:pPr>
      <w:bookmarkStart w:name="2.5.11.2 Three-Wire (µ-Wire) EEPROM Inte" w:id="267"/>
      <w:bookmarkEnd w:id="267"/>
      <w:r>
        <w:rPr/>
      </w:r>
      <w:bookmarkStart w:name="2.5.11.2 Three-Wire (µ-Wire) EEPROM Inte" w:id="268"/>
      <w:bookmarkEnd w:id="268"/>
      <w:r>
        <w:rPr>
          <w:b/>
          <w:sz w:val="20"/>
        </w:rPr>
        <w:t>T</w:t>
      </w:r>
      <w:r>
        <w:rPr>
          <w:b/>
          <w:sz w:val="20"/>
        </w:rPr>
        <w:t>hree-Wire (µ-Wire) EEPROM Interface with Single Data</w:t>
      </w:r>
      <w:r>
        <w:rPr>
          <w:b/>
          <w:spacing w:val="-2"/>
          <w:sz w:val="20"/>
        </w:rPr>
        <w:t> </w:t>
      </w:r>
      <w:r>
        <w:rPr>
          <w:b/>
          <w:sz w:val="20"/>
        </w:rPr>
        <w:t>Pin</w:t>
      </w:r>
    </w:p>
    <w:p>
      <w:pPr>
        <w:pStyle w:val="BodyText"/>
        <w:spacing w:before="79"/>
        <w:ind w:left="239" w:right="401"/>
      </w:pPr>
      <w:r>
        <w:rPr/>
        <w:t>A 500 kHz three-wire interface, using SDATA, SDCK, and a DIO pin for CS is available. The interface is selected by setting </w:t>
      </w:r>
      <w:r>
        <w:rPr>
          <w:rFonts w:ascii="Times New Roman"/>
          <w:i/>
        </w:rPr>
        <w:t>DIO_EEX[1:0] </w:t>
      </w:r>
      <w:r>
        <w:rPr/>
        <w:t>= 10. The </w:t>
      </w:r>
      <w:r>
        <w:rPr>
          <w:rFonts w:ascii="Times New Roman"/>
          <w:i/>
        </w:rPr>
        <w:t>EECTRL </w:t>
      </w:r>
      <w:r>
        <w:rPr/>
        <w:t>bits when the three-wire interface is selected are shown in </w:t>
      </w:r>
      <w:hyperlink w:history="true" w:anchor="_bookmark132">
        <w:r>
          <w:rPr>
            <w:color w:val="0000FF"/>
          </w:rPr>
          <w:t>Table 55</w:t>
        </w:r>
        <w:r>
          <w:rPr/>
          <w:t>.</w:t>
        </w:r>
      </w:hyperlink>
      <w:r>
        <w:rPr/>
        <w:t> When </w:t>
      </w:r>
      <w:r>
        <w:rPr>
          <w:rFonts w:ascii="Times New Roman"/>
          <w:i/>
        </w:rPr>
        <w:t>EECTRL </w:t>
      </w:r>
      <w:r>
        <w:rPr/>
        <w:t>is written, up to 8 bits from </w:t>
      </w:r>
      <w:r>
        <w:rPr>
          <w:rFonts w:ascii="Times New Roman"/>
          <w:i/>
        </w:rPr>
        <w:t>EEDATA </w:t>
      </w:r>
      <w:r>
        <w:rPr/>
        <w:t>are either written to the EEPROM or read from the EEPROM, depending on the values of the </w:t>
      </w:r>
      <w:r>
        <w:rPr>
          <w:rFonts w:ascii="Times New Roman"/>
          <w:i/>
        </w:rPr>
        <w:t>EECTRL </w:t>
      </w:r>
      <w:r>
        <w:rPr/>
        <w:t>bits.</w:t>
      </w:r>
    </w:p>
    <w:p>
      <w:pPr>
        <w:pStyle w:val="ListParagraph"/>
        <w:numPr>
          <w:ilvl w:val="3"/>
          <w:numId w:val="7"/>
        </w:numPr>
        <w:tabs>
          <w:tab w:pos="1104" w:val="left" w:leader="none"/>
        </w:tabs>
        <w:spacing w:line="240" w:lineRule="auto" w:before="120" w:after="0"/>
        <w:ind w:left="1103" w:right="0" w:hanging="865"/>
        <w:jc w:val="left"/>
        <w:rPr>
          <w:b/>
          <w:sz w:val="20"/>
        </w:rPr>
      </w:pPr>
      <w:bookmarkStart w:name="2.5.11.3 Three-Wire (µ-Wire/SPI) EEPROM " w:id="269"/>
      <w:bookmarkEnd w:id="269"/>
      <w:r>
        <w:rPr/>
      </w:r>
      <w:bookmarkStart w:name="2.5.11.3 Three-Wire (µ-Wire/SPI) EEPROM " w:id="270"/>
      <w:bookmarkEnd w:id="270"/>
      <w:r>
        <w:rPr>
          <w:b/>
          <w:sz w:val="20"/>
        </w:rPr>
        <w:t>T</w:t>
      </w:r>
      <w:r>
        <w:rPr>
          <w:b/>
          <w:sz w:val="20"/>
        </w:rPr>
        <w:t>hree-Wire (µ-Wire/SPI) EEPROM Interface with Separate Di/DO Pins</w:t>
      </w:r>
    </w:p>
    <w:p>
      <w:pPr>
        <w:pStyle w:val="BodyText"/>
        <w:spacing w:before="79"/>
        <w:ind w:left="239" w:right="471"/>
      </w:pPr>
      <w:r>
        <w:rPr/>
        <w:t>If </w:t>
      </w:r>
      <w:r>
        <w:rPr>
          <w:rFonts w:ascii="Times New Roman"/>
          <w:i/>
        </w:rPr>
        <w:t>DIO_EEX[1:0] = </w:t>
      </w:r>
      <w:r>
        <w:rPr/>
        <w:t>11, the 71M6543 three-wire interface is the same as above, except DI and DO are separate pins. In this case, SEGDIO3 becomes DO and SEGDIO8 becomes DI.  The timing diagrams are the same as for </w:t>
      </w:r>
      <w:r>
        <w:rPr>
          <w:rFonts w:ascii="Times New Roman"/>
          <w:i/>
        </w:rPr>
        <w:t>DIO_EEX[1:0] = </w:t>
      </w:r>
      <w:r>
        <w:rPr/>
        <w:t>10 except that all output data appears on DO and all input data is expected on DI. In this mode, DI is ignored while data is being received on DO. This mode is compatible with SPI modes 0,0 and 1,1 where data is shifted out on the falling edge of the clock and is strobed in on the rising edge of the clock.</w:t>
      </w:r>
    </w:p>
    <w:p>
      <w:pPr>
        <w:pStyle w:val="Heading1"/>
        <w:spacing w:before="121"/>
        <w:ind w:left="64" w:right="204"/>
      </w:pPr>
      <w:bookmarkStart w:name="_bookmark132" w:id="271"/>
      <w:bookmarkEnd w:id="271"/>
      <w:r>
        <w:rPr>
          <w:b w:val="0"/>
        </w:rPr>
      </w:r>
      <w:r>
        <w:rPr/>
        <w:t>Table 55: </w:t>
      </w:r>
      <w:r>
        <w:rPr>
          <w:rFonts w:ascii="Times New Roman"/>
          <w:i/>
        </w:rPr>
        <w:t>EECTRL </w:t>
      </w:r>
      <w:r>
        <w:rPr/>
        <w:t>Bits for the 3-wire Interface</w:t>
      </w:r>
    </w:p>
    <w:p>
      <w:pPr>
        <w:pStyle w:val="BodyText"/>
        <w:spacing w:before="7"/>
        <w:rPr>
          <w:b/>
          <w:sz w:val="5"/>
        </w:rPr>
      </w:pPr>
    </w:p>
    <w:tbl>
      <w:tblPr>
        <w:tblW w:w="0" w:type="auto"/>
        <w:jc w:val="left"/>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5"/>
        <w:gridCol w:w="1008"/>
        <w:gridCol w:w="773"/>
        <w:gridCol w:w="6624"/>
      </w:tblGrid>
      <w:tr>
        <w:trPr>
          <w:trHeight w:val="539" w:hRule="atLeast"/>
        </w:trPr>
        <w:tc>
          <w:tcPr>
            <w:tcW w:w="955" w:type="dxa"/>
          </w:tcPr>
          <w:p>
            <w:pPr>
              <w:pStyle w:val="TableParagraph"/>
              <w:spacing w:before="36"/>
              <w:ind w:left="343" w:right="95" w:hanging="224"/>
              <w:rPr>
                <w:b/>
                <w:sz w:val="20"/>
              </w:rPr>
            </w:pPr>
            <w:r>
              <w:rPr>
                <w:b/>
                <w:sz w:val="20"/>
              </w:rPr>
              <w:t>Control Bit</w:t>
            </w:r>
          </w:p>
        </w:tc>
        <w:tc>
          <w:tcPr>
            <w:tcW w:w="1008" w:type="dxa"/>
          </w:tcPr>
          <w:p>
            <w:pPr>
              <w:pStyle w:val="TableParagraph"/>
              <w:spacing w:before="151"/>
              <w:ind w:left="50" w:right="49"/>
              <w:jc w:val="center"/>
              <w:rPr>
                <w:b/>
                <w:sz w:val="20"/>
              </w:rPr>
            </w:pPr>
            <w:r>
              <w:rPr>
                <w:b/>
                <w:sz w:val="20"/>
              </w:rPr>
              <w:t>Name</w:t>
            </w:r>
          </w:p>
        </w:tc>
        <w:tc>
          <w:tcPr>
            <w:tcW w:w="773" w:type="dxa"/>
          </w:tcPr>
          <w:p>
            <w:pPr>
              <w:pStyle w:val="TableParagraph"/>
              <w:spacing w:before="36"/>
              <w:ind w:left="136" w:hanging="22"/>
              <w:rPr>
                <w:b/>
                <w:sz w:val="20"/>
              </w:rPr>
            </w:pPr>
            <w:r>
              <w:rPr>
                <w:b/>
                <w:w w:val="95"/>
                <w:sz w:val="20"/>
              </w:rPr>
              <w:t>Read/ </w:t>
            </w:r>
            <w:r>
              <w:rPr>
                <w:b/>
                <w:sz w:val="20"/>
              </w:rPr>
              <w:t>Write</w:t>
            </w:r>
          </w:p>
        </w:tc>
        <w:tc>
          <w:tcPr>
            <w:tcW w:w="6624" w:type="dxa"/>
          </w:tcPr>
          <w:p>
            <w:pPr>
              <w:pStyle w:val="TableParagraph"/>
              <w:spacing w:before="151"/>
              <w:ind w:left="2740" w:right="2732"/>
              <w:jc w:val="center"/>
              <w:rPr>
                <w:b/>
                <w:sz w:val="20"/>
              </w:rPr>
            </w:pPr>
            <w:r>
              <w:rPr>
                <w:b/>
                <w:sz w:val="20"/>
              </w:rPr>
              <w:t>Description</w:t>
            </w:r>
          </w:p>
        </w:tc>
      </w:tr>
      <w:tr>
        <w:trPr>
          <w:trHeight w:val="1190" w:hRule="atLeast"/>
        </w:trPr>
        <w:tc>
          <w:tcPr>
            <w:tcW w:w="955" w:type="dxa"/>
          </w:tcPr>
          <w:p>
            <w:pPr>
              <w:pStyle w:val="TableParagraph"/>
              <w:rPr>
                <w:b/>
                <w:sz w:val="22"/>
              </w:rPr>
            </w:pPr>
          </w:p>
          <w:p>
            <w:pPr>
              <w:pStyle w:val="TableParagraph"/>
              <w:spacing w:before="5"/>
              <w:rPr>
                <w:b/>
                <w:sz w:val="19"/>
              </w:rPr>
            </w:pPr>
          </w:p>
          <w:p>
            <w:pPr>
              <w:pStyle w:val="TableParagraph"/>
              <w:ind w:left="5"/>
              <w:jc w:val="center"/>
              <w:rPr>
                <w:sz w:val="20"/>
              </w:rPr>
            </w:pPr>
            <w:r>
              <w:rPr>
                <w:w w:val="99"/>
                <w:sz w:val="20"/>
              </w:rPr>
              <w:t>7</w:t>
            </w:r>
          </w:p>
        </w:tc>
        <w:tc>
          <w:tcPr>
            <w:tcW w:w="1008" w:type="dxa"/>
          </w:tcPr>
          <w:p>
            <w:pPr>
              <w:pStyle w:val="TableParagraph"/>
              <w:rPr>
                <w:b/>
                <w:sz w:val="22"/>
              </w:rPr>
            </w:pPr>
          </w:p>
          <w:p>
            <w:pPr>
              <w:pStyle w:val="TableParagraph"/>
              <w:spacing w:before="1"/>
              <w:rPr>
                <w:b/>
                <w:sz w:val="19"/>
              </w:rPr>
            </w:pPr>
          </w:p>
          <w:p>
            <w:pPr>
              <w:pStyle w:val="TableParagraph"/>
              <w:ind w:left="49" w:right="49"/>
              <w:jc w:val="center"/>
              <w:rPr>
                <w:rFonts w:ascii="Times New Roman"/>
                <w:i/>
                <w:sz w:val="20"/>
              </w:rPr>
            </w:pPr>
            <w:r>
              <w:rPr>
                <w:rFonts w:ascii="Times New Roman"/>
                <w:i/>
                <w:sz w:val="20"/>
              </w:rPr>
              <w:t>WFR</w:t>
            </w:r>
          </w:p>
        </w:tc>
        <w:tc>
          <w:tcPr>
            <w:tcW w:w="773" w:type="dxa"/>
          </w:tcPr>
          <w:p>
            <w:pPr>
              <w:pStyle w:val="TableParagraph"/>
              <w:rPr>
                <w:b/>
                <w:sz w:val="22"/>
              </w:rPr>
            </w:pPr>
          </w:p>
          <w:p>
            <w:pPr>
              <w:pStyle w:val="TableParagraph"/>
              <w:spacing w:before="5"/>
              <w:rPr>
                <w:b/>
                <w:sz w:val="19"/>
              </w:rPr>
            </w:pPr>
          </w:p>
          <w:p>
            <w:pPr>
              <w:pStyle w:val="TableParagraph"/>
              <w:ind w:left="290"/>
              <w:rPr>
                <w:sz w:val="20"/>
              </w:rPr>
            </w:pPr>
            <w:r>
              <w:rPr>
                <w:w w:val="99"/>
                <w:sz w:val="20"/>
              </w:rPr>
              <w:t>W</w:t>
            </w:r>
          </w:p>
        </w:tc>
        <w:tc>
          <w:tcPr>
            <w:tcW w:w="6624" w:type="dxa"/>
          </w:tcPr>
          <w:p>
            <w:pPr>
              <w:pStyle w:val="TableParagraph"/>
              <w:spacing w:before="18"/>
              <w:ind w:left="107" w:right="169"/>
              <w:rPr>
                <w:sz w:val="20"/>
              </w:rPr>
            </w:pPr>
            <w:r>
              <w:rPr>
                <w:sz w:val="20"/>
              </w:rPr>
              <w:t>Wait</w:t>
            </w:r>
            <w:r>
              <w:rPr>
                <w:spacing w:val="-12"/>
                <w:sz w:val="20"/>
              </w:rPr>
              <w:t> </w:t>
            </w:r>
            <w:r>
              <w:rPr>
                <w:sz w:val="20"/>
              </w:rPr>
              <w:t>for</w:t>
            </w:r>
            <w:r>
              <w:rPr>
                <w:spacing w:val="-12"/>
                <w:sz w:val="20"/>
              </w:rPr>
              <w:t> </w:t>
            </w:r>
            <w:r>
              <w:rPr>
                <w:spacing w:val="-3"/>
                <w:sz w:val="20"/>
              </w:rPr>
              <w:t>Ready.</w:t>
            </w:r>
            <w:r>
              <w:rPr>
                <w:spacing w:val="39"/>
                <w:sz w:val="20"/>
              </w:rPr>
              <w:t> </w:t>
            </w:r>
            <w:r>
              <w:rPr>
                <w:sz w:val="20"/>
              </w:rPr>
              <w:t>If</w:t>
            </w:r>
            <w:r>
              <w:rPr>
                <w:spacing w:val="-9"/>
                <w:sz w:val="20"/>
              </w:rPr>
              <w:t> </w:t>
            </w:r>
            <w:r>
              <w:rPr>
                <w:sz w:val="20"/>
              </w:rPr>
              <w:t>this</w:t>
            </w:r>
            <w:r>
              <w:rPr>
                <w:spacing w:val="-9"/>
                <w:sz w:val="20"/>
              </w:rPr>
              <w:t> </w:t>
            </w:r>
            <w:r>
              <w:rPr>
                <w:sz w:val="20"/>
              </w:rPr>
              <w:t>bit</w:t>
            </w:r>
            <w:r>
              <w:rPr>
                <w:spacing w:val="-9"/>
                <w:sz w:val="20"/>
              </w:rPr>
              <w:t> </w:t>
            </w:r>
            <w:r>
              <w:rPr>
                <w:sz w:val="20"/>
              </w:rPr>
              <w:t>is</w:t>
            </w:r>
            <w:r>
              <w:rPr>
                <w:spacing w:val="-9"/>
                <w:sz w:val="20"/>
              </w:rPr>
              <w:t> </w:t>
            </w:r>
            <w:r>
              <w:rPr>
                <w:sz w:val="20"/>
              </w:rPr>
              <w:t>set,</w:t>
            </w:r>
            <w:r>
              <w:rPr>
                <w:spacing w:val="-9"/>
                <w:sz w:val="20"/>
              </w:rPr>
              <w:t> </w:t>
            </w:r>
            <w:r>
              <w:rPr>
                <w:sz w:val="20"/>
              </w:rPr>
              <w:t>the</w:t>
            </w:r>
            <w:r>
              <w:rPr>
                <w:spacing w:val="-12"/>
                <w:sz w:val="20"/>
              </w:rPr>
              <w:t> </w:t>
            </w:r>
            <w:r>
              <w:rPr>
                <w:sz w:val="20"/>
              </w:rPr>
              <w:t>trailing</w:t>
            </w:r>
            <w:r>
              <w:rPr>
                <w:spacing w:val="-10"/>
                <w:sz w:val="20"/>
              </w:rPr>
              <w:t> </w:t>
            </w:r>
            <w:r>
              <w:rPr>
                <w:sz w:val="20"/>
              </w:rPr>
              <w:t>edge</w:t>
            </w:r>
            <w:r>
              <w:rPr>
                <w:spacing w:val="-10"/>
                <w:sz w:val="20"/>
              </w:rPr>
              <w:t> </w:t>
            </w:r>
            <w:r>
              <w:rPr>
                <w:sz w:val="20"/>
              </w:rPr>
              <w:t>of</w:t>
            </w:r>
            <w:r>
              <w:rPr>
                <w:spacing w:val="-10"/>
                <w:sz w:val="20"/>
              </w:rPr>
              <w:t> </w:t>
            </w:r>
            <w:r>
              <w:rPr>
                <w:sz w:val="20"/>
              </w:rPr>
              <w:t>BUSY</w:t>
            </w:r>
            <w:r>
              <w:rPr>
                <w:spacing w:val="-9"/>
                <w:sz w:val="20"/>
              </w:rPr>
              <w:t> </w:t>
            </w:r>
            <w:r>
              <w:rPr>
                <w:sz w:val="20"/>
              </w:rPr>
              <w:t>is</w:t>
            </w:r>
            <w:r>
              <w:rPr>
                <w:spacing w:val="-10"/>
                <w:sz w:val="20"/>
              </w:rPr>
              <w:t> </w:t>
            </w:r>
            <w:r>
              <w:rPr>
                <w:sz w:val="20"/>
              </w:rPr>
              <w:t>delayed</w:t>
            </w:r>
            <w:r>
              <w:rPr>
                <w:spacing w:val="-10"/>
                <w:sz w:val="20"/>
              </w:rPr>
              <w:t> </w:t>
            </w:r>
            <w:r>
              <w:rPr>
                <w:sz w:val="20"/>
              </w:rPr>
              <w:t>until a rising edge is seen on the data line. This bit can be used during the last byte of a Write command to cause the INT5 interrupt to occur when the EEPROM has finished its internal write sequence. This bit is ignored if</w:t>
            </w:r>
            <w:r>
              <w:rPr>
                <w:spacing w:val="1"/>
                <w:sz w:val="20"/>
              </w:rPr>
              <w:t> </w:t>
            </w:r>
            <w:r>
              <w:rPr>
                <w:sz w:val="20"/>
              </w:rPr>
              <w:t>HiZ=0.</w:t>
            </w:r>
          </w:p>
        </w:tc>
      </w:tr>
      <w:tr>
        <w:trPr>
          <w:trHeight w:val="498" w:hRule="atLeast"/>
        </w:trPr>
        <w:tc>
          <w:tcPr>
            <w:tcW w:w="955" w:type="dxa"/>
          </w:tcPr>
          <w:p>
            <w:pPr>
              <w:pStyle w:val="TableParagraph"/>
              <w:spacing w:before="134"/>
              <w:ind w:left="5"/>
              <w:jc w:val="center"/>
              <w:rPr>
                <w:sz w:val="20"/>
              </w:rPr>
            </w:pPr>
            <w:r>
              <w:rPr>
                <w:w w:val="99"/>
                <w:sz w:val="20"/>
              </w:rPr>
              <w:t>6</w:t>
            </w:r>
          </w:p>
        </w:tc>
        <w:tc>
          <w:tcPr>
            <w:tcW w:w="1008" w:type="dxa"/>
          </w:tcPr>
          <w:p>
            <w:pPr>
              <w:pStyle w:val="TableParagraph"/>
              <w:spacing w:before="130"/>
              <w:ind w:left="52" w:right="49"/>
              <w:jc w:val="center"/>
              <w:rPr>
                <w:rFonts w:ascii="Times New Roman"/>
                <w:i/>
                <w:sz w:val="20"/>
              </w:rPr>
            </w:pPr>
            <w:r>
              <w:rPr>
                <w:rFonts w:ascii="Times New Roman"/>
                <w:i/>
                <w:sz w:val="20"/>
              </w:rPr>
              <w:t>BUSY</w:t>
            </w:r>
          </w:p>
        </w:tc>
        <w:tc>
          <w:tcPr>
            <w:tcW w:w="773" w:type="dxa"/>
          </w:tcPr>
          <w:p>
            <w:pPr>
              <w:pStyle w:val="TableParagraph"/>
              <w:spacing w:before="134"/>
              <w:ind w:left="314"/>
              <w:rPr>
                <w:sz w:val="20"/>
              </w:rPr>
            </w:pPr>
            <w:r>
              <w:rPr>
                <w:w w:val="99"/>
                <w:sz w:val="20"/>
              </w:rPr>
              <w:t>R</w:t>
            </w:r>
          </w:p>
        </w:tc>
        <w:tc>
          <w:tcPr>
            <w:tcW w:w="6624" w:type="dxa"/>
          </w:tcPr>
          <w:p>
            <w:pPr>
              <w:pStyle w:val="TableParagraph"/>
              <w:spacing w:before="18"/>
              <w:ind w:left="107" w:right="104"/>
              <w:rPr>
                <w:sz w:val="20"/>
              </w:rPr>
            </w:pPr>
            <w:r>
              <w:rPr>
                <w:sz w:val="20"/>
              </w:rPr>
              <w:t>Asserted while the serial data bus is busy. When the BUSY bit falls, an INT5 interrupt occurs.</w:t>
            </w:r>
          </w:p>
        </w:tc>
      </w:tr>
      <w:tr>
        <w:trPr>
          <w:trHeight w:val="501" w:hRule="atLeast"/>
        </w:trPr>
        <w:tc>
          <w:tcPr>
            <w:tcW w:w="955" w:type="dxa"/>
          </w:tcPr>
          <w:p>
            <w:pPr>
              <w:pStyle w:val="TableParagraph"/>
              <w:spacing w:before="134"/>
              <w:ind w:left="5"/>
              <w:jc w:val="center"/>
              <w:rPr>
                <w:sz w:val="20"/>
              </w:rPr>
            </w:pPr>
            <w:r>
              <w:rPr>
                <w:w w:val="99"/>
                <w:sz w:val="20"/>
              </w:rPr>
              <w:t>5</w:t>
            </w:r>
          </w:p>
        </w:tc>
        <w:tc>
          <w:tcPr>
            <w:tcW w:w="1008" w:type="dxa"/>
          </w:tcPr>
          <w:p>
            <w:pPr>
              <w:pStyle w:val="TableParagraph"/>
              <w:spacing w:before="130"/>
              <w:ind w:left="51" w:right="49"/>
              <w:jc w:val="center"/>
              <w:rPr>
                <w:rFonts w:ascii="Times New Roman"/>
                <w:i/>
                <w:sz w:val="20"/>
              </w:rPr>
            </w:pPr>
            <w:r>
              <w:rPr>
                <w:rFonts w:ascii="Times New Roman"/>
                <w:i/>
                <w:sz w:val="20"/>
              </w:rPr>
              <w:t>HiZ</w:t>
            </w:r>
          </w:p>
        </w:tc>
        <w:tc>
          <w:tcPr>
            <w:tcW w:w="773" w:type="dxa"/>
          </w:tcPr>
          <w:p>
            <w:pPr>
              <w:pStyle w:val="TableParagraph"/>
              <w:spacing w:before="134"/>
              <w:ind w:left="290"/>
              <w:rPr>
                <w:sz w:val="20"/>
              </w:rPr>
            </w:pPr>
            <w:r>
              <w:rPr>
                <w:w w:val="99"/>
                <w:sz w:val="20"/>
              </w:rPr>
              <w:t>W</w:t>
            </w:r>
          </w:p>
        </w:tc>
        <w:tc>
          <w:tcPr>
            <w:tcW w:w="6624" w:type="dxa"/>
          </w:tcPr>
          <w:p>
            <w:pPr>
              <w:pStyle w:val="TableParagraph"/>
              <w:spacing w:before="18"/>
              <w:ind w:left="107" w:right="104"/>
              <w:rPr>
                <w:sz w:val="20"/>
              </w:rPr>
            </w:pPr>
            <w:r>
              <w:rPr>
                <w:spacing w:val="-4"/>
                <w:sz w:val="20"/>
              </w:rPr>
              <w:t>Indicates that </w:t>
            </w:r>
            <w:r>
              <w:rPr>
                <w:sz w:val="20"/>
              </w:rPr>
              <w:t>the SD </w:t>
            </w:r>
            <w:r>
              <w:rPr>
                <w:spacing w:val="-3"/>
                <w:sz w:val="20"/>
              </w:rPr>
              <w:t>signal </w:t>
            </w:r>
            <w:r>
              <w:rPr>
                <w:sz w:val="20"/>
              </w:rPr>
              <w:t>is to be </w:t>
            </w:r>
            <w:r>
              <w:rPr>
                <w:spacing w:val="-4"/>
                <w:sz w:val="20"/>
              </w:rPr>
              <w:t>floated </w:t>
            </w:r>
            <w:r>
              <w:rPr>
                <w:spacing w:val="-3"/>
                <w:sz w:val="20"/>
              </w:rPr>
              <w:t>to high </w:t>
            </w:r>
            <w:r>
              <w:rPr>
                <w:spacing w:val="-4"/>
                <w:sz w:val="20"/>
              </w:rPr>
              <w:t>impedance immediately </w:t>
            </w:r>
            <w:r>
              <w:rPr>
                <w:sz w:val="20"/>
              </w:rPr>
              <w:t>after the last SDCK rising edge.</w:t>
            </w:r>
          </w:p>
        </w:tc>
      </w:tr>
      <w:tr>
        <w:trPr>
          <w:trHeight w:val="270" w:hRule="atLeast"/>
        </w:trPr>
        <w:tc>
          <w:tcPr>
            <w:tcW w:w="955" w:type="dxa"/>
          </w:tcPr>
          <w:p>
            <w:pPr>
              <w:pStyle w:val="TableParagraph"/>
              <w:spacing w:before="18"/>
              <w:ind w:left="5"/>
              <w:jc w:val="center"/>
              <w:rPr>
                <w:sz w:val="20"/>
              </w:rPr>
            </w:pPr>
            <w:r>
              <w:rPr>
                <w:w w:val="99"/>
                <w:sz w:val="20"/>
              </w:rPr>
              <w:t>4</w:t>
            </w:r>
          </w:p>
        </w:tc>
        <w:tc>
          <w:tcPr>
            <w:tcW w:w="1008" w:type="dxa"/>
          </w:tcPr>
          <w:p>
            <w:pPr>
              <w:pStyle w:val="TableParagraph"/>
              <w:spacing w:before="14"/>
              <w:ind w:left="51" w:right="49"/>
              <w:jc w:val="center"/>
              <w:rPr>
                <w:rFonts w:ascii="Times New Roman"/>
                <w:i/>
                <w:sz w:val="20"/>
              </w:rPr>
            </w:pPr>
            <w:r>
              <w:rPr>
                <w:rFonts w:ascii="Times New Roman"/>
                <w:i/>
                <w:sz w:val="20"/>
              </w:rPr>
              <w:t>RD</w:t>
            </w:r>
          </w:p>
        </w:tc>
        <w:tc>
          <w:tcPr>
            <w:tcW w:w="773" w:type="dxa"/>
          </w:tcPr>
          <w:p>
            <w:pPr>
              <w:pStyle w:val="TableParagraph"/>
              <w:spacing w:before="18"/>
              <w:ind w:left="290"/>
              <w:rPr>
                <w:sz w:val="20"/>
              </w:rPr>
            </w:pPr>
            <w:r>
              <w:rPr>
                <w:w w:val="99"/>
                <w:sz w:val="20"/>
              </w:rPr>
              <w:t>W</w:t>
            </w:r>
          </w:p>
        </w:tc>
        <w:tc>
          <w:tcPr>
            <w:tcW w:w="6624" w:type="dxa"/>
          </w:tcPr>
          <w:p>
            <w:pPr>
              <w:pStyle w:val="TableParagraph"/>
              <w:spacing w:before="14"/>
              <w:ind w:left="107"/>
              <w:rPr>
                <w:sz w:val="20"/>
              </w:rPr>
            </w:pPr>
            <w:r>
              <w:rPr>
                <w:sz w:val="20"/>
              </w:rPr>
              <w:t>Indicates that </w:t>
            </w:r>
            <w:r>
              <w:rPr>
                <w:rFonts w:ascii="Times New Roman"/>
                <w:i/>
                <w:sz w:val="20"/>
              </w:rPr>
              <w:t>EEDATA </w:t>
            </w:r>
            <w:r>
              <w:rPr>
                <w:sz w:val="20"/>
              </w:rPr>
              <w:t>(</w:t>
            </w:r>
            <w:r>
              <w:rPr>
                <w:rFonts w:ascii="Times New Roman"/>
                <w:i/>
                <w:sz w:val="20"/>
              </w:rPr>
              <w:t>SFR 0x9E</w:t>
            </w:r>
            <w:r>
              <w:rPr>
                <w:sz w:val="20"/>
              </w:rPr>
              <w:t>) is to be filled with data from EEPROM.</w:t>
            </w:r>
          </w:p>
        </w:tc>
      </w:tr>
      <w:tr>
        <w:trPr>
          <w:trHeight w:val="1192" w:hRule="atLeast"/>
        </w:trPr>
        <w:tc>
          <w:tcPr>
            <w:tcW w:w="955" w:type="dxa"/>
          </w:tcPr>
          <w:p>
            <w:pPr>
              <w:pStyle w:val="TableParagraph"/>
              <w:rPr>
                <w:b/>
                <w:sz w:val="22"/>
              </w:rPr>
            </w:pPr>
          </w:p>
          <w:p>
            <w:pPr>
              <w:pStyle w:val="TableParagraph"/>
              <w:spacing w:before="7"/>
              <w:rPr>
                <w:b/>
                <w:sz w:val="19"/>
              </w:rPr>
            </w:pPr>
          </w:p>
          <w:p>
            <w:pPr>
              <w:pStyle w:val="TableParagraph"/>
              <w:spacing w:before="1"/>
              <w:ind w:left="314" w:right="312"/>
              <w:jc w:val="center"/>
              <w:rPr>
                <w:sz w:val="20"/>
              </w:rPr>
            </w:pPr>
            <w:r>
              <w:rPr>
                <w:sz w:val="20"/>
              </w:rPr>
              <w:t>3:0</w:t>
            </w:r>
          </w:p>
        </w:tc>
        <w:tc>
          <w:tcPr>
            <w:tcW w:w="1008" w:type="dxa"/>
          </w:tcPr>
          <w:p>
            <w:pPr>
              <w:pStyle w:val="TableParagraph"/>
              <w:rPr>
                <w:b/>
                <w:sz w:val="22"/>
              </w:rPr>
            </w:pPr>
          </w:p>
          <w:p>
            <w:pPr>
              <w:pStyle w:val="TableParagraph"/>
              <w:spacing w:before="4"/>
              <w:rPr>
                <w:b/>
                <w:sz w:val="19"/>
              </w:rPr>
            </w:pPr>
          </w:p>
          <w:p>
            <w:pPr>
              <w:pStyle w:val="TableParagraph"/>
              <w:ind w:left="107" w:right="49"/>
              <w:jc w:val="center"/>
              <w:rPr>
                <w:rFonts w:ascii="Times New Roman"/>
                <w:i/>
                <w:sz w:val="20"/>
              </w:rPr>
            </w:pPr>
            <w:r>
              <w:rPr>
                <w:rFonts w:ascii="Times New Roman"/>
                <w:i/>
                <w:sz w:val="20"/>
              </w:rPr>
              <w:t>CNT[3:0]</w:t>
            </w:r>
          </w:p>
        </w:tc>
        <w:tc>
          <w:tcPr>
            <w:tcW w:w="773" w:type="dxa"/>
          </w:tcPr>
          <w:p>
            <w:pPr>
              <w:pStyle w:val="TableParagraph"/>
              <w:rPr>
                <w:b/>
                <w:sz w:val="22"/>
              </w:rPr>
            </w:pPr>
          </w:p>
          <w:p>
            <w:pPr>
              <w:pStyle w:val="TableParagraph"/>
              <w:spacing w:before="7"/>
              <w:rPr>
                <w:b/>
                <w:sz w:val="19"/>
              </w:rPr>
            </w:pPr>
          </w:p>
          <w:p>
            <w:pPr>
              <w:pStyle w:val="TableParagraph"/>
              <w:spacing w:before="1"/>
              <w:ind w:left="290"/>
              <w:rPr>
                <w:sz w:val="20"/>
              </w:rPr>
            </w:pPr>
            <w:r>
              <w:rPr>
                <w:w w:val="99"/>
                <w:sz w:val="20"/>
              </w:rPr>
              <w:t>W</w:t>
            </w:r>
          </w:p>
        </w:tc>
        <w:tc>
          <w:tcPr>
            <w:tcW w:w="6624" w:type="dxa"/>
          </w:tcPr>
          <w:p>
            <w:pPr>
              <w:pStyle w:val="TableParagraph"/>
              <w:spacing w:before="18"/>
              <w:ind w:left="107" w:right="113"/>
              <w:rPr>
                <w:sz w:val="20"/>
              </w:rPr>
            </w:pPr>
            <w:r>
              <w:rPr>
                <w:sz w:val="20"/>
              </w:rPr>
              <w:t>Specifies the number of clocks to be issued. Allowed values are 0 through 8. If </w:t>
            </w:r>
            <w:r>
              <w:rPr>
                <w:rFonts w:ascii="Times New Roman"/>
                <w:i/>
                <w:sz w:val="20"/>
              </w:rPr>
              <w:t>RD </w:t>
            </w:r>
            <w:r>
              <w:rPr>
                <w:sz w:val="20"/>
              </w:rPr>
              <w:t>= 1, CNT bits of data are read MSB first, and right justified into the low order bits of </w:t>
            </w:r>
            <w:r>
              <w:rPr>
                <w:rFonts w:ascii="Times New Roman"/>
                <w:i/>
                <w:sz w:val="20"/>
              </w:rPr>
              <w:t>EEDATA</w:t>
            </w:r>
            <w:r>
              <w:rPr>
                <w:sz w:val="20"/>
              </w:rPr>
              <w:t>. If </w:t>
            </w:r>
            <w:r>
              <w:rPr>
                <w:rFonts w:ascii="Times New Roman"/>
                <w:i/>
                <w:sz w:val="20"/>
              </w:rPr>
              <w:t>RD </w:t>
            </w:r>
            <w:r>
              <w:rPr>
                <w:sz w:val="20"/>
              </w:rPr>
              <w:t>= 0, CNT bits are sent MSB first to the EEPROM, shifted out of the MSB of </w:t>
            </w:r>
            <w:r>
              <w:rPr>
                <w:rFonts w:ascii="Times New Roman"/>
                <w:i/>
                <w:sz w:val="20"/>
              </w:rPr>
              <w:t>EEDATA</w:t>
            </w:r>
            <w:r>
              <w:rPr>
                <w:sz w:val="20"/>
              </w:rPr>
              <w:t>. If </w:t>
            </w:r>
            <w:r>
              <w:rPr>
                <w:rFonts w:ascii="Times New Roman"/>
                <w:i/>
                <w:sz w:val="20"/>
              </w:rPr>
              <w:t>CNT[3:0] </w:t>
            </w:r>
            <w:r>
              <w:rPr>
                <w:sz w:val="20"/>
              </w:rPr>
              <w:t>is zero, SDATA simply obeys the HiZ bit.</w:t>
            </w:r>
          </w:p>
        </w:tc>
      </w:tr>
    </w:tbl>
    <w:p>
      <w:pPr>
        <w:pStyle w:val="BodyText"/>
        <w:ind w:left="239" w:right="429"/>
      </w:pPr>
      <w:r>
        <w:rPr/>
        <w:t>The timing diagrams in </w:t>
      </w:r>
      <w:hyperlink w:history="true" w:anchor="_bookmark133">
        <w:r>
          <w:rPr>
            <w:color w:val="0000FF"/>
          </w:rPr>
          <w:t>Figure 18 </w:t>
        </w:r>
      </w:hyperlink>
      <w:r>
        <w:rPr/>
        <w:t>through </w:t>
      </w:r>
      <w:hyperlink w:history="true" w:anchor="_bookmark137">
        <w:r>
          <w:rPr>
            <w:color w:val="0000FF"/>
          </w:rPr>
          <w:t>Figure 22 </w:t>
        </w:r>
      </w:hyperlink>
      <w:r>
        <w:rPr/>
        <w:t>describe the 3-wire EEPROM interface behavior. All commands begin when the </w:t>
      </w:r>
      <w:r>
        <w:rPr>
          <w:rFonts w:ascii="Times New Roman"/>
          <w:i/>
        </w:rPr>
        <w:t>EECTRL </w:t>
      </w:r>
      <w:r>
        <w:rPr/>
        <w:t>register is written. Transactions start by first raising the DIO pin that is connected to CS. Multiple 8-bit or less commands such as those shown in </w:t>
      </w:r>
      <w:hyperlink w:history="true" w:anchor="_bookmark133">
        <w:r>
          <w:rPr>
            <w:color w:val="0000FF"/>
          </w:rPr>
          <w:t>Figure 18 </w:t>
        </w:r>
      </w:hyperlink>
      <w:r>
        <w:rPr/>
        <w:t>through </w:t>
      </w:r>
      <w:hyperlink w:history="true" w:anchor="_bookmark137">
        <w:r>
          <w:rPr>
            <w:color w:val="0000FF"/>
          </w:rPr>
          <w:t>Figure 22</w:t>
        </w:r>
      </w:hyperlink>
      <w:r>
        <w:rPr>
          <w:color w:val="0000FF"/>
        </w:rPr>
        <w:t> </w:t>
      </w:r>
      <w:r>
        <w:rPr/>
        <w:t>are then sent via </w:t>
      </w:r>
      <w:r>
        <w:rPr>
          <w:rFonts w:ascii="Times New Roman"/>
          <w:i/>
        </w:rPr>
        <w:t>EECTRL </w:t>
      </w:r>
      <w:r>
        <w:rPr/>
        <w:t>and</w:t>
      </w:r>
      <w:r>
        <w:rPr>
          <w:spacing w:val="3"/>
        </w:rPr>
        <w:t> </w:t>
      </w:r>
      <w:r>
        <w:rPr>
          <w:rFonts w:ascii="Times New Roman"/>
          <w:i/>
        </w:rPr>
        <w:t>EEDATA</w:t>
      </w:r>
      <w:r>
        <w:rPr/>
        <w:t>.</w:t>
      </w:r>
    </w:p>
    <w:p>
      <w:pPr>
        <w:pStyle w:val="BodyText"/>
        <w:spacing w:before="120"/>
        <w:ind w:left="239" w:right="645"/>
      </w:pPr>
      <w:r>
        <w:rPr/>
        <w:pict>
          <v:group style="position:absolute;margin-left:221.246246pt;margin-top:68.314934pt;width:287.8pt;height:33.4pt;mso-position-horizontal-relative:page;mso-position-vertical-relative:paragraph;z-index:-38782464" coordorigin="4425,1366" coordsize="5756,668">
            <v:shape style="position:absolute;left:4424;top:1839;width:3966;height:194" coordorigin="4425,1840" coordsize="3966,194" path="m8391,1840l8377,1840,8032,1840,8017,1840,8017,1854,8017,2019,7672,2019,7672,1854,7672,1840,7658,1840,7313,1840,7299,1840,7299,1854,7299,2019,6954,2019,6954,1854,6954,1840,6940,1840,6595,1840,6580,1840,6580,1854,6580,2019,6235,2019,6235,1854,6235,1840,6221,1840,5876,1840,5862,1840,5862,1854,5862,2019,5517,2019,5517,1854,5517,1840,5503,1840,5158,1840,5143,1840,5143,1854,5143,2019,4799,2019,4799,1854,4799,1840,4784,1840,4439,1840,4425,1840,4425,1854,4425,2019,4425,2033,4439,2033,4439,2019,4439,1854,4784,1854,4784,2026,4791,2026,4791,2033,5143,2033,5158,2033,5158,2019,5158,1854,5503,1854,5503,2026,5510,2026,5510,2033,5862,2033,5876,2033,5876,2019,5876,1854,6221,1854,6221,2026,6228,2026,6228,2033,6580,2033,6595,2033,6595,2019,6595,1854,6940,1854,6940,2026,6947,2026,6947,2033,7299,2033,7313,2033,7313,2019,7313,1854,7658,1854,7658,2026,7665,2026,7665,2033,8017,2033,8032,2033,8032,2019,8032,1854,8377,1854,8377,2026,8391,2026,8391,1854,8391,1840xe" filled="true" fillcolor="#000000" stroked="false">
              <v:path arrowok="t"/>
              <v:fill type="solid"/>
            </v:shape>
            <v:rect style="position:absolute;left:8383;top:2019;width:1797;height:15" filled="true" fillcolor="#000000" stroked="false">
              <v:fill type="solid"/>
            </v:rect>
            <v:shape style="position:absolute;left:8273;top:1521;width:111;height:110" type="#_x0000_t75" stroked="false">
              <v:imagedata r:id="rId127" o:title=""/>
            </v:shape>
            <v:shape style="position:absolute;left:8378;top:1366;width:185;height:436" type="#_x0000_t75" stroked="false">
              <v:imagedata r:id="rId128" o:title=""/>
            </v:shape>
            <w10:wrap type="none"/>
          </v:group>
        </w:pict>
      </w:r>
      <w:r>
        <w:rPr/>
        <w:t>When the transaction is finished, CS must be lowered. At the end of a Read transaction, the EEPROM drives SDATA, but transitions to HiZ (high impedance) when CS falls. The firmware should then immediately issue a write command with CNT=0 and HiZ=0 to take control of SDATA and force it to a low-Z state.</w:t>
      </w:r>
    </w:p>
    <w:p>
      <w:pPr>
        <w:spacing w:after="0"/>
        <w:sectPr>
          <w:pgSz w:w="12240" w:h="15840"/>
          <w:pgMar w:header="727" w:footer="819" w:top="960" w:bottom="1000" w:left="1200" w:right="1060"/>
        </w:sectPr>
      </w:pPr>
    </w:p>
    <w:p>
      <w:pPr>
        <w:pStyle w:val="BodyText"/>
        <w:spacing w:before="5"/>
        <w:rPr>
          <w:sz w:val="14"/>
        </w:rPr>
      </w:pPr>
    </w:p>
    <w:p>
      <w:pPr>
        <w:spacing w:before="1"/>
        <w:ind w:left="1112" w:right="0" w:firstLine="0"/>
        <w:jc w:val="center"/>
        <w:rPr>
          <w:sz w:val="16"/>
        </w:rPr>
      </w:pPr>
      <w:r>
        <w:rPr/>
        <w:pict>
          <v:group style="position:absolute;margin-left:194.542633pt;margin-top:5.043328pt;width:14.65pt;height:31.45pt;mso-position-horizontal-relative:page;mso-position-vertical-relative:paragraph;z-index:-38781952" coordorigin="3891,101" coordsize="293,629">
            <v:shape style="position:absolute;left:4072;top:316;width:111;height:110" type="#_x0000_t75" stroked="false">
              <v:imagedata r:id="rId129" o:title=""/>
            </v:shape>
            <v:shape style="position:absolute;left:3890;top:100;width:240;height:629" type="#_x0000_t75" stroked="false">
              <v:imagedata r:id="rId130" o:title=""/>
            </v:shape>
            <w10:wrap type="none"/>
          </v:group>
        </w:pict>
      </w:r>
      <w:r>
        <w:rPr>
          <w:sz w:val="16"/>
        </w:rPr>
        <w:t>EECTRL Byte Written</w:t>
      </w:r>
    </w:p>
    <w:p>
      <w:pPr>
        <w:pStyle w:val="BodyText"/>
        <w:spacing w:before="2"/>
        <w:rPr>
          <w:sz w:val="15"/>
        </w:rPr>
      </w:pPr>
    </w:p>
    <w:p>
      <w:pPr>
        <w:spacing w:before="0"/>
        <w:ind w:left="1098" w:right="0" w:firstLine="0"/>
        <w:jc w:val="center"/>
        <w:rPr>
          <w:b/>
          <w:sz w:val="16"/>
        </w:rPr>
      </w:pPr>
      <w:r>
        <w:rPr>
          <w:b/>
          <w:sz w:val="16"/>
        </w:rPr>
        <w:t>Write -- No HiZ</w:t>
      </w:r>
    </w:p>
    <w:p>
      <w:pPr>
        <w:pStyle w:val="BodyText"/>
        <w:rPr>
          <w:b/>
          <w:sz w:val="18"/>
        </w:rPr>
      </w:pPr>
      <w:r>
        <w:rPr/>
        <w:br w:type="column"/>
      </w:r>
      <w:r>
        <w:rPr>
          <w:b/>
          <w:sz w:val="18"/>
        </w:rPr>
      </w:r>
    </w:p>
    <w:p>
      <w:pPr>
        <w:tabs>
          <w:tab w:pos="1643" w:val="left" w:leader="none"/>
          <w:tab w:pos="4388" w:val="left" w:leader="none"/>
        </w:tabs>
        <w:spacing w:before="139"/>
        <w:ind w:left="245" w:right="0" w:firstLine="0"/>
        <w:jc w:val="left"/>
        <w:rPr>
          <w:sz w:val="16"/>
        </w:rPr>
      </w:pPr>
      <w:r>
        <w:rPr>
          <w:rFonts w:ascii="Times New Roman"/>
          <w:w w:val="100"/>
          <w:sz w:val="16"/>
          <w:u w:val="single"/>
        </w:rPr>
        <w:t> </w:t>
      </w:r>
      <w:r>
        <w:rPr>
          <w:rFonts w:ascii="Times New Roman"/>
          <w:sz w:val="16"/>
          <w:u w:val="single"/>
        </w:rPr>
        <w:tab/>
      </w:r>
      <w:r>
        <w:rPr>
          <w:sz w:val="16"/>
          <w:u w:val="single"/>
        </w:rPr>
        <w:t>CNT Cycles (6</w:t>
      </w:r>
      <w:r>
        <w:rPr>
          <w:spacing w:val="-7"/>
          <w:sz w:val="16"/>
          <w:u w:val="single"/>
        </w:rPr>
        <w:t> </w:t>
      </w:r>
      <w:r>
        <w:rPr>
          <w:sz w:val="16"/>
          <w:u w:val="single"/>
        </w:rPr>
        <w:t>shown)</w:t>
        <w:tab/>
      </w:r>
    </w:p>
    <w:p>
      <w:pPr>
        <w:pStyle w:val="BodyText"/>
        <w:spacing w:before="2"/>
        <w:rPr>
          <w:sz w:val="23"/>
        </w:rPr>
      </w:pPr>
      <w:r>
        <w:rPr/>
        <w:br w:type="column"/>
      </w:r>
      <w:r>
        <w:rPr>
          <w:sz w:val="23"/>
        </w:rPr>
      </w:r>
    </w:p>
    <w:p>
      <w:pPr>
        <w:spacing w:before="1"/>
        <w:ind w:left="223" w:right="0" w:firstLine="0"/>
        <w:jc w:val="left"/>
        <w:rPr>
          <w:sz w:val="16"/>
        </w:rPr>
      </w:pPr>
      <w:r>
        <w:rPr>
          <w:sz w:val="16"/>
        </w:rPr>
        <w:t>INT5</w:t>
      </w:r>
    </w:p>
    <w:p>
      <w:pPr>
        <w:spacing w:after="0"/>
        <w:jc w:val="left"/>
        <w:rPr>
          <w:sz w:val="16"/>
        </w:rPr>
        <w:sectPr>
          <w:type w:val="continuous"/>
          <w:pgSz w:w="12240" w:h="15840"/>
          <w:pgMar w:top="940" w:bottom="280" w:left="1200" w:right="1060"/>
          <w:cols w:num="3" w:equalWidth="0">
            <w:col w:w="2672" w:space="40"/>
            <w:col w:w="4389" w:space="39"/>
            <w:col w:w="2840"/>
          </w:cols>
        </w:sectPr>
      </w:pPr>
    </w:p>
    <w:p>
      <w:pPr>
        <w:tabs>
          <w:tab w:pos="2085" w:val="left" w:leader="none"/>
        </w:tabs>
        <w:spacing w:before="84"/>
        <w:ind w:left="0" w:right="5614" w:firstLine="0"/>
        <w:jc w:val="center"/>
        <w:rPr>
          <w:rFonts w:ascii="Times New Roman"/>
          <w:sz w:val="16"/>
        </w:rPr>
      </w:pPr>
      <w:r>
        <w:rPr/>
        <w:pict>
          <v:rect style="position:absolute;margin-left:208.073868pt;margin-top:31.429348pt;width:31.493435pt;height:.717171pt;mso-position-horizontal-relative:page;mso-position-vertical-relative:paragraph;z-index:-38781440" filled="true" fillcolor="#000000" stroked="false">
            <v:fill type="solid"/>
            <w10:wrap type="none"/>
          </v:rect>
        </w:pict>
      </w:r>
      <w:r>
        <w:rPr/>
        <w:pict>
          <v:rect style="position:absolute;margin-left:243.99794pt;margin-top:31.429348pt;width:31.493435pt;height:.717171pt;mso-position-horizontal-relative:page;mso-position-vertical-relative:paragraph;z-index:-38780928" filled="true" fillcolor="#000000" stroked="false">
            <v:fill type="solid"/>
            <w10:wrap type="none"/>
          </v:rect>
        </w:pict>
      </w:r>
      <w:r>
        <w:rPr/>
        <w:pict>
          <v:rect style="position:absolute;margin-left:279.92215pt;margin-top:31.429348pt;width:31.493315pt;height:.717171pt;mso-position-horizontal-relative:page;mso-position-vertical-relative:paragraph;z-index:-38780416" filled="true" fillcolor="#000000" stroked="false">
            <v:fill type="solid"/>
            <w10:wrap type="none"/>
          </v:rect>
        </w:pict>
      </w:r>
      <w:r>
        <w:rPr/>
        <w:pict>
          <v:rect style="position:absolute;margin-left:315.8461pt;margin-top:31.429348pt;width:31.493435pt;height:.717171pt;mso-position-horizontal-relative:page;mso-position-vertical-relative:paragraph;z-index:-38779904" filled="true" fillcolor="#000000" stroked="false">
            <v:fill type="solid"/>
            <w10:wrap type="none"/>
          </v:rect>
        </w:pict>
      </w:r>
      <w:r>
        <w:rPr/>
        <w:pict>
          <v:rect style="position:absolute;margin-left:351.770142pt;margin-top:31.429348pt;width:31.493435pt;height:.717171pt;mso-position-horizontal-relative:page;mso-position-vertical-relative:paragraph;z-index:-38779392" filled="true" fillcolor="#000000" stroked="false">
            <v:fill type="solid"/>
            <w10:wrap type="none"/>
          </v:rect>
        </w:pict>
      </w:r>
      <w:r>
        <w:rPr>
          <w:sz w:val="16"/>
        </w:rPr>
        <w:t>SCLK</w:t>
      </w:r>
      <w:r>
        <w:rPr>
          <w:spacing w:val="-6"/>
          <w:sz w:val="16"/>
        </w:rPr>
        <w:t> </w:t>
      </w:r>
      <w:r>
        <w:rPr>
          <w:sz w:val="16"/>
        </w:rPr>
        <w:t>(output)</w:t>
      </w:r>
      <w:r>
        <w:rPr>
          <w:rFonts w:ascii="Times New Roman"/>
          <w:sz w:val="16"/>
          <w:u w:val="single"/>
        </w:rPr>
        <w:t> </w:t>
        <w:tab/>
      </w:r>
    </w:p>
    <w:p>
      <w:pPr>
        <w:pStyle w:val="BodyText"/>
        <w:spacing w:before="4"/>
        <w:rPr>
          <w:rFonts w:ascii="Times New Roman"/>
          <w:sz w:val="16"/>
        </w:rPr>
      </w:pPr>
    </w:p>
    <w:tbl>
      <w:tblPr>
        <w:tblW w:w="0" w:type="auto"/>
        <w:jc w:val="left"/>
        <w:tblInd w:w="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0"/>
        <w:gridCol w:w="89"/>
        <w:gridCol w:w="630"/>
        <w:gridCol w:w="89"/>
        <w:gridCol w:w="630"/>
        <w:gridCol w:w="89"/>
        <w:gridCol w:w="630"/>
        <w:gridCol w:w="89"/>
        <w:gridCol w:w="630"/>
        <w:gridCol w:w="89"/>
        <w:gridCol w:w="630"/>
        <w:gridCol w:w="89"/>
        <w:gridCol w:w="630"/>
        <w:gridCol w:w="1796"/>
      </w:tblGrid>
      <w:tr>
        <w:trPr>
          <w:trHeight w:val="164" w:hRule="atLeast"/>
        </w:trPr>
        <w:tc>
          <w:tcPr>
            <w:tcW w:w="1940" w:type="dxa"/>
            <w:tcBorders>
              <w:top w:val="single" w:sz="6" w:space="0" w:color="000000"/>
            </w:tcBorders>
          </w:tcPr>
          <w:p>
            <w:pPr>
              <w:pStyle w:val="TableParagraph"/>
              <w:tabs>
                <w:tab w:pos="1939" w:val="left" w:leader="none"/>
              </w:tabs>
              <w:spacing w:line="144" w:lineRule="exact"/>
              <w:ind w:left="88"/>
              <w:rPr>
                <w:rFonts w:ascii="Times New Roman"/>
                <w:sz w:val="16"/>
              </w:rPr>
            </w:pPr>
            <w:r>
              <w:rPr>
                <w:sz w:val="16"/>
              </w:rPr>
              <w:t>SDATA</w:t>
            </w:r>
            <w:r>
              <w:rPr>
                <w:spacing w:val="-5"/>
                <w:sz w:val="16"/>
              </w:rPr>
              <w:t> </w:t>
            </w:r>
            <w:r>
              <w:rPr>
                <w:sz w:val="16"/>
              </w:rPr>
              <w:t>(output)</w:t>
            </w:r>
            <w:r>
              <w:rPr>
                <w:rFonts w:ascii="Times New Roman"/>
                <w:sz w:val="16"/>
                <w:u w:val="single"/>
              </w:rPr>
              <w:t> </w:t>
              <w:tab/>
            </w:r>
          </w:p>
        </w:tc>
        <w:tc>
          <w:tcPr>
            <w:tcW w:w="89" w:type="dxa"/>
          </w:tcPr>
          <w:p>
            <w:pPr>
              <w:pStyle w:val="TableParagraph"/>
              <w:spacing w:line="161" w:lineRule="exact"/>
              <w:ind w:left="-8" w:right="-58"/>
              <w:rPr>
                <w:rFonts w:ascii="Times New Roman"/>
                <w:sz w:val="16"/>
              </w:rPr>
            </w:pPr>
            <w:r>
              <w:rPr>
                <w:rFonts w:ascii="Times New Roman"/>
                <w:position w:val="-2"/>
                <w:sz w:val="16"/>
              </w:rPr>
              <w:drawing>
                <wp:inline distT="0" distB="0" distL="0" distR="0">
                  <wp:extent cx="64170" cy="102393"/>
                  <wp:effectExtent l="0" t="0" r="0" b="0"/>
                  <wp:docPr id="71" name="image107.png"/>
                  <wp:cNvGraphicFramePr>
                    <a:graphicFrameLocks noChangeAspect="1"/>
                  </wp:cNvGraphicFramePr>
                  <a:graphic>
                    <a:graphicData uri="http://schemas.openxmlformats.org/drawingml/2006/picture">
                      <pic:pic>
                        <pic:nvPicPr>
                          <pic:cNvPr id="72" name="image107.png"/>
                          <pic:cNvPicPr/>
                        </pic:nvPicPr>
                        <pic:blipFill>
                          <a:blip r:embed="rId131" cstate="print"/>
                          <a:stretch>
                            <a:fillRect/>
                          </a:stretch>
                        </pic:blipFill>
                        <pic:spPr>
                          <a:xfrm>
                            <a:off x="0" y="0"/>
                            <a:ext cx="64170" cy="102393"/>
                          </a:xfrm>
                          <a:prstGeom prst="rect">
                            <a:avLst/>
                          </a:prstGeom>
                        </pic:spPr>
                      </pic:pic>
                    </a:graphicData>
                  </a:graphic>
                </wp:inline>
              </w:drawing>
            </w:r>
            <w:r>
              <w:rPr>
                <w:rFonts w:ascii="Times New Roman"/>
                <w:position w:val="-2"/>
                <w:sz w:val="16"/>
              </w:rPr>
            </w:r>
          </w:p>
        </w:tc>
        <w:tc>
          <w:tcPr>
            <w:tcW w:w="630" w:type="dxa"/>
            <w:tcBorders>
              <w:top w:val="single" w:sz="6" w:space="0" w:color="000000"/>
            </w:tcBorders>
          </w:tcPr>
          <w:p>
            <w:pPr>
              <w:pStyle w:val="TableParagraph"/>
              <w:spacing w:before="4"/>
              <w:ind w:left="276"/>
              <w:rPr>
                <w:sz w:val="12"/>
              </w:rPr>
            </w:pPr>
            <w:r>
              <w:rPr>
                <w:sz w:val="12"/>
              </w:rPr>
              <w:t>D7</w:t>
            </w:r>
          </w:p>
        </w:tc>
        <w:tc>
          <w:tcPr>
            <w:tcW w:w="89" w:type="dxa"/>
          </w:tcPr>
          <w:p>
            <w:pPr>
              <w:pStyle w:val="TableParagraph"/>
              <w:spacing w:line="161" w:lineRule="exact"/>
              <w:ind w:left="-9" w:right="-58"/>
              <w:rPr>
                <w:rFonts w:ascii="Times New Roman"/>
                <w:sz w:val="16"/>
              </w:rPr>
            </w:pPr>
            <w:r>
              <w:rPr>
                <w:rFonts w:ascii="Times New Roman"/>
                <w:position w:val="-2"/>
                <w:sz w:val="16"/>
              </w:rPr>
              <w:drawing>
                <wp:inline distT="0" distB="0" distL="0" distR="0">
                  <wp:extent cx="64170" cy="102393"/>
                  <wp:effectExtent l="0" t="0" r="0" b="0"/>
                  <wp:docPr id="73" name="image107.png"/>
                  <wp:cNvGraphicFramePr>
                    <a:graphicFrameLocks noChangeAspect="1"/>
                  </wp:cNvGraphicFramePr>
                  <a:graphic>
                    <a:graphicData uri="http://schemas.openxmlformats.org/drawingml/2006/picture">
                      <pic:pic>
                        <pic:nvPicPr>
                          <pic:cNvPr id="74" name="image107.png"/>
                          <pic:cNvPicPr/>
                        </pic:nvPicPr>
                        <pic:blipFill>
                          <a:blip r:embed="rId131" cstate="print"/>
                          <a:stretch>
                            <a:fillRect/>
                          </a:stretch>
                        </pic:blipFill>
                        <pic:spPr>
                          <a:xfrm>
                            <a:off x="0" y="0"/>
                            <a:ext cx="64170" cy="102393"/>
                          </a:xfrm>
                          <a:prstGeom prst="rect">
                            <a:avLst/>
                          </a:prstGeom>
                        </pic:spPr>
                      </pic:pic>
                    </a:graphicData>
                  </a:graphic>
                </wp:inline>
              </w:drawing>
            </w:r>
            <w:r>
              <w:rPr>
                <w:rFonts w:ascii="Times New Roman"/>
                <w:position w:val="-2"/>
                <w:sz w:val="16"/>
              </w:rPr>
            </w:r>
          </w:p>
        </w:tc>
        <w:tc>
          <w:tcPr>
            <w:tcW w:w="630" w:type="dxa"/>
            <w:tcBorders>
              <w:top w:val="single" w:sz="6" w:space="0" w:color="000000"/>
            </w:tcBorders>
          </w:tcPr>
          <w:p>
            <w:pPr>
              <w:pStyle w:val="TableParagraph"/>
              <w:spacing w:before="4"/>
              <w:ind w:left="276"/>
              <w:rPr>
                <w:sz w:val="12"/>
              </w:rPr>
            </w:pPr>
            <w:r>
              <w:rPr>
                <w:sz w:val="12"/>
              </w:rPr>
              <w:t>D6</w:t>
            </w:r>
          </w:p>
        </w:tc>
        <w:tc>
          <w:tcPr>
            <w:tcW w:w="89" w:type="dxa"/>
          </w:tcPr>
          <w:p>
            <w:pPr>
              <w:pStyle w:val="TableParagraph"/>
              <w:spacing w:line="161" w:lineRule="exact"/>
              <w:ind w:left="-9" w:right="-58"/>
              <w:rPr>
                <w:rFonts w:ascii="Times New Roman"/>
                <w:sz w:val="16"/>
              </w:rPr>
            </w:pPr>
            <w:r>
              <w:rPr>
                <w:rFonts w:ascii="Times New Roman"/>
                <w:position w:val="-2"/>
                <w:sz w:val="16"/>
              </w:rPr>
              <w:drawing>
                <wp:inline distT="0" distB="0" distL="0" distR="0">
                  <wp:extent cx="64170" cy="102393"/>
                  <wp:effectExtent l="0" t="0" r="0" b="0"/>
                  <wp:docPr id="75" name="image108.png"/>
                  <wp:cNvGraphicFramePr>
                    <a:graphicFrameLocks noChangeAspect="1"/>
                  </wp:cNvGraphicFramePr>
                  <a:graphic>
                    <a:graphicData uri="http://schemas.openxmlformats.org/drawingml/2006/picture">
                      <pic:pic>
                        <pic:nvPicPr>
                          <pic:cNvPr id="76" name="image108.png"/>
                          <pic:cNvPicPr/>
                        </pic:nvPicPr>
                        <pic:blipFill>
                          <a:blip r:embed="rId132" cstate="print"/>
                          <a:stretch>
                            <a:fillRect/>
                          </a:stretch>
                        </pic:blipFill>
                        <pic:spPr>
                          <a:xfrm>
                            <a:off x="0" y="0"/>
                            <a:ext cx="64170" cy="102393"/>
                          </a:xfrm>
                          <a:prstGeom prst="rect">
                            <a:avLst/>
                          </a:prstGeom>
                        </pic:spPr>
                      </pic:pic>
                    </a:graphicData>
                  </a:graphic>
                </wp:inline>
              </w:drawing>
            </w:r>
            <w:r>
              <w:rPr>
                <w:rFonts w:ascii="Times New Roman"/>
                <w:position w:val="-2"/>
                <w:sz w:val="16"/>
              </w:rPr>
            </w:r>
          </w:p>
        </w:tc>
        <w:tc>
          <w:tcPr>
            <w:tcW w:w="630" w:type="dxa"/>
            <w:tcBorders>
              <w:top w:val="single" w:sz="6" w:space="0" w:color="000000"/>
            </w:tcBorders>
          </w:tcPr>
          <w:p>
            <w:pPr>
              <w:pStyle w:val="TableParagraph"/>
              <w:spacing w:before="4"/>
              <w:ind w:left="275"/>
              <w:rPr>
                <w:sz w:val="12"/>
              </w:rPr>
            </w:pPr>
            <w:r>
              <w:rPr>
                <w:sz w:val="12"/>
              </w:rPr>
              <w:t>D5</w:t>
            </w:r>
          </w:p>
        </w:tc>
        <w:tc>
          <w:tcPr>
            <w:tcW w:w="89" w:type="dxa"/>
          </w:tcPr>
          <w:p>
            <w:pPr>
              <w:pStyle w:val="TableParagraph"/>
              <w:spacing w:line="161" w:lineRule="exact"/>
              <w:ind w:left="-10" w:right="-44"/>
              <w:rPr>
                <w:rFonts w:ascii="Times New Roman"/>
                <w:sz w:val="16"/>
              </w:rPr>
            </w:pPr>
            <w:r>
              <w:rPr>
                <w:rFonts w:ascii="Times New Roman"/>
                <w:position w:val="-2"/>
                <w:sz w:val="16"/>
              </w:rPr>
              <w:drawing>
                <wp:inline distT="0" distB="0" distL="0" distR="0">
                  <wp:extent cx="64170" cy="102393"/>
                  <wp:effectExtent l="0" t="0" r="0" b="0"/>
                  <wp:docPr id="77" name="image107.png"/>
                  <wp:cNvGraphicFramePr>
                    <a:graphicFrameLocks noChangeAspect="1"/>
                  </wp:cNvGraphicFramePr>
                  <a:graphic>
                    <a:graphicData uri="http://schemas.openxmlformats.org/drawingml/2006/picture">
                      <pic:pic>
                        <pic:nvPicPr>
                          <pic:cNvPr id="78" name="image107.png"/>
                          <pic:cNvPicPr/>
                        </pic:nvPicPr>
                        <pic:blipFill>
                          <a:blip r:embed="rId131" cstate="print"/>
                          <a:stretch>
                            <a:fillRect/>
                          </a:stretch>
                        </pic:blipFill>
                        <pic:spPr>
                          <a:xfrm>
                            <a:off x="0" y="0"/>
                            <a:ext cx="64170" cy="102393"/>
                          </a:xfrm>
                          <a:prstGeom prst="rect">
                            <a:avLst/>
                          </a:prstGeom>
                        </pic:spPr>
                      </pic:pic>
                    </a:graphicData>
                  </a:graphic>
                </wp:inline>
              </w:drawing>
            </w:r>
            <w:r>
              <w:rPr>
                <w:rFonts w:ascii="Times New Roman"/>
                <w:position w:val="-2"/>
                <w:sz w:val="16"/>
              </w:rPr>
            </w:r>
          </w:p>
        </w:tc>
        <w:tc>
          <w:tcPr>
            <w:tcW w:w="630" w:type="dxa"/>
            <w:tcBorders>
              <w:top w:val="single" w:sz="6" w:space="0" w:color="000000"/>
            </w:tcBorders>
          </w:tcPr>
          <w:p>
            <w:pPr>
              <w:pStyle w:val="TableParagraph"/>
              <w:spacing w:before="4"/>
              <w:ind w:left="285"/>
              <w:rPr>
                <w:sz w:val="12"/>
              </w:rPr>
            </w:pPr>
            <w:r>
              <w:rPr>
                <w:sz w:val="12"/>
              </w:rPr>
              <w:t>D4</w:t>
            </w:r>
          </w:p>
        </w:tc>
        <w:tc>
          <w:tcPr>
            <w:tcW w:w="89" w:type="dxa"/>
          </w:tcPr>
          <w:p>
            <w:pPr>
              <w:pStyle w:val="TableParagraph"/>
              <w:spacing w:line="161" w:lineRule="exact"/>
              <w:ind w:left="-10" w:right="-44"/>
              <w:rPr>
                <w:rFonts w:ascii="Times New Roman"/>
                <w:sz w:val="16"/>
              </w:rPr>
            </w:pPr>
            <w:r>
              <w:rPr>
                <w:rFonts w:ascii="Times New Roman"/>
                <w:position w:val="-2"/>
                <w:sz w:val="16"/>
              </w:rPr>
              <w:drawing>
                <wp:inline distT="0" distB="0" distL="0" distR="0">
                  <wp:extent cx="64170" cy="102393"/>
                  <wp:effectExtent l="0" t="0" r="0" b="0"/>
                  <wp:docPr id="79" name="image107.png"/>
                  <wp:cNvGraphicFramePr>
                    <a:graphicFrameLocks noChangeAspect="1"/>
                  </wp:cNvGraphicFramePr>
                  <a:graphic>
                    <a:graphicData uri="http://schemas.openxmlformats.org/drawingml/2006/picture">
                      <pic:pic>
                        <pic:nvPicPr>
                          <pic:cNvPr id="80" name="image107.png"/>
                          <pic:cNvPicPr/>
                        </pic:nvPicPr>
                        <pic:blipFill>
                          <a:blip r:embed="rId131" cstate="print"/>
                          <a:stretch>
                            <a:fillRect/>
                          </a:stretch>
                        </pic:blipFill>
                        <pic:spPr>
                          <a:xfrm>
                            <a:off x="0" y="0"/>
                            <a:ext cx="64170" cy="102393"/>
                          </a:xfrm>
                          <a:prstGeom prst="rect">
                            <a:avLst/>
                          </a:prstGeom>
                        </pic:spPr>
                      </pic:pic>
                    </a:graphicData>
                  </a:graphic>
                </wp:inline>
              </w:drawing>
            </w:r>
            <w:r>
              <w:rPr>
                <w:rFonts w:ascii="Times New Roman"/>
                <w:position w:val="-2"/>
                <w:sz w:val="16"/>
              </w:rPr>
            </w:r>
          </w:p>
        </w:tc>
        <w:tc>
          <w:tcPr>
            <w:tcW w:w="630" w:type="dxa"/>
            <w:tcBorders>
              <w:top w:val="single" w:sz="6" w:space="0" w:color="000000"/>
            </w:tcBorders>
          </w:tcPr>
          <w:p>
            <w:pPr>
              <w:pStyle w:val="TableParagraph"/>
              <w:spacing w:before="4"/>
              <w:ind w:left="274"/>
              <w:rPr>
                <w:sz w:val="12"/>
              </w:rPr>
            </w:pPr>
            <w:r>
              <w:rPr>
                <w:sz w:val="12"/>
              </w:rPr>
              <w:t>D3</w:t>
            </w:r>
          </w:p>
        </w:tc>
        <w:tc>
          <w:tcPr>
            <w:tcW w:w="89" w:type="dxa"/>
          </w:tcPr>
          <w:p>
            <w:pPr>
              <w:pStyle w:val="TableParagraph"/>
              <w:spacing w:line="161" w:lineRule="exact"/>
              <w:ind w:left="-11" w:right="-44"/>
              <w:rPr>
                <w:rFonts w:ascii="Times New Roman"/>
                <w:sz w:val="16"/>
              </w:rPr>
            </w:pPr>
            <w:r>
              <w:rPr>
                <w:rFonts w:ascii="Times New Roman"/>
                <w:position w:val="-2"/>
                <w:sz w:val="16"/>
              </w:rPr>
              <w:drawing>
                <wp:inline distT="0" distB="0" distL="0" distR="0">
                  <wp:extent cx="64170" cy="102393"/>
                  <wp:effectExtent l="0" t="0" r="0" b="0"/>
                  <wp:docPr id="81" name="image107.png"/>
                  <wp:cNvGraphicFramePr>
                    <a:graphicFrameLocks noChangeAspect="1"/>
                  </wp:cNvGraphicFramePr>
                  <a:graphic>
                    <a:graphicData uri="http://schemas.openxmlformats.org/drawingml/2006/picture">
                      <pic:pic>
                        <pic:nvPicPr>
                          <pic:cNvPr id="82" name="image107.png"/>
                          <pic:cNvPicPr/>
                        </pic:nvPicPr>
                        <pic:blipFill>
                          <a:blip r:embed="rId131" cstate="print"/>
                          <a:stretch>
                            <a:fillRect/>
                          </a:stretch>
                        </pic:blipFill>
                        <pic:spPr>
                          <a:xfrm>
                            <a:off x="0" y="0"/>
                            <a:ext cx="64170" cy="102393"/>
                          </a:xfrm>
                          <a:prstGeom prst="rect">
                            <a:avLst/>
                          </a:prstGeom>
                        </pic:spPr>
                      </pic:pic>
                    </a:graphicData>
                  </a:graphic>
                </wp:inline>
              </w:drawing>
            </w:r>
            <w:r>
              <w:rPr>
                <w:rFonts w:ascii="Times New Roman"/>
                <w:position w:val="-2"/>
                <w:sz w:val="16"/>
              </w:rPr>
            </w:r>
          </w:p>
        </w:tc>
        <w:tc>
          <w:tcPr>
            <w:tcW w:w="630" w:type="dxa"/>
            <w:tcBorders>
              <w:top w:val="single" w:sz="6" w:space="0" w:color="000000"/>
              <w:bottom w:val="single" w:sz="6" w:space="0" w:color="000000"/>
            </w:tcBorders>
          </w:tcPr>
          <w:p>
            <w:pPr>
              <w:pStyle w:val="TableParagraph"/>
              <w:spacing w:before="4"/>
              <w:ind w:left="274"/>
              <w:rPr>
                <w:sz w:val="12"/>
              </w:rPr>
            </w:pPr>
            <w:r>
              <w:rPr>
                <w:sz w:val="12"/>
              </w:rPr>
              <w:t>D2</w:t>
            </w:r>
          </w:p>
        </w:tc>
        <w:tc>
          <w:tcPr>
            <w:tcW w:w="1796" w:type="dxa"/>
            <w:tcBorders>
              <w:bottom w:val="single" w:sz="6" w:space="0" w:color="000000"/>
            </w:tcBorders>
          </w:tcPr>
          <w:p>
            <w:pPr>
              <w:pStyle w:val="TableParagraph"/>
              <w:spacing w:line="184" w:lineRule="exact"/>
              <w:ind w:left="-11"/>
              <w:rPr>
                <w:rFonts w:ascii="Times New Roman"/>
                <w:sz w:val="18"/>
              </w:rPr>
            </w:pPr>
            <w:r>
              <w:rPr>
                <w:rFonts w:ascii="Times New Roman"/>
                <w:position w:val="-3"/>
                <w:sz w:val="18"/>
              </w:rPr>
              <w:pict>
                <v:group style="width:5.15pt;height:9.25pt;mso-position-horizontal-relative:char;mso-position-vertical-relative:line" coordorigin="0,0" coordsize="103,185">
                  <v:shape style="position:absolute;left:0;top:0;width:103;height:185" coordorigin="0,0" coordsize="103,185" path="m89,184l0,5,14,0,103,179,89,184xe" filled="true" fillcolor="#000000" stroked="false">
                    <v:path arrowok="t"/>
                    <v:fill type="solid"/>
                  </v:shape>
                </v:group>
              </w:pict>
            </w:r>
            <w:r>
              <w:rPr>
                <w:rFonts w:ascii="Times New Roman"/>
                <w:position w:val="-3"/>
                <w:sz w:val="18"/>
              </w:rPr>
            </w:r>
          </w:p>
        </w:tc>
      </w:tr>
      <w:tr>
        <w:trPr>
          <w:trHeight w:val="135" w:hRule="atLeast"/>
        </w:trPr>
        <w:tc>
          <w:tcPr>
            <w:tcW w:w="1940" w:type="dxa"/>
            <w:tcBorders>
              <w:bottom w:val="single" w:sz="6" w:space="0" w:color="000000"/>
            </w:tcBorders>
          </w:tcPr>
          <w:p>
            <w:pPr>
              <w:pStyle w:val="TableParagraph"/>
              <w:rPr>
                <w:rFonts w:ascii="Times New Roman"/>
                <w:sz w:val="8"/>
              </w:rPr>
            </w:pPr>
          </w:p>
        </w:tc>
        <w:tc>
          <w:tcPr>
            <w:tcW w:w="89" w:type="dxa"/>
          </w:tcPr>
          <w:p>
            <w:pPr>
              <w:pStyle w:val="TableParagraph"/>
              <w:rPr>
                <w:rFonts w:ascii="Times New Roman"/>
                <w:sz w:val="8"/>
              </w:rPr>
            </w:pPr>
          </w:p>
        </w:tc>
        <w:tc>
          <w:tcPr>
            <w:tcW w:w="630" w:type="dxa"/>
          </w:tcPr>
          <w:p>
            <w:pPr>
              <w:pStyle w:val="TableParagraph"/>
              <w:rPr>
                <w:rFonts w:ascii="Times New Roman"/>
                <w:sz w:val="8"/>
              </w:rPr>
            </w:pPr>
          </w:p>
        </w:tc>
        <w:tc>
          <w:tcPr>
            <w:tcW w:w="89" w:type="dxa"/>
          </w:tcPr>
          <w:p>
            <w:pPr>
              <w:pStyle w:val="TableParagraph"/>
              <w:rPr>
                <w:rFonts w:ascii="Times New Roman"/>
                <w:sz w:val="8"/>
              </w:rPr>
            </w:pPr>
          </w:p>
        </w:tc>
        <w:tc>
          <w:tcPr>
            <w:tcW w:w="630" w:type="dxa"/>
          </w:tcPr>
          <w:p>
            <w:pPr>
              <w:pStyle w:val="TableParagraph"/>
              <w:rPr>
                <w:rFonts w:ascii="Times New Roman"/>
                <w:sz w:val="8"/>
              </w:rPr>
            </w:pPr>
          </w:p>
        </w:tc>
        <w:tc>
          <w:tcPr>
            <w:tcW w:w="89" w:type="dxa"/>
          </w:tcPr>
          <w:p>
            <w:pPr>
              <w:pStyle w:val="TableParagraph"/>
              <w:rPr>
                <w:rFonts w:ascii="Times New Roman"/>
                <w:sz w:val="8"/>
              </w:rPr>
            </w:pPr>
          </w:p>
        </w:tc>
        <w:tc>
          <w:tcPr>
            <w:tcW w:w="630" w:type="dxa"/>
          </w:tcPr>
          <w:p>
            <w:pPr>
              <w:pStyle w:val="TableParagraph"/>
              <w:rPr>
                <w:rFonts w:ascii="Times New Roman"/>
                <w:sz w:val="8"/>
              </w:rPr>
            </w:pPr>
          </w:p>
        </w:tc>
        <w:tc>
          <w:tcPr>
            <w:tcW w:w="89" w:type="dxa"/>
          </w:tcPr>
          <w:p>
            <w:pPr>
              <w:pStyle w:val="TableParagraph"/>
              <w:rPr>
                <w:rFonts w:ascii="Times New Roman"/>
                <w:sz w:val="8"/>
              </w:rPr>
            </w:pPr>
          </w:p>
        </w:tc>
        <w:tc>
          <w:tcPr>
            <w:tcW w:w="630" w:type="dxa"/>
          </w:tcPr>
          <w:p>
            <w:pPr>
              <w:pStyle w:val="TableParagraph"/>
              <w:rPr>
                <w:rFonts w:ascii="Times New Roman"/>
                <w:sz w:val="8"/>
              </w:rPr>
            </w:pPr>
          </w:p>
        </w:tc>
        <w:tc>
          <w:tcPr>
            <w:tcW w:w="89" w:type="dxa"/>
          </w:tcPr>
          <w:p>
            <w:pPr>
              <w:pStyle w:val="TableParagraph"/>
              <w:rPr>
                <w:rFonts w:ascii="Times New Roman"/>
                <w:sz w:val="8"/>
              </w:rPr>
            </w:pPr>
          </w:p>
        </w:tc>
        <w:tc>
          <w:tcPr>
            <w:tcW w:w="630" w:type="dxa"/>
          </w:tcPr>
          <w:p>
            <w:pPr>
              <w:pStyle w:val="TableParagraph"/>
              <w:rPr>
                <w:rFonts w:ascii="Times New Roman"/>
                <w:sz w:val="8"/>
              </w:rPr>
            </w:pPr>
          </w:p>
        </w:tc>
        <w:tc>
          <w:tcPr>
            <w:tcW w:w="89" w:type="dxa"/>
          </w:tcPr>
          <w:p>
            <w:pPr>
              <w:pStyle w:val="TableParagraph"/>
              <w:rPr>
                <w:rFonts w:ascii="Times New Roman"/>
                <w:sz w:val="8"/>
              </w:rPr>
            </w:pPr>
          </w:p>
        </w:tc>
        <w:tc>
          <w:tcPr>
            <w:tcW w:w="630" w:type="dxa"/>
            <w:tcBorders>
              <w:top w:val="single" w:sz="6" w:space="0" w:color="000000"/>
            </w:tcBorders>
          </w:tcPr>
          <w:p>
            <w:pPr>
              <w:pStyle w:val="TableParagraph"/>
              <w:rPr>
                <w:rFonts w:ascii="Times New Roman"/>
                <w:sz w:val="8"/>
              </w:rPr>
            </w:pPr>
          </w:p>
        </w:tc>
        <w:tc>
          <w:tcPr>
            <w:tcW w:w="1796" w:type="dxa"/>
            <w:tcBorders>
              <w:top w:val="single" w:sz="6" w:space="0" w:color="000000"/>
            </w:tcBorders>
          </w:tcPr>
          <w:p>
            <w:pPr>
              <w:pStyle w:val="TableParagraph"/>
              <w:rPr>
                <w:rFonts w:ascii="Times New Roman"/>
                <w:sz w:val="8"/>
              </w:rPr>
            </w:pPr>
          </w:p>
        </w:tc>
      </w:tr>
      <w:tr>
        <w:trPr>
          <w:trHeight w:val="173" w:hRule="atLeast"/>
        </w:trPr>
        <w:tc>
          <w:tcPr>
            <w:tcW w:w="1940" w:type="dxa"/>
            <w:tcBorders>
              <w:top w:val="single" w:sz="6" w:space="0" w:color="000000"/>
              <w:bottom w:val="single" w:sz="6" w:space="0" w:color="000000"/>
            </w:tcBorders>
          </w:tcPr>
          <w:p>
            <w:pPr>
              <w:pStyle w:val="TableParagraph"/>
              <w:spacing w:line="144" w:lineRule="exact"/>
              <w:ind w:left="50"/>
              <w:rPr>
                <w:sz w:val="16"/>
              </w:rPr>
            </w:pPr>
            <w:r>
              <w:rPr>
                <w:sz w:val="16"/>
              </w:rPr>
              <w:t>SDATA output Z</w:t>
            </w:r>
          </w:p>
        </w:tc>
        <w:tc>
          <w:tcPr>
            <w:tcW w:w="89" w:type="dxa"/>
            <w:tcBorders>
              <w:bottom w:val="single" w:sz="6" w:space="0" w:color="000000"/>
            </w:tcBorders>
          </w:tcPr>
          <w:p>
            <w:pPr>
              <w:pStyle w:val="TableParagraph"/>
              <w:spacing w:line="184" w:lineRule="exact"/>
              <w:ind w:left="-8" w:right="-72"/>
              <w:rPr>
                <w:rFonts w:ascii="Times New Roman"/>
                <w:sz w:val="18"/>
              </w:rPr>
            </w:pPr>
            <w:r>
              <w:rPr>
                <w:rFonts w:ascii="Times New Roman"/>
                <w:position w:val="-3"/>
                <w:sz w:val="18"/>
              </w:rPr>
              <w:pict>
                <v:group style="width:5.15pt;height:9.25pt;mso-position-horizontal-relative:char;mso-position-vertical-relative:line" coordorigin="0,0" coordsize="103,185">
                  <v:shape style="position:absolute;left:0;top:0;width:103;height:185" coordorigin="0,0" coordsize="103,185" path="m89,184l0,5,14,0,103,179,89,184xe" filled="true" fillcolor="#000000" stroked="false">
                    <v:path arrowok="t"/>
                    <v:fill type="solid"/>
                  </v:shape>
                </v:group>
              </w:pict>
            </w:r>
            <w:r>
              <w:rPr>
                <w:rFonts w:ascii="Times New Roman"/>
                <w:position w:val="-3"/>
                <w:sz w:val="18"/>
              </w:rPr>
            </w:r>
          </w:p>
        </w:tc>
        <w:tc>
          <w:tcPr>
            <w:tcW w:w="630" w:type="dxa"/>
            <w:tcBorders>
              <w:bottom w:val="single" w:sz="6" w:space="0" w:color="000000"/>
            </w:tcBorders>
          </w:tcPr>
          <w:p>
            <w:pPr>
              <w:pStyle w:val="TableParagraph"/>
              <w:rPr>
                <w:rFonts w:ascii="Times New Roman"/>
                <w:sz w:val="10"/>
              </w:rPr>
            </w:pPr>
          </w:p>
        </w:tc>
        <w:tc>
          <w:tcPr>
            <w:tcW w:w="89" w:type="dxa"/>
            <w:tcBorders>
              <w:bottom w:val="single" w:sz="6" w:space="0" w:color="000000"/>
            </w:tcBorders>
          </w:tcPr>
          <w:p>
            <w:pPr>
              <w:pStyle w:val="TableParagraph"/>
              <w:rPr>
                <w:rFonts w:ascii="Times New Roman"/>
                <w:sz w:val="10"/>
              </w:rPr>
            </w:pPr>
          </w:p>
        </w:tc>
        <w:tc>
          <w:tcPr>
            <w:tcW w:w="630" w:type="dxa"/>
            <w:tcBorders>
              <w:bottom w:val="single" w:sz="6" w:space="0" w:color="000000"/>
            </w:tcBorders>
          </w:tcPr>
          <w:p>
            <w:pPr>
              <w:pStyle w:val="TableParagraph"/>
              <w:rPr>
                <w:rFonts w:ascii="Times New Roman"/>
                <w:sz w:val="10"/>
              </w:rPr>
            </w:pPr>
          </w:p>
        </w:tc>
        <w:tc>
          <w:tcPr>
            <w:tcW w:w="89" w:type="dxa"/>
            <w:tcBorders>
              <w:bottom w:val="single" w:sz="6" w:space="0" w:color="000000"/>
            </w:tcBorders>
          </w:tcPr>
          <w:p>
            <w:pPr>
              <w:pStyle w:val="TableParagraph"/>
              <w:rPr>
                <w:rFonts w:ascii="Times New Roman"/>
                <w:sz w:val="10"/>
              </w:rPr>
            </w:pPr>
          </w:p>
        </w:tc>
        <w:tc>
          <w:tcPr>
            <w:tcW w:w="630" w:type="dxa"/>
            <w:tcBorders>
              <w:bottom w:val="single" w:sz="6" w:space="0" w:color="000000"/>
            </w:tcBorders>
          </w:tcPr>
          <w:p>
            <w:pPr>
              <w:pStyle w:val="TableParagraph"/>
              <w:spacing w:before="13"/>
              <w:ind w:left="247"/>
              <w:rPr>
                <w:sz w:val="12"/>
              </w:rPr>
            </w:pPr>
            <w:r>
              <w:rPr>
                <w:sz w:val="12"/>
              </w:rPr>
              <w:t>(LoZ)</w:t>
            </w:r>
          </w:p>
        </w:tc>
        <w:tc>
          <w:tcPr>
            <w:tcW w:w="89" w:type="dxa"/>
            <w:tcBorders>
              <w:bottom w:val="single" w:sz="6" w:space="0" w:color="000000"/>
            </w:tcBorders>
          </w:tcPr>
          <w:p>
            <w:pPr>
              <w:pStyle w:val="TableParagraph"/>
              <w:rPr>
                <w:rFonts w:ascii="Times New Roman"/>
                <w:sz w:val="10"/>
              </w:rPr>
            </w:pPr>
          </w:p>
        </w:tc>
        <w:tc>
          <w:tcPr>
            <w:tcW w:w="630" w:type="dxa"/>
            <w:tcBorders>
              <w:bottom w:val="single" w:sz="6" w:space="0" w:color="000000"/>
            </w:tcBorders>
          </w:tcPr>
          <w:p>
            <w:pPr>
              <w:pStyle w:val="TableParagraph"/>
              <w:rPr>
                <w:rFonts w:ascii="Times New Roman"/>
                <w:sz w:val="10"/>
              </w:rPr>
            </w:pPr>
          </w:p>
        </w:tc>
        <w:tc>
          <w:tcPr>
            <w:tcW w:w="89" w:type="dxa"/>
            <w:tcBorders>
              <w:bottom w:val="single" w:sz="6" w:space="0" w:color="000000"/>
            </w:tcBorders>
          </w:tcPr>
          <w:p>
            <w:pPr>
              <w:pStyle w:val="TableParagraph"/>
              <w:rPr>
                <w:rFonts w:ascii="Times New Roman"/>
                <w:sz w:val="10"/>
              </w:rPr>
            </w:pPr>
          </w:p>
        </w:tc>
        <w:tc>
          <w:tcPr>
            <w:tcW w:w="630" w:type="dxa"/>
            <w:tcBorders>
              <w:bottom w:val="single" w:sz="6" w:space="0" w:color="000000"/>
            </w:tcBorders>
          </w:tcPr>
          <w:p>
            <w:pPr>
              <w:pStyle w:val="TableParagraph"/>
              <w:rPr>
                <w:rFonts w:ascii="Times New Roman"/>
                <w:sz w:val="10"/>
              </w:rPr>
            </w:pPr>
          </w:p>
        </w:tc>
        <w:tc>
          <w:tcPr>
            <w:tcW w:w="89" w:type="dxa"/>
            <w:tcBorders>
              <w:bottom w:val="single" w:sz="6" w:space="0" w:color="000000"/>
            </w:tcBorders>
          </w:tcPr>
          <w:p>
            <w:pPr>
              <w:pStyle w:val="TableParagraph"/>
              <w:rPr>
                <w:rFonts w:ascii="Times New Roman"/>
                <w:sz w:val="10"/>
              </w:rPr>
            </w:pPr>
          </w:p>
        </w:tc>
        <w:tc>
          <w:tcPr>
            <w:tcW w:w="630" w:type="dxa"/>
            <w:tcBorders>
              <w:bottom w:val="single" w:sz="6" w:space="0" w:color="000000"/>
            </w:tcBorders>
          </w:tcPr>
          <w:p>
            <w:pPr>
              <w:pStyle w:val="TableParagraph"/>
              <w:rPr>
                <w:rFonts w:ascii="Times New Roman"/>
                <w:sz w:val="10"/>
              </w:rPr>
            </w:pPr>
          </w:p>
        </w:tc>
        <w:tc>
          <w:tcPr>
            <w:tcW w:w="1796" w:type="dxa"/>
            <w:tcBorders>
              <w:bottom w:val="single" w:sz="6" w:space="0" w:color="000000"/>
            </w:tcBorders>
          </w:tcPr>
          <w:p>
            <w:pPr>
              <w:pStyle w:val="TableParagraph"/>
              <w:rPr>
                <w:rFonts w:ascii="Times New Roman"/>
                <w:sz w:val="10"/>
              </w:rPr>
            </w:pPr>
          </w:p>
        </w:tc>
      </w:tr>
    </w:tbl>
    <w:p>
      <w:pPr>
        <w:tabs>
          <w:tab w:pos="1420" w:val="left" w:leader="none"/>
        </w:tabs>
        <w:spacing w:before="151"/>
        <w:ind w:left="0" w:right="5652" w:firstLine="0"/>
        <w:jc w:val="center"/>
        <w:rPr>
          <w:rFonts w:ascii="Times New Roman"/>
          <w:sz w:val="16"/>
        </w:rPr>
      </w:pPr>
      <w:r>
        <w:rPr>
          <w:rFonts w:ascii="Times New Roman"/>
          <w:i/>
          <w:sz w:val="16"/>
        </w:rPr>
        <w:t>BUSY </w:t>
      </w:r>
      <w:r>
        <w:rPr>
          <w:sz w:val="16"/>
        </w:rPr>
        <w:t>(bit)</w:t>
      </w:r>
      <w:r>
        <w:rPr>
          <w:rFonts w:ascii="Times New Roman"/>
          <w:sz w:val="16"/>
          <w:u w:val="single"/>
        </w:rPr>
        <w:t> </w:t>
        <w:tab/>
      </w:r>
    </w:p>
    <w:p>
      <w:pPr>
        <w:pStyle w:val="BodyText"/>
        <w:spacing w:before="7"/>
        <w:rPr>
          <w:rFonts w:ascii="Times New Roman"/>
          <w:sz w:val="14"/>
        </w:rPr>
      </w:pPr>
    </w:p>
    <w:p>
      <w:pPr>
        <w:spacing w:before="0"/>
        <w:ind w:left="62" w:right="204" w:firstLine="0"/>
        <w:jc w:val="center"/>
        <w:rPr>
          <w:b/>
          <w:sz w:val="20"/>
        </w:rPr>
      </w:pPr>
      <w:bookmarkStart w:name="_bookmark133" w:id="272"/>
      <w:bookmarkEnd w:id="272"/>
      <w:r>
        <w:rPr/>
      </w:r>
      <w:r>
        <w:rPr>
          <w:b/>
          <w:sz w:val="20"/>
        </w:rPr>
        <w:t>Figure 18: 3-wire Interface. Write Command, HiZ=0.</w:t>
      </w:r>
    </w:p>
    <w:p>
      <w:pPr>
        <w:spacing w:after="0"/>
        <w:jc w:val="center"/>
        <w:rPr>
          <w:sz w:val="20"/>
        </w:rPr>
        <w:sectPr>
          <w:type w:val="continuous"/>
          <w:pgSz w:w="12240" w:h="15840"/>
          <w:pgMar w:top="940" w:bottom="280" w:left="1200" w:right="1060"/>
        </w:sectPr>
      </w:pPr>
    </w:p>
    <w:p>
      <w:pPr>
        <w:pStyle w:val="BodyText"/>
        <w:spacing w:before="6"/>
        <w:rPr>
          <w:b/>
        </w:rPr>
      </w:pPr>
    </w:p>
    <w:p>
      <w:pPr>
        <w:spacing w:after="0"/>
        <w:sectPr>
          <w:pgSz w:w="12240" w:h="15840"/>
          <w:pgMar w:header="727" w:footer="819" w:top="960" w:bottom="1000" w:left="1200" w:right="1060"/>
        </w:sectPr>
      </w:pPr>
    </w:p>
    <w:p>
      <w:pPr>
        <w:spacing w:before="95"/>
        <w:ind w:left="1166" w:right="0" w:firstLine="0"/>
        <w:jc w:val="center"/>
        <w:rPr>
          <w:sz w:val="16"/>
        </w:rPr>
      </w:pPr>
      <w:r>
        <w:rPr/>
        <w:pict>
          <v:group style="position:absolute;margin-left:224.11496pt;margin-top:12.731956pt;width:288.2pt;height:33.4pt;mso-position-horizontal-relative:page;mso-position-vertical-relative:paragraph;z-index:-38767104" coordorigin="4482,255" coordsize="5764,668">
            <v:shape style="position:absolute;left:4482;top:728;width:3973;height:194" coordorigin="4482,728" coordsize="3973,194" path="m8454,728l8440,728,8095,728,8080,728,8080,742,8080,907,7735,907,7735,742,7735,728,7720,728,7375,728,7361,728,7361,742,7361,907,7015,907,7015,742,7015,728,7001,728,6655,728,6641,728,6641,742,6641,907,6296,907,6296,742,6296,728,6281,728,5936,728,5921,728,5921,742,5921,907,5576,907,5576,742,5576,728,5562,728,5216,728,5202,728,5202,742,5202,907,4856,907,4856,742,4856,728,4842,728,4497,728,4482,728,4482,742,4482,907,4482,922,4497,922,4497,907,4497,742,4842,742,4842,915,4849,915,4849,922,5202,922,5216,922,5216,907,5216,742,5562,742,5562,915,5569,915,5569,922,5921,922,5936,922,5936,907,5936,742,6281,742,6281,915,6288,915,6288,922,6641,922,6655,922,6655,907,6655,742,7001,742,7001,915,7008,915,7008,922,7361,922,7375,922,7375,907,7375,742,7720,742,7720,915,7728,915,7728,922,8080,922,8095,922,8095,907,8095,742,8440,742,8440,915,8454,915,8454,742,8454,728xe" filled="true" fillcolor="#000000" stroked="false">
              <v:path arrowok="t"/>
              <v:fill type="solid"/>
            </v:shape>
            <v:rect style="position:absolute;left:8447;top:907;width:1799;height:15" filled="true" fillcolor="#000000" stroked="false">
              <v:fill type="solid"/>
            </v:rect>
            <v:shape style="position:absolute;left:8336;top:410;width:111;height:110" type="#_x0000_t75" stroked="false">
              <v:imagedata r:id="rId133" o:title=""/>
            </v:shape>
            <v:shape style="position:absolute;left:8442;top:254;width:185;height:436" type="#_x0000_t75" stroked="false">
              <v:imagedata r:id="rId134" o:title=""/>
            </v:shape>
            <w10:wrap type="none"/>
          </v:group>
        </w:pict>
      </w:r>
      <w:r>
        <w:rPr/>
        <w:pict>
          <v:group style="position:absolute;margin-left:197.371094pt;margin-top:9.743228pt;width:14.65pt;height:31.45pt;mso-position-horizontal-relative:page;mso-position-vertical-relative:paragraph;z-index:-38766592" coordorigin="3947,195" coordsize="293,629">
            <v:shape style="position:absolute;left:4129;top:410;width:111;height:110" type="#_x0000_t75" stroked="false">
              <v:imagedata r:id="rId135" o:title=""/>
            </v:shape>
            <v:shape style="position:absolute;left:3947;top:194;width:240;height:629" type="#_x0000_t75" stroked="false">
              <v:imagedata r:id="rId136" o:title=""/>
            </v:shape>
            <w10:wrap type="none"/>
          </v:group>
        </w:pict>
      </w:r>
      <w:r>
        <w:rPr>
          <w:sz w:val="16"/>
        </w:rPr>
        <w:t>EECTRL Byte Written</w:t>
      </w:r>
    </w:p>
    <w:p>
      <w:pPr>
        <w:pStyle w:val="BodyText"/>
        <w:spacing w:before="2"/>
        <w:rPr>
          <w:sz w:val="15"/>
        </w:rPr>
      </w:pPr>
    </w:p>
    <w:p>
      <w:pPr>
        <w:spacing w:before="0"/>
        <w:ind w:left="1152" w:right="0" w:firstLine="0"/>
        <w:jc w:val="center"/>
        <w:rPr>
          <w:b/>
          <w:sz w:val="16"/>
        </w:rPr>
      </w:pPr>
      <w:r>
        <w:rPr>
          <w:b/>
          <w:sz w:val="16"/>
        </w:rPr>
        <w:t>Write -- With HiZ</w:t>
      </w:r>
    </w:p>
    <w:p>
      <w:pPr>
        <w:pStyle w:val="BodyText"/>
        <w:spacing w:before="10"/>
        <w:rPr>
          <w:b/>
          <w:sz w:val="23"/>
        </w:rPr>
      </w:pPr>
      <w:r>
        <w:rPr/>
        <w:br w:type="column"/>
      </w:r>
      <w:r>
        <w:rPr>
          <w:b/>
          <w:sz w:val="23"/>
        </w:rPr>
      </w:r>
    </w:p>
    <w:p>
      <w:pPr>
        <w:tabs>
          <w:tab w:pos="1646" w:val="left" w:leader="none"/>
          <w:tab w:pos="4395" w:val="left" w:leader="none"/>
        </w:tabs>
        <w:spacing w:before="0"/>
        <w:ind w:left="245" w:right="0" w:firstLine="0"/>
        <w:jc w:val="left"/>
        <w:rPr>
          <w:sz w:val="16"/>
        </w:rPr>
      </w:pPr>
      <w:r>
        <w:rPr>
          <w:rFonts w:ascii="Times New Roman"/>
          <w:w w:val="100"/>
          <w:sz w:val="16"/>
          <w:u w:val="single"/>
        </w:rPr>
        <w:t> </w:t>
      </w:r>
      <w:r>
        <w:rPr>
          <w:rFonts w:ascii="Times New Roman"/>
          <w:sz w:val="16"/>
          <w:u w:val="single"/>
        </w:rPr>
        <w:tab/>
      </w:r>
      <w:r>
        <w:rPr>
          <w:sz w:val="16"/>
          <w:u w:val="single"/>
        </w:rPr>
        <w:t>CNT Cycles (6</w:t>
      </w:r>
      <w:r>
        <w:rPr>
          <w:spacing w:val="-5"/>
          <w:sz w:val="16"/>
          <w:u w:val="single"/>
        </w:rPr>
        <w:t> </w:t>
      </w:r>
      <w:r>
        <w:rPr>
          <w:sz w:val="16"/>
          <w:u w:val="single"/>
        </w:rPr>
        <w:t>shown)</w:t>
        <w:tab/>
      </w:r>
    </w:p>
    <w:p>
      <w:pPr>
        <w:pStyle w:val="BodyText"/>
        <w:spacing w:before="11"/>
        <w:rPr>
          <w:sz w:val="15"/>
        </w:rPr>
      </w:pPr>
      <w:r>
        <w:rPr/>
        <w:br w:type="column"/>
      </w:r>
      <w:r>
        <w:rPr>
          <w:sz w:val="15"/>
        </w:rPr>
      </w:r>
    </w:p>
    <w:p>
      <w:pPr>
        <w:spacing w:before="0"/>
        <w:ind w:left="223" w:right="0" w:firstLine="0"/>
        <w:jc w:val="left"/>
        <w:rPr>
          <w:sz w:val="16"/>
        </w:rPr>
      </w:pPr>
      <w:r>
        <w:rPr>
          <w:sz w:val="16"/>
        </w:rPr>
        <w:t>INT5</w:t>
      </w:r>
    </w:p>
    <w:p>
      <w:pPr>
        <w:spacing w:after="0"/>
        <w:jc w:val="left"/>
        <w:rPr>
          <w:sz w:val="16"/>
        </w:rPr>
        <w:sectPr>
          <w:type w:val="continuous"/>
          <w:pgSz w:w="12240" w:h="15840"/>
          <w:pgMar w:top="940" w:bottom="280" w:left="1200" w:right="1060"/>
          <w:cols w:num="3" w:equalWidth="0">
            <w:col w:w="2728" w:space="40"/>
            <w:col w:w="4396" w:space="39"/>
            <w:col w:w="2777"/>
          </w:cols>
        </w:sectPr>
      </w:pPr>
    </w:p>
    <w:p>
      <w:pPr>
        <w:tabs>
          <w:tab w:pos="2089" w:val="left" w:leader="none"/>
        </w:tabs>
        <w:spacing w:before="84"/>
        <w:ind w:left="0" w:right="5502" w:firstLine="0"/>
        <w:jc w:val="center"/>
        <w:rPr>
          <w:rFonts w:ascii="Times New Roman"/>
          <w:sz w:val="16"/>
        </w:rPr>
      </w:pPr>
      <w:r>
        <w:rPr>
          <w:sz w:val="16"/>
        </w:rPr>
        <w:t>SCLK</w:t>
      </w:r>
      <w:r>
        <w:rPr>
          <w:spacing w:val="-4"/>
          <w:sz w:val="16"/>
        </w:rPr>
        <w:t> </w:t>
      </w:r>
      <w:r>
        <w:rPr>
          <w:sz w:val="16"/>
        </w:rPr>
        <w:t>(output)</w:t>
      </w:r>
      <w:r>
        <w:rPr>
          <w:rFonts w:ascii="Times New Roman"/>
          <w:sz w:val="16"/>
          <w:u w:val="single"/>
        </w:rPr>
        <w:t> </w:t>
        <w:tab/>
      </w:r>
    </w:p>
    <w:p>
      <w:pPr>
        <w:pStyle w:val="BodyText"/>
        <w:spacing w:before="4" w:after="1"/>
        <w:rPr>
          <w:rFonts w:ascii="Times New Roman"/>
          <w:sz w:val="16"/>
        </w:rPr>
      </w:pPr>
    </w:p>
    <w:tbl>
      <w:tblPr>
        <w:tblW w:w="0" w:type="auto"/>
        <w:jc w:val="left"/>
        <w:tblInd w:w="9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2"/>
        <w:gridCol w:w="88"/>
        <w:gridCol w:w="630"/>
        <w:gridCol w:w="88"/>
        <w:gridCol w:w="630"/>
        <w:gridCol w:w="88"/>
        <w:gridCol w:w="630"/>
        <w:gridCol w:w="90"/>
        <w:gridCol w:w="627"/>
        <w:gridCol w:w="90"/>
        <w:gridCol w:w="627"/>
        <w:gridCol w:w="90"/>
        <w:gridCol w:w="263"/>
        <w:gridCol w:w="90"/>
        <w:gridCol w:w="2071"/>
      </w:tblGrid>
      <w:tr>
        <w:trPr>
          <w:trHeight w:val="164" w:hRule="atLeast"/>
        </w:trPr>
        <w:tc>
          <w:tcPr>
            <w:tcW w:w="1942" w:type="dxa"/>
            <w:tcBorders>
              <w:top w:val="single" w:sz="6" w:space="0" w:color="000000"/>
            </w:tcBorders>
          </w:tcPr>
          <w:p>
            <w:pPr>
              <w:pStyle w:val="TableParagraph"/>
              <w:tabs>
                <w:tab w:pos="1942" w:val="left" w:leader="none"/>
              </w:tabs>
              <w:spacing w:line="144" w:lineRule="exact"/>
              <w:ind w:left="88" w:right="-15"/>
              <w:rPr>
                <w:rFonts w:ascii="Times New Roman"/>
                <w:sz w:val="16"/>
              </w:rPr>
            </w:pPr>
            <w:r>
              <w:rPr>
                <w:sz w:val="16"/>
              </w:rPr>
              <w:t>SDATA</w:t>
            </w:r>
            <w:r>
              <w:rPr>
                <w:spacing w:val="-2"/>
                <w:sz w:val="16"/>
              </w:rPr>
              <w:t> </w:t>
            </w:r>
            <w:r>
              <w:rPr>
                <w:sz w:val="16"/>
              </w:rPr>
              <w:t>(output)</w:t>
            </w:r>
            <w:r>
              <w:rPr>
                <w:rFonts w:ascii="Times New Roman"/>
                <w:sz w:val="16"/>
                <w:u w:val="single"/>
              </w:rPr>
              <w:t> </w:t>
              <w:tab/>
            </w:r>
          </w:p>
        </w:tc>
        <w:tc>
          <w:tcPr>
            <w:tcW w:w="88" w:type="dxa"/>
          </w:tcPr>
          <w:p>
            <w:pPr>
              <w:pStyle w:val="TableParagraph"/>
              <w:spacing w:line="162" w:lineRule="exact"/>
              <w:ind w:left="-7" w:right="-58"/>
              <w:rPr>
                <w:rFonts w:ascii="Times New Roman"/>
                <w:sz w:val="16"/>
              </w:rPr>
            </w:pPr>
            <w:r>
              <w:rPr>
                <w:rFonts w:ascii="Times New Roman"/>
                <w:position w:val="-2"/>
                <w:sz w:val="16"/>
              </w:rPr>
              <w:drawing>
                <wp:inline distT="0" distB="0" distL="0" distR="0">
                  <wp:extent cx="64569" cy="102870"/>
                  <wp:effectExtent l="0" t="0" r="0" b="0"/>
                  <wp:docPr id="83" name="image113.png"/>
                  <wp:cNvGraphicFramePr>
                    <a:graphicFrameLocks noChangeAspect="1"/>
                  </wp:cNvGraphicFramePr>
                  <a:graphic>
                    <a:graphicData uri="http://schemas.openxmlformats.org/drawingml/2006/picture">
                      <pic:pic>
                        <pic:nvPicPr>
                          <pic:cNvPr id="84" name="image113.png"/>
                          <pic:cNvPicPr/>
                        </pic:nvPicPr>
                        <pic:blipFill>
                          <a:blip r:embed="rId137" cstate="print"/>
                          <a:stretch>
                            <a:fillRect/>
                          </a:stretch>
                        </pic:blipFill>
                        <pic:spPr>
                          <a:xfrm>
                            <a:off x="0" y="0"/>
                            <a:ext cx="64569" cy="102870"/>
                          </a:xfrm>
                          <a:prstGeom prst="rect">
                            <a:avLst/>
                          </a:prstGeom>
                        </pic:spPr>
                      </pic:pic>
                    </a:graphicData>
                  </a:graphic>
                </wp:inline>
              </w:drawing>
            </w:r>
            <w:r>
              <w:rPr>
                <w:rFonts w:ascii="Times New Roman"/>
                <w:position w:val="-2"/>
                <w:sz w:val="16"/>
              </w:rPr>
            </w:r>
          </w:p>
        </w:tc>
        <w:tc>
          <w:tcPr>
            <w:tcW w:w="630" w:type="dxa"/>
            <w:tcBorders>
              <w:top w:val="single" w:sz="6" w:space="0" w:color="000000"/>
            </w:tcBorders>
          </w:tcPr>
          <w:p>
            <w:pPr>
              <w:pStyle w:val="TableParagraph"/>
              <w:spacing w:before="4"/>
              <w:ind w:left="289"/>
              <w:rPr>
                <w:sz w:val="12"/>
              </w:rPr>
            </w:pPr>
            <w:r>
              <w:rPr>
                <w:sz w:val="12"/>
              </w:rPr>
              <w:t>D7</w:t>
            </w:r>
          </w:p>
        </w:tc>
        <w:tc>
          <w:tcPr>
            <w:tcW w:w="88" w:type="dxa"/>
          </w:tcPr>
          <w:p>
            <w:pPr>
              <w:pStyle w:val="TableParagraph"/>
              <w:spacing w:line="162" w:lineRule="exact"/>
              <w:ind w:left="-6" w:right="-58"/>
              <w:rPr>
                <w:rFonts w:ascii="Times New Roman"/>
                <w:sz w:val="16"/>
              </w:rPr>
            </w:pPr>
            <w:r>
              <w:rPr>
                <w:rFonts w:ascii="Times New Roman"/>
                <w:position w:val="-2"/>
                <w:sz w:val="16"/>
              </w:rPr>
              <w:drawing>
                <wp:inline distT="0" distB="0" distL="0" distR="0">
                  <wp:extent cx="64569" cy="102870"/>
                  <wp:effectExtent l="0" t="0" r="0" b="0"/>
                  <wp:docPr id="85" name="image113.png"/>
                  <wp:cNvGraphicFramePr>
                    <a:graphicFrameLocks noChangeAspect="1"/>
                  </wp:cNvGraphicFramePr>
                  <a:graphic>
                    <a:graphicData uri="http://schemas.openxmlformats.org/drawingml/2006/picture">
                      <pic:pic>
                        <pic:nvPicPr>
                          <pic:cNvPr id="86" name="image113.png"/>
                          <pic:cNvPicPr/>
                        </pic:nvPicPr>
                        <pic:blipFill>
                          <a:blip r:embed="rId137" cstate="print"/>
                          <a:stretch>
                            <a:fillRect/>
                          </a:stretch>
                        </pic:blipFill>
                        <pic:spPr>
                          <a:xfrm>
                            <a:off x="0" y="0"/>
                            <a:ext cx="64569" cy="102870"/>
                          </a:xfrm>
                          <a:prstGeom prst="rect">
                            <a:avLst/>
                          </a:prstGeom>
                        </pic:spPr>
                      </pic:pic>
                    </a:graphicData>
                  </a:graphic>
                </wp:inline>
              </w:drawing>
            </w:r>
            <w:r>
              <w:rPr>
                <w:rFonts w:ascii="Times New Roman"/>
                <w:position w:val="-2"/>
                <w:sz w:val="16"/>
              </w:rPr>
            </w:r>
          </w:p>
        </w:tc>
        <w:tc>
          <w:tcPr>
            <w:tcW w:w="630" w:type="dxa"/>
            <w:tcBorders>
              <w:top w:val="single" w:sz="6" w:space="0" w:color="000000"/>
            </w:tcBorders>
          </w:tcPr>
          <w:p>
            <w:pPr>
              <w:pStyle w:val="TableParagraph"/>
              <w:spacing w:before="4"/>
              <w:ind w:left="290"/>
              <w:rPr>
                <w:sz w:val="12"/>
              </w:rPr>
            </w:pPr>
            <w:r>
              <w:rPr>
                <w:sz w:val="12"/>
              </w:rPr>
              <w:t>D6</w:t>
            </w:r>
          </w:p>
        </w:tc>
        <w:tc>
          <w:tcPr>
            <w:tcW w:w="88" w:type="dxa"/>
          </w:tcPr>
          <w:p>
            <w:pPr>
              <w:pStyle w:val="TableParagraph"/>
              <w:spacing w:line="162" w:lineRule="exact"/>
              <w:ind w:left="-4" w:right="-58"/>
              <w:rPr>
                <w:rFonts w:ascii="Times New Roman"/>
                <w:sz w:val="16"/>
              </w:rPr>
            </w:pPr>
            <w:r>
              <w:rPr>
                <w:rFonts w:ascii="Times New Roman"/>
                <w:position w:val="-2"/>
                <w:sz w:val="16"/>
              </w:rPr>
              <w:drawing>
                <wp:inline distT="0" distB="0" distL="0" distR="0">
                  <wp:extent cx="64567" cy="102870"/>
                  <wp:effectExtent l="0" t="0" r="0" b="0"/>
                  <wp:docPr id="87" name="image113.png"/>
                  <wp:cNvGraphicFramePr>
                    <a:graphicFrameLocks noChangeAspect="1"/>
                  </wp:cNvGraphicFramePr>
                  <a:graphic>
                    <a:graphicData uri="http://schemas.openxmlformats.org/drawingml/2006/picture">
                      <pic:pic>
                        <pic:nvPicPr>
                          <pic:cNvPr id="88" name="image113.png"/>
                          <pic:cNvPicPr/>
                        </pic:nvPicPr>
                        <pic:blipFill>
                          <a:blip r:embed="rId137" cstate="print"/>
                          <a:stretch>
                            <a:fillRect/>
                          </a:stretch>
                        </pic:blipFill>
                        <pic:spPr>
                          <a:xfrm>
                            <a:off x="0" y="0"/>
                            <a:ext cx="64567" cy="102870"/>
                          </a:xfrm>
                          <a:prstGeom prst="rect">
                            <a:avLst/>
                          </a:prstGeom>
                        </pic:spPr>
                      </pic:pic>
                    </a:graphicData>
                  </a:graphic>
                </wp:inline>
              </w:drawing>
            </w:r>
            <w:r>
              <w:rPr>
                <w:rFonts w:ascii="Times New Roman"/>
                <w:position w:val="-2"/>
                <w:sz w:val="16"/>
              </w:rPr>
            </w:r>
          </w:p>
        </w:tc>
        <w:tc>
          <w:tcPr>
            <w:tcW w:w="630" w:type="dxa"/>
            <w:tcBorders>
              <w:top w:val="single" w:sz="6" w:space="0" w:color="000000"/>
            </w:tcBorders>
          </w:tcPr>
          <w:p>
            <w:pPr>
              <w:pStyle w:val="TableParagraph"/>
              <w:spacing w:before="4"/>
              <w:ind w:left="201" w:right="94"/>
              <w:jc w:val="center"/>
              <w:rPr>
                <w:sz w:val="12"/>
              </w:rPr>
            </w:pPr>
            <w:r>
              <w:rPr>
                <w:sz w:val="12"/>
              </w:rPr>
              <w:t>D5</w:t>
            </w:r>
          </w:p>
        </w:tc>
        <w:tc>
          <w:tcPr>
            <w:tcW w:w="90" w:type="dxa"/>
          </w:tcPr>
          <w:p>
            <w:pPr>
              <w:pStyle w:val="TableParagraph"/>
              <w:spacing w:line="162" w:lineRule="exact"/>
              <w:ind w:left="-2" w:right="-58"/>
              <w:rPr>
                <w:rFonts w:ascii="Times New Roman"/>
                <w:sz w:val="16"/>
              </w:rPr>
            </w:pPr>
            <w:r>
              <w:rPr>
                <w:rFonts w:ascii="Times New Roman"/>
                <w:position w:val="-2"/>
                <w:sz w:val="16"/>
              </w:rPr>
              <w:drawing>
                <wp:inline distT="0" distB="0" distL="0" distR="0">
                  <wp:extent cx="66069" cy="102870"/>
                  <wp:effectExtent l="0" t="0" r="0" b="0"/>
                  <wp:docPr id="89" name="image114.png"/>
                  <wp:cNvGraphicFramePr>
                    <a:graphicFrameLocks noChangeAspect="1"/>
                  </wp:cNvGraphicFramePr>
                  <a:graphic>
                    <a:graphicData uri="http://schemas.openxmlformats.org/drawingml/2006/picture">
                      <pic:pic>
                        <pic:nvPicPr>
                          <pic:cNvPr id="90" name="image114.png"/>
                          <pic:cNvPicPr/>
                        </pic:nvPicPr>
                        <pic:blipFill>
                          <a:blip r:embed="rId138" cstate="print"/>
                          <a:stretch>
                            <a:fillRect/>
                          </a:stretch>
                        </pic:blipFill>
                        <pic:spPr>
                          <a:xfrm>
                            <a:off x="0" y="0"/>
                            <a:ext cx="66069" cy="102870"/>
                          </a:xfrm>
                          <a:prstGeom prst="rect">
                            <a:avLst/>
                          </a:prstGeom>
                        </pic:spPr>
                      </pic:pic>
                    </a:graphicData>
                  </a:graphic>
                </wp:inline>
              </w:drawing>
            </w:r>
            <w:r>
              <w:rPr>
                <w:rFonts w:ascii="Times New Roman"/>
                <w:position w:val="-2"/>
                <w:sz w:val="16"/>
              </w:rPr>
            </w:r>
          </w:p>
        </w:tc>
        <w:tc>
          <w:tcPr>
            <w:tcW w:w="627" w:type="dxa"/>
            <w:tcBorders>
              <w:top w:val="single" w:sz="6" w:space="0" w:color="000000"/>
            </w:tcBorders>
          </w:tcPr>
          <w:p>
            <w:pPr>
              <w:pStyle w:val="TableParagraph"/>
              <w:spacing w:before="4"/>
              <w:ind w:left="301"/>
              <w:rPr>
                <w:sz w:val="12"/>
              </w:rPr>
            </w:pPr>
            <w:r>
              <w:rPr>
                <w:sz w:val="12"/>
              </w:rPr>
              <w:t>D4</w:t>
            </w:r>
          </w:p>
        </w:tc>
        <w:tc>
          <w:tcPr>
            <w:tcW w:w="90" w:type="dxa"/>
          </w:tcPr>
          <w:p>
            <w:pPr>
              <w:pStyle w:val="TableParagraph"/>
              <w:spacing w:line="162" w:lineRule="exact"/>
              <w:ind w:right="-58"/>
              <w:rPr>
                <w:rFonts w:ascii="Times New Roman"/>
                <w:sz w:val="16"/>
              </w:rPr>
            </w:pPr>
            <w:r>
              <w:rPr>
                <w:rFonts w:ascii="Times New Roman"/>
                <w:position w:val="-2"/>
                <w:sz w:val="16"/>
              </w:rPr>
              <w:drawing>
                <wp:inline distT="0" distB="0" distL="0" distR="0">
                  <wp:extent cx="66069" cy="102870"/>
                  <wp:effectExtent l="0" t="0" r="0" b="0"/>
                  <wp:docPr id="91" name="image114.png"/>
                  <wp:cNvGraphicFramePr>
                    <a:graphicFrameLocks noChangeAspect="1"/>
                  </wp:cNvGraphicFramePr>
                  <a:graphic>
                    <a:graphicData uri="http://schemas.openxmlformats.org/drawingml/2006/picture">
                      <pic:pic>
                        <pic:nvPicPr>
                          <pic:cNvPr id="92" name="image114.png"/>
                          <pic:cNvPicPr/>
                        </pic:nvPicPr>
                        <pic:blipFill>
                          <a:blip r:embed="rId138" cstate="print"/>
                          <a:stretch>
                            <a:fillRect/>
                          </a:stretch>
                        </pic:blipFill>
                        <pic:spPr>
                          <a:xfrm>
                            <a:off x="0" y="0"/>
                            <a:ext cx="66069" cy="102870"/>
                          </a:xfrm>
                          <a:prstGeom prst="rect">
                            <a:avLst/>
                          </a:prstGeom>
                        </pic:spPr>
                      </pic:pic>
                    </a:graphicData>
                  </a:graphic>
                </wp:inline>
              </w:drawing>
            </w:r>
            <w:r>
              <w:rPr>
                <w:rFonts w:ascii="Times New Roman"/>
                <w:position w:val="-2"/>
                <w:sz w:val="16"/>
              </w:rPr>
            </w:r>
          </w:p>
        </w:tc>
        <w:tc>
          <w:tcPr>
            <w:tcW w:w="627" w:type="dxa"/>
            <w:tcBorders>
              <w:top w:val="single" w:sz="6" w:space="0" w:color="000000"/>
            </w:tcBorders>
          </w:tcPr>
          <w:p>
            <w:pPr>
              <w:pStyle w:val="TableParagraph"/>
              <w:spacing w:before="4"/>
              <w:ind w:left="294"/>
              <w:rPr>
                <w:sz w:val="12"/>
              </w:rPr>
            </w:pPr>
            <w:r>
              <w:rPr>
                <w:sz w:val="12"/>
              </w:rPr>
              <w:t>D3</w:t>
            </w:r>
          </w:p>
        </w:tc>
        <w:tc>
          <w:tcPr>
            <w:tcW w:w="90" w:type="dxa"/>
          </w:tcPr>
          <w:p>
            <w:pPr>
              <w:pStyle w:val="TableParagraph"/>
              <w:spacing w:line="162" w:lineRule="exact"/>
              <w:ind w:left="3" w:right="-58"/>
              <w:rPr>
                <w:rFonts w:ascii="Times New Roman"/>
                <w:sz w:val="16"/>
              </w:rPr>
            </w:pPr>
            <w:r>
              <w:rPr>
                <w:rFonts w:ascii="Times New Roman"/>
                <w:position w:val="-2"/>
                <w:sz w:val="16"/>
              </w:rPr>
              <w:drawing>
                <wp:inline distT="0" distB="0" distL="0" distR="0">
                  <wp:extent cx="66069" cy="102870"/>
                  <wp:effectExtent l="0" t="0" r="0" b="0"/>
                  <wp:docPr id="93" name="image115.png"/>
                  <wp:cNvGraphicFramePr>
                    <a:graphicFrameLocks noChangeAspect="1"/>
                  </wp:cNvGraphicFramePr>
                  <a:graphic>
                    <a:graphicData uri="http://schemas.openxmlformats.org/drawingml/2006/picture">
                      <pic:pic>
                        <pic:nvPicPr>
                          <pic:cNvPr id="94" name="image115.png"/>
                          <pic:cNvPicPr/>
                        </pic:nvPicPr>
                        <pic:blipFill>
                          <a:blip r:embed="rId139" cstate="print"/>
                          <a:stretch>
                            <a:fillRect/>
                          </a:stretch>
                        </pic:blipFill>
                        <pic:spPr>
                          <a:xfrm>
                            <a:off x="0" y="0"/>
                            <a:ext cx="66069" cy="102870"/>
                          </a:xfrm>
                          <a:prstGeom prst="rect">
                            <a:avLst/>
                          </a:prstGeom>
                        </pic:spPr>
                      </pic:pic>
                    </a:graphicData>
                  </a:graphic>
                </wp:inline>
              </w:drawing>
            </w:r>
            <w:r>
              <w:rPr>
                <w:rFonts w:ascii="Times New Roman"/>
                <w:position w:val="-2"/>
                <w:sz w:val="16"/>
              </w:rPr>
            </w:r>
          </w:p>
        </w:tc>
        <w:tc>
          <w:tcPr>
            <w:tcW w:w="263" w:type="dxa"/>
            <w:tcBorders>
              <w:top w:val="single" w:sz="6" w:space="0" w:color="000000"/>
              <w:bottom w:val="single" w:sz="6" w:space="0" w:color="000000"/>
            </w:tcBorders>
          </w:tcPr>
          <w:p>
            <w:pPr>
              <w:pStyle w:val="TableParagraph"/>
              <w:spacing w:before="4"/>
              <w:ind w:left="64"/>
              <w:rPr>
                <w:sz w:val="12"/>
              </w:rPr>
            </w:pPr>
            <w:r>
              <w:rPr>
                <w:sz w:val="12"/>
              </w:rPr>
              <w:t>D2</w:t>
            </w:r>
          </w:p>
        </w:tc>
        <w:tc>
          <w:tcPr>
            <w:tcW w:w="2161" w:type="dxa"/>
            <w:gridSpan w:val="2"/>
          </w:tcPr>
          <w:p>
            <w:pPr>
              <w:pStyle w:val="TableParagraph"/>
              <w:rPr>
                <w:rFonts w:ascii="Times New Roman"/>
                <w:sz w:val="10"/>
              </w:rPr>
            </w:pPr>
          </w:p>
        </w:tc>
      </w:tr>
      <w:tr>
        <w:trPr>
          <w:trHeight w:val="155" w:hRule="atLeast"/>
        </w:trPr>
        <w:tc>
          <w:tcPr>
            <w:tcW w:w="1942" w:type="dxa"/>
            <w:tcBorders>
              <w:bottom w:val="single" w:sz="6" w:space="0" w:color="000000"/>
            </w:tcBorders>
          </w:tcPr>
          <w:p>
            <w:pPr>
              <w:pStyle w:val="TableParagraph"/>
              <w:rPr>
                <w:rFonts w:ascii="Times New Roman"/>
                <w:sz w:val="10"/>
              </w:rPr>
            </w:pPr>
          </w:p>
        </w:tc>
        <w:tc>
          <w:tcPr>
            <w:tcW w:w="88" w:type="dxa"/>
          </w:tcPr>
          <w:p>
            <w:pPr>
              <w:pStyle w:val="TableParagraph"/>
              <w:rPr>
                <w:rFonts w:ascii="Times New Roman"/>
                <w:sz w:val="10"/>
              </w:rPr>
            </w:pPr>
          </w:p>
        </w:tc>
        <w:tc>
          <w:tcPr>
            <w:tcW w:w="630" w:type="dxa"/>
          </w:tcPr>
          <w:p>
            <w:pPr>
              <w:pStyle w:val="TableParagraph"/>
              <w:spacing w:line="20" w:lineRule="exact"/>
              <w:ind w:left="1" w:right="-72"/>
              <w:rPr>
                <w:rFonts w:ascii="Times New Roman"/>
                <w:sz w:val="2"/>
              </w:rPr>
            </w:pPr>
            <w:r>
              <w:rPr>
                <w:rFonts w:ascii="Times New Roman"/>
                <w:sz w:val="2"/>
              </w:rPr>
              <w:pict>
                <v:group style="width:31.55pt;height:.75pt;mso-position-horizontal-relative:char;mso-position-vertical-relative:line" coordorigin="0,0" coordsize="631,15">
                  <v:rect style="position:absolute;left:0;top:0;width:631;height:15" filled="true" fillcolor="#000000" stroked="false">
                    <v:fill type="solid"/>
                  </v:rect>
                </v:group>
              </w:pict>
            </w:r>
            <w:r>
              <w:rPr>
                <w:rFonts w:ascii="Times New Roman"/>
                <w:sz w:val="2"/>
              </w:rPr>
            </w:r>
          </w:p>
        </w:tc>
        <w:tc>
          <w:tcPr>
            <w:tcW w:w="88" w:type="dxa"/>
          </w:tcPr>
          <w:p>
            <w:pPr>
              <w:pStyle w:val="TableParagraph"/>
              <w:rPr>
                <w:rFonts w:ascii="Times New Roman"/>
                <w:sz w:val="10"/>
              </w:rPr>
            </w:pPr>
          </w:p>
        </w:tc>
        <w:tc>
          <w:tcPr>
            <w:tcW w:w="630" w:type="dxa"/>
          </w:tcPr>
          <w:p>
            <w:pPr>
              <w:pStyle w:val="TableParagraph"/>
              <w:spacing w:line="20" w:lineRule="exact"/>
              <w:ind w:left="2" w:right="-72"/>
              <w:rPr>
                <w:rFonts w:ascii="Times New Roman"/>
                <w:sz w:val="2"/>
              </w:rPr>
            </w:pPr>
            <w:r>
              <w:rPr>
                <w:rFonts w:ascii="Times New Roman"/>
                <w:sz w:val="2"/>
              </w:rPr>
              <w:pict>
                <v:group style="width:31.55pt;height:.75pt;mso-position-horizontal-relative:char;mso-position-vertical-relative:line" coordorigin="0,0" coordsize="631,15">
                  <v:rect style="position:absolute;left:0;top:0;width:631;height:15" filled="true" fillcolor="#000000" stroked="false">
                    <v:fill type="solid"/>
                  </v:rect>
                </v:group>
              </w:pict>
            </w:r>
            <w:r>
              <w:rPr>
                <w:rFonts w:ascii="Times New Roman"/>
                <w:sz w:val="2"/>
              </w:rPr>
            </w:r>
          </w:p>
        </w:tc>
        <w:tc>
          <w:tcPr>
            <w:tcW w:w="88" w:type="dxa"/>
          </w:tcPr>
          <w:p>
            <w:pPr>
              <w:pStyle w:val="TableParagraph"/>
              <w:rPr>
                <w:rFonts w:ascii="Times New Roman"/>
                <w:sz w:val="10"/>
              </w:rPr>
            </w:pPr>
          </w:p>
        </w:tc>
        <w:tc>
          <w:tcPr>
            <w:tcW w:w="630" w:type="dxa"/>
          </w:tcPr>
          <w:p>
            <w:pPr>
              <w:pStyle w:val="TableParagraph"/>
              <w:spacing w:line="20" w:lineRule="exact"/>
              <w:ind w:left="4" w:right="-72"/>
              <w:rPr>
                <w:rFonts w:ascii="Times New Roman"/>
                <w:sz w:val="2"/>
              </w:rPr>
            </w:pPr>
            <w:r>
              <w:rPr>
                <w:rFonts w:ascii="Times New Roman"/>
                <w:sz w:val="2"/>
              </w:rPr>
              <w:pict>
                <v:group style="width:31.55pt;height:.75pt;mso-position-horizontal-relative:char;mso-position-vertical-relative:line" coordorigin="0,0" coordsize="631,15">
                  <v:rect style="position:absolute;left:0;top:0;width:631;height:15" filled="true" fillcolor="#000000" stroked="false">
                    <v:fill type="solid"/>
                  </v:rect>
                </v:group>
              </w:pict>
            </w:r>
            <w:r>
              <w:rPr>
                <w:rFonts w:ascii="Times New Roman"/>
                <w:sz w:val="2"/>
              </w:rPr>
            </w:r>
          </w:p>
        </w:tc>
        <w:tc>
          <w:tcPr>
            <w:tcW w:w="90" w:type="dxa"/>
          </w:tcPr>
          <w:p>
            <w:pPr>
              <w:pStyle w:val="TableParagraph"/>
              <w:rPr>
                <w:rFonts w:ascii="Times New Roman"/>
                <w:sz w:val="10"/>
              </w:rPr>
            </w:pPr>
          </w:p>
        </w:tc>
        <w:tc>
          <w:tcPr>
            <w:tcW w:w="627" w:type="dxa"/>
          </w:tcPr>
          <w:p>
            <w:pPr>
              <w:pStyle w:val="TableParagraph"/>
              <w:spacing w:line="20" w:lineRule="exact"/>
              <w:ind w:left="6" w:right="-72"/>
              <w:rPr>
                <w:rFonts w:ascii="Times New Roman"/>
                <w:sz w:val="2"/>
              </w:rPr>
            </w:pPr>
            <w:r>
              <w:rPr>
                <w:rFonts w:ascii="Times New Roman"/>
                <w:sz w:val="2"/>
              </w:rPr>
              <w:pict>
                <v:group style="width:31.45pt;height:.75pt;mso-position-horizontal-relative:char;mso-position-vertical-relative:line" coordorigin="0,0" coordsize="629,15">
                  <v:rect style="position:absolute;left:0;top:0;width:629;height:15" filled="true" fillcolor="#000000" stroked="false">
                    <v:fill type="solid"/>
                  </v:rect>
                </v:group>
              </w:pict>
            </w:r>
            <w:r>
              <w:rPr>
                <w:rFonts w:ascii="Times New Roman"/>
                <w:sz w:val="2"/>
              </w:rPr>
            </w:r>
          </w:p>
        </w:tc>
        <w:tc>
          <w:tcPr>
            <w:tcW w:w="90" w:type="dxa"/>
          </w:tcPr>
          <w:p>
            <w:pPr>
              <w:pStyle w:val="TableParagraph"/>
              <w:rPr>
                <w:rFonts w:ascii="Times New Roman"/>
                <w:sz w:val="10"/>
              </w:rPr>
            </w:pPr>
          </w:p>
        </w:tc>
        <w:tc>
          <w:tcPr>
            <w:tcW w:w="627" w:type="dxa"/>
          </w:tcPr>
          <w:p>
            <w:pPr>
              <w:pStyle w:val="TableParagraph"/>
              <w:spacing w:line="20" w:lineRule="exact"/>
              <w:ind w:left="8" w:right="-72"/>
              <w:rPr>
                <w:rFonts w:ascii="Times New Roman"/>
                <w:sz w:val="2"/>
              </w:rPr>
            </w:pPr>
            <w:r>
              <w:rPr>
                <w:rFonts w:ascii="Times New Roman"/>
                <w:sz w:val="2"/>
              </w:rPr>
              <w:pict>
                <v:group style="width:31.45pt;height:.75pt;mso-position-horizontal-relative:char;mso-position-vertical-relative:line" coordorigin="0,0" coordsize="629,15">
                  <v:rect style="position:absolute;left:0;top:0;width:629;height:15" filled="true" fillcolor="#000000" stroked="false">
                    <v:fill type="solid"/>
                  </v:rect>
                </v:group>
              </w:pict>
            </w:r>
            <w:r>
              <w:rPr>
                <w:rFonts w:ascii="Times New Roman"/>
                <w:sz w:val="2"/>
              </w:rPr>
            </w:r>
          </w:p>
        </w:tc>
        <w:tc>
          <w:tcPr>
            <w:tcW w:w="90" w:type="dxa"/>
          </w:tcPr>
          <w:p>
            <w:pPr>
              <w:pStyle w:val="TableParagraph"/>
              <w:rPr>
                <w:rFonts w:ascii="Times New Roman"/>
                <w:sz w:val="10"/>
              </w:rPr>
            </w:pPr>
          </w:p>
        </w:tc>
        <w:tc>
          <w:tcPr>
            <w:tcW w:w="263" w:type="dxa"/>
            <w:tcBorders>
              <w:top w:val="single" w:sz="6" w:space="0" w:color="000000"/>
            </w:tcBorders>
          </w:tcPr>
          <w:p>
            <w:pPr>
              <w:pStyle w:val="TableParagraph"/>
              <w:rPr>
                <w:rFonts w:ascii="Times New Roman"/>
                <w:sz w:val="10"/>
              </w:rPr>
            </w:pPr>
          </w:p>
        </w:tc>
        <w:tc>
          <w:tcPr>
            <w:tcW w:w="90" w:type="dxa"/>
          </w:tcPr>
          <w:p>
            <w:pPr>
              <w:pStyle w:val="TableParagraph"/>
              <w:rPr>
                <w:rFonts w:ascii="Times New Roman"/>
                <w:sz w:val="10"/>
              </w:rPr>
            </w:pPr>
          </w:p>
        </w:tc>
        <w:tc>
          <w:tcPr>
            <w:tcW w:w="2071" w:type="dxa"/>
            <w:tcBorders>
              <w:bottom w:val="single" w:sz="6" w:space="0" w:color="000000"/>
            </w:tcBorders>
          </w:tcPr>
          <w:p>
            <w:pPr>
              <w:pStyle w:val="TableParagraph"/>
              <w:rPr>
                <w:rFonts w:ascii="Times New Roman"/>
                <w:sz w:val="10"/>
              </w:rPr>
            </w:pPr>
          </w:p>
        </w:tc>
      </w:tr>
      <w:tr>
        <w:trPr>
          <w:trHeight w:val="173" w:hRule="atLeast"/>
        </w:trPr>
        <w:tc>
          <w:tcPr>
            <w:tcW w:w="1942" w:type="dxa"/>
            <w:tcBorders>
              <w:top w:val="single" w:sz="6" w:space="0" w:color="000000"/>
              <w:bottom w:val="single" w:sz="6" w:space="0" w:color="000000"/>
            </w:tcBorders>
          </w:tcPr>
          <w:p>
            <w:pPr>
              <w:pStyle w:val="TableParagraph"/>
              <w:spacing w:line="144" w:lineRule="exact"/>
              <w:ind w:left="50"/>
              <w:rPr>
                <w:sz w:val="16"/>
              </w:rPr>
            </w:pPr>
            <w:r>
              <w:rPr>
                <w:sz w:val="16"/>
              </w:rPr>
              <w:t>SDATA output Z</w:t>
            </w:r>
          </w:p>
        </w:tc>
        <w:tc>
          <w:tcPr>
            <w:tcW w:w="88" w:type="dxa"/>
            <w:tcBorders>
              <w:bottom w:val="single" w:sz="6" w:space="0" w:color="000000"/>
            </w:tcBorders>
          </w:tcPr>
          <w:p>
            <w:pPr>
              <w:pStyle w:val="TableParagraph"/>
              <w:spacing w:line="184" w:lineRule="exact"/>
              <w:ind w:left="-7" w:right="-72"/>
              <w:rPr>
                <w:rFonts w:ascii="Times New Roman"/>
                <w:sz w:val="18"/>
              </w:rPr>
            </w:pPr>
            <w:r>
              <w:rPr>
                <w:rFonts w:ascii="Times New Roman"/>
                <w:position w:val="-3"/>
                <w:sz w:val="18"/>
              </w:rPr>
              <w:pict>
                <v:group style="width:5.2pt;height:9.25pt;mso-position-horizontal-relative:char;mso-position-vertical-relative:line" coordorigin="0,0" coordsize="104,185">
                  <v:shape style="position:absolute;left:0;top:0;width:104;height:185" coordorigin="0,0" coordsize="104,185" path="m89,184l0,5,14,0,103,179,89,184xe" filled="true" fillcolor="#000000" stroked="false">
                    <v:path arrowok="t"/>
                    <v:fill type="solid"/>
                  </v:shape>
                </v:group>
              </w:pict>
            </w:r>
            <w:r>
              <w:rPr>
                <w:rFonts w:ascii="Times New Roman"/>
                <w:position w:val="-3"/>
                <w:sz w:val="18"/>
              </w:rPr>
            </w:r>
          </w:p>
        </w:tc>
        <w:tc>
          <w:tcPr>
            <w:tcW w:w="630" w:type="dxa"/>
            <w:tcBorders>
              <w:bottom w:val="single" w:sz="6" w:space="0" w:color="000000"/>
            </w:tcBorders>
          </w:tcPr>
          <w:p>
            <w:pPr>
              <w:pStyle w:val="TableParagraph"/>
              <w:rPr>
                <w:rFonts w:ascii="Times New Roman"/>
                <w:sz w:val="10"/>
              </w:rPr>
            </w:pPr>
          </w:p>
        </w:tc>
        <w:tc>
          <w:tcPr>
            <w:tcW w:w="88" w:type="dxa"/>
            <w:tcBorders>
              <w:bottom w:val="single" w:sz="6" w:space="0" w:color="000000"/>
            </w:tcBorders>
          </w:tcPr>
          <w:p>
            <w:pPr>
              <w:pStyle w:val="TableParagraph"/>
              <w:rPr>
                <w:rFonts w:ascii="Times New Roman"/>
                <w:sz w:val="10"/>
              </w:rPr>
            </w:pPr>
          </w:p>
        </w:tc>
        <w:tc>
          <w:tcPr>
            <w:tcW w:w="630" w:type="dxa"/>
            <w:tcBorders>
              <w:bottom w:val="single" w:sz="6" w:space="0" w:color="000000"/>
            </w:tcBorders>
          </w:tcPr>
          <w:p>
            <w:pPr>
              <w:pStyle w:val="TableParagraph"/>
              <w:rPr>
                <w:rFonts w:ascii="Times New Roman"/>
                <w:sz w:val="10"/>
              </w:rPr>
            </w:pPr>
          </w:p>
        </w:tc>
        <w:tc>
          <w:tcPr>
            <w:tcW w:w="88" w:type="dxa"/>
            <w:tcBorders>
              <w:bottom w:val="single" w:sz="6" w:space="0" w:color="000000"/>
            </w:tcBorders>
          </w:tcPr>
          <w:p>
            <w:pPr>
              <w:pStyle w:val="TableParagraph"/>
              <w:rPr>
                <w:rFonts w:ascii="Times New Roman"/>
                <w:sz w:val="10"/>
              </w:rPr>
            </w:pPr>
          </w:p>
        </w:tc>
        <w:tc>
          <w:tcPr>
            <w:tcW w:w="630" w:type="dxa"/>
            <w:tcBorders>
              <w:bottom w:val="single" w:sz="6" w:space="0" w:color="000000"/>
            </w:tcBorders>
          </w:tcPr>
          <w:p>
            <w:pPr>
              <w:pStyle w:val="TableParagraph"/>
              <w:spacing w:before="13"/>
              <w:ind w:left="201" w:right="102"/>
              <w:jc w:val="center"/>
              <w:rPr>
                <w:sz w:val="12"/>
              </w:rPr>
            </w:pPr>
            <w:r>
              <w:rPr>
                <w:sz w:val="12"/>
              </w:rPr>
              <w:t>(LoZ)</w:t>
            </w:r>
          </w:p>
        </w:tc>
        <w:tc>
          <w:tcPr>
            <w:tcW w:w="90" w:type="dxa"/>
            <w:tcBorders>
              <w:bottom w:val="single" w:sz="6" w:space="0" w:color="000000"/>
            </w:tcBorders>
          </w:tcPr>
          <w:p>
            <w:pPr>
              <w:pStyle w:val="TableParagraph"/>
              <w:rPr>
                <w:rFonts w:ascii="Times New Roman"/>
                <w:sz w:val="10"/>
              </w:rPr>
            </w:pPr>
          </w:p>
        </w:tc>
        <w:tc>
          <w:tcPr>
            <w:tcW w:w="627" w:type="dxa"/>
            <w:tcBorders>
              <w:bottom w:val="single" w:sz="6" w:space="0" w:color="000000"/>
            </w:tcBorders>
          </w:tcPr>
          <w:p>
            <w:pPr>
              <w:pStyle w:val="TableParagraph"/>
              <w:rPr>
                <w:rFonts w:ascii="Times New Roman"/>
                <w:sz w:val="10"/>
              </w:rPr>
            </w:pPr>
          </w:p>
        </w:tc>
        <w:tc>
          <w:tcPr>
            <w:tcW w:w="90" w:type="dxa"/>
            <w:tcBorders>
              <w:bottom w:val="single" w:sz="6" w:space="0" w:color="000000"/>
            </w:tcBorders>
          </w:tcPr>
          <w:p>
            <w:pPr>
              <w:pStyle w:val="TableParagraph"/>
              <w:rPr>
                <w:rFonts w:ascii="Times New Roman"/>
                <w:sz w:val="10"/>
              </w:rPr>
            </w:pPr>
          </w:p>
        </w:tc>
        <w:tc>
          <w:tcPr>
            <w:tcW w:w="627" w:type="dxa"/>
            <w:tcBorders>
              <w:bottom w:val="single" w:sz="6" w:space="0" w:color="000000"/>
            </w:tcBorders>
          </w:tcPr>
          <w:p>
            <w:pPr>
              <w:pStyle w:val="TableParagraph"/>
              <w:rPr>
                <w:rFonts w:ascii="Times New Roman"/>
                <w:sz w:val="10"/>
              </w:rPr>
            </w:pPr>
          </w:p>
        </w:tc>
        <w:tc>
          <w:tcPr>
            <w:tcW w:w="90" w:type="dxa"/>
            <w:tcBorders>
              <w:bottom w:val="single" w:sz="6" w:space="0" w:color="000000"/>
            </w:tcBorders>
          </w:tcPr>
          <w:p>
            <w:pPr>
              <w:pStyle w:val="TableParagraph"/>
              <w:rPr>
                <w:rFonts w:ascii="Times New Roman"/>
                <w:sz w:val="10"/>
              </w:rPr>
            </w:pPr>
          </w:p>
        </w:tc>
        <w:tc>
          <w:tcPr>
            <w:tcW w:w="263" w:type="dxa"/>
            <w:tcBorders>
              <w:bottom w:val="single" w:sz="6" w:space="0" w:color="000000"/>
            </w:tcBorders>
          </w:tcPr>
          <w:p>
            <w:pPr>
              <w:pStyle w:val="TableParagraph"/>
              <w:rPr>
                <w:rFonts w:ascii="Times New Roman"/>
                <w:sz w:val="10"/>
              </w:rPr>
            </w:pPr>
          </w:p>
        </w:tc>
        <w:tc>
          <w:tcPr>
            <w:tcW w:w="90" w:type="dxa"/>
          </w:tcPr>
          <w:p>
            <w:pPr>
              <w:pStyle w:val="TableParagraph"/>
              <w:spacing w:line="171" w:lineRule="exact"/>
              <w:ind w:left="12" w:right="-72"/>
              <w:rPr>
                <w:rFonts w:ascii="Times New Roman"/>
                <w:sz w:val="17"/>
              </w:rPr>
            </w:pPr>
            <w:r>
              <w:rPr>
                <w:rFonts w:ascii="Times New Roman"/>
                <w:position w:val="-2"/>
                <w:sz w:val="17"/>
              </w:rPr>
              <w:drawing>
                <wp:inline distT="0" distB="0" distL="0" distR="0">
                  <wp:extent cx="61479" cy="108966"/>
                  <wp:effectExtent l="0" t="0" r="0" b="0"/>
                  <wp:docPr id="95" name="image116.png"/>
                  <wp:cNvGraphicFramePr>
                    <a:graphicFrameLocks noChangeAspect="1"/>
                  </wp:cNvGraphicFramePr>
                  <a:graphic>
                    <a:graphicData uri="http://schemas.openxmlformats.org/drawingml/2006/picture">
                      <pic:pic>
                        <pic:nvPicPr>
                          <pic:cNvPr id="96" name="image116.png"/>
                          <pic:cNvPicPr/>
                        </pic:nvPicPr>
                        <pic:blipFill>
                          <a:blip r:embed="rId140" cstate="print"/>
                          <a:stretch>
                            <a:fillRect/>
                          </a:stretch>
                        </pic:blipFill>
                        <pic:spPr>
                          <a:xfrm>
                            <a:off x="0" y="0"/>
                            <a:ext cx="61479" cy="108966"/>
                          </a:xfrm>
                          <a:prstGeom prst="rect">
                            <a:avLst/>
                          </a:prstGeom>
                        </pic:spPr>
                      </pic:pic>
                    </a:graphicData>
                  </a:graphic>
                </wp:inline>
              </w:drawing>
            </w:r>
            <w:r>
              <w:rPr>
                <w:rFonts w:ascii="Times New Roman"/>
                <w:position w:val="-2"/>
                <w:sz w:val="17"/>
              </w:rPr>
            </w:r>
          </w:p>
        </w:tc>
        <w:tc>
          <w:tcPr>
            <w:tcW w:w="2071" w:type="dxa"/>
            <w:tcBorders>
              <w:top w:val="single" w:sz="6" w:space="0" w:color="000000"/>
            </w:tcBorders>
          </w:tcPr>
          <w:p>
            <w:pPr>
              <w:pStyle w:val="TableParagraph"/>
              <w:spacing w:before="4"/>
              <w:ind w:left="591"/>
              <w:rPr>
                <w:sz w:val="12"/>
              </w:rPr>
            </w:pPr>
            <w:r>
              <w:rPr>
                <w:sz w:val="12"/>
              </w:rPr>
              <w:t>(HiZ)</w:t>
            </w:r>
          </w:p>
        </w:tc>
      </w:tr>
    </w:tbl>
    <w:p>
      <w:pPr>
        <w:tabs>
          <w:tab w:pos="1422" w:val="left" w:leader="none"/>
        </w:tabs>
        <w:spacing w:before="151"/>
        <w:ind w:left="0" w:right="5541" w:firstLine="0"/>
        <w:jc w:val="center"/>
        <w:rPr>
          <w:rFonts w:ascii="Times New Roman"/>
          <w:sz w:val="16"/>
        </w:rPr>
      </w:pPr>
      <w:r>
        <w:rPr>
          <w:rFonts w:ascii="Times New Roman"/>
          <w:i/>
          <w:sz w:val="16"/>
        </w:rPr>
        <w:t>BUSY</w:t>
      </w:r>
      <w:r>
        <w:rPr>
          <w:rFonts w:ascii="Times New Roman"/>
          <w:i/>
          <w:spacing w:val="2"/>
          <w:sz w:val="16"/>
        </w:rPr>
        <w:t> </w:t>
      </w:r>
      <w:r>
        <w:rPr>
          <w:sz w:val="16"/>
        </w:rPr>
        <w:t>(bit)</w:t>
      </w:r>
      <w:r>
        <w:rPr>
          <w:rFonts w:ascii="Times New Roman"/>
          <w:sz w:val="16"/>
          <w:u w:val="single"/>
        </w:rPr>
        <w:t> </w:t>
        <w:tab/>
      </w:r>
    </w:p>
    <w:p>
      <w:pPr>
        <w:pStyle w:val="BodyText"/>
        <w:spacing w:before="5"/>
        <w:rPr>
          <w:rFonts w:ascii="Times New Roman"/>
          <w:sz w:val="14"/>
        </w:rPr>
      </w:pPr>
    </w:p>
    <w:p>
      <w:pPr>
        <w:spacing w:before="1"/>
        <w:ind w:left="65" w:right="204" w:firstLine="0"/>
        <w:jc w:val="center"/>
        <w:rPr>
          <w:b/>
          <w:sz w:val="20"/>
        </w:rPr>
      </w:pPr>
      <w:bookmarkStart w:name="_bookmark134" w:id="273"/>
      <w:bookmarkEnd w:id="273"/>
      <w:r>
        <w:rPr/>
      </w:r>
      <w:r>
        <w:rPr>
          <w:b/>
          <w:sz w:val="20"/>
        </w:rPr>
        <w:t>Figure 19: 3-wire Interface. Write Command, HiZ=1</w:t>
      </w:r>
    </w:p>
    <w:p>
      <w:pPr>
        <w:pStyle w:val="BodyText"/>
        <w:rPr>
          <w:b/>
        </w:rPr>
      </w:pPr>
    </w:p>
    <w:p>
      <w:pPr>
        <w:spacing w:after="0"/>
        <w:sectPr>
          <w:type w:val="continuous"/>
          <w:pgSz w:w="12240" w:h="15840"/>
          <w:pgMar w:top="940" w:bottom="280" w:left="1200" w:right="1060"/>
        </w:sectPr>
      </w:pPr>
    </w:p>
    <w:p>
      <w:pPr>
        <w:pStyle w:val="BodyText"/>
        <w:spacing w:before="10"/>
        <w:rPr>
          <w:b/>
          <w:sz w:val="19"/>
        </w:rPr>
      </w:pPr>
    </w:p>
    <w:p>
      <w:pPr>
        <w:spacing w:before="0"/>
        <w:ind w:left="1018" w:right="0" w:firstLine="0"/>
        <w:jc w:val="center"/>
        <w:rPr>
          <w:sz w:val="16"/>
        </w:rPr>
      </w:pPr>
      <w:r>
        <w:rPr/>
        <w:pict>
          <v:group style="position:absolute;margin-left:188.841614pt;margin-top:4.993293pt;width:14.65pt;height:31.45pt;mso-position-horizontal-relative:page;mso-position-vertical-relative:paragraph;z-index:-38765568" coordorigin="3777,100" coordsize="293,629">
            <v:shape style="position:absolute;left:3958;top:315;width:111;height:110" type="#_x0000_t75" stroked="false">
              <v:imagedata r:id="rId141" o:title=""/>
            </v:shape>
            <v:shape style="position:absolute;left:3776;top:99;width:240;height:629" type="#_x0000_t75" stroked="false">
              <v:imagedata r:id="rId142" o:title=""/>
            </v:shape>
            <w10:wrap type="none"/>
          </v:group>
        </w:pict>
      </w:r>
      <w:r>
        <w:rPr>
          <w:sz w:val="16"/>
        </w:rPr>
        <w:t>EECTRL Byte Written</w:t>
      </w:r>
    </w:p>
    <w:p>
      <w:pPr>
        <w:pStyle w:val="BodyText"/>
        <w:spacing w:before="2"/>
        <w:rPr>
          <w:sz w:val="15"/>
        </w:rPr>
      </w:pPr>
    </w:p>
    <w:p>
      <w:pPr>
        <w:spacing w:before="0"/>
        <w:ind w:left="952" w:right="0" w:firstLine="0"/>
        <w:jc w:val="center"/>
        <w:rPr>
          <w:b/>
          <w:sz w:val="16"/>
        </w:rPr>
      </w:pPr>
      <w:r>
        <w:rPr>
          <w:b/>
          <w:sz w:val="16"/>
        </w:rPr>
        <w:t>READ</w:t>
      </w:r>
    </w:p>
    <w:p>
      <w:pPr>
        <w:pStyle w:val="BodyText"/>
        <w:rPr>
          <w:b/>
          <w:sz w:val="18"/>
        </w:rPr>
      </w:pPr>
      <w:r>
        <w:rPr/>
        <w:br w:type="column"/>
      </w:r>
      <w:r>
        <w:rPr>
          <w:b/>
          <w:sz w:val="18"/>
        </w:rPr>
      </w:r>
    </w:p>
    <w:p>
      <w:pPr>
        <w:pStyle w:val="BodyText"/>
        <w:spacing w:before="6"/>
        <w:rPr>
          <w:b/>
          <w:sz w:val="17"/>
        </w:rPr>
      </w:pPr>
    </w:p>
    <w:p>
      <w:pPr>
        <w:tabs>
          <w:tab w:pos="1623" w:val="left" w:leader="none"/>
          <w:tab w:pos="5808" w:val="left" w:leader="none"/>
        </w:tabs>
        <w:spacing w:before="0"/>
        <w:ind w:left="223" w:right="0" w:firstLine="0"/>
        <w:jc w:val="left"/>
        <w:rPr>
          <w:sz w:val="16"/>
        </w:rPr>
      </w:pPr>
      <w:r>
        <w:rPr>
          <w:rFonts w:ascii="Times New Roman"/>
          <w:w w:val="100"/>
          <w:sz w:val="16"/>
          <w:u w:val="single"/>
        </w:rPr>
        <w:t> </w:t>
      </w:r>
      <w:r>
        <w:rPr>
          <w:rFonts w:ascii="Times New Roman"/>
          <w:sz w:val="16"/>
          <w:u w:val="single"/>
        </w:rPr>
        <w:tab/>
      </w:r>
      <w:r>
        <w:rPr>
          <w:sz w:val="16"/>
          <w:u w:val="single"/>
        </w:rPr>
        <w:t>CNT Cycles (8</w:t>
      </w:r>
      <w:r>
        <w:rPr>
          <w:spacing w:val="-6"/>
          <w:sz w:val="16"/>
          <w:u w:val="single"/>
        </w:rPr>
        <w:t> </w:t>
      </w:r>
      <w:r>
        <w:rPr>
          <w:sz w:val="16"/>
          <w:u w:val="single"/>
        </w:rPr>
        <w:t>shown)</w:t>
        <w:tab/>
      </w:r>
    </w:p>
    <w:p>
      <w:pPr>
        <w:pStyle w:val="BodyText"/>
        <w:rPr>
          <w:sz w:val="18"/>
        </w:rPr>
      </w:pPr>
      <w:r>
        <w:rPr/>
        <w:br w:type="column"/>
      </w:r>
      <w:r>
        <w:rPr>
          <w:sz w:val="18"/>
        </w:rPr>
      </w:r>
    </w:p>
    <w:p>
      <w:pPr>
        <w:spacing w:before="110"/>
        <w:ind w:left="235" w:right="0" w:firstLine="0"/>
        <w:jc w:val="left"/>
        <w:rPr>
          <w:sz w:val="16"/>
        </w:rPr>
      </w:pPr>
      <w:r>
        <w:rPr>
          <w:sz w:val="16"/>
        </w:rPr>
        <w:t>INT5</w:t>
      </w:r>
    </w:p>
    <w:p>
      <w:pPr>
        <w:spacing w:after="0"/>
        <w:jc w:val="left"/>
        <w:rPr>
          <w:sz w:val="16"/>
        </w:rPr>
        <w:sectPr>
          <w:type w:val="continuous"/>
          <w:pgSz w:w="12240" w:h="15840"/>
          <w:pgMar w:top="940" w:bottom="280" w:left="1200" w:right="1060"/>
          <w:cols w:num="3" w:equalWidth="0">
            <w:col w:w="2579" w:space="40"/>
            <w:col w:w="5809" w:space="39"/>
            <w:col w:w="1513"/>
          </w:cols>
        </w:sectPr>
      </w:pPr>
    </w:p>
    <w:p>
      <w:pPr>
        <w:tabs>
          <w:tab w:pos="3111" w:val="left" w:leader="none"/>
        </w:tabs>
        <w:spacing w:before="84"/>
        <w:ind w:left="1023" w:right="0" w:firstLine="0"/>
        <w:jc w:val="left"/>
        <w:rPr>
          <w:rFonts w:ascii="Times New Roman"/>
          <w:sz w:val="16"/>
        </w:rPr>
      </w:pPr>
      <w:r>
        <w:rPr>
          <w:sz w:val="16"/>
        </w:rPr>
        <w:t>SCLK</w:t>
      </w:r>
      <w:r>
        <w:rPr>
          <w:spacing w:val="-5"/>
          <w:sz w:val="16"/>
        </w:rPr>
        <w:t> </w:t>
      </w:r>
      <w:r>
        <w:rPr>
          <w:sz w:val="16"/>
        </w:rPr>
        <w:t>(output)</w:t>
      </w:r>
      <w:r>
        <w:rPr>
          <w:rFonts w:ascii="Times New Roman"/>
          <w:sz w:val="16"/>
          <w:u w:val="single"/>
        </w:rPr>
        <w:t> </w:t>
        <w:tab/>
      </w:r>
    </w:p>
    <w:p>
      <w:pPr>
        <w:spacing w:after="0"/>
        <w:jc w:val="left"/>
        <w:rPr>
          <w:rFonts w:ascii="Times New Roman"/>
          <w:sz w:val="16"/>
        </w:rPr>
        <w:sectPr>
          <w:type w:val="continuous"/>
          <w:pgSz w:w="12240" w:h="15840"/>
          <w:pgMar w:top="940" w:bottom="280" w:left="1200" w:right="1060"/>
        </w:sectPr>
      </w:pPr>
    </w:p>
    <w:p>
      <w:pPr>
        <w:pStyle w:val="BodyText"/>
        <w:spacing w:before="2"/>
        <w:rPr>
          <w:rFonts w:ascii="Times New Roman"/>
          <w:sz w:val="15"/>
        </w:rPr>
      </w:pPr>
    </w:p>
    <w:p>
      <w:pPr>
        <w:tabs>
          <w:tab w:pos="3118" w:val="left" w:leader="none"/>
          <w:tab w:pos="3494" w:val="left" w:leader="none"/>
        </w:tabs>
        <w:spacing w:before="0"/>
        <w:ind w:left="1004" w:right="0" w:firstLine="0"/>
        <w:jc w:val="left"/>
        <w:rPr>
          <w:sz w:val="12"/>
        </w:rPr>
      </w:pPr>
      <w:r>
        <w:rPr/>
        <w:pict>
          <v:group style="position:absolute;margin-left:215.563461pt;margin-top:-41.261635pt;width:305.95pt;height:33.4pt;mso-position-horizontal-relative:page;mso-position-vertical-relative:paragraph;z-index:-38766080" coordorigin="4311,-825" coordsize="6119,668">
            <v:shape style="position:absolute;left:4311;top:-352;width:3969;height:194" coordorigin="4311,-352" coordsize="3969,194" path="m8280,-352l8266,-352,7921,-352,7906,-352,7906,-337,7906,-172,7561,-172,7561,-337,7561,-352,7547,-352,7202,-352,7187,-352,7187,-337,7187,-172,6842,-172,6842,-337,6842,-352,6828,-352,6483,-352,6468,-352,6468,-337,6468,-172,6123,-172,6123,-337,6123,-352,6109,-352,5764,-352,5749,-352,5749,-337,5749,-172,5404,-172,5404,-337,5404,-352,5390,-352,5045,-352,5030,-352,5030,-337,5030,-172,4685,-172,4685,-337,4685,-352,4671,-352,4326,-352,4311,-352,4311,-337,4311,-172,4311,-158,4326,-158,4326,-172,4326,-337,4671,-337,4671,-165,4678,-165,4678,-158,5030,-158,5045,-158,5045,-172,5045,-337,5390,-337,5390,-165,5397,-165,5397,-158,5749,-158,5764,-158,5764,-172,5764,-337,6109,-337,6109,-165,6116,-165,6116,-158,6468,-158,6483,-158,6483,-172,6483,-337,6828,-337,6828,-165,6835,-165,6835,-158,7187,-158,7202,-158,7202,-172,7202,-337,7547,-337,7547,-165,7554,-165,7554,-158,7906,-158,7921,-158,7921,-172,7921,-337,8266,-337,8266,-165,8280,-165,8280,-337,8280,-352xe" filled="true" fillcolor="#000000" stroked="false">
              <v:path arrowok="t"/>
              <v:fill type="solid"/>
            </v:shape>
            <v:shape style="position:absolute;left:8272;top:-352;width:1086;height:194" coordorigin="8273,-352" coordsize="1086,194" path="m9359,-352l9344,-352,9344,-337,9344,-172,8999,-172,8999,-337,8999,-352,8985,-352,8640,-352,8625,-352,8625,-337,8625,-172,8273,-172,8273,-158,8625,-158,8640,-158,8640,-172,8640,-337,8985,-337,8985,-165,8992,-165,8992,-158,9344,-158,9359,-158,9359,-172,9359,-337,9359,-352xe" filled="true" fillcolor="#000000" stroked="false">
              <v:path arrowok="t"/>
              <v:fill type="solid"/>
            </v:shape>
            <v:shape style="position:absolute;left:9600;top:-670;width:111;height:110" type="#_x0000_t75" stroked="false">
              <v:imagedata r:id="rId143" o:title=""/>
            </v:shape>
            <v:shape style="position:absolute;left:9706;top:-826;width:185;height:436" type="#_x0000_t75" stroked="false">
              <v:imagedata r:id="rId144" o:title=""/>
            </v:shape>
            <v:shape style="position:absolute;left:9358;top:-352;width:1072;height:194" coordorigin="9359,-352" coordsize="1072,194" path="m10430,-172l9718,-172,9718,-337,9718,-352,9704,-352,9359,-352,9359,-337,9704,-337,9704,-165,9711,-165,9711,-158,10430,-158,10430,-172xe" filled="true" fillcolor="#000000" stroked="false">
              <v:path arrowok="t"/>
              <v:fill type="solid"/>
            </v:shape>
            <w10:wrap type="none"/>
          </v:group>
        </w:pict>
      </w:r>
      <w:r>
        <w:rPr/>
        <w:pict>
          <v:group style="position:absolute;margin-left:161.998276pt;margin-top:.341131pt;width:359.55pt;height:9.7pt;mso-position-horizontal-relative:page;mso-position-vertical-relative:paragraph;z-index:-38765056" coordorigin="3240,7" coordsize="7191,194">
            <v:shape style="position:absolute;left:5749;top:11;width:104;height:185" type="#_x0000_t75" stroked="false">
              <v:imagedata r:id="rId132" o:title=""/>
            </v:shape>
            <v:shape style="position:absolute;left:6468;top:11;width:106;height:185" type="#_x0000_t75" stroked="false">
              <v:imagedata r:id="rId145" o:title=""/>
            </v:shape>
            <v:shape style="position:absolute;left:5845;top:6;width:631;height:194" coordorigin="5845,7" coordsize="631,194" path="m6475,186l5845,186,5845,200,6475,200,6475,186xm6475,7l5845,7,5845,21,6475,21,6475,7xe" filled="true" fillcolor="#000000" stroked="false">
              <v:path arrowok="t"/>
              <v:fill type="solid"/>
            </v:shape>
            <v:shape style="position:absolute;left:7187;top:11;width:106;height:185" type="#_x0000_t75" stroked="false">
              <v:imagedata r:id="rId145" o:title=""/>
            </v:shape>
            <v:shape style="position:absolute;left:6566;top:6;width:628;height:194" coordorigin="6567,7" coordsize="628,194" path="m7194,186l6567,186,6567,200,7194,200,7194,186xm7194,7l6567,7,6567,21,7194,21,7194,7xe" filled="true" fillcolor="#000000" stroked="false">
              <v:path arrowok="t"/>
              <v:fill type="solid"/>
            </v:shape>
            <v:shape style="position:absolute;left:7906;top:11;width:106;height:185" type="#_x0000_t75" stroked="false">
              <v:imagedata r:id="rId145" o:title=""/>
            </v:shape>
            <v:shape style="position:absolute;left:7285;top:6;width:628;height:194" coordorigin="7286,7" coordsize="628,194" path="m7913,186l7286,186,7286,200,7913,200,7913,186xm7913,7l7286,7,7286,21,7913,21,7913,7xe" filled="true" fillcolor="#000000" stroked="false">
              <v:path arrowok="t"/>
              <v:fill type="solid"/>
            </v:shape>
            <v:shape style="position:absolute;left:8625;top:11;width:106;height:185" type="#_x0000_t75" stroked="false">
              <v:imagedata r:id="rId145" o:title=""/>
            </v:shape>
            <v:shape style="position:absolute;left:8004;top:6;width:628;height:194" coordorigin="8005,7" coordsize="628,194" path="m8632,186l8005,186,8005,200,8632,200,8632,186xm8632,7l8005,7,8005,21,8632,21,8632,7xe" filled="true" fillcolor="#000000" stroked="false">
              <v:path arrowok="t"/>
              <v:fill type="solid"/>
            </v:shape>
            <v:shape style="position:absolute;left:9344;top:11;width:106;height:185" type="#_x0000_t75" stroked="false">
              <v:imagedata r:id="rId145" o:title=""/>
            </v:shape>
            <v:shape style="position:absolute;left:8723;top:6;width:1707;height:194" coordorigin="8724,7" coordsize="1707,194" path="m9351,186l8724,186,8724,200,9351,200,9351,186xm9351,7l8724,7,8724,21,9351,21,9351,7xm10430,186l9443,186,9443,200,10430,200,10430,186xm10430,7l9443,7,9443,21,10430,21,10430,7xe" filled="true" fillcolor="#000000" stroked="false">
              <v:path arrowok="t"/>
              <v:fill type="solid"/>
            </v:shape>
            <v:shape style="position:absolute;left:5030;top:11;width:104;height:185" type="#_x0000_t75" stroked="false">
              <v:imagedata r:id="rId132" o:title=""/>
            </v:shape>
            <v:shape style="position:absolute;left:3239;top:6;width:2517;height:194" coordorigin="3240,7" coordsize="2517,194" path="m4318,7l3240,7,3240,21,4318,21,4318,7xm5756,186l5126,186,5126,200,5756,200,5756,186xm5756,7l5126,7,5126,21,5756,21,5756,7xe" filled="true" fillcolor="#000000" stroked="false">
              <v:path arrowok="t"/>
              <v:fill type="solid"/>
            </v:shape>
            <v:shape style="position:absolute;left:4311;top:11;width:104;height:185" type="#_x0000_t75" stroked="false">
              <v:imagedata r:id="rId131" o:title=""/>
            </v:shape>
            <v:shape style="position:absolute;left:4407;top:6;width:631;height:194" coordorigin="4407,7" coordsize="631,194" path="m5037,186l4407,186,4407,200,5037,200,5037,186xm5037,7l4407,7,4407,21,5037,21,5037,7xe" filled="true" fillcolor="#000000" stroked="false">
              <v:path arrowok="t"/>
              <v:fill type="solid"/>
            </v:shape>
            <w10:wrap type="none"/>
          </v:group>
        </w:pict>
      </w:r>
      <w:r>
        <w:rPr>
          <w:sz w:val="16"/>
        </w:rPr>
        <w:t>SDATA</w:t>
      </w:r>
      <w:r>
        <w:rPr>
          <w:spacing w:val="-1"/>
          <w:sz w:val="16"/>
        </w:rPr>
        <w:t> </w:t>
      </w:r>
      <w:r>
        <w:rPr>
          <w:sz w:val="16"/>
        </w:rPr>
        <w:t>(input)</w:t>
      </w:r>
      <w:r>
        <w:rPr>
          <w:sz w:val="16"/>
          <w:u w:val="single"/>
        </w:rPr>
        <w:t> </w:t>
        <w:tab/>
      </w:r>
      <w:r>
        <w:rPr>
          <w:sz w:val="16"/>
        </w:rPr>
        <w:tab/>
      </w:r>
      <w:r>
        <w:rPr>
          <w:spacing w:val="-10"/>
          <w:position w:val="1"/>
          <w:sz w:val="12"/>
        </w:rPr>
        <w:t>D7</w:t>
      </w:r>
    </w:p>
    <w:p>
      <w:pPr>
        <w:pStyle w:val="BodyText"/>
        <w:spacing w:before="2"/>
        <w:rPr>
          <w:sz w:val="15"/>
        </w:rPr>
      </w:pPr>
    </w:p>
    <w:p>
      <w:pPr>
        <w:spacing w:before="1"/>
        <w:ind w:left="867" w:right="0" w:firstLine="0"/>
        <w:jc w:val="left"/>
        <w:rPr>
          <w:sz w:val="16"/>
        </w:rPr>
      </w:pPr>
      <w:r>
        <w:rPr/>
        <w:pict>
          <v:group style="position:absolute;margin-left:161.999191pt;margin-top:.389795pt;width:359.55pt;height:9.7pt;mso-position-horizontal-relative:page;mso-position-vertical-relative:paragraph;z-index:15816704" coordorigin="3240,8" coordsize="7191,194">
            <v:shape style="position:absolute;left:3239;top:7;width:7191;height:194" coordorigin="3240,8" coordsize="7191,194" path="m10430,8l3959,8,3240,8,3240,22,3959,22,4036,22,3954,187,3240,187,3240,201,3959,201,3959,194,3966,197,4052,22,10430,22,10430,8xe" filled="true" fillcolor="#000000" stroked="false">
              <v:path arrowok="t"/>
              <v:fill type="solid"/>
            </v:shape>
            <v:shape style="position:absolute;left:5734;top:31;width:290;height:134" type="#_x0000_t202" filled="false" stroked="false">
              <v:textbox inset="0,0,0,0">
                <w:txbxContent>
                  <w:p>
                    <w:pPr>
                      <w:spacing w:line="134" w:lineRule="exact" w:before="0"/>
                      <w:ind w:left="0" w:right="0" w:firstLine="0"/>
                      <w:jc w:val="left"/>
                      <w:rPr>
                        <w:sz w:val="12"/>
                      </w:rPr>
                    </w:pPr>
                    <w:r>
                      <w:rPr>
                        <w:sz w:val="12"/>
                      </w:rPr>
                      <w:t>(HiZ)</w:t>
                    </w:r>
                  </w:p>
                </w:txbxContent>
              </v:textbox>
              <w10:wrap type="none"/>
            </v:shape>
            <w10:wrap type="none"/>
          </v:group>
        </w:pict>
      </w:r>
      <w:r>
        <w:rPr>
          <w:sz w:val="16"/>
        </w:rPr>
        <w:t>SDATA output Z</w:t>
      </w:r>
    </w:p>
    <w:p>
      <w:pPr>
        <w:pStyle w:val="BodyText"/>
        <w:spacing w:before="5"/>
        <w:rPr>
          <w:sz w:val="17"/>
        </w:rPr>
      </w:pPr>
      <w:r>
        <w:rPr/>
        <w:br w:type="column"/>
      </w:r>
      <w:r>
        <w:rPr>
          <w:sz w:val="17"/>
        </w:rPr>
      </w:r>
    </w:p>
    <w:p>
      <w:pPr>
        <w:tabs>
          <w:tab w:pos="1238" w:val="left" w:leader="none"/>
        </w:tabs>
        <w:spacing w:before="0"/>
        <w:ind w:left="526" w:right="0" w:firstLine="0"/>
        <w:jc w:val="left"/>
        <w:rPr>
          <w:sz w:val="12"/>
        </w:rPr>
      </w:pPr>
      <w:r>
        <w:rPr>
          <w:sz w:val="12"/>
        </w:rPr>
        <w:t>D6</w:t>
        <w:tab/>
      </w:r>
      <w:r>
        <w:rPr>
          <w:spacing w:val="-11"/>
          <w:sz w:val="12"/>
        </w:rPr>
        <w:t>D5</w:t>
      </w:r>
    </w:p>
    <w:p>
      <w:pPr>
        <w:pStyle w:val="BodyText"/>
        <w:spacing w:before="5"/>
        <w:rPr>
          <w:sz w:val="17"/>
        </w:rPr>
      </w:pPr>
      <w:r>
        <w:rPr/>
        <w:br w:type="column"/>
      </w:r>
      <w:r>
        <w:rPr>
          <w:sz w:val="17"/>
        </w:rPr>
      </w:r>
    </w:p>
    <w:p>
      <w:pPr>
        <w:tabs>
          <w:tab w:pos="1245" w:val="left" w:leader="none"/>
        </w:tabs>
        <w:spacing w:before="0"/>
        <w:ind w:left="526" w:right="0" w:firstLine="0"/>
        <w:jc w:val="left"/>
        <w:rPr>
          <w:sz w:val="12"/>
        </w:rPr>
      </w:pPr>
      <w:r>
        <w:rPr>
          <w:sz w:val="12"/>
        </w:rPr>
        <w:t>D4</w:t>
        <w:tab/>
      </w:r>
      <w:r>
        <w:rPr>
          <w:spacing w:val="-11"/>
          <w:sz w:val="12"/>
        </w:rPr>
        <w:t>D3</w:t>
      </w:r>
    </w:p>
    <w:p>
      <w:pPr>
        <w:pStyle w:val="BodyText"/>
        <w:spacing w:before="5"/>
        <w:rPr>
          <w:sz w:val="17"/>
        </w:rPr>
      </w:pPr>
      <w:r>
        <w:rPr/>
        <w:br w:type="column"/>
      </w:r>
      <w:r>
        <w:rPr>
          <w:sz w:val="17"/>
        </w:rPr>
      </w:r>
    </w:p>
    <w:p>
      <w:pPr>
        <w:tabs>
          <w:tab w:pos="1245" w:val="left" w:leader="none"/>
          <w:tab w:pos="1925" w:val="left" w:leader="none"/>
        </w:tabs>
        <w:spacing w:before="0"/>
        <w:ind w:left="535" w:right="0" w:firstLine="0"/>
        <w:jc w:val="left"/>
        <w:rPr>
          <w:sz w:val="12"/>
        </w:rPr>
      </w:pPr>
      <w:r>
        <w:rPr>
          <w:sz w:val="12"/>
        </w:rPr>
        <w:t>D2</w:t>
        <w:tab/>
        <w:t>D1</w:t>
        <w:tab/>
        <w:t>D0</w:t>
      </w:r>
    </w:p>
    <w:p>
      <w:pPr>
        <w:spacing w:after="0"/>
        <w:jc w:val="left"/>
        <w:rPr>
          <w:sz w:val="12"/>
        </w:rPr>
        <w:sectPr>
          <w:type w:val="continuous"/>
          <w:pgSz w:w="12240" w:h="15840"/>
          <w:pgMar w:top="940" w:bottom="280" w:left="1200" w:right="1060"/>
          <w:cols w:num="4" w:equalWidth="0">
            <w:col w:w="3648" w:space="40"/>
            <w:col w:w="1391" w:space="39"/>
            <w:col w:w="1399" w:space="40"/>
            <w:col w:w="3423"/>
          </w:cols>
        </w:sectPr>
      </w:pPr>
    </w:p>
    <w:p>
      <w:pPr>
        <w:pStyle w:val="BodyText"/>
        <w:spacing w:before="2"/>
        <w:rPr>
          <w:sz w:val="15"/>
        </w:rPr>
      </w:pPr>
    </w:p>
    <w:p>
      <w:pPr>
        <w:tabs>
          <w:tab w:pos="2758" w:val="left" w:leader="none"/>
        </w:tabs>
        <w:spacing w:before="0"/>
        <w:ind w:left="1337" w:right="0" w:firstLine="0"/>
        <w:jc w:val="left"/>
        <w:rPr>
          <w:rFonts w:ascii="Times New Roman"/>
          <w:sz w:val="16"/>
        </w:rPr>
      </w:pPr>
      <w:r>
        <w:rPr>
          <w:rFonts w:ascii="Times New Roman"/>
          <w:i/>
          <w:sz w:val="16"/>
        </w:rPr>
        <w:t>BUSY</w:t>
      </w:r>
      <w:r>
        <w:rPr>
          <w:rFonts w:ascii="Times New Roman"/>
          <w:i/>
          <w:spacing w:val="1"/>
          <w:sz w:val="16"/>
        </w:rPr>
        <w:t> </w:t>
      </w:r>
      <w:r>
        <w:rPr>
          <w:sz w:val="16"/>
        </w:rPr>
        <w:t>(bit)</w:t>
      </w:r>
      <w:r>
        <w:rPr>
          <w:rFonts w:ascii="Times New Roman"/>
          <w:sz w:val="16"/>
          <w:u w:val="single"/>
        </w:rPr>
        <w:t> </w:t>
        <w:tab/>
      </w:r>
    </w:p>
    <w:p>
      <w:pPr>
        <w:pStyle w:val="BodyText"/>
        <w:rPr>
          <w:rFonts w:ascii="Times New Roman"/>
          <w:sz w:val="22"/>
        </w:rPr>
      </w:pPr>
      <w:r>
        <w:rPr/>
        <w:br w:type="column"/>
      </w:r>
      <w:r>
        <w:rPr>
          <w:rFonts w:ascii="Times New Roman"/>
          <w:sz w:val="22"/>
        </w:rPr>
      </w:r>
    </w:p>
    <w:p>
      <w:pPr>
        <w:pStyle w:val="BodyText"/>
        <w:spacing w:before="8"/>
        <w:rPr>
          <w:rFonts w:ascii="Times New Roman"/>
          <w:sz w:val="23"/>
        </w:rPr>
      </w:pPr>
    </w:p>
    <w:p>
      <w:pPr>
        <w:spacing w:before="1"/>
        <w:ind w:left="8" w:right="0" w:firstLine="0"/>
        <w:jc w:val="left"/>
        <w:rPr>
          <w:b/>
          <w:sz w:val="20"/>
        </w:rPr>
      </w:pPr>
      <w:bookmarkStart w:name="_bookmark135" w:id="274"/>
      <w:bookmarkEnd w:id="274"/>
      <w:r>
        <w:rPr/>
      </w:r>
      <w:r>
        <w:rPr>
          <w:b/>
          <w:sz w:val="20"/>
        </w:rPr>
        <w:t>Figure 20: 3-wire Interface. Read Command.</w:t>
      </w:r>
    </w:p>
    <w:p>
      <w:pPr>
        <w:spacing w:after="0"/>
        <w:jc w:val="left"/>
        <w:rPr>
          <w:sz w:val="20"/>
        </w:rPr>
        <w:sectPr>
          <w:type w:val="continuous"/>
          <w:pgSz w:w="12240" w:h="15840"/>
          <w:pgMar w:top="940" w:bottom="280" w:left="1200" w:right="1060"/>
          <w:cols w:num="2" w:equalWidth="0">
            <w:col w:w="2759" w:space="40"/>
            <w:col w:w="7181"/>
          </w:cols>
        </w:sectPr>
      </w:pPr>
    </w:p>
    <w:p>
      <w:pPr>
        <w:pStyle w:val="BodyText"/>
        <w:rPr>
          <w:b/>
        </w:rPr>
      </w:pPr>
    </w:p>
    <w:p>
      <w:pPr>
        <w:spacing w:after="0"/>
        <w:sectPr>
          <w:type w:val="continuous"/>
          <w:pgSz w:w="12240" w:h="15840"/>
          <w:pgMar w:top="940" w:bottom="280" w:left="1200" w:right="1060"/>
        </w:sectPr>
      </w:pPr>
    </w:p>
    <w:p>
      <w:pPr>
        <w:pStyle w:val="BodyText"/>
        <w:spacing w:before="10"/>
        <w:rPr>
          <w:b/>
          <w:sz w:val="19"/>
        </w:rPr>
      </w:pPr>
    </w:p>
    <w:p>
      <w:pPr>
        <w:spacing w:before="0"/>
        <w:ind w:left="491" w:right="0" w:firstLine="0"/>
        <w:jc w:val="center"/>
        <w:rPr>
          <w:sz w:val="16"/>
        </w:rPr>
      </w:pPr>
      <w:r>
        <w:rPr>
          <w:sz w:val="16"/>
        </w:rPr>
        <w:t>EECTRL Byte Written</w:t>
      </w:r>
    </w:p>
    <w:p>
      <w:pPr>
        <w:pStyle w:val="BodyText"/>
        <w:spacing w:before="2"/>
        <w:rPr>
          <w:sz w:val="15"/>
        </w:rPr>
      </w:pPr>
    </w:p>
    <w:p>
      <w:pPr>
        <w:spacing w:before="0"/>
        <w:ind w:left="477" w:right="0" w:firstLine="0"/>
        <w:jc w:val="center"/>
        <w:rPr>
          <w:b/>
          <w:sz w:val="16"/>
        </w:rPr>
      </w:pPr>
      <w:r>
        <w:rPr>
          <w:b/>
          <w:sz w:val="16"/>
        </w:rPr>
        <w:t>Write -- No HiZ</w:t>
      </w:r>
    </w:p>
    <w:p>
      <w:pPr>
        <w:pStyle w:val="BodyText"/>
        <w:rPr>
          <w:b/>
          <w:sz w:val="18"/>
        </w:rPr>
      </w:pPr>
      <w:r>
        <w:rPr/>
        <w:br w:type="column"/>
      </w:r>
      <w:r>
        <w:rPr>
          <w:b/>
          <w:sz w:val="18"/>
        </w:rPr>
      </w:r>
    </w:p>
    <w:p>
      <w:pPr>
        <w:spacing w:line="182" w:lineRule="exact" w:before="110"/>
        <w:ind w:left="387" w:right="0" w:firstLine="0"/>
        <w:jc w:val="left"/>
        <w:rPr>
          <w:sz w:val="16"/>
        </w:rPr>
      </w:pPr>
      <w:r>
        <w:rPr>
          <w:sz w:val="16"/>
        </w:rPr>
        <w:t>INT5 not issued</w:t>
      </w:r>
    </w:p>
    <w:p>
      <w:pPr>
        <w:spacing w:line="182" w:lineRule="exact" w:before="0"/>
        <w:ind w:left="1286" w:right="0" w:firstLine="0"/>
        <w:jc w:val="left"/>
        <w:rPr>
          <w:sz w:val="16"/>
        </w:rPr>
      </w:pPr>
      <w:r>
        <w:rPr/>
        <w:pict>
          <v:group style="position:absolute;margin-left:163.607407pt;margin-top:-8.512446pt;width:63.1pt;height:31.45pt;mso-position-horizontal-relative:page;mso-position-vertical-relative:paragraph;z-index:-38764032" coordorigin="3272,-170" coordsize="1262,629">
            <v:line style="position:absolute" from="3538,100" to="4534,100" stroked="true" strokeweight=".239097pt" strokecolor="#000000">
              <v:stroke dashstyle="solid"/>
            </v:line>
            <v:shape style="position:absolute;left:3454;top:44;width:111;height:110" type="#_x0000_t75" stroked="false">
              <v:imagedata r:id="rId146" o:title=""/>
            </v:shape>
            <v:shape style="position:absolute;left:3272;top:-171;width:363;height:629" type="#_x0000_t75" stroked="false">
              <v:imagedata r:id="rId147" o:title=""/>
            </v:shape>
            <w10:wrap type="none"/>
          </v:group>
        </w:pict>
      </w:r>
      <w:r>
        <w:rPr>
          <w:sz w:val="16"/>
        </w:rPr>
        <w:t>CNT Cycles (0 shown)</w:t>
      </w:r>
    </w:p>
    <w:p>
      <w:pPr>
        <w:pStyle w:val="BodyText"/>
        <w:spacing w:before="10"/>
        <w:rPr>
          <w:sz w:val="19"/>
        </w:rPr>
      </w:pPr>
      <w:r>
        <w:rPr/>
        <w:br w:type="column"/>
      </w:r>
      <w:r>
        <w:rPr>
          <w:sz w:val="19"/>
        </w:rPr>
      </w:r>
    </w:p>
    <w:p>
      <w:pPr>
        <w:spacing w:before="0"/>
        <w:ind w:left="56" w:right="0" w:firstLine="0"/>
        <w:jc w:val="center"/>
        <w:rPr>
          <w:sz w:val="16"/>
        </w:rPr>
      </w:pPr>
      <w:r>
        <w:rPr>
          <w:sz w:val="16"/>
        </w:rPr>
        <w:t>EECTRL Byte Written</w:t>
      </w:r>
    </w:p>
    <w:p>
      <w:pPr>
        <w:pStyle w:val="BodyText"/>
        <w:spacing w:before="2"/>
        <w:rPr>
          <w:sz w:val="15"/>
        </w:rPr>
      </w:pPr>
    </w:p>
    <w:p>
      <w:pPr>
        <w:spacing w:before="0"/>
        <w:ind w:left="46" w:right="0" w:firstLine="0"/>
        <w:jc w:val="center"/>
        <w:rPr>
          <w:b/>
          <w:sz w:val="16"/>
        </w:rPr>
      </w:pPr>
      <w:r>
        <w:rPr>
          <w:b/>
          <w:sz w:val="16"/>
        </w:rPr>
        <w:t>Write -- HiZ</w:t>
      </w:r>
    </w:p>
    <w:p>
      <w:pPr>
        <w:pStyle w:val="BodyText"/>
        <w:rPr>
          <w:b/>
          <w:sz w:val="18"/>
        </w:rPr>
      </w:pPr>
      <w:r>
        <w:rPr/>
        <w:br w:type="column"/>
      </w:r>
      <w:r>
        <w:rPr>
          <w:b/>
          <w:sz w:val="18"/>
        </w:rPr>
      </w:r>
    </w:p>
    <w:p>
      <w:pPr>
        <w:spacing w:line="182" w:lineRule="exact" w:before="110"/>
        <w:ind w:left="365" w:right="0" w:firstLine="0"/>
        <w:jc w:val="left"/>
        <w:rPr>
          <w:sz w:val="16"/>
        </w:rPr>
      </w:pPr>
      <w:r>
        <w:rPr>
          <w:sz w:val="16"/>
        </w:rPr>
        <w:t>INT5 not issued</w:t>
      </w:r>
    </w:p>
    <w:p>
      <w:pPr>
        <w:spacing w:line="182" w:lineRule="exact" w:before="0"/>
        <w:ind w:left="1288" w:right="0" w:firstLine="0"/>
        <w:jc w:val="left"/>
        <w:rPr>
          <w:sz w:val="16"/>
        </w:rPr>
      </w:pPr>
      <w:r>
        <w:rPr/>
        <w:pict>
          <v:group style="position:absolute;margin-left:392.984619pt;margin-top:-8.512416pt;width:63.1pt;height:31.45pt;mso-position-horizontal-relative:page;mso-position-vertical-relative:paragraph;z-index:-38763008" coordorigin="7860,-170" coordsize="1262,629">
            <v:line style="position:absolute" from="8126,100" to="9121,100" stroked="true" strokeweight=".239097pt" strokecolor="#000000">
              <v:stroke dashstyle="solid"/>
            </v:line>
            <v:shape style="position:absolute;left:8041;top:44;width:111;height:110" type="#_x0000_t75" stroked="false">
              <v:imagedata r:id="rId148" o:title=""/>
            </v:shape>
            <v:shape style="position:absolute;left:7859;top:-171;width:363;height:629" type="#_x0000_t75" stroked="false">
              <v:imagedata r:id="rId149" o:title=""/>
            </v:shape>
            <w10:wrap type="none"/>
          </v:group>
        </w:pict>
      </w:r>
      <w:r>
        <w:rPr>
          <w:sz w:val="16"/>
        </w:rPr>
        <w:t>CNT Cycles (0 shown)</w:t>
      </w:r>
    </w:p>
    <w:p>
      <w:pPr>
        <w:spacing w:after="0" w:line="182" w:lineRule="exact"/>
        <w:jc w:val="left"/>
        <w:rPr>
          <w:sz w:val="16"/>
        </w:rPr>
        <w:sectPr>
          <w:type w:val="continuous"/>
          <w:pgSz w:w="12240" w:h="15840"/>
          <w:pgMar w:top="940" w:bottom="280" w:left="1200" w:right="1060"/>
          <w:cols w:num="4" w:equalWidth="0">
            <w:col w:w="2053" w:space="40"/>
            <w:col w:w="2888" w:space="39"/>
            <w:col w:w="1618" w:space="40"/>
            <w:col w:w="3302"/>
          </w:cols>
        </w:sectPr>
      </w:pPr>
    </w:p>
    <w:p>
      <w:pPr>
        <w:tabs>
          <w:tab w:pos="4772" w:val="left" w:leader="none"/>
          <w:tab w:pos="5105" w:val="left" w:leader="none"/>
          <w:tab w:pos="9359" w:val="left" w:leader="none"/>
        </w:tabs>
        <w:spacing w:before="84"/>
        <w:ind w:left="518" w:right="0" w:firstLine="0"/>
        <w:jc w:val="left"/>
        <w:rPr>
          <w:rFonts w:ascii="Times New Roman"/>
          <w:sz w:val="16"/>
        </w:rPr>
      </w:pPr>
      <w:r>
        <w:rPr/>
        <w:pict>
          <v:group style="position:absolute;margin-left:136.749054pt;margin-top:22.465103pt;width:161.9pt;height:9.7pt;mso-position-horizontal-relative:page;mso-position-vertical-relative:paragraph;z-index:-38763520" coordorigin="2735,449" coordsize="3238,194">
            <v:shape style="position:absolute;left:3545;top:449;width:2427;height:194" coordorigin="3546,449" coordsize="2427,194" path="m5972,629l3546,629,3546,643,5972,643,5972,629xm5972,449l3546,449,3546,464,5972,464,5972,449xe" filled="true" fillcolor="#000000" stroked="false">
              <v:path arrowok="t"/>
              <v:fill type="solid"/>
            </v:shape>
            <v:shape style="position:absolute;left:3447;top:454;width:106;height:185" type="#_x0000_t75" stroked="false">
              <v:imagedata r:id="rId145" o:title=""/>
            </v:shape>
            <v:line style="position:absolute" from="3454,456" to="2735,456" stroked="true" strokeweight=".71729pt" strokecolor="#000000">
              <v:stroke dashstyle="solid"/>
            </v:line>
            <w10:wrap type="none"/>
          </v:group>
        </w:pict>
      </w:r>
      <w:r>
        <w:rPr>
          <w:sz w:val="16"/>
        </w:rPr>
        <w:t>SCLK</w:t>
      </w:r>
      <w:r>
        <w:rPr>
          <w:spacing w:val="-1"/>
          <w:sz w:val="16"/>
        </w:rPr>
        <w:t> </w:t>
      </w:r>
      <w:r>
        <w:rPr>
          <w:sz w:val="16"/>
        </w:rPr>
        <w:t>(output)</w:t>
      </w:r>
      <w:r>
        <w:rPr>
          <w:sz w:val="16"/>
          <w:u w:val="single"/>
        </w:rPr>
        <w:t> </w:t>
        <w:tab/>
      </w:r>
      <w:r>
        <w:rPr>
          <w:sz w:val="16"/>
        </w:rPr>
        <w:tab/>
        <w:t>SCLK</w:t>
      </w:r>
      <w:r>
        <w:rPr>
          <w:spacing w:val="-4"/>
          <w:sz w:val="16"/>
        </w:rPr>
        <w:t> </w:t>
      </w:r>
      <w:r>
        <w:rPr>
          <w:sz w:val="16"/>
        </w:rPr>
        <w:t>(output)</w:t>
      </w:r>
      <w:r>
        <w:rPr>
          <w:rFonts w:ascii="Times New Roman"/>
          <w:sz w:val="16"/>
          <w:u w:val="single"/>
        </w:rPr>
        <w:t> </w:t>
        <w:tab/>
      </w:r>
    </w:p>
    <w:p>
      <w:pPr>
        <w:pStyle w:val="BodyText"/>
        <w:spacing w:before="3"/>
        <w:rPr>
          <w:rFonts w:ascii="Times New Roman"/>
          <w:sz w:val="12"/>
        </w:rPr>
      </w:pPr>
      <w:r>
        <w:rPr/>
        <w:pict>
          <v:group style="position:absolute;margin-left:366.125702pt;margin-top:9.077183pt;width:156.25pt;height:.75pt;mso-position-horizontal-relative:page;mso-position-vertical-relative:paragraph;z-index:-15651840;mso-wrap-distance-left:0;mso-wrap-distance-right:0" coordorigin="7323,182" coordsize="3125,15">
            <v:rect style="position:absolute;left:7322;top:181;width:720;height:15" filled="true" fillcolor="#000000" stroked="false">
              <v:fill type="solid"/>
            </v:rect>
            <v:line style="position:absolute" from="8088,189" to="10447,189" stroked="true" strokeweight=".71729pt" strokecolor="#000000">
              <v:stroke dashstyle="shortdash"/>
            </v:line>
            <w10:wrap type="topAndBottom"/>
          </v:group>
        </w:pict>
      </w:r>
      <w:r>
        <w:rPr/>
        <w:pict>
          <v:shape style="position:absolute;margin-left:525.958618pt;margin-top:9.435615pt;width:2.050pt;height:.1pt;mso-position-horizontal-relative:page;mso-position-vertical-relative:paragraph;z-index:-15651328;mso-wrap-distance-left:0;mso-wrap-distance-right:0" coordorigin="10519,189" coordsize="41,0" path="m10519,189l10560,189e" filled="false" stroked="true" strokeweight=".71729pt" strokecolor="#000000">
            <v:path arrowok="t"/>
            <v:stroke dashstyle="solid"/>
            <w10:wrap type="topAndBottom"/>
          </v:shape>
        </w:pict>
      </w:r>
    </w:p>
    <w:p>
      <w:pPr>
        <w:tabs>
          <w:tab w:pos="2254" w:val="left" w:leader="none"/>
          <w:tab w:pos="4987" w:val="left" w:leader="none"/>
        </w:tabs>
        <w:spacing w:before="0"/>
        <w:ind w:left="400" w:right="0" w:firstLine="0"/>
        <w:jc w:val="left"/>
        <w:rPr>
          <w:sz w:val="16"/>
        </w:rPr>
      </w:pPr>
      <w:r>
        <w:rPr>
          <w:sz w:val="16"/>
        </w:rPr>
        <w:t>SDATA</w:t>
      </w:r>
      <w:r>
        <w:rPr>
          <w:spacing w:val="-1"/>
          <w:sz w:val="16"/>
        </w:rPr>
        <w:t> </w:t>
      </w:r>
      <w:r>
        <w:rPr>
          <w:sz w:val="16"/>
        </w:rPr>
        <w:t>(output)</w:t>
      </w:r>
      <w:r>
        <w:rPr>
          <w:sz w:val="16"/>
          <w:u w:val="single"/>
        </w:rPr>
        <w:t> </w:t>
        <w:tab/>
      </w:r>
      <w:r>
        <w:rPr>
          <w:position w:val="1"/>
          <w:sz w:val="12"/>
        </w:rPr>
        <w:t>D7</w:t>
        <w:tab/>
      </w:r>
      <w:r>
        <w:rPr>
          <w:sz w:val="16"/>
        </w:rPr>
        <w:t>SDATA</w:t>
      </w:r>
      <w:r>
        <w:rPr>
          <w:spacing w:val="1"/>
          <w:sz w:val="16"/>
        </w:rPr>
        <w:t> </w:t>
      </w:r>
      <w:r>
        <w:rPr>
          <w:sz w:val="16"/>
        </w:rPr>
        <w:t>(output)</w:t>
      </w:r>
    </w:p>
    <w:p>
      <w:pPr>
        <w:pStyle w:val="BodyText"/>
        <w:spacing w:line="20" w:lineRule="exact"/>
        <w:ind w:left="6122"/>
        <w:rPr>
          <w:sz w:val="2"/>
        </w:rPr>
      </w:pPr>
      <w:r>
        <w:rPr>
          <w:sz w:val="2"/>
        </w:rPr>
        <w:pict>
          <v:group style="width:44.05pt;height:.75pt;mso-position-horizontal-relative:char;mso-position-vertical-relative:line" coordorigin="0,0" coordsize="881,15">
            <v:rect style="position:absolute;left:0;top:0;width:722;height:15" filled="true" fillcolor="#000000" stroked="false">
              <v:fill type="solid"/>
            </v:rect>
            <v:line style="position:absolute" from="765,7" to="880,7" stroked="true" strokeweight=".71729pt" strokecolor="#000000">
              <v:stroke dashstyle="solid"/>
            </v:line>
          </v:group>
        </w:pict>
      </w:r>
      <w:r>
        <w:rPr>
          <w:sz w:val="2"/>
        </w:rPr>
      </w:r>
      <w:r>
        <w:rPr>
          <w:rFonts w:ascii="Times New Roman"/>
          <w:spacing w:val="35"/>
          <w:sz w:val="2"/>
        </w:rPr>
        <w:t> </w:t>
      </w:r>
      <w:r>
        <w:rPr>
          <w:spacing w:val="35"/>
          <w:sz w:val="2"/>
        </w:rPr>
        <w:pict>
          <v:group style="width:5.8pt;height:.75pt;mso-position-horizontal-relative:char;mso-position-vertical-relative:line" coordorigin="0,0" coordsize="116,15">
            <v:line style="position:absolute" from="0,7" to="115,7" stroked="true" strokeweight=".71729pt" strokecolor="#000000">
              <v:stroke dashstyle="solid"/>
            </v:line>
          </v:group>
        </w:pict>
      </w:r>
      <w:r>
        <w:rPr>
          <w:spacing w:val="35"/>
          <w:sz w:val="2"/>
        </w:rPr>
      </w:r>
      <w:r>
        <w:rPr>
          <w:rFonts w:ascii="Times New Roman"/>
          <w:spacing w:val="43"/>
          <w:sz w:val="2"/>
        </w:rPr>
        <w:t> </w:t>
      </w:r>
      <w:r>
        <w:rPr>
          <w:spacing w:val="43"/>
          <w:sz w:val="2"/>
        </w:rPr>
        <w:pict>
          <v:group style="width:5.8pt;height:.75pt;mso-position-horizontal-relative:char;mso-position-vertical-relative:line" coordorigin="0,0" coordsize="116,15">
            <v:line style="position:absolute" from="0,7" to="115,7" stroked="true" strokeweight=".71729pt" strokecolor="#000000">
              <v:stroke dashstyle="solid"/>
            </v:line>
          </v:group>
        </w:pict>
      </w:r>
      <w:r>
        <w:rPr>
          <w:spacing w:val="43"/>
          <w:sz w:val="2"/>
        </w:rPr>
      </w:r>
      <w:r>
        <w:rPr>
          <w:rFonts w:ascii="Times New Roman"/>
          <w:spacing w:val="43"/>
          <w:sz w:val="2"/>
        </w:rPr>
        <w:t> </w:t>
      </w:r>
      <w:r>
        <w:rPr>
          <w:spacing w:val="43"/>
          <w:sz w:val="2"/>
        </w:rPr>
        <w:pict>
          <v:group style="width:5.8pt;height:.75pt;mso-position-horizontal-relative:char;mso-position-vertical-relative:line" coordorigin="0,0" coordsize="116,15">
            <v:line style="position:absolute" from="0,7" to="115,7" stroked="true" strokeweight=".71729pt" strokecolor="#000000">
              <v:stroke dashstyle="solid"/>
            </v:line>
          </v:group>
        </w:pict>
      </w:r>
      <w:r>
        <w:rPr>
          <w:spacing w:val="43"/>
          <w:sz w:val="2"/>
        </w:rPr>
      </w:r>
      <w:r>
        <w:rPr>
          <w:rFonts w:ascii="Times New Roman"/>
          <w:spacing w:val="43"/>
          <w:sz w:val="2"/>
        </w:rPr>
        <w:t> </w:t>
      </w:r>
      <w:r>
        <w:rPr>
          <w:spacing w:val="43"/>
          <w:sz w:val="2"/>
        </w:rPr>
        <w:pict>
          <v:group style="width:5.8pt;height:.75pt;mso-position-horizontal-relative:char;mso-position-vertical-relative:line" coordorigin="0,0" coordsize="116,15">
            <v:line style="position:absolute" from="0,7" to="115,7" stroked="true" strokeweight=".71729pt" strokecolor="#000000">
              <v:stroke dashstyle="solid"/>
            </v:line>
          </v:group>
        </w:pict>
      </w:r>
      <w:r>
        <w:rPr>
          <w:spacing w:val="43"/>
          <w:sz w:val="2"/>
        </w:rPr>
      </w:r>
      <w:r>
        <w:rPr>
          <w:rFonts w:ascii="Times New Roman"/>
          <w:spacing w:val="43"/>
          <w:sz w:val="2"/>
        </w:rPr>
        <w:t> </w:t>
      </w:r>
      <w:r>
        <w:rPr>
          <w:spacing w:val="43"/>
          <w:sz w:val="2"/>
        </w:rPr>
        <w:pict>
          <v:group style="width:5.8pt;height:.75pt;mso-position-horizontal-relative:char;mso-position-vertical-relative:line" coordorigin="0,0" coordsize="116,15">
            <v:line style="position:absolute" from="0,7" to="115,7" stroked="true" strokeweight=".71729pt" strokecolor="#000000">
              <v:stroke dashstyle="solid"/>
            </v:line>
          </v:group>
        </w:pict>
      </w:r>
      <w:r>
        <w:rPr>
          <w:spacing w:val="43"/>
          <w:sz w:val="2"/>
        </w:rPr>
      </w:r>
      <w:r>
        <w:rPr>
          <w:rFonts w:ascii="Times New Roman"/>
          <w:spacing w:val="43"/>
          <w:sz w:val="2"/>
        </w:rPr>
        <w:t> </w:t>
      </w:r>
      <w:r>
        <w:rPr>
          <w:spacing w:val="43"/>
          <w:sz w:val="2"/>
        </w:rPr>
        <w:pict>
          <v:group style="width:5.8pt;height:.75pt;mso-position-horizontal-relative:char;mso-position-vertical-relative:line" coordorigin="0,0" coordsize="116,15">
            <v:line style="position:absolute" from="0,7" to="115,7" stroked="true" strokeweight=".71729pt" strokecolor="#000000">
              <v:stroke dashstyle="solid"/>
            </v:line>
          </v:group>
        </w:pict>
      </w:r>
      <w:r>
        <w:rPr>
          <w:spacing w:val="43"/>
          <w:sz w:val="2"/>
        </w:rPr>
      </w:r>
      <w:r>
        <w:rPr>
          <w:rFonts w:ascii="Times New Roman"/>
          <w:spacing w:val="43"/>
          <w:sz w:val="2"/>
        </w:rPr>
        <w:t> </w:t>
      </w:r>
      <w:r>
        <w:rPr>
          <w:spacing w:val="43"/>
          <w:sz w:val="2"/>
        </w:rPr>
        <w:pict>
          <v:group style="width:5.8pt;height:.75pt;mso-position-horizontal-relative:char;mso-position-vertical-relative:line" coordorigin="0,0" coordsize="116,15">
            <v:line style="position:absolute" from="0,7" to="115,7" stroked="true" strokeweight=".71729pt" strokecolor="#000000">
              <v:stroke dashstyle="solid"/>
            </v:line>
          </v:group>
        </w:pict>
      </w:r>
      <w:r>
        <w:rPr>
          <w:spacing w:val="43"/>
          <w:sz w:val="2"/>
        </w:rPr>
      </w:r>
      <w:r>
        <w:rPr>
          <w:rFonts w:ascii="Times New Roman"/>
          <w:spacing w:val="43"/>
          <w:sz w:val="2"/>
        </w:rPr>
        <w:t> </w:t>
      </w:r>
      <w:r>
        <w:rPr>
          <w:spacing w:val="43"/>
          <w:sz w:val="2"/>
        </w:rPr>
        <w:pict>
          <v:group style="width:5.8pt;height:.75pt;mso-position-horizontal-relative:char;mso-position-vertical-relative:line" coordorigin="0,0" coordsize="116,15">
            <v:line style="position:absolute" from="0,7" to="115,7" stroked="true" strokeweight=".71729pt" strokecolor="#000000">
              <v:stroke dashstyle="solid"/>
            </v:line>
          </v:group>
        </w:pict>
      </w:r>
      <w:r>
        <w:rPr>
          <w:spacing w:val="43"/>
          <w:sz w:val="2"/>
        </w:rPr>
      </w:r>
      <w:r>
        <w:rPr>
          <w:rFonts w:ascii="Times New Roman"/>
          <w:spacing w:val="43"/>
          <w:sz w:val="2"/>
        </w:rPr>
        <w:t> </w:t>
      </w:r>
      <w:r>
        <w:rPr>
          <w:spacing w:val="43"/>
          <w:sz w:val="2"/>
        </w:rPr>
        <w:pict>
          <v:group style="width:5.8pt;height:.75pt;mso-position-horizontal-relative:char;mso-position-vertical-relative:line" coordorigin="0,0" coordsize="116,15">
            <v:line style="position:absolute" from="0,7" to="115,7" stroked="true" strokeweight=".71729pt" strokecolor="#000000">
              <v:stroke dashstyle="solid"/>
            </v:line>
          </v:group>
        </w:pict>
      </w:r>
      <w:r>
        <w:rPr>
          <w:spacing w:val="43"/>
          <w:sz w:val="2"/>
        </w:rPr>
      </w:r>
      <w:r>
        <w:rPr>
          <w:rFonts w:ascii="Times New Roman"/>
          <w:spacing w:val="43"/>
          <w:sz w:val="2"/>
        </w:rPr>
        <w:t> </w:t>
      </w:r>
      <w:r>
        <w:rPr>
          <w:spacing w:val="43"/>
          <w:sz w:val="2"/>
        </w:rPr>
        <w:pict>
          <v:group style="width:5.8pt;height:.75pt;mso-position-horizontal-relative:char;mso-position-vertical-relative:line" coordorigin="0,0" coordsize="116,15">
            <v:line style="position:absolute" from="0,7" to="115,7" stroked="true" strokeweight=".71729pt" strokecolor="#000000">
              <v:stroke dashstyle="solid"/>
            </v:line>
          </v:group>
        </w:pict>
      </w:r>
      <w:r>
        <w:rPr>
          <w:spacing w:val="43"/>
          <w:sz w:val="2"/>
        </w:rPr>
      </w:r>
      <w:r>
        <w:rPr>
          <w:rFonts w:ascii="Times New Roman"/>
          <w:spacing w:val="43"/>
          <w:sz w:val="2"/>
        </w:rPr>
        <w:t> </w:t>
      </w:r>
      <w:r>
        <w:rPr>
          <w:spacing w:val="43"/>
          <w:sz w:val="2"/>
        </w:rPr>
        <w:pict>
          <v:group style="width:5.8pt;height:.75pt;mso-position-horizontal-relative:char;mso-position-vertical-relative:line" coordorigin="0,0" coordsize="116,15">
            <v:line style="position:absolute" from="0,7" to="115,7" stroked="true" strokeweight=".71729pt" strokecolor="#000000">
              <v:stroke dashstyle="solid"/>
            </v:line>
          </v:group>
        </w:pict>
      </w:r>
      <w:r>
        <w:rPr>
          <w:spacing w:val="43"/>
          <w:sz w:val="2"/>
        </w:rPr>
      </w:r>
      <w:r>
        <w:rPr>
          <w:rFonts w:ascii="Times New Roman"/>
          <w:spacing w:val="43"/>
          <w:sz w:val="2"/>
        </w:rPr>
        <w:t> </w:t>
      </w:r>
      <w:r>
        <w:rPr>
          <w:spacing w:val="43"/>
          <w:sz w:val="2"/>
        </w:rPr>
        <w:pict>
          <v:group style="width:5.8pt;height:.75pt;mso-position-horizontal-relative:char;mso-position-vertical-relative:line" coordorigin="0,0" coordsize="116,15">
            <v:line style="position:absolute" from="0,7" to="115,7" stroked="true" strokeweight=".71729pt" strokecolor="#000000">
              <v:stroke dashstyle="solid"/>
            </v:line>
          </v:group>
        </w:pict>
      </w:r>
      <w:r>
        <w:rPr>
          <w:spacing w:val="43"/>
          <w:sz w:val="2"/>
        </w:rPr>
      </w:r>
      <w:r>
        <w:rPr>
          <w:rFonts w:ascii="Times New Roman"/>
          <w:spacing w:val="43"/>
          <w:sz w:val="2"/>
        </w:rPr>
        <w:t> </w:t>
      </w:r>
      <w:r>
        <w:rPr>
          <w:spacing w:val="43"/>
          <w:sz w:val="2"/>
        </w:rPr>
        <w:pict>
          <v:group style="width:2.050pt;height:.75pt;mso-position-horizontal-relative:char;mso-position-vertical-relative:line" coordorigin="0,0" coordsize="41,15">
            <v:line style="position:absolute" from="0,7" to="41,7" stroked="true" strokeweight=".71729pt" strokecolor="#000000">
              <v:stroke dashstyle="solid"/>
            </v:line>
          </v:group>
        </w:pict>
      </w:r>
      <w:r>
        <w:rPr>
          <w:spacing w:val="43"/>
          <w:sz w:val="2"/>
        </w:rPr>
      </w:r>
    </w:p>
    <w:p>
      <w:pPr>
        <w:spacing w:after="0" w:line="20" w:lineRule="exact"/>
        <w:rPr>
          <w:sz w:val="2"/>
        </w:rPr>
        <w:sectPr>
          <w:type w:val="continuous"/>
          <w:pgSz w:w="12240" w:h="15840"/>
          <w:pgMar w:top="940" w:bottom="280" w:left="1200" w:right="1060"/>
        </w:sectPr>
      </w:pPr>
    </w:p>
    <w:p>
      <w:pPr>
        <w:spacing w:before="156"/>
        <w:ind w:left="362" w:right="0" w:firstLine="0"/>
        <w:jc w:val="left"/>
        <w:rPr>
          <w:sz w:val="16"/>
        </w:rPr>
      </w:pPr>
      <w:r>
        <w:rPr/>
        <w:pict>
          <v:group style="position:absolute;margin-left:136.748947pt;margin-top:8.011327pt;width:161.9pt;height:9.7pt;mso-position-horizontal-relative:page;mso-position-vertical-relative:paragraph;z-index:15819264" coordorigin="2735,160" coordsize="3238,194">
            <v:shape style="position:absolute;left:2734;top:160;width:3238;height:194" coordorigin="2735,160" coordsize="3238,194" path="m5972,340l3550,340,3462,165,3454,167,3454,160,2735,160,2735,175,3450,175,3533,340,3454,340,2735,340,2735,354,3454,354,5972,354,5972,340xe" filled="true" fillcolor="#000000" stroked="false">
              <v:path arrowok="t"/>
              <v:fill type="solid"/>
            </v:shape>
            <v:shape style="position:absolute;left:2734;top:160;width:3238;height:194" type="#_x0000_t202" filled="false" stroked="false">
              <v:textbox inset="0,0,0,0">
                <w:txbxContent>
                  <w:p>
                    <w:pPr>
                      <w:spacing w:before="21"/>
                      <w:ind w:left="1485" w:right="1422" w:firstLine="0"/>
                      <w:jc w:val="center"/>
                      <w:rPr>
                        <w:sz w:val="12"/>
                      </w:rPr>
                    </w:pPr>
                    <w:r>
                      <w:rPr>
                        <w:sz w:val="12"/>
                      </w:rPr>
                      <w:t>(LoZ)</w:t>
                    </w:r>
                  </w:p>
                </w:txbxContent>
              </v:textbox>
              <w10:wrap type="none"/>
            </v:shape>
            <w10:wrap type="none"/>
          </v:group>
        </w:pict>
      </w:r>
      <w:r>
        <w:rPr>
          <w:sz w:val="16"/>
        </w:rPr>
        <w:t>SDATA output Z</w:t>
      </w:r>
    </w:p>
    <w:p>
      <w:pPr>
        <w:pStyle w:val="BodyText"/>
        <w:spacing w:before="2"/>
        <w:rPr>
          <w:sz w:val="15"/>
        </w:rPr>
      </w:pPr>
    </w:p>
    <w:p>
      <w:pPr>
        <w:tabs>
          <w:tab w:pos="4772" w:val="left" w:leader="none"/>
        </w:tabs>
        <w:spacing w:before="0"/>
        <w:ind w:left="832" w:right="0" w:firstLine="0"/>
        <w:jc w:val="left"/>
        <w:rPr>
          <w:rFonts w:ascii="Times New Roman"/>
          <w:sz w:val="16"/>
        </w:rPr>
      </w:pPr>
      <w:r>
        <w:rPr>
          <w:rFonts w:ascii="Times New Roman"/>
          <w:i/>
          <w:sz w:val="16"/>
        </w:rPr>
        <w:t>BUSY</w:t>
      </w:r>
      <w:r>
        <w:rPr>
          <w:rFonts w:ascii="Times New Roman"/>
          <w:i/>
          <w:spacing w:val="1"/>
          <w:sz w:val="16"/>
        </w:rPr>
        <w:t> </w:t>
      </w:r>
      <w:r>
        <w:rPr>
          <w:sz w:val="16"/>
        </w:rPr>
        <w:t>(bit)</w:t>
      </w:r>
      <w:r>
        <w:rPr>
          <w:rFonts w:ascii="Times New Roman"/>
          <w:sz w:val="16"/>
          <w:u w:val="single"/>
        </w:rPr>
        <w:t> </w:t>
        <w:tab/>
      </w:r>
    </w:p>
    <w:p>
      <w:pPr>
        <w:spacing w:before="156"/>
        <w:ind w:left="137" w:right="0" w:firstLine="0"/>
        <w:jc w:val="left"/>
        <w:rPr>
          <w:sz w:val="16"/>
        </w:rPr>
      </w:pPr>
      <w:r>
        <w:rPr/>
        <w:br w:type="column"/>
      </w:r>
      <w:r>
        <w:rPr>
          <w:sz w:val="16"/>
        </w:rPr>
        <w:t>SDATA output Z</w:t>
      </w:r>
    </w:p>
    <w:p>
      <w:pPr>
        <w:pStyle w:val="BodyText"/>
        <w:spacing w:before="1"/>
        <w:rPr>
          <w:sz w:val="15"/>
        </w:rPr>
      </w:pPr>
    </w:p>
    <w:p>
      <w:pPr>
        <w:tabs>
          <w:tab w:pos="4547" w:val="left" w:leader="none"/>
        </w:tabs>
        <w:spacing w:before="1"/>
        <w:ind w:left="607" w:right="0" w:firstLine="0"/>
        <w:jc w:val="left"/>
        <w:rPr>
          <w:rFonts w:ascii="Times New Roman"/>
          <w:sz w:val="16"/>
        </w:rPr>
      </w:pPr>
      <w:r>
        <w:rPr/>
        <w:pict>
          <v:group style="position:absolute;margin-left:366.125946pt;margin-top:-17.6567pt;width:161.9pt;height:9.7pt;mso-position-horizontal-relative:page;mso-position-vertical-relative:paragraph;z-index:15818752" coordorigin="7323,-353" coordsize="3238,194">
            <v:shape style="position:absolute;left:7322;top:-354;width:3238;height:194" coordorigin="7323,-353" coordsize="3238,194" path="m10560,-353l8042,-353,7323,-353,7323,-339,8042,-339,8119,-339,8037,-174,7323,-174,7323,-159,8042,-159,8042,-167,8049,-164,8135,-339,10560,-339,10560,-353xe" filled="true" fillcolor="#000000" stroked="false">
              <v:path arrowok="t"/>
              <v:fill type="solid"/>
            </v:shape>
            <v:shape style="position:absolute;left:7322;top:-354;width:3238;height:194" type="#_x0000_t202" filled="false" stroked="false">
              <v:textbox inset="0,0,0,0">
                <w:txbxContent>
                  <w:p>
                    <w:pPr>
                      <w:spacing w:before="21"/>
                      <w:ind w:left="1487" w:right="1400" w:firstLine="0"/>
                      <w:jc w:val="center"/>
                      <w:rPr>
                        <w:sz w:val="12"/>
                      </w:rPr>
                    </w:pPr>
                    <w:r>
                      <w:rPr>
                        <w:sz w:val="12"/>
                      </w:rPr>
                      <w:t>(HiZ)</w:t>
                    </w:r>
                  </w:p>
                </w:txbxContent>
              </v:textbox>
              <w10:wrap type="none"/>
            </v:shape>
            <w10:wrap type="none"/>
          </v:group>
        </w:pict>
      </w:r>
      <w:r>
        <w:rPr>
          <w:rFonts w:ascii="Times New Roman"/>
          <w:i/>
          <w:sz w:val="16"/>
        </w:rPr>
        <w:t>BUSY</w:t>
      </w:r>
      <w:r>
        <w:rPr>
          <w:rFonts w:ascii="Times New Roman"/>
          <w:i/>
          <w:spacing w:val="1"/>
          <w:sz w:val="16"/>
        </w:rPr>
        <w:t> </w:t>
      </w:r>
      <w:r>
        <w:rPr>
          <w:sz w:val="16"/>
        </w:rPr>
        <w:t>(bit)</w:t>
      </w:r>
      <w:r>
        <w:rPr>
          <w:rFonts w:ascii="Times New Roman"/>
          <w:sz w:val="16"/>
          <w:u w:val="single"/>
        </w:rPr>
        <w:t> </w:t>
        <w:tab/>
      </w:r>
    </w:p>
    <w:p>
      <w:pPr>
        <w:spacing w:after="0"/>
        <w:jc w:val="left"/>
        <w:rPr>
          <w:rFonts w:ascii="Times New Roman"/>
          <w:sz w:val="16"/>
        </w:rPr>
        <w:sectPr>
          <w:type w:val="continuous"/>
          <w:pgSz w:w="12240" w:h="15840"/>
          <w:pgMar w:top="940" w:bottom="280" w:left="1200" w:right="1060"/>
          <w:cols w:num="2" w:equalWidth="0">
            <w:col w:w="4773" w:space="40"/>
            <w:col w:w="5167"/>
          </w:cols>
        </w:sectPr>
      </w:pPr>
    </w:p>
    <w:p>
      <w:pPr>
        <w:spacing w:before="165"/>
        <w:ind w:left="65" w:right="204" w:firstLine="0"/>
        <w:jc w:val="center"/>
        <w:rPr>
          <w:b/>
          <w:sz w:val="20"/>
        </w:rPr>
      </w:pPr>
      <w:bookmarkStart w:name="_bookmark136" w:id="275"/>
      <w:bookmarkEnd w:id="275"/>
      <w:r>
        <w:rPr/>
      </w:r>
      <w:r>
        <w:rPr>
          <w:b/>
          <w:sz w:val="20"/>
        </w:rPr>
        <w:t>Figure 21: 3-Wire Interface. Write Command when CNT=0</w:t>
      </w:r>
    </w:p>
    <w:p>
      <w:pPr>
        <w:pStyle w:val="BodyText"/>
        <w:rPr>
          <w:b/>
        </w:rPr>
      </w:pPr>
    </w:p>
    <w:p>
      <w:pPr>
        <w:spacing w:after="0"/>
        <w:sectPr>
          <w:type w:val="continuous"/>
          <w:pgSz w:w="12240" w:h="15840"/>
          <w:pgMar w:top="940" w:bottom="280" w:left="1200" w:right="1060"/>
        </w:sectPr>
      </w:pPr>
    </w:p>
    <w:p>
      <w:pPr>
        <w:pStyle w:val="BodyText"/>
        <w:spacing w:before="10"/>
        <w:rPr>
          <w:b/>
          <w:sz w:val="19"/>
        </w:rPr>
      </w:pPr>
    </w:p>
    <w:p>
      <w:pPr>
        <w:spacing w:before="0"/>
        <w:ind w:left="0" w:right="0" w:firstLine="0"/>
        <w:jc w:val="right"/>
        <w:rPr>
          <w:sz w:val="16"/>
        </w:rPr>
      </w:pPr>
      <w:r>
        <w:rPr/>
        <w:pict>
          <v:group style="position:absolute;margin-left:167.302933pt;margin-top:7.986484pt;width:341.9pt;height:73.95pt;mso-position-horizontal-relative:page;mso-position-vertical-relative:paragraph;z-index:-38761472" coordorigin="3346,160" coordsize="6838,1479">
            <v:shape style="position:absolute;left:4419;top:634;width:3968;height:195" coordorigin="4419,634" coordsize="3968,195" path="m8387,634l8373,634,8028,634,8013,634,8013,649,8013,814,7668,814,7668,649,7668,634,7654,634,7309,634,7294,634,7294,649,7294,814,6949,814,6949,649,6949,634,6935,634,6590,634,6576,634,6576,649,6576,814,6231,814,6231,649,6231,634,6216,634,5871,634,5857,634,5857,649,5857,814,5512,814,5512,649,5512,634,5498,634,5153,634,5138,634,5138,649,5138,814,4793,814,4793,649,4793,634,4779,634,4434,634,4419,634,4419,649,4419,814,4419,828,4434,828,4434,814,4434,649,4779,649,4779,821,4786,821,4786,828,5138,828,5153,828,5153,814,5153,649,5498,649,5498,821,5505,821,5505,828,5857,828,5871,828,5871,814,5871,649,6216,649,6216,821,6223,821,6223,828,6576,828,6590,828,6590,814,6590,649,6935,649,6935,821,6942,821,6942,828,7294,828,7309,828,7309,814,7309,649,7654,649,7654,821,7661,821,7661,828,8013,828,8028,828,8028,814,8028,649,8373,649,8373,821,8387,821,8387,649,8387,634xe" filled="true" fillcolor="#000000" stroked="false">
              <v:path arrowok="t"/>
              <v:fill type="solid"/>
            </v:shape>
            <v:rect style="position:absolute;left:8379;top:813;width:1797;height:15" filled="true" fillcolor="#000000" stroked="false">
              <v:fill type="solid"/>
            </v:rect>
            <v:line style="position:absolute" from="9626,766" to="9621,768" stroked="true" strokeweight=".239666pt" strokecolor="#000000">
              <v:stroke dashstyle="solid"/>
            </v:line>
            <v:line style="position:absolute" from="9621,768" to="9616,773" stroked="true" strokeweight=".239634pt" strokecolor="#000000">
              <v:stroke dashstyle="solid"/>
            </v:line>
            <v:line style="position:absolute" from="9616,773" to="9611,778" stroked="true" strokeweight=".239634pt" strokecolor="#000000">
              <v:stroke dashstyle="solid"/>
            </v:line>
            <v:line style="position:absolute" from="9611,778" to="9609,785" stroked="true" strokeweight=".239592pt" strokecolor="#000000">
              <v:stroke dashstyle="solid"/>
            </v:line>
            <v:shape style="position:absolute;left:9606;top:788;width:5;height:8" coordorigin="9606,789" coordsize="5,8" path="m9606,789l9611,789m9606,796l9611,796e" filled="false" stroked="true" strokeweight=".359532pt" strokecolor="#000000">
              <v:path arrowok="t"/>
              <v:stroke dashstyle="solid"/>
            </v:shape>
            <v:line style="position:absolute" from="9609,800" to="9614,819" stroked="true" strokeweight=".239587pt" strokecolor="#000000">
              <v:stroke dashstyle="solid"/>
            </v:line>
            <v:line style="position:absolute" from="9614,819" to="9618,828" stroked="true" strokeweight=".239603pt" strokecolor="#000000">
              <v:stroke dashstyle="solid"/>
            </v:line>
            <v:line style="position:absolute" from="9618,828" to="9623,836" stroked="true" strokeweight=".239614pt" strokecolor="#000000">
              <v:stroke dashstyle="solid"/>
            </v:line>
            <v:line style="position:absolute" from="9623,836" to="9628,840" stroked="true" strokeweight=".239634pt" strokecolor="#000000">
              <v:stroke dashstyle="solid"/>
            </v:line>
            <v:line style="position:absolute" from="9628,840" to="9626,850" stroked="true" strokeweight=".239587pt" strokecolor="#000000">
              <v:stroke dashstyle="solid"/>
            </v:line>
            <v:line style="position:absolute" from="9626,850" to="9618,860" stroked="true" strokeweight=".23962pt" strokecolor="#000000">
              <v:stroke dashstyle="solid"/>
            </v:line>
            <v:line style="position:absolute" from="9618,860" to="9604,879" stroked="true" strokeweight=".23962pt" strokecolor="#000000">
              <v:stroke dashstyle="solid"/>
            </v:line>
            <v:line style="position:absolute" from="9649,766" to="9642,768" stroked="true" strokeweight=".239677pt" strokecolor="#000000">
              <v:stroke dashstyle="solid"/>
            </v:line>
            <v:line style="position:absolute" from="9642,768" to="9637,773" stroked="true" strokeweight=".239634pt" strokecolor="#000000">
              <v:stroke dashstyle="solid"/>
            </v:line>
            <v:line style="position:absolute" from="9637,773" to="9635,778" stroked="true" strokeweight=".239603pt" strokecolor="#000000">
              <v:stroke dashstyle="solid"/>
            </v:line>
            <v:line style="position:absolute" from="9635,778" to="9633,785" stroked="true" strokeweight=".239592pt" strokecolor="#000000">
              <v:stroke dashstyle="solid"/>
            </v:line>
            <v:line style="position:absolute" from="9633,785" to="9630,792" stroked="true" strokeweight=".239592pt" strokecolor="#000000">
              <v:stroke dashstyle="solid"/>
            </v:line>
            <v:line style="position:absolute" from="9628,796" to="9633,796" stroked="true" strokeweight=".359532pt" strokecolor="#000000">
              <v:stroke dashstyle="solid"/>
            </v:line>
            <v:line style="position:absolute" from="9630,800" to="9635,819" stroked="true" strokeweight=".239587pt" strokecolor="#000000">
              <v:stroke dashstyle="solid"/>
            </v:line>
            <v:line style="position:absolute" from="9635,819" to="9640,828" stroked="true" strokeweight=".239603pt" strokecolor="#000000">
              <v:stroke dashstyle="solid"/>
            </v:line>
            <v:line style="position:absolute" from="9640,828" to="9647,836" stroked="true" strokeweight=".239634pt" strokecolor="#000000">
              <v:stroke dashstyle="solid"/>
            </v:line>
            <v:line style="position:absolute" from="9647,836" to="9649,840" stroked="true" strokeweight=".239603pt" strokecolor="#000000">
              <v:stroke dashstyle="solid"/>
            </v:line>
            <v:line style="position:absolute" from="9649,840" to="9647,850" stroked="true" strokeweight=".239587pt" strokecolor="#000000">
              <v:stroke dashstyle="solid"/>
            </v:line>
            <v:line style="position:absolute" from="9647,850" to="9640,860" stroked="true" strokeweight=".23962pt" strokecolor="#000000">
              <v:stroke dashstyle="solid"/>
            </v:line>
            <v:line style="position:absolute" from="9640,860" to="9626,879" stroked="true" strokeweight=".23962pt" strokecolor="#000000">
              <v:stroke dashstyle="solid"/>
            </v:line>
            <v:line style="position:absolute" from="9959,208" to="9927,227" stroked="true" strokeweight=".239659pt" strokecolor="#000000">
              <v:stroke dashstyle="solid"/>
            </v:line>
            <v:line style="position:absolute" from="9927,227" to="9903,248" stroked="true" strokeweight=".23964pt" strokecolor="#000000">
              <v:stroke dashstyle="solid"/>
            </v:line>
            <v:line style="position:absolute" from="9903,248" to="9884,277" stroked="true" strokeweight=".239614pt" strokecolor="#000000">
              <v:stroke dashstyle="solid"/>
            </v:line>
            <v:line style="position:absolute" from="9884,277" to="9872,311" stroked="true" strokeweight=".239593pt" strokecolor="#000000">
              <v:stroke dashstyle="solid"/>
            </v:line>
            <v:line style="position:absolute" from="9872,311" to="9865,349" stroked="true" strokeweight=".239585pt" strokecolor="#000000">
              <v:stroke dashstyle="solid"/>
            </v:line>
            <v:line style="position:absolute" from="9863,347" to="9863,395" stroked="true" strokeweight=".479164pt" strokecolor="#000000">
              <v:stroke dashstyle="solid"/>
            </v:line>
            <v:line style="position:absolute" from="9860,392" to="9860,438" stroked="true" strokeweight=".239581pt" strokecolor="#000000">
              <v:stroke dashstyle="solid"/>
            </v:line>
            <v:line style="position:absolute" from="9860,438" to="9860,488" stroked="true" strokeweight=".239581pt" strokecolor="#000000">
              <v:stroke dashstyle="solid"/>
            </v:line>
            <v:line style="position:absolute" from="9860,488" to="9860,541" stroked="true" strokeweight=".239581pt" strokecolor="#000000">
              <v:stroke dashstyle="solid"/>
            </v:line>
            <v:line style="position:absolute" from="9861,538" to="9861,598" stroked="true" strokeweight=".359372pt" strokecolor="#000000">
              <v:stroke dashstyle="solid"/>
            </v:line>
            <v:shape style="position:absolute;left:9922;top:159;width:120;height:108" coordorigin="9923,160" coordsize="120,108" path="m9944,268l9947,260,9947,248,9949,241,9949,227,9947,222,9947,208,9944,200,9942,196,9939,188,9937,184,9935,177,9930,172,9927,165,9923,160,10042,193,9944,268xe" filled="true" fillcolor="#000000" stroked="false">
              <v:path arrowok="t"/>
              <v:fill type="solid"/>
            </v:shape>
            <v:shape style="position:absolute;left:8269;top:317;width:111;height:111" type="#_x0000_t75" stroked="false">
              <v:imagedata r:id="rId150" o:title=""/>
            </v:shape>
            <v:line style="position:absolute" from="8380,282" to="8380,596" stroked="true" strokeweight=".239581pt" strokecolor="#000000">
              <v:stroke dashstyle="solid"/>
            </v:line>
            <v:shape style="position:absolute;left:4060;top:998;width:104;height:185" type="#_x0000_t75" stroked="false">
              <v:imagedata r:id="rId131" o:title=""/>
            </v:shape>
            <v:rect style="position:absolute;left:3348;top:993;width:719;height:15" filled="true" fillcolor="#000000" stroked="false">
              <v:fill type="solid"/>
            </v:rect>
            <v:shape style="position:absolute;left:4778;top:998;width:104;height:185" type="#_x0000_t75" stroked="false">
              <v:imagedata r:id="rId131" o:title=""/>
            </v:shape>
            <v:shape style="position:absolute;left:4155;top:993;width:631;height:195" coordorigin="4156,994" coordsize="631,195" path="m4786,1174l4156,1174,4156,1188,4786,1188,4786,1174xm4786,994l4156,994,4156,1008,4786,1008,4786,994xe" filled="true" fillcolor="#000000" stroked="false">
              <v:path arrowok="t"/>
              <v:fill type="solid"/>
            </v:shape>
            <v:shape style="position:absolute;left:5497;top:998;width:104;height:185" type="#_x0000_t75" stroked="false">
              <v:imagedata r:id="rId131" o:title=""/>
            </v:shape>
            <v:shape style="position:absolute;left:4874;top:993;width:631;height:195" coordorigin="4875,994" coordsize="631,195" path="m5505,1174l4875,1174,4875,1188,5505,1188,5505,1174xm5505,994l4875,994,4875,1008,5505,1008,5505,994xe" filled="true" fillcolor="#000000" stroked="false">
              <v:path arrowok="t"/>
              <v:fill type="solid"/>
            </v:shape>
            <v:shape style="position:absolute;left:6216;top:998;width:104;height:185" type="#_x0000_t75" stroked="false">
              <v:imagedata r:id="rId131" o:title=""/>
            </v:shape>
            <v:shape style="position:absolute;left:5593;top:993;width:631;height:195" coordorigin="5593,994" coordsize="631,195" path="m6223,1174l5593,1174,5593,1188,6223,1188,6223,1174xm6223,994l5593,994,5593,1008,6223,1008,6223,994xe" filled="true" fillcolor="#000000" stroked="false">
              <v:path arrowok="t"/>
              <v:fill type="solid"/>
            </v:shape>
            <v:shape style="position:absolute;left:6935;top:998;width:104;height:185" type="#_x0000_t75" stroked="false">
              <v:imagedata r:id="rId132" o:title=""/>
            </v:shape>
            <v:shape style="position:absolute;left:6312;top:993;width:631;height:195" coordorigin="6312,994" coordsize="631,195" path="m6942,1174l6312,1174,6312,1188,6942,1188,6942,1174xm6942,994l6312,994,6312,1008,6942,1008,6942,994xe" filled="true" fillcolor="#000000" stroked="false">
              <v:path arrowok="t"/>
              <v:fill type="solid"/>
            </v:shape>
            <v:shape style="position:absolute;left:7653;top:998;width:104;height:185" type="#_x0000_t75" stroked="false">
              <v:imagedata r:id="rId132" o:title=""/>
            </v:shape>
            <v:shape style="position:absolute;left:7030;top:993;width:1043;height:195" coordorigin="7031,994" coordsize="1043,195" path="m7661,1174l7031,1174,7031,1188,7661,1188,7661,1174xm7661,994l7031,994,7031,1008,7661,1008,7661,994xm8073,1090l8028,999,8020,1001,8020,994,7750,994,7750,1008,8016,1008,8057,1092,8016,1174,7750,1174,7750,1188,8020,1188,8020,1181,8028,1183,8073,1094,8066,1092,8073,1090xe" filled="true" fillcolor="#000000" stroked="false">
              <v:path arrowok="t"/>
              <v:fill type="solid"/>
            </v:shape>
            <v:shape style="position:absolute;left:8065;top:1000;width:2111;height:180" coordorigin="8066,1001" coordsize="2111,180" path="m8066,1092l8109,1181,9817,1181,9906,1001,10177,1001e" filled="false" stroked="true" strokeweight=".719061pt" strokecolor="#000000">
              <v:path arrowok="t"/>
              <v:stroke dashstyle="solid"/>
            </v:shape>
            <v:line style="position:absolute" from="8873,1025" to="9211,1025" stroked="true" strokeweight=".239688pt" strokecolor="#000000">
              <v:stroke dashstyle="solid"/>
            </v:line>
            <v:line style="position:absolute" from="8605,1272" to="8104,1272" stroked="true" strokeweight=".239688pt" strokecolor="#000000">
              <v:stroke dashstyle="solid"/>
            </v:line>
            <v:shape style="position:absolute;left:8020;top:1216;width:111;height:111" type="#_x0000_t75" stroked="false">
              <v:imagedata r:id="rId151" o:title=""/>
            </v:shape>
            <v:line style="position:absolute" from="9592,1272" to="10093,1272" stroked="true" strokeweight=".239688pt" strokecolor="#000000">
              <v:stroke dashstyle="solid"/>
            </v:line>
            <v:shape style="position:absolute;left:10066;top:1216;width:111;height:111" coordorigin="10066,1217" coordsize="111,111" path="m10066,1327l10069,1320,10071,1315,10076,1301,10076,1293,10078,1289,10078,1255,10076,1248,10076,1241,10074,1236,10069,1221,10066,1217,10177,1272,10066,1327xe" filled="true" fillcolor="#000000" stroked="false">
              <v:path arrowok="t"/>
              <v:fill type="solid"/>
            </v:shape>
            <v:line style="position:absolute" from="8020,1226" to="8020,1315" stroked="true" strokeweight=".239581pt" strokecolor="#000000">
              <v:stroke dashstyle="solid"/>
            </v:line>
            <v:line style="position:absolute" from="10177,1226" to="10177,1315" stroked="true" strokeweight=".239581pt" strokecolor="#000000">
              <v:stroke dashstyle="solid"/>
            </v:line>
            <v:line style="position:absolute" from="9626,1126" to="9621,1128" stroked="true" strokeweight=".239666pt" strokecolor="#000000">
              <v:stroke dashstyle="solid"/>
            </v:line>
            <v:line style="position:absolute" from="9621,1128" to="9616,1133" stroked="true" strokeweight=".239634pt" strokecolor="#000000">
              <v:stroke dashstyle="solid"/>
            </v:line>
            <v:line style="position:absolute" from="9616,1133" to="9611,1138" stroked="true" strokeweight=".239634pt" strokecolor="#000000">
              <v:stroke dashstyle="solid"/>
            </v:line>
            <v:line style="position:absolute" from="9611,1138" to="9609,1145" stroked="true" strokeweight=".239592pt" strokecolor="#000000">
              <v:stroke dashstyle="solid"/>
            </v:line>
            <v:shape style="position:absolute;left:9606;top:1148;width:5;height:8" coordorigin="9606,1148" coordsize="5,8" path="m9606,1148l9611,1148m9606,1156l9611,1156e" filled="false" stroked="true" strokeweight=".359532pt" strokecolor="#000000">
              <v:path arrowok="t"/>
              <v:stroke dashstyle="solid"/>
            </v:shape>
            <v:line style="position:absolute" from="9609,1159" to="9614,1178" stroked="true" strokeweight=".239587pt" strokecolor="#000000">
              <v:stroke dashstyle="solid"/>
            </v:line>
            <v:line style="position:absolute" from="9614,1178" to="9618,1188" stroked="true" strokeweight=".239603pt" strokecolor="#000000">
              <v:stroke dashstyle="solid"/>
            </v:line>
            <v:line style="position:absolute" from="9618,1188" to="9623,1195" stroked="true" strokeweight=".239614pt" strokecolor="#000000">
              <v:stroke dashstyle="solid"/>
            </v:line>
            <v:line style="position:absolute" from="9623,1195" to="9628,1200" stroked="true" strokeweight=".239634pt" strokecolor="#000000">
              <v:stroke dashstyle="solid"/>
            </v:line>
            <v:line style="position:absolute" from="9628,1200" to="9626,1210" stroked="true" strokeweight=".239587pt" strokecolor="#000000">
              <v:stroke dashstyle="solid"/>
            </v:line>
            <v:line style="position:absolute" from="9625,1210" to="9618,1219" stroked="true" strokeweight=".23962pt" strokecolor="#000000">
              <v:stroke dashstyle="solid"/>
            </v:line>
            <v:line style="position:absolute" from="9618,1219" to="9604,1238" stroked="true" strokeweight=".23962pt" strokecolor="#000000">
              <v:stroke dashstyle="solid"/>
            </v:line>
            <v:line style="position:absolute" from="9649,1126" to="9642,1128" stroked="true" strokeweight=".239677pt" strokecolor="#000000">
              <v:stroke dashstyle="solid"/>
            </v:line>
            <v:line style="position:absolute" from="9642,1128" to="9637,1133" stroked="true" strokeweight=".239634pt" strokecolor="#000000">
              <v:stroke dashstyle="solid"/>
            </v:line>
            <v:line style="position:absolute" from="9637,1133" to="9635,1138" stroked="true" strokeweight=".239603pt" strokecolor="#000000">
              <v:stroke dashstyle="solid"/>
            </v:line>
            <v:line style="position:absolute" from="9635,1138" to="9633,1145" stroked="true" strokeweight=".239592pt" strokecolor="#000000">
              <v:stroke dashstyle="solid"/>
            </v:line>
            <v:line style="position:absolute" from="9633,1145" to="9630,1152" stroked="true" strokeweight=".239592pt" strokecolor="#000000">
              <v:stroke dashstyle="solid"/>
            </v:line>
            <v:line style="position:absolute" from="9628,1156" to="9633,1156" stroked="true" strokeweight=".359532pt" strokecolor="#000000">
              <v:stroke dashstyle="solid"/>
            </v:line>
            <v:line style="position:absolute" from="9630,1159" to="9635,1178" stroked="true" strokeweight=".239587pt" strokecolor="#000000">
              <v:stroke dashstyle="solid"/>
            </v:line>
            <v:line style="position:absolute" from="9635,1178" to="9640,1188" stroked="true" strokeweight=".239603pt" strokecolor="#000000">
              <v:stroke dashstyle="solid"/>
            </v:line>
            <v:line style="position:absolute" from="9640,1188" to="9647,1195" stroked="true" strokeweight=".239634pt" strokecolor="#000000">
              <v:stroke dashstyle="solid"/>
            </v:line>
            <v:line style="position:absolute" from="9647,1195" to="9649,1200" stroked="true" strokeweight=".239603pt" strokecolor="#000000">
              <v:stroke dashstyle="solid"/>
            </v:line>
            <v:line style="position:absolute" from="9649,1200" to="9647,1210" stroked="true" strokeweight=".239587pt" strokecolor="#000000">
              <v:stroke dashstyle="solid"/>
            </v:line>
            <v:line style="position:absolute" from="9647,1210" to="9640,1219" stroked="true" strokeweight=".23962pt" strokecolor="#000000">
              <v:stroke dashstyle="solid"/>
            </v:line>
            <v:line style="position:absolute" from="9640,1219" to="9625,1238" stroked="true" strokeweight=".23962pt" strokecolor="#000000">
              <v:stroke dashstyle="solid"/>
            </v:line>
            <v:line style="position:absolute" from="9863,596" to="9863,1047" stroked="true" strokeweight=".239581pt" strokecolor="#000000">
              <v:stroke dashstyle="solid"/>
            </v:line>
            <v:line style="position:absolute" from="3348,1226" to="3348,1315" stroked="true" strokeweight=".239581pt" strokecolor="#000000">
              <v:stroke dashstyle="solid"/>
            </v:line>
            <v:line style="position:absolute" from="5414,1272" to="3432,1272" stroked="true" strokeweight=".239688pt" strokecolor="#000000">
              <v:stroke dashstyle="solid"/>
            </v:line>
            <v:shape style="position:absolute;left:3348;top:1216;width:111;height:111" type="#_x0000_t75" stroked="false">
              <v:imagedata r:id="rId152" o:title=""/>
            </v:shape>
            <v:line style="position:absolute" from="6178,1272" to="7936,1272" stroked="true" strokeweight=".239688pt" strokecolor="#000000">
              <v:stroke dashstyle="solid"/>
            </v:line>
            <v:shape style="position:absolute;left:7910;top:1216;width:111;height:111" type="#_x0000_t75" stroked="false">
              <v:imagedata r:id="rId153" o:title=""/>
            </v:shape>
            <v:shape style="position:absolute;left:3348;top:1444;width:6829;height:195" coordorigin="3348,1444" coordsize="6829,195" path="m10177,1444l8104,1444,8015,1624,4161,1624,4074,1449,4067,1452,4067,1444,3348,1444,3348,1459,4062,1459,4144,1624,4067,1624,3348,1624,3348,1639,4067,1639,8015,1639,8025,1639,8030,1631,8114,1459,10177,1459,10177,1444xe" filled="true" fillcolor="#000000" stroked="false">
              <v:path arrowok="t"/>
              <v:fill type="solid"/>
            </v:shape>
            <v:line style="position:absolute" from="9625,1394" to="9618,1397" stroked="true" strokeweight=".239677pt" strokecolor="#000000">
              <v:stroke dashstyle="solid"/>
            </v:line>
            <v:line style="position:absolute" from="9618,1397" to="9613,1401" stroked="true" strokeweight=".239634pt" strokecolor="#000000">
              <v:stroke dashstyle="solid"/>
            </v:line>
            <v:line style="position:absolute" from="9613,1401" to="9611,1409" stroked="true" strokeweight=".239592pt" strokecolor="#000000">
              <v:stroke dashstyle="solid"/>
            </v:line>
            <v:line style="position:absolute" from="9611,1409" to="9609,1413" stroked="true" strokeweight=".239603pt" strokecolor="#000000">
              <v:stroke dashstyle="solid"/>
            </v:line>
            <v:shape style="position:absolute;left:9606;top:1416;width:5;height:8" coordorigin="9606,1417" coordsize="5,8" path="m9606,1417l9611,1417m9606,1424l9611,1424e" filled="false" stroked="true" strokeweight=".359532pt" strokecolor="#000000">
              <v:path arrowok="t"/>
              <v:stroke dashstyle="solid"/>
            </v:shape>
            <v:line style="position:absolute" from="9609,1428" to="9613,1447" stroked="true" strokeweight=".239587pt" strokecolor="#000000">
              <v:stroke dashstyle="solid"/>
            </v:line>
            <v:line style="position:absolute" from="9613,1447" to="9618,1456" stroked="true" strokeweight=".239603pt" strokecolor="#000000">
              <v:stroke dashstyle="solid"/>
            </v:line>
            <v:line style="position:absolute" from="9618,1456" to="9623,1464" stroked="true" strokeweight=".239614pt" strokecolor="#000000">
              <v:stroke dashstyle="solid"/>
            </v:line>
            <v:line style="position:absolute" from="9623,1464" to="9625,1471" stroked="true" strokeweight=".239592pt" strokecolor="#000000">
              <v:stroke dashstyle="solid"/>
            </v:line>
            <v:line style="position:absolute" from="9623,1474" to="9628,1474" stroked="true" strokeweight=".359532pt" strokecolor="#000000">
              <v:stroke dashstyle="solid"/>
            </v:line>
            <v:line style="position:absolute" from="9625,1478" to="9618,1490" stroked="true" strokeweight=".239609pt" strokecolor="#000000">
              <v:stroke dashstyle="solid"/>
            </v:line>
            <v:line style="position:absolute" from="9618,1490" to="9604,1507" stroked="true" strokeweight=".239626pt" strokecolor="#000000">
              <v:stroke dashstyle="solid"/>
            </v:line>
            <v:line style="position:absolute" from="9647,1394" to="9642,1397" stroked="true" strokeweight=".239666pt" strokecolor="#000000">
              <v:stroke dashstyle="solid"/>
            </v:line>
            <v:line style="position:absolute" from="9642,1397" to="9637,1401" stroked="true" strokeweight=".239634pt" strokecolor="#000000">
              <v:stroke dashstyle="solid"/>
            </v:line>
            <v:line style="position:absolute" from="9637,1401" to="9633,1409" stroked="true" strokeweight=".239614pt" strokecolor="#000000">
              <v:stroke dashstyle="solid"/>
            </v:line>
            <v:line style="position:absolute" from="9630,1411" to="9635,1411" stroked="true" strokeweight=".239688pt" strokecolor="#000000">
              <v:stroke dashstyle="solid"/>
            </v:line>
            <v:line style="position:absolute" from="9633,1413" to="9630,1421" stroked="true" strokeweight=".239592pt" strokecolor="#000000">
              <v:stroke dashstyle="solid"/>
            </v:line>
            <v:line style="position:absolute" from="9628,1424" to="9633,1424" stroked="true" strokeweight=".359532pt" strokecolor="#000000">
              <v:stroke dashstyle="solid"/>
            </v:line>
            <v:line style="position:absolute" from="9630,1428" to="9635,1447" stroked="true" strokeweight=".239587pt" strokecolor="#000000">
              <v:stroke dashstyle="solid"/>
            </v:line>
            <v:line style="position:absolute" from="9635,1447" to="9640,1456" stroked="true" strokeweight=".239603pt" strokecolor="#000000">
              <v:stroke dashstyle="solid"/>
            </v:line>
            <v:line style="position:absolute" from="9640,1456" to="9645,1464" stroked="true" strokeweight=".239614pt" strokecolor="#000000">
              <v:stroke dashstyle="solid"/>
            </v:line>
            <v:line style="position:absolute" from="9645,1464" to="9649,1471" stroked="true" strokeweight=".239614pt" strokecolor="#000000">
              <v:stroke dashstyle="solid"/>
            </v:line>
            <v:line style="position:absolute" from="9649,1471" to="9647,1478" stroked="true" strokeweight=".239592pt" strokecolor="#000000">
              <v:stroke dashstyle="solid"/>
            </v:line>
            <v:line style="position:absolute" from="9647,1478" to="9640,1490" stroked="true" strokeweight=".239609pt" strokecolor="#000000">
              <v:stroke dashstyle="solid"/>
            </v:line>
            <v:line style="position:absolute" from="9640,1490" to="9625,1507" stroked="true" strokeweight=".239626pt" strokecolor="#000000">
              <v:stroke dashstyle="solid"/>
            </v:line>
            <w10:wrap type="none"/>
          </v:group>
        </w:pict>
      </w:r>
      <w:r>
        <w:rPr/>
        <w:pict>
          <v:group style="position:absolute;margin-left:194.258133pt;margin-top:4.986818pt;width:14.65pt;height:31.65pt;mso-position-horizontal-relative:page;mso-position-vertical-relative:paragraph;z-index:-38760960" coordorigin="3885,100" coordsize="293,633">
            <v:shape style="position:absolute;left:4067;top:317;width:111;height:111" type="#_x0000_t75" stroked="false">
              <v:imagedata r:id="rId154" o:title=""/>
            </v:shape>
            <v:shape style="position:absolute;left:3885;top:99;width:240;height:633" type="#_x0000_t75" stroked="false">
              <v:imagedata r:id="rId155" o:title=""/>
            </v:shape>
            <w10:wrap type="none"/>
          </v:group>
        </w:pict>
      </w:r>
      <w:r>
        <w:rPr>
          <w:sz w:val="16"/>
        </w:rPr>
        <w:t>EECTRL Byte Written</w:t>
      </w:r>
    </w:p>
    <w:p>
      <w:pPr>
        <w:pStyle w:val="BodyText"/>
        <w:spacing w:before="3"/>
        <w:rPr>
          <w:sz w:val="15"/>
        </w:rPr>
      </w:pPr>
    </w:p>
    <w:p>
      <w:pPr>
        <w:spacing w:before="0"/>
        <w:ind w:left="0" w:right="97" w:firstLine="0"/>
        <w:jc w:val="right"/>
        <w:rPr>
          <w:b/>
          <w:sz w:val="16"/>
        </w:rPr>
      </w:pPr>
      <w:r>
        <w:rPr>
          <w:b/>
          <w:sz w:val="16"/>
        </w:rPr>
        <w:t>Write -- With HiZ and WFR</w:t>
      </w:r>
    </w:p>
    <w:p>
      <w:pPr>
        <w:pStyle w:val="BodyText"/>
        <w:rPr>
          <w:b/>
          <w:sz w:val="18"/>
        </w:rPr>
      </w:pPr>
      <w:r>
        <w:rPr/>
        <w:br w:type="column"/>
      </w:r>
      <w:r>
        <w:rPr>
          <w:b/>
          <w:sz w:val="18"/>
        </w:rPr>
      </w:r>
    </w:p>
    <w:p>
      <w:pPr>
        <w:pStyle w:val="BodyText"/>
        <w:spacing w:before="6"/>
        <w:rPr>
          <w:b/>
          <w:sz w:val="17"/>
        </w:rPr>
      </w:pPr>
    </w:p>
    <w:p>
      <w:pPr>
        <w:tabs>
          <w:tab w:pos="1644" w:val="left" w:leader="none"/>
          <w:tab w:pos="4390" w:val="left" w:leader="none"/>
        </w:tabs>
        <w:spacing w:before="0"/>
        <w:ind w:left="245" w:right="0" w:firstLine="0"/>
        <w:jc w:val="left"/>
        <w:rPr>
          <w:sz w:val="16"/>
        </w:rPr>
      </w:pPr>
      <w:r>
        <w:rPr>
          <w:rFonts w:ascii="Times New Roman"/>
          <w:w w:val="100"/>
          <w:sz w:val="16"/>
          <w:u w:val="single"/>
        </w:rPr>
        <w:t> </w:t>
      </w:r>
      <w:r>
        <w:rPr>
          <w:rFonts w:ascii="Times New Roman"/>
          <w:sz w:val="16"/>
          <w:u w:val="single"/>
        </w:rPr>
        <w:tab/>
      </w:r>
      <w:r>
        <w:rPr>
          <w:sz w:val="16"/>
          <w:u w:val="single"/>
        </w:rPr>
        <w:t>CNT Cycles (6</w:t>
      </w:r>
      <w:r>
        <w:rPr>
          <w:spacing w:val="-5"/>
          <w:sz w:val="16"/>
          <w:u w:val="single"/>
        </w:rPr>
        <w:t> </w:t>
      </w:r>
      <w:r>
        <w:rPr>
          <w:sz w:val="16"/>
          <w:u w:val="single"/>
        </w:rPr>
        <w:t>shown)</w:t>
        <w:tab/>
      </w:r>
    </w:p>
    <w:p>
      <w:pPr>
        <w:pStyle w:val="BodyText"/>
        <w:rPr>
          <w:sz w:val="18"/>
        </w:rPr>
      </w:pPr>
      <w:r>
        <w:rPr/>
        <w:br w:type="column"/>
      </w:r>
      <w:r>
        <w:rPr>
          <w:sz w:val="18"/>
        </w:rPr>
      </w:r>
    </w:p>
    <w:p>
      <w:pPr>
        <w:spacing w:before="113"/>
        <w:ind w:left="562" w:right="0" w:firstLine="0"/>
        <w:jc w:val="left"/>
        <w:rPr>
          <w:sz w:val="16"/>
        </w:rPr>
      </w:pPr>
      <w:r>
        <w:rPr>
          <w:sz w:val="16"/>
        </w:rPr>
        <w:t>INT5</w:t>
      </w:r>
    </w:p>
    <w:p>
      <w:pPr>
        <w:spacing w:after="0"/>
        <w:jc w:val="left"/>
        <w:rPr>
          <w:sz w:val="16"/>
        </w:rPr>
        <w:sectPr>
          <w:type w:val="continuous"/>
          <w:pgSz w:w="12240" w:h="15840"/>
          <w:pgMar w:top="940" w:bottom="280" w:left="1200" w:right="1060"/>
          <w:cols w:num="3" w:equalWidth="0">
            <w:col w:w="2666" w:space="40"/>
            <w:col w:w="4431" w:space="1143"/>
            <w:col w:w="1700"/>
          </w:cols>
        </w:sectPr>
      </w:pPr>
    </w:p>
    <w:p>
      <w:pPr>
        <w:tabs>
          <w:tab w:pos="3219" w:val="left" w:leader="none"/>
        </w:tabs>
        <w:spacing w:before="87"/>
        <w:ind w:left="1132" w:right="0" w:firstLine="0"/>
        <w:jc w:val="left"/>
        <w:rPr>
          <w:rFonts w:ascii="Times New Roman"/>
          <w:sz w:val="16"/>
        </w:rPr>
      </w:pPr>
      <w:r>
        <w:rPr>
          <w:sz w:val="16"/>
        </w:rPr>
        <w:t>SCLK</w:t>
      </w:r>
      <w:r>
        <w:rPr>
          <w:spacing w:val="-4"/>
          <w:sz w:val="16"/>
        </w:rPr>
        <w:t> </w:t>
      </w:r>
      <w:r>
        <w:rPr>
          <w:sz w:val="16"/>
        </w:rPr>
        <w:t>(output)</w:t>
      </w:r>
      <w:r>
        <w:rPr>
          <w:rFonts w:ascii="Times New Roman"/>
          <w:sz w:val="16"/>
          <w:u w:val="single"/>
        </w:rPr>
        <w:t> </w:t>
        <w:tab/>
      </w:r>
    </w:p>
    <w:p>
      <w:pPr>
        <w:spacing w:after="0"/>
        <w:jc w:val="left"/>
        <w:rPr>
          <w:rFonts w:ascii="Times New Roman"/>
          <w:sz w:val="16"/>
        </w:rPr>
        <w:sectPr>
          <w:type w:val="continuous"/>
          <w:pgSz w:w="12240" w:h="15840"/>
          <w:pgMar w:top="940" w:bottom="280" w:left="1200" w:right="1060"/>
        </w:sectPr>
      </w:pPr>
    </w:p>
    <w:p>
      <w:pPr>
        <w:pStyle w:val="BodyText"/>
        <w:spacing w:before="3"/>
        <w:rPr>
          <w:rFonts w:ascii="Times New Roman"/>
          <w:sz w:val="15"/>
        </w:rPr>
      </w:pPr>
    </w:p>
    <w:p>
      <w:pPr>
        <w:tabs>
          <w:tab w:pos="2867" w:val="left" w:leader="none"/>
          <w:tab w:pos="3243" w:val="left" w:leader="none"/>
        </w:tabs>
        <w:spacing w:before="0"/>
        <w:ind w:left="1067" w:right="0" w:firstLine="0"/>
        <w:jc w:val="left"/>
        <w:rPr>
          <w:sz w:val="12"/>
        </w:rPr>
      </w:pPr>
      <w:r>
        <w:rPr>
          <w:sz w:val="16"/>
        </w:rPr>
        <w:t>SDATA (out/in)</w:t>
      </w:r>
      <w:r>
        <w:rPr>
          <w:sz w:val="16"/>
          <w:u w:val="single"/>
        </w:rPr>
        <w:t> </w:t>
        <w:tab/>
      </w:r>
      <w:r>
        <w:rPr>
          <w:sz w:val="16"/>
        </w:rPr>
        <w:tab/>
      </w:r>
      <w:r>
        <w:rPr>
          <w:spacing w:val="-11"/>
          <w:position w:val="1"/>
          <w:sz w:val="12"/>
        </w:rPr>
        <w:t>D7</w:t>
      </w:r>
    </w:p>
    <w:p>
      <w:pPr>
        <w:pStyle w:val="BodyText"/>
        <w:rPr>
          <w:sz w:val="23"/>
        </w:rPr>
      </w:pPr>
    </w:p>
    <w:p>
      <w:pPr>
        <w:spacing w:before="0"/>
        <w:ind w:left="976" w:right="0" w:firstLine="0"/>
        <w:jc w:val="left"/>
        <w:rPr>
          <w:sz w:val="16"/>
        </w:rPr>
      </w:pPr>
      <w:r>
        <w:rPr>
          <w:sz w:val="16"/>
        </w:rPr>
        <w:t>SDATA output Z</w:t>
      </w:r>
    </w:p>
    <w:p>
      <w:pPr>
        <w:pStyle w:val="BodyText"/>
        <w:spacing w:before="3"/>
        <w:rPr>
          <w:sz w:val="15"/>
        </w:rPr>
      </w:pPr>
    </w:p>
    <w:p>
      <w:pPr>
        <w:tabs>
          <w:tab w:pos="2867" w:val="left" w:leader="none"/>
        </w:tabs>
        <w:spacing w:before="0"/>
        <w:ind w:left="1446" w:right="0" w:firstLine="0"/>
        <w:jc w:val="left"/>
        <w:rPr>
          <w:rFonts w:ascii="Times New Roman"/>
          <w:sz w:val="16"/>
        </w:rPr>
      </w:pPr>
      <w:r>
        <w:rPr>
          <w:rFonts w:ascii="Times New Roman"/>
          <w:i/>
          <w:sz w:val="16"/>
        </w:rPr>
        <w:t>BUSY</w:t>
      </w:r>
      <w:r>
        <w:rPr>
          <w:rFonts w:ascii="Times New Roman"/>
          <w:i/>
          <w:spacing w:val="2"/>
          <w:sz w:val="16"/>
        </w:rPr>
        <w:t> </w:t>
      </w:r>
      <w:r>
        <w:rPr>
          <w:sz w:val="16"/>
        </w:rPr>
        <w:t>(bit)</w:t>
      </w:r>
      <w:r>
        <w:rPr>
          <w:rFonts w:ascii="Times New Roman"/>
          <w:sz w:val="16"/>
          <w:u w:val="single"/>
        </w:rPr>
        <w:t> </w:t>
        <w:tab/>
      </w:r>
    </w:p>
    <w:p>
      <w:pPr>
        <w:pStyle w:val="BodyText"/>
        <w:spacing w:before="6"/>
        <w:rPr>
          <w:rFonts w:ascii="Times New Roman"/>
          <w:sz w:val="17"/>
        </w:rPr>
      </w:pPr>
      <w:r>
        <w:rPr/>
        <w:br w:type="column"/>
      </w:r>
      <w:r>
        <w:rPr>
          <w:rFonts w:ascii="Times New Roman"/>
          <w:sz w:val="17"/>
        </w:rPr>
      </w:r>
    </w:p>
    <w:p>
      <w:pPr>
        <w:tabs>
          <w:tab w:pos="1244" w:val="left" w:leader="none"/>
          <w:tab w:pos="1973" w:val="left" w:leader="none"/>
        </w:tabs>
        <w:spacing w:line="312" w:lineRule="auto" w:before="0"/>
        <w:ind w:left="823" w:right="0" w:hanging="298"/>
        <w:jc w:val="left"/>
        <w:rPr>
          <w:sz w:val="12"/>
        </w:rPr>
      </w:pPr>
      <w:r>
        <w:rPr>
          <w:sz w:val="12"/>
        </w:rPr>
        <w:t>D6</w:t>
        <w:tab/>
        <w:tab/>
        <w:t>D5</w:t>
        <w:tab/>
      </w:r>
      <w:r>
        <w:rPr>
          <w:spacing w:val="-11"/>
          <w:sz w:val="12"/>
        </w:rPr>
        <w:t>D4 </w:t>
      </w:r>
      <w:r>
        <w:rPr>
          <w:sz w:val="12"/>
        </w:rPr>
        <w:t>(From</w:t>
      </w:r>
      <w:r>
        <w:rPr>
          <w:spacing w:val="-4"/>
          <w:sz w:val="12"/>
        </w:rPr>
        <w:t> </w:t>
      </w:r>
      <w:r>
        <w:rPr>
          <w:sz w:val="12"/>
        </w:rPr>
        <w:t>6520)</w:t>
      </w:r>
    </w:p>
    <w:p>
      <w:pPr>
        <w:spacing w:before="90"/>
        <w:ind w:left="1170" w:right="0" w:firstLine="0"/>
        <w:jc w:val="left"/>
        <w:rPr>
          <w:sz w:val="12"/>
        </w:rPr>
      </w:pPr>
      <w:r>
        <w:rPr>
          <w:sz w:val="12"/>
        </w:rPr>
        <w:t>(LoZ)</w:t>
      </w:r>
    </w:p>
    <w:p>
      <w:pPr>
        <w:pStyle w:val="BodyText"/>
        <w:spacing w:before="6"/>
        <w:rPr>
          <w:sz w:val="17"/>
        </w:rPr>
      </w:pPr>
      <w:r>
        <w:rPr/>
        <w:br w:type="column"/>
      </w:r>
      <w:r>
        <w:rPr>
          <w:sz w:val="17"/>
        </w:rPr>
      </w:r>
    </w:p>
    <w:p>
      <w:pPr>
        <w:tabs>
          <w:tab w:pos="1002" w:val="left" w:leader="none"/>
        </w:tabs>
        <w:spacing w:before="0"/>
        <w:ind w:left="516" w:right="0" w:firstLine="0"/>
        <w:jc w:val="left"/>
        <w:rPr>
          <w:sz w:val="12"/>
        </w:rPr>
      </w:pPr>
      <w:r>
        <w:rPr>
          <w:sz w:val="12"/>
        </w:rPr>
        <w:t>D3</w:t>
        <w:tab/>
      </w:r>
      <w:r>
        <w:rPr>
          <w:spacing w:val="-10"/>
          <w:sz w:val="12"/>
        </w:rPr>
        <w:t>D2</w:t>
      </w:r>
    </w:p>
    <w:p>
      <w:pPr>
        <w:pStyle w:val="BodyText"/>
        <w:spacing w:before="6"/>
        <w:rPr>
          <w:sz w:val="17"/>
        </w:rPr>
      </w:pPr>
      <w:r>
        <w:rPr/>
        <w:br w:type="column"/>
      </w:r>
      <w:r>
        <w:rPr>
          <w:sz w:val="17"/>
        </w:rPr>
      </w:r>
    </w:p>
    <w:p>
      <w:pPr>
        <w:tabs>
          <w:tab w:pos="1953" w:val="left" w:leader="none"/>
        </w:tabs>
        <w:spacing w:before="0"/>
        <w:ind w:left="875" w:right="0" w:firstLine="0"/>
        <w:jc w:val="left"/>
        <w:rPr>
          <w:sz w:val="12"/>
        </w:rPr>
      </w:pPr>
      <w:r>
        <w:rPr>
          <w:sz w:val="12"/>
        </w:rPr>
        <w:t>BUSY</w:t>
        <w:tab/>
        <w:t>READY</w:t>
      </w:r>
    </w:p>
    <w:p>
      <w:pPr>
        <w:spacing w:line="468" w:lineRule="auto" w:before="42"/>
        <w:ind w:left="684" w:right="1373" w:hanging="34"/>
        <w:jc w:val="left"/>
        <w:rPr>
          <w:sz w:val="12"/>
        </w:rPr>
      </w:pPr>
      <w:r>
        <w:rPr>
          <w:sz w:val="12"/>
        </w:rPr>
        <w:t>(From EEPROM) (HiZ)</w:t>
      </w:r>
    </w:p>
    <w:p>
      <w:pPr>
        <w:pStyle w:val="BodyText"/>
        <w:spacing w:line="118" w:lineRule="exact"/>
        <w:ind w:left="1601"/>
        <w:rPr>
          <w:sz w:val="11"/>
        </w:rPr>
      </w:pPr>
      <w:r>
        <w:rPr>
          <w:position w:val="-1"/>
          <w:sz w:val="11"/>
        </w:rPr>
        <w:pict>
          <v:group style="width:2.550pt;height:5.9pt;mso-position-horizontal-relative:char;mso-position-vertical-relative:line" coordorigin="0,0" coordsize="51,118">
            <v:line style="position:absolute" from="26,2" to="19,5" stroked="true" strokeweight=".239677pt" strokecolor="#000000">
              <v:stroke dashstyle="solid"/>
            </v:line>
            <v:line style="position:absolute" from="19,5" to="14,10" stroked="true" strokeweight=".239634pt" strokecolor="#000000">
              <v:stroke dashstyle="solid"/>
            </v:line>
            <v:line style="position:absolute" from="14,10" to="12,17" stroked="true" strokeweight=".239592pt" strokecolor="#000000">
              <v:stroke dashstyle="solid"/>
            </v:line>
            <v:line style="position:absolute" from="12,17" to="10,22" stroked="true" strokeweight=".239603pt" strokecolor="#000000">
              <v:stroke dashstyle="solid"/>
            </v:line>
            <v:shape style="position:absolute;left:7;top:25;width:5;height:8" coordorigin="7,25" coordsize="5,8" path="m7,25l12,25m7,32l12,32e" filled="false" stroked="true" strokeweight=".359532pt" strokecolor="#000000">
              <v:path arrowok="t"/>
              <v:stroke dashstyle="solid"/>
            </v:shape>
            <v:line style="position:absolute" from="11,34" to="11,58" stroked="true" strokeweight=".359373pt" strokecolor="#000000">
              <v:stroke dashstyle="solid"/>
            </v:line>
            <v:line style="position:absolute" from="12,55" to="19,65" stroked="true" strokeweight=".23962pt" strokecolor="#000000">
              <v:stroke dashstyle="solid"/>
            </v:line>
            <v:line style="position:absolute" from="19,65" to="24,72" stroked="true" strokeweight=".239614pt" strokecolor="#000000">
              <v:stroke dashstyle="solid"/>
            </v:line>
            <v:line style="position:absolute" from="24,72" to="26,79" stroked="true" strokeweight=".239592pt" strokecolor="#000000">
              <v:stroke dashstyle="solid"/>
            </v:line>
            <v:line style="position:absolute" from="24,83" to="29,83" stroked="true" strokeweight=".359532pt" strokecolor="#000000">
              <v:stroke dashstyle="solid"/>
            </v:line>
            <v:line style="position:absolute" from="26,86" to="19,98" stroked="true" strokeweight=".239609pt" strokecolor="#000000">
              <v:stroke dashstyle="solid"/>
            </v:line>
            <v:line style="position:absolute" from="19,98" to="2,115" stroked="true" strokeweight=".239634pt" strokecolor="#000000">
              <v:stroke dashstyle="solid"/>
            </v:line>
            <v:line style="position:absolute" from="48,2" to="43,5" stroked="true" strokeweight=".239666pt" strokecolor="#000000">
              <v:stroke dashstyle="solid"/>
            </v:line>
            <v:line style="position:absolute" from="43,5" to="38,10" stroked="true" strokeweight=".239634pt" strokecolor="#000000">
              <v:stroke dashstyle="solid"/>
            </v:line>
            <v:line style="position:absolute" from="38,10" to="34,17" stroked="true" strokeweight=".239614pt" strokecolor="#000000">
              <v:stroke dashstyle="solid"/>
            </v:line>
            <v:line style="position:absolute" from="34,17" to="31,22" stroked="true" strokeweight=".239603pt" strokecolor="#000000">
              <v:stroke dashstyle="solid"/>
            </v:line>
            <v:shape style="position:absolute;left:28;top:25;width:5;height:8" coordorigin="29,25" coordsize="5,8" path="m29,25l34,25m29,32l34,32e" filled="false" stroked="true" strokeweight=".359532pt" strokecolor="#000000">
              <v:path arrowok="t"/>
              <v:stroke dashstyle="solid"/>
            </v:shape>
            <v:line style="position:absolute" from="31,36" to="36,55" stroked="true" strokeweight=".239587pt" strokecolor="#000000">
              <v:stroke dashstyle="solid"/>
            </v:line>
            <v:line style="position:absolute" from="36,55" to="41,65" stroked="true" strokeweight=".239603pt" strokecolor="#000000">
              <v:stroke dashstyle="solid"/>
            </v:line>
            <v:line style="position:absolute" from="41,65" to="46,72" stroked="true" strokeweight=".239614pt" strokecolor="#000000">
              <v:stroke dashstyle="solid"/>
            </v:line>
            <v:line style="position:absolute" from="46,72" to="48,79" stroked="true" strokeweight=".239592pt" strokecolor="#000000">
              <v:stroke dashstyle="solid"/>
            </v:line>
            <v:line style="position:absolute" from="46,83" to="50,83" stroked="true" strokeweight=".359532pt" strokecolor="#000000">
              <v:stroke dashstyle="solid"/>
            </v:line>
            <v:line style="position:absolute" from="48,86" to="41,98" stroked="true" strokeweight=".239609pt" strokecolor="#000000">
              <v:stroke dashstyle="solid"/>
            </v:line>
            <v:line style="position:absolute" from="41,98" to="26,115" stroked="true" strokeweight=".239626pt" strokecolor="#000000">
              <v:stroke dashstyle="solid"/>
            </v:line>
          </v:group>
        </w:pict>
      </w:r>
      <w:r>
        <w:rPr>
          <w:position w:val="-1"/>
          <w:sz w:val="11"/>
        </w:rPr>
      </w:r>
    </w:p>
    <w:p>
      <w:pPr>
        <w:spacing w:after="0" w:line="118" w:lineRule="exact"/>
        <w:rPr>
          <w:sz w:val="11"/>
        </w:rPr>
        <w:sectPr>
          <w:type w:val="continuous"/>
          <w:pgSz w:w="12240" w:h="15840"/>
          <w:pgMar w:top="940" w:bottom="280" w:left="1200" w:right="1060"/>
          <w:cols w:num="4" w:equalWidth="0">
            <w:col w:w="3397" w:space="40"/>
            <w:col w:w="2126" w:space="39"/>
            <w:col w:w="1156" w:space="39"/>
            <w:col w:w="3183"/>
          </w:cols>
        </w:sectPr>
      </w:pPr>
    </w:p>
    <w:p>
      <w:pPr>
        <w:spacing w:before="165"/>
        <w:ind w:left="61" w:right="204" w:firstLine="0"/>
        <w:jc w:val="center"/>
        <w:rPr>
          <w:b/>
          <w:sz w:val="20"/>
        </w:rPr>
      </w:pPr>
      <w:bookmarkStart w:name="_bookmark137" w:id="276"/>
      <w:bookmarkEnd w:id="276"/>
      <w:r>
        <w:rPr/>
      </w:r>
      <w:r>
        <w:rPr>
          <w:b/>
          <w:sz w:val="20"/>
        </w:rPr>
        <w:t>Figure 22: 3-wire Interface. Write Command when HiZ=1 and WFR=1.</w:t>
      </w:r>
    </w:p>
    <w:p>
      <w:pPr>
        <w:pStyle w:val="BodyText"/>
        <w:spacing w:before="4"/>
        <w:rPr>
          <w:b/>
          <w:sz w:val="25"/>
        </w:rPr>
      </w:pPr>
    </w:p>
    <w:p>
      <w:pPr>
        <w:pStyle w:val="ListParagraph"/>
        <w:numPr>
          <w:ilvl w:val="2"/>
          <w:numId w:val="7"/>
        </w:numPr>
        <w:tabs>
          <w:tab w:pos="961" w:val="left" w:leader="none"/>
        </w:tabs>
        <w:spacing w:line="240" w:lineRule="auto" w:before="0" w:after="0"/>
        <w:ind w:left="960" w:right="0" w:hanging="721"/>
        <w:jc w:val="left"/>
        <w:rPr>
          <w:b/>
          <w:sz w:val="22"/>
        </w:rPr>
      </w:pPr>
      <w:bookmarkStart w:name="2.5.12 SPI Slave Port" w:id="277"/>
      <w:bookmarkEnd w:id="277"/>
      <w:r>
        <w:rPr/>
      </w:r>
      <w:bookmarkStart w:name="_bookmark138" w:id="278"/>
      <w:bookmarkEnd w:id="278"/>
      <w:r>
        <w:rPr/>
      </w:r>
      <w:bookmarkStart w:name="_bookmark138" w:id="279"/>
      <w:bookmarkEnd w:id="279"/>
      <w:r>
        <w:rPr>
          <w:b/>
          <w:sz w:val="22"/>
        </w:rPr>
        <w:t>SP</w:t>
      </w:r>
      <w:r>
        <w:rPr>
          <w:b/>
          <w:sz w:val="22"/>
        </w:rPr>
        <w:t>I Slave</w:t>
      </w:r>
      <w:r>
        <w:rPr>
          <w:b/>
          <w:spacing w:val="1"/>
          <w:sz w:val="22"/>
        </w:rPr>
        <w:t> </w:t>
      </w:r>
      <w:r>
        <w:rPr>
          <w:b/>
          <w:sz w:val="22"/>
        </w:rPr>
        <w:t>Port</w:t>
      </w:r>
    </w:p>
    <w:p>
      <w:pPr>
        <w:pStyle w:val="BodyText"/>
        <w:spacing w:before="124"/>
        <w:ind w:left="240" w:right="348"/>
      </w:pPr>
      <w:r>
        <w:rPr/>
        <w:t>The slave SPI port communicates directly with the MPU data bus and is able to read and write Data RAM and Configuration RAM (I/O RAM) locations. It is also able to send commands to the MPU. The interface to the slave port consists of the SPI_CSZ, SPI_CKI, SPI_DI and SPI_DO pins. These pins are multiplexed with the combined DIO/LCD segment driver pins SEGDIO36 to SEGDIO39 (pins 3, 2, 1 and 100).</w:t>
      </w:r>
    </w:p>
    <w:p>
      <w:pPr>
        <w:pStyle w:val="BodyText"/>
        <w:spacing w:line="237" w:lineRule="auto" w:before="121"/>
        <w:ind w:left="240" w:right="611"/>
        <w:jc w:val="both"/>
      </w:pPr>
      <w:r>
        <w:rPr/>
        <w:t>Additionally, the SPI interface allows flash memory to be read and to be programmed. To facilitate flash programming, cycling power or asserting RESET causes the SPI port pins to default to SPI mode. The SPI port is disabled by clearing the </w:t>
      </w:r>
      <w:r>
        <w:rPr>
          <w:rFonts w:ascii="Times New Roman"/>
          <w:i/>
        </w:rPr>
        <w:t>SPI_E </w:t>
      </w:r>
      <w:r>
        <w:rPr/>
        <w:t>bit </w:t>
      </w:r>
      <w:r>
        <w:rPr>
          <w:rFonts w:ascii="Times New Roman"/>
          <w:i/>
        </w:rPr>
        <w:t>(I/O RAM 0x270C[4])</w:t>
      </w:r>
      <w:r>
        <w:rPr/>
        <w:t>.</w:t>
      </w:r>
    </w:p>
    <w:p>
      <w:pPr>
        <w:pStyle w:val="BodyText"/>
        <w:spacing w:before="126"/>
        <w:ind w:left="240"/>
      </w:pPr>
      <w:r>
        <w:rPr/>
        <w:t>Possible applications for the SPI interface are:</w:t>
      </w:r>
    </w:p>
    <w:p>
      <w:pPr>
        <w:spacing w:after="0"/>
        <w:sectPr>
          <w:type w:val="continuous"/>
          <w:pgSz w:w="12240" w:h="15840"/>
          <w:pgMar w:top="940" w:bottom="280" w:left="1200" w:right="1060"/>
        </w:sectPr>
      </w:pPr>
    </w:p>
    <w:p>
      <w:pPr>
        <w:pStyle w:val="BodyText"/>
        <w:spacing w:before="8"/>
        <w:rPr>
          <w:sz w:val="16"/>
        </w:rPr>
      </w:pPr>
    </w:p>
    <w:p>
      <w:pPr>
        <w:pStyle w:val="ListParagraph"/>
        <w:numPr>
          <w:ilvl w:val="0"/>
          <w:numId w:val="21"/>
        </w:numPr>
        <w:tabs>
          <w:tab w:pos="601" w:val="left" w:leader="none"/>
        </w:tabs>
        <w:spacing w:line="242" w:lineRule="auto" w:before="93" w:after="0"/>
        <w:ind w:left="599" w:right="397" w:hanging="360"/>
        <w:jc w:val="left"/>
        <w:rPr>
          <w:sz w:val="20"/>
        </w:rPr>
      </w:pPr>
      <w:r>
        <w:rPr>
          <w:sz w:val="20"/>
        </w:rPr>
        <w:t>An external host reads data from CE locations to obtain metering information. This can be used in </w:t>
      </w:r>
      <w:r>
        <w:rPr>
          <w:spacing w:val="-4"/>
          <w:sz w:val="20"/>
        </w:rPr>
        <w:t>applications where </w:t>
      </w:r>
      <w:r>
        <w:rPr>
          <w:spacing w:val="-3"/>
          <w:sz w:val="20"/>
        </w:rPr>
        <w:t>the </w:t>
      </w:r>
      <w:r>
        <w:rPr>
          <w:spacing w:val="-4"/>
          <w:sz w:val="20"/>
        </w:rPr>
        <w:t>71M6543 function </w:t>
      </w:r>
      <w:r>
        <w:rPr>
          <w:sz w:val="20"/>
        </w:rPr>
        <w:t>as a </w:t>
      </w:r>
      <w:r>
        <w:rPr>
          <w:spacing w:val="-4"/>
          <w:sz w:val="20"/>
        </w:rPr>
        <w:t>smart front-end </w:t>
      </w:r>
      <w:r>
        <w:rPr>
          <w:spacing w:val="-3"/>
          <w:sz w:val="20"/>
        </w:rPr>
        <w:t>with </w:t>
      </w:r>
      <w:r>
        <w:rPr>
          <w:spacing w:val="-4"/>
          <w:sz w:val="20"/>
        </w:rPr>
        <w:t>preprocessing capability. </w:t>
      </w:r>
      <w:r>
        <w:rPr>
          <w:sz w:val="20"/>
        </w:rPr>
        <w:t>Since the addresses are in 16-bit format, any type of XRAM data can be accessed: CE, MPU, I/O RAM, but not SFRs or the 80515-internal register</w:t>
      </w:r>
      <w:r>
        <w:rPr>
          <w:spacing w:val="-1"/>
          <w:sz w:val="20"/>
        </w:rPr>
        <w:t> </w:t>
      </w:r>
      <w:r>
        <w:rPr>
          <w:sz w:val="20"/>
        </w:rPr>
        <w:t>bank.</w:t>
      </w:r>
    </w:p>
    <w:p>
      <w:pPr>
        <w:pStyle w:val="ListParagraph"/>
        <w:numPr>
          <w:ilvl w:val="0"/>
          <w:numId w:val="21"/>
        </w:numPr>
        <w:tabs>
          <w:tab w:pos="601" w:val="left" w:leader="none"/>
        </w:tabs>
        <w:spacing w:line="242" w:lineRule="auto" w:before="55" w:after="0"/>
        <w:ind w:left="599" w:right="633" w:hanging="360"/>
        <w:jc w:val="left"/>
        <w:rPr>
          <w:sz w:val="20"/>
        </w:rPr>
      </w:pPr>
      <w:r>
        <w:rPr>
          <w:sz w:val="20"/>
        </w:rPr>
        <w:t>A </w:t>
      </w:r>
      <w:r>
        <w:rPr>
          <w:spacing w:val="-3"/>
          <w:sz w:val="20"/>
        </w:rPr>
        <w:t>communication link can </w:t>
      </w:r>
      <w:r>
        <w:rPr>
          <w:sz w:val="20"/>
        </w:rPr>
        <w:t>be </w:t>
      </w:r>
      <w:r>
        <w:rPr>
          <w:spacing w:val="-3"/>
          <w:sz w:val="20"/>
        </w:rPr>
        <w:t>established via </w:t>
      </w:r>
      <w:r>
        <w:rPr>
          <w:sz w:val="20"/>
        </w:rPr>
        <w:t>the </w:t>
      </w:r>
      <w:r>
        <w:rPr>
          <w:spacing w:val="-3"/>
          <w:sz w:val="20"/>
        </w:rPr>
        <w:t>SPI interface: </w:t>
      </w:r>
      <w:r>
        <w:rPr>
          <w:sz w:val="20"/>
        </w:rPr>
        <w:t>By </w:t>
      </w:r>
      <w:r>
        <w:rPr>
          <w:spacing w:val="-3"/>
          <w:sz w:val="20"/>
        </w:rPr>
        <w:t>writing into MPU memory locations, </w:t>
      </w:r>
      <w:r>
        <w:rPr>
          <w:sz w:val="20"/>
        </w:rPr>
        <w:t>the external host can initiate and control processes in the 71M6543 MPU. Writing to a CE or MPU location normally generates an interrupt, a function that can be used to signal to the MPU that the byte that had just been written by the external host must be read and processed. Data can also be inserted by the external host without generating an</w:t>
      </w:r>
      <w:r>
        <w:rPr>
          <w:spacing w:val="-9"/>
          <w:sz w:val="20"/>
        </w:rPr>
        <w:t> </w:t>
      </w:r>
      <w:r>
        <w:rPr>
          <w:sz w:val="20"/>
        </w:rPr>
        <w:t>interrupt.</w:t>
      </w:r>
    </w:p>
    <w:p>
      <w:pPr>
        <w:pStyle w:val="ListParagraph"/>
        <w:numPr>
          <w:ilvl w:val="0"/>
          <w:numId w:val="21"/>
        </w:numPr>
        <w:tabs>
          <w:tab w:pos="601" w:val="left" w:leader="none"/>
        </w:tabs>
        <w:spacing w:line="240" w:lineRule="auto" w:before="56" w:after="0"/>
        <w:ind w:left="600" w:right="490" w:hanging="361"/>
        <w:jc w:val="left"/>
        <w:rPr>
          <w:sz w:val="20"/>
        </w:rPr>
      </w:pPr>
      <w:r>
        <w:rPr>
          <w:sz w:val="20"/>
        </w:rPr>
        <w:t>An external DSP can access front-end data generated by the ADC. This mode of operation uses the 71M6543 as an analog front-end</w:t>
      </w:r>
      <w:r>
        <w:rPr>
          <w:spacing w:val="-5"/>
          <w:sz w:val="20"/>
        </w:rPr>
        <w:t> </w:t>
      </w:r>
      <w:r>
        <w:rPr>
          <w:sz w:val="20"/>
        </w:rPr>
        <w:t>(AFE).</w:t>
      </w:r>
    </w:p>
    <w:p>
      <w:pPr>
        <w:pStyle w:val="ListParagraph"/>
        <w:numPr>
          <w:ilvl w:val="0"/>
          <w:numId w:val="21"/>
        </w:numPr>
        <w:tabs>
          <w:tab w:pos="601" w:val="left" w:leader="none"/>
        </w:tabs>
        <w:spacing w:line="240" w:lineRule="auto" w:before="61" w:after="0"/>
        <w:ind w:left="600" w:right="0" w:hanging="361"/>
        <w:jc w:val="left"/>
        <w:rPr>
          <w:sz w:val="20"/>
        </w:rPr>
      </w:pPr>
      <w:r>
        <w:rPr>
          <w:sz w:val="20"/>
        </w:rPr>
        <w:t>Flash programming by the external host (SPI Flash</w:t>
      </w:r>
      <w:r>
        <w:rPr>
          <w:spacing w:val="-5"/>
          <w:sz w:val="20"/>
        </w:rPr>
        <w:t> </w:t>
      </w:r>
      <w:r>
        <w:rPr>
          <w:sz w:val="20"/>
        </w:rPr>
        <w:t>Mode).</w:t>
      </w:r>
    </w:p>
    <w:p>
      <w:pPr>
        <w:spacing w:before="115"/>
        <w:ind w:left="240" w:right="0" w:firstLine="0"/>
        <w:jc w:val="left"/>
        <w:rPr>
          <w:b/>
          <w:sz w:val="20"/>
        </w:rPr>
      </w:pPr>
      <w:bookmarkStart w:name="_bookmark139" w:id="280"/>
      <w:bookmarkEnd w:id="280"/>
      <w:r>
        <w:rPr/>
      </w:r>
      <w:r>
        <w:rPr>
          <w:b/>
          <w:sz w:val="20"/>
        </w:rPr>
        <w:t>SPI Transactions</w:t>
      </w:r>
    </w:p>
    <w:p>
      <w:pPr>
        <w:pStyle w:val="BodyText"/>
        <w:spacing w:before="123"/>
        <w:ind w:left="240" w:right="401"/>
      </w:pPr>
      <w:r>
        <w:rPr/>
        <w:t>A typical SPI transaction is as follows. While SPI_CSZ is high, the port is held in an initialized/reset state. During this state, SPI_DO is held in high impedance state and all transitions on SPI_CLK and SPI_DI are ignored. When SPI_CSZ falls, the port begins the transaction on the first rising edge of SPI_CLK. As shown in </w:t>
      </w:r>
      <w:hyperlink w:history="true" w:anchor="_bookmark140">
        <w:r>
          <w:rPr>
            <w:color w:val="0000FF"/>
          </w:rPr>
          <w:t>Table 56</w:t>
        </w:r>
        <w:r>
          <w:rPr/>
          <w:t>, </w:t>
        </w:r>
      </w:hyperlink>
      <w:r>
        <w:rPr/>
        <w:t>a transaction consists of an optional 16 bit address, an 8 bit command, an 8 bit status byte, followed by one or more bytes of data. The transaction ends when SPI_CSZ is raised. Some transactions may consist of a command only.</w:t>
      </w:r>
    </w:p>
    <w:p>
      <w:pPr>
        <w:pStyle w:val="BodyText"/>
        <w:spacing w:before="118"/>
        <w:ind w:left="240" w:right="401" w:hanging="1"/>
      </w:pPr>
      <w:r>
        <w:rPr/>
        <w:t>When SPI_CSZ rises, SPI command bytes that are not of the form x0000000 cause the </w:t>
      </w:r>
      <w:r>
        <w:rPr>
          <w:rFonts w:ascii="Times New Roman"/>
          <w:i/>
        </w:rPr>
        <w:t>SPI_CMD </w:t>
      </w:r>
      <w:r>
        <w:rPr>
          <w:i/>
        </w:rPr>
        <w:t>(SFR </w:t>
      </w:r>
      <w:r>
        <w:rPr>
          <w:i/>
        </w:rPr>
        <w:t>0xFD) </w:t>
      </w:r>
      <w:r>
        <w:rPr/>
        <w:t>register to be updated and then cause an interrupt to be issued to the MPU. The exception is if the transaction was a single byte. In this case, the </w:t>
      </w:r>
      <w:r>
        <w:rPr>
          <w:rFonts w:ascii="Times New Roman"/>
          <w:i/>
        </w:rPr>
        <w:t>SPI_CMD </w:t>
      </w:r>
      <w:r>
        <w:rPr/>
        <w:t>byte is always updated and the interrupt issued. </w:t>
      </w:r>
      <w:r>
        <w:rPr>
          <w:rFonts w:ascii="Times New Roman"/>
          <w:i/>
        </w:rPr>
        <w:t>SPI_CMD </w:t>
      </w:r>
      <w:r>
        <w:rPr/>
        <w:t>is not cleared when SPI_CSZ is high.</w:t>
      </w:r>
    </w:p>
    <w:p>
      <w:pPr>
        <w:pStyle w:val="BodyText"/>
        <w:spacing w:before="124"/>
        <w:ind w:left="240" w:right="526"/>
      </w:pPr>
      <w:r>
        <w:rPr/>
        <w:t>The SPI port supports data transfers up to 10 Mb/s. A serial read or write operation requires at least 8 clocks per byte, guaranteeing SPI access to the RAM is no faster than 1.25 MHz, thus ensuring that SPI access to DRAM is always possible.</w:t>
      </w:r>
    </w:p>
    <w:p>
      <w:pPr>
        <w:pStyle w:val="BodyText"/>
        <w:spacing w:before="9"/>
        <w:rPr>
          <w:sz w:val="19"/>
        </w:rPr>
      </w:pPr>
    </w:p>
    <w:p>
      <w:pPr>
        <w:pStyle w:val="Heading1"/>
        <w:ind w:left="64" w:right="204"/>
      </w:pPr>
      <w:bookmarkStart w:name="_bookmark140" w:id="281"/>
      <w:bookmarkEnd w:id="281"/>
      <w:r>
        <w:rPr>
          <w:b w:val="0"/>
        </w:rPr>
      </w:r>
      <w:r>
        <w:rPr/>
        <w:t>Table 56: SPI Transaction Fields</w:t>
      </w:r>
    </w:p>
    <w:p>
      <w:pPr>
        <w:pStyle w:val="BodyText"/>
        <w:spacing w:before="6"/>
        <w:rPr>
          <w:b/>
          <w:sz w:val="5"/>
        </w:rPr>
      </w:pPr>
    </w:p>
    <w:tbl>
      <w:tblPr>
        <w:tblW w:w="0" w:type="auto"/>
        <w:jc w:val="left"/>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7"/>
        <w:gridCol w:w="1704"/>
        <w:gridCol w:w="809"/>
        <w:gridCol w:w="5760"/>
      </w:tblGrid>
      <w:tr>
        <w:trPr>
          <w:trHeight w:val="539" w:hRule="atLeast"/>
        </w:trPr>
        <w:tc>
          <w:tcPr>
            <w:tcW w:w="1087" w:type="dxa"/>
          </w:tcPr>
          <w:p>
            <w:pPr>
              <w:pStyle w:val="TableParagraph"/>
              <w:spacing w:before="37"/>
              <w:ind w:left="271" w:firstLine="38"/>
              <w:rPr>
                <w:b/>
                <w:sz w:val="20"/>
              </w:rPr>
            </w:pPr>
            <w:r>
              <w:rPr>
                <w:b/>
                <w:sz w:val="20"/>
              </w:rPr>
              <w:t>Field </w:t>
            </w:r>
            <w:r>
              <w:rPr>
                <w:b/>
                <w:w w:val="95"/>
                <w:sz w:val="20"/>
              </w:rPr>
              <w:t>Name</w:t>
            </w:r>
          </w:p>
        </w:tc>
        <w:tc>
          <w:tcPr>
            <w:tcW w:w="1704" w:type="dxa"/>
          </w:tcPr>
          <w:p>
            <w:pPr>
              <w:pStyle w:val="TableParagraph"/>
              <w:spacing w:before="152"/>
              <w:ind w:left="395" w:right="391"/>
              <w:jc w:val="center"/>
              <w:rPr>
                <w:b/>
                <w:sz w:val="20"/>
              </w:rPr>
            </w:pPr>
            <w:r>
              <w:rPr>
                <w:b/>
                <w:sz w:val="20"/>
              </w:rPr>
              <w:t>Required</w:t>
            </w:r>
          </w:p>
        </w:tc>
        <w:tc>
          <w:tcPr>
            <w:tcW w:w="809" w:type="dxa"/>
          </w:tcPr>
          <w:p>
            <w:pPr>
              <w:pStyle w:val="TableParagraph"/>
              <w:spacing w:before="37"/>
              <w:ind w:left="76" w:right="25" w:firstLine="129"/>
              <w:rPr>
                <w:b/>
                <w:sz w:val="20"/>
              </w:rPr>
            </w:pPr>
            <w:r>
              <w:rPr>
                <w:b/>
                <w:sz w:val="20"/>
              </w:rPr>
              <w:t>Size (bytes)</w:t>
            </w:r>
          </w:p>
        </w:tc>
        <w:tc>
          <w:tcPr>
            <w:tcW w:w="5760" w:type="dxa"/>
          </w:tcPr>
          <w:p>
            <w:pPr>
              <w:pStyle w:val="TableParagraph"/>
              <w:spacing w:before="152"/>
              <w:ind w:left="71"/>
              <w:rPr>
                <w:b/>
                <w:sz w:val="20"/>
              </w:rPr>
            </w:pPr>
            <w:r>
              <w:rPr>
                <w:b/>
                <w:sz w:val="20"/>
              </w:rPr>
              <w:t>Description</w:t>
            </w:r>
          </w:p>
        </w:tc>
      </w:tr>
      <w:tr>
        <w:trPr>
          <w:trHeight w:val="729" w:hRule="atLeast"/>
        </w:trPr>
        <w:tc>
          <w:tcPr>
            <w:tcW w:w="1087" w:type="dxa"/>
          </w:tcPr>
          <w:p>
            <w:pPr>
              <w:pStyle w:val="TableParagraph"/>
              <w:spacing w:before="7"/>
              <w:rPr>
                <w:b/>
                <w:sz w:val="21"/>
              </w:rPr>
            </w:pPr>
          </w:p>
          <w:p>
            <w:pPr>
              <w:pStyle w:val="TableParagraph"/>
              <w:ind w:left="60" w:right="52"/>
              <w:jc w:val="center"/>
              <w:rPr>
                <w:sz w:val="20"/>
              </w:rPr>
            </w:pPr>
            <w:r>
              <w:rPr>
                <w:sz w:val="20"/>
              </w:rPr>
              <w:t>Address</w:t>
            </w:r>
          </w:p>
        </w:tc>
        <w:tc>
          <w:tcPr>
            <w:tcW w:w="1704" w:type="dxa"/>
          </w:tcPr>
          <w:p>
            <w:pPr>
              <w:pStyle w:val="TableParagraph"/>
              <w:spacing w:before="18"/>
              <w:ind w:left="362" w:right="322" w:hanging="34"/>
              <w:jc w:val="both"/>
              <w:rPr>
                <w:sz w:val="20"/>
              </w:rPr>
            </w:pPr>
            <w:r>
              <w:rPr>
                <w:sz w:val="20"/>
              </w:rPr>
              <w:t>Yes, </w:t>
            </w:r>
            <w:r>
              <w:rPr>
                <w:spacing w:val="-4"/>
                <w:sz w:val="20"/>
              </w:rPr>
              <w:t>except </w:t>
            </w:r>
            <w:r>
              <w:rPr>
                <w:sz w:val="20"/>
              </w:rPr>
              <w:t>single byte transaction</w:t>
            </w:r>
          </w:p>
        </w:tc>
        <w:tc>
          <w:tcPr>
            <w:tcW w:w="809" w:type="dxa"/>
          </w:tcPr>
          <w:p>
            <w:pPr>
              <w:pStyle w:val="TableParagraph"/>
              <w:spacing w:before="7"/>
              <w:rPr>
                <w:b/>
                <w:sz w:val="21"/>
              </w:rPr>
            </w:pPr>
          </w:p>
          <w:p>
            <w:pPr>
              <w:pStyle w:val="TableParagraph"/>
              <w:ind w:left="12"/>
              <w:jc w:val="center"/>
              <w:rPr>
                <w:sz w:val="20"/>
              </w:rPr>
            </w:pPr>
            <w:r>
              <w:rPr>
                <w:w w:val="99"/>
                <w:sz w:val="20"/>
              </w:rPr>
              <w:t>2</w:t>
            </w:r>
          </w:p>
        </w:tc>
        <w:tc>
          <w:tcPr>
            <w:tcW w:w="5760" w:type="dxa"/>
          </w:tcPr>
          <w:p>
            <w:pPr>
              <w:pStyle w:val="TableParagraph"/>
              <w:spacing w:before="134"/>
              <w:ind w:left="71" w:right="59"/>
              <w:rPr>
                <w:sz w:val="20"/>
              </w:rPr>
            </w:pPr>
            <w:r>
              <w:rPr>
                <w:spacing w:val="-3"/>
                <w:sz w:val="20"/>
              </w:rPr>
              <w:t>16-bit address. </w:t>
            </w:r>
            <w:r>
              <w:rPr>
                <w:sz w:val="20"/>
              </w:rPr>
              <w:t>The </w:t>
            </w:r>
            <w:r>
              <w:rPr>
                <w:spacing w:val="-3"/>
                <w:sz w:val="20"/>
              </w:rPr>
              <w:t>address field </w:t>
            </w:r>
            <w:r>
              <w:rPr>
                <w:sz w:val="20"/>
              </w:rPr>
              <w:t>is not </w:t>
            </w:r>
            <w:r>
              <w:rPr>
                <w:spacing w:val="-3"/>
                <w:sz w:val="20"/>
              </w:rPr>
              <w:t>required if </w:t>
            </w:r>
            <w:r>
              <w:rPr>
                <w:sz w:val="20"/>
              </w:rPr>
              <w:t>the </w:t>
            </w:r>
            <w:r>
              <w:rPr>
                <w:spacing w:val="-3"/>
                <w:sz w:val="20"/>
              </w:rPr>
              <w:t>transaction </w:t>
            </w:r>
            <w:r>
              <w:rPr>
                <w:sz w:val="20"/>
              </w:rPr>
              <w:t>is a simple SPI command.</w:t>
            </w:r>
          </w:p>
        </w:tc>
      </w:tr>
      <w:tr>
        <w:trPr>
          <w:trHeight w:val="1422" w:hRule="atLeast"/>
        </w:trPr>
        <w:tc>
          <w:tcPr>
            <w:tcW w:w="1087" w:type="dxa"/>
          </w:tcPr>
          <w:p>
            <w:pPr>
              <w:pStyle w:val="TableParagraph"/>
              <w:rPr>
                <w:b/>
                <w:sz w:val="22"/>
              </w:rPr>
            </w:pPr>
          </w:p>
          <w:p>
            <w:pPr>
              <w:pStyle w:val="TableParagraph"/>
              <w:spacing w:before="8"/>
              <w:rPr>
                <w:b/>
                <w:sz w:val="29"/>
              </w:rPr>
            </w:pPr>
          </w:p>
          <w:p>
            <w:pPr>
              <w:pStyle w:val="TableParagraph"/>
              <w:ind w:left="61" w:right="52"/>
              <w:jc w:val="center"/>
              <w:rPr>
                <w:sz w:val="20"/>
              </w:rPr>
            </w:pPr>
            <w:r>
              <w:rPr>
                <w:sz w:val="20"/>
              </w:rPr>
              <w:t>Command</w:t>
            </w:r>
          </w:p>
        </w:tc>
        <w:tc>
          <w:tcPr>
            <w:tcW w:w="1704" w:type="dxa"/>
          </w:tcPr>
          <w:p>
            <w:pPr>
              <w:pStyle w:val="TableParagraph"/>
              <w:rPr>
                <w:b/>
                <w:sz w:val="22"/>
              </w:rPr>
            </w:pPr>
          </w:p>
          <w:p>
            <w:pPr>
              <w:pStyle w:val="TableParagraph"/>
              <w:spacing w:before="8"/>
              <w:rPr>
                <w:b/>
                <w:sz w:val="29"/>
              </w:rPr>
            </w:pPr>
          </w:p>
          <w:p>
            <w:pPr>
              <w:pStyle w:val="TableParagraph"/>
              <w:ind w:left="395" w:right="389"/>
              <w:jc w:val="center"/>
              <w:rPr>
                <w:sz w:val="20"/>
              </w:rPr>
            </w:pPr>
            <w:r>
              <w:rPr>
                <w:sz w:val="20"/>
              </w:rPr>
              <w:t>Yes</w:t>
            </w:r>
          </w:p>
        </w:tc>
        <w:tc>
          <w:tcPr>
            <w:tcW w:w="809" w:type="dxa"/>
          </w:tcPr>
          <w:p>
            <w:pPr>
              <w:pStyle w:val="TableParagraph"/>
              <w:rPr>
                <w:b/>
                <w:sz w:val="22"/>
              </w:rPr>
            </w:pPr>
          </w:p>
          <w:p>
            <w:pPr>
              <w:pStyle w:val="TableParagraph"/>
              <w:spacing w:before="8"/>
              <w:rPr>
                <w:b/>
                <w:sz w:val="29"/>
              </w:rPr>
            </w:pPr>
          </w:p>
          <w:p>
            <w:pPr>
              <w:pStyle w:val="TableParagraph"/>
              <w:ind w:left="12"/>
              <w:jc w:val="center"/>
              <w:rPr>
                <w:sz w:val="20"/>
              </w:rPr>
            </w:pPr>
            <w:r>
              <w:rPr>
                <w:w w:val="99"/>
                <w:sz w:val="20"/>
              </w:rPr>
              <w:t>1</w:t>
            </w:r>
          </w:p>
        </w:tc>
        <w:tc>
          <w:tcPr>
            <w:tcW w:w="5760" w:type="dxa"/>
          </w:tcPr>
          <w:p>
            <w:pPr>
              <w:pStyle w:val="TableParagraph"/>
              <w:spacing w:before="18"/>
              <w:ind w:left="71"/>
              <w:rPr>
                <w:sz w:val="20"/>
              </w:rPr>
            </w:pPr>
            <w:r>
              <w:rPr>
                <w:sz w:val="20"/>
              </w:rPr>
              <w:t>8-bit command. This byte can be used as a command to the MPU. In multi-byte transactions, the MSB is the R/W bit. Unless the transaction is multi-byte and </w:t>
            </w:r>
            <w:r>
              <w:rPr>
                <w:rFonts w:ascii="Times New Roman"/>
                <w:i/>
                <w:sz w:val="20"/>
              </w:rPr>
              <w:t>SPI_CMD </w:t>
            </w:r>
            <w:r>
              <w:rPr>
                <w:sz w:val="20"/>
              </w:rPr>
              <w:t>is exactly 0x80 or 0x00, the </w:t>
            </w:r>
            <w:r>
              <w:rPr>
                <w:rFonts w:ascii="Times New Roman"/>
                <w:i/>
                <w:sz w:val="20"/>
              </w:rPr>
              <w:t>SPI_CMD </w:t>
            </w:r>
            <w:r>
              <w:rPr>
                <w:sz w:val="20"/>
              </w:rPr>
              <w:t>register is updated and an SPI interrupt is issued. Otherwise, the </w:t>
            </w:r>
            <w:r>
              <w:rPr>
                <w:rFonts w:ascii="Times New Roman"/>
                <w:i/>
                <w:sz w:val="20"/>
              </w:rPr>
              <w:t>SPI_CMD </w:t>
            </w:r>
            <w:r>
              <w:rPr>
                <w:sz w:val="20"/>
              </w:rPr>
              <w:t>register is unchanged and the interrupt is not issued.</w:t>
            </w:r>
          </w:p>
        </w:tc>
      </w:tr>
      <w:tr>
        <w:trPr>
          <w:trHeight w:val="731" w:hRule="atLeast"/>
        </w:trPr>
        <w:tc>
          <w:tcPr>
            <w:tcW w:w="1087" w:type="dxa"/>
          </w:tcPr>
          <w:p>
            <w:pPr>
              <w:pStyle w:val="TableParagraph"/>
              <w:spacing w:before="7"/>
              <w:rPr>
                <w:b/>
                <w:sz w:val="21"/>
              </w:rPr>
            </w:pPr>
          </w:p>
          <w:p>
            <w:pPr>
              <w:pStyle w:val="TableParagraph"/>
              <w:ind w:left="57" w:right="52"/>
              <w:jc w:val="center"/>
              <w:rPr>
                <w:sz w:val="20"/>
              </w:rPr>
            </w:pPr>
            <w:r>
              <w:rPr>
                <w:sz w:val="20"/>
              </w:rPr>
              <w:t>Status</w:t>
            </w:r>
          </w:p>
        </w:tc>
        <w:tc>
          <w:tcPr>
            <w:tcW w:w="1704" w:type="dxa"/>
          </w:tcPr>
          <w:p>
            <w:pPr>
              <w:pStyle w:val="TableParagraph"/>
              <w:spacing w:before="134"/>
              <w:ind w:left="189" w:right="-11" w:hanging="94"/>
              <w:rPr>
                <w:sz w:val="20"/>
              </w:rPr>
            </w:pPr>
            <w:r>
              <w:rPr>
                <w:sz w:val="20"/>
              </w:rPr>
              <w:t>Yes, if transaction includes DATA</w:t>
            </w:r>
          </w:p>
        </w:tc>
        <w:tc>
          <w:tcPr>
            <w:tcW w:w="809" w:type="dxa"/>
          </w:tcPr>
          <w:p>
            <w:pPr>
              <w:pStyle w:val="TableParagraph"/>
              <w:spacing w:before="7"/>
              <w:rPr>
                <w:b/>
                <w:sz w:val="21"/>
              </w:rPr>
            </w:pPr>
          </w:p>
          <w:p>
            <w:pPr>
              <w:pStyle w:val="TableParagraph"/>
              <w:ind w:left="13"/>
              <w:jc w:val="center"/>
              <w:rPr>
                <w:sz w:val="20"/>
              </w:rPr>
            </w:pPr>
            <w:r>
              <w:rPr>
                <w:w w:val="99"/>
                <w:sz w:val="20"/>
              </w:rPr>
              <w:t>1</w:t>
            </w:r>
          </w:p>
        </w:tc>
        <w:tc>
          <w:tcPr>
            <w:tcW w:w="5760" w:type="dxa"/>
          </w:tcPr>
          <w:p>
            <w:pPr>
              <w:pStyle w:val="TableParagraph"/>
              <w:spacing w:before="18"/>
              <w:ind w:left="71" w:right="59"/>
              <w:rPr>
                <w:sz w:val="20"/>
              </w:rPr>
            </w:pPr>
            <w:r>
              <w:rPr>
                <w:sz w:val="20"/>
              </w:rPr>
              <w:t>8-bit</w:t>
            </w:r>
            <w:r>
              <w:rPr>
                <w:spacing w:val="-14"/>
                <w:sz w:val="20"/>
              </w:rPr>
              <w:t> </w:t>
            </w:r>
            <w:r>
              <w:rPr>
                <w:sz w:val="20"/>
              </w:rPr>
              <w:t>status</w:t>
            </w:r>
            <w:r>
              <w:rPr>
                <w:spacing w:val="-11"/>
                <w:sz w:val="20"/>
              </w:rPr>
              <w:t> </w:t>
            </w:r>
            <w:r>
              <w:rPr>
                <w:sz w:val="20"/>
              </w:rPr>
              <w:t>field,</w:t>
            </w:r>
            <w:r>
              <w:rPr>
                <w:spacing w:val="-10"/>
                <w:sz w:val="20"/>
              </w:rPr>
              <w:t> </w:t>
            </w:r>
            <w:r>
              <w:rPr>
                <w:spacing w:val="-3"/>
                <w:sz w:val="20"/>
              </w:rPr>
              <w:t>indicating</w:t>
            </w:r>
            <w:r>
              <w:rPr>
                <w:spacing w:val="-11"/>
                <w:sz w:val="20"/>
              </w:rPr>
              <w:t> </w:t>
            </w:r>
            <w:r>
              <w:rPr>
                <w:sz w:val="20"/>
              </w:rPr>
              <w:t>the</w:t>
            </w:r>
            <w:r>
              <w:rPr>
                <w:spacing w:val="-13"/>
                <w:sz w:val="20"/>
              </w:rPr>
              <w:t> </w:t>
            </w:r>
            <w:r>
              <w:rPr>
                <w:sz w:val="20"/>
              </w:rPr>
              <w:t>status</w:t>
            </w:r>
            <w:r>
              <w:rPr>
                <w:spacing w:val="-10"/>
                <w:sz w:val="20"/>
              </w:rPr>
              <w:t> </w:t>
            </w:r>
            <w:r>
              <w:rPr>
                <w:sz w:val="20"/>
              </w:rPr>
              <w:t>of</w:t>
            </w:r>
            <w:r>
              <w:rPr>
                <w:spacing w:val="-10"/>
                <w:sz w:val="20"/>
              </w:rPr>
              <w:t> </w:t>
            </w:r>
            <w:r>
              <w:rPr>
                <w:sz w:val="20"/>
              </w:rPr>
              <w:t>the</w:t>
            </w:r>
            <w:r>
              <w:rPr>
                <w:spacing w:val="-13"/>
                <w:sz w:val="20"/>
              </w:rPr>
              <w:t> </w:t>
            </w:r>
            <w:r>
              <w:rPr>
                <w:sz w:val="20"/>
              </w:rPr>
              <w:t>previous</w:t>
            </w:r>
            <w:r>
              <w:rPr>
                <w:spacing w:val="-10"/>
                <w:sz w:val="20"/>
              </w:rPr>
              <w:t> </w:t>
            </w:r>
            <w:r>
              <w:rPr>
                <w:spacing w:val="-3"/>
                <w:sz w:val="20"/>
              </w:rPr>
              <w:t>transaction. </w:t>
            </w:r>
            <w:r>
              <w:rPr>
                <w:sz w:val="20"/>
              </w:rPr>
              <w:t>This byte is also available in the MPU memory map as </w:t>
            </w:r>
            <w:r>
              <w:rPr>
                <w:rFonts w:ascii="Times New Roman"/>
                <w:i/>
                <w:sz w:val="20"/>
              </w:rPr>
              <w:t>SPI_STAT (I/O RAM 0x2708)</w:t>
            </w:r>
            <w:r>
              <w:rPr>
                <w:sz w:val="20"/>
              </w:rPr>
              <w:t>. See </w:t>
            </w:r>
            <w:hyperlink w:history="true" w:anchor="_bookmark143">
              <w:r>
                <w:rPr>
                  <w:color w:val="0000FF"/>
                  <w:sz w:val="20"/>
                </w:rPr>
                <w:t>Table 58 </w:t>
              </w:r>
            </w:hyperlink>
            <w:r>
              <w:rPr>
                <w:sz w:val="20"/>
              </w:rPr>
              <w:t>for the</w:t>
            </w:r>
            <w:r>
              <w:rPr>
                <w:spacing w:val="-15"/>
                <w:sz w:val="20"/>
              </w:rPr>
              <w:t> </w:t>
            </w:r>
            <w:r>
              <w:rPr>
                <w:sz w:val="20"/>
              </w:rPr>
              <w:t>contents.</w:t>
            </w:r>
          </w:p>
        </w:tc>
      </w:tr>
      <w:tr>
        <w:trPr>
          <w:trHeight w:val="498" w:hRule="atLeast"/>
        </w:trPr>
        <w:tc>
          <w:tcPr>
            <w:tcW w:w="1087" w:type="dxa"/>
          </w:tcPr>
          <w:p>
            <w:pPr>
              <w:pStyle w:val="TableParagraph"/>
              <w:spacing w:before="134"/>
              <w:ind w:left="57" w:right="52"/>
              <w:jc w:val="center"/>
              <w:rPr>
                <w:sz w:val="20"/>
              </w:rPr>
            </w:pPr>
            <w:r>
              <w:rPr>
                <w:sz w:val="20"/>
              </w:rPr>
              <w:t>Data</w:t>
            </w:r>
          </w:p>
        </w:tc>
        <w:tc>
          <w:tcPr>
            <w:tcW w:w="1704" w:type="dxa"/>
          </w:tcPr>
          <w:p>
            <w:pPr>
              <w:pStyle w:val="TableParagraph"/>
              <w:spacing w:before="18"/>
              <w:ind w:left="189" w:right="-11" w:hanging="94"/>
              <w:rPr>
                <w:sz w:val="20"/>
              </w:rPr>
            </w:pPr>
            <w:r>
              <w:rPr>
                <w:sz w:val="20"/>
              </w:rPr>
              <w:t>Yes, if transaction includes DATA</w:t>
            </w:r>
          </w:p>
        </w:tc>
        <w:tc>
          <w:tcPr>
            <w:tcW w:w="809" w:type="dxa"/>
          </w:tcPr>
          <w:p>
            <w:pPr>
              <w:pStyle w:val="TableParagraph"/>
              <w:spacing w:before="18"/>
              <w:ind w:left="177" w:right="146" w:firstLine="55"/>
              <w:rPr>
                <w:sz w:val="20"/>
              </w:rPr>
            </w:pPr>
            <w:r>
              <w:rPr>
                <w:sz w:val="20"/>
              </w:rPr>
              <w:t>1 or more</w:t>
            </w:r>
          </w:p>
        </w:tc>
        <w:tc>
          <w:tcPr>
            <w:tcW w:w="5760" w:type="dxa"/>
          </w:tcPr>
          <w:p>
            <w:pPr>
              <w:pStyle w:val="TableParagraph"/>
              <w:spacing w:before="18"/>
              <w:ind w:left="71"/>
              <w:rPr>
                <w:sz w:val="20"/>
              </w:rPr>
            </w:pPr>
            <w:r>
              <w:rPr>
                <w:sz w:val="20"/>
              </w:rPr>
              <w:t>The read or write data. Address is auto incremented for each new byte.</w:t>
            </w:r>
          </w:p>
        </w:tc>
      </w:tr>
    </w:tbl>
    <w:p>
      <w:pPr>
        <w:pStyle w:val="BodyText"/>
        <w:spacing w:before="7"/>
        <w:rPr>
          <w:b/>
          <w:sz w:val="19"/>
        </w:rPr>
      </w:pPr>
    </w:p>
    <w:p>
      <w:pPr>
        <w:pStyle w:val="BodyText"/>
        <w:spacing w:line="242" w:lineRule="auto"/>
        <w:ind w:left="240" w:right="498"/>
      </w:pPr>
      <w:r>
        <w:rPr/>
        <w:t>The </w:t>
      </w:r>
      <w:r>
        <w:rPr>
          <w:rFonts w:ascii="Times New Roman"/>
          <w:i/>
        </w:rPr>
        <w:t>SPI_STAT </w:t>
      </w:r>
      <w:r>
        <w:rPr/>
        <w:t>byte is output on every SPI transaction and indicates the parity of the previous transaction and the error status of the previous transaction. Potential error sources are:</w:t>
      </w:r>
    </w:p>
    <w:p>
      <w:pPr>
        <w:pStyle w:val="ListParagraph"/>
        <w:numPr>
          <w:ilvl w:val="0"/>
          <w:numId w:val="15"/>
        </w:numPr>
        <w:tabs>
          <w:tab w:pos="599" w:val="left" w:leader="none"/>
          <w:tab w:pos="600" w:val="left" w:leader="none"/>
        </w:tabs>
        <w:spacing w:line="240" w:lineRule="auto" w:before="119" w:after="0"/>
        <w:ind w:left="599" w:right="0" w:hanging="361"/>
        <w:jc w:val="left"/>
        <w:rPr>
          <w:sz w:val="20"/>
        </w:rPr>
      </w:pPr>
      <w:r>
        <w:rPr>
          <w:sz w:val="20"/>
        </w:rPr>
        <w:t>71M6543 not</w:t>
      </w:r>
      <w:r>
        <w:rPr>
          <w:spacing w:val="-3"/>
          <w:sz w:val="20"/>
        </w:rPr>
        <w:t> </w:t>
      </w:r>
      <w:r>
        <w:rPr>
          <w:sz w:val="20"/>
        </w:rPr>
        <w:t>ready</w:t>
      </w:r>
    </w:p>
    <w:p>
      <w:pPr>
        <w:pStyle w:val="ListParagraph"/>
        <w:numPr>
          <w:ilvl w:val="0"/>
          <w:numId w:val="15"/>
        </w:numPr>
        <w:tabs>
          <w:tab w:pos="599" w:val="left" w:leader="none"/>
          <w:tab w:pos="600" w:val="left" w:leader="none"/>
        </w:tabs>
        <w:spacing w:line="240" w:lineRule="auto" w:before="38" w:after="0"/>
        <w:ind w:left="599" w:right="0" w:hanging="361"/>
        <w:jc w:val="left"/>
        <w:rPr>
          <w:sz w:val="20"/>
        </w:rPr>
      </w:pPr>
      <w:r>
        <w:rPr>
          <w:sz w:val="20"/>
        </w:rPr>
        <w:t>Transaction not ending on a byte</w:t>
      </w:r>
      <w:r>
        <w:rPr>
          <w:spacing w:val="-2"/>
          <w:sz w:val="20"/>
        </w:rPr>
        <w:t> </w:t>
      </w:r>
      <w:r>
        <w:rPr>
          <w:sz w:val="20"/>
        </w:rPr>
        <w:t>boundary.</w:t>
      </w:r>
    </w:p>
    <w:p>
      <w:pPr>
        <w:spacing w:after="0" w:line="240" w:lineRule="auto"/>
        <w:jc w:val="left"/>
        <w:rPr>
          <w:sz w:val="20"/>
        </w:rPr>
        <w:sectPr>
          <w:pgSz w:w="12240" w:h="15840"/>
          <w:pgMar w:header="727" w:footer="819" w:top="960" w:bottom="1000" w:left="1200" w:right="1060"/>
        </w:sectPr>
      </w:pPr>
    </w:p>
    <w:p>
      <w:pPr>
        <w:pStyle w:val="BodyText"/>
        <w:spacing w:before="6"/>
        <w:rPr>
          <w:sz w:val="16"/>
        </w:rPr>
      </w:pPr>
    </w:p>
    <w:p>
      <w:pPr>
        <w:spacing w:before="93"/>
        <w:ind w:left="240" w:right="0" w:firstLine="0"/>
        <w:jc w:val="left"/>
        <w:rPr>
          <w:b/>
          <w:sz w:val="20"/>
        </w:rPr>
      </w:pPr>
      <w:r>
        <w:rPr>
          <w:b/>
          <w:sz w:val="20"/>
        </w:rPr>
        <w:t>SPI Safe Mode</w:t>
      </w:r>
    </w:p>
    <w:p>
      <w:pPr>
        <w:pStyle w:val="BodyText"/>
        <w:spacing w:before="122"/>
        <w:ind w:left="239" w:right="401"/>
      </w:pPr>
      <w:r>
        <w:rPr/>
        <w:t>Sometimes it is desirable to prevent the SPI interface from writing to arbitrary RAM locations and thus disturbing MPU and CE operation. This is especially true in AFE applications. For this reason, the SPI SAFE mode was created. In SPI SAFE mode, SPI write operations are disabled except for a 16 byte transfer region at address 0x400 to 0x40F. If the SPI host needs to write to other addresses, it must use the </w:t>
      </w:r>
      <w:r>
        <w:rPr>
          <w:rFonts w:ascii="Times New Roman"/>
          <w:i/>
        </w:rPr>
        <w:t>SPI_CMD </w:t>
      </w:r>
      <w:r>
        <w:rPr/>
        <w:t>register to request the write operation from the MPU. SPI SAFE mode is enabled by the </w:t>
      </w:r>
      <w:r>
        <w:rPr>
          <w:rFonts w:ascii="Times New Roman"/>
          <w:i/>
        </w:rPr>
        <w:t>SPI_SAFE </w:t>
      </w:r>
      <w:r>
        <w:rPr/>
        <w:t>bit </w:t>
      </w:r>
      <w:r>
        <w:rPr>
          <w:rFonts w:ascii="Times New Roman"/>
          <w:i/>
        </w:rPr>
        <w:t>(I/O RAM 0x270C[3])</w:t>
      </w:r>
      <w:r>
        <w:rPr/>
        <w:t>.</w:t>
      </w:r>
    </w:p>
    <w:p>
      <w:pPr>
        <w:spacing w:before="117"/>
        <w:ind w:left="239" w:right="0" w:firstLine="0"/>
        <w:jc w:val="left"/>
        <w:rPr>
          <w:b/>
          <w:sz w:val="20"/>
        </w:rPr>
      </w:pPr>
      <w:r>
        <w:rPr>
          <w:b/>
          <w:sz w:val="20"/>
        </w:rPr>
        <w:t>Single-Byte Transaction</w:t>
      </w:r>
    </w:p>
    <w:p>
      <w:pPr>
        <w:pStyle w:val="BodyText"/>
        <w:spacing w:before="122"/>
        <w:ind w:left="239" w:right="406"/>
      </w:pPr>
      <w:r>
        <w:rPr/>
        <w:t>If a transaction is a single byte, the byte is interpreted as SPI_CMD. Regardless of the byte value, single-byte transactions always update the </w:t>
      </w:r>
      <w:r>
        <w:rPr>
          <w:rFonts w:ascii="Times New Roman"/>
          <w:i/>
        </w:rPr>
        <w:t>SPI_CMD </w:t>
      </w:r>
      <w:r>
        <w:rPr/>
        <w:t>register and cause an SPI interrupt to be generated.</w:t>
      </w:r>
    </w:p>
    <w:p>
      <w:pPr>
        <w:spacing w:before="118"/>
        <w:ind w:left="239" w:right="0" w:firstLine="0"/>
        <w:jc w:val="left"/>
        <w:rPr>
          <w:b/>
          <w:sz w:val="20"/>
        </w:rPr>
      </w:pPr>
      <w:r>
        <w:rPr>
          <w:b/>
          <w:sz w:val="20"/>
        </w:rPr>
        <w:t>Multi-Byte Transaction</w:t>
      </w:r>
    </w:p>
    <w:p>
      <w:pPr>
        <w:pStyle w:val="BodyText"/>
        <w:spacing w:before="123"/>
        <w:ind w:left="239" w:right="368"/>
      </w:pPr>
      <w:r>
        <w:rPr/>
        <w:pict>
          <v:group style="position:absolute;margin-left:72.839996pt;margin-top:35.309364pt;width:466.35pt;height:174pt;mso-position-horizontal-relative:page;mso-position-vertical-relative:paragraph;z-index:-15636480;mso-wrap-distance-left:0;mso-wrap-distance-right:0" coordorigin="1457,706" coordsize="9327,3480">
            <v:shape style="position:absolute;left:2555;top:1264;width:8166;height:152" coordorigin="2556,1264" coordsize="8166,152" path="m2556,1264l2732,1264,2833,1416,10444,1416,10532,1264,10721,1264e" filled="false" stroked="true" strokeweight=".202075pt" strokecolor="#000000">
              <v:path arrowok="t"/>
              <v:stroke dashstyle="solid"/>
            </v:shape>
            <v:shape style="position:absolute;left:4370;top:1870;width:946;height:152" coordorigin="4370,1871" coordsize="946,152" path="m4370,2022l4408,1871,4673,1871,4710,2022,4975,2022,5013,1871,5278,1871,5315,2022e" filled="false" stroked="true" strokeweight=".202063pt" strokecolor="#000000">
              <v:path arrowok="t"/>
              <v:stroke dashstyle="solid"/>
            </v:shape>
            <v:shape style="position:absolute;left:5424;top:1830;width:28;height:79" coordorigin="5424,1831" coordsize="28,79" path="m5441,1831l5452,1854,5437,1871,5424,1886,5441,1909e" filled="false" stroked="true" strokeweight=".201657pt" strokecolor="#000000">
              <v:path arrowok="t"/>
              <v:stroke dashstyle="solid"/>
            </v:shape>
            <v:shape style="position:absolute;left:5440;top:1830;width:30;height:79" coordorigin="5441,1831" coordsize="30,79" path="m5460,1831l5470,1854,5455,1871,5441,1886,5454,1909e" filled="false" stroked="true" strokeweight=".201666pt" strokecolor="#000000">
              <v:path arrowok="t"/>
              <v:stroke dashstyle="solid"/>
            </v:shape>
            <v:shape style="position:absolute;left:5423;top:1982;width:27;height:79" coordorigin="5423,1982" coordsize="27,79" path="m5439,1982l5450,2006,5435,2022,5423,2038,5441,2060e" filled="false" stroked="true" strokeweight=".201654pt" strokecolor="#000000">
              <v:path arrowok="t"/>
              <v:stroke dashstyle="solid"/>
            </v:shape>
            <v:shape style="position:absolute;left:5439;top:1982;width:30;height:79" coordorigin="5439,1982" coordsize="30,79" path="m5458,1982l5468,2006,5453,2022,5439,2038,5454,2060e" filled="false" stroked="true" strokeweight=".201663pt" strokecolor="#000000">
              <v:path arrowok="t"/>
              <v:stroke dashstyle="solid"/>
            </v:shape>
            <v:shape style="position:absolute;left:5579;top:1870;width:3629;height:152" coordorigin="5580,1871" coordsize="3629,152" path="m5580,2022l5618,1871,5882,1871,5920,2022,9209,2022e" filled="false" stroked="true" strokeweight=".202074pt" strokecolor="#000000">
              <v:path arrowok="t"/>
              <v:stroke dashstyle="solid"/>
            </v:shape>
            <v:shape style="position:absolute;left:5579;top:1870;width:3629;height:152" coordorigin="5580,1871" coordsize="3629,152" path="m5580,1871l5618,2022,5882,2022,5920,1871,9209,1871e" filled="false" stroked="true" strokeweight=".202074pt" strokecolor="#000000">
              <v:path arrowok="t"/>
              <v:stroke dashstyle="solid"/>
            </v:shape>
            <v:line style="position:absolute" from="5580,2022" to="5315,2022" stroked="true" strokeweight=".202075pt" strokecolor="#000000">
              <v:stroke dashstyle="solid"/>
            </v:line>
            <v:line style="position:absolute" from="5580,1871" to="5315,1871" stroked="true" strokeweight=".202075pt" strokecolor="#000000">
              <v:stroke dashstyle="solid"/>
            </v:line>
            <v:shape style="position:absolute;left:7734;top:2173;width:303;height:152" coordorigin="7735,2174" coordsize="303,152" path="m7735,2174l7999,2174,8037,2325e" filled="false" stroked="true" strokeweight=".201981pt" strokecolor="#000000">
              <v:path arrowok="t"/>
              <v:stroke dashstyle="solid"/>
            </v:shape>
            <v:shape style="position:absolute;left:7734;top:2173;width:303;height:152" coordorigin="7735,2174" coordsize="303,152" path="m7735,2325l7999,2325,8037,2174e" filled="false" stroked="true" strokeweight=".201981pt" strokecolor="#000000">
              <v:path arrowok="t"/>
              <v:stroke dashstyle="solid"/>
            </v:shape>
            <v:shape style="position:absolute;left:8036;top:2173;width:303;height:152" coordorigin="8037,2174" coordsize="303,152" path="m8037,2174l8302,2174,8339,2325e" filled="false" stroked="true" strokeweight=".201981pt" strokecolor="#000000">
              <v:path arrowok="t"/>
              <v:stroke dashstyle="solid"/>
            </v:shape>
            <v:shape style="position:absolute;left:8036;top:2173;width:303;height:152" coordorigin="8037,2174" coordsize="303,152" path="m8037,2325l8302,2325,8339,2174e" filled="false" stroked="true" strokeweight=".201981pt" strokecolor="#000000">
              <v:path arrowok="t"/>
              <v:stroke dashstyle="solid"/>
            </v:shape>
            <v:shape style="position:absolute;left:8339;top:2173;width:303;height:152" coordorigin="8339,2174" coordsize="303,152" path="m8339,2174l8604,2174,8642,2325e" filled="false" stroked="true" strokeweight=".201981pt" strokecolor="#000000">
              <v:path arrowok="t"/>
              <v:stroke dashstyle="solid"/>
            </v:shape>
            <v:shape style="position:absolute;left:8339;top:2173;width:303;height:152" coordorigin="8339,2174" coordsize="303,152" path="m8339,2325l8604,2325,8642,2174e" filled="false" stroked="true" strokeweight=".201981pt" strokecolor="#000000">
              <v:path arrowok="t"/>
              <v:stroke dashstyle="solid"/>
            </v:shape>
            <v:shape style="position:absolute;left:8641;top:2173;width:303;height:152" coordorigin="8642,2174" coordsize="303,152" path="m8642,2174l8906,2174,8944,2325e" filled="false" stroked="true" strokeweight=".201981pt" strokecolor="#000000">
              <v:path arrowok="t"/>
              <v:stroke dashstyle="solid"/>
            </v:shape>
            <v:shape style="position:absolute;left:8641;top:2173;width:303;height:152" coordorigin="8642,2174" coordsize="303,152" path="m8642,2325l8906,2325,8944,2174e" filled="false" stroked="true" strokeweight=".201981pt" strokecolor="#000000">
              <v:path arrowok="t"/>
              <v:stroke dashstyle="solid"/>
            </v:shape>
            <v:shape style="position:absolute;left:8944;top:2173;width:303;height:152" coordorigin="8944,2174" coordsize="303,152" path="m8944,2174l9209,2174,9247,2325e" filled="false" stroked="true" strokeweight=".201981pt" strokecolor="#000000">
              <v:path arrowok="t"/>
              <v:stroke dashstyle="solid"/>
            </v:shape>
            <v:shape style="position:absolute;left:8944;top:2173;width:303;height:152" coordorigin="8944,2174" coordsize="303,152" path="m8944,2325l9209,2325,9247,2174e" filled="false" stroked="true" strokeweight=".201981pt" strokecolor="#000000">
              <v:path arrowok="t"/>
              <v:stroke dashstyle="solid"/>
            </v:shape>
            <v:shape style="position:absolute;left:9246;top:2173;width:303;height:152" coordorigin="9247,2174" coordsize="303,152" path="m9247,2174l9511,2174,9549,2325e" filled="false" stroked="true" strokeweight=".201981pt" strokecolor="#000000">
              <v:path arrowok="t"/>
              <v:stroke dashstyle="solid"/>
            </v:shape>
            <v:shape style="position:absolute;left:9246;top:2173;width:303;height:152" coordorigin="9247,2174" coordsize="303,152" path="m9247,2325l9511,2325,9549,2174e" filled="false" stroked="true" strokeweight=".201981pt" strokecolor="#000000">
              <v:path arrowok="t"/>
              <v:stroke dashstyle="solid"/>
            </v:shape>
            <v:shape style="position:absolute;left:9549;top:2173;width:303;height:152" coordorigin="9549,2174" coordsize="303,152" path="m9549,2174l9814,2174,9851,2325e" filled="false" stroked="true" strokeweight=".201981pt" strokecolor="#000000">
              <v:path arrowok="t"/>
              <v:stroke dashstyle="solid"/>
            </v:shape>
            <v:shape style="position:absolute;left:9549;top:2173;width:303;height:152" coordorigin="9549,2174" coordsize="303,152" path="m9549,2325l9814,2325,9851,2174e" filled="false" stroked="true" strokeweight=".201981pt" strokecolor="#000000">
              <v:path arrowok="t"/>
              <v:stroke dashstyle="solid"/>
            </v:shape>
            <v:shape style="position:absolute;left:9851;top:2173;width:303;height:152" coordorigin="9851,2174" coordsize="303,152" path="m9851,2174l10116,2174,10154,2325e" filled="false" stroked="true" strokeweight=".201981pt" strokecolor="#000000">
              <v:path arrowok="t"/>
              <v:stroke dashstyle="solid"/>
            </v:shape>
            <v:shape style="position:absolute;left:9851;top:2173;width:303;height:152" coordorigin="9851,2174" coordsize="303,152" path="m9851,2325l10116,2325,10154,2174e" filled="false" stroked="true" strokeweight=".201981pt" strokecolor="#000000">
              <v:path arrowok="t"/>
              <v:stroke dashstyle="solid"/>
            </v:shape>
            <v:shape style="position:absolute;left:10153;top:2173;width:303;height:152" coordorigin="10154,2174" coordsize="303,152" path="m10154,2174l10418,2174,10456,2325e" filled="false" stroked="true" strokeweight=".201981pt" strokecolor="#000000">
              <v:path arrowok="t"/>
              <v:stroke dashstyle="solid"/>
            </v:shape>
            <v:shape style="position:absolute;left:10153;top:2173;width:303;height:152" coordorigin="10154,2174" coordsize="303,152" path="m10154,2325l10418,2325,10456,2174e" filled="false" stroked="true" strokeweight=".201981pt" strokecolor="#000000">
              <v:path arrowok="t"/>
              <v:stroke dashstyle="solid"/>
            </v:shape>
            <v:shape style="position:absolute;left:8145;top:2133;width:28;height:79" coordorigin="8146,2134" coordsize="28,79" path="m8163,2134l8173,2157,8159,2174,8146,2190,8163,2212e" filled="false" stroked="true" strokeweight=".201657pt" strokecolor="#000000">
              <v:path arrowok="t"/>
              <v:stroke dashstyle="solid"/>
            </v:shape>
            <v:shape style="position:absolute;left:8162;top:2133;width:30;height:79" coordorigin="8162,2134" coordsize="30,79" path="m8181,2134l8192,2157,8177,2174,8162,2190,8176,2212e" filled="false" stroked="true" strokeweight=".201666pt" strokecolor="#000000">
              <v:path arrowok="t"/>
              <v:stroke dashstyle="solid"/>
            </v:shape>
            <v:shape style="position:absolute;left:8144;top:2285;width:27;height:79" coordorigin="8145,2285" coordsize="27,79" path="m8161,2285l8171,2309,8157,2325,8145,2341,8163,2363e" filled="false" stroked="true" strokeweight=".201654pt" strokecolor="#000000">
              <v:path arrowok="t"/>
              <v:stroke dashstyle="solid"/>
            </v:shape>
            <v:shape style="position:absolute;left:8161;top:2285;width:30;height:79" coordorigin="8161,2285" coordsize="30,79" path="m8179,2285l8190,2309,8175,2325,8161,2341,8176,2363e" filled="false" stroked="true" strokeweight=".201663pt" strokecolor="#000000">
              <v:path arrowok="t"/>
              <v:stroke dashstyle="solid"/>
            </v:shape>
            <v:shape style="position:absolute;left:9657;top:2133;width:28;height:79" coordorigin="9658,2134" coordsize="28,79" path="m9675,2134l9685,2157,9671,2174,9658,2190,9675,2212e" filled="false" stroked="true" strokeweight=".201657pt" strokecolor="#000000">
              <v:path arrowok="t"/>
              <v:stroke dashstyle="solid"/>
            </v:shape>
            <v:shape style="position:absolute;left:9674;top:2133;width:30;height:79" coordorigin="9674,2134" coordsize="30,79" path="m9694,2134l9704,2157,9689,2174,9674,2190,9688,2212e" filled="false" stroked="true" strokeweight=".201666pt" strokecolor="#000000">
              <v:path arrowok="t"/>
              <v:stroke dashstyle="solid"/>
            </v:shape>
            <v:shape style="position:absolute;left:9656;top:2285;width:27;height:79" coordorigin="9657,2285" coordsize="27,79" path="m9673,2285l9683,2309,9669,2325,9657,2341,9675,2363e" filled="false" stroked="true" strokeweight=".201654pt" strokecolor="#000000">
              <v:path arrowok="t"/>
              <v:stroke dashstyle="solid"/>
            </v:shape>
            <v:shape style="position:absolute;left:9673;top:2285;width:30;height:79" coordorigin="9673,2285" coordsize="30,79" path="m9691,2285l9702,2309,9687,2325,9673,2341,9688,2363e" filled="false" stroked="true" strokeweight=".201663pt" strokecolor="#000000">
              <v:path arrowok="t"/>
              <v:stroke dashstyle="solid"/>
            </v:shape>
            <v:line style="position:absolute" from="10456,2174" to="10532,2174" stroked="true" strokeweight=".202075pt" strokecolor="#000000">
              <v:stroke dashstyle="solid"/>
            </v:line>
            <v:shape style="position:absolute;left:10456;top:2249;width:114;height:76" coordorigin="10456,2250" coordsize="114,76" path="m10456,2325l10532,2325,10570,2250e" filled="false" stroked="true" strokeweight=".20193pt" strokecolor="#000000">
              <v:path arrowok="t"/>
              <v:stroke dashstyle="solid"/>
            </v:shape>
            <v:shape style="position:absolute;left:10531;top:2173;width:189;height:76" coordorigin="10532,2174" coordsize="189,76" path="m10532,2174l10557,2250,10721,2250e" filled="false" stroked="true" strokeweight=".20201pt" strokecolor="#000000">
              <v:path arrowok="t"/>
              <v:stroke dashstyle="solid"/>
            </v:shape>
            <v:shape style="position:absolute;left:10563;top:1337;width:40;height:761" coordorigin="10563,1338" coordsize="40,761" path="m10563,1338l10583,1411,10595,1486,10601,1561,10602,1638,10600,1715,10594,1792,10587,1869,10580,1946,10574,2022,10570,2098e" filled="false" stroked="true" strokeweight=".201607pt" strokecolor="#000000">
              <v:path arrowok="t"/>
              <v:stroke dashstyle="solid"/>
            </v:shape>
            <v:shape style="position:absolute;left:10519;top:2072;width:94;height:102" coordorigin="10519,2073" coordsize="94,102" path="m10523,2080l10520,2079,10519,2073,10523,2080xm10570,2174l10523,2080,10543,2088,10566,2092,10605,2092,10570,2174xm10605,2092l10566,2092,10590,2090,10613,2082,10607,2085,10605,2092xe" filled="true" fillcolor="#000000" stroked="false">
              <v:path arrowok="t"/>
              <v:fill type="solid"/>
            </v:shape>
            <v:shape style="position:absolute;left:3803;top:1870;width:303;height:152" coordorigin="3803,1871" coordsize="303,152" path="m3803,1871l4068,1871,4106,2022e" filled="false" stroked="true" strokeweight=".201981pt" strokecolor="#000000">
              <v:path arrowok="t"/>
              <v:stroke dashstyle="solid"/>
            </v:shape>
            <v:shape style="position:absolute;left:3803;top:1870;width:303;height:152" coordorigin="3803,1871" coordsize="303,152" path="m3803,2022l4068,2022,4106,1871e" filled="false" stroked="true" strokeweight=".201981pt" strokecolor="#000000">
              <v:path arrowok="t"/>
              <v:stroke dashstyle="solid"/>
            </v:shape>
            <v:shape style="position:absolute;left:3500;top:1870;width:303;height:152" coordorigin="3501,1871" coordsize="303,152" path="m3501,1871l3765,1871,3803,2022e" filled="false" stroked="true" strokeweight=".201981pt" strokecolor="#000000">
              <v:path arrowok="t"/>
              <v:stroke dashstyle="solid"/>
            </v:shape>
            <v:shape style="position:absolute;left:3500;top:1870;width:303;height:152" coordorigin="3501,1871" coordsize="303,152" path="m3501,2022l3765,2022,3803,1871e" filled="false" stroked="true" strokeweight=".201981pt" strokecolor="#000000">
              <v:path arrowok="t"/>
              <v:stroke dashstyle="solid"/>
            </v:shape>
            <v:shape style="position:absolute;left:3619;top:1830;width:26;height:79" coordorigin="3620,1831" coordsize="26,79" path="m3634,1831l3645,1854,3631,1871,3620,1886,3639,1909e" filled="false" stroked="true" strokeweight=".20165pt" strokecolor="#000000">
              <v:path arrowok="t"/>
              <v:stroke dashstyle="solid"/>
            </v:shape>
            <v:shape style="position:absolute;left:3635;top:1830;width:28;height:79" coordorigin="3636,1831" coordsize="28,79" path="m3653,1831l3664,1854,3649,1871,3636,1886,3652,1909e" filled="false" stroked="true" strokeweight=".201659pt" strokecolor="#000000">
              <v:path arrowok="t"/>
              <v:stroke dashstyle="solid"/>
            </v:shape>
            <v:shape style="position:absolute;left:3613;top:1982;width:30;height:79" coordorigin="3613,1982" coordsize="30,79" path="m3632,1982l3643,2006,3628,2022,3613,2038,3627,2060e" filled="false" stroked="true" strokeweight=".201665pt" strokecolor="#000000">
              <v:path arrowok="t"/>
              <v:stroke dashstyle="solid"/>
            </v:shape>
            <v:shape style="position:absolute;left:3634;top:1982;width:28;height:79" coordorigin="3635,1982" coordsize="28,79" path="m3651,1982l3662,2006,3647,2022,3635,2038,3652,2060e" filled="false" stroked="true" strokeweight=".201656pt" strokecolor="#000000">
              <v:path arrowok="t"/>
              <v:stroke dashstyle="solid"/>
            </v:shape>
            <v:shape style="position:absolute;left:2555;top:1567;width:605;height:152" coordorigin="2556,1568" coordsize="605,152" path="m2556,1719l3009,1719,3009,1568,3161,1568,3161,1719e" filled="false" stroked="true" strokeweight=".202047pt" strokecolor="#000000">
              <v:path arrowok="t"/>
              <v:stroke dashstyle="solid"/>
            </v:shape>
            <v:shape style="position:absolute;left:3160;top:1567;width:303;height:152" coordorigin="3161,1568" coordsize="303,152" path="m3161,1719l3312,1719,3312,1568,3463,1568,3463,1719e" filled="false" stroked="true" strokeweight=".201981pt" strokecolor="#000000">
              <v:path arrowok="t"/>
              <v:stroke dashstyle="solid"/>
            </v:shape>
            <v:shape style="position:absolute;left:3765;top:1567;width:303;height:152" coordorigin="3765,1568" coordsize="303,152" path="m3765,1719l3917,1719,3917,1568,4068,1568,4068,1719e" filled="false" stroked="true" strokeweight=".201981pt" strokecolor="#000000">
              <v:path arrowok="t"/>
              <v:stroke dashstyle="solid"/>
            </v:shape>
            <v:shape style="position:absolute;left:4370;top:1567;width:303;height:152" coordorigin="4370,1568" coordsize="303,152" path="m4370,1719l4521,1719,4521,1568,4673,1568,4673,1719e" filled="false" stroked="true" strokeweight=".201981pt" strokecolor="#000000">
              <v:path arrowok="t"/>
              <v:stroke dashstyle="solid"/>
            </v:shape>
            <v:shape style="position:absolute;left:4672;top:1567;width:303;height:152" coordorigin="4673,1568" coordsize="303,152" path="m4673,1719l4824,1719,4824,1568,4975,1568,4975,1719e" filled="false" stroked="true" strokeweight=".201981pt" strokecolor="#000000">
              <v:path arrowok="t"/>
              <v:stroke dashstyle="solid"/>
            </v:shape>
            <v:shape style="position:absolute;left:4975;top:1567;width:303;height:152" coordorigin="4975,1568" coordsize="303,152" path="m4975,1719l5126,1719,5126,1568,5278,1568,5278,1719e" filled="false" stroked="true" strokeweight=".201981pt" strokecolor="#000000">
              <v:path arrowok="t"/>
              <v:stroke dashstyle="solid"/>
            </v:shape>
            <v:shape style="position:absolute;left:4067;top:1567;width:303;height:152" coordorigin="4068,1568" coordsize="303,152" path="m4068,1719l4219,1719,4219,1568,4370,1568,4370,1719e" filled="false" stroked="true" strokeweight=".201981pt" strokecolor="#000000">
              <v:path arrowok="t"/>
              <v:stroke dashstyle="solid"/>
            </v:shape>
            <v:shape style="position:absolute;left:2555;top:1870;width:341;height:152" coordorigin="2556,1871" coordsize="341,152" path="m2896,1871l2858,2022,2556,2022e" filled="false" stroked="true" strokeweight=".201997pt" strokecolor="#000000">
              <v:path arrowok="t"/>
              <v:stroke dashstyle="solid"/>
            </v:shape>
            <v:shape style="position:absolute;left:8906;top:1264;width:1664;height:152" coordorigin="8906,1264" coordsize="1664,152" path="m8906,1416l8944,1264,10570,1264e" filled="false" stroked="true" strokeweight=".202071pt" strokecolor="#000000">
              <v:path arrowok="t"/>
              <v:stroke dashstyle="shortdash"/>
            </v:shape>
            <v:line style="position:absolute" from="10418,1568" to="10721,1568" stroked="true" strokeweight=".202075pt" strokecolor="#000000">
              <v:stroke dashstyle="solid"/>
            </v:line>
            <v:shape style="position:absolute;left:2555;top:1567;width:303;height:152" coordorigin="2556,1568" coordsize="303,152" path="m2556,1568l2858,1568,2858,1719e" filled="false" stroked="true" strokeweight=".201981pt" strokecolor="#000000">
              <v:path arrowok="t"/>
              <v:stroke dashstyle="solid"/>
            </v:shape>
            <v:line style="position:absolute" from="10418,2174" to="10456,2174" stroked="true" strokeweight=".202075pt" strokecolor="#000000">
              <v:stroke dashstyle="solid"/>
            </v:line>
            <v:line style="position:absolute" from="10418,2325" to="10456,2325" stroked="true" strokeweight=".202075pt" strokecolor="#000000">
              <v:stroke dashstyle="solid"/>
            </v:line>
            <v:shape style="position:absolute;left:7091;top:1567;width:303;height:152" coordorigin="7092,1568" coordsize="303,152" path="m7092,1719l7243,1719,7243,1568,7394,1568,7394,1719e" filled="false" stroked="true" strokeweight=".201981pt" strokecolor="#000000">
              <v:path arrowok="t"/>
              <v:stroke dashstyle="solid"/>
            </v:shape>
            <v:shape style="position:absolute;left:7394;top:1567;width:303;height:152" coordorigin="7394,1568" coordsize="303,152" path="m7394,1719l7546,1719,7546,1568,7697,1568,7697,1719e" filled="false" stroked="true" strokeweight=".201981pt" strokecolor="#000000">
              <v:path arrowok="t"/>
              <v:stroke dashstyle="solid"/>
            </v:shape>
            <v:shape style="position:absolute;left:7696;top:1567;width:303;height:152" coordorigin="7697,1568" coordsize="303,152" path="m7697,1719l7848,1719,7848,1568,7999,1568,7999,1719e" filled="false" stroked="true" strokeweight=".201981pt" strokecolor="#000000">
              <v:path arrowok="t"/>
              <v:stroke dashstyle="solid"/>
            </v:shape>
            <v:shape style="position:absolute;left:5920;top:2173;width:303;height:152" coordorigin="5920,2174" coordsize="303,152" path="m5920,2174l6185,2174,6223,2325e" filled="false" stroked="true" strokeweight=".201981pt" strokecolor="#000000">
              <v:path arrowok="t"/>
              <v:stroke dashstyle="solid"/>
            </v:shape>
            <v:shape style="position:absolute;left:5920;top:2173;width:303;height:152" coordorigin="5920,2174" coordsize="303,152" path="m5920,2325l6185,2325,6223,2174e" filled="false" stroked="true" strokeweight=".201981pt" strokecolor="#000000">
              <v:path arrowok="t"/>
              <v:stroke dashstyle="solid"/>
            </v:shape>
            <v:shape style="position:absolute;left:6222;top:2173;width:303;height:152" coordorigin="6223,2174" coordsize="303,152" path="m6223,2174l6487,2174,6525,2325e" filled="false" stroked="true" strokeweight=".201981pt" strokecolor="#000000">
              <v:path arrowok="t"/>
              <v:stroke dashstyle="solid"/>
            </v:shape>
            <v:shape style="position:absolute;left:6222;top:2173;width:303;height:152" coordorigin="6223,2174" coordsize="303,152" path="m6223,2325l6487,2325,6525,2174e" filled="false" stroked="true" strokeweight=".201981pt" strokecolor="#000000">
              <v:path arrowok="t"/>
              <v:stroke dashstyle="solid"/>
            </v:shape>
            <v:shape style="position:absolute;left:6524;top:2173;width:303;height:152" coordorigin="6525,2174" coordsize="303,152" path="m6525,2174l6790,2174,6827,2325e" filled="false" stroked="true" strokeweight=".201981pt" strokecolor="#000000">
              <v:path arrowok="t"/>
              <v:stroke dashstyle="solid"/>
            </v:shape>
            <v:shape style="position:absolute;left:6524;top:2173;width:303;height:152" coordorigin="6525,2174" coordsize="303,152" path="m6525,2325l6790,2325,6827,2174e" filled="false" stroked="true" strokeweight=".201981pt" strokecolor="#000000">
              <v:path arrowok="t"/>
              <v:stroke dashstyle="solid"/>
            </v:shape>
            <v:shape style="position:absolute;left:6827;top:2173;width:303;height:152" coordorigin="6827,2174" coordsize="303,152" path="m6827,2174l7092,2174,7130,2325e" filled="false" stroked="true" strokeweight=".201981pt" strokecolor="#000000">
              <v:path arrowok="t"/>
              <v:stroke dashstyle="solid"/>
            </v:shape>
            <v:shape style="position:absolute;left:6827;top:2173;width:303;height:152" coordorigin="6827,2174" coordsize="303,152" path="m6827,2325l7092,2325,7130,2174e" filled="false" stroked="true" strokeweight=".201981pt" strokecolor="#000000">
              <v:path arrowok="t"/>
              <v:stroke dashstyle="solid"/>
            </v:shape>
            <v:shape style="position:absolute;left:7129;top:2173;width:303;height:152" coordorigin="7130,2174" coordsize="303,152" path="m7130,2174l7394,2174,7432,2325e" filled="false" stroked="true" strokeweight=".201981pt" strokecolor="#000000">
              <v:path arrowok="t"/>
              <v:stroke dashstyle="solid"/>
            </v:shape>
            <v:shape style="position:absolute;left:7129;top:2173;width:303;height:152" coordorigin="7130,2174" coordsize="303,152" path="m7130,2325l7394,2325,7432,2174e" filled="false" stroked="true" strokeweight=".201981pt" strokecolor="#000000">
              <v:path arrowok="t"/>
              <v:stroke dashstyle="solid"/>
            </v:shape>
            <v:shape style="position:absolute;left:7432;top:2173;width:303;height:152" coordorigin="7432,2174" coordsize="303,152" path="m7432,2174l7697,2174,7735,2325e" filled="false" stroked="true" strokeweight=".201981pt" strokecolor="#000000">
              <v:path arrowok="t"/>
              <v:stroke dashstyle="solid"/>
            </v:shape>
            <v:shape style="position:absolute;left:7432;top:2173;width:303;height:152" coordorigin="7432,2174" coordsize="303,152" path="m7432,2325l7697,2325,7735,2174e" filled="false" stroked="true" strokeweight=".201981pt" strokecolor="#000000">
              <v:path arrowok="t"/>
              <v:stroke dashstyle="solid"/>
            </v:shape>
            <v:line style="position:absolute" from="5882,2250" to="5920,2325" stroked="true" strokeweight=".201699pt" strokecolor="#000000">
              <v:stroke dashstyle="solid"/>
            </v:line>
            <v:shape style="position:absolute;left:6936;top:2133;width:28;height:79" coordorigin="6936,2134" coordsize="28,79" path="m6953,2134l6964,2157,6949,2174,6936,2190,6953,2212e" filled="false" stroked="true" strokeweight=".201657pt" strokecolor="#000000">
              <v:path arrowok="t"/>
              <v:stroke dashstyle="solid"/>
            </v:shape>
            <v:shape style="position:absolute;left:6952;top:2133;width:30;height:79" coordorigin="6953,2134" coordsize="30,79" path="m6972,2134l6982,2157,6967,2174,6953,2190,6966,2212e" filled="false" stroked="true" strokeweight=".201666pt" strokecolor="#000000">
              <v:path arrowok="t"/>
              <v:stroke dashstyle="solid"/>
            </v:shape>
            <v:shape style="position:absolute;left:6935;top:2285;width:27;height:79" coordorigin="6935,2285" coordsize="27,79" path="m6951,2285l6962,2309,6947,2325,6935,2341,6953,2363e" filled="false" stroked="true" strokeweight=".201654pt" strokecolor="#000000">
              <v:path arrowok="t"/>
              <v:stroke dashstyle="solid"/>
            </v:shape>
            <v:shape style="position:absolute;left:6951;top:2285;width:30;height:79" coordorigin="6951,2285" coordsize="30,79" path="m6970,2285l6980,2309,6965,2325,6951,2341,6966,2363e" filled="false" stroked="true" strokeweight=".201663pt" strokecolor="#000000">
              <v:path arrowok="t"/>
              <v:stroke dashstyle="solid"/>
            </v:shape>
            <v:shape style="position:absolute;left:3198;top:1870;width:303;height:152" coordorigin="3198,1871" coordsize="303,152" path="m3198,2022l3463,2022,3501,1871e" filled="false" stroked="true" strokeweight=".201981pt" strokecolor="#000000">
              <v:path arrowok="t"/>
              <v:stroke dashstyle="solid"/>
            </v:shape>
            <v:shape style="position:absolute;left:2896;top:1870;width:303;height:152" coordorigin="2896,1871" coordsize="303,152" path="m2896,1871l3161,1871,3198,2022e" filled="false" stroked="true" strokeweight=".201981pt" strokecolor="#000000">
              <v:path arrowok="t"/>
              <v:stroke dashstyle="solid"/>
            </v:shape>
            <v:shape style="position:absolute;left:2555;top:1870;width:946;height:152" coordorigin="2556,1871" coordsize="946,152" path="m3501,2022l3463,1871,3198,1871,3161,2022,2896,2022,2858,1871,2556,1871e" filled="false" stroked="true" strokeweight=".202063pt" strokecolor="#000000">
              <v:path arrowok="t"/>
              <v:stroke dashstyle="solid"/>
            </v:shape>
            <v:line style="position:absolute" from="4093,2022" to="4370,2022" stroked="true" strokeweight=".202075pt" strokecolor="#000000">
              <v:stroke dashstyle="solid"/>
            </v:line>
            <v:line style="position:absolute" from="4106,1871" to="4408,1871" stroked="true" strokeweight=".202075pt" strokecolor="#000000">
              <v:stroke dashstyle="solid"/>
            </v:line>
            <v:line style="position:absolute" from="4673,1871" to="4975,1871" stroked="true" strokeweight=".202075pt" strokecolor="#000000">
              <v:stroke dashstyle="solid"/>
            </v:line>
            <v:shape style="position:absolute;left:4962;top:1870;width:353;height:152" coordorigin="4962,1871" coordsize="353,152" path="m4962,1871l5013,2022,5277,2022,5315,1871e" filled="false" stroked="true" strokeweight=".202002pt" strokecolor="#000000">
              <v:path arrowok="t"/>
              <v:stroke dashstyle="solid"/>
            </v:shape>
            <v:line style="position:absolute" from="3463,1719" to="3614,1719" stroked="true" strokeweight=".202075pt" strokecolor="#000000">
              <v:stroke dashstyle="solid"/>
            </v:line>
            <v:shape style="position:absolute;left:3614;top:1567;width:152;height:152" coordorigin="3614,1568" coordsize="152,152" path="m3614,1568l3765,1568,3765,1719e" filled="false" stroked="true" strokeweight=".20184pt" strokecolor="#000000">
              <v:path arrowok="t"/>
              <v:stroke dashstyle="solid"/>
            </v:shape>
            <v:line style="position:absolute" from="5277,1719" to="5429,1719" stroked="true" strokeweight=".202075pt" strokecolor="#000000">
              <v:stroke dashstyle="solid"/>
            </v:line>
            <v:shape style="position:absolute;left:5579;top:1567;width:303;height:152" coordorigin="5580,1568" coordsize="303,152" path="m5580,1719l5731,1719,5731,1568,5882,1568,5882,1719e" filled="false" stroked="true" strokeweight=".201981pt" strokecolor="#000000">
              <v:path arrowok="t"/>
              <v:stroke dashstyle="solid"/>
            </v:shape>
            <v:shape style="position:absolute;left:5882;top:1567;width:303;height:152" coordorigin="5882,1568" coordsize="303,152" path="m5882,1719l6034,1719,6034,1568,6185,1568,6185,1719e" filled="false" stroked="true" strokeweight=".201981pt" strokecolor="#000000">
              <v:path arrowok="t"/>
              <v:stroke dashstyle="solid"/>
            </v:shape>
            <v:shape style="position:absolute;left:6184;top:1567;width:303;height:152" coordorigin="6185,1568" coordsize="303,152" path="m6185,1719l6336,1719,6336,1568,6487,1568,6487,1719e" filled="false" stroked="true" strokeweight=".201981pt" strokecolor="#000000">
              <v:path arrowok="t"/>
              <v:stroke dashstyle="solid"/>
            </v:shape>
            <v:shape style="position:absolute;left:6487;top:1567;width:303;height:152" coordorigin="6487,1568" coordsize="303,152" path="m6487,1719l6638,1719,6638,1568,6790,1568,6790,1719e" filled="false" stroked="true" strokeweight=".201981pt" strokecolor="#000000">
              <v:path arrowok="t"/>
              <v:stroke dashstyle="solid"/>
            </v:shape>
            <v:shape style="position:absolute;left:5428;top:1567;width:152;height:152" coordorigin="5429,1568" coordsize="152,152" path="m5429,1568l5580,1568,5580,1719e" filled="false" stroked="true" strokeweight=".20184pt" strokecolor="#000000">
              <v:path arrowok="t"/>
              <v:stroke dashstyle="solid"/>
            </v:shape>
            <v:shape style="position:absolute;left:6936;top:1830;width:28;height:79" coordorigin="6936,1831" coordsize="28,79" path="m6953,1831l6964,1854,6949,1871,6936,1886,6953,1909e" filled="false" stroked="true" strokeweight=".201657pt" strokecolor="#000000">
              <v:path arrowok="t"/>
              <v:stroke dashstyle="solid"/>
            </v:shape>
            <v:shape style="position:absolute;left:6952;top:1830;width:30;height:79" coordorigin="6953,1831" coordsize="30,79" path="m6972,1831l6982,1854,6967,1871,6953,1886,6966,1909e" filled="false" stroked="true" strokeweight=".201666pt" strokecolor="#000000">
              <v:path arrowok="t"/>
              <v:stroke dashstyle="solid"/>
            </v:shape>
            <v:shape style="position:absolute;left:6935;top:1982;width:27;height:79" coordorigin="6935,1982" coordsize="27,79" path="m6951,1982l6962,2006,6947,2022,6935,2038,6953,2060e" filled="false" stroked="true" strokeweight=".201654pt" strokecolor="#000000">
              <v:path arrowok="t"/>
              <v:stroke dashstyle="solid"/>
            </v:shape>
            <v:shape style="position:absolute;left:6951;top:1982;width:30;height:79" coordorigin="6951,1982" coordsize="30,79" path="m6970,1982l6980,2006,6965,2022,6951,2038,6966,2060e" filled="false" stroked="true" strokeweight=".201663pt" strokecolor="#000000">
              <v:path arrowok="t"/>
              <v:stroke dashstyle="solid"/>
            </v:shape>
            <v:line style="position:absolute" from="6790,1719" to="6941,1719" stroked="true" strokeweight=".202075pt" strokecolor="#000000">
              <v:stroke dashstyle="solid"/>
            </v:line>
            <v:shape style="position:absolute;left:6940;top:1567;width:152;height:152" coordorigin="6941,1568" coordsize="152,152" path="m6941,1568l7092,1568,7092,1719e" filled="false" stroked="true" strokeweight=".20184pt" strokecolor="#000000">
              <v:path arrowok="t"/>
              <v:stroke dashstyle="solid"/>
            </v:shape>
            <v:shape style="position:absolute;left:8145;top:1830;width:28;height:79" coordorigin="8146,1831" coordsize="28,79" path="m8163,1831l8173,1854,8159,1871,8146,1886,8163,1909e" filled="false" stroked="true" strokeweight=".201657pt" strokecolor="#000000">
              <v:path arrowok="t"/>
              <v:stroke dashstyle="solid"/>
            </v:shape>
            <v:shape style="position:absolute;left:8162;top:1830;width:30;height:79" coordorigin="8162,1831" coordsize="30,79" path="m8181,1831l8192,1854,8177,1871,8162,1886,8176,1909e" filled="false" stroked="true" strokeweight=".201666pt" strokecolor="#000000">
              <v:path arrowok="t"/>
              <v:stroke dashstyle="solid"/>
            </v:shape>
            <v:shape style="position:absolute;left:8144;top:1982;width:27;height:79" coordorigin="8145,1982" coordsize="27,79" path="m8161,1982l8171,2006,8157,2022,8145,2038,8163,2060e" filled="false" stroked="true" strokeweight=".201654pt" strokecolor="#000000">
              <v:path arrowok="t"/>
              <v:stroke dashstyle="solid"/>
            </v:shape>
            <v:shape style="position:absolute;left:8161;top:1982;width:30;height:79" coordorigin="8161,1982" coordsize="30,79" path="m8179,1982l8190,2006,8175,2022,8161,2038,8176,2060e" filled="false" stroked="true" strokeweight=".201663pt" strokecolor="#000000">
              <v:path arrowok="t"/>
              <v:stroke dashstyle="solid"/>
            </v:shape>
            <v:line style="position:absolute" from="7999,1719" to="8150,1719" stroked="true" strokeweight=".202075pt" strokecolor="#000000">
              <v:stroke dashstyle="solid"/>
            </v:line>
            <v:shape style="position:absolute;left:8150;top:1567;width:303;height:152" coordorigin="8150,1568" coordsize="303,152" path="m8150,1568l8302,1568,8302,1719,8453,1719,8453,1568e" filled="false" stroked="true" strokeweight=".201981pt" strokecolor="#000000">
              <v:path arrowok="t"/>
              <v:stroke dashstyle="solid"/>
            </v:shape>
            <v:shape style="position:absolute;left:8452;top:1567;width:303;height:152" coordorigin="8453,1568" coordsize="303,152" path="m8453,1568l8604,1568,8604,1719,8755,1719,8755,1568e" filled="false" stroked="true" strokeweight=".201981pt" strokecolor="#000000">
              <v:path arrowok="t"/>
              <v:stroke dashstyle="solid"/>
            </v:shape>
            <v:shape style="position:absolute;left:8755;top:1567;width:303;height:152" coordorigin="8755,1568" coordsize="303,152" path="m8755,1568l8906,1568,8906,1719,9058,1719,9058,1568e" filled="false" stroked="true" strokeweight=".201981pt" strokecolor="#000000">
              <v:path arrowok="t"/>
              <v:stroke dashstyle="solid"/>
            </v:shape>
            <v:shape style="position:absolute;left:9057;top:1567;width:303;height:152" coordorigin="9058,1568" coordsize="303,152" path="m9058,1568l9209,1568,9209,1719,9360,1719,9360,1568e" filled="false" stroked="true" strokeweight=".201981pt" strokecolor="#000000">
              <v:path arrowok="t"/>
              <v:stroke dashstyle="solid"/>
            </v:shape>
            <v:shape style="position:absolute;left:9662;top:1567;width:303;height:152" coordorigin="9662,1568" coordsize="303,152" path="m9662,1568l9814,1568,9814,1719,9965,1719,9965,1568e" filled="false" stroked="true" strokeweight=".201981pt" strokecolor="#000000">
              <v:path arrowok="t"/>
              <v:stroke dashstyle="solid"/>
            </v:shape>
            <v:shape style="position:absolute;left:9964;top:1567;width:303;height:152" coordorigin="9965,1568" coordsize="303,152" path="m9965,1568l10116,1568,10116,1719,10267,1719,10267,1568e" filled="false" stroked="true" strokeweight=".201981pt" strokecolor="#000000">
              <v:path arrowok="t"/>
              <v:stroke dashstyle="solid"/>
            </v:shape>
            <v:shape style="position:absolute;left:10267;top:1567;width:454;height:152" coordorigin="10267,1568" coordsize="454,152" path="m10267,1568l10418,1568,10418,1719,10721,1719e" filled="false" stroked="true" strokeweight=".202028pt" strokecolor="#000000">
              <v:path arrowok="t"/>
              <v:stroke dashstyle="solid"/>
            </v:shape>
            <v:shape style="position:absolute;left:9360;top:1567;width:303;height:152" coordorigin="9360,1568" coordsize="303,152" path="m9360,1568l9511,1568,9511,1719,9662,1719e" filled="false" stroked="true" strokeweight=".201981pt" strokecolor="#000000">
              <v:path arrowok="t"/>
              <v:stroke dashstyle="solid"/>
            </v:shape>
            <v:shape style="position:absolute;left:2555;top:3083;width:8166;height:152" coordorigin="2556,3083" coordsize="8166,152" path="m2556,3083l2732,3083,2833,3235,10444,3235,10532,3083,10721,3083e" filled="false" stroked="true" strokeweight=".202075pt" strokecolor="#000000">
              <v:path arrowok="t"/>
              <v:stroke dashstyle="solid"/>
            </v:shape>
            <v:shape style="position:absolute;left:8906;top:3083;width:1664;height:152" coordorigin="8906,3083" coordsize="1664,152" path="m8906,3235l8944,3083,10570,3083e" filled="false" stroked="true" strokeweight=".202071pt" strokecolor="#000000">
              <v:path arrowok="t"/>
              <v:stroke dashstyle="shortdash"/>
            </v:shape>
            <v:shape style="position:absolute;left:4672;top:3689;width:643;height:152" coordorigin="4673,3689" coordsize="643,152" path="m4673,3841l4710,3689,4975,3689,5013,3841,5278,3841,5315,3689e" filled="false" stroked="true" strokeweight=".20205pt" strokecolor="#000000">
              <v:path arrowok="t"/>
              <v:stroke dashstyle="solid"/>
            </v:shape>
            <v:shape style="position:absolute;left:5424;top:3649;width:28;height:79" coordorigin="5424,3649" coordsize="28,79" path="m5441,3649l5452,3673,5437,3689,5424,3705,5441,3727e" filled="false" stroked="true" strokeweight=".201657pt" strokecolor="#000000">
              <v:path arrowok="t"/>
              <v:stroke dashstyle="solid"/>
            </v:shape>
            <v:shape style="position:absolute;left:5440;top:3649;width:30;height:79" coordorigin="5441,3649" coordsize="30,79" path="m5460,3649l5470,3673,5455,3689,5441,3705,5454,3727e" filled="false" stroked="true" strokeweight=".201666pt" strokecolor="#000000">
              <v:path arrowok="t"/>
              <v:stroke dashstyle="solid"/>
            </v:shape>
            <v:shape style="position:absolute;left:5423;top:3800;width:27;height:79" coordorigin="5423,3801" coordsize="27,79" path="m5439,3801l5450,3824,5435,3841,5423,3857,5441,3879e" filled="false" stroked="true" strokeweight=".201654pt" strokecolor="#000000">
              <v:path arrowok="t"/>
              <v:stroke dashstyle="solid"/>
            </v:shape>
            <v:shape style="position:absolute;left:5439;top:3800;width:30;height:79" coordorigin="5439,3801" coordsize="30,79" path="m5458,3801l5468,3824,5453,3841,5439,3857,5454,3879e" filled="false" stroked="true" strokeweight=".201663pt" strokecolor="#000000">
              <v:path arrowok="t"/>
              <v:stroke dashstyle="solid"/>
            </v:shape>
            <v:line style="position:absolute" from="5580,3841" to="5315,3841" stroked="true" strokeweight=".202075pt" strokecolor="#000000">
              <v:stroke dashstyle="solid"/>
            </v:line>
            <v:line style="position:absolute" from="5580,3689" to="5315,3689" stroked="true" strokeweight=".202075pt" strokecolor="#000000">
              <v:stroke dashstyle="solid"/>
            </v:line>
            <v:line style="position:absolute" from="4673,3841" to="4408,3841" stroked="true" strokeweight=".202075pt" strokecolor="#000000">
              <v:stroke dashstyle="solid"/>
            </v:line>
            <v:shape style="position:absolute;left:5577;top:3687;width:320;height:156" type="#_x0000_t75" stroked="false">
              <v:imagedata r:id="rId156" o:title=""/>
            </v:shape>
            <v:line style="position:absolute" from="5895,3765" to="7407,3765" stroked="true" strokeweight=".202075pt" strokecolor="#000000">
              <v:stroke dashstyle="solid"/>
            </v:line>
            <v:shape style="position:absolute;left:7709;top:3689;width:328;height:152" coordorigin="7709,3689" coordsize="328,152" path="m7709,3765l7735,3689,7999,3689,8037,3841m7709,3765l7735,3841,7999,3841,8037,3689e" filled="false" stroked="true" strokeweight=".20184pt" strokecolor="#000000">
              <v:path arrowok="t"/>
              <v:stroke dashstyle="solid"/>
            </v:shape>
            <v:shape style="position:absolute;left:8036;top:3689;width:303;height:152" coordorigin="8037,3689" coordsize="303,152" path="m8037,3689l8302,3689,8339,3841e" filled="false" stroked="true" strokeweight=".201981pt" strokecolor="#000000">
              <v:path arrowok="t"/>
              <v:stroke dashstyle="solid"/>
            </v:shape>
            <v:shape style="position:absolute;left:8036;top:3689;width:303;height:152" coordorigin="8037,3689" coordsize="303,152" path="m8037,3841l8302,3841,8339,3689e" filled="false" stroked="true" strokeweight=".201981pt" strokecolor="#000000">
              <v:path arrowok="t"/>
              <v:stroke dashstyle="solid"/>
            </v:shape>
            <v:shape style="position:absolute;left:8339;top:3689;width:303;height:152" coordorigin="8339,3689" coordsize="303,152" path="m8339,3689l8604,3689,8642,3841e" filled="false" stroked="true" strokeweight=".201981pt" strokecolor="#000000">
              <v:path arrowok="t"/>
              <v:stroke dashstyle="solid"/>
            </v:shape>
            <v:shape style="position:absolute;left:8339;top:3689;width:303;height:152" coordorigin="8339,3689" coordsize="303,152" path="m8339,3841l8604,3841,8642,3689e" filled="false" stroked="true" strokeweight=".201981pt" strokecolor="#000000">
              <v:path arrowok="t"/>
              <v:stroke dashstyle="solid"/>
            </v:shape>
            <v:shape style="position:absolute;left:8641;top:3689;width:303;height:152" coordorigin="8642,3689" coordsize="303,152" path="m8642,3689l8906,3689,8944,3841e" filled="false" stroked="true" strokeweight=".201981pt" strokecolor="#000000">
              <v:path arrowok="t"/>
              <v:stroke dashstyle="solid"/>
            </v:shape>
            <v:shape style="position:absolute;left:8641;top:3689;width:303;height:152" coordorigin="8642,3689" coordsize="303,152" path="m8642,3841l8906,3841,8944,3689e" filled="false" stroked="true" strokeweight=".201981pt" strokecolor="#000000">
              <v:path arrowok="t"/>
              <v:stroke dashstyle="solid"/>
            </v:shape>
            <v:shape style="position:absolute;left:8944;top:3689;width:303;height:152" coordorigin="8944,3689" coordsize="303,152" path="m8944,3689l9209,3689,9247,3841e" filled="false" stroked="true" strokeweight=".201981pt" strokecolor="#000000">
              <v:path arrowok="t"/>
              <v:stroke dashstyle="solid"/>
            </v:shape>
            <v:shape style="position:absolute;left:8944;top:3689;width:303;height:152" coordorigin="8944,3689" coordsize="303,152" path="m8944,3841l9209,3841,9247,3689e" filled="false" stroked="true" strokeweight=".201981pt" strokecolor="#000000">
              <v:path arrowok="t"/>
              <v:stroke dashstyle="solid"/>
            </v:shape>
            <v:shape style="position:absolute;left:9246;top:3689;width:303;height:152" coordorigin="9247,3689" coordsize="303,152" path="m9247,3689l9511,3689,9549,3841e" filled="false" stroked="true" strokeweight=".201981pt" strokecolor="#000000">
              <v:path arrowok="t"/>
              <v:stroke dashstyle="solid"/>
            </v:shape>
            <v:shape style="position:absolute;left:9246;top:3689;width:303;height:152" coordorigin="9247,3689" coordsize="303,152" path="m9247,3841l9511,3841,9549,3689e" filled="false" stroked="true" strokeweight=".201981pt" strokecolor="#000000">
              <v:path arrowok="t"/>
              <v:stroke dashstyle="solid"/>
            </v:shape>
            <v:shape style="position:absolute;left:9549;top:3689;width:303;height:152" coordorigin="9549,3689" coordsize="303,152" path="m9549,3689l9814,3689,9851,3841e" filled="false" stroked="true" strokeweight=".201981pt" strokecolor="#000000">
              <v:path arrowok="t"/>
              <v:stroke dashstyle="solid"/>
            </v:shape>
            <v:shape style="position:absolute;left:9549;top:3689;width:303;height:152" coordorigin="9549,3689" coordsize="303,152" path="m9549,3841l9814,3841,9851,3689e" filled="false" stroked="true" strokeweight=".201981pt" strokecolor="#000000">
              <v:path arrowok="t"/>
              <v:stroke dashstyle="solid"/>
            </v:shape>
            <v:shape style="position:absolute;left:9851;top:3689;width:303;height:152" coordorigin="9851,3689" coordsize="303,152" path="m9851,3689l10116,3689,10154,3841e" filled="false" stroked="true" strokeweight=".201981pt" strokecolor="#000000">
              <v:path arrowok="t"/>
              <v:stroke dashstyle="solid"/>
            </v:shape>
            <v:shape style="position:absolute;left:9851;top:3689;width:303;height:152" coordorigin="9851,3689" coordsize="303,152" path="m9851,3841l10116,3841,10154,3689e" filled="false" stroked="true" strokeweight=".201981pt" strokecolor="#000000">
              <v:path arrowok="t"/>
              <v:stroke dashstyle="solid"/>
            </v:shape>
            <v:shape style="position:absolute;left:10153;top:3689;width:303;height:152" coordorigin="10154,3689" coordsize="303,152" path="m10154,3689l10418,3689,10456,3841e" filled="false" stroked="true" strokeweight=".201981pt" strokecolor="#000000">
              <v:path arrowok="t"/>
              <v:stroke dashstyle="solid"/>
            </v:shape>
            <v:shape style="position:absolute;left:10153;top:3689;width:303;height:152" coordorigin="10154,3689" coordsize="303,152" path="m10154,3841l10418,3841,10456,3689e" filled="false" stroked="true" strokeweight=".201981pt" strokecolor="#000000">
              <v:path arrowok="t"/>
              <v:stroke dashstyle="solid"/>
            </v:shape>
            <v:shape style="position:absolute;left:8145;top:3649;width:28;height:79" coordorigin="8146,3649" coordsize="28,79" path="m8163,3649l8173,3673,8159,3689,8146,3705,8163,3727e" filled="false" stroked="true" strokeweight=".201657pt" strokecolor="#000000">
              <v:path arrowok="t"/>
              <v:stroke dashstyle="solid"/>
            </v:shape>
            <v:shape style="position:absolute;left:8162;top:3649;width:30;height:79" coordorigin="8162,3649" coordsize="30,79" path="m8181,3649l8192,3673,8177,3689,8162,3705,8176,3727e" filled="false" stroked="true" strokeweight=".201666pt" strokecolor="#000000">
              <v:path arrowok="t"/>
              <v:stroke dashstyle="solid"/>
            </v:shape>
            <v:shape style="position:absolute;left:8144;top:3800;width:27;height:79" coordorigin="8145,3801" coordsize="27,79" path="m8161,3801l8171,3824,8157,3841,8145,3857,8163,3879e" filled="false" stroked="true" strokeweight=".201654pt" strokecolor="#000000">
              <v:path arrowok="t"/>
              <v:stroke dashstyle="solid"/>
            </v:shape>
            <v:shape style="position:absolute;left:8161;top:3800;width:30;height:79" coordorigin="8161,3801" coordsize="30,79" path="m8179,3801l8190,3824,8175,3841,8161,3857,8176,3879e" filled="false" stroked="true" strokeweight=".201663pt" strokecolor="#000000">
              <v:path arrowok="t"/>
              <v:stroke dashstyle="solid"/>
            </v:shape>
            <v:shape style="position:absolute;left:9657;top:3649;width:28;height:79" coordorigin="9658,3649" coordsize="28,79" path="m9675,3649l9685,3673,9671,3689,9658,3705,9675,3727e" filled="false" stroked="true" strokeweight=".201657pt" strokecolor="#000000">
              <v:path arrowok="t"/>
              <v:stroke dashstyle="solid"/>
            </v:shape>
            <v:shape style="position:absolute;left:9674;top:3649;width:30;height:79" coordorigin="9674,3649" coordsize="30,79" path="m9694,3649l9704,3673,9689,3689,9674,3705,9688,3727e" filled="false" stroked="true" strokeweight=".201666pt" strokecolor="#000000">
              <v:path arrowok="t"/>
              <v:stroke dashstyle="solid"/>
            </v:shape>
            <v:shape style="position:absolute;left:9656;top:3800;width:27;height:79" coordorigin="9657,3801" coordsize="27,79" path="m9673,3801l9683,3824,9669,3841,9657,3857,9675,3879e" filled="false" stroked="true" strokeweight=".201654pt" strokecolor="#000000">
              <v:path arrowok="t"/>
              <v:stroke dashstyle="solid"/>
            </v:shape>
            <v:shape style="position:absolute;left:9673;top:3800;width:30;height:79" coordorigin="9673,3801" coordsize="30,79" path="m9691,3801l9702,3824,9687,3841,9673,3857,9688,3879e" filled="false" stroked="true" strokeweight=".201663pt" strokecolor="#000000">
              <v:path arrowok="t"/>
              <v:stroke dashstyle="solid"/>
            </v:shape>
            <v:line style="position:absolute" from="10456,3689" to="10721,3689" stroked="true" strokeweight=".202075pt" strokecolor="#000000">
              <v:stroke dashstyle="solid"/>
            </v:line>
            <v:line style="position:absolute" from="10456,3841" to="10721,3841" stroked="true" strokeweight=".202075pt" strokecolor="#000000">
              <v:stroke dashstyle="solid"/>
            </v:line>
            <v:shape style="position:absolute;left:7404;top:3687;width:332;height:156" type="#_x0000_t75" stroked="false">
              <v:imagedata r:id="rId157" o:title=""/>
            </v:shape>
            <v:shape style="position:absolute;left:5920;top:3992;width:303;height:152" coordorigin="5920,3992" coordsize="303,152" path="m5920,3992l6185,3992,6223,4144e" filled="false" stroked="true" strokeweight=".201981pt" strokecolor="#000000">
              <v:path arrowok="t"/>
              <v:stroke dashstyle="solid"/>
            </v:shape>
            <v:shape style="position:absolute;left:5920;top:3992;width:303;height:152" coordorigin="5920,3992" coordsize="303,152" path="m5920,4144l6185,4144,6223,3992e" filled="false" stroked="true" strokeweight=".201981pt" strokecolor="#000000">
              <v:path arrowok="t"/>
              <v:stroke dashstyle="solid"/>
            </v:shape>
            <v:shape style="position:absolute;left:6222;top:3992;width:303;height:152" coordorigin="6223,3992" coordsize="303,152" path="m6223,3992l6487,3992,6525,4144e" filled="false" stroked="true" strokeweight=".201981pt" strokecolor="#000000">
              <v:path arrowok="t"/>
              <v:stroke dashstyle="solid"/>
            </v:shape>
            <v:shape style="position:absolute;left:6222;top:3992;width:303;height:152" coordorigin="6223,3992" coordsize="303,152" path="m6223,4144l6487,4144,6525,3992e" filled="false" stroked="true" strokeweight=".201981pt" strokecolor="#000000">
              <v:path arrowok="t"/>
              <v:stroke dashstyle="solid"/>
            </v:shape>
            <v:shape style="position:absolute;left:6524;top:3992;width:303;height:152" coordorigin="6525,3992" coordsize="303,152" path="m6525,3992l6790,3992,6827,4144e" filled="false" stroked="true" strokeweight=".201981pt" strokecolor="#000000">
              <v:path arrowok="t"/>
              <v:stroke dashstyle="solid"/>
            </v:shape>
            <v:shape style="position:absolute;left:6524;top:3992;width:303;height:152" coordorigin="6525,3992" coordsize="303,152" path="m6525,4144l6790,4144,6827,3992e" filled="false" stroked="true" strokeweight=".201981pt" strokecolor="#000000">
              <v:path arrowok="t"/>
              <v:stroke dashstyle="solid"/>
            </v:shape>
            <v:shape style="position:absolute;left:6827;top:3992;width:303;height:152" coordorigin="6827,3992" coordsize="303,152" path="m6827,3992l7092,3992,7130,4144e" filled="false" stroked="true" strokeweight=".201981pt" strokecolor="#000000">
              <v:path arrowok="t"/>
              <v:stroke dashstyle="solid"/>
            </v:shape>
            <v:shape style="position:absolute;left:6827;top:3992;width:303;height:152" coordorigin="6827,3992" coordsize="303,152" path="m6827,4144l7092,4144,7130,3992e" filled="false" stroked="true" strokeweight=".201981pt" strokecolor="#000000">
              <v:path arrowok="t"/>
              <v:stroke dashstyle="solid"/>
            </v:shape>
            <v:shape style="position:absolute;left:7129;top:3992;width:278;height:76" coordorigin="7130,3992" coordsize="278,76" path="m7130,3992l7394,3992,7407,4068e" filled="false" stroked="true" strokeweight=".202042pt" strokecolor="#000000">
              <v:path arrowok="t"/>
              <v:stroke dashstyle="solid"/>
            </v:shape>
            <v:shape style="position:absolute;left:7129;top:4068;width:278;height:76" coordorigin="7130,4068" coordsize="278,76" path="m7130,4144l7394,4144,7407,4068e" filled="false" stroked="true" strokeweight=".202042pt" strokecolor="#000000">
              <v:path arrowok="t"/>
              <v:stroke dashstyle="solid"/>
            </v:shape>
            <v:line style="position:absolute" from="5882,4068" to="5920,4144" stroked="true" strokeweight=".201699pt" strokecolor="#000000">
              <v:stroke dashstyle="solid"/>
            </v:line>
            <v:shape style="position:absolute;left:6936;top:3952;width:28;height:79" coordorigin="6936,3952" coordsize="28,79" path="m6953,3952l6964,3976,6949,3992,6936,4008,6953,4030e" filled="false" stroked="true" strokeweight=".201657pt" strokecolor="#000000">
              <v:path arrowok="t"/>
              <v:stroke dashstyle="solid"/>
            </v:shape>
            <v:shape style="position:absolute;left:6952;top:3952;width:30;height:79" coordorigin="6953,3952" coordsize="30,79" path="m6972,3952l6982,3976,6967,3992,6953,4008,6966,4030e" filled="false" stroked="true" strokeweight=".201666pt" strokecolor="#000000">
              <v:path arrowok="t"/>
              <v:stroke dashstyle="solid"/>
            </v:shape>
            <v:shape style="position:absolute;left:6935;top:4103;width:27;height:70" coordorigin="6935,4104" coordsize="27,70" path="m6951,4104l6962,4127,6947,4144,6935,4160,6946,4173e" filled="false" stroked="true" strokeweight=".201665pt" strokecolor="#000000">
              <v:path arrowok="t"/>
              <v:stroke dashstyle="solid"/>
            </v:shape>
            <v:shape style="position:absolute;left:6951;top:4103;width:30;height:70" coordorigin="6951,4104" coordsize="30,70" path="m6970,4104l6980,4127,6965,4144,6951,4160,6960,4173e" filled="false" stroked="true" strokeweight=".201675pt" strokecolor="#000000">
              <v:path arrowok="t"/>
              <v:stroke dashstyle="solid"/>
            </v:shape>
            <v:line style="position:absolute" from="7407,4068" to="10721,4068" stroked="true" strokeweight=".202075pt" strokecolor="#000000">
              <v:stroke dashstyle="solid"/>
            </v:line>
            <v:line style="position:absolute" from="5920,3992" to="5882,4068" stroked="true" strokeweight=".201699pt" strokecolor="#000000">
              <v:stroke dashstyle="solid"/>
            </v:line>
            <v:shape style="position:absolute;left:3803;top:3689;width:303;height:152" coordorigin="3803,3689" coordsize="303,152" path="m3803,3689l4068,3689,4106,3841e" filled="false" stroked="true" strokeweight=".201981pt" strokecolor="#000000">
              <v:path arrowok="t"/>
              <v:stroke dashstyle="solid"/>
            </v:shape>
            <v:shape style="position:absolute;left:3803;top:3689;width:303;height:152" coordorigin="3803,3689" coordsize="303,152" path="m3803,3841l4068,3841,4106,3689e" filled="false" stroked="true" strokeweight=".201981pt" strokecolor="#000000">
              <v:path arrowok="t"/>
              <v:stroke dashstyle="solid"/>
            </v:shape>
            <v:shape style="position:absolute;left:3500;top:3689;width:303;height:152" coordorigin="3501,3689" coordsize="303,152" path="m3501,3689l3765,3689,3803,3841e" filled="false" stroked="true" strokeweight=".201981pt" strokecolor="#000000">
              <v:path arrowok="t"/>
              <v:stroke dashstyle="solid"/>
            </v:shape>
            <v:shape style="position:absolute;left:3500;top:3689;width:303;height:152" coordorigin="3501,3689" coordsize="303,152" path="m3501,3841l3765,3841,3803,3689e" filled="false" stroked="true" strokeweight=".201981pt" strokecolor="#000000">
              <v:path arrowok="t"/>
              <v:stroke dashstyle="solid"/>
            </v:shape>
            <v:shape style="position:absolute;left:3598;top:3649;width:28;height:79" coordorigin="3598,3649" coordsize="28,79" path="m3615,3649l3626,3673,3611,3689,3598,3705,3614,3727e" filled="false" stroked="true" strokeweight=".201659pt" strokecolor="#000000">
              <v:path arrowok="t"/>
              <v:stroke dashstyle="solid"/>
            </v:shape>
            <v:shape style="position:absolute;left:3619;top:3649;width:26;height:79" coordorigin="3620,3649" coordsize="26,79" path="m3634,3649l3645,3673,3631,3689,3620,3705,3639,3727e" filled="false" stroked="true" strokeweight=".20165pt" strokecolor="#000000">
              <v:path arrowok="t"/>
              <v:stroke dashstyle="solid"/>
            </v:shape>
            <v:shape style="position:absolute;left:3596;top:3800;width:28;height:79" coordorigin="3597,3801" coordsize="28,79" path="m3613,3801l3624,3824,3609,3841,3597,3857,3614,3879e" filled="false" stroked="true" strokeweight=".201656pt" strokecolor="#000000">
              <v:path arrowok="t"/>
              <v:stroke dashstyle="solid"/>
            </v:shape>
            <v:shape style="position:absolute;left:3613;top:3800;width:30;height:79" coordorigin="3613,3801" coordsize="30,79" path="m3632,3801l3643,3824,3628,3841,3613,3857,3627,3879e" filled="false" stroked="true" strokeweight=".201665pt" strokecolor="#000000">
              <v:path arrowok="t"/>
              <v:stroke dashstyle="solid"/>
            </v:shape>
            <v:shape style="position:absolute;left:2555;top:3689;width:341;height:152" coordorigin="2556,3689" coordsize="341,152" path="m2846,3689l2896,3841,2556,3841e" filled="false" stroked="true" strokeweight=".201997pt" strokecolor="#000000">
              <v:path arrowok="t"/>
              <v:stroke dashstyle="solid"/>
            </v:shape>
            <v:line style="position:absolute" from="2883,3841" to="3501,3841" stroked="true" strokeweight=".202075pt" strokecolor="#000000">
              <v:stroke dashstyle="solid"/>
            </v:line>
            <v:line style="position:absolute" from="3463,3841" to="3501,3689" stroked="true" strokeweight=".201633pt" strokecolor="#000000">
              <v:stroke dashstyle="solid"/>
            </v:line>
            <v:line style="position:absolute" from="2556,3689" to="3287,3689" stroked="true" strokeweight=".202075pt" strokecolor="#000000">
              <v:stroke dashstyle="solid"/>
            </v:line>
            <v:shape style="position:absolute;left:3198;top:3689;width:303;height:152" coordorigin="3198,3689" coordsize="303,152" path="m3198,3689l3463,3689,3501,3841e" filled="false" stroked="true" strokeweight=".201981pt" strokecolor="#000000">
              <v:path arrowok="t"/>
              <v:stroke dashstyle="solid"/>
            </v:shape>
            <v:shape style="position:absolute;left:3198;top:3689;width:303;height:152" coordorigin="3198,3689" coordsize="303,152" path="m3198,3841l3463,3841,3501,3689e" filled="false" stroked="true" strokeweight=".201981pt" strokecolor="#000000">
              <v:path arrowok="t"/>
              <v:stroke dashstyle="solid"/>
            </v:shape>
            <v:line style="position:absolute" from="3198,3689" to="3161,3841" stroked="true" strokeweight=".201633pt" strokecolor="#000000">
              <v:stroke dashstyle="solid"/>
            </v:line>
            <v:line style="position:absolute" from="4106,3689" to="4370,3689" stroked="true" strokeweight=".202075pt" strokecolor="#000000">
              <v:stroke dashstyle="solid"/>
            </v:line>
            <v:line style="position:absolute" from="4370,3689" to="4408,3841" stroked="true" strokeweight=".201633pt" strokecolor="#000000">
              <v:stroke dashstyle="solid"/>
            </v:line>
            <v:line style="position:absolute" from="4106,3841" to="4408,3841" stroked="true" strokeweight=".202075pt" strokecolor="#000000">
              <v:stroke dashstyle="solid"/>
            </v:line>
            <v:shape style="position:absolute;left:4672;top:3689;width:605;height:152" coordorigin="4673,3689" coordsize="605,152" path="m4673,3841l4962,3841,5013,3689,5277,3689e" filled="false" stroked="true" strokeweight=".202047pt" strokecolor="#000000">
              <v:path arrowok="t"/>
              <v:stroke dashstyle="solid"/>
            </v:shape>
            <v:line style="position:absolute" from="5277,3689" to="5315,3841" stroked="true" strokeweight=".201633pt" strokecolor="#000000">
              <v:stroke dashstyle="solid"/>
            </v:line>
            <v:shape style="position:absolute;left:4370;top:3386;width:303;height:152" coordorigin="4370,3386" coordsize="303,152" path="m4370,3538l4521,3538,4521,3386,4673,3386,4673,3538e" filled="false" stroked="true" strokeweight=".201981pt" strokecolor="#000000">
              <v:path arrowok="t"/>
              <v:stroke dashstyle="solid"/>
            </v:shape>
            <v:shape style="position:absolute;left:4672;top:3386;width:303;height:152" coordorigin="4673,3386" coordsize="303,152" path="m4673,3538l4824,3538,4824,3386,4975,3386,4975,3538e" filled="false" stroked="true" strokeweight=".201981pt" strokecolor="#000000">
              <v:path arrowok="t"/>
              <v:stroke dashstyle="solid"/>
            </v:shape>
            <v:shape style="position:absolute;left:4975;top:3386;width:303;height:152" coordorigin="4975,3386" coordsize="303,152" path="m4975,3538l5126,3538,5126,3386,5277,3386,5277,3538e" filled="false" stroked="true" strokeweight=".201981pt" strokecolor="#000000">
              <v:path arrowok="t"/>
              <v:stroke dashstyle="solid"/>
            </v:shape>
            <v:shape style="position:absolute;left:3765;top:3386;width:303;height:152" coordorigin="3765,3386" coordsize="303,152" path="m3765,3538l3917,3538,3917,3386,4068,3386,4068,3538e" filled="false" stroked="true" strokeweight=".201981pt" strokecolor="#000000">
              <v:path arrowok="t"/>
              <v:stroke dashstyle="solid"/>
            </v:shape>
            <v:shape style="position:absolute;left:4067;top:3386;width:303;height:152" coordorigin="4068,3386" coordsize="303,152" path="m4068,3538l4219,3538,4219,3386,4370,3386,4370,3538e" filled="false" stroked="true" strokeweight=".201981pt" strokecolor="#000000">
              <v:path arrowok="t"/>
              <v:stroke dashstyle="solid"/>
            </v:shape>
            <v:shape style="position:absolute;left:2555;top:3386;width:605;height:152" coordorigin="2556,3386" coordsize="605,152" path="m2556,3538l3009,3538,3009,3386,3161,3386,3161,3538e" filled="false" stroked="true" strokeweight=".202047pt" strokecolor="#000000">
              <v:path arrowok="t"/>
              <v:stroke dashstyle="solid"/>
            </v:shape>
            <v:shape style="position:absolute;left:3160;top:3386;width:303;height:152" coordorigin="3161,3386" coordsize="303,152" path="m3161,3538l3312,3538,3312,3386,3463,3386,3463,3538e" filled="false" stroked="true" strokeweight=".201981pt" strokecolor="#000000">
              <v:path arrowok="t"/>
              <v:stroke dashstyle="solid"/>
            </v:shape>
            <v:shape style="position:absolute;left:2555;top:3386;width:303;height:152" coordorigin="2556,3386" coordsize="303,152" path="m2556,3386l2858,3386,2858,3538e" filled="false" stroked="true" strokeweight=".201981pt" strokecolor="#000000">
              <v:path arrowok="t"/>
              <v:stroke dashstyle="solid"/>
            </v:shape>
            <v:line style="position:absolute" from="3463,3538" to="3614,3538" stroked="true" strokeweight=".202075pt" strokecolor="#000000">
              <v:stroke dashstyle="solid"/>
            </v:line>
            <v:shape style="position:absolute;left:3614;top:3386;width:152;height:152" coordorigin="3614,3386" coordsize="152,152" path="m3614,3386l3765,3386,3765,3538e" filled="false" stroked="true" strokeweight=".20184pt" strokecolor="#000000">
              <v:path arrowok="t"/>
              <v:stroke dashstyle="solid"/>
            </v:shape>
            <v:line style="position:absolute" from="5277,3538" to="5429,3538" stroked="true" strokeweight=".202075pt" strokecolor="#000000">
              <v:stroke dashstyle="solid"/>
            </v:line>
            <v:shape style="position:absolute;left:5579;top:3386;width:303;height:152" coordorigin="5580,3386" coordsize="303,152" path="m5580,3538l5731,3538,5731,3386,5882,3386,5882,3538e" filled="false" stroked="true" strokeweight=".201981pt" strokecolor="#000000">
              <v:path arrowok="t"/>
              <v:stroke dashstyle="solid"/>
            </v:shape>
            <v:shape style="position:absolute;left:5882;top:3386;width:303;height:152" coordorigin="5882,3386" coordsize="303,152" path="m5882,3538l6034,3538,6034,3386,6185,3386,6185,3538e" filled="false" stroked="true" strokeweight=".201981pt" strokecolor="#000000">
              <v:path arrowok="t"/>
              <v:stroke dashstyle="solid"/>
            </v:shape>
            <v:shape style="position:absolute;left:6184;top:3386;width:303;height:152" coordorigin="6185,3386" coordsize="303,152" path="m6185,3538l6336,3538,6336,3386,6487,3386,6487,3538e" filled="false" stroked="true" strokeweight=".201981pt" strokecolor="#000000">
              <v:path arrowok="t"/>
              <v:stroke dashstyle="solid"/>
            </v:shape>
            <v:shape style="position:absolute;left:6487;top:3386;width:303;height:152" coordorigin="6487,3386" coordsize="303,152" path="m6487,3538l6638,3538,6638,3386,6790,3386,6790,3538e" filled="false" stroked="true" strokeweight=".201981pt" strokecolor="#000000">
              <v:path arrowok="t"/>
              <v:stroke dashstyle="solid"/>
            </v:shape>
            <v:shape style="position:absolute;left:5428;top:3386;width:152;height:152" coordorigin="5429,3386" coordsize="152,152" path="m5429,3386l5580,3386,5580,3538e" filled="false" stroked="true" strokeweight=".20184pt" strokecolor="#000000">
              <v:path arrowok="t"/>
              <v:stroke dashstyle="solid"/>
            </v:shape>
            <v:line style="position:absolute" from="6790,3538" to="6941,3538" stroked="true" strokeweight=".202075pt" strokecolor="#000000">
              <v:stroke dashstyle="solid"/>
            </v:line>
            <v:shape style="position:absolute;left:7091;top:3386;width:303;height:152" coordorigin="7092,3386" coordsize="303,152" path="m7092,3538l7243,3538,7243,3386,7394,3386,7394,3538e" filled="false" stroked="true" strokeweight=".201981pt" strokecolor="#000000">
              <v:path arrowok="t"/>
              <v:stroke dashstyle="solid"/>
            </v:shape>
            <v:shape style="position:absolute;left:7394;top:3386;width:303;height:152" coordorigin="7394,3386" coordsize="303,152" path="m7394,3538l7546,3538,7546,3386,7697,3386,7697,3538e" filled="false" stroked="true" strokeweight=".201981pt" strokecolor="#000000">
              <v:path arrowok="t"/>
              <v:stroke dashstyle="solid"/>
            </v:shape>
            <v:shape style="position:absolute;left:7696;top:3386;width:303;height:152" coordorigin="7697,3386" coordsize="303,152" path="m7697,3538l7848,3538,7848,3386,7999,3386,7999,3538e" filled="false" stroked="true" strokeweight=".201981pt" strokecolor="#000000">
              <v:path arrowok="t"/>
              <v:stroke dashstyle="solid"/>
            </v:shape>
            <v:shape style="position:absolute;left:6940;top:3386;width:152;height:152" coordorigin="6941,3386" coordsize="152,152" path="m6941,3386l7092,3386,7092,3538e" filled="false" stroked="true" strokeweight=".20184pt" strokecolor="#000000">
              <v:path arrowok="t"/>
              <v:stroke dashstyle="solid"/>
            </v:shape>
            <v:line style="position:absolute" from="7999,3538" to="8150,3538" stroked="true" strokeweight=".202075pt" strokecolor="#000000">
              <v:stroke dashstyle="solid"/>
            </v:line>
            <v:shape style="position:absolute;left:8150;top:3386;width:152;height:152" coordorigin="8150,3386" coordsize="152,152" path="m8150,3386l8302,3386,8302,3538e" filled="false" stroked="true" strokeweight=".20184pt" strokecolor="#000000">
              <v:path arrowok="t"/>
              <v:stroke dashstyle="solid"/>
            </v:shape>
            <v:shape style="position:absolute;left:8301;top:3386;width:303;height:152" coordorigin="8302,3386" coordsize="303,152" path="m8302,3538l8453,3538,8453,3386,8604,3386,8604,3538e" filled="false" stroked="true" strokeweight=".201981pt" strokecolor="#000000">
              <v:path arrowok="t"/>
              <v:stroke dashstyle="solid"/>
            </v:shape>
            <v:shape style="position:absolute;left:8603;top:3386;width:303;height:152" coordorigin="8604,3386" coordsize="303,152" path="m8604,3538l8755,3538,8755,3386,8906,3386,8906,3538e" filled="false" stroked="true" strokeweight=".201981pt" strokecolor="#000000">
              <v:path arrowok="t"/>
              <v:stroke dashstyle="solid"/>
            </v:shape>
            <v:shape style="position:absolute;left:8906;top:3386;width:303;height:152" coordorigin="8906,3386" coordsize="303,152" path="m8906,3538l9058,3538,9058,3386,9209,3386,9209,3538e" filled="false" stroked="true" strokeweight=".201981pt" strokecolor="#000000">
              <v:path arrowok="t"/>
              <v:stroke dashstyle="solid"/>
            </v:shape>
            <v:shape style="position:absolute;left:9208;top:3386;width:303;height:152" coordorigin="9209,3386" coordsize="303,152" path="m9209,3538l9360,3538,9360,3386,9511,3386,9511,3538e" filled="false" stroked="true" strokeweight=".201981pt" strokecolor="#000000">
              <v:path arrowok="t"/>
              <v:stroke dashstyle="solid"/>
            </v:shape>
            <v:line style="position:absolute" from="9511,3538" to="9662,3538" stroked="true" strokeweight=".202075pt" strokecolor="#000000">
              <v:stroke dashstyle="solid"/>
            </v:line>
            <v:line style="position:absolute" from="10418,3386" to="10721,3386" stroked="true" strokeweight=".202075pt" strokecolor="#000000">
              <v:stroke dashstyle="solid"/>
            </v:line>
            <v:shape style="position:absolute;left:9813;top:3386;width:303;height:152" coordorigin="9814,3386" coordsize="303,152" path="m9814,3538l9965,3538,9965,3386,10116,3386,10116,3538e" filled="false" stroked="true" strokeweight=".201981pt" strokecolor="#000000">
              <v:path arrowok="t"/>
              <v:stroke dashstyle="solid"/>
            </v:shape>
            <v:shape style="position:absolute;left:10116;top:3386;width:303;height:152" coordorigin="10116,3386" coordsize="303,152" path="m10116,3538l10267,3538,10267,3386,10418,3386,10418,3538e" filled="false" stroked="true" strokeweight=".201981pt" strokecolor="#000000">
              <v:path arrowok="t"/>
              <v:stroke dashstyle="solid"/>
            </v:shape>
            <v:line style="position:absolute" from="10418,3538" to="10721,3538" stroked="true" strokeweight=".202075pt" strokecolor="#000000">
              <v:stroke dashstyle="solid"/>
            </v:line>
            <v:shape style="position:absolute;left:9662;top:3386;width:152;height:152" coordorigin="9662,3386" coordsize="152,152" path="m9662,3386l9814,3386,9814,3538e" filled="false" stroked="true" strokeweight=".20184pt" strokecolor="#000000">
              <v:path arrowok="t"/>
              <v:stroke dashstyle="solid"/>
            </v:shape>
            <v:shape style="position:absolute;left:1456;top:706;width:9327;height:3480" coordorigin="1457,706" coordsize="9327,3480" path="m10783,706l10769,706,10769,721,10769,4172,1471,4172,1471,721,10769,721,10769,706,1471,706,1457,706,1457,721,1457,4172,1457,4186,1471,4186,10769,4186,10783,4186,10783,4172,10783,721,10783,706xe" filled="true" fillcolor="#000000" stroked="false">
              <v:path arrowok="t"/>
              <v:fill type="solid"/>
            </v:shape>
            <v:shape style="position:absolute;left:1642;top:801;width:909;height:151" type="#_x0000_t202" filled="false" stroked="false">
              <v:textbox inset="0,0,0,0">
                <w:txbxContent>
                  <w:p>
                    <w:pPr>
                      <w:spacing w:before="0"/>
                      <w:ind w:left="0" w:right="0" w:firstLine="0"/>
                      <w:jc w:val="left"/>
                      <w:rPr>
                        <w:sz w:val="13"/>
                      </w:rPr>
                    </w:pPr>
                    <w:r>
                      <w:rPr>
                        <w:w w:val="105"/>
                        <w:sz w:val="13"/>
                      </w:rPr>
                      <w:t>SERIAL READ</w:t>
                    </w:r>
                  </w:p>
                </w:txbxContent>
              </v:textbox>
              <w10:wrap type="none"/>
            </v:shape>
            <v:shape style="position:absolute;left:3285;top:889;width:665;height:113" type="#_x0000_t202" filled="false" stroked="false">
              <v:textbox inset="0,0,0,0">
                <w:txbxContent>
                  <w:p>
                    <w:pPr>
                      <w:spacing w:line="113" w:lineRule="exact" w:before="0"/>
                      <w:ind w:left="0" w:right="0" w:firstLine="0"/>
                      <w:jc w:val="left"/>
                      <w:rPr>
                        <w:sz w:val="10"/>
                      </w:rPr>
                    </w:pPr>
                    <w:r>
                      <w:rPr>
                        <w:sz w:val="10"/>
                      </w:rPr>
                      <w:t>16 bit Address</w:t>
                    </w:r>
                  </w:p>
                </w:txbxContent>
              </v:textbox>
              <w10:wrap type="none"/>
            </v:shape>
            <v:shape style="position:absolute;left:4895;top:897;width:468;height:113" type="#_x0000_t202" filled="false" stroked="false">
              <v:textbox inset="0,0,0,0">
                <w:txbxContent>
                  <w:p>
                    <w:pPr>
                      <w:spacing w:line="113" w:lineRule="exact" w:before="0"/>
                      <w:ind w:left="0" w:right="0" w:firstLine="0"/>
                      <w:jc w:val="left"/>
                      <w:rPr>
                        <w:sz w:val="10"/>
                      </w:rPr>
                    </w:pPr>
                    <w:r>
                      <w:rPr>
                        <w:sz w:val="10"/>
                      </w:rPr>
                      <w:t>8 bit CMD</w:t>
                    </w:r>
                  </w:p>
                </w:txbxContent>
              </v:textbox>
              <w10:wrap type="none"/>
            </v:shape>
            <v:shape style="position:absolute;left:6374;top:879;width:536;height:113" type="#_x0000_t202" filled="false" stroked="false">
              <v:textbox inset="0,0,0,0">
                <w:txbxContent>
                  <w:p>
                    <w:pPr>
                      <w:spacing w:line="113" w:lineRule="exact" w:before="0"/>
                      <w:ind w:left="0" w:right="0" w:firstLine="0"/>
                      <w:jc w:val="left"/>
                      <w:rPr>
                        <w:sz w:val="10"/>
                      </w:rPr>
                    </w:pPr>
                    <w:r>
                      <w:rPr>
                        <w:sz w:val="10"/>
                      </w:rPr>
                      <w:t>Status Byte</w:t>
                    </w:r>
                  </w:p>
                </w:txbxContent>
              </v:textbox>
              <w10:wrap type="none"/>
            </v:shape>
            <v:shape style="position:absolute;left:7838;top:889;width:631;height:113" type="#_x0000_t202" filled="false" stroked="false">
              <v:textbox inset="0,0,0,0">
                <w:txbxContent>
                  <w:p>
                    <w:pPr>
                      <w:spacing w:line="113" w:lineRule="exact" w:before="0"/>
                      <w:ind w:left="0" w:right="0" w:firstLine="0"/>
                      <w:jc w:val="left"/>
                      <w:rPr>
                        <w:sz w:val="10"/>
                      </w:rPr>
                    </w:pPr>
                    <w:r>
                      <w:rPr>
                        <w:sz w:val="10"/>
                      </w:rPr>
                      <w:t>DATA[ADDR]</w:t>
                    </w:r>
                  </w:p>
                </w:txbxContent>
              </v:textbox>
              <w10:wrap type="none"/>
            </v:shape>
            <v:shape style="position:absolute;left:9293;top:897;width:746;height:113" type="#_x0000_t202" filled="false" stroked="false">
              <v:textbox inset="0,0,0,0">
                <w:txbxContent>
                  <w:p>
                    <w:pPr>
                      <w:spacing w:line="113" w:lineRule="exact" w:before="0"/>
                      <w:ind w:left="0" w:right="0" w:firstLine="0"/>
                      <w:jc w:val="left"/>
                      <w:rPr>
                        <w:sz w:val="10"/>
                      </w:rPr>
                    </w:pPr>
                    <w:r>
                      <w:rPr>
                        <w:sz w:val="10"/>
                      </w:rPr>
                      <w:t>DATA[ADDR+1]</w:t>
                    </w:r>
                  </w:p>
                </w:txbxContent>
              </v:textbox>
              <w10:wrap type="none"/>
            </v:shape>
            <v:shape style="position:absolute;left:1563;top:1285;width:1006;height:113" type="#_x0000_t202" filled="false" stroked="false">
              <v:textbox inset="0,0,0,0">
                <w:txbxContent>
                  <w:p>
                    <w:pPr>
                      <w:spacing w:line="113" w:lineRule="exact" w:before="0"/>
                      <w:ind w:left="0" w:right="0" w:firstLine="0"/>
                      <w:jc w:val="left"/>
                      <w:rPr>
                        <w:sz w:val="10"/>
                      </w:rPr>
                    </w:pPr>
                    <w:r>
                      <w:rPr>
                        <w:sz w:val="10"/>
                      </w:rPr>
                      <w:t>(From Host) SPI_CSZ</w:t>
                    </w:r>
                  </w:p>
                </w:txbxContent>
              </v:textbox>
              <w10:wrap type="none"/>
            </v:shape>
            <v:shape style="position:absolute;left:2975;top:1447;width:77;height:113" type="#_x0000_t202" filled="false" stroked="false">
              <v:textbox inset="0,0,0,0">
                <w:txbxContent>
                  <w:p>
                    <w:pPr>
                      <w:spacing w:line="113" w:lineRule="exact" w:before="0"/>
                      <w:ind w:left="0" w:right="0" w:firstLine="0"/>
                      <w:jc w:val="left"/>
                      <w:rPr>
                        <w:sz w:val="10"/>
                      </w:rPr>
                    </w:pPr>
                    <w:r>
                      <w:rPr>
                        <w:w w:val="100"/>
                        <w:sz w:val="10"/>
                      </w:rPr>
                      <w:t>0</w:t>
                    </w:r>
                  </w:p>
                </w:txbxContent>
              </v:textbox>
              <w10:wrap type="none"/>
            </v:shape>
            <v:shape style="position:absolute;left:4156;top:1447;width:435;height:113" type="#_x0000_t202" filled="false" stroked="false">
              <v:textbox inset="0,0,0,0">
                <w:txbxContent>
                  <w:p>
                    <w:pPr>
                      <w:spacing w:line="113" w:lineRule="exact" w:before="0"/>
                      <w:ind w:left="0" w:right="0" w:firstLine="0"/>
                      <w:jc w:val="left"/>
                      <w:rPr>
                        <w:sz w:val="10"/>
                      </w:rPr>
                    </w:pPr>
                    <w:r>
                      <w:rPr>
                        <w:sz w:val="10"/>
                      </w:rPr>
                      <w:t>15 16</w:t>
                    </w:r>
                  </w:p>
                </w:txbxContent>
              </v:textbox>
              <w10:wrap type="none"/>
            </v:shape>
            <v:shape style="position:absolute;left:5668;top:1447;width:435;height:113" type="#_x0000_t202" filled="false" stroked="false">
              <v:textbox inset="0,0,0,0">
                <w:txbxContent>
                  <w:p>
                    <w:pPr>
                      <w:spacing w:line="113" w:lineRule="exact" w:before="0"/>
                      <w:ind w:left="0" w:right="0" w:firstLine="0"/>
                      <w:jc w:val="left"/>
                      <w:rPr>
                        <w:sz w:val="10"/>
                      </w:rPr>
                    </w:pPr>
                    <w:r>
                      <w:rPr>
                        <w:sz w:val="10"/>
                      </w:rPr>
                      <w:t>23 24</w:t>
                    </w:r>
                  </w:p>
                </w:txbxContent>
              </v:textbox>
              <w10:wrap type="none"/>
            </v:shape>
            <v:shape style="position:absolute;left:7180;top:1447;width:435;height:113" type="#_x0000_t202" filled="false" stroked="false">
              <v:textbox inset="0,0,0,0">
                <w:txbxContent>
                  <w:p>
                    <w:pPr>
                      <w:spacing w:line="113" w:lineRule="exact" w:before="0"/>
                      <w:ind w:left="0" w:right="0" w:firstLine="0"/>
                      <w:jc w:val="left"/>
                      <w:rPr>
                        <w:sz w:val="10"/>
                      </w:rPr>
                    </w:pPr>
                    <w:r>
                      <w:rPr>
                        <w:sz w:val="10"/>
                      </w:rPr>
                      <w:t>31 32</w:t>
                    </w:r>
                  </w:p>
                </w:txbxContent>
              </v:textbox>
              <w10:wrap type="none"/>
            </v:shape>
            <v:shape style="position:absolute;left:8692;top:1285;width:1645;height:275" type="#_x0000_t202" filled="false" stroked="false">
              <v:textbox inset="0,0,0,0">
                <w:txbxContent>
                  <w:p>
                    <w:pPr>
                      <w:spacing w:line="113" w:lineRule="exact" w:before="0"/>
                      <w:ind w:left="35" w:right="18" w:firstLine="0"/>
                      <w:jc w:val="center"/>
                      <w:rPr>
                        <w:sz w:val="10"/>
                      </w:rPr>
                    </w:pPr>
                    <w:r>
                      <w:rPr>
                        <w:sz w:val="10"/>
                      </w:rPr>
                      <w:t>Extended Read . . .</w:t>
                    </w:r>
                  </w:p>
                  <w:p>
                    <w:pPr>
                      <w:tabs>
                        <w:tab w:pos="1511" w:val="left" w:leader="none"/>
                      </w:tabs>
                      <w:spacing w:before="47"/>
                      <w:ind w:left="-1" w:right="18" w:firstLine="0"/>
                      <w:jc w:val="center"/>
                      <w:rPr>
                        <w:sz w:val="10"/>
                      </w:rPr>
                    </w:pPr>
                    <w:r>
                      <w:rPr>
                        <w:sz w:val="10"/>
                      </w:rPr>
                      <w:t>39     </w:t>
                    </w:r>
                    <w:r>
                      <w:rPr>
                        <w:spacing w:val="22"/>
                        <w:sz w:val="10"/>
                      </w:rPr>
                      <w:t> </w:t>
                    </w:r>
                    <w:r>
                      <w:rPr>
                        <w:sz w:val="10"/>
                      </w:rPr>
                      <w:t>40</w:t>
                      <w:tab/>
                    </w:r>
                    <w:r>
                      <w:rPr>
                        <w:spacing w:val="-9"/>
                        <w:sz w:val="10"/>
                      </w:rPr>
                      <w:t>47</w:t>
                    </w:r>
                  </w:p>
                </w:txbxContent>
              </v:textbox>
              <w10:wrap type="none"/>
            </v:shape>
            <v:shape style="position:absolute;left:1597;top:1588;width:8748;height:720" type="#_x0000_t202" filled="false" stroked="false">
              <v:textbox inset="0,0,0,0">
                <w:txbxContent>
                  <w:p>
                    <w:pPr>
                      <w:spacing w:line="113" w:lineRule="exact" w:before="0"/>
                      <w:ind w:left="28" w:right="0" w:firstLine="0"/>
                      <w:jc w:val="left"/>
                      <w:rPr>
                        <w:sz w:val="10"/>
                      </w:rPr>
                    </w:pPr>
                    <w:r>
                      <w:rPr>
                        <w:sz w:val="10"/>
                      </w:rPr>
                      <w:t>(From Host) SPI_CK</w:t>
                    </w:r>
                  </w:p>
                  <w:p>
                    <w:pPr>
                      <w:spacing w:line="240" w:lineRule="auto" w:before="0"/>
                      <w:rPr>
                        <w:sz w:val="10"/>
                      </w:rPr>
                    </w:pPr>
                  </w:p>
                  <w:p>
                    <w:pPr>
                      <w:tabs>
                        <w:tab w:pos="1316" w:val="left" w:leader="none"/>
                        <w:tab w:pos="2270" w:val="left" w:leader="none"/>
                        <w:tab w:pos="4100" w:val="left" w:leader="none"/>
                        <w:tab w:pos="5954" w:val="left" w:leader="none"/>
                      </w:tabs>
                      <w:spacing w:before="63"/>
                      <w:ind w:left="67" w:right="0" w:firstLine="0"/>
                      <w:jc w:val="left"/>
                      <w:rPr>
                        <w:sz w:val="10"/>
                      </w:rPr>
                    </w:pPr>
                    <w:r>
                      <w:rPr>
                        <w:sz w:val="10"/>
                      </w:rPr>
                      <w:t>(From Host)</w:t>
                    </w:r>
                    <w:r>
                      <w:rPr>
                        <w:spacing w:val="1"/>
                        <w:sz w:val="10"/>
                      </w:rPr>
                      <w:t> </w:t>
                    </w:r>
                    <w:r>
                      <w:rPr>
                        <w:sz w:val="10"/>
                      </w:rPr>
                      <w:t>SPI_DI</w:t>
                      <w:tab/>
                      <w:t>A15    </w:t>
                    </w:r>
                    <w:r>
                      <w:rPr>
                        <w:spacing w:val="5"/>
                        <w:sz w:val="10"/>
                      </w:rPr>
                      <w:t> </w:t>
                    </w:r>
                    <w:r>
                      <w:rPr>
                        <w:sz w:val="10"/>
                      </w:rPr>
                      <w:t>A14</w:t>
                      <w:tab/>
                      <w:t>A1       </w:t>
                    </w:r>
                    <w:r>
                      <w:rPr>
                        <w:position w:val="1"/>
                        <w:sz w:val="10"/>
                      </w:rPr>
                      <w:t>A0      </w:t>
                    </w:r>
                    <w:r>
                      <w:rPr>
                        <w:sz w:val="10"/>
                      </w:rPr>
                      <w:t>C7    </w:t>
                    </w:r>
                    <w:r>
                      <w:rPr>
                        <w:spacing w:val="9"/>
                        <w:sz w:val="10"/>
                      </w:rPr>
                      <w:t> </w:t>
                    </w:r>
                    <w:r>
                      <w:rPr>
                        <w:sz w:val="10"/>
                      </w:rPr>
                      <w:t>C6     </w:t>
                    </w:r>
                    <w:r>
                      <w:rPr>
                        <w:spacing w:val="7"/>
                        <w:sz w:val="10"/>
                      </w:rPr>
                      <w:t> </w:t>
                    </w:r>
                    <w:r>
                      <w:rPr>
                        <w:sz w:val="10"/>
                      </w:rPr>
                      <w:t>C5</w:t>
                      <w:tab/>
                      <w:t>C0</w:t>
                      <w:tab/>
                      <w:t>x</w:t>
                    </w:r>
                  </w:p>
                  <w:p>
                    <w:pPr>
                      <w:spacing w:line="240" w:lineRule="auto" w:before="3"/>
                      <w:rPr>
                        <w:sz w:val="10"/>
                      </w:rPr>
                    </w:pPr>
                  </w:p>
                  <w:p>
                    <w:pPr>
                      <w:tabs>
                        <w:tab w:pos="2444" w:val="left" w:leader="none"/>
                        <w:tab w:pos="4284" w:val="left" w:leader="none"/>
                        <w:tab w:pos="5565" w:val="left" w:leader="none"/>
                        <w:tab w:pos="6784" w:val="left" w:leader="none"/>
                        <w:tab w:pos="8296" w:val="left" w:leader="none"/>
                      </w:tabs>
                      <w:spacing w:before="0"/>
                      <w:ind w:left="0" w:right="0" w:firstLine="0"/>
                      <w:jc w:val="left"/>
                      <w:rPr>
                        <w:sz w:val="10"/>
                      </w:rPr>
                    </w:pPr>
                    <w:r>
                      <w:rPr>
                        <w:sz w:val="10"/>
                      </w:rPr>
                      <w:t>(From</w:t>
                    </w:r>
                    <w:r>
                      <w:rPr>
                        <w:spacing w:val="1"/>
                        <w:sz w:val="10"/>
                      </w:rPr>
                      <w:t> </w:t>
                    </w:r>
                    <w:r>
                      <w:rPr>
                        <w:sz w:val="10"/>
                      </w:rPr>
                      <w:t>6543)</w:t>
                    </w:r>
                    <w:r>
                      <w:rPr>
                        <w:spacing w:val="2"/>
                        <w:sz w:val="10"/>
                      </w:rPr>
                      <w:t> </w:t>
                    </w:r>
                    <w:r>
                      <w:rPr>
                        <w:sz w:val="10"/>
                      </w:rPr>
                      <w:t>SPI_DO</w:t>
                    </w:r>
                    <w:r>
                      <w:rPr>
                        <w:position w:val="7"/>
                        <w:sz w:val="10"/>
                        <w:u w:val="single"/>
                      </w:rPr>
                      <w:t> </w:t>
                      <w:tab/>
                      <w:t>HI Z</w:t>
                      <w:tab/>
                    </w:r>
                    <w:r>
                      <w:rPr>
                        <w:sz w:val="10"/>
                      </w:rPr>
                      <w:t>ST7   </w:t>
                    </w:r>
                    <w:r>
                      <w:rPr>
                        <w:spacing w:val="8"/>
                        <w:sz w:val="10"/>
                      </w:rPr>
                      <w:t> </w:t>
                    </w:r>
                    <w:r>
                      <w:rPr>
                        <w:sz w:val="10"/>
                      </w:rPr>
                      <w:t>ST6   </w:t>
                    </w:r>
                    <w:r>
                      <w:rPr>
                        <w:spacing w:val="8"/>
                        <w:sz w:val="10"/>
                      </w:rPr>
                      <w:t> </w:t>
                    </w:r>
                    <w:r>
                      <w:rPr>
                        <w:sz w:val="10"/>
                      </w:rPr>
                      <w:t>ST5</w:t>
                      <w:tab/>
                      <w:t>ST0    </w:t>
                    </w:r>
                    <w:r>
                      <w:rPr>
                        <w:spacing w:val="6"/>
                        <w:sz w:val="10"/>
                      </w:rPr>
                      <w:t> </w:t>
                    </w:r>
                    <w:r>
                      <w:rPr>
                        <w:sz w:val="10"/>
                      </w:rPr>
                      <w:t>D7    </w:t>
                    </w:r>
                    <w:r>
                      <w:rPr>
                        <w:spacing w:val="15"/>
                        <w:sz w:val="10"/>
                      </w:rPr>
                      <w:t> </w:t>
                    </w:r>
                    <w:r>
                      <w:rPr>
                        <w:sz w:val="10"/>
                      </w:rPr>
                      <w:t>D6</w:t>
                      <w:tab/>
                      <w:t>D1      D0     </w:t>
                    </w:r>
                    <w:r>
                      <w:rPr>
                        <w:spacing w:val="13"/>
                        <w:sz w:val="10"/>
                      </w:rPr>
                      <w:t> </w:t>
                    </w:r>
                    <w:r>
                      <w:rPr>
                        <w:sz w:val="10"/>
                      </w:rPr>
                      <w:t>D7     </w:t>
                    </w:r>
                    <w:r>
                      <w:rPr>
                        <w:spacing w:val="6"/>
                        <w:sz w:val="10"/>
                      </w:rPr>
                      <w:t> </w:t>
                    </w:r>
                    <w:r>
                      <w:rPr>
                        <w:sz w:val="10"/>
                      </w:rPr>
                      <w:t>D6</w:t>
                      <w:tab/>
                      <w:t>D1</w:t>
                    </w:r>
                    <w:r>
                      <w:rPr>
                        <w:spacing w:val="5"/>
                        <w:sz w:val="10"/>
                      </w:rPr>
                      <w:t> </w:t>
                    </w:r>
                    <w:r>
                      <w:rPr>
                        <w:sz w:val="10"/>
                      </w:rPr>
                      <w:t>D0</w:t>
                    </w:r>
                  </w:p>
                </w:txbxContent>
              </v:textbox>
              <w10:wrap type="none"/>
            </v:shape>
            <v:shape style="position:absolute;left:1642;top:2620;width:969;height:151" type="#_x0000_t202" filled="false" stroked="false">
              <v:textbox inset="0,0,0,0">
                <w:txbxContent>
                  <w:p>
                    <w:pPr>
                      <w:spacing w:before="0"/>
                      <w:ind w:left="0" w:right="0" w:firstLine="0"/>
                      <w:jc w:val="left"/>
                      <w:rPr>
                        <w:sz w:val="13"/>
                      </w:rPr>
                    </w:pPr>
                    <w:r>
                      <w:rPr>
                        <w:w w:val="105"/>
                        <w:sz w:val="13"/>
                      </w:rPr>
                      <w:t>SERIAL WRITE</w:t>
                    </w:r>
                  </w:p>
                </w:txbxContent>
              </v:textbox>
              <w10:wrap type="none"/>
            </v:shape>
            <v:shape style="position:absolute;left:3285;top:2725;width:665;height:113" type="#_x0000_t202" filled="false" stroked="false">
              <v:textbox inset="0,0,0,0">
                <w:txbxContent>
                  <w:p>
                    <w:pPr>
                      <w:spacing w:line="113" w:lineRule="exact" w:before="0"/>
                      <w:ind w:left="0" w:right="0" w:firstLine="0"/>
                      <w:jc w:val="left"/>
                      <w:rPr>
                        <w:sz w:val="10"/>
                      </w:rPr>
                    </w:pPr>
                    <w:r>
                      <w:rPr>
                        <w:sz w:val="10"/>
                      </w:rPr>
                      <w:t>16 bit Address</w:t>
                    </w:r>
                  </w:p>
                </w:txbxContent>
              </v:textbox>
              <w10:wrap type="none"/>
            </v:shape>
            <v:shape style="position:absolute;left:4895;top:2725;width:468;height:113" type="#_x0000_t202" filled="false" stroked="false">
              <v:textbox inset="0,0,0,0">
                <w:txbxContent>
                  <w:p>
                    <w:pPr>
                      <w:spacing w:line="113" w:lineRule="exact" w:before="0"/>
                      <w:ind w:left="0" w:right="0" w:firstLine="0"/>
                      <w:jc w:val="left"/>
                      <w:rPr>
                        <w:sz w:val="10"/>
                      </w:rPr>
                    </w:pPr>
                    <w:r>
                      <w:rPr>
                        <w:sz w:val="10"/>
                      </w:rPr>
                      <w:t>8 bit CMD</w:t>
                    </w:r>
                  </w:p>
                </w:txbxContent>
              </v:textbox>
              <w10:wrap type="none"/>
            </v:shape>
            <v:shape style="position:absolute;left:6374;top:2708;width:536;height:113" type="#_x0000_t202" filled="false" stroked="false">
              <v:textbox inset="0,0,0,0">
                <w:txbxContent>
                  <w:p>
                    <w:pPr>
                      <w:spacing w:line="113" w:lineRule="exact" w:before="0"/>
                      <w:ind w:left="0" w:right="0" w:firstLine="0"/>
                      <w:jc w:val="left"/>
                      <w:rPr>
                        <w:sz w:val="10"/>
                      </w:rPr>
                    </w:pPr>
                    <w:r>
                      <w:rPr>
                        <w:sz w:val="10"/>
                      </w:rPr>
                      <w:t>Status Byte</w:t>
                    </w:r>
                  </w:p>
                </w:txbxContent>
              </v:textbox>
              <w10:wrap type="none"/>
            </v:shape>
            <v:shape style="position:absolute;left:7838;top:2708;width:631;height:113" type="#_x0000_t202" filled="false" stroked="false">
              <v:textbox inset="0,0,0,0">
                <w:txbxContent>
                  <w:p>
                    <w:pPr>
                      <w:spacing w:line="113" w:lineRule="exact" w:before="0"/>
                      <w:ind w:left="0" w:right="0" w:firstLine="0"/>
                      <w:jc w:val="left"/>
                      <w:rPr>
                        <w:sz w:val="10"/>
                      </w:rPr>
                    </w:pPr>
                    <w:r>
                      <w:rPr>
                        <w:sz w:val="10"/>
                      </w:rPr>
                      <w:t>DATA[ADDR]</w:t>
                    </w:r>
                  </w:p>
                </w:txbxContent>
              </v:textbox>
              <w10:wrap type="none"/>
            </v:shape>
            <v:shape style="position:absolute;left:9293;top:2716;width:746;height:113" type="#_x0000_t202" filled="false" stroked="false">
              <v:textbox inset="0,0,0,0">
                <w:txbxContent>
                  <w:p>
                    <w:pPr>
                      <w:spacing w:line="113" w:lineRule="exact" w:before="0"/>
                      <w:ind w:left="0" w:right="0" w:firstLine="0"/>
                      <w:jc w:val="left"/>
                      <w:rPr>
                        <w:sz w:val="10"/>
                      </w:rPr>
                    </w:pPr>
                    <w:r>
                      <w:rPr>
                        <w:sz w:val="10"/>
                      </w:rPr>
                      <w:t>DATA[ADDR+1]</w:t>
                    </w:r>
                  </w:p>
                </w:txbxContent>
              </v:textbox>
              <w10:wrap type="none"/>
            </v:shape>
            <v:shape style="position:absolute;left:1563;top:3103;width:1006;height:113" type="#_x0000_t202" filled="false" stroked="false">
              <v:textbox inset="0,0,0,0">
                <w:txbxContent>
                  <w:p>
                    <w:pPr>
                      <w:spacing w:line="113" w:lineRule="exact" w:before="0"/>
                      <w:ind w:left="0" w:right="0" w:firstLine="0"/>
                      <w:jc w:val="left"/>
                      <w:rPr>
                        <w:sz w:val="10"/>
                      </w:rPr>
                    </w:pPr>
                    <w:r>
                      <w:rPr>
                        <w:sz w:val="10"/>
                      </w:rPr>
                      <w:t>(From Host) SPI_CSZ</w:t>
                    </w:r>
                  </w:p>
                </w:txbxContent>
              </v:textbox>
              <w10:wrap type="none"/>
            </v:shape>
            <v:shape style="position:absolute;left:2975;top:3265;width:77;height:113" type="#_x0000_t202" filled="false" stroked="false">
              <v:textbox inset="0,0,0,0">
                <w:txbxContent>
                  <w:p>
                    <w:pPr>
                      <w:spacing w:line="113" w:lineRule="exact" w:before="0"/>
                      <w:ind w:left="0" w:right="0" w:firstLine="0"/>
                      <w:jc w:val="left"/>
                      <w:rPr>
                        <w:sz w:val="10"/>
                      </w:rPr>
                    </w:pPr>
                    <w:r>
                      <w:rPr>
                        <w:w w:val="100"/>
                        <w:sz w:val="10"/>
                      </w:rPr>
                      <w:t>0</w:t>
                    </w:r>
                  </w:p>
                </w:txbxContent>
              </v:textbox>
              <w10:wrap type="none"/>
            </v:shape>
            <v:shape style="position:absolute;left:4156;top:3265;width:435;height:113" type="#_x0000_t202" filled="false" stroked="false">
              <v:textbox inset="0,0,0,0">
                <w:txbxContent>
                  <w:p>
                    <w:pPr>
                      <w:spacing w:line="113" w:lineRule="exact" w:before="0"/>
                      <w:ind w:left="0" w:right="0" w:firstLine="0"/>
                      <w:jc w:val="left"/>
                      <w:rPr>
                        <w:sz w:val="10"/>
                      </w:rPr>
                    </w:pPr>
                    <w:r>
                      <w:rPr>
                        <w:sz w:val="10"/>
                      </w:rPr>
                      <w:t>15 16</w:t>
                    </w:r>
                  </w:p>
                </w:txbxContent>
              </v:textbox>
              <w10:wrap type="none"/>
            </v:shape>
            <v:shape style="position:absolute;left:5668;top:3265;width:435;height:113" type="#_x0000_t202" filled="false" stroked="false">
              <v:textbox inset="0,0,0,0">
                <w:txbxContent>
                  <w:p>
                    <w:pPr>
                      <w:spacing w:line="113" w:lineRule="exact" w:before="0"/>
                      <w:ind w:left="0" w:right="0" w:firstLine="0"/>
                      <w:jc w:val="left"/>
                      <w:rPr>
                        <w:sz w:val="10"/>
                      </w:rPr>
                    </w:pPr>
                    <w:r>
                      <w:rPr>
                        <w:sz w:val="10"/>
                      </w:rPr>
                      <w:t>23 24</w:t>
                    </w:r>
                  </w:p>
                </w:txbxContent>
              </v:textbox>
              <w10:wrap type="none"/>
            </v:shape>
            <v:shape style="position:absolute;left:7180;top:3265;width:435;height:113" type="#_x0000_t202" filled="false" stroked="false">
              <v:textbox inset="0,0,0,0">
                <w:txbxContent>
                  <w:p>
                    <w:pPr>
                      <w:spacing w:line="113" w:lineRule="exact" w:before="0"/>
                      <w:ind w:left="0" w:right="0" w:firstLine="0"/>
                      <w:jc w:val="left"/>
                      <w:rPr>
                        <w:sz w:val="10"/>
                      </w:rPr>
                    </w:pPr>
                    <w:r>
                      <w:rPr>
                        <w:sz w:val="10"/>
                      </w:rPr>
                      <w:t>31 32</w:t>
                    </w:r>
                  </w:p>
                </w:txbxContent>
              </v:textbox>
              <w10:wrap type="none"/>
            </v:shape>
            <v:shape style="position:absolute;left:8692;top:3103;width:1645;height:275" type="#_x0000_t202" filled="false" stroked="false">
              <v:textbox inset="0,0,0,0">
                <w:txbxContent>
                  <w:p>
                    <w:pPr>
                      <w:spacing w:line="113" w:lineRule="exact" w:before="0"/>
                      <w:ind w:left="36" w:right="18" w:firstLine="0"/>
                      <w:jc w:val="center"/>
                      <w:rPr>
                        <w:sz w:val="10"/>
                      </w:rPr>
                    </w:pPr>
                    <w:r>
                      <w:rPr>
                        <w:sz w:val="10"/>
                      </w:rPr>
                      <w:t>Extended Write . . .</w:t>
                    </w:r>
                  </w:p>
                  <w:p>
                    <w:pPr>
                      <w:tabs>
                        <w:tab w:pos="1511" w:val="left" w:leader="none"/>
                      </w:tabs>
                      <w:spacing w:before="47"/>
                      <w:ind w:left="0" w:right="18" w:firstLine="0"/>
                      <w:jc w:val="center"/>
                      <w:rPr>
                        <w:sz w:val="10"/>
                      </w:rPr>
                    </w:pPr>
                    <w:r>
                      <w:rPr>
                        <w:sz w:val="10"/>
                      </w:rPr>
                      <w:t>39     </w:t>
                    </w:r>
                    <w:r>
                      <w:rPr>
                        <w:spacing w:val="22"/>
                        <w:sz w:val="10"/>
                      </w:rPr>
                      <w:t> </w:t>
                    </w:r>
                    <w:r>
                      <w:rPr>
                        <w:sz w:val="10"/>
                      </w:rPr>
                      <w:t>40</w:t>
                      <w:tab/>
                    </w:r>
                    <w:r>
                      <w:rPr>
                        <w:spacing w:val="-9"/>
                        <w:sz w:val="10"/>
                      </w:rPr>
                      <w:t>47</w:t>
                    </w:r>
                  </w:p>
                </w:txbxContent>
              </v:textbox>
              <w10:wrap type="none"/>
            </v:shape>
            <v:shape style="position:absolute;left:1597;top:3407;width:9012;height:720" type="#_x0000_t202" filled="false" stroked="false">
              <v:textbox inset="0,0,0,0">
                <w:txbxContent>
                  <w:p>
                    <w:pPr>
                      <w:spacing w:line="113" w:lineRule="exact" w:before="0"/>
                      <w:ind w:left="28" w:right="0" w:firstLine="0"/>
                      <w:jc w:val="left"/>
                      <w:rPr>
                        <w:sz w:val="10"/>
                      </w:rPr>
                    </w:pPr>
                    <w:r>
                      <w:rPr>
                        <w:sz w:val="10"/>
                      </w:rPr>
                      <w:t>(From Host) SPI_CK</w:t>
                    </w:r>
                  </w:p>
                  <w:p>
                    <w:pPr>
                      <w:tabs>
                        <w:tab w:pos="1335" w:val="left" w:leader="none"/>
                        <w:tab w:pos="2270" w:val="left" w:leader="none"/>
                        <w:tab w:pos="2482" w:val="left" w:leader="none"/>
                        <w:tab w:pos="4081" w:val="left" w:leader="none"/>
                        <w:tab w:pos="4284" w:val="left" w:leader="none"/>
                        <w:tab w:pos="5565" w:val="left" w:leader="none"/>
                        <w:tab w:pos="5877" w:val="left" w:leader="none"/>
                        <w:tab w:pos="6784" w:val="left" w:leader="none"/>
                        <w:tab w:pos="8296" w:val="left" w:leader="none"/>
                        <w:tab w:pos="8940" w:val="left" w:leader="none"/>
                      </w:tabs>
                      <w:spacing w:line="300" w:lineRule="atLeast" w:before="3"/>
                      <w:ind w:left="0" w:right="18" w:firstLine="67"/>
                      <w:jc w:val="left"/>
                      <w:rPr>
                        <w:sz w:val="10"/>
                      </w:rPr>
                    </w:pPr>
                    <w:r>
                      <w:rPr>
                        <w:sz w:val="10"/>
                      </w:rPr>
                      <w:t>(From Host) SPI_DI   </w:t>
                    </w:r>
                    <w:r>
                      <w:rPr>
                        <w:spacing w:val="17"/>
                        <w:sz w:val="10"/>
                      </w:rPr>
                      <w:t> </w:t>
                    </w:r>
                    <w:r>
                      <w:rPr>
                        <w:sz w:val="10"/>
                      </w:rPr>
                      <w:t>x</w:t>
                      <w:tab/>
                      <w:t>A15   </w:t>
                    </w:r>
                    <w:r>
                      <w:rPr>
                        <w:spacing w:val="12"/>
                        <w:sz w:val="10"/>
                      </w:rPr>
                      <w:t> </w:t>
                    </w:r>
                    <w:r>
                      <w:rPr>
                        <w:position w:val="1"/>
                        <w:sz w:val="10"/>
                      </w:rPr>
                      <w:t>A14</w:t>
                      <w:tab/>
                    </w:r>
                    <w:r>
                      <w:rPr>
                        <w:sz w:val="10"/>
                      </w:rPr>
                      <w:t>A1       A0      C7     </w:t>
                    </w:r>
                    <w:r>
                      <w:rPr>
                        <w:spacing w:val="1"/>
                        <w:sz w:val="10"/>
                      </w:rPr>
                      <w:t> </w:t>
                    </w:r>
                    <w:r>
                      <w:rPr>
                        <w:sz w:val="10"/>
                      </w:rPr>
                      <w:t>C6     </w:t>
                    </w:r>
                    <w:r>
                      <w:rPr>
                        <w:spacing w:val="6"/>
                        <w:sz w:val="10"/>
                      </w:rPr>
                      <w:t> </w:t>
                    </w:r>
                    <w:r>
                      <w:rPr>
                        <w:sz w:val="10"/>
                      </w:rPr>
                      <w:t>C5</w:t>
                      <w:tab/>
                      <w:t>C0</w:t>
                      <w:tab/>
                      <w:tab/>
                      <w:tab/>
                      <w:t>D7     </w:t>
                    </w:r>
                    <w:r>
                      <w:rPr>
                        <w:spacing w:val="7"/>
                        <w:sz w:val="10"/>
                      </w:rPr>
                      <w:t> </w:t>
                    </w:r>
                    <w:r>
                      <w:rPr>
                        <w:sz w:val="10"/>
                      </w:rPr>
                      <w:t>D6</w:t>
                      <w:tab/>
                      <w:t>D1      D0     </w:t>
                    </w:r>
                    <w:r>
                      <w:rPr>
                        <w:spacing w:val="12"/>
                        <w:sz w:val="10"/>
                      </w:rPr>
                      <w:t> </w:t>
                    </w:r>
                    <w:r>
                      <w:rPr>
                        <w:sz w:val="10"/>
                      </w:rPr>
                      <w:t>D7     </w:t>
                    </w:r>
                    <w:r>
                      <w:rPr>
                        <w:spacing w:val="6"/>
                        <w:sz w:val="10"/>
                      </w:rPr>
                      <w:t> </w:t>
                    </w:r>
                    <w:r>
                      <w:rPr>
                        <w:sz w:val="10"/>
                      </w:rPr>
                      <w:t>D6</w:t>
                      <w:tab/>
                      <w:t>D1     </w:t>
                    </w:r>
                    <w:r>
                      <w:rPr>
                        <w:spacing w:val="5"/>
                        <w:sz w:val="10"/>
                      </w:rPr>
                      <w:t> </w:t>
                    </w:r>
                    <w:r>
                      <w:rPr>
                        <w:sz w:val="10"/>
                      </w:rPr>
                      <w:t>D0</w:t>
                      <w:tab/>
                    </w:r>
                    <w:r>
                      <w:rPr>
                        <w:spacing w:val="-18"/>
                        <w:position w:val="1"/>
                        <w:sz w:val="10"/>
                      </w:rPr>
                      <w:t>x </w:t>
                    </w:r>
                    <w:r>
                      <w:rPr>
                        <w:sz w:val="10"/>
                      </w:rPr>
                      <w:t>(From</w:t>
                    </w:r>
                    <w:r>
                      <w:rPr>
                        <w:spacing w:val="1"/>
                        <w:sz w:val="10"/>
                      </w:rPr>
                      <w:t> </w:t>
                    </w:r>
                    <w:r>
                      <w:rPr>
                        <w:sz w:val="10"/>
                      </w:rPr>
                      <w:t>6543)</w:t>
                    </w:r>
                    <w:r>
                      <w:rPr>
                        <w:spacing w:val="2"/>
                        <w:sz w:val="10"/>
                      </w:rPr>
                      <w:t> </w:t>
                    </w:r>
                    <w:r>
                      <w:rPr>
                        <w:sz w:val="10"/>
                      </w:rPr>
                      <w:t>SPI_DO</w:t>
                    </w:r>
                    <w:r>
                      <w:rPr>
                        <w:position w:val="7"/>
                        <w:sz w:val="10"/>
                        <w:u w:val="single"/>
                      </w:rPr>
                      <w:t> </w:t>
                      <w:tab/>
                      <w:tab/>
                      <w:tab/>
                      <w:t>HI Z</w:t>
                      <w:tab/>
                      <w:tab/>
                    </w:r>
                    <w:r>
                      <w:rPr>
                        <w:sz w:val="10"/>
                      </w:rPr>
                      <w:t>ST7   </w:t>
                    </w:r>
                    <w:r>
                      <w:rPr>
                        <w:spacing w:val="8"/>
                        <w:sz w:val="10"/>
                      </w:rPr>
                      <w:t> </w:t>
                    </w:r>
                    <w:r>
                      <w:rPr>
                        <w:sz w:val="10"/>
                      </w:rPr>
                      <w:t>ST6   </w:t>
                    </w:r>
                    <w:r>
                      <w:rPr>
                        <w:spacing w:val="8"/>
                        <w:sz w:val="10"/>
                      </w:rPr>
                      <w:t> </w:t>
                    </w:r>
                    <w:r>
                      <w:rPr>
                        <w:sz w:val="10"/>
                      </w:rPr>
                      <w:t>ST5</w:t>
                      <w:tab/>
                      <w:t>ST0</w:t>
                    </w:r>
                  </w:p>
                </w:txbxContent>
              </v:textbox>
              <w10:wrap type="none"/>
            </v:shape>
            <w10:wrap type="topAndBottom"/>
          </v:group>
        </w:pict>
      </w:r>
      <w:r>
        <w:rPr/>
        <w:pict>
          <v:group style="position:absolute;margin-left:146.275787pt;margin-top:51.664265pt;width:68.25pt;height:4.5pt;mso-position-horizontal-relative:page;mso-position-vertical-relative:paragraph;z-index:-38759936" coordorigin="2926,1033" coordsize="1365,90">
            <v:shape style="position:absolute;left:2927;top:1035;width:687;height:85" coordorigin="2928,1035" coordsize="687,85" path="m2928,1111l2991,1051,3060,1035,3135,1048,3211,1075,3208,1073,3276,1096,3343,1113,3411,1120,3478,1113,3546,1087,3614,1037e" filled="false" stroked="true" strokeweight=".202068pt" strokecolor="#000000">
              <v:path arrowok="t"/>
              <v:stroke dashstyle="solid"/>
            </v:shape>
            <v:shape style="position:absolute;left:3614;top:1035;width:675;height:85" coordorigin="3614,1035" coordsize="675,85" path="m4288,1111l4225,1051,4156,1035,4081,1048,4005,1075,4007,1073,3940,1096,3873,1113,3807,1120,3742,1113,3677,1087,3614,1037e" filled="false" stroked="true" strokeweight=".202068pt" strokecolor="#000000">
              <v:path arrowok="t"/>
              <v:stroke dashstyle="solid"/>
            </v:shape>
            <w10:wrap type="none"/>
          </v:group>
        </w:pict>
      </w:r>
      <w:r>
        <w:rPr/>
        <w:pict>
          <v:group style="position:absolute;margin-left:221.877777pt;margin-top:51.665043pt;width:68.25pt;height:4.5pt;mso-position-horizontal-relative:page;mso-position-vertical-relative:paragraph;z-index:-38759424" coordorigin="4438,1033" coordsize="1365,90">
            <v:shape style="position:absolute;left:4439;top:1035;width:687;height:85" coordorigin="4440,1035" coordsize="687,85" path="m4440,1111l4503,1051,4572,1035,4647,1048,4723,1075,4721,1073,4788,1096,4856,1113,4923,1120,4990,1113,5058,1087,5126,1037e" filled="false" stroked="true" strokeweight=".202068pt" strokecolor="#000000">
              <v:path arrowok="t"/>
              <v:stroke dashstyle="solid"/>
            </v:shape>
            <v:shape style="position:absolute;left:5126;top:1035;width:675;height:85" coordorigin="5126,1035" coordsize="675,85" path="m5800,1111l5737,1051,5668,1035,5593,1048,5517,1075,5519,1073,5452,1096,5385,1113,5319,1120,5254,1113,5190,1087,5126,1037e" filled="false" stroked="true" strokeweight=".202068pt" strokecolor="#000000">
              <v:path arrowok="t"/>
              <v:stroke dashstyle="solid"/>
            </v:shape>
            <w10:wrap type="none"/>
          </v:group>
        </w:pict>
      </w:r>
      <w:r>
        <w:rPr/>
        <w:pict>
          <v:group style="position:absolute;margin-left:373.081757pt;margin-top:51.665043pt;width:68.25pt;height:4.5pt;mso-position-horizontal-relative:page;mso-position-vertical-relative:paragraph;z-index:-38758912" coordorigin="7462,1033" coordsize="1365,90">
            <v:shape style="position:absolute;left:7463;top:1035;width:687;height:85" coordorigin="7464,1035" coordsize="687,85" path="m7464,1111l7527,1051,7597,1035,7671,1048,7747,1075,7745,1073,7812,1096,7880,1113,7947,1120,8014,1113,8082,1087,8150,1037e" filled="false" stroked="true" strokeweight=".202068pt" strokecolor="#000000">
              <v:path arrowok="t"/>
              <v:stroke dashstyle="solid"/>
            </v:shape>
            <v:shape style="position:absolute;left:8150;top:1035;width:675;height:85" coordorigin="8150,1035" coordsize="675,85" path="m8824,1111l8761,1051,8692,1035,8617,1048,8541,1075,8544,1073,8476,1096,8409,1113,8343,1120,8278,1113,8214,1087,8150,1037e" filled="false" stroked="true" strokeweight=".202068pt" strokecolor="#000000">
              <v:path arrowok="t"/>
              <v:stroke dashstyle="solid"/>
            </v:shape>
            <w10:wrap type="none"/>
          </v:group>
        </w:pict>
      </w:r>
      <w:r>
        <w:rPr/>
        <w:pict>
          <v:group style="position:absolute;margin-left:448.683746pt;margin-top:51.665043pt;width:68.25pt;height:4.5pt;mso-position-horizontal-relative:page;mso-position-vertical-relative:paragraph;z-index:-38758400" coordorigin="8974,1033" coordsize="1365,90">
            <v:shape style="position:absolute;left:8975;top:1035;width:687;height:85" coordorigin="8976,1035" coordsize="687,85" path="m8976,1111l9039,1051,9109,1035,9183,1048,9259,1075,9257,1073,9324,1096,9392,1113,9459,1120,9526,1113,9594,1087,9662,1037e" filled="false" stroked="true" strokeweight=".202068pt" strokecolor="#000000">
              <v:path arrowok="t"/>
              <v:stroke dashstyle="solid"/>
            </v:shape>
            <v:shape style="position:absolute;left:9662;top:1035;width:675;height:85" coordorigin="9662,1035" coordsize="675,85" path="m10337,1111l10273,1051,10204,1035,10129,1048,10053,1075,10056,1073,9988,1096,9921,1113,9855,1120,9790,1113,9726,1087,9662,1037e" filled="false" stroked="true" strokeweight=".202068pt" strokecolor="#000000">
              <v:path arrowok="t"/>
              <v:stroke dashstyle="solid"/>
            </v:shape>
            <w10:wrap type="none"/>
          </v:group>
        </w:pict>
      </w:r>
      <w:r>
        <w:rPr/>
        <w:pict>
          <v:group style="position:absolute;margin-left:297.479736pt;margin-top:51.123234pt;width:68.25pt;height:4.5pt;mso-position-horizontal-relative:page;mso-position-vertical-relative:paragraph;z-index:-38755840" coordorigin="5950,1022" coordsize="1365,90">
            <v:shape style="position:absolute;left:5951;top:1024;width:687;height:86" coordorigin="5952,1024" coordsize="687,86" path="m5952,1101l6015,1042,6084,1025,6159,1037,6235,1062,6233,1063,6300,1086,6368,1103,6435,1110,6502,1102,6570,1075,6638,1024e" filled="false" stroked="true" strokeweight=".202068pt" strokecolor="#000000">
              <v:path arrowok="t"/>
              <v:stroke dashstyle="solid"/>
            </v:shape>
            <v:shape style="position:absolute;left:6638;top:1024;width:675;height:86" coordorigin="6638,1024" coordsize="675,86" path="m7312,1101l7249,1042,7180,1025,7105,1037,7029,1062,7032,1063,6964,1086,6897,1103,6831,1110,6766,1102,6702,1075,6638,1024e" filled="false" stroked="true" strokeweight=".202067pt" strokecolor="#000000">
              <v:path arrowok="t"/>
              <v:stroke dashstyle="solid"/>
            </v:shape>
            <w10:wrap type="none"/>
          </v:group>
        </w:pict>
      </w:r>
      <w:r>
        <w:rPr/>
        <w:t>As shown in </w:t>
      </w:r>
      <w:hyperlink w:history="true" w:anchor="_bookmark141">
        <w:r>
          <w:rPr>
            <w:color w:val="0000FF"/>
          </w:rPr>
          <w:t>Figure 23</w:t>
        </w:r>
        <w:r>
          <w:rPr/>
          <w:t>, </w:t>
        </w:r>
      </w:hyperlink>
      <w:r>
        <w:rPr/>
        <w:t>multi-byte operations consist of a 16 bit address field, an 8 bit CMD, a status byte, and a sequence of data bytes. A multi byte transaction is three or more bytes.</w:t>
      </w:r>
    </w:p>
    <w:p>
      <w:pPr>
        <w:spacing w:before="88"/>
        <w:ind w:left="61" w:right="204" w:firstLine="0"/>
        <w:jc w:val="center"/>
        <w:rPr>
          <w:b/>
          <w:sz w:val="20"/>
        </w:rPr>
      </w:pPr>
      <w:bookmarkStart w:name="_bookmark141" w:id="282"/>
      <w:bookmarkEnd w:id="282"/>
      <w:r>
        <w:rPr/>
      </w:r>
      <w:r>
        <w:rPr>
          <w:b/>
          <w:sz w:val="20"/>
        </w:rPr>
        <w:t>Figure 23: SPI Slave Port - Typical Multi-Byte Read and Write operations</w:t>
      </w:r>
    </w:p>
    <w:p>
      <w:pPr>
        <w:pStyle w:val="BodyText"/>
        <w:spacing w:before="3"/>
        <w:rPr>
          <w:b/>
          <w:sz w:val="30"/>
        </w:rPr>
      </w:pPr>
    </w:p>
    <w:p>
      <w:pPr>
        <w:pStyle w:val="Heading1"/>
        <w:ind w:left="61" w:right="204"/>
      </w:pPr>
      <w:r>
        <w:rPr/>
        <w:pict>
          <v:group style="position:absolute;margin-left:146.275909pt;margin-top:-101.49556pt;width:68.25pt;height:4.5pt;mso-position-horizontal-relative:page;mso-position-vertical-relative:paragraph;z-index:-38757888" coordorigin="2926,-2030" coordsize="1365,90">
            <v:shape style="position:absolute;left:2927;top:-2028;width:687;height:85" coordorigin="2928,-2028" coordsize="687,85" path="m2928,-1953l2991,-2012,3060,-2028,3135,-2015,3211,-1988,3208,-1990,3276,-1967,3343,-1950,3411,-1943,3478,-1950,3546,-1977,3614,-2026e" filled="false" stroked="true" strokeweight=".202068pt" strokecolor="#000000">
              <v:path arrowok="t"/>
              <v:stroke dashstyle="solid"/>
            </v:shape>
            <v:shape style="position:absolute;left:3614;top:-2028;width:675;height:85" coordorigin="3614,-2028" coordsize="675,85" path="m4288,-1953l4225,-2012,4156,-2028,4081,-2015,4005,-1988,4007,-1990,3940,-1967,3873,-1950,3807,-1943,3742,-1950,3677,-1977,3614,-2026e" filled="false" stroked="true" strokeweight=".202068pt" strokecolor="#000000">
              <v:path arrowok="t"/>
              <v:stroke dashstyle="solid"/>
            </v:shape>
            <w10:wrap type="none"/>
          </v:group>
        </w:pict>
      </w:r>
      <w:r>
        <w:rPr/>
        <w:pict>
          <v:group style="position:absolute;margin-left:221.877884pt;margin-top:-101.49472pt;width:68.25pt;height:4.5pt;mso-position-horizontal-relative:page;mso-position-vertical-relative:paragraph;z-index:-38757376" coordorigin="4438,-2030" coordsize="1365,90">
            <v:shape style="position:absolute;left:4439;top:-2028;width:687;height:85" coordorigin="4440,-2028" coordsize="687,85" path="m4440,-1953l4503,-2012,4572,-2028,4647,-2015,4723,-1988,4721,-1990,4788,-1967,4856,-1950,4923,-1943,4990,-1950,5058,-1977,5126,-2026e" filled="false" stroked="true" strokeweight=".202068pt" strokecolor="#000000">
              <v:path arrowok="t"/>
              <v:stroke dashstyle="solid"/>
            </v:shape>
            <v:shape style="position:absolute;left:5126;top:-2028;width:675;height:85" coordorigin="5126,-2028" coordsize="675,85" path="m5800,-1953l5737,-2012,5668,-2028,5593,-2015,5517,-1988,5519,-1990,5452,-1967,5385,-1950,5319,-1943,5254,-1950,5190,-1977,5126,-2026e" filled="false" stroked="true" strokeweight=".202068pt" strokecolor="#000000">
              <v:path arrowok="t"/>
              <v:stroke dashstyle="solid"/>
            </v:shape>
            <w10:wrap type="none"/>
          </v:group>
        </w:pict>
      </w:r>
      <w:r>
        <w:rPr/>
        <w:pict>
          <v:group style="position:absolute;margin-left:373.081879pt;margin-top:-101.49472pt;width:68.25pt;height:4.5pt;mso-position-horizontal-relative:page;mso-position-vertical-relative:paragraph;z-index:-38756864" coordorigin="7462,-2030" coordsize="1365,90">
            <v:shape style="position:absolute;left:7463;top:-2028;width:687;height:85" coordorigin="7464,-2028" coordsize="687,85" path="m7464,-1953l7527,-2012,7597,-2028,7671,-2015,7747,-1988,7745,-1990,7812,-1967,7880,-1950,7947,-1943,8014,-1950,8082,-1977,8150,-2026e" filled="false" stroked="true" strokeweight=".202068pt" strokecolor="#000000">
              <v:path arrowok="t"/>
              <v:stroke dashstyle="solid"/>
            </v:shape>
            <v:shape style="position:absolute;left:8150;top:-2028;width:675;height:85" coordorigin="8150,-2028" coordsize="675,85" path="m8824,-1953l8761,-2012,8692,-2028,8617,-2015,8541,-1988,8544,-1990,8476,-1967,8409,-1950,8343,-1943,8278,-1950,8214,-1977,8150,-2026e" filled="false" stroked="true" strokeweight=".202068pt" strokecolor="#000000">
              <v:path arrowok="t"/>
              <v:stroke dashstyle="solid"/>
            </v:shape>
            <w10:wrap type="none"/>
          </v:group>
        </w:pict>
      </w:r>
      <w:r>
        <w:rPr/>
        <w:pict>
          <v:group style="position:absolute;margin-left:448.683868pt;margin-top:-101.49472pt;width:68.25pt;height:4.5pt;mso-position-horizontal-relative:page;mso-position-vertical-relative:paragraph;z-index:-38756352" coordorigin="8974,-2030" coordsize="1365,90">
            <v:shape style="position:absolute;left:8975;top:-2028;width:687;height:85" coordorigin="8976,-2028" coordsize="687,85" path="m8976,-1953l9039,-2012,9109,-2028,9183,-2015,9259,-1988,9257,-1990,9324,-1967,9392,-1950,9459,-1943,9526,-1950,9594,-1977,9662,-2026e" filled="false" stroked="true" strokeweight=".202068pt" strokecolor="#000000">
              <v:path arrowok="t"/>
              <v:stroke dashstyle="solid"/>
            </v:shape>
            <v:shape style="position:absolute;left:9662;top:-2028;width:675;height:85" coordorigin="9662,-2028" coordsize="675,85" path="m10337,-1953l10273,-2012,10204,-2028,10129,-2015,10053,-1988,10056,-1990,9988,-1967,9921,-1950,9855,-1943,9790,-1950,9726,-1977,9662,-2026e" filled="false" stroked="true" strokeweight=".202068pt" strokecolor="#000000">
              <v:path arrowok="t"/>
              <v:stroke dashstyle="solid"/>
            </v:shape>
            <w10:wrap type="none"/>
          </v:group>
        </w:pict>
      </w:r>
      <w:r>
        <w:rPr/>
        <w:pict>
          <v:group style="position:absolute;margin-left:297.479675pt;margin-top:-101.49482pt;width:68.25pt;height:4.5pt;mso-position-horizontal-relative:page;mso-position-vertical-relative:paragraph;z-index:-38755328" coordorigin="5950,-2030" coordsize="1365,90">
            <v:shape style="position:absolute;left:5951;top:-2028;width:687;height:85" coordorigin="5952,-2028" coordsize="687,85" path="m5952,-1953l6015,-2012,6084,-2028,6159,-2015,6235,-1988,6233,-1990,6300,-1967,6368,-1950,6435,-1943,6502,-1950,6570,-1977,6638,-2026e" filled="false" stroked="true" strokeweight=".202068pt" strokecolor="#000000">
              <v:path arrowok="t"/>
              <v:stroke dashstyle="solid"/>
            </v:shape>
            <v:shape style="position:absolute;left:6638;top:-2028;width:675;height:85" coordorigin="6638,-2028" coordsize="675,85" path="m7312,-1953l7249,-2012,7180,-2028,7105,-2015,7029,-1988,7032,-1990,6964,-1967,6897,-1950,6831,-1943,6766,-1950,6702,-1977,6638,-2026e" filled="false" stroked="true" strokeweight=".202068pt" strokecolor="#000000">
              <v:path arrowok="t"/>
              <v:stroke dashstyle="solid"/>
            </v:shape>
            <w10:wrap type="none"/>
          </v:group>
        </w:pict>
      </w:r>
      <w:bookmarkStart w:name="_bookmark142" w:id="283"/>
      <w:bookmarkEnd w:id="283"/>
      <w:r>
        <w:rPr>
          <w:b w:val="0"/>
        </w:rPr>
      </w:r>
      <w:r>
        <w:rPr/>
        <w:t>Table 57: SPI Command Sequences</w:t>
      </w:r>
    </w:p>
    <w:p>
      <w:pPr>
        <w:pStyle w:val="BodyText"/>
        <w:spacing w:before="8"/>
        <w:rPr>
          <w:b/>
          <w:sz w:val="5"/>
        </w:rPr>
      </w:pPr>
    </w:p>
    <w:tbl>
      <w:tblPr>
        <w:tblW w:w="0" w:type="auto"/>
        <w:jc w:val="left"/>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11"/>
        <w:gridCol w:w="6749"/>
      </w:tblGrid>
      <w:tr>
        <w:trPr>
          <w:trHeight w:val="309" w:hRule="atLeast"/>
        </w:trPr>
        <w:tc>
          <w:tcPr>
            <w:tcW w:w="2611" w:type="dxa"/>
          </w:tcPr>
          <w:p>
            <w:pPr>
              <w:pStyle w:val="TableParagraph"/>
              <w:spacing w:before="35"/>
              <w:ind w:left="107"/>
              <w:rPr>
                <w:b/>
                <w:sz w:val="20"/>
              </w:rPr>
            </w:pPr>
            <w:r>
              <w:rPr>
                <w:b/>
                <w:sz w:val="20"/>
              </w:rPr>
              <w:t>Command Sequence</w:t>
            </w:r>
          </w:p>
        </w:tc>
        <w:tc>
          <w:tcPr>
            <w:tcW w:w="6749" w:type="dxa"/>
          </w:tcPr>
          <w:p>
            <w:pPr>
              <w:pStyle w:val="TableParagraph"/>
              <w:spacing w:before="35"/>
              <w:ind w:left="105"/>
              <w:rPr>
                <w:b/>
                <w:sz w:val="20"/>
              </w:rPr>
            </w:pPr>
            <w:r>
              <w:rPr>
                <w:b/>
                <w:sz w:val="20"/>
              </w:rPr>
              <w:t>Description</w:t>
            </w:r>
          </w:p>
        </w:tc>
      </w:tr>
      <w:tr>
        <w:trPr>
          <w:trHeight w:val="1192" w:hRule="atLeast"/>
        </w:trPr>
        <w:tc>
          <w:tcPr>
            <w:tcW w:w="2611" w:type="dxa"/>
          </w:tcPr>
          <w:p>
            <w:pPr>
              <w:pStyle w:val="TableParagraph"/>
              <w:spacing w:before="7"/>
              <w:rPr>
                <w:b/>
                <w:sz w:val="31"/>
              </w:rPr>
            </w:pPr>
          </w:p>
          <w:p>
            <w:pPr>
              <w:pStyle w:val="TableParagraph"/>
              <w:ind w:left="107" w:right="140"/>
              <w:rPr>
                <w:sz w:val="20"/>
              </w:rPr>
            </w:pPr>
            <w:r>
              <w:rPr>
                <w:sz w:val="20"/>
              </w:rPr>
              <w:t>ADDR 1xxx xxxx STATUS Byte0 ... ByteN</w:t>
            </w:r>
          </w:p>
        </w:tc>
        <w:tc>
          <w:tcPr>
            <w:tcW w:w="6749" w:type="dxa"/>
          </w:tcPr>
          <w:p>
            <w:pPr>
              <w:pStyle w:val="TableParagraph"/>
              <w:spacing w:line="229" w:lineRule="exact" w:before="18"/>
              <w:ind w:left="105"/>
              <w:rPr>
                <w:sz w:val="20"/>
              </w:rPr>
            </w:pPr>
            <w:r>
              <w:rPr>
                <w:sz w:val="20"/>
              </w:rPr>
              <w:t>Read data starting at ADDR. ADDR is auto-incremented until SPI_CSZ</w:t>
            </w:r>
          </w:p>
          <w:p>
            <w:pPr>
              <w:pStyle w:val="TableParagraph"/>
              <w:ind w:left="105" w:right="144"/>
              <w:rPr>
                <w:sz w:val="20"/>
              </w:rPr>
            </w:pPr>
            <w:r>
              <w:rPr>
                <w:sz w:val="20"/>
              </w:rPr>
              <w:t>is raised. Upon completion, </w:t>
            </w:r>
            <w:r>
              <w:rPr>
                <w:rFonts w:ascii="Times New Roman"/>
                <w:i/>
                <w:sz w:val="20"/>
              </w:rPr>
              <w:t>SPI_CMD </w:t>
            </w:r>
            <w:r>
              <w:rPr>
                <w:i/>
                <w:sz w:val="20"/>
              </w:rPr>
              <w:t>(</w:t>
            </w:r>
            <w:r>
              <w:rPr>
                <w:rFonts w:ascii="Times New Roman"/>
                <w:i/>
                <w:sz w:val="20"/>
              </w:rPr>
              <w:t>SFR 0xFD</w:t>
            </w:r>
            <w:r>
              <w:rPr>
                <w:i/>
                <w:sz w:val="20"/>
              </w:rPr>
              <w:t>) </w:t>
            </w:r>
            <w:r>
              <w:rPr>
                <w:sz w:val="20"/>
              </w:rPr>
              <w:t>is updated to 1xxx </w:t>
            </w:r>
            <w:r>
              <w:rPr>
                <w:spacing w:val="3"/>
                <w:sz w:val="20"/>
              </w:rPr>
              <w:t>xxxx </w:t>
            </w:r>
            <w:r>
              <w:rPr>
                <w:sz w:val="20"/>
              </w:rPr>
              <w:t>and an SPI </w:t>
            </w:r>
            <w:r>
              <w:rPr>
                <w:spacing w:val="2"/>
                <w:sz w:val="20"/>
              </w:rPr>
              <w:t>interrupt </w:t>
            </w:r>
            <w:r>
              <w:rPr>
                <w:sz w:val="20"/>
              </w:rPr>
              <w:t>is </w:t>
            </w:r>
            <w:r>
              <w:rPr>
                <w:spacing w:val="2"/>
                <w:sz w:val="20"/>
              </w:rPr>
              <w:t>generated.  </w:t>
            </w:r>
            <w:r>
              <w:rPr>
                <w:sz w:val="20"/>
              </w:rPr>
              <w:t>The </w:t>
            </w:r>
            <w:r>
              <w:rPr>
                <w:spacing w:val="2"/>
                <w:sz w:val="20"/>
              </w:rPr>
              <w:t>exception </w:t>
            </w:r>
            <w:r>
              <w:rPr>
                <w:sz w:val="20"/>
              </w:rPr>
              <w:t>is if </w:t>
            </w:r>
            <w:r>
              <w:rPr>
                <w:spacing w:val="2"/>
                <w:sz w:val="20"/>
              </w:rPr>
              <w:t>the </w:t>
            </w:r>
            <w:r>
              <w:rPr>
                <w:sz w:val="20"/>
              </w:rPr>
              <w:t>command  byte is 1000 0000. In this case, no MPU interrupt is generated and </w:t>
            </w:r>
            <w:r>
              <w:rPr>
                <w:rFonts w:ascii="Times New Roman"/>
                <w:i/>
                <w:sz w:val="20"/>
              </w:rPr>
              <w:t>SPI_CMD </w:t>
            </w:r>
            <w:r>
              <w:rPr>
                <w:sz w:val="20"/>
              </w:rPr>
              <w:t>is not</w:t>
            </w:r>
            <w:r>
              <w:rPr>
                <w:spacing w:val="3"/>
                <w:sz w:val="20"/>
              </w:rPr>
              <w:t> </w:t>
            </w:r>
            <w:r>
              <w:rPr>
                <w:sz w:val="20"/>
              </w:rPr>
              <w:t>updated.</w:t>
            </w:r>
          </w:p>
        </w:tc>
      </w:tr>
      <w:tr>
        <w:trPr>
          <w:trHeight w:val="1192" w:hRule="atLeast"/>
        </w:trPr>
        <w:tc>
          <w:tcPr>
            <w:tcW w:w="2611" w:type="dxa"/>
          </w:tcPr>
          <w:p>
            <w:pPr>
              <w:pStyle w:val="TableParagraph"/>
              <w:spacing w:before="7"/>
              <w:rPr>
                <w:b/>
                <w:sz w:val="31"/>
              </w:rPr>
            </w:pPr>
          </w:p>
          <w:p>
            <w:pPr>
              <w:pStyle w:val="TableParagraph"/>
              <w:ind w:left="107" w:right="140"/>
              <w:rPr>
                <w:sz w:val="20"/>
              </w:rPr>
            </w:pPr>
            <w:r>
              <w:rPr>
                <w:sz w:val="20"/>
              </w:rPr>
              <w:t>ADDR 0xxx xxxx STATUS Byte0 ... ByteN</w:t>
            </w:r>
          </w:p>
        </w:tc>
        <w:tc>
          <w:tcPr>
            <w:tcW w:w="6749" w:type="dxa"/>
          </w:tcPr>
          <w:p>
            <w:pPr>
              <w:pStyle w:val="TableParagraph"/>
              <w:spacing w:before="18"/>
              <w:ind w:left="105" w:right="119"/>
              <w:rPr>
                <w:sz w:val="20"/>
              </w:rPr>
            </w:pPr>
            <w:r>
              <w:rPr>
                <w:sz w:val="20"/>
              </w:rPr>
              <w:t>Write data starting at ADDR. ADDR is auto-incremented until SPI_CSZ is raised. Upon completion, </w:t>
            </w:r>
            <w:r>
              <w:rPr>
                <w:rFonts w:ascii="Times New Roman"/>
                <w:i/>
                <w:sz w:val="20"/>
              </w:rPr>
              <w:t>SPI_CMD </w:t>
            </w:r>
            <w:r>
              <w:rPr>
                <w:sz w:val="20"/>
              </w:rPr>
              <w:t>is updated to 0xxx xxxx and an SPI interrupt is generated. The exception is if the command byte is 0000 0000. In this case, no MPU interrupt is generated and </w:t>
            </w:r>
            <w:r>
              <w:rPr>
                <w:rFonts w:ascii="Times New Roman"/>
                <w:i/>
                <w:sz w:val="20"/>
              </w:rPr>
              <w:t>SPI_CMD </w:t>
            </w:r>
            <w:r>
              <w:rPr>
                <w:sz w:val="20"/>
              </w:rPr>
              <w:t>is not updated.</w:t>
            </w:r>
          </w:p>
        </w:tc>
      </w:tr>
    </w:tbl>
    <w:p>
      <w:pPr>
        <w:pStyle w:val="BodyText"/>
        <w:spacing w:before="7"/>
        <w:rPr>
          <w:b/>
          <w:sz w:val="23"/>
        </w:rPr>
      </w:pPr>
    </w:p>
    <w:p>
      <w:pPr>
        <w:pStyle w:val="Heading1"/>
        <w:ind w:left="64" w:right="204"/>
      </w:pPr>
      <w:bookmarkStart w:name="_bookmark143" w:id="284"/>
      <w:bookmarkEnd w:id="284"/>
      <w:r>
        <w:rPr>
          <w:b w:val="0"/>
        </w:rPr>
      </w:r>
      <w:r>
        <w:rPr/>
        <w:t>Table 58: SPI Registers</w:t>
      </w:r>
    </w:p>
    <w:p>
      <w:pPr>
        <w:pStyle w:val="BodyText"/>
        <w:spacing w:before="8"/>
        <w:rPr>
          <w:b/>
          <w:sz w:val="5"/>
        </w:rPr>
      </w:pPr>
    </w:p>
    <w:tbl>
      <w:tblPr>
        <w:tblW w:w="0" w:type="auto"/>
        <w:jc w:val="left"/>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3"/>
        <w:gridCol w:w="1241"/>
        <w:gridCol w:w="540"/>
        <w:gridCol w:w="540"/>
        <w:gridCol w:w="629"/>
        <w:gridCol w:w="5227"/>
      </w:tblGrid>
      <w:tr>
        <w:trPr>
          <w:trHeight w:val="311" w:hRule="atLeast"/>
        </w:trPr>
        <w:tc>
          <w:tcPr>
            <w:tcW w:w="1183" w:type="dxa"/>
          </w:tcPr>
          <w:p>
            <w:pPr>
              <w:pStyle w:val="TableParagraph"/>
              <w:spacing w:before="35"/>
              <w:ind w:left="107"/>
              <w:rPr>
                <w:b/>
                <w:sz w:val="20"/>
              </w:rPr>
            </w:pPr>
            <w:r>
              <w:rPr>
                <w:b/>
                <w:sz w:val="20"/>
              </w:rPr>
              <w:t>Name</w:t>
            </w:r>
          </w:p>
        </w:tc>
        <w:tc>
          <w:tcPr>
            <w:tcW w:w="1241" w:type="dxa"/>
          </w:tcPr>
          <w:p>
            <w:pPr>
              <w:pStyle w:val="TableParagraph"/>
              <w:spacing w:before="35"/>
              <w:ind w:left="43" w:right="35"/>
              <w:jc w:val="center"/>
              <w:rPr>
                <w:b/>
                <w:sz w:val="20"/>
              </w:rPr>
            </w:pPr>
            <w:r>
              <w:rPr>
                <w:b/>
                <w:sz w:val="20"/>
              </w:rPr>
              <w:t>Location</w:t>
            </w:r>
          </w:p>
        </w:tc>
        <w:tc>
          <w:tcPr>
            <w:tcW w:w="540" w:type="dxa"/>
          </w:tcPr>
          <w:p>
            <w:pPr>
              <w:pStyle w:val="TableParagraph"/>
              <w:spacing w:before="35"/>
              <w:ind w:left="86" w:right="80"/>
              <w:jc w:val="center"/>
              <w:rPr>
                <w:b/>
                <w:sz w:val="20"/>
              </w:rPr>
            </w:pPr>
            <w:r>
              <w:rPr>
                <w:b/>
                <w:sz w:val="20"/>
              </w:rPr>
              <w:t>Rst</w:t>
            </w:r>
          </w:p>
        </w:tc>
        <w:tc>
          <w:tcPr>
            <w:tcW w:w="540" w:type="dxa"/>
          </w:tcPr>
          <w:p>
            <w:pPr>
              <w:pStyle w:val="TableParagraph"/>
              <w:spacing w:before="35"/>
              <w:ind w:left="86" w:right="75"/>
              <w:jc w:val="center"/>
              <w:rPr>
                <w:b/>
                <w:sz w:val="20"/>
              </w:rPr>
            </w:pPr>
            <w:r>
              <w:rPr>
                <w:b/>
                <w:sz w:val="20"/>
              </w:rPr>
              <w:t>Wk</w:t>
            </w:r>
          </w:p>
        </w:tc>
        <w:tc>
          <w:tcPr>
            <w:tcW w:w="629" w:type="dxa"/>
          </w:tcPr>
          <w:p>
            <w:pPr>
              <w:pStyle w:val="TableParagraph"/>
              <w:spacing w:before="35"/>
              <w:ind w:left="175"/>
              <w:rPr>
                <w:b/>
                <w:sz w:val="20"/>
              </w:rPr>
            </w:pPr>
            <w:r>
              <w:rPr>
                <w:b/>
                <w:sz w:val="20"/>
              </w:rPr>
              <w:t>Dir</w:t>
            </w:r>
          </w:p>
        </w:tc>
        <w:tc>
          <w:tcPr>
            <w:tcW w:w="5227" w:type="dxa"/>
          </w:tcPr>
          <w:p>
            <w:pPr>
              <w:pStyle w:val="TableParagraph"/>
              <w:spacing w:before="35"/>
              <w:ind w:left="107"/>
              <w:rPr>
                <w:b/>
                <w:sz w:val="20"/>
              </w:rPr>
            </w:pPr>
            <w:r>
              <w:rPr>
                <w:b/>
                <w:sz w:val="20"/>
              </w:rPr>
              <w:t>Description</w:t>
            </w:r>
          </w:p>
        </w:tc>
      </w:tr>
      <w:tr>
        <w:trPr>
          <w:trHeight w:val="268" w:hRule="atLeast"/>
        </w:trPr>
        <w:tc>
          <w:tcPr>
            <w:tcW w:w="1183" w:type="dxa"/>
          </w:tcPr>
          <w:p>
            <w:pPr>
              <w:pStyle w:val="TableParagraph"/>
              <w:spacing w:before="14"/>
              <w:ind w:left="107"/>
              <w:rPr>
                <w:rFonts w:ascii="Times New Roman"/>
                <w:i/>
                <w:sz w:val="20"/>
              </w:rPr>
            </w:pPr>
            <w:r>
              <w:rPr>
                <w:rFonts w:ascii="Times New Roman"/>
                <w:i/>
                <w:sz w:val="20"/>
              </w:rPr>
              <w:t>EX_SPI</w:t>
            </w:r>
          </w:p>
        </w:tc>
        <w:tc>
          <w:tcPr>
            <w:tcW w:w="1241" w:type="dxa"/>
          </w:tcPr>
          <w:p>
            <w:pPr>
              <w:pStyle w:val="TableParagraph"/>
              <w:spacing w:before="18"/>
              <w:ind w:left="43" w:right="34"/>
              <w:jc w:val="center"/>
              <w:rPr>
                <w:sz w:val="20"/>
              </w:rPr>
            </w:pPr>
            <w:r>
              <w:rPr>
                <w:sz w:val="20"/>
              </w:rPr>
              <w:t>2701[7]</w:t>
            </w:r>
          </w:p>
        </w:tc>
        <w:tc>
          <w:tcPr>
            <w:tcW w:w="540" w:type="dxa"/>
          </w:tcPr>
          <w:p>
            <w:pPr>
              <w:pStyle w:val="TableParagraph"/>
              <w:spacing w:before="18"/>
              <w:ind w:left="7"/>
              <w:jc w:val="center"/>
              <w:rPr>
                <w:sz w:val="20"/>
              </w:rPr>
            </w:pPr>
            <w:r>
              <w:rPr>
                <w:w w:val="99"/>
                <w:sz w:val="20"/>
              </w:rPr>
              <w:t>0</w:t>
            </w:r>
          </w:p>
        </w:tc>
        <w:tc>
          <w:tcPr>
            <w:tcW w:w="540" w:type="dxa"/>
          </w:tcPr>
          <w:p>
            <w:pPr>
              <w:pStyle w:val="TableParagraph"/>
              <w:spacing w:before="18"/>
              <w:ind w:left="7"/>
              <w:jc w:val="center"/>
              <w:rPr>
                <w:sz w:val="20"/>
              </w:rPr>
            </w:pPr>
            <w:r>
              <w:rPr>
                <w:w w:val="99"/>
                <w:sz w:val="20"/>
              </w:rPr>
              <w:t>0</w:t>
            </w:r>
          </w:p>
        </w:tc>
        <w:tc>
          <w:tcPr>
            <w:tcW w:w="629" w:type="dxa"/>
          </w:tcPr>
          <w:p>
            <w:pPr>
              <w:pStyle w:val="TableParagraph"/>
              <w:spacing w:before="18"/>
              <w:ind w:left="119"/>
              <w:rPr>
                <w:sz w:val="20"/>
              </w:rPr>
            </w:pPr>
            <w:r>
              <w:rPr>
                <w:sz w:val="20"/>
              </w:rPr>
              <w:t>R/W</w:t>
            </w:r>
          </w:p>
        </w:tc>
        <w:tc>
          <w:tcPr>
            <w:tcW w:w="5227" w:type="dxa"/>
          </w:tcPr>
          <w:p>
            <w:pPr>
              <w:pStyle w:val="TableParagraph"/>
              <w:spacing w:before="18"/>
              <w:ind w:left="107"/>
              <w:rPr>
                <w:sz w:val="20"/>
              </w:rPr>
            </w:pPr>
            <w:r>
              <w:rPr>
                <w:sz w:val="20"/>
              </w:rPr>
              <w:t>SPI interrupt enable bit.</w:t>
            </w:r>
          </w:p>
        </w:tc>
      </w:tr>
      <w:tr>
        <w:trPr>
          <w:trHeight w:val="270" w:hRule="atLeast"/>
        </w:trPr>
        <w:tc>
          <w:tcPr>
            <w:tcW w:w="1183" w:type="dxa"/>
          </w:tcPr>
          <w:p>
            <w:pPr>
              <w:pStyle w:val="TableParagraph"/>
              <w:spacing w:before="14"/>
              <w:ind w:left="107"/>
              <w:rPr>
                <w:rFonts w:ascii="Times New Roman"/>
                <w:i/>
                <w:sz w:val="20"/>
              </w:rPr>
            </w:pPr>
            <w:r>
              <w:rPr>
                <w:rFonts w:ascii="Times New Roman"/>
                <w:i/>
                <w:sz w:val="20"/>
              </w:rPr>
              <w:t>SPI_CMD</w:t>
            </w:r>
          </w:p>
        </w:tc>
        <w:tc>
          <w:tcPr>
            <w:tcW w:w="1241" w:type="dxa"/>
          </w:tcPr>
          <w:p>
            <w:pPr>
              <w:pStyle w:val="TableParagraph"/>
              <w:spacing w:before="18"/>
              <w:ind w:left="43" w:right="36"/>
              <w:jc w:val="center"/>
              <w:rPr>
                <w:sz w:val="20"/>
              </w:rPr>
            </w:pPr>
            <w:r>
              <w:rPr>
                <w:sz w:val="20"/>
              </w:rPr>
              <w:t>SFR FD[7:0]</w:t>
            </w:r>
          </w:p>
        </w:tc>
        <w:tc>
          <w:tcPr>
            <w:tcW w:w="540" w:type="dxa"/>
          </w:tcPr>
          <w:p>
            <w:pPr>
              <w:pStyle w:val="TableParagraph"/>
              <w:spacing w:before="18"/>
              <w:ind w:left="7"/>
              <w:jc w:val="center"/>
              <w:rPr>
                <w:sz w:val="20"/>
              </w:rPr>
            </w:pPr>
            <w:r>
              <w:rPr>
                <w:w w:val="99"/>
                <w:sz w:val="20"/>
              </w:rPr>
              <w:t>–</w:t>
            </w:r>
          </w:p>
        </w:tc>
        <w:tc>
          <w:tcPr>
            <w:tcW w:w="540" w:type="dxa"/>
          </w:tcPr>
          <w:p>
            <w:pPr>
              <w:pStyle w:val="TableParagraph"/>
              <w:spacing w:before="18"/>
              <w:ind w:left="7"/>
              <w:jc w:val="center"/>
              <w:rPr>
                <w:sz w:val="20"/>
              </w:rPr>
            </w:pPr>
            <w:r>
              <w:rPr>
                <w:w w:val="99"/>
                <w:sz w:val="20"/>
              </w:rPr>
              <w:t>–</w:t>
            </w:r>
          </w:p>
        </w:tc>
        <w:tc>
          <w:tcPr>
            <w:tcW w:w="629" w:type="dxa"/>
          </w:tcPr>
          <w:p>
            <w:pPr>
              <w:pStyle w:val="TableParagraph"/>
              <w:spacing w:before="18"/>
              <w:ind w:left="9"/>
              <w:jc w:val="center"/>
              <w:rPr>
                <w:sz w:val="20"/>
              </w:rPr>
            </w:pPr>
            <w:r>
              <w:rPr>
                <w:w w:val="99"/>
                <w:sz w:val="20"/>
              </w:rPr>
              <w:t>R</w:t>
            </w:r>
          </w:p>
        </w:tc>
        <w:tc>
          <w:tcPr>
            <w:tcW w:w="5227" w:type="dxa"/>
          </w:tcPr>
          <w:p>
            <w:pPr>
              <w:pStyle w:val="TableParagraph"/>
              <w:spacing w:before="18"/>
              <w:ind w:left="107"/>
              <w:rPr>
                <w:sz w:val="20"/>
              </w:rPr>
            </w:pPr>
            <w:r>
              <w:rPr>
                <w:sz w:val="20"/>
              </w:rPr>
              <w:t>SPI command. The 8-bit command from the bus master.</w:t>
            </w:r>
          </w:p>
        </w:tc>
      </w:tr>
      <w:tr>
        <w:trPr>
          <w:trHeight w:val="498" w:hRule="atLeast"/>
        </w:trPr>
        <w:tc>
          <w:tcPr>
            <w:tcW w:w="1183" w:type="dxa"/>
          </w:tcPr>
          <w:p>
            <w:pPr>
              <w:pStyle w:val="TableParagraph"/>
              <w:spacing w:before="130"/>
              <w:ind w:left="107"/>
              <w:rPr>
                <w:rFonts w:ascii="Times New Roman"/>
                <w:i/>
                <w:sz w:val="20"/>
              </w:rPr>
            </w:pPr>
            <w:r>
              <w:rPr>
                <w:rFonts w:ascii="Times New Roman"/>
                <w:i/>
                <w:sz w:val="20"/>
              </w:rPr>
              <w:t>SPI_E</w:t>
            </w:r>
          </w:p>
        </w:tc>
        <w:tc>
          <w:tcPr>
            <w:tcW w:w="1241" w:type="dxa"/>
          </w:tcPr>
          <w:p>
            <w:pPr>
              <w:pStyle w:val="TableParagraph"/>
              <w:spacing w:before="133"/>
              <w:ind w:left="43" w:right="34"/>
              <w:jc w:val="center"/>
              <w:rPr>
                <w:sz w:val="20"/>
              </w:rPr>
            </w:pPr>
            <w:r>
              <w:rPr>
                <w:sz w:val="20"/>
              </w:rPr>
              <w:t>270C[4]</w:t>
            </w:r>
          </w:p>
        </w:tc>
        <w:tc>
          <w:tcPr>
            <w:tcW w:w="540" w:type="dxa"/>
          </w:tcPr>
          <w:p>
            <w:pPr>
              <w:pStyle w:val="TableParagraph"/>
              <w:spacing w:before="133"/>
              <w:ind w:left="7"/>
              <w:jc w:val="center"/>
              <w:rPr>
                <w:sz w:val="20"/>
              </w:rPr>
            </w:pPr>
            <w:r>
              <w:rPr>
                <w:w w:val="99"/>
                <w:sz w:val="20"/>
              </w:rPr>
              <w:t>1</w:t>
            </w:r>
          </w:p>
        </w:tc>
        <w:tc>
          <w:tcPr>
            <w:tcW w:w="540" w:type="dxa"/>
          </w:tcPr>
          <w:p>
            <w:pPr>
              <w:pStyle w:val="TableParagraph"/>
              <w:spacing w:before="133"/>
              <w:ind w:left="7"/>
              <w:jc w:val="center"/>
              <w:rPr>
                <w:sz w:val="20"/>
              </w:rPr>
            </w:pPr>
            <w:r>
              <w:rPr>
                <w:w w:val="99"/>
                <w:sz w:val="20"/>
              </w:rPr>
              <w:t>1</w:t>
            </w:r>
          </w:p>
        </w:tc>
        <w:tc>
          <w:tcPr>
            <w:tcW w:w="629" w:type="dxa"/>
          </w:tcPr>
          <w:p>
            <w:pPr>
              <w:pStyle w:val="TableParagraph"/>
              <w:spacing w:before="133"/>
              <w:ind w:left="119"/>
              <w:rPr>
                <w:sz w:val="20"/>
              </w:rPr>
            </w:pPr>
            <w:r>
              <w:rPr>
                <w:sz w:val="20"/>
              </w:rPr>
              <w:t>R/W</w:t>
            </w:r>
          </w:p>
        </w:tc>
        <w:tc>
          <w:tcPr>
            <w:tcW w:w="5227" w:type="dxa"/>
          </w:tcPr>
          <w:p>
            <w:pPr>
              <w:pStyle w:val="TableParagraph"/>
              <w:spacing w:before="18"/>
              <w:ind w:left="107"/>
              <w:rPr>
                <w:sz w:val="20"/>
              </w:rPr>
            </w:pPr>
            <w:r>
              <w:rPr>
                <w:sz w:val="20"/>
              </w:rPr>
              <w:t>SPI port enable bit. It enables the SPI interface on pins SEGDIO36 – SEGDIO39.</w:t>
            </w:r>
          </w:p>
        </w:tc>
      </w:tr>
      <w:tr>
        <w:trPr>
          <w:trHeight w:val="270" w:hRule="atLeast"/>
        </w:trPr>
        <w:tc>
          <w:tcPr>
            <w:tcW w:w="1183" w:type="dxa"/>
          </w:tcPr>
          <w:p>
            <w:pPr>
              <w:pStyle w:val="TableParagraph"/>
              <w:spacing w:before="17"/>
              <w:ind w:left="107"/>
              <w:rPr>
                <w:rFonts w:ascii="Times New Roman"/>
                <w:i/>
                <w:sz w:val="20"/>
              </w:rPr>
            </w:pPr>
            <w:r>
              <w:rPr>
                <w:rFonts w:ascii="Times New Roman"/>
                <w:i/>
                <w:sz w:val="20"/>
              </w:rPr>
              <w:t>IE_SPI</w:t>
            </w:r>
          </w:p>
        </w:tc>
        <w:tc>
          <w:tcPr>
            <w:tcW w:w="1241" w:type="dxa"/>
          </w:tcPr>
          <w:p>
            <w:pPr>
              <w:pStyle w:val="TableParagraph"/>
              <w:spacing w:before="21"/>
              <w:ind w:left="43" w:right="34"/>
              <w:jc w:val="center"/>
              <w:rPr>
                <w:sz w:val="20"/>
              </w:rPr>
            </w:pPr>
            <w:r>
              <w:rPr>
                <w:sz w:val="20"/>
              </w:rPr>
              <w:t>SFR F8[7]</w:t>
            </w:r>
          </w:p>
        </w:tc>
        <w:tc>
          <w:tcPr>
            <w:tcW w:w="540" w:type="dxa"/>
          </w:tcPr>
          <w:p>
            <w:pPr>
              <w:pStyle w:val="TableParagraph"/>
              <w:spacing w:before="21"/>
              <w:ind w:left="7"/>
              <w:jc w:val="center"/>
              <w:rPr>
                <w:sz w:val="20"/>
              </w:rPr>
            </w:pPr>
            <w:r>
              <w:rPr>
                <w:w w:val="99"/>
                <w:sz w:val="20"/>
              </w:rPr>
              <w:t>0</w:t>
            </w:r>
          </w:p>
        </w:tc>
        <w:tc>
          <w:tcPr>
            <w:tcW w:w="540" w:type="dxa"/>
          </w:tcPr>
          <w:p>
            <w:pPr>
              <w:pStyle w:val="TableParagraph"/>
              <w:spacing w:before="21"/>
              <w:ind w:left="7"/>
              <w:jc w:val="center"/>
              <w:rPr>
                <w:sz w:val="20"/>
              </w:rPr>
            </w:pPr>
            <w:r>
              <w:rPr>
                <w:w w:val="99"/>
                <w:sz w:val="20"/>
              </w:rPr>
              <w:t>0</w:t>
            </w:r>
          </w:p>
        </w:tc>
        <w:tc>
          <w:tcPr>
            <w:tcW w:w="629" w:type="dxa"/>
          </w:tcPr>
          <w:p>
            <w:pPr>
              <w:pStyle w:val="TableParagraph"/>
              <w:spacing w:before="21"/>
              <w:ind w:left="119"/>
              <w:rPr>
                <w:sz w:val="20"/>
              </w:rPr>
            </w:pPr>
            <w:r>
              <w:rPr>
                <w:sz w:val="20"/>
              </w:rPr>
              <w:t>R/W</w:t>
            </w:r>
          </w:p>
        </w:tc>
        <w:tc>
          <w:tcPr>
            <w:tcW w:w="5227" w:type="dxa"/>
          </w:tcPr>
          <w:p>
            <w:pPr>
              <w:pStyle w:val="TableParagraph"/>
              <w:spacing w:before="21"/>
              <w:ind w:left="107"/>
              <w:rPr>
                <w:sz w:val="20"/>
              </w:rPr>
            </w:pPr>
            <w:r>
              <w:rPr>
                <w:spacing w:val="-3"/>
                <w:sz w:val="20"/>
              </w:rPr>
              <w:t>SPI interrupt flag. Set </w:t>
            </w:r>
            <w:r>
              <w:rPr>
                <w:sz w:val="20"/>
              </w:rPr>
              <w:t>by </w:t>
            </w:r>
            <w:r>
              <w:rPr>
                <w:spacing w:val="-3"/>
                <w:sz w:val="20"/>
              </w:rPr>
              <w:t>hardware, cleared </w:t>
            </w:r>
            <w:r>
              <w:rPr>
                <w:sz w:val="20"/>
              </w:rPr>
              <w:t>by </w:t>
            </w:r>
            <w:r>
              <w:rPr>
                <w:spacing w:val="-3"/>
                <w:sz w:val="20"/>
              </w:rPr>
              <w:t>writing </w:t>
            </w:r>
            <w:r>
              <w:rPr>
                <w:sz w:val="20"/>
              </w:rPr>
              <w:t>a </w:t>
            </w:r>
            <w:r>
              <w:rPr>
                <w:spacing w:val="-3"/>
                <w:sz w:val="20"/>
              </w:rPr>
              <w:t>0.</w:t>
            </w:r>
          </w:p>
        </w:tc>
      </w:tr>
    </w:tbl>
    <w:p>
      <w:pPr>
        <w:spacing w:after="0"/>
        <w:rPr>
          <w:sz w:val="20"/>
        </w:rPr>
        <w:sectPr>
          <w:pgSz w:w="12240" w:h="15840"/>
          <w:pgMar w:header="727" w:footer="819" w:top="960" w:bottom="1000" w:left="1200" w:right="1060"/>
        </w:sectPr>
      </w:pPr>
    </w:p>
    <w:p>
      <w:pPr>
        <w:pStyle w:val="BodyText"/>
        <w:rPr>
          <w:b/>
          <w:sz w:val="25"/>
        </w:rPr>
      </w:pPr>
    </w:p>
    <w:tbl>
      <w:tblPr>
        <w:tblW w:w="0" w:type="auto"/>
        <w:jc w:val="left"/>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3"/>
        <w:gridCol w:w="1241"/>
        <w:gridCol w:w="540"/>
        <w:gridCol w:w="540"/>
        <w:gridCol w:w="629"/>
        <w:gridCol w:w="5227"/>
      </w:tblGrid>
      <w:tr>
        <w:trPr>
          <w:trHeight w:val="309" w:hRule="atLeast"/>
        </w:trPr>
        <w:tc>
          <w:tcPr>
            <w:tcW w:w="1183" w:type="dxa"/>
          </w:tcPr>
          <w:p>
            <w:pPr>
              <w:pStyle w:val="TableParagraph"/>
              <w:spacing w:before="35"/>
              <w:ind w:left="107"/>
              <w:rPr>
                <w:b/>
                <w:sz w:val="20"/>
              </w:rPr>
            </w:pPr>
            <w:r>
              <w:rPr>
                <w:b/>
                <w:sz w:val="20"/>
              </w:rPr>
              <w:t>Name</w:t>
            </w:r>
          </w:p>
        </w:tc>
        <w:tc>
          <w:tcPr>
            <w:tcW w:w="1241" w:type="dxa"/>
          </w:tcPr>
          <w:p>
            <w:pPr>
              <w:pStyle w:val="TableParagraph"/>
              <w:spacing w:before="35"/>
              <w:ind w:left="43" w:right="35"/>
              <w:jc w:val="center"/>
              <w:rPr>
                <w:b/>
                <w:sz w:val="20"/>
              </w:rPr>
            </w:pPr>
            <w:r>
              <w:rPr>
                <w:b/>
                <w:sz w:val="20"/>
              </w:rPr>
              <w:t>Location</w:t>
            </w:r>
          </w:p>
        </w:tc>
        <w:tc>
          <w:tcPr>
            <w:tcW w:w="540" w:type="dxa"/>
          </w:tcPr>
          <w:p>
            <w:pPr>
              <w:pStyle w:val="TableParagraph"/>
              <w:spacing w:before="35"/>
              <w:ind w:left="86" w:right="80"/>
              <w:jc w:val="center"/>
              <w:rPr>
                <w:b/>
                <w:sz w:val="20"/>
              </w:rPr>
            </w:pPr>
            <w:r>
              <w:rPr>
                <w:b/>
                <w:sz w:val="20"/>
              </w:rPr>
              <w:t>Rst</w:t>
            </w:r>
          </w:p>
        </w:tc>
        <w:tc>
          <w:tcPr>
            <w:tcW w:w="540" w:type="dxa"/>
          </w:tcPr>
          <w:p>
            <w:pPr>
              <w:pStyle w:val="TableParagraph"/>
              <w:spacing w:before="35"/>
              <w:ind w:left="86" w:right="75"/>
              <w:jc w:val="center"/>
              <w:rPr>
                <w:b/>
                <w:sz w:val="20"/>
              </w:rPr>
            </w:pPr>
            <w:r>
              <w:rPr>
                <w:b/>
                <w:sz w:val="20"/>
              </w:rPr>
              <w:t>Wk</w:t>
            </w:r>
          </w:p>
        </w:tc>
        <w:tc>
          <w:tcPr>
            <w:tcW w:w="629" w:type="dxa"/>
          </w:tcPr>
          <w:p>
            <w:pPr>
              <w:pStyle w:val="TableParagraph"/>
              <w:spacing w:before="35"/>
              <w:ind w:left="175"/>
              <w:rPr>
                <w:b/>
                <w:sz w:val="20"/>
              </w:rPr>
            </w:pPr>
            <w:r>
              <w:rPr>
                <w:b/>
                <w:sz w:val="20"/>
              </w:rPr>
              <w:t>Dir</w:t>
            </w:r>
          </w:p>
        </w:tc>
        <w:tc>
          <w:tcPr>
            <w:tcW w:w="5227" w:type="dxa"/>
          </w:tcPr>
          <w:p>
            <w:pPr>
              <w:pStyle w:val="TableParagraph"/>
              <w:spacing w:before="35"/>
              <w:ind w:left="107"/>
              <w:rPr>
                <w:b/>
                <w:sz w:val="20"/>
              </w:rPr>
            </w:pPr>
            <w:r>
              <w:rPr>
                <w:b/>
                <w:sz w:val="20"/>
              </w:rPr>
              <w:t>Description</w:t>
            </w:r>
          </w:p>
        </w:tc>
      </w:tr>
      <w:tr>
        <w:trPr>
          <w:trHeight w:val="501" w:hRule="atLeast"/>
        </w:trPr>
        <w:tc>
          <w:tcPr>
            <w:tcW w:w="1183" w:type="dxa"/>
          </w:tcPr>
          <w:p>
            <w:pPr>
              <w:pStyle w:val="TableParagraph"/>
              <w:spacing w:before="130"/>
              <w:ind w:left="107"/>
              <w:rPr>
                <w:rFonts w:ascii="Times New Roman"/>
                <w:i/>
                <w:sz w:val="20"/>
              </w:rPr>
            </w:pPr>
            <w:r>
              <w:rPr>
                <w:rFonts w:ascii="Times New Roman"/>
                <w:i/>
                <w:sz w:val="20"/>
              </w:rPr>
              <w:t>SPI_SAFE</w:t>
            </w:r>
          </w:p>
        </w:tc>
        <w:tc>
          <w:tcPr>
            <w:tcW w:w="1241" w:type="dxa"/>
          </w:tcPr>
          <w:p>
            <w:pPr>
              <w:pStyle w:val="TableParagraph"/>
              <w:spacing w:before="133"/>
              <w:ind w:left="43" w:right="34"/>
              <w:jc w:val="center"/>
              <w:rPr>
                <w:sz w:val="20"/>
              </w:rPr>
            </w:pPr>
            <w:r>
              <w:rPr>
                <w:sz w:val="20"/>
              </w:rPr>
              <w:t>270C[3]</w:t>
            </w:r>
          </w:p>
        </w:tc>
        <w:tc>
          <w:tcPr>
            <w:tcW w:w="540" w:type="dxa"/>
          </w:tcPr>
          <w:p>
            <w:pPr>
              <w:pStyle w:val="TableParagraph"/>
              <w:spacing w:before="133"/>
              <w:ind w:left="7"/>
              <w:jc w:val="center"/>
              <w:rPr>
                <w:sz w:val="20"/>
              </w:rPr>
            </w:pPr>
            <w:r>
              <w:rPr>
                <w:w w:val="99"/>
                <w:sz w:val="20"/>
              </w:rPr>
              <w:t>0</w:t>
            </w:r>
          </w:p>
        </w:tc>
        <w:tc>
          <w:tcPr>
            <w:tcW w:w="540" w:type="dxa"/>
          </w:tcPr>
          <w:p>
            <w:pPr>
              <w:pStyle w:val="TableParagraph"/>
              <w:spacing w:before="133"/>
              <w:ind w:left="7"/>
              <w:jc w:val="center"/>
              <w:rPr>
                <w:sz w:val="20"/>
              </w:rPr>
            </w:pPr>
            <w:r>
              <w:rPr>
                <w:w w:val="99"/>
                <w:sz w:val="20"/>
              </w:rPr>
              <w:t>0</w:t>
            </w:r>
          </w:p>
        </w:tc>
        <w:tc>
          <w:tcPr>
            <w:tcW w:w="629" w:type="dxa"/>
          </w:tcPr>
          <w:p>
            <w:pPr>
              <w:pStyle w:val="TableParagraph"/>
              <w:spacing w:before="133"/>
              <w:ind w:left="119"/>
              <w:rPr>
                <w:sz w:val="20"/>
              </w:rPr>
            </w:pPr>
            <w:r>
              <w:rPr>
                <w:sz w:val="20"/>
              </w:rPr>
              <w:t>R/W</w:t>
            </w:r>
          </w:p>
        </w:tc>
        <w:tc>
          <w:tcPr>
            <w:tcW w:w="5227" w:type="dxa"/>
          </w:tcPr>
          <w:p>
            <w:pPr>
              <w:pStyle w:val="TableParagraph"/>
              <w:spacing w:line="230" w:lineRule="atLeast" w:before="16"/>
              <w:ind w:left="107"/>
              <w:rPr>
                <w:sz w:val="20"/>
              </w:rPr>
            </w:pPr>
            <w:r>
              <w:rPr>
                <w:spacing w:val="-3"/>
                <w:sz w:val="20"/>
              </w:rPr>
              <w:t>Limits SPI writes </w:t>
            </w:r>
            <w:r>
              <w:rPr>
                <w:sz w:val="20"/>
              </w:rPr>
              <w:t>to </w:t>
            </w:r>
            <w:r>
              <w:rPr>
                <w:i/>
                <w:spacing w:val="-3"/>
                <w:sz w:val="20"/>
              </w:rPr>
              <w:t>SPI_CMD </w:t>
            </w:r>
            <w:r>
              <w:rPr>
                <w:sz w:val="20"/>
              </w:rPr>
              <w:t>and a 16 </w:t>
            </w:r>
            <w:r>
              <w:rPr>
                <w:spacing w:val="-3"/>
                <w:sz w:val="20"/>
              </w:rPr>
              <w:t>byte region </w:t>
            </w:r>
            <w:r>
              <w:rPr>
                <w:sz w:val="20"/>
              </w:rPr>
              <w:t>in </w:t>
            </w:r>
            <w:r>
              <w:rPr>
                <w:spacing w:val="-3"/>
                <w:sz w:val="20"/>
              </w:rPr>
              <w:t>DRAM when </w:t>
            </w:r>
            <w:r>
              <w:rPr>
                <w:sz w:val="20"/>
              </w:rPr>
              <w:t>set. No </w:t>
            </w:r>
            <w:r>
              <w:rPr>
                <w:spacing w:val="-3"/>
                <w:sz w:val="20"/>
              </w:rPr>
              <w:t>other write operations </w:t>
            </w:r>
            <w:r>
              <w:rPr>
                <w:sz w:val="20"/>
              </w:rPr>
              <w:t>are </w:t>
            </w:r>
            <w:r>
              <w:rPr>
                <w:spacing w:val="-4"/>
                <w:sz w:val="20"/>
              </w:rPr>
              <w:t>permitted.</w:t>
            </w:r>
          </w:p>
        </w:tc>
      </w:tr>
      <w:tr>
        <w:trPr>
          <w:trHeight w:val="4830" w:hRule="atLeast"/>
        </w:trPr>
        <w:tc>
          <w:tcPr>
            <w:tcW w:w="118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
              <w:rPr>
                <w:b/>
                <w:sz w:val="23"/>
              </w:rPr>
            </w:pPr>
          </w:p>
          <w:p>
            <w:pPr>
              <w:pStyle w:val="TableParagraph"/>
              <w:spacing w:before="1"/>
              <w:ind w:left="107"/>
              <w:rPr>
                <w:rFonts w:ascii="Times New Roman"/>
                <w:i/>
                <w:sz w:val="20"/>
              </w:rPr>
            </w:pPr>
            <w:r>
              <w:rPr>
                <w:rFonts w:ascii="Times New Roman"/>
                <w:i/>
                <w:sz w:val="20"/>
              </w:rPr>
              <w:t>SPI_STAT</w:t>
            </w:r>
          </w:p>
        </w:tc>
        <w:tc>
          <w:tcPr>
            <w:tcW w:w="1241"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
              <w:rPr>
                <w:b/>
                <w:sz w:val="23"/>
              </w:rPr>
            </w:pPr>
          </w:p>
          <w:p>
            <w:pPr>
              <w:pStyle w:val="TableParagraph"/>
              <w:spacing w:before="1"/>
              <w:ind w:left="43" w:right="34"/>
              <w:jc w:val="center"/>
              <w:rPr>
                <w:sz w:val="20"/>
              </w:rPr>
            </w:pPr>
            <w:r>
              <w:rPr>
                <w:sz w:val="20"/>
              </w:rPr>
              <w:t>2708[7:0]</w:t>
            </w:r>
          </w:p>
        </w:tc>
        <w:tc>
          <w:tcPr>
            <w:tcW w:w="54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
              <w:rPr>
                <w:b/>
                <w:sz w:val="23"/>
              </w:rPr>
            </w:pPr>
          </w:p>
          <w:p>
            <w:pPr>
              <w:pStyle w:val="TableParagraph"/>
              <w:spacing w:before="1"/>
              <w:ind w:left="7"/>
              <w:jc w:val="center"/>
              <w:rPr>
                <w:sz w:val="20"/>
              </w:rPr>
            </w:pPr>
            <w:r>
              <w:rPr>
                <w:w w:val="99"/>
                <w:sz w:val="20"/>
              </w:rPr>
              <w:t>0</w:t>
            </w:r>
          </w:p>
        </w:tc>
        <w:tc>
          <w:tcPr>
            <w:tcW w:w="54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
              <w:rPr>
                <w:b/>
                <w:sz w:val="23"/>
              </w:rPr>
            </w:pPr>
          </w:p>
          <w:p>
            <w:pPr>
              <w:pStyle w:val="TableParagraph"/>
              <w:spacing w:before="1"/>
              <w:ind w:left="7"/>
              <w:jc w:val="center"/>
              <w:rPr>
                <w:sz w:val="20"/>
              </w:rPr>
            </w:pPr>
            <w:r>
              <w:rPr>
                <w:w w:val="99"/>
                <w:sz w:val="20"/>
              </w:rPr>
              <w:t>0</w:t>
            </w:r>
          </w:p>
        </w:tc>
        <w:tc>
          <w:tcPr>
            <w:tcW w:w="629"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
              <w:rPr>
                <w:b/>
                <w:sz w:val="23"/>
              </w:rPr>
            </w:pPr>
          </w:p>
          <w:p>
            <w:pPr>
              <w:pStyle w:val="TableParagraph"/>
              <w:spacing w:before="1"/>
              <w:ind w:left="9"/>
              <w:jc w:val="center"/>
              <w:rPr>
                <w:sz w:val="20"/>
              </w:rPr>
            </w:pPr>
            <w:r>
              <w:rPr>
                <w:w w:val="99"/>
                <w:sz w:val="20"/>
              </w:rPr>
              <w:t>R</w:t>
            </w:r>
          </w:p>
        </w:tc>
        <w:tc>
          <w:tcPr>
            <w:tcW w:w="5227" w:type="dxa"/>
          </w:tcPr>
          <w:p>
            <w:pPr>
              <w:pStyle w:val="TableParagraph"/>
              <w:spacing w:before="14"/>
              <w:ind w:left="107" w:right="293"/>
              <w:rPr>
                <w:sz w:val="20"/>
              </w:rPr>
            </w:pPr>
            <w:r>
              <w:rPr>
                <w:rFonts w:ascii="Times New Roman"/>
                <w:i/>
                <w:sz w:val="20"/>
              </w:rPr>
              <w:t>SPI_STAT </w:t>
            </w:r>
            <w:r>
              <w:rPr>
                <w:sz w:val="20"/>
              </w:rPr>
              <w:t>contains the status results from the previous SPI transaction</w:t>
            </w:r>
          </w:p>
          <w:p>
            <w:pPr>
              <w:pStyle w:val="TableParagraph"/>
              <w:spacing w:before="122"/>
              <w:ind w:left="107" w:right="293"/>
              <w:rPr>
                <w:sz w:val="20"/>
              </w:rPr>
            </w:pPr>
            <w:r>
              <w:rPr>
                <w:sz w:val="20"/>
              </w:rPr>
              <w:t>Bit 7 - 71M6543 ready error: the 71M6543 was not ready to read or write as directed by the previous command.</w:t>
            </w:r>
          </w:p>
          <w:p>
            <w:pPr>
              <w:pStyle w:val="TableParagraph"/>
              <w:spacing w:before="61"/>
              <w:ind w:left="107" w:right="106"/>
              <w:jc w:val="both"/>
              <w:rPr>
                <w:sz w:val="20"/>
              </w:rPr>
            </w:pPr>
            <w:r>
              <w:rPr>
                <w:sz w:val="20"/>
              </w:rPr>
              <w:t>Bit 6 - Read data parity: This bit is the parity of all bytes read from the 71M6543 in the previous command. Does not include the SPI_STAT byte.</w:t>
            </w:r>
          </w:p>
          <w:p>
            <w:pPr>
              <w:pStyle w:val="TableParagraph"/>
              <w:spacing w:before="59"/>
              <w:ind w:left="107" w:right="293"/>
              <w:rPr>
                <w:sz w:val="20"/>
              </w:rPr>
            </w:pPr>
            <w:r>
              <w:rPr>
                <w:sz w:val="20"/>
              </w:rPr>
              <w:t>Bit 5 - Write data parity: This bit is the overall parity of the bytes written to the 71M6543 in the previous command. It includes CMD and ADDR bytes.</w:t>
            </w:r>
          </w:p>
          <w:p>
            <w:pPr>
              <w:pStyle w:val="TableParagraph"/>
              <w:spacing w:before="62"/>
              <w:ind w:left="107" w:right="488"/>
              <w:jc w:val="both"/>
              <w:rPr>
                <w:sz w:val="20"/>
              </w:rPr>
            </w:pPr>
            <w:r>
              <w:rPr>
                <w:sz w:val="20"/>
              </w:rPr>
              <w:t>Bit 4:2 - Bottom 3 bits of the byte count. Does not include ADDR and CMD bytes. One, two, and three byte instructions return 111.</w:t>
            </w:r>
          </w:p>
          <w:p>
            <w:pPr>
              <w:pStyle w:val="TableParagraph"/>
              <w:spacing w:before="59"/>
              <w:ind w:left="106" w:right="629"/>
              <w:jc w:val="both"/>
              <w:rPr>
                <w:sz w:val="20"/>
              </w:rPr>
            </w:pPr>
            <w:r>
              <w:rPr>
                <w:sz w:val="20"/>
              </w:rPr>
              <w:t>Bit 1 - SPI FLASH mode: This bit is zero when the TEST pin is zero.</w:t>
            </w:r>
          </w:p>
          <w:p>
            <w:pPr>
              <w:pStyle w:val="TableParagraph"/>
              <w:spacing w:before="60"/>
              <w:ind w:left="107" w:right="293"/>
              <w:rPr>
                <w:sz w:val="20"/>
              </w:rPr>
            </w:pPr>
            <w:r>
              <w:rPr>
                <w:sz w:val="20"/>
              </w:rPr>
              <w:t>Bit 0 - SPI FLASH mode ready: Used in SPI FLASH mode. Indicates that the flash is ready to receive another write instruction.</w:t>
            </w:r>
          </w:p>
        </w:tc>
      </w:tr>
    </w:tbl>
    <w:p>
      <w:pPr>
        <w:pStyle w:val="BodyText"/>
        <w:spacing w:before="10"/>
        <w:rPr>
          <w:b/>
          <w:sz w:val="21"/>
        </w:rPr>
      </w:pPr>
    </w:p>
    <w:p>
      <w:pPr>
        <w:spacing w:before="93"/>
        <w:ind w:left="240" w:right="0" w:firstLine="0"/>
        <w:jc w:val="left"/>
        <w:rPr>
          <w:b/>
          <w:sz w:val="20"/>
        </w:rPr>
      </w:pPr>
      <w:r>
        <w:rPr>
          <w:b/>
          <w:sz w:val="20"/>
        </w:rPr>
        <w:t>SPI Flash Mode (SFM)</w:t>
      </w:r>
    </w:p>
    <w:p>
      <w:pPr>
        <w:pStyle w:val="BodyText"/>
        <w:spacing w:before="121"/>
        <w:ind w:left="240" w:right="401"/>
      </w:pPr>
      <w:r>
        <w:rPr/>
        <w:t>In normal operation, the SPI slave interface cannot read or write the flash memory. However, the 71M6543 supports a special flash mode (SFM) which facilitates initial programming of the flash memory. When the 71M6543 is in this mode, the SPI can erase, read, and write the flash memory. Other memory elements such as XRAM and IO RAM are not accessible in this mode. In order to protect the flash contents, several operations are required before the SFM mode is successfully invoked.</w:t>
      </w:r>
    </w:p>
    <w:p>
      <w:pPr>
        <w:pStyle w:val="BodyText"/>
        <w:spacing w:before="122"/>
        <w:ind w:left="239" w:right="552"/>
      </w:pPr>
      <w:r>
        <w:rPr/>
        <w:t>In SFM mode, the 71M6543 supports n byte reads and dual-byte writes to flash memory. See the </w:t>
      </w:r>
      <w:r>
        <w:rPr>
          <w:color w:val="0000FF"/>
        </w:rPr>
        <w:t>SPI Transaction </w:t>
      </w:r>
      <w:r>
        <w:rPr/>
        <w:t>description on Page </w:t>
      </w:r>
      <w:hyperlink w:history="true" w:anchor="_bookmark139">
        <w:r>
          <w:rPr>
            <w:color w:val="0000FF"/>
          </w:rPr>
          <w:t>68 </w:t>
        </w:r>
      </w:hyperlink>
      <w:r>
        <w:rPr/>
        <w:t>for the </w:t>
      </w:r>
      <w:r>
        <w:rPr>
          <w:spacing w:val="2"/>
        </w:rPr>
        <w:t>format </w:t>
      </w:r>
      <w:r>
        <w:rPr/>
        <w:t>of read and write commands. Since the flash write operation is </w:t>
      </w:r>
      <w:r>
        <w:rPr>
          <w:spacing w:val="-3"/>
        </w:rPr>
        <w:t>always </w:t>
      </w:r>
      <w:r>
        <w:rPr/>
        <w:t>based on a two-byte word, the </w:t>
      </w:r>
      <w:r>
        <w:rPr>
          <w:spacing w:val="-3"/>
        </w:rPr>
        <w:t>initial </w:t>
      </w:r>
      <w:r>
        <w:rPr/>
        <w:t>address must always be even. Data is </w:t>
      </w:r>
      <w:r>
        <w:rPr>
          <w:spacing w:val="-3"/>
        </w:rPr>
        <w:t>written </w:t>
      </w:r>
      <w:r>
        <w:rPr/>
        <w:t>to the 16-bit flash memory bus after the odd word is written.</w:t>
      </w:r>
    </w:p>
    <w:p>
      <w:pPr>
        <w:pStyle w:val="BodyText"/>
        <w:spacing w:before="117"/>
        <w:ind w:left="239" w:right="401"/>
      </w:pPr>
      <w:r>
        <w:rPr/>
        <w:t>When the 71M6543G is operating SFM, SPI single-byte transactions are used to write to </w:t>
      </w:r>
      <w:r>
        <w:rPr>
          <w:rFonts w:ascii="Times New Roman"/>
          <w:i/>
        </w:rPr>
        <w:t>FL_BANK[1:0] </w:t>
      </w:r>
      <w:r>
        <w:rPr>
          <w:rFonts w:ascii="Times New Roman"/>
          <w:i/>
        </w:rPr>
        <w:t>(SFR 0xB6[1:0])</w:t>
      </w:r>
      <w:r>
        <w:rPr/>
        <w:t>. During an SPI single-byte transaction, SPI_CMD[1:0] will over-write the contents of </w:t>
      </w:r>
      <w:r>
        <w:rPr>
          <w:rFonts w:ascii="Times New Roman"/>
          <w:i/>
        </w:rPr>
        <w:t>FL_BANK[1:0] (SFR 0xB6[1:0])</w:t>
      </w:r>
      <w:r>
        <w:rPr/>
        <w:t>. This will allow for access of the entire 128 KB flash memory while operating in SFM.</w:t>
      </w:r>
    </w:p>
    <w:p>
      <w:pPr>
        <w:pStyle w:val="BodyText"/>
        <w:spacing w:before="122"/>
        <w:ind w:left="239" w:right="589"/>
        <w:jc w:val="both"/>
      </w:pPr>
      <w:r>
        <w:rPr/>
        <w:t>In SFM mode, the MPU is completely halted. For this reason, the interrupt feature described in the SPI </w:t>
      </w:r>
      <w:r>
        <w:rPr>
          <w:spacing w:val="-3"/>
        </w:rPr>
        <w:t>Transaction</w:t>
      </w:r>
      <w:r>
        <w:rPr>
          <w:spacing w:val="-10"/>
        </w:rPr>
        <w:t> </w:t>
      </w:r>
      <w:r>
        <w:rPr/>
        <w:t>section</w:t>
      </w:r>
      <w:r>
        <w:rPr>
          <w:spacing w:val="-9"/>
        </w:rPr>
        <w:t> </w:t>
      </w:r>
      <w:r>
        <w:rPr/>
        <w:t>above</w:t>
      </w:r>
      <w:r>
        <w:rPr>
          <w:spacing w:val="-8"/>
        </w:rPr>
        <w:t> </w:t>
      </w:r>
      <w:r>
        <w:rPr/>
        <w:t>is</w:t>
      </w:r>
      <w:r>
        <w:rPr>
          <w:spacing w:val="-9"/>
        </w:rPr>
        <w:t> </w:t>
      </w:r>
      <w:r>
        <w:rPr/>
        <w:t>not</w:t>
      </w:r>
      <w:r>
        <w:rPr>
          <w:spacing w:val="-11"/>
        </w:rPr>
        <w:t> </w:t>
      </w:r>
      <w:r>
        <w:rPr>
          <w:spacing w:val="-2"/>
        </w:rPr>
        <w:t>available</w:t>
      </w:r>
      <w:r>
        <w:rPr>
          <w:spacing w:val="-9"/>
        </w:rPr>
        <w:t> </w:t>
      </w:r>
      <w:r>
        <w:rPr/>
        <w:t>in</w:t>
      </w:r>
      <w:r>
        <w:rPr>
          <w:spacing w:val="-9"/>
        </w:rPr>
        <w:t> </w:t>
      </w:r>
      <w:r>
        <w:rPr/>
        <w:t>SFM</w:t>
      </w:r>
      <w:r>
        <w:rPr>
          <w:spacing w:val="-11"/>
        </w:rPr>
        <w:t> </w:t>
      </w:r>
      <w:r>
        <w:rPr/>
        <w:t>mode.</w:t>
      </w:r>
      <w:r>
        <w:rPr>
          <w:spacing w:val="37"/>
        </w:rPr>
        <w:t> </w:t>
      </w:r>
      <w:r>
        <w:rPr/>
        <w:t>The</w:t>
      </w:r>
      <w:r>
        <w:rPr>
          <w:spacing w:val="-11"/>
        </w:rPr>
        <w:t> </w:t>
      </w:r>
      <w:r>
        <w:rPr/>
        <w:t>71M6543</w:t>
      </w:r>
      <w:r>
        <w:rPr>
          <w:spacing w:val="-10"/>
        </w:rPr>
        <w:t> </w:t>
      </w:r>
      <w:r>
        <w:rPr/>
        <w:t>must</w:t>
      </w:r>
      <w:r>
        <w:rPr>
          <w:spacing w:val="-11"/>
        </w:rPr>
        <w:t> </w:t>
      </w:r>
      <w:r>
        <w:rPr/>
        <w:t>be</w:t>
      </w:r>
      <w:r>
        <w:rPr>
          <w:spacing w:val="-11"/>
        </w:rPr>
        <w:t> </w:t>
      </w:r>
      <w:r>
        <w:rPr/>
        <w:t>reset</w:t>
      </w:r>
      <w:r>
        <w:rPr>
          <w:spacing w:val="-8"/>
        </w:rPr>
        <w:t> </w:t>
      </w:r>
      <w:r>
        <w:rPr/>
        <w:t>by</w:t>
      </w:r>
      <w:r>
        <w:rPr>
          <w:spacing w:val="-13"/>
        </w:rPr>
        <w:t> </w:t>
      </w:r>
      <w:r>
        <w:rPr/>
        <w:t>the</w:t>
      </w:r>
      <w:r>
        <w:rPr>
          <w:spacing w:val="-14"/>
        </w:rPr>
        <w:t> </w:t>
      </w:r>
      <w:r>
        <w:rPr>
          <w:spacing w:val="3"/>
        </w:rPr>
        <w:t>WD</w:t>
      </w:r>
      <w:r>
        <w:rPr>
          <w:spacing w:val="-10"/>
        </w:rPr>
        <w:t> </w:t>
      </w:r>
      <w:r>
        <w:rPr/>
        <w:t>timer</w:t>
      </w:r>
      <w:r>
        <w:rPr>
          <w:spacing w:val="-10"/>
        </w:rPr>
        <w:t> </w:t>
      </w:r>
      <w:r>
        <w:rPr/>
        <w:t>or by the RESET pin in order to exit SFM</w:t>
      </w:r>
      <w:r>
        <w:rPr>
          <w:spacing w:val="-4"/>
        </w:rPr>
        <w:t> </w:t>
      </w:r>
      <w:r>
        <w:rPr/>
        <w:t>mode.</w:t>
      </w:r>
    </w:p>
    <w:p>
      <w:pPr>
        <w:spacing w:before="119"/>
        <w:ind w:left="239" w:right="0" w:firstLine="0"/>
        <w:jc w:val="both"/>
        <w:rPr>
          <w:b/>
          <w:sz w:val="20"/>
        </w:rPr>
      </w:pPr>
      <w:r>
        <w:rPr>
          <w:b/>
          <w:sz w:val="20"/>
        </w:rPr>
        <w:t>Invoking SFM</w:t>
      </w:r>
    </w:p>
    <w:p>
      <w:pPr>
        <w:pStyle w:val="BodyText"/>
        <w:spacing w:before="123"/>
        <w:ind w:left="239"/>
        <w:jc w:val="both"/>
      </w:pPr>
      <w:r>
        <w:rPr/>
        <w:t>The following conditions must be met prior to invoking SFM:</w:t>
      </w:r>
    </w:p>
    <w:p>
      <w:pPr>
        <w:pStyle w:val="ListParagraph"/>
        <w:numPr>
          <w:ilvl w:val="0"/>
          <w:numId w:val="15"/>
        </w:numPr>
        <w:tabs>
          <w:tab w:pos="598" w:val="left" w:leader="none"/>
          <w:tab w:pos="599" w:val="left" w:leader="none"/>
        </w:tabs>
        <w:spacing w:line="240" w:lineRule="auto" w:before="119" w:after="0"/>
        <w:ind w:left="598" w:right="884" w:hanging="360"/>
        <w:jc w:val="left"/>
        <w:rPr>
          <w:sz w:val="20"/>
        </w:rPr>
      </w:pPr>
      <w:r>
        <w:rPr>
          <w:sz w:val="20"/>
        </w:rPr>
        <w:t>ICE_E = 1. This disables the watchdog and adds another layer of protection against inadvertent Flash</w:t>
      </w:r>
      <w:r>
        <w:rPr>
          <w:spacing w:val="-2"/>
          <w:sz w:val="20"/>
        </w:rPr>
        <w:t> </w:t>
      </w:r>
      <w:r>
        <w:rPr>
          <w:sz w:val="20"/>
        </w:rPr>
        <w:t>corruption.</w:t>
      </w:r>
    </w:p>
    <w:p>
      <w:pPr>
        <w:pStyle w:val="ListParagraph"/>
        <w:numPr>
          <w:ilvl w:val="0"/>
          <w:numId w:val="15"/>
        </w:numPr>
        <w:tabs>
          <w:tab w:pos="598" w:val="left" w:leader="none"/>
          <w:tab w:pos="599" w:val="left" w:leader="none"/>
        </w:tabs>
        <w:spacing w:line="240" w:lineRule="auto" w:before="38" w:after="0"/>
        <w:ind w:left="598" w:right="0" w:hanging="360"/>
        <w:jc w:val="left"/>
        <w:rPr>
          <w:sz w:val="20"/>
        </w:rPr>
      </w:pPr>
      <w:r>
        <w:rPr>
          <w:sz w:val="20"/>
        </w:rPr>
        <w:t>The external power source (V3P3SYS, V3P3A) is at the proper level (&gt; 3.0</w:t>
      </w:r>
      <w:r>
        <w:rPr>
          <w:spacing w:val="-12"/>
          <w:sz w:val="20"/>
        </w:rPr>
        <w:t> </w:t>
      </w:r>
      <w:r>
        <w:rPr>
          <w:sz w:val="20"/>
        </w:rPr>
        <w:t>VDC).</w:t>
      </w:r>
    </w:p>
    <w:p>
      <w:pPr>
        <w:pStyle w:val="ListParagraph"/>
        <w:numPr>
          <w:ilvl w:val="0"/>
          <w:numId w:val="15"/>
        </w:numPr>
        <w:tabs>
          <w:tab w:pos="598" w:val="left" w:leader="none"/>
          <w:tab w:pos="599" w:val="left" w:leader="none"/>
        </w:tabs>
        <w:spacing w:line="240" w:lineRule="auto" w:before="34" w:after="0"/>
        <w:ind w:left="598" w:right="0" w:hanging="361"/>
        <w:jc w:val="left"/>
        <w:rPr>
          <w:sz w:val="20"/>
        </w:rPr>
      </w:pPr>
      <w:r>
        <w:rPr>
          <w:rFonts w:ascii="Times New Roman" w:hAnsi="Times New Roman"/>
          <w:i/>
          <w:sz w:val="20"/>
        </w:rPr>
        <w:t>PREBOOT </w:t>
      </w:r>
      <w:r>
        <w:rPr>
          <w:sz w:val="20"/>
        </w:rPr>
        <w:t>= 0 (</w:t>
      </w:r>
      <w:r>
        <w:rPr>
          <w:rFonts w:ascii="Times New Roman" w:hAnsi="Times New Roman"/>
          <w:i/>
          <w:sz w:val="20"/>
        </w:rPr>
        <w:t>SFR 0xB2[7])</w:t>
      </w:r>
      <w:r>
        <w:rPr>
          <w:sz w:val="20"/>
        </w:rPr>
        <w:t>. This validates the state of the </w:t>
      </w:r>
      <w:r>
        <w:rPr>
          <w:rFonts w:ascii="Times New Roman" w:hAnsi="Times New Roman"/>
          <w:i/>
          <w:sz w:val="20"/>
        </w:rPr>
        <w:t>SECURE </w:t>
      </w:r>
      <w:r>
        <w:rPr>
          <w:sz w:val="20"/>
        </w:rPr>
        <w:t>bit </w:t>
      </w:r>
      <w:r>
        <w:rPr>
          <w:rFonts w:ascii="Times New Roman" w:hAnsi="Times New Roman"/>
          <w:i/>
          <w:sz w:val="20"/>
        </w:rPr>
        <w:t>(SFR 0xB2[6])</w:t>
      </w:r>
      <w:r>
        <w:rPr>
          <w:sz w:val="20"/>
        </w:rPr>
        <w:t>.</w:t>
      </w:r>
    </w:p>
    <w:p>
      <w:pPr>
        <w:pStyle w:val="ListParagraph"/>
        <w:numPr>
          <w:ilvl w:val="0"/>
          <w:numId w:val="15"/>
        </w:numPr>
        <w:tabs>
          <w:tab w:pos="598" w:val="left" w:leader="none"/>
          <w:tab w:pos="599" w:val="left" w:leader="none"/>
        </w:tabs>
        <w:spacing w:line="240" w:lineRule="auto" w:before="41" w:after="0"/>
        <w:ind w:left="598" w:right="452" w:hanging="360"/>
        <w:jc w:val="left"/>
        <w:rPr>
          <w:sz w:val="20"/>
        </w:rPr>
      </w:pPr>
      <w:r>
        <w:rPr>
          <w:rFonts w:ascii="Times New Roman" w:hAnsi="Times New Roman"/>
          <w:i/>
          <w:sz w:val="20"/>
        </w:rPr>
        <w:t>SECURE </w:t>
      </w:r>
      <w:r>
        <w:rPr>
          <w:sz w:val="20"/>
        </w:rPr>
        <w:t>= 0. This I/O RAM register indicates that SPI secure mode is not enabled. Operations are </w:t>
      </w:r>
      <w:r>
        <w:rPr>
          <w:spacing w:val="-3"/>
          <w:sz w:val="20"/>
        </w:rPr>
        <w:t>limited</w:t>
      </w:r>
      <w:r>
        <w:rPr>
          <w:spacing w:val="-9"/>
          <w:sz w:val="20"/>
        </w:rPr>
        <w:t> </w:t>
      </w:r>
      <w:r>
        <w:rPr>
          <w:sz w:val="20"/>
        </w:rPr>
        <w:t>to</w:t>
      </w:r>
      <w:r>
        <w:rPr>
          <w:spacing w:val="-9"/>
          <w:sz w:val="20"/>
        </w:rPr>
        <w:t> </w:t>
      </w:r>
      <w:r>
        <w:rPr>
          <w:spacing w:val="-2"/>
          <w:sz w:val="20"/>
        </w:rPr>
        <w:t>SFM</w:t>
      </w:r>
      <w:r>
        <w:rPr>
          <w:spacing w:val="-9"/>
          <w:sz w:val="20"/>
        </w:rPr>
        <w:t> </w:t>
      </w:r>
      <w:r>
        <w:rPr>
          <w:spacing w:val="-3"/>
          <w:sz w:val="20"/>
        </w:rPr>
        <w:t>Mass</w:t>
      </w:r>
      <w:r>
        <w:rPr>
          <w:spacing w:val="-6"/>
          <w:sz w:val="20"/>
        </w:rPr>
        <w:t> </w:t>
      </w:r>
      <w:r>
        <w:rPr>
          <w:spacing w:val="-3"/>
          <w:sz w:val="20"/>
        </w:rPr>
        <w:t>Erase</w:t>
      </w:r>
      <w:r>
        <w:rPr>
          <w:spacing w:val="-12"/>
          <w:sz w:val="20"/>
        </w:rPr>
        <w:t> </w:t>
      </w:r>
      <w:r>
        <w:rPr>
          <w:sz w:val="20"/>
        </w:rPr>
        <w:t>mode</w:t>
      </w:r>
      <w:r>
        <w:rPr>
          <w:spacing w:val="-9"/>
          <w:sz w:val="20"/>
        </w:rPr>
        <w:t> </w:t>
      </w:r>
      <w:r>
        <w:rPr>
          <w:sz w:val="20"/>
        </w:rPr>
        <w:t>if</w:t>
      </w:r>
      <w:r>
        <w:rPr>
          <w:spacing w:val="-8"/>
          <w:sz w:val="20"/>
        </w:rPr>
        <w:t> </w:t>
      </w:r>
      <w:r>
        <w:rPr>
          <w:sz w:val="20"/>
        </w:rPr>
        <w:t>the</w:t>
      </w:r>
      <w:r>
        <w:rPr>
          <w:spacing w:val="-8"/>
          <w:sz w:val="20"/>
        </w:rPr>
        <w:t> </w:t>
      </w:r>
      <w:r>
        <w:rPr>
          <w:rFonts w:ascii="Times New Roman" w:hAnsi="Times New Roman"/>
          <w:i/>
          <w:spacing w:val="-3"/>
          <w:sz w:val="20"/>
        </w:rPr>
        <w:t>SECURE</w:t>
      </w:r>
      <w:r>
        <w:rPr>
          <w:rFonts w:ascii="Times New Roman" w:hAnsi="Times New Roman"/>
          <w:i/>
          <w:spacing w:val="-7"/>
          <w:sz w:val="20"/>
        </w:rPr>
        <w:t> </w:t>
      </w:r>
      <w:r>
        <w:rPr>
          <w:spacing w:val="-3"/>
          <w:sz w:val="20"/>
        </w:rPr>
        <w:t>bit</w:t>
      </w:r>
      <w:r>
        <w:rPr>
          <w:spacing w:val="-8"/>
          <w:sz w:val="20"/>
        </w:rPr>
        <w:t> </w:t>
      </w:r>
      <w:r>
        <w:rPr>
          <w:sz w:val="20"/>
        </w:rPr>
        <w:t>=</w:t>
      </w:r>
      <w:r>
        <w:rPr>
          <w:spacing w:val="-10"/>
          <w:sz w:val="20"/>
        </w:rPr>
        <w:t> </w:t>
      </w:r>
      <w:r>
        <w:rPr>
          <w:sz w:val="20"/>
        </w:rPr>
        <w:t>1</w:t>
      </w:r>
      <w:r>
        <w:rPr>
          <w:spacing w:val="-9"/>
          <w:sz w:val="20"/>
        </w:rPr>
        <w:t> </w:t>
      </w:r>
      <w:r>
        <w:rPr>
          <w:spacing w:val="-3"/>
          <w:sz w:val="20"/>
        </w:rPr>
        <w:t>(Flash</w:t>
      </w:r>
      <w:r>
        <w:rPr>
          <w:spacing w:val="-8"/>
          <w:sz w:val="20"/>
        </w:rPr>
        <w:t> </w:t>
      </w:r>
      <w:r>
        <w:rPr>
          <w:sz w:val="20"/>
        </w:rPr>
        <w:t>read</w:t>
      </w:r>
      <w:r>
        <w:rPr>
          <w:spacing w:val="-9"/>
          <w:sz w:val="20"/>
        </w:rPr>
        <w:t> </w:t>
      </w:r>
      <w:r>
        <w:rPr>
          <w:spacing w:val="-3"/>
          <w:sz w:val="20"/>
        </w:rPr>
        <w:t>back</w:t>
      </w:r>
      <w:r>
        <w:rPr>
          <w:spacing w:val="-7"/>
          <w:sz w:val="20"/>
        </w:rPr>
        <w:t> </w:t>
      </w:r>
      <w:r>
        <w:rPr>
          <w:sz w:val="20"/>
        </w:rPr>
        <w:t>is</w:t>
      </w:r>
      <w:r>
        <w:rPr>
          <w:spacing w:val="-6"/>
          <w:sz w:val="20"/>
        </w:rPr>
        <w:t> </w:t>
      </w:r>
      <w:r>
        <w:rPr>
          <w:sz w:val="20"/>
        </w:rPr>
        <w:t>not</w:t>
      </w:r>
      <w:r>
        <w:rPr>
          <w:spacing w:val="-9"/>
          <w:sz w:val="20"/>
        </w:rPr>
        <w:t> </w:t>
      </w:r>
      <w:r>
        <w:rPr>
          <w:spacing w:val="-4"/>
          <w:sz w:val="20"/>
        </w:rPr>
        <w:t>allowed</w:t>
      </w:r>
      <w:r>
        <w:rPr>
          <w:spacing w:val="-9"/>
          <w:sz w:val="20"/>
        </w:rPr>
        <w:t> </w:t>
      </w:r>
      <w:r>
        <w:rPr>
          <w:sz w:val="20"/>
        </w:rPr>
        <w:t>in</w:t>
      </w:r>
      <w:r>
        <w:rPr>
          <w:spacing w:val="-9"/>
          <w:sz w:val="20"/>
        </w:rPr>
        <w:t> </w:t>
      </w:r>
      <w:r>
        <w:rPr>
          <w:spacing w:val="-3"/>
          <w:sz w:val="20"/>
        </w:rPr>
        <w:t>Secure</w:t>
      </w:r>
      <w:r>
        <w:rPr>
          <w:spacing w:val="-11"/>
          <w:sz w:val="20"/>
        </w:rPr>
        <w:t> </w:t>
      </w:r>
      <w:r>
        <w:rPr>
          <w:sz w:val="20"/>
        </w:rPr>
        <w:t>mode).</w:t>
      </w:r>
    </w:p>
    <w:p>
      <w:pPr>
        <w:pStyle w:val="ListParagraph"/>
        <w:numPr>
          <w:ilvl w:val="0"/>
          <w:numId w:val="15"/>
        </w:numPr>
        <w:tabs>
          <w:tab w:pos="599" w:val="left" w:leader="none"/>
        </w:tabs>
        <w:spacing w:line="240" w:lineRule="auto" w:before="40" w:after="0"/>
        <w:ind w:left="598" w:right="0" w:hanging="360"/>
        <w:jc w:val="both"/>
        <w:rPr>
          <w:sz w:val="20"/>
        </w:rPr>
      </w:pPr>
      <w:r>
        <w:rPr>
          <w:rFonts w:ascii="Times New Roman" w:hAnsi="Times New Roman"/>
          <w:i/>
          <w:sz w:val="20"/>
        </w:rPr>
        <w:t>FLSH_UNLOCK[3:0] </w:t>
      </w:r>
      <w:r>
        <w:rPr>
          <w:sz w:val="20"/>
        </w:rPr>
        <w:t>= 0010 (</w:t>
      </w:r>
      <w:r>
        <w:rPr>
          <w:rFonts w:ascii="Times New Roman" w:hAnsi="Times New Roman"/>
          <w:i/>
          <w:sz w:val="20"/>
        </w:rPr>
        <w:t>I/O RAM</w:t>
      </w:r>
      <w:r>
        <w:rPr>
          <w:rFonts w:ascii="Times New Roman" w:hAnsi="Times New Roman"/>
          <w:i/>
          <w:spacing w:val="6"/>
          <w:sz w:val="20"/>
        </w:rPr>
        <w:t> </w:t>
      </w:r>
      <w:r>
        <w:rPr>
          <w:rFonts w:ascii="Times New Roman" w:hAnsi="Times New Roman"/>
          <w:i/>
          <w:sz w:val="20"/>
        </w:rPr>
        <w:t>0x2702[7:4])</w:t>
      </w:r>
      <w:r>
        <w:rPr>
          <w:sz w:val="20"/>
        </w:rPr>
        <w:t>.</w:t>
      </w:r>
    </w:p>
    <w:p>
      <w:pPr>
        <w:spacing w:after="0" w:line="240" w:lineRule="auto"/>
        <w:jc w:val="both"/>
        <w:rPr>
          <w:sz w:val="20"/>
        </w:rPr>
        <w:sectPr>
          <w:pgSz w:w="12240" w:h="15840"/>
          <w:pgMar w:header="727" w:footer="819" w:top="960" w:bottom="1000" w:left="1200" w:right="1060"/>
        </w:sectPr>
      </w:pPr>
    </w:p>
    <w:p>
      <w:pPr>
        <w:pStyle w:val="BodyText"/>
        <w:spacing w:before="6"/>
        <w:rPr>
          <w:sz w:val="16"/>
        </w:rPr>
      </w:pPr>
    </w:p>
    <w:p>
      <w:pPr>
        <w:pStyle w:val="BodyText"/>
        <w:spacing w:before="93"/>
        <w:ind w:left="239" w:right="368"/>
      </w:pPr>
      <w:r>
        <w:rPr/>
        <w:t>The I/O RAM registers </w:t>
      </w:r>
      <w:r>
        <w:rPr>
          <w:rFonts w:ascii="Times New Roman"/>
          <w:i/>
        </w:rPr>
        <w:t>SFMM </w:t>
      </w:r>
      <w:r>
        <w:rPr/>
        <w:t>(</w:t>
      </w:r>
      <w:r>
        <w:rPr>
          <w:rFonts w:ascii="Times New Roman"/>
          <w:i/>
        </w:rPr>
        <w:t>I/O RAM 0x2080</w:t>
      </w:r>
      <w:r>
        <w:rPr/>
        <w:t>) and </w:t>
      </w:r>
      <w:r>
        <w:rPr>
          <w:rFonts w:ascii="Times New Roman"/>
          <w:i/>
        </w:rPr>
        <w:t>SFMS (I/O RAM 0x2081) </w:t>
      </w:r>
      <w:r>
        <w:rPr/>
        <w:t>are used to invoke SFM. Only the SPI interface has access to these two registers. This eliminates an indirect path from the MPU for disabling the watchdog. </w:t>
      </w:r>
      <w:r>
        <w:rPr>
          <w:rFonts w:ascii="Times New Roman"/>
          <w:i/>
        </w:rPr>
        <w:t>SFMM </w:t>
      </w:r>
      <w:r>
        <w:rPr/>
        <w:t>and </w:t>
      </w:r>
      <w:r>
        <w:rPr>
          <w:rFonts w:ascii="Times New Roman"/>
          <w:i/>
        </w:rPr>
        <w:t>SFMS </w:t>
      </w:r>
      <w:r>
        <w:rPr/>
        <w:t>need to be written to in sequence in order to invoke SFM. This sequential write process prevents inadvertent entering of SFM. The sequence for invoking SFM is:</w:t>
      </w:r>
    </w:p>
    <w:p>
      <w:pPr>
        <w:pStyle w:val="ListParagraph"/>
        <w:numPr>
          <w:ilvl w:val="0"/>
          <w:numId w:val="15"/>
        </w:numPr>
        <w:tabs>
          <w:tab w:pos="599" w:val="left" w:leader="none"/>
          <w:tab w:pos="600" w:val="left" w:leader="none"/>
        </w:tabs>
        <w:spacing w:line="240" w:lineRule="auto" w:before="118" w:after="0"/>
        <w:ind w:left="599" w:right="0" w:hanging="361"/>
        <w:jc w:val="left"/>
        <w:rPr>
          <w:sz w:val="20"/>
        </w:rPr>
      </w:pPr>
      <w:r>
        <w:rPr>
          <w:spacing w:val="-3"/>
          <w:sz w:val="20"/>
        </w:rPr>
        <w:t>First,</w:t>
      </w:r>
      <w:r>
        <w:rPr>
          <w:spacing w:val="-10"/>
          <w:sz w:val="20"/>
        </w:rPr>
        <w:t> </w:t>
      </w:r>
      <w:r>
        <w:rPr>
          <w:sz w:val="20"/>
        </w:rPr>
        <w:t>write</w:t>
      </w:r>
      <w:r>
        <w:rPr>
          <w:spacing w:val="-10"/>
          <w:sz w:val="20"/>
        </w:rPr>
        <w:t> </w:t>
      </w:r>
      <w:r>
        <w:rPr>
          <w:sz w:val="20"/>
        </w:rPr>
        <w:t>to</w:t>
      </w:r>
      <w:r>
        <w:rPr>
          <w:spacing w:val="-10"/>
          <w:sz w:val="20"/>
        </w:rPr>
        <w:t> </w:t>
      </w:r>
      <w:r>
        <w:rPr>
          <w:rFonts w:ascii="Times New Roman" w:hAnsi="Times New Roman"/>
          <w:i/>
          <w:sz w:val="20"/>
        </w:rPr>
        <w:t>SFMM</w:t>
      </w:r>
      <w:r>
        <w:rPr>
          <w:rFonts w:ascii="Times New Roman" w:hAnsi="Times New Roman"/>
          <w:i/>
          <w:spacing w:val="-5"/>
          <w:sz w:val="20"/>
        </w:rPr>
        <w:t> </w:t>
      </w:r>
      <w:r>
        <w:rPr>
          <w:sz w:val="20"/>
        </w:rPr>
        <w:t>(</w:t>
      </w:r>
      <w:r>
        <w:rPr>
          <w:rFonts w:ascii="Times New Roman" w:hAnsi="Times New Roman"/>
          <w:i/>
          <w:sz w:val="20"/>
        </w:rPr>
        <w:t>I/O</w:t>
      </w:r>
      <w:r>
        <w:rPr>
          <w:rFonts w:ascii="Times New Roman" w:hAnsi="Times New Roman"/>
          <w:i/>
          <w:spacing w:val="-11"/>
          <w:sz w:val="20"/>
        </w:rPr>
        <w:t> </w:t>
      </w:r>
      <w:r>
        <w:rPr>
          <w:rFonts w:ascii="Times New Roman" w:hAnsi="Times New Roman"/>
          <w:i/>
          <w:sz w:val="20"/>
        </w:rPr>
        <w:t>RAM</w:t>
      </w:r>
      <w:r>
        <w:rPr>
          <w:rFonts w:ascii="Times New Roman" w:hAnsi="Times New Roman"/>
          <w:i/>
          <w:spacing w:val="-10"/>
          <w:sz w:val="20"/>
        </w:rPr>
        <w:t> </w:t>
      </w:r>
      <w:r>
        <w:rPr>
          <w:rFonts w:ascii="Times New Roman" w:hAnsi="Times New Roman"/>
          <w:i/>
          <w:sz w:val="20"/>
        </w:rPr>
        <w:t>0x2080</w:t>
      </w:r>
      <w:r>
        <w:rPr>
          <w:sz w:val="20"/>
        </w:rPr>
        <w:t>)</w:t>
      </w:r>
      <w:r>
        <w:rPr>
          <w:spacing w:val="-11"/>
          <w:sz w:val="20"/>
        </w:rPr>
        <w:t> </w:t>
      </w:r>
      <w:r>
        <w:rPr>
          <w:sz w:val="20"/>
        </w:rPr>
        <w:t>register.</w:t>
      </w:r>
      <w:r>
        <w:rPr>
          <w:spacing w:val="35"/>
          <w:sz w:val="20"/>
        </w:rPr>
        <w:t> </w:t>
      </w:r>
      <w:r>
        <w:rPr>
          <w:sz w:val="20"/>
        </w:rPr>
        <w:t>The</w:t>
      </w:r>
      <w:r>
        <w:rPr>
          <w:spacing w:val="-7"/>
          <w:sz w:val="20"/>
        </w:rPr>
        <w:t> </w:t>
      </w:r>
      <w:r>
        <w:rPr>
          <w:sz w:val="20"/>
        </w:rPr>
        <w:t>value</w:t>
      </w:r>
      <w:r>
        <w:rPr>
          <w:spacing w:val="-10"/>
          <w:sz w:val="20"/>
        </w:rPr>
        <w:t> </w:t>
      </w:r>
      <w:r>
        <w:rPr>
          <w:sz w:val="20"/>
        </w:rPr>
        <w:t>written</w:t>
      </w:r>
      <w:r>
        <w:rPr>
          <w:spacing w:val="-10"/>
          <w:sz w:val="20"/>
        </w:rPr>
        <w:t> </w:t>
      </w:r>
      <w:r>
        <w:rPr>
          <w:sz w:val="20"/>
        </w:rPr>
        <w:t>to</w:t>
      </w:r>
      <w:r>
        <w:rPr>
          <w:spacing w:val="-10"/>
          <w:sz w:val="20"/>
        </w:rPr>
        <w:t> </w:t>
      </w:r>
      <w:r>
        <w:rPr>
          <w:sz w:val="20"/>
        </w:rPr>
        <w:t>this</w:t>
      </w:r>
      <w:r>
        <w:rPr>
          <w:spacing w:val="-10"/>
          <w:sz w:val="20"/>
        </w:rPr>
        <w:t> </w:t>
      </w:r>
      <w:r>
        <w:rPr>
          <w:sz w:val="20"/>
        </w:rPr>
        <w:t>register</w:t>
      </w:r>
      <w:r>
        <w:rPr>
          <w:spacing w:val="-9"/>
          <w:sz w:val="20"/>
        </w:rPr>
        <w:t> </w:t>
      </w:r>
      <w:r>
        <w:rPr>
          <w:sz w:val="20"/>
        </w:rPr>
        <w:t>defines</w:t>
      </w:r>
      <w:r>
        <w:rPr>
          <w:spacing w:val="-10"/>
          <w:sz w:val="20"/>
        </w:rPr>
        <w:t> </w:t>
      </w:r>
      <w:r>
        <w:rPr>
          <w:sz w:val="20"/>
        </w:rPr>
        <w:t>the</w:t>
      </w:r>
      <w:r>
        <w:rPr>
          <w:spacing w:val="-10"/>
          <w:sz w:val="20"/>
        </w:rPr>
        <w:t> </w:t>
      </w:r>
      <w:r>
        <w:rPr>
          <w:sz w:val="20"/>
        </w:rPr>
        <w:t>SFM</w:t>
      </w:r>
      <w:r>
        <w:rPr>
          <w:spacing w:val="-12"/>
          <w:sz w:val="20"/>
        </w:rPr>
        <w:t> </w:t>
      </w:r>
      <w:r>
        <w:rPr>
          <w:sz w:val="20"/>
        </w:rPr>
        <w:t>mode.</w:t>
      </w:r>
    </w:p>
    <w:p>
      <w:pPr>
        <w:pStyle w:val="ListParagraph"/>
        <w:numPr>
          <w:ilvl w:val="1"/>
          <w:numId w:val="15"/>
        </w:numPr>
        <w:tabs>
          <w:tab w:pos="1319" w:val="left" w:leader="none"/>
          <w:tab w:pos="1320" w:val="left" w:leader="none"/>
        </w:tabs>
        <w:spacing w:line="240" w:lineRule="auto" w:before="64" w:after="0"/>
        <w:ind w:left="1319" w:right="0" w:hanging="361"/>
        <w:jc w:val="left"/>
        <w:rPr>
          <w:sz w:val="20"/>
        </w:rPr>
      </w:pPr>
      <w:r>
        <w:rPr>
          <w:sz w:val="20"/>
        </w:rPr>
        <w:t>0xD1: Mass Erase mode. A Flash Mass erase cycle is invoked upon entering</w:t>
      </w:r>
      <w:r>
        <w:rPr>
          <w:spacing w:val="-14"/>
          <w:sz w:val="20"/>
        </w:rPr>
        <w:t> </w:t>
      </w:r>
      <w:r>
        <w:rPr>
          <w:sz w:val="20"/>
        </w:rPr>
        <w:t>SFM.</w:t>
      </w:r>
    </w:p>
    <w:p>
      <w:pPr>
        <w:pStyle w:val="ListParagraph"/>
        <w:numPr>
          <w:ilvl w:val="1"/>
          <w:numId w:val="15"/>
        </w:numPr>
        <w:tabs>
          <w:tab w:pos="1318" w:val="left" w:leader="none"/>
          <w:tab w:pos="1320" w:val="left" w:leader="none"/>
        </w:tabs>
        <w:spacing w:line="232" w:lineRule="auto" w:before="26" w:after="0"/>
        <w:ind w:left="1319" w:right="581" w:hanging="360"/>
        <w:jc w:val="left"/>
        <w:rPr>
          <w:sz w:val="20"/>
        </w:rPr>
      </w:pPr>
      <w:r>
        <w:rPr>
          <w:sz w:val="20"/>
        </w:rPr>
        <w:t>0x2E: Flash Read back mode. SFM is entered for Flash read back purposes. Flash writes will not be blocked and it is up to the user to guarantee that only previously unwritten locations are written. This mode is not accessible when SPI secure mode is</w:t>
      </w:r>
      <w:r>
        <w:rPr>
          <w:spacing w:val="-19"/>
          <w:sz w:val="20"/>
        </w:rPr>
        <w:t> </w:t>
      </w:r>
      <w:r>
        <w:rPr>
          <w:sz w:val="20"/>
        </w:rPr>
        <w:t>set.</w:t>
      </w:r>
    </w:p>
    <w:p>
      <w:pPr>
        <w:pStyle w:val="ListParagraph"/>
        <w:numPr>
          <w:ilvl w:val="1"/>
          <w:numId w:val="15"/>
        </w:numPr>
        <w:tabs>
          <w:tab w:pos="1318" w:val="left" w:leader="none"/>
          <w:tab w:pos="1320" w:val="left" w:leader="none"/>
        </w:tabs>
        <w:spacing w:line="240" w:lineRule="auto" w:before="35" w:after="0"/>
        <w:ind w:left="1319" w:right="0" w:hanging="361"/>
        <w:jc w:val="left"/>
        <w:rPr>
          <w:sz w:val="20"/>
        </w:rPr>
      </w:pPr>
      <w:r>
        <w:rPr>
          <w:sz w:val="20"/>
        </w:rPr>
        <w:t>SFM is not invoked if any other pattern is written to the </w:t>
      </w:r>
      <w:r>
        <w:rPr>
          <w:rFonts w:ascii="Times New Roman" w:hAnsi="Times New Roman"/>
          <w:i/>
          <w:sz w:val="20"/>
        </w:rPr>
        <w:t>SFMM</w:t>
      </w:r>
      <w:r>
        <w:rPr>
          <w:rFonts w:ascii="Times New Roman" w:hAnsi="Times New Roman"/>
          <w:i/>
          <w:spacing w:val="-2"/>
          <w:sz w:val="20"/>
        </w:rPr>
        <w:t> </w:t>
      </w:r>
      <w:r>
        <w:rPr>
          <w:sz w:val="20"/>
        </w:rPr>
        <w:t>register.</w:t>
      </w:r>
    </w:p>
    <w:p>
      <w:pPr>
        <w:pStyle w:val="ListParagraph"/>
        <w:numPr>
          <w:ilvl w:val="0"/>
          <w:numId w:val="15"/>
        </w:numPr>
        <w:tabs>
          <w:tab w:pos="598" w:val="left" w:leader="none"/>
          <w:tab w:pos="599" w:val="left" w:leader="none"/>
        </w:tabs>
        <w:spacing w:line="240" w:lineRule="auto" w:before="104" w:after="0"/>
        <w:ind w:left="598" w:right="644" w:hanging="360"/>
        <w:jc w:val="left"/>
        <w:rPr>
          <w:sz w:val="20"/>
        </w:rPr>
      </w:pPr>
      <w:r>
        <w:rPr>
          <w:spacing w:val="-3"/>
          <w:sz w:val="20"/>
        </w:rPr>
        <w:t>Next, write </w:t>
      </w:r>
      <w:r>
        <w:rPr>
          <w:sz w:val="20"/>
        </w:rPr>
        <w:t>0x96 to the </w:t>
      </w:r>
      <w:r>
        <w:rPr>
          <w:rFonts w:ascii="Times New Roman" w:hAnsi="Times New Roman"/>
          <w:i/>
          <w:sz w:val="20"/>
        </w:rPr>
        <w:t>SFMS </w:t>
      </w:r>
      <w:r>
        <w:rPr>
          <w:sz w:val="20"/>
        </w:rPr>
        <w:t>(</w:t>
      </w:r>
      <w:r>
        <w:rPr>
          <w:rFonts w:ascii="Times New Roman" w:hAnsi="Times New Roman"/>
          <w:i/>
          <w:sz w:val="20"/>
        </w:rPr>
        <w:t>I/O RAM 0x2081</w:t>
      </w:r>
      <w:r>
        <w:rPr>
          <w:sz w:val="20"/>
        </w:rPr>
        <w:t>) register. This write invokes </w:t>
      </w:r>
      <w:r>
        <w:rPr>
          <w:spacing w:val="-2"/>
          <w:sz w:val="20"/>
        </w:rPr>
        <w:t>SFM </w:t>
      </w:r>
      <w:r>
        <w:rPr>
          <w:sz w:val="20"/>
        </w:rPr>
        <w:t>provided that the </w:t>
      </w:r>
      <w:r>
        <w:rPr>
          <w:spacing w:val="-3"/>
          <w:sz w:val="20"/>
        </w:rPr>
        <w:t>previous write </w:t>
      </w:r>
      <w:r>
        <w:rPr>
          <w:sz w:val="20"/>
        </w:rPr>
        <w:t>operation to </w:t>
      </w:r>
      <w:r>
        <w:rPr>
          <w:rFonts w:ascii="Times New Roman" w:hAnsi="Times New Roman"/>
          <w:i/>
          <w:sz w:val="20"/>
        </w:rPr>
        <w:t>SFMM </w:t>
      </w:r>
      <w:r>
        <w:rPr>
          <w:spacing w:val="2"/>
          <w:sz w:val="20"/>
        </w:rPr>
        <w:t>met the requirements. </w:t>
      </w:r>
      <w:r>
        <w:rPr>
          <w:spacing w:val="3"/>
          <w:sz w:val="20"/>
        </w:rPr>
        <w:t>Writing </w:t>
      </w:r>
      <w:r>
        <w:rPr>
          <w:spacing w:val="2"/>
          <w:sz w:val="20"/>
        </w:rPr>
        <w:t>any other pattern </w:t>
      </w:r>
      <w:r>
        <w:rPr>
          <w:sz w:val="20"/>
        </w:rPr>
        <w:t>to this </w:t>
      </w:r>
      <w:r>
        <w:rPr>
          <w:spacing w:val="2"/>
          <w:sz w:val="20"/>
        </w:rPr>
        <w:t>register </w:t>
      </w:r>
      <w:r>
        <w:rPr>
          <w:sz w:val="20"/>
        </w:rPr>
        <w:t>does not </w:t>
      </w:r>
      <w:r>
        <w:rPr>
          <w:spacing w:val="2"/>
          <w:sz w:val="20"/>
        </w:rPr>
        <w:t>invoke </w:t>
      </w:r>
      <w:r>
        <w:rPr>
          <w:sz w:val="20"/>
        </w:rPr>
        <w:t>SFM. Additionally, any write operations to this register automatically reset the previously written </w:t>
      </w:r>
      <w:r>
        <w:rPr>
          <w:rFonts w:ascii="Times New Roman" w:hAnsi="Times New Roman"/>
          <w:i/>
          <w:sz w:val="20"/>
        </w:rPr>
        <w:t>SFMM </w:t>
      </w:r>
      <w:r>
        <w:rPr>
          <w:sz w:val="20"/>
        </w:rPr>
        <w:t>register values to</w:t>
      </w:r>
      <w:r>
        <w:rPr>
          <w:spacing w:val="5"/>
          <w:sz w:val="20"/>
        </w:rPr>
        <w:t> </w:t>
      </w:r>
      <w:r>
        <w:rPr>
          <w:sz w:val="20"/>
        </w:rPr>
        <w:t>zero.</w:t>
      </w:r>
    </w:p>
    <w:p>
      <w:pPr>
        <w:spacing w:before="121"/>
        <w:ind w:left="238" w:right="0" w:firstLine="0"/>
        <w:jc w:val="left"/>
        <w:rPr>
          <w:b/>
          <w:sz w:val="20"/>
        </w:rPr>
      </w:pPr>
      <w:r>
        <w:rPr>
          <w:b/>
          <w:sz w:val="20"/>
        </w:rPr>
        <w:t>SFM Details</w:t>
      </w:r>
    </w:p>
    <w:p>
      <w:pPr>
        <w:pStyle w:val="BodyText"/>
        <w:spacing w:before="120"/>
        <w:ind w:left="238"/>
      </w:pPr>
      <w:r>
        <w:rPr/>
        <w:t>The following occurs upon entering SFM.</w:t>
      </w:r>
    </w:p>
    <w:p>
      <w:pPr>
        <w:pStyle w:val="ListParagraph"/>
        <w:numPr>
          <w:ilvl w:val="0"/>
          <w:numId w:val="15"/>
        </w:numPr>
        <w:tabs>
          <w:tab w:pos="598" w:val="left" w:leader="none"/>
          <w:tab w:pos="599" w:val="left" w:leader="none"/>
        </w:tabs>
        <w:spacing w:line="240" w:lineRule="auto" w:before="121" w:after="0"/>
        <w:ind w:left="598" w:right="0" w:hanging="361"/>
        <w:jc w:val="left"/>
        <w:rPr>
          <w:sz w:val="20"/>
        </w:rPr>
      </w:pPr>
      <w:r>
        <w:rPr>
          <w:sz w:val="20"/>
        </w:rPr>
        <w:t>The CE is</w:t>
      </w:r>
      <w:r>
        <w:rPr>
          <w:spacing w:val="-3"/>
          <w:sz w:val="20"/>
        </w:rPr>
        <w:t> </w:t>
      </w:r>
      <w:r>
        <w:rPr>
          <w:sz w:val="20"/>
        </w:rPr>
        <w:t>disabled.</w:t>
      </w:r>
    </w:p>
    <w:p>
      <w:pPr>
        <w:pStyle w:val="ListParagraph"/>
        <w:numPr>
          <w:ilvl w:val="0"/>
          <w:numId w:val="15"/>
        </w:numPr>
        <w:tabs>
          <w:tab w:pos="598" w:val="left" w:leader="none"/>
          <w:tab w:pos="599" w:val="left" w:leader="none"/>
        </w:tabs>
        <w:spacing w:line="240" w:lineRule="auto" w:before="39" w:after="0"/>
        <w:ind w:left="598" w:right="605" w:hanging="360"/>
        <w:jc w:val="left"/>
        <w:rPr>
          <w:sz w:val="20"/>
        </w:rPr>
      </w:pPr>
      <w:r>
        <w:rPr>
          <w:sz w:val="20"/>
        </w:rPr>
        <w:t>The MPU is halted. Once the MPU is halted it can only be restarted with a reset. This reset can be accomplished with the RESET pin, a watchdog reset, or by cycling power (without battery at the VBAT</w:t>
      </w:r>
      <w:r>
        <w:rPr>
          <w:spacing w:val="1"/>
          <w:sz w:val="20"/>
        </w:rPr>
        <w:t> </w:t>
      </w:r>
      <w:r>
        <w:rPr>
          <w:sz w:val="20"/>
        </w:rPr>
        <w:t>pin).</w:t>
      </w:r>
    </w:p>
    <w:p>
      <w:pPr>
        <w:pStyle w:val="ListParagraph"/>
        <w:numPr>
          <w:ilvl w:val="0"/>
          <w:numId w:val="15"/>
        </w:numPr>
        <w:tabs>
          <w:tab w:pos="598" w:val="left" w:leader="none"/>
          <w:tab w:pos="599" w:val="left" w:leader="none"/>
        </w:tabs>
        <w:spacing w:line="240" w:lineRule="auto" w:before="39" w:after="0"/>
        <w:ind w:left="598" w:right="432" w:hanging="360"/>
        <w:jc w:val="left"/>
        <w:rPr>
          <w:sz w:val="20"/>
        </w:rPr>
      </w:pPr>
      <w:r>
        <w:rPr>
          <w:sz w:val="20"/>
        </w:rPr>
        <w:t>The</w:t>
      </w:r>
      <w:r>
        <w:rPr>
          <w:spacing w:val="-4"/>
          <w:sz w:val="20"/>
        </w:rPr>
        <w:t> </w:t>
      </w:r>
      <w:r>
        <w:rPr>
          <w:sz w:val="20"/>
        </w:rPr>
        <w:t>Flash</w:t>
      </w:r>
      <w:r>
        <w:rPr>
          <w:spacing w:val="-4"/>
          <w:sz w:val="20"/>
        </w:rPr>
        <w:t> </w:t>
      </w:r>
      <w:r>
        <w:rPr>
          <w:sz w:val="20"/>
        </w:rPr>
        <w:t>control</w:t>
      </w:r>
      <w:r>
        <w:rPr>
          <w:spacing w:val="-2"/>
          <w:sz w:val="20"/>
        </w:rPr>
        <w:t> </w:t>
      </w:r>
      <w:r>
        <w:rPr>
          <w:sz w:val="20"/>
        </w:rPr>
        <w:t>logic</w:t>
      </w:r>
      <w:r>
        <w:rPr>
          <w:spacing w:val="-2"/>
          <w:sz w:val="20"/>
        </w:rPr>
        <w:t> </w:t>
      </w:r>
      <w:r>
        <w:rPr>
          <w:sz w:val="20"/>
        </w:rPr>
        <w:t>is</w:t>
      </w:r>
      <w:r>
        <w:rPr>
          <w:spacing w:val="-1"/>
          <w:sz w:val="20"/>
        </w:rPr>
        <w:t> </w:t>
      </w:r>
      <w:r>
        <w:rPr>
          <w:sz w:val="20"/>
        </w:rPr>
        <w:t>reset</w:t>
      </w:r>
      <w:r>
        <w:rPr>
          <w:spacing w:val="-4"/>
          <w:sz w:val="20"/>
        </w:rPr>
        <w:t> </w:t>
      </w:r>
      <w:r>
        <w:rPr>
          <w:sz w:val="20"/>
        </w:rPr>
        <w:t>in</w:t>
      </w:r>
      <w:r>
        <w:rPr>
          <w:spacing w:val="-4"/>
          <w:sz w:val="20"/>
        </w:rPr>
        <w:t> </w:t>
      </w:r>
      <w:r>
        <w:rPr>
          <w:sz w:val="20"/>
        </w:rPr>
        <w:t>case</w:t>
      </w:r>
      <w:r>
        <w:rPr>
          <w:spacing w:val="-1"/>
          <w:sz w:val="20"/>
        </w:rPr>
        <w:t> </w:t>
      </w:r>
      <w:r>
        <w:rPr>
          <w:sz w:val="20"/>
        </w:rPr>
        <w:t>the</w:t>
      </w:r>
      <w:r>
        <w:rPr>
          <w:spacing w:val="-2"/>
          <w:sz w:val="20"/>
        </w:rPr>
        <w:t> </w:t>
      </w:r>
      <w:r>
        <w:rPr>
          <w:sz w:val="20"/>
        </w:rPr>
        <w:t>MPU was in</w:t>
      </w:r>
      <w:r>
        <w:rPr>
          <w:spacing w:val="-2"/>
          <w:sz w:val="20"/>
        </w:rPr>
        <w:t> </w:t>
      </w:r>
      <w:r>
        <w:rPr>
          <w:sz w:val="20"/>
        </w:rPr>
        <w:t>the</w:t>
      </w:r>
      <w:r>
        <w:rPr>
          <w:spacing w:val="-3"/>
          <w:sz w:val="20"/>
        </w:rPr>
        <w:t> </w:t>
      </w:r>
      <w:r>
        <w:rPr>
          <w:sz w:val="20"/>
        </w:rPr>
        <w:t>middle</w:t>
      </w:r>
      <w:r>
        <w:rPr>
          <w:spacing w:val="-4"/>
          <w:sz w:val="20"/>
        </w:rPr>
        <w:t> </w:t>
      </w:r>
      <w:r>
        <w:rPr>
          <w:sz w:val="20"/>
        </w:rPr>
        <w:t>of</w:t>
      </w:r>
      <w:r>
        <w:rPr>
          <w:spacing w:val="-2"/>
          <w:sz w:val="20"/>
        </w:rPr>
        <w:t> </w:t>
      </w:r>
      <w:r>
        <w:rPr>
          <w:sz w:val="20"/>
        </w:rPr>
        <w:t>a</w:t>
      </w:r>
      <w:r>
        <w:rPr>
          <w:spacing w:val="-3"/>
          <w:sz w:val="20"/>
        </w:rPr>
        <w:t> </w:t>
      </w:r>
      <w:r>
        <w:rPr>
          <w:sz w:val="20"/>
        </w:rPr>
        <w:t>Flash</w:t>
      </w:r>
      <w:r>
        <w:rPr>
          <w:spacing w:val="-2"/>
          <w:sz w:val="20"/>
        </w:rPr>
        <w:t> </w:t>
      </w:r>
      <w:r>
        <w:rPr>
          <w:sz w:val="20"/>
        </w:rPr>
        <w:t>write</w:t>
      </w:r>
      <w:r>
        <w:rPr>
          <w:spacing w:val="1"/>
          <w:sz w:val="20"/>
        </w:rPr>
        <w:t> </w:t>
      </w:r>
      <w:r>
        <w:rPr>
          <w:sz w:val="20"/>
        </w:rPr>
        <w:t>operation</w:t>
      </w:r>
      <w:r>
        <w:rPr>
          <w:spacing w:val="-4"/>
          <w:sz w:val="20"/>
        </w:rPr>
        <w:t> </w:t>
      </w:r>
      <w:r>
        <w:rPr>
          <w:sz w:val="20"/>
        </w:rPr>
        <w:t>or</w:t>
      </w:r>
      <w:r>
        <w:rPr>
          <w:spacing w:val="-1"/>
          <w:sz w:val="20"/>
        </w:rPr>
        <w:t> </w:t>
      </w:r>
      <w:r>
        <w:rPr>
          <w:sz w:val="20"/>
        </w:rPr>
        <w:t>Erase cycle.</w:t>
      </w:r>
    </w:p>
    <w:p>
      <w:pPr>
        <w:pStyle w:val="ListParagraph"/>
        <w:numPr>
          <w:ilvl w:val="0"/>
          <w:numId w:val="15"/>
        </w:numPr>
        <w:tabs>
          <w:tab w:pos="598" w:val="left" w:leader="none"/>
          <w:tab w:pos="599" w:val="left" w:leader="none"/>
        </w:tabs>
        <w:spacing w:line="240" w:lineRule="auto" w:before="34" w:after="0"/>
        <w:ind w:left="598" w:right="477" w:hanging="360"/>
        <w:jc w:val="left"/>
        <w:rPr>
          <w:sz w:val="20"/>
        </w:rPr>
      </w:pPr>
      <w:r>
        <w:rPr>
          <w:sz w:val="20"/>
        </w:rPr>
        <w:t>Mass erase is invoked if specified in the </w:t>
      </w:r>
      <w:r>
        <w:rPr>
          <w:rFonts w:ascii="Times New Roman" w:hAnsi="Times New Roman"/>
          <w:i/>
          <w:sz w:val="20"/>
        </w:rPr>
        <w:t>SFMM (I/O RAM 0x2080) </w:t>
      </w:r>
      <w:r>
        <w:rPr>
          <w:sz w:val="20"/>
        </w:rPr>
        <w:t>register (see Invoking SFM, above). The </w:t>
      </w:r>
      <w:r>
        <w:rPr>
          <w:rFonts w:ascii="Times New Roman" w:hAnsi="Times New Roman"/>
          <w:i/>
          <w:sz w:val="20"/>
        </w:rPr>
        <w:t>SECURE </w:t>
      </w:r>
      <w:r>
        <w:rPr>
          <w:sz w:val="20"/>
        </w:rPr>
        <w:t>bit (</w:t>
      </w:r>
      <w:r>
        <w:rPr>
          <w:rFonts w:ascii="Times New Roman" w:hAnsi="Times New Roman"/>
          <w:i/>
          <w:sz w:val="20"/>
        </w:rPr>
        <w:t>SFR 0xB2[6]</w:t>
      </w:r>
      <w:r>
        <w:rPr>
          <w:sz w:val="20"/>
        </w:rPr>
        <w:t>) is cleared at the end of this and all Mass Erase</w:t>
      </w:r>
      <w:r>
        <w:rPr>
          <w:spacing w:val="-8"/>
          <w:sz w:val="20"/>
        </w:rPr>
        <w:t> </w:t>
      </w:r>
      <w:r>
        <w:rPr>
          <w:sz w:val="20"/>
        </w:rPr>
        <w:t>cycles.</w:t>
      </w:r>
    </w:p>
    <w:p>
      <w:pPr>
        <w:pStyle w:val="ListParagraph"/>
        <w:numPr>
          <w:ilvl w:val="0"/>
          <w:numId w:val="15"/>
        </w:numPr>
        <w:tabs>
          <w:tab w:pos="598" w:val="left" w:leader="none"/>
          <w:tab w:pos="599" w:val="left" w:leader="none"/>
        </w:tabs>
        <w:spacing w:line="240" w:lineRule="auto" w:before="45" w:after="0"/>
        <w:ind w:left="598" w:right="0" w:hanging="361"/>
        <w:jc w:val="left"/>
        <w:rPr>
          <w:sz w:val="20"/>
        </w:rPr>
      </w:pPr>
      <w:r>
        <w:rPr>
          <w:sz w:val="20"/>
        </w:rPr>
        <w:t>All SPI read and write operations now refer to Flash instead of XRAM</w:t>
      </w:r>
      <w:r>
        <w:rPr>
          <w:spacing w:val="-9"/>
          <w:sz w:val="20"/>
        </w:rPr>
        <w:t> </w:t>
      </w:r>
      <w:r>
        <w:rPr>
          <w:sz w:val="20"/>
        </w:rPr>
        <w:t>space.</w:t>
      </w:r>
    </w:p>
    <w:p>
      <w:pPr>
        <w:pStyle w:val="BodyText"/>
        <w:spacing w:before="116"/>
        <w:ind w:left="238" w:right="368"/>
      </w:pPr>
      <w:r>
        <w:rPr/>
        <w:t>The SPI host can access the current state of the pending multi-cycle Flash access by performing a 4-byte SPI write of any address and checking the status field.</w:t>
      </w:r>
    </w:p>
    <w:p>
      <w:pPr>
        <w:pStyle w:val="BodyText"/>
        <w:spacing w:before="121"/>
        <w:ind w:left="238" w:right="679"/>
        <w:jc w:val="both"/>
      </w:pPr>
      <w:r>
        <w:rPr/>
        <w:t>All SPI write operations in SFM mode must be 6-byte write transactions that write two bytes to an even address. The write transactions must contain a command byte of 0x00 which is the form that does not create an MPU interrupt. Auto incrementing is disabled for write operations.</w:t>
      </w:r>
    </w:p>
    <w:p>
      <w:pPr>
        <w:pStyle w:val="BodyText"/>
        <w:spacing w:before="119"/>
        <w:ind w:left="238" w:right="401"/>
      </w:pPr>
      <w:r>
        <w:rPr/>
        <w:t>SPI read transactions can make use of auto increment and may access single bytes. The command byte must always be 0x80 in SFM read transactions.</w:t>
      </w:r>
    </w:p>
    <w:p>
      <w:pPr>
        <w:spacing w:before="119"/>
        <w:ind w:left="238" w:right="0" w:firstLine="0"/>
        <w:jc w:val="both"/>
        <w:rPr>
          <w:b/>
          <w:sz w:val="20"/>
        </w:rPr>
      </w:pPr>
      <w:r>
        <w:rPr>
          <w:b/>
          <w:sz w:val="20"/>
        </w:rPr>
        <w:t>SPI commands in SFM</w:t>
      </w:r>
    </w:p>
    <w:p>
      <w:pPr>
        <w:pStyle w:val="BodyText"/>
        <w:spacing w:before="123"/>
        <w:ind w:left="238" w:right="401" w:hanging="1"/>
        <w:rPr>
          <w:b/>
        </w:rPr>
      </w:pPr>
      <w:r>
        <w:rPr>
          <w:spacing w:val="-3"/>
        </w:rPr>
        <w:t>Interrupts</w:t>
      </w:r>
      <w:r>
        <w:rPr>
          <w:spacing w:val="-8"/>
        </w:rPr>
        <w:t> </w:t>
      </w:r>
      <w:r>
        <w:rPr/>
        <w:t>are</w:t>
      </w:r>
      <w:r>
        <w:rPr>
          <w:spacing w:val="-9"/>
        </w:rPr>
        <w:t> </w:t>
      </w:r>
      <w:r>
        <w:rPr/>
        <w:t>not</w:t>
      </w:r>
      <w:r>
        <w:rPr>
          <w:spacing w:val="-12"/>
        </w:rPr>
        <w:t> </w:t>
      </w:r>
      <w:r>
        <w:rPr/>
        <w:t>generated</w:t>
      </w:r>
      <w:r>
        <w:rPr>
          <w:spacing w:val="-10"/>
        </w:rPr>
        <w:t> </w:t>
      </w:r>
      <w:r>
        <w:rPr/>
        <w:t>in</w:t>
      </w:r>
      <w:r>
        <w:rPr>
          <w:spacing w:val="-9"/>
        </w:rPr>
        <w:t> </w:t>
      </w:r>
      <w:r>
        <w:rPr>
          <w:spacing w:val="-2"/>
        </w:rPr>
        <w:t>SFM</w:t>
      </w:r>
      <w:r>
        <w:rPr>
          <w:spacing w:val="-10"/>
        </w:rPr>
        <w:t> </w:t>
      </w:r>
      <w:r>
        <w:rPr/>
        <w:t>since</w:t>
      </w:r>
      <w:r>
        <w:rPr>
          <w:spacing w:val="-10"/>
        </w:rPr>
        <w:t> </w:t>
      </w:r>
      <w:r>
        <w:rPr/>
        <w:t>the</w:t>
      </w:r>
      <w:r>
        <w:rPr>
          <w:spacing w:val="-10"/>
        </w:rPr>
        <w:t> </w:t>
      </w:r>
      <w:r>
        <w:rPr/>
        <w:t>MPU</w:t>
      </w:r>
      <w:r>
        <w:rPr>
          <w:spacing w:val="-9"/>
        </w:rPr>
        <w:t> </w:t>
      </w:r>
      <w:r>
        <w:rPr/>
        <w:t>is</w:t>
      </w:r>
      <w:r>
        <w:rPr>
          <w:spacing w:val="-9"/>
        </w:rPr>
        <w:t> </w:t>
      </w:r>
      <w:r>
        <w:rPr/>
        <w:t>halted.</w:t>
      </w:r>
      <w:r>
        <w:rPr>
          <w:spacing w:val="37"/>
        </w:rPr>
        <w:t> </w:t>
      </w:r>
      <w:r>
        <w:rPr/>
        <w:t>The</w:t>
      </w:r>
      <w:r>
        <w:rPr>
          <w:spacing w:val="-11"/>
        </w:rPr>
        <w:t> </w:t>
      </w:r>
      <w:r>
        <w:rPr/>
        <w:t>format</w:t>
      </w:r>
      <w:r>
        <w:rPr>
          <w:spacing w:val="-12"/>
        </w:rPr>
        <w:t> </w:t>
      </w:r>
      <w:r>
        <w:rPr/>
        <w:t>of</w:t>
      </w:r>
      <w:r>
        <w:rPr>
          <w:spacing w:val="-9"/>
        </w:rPr>
        <w:t> </w:t>
      </w:r>
      <w:r>
        <w:rPr/>
        <w:t>the</w:t>
      </w:r>
      <w:r>
        <w:rPr>
          <w:spacing w:val="-11"/>
        </w:rPr>
        <w:t> </w:t>
      </w:r>
      <w:r>
        <w:rPr/>
        <w:t>commands</w:t>
      </w:r>
      <w:r>
        <w:rPr>
          <w:spacing w:val="-10"/>
        </w:rPr>
        <w:t> </w:t>
      </w:r>
      <w:r>
        <w:rPr/>
        <w:t>is</w:t>
      </w:r>
      <w:r>
        <w:rPr>
          <w:spacing w:val="-10"/>
        </w:rPr>
        <w:t> </w:t>
      </w:r>
      <w:r>
        <w:rPr/>
        <w:t>shown</w:t>
      </w:r>
      <w:r>
        <w:rPr>
          <w:spacing w:val="-8"/>
        </w:rPr>
        <w:t> </w:t>
      </w:r>
      <w:r>
        <w:rPr/>
        <w:t>in</w:t>
      </w:r>
      <w:r>
        <w:rPr>
          <w:spacing w:val="-7"/>
        </w:rPr>
        <w:t> </w:t>
      </w:r>
      <w:r>
        <w:rPr/>
        <w:t>the </w:t>
      </w:r>
      <w:hyperlink w:history="true" w:anchor="_bookmark139">
        <w:r>
          <w:rPr>
            <w:color w:val="0000FF"/>
          </w:rPr>
          <w:t>SPI Transactions </w:t>
        </w:r>
      </w:hyperlink>
      <w:r>
        <w:rPr/>
        <w:t>description on Page </w:t>
      </w:r>
      <w:hyperlink w:history="true" w:anchor="_bookmark139">
        <w:r>
          <w:rPr>
            <w:color w:val="0000FF"/>
          </w:rPr>
          <w:t>68</w:t>
        </w:r>
        <w:r>
          <w:rPr/>
          <w:t>.</w:t>
        </w:r>
      </w:hyperlink>
      <w:hyperlink w:history="true" w:anchor="_bookmark139">
        <w:r>
          <w:rPr>
            <w:b/>
          </w:rPr>
          <w:t>SPI</w:t>
        </w:r>
        <w:r>
          <w:rPr>
            <w:b/>
            <w:spacing w:val="-4"/>
          </w:rPr>
          <w:t> </w:t>
        </w:r>
        <w:r>
          <w:rPr>
            <w:b/>
          </w:rPr>
          <w:t>Transactions</w:t>
        </w:r>
      </w:hyperlink>
    </w:p>
    <w:p>
      <w:pPr>
        <w:pStyle w:val="BodyText"/>
        <w:spacing w:before="7"/>
        <w:rPr>
          <w:b/>
          <w:sz w:val="19"/>
        </w:rPr>
      </w:pPr>
    </w:p>
    <w:p>
      <w:pPr>
        <w:pStyle w:val="ListParagraph"/>
        <w:numPr>
          <w:ilvl w:val="2"/>
          <w:numId w:val="7"/>
        </w:numPr>
        <w:tabs>
          <w:tab w:pos="961" w:val="left" w:leader="none"/>
        </w:tabs>
        <w:spacing w:line="240" w:lineRule="auto" w:before="0" w:after="0"/>
        <w:ind w:left="960" w:right="0" w:hanging="721"/>
        <w:jc w:val="left"/>
        <w:rPr>
          <w:b/>
          <w:sz w:val="22"/>
        </w:rPr>
      </w:pPr>
      <w:bookmarkStart w:name="2.5.13 Hardware Watchdog Timer" w:id="285"/>
      <w:bookmarkEnd w:id="285"/>
      <w:r>
        <w:rPr/>
      </w:r>
      <w:bookmarkStart w:name="_bookmark144" w:id="286"/>
      <w:bookmarkEnd w:id="286"/>
      <w:r>
        <w:rPr/>
      </w:r>
      <w:bookmarkStart w:name="_bookmark144" w:id="287"/>
      <w:bookmarkEnd w:id="287"/>
      <w:r>
        <w:rPr>
          <w:b/>
          <w:sz w:val="22"/>
        </w:rPr>
        <w:t>H</w:t>
      </w:r>
      <w:r>
        <w:rPr>
          <w:b/>
          <w:sz w:val="22"/>
        </w:rPr>
        <w:t>ardware Watchdog</w:t>
      </w:r>
      <w:r>
        <w:rPr>
          <w:b/>
          <w:spacing w:val="-3"/>
          <w:sz w:val="22"/>
        </w:rPr>
        <w:t> </w:t>
      </w:r>
      <w:r>
        <w:rPr>
          <w:b/>
          <w:sz w:val="22"/>
        </w:rPr>
        <w:t>Timer</w:t>
      </w:r>
    </w:p>
    <w:p>
      <w:pPr>
        <w:pStyle w:val="BodyText"/>
        <w:spacing w:before="123"/>
        <w:ind w:left="240" w:right="401" w:hanging="1"/>
      </w:pPr>
      <w:r>
        <w:rPr/>
        <w:t>An independent, robust, fixed-duration, watchdog timer (WDT) is included in the 71M6543. It uses the RTC crystal oscillator as its time base and must be refreshed by the MPU firmware at least every</w:t>
      </w:r>
    </w:p>
    <w:p>
      <w:pPr>
        <w:pStyle w:val="BodyText"/>
        <w:ind w:left="240" w:right="429"/>
      </w:pPr>
      <w:r>
        <w:rPr/>
        <w:t>1.5 seconds. When not refreshed on time, the WDT overflows and the part is reset as if the RESET pin were pulled high, except that the I/O RAM bits are in the same state as after a wake-up from SLP or LCD modes (see the I/O RAM description in </w:t>
      </w:r>
      <w:hyperlink w:history="true" w:anchor="_bookmark211">
        <w:r>
          <w:rPr>
            <w:color w:val="0000FF"/>
          </w:rPr>
          <w:t>5.2 </w:t>
        </w:r>
      </w:hyperlink>
      <w:r>
        <w:rPr/>
        <w:t>for a list of I/O RAM bit states after RESET and wake-up). Four thousand, one hundred CK32 cycles (or 125 ms) after the WDT overflow, the MPU is launched from program address 0x0000.</w:t>
      </w:r>
    </w:p>
    <w:p>
      <w:pPr>
        <w:pStyle w:val="BodyText"/>
        <w:spacing w:before="119"/>
        <w:ind w:left="240" w:right="741"/>
        <w:jc w:val="both"/>
      </w:pPr>
      <w:r>
        <w:rPr/>
        <w:t>The watchdog timer is also reset when the internal signal WAKE=0 (see </w:t>
      </w:r>
      <w:hyperlink w:history="true" w:anchor="_bookmark163">
        <w:r>
          <w:rPr>
            <w:color w:val="0000FF"/>
          </w:rPr>
          <w:t>3.4 </w:t>
        </w:r>
      </w:hyperlink>
      <w:hyperlink w:history="true" w:anchor="_bookmark163">
        <w:r>
          <w:rPr>
            <w:color w:val="0000FF"/>
          </w:rPr>
          <w:t>Wake-Up Behavior</w:t>
        </w:r>
      </w:hyperlink>
      <w:r>
        <w:rPr/>
        <w:t>). The WDT is disabled when the ICE_E pin is pulled high.</w:t>
      </w:r>
    </w:p>
    <w:p>
      <w:pPr>
        <w:pStyle w:val="BodyText"/>
        <w:spacing w:before="121"/>
        <w:ind w:left="240"/>
        <w:jc w:val="both"/>
      </w:pPr>
      <w:r>
        <w:rPr/>
        <w:t>For details, see </w:t>
      </w:r>
      <w:hyperlink w:history="true" w:anchor="_bookmark162">
        <w:r>
          <w:rPr>
            <w:color w:val="0000FF"/>
          </w:rPr>
          <w:t>3.3.4 </w:t>
        </w:r>
      </w:hyperlink>
      <w:hyperlink w:history="true" w:anchor="_bookmark162">
        <w:r>
          <w:rPr>
            <w:color w:val="0000FF"/>
          </w:rPr>
          <w:t>Watchdog Timer (WDT) Reset</w:t>
        </w:r>
        <w:r>
          <w:rPr/>
          <w:t>.</w:t>
        </w:r>
      </w:hyperlink>
    </w:p>
    <w:p>
      <w:pPr>
        <w:spacing w:after="0"/>
        <w:jc w:val="both"/>
        <w:sectPr>
          <w:pgSz w:w="12240" w:h="15840"/>
          <w:pgMar w:header="727" w:footer="819" w:top="960" w:bottom="1000" w:left="1200" w:right="1060"/>
        </w:sectPr>
      </w:pPr>
    </w:p>
    <w:p>
      <w:pPr>
        <w:pStyle w:val="BodyText"/>
        <w:spacing w:before="5"/>
        <w:rPr>
          <w:sz w:val="16"/>
        </w:rPr>
      </w:pPr>
    </w:p>
    <w:p>
      <w:pPr>
        <w:pStyle w:val="ListParagraph"/>
        <w:numPr>
          <w:ilvl w:val="2"/>
          <w:numId w:val="7"/>
        </w:numPr>
        <w:tabs>
          <w:tab w:pos="961" w:val="left" w:leader="none"/>
        </w:tabs>
        <w:spacing w:line="240" w:lineRule="auto" w:before="94" w:after="0"/>
        <w:ind w:left="960" w:right="0" w:hanging="721"/>
        <w:jc w:val="left"/>
        <w:rPr>
          <w:b/>
          <w:sz w:val="22"/>
        </w:rPr>
      </w:pPr>
      <w:bookmarkStart w:name="2.5.14 Test Ports (TMUXOUT and TMUX2OUT " w:id="288"/>
      <w:bookmarkEnd w:id="288"/>
      <w:r>
        <w:rPr/>
      </w:r>
      <w:bookmarkStart w:name="_bookmark145" w:id="289"/>
      <w:bookmarkEnd w:id="289"/>
      <w:r>
        <w:rPr/>
      </w:r>
      <w:bookmarkStart w:name="_bookmark145" w:id="290"/>
      <w:bookmarkEnd w:id="290"/>
      <w:r>
        <w:rPr>
          <w:b/>
          <w:sz w:val="22"/>
        </w:rPr>
        <w:t>T</w:t>
      </w:r>
      <w:r>
        <w:rPr>
          <w:b/>
          <w:sz w:val="22"/>
        </w:rPr>
        <w:t>est Ports (TMUXOUT and TMUX2OUT</w:t>
      </w:r>
      <w:r>
        <w:rPr>
          <w:b/>
          <w:spacing w:val="-5"/>
          <w:sz w:val="22"/>
        </w:rPr>
        <w:t> </w:t>
      </w:r>
      <w:r>
        <w:rPr>
          <w:b/>
          <w:sz w:val="22"/>
        </w:rPr>
        <w:t>Pins)</w:t>
      </w:r>
    </w:p>
    <w:p>
      <w:pPr>
        <w:spacing w:before="121"/>
        <w:ind w:left="240" w:right="453" w:firstLine="0"/>
        <w:jc w:val="both"/>
        <w:rPr>
          <w:sz w:val="20"/>
        </w:rPr>
      </w:pPr>
      <w:r>
        <w:rPr>
          <w:sz w:val="20"/>
        </w:rPr>
        <w:t>Two independent multiplexers allow the selection of internal analog and digital signals for the TMUXOUT and </w:t>
      </w:r>
      <w:r>
        <w:rPr>
          <w:spacing w:val="-3"/>
          <w:sz w:val="20"/>
        </w:rPr>
        <w:t>TMUX2OUT pins. These pins </w:t>
      </w:r>
      <w:r>
        <w:rPr>
          <w:sz w:val="20"/>
        </w:rPr>
        <w:t>are </w:t>
      </w:r>
      <w:r>
        <w:rPr>
          <w:spacing w:val="-3"/>
          <w:sz w:val="20"/>
        </w:rPr>
        <w:t>multiplexed with </w:t>
      </w:r>
      <w:r>
        <w:rPr>
          <w:sz w:val="20"/>
        </w:rPr>
        <w:t>the </w:t>
      </w:r>
      <w:r>
        <w:rPr>
          <w:spacing w:val="-3"/>
          <w:sz w:val="20"/>
        </w:rPr>
        <w:t>SEG47 </w:t>
      </w:r>
      <w:r>
        <w:rPr>
          <w:sz w:val="20"/>
        </w:rPr>
        <w:t>and </w:t>
      </w:r>
      <w:r>
        <w:rPr>
          <w:spacing w:val="-3"/>
          <w:sz w:val="20"/>
        </w:rPr>
        <w:t>SEG46 function. </w:t>
      </w:r>
      <w:r>
        <w:rPr>
          <w:sz w:val="20"/>
        </w:rPr>
        <w:t>In </w:t>
      </w:r>
      <w:r>
        <w:rPr>
          <w:spacing w:val="-3"/>
          <w:sz w:val="20"/>
        </w:rPr>
        <w:t>order </w:t>
      </w:r>
      <w:r>
        <w:rPr>
          <w:sz w:val="20"/>
        </w:rPr>
        <w:t>to </w:t>
      </w:r>
      <w:r>
        <w:rPr>
          <w:spacing w:val="-3"/>
          <w:sz w:val="20"/>
        </w:rPr>
        <w:t>function </w:t>
      </w:r>
      <w:r>
        <w:rPr>
          <w:sz w:val="20"/>
        </w:rPr>
        <w:t>as test pins, </w:t>
      </w:r>
      <w:r>
        <w:rPr>
          <w:rFonts w:ascii="Times New Roman"/>
          <w:i/>
          <w:sz w:val="20"/>
        </w:rPr>
        <w:t>LCD_MAP[46] </w:t>
      </w:r>
      <w:r>
        <w:rPr>
          <w:sz w:val="20"/>
        </w:rPr>
        <w:t>(</w:t>
      </w:r>
      <w:r>
        <w:rPr>
          <w:rFonts w:ascii="Times New Roman"/>
          <w:i/>
          <w:sz w:val="20"/>
        </w:rPr>
        <w:t>I/O RAM 0x2406[6]) </w:t>
      </w:r>
      <w:r>
        <w:rPr>
          <w:sz w:val="20"/>
        </w:rPr>
        <w:t>and </w:t>
      </w:r>
      <w:r>
        <w:rPr>
          <w:rFonts w:ascii="Times New Roman"/>
          <w:i/>
          <w:sz w:val="20"/>
        </w:rPr>
        <w:t>LCD_MAP[47] </w:t>
      </w:r>
      <w:r>
        <w:rPr>
          <w:sz w:val="20"/>
        </w:rPr>
        <w:t>(</w:t>
      </w:r>
      <w:r>
        <w:rPr>
          <w:rFonts w:ascii="Times New Roman"/>
          <w:i/>
          <w:sz w:val="20"/>
        </w:rPr>
        <w:t>I/O RAM 0x2406[7]</w:t>
      </w:r>
      <w:r>
        <w:rPr>
          <w:sz w:val="20"/>
        </w:rPr>
        <w:t>) must be 0.</w:t>
      </w:r>
    </w:p>
    <w:p>
      <w:pPr>
        <w:pStyle w:val="BodyText"/>
        <w:spacing w:before="120"/>
        <w:ind w:left="239" w:right="379"/>
      </w:pPr>
      <w:r>
        <w:rPr/>
        <w:t>One of the digital or analog signals listed in </w:t>
      </w:r>
      <w:hyperlink w:history="true" w:anchor="_bookmark147">
        <w:r>
          <w:rPr/>
          <w:t>Table 60 </w:t>
        </w:r>
      </w:hyperlink>
      <w:r>
        <w:rPr/>
        <w:t>can be selected to be output on the TMUXOUT pin. The function of the multiplexer is controlled with the I/O RAM register </w:t>
      </w:r>
      <w:r>
        <w:rPr>
          <w:rFonts w:ascii="Times New Roman"/>
          <w:i/>
        </w:rPr>
        <w:t>TMUX[4:0] (I/O RAM 0x2502[4:0]</w:t>
      </w:r>
      <w:r>
        <w:rPr/>
        <w:t>, as shown in </w:t>
      </w:r>
      <w:hyperlink w:history="true" w:anchor="_bookmark146">
        <w:r>
          <w:rPr>
            <w:color w:val="0000FF"/>
          </w:rPr>
          <w:t>Table 59</w:t>
        </w:r>
        <w:r>
          <w:rPr/>
          <w:t>.</w:t>
        </w:r>
      </w:hyperlink>
    </w:p>
    <w:p>
      <w:pPr>
        <w:pStyle w:val="BodyText"/>
        <w:spacing w:before="121"/>
        <w:ind w:left="239" w:right="368"/>
      </w:pPr>
      <w:r>
        <w:rPr/>
        <w:t>One</w:t>
      </w:r>
      <w:r>
        <w:rPr>
          <w:spacing w:val="-4"/>
        </w:rPr>
        <w:t> </w:t>
      </w:r>
      <w:r>
        <w:rPr/>
        <w:t>of</w:t>
      </w:r>
      <w:r>
        <w:rPr>
          <w:spacing w:val="-1"/>
        </w:rPr>
        <w:t> </w:t>
      </w:r>
      <w:r>
        <w:rPr/>
        <w:t>the</w:t>
      </w:r>
      <w:r>
        <w:rPr>
          <w:spacing w:val="-1"/>
        </w:rPr>
        <w:t> </w:t>
      </w:r>
      <w:r>
        <w:rPr/>
        <w:t>digital</w:t>
      </w:r>
      <w:r>
        <w:rPr>
          <w:spacing w:val="-3"/>
        </w:rPr>
        <w:t> </w:t>
      </w:r>
      <w:r>
        <w:rPr/>
        <w:t>or</w:t>
      </w:r>
      <w:r>
        <w:rPr>
          <w:spacing w:val="-2"/>
        </w:rPr>
        <w:t> </w:t>
      </w:r>
      <w:r>
        <w:rPr/>
        <w:t>analog</w:t>
      </w:r>
      <w:r>
        <w:rPr>
          <w:spacing w:val="-1"/>
        </w:rPr>
        <w:t> </w:t>
      </w:r>
      <w:r>
        <w:rPr/>
        <w:t>signals</w:t>
      </w:r>
      <w:r>
        <w:rPr>
          <w:spacing w:val="-3"/>
        </w:rPr>
        <w:t> </w:t>
      </w:r>
      <w:r>
        <w:rPr/>
        <w:t>listed</w:t>
      </w:r>
      <w:r>
        <w:rPr>
          <w:spacing w:val="-1"/>
        </w:rPr>
        <w:t> </w:t>
      </w:r>
      <w:r>
        <w:rPr/>
        <w:t>in</w:t>
      </w:r>
      <w:r>
        <w:rPr>
          <w:spacing w:val="-3"/>
        </w:rPr>
        <w:t> </w:t>
      </w:r>
      <w:hyperlink w:history="true" w:anchor="_bookmark147">
        <w:r>
          <w:rPr/>
          <w:t>Table</w:t>
        </w:r>
        <w:r>
          <w:rPr>
            <w:spacing w:val="-3"/>
          </w:rPr>
          <w:t> </w:t>
        </w:r>
        <w:r>
          <w:rPr/>
          <w:t>60</w:t>
        </w:r>
        <w:r>
          <w:rPr>
            <w:spacing w:val="-3"/>
          </w:rPr>
          <w:t> </w:t>
        </w:r>
      </w:hyperlink>
      <w:r>
        <w:rPr/>
        <w:t>can</w:t>
      </w:r>
      <w:r>
        <w:rPr>
          <w:spacing w:val="-3"/>
        </w:rPr>
        <w:t> </w:t>
      </w:r>
      <w:r>
        <w:rPr/>
        <w:t>be</w:t>
      </w:r>
      <w:r>
        <w:rPr>
          <w:spacing w:val="-3"/>
        </w:rPr>
        <w:t> </w:t>
      </w:r>
      <w:r>
        <w:rPr/>
        <w:t>selected</w:t>
      </w:r>
      <w:r>
        <w:rPr>
          <w:spacing w:val="-4"/>
        </w:rPr>
        <w:t> </w:t>
      </w:r>
      <w:r>
        <w:rPr/>
        <w:t>to</w:t>
      </w:r>
      <w:r>
        <w:rPr>
          <w:spacing w:val="-3"/>
        </w:rPr>
        <w:t> </w:t>
      </w:r>
      <w:r>
        <w:rPr/>
        <w:t>be</w:t>
      </w:r>
      <w:r>
        <w:rPr>
          <w:spacing w:val="-3"/>
        </w:rPr>
        <w:t> </w:t>
      </w:r>
      <w:r>
        <w:rPr/>
        <w:t>output</w:t>
      </w:r>
      <w:r>
        <w:rPr>
          <w:spacing w:val="-2"/>
        </w:rPr>
        <w:t> </w:t>
      </w:r>
      <w:r>
        <w:rPr/>
        <w:t>on</w:t>
      </w:r>
      <w:r>
        <w:rPr>
          <w:spacing w:val="-3"/>
        </w:rPr>
        <w:t> </w:t>
      </w:r>
      <w:r>
        <w:rPr/>
        <w:t>the</w:t>
      </w:r>
      <w:r>
        <w:rPr>
          <w:spacing w:val="-3"/>
        </w:rPr>
        <w:t> </w:t>
      </w:r>
      <w:r>
        <w:rPr/>
        <w:t>TMUX2OUT</w:t>
      </w:r>
      <w:r>
        <w:rPr>
          <w:spacing w:val="-1"/>
        </w:rPr>
        <w:t> </w:t>
      </w:r>
      <w:r>
        <w:rPr/>
        <w:t>pin. The</w:t>
      </w:r>
      <w:r>
        <w:rPr>
          <w:spacing w:val="-16"/>
        </w:rPr>
        <w:t> </w:t>
      </w:r>
      <w:r>
        <w:rPr/>
        <w:t>function</w:t>
      </w:r>
      <w:r>
        <w:rPr>
          <w:spacing w:val="-16"/>
        </w:rPr>
        <w:t> </w:t>
      </w:r>
      <w:r>
        <w:rPr/>
        <w:t>of</w:t>
      </w:r>
      <w:r>
        <w:rPr>
          <w:spacing w:val="-13"/>
        </w:rPr>
        <w:t> </w:t>
      </w:r>
      <w:r>
        <w:rPr/>
        <w:t>the</w:t>
      </w:r>
      <w:r>
        <w:rPr>
          <w:spacing w:val="-15"/>
        </w:rPr>
        <w:t> </w:t>
      </w:r>
      <w:r>
        <w:rPr/>
        <w:t>multiplexer</w:t>
      </w:r>
      <w:r>
        <w:rPr>
          <w:spacing w:val="-14"/>
        </w:rPr>
        <w:t> </w:t>
      </w:r>
      <w:r>
        <w:rPr/>
        <w:t>is</w:t>
      </w:r>
      <w:r>
        <w:rPr>
          <w:spacing w:val="-13"/>
        </w:rPr>
        <w:t> </w:t>
      </w:r>
      <w:r>
        <w:rPr/>
        <w:t>controlled</w:t>
      </w:r>
      <w:r>
        <w:rPr>
          <w:spacing w:val="-14"/>
        </w:rPr>
        <w:t> </w:t>
      </w:r>
      <w:r>
        <w:rPr/>
        <w:t>with</w:t>
      </w:r>
      <w:r>
        <w:rPr>
          <w:spacing w:val="-16"/>
        </w:rPr>
        <w:t> </w:t>
      </w:r>
      <w:r>
        <w:rPr/>
        <w:t>the</w:t>
      </w:r>
      <w:r>
        <w:rPr>
          <w:spacing w:val="-14"/>
        </w:rPr>
        <w:t> </w:t>
      </w:r>
      <w:r>
        <w:rPr/>
        <w:t>I/O</w:t>
      </w:r>
      <w:r>
        <w:rPr>
          <w:spacing w:val="-11"/>
        </w:rPr>
        <w:t> </w:t>
      </w:r>
      <w:r>
        <w:rPr/>
        <w:t>RAM</w:t>
      </w:r>
      <w:r>
        <w:rPr>
          <w:spacing w:val="-16"/>
        </w:rPr>
        <w:t> </w:t>
      </w:r>
      <w:r>
        <w:rPr/>
        <w:t>register</w:t>
      </w:r>
      <w:r>
        <w:rPr>
          <w:spacing w:val="-12"/>
        </w:rPr>
        <w:t> </w:t>
      </w:r>
      <w:r>
        <w:rPr>
          <w:rFonts w:ascii="Times New Roman"/>
          <w:i/>
        </w:rPr>
        <w:t>TMUX2[4:0]</w:t>
      </w:r>
      <w:r>
        <w:rPr>
          <w:rFonts w:ascii="Times New Roman"/>
          <w:i/>
          <w:spacing w:val="-9"/>
        </w:rPr>
        <w:t> </w:t>
      </w:r>
      <w:r>
        <w:rPr>
          <w:rFonts w:ascii="Times New Roman"/>
          <w:i/>
          <w:spacing w:val="-3"/>
        </w:rPr>
        <w:t>(I/O</w:t>
      </w:r>
      <w:r>
        <w:rPr>
          <w:rFonts w:ascii="Times New Roman"/>
          <w:i/>
          <w:spacing w:val="-14"/>
        </w:rPr>
        <w:t> </w:t>
      </w:r>
      <w:r>
        <w:rPr>
          <w:rFonts w:ascii="Times New Roman"/>
          <w:i/>
        </w:rPr>
        <w:t>RAM</w:t>
      </w:r>
      <w:r>
        <w:rPr>
          <w:rFonts w:ascii="Times New Roman"/>
          <w:i/>
          <w:spacing w:val="-14"/>
        </w:rPr>
        <w:t> </w:t>
      </w:r>
      <w:r>
        <w:rPr>
          <w:rFonts w:ascii="Times New Roman"/>
          <w:i/>
        </w:rPr>
        <w:t>0x2503[4:0])</w:t>
      </w:r>
      <w:r>
        <w:rPr/>
        <w:t>,</w:t>
      </w:r>
      <w:r>
        <w:rPr>
          <w:spacing w:val="-16"/>
        </w:rPr>
        <w:t> </w:t>
      </w:r>
      <w:r>
        <w:rPr>
          <w:spacing w:val="-3"/>
        </w:rPr>
        <w:t>as </w:t>
      </w:r>
      <w:r>
        <w:rPr/>
        <w:t>shown</w:t>
      </w:r>
      <w:r>
        <w:rPr>
          <w:spacing w:val="-5"/>
        </w:rPr>
        <w:t> </w:t>
      </w:r>
      <w:r>
        <w:rPr/>
        <w:t>in</w:t>
      </w:r>
      <w:r>
        <w:rPr>
          <w:color w:val="0000FF"/>
        </w:rPr>
        <w:t>.</w:t>
      </w:r>
    </w:p>
    <w:p>
      <w:pPr>
        <w:pStyle w:val="BodyText"/>
        <w:spacing w:before="121"/>
        <w:ind w:left="810" w:right="768"/>
      </w:pPr>
      <w:r>
        <w:rPr/>
        <w:drawing>
          <wp:anchor distT="0" distB="0" distL="0" distR="0" allowOverlap="1" layoutInCell="1" locked="0" behindDoc="0" simplePos="0" relativeHeight="15826432">
            <wp:simplePos x="0" y="0"/>
            <wp:positionH relativeFrom="page">
              <wp:posOffset>976434</wp:posOffset>
            </wp:positionH>
            <wp:positionV relativeFrom="paragraph">
              <wp:posOffset>97520</wp:posOffset>
            </wp:positionV>
            <wp:extent cx="185615" cy="285748"/>
            <wp:effectExtent l="0" t="0" r="0" b="0"/>
            <wp:wrapNone/>
            <wp:docPr id="97" name="image64.png" descr="checkmark_-bottomheavy-60-blue"/>
            <wp:cNvGraphicFramePr>
              <a:graphicFrameLocks noChangeAspect="1"/>
            </wp:cNvGraphicFramePr>
            <a:graphic>
              <a:graphicData uri="http://schemas.openxmlformats.org/drawingml/2006/picture">
                <pic:pic>
                  <pic:nvPicPr>
                    <pic:cNvPr id="98" name="image64.png"/>
                    <pic:cNvPicPr/>
                  </pic:nvPicPr>
                  <pic:blipFill>
                    <a:blip r:embed="rId73" cstate="print"/>
                    <a:stretch>
                      <a:fillRect/>
                    </a:stretch>
                  </pic:blipFill>
                  <pic:spPr>
                    <a:xfrm>
                      <a:off x="0" y="0"/>
                      <a:ext cx="185615" cy="285748"/>
                    </a:xfrm>
                    <a:prstGeom prst="rect">
                      <a:avLst/>
                    </a:prstGeom>
                  </pic:spPr>
                </pic:pic>
              </a:graphicData>
            </a:graphic>
          </wp:anchor>
        </w:drawing>
      </w:r>
      <w:r>
        <w:rPr/>
        <w:t>The TMUX and TMUX2 I/O RAM locations are non-volatile and their contents are preserved by battery power and across resets.</w:t>
      </w:r>
    </w:p>
    <w:p>
      <w:pPr>
        <w:pStyle w:val="BodyText"/>
        <w:spacing w:before="10"/>
        <w:rPr>
          <w:sz w:val="19"/>
        </w:rPr>
      </w:pPr>
    </w:p>
    <w:p>
      <w:pPr>
        <w:pStyle w:val="BodyText"/>
        <w:ind w:left="239" w:right="490"/>
      </w:pPr>
      <w:r>
        <w:rPr/>
        <w:t>The TMUXOUT and TMUX2OUT pins may be used for diagnosis purposes or in production test. The RTC 1-second output may be used to calibrate the crystal oscillator. The RTC 4-second output provides even higher precision.</w:t>
      </w:r>
    </w:p>
    <w:p>
      <w:pPr>
        <w:spacing w:before="121"/>
        <w:ind w:left="63" w:right="204" w:firstLine="0"/>
        <w:jc w:val="center"/>
        <w:rPr>
          <w:b/>
          <w:sz w:val="20"/>
        </w:rPr>
      </w:pPr>
      <w:bookmarkStart w:name="_bookmark146" w:id="291"/>
      <w:bookmarkEnd w:id="291"/>
      <w:r>
        <w:rPr/>
      </w:r>
      <w:r>
        <w:rPr>
          <w:b/>
          <w:sz w:val="20"/>
        </w:rPr>
        <w:t>Table 59: </w:t>
      </w:r>
      <w:r>
        <w:rPr>
          <w:rFonts w:ascii="Times New Roman"/>
          <w:b/>
          <w:i/>
          <w:sz w:val="20"/>
        </w:rPr>
        <w:t>TMUX[4:0] </w:t>
      </w:r>
      <w:r>
        <w:rPr>
          <w:b/>
          <w:sz w:val="20"/>
        </w:rPr>
        <w:t>Selections</w:t>
      </w:r>
    </w:p>
    <w:p>
      <w:pPr>
        <w:pStyle w:val="BodyText"/>
        <w:spacing w:before="1"/>
        <w:rPr>
          <w:b/>
          <w:sz w:val="7"/>
        </w:rPr>
      </w:pPr>
    </w:p>
    <w:tbl>
      <w:tblPr>
        <w:tblW w:w="0" w:type="auto"/>
        <w:jc w:val="left"/>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4"/>
        <w:gridCol w:w="2026"/>
        <w:gridCol w:w="4846"/>
      </w:tblGrid>
      <w:tr>
        <w:trPr>
          <w:trHeight w:val="263" w:hRule="atLeast"/>
        </w:trPr>
        <w:tc>
          <w:tcPr>
            <w:tcW w:w="1294" w:type="dxa"/>
          </w:tcPr>
          <w:p>
            <w:pPr>
              <w:pStyle w:val="TableParagraph"/>
              <w:spacing w:before="37"/>
              <w:ind w:left="235" w:right="226"/>
              <w:jc w:val="center"/>
              <w:rPr>
                <w:rFonts w:ascii="Times New Roman"/>
                <w:b/>
                <w:i/>
                <w:sz w:val="16"/>
              </w:rPr>
            </w:pPr>
            <w:r>
              <w:rPr>
                <w:rFonts w:ascii="Times New Roman"/>
                <w:b/>
                <w:i/>
                <w:sz w:val="16"/>
              </w:rPr>
              <w:t>TMUX[5:0]</w:t>
            </w:r>
          </w:p>
        </w:tc>
        <w:tc>
          <w:tcPr>
            <w:tcW w:w="2026" w:type="dxa"/>
          </w:tcPr>
          <w:p>
            <w:pPr>
              <w:pStyle w:val="TableParagraph"/>
              <w:spacing w:before="32"/>
              <w:ind w:left="107"/>
              <w:rPr>
                <w:b/>
                <w:sz w:val="16"/>
              </w:rPr>
            </w:pPr>
            <w:r>
              <w:rPr>
                <w:b/>
                <w:sz w:val="16"/>
              </w:rPr>
              <w:t>Signal Name</w:t>
            </w:r>
          </w:p>
        </w:tc>
        <w:tc>
          <w:tcPr>
            <w:tcW w:w="4846" w:type="dxa"/>
          </w:tcPr>
          <w:p>
            <w:pPr>
              <w:pStyle w:val="TableParagraph"/>
              <w:spacing w:before="32"/>
              <w:ind w:left="107"/>
              <w:rPr>
                <w:b/>
                <w:sz w:val="16"/>
              </w:rPr>
            </w:pPr>
            <w:r>
              <w:rPr>
                <w:b/>
                <w:sz w:val="16"/>
              </w:rPr>
              <w:t>Description</w:t>
            </w:r>
          </w:p>
        </w:tc>
      </w:tr>
      <w:tr>
        <w:trPr>
          <w:trHeight w:val="225" w:hRule="atLeast"/>
        </w:trPr>
        <w:tc>
          <w:tcPr>
            <w:tcW w:w="1294" w:type="dxa"/>
          </w:tcPr>
          <w:p>
            <w:pPr>
              <w:pStyle w:val="TableParagraph"/>
              <w:spacing w:before="20"/>
              <w:ind w:left="9"/>
              <w:jc w:val="center"/>
              <w:rPr>
                <w:sz w:val="16"/>
              </w:rPr>
            </w:pPr>
            <w:r>
              <w:rPr>
                <w:w w:val="100"/>
                <w:sz w:val="16"/>
              </w:rPr>
              <w:t>1</w:t>
            </w:r>
          </w:p>
        </w:tc>
        <w:tc>
          <w:tcPr>
            <w:tcW w:w="2026" w:type="dxa"/>
          </w:tcPr>
          <w:p>
            <w:pPr>
              <w:pStyle w:val="TableParagraph"/>
              <w:spacing w:before="20"/>
              <w:ind w:left="107"/>
              <w:rPr>
                <w:sz w:val="16"/>
              </w:rPr>
            </w:pPr>
            <w:r>
              <w:rPr>
                <w:sz w:val="16"/>
              </w:rPr>
              <w:t>RTCLK</w:t>
            </w:r>
          </w:p>
        </w:tc>
        <w:tc>
          <w:tcPr>
            <w:tcW w:w="4846" w:type="dxa"/>
          </w:tcPr>
          <w:p>
            <w:pPr>
              <w:pStyle w:val="TableParagraph"/>
              <w:spacing w:before="20"/>
              <w:ind w:left="107"/>
              <w:rPr>
                <w:sz w:val="16"/>
              </w:rPr>
            </w:pPr>
            <w:r>
              <w:rPr>
                <w:sz w:val="16"/>
              </w:rPr>
              <w:t>32.768 kHz clock waveform</w:t>
            </w:r>
          </w:p>
        </w:tc>
      </w:tr>
      <w:tr>
        <w:trPr>
          <w:trHeight w:val="407" w:hRule="atLeast"/>
        </w:trPr>
        <w:tc>
          <w:tcPr>
            <w:tcW w:w="1294" w:type="dxa"/>
          </w:tcPr>
          <w:p>
            <w:pPr>
              <w:pStyle w:val="TableParagraph"/>
              <w:spacing w:before="109"/>
              <w:ind w:left="9"/>
              <w:jc w:val="center"/>
              <w:rPr>
                <w:sz w:val="16"/>
              </w:rPr>
            </w:pPr>
            <w:r>
              <w:rPr>
                <w:w w:val="100"/>
                <w:sz w:val="16"/>
              </w:rPr>
              <w:t>9</w:t>
            </w:r>
          </w:p>
        </w:tc>
        <w:tc>
          <w:tcPr>
            <w:tcW w:w="2026" w:type="dxa"/>
          </w:tcPr>
          <w:p>
            <w:pPr>
              <w:pStyle w:val="TableParagraph"/>
              <w:spacing w:before="109"/>
              <w:ind w:left="107"/>
              <w:rPr>
                <w:sz w:val="16"/>
              </w:rPr>
            </w:pPr>
            <w:r>
              <w:rPr>
                <w:sz w:val="16"/>
              </w:rPr>
              <w:t>WD_RST</w:t>
            </w:r>
          </w:p>
        </w:tc>
        <w:tc>
          <w:tcPr>
            <w:tcW w:w="4846" w:type="dxa"/>
          </w:tcPr>
          <w:p>
            <w:pPr>
              <w:pStyle w:val="TableParagraph"/>
              <w:spacing w:before="15"/>
              <w:ind w:left="107" w:right="271"/>
              <w:rPr>
                <w:sz w:val="16"/>
              </w:rPr>
            </w:pPr>
            <w:r>
              <w:rPr>
                <w:sz w:val="16"/>
              </w:rPr>
              <w:t>Indicates when the MPU has reset the watchdog timer. Can be monitored to determine spare time in the watchdog timer.</w:t>
            </w:r>
          </w:p>
        </w:tc>
      </w:tr>
      <w:tr>
        <w:trPr>
          <w:trHeight w:val="225" w:hRule="atLeast"/>
        </w:trPr>
        <w:tc>
          <w:tcPr>
            <w:tcW w:w="1294" w:type="dxa"/>
          </w:tcPr>
          <w:p>
            <w:pPr>
              <w:pStyle w:val="TableParagraph"/>
              <w:spacing w:before="17"/>
              <w:ind w:left="8"/>
              <w:jc w:val="center"/>
              <w:rPr>
                <w:sz w:val="16"/>
              </w:rPr>
            </w:pPr>
            <w:r>
              <w:rPr>
                <w:w w:val="100"/>
                <w:sz w:val="16"/>
              </w:rPr>
              <w:t>A</w:t>
            </w:r>
          </w:p>
        </w:tc>
        <w:tc>
          <w:tcPr>
            <w:tcW w:w="2026" w:type="dxa"/>
          </w:tcPr>
          <w:p>
            <w:pPr>
              <w:pStyle w:val="TableParagraph"/>
              <w:spacing w:before="17"/>
              <w:ind w:left="107"/>
              <w:rPr>
                <w:sz w:val="16"/>
              </w:rPr>
            </w:pPr>
            <w:r>
              <w:rPr>
                <w:sz w:val="16"/>
              </w:rPr>
              <w:t>CKMPU</w:t>
            </w:r>
          </w:p>
        </w:tc>
        <w:tc>
          <w:tcPr>
            <w:tcW w:w="4846" w:type="dxa"/>
          </w:tcPr>
          <w:p>
            <w:pPr>
              <w:pStyle w:val="TableParagraph"/>
              <w:spacing w:before="17"/>
              <w:ind w:left="107"/>
              <w:rPr>
                <w:sz w:val="16"/>
              </w:rPr>
            </w:pPr>
            <w:r>
              <w:rPr>
                <w:sz w:val="16"/>
              </w:rPr>
              <w:t>MPU clock – see </w:t>
            </w:r>
            <w:hyperlink w:history="true" w:anchor="_bookmark41">
              <w:r>
                <w:rPr>
                  <w:color w:val="0000FF"/>
                  <w:sz w:val="16"/>
                </w:rPr>
                <w:t>Table 8</w:t>
              </w:r>
            </w:hyperlink>
          </w:p>
        </w:tc>
      </w:tr>
      <w:tr>
        <w:trPr>
          <w:trHeight w:val="590" w:hRule="atLeast"/>
        </w:trPr>
        <w:tc>
          <w:tcPr>
            <w:tcW w:w="1294" w:type="dxa"/>
          </w:tcPr>
          <w:p>
            <w:pPr>
              <w:pStyle w:val="TableParagraph"/>
              <w:spacing w:before="4"/>
              <w:rPr>
                <w:b/>
                <w:sz w:val="17"/>
              </w:rPr>
            </w:pPr>
          </w:p>
          <w:p>
            <w:pPr>
              <w:pStyle w:val="TableParagraph"/>
              <w:ind w:left="7"/>
              <w:jc w:val="center"/>
              <w:rPr>
                <w:sz w:val="16"/>
              </w:rPr>
            </w:pPr>
            <w:r>
              <w:rPr>
                <w:w w:val="100"/>
                <w:sz w:val="16"/>
              </w:rPr>
              <w:t>D</w:t>
            </w:r>
          </w:p>
        </w:tc>
        <w:tc>
          <w:tcPr>
            <w:tcW w:w="2026" w:type="dxa"/>
          </w:tcPr>
          <w:p>
            <w:pPr>
              <w:pStyle w:val="TableParagraph"/>
              <w:spacing w:before="4"/>
              <w:rPr>
                <w:b/>
                <w:sz w:val="17"/>
              </w:rPr>
            </w:pPr>
          </w:p>
          <w:p>
            <w:pPr>
              <w:pStyle w:val="TableParagraph"/>
              <w:ind w:left="107"/>
              <w:rPr>
                <w:sz w:val="16"/>
              </w:rPr>
            </w:pPr>
            <w:r>
              <w:rPr>
                <w:sz w:val="16"/>
              </w:rPr>
              <w:t>V3AOK bit</w:t>
            </w:r>
          </w:p>
        </w:tc>
        <w:tc>
          <w:tcPr>
            <w:tcW w:w="4846" w:type="dxa"/>
          </w:tcPr>
          <w:p>
            <w:pPr>
              <w:pStyle w:val="TableParagraph"/>
              <w:spacing w:before="15"/>
              <w:ind w:left="107" w:right="119"/>
              <w:rPr>
                <w:sz w:val="16"/>
              </w:rPr>
            </w:pPr>
            <w:r>
              <w:rPr>
                <w:sz w:val="16"/>
              </w:rPr>
              <w:t>Indicates that the V3P3A pin voltage is ≥ 3.0 V. The V3P3A and V3P3SYS pins are expected to be tied together at the PCB level. The 71M6543 monitors the V3P3A pin voltage only.</w:t>
            </w:r>
          </w:p>
        </w:tc>
      </w:tr>
      <w:tr>
        <w:trPr>
          <w:trHeight w:val="592" w:hRule="atLeast"/>
        </w:trPr>
        <w:tc>
          <w:tcPr>
            <w:tcW w:w="1294" w:type="dxa"/>
          </w:tcPr>
          <w:p>
            <w:pPr>
              <w:pStyle w:val="TableParagraph"/>
              <w:spacing w:before="7"/>
              <w:rPr>
                <w:b/>
                <w:sz w:val="17"/>
              </w:rPr>
            </w:pPr>
          </w:p>
          <w:p>
            <w:pPr>
              <w:pStyle w:val="TableParagraph"/>
              <w:ind w:left="8"/>
              <w:jc w:val="center"/>
              <w:rPr>
                <w:sz w:val="16"/>
              </w:rPr>
            </w:pPr>
            <w:r>
              <w:rPr>
                <w:w w:val="100"/>
                <w:sz w:val="16"/>
              </w:rPr>
              <w:t>E</w:t>
            </w:r>
          </w:p>
        </w:tc>
        <w:tc>
          <w:tcPr>
            <w:tcW w:w="2026" w:type="dxa"/>
          </w:tcPr>
          <w:p>
            <w:pPr>
              <w:pStyle w:val="TableParagraph"/>
              <w:spacing w:before="7"/>
              <w:rPr>
                <w:b/>
                <w:sz w:val="17"/>
              </w:rPr>
            </w:pPr>
          </w:p>
          <w:p>
            <w:pPr>
              <w:pStyle w:val="TableParagraph"/>
              <w:ind w:left="107"/>
              <w:rPr>
                <w:sz w:val="16"/>
              </w:rPr>
            </w:pPr>
            <w:r>
              <w:rPr>
                <w:sz w:val="16"/>
              </w:rPr>
              <w:t>V3OK bit</w:t>
            </w:r>
          </w:p>
        </w:tc>
        <w:tc>
          <w:tcPr>
            <w:tcW w:w="4846" w:type="dxa"/>
          </w:tcPr>
          <w:p>
            <w:pPr>
              <w:pStyle w:val="TableParagraph"/>
              <w:spacing w:before="17"/>
              <w:ind w:left="107" w:right="119"/>
              <w:rPr>
                <w:sz w:val="16"/>
              </w:rPr>
            </w:pPr>
            <w:r>
              <w:rPr>
                <w:sz w:val="16"/>
              </w:rPr>
              <w:t>Indicates that the V3P3A pin voltage is ≥ 2.8 V. The V3P3A and V3P3SYS pins are expected to be tied together at the PCB level. The 71M654 monitors the V3P3A pin voltage only.</w:t>
            </w:r>
          </w:p>
        </w:tc>
      </w:tr>
      <w:tr>
        <w:trPr>
          <w:trHeight w:val="407" w:hRule="atLeast"/>
        </w:trPr>
        <w:tc>
          <w:tcPr>
            <w:tcW w:w="1294" w:type="dxa"/>
          </w:tcPr>
          <w:p>
            <w:pPr>
              <w:pStyle w:val="TableParagraph"/>
              <w:spacing w:before="111"/>
              <w:ind w:left="231" w:right="226"/>
              <w:jc w:val="center"/>
              <w:rPr>
                <w:sz w:val="16"/>
              </w:rPr>
            </w:pPr>
            <w:r>
              <w:rPr>
                <w:sz w:val="16"/>
              </w:rPr>
              <w:t>1B</w:t>
            </w:r>
          </w:p>
        </w:tc>
        <w:tc>
          <w:tcPr>
            <w:tcW w:w="2026" w:type="dxa"/>
          </w:tcPr>
          <w:p>
            <w:pPr>
              <w:pStyle w:val="TableParagraph"/>
              <w:spacing w:before="111"/>
              <w:ind w:left="107"/>
              <w:rPr>
                <w:sz w:val="16"/>
              </w:rPr>
            </w:pPr>
            <w:r>
              <w:rPr>
                <w:sz w:val="16"/>
              </w:rPr>
              <w:t>MUX_SYNC</w:t>
            </w:r>
          </w:p>
        </w:tc>
        <w:tc>
          <w:tcPr>
            <w:tcW w:w="4846" w:type="dxa"/>
          </w:tcPr>
          <w:p>
            <w:pPr>
              <w:pStyle w:val="TableParagraph"/>
              <w:spacing w:before="15"/>
              <w:ind w:left="107" w:right="137"/>
              <w:rPr>
                <w:sz w:val="16"/>
              </w:rPr>
            </w:pPr>
            <w:r>
              <w:rPr>
                <w:sz w:val="16"/>
              </w:rPr>
              <w:t>Internal multiplexer frame SYNC signal. See </w:t>
            </w:r>
            <w:hyperlink w:history="true" w:anchor="_bookmark11">
              <w:r>
                <w:rPr>
                  <w:color w:val="0000FF"/>
                  <w:sz w:val="16"/>
                </w:rPr>
                <w:t>Figure 4 </w:t>
              </w:r>
            </w:hyperlink>
            <w:r>
              <w:rPr>
                <w:sz w:val="16"/>
              </w:rPr>
              <w:t>and </w:t>
            </w:r>
            <w:hyperlink w:history="true" w:anchor="_bookmark12">
              <w:r>
                <w:rPr>
                  <w:color w:val="0000FF"/>
                  <w:sz w:val="16"/>
                </w:rPr>
                <w:t>Figure</w:t>
              </w:r>
            </w:hyperlink>
            <w:r>
              <w:rPr>
                <w:color w:val="0000FF"/>
                <w:sz w:val="16"/>
              </w:rPr>
              <w:t> </w:t>
            </w:r>
            <w:hyperlink w:history="true" w:anchor="_bookmark12">
              <w:r>
                <w:rPr>
                  <w:color w:val="0000FF"/>
                  <w:sz w:val="16"/>
                </w:rPr>
                <w:t>5</w:t>
              </w:r>
              <w:r>
                <w:rPr>
                  <w:sz w:val="16"/>
                </w:rPr>
                <w:t>.</w:t>
              </w:r>
            </w:hyperlink>
          </w:p>
        </w:tc>
      </w:tr>
      <w:tr>
        <w:trPr>
          <w:trHeight w:val="225" w:hRule="atLeast"/>
        </w:trPr>
        <w:tc>
          <w:tcPr>
            <w:tcW w:w="1294" w:type="dxa"/>
          </w:tcPr>
          <w:p>
            <w:pPr>
              <w:pStyle w:val="TableParagraph"/>
              <w:spacing w:before="20"/>
              <w:ind w:left="235" w:right="226"/>
              <w:jc w:val="center"/>
              <w:rPr>
                <w:sz w:val="16"/>
              </w:rPr>
            </w:pPr>
            <w:r>
              <w:rPr>
                <w:sz w:val="16"/>
              </w:rPr>
              <w:t>1C</w:t>
            </w:r>
          </w:p>
        </w:tc>
        <w:tc>
          <w:tcPr>
            <w:tcW w:w="2026" w:type="dxa"/>
          </w:tcPr>
          <w:p>
            <w:pPr>
              <w:pStyle w:val="TableParagraph"/>
              <w:spacing w:before="20"/>
              <w:ind w:left="107"/>
              <w:rPr>
                <w:sz w:val="16"/>
              </w:rPr>
            </w:pPr>
            <w:r>
              <w:rPr>
                <w:sz w:val="16"/>
              </w:rPr>
              <w:t>CE_BUSY interrupt</w:t>
            </w:r>
          </w:p>
        </w:tc>
        <w:tc>
          <w:tcPr>
            <w:tcW w:w="4846" w:type="dxa"/>
            <w:vMerge w:val="restart"/>
          </w:tcPr>
          <w:p>
            <w:pPr>
              <w:pStyle w:val="TableParagraph"/>
              <w:spacing w:before="135"/>
              <w:ind w:left="107"/>
              <w:rPr>
                <w:sz w:val="16"/>
              </w:rPr>
            </w:pPr>
            <w:r>
              <w:rPr>
                <w:sz w:val="16"/>
              </w:rPr>
              <w:t>See </w:t>
            </w:r>
            <w:hyperlink w:history="true" w:anchor="_bookmark29">
              <w:r>
                <w:rPr>
                  <w:color w:val="0000FF"/>
                  <w:sz w:val="16"/>
                </w:rPr>
                <w:t>2.3.3 </w:t>
              </w:r>
            </w:hyperlink>
            <w:r>
              <w:rPr>
                <w:sz w:val="16"/>
              </w:rPr>
              <w:t>on page </w:t>
            </w:r>
            <w:hyperlink w:history="true" w:anchor="_bookmark29">
              <w:r>
                <w:rPr>
                  <w:color w:val="0000FF"/>
                  <w:sz w:val="16"/>
                </w:rPr>
                <w:t>25 </w:t>
              </w:r>
            </w:hyperlink>
            <w:r>
              <w:rPr>
                <w:sz w:val="16"/>
              </w:rPr>
              <w:t>and </w:t>
            </w:r>
            <w:hyperlink w:history="true" w:anchor="_bookmark92">
              <w:r>
                <w:rPr>
                  <w:color w:val="0000FF"/>
                  <w:sz w:val="16"/>
                </w:rPr>
                <w:t>Figure 12 </w:t>
              </w:r>
            </w:hyperlink>
            <w:r>
              <w:rPr>
                <w:sz w:val="16"/>
              </w:rPr>
              <w:t>on page </w:t>
            </w:r>
            <w:hyperlink w:history="true" w:anchor="_bookmark92">
              <w:r>
                <w:rPr>
                  <w:color w:val="0000FF"/>
                  <w:sz w:val="16"/>
                </w:rPr>
                <w:t>45</w:t>
              </w:r>
            </w:hyperlink>
          </w:p>
        </w:tc>
      </w:tr>
      <w:tr>
        <w:trPr>
          <w:trHeight w:val="222" w:hRule="atLeast"/>
        </w:trPr>
        <w:tc>
          <w:tcPr>
            <w:tcW w:w="1294" w:type="dxa"/>
          </w:tcPr>
          <w:p>
            <w:pPr>
              <w:pStyle w:val="TableParagraph"/>
              <w:spacing w:before="17"/>
              <w:ind w:left="235" w:right="226"/>
              <w:jc w:val="center"/>
              <w:rPr>
                <w:sz w:val="16"/>
              </w:rPr>
            </w:pPr>
            <w:r>
              <w:rPr>
                <w:sz w:val="16"/>
              </w:rPr>
              <w:t>1D</w:t>
            </w:r>
          </w:p>
        </w:tc>
        <w:tc>
          <w:tcPr>
            <w:tcW w:w="2026" w:type="dxa"/>
          </w:tcPr>
          <w:p>
            <w:pPr>
              <w:pStyle w:val="TableParagraph"/>
              <w:spacing w:before="17"/>
              <w:ind w:left="107"/>
              <w:rPr>
                <w:sz w:val="16"/>
              </w:rPr>
            </w:pPr>
            <w:r>
              <w:rPr>
                <w:sz w:val="16"/>
              </w:rPr>
              <w:t>CE_XFER interrupt</w:t>
            </w:r>
          </w:p>
        </w:tc>
        <w:tc>
          <w:tcPr>
            <w:tcW w:w="4846" w:type="dxa"/>
            <w:vMerge/>
            <w:tcBorders>
              <w:top w:val="nil"/>
            </w:tcBorders>
          </w:tcPr>
          <w:p>
            <w:pPr>
              <w:rPr>
                <w:sz w:val="2"/>
                <w:szCs w:val="2"/>
              </w:rPr>
            </w:pPr>
          </w:p>
        </w:tc>
      </w:tr>
      <w:tr>
        <w:trPr>
          <w:trHeight w:val="225" w:hRule="atLeast"/>
        </w:trPr>
        <w:tc>
          <w:tcPr>
            <w:tcW w:w="1294" w:type="dxa"/>
          </w:tcPr>
          <w:p>
            <w:pPr>
              <w:pStyle w:val="TableParagraph"/>
              <w:spacing w:before="20"/>
              <w:ind w:left="231" w:right="226"/>
              <w:jc w:val="center"/>
              <w:rPr>
                <w:sz w:val="16"/>
              </w:rPr>
            </w:pPr>
            <w:r>
              <w:rPr>
                <w:sz w:val="16"/>
              </w:rPr>
              <w:t>1F</w:t>
            </w:r>
          </w:p>
        </w:tc>
        <w:tc>
          <w:tcPr>
            <w:tcW w:w="2026" w:type="dxa"/>
          </w:tcPr>
          <w:p>
            <w:pPr>
              <w:pStyle w:val="TableParagraph"/>
              <w:spacing w:before="20"/>
              <w:ind w:left="107"/>
              <w:rPr>
                <w:sz w:val="16"/>
              </w:rPr>
            </w:pPr>
            <w:r>
              <w:rPr>
                <w:sz w:val="16"/>
              </w:rPr>
              <w:t>RTM output from CE</w:t>
            </w:r>
          </w:p>
        </w:tc>
        <w:tc>
          <w:tcPr>
            <w:tcW w:w="4846" w:type="dxa"/>
          </w:tcPr>
          <w:p>
            <w:pPr>
              <w:pStyle w:val="TableParagraph"/>
              <w:spacing w:before="20"/>
              <w:ind w:left="107"/>
              <w:rPr>
                <w:sz w:val="16"/>
              </w:rPr>
            </w:pPr>
            <w:r>
              <w:rPr>
                <w:sz w:val="16"/>
              </w:rPr>
              <w:t>See </w:t>
            </w:r>
            <w:hyperlink w:history="true" w:anchor="_bookmark32">
              <w:r>
                <w:rPr>
                  <w:color w:val="0000FF"/>
                  <w:sz w:val="16"/>
                </w:rPr>
                <w:t>2.3.5 </w:t>
              </w:r>
            </w:hyperlink>
            <w:r>
              <w:rPr>
                <w:sz w:val="16"/>
              </w:rPr>
              <w:t>on page </w:t>
            </w:r>
            <w:hyperlink w:history="true" w:anchor="_bookmark32">
              <w:r>
                <w:rPr>
                  <w:color w:val="0000FF"/>
                  <w:sz w:val="16"/>
                </w:rPr>
                <w:t>26</w:t>
              </w:r>
            </w:hyperlink>
          </w:p>
        </w:tc>
      </w:tr>
      <w:tr>
        <w:trPr>
          <w:trHeight w:val="450" w:hRule="atLeast"/>
        </w:trPr>
        <w:tc>
          <w:tcPr>
            <w:tcW w:w="8166" w:type="dxa"/>
            <w:gridSpan w:val="3"/>
          </w:tcPr>
          <w:p>
            <w:pPr>
              <w:pStyle w:val="TableParagraph"/>
              <w:spacing w:before="15"/>
              <w:ind w:left="107"/>
              <w:rPr>
                <w:b/>
                <w:sz w:val="16"/>
              </w:rPr>
            </w:pPr>
            <w:r>
              <w:rPr>
                <w:b/>
                <w:sz w:val="16"/>
              </w:rPr>
              <w:t>Note:</w:t>
            </w:r>
          </w:p>
          <w:p>
            <w:pPr>
              <w:pStyle w:val="TableParagraph"/>
              <w:spacing w:before="19"/>
              <w:ind w:left="107"/>
              <w:rPr>
                <w:sz w:val="16"/>
              </w:rPr>
            </w:pPr>
            <w:r>
              <w:rPr>
                <w:sz w:val="16"/>
              </w:rPr>
              <w:t>All </w:t>
            </w:r>
            <w:r>
              <w:rPr>
                <w:rFonts w:ascii="Times New Roman"/>
                <w:i/>
                <w:sz w:val="18"/>
              </w:rPr>
              <w:t>TMUX[5:0] </w:t>
            </w:r>
            <w:r>
              <w:rPr>
                <w:sz w:val="16"/>
              </w:rPr>
              <w:t>values which are not shown are reserved.</w:t>
            </w:r>
          </w:p>
        </w:tc>
      </w:tr>
    </w:tbl>
    <w:p>
      <w:pPr>
        <w:spacing w:after="0"/>
        <w:rPr>
          <w:sz w:val="16"/>
        </w:rPr>
        <w:sectPr>
          <w:pgSz w:w="12240" w:h="15840"/>
          <w:pgMar w:header="727" w:footer="819" w:top="960" w:bottom="1000" w:left="1200" w:right="1060"/>
        </w:sectPr>
      </w:pPr>
    </w:p>
    <w:p>
      <w:pPr>
        <w:pStyle w:val="BodyText"/>
        <w:spacing w:before="8"/>
        <w:rPr>
          <w:b/>
          <w:sz w:val="16"/>
        </w:rPr>
      </w:pPr>
    </w:p>
    <w:p>
      <w:pPr>
        <w:spacing w:before="93"/>
        <w:ind w:left="62" w:right="204" w:firstLine="0"/>
        <w:jc w:val="center"/>
        <w:rPr>
          <w:b/>
          <w:sz w:val="20"/>
        </w:rPr>
      </w:pPr>
      <w:bookmarkStart w:name="_bookmark147" w:id="292"/>
      <w:bookmarkEnd w:id="292"/>
      <w:r>
        <w:rPr/>
      </w:r>
      <w:r>
        <w:rPr>
          <w:b/>
          <w:sz w:val="20"/>
        </w:rPr>
        <w:t>Table 60: </w:t>
      </w:r>
      <w:r>
        <w:rPr>
          <w:rFonts w:ascii="Times New Roman"/>
          <w:b/>
          <w:i/>
          <w:sz w:val="20"/>
        </w:rPr>
        <w:t>TMUX2[4:0] </w:t>
      </w:r>
      <w:r>
        <w:rPr>
          <w:b/>
          <w:sz w:val="20"/>
        </w:rPr>
        <w:t>Selections</w:t>
      </w:r>
    </w:p>
    <w:p>
      <w:pPr>
        <w:pStyle w:val="BodyText"/>
        <w:spacing w:before="1"/>
        <w:rPr>
          <w:b/>
          <w:sz w:val="7"/>
        </w:rPr>
      </w:pPr>
    </w:p>
    <w:tbl>
      <w:tblPr>
        <w:tblW w:w="0" w:type="auto"/>
        <w:jc w:val="left"/>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1959"/>
        <w:gridCol w:w="4901"/>
      </w:tblGrid>
      <w:tr>
        <w:trPr>
          <w:trHeight w:val="265" w:hRule="atLeast"/>
        </w:trPr>
        <w:tc>
          <w:tcPr>
            <w:tcW w:w="1325" w:type="dxa"/>
          </w:tcPr>
          <w:p>
            <w:pPr>
              <w:pStyle w:val="TableParagraph"/>
              <w:spacing w:before="40"/>
              <w:ind w:left="113" w:right="99"/>
              <w:jc w:val="center"/>
              <w:rPr>
                <w:rFonts w:ascii="Times New Roman"/>
                <w:b/>
                <w:i/>
                <w:sz w:val="16"/>
              </w:rPr>
            </w:pPr>
            <w:r>
              <w:rPr>
                <w:rFonts w:ascii="Times New Roman"/>
                <w:b/>
                <w:i/>
                <w:sz w:val="16"/>
              </w:rPr>
              <w:t>TMUX2[4:0]</w:t>
            </w:r>
          </w:p>
        </w:tc>
        <w:tc>
          <w:tcPr>
            <w:tcW w:w="1959" w:type="dxa"/>
          </w:tcPr>
          <w:p>
            <w:pPr>
              <w:pStyle w:val="TableParagraph"/>
              <w:spacing w:before="34"/>
              <w:ind w:left="107"/>
              <w:rPr>
                <w:b/>
                <w:sz w:val="16"/>
              </w:rPr>
            </w:pPr>
            <w:r>
              <w:rPr>
                <w:b/>
                <w:sz w:val="16"/>
              </w:rPr>
              <w:t>Signal Name</w:t>
            </w:r>
          </w:p>
        </w:tc>
        <w:tc>
          <w:tcPr>
            <w:tcW w:w="4901" w:type="dxa"/>
          </w:tcPr>
          <w:p>
            <w:pPr>
              <w:pStyle w:val="TableParagraph"/>
              <w:spacing w:before="34"/>
              <w:ind w:left="104"/>
              <w:rPr>
                <w:b/>
                <w:sz w:val="16"/>
              </w:rPr>
            </w:pPr>
            <w:r>
              <w:rPr>
                <w:b/>
                <w:sz w:val="16"/>
              </w:rPr>
              <w:t>Description</w:t>
            </w:r>
          </w:p>
        </w:tc>
      </w:tr>
      <w:tr>
        <w:trPr>
          <w:trHeight w:val="222" w:hRule="atLeast"/>
        </w:trPr>
        <w:tc>
          <w:tcPr>
            <w:tcW w:w="1325" w:type="dxa"/>
          </w:tcPr>
          <w:p>
            <w:pPr>
              <w:pStyle w:val="TableParagraph"/>
              <w:spacing w:before="17"/>
              <w:ind w:left="12"/>
              <w:jc w:val="center"/>
              <w:rPr>
                <w:sz w:val="16"/>
              </w:rPr>
            </w:pPr>
            <w:r>
              <w:rPr>
                <w:w w:val="100"/>
                <w:sz w:val="16"/>
              </w:rPr>
              <w:t>0</w:t>
            </w:r>
          </w:p>
        </w:tc>
        <w:tc>
          <w:tcPr>
            <w:tcW w:w="1959" w:type="dxa"/>
          </w:tcPr>
          <w:p>
            <w:pPr>
              <w:pStyle w:val="TableParagraph"/>
              <w:spacing w:before="17"/>
              <w:ind w:left="107"/>
              <w:rPr>
                <w:sz w:val="16"/>
              </w:rPr>
            </w:pPr>
            <w:r>
              <w:rPr>
                <w:sz w:val="16"/>
              </w:rPr>
              <w:t>WD_OVF</w:t>
            </w:r>
          </w:p>
        </w:tc>
        <w:tc>
          <w:tcPr>
            <w:tcW w:w="4901" w:type="dxa"/>
          </w:tcPr>
          <w:p>
            <w:pPr>
              <w:pStyle w:val="TableParagraph"/>
              <w:spacing w:before="17"/>
              <w:ind w:left="104"/>
              <w:rPr>
                <w:sz w:val="16"/>
              </w:rPr>
            </w:pPr>
            <w:r>
              <w:rPr>
                <w:sz w:val="16"/>
              </w:rPr>
              <w:t>Indicates when the watchdog timer has expired (overflowed).</w:t>
            </w:r>
          </w:p>
        </w:tc>
      </w:tr>
      <w:tr>
        <w:trPr>
          <w:trHeight w:val="777" w:hRule="atLeast"/>
        </w:trPr>
        <w:tc>
          <w:tcPr>
            <w:tcW w:w="1325" w:type="dxa"/>
          </w:tcPr>
          <w:p>
            <w:pPr>
              <w:pStyle w:val="TableParagraph"/>
              <w:spacing w:before="6"/>
              <w:rPr>
                <w:b/>
                <w:sz w:val="25"/>
              </w:rPr>
            </w:pPr>
          </w:p>
          <w:p>
            <w:pPr>
              <w:pStyle w:val="TableParagraph"/>
              <w:ind w:left="12"/>
              <w:jc w:val="center"/>
              <w:rPr>
                <w:sz w:val="16"/>
              </w:rPr>
            </w:pPr>
            <w:r>
              <w:rPr>
                <w:w w:val="100"/>
                <w:sz w:val="16"/>
              </w:rPr>
              <w:t>1</w:t>
            </w:r>
          </w:p>
        </w:tc>
        <w:tc>
          <w:tcPr>
            <w:tcW w:w="1959" w:type="dxa"/>
          </w:tcPr>
          <w:p>
            <w:pPr>
              <w:pStyle w:val="TableParagraph"/>
              <w:spacing w:before="6"/>
              <w:rPr>
                <w:b/>
                <w:sz w:val="25"/>
              </w:rPr>
            </w:pPr>
          </w:p>
          <w:p>
            <w:pPr>
              <w:pStyle w:val="TableParagraph"/>
              <w:ind w:left="107"/>
              <w:rPr>
                <w:sz w:val="16"/>
              </w:rPr>
            </w:pPr>
            <w:r>
              <w:rPr>
                <w:sz w:val="16"/>
              </w:rPr>
              <w:t>PULSE_1S</w:t>
            </w:r>
          </w:p>
        </w:tc>
        <w:tc>
          <w:tcPr>
            <w:tcW w:w="4901" w:type="dxa"/>
          </w:tcPr>
          <w:p>
            <w:pPr>
              <w:pStyle w:val="TableParagraph"/>
              <w:spacing w:before="15"/>
              <w:ind w:left="104" w:right="195"/>
              <w:rPr>
                <w:sz w:val="16"/>
              </w:rPr>
            </w:pPr>
            <w:r>
              <w:rPr>
                <w:sz w:val="16"/>
              </w:rPr>
              <w:t>One second pulse with 25% Duty Cycle. This signal can be used to measure the deviation of the RTC from an ideal 1 second interval. Multiple cycles should be averaged together to filter out jitter.</w:t>
            </w:r>
          </w:p>
        </w:tc>
      </w:tr>
      <w:tr>
        <w:trPr>
          <w:trHeight w:val="959" w:hRule="atLeast"/>
        </w:trPr>
        <w:tc>
          <w:tcPr>
            <w:tcW w:w="1325" w:type="dxa"/>
          </w:tcPr>
          <w:p>
            <w:pPr>
              <w:pStyle w:val="TableParagraph"/>
              <w:rPr>
                <w:b/>
                <w:sz w:val="18"/>
              </w:rPr>
            </w:pPr>
          </w:p>
          <w:p>
            <w:pPr>
              <w:pStyle w:val="TableParagraph"/>
              <w:spacing w:before="5"/>
              <w:rPr>
                <w:b/>
                <w:sz w:val="15"/>
              </w:rPr>
            </w:pPr>
          </w:p>
          <w:p>
            <w:pPr>
              <w:pStyle w:val="TableParagraph"/>
              <w:ind w:left="12"/>
              <w:jc w:val="center"/>
              <w:rPr>
                <w:sz w:val="16"/>
              </w:rPr>
            </w:pPr>
            <w:r>
              <w:rPr>
                <w:w w:val="100"/>
                <w:sz w:val="16"/>
              </w:rPr>
              <w:t>2</w:t>
            </w:r>
          </w:p>
        </w:tc>
        <w:tc>
          <w:tcPr>
            <w:tcW w:w="1959" w:type="dxa"/>
          </w:tcPr>
          <w:p>
            <w:pPr>
              <w:pStyle w:val="TableParagraph"/>
              <w:rPr>
                <w:b/>
                <w:sz w:val="18"/>
              </w:rPr>
            </w:pPr>
          </w:p>
          <w:p>
            <w:pPr>
              <w:pStyle w:val="TableParagraph"/>
              <w:spacing w:before="5"/>
              <w:rPr>
                <w:b/>
                <w:sz w:val="15"/>
              </w:rPr>
            </w:pPr>
          </w:p>
          <w:p>
            <w:pPr>
              <w:pStyle w:val="TableParagraph"/>
              <w:ind w:left="107"/>
              <w:rPr>
                <w:sz w:val="16"/>
              </w:rPr>
            </w:pPr>
            <w:r>
              <w:rPr>
                <w:sz w:val="16"/>
              </w:rPr>
              <w:t>PULSE_4S</w:t>
            </w:r>
          </w:p>
        </w:tc>
        <w:tc>
          <w:tcPr>
            <w:tcW w:w="4901" w:type="dxa"/>
          </w:tcPr>
          <w:p>
            <w:pPr>
              <w:pStyle w:val="TableParagraph"/>
              <w:spacing w:before="15"/>
              <w:ind w:left="104" w:right="169"/>
              <w:rPr>
                <w:sz w:val="16"/>
              </w:rPr>
            </w:pPr>
            <w:r>
              <w:rPr>
                <w:sz w:val="16"/>
              </w:rPr>
              <w:t>Four second pulse with 25% Duty Cycle. This signal can be used to measure the deviation of the RTC from an ideal 4 second interval. Multiple cycles should be averaged together to filter out jitter. The 4 second pulse provides a more precise measurement than the 1 second pulse.</w:t>
            </w:r>
          </w:p>
        </w:tc>
      </w:tr>
      <w:tr>
        <w:trPr>
          <w:trHeight w:val="222" w:hRule="atLeast"/>
        </w:trPr>
        <w:tc>
          <w:tcPr>
            <w:tcW w:w="1325" w:type="dxa"/>
          </w:tcPr>
          <w:p>
            <w:pPr>
              <w:pStyle w:val="TableParagraph"/>
              <w:spacing w:before="17"/>
              <w:ind w:left="12"/>
              <w:jc w:val="center"/>
              <w:rPr>
                <w:sz w:val="16"/>
              </w:rPr>
            </w:pPr>
            <w:r>
              <w:rPr>
                <w:w w:val="100"/>
                <w:sz w:val="16"/>
              </w:rPr>
              <w:t>3</w:t>
            </w:r>
          </w:p>
        </w:tc>
        <w:tc>
          <w:tcPr>
            <w:tcW w:w="1959" w:type="dxa"/>
          </w:tcPr>
          <w:p>
            <w:pPr>
              <w:pStyle w:val="TableParagraph"/>
              <w:spacing w:before="17"/>
              <w:ind w:left="107"/>
              <w:rPr>
                <w:sz w:val="16"/>
              </w:rPr>
            </w:pPr>
            <w:r>
              <w:rPr>
                <w:sz w:val="16"/>
              </w:rPr>
              <w:t>RTCLK</w:t>
            </w:r>
          </w:p>
        </w:tc>
        <w:tc>
          <w:tcPr>
            <w:tcW w:w="4901" w:type="dxa"/>
          </w:tcPr>
          <w:p>
            <w:pPr>
              <w:pStyle w:val="TableParagraph"/>
              <w:spacing w:before="17"/>
              <w:ind w:left="104"/>
              <w:rPr>
                <w:sz w:val="16"/>
              </w:rPr>
            </w:pPr>
            <w:r>
              <w:rPr>
                <w:sz w:val="16"/>
              </w:rPr>
              <w:t>32.768 kHz clock waveform</w:t>
            </w:r>
          </w:p>
        </w:tc>
      </w:tr>
      <w:tr>
        <w:trPr>
          <w:trHeight w:val="409" w:hRule="atLeast"/>
        </w:trPr>
        <w:tc>
          <w:tcPr>
            <w:tcW w:w="1325" w:type="dxa"/>
          </w:tcPr>
          <w:p>
            <w:pPr>
              <w:pStyle w:val="TableParagraph"/>
              <w:spacing w:before="111"/>
              <w:ind w:left="12"/>
              <w:jc w:val="center"/>
              <w:rPr>
                <w:sz w:val="16"/>
              </w:rPr>
            </w:pPr>
            <w:r>
              <w:rPr>
                <w:w w:val="100"/>
                <w:sz w:val="16"/>
              </w:rPr>
              <w:t>8</w:t>
            </w:r>
          </w:p>
        </w:tc>
        <w:tc>
          <w:tcPr>
            <w:tcW w:w="1959" w:type="dxa"/>
          </w:tcPr>
          <w:p>
            <w:pPr>
              <w:pStyle w:val="TableParagraph"/>
              <w:spacing w:before="15"/>
              <w:ind w:left="107" w:right="128"/>
              <w:rPr>
                <w:rFonts w:ascii="Times New Roman" w:hAnsi="Times New Roman"/>
                <w:i/>
                <w:sz w:val="16"/>
              </w:rPr>
            </w:pPr>
            <w:r>
              <w:rPr>
                <w:sz w:val="16"/>
              </w:rPr>
              <w:t>SPARE[1] bit – </w:t>
            </w:r>
            <w:r>
              <w:rPr>
                <w:rFonts w:ascii="Times New Roman" w:hAnsi="Times New Roman"/>
                <w:i/>
                <w:sz w:val="16"/>
              </w:rPr>
              <w:t>I/O RAM </w:t>
            </w:r>
            <w:r>
              <w:rPr>
                <w:rFonts w:ascii="Times New Roman" w:hAnsi="Times New Roman"/>
                <w:i/>
                <w:sz w:val="16"/>
              </w:rPr>
              <w:t>0x2704[1]</w:t>
            </w:r>
          </w:p>
        </w:tc>
        <w:tc>
          <w:tcPr>
            <w:tcW w:w="4901" w:type="dxa"/>
          </w:tcPr>
          <w:p>
            <w:pPr>
              <w:pStyle w:val="TableParagraph"/>
              <w:spacing w:before="15"/>
              <w:ind w:left="104" w:right="604"/>
              <w:rPr>
                <w:sz w:val="16"/>
              </w:rPr>
            </w:pPr>
            <w:r>
              <w:rPr>
                <w:sz w:val="16"/>
              </w:rPr>
              <w:t>Copies the value of the bit stored in 0x2704[1]. For general purpose use.</w:t>
            </w:r>
          </w:p>
        </w:tc>
      </w:tr>
      <w:tr>
        <w:trPr>
          <w:trHeight w:val="407" w:hRule="atLeast"/>
        </w:trPr>
        <w:tc>
          <w:tcPr>
            <w:tcW w:w="1325" w:type="dxa"/>
          </w:tcPr>
          <w:p>
            <w:pPr>
              <w:pStyle w:val="TableParagraph"/>
              <w:spacing w:before="109"/>
              <w:ind w:left="12"/>
              <w:jc w:val="center"/>
              <w:rPr>
                <w:sz w:val="16"/>
              </w:rPr>
            </w:pPr>
            <w:r>
              <w:rPr>
                <w:w w:val="100"/>
                <w:sz w:val="16"/>
              </w:rPr>
              <w:t>9</w:t>
            </w:r>
          </w:p>
        </w:tc>
        <w:tc>
          <w:tcPr>
            <w:tcW w:w="1959" w:type="dxa"/>
          </w:tcPr>
          <w:p>
            <w:pPr>
              <w:pStyle w:val="TableParagraph"/>
              <w:spacing w:before="15"/>
              <w:ind w:left="107" w:right="128"/>
              <w:rPr>
                <w:rFonts w:ascii="Times New Roman" w:hAnsi="Times New Roman"/>
                <w:i/>
                <w:sz w:val="16"/>
              </w:rPr>
            </w:pPr>
            <w:r>
              <w:rPr>
                <w:sz w:val="16"/>
              </w:rPr>
              <w:t>SPARE[2] bit – </w:t>
            </w:r>
            <w:r>
              <w:rPr>
                <w:rFonts w:ascii="Times New Roman" w:hAnsi="Times New Roman"/>
                <w:i/>
                <w:sz w:val="16"/>
              </w:rPr>
              <w:t>I/O RAM </w:t>
            </w:r>
            <w:r>
              <w:rPr>
                <w:rFonts w:ascii="Times New Roman" w:hAnsi="Times New Roman"/>
                <w:i/>
                <w:sz w:val="16"/>
              </w:rPr>
              <w:t>0x2704[2]</w:t>
            </w:r>
          </w:p>
        </w:tc>
        <w:tc>
          <w:tcPr>
            <w:tcW w:w="4901" w:type="dxa"/>
          </w:tcPr>
          <w:p>
            <w:pPr>
              <w:pStyle w:val="TableParagraph"/>
              <w:spacing w:before="15"/>
              <w:ind w:left="104" w:right="604"/>
              <w:rPr>
                <w:sz w:val="16"/>
              </w:rPr>
            </w:pPr>
            <w:r>
              <w:rPr>
                <w:sz w:val="16"/>
              </w:rPr>
              <w:t>Copies the value of the bit stored in 0x2704[2]. For general purpose use.</w:t>
            </w:r>
          </w:p>
        </w:tc>
      </w:tr>
      <w:tr>
        <w:trPr>
          <w:trHeight w:val="225" w:hRule="atLeast"/>
        </w:trPr>
        <w:tc>
          <w:tcPr>
            <w:tcW w:w="1325" w:type="dxa"/>
          </w:tcPr>
          <w:p>
            <w:pPr>
              <w:pStyle w:val="TableParagraph"/>
              <w:spacing w:before="17"/>
              <w:ind w:left="11"/>
              <w:jc w:val="center"/>
              <w:rPr>
                <w:sz w:val="16"/>
              </w:rPr>
            </w:pPr>
            <w:r>
              <w:rPr>
                <w:w w:val="100"/>
                <w:sz w:val="16"/>
              </w:rPr>
              <w:t>A</w:t>
            </w:r>
          </w:p>
        </w:tc>
        <w:tc>
          <w:tcPr>
            <w:tcW w:w="1959" w:type="dxa"/>
          </w:tcPr>
          <w:p>
            <w:pPr>
              <w:pStyle w:val="TableParagraph"/>
              <w:spacing w:before="17"/>
              <w:ind w:left="107"/>
              <w:rPr>
                <w:sz w:val="16"/>
              </w:rPr>
            </w:pPr>
            <w:r>
              <w:rPr>
                <w:sz w:val="16"/>
              </w:rPr>
              <w:t>WAKE</w:t>
            </w:r>
          </w:p>
        </w:tc>
        <w:tc>
          <w:tcPr>
            <w:tcW w:w="4901" w:type="dxa"/>
          </w:tcPr>
          <w:p>
            <w:pPr>
              <w:pStyle w:val="TableParagraph"/>
              <w:spacing w:before="17"/>
              <w:ind w:left="104"/>
              <w:rPr>
                <w:sz w:val="16"/>
              </w:rPr>
            </w:pPr>
            <w:r>
              <w:rPr>
                <w:sz w:val="16"/>
              </w:rPr>
              <w:t>Indicates when a WAKE event has occurred.</w:t>
            </w:r>
          </w:p>
        </w:tc>
      </w:tr>
      <w:tr>
        <w:trPr>
          <w:trHeight w:val="407" w:hRule="atLeast"/>
        </w:trPr>
        <w:tc>
          <w:tcPr>
            <w:tcW w:w="1325" w:type="dxa"/>
          </w:tcPr>
          <w:p>
            <w:pPr>
              <w:pStyle w:val="TableParagraph"/>
              <w:spacing w:before="109"/>
              <w:ind w:left="11"/>
              <w:jc w:val="center"/>
              <w:rPr>
                <w:sz w:val="16"/>
              </w:rPr>
            </w:pPr>
            <w:r>
              <w:rPr>
                <w:w w:val="100"/>
                <w:sz w:val="16"/>
              </w:rPr>
              <w:t>B</w:t>
            </w:r>
          </w:p>
        </w:tc>
        <w:tc>
          <w:tcPr>
            <w:tcW w:w="1959" w:type="dxa"/>
          </w:tcPr>
          <w:p>
            <w:pPr>
              <w:pStyle w:val="TableParagraph"/>
              <w:spacing w:before="109"/>
              <w:ind w:left="107"/>
              <w:rPr>
                <w:sz w:val="16"/>
              </w:rPr>
            </w:pPr>
            <w:r>
              <w:rPr>
                <w:sz w:val="16"/>
              </w:rPr>
              <w:t>MUX_SYNC</w:t>
            </w:r>
          </w:p>
        </w:tc>
        <w:tc>
          <w:tcPr>
            <w:tcW w:w="4901" w:type="dxa"/>
          </w:tcPr>
          <w:p>
            <w:pPr>
              <w:pStyle w:val="TableParagraph"/>
              <w:spacing w:before="15"/>
              <w:ind w:left="104" w:right="195"/>
              <w:rPr>
                <w:sz w:val="12"/>
              </w:rPr>
            </w:pPr>
            <w:r>
              <w:rPr>
                <w:sz w:val="16"/>
              </w:rPr>
              <w:t>Internal multiplexer frame SYNC signal. See </w:t>
            </w:r>
            <w:hyperlink w:history="true" w:anchor="_bookmark11">
              <w:r>
                <w:rPr>
                  <w:color w:val="0000FF"/>
                  <w:sz w:val="16"/>
                </w:rPr>
                <w:t>Figure 4 </w:t>
              </w:r>
            </w:hyperlink>
            <w:r>
              <w:rPr>
                <w:sz w:val="16"/>
              </w:rPr>
              <w:t>and </w:t>
            </w:r>
            <w:hyperlink w:history="true" w:anchor="_bookmark12">
              <w:r>
                <w:rPr>
                  <w:color w:val="0000FF"/>
                  <w:sz w:val="16"/>
                </w:rPr>
                <w:t>Figure</w:t>
              </w:r>
            </w:hyperlink>
            <w:r>
              <w:rPr>
                <w:color w:val="0000FF"/>
                <w:sz w:val="16"/>
              </w:rPr>
              <w:t> </w:t>
            </w:r>
            <w:hyperlink w:history="true" w:anchor="_bookmark12">
              <w:r>
                <w:rPr>
                  <w:color w:val="0000FF"/>
                  <w:sz w:val="16"/>
                </w:rPr>
                <w:t>5</w:t>
              </w:r>
              <w:r>
                <w:rPr>
                  <w:color w:val="0000FF"/>
                  <w:sz w:val="12"/>
                </w:rPr>
                <w:t>.</w:t>
              </w:r>
            </w:hyperlink>
          </w:p>
        </w:tc>
      </w:tr>
      <w:tr>
        <w:trPr>
          <w:trHeight w:val="222" w:hRule="atLeast"/>
        </w:trPr>
        <w:tc>
          <w:tcPr>
            <w:tcW w:w="1325" w:type="dxa"/>
          </w:tcPr>
          <w:p>
            <w:pPr>
              <w:pStyle w:val="TableParagraph"/>
              <w:spacing w:before="17"/>
              <w:ind w:left="10"/>
              <w:jc w:val="center"/>
              <w:rPr>
                <w:sz w:val="16"/>
              </w:rPr>
            </w:pPr>
            <w:r>
              <w:rPr>
                <w:w w:val="100"/>
                <w:sz w:val="16"/>
              </w:rPr>
              <w:t>C</w:t>
            </w:r>
          </w:p>
        </w:tc>
        <w:tc>
          <w:tcPr>
            <w:tcW w:w="1959" w:type="dxa"/>
          </w:tcPr>
          <w:p>
            <w:pPr>
              <w:pStyle w:val="TableParagraph"/>
              <w:spacing w:before="17"/>
              <w:ind w:left="107"/>
              <w:rPr>
                <w:sz w:val="16"/>
              </w:rPr>
            </w:pPr>
            <w:r>
              <w:rPr>
                <w:sz w:val="16"/>
              </w:rPr>
              <w:t>MCK</w:t>
            </w:r>
          </w:p>
        </w:tc>
        <w:tc>
          <w:tcPr>
            <w:tcW w:w="4901" w:type="dxa"/>
          </w:tcPr>
          <w:p>
            <w:pPr>
              <w:pStyle w:val="TableParagraph"/>
              <w:spacing w:before="17"/>
              <w:ind w:left="104"/>
              <w:rPr>
                <w:sz w:val="16"/>
              </w:rPr>
            </w:pPr>
            <w:r>
              <w:rPr>
                <w:sz w:val="16"/>
              </w:rPr>
              <w:t>See </w:t>
            </w:r>
            <w:hyperlink w:history="true" w:anchor="_bookmark100">
              <w:r>
                <w:rPr>
                  <w:color w:val="0000FF"/>
                  <w:sz w:val="16"/>
                </w:rPr>
                <w:t>2.5.3 </w:t>
              </w:r>
            </w:hyperlink>
            <w:r>
              <w:rPr>
                <w:sz w:val="16"/>
              </w:rPr>
              <w:t>on page </w:t>
            </w:r>
            <w:hyperlink w:history="true" w:anchor="_bookmark100">
              <w:r>
                <w:rPr>
                  <w:color w:val="0000FF"/>
                  <w:sz w:val="16"/>
                </w:rPr>
                <w:t>49</w:t>
              </w:r>
              <w:r>
                <w:rPr>
                  <w:sz w:val="16"/>
                </w:rPr>
                <w:t>.</w:t>
              </w:r>
            </w:hyperlink>
          </w:p>
        </w:tc>
      </w:tr>
      <w:tr>
        <w:trPr>
          <w:trHeight w:val="225" w:hRule="atLeast"/>
        </w:trPr>
        <w:tc>
          <w:tcPr>
            <w:tcW w:w="1325" w:type="dxa"/>
          </w:tcPr>
          <w:p>
            <w:pPr>
              <w:pStyle w:val="TableParagraph"/>
              <w:spacing w:before="17"/>
              <w:ind w:left="11"/>
              <w:jc w:val="center"/>
              <w:rPr>
                <w:sz w:val="16"/>
              </w:rPr>
            </w:pPr>
            <w:r>
              <w:rPr>
                <w:w w:val="100"/>
                <w:sz w:val="16"/>
              </w:rPr>
              <w:t>E</w:t>
            </w:r>
          </w:p>
        </w:tc>
        <w:tc>
          <w:tcPr>
            <w:tcW w:w="1959" w:type="dxa"/>
          </w:tcPr>
          <w:p>
            <w:pPr>
              <w:pStyle w:val="TableParagraph"/>
              <w:spacing w:before="17"/>
              <w:ind w:left="107"/>
              <w:rPr>
                <w:sz w:val="16"/>
              </w:rPr>
            </w:pPr>
            <w:r>
              <w:rPr>
                <w:sz w:val="16"/>
              </w:rPr>
              <w:t>GNDD</w:t>
            </w:r>
          </w:p>
        </w:tc>
        <w:tc>
          <w:tcPr>
            <w:tcW w:w="4901" w:type="dxa"/>
          </w:tcPr>
          <w:p>
            <w:pPr>
              <w:pStyle w:val="TableParagraph"/>
              <w:spacing w:before="17"/>
              <w:ind w:left="104"/>
              <w:rPr>
                <w:sz w:val="16"/>
              </w:rPr>
            </w:pPr>
            <w:r>
              <w:rPr>
                <w:sz w:val="16"/>
              </w:rPr>
              <w:t>Digital GND. Use this signal to make the TMUX2OUT pin static.</w:t>
            </w:r>
          </w:p>
        </w:tc>
      </w:tr>
      <w:tr>
        <w:trPr>
          <w:trHeight w:val="222" w:hRule="atLeast"/>
        </w:trPr>
        <w:tc>
          <w:tcPr>
            <w:tcW w:w="1325" w:type="dxa"/>
          </w:tcPr>
          <w:p>
            <w:pPr>
              <w:pStyle w:val="TableParagraph"/>
              <w:spacing w:before="17"/>
              <w:ind w:left="113" w:right="104"/>
              <w:jc w:val="center"/>
              <w:rPr>
                <w:sz w:val="16"/>
              </w:rPr>
            </w:pPr>
            <w:r>
              <w:rPr>
                <w:sz w:val="16"/>
              </w:rPr>
              <w:t>12</w:t>
            </w:r>
          </w:p>
        </w:tc>
        <w:tc>
          <w:tcPr>
            <w:tcW w:w="1959" w:type="dxa"/>
          </w:tcPr>
          <w:p>
            <w:pPr>
              <w:pStyle w:val="TableParagraph"/>
              <w:spacing w:before="17"/>
              <w:ind w:left="107"/>
              <w:rPr>
                <w:sz w:val="16"/>
              </w:rPr>
            </w:pPr>
            <w:r>
              <w:rPr>
                <w:sz w:val="16"/>
              </w:rPr>
              <w:t>INT0 – DIG I/O</w:t>
            </w:r>
          </w:p>
        </w:tc>
        <w:tc>
          <w:tcPr>
            <w:tcW w:w="4901" w:type="dxa"/>
            <w:vMerge w:val="restart"/>
          </w:tcPr>
          <w:p>
            <w:pPr>
              <w:pStyle w:val="TableParagraph"/>
              <w:rPr>
                <w:b/>
                <w:sz w:val="18"/>
              </w:rPr>
            </w:pPr>
          </w:p>
          <w:p>
            <w:pPr>
              <w:pStyle w:val="TableParagraph"/>
              <w:rPr>
                <w:b/>
                <w:sz w:val="18"/>
              </w:rPr>
            </w:pPr>
          </w:p>
          <w:p>
            <w:pPr>
              <w:pStyle w:val="TableParagraph"/>
              <w:spacing w:before="5"/>
              <w:rPr>
                <w:b/>
                <w:sz w:val="26"/>
              </w:rPr>
            </w:pPr>
          </w:p>
          <w:p>
            <w:pPr>
              <w:pStyle w:val="TableParagraph"/>
              <w:ind w:left="104"/>
              <w:rPr>
                <w:sz w:val="16"/>
              </w:rPr>
            </w:pPr>
            <w:r>
              <w:rPr>
                <w:sz w:val="16"/>
              </w:rPr>
              <w:t>Interrupt 0. See </w:t>
            </w:r>
            <w:hyperlink w:history="true" w:anchor="_bookmark75">
              <w:r>
                <w:rPr>
                  <w:color w:val="0000FF"/>
                  <w:sz w:val="16"/>
                </w:rPr>
                <w:t>2.4.8 </w:t>
              </w:r>
            </w:hyperlink>
            <w:r>
              <w:rPr>
                <w:sz w:val="16"/>
              </w:rPr>
              <w:t>on page </w:t>
            </w:r>
            <w:hyperlink w:history="true" w:anchor="_bookmark75">
              <w:r>
                <w:rPr>
                  <w:color w:val="0000FF"/>
                  <w:sz w:val="16"/>
                </w:rPr>
                <w:t>39</w:t>
              </w:r>
              <w:r>
                <w:rPr>
                  <w:sz w:val="16"/>
                </w:rPr>
                <w:t>. </w:t>
              </w:r>
            </w:hyperlink>
            <w:r>
              <w:rPr>
                <w:sz w:val="16"/>
              </w:rPr>
              <w:t>Also see </w:t>
            </w:r>
            <w:hyperlink w:history="true" w:anchor="_bookmark92">
              <w:r>
                <w:rPr>
                  <w:color w:val="0000FF"/>
                  <w:sz w:val="16"/>
                </w:rPr>
                <w:t>Figure 12 </w:t>
              </w:r>
            </w:hyperlink>
            <w:r>
              <w:rPr>
                <w:sz w:val="16"/>
              </w:rPr>
              <w:t>on page </w:t>
            </w:r>
            <w:hyperlink w:history="true" w:anchor="_bookmark92">
              <w:r>
                <w:rPr>
                  <w:color w:val="0000FF"/>
                  <w:sz w:val="16"/>
                </w:rPr>
                <w:t>45</w:t>
              </w:r>
              <w:r>
                <w:rPr>
                  <w:sz w:val="16"/>
                </w:rPr>
                <w:t>.</w:t>
              </w:r>
            </w:hyperlink>
          </w:p>
        </w:tc>
      </w:tr>
      <w:tr>
        <w:trPr>
          <w:trHeight w:val="225" w:hRule="atLeast"/>
        </w:trPr>
        <w:tc>
          <w:tcPr>
            <w:tcW w:w="1325" w:type="dxa"/>
          </w:tcPr>
          <w:p>
            <w:pPr>
              <w:pStyle w:val="TableParagraph"/>
              <w:spacing w:before="17"/>
              <w:ind w:left="113" w:right="104"/>
              <w:jc w:val="center"/>
              <w:rPr>
                <w:sz w:val="16"/>
              </w:rPr>
            </w:pPr>
            <w:r>
              <w:rPr>
                <w:sz w:val="16"/>
              </w:rPr>
              <w:t>13</w:t>
            </w:r>
          </w:p>
        </w:tc>
        <w:tc>
          <w:tcPr>
            <w:tcW w:w="1959" w:type="dxa"/>
          </w:tcPr>
          <w:p>
            <w:pPr>
              <w:pStyle w:val="TableParagraph"/>
              <w:spacing w:before="17"/>
              <w:ind w:left="107"/>
              <w:rPr>
                <w:sz w:val="16"/>
              </w:rPr>
            </w:pPr>
            <w:r>
              <w:rPr>
                <w:sz w:val="16"/>
              </w:rPr>
              <w:t>INT1 – DIG I/O</w:t>
            </w:r>
          </w:p>
        </w:tc>
        <w:tc>
          <w:tcPr>
            <w:tcW w:w="4901" w:type="dxa"/>
            <w:vMerge/>
            <w:tcBorders>
              <w:top w:val="nil"/>
            </w:tcBorders>
          </w:tcPr>
          <w:p>
            <w:pPr>
              <w:rPr>
                <w:sz w:val="2"/>
                <w:szCs w:val="2"/>
              </w:rPr>
            </w:pPr>
          </w:p>
        </w:tc>
      </w:tr>
      <w:tr>
        <w:trPr>
          <w:trHeight w:val="222" w:hRule="atLeast"/>
        </w:trPr>
        <w:tc>
          <w:tcPr>
            <w:tcW w:w="1325" w:type="dxa"/>
          </w:tcPr>
          <w:p>
            <w:pPr>
              <w:pStyle w:val="TableParagraph"/>
              <w:spacing w:before="17"/>
              <w:ind w:left="113" w:right="104"/>
              <w:jc w:val="center"/>
              <w:rPr>
                <w:sz w:val="16"/>
              </w:rPr>
            </w:pPr>
            <w:r>
              <w:rPr>
                <w:sz w:val="16"/>
              </w:rPr>
              <w:t>14</w:t>
            </w:r>
          </w:p>
        </w:tc>
        <w:tc>
          <w:tcPr>
            <w:tcW w:w="1959" w:type="dxa"/>
          </w:tcPr>
          <w:p>
            <w:pPr>
              <w:pStyle w:val="TableParagraph"/>
              <w:spacing w:before="17"/>
              <w:ind w:left="107"/>
              <w:rPr>
                <w:sz w:val="16"/>
              </w:rPr>
            </w:pPr>
            <w:r>
              <w:rPr>
                <w:sz w:val="16"/>
              </w:rPr>
              <w:t>INT2 – CE_PULSE</w:t>
            </w:r>
          </w:p>
        </w:tc>
        <w:tc>
          <w:tcPr>
            <w:tcW w:w="4901" w:type="dxa"/>
            <w:vMerge/>
            <w:tcBorders>
              <w:top w:val="nil"/>
            </w:tcBorders>
          </w:tcPr>
          <w:p>
            <w:pPr>
              <w:rPr>
                <w:sz w:val="2"/>
                <w:szCs w:val="2"/>
              </w:rPr>
            </w:pPr>
          </w:p>
        </w:tc>
      </w:tr>
      <w:tr>
        <w:trPr>
          <w:trHeight w:val="225" w:hRule="atLeast"/>
        </w:trPr>
        <w:tc>
          <w:tcPr>
            <w:tcW w:w="1325" w:type="dxa"/>
          </w:tcPr>
          <w:p>
            <w:pPr>
              <w:pStyle w:val="TableParagraph"/>
              <w:spacing w:before="17"/>
              <w:ind w:left="113" w:right="104"/>
              <w:jc w:val="center"/>
              <w:rPr>
                <w:sz w:val="16"/>
              </w:rPr>
            </w:pPr>
            <w:r>
              <w:rPr>
                <w:sz w:val="16"/>
              </w:rPr>
              <w:t>15</w:t>
            </w:r>
          </w:p>
        </w:tc>
        <w:tc>
          <w:tcPr>
            <w:tcW w:w="1959" w:type="dxa"/>
          </w:tcPr>
          <w:p>
            <w:pPr>
              <w:pStyle w:val="TableParagraph"/>
              <w:spacing w:before="17"/>
              <w:ind w:left="107"/>
              <w:rPr>
                <w:sz w:val="16"/>
              </w:rPr>
            </w:pPr>
            <w:r>
              <w:rPr>
                <w:sz w:val="16"/>
              </w:rPr>
              <w:t>INT3 – CE_BUSY</w:t>
            </w:r>
          </w:p>
        </w:tc>
        <w:tc>
          <w:tcPr>
            <w:tcW w:w="4901" w:type="dxa"/>
            <w:vMerge/>
            <w:tcBorders>
              <w:top w:val="nil"/>
            </w:tcBorders>
          </w:tcPr>
          <w:p>
            <w:pPr>
              <w:rPr>
                <w:sz w:val="2"/>
                <w:szCs w:val="2"/>
              </w:rPr>
            </w:pPr>
          </w:p>
        </w:tc>
      </w:tr>
      <w:tr>
        <w:trPr>
          <w:trHeight w:val="222" w:hRule="atLeast"/>
        </w:trPr>
        <w:tc>
          <w:tcPr>
            <w:tcW w:w="1325" w:type="dxa"/>
          </w:tcPr>
          <w:p>
            <w:pPr>
              <w:pStyle w:val="TableParagraph"/>
              <w:spacing w:before="17"/>
              <w:ind w:left="113" w:right="104"/>
              <w:jc w:val="center"/>
              <w:rPr>
                <w:sz w:val="16"/>
              </w:rPr>
            </w:pPr>
            <w:r>
              <w:rPr>
                <w:sz w:val="16"/>
              </w:rPr>
              <w:t>16</w:t>
            </w:r>
          </w:p>
        </w:tc>
        <w:tc>
          <w:tcPr>
            <w:tcW w:w="1959" w:type="dxa"/>
          </w:tcPr>
          <w:p>
            <w:pPr>
              <w:pStyle w:val="TableParagraph"/>
              <w:spacing w:before="17"/>
              <w:ind w:left="107"/>
              <w:rPr>
                <w:sz w:val="16"/>
              </w:rPr>
            </w:pPr>
            <w:r>
              <w:rPr>
                <w:sz w:val="16"/>
              </w:rPr>
              <w:t>INT4 - VSTAT</w:t>
            </w:r>
          </w:p>
        </w:tc>
        <w:tc>
          <w:tcPr>
            <w:tcW w:w="4901" w:type="dxa"/>
            <w:vMerge/>
            <w:tcBorders>
              <w:top w:val="nil"/>
            </w:tcBorders>
          </w:tcPr>
          <w:p>
            <w:pPr>
              <w:rPr>
                <w:sz w:val="2"/>
                <w:szCs w:val="2"/>
              </w:rPr>
            </w:pPr>
          </w:p>
        </w:tc>
      </w:tr>
      <w:tr>
        <w:trPr>
          <w:trHeight w:val="225" w:hRule="atLeast"/>
        </w:trPr>
        <w:tc>
          <w:tcPr>
            <w:tcW w:w="1325" w:type="dxa"/>
          </w:tcPr>
          <w:p>
            <w:pPr>
              <w:pStyle w:val="TableParagraph"/>
              <w:spacing w:before="17"/>
              <w:ind w:left="113" w:right="104"/>
              <w:jc w:val="center"/>
              <w:rPr>
                <w:sz w:val="16"/>
              </w:rPr>
            </w:pPr>
            <w:r>
              <w:rPr>
                <w:sz w:val="16"/>
              </w:rPr>
              <w:t>17</w:t>
            </w:r>
          </w:p>
        </w:tc>
        <w:tc>
          <w:tcPr>
            <w:tcW w:w="1959" w:type="dxa"/>
          </w:tcPr>
          <w:p>
            <w:pPr>
              <w:pStyle w:val="TableParagraph"/>
              <w:spacing w:before="17"/>
              <w:ind w:left="107"/>
              <w:rPr>
                <w:sz w:val="16"/>
              </w:rPr>
            </w:pPr>
            <w:r>
              <w:rPr>
                <w:sz w:val="16"/>
              </w:rPr>
              <w:t>INT5 – EEPROM/SPI</w:t>
            </w:r>
          </w:p>
        </w:tc>
        <w:tc>
          <w:tcPr>
            <w:tcW w:w="4901" w:type="dxa"/>
            <w:vMerge/>
            <w:tcBorders>
              <w:top w:val="nil"/>
            </w:tcBorders>
          </w:tcPr>
          <w:p>
            <w:pPr>
              <w:rPr>
                <w:sz w:val="2"/>
                <w:szCs w:val="2"/>
              </w:rPr>
            </w:pPr>
          </w:p>
        </w:tc>
      </w:tr>
      <w:tr>
        <w:trPr>
          <w:trHeight w:val="222" w:hRule="atLeast"/>
        </w:trPr>
        <w:tc>
          <w:tcPr>
            <w:tcW w:w="1325" w:type="dxa"/>
          </w:tcPr>
          <w:p>
            <w:pPr>
              <w:pStyle w:val="TableParagraph"/>
              <w:spacing w:before="17"/>
              <w:ind w:left="113" w:right="104"/>
              <w:jc w:val="center"/>
              <w:rPr>
                <w:sz w:val="16"/>
              </w:rPr>
            </w:pPr>
            <w:r>
              <w:rPr>
                <w:sz w:val="16"/>
              </w:rPr>
              <w:t>18</w:t>
            </w:r>
          </w:p>
        </w:tc>
        <w:tc>
          <w:tcPr>
            <w:tcW w:w="1959" w:type="dxa"/>
          </w:tcPr>
          <w:p>
            <w:pPr>
              <w:pStyle w:val="TableParagraph"/>
              <w:spacing w:before="17"/>
              <w:ind w:left="107"/>
              <w:rPr>
                <w:sz w:val="16"/>
              </w:rPr>
            </w:pPr>
            <w:r>
              <w:rPr>
                <w:sz w:val="16"/>
              </w:rPr>
              <w:t>INT6 – XFER, RTC</w:t>
            </w:r>
          </w:p>
        </w:tc>
        <w:tc>
          <w:tcPr>
            <w:tcW w:w="4901" w:type="dxa"/>
            <w:vMerge/>
            <w:tcBorders>
              <w:top w:val="nil"/>
            </w:tcBorders>
          </w:tcPr>
          <w:p>
            <w:pPr>
              <w:rPr>
                <w:sz w:val="2"/>
                <w:szCs w:val="2"/>
              </w:rPr>
            </w:pPr>
          </w:p>
        </w:tc>
      </w:tr>
      <w:tr>
        <w:trPr>
          <w:trHeight w:val="225" w:hRule="atLeast"/>
        </w:trPr>
        <w:tc>
          <w:tcPr>
            <w:tcW w:w="1325" w:type="dxa"/>
          </w:tcPr>
          <w:p>
            <w:pPr>
              <w:pStyle w:val="TableParagraph"/>
              <w:spacing w:before="17"/>
              <w:ind w:left="113" w:right="105"/>
              <w:jc w:val="center"/>
              <w:rPr>
                <w:sz w:val="16"/>
              </w:rPr>
            </w:pPr>
            <w:r>
              <w:rPr>
                <w:sz w:val="16"/>
              </w:rPr>
              <w:t>1F</w:t>
            </w:r>
          </w:p>
        </w:tc>
        <w:tc>
          <w:tcPr>
            <w:tcW w:w="1959" w:type="dxa"/>
          </w:tcPr>
          <w:p>
            <w:pPr>
              <w:pStyle w:val="TableParagraph"/>
              <w:spacing w:before="17"/>
              <w:ind w:left="107"/>
              <w:rPr>
                <w:sz w:val="16"/>
              </w:rPr>
            </w:pPr>
            <w:r>
              <w:rPr>
                <w:sz w:val="16"/>
              </w:rPr>
              <w:t>RTM_CK (flash)</w:t>
            </w:r>
          </w:p>
        </w:tc>
        <w:tc>
          <w:tcPr>
            <w:tcW w:w="4901" w:type="dxa"/>
          </w:tcPr>
          <w:p>
            <w:pPr>
              <w:pStyle w:val="TableParagraph"/>
              <w:spacing w:before="17"/>
              <w:ind w:left="104"/>
              <w:rPr>
                <w:sz w:val="16"/>
              </w:rPr>
            </w:pPr>
            <w:r>
              <w:rPr>
                <w:sz w:val="16"/>
              </w:rPr>
              <w:t>See </w:t>
            </w:r>
            <w:hyperlink w:history="true" w:anchor="_bookmark32">
              <w:r>
                <w:rPr>
                  <w:color w:val="0000FF"/>
                  <w:sz w:val="16"/>
                </w:rPr>
                <w:t>2.3.5 </w:t>
              </w:r>
            </w:hyperlink>
            <w:r>
              <w:rPr>
                <w:sz w:val="16"/>
              </w:rPr>
              <w:t>on page </w:t>
            </w:r>
            <w:hyperlink w:history="true" w:anchor="_bookmark32">
              <w:r>
                <w:rPr>
                  <w:color w:val="0000FF"/>
                  <w:sz w:val="16"/>
                </w:rPr>
                <w:t>26</w:t>
              </w:r>
              <w:r>
                <w:rPr>
                  <w:sz w:val="16"/>
                </w:rPr>
                <w:t>.</w:t>
              </w:r>
            </w:hyperlink>
          </w:p>
        </w:tc>
      </w:tr>
      <w:tr>
        <w:trPr>
          <w:trHeight w:val="450" w:hRule="atLeast"/>
        </w:trPr>
        <w:tc>
          <w:tcPr>
            <w:tcW w:w="8185" w:type="dxa"/>
            <w:gridSpan w:val="3"/>
          </w:tcPr>
          <w:p>
            <w:pPr>
              <w:pStyle w:val="TableParagraph"/>
              <w:spacing w:before="15"/>
              <w:ind w:left="107"/>
              <w:rPr>
                <w:b/>
                <w:sz w:val="16"/>
              </w:rPr>
            </w:pPr>
            <w:r>
              <w:rPr>
                <w:b/>
                <w:sz w:val="16"/>
              </w:rPr>
              <w:t>Note:</w:t>
            </w:r>
          </w:p>
          <w:p>
            <w:pPr>
              <w:pStyle w:val="TableParagraph"/>
              <w:spacing w:before="19"/>
              <w:ind w:left="107"/>
              <w:rPr>
                <w:sz w:val="16"/>
              </w:rPr>
            </w:pPr>
            <w:r>
              <w:rPr>
                <w:sz w:val="16"/>
              </w:rPr>
              <w:t>All </w:t>
            </w:r>
            <w:r>
              <w:rPr>
                <w:rFonts w:ascii="Times New Roman"/>
                <w:i/>
                <w:sz w:val="18"/>
              </w:rPr>
              <w:t>TMUX2[4:0] </w:t>
            </w:r>
            <w:r>
              <w:rPr>
                <w:sz w:val="16"/>
              </w:rPr>
              <w:t>values which are not shown are reserved.</w:t>
            </w:r>
          </w:p>
        </w:tc>
      </w:tr>
    </w:tbl>
    <w:p>
      <w:pPr>
        <w:spacing w:after="0"/>
        <w:rPr>
          <w:sz w:val="16"/>
        </w:rPr>
        <w:sectPr>
          <w:pgSz w:w="12240" w:h="15840"/>
          <w:pgMar w:header="727" w:footer="819" w:top="960" w:bottom="1000" w:left="1200" w:right="1060"/>
        </w:sectPr>
      </w:pPr>
    </w:p>
    <w:p>
      <w:pPr>
        <w:pStyle w:val="BodyText"/>
        <w:spacing w:before="9"/>
        <w:rPr>
          <w:b/>
          <w:sz w:val="16"/>
        </w:rPr>
      </w:pPr>
    </w:p>
    <w:p>
      <w:pPr>
        <w:pStyle w:val="ListParagraph"/>
        <w:numPr>
          <w:ilvl w:val="0"/>
          <w:numId w:val="22"/>
        </w:numPr>
        <w:tabs>
          <w:tab w:pos="959" w:val="left" w:leader="none"/>
          <w:tab w:pos="960" w:val="left" w:leader="none"/>
        </w:tabs>
        <w:spacing w:line="240" w:lineRule="auto" w:before="91" w:after="0"/>
        <w:ind w:left="959" w:right="0" w:hanging="720"/>
        <w:jc w:val="left"/>
        <w:rPr>
          <w:b/>
          <w:sz w:val="28"/>
        </w:rPr>
      </w:pPr>
      <w:bookmarkStart w:name="3 Functional Description" w:id="293"/>
      <w:bookmarkEnd w:id="293"/>
      <w:r>
        <w:rPr/>
      </w:r>
      <w:bookmarkStart w:name="_bookmark148" w:id="294"/>
      <w:bookmarkEnd w:id="294"/>
      <w:r>
        <w:rPr/>
      </w:r>
      <w:bookmarkStart w:name="_bookmark148" w:id="295"/>
      <w:bookmarkEnd w:id="295"/>
      <w:r>
        <w:rPr>
          <w:b/>
          <w:sz w:val="28"/>
        </w:rPr>
        <w:t>Fun</w:t>
      </w:r>
      <w:r>
        <w:rPr>
          <w:b/>
          <w:sz w:val="28"/>
        </w:rPr>
        <w:t>ctional</w:t>
      </w:r>
      <w:r>
        <w:rPr>
          <w:b/>
          <w:spacing w:val="1"/>
          <w:sz w:val="28"/>
        </w:rPr>
        <w:t> </w:t>
      </w:r>
      <w:r>
        <w:rPr>
          <w:b/>
          <w:sz w:val="28"/>
        </w:rPr>
        <w:t>Description</w:t>
      </w:r>
    </w:p>
    <w:p>
      <w:pPr>
        <w:pStyle w:val="ListParagraph"/>
        <w:numPr>
          <w:ilvl w:val="1"/>
          <w:numId w:val="22"/>
        </w:numPr>
        <w:tabs>
          <w:tab w:pos="959" w:val="left" w:leader="none"/>
          <w:tab w:pos="960" w:val="left" w:leader="none"/>
        </w:tabs>
        <w:spacing w:line="240" w:lineRule="auto" w:before="119" w:after="0"/>
        <w:ind w:left="960" w:right="0" w:hanging="720"/>
        <w:jc w:val="left"/>
        <w:rPr>
          <w:b/>
          <w:sz w:val="24"/>
        </w:rPr>
      </w:pPr>
      <w:bookmarkStart w:name="3.1 Theory of Operation" w:id="296"/>
      <w:bookmarkEnd w:id="296"/>
      <w:r>
        <w:rPr/>
      </w:r>
      <w:bookmarkStart w:name="_bookmark149" w:id="297"/>
      <w:bookmarkEnd w:id="297"/>
      <w:r>
        <w:rPr/>
      </w:r>
      <w:bookmarkStart w:name="_bookmark149" w:id="298"/>
      <w:bookmarkEnd w:id="298"/>
      <w:r>
        <w:rPr>
          <w:b/>
          <w:sz w:val="24"/>
        </w:rPr>
        <w:t>Th</w:t>
      </w:r>
      <w:r>
        <w:rPr>
          <w:b/>
          <w:sz w:val="24"/>
        </w:rPr>
        <w:t>eory of</w:t>
      </w:r>
      <w:r>
        <w:rPr>
          <w:b/>
          <w:spacing w:val="-8"/>
          <w:sz w:val="24"/>
        </w:rPr>
        <w:t> </w:t>
      </w:r>
      <w:r>
        <w:rPr>
          <w:b/>
          <w:sz w:val="24"/>
        </w:rPr>
        <w:t>Operation</w:t>
      </w:r>
    </w:p>
    <w:p>
      <w:pPr>
        <w:pStyle w:val="BodyText"/>
        <w:spacing w:before="122"/>
        <w:ind w:left="240"/>
      </w:pPr>
      <w:r>
        <w:rPr/>
        <w:t>The energy delivered by a power source into a load can be expressed as:</w:t>
      </w:r>
    </w:p>
    <w:p>
      <w:pPr>
        <w:spacing w:line="176" w:lineRule="exact" w:before="44"/>
        <w:ind w:left="0" w:right="856" w:firstLine="0"/>
        <w:jc w:val="center"/>
        <w:rPr>
          <w:rFonts w:ascii="Times New Roman"/>
          <w:i/>
          <w:sz w:val="17"/>
        </w:rPr>
      </w:pPr>
      <w:r>
        <w:rPr>
          <w:rFonts w:ascii="Times New Roman"/>
          <w:i/>
          <w:w w:val="96"/>
          <w:sz w:val="17"/>
        </w:rPr>
        <w:t>t</w:t>
      </w:r>
    </w:p>
    <w:p>
      <w:pPr>
        <w:spacing w:line="487" w:lineRule="exact" w:before="0"/>
        <w:ind w:left="49" w:right="204" w:firstLine="0"/>
        <w:jc w:val="center"/>
        <w:rPr>
          <w:rFonts w:ascii="Times New Roman" w:hAnsi="Times New Roman"/>
          <w:i/>
          <w:sz w:val="29"/>
        </w:rPr>
      </w:pPr>
      <w:r>
        <w:rPr>
          <w:rFonts w:ascii="Times New Roman" w:hAnsi="Times New Roman"/>
          <w:i/>
          <w:sz w:val="29"/>
        </w:rPr>
        <w:t>E </w:t>
      </w:r>
      <w:r>
        <w:rPr>
          <w:rFonts w:ascii="Symbol" w:hAnsi="Symbol"/>
          <w:sz w:val="29"/>
        </w:rPr>
        <w:t></w:t>
      </w:r>
      <w:r>
        <w:rPr>
          <w:rFonts w:ascii="Times New Roman" w:hAnsi="Times New Roman"/>
          <w:sz w:val="29"/>
        </w:rPr>
        <w:t> </w:t>
      </w:r>
      <w:r>
        <w:rPr>
          <w:rFonts w:ascii="Symbol" w:hAnsi="Symbol"/>
          <w:position w:val="-9"/>
          <w:sz w:val="43"/>
        </w:rPr>
        <w:t></w:t>
      </w:r>
      <w:r>
        <w:rPr>
          <w:rFonts w:ascii="Times New Roman" w:hAnsi="Times New Roman"/>
          <w:i/>
          <w:sz w:val="29"/>
        </w:rPr>
        <w:t>V </w:t>
      </w:r>
      <w:r>
        <w:rPr>
          <w:rFonts w:ascii="Times New Roman" w:hAnsi="Times New Roman"/>
          <w:sz w:val="29"/>
        </w:rPr>
        <w:t>(</w:t>
      </w:r>
      <w:r>
        <w:rPr>
          <w:rFonts w:ascii="Times New Roman" w:hAnsi="Times New Roman"/>
          <w:i/>
          <w:sz w:val="29"/>
        </w:rPr>
        <w:t>t</w:t>
      </w:r>
      <w:r>
        <w:rPr>
          <w:rFonts w:ascii="Times New Roman" w:hAnsi="Times New Roman"/>
          <w:sz w:val="29"/>
        </w:rPr>
        <w:t>)</w:t>
      </w:r>
      <w:r>
        <w:rPr>
          <w:rFonts w:ascii="Times New Roman" w:hAnsi="Times New Roman"/>
          <w:i/>
          <w:sz w:val="29"/>
        </w:rPr>
        <w:t>I </w:t>
      </w:r>
      <w:r>
        <w:rPr>
          <w:rFonts w:ascii="Times New Roman" w:hAnsi="Times New Roman"/>
          <w:sz w:val="29"/>
        </w:rPr>
        <w:t>(</w:t>
      </w:r>
      <w:r>
        <w:rPr>
          <w:rFonts w:ascii="Times New Roman" w:hAnsi="Times New Roman"/>
          <w:i/>
          <w:sz w:val="29"/>
        </w:rPr>
        <w:t>t</w:t>
      </w:r>
      <w:r>
        <w:rPr>
          <w:rFonts w:ascii="Times New Roman" w:hAnsi="Times New Roman"/>
          <w:sz w:val="29"/>
        </w:rPr>
        <w:t>)</w:t>
      </w:r>
      <w:r>
        <w:rPr>
          <w:rFonts w:ascii="Times New Roman" w:hAnsi="Times New Roman"/>
          <w:i/>
          <w:sz w:val="29"/>
        </w:rPr>
        <w:t>dt</w:t>
      </w:r>
    </w:p>
    <w:p>
      <w:pPr>
        <w:spacing w:line="175" w:lineRule="exact" w:before="0"/>
        <w:ind w:left="0" w:right="843" w:firstLine="0"/>
        <w:jc w:val="center"/>
        <w:rPr>
          <w:rFonts w:ascii="Times New Roman"/>
          <w:sz w:val="17"/>
        </w:rPr>
      </w:pPr>
      <w:r>
        <w:rPr>
          <w:rFonts w:ascii="Times New Roman"/>
          <w:w w:val="96"/>
          <w:sz w:val="17"/>
        </w:rPr>
        <w:t>0</w:t>
      </w:r>
    </w:p>
    <w:p>
      <w:pPr>
        <w:pStyle w:val="BodyText"/>
        <w:spacing w:before="152"/>
        <w:ind w:left="240"/>
      </w:pPr>
      <w:r>
        <w:rPr/>
        <w:t>Assuming phase angles are constant, the following formulae apply:</w:t>
      </w:r>
    </w:p>
    <w:p>
      <w:pPr>
        <w:pStyle w:val="ListParagraph"/>
        <w:numPr>
          <w:ilvl w:val="2"/>
          <w:numId w:val="22"/>
        </w:numPr>
        <w:tabs>
          <w:tab w:pos="1295" w:val="left" w:leader="none"/>
          <w:tab w:pos="1296" w:val="left" w:leader="none"/>
        </w:tabs>
        <w:spacing w:line="240" w:lineRule="auto" w:before="122" w:after="0"/>
        <w:ind w:left="1296" w:right="0" w:hanging="336"/>
        <w:jc w:val="left"/>
        <w:rPr>
          <w:sz w:val="20"/>
        </w:rPr>
      </w:pPr>
      <w:r>
        <w:rPr>
          <w:sz w:val="20"/>
        </w:rPr>
        <w:t>P = Real Energy [Wh] = V * A * cos φ*</w:t>
      </w:r>
      <w:r>
        <w:rPr>
          <w:spacing w:val="-18"/>
          <w:sz w:val="20"/>
        </w:rPr>
        <w:t> </w:t>
      </w:r>
      <w:r>
        <w:rPr>
          <w:sz w:val="20"/>
        </w:rPr>
        <w:t>t</w:t>
      </w:r>
    </w:p>
    <w:p>
      <w:pPr>
        <w:pStyle w:val="ListParagraph"/>
        <w:numPr>
          <w:ilvl w:val="2"/>
          <w:numId w:val="22"/>
        </w:numPr>
        <w:tabs>
          <w:tab w:pos="1295" w:val="left" w:leader="none"/>
          <w:tab w:pos="1296" w:val="left" w:leader="none"/>
        </w:tabs>
        <w:spacing w:line="240" w:lineRule="auto" w:before="81" w:after="0"/>
        <w:ind w:left="1296" w:right="0" w:hanging="336"/>
        <w:jc w:val="left"/>
        <w:rPr>
          <w:sz w:val="20"/>
        </w:rPr>
      </w:pPr>
      <w:r>
        <w:rPr>
          <w:sz w:val="20"/>
        </w:rPr>
        <w:t>Q = Reactive Energy [VARh] = V * A * sin φ *</w:t>
      </w:r>
      <w:r>
        <w:rPr>
          <w:spacing w:val="-8"/>
          <w:sz w:val="20"/>
        </w:rPr>
        <w:t> </w:t>
      </w:r>
      <w:r>
        <w:rPr>
          <w:sz w:val="20"/>
        </w:rPr>
        <w:t>t</w:t>
      </w:r>
    </w:p>
    <w:p>
      <w:pPr>
        <w:pStyle w:val="ListParagraph"/>
        <w:numPr>
          <w:ilvl w:val="2"/>
          <w:numId w:val="22"/>
        </w:numPr>
        <w:tabs>
          <w:tab w:pos="1295" w:val="left" w:leader="none"/>
          <w:tab w:pos="1296" w:val="left" w:leader="none"/>
        </w:tabs>
        <w:spacing w:line="240" w:lineRule="auto" w:before="155" w:after="0"/>
        <w:ind w:left="1296" w:right="0" w:hanging="336"/>
        <w:jc w:val="left"/>
        <w:rPr>
          <w:sz w:val="20"/>
        </w:rPr>
      </w:pPr>
      <w:r>
        <w:rPr/>
        <w:pict>
          <v:group style="position:absolute;margin-left:258.203674pt;margin-top:6.423921pt;width:38.450pt;height:15.5pt;mso-position-horizontal-relative:page;mso-position-vertical-relative:paragraph;z-index:15826944" coordorigin="5164,128" coordsize="769,310">
            <v:line style="position:absolute" from="5169,338" to="5193,322" stroked="true" strokeweight=".444176pt" strokecolor="#000000">
              <v:stroke dashstyle="solid"/>
            </v:line>
            <v:line style="position:absolute" from="5193,326" to="5229,430" stroked="true" strokeweight=".819945pt" strokecolor="#000000">
              <v:stroke dashstyle="solid"/>
            </v:line>
            <v:line style="position:absolute" from="5233,430" to="5281,133" stroked="true" strokeweight=".405278pt" strokecolor="#000000">
              <v:stroke dashstyle="solid"/>
            </v:line>
            <v:line style="position:absolute" from="5281,133" to="5933,133" stroked="true" strokeweight=".461363pt" strokecolor="#000000">
              <v:stroke dashstyle="solid"/>
            </v:line>
            <v:shape style="position:absolute;left:5164;top:128;width:769;height:310" type="#_x0000_t202" filled="false" stroked="false">
              <v:textbox inset="0,0,0,0">
                <w:txbxContent>
                  <w:p>
                    <w:pPr>
                      <w:spacing w:before="22"/>
                      <w:ind w:left="134" w:right="0" w:firstLine="0"/>
                      <w:jc w:val="left"/>
                      <w:rPr>
                        <w:rFonts w:ascii="Times New Roman" w:hAnsi="Times New Roman"/>
                        <w:sz w:val="22"/>
                      </w:rPr>
                    </w:pPr>
                    <w:r>
                      <w:rPr>
                        <w:rFonts w:ascii="Times New Roman" w:hAnsi="Times New Roman"/>
                        <w:i/>
                        <w:w w:val="95"/>
                        <w:sz w:val="22"/>
                      </w:rPr>
                      <w:t>P</w:t>
                    </w:r>
                    <w:r>
                      <w:rPr>
                        <w:rFonts w:ascii="Times New Roman" w:hAnsi="Times New Roman"/>
                        <w:w w:val="95"/>
                        <w:sz w:val="22"/>
                        <w:vertAlign w:val="superscript"/>
                      </w:rPr>
                      <w:t>2</w:t>
                    </w:r>
                    <w:r>
                      <w:rPr>
                        <w:rFonts w:ascii="Times New Roman" w:hAnsi="Times New Roman"/>
                        <w:w w:val="95"/>
                        <w:sz w:val="22"/>
                        <w:vertAlign w:val="baseline"/>
                      </w:rPr>
                      <w:t> </w:t>
                    </w:r>
                    <w:r>
                      <w:rPr>
                        <w:rFonts w:ascii="Symbol" w:hAnsi="Symbol"/>
                        <w:w w:val="95"/>
                        <w:sz w:val="22"/>
                        <w:vertAlign w:val="baseline"/>
                      </w:rPr>
                      <w:t></w:t>
                    </w:r>
                    <w:r>
                      <w:rPr>
                        <w:rFonts w:ascii="Times New Roman" w:hAnsi="Times New Roman"/>
                        <w:w w:val="95"/>
                        <w:sz w:val="22"/>
                        <w:vertAlign w:val="baseline"/>
                      </w:rPr>
                      <w:t> </w:t>
                    </w:r>
                    <w:r>
                      <w:rPr>
                        <w:rFonts w:ascii="Times New Roman" w:hAnsi="Times New Roman"/>
                        <w:i/>
                        <w:w w:val="95"/>
                        <w:sz w:val="22"/>
                        <w:vertAlign w:val="baseline"/>
                      </w:rPr>
                      <w:t>Q</w:t>
                    </w:r>
                    <w:r>
                      <w:rPr>
                        <w:rFonts w:ascii="Times New Roman" w:hAnsi="Times New Roman"/>
                        <w:w w:val="95"/>
                        <w:sz w:val="22"/>
                        <w:vertAlign w:val="superscript"/>
                      </w:rPr>
                      <w:t>2</w:t>
                    </w:r>
                  </w:p>
                </w:txbxContent>
              </v:textbox>
              <w10:wrap type="none"/>
            </v:shape>
            <w10:wrap type="none"/>
          </v:group>
        </w:pict>
      </w:r>
      <w:r>
        <w:rPr>
          <w:sz w:val="20"/>
        </w:rPr>
        <w:t>S = Apparent Energy [VAh]</w:t>
      </w:r>
      <w:r>
        <w:rPr>
          <w:spacing w:val="-4"/>
          <w:sz w:val="20"/>
        </w:rPr>
        <w:t> </w:t>
      </w:r>
      <w:r>
        <w:rPr>
          <w:sz w:val="20"/>
        </w:rPr>
        <w:t>=</w:t>
      </w:r>
    </w:p>
    <w:p>
      <w:pPr>
        <w:pStyle w:val="BodyText"/>
        <w:spacing w:before="191"/>
        <w:ind w:left="239" w:right="404"/>
      </w:pPr>
      <w:r>
        <w:rPr/>
        <w:t>For a practical </w:t>
      </w:r>
      <w:r>
        <w:rPr>
          <w:spacing w:val="2"/>
        </w:rPr>
        <w:t>meter, </w:t>
      </w:r>
      <w:r>
        <w:rPr/>
        <w:t>not only voltage and current amplitudes, but also phase angles and harmonic content may change constantly. Thus, simple RMS measurements are inherently inaccurate. A modern solid-state electricity meter IC such as the 71M6543 functions by emulating the integral operation    above, i.e. it processes current and voltage samples through an ADC at a constant frequency. As long as the ADC resolution is high enough and the sample frequency is beyond the harmonic range of interest, the current and voltage samples, multiplied with the time period of sampling yields an accurate quantity for the momentary energy. Summing-up the momentary energy quantities over time results in accumulated</w:t>
      </w:r>
      <w:r>
        <w:rPr>
          <w:spacing w:val="-2"/>
        </w:rPr>
        <w:t> </w:t>
      </w:r>
      <w:r>
        <w:rPr/>
        <w:t>energy.</w:t>
      </w:r>
    </w:p>
    <w:p>
      <w:pPr>
        <w:pStyle w:val="BodyText"/>
        <w:rPr>
          <w:sz w:val="18"/>
        </w:rPr>
      </w:pPr>
    </w:p>
    <w:p>
      <w:pPr>
        <w:spacing w:before="96"/>
        <w:ind w:left="1778" w:right="0" w:firstLine="0"/>
        <w:jc w:val="left"/>
        <w:rPr>
          <w:sz w:val="15"/>
        </w:rPr>
      </w:pPr>
      <w:r>
        <w:rPr/>
        <w:pict>
          <v:group style="position:absolute;margin-left:165.442963pt;margin-top:8.769807pt;width:281.650pt;height:214.85pt;mso-position-horizontal-relative:page;mso-position-vertical-relative:paragraph;z-index:15827456" coordorigin="3309,175" coordsize="5633,4297">
            <v:line style="position:absolute" from="3356,4468" to="8837,4468" stroked="true" strokeweight="0pt" strokecolor="#000000">
              <v:stroke dashstyle="shortdot"/>
            </v:line>
            <v:line style="position:absolute" from="4724,4185" to="4724,4468" stroked="true" strokeweight="0pt" strokecolor="#000000">
              <v:stroke dashstyle="shortdot"/>
            </v:line>
            <v:line style="position:absolute" from="5790,4044" to="8837,4044" stroked="true" strokeweight="0pt" strokecolor="#000000">
              <v:stroke dashstyle="shortdot"/>
            </v:line>
            <v:line style="position:absolute" from="5790,3610" to="8837,3610" stroked="true" strokeweight="0pt" strokecolor="#000000">
              <v:stroke dashstyle="shortdot"/>
            </v:line>
            <v:line style="position:absolute" from="3356,3186" to="8837,3186" stroked="true" strokeweight="0pt" strokecolor="#000000">
              <v:stroke dashstyle="shortdot"/>
            </v:line>
            <v:line style="position:absolute" from="3356,2753" to="8837,2753" stroked="true" strokeweight="0pt" strokecolor="#000000">
              <v:stroke dashstyle="shortdot"/>
            </v:line>
            <v:line style="position:absolute" from="3356,1895" to="8837,1895" stroked="true" strokeweight="0pt" strokecolor="#000000">
              <v:stroke dashstyle="shortdot"/>
            </v:line>
            <v:line style="position:absolute" from="3356,1471" to="8837,1471" stroked="true" strokeweight="0pt" strokecolor="#000000">
              <v:stroke dashstyle="shortdot"/>
            </v:line>
            <v:line style="position:absolute" from="3356,1038" to="8837,1038" stroked="true" strokeweight="0pt" strokecolor="#000000">
              <v:stroke dashstyle="shortdot"/>
            </v:line>
            <v:line style="position:absolute" from="3356,614" to="8837,614" stroked="true" strokeweight="0pt" strokecolor="#000000">
              <v:stroke dashstyle="shortdot"/>
            </v:line>
            <v:line style="position:absolute" from="3356,180" to="8837,180" stroked="true" strokeweight="0pt" strokecolor="#000000">
              <v:stroke dashstyle="shortdot"/>
            </v:line>
            <v:line style="position:absolute" from="4724,180" to="4724,3224" stroked="true" strokeweight="0pt" strokecolor="#000000">
              <v:stroke dashstyle="shortdot"/>
            </v:line>
            <v:line style="position:absolute" from="6101,180" to="6101,4468" stroked="true" strokeweight="0pt" strokecolor="#000000">
              <v:stroke dashstyle="shortdot"/>
            </v:line>
            <v:line style="position:absolute" from="7469,180" to="7469,4468" stroked="true" strokeweight="0pt" strokecolor="#000000">
              <v:stroke dashstyle="shortdot"/>
            </v:line>
            <v:line style="position:absolute" from="8837,180" to="8837,4468" stroked="true" strokeweight="0pt" strokecolor="#000000">
              <v:stroke dashstyle="shortdot"/>
            </v:line>
            <v:line style="position:absolute" from="3356,180" to="8837,180" stroked="true" strokeweight=".471154pt" strokecolor="#000000">
              <v:stroke dashstyle="solid"/>
            </v:line>
            <v:line style="position:absolute" from="8837,180" to="8837,4468" stroked="true" strokeweight=".471662pt" strokecolor="#000000">
              <v:stroke dashstyle="solid"/>
            </v:line>
            <v:line style="position:absolute" from="8837,4468" to="3356,4468" stroked="true" strokeweight=".471154pt" strokecolor="#000000">
              <v:stroke dashstyle="solid"/>
            </v:line>
            <v:line style="position:absolute" from="3356,4044" to="3686,4044" stroked="true" strokeweight="0pt" strokecolor="#000000">
              <v:stroke dashstyle="shortdot"/>
            </v:line>
            <v:line style="position:absolute" from="3356,3610" to="3686,3610" stroked="true" strokeweight="0pt" strokecolor="#000000">
              <v:stroke dashstyle="shortdot"/>
            </v:line>
            <v:line style="position:absolute" from="3356,4468" to="3356,180" stroked="true" strokeweight=".471662pt" strokecolor="#000000">
              <v:stroke dashstyle="solid"/>
            </v:line>
            <v:line style="position:absolute" from="3356,180" to="3356,4468" stroked="true" strokeweight="0pt" strokecolor="#000000">
              <v:stroke dashstyle="solid"/>
            </v:line>
            <v:line style="position:absolute" from="3309,4468" to="3356,4468" stroked="true" strokeweight="0pt" strokecolor="#000000">
              <v:stroke dashstyle="solid"/>
            </v:line>
            <v:line style="position:absolute" from="3309,4044" to="3356,4044" stroked="true" strokeweight="0pt" strokecolor="#000000">
              <v:stroke dashstyle="solid"/>
            </v:line>
            <v:line style="position:absolute" from="3309,3610" to="3356,3610" stroked="true" strokeweight="0pt" strokecolor="#000000">
              <v:stroke dashstyle="solid"/>
            </v:line>
            <v:line style="position:absolute" from="3309,3186" to="3356,3186" stroked="true" strokeweight="0pt" strokecolor="#000000">
              <v:stroke dashstyle="solid"/>
            </v:line>
            <v:line style="position:absolute" from="3309,2753" to="3356,2753" stroked="true" strokeweight="0pt" strokecolor="#000000">
              <v:stroke dashstyle="solid"/>
            </v:line>
            <v:line style="position:absolute" from="3309,2329" to="3356,2329" stroked="true" strokeweight="0pt" strokecolor="#000000">
              <v:stroke dashstyle="solid"/>
            </v:line>
            <v:line style="position:absolute" from="3309,1895" to="3356,1895" stroked="true" strokeweight="0pt" strokecolor="#000000">
              <v:stroke dashstyle="solid"/>
            </v:line>
            <v:line style="position:absolute" from="3309,1471" to="3356,1471" stroked="true" strokeweight="0pt" strokecolor="#000000">
              <v:stroke dashstyle="solid"/>
            </v:line>
            <v:line style="position:absolute" from="3309,1038" to="3356,1038" stroked="true" strokeweight="0pt" strokecolor="#000000">
              <v:stroke dashstyle="solid"/>
            </v:line>
            <v:line style="position:absolute" from="3309,614" to="3356,614" stroked="true" strokeweight="0pt" strokecolor="#000000">
              <v:stroke dashstyle="solid"/>
            </v:line>
            <v:line style="position:absolute" from="3309,180" to="3356,180" stroked="true" strokeweight="0pt" strokecolor="#000000">
              <v:stroke dashstyle="solid"/>
            </v:line>
            <v:shape style="position:absolute;left:3323;top:236;width:5514;height:3949" type="#_x0000_t75" stroked="false">
              <v:imagedata r:id="rId158" o:title=""/>
            </v:shape>
            <v:shape style="position:absolute;left:3318;top:2465;width:104;height:169" type="#_x0000_t202" filled="false" stroked="false">
              <v:textbox inset="0,0,0,0">
                <w:txbxContent>
                  <w:p>
                    <w:pPr>
                      <w:spacing w:line="168" w:lineRule="exact" w:before="0"/>
                      <w:ind w:left="0" w:right="0" w:firstLine="0"/>
                      <w:jc w:val="left"/>
                      <w:rPr>
                        <w:sz w:val="15"/>
                      </w:rPr>
                    </w:pPr>
                    <w:r>
                      <w:rPr>
                        <w:w w:val="100"/>
                        <w:sz w:val="15"/>
                      </w:rPr>
                      <w:t>0</w:t>
                    </w:r>
                  </w:p>
                </w:txbxContent>
              </v:textbox>
              <w10:wrap type="none"/>
            </v:shape>
            <v:shape style="position:absolute;left:4686;top:2465;width:104;height:169" type="#_x0000_t202" filled="false" stroked="false">
              <v:textbox inset="0,0,0,0">
                <w:txbxContent>
                  <w:p>
                    <w:pPr>
                      <w:spacing w:line="168" w:lineRule="exact" w:before="0"/>
                      <w:ind w:left="0" w:right="0" w:firstLine="0"/>
                      <w:jc w:val="left"/>
                      <w:rPr>
                        <w:sz w:val="15"/>
                      </w:rPr>
                    </w:pPr>
                    <w:r>
                      <w:rPr>
                        <w:w w:val="100"/>
                        <w:sz w:val="15"/>
                      </w:rPr>
                      <w:t>5</w:t>
                    </w:r>
                  </w:p>
                </w:txbxContent>
              </v:textbox>
              <w10:wrap type="none"/>
            </v:shape>
            <v:shape style="position:absolute;left:6016;top:2465;width:190;height:169" type="#_x0000_t202" filled="false" stroked="false">
              <v:textbox inset="0,0,0,0">
                <w:txbxContent>
                  <w:p>
                    <w:pPr>
                      <w:spacing w:line="168" w:lineRule="exact" w:before="0"/>
                      <w:ind w:left="0" w:right="0" w:firstLine="0"/>
                      <w:jc w:val="left"/>
                      <w:rPr>
                        <w:sz w:val="15"/>
                      </w:rPr>
                    </w:pPr>
                    <w:r>
                      <w:rPr>
                        <w:sz w:val="15"/>
                      </w:rPr>
                      <w:t>10</w:t>
                    </w:r>
                  </w:p>
                </w:txbxContent>
              </v:textbox>
              <w10:wrap type="none"/>
            </v:shape>
            <v:shape style="position:absolute;left:7383;top:2465;width:190;height:169" type="#_x0000_t202" filled="false" stroked="false">
              <v:textbox inset="0,0,0,0">
                <w:txbxContent>
                  <w:p>
                    <w:pPr>
                      <w:spacing w:line="168" w:lineRule="exact" w:before="0"/>
                      <w:ind w:left="0" w:right="0" w:firstLine="0"/>
                      <w:jc w:val="left"/>
                      <w:rPr>
                        <w:sz w:val="15"/>
                      </w:rPr>
                    </w:pPr>
                    <w:r>
                      <w:rPr>
                        <w:sz w:val="15"/>
                      </w:rPr>
                      <w:t>15</w:t>
                    </w:r>
                  </w:p>
                </w:txbxContent>
              </v:textbox>
              <w10:wrap type="none"/>
            </v:shape>
            <v:shape style="position:absolute;left:8751;top:2465;width:190;height:169" type="#_x0000_t202" filled="false" stroked="false">
              <v:textbox inset="0,0,0,0">
                <w:txbxContent>
                  <w:p>
                    <w:pPr>
                      <w:spacing w:line="168" w:lineRule="exact" w:before="0"/>
                      <w:ind w:left="0" w:right="0" w:firstLine="0"/>
                      <w:jc w:val="left"/>
                      <w:rPr>
                        <w:sz w:val="15"/>
                      </w:rPr>
                    </w:pPr>
                    <w:r>
                      <w:rPr>
                        <w:sz w:val="15"/>
                      </w:rPr>
                      <w:t>20</w:t>
                    </w:r>
                  </w:p>
                </w:txbxContent>
              </v:textbox>
              <w10:wrap type="none"/>
            </v:shape>
            <v:shape style="position:absolute;left:4101;top:3274;width:1625;height:856" type="#_x0000_t202" filled="false" stroked="false">
              <v:textbox inset="0,0,0,0">
                <w:txbxContent>
                  <w:p>
                    <w:pPr>
                      <w:spacing w:line="350" w:lineRule="auto" w:before="0"/>
                      <w:ind w:left="0" w:right="493" w:firstLine="0"/>
                      <w:jc w:val="left"/>
                      <w:rPr>
                        <w:sz w:val="14"/>
                      </w:rPr>
                    </w:pPr>
                    <w:r>
                      <w:rPr>
                        <w:sz w:val="14"/>
                      </w:rPr>
                      <w:t>Current [A] Voltage [V]</w:t>
                    </w:r>
                  </w:p>
                  <w:p>
                    <w:pPr>
                      <w:spacing w:before="0"/>
                      <w:ind w:left="0" w:right="0" w:firstLine="0"/>
                      <w:jc w:val="left"/>
                      <w:rPr>
                        <w:sz w:val="14"/>
                      </w:rPr>
                    </w:pPr>
                    <w:r>
                      <w:rPr>
                        <w:sz w:val="14"/>
                      </w:rPr>
                      <w:t>Energy per Interval [Ws]</w:t>
                    </w:r>
                  </w:p>
                  <w:p>
                    <w:pPr>
                      <w:spacing w:before="63"/>
                      <w:ind w:left="0" w:right="0" w:firstLine="0"/>
                      <w:jc w:val="left"/>
                      <w:rPr>
                        <w:sz w:val="14"/>
                      </w:rPr>
                    </w:pPr>
                    <w:r>
                      <w:rPr>
                        <w:sz w:val="14"/>
                      </w:rPr>
                      <w:t>Accumulated Energy [Ws]</w:t>
                    </w:r>
                  </w:p>
                </w:txbxContent>
              </v:textbox>
              <w10:wrap type="none"/>
            </v:shape>
            <w10:wrap type="none"/>
          </v:group>
        </w:pict>
      </w:r>
      <w:r>
        <w:rPr>
          <w:sz w:val="15"/>
        </w:rPr>
        <w:t>500</w:t>
      </w:r>
    </w:p>
    <w:p>
      <w:pPr>
        <w:pStyle w:val="BodyText"/>
        <w:spacing w:before="4"/>
        <w:rPr>
          <w:sz w:val="14"/>
        </w:rPr>
      </w:pPr>
    </w:p>
    <w:p>
      <w:pPr>
        <w:spacing w:before="96"/>
        <w:ind w:left="1778" w:right="0" w:firstLine="0"/>
        <w:jc w:val="left"/>
        <w:rPr>
          <w:sz w:val="15"/>
        </w:rPr>
      </w:pPr>
      <w:r>
        <w:rPr>
          <w:sz w:val="15"/>
        </w:rPr>
        <w:t>400</w:t>
      </w:r>
    </w:p>
    <w:p>
      <w:pPr>
        <w:pStyle w:val="BodyText"/>
        <w:spacing w:before="6"/>
        <w:rPr>
          <w:sz w:val="13"/>
        </w:rPr>
      </w:pPr>
    </w:p>
    <w:p>
      <w:pPr>
        <w:spacing w:before="96"/>
        <w:ind w:left="1778" w:right="0" w:firstLine="0"/>
        <w:jc w:val="left"/>
        <w:rPr>
          <w:sz w:val="15"/>
        </w:rPr>
      </w:pPr>
      <w:r>
        <w:rPr>
          <w:sz w:val="15"/>
        </w:rPr>
        <w:t>300</w:t>
      </w:r>
    </w:p>
    <w:p>
      <w:pPr>
        <w:pStyle w:val="BodyText"/>
        <w:spacing w:before="4"/>
        <w:rPr>
          <w:sz w:val="14"/>
        </w:rPr>
      </w:pPr>
    </w:p>
    <w:p>
      <w:pPr>
        <w:spacing w:before="96"/>
        <w:ind w:left="1778" w:right="0" w:firstLine="0"/>
        <w:jc w:val="left"/>
        <w:rPr>
          <w:sz w:val="15"/>
        </w:rPr>
      </w:pPr>
      <w:r>
        <w:rPr>
          <w:sz w:val="15"/>
        </w:rPr>
        <w:t>200</w:t>
      </w:r>
    </w:p>
    <w:p>
      <w:pPr>
        <w:pStyle w:val="BodyText"/>
        <w:spacing w:before="6"/>
        <w:rPr>
          <w:sz w:val="13"/>
        </w:rPr>
      </w:pPr>
    </w:p>
    <w:p>
      <w:pPr>
        <w:spacing w:before="96"/>
        <w:ind w:left="1778" w:right="0" w:firstLine="0"/>
        <w:jc w:val="left"/>
        <w:rPr>
          <w:sz w:val="15"/>
        </w:rPr>
      </w:pPr>
      <w:r>
        <w:rPr>
          <w:sz w:val="15"/>
        </w:rPr>
        <w:t>100</w:t>
      </w:r>
    </w:p>
    <w:p>
      <w:pPr>
        <w:pStyle w:val="BodyText"/>
        <w:spacing w:before="4"/>
        <w:rPr>
          <w:sz w:val="14"/>
        </w:rPr>
      </w:pPr>
    </w:p>
    <w:p>
      <w:pPr>
        <w:spacing w:before="96"/>
        <w:ind w:left="1948" w:right="0" w:firstLine="0"/>
        <w:jc w:val="left"/>
        <w:rPr>
          <w:sz w:val="15"/>
        </w:rPr>
      </w:pPr>
      <w:r>
        <w:rPr>
          <w:w w:val="100"/>
          <w:sz w:val="15"/>
        </w:rPr>
        <w:t>0</w:t>
      </w:r>
    </w:p>
    <w:p>
      <w:pPr>
        <w:pStyle w:val="BodyText"/>
        <w:spacing w:before="6"/>
        <w:rPr>
          <w:sz w:val="13"/>
        </w:rPr>
      </w:pPr>
    </w:p>
    <w:p>
      <w:pPr>
        <w:spacing w:before="96"/>
        <w:ind w:left="1731" w:right="0" w:firstLine="0"/>
        <w:jc w:val="left"/>
        <w:rPr>
          <w:sz w:val="15"/>
        </w:rPr>
      </w:pPr>
      <w:r>
        <w:rPr>
          <w:sz w:val="15"/>
        </w:rPr>
        <w:t>-100</w:t>
      </w:r>
    </w:p>
    <w:p>
      <w:pPr>
        <w:pStyle w:val="BodyText"/>
        <w:spacing w:before="4"/>
        <w:rPr>
          <w:sz w:val="14"/>
        </w:rPr>
      </w:pPr>
    </w:p>
    <w:p>
      <w:pPr>
        <w:spacing w:before="96"/>
        <w:ind w:left="1731" w:right="0" w:firstLine="0"/>
        <w:jc w:val="left"/>
        <w:rPr>
          <w:sz w:val="15"/>
        </w:rPr>
      </w:pPr>
      <w:r>
        <w:rPr>
          <w:sz w:val="15"/>
        </w:rPr>
        <w:t>-200</w:t>
      </w:r>
    </w:p>
    <w:p>
      <w:pPr>
        <w:pStyle w:val="BodyText"/>
        <w:spacing w:before="6"/>
        <w:rPr>
          <w:sz w:val="13"/>
        </w:rPr>
      </w:pPr>
    </w:p>
    <w:p>
      <w:pPr>
        <w:spacing w:before="96"/>
        <w:ind w:left="1731" w:right="0" w:firstLine="0"/>
        <w:jc w:val="left"/>
        <w:rPr>
          <w:sz w:val="15"/>
        </w:rPr>
      </w:pPr>
      <w:r>
        <w:rPr>
          <w:sz w:val="15"/>
        </w:rPr>
        <w:t>-300</w:t>
      </w:r>
    </w:p>
    <w:p>
      <w:pPr>
        <w:pStyle w:val="BodyText"/>
        <w:spacing w:before="4"/>
        <w:rPr>
          <w:sz w:val="14"/>
        </w:rPr>
      </w:pPr>
    </w:p>
    <w:p>
      <w:pPr>
        <w:spacing w:before="96"/>
        <w:ind w:left="1731" w:right="0" w:firstLine="0"/>
        <w:jc w:val="left"/>
        <w:rPr>
          <w:sz w:val="15"/>
        </w:rPr>
      </w:pPr>
      <w:r>
        <w:rPr>
          <w:sz w:val="15"/>
        </w:rPr>
        <w:t>-400</w:t>
      </w:r>
    </w:p>
    <w:p>
      <w:pPr>
        <w:pStyle w:val="BodyText"/>
        <w:spacing w:before="6"/>
        <w:rPr>
          <w:sz w:val="13"/>
        </w:rPr>
      </w:pPr>
    </w:p>
    <w:p>
      <w:pPr>
        <w:spacing w:before="96"/>
        <w:ind w:left="1731" w:right="0" w:firstLine="0"/>
        <w:jc w:val="left"/>
        <w:rPr>
          <w:sz w:val="15"/>
        </w:rPr>
      </w:pPr>
      <w:r>
        <w:rPr>
          <w:sz w:val="15"/>
        </w:rPr>
        <w:t>-500</w:t>
      </w:r>
    </w:p>
    <w:p>
      <w:pPr>
        <w:pStyle w:val="BodyText"/>
        <w:spacing w:before="1"/>
        <w:rPr>
          <w:sz w:val="13"/>
        </w:rPr>
      </w:pPr>
    </w:p>
    <w:p>
      <w:pPr>
        <w:spacing w:before="93"/>
        <w:ind w:left="65" w:right="204" w:firstLine="0"/>
        <w:jc w:val="center"/>
        <w:rPr>
          <w:b/>
          <w:sz w:val="20"/>
        </w:rPr>
      </w:pPr>
      <w:bookmarkStart w:name="_bookmark150" w:id="299"/>
      <w:bookmarkEnd w:id="299"/>
      <w:r>
        <w:rPr/>
      </w:r>
      <w:r>
        <w:rPr>
          <w:b/>
          <w:sz w:val="20"/>
        </w:rPr>
        <w:t>Figure 24: Voltage, Current, Momentary and Accumulated Energy</w:t>
      </w:r>
    </w:p>
    <w:p>
      <w:pPr>
        <w:pStyle w:val="BodyText"/>
        <w:spacing w:before="3"/>
        <w:rPr>
          <w:b/>
        </w:rPr>
      </w:pPr>
    </w:p>
    <w:p>
      <w:pPr>
        <w:pStyle w:val="BodyText"/>
        <w:ind w:left="239" w:right="396"/>
      </w:pPr>
      <w:hyperlink w:history="true" w:anchor="_bookmark150">
        <w:r>
          <w:rPr>
            <w:color w:val="0000FF"/>
          </w:rPr>
          <w:t>Figure 24 </w:t>
        </w:r>
      </w:hyperlink>
      <w:r>
        <w:rPr/>
        <w:t>shows the shapes of V(t), I(t), the momentary power and the accumulated power, resulting from 50 samples of the voltage and current signals over a period of 20 ms. The application of 240 VAC and 100 A results in an accumulation of 480 </w:t>
      </w:r>
      <w:r>
        <w:rPr>
          <w:spacing w:val="5"/>
        </w:rPr>
        <w:t>Ws </w:t>
      </w:r>
      <w:r>
        <w:rPr/>
        <w:t>(= 0.133 </w:t>
      </w:r>
      <w:r>
        <w:rPr>
          <w:spacing w:val="2"/>
        </w:rPr>
        <w:t>Wh) </w:t>
      </w:r>
      <w:r>
        <w:rPr/>
        <w:t>over the 20 ms period, as indicated by </w:t>
      </w:r>
      <w:r>
        <w:rPr>
          <w:spacing w:val="2"/>
        </w:rPr>
        <w:t>the </w:t>
      </w:r>
      <w:r>
        <w:rPr>
          <w:spacing w:val="-3"/>
        </w:rPr>
        <w:t>accumulated</w:t>
      </w:r>
      <w:r>
        <w:rPr>
          <w:spacing w:val="-12"/>
        </w:rPr>
        <w:t> </w:t>
      </w:r>
      <w:r>
        <w:rPr/>
        <w:t>power</w:t>
      </w:r>
      <w:r>
        <w:rPr>
          <w:spacing w:val="-13"/>
        </w:rPr>
        <w:t> </w:t>
      </w:r>
      <w:r>
        <w:rPr/>
        <w:t>curve.</w:t>
      </w:r>
      <w:r>
        <w:rPr>
          <w:spacing w:val="33"/>
        </w:rPr>
        <w:t> </w:t>
      </w:r>
      <w:r>
        <w:rPr/>
        <w:t>The</w:t>
      </w:r>
      <w:r>
        <w:rPr>
          <w:spacing w:val="-14"/>
        </w:rPr>
        <w:t> </w:t>
      </w:r>
      <w:r>
        <w:rPr/>
        <w:t>described</w:t>
      </w:r>
      <w:r>
        <w:rPr>
          <w:spacing w:val="-12"/>
        </w:rPr>
        <w:t> </w:t>
      </w:r>
      <w:r>
        <w:rPr/>
        <w:t>sampling</w:t>
      </w:r>
      <w:r>
        <w:rPr>
          <w:spacing w:val="-12"/>
        </w:rPr>
        <w:t> </w:t>
      </w:r>
      <w:r>
        <w:rPr/>
        <w:t>method</w:t>
      </w:r>
      <w:r>
        <w:rPr>
          <w:spacing w:val="-12"/>
        </w:rPr>
        <w:t> </w:t>
      </w:r>
      <w:r>
        <w:rPr/>
        <w:t>works</w:t>
      </w:r>
      <w:r>
        <w:rPr>
          <w:spacing w:val="-12"/>
        </w:rPr>
        <w:t> </w:t>
      </w:r>
      <w:r>
        <w:rPr>
          <w:spacing w:val="-3"/>
        </w:rPr>
        <w:t>reliably,</w:t>
      </w:r>
      <w:r>
        <w:rPr>
          <w:spacing w:val="-12"/>
        </w:rPr>
        <w:t> </w:t>
      </w:r>
      <w:r>
        <w:rPr/>
        <w:t>even</w:t>
      </w:r>
      <w:r>
        <w:rPr>
          <w:spacing w:val="-12"/>
        </w:rPr>
        <w:t> </w:t>
      </w:r>
      <w:r>
        <w:rPr/>
        <w:t>in</w:t>
      </w:r>
      <w:r>
        <w:rPr>
          <w:spacing w:val="-12"/>
        </w:rPr>
        <w:t> </w:t>
      </w:r>
      <w:r>
        <w:rPr/>
        <w:t>the</w:t>
      </w:r>
      <w:r>
        <w:rPr>
          <w:spacing w:val="-12"/>
        </w:rPr>
        <w:t> </w:t>
      </w:r>
      <w:r>
        <w:rPr/>
        <w:t>presence</w:t>
      </w:r>
      <w:r>
        <w:rPr>
          <w:spacing w:val="-13"/>
        </w:rPr>
        <w:t> </w:t>
      </w:r>
      <w:r>
        <w:rPr/>
        <w:t>of</w:t>
      </w:r>
      <w:r>
        <w:rPr>
          <w:spacing w:val="-11"/>
        </w:rPr>
        <w:t> </w:t>
      </w:r>
      <w:r>
        <w:rPr/>
        <w:t>dynamic phase shift and harmonic</w:t>
      </w:r>
      <w:r>
        <w:rPr>
          <w:spacing w:val="-2"/>
        </w:rPr>
        <w:t> </w:t>
      </w:r>
      <w:r>
        <w:rPr/>
        <w:t>distortion.</w:t>
      </w:r>
    </w:p>
    <w:p>
      <w:pPr>
        <w:pStyle w:val="ListParagraph"/>
        <w:numPr>
          <w:ilvl w:val="1"/>
          <w:numId w:val="22"/>
        </w:numPr>
        <w:tabs>
          <w:tab w:pos="959" w:val="left" w:leader="none"/>
          <w:tab w:pos="960" w:val="left" w:leader="none"/>
        </w:tabs>
        <w:spacing w:line="240" w:lineRule="auto" w:before="118" w:after="0"/>
        <w:ind w:left="960" w:right="0" w:hanging="720"/>
        <w:jc w:val="left"/>
        <w:rPr>
          <w:b/>
          <w:sz w:val="24"/>
        </w:rPr>
      </w:pPr>
      <w:bookmarkStart w:name="3.2 Battery Modes" w:id="300"/>
      <w:bookmarkEnd w:id="300"/>
      <w:r>
        <w:rPr/>
      </w:r>
      <w:bookmarkStart w:name="_bookmark151" w:id="301"/>
      <w:bookmarkEnd w:id="301"/>
      <w:r>
        <w:rPr/>
      </w:r>
      <w:bookmarkStart w:name="_bookmark151" w:id="302"/>
      <w:bookmarkEnd w:id="302"/>
      <w:r>
        <w:rPr>
          <w:b/>
          <w:sz w:val="24"/>
        </w:rPr>
        <w:t>B</w:t>
      </w:r>
      <w:r>
        <w:rPr>
          <w:b/>
          <w:sz w:val="24"/>
        </w:rPr>
        <w:t>attery</w:t>
      </w:r>
      <w:r>
        <w:rPr>
          <w:b/>
          <w:spacing w:val="-5"/>
          <w:sz w:val="24"/>
        </w:rPr>
        <w:t> </w:t>
      </w:r>
      <w:r>
        <w:rPr>
          <w:b/>
          <w:sz w:val="24"/>
        </w:rPr>
        <w:t>Modes</w:t>
      </w:r>
    </w:p>
    <w:p>
      <w:pPr>
        <w:pStyle w:val="BodyText"/>
        <w:spacing w:before="121"/>
        <w:ind w:left="240" w:right="490"/>
      </w:pPr>
      <w:r>
        <w:rPr/>
        <w:t>Shortly after system power (V3P3SYS) is applied, the 71M6543 is in mission mode (MSN mode). MSN mode means that the part is operating with system power and that the internal PLL is stable. This mode is the normal operating mode where the part is capable of measuring energy.</w:t>
      </w:r>
    </w:p>
    <w:p>
      <w:pPr>
        <w:spacing w:after="0"/>
        <w:sectPr>
          <w:pgSz w:w="12240" w:h="15840"/>
          <w:pgMar w:header="727" w:footer="819" w:top="960" w:bottom="1000" w:left="1200" w:right="1060"/>
        </w:sectPr>
      </w:pPr>
    </w:p>
    <w:p>
      <w:pPr>
        <w:pStyle w:val="BodyText"/>
        <w:spacing w:before="8"/>
        <w:rPr>
          <w:sz w:val="16"/>
        </w:rPr>
      </w:pPr>
    </w:p>
    <w:p>
      <w:pPr>
        <w:pStyle w:val="BodyText"/>
        <w:spacing w:before="93"/>
        <w:ind w:left="240"/>
      </w:pPr>
      <w:r>
        <w:rPr/>
        <w:t>When system power is not available, the 71M6543 is in one of three battery modes:</w:t>
      </w:r>
    </w:p>
    <w:p>
      <w:pPr>
        <w:pStyle w:val="ListParagraph"/>
        <w:numPr>
          <w:ilvl w:val="0"/>
          <w:numId w:val="15"/>
        </w:numPr>
        <w:tabs>
          <w:tab w:pos="599" w:val="left" w:leader="none"/>
          <w:tab w:pos="600" w:val="left" w:leader="none"/>
        </w:tabs>
        <w:spacing w:line="240" w:lineRule="auto" w:before="121" w:after="0"/>
        <w:ind w:left="599" w:right="0" w:hanging="360"/>
        <w:jc w:val="left"/>
        <w:rPr>
          <w:sz w:val="20"/>
        </w:rPr>
      </w:pPr>
      <w:r>
        <w:rPr>
          <w:sz w:val="20"/>
        </w:rPr>
        <w:t>BRN mode (brownout</w:t>
      </w:r>
      <w:r>
        <w:rPr>
          <w:spacing w:val="-14"/>
          <w:sz w:val="20"/>
        </w:rPr>
        <w:t> </w:t>
      </w:r>
      <w:r>
        <w:rPr>
          <w:sz w:val="20"/>
        </w:rPr>
        <w:t>mode)</w:t>
      </w:r>
    </w:p>
    <w:p>
      <w:pPr>
        <w:pStyle w:val="ListParagraph"/>
        <w:numPr>
          <w:ilvl w:val="0"/>
          <w:numId w:val="15"/>
        </w:numPr>
        <w:tabs>
          <w:tab w:pos="599" w:val="left" w:leader="none"/>
          <w:tab w:pos="600" w:val="left" w:leader="none"/>
        </w:tabs>
        <w:spacing w:line="240" w:lineRule="auto" w:before="19" w:after="0"/>
        <w:ind w:left="599" w:right="0" w:hanging="360"/>
        <w:jc w:val="left"/>
        <w:rPr>
          <w:sz w:val="20"/>
        </w:rPr>
      </w:pPr>
      <w:r>
        <w:rPr>
          <w:sz w:val="20"/>
        </w:rPr>
        <w:t>LCD mode (LCD-only</w:t>
      </w:r>
      <w:r>
        <w:rPr>
          <w:spacing w:val="-13"/>
          <w:sz w:val="20"/>
        </w:rPr>
        <w:t> </w:t>
      </w:r>
      <w:r>
        <w:rPr>
          <w:sz w:val="20"/>
        </w:rPr>
        <w:t>mode)</w:t>
      </w:r>
    </w:p>
    <w:p>
      <w:pPr>
        <w:pStyle w:val="ListParagraph"/>
        <w:numPr>
          <w:ilvl w:val="0"/>
          <w:numId w:val="15"/>
        </w:numPr>
        <w:tabs>
          <w:tab w:pos="599" w:val="left" w:leader="none"/>
          <w:tab w:pos="600" w:val="left" w:leader="none"/>
        </w:tabs>
        <w:spacing w:line="240" w:lineRule="auto" w:before="17" w:after="0"/>
        <w:ind w:left="599" w:right="0" w:hanging="360"/>
        <w:jc w:val="left"/>
        <w:rPr>
          <w:sz w:val="20"/>
        </w:rPr>
      </w:pPr>
      <w:r>
        <w:rPr>
          <w:sz w:val="20"/>
        </w:rPr>
        <w:t>SLP mode (sleep</w:t>
      </w:r>
      <w:r>
        <w:rPr>
          <w:spacing w:val="-5"/>
          <w:sz w:val="20"/>
        </w:rPr>
        <w:t> </w:t>
      </w:r>
      <w:r>
        <w:rPr>
          <w:sz w:val="20"/>
        </w:rPr>
        <w:t>mode).</w:t>
      </w:r>
    </w:p>
    <w:p>
      <w:pPr>
        <w:pStyle w:val="BodyText"/>
        <w:spacing w:before="118"/>
        <w:ind w:left="239" w:right="382"/>
      </w:pPr>
      <w:r>
        <w:rPr/>
        <w:t>An internal comparator monitors the voltage at the V3P3SYS pin (note that V3P3SYS and V3P3A are typically connected together at the PCB level). When the </w:t>
      </w:r>
      <w:r>
        <w:rPr>
          <w:spacing w:val="-3"/>
        </w:rPr>
        <w:t>V3P3SYS </w:t>
      </w:r>
      <w:r>
        <w:rPr/>
        <w:t>dc voltage drops below 2.8 VDC, </w:t>
      </w:r>
      <w:r>
        <w:rPr>
          <w:spacing w:val="-3"/>
        </w:rPr>
        <w:t>the comparator </w:t>
      </w:r>
      <w:r>
        <w:rPr/>
        <w:t>resets an internal power status bit called </w:t>
      </w:r>
      <w:r>
        <w:rPr>
          <w:rFonts w:ascii="Times New Roman"/>
          <w:i/>
        </w:rPr>
        <w:t>V3OK </w:t>
      </w:r>
      <w:r>
        <w:rPr/>
        <w:t>. As soon as system power is removed and </w:t>
      </w:r>
      <w:r>
        <w:rPr>
          <w:rFonts w:ascii="Times New Roman"/>
          <w:i/>
        </w:rPr>
        <w:t>V3OK </w:t>
      </w:r>
      <w:r>
        <w:rPr/>
        <w:t>= 0, the 71M6543 is forced to BRN mode. The MPU continues to execute code when the system transitions from MSN to BRN mode or from BRN to MSN mode. A soft reset should be executed when returning from BRN to MSN mode in order to re-initialize the I/O RAM. Depending on the MPU code, the MPU can choose to stay in BRN mode, or transition to LCD or to SLP mode (via the I/O RAM </w:t>
      </w:r>
      <w:r>
        <w:rPr>
          <w:spacing w:val="-3"/>
        </w:rPr>
        <w:t>bits </w:t>
      </w:r>
      <w:r>
        <w:rPr>
          <w:rFonts w:ascii="Times New Roman"/>
          <w:i/>
        </w:rPr>
        <w:t>LCD_ONLY</w:t>
      </w:r>
      <w:r>
        <w:rPr/>
        <w:t>,</w:t>
      </w:r>
      <w:r>
        <w:rPr>
          <w:spacing w:val="-17"/>
        </w:rPr>
        <w:t> </w:t>
      </w:r>
      <w:r>
        <w:rPr>
          <w:rFonts w:ascii="Times New Roman"/>
          <w:i/>
        </w:rPr>
        <w:t>I/O</w:t>
      </w:r>
      <w:r>
        <w:rPr>
          <w:rFonts w:ascii="Times New Roman"/>
          <w:i/>
          <w:spacing w:val="-11"/>
        </w:rPr>
        <w:t> </w:t>
      </w:r>
      <w:r>
        <w:rPr>
          <w:rFonts w:ascii="Times New Roman"/>
          <w:i/>
        </w:rPr>
        <w:t>RAM</w:t>
      </w:r>
      <w:r>
        <w:rPr>
          <w:rFonts w:ascii="Times New Roman"/>
          <w:i/>
          <w:spacing w:val="-10"/>
        </w:rPr>
        <w:t> </w:t>
      </w:r>
      <w:r>
        <w:rPr>
          <w:rFonts w:ascii="Times New Roman"/>
          <w:i/>
        </w:rPr>
        <w:t>0x28B2[6]</w:t>
      </w:r>
      <w:r>
        <w:rPr>
          <w:rFonts w:ascii="Times New Roman"/>
          <w:i/>
          <w:spacing w:val="-1"/>
        </w:rPr>
        <w:t> </w:t>
      </w:r>
      <w:r>
        <w:rPr/>
        <w:t>and</w:t>
      </w:r>
      <w:r>
        <w:rPr>
          <w:spacing w:val="-12"/>
        </w:rPr>
        <w:t> </w:t>
      </w:r>
      <w:r>
        <w:rPr>
          <w:rFonts w:ascii="Times New Roman"/>
          <w:i/>
        </w:rPr>
        <w:t>SLEEP,</w:t>
      </w:r>
      <w:r>
        <w:rPr>
          <w:rFonts w:ascii="Times New Roman"/>
          <w:i/>
          <w:spacing w:val="-10"/>
        </w:rPr>
        <w:t> </w:t>
      </w:r>
      <w:r>
        <w:rPr>
          <w:rFonts w:ascii="Times New Roman"/>
          <w:i/>
        </w:rPr>
        <w:t>I/O</w:t>
      </w:r>
      <w:r>
        <w:rPr>
          <w:rFonts w:ascii="Times New Roman"/>
          <w:i/>
          <w:spacing w:val="-10"/>
        </w:rPr>
        <w:t> </w:t>
      </w:r>
      <w:r>
        <w:rPr>
          <w:rFonts w:ascii="Times New Roman"/>
          <w:i/>
        </w:rPr>
        <w:t>RAM</w:t>
      </w:r>
      <w:r>
        <w:rPr>
          <w:rFonts w:ascii="Times New Roman"/>
          <w:i/>
          <w:spacing w:val="-11"/>
        </w:rPr>
        <w:t> </w:t>
      </w:r>
      <w:r>
        <w:rPr>
          <w:rFonts w:ascii="Times New Roman"/>
          <w:i/>
        </w:rPr>
        <w:t>0x28B2[7]</w:t>
      </w:r>
      <w:r>
        <w:rPr/>
        <w:t>).</w:t>
      </w:r>
      <w:r>
        <w:rPr>
          <w:spacing w:val="41"/>
        </w:rPr>
        <w:t> </w:t>
      </w:r>
      <w:r>
        <w:rPr/>
        <w:t>BRN</w:t>
      </w:r>
      <w:r>
        <w:rPr>
          <w:spacing w:val="-8"/>
        </w:rPr>
        <w:t> </w:t>
      </w:r>
      <w:r>
        <w:rPr/>
        <w:t>mode</w:t>
      </w:r>
      <w:r>
        <w:rPr>
          <w:spacing w:val="-7"/>
        </w:rPr>
        <w:t> </w:t>
      </w:r>
      <w:r>
        <w:rPr/>
        <w:t>is</w:t>
      </w:r>
      <w:r>
        <w:rPr>
          <w:spacing w:val="-7"/>
        </w:rPr>
        <w:t> </w:t>
      </w:r>
      <w:r>
        <w:rPr/>
        <w:t>similar</w:t>
      </w:r>
      <w:r>
        <w:rPr>
          <w:spacing w:val="-7"/>
        </w:rPr>
        <w:t> </w:t>
      </w:r>
      <w:r>
        <w:rPr/>
        <w:t>to</w:t>
      </w:r>
      <w:r>
        <w:rPr>
          <w:spacing w:val="-8"/>
        </w:rPr>
        <w:t> </w:t>
      </w:r>
      <w:r>
        <w:rPr/>
        <w:t>MSN</w:t>
      </w:r>
      <w:r>
        <w:rPr>
          <w:spacing w:val="-8"/>
        </w:rPr>
        <w:t> </w:t>
      </w:r>
      <w:r>
        <w:rPr/>
        <w:t>mode</w:t>
      </w:r>
      <w:r>
        <w:rPr>
          <w:spacing w:val="-7"/>
        </w:rPr>
        <w:t> </w:t>
      </w:r>
      <w:r>
        <w:rPr/>
        <w:t>except that resources powered by system power, such as the ADC and the CE, are not available (see </w:t>
      </w:r>
      <w:hyperlink w:history="true" w:anchor="_bookmark153">
        <w:r>
          <w:rPr>
            <w:color w:val="0000FF"/>
          </w:rPr>
          <w:t>Table 61</w:t>
        </w:r>
      </w:hyperlink>
      <w:r>
        <w:rPr/>
        <w:t>), and that the supply current is drawn from the VBAT pin. In BRN mode, the PLL continues to function at the same frequency as in MSN mode. The MPU can configure BRN mode as it desires. For instance, it may choose to minimize battery power by reducing the PLL or MPU clock </w:t>
      </w:r>
      <w:r>
        <w:rPr>
          <w:spacing w:val="-3"/>
        </w:rPr>
        <w:t>speed </w:t>
      </w:r>
      <w:r>
        <w:rPr/>
        <w:t>(see </w:t>
      </w:r>
      <w:hyperlink w:history="true" w:anchor="_bookmark154">
        <w:r>
          <w:rPr>
            <w:color w:val="0000FF"/>
          </w:rPr>
          <w:t>3.2.1 </w:t>
        </w:r>
      </w:hyperlink>
      <w:hyperlink w:history="true" w:anchor="_bookmark154">
        <w:r>
          <w:rPr>
            <w:color w:val="0000FF"/>
          </w:rPr>
          <w:t>BRN Mode</w:t>
        </w:r>
        <w:r>
          <w:rPr/>
          <w:t>,</w:t>
        </w:r>
      </w:hyperlink>
      <w:r>
        <w:rPr/>
        <w:t> for</w:t>
      </w:r>
      <w:r>
        <w:rPr>
          <w:spacing w:val="-8"/>
        </w:rPr>
        <w:t> </w:t>
      </w:r>
      <w:r>
        <w:rPr/>
        <w:t>the</w:t>
      </w:r>
      <w:r>
        <w:rPr>
          <w:spacing w:val="-6"/>
        </w:rPr>
        <w:t> </w:t>
      </w:r>
      <w:r>
        <w:rPr/>
        <w:t>recommended</w:t>
      </w:r>
      <w:r>
        <w:rPr>
          <w:spacing w:val="-7"/>
        </w:rPr>
        <w:t> </w:t>
      </w:r>
      <w:r>
        <w:rPr/>
        <w:t>settings</w:t>
      </w:r>
      <w:r>
        <w:rPr>
          <w:spacing w:val="-6"/>
        </w:rPr>
        <w:t> </w:t>
      </w:r>
      <w:r>
        <w:rPr/>
        <w:t>to</w:t>
      </w:r>
      <w:r>
        <w:rPr>
          <w:spacing w:val="-9"/>
        </w:rPr>
        <w:t> </w:t>
      </w:r>
      <w:r>
        <w:rPr/>
        <w:t>realize</w:t>
      </w:r>
      <w:r>
        <w:rPr>
          <w:spacing w:val="-6"/>
        </w:rPr>
        <w:t> </w:t>
      </w:r>
      <w:r>
        <w:rPr/>
        <w:t>minimum</w:t>
      </w:r>
      <w:r>
        <w:rPr>
          <w:spacing w:val="-4"/>
        </w:rPr>
        <w:t> </w:t>
      </w:r>
      <w:r>
        <w:rPr/>
        <w:t>power</w:t>
      </w:r>
      <w:r>
        <w:rPr>
          <w:spacing w:val="-7"/>
        </w:rPr>
        <w:t> </w:t>
      </w:r>
      <w:r>
        <w:rPr/>
        <w:t>consumption</w:t>
      </w:r>
      <w:r>
        <w:rPr>
          <w:spacing w:val="-5"/>
        </w:rPr>
        <w:t> </w:t>
      </w:r>
      <w:r>
        <w:rPr/>
        <w:t>in</w:t>
      </w:r>
      <w:r>
        <w:rPr>
          <w:spacing w:val="-4"/>
        </w:rPr>
        <w:t> </w:t>
      </w:r>
      <w:r>
        <w:rPr/>
        <w:t>BRN</w:t>
      </w:r>
      <w:r>
        <w:rPr>
          <w:spacing w:val="-3"/>
        </w:rPr>
        <w:t> </w:t>
      </w:r>
      <w:r>
        <w:rPr/>
        <w:t>mode).</w:t>
      </w:r>
    </w:p>
    <w:p>
      <w:pPr>
        <w:pStyle w:val="BodyText"/>
        <w:spacing w:before="122"/>
        <w:ind w:left="240" w:right="401"/>
      </w:pPr>
      <w:r>
        <w:rPr/>
        <w:t>When system power is restored, the 71M6543 automatically transitions from any of the battery modes (BRN, LCD, SLP) back to MSN mode.</w:t>
      </w:r>
    </w:p>
    <w:p>
      <w:pPr>
        <w:pStyle w:val="BodyText"/>
        <w:spacing w:before="118"/>
        <w:ind w:right="143"/>
        <w:jc w:val="center"/>
      </w:pPr>
      <w:hyperlink w:history="true" w:anchor="_bookmark152">
        <w:r>
          <w:rPr>
            <w:color w:val="0000FF"/>
          </w:rPr>
          <w:t>Figure 25 </w:t>
        </w:r>
      </w:hyperlink>
      <w:r>
        <w:rPr/>
        <w:t>shows a state diagram of the various operating modes, with the possible transitions between modes.</w:t>
      </w:r>
    </w:p>
    <w:p>
      <w:pPr>
        <w:pStyle w:val="BodyText"/>
        <w:spacing w:before="121"/>
        <w:ind w:right="191"/>
        <w:jc w:val="center"/>
      </w:pPr>
      <w:r>
        <w:rPr/>
        <w:drawing>
          <wp:anchor distT="0" distB="0" distL="0" distR="0" allowOverlap="1" layoutInCell="1" locked="0" behindDoc="1" simplePos="0" relativeHeight="464563200">
            <wp:simplePos x="0" y="0"/>
            <wp:positionH relativeFrom="page">
              <wp:posOffset>2103389</wp:posOffset>
            </wp:positionH>
            <wp:positionV relativeFrom="paragraph">
              <wp:posOffset>627862</wp:posOffset>
            </wp:positionV>
            <wp:extent cx="3211909" cy="3381375"/>
            <wp:effectExtent l="0" t="0" r="0" b="0"/>
            <wp:wrapNone/>
            <wp:docPr id="99" name="image135.png"/>
            <wp:cNvGraphicFramePr>
              <a:graphicFrameLocks noChangeAspect="1"/>
            </wp:cNvGraphicFramePr>
            <a:graphic>
              <a:graphicData uri="http://schemas.openxmlformats.org/drawingml/2006/picture">
                <pic:pic>
                  <pic:nvPicPr>
                    <pic:cNvPr id="100" name="image135.png"/>
                    <pic:cNvPicPr/>
                  </pic:nvPicPr>
                  <pic:blipFill>
                    <a:blip r:embed="rId159" cstate="print"/>
                    <a:stretch>
                      <a:fillRect/>
                    </a:stretch>
                  </pic:blipFill>
                  <pic:spPr>
                    <a:xfrm>
                      <a:off x="0" y="0"/>
                      <a:ext cx="3211909" cy="3381375"/>
                    </a:xfrm>
                    <a:prstGeom prst="rect">
                      <a:avLst/>
                    </a:prstGeom>
                  </pic:spPr>
                </pic:pic>
              </a:graphicData>
            </a:graphic>
          </wp:anchor>
        </w:drawing>
      </w:r>
      <w:r>
        <w:rPr/>
        <w:t>When the part wakes-up under battery power, the part automatically enters BRN mode (see </w:t>
      </w:r>
      <w:hyperlink w:history="true" w:anchor="_bookmark163">
        <w:r>
          <w:rPr>
            <w:color w:val="0000FF"/>
          </w:rPr>
          <w:t>3.4 </w:t>
        </w:r>
      </w:hyperlink>
      <w:hyperlink w:history="true" w:anchor="_bookmark163">
        <w:r>
          <w:rPr>
            <w:color w:val="0000FF"/>
          </w:rPr>
          <w:t>Wake-Up</w:t>
        </w:r>
      </w:hyperlink>
      <w:r>
        <w:rPr>
          <w:color w:val="0000FF"/>
        </w:rPr>
        <w:t> </w:t>
      </w:r>
      <w:hyperlink w:history="true" w:anchor="_bookmark163">
        <w:r>
          <w:rPr>
            <w:color w:val="0000FF"/>
            <w:spacing w:val="-3"/>
          </w:rPr>
          <w:t>Behavior</w:t>
        </w:r>
      </w:hyperlink>
      <w:r>
        <w:rPr>
          <w:spacing w:val="-3"/>
        </w:rPr>
        <w:t>). </w:t>
      </w:r>
      <w:r>
        <w:rPr/>
        <w:t>From </w:t>
      </w:r>
      <w:r>
        <w:rPr>
          <w:spacing w:val="-3"/>
        </w:rPr>
        <w:t>BRN </w:t>
      </w:r>
      <w:r>
        <w:rPr/>
        <w:t>mode, the part may enter either LCD mode or SLP mode, as </w:t>
      </w:r>
      <w:r>
        <w:rPr>
          <w:spacing w:val="-3"/>
        </w:rPr>
        <w:t>controlled </w:t>
      </w:r>
      <w:r>
        <w:rPr/>
        <w:t>by the MPU.</w:t>
      </w:r>
    </w:p>
    <w:p>
      <w:pPr>
        <w:pStyle w:val="BodyText"/>
        <w:spacing w:before="10"/>
        <w:rPr>
          <w:sz w:val="21"/>
        </w:rPr>
      </w:pPr>
    </w:p>
    <w:tbl>
      <w:tblPr>
        <w:tblW w:w="0" w:type="auto"/>
        <w:jc w:val="left"/>
        <w:tblInd w:w="2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06"/>
        <w:gridCol w:w="1073"/>
        <w:gridCol w:w="739"/>
        <w:gridCol w:w="2104"/>
      </w:tblGrid>
      <w:tr>
        <w:trPr>
          <w:trHeight w:val="1390" w:hRule="atLeast"/>
        </w:trPr>
        <w:tc>
          <w:tcPr>
            <w:tcW w:w="2779" w:type="dxa"/>
            <w:gridSpan w:val="2"/>
            <w:tcBorders>
              <w:right w:val="nil"/>
            </w:tcBorders>
            <w:shd w:val="clear" w:color="auto" w:fill="F0F0F0"/>
          </w:tcPr>
          <w:p>
            <w:pPr>
              <w:pStyle w:val="TableParagraph"/>
              <w:rPr>
                <w:sz w:val="18"/>
              </w:rPr>
            </w:pPr>
          </w:p>
          <w:p>
            <w:pPr>
              <w:pStyle w:val="TableParagraph"/>
              <w:spacing w:before="146"/>
              <w:ind w:right="78"/>
              <w:jc w:val="right"/>
              <w:rPr>
                <w:sz w:val="17"/>
              </w:rPr>
            </w:pPr>
            <w:r>
              <w:rPr>
                <w:sz w:val="17"/>
              </w:rPr>
              <w:t>MSN</w:t>
            </w:r>
          </w:p>
          <w:p>
            <w:pPr>
              <w:pStyle w:val="TableParagraph"/>
              <w:rPr>
                <w:sz w:val="18"/>
              </w:rPr>
            </w:pPr>
          </w:p>
          <w:p>
            <w:pPr>
              <w:pStyle w:val="TableParagraph"/>
              <w:rPr>
                <w:sz w:val="18"/>
              </w:rPr>
            </w:pPr>
          </w:p>
          <w:p>
            <w:pPr>
              <w:pStyle w:val="TableParagraph"/>
              <w:rPr>
                <w:sz w:val="18"/>
              </w:rPr>
            </w:pPr>
          </w:p>
          <w:p>
            <w:pPr>
              <w:pStyle w:val="TableParagraph"/>
              <w:spacing w:before="5"/>
              <w:rPr>
                <w:sz w:val="14"/>
              </w:rPr>
            </w:pPr>
          </w:p>
          <w:p>
            <w:pPr>
              <w:pStyle w:val="TableParagraph"/>
              <w:spacing w:line="35" w:lineRule="exact" w:before="1"/>
              <w:ind w:left="1684"/>
              <w:rPr>
                <w:rFonts w:ascii="Times New Roman"/>
                <w:i/>
                <w:sz w:val="10"/>
              </w:rPr>
            </w:pPr>
            <w:r>
              <w:rPr>
                <w:rFonts w:ascii="Times New Roman"/>
                <w:i/>
                <w:w w:val="105"/>
                <w:sz w:val="10"/>
              </w:rPr>
              <w:t>VSTAT=00X</w:t>
            </w:r>
          </w:p>
        </w:tc>
        <w:tc>
          <w:tcPr>
            <w:tcW w:w="739" w:type="dxa"/>
            <w:tcBorders>
              <w:left w:val="nil"/>
              <w:right w:val="nil"/>
            </w:tcBorders>
            <w:shd w:val="clear" w:color="auto" w:fill="F0F0F0"/>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8"/>
              <w:rPr>
                <w:sz w:val="16"/>
              </w:rPr>
            </w:pPr>
          </w:p>
          <w:p>
            <w:pPr>
              <w:pStyle w:val="TableParagraph"/>
              <w:spacing w:before="1"/>
              <w:ind w:left="176" w:right="56"/>
              <w:jc w:val="center"/>
              <w:rPr>
                <w:sz w:val="10"/>
              </w:rPr>
            </w:pPr>
            <w:r>
              <w:rPr>
                <w:w w:val="105"/>
                <w:sz w:val="10"/>
              </w:rPr>
              <w:t>V3P3SYS</w:t>
            </w:r>
          </w:p>
          <w:p>
            <w:pPr>
              <w:pStyle w:val="TableParagraph"/>
              <w:spacing w:before="10"/>
              <w:ind w:left="176" w:right="56"/>
              <w:jc w:val="center"/>
              <w:rPr>
                <w:sz w:val="10"/>
              </w:rPr>
            </w:pPr>
            <w:r>
              <w:rPr>
                <w:w w:val="105"/>
                <w:sz w:val="10"/>
              </w:rPr>
              <w:t>falls</w:t>
            </w:r>
          </w:p>
          <w:p>
            <w:pPr>
              <w:pStyle w:val="TableParagraph"/>
              <w:rPr>
                <w:sz w:val="12"/>
              </w:rPr>
            </w:pPr>
          </w:p>
          <w:p>
            <w:pPr>
              <w:pStyle w:val="TableParagraph"/>
              <w:spacing w:line="35" w:lineRule="exact" w:before="75"/>
              <w:ind w:left="12"/>
              <w:rPr>
                <w:rFonts w:ascii="Times New Roman"/>
                <w:i/>
                <w:sz w:val="10"/>
              </w:rPr>
            </w:pPr>
            <w:r>
              <w:rPr>
                <w:rFonts w:ascii="Times New Roman"/>
                <w:i/>
                <w:w w:val="105"/>
                <w:sz w:val="10"/>
              </w:rPr>
              <w:t>VSTAT=001</w:t>
            </w:r>
          </w:p>
        </w:tc>
        <w:tc>
          <w:tcPr>
            <w:tcW w:w="2104" w:type="dxa"/>
            <w:tcBorders>
              <w:left w:val="nil"/>
            </w:tcBorders>
            <w:shd w:val="clear" w:color="auto" w:fill="F0F0F0"/>
          </w:tcPr>
          <w:p>
            <w:pPr>
              <w:pStyle w:val="TableParagraph"/>
              <w:rPr>
                <w:sz w:val="12"/>
              </w:rPr>
            </w:pPr>
          </w:p>
          <w:p>
            <w:pPr>
              <w:pStyle w:val="TableParagraph"/>
              <w:rPr>
                <w:sz w:val="12"/>
              </w:rPr>
            </w:pPr>
          </w:p>
          <w:p>
            <w:pPr>
              <w:pStyle w:val="TableParagraph"/>
              <w:spacing w:before="83"/>
              <w:ind w:left="376"/>
              <w:rPr>
                <w:sz w:val="10"/>
              </w:rPr>
            </w:pPr>
            <w:r>
              <w:rPr>
                <w:w w:val="105"/>
                <w:sz w:val="10"/>
              </w:rPr>
              <w:t>RESET</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9"/>
              <w:rPr>
                <w:sz w:val="17"/>
              </w:rPr>
            </w:pPr>
          </w:p>
          <w:p>
            <w:pPr>
              <w:pStyle w:val="TableParagraph"/>
              <w:spacing w:line="140" w:lineRule="exact"/>
              <w:ind w:left="967"/>
              <w:rPr>
                <w:b/>
                <w:sz w:val="14"/>
              </w:rPr>
            </w:pPr>
            <w:r>
              <w:rPr>
                <w:b/>
                <w:sz w:val="14"/>
              </w:rPr>
              <w:t>System Power</w:t>
            </w:r>
          </w:p>
        </w:tc>
      </w:tr>
      <w:tr>
        <w:trPr>
          <w:trHeight w:val="4202" w:hRule="atLeast"/>
        </w:trPr>
        <w:tc>
          <w:tcPr>
            <w:tcW w:w="1706" w:type="dxa"/>
            <w:tcBorders>
              <w:right w:val="nil"/>
            </w:tcBorders>
            <w:shd w:val="clear" w:color="auto" w:fill="FFFFB5"/>
          </w:tcPr>
          <w:p>
            <w:pPr>
              <w:pStyle w:val="TableParagraph"/>
              <w:rPr>
                <w:sz w:val="12"/>
              </w:rPr>
            </w:pPr>
          </w:p>
          <w:p>
            <w:pPr>
              <w:pStyle w:val="TableParagraph"/>
              <w:spacing w:before="81"/>
              <w:ind w:left="176" w:right="1015"/>
              <w:jc w:val="center"/>
              <w:rPr>
                <w:sz w:val="10"/>
              </w:rPr>
            </w:pPr>
            <w:r>
              <w:rPr>
                <w:w w:val="105"/>
                <w:sz w:val="10"/>
              </w:rPr>
              <w:t>V3P3SYS</w:t>
            </w:r>
          </w:p>
          <w:p>
            <w:pPr>
              <w:pStyle w:val="TableParagraph"/>
              <w:spacing w:before="10"/>
              <w:ind w:left="176" w:right="1015"/>
              <w:jc w:val="center"/>
              <w:rPr>
                <w:sz w:val="10"/>
              </w:rPr>
            </w:pPr>
            <w:r>
              <w:rPr>
                <w:w w:val="105"/>
                <w:sz w:val="10"/>
              </w:rPr>
              <w:t>rises</w:t>
            </w:r>
          </w:p>
          <w:p>
            <w:pPr>
              <w:pStyle w:val="TableParagraph"/>
              <w:rPr>
                <w:sz w:val="12"/>
              </w:rPr>
            </w:pPr>
          </w:p>
          <w:p>
            <w:pPr>
              <w:pStyle w:val="TableParagraph"/>
              <w:spacing w:before="10"/>
              <w:rPr>
                <w:sz w:val="9"/>
              </w:rPr>
            </w:pPr>
          </w:p>
          <w:p>
            <w:pPr>
              <w:pStyle w:val="TableParagraph"/>
              <w:spacing w:before="1"/>
              <w:ind w:left="736"/>
              <w:rPr>
                <w:rFonts w:ascii="Times New Roman"/>
                <w:i/>
                <w:sz w:val="10"/>
              </w:rPr>
            </w:pPr>
            <w:r>
              <w:rPr>
                <w:rFonts w:ascii="Times New Roman"/>
                <w:i/>
                <w:w w:val="105"/>
                <w:sz w:val="10"/>
              </w:rPr>
              <w:t>LCD_ONLY</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5"/>
              <w:rPr>
                <w:sz w:val="15"/>
              </w:rPr>
            </w:pPr>
          </w:p>
          <w:p>
            <w:pPr>
              <w:pStyle w:val="TableParagraph"/>
              <w:ind w:left="45" w:right="182"/>
              <w:jc w:val="center"/>
              <w:rPr>
                <w:sz w:val="17"/>
              </w:rPr>
            </w:pPr>
            <w:r>
              <w:rPr>
                <w:sz w:val="17"/>
              </w:rPr>
              <w:t>LCD</w:t>
            </w:r>
          </w:p>
          <w:p>
            <w:pPr>
              <w:pStyle w:val="TableParagraph"/>
              <w:rPr>
                <w:sz w:val="18"/>
              </w:rPr>
            </w:pPr>
          </w:p>
          <w:p>
            <w:pPr>
              <w:pStyle w:val="TableParagraph"/>
              <w:spacing w:before="9"/>
              <w:rPr>
                <w:sz w:val="17"/>
              </w:rPr>
            </w:pPr>
          </w:p>
          <w:p>
            <w:pPr>
              <w:pStyle w:val="TableParagraph"/>
              <w:ind w:left="980" w:right="182"/>
              <w:jc w:val="center"/>
              <w:rPr>
                <w:sz w:val="10"/>
              </w:rPr>
            </w:pPr>
            <w:r>
              <w:rPr>
                <w:w w:val="105"/>
                <w:sz w:val="10"/>
              </w:rPr>
              <w:t>VBAT</w:t>
            </w:r>
          </w:p>
          <w:p>
            <w:pPr>
              <w:pStyle w:val="TableParagraph"/>
              <w:spacing w:before="11"/>
              <w:ind w:left="980" w:right="182"/>
              <w:jc w:val="center"/>
              <w:rPr>
                <w:sz w:val="10"/>
              </w:rPr>
            </w:pPr>
            <w:r>
              <w:rPr>
                <w:w w:val="105"/>
                <w:sz w:val="10"/>
              </w:rPr>
              <w:t>insufficient</w:t>
            </w:r>
          </w:p>
        </w:tc>
        <w:tc>
          <w:tcPr>
            <w:tcW w:w="1073" w:type="dxa"/>
            <w:tcBorders>
              <w:left w:val="nil"/>
              <w:right w:val="nil"/>
            </w:tcBorders>
            <w:shd w:val="clear" w:color="auto" w:fill="FFFFB5"/>
          </w:tcPr>
          <w:p>
            <w:pPr>
              <w:pStyle w:val="TableParagraph"/>
              <w:rPr>
                <w:sz w:val="12"/>
              </w:rPr>
            </w:pPr>
          </w:p>
          <w:p>
            <w:pPr>
              <w:pStyle w:val="TableParagraph"/>
              <w:spacing w:before="9"/>
              <w:rPr>
                <w:sz w:val="13"/>
              </w:rPr>
            </w:pPr>
          </w:p>
          <w:p>
            <w:pPr>
              <w:pStyle w:val="TableParagraph"/>
              <w:ind w:left="277" w:right="220"/>
              <w:jc w:val="center"/>
              <w:rPr>
                <w:sz w:val="10"/>
              </w:rPr>
            </w:pPr>
            <w:r>
              <w:rPr>
                <w:w w:val="105"/>
                <w:sz w:val="10"/>
              </w:rPr>
              <w:t>V3P3SYS</w:t>
            </w:r>
          </w:p>
          <w:p>
            <w:pPr>
              <w:pStyle w:val="TableParagraph"/>
              <w:spacing w:before="10"/>
              <w:ind w:left="455"/>
              <w:rPr>
                <w:sz w:val="10"/>
              </w:rPr>
            </w:pPr>
            <w:r>
              <w:rPr>
                <w:w w:val="105"/>
                <w:sz w:val="10"/>
              </w:rPr>
              <w:t>rises</w:t>
            </w:r>
          </w:p>
          <w:p>
            <w:pPr>
              <w:pStyle w:val="TableParagraph"/>
              <w:rPr>
                <w:sz w:val="12"/>
              </w:rPr>
            </w:pPr>
          </w:p>
          <w:p>
            <w:pPr>
              <w:pStyle w:val="TableParagraph"/>
              <w:spacing w:before="9"/>
              <w:rPr>
                <w:sz w:val="12"/>
              </w:rPr>
            </w:pPr>
          </w:p>
          <w:p>
            <w:pPr>
              <w:pStyle w:val="TableParagraph"/>
              <w:spacing w:before="1"/>
              <w:ind w:left="616"/>
              <w:rPr>
                <w:sz w:val="17"/>
              </w:rPr>
            </w:pPr>
            <w:r>
              <w:rPr>
                <w:sz w:val="17"/>
              </w:rPr>
              <w:t>BRN</w:t>
            </w:r>
          </w:p>
          <w:p>
            <w:pPr>
              <w:pStyle w:val="TableParagraph"/>
              <w:rPr>
                <w:sz w:val="18"/>
              </w:rPr>
            </w:pPr>
          </w:p>
          <w:p>
            <w:pPr>
              <w:pStyle w:val="TableParagraph"/>
              <w:rPr>
                <w:sz w:val="18"/>
              </w:rPr>
            </w:pPr>
          </w:p>
          <w:p>
            <w:pPr>
              <w:pStyle w:val="TableParagraph"/>
              <w:spacing w:before="9"/>
              <w:rPr>
                <w:sz w:val="18"/>
              </w:rPr>
            </w:pPr>
          </w:p>
          <w:p>
            <w:pPr>
              <w:pStyle w:val="TableParagraph"/>
              <w:ind w:left="524" w:right="-15"/>
              <w:rPr>
                <w:sz w:val="10"/>
              </w:rPr>
            </w:pPr>
            <w:r>
              <w:rPr>
                <w:w w:val="105"/>
                <w:sz w:val="10"/>
              </w:rPr>
              <w:t>Wake</w:t>
            </w:r>
            <w:r>
              <w:rPr>
                <w:spacing w:val="-4"/>
                <w:w w:val="105"/>
                <w:sz w:val="10"/>
              </w:rPr>
              <w:t> </w:t>
            </w:r>
            <w:r>
              <w:rPr>
                <w:w w:val="105"/>
                <w:sz w:val="10"/>
              </w:rPr>
              <w:t>Flags</w:t>
            </w:r>
          </w:p>
          <w:p>
            <w:pPr>
              <w:pStyle w:val="TableParagraph"/>
              <w:rPr>
                <w:sz w:val="12"/>
              </w:rPr>
            </w:pPr>
          </w:p>
          <w:p>
            <w:pPr>
              <w:pStyle w:val="TableParagraph"/>
              <w:rPr>
                <w:sz w:val="12"/>
              </w:rPr>
            </w:pPr>
          </w:p>
          <w:p>
            <w:pPr>
              <w:pStyle w:val="TableParagraph"/>
              <w:spacing w:line="261" w:lineRule="auto" w:before="93"/>
              <w:ind w:left="223" w:right="573" w:hanging="6"/>
              <w:rPr>
                <w:sz w:val="10"/>
              </w:rPr>
            </w:pPr>
            <w:r>
              <w:rPr>
                <w:sz w:val="10"/>
              </w:rPr>
              <w:t>Wake </w:t>
            </w:r>
            <w:r>
              <w:rPr>
                <w:w w:val="105"/>
                <w:sz w:val="10"/>
              </w:rPr>
              <w:t>event</w:t>
            </w: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1"/>
              <w:rPr>
                <w:sz w:val="13"/>
              </w:rPr>
            </w:pPr>
          </w:p>
          <w:p>
            <w:pPr>
              <w:pStyle w:val="TableParagraph"/>
              <w:spacing w:line="261" w:lineRule="auto"/>
              <w:ind w:left="311" w:right="212"/>
              <w:jc w:val="center"/>
              <w:rPr>
                <w:sz w:val="10"/>
              </w:rPr>
            </w:pPr>
            <w:r>
              <w:rPr>
                <w:w w:val="105"/>
                <w:sz w:val="10"/>
              </w:rPr>
              <w:t>RESET &amp; VBAT</w:t>
            </w:r>
          </w:p>
          <w:p>
            <w:pPr>
              <w:pStyle w:val="TableParagraph"/>
              <w:spacing w:line="114" w:lineRule="exact"/>
              <w:ind w:left="311" w:right="215"/>
              <w:jc w:val="center"/>
              <w:rPr>
                <w:sz w:val="10"/>
              </w:rPr>
            </w:pPr>
            <w:r>
              <w:rPr>
                <w:w w:val="105"/>
                <w:sz w:val="10"/>
              </w:rPr>
              <w:t>insufficient</w:t>
            </w:r>
          </w:p>
        </w:tc>
        <w:tc>
          <w:tcPr>
            <w:tcW w:w="739" w:type="dxa"/>
            <w:tcBorders>
              <w:left w:val="nil"/>
              <w:right w:val="nil"/>
            </w:tcBorders>
            <w:shd w:val="clear" w:color="auto" w:fill="FFFFB5"/>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4"/>
              <w:rPr>
                <w:sz w:val="15"/>
              </w:rPr>
            </w:pPr>
          </w:p>
          <w:p>
            <w:pPr>
              <w:pStyle w:val="TableParagraph"/>
              <w:spacing w:line="261" w:lineRule="auto"/>
              <w:ind w:left="282" w:right="174" w:hanging="6"/>
              <w:rPr>
                <w:sz w:val="10"/>
              </w:rPr>
            </w:pPr>
            <w:r>
              <w:rPr>
                <w:w w:val="105"/>
                <w:sz w:val="10"/>
              </w:rPr>
              <w:t>Wake</w:t>
            </w:r>
            <w:r>
              <w:rPr>
                <w:w w:val="104"/>
                <w:sz w:val="10"/>
              </w:rPr>
              <w:t> </w:t>
            </w:r>
            <w:r>
              <w:rPr>
                <w:w w:val="105"/>
                <w:sz w:val="10"/>
              </w:rPr>
              <w:t>event</w:t>
            </w:r>
          </w:p>
        </w:tc>
        <w:tc>
          <w:tcPr>
            <w:tcW w:w="2104" w:type="dxa"/>
            <w:tcBorders>
              <w:left w:val="nil"/>
            </w:tcBorders>
            <w:shd w:val="clear" w:color="auto" w:fill="FFFFB5"/>
          </w:tcPr>
          <w:p>
            <w:pPr>
              <w:pStyle w:val="TableParagraph"/>
              <w:spacing w:line="142" w:lineRule="exact"/>
              <w:ind w:left="958" w:right="156"/>
              <w:jc w:val="center"/>
              <w:rPr>
                <w:b/>
                <w:sz w:val="14"/>
              </w:rPr>
            </w:pPr>
            <w:r>
              <w:rPr>
                <w:b/>
                <w:sz w:val="14"/>
              </w:rPr>
              <w:t>Battery Power</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4"/>
              <w:rPr>
                <w:sz w:val="17"/>
              </w:rPr>
            </w:pPr>
          </w:p>
          <w:p>
            <w:pPr>
              <w:pStyle w:val="TableParagraph"/>
              <w:ind w:left="204" w:right="681"/>
              <w:jc w:val="center"/>
              <w:rPr>
                <w:sz w:val="10"/>
              </w:rPr>
            </w:pPr>
            <w:r>
              <w:rPr>
                <w:w w:val="105"/>
                <w:sz w:val="10"/>
              </w:rPr>
              <w:t>V3P3SYS</w:t>
            </w:r>
          </w:p>
          <w:p>
            <w:pPr>
              <w:pStyle w:val="TableParagraph"/>
              <w:spacing w:before="10"/>
              <w:ind w:left="204" w:right="681"/>
              <w:jc w:val="center"/>
              <w:rPr>
                <w:sz w:val="10"/>
              </w:rPr>
            </w:pPr>
            <w:r>
              <w:rPr>
                <w:w w:val="105"/>
                <w:sz w:val="10"/>
              </w:rPr>
              <w:t>rises</w:t>
            </w:r>
          </w:p>
          <w:p>
            <w:pPr>
              <w:pStyle w:val="TableParagraph"/>
              <w:spacing w:line="261" w:lineRule="auto" w:before="49"/>
              <w:ind w:left="179" w:right="1300" w:hanging="87"/>
              <w:rPr>
                <w:sz w:val="10"/>
              </w:rPr>
            </w:pPr>
            <w:r>
              <w:rPr>
                <w:w w:val="105"/>
                <w:sz w:val="10"/>
              </w:rPr>
              <w:t>RESET &amp; VBAT</w:t>
            </w:r>
          </w:p>
          <w:p>
            <w:pPr>
              <w:pStyle w:val="TableParagraph"/>
              <w:spacing w:line="114" w:lineRule="exact"/>
              <w:ind w:left="109"/>
              <w:rPr>
                <w:sz w:val="10"/>
              </w:rPr>
            </w:pPr>
            <w:r>
              <w:rPr>
                <w:w w:val="105"/>
                <w:sz w:val="10"/>
              </w:rPr>
              <w:t>sufficient</w:t>
            </w:r>
          </w:p>
          <w:p>
            <w:pPr>
              <w:pStyle w:val="TableParagraph"/>
              <w:rPr>
                <w:sz w:val="12"/>
              </w:rPr>
            </w:pPr>
          </w:p>
          <w:p>
            <w:pPr>
              <w:pStyle w:val="TableParagraph"/>
              <w:spacing w:before="5"/>
              <w:rPr>
                <w:sz w:val="17"/>
              </w:rPr>
            </w:pPr>
          </w:p>
          <w:p>
            <w:pPr>
              <w:pStyle w:val="TableParagraph"/>
              <w:spacing w:line="261" w:lineRule="auto"/>
              <w:ind w:left="204" w:right="1355"/>
              <w:jc w:val="center"/>
              <w:rPr>
                <w:sz w:val="10"/>
              </w:rPr>
            </w:pPr>
            <w:r>
              <w:rPr>
                <w:rFonts w:ascii="Times New Roman"/>
                <w:i/>
                <w:w w:val="105"/>
                <w:sz w:val="10"/>
              </w:rPr>
              <w:t>SLEEP </w:t>
            </w:r>
            <w:r>
              <w:rPr>
                <w:w w:val="105"/>
                <w:sz w:val="10"/>
              </w:rPr>
              <w:t>or VBAT</w:t>
            </w:r>
          </w:p>
          <w:p>
            <w:pPr>
              <w:pStyle w:val="TableParagraph"/>
              <w:spacing w:line="115" w:lineRule="exact"/>
              <w:ind w:left="204" w:right="1355"/>
              <w:jc w:val="center"/>
              <w:rPr>
                <w:sz w:val="10"/>
              </w:rPr>
            </w:pPr>
            <w:r>
              <w:rPr>
                <w:w w:val="105"/>
                <w:sz w:val="10"/>
              </w:rPr>
              <w:t>insufficient</w:t>
            </w:r>
          </w:p>
          <w:p>
            <w:pPr>
              <w:pStyle w:val="TableParagraph"/>
              <w:rPr>
                <w:sz w:val="12"/>
              </w:rPr>
            </w:pPr>
          </w:p>
          <w:p>
            <w:pPr>
              <w:pStyle w:val="TableParagraph"/>
              <w:rPr>
                <w:sz w:val="12"/>
              </w:rPr>
            </w:pPr>
          </w:p>
          <w:p>
            <w:pPr>
              <w:pStyle w:val="TableParagraph"/>
              <w:spacing w:before="6"/>
              <w:rPr>
                <w:sz w:val="17"/>
              </w:rPr>
            </w:pPr>
          </w:p>
          <w:p>
            <w:pPr>
              <w:pStyle w:val="TableParagraph"/>
              <w:ind w:left="955" w:right="156"/>
              <w:jc w:val="center"/>
              <w:rPr>
                <w:sz w:val="10"/>
              </w:rPr>
            </w:pPr>
            <w:r>
              <w:rPr>
                <w:w w:val="105"/>
                <w:sz w:val="10"/>
              </w:rPr>
              <w:t>VBAT</w:t>
            </w:r>
          </w:p>
          <w:p>
            <w:pPr>
              <w:pStyle w:val="TableParagraph"/>
              <w:spacing w:before="10"/>
              <w:ind w:left="955" w:right="156"/>
              <w:jc w:val="center"/>
              <w:rPr>
                <w:sz w:val="10"/>
              </w:rPr>
            </w:pPr>
            <w:r>
              <w:rPr>
                <w:w w:val="105"/>
                <w:sz w:val="10"/>
              </w:rPr>
              <w:t>insufficient</w:t>
            </w:r>
          </w:p>
          <w:p>
            <w:pPr>
              <w:pStyle w:val="TableParagraph"/>
              <w:rPr>
                <w:sz w:val="12"/>
              </w:rPr>
            </w:pPr>
          </w:p>
          <w:p>
            <w:pPr>
              <w:pStyle w:val="TableParagraph"/>
              <w:rPr>
                <w:sz w:val="12"/>
              </w:rPr>
            </w:pPr>
          </w:p>
          <w:p>
            <w:pPr>
              <w:pStyle w:val="TableParagraph"/>
              <w:rPr>
                <w:sz w:val="12"/>
              </w:rPr>
            </w:pPr>
          </w:p>
          <w:p>
            <w:pPr>
              <w:pStyle w:val="TableParagraph"/>
              <w:spacing w:before="87"/>
              <w:ind w:left="92"/>
              <w:rPr>
                <w:sz w:val="17"/>
              </w:rPr>
            </w:pPr>
            <w:r>
              <w:rPr>
                <w:sz w:val="17"/>
              </w:rPr>
              <w:t>SLP</w:t>
            </w:r>
          </w:p>
        </w:tc>
      </w:tr>
    </w:tbl>
    <w:p>
      <w:pPr>
        <w:spacing w:before="144"/>
        <w:ind w:left="58" w:right="204" w:firstLine="0"/>
        <w:jc w:val="center"/>
        <w:rPr>
          <w:b/>
          <w:sz w:val="20"/>
        </w:rPr>
      </w:pPr>
      <w:bookmarkStart w:name="_bookmark152" w:id="303"/>
      <w:bookmarkEnd w:id="303"/>
      <w:r>
        <w:rPr/>
      </w:r>
      <w:r>
        <w:rPr>
          <w:b/>
          <w:sz w:val="20"/>
        </w:rPr>
        <w:t>Figure 25: Operation Modes State Diagram</w:t>
      </w:r>
    </w:p>
    <w:p>
      <w:pPr>
        <w:spacing w:after="0"/>
        <w:jc w:val="center"/>
        <w:rPr>
          <w:sz w:val="20"/>
        </w:rPr>
        <w:sectPr>
          <w:pgSz w:w="12240" w:h="15840"/>
          <w:pgMar w:header="727" w:footer="819" w:top="960" w:bottom="1000" w:left="1200" w:right="1060"/>
        </w:sectPr>
      </w:pPr>
    </w:p>
    <w:p>
      <w:pPr>
        <w:pStyle w:val="BodyText"/>
        <w:spacing w:before="8"/>
        <w:rPr>
          <w:b/>
          <w:sz w:val="16"/>
        </w:rPr>
      </w:pPr>
    </w:p>
    <w:p>
      <w:pPr>
        <w:pStyle w:val="BodyText"/>
        <w:spacing w:before="93"/>
        <w:ind w:left="240"/>
      </w:pPr>
      <w:r>
        <w:rPr/>
        <w:t>Transitions from both LCD and SLP mode to BRN mode can be initiated by the following events:</w:t>
      </w:r>
    </w:p>
    <w:p>
      <w:pPr>
        <w:pStyle w:val="ListParagraph"/>
        <w:numPr>
          <w:ilvl w:val="0"/>
          <w:numId w:val="15"/>
        </w:numPr>
        <w:tabs>
          <w:tab w:pos="599" w:val="left" w:leader="none"/>
          <w:tab w:pos="600" w:val="left" w:leader="none"/>
        </w:tabs>
        <w:spacing w:line="240" w:lineRule="auto" w:before="121" w:after="0"/>
        <w:ind w:left="599" w:right="0" w:hanging="361"/>
        <w:jc w:val="left"/>
        <w:rPr>
          <w:sz w:val="20"/>
        </w:rPr>
      </w:pPr>
      <w:r>
        <w:rPr>
          <w:sz w:val="20"/>
        </w:rPr>
        <w:t>Wake-up timer</w:t>
      </w:r>
      <w:r>
        <w:rPr>
          <w:spacing w:val="-2"/>
          <w:sz w:val="20"/>
        </w:rPr>
        <w:t> </w:t>
      </w:r>
      <w:r>
        <w:rPr>
          <w:sz w:val="20"/>
        </w:rPr>
        <w:t>timeout.</w:t>
      </w:r>
    </w:p>
    <w:p>
      <w:pPr>
        <w:pStyle w:val="ListParagraph"/>
        <w:numPr>
          <w:ilvl w:val="0"/>
          <w:numId w:val="15"/>
        </w:numPr>
        <w:tabs>
          <w:tab w:pos="599" w:val="left" w:leader="none"/>
          <w:tab w:pos="600" w:val="left" w:leader="none"/>
        </w:tabs>
        <w:spacing w:line="240" w:lineRule="auto" w:before="38" w:after="0"/>
        <w:ind w:left="599" w:right="0" w:hanging="361"/>
        <w:jc w:val="left"/>
        <w:rPr>
          <w:sz w:val="20"/>
        </w:rPr>
      </w:pPr>
      <w:r>
        <w:rPr>
          <w:sz w:val="20"/>
        </w:rPr>
        <w:t>Pushbutton (PB) is</w:t>
      </w:r>
      <w:r>
        <w:rPr>
          <w:spacing w:val="-2"/>
          <w:sz w:val="20"/>
        </w:rPr>
        <w:t> </w:t>
      </w:r>
      <w:r>
        <w:rPr>
          <w:sz w:val="20"/>
        </w:rPr>
        <w:t>activated.</w:t>
      </w:r>
    </w:p>
    <w:p>
      <w:pPr>
        <w:pStyle w:val="ListParagraph"/>
        <w:numPr>
          <w:ilvl w:val="0"/>
          <w:numId w:val="15"/>
        </w:numPr>
        <w:tabs>
          <w:tab w:pos="599" w:val="left" w:leader="none"/>
          <w:tab w:pos="600" w:val="left" w:leader="none"/>
        </w:tabs>
        <w:spacing w:line="240" w:lineRule="auto" w:before="39" w:after="0"/>
        <w:ind w:left="599" w:right="0" w:hanging="361"/>
        <w:jc w:val="left"/>
        <w:rPr>
          <w:sz w:val="20"/>
        </w:rPr>
      </w:pPr>
      <w:r>
        <w:rPr>
          <w:sz w:val="20"/>
        </w:rPr>
        <w:t>A rising edge on SEGDIO4, or a high logic level on SEGDIO52 or</w:t>
      </w:r>
      <w:r>
        <w:rPr>
          <w:spacing w:val="-5"/>
          <w:sz w:val="20"/>
        </w:rPr>
        <w:t> </w:t>
      </w:r>
      <w:r>
        <w:rPr>
          <w:sz w:val="20"/>
        </w:rPr>
        <w:t>SEGDIO55.</w:t>
      </w:r>
    </w:p>
    <w:p>
      <w:pPr>
        <w:pStyle w:val="ListParagraph"/>
        <w:numPr>
          <w:ilvl w:val="0"/>
          <w:numId w:val="15"/>
        </w:numPr>
        <w:tabs>
          <w:tab w:pos="599" w:val="left" w:leader="none"/>
          <w:tab w:pos="600" w:val="left" w:leader="none"/>
        </w:tabs>
        <w:spacing w:line="240" w:lineRule="auto" w:before="38" w:after="0"/>
        <w:ind w:left="599" w:right="0" w:hanging="361"/>
        <w:jc w:val="left"/>
        <w:rPr>
          <w:sz w:val="20"/>
        </w:rPr>
      </w:pPr>
      <w:r>
        <w:rPr>
          <w:sz w:val="20"/>
        </w:rPr>
        <w:t>Activity on the RX or OPT_RX</w:t>
      </w:r>
      <w:r>
        <w:rPr>
          <w:spacing w:val="-5"/>
          <w:sz w:val="20"/>
        </w:rPr>
        <w:t> </w:t>
      </w:r>
      <w:r>
        <w:rPr>
          <w:sz w:val="20"/>
        </w:rPr>
        <w:t>pins.</w:t>
      </w:r>
    </w:p>
    <w:p>
      <w:pPr>
        <w:pStyle w:val="BodyText"/>
        <w:spacing w:before="8"/>
        <w:rPr>
          <w:sz w:val="19"/>
        </w:rPr>
      </w:pPr>
    </w:p>
    <w:p>
      <w:pPr>
        <w:pStyle w:val="BodyText"/>
        <w:ind w:left="239" w:right="779"/>
      </w:pPr>
      <w:r>
        <w:rPr/>
        <w:t>The MPU has access to a variety of registers that signal the event that caused the wake up. See </w:t>
      </w:r>
      <w:hyperlink w:history="true" w:anchor="_bookmark163">
        <w:r>
          <w:rPr>
            <w:color w:val="0000FF"/>
          </w:rPr>
          <w:t>3.4</w:t>
        </w:r>
      </w:hyperlink>
      <w:r>
        <w:rPr>
          <w:color w:val="0000FF"/>
        </w:rPr>
        <w:t> </w:t>
      </w:r>
      <w:hyperlink w:history="true" w:anchor="_bookmark163">
        <w:r>
          <w:rPr>
            <w:color w:val="0000FF"/>
          </w:rPr>
          <w:t>Wake-Up Behavior </w:t>
        </w:r>
      </w:hyperlink>
      <w:r>
        <w:rPr/>
        <w:t>for details.</w:t>
      </w:r>
    </w:p>
    <w:p>
      <w:pPr>
        <w:pStyle w:val="BodyText"/>
        <w:spacing w:before="121"/>
        <w:ind w:left="239"/>
      </w:pPr>
      <w:hyperlink w:history="true" w:anchor="_bookmark153">
        <w:r>
          <w:rPr>
            <w:color w:val="0000FF"/>
          </w:rPr>
          <w:t>Table 61 </w:t>
        </w:r>
      </w:hyperlink>
      <w:r>
        <w:rPr/>
        <w:t>shows the circuit functions available in each operating mode.</w:t>
      </w:r>
    </w:p>
    <w:p>
      <w:pPr>
        <w:pStyle w:val="BodyText"/>
        <w:spacing w:before="10"/>
        <w:rPr>
          <w:sz w:val="19"/>
        </w:rPr>
      </w:pPr>
    </w:p>
    <w:p>
      <w:pPr>
        <w:pStyle w:val="Heading1"/>
        <w:ind w:right="204"/>
      </w:pPr>
      <w:bookmarkStart w:name="_bookmark153" w:id="304"/>
      <w:bookmarkEnd w:id="304"/>
      <w:r>
        <w:rPr>
          <w:b w:val="0"/>
        </w:rPr>
      </w:r>
      <w:r>
        <w:rPr/>
        <w:t>Table 61: Available Circuit Functions</w:t>
      </w:r>
    </w:p>
    <w:p>
      <w:pPr>
        <w:pStyle w:val="BodyText"/>
        <w:spacing w:before="5"/>
        <w:rPr>
          <w:b/>
          <w:sz w:val="5"/>
        </w:rPr>
      </w:pPr>
    </w:p>
    <w:tbl>
      <w:tblPr>
        <w:tblW w:w="0" w:type="auto"/>
        <w:jc w:val="left"/>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77"/>
        <w:gridCol w:w="1459"/>
        <w:gridCol w:w="1461"/>
        <w:gridCol w:w="1461"/>
        <w:gridCol w:w="1459"/>
        <w:gridCol w:w="681"/>
        <w:gridCol w:w="875"/>
      </w:tblGrid>
      <w:tr>
        <w:trPr>
          <w:trHeight w:val="231" w:hRule="atLeast"/>
        </w:trPr>
        <w:tc>
          <w:tcPr>
            <w:tcW w:w="2177" w:type="dxa"/>
            <w:vMerge w:val="restart"/>
          </w:tcPr>
          <w:p>
            <w:pPr>
              <w:pStyle w:val="TableParagraph"/>
              <w:spacing w:before="3"/>
              <w:rPr>
                <w:b/>
                <w:sz w:val="22"/>
              </w:rPr>
            </w:pPr>
          </w:p>
          <w:p>
            <w:pPr>
              <w:pStyle w:val="TableParagraph"/>
              <w:ind w:left="320"/>
              <w:rPr>
                <w:b/>
                <w:sz w:val="20"/>
              </w:rPr>
            </w:pPr>
            <w:r>
              <w:rPr>
                <w:b/>
                <w:sz w:val="20"/>
              </w:rPr>
              <w:t>Circuit Function</w:t>
            </w:r>
          </w:p>
        </w:tc>
        <w:tc>
          <w:tcPr>
            <w:tcW w:w="2920" w:type="dxa"/>
            <w:gridSpan w:val="2"/>
          </w:tcPr>
          <w:p>
            <w:pPr>
              <w:pStyle w:val="TableParagraph"/>
              <w:spacing w:line="212" w:lineRule="exact"/>
              <w:ind w:left="776"/>
              <w:rPr>
                <w:b/>
                <w:sz w:val="20"/>
              </w:rPr>
            </w:pPr>
            <w:r>
              <w:rPr>
                <w:b/>
                <w:sz w:val="20"/>
              </w:rPr>
              <w:t>System Power</w:t>
            </w:r>
          </w:p>
        </w:tc>
        <w:tc>
          <w:tcPr>
            <w:tcW w:w="4476" w:type="dxa"/>
            <w:gridSpan w:val="4"/>
          </w:tcPr>
          <w:p>
            <w:pPr>
              <w:pStyle w:val="TableParagraph"/>
              <w:spacing w:line="212" w:lineRule="exact"/>
              <w:ind w:left="1546" w:right="1514"/>
              <w:jc w:val="center"/>
              <w:rPr>
                <w:b/>
                <w:sz w:val="20"/>
              </w:rPr>
            </w:pPr>
            <w:r>
              <w:rPr>
                <w:b/>
                <w:sz w:val="20"/>
              </w:rPr>
              <w:t>Battery Power</w:t>
            </w:r>
          </w:p>
        </w:tc>
      </w:tr>
      <w:tr>
        <w:trPr>
          <w:trHeight w:val="229" w:hRule="atLeast"/>
        </w:trPr>
        <w:tc>
          <w:tcPr>
            <w:tcW w:w="2177" w:type="dxa"/>
            <w:vMerge/>
            <w:tcBorders>
              <w:top w:val="nil"/>
            </w:tcBorders>
          </w:tcPr>
          <w:p>
            <w:pPr>
              <w:rPr>
                <w:sz w:val="2"/>
                <w:szCs w:val="2"/>
              </w:rPr>
            </w:pPr>
          </w:p>
        </w:tc>
        <w:tc>
          <w:tcPr>
            <w:tcW w:w="2920" w:type="dxa"/>
            <w:gridSpan w:val="2"/>
          </w:tcPr>
          <w:p>
            <w:pPr>
              <w:pStyle w:val="TableParagraph"/>
              <w:spacing w:line="209" w:lineRule="exact"/>
              <w:ind w:left="481"/>
              <w:rPr>
                <w:b/>
                <w:sz w:val="20"/>
              </w:rPr>
            </w:pPr>
            <w:r>
              <w:rPr>
                <w:b/>
                <w:sz w:val="20"/>
              </w:rPr>
              <w:t>MSN (Mission Mode)</w:t>
            </w:r>
          </w:p>
        </w:tc>
        <w:tc>
          <w:tcPr>
            <w:tcW w:w="2920" w:type="dxa"/>
            <w:gridSpan w:val="2"/>
          </w:tcPr>
          <w:p>
            <w:pPr>
              <w:pStyle w:val="TableParagraph"/>
              <w:spacing w:line="209" w:lineRule="exact"/>
              <w:ind w:left="393"/>
              <w:rPr>
                <w:b/>
                <w:sz w:val="20"/>
              </w:rPr>
            </w:pPr>
            <w:r>
              <w:rPr>
                <w:b/>
                <w:sz w:val="20"/>
              </w:rPr>
              <w:t>BRN (Brownout Mode)</w:t>
            </w:r>
          </w:p>
        </w:tc>
        <w:tc>
          <w:tcPr>
            <w:tcW w:w="681" w:type="dxa"/>
            <w:vMerge w:val="restart"/>
          </w:tcPr>
          <w:p>
            <w:pPr>
              <w:pStyle w:val="TableParagraph"/>
              <w:spacing w:before="124"/>
              <w:ind w:left="137"/>
              <w:rPr>
                <w:b/>
                <w:sz w:val="20"/>
              </w:rPr>
            </w:pPr>
            <w:r>
              <w:rPr>
                <w:b/>
                <w:sz w:val="20"/>
              </w:rPr>
              <w:t>LCD</w:t>
            </w:r>
          </w:p>
        </w:tc>
        <w:tc>
          <w:tcPr>
            <w:tcW w:w="875" w:type="dxa"/>
            <w:vMerge w:val="restart"/>
          </w:tcPr>
          <w:p>
            <w:pPr>
              <w:pStyle w:val="TableParagraph"/>
              <w:spacing w:before="124"/>
              <w:ind w:left="111"/>
              <w:rPr>
                <w:b/>
                <w:sz w:val="20"/>
              </w:rPr>
            </w:pPr>
            <w:r>
              <w:rPr>
                <w:b/>
                <w:sz w:val="20"/>
              </w:rPr>
              <w:t>SLEEP</w:t>
            </w:r>
          </w:p>
        </w:tc>
      </w:tr>
      <w:tr>
        <w:trPr>
          <w:trHeight w:val="229" w:hRule="atLeast"/>
        </w:trPr>
        <w:tc>
          <w:tcPr>
            <w:tcW w:w="2177" w:type="dxa"/>
            <w:vMerge/>
            <w:tcBorders>
              <w:top w:val="nil"/>
            </w:tcBorders>
          </w:tcPr>
          <w:p>
            <w:pPr>
              <w:rPr>
                <w:sz w:val="2"/>
                <w:szCs w:val="2"/>
              </w:rPr>
            </w:pPr>
          </w:p>
        </w:tc>
        <w:tc>
          <w:tcPr>
            <w:tcW w:w="1459" w:type="dxa"/>
          </w:tcPr>
          <w:p>
            <w:pPr>
              <w:pStyle w:val="TableParagraph"/>
              <w:spacing w:line="209" w:lineRule="exact"/>
              <w:ind w:left="54" w:right="28"/>
              <w:jc w:val="center"/>
              <w:rPr>
                <w:b/>
                <w:sz w:val="20"/>
              </w:rPr>
            </w:pPr>
            <w:r>
              <w:rPr>
                <w:b/>
                <w:sz w:val="20"/>
              </w:rPr>
              <w:t>PLL_FAST=1</w:t>
            </w:r>
          </w:p>
        </w:tc>
        <w:tc>
          <w:tcPr>
            <w:tcW w:w="1461" w:type="dxa"/>
          </w:tcPr>
          <w:p>
            <w:pPr>
              <w:pStyle w:val="TableParagraph"/>
              <w:spacing w:line="209" w:lineRule="exact"/>
              <w:ind w:left="87" w:right="63"/>
              <w:jc w:val="center"/>
              <w:rPr>
                <w:b/>
                <w:sz w:val="20"/>
              </w:rPr>
            </w:pPr>
            <w:r>
              <w:rPr>
                <w:b/>
                <w:sz w:val="20"/>
              </w:rPr>
              <w:t>PLL_FAST=0</w:t>
            </w:r>
          </w:p>
        </w:tc>
        <w:tc>
          <w:tcPr>
            <w:tcW w:w="1461" w:type="dxa"/>
          </w:tcPr>
          <w:p>
            <w:pPr>
              <w:pStyle w:val="TableParagraph"/>
              <w:spacing w:line="209" w:lineRule="exact"/>
              <w:ind w:left="87" w:right="62"/>
              <w:jc w:val="center"/>
              <w:rPr>
                <w:b/>
                <w:sz w:val="20"/>
              </w:rPr>
            </w:pPr>
            <w:r>
              <w:rPr>
                <w:b/>
                <w:sz w:val="20"/>
              </w:rPr>
              <w:t>PLL_FAST=1</w:t>
            </w:r>
          </w:p>
        </w:tc>
        <w:tc>
          <w:tcPr>
            <w:tcW w:w="1459" w:type="dxa"/>
          </w:tcPr>
          <w:p>
            <w:pPr>
              <w:pStyle w:val="TableParagraph"/>
              <w:spacing w:line="209" w:lineRule="exact"/>
              <w:ind w:left="54" w:right="30"/>
              <w:jc w:val="center"/>
              <w:rPr>
                <w:b/>
                <w:sz w:val="20"/>
              </w:rPr>
            </w:pPr>
            <w:r>
              <w:rPr>
                <w:b/>
                <w:sz w:val="20"/>
              </w:rPr>
              <w:t>PLL_FAST=0</w:t>
            </w:r>
          </w:p>
        </w:tc>
        <w:tc>
          <w:tcPr>
            <w:tcW w:w="681" w:type="dxa"/>
            <w:vMerge/>
            <w:tcBorders>
              <w:top w:val="nil"/>
            </w:tcBorders>
          </w:tcPr>
          <w:p>
            <w:pPr>
              <w:rPr>
                <w:sz w:val="2"/>
                <w:szCs w:val="2"/>
              </w:rPr>
            </w:pPr>
          </w:p>
        </w:tc>
        <w:tc>
          <w:tcPr>
            <w:tcW w:w="875" w:type="dxa"/>
            <w:vMerge/>
            <w:tcBorders>
              <w:top w:val="nil"/>
            </w:tcBorders>
          </w:tcPr>
          <w:p>
            <w:pPr>
              <w:rPr>
                <w:sz w:val="2"/>
                <w:szCs w:val="2"/>
              </w:rPr>
            </w:pPr>
          </w:p>
        </w:tc>
      </w:tr>
      <w:tr>
        <w:trPr>
          <w:trHeight w:val="186" w:hRule="atLeast"/>
        </w:trPr>
        <w:tc>
          <w:tcPr>
            <w:tcW w:w="2177" w:type="dxa"/>
            <w:tcBorders>
              <w:bottom w:val="single" w:sz="6" w:space="0" w:color="000000"/>
            </w:tcBorders>
          </w:tcPr>
          <w:p>
            <w:pPr>
              <w:pStyle w:val="TableParagraph"/>
              <w:spacing w:line="166" w:lineRule="exact"/>
              <w:ind w:left="107"/>
              <w:rPr>
                <w:sz w:val="16"/>
              </w:rPr>
            </w:pPr>
            <w:r>
              <w:rPr>
                <w:sz w:val="16"/>
              </w:rPr>
              <w:t>CE (Computation Engine)</w:t>
            </w:r>
          </w:p>
        </w:tc>
        <w:tc>
          <w:tcPr>
            <w:tcW w:w="1459" w:type="dxa"/>
            <w:tcBorders>
              <w:bottom w:val="single" w:sz="6" w:space="0" w:color="000000"/>
            </w:tcBorders>
          </w:tcPr>
          <w:p>
            <w:pPr>
              <w:pStyle w:val="TableParagraph"/>
              <w:spacing w:line="166" w:lineRule="exact"/>
              <w:ind w:left="54" w:right="23"/>
              <w:jc w:val="center"/>
              <w:rPr>
                <w:sz w:val="16"/>
              </w:rPr>
            </w:pPr>
            <w:r>
              <w:rPr>
                <w:sz w:val="16"/>
              </w:rPr>
              <w:t>Yes</w:t>
            </w:r>
          </w:p>
        </w:tc>
        <w:tc>
          <w:tcPr>
            <w:tcW w:w="1461" w:type="dxa"/>
            <w:tcBorders>
              <w:bottom w:val="single" w:sz="6" w:space="0" w:color="000000"/>
            </w:tcBorders>
          </w:tcPr>
          <w:p>
            <w:pPr>
              <w:pStyle w:val="TableParagraph"/>
              <w:spacing w:line="166" w:lineRule="exact"/>
              <w:ind w:left="87" w:right="58"/>
              <w:jc w:val="center"/>
              <w:rPr>
                <w:sz w:val="16"/>
              </w:rPr>
            </w:pPr>
            <w:r>
              <w:rPr>
                <w:sz w:val="16"/>
              </w:rPr>
              <w:t>Yes</w:t>
            </w:r>
          </w:p>
        </w:tc>
        <w:tc>
          <w:tcPr>
            <w:tcW w:w="1461" w:type="dxa"/>
            <w:tcBorders>
              <w:bottom w:val="single" w:sz="6" w:space="0" w:color="000000"/>
            </w:tcBorders>
          </w:tcPr>
          <w:p>
            <w:pPr>
              <w:pStyle w:val="TableParagraph"/>
              <w:spacing w:line="166" w:lineRule="exact"/>
              <w:ind w:left="87" w:right="61"/>
              <w:jc w:val="center"/>
              <w:rPr>
                <w:sz w:val="16"/>
              </w:rPr>
            </w:pPr>
            <w:r>
              <w:rPr>
                <w:sz w:val="16"/>
              </w:rPr>
              <w:t>--</w:t>
            </w:r>
            <w:r>
              <w:rPr>
                <w:sz w:val="16"/>
                <w:vertAlign w:val="superscript"/>
              </w:rPr>
              <w:t>1</w:t>
            </w:r>
          </w:p>
        </w:tc>
        <w:tc>
          <w:tcPr>
            <w:tcW w:w="1459" w:type="dxa"/>
            <w:tcBorders>
              <w:bottom w:val="single" w:sz="6" w:space="0" w:color="000000"/>
            </w:tcBorders>
          </w:tcPr>
          <w:p>
            <w:pPr>
              <w:pStyle w:val="TableParagraph"/>
              <w:spacing w:line="166" w:lineRule="exact"/>
              <w:ind w:left="54" w:right="28"/>
              <w:jc w:val="center"/>
              <w:rPr>
                <w:sz w:val="16"/>
              </w:rPr>
            </w:pPr>
            <w:r>
              <w:rPr>
                <w:sz w:val="16"/>
              </w:rPr>
              <w:t>--</w:t>
            </w:r>
          </w:p>
        </w:tc>
        <w:tc>
          <w:tcPr>
            <w:tcW w:w="681" w:type="dxa"/>
            <w:tcBorders>
              <w:bottom w:val="single" w:sz="6" w:space="0" w:color="000000"/>
            </w:tcBorders>
          </w:tcPr>
          <w:p>
            <w:pPr>
              <w:pStyle w:val="TableParagraph"/>
              <w:spacing w:line="166" w:lineRule="exact"/>
              <w:ind w:left="88" w:right="56"/>
              <w:jc w:val="center"/>
              <w:rPr>
                <w:sz w:val="16"/>
              </w:rPr>
            </w:pPr>
            <w:r>
              <w:rPr>
                <w:sz w:val="16"/>
              </w:rPr>
              <w:t>--</w:t>
            </w:r>
          </w:p>
        </w:tc>
        <w:tc>
          <w:tcPr>
            <w:tcW w:w="875" w:type="dxa"/>
            <w:tcBorders>
              <w:bottom w:val="single" w:sz="6" w:space="0" w:color="000000"/>
            </w:tcBorders>
          </w:tcPr>
          <w:p>
            <w:pPr>
              <w:pStyle w:val="TableParagraph"/>
              <w:spacing w:line="166" w:lineRule="exact"/>
              <w:ind w:left="278" w:right="247"/>
              <w:jc w:val="center"/>
              <w:rPr>
                <w:sz w:val="16"/>
              </w:rPr>
            </w:pPr>
            <w:r>
              <w:rPr>
                <w:sz w:val="16"/>
              </w:rPr>
              <w:t>--</w:t>
            </w:r>
          </w:p>
        </w:tc>
      </w:tr>
      <w:tr>
        <w:trPr>
          <w:trHeight w:val="184" w:hRule="atLeast"/>
        </w:trPr>
        <w:tc>
          <w:tcPr>
            <w:tcW w:w="2177" w:type="dxa"/>
            <w:tcBorders>
              <w:top w:val="single" w:sz="6" w:space="0" w:color="000000"/>
              <w:bottom w:val="single" w:sz="6" w:space="0" w:color="000000"/>
            </w:tcBorders>
          </w:tcPr>
          <w:p>
            <w:pPr>
              <w:pStyle w:val="TableParagraph"/>
              <w:spacing w:line="164" w:lineRule="exact"/>
              <w:ind w:left="107"/>
              <w:rPr>
                <w:sz w:val="16"/>
              </w:rPr>
            </w:pPr>
            <w:r>
              <w:rPr>
                <w:sz w:val="16"/>
              </w:rPr>
              <w:t>FIR</w:t>
            </w:r>
          </w:p>
        </w:tc>
        <w:tc>
          <w:tcPr>
            <w:tcW w:w="1459" w:type="dxa"/>
            <w:tcBorders>
              <w:top w:val="single" w:sz="6" w:space="0" w:color="000000"/>
              <w:bottom w:val="single" w:sz="6" w:space="0" w:color="000000"/>
            </w:tcBorders>
          </w:tcPr>
          <w:p>
            <w:pPr>
              <w:pStyle w:val="TableParagraph"/>
              <w:spacing w:line="164" w:lineRule="exact"/>
              <w:ind w:left="54" w:right="23"/>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58"/>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59"/>
              <w:jc w:val="center"/>
              <w:rPr>
                <w:sz w:val="16"/>
              </w:rPr>
            </w:pPr>
            <w:r>
              <w:rPr>
                <w:sz w:val="16"/>
              </w:rPr>
              <w:t>--</w:t>
            </w:r>
          </w:p>
        </w:tc>
        <w:tc>
          <w:tcPr>
            <w:tcW w:w="1459" w:type="dxa"/>
            <w:tcBorders>
              <w:top w:val="single" w:sz="6" w:space="0" w:color="000000"/>
              <w:bottom w:val="single" w:sz="6" w:space="0" w:color="000000"/>
            </w:tcBorders>
          </w:tcPr>
          <w:p>
            <w:pPr>
              <w:pStyle w:val="TableParagraph"/>
              <w:spacing w:line="164" w:lineRule="exact"/>
              <w:ind w:left="54" w:right="28"/>
              <w:jc w:val="center"/>
              <w:rPr>
                <w:sz w:val="16"/>
              </w:rPr>
            </w:pPr>
            <w:r>
              <w:rPr>
                <w:sz w:val="16"/>
              </w:rPr>
              <w:t>--</w:t>
            </w:r>
          </w:p>
        </w:tc>
        <w:tc>
          <w:tcPr>
            <w:tcW w:w="681" w:type="dxa"/>
            <w:tcBorders>
              <w:top w:val="single" w:sz="6" w:space="0" w:color="000000"/>
              <w:bottom w:val="single" w:sz="6" w:space="0" w:color="000000"/>
            </w:tcBorders>
          </w:tcPr>
          <w:p>
            <w:pPr>
              <w:pStyle w:val="TableParagraph"/>
              <w:spacing w:line="164" w:lineRule="exact"/>
              <w:ind w:left="88" w:right="56"/>
              <w:jc w:val="center"/>
              <w:rPr>
                <w:sz w:val="16"/>
              </w:rPr>
            </w:pPr>
            <w:r>
              <w:rPr>
                <w:sz w:val="16"/>
              </w:rPr>
              <w:t>--</w:t>
            </w:r>
          </w:p>
        </w:tc>
        <w:tc>
          <w:tcPr>
            <w:tcW w:w="875" w:type="dxa"/>
            <w:tcBorders>
              <w:top w:val="single" w:sz="6" w:space="0" w:color="000000"/>
              <w:bottom w:val="single" w:sz="6" w:space="0" w:color="000000"/>
            </w:tcBorders>
          </w:tcPr>
          <w:p>
            <w:pPr>
              <w:pStyle w:val="TableParagraph"/>
              <w:spacing w:line="164" w:lineRule="exact"/>
              <w:ind w:left="278" w:right="247"/>
              <w:jc w:val="center"/>
              <w:rPr>
                <w:sz w:val="16"/>
              </w:rPr>
            </w:pPr>
            <w:r>
              <w:rPr>
                <w:sz w:val="16"/>
              </w:rPr>
              <w:t>--</w:t>
            </w:r>
          </w:p>
        </w:tc>
      </w:tr>
      <w:tr>
        <w:trPr>
          <w:trHeight w:val="181" w:hRule="atLeast"/>
        </w:trPr>
        <w:tc>
          <w:tcPr>
            <w:tcW w:w="2177" w:type="dxa"/>
            <w:tcBorders>
              <w:top w:val="single" w:sz="6" w:space="0" w:color="000000"/>
              <w:bottom w:val="single" w:sz="6" w:space="0" w:color="000000"/>
            </w:tcBorders>
          </w:tcPr>
          <w:p>
            <w:pPr>
              <w:pStyle w:val="TableParagraph"/>
              <w:spacing w:line="162" w:lineRule="exact"/>
              <w:ind w:left="107"/>
              <w:rPr>
                <w:sz w:val="16"/>
              </w:rPr>
            </w:pPr>
            <w:r>
              <w:rPr>
                <w:sz w:val="16"/>
              </w:rPr>
              <w:t>ADC, VREF</w:t>
            </w:r>
          </w:p>
        </w:tc>
        <w:tc>
          <w:tcPr>
            <w:tcW w:w="1459" w:type="dxa"/>
            <w:tcBorders>
              <w:top w:val="single" w:sz="6" w:space="0" w:color="000000"/>
              <w:bottom w:val="single" w:sz="6" w:space="0" w:color="000000"/>
            </w:tcBorders>
          </w:tcPr>
          <w:p>
            <w:pPr>
              <w:pStyle w:val="TableParagraph"/>
              <w:spacing w:line="162" w:lineRule="exact"/>
              <w:ind w:left="54" w:right="23"/>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2" w:lineRule="exact"/>
              <w:ind w:left="87" w:right="58"/>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2" w:lineRule="exact"/>
              <w:ind w:left="87" w:right="59"/>
              <w:jc w:val="center"/>
              <w:rPr>
                <w:sz w:val="16"/>
              </w:rPr>
            </w:pPr>
            <w:r>
              <w:rPr>
                <w:sz w:val="16"/>
              </w:rPr>
              <w:t>--</w:t>
            </w:r>
          </w:p>
        </w:tc>
        <w:tc>
          <w:tcPr>
            <w:tcW w:w="1459" w:type="dxa"/>
            <w:tcBorders>
              <w:top w:val="single" w:sz="6" w:space="0" w:color="000000"/>
              <w:bottom w:val="single" w:sz="6" w:space="0" w:color="000000"/>
            </w:tcBorders>
          </w:tcPr>
          <w:p>
            <w:pPr>
              <w:pStyle w:val="TableParagraph"/>
              <w:spacing w:line="162" w:lineRule="exact"/>
              <w:ind w:left="54" w:right="28"/>
              <w:jc w:val="center"/>
              <w:rPr>
                <w:sz w:val="16"/>
              </w:rPr>
            </w:pPr>
            <w:r>
              <w:rPr>
                <w:sz w:val="16"/>
              </w:rPr>
              <w:t>--</w:t>
            </w:r>
          </w:p>
        </w:tc>
        <w:tc>
          <w:tcPr>
            <w:tcW w:w="681" w:type="dxa"/>
            <w:tcBorders>
              <w:top w:val="single" w:sz="6" w:space="0" w:color="000000"/>
              <w:bottom w:val="single" w:sz="6" w:space="0" w:color="000000"/>
            </w:tcBorders>
          </w:tcPr>
          <w:p>
            <w:pPr>
              <w:pStyle w:val="TableParagraph"/>
              <w:spacing w:line="162" w:lineRule="exact"/>
              <w:ind w:left="88" w:right="56"/>
              <w:jc w:val="center"/>
              <w:rPr>
                <w:sz w:val="16"/>
              </w:rPr>
            </w:pPr>
            <w:r>
              <w:rPr>
                <w:sz w:val="16"/>
              </w:rPr>
              <w:t>--</w:t>
            </w:r>
          </w:p>
        </w:tc>
        <w:tc>
          <w:tcPr>
            <w:tcW w:w="875" w:type="dxa"/>
            <w:tcBorders>
              <w:top w:val="single" w:sz="6" w:space="0" w:color="000000"/>
              <w:bottom w:val="single" w:sz="6" w:space="0" w:color="000000"/>
            </w:tcBorders>
          </w:tcPr>
          <w:p>
            <w:pPr>
              <w:pStyle w:val="TableParagraph"/>
              <w:spacing w:line="162" w:lineRule="exact"/>
              <w:ind w:left="278" w:right="247"/>
              <w:jc w:val="center"/>
              <w:rPr>
                <w:sz w:val="16"/>
              </w:rPr>
            </w:pPr>
            <w:r>
              <w:rPr>
                <w:sz w:val="16"/>
              </w:rPr>
              <w:t>--</w:t>
            </w:r>
          </w:p>
        </w:tc>
      </w:tr>
      <w:tr>
        <w:trPr>
          <w:trHeight w:val="184" w:hRule="atLeast"/>
        </w:trPr>
        <w:tc>
          <w:tcPr>
            <w:tcW w:w="2177" w:type="dxa"/>
            <w:tcBorders>
              <w:top w:val="single" w:sz="6" w:space="0" w:color="000000"/>
              <w:bottom w:val="single" w:sz="6" w:space="0" w:color="000000"/>
            </w:tcBorders>
          </w:tcPr>
          <w:p>
            <w:pPr>
              <w:pStyle w:val="TableParagraph"/>
              <w:spacing w:line="164" w:lineRule="exact"/>
              <w:ind w:left="107"/>
              <w:rPr>
                <w:sz w:val="16"/>
              </w:rPr>
            </w:pPr>
            <w:r>
              <w:rPr>
                <w:sz w:val="16"/>
              </w:rPr>
              <w:t>PLL</w:t>
            </w:r>
          </w:p>
        </w:tc>
        <w:tc>
          <w:tcPr>
            <w:tcW w:w="1459" w:type="dxa"/>
            <w:tcBorders>
              <w:top w:val="single" w:sz="6" w:space="0" w:color="000000"/>
              <w:bottom w:val="single" w:sz="6" w:space="0" w:color="000000"/>
            </w:tcBorders>
          </w:tcPr>
          <w:p>
            <w:pPr>
              <w:pStyle w:val="TableParagraph"/>
              <w:spacing w:line="164" w:lineRule="exact"/>
              <w:ind w:left="54" w:right="23"/>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58"/>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61"/>
              <w:jc w:val="center"/>
              <w:rPr>
                <w:sz w:val="16"/>
              </w:rPr>
            </w:pPr>
            <w:r>
              <w:rPr>
                <w:sz w:val="16"/>
              </w:rPr>
              <w:t>Yes</w:t>
            </w:r>
          </w:p>
        </w:tc>
        <w:tc>
          <w:tcPr>
            <w:tcW w:w="1459" w:type="dxa"/>
            <w:tcBorders>
              <w:top w:val="single" w:sz="6" w:space="0" w:color="000000"/>
              <w:bottom w:val="single" w:sz="6" w:space="0" w:color="000000"/>
            </w:tcBorders>
          </w:tcPr>
          <w:p>
            <w:pPr>
              <w:pStyle w:val="TableParagraph"/>
              <w:spacing w:line="164" w:lineRule="exact"/>
              <w:ind w:left="54" w:right="30"/>
              <w:jc w:val="center"/>
              <w:rPr>
                <w:sz w:val="16"/>
              </w:rPr>
            </w:pPr>
            <w:r>
              <w:rPr>
                <w:sz w:val="16"/>
              </w:rPr>
              <w:t>Yes</w:t>
            </w:r>
          </w:p>
        </w:tc>
        <w:tc>
          <w:tcPr>
            <w:tcW w:w="681" w:type="dxa"/>
            <w:tcBorders>
              <w:top w:val="single" w:sz="6" w:space="0" w:color="000000"/>
              <w:bottom w:val="single" w:sz="6" w:space="0" w:color="000000"/>
            </w:tcBorders>
          </w:tcPr>
          <w:p>
            <w:pPr>
              <w:pStyle w:val="TableParagraph"/>
              <w:spacing w:line="164" w:lineRule="exact"/>
              <w:ind w:left="89" w:right="56"/>
              <w:jc w:val="center"/>
              <w:rPr>
                <w:sz w:val="16"/>
              </w:rPr>
            </w:pPr>
            <w:r>
              <w:rPr>
                <w:sz w:val="16"/>
              </w:rPr>
              <w:t>Boost</w:t>
            </w:r>
            <w:r>
              <w:rPr>
                <w:sz w:val="16"/>
                <w:vertAlign w:val="superscript"/>
              </w:rPr>
              <w:t>2</w:t>
            </w:r>
          </w:p>
        </w:tc>
        <w:tc>
          <w:tcPr>
            <w:tcW w:w="875" w:type="dxa"/>
            <w:tcBorders>
              <w:top w:val="single" w:sz="6" w:space="0" w:color="000000"/>
              <w:bottom w:val="single" w:sz="6" w:space="0" w:color="000000"/>
            </w:tcBorders>
          </w:tcPr>
          <w:p>
            <w:pPr>
              <w:pStyle w:val="TableParagraph"/>
              <w:spacing w:line="164" w:lineRule="exact"/>
              <w:ind w:left="278" w:right="247"/>
              <w:jc w:val="center"/>
              <w:rPr>
                <w:sz w:val="16"/>
              </w:rPr>
            </w:pPr>
            <w:r>
              <w:rPr>
                <w:sz w:val="16"/>
              </w:rPr>
              <w:t>--</w:t>
            </w:r>
          </w:p>
        </w:tc>
      </w:tr>
      <w:tr>
        <w:trPr>
          <w:trHeight w:val="184" w:hRule="atLeast"/>
        </w:trPr>
        <w:tc>
          <w:tcPr>
            <w:tcW w:w="2177" w:type="dxa"/>
            <w:tcBorders>
              <w:top w:val="single" w:sz="6" w:space="0" w:color="000000"/>
              <w:bottom w:val="single" w:sz="6" w:space="0" w:color="000000"/>
            </w:tcBorders>
          </w:tcPr>
          <w:p>
            <w:pPr>
              <w:pStyle w:val="TableParagraph"/>
              <w:spacing w:line="164" w:lineRule="exact"/>
              <w:ind w:left="107"/>
              <w:rPr>
                <w:sz w:val="16"/>
              </w:rPr>
            </w:pPr>
            <w:r>
              <w:rPr>
                <w:sz w:val="16"/>
              </w:rPr>
              <w:t>Battery Measurement</w:t>
            </w:r>
          </w:p>
        </w:tc>
        <w:tc>
          <w:tcPr>
            <w:tcW w:w="1459" w:type="dxa"/>
            <w:tcBorders>
              <w:top w:val="single" w:sz="6" w:space="0" w:color="000000"/>
              <w:bottom w:val="single" w:sz="6" w:space="0" w:color="000000"/>
            </w:tcBorders>
          </w:tcPr>
          <w:p>
            <w:pPr>
              <w:pStyle w:val="TableParagraph"/>
              <w:spacing w:line="164" w:lineRule="exact"/>
              <w:ind w:left="54" w:right="23"/>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58"/>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61"/>
              <w:jc w:val="center"/>
              <w:rPr>
                <w:sz w:val="16"/>
              </w:rPr>
            </w:pPr>
            <w:r>
              <w:rPr>
                <w:sz w:val="16"/>
              </w:rPr>
              <w:t>Yes</w:t>
            </w:r>
          </w:p>
        </w:tc>
        <w:tc>
          <w:tcPr>
            <w:tcW w:w="1459" w:type="dxa"/>
            <w:tcBorders>
              <w:top w:val="single" w:sz="6" w:space="0" w:color="000000"/>
              <w:bottom w:val="single" w:sz="6" w:space="0" w:color="000000"/>
            </w:tcBorders>
          </w:tcPr>
          <w:p>
            <w:pPr>
              <w:pStyle w:val="TableParagraph"/>
              <w:spacing w:line="164" w:lineRule="exact"/>
              <w:ind w:left="54" w:right="30"/>
              <w:jc w:val="center"/>
              <w:rPr>
                <w:sz w:val="16"/>
              </w:rPr>
            </w:pPr>
            <w:r>
              <w:rPr>
                <w:sz w:val="16"/>
              </w:rPr>
              <w:t>Yes</w:t>
            </w:r>
          </w:p>
        </w:tc>
        <w:tc>
          <w:tcPr>
            <w:tcW w:w="681" w:type="dxa"/>
            <w:tcBorders>
              <w:top w:val="single" w:sz="6" w:space="0" w:color="000000"/>
              <w:bottom w:val="single" w:sz="6" w:space="0" w:color="000000"/>
            </w:tcBorders>
          </w:tcPr>
          <w:p>
            <w:pPr>
              <w:pStyle w:val="TableParagraph"/>
              <w:spacing w:line="164" w:lineRule="exact"/>
              <w:ind w:left="88" w:right="56"/>
              <w:jc w:val="center"/>
              <w:rPr>
                <w:sz w:val="16"/>
              </w:rPr>
            </w:pPr>
            <w:r>
              <w:rPr>
                <w:sz w:val="16"/>
              </w:rPr>
              <w:t>--</w:t>
            </w:r>
          </w:p>
        </w:tc>
        <w:tc>
          <w:tcPr>
            <w:tcW w:w="875" w:type="dxa"/>
            <w:tcBorders>
              <w:top w:val="single" w:sz="6" w:space="0" w:color="000000"/>
              <w:bottom w:val="single" w:sz="6" w:space="0" w:color="000000"/>
            </w:tcBorders>
          </w:tcPr>
          <w:p>
            <w:pPr>
              <w:pStyle w:val="TableParagraph"/>
              <w:spacing w:line="164" w:lineRule="exact"/>
              <w:ind w:left="278" w:right="247"/>
              <w:jc w:val="center"/>
              <w:rPr>
                <w:sz w:val="16"/>
              </w:rPr>
            </w:pPr>
            <w:r>
              <w:rPr>
                <w:sz w:val="16"/>
              </w:rPr>
              <w:t>--</w:t>
            </w:r>
          </w:p>
        </w:tc>
      </w:tr>
      <w:tr>
        <w:trPr>
          <w:trHeight w:val="184" w:hRule="atLeast"/>
        </w:trPr>
        <w:tc>
          <w:tcPr>
            <w:tcW w:w="2177" w:type="dxa"/>
            <w:tcBorders>
              <w:top w:val="single" w:sz="6" w:space="0" w:color="000000"/>
              <w:bottom w:val="single" w:sz="6" w:space="0" w:color="000000"/>
            </w:tcBorders>
          </w:tcPr>
          <w:p>
            <w:pPr>
              <w:pStyle w:val="TableParagraph"/>
              <w:spacing w:line="164" w:lineRule="exact"/>
              <w:ind w:left="107"/>
              <w:rPr>
                <w:sz w:val="16"/>
              </w:rPr>
            </w:pPr>
            <w:r>
              <w:rPr>
                <w:sz w:val="16"/>
              </w:rPr>
              <w:t>Temperature sensor</w:t>
            </w:r>
          </w:p>
        </w:tc>
        <w:tc>
          <w:tcPr>
            <w:tcW w:w="1459" w:type="dxa"/>
            <w:tcBorders>
              <w:top w:val="single" w:sz="6" w:space="0" w:color="000000"/>
              <w:bottom w:val="single" w:sz="6" w:space="0" w:color="000000"/>
            </w:tcBorders>
          </w:tcPr>
          <w:p>
            <w:pPr>
              <w:pStyle w:val="TableParagraph"/>
              <w:spacing w:line="164" w:lineRule="exact"/>
              <w:ind w:left="54" w:right="23"/>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58"/>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61"/>
              <w:jc w:val="center"/>
              <w:rPr>
                <w:sz w:val="16"/>
              </w:rPr>
            </w:pPr>
            <w:r>
              <w:rPr>
                <w:sz w:val="16"/>
              </w:rPr>
              <w:t>Yes</w:t>
            </w:r>
          </w:p>
        </w:tc>
        <w:tc>
          <w:tcPr>
            <w:tcW w:w="1459" w:type="dxa"/>
            <w:tcBorders>
              <w:top w:val="single" w:sz="6" w:space="0" w:color="000000"/>
              <w:bottom w:val="single" w:sz="6" w:space="0" w:color="000000"/>
            </w:tcBorders>
          </w:tcPr>
          <w:p>
            <w:pPr>
              <w:pStyle w:val="TableParagraph"/>
              <w:spacing w:line="164" w:lineRule="exact"/>
              <w:ind w:left="54" w:right="30"/>
              <w:jc w:val="center"/>
              <w:rPr>
                <w:sz w:val="16"/>
              </w:rPr>
            </w:pPr>
            <w:r>
              <w:rPr>
                <w:sz w:val="16"/>
              </w:rPr>
              <w:t>Yes</w:t>
            </w:r>
          </w:p>
        </w:tc>
        <w:tc>
          <w:tcPr>
            <w:tcW w:w="681" w:type="dxa"/>
            <w:tcBorders>
              <w:top w:val="single" w:sz="6" w:space="0" w:color="000000"/>
              <w:bottom w:val="single" w:sz="6" w:space="0" w:color="000000"/>
            </w:tcBorders>
          </w:tcPr>
          <w:p>
            <w:pPr>
              <w:pStyle w:val="TableParagraph"/>
              <w:spacing w:line="164" w:lineRule="exact"/>
              <w:ind w:left="89" w:right="54"/>
              <w:jc w:val="center"/>
              <w:rPr>
                <w:sz w:val="16"/>
              </w:rPr>
            </w:pPr>
            <w:r>
              <w:rPr>
                <w:sz w:val="16"/>
              </w:rPr>
              <w:t>Yes</w:t>
            </w:r>
          </w:p>
        </w:tc>
        <w:tc>
          <w:tcPr>
            <w:tcW w:w="875" w:type="dxa"/>
            <w:tcBorders>
              <w:top w:val="single" w:sz="6" w:space="0" w:color="000000"/>
              <w:bottom w:val="single" w:sz="6" w:space="0" w:color="000000"/>
            </w:tcBorders>
          </w:tcPr>
          <w:p>
            <w:pPr>
              <w:pStyle w:val="TableParagraph"/>
              <w:spacing w:line="164" w:lineRule="exact"/>
              <w:ind w:left="281" w:right="247"/>
              <w:jc w:val="center"/>
              <w:rPr>
                <w:sz w:val="16"/>
              </w:rPr>
            </w:pPr>
            <w:r>
              <w:rPr>
                <w:sz w:val="16"/>
              </w:rPr>
              <w:t>Yes</w:t>
            </w:r>
          </w:p>
        </w:tc>
      </w:tr>
      <w:tr>
        <w:trPr>
          <w:trHeight w:val="368" w:hRule="atLeast"/>
        </w:trPr>
        <w:tc>
          <w:tcPr>
            <w:tcW w:w="2177" w:type="dxa"/>
            <w:tcBorders>
              <w:top w:val="single" w:sz="6" w:space="0" w:color="000000"/>
              <w:bottom w:val="single" w:sz="6" w:space="0" w:color="000000"/>
            </w:tcBorders>
          </w:tcPr>
          <w:p>
            <w:pPr>
              <w:pStyle w:val="TableParagraph"/>
              <w:spacing w:before="89"/>
              <w:ind w:left="107"/>
              <w:rPr>
                <w:sz w:val="16"/>
              </w:rPr>
            </w:pPr>
            <w:r>
              <w:rPr>
                <w:sz w:val="16"/>
              </w:rPr>
              <w:t>Max MPU clock rate</w:t>
            </w:r>
          </w:p>
        </w:tc>
        <w:tc>
          <w:tcPr>
            <w:tcW w:w="1459" w:type="dxa"/>
            <w:tcBorders>
              <w:top w:val="single" w:sz="6" w:space="0" w:color="000000"/>
              <w:bottom w:val="single" w:sz="6" w:space="0" w:color="000000"/>
            </w:tcBorders>
          </w:tcPr>
          <w:p>
            <w:pPr>
              <w:pStyle w:val="TableParagraph"/>
              <w:spacing w:line="180" w:lineRule="exact"/>
              <w:ind w:left="409"/>
              <w:rPr>
                <w:sz w:val="16"/>
              </w:rPr>
            </w:pPr>
            <w:r>
              <w:rPr>
                <w:sz w:val="16"/>
              </w:rPr>
              <w:t>4.92MHz</w:t>
            </w:r>
          </w:p>
          <w:p>
            <w:pPr>
              <w:pStyle w:val="TableParagraph"/>
              <w:spacing w:line="168" w:lineRule="exact" w:before="1"/>
              <w:ind w:left="352"/>
              <w:rPr>
                <w:sz w:val="16"/>
              </w:rPr>
            </w:pPr>
            <w:r>
              <w:rPr>
                <w:sz w:val="16"/>
              </w:rPr>
              <w:t>(from PLL)</w:t>
            </w:r>
          </w:p>
        </w:tc>
        <w:tc>
          <w:tcPr>
            <w:tcW w:w="1461" w:type="dxa"/>
            <w:tcBorders>
              <w:top w:val="single" w:sz="6" w:space="0" w:color="000000"/>
              <w:bottom w:val="single" w:sz="6" w:space="0" w:color="000000"/>
            </w:tcBorders>
          </w:tcPr>
          <w:p>
            <w:pPr>
              <w:pStyle w:val="TableParagraph"/>
              <w:spacing w:line="180" w:lineRule="exact"/>
              <w:ind w:left="409"/>
              <w:rPr>
                <w:sz w:val="16"/>
              </w:rPr>
            </w:pPr>
            <w:r>
              <w:rPr>
                <w:sz w:val="16"/>
              </w:rPr>
              <w:t>1.57MHz</w:t>
            </w:r>
          </w:p>
          <w:p>
            <w:pPr>
              <w:pStyle w:val="TableParagraph"/>
              <w:spacing w:line="168" w:lineRule="exact" w:before="1"/>
              <w:ind w:left="352"/>
              <w:rPr>
                <w:sz w:val="16"/>
              </w:rPr>
            </w:pPr>
            <w:r>
              <w:rPr>
                <w:sz w:val="16"/>
              </w:rPr>
              <w:t>(from PLL)</w:t>
            </w:r>
          </w:p>
        </w:tc>
        <w:tc>
          <w:tcPr>
            <w:tcW w:w="1461" w:type="dxa"/>
            <w:tcBorders>
              <w:top w:val="single" w:sz="6" w:space="0" w:color="000000"/>
              <w:bottom w:val="single" w:sz="6" w:space="0" w:color="000000"/>
            </w:tcBorders>
          </w:tcPr>
          <w:p>
            <w:pPr>
              <w:pStyle w:val="TableParagraph"/>
              <w:spacing w:line="180" w:lineRule="exact"/>
              <w:ind w:left="410"/>
              <w:rPr>
                <w:sz w:val="16"/>
              </w:rPr>
            </w:pPr>
            <w:r>
              <w:rPr>
                <w:sz w:val="16"/>
              </w:rPr>
              <w:t>4.92MHz</w:t>
            </w:r>
          </w:p>
          <w:p>
            <w:pPr>
              <w:pStyle w:val="TableParagraph"/>
              <w:spacing w:line="168" w:lineRule="exact" w:before="1"/>
              <w:ind w:left="350"/>
              <w:rPr>
                <w:sz w:val="16"/>
              </w:rPr>
            </w:pPr>
            <w:r>
              <w:rPr>
                <w:sz w:val="16"/>
              </w:rPr>
              <w:t>(from PLL)</w:t>
            </w:r>
          </w:p>
        </w:tc>
        <w:tc>
          <w:tcPr>
            <w:tcW w:w="1459" w:type="dxa"/>
            <w:tcBorders>
              <w:top w:val="single" w:sz="6" w:space="0" w:color="000000"/>
              <w:bottom w:val="single" w:sz="6" w:space="0" w:color="000000"/>
            </w:tcBorders>
          </w:tcPr>
          <w:p>
            <w:pPr>
              <w:pStyle w:val="TableParagraph"/>
              <w:spacing w:line="180" w:lineRule="exact"/>
              <w:ind w:left="408"/>
              <w:rPr>
                <w:sz w:val="16"/>
              </w:rPr>
            </w:pPr>
            <w:r>
              <w:rPr>
                <w:sz w:val="16"/>
              </w:rPr>
              <w:t>1.57MHz</w:t>
            </w:r>
          </w:p>
          <w:p>
            <w:pPr>
              <w:pStyle w:val="TableParagraph"/>
              <w:spacing w:line="168" w:lineRule="exact" w:before="1"/>
              <w:ind w:left="348"/>
              <w:rPr>
                <w:sz w:val="16"/>
              </w:rPr>
            </w:pPr>
            <w:r>
              <w:rPr>
                <w:sz w:val="16"/>
              </w:rPr>
              <w:t>(from PLL)</w:t>
            </w:r>
          </w:p>
        </w:tc>
        <w:tc>
          <w:tcPr>
            <w:tcW w:w="681" w:type="dxa"/>
            <w:tcBorders>
              <w:top w:val="single" w:sz="6" w:space="0" w:color="000000"/>
              <w:bottom w:val="single" w:sz="6" w:space="0" w:color="000000"/>
            </w:tcBorders>
          </w:tcPr>
          <w:p>
            <w:pPr>
              <w:pStyle w:val="TableParagraph"/>
              <w:spacing w:before="89"/>
              <w:ind w:left="88" w:right="56"/>
              <w:jc w:val="center"/>
              <w:rPr>
                <w:sz w:val="16"/>
              </w:rPr>
            </w:pPr>
            <w:r>
              <w:rPr>
                <w:sz w:val="16"/>
              </w:rPr>
              <w:t>--</w:t>
            </w:r>
          </w:p>
        </w:tc>
        <w:tc>
          <w:tcPr>
            <w:tcW w:w="875" w:type="dxa"/>
            <w:tcBorders>
              <w:top w:val="single" w:sz="6" w:space="0" w:color="000000"/>
              <w:bottom w:val="single" w:sz="6" w:space="0" w:color="000000"/>
            </w:tcBorders>
          </w:tcPr>
          <w:p>
            <w:pPr>
              <w:pStyle w:val="TableParagraph"/>
              <w:spacing w:before="89"/>
              <w:ind w:left="278" w:right="247"/>
              <w:jc w:val="center"/>
              <w:rPr>
                <w:sz w:val="16"/>
              </w:rPr>
            </w:pPr>
            <w:r>
              <w:rPr>
                <w:sz w:val="16"/>
              </w:rPr>
              <w:t>--</w:t>
            </w:r>
          </w:p>
        </w:tc>
      </w:tr>
      <w:tr>
        <w:trPr>
          <w:trHeight w:val="184" w:hRule="atLeast"/>
        </w:trPr>
        <w:tc>
          <w:tcPr>
            <w:tcW w:w="2177" w:type="dxa"/>
            <w:tcBorders>
              <w:top w:val="single" w:sz="6" w:space="0" w:color="000000"/>
              <w:bottom w:val="single" w:sz="6" w:space="0" w:color="000000"/>
            </w:tcBorders>
          </w:tcPr>
          <w:p>
            <w:pPr>
              <w:pStyle w:val="TableParagraph"/>
              <w:spacing w:line="164" w:lineRule="exact"/>
              <w:ind w:left="107"/>
              <w:rPr>
                <w:sz w:val="16"/>
              </w:rPr>
            </w:pPr>
            <w:r>
              <w:rPr>
                <w:rFonts w:ascii="Times New Roman"/>
                <w:i/>
                <w:sz w:val="16"/>
              </w:rPr>
              <w:t>MPU_DIV </w:t>
            </w:r>
            <w:r>
              <w:rPr>
                <w:sz w:val="16"/>
              </w:rPr>
              <w:t>clk. divider</w:t>
            </w:r>
          </w:p>
        </w:tc>
        <w:tc>
          <w:tcPr>
            <w:tcW w:w="1459" w:type="dxa"/>
            <w:tcBorders>
              <w:top w:val="single" w:sz="6" w:space="0" w:color="000000"/>
              <w:bottom w:val="single" w:sz="6" w:space="0" w:color="000000"/>
            </w:tcBorders>
          </w:tcPr>
          <w:p>
            <w:pPr>
              <w:pStyle w:val="TableParagraph"/>
              <w:spacing w:line="164" w:lineRule="exact"/>
              <w:ind w:left="54" w:right="23"/>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58"/>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61"/>
              <w:jc w:val="center"/>
              <w:rPr>
                <w:sz w:val="16"/>
              </w:rPr>
            </w:pPr>
            <w:r>
              <w:rPr>
                <w:sz w:val="16"/>
              </w:rPr>
              <w:t>Yes</w:t>
            </w:r>
          </w:p>
        </w:tc>
        <w:tc>
          <w:tcPr>
            <w:tcW w:w="1459" w:type="dxa"/>
            <w:tcBorders>
              <w:top w:val="single" w:sz="6" w:space="0" w:color="000000"/>
              <w:bottom w:val="single" w:sz="6" w:space="0" w:color="000000"/>
            </w:tcBorders>
          </w:tcPr>
          <w:p>
            <w:pPr>
              <w:pStyle w:val="TableParagraph"/>
              <w:spacing w:line="164" w:lineRule="exact"/>
              <w:ind w:left="54" w:right="30"/>
              <w:jc w:val="center"/>
              <w:rPr>
                <w:sz w:val="16"/>
              </w:rPr>
            </w:pPr>
            <w:r>
              <w:rPr>
                <w:sz w:val="16"/>
              </w:rPr>
              <w:t>Yes</w:t>
            </w:r>
          </w:p>
        </w:tc>
        <w:tc>
          <w:tcPr>
            <w:tcW w:w="681" w:type="dxa"/>
            <w:tcBorders>
              <w:top w:val="single" w:sz="6" w:space="0" w:color="000000"/>
              <w:bottom w:val="single" w:sz="6" w:space="0" w:color="000000"/>
            </w:tcBorders>
          </w:tcPr>
          <w:p>
            <w:pPr>
              <w:pStyle w:val="TableParagraph"/>
              <w:spacing w:line="164" w:lineRule="exact"/>
              <w:ind w:left="88" w:right="56"/>
              <w:jc w:val="center"/>
              <w:rPr>
                <w:sz w:val="16"/>
              </w:rPr>
            </w:pPr>
            <w:r>
              <w:rPr>
                <w:sz w:val="16"/>
              </w:rPr>
              <w:t>--</w:t>
            </w:r>
          </w:p>
        </w:tc>
        <w:tc>
          <w:tcPr>
            <w:tcW w:w="875" w:type="dxa"/>
            <w:tcBorders>
              <w:top w:val="single" w:sz="6" w:space="0" w:color="000000"/>
              <w:bottom w:val="single" w:sz="6" w:space="0" w:color="000000"/>
            </w:tcBorders>
          </w:tcPr>
          <w:p>
            <w:pPr>
              <w:pStyle w:val="TableParagraph"/>
              <w:spacing w:line="164" w:lineRule="exact"/>
              <w:ind w:left="278" w:right="247"/>
              <w:jc w:val="center"/>
              <w:rPr>
                <w:sz w:val="16"/>
              </w:rPr>
            </w:pPr>
            <w:r>
              <w:rPr>
                <w:sz w:val="16"/>
              </w:rPr>
              <w:t>--</w:t>
            </w:r>
          </w:p>
        </w:tc>
      </w:tr>
      <w:tr>
        <w:trPr>
          <w:trHeight w:val="184" w:hRule="atLeast"/>
        </w:trPr>
        <w:tc>
          <w:tcPr>
            <w:tcW w:w="2177" w:type="dxa"/>
            <w:tcBorders>
              <w:top w:val="single" w:sz="6" w:space="0" w:color="000000"/>
              <w:bottom w:val="single" w:sz="6" w:space="0" w:color="000000"/>
            </w:tcBorders>
          </w:tcPr>
          <w:p>
            <w:pPr>
              <w:pStyle w:val="TableParagraph"/>
              <w:spacing w:line="164" w:lineRule="exact"/>
              <w:ind w:left="107"/>
              <w:rPr>
                <w:sz w:val="16"/>
              </w:rPr>
            </w:pPr>
            <w:r>
              <w:rPr>
                <w:sz w:val="16"/>
              </w:rPr>
              <w:t>ICE</w:t>
            </w:r>
          </w:p>
        </w:tc>
        <w:tc>
          <w:tcPr>
            <w:tcW w:w="1459" w:type="dxa"/>
            <w:tcBorders>
              <w:top w:val="single" w:sz="6" w:space="0" w:color="000000"/>
              <w:bottom w:val="single" w:sz="6" w:space="0" w:color="000000"/>
            </w:tcBorders>
          </w:tcPr>
          <w:p>
            <w:pPr>
              <w:pStyle w:val="TableParagraph"/>
              <w:spacing w:line="164" w:lineRule="exact"/>
              <w:ind w:left="54" w:right="23"/>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58"/>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61"/>
              <w:jc w:val="center"/>
              <w:rPr>
                <w:sz w:val="16"/>
              </w:rPr>
            </w:pPr>
            <w:r>
              <w:rPr>
                <w:sz w:val="16"/>
              </w:rPr>
              <w:t>Yes</w:t>
            </w:r>
          </w:p>
        </w:tc>
        <w:tc>
          <w:tcPr>
            <w:tcW w:w="1459" w:type="dxa"/>
            <w:tcBorders>
              <w:top w:val="single" w:sz="6" w:space="0" w:color="000000"/>
              <w:bottom w:val="single" w:sz="6" w:space="0" w:color="000000"/>
            </w:tcBorders>
          </w:tcPr>
          <w:p>
            <w:pPr>
              <w:pStyle w:val="TableParagraph"/>
              <w:spacing w:line="164" w:lineRule="exact"/>
              <w:ind w:left="54" w:right="30"/>
              <w:jc w:val="center"/>
              <w:rPr>
                <w:sz w:val="16"/>
              </w:rPr>
            </w:pPr>
            <w:r>
              <w:rPr>
                <w:sz w:val="16"/>
              </w:rPr>
              <w:t>Yes</w:t>
            </w:r>
          </w:p>
        </w:tc>
        <w:tc>
          <w:tcPr>
            <w:tcW w:w="681" w:type="dxa"/>
            <w:tcBorders>
              <w:top w:val="single" w:sz="6" w:space="0" w:color="000000"/>
              <w:bottom w:val="single" w:sz="6" w:space="0" w:color="000000"/>
            </w:tcBorders>
          </w:tcPr>
          <w:p>
            <w:pPr>
              <w:pStyle w:val="TableParagraph"/>
              <w:spacing w:line="164" w:lineRule="exact"/>
              <w:ind w:left="88" w:right="56"/>
              <w:jc w:val="center"/>
              <w:rPr>
                <w:sz w:val="16"/>
              </w:rPr>
            </w:pPr>
            <w:r>
              <w:rPr>
                <w:sz w:val="16"/>
              </w:rPr>
              <w:t>--</w:t>
            </w:r>
          </w:p>
        </w:tc>
        <w:tc>
          <w:tcPr>
            <w:tcW w:w="875" w:type="dxa"/>
            <w:tcBorders>
              <w:top w:val="single" w:sz="6" w:space="0" w:color="000000"/>
              <w:bottom w:val="single" w:sz="6" w:space="0" w:color="000000"/>
            </w:tcBorders>
          </w:tcPr>
          <w:p>
            <w:pPr>
              <w:pStyle w:val="TableParagraph"/>
              <w:spacing w:line="164" w:lineRule="exact"/>
              <w:ind w:left="278" w:right="247"/>
              <w:jc w:val="center"/>
              <w:rPr>
                <w:sz w:val="16"/>
              </w:rPr>
            </w:pPr>
            <w:r>
              <w:rPr>
                <w:sz w:val="16"/>
              </w:rPr>
              <w:t>--</w:t>
            </w:r>
          </w:p>
        </w:tc>
      </w:tr>
      <w:tr>
        <w:trPr>
          <w:trHeight w:val="184" w:hRule="atLeast"/>
        </w:trPr>
        <w:tc>
          <w:tcPr>
            <w:tcW w:w="2177" w:type="dxa"/>
            <w:tcBorders>
              <w:top w:val="single" w:sz="6" w:space="0" w:color="000000"/>
              <w:bottom w:val="single" w:sz="6" w:space="0" w:color="000000"/>
            </w:tcBorders>
          </w:tcPr>
          <w:p>
            <w:pPr>
              <w:pStyle w:val="TableParagraph"/>
              <w:spacing w:line="164" w:lineRule="exact"/>
              <w:ind w:left="107"/>
              <w:rPr>
                <w:sz w:val="16"/>
              </w:rPr>
            </w:pPr>
            <w:r>
              <w:rPr>
                <w:sz w:val="16"/>
              </w:rPr>
              <w:t>DIO Pins</w:t>
            </w:r>
          </w:p>
        </w:tc>
        <w:tc>
          <w:tcPr>
            <w:tcW w:w="1459" w:type="dxa"/>
            <w:tcBorders>
              <w:top w:val="single" w:sz="6" w:space="0" w:color="000000"/>
              <w:bottom w:val="single" w:sz="6" w:space="0" w:color="000000"/>
            </w:tcBorders>
          </w:tcPr>
          <w:p>
            <w:pPr>
              <w:pStyle w:val="TableParagraph"/>
              <w:spacing w:line="164" w:lineRule="exact"/>
              <w:ind w:left="54" w:right="23"/>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58"/>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61"/>
              <w:jc w:val="center"/>
              <w:rPr>
                <w:sz w:val="16"/>
              </w:rPr>
            </w:pPr>
            <w:r>
              <w:rPr>
                <w:sz w:val="16"/>
              </w:rPr>
              <w:t>Yes</w:t>
            </w:r>
          </w:p>
        </w:tc>
        <w:tc>
          <w:tcPr>
            <w:tcW w:w="1459" w:type="dxa"/>
            <w:tcBorders>
              <w:top w:val="single" w:sz="6" w:space="0" w:color="000000"/>
              <w:bottom w:val="single" w:sz="6" w:space="0" w:color="000000"/>
            </w:tcBorders>
          </w:tcPr>
          <w:p>
            <w:pPr>
              <w:pStyle w:val="TableParagraph"/>
              <w:spacing w:line="164" w:lineRule="exact"/>
              <w:ind w:left="54" w:right="30"/>
              <w:jc w:val="center"/>
              <w:rPr>
                <w:sz w:val="16"/>
              </w:rPr>
            </w:pPr>
            <w:r>
              <w:rPr>
                <w:sz w:val="16"/>
              </w:rPr>
              <w:t>Yes</w:t>
            </w:r>
          </w:p>
        </w:tc>
        <w:tc>
          <w:tcPr>
            <w:tcW w:w="681" w:type="dxa"/>
            <w:tcBorders>
              <w:top w:val="single" w:sz="6" w:space="0" w:color="000000"/>
              <w:bottom w:val="single" w:sz="6" w:space="0" w:color="000000"/>
            </w:tcBorders>
          </w:tcPr>
          <w:p>
            <w:pPr>
              <w:pStyle w:val="TableParagraph"/>
              <w:spacing w:line="164" w:lineRule="exact"/>
              <w:ind w:left="88" w:right="56"/>
              <w:jc w:val="center"/>
              <w:rPr>
                <w:sz w:val="16"/>
              </w:rPr>
            </w:pPr>
            <w:r>
              <w:rPr>
                <w:sz w:val="16"/>
              </w:rPr>
              <w:t>--</w:t>
            </w:r>
          </w:p>
        </w:tc>
        <w:tc>
          <w:tcPr>
            <w:tcW w:w="875" w:type="dxa"/>
            <w:tcBorders>
              <w:top w:val="single" w:sz="6" w:space="0" w:color="000000"/>
              <w:bottom w:val="single" w:sz="6" w:space="0" w:color="000000"/>
            </w:tcBorders>
          </w:tcPr>
          <w:p>
            <w:pPr>
              <w:pStyle w:val="TableParagraph"/>
              <w:spacing w:line="164" w:lineRule="exact"/>
              <w:ind w:left="278" w:right="247"/>
              <w:jc w:val="center"/>
              <w:rPr>
                <w:sz w:val="16"/>
              </w:rPr>
            </w:pPr>
            <w:r>
              <w:rPr>
                <w:sz w:val="16"/>
              </w:rPr>
              <w:t>--</w:t>
            </w:r>
          </w:p>
        </w:tc>
      </w:tr>
      <w:tr>
        <w:trPr>
          <w:trHeight w:val="184" w:hRule="atLeast"/>
        </w:trPr>
        <w:tc>
          <w:tcPr>
            <w:tcW w:w="2177" w:type="dxa"/>
            <w:tcBorders>
              <w:top w:val="single" w:sz="6" w:space="0" w:color="000000"/>
              <w:bottom w:val="single" w:sz="6" w:space="0" w:color="000000"/>
            </w:tcBorders>
          </w:tcPr>
          <w:p>
            <w:pPr>
              <w:pStyle w:val="TableParagraph"/>
              <w:spacing w:line="164" w:lineRule="exact"/>
              <w:ind w:left="107"/>
              <w:rPr>
                <w:sz w:val="16"/>
              </w:rPr>
            </w:pPr>
            <w:r>
              <w:rPr>
                <w:sz w:val="16"/>
              </w:rPr>
              <w:t>Watchdog Timer</w:t>
            </w:r>
          </w:p>
        </w:tc>
        <w:tc>
          <w:tcPr>
            <w:tcW w:w="1459" w:type="dxa"/>
            <w:tcBorders>
              <w:top w:val="single" w:sz="6" w:space="0" w:color="000000"/>
              <w:bottom w:val="single" w:sz="6" w:space="0" w:color="000000"/>
            </w:tcBorders>
          </w:tcPr>
          <w:p>
            <w:pPr>
              <w:pStyle w:val="TableParagraph"/>
              <w:spacing w:line="164" w:lineRule="exact"/>
              <w:ind w:left="54" w:right="23"/>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58"/>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61"/>
              <w:jc w:val="center"/>
              <w:rPr>
                <w:sz w:val="16"/>
              </w:rPr>
            </w:pPr>
            <w:r>
              <w:rPr>
                <w:sz w:val="16"/>
              </w:rPr>
              <w:t>Yes</w:t>
            </w:r>
          </w:p>
        </w:tc>
        <w:tc>
          <w:tcPr>
            <w:tcW w:w="1459" w:type="dxa"/>
            <w:tcBorders>
              <w:top w:val="single" w:sz="6" w:space="0" w:color="000000"/>
              <w:bottom w:val="single" w:sz="6" w:space="0" w:color="000000"/>
            </w:tcBorders>
          </w:tcPr>
          <w:p>
            <w:pPr>
              <w:pStyle w:val="TableParagraph"/>
              <w:spacing w:line="164" w:lineRule="exact"/>
              <w:ind w:left="54" w:right="30"/>
              <w:jc w:val="center"/>
              <w:rPr>
                <w:sz w:val="16"/>
              </w:rPr>
            </w:pPr>
            <w:r>
              <w:rPr>
                <w:sz w:val="16"/>
              </w:rPr>
              <w:t>Yes</w:t>
            </w:r>
          </w:p>
        </w:tc>
        <w:tc>
          <w:tcPr>
            <w:tcW w:w="681" w:type="dxa"/>
            <w:tcBorders>
              <w:top w:val="single" w:sz="6" w:space="0" w:color="000000"/>
              <w:bottom w:val="single" w:sz="6" w:space="0" w:color="000000"/>
            </w:tcBorders>
          </w:tcPr>
          <w:p>
            <w:pPr>
              <w:pStyle w:val="TableParagraph"/>
              <w:spacing w:line="164" w:lineRule="exact"/>
              <w:ind w:left="88" w:right="56"/>
              <w:jc w:val="center"/>
              <w:rPr>
                <w:sz w:val="16"/>
              </w:rPr>
            </w:pPr>
            <w:r>
              <w:rPr>
                <w:sz w:val="16"/>
              </w:rPr>
              <w:t>--</w:t>
            </w:r>
          </w:p>
        </w:tc>
        <w:tc>
          <w:tcPr>
            <w:tcW w:w="875" w:type="dxa"/>
            <w:tcBorders>
              <w:top w:val="single" w:sz="6" w:space="0" w:color="000000"/>
              <w:bottom w:val="single" w:sz="6" w:space="0" w:color="000000"/>
            </w:tcBorders>
          </w:tcPr>
          <w:p>
            <w:pPr>
              <w:pStyle w:val="TableParagraph"/>
              <w:spacing w:line="164" w:lineRule="exact"/>
              <w:ind w:left="278" w:right="247"/>
              <w:jc w:val="center"/>
              <w:rPr>
                <w:sz w:val="16"/>
              </w:rPr>
            </w:pPr>
            <w:r>
              <w:rPr>
                <w:sz w:val="16"/>
              </w:rPr>
              <w:t>--</w:t>
            </w:r>
          </w:p>
        </w:tc>
      </w:tr>
      <w:tr>
        <w:trPr>
          <w:trHeight w:val="184" w:hRule="atLeast"/>
        </w:trPr>
        <w:tc>
          <w:tcPr>
            <w:tcW w:w="2177" w:type="dxa"/>
            <w:tcBorders>
              <w:top w:val="single" w:sz="6" w:space="0" w:color="000000"/>
              <w:bottom w:val="single" w:sz="6" w:space="0" w:color="000000"/>
            </w:tcBorders>
          </w:tcPr>
          <w:p>
            <w:pPr>
              <w:pStyle w:val="TableParagraph"/>
              <w:spacing w:line="164" w:lineRule="exact"/>
              <w:ind w:left="107"/>
              <w:rPr>
                <w:sz w:val="16"/>
              </w:rPr>
            </w:pPr>
            <w:r>
              <w:rPr>
                <w:sz w:val="16"/>
              </w:rPr>
              <w:t>LCD</w:t>
            </w:r>
          </w:p>
        </w:tc>
        <w:tc>
          <w:tcPr>
            <w:tcW w:w="1459" w:type="dxa"/>
            <w:tcBorders>
              <w:top w:val="single" w:sz="6" w:space="0" w:color="000000"/>
              <w:bottom w:val="single" w:sz="6" w:space="0" w:color="000000"/>
            </w:tcBorders>
          </w:tcPr>
          <w:p>
            <w:pPr>
              <w:pStyle w:val="TableParagraph"/>
              <w:spacing w:line="164" w:lineRule="exact"/>
              <w:ind w:left="54" w:right="23"/>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58"/>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61"/>
              <w:jc w:val="center"/>
              <w:rPr>
                <w:sz w:val="16"/>
              </w:rPr>
            </w:pPr>
            <w:r>
              <w:rPr>
                <w:sz w:val="16"/>
              </w:rPr>
              <w:t>Yes</w:t>
            </w:r>
          </w:p>
        </w:tc>
        <w:tc>
          <w:tcPr>
            <w:tcW w:w="1459" w:type="dxa"/>
            <w:tcBorders>
              <w:top w:val="single" w:sz="6" w:space="0" w:color="000000"/>
              <w:bottom w:val="single" w:sz="6" w:space="0" w:color="000000"/>
            </w:tcBorders>
          </w:tcPr>
          <w:p>
            <w:pPr>
              <w:pStyle w:val="TableParagraph"/>
              <w:spacing w:line="164" w:lineRule="exact"/>
              <w:ind w:left="54" w:right="30"/>
              <w:jc w:val="center"/>
              <w:rPr>
                <w:sz w:val="16"/>
              </w:rPr>
            </w:pPr>
            <w:r>
              <w:rPr>
                <w:sz w:val="16"/>
              </w:rPr>
              <w:t>Yes</w:t>
            </w:r>
          </w:p>
        </w:tc>
        <w:tc>
          <w:tcPr>
            <w:tcW w:w="681" w:type="dxa"/>
            <w:tcBorders>
              <w:top w:val="single" w:sz="6" w:space="0" w:color="000000"/>
              <w:bottom w:val="single" w:sz="6" w:space="0" w:color="000000"/>
            </w:tcBorders>
          </w:tcPr>
          <w:p>
            <w:pPr>
              <w:pStyle w:val="TableParagraph"/>
              <w:spacing w:line="164" w:lineRule="exact"/>
              <w:ind w:left="89" w:right="54"/>
              <w:jc w:val="center"/>
              <w:rPr>
                <w:sz w:val="16"/>
              </w:rPr>
            </w:pPr>
            <w:r>
              <w:rPr>
                <w:sz w:val="16"/>
              </w:rPr>
              <w:t>Yes</w:t>
            </w:r>
          </w:p>
        </w:tc>
        <w:tc>
          <w:tcPr>
            <w:tcW w:w="875" w:type="dxa"/>
            <w:tcBorders>
              <w:top w:val="single" w:sz="6" w:space="0" w:color="000000"/>
              <w:bottom w:val="single" w:sz="6" w:space="0" w:color="000000"/>
            </w:tcBorders>
          </w:tcPr>
          <w:p>
            <w:pPr>
              <w:pStyle w:val="TableParagraph"/>
              <w:spacing w:line="164" w:lineRule="exact"/>
              <w:ind w:left="278" w:right="247"/>
              <w:jc w:val="center"/>
              <w:rPr>
                <w:sz w:val="16"/>
              </w:rPr>
            </w:pPr>
            <w:r>
              <w:rPr>
                <w:sz w:val="16"/>
              </w:rPr>
              <w:t>--</w:t>
            </w:r>
          </w:p>
        </w:tc>
      </w:tr>
      <w:tr>
        <w:trPr>
          <w:trHeight w:val="181" w:hRule="atLeast"/>
        </w:trPr>
        <w:tc>
          <w:tcPr>
            <w:tcW w:w="2177" w:type="dxa"/>
            <w:tcBorders>
              <w:top w:val="single" w:sz="6" w:space="0" w:color="000000"/>
              <w:bottom w:val="single" w:sz="6" w:space="0" w:color="000000"/>
            </w:tcBorders>
          </w:tcPr>
          <w:p>
            <w:pPr>
              <w:pStyle w:val="TableParagraph"/>
              <w:spacing w:line="162" w:lineRule="exact"/>
              <w:ind w:left="107"/>
              <w:rPr>
                <w:sz w:val="16"/>
              </w:rPr>
            </w:pPr>
            <w:r>
              <w:rPr>
                <w:sz w:val="16"/>
              </w:rPr>
              <w:t>LCD Boost</w:t>
            </w:r>
          </w:p>
        </w:tc>
        <w:tc>
          <w:tcPr>
            <w:tcW w:w="1459" w:type="dxa"/>
            <w:tcBorders>
              <w:top w:val="single" w:sz="6" w:space="0" w:color="000000"/>
              <w:bottom w:val="single" w:sz="6" w:space="0" w:color="000000"/>
            </w:tcBorders>
          </w:tcPr>
          <w:p>
            <w:pPr>
              <w:pStyle w:val="TableParagraph"/>
              <w:spacing w:line="162" w:lineRule="exact"/>
              <w:ind w:left="54" w:right="23"/>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2" w:lineRule="exact"/>
              <w:ind w:left="87" w:right="58"/>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2" w:lineRule="exact"/>
              <w:ind w:left="87" w:right="61"/>
              <w:jc w:val="center"/>
              <w:rPr>
                <w:sz w:val="16"/>
              </w:rPr>
            </w:pPr>
            <w:r>
              <w:rPr>
                <w:sz w:val="16"/>
              </w:rPr>
              <w:t>Yes</w:t>
            </w:r>
          </w:p>
        </w:tc>
        <w:tc>
          <w:tcPr>
            <w:tcW w:w="1459" w:type="dxa"/>
            <w:tcBorders>
              <w:top w:val="single" w:sz="6" w:space="0" w:color="000000"/>
              <w:bottom w:val="single" w:sz="6" w:space="0" w:color="000000"/>
            </w:tcBorders>
          </w:tcPr>
          <w:p>
            <w:pPr>
              <w:pStyle w:val="TableParagraph"/>
              <w:spacing w:line="162" w:lineRule="exact"/>
              <w:ind w:left="54" w:right="30"/>
              <w:jc w:val="center"/>
              <w:rPr>
                <w:sz w:val="16"/>
              </w:rPr>
            </w:pPr>
            <w:r>
              <w:rPr>
                <w:sz w:val="16"/>
              </w:rPr>
              <w:t>Yes</w:t>
            </w:r>
          </w:p>
        </w:tc>
        <w:tc>
          <w:tcPr>
            <w:tcW w:w="681" w:type="dxa"/>
            <w:tcBorders>
              <w:top w:val="single" w:sz="6" w:space="0" w:color="000000"/>
              <w:bottom w:val="single" w:sz="6" w:space="0" w:color="000000"/>
            </w:tcBorders>
          </w:tcPr>
          <w:p>
            <w:pPr>
              <w:pStyle w:val="TableParagraph"/>
              <w:spacing w:line="162" w:lineRule="exact"/>
              <w:ind w:left="89" w:right="54"/>
              <w:jc w:val="center"/>
              <w:rPr>
                <w:sz w:val="16"/>
              </w:rPr>
            </w:pPr>
            <w:r>
              <w:rPr>
                <w:sz w:val="16"/>
              </w:rPr>
              <w:t>Yes</w:t>
            </w:r>
          </w:p>
        </w:tc>
        <w:tc>
          <w:tcPr>
            <w:tcW w:w="875" w:type="dxa"/>
            <w:tcBorders>
              <w:top w:val="single" w:sz="6" w:space="0" w:color="000000"/>
              <w:bottom w:val="single" w:sz="6" w:space="0" w:color="000000"/>
            </w:tcBorders>
          </w:tcPr>
          <w:p>
            <w:pPr>
              <w:pStyle w:val="TableParagraph"/>
              <w:rPr>
                <w:rFonts w:ascii="Times New Roman"/>
                <w:sz w:val="12"/>
              </w:rPr>
            </w:pPr>
          </w:p>
        </w:tc>
      </w:tr>
      <w:tr>
        <w:trPr>
          <w:trHeight w:val="184" w:hRule="atLeast"/>
        </w:trPr>
        <w:tc>
          <w:tcPr>
            <w:tcW w:w="2177" w:type="dxa"/>
            <w:tcBorders>
              <w:top w:val="single" w:sz="6" w:space="0" w:color="000000"/>
              <w:bottom w:val="single" w:sz="6" w:space="0" w:color="000000"/>
            </w:tcBorders>
          </w:tcPr>
          <w:p>
            <w:pPr>
              <w:pStyle w:val="TableParagraph"/>
              <w:spacing w:line="164" w:lineRule="exact"/>
              <w:ind w:left="107"/>
              <w:rPr>
                <w:sz w:val="16"/>
              </w:rPr>
            </w:pPr>
            <w:r>
              <w:rPr>
                <w:sz w:val="16"/>
              </w:rPr>
              <w:t>EEPROM Interface (2-wire)</w:t>
            </w:r>
          </w:p>
        </w:tc>
        <w:tc>
          <w:tcPr>
            <w:tcW w:w="1459" w:type="dxa"/>
            <w:tcBorders>
              <w:top w:val="single" w:sz="6" w:space="0" w:color="000000"/>
              <w:bottom w:val="single" w:sz="6" w:space="0" w:color="000000"/>
            </w:tcBorders>
          </w:tcPr>
          <w:p>
            <w:pPr>
              <w:pStyle w:val="TableParagraph"/>
              <w:spacing w:line="164" w:lineRule="exact"/>
              <w:ind w:left="54" w:right="23"/>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58"/>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61"/>
              <w:jc w:val="center"/>
              <w:rPr>
                <w:sz w:val="16"/>
              </w:rPr>
            </w:pPr>
            <w:r>
              <w:rPr>
                <w:sz w:val="16"/>
              </w:rPr>
              <w:t>Yes</w:t>
            </w:r>
          </w:p>
        </w:tc>
        <w:tc>
          <w:tcPr>
            <w:tcW w:w="1459" w:type="dxa"/>
            <w:tcBorders>
              <w:top w:val="single" w:sz="6" w:space="0" w:color="000000"/>
              <w:bottom w:val="single" w:sz="6" w:space="0" w:color="000000"/>
            </w:tcBorders>
          </w:tcPr>
          <w:p>
            <w:pPr>
              <w:pStyle w:val="TableParagraph"/>
              <w:spacing w:line="164" w:lineRule="exact"/>
              <w:ind w:left="54" w:right="30"/>
              <w:jc w:val="center"/>
              <w:rPr>
                <w:sz w:val="16"/>
              </w:rPr>
            </w:pPr>
            <w:r>
              <w:rPr>
                <w:sz w:val="16"/>
              </w:rPr>
              <w:t>Yes</w:t>
            </w:r>
          </w:p>
        </w:tc>
        <w:tc>
          <w:tcPr>
            <w:tcW w:w="681" w:type="dxa"/>
            <w:tcBorders>
              <w:top w:val="single" w:sz="6" w:space="0" w:color="000000"/>
              <w:bottom w:val="single" w:sz="6" w:space="0" w:color="000000"/>
            </w:tcBorders>
          </w:tcPr>
          <w:p>
            <w:pPr>
              <w:pStyle w:val="TableParagraph"/>
              <w:spacing w:line="164" w:lineRule="exact"/>
              <w:ind w:left="88" w:right="56"/>
              <w:jc w:val="center"/>
              <w:rPr>
                <w:sz w:val="16"/>
              </w:rPr>
            </w:pPr>
            <w:r>
              <w:rPr>
                <w:sz w:val="16"/>
              </w:rPr>
              <w:t>--</w:t>
            </w:r>
          </w:p>
        </w:tc>
        <w:tc>
          <w:tcPr>
            <w:tcW w:w="875" w:type="dxa"/>
            <w:tcBorders>
              <w:top w:val="single" w:sz="6" w:space="0" w:color="000000"/>
              <w:bottom w:val="single" w:sz="6" w:space="0" w:color="000000"/>
            </w:tcBorders>
          </w:tcPr>
          <w:p>
            <w:pPr>
              <w:pStyle w:val="TableParagraph"/>
              <w:spacing w:line="164" w:lineRule="exact"/>
              <w:ind w:left="278" w:right="247"/>
              <w:jc w:val="center"/>
              <w:rPr>
                <w:sz w:val="16"/>
              </w:rPr>
            </w:pPr>
            <w:r>
              <w:rPr>
                <w:sz w:val="16"/>
              </w:rPr>
              <w:t>--</w:t>
            </w:r>
          </w:p>
        </w:tc>
      </w:tr>
      <w:tr>
        <w:trPr>
          <w:trHeight w:val="184" w:hRule="atLeast"/>
        </w:trPr>
        <w:tc>
          <w:tcPr>
            <w:tcW w:w="2177" w:type="dxa"/>
            <w:tcBorders>
              <w:top w:val="single" w:sz="6" w:space="0" w:color="000000"/>
              <w:bottom w:val="single" w:sz="6" w:space="0" w:color="000000"/>
            </w:tcBorders>
          </w:tcPr>
          <w:p>
            <w:pPr>
              <w:pStyle w:val="TableParagraph"/>
              <w:spacing w:line="164" w:lineRule="exact"/>
              <w:ind w:left="107"/>
              <w:rPr>
                <w:sz w:val="16"/>
              </w:rPr>
            </w:pPr>
            <w:r>
              <w:rPr>
                <w:sz w:val="16"/>
              </w:rPr>
              <w:t>EEPROM Interface (3-wire)</w:t>
            </w:r>
          </w:p>
        </w:tc>
        <w:tc>
          <w:tcPr>
            <w:tcW w:w="1459" w:type="dxa"/>
            <w:tcBorders>
              <w:top w:val="single" w:sz="6" w:space="0" w:color="000000"/>
              <w:bottom w:val="single" w:sz="6" w:space="0" w:color="000000"/>
            </w:tcBorders>
          </w:tcPr>
          <w:p>
            <w:pPr>
              <w:pStyle w:val="TableParagraph"/>
              <w:spacing w:line="164" w:lineRule="exact"/>
              <w:ind w:left="54" w:right="23"/>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58"/>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61"/>
              <w:jc w:val="center"/>
              <w:rPr>
                <w:sz w:val="16"/>
              </w:rPr>
            </w:pPr>
            <w:r>
              <w:rPr>
                <w:sz w:val="16"/>
              </w:rPr>
              <w:t>Yes</w:t>
            </w:r>
          </w:p>
        </w:tc>
        <w:tc>
          <w:tcPr>
            <w:tcW w:w="1459" w:type="dxa"/>
            <w:tcBorders>
              <w:top w:val="single" w:sz="6" w:space="0" w:color="000000"/>
              <w:bottom w:val="single" w:sz="6" w:space="0" w:color="000000"/>
            </w:tcBorders>
          </w:tcPr>
          <w:p>
            <w:pPr>
              <w:pStyle w:val="TableParagraph"/>
              <w:spacing w:line="164" w:lineRule="exact"/>
              <w:ind w:left="54" w:right="30"/>
              <w:jc w:val="center"/>
              <w:rPr>
                <w:sz w:val="16"/>
              </w:rPr>
            </w:pPr>
            <w:r>
              <w:rPr>
                <w:sz w:val="16"/>
              </w:rPr>
              <w:t>Yes</w:t>
            </w:r>
          </w:p>
        </w:tc>
        <w:tc>
          <w:tcPr>
            <w:tcW w:w="681" w:type="dxa"/>
            <w:tcBorders>
              <w:top w:val="single" w:sz="6" w:space="0" w:color="000000"/>
              <w:bottom w:val="single" w:sz="6" w:space="0" w:color="000000"/>
            </w:tcBorders>
          </w:tcPr>
          <w:p>
            <w:pPr>
              <w:pStyle w:val="TableParagraph"/>
              <w:spacing w:line="164" w:lineRule="exact"/>
              <w:ind w:left="88" w:right="56"/>
              <w:jc w:val="center"/>
              <w:rPr>
                <w:sz w:val="16"/>
              </w:rPr>
            </w:pPr>
            <w:r>
              <w:rPr>
                <w:sz w:val="16"/>
              </w:rPr>
              <w:t>--</w:t>
            </w:r>
          </w:p>
        </w:tc>
        <w:tc>
          <w:tcPr>
            <w:tcW w:w="875" w:type="dxa"/>
            <w:tcBorders>
              <w:top w:val="single" w:sz="6" w:space="0" w:color="000000"/>
              <w:bottom w:val="single" w:sz="6" w:space="0" w:color="000000"/>
            </w:tcBorders>
          </w:tcPr>
          <w:p>
            <w:pPr>
              <w:pStyle w:val="TableParagraph"/>
              <w:spacing w:line="164" w:lineRule="exact"/>
              <w:ind w:left="278" w:right="247"/>
              <w:jc w:val="center"/>
              <w:rPr>
                <w:sz w:val="16"/>
              </w:rPr>
            </w:pPr>
            <w:r>
              <w:rPr>
                <w:sz w:val="16"/>
              </w:rPr>
              <w:t>--</w:t>
            </w:r>
          </w:p>
        </w:tc>
      </w:tr>
      <w:tr>
        <w:trPr>
          <w:trHeight w:val="184" w:hRule="atLeast"/>
        </w:trPr>
        <w:tc>
          <w:tcPr>
            <w:tcW w:w="2177" w:type="dxa"/>
            <w:tcBorders>
              <w:top w:val="single" w:sz="6" w:space="0" w:color="000000"/>
              <w:bottom w:val="single" w:sz="6" w:space="0" w:color="000000"/>
            </w:tcBorders>
          </w:tcPr>
          <w:p>
            <w:pPr>
              <w:pStyle w:val="TableParagraph"/>
              <w:spacing w:line="164" w:lineRule="exact"/>
              <w:ind w:left="107"/>
              <w:rPr>
                <w:sz w:val="16"/>
              </w:rPr>
            </w:pPr>
            <w:r>
              <w:rPr>
                <w:sz w:val="16"/>
              </w:rPr>
              <w:t>UART (full speed)</w:t>
            </w:r>
          </w:p>
        </w:tc>
        <w:tc>
          <w:tcPr>
            <w:tcW w:w="1459" w:type="dxa"/>
            <w:tcBorders>
              <w:top w:val="single" w:sz="6" w:space="0" w:color="000000"/>
              <w:bottom w:val="single" w:sz="6" w:space="0" w:color="000000"/>
            </w:tcBorders>
          </w:tcPr>
          <w:p>
            <w:pPr>
              <w:pStyle w:val="TableParagraph"/>
              <w:spacing w:line="164" w:lineRule="exact"/>
              <w:ind w:left="54" w:right="23"/>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58"/>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61"/>
              <w:jc w:val="center"/>
              <w:rPr>
                <w:sz w:val="16"/>
              </w:rPr>
            </w:pPr>
            <w:r>
              <w:rPr>
                <w:sz w:val="16"/>
              </w:rPr>
              <w:t>Yes</w:t>
            </w:r>
          </w:p>
        </w:tc>
        <w:tc>
          <w:tcPr>
            <w:tcW w:w="1459" w:type="dxa"/>
            <w:tcBorders>
              <w:top w:val="single" w:sz="6" w:space="0" w:color="000000"/>
              <w:bottom w:val="single" w:sz="6" w:space="0" w:color="000000"/>
            </w:tcBorders>
          </w:tcPr>
          <w:p>
            <w:pPr>
              <w:pStyle w:val="TableParagraph"/>
              <w:spacing w:line="164" w:lineRule="exact"/>
              <w:ind w:left="54" w:right="30"/>
              <w:jc w:val="center"/>
              <w:rPr>
                <w:sz w:val="16"/>
              </w:rPr>
            </w:pPr>
            <w:r>
              <w:rPr>
                <w:sz w:val="16"/>
              </w:rPr>
              <w:t>Yes</w:t>
            </w:r>
          </w:p>
        </w:tc>
        <w:tc>
          <w:tcPr>
            <w:tcW w:w="681" w:type="dxa"/>
            <w:tcBorders>
              <w:top w:val="single" w:sz="6" w:space="0" w:color="000000"/>
              <w:bottom w:val="single" w:sz="6" w:space="0" w:color="000000"/>
            </w:tcBorders>
          </w:tcPr>
          <w:p>
            <w:pPr>
              <w:pStyle w:val="TableParagraph"/>
              <w:spacing w:line="164" w:lineRule="exact"/>
              <w:ind w:left="88" w:right="56"/>
              <w:jc w:val="center"/>
              <w:rPr>
                <w:sz w:val="16"/>
              </w:rPr>
            </w:pPr>
            <w:r>
              <w:rPr>
                <w:sz w:val="16"/>
              </w:rPr>
              <w:t>--</w:t>
            </w:r>
          </w:p>
        </w:tc>
        <w:tc>
          <w:tcPr>
            <w:tcW w:w="875" w:type="dxa"/>
            <w:tcBorders>
              <w:top w:val="single" w:sz="6" w:space="0" w:color="000000"/>
              <w:bottom w:val="single" w:sz="6" w:space="0" w:color="000000"/>
            </w:tcBorders>
          </w:tcPr>
          <w:p>
            <w:pPr>
              <w:pStyle w:val="TableParagraph"/>
              <w:spacing w:line="164" w:lineRule="exact"/>
              <w:ind w:left="278" w:right="247"/>
              <w:jc w:val="center"/>
              <w:rPr>
                <w:sz w:val="16"/>
              </w:rPr>
            </w:pPr>
            <w:r>
              <w:rPr>
                <w:sz w:val="16"/>
              </w:rPr>
              <w:t>--</w:t>
            </w:r>
          </w:p>
        </w:tc>
      </w:tr>
      <w:tr>
        <w:trPr>
          <w:trHeight w:val="184" w:hRule="atLeast"/>
        </w:trPr>
        <w:tc>
          <w:tcPr>
            <w:tcW w:w="2177" w:type="dxa"/>
            <w:tcBorders>
              <w:top w:val="single" w:sz="6" w:space="0" w:color="000000"/>
              <w:bottom w:val="single" w:sz="6" w:space="0" w:color="000000"/>
            </w:tcBorders>
          </w:tcPr>
          <w:p>
            <w:pPr>
              <w:pStyle w:val="TableParagraph"/>
              <w:spacing w:line="164" w:lineRule="exact"/>
              <w:ind w:left="107"/>
              <w:rPr>
                <w:sz w:val="16"/>
              </w:rPr>
            </w:pPr>
            <w:r>
              <w:rPr>
                <w:sz w:val="16"/>
              </w:rPr>
              <w:t>Optical TX modulation</w:t>
            </w:r>
          </w:p>
        </w:tc>
        <w:tc>
          <w:tcPr>
            <w:tcW w:w="1459" w:type="dxa"/>
            <w:tcBorders>
              <w:top w:val="single" w:sz="6" w:space="0" w:color="000000"/>
              <w:bottom w:val="single" w:sz="6" w:space="0" w:color="000000"/>
            </w:tcBorders>
          </w:tcPr>
          <w:p>
            <w:pPr>
              <w:pStyle w:val="TableParagraph"/>
              <w:spacing w:line="164" w:lineRule="exact"/>
              <w:ind w:left="54" w:right="23"/>
              <w:jc w:val="center"/>
              <w:rPr>
                <w:sz w:val="16"/>
              </w:rPr>
            </w:pPr>
            <w:r>
              <w:rPr>
                <w:sz w:val="16"/>
              </w:rPr>
              <w:t>38.4kHz</w:t>
            </w:r>
          </w:p>
        </w:tc>
        <w:tc>
          <w:tcPr>
            <w:tcW w:w="1461" w:type="dxa"/>
            <w:tcBorders>
              <w:top w:val="single" w:sz="6" w:space="0" w:color="000000"/>
              <w:bottom w:val="single" w:sz="6" w:space="0" w:color="000000"/>
            </w:tcBorders>
          </w:tcPr>
          <w:p>
            <w:pPr>
              <w:pStyle w:val="TableParagraph"/>
              <w:spacing w:line="164" w:lineRule="exact"/>
              <w:ind w:left="87" w:right="57"/>
              <w:jc w:val="center"/>
              <w:rPr>
                <w:sz w:val="16"/>
              </w:rPr>
            </w:pPr>
            <w:r>
              <w:rPr>
                <w:sz w:val="16"/>
              </w:rPr>
              <w:t>38.9kHz</w:t>
            </w:r>
          </w:p>
        </w:tc>
        <w:tc>
          <w:tcPr>
            <w:tcW w:w="1461" w:type="dxa"/>
            <w:tcBorders>
              <w:top w:val="single" w:sz="6" w:space="0" w:color="000000"/>
              <w:bottom w:val="single" w:sz="6" w:space="0" w:color="000000"/>
            </w:tcBorders>
          </w:tcPr>
          <w:p>
            <w:pPr>
              <w:pStyle w:val="TableParagraph"/>
              <w:spacing w:line="164" w:lineRule="exact"/>
              <w:ind w:left="87" w:right="61"/>
              <w:jc w:val="center"/>
              <w:rPr>
                <w:sz w:val="16"/>
              </w:rPr>
            </w:pPr>
            <w:r>
              <w:rPr>
                <w:sz w:val="16"/>
              </w:rPr>
              <w:t>38.4kHz</w:t>
            </w:r>
          </w:p>
        </w:tc>
        <w:tc>
          <w:tcPr>
            <w:tcW w:w="1459" w:type="dxa"/>
            <w:tcBorders>
              <w:top w:val="single" w:sz="6" w:space="0" w:color="000000"/>
              <w:bottom w:val="single" w:sz="6" w:space="0" w:color="000000"/>
            </w:tcBorders>
          </w:tcPr>
          <w:p>
            <w:pPr>
              <w:pStyle w:val="TableParagraph"/>
              <w:spacing w:line="164" w:lineRule="exact"/>
              <w:ind w:left="54" w:right="29"/>
              <w:jc w:val="center"/>
              <w:rPr>
                <w:sz w:val="16"/>
              </w:rPr>
            </w:pPr>
            <w:r>
              <w:rPr>
                <w:sz w:val="16"/>
              </w:rPr>
              <w:t>38.9kHz</w:t>
            </w:r>
          </w:p>
        </w:tc>
        <w:tc>
          <w:tcPr>
            <w:tcW w:w="681" w:type="dxa"/>
            <w:tcBorders>
              <w:top w:val="single" w:sz="6" w:space="0" w:color="000000"/>
              <w:bottom w:val="single" w:sz="6" w:space="0" w:color="000000"/>
            </w:tcBorders>
          </w:tcPr>
          <w:p>
            <w:pPr>
              <w:pStyle w:val="TableParagraph"/>
              <w:spacing w:line="164" w:lineRule="exact"/>
              <w:ind w:left="88" w:right="56"/>
              <w:jc w:val="center"/>
              <w:rPr>
                <w:sz w:val="16"/>
              </w:rPr>
            </w:pPr>
            <w:r>
              <w:rPr>
                <w:sz w:val="16"/>
              </w:rPr>
              <w:t>--</w:t>
            </w:r>
          </w:p>
        </w:tc>
        <w:tc>
          <w:tcPr>
            <w:tcW w:w="875" w:type="dxa"/>
            <w:tcBorders>
              <w:top w:val="single" w:sz="6" w:space="0" w:color="000000"/>
              <w:bottom w:val="single" w:sz="6" w:space="0" w:color="000000"/>
            </w:tcBorders>
          </w:tcPr>
          <w:p>
            <w:pPr>
              <w:pStyle w:val="TableParagraph"/>
              <w:spacing w:line="164" w:lineRule="exact"/>
              <w:ind w:left="278" w:right="247"/>
              <w:jc w:val="center"/>
              <w:rPr>
                <w:sz w:val="16"/>
              </w:rPr>
            </w:pPr>
            <w:r>
              <w:rPr>
                <w:sz w:val="16"/>
              </w:rPr>
              <w:t>--</w:t>
            </w:r>
          </w:p>
        </w:tc>
      </w:tr>
      <w:tr>
        <w:trPr>
          <w:trHeight w:val="184" w:hRule="atLeast"/>
        </w:trPr>
        <w:tc>
          <w:tcPr>
            <w:tcW w:w="2177" w:type="dxa"/>
            <w:tcBorders>
              <w:top w:val="single" w:sz="6" w:space="0" w:color="000000"/>
              <w:bottom w:val="single" w:sz="6" w:space="0" w:color="000000"/>
            </w:tcBorders>
          </w:tcPr>
          <w:p>
            <w:pPr>
              <w:pStyle w:val="TableParagraph"/>
              <w:spacing w:line="164" w:lineRule="exact"/>
              <w:ind w:left="107"/>
              <w:rPr>
                <w:sz w:val="16"/>
              </w:rPr>
            </w:pPr>
            <w:r>
              <w:rPr>
                <w:sz w:val="16"/>
              </w:rPr>
              <w:t>Flash Read</w:t>
            </w:r>
          </w:p>
        </w:tc>
        <w:tc>
          <w:tcPr>
            <w:tcW w:w="1459" w:type="dxa"/>
            <w:tcBorders>
              <w:top w:val="single" w:sz="6" w:space="0" w:color="000000"/>
              <w:bottom w:val="single" w:sz="6" w:space="0" w:color="000000"/>
            </w:tcBorders>
          </w:tcPr>
          <w:p>
            <w:pPr>
              <w:pStyle w:val="TableParagraph"/>
              <w:spacing w:line="164" w:lineRule="exact"/>
              <w:ind w:left="54" w:right="23"/>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58"/>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61"/>
              <w:jc w:val="center"/>
              <w:rPr>
                <w:sz w:val="16"/>
              </w:rPr>
            </w:pPr>
            <w:r>
              <w:rPr>
                <w:sz w:val="16"/>
              </w:rPr>
              <w:t>Yes</w:t>
            </w:r>
          </w:p>
        </w:tc>
        <w:tc>
          <w:tcPr>
            <w:tcW w:w="1459" w:type="dxa"/>
            <w:tcBorders>
              <w:top w:val="single" w:sz="6" w:space="0" w:color="000000"/>
              <w:bottom w:val="single" w:sz="6" w:space="0" w:color="000000"/>
            </w:tcBorders>
          </w:tcPr>
          <w:p>
            <w:pPr>
              <w:pStyle w:val="TableParagraph"/>
              <w:spacing w:line="164" w:lineRule="exact"/>
              <w:ind w:left="54" w:right="30"/>
              <w:jc w:val="center"/>
              <w:rPr>
                <w:sz w:val="16"/>
              </w:rPr>
            </w:pPr>
            <w:r>
              <w:rPr>
                <w:sz w:val="16"/>
              </w:rPr>
              <w:t>Yes</w:t>
            </w:r>
          </w:p>
        </w:tc>
        <w:tc>
          <w:tcPr>
            <w:tcW w:w="681" w:type="dxa"/>
            <w:tcBorders>
              <w:top w:val="single" w:sz="6" w:space="0" w:color="000000"/>
              <w:bottom w:val="single" w:sz="6" w:space="0" w:color="000000"/>
            </w:tcBorders>
          </w:tcPr>
          <w:p>
            <w:pPr>
              <w:pStyle w:val="TableParagraph"/>
              <w:spacing w:line="164" w:lineRule="exact"/>
              <w:ind w:left="88" w:right="56"/>
              <w:jc w:val="center"/>
              <w:rPr>
                <w:sz w:val="16"/>
              </w:rPr>
            </w:pPr>
            <w:r>
              <w:rPr>
                <w:sz w:val="16"/>
              </w:rPr>
              <w:t>--</w:t>
            </w:r>
          </w:p>
        </w:tc>
        <w:tc>
          <w:tcPr>
            <w:tcW w:w="875" w:type="dxa"/>
            <w:tcBorders>
              <w:top w:val="single" w:sz="6" w:space="0" w:color="000000"/>
              <w:bottom w:val="single" w:sz="6" w:space="0" w:color="000000"/>
            </w:tcBorders>
          </w:tcPr>
          <w:p>
            <w:pPr>
              <w:pStyle w:val="TableParagraph"/>
              <w:spacing w:line="164" w:lineRule="exact"/>
              <w:ind w:left="278" w:right="247"/>
              <w:jc w:val="center"/>
              <w:rPr>
                <w:sz w:val="16"/>
              </w:rPr>
            </w:pPr>
            <w:r>
              <w:rPr>
                <w:sz w:val="16"/>
              </w:rPr>
              <w:t>--</w:t>
            </w:r>
          </w:p>
        </w:tc>
      </w:tr>
      <w:tr>
        <w:trPr>
          <w:trHeight w:val="184" w:hRule="atLeast"/>
        </w:trPr>
        <w:tc>
          <w:tcPr>
            <w:tcW w:w="2177" w:type="dxa"/>
            <w:tcBorders>
              <w:top w:val="single" w:sz="6" w:space="0" w:color="000000"/>
              <w:bottom w:val="single" w:sz="6" w:space="0" w:color="000000"/>
            </w:tcBorders>
          </w:tcPr>
          <w:p>
            <w:pPr>
              <w:pStyle w:val="TableParagraph"/>
              <w:spacing w:line="164" w:lineRule="exact"/>
              <w:ind w:left="107"/>
              <w:rPr>
                <w:sz w:val="16"/>
              </w:rPr>
            </w:pPr>
            <w:r>
              <w:rPr>
                <w:sz w:val="16"/>
              </w:rPr>
              <w:t>Flash Page Erase</w:t>
            </w:r>
          </w:p>
        </w:tc>
        <w:tc>
          <w:tcPr>
            <w:tcW w:w="1459" w:type="dxa"/>
            <w:tcBorders>
              <w:top w:val="single" w:sz="6" w:space="0" w:color="000000"/>
              <w:bottom w:val="single" w:sz="6" w:space="0" w:color="000000"/>
            </w:tcBorders>
          </w:tcPr>
          <w:p>
            <w:pPr>
              <w:pStyle w:val="TableParagraph"/>
              <w:spacing w:line="164" w:lineRule="exact"/>
              <w:ind w:left="54" w:right="23"/>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58"/>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61"/>
              <w:jc w:val="center"/>
              <w:rPr>
                <w:sz w:val="16"/>
              </w:rPr>
            </w:pPr>
            <w:r>
              <w:rPr>
                <w:sz w:val="16"/>
              </w:rPr>
              <w:t>Yes</w:t>
            </w:r>
          </w:p>
        </w:tc>
        <w:tc>
          <w:tcPr>
            <w:tcW w:w="1459" w:type="dxa"/>
            <w:tcBorders>
              <w:top w:val="single" w:sz="6" w:space="0" w:color="000000"/>
              <w:bottom w:val="single" w:sz="6" w:space="0" w:color="000000"/>
            </w:tcBorders>
          </w:tcPr>
          <w:p>
            <w:pPr>
              <w:pStyle w:val="TableParagraph"/>
              <w:spacing w:line="164" w:lineRule="exact"/>
              <w:ind w:left="54" w:right="30"/>
              <w:jc w:val="center"/>
              <w:rPr>
                <w:sz w:val="16"/>
              </w:rPr>
            </w:pPr>
            <w:r>
              <w:rPr>
                <w:sz w:val="16"/>
              </w:rPr>
              <w:t>Yes</w:t>
            </w:r>
          </w:p>
        </w:tc>
        <w:tc>
          <w:tcPr>
            <w:tcW w:w="681" w:type="dxa"/>
            <w:tcBorders>
              <w:top w:val="single" w:sz="6" w:space="0" w:color="000000"/>
              <w:bottom w:val="single" w:sz="6" w:space="0" w:color="000000"/>
            </w:tcBorders>
          </w:tcPr>
          <w:p>
            <w:pPr>
              <w:pStyle w:val="TableParagraph"/>
              <w:spacing w:line="164" w:lineRule="exact"/>
              <w:ind w:left="88" w:right="56"/>
              <w:jc w:val="center"/>
              <w:rPr>
                <w:sz w:val="16"/>
              </w:rPr>
            </w:pPr>
            <w:r>
              <w:rPr>
                <w:sz w:val="16"/>
              </w:rPr>
              <w:t>--</w:t>
            </w:r>
          </w:p>
        </w:tc>
        <w:tc>
          <w:tcPr>
            <w:tcW w:w="875" w:type="dxa"/>
            <w:tcBorders>
              <w:top w:val="single" w:sz="6" w:space="0" w:color="000000"/>
              <w:bottom w:val="single" w:sz="6" w:space="0" w:color="000000"/>
            </w:tcBorders>
          </w:tcPr>
          <w:p>
            <w:pPr>
              <w:pStyle w:val="TableParagraph"/>
              <w:spacing w:line="164" w:lineRule="exact"/>
              <w:ind w:left="278" w:right="247"/>
              <w:jc w:val="center"/>
              <w:rPr>
                <w:sz w:val="16"/>
              </w:rPr>
            </w:pPr>
            <w:r>
              <w:rPr>
                <w:sz w:val="16"/>
              </w:rPr>
              <w:t>--</w:t>
            </w:r>
          </w:p>
        </w:tc>
      </w:tr>
      <w:tr>
        <w:trPr>
          <w:trHeight w:val="184" w:hRule="atLeast"/>
        </w:trPr>
        <w:tc>
          <w:tcPr>
            <w:tcW w:w="2177" w:type="dxa"/>
            <w:tcBorders>
              <w:top w:val="single" w:sz="6" w:space="0" w:color="000000"/>
              <w:bottom w:val="single" w:sz="6" w:space="0" w:color="000000"/>
            </w:tcBorders>
          </w:tcPr>
          <w:p>
            <w:pPr>
              <w:pStyle w:val="TableParagraph"/>
              <w:spacing w:line="164" w:lineRule="exact"/>
              <w:ind w:left="107"/>
              <w:rPr>
                <w:sz w:val="16"/>
              </w:rPr>
            </w:pPr>
            <w:r>
              <w:rPr>
                <w:sz w:val="16"/>
              </w:rPr>
              <w:t>Flash Write</w:t>
            </w:r>
          </w:p>
        </w:tc>
        <w:tc>
          <w:tcPr>
            <w:tcW w:w="1459" w:type="dxa"/>
            <w:tcBorders>
              <w:top w:val="single" w:sz="6" w:space="0" w:color="000000"/>
              <w:bottom w:val="single" w:sz="6" w:space="0" w:color="000000"/>
            </w:tcBorders>
          </w:tcPr>
          <w:p>
            <w:pPr>
              <w:pStyle w:val="TableParagraph"/>
              <w:spacing w:line="164" w:lineRule="exact"/>
              <w:ind w:left="54" w:right="23"/>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58"/>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61"/>
              <w:jc w:val="center"/>
              <w:rPr>
                <w:sz w:val="16"/>
              </w:rPr>
            </w:pPr>
            <w:r>
              <w:rPr>
                <w:sz w:val="16"/>
              </w:rPr>
              <w:t>Yes</w:t>
            </w:r>
          </w:p>
        </w:tc>
        <w:tc>
          <w:tcPr>
            <w:tcW w:w="1459" w:type="dxa"/>
            <w:tcBorders>
              <w:top w:val="single" w:sz="6" w:space="0" w:color="000000"/>
              <w:bottom w:val="single" w:sz="6" w:space="0" w:color="000000"/>
            </w:tcBorders>
          </w:tcPr>
          <w:p>
            <w:pPr>
              <w:pStyle w:val="TableParagraph"/>
              <w:spacing w:line="164" w:lineRule="exact"/>
              <w:ind w:left="54" w:right="30"/>
              <w:jc w:val="center"/>
              <w:rPr>
                <w:sz w:val="16"/>
              </w:rPr>
            </w:pPr>
            <w:r>
              <w:rPr>
                <w:sz w:val="16"/>
              </w:rPr>
              <w:t>Yes</w:t>
            </w:r>
          </w:p>
        </w:tc>
        <w:tc>
          <w:tcPr>
            <w:tcW w:w="681" w:type="dxa"/>
            <w:tcBorders>
              <w:top w:val="single" w:sz="6" w:space="0" w:color="000000"/>
              <w:bottom w:val="single" w:sz="6" w:space="0" w:color="000000"/>
            </w:tcBorders>
          </w:tcPr>
          <w:p>
            <w:pPr>
              <w:pStyle w:val="TableParagraph"/>
              <w:spacing w:line="164" w:lineRule="exact"/>
              <w:ind w:left="88" w:right="56"/>
              <w:jc w:val="center"/>
              <w:rPr>
                <w:sz w:val="16"/>
              </w:rPr>
            </w:pPr>
            <w:r>
              <w:rPr>
                <w:sz w:val="16"/>
              </w:rPr>
              <w:t>--</w:t>
            </w:r>
          </w:p>
        </w:tc>
        <w:tc>
          <w:tcPr>
            <w:tcW w:w="875" w:type="dxa"/>
            <w:tcBorders>
              <w:top w:val="single" w:sz="6" w:space="0" w:color="000000"/>
              <w:bottom w:val="single" w:sz="6" w:space="0" w:color="000000"/>
            </w:tcBorders>
          </w:tcPr>
          <w:p>
            <w:pPr>
              <w:pStyle w:val="TableParagraph"/>
              <w:spacing w:line="164" w:lineRule="exact"/>
              <w:ind w:left="278" w:right="247"/>
              <w:jc w:val="center"/>
              <w:rPr>
                <w:sz w:val="16"/>
              </w:rPr>
            </w:pPr>
            <w:r>
              <w:rPr>
                <w:sz w:val="16"/>
              </w:rPr>
              <w:t>--</w:t>
            </w:r>
          </w:p>
        </w:tc>
      </w:tr>
      <w:tr>
        <w:trPr>
          <w:trHeight w:val="184" w:hRule="atLeast"/>
        </w:trPr>
        <w:tc>
          <w:tcPr>
            <w:tcW w:w="2177" w:type="dxa"/>
            <w:tcBorders>
              <w:top w:val="single" w:sz="6" w:space="0" w:color="000000"/>
              <w:bottom w:val="single" w:sz="6" w:space="0" w:color="000000"/>
            </w:tcBorders>
          </w:tcPr>
          <w:p>
            <w:pPr>
              <w:pStyle w:val="TableParagraph"/>
              <w:spacing w:line="164" w:lineRule="exact"/>
              <w:ind w:left="107"/>
              <w:rPr>
                <w:sz w:val="16"/>
              </w:rPr>
            </w:pPr>
            <w:r>
              <w:rPr>
                <w:sz w:val="16"/>
              </w:rPr>
              <w:t>RAM Read and Write</w:t>
            </w:r>
          </w:p>
        </w:tc>
        <w:tc>
          <w:tcPr>
            <w:tcW w:w="1459" w:type="dxa"/>
            <w:tcBorders>
              <w:top w:val="single" w:sz="6" w:space="0" w:color="000000"/>
              <w:bottom w:val="single" w:sz="6" w:space="0" w:color="000000"/>
            </w:tcBorders>
          </w:tcPr>
          <w:p>
            <w:pPr>
              <w:pStyle w:val="TableParagraph"/>
              <w:spacing w:line="164" w:lineRule="exact"/>
              <w:ind w:left="54" w:right="23"/>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58"/>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61"/>
              <w:jc w:val="center"/>
              <w:rPr>
                <w:sz w:val="16"/>
              </w:rPr>
            </w:pPr>
            <w:r>
              <w:rPr>
                <w:sz w:val="16"/>
              </w:rPr>
              <w:t>Yes</w:t>
            </w:r>
          </w:p>
        </w:tc>
        <w:tc>
          <w:tcPr>
            <w:tcW w:w="1459" w:type="dxa"/>
            <w:tcBorders>
              <w:top w:val="single" w:sz="6" w:space="0" w:color="000000"/>
              <w:bottom w:val="single" w:sz="6" w:space="0" w:color="000000"/>
            </w:tcBorders>
          </w:tcPr>
          <w:p>
            <w:pPr>
              <w:pStyle w:val="TableParagraph"/>
              <w:spacing w:line="164" w:lineRule="exact"/>
              <w:ind w:left="54" w:right="30"/>
              <w:jc w:val="center"/>
              <w:rPr>
                <w:sz w:val="16"/>
              </w:rPr>
            </w:pPr>
            <w:r>
              <w:rPr>
                <w:sz w:val="16"/>
              </w:rPr>
              <w:t>Yes</w:t>
            </w:r>
          </w:p>
        </w:tc>
        <w:tc>
          <w:tcPr>
            <w:tcW w:w="681" w:type="dxa"/>
            <w:tcBorders>
              <w:top w:val="single" w:sz="6" w:space="0" w:color="000000"/>
              <w:bottom w:val="single" w:sz="6" w:space="0" w:color="000000"/>
            </w:tcBorders>
          </w:tcPr>
          <w:p>
            <w:pPr>
              <w:pStyle w:val="TableParagraph"/>
              <w:spacing w:line="164" w:lineRule="exact"/>
              <w:ind w:left="88" w:right="56"/>
              <w:jc w:val="center"/>
              <w:rPr>
                <w:sz w:val="16"/>
              </w:rPr>
            </w:pPr>
            <w:r>
              <w:rPr>
                <w:sz w:val="16"/>
              </w:rPr>
              <w:t>--</w:t>
            </w:r>
          </w:p>
        </w:tc>
        <w:tc>
          <w:tcPr>
            <w:tcW w:w="875" w:type="dxa"/>
            <w:tcBorders>
              <w:top w:val="single" w:sz="6" w:space="0" w:color="000000"/>
              <w:bottom w:val="single" w:sz="6" w:space="0" w:color="000000"/>
            </w:tcBorders>
          </w:tcPr>
          <w:p>
            <w:pPr>
              <w:pStyle w:val="TableParagraph"/>
              <w:spacing w:line="164" w:lineRule="exact"/>
              <w:ind w:left="278" w:right="247"/>
              <w:jc w:val="center"/>
              <w:rPr>
                <w:sz w:val="16"/>
              </w:rPr>
            </w:pPr>
            <w:r>
              <w:rPr>
                <w:sz w:val="16"/>
              </w:rPr>
              <w:t>--</w:t>
            </w:r>
          </w:p>
        </w:tc>
      </w:tr>
      <w:tr>
        <w:trPr>
          <w:trHeight w:val="184" w:hRule="atLeast"/>
        </w:trPr>
        <w:tc>
          <w:tcPr>
            <w:tcW w:w="2177" w:type="dxa"/>
            <w:tcBorders>
              <w:top w:val="single" w:sz="6" w:space="0" w:color="000000"/>
              <w:bottom w:val="single" w:sz="6" w:space="0" w:color="000000"/>
            </w:tcBorders>
          </w:tcPr>
          <w:p>
            <w:pPr>
              <w:pStyle w:val="TableParagraph"/>
              <w:spacing w:line="164" w:lineRule="exact"/>
              <w:ind w:left="107"/>
              <w:rPr>
                <w:sz w:val="16"/>
              </w:rPr>
            </w:pPr>
            <w:r>
              <w:rPr>
                <w:sz w:val="16"/>
              </w:rPr>
              <w:t>Wakeup Timer</w:t>
            </w:r>
          </w:p>
        </w:tc>
        <w:tc>
          <w:tcPr>
            <w:tcW w:w="1459" w:type="dxa"/>
            <w:tcBorders>
              <w:top w:val="single" w:sz="6" w:space="0" w:color="000000"/>
              <w:bottom w:val="single" w:sz="6" w:space="0" w:color="000000"/>
            </w:tcBorders>
          </w:tcPr>
          <w:p>
            <w:pPr>
              <w:pStyle w:val="TableParagraph"/>
              <w:spacing w:line="164" w:lineRule="exact"/>
              <w:ind w:left="54" w:right="23"/>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58"/>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61"/>
              <w:jc w:val="center"/>
              <w:rPr>
                <w:sz w:val="16"/>
              </w:rPr>
            </w:pPr>
            <w:r>
              <w:rPr>
                <w:sz w:val="16"/>
              </w:rPr>
              <w:t>Yes</w:t>
            </w:r>
          </w:p>
        </w:tc>
        <w:tc>
          <w:tcPr>
            <w:tcW w:w="1459" w:type="dxa"/>
            <w:tcBorders>
              <w:top w:val="single" w:sz="6" w:space="0" w:color="000000"/>
              <w:bottom w:val="single" w:sz="6" w:space="0" w:color="000000"/>
            </w:tcBorders>
          </w:tcPr>
          <w:p>
            <w:pPr>
              <w:pStyle w:val="TableParagraph"/>
              <w:spacing w:line="164" w:lineRule="exact"/>
              <w:ind w:left="54" w:right="30"/>
              <w:jc w:val="center"/>
              <w:rPr>
                <w:sz w:val="16"/>
              </w:rPr>
            </w:pPr>
            <w:r>
              <w:rPr>
                <w:sz w:val="16"/>
              </w:rPr>
              <w:t>Yes</w:t>
            </w:r>
          </w:p>
        </w:tc>
        <w:tc>
          <w:tcPr>
            <w:tcW w:w="681" w:type="dxa"/>
            <w:tcBorders>
              <w:top w:val="single" w:sz="6" w:space="0" w:color="000000"/>
              <w:bottom w:val="single" w:sz="6" w:space="0" w:color="000000"/>
            </w:tcBorders>
          </w:tcPr>
          <w:p>
            <w:pPr>
              <w:pStyle w:val="TableParagraph"/>
              <w:spacing w:line="164" w:lineRule="exact"/>
              <w:ind w:left="89" w:right="54"/>
              <w:jc w:val="center"/>
              <w:rPr>
                <w:sz w:val="16"/>
              </w:rPr>
            </w:pPr>
            <w:r>
              <w:rPr>
                <w:sz w:val="16"/>
              </w:rPr>
              <w:t>Yes</w:t>
            </w:r>
          </w:p>
        </w:tc>
        <w:tc>
          <w:tcPr>
            <w:tcW w:w="875" w:type="dxa"/>
            <w:tcBorders>
              <w:top w:val="single" w:sz="6" w:space="0" w:color="000000"/>
              <w:bottom w:val="single" w:sz="6" w:space="0" w:color="000000"/>
            </w:tcBorders>
          </w:tcPr>
          <w:p>
            <w:pPr>
              <w:pStyle w:val="TableParagraph"/>
              <w:spacing w:line="164" w:lineRule="exact"/>
              <w:ind w:left="281" w:right="247"/>
              <w:jc w:val="center"/>
              <w:rPr>
                <w:sz w:val="16"/>
              </w:rPr>
            </w:pPr>
            <w:r>
              <w:rPr>
                <w:sz w:val="16"/>
              </w:rPr>
              <w:t>Yes</w:t>
            </w:r>
          </w:p>
        </w:tc>
      </w:tr>
      <w:tr>
        <w:trPr>
          <w:trHeight w:val="184" w:hRule="atLeast"/>
        </w:trPr>
        <w:tc>
          <w:tcPr>
            <w:tcW w:w="2177" w:type="dxa"/>
            <w:tcBorders>
              <w:top w:val="single" w:sz="6" w:space="0" w:color="000000"/>
              <w:bottom w:val="single" w:sz="6" w:space="0" w:color="000000"/>
            </w:tcBorders>
          </w:tcPr>
          <w:p>
            <w:pPr>
              <w:pStyle w:val="TableParagraph"/>
              <w:spacing w:line="164" w:lineRule="exact"/>
              <w:ind w:left="107"/>
              <w:rPr>
                <w:sz w:val="16"/>
              </w:rPr>
            </w:pPr>
            <w:r>
              <w:rPr>
                <w:sz w:val="16"/>
              </w:rPr>
              <w:t>OSC and RTC</w:t>
            </w:r>
          </w:p>
        </w:tc>
        <w:tc>
          <w:tcPr>
            <w:tcW w:w="1459" w:type="dxa"/>
            <w:tcBorders>
              <w:top w:val="single" w:sz="6" w:space="0" w:color="000000"/>
              <w:bottom w:val="single" w:sz="6" w:space="0" w:color="000000"/>
            </w:tcBorders>
          </w:tcPr>
          <w:p>
            <w:pPr>
              <w:pStyle w:val="TableParagraph"/>
              <w:spacing w:line="164" w:lineRule="exact"/>
              <w:ind w:left="54" w:right="23"/>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58"/>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61"/>
              <w:jc w:val="center"/>
              <w:rPr>
                <w:sz w:val="16"/>
              </w:rPr>
            </w:pPr>
            <w:r>
              <w:rPr>
                <w:sz w:val="16"/>
              </w:rPr>
              <w:t>Yes</w:t>
            </w:r>
          </w:p>
        </w:tc>
        <w:tc>
          <w:tcPr>
            <w:tcW w:w="1459" w:type="dxa"/>
            <w:tcBorders>
              <w:top w:val="single" w:sz="6" w:space="0" w:color="000000"/>
              <w:bottom w:val="single" w:sz="6" w:space="0" w:color="000000"/>
            </w:tcBorders>
          </w:tcPr>
          <w:p>
            <w:pPr>
              <w:pStyle w:val="TableParagraph"/>
              <w:spacing w:line="164" w:lineRule="exact"/>
              <w:ind w:left="54" w:right="30"/>
              <w:jc w:val="center"/>
              <w:rPr>
                <w:sz w:val="16"/>
              </w:rPr>
            </w:pPr>
            <w:r>
              <w:rPr>
                <w:sz w:val="16"/>
              </w:rPr>
              <w:t>Yes</w:t>
            </w:r>
          </w:p>
        </w:tc>
        <w:tc>
          <w:tcPr>
            <w:tcW w:w="681" w:type="dxa"/>
            <w:tcBorders>
              <w:top w:val="single" w:sz="6" w:space="0" w:color="000000"/>
              <w:bottom w:val="single" w:sz="6" w:space="0" w:color="000000"/>
            </w:tcBorders>
          </w:tcPr>
          <w:p>
            <w:pPr>
              <w:pStyle w:val="TableParagraph"/>
              <w:spacing w:line="164" w:lineRule="exact"/>
              <w:ind w:left="89" w:right="54"/>
              <w:jc w:val="center"/>
              <w:rPr>
                <w:sz w:val="16"/>
              </w:rPr>
            </w:pPr>
            <w:r>
              <w:rPr>
                <w:sz w:val="16"/>
              </w:rPr>
              <w:t>Yes</w:t>
            </w:r>
          </w:p>
        </w:tc>
        <w:tc>
          <w:tcPr>
            <w:tcW w:w="875" w:type="dxa"/>
            <w:tcBorders>
              <w:top w:val="single" w:sz="6" w:space="0" w:color="000000"/>
              <w:bottom w:val="single" w:sz="6" w:space="0" w:color="000000"/>
            </w:tcBorders>
          </w:tcPr>
          <w:p>
            <w:pPr>
              <w:pStyle w:val="TableParagraph"/>
              <w:spacing w:line="164" w:lineRule="exact"/>
              <w:ind w:left="281" w:right="247"/>
              <w:jc w:val="center"/>
              <w:rPr>
                <w:sz w:val="16"/>
              </w:rPr>
            </w:pPr>
            <w:r>
              <w:rPr>
                <w:sz w:val="16"/>
              </w:rPr>
              <w:t>Yes</w:t>
            </w:r>
          </w:p>
        </w:tc>
      </w:tr>
      <w:tr>
        <w:trPr>
          <w:trHeight w:val="181" w:hRule="atLeast"/>
        </w:trPr>
        <w:tc>
          <w:tcPr>
            <w:tcW w:w="2177" w:type="dxa"/>
            <w:tcBorders>
              <w:top w:val="single" w:sz="6" w:space="0" w:color="000000"/>
              <w:bottom w:val="single" w:sz="6" w:space="0" w:color="000000"/>
            </w:tcBorders>
          </w:tcPr>
          <w:p>
            <w:pPr>
              <w:pStyle w:val="TableParagraph"/>
              <w:spacing w:line="162" w:lineRule="exact"/>
              <w:ind w:left="107"/>
              <w:rPr>
                <w:sz w:val="16"/>
              </w:rPr>
            </w:pPr>
            <w:r>
              <w:rPr>
                <w:sz w:val="16"/>
              </w:rPr>
              <w:t>DRAM data preservation</w:t>
            </w:r>
          </w:p>
        </w:tc>
        <w:tc>
          <w:tcPr>
            <w:tcW w:w="1459" w:type="dxa"/>
            <w:tcBorders>
              <w:top w:val="single" w:sz="6" w:space="0" w:color="000000"/>
              <w:bottom w:val="single" w:sz="6" w:space="0" w:color="000000"/>
            </w:tcBorders>
          </w:tcPr>
          <w:p>
            <w:pPr>
              <w:pStyle w:val="TableParagraph"/>
              <w:spacing w:line="162" w:lineRule="exact"/>
              <w:ind w:left="54" w:right="23"/>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2" w:lineRule="exact"/>
              <w:ind w:left="87" w:right="58"/>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2" w:lineRule="exact"/>
              <w:ind w:left="87" w:right="61"/>
              <w:jc w:val="center"/>
              <w:rPr>
                <w:sz w:val="16"/>
              </w:rPr>
            </w:pPr>
            <w:r>
              <w:rPr>
                <w:sz w:val="16"/>
              </w:rPr>
              <w:t>Yes</w:t>
            </w:r>
          </w:p>
        </w:tc>
        <w:tc>
          <w:tcPr>
            <w:tcW w:w="1459" w:type="dxa"/>
            <w:tcBorders>
              <w:top w:val="single" w:sz="6" w:space="0" w:color="000000"/>
              <w:bottom w:val="single" w:sz="6" w:space="0" w:color="000000"/>
            </w:tcBorders>
          </w:tcPr>
          <w:p>
            <w:pPr>
              <w:pStyle w:val="TableParagraph"/>
              <w:spacing w:line="162" w:lineRule="exact"/>
              <w:ind w:left="54" w:right="30"/>
              <w:jc w:val="center"/>
              <w:rPr>
                <w:sz w:val="16"/>
              </w:rPr>
            </w:pPr>
            <w:r>
              <w:rPr>
                <w:sz w:val="16"/>
              </w:rPr>
              <w:t>Yes</w:t>
            </w:r>
          </w:p>
        </w:tc>
        <w:tc>
          <w:tcPr>
            <w:tcW w:w="681" w:type="dxa"/>
            <w:tcBorders>
              <w:top w:val="single" w:sz="6" w:space="0" w:color="000000"/>
              <w:bottom w:val="single" w:sz="6" w:space="0" w:color="000000"/>
            </w:tcBorders>
          </w:tcPr>
          <w:p>
            <w:pPr>
              <w:pStyle w:val="TableParagraph"/>
              <w:spacing w:line="162" w:lineRule="exact"/>
              <w:ind w:left="88" w:right="56"/>
              <w:jc w:val="center"/>
              <w:rPr>
                <w:sz w:val="16"/>
              </w:rPr>
            </w:pPr>
            <w:r>
              <w:rPr>
                <w:sz w:val="16"/>
              </w:rPr>
              <w:t>--</w:t>
            </w:r>
          </w:p>
        </w:tc>
        <w:tc>
          <w:tcPr>
            <w:tcW w:w="875" w:type="dxa"/>
            <w:tcBorders>
              <w:top w:val="single" w:sz="6" w:space="0" w:color="000000"/>
              <w:bottom w:val="single" w:sz="6" w:space="0" w:color="000000"/>
            </w:tcBorders>
          </w:tcPr>
          <w:p>
            <w:pPr>
              <w:pStyle w:val="TableParagraph"/>
              <w:spacing w:line="162" w:lineRule="exact"/>
              <w:ind w:left="278" w:right="247"/>
              <w:jc w:val="center"/>
              <w:rPr>
                <w:sz w:val="16"/>
              </w:rPr>
            </w:pPr>
            <w:r>
              <w:rPr>
                <w:sz w:val="16"/>
              </w:rPr>
              <w:t>--</w:t>
            </w:r>
          </w:p>
        </w:tc>
      </w:tr>
      <w:tr>
        <w:trPr>
          <w:trHeight w:val="184" w:hRule="atLeast"/>
        </w:trPr>
        <w:tc>
          <w:tcPr>
            <w:tcW w:w="2177" w:type="dxa"/>
            <w:tcBorders>
              <w:top w:val="single" w:sz="6" w:space="0" w:color="000000"/>
              <w:bottom w:val="single" w:sz="6" w:space="0" w:color="000000"/>
            </w:tcBorders>
          </w:tcPr>
          <w:p>
            <w:pPr>
              <w:pStyle w:val="TableParagraph"/>
              <w:spacing w:line="164" w:lineRule="exact"/>
              <w:ind w:left="107"/>
              <w:rPr>
                <w:sz w:val="16"/>
              </w:rPr>
            </w:pPr>
            <w:r>
              <w:rPr>
                <w:sz w:val="16"/>
              </w:rPr>
              <w:t>NV RAM data preservation</w:t>
            </w:r>
          </w:p>
        </w:tc>
        <w:tc>
          <w:tcPr>
            <w:tcW w:w="1459" w:type="dxa"/>
            <w:tcBorders>
              <w:top w:val="single" w:sz="6" w:space="0" w:color="000000"/>
              <w:bottom w:val="single" w:sz="6" w:space="0" w:color="000000"/>
            </w:tcBorders>
          </w:tcPr>
          <w:p>
            <w:pPr>
              <w:pStyle w:val="TableParagraph"/>
              <w:spacing w:line="164" w:lineRule="exact"/>
              <w:ind w:left="54" w:right="23"/>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58"/>
              <w:jc w:val="center"/>
              <w:rPr>
                <w:sz w:val="16"/>
              </w:rPr>
            </w:pPr>
            <w:r>
              <w:rPr>
                <w:sz w:val="16"/>
              </w:rPr>
              <w:t>Yes</w:t>
            </w:r>
          </w:p>
        </w:tc>
        <w:tc>
          <w:tcPr>
            <w:tcW w:w="1461" w:type="dxa"/>
            <w:tcBorders>
              <w:top w:val="single" w:sz="6" w:space="0" w:color="000000"/>
              <w:bottom w:val="single" w:sz="6" w:space="0" w:color="000000"/>
            </w:tcBorders>
          </w:tcPr>
          <w:p>
            <w:pPr>
              <w:pStyle w:val="TableParagraph"/>
              <w:spacing w:line="164" w:lineRule="exact"/>
              <w:ind w:left="87" w:right="61"/>
              <w:jc w:val="center"/>
              <w:rPr>
                <w:sz w:val="16"/>
              </w:rPr>
            </w:pPr>
            <w:r>
              <w:rPr>
                <w:sz w:val="16"/>
              </w:rPr>
              <w:t>Yes</w:t>
            </w:r>
          </w:p>
        </w:tc>
        <w:tc>
          <w:tcPr>
            <w:tcW w:w="1459" w:type="dxa"/>
            <w:tcBorders>
              <w:top w:val="single" w:sz="6" w:space="0" w:color="000000"/>
              <w:bottom w:val="single" w:sz="6" w:space="0" w:color="000000"/>
            </w:tcBorders>
          </w:tcPr>
          <w:p>
            <w:pPr>
              <w:pStyle w:val="TableParagraph"/>
              <w:spacing w:line="164" w:lineRule="exact"/>
              <w:ind w:left="54" w:right="30"/>
              <w:jc w:val="center"/>
              <w:rPr>
                <w:sz w:val="16"/>
              </w:rPr>
            </w:pPr>
            <w:r>
              <w:rPr>
                <w:sz w:val="16"/>
              </w:rPr>
              <w:t>Yes</w:t>
            </w:r>
          </w:p>
        </w:tc>
        <w:tc>
          <w:tcPr>
            <w:tcW w:w="681" w:type="dxa"/>
            <w:tcBorders>
              <w:top w:val="single" w:sz="6" w:space="0" w:color="000000"/>
              <w:bottom w:val="single" w:sz="6" w:space="0" w:color="000000"/>
            </w:tcBorders>
          </w:tcPr>
          <w:p>
            <w:pPr>
              <w:pStyle w:val="TableParagraph"/>
              <w:spacing w:line="164" w:lineRule="exact"/>
              <w:ind w:left="89" w:right="54"/>
              <w:jc w:val="center"/>
              <w:rPr>
                <w:sz w:val="16"/>
              </w:rPr>
            </w:pPr>
            <w:r>
              <w:rPr>
                <w:sz w:val="16"/>
              </w:rPr>
              <w:t>Yes</w:t>
            </w:r>
          </w:p>
        </w:tc>
        <w:tc>
          <w:tcPr>
            <w:tcW w:w="875" w:type="dxa"/>
            <w:tcBorders>
              <w:top w:val="single" w:sz="6" w:space="0" w:color="000000"/>
              <w:bottom w:val="single" w:sz="6" w:space="0" w:color="000000"/>
            </w:tcBorders>
          </w:tcPr>
          <w:p>
            <w:pPr>
              <w:pStyle w:val="TableParagraph"/>
              <w:spacing w:line="164" w:lineRule="exact"/>
              <w:ind w:left="281" w:right="247"/>
              <w:jc w:val="center"/>
              <w:rPr>
                <w:sz w:val="16"/>
              </w:rPr>
            </w:pPr>
            <w:r>
              <w:rPr>
                <w:sz w:val="16"/>
              </w:rPr>
              <w:t>Yes</w:t>
            </w:r>
          </w:p>
        </w:tc>
      </w:tr>
      <w:tr>
        <w:trPr>
          <w:trHeight w:val="1002" w:hRule="atLeast"/>
        </w:trPr>
        <w:tc>
          <w:tcPr>
            <w:tcW w:w="9573" w:type="dxa"/>
            <w:gridSpan w:val="7"/>
            <w:tcBorders>
              <w:top w:val="single" w:sz="6" w:space="0" w:color="000000"/>
            </w:tcBorders>
          </w:tcPr>
          <w:p>
            <w:pPr>
              <w:pStyle w:val="TableParagraph"/>
              <w:spacing w:before="37"/>
              <w:ind w:left="107"/>
              <w:rPr>
                <w:b/>
                <w:sz w:val="16"/>
              </w:rPr>
            </w:pPr>
            <w:r>
              <w:rPr>
                <w:b/>
                <w:sz w:val="16"/>
              </w:rPr>
              <w:t>Notes:</w:t>
            </w:r>
          </w:p>
          <w:p>
            <w:pPr>
              <w:pStyle w:val="TableParagraph"/>
              <w:numPr>
                <w:ilvl w:val="0"/>
                <w:numId w:val="23"/>
              </w:numPr>
              <w:tabs>
                <w:tab w:pos="827" w:val="left" w:leader="none"/>
                <w:tab w:pos="828" w:val="left" w:leader="none"/>
              </w:tabs>
              <w:spacing w:line="182" w:lineRule="exact" w:before="41" w:after="0"/>
              <w:ind w:left="827" w:right="0" w:hanging="361"/>
              <w:jc w:val="left"/>
              <w:rPr>
                <w:sz w:val="16"/>
              </w:rPr>
            </w:pPr>
            <w:r>
              <w:rPr>
                <w:sz w:val="16"/>
              </w:rPr>
              <w:t>“--“ indicates that the corresponding circuit is not</w:t>
            </w:r>
            <w:r>
              <w:rPr>
                <w:spacing w:val="-3"/>
                <w:sz w:val="16"/>
              </w:rPr>
              <w:t> </w:t>
            </w:r>
            <w:r>
              <w:rPr>
                <w:sz w:val="16"/>
              </w:rPr>
              <w:t>active</w:t>
            </w:r>
          </w:p>
          <w:p>
            <w:pPr>
              <w:pStyle w:val="TableParagraph"/>
              <w:numPr>
                <w:ilvl w:val="0"/>
                <w:numId w:val="23"/>
              </w:numPr>
              <w:tabs>
                <w:tab w:pos="827" w:val="left" w:leader="none"/>
                <w:tab w:pos="828" w:val="left" w:leader="none"/>
              </w:tabs>
              <w:spacing w:line="183" w:lineRule="exact" w:before="0" w:after="0"/>
              <w:ind w:left="827" w:right="0" w:hanging="361"/>
              <w:jc w:val="left"/>
              <w:rPr>
                <w:sz w:val="16"/>
              </w:rPr>
            </w:pPr>
            <w:r>
              <w:rPr>
                <w:sz w:val="16"/>
              </w:rPr>
              <w:t>“Boost” implies that the LCD boost circuit is active (i.e., </w:t>
            </w:r>
            <w:r>
              <w:rPr>
                <w:rFonts w:ascii="Times New Roman" w:hAnsi="Times New Roman"/>
                <w:i/>
                <w:sz w:val="16"/>
              </w:rPr>
              <w:t>LCD_VMODE[1:0] </w:t>
            </w:r>
            <w:r>
              <w:rPr>
                <w:sz w:val="16"/>
              </w:rPr>
              <w:t>= 10 (</w:t>
            </w:r>
            <w:r>
              <w:rPr>
                <w:rFonts w:ascii="Times New Roman" w:hAnsi="Times New Roman"/>
                <w:i/>
                <w:sz w:val="16"/>
              </w:rPr>
              <w:t>I/O RAM 0x2401[7:6]</w:t>
            </w:r>
            <w:r>
              <w:rPr>
                <w:sz w:val="16"/>
              </w:rPr>
              <w:t>)). The LCD</w:t>
            </w:r>
            <w:r>
              <w:rPr>
                <w:spacing w:val="-27"/>
                <w:sz w:val="16"/>
              </w:rPr>
              <w:t> </w:t>
            </w:r>
            <w:r>
              <w:rPr>
                <w:sz w:val="16"/>
              </w:rPr>
              <w:t>boost</w:t>
            </w:r>
          </w:p>
          <w:p>
            <w:pPr>
              <w:pStyle w:val="TableParagraph"/>
              <w:spacing w:line="180" w:lineRule="atLeast" w:before="3"/>
              <w:ind w:left="827" w:right="213" w:hanging="1"/>
              <w:rPr>
                <w:sz w:val="16"/>
              </w:rPr>
            </w:pPr>
            <w:r>
              <w:rPr>
                <w:sz w:val="16"/>
              </w:rPr>
              <w:t>circuit requires a clock from the PLL to function. Thus, the PLL is automatically kept active if LCD boost is active while in LCD mode, otherwise the PLL is de-activated.</w:t>
            </w:r>
          </w:p>
        </w:tc>
      </w:tr>
    </w:tbl>
    <w:p>
      <w:pPr>
        <w:spacing w:after="0" w:line="180" w:lineRule="atLeast"/>
        <w:rPr>
          <w:sz w:val="16"/>
        </w:rPr>
        <w:sectPr>
          <w:pgSz w:w="12240" w:h="15840"/>
          <w:pgMar w:header="727" w:footer="819" w:top="960" w:bottom="1000" w:left="1200" w:right="1060"/>
        </w:sectPr>
      </w:pPr>
    </w:p>
    <w:p>
      <w:pPr>
        <w:pStyle w:val="BodyText"/>
        <w:rPr>
          <w:b/>
          <w:sz w:val="16"/>
        </w:rPr>
      </w:pPr>
    </w:p>
    <w:p>
      <w:pPr>
        <w:pStyle w:val="ListParagraph"/>
        <w:numPr>
          <w:ilvl w:val="2"/>
          <w:numId w:val="24"/>
        </w:numPr>
        <w:tabs>
          <w:tab w:pos="959" w:val="left" w:leader="none"/>
          <w:tab w:pos="960" w:val="left" w:leader="none"/>
        </w:tabs>
        <w:spacing w:line="240" w:lineRule="auto" w:before="94" w:after="0"/>
        <w:ind w:left="959" w:right="0" w:hanging="720"/>
        <w:jc w:val="left"/>
        <w:rPr>
          <w:b/>
          <w:sz w:val="22"/>
        </w:rPr>
      </w:pPr>
      <w:bookmarkStart w:name="3.2.1 BRN Mode" w:id="305"/>
      <w:bookmarkEnd w:id="305"/>
      <w:r>
        <w:rPr/>
      </w:r>
      <w:bookmarkStart w:name="_bookmark154" w:id="306"/>
      <w:bookmarkEnd w:id="306"/>
      <w:r>
        <w:rPr/>
      </w:r>
      <w:bookmarkStart w:name="_bookmark154" w:id="307"/>
      <w:bookmarkEnd w:id="307"/>
      <w:r>
        <w:rPr>
          <w:b/>
          <w:sz w:val="22"/>
        </w:rPr>
        <w:t>BR</w:t>
      </w:r>
      <w:r>
        <w:rPr>
          <w:b/>
          <w:sz w:val="22"/>
        </w:rPr>
        <w:t>N</w:t>
      </w:r>
      <w:r>
        <w:rPr>
          <w:b/>
          <w:spacing w:val="-1"/>
          <w:sz w:val="22"/>
        </w:rPr>
        <w:t> </w:t>
      </w:r>
      <w:r>
        <w:rPr>
          <w:b/>
          <w:sz w:val="22"/>
        </w:rPr>
        <w:t>Mode</w:t>
      </w:r>
    </w:p>
    <w:p>
      <w:pPr>
        <w:pStyle w:val="BodyText"/>
        <w:spacing w:line="230" w:lineRule="auto" w:before="105"/>
        <w:ind w:left="239" w:right="361"/>
      </w:pPr>
      <w:r>
        <w:rPr/>
        <w:t>In BRN mode, most non-metering digital functions are active (as shown in </w:t>
      </w:r>
      <w:hyperlink w:history="true" w:anchor="_bookmark153">
        <w:r>
          <w:rPr>
            <w:color w:val="0000FF"/>
          </w:rPr>
          <w:t>Table 61</w:t>
        </w:r>
      </w:hyperlink>
      <w:r>
        <w:rPr/>
        <w:t>) including ICE, UART, EEPROM, LCD and RTC. In BRN mode, the PLL continues to function at the same frequency as MSN mode. It is up to the MPU to scale down the PLL (using </w:t>
      </w:r>
      <w:r>
        <w:rPr>
          <w:rFonts w:ascii="Times New Roman"/>
          <w:i/>
        </w:rPr>
        <w:t>PLL_FAST, I/O RAM 0x2200[4]</w:t>
      </w:r>
      <w:r>
        <w:rPr/>
        <w:t>) or the MPU frequency (using </w:t>
      </w:r>
      <w:r>
        <w:rPr>
          <w:rFonts w:ascii="Times New Roman"/>
          <w:i/>
        </w:rPr>
        <w:t>MPU_DIV[2:0], I/O RAM 0x2200[2:0]</w:t>
      </w:r>
      <w:r>
        <w:rPr/>
        <w:t>) in order to save power.</w:t>
      </w:r>
    </w:p>
    <w:p>
      <w:pPr>
        <w:pStyle w:val="BodyText"/>
        <w:spacing w:line="232" w:lineRule="auto" w:before="128"/>
        <w:ind w:left="239" w:right="417"/>
      </w:pPr>
      <w:r>
        <w:rPr/>
        <w:t>From BRN mode, the MPU can choose to enter LCD or SLP modes. When system power is restored while the 71M6543 is in BRN mode, the part automatically transitions to MSN mode.</w:t>
      </w:r>
    </w:p>
    <w:p>
      <w:pPr>
        <w:pStyle w:val="BodyText"/>
        <w:spacing w:before="114"/>
        <w:ind w:left="239"/>
      </w:pPr>
      <w:r>
        <w:rPr/>
        <w:t>The recommended minimum power configuration for BRN mode is as follows:</w:t>
      </w:r>
    </w:p>
    <w:p>
      <w:pPr>
        <w:pStyle w:val="ListParagraph"/>
        <w:numPr>
          <w:ilvl w:val="0"/>
          <w:numId w:val="15"/>
        </w:numPr>
        <w:tabs>
          <w:tab w:pos="599" w:val="left" w:leader="none"/>
          <w:tab w:pos="600" w:val="left" w:leader="none"/>
        </w:tabs>
        <w:spacing w:line="240" w:lineRule="auto" w:before="105" w:after="0"/>
        <w:ind w:left="599" w:right="0" w:hanging="361"/>
        <w:jc w:val="left"/>
        <w:rPr>
          <w:sz w:val="20"/>
        </w:rPr>
      </w:pPr>
      <w:r>
        <w:rPr>
          <w:rFonts w:ascii="Times New Roman" w:hAnsi="Times New Roman"/>
          <w:i/>
          <w:sz w:val="20"/>
        </w:rPr>
        <w:t>RCE0 </w:t>
      </w:r>
      <w:r>
        <w:rPr>
          <w:sz w:val="20"/>
        </w:rPr>
        <w:t>= 0x00 (</w:t>
      </w:r>
      <w:r>
        <w:rPr>
          <w:rFonts w:ascii="Times New Roman" w:hAnsi="Times New Roman"/>
          <w:i/>
          <w:sz w:val="20"/>
        </w:rPr>
        <w:t>I/O RAM 0x2709[7:0]</w:t>
      </w:r>
      <w:r>
        <w:rPr>
          <w:sz w:val="20"/>
        </w:rPr>
        <w:t>) - remote sensors</w:t>
      </w:r>
      <w:r>
        <w:rPr>
          <w:spacing w:val="-3"/>
          <w:sz w:val="20"/>
        </w:rPr>
        <w:t> </w:t>
      </w:r>
      <w:r>
        <w:rPr>
          <w:sz w:val="20"/>
        </w:rPr>
        <w:t>disabled</w:t>
      </w:r>
    </w:p>
    <w:p>
      <w:pPr>
        <w:pStyle w:val="ListParagraph"/>
        <w:numPr>
          <w:ilvl w:val="0"/>
          <w:numId w:val="15"/>
        </w:numPr>
        <w:tabs>
          <w:tab w:pos="599" w:val="left" w:leader="none"/>
          <w:tab w:pos="600" w:val="left" w:leader="none"/>
        </w:tabs>
        <w:spacing w:line="240" w:lineRule="auto" w:before="28" w:after="0"/>
        <w:ind w:left="599" w:right="0" w:hanging="361"/>
        <w:jc w:val="left"/>
        <w:rPr>
          <w:sz w:val="20"/>
        </w:rPr>
      </w:pPr>
      <w:r>
        <w:rPr>
          <w:rFonts w:ascii="Times New Roman" w:hAnsi="Times New Roman"/>
          <w:i/>
          <w:sz w:val="20"/>
        </w:rPr>
        <w:t>LCD_BAT </w:t>
      </w:r>
      <w:r>
        <w:rPr>
          <w:sz w:val="20"/>
        </w:rPr>
        <w:t>= 1 (</w:t>
      </w:r>
      <w:r>
        <w:rPr>
          <w:rFonts w:ascii="Times New Roman" w:hAnsi="Times New Roman"/>
          <w:i/>
          <w:sz w:val="20"/>
        </w:rPr>
        <w:t>I/O RAM 0x2402[7]</w:t>
      </w:r>
      <w:r>
        <w:rPr>
          <w:sz w:val="20"/>
        </w:rPr>
        <w:t>) - LCD powered from VBAT</w:t>
      </w:r>
    </w:p>
    <w:p>
      <w:pPr>
        <w:pStyle w:val="ListParagraph"/>
        <w:numPr>
          <w:ilvl w:val="0"/>
          <w:numId w:val="15"/>
        </w:numPr>
        <w:tabs>
          <w:tab w:pos="599" w:val="left" w:leader="none"/>
          <w:tab w:pos="600" w:val="left" w:leader="none"/>
        </w:tabs>
        <w:spacing w:line="240" w:lineRule="auto" w:before="31" w:after="0"/>
        <w:ind w:left="599" w:right="0" w:hanging="361"/>
        <w:jc w:val="left"/>
        <w:rPr>
          <w:sz w:val="20"/>
        </w:rPr>
      </w:pPr>
      <w:r>
        <w:rPr>
          <w:rFonts w:ascii="Times New Roman" w:hAnsi="Times New Roman"/>
          <w:i/>
          <w:sz w:val="20"/>
        </w:rPr>
        <w:t>LCD_VMODE[1:0] </w:t>
      </w:r>
      <w:r>
        <w:rPr>
          <w:sz w:val="20"/>
        </w:rPr>
        <w:t>= 0 (</w:t>
      </w:r>
      <w:r>
        <w:rPr>
          <w:rFonts w:ascii="Times New Roman" w:hAnsi="Times New Roman"/>
          <w:i/>
          <w:sz w:val="20"/>
        </w:rPr>
        <w:t>I/O RAM 0x2401[7:6]</w:t>
      </w:r>
      <w:r>
        <w:rPr>
          <w:sz w:val="20"/>
        </w:rPr>
        <w:t>) - 5V LCD boost</w:t>
      </w:r>
      <w:r>
        <w:rPr>
          <w:spacing w:val="5"/>
          <w:sz w:val="20"/>
        </w:rPr>
        <w:t> </w:t>
      </w:r>
      <w:r>
        <w:rPr>
          <w:sz w:val="20"/>
        </w:rPr>
        <w:t>disabled</w:t>
      </w:r>
    </w:p>
    <w:p>
      <w:pPr>
        <w:pStyle w:val="ListParagraph"/>
        <w:numPr>
          <w:ilvl w:val="0"/>
          <w:numId w:val="15"/>
        </w:numPr>
        <w:tabs>
          <w:tab w:pos="598" w:val="left" w:leader="none"/>
          <w:tab w:pos="599" w:val="left" w:leader="none"/>
        </w:tabs>
        <w:spacing w:line="240" w:lineRule="auto" w:before="29" w:after="0"/>
        <w:ind w:left="598" w:right="0" w:hanging="360"/>
        <w:jc w:val="left"/>
        <w:rPr>
          <w:sz w:val="20"/>
        </w:rPr>
      </w:pPr>
      <w:r>
        <w:rPr>
          <w:rFonts w:ascii="Times New Roman" w:hAnsi="Times New Roman"/>
          <w:i/>
          <w:sz w:val="20"/>
        </w:rPr>
        <w:t>CE6 </w:t>
      </w:r>
      <w:r>
        <w:rPr>
          <w:sz w:val="20"/>
        </w:rPr>
        <w:t>= 0x00 (</w:t>
      </w:r>
      <w:r>
        <w:rPr>
          <w:rFonts w:ascii="Times New Roman" w:hAnsi="Times New Roman"/>
          <w:i/>
          <w:sz w:val="20"/>
        </w:rPr>
        <w:t>I/O RAM 0x2106</w:t>
      </w:r>
      <w:r>
        <w:rPr>
          <w:sz w:val="20"/>
        </w:rPr>
        <w:t>) - CE, RTM and CHOP are</w:t>
      </w:r>
      <w:r>
        <w:rPr>
          <w:spacing w:val="-2"/>
          <w:sz w:val="20"/>
        </w:rPr>
        <w:t> </w:t>
      </w:r>
      <w:r>
        <w:rPr>
          <w:sz w:val="20"/>
        </w:rPr>
        <w:t>disabled</w:t>
      </w:r>
    </w:p>
    <w:p>
      <w:pPr>
        <w:pStyle w:val="ListParagraph"/>
        <w:numPr>
          <w:ilvl w:val="0"/>
          <w:numId w:val="15"/>
        </w:numPr>
        <w:tabs>
          <w:tab w:pos="598" w:val="left" w:leader="none"/>
          <w:tab w:pos="599" w:val="left" w:leader="none"/>
        </w:tabs>
        <w:spacing w:line="240" w:lineRule="auto" w:before="31" w:after="0"/>
        <w:ind w:left="598" w:right="0" w:hanging="361"/>
        <w:jc w:val="left"/>
        <w:rPr>
          <w:sz w:val="20"/>
        </w:rPr>
      </w:pPr>
      <w:r>
        <w:rPr>
          <w:rFonts w:ascii="Times New Roman" w:hAnsi="Times New Roman"/>
          <w:i/>
          <w:sz w:val="20"/>
        </w:rPr>
        <w:t>MUX_DIV[3:0] </w:t>
      </w:r>
      <w:r>
        <w:rPr>
          <w:sz w:val="20"/>
        </w:rPr>
        <w:t>= 0(</w:t>
      </w:r>
      <w:r>
        <w:rPr>
          <w:rFonts w:ascii="Times New Roman" w:hAnsi="Times New Roman"/>
          <w:i/>
          <w:sz w:val="20"/>
        </w:rPr>
        <w:t>I/O RAM 0x2100[7:4]) </w:t>
      </w:r>
      <w:r>
        <w:rPr>
          <w:sz w:val="20"/>
        </w:rPr>
        <w:t>- the ADC multiplexer is</w:t>
      </w:r>
      <w:r>
        <w:rPr>
          <w:spacing w:val="4"/>
          <w:sz w:val="20"/>
        </w:rPr>
        <w:t> </w:t>
      </w:r>
      <w:r>
        <w:rPr>
          <w:sz w:val="20"/>
        </w:rPr>
        <w:t>disabled</w:t>
      </w:r>
    </w:p>
    <w:p>
      <w:pPr>
        <w:pStyle w:val="ListParagraph"/>
        <w:numPr>
          <w:ilvl w:val="0"/>
          <w:numId w:val="15"/>
        </w:numPr>
        <w:tabs>
          <w:tab w:pos="598" w:val="left" w:leader="none"/>
          <w:tab w:pos="599" w:val="left" w:leader="none"/>
        </w:tabs>
        <w:spacing w:line="240" w:lineRule="auto" w:before="29" w:after="0"/>
        <w:ind w:left="598" w:right="0" w:hanging="361"/>
        <w:jc w:val="left"/>
        <w:rPr>
          <w:sz w:val="20"/>
        </w:rPr>
      </w:pPr>
      <w:r>
        <w:rPr>
          <w:rFonts w:ascii="Times New Roman" w:hAnsi="Times New Roman"/>
          <w:i/>
          <w:sz w:val="20"/>
        </w:rPr>
        <w:t>ADC_E </w:t>
      </w:r>
      <w:r>
        <w:rPr>
          <w:sz w:val="20"/>
        </w:rPr>
        <w:t>= 0 (</w:t>
      </w:r>
      <w:r>
        <w:rPr>
          <w:rFonts w:ascii="Times New Roman" w:hAnsi="Times New Roman"/>
          <w:i/>
          <w:sz w:val="20"/>
        </w:rPr>
        <w:t>I/O RAM 0x2704[4]</w:t>
      </w:r>
      <w:r>
        <w:rPr>
          <w:sz w:val="20"/>
        </w:rPr>
        <w:t>) - ADC</w:t>
      </w:r>
      <w:r>
        <w:rPr>
          <w:spacing w:val="-1"/>
          <w:sz w:val="20"/>
        </w:rPr>
        <w:t> </w:t>
      </w:r>
      <w:r>
        <w:rPr>
          <w:sz w:val="20"/>
        </w:rPr>
        <w:t>disabled</w:t>
      </w:r>
    </w:p>
    <w:p>
      <w:pPr>
        <w:pStyle w:val="ListParagraph"/>
        <w:numPr>
          <w:ilvl w:val="0"/>
          <w:numId w:val="15"/>
        </w:numPr>
        <w:tabs>
          <w:tab w:pos="598" w:val="left" w:leader="none"/>
          <w:tab w:pos="599" w:val="left" w:leader="none"/>
        </w:tabs>
        <w:spacing w:line="240" w:lineRule="auto" w:before="31" w:after="0"/>
        <w:ind w:left="598" w:right="0" w:hanging="361"/>
        <w:jc w:val="left"/>
        <w:rPr>
          <w:sz w:val="20"/>
        </w:rPr>
      </w:pPr>
      <w:r>
        <w:rPr>
          <w:rFonts w:ascii="Times New Roman" w:hAnsi="Times New Roman"/>
          <w:i/>
          <w:sz w:val="20"/>
        </w:rPr>
        <w:t>VREF_CAL </w:t>
      </w:r>
      <w:r>
        <w:rPr>
          <w:sz w:val="20"/>
        </w:rPr>
        <w:t>= 0 (</w:t>
      </w:r>
      <w:r>
        <w:rPr>
          <w:rFonts w:ascii="Times New Roman" w:hAnsi="Times New Roman"/>
          <w:i/>
          <w:sz w:val="20"/>
        </w:rPr>
        <w:t>I/O RAM 0x2704[7]</w:t>
      </w:r>
      <w:r>
        <w:rPr>
          <w:sz w:val="20"/>
        </w:rPr>
        <w:t>) – Vref not driven</w:t>
      </w:r>
      <w:r>
        <w:rPr>
          <w:spacing w:val="-3"/>
          <w:sz w:val="20"/>
        </w:rPr>
        <w:t> </w:t>
      </w:r>
      <w:r>
        <w:rPr>
          <w:sz w:val="20"/>
        </w:rPr>
        <w:t>out</w:t>
      </w:r>
    </w:p>
    <w:p>
      <w:pPr>
        <w:pStyle w:val="ListParagraph"/>
        <w:numPr>
          <w:ilvl w:val="0"/>
          <w:numId w:val="15"/>
        </w:numPr>
        <w:tabs>
          <w:tab w:pos="598" w:val="left" w:leader="none"/>
          <w:tab w:pos="599" w:val="left" w:leader="none"/>
        </w:tabs>
        <w:spacing w:line="240" w:lineRule="auto" w:before="28" w:after="0"/>
        <w:ind w:left="598" w:right="0" w:hanging="361"/>
        <w:jc w:val="left"/>
        <w:rPr>
          <w:sz w:val="20"/>
        </w:rPr>
      </w:pPr>
      <w:r>
        <w:rPr>
          <w:rFonts w:ascii="Times New Roman" w:hAnsi="Times New Roman"/>
          <w:i/>
          <w:sz w:val="20"/>
        </w:rPr>
        <w:t>VREF_DIS </w:t>
      </w:r>
      <w:r>
        <w:rPr>
          <w:sz w:val="20"/>
        </w:rPr>
        <w:t>= 1 (</w:t>
      </w:r>
      <w:r>
        <w:rPr>
          <w:rFonts w:ascii="Times New Roman" w:hAnsi="Times New Roman"/>
          <w:i/>
          <w:sz w:val="20"/>
        </w:rPr>
        <w:t>I/O RAM 0x2704[6]</w:t>
      </w:r>
      <w:r>
        <w:rPr>
          <w:sz w:val="20"/>
        </w:rPr>
        <w:t>) - Vref</w:t>
      </w:r>
      <w:r>
        <w:rPr>
          <w:spacing w:val="-18"/>
          <w:sz w:val="20"/>
        </w:rPr>
        <w:t> </w:t>
      </w:r>
      <w:r>
        <w:rPr>
          <w:sz w:val="20"/>
        </w:rPr>
        <w:t>disabled</w:t>
      </w:r>
    </w:p>
    <w:p>
      <w:pPr>
        <w:pStyle w:val="ListParagraph"/>
        <w:numPr>
          <w:ilvl w:val="0"/>
          <w:numId w:val="15"/>
        </w:numPr>
        <w:tabs>
          <w:tab w:pos="597" w:val="left" w:leader="none"/>
          <w:tab w:pos="598" w:val="left" w:leader="none"/>
        </w:tabs>
        <w:spacing w:line="240" w:lineRule="auto" w:before="31" w:after="0"/>
        <w:ind w:left="597" w:right="0" w:hanging="360"/>
        <w:jc w:val="left"/>
        <w:rPr>
          <w:sz w:val="20"/>
        </w:rPr>
      </w:pPr>
      <w:r>
        <w:rPr>
          <w:rFonts w:ascii="Times New Roman" w:hAnsi="Times New Roman"/>
          <w:i/>
          <w:sz w:val="20"/>
        </w:rPr>
        <w:t>PRE_E </w:t>
      </w:r>
      <w:r>
        <w:rPr>
          <w:sz w:val="20"/>
        </w:rPr>
        <w:t>= 0 (</w:t>
      </w:r>
      <w:r>
        <w:rPr>
          <w:rFonts w:ascii="Times New Roman" w:hAnsi="Times New Roman"/>
          <w:i/>
          <w:sz w:val="20"/>
        </w:rPr>
        <w:t>I/O RAM 0x2704[5] </w:t>
      </w:r>
      <w:r>
        <w:rPr>
          <w:sz w:val="20"/>
        </w:rPr>
        <w:t>- pre-amp</w:t>
      </w:r>
      <w:r>
        <w:rPr>
          <w:spacing w:val="-8"/>
          <w:sz w:val="20"/>
        </w:rPr>
        <w:t> </w:t>
      </w:r>
      <w:r>
        <w:rPr>
          <w:sz w:val="20"/>
        </w:rPr>
        <w:t>disabled</w:t>
      </w:r>
    </w:p>
    <w:p>
      <w:pPr>
        <w:pStyle w:val="ListParagraph"/>
        <w:numPr>
          <w:ilvl w:val="0"/>
          <w:numId w:val="15"/>
        </w:numPr>
        <w:tabs>
          <w:tab w:pos="597" w:val="left" w:leader="none"/>
          <w:tab w:pos="598" w:val="left" w:leader="none"/>
        </w:tabs>
        <w:spacing w:line="240" w:lineRule="auto" w:before="29" w:after="0"/>
        <w:ind w:left="597" w:right="0" w:hanging="361"/>
        <w:jc w:val="left"/>
        <w:rPr>
          <w:sz w:val="20"/>
        </w:rPr>
      </w:pPr>
      <w:r>
        <w:rPr>
          <w:rFonts w:ascii="Times New Roman" w:hAnsi="Times New Roman"/>
          <w:i/>
          <w:sz w:val="20"/>
        </w:rPr>
        <w:t>BCURR </w:t>
      </w:r>
      <w:r>
        <w:rPr>
          <w:sz w:val="20"/>
        </w:rPr>
        <w:t>= 0 (</w:t>
      </w:r>
      <w:r>
        <w:rPr>
          <w:rFonts w:ascii="Times New Roman" w:hAnsi="Times New Roman"/>
          <w:i/>
          <w:sz w:val="20"/>
        </w:rPr>
        <w:t>I/O RAM 0x2704[3]</w:t>
      </w:r>
      <w:r>
        <w:rPr>
          <w:sz w:val="20"/>
        </w:rPr>
        <w:t>) - battery 100µA current load</w:t>
      </w:r>
      <w:r>
        <w:rPr>
          <w:spacing w:val="-8"/>
          <w:sz w:val="20"/>
        </w:rPr>
        <w:t> </w:t>
      </w:r>
      <w:r>
        <w:rPr>
          <w:sz w:val="20"/>
        </w:rPr>
        <w:t>OFF</w:t>
      </w:r>
    </w:p>
    <w:p>
      <w:pPr>
        <w:pStyle w:val="ListParagraph"/>
        <w:numPr>
          <w:ilvl w:val="0"/>
          <w:numId w:val="15"/>
        </w:numPr>
        <w:tabs>
          <w:tab w:pos="597" w:val="left" w:leader="none"/>
          <w:tab w:pos="598" w:val="left" w:leader="none"/>
        </w:tabs>
        <w:spacing w:line="240" w:lineRule="auto" w:before="31" w:after="0"/>
        <w:ind w:left="597" w:right="0" w:hanging="361"/>
        <w:jc w:val="left"/>
        <w:rPr>
          <w:sz w:val="20"/>
        </w:rPr>
      </w:pPr>
      <w:r>
        <w:rPr>
          <w:rFonts w:ascii="Times New Roman" w:hAnsi="Times New Roman"/>
          <w:i/>
          <w:sz w:val="20"/>
        </w:rPr>
        <w:t>TMUX[5:0] </w:t>
      </w:r>
      <w:r>
        <w:rPr>
          <w:sz w:val="20"/>
        </w:rPr>
        <w:t>= 0x0E (</w:t>
      </w:r>
      <w:r>
        <w:rPr>
          <w:rFonts w:ascii="Times New Roman" w:hAnsi="Times New Roman"/>
          <w:i/>
          <w:sz w:val="20"/>
        </w:rPr>
        <w:t>I/O RAM 0x2502[5:0]</w:t>
      </w:r>
      <w:r>
        <w:rPr>
          <w:sz w:val="20"/>
        </w:rPr>
        <w:t>) – TMUXOUT output set to a dc</w:t>
      </w:r>
      <w:r>
        <w:rPr>
          <w:spacing w:val="-3"/>
          <w:sz w:val="20"/>
        </w:rPr>
        <w:t> </w:t>
      </w:r>
      <w:r>
        <w:rPr>
          <w:sz w:val="20"/>
        </w:rPr>
        <w:t>value</w:t>
      </w:r>
    </w:p>
    <w:p>
      <w:pPr>
        <w:pStyle w:val="ListParagraph"/>
        <w:numPr>
          <w:ilvl w:val="0"/>
          <w:numId w:val="15"/>
        </w:numPr>
        <w:tabs>
          <w:tab w:pos="597" w:val="left" w:leader="none"/>
          <w:tab w:pos="598" w:val="left" w:leader="none"/>
        </w:tabs>
        <w:spacing w:line="240" w:lineRule="auto" w:before="28" w:after="0"/>
        <w:ind w:left="597" w:right="0" w:hanging="361"/>
        <w:jc w:val="left"/>
        <w:rPr>
          <w:sz w:val="20"/>
        </w:rPr>
      </w:pPr>
      <w:r>
        <w:rPr>
          <w:rFonts w:ascii="Times New Roman" w:hAnsi="Times New Roman"/>
          <w:i/>
          <w:sz w:val="20"/>
        </w:rPr>
        <w:t>TMUX2[4:0] </w:t>
      </w:r>
      <w:r>
        <w:rPr>
          <w:sz w:val="20"/>
        </w:rPr>
        <w:t>= 0x0E (</w:t>
      </w:r>
      <w:r>
        <w:rPr>
          <w:rFonts w:ascii="Times New Roman" w:hAnsi="Times New Roman"/>
          <w:i/>
          <w:sz w:val="20"/>
        </w:rPr>
        <w:t>I/O RAM 0x2503[4:0]</w:t>
      </w:r>
      <w:r>
        <w:rPr>
          <w:sz w:val="20"/>
        </w:rPr>
        <w:t>) – TMUXOUT2 output set to a dc</w:t>
      </w:r>
      <w:r>
        <w:rPr>
          <w:spacing w:val="-3"/>
          <w:sz w:val="20"/>
        </w:rPr>
        <w:t> </w:t>
      </w:r>
      <w:r>
        <w:rPr>
          <w:sz w:val="20"/>
        </w:rPr>
        <w:t>value</w:t>
      </w:r>
    </w:p>
    <w:p>
      <w:pPr>
        <w:pStyle w:val="ListParagraph"/>
        <w:numPr>
          <w:ilvl w:val="0"/>
          <w:numId w:val="15"/>
        </w:numPr>
        <w:tabs>
          <w:tab w:pos="597" w:val="left" w:leader="none"/>
          <w:tab w:pos="598" w:val="left" w:leader="none"/>
        </w:tabs>
        <w:spacing w:line="240" w:lineRule="auto" w:before="31" w:after="0"/>
        <w:ind w:left="597" w:right="0" w:hanging="361"/>
        <w:jc w:val="left"/>
        <w:rPr>
          <w:sz w:val="20"/>
        </w:rPr>
      </w:pPr>
      <w:r>
        <w:rPr>
          <w:rFonts w:ascii="Times New Roman" w:hAnsi="Times New Roman"/>
          <w:i/>
          <w:spacing w:val="-4"/>
          <w:sz w:val="20"/>
        </w:rPr>
        <w:t>CKGN</w:t>
      </w:r>
      <w:r>
        <w:rPr>
          <w:rFonts w:ascii="Times New Roman" w:hAnsi="Times New Roman"/>
          <w:i/>
          <w:spacing w:val="-1"/>
          <w:sz w:val="20"/>
        </w:rPr>
        <w:t> </w:t>
      </w:r>
      <w:r>
        <w:rPr>
          <w:sz w:val="20"/>
        </w:rPr>
        <w:t>=</w:t>
      </w:r>
      <w:r>
        <w:rPr>
          <w:spacing w:val="-9"/>
          <w:sz w:val="20"/>
        </w:rPr>
        <w:t> </w:t>
      </w:r>
      <w:r>
        <w:rPr>
          <w:spacing w:val="-4"/>
          <w:sz w:val="20"/>
        </w:rPr>
        <w:t>0x24</w:t>
      </w:r>
      <w:r>
        <w:rPr>
          <w:spacing w:val="-8"/>
          <w:sz w:val="20"/>
        </w:rPr>
        <w:t> </w:t>
      </w:r>
      <w:r>
        <w:rPr>
          <w:spacing w:val="-3"/>
          <w:sz w:val="20"/>
        </w:rPr>
        <w:t>(</w:t>
      </w:r>
      <w:r>
        <w:rPr>
          <w:rFonts w:ascii="Times New Roman" w:hAnsi="Times New Roman"/>
          <w:i/>
          <w:spacing w:val="-3"/>
          <w:sz w:val="20"/>
        </w:rPr>
        <w:t>I/O</w:t>
      </w:r>
      <w:r>
        <w:rPr>
          <w:rFonts w:ascii="Times New Roman" w:hAnsi="Times New Roman"/>
          <w:i/>
          <w:spacing w:val="-9"/>
          <w:sz w:val="20"/>
        </w:rPr>
        <w:t> </w:t>
      </w:r>
      <w:r>
        <w:rPr>
          <w:rFonts w:ascii="Times New Roman" w:hAnsi="Times New Roman"/>
          <w:i/>
          <w:spacing w:val="-3"/>
          <w:sz w:val="20"/>
        </w:rPr>
        <w:t>RAM</w:t>
      </w:r>
      <w:r>
        <w:rPr>
          <w:rFonts w:ascii="Times New Roman" w:hAnsi="Times New Roman"/>
          <w:i/>
          <w:spacing w:val="-8"/>
          <w:sz w:val="20"/>
        </w:rPr>
        <w:t> </w:t>
      </w:r>
      <w:r>
        <w:rPr>
          <w:rFonts w:ascii="Times New Roman" w:hAnsi="Times New Roman"/>
          <w:i/>
          <w:spacing w:val="-4"/>
          <w:sz w:val="20"/>
        </w:rPr>
        <w:t>0x2200</w:t>
      </w:r>
      <w:r>
        <w:rPr>
          <w:spacing w:val="-4"/>
          <w:sz w:val="20"/>
        </w:rPr>
        <w:t>)</w:t>
      </w:r>
      <w:r>
        <w:rPr>
          <w:spacing w:val="-9"/>
          <w:sz w:val="20"/>
        </w:rPr>
        <w:t> </w:t>
      </w:r>
      <w:r>
        <w:rPr>
          <w:sz w:val="20"/>
        </w:rPr>
        <w:t>-</w:t>
      </w:r>
      <w:r>
        <w:rPr>
          <w:spacing w:val="-7"/>
          <w:sz w:val="20"/>
        </w:rPr>
        <w:t> </w:t>
      </w:r>
      <w:r>
        <w:rPr>
          <w:spacing w:val="-4"/>
          <w:sz w:val="20"/>
        </w:rPr>
        <w:t>PLL</w:t>
      </w:r>
      <w:r>
        <w:rPr>
          <w:spacing w:val="-9"/>
          <w:sz w:val="20"/>
        </w:rPr>
        <w:t> </w:t>
      </w:r>
      <w:r>
        <w:rPr>
          <w:spacing w:val="-3"/>
          <w:sz w:val="20"/>
        </w:rPr>
        <w:t>set</w:t>
      </w:r>
      <w:r>
        <w:rPr>
          <w:spacing w:val="-8"/>
          <w:sz w:val="20"/>
        </w:rPr>
        <w:t> </w:t>
      </w:r>
      <w:r>
        <w:rPr>
          <w:spacing w:val="-4"/>
          <w:sz w:val="20"/>
        </w:rPr>
        <w:t>slow,</w:t>
      </w:r>
      <w:r>
        <w:rPr>
          <w:spacing w:val="-8"/>
          <w:sz w:val="20"/>
        </w:rPr>
        <w:t> </w:t>
      </w:r>
      <w:r>
        <w:rPr>
          <w:sz w:val="20"/>
        </w:rPr>
        <w:t>and</w:t>
      </w:r>
      <w:r>
        <w:rPr>
          <w:spacing w:val="-8"/>
          <w:sz w:val="20"/>
        </w:rPr>
        <w:t> </w:t>
      </w:r>
      <w:r>
        <w:rPr>
          <w:rFonts w:ascii="Times New Roman" w:hAnsi="Times New Roman"/>
          <w:i/>
          <w:spacing w:val="-4"/>
          <w:sz w:val="20"/>
        </w:rPr>
        <w:t>MPU_DIV[2:0]</w:t>
      </w:r>
      <w:r>
        <w:rPr>
          <w:rFonts w:ascii="Times New Roman" w:hAnsi="Times New Roman"/>
          <w:i/>
          <w:spacing w:val="-1"/>
          <w:sz w:val="20"/>
        </w:rPr>
        <w:t> </w:t>
      </w:r>
      <w:r>
        <w:rPr>
          <w:rFonts w:ascii="Times New Roman" w:hAnsi="Times New Roman"/>
          <w:i/>
          <w:spacing w:val="-4"/>
          <w:sz w:val="20"/>
        </w:rPr>
        <w:t>(I/O</w:t>
      </w:r>
      <w:r>
        <w:rPr>
          <w:rFonts w:ascii="Times New Roman" w:hAnsi="Times New Roman"/>
          <w:i/>
          <w:spacing w:val="-9"/>
          <w:sz w:val="20"/>
        </w:rPr>
        <w:t> </w:t>
      </w:r>
      <w:r>
        <w:rPr>
          <w:rFonts w:ascii="Times New Roman" w:hAnsi="Times New Roman"/>
          <w:i/>
          <w:spacing w:val="-3"/>
          <w:sz w:val="20"/>
        </w:rPr>
        <w:t>RAM</w:t>
      </w:r>
      <w:r>
        <w:rPr>
          <w:rFonts w:ascii="Times New Roman" w:hAnsi="Times New Roman"/>
          <w:i/>
          <w:spacing w:val="-10"/>
          <w:sz w:val="20"/>
        </w:rPr>
        <w:t> </w:t>
      </w:r>
      <w:r>
        <w:rPr>
          <w:rFonts w:ascii="Times New Roman" w:hAnsi="Times New Roman"/>
          <w:i/>
          <w:spacing w:val="-4"/>
          <w:sz w:val="20"/>
        </w:rPr>
        <w:t>0x2200[2:0]</w:t>
      </w:r>
      <w:r>
        <w:rPr>
          <w:i/>
          <w:spacing w:val="-4"/>
          <w:sz w:val="20"/>
        </w:rPr>
        <w:t>)</w:t>
      </w:r>
      <w:r>
        <w:rPr>
          <w:i/>
          <w:spacing w:val="-10"/>
          <w:sz w:val="20"/>
        </w:rPr>
        <w:t> </w:t>
      </w:r>
      <w:r>
        <w:rPr>
          <w:spacing w:val="-4"/>
          <w:sz w:val="20"/>
        </w:rPr>
        <w:t>set</w:t>
      </w:r>
      <w:r>
        <w:rPr>
          <w:spacing w:val="-8"/>
          <w:sz w:val="20"/>
        </w:rPr>
        <w:t> </w:t>
      </w:r>
      <w:r>
        <w:rPr>
          <w:spacing w:val="-3"/>
          <w:sz w:val="20"/>
        </w:rPr>
        <w:t>to</w:t>
      </w:r>
      <w:r>
        <w:rPr>
          <w:spacing w:val="-8"/>
          <w:sz w:val="20"/>
        </w:rPr>
        <w:t> </w:t>
      </w:r>
      <w:r>
        <w:rPr>
          <w:spacing w:val="-5"/>
          <w:sz w:val="20"/>
        </w:rPr>
        <w:t>maximum</w:t>
      </w:r>
    </w:p>
    <w:p>
      <w:pPr>
        <w:pStyle w:val="ListParagraph"/>
        <w:numPr>
          <w:ilvl w:val="0"/>
          <w:numId w:val="15"/>
        </w:numPr>
        <w:tabs>
          <w:tab w:pos="597" w:val="left" w:leader="none"/>
          <w:tab w:pos="598" w:val="left" w:leader="none"/>
        </w:tabs>
        <w:spacing w:line="240" w:lineRule="auto" w:before="29" w:after="0"/>
        <w:ind w:left="597" w:right="0" w:hanging="361"/>
        <w:jc w:val="left"/>
        <w:rPr>
          <w:sz w:val="20"/>
        </w:rPr>
      </w:pPr>
      <w:r>
        <w:rPr>
          <w:rFonts w:ascii="Times New Roman" w:hAnsi="Times New Roman"/>
          <w:i/>
          <w:sz w:val="20"/>
        </w:rPr>
        <w:t>TEMP_PER[2:0] </w:t>
      </w:r>
      <w:r>
        <w:rPr>
          <w:sz w:val="20"/>
        </w:rPr>
        <w:t>= 6 (</w:t>
      </w:r>
      <w:r>
        <w:rPr>
          <w:rFonts w:ascii="Times New Roman" w:hAnsi="Times New Roman"/>
          <w:i/>
          <w:sz w:val="20"/>
        </w:rPr>
        <w:t>I/O RAM 0x28A0[2:0]</w:t>
      </w:r>
      <w:r>
        <w:rPr>
          <w:sz w:val="20"/>
        </w:rPr>
        <w:t>) - temp measurement set to automatic every 512</w:t>
      </w:r>
      <w:r>
        <w:rPr>
          <w:spacing w:val="-18"/>
          <w:sz w:val="20"/>
        </w:rPr>
        <w:t> </w:t>
      </w:r>
      <w:r>
        <w:rPr>
          <w:sz w:val="20"/>
        </w:rPr>
        <w:t>s</w:t>
      </w:r>
    </w:p>
    <w:p>
      <w:pPr>
        <w:pStyle w:val="ListParagraph"/>
        <w:numPr>
          <w:ilvl w:val="0"/>
          <w:numId w:val="15"/>
        </w:numPr>
        <w:tabs>
          <w:tab w:pos="596" w:val="left" w:leader="none"/>
          <w:tab w:pos="597" w:val="left" w:leader="none"/>
        </w:tabs>
        <w:spacing w:line="240" w:lineRule="auto" w:before="31" w:after="0"/>
        <w:ind w:left="596" w:right="0" w:hanging="360"/>
        <w:jc w:val="left"/>
        <w:rPr>
          <w:sz w:val="20"/>
        </w:rPr>
      </w:pPr>
      <w:r>
        <w:rPr>
          <w:rFonts w:ascii="Times New Roman" w:hAnsi="Times New Roman"/>
          <w:i/>
          <w:sz w:val="20"/>
        </w:rPr>
        <w:t>TEMP_BSEL </w:t>
      </w:r>
      <w:r>
        <w:rPr>
          <w:sz w:val="20"/>
        </w:rPr>
        <w:t>= 1 (</w:t>
      </w:r>
      <w:r>
        <w:rPr>
          <w:rFonts w:ascii="Times New Roman" w:hAnsi="Times New Roman"/>
          <w:i/>
          <w:sz w:val="20"/>
        </w:rPr>
        <w:t>I/O RAM 0x28A0[7]</w:t>
      </w:r>
      <w:r>
        <w:rPr>
          <w:sz w:val="20"/>
        </w:rPr>
        <w:t>) - temperature sensor monitors</w:t>
      </w:r>
      <w:r>
        <w:rPr>
          <w:spacing w:val="-4"/>
          <w:sz w:val="20"/>
        </w:rPr>
        <w:t> </w:t>
      </w:r>
      <w:r>
        <w:rPr>
          <w:sz w:val="20"/>
        </w:rPr>
        <w:t>VBAT</w:t>
      </w:r>
    </w:p>
    <w:p>
      <w:pPr>
        <w:pStyle w:val="ListParagraph"/>
        <w:numPr>
          <w:ilvl w:val="0"/>
          <w:numId w:val="15"/>
        </w:numPr>
        <w:tabs>
          <w:tab w:pos="596" w:val="left" w:leader="none"/>
          <w:tab w:pos="597" w:val="left" w:leader="none"/>
        </w:tabs>
        <w:spacing w:line="240" w:lineRule="auto" w:before="29" w:after="0"/>
        <w:ind w:left="596" w:right="0" w:hanging="361"/>
        <w:jc w:val="left"/>
        <w:rPr>
          <w:sz w:val="20"/>
        </w:rPr>
      </w:pPr>
      <w:r>
        <w:rPr>
          <w:rFonts w:ascii="Times New Roman" w:hAnsi="Times New Roman"/>
          <w:i/>
          <w:sz w:val="20"/>
        </w:rPr>
        <w:t>PCON |</w:t>
      </w:r>
      <w:r>
        <w:rPr>
          <w:sz w:val="20"/>
        </w:rPr>
        <w:t>= 1 (</w:t>
      </w:r>
      <w:r>
        <w:rPr>
          <w:rFonts w:ascii="Times New Roman" w:hAnsi="Times New Roman"/>
          <w:i/>
          <w:sz w:val="20"/>
        </w:rPr>
        <w:t>SFR 0x87</w:t>
      </w:r>
      <w:r>
        <w:rPr>
          <w:sz w:val="20"/>
        </w:rPr>
        <w:t>) - at the end of the main BRN loop, halt the MPU and wait for an</w:t>
      </w:r>
      <w:r>
        <w:rPr>
          <w:spacing w:val="-25"/>
          <w:sz w:val="20"/>
        </w:rPr>
        <w:t> </w:t>
      </w:r>
      <w:r>
        <w:rPr>
          <w:sz w:val="20"/>
        </w:rPr>
        <w:t>interrupt</w:t>
      </w:r>
    </w:p>
    <w:p>
      <w:pPr>
        <w:pStyle w:val="ListParagraph"/>
        <w:numPr>
          <w:ilvl w:val="0"/>
          <w:numId w:val="15"/>
        </w:numPr>
        <w:tabs>
          <w:tab w:pos="596" w:val="left" w:leader="none"/>
          <w:tab w:pos="597" w:val="left" w:leader="none"/>
        </w:tabs>
        <w:spacing w:line="240" w:lineRule="auto" w:before="35" w:after="0"/>
        <w:ind w:left="596" w:right="0" w:hanging="361"/>
        <w:jc w:val="left"/>
        <w:rPr>
          <w:sz w:val="20"/>
        </w:rPr>
      </w:pPr>
      <w:r>
        <w:rPr>
          <w:sz w:val="20"/>
        </w:rPr>
        <w:t>The baud rate registers are adjusted as</w:t>
      </w:r>
      <w:r>
        <w:rPr>
          <w:spacing w:val="-3"/>
          <w:sz w:val="20"/>
        </w:rPr>
        <w:t> </w:t>
      </w:r>
      <w:r>
        <w:rPr>
          <w:sz w:val="20"/>
        </w:rPr>
        <w:t>needed</w:t>
      </w:r>
    </w:p>
    <w:p>
      <w:pPr>
        <w:pStyle w:val="ListParagraph"/>
        <w:numPr>
          <w:ilvl w:val="0"/>
          <w:numId w:val="15"/>
        </w:numPr>
        <w:tabs>
          <w:tab w:pos="596" w:val="left" w:leader="none"/>
          <w:tab w:pos="597" w:val="left" w:leader="none"/>
        </w:tabs>
        <w:spacing w:line="240" w:lineRule="auto" w:before="29" w:after="0"/>
        <w:ind w:left="596" w:right="0" w:hanging="361"/>
        <w:jc w:val="left"/>
        <w:rPr>
          <w:sz w:val="20"/>
        </w:rPr>
      </w:pPr>
      <w:r>
        <w:rPr>
          <w:sz w:val="20"/>
        </w:rPr>
        <w:t>All unused interrupts are</w:t>
      </w:r>
      <w:r>
        <w:rPr>
          <w:spacing w:val="-1"/>
          <w:sz w:val="20"/>
        </w:rPr>
        <w:t> </w:t>
      </w:r>
      <w:r>
        <w:rPr>
          <w:sz w:val="20"/>
        </w:rPr>
        <w:t>disabled</w:t>
      </w:r>
    </w:p>
    <w:p>
      <w:pPr>
        <w:pStyle w:val="ListParagraph"/>
        <w:numPr>
          <w:ilvl w:val="2"/>
          <w:numId w:val="24"/>
        </w:numPr>
        <w:tabs>
          <w:tab w:pos="959" w:val="left" w:leader="none"/>
          <w:tab w:pos="960" w:val="left" w:leader="none"/>
        </w:tabs>
        <w:spacing w:line="240" w:lineRule="auto" w:before="211" w:after="0"/>
        <w:ind w:left="959" w:right="0" w:hanging="720"/>
        <w:jc w:val="left"/>
        <w:rPr>
          <w:b/>
          <w:sz w:val="22"/>
        </w:rPr>
      </w:pPr>
      <w:bookmarkStart w:name="3.2.2 LCD Mode" w:id="308"/>
      <w:bookmarkEnd w:id="308"/>
      <w:r>
        <w:rPr/>
      </w:r>
      <w:bookmarkStart w:name="_bookmark155" w:id="309"/>
      <w:bookmarkEnd w:id="309"/>
      <w:r>
        <w:rPr/>
      </w:r>
      <w:bookmarkStart w:name="_bookmark155" w:id="310"/>
      <w:bookmarkEnd w:id="310"/>
      <w:r>
        <w:rPr>
          <w:b/>
          <w:sz w:val="22"/>
        </w:rPr>
        <w:t>L</w:t>
      </w:r>
      <w:r>
        <w:rPr>
          <w:b/>
          <w:sz w:val="22"/>
        </w:rPr>
        <w:t>CD</w:t>
      </w:r>
      <w:r>
        <w:rPr>
          <w:b/>
          <w:spacing w:val="-1"/>
          <w:sz w:val="22"/>
        </w:rPr>
        <w:t> </w:t>
      </w:r>
      <w:r>
        <w:rPr>
          <w:b/>
          <w:sz w:val="22"/>
        </w:rPr>
        <w:t>Mode</w:t>
      </w:r>
    </w:p>
    <w:p>
      <w:pPr>
        <w:pStyle w:val="BodyText"/>
        <w:spacing w:line="242" w:lineRule="auto" w:before="97"/>
        <w:ind w:left="239" w:right="466"/>
      </w:pPr>
      <w:r>
        <w:rPr/>
        <w:t>LCD mode may be commanded by the MPU at any time by setting the </w:t>
      </w:r>
      <w:r>
        <w:rPr>
          <w:rFonts w:ascii="Times New Roman"/>
          <w:i/>
        </w:rPr>
        <w:t>LCD_ONLY </w:t>
      </w:r>
      <w:r>
        <w:rPr/>
        <w:t>control bit (</w:t>
      </w:r>
      <w:r>
        <w:rPr>
          <w:rFonts w:ascii="Times New Roman"/>
          <w:i/>
        </w:rPr>
        <w:t>I/O RAM </w:t>
      </w:r>
      <w:r>
        <w:rPr>
          <w:rFonts w:ascii="Times New Roman"/>
          <w:i/>
        </w:rPr>
        <w:t>0x28B2[6]</w:t>
      </w:r>
      <w:r>
        <w:rPr/>
        <w:t>). However, it is recommended that the </w:t>
      </w:r>
      <w:r>
        <w:rPr>
          <w:rFonts w:ascii="Times New Roman"/>
          <w:i/>
        </w:rPr>
        <w:t>LCD_ONLY </w:t>
      </w:r>
      <w:r>
        <w:rPr/>
        <w:t>control bit be set by the MPU only after the 71M6543 has entered BRN mode. For example, if the 71M6543 is in MSN mode when </w:t>
      </w:r>
      <w:r>
        <w:rPr>
          <w:rFonts w:ascii="Times New Roman"/>
          <w:i/>
        </w:rPr>
        <w:t>LCD_ONLY </w:t>
      </w:r>
      <w:r>
        <w:rPr/>
        <w:t>is set, the duration of LCD mode is very brief and the 71M6543 immediately 'wakes'.</w:t>
      </w:r>
    </w:p>
    <w:p>
      <w:pPr>
        <w:pStyle w:val="BodyText"/>
        <w:spacing w:before="114"/>
        <w:ind w:left="239" w:right="584"/>
      </w:pPr>
      <w:r>
        <w:rPr/>
        <w:t>In LCD mode, V3P3D is disabled, and the VBAT pin supplies the LCD current. Before asserting </w:t>
      </w:r>
      <w:r>
        <w:rPr>
          <w:rFonts w:ascii="Times New Roman"/>
          <w:i/>
        </w:rPr>
        <w:t>LCD_ONLY </w:t>
      </w:r>
      <w:r>
        <w:rPr/>
        <w:t>mode, it is recommended that the MPU minimize PLL current by reducing the output frequency of the PLL to 6.29 MHz (i.e., write </w:t>
      </w:r>
      <w:r>
        <w:rPr>
          <w:rFonts w:ascii="Times New Roman"/>
          <w:i/>
        </w:rPr>
        <w:t>PLL_FAST </w:t>
      </w:r>
      <w:r>
        <w:rPr/>
        <w:t>= 0, </w:t>
      </w:r>
      <w:r>
        <w:rPr>
          <w:rFonts w:ascii="Times New Roman"/>
          <w:i/>
        </w:rPr>
        <w:t>I/O RAM 0x2200[4]</w:t>
      </w:r>
      <w:r>
        <w:rPr/>
        <w:t>). The LCD boost system requires a clock from the PLL for its operation. Thus, if the LCD boost system is enabled (i.e., </w:t>
      </w:r>
      <w:r>
        <w:rPr>
          <w:rFonts w:ascii="Times New Roman"/>
          <w:i/>
        </w:rPr>
        <w:t>LCD_VMODE[1:0] </w:t>
      </w:r>
      <w:r>
        <w:rPr/>
        <w:t>= 10, </w:t>
      </w:r>
      <w:r>
        <w:rPr>
          <w:rFonts w:ascii="Times New Roman"/>
          <w:i/>
        </w:rPr>
        <w:t>I/O RAM 0x2401[7:6]</w:t>
      </w:r>
      <w:r>
        <w:rPr/>
        <w:t>), then the PLL is automatically kept active during LCD mode, otherwise the PLL is de-activated.</w:t>
      </w:r>
    </w:p>
    <w:p>
      <w:pPr>
        <w:pStyle w:val="BodyText"/>
        <w:spacing w:line="230" w:lineRule="auto" w:before="118"/>
        <w:ind w:left="239" w:right="452"/>
      </w:pPr>
      <w:r>
        <w:rPr/>
        <w:t>In LCD mode, the data contained in the </w:t>
      </w:r>
      <w:r>
        <w:rPr>
          <w:rFonts w:ascii="Times New Roman"/>
          <w:i/>
        </w:rPr>
        <w:t>LCD_SEG </w:t>
      </w:r>
      <w:r>
        <w:rPr/>
        <w:t>registers is displayed using the segment driver pins. Up to two LCD segments connected to the pins SEGDIO22 and SEGDIO23 can be made to blink without the involvement of the MPU, which is disabled in LCD mode. To minimize battery power consumption, only segments that are used should be enabled.</w:t>
      </w:r>
    </w:p>
    <w:p>
      <w:pPr>
        <w:pStyle w:val="BodyText"/>
        <w:spacing w:line="230" w:lineRule="auto" w:before="117"/>
        <w:ind w:left="239" w:right="401"/>
      </w:pPr>
      <w:r>
        <w:rPr/>
        <w:t>After the transition from LCD mode to MSN or BRN mode, the </w:t>
      </w:r>
      <w:r>
        <w:rPr>
          <w:rFonts w:ascii="Times New Roman"/>
          <w:i/>
        </w:rPr>
        <w:t>PC </w:t>
      </w:r>
      <w:r>
        <w:rPr/>
        <w:t>(Program Counter) is at 0x0000, the XRAM is in an undefined state, and configuration I/O RAM bits are reset (see </w:t>
      </w:r>
      <w:hyperlink w:history="true" w:anchor="_bookmark212">
        <w:r>
          <w:rPr>
            <w:color w:val="0000FF"/>
          </w:rPr>
          <w:t>Table 70 </w:t>
        </w:r>
      </w:hyperlink>
      <w:r>
        <w:rPr/>
        <w:t>for I/O RAM state upon wake). The data stored in non-volatile I/O RAM locations is preserved in LCD mode (the shaded locations in </w:t>
      </w:r>
      <w:hyperlink w:history="true" w:anchor="_bookmark212">
        <w:r>
          <w:rPr>
            <w:color w:val="0000FF"/>
          </w:rPr>
          <w:t>Table 70 </w:t>
        </w:r>
      </w:hyperlink>
      <w:r>
        <w:rPr/>
        <w:t>are non-volatile).</w:t>
      </w:r>
    </w:p>
    <w:p>
      <w:pPr>
        <w:spacing w:after="0" w:line="230" w:lineRule="auto"/>
        <w:sectPr>
          <w:pgSz w:w="12240" w:h="15840"/>
          <w:pgMar w:header="727" w:footer="819" w:top="960" w:bottom="1000" w:left="1200" w:right="1060"/>
        </w:sectPr>
      </w:pPr>
    </w:p>
    <w:p>
      <w:pPr>
        <w:pStyle w:val="BodyText"/>
        <w:rPr>
          <w:sz w:val="16"/>
        </w:rPr>
      </w:pPr>
    </w:p>
    <w:p>
      <w:pPr>
        <w:pStyle w:val="ListParagraph"/>
        <w:numPr>
          <w:ilvl w:val="2"/>
          <w:numId w:val="24"/>
        </w:numPr>
        <w:tabs>
          <w:tab w:pos="959" w:val="left" w:leader="none"/>
          <w:tab w:pos="960" w:val="left" w:leader="none"/>
        </w:tabs>
        <w:spacing w:line="240" w:lineRule="auto" w:before="94" w:after="0"/>
        <w:ind w:left="959" w:right="0" w:hanging="720"/>
        <w:jc w:val="left"/>
        <w:rPr>
          <w:b/>
          <w:sz w:val="22"/>
        </w:rPr>
      </w:pPr>
      <w:bookmarkStart w:name="3.2.3 SLP Mode" w:id="311"/>
      <w:bookmarkEnd w:id="311"/>
      <w:r>
        <w:rPr/>
      </w:r>
      <w:bookmarkStart w:name="_bookmark156" w:id="312"/>
      <w:bookmarkEnd w:id="312"/>
      <w:r>
        <w:rPr/>
      </w:r>
      <w:bookmarkStart w:name="_bookmark156" w:id="313"/>
      <w:bookmarkEnd w:id="313"/>
      <w:r>
        <w:rPr>
          <w:b/>
          <w:sz w:val="22"/>
        </w:rPr>
        <w:t>SL</w:t>
      </w:r>
      <w:r>
        <w:rPr>
          <w:b/>
          <w:sz w:val="22"/>
        </w:rPr>
        <w:t>P</w:t>
      </w:r>
      <w:r>
        <w:rPr>
          <w:b/>
          <w:spacing w:val="-1"/>
          <w:sz w:val="22"/>
        </w:rPr>
        <w:t> </w:t>
      </w:r>
      <w:r>
        <w:rPr>
          <w:b/>
          <w:sz w:val="22"/>
        </w:rPr>
        <w:t>Mode</w:t>
      </w:r>
    </w:p>
    <w:p>
      <w:pPr>
        <w:pStyle w:val="BodyText"/>
        <w:spacing w:line="232" w:lineRule="auto" w:before="103"/>
        <w:ind w:left="240" w:right="326"/>
      </w:pPr>
      <w:r>
        <w:rPr/>
        <w:t>The SLP mode may be commanded by the MPU whenever main system power is absent by asserting the </w:t>
      </w:r>
      <w:r>
        <w:rPr>
          <w:rFonts w:ascii="Times New Roman"/>
          <w:i/>
        </w:rPr>
        <w:t>SLEEP </w:t>
      </w:r>
      <w:r>
        <w:rPr/>
        <w:t>bit </w:t>
      </w:r>
      <w:r>
        <w:rPr>
          <w:rFonts w:ascii="Times New Roman"/>
          <w:i/>
        </w:rPr>
        <w:t>(I/O RAM 0x28B2[7])</w:t>
      </w:r>
      <w:r>
        <w:rPr/>
        <w:t>. The purpose of the SLP mode is to consume the least power while still maintaining the RTC, temperature compensation of the RTC, and the non-volatile portions of the I/O RAM.</w:t>
      </w:r>
    </w:p>
    <w:p>
      <w:pPr>
        <w:pStyle w:val="BodyText"/>
        <w:spacing w:line="232" w:lineRule="auto" w:before="119"/>
        <w:ind w:left="239" w:right="379"/>
      </w:pPr>
      <w:r>
        <w:rPr/>
        <w:t>In SLP mode, the V3P3D pin is disconnected, removing all sources of leakage from VBAT and V3P3SYS. The non-volatile memory domain and the basic functions, such as temperature sensor, oscillator, and RTC, are powered by the VBAT_RTC input. In this mode, the I/O configuration bits, LCD configuration bits, and NV RAM values are preserved and RTC and oscillator continue to run. This mode can be exited only by system power-up or one of the wake methods described in </w:t>
      </w:r>
      <w:hyperlink w:history="true" w:anchor="_bookmark163">
        <w:r>
          <w:rPr>
            <w:color w:val="0000FF"/>
          </w:rPr>
          <w:t>3.4 </w:t>
        </w:r>
      </w:hyperlink>
      <w:hyperlink w:history="true" w:anchor="_bookmark163">
        <w:r>
          <w:rPr>
            <w:color w:val="0000FF"/>
          </w:rPr>
          <w:t>Wake-Up Behavior</w:t>
        </w:r>
        <w:r>
          <w:rPr/>
          <w:t>.</w:t>
        </w:r>
      </w:hyperlink>
    </w:p>
    <w:p>
      <w:pPr>
        <w:pStyle w:val="BodyText"/>
        <w:spacing w:line="230" w:lineRule="auto" w:before="118"/>
        <w:ind w:left="239" w:right="466"/>
      </w:pPr>
      <w:r>
        <w:rPr/>
        <w:t>If the </w:t>
      </w:r>
      <w:r>
        <w:rPr>
          <w:rFonts w:ascii="Times New Roman"/>
          <w:i/>
        </w:rPr>
        <w:t>SLEEP </w:t>
      </w:r>
      <w:r>
        <w:rPr/>
        <w:t>bit is asserted when V3P3SYS pin power is present (i.e., while in MSN mode), the 71M6543 enters SLP mode, resetting the internal WAKE signal, at which point the 71M6543 begins the standard wake from sleep procedures as described in </w:t>
      </w:r>
      <w:hyperlink w:history="true" w:anchor="_bookmark163">
        <w:r>
          <w:rPr>
            <w:color w:val="0000FF"/>
          </w:rPr>
          <w:t>3.4 </w:t>
        </w:r>
      </w:hyperlink>
      <w:hyperlink w:history="true" w:anchor="_bookmark163">
        <w:r>
          <w:rPr>
            <w:color w:val="0000FF"/>
          </w:rPr>
          <w:t>Wake-Up Behavior</w:t>
        </w:r>
        <w:r>
          <w:rPr/>
          <w:t>.</w:t>
        </w:r>
      </w:hyperlink>
    </w:p>
    <w:p>
      <w:pPr>
        <w:pStyle w:val="BodyText"/>
        <w:spacing w:line="235" w:lineRule="auto" w:before="115"/>
        <w:ind w:left="239" w:right="794"/>
      </w:pPr>
      <w:r>
        <w:rPr/>
        <w:t>After the transition from SLP mode to MSN or BRN mode the </w:t>
      </w:r>
      <w:r>
        <w:rPr>
          <w:rFonts w:ascii="Times New Roman"/>
          <w:i/>
        </w:rPr>
        <w:t>PC </w:t>
      </w:r>
      <w:r>
        <w:rPr/>
        <w:t>is at 0x0000, the XRAM is in an undefined state, and the I/O RAM is only partially preserved (see the description of I/O RAM states in </w:t>
      </w:r>
      <w:hyperlink w:history="true" w:anchor="_bookmark211">
        <w:r>
          <w:rPr>
            <w:color w:val="0000FF"/>
          </w:rPr>
          <w:t>5.2</w:t>
        </w:r>
      </w:hyperlink>
      <w:r>
        <w:rPr/>
        <w:t>). The non-volatile sections of the I/O RAM are preserved unless RESET goes high.</w:t>
      </w:r>
    </w:p>
    <w:p>
      <w:pPr>
        <w:spacing w:after="0" w:line="235" w:lineRule="auto"/>
        <w:sectPr>
          <w:pgSz w:w="12240" w:h="15840"/>
          <w:pgMar w:header="727" w:footer="819" w:top="960" w:bottom="1000" w:left="1200" w:right="1060"/>
        </w:sectPr>
      </w:pPr>
    </w:p>
    <w:p>
      <w:pPr>
        <w:pStyle w:val="BodyText"/>
        <w:spacing w:before="7"/>
        <w:rPr>
          <w:sz w:val="16"/>
        </w:rPr>
      </w:pPr>
    </w:p>
    <w:p>
      <w:pPr>
        <w:pStyle w:val="ListParagraph"/>
        <w:numPr>
          <w:ilvl w:val="1"/>
          <w:numId w:val="22"/>
        </w:numPr>
        <w:tabs>
          <w:tab w:pos="959" w:val="left" w:leader="none"/>
          <w:tab w:pos="960" w:val="left" w:leader="none"/>
        </w:tabs>
        <w:spacing w:line="240" w:lineRule="auto" w:before="92" w:after="0"/>
        <w:ind w:left="960" w:right="0" w:hanging="720"/>
        <w:jc w:val="left"/>
        <w:rPr>
          <w:b/>
          <w:sz w:val="24"/>
        </w:rPr>
      </w:pPr>
      <w:bookmarkStart w:name="3.3 Fault and Reset Behavior" w:id="314"/>
      <w:bookmarkEnd w:id="314"/>
      <w:r>
        <w:rPr/>
      </w:r>
      <w:bookmarkStart w:name="_bookmark157" w:id="315"/>
      <w:bookmarkEnd w:id="315"/>
      <w:r>
        <w:rPr/>
      </w:r>
      <w:bookmarkStart w:name="_bookmark157" w:id="316"/>
      <w:bookmarkEnd w:id="316"/>
      <w:r>
        <w:rPr>
          <w:b/>
          <w:sz w:val="24"/>
        </w:rPr>
        <w:t>F</w:t>
      </w:r>
      <w:r>
        <w:rPr>
          <w:b/>
          <w:sz w:val="24"/>
        </w:rPr>
        <w:t>ault and Reset</w:t>
      </w:r>
      <w:r>
        <w:rPr>
          <w:b/>
          <w:spacing w:val="-3"/>
          <w:sz w:val="24"/>
        </w:rPr>
        <w:t> </w:t>
      </w:r>
      <w:r>
        <w:rPr>
          <w:b/>
          <w:sz w:val="24"/>
        </w:rPr>
        <w:t>Behavior</w:t>
      </w:r>
    </w:p>
    <w:p>
      <w:pPr>
        <w:pStyle w:val="ListParagraph"/>
        <w:numPr>
          <w:ilvl w:val="2"/>
          <w:numId w:val="25"/>
        </w:numPr>
        <w:tabs>
          <w:tab w:pos="959" w:val="left" w:leader="none"/>
          <w:tab w:pos="960" w:val="left" w:leader="none"/>
        </w:tabs>
        <w:spacing w:line="240" w:lineRule="auto" w:before="120" w:after="0"/>
        <w:ind w:left="959" w:right="0" w:hanging="720"/>
        <w:jc w:val="left"/>
        <w:rPr>
          <w:b/>
          <w:sz w:val="22"/>
        </w:rPr>
      </w:pPr>
      <w:bookmarkStart w:name="3.3.1 Events at Power-Down" w:id="317"/>
      <w:bookmarkEnd w:id="317"/>
      <w:r>
        <w:rPr/>
      </w:r>
      <w:bookmarkStart w:name="_bookmark158" w:id="318"/>
      <w:bookmarkEnd w:id="318"/>
      <w:r>
        <w:rPr/>
      </w:r>
      <w:bookmarkStart w:name="_bookmark158" w:id="319"/>
      <w:bookmarkEnd w:id="319"/>
      <w:r>
        <w:rPr>
          <w:b/>
          <w:sz w:val="22"/>
        </w:rPr>
        <w:t>E</w:t>
      </w:r>
      <w:r>
        <w:rPr>
          <w:b/>
          <w:sz w:val="22"/>
        </w:rPr>
        <w:t>vents at</w:t>
      </w:r>
      <w:r>
        <w:rPr>
          <w:b/>
          <w:spacing w:val="1"/>
          <w:sz w:val="22"/>
        </w:rPr>
        <w:t> </w:t>
      </w:r>
      <w:r>
        <w:rPr>
          <w:b/>
          <w:sz w:val="22"/>
        </w:rPr>
        <w:t>Power-Down</w:t>
      </w:r>
    </w:p>
    <w:p>
      <w:pPr>
        <w:pStyle w:val="BodyText"/>
        <w:spacing w:before="121"/>
        <w:ind w:left="240" w:right="300"/>
      </w:pPr>
      <w:r>
        <w:rPr/>
        <w:t>Power fault detection is performed by internal comparators that monitor the voltage at the V3P3A pin and also monitor the internally generated VDD pin voltage (2.5 VDC). The V3P3SYS and V3P3A pins must be tied together at the PCB level, so that the comparators, which are internally connected only to the V3P3A pin, are able to simultaneously monitor the common V3P3SYS and V3P3A pin voltage. The following discussion assumes that the V3P3A and V3P3SYS pins are tied together at the PCB level.</w:t>
      </w:r>
    </w:p>
    <w:p>
      <w:pPr>
        <w:pStyle w:val="BodyText"/>
        <w:spacing w:before="120"/>
        <w:ind w:left="240"/>
      </w:pPr>
      <w:r>
        <w:rPr/>
        <w:t>During a power failure, as V3P3A falls, two thresholds are detected:</w:t>
      </w:r>
    </w:p>
    <w:p>
      <w:pPr>
        <w:pStyle w:val="ListParagraph"/>
        <w:numPr>
          <w:ilvl w:val="0"/>
          <w:numId w:val="15"/>
        </w:numPr>
        <w:tabs>
          <w:tab w:pos="599" w:val="left" w:leader="none"/>
          <w:tab w:pos="600" w:val="left" w:leader="none"/>
        </w:tabs>
        <w:spacing w:line="240" w:lineRule="auto" w:before="116" w:after="0"/>
        <w:ind w:left="599" w:right="658" w:hanging="360"/>
        <w:jc w:val="left"/>
        <w:rPr>
          <w:sz w:val="20"/>
        </w:rPr>
      </w:pPr>
      <w:r>
        <w:rPr>
          <w:sz w:val="20"/>
        </w:rPr>
        <w:t>The first threshold, at 3.0 VDC (</w:t>
      </w:r>
      <w:r>
        <w:rPr>
          <w:rFonts w:ascii="Times New Roman" w:hAnsi="Times New Roman"/>
          <w:i/>
          <w:sz w:val="20"/>
        </w:rPr>
        <w:t>VSTAT[2:0] </w:t>
      </w:r>
      <w:r>
        <w:rPr>
          <w:sz w:val="20"/>
        </w:rPr>
        <w:t>= 001, </w:t>
      </w:r>
      <w:r>
        <w:rPr>
          <w:rFonts w:ascii="Times New Roman" w:hAnsi="Times New Roman"/>
          <w:i/>
          <w:sz w:val="20"/>
        </w:rPr>
        <w:t>SFR 0xF9[2:0]</w:t>
      </w:r>
      <w:r>
        <w:rPr>
          <w:sz w:val="20"/>
        </w:rPr>
        <w:t>), warns the MPU that the analog modules are no longer accurate. Other than warning the MPU, the hardware takes no action when this threshold is crossed. This comparison produces an internal bit named</w:t>
      </w:r>
      <w:r>
        <w:rPr>
          <w:spacing w:val="-17"/>
          <w:sz w:val="20"/>
        </w:rPr>
        <w:t> </w:t>
      </w:r>
      <w:r>
        <w:rPr>
          <w:rFonts w:ascii="Times New Roman" w:hAnsi="Times New Roman"/>
          <w:i/>
          <w:sz w:val="20"/>
        </w:rPr>
        <w:t>V3OKA</w:t>
      </w:r>
      <w:r>
        <w:rPr>
          <w:sz w:val="20"/>
        </w:rPr>
        <w:t>.</w:t>
      </w:r>
    </w:p>
    <w:p>
      <w:pPr>
        <w:pStyle w:val="ListParagraph"/>
        <w:numPr>
          <w:ilvl w:val="0"/>
          <w:numId w:val="15"/>
        </w:numPr>
        <w:tabs>
          <w:tab w:pos="599" w:val="left" w:leader="none"/>
          <w:tab w:pos="600" w:val="left" w:leader="none"/>
        </w:tabs>
        <w:spacing w:line="237" w:lineRule="auto" w:before="48" w:after="0"/>
        <w:ind w:left="599" w:right="655" w:hanging="360"/>
        <w:jc w:val="left"/>
        <w:rPr>
          <w:sz w:val="20"/>
        </w:rPr>
      </w:pPr>
      <w:r>
        <w:rPr>
          <w:sz w:val="20"/>
        </w:rPr>
        <w:t>The second threshold, at 2.8 VDC, causes the 71M6543 to switch to battery power. This switching happens while the FLASH and RAM systems are still able to read and write. This comparison produces an internal bit named</w:t>
      </w:r>
      <w:r>
        <w:rPr>
          <w:spacing w:val="-2"/>
          <w:sz w:val="20"/>
        </w:rPr>
        <w:t> </w:t>
      </w:r>
      <w:r>
        <w:rPr>
          <w:rFonts w:ascii="Times New Roman" w:hAnsi="Times New Roman"/>
          <w:i/>
          <w:sz w:val="20"/>
        </w:rPr>
        <w:t>V3OK</w:t>
      </w:r>
      <w:r>
        <w:rPr>
          <w:sz w:val="20"/>
        </w:rPr>
        <w:t>.</w:t>
      </w:r>
    </w:p>
    <w:p>
      <w:pPr>
        <w:pStyle w:val="BodyText"/>
        <w:spacing w:line="242" w:lineRule="auto" w:before="119"/>
        <w:ind w:left="239" w:right="401"/>
      </w:pPr>
      <w:r>
        <w:rPr/>
        <w:t>The power quality is reflected by the </w:t>
      </w:r>
      <w:r>
        <w:rPr>
          <w:rFonts w:ascii="Times New Roman"/>
          <w:i/>
        </w:rPr>
        <w:t>VSTAT[2:0] </w:t>
      </w:r>
      <w:r>
        <w:rPr/>
        <w:t>register in I/O RAM space, as shown in </w:t>
      </w:r>
      <w:hyperlink w:history="true" w:anchor="_bookmark159">
        <w:r>
          <w:rPr>
            <w:color w:val="0000FF"/>
          </w:rPr>
          <w:t>Table 62</w:t>
        </w:r>
        <w:r>
          <w:rPr/>
          <w:t>.</w:t>
        </w:r>
      </w:hyperlink>
      <w:r>
        <w:rPr/>
        <w:t> The </w:t>
      </w:r>
      <w:r>
        <w:rPr>
          <w:rFonts w:ascii="Times New Roman"/>
          <w:i/>
        </w:rPr>
        <w:t>VSTAT[2:0] </w:t>
      </w:r>
      <w:r>
        <w:rPr/>
        <w:t>register is located at SFR address F9 and occupies bits 2:0. The </w:t>
      </w:r>
      <w:r>
        <w:rPr>
          <w:rFonts w:ascii="Times New Roman"/>
          <w:i/>
        </w:rPr>
        <w:t>VSTAT[2:0] </w:t>
      </w:r>
      <w:r>
        <w:rPr/>
        <w:t>field can only be read.</w:t>
      </w:r>
    </w:p>
    <w:p>
      <w:pPr>
        <w:pStyle w:val="BodyText"/>
        <w:spacing w:line="242" w:lineRule="auto" w:before="113"/>
        <w:ind w:left="239" w:right="499"/>
      </w:pPr>
      <w:r>
        <w:rPr/>
        <w:t>In addition to the state of the main power, the </w:t>
      </w:r>
      <w:r>
        <w:rPr>
          <w:rFonts w:ascii="Times New Roman"/>
          <w:i/>
        </w:rPr>
        <w:t>VSTAT[2:0] </w:t>
      </w:r>
      <w:r>
        <w:rPr/>
        <w:t>register provides information about the internal VDD voltage under battery power. Note that if system power (V3P3A) is above 2.8 VDC, the 71M6543 always switches from battery to system power.</w:t>
      </w:r>
    </w:p>
    <w:p>
      <w:pPr>
        <w:pStyle w:val="BodyText"/>
        <w:spacing w:before="8"/>
        <w:rPr>
          <w:sz w:val="19"/>
        </w:rPr>
      </w:pPr>
    </w:p>
    <w:p>
      <w:pPr>
        <w:spacing w:before="0"/>
        <w:ind w:left="63" w:right="204" w:firstLine="0"/>
        <w:jc w:val="center"/>
        <w:rPr>
          <w:b/>
          <w:sz w:val="20"/>
        </w:rPr>
      </w:pPr>
      <w:bookmarkStart w:name="_bookmark159" w:id="320"/>
      <w:bookmarkEnd w:id="320"/>
      <w:r>
        <w:rPr/>
      </w:r>
      <w:r>
        <w:rPr>
          <w:b/>
          <w:sz w:val="20"/>
        </w:rPr>
        <w:t>Table 62: </w:t>
      </w:r>
      <w:r>
        <w:rPr>
          <w:rFonts w:ascii="Times New Roman"/>
          <w:b/>
          <w:i/>
          <w:sz w:val="20"/>
        </w:rPr>
        <w:t>VSTAT[2:0] </w:t>
      </w:r>
      <w:r>
        <w:rPr>
          <w:b/>
          <w:sz w:val="20"/>
        </w:rPr>
        <w:t>(SFR 0xF9[2:0])</w:t>
      </w:r>
    </w:p>
    <w:p>
      <w:pPr>
        <w:pStyle w:val="BodyText"/>
        <w:spacing w:before="4"/>
        <w:rPr>
          <w:b/>
          <w:sz w:val="5"/>
        </w:rPr>
      </w:pPr>
    </w:p>
    <w:tbl>
      <w:tblPr>
        <w:tblW w:w="0" w:type="auto"/>
        <w:jc w:val="left"/>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8"/>
        <w:gridCol w:w="8121"/>
      </w:tblGrid>
      <w:tr>
        <w:trPr>
          <w:trHeight w:val="311" w:hRule="atLeast"/>
        </w:trPr>
        <w:tc>
          <w:tcPr>
            <w:tcW w:w="1238" w:type="dxa"/>
          </w:tcPr>
          <w:p>
            <w:pPr>
              <w:pStyle w:val="TableParagraph"/>
              <w:spacing w:before="39"/>
              <w:ind w:left="85" w:right="79"/>
              <w:jc w:val="center"/>
              <w:rPr>
                <w:rFonts w:ascii="Times New Roman"/>
                <w:b/>
                <w:i/>
                <w:sz w:val="20"/>
              </w:rPr>
            </w:pPr>
            <w:r>
              <w:rPr>
                <w:rFonts w:ascii="Times New Roman"/>
                <w:b/>
                <w:i/>
                <w:sz w:val="20"/>
              </w:rPr>
              <w:t>VSTAT[2:0]</w:t>
            </w:r>
          </w:p>
        </w:tc>
        <w:tc>
          <w:tcPr>
            <w:tcW w:w="8121" w:type="dxa"/>
          </w:tcPr>
          <w:p>
            <w:pPr>
              <w:pStyle w:val="TableParagraph"/>
              <w:spacing w:before="36"/>
              <w:ind w:left="107"/>
              <w:rPr>
                <w:b/>
                <w:sz w:val="20"/>
              </w:rPr>
            </w:pPr>
            <w:r>
              <w:rPr>
                <w:b/>
                <w:sz w:val="20"/>
              </w:rPr>
              <w:t>Description</w:t>
            </w:r>
          </w:p>
        </w:tc>
      </w:tr>
      <w:tr>
        <w:trPr>
          <w:trHeight w:val="268" w:hRule="atLeast"/>
        </w:trPr>
        <w:tc>
          <w:tcPr>
            <w:tcW w:w="1238" w:type="dxa"/>
          </w:tcPr>
          <w:p>
            <w:pPr>
              <w:pStyle w:val="TableParagraph"/>
              <w:spacing w:before="18"/>
              <w:ind w:left="84" w:right="79"/>
              <w:jc w:val="center"/>
              <w:rPr>
                <w:sz w:val="20"/>
              </w:rPr>
            </w:pPr>
            <w:r>
              <w:rPr>
                <w:sz w:val="20"/>
              </w:rPr>
              <w:t>000</w:t>
            </w:r>
          </w:p>
        </w:tc>
        <w:tc>
          <w:tcPr>
            <w:tcW w:w="8121" w:type="dxa"/>
          </w:tcPr>
          <w:p>
            <w:pPr>
              <w:pStyle w:val="TableParagraph"/>
              <w:spacing w:before="18"/>
              <w:ind w:left="108"/>
              <w:rPr>
                <w:sz w:val="20"/>
              </w:rPr>
            </w:pPr>
            <w:r>
              <w:rPr>
                <w:sz w:val="20"/>
              </w:rPr>
              <w:t>System Power OK. V3P3A &gt; 3.0 VDC. Analog modules are functional and accurate.</w:t>
            </w:r>
          </w:p>
        </w:tc>
      </w:tr>
      <w:tr>
        <w:trPr>
          <w:trHeight w:val="501" w:hRule="atLeast"/>
        </w:trPr>
        <w:tc>
          <w:tcPr>
            <w:tcW w:w="1238" w:type="dxa"/>
          </w:tcPr>
          <w:p>
            <w:pPr>
              <w:pStyle w:val="TableParagraph"/>
              <w:spacing w:before="134"/>
              <w:ind w:left="84" w:right="79"/>
              <w:jc w:val="center"/>
              <w:rPr>
                <w:sz w:val="20"/>
              </w:rPr>
            </w:pPr>
            <w:r>
              <w:rPr>
                <w:sz w:val="20"/>
              </w:rPr>
              <w:t>001</w:t>
            </w:r>
          </w:p>
        </w:tc>
        <w:tc>
          <w:tcPr>
            <w:tcW w:w="8121" w:type="dxa"/>
          </w:tcPr>
          <w:p>
            <w:pPr>
              <w:pStyle w:val="TableParagraph"/>
              <w:spacing w:line="230" w:lineRule="atLeast" w:before="18"/>
              <w:ind w:left="108" w:right="407"/>
              <w:rPr>
                <w:sz w:val="20"/>
              </w:rPr>
            </w:pPr>
            <w:r>
              <w:rPr>
                <w:sz w:val="20"/>
              </w:rPr>
              <w:t>System Power is low. 2.8 VDC &lt; V3P3A &lt; 3.0 VDC. Analog modules not accurate. Switch over to battery power is imminent.</w:t>
            </w:r>
          </w:p>
        </w:tc>
      </w:tr>
      <w:tr>
        <w:trPr>
          <w:trHeight w:val="498" w:hRule="atLeast"/>
        </w:trPr>
        <w:tc>
          <w:tcPr>
            <w:tcW w:w="1238" w:type="dxa"/>
          </w:tcPr>
          <w:p>
            <w:pPr>
              <w:pStyle w:val="TableParagraph"/>
              <w:spacing w:before="134"/>
              <w:ind w:left="84" w:right="79"/>
              <w:jc w:val="center"/>
              <w:rPr>
                <w:sz w:val="20"/>
              </w:rPr>
            </w:pPr>
            <w:r>
              <w:rPr>
                <w:sz w:val="20"/>
              </w:rPr>
              <w:t>010</w:t>
            </w:r>
          </w:p>
        </w:tc>
        <w:tc>
          <w:tcPr>
            <w:tcW w:w="8121" w:type="dxa"/>
          </w:tcPr>
          <w:p>
            <w:pPr>
              <w:pStyle w:val="TableParagraph"/>
              <w:spacing w:before="18"/>
              <w:ind w:left="108"/>
              <w:rPr>
                <w:sz w:val="20"/>
              </w:rPr>
            </w:pPr>
            <w:r>
              <w:rPr>
                <w:sz w:val="20"/>
              </w:rPr>
              <w:t>The IC is on battery power and VDD is OK. VDD &gt; 2.25 VDC. The IC has full digital functionality.</w:t>
            </w:r>
          </w:p>
        </w:tc>
      </w:tr>
      <w:tr>
        <w:trPr>
          <w:trHeight w:val="501" w:hRule="atLeast"/>
        </w:trPr>
        <w:tc>
          <w:tcPr>
            <w:tcW w:w="1238" w:type="dxa"/>
          </w:tcPr>
          <w:p>
            <w:pPr>
              <w:pStyle w:val="TableParagraph"/>
              <w:spacing w:before="134"/>
              <w:ind w:left="84" w:right="79"/>
              <w:jc w:val="center"/>
              <w:rPr>
                <w:sz w:val="20"/>
              </w:rPr>
            </w:pPr>
            <w:r>
              <w:rPr>
                <w:sz w:val="20"/>
              </w:rPr>
              <w:t>011</w:t>
            </w:r>
          </w:p>
        </w:tc>
        <w:tc>
          <w:tcPr>
            <w:tcW w:w="8121" w:type="dxa"/>
          </w:tcPr>
          <w:p>
            <w:pPr>
              <w:pStyle w:val="TableParagraph"/>
              <w:spacing w:line="230" w:lineRule="atLeast" w:before="18"/>
              <w:ind w:left="108"/>
              <w:rPr>
                <w:sz w:val="20"/>
              </w:rPr>
            </w:pPr>
            <w:r>
              <w:rPr>
                <w:sz w:val="20"/>
              </w:rPr>
              <w:t>The IC is on battery power and 2.25 VDC &gt; VDD &gt; 2.0 VDC. Flash write operations are inhibited.</w:t>
            </w:r>
          </w:p>
        </w:tc>
      </w:tr>
      <w:tr>
        <w:trPr>
          <w:trHeight w:val="498" w:hRule="atLeast"/>
        </w:trPr>
        <w:tc>
          <w:tcPr>
            <w:tcW w:w="1238" w:type="dxa"/>
          </w:tcPr>
          <w:p>
            <w:pPr>
              <w:pStyle w:val="TableParagraph"/>
              <w:spacing w:before="134"/>
              <w:ind w:left="84" w:right="79"/>
              <w:jc w:val="center"/>
              <w:rPr>
                <w:sz w:val="20"/>
              </w:rPr>
            </w:pPr>
            <w:r>
              <w:rPr>
                <w:sz w:val="20"/>
              </w:rPr>
              <w:t>101</w:t>
            </w:r>
          </w:p>
        </w:tc>
        <w:tc>
          <w:tcPr>
            <w:tcW w:w="8121" w:type="dxa"/>
          </w:tcPr>
          <w:p>
            <w:pPr>
              <w:pStyle w:val="TableParagraph"/>
              <w:spacing w:before="18"/>
              <w:ind w:left="108" w:right="407"/>
              <w:rPr>
                <w:sz w:val="20"/>
              </w:rPr>
            </w:pPr>
            <w:r>
              <w:rPr>
                <w:sz w:val="20"/>
              </w:rPr>
              <w:t>The IC is on battery power and VDD &lt; 2.0, which means that the MPU is nearly out of voltage. A reset occurs in 4 cycles of the crystal clock CK32.</w:t>
            </w:r>
          </w:p>
        </w:tc>
      </w:tr>
    </w:tbl>
    <w:p>
      <w:pPr>
        <w:pStyle w:val="BodyText"/>
        <w:spacing w:before="2"/>
        <w:rPr>
          <w:b/>
          <w:sz w:val="30"/>
        </w:rPr>
      </w:pPr>
    </w:p>
    <w:p>
      <w:pPr>
        <w:pStyle w:val="BodyText"/>
        <w:ind w:left="240" w:right="429"/>
      </w:pPr>
      <w:r>
        <w:rPr/>
        <w:t>The response to a system power fault is almost entirely controlled by firmware. During a power failure, system power slowly falls. This fall in power is monitored by internal comparators that cause the hardware to automatically switch over to taking power from the VBAT input. An interrupt notifies the MPU that the part is now battery powered. At this point, it is the MPU’s responsibility to reduce power by slowing the clock rate, disabling the PLL,</w:t>
      </w:r>
      <w:r>
        <w:rPr>
          <w:spacing w:val="-3"/>
        </w:rPr>
        <w:t> </w:t>
      </w:r>
      <w:r>
        <w:rPr/>
        <w:t>etc.</w:t>
      </w:r>
    </w:p>
    <w:p>
      <w:pPr>
        <w:pStyle w:val="BodyText"/>
        <w:spacing w:before="120"/>
        <w:ind w:left="239" w:right="460"/>
      </w:pPr>
      <w:r>
        <w:rPr/>
        <w:t>Precision analog components such as the bandgap reference, the bandgap buffer, and the ADC are powered only by the V3P3A pin and become inaccurate and ultimately unavailable as the V3P3A pin voltage continues to drop (i.e., circuits powered by the V3P3A pin are not backed by the VBAT pin). When the V3P3A pin falls below 2.8 VDC, the ADC clocks are halted and the amplifiers are unbiased. Meanwhile, control bits such as </w:t>
      </w:r>
      <w:r>
        <w:rPr>
          <w:rFonts w:ascii="Times New Roman"/>
          <w:i/>
        </w:rPr>
        <w:t>ADC_E </w:t>
      </w:r>
      <w:r>
        <w:rPr/>
        <w:t>bit </w:t>
      </w:r>
      <w:r>
        <w:rPr>
          <w:rFonts w:ascii="Times New Roman"/>
          <w:i/>
        </w:rPr>
        <w:t>(I/O RAM 0x2704[4]) </w:t>
      </w:r>
      <w:r>
        <w:rPr/>
        <w:t>are not affected, since their I/O RAM storage is powered from the VDD pin (2.5 VDC). The VDD pin is supplied with power through an internal</w:t>
      </w:r>
    </w:p>
    <w:p>
      <w:pPr>
        <w:pStyle w:val="BodyText"/>
        <w:spacing w:before="3"/>
        <w:ind w:left="239" w:right="574"/>
      </w:pPr>
      <w:r>
        <w:rPr/>
        <w:t>2.5 VDC regulator that is connected to the V3P3D pin. In turn, the V3P3D pin is switched to receive power from the VBAT pin when the V3P3SYS pin drops below 3.0 VDC. Note that the V3P3SYS and V3P3A pins are typically tied together at the PCB level.</w:t>
      </w:r>
    </w:p>
    <w:p>
      <w:pPr>
        <w:spacing w:after="0"/>
        <w:sectPr>
          <w:pgSz w:w="12240" w:h="15840"/>
          <w:pgMar w:header="727" w:footer="819" w:top="960" w:bottom="1000" w:left="1200" w:right="1060"/>
        </w:sectPr>
      </w:pPr>
    </w:p>
    <w:p>
      <w:pPr>
        <w:pStyle w:val="BodyText"/>
        <w:spacing w:before="5"/>
        <w:rPr>
          <w:sz w:val="16"/>
        </w:rPr>
      </w:pPr>
    </w:p>
    <w:p>
      <w:pPr>
        <w:pStyle w:val="ListParagraph"/>
        <w:numPr>
          <w:ilvl w:val="2"/>
          <w:numId w:val="25"/>
        </w:numPr>
        <w:tabs>
          <w:tab w:pos="960" w:val="left" w:leader="none"/>
        </w:tabs>
        <w:spacing w:line="240" w:lineRule="auto" w:before="94" w:after="0"/>
        <w:ind w:left="959" w:right="0" w:hanging="720"/>
        <w:jc w:val="both"/>
        <w:rPr>
          <w:b/>
          <w:sz w:val="22"/>
        </w:rPr>
      </w:pPr>
      <w:bookmarkStart w:name="3.3.2 IC Behavior at Low Battery Voltage" w:id="321"/>
      <w:bookmarkEnd w:id="321"/>
      <w:r>
        <w:rPr/>
      </w:r>
      <w:bookmarkStart w:name="_bookmark160" w:id="322"/>
      <w:bookmarkEnd w:id="322"/>
      <w:r>
        <w:rPr/>
      </w:r>
      <w:bookmarkStart w:name="_bookmark160" w:id="323"/>
      <w:bookmarkEnd w:id="323"/>
      <w:r>
        <w:rPr>
          <w:b/>
          <w:sz w:val="22"/>
        </w:rPr>
        <w:t>I</w:t>
      </w:r>
      <w:r>
        <w:rPr>
          <w:b/>
          <w:sz w:val="22"/>
        </w:rPr>
        <w:t>C Behavior at </w:t>
      </w:r>
      <w:r>
        <w:rPr>
          <w:b/>
          <w:spacing w:val="-3"/>
          <w:sz w:val="22"/>
        </w:rPr>
        <w:t>Low </w:t>
      </w:r>
      <w:r>
        <w:rPr>
          <w:b/>
          <w:sz w:val="22"/>
        </w:rPr>
        <w:t>Battery</w:t>
      </w:r>
      <w:r>
        <w:rPr>
          <w:b/>
          <w:spacing w:val="5"/>
          <w:sz w:val="22"/>
        </w:rPr>
        <w:t> </w:t>
      </w:r>
      <w:r>
        <w:rPr>
          <w:b/>
          <w:sz w:val="22"/>
        </w:rPr>
        <w:t>Voltage</w:t>
      </w:r>
    </w:p>
    <w:p>
      <w:pPr>
        <w:pStyle w:val="BodyText"/>
        <w:spacing w:before="121"/>
        <w:ind w:left="240" w:right="545"/>
        <w:jc w:val="both"/>
      </w:pPr>
      <w:r>
        <w:rPr/>
        <w:t>When</w:t>
      </w:r>
      <w:r>
        <w:rPr>
          <w:spacing w:val="-12"/>
        </w:rPr>
        <w:t> </w:t>
      </w:r>
      <w:r>
        <w:rPr>
          <w:spacing w:val="-3"/>
        </w:rPr>
        <w:t>system</w:t>
      </w:r>
      <w:r>
        <w:rPr>
          <w:spacing w:val="-8"/>
        </w:rPr>
        <w:t> </w:t>
      </w:r>
      <w:r>
        <w:rPr/>
        <w:t>power</w:t>
      </w:r>
      <w:r>
        <w:rPr>
          <w:spacing w:val="-9"/>
        </w:rPr>
        <w:t> </w:t>
      </w:r>
      <w:r>
        <w:rPr/>
        <w:t>is</w:t>
      </w:r>
      <w:r>
        <w:rPr>
          <w:spacing w:val="-10"/>
        </w:rPr>
        <w:t> </w:t>
      </w:r>
      <w:r>
        <w:rPr/>
        <w:t>not</w:t>
      </w:r>
      <w:r>
        <w:rPr>
          <w:spacing w:val="-8"/>
        </w:rPr>
        <w:t> </w:t>
      </w:r>
      <w:r>
        <w:rPr>
          <w:spacing w:val="-3"/>
        </w:rPr>
        <w:t>present,</w:t>
      </w:r>
      <w:r>
        <w:rPr>
          <w:spacing w:val="-9"/>
        </w:rPr>
        <w:t> </w:t>
      </w:r>
      <w:r>
        <w:rPr/>
        <w:t>the</w:t>
      </w:r>
      <w:r>
        <w:rPr>
          <w:spacing w:val="-10"/>
        </w:rPr>
        <w:t> </w:t>
      </w:r>
      <w:r>
        <w:rPr/>
        <w:t>71M6543</w:t>
      </w:r>
      <w:r>
        <w:rPr>
          <w:spacing w:val="-12"/>
        </w:rPr>
        <w:t> </w:t>
      </w:r>
      <w:r>
        <w:rPr/>
        <w:t>relies</w:t>
      </w:r>
      <w:r>
        <w:rPr>
          <w:spacing w:val="-8"/>
        </w:rPr>
        <w:t> </w:t>
      </w:r>
      <w:r>
        <w:rPr/>
        <w:t>on</w:t>
      </w:r>
      <w:r>
        <w:rPr>
          <w:spacing w:val="-11"/>
        </w:rPr>
        <w:t> </w:t>
      </w:r>
      <w:r>
        <w:rPr/>
        <w:t>the</w:t>
      </w:r>
      <w:r>
        <w:rPr>
          <w:spacing w:val="-10"/>
        </w:rPr>
        <w:t> </w:t>
      </w:r>
      <w:r>
        <w:rPr/>
        <w:t>VBAT</w:t>
      </w:r>
      <w:r>
        <w:rPr>
          <w:spacing w:val="-9"/>
        </w:rPr>
        <w:t> </w:t>
      </w:r>
      <w:r>
        <w:rPr/>
        <w:t>pin</w:t>
      </w:r>
      <w:r>
        <w:rPr>
          <w:spacing w:val="-12"/>
        </w:rPr>
        <w:t> </w:t>
      </w:r>
      <w:r>
        <w:rPr/>
        <w:t>for</w:t>
      </w:r>
      <w:r>
        <w:rPr>
          <w:spacing w:val="-9"/>
        </w:rPr>
        <w:t> </w:t>
      </w:r>
      <w:r>
        <w:rPr/>
        <w:t>power.</w:t>
      </w:r>
      <w:r>
        <w:rPr>
          <w:spacing w:val="37"/>
        </w:rPr>
        <w:t> </w:t>
      </w:r>
      <w:r>
        <w:rPr/>
        <w:t>If</w:t>
      </w:r>
      <w:r>
        <w:rPr>
          <w:spacing w:val="-9"/>
        </w:rPr>
        <w:t> </w:t>
      </w:r>
      <w:r>
        <w:rPr/>
        <w:t>the</w:t>
      </w:r>
      <w:r>
        <w:rPr>
          <w:spacing w:val="-11"/>
        </w:rPr>
        <w:t> </w:t>
      </w:r>
      <w:r>
        <w:rPr/>
        <w:t>VBAT</w:t>
      </w:r>
      <w:r>
        <w:rPr>
          <w:spacing w:val="-9"/>
        </w:rPr>
        <w:t> </w:t>
      </w:r>
      <w:r>
        <w:rPr/>
        <w:t>voltage</w:t>
      </w:r>
      <w:r>
        <w:rPr>
          <w:spacing w:val="-10"/>
        </w:rPr>
        <w:t> </w:t>
      </w:r>
      <w:r>
        <w:rPr/>
        <w:t>is not</w:t>
      </w:r>
      <w:r>
        <w:rPr>
          <w:spacing w:val="-9"/>
        </w:rPr>
        <w:t> </w:t>
      </w:r>
      <w:r>
        <w:rPr>
          <w:spacing w:val="-3"/>
        </w:rPr>
        <w:t>sufficient</w:t>
      </w:r>
      <w:r>
        <w:rPr>
          <w:spacing w:val="-8"/>
        </w:rPr>
        <w:t> </w:t>
      </w:r>
      <w:r>
        <w:rPr/>
        <w:t>to</w:t>
      </w:r>
      <w:r>
        <w:rPr>
          <w:spacing w:val="-9"/>
        </w:rPr>
        <w:t> </w:t>
      </w:r>
      <w:r>
        <w:rPr/>
        <w:t>maintain</w:t>
      </w:r>
      <w:r>
        <w:rPr>
          <w:spacing w:val="-10"/>
        </w:rPr>
        <w:t> </w:t>
      </w:r>
      <w:r>
        <w:rPr/>
        <w:t>VDD</w:t>
      </w:r>
      <w:r>
        <w:rPr>
          <w:spacing w:val="-10"/>
        </w:rPr>
        <w:t> </w:t>
      </w:r>
      <w:r>
        <w:rPr/>
        <w:t>at</w:t>
      </w:r>
      <w:r>
        <w:rPr>
          <w:spacing w:val="-11"/>
        </w:rPr>
        <w:t> </w:t>
      </w:r>
      <w:r>
        <w:rPr/>
        <w:t>2.0</w:t>
      </w:r>
      <w:r>
        <w:rPr>
          <w:spacing w:val="-9"/>
        </w:rPr>
        <w:t> </w:t>
      </w:r>
      <w:r>
        <w:rPr/>
        <w:t>VDC</w:t>
      </w:r>
      <w:r>
        <w:rPr>
          <w:spacing w:val="-8"/>
        </w:rPr>
        <w:t> </w:t>
      </w:r>
      <w:r>
        <w:rPr/>
        <w:t>or</w:t>
      </w:r>
      <w:r>
        <w:rPr>
          <w:spacing w:val="-9"/>
        </w:rPr>
        <w:t> </w:t>
      </w:r>
      <w:r>
        <w:rPr/>
        <w:t>greater,</w:t>
      </w:r>
      <w:r>
        <w:rPr>
          <w:spacing w:val="-11"/>
        </w:rPr>
        <w:t> </w:t>
      </w:r>
      <w:r>
        <w:rPr/>
        <w:t>the</w:t>
      </w:r>
      <w:r>
        <w:rPr>
          <w:spacing w:val="-9"/>
        </w:rPr>
        <w:t> </w:t>
      </w:r>
      <w:r>
        <w:rPr/>
        <w:t>MPU</w:t>
      </w:r>
      <w:r>
        <w:rPr>
          <w:spacing w:val="-10"/>
        </w:rPr>
        <w:t> </w:t>
      </w:r>
      <w:r>
        <w:rPr/>
        <w:t>cannot</w:t>
      </w:r>
      <w:r>
        <w:rPr>
          <w:spacing w:val="-11"/>
        </w:rPr>
        <w:t> </w:t>
      </w:r>
      <w:r>
        <w:rPr/>
        <w:t>operate</w:t>
      </w:r>
      <w:r>
        <w:rPr>
          <w:spacing w:val="-11"/>
        </w:rPr>
        <w:t> </w:t>
      </w:r>
      <w:r>
        <w:rPr>
          <w:spacing w:val="-3"/>
        </w:rPr>
        <w:t>reliably.</w:t>
      </w:r>
      <w:r>
        <w:rPr>
          <w:spacing w:val="41"/>
        </w:rPr>
        <w:t> </w:t>
      </w:r>
      <w:r>
        <w:rPr/>
        <w:t>Low</w:t>
      </w:r>
      <w:r>
        <w:rPr>
          <w:spacing w:val="-10"/>
        </w:rPr>
        <w:t> </w:t>
      </w:r>
      <w:r>
        <w:rPr/>
        <w:t>VBAT</w:t>
      </w:r>
      <w:r>
        <w:rPr>
          <w:spacing w:val="-9"/>
        </w:rPr>
        <w:t> </w:t>
      </w:r>
      <w:r>
        <w:rPr>
          <w:spacing w:val="-3"/>
        </w:rPr>
        <w:t>voltage </w:t>
      </w:r>
      <w:r>
        <w:rPr/>
        <w:t>can</w:t>
      </w:r>
      <w:r>
        <w:rPr>
          <w:spacing w:val="-11"/>
        </w:rPr>
        <w:t> </w:t>
      </w:r>
      <w:r>
        <w:rPr/>
        <w:t>occur</w:t>
      </w:r>
      <w:r>
        <w:rPr>
          <w:spacing w:val="-10"/>
        </w:rPr>
        <w:t> </w:t>
      </w:r>
      <w:r>
        <w:rPr/>
        <w:t>while</w:t>
      </w:r>
      <w:r>
        <w:rPr>
          <w:spacing w:val="-10"/>
        </w:rPr>
        <w:t> </w:t>
      </w:r>
      <w:r>
        <w:rPr/>
        <w:t>the</w:t>
      </w:r>
      <w:r>
        <w:rPr>
          <w:spacing w:val="-12"/>
        </w:rPr>
        <w:t> </w:t>
      </w:r>
      <w:r>
        <w:rPr/>
        <w:t>part</w:t>
      </w:r>
      <w:r>
        <w:rPr>
          <w:spacing w:val="-10"/>
        </w:rPr>
        <w:t> </w:t>
      </w:r>
      <w:r>
        <w:rPr/>
        <w:t>is</w:t>
      </w:r>
      <w:r>
        <w:rPr>
          <w:spacing w:val="-9"/>
        </w:rPr>
        <w:t> </w:t>
      </w:r>
      <w:r>
        <w:rPr/>
        <w:t>operating</w:t>
      </w:r>
      <w:r>
        <w:rPr>
          <w:spacing w:val="-10"/>
        </w:rPr>
        <w:t> </w:t>
      </w:r>
      <w:r>
        <w:rPr/>
        <w:t>in</w:t>
      </w:r>
      <w:r>
        <w:rPr>
          <w:spacing w:val="-11"/>
        </w:rPr>
        <w:t> </w:t>
      </w:r>
      <w:r>
        <w:rPr/>
        <w:t>BRN</w:t>
      </w:r>
      <w:r>
        <w:rPr>
          <w:spacing w:val="-11"/>
        </w:rPr>
        <w:t> </w:t>
      </w:r>
      <w:r>
        <w:rPr/>
        <w:t>mode,</w:t>
      </w:r>
      <w:r>
        <w:rPr>
          <w:spacing w:val="-13"/>
        </w:rPr>
        <w:t> </w:t>
      </w:r>
      <w:r>
        <w:rPr/>
        <w:t>or</w:t>
      </w:r>
      <w:r>
        <w:rPr>
          <w:spacing w:val="-7"/>
        </w:rPr>
        <w:t> </w:t>
      </w:r>
      <w:r>
        <w:rPr>
          <w:spacing w:val="-3"/>
        </w:rPr>
        <w:t>while</w:t>
      </w:r>
      <w:r>
        <w:rPr>
          <w:spacing w:val="-10"/>
        </w:rPr>
        <w:t> </w:t>
      </w:r>
      <w:r>
        <w:rPr/>
        <w:t>it</w:t>
      </w:r>
      <w:r>
        <w:rPr>
          <w:spacing w:val="-10"/>
        </w:rPr>
        <w:t> </w:t>
      </w:r>
      <w:r>
        <w:rPr/>
        <w:t>is</w:t>
      </w:r>
      <w:r>
        <w:rPr>
          <w:spacing w:val="-10"/>
        </w:rPr>
        <w:t> </w:t>
      </w:r>
      <w:r>
        <w:rPr/>
        <w:t>dormant</w:t>
      </w:r>
      <w:r>
        <w:rPr>
          <w:spacing w:val="-10"/>
        </w:rPr>
        <w:t> </w:t>
      </w:r>
      <w:r>
        <w:rPr/>
        <w:t>in</w:t>
      </w:r>
      <w:r>
        <w:rPr>
          <w:spacing w:val="-10"/>
        </w:rPr>
        <w:t> </w:t>
      </w:r>
      <w:r>
        <w:rPr/>
        <w:t>SLP</w:t>
      </w:r>
      <w:r>
        <w:rPr>
          <w:spacing w:val="-13"/>
        </w:rPr>
        <w:t> </w:t>
      </w:r>
      <w:r>
        <w:rPr/>
        <w:t>or</w:t>
      </w:r>
      <w:r>
        <w:rPr>
          <w:spacing w:val="-9"/>
        </w:rPr>
        <w:t> </w:t>
      </w:r>
      <w:r>
        <w:rPr/>
        <w:t>LCD</w:t>
      </w:r>
      <w:r>
        <w:rPr>
          <w:spacing w:val="-12"/>
        </w:rPr>
        <w:t> </w:t>
      </w:r>
      <w:r>
        <w:rPr/>
        <w:t>mode.</w:t>
      </w:r>
      <w:r>
        <w:rPr>
          <w:spacing w:val="38"/>
        </w:rPr>
        <w:t> </w:t>
      </w:r>
      <w:r>
        <w:rPr/>
        <w:t>Two</w:t>
      </w:r>
      <w:r>
        <w:rPr>
          <w:spacing w:val="-12"/>
        </w:rPr>
        <w:t> </w:t>
      </w:r>
      <w:r>
        <w:rPr/>
        <w:t>cases can be distinguished, depending on MPU</w:t>
      </w:r>
      <w:r>
        <w:rPr>
          <w:spacing w:val="-4"/>
        </w:rPr>
        <w:t> </w:t>
      </w:r>
      <w:r>
        <w:rPr/>
        <w:t>code:</w:t>
      </w:r>
    </w:p>
    <w:p>
      <w:pPr>
        <w:pStyle w:val="ListParagraph"/>
        <w:numPr>
          <w:ilvl w:val="0"/>
          <w:numId w:val="15"/>
        </w:numPr>
        <w:tabs>
          <w:tab w:pos="599" w:val="left" w:leader="none"/>
          <w:tab w:pos="600" w:val="left" w:leader="none"/>
        </w:tabs>
        <w:spacing w:line="240" w:lineRule="auto" w:before="123" w:after="0"/>
        <w:ind w:left="599" w:right="410" w:hanging="360"/>
        <w:jc w:val="left"/>
        <w:rPr>
          <w:sz w:val="20"/>
        </w:rPr>
      </w:pPr>
      <w:r>
        <w:rPr>
          <w:sz w:val="20"/>
        </w:rPr>
        <w:t>Case 1: System power is not present, and the part is waking from SLP or LCD mode.  In this case, the hardware checks the value of VDD to determine if processor operation is possible. If it is not possible, the part configures itself for BRN operation, and holds the processor in reset (WAKE=0). In this</w:t>
      </w:r>
      <w:r>
        <w:rPr>
          <w:spacing w:val="-3"/>
          <w:sz w:val="20"/>
        </w:rPr>
        <w:t> </w:t>
      </w:r>
      <w:r>
        <w:rPr>
          <w:sz w:val="20"/>
        </w:rPr>
        <w:t>mode,</w:t>
      </w:r>
      <w:r>
        <w:rPr>
          <w:spacing w:val="-4"/>
          <w:sz w:val="20"/>
        </w:rPr>
        <w:t> </w:t>
      </w:r>
      <w:r>
        <w:rPr>
          <w:sz w:val="20"/>
        </w:rPr>
        <w:t>VBAT powers</w:t>
      </w:r>
      <w:r>
        <w:rPr>
          <w:spacing w:val="-3"/>
          <w:sz w:val="20"/>
        </w:rPr>
        <w:t> </w:t>
      </w:r>
      <w:r>
        <w:rPr>
          <w:sz w:val="20"/>
        </w:rPr>
        <w:t>the</w:t>
      </w:r>
      <w:r>
        <w:rPr>
          <w:spacing w:val="-3"/>
          <w:sz w:val="20"/>
        </w:rPr>
        <w:t> </w:t>
      </w:r>
      <w:r>
        <w:rPr>
          <w:sz w:val="20"/>
        </w:rPr>
        <w:t>1.0</w:t>
      </w:r>
      <w:r>
        <w:rPr>
          <w:spacing w:val="-1"/>
          <w:sz w:val="20"/>
        </w:rPr>
        <w:t> </w:t>
      </w:r>
      <w:r>
        <w:rPr>
          <w:sz w:val="20"/>
        </w:rPr>
        <w:t>VDC</w:t>
      </w:r>
      <w:r>
        <w:rPr>
          <w:spacing w:val="-2"/>
          <w:sz w:val="20"/>
        </w:rPr>
        <w:t> </w:t>
      </w:r>
      <w:r>
        <w:rPr>
          <w:sz w:val="20"/>
        </w:rPr>
        <w:t>reference</w:t>
      </w:r>
      <w:r>
        <w:rPr>
          <w:spacing w:val="-3"/>
          <w:sz w:val="20"/>
        </w:rPr>
        <w:t> </w:t>
      </w:r>
      <w:r>
        <w:rPr>
          <w:sz w:val="20"/>
        </w:rPr>
        <w:t>for</w:t>
      </w:r>
      <w:r>
        <w:rPr>
          <w:spacing w:val="-3"/>
          <w:sz w:val="20"/>
        </w:rPr>
        <w:t> </w:t>
      </w:r>
      <w:r>
        <w:rPr>
          <w:sz w:val="20"/>
        </w:rPr>
        <w:t>the</w:t>
      </w:r>
      <w:r>
        <w:rPr>
          <w:spacing w:val="-1"/>
          <w:sz w:val="20"/>
        </w:rPr>
        <w:t> </w:t>
      </w:r>
      <w:r>
        <w:rPr>
          <w:sz w:val="20"/>
        </w:rPr>
        <w:t>LCD</w:t>
      </w:r>
      <w:r>
        <w:rPr>
          <w:spacing w:val="-4"/>
          <w:sz w:val="20"/>
        </w:rPr>
        <w:t> </w:t>
      </w:r>
      <w:r>
        <w:rPr>
          <w:sz w:val="20"/>
        </w:rPr>
        <w:t>system,</w:t>
      </w:r>
      <w:r>
        <w:rPr>
          <w:spacing w:val="-4"/>
          <w:sz w:val="20"/>
        </w:rPr>
        <w:t> </w:t>
      </w:r>
      <w:r>
        <w:rPr>
          <w:sz w:val="20"/>
        </w:rPr>
        <w:t>the</w:t>
      </w:r>
      <w:r>
        <w:rPr>
          <w:spacing w:val="-3"/>
          <w:sz w:val="20"/>
        </w:rPr>
        <w:t> </w:t>
      </w:r>
      <w:r>
        <w:rPr>
          <w:sz w:val="20"/>
        </w:rPr>
        <w:t>VDD</w:t>
      </w:r>
      <w:r>
        <w:rPr>
          <w:spacing w:val="-4"/>
          <w:sz w:val="20"/>
        </w:rPr>
        <w:t> </w:t>
      </w:r>
      <w:r>
        <w:rPr>
          <w:sz w:val="20"/>
        </w:rPr>
        <w:t>regulator,</w:t>
      </w:r>
      <w:r>
        <w:rPr>
          <w:spacing w:val="-3"/>
          <w:sz w:val="20"/>
        </w:rPr>
        <w:t> </w:t>
      </w:r>
      <w:r>
        <w:rPr>
          <w:sz w:val="20"/>
        </w:rPr>
        <w:t>the</w:t>
      </w:r>
      <w:r>
        <w:rPr>
          <w:spacing w:val="-4"/>
          <w:sz w:val="20"/>
        </w:rPr>
        <w:t> </w:t>
      </w:r>
      <w:r>
        <w:rPr>
          <w:sz w:val="20"/>
        </w:rPr>
        <w:t>PLL,</w:t>
      </w:r>
      <w:r>
        <w:rPr>
          <w:spacing w:val="-1"/>
          <w:sz w:val="20"/>
        </w:rPr>
        <w:t> </w:t>
      </w:r>
      <w:r>
        <w:rPr>
          <w:sz w:val="20"/>
        </w:rPr>
        <w:t>and the fault comparator. The part remains in this waiting mode until </w:t>
      </w:r>
      <w:r>
        <w:rPr>
          <w:spacing w:val="-3"/>
          <w:sz w:val="20"/>
        </w:rPr>
        <w:t>VDD </w:t>
      </w:r>
      <w:r>
        <w:rPr>
          <w:sz w:val="20"/>
        </w:rPr>
        <w:t>becomes high due to </w:t>
      </w:r>
      <w:r>
        <w:rPr>
          <w:spacing w:val="-3"/>
          <w:sz w:val="20"/>
        </w:rPr>
        <w:t>system </w:t>
      </w:r>
      <w:r>
        <w:rPr>
          <w:sz w:val="20"/>
        </w:rPr>
        <w:t>power being applied or the VBAT battery being replaced or</w:t>
      </w:r>
      <w:r>
        <w:rPr>
          <w:spacing w:val="-8"/>
          <w:sz w:val="20"/>
        </w:rPr>
        <w:t> </w:t>
      </w:r>
      <w:r>
        <w:rPr>
          <w:sz w:val="20"/>
        </w:rPr>
        <w:t>recharged.</w:t>
      </w:r>
    </w:p>
    <w:p>
      <w:pPr>
        <w:pStyle w:val="ListParagraph"/>
        <w:numPr>
          <w:ilvl w:val="0"/>
          <w:numId w:val="15"/>
        </w:numPr>
        <w:tabs>
          <w:tab w:pos="599" w:val="left" w:leader="none"/>
          <w:tab w:pos="600" w:val="left" w:leader="none"/>
        </w:tabs>
        <w:spacing w:line="244" w:lineRule="auto" w:before="33" w:after="0"/>
        <w:ind w:left="599" w:right="652" w:hanging="361"/>
        <w:jc w:val="left"/>
        <w:rPr>
          <w:sz w:val="20"/>
        </w:rPr>
      </w:pPr>
      <w:r>
        <w:rPr>
          <w:sz w:val="20"/>
        </w:rPr>
        <w:t>Case 2: The part is operating under VBAT power and </w:t>
      </w:r>
      <w:r>
        <w:rPr>
          <w:rFonts w:ascii="Times New Roman" w:hAnsi="Times New Roman"/>
          <w:i/>
          <w:sz w:val="20"/>
        </w:rPr>
        <w:t>VSTAT[2:0] (SFR 0xF9[2:0]) </w:t>
      </w:r>
      <w:r>
        <w:rPr>
          <w:sz w:val="20"/>
        </w:rPr>
        <w:t>becomes 101, indicating that VDD falls below 2.0 VDC. In this case, the firmware has two</w:t>
      </w:r>
      <w:r>
        <w:rPr>
          <w:spacing w:val="-19"/>
          <w:sz w:val="20"/>
        </w:rPr>
        <w:t> </w:t>
      </w:r>
      <w:r>
        <w:rPr>
          <w:sz w:val="20"/>
        </w:rPr>
        <w:t>choices:</w:t>
      </w:r>
    </w:p>
    <w:p>
      <w:pPr>
        <w:pStyle w:val="ListParagraph"/>
        <w:numPr>
          <w:ilvl w:val="3"/>
          <w:numId w:val="25"/>
        </w:numPr>
        <w:tabs>
          <w:tab w:pos="960" w:val="left" w:leader="none"/>
        </w:tabs>
        <w:spacing w:line="242" w:lineRule="auto" w:before="31" w:after="0"/>
        <w:ind w:left="959" w:right="415" w:hanging="361"/>
        <w:jc w:val="left"/>
        <w:rPr>
          <w:sz w:val="20"/>
        </w:rPr>
      </w:pPr>
      <w:r>
        <w:rPr>
          <w:sz w:val="20"/>
        </w:rPr>
        <w:t>One choice is to assert the </w:t>
      </w:r>
      <w:r>
        <w:rPr>
          <w:rFonts w:ascii="Times New Roman"/>
          <w:i/>
          <w:sz w:val="20"/>
        </w:rPr>
        <w:t>SLEEP </w:t>
      </w:r>
      <w:r>
        <w:rPr>
          <w:sz w:val="20"/>
        </w:rPr>
        <w:t>bit (</w:t>
      </w:r>
      <w:r>
        <w:rPr>
          <w:rFonts w:ascii="Times New Roman"/>
          <w:i/>
          <w:sz w:val="20"/>
        </w:rPr>
        <w:t>I/O RAM </w:t>
      </w:r>
      <w:r>
        <w:rPr>
          <w:rFonts w:ascii="Times New Roman"/>
          <w:i/>
          <w:spacing w:val="2"/>
          <w:sz w:val="20"/>
        </w:rPr>
        <w:t>0x28B2[7]) </w:t>
      </w:r>
      <w:r>
        <w:rPr>
          <w:sz w:val="20"/>
        </w:rPr>
        <w:t>immediately. This assertion preserves the remaining charge in VBAT. Of course, if the battery voltage is not increased, the 71M6543 enters Case 1 as soon as it tries to wake up.</w:t>
      </w:r>
    </w:p>
    <w:p>
      <w:pPr>
        <w:pStyle w:val="ListParagraph"/>
        <w:numPr>
          <w:ilvl w:val="3"/>
          <w:numId w:val="25"/>
        </w:numPr>
        <w:tabs>
          <w:tab w:pos="961" w:val="left" w:leader="none"/>
        </w:tabs>
        <w:spacing w:line="240" w:lineRule="auto" w:before="0" w:after="0"/>
        <w:ind w:left="960" w:right="392" w:hanging="361"/>
        <w:jc w:val="left"/>
        <w:rPr>
          <w:sz w:val="20"/>
        </w:rPr>
      </w:pPr>
      <w:r>
        <w:rPr>
          <w:sz w:val="20"/>
        </w:rPr>
        <w:t>The alternative choice is to enter the waiting mode described in Case 1 immediately. Specifically, if the firmware does not assert the </w:t>
      </w:r>
      <w:r>
        <w:rPr>
          <w:rFonts w:ascii="Times New Roman" w:hAnsi="Times New Roman"/>
          <w:i/>
          <w:sz w:val="20"/>
        </w:rPr>
        <w:t>SLEEP </w:t>
      </w:r>
      <w:r>
        <w:rPr>
          <w:sz w:val="20"/>
        </w:rPr>
        <w:t>bit, the hardware resets the processor four CE32 clock cycles (i.e. 122 µs) after </w:t>
      </w:r>
      <w:r>
        <w:rPr>
          <w:rFonts w:ascii="Times New Roman" w:hAnsi="Times New Roman"/>
          <w:i/>
          <w:sz w:val="20"/>
        </w:rPr>
        <w:t>VSTAT[2:0] </w:t>
      </w:r>
      <w:r>
        <w:rPr>
          <w:sz w:val="20"/>
        </w:rPr>
        <w:t>becomes 101 and, as described in Case 1, it begins waiting for VDD to become greater than 2.0 VDC. The MPU wakes up when system power returns, or when VDD becomes greater than 2.0</w:t>
      </w:r>
      <w:r>
        <w:rPr>
          <w:spacing w:val="5"/>
          <w:sz w:val="20"/>
        </w:rPr>
        <w:t> </w:t>
      </w:r>
      <w:r>
        <w:rPr>
          <w:sz w:val="20"/>
        </w:rPr>
        <w:t>VDC.</w:t>
      </w:r>
    </w:p>
    <w:p>
      <w:pPr>
        <w:pStyle w:val="BodyText"/>
        <w:spacing w:before="114"/>
        <w:ind w:left="240" w:right="368"/>
      </w:pPr>
      <w:r>
        <w:rPr/>
        <w:t>In</w:t>
      </w:r>
      <w:r>
        <w:rPr>
          <w:spacing w:val="-10"/>
        </w:rPr>
        <w:t> </w:t>
      </w:r>
      <w:r>
        <w:rPr>
          <w:spacing w:val="-3"/>
        </w:rPr>
        <w:t>either</w:t>
      </w:r>
      <w:r>
        <w:rPr>
          <w:spacing w:val="-10"/>
        </w:rPr>
        <w:t> </w:t>
      </w:r>
      <w:r>
        <w:rPr/>
        <w:t>case,</w:t>
      </w:r>
      <w:r>
        <w:rPr>
          <w:spacing w:val="-10"/>
        </w:rPr>
        <w:t> </w:t>
      </w:r>
      <w:r>
        <w:rPr>
          <w:spacing w:val="-3"/>
        </w:rPr>
        <w:t>when</w:t>
      </w:r>
      <w:r>
        <w:rPr>
          <w:spacing w:val="-10"/>
        </w:rPr>
        <w:t> </w:t>
      </w:r>
      <w:r>
        <w:rPr>
          <w:spacing w:val="-3"/>
        </w:rPr>
        <w:t>VDD</w:t>
      </w:r>
      <w:r>
        <w:rPr>
          <w:spacing w:val="-9"/>
        </w:rPr>
        <w:t> </w:t>
      </w:r>
      <w:r>
        <w:rPr>
          <w:spacing w:val="-3"/>
        </w:rPr>
        <w:t>recovers,</w:t>
      </w:r>
      <w:r>
        <w:rPr>
          <w:spacing w:val="-10"/>
        </w:rPr>
        <w:t> </w:t>
      </w:r>
      <w:r>
        <w:rPr/>
        <w:t>and</w:t>
      </w:r>
      <w:r>
        <w:rPr>
          <w:spacing w:val="-10"/>
        </w:rPr>
        <w:t> </w:t>
      </w:r>
      <w:r>
        <w:rPr>
          <w:spacing w:val="-3"/>
        </w:rPr>
        <w:t>when</w:t>
      </w:r>
      <w:r>
        <w:rPr>
          <w:spacing w:val="-10"/>
        </w:rPr>
        <w:t> </w:t>
      </w:r>
      <w:r>
        <w:rPr/>
        <w:t>the</w:t>
      </w:r>
      <w:r>
        <w:rPr>
          <w:spacing w:val="-9"/>
        </w:rPr>
        <w:t> </w:t>
      </w:r>
      <w:r>
        <w:rPr>
          <w:spacing w:val="-3"/>
        </w:rPr>
        <w:t>MPU</w:t>
      </w:r>
      <w:r>
        <w:rPr>
          <w:spacing w:val="-10"/>
        </w:rPr>
        <w:t> </w:t>
      </w:r>
      <w:r>
        <w:rPr/>
        <w:t>wakes</w:t>
      </w:r>
      <w:r>
        <w:rPr>
          <w:spacing w:val="-8"/>
        </w:rPr>
        <w:t> </w:t>
      </w:r>
      <w:r>
        <w:rPr/>
        <w:t>up,</w:t>
      </w:r>
      <w:r>
        <w:rPr>
          <w:spacing w:val="-10"/>
        </w:rPr>
        <w:t> </w:t>
      </w:r>
      <w:r>
        <w:rPr/>
        <w:t>the</w:t>
      </w:r>
      <w:r>
        <w:rPr>
          <w:spacing w:val="-9"/>
        </w:rPr>
        <w:t> </w:t>
      </w:r>
      <w:r>
        <w:rPr>
          <w:rFonts w:ascii="Times New Roman"/>
          <w:i/>
          <w:spacing w:val="-3"/>
        </w:rPr>
        <w:t>WF_BADVDD</w:t>
      </w:r>
      <w:r>
        <w:rPr>
          <w:rFonts w:ascii="Times New Roman"/>
          <w:i/>
          <w:spacing w:val="-5"/>
        </w:rPr>
        <w:t> </w:t>
      </w:r>
      <w:r>
        <w:rPr/>
        <w:t>flag</w:t>
      </w:r>
      <w:r>
        <w:rPr>
          <w:spacing w:val="-10"/>
        </w:rPr>
        <w:t> </w:t>
      </w:r>
      <w:r>
        <w:rPr>
          <w:spacing w:val="-3"/>
        </w:rPr>
        <w:t>(</w:t>
      </w:r>
      <w:r>
        <w:rPr>
          <w:rFonts w:ascii="Times New Roman"/>
          <w:i/>
          <w:spacing w:val="-3"/>
        </w:rPr>
        <w:t>I/O</w:t>
      </w:r>
      <w:r>
        <w:rPr>
          <w:rFonts w:ascii="Times New Roman"/>
          <w:i/>
          <w:spacing w:val="-10"/>
        </w:rPr>
        <w:t> </w:t>
      </w:r>
      <w:r>
        <w:rPr>
          <w:rFonts w:ascii="Times New Roman"/>
          <w:i/>
        </w:rPr>
        <w:t>RAM</w:t>
      </w:r>
      <w:r>
        <w:rPr>
          <w:rFonts w:ascii="Times New Roman"/>
          <w:i/>
          <w:spacing w:val="-12"/>
        </w:rPr>
        <w:t> </w:t>
      </w:r>
      <w:r>
        <w:rPr>
          <w:rFonts w:ascii="Times New Roman"/>
          <w:i/>
          <w:spacing w:val="-3"/>
        </w:rPr>
        <w:t>0x28B0[2]</w:t>
      </w:r>
      <w:r>
        <w:rPr>
          <w:spacing w:val="-3"/>
        </w:rPr>
        <w:t>) </w:t>
      </w:r>
      <w:r>
        <w:rPr/>
        <w:t>can be read to determine that the processor is recovering from a bad VBAT condition. The </w:t>
      </w:r>
      <w:r>
        <w:rPr>
          <w:rFonts w:ascii="Times New Roman"/>
          <w:i/>
        </w:rPr>
        <w:t>WF_BADVDD </w:t>
      </w:r>
      <w:r>
        <w:rPr/>
        <w:t>flag remains set until the next time WAKE falls. This flag is independent of the other </w:t>
      </w:r>
      <w:r>
        <w:rPr>
          <w:spacing w:val="4"/>
        </w:rPr>
        <w:t>WF</w:t>
      </w:r>
      <w:r>
        <w:rPr>
          <w:spacing w:val="-38"/>
        </w:rPr>
        <w:t> </w:t>
      </w:r>
      <w:r>
        <w:rPr/>
        <w:t>flags.</w:t>
      </w:r>
    </w:p>
    <w:p>
      <w:pPr>
        <w:pStyle w:val="BodyText"/>
        <w:spacing w:before="122"/>
        <w:ind w:left="240" w:right="606"/>
      </w:pPr>
      <w:r>
        <w:rPr/>
        <w:t>In all cases, low VBAT voltage does not corrupt RTC operation, the state of NV memory, or the state of non-volatile memory. These circuits depend on the VBAT_RTC pin for power.</w:t>
      </w:r>
    </w:p>
    <w:p>
      <w:pPr>
        <w:pStyle w:val="ListParagraph"/>
        <w:numPr>
          <w:ilvl w:val="2"/>
          <w:numId w:val="25"/>
        </w:numPr>
        <w:tabs>
          <w:tab w:pos="959" w:val="left" w:leader="none"/>
          <w:tab w:pos="960" w:val="left" w:leader="none"/>
        </w:tabs>
        <w:spacing w:line="240" w:lineRule="auto" w:before="118" w:after="0"/>
        <w:ind w:left="959" w:right="0" w:hanging="720"/>
        <w:jc w:val="left"/>
        <w:rPr>
          <w:b/>
          <w:sz w:val="22"/>
        </w:rPr>
      </w:pPr>
      <w:bookmarkStart w:name="3.3.3 Reset Sequence" w:id="324"/>
      <w:bookmarkEnd w:id="324"/>
      <w:r>
        <w:rPr/>
      </w:r>
      <w:bookmarkStart w:name="_bookmark161" w:id="325"/>
      <w:bookmarkEnd w:id="325"/>
      <w:r>
        <w:rPr/>
      </w:r>
      <w:bookmarkStart w:name="_bookmark161" w:id="326"/>
      <w:bookmarkEnd w:id="326"/>
      <w:r>
        <w:rPr>
          <w:b/>
          <w:sz w:val="22"/>
        </w:rPr>
        <w:t>R</w:t>
      </w:r>
      <w:r>
        <w:rPr>
          <w:b/>
          <w:sz w:val="22"/>
        </w:rPr>
        <w:t>eset</w:t>
      </w:r>
      <w:r>
        <w:rPr>
          <w:b/>
          <w:spacing w:val="1"/>
          <w:sz w:val="22"/>
        </w:rPr>
        <w:t> </w:t>
      </w:r>
      <w:r>
        <w:rPr>
          <w:b/>
          <w:sz w:val="22"/>
        </w:rPr>
        <w:t>Sequence</w:t>
      </w:r>
    </w:p>
    <w:p>
      <w:pPr>
        <w:pStyle w:val="BodyText"/>
        <w:spacing w:before="121"/>
        <w:ind w:left="239" w:right="407"/>
      </w:pPr>
      <w:r>
        <w:rPr/>
        <w:t>When the RESET pin is pulled high, all digital activity in the chip stops, with the exception of the oscillator and RTC. Additionally, all I/O RAM bits are forced to their RST state. A reliable reset does not occur until RESET has been high at least for 2 µs. Note that TMUX and the RTC are not reset unless the TEST pin is pulled high while RESET is</w:t>
      </w:r>
      <w:r>
        <w:rPr>
          <w:spacing w:val="1"/>
        </w:rPr>
        <w:t> </w:t>
      </w:r>
      <w:r>
        <w:rPr/>
        <w:t>high.</w:t>
      </w:r>
    </w:p>
    <w:p>
      <w:pPr>
        <w:pStyle w:val="BodyText"/>
        <w:spacing w:line="244" w:lineRule="auto" w:before="117"/>
        <w:ind w:left="239" w:right="751"/>
      </w:pPr>
      <w:r>
        <w:rPr/>
        <w:t>The </w:t>
      </w:r>
      <w:r>
        <w:rPr>
          <w:rFonts w:ascii="Times New Roman"/>
          <w:i/>
        </w:rPr>
        <w:t>RESET </w:t>
      </w:r>
      <w:r>
        <w:rPr/>
        <w:t>control bit (</w:t>
      </w:r>
      <w:r>
        <w:rPr>
          <w:rFonts w:ascii="Times New Roman"/>
          <w:i/>
        </w:rPr>
        <w:t>I/O RAM 0x 2200[3]</w:t>
      </w:r>
      <w:r>
        <w:rPr/>
        <w:t>) performs an identical reset to the RESET pin except that a significantly shorter reset timer is used.</w:t>
      </w:r>
    </w:p>
    <w:p>
      <w:pPr>
        <w:pStyle w:val="BodyText"/>
        <w:spacing w:before="113"/>
        <w:ind w:left="239" w:right="538"/>
      </w:pPr>
      <w:r>
        <w:rPr/>
        <w:t>Once initiated, the reset sequence waits until the reset timer times out. The time out occurs in 4100 CE32 </w:t>
      </w:r>
      <w:r>
        <w:rPr>
          <w:spacing w:val="2"/>
        </w:rPr>
        <w:t>cycles (125 </w:t>
      </w:r>
      <w:r>
        <w:rPr>
          <w:spacing w:val="3"/>
        </w:rPr>
        <w:t>ms), </w:t>
      </w:r>
      <w:r>
        <w:rPr/>
        <w:t>at which </w:t>
      </w:r>
      <w:r>
        <w:rPr>
          <w:spacing w:val="2"/>
        </w:rPr>
        <w:t>time </w:t>
      </w:r>
      <w:r>
        <w:rPr/>
        <w:t>the </w:t>
      </w:r>
      <w:r>
        <w:rPr>
          <w:spacing w:val="2"/>
        </w:rPr>
        <w:t>MPU begins executing </w:t>
      </w:r>
      <w:r>
        <w:rPr/>
        <w:t>its </w:t>
      </w:r>
      <w:r>
        <w:rPr>
          <w:spacing w:val="2"/>
        </w:rPr>
        <w:t>pre-boot </w:t>
      </w:r>
      <w:r>
        <w:rPr/>
        <w:t>and boot </w:t>
      </w:r>
      <w:r>
        <w:rPr>
          <w:spacing w:val="2"/>
        </w:rPr>
        <w:t>sequences from </w:t>
      </w:r>
      <w:r>
        <w:rPr/>
        <w:t>address 0x0000. See </w:t>
      </w:r>
      <w:hyperlink w:history="true" w:anchor="_bookmark95">
        <w:r>
          <w:rPr>
            <w:color w:val="0000FF"/>
          </w:rPr>
          <w:t>2.5.1.1 </w:t>
        </w:r>
      </w:hyperlink>
      <w:r>
        <w:rPr/>
        <w:t>for a detailed description of the pre-boot and boot</w:t>
      </w:r>
      <w:r>
        <w:rPr>
          <w:spacing w:val="-19"/>
        </w:rPr>
        <w:t> </w:t>
      </w:r>
      <w:r>
        <w:rPr/>
        <w:t>sequences.</w:t>
      </w:r>
    </w:p>
    <w:p>
      <w:pPr>
        <w:pStyle w:val="BodyText"/>
        <w:spacing w:before="122"/>
        <w:ind w:left="238" w:right="407"/>
      </w:pPr>
      <w:r>
        <w:rPr/>
        <w:t>If system power is not present, the reset timer duration is two CE32 cycles, at which time the MPU begins executing in BRN mode, starting at address 0x0000.</w:t>
      </w:r>
    </w:p>
    <w:p>
      <w:pPr>
        <w:pStyle w:val="BodyText"/>
        <w:spacing w:before="120"/>
        <w:ind w:left="238" w:right="471"/>
      </w:pPr>
      <w:r>
        <w:rPr/>
        <w:t>A softer form of reset is </w:t>
      </w:r>
      <w:r>
        <w:rPr>
          <w:spacing w:val="-3"/>
        </w:rPr>
        <w:t>initiated </w:t>
      </w:r>
      <w:r>
        <w:rPr/>
        <w:t>when the </w:t>
      </w:r>
      <w:r>
        <w:rPr>
          <w:spacing w:val="-3"/>
        </w:rPr>
        <w:t>E_RST </w:t>
      </w:r>
      <w:r>
        <w:rPr/>
        <w:t>pin of the ICE interface is </w:t>
      </w:r>
      <w:r>
        <w:rPr>
          <w:spacing w:val="-3"/>
        </w:rPr>
        <w:t>pulled </w:t>
      </w:r>
      <w:r>
        <w:rPr/>
        <w:t>low. This event </w:t>
      </w:r>
      <w:r>
        <w:rPr>
          <w:spacing w:val="-3"/>
        </w:rPr>
        <w:t>causes </w:t>
      </w:r>
      <w:r>
        <w:rPr/>
        <w:t>the MPU and other registers in the MPU core to be </w:t>
      </w:r>
      <w:r>
        <w:rPr>
          <w:spacing w:val="2"/>
        </w:rPr>
        <w:t>reset </w:t>
      </w:r>
      <w:r>
        <w:rPr/>
        <w:t>but does not reset the remainder of the 71M6543. It does not trigger the reset sequence. This type of reset is intended to reset the MPU program, but not to make other changes to the chip’s state.</w:t>
      </w:r>
    </w:p>
    <w:p>
      <w:pPr>
        <w:pStyle w:val="ListParagraph"/>
        <w:numPr>
          <w:ilvl w:val="2"/>
          <w:numId w:val="25"/>
        </w:numPr>
        <w:tabs>
          <w:tab w:pos="959" w:val="left" w:leader="none"/>
          <w:tab w:pos="960" w:val="left" w:leader="none"/>
        </w:tabs>
        <w:spacing w:line="240" w:lineRule="auto" w:before="117" w:after="0"/>
        <w:ind w:left="959" w:right="0" w:hanging="720"/>
        <w:jc w:val="left"/>
        <w:rPr>
          <w:b/>
          <w:sz w:val="22"/>
        </w:rPr>
      </w:pPr>
      <w:bookmarkStart w:name="3.3.4 Watchdog Timer (WDT) Reset" w:id="327"/>
      <w:bookmarkEnd w:id="327"/>
      <w:r>
        <w:rPr/>
      </w:r>
      <w:bookmarkStart w:name="_bookmark162" w:id="328"/>
      <w:bookmarkEnd w:id="328"/>
      <w:r>
        <w:rPr/>
      </w:r>
      <w:bookmarkStart w:name="_bookmark162" w:id="329"/>
      <w:bookmarkEnd w:id="329"/>
      <w:r>
        <w:rPr>
          <w:b/>
          <w:sz w:val="22"/>
        </w:rPr>
        <w:t>W</w:t>
      </w:r>
      <w:r>
        <w:rPr>
          <w:b/>
          <w:sz w:val="22"/>
        </w:rPr>
        <w:t>atchdog Timer (WDT)</w:t>
      </w:r>
      <w:r>
        <w:rPr>
          <w:b/>
          <w:spacing w:val="-5"/>
          <w:sz w:val="22"/>
        </w:rPr>
        <w:t> </w:t>
      </w:r>
      <w:r>
        <w:rPr>
          <w:b/>
          <w:sz w:val="22"/>
        </w:rPr>
        <w:t>Reset</w:t>
      </w:r>
    </w:p>
    <w:p>
      <w:pPr>
        <w:pStyle w:val="BodyText"/>
        <w:spacing w:before="121"/>
        <w:ind w:left="240"/>
      </w:pPr>
      <w:r>
        <w:rPr/>
        <w:t>The watchdog timer (WDT) is described in </w:t>
      </w:r>
      <w:hyperlink w:history="true" w:anchor="_bookmark144">
        <w:r>
          <w:rPr>
            <w:color w:val="0000FF"/>
          </w:rPr>
          <w:t>2.5.13</w:t>
        </w:r>
        <w:r>
          <w:rPr/>
          <w:t>.</w:t>
        </w:r>
      </w:hyperlink>
    </w:p>
    <w:p>
      <w:pPr>
        <w:pStyle w:val="BodyText"/>
        <w:spacing w:before="118"/>
        <w:ind w:left="240" w:right="575"/>
        <w:jc w:val="both"/>
      </w:pPr>
      <w:r>
        <w:rPr/>
        <w:t>A</w:t>
      </w:r>
      <w:r>
        <w:rPr>
          <w:spacing w:val="-13"/>
        </w:rPr>
        <w:t> </w:t>
      </w:r>
      <w:r>
        <w:rPr/>
        <w:t>status</w:t>
      </w:r>
      <w:r>
        <w:rPr>
          <w:spacing w:val="-10"/>
        </w:rPr>
        <w:t> </w:t>
      </w:r>
      <w:r>
        <w:rPr/>
        <w:t>bit,</w:t>
      </w:r>
      <w:r>
        <w:rPr>
          <w:spacing w:val="-10"/>
        </w:rPr>
        <w:t> </w:t>
      </w:r>
      <w:r>
        <w:rPr>
          <w:rFonts w:ascii="Times New Roman"/>
          <w:i/>
        </w:rPr>
        <w:t>WF_OVF</w:t>
      </w:r>
      <w:r>
        <w:rPr>
          <w:rFonts w:ascii="Times New Roman"/>
          <w:i/>
          <w:spacing w:val="-8"/>
        </w:rPr>
        <w:t> </w:t>
      </w:r>
      <w:r>
        <w:rPr>
          <w:rFonts w:ascii="Times New Roman"/>
          <w:i/>
          <w:spacing w:val="-3"/>
        </w:rPr>
        <w:t>(I/O</w:t>
      </w:r>
      <w:r>
        <w:rPr>
          <w:rFonts w:ascii="Times New Roman"/>
          <w:i/>
          <w:spacing w:val="-11"/>
        </w:rPr>
        <w:t> </w:t>
      </w:r>
      <w:r>
        <w:rPr>
          <w:rFonts w:ascii="Times New Roman"/>
          <w:i/>
        </w:rPr>
        <w:t>RAM</w:t>
      </w:r>
      <w:r>
        <w:rPr>
          <w:rFonts w:ascii="Times New Roman"/>
          <w:i/>
          <w:spacing w:val="-11"/>
        </w:rPr>
        <w:t> </w:t>
      </w:r>
      <w:r>
        <w:rPr>
          <w:rFonts w:ascii="Times New Roman"/>
          <w:i/>
        </w:rPr>
        <w:t>0x28B0[4])</w:t>
      </w:r>
      <w:r>
        <w:rPr/>
        <w:t>,</w:t>
      </w:r>
      <w:r>
        <w:rPr>
          <w:spacing w:val="-12"/>
        </w:rPr>
        <w:t> </w:t>
      </w:r>
      <w:r>
        <w:rPr/>
        <w:t>is</w:t>
      </w:r>
      <w:r>
        <w:rPr>
          <w:spacing w:val="-11"/>
        </w:rPr>
        <w:t> </w:t>
      </w:r>
      <w:r>
        <w:rPr/>
        <w:t>set</w:t>
      </w:r>
      <w:r>
        <w:rPr>
          <w:spacing w:val="-8"/>
        </w:rPr>
        <w:t> </w:t>
      </w:r>
      <w:r>
        <w:rPr/>
        <w:t>when</w:t>
      </w:r>
      <w:r>
        <w:rPr>
          <w:spacing w:val="-10"/>
        </w:rPr>
        <w:t> </w:t>
      </w:r>
      <w:r>
        <w:rPr/>
        <w:t>a</w:t>
      </w:r>
      <w:r>
        <w:rPr>
          <w:spacing w:val="-15"/>
        </w:rPr>
        <w:t> </w:t>
      </w:r>
      <w:r>
        <w:rPr/>
        <w:t>WDT</w:t>
      </w:r>
      <w:r>
        <w:rPr>
          <w:spacing w:val="-10"/>
        </w:rPr>
        <w:t> </w:t>
      </w:r>
      <w:r>
        <w:rPr/>
        <w:t>overflow</w:t>
      </w:r>
      <w:r>
        <w:rPr>
          <w:spacing w:val="-11"/>
        </w:rPr>
        <w:t> </w:t>
      </w:r>
      <w:r>
        <w:rPr/>
        <w:t>occurs.</w:t>
      </w:r>
      <w:r>
        <w:rPr>
          <w:spacing w:val="38"/>
        </w:rPr>
        <w:t> </w:t>
      </w:r>
      <w:r>
        <w:rPr>
          <w:spacing w:val="-3"/>
        </w:rPr>
        <w:t>Similar</w:t>
      </w:r>
      <w:r>
        <w:rPr>
          <w:spacing w:val="-12"/>
        </w:rPr>
        <w:t> </w:t>
      </w:r>
      <w:r>
        <w:rPr/>
        <w:t>to</w:t>
      </w:r>
      <w:r>
        <w:rPr>
          <w:spacing w:val="-12"/>
        </w:rPr>
        <w:t> </w:t>
      </w:r>
      <w:r>
        <w:rPr/>
        <w:t>the</w:t>
      </w:r>
      <w:r>
        <w:rPr>
          <w:spacing w:val="-11"/>
        </w:rPr>
        <w:t> </w:t>
      </w:r>
      <w:r>
        <w:rPr/>
        <w:t>other</w:t>
      </w:r>
      <w:r>
        <w:rPr>
          <w:spacing w:val="-7"/>
        </w:rPr>
        <w:t> </w:t>
      </w:r>
      <w:r>
        <w:rPr/>
        <w:t>wake </w:t>
      </w:r>
      <w:r>
        <w:rPr>
          <w:spacing w:val="-3"/>
        </w:rPr>
        <w:t>flags,</w:t>
      </w:r>
      <w:r>
        <w:rPr>
          <w:spacing w:val="-10"/>
        </w:rPr>
        <w:t> </w:t>
      </w:r>
      <w:r>
        <w:rPr/>
        <w:t>this</w:t>
      </w:r>
      <w:r>
        <w:rPr>
          <w:spacing w:val="-8"/>
        </w:rPr>
        <w:t> </w:t>
      </w:r>
      <w:r>
        <w:rPr/>
        <w:t>bit</w:t>
      </w:r>
      <w:r>
        <w:rPr>
          <w:spacing w:val="-9"/>
        </w:rPr>
        <w:t> </w:t>
      </w:r>
      <w:r>
        <w:rPr/>
        <w:t>is</w:t>
      </w:r>
      <w:r>
        <w:rPr>
          <w:spacing w:val="-11"/>
        </w:rPr>
        <w:t> </w:t>
      </w:r>
      <w:r>
        <w:rPr/>
        <w:t>powered</w:t>
      </w:r>
      <w:r>
        <w:rPr>
          <w:spacing w:val="-10"/>
        </w:rPr>
        <w:t> </w:t>
      </w:r>
      <w:r>
        <w:rPr/>
        <w:t>by</w:t>
      </w:r>
      <w:r>
        <w:rPr>
          <w:spacing w:val="-13"/>
        </w:rPr>
        <w:t> </w:t>
      </w:r>
      <w:r>
        <w:rPr/>
        <w:t>the</w:t>
      </w:r>
      <w:r>
        <w:rPr>
          <w:spacing w:val="-10"/>
        </w:rPr>
        <w:t> </w:t>
      </w:r>
      <w:r>
        <w:rPr/>
        <w:t>non-volatile</w:t>
      </w:r>
      <w:r>
        <w:rPr>
          <w:spacing w:val="-12"/>
        </w:rPr>
        <w:t> </w:t>
      </w:r>
      <w:r>
        <w:rPr/>
        <w:t>supply</w:t>
      </w:r>
      <w:r>
        <w:rPr>
          <w:spacing w:val="-12"/>
        </w:rPr>
        <w:t> </w:t>
      </w:r>
      <w:r>
        <w:rPr/>
        <w:t>and</w:t>
      </w:r>
      <w:r>
        <w:rPr>
          <w:spacing w:val="-12"/>
        </w:rPr>
        <w:t> </w:t>
      </w:r>
      <w:r>
        <w:rPr/>
        <w:t>can</w:t>
      </w:r>
      <w:r>
        <w:rPr>
          <w:spacing w:val="-10"/>
        </w:rPr>
        <w:t> </w:t>
      </w:r>
      <w:r>
        <w:rPr/>
        <w:t>be</w:t>
      </w:r>
      <w:r>
        <w:rPr>
          <w:spacing w:val="-11"/>
        </w:rPr>
        <w:t> </w:t>
      </w:r>
      <w:r>
        <w:rPr/>
        <w:t>read</w:t>
      </w:r>
      <w:r>
        <w:rPr>
          <w:spacing w:val="-10"/>
        </w:rPr>
        <w:t> </w:t>
      </w:r>
      <w:r>
        <w:rPr/>
        <w:t>by</w:t>
      </w:r>
      <w:r>
        <w:rPr>
          <w:spacing w:val="-14"/>
        </w:rPr>
        <w:t> </w:t>
      </w:r>
      <w:r>
        <w:rPr/>
        <w:t>the</w:t>
      </w:r>
      <w:r>
        <w:rPr>
          <w:spacing w:val="-12"/>
        </w:rPr>
        <w:t> </w:t>
      </w:r>
      <w:r>
        <w:rPr/>
        <w:t>MPU</w:t>
      </w:r>
      <w:r>
        <w:rPr>
          <w:spacing w:val="-11"/>
        </w:rPr>
        <w:t> </w:t>
      </w:r>
      <w:r>
        <w:rPr/>
        <w:t>to</w:t>
      </w:r>
      <w:r>
        <w:rPr>
          <w:spacing w:val="-10"/>
        </w:rPr>
        <w:t> </w:t>
      </w:r>
      <w:r>
        <w:rPr/>
        <w:t>determine</w:t>
      </w:r>
      <w:r>
        <w:rPr>
          <w:spacing w:val="-11"/>
        </w:rPr>
        <w:t> </w:t>
      </w:r>
      <w:r>
        <w:rPr/>
        <w:t>if</w:t>
      </w:r>
      <w:r>
        <w:rPr>
          <w:spacing w:val="-9"/>
        </w:rPr>
        <w:t> </w:t>
      </w:r>
      <w:r>
        <w:rPr/>
        <w:t>the</w:t>
      </w:r>
      <w:r>
        <w:rPr>
          <w:spacing w:val="-12"/>
        </w:rPr>
        <w:t> </w:t>
      </w:r>
      <w:r>
        <w:rPr/>
        <w:t>part</w:t>
      </w:r>
      <w:r>
        <w:rPr>
          <w:spacing w:val="-9"/>
        </w:rPr>
        <w:t> </w:t>
      </w:r>
      <w:r>
        <w:rPr/>
        <w:t>is </w:t>
      </w:r>
      <w:r>
        <w:rPr>
          <w:spacing w:val="-3"/>
        </w:rPr>
        <w:t>initializing </w:t>
      </w:r>
      <w:r>
        <w:rPr/>
        <w:t>after a </w:t>
      </w:r>
      <w:r>
        <w:rPr>
          <w:spacing w:val="4"/>
        </w:rPr>
        <w:t>WD </w:t>
      </w:r>
      <w:r>
        <w:rPr/>
        <w:t>overflow event or after a power-up. The </w:t>
      </w:r>
      <w:r>
        <w:rPr>
          <w:rFonts w:ascii="Times New Roman"/>
          <w:i/>
        </w:rPr>
        <w:t>WF_OVF </w:t>
      </w:r>
      <w:r>
        <w:rPr/>
        <w:t>bit is cleared by the RESET</w:t>
      </w:r>
      <w:r>
        <w:rPr>
          <w:spacing w:val="14"/>
        </w:rPr>
        <w:t> </w:t>
      </w:r>
      <w:r>
        <w:rPr/>
        <w:t>pin.</w:t>
      </w:r>
    </w:p>
    <w:p>
      <w:pPr>
        <w:pStyle w:val="BodyText"/>
        <w:spacing w:before="122"/>
        <w:ind w:left="240" w:right="401"/>
      </w:pPr>
      <w:r>
        <w:rPr/>
        <w:t>There is no internal digital state that could deactivate the WDT. For debug purposes, however, the WDT can be disabled by raising the ICE_E pin to 3.3 VDC.</w:t>
      </w:r>
    </w:p>
    <w:p>
      <w:pPr>
        <w:spacing w:after="0"/>
        <w:sectPr>
          <w:pgSz w:w="12240" w:h="15840"/>
          <w:pgMar w:header="727" w:footer="819" w:top="960" w:bottom="1000" w:left="1200" w:right="1060"/>
        </w:sectPr>
      </w:pPr>
    </w:p>
    <w:p>
      <w:pPr>
        <w:pStyle w:val="BodyText"/>
        <w:spacing w:before="6"/>
        <w:rPr>
          <w:sz w:val="16"/>
        </w:rPr>
      </w:pPr>
    </w:p>
    <w:p>
      <w:pPr>
        <w:pStyle w:val="BodyText"/>
        <w:spacing w:before="93"/>
        <w:ind w:left="239" w:right="805"/>
        <w:jc w:val="both"/>
      </w:pPr>
      <w:r>
        <w:rPr/>
        <w:t>In normal operation, the WDT is reset by periodically writing a one to the </w:t>
      </w:r>
      <w:r>
        <w:rPr>
          <w:rFonts w:ascii="Times New Roman"/>
          <w:i/>
        </w:rPr>
        <w:t>WD_RST </w:t>
      </w:r>
      <w:r>
        <w:rPr/>
        <w:t>control bit </w:t>
      </w:r>
      <w:r>
        <w:rPr>
          <w:rFonts w:ascii="Times New Roman"/>
          <w:i/>
        </w:rPr>
        <w:t>I/O RAM </w:t>
      </w:r>
      <w:r>
        <w:rPr>
          <w:rFonts w:ascii="Times New Roman"/>
          <w:i/>
        </w:rPr>
        <w:t>0x28B4[7])</w:t>
      </w:r>
      <w:r>
        <w:rPr/>
        <w:t>. The watchdog timer is also reset when the 71M6543 wakes from LCD or SLP mode, and when ICE_E=1.</w:t>
      </w:r>
    </w:p>
    <w:p>
      <w:pPr>
        <w:pStyle w:val="BodyText"/>
      </w:pPr>
    </w:p>
    <w:p>
      <w:pPr>
        <w:pStyle w:val="ListParagraph"/>
        <w:numPr>
          <w:ilvl w:val="1"/>
          <w:numId w:val="26"/>
        </w:numPr>
        <w:tabs>
          <w:tab w:pos="959" w:val="left" w:leader="none"/>
          <w:tab w:pos="960" w:val="left" w:leader="none"/>
        </w:tabs>
        <w:spacing w:line="240" w:lineRule="auto" w:before="0" w:after="0"/>
        <w:ind w:left="960" w:right="0" w:hanging="720"/>
        <w:jc w:val="left"/>
        <w:rPr>
          <w:b/>
          <w:sz w:val="24"/>
        </w:rPr>
      </w:pPr>
      <w:bookmarkStart w:name="3.4 Wake-Up Behavior" w:id="330"/>
      <w:bookmarkEnd w:id="330"/>
      <w:r>
        <w:rPr/>
      </w:r>
      <w:bookmarkStart w:name="_bookmark163" w:id="331"/>
      <w:bookmarkEnd w:id="331"/>
      <w:r>
        <w:rPr/>
      </w:r>
      <w:bookmarkStart w:name="_bookmark163" w:id="332"/>
      <w:bookmarkEnd w:id="332"/>
      <w:r>
        <w:rPr>
          <w:b/>
          <w:sz w:val="24"/>
        </w:rPr>
        <w:t>W</w:t>
      </w:r>
      <w:r>
        <w:rPr>
          <w:b/>
          <w:sz w:val="24"/>
        </w:rPr>
        <w:t>ake-Up</w:t>
      </w:r>
      <w:r>
        <w:rPr>
          <w:b/>
          <w:spacing w:val="-1"/>
          <w:sz w:val="24"/>
        </w:rPr>
        <w:t> </w:t>
      </w:r>
      <w:r>
        <w:rPr>
          <w:b/>
          <w:sz w:val="24"/>
        </w:rPr>
        <w:t>Behavior</w:t>
      </w:r>
    </w:p>
    <w:p>
      <w:pPr>
        <w:pStyle w:val="BodyText"/>
        <w:spacing w:before="122"/>
        <w:ind w:left="239" w:right="504"/>
        <w:jc w:val="both"/>
      </w:pPr>
      <w:r>
        <w:rPr/>
        <w:t>As described above, the part always wakes up in MSN mode when system power is restored. As stated in</w:t>
      </w:r>
      <w:r>
        <w:rPr>
          <w:spacing w:val="35"/>
        </w:rPr>
        <w:t> </w:t>
      </w:r>
      <w:hyperlink w:history="true" w:anchor="_bookmark151">
        <w:r>
          <w:rPr>
            <w:color w:val="0000FF"/>
          </w:rPr>
          <w:t>3.2</w:t>
        </w:r>
        <w:r>
          <w:rPr>
            <w:color w:val="0000FF"/>
            <w:spacing w:val="-7"/>
          </w:rPr>
          <w:t> </w:t>
        </w:r>
      </w:hyperlink>
      <w:hyperlink w:history="true" w:anchor="_bookmark151">
        <w:r>
          <w:rPr>
            <w:color w:val="0000FF"/>
          </w:rPr>
          <w:t>Battery</w:t>
        </w:r>
        <w:r>
          <w:rPr>
            <w:color w:val="0000FF"/>
            <w:spacing w:val="-8"/>
          </w:rPr>
          <w:t> </w:t>
        </w:r>
        <w:r>
          <w:rPr>
            <w:color w:val="0000FF"/>
          </w:rPr>
          <w:t>Modes,</w:t>
        </w:r>
        <w:r>
          <w:rPr>
            <w:color w:val="0000FF"/>
            <w:spacing w:val="-7"/>
          </w:rPr>
          <w:t> </w:t>
        </w:r>
      </w:hyperlink>
      <w:r>
        <w:rPr/>
        <w:t>transitions</w:t>
      </w:r>
      <w:r>
        <w:rPr>
          <w:spacing w:val="-8"/>
        </w:rPr>
        <w:t> </w:t>
      </w:r>
      <w:r>
        <w:rPr/>
        <w:t>from</w:t>
      </w:r>
      <w:r>
        <w:rPr>
          <w:spacing w:val="-6"/>
        </w:rPr>
        <w:t> </w:t>
      </w:r>
      <w:r>
        <w:rPr>
          <w:spacing w:val="-3"/>
        </w:rPr>
        <w:t>both</w:t>
      </w:r>
      <w:r>
        <w:rPr>
          <w:spacing w:val="-8"/>
        </w:rPr>
        <w:t> </w:t>
      </w:r>
      <w:r>
        <w:rPr/>
        <w:t>LCD</w:t>
      </w:r>
      <w:r>
        <w:rPr>
          <w:spacing w:val="-7"/>
        </w:rPr>
        <w:t> </w:t>
      </w:r>
      <w:r>
        <w:rPr/>
        <w:t>and</w:t>
      </w:r>
      <w:r>
        <w:rPr>
          <w:spacing w:val="-8"/>
        </w:rPr>
        <w:t> </w:t>
      </w:r>
      <w:r>
        <w:rPr/>
        <w:t>SLP</w:t>
      </w:r>
      <w:r>
        <w:rPr>
          <w:spacing w:val="-8"/>
        </w:rPr>
        <w:t> </w:t>
      </w:r>
      <w:r>
        <w:rPr/>
        <w:t>mode</w:t>
      </w:r>
      <w:r>
        <w:rPr>
          <w:spacing w:val="-10"/>
        </w:rPr>
        <w:t> </w:t>
      </w:r>
      <w:r>
        <w:rPr/>
        <w:t>to</w:t>
      </w:r>
      <w:r>
        <w:rPr>
          <w:spacing w:val="-8"/>
        </w:rPr>
        <w:t> </w:t>
      </w:r>
      <w:r>
        <w:rPr/>
        <w:t>BRN</w:t>
      </w:r>
      <w:r>
        <w:rPr>
          <w:spacing w:val="-9"/>
        </w:rPr>
        <w:t> </w:t>
      </w:r>
      <w:r>
        <w:rPr/>
        <w:t>mode</w:t>
      </w:r>
      <w:r>
        <w:rPr>
          <w:spacing w:val="-10"/>
        </w:rPr>
        <w:t> </w:t>
      </w:r>
      <w:r>
        <w:rPr/>
        <w:t>can</w:t>
      </w:r>
      <w:r>
        <w:rPr>
          <w:spacing w:val="-6"/>
        </w:rPr>
        <w:t> </w:t>
      </w:r>
      <w:r>
        <w:rPr/>
        <w:t>be</w:t>
      </w:r>
      <w:r>
        <w:rPr>
          <w:spacing w:val="-8"/>
        </w:rPr>
        <w:t> </w:t>
      </w:r>
      <w:r>
        <w:rPr>
          <w:spacing w:val="-3"/>
        </w:rPr>
        <w:t>initiated</w:t>
      </w:r>
      <w:r>
        <w:rPr>
          <w:spacing w:val="-8"/>
        </w:rPr>
        <w:t> </w:t>
      </w:r>
      <w:r>
        <w:rPr/>
        <w:t>by</w:t>
      </w:r>
      <w:r>
        <w:rPr>
          <w:spacing w:val="-11"/>
        </w:rPr>
        <w:t> </w:t>
      </w:r>
      <w:r>
        <w:rPr/>
        <w:t>a</w:t>
      </w:r>
      <w:r>
        <w:rPr>
          <w:spacing w:val="-8"/>
        </w:rPr>
        <w:t> </w:t>
      </w:r>
      <w:r>
        <w:rPr/>
        <w:t>wake- up</w:t>
      </w:r>
      <w:r>
        <w:rPr>
          <w:spacing w:val="-7"/>
        </w:rPr>
        <w:t> </w:t>
      </w:r>
      <w:r>
        <w:rPr/>
        <w:t>timer</w:t>
      </w:r>
      <w:r>
        <w:rPr>
          <w:spacing w:val="-3"/>
        </w:rPr>
        <w:t> </w:t>
      </w:r>
      <w:r>
        <w:rPr/>
        <w:t>timeout,</w:t>
      </w:r>
      <w:r>
        <w:rPr>
          <w:spacing w:val="-4"/>
        </w:rPr>
        <w:t> </w:t>
      </w:r>
      <w:r>
        <w:rPr/>
        <w:t>when</w:t>
      </w:r>
      <w:r>
        <w:rPr>
          <w:spacing w:val="-2"/>
        </w:rPr>
        <w:t> </w:t>
      </w:r>
      <w:r>
        <w:rPr/>
        <w:t>the</w:t>
      </w:r>
      <w:r>
        <w:rPr>
          <w:spacing w:val="-1"/>
        </w:rPr>
        <w:t> </w:t>
      </w:r>
      <w:r>
        <w:rPr/>
        <w:t>pushbutton</w:t>
      </w:r>
      <w:r>
        <w:rPr>
          <w:spacing w:val="-1"/>
        </w:rPr>
        <w:t> </w:t>
      </w:r>
      <w:r>
        <w:rPr/>
        <w:t>(PB)</w:t>
      </w:r>
      <w:r>
        <w:rPr>
          <w:spacing w:val="-3"/>
        </w:rPr>
        <w:t> </w:t>
      </w:r>
      <w:r>
        <w:rPr/>
        <w:t>input</w:t>
      </w:r>
      <w:r>
        <w:rPr>
          <w:spacing w:val="-2"/>
        </w:rPr>
        <w:t> </w:t>
      </w:r>
      <w:r>
        <w:rPr/>
        <w:t>is</w:t>
      </w:r>
      <w:r>
        <w:rPr>
          <w:spacing w:val="-3"/>
        </w:rPr>
        <w:t> </w:t>
      </w:r>
      <w:r>
        <w:rPr/>
        <w:t>activated,</w:t>
      </w:r>
      <w:r>
        <w:rPr>
          <w:spacing w:val="-4"/>
        </w:rPr>
        <w:t> </w:t>
      </w:r>
      <w:r>
        <w:rPr/>
        <w:t>a</w:t>
      </w:r>
      <w:r>
        <w:rPr>
          <w:spacing w:val="-4"/>
        </w:rPr>
        <w:t> </w:t>
      </w:r>
      <w:r>
        <w:rPr/>
        <w:t>rising</w:t>
      </w:r>
      <w:r>
        <w:rPr>
          <w:spacing w:val="-4"/>
        </w:rPr>
        <w:t> </w:t>
      </w:r>
      <w:r>
        <w:rPr/>
        <w:t>edge</w:t>
      </w:r>
      <w:r>
        <w:rPr>
          <w:spacing w:val="-1"/>
        </w:rPr>
        <w:t> </w:t>
      </w:r>
      <w:r>
        <w:rPr/>
        <w:t>on</w:t>
      </w:r>
      <w:r>
        <w:rPr>
          <w:spacing w:val="-2"/>
        </w:rPr>
        <w:t> </w:t>
      </w:r>
      <w:r>
        <w:rPr/>
        <w:t>SEGDIO4,</w:t>
      </w:r>
      <w:r>
        <w:rPr>
          <w:spacing w:val="-4"/>
        </w:rPr>
        <w:t> </w:t>
      </w:r>
      <w:r>
        <w:rPr/>
        <w:t>or</w:t>
      </w:r>
      <w:r>
        <w:rPr>
          <w:spacing w:val="-3"/>
        </w:rPr>
        <w:t> </w:t>
      </w:r>
      <w:r>
        <w:rPr/>
        <w:t>a</w:t>
      </w:r>
      <w:r>
        <w:rPr>
          <w:spacing w:val="-2"/>
        </w:rPr>
        <w:t> </w:t>
      </w:r>
      <w:r>
        <w:rPr/>
        <w:t>high</w:t>
      </w:r>
      <w:r>
        <w:rPr>
          <w:spacing w:val="-3"/>
        </w:rPr>
        <w:t> </w:t>
      </w:r>
      <w:r>
        <w:rPr/>
        <w:t>logic level on SEGDIO52 or SEGDIO55, or by activity on the RX or OPT_RX</w:t>
      </w:r>
      <w:r>
        <w:rPr>
          <w:spacing w:val="-8"/>
        </w:rPr>
        <w:t> </w:t>
      </w:r>
      <w:r>
        <w:rPr/>
        <w:t>pins.</w:t>
      </w:r>
    </w:p>
    <w:p>
      <w:pPr>
        <w:pStyle w:val="ListParagraph"/>
        <w:numPr>
          <w:ilvl w:val="2"/>
          <w:numId w:val="26"/>
        </w:numPr>
        <w:tabs>
          <w:tab w:pos="959" w:val="left" w:leader="none"/>
          <w:tab w:pos="960" w:val="left" w:leader="none"/>
        </w:tabs>
        <w:spacing w:line="240" w:lineRule="auto" w:before="117" w:after="0"/>
        <w:ind w:left="959" w:right="0" w:hanging="720"/>
        <w:jc w:val="left"/>
        <w:rPr>
          <w:b/>
          <w:sz w:val="22"/>
        </w:rPr>
      </w:pPr>
      <w:bookmarkStart w:name="3.4.1 Wake on Hardware Events" w:id="333"/>
      <w:bookmarkEnd w:id="333"/>
      <w:r>
        <w:rPr/>
      </w:r>
      <w:bookmarkStart w:name="_bookmark164" w:id="334"/>
      <w:bookmarkEnd w:id="334"/>
      <w:r>
        <w:rPr/>
      </w:r>
      <w:bookmarkStart w:name="_bookmark164" w:id="335"/>
      <w:bookmarkEnd w:id="335"/>
      <w:r>
        <w:rPr>
          <w:b/>
          <w:sz w:val="22"/>
        </w:rPr>
        <w:t>W</w:t>
      </w:r>
      <w:r>
        <w:rPr>
          <w:b/>
          <w:sz w:val="22"/>
        </w:rPr>
        <w:t>ake on Hardware</w:t>
      </w:r>
      <w:r>
        <w:rPr>
          <w:b/>
          <w:spacing w:val="-3"/>
          <w:sz w:val="22"/>
        </w:rPr>
        <w:t> </w:t>
      </w:r>
      <w:r>
        <w:rPr>
          <w:b/>
          <w:sz w:val="22"/>
        </w:rPr>
        <w:t>Events</w:t>
      </w:r>
    </w:p>
    <w:p>
      <w:pPr>
        <w:pStyle w:val="BodyText"/>
        <w:spacing w:before="124"/>
        <w:ind w:left="239" w:right="401"/>
      </w:pPr>
      <w:r>
        <w:rPr/>
        <w:t>The</w:t>
      </w:r>
      <w:r>
        <w:rPr>
          <w:spacing w:val="-13"/>
        </w:rPr>
        <w:t> </w:t>
      </w:r>
      <w:r>
        <w:rPr>
          <w:spacing w:val="-3"/>
        </w:rPr>
        <w:t>following</w:t>
      </w:r>
      <w:r>
        <w:rPr>
          <w:spacing w:val="-9"/>
        </w:rPr>
        <w:t> </w:t>
      </w:r>
      <w:r>
        <w:rPr>
          <w:spacing w:val="-3"/>
        </w:rPr>
        <w:t>pin</w:t>
      </w:r>
      <w:r>
        <w:rPr>
          <w:spacing w:val="-10"/>
        </w:rPr>
        <w:t> </w:t>
      </w:r>
      <w:r>
        <w:rPr>
          <w:spacing w:val="-3"/>
        </w:rPr>
        <w:t>signal</w:t>
      </w:r>
      <w:r>
        <w:rPr>
          <w:spacing w:val="-11"/>
        </w:rPr>
        <w:t> </w:t>
      </w:r>
      <w:r>
        <w:rPr/>
        <w:t>events</w:t>
      </w:r>
      <w:r>
        <w:rPr>
          <w:spacing w:val="-7"/>
        </w:rPr>
        <w:t> </w:t>
      </w:r>
      <w:r>
        <w:rPr/>
        <w:t>wake</w:t>
      </w:r>
      <w:r>
        <w:rPr>
          <w:spacing w:val="-10"/>
        </w:rPr>
        <w:t> </w:t>
      </w:r>
      <w:r>
        <w:rPr/>
        <w:t>the</w:t>
      </w:r>
      <w:r>
        <w:rPr>
          <w:spacing w:val="-10"/>
        </w:rPr>
        <w:t> </w:t>
      </w:r>
      <w:r>
        <w:rPr>
          <w:spacing w:val="-3"/>
        </w:rPr>
        <w:t>71M6543</w:t>
      </w:r>
      <w:r>
        <w:rPr>
          <w:spacing w:val="-12"/>
        </w:rPr>
        <w:t> </w:t>
      </w:r>
      <w:r>
        <w:rPr>
          <w:spacing w:val="-3"/>
        </w:rPr>
        <w:t>from</w:t>
      </w:r>
      <w:r>
        <w:rPr>
          <w:spacing w:val="-9"/>
        </w:rPr>
        <w:t> </w:t>
      </w:r>
      <w:r>
        <w:rPr>
          <w:spacing w:val="-3"/>
        </w:rPr>
        <w:t>SLP</w:t>
      </w:r>
      <w:r>
        <w:rPr>
          <w:spacing w:val="-10"/>
        </w:rPr>
        <w:t> </w:t>
      </w:r>
      <w:r>
        <w:rPr/>
        <w:t>or</w:t>
      </w:r>
      <w:r>
        <w:rPr>
          <w:spacing w:val="-9"/>
        </w:rPr>
        <w:t> </w:t>
      </w:r>
      <w:r>
        <w:rPr/>
        <w:t>LCD</w:t>
      </w:r>
      <w:r>
        <w:rPr>
          <w:spacing w:val="-11"/>
        </w:rPr>
        <w:t> </w:t>
      </w:r>
      <w:r>
        <w:rPr/>
        <w:t>mode:</w:t>
      </w:r>
      <w:r>
        <w:rPr>
          <w:spacing w:val="-10"/>
        </w:rPr>
        <w:t> </w:t>
      </w:r>
      <w:r>
        <w:rPr/>
        <w:t>a</w:t>
      </w:r>
      <w:r>
        <w:rPr>
          <w:spacing w:val="-9"/>
        </w:rPr>
        <w:t> </w:t>
      </w:r>
      <w:r>
        <w:rPr>
          <w:spacing w:val="-3"/>
        </w:rPr>
        <w:t>high</w:t>
      </w:r>
      <w:r>
        <w:rPr>
          <w:spacing w:val="-10"/>
        </w:rPr>
        <w:t> </w:t>
      </w:r>
      <w:r>
        <w:rPr>
          <w:spacing w:val="-3"/>
        </w:rPr>
        <w:t>level</w:t>
      </w:r>
      <w:r>
        <w:rPr>
          <w:spacing w:val="-11"/>
        </w:rPr>
        <w:t> </w:t>
      </w:r>
      <w:r>
        <w:rPr/>
        <w:t>on</w:t>
      </w:r>
      <w:r>
        <w:rPr>
          <w:spacing w:val="-9"/>
        </w:rPr>
        <w:t> </w:t>
      </w:r>
      <w:r>
        <w:rPr/>
        <w:t>the</w:t>
      </w:r>
      <w:r>
        <w:rPr>
          <w:spacing w:val="-10"/>
        </w:rPr>
        <w:t> </w:t>
      </w:r>
      <w:r>
        <w:rPr/>
        <w:t>PB</w:t>
      </w:r>
      <w:r>
        <w:rPr>
          <w:spacing w:val="-9"/>
        </w:rPr>
        <w:t> </w:t>
      </w:r>
      <w:r>
        <w:rPr/>
        <w:t>pin,</w:t>
      </w:r>
      <w:r>
        <w:rPr>
          <w:spacing w:val="-10"/>
        </w:rPr>
        <w:t> </w:t>
      </w:r>
      <w:r>
        <w:rPr>
          <w:spacing w:val="-4"/>
        </w:rPr>
        <w:t>either </w:t>
      </w:r>
      <w:r>
        <w:rPr>
          <w:spacing w:val="-3"/>
        </w:rPr>
        <w:t>edge</w:t>
      </w:r>
      <w:r>
        <w:rPr>
          <w:spacing w:val="-8"/>
        </w:rPr>
        <w:t> </w:t>
      </w:r>
      <w:r>
        <w:rPr/>
        <w:t>on</w:t>
      </w:r>
      <w:r>
        <w:rPr>
          <w:spacing w:val="-7"/>
        </w:rPr>
        <w:t> </w:t>
      </w:r>
      <w:r>
        <w:rPr/>
        <w:t>the</w:t>
      </w:r>
      <w:r>
        <w:rPr>
          <w:spacing w:val="-8"/>
        </w:rPr>
        <w:t> </w:t>
      </w:r>
      <w:r>
        <w:rPr/>
        <w:t>RX</w:t>
      </w:r>
      <w:r>
        <w:rPr>
          <w:spacing w:val="-5"/>
        </w:rPr>
        <w:t> </w:t>
      </w:r>
      <w:r>
        <w:rPr>
          <w:spacing w:val="-3"/>
        </w:rPr>
        <w:t>pin,</w:t>
      </w:r>
      <w:r>
        <w:rPr>
          <w:spacing w:val="-8"/>
        </w:rPr>
        <w:t> </w:t>
      </w:r>
      <w:r>
        <w:rPr/>
        <w:t>a</w:t>
      </w:r>
      <w:r>
        <w:rPr>
          <w:spacing w:val="-7"/>
        </w:rPr>
        <w:t> </w:t>
      </w:r>
      <w:r>
        <w:rPr>
          <w:spacing w:val="-3"/>
        </w:rPr>
        <w:t>rising</w:t>
      </w:r>
      <w:r>
        <w:rPr>
          <w:spacing w:val="-9"/>
        </w:rPr>
        <w:t> </w:t>
      </w:r>
      <w:r>
        <w:rPr>
          <w:spacing w:val="-3"/>
        </w:rPr>
        <w:t>edge</w:t>
      </w:r>
      <w:r>
        <w:rPr>
          <w:spacing w:val="-8"/>
        </w:rPr>
        <w:t> </w:t>
      </w:r>
      <w:r>
        <w:rPr/>
        <w:t>on</w:t>
      </w:r>
      <w:r>
        <w:rPr>
          <w:spacing w:val="-7"/>
        </w:rPr>
        <w:t> </w:t>
      </w:r>
      <w:r>
        <w:rPr/>
        <w:t>the</w:t>
      </w:r>
      <w:r>
        <w:rPr>
          <w:spacing w:val="-8"/>
        </w:rPr>
        <w:t> </w:t>
      </w:r>
      <w:r>
        <w:rPr>
          <w:spacing w:val="-3"/>
        </w:rPr>
        <w:t>SEGDIO4</w:t>
      </w:r>
      <w:r>
        <w:rPr>
          <w:spacing w:val="-7"/>
        </w:rPr>
        <w:t> </w:t>
      </w:r>
      <w:r>
        <w:rPr>
          <w:spacing w:val="-3"/>
        </w:rPr>
        <w:t>pin,</w:t>
      </w:r>
      <w:r>
        <w:rPr>
          <w:spacing w:val="-7"/>
        </w:rPr>
        <w:t> </w:t>
      </w:r>
      <w:r>
        <w:rPr/>
        <w:t>a</w:t>
      </w:r>
      <w:r>
        <w:rPr>
          <w:spacing w:val="-8"/>
        </w:rPr>
        <w:t> </w:t>
      </w:r>
      <w:r>
        <w:rPr>
          <w:spacing w:val="-3"/>
        </w:rPr>
        <w:t>high</w:t>
      </w:r>
      <w:r>
        <w:rPr>
          <w:spacing w:val="-7"/>
        </w:rPr>
        <w:t> </w:t>
      </w:r>
      <w:r>
        <w:rPr>
          <w:spacing w:val="-3"/>
        </w:rPr>
        <w:t>level</w:t>
      </w:r>
      <w:r>
        <w:rPr>
          <w:spacing w:val="-9"/>
        </w:rPr>
        <w:t> </w:t>
      </w:r>
      <w:r>
        <w:rPr/>
        <w:t>on</w:t>
      </w:r>
      <w:r>
        <w:rPr>
          <w:spacing w:val="-7"/>
        </w:rPr>
        <w:t> </w:t>
      </w:r>
      <w:r>
        <w:rPr/>
        <w:t>the</w:t>
      </w:r>
      <w:r>
        <w:rPr>
          <w:spacing w:val="-8"/>
        </w:rPr>
        <w:t> </w:t>
      </w:r>
      <w:r>
        <w:rPr>
          <w:spacing w:val="-3"/>
        </w:rPr>
        <w:t>SEGDIO52</w:t>
      </w:r>
      <w:r>
        <w:rPr>
          <w:spacing w:val="-7"/>
        </w:rPr>
        <w:t> </w:t>
      </w:r>
      <w:r>
        <w:rPr>
          <w:spacing w:val="-3"/>
        </w:rPr>
        <w:t>pin,</w:t>
      </w:r>
      <w:r>
        <w:rPr>
          <w:spacing w:val="-7"/>
        </w:rPr>
        <w:t> </w:t>
      </w:r>
      <w:r>
        <w:rPr/>
        <w:t>or</w:t>
      </w:r>
      <w:r>
        <w:rPr>
          <w:spacing w:val="-7"/>
        </w:rPr>
        <w:t> </w:t>
      </w:r>
      <w:r>
        <w:rPr/>
        <w:t>a</w:t>
      </w:r>
      <w:r>
        <w:rPr>
          <w:spacing w:val="-7"/>
        </w:rPr>
        <w:t> </w:t>
      </w:r>
      <w:r>
        <w:rPr>
          <w:spacing w:val="-3"/>
        </w:rPr>
        <w:t>high</w:t>
      </w:r>
      <w:r>
        <w:rPr>
          <w:spacing w:val="-8"/>
        </w:rPr>
        <w:t> </w:t>
      </w:r>
      <w:r>
        <w:rPr>
          <w:spacing w:val="-3"/>
        </w:rPr>
        <w:t>level</w:t>
      </w:r>
      <w:r>
        <w:rPr>
          <w:spacing w:val="-8"/>
        </w:rPr>
        <w:t> </w:t>
      </w:r>
      <w:r>
        <w:rPr>
          <w:spacing w:val="-3"/>
        </w:rPr>
        <w:t>on </w:t>
      </w:r>
      <w:r>
        <w:rPr/>
        <w:t>the </w:t>
      </w:r>
      <w:r>
        <w:rPr>
          <w:spacing w:val="-3"/>
        </w:rPr>
        <w:t>SEGDIO55 pin </w:t>
      </w:r>
      <w:r>
        <w:rPr/>
        <w:t>or </w:t>
      </w:r>
      <w:r>
        <w:rPr>
          <w:spacing w:val="-3"/>
        </w:rPr>
        <w:t>either edge </w:t>
      </w:r>
      <w:r>
        <w:rPr/>
        <w:t>on the </w:t>
      </w:r>
      <w:r>
        <w:rPr>
          <w:spacing w:val="-3"/>
        </w:rPr>
        <w:t>OPT_RX pin. See </w:t>
      </w:r>
      <w:hyperlink w:history="true" w:anchor="_bookmark165">
        <w:r>
          <w:rPr>
            <w:color w:val="0000FF"/>
          </w:rPr>
          <w:t>Table 63 </w:t>
        </w:r>
      </w:hyperlink>
      <w:r>
        <w:rPr/>
        <w:t>for </w:t>
      </w:r>
      <w:r>
        <w:rPr>
          <w:spacing w:val="-3"/>
        </w:rPr>
        <w:t>de-bounce </w:t>
      </w:r>
      <w:r>
        <w:rPr>
          <w:spacing w:val="-4"/>
        </w:rPr>
        <w:t>details </w:t>
      </w:r>
      <w:r>
        <w:rPr/>
        <w:t>on each </w:t>
      </w:r>
      <w:r>
        <w:rPr>
          <w:spacing w:val="-3"/>
        </w:rPr>
        <w:t>pin and </w:t>
      </w:r>
      <w:r>
        <w:rPr/>
        <w:t>for </w:t>
      </w:r>
      <w:r>
        <w:rPr>
          <w:spacing w:val="-3"/>
        </w:rPr>
        <w:t>further details </w:t>
      </w:r>
      <w:r>
        <w:rPr/>
        <w:t>on the </w:t>
      </w:r>
      <w:r>
        <w:rPr>
          <w:spacing w:val="-3"/>
        </w:rPr>
        <w:t>OPT_RX/SEGDIO55 pin. </w:t>
      </w:r>
      <w:r>
        <w:rPr/>
        <w:t>The SEGDIO4, SEGDIO52, and SEGDIO55 pins must be configured as DIO inputs and their wake enable (</w:t>
      </w:r>
      <w:r>
        <w:rPr>
          <w:rFonts w:ascii="Times New Roman"/>
          <w:i/>
        </w:rPr>
        <w:t>EW_x </w:t>
      </w:r>
      <w:r>
        <w:rPr/>
        <w:t>bits) must be set. In SLP and LCD modes, the MPU is held in reset and cannot poll pins or react to interrupts. </w:t>
      </w:r>
      <w:r>
        <w:rPr>
          <w:spacing w:val="2"/>
        </w:rPr>
        <w:t>When </w:t>
      </w:r>
      <w:r>
        <w:rPr/>
        <w:t>one of the hardware wake events occurs, the internal </w:t>
      </w:r>
      <w:r>
        <w:rPr>
          <w:spacing w:val="3"/>
        </w:rPr>
        <w:t>WAKE </w:t>
      </w:r>
      <w:r>
        <w:rPr/>
        <w:t>signal rises and within three CK32 cycles the MPU begins to execute. </w:t>
      </w:r>
      <w:r>
        <w:rPr>
          <w:spacing w:val="2"/>
        </w:rPr>
        <w:t>The </w:t>
      </w:r>
      <w:r>
        <w:rPr/>
        <w:t>MPU can determine which one of the pins awakened it by checking the </w:t>
      </w:r>
      <w:r>
        <w:rPr>
          <w:rFonts w:ascii="Times New Roman"/>
          <w:i/>
        </w:rPr>
        <w:t>WF_PB</w:t>
      </w:r>
      <w:r>
        <w:rPr/>
        <w:t>, </w:t>
      </w:r>
      <w:r>
        <w:rPr>
          <w:rFonts w:ascii="Times New Roman"/>
          <w:i/>
        </w:rPr>
        <w:t>WF_RX</w:t>
      </w:r>
      <w:r>
        <w:rPr/>
        <w:t>, </w:t>
      </w:r>
      <w:r>
        <w:rPr>
          <w:rFonts w:ascii="Times New Roman"/>
          <w:i/>
        </w:rPr>
        <w:t>WF_SEGDIO4</w:t>
      </w:r>
      <w:r>
        <w:rPr/>
        <w:t>, </w:t>
      </w:r>
      <w:r>
        <w:rPr>
          <w:rFonts w:ascii="Times New Roman"/>
          <w:i/>
        </w:rPr>
        <w:t>WF_DIO52</w:t>
      </w:r>
      <w:r>
        <w:rPr/>
        <w:t>, or </w:t>
      </w:r>
      <w:r>
        <w:rPr>
          <w:rFonts w:ascii="Times New Roman"/>
          <w:i/>
        </w:rPr>
        <w:t>WF_DIO55 </w:t>
      </w:r>
      <w:r>
        <w:rPr/>
        <w:t>flags (see </w:t>
      </w:r>
      <w:hyperlink w:history="true" w:anchor="_bookmark165">
        <w:r>
          <w:rPr>
            <w:color w:val="0000FF"/>
          </w:rPr>
          <w:t>Table</w:t>
        </w:r>
        <w:r>
          <w:rPr>
            <w:color w:val="0000FF"/>
            <w:spacing w:val="6"/>
          </w:rPr>
          <w:t> </w:t>
        </w:r>
        <w:r>
          <w:rPr>
            <w:color w:val="0000FF"/>
          </w:rPr>
          <w:t>63</w:t>
        </w:r>
      </w:hyperlink>
      <w:r>
        <w:rPr/>
        <w:t>).</w:t>
      </w:r>
    </w:p>
    <w:p>
      <w:pPr>
        <w:pStyle w:val="BodyText"/>
        <w:spacing w:before="119"/>
        <w:ind w:left="239" w:right="401" w:hanging="1"/>
      </w:pPr>
      <w:r>
        <w:rPr/>
        <w:t>If</w:t>
      </w:r>
      <w:r>
        <w:rPr>
          <w:spacing w:val="-10"/>
        </w:rPr>
        <w:t> </w:t>
      </w:r>
      <w:r>
        <w:rPr/>
        <w:t>the</w:t>
      </w:r>
      <w:r>
        <w:rPr>
          <w:spacing w:val="-10"/>
        </w:rPr>
        <w:t> </w:t>
      </w:r>
      <w:r>
        <w:rPr/>
        <w:t>part</w:t>
      </w:r>
      <w:r>
        <w:rPr>
          <w:spacing w:val="-9"/>
        </w:rPr>
        <w:t> </w:t>
      </w:r>
      <w:r>
        <w:rPr/>
        <w:t>is</w:t>
      </w:r>
      <w:r>
        <w:rPr>
          <w:spacing w:val="-8"/>
        </w:rPr>
        <w:t> </w:t>
      </w:r>
      <w:r>
        <w:rPr/>
        <w:t>in</w:t>
      </w:r>
      <w:r>
        <w:rPr>
          <w:spacing w:val="-10"/>
        </w:rPr>
        <w:t> </w:t>
      </w:r>
      <w:r>
        <w:rPr/>
        <w:t>SLP</w:t>
      </w:r>
      <w:r>
        <w:rPr>
          <w:spacing w:val="-12"/>
        </w:rPr>
        <w:t> </w:t>
      </w:r>
      <w:r>
        <w:rPr/>
        <w:t>or</w:t>
      </w:r>
      <w:r>
        <w:rPr>
          <w:spacing w:val="-8"/>
        </w:rPr>
        <w:t> </w:t>
      </w:r>
      <w:r>
        <w:rPr/>
        <w:t>LCD</w:t>
      </w:r>
      <w:r>
        <w:rPr>
          <w:spacing w:val="-9"/>
        </w:rPr>
        <w:t> </w:t>
      </w:r>
      <w:r>
        <w:rPr/>
        <w:t>mode,</w:t>
      </w:r>
      <w:r>
        <w:rPr>
          <w:spacing w:val="-12"/>
        </w:rPr>
        <w:t> </w:t>
      </w:r>
      <w:r>
        <w:rPr/>
        <w:t>it</w:t>
      </w:r>
      <w:r>
        <w:rPr>
          <w:spacing w:val="-11"/>
        </w:rPr>
        <w:t> </w:t>
      </w:r>
      <w:r>
        <w:rPr/>
        <w:t>can</w:t>
      </w:r>
      <w:r>
        <w:rPr>
          <w:spacing w:val="-10"/>
        </w:rPr>
        <w:t> </w:t>
      </w:r>
      <w:r>
        <w:rPr/>
        <w:t>be</w:t>
      </w:r>
      <w:r>
        <w:rPr>
          <w:spacing w:val="-10"/>
        </w:rPr>
        <w:t> </w:t>
      </w:r>
      <w:r>
        <w:rPr/>
        <w:t>awakened</w:t>
      </w:r>
      <w:r>
        <w:rPr>
          <w:spacing w:val="-10"/>
        </w:rPr>
        <w:t> </w:t>
      </w:r>
      <w:r>
        <w:rPr/>
        <w:t>by</w:t>
      </w:r>
      <w:r>
        <w:rPr>
          <w:spacing w:val="-13"/>
        </w:rPr>
        <w:t> </w:t>
      </w:r>
      <w:r>
        <w:rPr/>
        <w:t>a</w:t>
      </w:r>
      <w:r>
        <w:rPr>
          <w:spacing w:val="-6"/>
        </w:rPr>
        <w:t> </w:t>
      </w:r>
      <w:r>
        <w:rPr/>
        <w:t>high</w:t>
      </w:r>
      <w:r>
        <w:rPr>
          <w:spacing w:val="-10"/>
        </w:rPr>
        <w:t> </w:t>
      </w:r>
      <w:r>
        <w:rPr/>
        <w:t>level</w:t>
      </w:r>
      <w:r>
        <w:rPr>
          <w:spacing w:val="-10"/>
        </w:rPr>
        <w:t> </w:t>
      </w:r>
      <w:r>
        <w:rPr/>
        <w:t>on</w:t>
      </w:r>
      <w:r>
        <w:rPr>
          <w:spacing w:val="-10"/>
        </w:rPr>
        <w:t> </w:t>
      </w:r>
      <w:r>
        <w:rPr/>
        <w:t>the</w:t>
      </w:r>
      <w:r>
        <w:rPr>
          <w:spacing w:val="-10"/>
        </w:rPr>
        <w:t> </w:t>
      </w:r>
      <w:r>
        <w:rPr/>
        <w:t>PB</w:t>
      </w:r>
      <w:r>
        <w:rPr>
          <w:spacing w:val="-12"/>
        </w:rPr>
        <w:t> </w:t>
      </w:r>
      <w:r>
        <w:rPr/>
        <w:t>pin.</w:t>
      </w:r>
      <w:r>
        <w:rPr>
          <w:spacing w:val="-9"/>
        </w:rPr>
        <w:t> </w:t>
      </w:r>
      <w:r>
        <w:rPr/>
        <w:t>This</w:t>
      </w:r>
      <w:r>
        <w:rPr>
          <w:spacing w:val="-10"/>
        </w:rPr>
        <w:t> </w:t>
      </w:r>
      <w:r>
        <w:rPr/>
        <w:t>pin</w:t>
      </w:r>
      <w:r>
        <w:rPr>
          <w:spacing w:val="-10"/>
        </w:rPr>
        <w:t> </w:t>
      </w:r>
      <w:r>
        <w:rPr/>
        <w:t>is</w:t>
      </w:r>
      <w:r>
        <w:rPr>
          <w:spacing w:val="-8"/>
        </w:rPr>
        <w:t> </w:t>
      </w:r>
      <w:r>
        <w:rPr/>
        <w:t>normally pulled</w:t>
      </w:r>
      <w:r>
        <w:rPr>
          <w:spacing w:val="-1"/>
        </w:rPr>
        <w:t> </w:t>
      </w:r>
      <w:r>
        <w:rPr/>
        <w:t>to</w:t>
      </w:r>
      <w:r>
        <w:rPr>
          <w:spacing w:val="-3"/>
        </w:rPr>
        <w:t> </w:t>
      </w:r>
      <w:r>
        <w:rPr/>
        <w:t>GND and</w:t>
      </w:r>
      <w:r>
        <w:rPr>
          <w:spacing w:val="-3"/>
        </w:rPr>
        <w:t> </w:t>
      </w:r>
      <w:r>
        <w:rPr/>
        <w:t>can</w:t>
      </w:r>
      <w:r>
        <w:rPr>
          <w:spacing w:val="-1"/>
        </w:rPr>
        <w:t> </w:t>
      </w:r>
      <w:r>
        <w:rPr/>
        <w:t>be connected</w:t>
      </w:r>
      <w:r>
        <w:rPr>
          <w:spacing w:val="-3"/>
        </w:rPr>
        <w:t> </w:t>
      </w:r>
      <w:r>
        <w:rPr/>
        <w:t>externally</w:t>
      </w:r>
      <w:r>
        <w:rPr>
          <w:spacing w:val="-6"/>
        </w:rPr>
        <w:t> </w:t>
      </w:r>
      <w:r>
        <w:rPr/>
        <w:t>so</w:t>
      </w:r>
      <w:r>
        <w:rPr>
          <w:spacing w:val="-3"/>
        </w:rPr>
        <w:t> </w:t>
      </w:r>
      <w:r>
        <w:rPr/>
        <w:t>it</w:t>
      </w:r>
      <w:r>
        <w:rPr>
          <w:spacing w:val="2"/>
        </w:rPr>
        <w:t> </w:t>
      </w:r>
      <w:r>
        <w:rPr/>
        <w:t>may</w:t>
      </w:r>
      <w:r>
        <w:rPr>
          <w:spacing w:val="-6"/>
        </w:rPr>
        <w:t> </w:t>
      </w:r>
      <w:r>
        <w:rPr/>
        <w:t>be pulled</w:t>
      </w:r>
      <w:r>
        <w:rPr>
          <w:spacing w:val="-3"/>
        </w:rPr>
        <w:t> </w:t>
      </w:r>
      <w:r>
        <w:rPr/>
        <w:t>high</w:t>
      </w:r>
      <w:r>
        <w:rPr>
          <w:spacing w:val="-3"/>
        </w:rPr>
        <w:t> </w:t>
      </w:r>
      <w:r>
        <w:rPr/>
        <w:t>by</w:t>
      </w:r>
      <w:r>
        <w:rPr>
          <w:spacing w:val="-6"/>
        </w:rPr>
        <w:t> </w:t>
      </w:r>
      <w:r>
        <w:rPr/>
        <w:t>a</w:t>
      </w:r>
      <w:r>
        <w:rPr>
          <w:spacing w:val="-1"/>
        </w:rPr>
        <w:t> </w:t>
      </w:r>
      <w:r>
        <w:rPr/>
        <w:t>push</w:t>
      </w:r>
      <w:r>
        <w:rPr>
          <w:spacing w:val="-3"/>
        </w:rPr>
        <w:t> </w:t>
      </w:r>
      <w:r>
        <w:rPr/>
        <w:t>button</w:t>
      </w:r>
      <w:r>
        <w:rPr>
          <w:spacing w:val="-3"/>
        </w:rPr>
        <w:t> </w:t>
      </w:r>
      <w:r>
        <w:rPr/>
        <w:t>depression.</w:t>
      </w:r>
    </w:p>
    <w:p>
      <w:pPr>
        <w:pStyle w:val="BodyText"/>
        <w:spacing w:before="121"/>
        <w:ind w:left="239" w:right="401"/>
      </w:pPr>
      <w:r>
        <w:rPr/>
        <w:t>Some pins are de-bounced to reject EMI noise. Detection hardware ignores all transitions after the initial transition. </w:t>
      </w:r>
      <w:hyperlink w:history="true" w:anchor="_bookmark165">
        <w:r>
          <w:rPr>
            <w:color w:val="0000FF"/>
          </w:rPr>
          <w:t>Table 63 </w:t>
        </w:r>
      </w:hyperlink>
      <w:r>
        <w:rPr/>
        <w:t>shows which pins are equipped with de-bounce circuitry.</w:t>
      </w:r>
    </w:p>
    <w:p>
      <w:pPr>
        <w:pStyle w:val="BodyText"/>
        <w:spacing w:before="118"/>
        <w:ind w:left="239"/>
      </w:pPr>
      <w:r>
        <w:rPr/>
        <w:t>Pins that do not have de-bounce circuits must still be high for at least 2 µs to be recognized.</w:t>
      </w:r>
    </w:p>
    <w:p>
      <w:pPr>
        <w:pStyle w:val="BodyText"/>
        <w:spacing w:before="121"/>
        <w:ind w:left="239" w:right="490"/>
      </w:pPr>
      <w:r>
        <w:rPr/>
        <w:t>The wake enable and flag bits are shown in </w:t>
      </w:r>
      <w:hyperlink w:history="true" w:anchor="_bookmark165">
        <w:r>
          <w:rPr>
            <w:color w:val="0000FF"/>
          </w:rPr>
          <w:t>Table 63</w:t>
        </w:r>
        <w:r>
          <w:rPr/>
          <w:t>.</w:t>
        </w:r>
      </w:hyperlink>
      <w:r>
        <w:rPr/>
        <w:t> The wake flag bits are set by hardware when the MPU wakes from a wake event. Note that the PB flag is set whenever the PB is pushed, even if the part is already awake. </w:t>
      </w:r>
      <w:hyperlink w:history="true" w:anchor="_bookmark167">
        <w:r>
          <w:rPr>
            <w:color w:val="0000FF"/>
          </w:rPr>
          <w:t>Table 65 </w:t>
        </w:r>
      </w:hyperlink>
      <w:r>
        <w:rPr/>
        <w:t>lists the events that clear the WF flags.</w:t>
      </w:r>
    </w:p>
    <w:p>
      <w:pPr>
        <w:pStyle w:val="BodyText"/>
        <w:spacing w:before="119"/>
        <w:ind w:left="239" w:right="460"/>
      </w:pPr>
      <w:r>
        <w:rPr/>
        <w:t>In addition to push buttons and timers, the part can also reboot due to the RESET pin, the </w:t>
      </w:r>
      <w:r>
        <w:rPr>
          <w:rFonts w:ascii="Times New Roman"/>
          <w:i/>
        </w:rPr>
        <w:t>RESET </w:t>
      </w:r>
      <w:r>
        <w:rPr/>
        <w:t>bit </w:t>
      </w:r>
      <w:r>
        <w:rPr>
          <w:rFonts w:ascii="Times New Roman"/>
          <w:i/>
        </w:rPr>
        <w:t>(I/O </w:t>
      </w:r>
      <w:r>
        <w:rPr>
          <w:rFonts w:ascii="Times New Roman"/>
          <w:i/>
        </w:rPr>
        <w:t>RAM 0x2200[3])</w:t>
      </w:r>
      <w:r>
        <w:rPr/>
        <w:t>, the WDT, the cold start detector, and E_RST. As seen in </w:t>
      </w:r>
      <w:hyperlink w:history="true" w:anchor="_bookmark165">
        <w:r>
          <w:rPr>
            <w:color w:val="0000FF"/>
          </w:rPr>
          <w:t>Table 63</w:t>
        </w:r>
        <w:r>
          <w:rPr/>
          <w:t>, </w:t>
        </w:r>
      </w:hyperlink>
      <w:r>
        <w:rPr/>
        <w:t>each of these mechanisms has a flag bit to alert the MPU to the source of the wakeup. If the wakeup is caused by return of system power, there is no active WF flag and the </w:t>
      </w:r>
      <w:r>
        <w:rPr>
          <w:rFonts w:ascii="Times New Roman"/>
          <w:i/>
        </w:rPr>
        <w:t>VSTAT[2:0] </w:t>
      </w:r>
      <w:r>
        <w:rPr/>
        <w:t>field (</w:t>
      </w:r>
      <w:r>
        <w:rPr>
          <w:rFonts w:ascii="Times New Roman"/>
          <w:i/>
        </w:rPr>
        <w:t>SFR 0xF9[2:0]) </w:t>
      </w:r>
      <w:r>
        <w:rPr/>
        <w:t>indicates that system power is stable.</w:t>
      </w:r>
    </w:p>
    <w:p>
      <w:pPr>
        <w:pStyle w:val="Heading1"/>
        <w:spacing w:before="119"/>
        <w:ind w:left="59" w:right="204"/>
      </w:pPr>
      <w:bookmarkStart w:name="_bookmark165" w:id="336"/>
      <w:bookmarkEnd w:id="336"/>
      <w:r>
        <w:rPr>
          <w:b w:val="0"/>
        </w:rPr>
      </w:r>
      <w:r>
        <w:rPr/>
        <w:t>Table 63: Wake Enable and Flag Bits</w:t>
      </w:r>
    </w:p>
    <w:p>
      <w:pPr>
        <w:pStyle w:val="BodyText"/>
        <w:spacing w:before="7"/>
        <w:rPr>
          <w:b/>
          <w:sz w:val="5"/>
        </w:rPr>
      </w:pPr>
    </w:p>
    <w:tbl>
      <w:tblPr>
        <w:tblW w:w="0" w:type="auto"/>
        <w:jc w:val="left"/>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142"/>
        <w:gridCol w:w="1231"/>
        <w:gridCol w:w="1193"/>
        <w:gridCol w:w="1385"/>
        <w:gridCol w:w="3149"/>
      </w:tblGrid>
      <w:tr>
        <w:trPr>
          <w:trHeight w:val="277" w:hRule="atLeast"/>
        </w:trPr>
        <w:tc>
          <w:tcPr>
            <w:tcW w:w="2402" w:type="dxa"/>
            <w:gridSpan w:val="2"/>
          </w:tcPr>
          <w:p>
            <w:pPr>
              <w:pStyle w:val="TableParagraph"/>
              <w:spacing w:before="32"/>
              <w:ind w:left="666"/>
              <w:rPr>
                <w:b/>
                <w:sz w:val="18"/>
              </w:rPr>
            </w:pPr>
            <w:r>
              <w:rPr>
                <w:b/>
                <w:sz w:val="18"/>
              </w:rPr>
              <w:t>Wake Enable</w:t>
            </w:r>
          </w:p>
        </w:tc>
        <w:tc>
          <w:tcPr>
            <w:tcW w:w="2424" w:type="dxa"/>
            <w:gridSpan w:val="2"/>
          </w:tcPr>
          <w:p>
            <w:pPr>
              <w:pStyle w:val="TableParagraph"/>
              <w:spacing w:before="32"/>
              <w:ind w:left="789"/>
              <w:rPr>
                <w:b/>
                <w:sz w:val="18"/>
              </w:rPr>
            </w:pPr>
            <w:r>
              <w:rPr>
                <w:b/>
                <w:sz w:val="18"/>
              </w:rPr>
              <w:t>Wake Flag</w:t>
            </w:r>
          </w:p>
        </w:tc>
        <w:tc>
          <w:tcPr>
            <w:tcW w:w="1385" w:type="dxa"/>
            <w:vMerge w:val="restart"/>
            <w:tcBorders>
              <w:bottom w:val="double" w:sz="1" w:space="0" w:color="000000"/>
            </w:tcBorders>
          </w:tcPr>
          <w:p>
            <w:pPr>
              <w:pStyle w:val="TableParagraph"/>
              <w:spacing w:before="8"/>
              <w:rPr>
                <w:b/>
                <w:sz w:val="15"/>
              </w:rPr>
            </w:pPr>
          </w:p>
          <w:p>
            <w:pPr>
              <w:pStyle w:val="TableParagraph"/>
              <w:spacing w:before="1"/>
              <w:ind w:left="247"/>
              <w:rPr>
                <w:b/>
                <w:sz w:val="18"/>
              </w:rPr>
            </w:pPr>
            <w:r>
              <w:rPr>
                <w:b/>
                <w:sz w:val="18"/>
              </w:rPr>
              <w:t>De-bounce</w:t>
            </w:r>
          </w:p>
        </w:tc>
        <w:tc>
          <w:tcPr>
            <w:tcW w:w="3149" w:type="dxa"/>
            <w:vMerge w:val="restart"/>
            <w:tcBorders>
              <w:bottom w:val="double" w:sz="1" w:space="0" w:color="000000"/>
            </w:tcBorders>
          </w:tcPr>
          <w:p>
            <w:pPr>
              <w:pStyle w:val="TableParagraph"/>
              <w:spacing w:before="8"/>
              <w:rPr>
                <w:b/>
                <w:sz w:val="15"/>
              </w:rPr>
            </w:pPr>
          </w:p>
          <w:p>
            <w:pPr>
              <w:pStyle w:val="TableParagraph"/>
              <w:spacing w:before="1"/>
              <w:ind w:left="40"/>
              <w:rPr>
                <w:b/>
                <w:sz w:val="18"/>
              </w:rPr>
            </w:pPr>
            <w:r>
              <w:rPr>
                <w:b/>
                <w:sz w:val="18"/>
              </w:rPr>
              <w:t>Description</w:t>
            </w:r>
          </w:p>
        </w:tc>
      </w:tr>
      <w:tr>
        <w:trPr>
          <w:trHeight w:val="274" w:hRule="atLeast"/>
        </w:trPr>
        <w:tc>
          <w:tcPr>
            <w:tcW w:w="1260" w:type="dxa"/>
            <w:tcBorders>
              <w:bottom w:val="double" w:sz="1" w:space="0" w:color="000000"/>
            </w:tcBorders>
          </w:tcPr>
          <w:p>
            <w:pPr>
              <w:pStyle w:val="TableParagraph"/>
              <w:spacing w:before="22"/>
              <w:ind w:left="405"/>
              <w:rPr>
                <w:b/>
                <w:sz w:val="18"/>
              </w:rPr>
            </w:pPr>
            <w:r>
              <w:rPr>
                <w:b/>
                <w:sz w:val="18"/>
              </w:rPr>
              <w:t>Name</w:t>
            </w:r>
          </w:p>
        </w:tc>
        <w:tc>
          <w:tcPr>
            <w:tcW w:w="1142" w:type="dxa"/>
            <w:tcBorders>
              <w:bottom w:val="double" w:sz="1" w:space="0" w:color="000000"/>
            </w:tcBorders>
          </w:tcPr>
          <w:p>
            <w:pPr>
              <w:pStyle w:val="TableParagraph"/>
              <w:spacing w:before="22"/>
              <w:ind w:left="197" w:right="145"/>
              <w:jc w:val="center"/>
              <w:rPr>
                <w:b/>
                <w:sz w:val="18"/>
              </w:rPr>
            </w:pPr>
            <w:r>
              <w:rPr>
                <w:b/>
                <w:sz w:val="18"/>
              </w:rPr>
              <w:t>Location</w:t>
            </w:r>
          </w:p>
        </w:tc>
        <w:tc>
          <w:tcPr>
            <w:tcW w:w="1231" w:type="dxa"/>
            <w:tcBorders>
              <w:bottom w:val="double" w:sz="1" w:space="0" w:color="000000"/>
            </w:tcBorders>
          </w:tcPr>
          <w:p>
            <w:pPr>
              <w:pStyle w:val="TableParagraph"/>
              <w:spacing w:before="22"/>
              <w:ind w:left="62" w:right="9"/>
              <w:jc w:val="center"/>
              <w:rPr>
                <w:b/>
                <w:sz w:val="18"/>
              </w:rPr>
            </w:pPr>
            <w:r>
              <w:rPr>
                <w:b/>
                <w:sz w:val="18"/>
              </w:rPr>
              <w:t>Name</w:t>
            </w:r>
          </w:p>
        </w:tc>
        <w:tc>
          <w:tcPr>
            <w:tcW w:w="1193" w:type="dxa"/>
            <w:tcBorders>
              <w:bottom w:val="double" w:sz="1" w:space="0" w:color="000000"/>
            </w:tcBorders>
          </w:tcPr>
          <w:p>
            <w:pPr>
              <w:pStyle w:val="TableParagraph"/>
              <w:spacing w:before="22"/>
              <w:ind w:left="224" w:right="169"/>
              <w:jc w:val="center"/>
              <w:rPr>
                <w:b/>
                <w:sz w:val="18"/>
              </w:rPr>
            </w:pPr>
            <w:r>
              <w:rPr>
                <w:b/>
                <w:sz w:val="18"/>
              </w:rPr>
              <w:t>Location</w:t>
            </w:r>
          </w:p>
        </w:tc>
        <w:tc>
          <w:tcPr>
            <w:tcW w:w="1385" w:type="dxa"/>
            <w:vMerge/>
            <w:tcBorders>
              <w:top w:val="nil"/>
              <w:bottom w:val="double" w:sz="1" w:space="0" w:color="000000"/>
            </w:tcBorders>
          </w:tcPr>
          <w:p>
            <w:pPr>
              <w:rPr>
                <w:sz w:val="2"/>
                <w:szCs w:val="2"/>
              </w:rPr>
            </w:pPr>
          </w:p>
        </w:tc>
        <w:tc>
          <w:tcPr>
            <w:tcW w:w="3149" w:type="dxa"/>
            <w:vMerge/>
            <w:tcBorders>
              <w:top w:val="nil"/>
              <w:bottom w:val="double" w:sz="1" w:space="0" w:color="000000"/>
            </w:tcBorders>
          </w:tcPr>
          <w:p>
            <w:pPr>
              <w:rPr>
                <w:sz w:val="2"/>
                <w:szCs w:val="2"/>
              </w:rPr>
            </w:pPr>
          </w:p>
        </w:tc>
      </w:tr>
      <w:tr>
        <w:trPr>
          <w:trHeight w:val="248" w:hRule="atLeast"/>
        </w:trPr>
        <w:tc>
          <w:tcPr>
            <w:tcW w:w="1260" w:type="dxa"/>
            <w:tcBorders>
              <w:top w:val="double" w:sz="1" w:space="0" w:color="000000"/>
            </w:tcBorders>
          </w:tcPr>
          <w:p>
            <w:pPr>
              <w:pStyle w:val="TableParagraph"/>
              <w:spacing w:before="16"/>
              <w:ind w:right="147"/>
              <w:jc w:val="right"/>
              <w:rPr>
                <w:rFonts w:ascii="Times New Roman"/>
                <w:i/>
                <w:sz w:val="18"/>
              </w:rPr>
            </w:pPr>
            <w:r>
              <w:rPr>
                <w:rFonts w:ascii="Times New Roman"/>
                <w:i/>
                <w:sz w:val="18"/>
              </w:rPr>
              <w:t>WAKE_ARM</w:t>
            </w:r>
          </w:p>
        </w:tc>
        <w:tc>
          <w:tcPr>
            <w:tcW w:w="1142" w:type="dxa"/>
            <w:tcBorders>
              <w:top w:val="double" w:sz="1" w:space="0" w:color="000000"/>
            </w:tcBorders>
          </w:tcPr>
          <w:p>
            <w:pPr>
              <w:pStyle w:val="TableParagraph"/>
              <w:spacing w:before="20"/>
              <w:ind w:left="184" w:right="145"/>
              <w:jc w:val="center"/>
              <w:rPr>
                <w:sz w:val="18"/>
              </w:rPr>
            </w:pPr>
            <w:r>
              <w:rPr>
                <w:sz w:val="18"/>
              </w:rPr>
              <w:t>28B2[5]</w:t>
            </w:r>
          </w:p>
        </w:tc>
        <w:tc>
          <w:tcPr>
            <w:tcW w:w="1231" w:type="dxa"/>
            <w:tcBorders>
              <w:top w:val="double" w:sz="1" w:space="0" w:color="000000"/>
            </w:tcBorders>
          </w:tcPr>
          <w:p>
            <w:pPr>
              <w:pStyle w:val="TableParagraph"/>
              <w:spacing w:before="16"/>
              <w:ind w:left="62" w:right="13"/>
              <w:jc w:val="center"/>
              <w:rPr>
                <w:rFonts w:ascii="Times New Roman"/>
                <w:i/>
                <w:sz w:val="18"/>
              </w:rPr>
            </w:pPr>
            <w:r>
              <w:rPr>
                <w:rFonts w:ascii="Times New Roman"/>
                <w:i/>
                <w:sz w:val="18"/>
              </w:rPr>
              <w:t>WF_TMR</w:t>
            </w:r>
          </w:p>
        </w:tc>
        <w:tc>
          <w:tcPr>
            <w:tcW w:w="1193" w:type="dxa"/>
            <w:tcBorders>
              <w:top w:val="double" w:sz="1" w:space="0" w:color="000000"/>
            </w:tcBorders>
          </w:tcPr>
          <w:p>
            <w:pPr>
              <w:pStyle w:val="TableParagraph"/>
              <w:spacing w:before="20"/>
              <w:ind w:left="224" w:right="168"/>
              <w:jc w:val="center"/>
              <w:rPr>
                <w:sz w:val="18"/>
              </w:rPr>
            </w:pPr>
            <w:r>
              <w:rPr>
                <w:sz w:val="18"/>
              </w:rPr>
              <w:t>28B1[5]</w:t>
            </w:r>
          </w:p>
        </w:tc>
        <w:tc>
          <w:tcPr>
            <w:tcW w:w="1385" w:type="dxa"/>
            <w:tcBorders>
              <w:top w:val="double" w:sz="1" w:space="0" w:color="000000"/>
            </w:tcBorders>
          </w:tcPr>
          <w:p>
            <w:pPr>
              <w:pStyle w:val="TableParagraph"/>
              <w:spacing w:before="20"/>
              <w:ind w:left="498" w:right="449"/>
              <w:jc w:val="center"/>
              <w:rPr>
                <w:sz w:val="18"/>
              </w:rPr>
            </w:pPr>
            <w:r>
              <w:rPr>
                <w:sz w:val="18"/>
              </w:rPr>
              <w:t>No</w:t>
            </w:r>
          </w:p>
        </w:tc>
        <w:tc>
          <w:tcPr>
            <w:tcW w:w="3149" w:type="dxa"/>
            <w:tcBorders>
              <w:top w:val="double" w:sz="1" w:space="0" w:color="000000"/>
            </w:tcBorders>
          </w:tcPr>
          <w:p>
            <w:pPr>
              <w:pStyle w:val="TableParagraph"/>
              <w:spacing w:before="20"/>
              <w:ind w:left="40"/>
              <w:rPr>
                <w:sz w:val="18"/>
              </w:rPr>
            </w:pPr>
            <w:r>
              <w:rPr>
                <w:sz w:val="18"/>
              </w:rPr>
              <w:t>Wake on Timer.</w:t>
            </w:r>
          </w:p>
        </w:tc>
      </w:tr>
      <w:tr>
        <w:trPr>
          <w:trHeight w:val="345" w:hRule="atLeast"/>
        </w:trPr>
        <w:tc>
          <w:tcPr>
            <w:tcW w:w="1260" w:type="dxa"/>
          </w:tcPr>
          <w:p>
            <w:pPr>
              <w:pStyle w:val="TableParagraph"/>
              <w:spacing w:before="64"/>
              <w:ind w:left="359"/>
              <w:rPr>
                <w:rFonts w:ascii="Times New Roman"/>
                <w:i/>
                <w:sz w:val="18"/>
              </w:rPr>
            </w:pPr>
            <w:r>
              <w:rPr>
                <w:rFonts w:ascii="Times New Roman"/>
                <w:i/>
                <w:sz w:val="18"/>
              </w:rPr>
              <w:t>EW_PB</w:t>
            </w:r>
          </w:p>
        </w:tc>
        <w:tc>
          <w:tcPr>
            <w:tcW w:w="1142" w:type="dxa"/>
          </w:tcPr>
          <w:p>
            <w:pPr>
              <w:pStyle w:val="TableParagraph"/>
              <w:spacing w:before="68"/>
              <w:ind w:left="184" w:right="145"/>
              <w:jc w:val="center"/>
              <w:rPr>
                <w:sz w:val="18"/>
              </w:rPr>
            </w:pPr>
            <w:r>
              <w:rPr>
                <w:sz w:val="18"/>
              </w:rPr>
              <w:t>28B3[3]</w:t>
            </w:r>
          </w:p>
        </w:tc>
        <w:tc>
          <w:tcPr>
            <w:tcW w:w="1231" w:type="dxa"/>
          </w:tcPr>
          <w:p>
            <w:pPr>
              <w:pStyle w:val="TableParagraph"/>
              <w:spacing w:before="64"/>
              <w:ind w:left="62" w:right="7"/>
              <w:jc w:val="center"/>
              <w:rPr>
                <w:rFonts w:ascii="Times New Roman"/>
                <w:i/>
                <w:sz w:val="18"/>
              </w:rPr>
            </w:pPr>
            <w:r>
              <w:rPr>
                <w:rFonts w:ascii="Times New Roman"/>
                <w:i/>
                <w:sz w:val="18"/>
              </w:rPr>
              <w:t>WF_PB</w:t>
            </w:r>
          </w:p>
        </w:tc>
        <w:tc>
          <w:tcPr>
            <w:tcW w:w="1193" w:type="dxa"/>
          </w:tcPr>
          <w:p>
            <w:pPr>
              <w:pStyle w:val="TableParagraph"/>
              <w:spacing w:before="68"/>
              <w:ind w:left="224" w:right="168"/>
              <w:jc w:val="center"/>
              <w:rPr>
                <w:sz w:val="18"/>
              </w:rPr>
            </w:pPr>
            <w:r>
              <w:rPr>
                <w:sz w:val="18"/>
              </w:rPr>
              <w:t>28B1[3]</w:t>
            </w:r>
          </w:p>
        </w:tc>
        <w:tc>
          <w:tcPr>
            <w:tcW w:w="1385" w:type="dxa"/>
          </w:tcPr>
          <w:p>
            <w:pPr>
              <w:pStyle w:val="TableParagraph"/>
              <w:spacing w:before="68"/>
              <w:ind w:left="498" w:right="451"/>
              <w:jc w:val="center"/>
              <w:rPr>
                <w:sz w:val="18"/>
              </w:rPr>
            </w:pPr>
            <w:r>
              <w:rPr>
                <w:sz w:val="18"/>
              </w:rPr>
              <w:t>Yes</w:t>
            </w:r>
          </w:p>
        </w:tc>
        <w:tc>
          <w:tcPr>
            <w:tcW w:w="3149" w:type="dxa"/>
          </w:tcPr>
          <w:p>
            <w:pPr>
              <w:pStyle w:val="TableParagraph"/>
              <w:spacing w:before="68"/>
              <w:ind w:left="40"/>
              <w:rPr>
                <w:sz w:val="18"/>
              </w:rPr>
            </w:pPr>
            <w:r>
              <w:rPr>
                <w:sz w:val="18"/>
              </w:rPr>
              <w:t>Wake on PB.*</w:t>
            </w:r>
          </w:p>
        </w:tc>
      </w:tr>
      <w:tr>
        <w:trPr>
          <w:trHeight w:val="335" w:hRule="atLeast"/>
        </w:trPr>
        <w:tc>
          <w:tcPr>
            <w:tcW w:w="1260" w:type="dxa"/>
          </w:tcPr>
          <w:p>
            <w:pPr>
              <w:pStyle w:val="TableParagraph"/>
              <w:spacing w:before="59"/>
              <w:ind w:left="359"/>
              <w:rPr>
                <w:rFonts w:ascii="Times New Roman"/>
                <w:i/>
                <w:sz w:val="18"/>
              </w:rPr>
            </w:pPr>
            <w:r>
              <w:rPr>
                <w:rFonts w:ascii="Times New Roman"/>
                <w:i/>
                <w:sz w:val="18"/>
              </w:rPr>
              <w:t>EW_RX</w:t>
            </w:r>
          </w:p>
        </w:tc>
        <w:tc>
          <w:tcPr>
            <w:tcW w:w="1142" w:type="dxa"/>
          </w:tcPr>
          <w:p>
            <w:pPr>
              <w:pStyle w:val="TableParagraph"/>
              <w:spacing w:before="64"/>
              <w:ind w:left="184" w:right="145"/>
              <w:jc w:val="center"/>
              <w:rPr>
                <w:sz w:val="18"/>
              </w:rPr>
            </w:pPr>
            <w:r>
              <w:rPr>
                <w:sz w:val="18"/>
              </w:rPr>
              <w:t>28B3[4]</w:t>
            </w:r>
          </w:p>
        </w:tc>
        <w:tc>
          <w:tcPr>
            <w:tcW w:w="1231" w:type="dxa"/>
          </w:tcPr>
          <w:p>
            <w:pPr>
              <w:pStyle w:val="TableParagraph"/>
              <w:spacing w:before="59"/>
              <w:ind w:left="62" w:right="7"/>
              <w:jc w:val="center"/>
              <w:rPr>
                <w:rFonts w:ascii="Times New Roman"/>
                <w:i/>
                <w:sz w:val="18"/>
              </w:rPr>
            </w:pPr>
            <w:r>
              <w:rPr>
                <w:rFonts w:ascii="Times New Roman"/>
                <w:i/>
                <w:sz w:val="18"/>
              </w:rPr>
              <w:t>WF_RX</w:t>
            </w:r>
          </w:p>
        </w:tc>
        <w:tc>
          <w:tcPr>
            <w:tcW w:w="1193" w:type="dxa"/>
          </w:tcPr>
          <w:p>
            <w:pPr>
              <w:pStyle w:val="TableParagraph"/>
              <w:spacing w:before="64"/>
              <w:ind w:left="224" w:right="168"/>
              <w:jc w:val="center"/>
              <w:rPr>
                <w:sz w:val="18"/>
              </w:rPr>
            </w:pPr>
            <w:r>
              <w:rPr>
                <w:sz w:val="18"/>
              </w:rPr>
              <w:t>28B1[4]</w:t>
            </w:r>
          </w:p>
        </w:tc>
        <w:tc>
          <w:tcPr>
            <w:tcW w:w="1385" w:type="dxa"/>
          </w:tcPr>
          <w:p>
            <w:pPr>
              <w:pStyle w:val="TableParagraph"/>
              <w:spacing w:before="64"/>
              <w:ind w:left="498" w:right="449"/>
              <w:jc w:val="center"/>
              <w:rPr>
                <w:sz w:val="18"/>
              </w:rPr>
            </w:pPr>
            <w:r>
              <w:rPr>
                <w:sz w:val="18"/>
              </w:rPr>
              <w:t>2 µs</w:t>
            </w:r>
          </w:p>
        </w:tc>
        <w:tc>
          <w:tcPr>
            <w:tcW w:w="3149" w:type="dxa"/>
          </w:tcPr>
          <w:p>
            <w:pPr>
              <w:pStyle w:val="TableParagraph"/>
              <w:spacing w:before="64"/>
              <w:ind w:left="40"/>
              <w:rPr>
                <w:sz w:val="18"/>
              </w:rPr>
            </w:pPr>
            <w:r>
              <w:rPr>
                <w:sz w:val="18"/>
              </w:rPr>
              <w:t>Wake on either edge of RX.</w:t>
            </w:r>
          </w:p>
        </w:tc>
      </w:tr>
      <w:tr>
        <w:trPr>
          <w:trHeight w:val="326" w:hRule="atLeast"/>
        </w:trPr>
        <w:tc>
          <w:tcPr>
            <w:tcW w:w="1260" w:type="dxa"/>
          </w:tcPr>
          <w:p>
            <w:pPr>
              <w:pStyle w:val="TableParagraph"/>
              <w:spacing w:before="55"/>
              <w:ind w:right="225"/>
              <w:jc w:val="right"/>
              <w:rPr>
                <w:rFonts w:ascii="Times New Roman"/>
                <w:i/>
                <w:sz w:val="18"/>
              </w:rPr>
            </w:pPr>
            <w:r>
              <w:rPr>
                <w:rFonts w:ascii="Times New Roman"/>
                <w:i/>
                <w:sz w:val="18"/>
              </w:rPr>
              <w:t>EW_DIO4</w:t>
            </w:r>
          </w:p>
        </w:tc>
        <w:tc>
          <w:tcPr>
            <w:tcW w:w="1142" w:type="dxa"/>
          </w:tcPr>
          <w:p>
            <w:pPr>
              <w:pStyle w:val="TableParagraph"/>
              <w:spacing w:before="59"/>
              <w:ind w:left="184" w:right="145"/>
              <w:jc w:val="center"/>
              <w:rPr>
                <w:sz w:val="18"/>
              </w:rPr>
            </w:pPr>
            <w:r>
              <w:rPr>
                <w:sz w:val="18"/>
              </w:rPr>
              <w:t>28B3[2]</w:t>
            </w:r>
          </w:p>
        </w:tc>
        <w:tc>
          <w:tcPr>
            <w:tcW w:w="1231" w:type="dxa"/>
          </w:tcPr>
          <w:p>
            <w:pPr>
              <w:pStyle w:val="TableParagraph"/>
              <w:spacing w:before="55"/>
              <w:ind w:left="62" w:right="10"/>
              <w:jc w:val="center"/>
              <w:rPr>
                <w:rFonts w:ascii="Times New Roman"/>
                <w:i/>
                <w:sz w:val="18"/>
              </w:rPr>
            </w:pPr>
            <w:r>
              <w:rPr>
                <w:rFonts w:ascii="Times New Roman"/>
                <w:i/>
                <w:sz w:val="18"/>
              </w:rPr>
              <w:t>WF_DIO4</w:t>
            </w:r>
          </w:p>
        </w:tc>
        <w:tc>
          <w:tcPr>
            <w:tcW w:w="1193" w:type="dxa"/>
          </w:tcPr>
          <w:p>
            <w:pPr>
              <w:pStyle w:val="TableParagraph"/>
              <w:spacing w:before="59"/>
              <w:ind w:left="224" w:right="168"/>
              <w:jc w:val="center"/>
              <w:rPr>
                <w:sz w:val="18"/>
              </w:rPr>
            </w:pPr>
            <w:r>
              <w:rPr>
                <w:sz w:val="18"/>
              </w:rPr>
              <w:t>28B1[2]</w:t>
            </w:r>
          </w:p>
        </w:tc>
        <w:tc>
          <w:tcPr>
            <w:tcW w:w="1385" w:type="dxa"/>
          </w:tcPr>
          <w:p>
            <w:pPr>
              <w:pStyle w:val="TableParagraph"/>
              <w:spacing w:before="59"/>
              <w:ind w:left="498" w:right="449"/>
              <w:jc w:val="center"/>
              <w:rPr>
                <w:sz w:val="18"/>
              </w:rPr>
            </w:pPr>
            <w:r>
              <w:rPr>
                <w:sz w:val="18"/>
              </w:rPr>
              <w:t>2 µs</w:t>
            </w:r>
          </w:p>
        </w:tc>
        <w:tc>
          <w:tcPr>
            <w:tcW w:w="3149" w:type="dxa"/>
          </w:tcPr>
          <w:p>
            <w:pPr>
              <w:pStyle w:val="TableParagraph"/>
              <w:spacing w:before="59"/>
              <w:ind w:left="40"/>
              <w:rPr>
                <w:sz w:val="18"/>
              </w:rPr>
            </w:pPr>
            <w:r>
              <w:rPr>
                <w:sz w:val="18"/>
              </w:rPr>
              <w:t>Wake on SEGDIO4.</w:t>
            </w:r>
          </w:p>
        </w:tc>
      </w:tr>
      <w:tr>
        <w:trPr>
          <w:trHeight w:val="354" w:hRule="atLeast"/>
        </w:trPr>
        <w:tc>
          <w:tcPr>
            <w:tcW w:w="1260" w:type="dxa"/>
          </w:tcPr>
          <w:p>
            <w:pPr>
              <w:pStyle w:val="TableParagraph"/>
              <w:spacing w:before="69"/>
              <w:ind w:right="180"/>
              <w:jc w:val="right"/>
              <w:rPr>
                <w:rFonts w:ascii="Times New Roman"/>
                <w:i/>
                <w:sz w:val="18"/>
              </w:rPr>
            </w:pPr>
            <w:r>
              <w:rPr>
                <w:rFonts w:ascii="Times New Roman"/>
                <w:i/>
                <w:sz w:val="18"/>
              </w:rPr>
              <w:t>EW_DIO52</w:t>
            </w:r>
          </w:p>
        </w:tc>
        <w:tc>
          <w:tcPr>
            <w:tcW w:w="1142" w:type="dxa"/>
          </w:tcPr>
          <w:p>
            <w:pPr>
              <w:pStyle w:val="TableParagraph"/>
              <w:spacing w:before="73"/>
              <w:ind w:left="184" w:right="145"/>
              <w:jc w:val="center"/>
              <w:rPr>
                <w:sz w:val="18"/>
              </w:rPr>
            </w:pPr>
            <w:r>
              <w:rPr>
                <w:sz w:val="18"/>
              </w:rPr>
              <w:t>28B3[1]</w:t>
            </w:r>
          </w:p>
        </w:tc>
        <w:tc>
          <w:tcPr>
            <w:tcW w:w="1231" w:type="dxa"/>
          </w:tcPr>
          <w:p>
            <w:pPr>
              <w:pStyle w:val="TableParagraph"/>
              <w:spacing w:before="69"/>
              <w:ind w:left="62" w:right="10"/>
              <w:jc w:val="center"/>
              <w:rPr>
                <w:rFonts w:ascii="Times New Roman"/>
                <w:i/>
                <w:sz w:val="18"/>
              </w:rPr>
            </w:pPr>
            <w:r>
              <w:rPr>
                <w:rFonts w:ascii="Times New Roman"/>
                <w:i/>
                <w:sz w:val="18"/>
              </w:rPr>
              <w:t>WF_DIO52</w:t>
            </w:r>
          </w:p>
        </w:tc>
        <w:tc>
          <w:tcPr>
            <w:tcW w:w="1193" w:type="dxa"/>
          </w:tcPr>
          <w:p>
            <w:pPr>
              <w:pStyle w:val="TableParagraph"/>
              <w:spacing w:before="73"/>
              <w:ind w:left="224" w:right="168"/>
              <w:jc w:val="center"/>
              <w:rPr>
                <w:sz w:val="18"/>
              </w:rPr>
            </w:pPr>
            <w:r>
              <w:rPr>
                <w:sz w:val="18"/>
              </w:rPr>
              <w:t>28B1[1]</w:t>
            </w:r>
          </w:p>
        </w:tc>
        <w:tc>
          <w:tcPr>
            <w:tcW w:w="1385" w:type="dxa"/>
          </w:tcPr>
          <w:p>
            <w:pPr>
              <w:pStyle w:val="TableParagraph"/>
              <w:spacing w:before="73"/>
              <w:ind w:left="475" w:right="471"/>
              <w:jc w:val="center"/>
              <w:rPr>
                <w:sz w:val="18"/>
              </w:rPr>
            </w:pPr>
            <w:r>
              <w:rPr>
                <w:sz w:val="18"/>
              </w:rPr>
              <w:t>Yes</w:t>
            </w:r>
          </w:p>
        </w:tc>
        <w:tc>
          <w:tcPr>
            <w:tcW w:w="3149" w:type="dxa"/>
          </w:tcPr>
          <w:p>
            <w:pPr>
              <w:pStyle w:val="TableParagraph"/>
              <w:spacing w:before="73"/>
              <w:ind w:left="40"/>
              <w:rPr>
                <w:sz w:val="18"/>
              </w:rPr>
            </w:pPr>
            <w:r>
              <w:rPr>
                <w:sz w:val="18"/>
              </w:rPr>
              <w:t>Wake on SEGDIO52.*</w:t>
            </w:r>
          </w:p>
        </w:tc>
      </w:tr>
      <w:tr>
        <w:trPr>
          <w:trHeight w:val="1115" w:hRule="atLeast"/>
        </w:trPr>
        <w:tc>
          <w:tcPr>
            <w:tcW w:w="1260" w:type="dxa"/>
          </w:tcPr>
          <w:p>
            <w:pPr>
              <w:pStyle w:val="TableParagraph"/>
              <w:rPr>
                <w:b/>
                <w:sz w:val="20"/>
              </w:rPr>
            </w:pPr>
          </w:p>
          <w:p>
            <w:pPr>
              <w:pStyle w:val="TableParagraph"/>
              <w:spacing w:before="2"/>
              <w:rPr>
                <w:b/>
                <w:sz w:val="19"/>
              </w:rPr>
            </w:pPr>
          </w:p>
          <w:p>
            <w:pPr>
              <w:pStyle w:val="TableParagraph"/>
              <w:ind w:right="180"/>
              <w:jc w:val="right"/>
              <w:rPr>
                <w:rFonts w:ascii="Times New Roman"/>
                <w:i/>
                <w:sz w:val="18"/>
              </w:rPr>
            </w:pPr>
            <w:r>
              <w:rPr>
                <w:rFonts w:ascii="Times New Roman"/>
                <w:i/>
                <w:sz w:val="18"/>
              </w:rPr>
              <w:t>EW_DIO55</w:t>
            </w:r>
          </w:p>
        </w:tc>
        <w:tc>
          <w:tcPr>
            <w:tcW w:w="1142" w:type="dxa"/>
          </w:tcPr>
          <w:p>
            <w:pPr>
              <w:pStyle w:val="TableParagraph"/>
              <w:rPr>
                <w:b/>
                <w:sz w:val="20"/>
              </w:rPr>
            </w:pPr>
          </w:p>
          <w:p>
            <w:pPr>
              <w:pStyle w:val="TableParagraph"/>
              <w:spacing w:before="6"/>
              <w:rPr>
                <w:b/>
                <w:sz w:val="19"/>
              </w:rPr>
            </w:pPr>
          </w:p>
          <w:p>
            <w:pPr>
              <w:pStyle w:val="TableParagraph"/>
              <w:ind w:left="184" w:right="145"/>
              <w:jc w:val="center"/>
              <w:rPr>
                <w:sz w:val="18"/>
              </w:rPr>
            </w:pPr>
            <w:r>
              <w:rPr>
                <w:sz w:val="18"/>
              </w:rPr>
              <w:t>28B3[0]</w:t>
            </w:r>
          </w:p>
        </w:tc>
        <w:tc>
          <w:tcPr>
            <w:tcW w:w="1231" w:type="dxa"/>
          </w:tcPr>
          <w:p>
            <w:pPr>
              <w:pStyle w:val="TableParagraph"/>
              <w:rPr>
                <w:b/>
                <w:sz w:val="20"/>
              </w:rPr>
            </w:pPr>
          </w:p>
          <w:p>
            <w:pPr>
              <w:pStyle w:val="TableParagraph"/>
              <w:spacing w:before="2"/>
              <w:rPr>
                <w:b/>
                <w:sz w:val="19"/>
              </w:rPr>
            </w:pPr>
          </w:p>
          <w:p>
            <w:pPr>
              <w:pStyle w:val="TableParagraph"/>
              <w:ind w:left="62" w:right="10"/>
              <w:jc w:val="center"/>
              <w:rPr>
                <w:rFonts w:ascii="Times New Roman"/>
                <w:i/>
                <w:sz w:val="18"/>
              </w:rPr>
            </w:pPr>
            <w:r>
              <w:rPr>
                <w:rFonts w:ascii="Times New Roman"/>
                <w:i/>
                <w:sz w:val="18"/>
              </w:rPr>
              <w:t>WF_DIO55</w:t>
            </w:r>
          </w:p>
        </w:tc>
        <w:tc>
          <w:tcPr>
            <w:tcW w:w="1193" w:type="dxa"/>
          </w:tcPr>
          <w:p>
            <w:pPr>
              <w:pStyle w:val="TableParagraph"/>
              <w:rPr>
                <w:b/>
                <w:sz w:val="20"/>
              </w:rPr>
            </w:pPr>
          </w:p>
          <w:p>
            <w:pPr>
              <w:pStyle w:val="TableParagraph"/>
              <w:spacing w:before="6"/>
              <w:rPr>
                <w:b/>
                <w:sz w:val="19"/>
              </w:rPr>
            </w:pPr>
          </w:p>
          <w:p>
            <w:pPr>
              <w:pStyle w:val="TableParagraph"/>
              <w:ind w:left="224" w:right="168"/>
              <w:jc w:val="center"/>
              <w:rPr>
                <w:sz w:val="18"/>
              </w:rPr>
            </w:pPr>
            <w:r>
              <w:rPr>
                <w:sz w:val="18"/>
              </w:rPr>
              <w:t>28B1[0]</w:t>
            </w:r>
          </w:p>
        </w:tc>
        <w:tc>
          <w:tcPr>
            <w:tcW w:w="1385" w:type="dxa"/>
          </w:tcPr>
          <w:p>
            <w:pPr>
              <w:pStyle w:val="TableParagraph"/>
              <w:rPr>
                <w:b/>
                <w:sz w:val="20"/>
              </w:rPr>
            </w:pPr>
          </w:p>
          <w:p>
            <w:pPr>
              <w:pStyle w:val="TableParagraph"/>
              <w:spacing w:before="6"/>
              <w:rPr>
                <w:b/>
                <w:sz w:val="19"/>
              </w:rPr>
            </w:pPr>
          </w:p>
          <w:p>
            <w:pPr>
              <w:pStyle w:val="TableParagraph"/>
              <w:ind w:left="479" w:right="471"/>
              <w:jc w:val="center"/>
              <w:rPr>
                <w:sz w:val="18"/>
              </w:rPr>
            </w:pPr>
            <w:r>
              <w:rPr>
                <w:sz w:val="18"/>
              </w:rPr>
              <w:t>Yes</w:t>
            </w:r>
          </w:p>
        </w:tc>
        <w:tc>
          <w:tcPr>
            <w:tcW w:w="3149" w:type="dxa"/>
          </w:tcPr>
          <w:p>
            <w:pPr>
              <w:pStyle w:val="TableParagraph"/>
              <w:spacing w:line="247" w:lineRule="auto" w:before="13"/>
              <w:ind w:left="40" w:right="98"/>
              <w:rPr>
                <w:sz w:val="18"/>
              </w:rPr>
            </w:pPr>
            <w:r>
              <w:rPr>
                <w:rFonts w:ascii="Times New Roman"/>
                <w:i/>
                <w:sz w:val="18"/>
              </w:rPr>
              <w:t>OPT_RXDIS </w:t>
            </w:r>
            <w:r>
              <w:rPr>
                <w:sz w:val="18"/>
              </w:rPr>
              <w:t>= 1: Wake on DIO55 with 64 ms de-bounce.*</w:t>
            </w:r>
          </w:p>
          <w:p>
            <w:pPr>
              <w:pStyle w:val="TableParagraph"/>
              <w:spacing w:line="196" w:lineRule="exact"/>
              <w:ind w:left="40"/>
              <w:rPr>
                <w:sz w:val="18"/>
              </w:rPr>
            </w:pPr>
            <w:r>
              <w:rPr>
                <w:rFonts w:ascii="Times New Roman"/>
                <w:i/>
                <w:sz w:val="18"/>
              </w:rPr>
              <w:t>OPT_RXDIS </w:t>
            </w:r>
            <w:r>
              <w:rPr>
                <w:sz w:val="18"/>
              </w:rPr>
              <w:t>= 0: Wake on either edge</w:t>
            </w:r>
          </w:p>
          <w:p>
            <w:pPr>
              <w:pStyle w:val="TableParagraph"/>
              <w:spacing w:before="6"/>
              <w:ind w:left="40"/>
              <w:rPr>
                <w:sz w:val="18"/>
              </w:rPr>
            </w:pPr>
            <w:r>
              <w:rPr>
                <w:sz w:val="18"/>
              </w:rPr>
              <w:t>of OPT_RX with 2 µs de-bounce.</w:t>
            </w:r>
          </w:p>
          <w:p>
            <w:pPr>
              <w:pStyle w:val="TableParagraph"/>
              <w:spacing w:before="34"/>
              <w:ind w:left="40"/>
              <w:rPr>
                <w:rFonts w:ascii="Times New Roman"/>
                <w:i/>
                <w:sz w:val="18"/>
              </w:rPr>
            </w:pPr>
            <w:r>
              <w:rPr>
                <w:rFonts w:ascii="Times New Roman"/>
                <w:i/>
                <w:sz w:val="18"/>
              </w:rPr>
              <w:t>OPT_RXDIS: I/O RAM 0x2457[2]</w:t>
            </w:r>
          </w:p>
        </w:tc>
      </w:tr>
      <w:tr>
        <w:trPr>
          <w:trHeight w:val="249" w:hRule="atLeast"/>
        </w:trPr>
        <w:tc>
          <w:tcPr>
            <w:tcW w:w="2402" w:type="dxa"/>
            <w:gridSpan w:val="2"/>
          </w:tcPr>
          <w:p>
            <w:pPr>
              <w:pStyle w:val="TableParagraph"/>
              <w:spacing w:before="20"/>
              <w:ind w:left="573"/>
              <w:rPr>
                <w:sz w:val="18"/>
              </w:rPr>
            </w:pPr>
            <w:r>
              <w:rPr>
                <w:sz w:val="18"/>
              </w:rPr>
              <w:t>Always Enabled</w:t>
            </w:r>
          </w:p>
        </w:tc>
        <w:tc>
          <w:tcPr>
            <w:tcW w:w="1231" w:type="dxa"/>
          </w:tcPr>
          <w:p>
            <w:pPr>
              <w:pStyle w:val="TableParagraph"/>
              <w:spacing w:before="16"/>
              <w:ind w:left="62" w:right="7"/>
              <w:jc w:val="center"/>
              <w:rPr>
                <w:rFonts w:ascii="Times New Roman"/>
                <w:i/>
                <w:sz w:val="18"/>
              </w:rPr>
            </w:pPr>
            <w:r>
              <w:rPr>
                <w:rFonts w:ascii="Times New Roman"/>
                <w:i/>
                <w:sz w:val="18"/>
              </w:rPr>
              <w:t>WF_RST</w:t>
            </w:r>
          </w:p>
        </w:tc>
        <w:tc>
          <w:tcPr>
            <w:tcW w:w="1193" w:type="dxa"/>
          </w:tcPr>
          <w:p>
            <w:pPr>
              <w:pStyle w:val="TableParagraph"/>
              <w:spacing w:before="20"/>
              <w:ind w:left="224" w:right="168"/>
              <w:jc w:val="center"/>
              <w:rPr>
                <w:sz w:val="18"/>
              </w:rPr>
            </w:pPr>
            <w:r>
              <w:rPr>
                <w:sz w:val="18"/>
              </w:rPr>
              <w:t>28B0[6]</w:t>
            </w:r>
          </w:p>
        </w:tc>
        <w:tc>
          <w:tcPr>
            <w:tcW w:w="1385" w:type="dxa"/>
          </w:tcPr>
          <w:p>
            <w:pPr>
              <w:pStyle w:val="TableParagraph"/>
              <w:spacing w:before="20"/>
              <w:ind w:left="476" w:right="471"/>
              <w:jc w:val="center"/>
              <w:rPr>
                <w:sz w:val="18"/>
              </w:rPr>
            </w:pPr>
            <w:r>
              <w:rPr>
                <w:sz w:val="18"/>
              </w:rPr>
              <w:t>2 µs</w:t>
            </w:r>
          </w:p>
        </w:tc>
        <w:tc>
          <w:tcPr>
            <w:tcW w:w="3149" w:type="dxa"/>
          </w:tcPr>
          <w:p>
            <w:pPr>
              <w:pStyle w:val="TableParagraph"/>
              <w:spacing w:before="15"/>
              <w:ind w:left="40"/>
              <w:rPr>
                <w:rFonts w:ascii="Times New Roman"/>
                <w:i/>
                <w:sz w:val="18"/>
              </w:rPr>
            </w:pPr>
            <w:r>
              <w:rPr>
                <w:sz w:val="18"/>
              </w:rPr>
              <w:t>Wake after </w:t>
            </w:r>
            <w:r>
              <w:rPr>
                <w:rFonts w:ascii="Times New Roman"/>
                <w:i/>
                <w:sz w:val="18"/>
              </w:rPr>
              <w:t>RESET.</w:t>
            </w:r>
          </w:p>
        </w:tc>
      </w:tr>
      <w:tr>
        <w:trPr>
          <w:trHeight w:val="246" w:hRule="atLeast"/>
        </w:trPr>
        <w:tc>
          <w:tcPr>
            <w:tcW w:w="2402" w:type="dxa"/>
            <w:gridSpan w:val="2"/>
          </w:tcPr>
          <w:p>
            <w:pPr>
              <w:pStyle w:val="TableParagraph"/>
              <w:spacing w:before="18"/>
              <w:ind w:left="573"/>
              <w:rPr>
                <w:sz w:val="18"/>
              </w:rPr>
            </w:pPr>
            <w:r>
              <w:rPr>
                <w:sz w:val="18"/>
              </w:rPr>
              <w:t>Always Enabled</w:t>
            </w:r>
          </w:p>
        </w:tc>
        <w:tc>
          <w:tcPr>
            <w:tcW w:w="1231" w:type="dxa"/>
          </w:tcPr>
          <w:p>
            <w:pPr>
              <w:pStyle w:val="TableParagraph"/>
              <w:spacing w:before="14"/>
              <w:ind w:left="62" w:right="7"/>
              <w:jc w:val="center"/>
              <w:rPr>
                <w:rFonts w:ascii="Times New Roman"/>
                <w:i/>
                <w:sz w:val="18"/>
              </w:rPr>
            </w:pPr>
            <w:r>
              <w:rPr>
                <w:rFonts w:ascii="Times New Roman"/>
                <w:i/>
                <w:sz w:val="18"/>
              </w:rPr>
              <w:t>WF_RSTBIT</w:t>
            </w:r>
          </w:p>
        </w:tc>
        <w:tc>
          <w:tcPr>
            <w:tcW w:w="1193" w:type="dxa"/>
          </w:tcPr>
          <w:p>
            <w:pPr>
              <w:pStyle w:val="TableParagraph"/>
              <w:spacing w:before="18"/>
              <w:ind w:left="224" w:right="168"/>
              <w:jc w:val="center"/>
              <w:rPr>
                <w:sz w:val="18"/>
              </w:rPr>
            </w:pPr>
            <w:r>
              <w:rPr>
                <w:sz w:val="18"/>
              </w:rPr>
              <w:t>28B0[5]</w:t>
            </w:r>
          </w:p>
        </w:tc>
        <w:tc>
          <w:tcPr>
            <w:tcW w:w="1385" w:type="dxa"/>
          </w:tcPr>
          <w:p>
            <w:pPr>
              <w:pStyle w:val="TableParagraph"/>
              <w:spacing w:before="18"/>
              <w:ind w:left="477" w:right="471"/>
              <w:jc w:val="center"/>
              <w:rPr>
                <w:sz w:val="18"/>
              </w:rPr>
            </w:pPr>
            <w:r>
              <w:rPr>
                <w:sz w:val="18"/>
              </w:rPr>
              <w:t>No</w:t>
            </w:r>
          </w:p>
        </w:tc>
        <w:tc>
          <w:tcPr>
            <w:tcW w:w="3149" w:type="dxa"/>
          </w:tcPr>
          <w:p>
            <w:pPr>
              <w:pStyle w:val="TableParagraph"/>
              <w:spacing w:before="13"/>
              <w:ind w:left="40"/>
              <w:rPr>
                <w:sz w:val="18"/>
              </w:rPr>
            </w:pPr>
            <w:r>
              <w:rPr>
                <w:sz w:val="18"/>
              </w:rPr>
              <w:t>Wake after </w:t>
            </w:r>
            <w:r>
              <w:rPr>
                <w:rFonts w:ascii="Times New Roman"/>
                <w:i/>
                <w:sz w:val="18"/>
              </w:rPr>
              <w:t>RESET </w:t>
            </w:r>
            <w:r>
              <w:rPr>
                <w:sz w:val="18"/>
              </w:rPr>
              <w:t>bit.</w:t>
            </w:r>
          </w:p>
        </w:tc>
      </w:tr>
      <w:tr>
        <w:trPr>
          <w:trHeight w:val="455" w:hRule="atLeast"/>
        </w:trPr>
        <w:tc>
          <w:tcPr>
            <w:tcW w:w="2402" w:type="dxa"/>
            <w:gridSpan w:val="2"/>
          </w:tcPr>
          <w:p>
            <w:pPr>
              <w:pStyle w:val="TableParagraph"/>
              <w:spacing w:before="123"/>
              <w:ind w:left="573"/>
              <w:rPr>
                <w:sz w:val="18"/>
              </w:rPr>
            </w:pPr>
            <w:r>
              <w:rPr>
                <w:sz w:val="18"/>
              </w:rPr>
              <w:t>Always Enabled</w:t>
            </w:r>
          </w:p>
        </w:tc>
        <w:tc>
          <w:tcPr>
            <w:tcW w:w="1231" w:type="dxa"/>
          </w:tcPr>
          <w:p>
            <w:pPr>
              <w:pStyle w:val="TableParagraph"/>
              <w:spacing w:before="119"/>
              <w:ind w:left="62" w:right="7"/>
              <w:jc w:val="center"/>
              <w:rPr>
                <w:rFonts w:ascii="Times New Roman"/>
                <w:i/>
                <w:sz w:val="18"/>
              </w:rPr>
            </w:pPr>
            <w:r>
              <w:rPr>
                <w:rFonts w:ascii="Times New Roman"/>
                <w:i/>
                <w:sz w:val="18"/>
              </w:rPr>
              <w:t>WF_ERST</w:t>
            </w:r>
          </w:p>
        </w:tc>
        <w:tc>
          <w:tcPr>
            <w:tcW w:w="1193" w:type="dxa"/>
          </w:tcPr>
          <w:p>
            <w:pPr>
              <w:pStyle w:val="TableParagraph"/>
              <w:spacing w:before="123"/>
              <w:ind w:left="224" w:right="168"/>
              <w:jc w:val="center"/>
              <w:rPr>
                <w:sz w:val="18"/>
              </w:rPr>
            </w:pPr>
            <w:r>
              <w:rPr>
                <w:sz w:val="18"/>
              </w:rPr>
              <w:t>28B0[3]</w:t>
            </w:r>
          </w:p>
        </w:tc>
        <w:tc>
          <w:tcPr>
            <w:tcW w:w="1385" w:type="dxa"/>
          </w:tcPr>
          <w:p>
            <w:pPr>
              <w:pStyle w:val="TableParagraph"/>
              <w:spacing w:before="123"/>
              <w:ind w:left="477" w:right="471"/>
              <w:jc w:val="center"/>
              <w:rPr>
                <w:sz w:val="18"/>
              </w:rPr>
            </w:pPr>
            <w:r>
              <w:rPr>
                <w:sz w:val="18"/>
              </w:rPr>
              <w:t>2 µs</w:t>
            </w:r>
          </w:p>
        </w:tc>
        <w:tc>
          <w:tcPr>
            <w:tcW w:w="3149" w:type="dxa"/>
          </w:tcPr>
          <w:p>
            <w:pPr>
              <w:pStyle w:val="TableParagraph"/>
              <w:spacing w:before="20"/>
              <w:ind w:left="40" w:right="1278"/>
              <w:rPr>
                <w:sz w:val="18"/>
              </w:rPr>
            </w:pPr>
            <w:r>
              <w:rPr>
                <w:sz w:val="18"/>
              </w:rPr>
              <w:t>Wake after E_RST. (ICE must be enabled)</w:t>
            </w:r>
          </w:p>
        </w:tc>
      </w:tr>
    </w:tbl>
    <w:p>
      <w:pPr>
        <w:spacing w:after="0"/>
        <w:rPr>
          <w:sz w:val="18"/>
        </w:rPr>
        <w:sectPr>
          <w:pgSz w:w="12240" w:h="15840"/>
          <w:pgMar w:header="727" w:footer="819" w:top="960" w:bottom="1000" w:left="1200" w:right="1060"/>
        </w:sectPr>
      </w:pPr>
    </w:p>
    <w:tbl>
      <w:tblPr>
        <w:tblW w:w="0" w:type="auto"/>
        <w:jc w:val="left"/>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142"/>
        <w:gridCol w:w="1231"/>
        <w:gridCol w:w="1190"/>
        <w:gridCol w:w="1387"/>
        <w:gridCol w:w="3149"/>
      </w:tblGrid>
      <w:tr>
        <w:trPr>
          <w:trHeight w:val="287" w:hRule="atLeast"/>
        </w:trPr>
        <w:tc>
          <w:tcPr>
            <w:tcW w:w="2402" w:type="dxa"/>
            <w:gridSpan w:val="2"/>
            <w:tcBorders>
              <w:left w:val="nil"/>
              <w:right w:val="nil"/>
            </w:tcBorders>
          </w:tcPr>
          <w:p>
            <w:pPr>
              <w:pStyle w:val="TableParagraph"/>
              <w:rPr>
                <w:rFonts w:ascii="Times New Roman"/>
                <w:sz w:val="18"/>
              </w:rPr>
            </w:pPr>
          </w:p>
        </w:tc>
        <w:tc>
          <w:tcPr>
            <w:tcW w:w="2421" w:type="dxa"/>
            <w:gridSpan w:val="2"/>
            <w:tcBorders>
              <w:left w:val="nil"/>
              <w:right w:val="nil"/>
            </w:tcBorders>
          </w:tcPr>
          <w:p>
            <w:pPr>
              <w:pStyle w:val="TableParagraph"/>
              <w:rPr>
                <w:rFonts w:ascii="Times New Roman"/>
                <w:sz w:val="18"/>
              </w:rPr>
            </w:pPr>
          </w:p>
        </w:tc>
        <w:tc>
          <w:tcPr>
            <w:tcW w:w="1387" w:type="dxa"/>
            <w:tcBorders>
              <w:left w:val="nil"/>
              <w:right w:val="nil"/>
            </w:tcBorders>
          </w:tcPr>
          <w:p>
            <w:pPr>
              <w:pStyle w:val="TableParagraph"/>
              <w:rPr>
                <w:rFonts w:ascii="Times New Roman"/>
                <w:sz w:val="18"/>
              </w:rPr>
            </w:pPr>
          </w:p>
        </w:tc>
        <w:tc>
          <w:tcPr>
            <w:tcW w:w="3149" w:type="dxa"/>
            <w:tcBorders>
              <w:left w:val="nil"/>
              <w:right w:val="nil"/>
            </w:tcBorders>
          </w:tcPr>
          <w:p>
            <w:pPr>
              <w:pStyle w:val="TableParagraph"/>
              <w:rPr>
                <w:rFonts w:ascii="Times New Roman"/>
                <w:sz w:val="18"/>
              </w:rPr>
            </w:pPr>
          </w:p>
        </w:tc>
      </w:tr>
      <w:tr>
        <w:trPr>
          <w:trHeight w:val="277" w:hRule="atLeast"/>
        </w:trPr>
        <w:tc>
          <w:tcPr>
            <w:tcW w:w="2402" w:type="dxa"/>
            <w:gridSpan w:val="2"/>
          </w:tcPr>
          <w:p>
            <w:pPr>
              <w:pStyle w:val="TableParagraph"/>
              <w:spacing w:before="32"/>
              <w:ind w:left="667"/>
              <w:rPr>
                <w:b/>
                <w:sz w:val="18"/>
              </w:rPr>
            </w:pPr>
            <w:r>
              <w:rPr>
                <w:b/>
                <w:sz w:val="18"/>
              </w:rPr>
              <w:t>Wake Enable</w:t>
            </w:r>
          </w:p>
        </w:tc>
        <w:tc>
          <w:tcPr>
            <w:tcW w:w="2421" w:type="dxa"/>
            <w:gridSpan w:val="2"/>
          </w:tcPr>
          <w:p>
            <w:pPr>
              <w:pStyle w:val="TableParagraph"/>
              <w:spacing w:before="32"/>
              <w:ind w:left="789"/>
              <w:rPr>
                <w:b/>
                <w:sz w:val="18"/>
              </w:rPr>
            </w:pPr>
            <w:r>
              <w:rPr>
                <w:b/>
                <w:sz w:val="18"/>
              </w:rPr>
              <w:t>Wake Flag</w:t>
            </w:r>
          </w:p>
        </w:tc>
        <w:tc>
          <w:tcPr>
            <w:tcW w:w="1387" w:type="dxa"/>
            <w:vMerge w:val="restart"/>
            <w:tcBorders>
              <w:bottom w:val="double" w:sz="1" w:space="0" w:color="000000"/>
            </w:tcBorders>
          </w:tcPr>
          <w:p>
            <w:pPr>
              <w:pStyle w:val="TableParagraph"/>
              <w:spacing w:before="8"/>
              <w:rPr>
                <w:b/>
                <w:sz w:val="15"/>
              </w:rPr>
            </w:pPr>
          </w:p>
          <w:p>
            <w:pPr>
              <w:pStyle w:val="TableParagraph"/>
              <w:spacing w:before="1"/>
              <w:ind w:left="250"/>
              <w:rPr>
                <w:b/>
                <w:sz w:val="18"/>
              </w:rPr>
            </w:pPr>
            <w:r>
              <w:rPr>
                <w:b/>
                <w:sz w:val="18"/>
              </w:rPr>
              <w:t>De-bounce</w:t>
            </w:r>
          </w:p>
        </w:tc>
        <w:tc>
          <w:tcPr>
            <w:tcW w:w="3149" w:type="dxa"/>
            <w:vMerge w:val="restart"/>
            <w:tcBorders>
              <w:bottom w:val="double" w:sz="1" w:space="0" w:color="000000"/>
            </w:tcBorders>
          </w:tcPr>
          <w:p>
            <w:pPr>
              <w:pStyle w:val="TableParagraph"/>
              <w:spacing w:before="8"/>
              <w:rPr>
                <w:b/>
                <w:sz w:val="15"/>
              </w:rPr>
            </w:pPr>
          </w:p>
          <w:p>
            <w:pPr>
              <w:pStyle w:val="TableParagraph"/>
              <w:spacing w:before="1"/>
              <w:ind w:left="41"/>
              <w:rPr>
                <w:b/>
                <w:sz w:val="18"/>
              </w:rPr>
            </w:pPr>
            <w:r>
              <w:rPr>
                <w:b/>
                <w:sz w:val="18"/>
              </w:rPr>
              <w:t>Description</w:t>
            </w:r>
          </w:p>
        </w:tc>
      </w:tr>
      <w:tr>
        <w:trPr>
          <w:trHeight w:val="274" w:hRule="atLeast"/>
        </w:trPr>
        <w:tc>
          <w:tcPr>
            <w:tcW w:w="1260" w:type="dxa"/>
            <w:tcBorders>
              <w:bottom w:val="double" w:sz="1" w:space="0" w:color="000000"/>
            </w:tcBorders>
          </w:tcPr>
          <w:p>
            <w:pPr>
              <w:pStyle w:val="TableParagraph"/>
              <w:spacing w:before="22"/>
              <w:ind w:left="405"/>
              <w:rPr>
                <w:b/>
                <w:sz w:val="18"/>
              </w:rPr>
            </w:pPr>
            <w:r>
              <w:rPr>
                <w:b/>
                <w:sz w:val="18"/>
              </w:rPr>
              <w:t>Name</w:t>
            </w:r>
          </w:p>
        </w:tc>
        <w:tc>
          <w:tcPr>
            <w:tcW w:w="1142" w:type="dxa"/>
            <w:tcBorders>
              <w:bottom w:val="double" w:sz="1" w:space="0" w:color="000000"/>
            </w:tcBorders>
          </w:tcPr>
          <w:p>
            <w:pPr>
              <w:pStyle w:val="TableParagraph"/>
              <w:spacing w:before="22"/>
              <w:ind w:left="216"/>
              <w:rPr>
                <w:b/>
                <w:sz w:val="18"/>
              </w:rPr>
            </w:pPr>
            <w:r>
              <w:rPr>
                <w:b/>
                <w:sz w:val="18"/>
              </w:rPr>
              <w:t>Location</w:t>
            </w:r>
          </w:p>
        </w:tc>
        <w:tc>
          <w:tcPr>
            <w:tcW w:w="1231" w:type="dxa"/>
            <w:tcBorders>
              <w:bottom w:val="double" w:sz="1" w:space="0" w:color="000000"/>
            </w:tcBorders>
          </w:tcPr>
          <w:p>
            <w:pPr>
              <w:pStyle w:val="TableParagraph"/>
              <w:spacing w:before="22"/>
              <w:ind w:left="62" w:right="8"/>
              <w:jc w:val="center"/>
              <w:rPr>
                <w:b/>
                <w:sz w:val="18"/>
              </w:rPr>
            </w:pPr>
            <w:r>
              <w:rPr>
                <w:b/>
                <w:sz w:val="18"/>
              </w:rPr>
              <w:t>Name</w:t>
            </w:r>
          </w:p>
        </w:tc>
        <w:tc>
          <w:tcPr>
            <w:tcW w:w="1190" w:type="dxa"/>
            <w:tcBorders>
              <w:bottom w:val="double" w:sz="1" w:space="0" w:color="000000"/>
            </w:tcBorders>
          </w:tcPr>
          <w:p>
            <w:pPr>
              <w:pStyle w:val="TableParagraph"/>
              <w:spacing w:before="22"/>
              <w:ind w:left="224" w:right="166"/>
              <w:jc w:val="center"/>
              <w:rPr>
                <w:b/>
                <w:sz w:val="18"/>
              </w:rPr>
            </w:pPr>
            <w:r>
              <w:rPr>
                <w:b/>
                <w:sz w:val="18"/>
              </w:rPr>
              <w:t>Location</w:t>
            </w:r>
          </w:p>
        </w:tc>
        <w:tc>
          <w:tcPr>
            <w:tcW w:w="1387" w:type="dxa"/>
            <w:vMerge/>
            <w:tcBorders>
              <w:top w:val="nil"/>
              <w:bottom w:val="double" w:sz="1" w:space="0" w:color="000000"/>
            </w:tcBorders>
          </w:tcPr>
          <w:p>
            <w:pPr>
              <w:rPr>
                <w:sz w:val="2"/>
                <w:szCs w:val="2"/>
              </w:rPr>
            </w:pPr>
          </w:p>
        </w:tc>
        <w:tc>
          <w:tcPr>
            <w:tcW w:w="3149" w:type="dxa"/>
            <w:vMerge/>
            <w:tcBorders>
              <w:top w:val="nil"/>
              <w:bottom w:val="double" w:sz="1" w:space="0" w:color="000000"/>
            </w:tcBorders>
          </w:tcPr>
          <w:p>
            <w:pPr>
              <w:rPr>
                <w:sz w:val="2"/>
                <w:szCs w:val="2"/>
              </w:rPr>
            </w:pPr>
          </w:p>
        </w:tc>
      </w:tr>
      <w:tr>
        <w:trPr>
          <w:trHeight w:val="227" w:hRule="atLeast"/>
        </w:trPr>
        <w:tc>
          <w:tcPr>
            <w:tcW w:w="2402" w:type="dxa"/>
            <w:gridSpan w:val="2"/>
            <w:tcBorders>
              <w:top w:val="double" w:sz="1" w:space="0" w:color="000000"/>
            </w:tcBorders>
          </w:tcPr>
          <w:p>
            <w:pPr>
              <w:pStyle w:val="TableParagraph"/>
              <w:spacing w:line="206" w:lineRule="exact" w:before="1"/>
              <w:ind w:left="573"/>
              <w:rPr>
                <w:sz w:val="18"/>
              </w:rPr>
            </w:pPr>
            <w:r>
              <w:rPr>
                <w:sz w:val="18"/>
              </w:rPr>
              <w:t>Always Enabled</w:t>
            </w:r>
          </w:p>
        </w:tc>
        <w:tc>
          <w:tcPr>
            <w:tcW w:w="1231" w:type="dxa"/>
            <w:tcBorders>
              <w:top w:val="double" w:sz="1" w:space="0" w:color="000000"/>
            </w:tcBorders>
          </w:tcPr>
          <w:p>
            <w:pPr>
              <w:pStyle w:val="TableParagraph"/>
              <w:spacing w:line="204" w:lineRule="exact"/>
              <w:ind w:left="62" w:right="11"/>
              <w:jc w:val="center"/>
              <w:rPr>
                <w:rFonts w:ascii="Times New Roman"/>
                <w:i/>
                <w:sz w:val="18"/>
              </w:rPr>
            </w:pPr>
            <w:r>
              <w:rPr>
                <w:rFonts w:ascii="Times New Roman"/>
                <w:i/>
                <w:sz w:val="18"/>
              </w:rPr>
              <w:t>WF_OVF</w:t>
            </w:r>
          </w:p>
        </w:tc>
        <w:tc>
          <w:tcPr>
            <w:tcW w:w="1190" w:type="dxa"/>
            <w:tcBorders>
              <w:top w:val="double" w:sz="1" w:space="0" w:color="000000"/>
            </w:tcBorders>
          </w:tcPr>
          <w:p>
            <w:pPr>
              <w:pStyle w:val="TableParagraph"/>
              <w:spacing w:line="206" w:lineRule="exact" w:before="1"/>
              <w:ind w:left="224" w:right="165"/>
              <w:jc w:val="center"/>
              <w:rPr>
                <w:sz w:val="18"/>
              </w:rPr>
            </w:pPr>
            <w:r>
              <w:rPr>
                <w:sz w:val="18"/>
              </w:rPr>
              <w:t>28B0[4]</w:t>
            </w:r>
          </w:p>
        </w:tc>
        <w:tc>
          <w:tcPr>
            <w:tcW w:w="1387" w:type="dxa"/>
            <w:tcBorders>
              <w:top w:val="double" w:sz="1" w:space="0" w:color="000000"/>
            </w:tcBorders>
          </w:tcPr>
          <w:p>
            <w:pPr>
              <w:pStyle w:val="TableParagraph"/>
              <w:spacing w:line="206" w:lineRule="exact" w:before="1"/>
              <w:ind w:left="327" w:right="316"/>
              <w:jc w:val="center"/>
              <w:rPr>
                <w:sz w:val="18"/>
              </w:rPr>
            </w:pPr>
            <w:r>
              <w:rPr>
                <w:sz w:val="18"/>
              </w:rPr>
              <w:t>No</w:t>
            </w:r>
          </w:p>
        </w:tc>
        <w:tc>
          <w:tcPr>
            <w:tcW w:w="3149" w:type="dxa"/>
            <w:tcBorders>
              <w:top w:val="double" w:sz="1" w:space="0" w:color="000000"/>
            </w:tcBorders>
          </w:tcPr>
          <w:p>
            <w:pPr>
              <w:pStyle w:val="TableParagraph"/>
              <w:spacing w:line="206" w:lineRule="exact" w:before="1"/>
              <w:ind w:left="42"/>
              <w:rPr>
                <w:sz w:val="18"/>
              </w:rPr>
            </w:pPr>
            <w:r>
              <w:rPr>
                <w:sz w:val="18"/>
              </w:rPr>
              <w:t>Wake after WD reset.</w:t>
            </w:r>
          </w:p>
        </w:tc>
      </w:tr>
      <w:tr>
        <w:trPr>
          <w:trHeight w:val="455" w:hRule="atLeast"/>
        </w:trPr>
        <w:tc>
          <w:tcPr>
            <w:tcW w:w="2402" w:type="dxa"/>
            <w:gridSpan w:val="2"/>
          </w:tcPr>
          <w:p>
            <w:pPr>
              <w:pStyle w:val="TableParagraph"/>
              <w:spacing w:before="123"/>
              <w:ind w:left="573"/>
              <w:rPr>
                <w:sz w:val="18"/>
              </w:rPr>
            </w:pPr>
            <w:r>
              <w:rPr>
                <w:sz w:val="18"/>
              </w:rPr>
              <w:t>Always Enabled</w:t>
            </w:r>
          </w:p>
        </w:tc>
        <w:tc>
          <w:tcPr>
            <w:tcW w:w="1231" w:type="dxa"/>
          </w:tcPr>
          <w:p>
            <w:pPr>
              <w:pStyle w:val="TableParagraph"/>
              <w:spacing w:before="119"/>
              <w:ind w:left="62" w:right="9"/>
              <w:jc w:val="center"/>
              <w:rPr>
                <w:rFonts w:ascii="Times New Roman"/>
                <w:i/>
                <w:sz w:val="18"/>
              </w:rPr>
            </w:pPr>
            <w:r>
              <w:rPr>
                <w:rFonts w:ascii="Times New Roman"/>
                <w:i/>
                <w:sz w:val="18"/>
              </w:rPr>
              <w:t>WF_CSTART</w:t>
            </w:r>
          </w:p>
        </w:tc>
        <w:tc>
          <w:tcPr>
            <w:tcW w:w="1190" w:type="dxa"/>
          </w:tcPr>
          <w:p>
            <w:pPr>
              <w:pStyle w:val="TableParagraph"/>
              <w:spacing w:before="123"/>
              <w:ind w:left="224" w:right="165"/>
              <w:jc w:val="center"/>
              <w:rPr>
                <w:sz w:val="18"/>
              </w:rPr>
            </w:pPr>
            <w:r>
              <w:rPr>
                <w:sz w:val="18"/>
              </w:rPr>
              <w:t>28B0[7]</w:t>
            </w:r>
          </w:p>
        </w:tc>
        <w:tc>
          <w:tcPr>
            <w:tcW w:w="1387" w:type="dxa"/>
          </w:tcPr>
          <w:p>
            <w:pPr>
              <w:pStyle w:val="TableParagraph"/>
              <w:spacing w:before="123"/>
              <w:ind w:left="327" w:right="317"/>
              <w:jc w:val="center"/>
              <w:rPr>
                <w:sz w:val="18"/>
              </w:rPr>
            </w:pPr>
            <w:r>
              <w:rPr>
                <w:sz w:val="18"/>
              </w:rPr>
              <w:t>No</w:t>
            </w:r>
          </w:p>
        </w:tc>
        <w:tc>
          <w:tcPr>
            <w:tcW w:w="3149" w:type="dxa"/>
          </w:tcPr>
          <w:p>
            <w:pPr>
              <w:pStyle w:val="TableParagraph"/>
              <w:spacing w:before="20"/>
              <w:ind w:left="42" w:right="676"/>
              <w:rPr>
                <w:sz w:val="18"/>
              </w:rPr>
            </w:pPr>
            <w:r>
              <w:rPr>
                <w:sz w:val="18"/>
              </w:rPr>
              <w:t>Wake after cold start - the first application of power.</w:t>
            </w:r>
          </w:p>
        </w:tc>
      </w:tr>
      <w:tr>
        <w:trPr>
          <w:trHeight w:val="453" w:hRule="atLeast"/>
        </w:trPr>
        <w:tc>
          <w:tcPr>
            <w:tcW w:w="2402" w:type="dxa"/>
            <w:gridSpan w:val="2"/>
          </w:tcPr>
          <w:p>
            <w:pPr>
              <w:pStyle w:val="TableParagraph"/>
              <w:spacing w:before="121"/>
              <w:ind w:left="573"/>
              <w:rPr>
                <w:sz w:val="18"/>
              </w:rPr>
            </w:pPr>
            <w:r>
              <w:rPr>
                <w:sz w:val="18"/>
              </w:rPr>
              <w:t>Always Enabled</w:t>
            </w:r>
          </w:p>
        </w:tc>
        <w:tc>
          <w:tcPr>
            <w:tcW w:w="1231" w:type="dxa"/>
          </w:tcPr>
          <w:p>
            <w:pPr>
              <w:pStyle w:val="TableParagraph"/>
              <w:spacing w:before="117"/>
              <w:ind w:left="62" w:right="48"/>
              <w:jc w:val="center"/>
              <w:rPr>
                <w:rFonts w:ascii="Times New Roman"/>
                <w:i/>
                <w:sz w:val="18"/>
              </w:rPr>
            </w:pPr>
            <w:r>
              <w:rPr>
                <w:rFonts w:ascii="Times New Roman"/>
                <w:i/>
                <w:sz w:val="18"/>
              </w:rPr>
              <w:t>WF_BADVDD</w:t>
            </w:r>
          </w:p>
        </w:tc>
        <w:tc>
          <w:tcPr>
            <w:tcW w:w="1190" w:type="dxa"/>
          </w:tcPr>
          <w:p>
            <w:pPr>
              <w:pStyle w:val="TableParagraph"/>
              <w:spacing w:before="121"/>
              <w:ind w:left="224" w:right="164"/>
              <w:jc w:val="center"/>
              <w:rPr>
                <w:sz w:val="18"/>
              </w:rPr>
            </w:pPr>
            <w:r>
              <w:rPr>
                <w:sz w:val="18"/>
              </w:rPr>
              <w:t>28B0[2]</w:t>
            </w:r>
          </w:p>
        </w:tc>
        <w:tc>
          <w:tcPr>
            <w:tcW w:w="1387" w:type="dxa"/>
          </w:tcPr>
          <w:p>
            <w:pPr>
              <w:pStyle w:val="TableParagraph"/>
              <w:spacing w:before="121"/>
              <w:ind w:left="327" w:right="316"/>
              <w:jc w:val="center"/>
              <w:rPr>
                <w:sz w:val="18"/>
              </w:rPr>
            </w:pPr>
            <w:r>
              <w:rPr>
                <w:sz w:val="18"/>
              </w:rPr>
              <w:t>No</w:t>
            </w:r>
          </w:p>
        </w:tc>
        <w:tc>
          <w:tcPr>
            <w:tcW w:w="3149" w:type="dxa"/>
          </w:tcPr>
          <w:p>
            <w:pPr>
              <w:pStyle w:val="TableParagraph"/>
              <w:spacing w:line="210" w:lineRule="atLeast" w:before="15"/>
              <w:ind w:left="42" w:right="786"/>
              <w:rPr>
                <w:sz w:val="18"/>
              </w:rPr>
            </w:pPr>
            <w:r>
              <w:rPr>
                <w:sz w:val="18"/>
              </w:rPr>
              <w:t>Wake after insufficient VBAT voltage.</w:t>
            </w:r>
          </w:p>
        </w:tc>
      </w:tr>
    </w:tbl>
    <w:p>
      <w:pPr>
        <w:spacing w:before="38"/>
        <w:ind w:left="268" w:right="637" w:firstLine="0"/>
        <w:jc w:val="left"/>
        <w:rPr>
          <w:i/>
          <w:sz w:val="18"/>
        </w:rPr>
      </w:pPr>
      <w:r>
        <w:rPr>
          <w:sz w:val="18"/>
        </w:rPr>
        <w:t>*</w:t>
      </w:r>
      <w:r>
        <w:rPr>
          <w:i/>
          <w:sz w:val="18"/>
        </w:rPr>
        <w:t>This pin is sampled every 2 ms and must remain high for 64 ms to be declared a valid high level. This pin is high- </w:t>
      </w:r>
      <w:r>
        <w:rPr>
          <w:i/>
          <w:sz w:val="18"/>
        </w:rPr>
        <w:t>level sensitive.</w:t>
      </w:r>
    </w:p>
    <w:p>
      <w:pPr>
        <w:pStyle w:val="BodyText"/>
        <w:spacing w:before="7"/>
        <w:rPr>
          <w:i/>
          <w:sz w:val="18"/>
        </w:rPr>
      </w:pPr>
    </w:p>
    <w:p>
      <w:pPr>
        <w:pStyle w:val="Heading1"/>
        <w:spacing w:before="93"/>
        <w:ind w:right="204"/>
      </w:pPr>
      <w:bookmarkStart w:name="_bookmark166" w:id="337"/>
      <w:bookmarkEnd w:id="337"/>
      <w:r>
        <w:rPr>
          <w:b w:val="0"/>
        </w:rPr>
      </w:r>
      <w:r>
        <w:rPr/>
        <w:t>Table 64: Wake Bits</w:t>
      </w:r>
    </w:p>
    <w:p>
      <w:pPr>
        <w:pStyle w:val="BodyText"/>
        <w:spacing w:before="8"/>
        <w:rPr>
          <w:b/>
          <w:sz w:val="5"/>
        </w:rPr>
      </w:pPr>
    </w:p>
    <w:tbl>
      <w:tblPr>
        <w:tblW w:w="0" w:type="auto"/>
        <w:jc w:val="left"/>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4"/>
        <w:gridCol w:w="1051"/>
        <w:gridCol w:w="617"/>
        <w:gridCol w:w="550"/>
        <w:gridCol w:w="605"/>
        <w:gridCol w:w="5134"/>
      </w:tblGrid>
      <w:tr>
        <w:trPr>
          <w:trHeight w:val="299" w:hRule="atLeast"/>
        </w:trPr>
        <w:tc>
          <w:tcPr>
            <w:tcW w:w="1404" w:type="dxa"/>
          </w:tcPr>
          <w:p>
            <w:pPr>
              <w:pStyle w:val="TableParagraph"/>
              <w:spacing w:before="26"/>
              <w:ind w:left="429"/>
              <w:rPr>
                <w:b/>
                <w:sz w:val="20"/>
              </w:rPr>
            </w:pPr>
            <w:r>
              <w:rPr>
                <w:b/>
                <w:sz w:val="20"/>
              </w:rPr>
              <w:t>Name</w:t>
            </w:r>
          </w:p>
        </w:tc>
        <w:tc>
          <w:tcPr>
            <w:tcW w:w="1051" w:type="dxa"/>
          </w:tcPr>
          <w:p>
            <w:pPr>
              <w:pStyle w:val="TableParagraph"/>
              <w:spacing w:before="26"/>
              <w:ind w:left="86" w:right="80"/>
              <w:jc w:val="center"/>
              <w:rPr>
                <w:b/>
                <w:sz w:val="20"/>
              </w:rPr>
            </w:pPr>
            <w:r>
              <w:rPr>
                <w:b/>
                <w:sz w:val="20"/>
              </w:rPr>
              <w:t>Location</w:t>
            </w:r>
          </w:p>
        </w:tc>
        <w:tc>
          <w:tcPr>
            <w:tcW w:w="617" w:type="dxa"/>
          </w:tcPr>
          <w:p>
            <w:pPr>
              <w:pStyle w:val="TableParagraph"/>
              <w:spacing w:before="26"/>
              <w:ind w:left="86" w:right="81"/>
              <w:jc w:val="center"/>
              <w:rPr>
                <w:b/>
                <w:sz w:val="20"/>
              </w:rPr>
            </w:pPr>
            <w:r>
              <w:rPr>
                <w:b/>
                <w:sz w:val="20"/>
              </w:rPr>
              <w:t>RST</w:t>
            </w:r>
          </w:p>
        </w:tc>
        <w:tc>
          <w:tcPr>
            <w:tcW w:w="550" w:type="dxa"/>
          </w:tcPr>
          <w:p>
            <w:pPr>
              <w:pStyle w:val="TableParagraph"/>
              <w:spacing w:before="26"/>
              <w:ind w:left="88" w:right="78"/>
              <w:jc w:val="center"/>
              <w:rPr>
                <w:b/>
                <w:sz w:val="20"/>
              </w:rPr>
            </w:pPr>
            <w:r>
              <w:rPr>
                <w:b/>
                <w:sz w:val="20"/>
              </w:rPr>
              <w:t>WK</w:t>
            </w:r>
          </w:p>
        </w:tc>
        <w:tc>
          <w:tcPr>
            <w:tcW w:w="605" w:type="dxa"/>
          </w:tcPr>
          <w:p>
            <w:pPr>
              <w:pStyle w:val="TableParagraph"/>
              <w:spacing w:before="26"/>
              <w:ind w:left="83" w:right="77"/>
              <w:jc w:val="center"/>
              <w:rPr>
                <w:b/>
                <w:sz w:val="20"/>
              </w:rPr>
            </w:pPr>
            <w:r>
              <w:rPr>
                <w:b/>
                <w:sz w:val="20"/>
              </w:rPr>
              <w:t>Dir</w:t>
            </w:r>
          </w:p>
        </w:tc>
        <w:tc>
          <w:tcPr>
            <w:tcW w:w="5134" w:type="dxa"/>
          </w:tcPr>
          <w:p>
            <w:pPr>
              <w:pStyle w:val="TableParagraph"/>
              <w:spacing w:before="26"/>
              <w:ind w:left="114"/>
              <w:rPr>
                <w:b/>
                <w:sz w:val="20"/>
              </w:rPr>
            </w:pPr>
            <w:r>
              <w:rPr>
                <w:b/>
                <w:sz w:val="20"/>
              </w:rPr>
              <w:t>Description</w:t>
            </w:r>
          </w:p>
        </w:tc>
      </w:tr>
      <w:tr>
        <w:trPr>
          <w:trHeight w:val="695" w:hRule="atLeast"/>
        </w:trPr>
        <w:tc>
          <w:tcPr>
            <w:tcW w:w="1404" w:type="dxa"/>
          </w:tcPr>
          <w:p>
            <w:pPr>
              <w:pStyle w:val="TableParagraph"/>
              <w:spacing w:before="5"/>
              <w:rPr>
                <w:b/>
                <w:sz w:val="19"/>
              </w:rPr>
            </w:pPr>
          </w:p>
          <w:p>
            <w:pPr>
              <w:pStyle w:val="TableParagraph"/>
              <w:ind w:left="268"/>
              <w:rPr>
                <w:rFonts w:ascii="Times New Roman"/>
                <w:i/>
                <w:sz w:val="20"/>
              </w:rPr>
            </w:pPr>
            <w:r>
              <w:rPr>
                <w:rFonts w:ascii="Times New Roman"/>
                <w:i/>
                <w:sz w:val="20"/>
              </w:rPr>
              <w:t>EW_DIOR</w:t>
            </w:r>
          </w:p>
        </w:tc>
        <w:tc>
          <w:tcPr>
            <w:tcW w:w="1051" w:type="dxa"/>
          </w:tcPr>
          <w:p>
            <w:pPr>
              <w:pStyle w:val="TableParagraph"/>
              <w:spacing w:before="8"/>
              <w:rPr>
                <w:b/>
                <w:sz w:val="19"/>
              </w:rPr>
            </w:pPr>
          </w:p>
          <w:p>
            <w:pPr>
              <w:pStyle w:val="TableParagraph"/>
              <w:spacing w:before="1"/>
              <w:ind w:left="84" w:right="80"/>
              <w:jc w:val="center"/>
              <w:rPr>
                <w:sz w:val="20"/>
              </w:rPr>
            </w:pPr>
            <w:r>
              <w:rPr>
                <w:sz w:val="20"/>
              </w:rPr>
              <w:t>28B3[2]</w:t>
            </w:r>
          </w:p>
        </w:tc>
        <w:tc>
          <w:tcPr>
            <w:tcW w:w="617" w:type="dxa"/>
          </w:tcPr>
          <w:p>
            <w:pPr>
              <w:pStyle w:val="TableParagraph"/>
              <w:spacing w:before="8"/>
              <w:rPr>
                <w:b/>
                <w:sz w:val="19"/>
              </w:rPr>
            </w:pPr>
          </w:p>
          <w:p>
            <w:pPr>
              <w:pStyle w:val="TableParagraph"/>
              <w:spacing w:before="1"/>
              <w:ind w:left="7"/>
              <w:jc w:val="center"/>
              <w:rPr>
                <w:sz w:val="20"/>
              </w:rPr>
            </w:pPr>
            <w:r>
              <w:rPr>
                <w:w w:val="99"/>
                <w:sz w:val="20"/>
              </w:rPr>
              <w:t>0</w:t>
            </w:r>
          </w:p>
        </w:tc>
        <w:tc>
          <w:tcPr>
            <w:tcW w:w="550" w:type="dxa"/>
          </w:tcPr>
          <w:p>
            <w:pPr>
              <w:pStyle w:val="TableParagraph"/>
              <w:spacing w:before="8"/>
              <w:rPr>
                <w:b/>
                <w:sz w:val="19"/>
              </w:rPr>
            </w:pPr>
          </w:p>
          <w:p>
            <w:pPr>
              <w:pStyle w:val="TableParagraph"/>
              <w:spacing w:before="1"/>
              <w:ind w:left="6"/>
              <w:jc w:val="center"/>
              <w:rPr>
                <w:sz w:val="20"/>
              </w:rPr>
            </w:pPr>
            <w:r>
              <w:rPr>
                <w:w w:val="99"/>
                <w:sz w:val="20"/>
              </w:rPr>
              <w:t>–</w:t>
            </w:r>
          </w:p>
        </w:tc>
        <w:tc>
          <w:tcPr>
            <w:tcW w:w="605" w:type="dxa"/>
          </w:tcPr>
          <w:p>
            <w:pPr>
              <w:pStyle w:val="TableParagraph"/>
              <w:spacing w:before="8"/>
              <w:rPr>
                <w:b/>
                <w:sz w:val="19"/>
              </w:rPr>
            </w:pPr>
          </w:p>
          <w:p>
            <w:pPr>
              <w:pStyle w:val="TableParagraph"/>
              <w:spacing w:before="1"/>
              <w:ind w:left="83" w:right="83"/>
              <w:jc w:val="center"/>
              <w:rPr>
                <w:sz w:val="20"/>
              </w:rPr>
            </w:pPr>
            <w:r>
              <w:rPr>
                <w:sz w:val="20"/>
              </w:rPr>
              <w:t>R/W</w:t>
            </w:r>
          </w:p>
        </w:tc>
        <w:tc>
          <w:tcPr>
            <w:tcW w:w="5134" w:type="dxa"/>
          </w:tcPr>
          <w:p>
            <w:pPr>
              <w:pStyle w:val="TableParagraph"/>
              <w:spacing w:line="228" w:lineRule="auto" w:before="18"/>
              <w:ind w:left="114" w:right="132"/>
              <w:rPr>
                <w:sz w:val="20"/>
              </w:rPr>
            </w:pPr>
            <w:r>
              <w:rPr>
                <w:sz w:val="20"/>
              </w:rPr>
              <w:t>Connects SEGDIO4 to the WAKE logic and permits SEGDIO4 rising to wake the part. This bit has no effect unless SEGDIO4 is configured as a digital input.</w:t>
            </w:r>
          </w:p>
        </w:tc>
      </w:tr>
      <w:tr>
        <w:trPr>
          <w:trHeight w:val="693" w:hRule="atLeast"/>
        </w:trPr>
        <w:tc>
          <w:tcPr>
            <w:tcW w:w="1404" w:type="dxa"/>
          </w:tcPr>
          <w:p>
            <w:pPr>
              <w:pStyle w:val="TableParagraph"/>
              <w:spacing w:before="5"/>
              <w:rPr>
                <w:b/>
                <w:sz w:val="19"/>
              </w:rPr>
            </w:pPr>
          </w:p>
          <w:p>
            <w:pPr>
              <w:pStyle w:val="TableParagraph"/>
              <w:ind w:right="218"/>
              <w:jc w:val="right"/>
              <w:rPr>
                <w:rFonts w:ascii="Times New Roman"/>
                <w:i/>
                <w:sz w:val="20"/>
              </w:rPr>
            </w:pPr>
            <w:r>
              <w:rPr>
                <w:rFonts w:ascii="Times New Roman"/>
                <w:i/>
                <w:w w:val="95"/>
                <w:sz w:val="20"/>
              </w:rPr>
              <w:t>EW_DIO52</w:t>
            </w:r>
          </w:p>
        </w:tc>
        <w:tc>
          <w:tcPr>
            <w:tcW w:w="1051" w:type="dxa"/>
          </w:tcPr>
          <w:p>
            <w:pPr>
              <w:pStyle w:val="TableParagraph"/>
              <w:spacing w:before="8"/>
              <w:rPr>
                <w:b/>
                <w:sz w:val="19"/>
              </w:rPr>
            </w:pPr>
          </w:p>
          <w:p>
            <w:pPr>
              <w:pStyle w:val="TableParagraph"/>
              <w:spacing w:before="1"/>
              <w:ind w:left="84" w:right="80"/>
              <w:jc w:val="center"/>
              <w:rPr>
                <w:sz w:val="20"/>
              </w:rPr>
            </w:pPr>
            <w:r>
              <w:rPr>
                <w:sz w:val="20"/>
              </w:rPr>
              <w:t>28B3[1]</w:t>
            </w:r>
          </w:p>
        </w:tc>
        <w:tc>
          <w:tcPr>
            <w:tcW w:w="617" w:type="dxa"/>
          </w:tcPr>
          <w:p>
            <w:pPr>
              <w:pStyle w:val="TableParagraph"/>
              <w:spacing w:before="8"/>
              <w:rPr>
                <w:b/>
                <w:sz w:val="19"/>
              </w:rPr>
            </w:pPr>
          </w:p>
          <w:p>
            <w:pPr>
              <w:pStyle w:val="TableParagraph"/>
              <w:spacing w:before="1"/>
              <w:ind w:left="7"/>
              <w:jc w:val="center"/>
              <w:rPr>
                <w:sz w:val="20"/>
              </w:rPr>
            </w:pPr>
            <w:r>
              <w:rPr>
                <w:w w:val="99"/>
                <w:sz w:val="20"/>
              </w:rPr>
              <w:t>0</w:t>
            </w:r>
          </w:p>
        </w:tc>
        <w:tc>
          <w:tcPr>
            <w:tcW w:w="550" w:type="dxa"/>
          </w:tcPr>
          <w:p>
            <w:pPr>
              <w:pStyle w:val="TableParagraph"/>
              <w:spacing w:before="8"/>
              <w:rPr>
                <w:b/>
                <w:sz w:val="19"/>
              </w:rPr>
            </w:pPr>
          </w:p>
          <w:p>
            <w:pPr>
              <w:pStyle w:val="TableParagraph"/>
              <w:spacing w:before="1"/>
              <w:ind w:left="7"/>
              <w:jc w:val="center"/>
              <w:rPr>
                <w:sz w:val="20"/>
              </w:rPr>
            </w:pPr>
            <w:r>
              <w:rPr>
                <w:w w:val="99"/>
                <w:sz w:val="20"/>
              </w:rPr>
              <w:t>–</w:t>
            </w:r>
          </w:p>
        </w:tc>
        <w:tc>
          <w:tcPr>
            <w:tcW w:w="605" w:type="dxa"/>
          </w:tcPr>
          <w:p>
            <w:pPr>
              <w:pStyle w:val="TableParagraph"/>
              <w:spacing w:before="8"/>
              <w:rPr>
                <w:b/>
                <w:sz w:val="19"/>
              </w:rPr>
            </w:pPr>
          </w:p>
          <w:p>
            <w:pPr>
              <w:pStyle w:val="TableParagraph"/>
              <w:spacing w:before="1"/>
              <w:ind w:left="83" w:right="83"/>
              <w:jc w:val="center"/>
              <w:rPr>
                <w:sz w:val="20"/>
              </w:rPr>
            </w:pPr>
            <w:r>
              <w:rPr>
                <w:sz w:val="20"/>
              </w:rPr>
              <w:t>R/W</w:t>
            </w:r>
          </w:p>
        </w:tc>
        <w:tc>
          <w:tcPr>
            <w:tcW w:w="5134" w:type="dxa"/>
          </w:tcPr>
          <w:p>
            <w:pPr>
              <w:pStyle w:val="TableParagraph"/>
              <w:spacing w:line="218" w:lineRule="exact" w:before="22"/>
              <w:ind w:left="114" w:right="95"/>
              <w:jc w:val="both"/>
              <w:rPr>
                <w:sz w:val="20"/>
              </w:rPr>
            </w:pPr>
            <w:r>
              <w:rPr>
                <w:sz w:val="20"/>
              </w:rPr>
              <w:t>Connects DIO52 to the WAKE logic and permits DIO52 high level to wake the part. This bit has no effect unless DIO52 is configured as a digital input.</w:t>
            </w:r>
          </w:p>
        </w:tc>
      </w:tr>
      <w:tr>
        <w:trPr>
          <w:trHeight w:val="695" w:hRule="atLeast"/>
        </w:trPr>
        <w:tc>
          <w:tcPr>
            <w:tcW w:w="1404" w:type="dxa"/>
          </w:tcPr>
          <w:p>
            <w:pPr>
              <w:pStyle w:val="TableParagraph"/>
              <w:spacing w:before="7"/>
              <w:rPr>
                <w:b/>
                <w:sz w:val="19"/>
              </w:rPr>
            </w:pPr>
          </w:p>
          <w:p>
            <w:pPr>
              <w:pStyle w:val="TableParagraph"/>
              <w:ind w:right="218"/>
              <w:jc w:val="right"/>
              <w:rPr>
                <w:rFonts w:ascii="Times New Roman"/>
                <w:i/>
                <w:sz w:val="20"/>
              </w:rPr>
            </w:pPr>
            <w:r>
              <w:rPr>
                <w:rFonts w:ascii="Times New Roman"/>
                <w:i/>
                <w:w w:val="95"/>
                <w:sz w:val="20"/>
              </w:rPr>
              <w:t>EW_DIO55</w:t>
            </w:r>
          </w:p>
        </w:tc>
        <w:tc>
          <w:tcPr>
            <w:tcW w:w="1051" w:type="dxa"/>
          </w:tcPr>
          <w:p>
            <w:pPr>
              <w:pStyle w:val="TableParagraph"/>
              <w:spacing w:before="11"/>
              <w:rPr>
                <w:b/>
                <w:sz w:val="19"/>
              </w:rPr>
            </w:pPr>
          </w:p>
          <w:p>
            <w:pPr>
              <w:pStyle w:val="TableParagraph"/>
              <w:ind w:left="84" w:right="80"/>
              <w:jc w:val="center"/>
              <w:rPr>
                <w:sz w:val="20"/>
              </w:rPr>
            </w:pPr>
            <w:r>
              <w:rPr>
                <w:sz w:val="20"/>
              </w:rPr>
              <w:t>28B3[0]</w:t>
            </w:r>
          </w:p>
        </w:tc>
        <w:tc>
          <w:tcPr>
            <w:tcW w:w="617" w:type="dxa"/>
          </w:tcPr>
          <w:p>
            <w:pPr>
              <w:pStyle w:val="TableParagraph"/>
              <w:spacing w:before="11"/>
              <w:rPr>
                <w:b/>
                <w:sz w:val="19"/>
              </w:rPr>
            </w:pPr>
          </w:p>
          <w:p>
            <w:pPr>
              <w:pStyle w:val="TableParagraph"/>
              <w:ind w:left="7"/>
              <w:jc w:val="center"/>
              <w:rPr>
                <w:sz w:val="20"/>
              </w:rPr>
            </w:pPr>
            <w:r>
              <w:rPr>
                <w:w w:val="99"/>
                <w:sz w:val="20"/>
              </w:rPr>
              <w:t>0</w:t>
            </w:r>
          </w:p>
        </w:tc>
        <w:tc>
          <w:tcPr>
            <w:tcW w:w="550" w:type="dxa"/>
          </w:tcPr>
          <w:p>
            <w:pPr>
              <w:pStyle w:val="TableParagraph"/>
              <w:spacing w:before="11"/>
              <w:rPr>
                <w:b/>
                <w:sz w:val="19"/>
              </w:rPr>
            </w:pPr>
          </w:p>
          <w:p>
            <w:pPr>
              <w:pStyle w:val="TableParagraph"/>
              <w:ind w:left="7"/>
              <w:jc w:val="center"/>
              <w:rPr>
                <w:sz w:val="20"/>
              </w:rPr>
            </w:pPr>
            <w:r>
              <w:rPr>
                <w:w w:val="99"/>
                <w:sz w:val="20"/>
              </w:rPr>
              <w:t>–</w:t>
            </w:r>
          </w:p>
        </w:tc>
        <w:tc>
          <w:tcPr>
            <w:tcW w:w="605" w:type="dxa"/>
          </w:tcPr>
          <w:p>
            <w:pPr>
              <w:pStyle w:val="TableParagraph"/>
              <w:spacing w:before="11"/>
              <w:rPr>
                <w:b/>
                <w:sz w:val="19"/>
              </w:rPr>
            </w:pPr>
          </w:p>
          <w:p>
            <w:pPr>
              <w:pStyle w:val="TableParagraph"/>
              <w:ind w:left="83" w:right="83"/>
              <w:jc w:val="center"/>
              <w:rPr>
                <w:sz w:val="20"/>
              </w:rPr>
            </w:pPr>
            <w:r>
              <w:rPr>
                <w:sz w:val="20"/>
              </w:rPr>
              <w:t>R/W</w:t>
            </w:r>
          </w:p>
        </w:tc>
        <w:tc>
          <w:tcPr>
            <w:tcW w:w="5134" w:type="dxa"/>
          </w:tcPr>
          <w:p>
            <w:pPr>
              <w:pStyle w:val="TableParagraph"/>
              <w:spacing w:line="218" w:lineRule="exact" w:before="24"/>
              <w:ind w:left="114" w:right="95"/>
              <w:jc w:val="both"/>
              <w:rPr>
                <w:sz w:val="20"/>
              </w:rPr>
            </w:pPr>
            <w:r>
              <w:rPr>
                <w:sz w:val="20"/>
              </w:rPr>
              <w:t>Connects DIO55 to the WAKE logic and permits DIO55 high level to wake the part. This bit has no effect unless DIO55 is configured as a digital input.</w:t>
            </w:r>
          </w:p>
        </w:tc>
      </w:tr>
      <w:tr>
        <w:trPr>
          <w:trHeight w:val="916" w:hRule="atLeast"/>
        </w:trPr>
        <w:tc>
          <w:tcPr>
            <w:tcW w:w="1404" w:type="dxa"/>
          </w:tcPr>
          <w:p>
            <w:pPr>
              <w:pStyle w:val="TableParagraph"/>
              <w:rPr>
                <w:b/>
                <w:sz w:val="29"/>
              </w:rPr>
            </w:pPr>
          </w:p>
          <w:p>
            <w:pPr>
              <w:pStyle w:val="TableParagraph"/>
              <w:ind w:right="165"/>
              <w:jc w:val="right"/>
              <w:rPr>
                <w:rFonts w:ascii="Times New Roman"/>
                <w:i/>
                <w:sz w:val="20"/>
              </w:rPr>
            </w:pPr>
            <w:r>
              <w:rPr>
                <w:rFonts w:ascii="Times New Roman"/>
                <w:i/>
                <w:w w:val="95"/>
                <w:sz w:val="20"/>
              </w:rPr>
              <w:t>WAKE_ARM</w:t>
            </w:r>
          </w:p>
        </w:tc>
        <w:tc>
          <w:tcPr>
            <w:tcW w:w="1051" w:type="dxa"/>
          </w:tcPr>
          <w:p>
            <w:pPr>
              <w:pStyle w:val="TableParagraph"/>
              <w:spacing w:before="4"/>
              <w:rPr>
                <w:b/>
                <w:sz w:val="29"/>
              </w:rPr>
            </w:pPr>
          </w:p>
          <w:p>
            <w:pPr>
              <w:pStyle w:val="TableParagraph"/>
              <w:ind w:left="84" w:right="80"/>
              <w:jc w:val="center"/>
              <w:rPr>
                <w:sz w:val="20"/>
              </w:rPr>
            </w:pPr>
            <w:r>
              <w:rPr>
                <w:sz w:val="20"/>
              </w:rPr>
              <w:t>28B2[5]</w:t>
            </w:r>
          </w:p>
        </w:tc>
        <w:tc>
          <w:tcPr>
            <w:tcW w:w="617" w:type="dxa"/>
          </w:tcPr>
          <w:p>
            <w:pPr>
              <w:pStyle w:val="TableParagraph"/>
              <w:spacing w:before="4"/>
              <w:rPr>
                <w:b/>
                <w:sz w:val="29"/>
              </w:rPr>
            </w:pPr>
          </w:p>
          <w:p>
            <w:pPr>
              <w:pStyle w:val="TableParagraph"/>
              <w:ind w:left="7"/>
              <w:jc w:val="center"/>
              <w:rPr>
                <w:sz w:val="20"/>
              </w:rPr>
            </w:pPr>
            <w:r>
              <w:rPr>
                <w:w w:val="99"/>
                <w:sz w:val="20"/>
              </w:rPr>
              <w:t>0</w:t>
            </w:r>
          </w:p>
        </w:tc>
        <w:tc>
          <w:tcPr>
            <w:tcW w:w="550" w:type="dxa"/>
          </w:tcPr>
          <w:p>
            <w:pPr>
              <w:pStyle w:val="TableParagraph"/>
              <w:spacing w:before="4"/>
              <w:rPr>
                <w:b/>
                <w:sz w:val="29"/>
              </w:rPr>
            </w:pPr>
          </w:p>
          <w:p>
            <w:pPr>
              <w:pStyle w:val="TableParagraph"/>
              <w:ind w:left="6"/>
              <w:jc w:val="center"/>
              <w:rPr>
                <w:sz w:val="20"/>
              </w:rPr>
            </w:pPr>
            <w:r>
              <w:rPr>
                <w:w w:val="99"/>
                <w:sz w:val="20"/>
              </w:rPr>
              <w:t>–</w:t>
            </w:r>
          </w:p>
        </w:tc>
        <w:tc>
          <w:tcPr>
            <w:tcW w:w="605" w:type="dxa"/>
          </w:tcPr>
          <w:p>
            <w:pPr>
              <w:pStyle w:val="TableParagraph"/>
              <w:spacing w:before="4"/>
              <w:rPr>
                <w:b/>
                <w:sz w:val="29"/>
              </w:rPr>
            </w:pPr>
          </w:p>
          <w:p>
            <w:pPr>
              <w:pStyle w:val="TableParagraph"/>
              <w:ind w:left="83" w:right="83"/>
              <w:jc w:val="center"/>
              <w:rPr>
                <w:sz w:val="20"/>
              </w:rPr>
            </w:pPr>
            <w:r>
              <w:rPr>
                <w:sz w:val="20"/>
              </w:rPr>
              <w:t>R/W</w:t>
            </w:r>
          </w:p>
        </w:tc>
        <w:tc>
          <w:tcPr>
            <w:tcW w:w="5134" w:type="dxa"/>
          </w:tcPr>
          <w:p>
            <w:pPr>
              <w:pStyle w:val="TableParagraph"/>
              <w:spacing w:line="228" w:lineRule="auto" w:before="20"/>
              <w:ind w:left="114" w:right="373"/>
              <w:rPr>
                <w:sz w:val="20"/>
              </w:rPr>
            </w:pPr>
            <w:r>
              <w:rPr>
                <w:sz w:val="20"/>
              </w:rPr>
              <w:t>Arms the WAKE timer and loads it with the value in </w:t>
            </w:r>
            <w:r>
              <w:rPr>
                <w:rFonts w:ascii="Times New Roman"/>
                <w:i/>
                <w:sz w:val="20"/>
              </w:rPr>
              <w:t>WAKE_TMR </w:t>
            </w:r>
            <w:r>
              <w:rPr>
                <w:sz w:val="20"/>
              </w:rPr>
              <w:t>(</w:t>
            </w:r>
            <w:r>
              <w:rPr>
                <w:rFonts w:ascii="Times New Roman"/>
                <w:i/>
                <w:sz w:val="20"/>
              </w:rPr>
              <w:t>I/O RAM 0x2880</w:t>
            </w:r>
            <w:r>
              <w:rPr>
                <w:sz w:val="20"/>
              </w:rPr>
              <w:t>) register. When SLP or LCD mode is asserted by the MPU, the WAKE timer becomes active.</w:t>
            </w:r>
          </w:p>
        </w:tc>
      </w:tr>
      <w:tr>
        <w:trPr>
          <w:trHeight w:val="695" w:hRule="atLeast"/>
        </w:trPr>
        <w:tc>
          <w:tcPr>
            <w:tcW w:w="1404" w:type="dxa"/>
          </w:tcPr>
          <w:p>
            <w:pPr>
              <w:pStyle w:val="TableParagraph"/>
              <w:spacing w:before="5"/>
              <w:rPr>
                <w:b/>
                <w:sz w:val="19"/>
              </w:rPr>
            </w:pPr>
          </w:p>
          <w:p>
            <w:pPr>
              <w:pStyle w:val="TableParagraph"/>
              <w:ind w:left="383"/>
              <w:rPr>
                <w:rFonts w:ascii="Times New Roman"/>
                <w:i/>
                <w:sz w:val="20"/>
              </w:rPr>
            </w:pPr>
            <w:r>
              <w:rPr>
                <w:rFonts w:ascii="Times New Roman"/>
                <w:i/>
                <w:sz w:val="20"/>
              </w:rPr>
              <w:t>EW_PB</w:t>
            </w:r>
          </w:p>
        </w:tc>
        <w:tc>
          <w:tcPr>
            <w:tcW w:w="1051" w:type="dxa"/>
          </w:tcPr>
          <w:p>
            <w:pPr>
              <w:pStyle w:val="TableParagraph"/>
              <w:spacing w:before="8"/>
              <w:rPr>
                <w:b/>
                <w:sz w:val="19"/>
              </w:rPr>
            </w:pPr>
          </w:p>
          <w:p>
            <w:pPr>
              <w:pStyle w:val="TableParagraph"/>
              <w:spacing w:before="1"/>
              <w:ind w:left="84" w:right="80"/>
              <w:jc w:val="center"/>
              <w:rPr>
                <w:sz w:val="20"/>
              </w:rPr>
            </w:pPr>
            <w:r>
              <w:rPr>
                <w:sz w:val="20"/>
              </w:rPr>
              <w:t>28B3[3]</w:t>
            </w:r>
          </w:p>
        </w:tc>
        <w:tc>
          <w:tcPr>
            <w:tcW w:w="617" w:type="dxa"/>
          </w:tcPr>
          <w:p>
            <w:pPr>
              <w:pStyle w:val="TableParagraph"/>
              <w:spacing w:before="8"/>
              <w:rPr>
                <w:b/>
                <w:sz w:val="19"/>
              </w:rPr>
            </w:pPr>
          </w:p>
          <w:p>
            <w:pPr>
              <w:pStyle w:val="TableParagraph"/>
              <w:spacing w:before="1"/>
              <w:ind w:left="7"/>
              <w:jc w:val="center"/>
              <w:rPr>
                <w:sz w:val="20"/>
              </w:rPr>
            </w:pPr>
            <w:r>
              <w:rPr>
                <w:w w:val="99"/>
                <w:sz w:val="20"/>
              </w:rPr>
              <w:t>0</w:t>
            </w:r>
          </w:p>
        </w:tc>
        <w:tc>
          <w:tcPr>
            <w:tcW w:w="550" w:type="dxa"/>
          </w:tcPr>
          <w:p>
            <w:pPr>
              <w:pStyle w:val="TableParagraph"/>
              <w:spacing w:before="8"/>
              <w:rPr>
                <w:b/>
                <w:sz w:val="19"/>
              </w:rPr>
            </w:pPr>
          </w:p>
          <w:p>
            <w:pPr>
              <w:pStyle w:val="TableParagraph"/>
              <w:spacing w:before="1"/>
              <w:ind w:left="7"/>
              <w:jc w:val="center"/>
              <w:rPr>
                <w:sz w:val="20"/>
              </w:rPr>
            </w:pPr>
            <w:r>
              <w:rPr>
                <w:w w:val="99"/>
                <w:sz w:val="20"/>
              </w:rPr>
              <w:t>–</w:t>
            </w:r>
          </w:p>
        </w:tc>
        <w:tc>
          <w:tcPr>
            <w:tcW w:w="605" w:type="dxa"/>
          </w:tcPr>
          <w:p>
            <w:pPr>
              <w:pStyle w:val="TableParagraph"/>
              <w:spacing w:before="8"/>
              <w:rPr>
                <w:b/>
                <w:sz w:val="19"/>
              </w:rPr>
            </w:pPr>
          </w:p>
          <w:p>
            <w:pPr>
              <w:pStyle w:val="TableParagraph"/>
              <w:spacing w:before="1"/>
              <w:ind w:left="83" w:right="83"/>
              <w:jc w:val="center"/>
              <w:rPr>
                <w:sz w:val="20"/>
              </w:rPr>
            </w:pPr>
            <w:r>
              <w:rPr>
                <w:sz w:val="20"/>
              </w:rPr>
              <w:t>R/W</w:t>
            </w:r>
          </w:p>
        </w:tc>
        <w:tc>
          <w:tcPr>
            <w:tcW w:w="5134" w:type="dxa"/>
          </w:tcPr>
          <w:p>
            <w:pPr>
              <w:pStyle w:val="TableParagraph"/>
              <w:spacing w:line="228" w:lineRule="auto" w:before="18"/>
              <w:ind w:left="114" w:right="76"/>
              <w:rPr>
                <w:sz w:val="20"/>
              </w:rPr>
            </w:pPr>
            <w:r>
              <w:rPr>
                <w:sz w:val="20"/>
              </w:rPr>
              <w:t>Connects the PB pin to the WAKE logic and permits PB high level to wake the part. PB is always configured as an input.</w:t>
            </w:r>
          </w:p>
        </w:tc>
      </w:tr>
      <w:tr>
        <w:trPr>
          <w:trHeight w:val="695" w:hRule="atLeast"/>
        </w:trPr>
        <w:tc>
          <w:tcPr>
            <w:tcW w:w="1404" w:type="dxa"/>
          </w:tcPr>
          <w:p>
            <w:pPr>
              <w:pStyle w:val="TableParagraph"/>
              <w:spacing w:before="5"/>
              <w:rPr>
                <w:b/>
                <w:sz w:val="19"/>
              </w:rPr>
            </w:pPr>
          </w:p>
          <w:p>
            <w:pPr>
              <w:pStyle w:val="TableParagraph"/>
              <w:ind w:left="383"/>
              <w:rPr>
                <w:rFonts w:ascii="Times New Roman"/>
                <w:i/>
                <w:sz w:val="20"/>
              </w:rPr>
            </w:pPr>
            <w:r>
              <w:rPr>
                <w:rFonts w:ascii="Times New Roman"/>
                <w:i/>
                <w:sz w:val="20"/>
              </w:rPr>
              <w:t>EW_RX</w:t>
            </w:r>
          </w:p>
        </w:tc>
        <w:tc>
          <w:tcPr>
            <w:tcW w:w="1051" w:type="dxa"/>
          </w:tcPr>
          <w:p>
            <w:pPr>
              <w:pStyle w:val="TableParagraph"/>
              <w:spacing w:before="8"/>
              <w:rPr>
                <w:b/>
                <w:sz w:val="19"/>
              </w:rPr>
            </w:pPr>
          </w:p>
          <w:p>
            <w:pPr>
              <w:pStyle w:val="TableParagraph"/>
              <w:spacing w:before="1"/>
              <w:ind w:left="84" w:right="80"/>
              <w:jc w:val="center"/>
              <w:rPr>
                <w:sz w:val="20"/>
              </w:rPr>
            </w:pPr>
            <w:r>
              <w:rPr>
                <w:sz w:val="20"/>
              </w:rPr>
              <w:t>28B3[4]</w:t>
            </w:r>
          </w:p>
        </w:tc>
        <w:tc>
          <w:tcPr>
            <w:tcW w:w="617" w:type="dxa"/>
          </w:tcPr>
          <w:p>
            <w:pPr>
              <w:pStyle w:val="TableParagraph"/>
              <w:spacing w:before="8"/>
              <w:rPr>
                <w:b/>
                <w:sz w:val="19"/>
              </w:rPr>
            </w:pPr>
          </w:p>
          <w:p>
            <w:pPr>
              <w:pStyle w:val="TableParagraph"/>
              <w:spacing w:before="1"/>
              <w:ind w:left="7"/>
              <w:jc w:val="center"/>
              <w:rPr>
                <w:sz w:val="20"/>
              </w:rPr>
            </w:pPr>
            <w:r>
              <w:rPr>
                <w:w w:val="99"/>
                <w:sz w:val="20"/>
              </w:rPr>
              <w:t>0</w:t>
            </w:r>
          </w:p>
        </w:tc>
        <w:tc>
          <w:tcPr>
            <w:tcW w:w="550" w:type="dxa"/>
          </w:tcPr>
          <w:p>
            <w:pPr>
              <w:pStyle w:val="TableParagraph"/>
              <w:spacing w:before="8"/>
              <w:rPr>
                <w:b/>
                <w:sz w:val="19"/>
              </w:rPr>
            </w:pPr>
          </w:p>
          <w:p>
            <w:pPr>
              <w:pStyle w:val="TableParagraph"/>
              <w:spacing w:before="1"/>
              <w:ind w:left="7"/>
              <w:jc w:val="center"/>
              <w:rPr>
                <w:sz w:val="20"/>
              </w:rPr>
            </w:pPr>
            <w:r>
              <w:rPr>
                <w:w w:val="99"/>
                <w:sz w:val="20"/>
              </w:rPr>
              <w:t>–</w:t>
            </w:r>
          </w:p>
        </w:tc>
        <w:tc>
          <w:tcPr>
            <w:tcW w:w="605" w:type="dxa"/>
          </w:tcPr>
          <w:p>
            <w:pPr>
              <w:pStyle w:val="TableParagraph"/>
              <w:spacing w:before="8"/>
              <w:rPr>
                <w:b/>
                <w:sz w:val="19"/>
              </w:rPr>
            </w:pPr>
          </w:p>
          <w:p>
            <w:pPr>
              <w:pStyle w:val="TableParagraph"/>
              <w:spacing w:before="1"/>
              <w:ind w:left="83" w:right="83"/>
              <w:jc w:val="center"/>
              <w:rPr>
                <w:sz w:val="20"/>
              </w:rPr>
            </w:pPr>
            <w:r>
              <w:rPr>
                <w:sz w:val="20"/>
              </w:rPr>
              <w:t>R/W</w:t>
            </w:r>
          </w:p>
        </w:tc>
        <w:tc>
          <w:tcPr>
            <w:tcW w:w="5134" w:type="dxa"/>
          </w:tcPr>
          <w:p>
            <w:pPr>
              <w:pStyle w:val="TableParagraph"/>
              <w:spacing w:line="228" w:lineRule="auto" w:before="18"/>
              <w:ind w:left="114" w:right="373"/>
              <w:jc w:val="both"/>
              <w:rPr>
                <w:sz w:val="20"/>
              </w:rPr>
            </w:pPr>
            <w:r>
              <w:rPr>
                <w:sz w:val="20"/>
              </w:rPr>
              <w:t>Connects the RX pin to the WAKE logic and permits RX rising to wake the part. See </w:t>
            </w:r>
            <w:hyperlink w:history="true" w:anchor="_bookmark164">
              <w:r>
                <w:rPr>
                  <w:color w:val="0000FF"/>
                  <w:sz w:val="20"/>
                </w:rPr>
                <w:t>3.4.1 </w:t>
              </w:r>
            </w:hyperlink>
            <w:r>
              <w:rPr>
                <w:sz w:val="20"/>
              </w:rPr>
              <w:t>for de-bounce issues.</w:t>
            </w:r>
          </w:p>
        </w:tc>
      </w:tr>
      <w:tr>
        <w:trPr>
          <w:trHeight w:val="695" w:hRule="atLeast"/>
        </w:trPr>
        <w:tc>
          <w:tcPr>
            <w:tcW w:w="1404" w:type="dxa"/>
          </w:tcPr>
          <w:p>
            <w:pPr>
              <w:pStyle w:val="TableParagraph"/>
              <w:spacing w:before="5"/>
              <w:rPr>
                <w:b/>
                <w:sz w:val="19"/>
              </w:rPr>
            </w:pPr>
          </w:p>
          <w:p>
            <w:pPr>
              <w:pStyle w:val="TableParagraph"/>
              <w:ind w:left="278"/>
              <w:rPr>
                <w:rFonts w:ascii="Times New Roman"/>
                <w:i/>
                <w:sz w:val="20"/>
              </w:rPr>
            </w:pPr>
            <w:r>
              <w:rPr>
                <w:rFonts w:ascii="Times New Roman"/>
                <w:i/>
                <w:sz w:val="20"/>
              </w:rPr>
              <w:t>WF_DIO4</w:t>
            </w:r>
          </w:p>
        </w:tc>
        <w:tc>
          <w:tcPr>
            <w:tcW w:w="1051" w:type="dxa"/>
          </w:tcPr>
          <w:p>
            <w:pPr>
              <w:pStyle w:val="TableParagraph"/>
              <w:spacing w:before="8"/>
              <w:rPr>
                <w:b/>
                <w:sz w:val="19"/>
              </w:rPr>
            </w:pPr>
          </w:p>
          <w:p>
            <w:pPr>
              <w:pStyle w:val="TableParagraph"/>
              <w:spacing w:before="1"/>
              <w:ind w:left="84" w:right="80"/>
              <w:jc w:val="center"/>
              <w:rPr>
                <w:sz w:val="20"/>
              </w:rPr>
            </w:pPr>
            <w:r>
              <w:rPr>
                <w:sz w:val="20"/>
              </w:rPr>
              <w:t>28B1[2]</w:t>
            </w:r>
          </w:p>
        </w:tc>
        <w:tc>
          <w:tcPr>
            <w:tcW w:w="617" w:type="dxa"/>
          </w:tcPr>
          <w:p>
            <w:pPr>
              <w:pStyle w:val="TableParagraph"/>
              <w:spacing w:before="8"/>
              <w:rPr>
                <w:b/>
                <w:sz w:val="19"/>
              </w:rPr>
            </w:pPr>
          </w:p>
          <w:p>
            <w:pPr>
              <w:pStyle w:val="TableParagraph"/>
              <w:spacing w:before="1"/>
              <w:ind w:left="7"/>
              <w:jc w:val="center"/>
              <w:rPr>
                <w:sz w:val="20"/>
              </w:rPr>
            </w:pPr>
            <w:r>
              <w:rPr>
                <w:w w:val="99"/>
                <w:sz w:val="20"/>
              </w:rPr>
              <w:t>0</w:t>
            </w:r>
          </w:p>
        </w:tc>
        <w:tc>
          <w:tcPr>
            <w:tcW w:w="550" w:type="dxa"/>
          </w:tcPr>
          <w:p>
            <w:pPr>
              <w:pStyle w:val="TableParagraph"/>
              <w:spacing w:before="8"/>
              <w:rPr>
                <w:b/>
                <w:sz w:val="19"/>
              </w:rPr>
            </w:pPr>
          </w:p>
          <w:p>
            <w:pPr>
              <w:pStyle w:val="TableParagraph"/>
              <w:spacing w:before="1"/>
              <w:ind w:left="6"/>
              <w:jc w:val="center"/>
              <w:rPr>
                <w:sz w:val="20"/>
              </w:rPr>
            </w:pPr>
            <w:r>
              <w:rPr>
                <w:w w:val="99"/>
                <w:sz w:val="20"/>
              </w:rPr>
              <w:t>–</w:t>
            </w:r>
          </w:p>
        </w:tc>
        <w:tc>
          <w:tcPr>
            <w:tcW w:w="605" w:type="dxa"/>
          </w:tcPr>
          <w:p>
            <w:pPr>
              <w:pStyle w:val="TableParagraph"/>
              <w:spacing w:before="8"/>
              <w:rPr>
                <w:b/>
                <w:sz w:val="19"/>
              </w:rPr>
            </w:pPr>
          </w:p>
          <w:p>
            <w:pPr>
              <w:pStyle w:val="TableParagraph"/>
              <w:spacing w:before="1"/>
              <w:ind w:left="8"/>
              <w:jc w:val="center"/>
              <w:rPr>
                <w:sz w:val="20"/>
              </w:rPr>
            </w:pPr>
            <w:r>
              <w:rPr>
                <w:w w:val="99"/>
                <w:sz w:val="20"/>
              </w:rPr>
              <w:t>R</w:t>
            </w:r>
          </w:p>
        </w:tc>
        <w:tc>
          <w:tcPr>
            <w:tcW w:w="5134" w:type="dxa"/>
          </w:tcPr>
          <w:p>
            <w:pPr>
              <w:pStyle w:val="TableParagraph"/>
              <w:spacing w:line="228" w:lineRule="auto" w:before="18"/>
              <w:ind w:left="114" w:right="132"/>
              <w:rPr>
                <w:sz w:val="20"/>
              </w:rPr>
            </w:pPr>
            <w:r>
              <w:rPr>
                <w:sz w:val="20"/>
              </w:rPr>
              <w:t>SEGDIO4 flag bit. If SEGDIO4 is configured to wake the part, this bit is set whenever SEGDIO4 rises. It is held in reset if SEGDIO4 is not configured for wakeup.</w:t>
            </w:r>
          </w:p>
        </w:tc>
      </w:tr>
      <w:tr>
        <w:trPr>
          <w:trHeight w:val="914" w:hRule="atLeast"/>
        </w:trPr>
        <w:tc>
          <w:tcPr>
            <w:tcW w:w="1404" w:type="dxa"/>
          </w:tcPr>
          <w:p>
            <w:pPr>
              <w:pStyle w:val="TableParagraph"/>
              <w:spacing w:before="9"/>
              <w:rPr>
                <w:b/>
                <w:sz w:val="28"/>
              </w:rPr>
            </w:pPr>
          </w:p>
          <w:p>
            <w:pPr>
              <w:pStyle w:val="TableParagraph"/>
              <w:ind w:right="218"/>
              <w:jc w:val="right"/>
              <w:rPr>
                <w:rFonts w:ascii="Times New Roman"/>
                <w:i/>
                <w:sz w:val="20"/>
              </w:rPr>
            </w:pPr>
            <w:r>
              <w:rPr>
                <w:rFonts w:ascii="Times New Roman"/>
                <w:i/>
                <w:w w:val="95"/>
                <w:sz w:val="20"/>
              </w:rPr>
              <w:t>WF_DIO52</w:t>
            </w:r>
          </w:p>
        </w:tc>
        <w:tc>
          <w:tcPr>
            <w:tcW w:w="1051" w:type="dxa"/>
          </w:tcPr>
          <w:p>
            <w:pPr>
              <w:pStyle w:val="TableParagraph"/>
              <w:spacing w:before="1"/>
              <w:rPr>
                <w:b/>
                <w:sz w:val="29"/>
              </w:rPr>
            </w:pPr>
          </w:p>
          <w:p>
            <w:pPr>
              <w:pStyle w:val="TableParagraph"/>
              <w:spacing w:before="1"/>
              <w:ind w:left="84" w:right="80"/>
              <w:jc w:val="center"/>
              <w:rPr>
                <w:sz w:val="20"/>
              </w:rPr>
            </w:pPr>
            <w:r>
              <w:rPr>
                <w:sz w:val="20"/>
              </w:rPr>
              <w:t>28B1[1]</w:t>
            </w:r>
          </w:p>
        </w:tc>
        <w:tc>
          <w:tcPr>
            <w:tcW w:w="617" w:type="dxa"/>
          </w:tcPr>
          <w:p>
            <w:pPr>
              <w:pStyle w:val="TableParagraph"/>
              <w:spacing w:before="1"/>
              <w:rPr>
                <w:b/>
                <w:sz w:val="29"/>
              </w:rPr>
            </w:pPr>
          </w:p>
          <w:p>
            <w:pPr>
              <w:pStyle w:val="TableParagraph"/>
              <w:spacing w:before="1"/>
              <w:ind w:left="7"/>
              <w:jc w:val="center"/>
              <w:rPr>
                <w:sz w:val="20"/>
              </w:rPr>
            </w:pPr>
            <w:r>
              <w:rPr>
                <w:w w:val="99"/>
                <w:sz w:val="20"/>
              </w:rPr>
              <w:t>0</w:t>
            </w:r>
          </w:p>
        </w:tc>
        <w:tc>
          <w:tcPr>
            <w:tcW w:w="550" w:type="dxa"/>
          </w:tcPr>
          <w:p>
            <w:pPr>
              <w:pStyle w:val="TableParagraph"/>
              <w:spacing w:before="1"/>
              <w:rPr>
                <w:b/>
                <w:sz w:val="29"/>
              </w:rPr>
            </w:pPr>
          </w:p>
          <w:p>
            <w:pPr>
              <w:pStyle w:val="TableParagraph"/>
              <w:spacing w:before="1"/>
              <w:ind w:left="7"/>
              <w:jc w:val="center"/>
              <w:rPr>
                <w:sz w:val="20"/>
              </w:rPr>
            </w:pPr>
            <w:r>
              <w:rPr>
                <w:w w:val="99"/>
                <w:sz w:val="20"/>
              </w:rPr>
              <w:t>–</w:t>
            </w:r>
          </w:p>
        </w:tc>
        <w:tc>
          <w:tcPr>
            <w:tcW w:w="605" w:type="dxa"/>
          </w:tcPr>
          <w:p>
            <w:pPr>
              <w:pStyle w:val="TableParagraph"/>
              <w:spacing w:before="1"/>
              <w:rPr>
                <w:b/>
                <w:sz w:val="29"/>
              </w:rPr>
            </w:pPr>
          </w:p>
          <w:p>
            <w:pPr>
              <w:pStyle w:val="TableParagraph"/>
              <w:spacing w:before="1"/>
              <w:ind w:left="8"/>
              <w:jc w:val="center"/>
              <w:rPr>
                <w:sz w:val="20"/>
              </w:rPr>
            </w:pPr>
            <w:r>
              <w:rPr>
                <w:w w:val="99"/>
                <w:sz w:val="20"/>
              </w:rPr>
              <w:t>R</w:t>
            </w:r>
          </w:p>
        </w:tc>
        <w:tc>
          <w:tcPr>
            <w:tcW w:w="5134" w:type="dxa"/>
          </w:tcPr>
          <w:p>
            <w:pPr>
              <w:pStyle w:val="TableParagraph"/>
              <w:spacing w:line="228" w:lineRule="auto" w:before="18"/>
              <w:ind w:left="114" w:right="132"/>
              <w:rPr>
                <w:sz w:val="20"/>
              </w:rPr>
            </w:pPr>
            <w:r>
              <w:rPr>
                <w:sz w:val="20"/>
              </w:rPr>
              <w:t>SEGDIO52 flag bit. If SEGDIO52 is configured to wake the part, this bit is set whenever SEGDIO52 is a high level. It is held in reset if SEGDIO52 is not configured for wakeup.</w:t>
            </w:r>
          </w:p>
        </w:tc>
      </w:tr>
      <w:tr>
        <w:trPr>
          <w:trHeight w:val="914" w:hRule="atLeast"/>
        </w:trPr>
        <w:tc>
          <w:tcPr>
            <w:tcW w:w="1404" w:type="dxa"/>
          </w:tcPr>
          <w:p>
            <w:pPr>
              <w:pStyle w:val="TableParagraph"/>
              <w:spacing w:before="9"/>
              <w:rPr>
                <w:b/>
                <w:sz w:val="28"/>
              </w:rPr>
            </w:pPr>
          </w:p>
          <w:p>
            <w:pPr>
              <w:pStyle w:val="TableParagraph"/>
              <w:ind w:right="218"/>
              <w:jc w:val="right"/>
              <w:rPr>
                <w:rFonts w:ascii="Times New Roman"/>
                <w:i/>
                <w:sz w:val="20"/>
              </w:rPr>
            </w:pPr>
            <w:r>
              <w:rPr>
                <w:rFonts w:ascii="Times New Roman"/>
                <w:i/>
                <w:w w:val="95"/>
                <w:sz w:val="20"/>
              </w:rPr>
              <w:t>WF_DIO55</w:t>
            </w:r>
          </w:p>
        </w:tc>
        <w:tc>
          <w:tcPr>
            <w:tcW w:w="1051" w:type="dxa"/>
          </w:tcPr>
          <w:p>
            <w:pPr>
              <w:pStyle w:val="TableParagraph"/>
              <w:spacing w:before="1"/>
              <w:rPr>
                <w:b/>
                <w:sz w:val="29"/>
              </w:rPr>
            </w:pPr>
          </w:p>
          <w:p>
            <w:pPr>
              <w:pStyle w:val="TableParagraph"/>
              <w:spacing w:before="1"/>
              <w:ind w:left="84" w:right="80"/>
              <w:jc w:val="center"/>
              <w:rPr>
                <w:sz w:val="20"/>
              </w:rPr>
            </w:pPr>
            <w:r>
              <w:rPr>
                <w:sz w:val="20"/>
              </w:rPr>
              <w:t>28B1[0]</w:t>
            </w:r>
          </w:p>
        </w:tc>
        <w:tc>
          <w:tcPr>
            <w:tcW w:w="617" w:type="dxa"/>
          </w:tcPr>
          <w:p>
            <w:pPr>
              <w:pStyle w:val="TableParagraph"/>
              <w:spacing w:before="1"/>
              <w:rPr>
                <w:b/>
                <w:sz w:val="29"/>
              </w:rPr>
            </w:pPr>
          </w:p>
          <w:p>
            <w:pPr>
              <w:pStyle w:val="TableParagraph"/>
              <w:spacing w:before="1"/>
              <w:ind w:left="7"/>
              <w:jc w:val="center"/>
              <w:rPr>
                <w:sz w:val="20"/>
              </w:rPr>
            </w:pPr>
            <w:r>
              <w:rPr>
                <w:w w:val="99"/>
                <w:sz w:val="20"/>
              </w:rPr>
              <w:t>0</w:t>
            </w:r>
          </w:p>
        </w:tc>
        <w:tc>
          <w:tcPr>
            <w:tcW w:w="550" w:type="dxa"/>
          </w:tcPr>
          <w:p>
            <w:pPr>
              <w:pStyle w:val="TableParagraph"/>
              <w:spacing w:before="1"/>
              <w:rPr>
                <w:b/>
                <w:sz w:val="29"/>
              </w:rPr>
            </w:pPr>
          </w:p>
          <w:p>
            <w:pPr>
              <w:pStyle w:val="TableParagraph"/>
              <w:spacing w:before="1"/>
              <w:ind w:left="7"/>
              <w:jc w:val="center"/>
              <w:rPr>
                <w:sz w:val="20"/>
              </w:rPr>
            </w:pPr>
            <w:r>
              <w:rPr>
                <w:w w:val="99"/>
                <w:sz w:val="20"/>
              </w:rPr>
              <w:t>–</w:t>
            </w:r>
          </w:p>
        </w:tc>
        <w:tc>
          <w:tcPr>
            <w:tcW w:w="605" w:type="dxa"/>
          </w:tcPr>
          <w:p>
            <w:pPr>
              <w:pStyle w:val="TableParagraph"/>
              <w:spacing w:before="1"/>
              <w:rPr>
                <w:b/>
                <w:sz w:val="29"/>
              </w:rPr>
            </w:pPr>
          </w:p>
          <w:p>
            <w:pPr>
              <w:pStyle w:val="TableParagraph"/>
              <w:spacing w:before="1"/>
              <w:ind w:left="8"/>
              <w:jc w:val="center"/>
              <w:rPr>
                <w:sz w:val="20"/>
              </w:rPr>
            </w:pPr>
            <w:r>
              <w:rPr>
                <w:w w:val="99"/>
                <w:sz w:val="20"/>
              </w:rPr>
              <w:t>R</w:t>
            </w:r>
          </w:p>
        </w:tc>
        <w:tc>
          <w:tcPr>
            <w:tcW w:w="5134" w:type="dxa"/>
          </w:tcPr>
          <w:p>
            <w:pPr>
              <w:pStyle w:val="TableParagraph"/>
              <w:spacing w:line="228" w:lineRule="auto" w:before="18"/>
              <w:ind w:left="114" w:right="132"/>
              <w:rPr>
                <w:sz w:val="20"/>
              </w:rPr>
            </w:pPr>
            <w:r>
              <w:rPr>
                <w:sz w:val="20"/>
              </w:rPr>
              <w:t>SEGDIO55 flag bit. If SEGDIO55 is configured to wake the part, this bit is set whenever SEGDIO55 is a high level. It is held in reset if SEGDIO55 is not configured for wakeup.</w:t>
            </w:r>
          </w:p>
        </w:tc>
      </w:tr>
      <w:tr>
        <w:trPr>
          <w:trHeight w:val="256" w:hRule="atLeast"/>
        </w:trPr>
        <w:tc>
          <w:tcPr>
            <w:tcW w:w="1404" w:type="dxa"/>
          </w:tcPr>
          <w:p>
            <w:pPr>
              <w:pStyle w:val="TableParagraph"/>
              <w:spacing w:before="5"/>
              <w:ind w:left="306"/>
              <w:rPr>
                <w:rFonts w:ascii="Times New Roman"/>
                <w:i/>
                <w:sz w:val="20"/>
              </w:rPr>
            </w:pPr>
            <w:r>
              <w:rPr>
                <w:rFonts w:ascii="Times New Roman"/>
                <w:i/>
                <w:sz w:val="20"/>
              </w:rPr>
              <w:t>WF_TMR</w:t>
            </w:r>
          </w:p>
        </w:tc>
        <w:tc>
          <w:tcPr>
            <w:tcW w:w="1051" w:type="dxa"/>
          </w:tcPr>
          <w:p>
            <w:pPr>
              <w:pStyle w:val="TableParagraph"/>
              <w:spacing w:line="227" w:lineRule="exact" w:before="9"/>
              <w:ind w:left="84" w:right="80"/>
              <w:jc w:val="center"/>
              <w:rPr>
                <w:sz w:val="20"/>
              </w:rPr>
            </w:pPr>
            <w:r>
              <w:rPr>
                <w:sz w:val="20"/>
              </w:rPr>
              <w:t>28B1[5]</w:t>
            </w:r>
          </w:p>
        </w:tc>
        <w:tc>
          <w:tcPr>
            <w:tcW w:w="617" w:type="dxa"/>
          </w:tcPr>
          <w:p>
            <w:pPr>
              <w:pStyle w:val="TableParagraph"/>
              <w:spacing w:line="227" w:lineRule="exact" w:before="9"/>
              <w:ind w:left="7"/>
              <w:jc w:val="center"/>
              <w:rPr>
                <w:sz w:val="20"/>
              </w:rPr>
            </w:pPr>
            <w:r>
              <w:rPr>
                <w:w w:val="99"/>
                <w:sz w:val="20"/>
              </w:rPr>
              <w:t>0</w:t>
            </w:r>
          </w:p>
        </w:tc>
        <w:tc>
          <w:tcPr>
            <w:tcW w:w="550" w:type="dxa"/>
          </w:tcPr>
          <w:p>
            <w:pPr>
              <w:pStyle w:val="TableParagraph"/>
              <w:spacing w:line="227" w:lineRule="exact" w:before="9"/>
              <w:ind w:left="7"/>
              <w:jc w:val="center"/>
              <w:rPr>
                <w:sz w:val="20"/>
              </w:rPr>
            </w:pPr>
            <w:r>
              <w:rPr>
                <w:w w:val="99"/>
                <w:sz w:val="20"/>
              </w:rPr>
              <w:t>–</w:t>
            </w:r>
          </w:p>
        </w:tc>
        <w:tc>
          <w:tcPr>
            <w:tcW w:w="605" w:type="dxa"/>
          </w:tcPr>
          <w:p>
            <w:pPr>
              <w:pStyle w:val="TableParagraph"/>
              <w:spacing w:line="227" w:lineRule="exact" w:before="9"/>
              <w:ind w:left="8"/>
              <w:jc w:val="center"/>
              <w:rPr>
                <w:sz w:val="20"/>
              </w:rPr>
            </w:pPr>
            <w:r>
              <w:rPr>
                <w:w w:val="99"/>
                <w:sz w:val="20"/>
              </w:rPr>
              <w:t>R</w:t>
            </w:r>
          </w:p>
        </w:tc>
        <w:tc>
          <w:tcPr>
            <w:tcW w:w="5134" w:type="dxa"/>
          </w:tcPr>
          <w:p>
            <w:pPr>
              <w:pStyle w:val="TableParagraph"/>
              <w:spacing w:line="227" w:lineRule="exact" w:before="9"/>
              <w:ind w:left="114"/>
              <w:rPr>
                <w:sz w:val="20"/>
              </w:rPr>
            </w:pPr>
            <w:r>
              <w:rPr>
                <w:spacing w:val="-3"/>
                <w:sz w:val="20"/>
              </w:rPr>
              <w:t>Indicates that </w:t>
            </w:r>
            <w:r>
              <w:rPr>
                <w:sz w:val="20"/>
              </w:rPr>
              <w:t>the Wake </w:t>
            </w:r>
            <w:r>
              <w:rPr>
                <w:spacing w:val="-3"/>
                <w:sz w:val="20"/>
              </w:rPr>
              <w:t>timer caused </w:t>
            </w:r>
            <w:r>
              <w:rPr>
                <w:sz w:val="20"/>
              </w:rPr>
              <w:t>the part to </w:t>
            </w:r>
            <w:r>
              <w:rPr>
                <w:spacing w:val="-3"/>
                <w:sz w:val="20"/>
              </w:rPr>
              <w:t>wake up.</w:t>
            </w:r>
          </w:p>
        </w:tc>
      </w:tr>
      <w:tr>
        <w:trPr>
          <w:trHeight w:val="258" w:hRule="atLeast"/>
        </w:trPr>
        <w:tc>
          <w:tcPr>
            <w:tcW w:w="1404" w:type="dxa"/>
          </w:tcPr>
          <w:p>
            <w:pPr>
              <w:pStyle w:val="TableParagraph"/>
              <w:spacing w:before="7"/>
              <w:ind w:left="383"/>
              <w:rPr>
                <w:rFonts w:ascii="Times New Roman"/>
                <w:i/>
                <w:sz w:val="20"/>
              </w:rPr>
            </w:pPr>
            <w:r>
              <w:rPr>
                <w:rFonts w:ascii="Times New Roman"/>
                <w:i/>
                <w:sz w:val="20"/>
              </w:rPr>
              <w:t>WF_PB</w:t>
            </w:r>
          </w:p>
        </w:tc>
        <w:tc>
          <w:tcPr>
            <w:tcW w:w="1051" w:type="dxa"/>
          </w:tcPr>
          <w:p>
            <w:pPr>
              <w:pStyle w:val="TableParagraph"/>
              <w:spacing w:line="227" w:lineRule="exact" w:before="11"/>
              <w:ind w:left="84" w:right="80"/>
              <w:jc w:val="center"/>
              <w:rPr>
                <w:sz w:val="20"/>
              </w:rPr>
            </w:pPr>
            <w:r>
              <w:rPr>
                <w:sz w:val="20"/>
              </w:rPr>
              <w:t>28B1[3]</w:t>
            </w:r>
          </w:p>
        </w:tc>
        <w:tc>
          <w:tcPr>
            <w:tcW w:w="617" w:type="dxa"/>
          </w:tcPr>
          <w:p>
            <w:pPr>
              <w:pStyle w:val="TableParagraph"/>
              <w:spacing w:line="227" w:lineRule="exact" w:before="11"/>
              <w:ind w:left="7"/>
              <w:jc w:val="center"/>
              <w:rPr>
                <w:sz w:val="20"/>
              </w:rPr>
            </w:pPr>
            <w:r>
              <w:rPr>
                <w:w w:val="99"/>
                <w:sz w:val="20"/>
              </w:rPr>
              <w:t>0</w:t>
            </w:r>
          </w:p>
        </w:tc>
        <w:tc>
          <w:tcPr>
            <w:tcW w:w="550" w:type="dxa"/>
          </w:tcPr>
          <w:p>
            <w:pPr>
              <w:pStyle w:val="TableParagraph"/>
              <w:spacing w:line="227" w:lineRule="exact" w:before="11"/>
              <w:ind w:left="7"/>
              <w:jc w:val="center"/>
              <w:rPr>
                <w:sz w:val="20"/>
              </w:rPr>
            </w:pPr>
            <w:r>
              <w:rPr>
                <w:w w:val="99"/>
                <w:sz w:val="20"/>
              </w:rPr>
              <w:t>–</w:t>
            </w:r>
          </w:p>
        </w:tc>
        <w:tc>
          <w:tcPr>
            <w:tcW w:w="605" w:type="dxa"/>
          </w:tcPr>
          <w:p>
            <w:pPr>
              <w:pStyle w:val="TableParagraph"/>
              <w:spacing w:line="227" w:lineRule="exact" w:before="11"/>
              <w:ind w:left="8"/>
              <w:jc w:val="center"/>
              <w:rPr>
                <w:sz w:val="20"/>
              </w:rPr>
            </w:pPr>
            <w:r>
              <w:rPr>
                <w:w w:val="99"/>
                <w:sz w:val="20"/>
              </w:rPr>
              <w:t>R</w:t>
            </w:r>
          </w:p>
        </w:tc>
        <w:tc>
          <w:tcPr>
            <w:tcW w:w="5134" w:type="dxa"/>
          </w:tcPr>
          <w:p>
            <w:pPr>
              <w:pStyle w:val="TableParagraph"/>
              <w:spacing w:line="227" w:lineRule="exact" w:before="11"/>
              <w:ind w:left="114"/>
              <w:rPr>
                <w:sz w:val="20"/>
              </w:rPr>
            </w:pPr>
            <w:r>
              <w:rPr>
                <w:sz w:val="20"/>
              </w:rPr>
              <w:t>Indicates that the PB pin caused the part to wake.</w:t>
            </w:r>
          </w:p>
        </w:tc>
      </w:tr>
      <w:tr>
        <w:trPr>
          <w:trHeight w:val="258" w:hRule="atLeast"/>
        </w:trPr>
        <w:tc>
          <w:tcPr>
            <w:tcW w:w="1404" w:type="dxa"/>
          </w:tcPr>
          <w:p>
            <w:pPr>
              <w:pStyle w:val="TableParagraph"/>
              <w:spacing w:before="5"/>
              <w:ind w:left="383"/>
              <w:rPr>
                <w:rFonts w:ascii="Times New Roman"/>
                <w:i/>
                <w:sz w:val="20"/>
              </w:rPr>
            </w:pPr>
            <w:r>
              <w:rPr>
                <w:rFonts w:ascii="Times New Roman"/>
                <w:i/>
                <w:sz w:val="20"/>
              </w:rPr>
              <w:t>WF_RX</w:t>
            </w:r>
          </w:p>
        </w:tc>
        <w:tc>
          <w:tcPr>
            <w:tcW w:w="1051" w:type="dxa"/>
          </w:tcPr>
          <w:p>
            <w:pPr>
              <w:pStyle w:val="TableParagraph"/>
              <w:spacing w:before="9"/>
              <w:ind w:left="84" w:right="80"/>
              <w:jc w:val="center"/>
              <w:rPr>
                <w:sz w:val="20"/>
              </w:rPr>
            </w:pPr>
            <w:r>
              <w:rPr>
                <w:sz w:val="20"/>
              </w:rPr>
              <w:t>28B1[4]</w:t>
            </w:r>
          </w:p>
        </w:tc>
        <w:tc>
          <w:tcPr>
            <w:tcW w:w="617" w:type="dxa"/>
          </w:tcPr>
          <w:p>
            <w:pPr>
              <w:pStyle w:val="TableParagraph"/>
              <w:spacing w:before="9"/>
              <w:ind w:left="7"/>
              <w:jc w:val="center"/>
              <w:rPr>
                <w:sz w:val="20"/>
              </w:rPr>
            </w:pPr>
            <w:r>
              <w:rPr>
                <w:w w:val="99"/>
                <w:sz w:val="20"/>
              </w:rPr>
              <w:t>0</w:t>
            </w:r>
          </w:p>
        </w:tc>
        <w:tc>
          <w:tcPr>
            <w:tcW w:w="550" w:type="dxa"/>
          </w:tcPr>
          <w:p>
            <w:pPr>
              <w:pStyle w:val="TableParagraph"/>
              <w:spacing w:before="9"/>
              <w:ind w:left="7"/>
              <w:jc w:val="center"/>
              <w:rPr>
                <w:sz w:val="20"/>
              </w:rPr>
            </w:pPr>
            <w:r>
              <w:rPr>
                <w:w w:val="99"/>
                <w:sz w:val="20"/>
              </w:rPr>
              <w:t>–</w:t>
            </w:r>
          </w:p>
        </w:tc>
        <w:tc>
          <w:tcPr>
            <w:tcW w:w="605" w:type="dxa"/>
          </w:tcPr>
          <w:p>
            <w:pPr>
              <w:pStyle w:val="TableParagraph"/>
              <w:spacing w:before="9"/>
              <w:ind w:left="8"/>
              <w:jc w:val="center"/>
              <w:rPr>
                <w:sz w:val="20"/>
              </w:rPr>
            </w:pPr>
            <w:r>
              <w:rPr>
                <w:w w:val="99"/>
                <w:sz w:val="20"/>
              </w:rPr>
              <w:t>R</w:t>
            </w:r>
          </w:p>
        </w:tc>
        <w:tc>
          <w:tcPr>
            <w:tcW w:w="5134" w:type="dxa"/>
          </w:tcPr>
          <w:p>
            <w:pPr>
              <w:pStyle w:val="TableParagraph"/>
              <w:spacing w:before="9"/>
              <w:ind w:left="114"/>
              <w:rPr>
                <w:sz w:val="20"/>
              </w:rPr>
            </w:pPr>
            <w:r>
              <w:rPr>
                <w:sz w:val="20"/>
              </w:rPr>
              <w:t>Indicates that RX pin caused the part to wake.</w:t>
            </w:r>
          </w:p>
        </w:tc>
      </w:tr>
      <w:tr>
        <w:trPr>
          <w:trHeight w:val="1132" w:hRule="atLeast"/>
        </w:trPr>
        <w:tc>
          <w:tcPr>
            <w:tcW w:w="1404" w:type="dxa"/>
          </w:tcPr>
          <w:p>
            <w:pPr>
              <w:pStyle w:val="TableParagraph"/>
              <w:spacing w:line="228" w:lineRule="auto" w:before="17"/>
              <w:ind w:left="116" w:right="108"/>
              <w:jc w:val="center"/>
              <w:rPr>
                <w:rFonts w:ascii="Times New Roman"/>
                <w:i/>
                <w:sz w:val="20"/>
              </w:rPr>
            </w:pPr>
            <w:r>
              <w:rPr>
                <w:rFonts w:ascii="Times New Roman"/>
                <w:i/>
                <w:sz w:val="20"/>
              </w:rPr>
              <w:t>WF_RST </w:t>
            </w:r>
            <w:r>
              <w:rPr>
                <w:rFonts w:ascii="Times New Roman"/>
                <w:i/>
                <w:sz w:val="20"/>
              </w:rPr>
              <w:t>WF_RSTBIT WF_ERST WF_CSTART </w:t>
            </w:r>
            <w:r>
              <w:rPr>
                <w:rFonts w:ascii="Times New Roman"/>
                <w:i/>
                <w:w w:val="95"/>
                <w:sz w:val="20"/>
              </w:rPr>
              <w:t>WF_BADVDD</w:t>
            </w:r>
          </w:p>
        </w:tc>
        <w:tc>
          <w:tcPr>
            <w:tcW w:w="1051" w:type="dxa"/>
          </w:tcPr>
          <w:p>
            <w:pPr>
              <w:pStyle w:val="TableParagraph"/>
              <w:spacing w:line="224" w:lineRule="exact" w:before="11"/>
              <w:ind w:left="179"/>
              <w:rPr>
                <w:sz w:val="20"/>
              </w:rPr>
            </w:pPr>
            <w:r>
              <w:rPr>
                <w:sz w:val="20"/>
              </w:rPr>
              <w:t>28B0[6]</w:t>
            </w:r>
          </w:p>
          <w:p>
            <w:pPr>
              <w:pStyle w:val="TableParagraph"/>
              <w:spacing w:line="218" w:lineRule="exact"/>
              <w:ind w:left="179"/>
              <w:rPr>
                <w:sz w:val="20"/>
              </w:rPr>
            </w:pPr>
            <w:r>
              <w:rPr>
                <w:sz w:val="20"/>
              </w:rPr>
              <w:t>28B0[5]</w:t>
            </w:r>
          </w:p>
          <w:p>
            <w:pPr>
              <w:pStyle w:val="TableParagraph"/>
              <w:spacing w:line="218" w:lineRule="exact"/>
              <w:ind w:left="179"/>
              <w:rPr>
                <w:sz w:val="20"/>
              </w:rPr>
            </w:pPr>
            <w:r>
              <w:rPr>
                <w:sz w:val="20"/>
              </w:rPr>
              <w:t>28B0[3]</w:t>
            </w:r>
          </w:p>
          <w:p>
            <w:pPr>
              <w:pStyle w:val="TableParagraph"/>
              <w:spacing w:line="218" w:lineRule="exact"/>
              <w:ind w:left="179"/>
              <w:rPr>
                <w:sz w:val="20"/>
              </w:rPr>
            </w:pPr>
            <w:r>
              <w:rPr>
                <w:sz w:val="20"/>
              </w:rPr>
              <w:t>28B0[7]</w:t>
            </w:r>
          </w:p>
          <w:p>
            <w:pPr>
              <w:pStyle w:val="TableParagraph"/>
              <w:spacing w:line="222" w:lineRule="exact"/>
              <w:ind w:left="179"/>
              <w:rPr>
                <w:sz w:val="20"/>
              </w:rPr>
            </w:pPr>
            <w:r>
              <w:rPr>
                <w:sz w:val="20"/>
              </w:rPr>
              <w:t>28B0[2]</w:t>
            </w:r>
          </w:p>
        </w:tc>
        <w:tc>
          <w:tcPr>
            <w:tcW w:w="617" w:type="dxa"/>
          </w:tcPr>
          <w:p>
            <w:pPr>
              <w:pStyle w:val="TableParagraph"/>
              <w:spacing w:line="224" w:lineRule="exact" w:before="11"/>
              <w:ind w:left="8"/>
              <w:jc w:val="center"/>
              <w:rPr>
                <w:sz w:val="20"/>
              </w:rPr>
            </w:pPr>
            <w:r>
              <w:rPr>
                <w:w w:val="99"/>
                <w:sz w:val="20"/>
              </w:rPr>
              <w:t>*</w:t>
            </w:r>
          </w:p>
          <w:p>
            <w:pPr>
              <w:pStyle w:val="TableParagraph"/>
              <w:spacing w:line="218" w:lineRule="exact"/>
              <w:ind w:left="8"/>
              <w:jc w:val="center"/>
              <w:rPr>
                <w:sz w:val="20"/>
              </w:rPr>
            </w:pPr>
            <w:r>
              <w:rPr>
                <w:w w:val="99"/>
                <w:sz w:val="20"/>
              </w:rPr>
              <w:t>*</w:t>
            </w:r>
          </w:p>
          <w:p>
            <w:pPr>
              <w:pStyle w:val="TableParagraph"/>
              <w:spacing w:line="218" w:lineRule="exact"/>
              <w:ind w:left="8"/>
              <w:jc w:val="center"/>
              <w:rPr>
                <w:sz w:val="20"/>
              </w:rPr>
            </w:pPr>
            <w:r>
              <w:rPr>
                <w:w w:val="99"/>
                <w:sz w:val="20"/>
              </w:rPr>
              <w:t>*</w:t>
            </w:r>
          </w:p>
          <w:p>
            <w:pPr>
              <w:pStyle w:val="TableParagraph"/>
              <w:spacing w:line="218" w:lineRule="exact"/>
              <w:ind w:left="8"/>
              <w:jc w:val="center"/>
              <w:rPr>
                <w:sz w:val="20"/>
              </w:rPr>
            </w:pPr>
            <w:r>
              <w:rPr>
                <w:w w:val="99"/>
                <w:sz w:val="20"/>
              </w:rPr>
              <w:t>*</w:t>
            </w:r>
          </w:p>
          <w:p>
            <w:pPr>
              <w:pStyle w:val="TableParagraph"/>
              <w:spacing w:line="222" w:lineRule="exact"/>
              <w:ind w:left="8"/>
              <w:jc w:val="center"/>
              <w:rPr>
                <w:sz w:val="20"/>
              </w:rPr>
            </w:pPr>
            <w:r>
              <w:rPr>
                <w:w w:val="99"/>
                <w:sz w:val="20"/>
              </w:rPr>
              <w:t>*</w:t>
            </w:r>
          </w:p>
        </w:tc>
        <w:tc>
          <w:tcPr>
            <w:tcW w:w="550" w:type="dxa"/>
          </w:tcPr>
          <w:p>
            <w:pPr>
              <w:pStyle w:val="TableParagraph"/>
              <w:rPr>
                <w:b/>
                <w:sz w:val="22"/>
              </w:rPr>
            </w:pPr>
          </w:p>
          <w:p>
            <w:pPr>
              <w:pStyle w:val="TableParagraph"/>
              <w:spacing w:before="195"/>
              <w:ind w:left="7"/>
              <w:jc w:val="center"/>
              <w:rPr>
                <w:sz w:val="20"/>
              </w:rPr>
            </w:pPr>
            <w:r>
              <w:rPr>
                <w:w w:val="99"/>
                <w:sz w:val="20"/>
              </w:rPr>
              <w:t>–</w:t>
            </w:r>
          </w:p>
        </w:tc>
        <w:tc>
          <w:tcPr>
            <w:tcW w:w="605" w:type="dxa"/>
          </w:tcPr>
          <w:p>
            <w:pPr>
              <w:pStyle w:val="TableParagraph"/>
              <w:rPr>
                <w:b/>
                <w:sz w:val="22"/>
              </w:rPr>
            </w:pPr>
          </w:p>
          <w:p>
            <w:pPr>
              <w:pStyle w:val="TableParagraph"/>
              <w:spacing w:before="195"/>
              <w:ind w:left="8"/>
              <w:jc w:val="center"/>
              <w:rPr>
                <w:sz w:val="20"/>
              </w:rPr>
            </w:pPr>
            <w:r>
              <w:rPr>
                <w:w w:val="99"/>
                <w:sz w:val="20"/>
              </w:rPr>
              <w:t>R</w:t>
            </w:r>
          </w:p>
        </w:tc>
        <w:tc>
          <w:tcPr>
            <w:tcW w:w="5134" w:type="dxa"/>
          </w:tcPr>
          <w:p>
            <w:pPr>
              <w:pStyle w:val="TableParagraph"/>
              <w:spacing w:line="230" w:lineRule="auto" w:before="122"/>
              <w:ind w:left="114" w:right="259"/>
              <w:jc w:val="both"/>
              <w:rPr>
                <w:sz w:val="20"/>
              </w:rPr>
            </w:pPr>
            <w:r>
              <w:rPr>
                <w:sz w:val="20"/>
              </w:rPr>
              <w:t>Indicates that the RST pin, E_RST pin, </w:t>
            </w:r>
            <w:r>
              <w:rPr>
                <w:rFonts w:ascii="Times New Roman"/>
                <w:i/>
                <w:sz w:val="20"/>
              </w:rPr>
              <w:t>RESET </w:t>
            </w:r>
            <w:r>
              <w:rPr>
                <w:sz w:val="20"/>
              </w:rPr>
              <w:t>bit (</w:t>
            </w:r>
            <w:r>
              <w:rPr>
                <w:rFonts w:ascii="Times New Roman"/>
                <w:i/>
                <w:sz w:val="20"/>
              </w:rPr>
              <w:t>I/O </w:t>
            </w:r>
            <w:r>
              <w:rPr>
                <w:rFonts w:ascii="Times New Roman"/>
                <w:i/>
                <w:sz w:val="20"/>
              </w:rPr>
              <w:t>RAM 0x2200[3])</w:t>
            </w:r>
            <w:r>
              <w:rPr>
                <w:sz w:val="20"/>
              </w:rPr>
              <w:t>, the cold start detector, or low</w:t>
            </w:r>
            <w:r>
              <w:rPr>
                <w:spacing w:val="-28"/>
                <w:sz w:val="20"/>
              </w:rPr>
              <w:t> </w:t>
            </w:r>
            <w:r>
              <w:rPr>
                <w:sz w:val="20"/>
              </w:rPr>
              <w:t>voltage on the VBAT pin caused the part to</w:t>
            </w:r>
            <w:r>
              <w:rPr>
                <w:spacing w:val="-10"/>
                <w:sz w:val="20"/>
              </w:rPr>
              <w:t> </w:t>
            </w:r>
            <w:r>
              <w:rPr>
                <w:sz w:val="20"/>
              </w:rPr>
              <w:t>reset.</w:t>
            </w:r>
          </w:p>
          <w:p>
            <w:pPr>
              <w:pStyle w:val="TableParagraph"/>
              <w:spacing w:line="221" w:lineRule="exact"/>
              <w:ind w:left="113"/>
              <w:jc w:val="both"/>
              <w:rPr>
                <w:sz w:val="20"/>
              </w:rPr>
            </w:pPr>
            <w:r>
              <w:rPr>
                <w:sz w:val="20"/>
              </w:rPr>
              <w:t>*See </w:t>
            </w:r>
            <w:hyperlink w:history="true" w:anchor="_bookmark167">
              <w:r>
                <w:rPr>
                  <w:color w:val="0000FF"/>
                  <w:sz w:val="20"/>
                </w:rPr>
                <w:t>Table 65 </w:t>
              </w:r>
            </w:hyperlink>
            <w:r>
              <w:rPr>
                <w:sz w:val="20"/>
              </w:rPr>
              <w:t>for details.</w:t>
            </w:r>
          </w:p>
        </w:tc>
      </w:tr>
    </w:tbl>
    <w:p>
      <w:pPr>
        <w:spacing w:after="0" w:line="221" w:lineRule="exact"/>
        <w:jc w:val="both"/>
        <w:rPr>
          <w:sz w:val="20"/>
        </w:rPr>
        <w:sectPr>
          <w:headerReference w:type="even" r:id="rId160"/>
          <w:headerReference w:type="default" r:id="rId161"/>
          <w:footerReference w:type="even" r:id="rId162"/>
          <w:footerReference w:type="default" r:id="rId163"/>
          <w:pgSz w:w="12240" w:h="15840"/>
          <w:pgMar w:header="727" w:footer="819" w:top="940" w:bottom="1000" w:left="1200" w:right="1060"/>
          <w:pgNumType w:start="82"/>
        </w:sectPr>
      </w:pPr>
    </w:p>
    <w:p>
      <w:pPr>
        <w:pStyle w:val="BodyText"/>
        <w:spacing w:before="6"/>
        <w:rPr>
          <w:b/>
          <w:sz w:val="16"/>
        </w:rPr>
      </w:pPr>
    </w:p>
    <w:p>
      <w:pPr>
        <w:pStyle w:val="Heading1"/>
        <w:spacing w:before="93"/>
        <w:ind w:left="61" w:right="204"/>
      </w:pPr>
      <w:bookmarkStart w:name="_bookmark167" w:id="338"/>
      <w:bookmarkEnd w:id="338"/>
      <w:r>
        <w:rPr>
          <w:b w:val="0"/>
        </w:rPr>
      </w:r>
      <w:r>
        <w:rPr/>
        <w:t>Table 65: Clear Events for WAKE flags</w:t>
      </w:r>
    </w:p>
    <w:p>
      <w:pPr>
        <w:pStyle w:val="BodyText"/>
        <w:spacing w:before="7"/>
        <w:rPr>
          <w:b/>
          <w:sz w:val="5"/>
        </w:rPr>
      </w:pPr>
    </w:p>
    <w:tbl>
      <w:tblPr>
        <w:tblW w:w="0" w:type="auto"/>
        <w:jc w:val="lef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0"/>
        <w:gridCol w:w="3926"/>
        <w:gridCol w:w="4209"/>
      </w:tblGrid>
      <w:tr>
        <w:trPr>
          <w:trHeight w:val="299" w:hRule="atLeast"/>
        </w:trPr>
        <w:tc>
          <w:tcPr>
            <w:tcW w:w="1440" w:type="dxa"/>
          </w:tcPr>
          <w:p>
            <w:pPr>
              <w:pStyle w:val="TableParagraph"/>
              <w:spacing w:before="28"/>
              <w:ind w:left="191" w:right="185"/>
              <w:jc w:val="center"/>
              <w:rPr>
                <w:b/>
                <w:sz w:val="20"/>
              </w:rPr>
            </w:pPr>
            <w:r>
              <w:rPr>
                <w:b/>
                <w:sz w:val="20"/>
              </w:rPr>
              <w:t>Flag</w:t>
            </w:r>
          </w:p>
        </w:tc>
        <w:tc>
          <w:tcPr>
            <w:tcW w:w="3926" w:type="dxa"/>
          </w:tcPr>
          <w:p>
            <w:pPr>
              <w:pStyle w:val="TableParagraph"/>
              <w:spacing w:before="28"/>
              <w:ind w:left="1498" w:right="1489"/>
              <w:jc w:val="center"/>
              <w:rPr>
                <w:b/>
                <w:sz w:val="20"/>
              </w:rPr>
            </w:pPr>
            <w:r>
              <w:rPr>
                <w:b/>
                <w:sz w:val="20"/>
              </w:rPr>
              <w:t>Wake on:</w:t>
            </w:r>
          </w:p>
        </w:tc>
        <w:tc>
          <w:tcPr>
            <w:tcW w:w="4209" w:type="dxa"/>
          </w:tcPr>
          <w:p>
            <w:pPr>
              <w:pStyle w:val="TableParagraph"/>
              <w:spacing w:before="28"/>
              <w:ind w:left="108"/>
              <w:rPr>
                <w:b/>
                <w:sz w:val="20"/>
              </w:rPr>
            </w:pPr>
            <w:r>
              <w:rPr>
                <w:b/>
                <w:sz w:val="20"/>
              </w:rPr>
              <w:t>Clear Events</w:t>
            </w:r>
          </w:p>
        </w:tc>
      </w:tr>
      <w:tr>
        <w:trPr>
          <w:trHeight w:val="299" w:hRule="atLeast"/>
        </w:trPr>
        <w:tc>
          <w:tcPr>
            <w:tcW w:w="1440" w:type="dxa"/>
          </w:tcPr>
          <w:p>
            <w:pPr>
              <w:pStyle w:val="TableParagraph"/>
              <w:spacing w:before="26"/>
              <w:ind w:left="323"/>
              <w:rPr>
                <w:rFonts w:ascii="Times New Roman"/>
                <w:i/>
                <w:sz w:val="20"/>
              </w:rPr>
            </w:pPr>
            <w:r>
              <w:rPr>
                <w:rFonts w:ascii="Times New Roman"/>
                <w:i/>
                <w:sz w:val="20"/>
              </w:rPr>
              <w:t>WF_TMR</w:t>
            </w:r>
          </w:p>
        </w:tc>
        <w:tc>
          <w:tcPr>
            <w:tcW w:w="3926" w:type="dxa"/>
          </w:tcPr>
          <w:p>
            <w:pPr>
              <w:pStyle w:val="TableParagraph"/>
              <w:spacing w:before="30"/>
              <w:ind w:left="107"/>
              <w:rPr>
                <w:sz w:val="20"/>
              </w:rPr>
            </w:pPr>
            <w:r>
              <w:rPr>
                <w:sz w:val="20"/>
              </w:rPr>
              <w:t>Timer expiration</w:t>
            </w:r>
          </w:p>
        </w:tc>
        <w:tc>
          <w:tcPr>
            <w:tcW w:w="4209" w:type="dxa"/>
          </w:tcPr>
          <w:p>
            <w:pPr>
              <w:pStyle w:val="TableParagraph"/>
              <w:spacing w:before="30"/>
              <w:ind w:left="108"/>
              <w:rPr>
                <w:sz w:val="20"/>
              </w:rPr>
            </w:pPr>
            <w:r>
              <w:rPr>
                <w:sz w:val="20"/>
              </w:rPr>
              <w:t>WAKE falls</w:t>
            </w:r>
          </w:p>
        </w:tc>
      </w:tr>
      <w:tr>
        <w:trPr>
          <w:trHeight w:val="302" w:hRule="atLeast"/>
        </w:trPr>
        <w:tc>
          <w:tcPr>
            <w:tcW w:w="1440" w:type="dxa"/>
          </w:tcPr>
          <w:p>
            <w:pPr>
              <w:pStyle w:val="TableParagraph"/>
              <w:spacing w:before="29"/>
              <w:ind w:left="403"/>
              <w:rPr>
                <w:rFonts w:ascii="Times New Roman"/>
                <w:i/>
                <w:sz w:val="20"/>
              </w:rPr>
            </w:pPr>
            <w:r>
              <w:rPr>
                <w:rFonts w:ascii="Times New Roman"/>
                <w:i/>
                <w:sz w:val="20"/>
              </w:rPr>
              <w:t>WF_PB</w:t>
            </w:r>
          </w:p>
        </w:tc>
        <w:tc>
          <w:tcPr>
            <w:tcW w:w="3926" w:type="dxa"/>
          </w:tcPr>
          <w:p>
            <w:pPr>
              <w:pStyle w:val="TableParagraph"/>
              <w:spacing w:before="33"/>
              <w:ind w:left="107"/>
              <w:rPr>
                <w:sz w:val="20"/>
              </w:rPr>
            </w:pPr>
            <w:r>
              <w:rPr>
                <w:sz w:val="20"/>
              </w:rPr>
              <w:t>PB pin high level</w:t>
            </w:r>
          </w:p>
        </w:tc>
        <w:tc>
          <w:tcPr>
            <w:tcW w:w="4209" w:type="dxa"/>
          </w:tcPr>
          <w:p>
            <w:pPr>
              <w:pStyle w:val="TableParagraph"/>
              <w:spacing w:before="33"/>
              <w:ind w:left="108"/>
              <w:rPr>
                <w:sz w:val="20"/>
              </w:rPr>
            </w:pPr>
            <w:r>
              <w:rPr>
                <w:sz w:val="20"/>
              </w:rPr>
              <w:t>WAKE falls</w:t>
            </w:r>
          </w:p>
        </w:tc>
      </w:tr>
      <w:tr>
        <w:trPr>
          <w:trHeight w:val="299" w:hRule="atLeast"/>
        </w:trPr>
        <w:tc>
          <w:tcPr>
            <w:tcW w:w="1440" w:type="dxa"/>
          </w:tcPr>
          <w:p>
            <w:pPr>
              <w:pStyle w:val="TableParagraph"/>
              <w:spacing w:before="26"/>
              <w:ind w:left="403"/>
              <w:rPr>
                <w:rFonts w:ascii="Times New Roman"/>
                <w:i/>
                <w:sz w:val="20"/>
              </w:rPr>
            </w:pPr>
            <w:r>
              <w:rPr>
                <w:rFonts w:ascii="Times New Roman"/>
                <w:i/>
                <w:sz w:val="20"/>
              </w:rPr>
              <w:t>WF_RX</w:t>
            </w:r>
          </w:p>
        </w:tc>
        <w:tc>
          <w:tcPr>
            <w:tcW w:w="3926" w:type="dxa"/>
          </w:tcPr>
          <w:p>
            <w:pPr>
              <w:pStyle w:val="TableParagraph"/>
              <w:spacing w:before="30"/>
              <w:ind w:left="107"/>
              <w:rPr>
                <w:sz w:val="20"/>
              </w:rPr>
            </w:pPr>
            <w:r>
              <w:rPr>
                <w:sz w:val="20"/>
              </w:rPr>
              <w:t>Either edge RX pin</w:t>
            </w:r>
          </w:p>
        </w:tc>
        <w:tc>
          <w:tcPr>
            <w:tcW w:w="4209" w:type="dxa"/>
          </w:tcPr>
          <w:p>
            <w:pPr>
              <w:pStyle w:val="TableParagraph"/>
              <w:spacing w:before="30"/>
              <w:ind w:left="108"/>
              <w:rPr>
                <w:sz w:val="20"/>
              </w:rPr>
            </w:pPr>
            <w:r>
              <w:rPr>
                <w:sz w:val="20"/>
              </w:rPr>
              <w:t>WAKE falls</w:t>
            </w:r>
          </w:p>
        </w:tc>
      </w:tr>
      <w:tr>
        <w:trPr>
          <w:trHeight w:val="299" w:hRule="atLeast"/>
        </w:trPr>
        <w:tc>
          <w:tcPr>
            <w:tcW w:w="1440" w:type="dxa"/>
          </w:tcPr>
          <w:p>
            <w:pPr>
              <w:pStyle w:val="TableParagraph"/>
              <w:spacing w:before="26"/>
              <w:ind w:left="297"/>
              <w:rPr>
                <w:rFonts w:ascii="Times New Roman"/>
                <w:i/>
                <w:sz w:val="20"/>
              </w:rPr>
            </w:pPr>
            <w:r>
              <w:rPr>
                <w:rFonts w:ascii="Times New Roman"/>
                <w:i/>
                <w:sz w:val="20"/>
              </w:rPr>
              <w:t>WF_DIO4</w:t>
            </w:r>
          </w:p>
        </w:tc>
        <w:tc>
          <w:tcPr>
            <w:tcW w:w="3926" w:type="dxa"/>
          </w:tcPr>
          <w:p>
            <w:pPr>
              <w:pStyle w:val="TableParagraph"/>
              <w:spacing w:before="30"/>
              <w:ind w:left="107"/>
              <w:rPr>
                <w:sz w:val="20"/>
              </w:rPr>
            </w:pPr>
            <w:r>
              <w:rPr>
                <w:sz w:val="20"/>
              </w:rPr>
              <w:t>SEGDIO4 rising edge</w:t>
            </w:r>
          </w:p>
        </w:tc>
        <w:tc>
          <w:tcPr>
            <w:tcW w:w="4209" w:type="dxa"/>
          </w:tcPr>
          <w:p>
            <w:pPr>
              <w:pStyle w:val="TableParagraph"/>
              <w:spacing w:before="30"/>
              <w:ind w:left="108"/>
              <w:rPr>
                <w:sz w:val="20"/>
              </w:rPr>
            </w:pPr>
            <w:r>
              <w:rPr>
                <w:sz w:val="20"/>
              </w:rPr>
              <w:t>WAKE falls</w:t>
            </w:r>
          </w:p>
        </w:tc>
      </w:tr>
      <w:tr>
        <w:trPr>
          <w:trHeight w:val="302" w:hRule="atLeast"/>
        </w:trPr>
        <w:tc>
          <w:tcPr>
            <w:tcW w:w="1440" w:type="dxa"/>
          </w:tcPr>
          <w:p>
            <w:pPr>
              <w:pStyle w:val="TableParagraph"/>
              <w:spacing w:before="29"/>
              <w:ind w:right="239"/>
              <w:jc w:val="right"/>
              <w:rPr>
                <w:rFonts w:ascii="Times New Roman"/>
                <w:i/>
                <w:sz w:val="20"/>
              </w:rPr>
            </w:pPr>
            <w:r>
              <w:rPr>
                <w:rFonts w:ascii="Times New Roman"/>
                <w:i/>
                <w:sz w:val="20"/>
              </w:rPr>
              <w:t>WF_DIO52</w:t>
            </w:r>
          </w:p>
        </w:tc>
        <w:tc>
          <w:tcPr>
            <w:tcW w:w="3926" w:type="dxa"/>
          </w:tcPr>
          <w:p>
            <w:pPr>
              <w:pStyle w:val="TableParagraph"/>
              <w:spacing w:before="33"/>
              <w:ind w:left="107"/>
              <w:rPr>
                <w:sz w:val="20"/>
              </w:rPr>
            </w:pPr>
            <w:r>
              <w:rPr>
                <w:sz w:val="20"/>
              </w:rPr>
              <w:t>SEGDIO52 high level</w:t>
            </w:r>
          </w:p>
        </w:tc>
        <w:tc>
          <w:tcPr>
            <w:tcW w:w="4209" w:type="dxa"/>
          </w:tcPr>
          <w:p>
            <w:pPr>
              <w:pStyle w:val="TableParagraph"/>
              <w:spacing w:before="33"/>
              <w:ind w:left="108"/>
              <w:rPr>
                <w:sz w:val="20"/>
              </w:rPr>
            </w:pPr>
            <w:r>
              <w:rPr>
                <w:sz w:val="20"/>
              </w:rPr>
              <w:t>WAKE falls</w:t>
            </w:r>
          </w:p>
        </w:tc>
      </w:tr>
      <w:tr>
        <w:trPr>
          <w:trHeight w:val="1021" w:hRule="atLeast"/>
        </w:trPr>
        <w:tc>
          <w:tcPr>
            <w:tcW w:w="1440" w:type="dxa"/>
          </w:tcPr>
          <w:p>
            <w:pPr>
              <w:pStyle w:val="TableParagraph"/>
              <w:rPr>
                <w:b/>
                <w:sz w:val="22"/>
              </w:rPr>
            </w:pPr>
          </w:p>
          <w:p>
            <w:pPr>
              <w:pStyle w:val="TableParagraph"/>
              <w:spacing w:before="133"/>
              <w:ind w:right="239"/>
              <w:jc w:val="right"/>
              <w:rPr>
                <w:rFonts w:ascii="Times New Roman"/>
                <w:i/>
                <w:sz w:val="20"/>
              </w:rPr>
            </w:pPr>
            <w:r>
              <w:rPr>
                <w:rFonts w:ascii="Times New Roman"/>
                <w:i/>
                <w:sz w:val="20"/>
              </w:rPr>
              <w:t>WF_DIO55</w:t>
            </w:r>
          </w:p>
        </w:tc>
        <w:tc>
          <w:tcPr>
            <w:tcW w:w="3926" w:type="dxa"/>
          </w:tcPr>
          <w:p>
            <w:pPr>
              <w:pStyle w:val="TableParagraph"/>
              <w:spacing w:line="225" w:lineRule="exact"/>
              <w:ind w:left="107"/>
              <w:rPr>
                <w:sz w:val="20"/>
              </w:rPr>
            </w:pPr>
            <w:r>
              <w:rPr>
                <w:sz w:val="20"/>
              </w:rPr>
              <w:t>If </w:t>
            </w:r>
            <w:r>
              <w:rPr>
                <w:rFonts w:ascii="Times New Roman"/>
                <w:i/>
                <w:sz w:val="20"/>
              </w:rPr>
              <w:t>OPT_RXDIS </w:t>
            </w:r>
            <w:r>
              <w:rPr>
                <w:sz w:val="20"/>
              </w:rPr>
              <w:t>= 1 (</w:t>
            </w:r>
            <w:r>
              <w:rPr>
                <w:rFonts w:ascii="Times New Roman"/>
                <w:i/>
                <w:sz w:val="20"/>
              </w:rPr>
              <w:t>I/O RAM 0x2457[2]</w:t>
            </w:r>
            <w:r>
              <w:rPr>
                <w:sz w:val="20"/>
              </w:rPr>
              <w:t>),</w:t>
            </w:r>
          </w:p>
          <w:p>
            <w:pPr>
              <w:pStyle w:val="TableParagraph"/>
              <w:spacing w:line="271" w:lineRule="auto" w:before="2"/>
              <w:ind w:left="107" w:right="1554"/>
              <w:rPr>
                <w:sz w:val="20"/>
              </w:rPr>
            </w:pPr>
            <w:r>
              <w:rPr>
                <w:sz w:val="20"/>
              </w:rPr>
              <w:t>wake on SEGDIO55 high If </w:t>
            </w:r>
            <w:r>
              <w:rPr>
                <w:rFonts w:ascii="Times New Roman"/>
                <w:i/>
                <w:sz w:val="20"/>
              </w:rPr>
              <w:t>OPT_RXDIS </w:t>
            </w:r>
            <w:r>
              <w:rPr>
                <w:sz w:val="20"/>
              </w:rPr>
              <w:t>= 0</w:t>
            </w:r>
          </w:p>
          <w:p>
            <w:pPr>
              <w:pStyle w:val="TableParagraph"/>
              <w:spacing w:before="2"/>
              <w:ind w:left="107"/>
              <w:rPr>
                <w:sz w:val="20"/>
              </w:rPr>
            </w:pPr>
            <w:r>
              <w:rPr>
                <w:sz w:val="20"/>
              </w:rPr>
              <w:t>wake on either edge of OPT_RX</w:t>
            </w:r>
          </w:p>
        </w:tc>
        <w:tc>
          <w:tcPr>
            <w:tcW w:w="4209" w:type="dxa"/>
          </w:tcPr>
          <w:p>
            <w:pPr>
              <w:pStyle w:val="TableParagraph"/>
              <w:rPr>
                <w:b/>
                <w:sz w:val="22"/>
              </w:rPr>
            </w:pPr>
          </w:p>
          <w:p>
            <w:pPr>
              <w:pStyle w:val="TableParagraph"/>
              <w:spacing w:before="137"/>
              <w:ind w:left="108"/>
              <w:rPr>
                <w:sz w:val="20"/>
              </w:rPr>
            </w:pPr>
            <w:r>
              <w:rPr>
                <w:sz w:val="20"/>
              </w:rPr>
              <w:t>WAKE falls</w:t>
            </w:r>
          </w:p>
        </w:tc>
      </w:tr>
      <w:tr>
        <w:trPr>
          <w:trHeight w:val="520" w:hRule="atLeast"/>
        </w:trPr>
        <w:tc>
          <w:tcPr>
            <w:tcW w:w="1440" w:type="dxa"/>
          </w:tcPr>
          <w:p>
            <w:pPr>
              <w:pStyle w:val="TableParagraph"/>
              <w:spacing w:before="137"/>
              <w:ind w:left="357"/>
              <w:rPr>
                <w:rFonts w:ascii="Times New Roman"/>
                <w:i/>
                <w:sz w:val="20"/>
              </w:rPr>
            </w:pPr>
            <w:r>
              <w:rPr>
                <w:rFonts w:ascii="Times New Roman"/>
                <w:i/>
                <w:sz w:val="20"/>
              </w:rPr>
              <w:t>WF_RST</w:t>
            </w:r>
          </w:p>
        </w:tc>
        <w:tc>
          <w:tcPr>
            <w:tcW w:w="3926" w:type="dxa"/>
          </w:tcPr>
          <w:p>
            <w:pPr>
              <w:pStyle w:val="TableParagraph"/>
              <w:spacing w:before="30"/>
              <w:ind w:left="107"/>
              <w:rPr>
                <w:sz w:val="20"/>
              </w:rPr>
            </w:pPr>
            <w:r>
              <w:rPr>
                <w:sz w:val="20"/>
              </w:rPr>
              <w:t>RESET pin driven high</w:t>
            </w:r>
          </w:p>
        </w:tc>
        <w:tc>
          <w:tcPr>
            <w:tcW w:w="4209" w:type="dxa"/>
          </w:tcPr>
          <w:p>
            <w:pPr>
              <w:pStyle w:val="TableParagraph"/>
              <w:spacing w:line="230" w:lineRule="auto" w:before="38"/>
              <w:ind w:left="108" w:right="437"/>
              <w:rPr>
                <w:sz w:val="20"/>
              </w:rPr>
            </w:pPr>
            <w:r>
              <w:rPr>
                <w:sz w:val="20"/>
              </w:rPr>
              <w:t>WAKE falls, WF_CSTART, WF_RSTBIT, WF_OVF, WF_BADVDD</w:t>
            </w:r>
          </w:p>
        </w:tc>
      </w:tr>
      <w:tr>
        <w:trPr>
          <w:trHeight w:val="520" w:hRule="atLeast"/>
        </w:trPr>
        <w:tc>
          <w:tcPr>
            <w:tcW w:w="1440" w:type="dxa"/>
          </w:tcPr>
          <w:p>
            <w:pPr>
              <w:pStyle w:val="TableParagraph"/>
              <w:spacing w:before="137"/>
              <w:ind w:right="198"/>
              <w:jc w:val="right"/>
              <w:rPr>
                <w:rFonts w:ascii="Times New Roman"/>
                <w:i/>
                <w:sz w:val="20"/>
              </w:rPr>
            </w:pPr>
            <w:r>
              <w:rPr>
                <w:rFonts w:ascii="Times New Roman"/>
                <w:i/>
                <w:sz w:val="20"/>
              </w:rPr>
              <w:t>WF_RSTBIT</w:t>
            </w:r>
          </w:p>
        </w:tc>
        <w:tc>
          <w:tcPr>
            <w:tcW w:w="3926" w:type="dxa"/>
          </w:tcPr>
          <w:p>
            <w:pPr>
              <w:pStyle w:val="TableParagraph"/>
              <w:spacing w:before="26"/>
              <w:ind w:left="107"/>
              <w:rPr>
                <w:sz w:val="20"/>
              </w:rPr>
            </w:pPr>
            <w:r>
              <w:rPr>
                <w:rFonts w:ascii="Times New Roman"/>
                <w:i/>
                <w:sz w:val="20"/>
              </w:rPr>
              <w:t>RESET </w:t>
            </w:r>
            <w:r>
              <w:rPr>
                <w:sz w:val="20"/>
              </w:rPr>
              <w:t>bit is set (</w:t>
            </w:r>
            <w:r>
              <w:rPr>
                <w:rFonts w:ascii="Times New Roman"/>
                <w:i/>
                <w:sz w:val="20"/>
              </w:rPr>
              <w:t>I/O RAM 0x2200[3]</w:t>
            </w:r>
            <w:r>
              <w:rPr>
                <w:sz w:val="20"/>
              </w:rPr>
              <w:t>)</w:t>
            </w:r>
          </w:p>
        </w:tc>
        <w:tc>
          <w:tcPr>
            <w:tcW w:w="4209" w:type="dxa"/>
          </w:tcPr>
          <w:p>
            <w:pPr>
              <w:pStyle w:val="TableParagraph"/>
              <w:spacing w:line="230" w:lineRule="auto" w:before="38"/>
              <w:ind w:left="107" w:right="738"/>
              <w:rPr>
                <w:sz w:val="20"/>
              </w:rPr>
            </w:pPr>
            <w:r>
              <w:rPr>
                <w:sz w:val="20"/>
              </w:rPr>
              <w:t>WAKE falls, WF_CSTART, WF_OVF, WF_BADVDD, WF_RST</w:t>
            </w:r>
          </w:p>
        </w:tc>
      </w:tr>
      <w:tr>
        <w:trPr>
          <w:trHeight w:val="690" w:hRule="atLeast"/>
        </w:trPr>
        <w:tc>
          <w:tcPr>
            <w:tcW w:w="1440" w:type="dxa"/>
          </w:tcPr>
          <w:p>
            <w:pPr>
              <w:pStyle w:val="TableParagraph"/>
              <w:spacing w:before="5"/>
              <w:rPr>
                <w:b/>
                <w:sz w:val="19"/>
              </w:rPr>
            </w:pPr>
          </w:p>
          <w:p>
            <w:pPr>
              <w:pStyle w:val="TableParagraph"/>
              <w:ind w:left="297"/>
              <w:rPr>
                <w:rFonts w:ascii="Times New Roman"/>
                <w:i/>
                <w:sz w:val="20"/>
              </w:rPr>
            </w:pPr>
            <w:r>
              <w:rPr>
                <w:rFonts w:ascii="Times New Roman"/>
                <w:i/>
                <w:sz w:val="20"/>
              </w:rPr>
              <w:t>WF_ERST</w:t>
            </w:r>
          </w:p>
        </w:tc>
        <w:tc>
          <w:tcPr>
            <w:tcW w:w="3926" w:type="dxa"/>
          </w:tcPr>
          <w:p>
            <w:pPr>
              <w:pStyle w:val="TableParagraph"/>
              <w:spacing w:line="230" w:lineRule="exact"/>
              <w:ind w:left="107" w:right="242"/>
              <w:rPr>
                <w:sz w:val="20"/>
              </w:rPr>
            </w:pPr>
            <w:r>
              <w:rPr>
                <w:sz w:val="20"/>
              </w:rPr>
              <w:t>E_RST pin driven high and the ICE interface must be enabled by driving the ICE_E pin high.</w:t>
            </w:r>
          </w:p>
        </w:tc>
        <w:tc>
          <w:tcPr>
            <w:tcW w:w="4209" w:type="dxa"/>
          </w:tcPr>
          <w:p>
            <w:pPr>
              <w:pStyle w:val="TableParagraph"/>
              <w:spacing w:line="228" w:lineRule="auto" w:before="126"/>
              <w:ind w:left="108" w:right="748"/>
              <w:rPr>
                <w:sz w:val="20"/>
              </w:rPr>
            </w:pPr>
            <w:r>
              <w:rPr>
                <w:sz w:val="20"/>
              </w:rPr>
              <w:t>WAKE falls, WF_CSTART, WF_RST, WF_OVF, WF_RSTBIT</w:t>
            </w:r>
          </w:p>
        </w:tc>
      </w:tr>
      <w:tr>
        <w:trPr>
          <w:trHeight w:val="520" w:hRule="atLeast"/>
        </w:trPr>
        <w:tc>
          <w:tcPr>
            <w:tcW w:w="1440" w:type="dxa"/>
          </w:tcPr>
          <w:p>
            <w:pPr>
              <w:pStyle w:val="TableParagraph"/>
              <w:spacing w:before="137"/>
              <w:ind w:left="330"/>
              <w:rPr>
                <w:rFonts w:ascii="Times New Roman"/>
                <w:i/>
                <w:sz w:val="20"/>
              </w:rPr>
            </w:pPr>
            <w:r>
              <w:rPr>
                <w:rFonts w:ascii="Times New Roman"/>
                <w:i/>
                <w:sz w:val="20"/>
              </w:rPr>
              <w:t>WF_OVF</w:t>
            </w:r>
          </w:p>
        </w:tc>
        <w:tc>
          <w:tcPr>
            <w:tcW w:w="3926" w:type="dxa"/>
          </w:tcPr>
          <w:p>
            <w:pPr>
              <w:pStyle w:val="TableParagraph"/>
              <w:spacing w:before="30"/>
              <w:ind w:left="107"/>
              <w:rPr>
                <w:sz w:val="20"/>
              </w:rPr>
            </w:pPr>
            <w:r>
              <w:rPr>
                <w:sz w:val="20"/>
              </w:rPr>
              <w:t>Watchdog (WD) reset</w:t>
            </w:r>
          </w:p>
        </w:tc>
        <w:tc>
          <w:tcPr>
            <w:tcW w:w="4209" w:type="dxa"/>
          </w:tcPr>
          <w:p>
            <w:pPr>
              <w:pStyle w:val="TableParagraph"/>
              <w:spacing w:line="230" w:lineRule="auto" w:before="38"/>
              <w:ind w:left="108" w:right="437"/>
              <w:rPr>
                <w:sz w:val="20"/>
              </w:rPr>
            </w:pPr>
            <w:r>
              <w:rPr>
                <w:sz w:val="20"/>
              </w:rPr>
              <w:t>WAKE falls, WF_CSTART, WF_RSTBIT, WF_BADVDD, WF_RST</w:t>
            </w:r>
          </w:p>
        </w:tc>
      </w:tr>
      <w:tr>
        <w:trPr>
          <w:trHeight w:val="520" w:hRule="atLeast"/>
        </w:trPr>
        <w:tc>
          <w:tcPr>
            <w:tcW w:w="1440" w:type="dxa"/>
          </w:tcPr>
          <w:p>
            <w:pPr>
              <w:pStyle w:val="TableParagraph"/>
              <w:spacing w:before="137"/>
              <w:ind w:right="165"/>
              <w:jc w:val="right"/>
              <w:rPr>
                <w:rFonts w:ascii="Times New Roman"/>
                <w:i/>
                <w:sz w:val="20"/>
              </w:rPr>
            </w:pPr>
            <w:r>
              <w:rPr>
                <w:rFonts w:ascii="Times New Roman"/>
                <w:i/>
                <w:sz w:val="20"/>
              </w:rPr>
              <w:t>WF_CSTART</w:t>
            </w:r>
          </w:p>
        </w:tc>
        <w:tc>
          <w:tcPr>
            <w:tcW w:w="3926" w:type="dxa"/>
          </w:tcPr>
          <w:p>
            <w:pPr>
              <w:pStyle w:val="TableParagraph"/>
              <w:spacing w:line="230" w:lineRule="auto" w:before="38"/>
              <w:ind w:left="107" w:right="242"/>
              <w:rPr>
                <w:sz w:val="20"/>
              </w:rPr>
            </w:pPr>
            <w:r>
              <w:rPr>
                <w:sz w:val="20"/>
              </w:rPr>
              <w:t>Cold-start (i.e., after the application of first power)</w:t>
            </w:r>
          </w:p>
        </w:tc>
        <w:tc>
          <w:tcPr>
            <w:tcW w:w="4209" w:type="dxa"/>
          </w:tcPr>
          <w:p>
            <w:pPr>
              <w:pStyle w:val="TableParagraph"/>
              <w:spacing w:line="230" w:lineRule="auto" w:before="38"/>
              <w:ind w:left="108" w:right="826"/>
              <w:rPr>
                <w:sz w:val="20"/>
              </w:rPr>
            </w:pPr>
            <w:r>
              <w:rPr>
                <w:sz w:val="20"/>
              </w:rPr>
              <w:t>WAKE falls, WF_RSTBIT, WF_OVF, WF_BADVDD, WF_RST</w:t>
            </w:r>
          </w:p>
        </w:tc>
      </w:tr>
      <w:tr>
        <w:trPr>
          <w:trHeight w:val="1996" w:hRule="atLeast"/>
        </w:trPr>
        <w:tc>
          <w:tcPr>
            <w:tcW w:w="9575" w:type="dxa"/>
            <w:gridSpan w:val="3"/>
          </w:tcPr>
          <w:p>
            <w:pPr>
              <w:pStyle w:val="TableParagraph"/>
              <w:spacing w:before="12"/>
              <w:ind w:left="107"/>
              <w:rPr>
                <w:rFonts w:ascii="Times New Roman"/>
                <w:b/>
                <w:sz w:val="20"/>
              </w:rPr>
            </w:pPr>
            <w:r>
              <w:rPr>
                <w:rFonts w:ascii="Times New Roman"/>
                <w:b/>
                <w:sz w:val="20"/>
              </w:rPr>
              <w:t>Note:</w:t>
            </w:r>
          </w:p>
          <w:p>
            <w:pPr>
              <w:pStyle w:val="TableParagraph"/>
              <w:spacing w:before="16"/>
              <w:ind w:left="107" w:right="17"/>
              <w:rPr>
                <w:sz w:val="20"/>
              </w:rPr>
            </w:pPr>
            <w:r>
              <w:rPr>
                <w:sz w:val="20"/>
              </w:rPr>
              <w:t>“WAKE falls” implies that the internal WAKE signal has been reset, which happens automatically upon entry into LCD mode or SLEEP mode (i.e., when the MPU sets the </w:t>
            </w:r>
            <w:r>
              <w:rPr>
                <w:rFonts w:ascii="Times New Roman" w:hAnsi="Times New Roman"/>
                <w:i/>
                <w:sz w:val="20"/>
              </w:rPr>
              <w:t>LCD_ONLY </w:t>
            </w:r>
            <w:r>
              <w:rPr>
                <w:sz w:val="20"/>
              </w:rPr>
              <w:t>bit (</w:t>
            </w:r>
            <w:r>
              <w:rPr>
                <w:rFonts w:ascii="Times New Roman" w:hAnsi="Times New Roman"/>
                <w:i/>
                <w:sz w:val="20"/>
              </w:rPr>
              <w:t>I/O RAM 0x28B2[6]</w:t>
            </w:r>
            <w:r>
              <w:rPr>
                <w:sz w:val="20"/>
              </w:rPr>
              <w:t>) or the </w:t>
            </w:r>
            <w:r>
              <w:rPr>
                <w:rFonts w:ascii="Times New Roman" w:hAnsi="Times New Roman"/>
                <w:i/>
                <w:sz w:val="20"/>
              </w:rPr>
              <w:t>SLEEP </w:t>
            </w:r>
            <w:r>
              <w:rPr>
                <w:sz w:val="20"/>
              </w:rPr>
              <w:t>(</w:t>
            </w:r>
            <w:r>
              <w:rPr>
                <w:rFonts w:ascii="Times New Roman" w:hAnsi="Times New Roman"/>
                <w:i/>
                <w:sz w:val="20"/>
              </w:rPr>
              <w:t>I/O RAM 0x28B2[7]</w:t>
            </w:r>
            <w:r>
              <w:rPr>
                <w:sz w:val="20"/>
              </w:rPr>
              <w:t>) bit). When the internal </w:t>
            </w:r>
            <w:r>
              <w:rPr>
                <w:rFonts w:ascii="Times New Roman" w:hAnsi="Times New Roman"/>
                <w:i/>
                <w:sz w:val="20"/>
              </w:rPr>
              <w:t>WAKE </w:t>
            </w:r>
            <w:r>
              <w:rPr>
                <w:sz w:val="20"/>
              </w:rPr>
              <w:t>signal resets, all wake flags are reset. Since the various wake flags are automatically reset when </w:t>
            </w:r>
            <w:r>
              <w:rPr>
                <w:rFonts w:ascii="Times New Roman" w:hAnsi="Times New Roman"/>
                <w:i/>
                <w:sz w:val="20"/>
              </w:rPr>
              <w:t>WAKE </w:t>
            </w:r>
            <w:r>
              <w:rPr>
                <w:sz w:val="20"/>
              </w:rPr>
              <w:t>falls, it is not necessary for the MPU to reset these flags before entering LCD mode or SLEEP mode. Also, other wake events can cause the wake flag to reset, as indicated above (e.g., the </w:t>
            </w:r>
            <w:r>
              <w:rPr>
                <w:rFonts w:ascii="Times New Roman" w:hAnsi="Times New Roman"/>
                <w:i/>
                <w:sz w:val="20"/>
              </w:rPr>
              <w:t>WF_RST </w:t>
            </w:r>
            <w:r>
              <w:rPr>
                <w:sz w:val="20"/>
              </w:rPr>
              <w:t>flag can also be reset by any of the following flags setting: </w:t>
            </w:r>
            <w:r>
              <w:rPr>
                <w:rFonts w:ascii="Times New Roman" w:hAnsi="Times New Roman"/>
                <w:i/>
                <w:sz w:val="20"/>
              </w:rPr>
              <w:t>WF_CSTART</w:t>
            </w:r>
            <w:r>
              <w:rPr>
                <w:sz w:val="20"/>
              </w:rPr>
              <w:t>, </w:t>
            </w:r>
            <w:r>
              <w:rPr>
                <w:rFonts w:ascii="Times New Roman" w:hAnsi="Times New Roman"/>
                <w:i/>
                <w:sz w:val="20"/>
              </w:rPr>
              <w:t>WS_RSTBIT</w:t>
            </w:r>
            <w:r>
              <w:rPr>
                <w:sz w:val="20"/>
              </w:rPr>
              <w:t>, </w:t>
            </w:r>
            <w:r>
              <w:rPr>
                <w:rFonts w:ascii="Times New Roman" w:hAnsi="Times New Roman"/>
                <w:i/>
                <w:sz w:val="20"/>
              </w:rPr>
              <w:t>WF_OVF</w:t>
            </w:r>
            <w:r>
              <w:rPr>
                <w:sz w:val="20"/>
              </w:rPr>
              <w:t>, </w:t>
            </w:r>
            <w:r>
              <w:rPr>
                <w:rFonts w:ascii="Times New Roman" w:hAnsi="Times New Roman"/>
                <w:i/>
                <w:sz w:val="20"/>
              </w:rPr>
              <w:t>WF_BADVDD</w:t>
            </w:r>
            <w:r>
              <w:rPr>
                <w:sz w:val="20"/>
              </w:rPr>
              <w:t>)</w:t>
            </w:r>
          </w:p>
        </w:tc>
      </w:tr>
    </w:tbl>
    <w:p>
      <w:pPr>
        <w:pStyle w:val="BodyText"/>
        <w:spacing w:before="1"/>
        <w:rPr>
          <w:b/>
          <w:sz w:val="30"/>
        </w:rPr>
      </w:pPr>
    </w:p>
    <w:p>
      <w:pPr>
        <w:pStyle w:val="ListParagraph"/>
        <w:numPr>
          <w:ilvl w:val="2"/>
          <w:numId w:val="26"/>
        </w:numPr>
        <w:tabs>
          <w:tab w:pos="959" w:val="left" w:leader="none"/>
          <w:tab w:pos="960" w:val="left" w:leader="none"/>
        </w:tabs>
        <w:spacing w:line="240" w:lineRule="auto" w:before="0" w:after="0"/>
        <w:ind w:left="959" w:right="0" w:hanging="720"/>
        <w:jc w:val="left"/>
        <w:rPr>
          <w:b/>
          <w:sz w:val="22"/>
        </w:rPr>
      </w:pPr>
      <w:bookmarkStart w:name="3.4.2 Wake on Timer" w:id="339"/>
      <w:bookmarkEnd w:id="339"/>
      <w:r>
        <w:rPr/>
      </w:r>
      <w:bookmarkStart w:name="_bookmark168" w:id="340"/>
      <w:bookmarkEnd w:id="340"/>
      <w:r>
        <w:rPr/>
      </w:r>
      <w:bookmarkStart w:name="_bookmark168" w:id="341"/>
      <w:bookmarkEnd w:id="341"/>
      <w:r>
        <w:rPr>
          <w:b/>
          <w:sz w:val="22"/>
        </w:rPr>
        <w:t>W</w:t>
      </w:r>
      <w:r>
        <w:rPr>
          <w:b/>
          <w:sz w:val="22"/>
        </w:rPr>
        <w:t>ake on</w:t>
      </w:r>
      <w:r>
        <w:rPr>
          <w:b/>
          <w:spacing w:val="-3"/>
          <w:sz w:val="22"/>
        </w:rPr>
        <w:t> </w:t>
      </w:r>
      <w:r>
        <w:rPr>
          <w:b/>
          <w:sz w:val="22"/>
        </w:rPr>
        <w:t>Timer</w:t>
      </w:r>
    </w:p>
    <w:p>
      <w:pPr>
        <w:pStyle w:val="BodyText"/>
        <w:spacing w:before="121"/>
        <w:ind w:left="240" w:right="401"/>
      </w:pPr>
      <w:r>
        <w:rPr/>
        <w:t>If the part is in SLP or LCD mode, it can be awakened by the Wake Timer. Until this timer times out, the MPU is in reset due to the internal WAKE signal being low. When the Wake Timer times out, WAKE rises and within three CK32 cycles, the MPU begins to execute. The MPU can determine that the timer woke it by checking the </w:t>
      </w:r>
      <w:r>
        <w:rPr>
          <w:rFonts w:ascii="Times New Roman"/>
          <w:i/>
        </w:rPr>
        <w:t>WF_TMR (I/O RAM 0x28B1[2]</w:t>
      </w:r>
      <w:r>
        <w:rPr/>
        <w:t>) wake flag.</w:t>
      </w:r>
    </w:p>
    <w:p>
      <w:pPr>
        <w:pStyle w:val="BodyText"/>
        <w:spacing w:line="228" w:lineRule="exact" w:before="121"/>
        <w:ind w:left="239"/>
      </w:pPr>
      <w:r>
        <w:rPr/>
        <w:t>The Wake Timer begins timing when the part enters LCD or SLP mode. Its duration is controlled by the</w:t>
      </w:r>
    </w:p>
    <w:p>
      <w:pPr>
        <w:spacing w:line="229" w:lineRule="exact" w:before="0"/>
        <w:ind w:left="239" w:right="0" w:firstLine="0"/>
        <w:jc w:val="left"/>
        <w:rPr>
          <w:sz w:val="20"/>
        </w:rPr>
      </w:pPr>
      <w:r>
        <w:rPr>
          <w:rFonts w:ascii="Times New Roman"/>
          <w:i/>
          <w:sz w:val="20"/>
        </w:rPr>
        <w:t>WAKE_TMR[7:0] </w:t>
      </w:r>
      <w:r>
        <w:rPr>
          <w:sz w:val="20"/>
        </w:rPr>
        <w:t>register </w:t>
      </w:r>
      <w:r>
        <w:rPr>
          <w:rFonts w:ascii="Times New Roman"/>
          <w:i/>
          <w:sz w:val="20"/>
        </w:rPr>
        <w:t>(I/O RAM 0x2880)</w:t>
      </w:r>
      <w:r>
        <w:rPr>
          <w:sz w:val="20"/>
        </w:rPr>
        <w:t>. The timer duration is </w:t>
      </w:r>
      <w:r>
        <w:rPr>
          <w:rFonts w:ascii="Times New Roman"/>
          <w:i/>
          <w:sz w:val="20"/>
        </w:rPr>
        <w:t>WAKE_TMR[7:0] </w:t>
      </w:r>
      <w:r>
        <w:rPr>
          <w:sz w:val="20"/>
        </w:rPr>
        <w:t>+1 seconds.</w:t>
      </w:r>
    </w:p>
    <w:p>
      <w:pPr>
        <w:pStyle w:val="BodyText"/>
        <w:spacing w:before="122"/>
        <w:ind w:left="238" w:right="538"/>
      </w:pPr>
      <w:r>
        <w:rPr/>
        <w:t>The Wake Timer is armed by setting </w:t>
      </w:r>
      <w:r>
        <w:rPr>
          <w:rFonts w:ascii="Times New Roman"/>
          <w:i/>
        </w:rPr>
        <w:t>WAKE_ARM </w:t>
      </w:r>
      <w:r>
        <w:rPr/>
        <w:t>= 1 (</w:t>
      </w:r>
      <w:r>
        <w:rPr>
          <w:rFonts w:ascii="Times New Roman"/>
          <w:i/>
        </w:rPr>
        <w:t>I/O RAM 0x28B2[5]</w:t>
      </w:r>
      <w:r>
        <w:rPr/>
        <w:t>). It must be armed at least three RTC cycles before either SLP or LCD modes are initiated. Setting </w:t>
      </w:r>
      <w:r>
        <w:rPr>
          <w:rFonts w:ascii="Times New Roman"/>
          <w:i/>
        </w:rPr>
        <w:t>WAKE_ARM </w:t>
      </w:r>
      <w:r>
        <w:rPr/>
        <w:t>presets the timer with the value in </w:t>
      </w:r>
      <w:r>
        <w:rPr>
          <w:rFonts w:ascii="Times New Roman"/>
          <w:i/>
        </w:rPr>
        <w:t>WAKE_TMR </w:t>
      </w:r>
      <w:r>
        <w:rPr/>
        <w:t>and readies the timer to start when the MPU writes to the </w:t>
      </w:r>
      <w:r>
        <w:rPr>
          <w:rFonts w:ascii="Times New Roman"/>
          <w:i/>
        </w:rPr>
        <w:t>SLEEP </w:t>
      </w:r>
      <w:r>
        <w:rPr/>
        <w:t>(I</w:t>
      </w:r>
      <w:r>
        <w:rPr>
          <w:rFonts w:ascii="Times New Roman"/>
          <w:i/>
        </w:rPr>
        <w:t>/O RAM </w:t>
      </w:r>
      <w:r>
        <w:rPr>
          <w:rFonts w:ascii="Times New Roman"/>
          <w:i/>
        </w:rPr>
        <w:t>0x28B2[7]</w:t>
      </w:r>
      <w:r>
        <w:rPr/>
        <w:t>) or </w:t>
      </w:r>
      <w:r>
        <w:rPr>
          <w:rFonts w:ascii="Times New Roman"/>
          <w:i/>
        </w:rPr>
        <w:t>LCD_ONLY (I/O RAM 0x28B2[6]) </w:t>
      </w:r>
      <w:r>
        <w:rPr/>
        <w:t>bits. The timer is neither reset nor disarmed when the MPU wakes-up. Thus, once armed and set, the MPU continues to be awakened </w:t>
      </w:r>
      <w:r>
        <w:rPr>
          <w:rFonts w:ascii="Times New Roman"/>
          <w:i/>
        </w:rPr>
        <w:t>WAKE_TMR[7:0] </w:t>
      </w:r>
      <w:r>
        <w:rPr/>
        <w:t>seconds after it requests SLP mode or LCD mode (i.e., once written, the </w:t>
      </w:r>
      <w:r>
        <w:rPr>
          <w:rFonts w:ascii="Times New Roman"/>
          <w:i/>
        </w:rPr>
        <w:t>WAKE_TMR[7:0] </w:t>
      </w:r>
      <w:r>
        <w:rPr/>
        <w:t>register holds its value and does not have to be re-written each time the MPU enters SLP or LCD mode. Also, since </w:t>
      </w:r>
      <w:r>
        <w:rPr>
          <w:rFonts w:ascii="Times New Roman"/>
          <w:i/>
        </w:rPr>
        <w:t>WAKE_TMR[7:0] </w:t>
      </w:r>
      <w:r>
        <w:rPr/>
        <w:t>is non-volatile, it also holds its value through resets and power failures).</w:t>
      </w:r>
    </w:p>
    <w:p>
      <w:pPr>
        <w:pStyle w:val="ListParagraph"/>
        <w:numPr>
          <w:ilvl w:val="1"/>
          <w:numId w:val="26"/>
        </w:numPr>
        <w:tabs>
          <w:tab w:pos="959" w:val="left" w:leader="none"/>
          <w:tab w:pos="960" w:val="left" w:leader="none"/>
        </w:tabs>
        <w:spacing w:line="240" w:lineRule="auto" w:before="120" w:after="0"/>
        <w:ind w:left="960" w:right="0" w:hanging="720"/>
        <w:jc w:val="left"/>
        <w:rPr>
          <w:b/>
          <w:sz w:val="24"/>
        </w:rPr>
      </w:pPr>
      <w:bookmarkStart w:name="3.5 Data Flow and MPU/CE Communication" w:id="342"/>
      <w:bookmarkEnd w:id="342"/>
      <w:r>
        <w:rPr/>
      </w:r>
      <w:bookmarkStart w:name="_bookmark169" w:id="343"/>
      <w:bookmarkEnd w:id="343"/>
      <w:r>
        <w:rPr/>
      </w:r>
      <w:bookmarkStart w:name="_bookmark169" w:id="344"/>
      <w:bookmarkEnd w:id="344"/>
      <w:r>
        <w:rPr>
          <w:b/>
          <w:sz w:val="24"/>
        </w:rPr>
        <w:t>D</w:t>
      </w:r>
      <w:r>
        <w:rPr>
          <w:b/>
          <w:sz w:val="24"/>
        </w:rPr>
        <w:t>ata Flow and MPU/CE</w:t>
      </w:r>
      <w:r>
        <w:rPr>
          <w:b/>
          <w:spacing w:val="3"/>
          <w:sz w:val="24"/>
        </w:rPr>
        <w:t> </w:t>
      </w:r>
      <w:r>
        <w:rPr>
          <w:b/>
          <w:sz w:val="24"/>
        </w:rPr>
        <w:t>Communication</w:t>
      </w:r>
    </w:p>
    <w:p>
      <w:pPr>
        <w:pStyle w:val="BodyText"/>
        <w:spacing w:before="122"/>
        <w:ind w:left="239" w:right="368"/>
      </w:pPr>
      <w:r>
        <w:rPr>
          <w:spacing w:val="-3"/>
        </w:rPr>
        <w:t>The data flow </w:t>
      </w:r>
      <w:r>
        <w:rPr>
          <w:spacing w:val="-4"/>
        </w:rPr>
        <w:t>between </w:t>
      </w:r>
      <w:r>
        <w:rPr>
          <w:spacing w:val="-3"/>
        </w:rPr>
        <w:t>the </w:t>
      </w:r>
      <w:r>
        <w:rPr>
          <w:spacing w:val="-4"/>
        </w:rPr>
        <w:t>Compute Engine (CE) </w:t>
      </w:r>
      <w:r>
        <w:rPr/>
        <w:t>and </w:t>
      </w:r>
      <w:r>
        <w:rPr>
          <w:spacing w:val="-3"/>
        </w:rPr>
        <w:t>the MPU is shown </w:t>
      </w:r>
      <w:r>
        <w:rPr/>
        <w:t>in </w:t>
      </w:r>
      <w:hyperlink w:history="true" w:anchor="_bookmark170">
        <w:r>
          <w:rPr>
            <w:color w:val="0000FF"/>
            <w:spacing w:val="-4"/>
          </w:rPr>
          <w:t>Figure </w:t>
        </w:r>
        <w:r>
          <w:rPr>
            <w:color w:val="0000FF"/>
            <w:spacing w:val="-3"/>
          </w:rPr>
          <w:t>26</w:t>
        </w:r>
        <w:r>
          <w:rPr>
            <w:spacing w:val="-3"/>
          </w:rPr>
          <w:t>.</w:t>
        </w:r>
      </w:hyperlink>
      <w:r>
        <w:rPr>
          <w:spacing w:val="-3"/>
        </w:rPr>
        <w:t> </w:t>
      </w:r>
      <w:r>
        <w:rPr/>
        <w:t>In a </w:t>
      </w:r>
      <w:r>
        <w:rPr>
          <w:spacing w:val="-4"/>
        </w:rPr>
        <w:t>typical application, </w:t>
      </w:r>
      <w:r>
        <w:rPr/>
        <w:t>the </w:t>
      </w:r>
      <w:r>
        <w:rPr>
          <w:spacing w:val="-4"/>
        </w:rPr>
        <w:t>32-bit </w:t>
      </w:r>
      <w:r>
        <w:rPr/>
        <w:t>CE </w:t>
      </w:r>
      <w:r>
        <w:rPr>
          <w:spacing w:val="-4"/>
        </w:rPr>
        <w:t>sequentially processes </w:t>
      </w:r>
      <w:r>
        <w:rPr>
          <w:spacing w:val="-3"/>
        </w:rPr>
        <w:t>the </w:t>
      </w:r>
      <w:r>
        <w:rPr>
          <w:spacing w:val="-4"/>
        </w:rPr>
        <w:t>samples from </w:t>
      </w:r>
      <w:r>
        <w:rPr/>
        <w:t>the </w:t>
      </w:r>
      <w:r>
        <w:rPr>
          <w:spacing w:val="-3"/>
        </w:rPr>
        <w:t>ADC </w:t>
      </w:r>
      <w:r>
        <w:rPr>
          <w:spacing w:val="-4"/>
        </w:rPr>
        <w:t>inputs, performing calculations </w:t>
      </w:r>
      <w:r>
        <w:rPr/>
        <w:t>to </w:t>
      </w:r>
      <w:r>
        <w:rPr>
          <w:spacing w:val="-4"/>
        </w:rPr>
        <w:t>measure</w:t>
      </w:r>
    </w:p>
    <w:p>
      <w:pPr>
        <w:spacing w:after="0"/>
        <w:sectPr>
          <w:pgSz w:w="12240" w:h="15840"/>
          <w:pgMar w:header="727" w:footer="819" w:top="960" w:bottom="1000" w:left="1200" w:right="1060"/>
        </w:sectPr>
      </w:pPr>
    </w:p>
    <w:p>
      <w:pPr>
        <w:pStyle w:val="BodyText"/>
        <w:spacing w:before="5"/>
        <w:rPr>
          <w:sz w:val="13"/>
        </w:rPr>
      </w:pPr>
    </w:p>
    <w:p>
      <w:pPr>
        <w:pStyle w:val="BodyText"/>
        <w:spacing w:before="130"/>
        <w:ind w:left="239" w:right="370"/>
      </w:pPr>
      <w:r>
        <w:rPr>
          <w:spacing w:val="-4"/>
        </w:rPr>
        <w:t>active power </w:t>
      </w:r>
      <w:r>
        <w:rPr>
          <w:spacing w:val="-3"/>
        </w:rPr>
        <w:t>(Wh), </w:t>
      </w:r>
      <w:r>
        <w:rPr>
          <w:spacing w:val="-4"/>
        </w:rPr>
        <w:t>reactive power (VARh), </w:t>
      </w:r>
      <w:r>
        <w:rPr>
          <w:spacing w:val="-3"/>
        </w:rPr>
        <w:t>A</w:t>
      </w:r>
      <w:r>
        <w:rPr>
          <w:spacing w:val="-3"/>
          <w:vertAlign w:val="superscript"/>
        </w:rPr>
        <w:t>2</w:t>
      </w:r>
      <w:r>
        <w:rPr>
          <w:spacing w:val="-3"/>
          <w:vertAlign w:val="baseline"/>
        </w:rPr>
        <w:t>h, and V</w:t>
      </w:r>
      <w:r>
        <w:rPr>
          <w:spacing w:val="-3"/>
          <w:vertAlign w:val="superscript"/>
        </w:rPr>
        <w:t>2</w:t>
      </w:r>
      <w:r>
        <w:rPr>
          <w:spacing w:val="-3"/>
          <w:vertAlign w:val="baseline"/>
        </w:rPr>
        <w:t>h for </w:t>
      </w:r>
      <w:r>
        <w:rPr>
          <w:spacing w:val="-4"/>
          <w:vertAlign w:val="baseline"/>
        </w:rPr>
        <w:t>four-quadrant metering. </w:t>
      </w:r>
      <w:r>
        <w:rPr>
          <w:vertAlign w:val="baseline"/>
        </w:rPr>
        <w:t>These measurements are then accessed by the MPU, processed further and output using the peripheral devices available to the MPU.</w:t>
      </w:r>
    </w:p>
    <w:p>
      <w:pPr>
        <w:pStyle w:val="BodyText"/>
        <w:spacing w:line="364" w:lineRule="auto" w:before="119"/>
        <w:ind w:left="239" w:right="401"/>
      </w:pPr>
      <w:r>
        <w:rPr/>
        <w:t>Both the CE and multiplexer are controlled by the MPU via shared registers in the I/O RAM and in RAM. The CE </w:t>
      </w:r>
      <w:r>
        <w:rPr>
          <w:spacing w:val="-3"/>
        </w:rPr>
        <w:t>outputs </w:t>
      </w:r>
      <w:r>
        <w:rPr/>
        <w:t>a </w:t>
      </w:r>
      <w:r>
        <w:rPr>
          <w:spacing w:val="-3"/>
        </w:rPr>
        <w:t>total </w:t>
      </w:r>
      <w:r>
        <w:rPr/>
        <w:t>of </w:t>
      </w:r>
      <w:r>
        <w:rPr>
          <w:spacing w:val="-2"/>
        </w:rPr>
        <w:t>six </w:t>
      </w:r>
      <w:r>
        <w:rPr>
          <w:spacing w:val="-3"/>
        </w:rPr>
        <w:t>discrete signals </w:t>
      </w:r>
      <w:r>
        <w:rPr/>
        <w:t>to the </w:t>
      </w:r>
      <w:r>
        <w:rPr>
          <w:spacing w:val="-3"/>
        </w:rPr>
        <w:t>MPU. </w:t>
      </w:r>
      <w:r>
        <w:rPr/>
        <w:t>These </w:t>
      </w:r>
      <w:r>
        <w:rPr>
          <w:spacing w:val="-3"/>
        </w:rPr>
        <w:t>consist of </w:t>
      </w:r>
      <w:r>
        <w:rPr/>
        <w:t>four </w:t>
      </w:r>
      <w:r>
        <w:rPr>
          <w:spacing w:val="-3"/>
        </w:rPr>
        <w:t>pulses </w:t>
      </w:r>
      <w:r>
        <w:rPr/>
        <w:t>and </w:t>
      </w:r>
      <w:r>
        <w:rPr>
          <w:spacing w:val="-3"/>
        </w:rPr>
        <w:t>two interrupts:</w:t>
      </w:r>
    </w:p>
    <w:p>
      <w:pPr>
        <w:pStyle w:val="ListParagraph"/>
        <w:numPr>
          <w:ilvl w:val="0"/>
          <w:numId w:val="15"/>
        </w:numPr>
        <w:tabs>
          <w:tab w:pos="599" w:val="left" w:leader="none"/>
          <w:tab w:pos="600" w:val="left" w:leader="none"/>
        </w:tabs>
        <w:spacing w:line="240" w:lineRule="auto" w:before="3" w:after="0"/>
        <w:ind w:left="599" w:right="0" w:hanging="361"/>
        <w:jc w:val="left"/>
        <w:rPr>
          <w:sz w:val="20"/>
        </w:rPr>
      </w:pPr>
      <w:r>
        <w:rPr>
          <w:sz w:val="20"/>
        </w:rPr>
        <w:t>CE_BUSY</w:t>
      </w:r>
    </w:p>
    <w:p>
      <w:pPr>
        <w:pStyle w:val="ListParagraph"/>
        <w:numPr>
          <w:ilvl w:val="0"/>
          <w:numId w:val="15"/>
        </w:numPr>
        <w:tabs>
          <w:tab w:pos="599" w:val="left" w:leader="none"/>
          <w:tab w:pos="600" w:val="left" w:leader="none"/>
        </w:tabs>
        <w:spacing w:line="240" w:lineRule="auto" w:before="38" w:after="0"/>
        <w:ind w:left="599" w:right="0" w:hanging="361"/>
        <w:jc w:val="left"/>
        <w:rPr>
          <w:sz w:val="20"/>
        </w:rPr>
      </w:pPr>
      <w:r>
        <w:rPr>
          <w:sz w:val="20"/>
        </w:rPr>
        <w:t>XFER_BUSY</w:t>
      </w:r>
    </w:p>
    <w:p>
      <w:pPr>
        <w:pStyle w:val="ListParagraph"/>
        <w:numPr>
          <w:ilvl w:val="0"/>
          <w:numId w:val="15"/>
        </w:numPr>
        <w:tabs>
          <w:tab w:pos="599" w:val="left" w:leader="none"/>
          <w:tab w:pos="600" w:val="left" w:leader="none"/>
        </w:tabs>
        <w:spacing w:line="240" w:lineRule="auto" w:before="38" w:after="0"/>
        <w:ind w:left="599" w:right="0" w:hanging="361"/>
        <w:jc w:val="left"/>
        <w:rPr>
          <w:sz w:val="20"/>
        </w:rPr>
      </w:pPr>
      <w:r>
        <w:rPr>
          <w:sz w:val="20"/>
        </w:rPr>
        <w:t>WPULSE, VPULSE (pulses for active and reactive</w:t>
      </w:r>
      <w:r>
        <w:rPr>
          <w:spacing w:val="2"/>
          <w:sz w:val="20"/>
        </w:rPr>
        <w:t> </w:t>
      </w:r>
      <w:r>
        <w:rPr>
          <w:sz w:val="20"/>
        </w:rPr>
        <w:t>energy)</w:t>
      </w:r>
    </w:p>
    <w:p>
      <w:pPr>
        <w:pStyle w:val="ListParagraph"/>
        <w:numPr>
          <w:ilvl w:val="0"/>
          <w:numId w:val="15"/>
        </w:numPr>
        <w:tabs>
          <w:tab w:pos="599" w:val="left" w:leader="none"/>
          <w:tab w:pos="600" w:val="left" w:leader="none"/>
        </w:tabs>
        <w:spacing w:line="240" w:lineRule="auto" w:before="39" w:after="0"/>
        <w:ind w:left="599" w:right="0" w:hanging="361"/>
        <w:jc w:val="left"/>
        <w:rPr>
          <w:sz w:val="20"/>
        </w:rPr>
      </w:pPr>
      <w:r>
        <w:rPr>
          <w:sz w:val="20"/>
        </w:rPr>
        <w:t>XPULSE, YPULSE (auxiliary</w:t>
      </w:r>
      <w:r>
        <w:rPr>
          <w:spacing w:val="-4"/>
          <w:sz w:val="20"/>
        </w:rPr>
        <w:t> </w:t>
      </w:r>
      <w:r>
        <w:rPr>
          <w:sz w:val="20"/>
        </w:rPr>
        <w:t>pulses)</w:t>
      </w:r>
    </w:p>
    <w:p>
      <w:pPr>
        <w:pStyle w:val="BodyText"/>
        <w:spacing w:before="10"/>
        <w:rPr>
          <w:sz w:val="19"/>
        </w:rPr>
      </w:pPr>
    </w:p>
    <w:p>
      <w:pPr>
        <w:pStyle w:val="BodyText"/>
        <w:spacing w:before="1"/>
        <w:ind w:left="239" w:right="401"/>
        <w:rPr>
          <w:rFonts w:ascii="Times New Roman" w:hAnsi="Times New Roman"/>
          <w:i/>
        </w:rPr>
      </w:pPr>
      <w:r>
        <w:rPr/>
        <w:t>These interrupts are connected to the MPU interrupt service inputs as external interrupts. CE_BUSY </w:t>
      </w:r>
      <w:r>
        <w:rPr>
          <w:spacing w:val="-2"/>
        </w:rPr>
        <w:t>indicates</w:t>
      </w:r>
      <w:r>
        <w:rPr>
          <w:spacing w:val="-13"/>
        </w:rPr>
        <w:t> </w:t>
      </w:r>
      <w:r>
        <w:rPr/>
        <w:t>that</w:t>
      </w:r>
      <w:r>
        <w:rPr>
          <w:spacing w:val="-12"/>
        </w:rPr>
        <w:t> </w:t>
      </w:r>
      <w:r>
        <w:rPr/>
        <w:t>the</w:t>
      </w:r>
      <w:r>
        <w:rPr>
          <w:spacing w:val="-13"/>
        </w:rPr>
        <w:t> </w:t>
      </w:r>
      <w:r>
        <w:rPr/>
        <w:t>CE</w:t>
      </w:r>
      <w:r>
        <w:rPr>
          <w:spacing w:val="-13"/>
        </w:rPr>
        <w:t> </w:t>
      </w:r>
      <w:r>
        <w:rPr/>
        <w:t>is</w:t>
      </w:r>
      <w:r>
        <w:rPr>
          <w:spacing w:val="-13"/>
        </w:rPr>
        <w:t> </w:t>
      </w:r>
      <w:r>
        <w:rPr/>
        <w:t>actively</w:t>
      </w:r>
      <w:r>
        <w:rPr>
          <w:spacing w:val="-16"/>
        </w:rPr>
        <w:t> </w:t>
      </w:r>
      <w:r>
        <w:rPr/>
        <w:t>processing</w:t>
      </w:r>
      <w:r>
        <w:rPr>
          <w:spacing w:val="-12"/>
        </w:rPr>
        <w:t> </w:t>
      </w:r>
      <w:r>
        <w:rPr/>
        <w:t>data.</w:t>
      </w:r>
      <w:r>
        <w:rPr>
          <w:spacing w:val="28"/>
        </w:rPr>
        <w:t> </w:t>
      </w:r>
      <w:r>
        <w:rPr/>
        <w:t>This</w:t>
      </w:r>
      <w:r>
        <w:rPr>
          <w:spacing w:val="-11"/>
        </w:rPr>
        <w:t> </w:t>
      </w:r>
      <w:r>
        <w:rPr/>
        <w:t>signal</w:t>
      </w:r>
      <w:r>
        <w:rPr>
          <w:spacing w:val="-13"/>
        </w:rPr>
        <w:t> </w:t>
      </w:r>
      <w:r>
        <w:rPr/>
        <w:t>occurs</w:t>
      </w:r>
      <w:r>
        <w:rPr>
          <w:spacing w:val="-11"/>
        </w:rPr>
        <w:t> </w:t>
      </w:r>
      <w:r>
        <w:rPr/>
        <w:t>once</w:t>
      </w:r>
      <w:r>
        <w:rPr>
          <w:spacing w:val="-13"/>
        </w:rPr>
        <w:t> </w:t>
      </w:r>
      <w:r>
        <w:rPr/>
        <w:t>every</w:t>
      </w:r>
      <w:r>
        <w:rPr>
          <w:spacing w:val="-17"/>
        </w:rPr>
        <w:t> </w:t>
      </w:r>
      <w:r>
        <w:rPr/>
        <w:t>multiplexer</w:t>
      </w:r>
      <w:r>
        <w:rPr>
          <w:spacing w:val="-14"/>
        </w:rPr>
        <w:t> </w:t>
      </w:r>
      <w:r>
        <w:rPr/>
        <w:t>cycle</w:t>
      </w:r>
      <w:r>
        <w:rPr>
          <w:spacing w:val="-14"/>
        </w:rPr>
        <w:t> </w:t>
      </w:r>
      <w:r>
        <w:rPr/>
        <w:t>(typically 396</w:t>
      </w:r>
      <w:r>
        <w:rPr>
          <w:spacing w:val="-14"/>
        </w:rPr>
        <w:t> </w:t>
      </w:r>
      <w:r>
        <w:rPr/>
        <w:t>µs),</w:t>
      </w:r>
      <w:r>
        <w:rPr>
          <w:spacing w:val="-11"/>
        </w:rPr>
        <w:t> </w:t>
      </w:r>
      <w:r>
        <w:rPr/>
        <w:t>and</w:t>
      </w:r>
      <w:r>
        <w:rPr>
          <w:spacing w:val="-12"/>
        </w:rPr>
        <w:t> </w:t>
      </w:r>
      <w:r>
        <w:rPr>
          <w:spacing w:val="-3"/>
        </w:rPr>
        <w:t>indicates</w:t>
      </w:r>
      <w:r>
        <w:rPr>
          <w:spacing w:val="-12"/>
        </w:rPr>
        <w:t> </w:t>
      </w:r>
      <w:r>
        <w:rPr/>
        <w:t>that</w:t>
      </w:r>
      <w:r>
        <w:rPr>
          <w:spacing w:val="-14"/>
        </w:rPr>
        <w:t> </w:t>
      </w:r>
      <w:r>
        <w:rPr/>
        <w:t>the</w:t>
      </w:r>
      <w:r>
        <w:rPr>
          <w:spacing w:val="-12"/>
        </w:rPr>
        <w:t> </w:t>
      </w:r>
      <w:r>
        <w:rPr/>
        <w:t>CE</w:t>
      </w:r>
      <w:r>
        <w:rPr>
          <w:spacing w:val="-12"/>
        </w:rPr>
        <w:t> </w:t>
      </w:r>
      <w:r>
        <w:rPr/>
        <w:t>has</w:t>
      </w:r>
      <w:r>
        <w:rPr>
          <w:spacing w:val="-12"/>
        </w:rPr>
        <w:t> </w:t>
      </w:r>
      <w:r>
        <w:rPr/>
        <w:t>updated</w:t>
      </w:r>
      <w:r>
        <w:rPr>
          <w:spacing w:val="-12"/>
        </w:rPr>
        <w:t> </w:t>
      </w:r>
      <w:r>
        <w:rPr/>
        <w:t>status</w:t>
      </w:r>
      <w:r>
        <w:rPr>
          <w:spacing w:val="-10"/>
        </w:rPr>
        <w:t> </w:t>
      </w:r>
      <w:r>
        <w:rPr/>
        <w:t>information</w:t>
      </w:r>
      <w:r>
        <w:rPr>
          <w:spacing w:val="-12"/>
        </w:rPr>
        <w:t> </w:t>
      </w:r>
      <w:r>
        <w:rPr/>
        <w:t>in</w:t>
      </w:r>
      <w:r>
        <w:rPr>
          <w:spacing w:val="-12"/>
        </w:rPr>
        <w:t> </w:t>
      </w:r>
      <w:r>
        <w:rPr>
          <w:spacing w:val="-3"/>
        </w:rPr>
        <w:t>its</w:t>
      </w:r>
      <w:r>
        <w:rPr>
          <w:spacing w:val="-9"/>
        </w:rPr>
        <w:t> </w:t>
      </w:r>
      <w:r>
        <w:rPr>
          <w:i/>
        </w:rPr>
        <w:t>CESTATUS</w:t>
      </w:r>
      <w:r>
        <w:rPr>
          <w:i/>
          <w:spacing w:val="-14"/>
        </w:rPr>
        <w:t> </w:t>
      </w:r>
      <w:r>
        <w:rPr/>
        <w:t>register</w:t>
      </w:r>
      <w:r>
        <w:rPr>
          <w:spacing w:val="-9"/>
        </w:rPr>
        <w:t> </w:t>
      </w:r>
      <w:r>
        <w:rPr>
          <w:rFonts w:ascii="Times New Roman" w:hAnsi="Times New Roman"/>
          <w:i/>
          <w:spacing w:val="-3"/>
        </w:rPr>
        <w:t>(CE</w:t>
      </w:r>
      <w:r>
        <w:rPr>
          <w:rFonts w:ascii="Times New Roman" w:hAnsi="Times New Roman"/>
          <w:i/>
          <w:spacing w:val="-11"/>
        </w:rPr>
        <w:t> </w:t>
      </w:r>
      <w:r>
        <w:rPr>
          <w:rFonts w:ascii="Times New Roman" w:hAnsi="Times New Roman"/>
          <w:i/>
        </w:rPr>
        <w:t>RAM</w:t>
      </w:r>
      <w:r>
        <w:rPr>
          <w:rFonts w:ascii="Times New Roman" w:hAnsi="Times New Roman"/>
          <w:i/>
          <w:spacing w:val="-12"/>
        </w:rPr>
        <w:t> </w:t>
      </w:r>
      <w:r>
        <w:rPr>
          <w:rFonts w:ascii="Times New Roman" w:hAnsi="Times New Roman"/>
          <w:i/>
        </w:rPr>
        <w:t>0x80).</w:t>
      </w:r>
    </w:p>
    <w:p>
      <w:pPr>
        <w:pStyle w:val="BodyText"/>
        <w:spacing w:before="118"/>
        <w:ind w:left="239" w:right="397"/>
      </w:pPr>
      <w:r>
        <w:rPr/>
        <w:t>XFER_BUSY indicates that the CE is updating data to the output region of the RAM. This update occurs whenever the CE has finished generating a sum by completing an accumulation interval determined by </w:t>
      </w:r>
      <w:r>
        <w:rPr>
          <w:rFonts w:ascii="Times New Roman"/>
          <w:i/>
        </w:rPr>
        <w:t>SUM_SAMPS[12:0], I/O RAM 0x2107[4:0], 2108[7:0], </w:t>
      </w:r>
      <w:r>
        <w:rPr/>
        <w:t>(typically every 1000 ms). Interrupts to the MPU occur on the falling edges of the XFER_BUSY and CE_BUSY signals.</w:t>
      </w:r>
    </w:p>
    <w:p>
      <w:pPr>
        <w:pStyle w:val="BodyText"/>
        <w:spacing w:before="121"/>
        <w:ind w:left="239"/>
      </w:pPr>
      <w:r>
        <w:rPr/>
        <w:t>WPULSE and VPULSE are typically used to signal energy accumulation of real (Wh) and reactive (VARh) energy. Tying WPULSE and VPULSE into the MPU interrupt system can support pulse counting.</w:t>
      </w:r>
    </w:p>
    <w:p>
      <w:pPr>
        <w:pStyle w:val="BodyText"/>
        <w:spacing w:before="121"/>
        <w:ind w:left="239" w:right="401"/>
      </w:pPr>
      <w:r>
        <w:rPr/>
        <w:t>XPULSE</w:t>
      </w:r>
      <w:r>
        <w:rPr>
          <w:spacing w:val="-12"/>
        </w:rPr>
        <w:t> </w:t>
      </w:r>
      <w:r>
        <w:rPr/>
        <w:t>and</w:t>
      </w:r>
      <w:r>
        <w:rPr>
          <w:spacing w:val="-12"/>
        </w:rPr>
        <w:t> </w:t>
      </w:r>
      <w:r>
        <w:rPr/>
        <w:t>YPULSE</w:t>
      </w:r>
      <w:r>
        <w:rPr>
          <w:spacing w:val="-14"/>
        </w:rPr>
        <w:t> </w:t>
      </w:r>
      <w:r>
        <w:rPr/>
        <w:t>can</w:t>
      </w:r>
      <w:r>
        <w:rPr>
          <w:spacing w:val="-12"/>
        </w:rPr>
        <w:t> </w:t>
      </w:r>
      <w:r>
        <w:rPr/>
        <w:t>be</w:t>
      </w:r>
      <w:r>
        <w:rPr>
          <w:spacing w:val="-12"/>
        </w:rPr>
        <w:t> </w:t>
      </w:r>
      <w:r>
        <w:rPr/>
        <w:t>used</w:t>
      </w:r>
      <w:r>
        <w:rPr>
          <w:spacing w:val="-13"/>
        </w:rPr>
        <w:t> </w:t>
      </w:r>
      <w:r>
        <w:rPr/>
        <w:t>to</w:t>
      </w:r>
      <w:r>
        <w:rPr>
          <w:spacing w:val="-14"/>
        </w:rPr>
        <w:t> </w:t>
      </w:r>
      <w:r>
        <w:rPr/>
        <w:t>signal</w:t>
      </w:r>
      <w:r>
        <w:rPr>
          <w:spacing w:val="-12"/>
        </w:rPr>
        <w:t> </w:t>
      </w:r>
      <w:r>
        <w:rPr/>
        <w:t>events</w:t>
      </w:r>
      <w:r>
        <w:rPr>
          <w:spacing w:val="-11"/>
        </w:rPr>
        <w:t> </w:t>
      </w:r>
      <w:r>
        <w:rPr/>
        <w:t>such</w:t>
      </w:r>
      <w:r>
        <w:rPr>
          <w:spacing w:val="-14"/>
        </w:rPr>
        <w:t> </w:t>
      </w:r>
      <w:r>
        <w:rPr/>
        <w:t>as</w:t>
      </w:r>
      <w:r>
        <w:rPr>
          <w:spacing w:val="-12"/>
        </w:rPr>
        <w:t> </w:t>
      </w:r>
      <w:r>
        <w:rPr/>
        <w:t>sags</w:t>
      </w:r>
      <w:r>
        <w:rPr>
          <w:spacing w:val="-10"/>
        </w:rPr>
        <w:t> </w:t>
      </w:r>
      <w:r>
        <w:rPr/>
        <w:t>and</w:t>
      </w:r>
      <w:r>
        <w:rPr>
          <w:spacing w:val="-12"/>
        </w:rPr>
        <w:t> </w:t>
      </w:r>
      <w:r>
        <w:rPr/>
        <w:t>zero</w:t>
      </w:r>
      <w:r>
        <w:rPr>
          <w:spacing w:val="-14"/>
        </w:rPr>
        <w:t> </w:t>
      </w:r>
      <w:r>
        <w:rPr/>
        <w:t>crossings</w:t>
      </w:r>
      <w:r>
        <w:rPr>
          <w:spacing w:val="-11"/>
        </w:rPr>
        <w:t> </w:t>
      </w:r>
      <w:r>
        <w:rPr/>
        <w:t>of</w:t>
      </w:r>
      <w:r>
        <w:rPr>
          <w:spacing w:val="-11"/>
        </w:rPr>
        <w:t> </w:t>
      </w:r>
      <w:r>
        <w:rPr/>
        <w:t>the</w:t>
      </w:r>
      <w:r>
        <w:rPr>
          <w:spacing w:val="-14"/>
        </w:rPr>
        <w:t> </w:t>
      </w:r>
      <w:r>
        <w:rPr/>
        <w:t>mains</w:t>
      </w:r>
      <w:r>
        <w:rPr>
          <w:spacing w:val="-10"/>
        </w:rPr>
        <w:t> </w:t>
      </w:r>
      <w:r>
        <w:rPr/>
        <w:t>voltage to the MPU. Tying these outputs into the MPU interrupt system relieves the MPU from having to read the </w:t>
      </w:r>
      <w:r>
        <w:rPr>
          <w:rFonts w:ascii="Times New Roman"/>
          <w:i/>
        </w:rPr>
        <w:t>CESTATUS </w:t>
      </w:r>
      <w:r>
        <w:rPr/>
        <w:t>register at every occurrence of the CE_BUSY interrupt in order to detect sag or zero crossing events.</w:t>
      </w:r>
    </w:p>
    <w:p>
      <w:pPr>
        <w:pStyle w:val="BodyText"/>
        <w:spacing w:before="118"/>
        <w:ind w:left="239" w:right="574" w:hanging="1"/>
      </w:pPr>
      <w:r>
        <w:rPr/>
        <w:t>Refer to </w:t>
      </w:r>
      <w:hyperlink w:history="true" w:anchor="_bookmark213">
        <w:r>
          <w:rPr>
            <w:color w:val="0000FF"/>
          </w:rPr>
          <w:t>5.3 </w:t>
        </w:r>
      </w:hyperlink>
      <w:hyperlink w:history="true" w:anchor="_bookmark213">
        <w:r>
          <w:rPr>
            <w:color w:val="0000FF"/>
          </w:rPr>
          <w:t>CE Interface Description </w:t>
        </w:r>
      </w:hyperlink>
      <w:r>
        <w:rPr/>
        <w:t>on page </w:t>
      </w:r>
      <w:hyperlink w:history="true" w:anchor="_bookmark213">
        <w:r>
          <w:rPr>
            <w:color w:val="0000FF"/>
          </w:rPr>
          <w:t>116 </w:t>
        </w:r>
      </w:hyperlink>
      <w:r>
        <w:rPr/>
        <w:t>for additional information on setting up the device using the MPU firmware.</w:t>
      </w:r>
    </w:p>
    <w:p>
      <w:pPr>
        <w:pStyle w:val="BodyText"/>
      </w:pPr>
    </w:p>
    <w:p>
      <w:pPr>
        <w:pStyle w:val="BodyText"/>
        <w:spacing w:before="4"/>
        <w:rPr>
          <w:sz w:val="16"/>
        </w:rPr>
      </w:pPr>
    </w:p>
    <w:p>
      <w:pPr>
        <w:spacing w:before="99"/>
        <w:ind w:left="702" w:right="1431" w:firstLine="0"/>
        <w:jc w:val="center"/>
        <w:rPr>
          <w:sz w:val="17"/>
        </w:rPr>
      </w:pPr>
      <w:r>
        <w:rPr/>
        <w:pict>
          <v:group style="position:absolute;margin-left:82.761246pt;margin-top:16.196001pt;width:417.25pt;height:204.6pt;mso-position-horizontal-relative:page;mso-position-vertical-relative:paragraph;z-index:-38751232" coordorigin="1655,324" coordsize="8345,4092">
            <v:rect style="position:absolute;left:5824;top:2209;width:1023;height:1572" filled="false" stroked="true" strokeweight=".629045pt" strokecolor="#000000">
              <v:stroke dashstyle="solid"/>
            </v:rect>
            <v:shape style="position:absolute;left:5981;top:3230;width:866;height:315" coordorigin="5982,3231" coordsize="866,315" path="m6847,3231l5982,3231,5982,3309,5982,3427,5982,3545,6847,3545,6847,3427,6847,3309,6847,3231xe" filled="true" fillcolor="#dadada" stroked="false">
              <v:path arrowok="t"/>
              <v:fill type="solid"/>
            </v:shape>
            <v:shape style="position:absolute;left:3700;top:1109;width:3147;height:2672" coordorigin="3700,1110" coordsize="3147,2672" path="m5982,3545l6847,3545,6847,3231,5982,3231,5982,3545xm3700,3781l5274,3781,5274,1110,3700,1110,3700,3781xe" filled="false" stroked="true" strokeweight=".628882pt" strokecolor="#000000">
              <v:path arrowok="t"/>
              <v:stroke dashstyle="solid"/>
            </v:shape>
            <v:shape style="position:absolute;left:2913;top:2020;width:787;height:693" coordorigin="2914,2020" coordsize="787,693" path="m3500,2713l3500,2484,2914,2484,2914,2249,3500,2249,3500,2020,3700,2366,3500,2713xe" filled="true" fillcolor="#dadada" stroked="false">
              <v:path arrowok="t"/>
              <v:fill type="solid"/>
            </v:shape>
            <v:shape style="position:absolute;left:2913;top:2020;width:787;height:693" coordorigin="2914,2020" coordsize="787,693" path="m3700,2366l3500,2020,3500,2249,2914,2249,2914,2484,3500,2484,3500,2713,3700,2366xe" filled="false" stroked="true" strokeweight=".628831pt" strokecolor="#000000">
              <v:path arrowok="t"/>
              <v:stroke dashstyle="solid"/>
            </v:shape>
            <v:line style="position:absolute" from="5274,1267" to="7320,1267" stroked="true" strokeweight=".628479pt" strokecolor="#000000">
              <v:stroke dashstyle="solid"/>
            </v:line>
            <v:rect style="position:absolute;left:7476;top:1109;width:1888;height:2672" filled="false" stroked="true" strokeweight=".629016pt" strokecolor="#000000">
              <v:stroke dashstyle="solid"/>
            </v:rect>
            <v:shape style="position:absolute;left:7306;top:1210;width:170;height:114" coordorigin="7306,1210" coordsize="170,114" path="m7306,1323l7306,1210,7476,1267,7306,1323xe" filled="true" fillcolor="#000000" stroked="false">
              <v:path arrowok="t"/>
              <v:fill type="solid"/>
            </v:shape>
            <v:shape style="position:absolute;left:4140;top:3780;width:694;height:629" coordorigin="4140,3781" coordsize="694,629" path="m4605,4409l4369,4409,4369,3981,4140,3981,4487,3781,4834,3981,4605,3981,4605,4409xe" filled="true" fillcolor="#dadada" stroked="false">
              <v:path arrowok="t"/>
              <v:fill type="solid"/>
            </v:shape>
            <v:shape style="position:absolute;left:4140;top:3780;width:694;height:629" coordorigin="4140,3781" coordsize="694,629" path="m4487,3781l4140,3981,4369,3981,4369,4409,4605,4409,4605,3981,4834,3981,4487,3781xe" filled="false" stroked="true" strokeweight=".628842pt" strokecolor="#000000">
              <v:path arrowok="t"/>
              <v:stroke dashstyle="solid"/>
            </v:shape>
            <v:line style="position:absolute" from="5274,1581" to="7320,1581" stroked="true" strokeweight=".628479pt" strokecolor="#000000">
              <v:stroke dashstyle="solid"/>
            </v:line>
            <v:shape style="position:absolute;left:7306;top:1524;width:170;height:114" coordorigin="7306,1524" coordsize="170,114" path="m7306,1637l7306,1524,7476,1581,7306,1637xe" filled="true" fillcolor="#000000" stroked="false">
              <v:path arrowok="t"/>
              <v:fill type="solid"/>
            </v:shape>
            <v:line style="position:absolute" from="5274,1738" to="7320,1738" stroked="true" strokeweight=".628479pt" strokecolor="#000000">
              <v:stroke dashstyle="solid"/>
            </v:line>
            <v:shape style="position:absolute;left:7306;top:1681;width:170;height:114" coordorigin="7306,1681" coordsize="170,114" path="m7306,1795l7306,1681,7476,1738,7306,1795xe" filled="true" fillcolor="#000000" stroked="false">
              <v:path arrowok="t"/>
              <v:fill type="solid"/>
            </v:shape>
            <v:line style="position:absolute" from="5588,1267" to="5588,479" stroked="true" strokeweight=".629284pt" strokecolor="#000000">
              <v:stroke dashstyle="solid"/>
            </v:line>
            <v:shape style="position:absolute;left:5531;top:323;width:114;height:170" coordorigin="5532,324" coordsize="114,170" path="m5645,494l5532,494,5588,324,5645,494xe" filled="true" fillcolor="#000000" stroked="false">
              <v:path arrowok="t"/>
              <v:fill type="solid"/>
            </v:shape>
            <v:line style="position:absolute" from="5903,1581" to="5903,479" stroked="true" strokeweight=".629284pt" strokecolor="#000000">
              <v:stroke dashstyle="solid"/>
            </v:line>
            <v:shape style="position:absolute;left:5846;top:323;width:114;height:170" coordorigin="5846,324" coordsize="114,170" path="m5960,494l5846,494,5903,324,5960,494xe" filled="true" fillcolor="#000000" stroked="false">
              <v:path arrowok="t"/>
              <v:fill type="solid"/>
            </v:shape>
            <v:line style="position:absolute" from="5746,1424" to="5746,479" stroked="true" strokeweight=".629284pt" strokecolor="#000000">
              <v:stroke dashstyle="solid"/>
            </v:line>
            <v:shape style="position:absolute;left:5688;top:323;width:114;height:170" coordorigin="5689,324" coordsize="114,170" path="m5802,494l5689,494,5746,324,5802,494xe" filled="true" fillcolor="#000000" stroked="false">
              <v:path arrowok="t"/>
              <v:fill type="solid"/>
            </v:shape>
            <v:shape style="position:absolute;left:9363;top:2020;width:630;height:693" coordorigin="9364,2020" coordsize="630,693" path="m9793,2713l9793,2484,9364,2484,9364,2249,9793,2249,9793,2020,9993,2366,9793,2713xe" filled="true" fillcolor="#dadada" stroked="false">
              <v:path arrowok="t"/>
              <v:fill type="solid"/>
            </v:shape>
            <v:shape style="position:absolute;left:9363;top:2020;width:630;height:693" coordorigin="9364,2020" coordsize="630,693" path="m9993,2366l9793,2020,9793,2249,9364,2249,9364,2484,9793,2484,9793,2713,9993,2366xe" filled="false" stroked="true" strokeweight=".62892pt" strokecolor="#000000">
              <v:path arrowok="t"/>
              <v:stroke dashstyle="solid"/>
            </v:shape>
            <v:shape style="position:absolute;left:8073;top:3780;width:694;height:629" coordorigin="8073,3781" coordsize="694,629" path="m8420,4409l8073,4209,8302,4209,8302,3981,8073,3981,8420,3781,8767,3981,8538,3981,8538,4209,8767,4209,8420,4409xe" filled="true" fillcolor="#dadada" stroked="false">
              <v:path arrowok="t"/>
              <v:fill type="solid"/>
            </v:shape>
            <v:shape style="position:absolute;left:8073;top:3780;width:694;height:629" coordorigin="8073,3781" coordsize="694,629" path="m8420,4409l8073,4209,8302,4209,8302,3981,8073,3981,8420,3781,8767,3981,8538,3981,8538,4209,8767,4209,8420,4409xe" filled="false" stroked="true" strokeweight=".209614pt" strokecolor="#000000">
              <v:path arrowok="t"/>
              <v:stroke dashstyle="solid"/>
            </v:shape>
            <v:line style="position:absolute" from="5274,1424" to="7320,1424" stroked="true" strokeweight=".628479pt" strokecolor="#000000">
              <v:stroke dashstyle="solid"/>
            </v:line>
            <v:shape style="position:absolute;left:7306;top:1367;width:170;height:114" coordorigin="7306,1367" coordsize="170,114" path="m7306,1480l7306,1367,7476,1424,7306,1480xe" filled="true" fillcolor="#000000" stroked="false">
              <v:path arrowok="t"/>
              <v:fill type="solid"/>
            </v:shape>
            <v:line style="position:absolute" from="6060,1738" to="6060,479" stroked="true" strokeweight=".629284pt" strokecolor="#000000">
              <v:stroke dashstyle="solid"/>
            </v:line>
            <v:shape style="position:absolute;left:6003;top:323;width:114;height:170" coordorigin="6004,324" coordsize="114,170" path="m6117,494l6004,494,6060,324,6117,494xe" filled="true" fillcolor="#000000" stroked="false">
              <v:path arrowok="t"/>
              <v:fill type="solid"/>
            </v:shape>
            <v:shape style="position:absolute;left:8459;top:1188;width:158;height:943" coordorigin="8459,1188" coordsize="158,943" path="m8459,1188l8490,1194,8515,1211,8532,1236,8538,1267,8538,1424,8544,1454,8561,1479,8586,1496,8617,1502,8586,1508,8561,1525,8544,1550,8538,1581,8538,2052,8532,2083,8515,2108,8490,2125,8459,2131e" filled="false" stroked="true" strokeweight=".209754pt" strokecolor="#000000">
              <v:path arrowok="t"/>
              <v:stroke dashstyle="solid"/>
            </v:shape>
            <v:shape style="position:absolute;left:5273;top:2209;width:551;height:629" coordorigin="5274,2209" coordsize="551,629" path="m5643,2838l5643,2630,5274,2630,5274,2417,5643,2417,5643,2209,5824,2524,5643,2838xe" filled="true" fillcolor="#dadada" stroked="false">
              <v:path arrowok="t"/>
              <v:fill type="solid"/>
            </v:shape>
            <v:shape style="position:absolute;left:5273;top:2209;width:551;height:629" coordorigin="5274,2209" coordsize="551,629" path="m5824,2524l5643,2209,5643,2417,5274,2417,5274,2630,5643,2630,5643,2838,5824,2524xe" filled="false" stroked="true" strokeweight=".628935pt" strokecolor="#000000">
              <v:path arrowok="t"/>
              <v:stroke dashstyle="solid"/>
            </v:shape>
            <v:shape style="position:absolute;left:5273;top:3034;width:551;height:550" coordorigin="5274,3034" coordsize="551,550" path="m5433,3584l5274,3309,5433,3034,5433,3216,5824,3216,5824,3403,5433,3403,5433,3584xe" filled="true" fillcolor="#dadada" stroked="false">
              <v:path arrowok="t"/>
              <v:fill type="solid"/>
            </v:shape>
            <v:shape style="position:absolute;left:5273;top:3034;width:551;height:550" coordorigin="5274,3034" coordsize="551,550" path="m5274,3309l5433,3584,5433,3403,5824,3403,5824,3216,5433,3216,5433,3034,5274,3309xe" filled="false" stroked="true" strokeweight=".628881pt" strokecolor="#000000">
              <v:path arrowok="t"/>
              <v:stroke dashstyle="solid"/>
            </v:shape>
            <v:shape style="position:absolute;left:2173;top:3780;width:694;height:629" coordorigin="2174,3781" coordsize="694,629" path="m2638,4409l2403,4409,2403,3981,2174,3981,2520,3781,2867,3981,2638,3981,2638,4409xe" filled="true" fillcolor="#dadada" stroked="false">
              <v:path arrowok="t"/>
              <v:fill type="solid"/>
            </v:shape>
            <v:shape style="position:absolute;left:2173;top:3780;width:694;height:629" coordorigin="2174,3781" coordsize="694,629" path="m2520,3781l2174,3981,2403,3981,2403,4409,2638,4409,2638,3981,2867,3981,2520,3781xe" filled="false" stroked="true" strokeweight=".628842pt" strokecolor="#000000">
              <v:path arrowok="t"/>
              <v:stroke dashstyle="solid"/>
            </v:shape>
            <v:line style="position:absolute" from="1655,1424" to="1914,1424" stroked="true" strokeweight="1.047465pt" strokecolor="#000000">
              <v:stroke dashstyle="solid"/>
            </v:line>
            <v:shape style="position:absolute;left:1894;top:1346;width:233;height:156" coordorigin="1894,1346" coordsize="233,156" path="m1894,1501l1894,1346,2127,1424,1894,1501xe" filled="true" fillcolor="#000000" stroked="false">
              <v:path arrowok="t"/>
              <v:fill type="solid"/>
            </v:shape>
            <v:line style="position:absolute" from="1655,1738" to="1914,1738" stroked="true" strokeweight="1.047465pt" strokecolor="#000000">
              <v:stroke dashstyle="solid"/>
            </v:line>
            <v:shape style="position:absolute;left:1894;top:1660;width:233;height:156" coordorigin="1894,1660" coordsize="233,156" path="m1894,1816l1894,1660,2127,1738,1894,1816xe" filled="true" fillcolor="#000000" stroked="false">
              <v:path arrowok="t"/>
              <v:fill type="solid"/>
            </v:shape>
            <v:line style="position:absolute" from="1655,2995" to="1914,2995" stroked="true" strokeweight="1.047465pt" strokecolor="#000000">
              <v:stroke dashstyle="solid"/>
            </v:line>
            <v:shape style="position:absolute;left:1894;top:2917;width:233;height:156" coordorigin="1894,2917" coordsize="233,156" path="m1894,3072l1894,2917,2127,2995,1894,3072xe" filled="true" fillcolor="#000000" stroked="false">
              <v:path arrowok="t"/>
              <v:fill type="solid"/>
            </v:shape>
            <v:line style="position:absolute" from="1813,1895" to="1813,2838" stroked="true" strokeweight="1.048807pt" strokecolor="#000000">
              <v:stroke dashstyle="shortdash"/>
            </v:line>
            <v:shape style="position:absolute;left:6846;top:2209;width:630;height:629" coordorigin="6847,2209" coordsize="630,629" path="m7294,2838l7294,2630,6847,2630,6847,2417,7294,2417,7294,2209,7476,2524,7294,2838xe" filled="true" fillcolor="#dadada" stroked="false">
              <v:path arrowok="t"/>
              <v:fill type="solid"/>
            </v:shape>
            <v:shape style="position:absolute;left:6846;top:2209;width:630;height:629" coordorigin="6847,2209" coordsize="630,629" path="m7476,2524l7294,2209,7294,2417,6847,2417,6847,2630,7294,2630,7294,2838,7476,2524xe" filled="false" stroked="true" strokeweight=".628881pt" strokecolor="#000000">
              <v:path arrowok="t"/>
              <v:stroke dashstyle="solid"/>
            </v:shape>
            <v:shape style="position:absolute;left:6846;top:3034;width:630;height:550" coordorigin="6847,3034" coordsize="630,550" path="m7006,3584l6847,3309,7006,3034,7006,3216,7476,3216,7476,3403,7006,3403,7006,3584xe" filled="true" fillcolor="#dadada" stroked="false">
              <v:path arrowok="t"/>
              <v:fill type="solid"/>
            </v:shape>
            <v:shape style="position:absolute;left:6846;top:3034;width:630;height:550" coordorigin="6847,3034" coordsize="630,550" path="m6847,3309l7006,3584,7006,3403,7476,3403,7476,3216,7006,3216,7006,3034,6847,3309xe" filled="false" stroked="true" strokeweight=".628828pt" strokecolor="#000000">
              <v:path arrowok="t"/>
              <v:stroke dashstyle="solid"/>
            </v:shape>
            <v:rect style="position:absolute;left:5902;top:3309;width:866;height:118" filled="true" fillcolor="#f3f3f3" stroked="false">
              <v:fill type="solid"/>
            </v:rect>
            <v:rect style="position:absolute;left:5902;top:3112;width:866;height:315" filled="false" stroked="true" strokeweight=".628573pt" strokecolor="#000000">
              <v:stroke dashstyle="solid"/>
            </v:rect>
            <v:rect style="position:absolute;left:5863;top:2994;width:866;height:315" filled="true" fillcolor="#ffffff" stroked="false">
              <v:fill type="solid"/>
            </v:rect>
            <v:rect style="position:absolute;left:5863;top:2994;width:866;height:315" filled="false" stroked="true" strokeweight=".628573pt" strokecolor="#000000">
              <v:stroke dashstyle="solid"/>
            </v:rect>
            <v:shape style="position:absolute;left:5981;top:2523;width:866;height:315" coordorigin="5982,2524" coordsize="866,315" path="m6847,2524l5982,2524,5982,2602,5982,2720,5982,2838,6847,2838,6847,2720,6847,2602,6847,2524xe" filled="true" fillcolor="#dadada" stroked="false">
              <v:path arrowok="t"/>
              <v:fill type="solid"/>
            </v:shape>
            <v:rect style="position:absolute;left:5981;top:2523;width:866;height:315" filled="false" stroked="true" strokeweight=".628573pt" strokecolor="#000000">
              <v:stroke dashstyle="solid"/>
            </v:rect>
            <v:rect style="position:absolute;left:5902;top:2602;width:866;height:118" filled="true" fillcolor="#f3f3f3" stroked="false">
              <v:fill type="solid"/>
            </v:rect>
            <v:rect style="position:absolute;left:5902;top:2405;width:866;height:315" filled="false" stroked="true" strokeweight=".628573pt" strokecolor="#000000">
              <v:stroke dashstyle="solid"/>
            </v:rect>
            <v:rect style="position:absolute;left:5863;top:2287;width:866;height:315" filled="true" fillcolor="#ffffff" stroked="false">
              <v:fill type="solid"/>
            </v:rect>
            <v:rect style="position:absolute;left:5863;top:2287;width:866;height:315" filled="false" stroked="true" strokeweight=".628573pt" strokecolor="#000000">
              <v:stroke dashstyle="solid"/>
            </v:rect>
            <v:line style="position:absolute" from="5274,1895" to="7320,1895" stroked="true" strokeweight=".628479pt" strokecolor="#000000">
              <v:stroke dashstyle="solid"/>
            </v:line>
            <v:shape style="position:absolute;left:7306;top:1838;width:170;height:114" coordorigin="7306,1839" coordsize="170,114" path="m7306,1952l7306,1839,7476,1895,7306,1952xe" filled="true" fillcolor="#000000" stroked="false">
              <v:path arrowok="t"/>
              <v:fill type="solid"/>
            </v:shape>
            <v:line style="position:absolute" from="5274,2052" to="7320,2052" stroked="true" strokeweight=".628479pt" strokecolor="#000000">
              <v:stroke dashstyle="solid"/>
            </v:line>
            <v:shape style="position:absolute;left:7306;top:1995;width:170;height:114" coordorigin="7306,1996" coordsize="170,114" path="m7306,2109l7306,1996,7476,2052,7306,2109xe" filled="true" fillcolor="#000000" stroked="false">
              <v:path arrowok="t"/>
              <v:fill type="solid"/>
            </v:shape>
            <v:shape style="position:absolute;left:7487;top:1160;width:1060;height:981" type="#_x0000_t202" filled="false" stroked="false">
              <v:textbox inset="0,0,0,0">
                <w:txbxContent>
                  <w:p>
                    <w:pPr>
                      <w:spacing w:line="192" w:lineRule="auto" w:before="30"/>
                      <w:ind w:left="0" w:right="0" w:firstLine="37"/>
                      <w:jc w:val="left"/>
                      <w:rPr>
                        <w:sz w:val="17"/>
                      </w:rPr>
                    </w:pPr>
                    <w:r>
                      <w:rPr>
                        <w:w w:val="105"/>
                        <w:sz w:val="17"/>
                      </w:rPr>
                      <w:t>XPULSE YPULSE VPULSE WPULSE CE_BUSY </w:t>
                    </w:r>
                    <w:r>
                      <w:rPr>
                        <w:sz w:val="17"/>
                      </w:rPr>
                      <w:t>XFER_BUSY</w:t>
                    </w:r>
                  </w:p>
                </w:txbxContent>
              </v:textbox>
              <w10:wrap type="none"/>
            </v:shape>
            <v:shape style="position:absolute;left:8601;top:1396;width:759;height:196" type="#_x0000_t202" filled="false" stroked="false">
              <v:textbox inset="0,0,0,0">
                <w:txbxContent>
                  <w:p>
                    <w:pPr>
                      <w:spacing w:line="194" w:lineRule="exact" w:before="0"/>
                      <w:ind w:left="0" w:right="0" w:firstLine="0"/>
                      <w:jc w:val="left"/>
                      <w:rPr>
                        <w:sz w:val="17"/>
                      </w:rPr>
                    </w:pPr>
                    <w:r>
                      <w:rPr>
                        <w:sz w:val="17"/>
                      </w:rPr>
                      <w:t>Interrupts</w:t>
                    </w:r>
                  </w:p>
                </w:txbxContent>
              </v:textbox>
              <w10:wrap type="none"/>
            </v:shape>
            <v:shape style="position:absolute;left:8186;top:3025;width:487;height:235" type="#_x0000_t202" filled="false" stroked="false">
              <v:textbox inset="0,0,0,0">
                <w:txbxContent>
                  <w:p>
                    <w:pPr>
                      <w:spacing w:line="234" w:lineRule="exact" w:before="0"/>
                      <w:ind w:left="0" w:right="0" w:firstLine="0"/>
                      <w:jc w:val="left"/>
                      <w:rPr>
                        <w:sz w:val="21"/>
                      </w:rPr>
                    </w:pPr>
                    <w:r>
                      <w:rPr>
                        <w:sz w:val="21"/>
                      </w:rPr>
                      <w:t>MPU</w:t>
                    </w:r>
                  </w:p>
                </w:txbxContent>
              </v:textbox>
              <w10:wrap type="none"/>
            </v:shape>
            <w10:wrap type="none"/>
          </v:group>
        </w:pict>
      </w:r>
      <w:r>
        <w:rPr>
          <w:w w:val="105"/>
          <w:sz w:val="17"/>
        </w:rPr>
        <w:t>Pulses</w:t>
      </w:r>
    </w:p>
    <w:p>
      <w:pPr>
        <w:pStyle w:val="BodyText"/>
      </w:pPr>
    </w:p>
    <w:p>
      <w:pPr>
        <w:pStyle w:val="BodyText"/>
      </w:pPr>
    </w:p>
    <w:p>
      <w:pPr>
        <w:pStyle w:val="BodyText"/>
      </w:pPr>
    </w:p>
    <w:p>
      <w:pPr>
        <w:pStyle w:val="BodyText"/>
      </w:pPr>
    </w:p>
    <w:p>
      <w:pPr>
        <w:pStyle w:val="BodyText"/>
        <w:spacing w:before="7"/>
        <w:rPr>
          <w:sz w:val="25"/>
        </w:rPr>
      </w:pPr>
    </w:p>
    <w:p>
      <w:pPr>
        <w:spacing w:after="0"/>
        <w:rPr>
          <w:sz w:val="25"/>
        </w:rPr>
        <w:sectPr>
          <w:headerReference w:type="even" r:id="rId164"/>
          <w:headerReference w:type="default" r:id="rId165"/>
          <w:footerReference w:type="even" r:id="rId166"/>
          <w:footerReference w:type="default" r:id="rId167"/>
          <w:pgSz w:w="12240" w:h="15840"/>
          <w:pgMar w:header="727" w:footer="819" w:top="960" w:bottom="1000" w:left="1200" w:right="1060"/>
          <w:pgNumType w:start="84"/>
        </w:sectPr>
      </w:pPr>
    </w:p>
    <w:p>
      <w:pPr>
        <w:pStyle w:val="BodyText"/>
        <w:spacing w:before="5"/>
        <w:rPr>
          <w:sz w:val="5"/>
        </w:rPr>
      </w:pPr>
    </w:p>
    <w:p>
      <w:pPr>
        <w:pStyle w:val="BodyText"/>
        <w:spacing w:line="234" w:lineRule="exact"/>
        <w:ind w:left="3141"/>
      </w:pPr>
      <w:r>
        <w:rPr>
          <w:position w:val="-4"/>
        </w:rPr>
        <w:pict>
          <v:shape style="width:15.6pt;height:11.75pt;mso-position-horizontal-relative:char;mso-position-vertical-relative:line" type="#_x0000_t202" filled="false" stroked="false">
            <w10:anchorlock/>
            <v:textbox inset="0,0,0,0">
              <w:txbxContent>
                <w:p>
                  <w:pPr>
                    <w:spacing w:line="234" w:lineRule="exact" w:before="0"/>
                    <w:ind w:left="0" w:right="0" w:firstLine="0"/>
                    <w:jc w:val="left"/>
                    <w:rPr>
                      <w:sz w:val="21"/>
                    </w:rPr>
                  </w:pPr>
                  <w:r>
                    <w:rPr>
                      <w:sz w:val="21"/>
                    </w:rPr>
                    <w:t>CE</w:t>
                  </w:r>
                </w:p>
              </w:txbxContent>
            </v:textbox>
          </v:shape>
        </w:pict>
      </w:r>
      <w:r>
        <w:rPr>
          <w:position w:val="-4"/>
        </w:rPr>
      </w:r>
    </w:p>
    <w:p>
      <w:pPr>
        <w:pStyle w:val="BodyText"/>
        <w:rPr>
          <w:sz w:val="26"/>
        </w:rPr>
      </w:pPr>
    </w:p>
    <w:p>
      <w:pPr>
        <w:tabs>
          <w:tab w:pos="4683" w:val="left" w:leader="none"/>
        </w:tabs>
        <w:spacing w:before="155"/>
        <w:ind w:left="1766" w:right="0" w:firstLine="0"/>
        <w:jc w:val="left"/>
        <w:rPr>
          <w:rFonts w:ascii="Times New Roman"/>
          <w:i/>
          <w:sz w:val="17"/>
        </w:rPr>
      </w:pPr>
      <w:r>
        <w:rPr/>
        <w:pict>
          <v:shape style="position:absolute;margin-left:297.110992pt;margin-top:15.382569pt;width:40pt;height:5.6pt;mso-position-horizontal-relative:page;mso-position-vertical-relative:paragraph;z-index:-38750208" type="#_x0000_t202" filled="true" fillcolor="#f3f3f3" stroked="false">
            <v:textbox inset="0,0,0,0">
              <w:txbxContent>
                <w:p>
                  <w:pPr>
                    <w:spacing w:line="112" w:lineRule="exact" w:before="0"/>
                    <w:ind w:left="57" w:right="0" w:firstLine="0"/>
                    <w:jc w:val="left"/>
                    <w:rPr>
                      <w:rFonts w:ascii="Times New Roman"/>
                      <w:i/>
                      <w:sz w:val="17"/>
                    </w:rPr>
                  </w:pPr>
                  <w:r>
                    <w:rPr>
                      <w:rFonts w:ascii="Times New Roman"/>
                      <w:i/>
                      <w:w w:val="105"/>
                      <w:sz w:val="17"/>
                    </w:rPr>
                    <w:t>ESTATUS</w:t>
                  </w:r>
                </w:p>
              </w:txbxContent>
            </v:textbox>
            <v:fill type="solid"/>
            <w10:wrap type="none"/>
          </v:shape>
        </w:pict>
      </w:r>
      <w:r>
        <w:rPr/>
        <w:pict>
          <v:shape style="position:absolute;margin-left:106.359154pt;margin-top:-49.744339pt;width:39.35pt;height:133.6pt;mso-position-horizontal-relative:page;mso-position-vertical-relative:paragraph;z-index:15831552" type="#_x0000_t202" filled="false" stroked="true" strokeweight=".62922pt" strokecolor="#000000">
            <v:textbox inset="0,0,0,0">
              <w:txbxContent>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5"/>
                    </w:rPr>
                  </w:pPr>
                </w:p>
                <w:p>
                  <w:pPr>
                    <w:spacing w:before="1"/>
                    <w:ind w:left="153" w:right="0" w:firstLine="0"/>
                    <w:jc w:val="left"/>
                    <w:rPr>
                      <w:sz w:val="21"/>
                    </w:rPr>
                  </w:pPr>
                  <w:r>
                    <w:rPr>
                      <w:sz w:val="21"/>
                    </w:rPr>
                    <w:t>MUX</w:t>
                  </w:r>
                </w:p>
              </w:txbxContent>
            </v:textbox>
            <v:stroke dashstyle="solid"/>
            <w10:wrap type="none"/>
          </v:shape>
        </w:pict>
      </w:r>
      <w:r>
        <w:rPr>
          <w:w w:val="105"/>
          <w:sz w:val="17"/>
        </w:rPr>
        <w:t>Samples</w:t>
        <w:tab/>
      </w:r>
      <w:r>
        <w:rPr>
          <w:rFonts w:ascii="Times New Roman"/>
          <w:i/>
          <w:w w:val="105"/>
          <w:position w:val="-7"/>
          <w:sz w:val="17"/>
        </w:rPr>
        <w:t>C</w:t>
      </w:r>
    </w:p>
    <w:p>
      <w:pPr>
        <w:spacing w:line="256" w:lineRule="auto" w:before="99"/>
        <w:ind w:left="1766" w:right="614" w:firstLine="0"/>
        <w:jc w:val="center"/>
        <w:rPr>
          <w:sz w:val="17"/>
        </w:rPr>
      </w:pPr>
      <w:r>
        <w:rPr/>
        <w:br w:type="column"/>
      </w:r>
      <w:r>
        <w:rPr>
          <w:sz w:val="17"/>
        </w:rPr>
        <w:t>Processed </w:t>
      </w:r>
      <w:r>
        <w:rPr>
          <w:w w:val="105"/>
          <w:sz w:val="17"/>
        </w:rPr>
        <w:t>Metering Data</w:t>
      </w:r>
    </w:p>
    <w:p>
      <w:pPr>
        <w:spacing w:after="0" w:line="256" w:lineRule="auto"/>
        <w:jc w:val="center"/>
        <w:rPr>
          <w:sz w:val="17"/>
        </w:rPr>
        <w:sectPr>
          <w:type w:val="continuous"/>
          <w:pgSz w:w="12240" w:h="15840"/>
          <w:pgMar w:top="940" w:bottom="280" w:left="1200" w:right="1060"/>
          <w:cols w:num="2" w:equalWidth="0">
            <w:col w:w="4840" w:space="1930"/>
            <w:col w:w="3210"/>
          </w:cols>
        </w:sectPr>
      </w:pPr>
    </w:p>
    <w:p>
      <w:pPr>
        <w:pStyle w:val="BodyText"/>
      </w:pPr>
    </w:p>
    <w:p>
      <w:pPr>
        <w:pStyle w:val="BodyText"/>
        <w:spacing w:before="10"/>
        <w:rPr>
          <w:sz w:val="15"/>
        </w:rPr>
      </w:pPr>
    </w:p>
    <w:p>
      <w:pPr>
        <w:spacing w:line="176" w:lineRule="exact" w:before="97"/>
        <w:ind w:left="0" w:right="543" w:firstLine="0"/>
        <w:jc w:val="center"/>
        <w:rPr>
          <w:rFonts w:ascii="Times New Roman"/>
          <w:i/>
          <w:sz w:val="17"/>
        </w:rPr>
      </w:pPr>
      <w:r>
        <w:rPr/>
        <w:pict>
          <v:shape style="position:absolute;margin-left:297.110992pt;margin-top:8.516755pt;width:40pt;height:5.6pt;mso-position-horizontal-relative:page;mso-position-vertical-relative:paragraph;z-index:15830528" type="#_x0000_t202" filled="true" fillcolor="#f3f3f3" stroked="false">
            <v:textbox inset="0,0,0,0">
              <w:txbxContent>
                <w:p>
                  <w:pPr>
                    <w:spacing w:line="112" w:lineRule="exact" w:before="0"/>
                    <w:ind w:left="33" w:right="0" w:firstLine="0"/>
                    <w:jc w:val="left"/>
                    <w:rPr>
                      <w:rFonts w:ascii="Times New Roman"/>
                      <w:i/>
                      <w:sz w:val="17"/>
                    </w:rPr>
                  </w:pPr>
                  <w:r>
                    <w:rPr>
                      <w:rFonts w:ascii="Times New Roman"/>
                      <w:i/>
                      <w:sz w:val="17"/>
                    </w:rPr>
                    <w:t>ECONFIG</w:t>
                  </w:r>
                </w:p>
              </w:txbxContent>
            </v:textbox>
            <v:fill type="solid"/>
            <w10:wrap type="none"/>
          </v:shape>
        </w:pict>
      </w:r>
      <w:r>
        <w:rPr>
          <w:rFonts w:ascii="Times New Roman"/>
          <w:i/>
          <w:w w:val="102"/>
          <w:sz w:val="17"/>
        </w:rPr>
        <w:t>C</w:t>
      </w:r>
    </w:p>
    <w:p>
      <w:pPr>
        <w:spacing w:line="176" w:lineRule="exact" w:before="0"/>
        <w:ind w:left="2146" w:right="204" w:firstLine="0"/>
        <w:jc w:val="center"/>
        <w:rPr>
          <w:sz w:val="17"/>
        </w:rPr>
      </w:pPr>
      <w:r>
        <w:rPr/>
        <w:pict>
          <v:shape style="position:absolute;margin-left:119.733894pt;margin-top:30.561333pt;width:11.8pt;height:30.15pt;mso-position-horizontal-relative:page;mso-position-vertical-relative:paragraph;z-index:15832064" type="#_x0000_t202" filled="false" stroked="false">
            <v:textbox inset="0,0,0,0" style="layout-flow:vertical;mso-layout-flow-alt:bottom-to-top">
              <w:txbxContent>
                <w:p>
                  <w:pPr>
                    <w:spacing w:before="18"/>
                    <w:ind w:left="20" w:right="0" w:firstLine="0"/>
                    <w:jc w:val="left"/>
                    <w:rPr>
                      <w:sz w:val="17"/>
                    </w:rPr>
                  </w:pPr>
                  <w:r>
                    <w:rPr>
                      <w:sz w:val="17"/>
                    </w:rPr>
                    <w:t>Control</w:t>
                  </w:r>
                </w:p>
              </w:txbxContent>
            </v:textbox>
            <w10:wrap type="none"/>
          </v:shape>
        </w:pict>
      </w:r>
      <w:r>
        <w:rPr/>
        <w:pict>
          <v:shape style="position:absolute;margin-left:218.060013pt;margin-top:30.561333pt;width:11.8pt;height:30.15pt;mso-position-horizontal-relative:page;mso-position-vertical-relative:paragraph;z-index:15832576" type="#_x0000_t202" filled="false" stroked="false">
            <v:textbox inset="0,0,0,0" style="layout-flow:vertical;mso-layout-flow-alt:bottom-to-top">
              <w:txbxContent>
                <w:p>
                  <w:pPr>
                    <w:spacing w:before="18"/>
                    <w:ind w:left="20" w:right="0" w:firstLine="0"/>
                    <w:jc w:val="left"/>
                    <w:rPr>
                      <w:sz w:val="17"/>
                    </w:rPr>
                  </w:pPr>
                  <w:r>
                    <w:rPr>
                      <w:sz w:val="17"/>
                    </w:rPr>
                    <w:t>Control</w:t>
                  </w:r>
                </w:p>
              </w:txbxContent>
            </v:textbox>
            <w10:wrap type="none"/>
          </v:shape>
        </w:pict>
      </w:r>
      <w:r>
        <w:rPr>
          <w:w w:val="105"/>
          <w:sz w:val="17"/>
        </w:rPr>
        <w:t>Control</w:t>
      </w:r>
    </w:p>
    <w:p>
      <w:pPr>
        <w:pStyle w:val="BodyText"/>
        <w:spacing w:before="3"/>
        <w:rPr>
          <w:sz w:val="11"/>
        </w:rPr>
      </w:pPr>
      <w:r>
        <w:rPr/>
        <w:pict>
          <v:shape style="position:absolute;margin-left:291.526276pt;margin-top:7.707382pt;width:50.85pt;height:11.2pt;mso-position-horizontal-relative:page;mso-position-vertical-relative:paragraph;z-index:-15628288;mso-wrap-distance-left:0;mso-wrap-distance-right:0" type="#_x0000_t202" filled="false" stroked="false">
            <v:textbox inset="0,0,0,0">
              <w:txbxContent>
                <w:p>
                  <w:pPr>
                    <w:spacing w:line="219" w:lineRule="exact" w:before="0"/>
                    <w:ind w:left="201" w:right="0" w:firstLine="0"/>
                    <w:jc w:val="left"/>
                    <w:rPr>
                      <w:sz w:val="21"/>
                    </w:rPr>
                  </w:pPr>
                  <w:r>
                    <w:rPr>
                      <w:sz w:val="21"/>
                    </w:rPr>
                    <w:t>XRAM</w:t>
                  </w:r>
                </w:p>
              </w:txbxContent>
            </v:textbox>
            <w10:wrap type="topAndBottom"/>
          </v:shape>
        </w:pict>
      </w:r>
    </w:p>
    <w:p>
      <w:pPr>
        <w:pStyle w:val="BodyText"/>
      </w:pPr>
    </w:p>
    <w:p>
      <w:pPr>
        <w:pStyle w:val="BodyText"/>
        <w:spacing w:before="10"/>
        <w:rPr>
          <w:sz w:val="29"/>
        </w:rPr>
      </w:pPr>
      <w:r>
        <w:rPr/>
        <w:pict>
          <v:shape style="position:absolute;margin-left:106.35952pt;margin-top:19.489452pt;width:361.85pt;height:15.75pt;mso-position-horizontal-relative:page;mso-position-vertical-relative:paragraph;z-index:-15627776;mso-wrap-distance-left:0;mso-wrap-distance-right:0" type="#_x0000_t202" filled="false" stroked="true" strokeweight=".628481pt" strokecolor="#000000">
            <v:textbox inset="0,0,0,0">
              <w:txbxContent>
                <w:p>
                  <w:pPr>
                    <w:spacing w:before="16"/>
                    <w:ind w:left="2360" w:right="2046" w:firstLine="0"/>
                    <w:jc w:val="center"/>
                    <w:rPr>
                      <w:sz w:val="21"/>
                    </w:rPr>
                  </w:pPr>
                  <w:r>
                    <w:rPr>
                      <w:sz w:val="21"/>
                    </w:rPr>
                    <w:t>I/O RAM (Configuration RAM)</w:t>
                  </w:r>
                </w:p>
              </w:txbxContent>
            </v:textbox>
            <v:stroke dashstyle="solid"/>
            <w10:wrap type="topAndBottom"/>
          </v:shape>
        </w:pict>
      </w:r>
    </w:p>
    <w:p>
      <w:pPr>
        <w:spacing w:before="118"/>
        <w:ind w:left="65" w:right="204" w:firstLine="0"/>
        <w:jc w:val="center"/>
        <w:rPr>
          <w:b/>
          <w:sz w:val="20"/>
        </w:rPr>
      </w:pPr>
      <w:bookmarkStart w:name="_bookmark170" w:id="345"/>
      <w:bookmarkEnd w:id="345"/>
      <w:r>
        <w:rPr/>
      </w:r>
      <w:r>
        <w:rPr>
          <w:b/>
          <w:sz w:val="20"/>
        </w:rPr>
        <w:t>Figure 26: MPU/CE Data</w:t>
      </w:r>
      <w:r>
        <w:rPr>
          <w:b/>
          <w:spacing w:val="-14"/>
          <w:sz w:val="20"/>
        </w:rPr>
        <w:t> </w:t>
      </w:r>
      <w:r>
        <w:rPr>
          <w:b/>
          <w:sz w:val="20"/>
        </w:rPr>
        <w:t>Flow</w:t>
      </w:r>
    </w:p>
    <w:p>
      <w:pPr>
        <w:spacing w:after="0"/>
        <w:jc w:val="center"/>
        <w:rPr>
          <w:sz w:val="20"/>
        </w:rPr>
        <w:sectPr>
          <w:type w:val="continuous"/>
          <w:pgSz w:w="12240" w:h="15840"/>
          <w:pgMar w:top="940" w:bottom="280" w:left="1200" w:right="1060"/>
        </w:sectPr>
      </w:pPr>
    </w:p>
    <w:p>
      <w:pPr>
        <w:pStyle w:val="BodyText"/>
        <w:spacing w:before="9"/>
        <w:rPr>
          <w:b/>
          <w:sz w:val="16"/>
        </w:rPr>
      </w:pPr>
    </w:p>
    <w:p>
      <w:pPr>
        <w:pStyle w:val="ListParagraph"/>
        <w:numPr>
          <w:ilvl w:val="0"/>
          <w:numId w:val="22"/>
        </w:numPr>
        <w:tabs>
          <w:tab w:pos="959" w:val="left" w:leader="none"/>
          <w:tab w:pos="960" w:val="left" w:leader="none"/>
        </w:tabs>
        <w:spacing w:line="240" w:lineRule="auto" w:before="91" w:after="0"/>
        <w:ind w:left="959" w:right="0" w:hanging="720"/>
        <w:jc w:val="left"/>
        <w:rPr>
          <w:b/>
          <w:sz w:val="28"/>
        </w:rPr>
      </w:pPr>
      <w:bookmarkStart w:name="4 Application Information" w:id="346"/>
      <w:bookmarkEnd w:id="346"/>
      <w:r>
        <w:rPr/>
      </w:r>
      <w:bookmarkStart w:name="_bookmark171" w:id="347"/>
      <w:bookmarkEnd w:id="347"/>
      <w:r>
        <w:rPr/>
      </w:r>
      <w:bookmarkStart w:name="_bookmark171" w:id="348"/>
      <w:bookmarkEnd w:id="348"/>
      <w:r>
        <w:rPr>
          <w:b/>
          <w:sz w:val="28"/>
        </w:rPr>
        <w:t>A</w:t>
      </w:r>
      <w:r>
        <w:rPr>
          <w:b/>
          <w:sz w:val="28"/>
        </w:rPr>
        <w:t>pplication</w:t>
      </w:r>
      <w:r>
        <w:rPr>
          <w:b/>
          <w:spacing w:val="-4"/>
          <w:sz w:val="28"/>
        </w:rPr>
        <w:t> </w:t>
      </w:r>
      <w:r>
        <w:rPr>
          <w:b/>
          <w:sz w:val="28"/>
        </w:rPr>
        <w:t>Information</w:t>
      </w:r>
    </w:p>
    <w:p>
      <w:pPr>
        <w:pStyle w:val="ListParagraph"/>
        <w:numPr>
          <w:ilvl w:val="1"/>
          <w:numId w:val="22"/>
        </w:numPr>
        <w:tabs>
          <w:tab w:pos="959" w:val="left" w:leader="none"/>
          <w:tab w:pos="960" w:val="left" w:leader="none"/>
        </w:tabs>
        <w:spacing w:line="240" w:lineRule="auto" w:before="107" w:after="0"/>
        <w:ind w:left="960" w:right="0" w:hanging="720"/>
        <w:jc w:val="left"/>
        <w:rPr>
          <w:b/>
          <w:sz w:val="24"/>
        </w:rPr>
      </w:pPr>
      <w:bookmarkStart w:name="4.1 Connecting 5 V Devices" w:id="349"/>
      <w:bookmarkEnd w:id="349"/>
      <w:r>
        <w:rPr/>
      </w:r>
      <w:bookmarkStart w:name="_bookmark172" w:id="350"/>
      <w:bookmarkEnd w:id="350"/>
      <w:r>
        <w:rPr/>
      </w:r>
      <w:bookmarkStart w:name="_bookmark172" w:id="351"/>
      <w:bookmarkEnd w:id="351"/>
      <w:r>
        <w:rPr>
          <w:b/>
          <w:sz w:val="24"/>
        </w:rPr>
        <w:t>C</w:t>
      </w:r>
      <w:r>
        <w:rPr>
          <w:b/>
          <w:sz w:val="24"/>
        </w:rPr>
        <w:t>onnecting 5 V</w:t>
      </w:r>
      <w:r>
        <w:rPr>
          <w:b/>
          <w:spacing w:val="1"/>
          <w:sz w:val="24"/>
        </w:rPr>
        <w:t> </w:t>
      </w:r>
      <w:r>
        <w:rPr>
          <w:b/>
          <w:sz w:val="24"/>
        </w:rPr>
        <w:t>Devices</w:t>
      </w:r>
    </w:p>
    <w:p>
      <w:pPr>
        <w:pStyle w:val="BodyText"/>
        <w:spacing w:line="228" w:lineRule="auto" w:before="102"/>
        <w:ind w:left="240" w:right="401"/>
      </w:pPr>
      <w:r>
        <w:rPr/>
        <w:t>All digital input pins of the 71M6543 are compatible with external 5 V devices. I/O pins configured as inputs do not require current-limiting resistors when they are connected to external 5 V devices.</w:t>
      </w:r>
    </w:p>
    <w:p>
      <w:pPr>
        <w:pStyle w:val="ListParagraph"/>
        <w:numPr>
          <w:ilvl w:val="1"/>
          <w:numId w:val="22"/>
        </w:numPr>
        <w:tabs>
          <w:tab w:pos="959" w:val="left" w:leader="none"/>
          <w:tab w:pos="960" w:val="left" w:leader="none"/>
        </w:tabs>
        <w:spacing w:line="240" w:lineRule="auto" w:before="116" w:after="0"/>
        <w:ind w:left="960" w:right="0" w:hanging="720"/>
        <w:jc w:val="left"/>
        <w:rPr>
          <w:b/>
          <w:sz w:val="24"/>
        </w:rPr>
      </w:pPr>
      <w:bookmarkStart w:name="4.2 Directly Connected Sensors" w:id="352"/>
      <w:bookmarkEnd w:id="352"/>
      <w:r>
        <w:rPr/>
      </w:r>
      <w:bookmarkStart w:name="_bookmark173" w:id="353"/>
      <w:bookmarkEnd w:id="353"/>
      <w:r>
        <w:rPr/>
      </w:r>
      <w:bookmarkStart w:name="_bookmark173" w:id="354"/>
      <w:bookmarkEnd w:id="354"/>
      <w:r>
        <w:rPr>
          <w:b/>
          <w:sz w:val="24"/>
        </w:rPr>
        <w:t>D</w:t>
      </w:r>
      <w:r>
        <w:rPr>
          <w:b/>
          <w:sz w:val="24"/>
        </w:rPr>
        <w:t>irectly Connected</w:t>
      </w:r>
      <w:r>
        <w:rPr>
          <w:b/>
          <w:spacing w:val="-7"/>
          <w:sz w:val="24"/>
        </w:rPr>
        <w:t> </w:t>
      </w:r>
      <w:r>
        <w:rPr>
          <w:b/>
          <w:sz w:val="24"/>
        </w:rPr>
        <w:t>Sensors</w:t>
      </w:r>
    </w:p>
    <w:p>
      <w:pPr>
        <w:pStyle w:val="BodyText"/>
        <w:spacing w:before="122"/>
        <w:ind w:left="239" w:right="383"/>
      </w:pPr>
      <w:hyperlink w:history="true" w:anchor="_bookmark174">
        <w:r>
          <w:rPr>
            <w:color w:val="0000FF"/>
          </w:rPr>
          <w:t>Figure 27 </w:t>
        </w:r>
      </w:hyperlink>
      <w:r>
        <w:rPr/>
        <w:t>through </w:t>
      </w:r>
      <w:hyperlink w:history="true" w:anchor="_bookmark177">
        <w:r>
          <w:rPr>
            <w:color w:val="0000FF"/>
          </w:rPr>
          <w:t>Figure 30 </w:t>
        </w:r>
      </w:hyperlink>
      <w:r>
        <w:rPr/>
        <w:t>show voltage-sensing resistive dividers, current-sensing current transformers (CTs) and current-sensing resistive shunts and how they are connected to the voltage and current inputs of the 71M6543. All input signals to the 71M6543 sensor inputs are voltage signals providing a scaled representation of either a sensed voltage or current.</w:t>
      </w:r>
    </w:p>
    <w:p>
      <w:pPr>
        <w:pStyle w:val="BodyText"/>
      </w:pPr>
    </w:p>
    <w:p>
      <w:pPr>
        <w:pStyle w:val="BodyText"/>
        <w:spacing w:after="19"/>
        <w:ind w:left="1249" w:right="429"/>
      </w:pPr>
      <w:r>
        <w:rPr/>
        <w:drawing>
          <wp:anchor distT="0" distB="0" distL="0" distR="0" allowOverlap="1" layoutInCell="1" locked="0" behindDoc="0" simplePos="0" relativeHeight="15835136">
            <wp:simplePos x="0" y="0"/>
            <wp:positionH relativeFrom="page">
              <wp:posOffset>907414</wp:posOffset>
            </wp:positionH>
            <wp:positionV relativeFrom="paragraph">
              <wp:posOffset>-17896</wp:posOffset>
            </wp:positionV>
            <wp:extent cx="534669" cy="533398"/>
            <wp:effectExtent l="0" t="0" r="0" b="0"/>
            <wp:wrapNone/>
            <wp:docPr id="101" name="image54.png"/>
            <wp:cNvGraphicFramePr>
              <a:graphicFrameLocks noChangeAspect="1"/>
            </wp:cNvGraphicFramePr>
            <a:graphic>
              <a:graphicData uri="http://schemas.openxmlformats.org/drawingml/2006/picture">
                <pic:pic>
                  <pic:nvPicPr>
                    <pic:cNvPr id="102" name="image54.png"/>
                    <pic:cNvPicPr/>
                  </pic:nvPicPr>
                  <pic:blipFill>
                    <a:blip r:embed="rId63" cstate="print"/>
                    <a:stretch>
                      <a:fillRect/>
                    </a:stretch>
                  </pic:blipFill>
                  <pic:spPr>
                    <a:xfrm>
                      <a:off x="0" y="0"/>
                      <a:ext cx="534669" cy="533398"/>
                    </a:xfrm>
                    <a:prstGeom prst="rect">
                      <a:avLst/>
                    </a:prstGeom>
                  </pic:spPr>
                </pic:pic>
              </a:graphicData>
            </a:graphic>
          </wp:anchor>
        </w:drawing>
      </w:r>
      <w:r>
        <w:rPr/>
        <w:t>The analog input pins of the 71M6543 are designed for sensors with low source impedance. RC filters with resistance values higher than those implemented in the Demo Boards must not be used. Refer to the Demo Board schematics for complete sensor input circuits and corresponding component values.</w:t>
      </w:r>
    </w:p>
    <w:p>
      <w:pPr>
        <w:pStyle w:val="BodyText"/>
        <w:ind w:left="3455"/>
      </w:pPr>
      <w:r>
        <w:rPr/>
        <w:pict>
          <v:group style="width:148.65pt;height:53.4pt;mso-position-horizontal-relative:char;mso-position-vertical-relative:line" coordorigin="0,0" coordsize="2973,1068">
            <v:shape style="position:absolute;left:532;top:158;width:337;height:135" coordorigin="532,159" coordsize="337,135" path="m532,226l560,159,616,293,673,159,729,293,785,159,841,293,869,226e" filled="false" stroked="true" strokeweight=".934105pt" strokecolor="#000000">
              <v:path arrowok="t"/>
              <v:stroke dashstyle="solid"/>
            </v:shape>
            <v:shape style="position:absolute;left:1098;top:159;width:332;height:133" coordorigin="1099,160" coordsize="332,133" path="m1099,226l1126,160,1182,292,1237,160,1292,292,1347,160,1402,292,1430,226e" filled="false" stroked="true" strokeweight=".934105pt" strokecolor="#000000">
              <v:path arrowok="t"/>
              <v:stroke dashstyle="solid"/>
            </v:shape>
            <v:line style="position:absolute" from="869,226" to="1099,226" stroked="true" strokeweight=".933946pt" strokecolor="#000000">
              <v:stroke dashstyle="solid"/>
            </v:line>
            <v:shape style="position:absolute;left:1710;top:158;width:337;height:135" coordorigin="1710,159" coordsize="337,135" path="m1710,226l1739,159,1795,293,1851,159,1907,293,1963,159,2019,293,2047,226e" filled="false" stroked="true" strokeweight=".934105pt" strokecolor="#000000">
              <v:path arrowok="t"/>
              <v:stroke dashstyle="solid"/>
            </v:shape>
            <v:line style="position:absolute" from="1430,226" to="1710,226" stroked="true" strokeweight=".933946pt" strokecolor="#000000">
              <v:stroke dashstyle="solid"/>
            </v:line>
            <v:shape style="position:absolute;left:2148;top:450;width:135;height:337" coordorigin="2148,450" coordsize="135,337" path="m2215,450l2283,478,2148,534,2283,590,2148,646,2283,702,2148,758,2215,786e" filled="false" stroked="true" strokeweight=".934944pt" strokecolor="#000000">
              <v:path arrowok="t"/>
              <v:stroke dashstyle="solid"/>
            </v:shape>
            <v:shape style="position:absolute;left:2047;top:226;width:169;height:225" coordorigin="2047,226" coordsize="169,225" path="m2047,226l2215,226,2215,450e" filled="false" stroked="true" strokeweight=".934686pt" strokecolor="#000000">
              <v:path arrowok="t"/>
              <v:stroke dashstyle="solid"/>
            </v:shape>
            <v:shape style="position:absolute;left:83;top:786;width:2133;height:225" coordorigin="83,786" coordsize="2133,225" path="m2215,786l2215,1011,83,1011e" filled="false" stroked="true" strokeweight=".933958pt" strokecolor="#000000">
              <v:path arrowok="t"/>
              <v:stroke dashstyle="solid"/>
            </v:shape>
            <v:line style="position:absolute" from="532,226" to="83,226" stroked="true" strokeweight=".933946pt" strokecolor="#000000">
              <v:stroke dashstyle="solid"/>
            </v:line>
            <v:line style="position:absolute" from="2215,226" to="2552,226" stroked="true" strokeweight=".933946pt" strokecolor="#000000">
              <v:stroke dashstyle="solid"/>
            </v:line>
            <v:line style="position:absolute" from="2215,1011" to="2552,1011" stroked="true" strokeweight=".933946pt" strokecolor="#000000">
              <v:stroke dashstyle="solid"/>
            </v:line>
            <v:shape style="position:absolute;left:30;top:984;width:54;height:54" coordorigin="30,984" coordsize="54,54" path="m71,1037l42,1037,30,1025,30,1011,30,996,42,984,71,984,83,996,83,1025,71,1037xe" filled="true" fillcolor="#e8eef7" stroked="false">
              <v:path arrowok="t"/>
              <v:fill type="solid"/>
            </v:shape>
            <v:shape style="position:absolute;left:30;top:983;width:54;height:54" coordorigin="30,984" coordsize="54,54" path="m30,1011l30,996,42,984,57,984,71,984,83,996,83,1011,83,1025,71,1037,57,1037,42,1037,30,1025,30,1011xe" filled="false" stroked="true" strokeweight=".934524pt" strokecolor="#000000">
              <v:path arrowok="t"/>
              <v:stroke dashstyle="solid"/>
            </v:shape>
            <v:shape style="position:absolute;left:30;top:199;width:54;height:54" coordorigin="30,199" coordsize="54,54" path="m71,253l42,253,30,241,30,226,30,211,42,199,71,199,83,211,83,241,71,253xe" filled="true" fillcolor="#e8eef7" stroked="false">
              <v:path arrowok="t"/>
              <v:fill type="solid"/>
            </v:shape>
            <v:shape style="position:absolute;left:30;top:199;width:54;height:54" coordorigin="30,199" coordsize="54,54" path="m30,226l30,211,42,199,57,199,71,199,83,211,83,226,83,241,71,253,57,253,42,253,30,241,30,226xe" filled="false" stroked="true" strokeweight=".934524pt" strokecolor="#000000">
              <v:path arrowok="t"/>
              <v:stroke dashstyle="solid"/>
            </v:shape>
            <v:shape style="position:absolute;left:2552;top:199;width:54;height:54" coordorigin="2552,199" coordsize="54,54" path="m2593,253l2564,253,2552,241,2552,226,2552,211,2564,199,2593,199,2605,211,2605,241,2593,253xe" filled="true" fillcolor="#e8eef7" stroked="false">
              <v:path arrowok="t"/>
              <v:fill type="solid"/>
            </v:shape>
            <v:shape style="position:absolute;left:2552;top:199;width:54;height:54" coordorigin="2552,199" coordsize="54,54" path="m2552,226l2552,211,2564,199,2579,199,2593,199,2605,211,2605,226,2605,241,2593,253,2579,253,2564,253,2552,241,2552,226xe" filled="false" stroked="true" strokeweight=".934524pt" strokecolor="#000000">
              <v:path arrowok="t"/>
              <v:stroke dashstyle="solid"/>
            </v:shape>
            <v:shape style="position:absolute;left:2552;top:983;width:54;height:54" coordorigin="2552,984" coordsize="54,54" path="m2593,1037l2564,1037,2552,1025,2552,1011,2552,996,2564,984,2593,984,2605,996,2605,1025,2593,1037xe" filled="true" fillcolor="#e8eef7" stroked="false">
              <v:path arrowok="t"/>
              <v:fill type="solid"/>
            </v:shape>
            <v:shape style="position:absolute;left:2552;top:983;width:54;height:54" coordorigin="2552,984" coordsize="54,54" path="m2552,1011l2552,996,2564,984,2579,984,2593,984,2605,996,2605,1011,2605,1025,2593,1037,2579,1037,2564,1037,2552,1025,2552,1011xe" filled="false" stroked="true" strokeweight=".934524pt" strokecolor="#000000">
              <v:path arrowok="t"/>
              <v:stroke dashstyle="solid"/>
            </v:shape>
            <v:shape style="position:absolute;left:2187;top:198;width:57;height:57" coordorigin="2187,198" coordsize="57,57" path="m2231,254l2200,254,2187,241,2187,226,2187,211,2200,198,2231,198,2243,211,2243,241,2231,254xe" filled="true" fillcolor="#000000" stroked="false">
              <v:path arrowok="t"/>
              <v:fill type="solid"/>
            </v:shape>
            <v:shape style="position:absolute;left:2187;top:198;width:57;height:57" coordorigin="2187,198" coordsize="57,57" path="m2187,226l2187,211,2200,198,2215,198,2231,198,2243,211,2243,226,2243,241,2231,254,2215,254,2200,254,2187,241,2187,226xe" filled="false" stroked="true" strokeweight=".186905pt" strokecolor="#000000">
              <v:path arrowok="t"/>
              <v:stroke dashstyle="solid"/>
            </v:shape>
            <v:line style="position:absolute" from="420,58" to="1206,58" stroked="true" strokeweight=".186789pt" strokecolor="#000000">
              <v:stroke dashstyle="solid"/>
            </v:line>
            <v:line style="position:absolute" from="1262,58" to="2103,58" stroked="true" strokeweight=".186789pt" strokecolor="#000000">
              <v:stroke dashstyle="solid"/>
            </v:line>
            <v:shape style="position:absolute;left:363;top:57;width:57;height:57" coordorigin="364,58" coordsize="57,57" path="m420,58l398,62,380,74,368,92,364,114e" filled="false" stroked="true" strokeweight=".186905pt" strokecolor="#000000">
              <v:path arrowok="t"/>
              <v:stroke dashstyle="solid"/>
            </v:shape>
            <v:shape style="position:absolute;left:2103;top:57;width:57;height:57" coordorigin="2103,58" coordsize="57,57" path="m2103,58l2125,62,2143,74,2155,92,2159,114e" filled="false" stroked="true" strokeweight=".186905pt" strokecolor="#000000">
              <v:path arrowok="t"/>
              <v:stroke dashstyle="solid"/>
            </v:shape>
            <v:shape style="position:absolute;left:1205;top:1;width:23;height:57" coordorigin="1206,2" coordsize="23,57" path="m1206,58l1214,54,1222,43,1226,27,1228,7,1228,5,1228,4,1228,2e" filled="false" stroked="true" strokeweight=".186988pt" strokecolor="#000000">
              <v:path arrowok="t"/>
              <v:stroke dashstyle="solid"/>
            </v:shape>
            <v:shape style="position:absolute;left:1227;top:1;width:34;height:57" coordorigin="1228,2" coordsize="34,57" path="m1262,58l1249,54,1238,41,1231,24,1228,2e" filled="false" stroked="true" strokeweight=".186959pt" strokecolor="#000000">
              <v:path arrowok="t"/>
              <v:stroke dashstyle="solid"/>
            </v:shape>
            <v:shape style="position:absolute;left:2187;top:982;width:57;height:57" coordorigin="2187,983" coordsize="57,57" path="m2231,1039l2200,1039,2187,1026,2187,1011,2187,995,2200,983,2231,983,2243,995,2243,1026,2231,1039xe" filled="true" fillcolor="#000000" stroked="false">
              <v:path arrowok="t"/>
              <v:fill type="solid"/>
            </v:shape>
            <v:shape style="position:absolute;left:2187;top:982;width:57;height:57" coordorigin="2187,983" coordsize="57,57" path="m2187,1011l2187,995,2200,983,2215,983,2231,983,2243,995,2243,1011,2243,1026,2231,1039,2215,1039,2200,1039,2187,1026,2187,1011xe" filled="false" stroked="true" strokeweight=".186905pt" strokecolor="#000000">
              <v:path arrowok="t"/>
              <v:stroke dashstyle="solid"/>
            </v:shape>
            <v:shape style="position:absolute;left:2306;top:172;width:666;height:236" type="#_x0000_t202" filled="false" stroked="false">
              <v:textbox inset="0,0,0,0">
                <w:txbxContent>
                  <w:p>
                    <w:pPr>
                      <w:spacing w:line="302" w:lineRule="auto" w:before="0"/>
                      <w:ind w:left="0" w:right="11" w:firstLine="334"/>
                      <w:jc w:val="left"/>
                      <w:rPr>
                        <w:sz w:val="9"/>
                      </w:rPr>
                    </w:pPr>
                    <w:r>
                      <w:rPr>
                        <w:sz w:val="9"/>
                      </w:rPr>
                      <w:t>VADCn </w:t>
                    </w:r>
                    <w:r>
                      <w:rPr>
                        <w:w w:val="105"/>
                        <w:sz w:val="9"/>
                      </w:rPr>
                      <w:t>(n = 8, 9 or 10)</w:t>
                    </w:r>
                  </w:p>
                </w:txbxContent>
              </v:textbox>
              <w10:wrap type="none"/>
            </v:shape>
            <v:shape style="position:absolute;left:0;top:537;width:144;height:111" type="#_x0000_t202" filled="false" stroked="false">
              <v:textbox inset="0,0,0,0">
                <w:txbxContent>
                  <w:p>
                    <w:pPr>
                      <w:spacing w:before="3"/>
                      <w:ind w:left="0" w:right="0" w:firstLine="0"/>
                      <w:jc w:val="left"/>
                      <w:rPr>
                        <w:sz w:val="6"/>
                      </w:rPr>
                    </w:pPr>
                    <w:r>
                      <w:rPr>
                        <w:position w:val="1"/>
                        <w:sz w:val="9"/>
                      </w:rPr>
                      <w:t>V</w:t>
                    </w:r>
                    <w:r>
                      <w:rPr>
                        <w:sz w:val="6"/>
                      </w:rPr>
                      <w:t>IN</w:t>
                    </w:r>
                  </w:p>
                </w:txbxContent>
              </v:textbox>
              <w10:wrap type="none"/>
            </v:shape>
            <v:shape style="position:absolute;left:1893;top:564;width:216;height:111" type="#_x0000_t202" filled="false" stroked="false">
              <v:textbox inset="0,0,0,0">
                <w:txbxContent>
                  <w:p>
                    <w:pPr>
                      <w:spacing w:before="3"/>
                      <w:ind w:left="0" w:right="0" w:firstLine="0"/>
                      <w:jc w:val="left"/>
                      <w:rPr>
                        <w:sz w:val="6"/>
                      </w:rPr>
                    </w:pPr>
                    <w:r>
                      <w:rPr>
                        <w:position w:val="1"/>
                        <w:sz w:val="9"/>
                      </w:rPr>
                      <w:t>R</w:t>
                    </w:r>
                    <w:r>
                      <w:rPr>
                        <w:sz w:val="6"/>
                      </w:rPr>
                      <w:t>OUT</w:t>
                    </w:r>
                  </w:p>
                </w:txbxContent>
              </v:textbox>
              <w10:wrap type="none"/>
            </v:shape>
            <v:shape style="position:absolute;left:2636;top:963;width:312;height:105" type="#_x0000_t202" filled="false" stroked="false">
              <v:textbox inset="0,0,0,0">
                <w:txbxContent>
                  <w:p>
                    <w:pPr>
                      <w:spacing w:before="0"/>
                      <w:ind w:left="0" w:right="0" w:firstLine="0"/>
                      <w:jc w:val="left"/>
                      <w:rPr>
                        <w:sz w:val="9"/>
                      </w:rPr>
                    </w:pPr>
                    <w:r>
                      <w:rPr>
                        <w:w w:val="105"/>
                        <w:sz w:val="9"/>
                      </w:rPr>
                      <w:t>V3P3A</w:t>
                    </w:r>
                  </w:p>
                </w:txbxContent>
              </v:textbox>
              <w10:wrap type="none"/>
            </v:shape>
          </v:group>
        </w:pict>
      </w:r>
      <w:r>
        <w:rPr/>
      </w:r>
    </w:p>
    <w:p>
      <w:pPr>
        <w:spacing w:before="141"/>
        <w:ind w:left="64" w:right="204" w:firstLine="0"/>
        <w:jc w:val="center"/>
        <w:rPr>
          <w:b/>
          <w:sz w:val="20"/>
        </w:rPr>
      </w:pPr>
      <w:bookmarkStart w:name="_bookmark174" w:id="355"/>
      <w:bookmarkEnd w:id="355"/>
      <w:r>
        <w:rPr/>
      </w:r>
      <w:r>
        <w:rPr>
          <w:b/>
          <w:sz w:val="20"/>
        </w:rPr>
        <w:t>Figure 27: Resistive Voltage Divider (Voltage Sensing)</w:t>
      </w:r>
    </w:p>
    <w:p>
      <w:pPr>
        <w:pStyle w:val="BodyText"/>
        <w:rPr>
          <w:b/>
        </w:rPr>
      </w:pPr>
    </w:p>
    <w:p>
      <w:pPr>
        <w:pStyle w:val="BodyText"/>
        <w:rPr>
          <w:b/>
        </w:rPr>
      </w:pPr>
    </w:p>
    <w:p>
      <w:pPr>
        <w:pStyle w:val="BodyText"/>
        <w:rPr>
          <w:b/>
        </w:rPr>
      </w:pPr>
    </w:p>
    <w:p>
      <w:pPr>
        <w:pStyle w:val="BodyText"/>
        <w:spacing w:before="7"/>
        <w:rPr>
          <w:b/>
          <w:sz w:val="19"/>
        </w:rPr>
      </w:pPr>
    </w:p>
    <w:p>
      <w:pPr>
        <w:spacing w:before="96"/>
        <w:ind w:left="2980" w:right="0" w:firstLine="0"/>
        <w:jc w:val="left"/>
        <w:rPr>
          <w:b/>
          <w:sz w:val="15"/>
        </w:rPr>
      </w:pPr>
      <w:r>
        <w:rPr/>
        <w:pict>
          <v:group style="position:absolute;margin-left:221.226105pt;margin-top:-34.953945pt;width:184.35pt;height:86.5pt;mso-position-horizontal-relative:page;mso-position-vertical-relative:paragraph;z-index:15834112" coordorigin="4425,-699" coordsize="3687,1730">
            <v:rect style="position:absolute;left:6406;top:-599;width:1123;height:1624" filled="true" fillcolor="#e8eef7" stroked="false">
              <v:fill type="solid"/>
            </v:rect>
            <v:rect style="position:absolute;left:6406;top:-599;width:1123;height:1624" filled="false" stroked="true" strokeweight=".536510pt" strokecolor="#000000">
              <v:stroke dashstyle="dot"/>
            </v:rect>
            <v:shape style="position:absolute;left:6477;top:-450;width:286;height:127" type="#_x0000_t75" stroked="false">
              <v:imagedata r:id="rId168" o:title=""/>
            </v:shape>
            <v:shape style="position:absolute;left:5465;top:-430;width:268;height:34" coordorigin="5466,-430" coordsize="268,34" path="m5466,-396l5468,-408,5475,-419,5485,-426,5498,-430,5511,-427,5522,-421,5529,-411,5533,-398,5533,-397,5533,-397,5533,-396,5535,-408,5541,-419,5552,-426,5565,-430,5578,-427,5589,-421,5596,-411,5599,-398,5599,-397,5599,-397,5599,-396,5601,-408,5608,-419,5619,-426,5631,-430,5645,-427,5655,-421,5663,-411,5666,-398,5666,-397,5666,-397,5666,-396,5668,-408,5675,-419,5685,-426,5698,-430,5711,-427,5722,-421,5730,-411,5733,-398,5733,-397,5733,-397,5733,-396e" filled="false" stroked="true" strokeweight=".901708pt" strokecolor="#000000">
              <v:path arrowok="t"/>
              <v:stroke dashstyle="solid"/>
            </v:shape>
            <v:shape style="position:absolute;left:5456;top:-391;width:285;height:2" coordorigin="5457,-391" coordsize="285,0" path="m5457,-391l5475,-391m5724,-391l5742,-391e" filled="false" stroked="true" strokeweight=".507312pt" strokecolor="#000000">
              <v:path arrowok="t"/>
              <v:stroke dashstyle="solid"/>
            </v:shape>
            <v:line style="position:absolute" from="5733,-386" to="6486,-386" stroked="true" strokeweight=".901888pt" strokecolor="#000000">
              <v:stroke dashstyle="solid"/>
            </v:line>
            <v:shape style="position:absolute;left:7178;top:184;width:169;height:43" coordorigin="7178,184" coordsize="169,43" path="m7347,227l7178,227m7347,184l7178,184e" filled="false" stroked="true" strokeweight=".896195pt" strokecolor="#000000">
              <v:path arrowok="t"/>
              <v:stroke dashstyle="solid"/>
            </v:shape>
            <v:shape style="position:absolute;left:7262;top:-8;width:2;height:427" coordorigin="7262,-7" coordsize="0,427" path="m7262,419l7262,227m7262,184l7262,-7e" filled="false" stroked="true" strokeweight=".896195pt" strokecolor="#000000">
              <v:path arrowok="t"/>
              <v:stroke dashstyle="solid"/>
            </v:shape>
            <v:shape style="position:absolute;left:7111;top:-387;width:151;height:379" coordorigin="7111,-386" coordsize="151,379" path="m7262,-7l7262,-386,7111,-386e" filled="false" stroked="true" strokeweight=".892062pt" strokecolor="#000000">
              <v:path arrowok="t"/>
              <v:stroke dashstyle="solid"/>
            </v:shape>
            <v:shape style="position:absolute;left:5455;top:759;width:268;height:34" coordorigin="5455,760" coordsize="268,34" path="m5455,793l5457,781,5464,770,5474,763,5487,760,5500,762,5511,768,5519,778,5522,791,5522,792,5522,793,5522,793,5524,781,5531,770,5541,763,5554,760,5567,762,5578,768,5586,778,5589,791,5589,792,5589,793,5589,793,5591,781,5598,770,5608,763,5621,760,5634,762,5645,768,5652,778,5655,791,5656,792,5656,793,5655,793,5658,781,5664,770,5675,763,5688,760,5701,762,5712,768,5719,778,5722,791,5722,792,5722,793,5722,793e" filled="false" stroked="true" strokeweight=".901708pt" strokecolor="#000000">
              <v:path arrowok="t"/>
              <v:stroke dashstyle="solid"/>
            </v:shape>
            <v:shape style="position:absolute;left:5446;top:798;width:285;height:2" coordorigin="5446,798" coordsize="285,0" path="m5446,798l5464,798m5713,798l5731,798e" filled="false" stroked="true" strokeweight=".507312pt" strokecolor="#000000">
              <v:path arrowok="t"/>
              <v:stroke dashstyle="solid"/>
            </v:shape>
            <v:shape style="position:absolute;left:5722;top:418;width:1541;height:385" coordorigin="5722,419" coordsize="1541,385" path="m7262,419l7262,804,5722,804e" filled="false" stroked="true" strokeweight=".901218pt" strokecolor="#000000">
              <v:path arrowok="t"/>
              <v:stroke dashstyle="solid"/>
            </v:shape>
            <v:line style="position:absolute" from="7667,802" to="7262,804" stroked="true" strokeweight=".901887pt" strokecolor="#000000">
              <v:stroke dashstyle="solid"/>
            </v:line>
            <v:line style="position:absolute" from="7111,-388" to="6753,-386" stroked="true" strokeweight=".901888pt" strokecolor="#000000">
              <v:stroke dashstyle="solid"/>
            </v:line>
            <v:shape style="position:absolute;left:7242;top:-407;width:40;height:41" coordorigin="7242,-406" coordsize="40,41" path="m7273,-366l7251,-366,7242,-375,7242,-386,7242,-397,7251,-406,7273,-406,7282,-397,7282,-375,7273,-366xe" filled="true" fillcolor="#000000" stroked="false">
              <v:path arrowok="t"/>
              <v:fill type="solid"/>
            </v:shape>
            <v:shape style="position:absolute;left:7242;top:-407;width:40;height:41" coordorigin="7242,-406" coordsize="40,41" path="m7242,-386l7242,-397,7251,-406,7262,-406,7273,-406,7282,-397,7282,-386,7282,-375,7273,-366,7262,-366,7251,-366,7242,-375,7242,-386xe" filled="false" stroked="true" strokeweight=".896124pt" strokecolor="#000000">
              <v:path arrowok="t"/>
              <v:stroke dashstyle="solid"/>
            </v:shape>
            <v:shape style="position:absolute;left:7242;top:784;width:40;height:41" coordorigin="7242,784" coordsize="40,41" path="m7273,824l7251,824,7242,815,7242,804,7242,793,7251,784,7273,784,7282,793,7282,815,7273,824xe" filled="true" fillcolor="#000000" stroked="false">
              <v:path arrowok="t"/>
              <v:fill type="solid"/>
            </v:shape>
            <v:shape style="position:absolute;left:7242;top:784;width:40;height:41" coordorigin="7242,784" coordsize="40,41" path="m7242,804l7242,793,7251,784,7262,784,7273,784,7282,793,7282,804,7282,815,7273,824,7262,824,7251,824,7242,815,7242,804xe" filled="false" stroked="true" strokeweight=".896124pt" strokecolor="#000000">
              <v:path arrowok="t"/>
              <v:stroke dashstyle="solid"/>
            </v:shape>
            <v:shape style="position:absolute;left:7667;top:761;width:80;height:81" coordorigin="7667,761" coordsize="80,81" path="m7707,842l7692,839,7679,830,7670,818,7667,802,7670,786,7679,773,7692,765,7707,761,7723,765,7735,773,7744,786,7747,802,7744,818,7735,830,7723,839,7707,842xe" filled="true" fillcolor="#e8eef7" stroked="false">
              <v:path arrowok="t"/>
              <v:fill type="solid"/>
            </v:shape>
            <v:shape style="position:absolute;left:7667;top:761;width:80;height:81" coordorigin="7667,761" coordsize="80,81" path="m7667,802l7670,786,7679,773,7692,765,7707,761,7723,765,7735,773,7744,786,7747,802,7744,818,7735,830,7723,839,7707,842,7692,839,7679,830,7670,818,7667,802xe" filled="false" stroked="true" strokeweight=".896122pt" strokecolor="#000000">
              <v:path arrowok="t"/>
              <v:stroke dashstyle="solid"/>
            </v:shape>
            <v:shape style="position:absolute;left:5839;top:-369;width:107;height:662" coordorigin="5840,-368" coordsize="107,662" path="m5893,23l5947,45,5840,90,5947,135,5840,180,5947,226,5840,271,5893,293m5893,23l5893,-368e" filled="false" stroked="true" strokeweight=".896195pt" strokecolor="#000000">
              <v:path arrowok="t"/>
              <v:stroke dashstyle="solid"/>
            </v:shape>
            <v:line style="position:absolute" from="5893,293" to="5893,783" stroked="true" strokeweight=".890502pt" strokecolor="#000000">
              <v:stroke dashstyle="solid"/>
            </v:line>
            <v:shape style="position:absolute;left:5873;top:-409;width:40;height:41" coordorigin="5873,-409" coordsize="40,41" path="m5904,-368l5882,-368,5873,-377,5873,-389,5873,-400,5882,-409,5904,-409,5913,-400,5913,-377,5904,-368xe" filled="true" fillcolor="#000000" stroked="false">
              <v:path arrowok="t"/>
              <v:fill type="solid"/>
            </v:shape>
            <v:shape style="position:absolute;left:5873;top:-409;width:40;height:41" coordorigin="5873,-409" coordsize="40,41" path="m5873,-389l5873,-400,5882,-409,5893,-409,5904,-409,5913,-400,5913,-389,5913,-377,5904,-368,5893,-368,5882,-368,5873,-377,5873,-389xe" filled="false" stroked="true" strokeweight=".896124pt" strokecolor="#000000">
              <v:path arrowok="t"/>
              <v:stroke dashstyle="solid"/>
            </v:shape>
            <v:shape style="position:absolute;left:5873;top:783;width:40;height:41" coordorigin="5873,783" coordsize="40,41" path="m5904,824l5882,824,5873,814,5873,803,5873,792,5882,783,5904,783,5913,792,5913,814,5904,824xe" filled="true" fillcolor="#000000" stroked="false">
              <v:path arrowok="t"/>
              <v:fill type="solid"/>
            </v:shape>
            <v:shape style="position:absolute;left:5873;top:783;width:40;height:41" coordorigin="5873,783" coordsize="40,41" path="m5873,803l5873,792,5882,783,5893,783,5904,783,5913,792,5913,803,5913,814,5904,824,5893,824,5882,824,5873,814,5873,803xe" filled="false" stroked="true" strokeweight=".896124pt" strokecolor="#000000">
              <v:path arrowok="t"/>
              <v:stroke dashstyle="solid"/>
            </v:shape>
            <v:line style="position:absolute" from="6096,-280" to="6096,570" stroked="true" strokeweight=".890502pt" strokecolor="#000000">
              <v:stroke dashstyle="solid"/>
            </v:line>
            <v:shape style="position:absolute;left:6051;top:558;width:90;height:136" coordorigin="6052,558" coordsize="90,136" path="m6096,694l6052,558,6141,558,6096,694xe" filled="true" fillcolor="#000000" stroked="false">
              <v:path arrowok="t"/>
              <v:fill type="solid"/>
            </v:shape>
            <v:line style="position:absolute" from="5241,-389" to="5466,-386" stroked="true" strokeweight=".901886pt" strokecolor="#000000">
              <v:stroke dashstyle="solid"/>
            </v:line>
            <v:line style="position:absolute" from="5455,804" to="5204,804" stroked="true" strokeweight=".901888pt" strokecolor="#000000">
              <v:stroke dashstyle="solid"/>
            </v:line>
            <v:shape style="position:absolute;left:5081;top:758;width:134;height:91" coordorigin="5081,759" coordsize="134,91" path="m5215,849l5081,804,5215,759,5215,849xe" filled="true" fillcolor="#000000" stroked="false">
              <v:path arrowok="t"/>
              <v:fill type="solid"/>
            </v:shape>
            <v:line style="position:absolute" from="5119,-389" to="5028,-389" stroked="true" strokeweight=".901888pt" strokecolor="#000000">
              <v:stroke dashstyle="solid"/>
            </v:line>
            <v:shape style="position:absolute;left:5107;top:-434;width:134;height:91" coordorigin="5108,-434" coordsize="134,91" path="m5108,-344l5108,-434,5241,-389,5108,-344xe" filled="true" fillcolor="#000000" stroked="false">
              <v:path arrowok="t"/>
              <v:fill type="solid"/>
            </v:shape>
            <v:line style="position:absolute" from="5102,802" to="5028,802" stroked="true" strokeweight=".901888pt" strokecolor="#000000">
              <v:stroke dashstyle="solid"/>
            </v:line>
            <v:shape style="position:absolute;left:4500;top:-389;width:529;height:1191" coordorigin="4500,-389" coordsize="529,1191" path="m4676,802l4610,793,4555,762,4516,716,4500,659,4511,601,4545,552,4597,518,4663,504,4667,504,4672,504,4676,504,4610,495,4555,465,4516,419,4500,361,4511,303,4545,254,4597,221,4663,207,4667,206,4672,206,4676,207,4610,197,4555,167,4516,121,4500,64,4511,5,4545,-43,4597,-77,4663,-91,4667,-91,4672,-91,4676,-91,4610,-100,4555,-130,4516,-176,4500,-234,4511,-292,4545,-341,4597,-375,4663,-389,4667,-389,4672,-389,4676,-389m4676,802l5029,802m4676,-389l5029,-389e" filled="false" stroked="true" strokeweight=".896195pt" strokecolor="#000000">
              <v:path arrowok="t"/>
              <v:stroke dashstyle="solid"/>
            </v:shape>
            <v:line style="position:absolute" from="4622,-605" to="4622,914" stroked="true" strokeweight=".534301pt" strokecolor="#000000">
              <v:stroke dashstyle="solid"/>
            </v:line>
            <v:shape style="position:absolute;left:4584;top:904;width:75;height:114" coordorigin="4584,905" coordsize="75,114" path="m4622,1018l4584,905,4659,905,4622,1018xe" filled="true" fillcolor="#000000" stroked="false">
              <v:path arrowok="t"/>
              <v:fill type="solid"/>
            </v:shape>
            <v:line style="position:absolute" from="7262,-386" to="7672,-389" stroked="true" strokeweight=".901887pt" strokecolor="#000000">
              <v:stroke dashstyle="solid"/>
            </v:line>
            <v:shape style="position:absolute;left:7672;top:-430;width:82;height:83" coordorigin="7672,-430" coordsize="82,83" path="m7713,-347l7697,-351,7684,-359,7675,-373,7672,-389,7675,-405,7684,-418,7697,-427,7713,-430,7729,-427,7742,-418,7750,-405,7754,-389,7750,-373,7742,-359,7729,-351,7713,-347xe" filled="true" fillcolor="#e8eef7" stroked="false">
              <v:path arrowok="t"/>
              <v:fill type="solid"/>
            </v:shape>
            <v:shape style="position:absolute;left:7672;top:-430;width:82;height:83" coordorigin="7672,-430" coordsize="82,83" path="m7672,-389l7675,-405,7684,-418,7697,-427,7713,-430,7729,-427,7742,-418,7750,-405,7754,-389,7750,-373,7742,-359,7729,-351,7713,-347,7697,-351,7684,-359,7675,-373,7672,-389xe" filled="false" stroked="true" strokeweight=".896123pt" strokecolor="#000000">
              <v:path arrowok="t"/>
              <v:stroke dashstyle="solid"/>
            </v:shape>
            <v:shape style="position:absolute;left:4424;top:-700;width:158;height:178" type="#_x0000_t202" filled="false" stroked="false">
              <v:textbox inset="0,0,0,0">
                <w:txbxContent>
                  <w:p>
                    <w:pPr>
                      <w:spacing w:line="176" w:lineRule="exact" w:before="0"/>
                      <w:ind w:left="0" w:right="0" w:firstLine="0"/>
                      <w:jc w:val="left"/>
                      <w:rPr>
                        <w:b/>
                        <w:sz w:val="9"/>
                      </w:rPr>
                    </w:pPr>
                    <w:r>
                      <w:rPr>
                        <w:b/>
                        <w:w w:val="105"/>
                        <w:position w:val="2"/>
                        <w:sz w:val="15"/>
                      </w:rPr>
                      <w:t>I</w:t>
                    </w:r>
                    <w:r>
                      <w:rPr>
                        <w:b/>
                        <w:w w:val="105"/>
                        <w:sz w:val="9"/>
                      </w:rPr>
                      <w:t>IN</w:t>
                    </w:r>
                  </w:p>
                </w:txbxContent>
              </v:textbox>
              <w10:wrap type="none"/>
            </v:shape>
            <v:shape style="position:absolute;left:5028;top:-645;width:265;height:178" type="#_x0000_t202" filled="false" stroked="false">
              <v:textbox inset="0,0,0,0">
                <w:txbxContent>
                  <w:p>
                    <w:pPr>
                      <w:spacing w:line="176" w:lineRule="exact" w:before="0"/>
                      <w:ind w:left="0" w:right="0" w:firstLine="0"/>
                      <w:jc w:val="left"/>
                      <w:rPr>
                        <w:b/>
                        <w:sz w:val="9"/>
                      </w:rPr>
                    </w:pPr>
                    <w:r>
                      <w:rPr>
                        <w:b/>
                        <w:w w:val="105"/>
                        <w:position w:val="2"/>
                        <w:sz w:val="15"/>
                      </w:rPr>
                      <w:t>I</w:t>
                    </w:r>
                    <w:r>
                      <w:rPr>
                        <w:b/>
                        <w:w w:val="105"/>
                        <w:sz w:val="9"/>
                      </w:rPr>
                      <w:t>OUT</w:t>
                    </w:r>
                  </w:p>
                </w:txbxContent>
              </v:textbox>
              <w10:wrap type="none"/>
            </v:shape>
            <v:shape style="position:absolute;left:7608;top:-440;width:503;height:233" type="#_x0000_t202" filled="false" stroked="false">
              <v:textbox inset="0,0,0,0">
                <w:txbxContent>
                  <w:p>
                    <w:pPr>
                      <w:spacing w:line="304" w:lineRule="auto" w:before="0"/>
                      <w:ind w:left="0" w:right="-5" w:firstLine="177"/>
                      <w:jc w:val="left"/>
                      <w:rPr>
                        <w:sz w:val="9"/>
                      </w:rPr>
                    </w:pPr>
                    <w:r>
                      <w:rPr>
                        <w:sz w:val="9"/>
                      </w:rPr>
                      <w:t>IADCn (n = 0,1,...7)</w:t>
                    </w:r>
                  </w:p>
                </w:txbxContent>
              </v:textbox>
              <w10:wrap type="none"/>
            </v:shape>
            <v:shape style="position:absolute;left:5483;top:112;width:885;height:107" type="#_x0000_t202" filled="false" stroked="false">
              <v:textbox inset="0,0,0,0">
                <w:txbxContent>
                  <w:p>
                    <w:pPr>
                      <w:tabs>
                        <w:tab w:pos="682" w:val="left" w:leader="none"/>
                      </w:tabs>
                      <w:spacing w:line="107" w:lineRule="exact" w:before="0"/>
                      <w:ind w:left="0" w:right="0" w:firstLine="0"/>
                      <w:jc w:val="left"/>
                      <w:rPr>
                        <w:sz w:val="6"/>
                      </w:rPr>
                    </w:pPr>
                    <w:r>
                      <w:rPr>
                        <w:position w:val="1"/>
                        <w:sz w:val="9"/>
                      </w:rPr>
                      <w:t>R</w:t>
                    </w:r>
                    <w:r>
                      <w:rPr>
                        <w:sz w:val="6"/>
                      </w:rPr>
                      <w:t>BURDEN</w:t>
                      <w:tab/>
                    </w:r>
                    <w:r>
                      <w:rPr>
                        <w:position w:val="1"/>
                        <w:sz w:val="9"/>
                      </w:rPr>
                      <w:t>V</w:t>
                    </w:r>
                    <w:r>
                      <w:rPr>
                        <w:sz w:val="6"/>
                      </w:rPr>
                      <w:t>OUT</w:t>
                    </w:r>
                  </w:p>
                </w:txbxContent>
              </v:textbox>
              <w10:wrap type="none"/>
            </v:shape>
            <v:shape style="position:absolute;left:7785;top:757;width:298;height:101" type="#_x0000_t202" filled="false" stroked="false">
              <v:textbox inset="0,0,0,0">
                <w:txbxContent>
                  <w:p>
                    <w:pPr>
                      <w:spacing w:line="101" w:lineRule="exact" w:before="0"/>
                      <w:ind w:left="0" w:right="0" w:firstLine="0"/>
                      <w:jc w:val="left"/>
                      <w:rPr>
                        <w:sz w:val="9"/>
                      </w:rPr>
                    </w:pPr>
                    <w:r>
                      <w:rPr>
                        <w:sz w:val="9"/>
                      </w:rPr>
                      <w:t>V3P3A</w:t>
                    </w:r>
                  </w:p>
                </w:txbxContent>
              </v:textbox>
              <w10:wrap type="none"/>
            </v:shape>
            <v:shape style="position:absolute;left:6585;top:855;width:771;height:168" type="#_x0000_t202" filled="false" stroked="false">
              <v:textbox inset="0,0,0,0">
                <w:txbxContent>
                  <w:p>
                    <w:pPr>
                      <w:spacing w:line="168" w:lineRule="exact" w:before="0"/>
                      <w:ind w:left="0" w:right="0" w:firstLine="0"/>
                      <w:jc w:val="left"/>
                      <w:rPr>
                        <w:sz w:val="15"/>
                      </w:rPr>
                    </w:pPr>
                    <w:r>
                      <w:rPr>
                        <w:sz w:val="15"/>
                      </w:rPr>
                      <w:t>Noise Filter</w:t>
                    </w:r>
                  </w:p>
                </w:txbxContent>
              </v:textbox>
              <w10:wrap type="none"/>
            </v:shape>
            <w10:wrap type="none"/>
          </v:group>
        </w:pict>
      </w:r>
      <w:r>
        <w:rPr>
          <w:b/>
          <w:sz w:val="15"/>
        </w:rPr>
        <w:t>CT</w:t>
      </w:r>
    </w:p>
    <w:p>
      <w:pPr>
        <w:pStyle w:val="BodyText"/>
        <w:rPr>
          <w:b/>
          <w:sz w:val="16"/>
        </w:rPr>
      </w:pPr>
    </w:p>
    <w:p>
      <w:pPr>
        <w:pStyle w:val="BodyText"/>
        <w:rPr>
          <w:b/>
          <w:sz w:val="16"/>
        </w:rPr>
      </w:pPr>
    </w:p>
    <w:p>
      <w:pPr>
        <w:pStyle w:val="BodyText"/>
        <w:rPr>
          <w:b/>
          <w:sz w:val="16"/>
        </w:rPr>
      </w:pPr>
    </w:p>
    <w:p>
      <w:pPr>
        <w:pStyle w:val="BodyText"/>
        <w:spacing w:before="9"/>
        <w:rPr>
          <w:b/>
          <w:sz w:val="22"/>
        </w:rPr>
      </w:pPr>
    </w:p>
    <w:p>
      <w:pPr>
        <w:spacing w:before="0"/>
        <w:ind w:left="3273" w:right="0" w:firstLine="0"/>
        <w:jc w:val="left"/>
        <w:rPr>
          <w:b/>
          <w:sz w:val="15"/>
        </w:rPr>
      </w:pPr>
      <w:r>
        <w:rPr>
          <w:b/>
          <w:sz w:val="15"/>
        </w:rPr>
        <w:t>1:N</w:t>
      </w:r>
    </w:p>
    <w:p>
      <w:pPr>
        <w:pStyle w:val="BodyText"/>
        <w:spacing w:before="9"/>
        <w:rPr>
          <w:b/>
          <w:sz w:val="16"/>
        </w:rPr>
      </w:pPr>
    </w:p>
    <w:p>
      <w:pPr>
        <w:spacing w:before="1"/>
        <w:ind w:left="59" w:right="204" w:firstLine="0"/>
        <w:jc w:val="center"/>
        <w:rPr>
          <w:b/>
          <w:sz w:val="20"/>
        </w:rPr>
      </w:pPr>
      <w:bookmarkStart w:name="_bookmark175" w:id="356"/>
      <w:bookmarkEnd w:id="356"/>
      <w:r>
        <w:rPr/>
      </w:r>
      <w:r>
        <w:rPr>
          <w:b/>
          <w:sz w:val="20"/>
        </w:rPr>
        <w:t>Figure 28. CT with Single-Ended Input Connection (Current Sensing)</w:t>
      </w:r>
    </w:p>
    <w:p>
      <w:pPr>
        <w:spacing w:after="0"/>
        <w:jc w:val="center"/>
        <w:rPr>
          <w:sz w:val="20"/>
        </w:rPr>
        <w:sectPr>
          <w:pgSz w:w="12240" w:h="15840"/>
          <w:pgMar w:header="727" w:footer="819" w:top="960" w:bottom="1000" w:left="1200" w:right="1060"/>
        </w:sectPr>
      </w:pPr>
    </w:p>
    <w:p>
      <w:pPr>
        <w:spacing w:before="108"/>
        <w:ind w:left="0" w:right="0" w:firstLine="0"/>
        <w:jc w:val="right"/>
        <w:rPr>
          <w:b/>
          <w:sz w:val="9"/>
        </w:rPr>
      </w:pPr>
      <w:r>
        <w:rPr/>
        <w:pict>
          <v:group style="position:absolute;margin-left:202.870468pt;margin-top:8.599120pt;width:202.35pt;height:85.4pt;mso-position-horizontal-relative:page;mso-position-vertical-relative:paragraph;z-index:-38746624" coordorigin="4057,172" coordsize="4047,1708">
            <v:rect style="position:absolute;left:5878;top:177;width:1964;height:1698" filled="true" fillcolor="#e8eef7" stroked="false">
              <v:fill type="solid"/>
            </v:rect>
            <v:rect style="position:absolute;left:5878;top:177;width:1964;height:1698" filled="false" stroked="true" strokeweight=".515332pt" strokecolor="#000000">
              <v:stroke dashstyle="dot"/>
            </v:rect>
            <v:shape style="position:absolute;left:5970;top:1127;width:104;height:258" coordorigin="5971,1128" coordsize="104,258" path="m6023,1128l6074,1149,5971,1192,6074,1235,5971,1278,6074,1321,5971,1363,6023,1385e" filled="false" stroked="true" strokeweight=".860503pt" strokecolor="#000000">
              <v:path arrowok="t"/>
              <v:stroke dashstyle="solid"/>
            </v:shape>
            <v:shape style="position:absolute;left:5970;top:561;width:104;height:258" coordorigin="5971,562" coordsize="104,258" path="m6023,562l6074,583,5971,626,6074,669,5971,712,6074,755,5971,798,6023,819e" filled="false" stroked="true" strokeweight=".860503pt" strokecolor="#000000">
              <v:path arrowok="t"/>
              <v:stroke dashstyle="solid"/>
            </v:shape>
            <v:shape style="position:absolute;left:6344;top:347;width:276;height:121" type="#_x0000_t75" stroked="false">
              <v:imagedata r:id="rId169" o:title=""/>
            </v:shape>
            <v:shape style="position:absolute;left:6344;top:1479;width:276;height:121" type="#_x0000_t75" stroked="false">
              <v:imagedata r:id="rId169" o:title=""/>
            </v:shape>
            <v:shape style="position:absolute;left:7331;top:1024;width:111;height:194" type="#_x0000_t75" stroked="false">
              <v:imagedata r:id="rId170" o:title=""/>
            </v:shape>
            <v:shape style="position:absolute;left:7056;top:892;width:41;height:162" coordorigin="7056,892" coordsize="41,162" path="m7056,1054l7056,892m7097,1054l7097,892e" filled="false" stroked="true" strokeweight=".859157pt" strokecolor="#000000">
              <v:path arrowok="t"/>
              <v:stroke dashstyle="solid"/>
            </v:shape>
            <v:shape style="position:absolute;left:6873;top:973;width:407;height:2" coordorigin="6873,973" coordsize="407,0" path="m6873,973l7056,973m7097,973l7280,973e" filled="false" stroked="true" strokeweight=".859157pt" strokecolor="#000000">
              <v:path arrowok="t"/>
              <v:stroke dashstyle="solid"/>
            </v:shape>
            <v:line style="position:absolute" from="6023,819" to="6023,1128" stroked="true" strokeweight=".861022pt" strokecolor="#000000">
              <v:stroke dashstyle="solid"/>
            </v:line>
            <v:line style="position:absolute" from="6023,1385" to="6023,1523" stroked="true" strokeweight=".861022pt" strokecolor="#000000">
              <v:stroke dashstyle="solid"/>
            </v:line>
            <v:line style="position:absolute" from="6023,562" to="6023,408" stroked="true" strokeweight=".861022pt" strokecolor="#000000">
              <v:stroke dashstyle="solid"/>
            </v:line>
            <v:shape style="position:absolute;left:6735;top:692;width:163;height:41" coordorigin="6736,693" coordsize="163,41" path="m6898,733l6736,733m6898,693l6736,693e" filled="false" stroked="true" strokeweight=".859157pt" strokecolor="#000000">
              <v:path arrowok="t"/>
              <v:stroke dashstyle="solid"/>
            </v:shape>
            <v:shape style="position:absolute;left:6817;top:510;width:2;height:406" coordorigin="6817,510" coordsize="0,406" path="m6817,915l6817,733m6817,693l6817,510e" filled="false" stroked="true" strokeweight=".859157pt" strokecolor="#000000">
              <v:path arrowok="t"/>
              <v:stroke dashstyle="solid"/>
            </v:shape>
            <v:shape style="position:absolute;left:6735;top:1210;width:163;height:41" coordorigin="6736,1210" coordsize="163,41" path="m6898,1251l6736,1251m6898,1210l6736,1210e" filled="false" stroked="true" strokeweight=".859157pt" strokecolor="#000000">
              <v:path arrowok="t"/>
              <v:stroke dashstyle="solid"/>
            </v:shape>
            <v:shape style="position:absolute;left:6817;top:1028;width:2;height:406" coordorigin="6817,1028" coordsize="0,406" path="m6817,1433l6817,1251m6817,1210l6817,1028e" filled="false" stroked="true" strokeweight=".859157pt" strokecolor="#000000">
              <v:path arrowok="t"/>
              <v:stroke dashstyle="solid"/>
            </v:shape>
            <v:shape style="position:absolute;left:4999;top:366;width:259;height:33" coordorigin="5000,366" coordsize="259,33" path="m5000,399l5002,386,5008,376,5018,369,5031,366,5043,368,5054,375,5061,384,5064,396,5064,397,5064,398,5064,399,5066,386,5073,376,5083,369,5095,366,5108,368,5118,375,5126,384,5129,396,5129,397,5129,398,5129,399,5131,386,5137,376,5147,369,5160,366,5172,368,5183,375,5190,384,5193,396,5193,397,5193,398,5193,399,5195,386,5202,376,5212,369,5224,366,5237,368,5248,375,5255,384,5258,396,5258,397,5258,398,5258,399e" filled="false" stroked="true" strokeweight=".857348pt" strokecolor="#000000">
              <v:path arrowok="t"/>
              <v:stroke dashstyle="solid"/>
            </v:shape>
            <v:shape style="position:absolute;left:4991;top:403;width:276;height:2" coordorigin="4991,403" coordsize="276,0" path="m4991,403l5008,403m5249,403l5267,403e" filled="false" stroked="true" strokeweight=".482226pt" strokecolor="#000000">
              <v:path arrowok="t"/>
              <v:stroke dashstyle="solid"/>
            </v:shape>
            <v:line style="position:absolute" from="5258,408" to="6353,408" stroked="true" strokeweight=".857292pt" strokecolor="#000000">
              <v:stroke dashstyle="solid"/>
            </v:line>
            <v:shape style="position:absolute;left:4989;top:1496;width:259;height:33" coordorigin="4989,1497" coordsize="259,33" path="m4989,1529l4991,1517,4998,1507,5008,1500,5020,1497,5033,1499,5044,1505,5051,1515,5054,1526,5054,1527,5054,1528,5054,1529,5056,1517,5062,1507,5072,1500,5085,1497,5098,1499,5108,1505,5115,1515,5118,1526,5118,1527,5118,1528,5118,1529,5120,1517,5127,1507,5137,1500,5149,1497,5162,1499,5173,1505,5180,1515,5183,1526,5183,1527,5183,1528,5183,1529,5185,1517,5192,1507,5202,1500,5214,1497,5227,1499,5237,1505,5245,1515,5248,1526,5248,1527,5248,1528,5248,1529e" filled="false" stroked="true" strokeweight=".857348pt" strokecolor="#000000">
              <v:path arrowok="t"/>
              <v:stroke dashstyle="solid"/>
            </v:shape>
            <v:shape style="position:absolute;left:4980;top:1533;width:276;height:2" coordorigin="4981,1534" coordsize="276,0" path="m4981,1534l4998,1534m5239,1534l5256,1534e" filled="false" stroked="true" strokeweight=".482226pt" strokecolor="#000000">
              <v:path arrowok="t"/>
              <v:stroke dashstyle="solid"/>
            </v:shape>
            <v:line style="position:absolute" from="5248,1539" to="6353,1539" stroked="true" strokeweight=".857292pt" strokecolor="#000000">
              <v:stroke dashstyle="solid"/>
            </v:line>
            <v:line style="position:absolute" from="6817,915" to="6817,1028" stroked="true" strokeweight=".861022pt" strokecolor="#000000">
              <v:stroke dashstyle="solid"/>
            </v:line>
            <v:shape style="position:absolute;left:6611;top:1433;width:206;height:107" coordorigin="6612,1433" coordsize="206,107" path="m6612,1539l6817,1539,6817,1433e" filled="false" stroked="true" strokeweight=".858078pt" strokecolor="#000000">
              <v:path arrowok="t"/>
              <v:stroke dashstyle="solid"/>
            </v:shape>
            <v:line style="position:absolute" from="6873,973" to="6023,972" stroked="true" strokeweight=".857292pt" strokecolor="#000000">
              <v:stroke dashstyle="solid"/>
            </v:line>
            <v:shape style="position:absolute;left:7280;top:973;width:107;height:52" coordorigin="7280,973" coordsize="107,52" path="m7280,973l7387,973,7387,1025e" filled="false" stroked="true" strokeweight=".857996pt" strokecolor="#000000">
              <v:path arrowok="t"/>
              <v:stroke dashstyle="solid"/>
            </v:shape>
            <v:shape style="position:absolute;left:7511;top:949;width:163;height:41" coordorigin="7512,950" coordsize="163,41" path="m7675,990l7512,990m7675,950l7512,950e" filled="false" stroked="true" strokeweight=".859157pt" strokecolor="#000000">
              <v:path arrowok="t"/>
              <v:stroke dashstyle="solid"/>
            </v:shape>
            <v:shape style="position:absolute;left:7593;top:767;width:2;height:406" coordorigin="7593,768" coordsize="0,406" path="m7593,1173l7593,990m7593,950l7593,768e" filled="false" stroked="true" strokeweight=".859157pt" strokecolor="#000000">
              <v:path arrowok="t"/>
              <v:stroke dashstyle="solid"/>
            </v:shape>
            <v:shape style="position:absolute;left:6818;top:407;width:775;height:361" coordorigin="6818,408" coordsize="775,361" path="m7593,768l7593,408,6818,408e" filled="false" stroked="true" strokeweight=".857954pt" strokecolor="#000000">
              <v:path arrowok="t"/>
              <v:stroke dashstyle="solid"/>
            </v:shape>
            <v:shape style="position:absolute;left:6818;top:1172;width:775;height:367" coordorigin="6818,1173" coordsize="775,367" path="m7593,1173l7593,1539,6818,1539e" filled="false" stroked="true" strokeweight=".857974pt" strokecolor="#000000">
              <v:path arrowok="t"/>
              <v:stroke dashstyle="solid"/>
            </v:shape>
            <v:line style="position:absolute" from="8007,1537" to="7593,1539" stroked="true" strokeweight=".857292pt" strokecolor="#000000">
              <v:stroke dashstyle="solid"/>
            </v:line>
            <v:shape style="position:absolute;left:6797;top:952;width:39;height:39" coordorigin="6798,953" coordsize="39,39" path="m6828,991l6806,991,6798,983,6798,972,6798,961,6806,953,6828,953,6836,961,6836,983,6828,991xe" filled="true" fillcolor="#000000" stroked="false">
              <v:path arrowok="t"/>
              <v:fill type="solid"/>
            </v:shape>
            <v:shape style="position:absolute;left:6797;top:952;width:39;height:39" coordorigin="6798,953" coordsize="39,39" path="m6798,972l6798,961,6806,953,6817,953,6828,953,6836,961,6836,972,6836,983,6828,991,6817,991,6806,991,6798,983,6798,972xe" filled="false" stroked="true" strokeweight=".859148pt" strokecolor="#000000">
              <v:path arrowok="t"/>
              <v:stroke dashstyle="solid"/>
            </v:shape>
            <v:shape style="position:absolute;left:6003;top:952;width:39;height:39" coordorigin="6003,953" coordsize="39,39" path="m6033,991l6012,991,6003,983,6003,972,6003,961,6012,953,6033,953,6042,961,6042,983,6033,991xe" filled="true" fillcolor="#000000" stroked="false">
              <v:path arrowok="t"/>
              <v:fill type="solid"/>
            </v:shape>
            <v:shape style="position:absolute;left:6003;top:952;width:39;height:39" coordorigin="6003,953" coordsize="39,39" path="m6003,972l6003,961,6012,953,6023,953,6033,953,6042,961,6042,972,6042,983,6033,991,6023,991,6012,991,6003,983,6003,972xe" filled="false" stroked="true" strokeweight=".859148pt" strokecolor="#000000">
              <v:path arrowok="t"/>
              <v:stroke dashstyle="solid"/>
            </v:shape>
            <v:shape style="position:absolute;left:6603;top:378;width:244;height:141" type="#_x0000_t75" stroked="false">
              <v:imagedata r:id="rId171" o:title=""/>
            </v:shape>
            <v:shape style="position:absolute;left:6003;top:388;width:39;height:39" coordorigin="6003,388" coordsize="39,39" path="m6033,427l6012,427,6003,418,6003,408,6003,397,6012,388,6033,388,6042,397,6042,418,6033,427xe" filled="true" fillcolor="#000000" stroked="false">
              <v:path arrowok="t"/>
              <v:fill type="solid"/>
            </v:shape>
            <v:shape style="position:absolute;left:6003;top:388;width:39;height:39" coordorigin="6003,388" coordsize="39,39" path="m6003,408l6003,397,6012,388,6023,388,6033,388,6042,397,6042,408,6042,418,6033,427,6023,427,6012,427,6003,418,6003,408xe" filled="false" stroked="true" strokeweight=".859148pt" strokecolor="#000000">
              <v:path arrowok="t"/>
              <v:stroke dashstyle="solid"/>
            </v:shape>
            <v:shape style="position:absolute;left:6799;top:1520;width:39;height:39" coordorigin="6799,1520" coordsize="39,39" path="m6829,1558l6808,1558,6799,1550,6799,1539,6799,1529,6808,1520,6829,1520,6838,1529,6838,1550,6829,1558xe" filled="true" fillcolor="#000000" stroked="false">
              <v:path arrowok="t"/>
              <v:fill type="solid"/>
            </v:shape>
            <v:shape style="position:absolute;left:6799;top:1520;width:39;height:39" coordorigin="6799,1520" coordsize="39,39" path="m6799,1539l6799,1529,6808,1520,6818,1520,6829,1520,6838,1529,6838,1539,6838,1550,6829,1558,6818,1558,6808,1558,6799,1550,6799,1539xe" filled="false" stroked="true" strokeweight=".859148pt" strokecolor="#000000">
              <v:path arrowok="t"/>
              <v:stroke dashstyle="solid"/>
            </v:shape>
            <v:shape style="position:absolute;left:7573;top:388;width:39;height:39" coordorigin="7574,388" coordsize="39,39" path="m7604,427l7583,427,7574,418,7574,408,7574,397,7583,388,7604,388,7613,397,7613,418,7604,427xe" filled="true" fillcolor="#000000" stroked="false">
              <v:path arrowok="t"/>
              <v:fill type="solid"/>
            </v:shape>
            <v:shape style="position:absolute;left:7573;top:388;width:39;height:39" coordorigin="7574,388" coordsize="39,39" path="m7574,408l7574,397,7583,388,7593,388,7604,388,7613,397,7613,408,7613,418,7604,427,7593,427,7583,427,7574,418,7574,408xe" filled="false" stroked="true" strokeweight=".859148pt" strokecolor="#000000">
              <v:path arrowok="t"/>
              <v:stroke dashstyle="solid"/>
            </v:shape>
            <v:shape style="position:absolute;left:7573;top:1520;width:39;height:39" coordorigin="7574,1520" coordsize="39,39" path="m7604,1558l7583,1558,7574,1550,7574,1539,7574,1529,7583,1520,7604,1520,7613,1529,7613,1550,7604,1558xe" filled="true" fillcolor="#000000" stroked="false">
              <v:path arrowok="t"/>
              <v:fill type="solid"/>
            </v:shape>
            <v:shape style="position:absolute;left:7573;top:1520;width:39;height:39" coordorigin="7574,1520" coordsize="39,39" path="m7574,1539l7574,1529,7583,1520,7593,1520,7604,1520,7613,1529,7613,1539,7613,1550,7604,1558,7593,1558,7583,1558,7574,1550,7574,1539xe" filled="false" stroked="true" strokeweight=".859148pt" strokecolor="#000000">
              <v:path arrowok="t"/>
              <v:stroke dashstyle="solid"/>
            </v:shape>
            <v:line style="position:absolute" from="6488,977" to="6488,855" stroked="true" strokeweight=".861022pt" strokecolor="#000000">
              <v:stroke dashstyle="solid"/>
            </v:line>
            <v:shape style="position:absolute;left:6468;top:957;width:39;height:39" coordorigin="6468,957" coordsize="39,39" path="m6498,996l6477,996,6468,987,6468,977,6468,966,6477,957,6498,957,6507,966,6507,987,6498,996xe" filled="true" fillcolor="#000000" stroked="false">
              <v:path arrowok="t"/>
              <v:fill type="solid"/>
            </v:shape>
            <v:shape style="position:absolute;left:6468;top:957;width:39;height:39" coordorigin="6468,957" coordsize="39,39" path="m6468,977l6468,966,6477,957,6488,957,6498,957,6507,966,6507,977,6507,987,6498,996,6488,996,6477,996,6468,987,6468,977xe" filled="false" stroked="true" strokeweight=".859148pt" strokecolor="#000000">
              <v:path arrowok="t"/>
              <v:stroke dashstyle="solid"/>
            </v:shape>
            <v:shape style="position:absolute;left:6003;top:1523;width:39;height:39" coordorigin="6003,1523" coordsize="39,39" path="m6033,1562l6012,1562,6003,1553,6003,1542,6003,1532,6012,1523,6033,1523,6042,1532,6042,1553,6033,1562xe" filled="true" fillcolor="#000000" stroked="false">
              <v:path arrowok="t"/>
              <v:fill type="solid"/>
            </v:shape>
            <v:shape style="position:absolute;left:6003;top:1523;width:39;height:39" coordorigin="6003,1523" coordsize="39,39" path="m6003,1542l6003,1532,6012,1523,6023,1523,6033,1523,6042,1532,6042,1542,6042,1553,6033,1562,6023,1562,6012,1562,6003,1553,6003,1542xe" filled="false" stroked="true" strokeweight=".859148pt" strokecolor="#000000">
              <v:path arrowok="t"/>
              <v:stroke dashstyle="solid"/>
            </v:shape>
            <v:shape style="position:absolute;left:8011;top:1498;width:78;height:77" coordorigin="8012,1498" coordsize="78,77" path="m8051,1575l8036,1572,8023,1564,8015,1552,8012,1537,8015,1522,8023,1510,8036,1501,8051,1498,8066,1501,8078,1510,8086,1522,8089,1537,8086,1552,8078,1564,8066,1572,8051,1575xe" filled="true" fillcolor="#e8eef7" stroked="false">
              <v:path arrowok="t"/>
              <v:fill type="solid"/>
            </v:shape>
            <v:shape style="position:absolute;left:8011;top:1498;width:78;height:77" coordorigin="8012,1498" coordsize="78,77" path="m8012,1537l8015,1522,8023,1510,8036,1501,8051,1498,8066,1501,8078,1510,8086,1522,8089,1537,8086,1552,8078,1564,8066,1572,8051,1575,8036,1572,8023,1564,8015,1552,8012,1537xe" filled="false" stroked="true" strokeweight=".859149pt" strokecolor="#000000">
              <v:path arrowok="t"/>
              <v:stroke dashstyle="solid"/>
            </v:shape>
            <v:shape style="position:absolute;left:5361;top:424;width:104;height:629" coordorigin="5361,425" coordsize="104,629" path="m5413,796l5465,818,5361,861,5465,903,5361,946,5465,989,5361,1032,5413,1053m5413,796l5413,425e" filled="false" stroked="true" strokeweight=".859157pt" strokecolor="#000000">
              <v:path arrowok="t"/>
              <v:stroke dashstyle="solid"/>
            </v:shape>
            <v:line style="position:absolute" from="5413,1053" to="5413,1519" stroked="true" strokeweight=".861022pt" strokecolor="#000000">
              <v:stroke dashstyle="solid"/>
            </v:line>
            <v:shape style="position:absolute;left:5393;top:386;width:39;height:39" coordorigin="5394,386" coordsize="39,39" path="m5424,425l5402,425,5394,416,5394,405,5394,395,5402,386,5424,386,5432,395,5432,416,5424,425xe" filled="true" fillcolor="#000000" stroked="false">
              <v:path arrowok="t"/>
              <v:fill type="solid"/>
            </v:shape>
            <v:shape style="position:absolute;left:5393;top:386;width:39;height:39" coordorigin="5394,386" coordsize="39,39" path="m5394,405l5394,395,5402,386,5413,386,5424,386,5432,395,5432,405,5432,416,5424,425,5413,425,5402,425,5394,416,5394,405xe" filled="false" stroked="true" strokeweight=".859148pt" strokecolor="#000000">
              <v:path arrowok="t"/>
              <v:stroke dashstyle="solid"/>
            </v:shape>
            <v:shape style="position:absolute;left:5393;top:1519;width:39;height:39" coordorigin="5394,1519" coordsize="39,39" path="m5424,1558l5402,1558,5394,1549,5394,1538,5394,1528,5402,1519,5424,1519,5432,1528,5432,1549,5424,1558xe" filled="true" fillcolor="#000000" stroked="false">
              <v:path arrowok="t"/>
              <v:fill type="solid"/>
            </v:shape>
            <v:shape style="position:absolute;left:5393;top:1519;width:39;height:39" coordorigin="5394,1519" coordsize="39,39" path="m5394,1538l5394,1528,5402,1519,5413,1519,5424,1519,5432,1528,5432,1538,5432,1549,5424,1558,5413,1558,5402,1558,5394,1549,5394,1538xe" filled="false" stroked="true" strokeweight=".859148pt" strokecolor="#000000">
              <v:path arrowok="t"/>
              <v:stroke dashstyle="solid"/>
            </v:shape>
            <v:line style="position:absolute" from="5609,508" to="5609,1316" stroked="true" strokeweight=".861022pt" strokecolor="#000000">
              <v:stroke dashstyle="solid"/>
            </v:line>
            <v:shape style="position:absolute;left:5566;top:1305;width:87;height:129" coordorigin="5566,1305" coordsize="87,129" path="m5609,1434l5566,1305,5652,1305,5609,1434xe" filled="true" fillcolor="#000000" stroked="false">
              <v:path arrowok="t"/>
              <v:fill type="solid"/>
            </v:shape>
            <v:line style="position:absolute" from="4783,405" to="5000,408" stroked="true" strokeweight=".857292pt" strokecolor="#000000">
              <v:stroke dashstyle="solid"/>
            </v:line>
            <v:line style="position:absolute" from="4989,1539" to="4746,1539" stroked="true" strokeweight=".857292pt" strokecolor="#000000">
              <v:stroke dashstyle="solid"/>
            </v:line>
            <v:shape style="position:absolute;left:4627;top:1495;width:130;height:86" coordorigin="4628,1496" coordsize="130,86" path="m4757,1581l4628,1539,4757,1496,4757,1581xe" filled="true" fillcolor="#000000" stroked="false">
              <v:path arrowok="t"/>
              <v:fill type="solid"/>
            </v:shape>
            <v:line style="position:absolute" from="4664,405" to="4576,405" stroked="true" strokeweight=".857292pt" strokecolor="#000000">
              <v:stroke dashstyle="solid"/>
            </v:line>
            <v:shape style="position:absolute;left:4653;top:362;width:130;height:86" coordorigin="4653,362" coordsize="130,86" path="m4653,448l4653,362,4783,405,4653,448xe" filled="true" fillcolor="#000000" stroked="false">
              <v:path arrowok="t"/>
              <v:fill type="solid"/>
            </v:shape>
            <v:line style="position:absolute" from="4648,1537" to="4576,1537" stroked="true" strokeweight=".857292pt" strokecolor="#000000">
              <v:stroke dashstyle="solid"/>
            </v:line>
            <v:shape style="position:absolute;left:4066;top:405;width:512;height:1132" coordorigin="4066,405" coordsize="512,1132" path="m4236,1537l4172,1528,4119,1500,4081,1456,4066,1401,4076,1346,4109,1299,4160,1267,4223,1254,4228,1254,4232,1254,4236,1254,4172,1245,4119,1217,4081,1173,4066,1118,4076,1063,4109,1017,4160,984,4223,971,4228,971,4232,971,4236,971,4172,962,4119,934,4081,890,4066,835,4076,780,4109,734,4160,702,4223,688,4228,688,4232,688,4236,688,4172,679,4119,651,4081,607,4066,552,4076,497,4109,451,4160,419,4223,405,4228,405,4232,405,4236,405m4236,1537l4577,1537m4236,405l4577,405e" filled="false" stroked="true" strokeweight=".859157pt" strokecolor="#000000">
              <v:path arrowok="t"/>
              <v:stroke dashstyle="solid"/>
            </v:shape>
            <v:line style="position:absolute" from="4183,200" to="4183,1644" stroked="true" strokeweight=".516613pt" strokecolor="#000000">
              <v:stroke dashstyle="solid"/>
            </v:line>
            <v:shape style="position:absolute;left:4147;top:1634;width:73;height:109" coordorigin="4147,1635" coordsize="73,109" path="m4183,1743l4147,1635,4220,1635,4183,1743xe" filled="true" fillcolor="#000000" stroked="false">
              <v:path arrowok="t"/>
              <v:fill type="solid"/>
            </v:shape>
            <v:line style="position:absolute" from="7593,408" to="8007,405" stroked="true" strokeweight=".857292pt" strokecolor="#000000">
              <v:stroke dashstyle="solid"/>
            </v:line>
            <v:shape style="position:absolute;left:8016;top:366;width:79;height:79" coordorigin="8017,366" coordsize="79,79" path="m8056,444l8041,441,8028,433,8020,421,8017,405,8020,390,8028,378,8041,369,8056,366,8072,369,8084,378,8093,390,8096,405,8093,421,8084,433,8072,441,8056,444xe" filled="true" fillcolor="#e8eef7" stroked="false">
              <v:path arrowok="t"/>
              <v:fill type="solid"/>
            </v:shape>
            <v:shape style="position:absolute;left:8016;top:366;width:79;height:79" coordorigin="8017,366" coordsize="79,79" path="m8017,405l8020,390,8028,378,8041,369,8056,366,8072,369,8084,378,8093,390,8096,405,8093,421,8084,433,8072,441,8056,444,8041,441,8028,433,8020,421,8017,405xe" filled="false" stroked="true" strokeweight=".859148pt" strokecolor="#000000">
              <v:path arrowok="t"/>
              <v:stroke dashstyle="solid"/>
            </v:shape>
            <w10:wrap type="none"/>
          </v:group>
        </w:pict>
      </w:r>
      <w:r>
        <w:rPr>
          <w:b/>
          <w:position w:val="2"/>
          <w:sz w:val="14"/>
        </w:rPr>
        <w:t>I</w:t>
      </w:r>
      <w:r>
        <w:rPr>
          <w:b/>
          <w:sz w:val="9"/>
        </w:rPr>
        <w:t>IN</w:t>
      </w:r>
    </w:p>
    <w:p>
      <w:pPr>
        <w:pStyle w:val="BodyText"/>
        <w:spacing w:before="10"/>
        <w:rPr>
          <w:b/>
          <w:sz w:val="13"/>
        </w:rPr>
      </w:pPr>
      <w:r>
        <w:rPr/>
        <w:br w:type="column"/>
      </w:r>
      <w:r>
        <w:rPr>
          <w:b/>
          <w:sz w:val="13"/>
        </w:rPr>
      </w:r>
    </w:p>
    <w:p>
      <w:pPr>
        <w:spacing w:before="0"/>
        <w:ind w:left="411" w:right="0" w:firstLine="0"/>
        <w:jc w:val="left"/>
        <w:rPr>
          <w:b/>
          <w:sz w:val="9"/>
        </w:rPr>
      </w:pPr>
      <w:r>
        <w:rPr>
          <w:b/>
          <w:w w:val="105"/>
          <w:position w:val="2"/>
          <w:sz w:val="14"/>
        </w:rPr>
        <w:t>I</w:t>
      </w:r>
      <w:r>
        <w:rPr>
          <w:b/>
          <w:w w:val="105"/>
          <w:sz w:val="9"/>
        </w:rPr>
        <w:t>OUT</w:t>
      </w:r>
    </w:p>
    <w:p>
      <w:pPr>
        <w:pStyle w:val="BodyText"/>
        <w:rPr>
          <w:b/>
          <w:sz w:val="10"/>
        </w:rPr>
      </w:pPr>
      <w:r>
        <w:rPr/>
        <w:br w:type="column"/>
      </w:r>
      <w:r>
        <w:rPr>
          <w:b/>
          <w:sz w:val="10"/>
        </w:rPr>
      </w:r>
    </w:p>
    <w:p>
      <w:pPr>
        <w:pStyle w:val="BodyText"/>
        <w:rPr>
          <w:b/>
          <w:sz w:val="10"/>
        </w:rPr>
      </w:pPr>
    </w:p>
    <w:p>
      <w:pPr>
        <w:pStyle w:val="BodyText"/>
        <w:spacing w:before="4"/>
        <w:rPr>
          <w:b/>
          <w:sz w:val="11"/>
        </w:rPr>
      </w:pPr>
    </w:p>
    <w:p>
      <w:pPr>
        <w:spacing w:before="0"/>
        <w:ind w:left="2765" w:right="2553" w:firstLine="0"/>
        <w:jc w:val="center"/>
        <w:rPr>
          <w:sz w:val="8"/>
        </w:rPr>
      </w:pPr>
      <w:r>
        <w:rPr>
          <w:w w:val="110"/>
          <w:sz w:val="8"/>
        </w:rPr>
        <w:t>IADCn</w:t>
      </w:r>
    </w:p>
    <w:p>
      <w:pPr>
        <w:spacing w:before="58"/>
        <w:ind w:left="2765" w:right="2639" w:firstLine="0"/>
        <w:jc w:val="center"/>
        <w:rPr>
          <w:sz w:val="8"/>
        </w:rPr>
      </w:pPr>
      <w:r>
        <w:rPr>
          <w:w w:val="110"/>
          <w:sz w:val="8"/>
        </w:rPr>
        <w:t>(n = 0, 2, 4 or 6)</w:t>
      </w:r>
    </w:p>
    <w:p>
      <w:pPr>
        <w:spacing w:after="0"/>
        <w:jc w:val="center"/>
        <w:rPr>
          <w:sz w:val="8"/>
        </w:rPr>
        <w:sectPr>
          <w:type w:val="continuous"/>
          <w:pgSz w:w="12240" w:h="15840"/>
          <w:pgMar w:top="940" w:bottom="280" w:left="1200" w:right="1060"/>
          <w:cols w:num="3" w:equalWidth="0">
            <w:col w:w="2926" w:space="40"/>
            <w:col w:w="688" w:space="252"/>
            <w:col w:w="6074"/>
          </w:cols>
        </w:sectPr>
      </w:pPr>
    </w:p>
    <w:p>
      <w:pPr>
        <w:pStyle w:val="BodyText"/>
        <w:spacing w:before="4"/>
        <w:rPr>
          <w:sz w:val="23"/>
        </w:rPr>
      </w:pPr>
    </w:p>
    <w:p>
      <w:pPr>
        <w:tabs>
          <w:tab w:pos="3816" w:val="left" w:leader="none"/>
        </w:tabs>
        <w:spacing w:before="0"/>
        <w:ind w:left="2557" w:right="0" w:firstLine="0"/>
        <w:jc w:val="left"/>
        <w:rPr>
          <w:sz w:val="5"/>
        </w:rPr>
      </w:pPr>
      <w:r>
        <w:rPr>
          <w:b/>
          <w:w w:val="110"/>
          <w:position w:val="-2"/>
          <w:sz w:val="14"/>
        </w:rPr>
        <w:t>CT</w:t>
        <w:tab/>
      </w:r>
      <w:r>
        <w:rPr>
          <w:spacing w:val="-3"/>
          <w:w w:val="110"/>
          <w:position w:val="1"/>
          <w:sz w:val="8"/>
        </w:rPr>
        <w:t>R</w:t>
      </w:r>
      <w:r>
        <w:rPr>
          <w:spacing w:val="-3"/>
          <w:w w:val="110"/>
          <w:sz w:val="5"/>
        </w:rPr>
        <w:t>BURDEN</w:t>
      </w:r>
    </w:p>
    <w:p>
      <w:pPr>
        <w:pStyle w:val="BodyText"/>
        <w:rPr>
          <w:sz w:val="10"/>
        </w:rPr>
      </w:pPr>
      <w:r>
        <w:rPr/>
        <w:br w:type="column"/>
      </w:r>
      <w:r>
        <w:rPr>
          <w:sz w:val="10"/>
        </w:rPr>
      </w:r>
    </w:p>
    <w:p>
      <w:pPr>
        <w:pStyle w:val="BodyText"/>
        <w:spacing w:before="8"/>
        <w:rPr>
          <w:sz w:val="14"/>
        </w:rPr>
      </w:pPr>
    </w:p>
    <w:p>
      <w:pPr>
        <w:spacing w:before="1"/>
        <w:ind w:left="321" w:right="0" w:firstLine="0"/>
        <w:jc w:val="left"/>
        <w:rPr>
          <w:sz w:val="5"/>
        </w:rPr>
      </w:pPr>
      <w:r>
        <w:rPr>
          <w:w w:val="110"/>
          <w:position w:val="1"/>
          <w:sz w:val="8"/>
        </w:rPr>
        <w:t>V</w:t>
      </w:r>
      <w:r>
        <w:rPr>
          <w:w w:val="110"/>
          <w:sz w:val="5"/>
        </w:rPr>
        <w:t>OUT</w:t>
      </w:r>
    </w:p>
    <w:p>
      <w:pPr>
        <w:pStyle w:val="BodyText"/>
        <w:spacing w:before="11"/>
        <w:rPr>
          <w:sz w:val="13"/>
        </w:rPr>
      </w:pPr>
      <w:r>
        <w:rPr/>
        <w:br w:type="column"/>
      </w:r>
      <w:r>
        <w:rPr>
          <w:sz w:val="13"/>
        </w:rPr>
      </w:r>
    </w:p>
    <w:p>
      <w:pPr>
        <w:spacing w:before="0"/>
        <w:ind w:left="477" w:right="0" w:firstLine="0"/>
        <w:jc w:val="left"/>
        <w:rPr>
          <w:sz w:val="8"/>
        </w:rPr>
      </w:pPr>
      <w:r>
        <w:rPr>
          <w:w w:val="110"/>
          <w:sz w:val="8"/>
        </w:rPr>
        <w:t>V3P3A</w:t>
      </w:r>
    </w:p>
    <w:p>
      <w:pPr>
        <w:spacing w:after="0"/>
        <w:jc w:val="left"/>
        <w:rPr>
          <w:sz w:val="8"/>
        </w:rPr>
        <w:sectPr>
          <w:type w:val="continuous"/>
          <w:pgSz w:w="12240" w:h="15840"/>
          <w:pgMar w:top="940" w:bottom="280" w:left="1200" w:right="1060"/>
          <w:cols w:num="3" w:equalWidth="0">
            <w:col w:w="4115" w:space="40"/>
            <w:col w:w="498" w:space="39"/>
            <w:col w:w="5288"/>
          </w:cols>
        </w:sectPr>
      </w:pPr>
    </w:p>
    <w:p>
      <w:pPr>
        <w:pStyle w:val="BodyText"/>
      </w:pPr>
    </w:p>
    <w:p>
      <w:pPr>
        <w:spacing w:after="0"/>
        <w:sectPr>
          <w:type w:val="continuous"/>
          <w:pgSz w:w="12240" w:h="15840"/>
          <w:pgMar w:top="940" w:bottom="280" w:left="1200" w:right="1060"/>
        </w:sectPr>
      </w:pPr>
    </w:p>
    <w:p>
      <w:pPr>
        <w:pStyle w:val="BodyText"/>
        <w:rPr>
          <w:sz w:val="16"/>
        </w:rPr>
      </w:pPr>
    </w:p>
    <w:p>
      <w:pPr>
        <w:pStyle w:val="BodyText"/>
        <w:rPr>
          <w:sz w:val="16"/>
        </w:rPr>
      </w:pPr>
    </w:p>
    <w:p>
      <w:pPr>
        <w:pStyle w:val="BodyText"/>
        <w:spacing w:before="4"/>
        <w:rPr>
          <w:sz w:val="15"/>
        </w:rPr>
      </w:pPr>
    </w:p>
    <w:p>
      <w:pPr>
        <w:spacing w:before="0"/>
        <w:ind w:left="0" w:right="0" w:firstLine="0"/>
        <w:jc w:val="right"/>
        <w:rPr>
          <w:b/>
          <w:sz w:val="14"/>
        </w:rPr>
      </w:pPr>
      <w:r>
        <w:rPr>
          <w:b/>
          <w:sz w:val="14"/>
        </w:rPr>
        <w:t>1:N</w:t>
      </w:r>
    </w:p>
    <w:p>
      <w:pPr>
        <w:pStyle w:val="BodyText"/>
        <w:rPr>
          <w:b/>
          <w:sz w:val="16"/>
        </w:rPr>
      </w:pPr>
      <w:r>
        <w:rPr/>
        <w:br w:type="column"/>
      </w:r>
      <w:r>
        <w:rPr>
          <w:b/>
          <w:sz w:val="16"/>
        </w:rPr>
      </w:r>
    </w:p>
    <w:p>
      <w:pPr>
        <w:pStyle w:val="BodyText"/>
        <w:spacing w:before="5"/>
        <w:rPr>
          <w:b/>
        </w:rPr>
      </w:pPr>
    </w:p>
    <w:p>
      <w:pPr>
        <w:spacing w:before="0"/>
        <w:ind w:left="1629" w:right="0" w:firstLine="0"/>
        <w:jc w:val="left"/>
        <w:rPr>
          <w:sz w:val="14"/>
        </w:rPr>
      </w:pPr>
      <w:r>
        <w:rPr>
          <w:w w:val="105"/>
          <w:sz w:val="14"/>
        </w:rPr>
        <w:t>Bias</w:t>
      </w:r>
      <w:r>
        <w:rPr>
          <w:spacing w:val="-14"/>
          <w:w w:val="105"/>
          <w:sz w:val="14"/>
        </w:rPr>
        <w:t> </w:t>
      </w:r>
      <w:r>
        <w:rPr>
          <w:w w:val="105"/>
          <w:sz w:val="14"/>
        </w:rPr>
        <w:t>Network</w:t>
      </w:r>
      <w:r>
        <w:rPr>
          <w:spacing w:val="-14"/>
          <w:w w:val="105"/>
          <w:sz w:val="14"/>
        </w:rPr>
        <w:t> </w:t>
      </w:r>
      <w:r>
        <w:rPr>
          <w:w w:val="105"/>
          <w:sz w:val="14"/>
        </w:rPr>
        <w:t>and</w:t>
      </w:r>
      <w:r>
        <w:rPr>
          <w:spacing w:val="-14"/>
          <w:w w:val="105"/>
          <w:sz w:val="14"/>
        </w:rPr>
        <w:t> </w:t>
      </w:r>
      <w:r>
        <w:rPr>
          <w:w w:val="105"/>
          <w:sz w:val="14"/>
        </w:rPr>
        <w:t>Noise</w:t>
      </w:r>
      <w:r>
        <w:rPr>
          <w:spacing w:val="-14"/>
          <w:w w:val="105"/>
          <w:sz w:val="14"/>
        </w:rPr>
        <w:t> </w:t>
      </w:r>
      <w:r>
        <w:rPr>
          <w:w w:val="105"/>
          <w:sz w:val="14"/>
        </w:rPr>
        <w:t>Filter</w:t>
      </w:r>
    </w:p>
    <w:p>
      <w:pPr>
        <w:pStyle w:val="BodyText"/>
        <w:rPr>
          <w:sz w:val="10"/>
        </w:rPr>
      </w:pPr>
      <w:r>
        <w:rPr/>
        <w:br w:type="column"/>
      </w:r>
      <w:r>
        <w:rPr>
          <w:sz w:val="10"/>
        </w:rPr>
      </w:r>
    </w:p>
    <w:p>
      <w:pPr>
        <w:pStyle w:val="BodyText"/>
        <w:spacing w:before="1"/>
        <w:rPr>
          <w:sz w:val="10"/>
        </w:rPr>
      </w:pPr>
    </w:p>
    <w:p>
      <w:pPr>
        <w:spacing w:before="0"/>
        <w:ind w:left="250" w:right="0" w:firstLine="0"/>
        <w:jc w:val="left"/>
        <w:rPr>
          <w:sz w:val="8"/>
        </w:rPr>
      </w:pPr>
      <w:r>
        <w:rPr>
          <w:w w:val="110"/>
          <w:sz w:val="8"/>
        </w:rPr>
        <w:t>IADCn+1</w:t>
      </w:r>
    </w:p>
    <w:p>
      <w:pPr>
        <w:spacing w:after="0"/>
        <w:jc w:val="left"/>
        <w:rPr>
          <w:sz w:val="8"/>
        </w:rPr>
        <w:sectPr>
          <w:type w:val="continuous"/>
          <w:pgSz w:w="12240" w:h="15840"/>
          <w:pgMar w:top="940" w:bottom="280" w:left="1200" w:right="1060"/>
          <w:cols w:num="3" w:equalWidth="0">
            <w:col w:w="3072" w:space="40"/>
            <w:col w:w="3520" w:space="39"/>
            <w:col w:w="3309"/>
          </w:cols>
        </w:sectPr>
      </w:pPr>
    </w:p>
    <w:p>
      <w:pPr>
        <w:pStyle w:val="BodyText"/>
        <w:spacing w:before="8"/>
        <w:rPr>
          <w:sz w:val="8"/>
        </w:rPr>
      </w:pPr>
    </w:p>
    <w:p>
      <w:pPr>
        <w:spacing w:before="93"/>
        <w:ind w:left="62" w:right="204" w:firstLine="0"/>
        <w:jc w:val="center"/>
        <w:rPr>
          <w:b/>
          <w:sz w:val="20"/>
        </w:rPr>
      </w:pPr>
      <w:bookmarkStart w:name="_bookmark176" w:id="357"/>
      <w:bookmarkEnd w:id="357"/>
      <w:r>
        <w:rPr/>
      </w:r>
      <w:r>
        <w:rPr>
          <w:b/>
          <w:sz w:val="20"/>
        </w:rPr>
        <w:t>Figure 29: CT with Differential Input Connection (Current Sensing)</w:t>
      </w:r>
    </w:p>
    <w:p>
      <w:pPr>
        <w:pStyle w:val="BodyText"/>
        <w:rPr>
          <w:b/>
        </w:rPr>
      </w:pPr>
    </w:p>
    <w:p>
      <w:pPr>
        <w:pStyle w:val="BodyText"/>
        <w:spacing w:before="6"/>
        <w:rPr>
          <w:b/>
          <w:sz w:val="12"/>
        </w:rPr>
      </w:pPr>
      <w:r>
        <w:rPr/>
        <w:pict>
          <v:group style="position:absolute;margin-left:219.156677pt;margin-top:9.199849pt;width:193.05pt;height:92.85pt;mso-position-horizontal-relative:page;mso-position-vertical-relative:paragraph;z-index:-15623680;mso-wrap-distance-left:0;mso-wrap-distance-right:0" coordorigin="4383,184" coordsize="3861,1857">
            <v:rect style="position:absolute;left:5446;top:189;width:2115;height:1846" filled="true" fillcolor="#e8eef7" stroked="false">
              <v:fill type="solid"/>
            </v:rect>
            <v:rect style="position:absolute;left:5446;top:189;width:2115;height:1846" filled="false" stroked="true" strokeweight=".558055pt" strokecolor="#000000">
              <v:stroke dashstyle="dot"/>
            </v:rect>
            <v:shape style="position:absolute;left:5657;top:1241;width:112;height:280" coordorigin="5658,1241" coordsize="112,280" path="m5713,1241l5769,1265,5658,1311,5769,1358,5658,1405,5769,1451,5658,1498,5713,1521e" filled="false" stroked="true" strokeweight=".928192pt" strokecolor="#000000">
              <v:path arrowok="t"/>
              <v:stroke dashstyle="solid"/>
            </v:shape>
            <v:shape style="position:absolute;left:5657;top:626;width:112;height:280" coordorigin="5658,626" coordsize="112,280" path="m5713,626l5769,650,5658,696,5769,743,5658,789,5769,836,5658,883,5713,906e" filled="false" stroked="true" strokeweight=".928192pt" strokecolor="#000000">
              <v:path arrowok="t"/>
              <v:stroke dashstyle="solid"/>
            </v:shape>
            <v:shape style="position:absolute;left:5815;top:393;width:297;height:131" type="#_x0000_t75" stroked="false">
              <v:imagedata r:id="rId172" o:title=""/>
            </v:shape>
            <v:shape style="position:absolute;left:5815;top:1623;width:297;height:131" type="#_x0000_t75" stroked="false">
              <v:imagedata r:id="rId172" o:title=""/>
            </v:shape>
            <v:shape style="position:absolute;left:6767;top:1129;width:119;height:211" type="#_x0000_t75" stroked="false">
              <v:imagedata r:id="rId173" o:title=""/>
            </v:shape>
            <v:shape style="position:absolute;left:6581;top:985;width:44;height:177" coordorigin="6582,986" coordsize="44,177" path="m6582,1162l6582,986m6626,1162l6626,986e" filled="false" stroked="true" strokeweight=".929793pt" strokecolor="#000000">
              <v:path arrowok="t"/>
              <v:stroke dashstyle="solid"/>
            </v:shape>
            <v:shape style="position:absolute;left:6384;top:1073;width:439;height:2" coordorigin="6385,1074" coordsize="439,0" path="m6385,1074l6582,1074m6626,1074l6823,1074e" filled="false" stroked="true" strokeweight=".929793pt" strokecolor="#000000">
              <v:path arrowok="t"/>
              <v:stroke dashstyle="solid"/>
            </v:shape>
            <v:line style="position:absolute" from="5713,906" to="5713,1242" stroked="true" strokeweight=".927589pt" strokecolor="#000000">
              <v:stroke dashstyle="solid"/>
            </v:line>
            <v:line style="position:absolute" from="5713,1521" to="5713,1671" stroked="true" strokeweight=".927589pt" strokecolor="#000000">
              <v:stroke dashstyle="solid"/>
            </v:line>
            <v:line style="position:absolute" from="5713,626" to="5713,459" stroked="true" strokeweight=".927589pt" strokecolor="#000000">
              <v:stroke dashstyle="solid"/>
            </v:line>
            <v:shape style="position:absolute;left:6236;top:768;width:176;height:45" coordorigin="6236,769" coordsize="176,45" path="m6412,813l6236,813m6412,769l6236,769e" filled="false" stroked="true" strokeweight=".929793pt" strokecolor="#000000">
              <v:path arrowok="t"/>
              <v:stroke dashstyle="solid"/>
            </v:shape>
            <v:shape style="position:absolute;left:6324;top:570;width:2;height:441" coordorigin="6324,570" coordsize="0,441" path="m6324,1011l6324,813m6324,769l6324,570e" filled="false" stroked="true" strokeweight=".929793pt" strokecolor="#000000">
              <v:path arrowok="t"/>
              <v:stroke dashstyle="solid"/>
            </v:shape>
            <v:shape style="position:absolute;left:6236;top:1331;width:176;height:45" coordorigin="6236,1331" coordsize="176,45" path="m6412,1375l6236,1375m6412,1331l6236,1331e" filled="false" stroked="true" strokeweight=".929793pt" strokecolor="#000000">
              <v:path arrowok="t"/>
              <v:stroke dashstyle="solid"/>
            </v:shape>
            <v:shape style="position:absolute;left:6324;top:1133;width:2;height:441" coordorigin="6324,1133" coordsize="0,441" path="m6324,1574l6324,1375m6324,1331l6324,1133e" filled="false" stroked="true" strokeweight=".929793pt" strokecolor="#000000">
              <v:path arrowok="t"/>
              <v:stroke dashstyle="solid"/>
            </v:shape>
            <v:shape style="position:absolute;left:4746;top:882;width:164;height:383" type="#_x0000_t75" stroked="false">
              <v:imagedata r:id="rId174" o:title=""/>
            </v:shape>
            <v:shape style="position:absolute;left:5051;top:413;width:279;height:35" coordorigin="5051,414" coordsize="279,35" path="m5051,449l5053,436,5060,425,5071,417,5084,414,5098,416,5109,423,5117,433,5121,446,5121,447,5121,448,5121,449,5123,436,5130,425,5141,417,5154,414,5168,416,5179,423,5187,433,5190,446,5190,447,5190,448,5190,449,5192,436,5199,425,5210,417,5224,414,5237,416,5249,423,5256,433,5260,446,5260,447,5260,448,5260,449,5262,436,5269,425,5280,417,5293,414,5307,416,5318,423,5326,433,5329,446,5329,447,5329,448,5329,449e" filled="false" stroked="true" strokeweight=".931929pt" strokecolor="#000000">
              <v:path arrowok="t"/>
              <v:stroke dashstyle="solid"/>
            </v:shape>
            <v:shape style="position:absolute;left:5041;top:454;width:297;height:2" coordorigin="5042,454" coordsize="297,0" path="m5042,454l5060,454m5320,454l5339,454e" filled="false" stroked="true" strokeweight=".524249pt" strokecolor="#000000">
              <v:path arrowok="t"/>
              <v:stroke dashstyle="solid"/>
            </v:shape>
            <v:line style="position:absolute" from="5051,459" to="4828,459" stroked="true" strokeweight=".931998pt" strokecolor="#000000">
              <v:stroke dashstyle="solid"/>
            </v:line>
            <v:line style="position:absolute" from="4828,892" to="4828,459" stroked="true" strokeweight=".927589pt" strokecolor="#000000">
              <v:stroke dashstyle="solid"/>
            </v:line>
            <v:shape style="position:absolute;left:5051;top:1642;width:279;height:35" coordorigin="5051,1643" coordsize="279,35" path="m5051,1678l5053,1665,5060,1654,5071,1646,5084,1643,5098,1645,5109,1652,5117,1662,5121,1675,5121,1676,5121,1677,5121,1678,5123,1665,5130,1654,5141,1646,5154,1643,5168,1645,5179,1652,5187,1662,5190,1675,5190,1676,5190,1677,5190,1678,5192,1665,5199,1654,5210,1646,5224,1643,5237,1645,5249,1652,5256,1662,5260,1675,5260,1676,5260,1677,5260,1678,5262,1665,5269,1654,5280,1646,5293,1643,5307,1645,5318,1652,5326,1662,5329,1675,5329,1676,5329,1677,5329,1678e" filled="false" stroked="true" strokeweight=".931929pt" strokecolor="#000000">
              <v:path arrowok="t"/>
              <v:stroke dashstyle="solid"/>
            </v:shape>
            <v:shape style="position:absolute;left:5041;top:1682;width:297;height:2" coordorigin="5042,1683" coordsize="297,0" path="m5042,1683l5060,1683m5320,1683l5339,1683e" filled="false" stroked="true" strokeweight=".524249pt" strokecolor="#000000">
              <v:path arrowok="t"/>
              <v:stroke dashstyle="solid"/>
            </v:shape>
            <v:shape style="position:absolute;left:4828;top:1255;width:223;height:433" coordorigin="4828,1255" coordsize="223,433" path="m4828,1255l4828,1688,5051,1688e" filled="false" stroked="true" strokeweight=".928512pt" strokecolor="#000000">
              <v:path arrowok="t"/>
              <v:stroke dashstyle="solid"/>
            </v:shape>
            <v:line style="position:absolute" from="5329,459" to="5825,459" stroked="true" strokeweight=".931998pt" strokecolor="#000000">
              <v:stroke dashstyle="solid"/>
            </v:line>
            <v:line style="position:absolute" from="5329,1688" to="5825,1689" stroked="true" strokeweight=".931998pt" strokecolor="#000000">
              <v:stroke dashstyle="solid"/>
            </v:line>
            <v:line style="position:absolute" from="6324,1011" to="6324,1133" stroked="true" strokeweight=".927589pt" strokecolor="#000000">
              <v:stroke dashstyle="solid"/>
            </v:line>
            <v:shape style="position:absolute;left:6102;top:1573;width:222;height:116" coordorigin="6103,1574" coordsize="222,116" path="m6103,1689l6324,1689,6324,1574e" filled="false" stroked="true" strokeweight=".931055pt" strokecolor="#000000">
              <v:path arrowok="t"/>
              <v:stroke dashstyle="solid"/>
            </v:shape>
            <v:line style="position:absolute" from="6385,1074" to="5713,1072" stroked="true" strokeweight=".931998pt" strokecolor="#000000">
              <v:stroke dashstyle="solid"/>
            </v:line>
            <v:shape style="position:absolute;left:6822;top:1073;width:4;height:56" coordorigin="6823,1074" coordsize="4,56" path="m6823,1074l6826,1074,6826,1130e" filled="false" stroked="true" strokeweight=".927606pt" strokecolor="#000000">
              <v:path arrowok="t"/>
              <v:stroke dashstyle="solid"/>
            </v:shape>
            <v:line style="position:absolute" from="4606,459" to="4828,459" stroked="true" strokeweight=".931998pt" strokecolor="#000000">
              <v:stroke dashstyle="solid"/>
            </v:line>
            <v:shape style="position:absolute;left:7072;top:1048;width:176;height:45" coordorigin="7073,1048" coordsize="176,45" path="m7248,1092l7073,1092m7248,1048l7073,1048e" filled="false" stroked="true" strokeweight=".929793pt" strokecolor="#000000">
              <v:path arrowok="t"/>
              <v:stroke dashstyle="solid"/>
            </v:shape>
            <v:shape style="position:absolute;left:7160;top:850;width:2;height:441" coordorigin="7160,850" coordsize="0,441" path="m7160,1290l7160,1092m7160,1048l7160,850e" filled="false" stroked="true" strokeweight=".929793pt" strokecolor="#000000">
              <v:path arrowok="t"/>
              <v:stroke dashstyle="solid"/>
            </v:shape>
            <v:shape style="position:absolute;left:6325;top:458;width:835;height:392" coordorigin="6326,459" coordsize="835,392" path="m7160,850l7160,459,6326,459e" filled="false" stroked="true" strokeweight=".931203pt" strokecolor="#000000">
              <v:path arrowok="t"/>
              <v:stroke dashstyle="solid"/>
            </v:shape>
            <v:shape style="position:absolute;left:6325;top:1290;width:835;height:399" coordorigin="6326,1290" coordsize="835,399" path="m7160,1290l7160,1689,6326,1689e" filled="false" stroked="true" strokeweight=".93118pt" strokecolor="#000000">
              <v:path arrowok="t"/>
              <v:stroke dashstyle="solid"/>
            </v:shape>
            <v:line style="position:absolute" from="7706,459" to="7160,459" stroked="true" strokeweight=".931998pt" strokecolor="#000000">
              <v:stroke dashstyle="solid"/>
            </v:line>
            <v:line style="position:absolute" from="7706,1689" to="7160,1689" stroked="true" strokeweight=".931998pt" strokecolor="#000000">
              <v:stroke dashstyle="solid"/>
            </v:line>
            <v:shape style="position:absolute;left:6303;top:1051;width:42;height:42" coordorigin="6303,1051" coordsize="42,42" path="m6336,1093l6313,1093,6303,1084,6303,1072,6303,1061,6313,1051,6336,1051,6345,1061,6345,1084,6336,1093xe" filled="true" fillcolor="#000000" stroked="false">
              <v:path arrowok="t"/>
              <v:fill type="solid"/>
            </v:shape>
            <v:shape style="position:absolute;left:6303;top:1051;width:42;height:42" coordorigin="6303,1051" coordsize="42,42" path="m6303,1072l6303,1061,6313,1051,6324,1051,6336,1051,6345,1061,6345,1072,6345,1084,6336,1093,6324,1093,6313,1093,6303,1084,6303,1072xe" filled="false" stroked="true" strokeweight=".929783pt" strokecolor="#000000">
              <v:path arrowok="t"/>
              <v:stroke dashstyle="solid"/>
            </v:shape>
            <v:shape style="position:absolute;left:5692;top:1051;width:42;height:42" coordorigin="5692,1051" coordsize="42,42" path="m5725,1093l5702,1093,5692,1084,5692,1072,5692,1061,5702,1051,5725,1051,5734,1061,5734,1084,5725,1093xe" filled="true" fillcolor="#000000" stroked="false">
              <v:path arrowok="t"/>
              <v:fill type="solid"/>
            </v:shape>
            <v:shape style="position:absolute;left:5692;top:1051;width:42;height:42" coordorigin="5692,1051" coordsize="42,42" path="m5692,1072l5692,1061,5702,1051,5713,1051,5725,1051,5734,1061,5734,1072,5734,1084,5725,1093,5713,1093,5702,1093,5692,1084,5692,1072xe" filled="false" stroked="true" strokeweight=".929783pt" strokecolor="#000000">
              <v:path arrowok="t"/>
              <v:stroke dashstyle="solid"/>
            </v:shape>
            <v:shape style="position:absolute;left:6093;top:426;width:263;height:153" type="#_x0000_t75" stroked="false">
              <v:imagedata r:id="rId175" o:title=""/>
            </v:shape>
            <v:shape style="position:absolute;left:5692;top:437;width:42;height:42" coordorigin="5692,438" coordsize="42,42" path="m5725,480l5702,480,5692,470,5692,459,5692,447,5702,438,5725,438,5734,447,5734,470,5725,480xe" filled="true" fillcolor="#000000" stroked="false">
              <v:path arrowok="t"/>
              <v:fill type="solid"/>
            </v:shape>
            <v:shape style="position:absolute;left:5692;top:437;width:42;height:42" coordorigin="5692,438" coordsize="42,42" path="m5692,459l5692,447,5702,438,5713,438,5725,438,5734,447,5734,459,5734,470,5725,480,5713,480,5702,480,5692,470,5692,459xe" filled="false" stroked="true" strokeweight=".929783pt" strokecolor="#000000">
              <v:path arrowok="t"/>
              <v:stroke dashstyle="solid"/>
            </v:shape>
            <v:shape style="position:absolute;left:6304;top:1667;width:42;height:42" coordorigin="6305,1668" coordsize="42,42" path="m6337,1710l6314,1710,6305,1700,6305,1689,6305,1677,6314,1668,6337,1668,6346,1677,6346,1700,6337,1710xe" filled="true" fillcolor="#000000" stroked="false">
              <v:path arrowok="t"/>
              <v:fill type="solid"/>
            </v:shape>
            <v:shape style="position:absolute;left:6304;top:1667;width:42;height:42" coordorigin="6305,1668" coordsize="42,42" path="m6305,1689l6305,1677,6314,1668,6325,1668,6337,1668,6346,1677,6346,1689,6346,1700,6337,1710,6325,1710,6314,1710,6305,1700,6305,1689xe" filled="false" stroked="true" strokeweight=".929783pt" strokecolor="#000000">
              <v:path arrowok="t"/>
              <v:stroke dashstyle="solid"/>
            </v:shape>
            <v:shape style="position:absolute;left:7139;top:437;width:42;height:42" coordorigin="7140,438" coordsize="42,42" path="m7172,480l7149,480,7140,470,7140,459,7140,447,7149,438,7172,438,7181,447,7181,470,7172,480xe" filled="true" fillcolor="#000000" stroked="false">
              <v:path arrowok="t"/>
              <v:fill type="solid"/>
            </v:shape>
            <v:shape style="position:absolute;left:7139;top:437;width:42;height:42" coordorigin="7140,438" coordsize="42,42" path="m7140,459l7140,447,7149,438,7160,438,7172,438,7181,447,7181,459,7181,470,7172,480,7160,480,7149,480,7140,470,7140,459xe" filled="false" stroked="true" strokeweight=".929783pt" strokecolor="#000000">
              <v:path arrowok="t"/>
              <v:stroke dashstyle="solid"/>
            </v:shape>
            <v:shape style="position:absolute;left:7139;top:1667;width:42;height:42" coordorigin="7140,1668" coordsize="42,42" path="m7172,1710l7149,1710,7140,1700,7140,1689,7140,1677,7149,1668,7172,1668,7181,1677,7181,1700,7172,1710xe" filled="true" fillcolor="#000000" stroked="false">
              <v:path arrowok="t"/>
              <v:fill type="solid"/>
            </v:shape>
            <v:shape style="position:absolute;left:7139;top:1667;width:42;height:42" coordorigin="7140,1668" coordsize="42,42" path="m7140,1689l7140,1677,7149,1668,7160,1668,7172,1668,7181,1677,7181,1689,7181,1700,7172,1710,7160,1710,7149,1710,7140,1700,7140,1689xe" filled="false" stroked="true" strokeweight=".929783pt" strokecolor="#000000">
              <v:path arrowok="t"/>
              <v:stroke dashstyle="solid"/>
            </v:shape>
            <v:shape style="position:absolute;left:4807;top:437;width:42;height:42" coordorigin="4808,438" coordsize="42,42" path="m4840,480l4817,480,4808,470,4808,459,4808,447,4817,438,4840,438,4849,447,4849,470,4840,480xe" filled="true" fillcolor="#000000" stroked="false">
              <v:path arrowok="t"/>
              <v:fill type="solid"/>
            </v:shape>
            <v:shape style="position:absolute;left:4807;top:437;width:42;height:42" coordorigin="4808,438" coordsize="42,42" path="m4808,459l4808,447,4817,438,4828,438,4840,438,4849,447,4849,459,4849,470,4840,480,4828,480,4817,480,4808,470,4808,459xe" filled="false" stroked="true" strokeweight=".929783pt" strokecolor="#000000">
              <v:path arrowok="t"/>
              <v:stroke dashstyle="solid"/>
            </v:shape>
            <v:shape style="position:absolute;left:4807;top:1667;width:42;height:42" coordorigin="4808,1668" coordsize="42,42" path="m4840,1710l4817,1710,4808,1700,4808,1689,4808,1677,4817,1668,4840,1668,4849,1677,4849,1700,4840,1710xe" filled="true" fillcolor="#000000" stroked="false">
              <v:path arrowok="t"/>
              <v:fill type="solid"/>
            </v:shape>
            <v:shape style="position:absolute;left:4807;top:1667;width:42;height:42" coordorigin="4808,1668" coordsize="42,42" path="m4808,1689l4808,1677,4817,1668,4828,1668,4840,1668,4849,1677,4849,1689,4849,1700,4840,1710,4828,1710,4817,1710,4808,1700,4808,1689xe" filled="false" stroked="true" strokeweight=".929783pt" strokecolor="#000000">
              <v:path arrowok="t"/>
              <v:stroke dashstyle="solid"/>
            </v:shape>
            <v:line style="position:absolute" from="4383,459" to="4448,459" stroked="true" strokeweight=".931998pt" strokecolor="#000000">
              <v:stroke dashstyle="solid"/>
            </v:line>
            <v:shape style="position:absolute;left:4433;top:400;width:173;height:116" coordorigin="4433,401" coordsize="173,116" path="m4433,516l4433,401,4606,459,4433,516xe" filled="true" fillcolor="#000000" stroked="false">
              <v:path arrowok="t"/>
              <v:fill type="solid"/>
            </v:shape>
            <v:line style="position:absolute" from="4828,1689" to="4653,1689" stroked="true" strokeweight=".931998pt" strokecolor="#000000">
              <v:stroke dashstyle="solid"/>
            </v:line>
            <v:shape style="position:absolute;left:4494;top:1631;width:173;height:116" coordorigin="4494,1631" coordsize="173,116" path="m4667,1747l4494,1689,4667,1631,4667,1747xe" filled="true" fillcolor="#000000" stroked="false">
              <v:path arrowok="t"/>
              <v:fill type="solid"/>
            </v:shape>
            <v:line style="position:absolute" from="4383,1689" to="4494,1689" stroked="true" strokeweight=".931998pt" strokecolor="#000000">
              <v:stroke dashstyle="solid"/>
            </v:line>
            <v:line style="position:absolute" from="4973,497" to="4973,1487" stroked="true" strokeweight=".927589pt" strokecolor="#000000">
              <v:stroke dashstyle="solid"/>
            </v:line>
            <v:shape style="position:absolute;left:4926;top:1475;width:93;height:140" coordorigin="4927,1476" coordsize="93,140" path="m4973,1616l4927,1476,5019,1476,4973,1616xe" filled="true" fillcolor="#000000" stroked="false">
              <v:path arrowok="t"/>
              <v:fill type="solid"/>
            </v:shape>
            <v:line style="position:absolute" from="5969,1077" to="5969,945" stroked="true" strokeweight=".927589pt" strokecolor="#000000">
              <v:stroke dashstyle="solid"/>
            </v:line>
            <v:shape style="position:absolute;left:5948;top:1056;width:42;height:42" coordorigin="5949,1056" coordsize="42,42" path="m5981,1098l5958,1098,5949,1089,5949,1077,5949,1066,5958,1056,5981,1056,5990,1066,5990,1089,5981,1098xe" filled="true" fillcolor="#000000" stroked="false">
              <v:path arrowok="t"/>
              <v:fill type="solid"/>
            </v:shape>
            <v:shape style="position:absolute;left:5948;top:1056;width:42;height:42" coordorigin="5949,1056" coordsize="42,42" path="m5949,1077l5949,1066,5958,1056,5969,1056,5981,1056,5990,1066,5990,1077,5990,1089,5981,1098,5969,1098,5958,1098,5949,1089,5949,1077xe" filled="false" stroked="true" strokeweight=".929783pt" strokecolor="#000000">
              <v:path arrowok="t"/>
              <v:stroke dashstyle="solid"/>
            </v:shape>
            <v:shape style="position:absolute;left:5692;top:1671;width:42;height:42" coordorigin="5692,1671" coordsize="42,42" path="m5725,1713l5702,1713,5692,1704,5692,1692,5692,1681,5702,1671,5725,1671,5734,1681,5734,1704,5725,1713xe" filled="true" fillcolor="#000000" stroked="false">
              <v:path arrowok="t"/>
              <v:fill type="solid"/>
            </v:shape>
            <v:shape style="position:absolute;left:5692;top:1671;width:42;height:42" coordorigin="5692,1671" coordsize="42,42" path="m5692,1692l5692,1681,5702,1671,5713,1671,5725,1671,5734,1681,5734,1692,5734,1704,5725,1713,5713,1713,5702,1713,5692,1704,5692,1692xe" filled="false" stroked="true" strokeweight=".929783pt" strokecolor="#000000">
              <v:path arrowok="t"/>
              <v:stroke dashstyle="solid"/>
            </v:shape>
            <v:shape style="position:absolute;left:7710;top:404;width:102;height:103" type="#_x0000_t75" stroked="false">
              <v:imagedata r:id="rId176" o:title=""/>
            </v:shape>
            <v:shape style="position:absolute;left:7710;top:1637;width:102;height:103" type="#_x0000_t75" stroked="false">
              <v:imagedata r:id="rId177" o:title=""/>
            </v:shape>
            <v:shape style="position:absolute;left:4434;top:288;width:107;height:111" type="#_x0000_t202" filled="false" stroked="false">
              <v:textbox inset="0,0,0,0">
                <w:txbxContent>
                  <w:p>
                    <w:pPr>
                      <w:spacing w:before="3"/>
                      <w:ind w:left="0" w:right="0" w:firstLine="0"/>
                      <w:jc w:val="left"/>
                      <w:rPr>
                        <w:sz w:val="6"/>
                      </w:rPr>
                    </w:pPr>
                    <w:r>
                      <w:rPr>
                        <w:position w:val="1"/>
                        <w:sz w:val="9"/>
                      </w:rPr>
                      <w:t>I</w:t>
                    </w:r>
                    <w:r>
                      <w:rPr>
                        <w:sz w:val="6"/>
                      </w:rPr>
                      <w:t>IN</w:t>
                    </w:r>
                  </w:p>
                </w:txbxContent>
              </v:textbox>
              <w10:wrap type="none"/>
            </v:shape>
            <v:shape style="position:absolute;left:7626;top:416;width:580;height:257" type="#_x0000_t202" filled="false" stroked="false">
              <v:textbox inset="0,0,0,0">
                <w:txbxContent>
                  <w:p>
                    <w:pPr>
                      <w:spacing w:before="0"/>
                      <w:ind w:left="237" w:right="0" w:firstLine="0"/>
                      <w:jc w:val="left"/>
                      <w:rPr>
                        <w:sz w:val="9"/>
                      </w:rPr>
                    </w:pPr>
                    <w:r>
                      <w:rPr>
                        <w:w w:val="105"/>
                        <w:sz w:val="9"/>
                      </w:rPr>
                      <w:t>IADCn</w:t>
                    </w:r>
                  </w:p>
                  <w:p>
                    <w:pPr>
                      <w:spacing w:before="48"/>
                      <w:ind w:left="0" w:right="0" w:firstLine="0"/>
                      <w:jc w:val="left"/>
                      <w:rPr>
                        <w:sz w:val="9"/>
                      </w:rPr>
                    </w:pPr>
                    <w:r>
                      <w:rPr>
                        <w:w w:val="105"/>
                        <w:sz w:val="9"/>
                      </w:rPr>
                      <w:t>(n = 2, 4 or</w:t>
                    </w:r>
                    <w:r>
                      <w:rPr>
                        <w:spacing w:val="-19"/>
                        <w:w w:val="105"/>
                        <w:sz w:val="9"/>
                      </w:rPr>
                      <w:t> </w:t>
                    </w:r>
                    <w:r>
                      <w:rPr>
                        <w:w w:val="105"/>
                        <w:sz w:val="9"/>
                      </w:rPr>
                      <w:t>6)</w:t>
                    </w:r>
                  </w:p>
                </w:txbxContent>
              </v:textbox>
              <w10:wrap type="none"/>
            </v:shape>
            <v:shape style="position:absolute;left:5841;top:841;width:309;height:105" type="#_x0000_t202" filled="false" stroked="false">
              <v:textbox inset="0,0,0,0">
                <w:txbxContent>
                  <w:p>
                    <w:pPr>
                      <w:spacing w:before="0"/>
                      <w:ind w:left="0" w:right="0" w:firstLine="0"/>
                      <w:jc w:val="left"/>
                      <w:rPr>
                        <w:sz w:val="9"/>
                      </w:rPr>
                    </w:pPr>
                    <w:r>
                      <w:rPr>
                        <w:w w:val="105"/>
                        <w:sz w:val="9"/>
                      </w:rPr>
                      <w:t>V3P3A</w:t>
                    </w:r>
                  </w:p>
                </w:txbxContent>
              </v:textbox>
              <w10:wrap type="none"/>
            </v:shape>
            <v:shape style="position:absolute;left:4452;top:970;width:295;height:111" type="#_x0000_t202" filled="false" stroked="false">
              <v:textbox inset="0,0,0,0">
                <w:txbxContent>
                  <w:p>
                    <w:pPr>
                      <w:spacing w:before="3"/>
                      <w:ind w:left="0" w:right="0" w:firstLine="0"/>
                      <w:jc w:val="left"/>
                      <w:rPr>
                        <w:sz w:val="6"/>
                      </w:rPr>
                    </w:pPr>
                    <w:r>
                      <w:rPr>
                        <w:position w:val="1"/>
                        <w:sz w:val="9"/>
                      </w:rPr>
                      <w:t>R</w:t>
                    </w:r>
                    <w:r>
                      <w:rPr>
                        <w:sz w:val="6"/>
                      </w:rPr>
                      <w:t>SHUNT</w:t>
                    </w:r>
                  </w:p>
                </w:txbxContent>
              </v:textbox>
              <w10:wrap type="none"/>
            </v:shape>
            <v:shape style="position:absolute;left:5006;top:1009;width:210;height:111" type="#_x0000_t202" filled="false" stroked="false">
              <v:textbox inset="0,0,0,0">
                <w:txbxContent>
                  <w:p>
                    <w:pPr>
                      <w:spacing w:before="2"/>
                      <w:ind w:left="0" w:right="0" w:firstLine="0"/>
                      <w:jc w:val="left"/>
                      <w:rPr>
                        <w:sz w:val="6"/>
                      </w:rPr>
                    </w:pPr>
                    <w:r>
                      <w:rPr>
                        <w:position w:val="1"/>
                        <w:sz w:val="9"/>
                      </w:rPr>
                      <w:t>V</w:t>
                    </w:r>
                    <w:r>
                      <w:rPr>
                        <w:sz w:val="6"/>
                      </w:rPr>
                      <w:t>OUT</w:t>
                    </w:r>
                  </w:p>
                </w:txbxContent>
              </v:textbox>
              <w10:wrap type="none"/>
            </v:shape>
            <v:shape style="position:absolute;left:7844;top:1635;width:400;height:105" type="#_x0000_t202" filled="false" stroked="false">
              <v:textbox inset="0,0,0,0">
                <w:txbxContent>
                  <w:p>
                    <w:pPr>
                      <w:spacing w:before="0"/>
                      <w:ind w:left="0" w:right="0" w:firstLine="0"/>
                      <w:jc w:val="left"/>
                      <w:rPr>
                        <w:sz w:val="9"/>
                      </w:rPr>
                    </w:pPr>
                    <w:r>
                      <w:rPr>
                        <w:w w:val="105"/>
                        <w:sz w:val="9"/>
                      </w:rPr>
                      <w:t>IADCn+1</w:t>
                    </w:r>
                  </w:p>
                </w:txbxContent>
              </v:textbox>
              <w10:wrap type="none"/>
            </v:shape>
            <v:shape style="position:absolute;left:5485;top:1831;width:2056;height:174" type="#_x0000_t202" filled="false" stroked="false">
              <v:textbox inset="0,0,0,0">
                <w:txbxContent>
                  <w:p>
                    <w:pPr>
                      <w:spacing w:before="0"/>
                      <w:ind w:left="0" w:right="0" w:firstLine="0"/>
                      <w:jc w:val="left"/>
                      <w:rPr>
                        <w:sz w:val="15"/>
                      </w:rPr>
                    </w:pPr>
                    <w:r>
                      <w:rPr>
                        <w:w w:val="105"/>
                        <w:sz w:val="15"/>
                      </w:rPr>
                      <w:t>Bias</w:t>
                    </w:r>
                    <w:r>
                      <w:rPr>
                        <w:spacing w:val="-11"/>
                        <w:w w:val="105"/>
                        <w:sz w:val="15"/>
                      </w:rPr>
                      <w:t> </w:t>
                    </w:r>
                    <w:r>
                      <w:rPr>
                        <w:w w:val="105"/>
                        <w:sz w:val="15"/>
                      </w:rPr>
                      <w:t>Network</w:t>
                    </w:r>
                    <w:r>
                      <w:rPr>
                        <w:spacing w:val="-11"/>
                        <w:w w:val="105"/>
                        <w:sz w:val="15"/>
                      </w:rPr>
                      <w:t> </w:t>
                    </w:r>
                    <w:r>
                      <w:rPr>
                        <w:w w:val="105"/>
                        <w:sz w:val="15"/>
                      </w:rPr>
                      <w:t>and</w:t>
                    </w:r>
                    <w:r>
                      <w:rPr>
                        <w:spacing w:val="-11"/>
                        <w:w w:val="105"/>
                        <w:sz w:val="15"/>
                      </w:rPr>
                      <w:t> </w:t>
                    </w:r>
                    <w:r>
                      <w:rPr>
                        <w:w w:val="105"/>
                        <w:sz w:val="15"/>
                      </w:rPr>
                      <w:t>Noise</w:t>
                    </w:r>
                    <w:r>
                      <w:rPr>
                        <w:spacing w:val="-11"/>
                        <w:w w:val="105"/>
                        <w:sz w:val="15"/>
                      </w:rPr>
                      <w:t> </w:t>
                    </w:r>
                    <w:r>
                      <w:rPr>
                        <w:w w:val="105"/>
                        <w:sz w:val="15"/>
                      </w:rPr>
                      <w:t>Filter</w:t>
                    </w:r>
                  </w:p>
                </w:txbxContent>
              </v:textbox>
              <w10:wrap type="none"/>
            </v:shape>
            <w10:wrap type="topAndBottom"/>
          </v:group>
        </w:pict>
      </w:r>
    </w:p>
    <w:p>
      <w:pPr>
        <w:spacing w:before="127"/>
        <w:ind w:left="63" w:right="204" w:firstLine="0"/>
        <w:jc w:val="center"/>
        <w:rPr>
          <w:b/>
          <w:sz w:val="20"/>
        </w:rPr>
      </w:pPr>
      <w:bookmarkStart w:name="_bookmark177" w:id="358"/>
      <w:bookmarkEnd w:id="358"/>
      <w:r>
        <w:rPr/>
      </w:r>
      <w:r>
        <w:rPr>
          <w:b/>
          <w:sz w:val="20"/>
        </w:rPr>
        <w:t>Figure 30: Differential Resistive Shunt Connections (Current Sensing)</w:t>
      </w:r>
    </w:p>
    <w:p>
      <w:pPr>
        <w:spacing w:after="0"/>
        <w:jc w:val="center"/>
        <w:rPr>
          <w:sz w:val="20"/>
        </w:rPr>
        <w:sectPr>
          <w:type w:val="continuous"/>
          <w:pgSz w:w="12240" w:h="15840"/>
          <w:pgMar w:top="940" w:bottom="280" w:left="1200" w:right="1060"/>
        </w:sectPr>
      </w:pPr>
    </w:p>
    <w:p>
      <w:pPr>
        <w:pStyle w:val="BodyText"/>
        <w:spacing w:before="7"/>
        <w:rPr>
          <w:b/>
          <w:sz w:val="16"/>
        </w:rPr>
      </w:pPr>
    </w:p>
    <w:p>
      <w:pPr>
        <w:pStyle w:val="ListParagraph"/>
        <w:numPr>
          <w:ilvl w:val="1"/>
          <w:numId w:val="22"/>
        </w:numPr>
        <w:tabs>
          <w:tab w:pos="959" w:val="left" w:leader="none"/>
          <w:tab w:pos="960" w:val="left" w:leader="none"/>
        </w:tabs>
        <w:spacing w:line="240" w:lineRule="auto" w:before="92" w:after="0"/>
        <w:ind w:left="960" w:right="0" w:hanging="720"/>
        <w:jc w:val="left"/>
        <w:rPr>
          <w:b/>
          <w:sz w:val="24"/>
        </w:rPr>
      </w:pPr>
      <w:bookmarkStart w:name="4.3 Systems Using 71M6xx3 Isolated Senso" w:id="359"/>
      <w:bookmarkEnd w:id="359"/>
      <w:r>
        <w:rPr/>
      </w:r>
      <w:bookmarkStart w:name="_bookmark178" w:id="360"/>
      <w:bookmarkEnd w:id="360"/>
      <w:r>
        <w:rPr/>
      </w:r>
      <w:bookmarkStart w:name="_bookmark178" w:id="361"/>
      <w:bookmarkEnd w:id="361"/>
      <w:r>
        <w:rPr>
          <w:b/>
          <w:sz w:val="24"/>
        </w:rPr>
        <w:t>S</w:t>
      </w:r>
      <w:r>
        <w:rPr>
          <w:b/>
          <w:sz w:val="24"/>
        </w:rPr>
        <w:t>ystems Using 71M6xx3 Isolated Sensors and Current</w:t>
      </w:r>
      <w:r>
        <w:rPr>
          <w:b/>
          <w:spacing w:val="-8"/>
          <w:sz w:val="24"/>
        </w:rPr>
        <w:t> </w:t>
      </w:r>
      <w:r>
        <w:rPr>
          <w:b/>
          <w:sz w:val="24"/>
        </w:rPr>
        <w:t>Shunts</w:t>
      </w:r>
    </w:p>
    <w:p>
      <w:pPr>
        <w:pStyle w:val="BodyText"/>
        <w:spacing w:before="122"/>
        <w:ind w:left="239" w:right="538"/>
      </w:pPr>
      <w:r>
        <w:rPr/>
        <w:pict>
          <v:group style="position:absolute;margin-left:104.620712pt;margin-top:105.624603pt;width:402.35pt;height:424.1pt;mso-position-horizontal-relative:page;mso-position-vertical-relative:paragraph;z-index:15835648" coordorigin="2092,2112" coordsize="8047,8482">
            <v:rect style="position:absolute;left:4988;top:5590;width:3187;height:4986" filled="false" stroked="true" strokeweight="1.736923pt" strokecolor="#2f2f2f">
              <v:stroke dashstyle="solid"/>
            </v:rect>
            <v:shape style="position:absolute;left:4991;top:5589;width:3187;height:4986" coordorigin="4991,5589" coordsize="3187,4986" path="m7236,7215l8177,7215,8177,6577,7236,6577,7236,7215xm7236,9708l8177,9708,8177,7685,7236,7685,7236,9708xm4991,9853l6077,9853,6077,9395,4991,9395,4991,9853xm7236,10575l8177,10575,8177,9708,7236,9708,7236,10575xm4991,7685l6077,7685,6077,5589,4991,5589,4991,7685xm4991,9395l6077,9395,6077,8046,4991,8046,4991,9395xe" filled="false" stroked="true" strokeweight=".192902pt" strokecolor="#2f2f2f">
              <v:path arrowok="t"/>
              <v:stroke dashstyle="solid"/>
            </v:shape>
            <v:line style="position:absolute" from="4870,6312" to="4339,6312" stroked="true" strokeweight=".19269pt" strokecolor="#2f2f2f">
              <v:stroke dashstyle="solid"/>
            </v:line>
            <v:shape style="position:absolute;left:4858;top:6263;width:133;height:97" coordorigin="4858,6264" coordsize="133,97" path="m4858,6360l4858,6264,4991,6312,4858,6360xe" filled="true" fillcolor="#2f2f2f" stroked="false">
              <v:path arrowok="t"/>
              <v:fill type="solid"/>
            </v:shape>
            <v:shape style="position:absolute;left:2164;top:2122;width:3114;height:1735" coordorigin="2165,2122" coordsize="3114,1735" path="m2382,3856l5061,3856,5130,3845,5190,3815,5237,3768,5267,3708,5279,3640,5279,2339,5267,2270,5237,2211,5190,2164,5130,2133,5061,2122,2382,2122,2313,2133,2254,2164,2207,2211,2176,2270,2165,2339,2165,3640,2176,3708,2207,3768,2254,3815,2313,3845,2382,3856e" filled="false" stroked="true" strokeweight=".963952pt" strokecolor="#2f2f2f">
              <v:path arrowok="t"/>
              <v:stroke dashstyle="shortdash"/>
            </v:shape>
            <v:shape style="position:absolute;left:2239;top:2409;width:942;height:3252" coordorigin="2239,2410" coordsize="942,3252" path="m3108,5373l3181,5409,3036,5481,3181,5553,3036,5625,3108,5662m3108,5373l3108,2410,2239,2410e" filled="false" stroked="true" strokeweight=".192902pt" strokecolor="#2f2f2f">
              <v:path arrowok="t"/>
              <v:stroke dashstyle="solid"/>
            </v:shape>
            <v:line style="position:absolute" from="3108,2410" to="3941,2410" stroked="true" strokeweight=".19269pt" strokecolor="#2f2f2f">
              <v:stroke dashstyle="solid"/>
            </v:line>
            <v:shape style="position:absolute;left:3087;top:2393;width:37;height:37" coordorigin="3088,2393" coordsize="37,37" path="m3116,2429l3096,2429,3088,2421,3088,2411,3088,2401,3096,2393,3116,2393,3124,2401,3124,2421,3116,2429xe" filled="true" fillcolor="#000000" stroked="false">
              <v:path arrowok="t"/>
              <v:fill type="solid"/>
            </v:shape>
            <v:shape style="position:absolute;left:3087;top:2393;width:37;height:37" coordorigin="3088,2393" coordsize="37,37" path="m3088,2411l3088,2401,3096,2393,3106,2393,3116,2393,3124,2401,3124,2411,3124,2421,3116,2429,3106,2429,3096,2429,3088,2421,3088,2411xe" filled="false" stroked="true" strokeweight=".578705pt" strokecolor="#2f2f2f">
              <v:path arrowok="t"/>
              <v:stroke dashstyle="solid"/>
            </v:shape>
            <v:shape style="position:absolute;left:4701;top:2409;width:1811;height:85" coordorigin="4701,2410" coordsize="1811,85" path="m4701,2410l6512,2410,6512,2494e" filled="false" stroked="true" strokeweight=".192691pt" strokecolor="#2f2f2f">
              <v:path arrowok="t"/>
              <v:stroke dashstyle="solid"/>
            </v:shape>
            <v:line style="position:absolute" from="3905,3927" to="3905,4650" stroked="true" strokeweight=".193115pt" strokecolor="#2f2f2f">
              <v:stroke dashstyle="solid"/>
            </v:line>
            <v:shape style="position:absolute;left:2818;top:5878;width:145;height:290" coordorigin="2819,5878" coordsize="145,290" path="m2891,5878l2963,5915,2819,5987,2963,6059,2819,6131,2891,6167e" filled="false" stroked="true" strokeweight=".193029pt" strokecolor="#2f2f2f">
              <v:path arrowok="t"/>
              <v:stroke dashstyle="solid"/>
            </v:shape>
            <v:shape style="position:absolute;left:2890;top:2988;width:2;height:2891" coordorigin="2891,2988" coordsize="0,2891" path="m2891,3927l2891,5878m2891,2988l2891,3783e" filled="false" stroked="true" strokeweight=".193115pt" strokecolor="#2f2f2f">
              <v:path arrowok="t"/>
              <v:stroke dashstyle="solid"/>
            </v:shape>
            <v:line style="position:absolute" from="2891,6167" to="2891,6673" stroked="true" strokeweight=".193115pt" strokecolor="#2f2f2f">
              <v:stroke dashstyle="solid"/>
            </v:line>
            <v:shape style="position:absolute;left:3035;top:6311;width:145;height:290" coordorigin="3036,6312" coordsize="145,290" path="m3108,6312l3181,6348,3036,6420,3181,6493,3036,6565,3108,6601e" filled="false" stroked="true" strokeweight=".193029pt" strokecolor="#2f2f2f">
              <v:path arrowok="t"/>
              <v:stroke dashstyle="solid"/>
            </v:shape>
            <v:line style="position:absolute" from="4870,6673" to="2891,6673" stroked="true" strokeweight=".19269pt" strokecolor="#2f2f2f">
              <v:stroke dashstyle="solid"/>
            </v:line>
            <v:shape style="position:absolute;left:4858;top:6625;width:133;height:97" coordorigin="4858,6625" coordsize="133,97" path="m4858,6721l4858,6625,4991,6673,4858,6721xe" filled="true" fillcolor="#2f2f2f" stroked="false">
              <v:path arrowok="t"/>
              <v:fill type="solid"/>
            </v:shape>
            <v:line style="position:absolute" from="2891,7360" to="2891,7829" stroked="true" strokeweight=".193115pt" strokecolor="#2f2f2f">
              <v:stroke dashstyle="solid"/>
            </v:line>
            <v:shape style="position:absolute;left:2601;top:6384;width:145;height:290" coordorigin="2601,6384" coordsize="145,290" path="m2674,6384l2746,6420,2601,6493,2746,6565,2601,6637,2674,6673e" filled="false" stroked="true" strokeweight=".193029pt" strokecolor="#2f2f2f">
              <v:path arrowok="t"/>
              <v:stroke dashstyle="solid"/>
            </v:shape>
            <v:shape style="position:absolute;left:2601;top:7323;width:145;height:290" coordorigin="2601,7324" coordsize="145,290" path="m2674,7324l2746,7360,2601,7432,2746,7504,2601,7576,2674,7613e" filled="false" stroked="true" strokeweight=".193029pt" strokecolor="#2f2f2f">
              <v:path arrowok="t"/>
              <v:stroke dashstyle="solid"/>
            </v:shape>
            <v:line style="position:absolute" from="2674,6673" to="2674,7324" stroked="true" strokeweight=".193115pt" strokecolor="#2f2f2f">
              <v:stroke dashstyle="solid"/>
            </v:line>
            <v:line style="position:absolute" from="2674,7613" to="2674,7829" stroked="true" strokeweight=".193115pt" strokecolor="#2f2f2f">
              <v:stroke dashstyle="solid"/>
            </v:line>
            <v:shape style="position:absolute;left:2870;top:6656;width:37;height:37" coordorigin="2871,6656" coordsize="37,37" path="m2899,6693l2879,6693,2871,6684,2871,6674,2871,6664,2879,6656,2899,6656,2907,6664,2907,6684,2899,6693xe" filled="true" fillcolor="#000000" stroked="false">
              <v:path arrowok="t"/>
              <v:fill type="solid"/>
            </v:shape>
            <v:shape style="position:absolute;left:2870;top:6656;width:37;height:37" coordorigin="2871,6656" coordsize="37,37" path="m2871,6674l2871,6664,2879,6656,2889,6656,2899,6656,2907,6664,2907,6674,2907,6684,2899,6693,2889,6693,2879,6693,2871,6684,2871,6674xe" filled="false" stroked="true" strokeweight=".578705pt" strokecolor="#2f2f2f">
              <v:path arrowok="t"/>
              <v:stroke dashstyle="solid"/>
            </v:shape>
            <v:shape style="position:absolute;left:2818;top:6817;width:145;height:290" coordorigin="2819,6818" coordsize="145,290" path="m2891,6818l2963,6854,2819,6926,2963,6998,2819,7071,2891,7107e" filled="false" stroked="true" strokeweight=".193029pt" strokecolor="#2f2f2f">
              <v:path arrowok="t"/>
              <v:stroke dashstyle="solid"/>
            </v:shape>
            <v:line style="position:absolute" from="4870,7179" to="2674,7179" stroked="true" strokeweight=".19269pt" strokecolor="#2f2f2f">
              <v:stroke dashstyle="solid"/>
            </v:line>
            <v:shape style="position:absolute;left:4858;top:7130;width:133;height:97" coordorigin="4858,7131" coordsize="133,97" path="m4858,7227l4858,7131,4991,7179,4858,7227xe" filled="true" fillcolor="#2f2f2f" stroked="false">
              <v:path arrowok="t"/>
              <v:fill type="solid"/>
            </v:shape>
            <v:shape style="position:absolute;left:2656;top:7162;width:37;height:37" coordorigin="2656,7162" coordsize="37,37" path="m2685,7198l2665,7198,2656,7190,2656,7180,2656,7170,2665,7162,2685,7162,2693,7170,2693,7190,2685,7198xe" filled="true" fillcolor="#000000" stroked="false">
              <v:path arrowok="t"/>
              <v:fill type="solid"/>
            </v:shape>
            <v:shape style="position:absolute;left:2656;top:7162;width:37;height:37" coordorigin="2656,7162" coordsize="37,37" path="m2656,7180l2656,7170,2665,7162,2675,7162,2685,7162,2693,7170,2693,7180,2693,7190,2685,7198,2675,7198,2665,7198,2656,7190,2656,7180xe" filled="false" stroked="true" strokeweight=".578705pt" strokecolor="#2f2f2f">
              <v:path arrowok="t"/>
              <v:stroke dashstyle="solid"/>
            </v:shape>
            <v:shape style="position:absolute;left:2870;top:2971;width:37;height:37" coordorigin="2871,2971" coordsize="37,37" path="m2899,3007l2879,3007,2871,2999,2871,2989,2871,2979,2879,2971,2899,2971,2907,2979,2907,2999,2899,3007xe" filled="true" fillcolor="#000000" stroked="false">
              <v:path arrowok="t"/>
              <v:fill type="solid"/>
            </v:shape>
            <v:shape style="position:absolute;left:2870;top:2971;width:37;height:37" coordorigin="2871,2971" coordsize="37,37" path="m2871,2989l2871,2979,2879,2971,2889,2971,2899,2971,2907,2979,2907,2989,2907,2999,2899,3007,2889,3007,2879,3007,2871,2999,2871,2989xe" filled="false" stroked="true" strokeweight=".578705pt" strokecolor="#2f2f2f">
              <v:path arrowok="t"/>
              <v:stroke dashstyle="solid"/>
            </v:shape>
            <v:shape style="position:absolute;left:2653;top:3404;width:37;height:37" coordorigin="2653,3405" coordsize="37,37" path="m2682,3441l2662,3441,2653,3433,2653,3423,2653,3413,2662,3405,2682,3405,2690,3413,2690,3433,2682,3441xe" filled="true" fillcolor="#000000" stroked="false">
              <v:path arrowok="t"/>
              <v:fill type="solid"/>
            </v:shape>
            <v:shape style="position:absolute;left:2653;top:3404;width:37;height:37" coordorigin="2653,3405" coordsize="37,37" path="m2653,3423l2653,3413,2662,3405,2672,3405,2682,3405,2690,3413,2690,3423,2690,3433,2682,3441,2672,3441,2662,3441,2653,3433,2653,3423xe" filled="false" stroked="true" strokeweight=".578705pt" strokecolor="#2f2f2f">
              <v:path arrowok="t"/>
              <v:stroke dashstyle="solid"/>
            </v:shape>
            <v:shape style="position:absolute;left:2870;top:7812;width:37;height:37" coordorigin="2871,7813" coordsize="37,37" path="m2899,7849l2879,7849,2871,7841,2871,7831,2871,7821,2879,7813,2899,7813,2907,7821,2907,7841,2899,7849xe" filled="true" fillcolor="#000000" stroked="false">
              <v:path arrowok="t"/>
              <v:fill type="solid"/>
            </v:shape>
            <v:shape style="position:absolute;left:2870;top:7812;width:37;height:37" coordorigin="2871,7813" coordsize="37,37" path="m2871,7831l2871,7821,2879,7813,2889,7813,2899,7813,2907,7821,2907,7831,2907,7841,2899,7849,2889,7849,2879,7849,2871,7841,2871,7831xe" filled="false" stroked="true" strokeweight=".578705pt" strokecolor="#2f2f2f">
              <v:path arrowok="t"/>
              <v:stroke dashstyle="solid"/>
            </v:shape>
            <v:line style="position:absolute" from="8177,7974" to="8781,7974" stroked="true" strokeweight=".19269pt" strokecolor="#2f2f2f">
              <v:stroke dashstyle="solid"/>
            </v:line>
            <v:shape style="position:absolute;left:8768;top:7925;width:133;height:97" coordorigin="8769,7926" coordsize="133,97" path="m8769,8022l8769,7926,8902,7974,8769,8022xe" filled="true" fillcolor="#2f2f2f" stroked="false">
              <v:path arrowok="t"/>
              <v:fill type="solid"/>
            </v:shape>
            <v:line style="position:absolute" from="8177,8191" to="8781,8191" stroked="true" strokeweight=".19269pt" strokecolor="#2f2f2f">
              <v:stroke dashstyle="solid"/>
            </v:line>
            <v:shape style="position:absolute;left:8768;top:8142;width:133;height:97" coordorigin="8769,8142" coordsize="133,97" path="m8769,8239l8769,8142,8902,8191,8769,8239xe" filled="true" fillcolor="#2f2f2f" stroked="false">
              <v:path arrowok="t"/>
              <v:fill type="solid"/>
            </v:shape>
            <v:line style="position:absolute" from="8250,8407" to="8781,8407" stroked="true" strokeweight=".19269pt" strokecolor="#2f2f2f">
              <v:stroke dashstyle="solid"/>
            </v:line>
            <v:shape style="position:absolute;left:8177;top:8359;width:725;height:97" coordorigin="8177,8359" coordsize="725,97" path="m8262,8359l8177,8407,8262,8456,8262,8359xm8902,8407l8769,8359,8769,8456,8902,8407xe" filled="true" fillcolor="#2f2f2f" stroked="false">
              <v:path arrowok="t"/>
              <v:fill type="solid"/>
            </v:shape>
            <v:line style="position:absolute" from="8298,8986" to="8781,8986" stroked="true" strokeweight=".19269pt" strokecolor="#2f2f2f">
              <v:stroke dashstyle="solid"/>
            </v:line>
            <v:shape style="position:absolute;left:8177;top:8937;width:725;height:97" coordorigin="8177,8937" coordsize="725,97" path="m8310,8937l8177,8986,8310,9034,8310,8937xm8902,8986l8769,8937,8769,9034,8902,8986xe" filled="true" fillcolor="#2f2f2f" stroked="false">
              <v:path arrowok="t"/>
              <v:fill type="solid"/>
            </v:shape>
            <v:shape style="position:absolute;left:3504;top:9081;width:294;height:169" type="#_x0000_t75" stroked="false">
              <v:imagedata r:id="rId178" o:title=""/>
            </v:shape>
            <v:line style="position:absolute" from="4870,9058" to="4339,9058" stroked="true" strokeweight=".19269pt" strokecolor="#2f2f2f">
              <v:stroke dashstyle="solid"/>
            </v:line>
            <v:shape style="position:absolute;left:4858;top:9009;width:133;height:97" coordorigin="4858,9010" coordsize="133,97" path="m4858,9106l4858,9010,4991,9058,4858,9106xe" filled="true" fillcolor="#2f2f2f" stroked="false">
              <v:path arrowok="t"/>
              <v:fill type="solid"/>
            </v:shape>
            <v:line style="position:absolute" from="4991,8407" to="4460,8407" stroked="true" strokeweight=".19269pt" strokecolor="#2f2f2f">
              <v:stroke dashstyle="solid"/>
            </v:line>
            <v:shape style="position:absolute;left:4339;top:8359;width:133;height:97" coordorigin="4339,8359" coordsize="133,97" path="m4472,8456l4339,8407,4472,8359,4472,8456xe" filled="true" fillcolor="#2f2f2f" stroked="false">
              <v:path arrowok="t"/>
              <v:fill type="solid"/>
            </v:shape>
            <v:line style="position:absolute" from="4339,8624" to="4870,8624" stroked="true" strokeweight=".19269pt" strokecolor="#2f2f2f">
              <v:stroke dashstyle="solid"/>
            </v:line>
            <v:shape style="position:absolute;left:4858;top:8576;width:133;height:97" coordorigin="4858,8576" coordsize="133,97" path="m4858,8672l4858,8576,4991,8624,4858,8672xe" filled="true" fillcolor="#2f2f2f" stroked="false">
              <v:path arrowok="t"/>
              <v:fill type="solid"/>
            </v:shape>
            <v:line style="position:absolute" from="7960,5373" to="7960,5589" stroked="true" strokeweight=".193115pt" strokecolor="#2f2f2f">
              <v:stroke dashstyle="solid"/>
            </v:line>
            <v:line style="position:absolute" from="6874,5469" to="6874,4505" stroked="true" strokeweight=".193115pt" strokecolor="#2f2f2f">
              <v:stroke dashstyle="solid"/>
            </v:line>
            <v:shape style="position:absolute;left:6825;top:5456;width:97;height:133" coordorigin="6826,5457" coordsize="97,133" path="m6874,5589l6826,5457,6922,5457,6874,5589xe" filled="true" fillcolor="#2f2f2f" stroked="false">
              <v:path arrowok="t"/>
              <v:fill type="solid"/>
            </v:shape>
            <v:line style="position:absolute" from="7526,4325" to="7526,5589" stroked="true" strokeweight=".193115pt" strokecolor="#2f2f2f">
              <v:stroke dashstyle="solid"/>
            </v:line>
            <v:rect style="position:absolute;left:4991;top:8913;width:652;height:482" filled="false" stroked="true" strokeweight=".19284pt" strokecolor="#2f2f2f">
              <v:stroke dashstyle="solid"/>
            </v:rect>
            <v:rect style="position:absolute;left:8732;top:10153;width:182;height:85" filled="true" fillcolor="#000000" stroked="false">
              <v:fill type="solid"/>
            </v:rect>
            <v:rect style="position:absolute;left:8732;top:10153;width:182;height:85" filled="false" stroked="true" strokeweight=".192766pt" strokecolor="#2f2f2f">
              <v:stroke dashstyle="solid"/>
            </v:rect>
            <v:line style="position:absolute" from="8733,10106" to="8914,10106" stroked="true" strokeweight=".19269pt" strokecolor="#2f2f2f">
              <v:stroke dashstyle="solid"/>
            </v:line>
            <v:line style="position:absolute" from="8733,10286" to="8914,10286" stroked="true" strokeweight=".19269pt" strokecolor="#2f2f2f">
              <v:stroke dashstyle="solid"/>
            </v:line>
            <v:shape style="position:absolute;left:8177;top:10033;width:652;height:73" coordorigin="8177,10033" coordsize="652,73" path="m8829,10106l8829,10033,8177,10033e" filled="false" stroked="true" strokeweight=".192695pt" strokecolor="#2f2f2f">
              <v:path arrowok="t"/>
              <v:stroke dashstyle="solid"/>
            </v:shape>
            <v:shape style="position:absolute;left:8177;top:10286;width:652;height:109" coordorigin="8177,10286" coordsize="652,109" path="m8829,10286l8829,10395,8177,10395e" filled="false" stroked="true" strokeweight=".192701pt" strokecolor="#2f2f2f">
              <v:path arrowok="t"/>
              <v:stroke dashstyle="solid"/>
            </v:shape>
            <v:line style="position:absolute" from="4991,9275" to="4460,9275" stroked="true" strokeweight=".19269pt" strokecolor="#2f2f2f">
              <v:stroke dashstyle="solid"/>
            </v:line>
            <v:shape style="position:absolute;left:4339;top:9226;width:133;height:97" coordorigin="4339,9226" coordsize="133,97" path="m4472,9323l4339,9275,4472,9226,4472,9323xe" filled="true" fillcolor="#2f2f2f" stroked="false">
              <v:path arrowok="t"/>
              <v:fill type="solid"/>
            </v:shape>
            <v:shape style="position:absolute;left:8539;top:8551;width:242;height:434" coordorigin="8540,8552" coordsize="242,434" path="m8540,8986l8540,8552,8781,8552e" filled="false" stroked="true" strokeweight=".193014pt" strokecolor="#2f2f2f">
              <v:path arrowok="t"/>
              <v:stroke dashstyle="shortdash"/>
            </v:shape>
            <v:shape style="position:absolute;left:8768;top:8503;width:133;height:97" coordorigin="8769,8504" coordsize="133,97" path="m8769,8600l8769,8504,8902,8552,8769,8600xe" filled="true" fillcolor="#2f2f2f" stroked="false">
              <v:path arrowok="t"/>
              <v:fill type="solid"/>
            </v:shape>
            <v:line style="position:absolute" from="6439,5469" to="6439,4325" stroked="true" strokeweight=".193115pt" strokecolor="#2f2f2f">
              <v:stroke dashstyle="solid"/>
            </v:line>
            <v:shape style="position:absolute;left:6391;top:5456;width:97;height:133" coordorigin="6391,5457" coordsize="97,133" path="m6439,5589l6391,5457,6488,5457,6439,5589xe" filled="true" fillcolor="#2f2f2f" stroked="false">
              <v:path arrowok="t"/>
              <v:fill type="solid"/>
            </v:shape>
            <v:line style="position:absolute" from="4701,5878" to="4870,5878" stroked="true" strokeweight=".19269pt" strokecolor="#2f2f2f">
              <v:stroke dashstyle="solid"/>
            </v:line>
            <v:shape style="position:absolute;left:4858;top:5830;width:133;height:97" coordorigin="4858,5830" coordsize="133,97" path="m4858,5927l4858,5830,4991,5878,4858,5927xe" filled="true" fillcolor="#2f2f2f" stroked="false">
              <v:path arrowok="t"/>
              <v:fill type="solid"/>
            </v:shape>
            <v:line style="position:absolute" from="3108,4144" to="6174,4144" stroked="true" strokeweight=".19269pt" strokecolor="#2f2f2f">
              <v:stroke dashstyle="solid"/>
            </v:line>
            <v:shape style="position:absolute;left:6161;top:4096;width:133;height:97" coordorigin="6162,4096" coordsize="133,97" path="m6162,4192l6162,4096,6295,4144,6162,4192xe" filled="true" fillcolor="#2f2f2f" stroked="false">
              <v:path arrowok="t"/>
              <v:fill type="solid"/>
            </v:shape>
            <v:shape style="position:absolute;left:3087;top:4127;width:37;height:37" coordorigin="3088,4127" coordsize="37,37" path="m3116,4163l3096,4163,3088,4155,3088,4145,3088,4135,3096,4127,3116,4127,3124,4135,3124,4155,3116,4163xe" filled="true" fillcolor="#000000" stroked="false">
              <v:path arrowok="t"/>
              <v:fill type="solid"/>
            </v:shape>
            <v:shape style="position:absolute;left:3087;top:4127;width:37;height:37" coordorigin="3088,4127" coordsize="37,37" path="m3088,4145l3088,4135,3096,4127,3106,4127,3116,4127,3124,4135,3124,4145,3124,4155,3116,4163,3106,4163,3096,4163,3088,4155,3088,4145xe" filled="false" stroked="true" strokeweight=".578705pt" strokecolor="#2f2f2f">
              <v:path arrowok="t"/>
              <v:stroke dashstyle="solid"/>
            </v:shape>
            <v:line style="position:absolute" from="6802,3422" to="5353,3422" stroked="true" strokeweight=".19269pt" strokecolor="#2f2f2f">
              <v:stroke dashstyle="solid"/>
            </v:line>
            <v:rect style="position:absolute;left:2094;top:2337;width:145;height:145" filled="true" fillcolor="#ffffff" stroked="false">
              <v:fill type="solid"/>
            </v:rect>
            <v:rect style="position:absolute;left:2094;top:2337;width:145;height:145" filled="false" stroked="true" strokeweight=".192902pt" strokecolor="#2f2f2f">
              <v:stroke dashstyle="solid"/>
            </v:rect>
            <v:rect style="position:absolute;left:2094;top:2626;width:145;height:145" filled="true" fillcolor="#ffffff" stroked="false">
              <v:fill type="solid"/>
            </v:rect>
            <v:rect style="position:absolute;left:2094;top:2626;width:145;height:145" filled="false" stroked="true" strokeweight=".192902pt" strokecolor="#2f2f2f">
              <v:stroke dashstyle="solid"/>
            </v:rect>
            <v:rect style="position:absolute;left:2094;top:2915;width:145;height:145" filled="true" fillcolor="#ffffff" stroked="false">
              <v:fill type="solid"/>
            </v:rect>
            <v:rect style="position:absolute;left:2094;top:2915;width:145;height:145" filled="false" stroked="true" strokeweight=".192902pt" strokecolor="#2f2f2f">
              <v:stroke dashstyle="solid"/>
            </v:rect>
            <v:rect style="position:absolute;left:2094;top:3349;width:145;height:145" filled="true" fillcolor="#ffffff" stroked="false">
              <v:fill type="solid"/>
            </v:rect>
            <v:rect style="position:absolute;left:2094;top:3349;width:145;height:145" filled="false" stroked="true" strokeweight=".192902pt" strokecolor="#2f2f2f">
              <v:stroke dashstyle="solid"/>
            </v:rect>
            <v:rect style="position:absolute;left:2601;top:3782;width:145;height:145" filled="true" fillcolor="#ffffff" stroked="false">
              <v:fill type="solid"/>
            </v:rect>
            <v:rect style="position:absolute;left:2601;top:3782;width:145;height:145" filled="false" stroked="true" strokeweight=".192902pt" strokecolor="#2f2f2f">
              <v:stroke dashstyle="solid"/>
            </v:rect>
            <v:rect style="position:absolute;left:2818;top:3782;width:145;height:145" filled="true" fillcolor="#ffffff" stroked="false">
              <v:fill type="solid"/>
            </v:rect>
            <v:rect style="position:absolute;left:2818;top:3782;width:145;height:145" filled="false" stroked="true" strokeweight=".192902pt" strokecolor="#2f2f2f">
              <v:stroke dashstyle="solid"/>
            </v:rect>
            <v:rect style="position:absolute;left:3035;top:3782;width:145;height:145" filled="true" fillcolor="#ffffff" stroked="false">
              <v:fill type="solid"/>
            </v:rect>
            <v:rect style="position:absolute;left:3035;top:3782;width:145;height:145" filled="false" stroked="true" strokeweight=".192902pt" strokecolor="#2f2f2f">
              <v:stroke dashstyle="solid"/>
            </v:rect>
            <v:line style="position:absolute" from="5353,2988" to="6198,2988" stroked="true" strokeweight=".19269pt" strokecolor="#2f2f2f">
              <v:stroke dashstyle="solid"/>
            </v:line>
            <v:line style="position:absolute" from="6802,2988" to="6802,3422" stroked="true" strokeweight=".193115pt" strokecolor="#2f2f2f">
              <v:stroke dashstyle="solid"/>
            </v:line>
            <v:rect style="position:absolute;left:6294;top:3855;width:1883;height:470" filled="false" stroked="true" strokeweight=".578144pt" strokecolor="#2f2f2f">
              <v:stroke dashstyle="solid"/>
            </v:rect>
            <v:rect style="position:absolute;left:5208;top:2337;width:145;height:145" filled="true" fillcolor="#ffffff" stroked="false">
              <v:fill type="solid"/>
            </v:rect>
            <v:rect style="position:absolute;left:5208;top:2337;width:145;height:145" filled="false" stroked="true" strokeweight=".192902pt" strokecolor="#2f2f2f">
              <v:stroke dashstyle="solid"/>
            </v:rect>
            <v:rect style="position:absolute;left:5208;top:2915;width:145;height:145" filled="true" fillcolor="#ffffff" stroked="false">
              <v:fill type="solid"/>
            </v:rect>
            <v:rect style="position:absolute;left:5208;top:2915;width:145;height:145" filled="false" stroked="true" strokeweight=".192902pt" strokecolor="#2f2f2f">
              <v:stroke dashstyle="solid"/>
            </v:rect>
            <v:rect style="position:absolute;left:5208;top:3349;width:145;height:145" filled="true" fillcolor="#ffffff" stroked="false">
              <v:fill type="solid"/>
            </v:rect>
            <v:rect style="position:absolute;left:5208;top:3349;width:145;height:145" filled="false" stroked="true" strokeweight=".192902pt" strokecolor="#2f2f2f">
              <v:stroke dashstyle="solid"/>
            </v:rect>
            <v:shape style="position:absolute;left:6196;top:2492;width:608;height:498" type="#_x0000_t75" stroked="false">
              <v:imagedata r:id="rId179" o:title=""/>
            </v:shape>
            <v:rect style="position:absolute;left:2384;top:3782;width:145;height:145" filled="true" fillcolor="#ffffff" stroked="false">
              <v:fill type="solid"/>
            </v:rect>
            <v:rect style="position:absolute;left:2384;top:3782;width:145;height:145" filled="false" stroked="true" strokeweight=".192902pt" strokecolor="#2f2f2f">
              <v:stroke dashstyle="solid"/>
            </v:rect>
            <v:line style="position:absolute" from="2456,2699" to="2456,3783" stroked="true" strokeweight=".193115pt" strokecolor="#2f2f2f">
              <v:stroke dashstyle="solid"/>
            </v:line>
            <v:shape style="position:absolute;left:3087;top:6150;width:37;height:37" coordorigin="3088,6151" coordsize="37,37" path="m3116,6187l3096,6187,3088,6179,3088,6169,3088,6159,3096,6151,3116,6151,3124,6159,3124,6179,3116,6187xe" filled="true" fillcolor="#000000" stroked="false">
              <v:path arrowok="t"/>
              <v:fill type="solid"/>
            </v:shape>
            <v:shape style="position:absolute;left:3087;top:6150;width:37;height:37" coordorigin="3088,6151" coordsize="37,37" path="m3088,6169l3088,6159,3096,6151,3106,6151,3116,6151,3124,6159,3124,6169,3124,6179,3116,6187,3106,6187,3096,6187,3088,6179,3088,6169xe" filled="false" stroked="true" strokeweight=".578705pt" strokecolor="#2f2f2f">
              <v:path arrowok="t"/>
              <v:stroke dashstyle="solid"/>
            </v:shape>
            <v:shape style="position:absolute;left:2456;top:3927;width:652;height:3902" coordorigin="2456,3927" coordsize="652,3902" path="m2456,3927l2456,7829,3108,7829e" filled="false" stroked="true" strokeweight=".193103pt" strokecolor="#2f2f2f">
              <v:path arrowok="t"/>
              <v:stroke dashstyle="solid"/>
            </v:shape>
            <v:shape style="position:absolute;left:2653;top:7812;width:37;height:37" coordorigin="2653,7813" coordsize="37,37" path="m2682,7849l2662,7849,2653,7841,2653,7831,2653,7821,2662,7813,2682,7813,2690,7821,2690,7841,2682,7849xe" filled="true" fillcolor="#000000" stroked="false">
              <v:path arrowok="t"/>
              <v:fill type="solid"/>
            </v:shape>
            <v:shape style="position:absolute;left:2653;top:7812;width:37;height:37" coordorigin="2653,7813" coordsize="37,37" path="m2653,7831l2653,7821,2662,7813,2672,7813,2682,7813,2690,7821,2690,7831,2690,7841,2682,7849,2672,7849,2662,7849,2653,7841,2653,7831xe" filled="false" stroked="true" strokeweight=".578705pt" strokecolor="#2f2f2f">
              <v:path arrowok="t"/>
              <v:stroke dashstyle="solid"/>
            </v:shape>
            <v:line style="position:absolute" from="2529,4505" to="6874,4505" stroked="true" strokeweight=".19269pt" strokecolor="#2f2f2f">
              <v:stroke dashstyle="solid"/>
            </v:line>
            <v:shape style="position:absolute;left:2239;top:2331;width:4263;height:5185" type="#_x0000_t75" stroked="false">
              <v:imagedata r:id="rId180" o:title=""/>
            </v:shape>
            <v:rect style="position:absolute;left:6077;top:7215;width:1159;height:470" filled="false" stroked="true" strokeweight=".19275pt" strokecolor="#2f2f2f">
              <v:stroke dashstyle="solid"/>
            </v:rect>
            <v:line style="position:absolute" from="9481,5373" to="7526,5373" stroked="true" strokeweight=".19269pt" strokecolor="#000000">
              <v:stroke dashstyle="solid"/>
            </v:line>
            <v:shape style="position:absolute;left:6419;top:4488;width:37;height:37" coordorigin="6419,4489" coordsize="37,37" path="m6447,4525l6427,4525,6419,4517,6419,4507,6419,4497,6427,4489,6447,4489,6455,4497,6455,4517,6447,4525xe" filled="true" fillcolor="#000000" stroked="false">
              <v:path arrowok="t"/>
              <v:fill type="solid"/>
            </v:shape>
            <v:shape style="position:absolute;left:6419;top:4488;width:37;height:37" coordorigin="6419,4489" coordsize="37,37" path="m6419,4507l6419,4497,6427,4489,6437,4489,6447,4489,6455,4497,6455,4507,6455,4517,6447,4525,6437,4525,6427,4525,6419,4517,6419,4507xe" filled="false" stroked="true" strokeweight=".578705pt" strokecolor="#2f2f2f">
              <v:path arrowok="t"/>
              <v:stroke dashstyle="solid"/>
            </v:shape>
            <v:shape style="position:absolute;left:7505;top:5355;width:37;height:37" coordorigin="7505,5356" coordsize="37,37" path="m7534,5392l7514,5392,7505,5384,7505,5374,7505,5364,7514,5356,7534,5356,7542,5364,7542,5384,7534,5392xe" filled="true" fillcolor="#000000" stroked="false">
              <v:path arrowok="t"/>
              <v:fill type="solid"/>
            </v:shape>
            <v:shape style="position:absolute;left:7505;top:5355;width:37;height:37" coordorigin="7505,5356" coordsize="37,37" path="m7505,5374l7505,5364,7514,5356,7524,5356,7534,5356,7542,5364,7542,5374,7542,5384,7534,5392,7524,5392,7514,5392,7505,5384,7505,5374xe" filled="false" stroked="true" strokeweight=".578705pt" strokecolor="#2f2f2f">
              <v:path arrowok="t"/>
              <v:stroke dashstyle="solid"/>
            </v:shape>
            <v:line style="position:absolute" from="2674,6384" to="2674,3927" stroked="true" strokeweight=".193115pt" strokecolor="#000000">
              <v:stroke dashstyle="solid"/>
            </v:line>
            <v:line style="position:absolute" from="2891,6673" to="2891,6818" stroked="true" strokeweight=".193115pt" strokecolor="#000000">
              <v:stroke dashstyle="solid"/>
            </v:line>
            <v:line style="position:absolute" from="2891,7107" to="2891,7360" stroked="true" strokeweight=".193115pt" strokecolor="#000000">
              <v:stroke dashstyle="solid"/>
            </v:line>
            <v:line style="position:absolute" from="3108,7829" to="3108,6601" stroked="true" strokeweight=".193115pt" strokecolor="#000000">
              <v:stroke dashstyle="solid"/>
            </v:line>
            <v:shape style="position:absolute;left:8467;top:8407;width:302;height:1121" coordorigin="8467,8407" coordsize="302,1121" path="m8467,8407l8467,9527,8769,9527e" filled="false" stroked="true" strokeweight=".193086pt" strokecolor="#2f2f2f">
              <v:path arrowok="t"/>
              <v:stroke dashstyle="shortdash"/>
            </v:shape>
            <v:shape style="position:absolute;left:8756;top:9479;width:145;height:97" coordorigin="8757,9479" coordsize="145,97" path="m8757,9576l8757,9479,8902,9527,8757,9576xe" filled="true" fillcolor="#2f2f2f" stroked="false">
              <v:path arrowok="t"/>
              <v:fill type="solid"/>
            </v:shape>
            <v:line style="position:absolute" from="8286,6890" to="8890,6890" stroked="true" strokeweight=".19269pt" strokecolor="#2f2f2f">
              <v:stroke dashstyle="solid"/>
            </v:line>
            <v:shape style="position:absolute;left:8165;top:6841;width:133;height:97" coordorigin="8165,6842" coordsize="133,97" path="m8298,6938l8165,6890,8298,6842,8298,6938xe" filled="true" fillcolor="#2f2f2f" stroked="false">
              <v:path arrowok="t"/>
              <v:fill type="solid"/>
            </v:shape>
            <v:line style="position:absolute" from="8286,6420" to="8540,6420" stroked="true" strokeweight=".19269pt" strokecolor="#2f2f2f">
              <v:stroke dashstyle="solid"/>
            </v:line>
            <v:shape style="position:absolute;left:8165;top:6372;width:133;height:97" coordorigin="8165,6372" coordsize="133,97" path="m8298,6469l8165,6420,8298,6372,8298,6469xe" filled="true" fillcolor="#2f2f2f" stroked="false">
              <v:path arrowok="t"/>
              <v:fill type="solid"/>
            </v:shape>
            <v:shape style="position:absolute;left:8889;top:6745;width:290;height:290" coordorigin="8890,6745" coordsize="290,290" path="m8890,6890l9010,6890m9059,6890l9179,6890m9010,6745l9010,7035m9059,6794l9059,6986m8962,6770l8962,6818m8938,6794l8974,6794m9083,6794l9119,6794e" filled="false" stroked="true" strokeweight=".578707pt" strokecolor="#000000">
              <v:path arrowok="t"/>
              <v:stroke dashstyle="solid"/>
            </v:shape>
            <v:line style="position:absolute" from="9179,6890" to="9481,6890" stroked="true" strokeweight=".19269pt" strokecolor="#000000">
              <v:stroke dashstyle="solid"/>
            </v:line>
            <v:shape style="position:absolute;left:9480;top:5372;width:2;height:1735" coordorigin="9481,5373" coordsize="0,1735" path="m9481,6420l9481,7107m9481,6420l9481,5373e" filled="false" stroked="true" strokeweight=".192902pt" strokecolor="#000000">
              <v:path arrowok="t"/>
              <v:stroke dashstyle="solid"/>
            </v:shape>
            <v:rect style="position:absolute;left:7236;top:5926;width:942;height:651" filled="false" stroked="true" strokeweight=".192827pt" strokecolor="#2f2f2f">
              <v:stroke dashstyle="solid"/>
            </v:rect>
            <v:shape style="position:absolute;left:7941;top:5355;width:37;height:37" coordorigin="7941,5356" coordsize="37,37" path="m7970,5392l7950,5392,7941,5384,7941,5374,7941,5364,7950,5356,7970,5356,7978,5364,7978,5384,7970,5392xe" filled="true" fillcolor="#000000" stroked="false">
              <v:path arrowok="t"/>
              <v:fill type="solid"/>
            </v:shape>
            <v:shape style="position:absolute;left:7941;top:5355;width:37;height:37" coordorigin="7941,5356" coordsize="37,37" path="m7941,5374l7941,5364,7950,5356,7960,5356,7970,5356,7978,5364,7978,5374,7978,5384,7970,5392,7960,5392,7950,5392,7941,5384,7941,5374xe" filled="false" stroked="true" strokeweight=".578705pt" strokecolor="#2f2f2f">
              <v:path arrowok="t"/>
              <v:stroke dashstyle="solid"/>
            </v:shape>
            <v:shape style="position:absolute;left:8519;top:6403;width:37;height:37" coordorigin="8519,6403" coordsize="37,37" path="m8547,6440l8527,6440,8519,6432,8519,6422,8519,6412,8527,6403,8547,6403,8555,6412,8555,6432,8547,6440xe" filled="true" fillcolor="#000000" stroked="false">
              <v:path arrowok="t"/>
              <v:fill type="solid"/>
            </v:shape>
            <v:shape style="position:absolute;left:8519;top:6403;width:37;height:37" coordorigin="8519,6403" coordsize="37,37" path="m8519,6422l8519,6412,8527,6403,8537,6403,8547,6403,8555,6412,8555,6422,8555,6432,8547,6440,8537,6440,8527,6440,8519,6432,8519,6422xe" filled="false" stroked="true" strokeweight=".578705pt" strokecolor="#2f2f2f">
              <v:path arrowok="t"/>
              <v:stroke dashstyle="solid"/>
            </v:shape>
            <v:shape style="position:absolute;left:8664;top:6403;width:37;height:37" coordorigin="8664,6403" coordsize="37,37" path="m8692,6440l8672,6440,8664,6432,8664,6422,8664,6412,8672,6403,8692,6403,8700,6412,8700,6432,8692,6440xe" filled="true" fillcolor="#000000" stroked="false">
              <v:path arrowok="t"/>
              <v:fill type="solid"/>
            </v:shape>
            <v:shape style="position:absolute;left:8664;top:6403;width:37;height:37" coordorigin="8664,6403" coordsize="37,37" path="m8664,6422l8664,6412,8672,6403,8682,6403,8692,6403,8700,6412,8700,6422,8700,6432,8692,6440,8682,6440,8672,6440,8664,6432,8664,6422xe" filled="false" stroked="true" strokeweight=".578705pt" strokecolor="#2f2f2f">
              <v:path arrowok="t"/>
              <v:stroke dashstyle="solid"/>
            </v:shape>
            <v:line style="position:absolute" from="8501,6349" to="8718,6349" stroked="true" strokeweight=".96345pt" strokecolor="#000000">
              <v:stroke dashstyle="solid"/>
            </v:line>
            <v:line style="position:absolute" from="8537,6241" to="8682,6241" stroked="true" strokeweight="1.734209pt" strokecolor="#000000">
              <v:stroke dashstyle="solid"/>
            </v:line>
            <v:line style="position:absolute" from="8610,6241" to="8610,6349" stroked="true" strokeweight=".965573pt" strokecolor="#000000">
              <v:stroke dashstyle="solid"/>
            </v:line>
            <v:line style="position:absolute" from="8829,6420" to="8684,6420" stroked="true" strokeweight=".19269pt" strokecolor="#000000">
              <v:stroke dashstyle="solid"/>
            </v:line>
            <v:line style="position:absolute" from="8829,6890" to="8829,6420" stroked="true" strokeweight=".193115pt" strokecolor="#000000">
              <v:stroke dashstyle="solid"/>
            </v:line>
            <v:shape style="position:absolute;left:8808;top:6873;width:37;height:37" coordorigin="8809,6873" coordsize="37,37" path="m8837,6909l8817,6909,8809,6901,8809,6891,8809,6881,8817,6873,8837,6873,8845,6881,8845,6901,8837,6909xe" filled="true" fillcolor="#000000" stroked="false">
              <v:path arrowok="t"/>
              <v:fill type="solid"/>
            </v:shape>
            <v:shape style="position:absolute;left:8808;top:6873;width:37;height:37" coordorigin="8809,6873" coordsize="37,37" path="m8809,6891l8809,6881,8817,6873,8827,6873,8837,6873,8845,6881,8845,6891,8845,6901,8837,6909,8827,6909,8817,6909,8809,6901,8809,6891xe" filled="false" stroked="true" strokeweight=".578705pt" strokecolor="#2f2f2f">
              <v:path arrowok="t"/>
              <v:stroke dashstyle="solid"/>
            </v:shape>
            <v:shape style="position:absolute;left:8503;top:6962;width:290;height:290" coordorigin="8503,6962" coordsize="290,290" path="m8503,7107l8624,7107m8672,7107l8793,7107m8624,6962l8624,7251m8672,7010l8672,7203m8576,6986l8576,7035m8564,7010l8600,7010m8709,7010l8745,7010e" filled="false" stroked="true" strokeweight=".578707pt" strokecolor="#000000">
              <v:path arrowok="t"/>
              <v:stroke dashstyle="solid"/>
            </v:shape>
            <v:line style="position:absolute" from="8793,7107" to="9481,7107" stroked="true" strokeweight=".19269pt" strokecolor="#000000">
              <v:stroke dashstyle="solid"/>
            </v:line>
            <v:shape style="position:absolute;left:9460;top:6873;width:37;height:37" coordorigin="9461,6873" coordsize="37,37" path="m9489,6909l9469,6909,9461,6901,9461,6891,9461,6881,9469,6873,9489,6873,9497,6881,9497,6901,9489,6909xe" filled="true" fillcolor="#000000" stroked="false">
              <v:path arrowok="t"/>
              <v:fill type="solid"/>
            </v:shape>
            <v:shape style="position:absolute;left:9460;top:6873;width:37;height:37" coordorigin="9461,6873" coordsize="37,37" path="m9461,6891l9461,6881,9469,6873,9479,6873,9489,6873,9497,6881,9497,6891,9497,6901,9489,6909,9479,6909,9469,6909,9461,6901,9461,6891xe" filled="false" stroked="true" strokeweight=".578705pt" strokecolor="#2f2f2f">
              <v:path arrowok="t"/>
              <v:stroke dashstyle="solid"/>
            </v:shape>
            <v:line style="position:absolute" from="8298,7107" to="8503,7107" stroked="true" strokeweight=".19269pt" strokecolor="#2f2f2f">
              <v:stroke dashstyle="solid"/>
            </v:line>
            <v:shape style="position:absolute;left:8177;top:7058;width:133;height:97" coordorigin="8177,7059" coordsize="133,97" path="m8310,7155l8177,7107,8310,7059,8310,7155xe" filled="true" fillcolor="#2f2f2f" stroked="false">
              <v:path arrowok="t"/>
              <v:fill type="solid"/>
            </v:shape>
            <v:line style="position:absolute" from="8177,9636" to="8781,9636" stroked="true" strokeweight=".19269pt" strokecolor="#2f2f2f">
              <v:stroke dashstyle="solid"/>
            </v:line>
            <v:shape style="position:absolute;left:8768;top:9587;width:133;height:97" coordorigin="8769,9588" coordsize="133,97" path="m8769,9684l8769,9588,8902,9636,8769,9684xe" filled="true" fillcolor="#2f2f2f" stroked="false">
              <v:path arrowok="t"/>
              <v:fill type="solid"/>
            </v:shape>
            <v:rect style="position:absolute;left:4991;top:9852;width:1087;height:723" filled="false" stroked="true" strokeweight=".19282pt" strokecolor="#2f2f2f">
              <v:stroke dashstyle="solid"/>
            </v:rect>
            <v:line style="position:absolute" from="4870,9997" to="4339,9997" stroked="true" strokeweight=".19269pt" strokecolor="#2f2f2f">
              <v:stroke dashstyle="solid"/>
            </v:line>
            <v:shape style="position:absolute;left:4858;top:9948;width:133;height:97" coordorigin="4858,9949" coordsize="133,97" path="m4858,10045l4858,9949,4991,9997,4858,10045xe" filled="true" fillcolor="#2f2f2f" stroked="false">
              <v:path arrowok="t"/>
              <v:fill type="solid"/>
            </v:shape>
            <v:line style="position:absolute" from="4870,10142" to="4339,10142" stroked="true" strokeweight=".19269pt" strokecolor="#2f2f2f">
              <v:stroke dashstyle="solid"/>
            </v:line>
            <v:shape style="position:absolute;left:4858;top:10093;width:133;height:97" coordorigin="4858,10093" coordsize="133,97" path="m4858,10190l4858,10093,4991,10142,4858,10190xe" filled="true" fillcolor="#2f2f2f" stroked="false">
              <v:path arrowok="t"/>
              <v:fill type="solid"/>
            </v:shape>
            <v:line style="position:absolute" from="4991,10286" to="4460,10286" stroked="true" strokeweight=".19269pt" strokecolor="#2f2f2f">
              <v:stroke dashstyle="solid"/>
            </v:line>
            <v:shape style="position:absolute;left:4339;top:10238;width:133;height:97" coordorigin="4339,10238" coordsize="133,97" path="m4472,10334l4339,10286,4472,10238,4472,10334xe" filled="true" fillcolor="#2f2f2f" stroked="false">
              <v:path arrowok="t"/>
              <v:fill type="solid"/>
            </v:shape>
            <v:line style="position:absolute" from="4870,10431" to="4339,10431" stroked="true" strokeweight=".19269pt" strokecolor="#2f2f2f">
              <v:stroke dashstyle="solid"/>
            </v:line>
            <v:shape style="position:absolute;left:4858;top:10382;width:133;height:97" coordorigin="4858,10383" coordsize="133,97" path="m4858,10479l4858,10383,4991,10431,4858,10479xe" filled="true" fillcolor="#2f2f2f" stroked="false">
              <v:path arrowok="t"/>
              <v:fill type="solid"/>
            </v:shape>
            <v:rect style="position:absolute;left:3470;top:9961;width:870;height:506" filled="false" stroked="true" strokeweight=".578392pt" strokecolor="#2f2f2f">
              <v:stroke dashstyle="solid"/>
            </v:rect>
            <v:shape style="position:absolute;left:2644;top:2269;width:113;height:144" type="#_x0000_t202" filled="false" stroked="false">
              <v:textbox inset="0,0,0,0">
                <w:txbxContent>
                  <w:p>
                    <w:pPr>
                      <w:spacing w:line="144" w:lineRule="exact" w:before="0"/>
                      <w:ind w:left="0" w:right="0" w:firstLine="0"/>
                      <w:jc w:val="left"/>
                      <w:rPr>
                        <w:b/>
                        <w:sz w:val="13"/>
                      </w:rPr>
                    </w:pPr>
                    <w:r>
                      <w:rPr>
                        <w:b/>
                        <w:w w:val="99"/>
                        <w:sz w:val="13"/>
                      </w:rPr>
                      <w:t>C</w:t>
                    </w:r>
                  </w:p>
                </w:txbxContent>
              </v:textbox>
              <w10:wrap type="none"/>
            </v:shape>
            <v:shape style="position:absolute;left:3192;top:2142;width:1657;height:180" type="#_x0000_t202" filled="false" stroked="false">
              <v:textbox inset="0,0,0,0">
                <w:txbxContent>
                  <w:p>
                    <w:pPr>
                      <w:spacing w:line="179" w:lineRule="exact" w:before="0"/>
                      <w:ind w:left="0" w:right="0" w:firstLine="0"/>
                      <w:jc w:val="left"/>
                      <w:rPr>
                        <w:sz w:val="16"/>
                      </w:rPr>
                    </w:pPr>
                    <w:r>
                      <w:rPr>
                        <w:sz w:val="16"/>
                      </w:rPr>
                      <w:t>Shunt Current Sensors</w:t>
                    </w:r>
                  </w:p>
                </w:txbxContent>
              </v:textbox>
              <w10:wrap type="none"/>
            </v:shape>
            <v:shape style="position:absolute;left:2472;top:2558;width:635;height:144" type="#_x0000_t202" filled="false" stroked="false">
              <v:textbox inset="0,0,0,0">
                <w:txbxContent>
                  <w:p>
                    <w:pPr>
                      <w:spacing w:line="144" w:lineRule="exact" w:before="0"/>
                      <w:ind w:left="0" w:right="0" w:firstLine="0"/>
                      <w:jc w:val="left"/>
                      <w:rPr>
                        <w:b/>
                        <w:sz w:val="13"/>
                      </w:rPr>
                    </w:pPr>
                    <w:r>
                      <w:rPr>
                        <w:b/>
                        <w:sz w:val="13"/>
                      </w:rPr>
                      <w:t>NEUTRAL</w:t>
                    </w:r>
                  </w:p>
                </w:txbxContent>
              </v:textbox>
              <w10:wrap type="none"/>
            </v:shape>
            <v:shape style="position:absolute;left:6783;top:2544;width:459;height:180" type="#_x0000_t202" filled="false" stroked="false">
              <v:textbox inset="0,0,0,0">
                <w:txbxContent>
                  <w:p>
                    <w:pPr>
                      <w:spacing w:line="179" w:lineRule="exact" w:before="0"/>
                      <w:ind w:left="0" w:right="0" w:firstLine="0"/>
                      <w:jc w:val="left"/>
                      <w:rPr>
                        <w:sz w:val="16"/>
                      </w:rPr>
                    </w:pPr>
                    <w:r>
                      <w:rPr>
                        <w:sz w:val="16"/>
                      </w:rPr>
                      <w:t>LOAD</w:t>
                    </w:r>
                  </w:p>
                </w:txbxContent>
              </v:textbox>
              <w10:wrap type="none"/>
            </v:shape>
            <v:shape style="position:absolute;left:2641;top:2849;width:113;height:576" type="#_x0000_t202" filled="false" stroked="false">
              <v:textbox inset="0,0,0,0">
                <w:txbxContent>
                  <w:p>
                    <w:pPr>
                      <w:spacing w:line="144" w:lineRule="exact" w:before="0"/>
                      <w:ind w:left="0" w:right="0" w:firstLine="0"/>
                      <w:jc w:val="left"/>
                      <w:rPr>
                        <w:b/>
                        <w:sz w:val="13"/>
                      </w:rPr>
                    </w:pPr>
                    <w:r>
                      <w:rPr>
                        <w:b/>
                        <w:w w:val="99"/>
                        <w:sz w:val="13"/>
                      </w:rPr>
                      <w:t>B</w:t>
                    </w:r>
                  </w:p>
                  <w:p>
                    <w:pPr>
                      <w:spacing w:line="240" w:lineRule="auto" w:before="0"/>
                      <w:rPr>
                        <w:b/>
                        <w:sz w:val="14"/>
                      </w:rPr>
                    </w:pPr>
                  </w:p>
                  <w:p>
                    <w:pPr>
                      <w:spacing w:line="149" w:lineRule="exact" w:before="121"/>
                      <w:ind w:left="0" w:right="0" w:firstLine="0"/>
                      <w:jc w:val="left"/>
                      <w:rPr>
                        <w:b/>
                        <w:sz w:val="13"/>
                      </w:rPr>
                    </w:pPr>
                    <w:r>
                      <w:rPr>
                        <w:b/>
                        <w:w w:val="99"/>
                        <w:sz w:val="13"/>
                      </w:rPr>
                      <w:t>A</w:t>
                    </w:r>
                  </w:p>
                </w:txbxContent>
              </v:textbox>
              <w10:wrap type="none"/>
            </v:shape>
            <v:shape style="position:absolute;left:4452;top:4356;width:4167;height:755" type="#_x0000_t202" filled="false" stroked="false">
              <v:textbox inset="0,0,0,0">
                <w:txbxContent>
                  <w:p>
                    <w:pPr>
                      <w:spacing w:line="144" w:lineRule="exact" w:before="0"/>
                      <w:ind w:left="569" w:right="0" w:firstLine="0"/>
                      <w:jc w:val="left"/>
                      <w:rPr>
                        <w:sz w:val="13"/>
                      </w:rPr>
                    </w:pPr>
                    <w:r>
                      <w:rPr>
                        <w:sz w:val="13"/>
                      </w:rPr>
                      <w:t>NEUTRAL</w:t>
                    </w:r>
                  </w:p>
                  <w:p>
                    <w:pPr>
                      <w:spacing w:before="30"/>
                      <w:ind w:left="540" w:right="0" w:firstLine="0"/>
                      <w:jc w:val="left"/>
                      <w:rPr>
                        <w:sz w:val="19"/>
                      </w:rPr>
                    </w:pPr>
                    <w:r>
                      <w:rPr>
                        <w:sz w:val="19"/>
                      </w:rPr>
                      <w:t>Note: This system is referenced to Neutral</w:t>
                    </w:r>
                  </w:p>
                  <w:p>
                    <w:pPr>
                      <w:spacing w:before="143"/>
                      <w:ind w:left="0" w:right="0" w:firstLine="0"/>
                      <w:jc w:val="left"/>
                      <w:rPr>
                        <w:b/>
                        <w:sz w:val="19"/>
                      </w:rPr>
                    </w:pPr>
                    <w:r>
                      <w:rPr>
                        <w:b/>
                        <w:sz w:val="19"/>
                      </w:rPr>
                      <w:t>3x 71M6xx3</w:t>
                    </w:r>
                  </w:p>
                </w:txbxContent>
              </v:textbox>
              <w10:wrap type="none"/>
            </v:shape>
            <v:shape style="position:absolute;left:6164;top:5666;width:1922;height:153" type="#_x0000_t202" filled="false" stroked="false">
              <v:textbox inset="0,0,0,0">
                <w:txbxContent>
                  <w:p>
                    <w:pPr>
                      <w:spacing w:line="153" w:lineRule="exact" w:before="0"/>
                      <w:ind w:left="0" w:right="0" w:firstLine="0"/>
                      <w:jc w:val="left"/>
                      <w:rPr>
                        <w:sz w:val="13"/>
                      </w:rPr>
                    </w:pPr>
                    <w:r>
                      <w:rPr>
                        <w:position w:val="1"/>
                        <w:sz w:val="13"/>
                      </w:rPr>
                      <w:t>V3P3A V3P3SYS </w:t>
                    </w:r>
                    <w:r>
                      <w:rPr>
                        <w:sz w:val="13"/>
                      </w:rPr>
                      <w:t>GNDA GNDD</w:t>
                    </w:r>
                  </w:p>
                </w:txbxContent>
              </v:textbox>
              <w10:wrap type="none"/>
            </v:shape>
            <v:shape style="position:absolute;left:3250;top:5801;width:1144;height:144" type="#_x0000_t202" filled="false" stroked="false">
              <v:textbox inset="0,0,0,0">
                <w:txbxContent>
                  <w:p>
                    <w:pPr>
                      <w:spacing w:line="144" w:lineRule="exact" w:before="0"/>
                      <w:ind w:left="0" w:right="0" w:firstLine="0"/>
                      <w:jc w:val="left"/>
                      <w:rPr>
                        <w:sz w:val="13"/>
                      </w:rPr>
                    </w:pPr>
                    <w:r>
                      <w:rPr>
                        <w:sz w:val="13"/>
                      </w:rPr>
                      <w:t>Pulse Transformers</w:t>
                    </w:r>
                  </w:p>
                </w:txbxContent>
              </v:textbox>
              <w10:wrap type="none"/>
            </v:shape>
            <v:shape style="position:absolute;left:6194;top:6450;width:997;height:447" type="#_x0000_t202" filled="false" stroked="false">
              <v:textbox inset="0,0,0,0">
                <w:txbxContent>
                  <w:p>
                    <w:pPr>
                      <w:spacing w:line="215" w:lineRule="exact" w:before="0"/>
                      <w:ind w:left="0" w:right="0" w:firstLine="0"/>
                      <w:jc w:val="left"/>
                      <w:rPr>
                        <w:b/>
                        <w:sz w:val="19"/>
                      </w:rPr>
                    </w:pPr>
                    <w:r>
                      <w:rPr>
                        <w:b/>
                        <w:sz w:val="19"/>
                      </w:rPr>
                      <w:t>71M6543F/</w:t>
                    </w:r>
                  </w:p>
                  <w:p>
                    <w:pPr>
                      <w:spacing w:before="12"/>
                      <w:ind w:left="10" w:right="0" w:firstLine="0"/>
                      <w:jc w:val="left"/>
                      <w:rPr>
                        <w:b/>
                        <w:sz w:val="19"/>
                      </w:rPr>
                    </w:pPr>
                    <w:r>
                      <w:rPr>
                        <w:b/>
                        <w:sz w:val="19"/>
                      </w:rPr>
                      <w:t>71M6543G</w:t>
                    </w:r>
                  </w:p>
                </w:txbxContent>
              </v:textbox>
              <w10:wrap type="none"/>
            </v:shape>
            <v:shape style="position:absolute;left:8858;top:6596;width:616;height:835" type="#_x0000_t202" filled="false" stroked="false">
              <v:textbox inset="0,0,0,0">
                <w:txbxContent>
                  <w:p>
                    <w:pPr>
                      <w:spacing w:line="144" w:lineRule="exact" w:before="0"/>
                      <w:ind w:left="0" w:right="0" w:firstLine="0"/>
                      <w:jc w:val="left"/>
                      <w:rPr>
                        <w:sz w:val="13"/>
                      </w:rPr>
                    </w:pPr>
                    <w:r>
                      <w:rPr>
                        <w:sz w:val="13"/>
                      </w:rPr>
                      <w:t>BATTERY</w:t>
                    </w:r>
                  </w:p>
                  <w:p>
                    <w:pPr>
                      <w:spacing w:line="240" w:lineRule="auto" w:before="0"/>
                      <w:rPr>
                        <w:sz w:val="14"/>
                      </w:rPr>
                    </w:pPr>
                  </w:p>
                  <w:p>
                    <w:pPr>
                      <w:spacing w:line="240" w:lineRule="auto" w:before="8"/>
                      <w:rPr>
                        <w:sz w:val="19"/>
                      </w:rPr>
                    </w:pPr>
                  </w:p>
                  <w:p>
                    <w:pPr>
                      <w:spacing w:line="247" w:lineRule="auto" w:before="0"/>
                      <w:ind w:left="2" w:right="0" w:firstLine="0"/>
                      <w:jc w:val="left"/>
                      <w:rPr>
                        <w:sz w:val="13"/>
                      </w:rPr>
                    </w:pPr>
                    <w:r>
                      <w:rPr>
                        <w:sz w:val="13"/>
                      </w:rPr>
                      <w:t>RTC </w:t>
                    </w:r>
                    <w:r>
                      <w:rPr>
                        <w:w w:val="95"/>
                        <w:sz w:val="13"/>
                      </w:rPr>
                      <w:t>BATTERY</w:t>
                    </w:r>
                  </w:p>
                </w:txbxContent>
              </v:textbox>
              <w10:wrap type="none"/>
            </v:shape>
            <v:shape style="position:absolute;left:5056;top:8076;width:972;height:1265" type="#_x0000_t202" filled="false" stroked="false">
              <v:textbox inset="0,0,0,0">
                <w:txbxContent>
                  <w:p>
                    <w:pPr>
                      <w:spacing w:line="144" w:lineRule="exact" w:before="0"/>
                      <w:ind w:left="0" w:right="0" w:firstLine="0"/>
                      <w:jc w:val="left"/>
                      <w:rPr>
                        <w:b/>
                        <w:sz w:val="13"/>
                      </w:rPr>
                    </w:pPr>
                    <w:r>
                      <w:rPr>
                        <w:b/>
                        <w:sz w:val="13"/>
                      </w:rPr>
                      <w:t>SERIAL PORTS</w:t>
                    </w:r>
                  </w:p>
                  <w:p>
                    <w:pPr>
                      <w:spacing w:line="376" w:lineRule="auto" w:before="105"/>
                      <w:ind w:left="113" w:right="667" w:firstLine="0"/>
                      <w:jc w:val="left"/>
                      <w:rPr>
                        <w:sz w:val="13"/>
                      </w:rPr>
                    </w:pPr>
                    <w:r>
                      <w:rPr>
                        <w:sz w:val="13"/>
                      </w:rPr>
                      <w:t>TX </w:t>
                    </w:r>
                    <w:r>
                      <w:rPr>
                        <w:w w:val="95"/>
                        <w:sz w:val="13"/>
                      </w:rPr>
                      <w:t>RX</w:t>
                    </w:r>
                  </w:p>
                  <w:p>
                    <w:pPr>
                      <w:spacing w:line="240" w:lineRule="auto" w:before="2"/>
                      <w:rPr>
                        <w:sz w:val="16"/>
                      </w:rPr>
                    </w:pPr>
                  </w:p>
                  <w:p>
                    <w:pPr>
                      <w:spacing w:line="180" w:lineRule="atLeast" w:before="0"/>
                      <w:ind w:left="620" w:right="133" w:firstLine="18"/>
                      <w:jc w:val="left"/>
                      <w:rPr>
                        <w:sz w:val="13"/>
                      </w:rPr>
                    </w:pPr>
                    <w:r>
                      <w:rPr>
                        <w:sz w:val="13"/>
                      </w:rPr>
                      <w:t>RX TX</w:t>
                    </w:r>
                  </w:p>
                </w:txbxContent>
              </v:textbox>
              <w10:wrap type="none"/>
            </v:shape>
            <v:shape style="position:absolute;left:3679;top:10117;width:467;height:180" type="#_x0000_t202" filled="false" stroked="false">
              <v:textbox inset="0,0,0,0">
                <w:txbxContent>
                  <w:p>
                    <w:pPr>
                      <w:spacing w:line="179" w:lineRule="exact" w:before="0"/>
                      <w:ind w:left="0" w:right="0" w:firstLine="0"/>
                      <w:jc w:val="left"/>
                      <w:rPr>
                        <w:sz w:val="16"/>
                      </w:rPr>
                    </w:pPr>
                    <w:r>
                      <w:rPr>
                        <w:sz w:val="16"/>
                      </w:rPr>
                      <w:t>HOST</w:t>
                    </w:r>
                  </w:p>
                </w:txbxContent>
              </v:textbox>
              <w10:wrap type="none"/>
            </v:shape>
            <v:shape style="position:absolute;left:9029;top:10108;width:521;height:180" type="#_x0000_t202" filled="false" stroked="false">
              <v:textbox inset="0,0,0,0">
                <w:txbxContent>
                  <w:p>
                    <w:pPr>
                      <w:spacing w:line="179" w:lineRule="exact" w:before="0"/>
                      <w:ind w:left="0" w:right="0" w:firstLine="0"/>
                      <w:jc w:val="left"/>
                      <w:rPr>
                        <w:sz w:val="16"/>
                      </w:rPr>
                    </w:pPr>
                    <w:r>
                      <w:rPr>
                        <w:sz w:val="16"/>
                      </w:rPr>
                      <w:t>32 kHz</w:t>
                    </w:r>
                  </w:p>
                </w:txbxContent>
              </v:textbox>
              <w10:wrap type="none"/>
            </v:shape>
            <v:shape style="position:absolute;left:6079;top:10251;width:1155;height:308" type="#_x0000_t202" filled="false" stroked="false">
              <v:textbox inset="0,0,0,0">
                <w:txbxContent>
                  <w:p>
                    <w:pPr>
                      <w:spacing w:before="24"/>
                      <w:ind w:left="87" w:right="89" w:firstLine="0"/>
                      <w:jc w:val="center"/>
                      <w:rPr>
                        <w:b/>
                        <w:sz w:val="13"/>
                      </w:rPr>
                    </w:pPr>
                    <w:r>
                      <w:rPr>
                        <w:b/>
                        <w:sz w:val="13"/>
                      </w:rPr>
                      <w:t>ICE</w:t>
                    </w:r>
                  </w:p>
                </w:txbxContent>
              </v:textbox>
              <w10:wrap type="none"/>
            </v:shape>
            <v:shape style="position:absolute;left:5006;top:9854;width:1070;height:705" type="#_x0000_t202" filled="false" stroked="false">
              <v:textbox inset="0,0,0,0">
                <w:txbxContent>
                  <w:p>
                    <w:pPr>
                      <w:spacing w:line="240" w:lineRule="auto" w:before="0"/>
                      <w:rPr>
                        <w:b/>
                        <w:sz w:val="14"/>
                      </w:rPr>
                    </w:pPr>
                  </w:p>
                  <w:p>
                    <w:pPr>
                      <w:spacing w:before="116"/>
                      <w:ind w:left="35" w:right="0" w:firstLine="0"/>
                      <w:jc w:val="left"/>
                      <w:rPr>
                        <w:b/>
                        <w:sz w:val="13"/>
                      </w:rPr>
                    </w:pPr>
                    <w:r>
                      <w:rPr>
                        <w:b/>
                        <w:sz w:val="13"/>
                      </w:rPr>
                      <w:t>SPI INTERFACE</w:t>
                    </w:r>
                  </w:p>
                </w:txbxContent>
              </v:textbox>
              <w10:wrap type="none"/>
            </v:shape>
            <v:shape style="position:absolute;left:7237;top:9673;width:922;height:886" type="#_x0000_t202" filled="false" stroked="false">
              <v:textbox inset="0,0,0,0">
                <w:txbxContent>
                  <w:p>
                    <w:pPr>
                      <w:spacing w:before="37"/>
                      <w:ind w:left="0" w:right="15" w:firstLine="0"/>
                      <w:jc w:val="right"/>
                      <w:rPr>
                        <w:b/>
                        <w:sz w:val="13"/>
                      </w:rPr>
                    </w:pPr>
                    <w:r>
                      <w:rPr>
                        <w:b/>
                        <w:w w:val="95"/>
                        <w:sz w:val="13"/>
                      </w:rPr>
                      <w:t>OSCILLATOR/</w:t>
                    </w:r>
                  </w:p>
                  <w:p>
                    <w:pPr>
                      <w:spacing w:before="5"/>
                      <w:ind w:left="344" w:right="0" w:firstLine="0"/>
                      <w:jc w:val="left"/>
                      <w:rPr>
                        <w:sz w:val="13"/>
                      </w:rPr>
                    </w:pPr>
                    <w:r>
                      <w:rPr>
                        <w:b/>
                        <w:sz w:val="13"/>
                      </w:rPr>
                      <w:t>PLL </w:t>
                    </w:r>
                    <w:r>
                      <w:rPr>
                        <w:b/>
                        <w:spacing w:val="3"/>
                        <w:sz w:val="13"/>
                      </w:rPr>
                      <w:t> </w:t>
                    </w:r>
                    <w:r>
                      <w:rPr>
                        <w:position w:val="-8"/>
                        <w:sz w:val="13"/>
                      </w:rPr>
                      <w:t>XIN</w:t>
                    </w:r>
                  </w:p>
                  <w:p>
                    <w:pPr>
                      <w:spacing w:line="240" w:lineRule="auto" w:before="0"/>
                      <w:rPr>
                        <w:sz w:val="18"/>
                      </w:rPr>
                    </w:pPr>
                  </w:p>
                  <w:p>
                    <w:pPr>
                      <w:spacing w:before="0"/>
                      <w:ind w:left="0" w:right="26" w:firstLine="0"/>
                      <w:jc w:val="right"/>
                      <w:rPr>
                        <w:sz w:val="13"/>
                      </w:rPr>
                    </w:pPr>
                    <w:r>
                      <w:rPr>
                        <w:w w:val="95"/>
                        <w:sz w:val="13"/>
                      </w:rPr>
                      <w:t>XOUT</w:t>
                    </w:r>
                  </w:p>
                </w:txbxContent>
              </v:textbox>
              <w10:wrap type="none"/>
            </v:shape>
            <v:shape style="position:absolute;left:5006;top:9396;width:1070;height:454" type="#_x0000_t202" filled="false" stroked="false">
              <v:textbox inset="0,0,0,0">
                <w:txbxContent>
                  <w:p>
                    <w:pPr>
                      <w:spacing w:line="247" w:lineRule="auto" w:before="70"/>
                      <w:ind w:left="57" w:right="0" w:hanging="4"/>
                      <w:jc w:val="left"/>
                      <w:rPr>
                        <w:b/>
                        <w:sz w:val="13"/>
                      </w:rPr>
                    </w:pPr>
                    <w:r>
                      <w:rPr>
                        <w:b/>
                        <w:sz w:val="13"/>
                      </w:rPr>
                      <w:t>POWER FAULT </w:t>
                    </w:r>
                    <w:r>
                      <w:rPr>
                        <w:b/>
                        <w:w w:val="95"/>
                        <w:sz w:val="13"/>
                      </w:rPr>
                      <w:t>COMPARATOR</w:t>
                    </w:r>
                  </w:p>
                </w:txbxContent>
              </v:textbox>
              <w10:wrap type="none"/>
            </v:shape>
            <v:shape style="position:absolute;left:6077;top:9262;width:1159;height:988" type="#_x0000_t202" filled="false" stroked="true" strokeweight=".193039pt" strokecolor="#2f2f2f">
              <v:textbox inset="0,0,0,0">
                <w:txbxContent>
                  <w:p>
                    <w:pPr>
                      <w:spacing w:line="252" w:lineRule="auto" w:before="154"/>
                      <w:ind w:left="271" w:right="273" w:hanging="1"/>
                      <w:jc w:val="center"/>
                      <w:rPr>
                        <w:b/>
                        <w:sz w:val="16"/>
                      </w:rPr>
                    </w:pPr>
                    <w:r>
                      <w:rPr>
                        <w:b/>
                        <w:sz w:val="19"/>
                      </w:rPr>
                      <w:t>MPU </w:t>
                    </w:r>
                    <w:r>
                      <w:rPr>
                        <w:b/>
                        <w:sz w:val="16"/>
                      </w:rPr>
                      <w:t>RTC TIMERS</w:t>
                    </w:r>
                  </w:p>
                </w:txbxContent>
              </v:textbox>
              <v:stroke dashstyle="solid"/>
              <w10:wrap type="none"/>
            </v:shape>
            <v:shape style="position:absolute;left:5006;top:8915;width:635;height:478" type="#_x0000_t202" filled="false" stroked="false">
              <v:textbox inset="0,0,0,0">
                <w:txbxContent>
                  <w:p>
                    <w:pPr>
                      <w:spacing w:line="247" w:lineRule="auto" w:before="78"/>
                      <w:ind w:left="129" w:right="0" w:hanging="76"/>
                      <w:jc w:val="left"/>
                      <w:rPr>
                        <w:sz w:val="13"/>
                      </w:rPr>
                    </w:pPr>
                    <w:r>
                      <w:rPr>
                        <w:w w:val="95"/>
                        <w:sz w:val="13"/>
                      </w:rPr>
                      <w:t>MODUL- </w:t>
                    </w:r>
                    <w:r>
                      <w:rPr>
                        <w:sz w:val="13"/>
                      </w:rPr>
                      <w:t>ATOR</w:t>
                    </w:r>
                  </w:p>
                </w:txbxContent>
              </v:textbox>
              <w10:wrap type="none"/>
            </v:shape>
            <v:shape style="position:absolute;left:6077;top:8624;width:1159;height:639" type="#_x0000_t202" filled="false" stroked="true" strokeweight=".193065pt" strokecolor="#2f2f2f">
              <v:textbox inset="0,0,0,0">
                <w:txbxContent>
                  <w:p>
                    <w:pPr>
                      <w:spacing w:line="252" w:lineRule="auto" w:before="112"/>
                      <w:ind w:left="213" w:right="202" w:firstLine="93"/>
                      <w:jc w:val="left"/>
                      <w:rPr>
                        <w:b/>
                        <w:sz w:val="16"/>
                      </w:rPr>
                    </w:pPr>
                    <w:r>
                      <w:rPr>
                        <w:b/>
                        <w:sz w:val="16"/>
                      </w:rPr>
                      <w:t>FLASH MEMORY</w:t>
                    </w:r>
                  </w:p>
                </w:txbxContent>
              </v:textbox>
              <v:stroke dashstyle="solid"/>
              <w10:wrap type="none"/>
            </v:shape>
            <v:shape style="position:absolute;left:6077;top:8010;width:1159;height:615" type="#_x0000_t202" filled="false" stroked="true" strokeweight=".19306pt" strokecolor="#2f2f2f">
              <v:textbox inset="0,0,0,0">
                <w:txbxContent>
                  <w:p>
                    <w:pPr>
                      <w:spacing w:line="252" w:lineRule="auto" w:before="126"/>
                      <w:ind w:left="266" w:right="163" w:hanging="94"/>
                      <w:jc w:val="left"/>
                      <w:rPr>
                        <w:b/>
                        <w:sz w:val="16"/>
                      </w:rPr>
                    </w:pPr>
                    <w:r>
                      <w:rPr>
                        <w:b/>
                        <w:sz w:val="16"/>
                      </w:rPr>
                      <w:t>COMPUTE ENGINE</w:t>
                    </w:r>
                  </w:p>
                </w:txbxContent>
              </v:textbox>
              <v:stroke dashstyle="solid"/>
              <w10:wrap type="none"/>
            </v:shape>
            <v:shape style="position:absolute;left:7713;top:9559;width:428;height:144" type="#_x0000_t202" filled="false" stroked="false">
              <v:textbox inset="0,0,0,0">
                <w:txbxContent>
                  <w:p>
                    <w:pPr>
                      <w:spacing w:line="144" w:lineRule="exact" w:before="0"/>
                      <w:ind w:left="0" w:right="0" w:firstLine="0"/>
                      <w:jc w:val="left"/>
                      <w:rPr>
                        <w:sz w:val="13"/>
                      </w:rPr>
                    </w:pPr>
                    <w:r>
                      <w:rPr>
                        <w:sz w:val="13"/>
                      </w:rPr>
                      <w:t>V3P3D</w:t>
                    </w:r>
                  </w:p>
                </w:txbxContent>
              </v:textbox>
              <w10:wrap type="none"/>
            </v:shape>
            <v:shape style="position:absolute;left:7296;top:7897;width:836;height:1156" type="#_x0000_t202" filled="false" stroked="false">
              <v:textbox inset="0,0,0,0">
                <w:txbxContent>
                  <w:p>
                    <w:pPr>
                      <w:spacing w:line="144" w:lineRule="exact" w:before="0"/>
                      <w:ind w:left="0" w:right="18" w:firstLine="0"/>
                      <w:jc w:val="right"/>
                      <w:rPr>
                        <w:sz w:val="13"/>
                      </w:rPr>
                    </w:pPr>
                    <w:r>
                      <w:rPr>
                        <w:spacing w:val="-1"/>
                        <w:w w:val="95"/>
                        <w:sz w:val="13"/>
                      </w:rPr>
                      <w:t>COM0...5</w:t>
                    </w:r>
                  </w:p>
                  <w:p>
                    <w:pPr>
                      <w:spacing w:line="348" w:lineRule="auto" w:before="67"/>
                      <w:ind w:left="278" w:right="18" w:firstLine="264"/>
                      <w:jc w:val="right"/>
                      <w:rPr>
                        <w:sz w:val="13"/>
                      </w:rPr>
                    </w:pPr>
                    <w:r>
                      <w:rPr>
                        <w:w w:val="95"/>
                        <w:sz w:val="13"/>
                      </w:rPr>
                      <w:t>SEG SEG/DIO</w:t>
                    </w:r>
                  </w:p>
                  <w:p>
                    <w:pPr>
                      <w:spacing w:line="247" w:lineRule="auto" w:before="0"/>
                      <w:ind w:left="0" w:right="18" w:firstLine="14"/>
                      <w:jc w:val="right"/>
                      <w:rPr>
                        <w:b/>
                        <w:sz w:val="13"/>
                      </w:rPr>
                    </w:pPr>
                    <w:r>
                      <w:rPr>
                        <w:b/>
                        <w:sz w:val="13"/>
                      </w:rPr>
                      <w:t>LCD</w:t>
                    </w:r>
                    <w:r>
                      <w:rPr>
                        <w:b/>
                        <w:spacing w:val="-15"/>
                        <w:sz w:val="13"/>
                      </w:rPr>
                      <w:t> </w:t>
                    </w:r>
                    <w:r>
                      <w:rPr>
                        <w:b/>
                        <w:sz w:val="13"/>
                      </w:rPr>
                      <w:t>DRIVER</w:t>
                    </w:r>
                    <w:r>
                      <w:rPr>
                        <w:b/>
                        <w:spacing w:val="-1"/>
                        <w:w w:val="99"/>
                        <w:sz w:val="13"/>
                      </w:rPr>
                      <w:t> </w:t>
                    </w:r>
                    <w:r>
                      <w:rPr>
                        <w:b/>
                        <w:sz w:val="13"/>
                      </w:rPr>
                      <w:t>DIO,</w:t>
                    </w:r>
                    <w:r>
                      <w:rPr>
                        <w:b/>
                        <w:spacing w:val="-9"/>
                        <w:sz w:val="13"/>
                      </w:rPr>
                      <w:t> </w:t>
                    </w:r>
                    <w:r>
                      <w:rPr>
                        <w:b/>
                        <w:spacing w:val="-3"/>
                        <w:sz w:val="13"/>
                      </w:rPr>
                      <w:t>PULSES</w:t>
                    </w:r>
                  </w:p>
                  <w:p>
                    <w:pPr>
                      <w:spacing w:line="149" w:lineRule="exact" w:before="53"/>
                      <w:ind w:left="0" w:right="27" w:firstLine="0"/>
                      <w:jc w:val="right"/>
                      <w:rPr>
                        <w:sz w:val="13"/>
                      </w:rPr>
                    </w:pPr>
                    <w:r>
                      <w:rPr>
                        <w:spacing w:val="-2"/>
                        <w:sz w:val="13"/>
                      </w:rPr>
                      <w:t>DIO</w:t>
                    </w:r>
                  </w:p>
                </w:txbxContent>
              </v:textbox>
              <w10:wrap type="none"/>
            </v:shape>
            <v:shape style="position:absolute;left:6077;top:7684;width:1159;height:326" type="#_x0000_t202" filled="false" stroked="true" strokeweight=".193039pt" strokecolor="#2f2f2f">
              <v:textbox inset="0,0,0,0">
                <w:txbxContent>
                  <w:p>
                    <w:pPr>
                      <w:spacing w:before="78"/>
                      <w:ind w:left="374" w:right="376" w:firstLine="0"/>
                      <w:jc w:val="center"/>
                      <w:rPr>
                        <w:b/>
                        <w:sz w:val="16"/>
                      </w:rPr>
                    </w:pPr>
                    <w:r>
                      <w:rPr>
                        <w:b/>
                        <w:sz w:val="16"/>
                      </w:rPr>
                      <w:t>RAM</w:t>
                    </w:r>
                  </w:p>
                </w:txbxContent>
              </v:textbox>
              <v:stroke dashstyle="solid"/>
              <w10:wrap type="none"/>
            </v:shape>
            <v:shape style="position:absolute;left:5006;top:7686;width:1070;height:322" type="#_x0000_t202" filled="false" stroked="false">
              <v:textbox inset="0,0,0,0">
                <w:txbxContent>
                  <w:p>
                    <w:pPr>
                      <w:spacing w:before="59"/>
                      <w:ind w:left="350" w:right="0" w:firstLine="0"/>
                      <w:jc w:val="left"/>
                      <w:rPr>
                        <w:b/>
                        <w:sz w:val="13"/>
                      </w:rPr>
                    </w:pPr>
                    <w:r>
                      <w:rPr>
                        <w:b/>
                        <w:sz w:val="13"/>
                      </w:rPr>
                      <w:t>VREF</w:t>
                    </w:r>
                  </w:p>
                </w:txbxContent>
              </v:textbox>
              <w10:wrap type="none"/>
            </v:shape>
            <v:shape style="position:absolute;left:7237;top:7217;width:922;height:466" type="#_x0000_t202" filled="false" stroked="false">
              <v:textbox inset="0,0,0,0">
                <w:txbxContent>
                  <w:p>
                    <w:pPr>
                      <w:spacing w:line="247" w:lineRule="auto" w:before="19"/>
                      <w:ind w:left="162" w:right="0" w:firstLine="0"/>
                      <w:jc w:val="left"/>
                      <w:rPr>
                        <w:b/>
                        <w:sz w:val="13"/>
                      </w:rPr>
                    </w:pPr>
                    <w:r>
                      <w:rPr>
                        <w:b/>
                        <w:w w:val="95"/>
                        <w:sz w:val="13"/>
                      </w:rPr>
                      <w:t>BATTERY MONITOR</w:t>
                    </w:r>
                  </w:p>
                </w:txbxContent>
              </v:textbox>
              <w10:wrap type="none"/>
            </v:shape>
            <v:shape style="position:absolute;left:6077;top:7215;width:1159;height:470" type="#_x0000_t202" filled="false" stroked="true" strokeweight=".19275pt" strokecolor="#2f2f2f">
              <v:textbox inset="0,0,0,0">
                <w:txbxContent>
                  <w:p>
                    <w:pPr>
                      <w:spacing w:line="259" w:lineRule="auto" w:before="59"/>
                      <w:ind w:left="269" w:right="0" w:hanging="246"/>
                      <w:jc w:val="left"/>
                      <w:rPr>
                        <w:b/>
                        <w:sz w:val="14"/>
                      </w:rPr>
                    </w:pPr>
                    <w:r>
                      <w:rPr>
                        <w:b/>
                        <w:sz w:val="14"/>
                      </w:rPr>
                      <w:t>TEMPERATURE </w:t>
                    </w:r>
                    <w:r>
                      <w:rPr>
                        <w:b/>
                        <w:w w:val="105"/>
                        <w:sz w:val="14"/>
                      </w:rPr>
                      <w:t>SENSOR</w:t>
                    </w:r>
                  </w:p>
                </w:txbxContent>
              </v:textbox>
              <v:stroke dashstyle="solid"/>
              <w10:wrap type="none"/>
            </v:shape>
            <v:shape style="position:absolute;left:7237;top:6578;width:922;height:635" type="#_x0000_t202" filled="false" stroked="false">
              <v:textbox inset="0,0,0,0">
                <w:txbxContent>
                  <w:p>
                    <w:pPr>
                      <w:spacing w:line="144" w:lineRule="exact" w:before="0"/>
                      <w:ind w:left="58" w:right="0" w:firstLine="0"/>
                      <w:jc w:val="left"/>
                      <w:rPr>
                        <w:b/>
                        <w:sz w:val="13"/>
                      </w:rPr>
                    </w:pPr>
                    <w:r>
                      <w:rPr>
                        <w:b/>
                        <w:sz w:val="13"/>
                      </w:rPr>
                      <w:t>REGULATOR</w:t>
                    </w:r>
                  </w:p>
                  <w:p>
                    <w:pPr>
                      <w:spacing w:line="210" w:lineRule="atLeast" w:before="43"/>
                      <w:ind w:left="83" w:right="151" w:firstLine="328"/>
                      <w:jc w:val="left"/>
                      <w:rPr>
                        <w:sz w:val="13"/>
                      </w:rPr>
                    </w:pPr>
                    <w:r>
                      <w:rPr>
                        <w:sz w:val="13"/>
                      </w:rPr>
                      <w:t>VBAT </w:t>
                    </w:r>
                    <w:r>
                      <w:rPr>
                        <w:w w:val="95"/>
                        <w:sz w:val="13"/>
                      </w:rPr>
                      <w:t>VBAT_RTC</w:t>
                    </w:r>
                  </w:p>
                </w:txbxContent>
              </v:textbox>
              <w10:wrap type="none"/>
            </v:shape>
            <v:shape style="position:absolute;left:7237;top:5928;width:922;height:647" type="#_x0000_t202" filled="false" stroked="false">
              <v:textbox inset="0,0,0,0">
                <w:txbxContent>
                  <w:p>
                    <w:pPr>
                      <w:spacing w:line="247" w:lineRule="auto" w:before="0"/>
                      <w:ind w:left="154" w:right="77" w:hanging="43"/>
                      <w:jc w:val="left"/>
                      <w:rPr>
                        <w:b/>
                        <w:sz w:val="13"/>
                      </w:rPr>
                    </w:pPr>
                    <w:r>
                      <w:rPr>
                        <w:b/>
                        <w:sz w:val="13"/>
                      </w:rPr>
                      <w:t>PWR </w:t>
                    </w:r>
                    <w:r>
                      <w:rPr>
                        <w:b/>
                        <w:spacing w:val="-4"/>
                        <w:sz w:val="13"/>
                      </w:rPr>
                      <w:t>MODE </w:t>
                    </w:r>
                    <w:r>
                      <w:rPr>
                        <w:b/>
                        <w:sz w:val="13"/>
                      </w:rPr>
                      <w:t>CONTROL</w:t>
                    </w:r>
                  </w:p>
                  <w:p>
                    <w:pPr>
                      <w:spacing w:before="91"/>
                      <w:ind w:left="199" w:right="0" w:firstLine="0"/>
                      <w:jc w:val="left"/>
                      <w:rPr>
                        <w:sz w:val="13"/>
                      </w:rPr>
                    </w:pPr>
                    <w:r>
                      <w:rPr>
                        <w:sz w:val="13"/>
                      </w:rPr>
                      <w:t>WAKE-UP</w:t>
                    </w:r>
                  </w:p>
                </w:txbxContent>
              </v:textbox>
              <w10:wrap type="none"/>
            </v:shape>
            <v:shape style="position:absolute;left:5043;top:7391;width:432;height:144" type="#_x0000_t202" filled="false" stroked="false">
              <v:textbox inset="0,0,0,0">
                <w:txbxContent>
                  <w:p>
                    <w:pPr>
                      <w:spacing w:line="144" w:lineRule="exact" w:before="0"/>
                      <w:ind w:left="0" w:right="0" w:firstLine="0"/>
                      <w:jc w:val="left"/>
                      <w:rPr>
                        <w:sz w:val="13"/>
                      </w:rPr>
                    </w:pPr>
                    <w:r>
                      <w:rPr>
                        <w:sz w:val="13"/>
                      </w:rPr>
                      <w:t>IADC3</w:t>
                    </w:r>
                  </w:p>
                </w:txbxContent>
              </v:textbox>
              <w10:wrap type="none"/>
            </v:shape>
            <v:shape style="position:absolute;left:5040;top:7247;width:669;height:239" type="#_x0000_t202" filled="false" stroked="false">
              <v:textbox inset="0,0,0,0">
                <w:txbxContent>
                  <w:p>
                    <w:pPr>
                      <w:spacing w:line="156" w:lineRule="auto" w:before="28"/>
                      <w:ind w:left="0" w:right="0" w:firstLine="0"/>
                      <w:jc w:val="left"/>
                      <w:rPr>
                        <w:sz w:val="13"/>
                      </w:rPr>
                    </w:pPr>
                    <w:r>
                      <w:rPr>
                        <w:sz w:val="13"/>
                      </w:rPr>
                      <w:t>IADC2 </w:t>
                    </w:r>
                    <w:r>
                      <w:rPr>
                        <w:position w:val="-7"/>
                        <w:sz w:val="19"/>
                      </w:rPr>
                      <w:t>}</w:t>
                    </w:r>
                    <w:r>
                      <w:rPr>
                        <w:position w:val="-7"/>
                        <w:sz w:val="13"/>
                      </w:rPr>
                      <w:t>IA</w:t>
                    </w:r>
                  </w:p>
                </w:txbxContent>
              </v:textbox>
              <w10:wrap type="none"/>
            </v:shape>
            <v:shape style="position:absolute;left:5040;top:6885;width:619;height:361" type="#_x0000_t202" filled="false" stroked="false">
              <v:textbox inset="0,0,0,0">
                <w:txbxContent>
                  <w:p>
                    <w:pPr>
                      <w:spacing w:line="144" w:lineRule="exact" w:before="0"/>
                      <w:ind w:left="0" w:right="0" w:firstLine="0"/>
                      <w:jc w:val="left"/>
                      <w:rPr>
                        <w:sz w:val="13"/>
                      </w:rPr>
                    </w:pPr>
                    <w:r>
                      <w:rPr>
                        <w:sz w:val="13"/>
                      </w:rPr>
                      <w:t>IADC5</w:t>
                    </w:r>
                  </w:p>
                  <w:p>
                    <w:pPr>
                      <w:spacing w:line="149" w:lineRule="exact" w:before="67"/>
                      <w:ind w:left="1" w:right="0" w:firstLine="0"/>
                      <w:jc w:val="left"/>
                      <w:rPr>
                        <w:sz w:val="13"/>
                      </w:rPr>
                    </w:pPr>
                    <w:r>
                      <w:rPr>
                        <w:spacing w:val="-14"/>
                        <w:sz w:val="13"/>
                      </w:rPr>
                      <w:t>VADC8 </w:t>
                    </w:r>
                    <w:r>
                      <w:rPr>
                        <w:spacing w:val="-13"/>
                        <w:sz w:val="13"/>
                      </w:rPr>
                      <w:t>(VA)</w:t>
                    </w:r>
                  </w:p>
                </w:txbxContent>
              </v:textbox>
              <w10:wrap type="none"/>
            </v:shape>
            <v:shape style="position:absolute;left:5040;top:6741;width:669;height:239" type="#_x0000_t202" filled="false" stroked="false">
              <v:textbox inset="0,0,0,0">
                <w:txbxContent>
                  <w:p>
                    <w:pPr>
                      <w:spacing w:line="156" w:lineRule="auto" w:before="28"/>
                      <w:ind w:left="0" w:right="0" w:firstLine="0"/>
                      <w:jc w:val="left"/>
                      <w:rPr>
                        <w:sz w:val="13"/>
                      </w:rPr>
                    </w:pPr>
                    <w:r>
                      <w:rPr>
                        <w:sz w:val="13"/>
                      </w:rPr>
                      <w:t>IADC4 </w:t>
                    </w:r>
                    <w:r>
                      <w:rPr>
                        <w:position w:val="-7"/>
                        <w:sz w:val="19"/>
                      </w:rPr>
                      <w:t>}</w:t>
                    </w:r>
                    <w:r>
                      <w:rPr>
                        <w:position w:val="-7"/>
                        <w:sz w:val="13"/>
                      </w:rPr>
                      <w:t>IB</w:t>
                    </w:r>
                  </w:p>
                </w:txbxContent>
              </v:textbox>
              <w10:wrap type="none"/>
            </v:shape>
            <v:shape style="position:absolute;left:5049;top:6235;width:663;height:239" type="#_x0000_t202" filled="false" stroked="false">
              <v:textbox inset="0,0,0,0">
                <w:txbxContent>
                  <w:p>
                    <w:pPr>
                      <w:spacing w:line="156" w:lineRule="auto" w:before="28"/>
                      <w:ind w:left="0" w:right="0" w:firstLine="0"/>
                      <w:jc w:val="left"/>
                      <w:rPr>
                        <w:sz w:val="13"/>
                      </w:rPr>
                    </w:pPr>
                    <w:r>
                      <w:rPr>
                        <w:sz w:val="13"/>
                      </w:rPr>
                      <w:t>IADC6 </w:t>
                    </w:r>
                    <w:r>
                      <w:rPr>
                        <w:position w:val="-7"/>
                        <w:sz w:val="19"/>
                      </w:rPr>
                      <w:t>}</w:t>
                    </w:r>
                    <w:r>
                      <w:rPr>
                        <w:position w:val="-7"/>
                        <w:sz w:val="13"/>
                      </w:rPr>
                      <w:t>IC</w:t>
                    </w:r>
                  </w:p>
                </w:txbxContent>
              </v:textbox>
              <w10:wrap type="none"/>
            </v:shape>
            <v:shape style="position:absolute;left:5035;top:6379;width:743;height:361" type="#_x0000_t202" filled="false" stroked="false">
              <v:textbox inset="0,0,0,0">
                <w:txbxContent>
                  <w:p>
                    <w:pPr>
                      <w:spacing w:line="144" w:lineRule="exact" w:before="0"/>
                      <w:ind w:left="13" w:right="0" w:firstLine="0"/>
                      <w:jc w:val="left"/>
                      <w:rPr>
                        <w:sz w:val="13"/>
                      </w:rPr>
                    </w:pPr>
                    <w:r>
                      <w:rPr>
                        <w:sz w:val="13"/>
                      </w:rPr>
                      <w:t>IADC7</w:t>
                    </w:r>
                  </w:p>
                  <w:p>
                    <w:pPr>
                      <w:spacing w:line="149" w:lineRule="exact" w:before="67"/>
                      <w:ind w:left="0" w:right="0" w:firstLine="0"/>
                      <w:jc w:val="left"/>
                      <w:rPr>
                        <w:sz w:val="13"/>
                      </w:rPr>
                    </w:pPr>
                    <w:r>
                      <w:rPr>
                        <w:sz w:val="13"/>
                      </w:rPr>
                      <w:t>VADC9 (VB)</w:t>
                    </w:r>
                  </w:p>
                </w:txbxContent>
              </v:textbox>
              <w10:wrap type="none"/>
            </v:shape>
            <v:shape style="position:absolute;left:5044;top:5801;width:712;height:239" type="#_x0000_t202" filled="false" stroked="false">
              <v:textbox inset="0,0,0,0">
                <w:txbxContent>
                  <w:p>
                    <w:pPr>
                      <w:spacing w:line="156" w:lineRule="auto" w:before="28"/>
                      <w:ind w:left="0" w:right="0" w:firstLine="0"/>
                      <w:jc w:val="left"/>
                      <w:rPr>
                        <w:sz w:val="13"/>
                      </w:rPr>
                    </w:pPr>
                    <w:r>
                      <w:rPr>
                        <w:sz w:val="13"/>
                      </w:rPr>
                      <w:t>IADC0 </w:t>
                    </w:r>
                    <w:r>
                      <w:rPr>
                        <w:position w:val="-7"/>
                        <w:sz w:val="19"/>
                      </w:rPr>
                      <w:t>}</w:t>
                    </w:r>
                    <w:r>
                      <w:rPr>
                        <w:position w:val="-7"/>
                        <w:sz w:val="13"/>
                      </w:rPr>
                      <w:t>IN*</w:t>
                    </w:r>
                  </w:p>
                </w:txbxContent>
              </v:textbox>
              <w10:wrap type="none"/>
            </v:shape>
            <v:shape style="position:absolute;left:5038;top:5946;width:822;height:288" type="#_x0000_t202" filled="false" stroked="false">
              <v:textbox inset="0,0,0,0">
                <w:txbxContent>
                  <w:p>
                    <w:pPr>
                      <w:spacing w:line="232" w:lineRule="auto" w:before="0"/>
                      <w:ind w:left="0" w:right="-8" w:firstLine="5"/>
                      <w:jc w:val="left"/>
                      <w:rPr>
                        <w:sz w:val="13"/>
                      </w:rPr>
                    </w:pPr>
                    <w:r>
                      <w:rPr>
                        <w:sz w:val="13"/>
                      </w:rPr>
                      <w:t>IADC1 VADC10 (VC)</w:t>
                    </w:r>
                  </w:p>
                </w:txbxContent>
              </v:textbox>
              <w10:wrap type="none"/>
            </v:shape>
            <v:shape style="position:absolute;left:5099;top:5657;width:886;height:144" type="#_x0000_t202" filled="false" stroked="false">
              <v:textbox inset="0,0,0,0">
                <w:txbxContent>
                  <w:p>
                    <w:pPr>
                      <w:spacing w:line="144" w:lineRule="exact" w:before="0"/>
                      <w:ind w:left="0" w:right="0" w:firstLine="0"/>
                      <w:jc w:val="left"/>
                      <w:rPr>
                        <w:b/>
                        <w:sz w:val="13"/>
                      </w:rPr>
                    </w:pPr>
                    <w:r>
                      <w:rPr>
                        <w:b/>
                        <w:sz w:val="13"/>
                      </w:rPr>
                      <w:t>MUX and ADC</w:t>
                    </w:r>
                  </w:p>
                </w:txbxContent>
              </v:textbox>
              <w10:wrap type="none"/>
            </v:shape>
            <v:shape style="position:absolute;left:6294;top:3855;width:1882;height:470" type="#_x0000_t202" filled="false" stroked="true" strokeweight=".578145pt" strokecolor="#2f2f2f">
              <v:textbox inset="0,0,0,0">
                <w:txbxContent>
                  <w:p>
                    <w:pPr>
                      <w:spacing w:before="128"/>
                      <w:ind w:left="285" w:right="0" w:firstLine="0"/>
                      <w:jc w:val="left"/>
                      <w:rPr>
                        <w:b/>
                        <w:sz w:val="16"/>
                      </w:rPr>
                    </w:pPr>
                    <w:r>
                      <w:rPr>
                        <w:b/>
                        <w:sz w:val="16"/>
                      </w:rPr>
                      <w:t>POWER SUPPLY</w:t>
                    </w:r>
                  </w:p>
                </w:txbxContent>
              </v:textbox>
              <v:stroke dashstyle="solid"/>
              <w10:wrap type="none"/>
            </v:shape>
            <v:shape style="position:absolute;left:3470;top:8913;width:870;height:506" type="#_x0000_t202" filled="false" stroked="true" strokeweight=".578393pt" strokecolor="#2f2f2f">
              <v:textbox inset="0,0,0,0">
                <w:txbxContent>
                  <w:p>
                    <w:pPr>
                      <w:spacing w:before="146"/>
                      <w:ind w:left="413" w:right="0" w:firstLine="0"/>
                      <w:jc w:val="left"/>
                      <w:rPr>
                        <w:sz w:val="16"/>
                      </w:rPr>
                    </w:pPr>
                    <w:r>
                      <w:rPr>
                        <w:sz w:val="16"/>
                      </w:rPr>
                      <w:t>IR</w:t>
                    </w:r>
                  </w:p>
                </w:txbxContent>
              </v:textbox>
              <v:stroke dashstyle="solid"/>
              <w10:wrap type="none"/>
            </v:shape>
            <v:shape style="position:absolute;left:3470;top:8262;width:870;height:506" type="#_x0000_t202" filled="false" stroked="true" strokeweight=".578393pt" strokecolor="#2f2f2f">
              <v:textbox inset="0,0,0,0">
                <w:txbxContent>
                  <w:p>
                    <w:pPr>
                      <w:spacing w:before="146"/>
                      <w:ind w:left="247" w:right="0" w:firstLine="0"/>
                      <w:jc w:val="left"/>
                      <w:rPr>
                        <w:sz w:val="16"/>
                      </w:rPr>
                    </w:pPr>
                    <w:r>
                      <w:rPr>
                        <w:sz w:val="16"/>
                      </w:rPr>
                      <w:t>AMR</w:t>
                    </w:r>
                  </w:p>
                </w:txbxContent>
              </v:textbox>
              <v:stroke dashstyle="solid"/>
              <w10:wrap type="none"/>
            </v:shape>
            <v:shape style="position:absolute;left:8901;top:9346;width:1232;height:434" type="#_x0000_t202" filled="false" stroked="true" strokeweight=".578211pt" strokecolor="#2f2f2f">
              <v:textbox inset="0,0,0,0">
                <w:txbxContent>
                  <w:p>
                    <w:pPr>
                      <w:spacing w:line="252" w:lineRule="auto" w:before="14"/>
                      <w:ind w:left="258" w:right="163" w:hanging="89"/>
                      <w:jc w:val="left"/>
                      <w:rPr>
                        <w:sz w:val="16"/>
                      </w:rPr>
                    </w:pPr>
                    <w:r>
                      <w:rPr>
                        <w:sz w:val="16"/>
                      </w:rPr>
                      <w:t>I</w:t>
                    </w:r>
                    <w:r>
                      <w:rPr>
                        <w:sz w:val="16"/>
                        <w:vertAlign w:val="superscript"/>
                      </w:rPr>
                      <w:t>2</w:t>
                    </w:r>
                    <w:r>
                      <w:rPr>
                        <w:sz w:val="16"/>
                        <w:vertAlign w:val="baseline"/>
                      </w:rPr>
                      <w:t>C or µWire EEPROM</w:t>
                    </w:r>
                  </w:p>
                </w:txbxContent>
              </v:textbox>
              <v:stroke dashstyle="solid"/>
              <w10:wrap type="none"/>
            </v:shape>
            <v:shape style="position:absolute;left:8901;top:8768;width:1232;height:434" type="#_x0000_t202" filled="false" stroked="true" strokeweight=".578211pt" strokecolor="#2f2f2f">
              <v:textbox inset="0,0,0,0">
                <w:txbxContent>
                  <w:p>
                    <w:pPr>
                      <w:spacing w:line="252" w:lineRule="auto" w:before="14"/>
                      <w:ind w:left="464" w:right="257" w:hanging="197"/>
                      <w:jc w:val="left"/>
                      <w:rPr>
                        <w:sz w:val="16"/>
                      </w:rPr>
                    </w:pPr>
                    <w:r>
                      <w:rPr>
                        <w:sz w:val="16"/>
                      </w:rPr>
                      <w:t>PULSES, DIO</w:t>
                    </w:r>
                  </w:p>
                </w:txbxContent>
              </v:textbox>
              <v:stroke dashstyle="solid"/>
              <w10:wrap type="none"/>
            </v:shape>
            <v:shape style="position:absolute;left:8901;top:7901;width:1232;height:723" type="#_x0000_t202" filled="false" stroked="true" strokeweight=".578397pt" strokecolor="#2f2f2f">
              <v:textbox inset="0,0,0,0">
                <w:txbxContent>
                  <w:p>
                    <w:pPr>
                      <w:spacing w:before="38"/>
                      <w:ind w:left="88" w:right="0" w:firstLine="0"/>
                      <w:jc w:val="left"/>
                      <w:rPr>
                        <w:sz w:val="16"/>
                      </w:rPr>
                    </w:pPr>
                    <w:r>
                      <w:rPr>
                        <w:sz w:val="16"/>
                      </w:rPr>
                      <w:t>LCD DISPLAY</w:t>
                    </w:r>
                  </w:p>
                  <w:p>
                    <w:pPr>
                      <w:spacing w:before="76"/>
                      <w:ind w:left="-5" w:right="-15" w:firstLine="0"/>
                      <w:jc w:val="left"/>
                      <w:rPr>
                        <w:rFonts w:ascii="Lucida Console"/>
                        <w:sz w:val="22"/>
                      </w:rPr>
                    </w:pPr>
                    <w:r>
                      <w:rPr>
                        <w:rFonts w:ascii="Lucida Console"/>
                        <w:sz w:val="22"/>
                      </w:rPr>
                      <w:t>8888.8888</w:t>
                    </w:r>
                  </w:p>
                </w:txbxContent>
              </v:textbox>
              <v:stroke dashstyle="solid"/>
              <w10:wrap type="none"/>
            </v:shape>
            <w10:wrap type="none"/>
          </v:group>
        </w:pict>
      </w:r>
      <w:hyperlink w:history="true" w:anchor="_bookmark179">
        <w:r>
          <w:rPr>
            <w:color w:val="0000FF"/>
          </w:rPr>
          <w:t>Figure 31 </w:t>
        </w:r>
      </w:hyperlink>
      <w:r>
        <w:rPr/>
        <w:t>shows a typical connection for current shunt sensors; using the 71M6xx3 (polyphase) isolated sensors. Note that one shunt current sensor is connected without isolation, which is the neutral current sensor in this example (connected to pins IADC0-IADC1). Each 71M6xx3 device is electrically isolated by a low-cost pulse transformer. The 71M6543 current sensor inputs must be configured for remote sensor communications, as described in </w:t>
      </w:r>
      <w:hyperlink w:history="true" w:anchor="_bookmark21">
        <w:r>
          <w:rPr>
            <w:color w:val="0000FF"/>
          </w:rPr>
          <w:t>2.2.8 </w:t>
        </w:r>
      </w:hyperlink>
      <w:hyperlink w:history="true" w:anchor="_bookmark21">
        <w:r>
          <w:rPr>
            <w:color w:val="0000FF"/>
          </w:rPr>
          <w:t>71M6xx3 Isolated Sensor Interface </w:t>
        </w:r>
      </w:hyperlink>
      <w:r>
        <w:rPr/>
        <w:t>(page </w:t>
      </w:r>
      <w:hyperlink w:history="true" w:anchor="_bookmark21">
        <w:r>
          <w:rPr>
            <w:color w:val="0000FF"/>
          </w:rPr>
          <w:t>22</w:t>
        </w:r>
      </w:hyperlink>
      <w:r>
        <w:rPr/>
        <w:t>). Flexible remapping using the I/O RAM registers </w:t>
      </w:r>
      <w:r>
        <w:rPr>
          <w:rFonts w:ascii="Times New Roman"/>
          <w:i/>
        </w:rPr>
        <w:t>MUXn_SEL[3:0] </w:t>
      </w:r>
      <w:r>
        <w:rPr/>
        <w:t>allows the sequence of analog input pins to be different from the standard configuration (a corresponding CE code must be used). See </w:t>
      </w:r>
      <w:hyperlink w:history="true" w:anchor="_bookmark5">
        <w:r>
          <w:rPr>
            <w:color w:val="0000FF"/>
          </w:rPr>
          <w:t>Figure 2 </w:t>
        </w:r>
      </w:hyperlink>
      <w:r>
        <w:rPr/>
        <w:t>for the AFE configuration corresponding to </w:t>
      </w:r>
      <w:hyperlink w:history="true" w:anchor="_bookmark179">
        <w:r>
          <w:rPr>
            <w:color w:val="0000FF"/>
          </w:rPr>
          <w:t>Figure 31</w:t>
        </w:r>
        <w:r>
          <w:rPr/>
          <w:t>.</w:t>
        </w:r>
      </w:hyperlink>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3"/>
        </w:rPr>
      </w:pPr>
    </w:p>
    <w:p>
      <w:pPr>
        <w:spacing w:after="0"/>
        <w:rPr>
          <w:sz w:val="23"/>
        </w:rPr>
        <w:sectPr>
          <w:pgSz w:w="12240" w:h="15840"/>
          <w:pgMar w:header="727" w:footer="819" w:top="960" w:bottom="1000" w:left="1200" w:right="1060"/>
        </w:sectPr>
      </w:pPr>
    </w:p>
    <w:p>
      <w:pPr>
        <w:spacing w:before="95"/>
        <w:ind w:left="0" w:right="0" w:firstLine="0"/>
        <w:jc w:val="right"/>
        <w:rPr>
          <w:sz w:val="13"/>
        </w:rPr>
      </w:pPr>
      <w:r>
        <w:rPr>
          <w:sz w:val="13"/>
        </w:rPr>
        <w:t>*IN = Neutral Current</w:t>
      </w:r>
    </w:p>
    <w:p>
      <w:pPr>
        <w:pStyle w:val="BodyText"/>
        <w:spacing w:before="11"/>
        <w:rPr>
          <w:sz w:val="11"/>
        </w:rPr>
      </w:pPr>
      <w:r>
        <w:rPr/>
        <w:br w:type="column"/>
      </w:r>
      <w:r>
        <w:rPr>
          <w:sz w:val="11"/>
        </w:rPr>
      </w:r>
    </w:p>
    <w:p>
      <w:pPr>
        <w:spacing w:before="0"/>
        <w:ind w:left="1295" w:right="0" w:firstLine="0"/>
        <w:jc w:val="left"/>
        <w:rPr>
          <w:sz w:val="9"/>
        </w:rPr>
      </w:pPr>
      <w:r>
        <w:rPr>
          <w:w w:val="105"/>
          <w:sz w:val="9"/>
        </w:rPr>
        <w:t>9/17/2010</w:t>
      </w:r>
    </w:p>
    <w:p>
      <w:pPr>
        <w:spacing w:after="0"/>
        <w:jc w:val="left"/>
        <w:rPr>
          <w:sz w:val="9"/>
        </w:rPr>
        <w:sectPr>
          <w:type w:val="continuous"/>
          <w:pgSz w:w="12240" w:h="15840"/>
          <w:pgMar w:top="940" w:bottom="280" w:left="1200" w:right="1060"/>
          <w:cols w:num="2" w:equalWidth="0">
            <w:col w:w="5136" w:space="40"/>
            <w:col w:w="4804"/>
          </w:cols>
        </w:sectPr>
      </w:pPr>
    </w:p>
    <w:p>
      <w:pPr>
        <w:spacing w:before="190"/>
        <w:ind w:left="64" w:right="204" w:firstLine="0"/>
        <w:jc w:val="center"/>
        <w:rPr>
          <w:b/>
          <w:sz w:val="20"/>
        </w:rPr>
      </w:pPr>
      <w:r>
        <w:rPr/>
        <w:pict>
          <v:line style="position:absolute;mso-position-horizontal-relative:page;mso-position-vertical-relative:page;z-index:-38745088" from="155.409698pt,360.000702pt" to="155.409698pt,385.291253pt" stroked="true" strokeweight=".193115pt" strokecolor="#2f2f2f">
            <v:stroke dashstyle="solid"/>
            <w10:wrap type="none"/>
          </v:line>
        </w:pict>
      </w:r>
      <w:r>
        <w:rPr/>
        <w:pict>
          <v:shape style="position:absolute;margin-left:111.210114pt;margin-top:366.690948pt;width:11pt;height:62.65pt;mso-position-horizontal-relative:page;mso-position-vertical-relative:page;z-index:15836672" type="#_x0000_t202" filled="false" stroked="false">
            <v:textbox inset="0,0,0,0" style="layout-flow:vertical;mso-layout-flow-alt:bottom-to-top">
              <w:txbxContent>
                <w:p>
                  <w:pPr>
                    <w:spacing w:before="15"/>
                    <w:ind w:left="20" w:right="0" w:firstLine="0"/>
                    <w:jc w:val="left"/>
                    <w:rPr>
                      <w:sz w:val="16"/>
                    </w:rPr>
                  </w:pPr>
                  <w:r>
                    <w:rPr>
                      <w:sz w:val="16"/>
                    </w:rPr>
                    <w:t>Resistor Dividers</w:t>
                  </w:r>
                </w:p>
              </w:txbxContent>
            </v:textbox>
            <w10:wrap type="none"/>
          </v:shape>
        </w:pict>
      </w:r>
      <w:r>
        <w:rPr/>
        <w:pict>
          <v:shape style="position:absolute;margin-left:167.673218pt;margin-top:311.834381pt;width:7.4pt;height:21.55pt;mso-position-horizontal-relative:page;mso-position-vertical-relative:page;z-index:15837184" type="#_x0000_t202" filled="false" stroked="false">
            <v:textbox inset="0,0,0,0" style="layout-flow:vertical;mso-layout-flow-alt:bottom-to-top">
              <w:txbxContent>
                <w:p>
                  <w:pPr>
                    <w:spacing w:before="23"/>
                    <w:ind w:left="20" w:right="0" w:firstLine="0"/>
                    <w:jc w:val="left"/>
                    <w:rPr>
                      <w:sz w:val="9"/>
                    </w:rPr>
                  </w:pPr>
                  <w:r>
                    <w:rPr>
                      <w:w w:val="105"/>
                      <w:sz w:val="9"/>
                    </w:rPr>
                    <w:t>71M6xx3</w:t>
                  </w:r>
                </w:p>
              </w:txbxContent>
            </v:textbox>
            <w10:wrap type="none"/>
          </v:shape>
        </w:pict>
      </w:r>
      <w:r>
        <w:rPr/>
        <w:pict>
          <v:shape style="position:absolute;margin-left:187.587891pt;margin-top:311.834381pt;width:7.4pt;height:21.55pt;mso-position-horizontal-relative:page;mso-position-vertical-relative:page;z-index:15837696" type="#_x0000_t202" filled="false" stroked="false">
            <v:textbox inset="0,0,0,0" style="layout-flow:vertical;mso-layout-flow-alt:bottom-to-top">
              <w:txbxContent>
                <w:p>
                  <w:pPr>
                    <w:spacing w:before="23"/>
                    <w:ind w:left="20" w:right="0" w:firstLine="0"/>
                    <w:jc w:val="left"/>
                    <w:rPr>
                      <w:sz w:val="9"/>
                    </w:rPr>
                  </w:pPr>
                  <w:r>
                    <w:rPr>
                      <w:w w:val="105"/>
                      <w:sz w:val="9"/>
                    </w:rPr>
                    <w:t>71M6xx3</w:t>
                  </w:r>
                </w:p>
              </w:txbxContent>
            </v:textbox>
            <w10:wrap type="none"/>
          </v:shape>
        </w:pict>
      </w:r>
      <w:r>
        <w:rPr/>
        <w:pict>
          <v:shape style="position:absolute;margin-left:206.498383pt;margin-top:312.687012pt;width:7.4pt;height:21.55pt;mso-position-horizontal-relative:page;mso-position-vertical-relative:page;z-index:15838208" type="#_x0000_t202" filled="false" stroked="false">
            <v:textbox inset="0,0,0,0" style="layout-flow:vertical;mso-layout-flow-alt:bottom-to-top">
              <w:txbxContent>
                <w:p>
                  <w:pPr>
                    <w:spacing w:before="23"/>
                    <w:ind w:left="20" w:right="0" w:firstLine="0"/>
                    <w:jc w:val="left"/>
                    <w:rPr>
                      <w:sz w:val="9"/>
                    </w:rPr>
                  </w:pPr>
                  <w:r>
                    <w:rPr>
                      <w:w w:val="105"/>
                      <w:sz w:val="9"/>
                    </w:rPr>
                    <w:t>71M6xx3</w:t>
                  </w:r>
                </w:p>
              </w:txbxContent>
            </v:textbox>
            <w10:wrap type="none"/>
          </v:shape>
        </w:pict>
      </w:r>
      <w:bookmarkStart w:name="_bookmark179" w:id="362"/>
      <w:bookmarkEnd w:id="362"/>
      <w:r>
        <w:rPr/>
      </w:r>
      <w:r>
        <w:rPr>
          <w:b/>
          <w:sz w:val="20"/>
        </w:rPr>
        <w:t>Figure 31: System Using Three-Remotes and One-Local (Neutral) Sensor</w:t>
      </w:r>
    </w:p>
    <w:p>
      <w:pPr>
        <w:spacing w:after="0"/>
        <w:jc w:val="center"/>
        <w:rPr>
          <w:sz w:val="20"/>
        </w:rPr>
        <w:sectPr>
          <w:type w:val="continuous"/>
          <w:pgSz w:w="12240" w:h="15840"/>
          <w:pgMar w:top="940" w:bottom="280" w:left="1200" w:right="1060"/>
        </w:sectPr>
      </w:pPr>
    </w:p>
    <w:p>
      <w:pPr>
        <w:pStyle w:val="BodyText"/>
        <w:spacing w:before="7"/>
        <w:rPr>
          <w:b/>
          <w:sz w:val="16"/>
        </w:rPr>
      </w:pPr>
    </w:p>
    <w:p>
      <w:pPr>
        <w:pStyle w:val="ListParagraph"/>
        <w:numPr>
          <w:ilvl w:val="1"/>
          <w:numId w:val="22"/>
        </w:numPr>
        <w:tabs>
          <w:tab w:pos="959" w:val="left" w:leader="none"/>
          <w:tab w:pos="960" w:val="left" w:leader="none"/>
        </w:tabs>
        <w:spacing w:line="240" w:lineRule="auto" w:before="92" w:after="0"/>
        <w:ind w:left="960" w:right="0" w:hanging="720"/>
        <w:jc w:val="left"/>
        <w:rPr>
          <w:b/>
          <w:sz w:val="24"/>
        </w:rPr>
      </w:pPr>
      <w:bookmarkStart w:name="4.4 System Using Current Transformers" w:id="363"/>
      <w:bookmarkEnd w:id="363"/>
      <w:r>
        <w:rPr/>
      </w:r>
      <w:bookmarkStart w:name="_bookmark180" w:id="364"/>
      <w:bookmarkEnd w:id="364"/>
      <w:r>
        <w:rPr/>
      </w:r>
      <w:bookmarkStart w:name="_bookmark180" w:id="365"/>
      <w:bookmarkEnd w:id="365"/>
      <w:r>
        <w:rPr>
          <w:b/>
          <w:sz w:val="24"/>
        </w:rPr>
        <w:t>S</w:t>
      </w:r>
      <w:r>
        <w:rPr>
          <w:b/>
          <w:sz w:val="24"/>
        </w:rPr>
        <w:t>ystem Using Current</w:t>
      </w:r>
      <w:r>
        <w:rPr>
          <w:b/>
          <w:spacing w:val="-2"/>
          <w:sz w:val="24"/>
        </w:rPr>
        <w:t> </w:t>
      </w:r>
      <w:r>
        <w:rPr>
          <w:b/>
          <w:sz w:val="24"/>
        </w:rPr>
        <w:t>Transformers</w:t>
      </w:r>
    </w:p>
    <w:p>
      <w:pPr>
        <w:pStyle w:val="BodyText"/>
        <w:spacing w:before="122"/>
        <w:ind w:left="239" w:right="401"/>
      </w:pPr>
      <w:hyperlink w:history="true" w:anchor="_bookmark181">
        <w:r>
          <w:rPr>
            <w:color w:val="0000FF"/>
          </w:rPr>
          <w:t>Figure 32 </w:t>
        </w:r>
      </w:hyperlink>
      <w:r>
        <w:rPr/>
        <w:t>shows a polyphase system using four current transformers to support optional Neutral current sensing for anti-tamper purposes. The Neutral current sensing CT can be omitted if Neutral current sensing is not required. The system is referenced to Neutral (i.e., the Neutral rail is tied to V3P3A and V3P3SYS).</w:t>
      </w:r>
    </w:p>
    <w:p>
      <w:pPr>
        <w:pStyle w:val="BodyText"/>
      </w:pPr>
    </w:p>
    <w:p>
      <w:pPr>
        <w:pStyle w:val="BodyText"/>
        <w:spacing w:before="4"/>
        <w:rPr>
          <w:sz w:val="16"/>
        </w:rPr>
      </w:pPr>
    </w:p>
    <w:p>
      <w:pPr>
        <w:spacing w:before="96"/>
        <w:ind w:left="1251" w:right="0" w:firstLine="0"/>
        <w:jc w:val="left"/>
        <w:rPr>
          <w:sz w:val="19"/>
        </w:rPr>
      </w:pPr>
      <w:r>
        <w:rPr/>
        <w:pict>
          <v:group style="position:absolute;margin-left:73.384857pt;margin-top:21.299894pt;width:480.3pt;height:459.8pt;mso-position-horizontal-relative:page;mso-position-vertical-relative:paragraph;z-index:15838720" coordorigin="1468,426" coordsize="9606,9196">
            <v:rect style="position:absolute;left:4925;top:3636;width:3804;height:5965" filled="false" stroked="true" strokeweight="2.074808pt" strokecolor="#2f2f2f">
              <v:stroke dashstyle="solid"/>
            </v:rect>
            <v:shape style="position:absolute;left:4928;top:3629;width:3804;height:5965" coordorigin="4928,3629" coordsize="3804,5965" path="m7608,5575l8732,5575,8732,4811,7608,4811,7608,5575xm6225,9162l7608,9162,7608,8010,6225,8010,6225,9162xm7608,8557l8732,8557,8732,6136,7608,6136,7608,8557xm4928,8730l6225,8730,6225,8182,4928,8182,4928,8730xm7608,9594l8732,9594,8732,8557,7608,8557,7608,9594xm4928,6136l6225,6136,6225,3629,4928,3629,4928,6136xm4928,8182l6225,8182,6225,6569,4928,6569,4928,8182xe" filled="false" stroked="true" strokeweight=".230533pt" strokecolor="#2f2f2f">
              <v:path arrowok="t"/>
              <v:stroke dashstyle="solid"/>
            </v:shape>
            <v:line style="position:absolute" from="4784,4580" to="3631,4580" stroked="true" strokeweight=".23053pt" strokecolor="#2f2f2f">
              <v:stroke dashstyle="solid"/>
            </v:line>
            <v:shape style="position:absolute;left:4769;top:4537;width:159;height:101" coordorigin="4770,4537" coordsize="159,101" path="m4770,4638l4770,4537,4928,4580,4770,4638xe" filled="true" fillcolor="#2f2f2f" stroked="false">
              <v:path arrowok="t"/>
              <v:fill type="solid"/>
            </v:shape>
            <v:shape style="position:absolute;left:1553;top:437;width:3718;height:2075" coordorigin="1554,438" coordsize="3718,2075" path="m1813,2512l5012,2512,5081,2503,5143,2477,5195,2436,5236,2384,5262,2322,5271,2253,5271,697,5262,628,5236,566,5195,513,5143,473,5081,447,5012,438,1813,438,1744,447,1682,473,1630,513,1589,566,1563,628,1554,697,1554,2253,1563,2322,1589,2384,1630,2436,1682,2477,1744,2503,1813,2512e" filled="false" stroked="true" strokeweight="1.152656pt" strokecolor="#2f2f2f">
              <v:path arrowok="t"/>
              <v:stroke dashstyle="shortdash"/>
            </v:shape>
            <v:shape style="position:absolute;left:1642;top:776;width:1124;height:2983" coordorigin="1643,777" coordsize="1124,2983" path="m2680,3413l2767,3457,2594,3543,2767,3629,2594,3716,2680,3759m2680,3413l2680,777,1643,777e" filled="false" stroked="true" strokeweight=".230533pt" strokecolor="#2f2f2f">
              <v:path arrowok="t"/>
              <v:stroke dashstyle="solid"/>
            </v:shape>
            <v:shape style="position:absolute;left:2656;top:4306;width:44;height:44" coordorigin="2656,4306" coordsize="44,44" path="m2690,4349l2666,4349,2656,4340,2656,4328,2656,4316,2666,4306,2690,4306,2699,4316,2699,4340,2690,4349xe" filled="true" fillcolor="#000000" stroked="false">
              <v:path arrowok="t"/>
              <v:fill type="solid"/>
            </v:shape>
            <v:shape style="position:absolute;left:2656;top:4306;width:44;height:44" coordorigin="2656,4306" coordsize="44,44" path="m2656,4328l2656,4316,2666,4306,2678,4306,2690,4306,2699,4316,2699,4328,2699,4340,2690,4349,2678,4349,2666,4349,2656,4340,2656,4328xe" filled="false" stroked="true" strokeweight=".691599pt" strokecolor="#2f2f2f">
              <v:path arrowok="t"/>
              <v:stroke dashstyle="solid"/>
            </v:shape>
            <v:line style="position:absolute" from="2680,3759" to="2680,4321" stroked="true" strokeweight=".230536pt" strokecolor="#2f2f2f">
              <v:stroke dashstyle="solid"/>
            </v:line>
            <v:line style="position:absolute" from="2680,777" to="5187,777" stroked="true" strokeweight=".23053pt" strokecolor="#2f2f2f">
              <v:stroke dashstyle="solid"/>
            </v:line>
            <v:shape style="position:absolute;left:2656;top:761;width:44;height:44" coordorigin="2656,762" coordsize="44,44" path="m2690,805l2666,805,2656,795,2656,783,2656,771,2666,762,2690,762,2699,771,2699,795,2690,805xe" filled="true" fillcolor="#000000" stroked="false">
              <v:path arrowok="t"/>
              <v:fill type="solid"/>
            </v:shape>
            <v:shape style="position:absolute;left:2656;top:761;width:44;height:44" coordorigin="2656,762" coordsize="44,44" path="m2656,783l2656,771,2666,762,2678,762,2690,762,2699,771,2699,783,2699,795,2690,805,2678,805,2666,805,2656,795,2656,783xe" filled="false" stroked="true" strokeweight=".691599pt" strokecolor="#2f2f2f">
              <v:path arrowok="t"/>
              <v:stroke dashstyle="solid"/>
            </v:shape>
            <v:shape style="position:absolute;left:4841;top:776;width:1902;height:101" coordorigin="4842,777" coordsize="1902,101" path="m4842,777l6744,777,6744,878e" filled="false" stroked="true" strokeweight=".23053pt" strokecolor="#2f2f2f">
              <v:path arrowok="t"/>
              <v:stroke dashstyle="solid"/>
            </v:shape>
            <v:shape style="position:absolute;left:3631;top:1439;width:2;height:3141" coordorigin="3631,1439" coordsize="0,3141" path="m3631,2592l3631,4580m3631,1439l3631,2419e" filled="false" stroked="true" strokeweight=".230536pt" strokecolor="#2f2f2f">
              <v:path arrowok="t"/>
              <v:stroke dashstyle="solid"/>
            </v:shape>
            <v:shape style="position:absolute;left:2334;top:3975;width:173;height:346" coordorigin="2335,3975" coordsize="173,346" path="m2421,3975l2507,4018,2335,4105,2507,4191,2335,4278,2421,4321e" filled="false" stroked="true" strokeweight=".230535pt" strokecolor="#2f2f2f">
              <v:path arrowok="t"/>
              <v:stroke dashstyle="solid"/>
            </v:shape>
            <v:shape style="position:absolute;left:2334;top:5099;width:173;height:346" coordorigin="2335,5099" coordsize="173,346" path="m2421,5099l2507,5142,2335,5229,2507,5315,2335,5402,2421,5445e" filled="false" stroked="true" strokeweight=".230535pt" strokecolor="#2f2f2f">
              <v:path arrowok="t"/>
              <v:stroke dashstyle="solid"/>
            </v:shape>
            <v:shape style="position:absolute;left:2075;top:4580;width:173;height:346" coordorigin="2075,4580" coordsize="173,346" path="m2162,4580l2248,4624,2075,4710,2248,4797,2075,4883,2162,4926e" filled="false" stroked="true" strokeweight=".230535pt" strokecolor="#2f2f2f">
              <v:path arrowok="t"/>
              <v:stroke dashstyle="solid"/>
            </v:shape>
            <v:shape style="position:absolute;left:2075;top:5704;width:173;height:346" coordorigin="2075,5704" coordsize="173,346" path="m2162,5704l2248,5747,2075,5834,2248,5920,2075,6007,2162,6050e" filled="false" stroked="true" strokeweight=".230535pt" strokecolor="#2f2f2f">
              <v:path arrowok="t"/>
              <v:stroke dashstyle="solid"/>
            </v:shape>
            <v:shape style="position:absolute;left:2420;top:1468;width:2;height:2507" coordorigin="2421,1468" coordsize="0,2507" path="m2421,2592l2421,3975m2421,1468l2421,2419e" filled="false" stroked="true" strokeweight=".230536pt" strokecolor="#2f2f2f">
              <v:path arrowok="t"/>
              <v:stroke dashstyle="solid"/>
            </v:shape>
            <v:line style="position:absolute" from="2421,4321" to="2421,4926" stroked="true" strokeweight=".230536pt" strokecolor="#2f2f2f">
              <v:stroke dashstyle="solid"/>
            </v:line>
            <v:line style="position:absolute" from="4784,4926" to="2421,4926" stroked="true" strokeweight=".23053pt" strokecolor="#2f2f2f">
              <v:stroke dashstyle="solid"/>
            </v:line>
            <v:shape style="position:absolute;left:4769;top:4882;width:159;height:101" coordorigin="4770,4883" coordsize="159,101" path="m4770,4984l4770,4883,4928,4926,4770,4984xe" filled="true" fillcolor="#2f2f2f" stroked="false">
              <v:path arrowok="t"/>
              <v:fill type="solid"/>
            </v:shape>
            <v:line style="position:absolute" from="2421,5747" to="2421,6309" stroked="true" strokeweight=".230536pt" strokecolor="#2f2f2f">
              <v:stroke dashstyle="solid"/>
            </v:line>
            <v:line style="position:absolute" from="2162,4926" to="2162,5704" stroked="true" strokeweight=".230536pt" strokecolor="#2f2f2f">
              <v:stroke dashstyle="solid"/>
            </v:line>
            <v:line style="position:absolute" from="2162,6050" to="2162,6309" stroked="true" strokeweight=".230536pt" strokecolor="#2f2f2f">
              <v:stroke dashstyle="solid"/>
            </v:line>
            <v:shape style="position:absolute;left:2396;top:4911;width:44;height:44" coordorigin="2397,4911" coordsize="44,44" path="m2430,4954l2406,4954,2397,4945,2397,4933,2397,4921,2406,4911,2430,4911,2440,4921,2440,4945,2430,4954xe" filled="true" fillcolor="#000000" stroked="false">
              <v:path arrowok="t"/>
              <v:fill type="solid"/>
            </v:shape>
            <v:shape style="position:absolute;left:2396;top:4911;width:44;height:44" coordorigin="2397,4911" coordsize="44,44" path="m2397,4933l2397,4921,2406,4911,2418,4911,2430,4911,2440,4921,2440,4933,2440,4945,2430,4954,2418,4954,2406,4954,2397,4945,2397,4933xe" filled="false" stroked="true" strokeweight=".691599pt" strokecolor="#2f2f2f">
              <v:path arrowok="t"/>
              <v:stroke dashstyle="solid"/>
            </v:shape>
            <v:line style="position:absolute" from="4784,5531" to="2162,5531" stroked="true" strokeweight=".23053pt" strokecolor="#2f2f2f">
              <v:stroke dashstyle="solid"/>
            </v:line>
            <v:shape style="position:absolute;left:4769;top:5488;width:159;height:101" coordorigin="4770,5488" coordsize="159,101" path="m4770,5589l4770,5488,4928,5531,4770,5589xe" filled="true" fillcolor="#2f2f2f" stroked="false">
              <v:path arrowok="t"/>
              <v:fill type="solid"/>
            </v:shape>
            <v:shape style="position:absolute;left:2141;top:5516;width:44;height:44" coordorigin="2141,5516" coordsize="44,44" path="m2175,5560l2151,5560,2141,5550,2141,5538,2141,5526,2151,5516,2175,5516,2184,5526,2184,5550,2175,5560xe" filled="true" fillcolor="#000000" stroked="false">
              <v:path arrowok="t"/>
              <v:fill type="solid"/>
            </v:shape>
            <v:shape style="position:absolute;left:2141;top:5516;width:44;height:44" coordorigin="2141,5516" coordsize="44,44" path="m2141,5538l2141,5526,2151,5516,2163,5516,2175,5516,2184,5526,2184,5538,2184,5550,2175,5560,2163,5560,2151,5560,2141,5550,2141,5538xe" filled="false" stroked="true" strokeweight=".691599pt" strokecolor="#2f2f2f">
              <v:path arrowok="t"/>
              <v:stroke dashstyle="solid"/>
            </v:shape>
            <v:shape style="position:absolute;left:2396;top:1453;width:44;height:44" coordorigin="2397,1453" coordsize="44,44" path="m2430,1497l2407,1497,2397,1487,2397,1475,2397,1463,2407,1453,2430,1453,2440,1463,2440,1487,2430,1497xe" filled="true" fillcolor="#000000" stroked="false">
              <v:path arrowok="t"/>
              <v:fill type="solid"/>
            </v:shape>
            <v:shape style="position:absolute;left:2396;top:1453;width:44;height:44" coordorigin="2397,1453" coordsize="44,44" path="m2397,1475l2397,1463,2407,1453,2418,1453,2430,1453,2440,1463,2440,1475,2440,1487,2430,1497,2418,1497,2407,1497,2397,1487,2397,1475xe" filled="false" stroked="true" strokeweight=".691599pt" strokecolor="#2f2f2f">
              <v:path arrowok="t"/>
              <v:stroke dashstyle="solid"/>
            </v:shape>
            <v:shape style="position:absolute;left:2137;top:1971;width:44;height:44" coordorigin="2137,1972" coordsize="44,44" path="m2171,2015l2147,2015,2137,2006,2137,1994,2137,1982,2147,1972,2171,1972,2181,1982,2181,2006,2171,2015xe" filled="true" fillcolor="#000000" stroked="false">
              <v:path arrowok="t"/>
              <v:fill type="solid"/>
            </v:shape>
            <v:shape style="position:absolute;left:2137;top:1971;width:44;height:44" coordorigin="2137,1972" coordsize="44,44" path="m2137,1994l2137,1982,2147,1972,2159,1972,2171,1972,2181,1982,2181,1994,2181,2006,2171,2015,2159,2015,2147,2015,2137,2006,2137,1994xe" filled="false" stroked="true" strokeweight=".691599pt" strokecolor="#2f2f2f">
              <v:path arrowok="t"/>
              <v:stroke dashstyle="solid"/>
            </v:shape>
            <v:shape style="position:absolute;left:2396;top:6294;width:44;height:44" coordorigin="2397,6294" coordsize="44,44" path="m2430,6338l2406,6338,2397,6328,2397,6316,2397,6304,2406,6294,2430,6294,2440,6304,2440,6328,2430,6338xe" filled="true" fillcolor="#000000" stroked="false">
              <v:path arrowok="t"/>
              <v:fill type="solid"/>
            </v:shape>
            <v:shape style="position:absolute;left:2396;top:6294;width:44;height:44" coordorigin="2397,6294" coordsize="44,44" path="m2397,6316l2397,6304,2406,6294,2418,6294,2430,6294,2440,6304,2440,6316,2440,6328,2430,6338,2418,6338,2406,6338,2397,6328,2397,6316xe" filled="false" stroked="true" strokeweight=".691599pt" strokecolor="#2f2f2f">
              <v:path arrowok="t"/>
              <v:stroke dashstyle="solid"/>
            </v:shape>
            <v:line style="position:absolute" from="8732,6482" to="9452,6482" stroked="true" strokeweight=".23053pt" strokecolor="#2f2f2f">
              <v:stroke dashstyle="solid"/>
            </v:line>
            <v:shape style="position:absolute;left:9437;top:6439;width:159;height:101" coordorigin="9438,6439" coordsize="159,101" path="m9438,6540l9438,6439,9596,6482,9438,6540xe" filled="true" fillcolor="#2f2f2f" stroked="false">
              <v:path arrowok="t"/>
              <v:fill type="solid"/>
            </v:shape>
            <v:line style="position:absolute" from="8732,6742" to="9452,6742" stroked="true" strokeweight=".23053pt" strokecolor="#2f2f2f">
              <v:stroke dashstyle="solid"/>
            </v:line>
            <v:shape style="position:absolute;left:9437;top:6698;width:159;height:101" coordorigin="9438,6698" coordsize="159,101" path="m9438,6799l9438,6698,9596,6742,9438,6799xe" filled="true" fillcolor="#2f2f2f" stroked="false">
              <v:path arrowok="t"/>
              <v:fill type="solid"/>
            </v:shape>
            <v:line style="position:absolute" from="8818,7001" to="9452,7001" stroked="true" strokeweight=".23053pt" strokecolor="#2f2f2f">
              <v:stroke dashstyle="solid"/>
            </v:line>
            <v:shape style="position:absolute;left:8731;top:6957;width:865;height:101" coordorigin="8732,6958" coordsize="865,101" path="m8833,6958l8732,7001,8833,7059,8833,6958xm9596,7001l9438,6958,9438,7059,9596,7001xe" filled="true" fillcolor="#2f2f2f" stroked="false">
              <v:path arrowok="t"/>
              <v:fill type="solid"/>
            </v:shape>
            <v:line style="position:absolute" from="8876,7693" to="9452,7693" stroked="true" strokeweight=".23053pt" strokecolor="#2f2f2f">
              <v:stroke dashstyle="solid"/>
            </v:line>
            <v:shape style="position:absolute;left:8731;top:7649;width:865;height:101" coordorigin="8732,7649" coordsize="865,101" path="m8890,7649l8732,7693,8890,7750,8890,7649xm9596,7693l9438,7649,9438,7750,9596,7693xe" filled="true" fillcolor="#2f2f2f" stroked="false">
              <v:path arrowok="t"/>
              <v:fill type="solid"/>
            </v:shape>
            <v:shape style="position:absolute;left:3153;top:7822;width:351;height:188" type="#_x0000_t75" stroked="false">
              <v:imagedata r:id="rId181" o:title=""/>
            </v:shape>
            <v:line style="position:absolute" from="4784,7779" to="4150,7779" stroked="true" strokeweight=".23053pt" strokecolor="#2f2f2f">
              <v:stroke dashstyle="solid"/>
            </v:line>
            <v:shape style="position:absolute;left:4769;top:7735;width:159;height:101" coordorigin="4770,7736" coordsize="159,101" path="m4770,7837l4770,7736,4928,7779,4770,7837xe" filled="true" fillcolor="#2f2f2f" stroked="false">
              <v:path arrowok="t"/>
              <v:fill type="solid"/>
            </v:shape>
            <v:line style="position:absolute" from="4928,7001" to="4294,7001" stroked="true" strokeweight=".23053pt" strokecolor="#2f2f2f">
              <v:stroke dashstyle="solid"/>
            </v:line>
            <v:shape style="position:absolute;left:4150;top:6957;width:159;height:101" coordorigin="4150,6958" coordsize="159,101" path="m4308,7059l4150,7001,4308,6958,4308,7059xe" filled="true" fillcolor="#2f2f2f" stroked="false">
              <v:path arrowok="t"/>
              <v:fill type="solid"/>
            </v:shape>
            <v:line style="position:absolute" from="4150,7260" to="4784,7260" stroked="true" strokeweight=".23053pt" strokecolor="#2f2f2f">
              <v:stroke dashstyle="solid"/>
            </v:line>
            <v:shape style="position:absolute;left:4769;top:7217;width:159;height:101" coordorigin="4770,7217" coordsize="159,101" path="m4770,7318l4770,7217,4928,7260,4770,7318xe" filled="true" fillcolor="#2f2f2f" stroked="false">
              <v:path arrowok="t"/>
              <v:fill type="solid"/>
            </v:shape>
            <v:line style="position:absolute" from="8473,3370" to="8473,3629" stroked="true" strokeweight=".230536pt" strokecolor="#2f2f2f">
              <v:stroke dashstyle="solid"/>
            </v:line>
            <v:line style="position:absolute" from="7176,3485" to="7176,3284" stroked="true" strokeweight=".230536pt" strokecolor="#2f2f2f">
              <v:stroke dashstyle="solid"/>
            </v:line>
            <v:shape style="position:absolute;left:7118;top:3471;width:116;height:159" coordorigin="7118,3471" coordsize="116,159" path="m7176,3629l7118,3471,7233,3471,7176,3629xe" filled="true" fillcolor="#2f2f2f" stroked="false">
              <v:path arrowok="t"/>
              <v:fill type="solid"/>
            </v:shape>
            <v:line style="position:absolute" from="7954,3068" to="7954,3629" stroked="true" strokeweight=".230536pt" strokecolor="#2f2f2f">
              <v:stroke dashstyle="solid"/>
            </v:line>
            <v:rect style="position:absolute;left:4928;top:7606;width:779;height:577" filled="false" stroked="true" strokeweight=".230532pt" strokecolor="#2f2f2f">
              <v:stroke dashstyle="solid"/>
            </v:rect>
            <v:rect style="position:absolute;left:9394;top:9090;width:217;height:116" filled="true" fillcolor="#000000" stroked="false">
              <v:fill type="solid"/>
            </v:rect>
            <v:rect style="position:absolute;left:9394;top:9090;width:217;height:116" filled="false" stroked="true" strokeweight=".230531pt" strokecolor="#2f2f2f">
              <v:stroke dashstyle="solid"/>
            </v:rect>
            <v:line style="position:absolute" from="9395,9033" to="9611,9033" stroked="true" strokeweight=".23053pt" strokecolor="#2f2f2f">
              <v:stroke dashstyle="solid"/>
            </v:line>
            <v:line style="position:absolute" from="9395,9249" to="9611,9249" stroked="true" strokeweight=".23053pt" strokecolor="#2f2f2f">
              <v:stroke dashstyle="solid"/>
            </v:line>
            <v:shape style="position:absolute;left:8731;top:8946;width:779;height:87" coordorigin="8732,8946" coordsize="779,87" path="m9510,9033l9510,8946,8732,8946e" filled="false" stroked="true" strokeweight=".23053pt" strokecolor="#2f2f2f">
              <v:path arrowok="t"/>
              <v:stroke dashstyle="solid"/>
            </v:shape>
            <v:shape style="position:absolute;left:8731;top:9248;width:779;height:130" coordorigin="8732,9249" coordsize="779,130" path="m9510,9249l9510,9378,8732,9378e" filled="false" stroked="true" strokeweight=".23053pt" strokecolor="#2f2f2f">
              <v:path arrowok="t"/>
              <v:stroke dashstyle="solid"/>
            </v:shape>
            <v:shape style="position:absolute;left:6224;top:6136;width:1384;height:1874" coordorigin="6225,6136" coordsize="1384,1874" path="m6225,7260l7608,7260,7608,6569,6225,6569,6225,7260xm6225,8010l7608,8010,7608,7260,6225,7260,6225,8010xm6225,6569l7608,6569,7608,6136,6225,6136,6225,6569xe" filled="false" stroked="true" strokeweight=".230533pt" strokecolor="#2f2f2f">
              <v:path arrowok="t"/>
              <v:stroke dashstyle="solid"/>
            </v:shape>
            <v:line style="position:absolute" from="4928,8038" to="4294,8038" stroked="true" strokeweight=".23053pt" strokecolor="#2f2f2f">
              <v:stroke dashstyle="solid"/>
            </v:line>
            <v:shape style="position:absolute;left:4150;top:7995;width:159;height:101" coordorigin="4150,7995" coordsize="159,101" path="m4308,8096l4150,8038,4308,7995,4308,8096xe" filled="true" fillcolor="#2f2f2f" stroked="false">
              <v:path arrowok="t"/>
              <v:fill type="solid"/>
            </v:shape>
            <v:shape style="position:absolute;left:9164;top:7173;width:289;height:519" coordorigin="9164,7174" coordsize="289,519" path="m9164,7693l9164,7174,9452,7174e" filled="false" stroked="true" strokeweight=".230535pt" strokecolor="#2f2f2f">
              <v:path arrowok="t"/>
              <v:stroke dashstyle="shortdash"/>
            </v:shape>
            <v:shape style="position:absolute;left:9437;top:7130;width:159;height:101" coordorigin="9438,7131" coordsize="159,101" path="m9438,7232l9438,7131,9596,7174,9438,7232xe" filled="true" fillcolor="#2f2f2f" stroked="false">
              <v:path arrowok="t"/>
              <v:fill type="solid"/>
            </v:shape>
            <v:line style="position:absolute" from="6657,3485" to="6657,3068" stroked="true" strokeweight=".230536pt" strokecolor="#2f2f2f">
              <v:stroke dashstyle="solid"/>
            </v:line>
            <v:shape style="position:absolute;left:6599;top:3471;width:116;height:159" coordorigin="6599,3471" coordsize="116,159" path="m6657,3629l6599,3471,6715,3471,6657,3629xe" filled="true" fillcolor="#2f2f2f" stroked="false">
              <v:path arrowok="t"/>
              <v:fill type="solid"/>
            </v:shape>
            <v:line style="position:absolute" from="4582,3975" to="4784,3975" stroked="true" strokeweight=".23053pt" strokecolor="#2f2f2f">
              <v:stroke dashstyle="solid"/>
            </v:line>
            <v:shape style="position:absolute;left:4769;top:3932;width:159;height:101" coordorigin="4770,3932" coordsize="159,101" path="m4770,4033l4770,3932,4928,3975,4770,4033xe" filled="true" fillcolor="#2f2f2f" stroked="false">
              <v:path arrowok="t"/>
              <v:fill type="solid"/>
            </v:shape>
            <v:line style="position:absolute" from="2680,2851" to="6340,2851" stroked="true" strokeweight=".23053pt" strokecolor="#2f2f2f">
              <v:stroke dashstyle="solid"/>
            </v:line>
            <v:shape style="position:absolute;left:6325;top:2808;width:159;height:101" coordorigin="6326,2808" coordsize="159,101" path="m6326,2909l6326,2808,6484,2851,6326,2909xe" filled="true" fillcolor="#2f2f2f" stroked="false">
              <v:path arrowok="t"/>
              <v:fill type="solid"/>
            </v:shape>
            <v:shape style="position:absolute;left:2656;top:2836;width:44;height:44" coordorigin="2656,2836" coordsize="44,44" path="m2690,2880l2666,2880,2656,2870,2656,2858,2656,2846,2666,2836,2690,2836,2699,2846,2699,2870,2690,2880xe" filled="true" fillcolor="#000000" stroked="false">
              <v:path arrowok="t"/>
              <v:fill type="solid"/>
            </v:shape>
            <v:shape style="position:absolute;left:2656;top:2836;width:44;height:44" coordorigin="2656,2836" coordsize="44,44" path="m2656,2858l2656,2846,2666,2836,2678,2836,2690,2836,2699,2846,2699,2858,2699,2870,2690,2880,2678,2880,2666,2880,2656,2870,2656,2858xe" filled="false" stroked="true" strokeweight=".691599pt" strokecolor="#2f2f2f">
              <v:path arrowok="t"/>
              <v:stroke dashstyle="solid"/>
            </v:shape>
            <v:line style="position:absolute" from="7089,1987" to="5360,1987" stroked="true" strokeweight=".23053pt" strokecolor="#2f2f2f">
              <v:stroke dashstyle="solid"/>
            </v:line>
            <v:rect style="position:absolute;left:1470;top:690;width:173;height:173" filled="true" fillcolor="#ffffff" stroked="false">
              <v:fill type="solid"/>
            </v:rect>
            <v:rect style="position:absolute;left:1470;top:690;width:173;height:173" filled="false" stroked="true" strokeweight=".230533pt" strokecolor="#2f2f2f">
              <v:stroke dashstyle="solid"/>
            </v:rect>
            <v:rect style="position:absolute;left:1470;top:1036;width:173;height:173" filled="true" fillcolor="#ffffff" stroked="false">
              <v:fill type="solid"/>
            </v:rect>
            <v:rect style="position:absolute;left:1470;top:1036;width:173;height:173" filled="false" stroked="true" strokeweight=".230533pt" strokecolor="#2f2f2f">
              <v:stroke dashstyle="solid"/>
            </v:rect>
            <v:rect style="position:absolute;left:1470;top:1381;width:173;height:173" filled="true" fillcolor="#ffffff" stroked="false">
              <v:fill type="solid"/>
            </v:rect>
            <v:rect style="position:absolute;left:1470;top:1381;width:173;height:173" filled="false" stroked="true" strokeweight=".230533pt" strokecolor="#2f2f2f">
              <v:stroke dashstyle="solid"/>
            </v:rect>
            <v:rect style="position:absolute;left:1470;top:1900;width:173;height:173" filled="true" fillcolor="#ffffff" stroked="false">
              <v:fill type="solid"/>
            </v:rect>
            <v:rect style="position:absolute;left:1470;top:1900;width:173;height:173" filled="false" stroked="true" strokeweight=".230533pt" strokecolor="#2f2f2f">
              <v:stroke dashstyle="solid"/>
            </v:rect>
            <v:rect style="position:absolute;left:2075;top:2419;width:173;height:173" filled="true" fillcolor="#ffffff" stroked="false">
              <v:fill type="solid"/>
            </v:rect>
            <v:rect style="position:absolute;left:2075;top:2419;width:173;height:173" filled="false" stroked="true" strokeweight=".230533pt" strokecolor="#2f2f2f">
              <v:stroke dashstyle="solid"/>
            </v:rect>
            <v:rect style="position:absolute;left:2334;top:2419;width:173;height:173" filled="true" fillcolor="#ffffff" stroked="false">
              <v:fill type="solid"/>
            </v:rect>
            <v:rect style="position:absolute;left:2334;top:2419;width:173;height:173" filled="false" stroked="true" strokeweight=".230533pt" strokecolor="#2f2f2f">
              <v:stroke dashstyle="solid"/>
            </v:rect>
            <v:rect style="position:absolute;left:2593;top:2419;width:173;height:173" filled="true" fillcolor="#ffffff" stroked="false">
              <v:fill type="solid"/>
            </v:rect>
            <v:rect style="position:absolute;left:2593;top:2419;width:173;height:173" filled="false" stroked="true" strokeweight=".230533pt" strokecolor="#2f2f2f">
              <v:stroke dashstyle="solid"/>
            </v:rect>
            <v:line style="position:absolute" from="5360,1468" to="6369,1468" stroked="true" strokeweight=".23053pt" strokecolor="#2f2f2f">
              <v:stroke dashstyle="solid"/>
            </v:line>
            <v:line style="position:absolute" from="7089,1468" to="7089,1987" stroked="true" strokeweight=".230536pt" strokecolor="#2f2f2f">
              <v:stroke dashstyle="solid"/>
            </v:line>
            <v:rect style="position:absolute;left:6484;top:2505;width:2248;height:562" filled="false" stroked="true" strokeweight=".69159pt" strokecolor="#2f2f2f">
              <v:stroke dashstyle="solid"/>
            </v:rect>
            <v:rect style="position:absolute;left:5187;top:690;width:173;height:173" filled="true" fillcolor="#ffffff" stroked="false">
              <v:fill type="solid"/>
            </v:rect>
            <v:rect style="position:absolute;left:5187;top:690;width:173;height:173" filled="false" stroked="true" strokeweight=".230533pt" strokecolor="#2f2f2f">
              <v:stroke dashstyle="solid"/>
            </v:rect>
            <v:rect style="position:absolute;left:5187;top:1381;width:173;height:173" filled="true" fillcolor="#ffffff" stroked="false">
              <v:fill type="solid"/>
            </v:rect>
            <v:rect style="position:absolute;left:5187;top:1381;width:173;height:173" filled="false" stroked="true" strokeweight=".230533pt" strokecolor="#2f2f2f">
              <v:stroke dashstyle="solid"/>
            </v:rect>
            <v:rect style="position:absolute;left:5187;top:1900;width:173;height:173" filled="true" fillcolor="#ffffff" stroked="false">
              <v:fill type="solid"/>
            </v:rect>
            <v:rect style="position:absolute;left:5187;top:1900;width:173;height:173" filled="false" stroked="true" strokeweight=".230533pt" strokecolor="#2f2f2f">
              <v:stroke dashstyle="solid"/>
            </v:rect>
            <v:shape style="position:absolute;left:6366;top:875;width:726;height:596" type="#_x0000_t75" stroked="false">
              <v:imagedata r:id="rId182" o:title=""/>
            </v:shape>
            <v:rect style="position:absolute;left:1815;top:2419;width:173;height:173" filled="true" fillcolor="#ffffff" stroked="false">
              <v:fill type="solid"/>
            </v:rect>
            <v:rect style="position:absolute;left:1815;top:2419;width:173;height:173" filled="false" stroked="true" strokeweight=".230533pt" strokecolor="#2f2f2f">
              <v:stroke dashstyle="solid"/>
            </v:rect>
            <v:line style="position:absolute" from="1902,1137" to="1902,2419" stroked="true" strokeweight=".230536pt" strokecolor="#2f2f2f">
              <v:stroke dashstyle="solid"/>
            </v:line>
            <v:shape style="position:absolute;left:2593;top:4493;width:173;height:346" coordorigin="2594,4494" coordsize="173,346" path="m2680,4494l2767,4537,2594,4624,2767,4710,2594,4797,2680,4840e" filled="false" stroked="true" strokeweight=".230535pt" strokecolor="#2f2f2f">
              <v:path arrowok="t"/>
              <v:stroke dashstyle="solid"/>
            </v:shape>
            <v:shape style="position:absolute;left:1902;top:2592;width:779;height:3718" coordorigin="1902,2592" coordsize="779,3718" path="m1902,2592l1902,6309,2680,6309e" filled="false" stroked="true" strokeweight=".230536pt" strokecolor="#2f2f2f">
              <v:path arrowok="t"/>
              <v:stroke dashstyle="solid"/>
            </v:shape>
            <v:shape style="position:absolute;left:2137;top:6294;width:44;height:44" coordorigin="2137,6294" coordsize="44,44" path="m2171,6338l2147,6338,2137,6328,2137,6316,2137,6304,2147,6294,2171,6294,2181,6304,2181,6328,2171,6338xe" filled="true" fillcolor="#000000" stroked="false">
              <v:path arrowok="t"/>
              <v:fill type="solid"/>
            </v:shape>
            <v:shape style="position:absolute;left:2137;top:6294;width:44;height:44" coordorigin="2137,6294" coordsize="44,44" path="m2137,6316l2137,6304,2147,6294,2159,6294,2171,6294,2181,6304,2181,6316,2181,6328,2171,6338,2159,6338,2147,6338,2137,6328,2137,6316xe" filled="false" stroked="true" strokeweight=".691599pt" strokecolor="#2f2f2f">
              <v:path arrowok="t"/>
              <v:stroke dashstyle="solid"/>
            </v:shape>
            <v:line style="position:absolute" from="1989,3284" to="7176,3284" stroked="true" strokeweight=".23053pt" strokecolor="#2f2f2f">
              <v:stroke dashstyle="solid"/>
            </v:line>
            <v:rect style="position:absolute;left:5187;top:1036;width:173;height:173" filled="true" fillcolor="#ffffff" stroked="false">
              <v:fill type="solid"/>
            </v:rect>
            <v:rect style="position:absolute;left:5187;top:1036;width:173;height:173" filled="false" stroked="true" strokeweight=".230533pt" strokecolor="#2f2f2f">
              <v:stroke dashstyle="solid"/>
            </v:rect>
            <v:line style="position:absolute" from="1989,3284" to="1902,3197" stroked="true" strokeweight=".230533pt" strokecolor="#2f2f2f">
              <v:stroke dashstyle="solid"/>
            </v:line>
            <v:shape style="position:absolute;left:4015;top:683;width:567;height:135" type="#_x0000_t75" stroked="false">
              <v:imagedata r:id="rId183" o:title=""/>
            </v:shape>
            <v:shape style="position:absolute;left:3064;top:1386;width:567;height:135" type="#_x0000_t75" stroked="false">
              <v:imagedata r:id="rId184" o:title=""/>
            </v:shape>
            <v:shape style="position:absolute;left:2740;top:1904;width:567;height:135" type="#_x0000_t75" stroked="false">
              <v:imagedata r:id="rId185" o:title=""/>
            </v:shape>
            <v:rect style="position:absolute;left:6224;top:5574;width:1384;height:562" filled="false" stroked="true" strokeweight=".23053pt" strokecolor="#2f2f2f">
              <v:stroke dashstyle="solid"/>
            </v:rect>
            <v:line style="position:absolute" from="10288,3370" to="7954,3370" stroked="true" strokeweight=".23053pt" strokecolor="#000000">
              <v:stroke dashstyle="solid"/>
            </v:line>
            <v:shape style="position:absolute;left:6632;top:3268;width:44;height:44" coordorigin="6633,3269" coordsize="44,44" path="m6666,3312l6643,3312,6633,3302,6633,3290,6633,3278,6643,3269,6666,3269,6676,3278,6676,3302,6666,3312xe" filled="true" fillcolor="#000000" stroked="false">
              <v:path arrowok="t"/>
              <v:fill type="solid"/>
            </v:shape>
            <v:shape style="position:absolute;left:6632;top:3268;width:44;height:44" coordorigin="6633,3269" coordsize="44,44" path="m6633,3290l6633,3278,6643,3269,6654,3269,6666,3269,6676,3278,6676,3290,6676,3302,6666,3312,6654,3312,6643,3312,6633,3302,6633,3290xe" filled="false" stroked="true" strokeweight=".691599pt" strokecolor="#2f2f2f">
              <v:path arrowok="t"/>
              <v:stroke dashstyle="solid"/>
            </v:shape>
            <v:shape style="position:absolute;left:7929;top:3355;width:44;height:44" coordorigin="7930,3355" coordsize="44,44" path="m7963,3398l7939,3398,7930,3389,7930,3377,7930,3365,7939,3355,7963,3355,7973,3365,7973,3389,7963,3398xe" filled="true" fillcolor="#000000" stroked="false">
              <v:path arrowok="t"/>
              <v:fill type="solid"/>
            </v:shape>
            <v:shape style="position:absolute;left:7929;top:3355;width:44;height:44" coordorigin="7930,3355" coordsize="44,44" path="m7930,3377l7930,3365,7939,3355,7951,3355,7963,3355,7973,3365,7973,3377,7973,3389,7963,3398,7951,3398,7939,3398,7930,3389,7930,3377xe" filled="false" stroked="true" strokeweight=".691599pt" strokecolor="#2f2f2f">
              <v:path arrowok="t"/>
              <v:stroke dashstyle="solid"/>
            </v:shape>
            <v:line style="position:absolute" from="5360,1122" to="6686,1122" stroked="true" strokeweight=".23053pt" strokecolor="#000000">
              <v:stroke dashstyle="solid"/>
            </v:line>
            <v:line style="position:absolute" from="6729,1151" to="6686,1122" stroked="true" strokeweight=".230532pt" strokecolor="#000000">
              <v:stroke dashstyle="solid"/>
            </v:line>
            <v:line style="position:absolute" from="5187,1468" to="2421,1468" stroked="true" strokeweight=".23053pt" strokecolor="#000000">
              <v:stroke dashstyle="solid"/>
            </v:line>
            <v:line style="position:absolute" from="5187,1987" to="2162,1987" stroked="true" strokeweight=".23053pt" strokecolor="#000000">
              <v:stroke dashstyle="solid"/>
            </v:line>
            <v:line style="position:absolute" from="2162,1987" to="2162,2419" stroked="true" strokeweight=".230536pt" strokecolor="#000000">
              <v:stroke dashstyle="solid"/>
            </v:line>
            <v:line style="position:absolute" from="1643,1987" to="2162,1987" stroked="true" strokeweight=".23053pt" strokecolor="#000000">
              <v:stroke dashstyle="solid"/>
            </v:line>
            <v:line style="position:absolute" from="1643,1468" to="2421,1468" stroked="true" strokeweight=".23053pt" strokecolor="#000000">
              <v:stroke dashstyle="solid"/>
            </v:line>
            <v:line style="position:absolute" from="1643,1122" to="5187,1122" stroked="true" strokeweight=".23053pt" strokecolor="#000000">
              <v:stroke dashstyle="solid"/>
            </v:line>
            <v:line style="position:absolute" from="2162,4580" to="2162,2592" stroked="true" strokeweight=".230536pt" strokecolor="#000000">
              <v:stroke dashstyle="solid"/>
            </v:line>
            <v:line style="position:absolute" from="2421,4926" to="2421,5099" stroked="true" strokeweight=".230536pt" strokecolor="#000000">
              <v:stroke dashstyle="solid"/>
            </v:line>
            <v:line style="position:absolute" from="2421,5445" to="2421,5747" stroked="true" strokeweight=".230536pt" strokecolor="#000000">
              <v:stroke dashstyle="solid"/>
            </v:line>
            <v:line style="position:absolute" from="2680,4321" to="2680,4494" stroked="true" strokeweight=".230536pt" strokecolor="#000000">
              <v:stroke dashstyle="solid"/>
            </v:line>
            <v:line style="position:absolute" from="2680,6309" to="2680,4840" stroked="true" strokeweight=".230536pt" strokecolor="#000000">
              <v:stroke dashstyle="solid"/>
            </v:line>
            <v:shape style="position:absolute;left:1878;top:1109;width:44;height:44" coordorigin="1878,1109" coordsize="44,44" path="m1912,1153l1888,1153,1878,1143,1878,1131,1878,1119,1888,1109,1912,1109,1921,1119,1921,1143,1912,1153xe" filled="true" fillcolor="#000000" stroked="false">
              <v:path arrowok="t"/>
              <v:fill type="solid"/>
            </v:shape>
            <v:shape style="position:absolute;left:1878;top:1109;width:44;height:44" coordorigin="1878,1109" coordsize="44,44" path="m1878,1131l1878,1119,1888,1109,1900,1109,1912,1109,1921,1119,1921,1131,1921,1143,1912,1153,1900,1153,1888,1153,1878,1143,1878,1131xe" filled="false" stroked="true" strokeweight=".691599pt" strokecolor="#2f2f2f">
              <v:path arrowok="t"/>
              <v:stroke dashstyle="solid"/>
            </v:shape>
            <v:shape style="position:absolute;left:9077;top:7000;width:361;height:1340" coordorigin="9078,7001" coordsize="361,1340" path="m9078,7001l9078,8341,9438,8341e" filled="false" stroked="true" strokeweight=".230536pt" strokecolor="#2f2f2f">
              <v:path arrowok="t"/>
              <v:stroke dashstyle="shortdash"/>
            </v:shape>
            <v:shape style="position:absolute;left:9423;top:8297;width:173;height:101" coordorigin="9423,8298" coordsize="173,101" path="m9423,8399l9423,8298,9596,8341,9423,8399xe" filled="true" fillcolor="#2f2f2f" stroked="false">
              <v:path arrowok="t"/>
              <v:fill type="solid"/>
            </v:shape>
            <v:line style="position:absolute" from="4784,4321" to="2680,4321" stroked="true" strokeweight=".23053pt" strokecolor="#2f2f2f">
              <v:stroke dashstyle="solid"/>
            </v:line>
            <v:shape style="position:absolute;left:4769;top:4277;width:159;height:101" coordorigin="4770,4278" coordsize="159,101" path="m4770,4379l4770,4278,4928,4321,4770,4379xe" filled="true" fillcolor="#2f2f2f" stroked="false">
              <v:path arrowok="t"/>
              <v:fill type="solid"/>
            </v:shape>
            <v:line style="position:absolute" from="8862,5186" to="9582,5186" stroked="true" strokeweight=".23053pt" strokecolor="#2f2f2f">
              <v:stroke dashstyle="solid"/>
            </v:line>
            <v:shape style="position:absolute;left:8717;top:5142;width:159;height:101" coordorigin="8717,5142" coordsize="159,101" path="m8876,5243l8717,5186,8876,5142,8876,5243xe" filled="true" fillcolor="#2f2f2f" stroked="false">
              <v:path arrowok="t"/>
              <v:fill type="solid"/>
            </v:shape>
            <v:line style="position:absolute" from="8862,4624" to="9164,4624" stroked="true" strokeweight=".23053pt" strokecolor="#2f2f2f">
              <v:stroke dashstyle="solid"/>
            </v:line>
            <v:shape style="position:absolute;left:8717;top:4580;width:159;height:101" coordorigin="8717,4580" coordsize="159,101" path="m8876,4681l8717,4624,8876,4580,8876,4681xe" filled="true" fillcolor="#2f2f2f" stroked="false">
              <v:path arrowok="t"/>
              <v:fill type="solid"/>
            </v:shape>
            <v:shape style="position:absolute;left:9581;top:5012;width:346;height:346" coordorigin="9582,5013" coordsize="346,346" path="m9582,5186l9726,5186m9784,5186l9928,5186m9726,5013l9726,5358m9784,5070l9784,5301m9668,5056l9668,5099m9640,5070l9683,5070m9813,5070l9856,5070e" filled="false" stroked="true" strokeweight=".691599pt" strokecolor="#000000">
              <v:path arrowok="t"/>
              <v:stroke dashstyle="solid"/>
            </v:shape>
            <v:line style="position:absolute" from="9928,5186" to="10288,5186" stroked="true" strokeweight=".23053pt" strokecolor="#000000">
              <v:stroke dashstyle="solid"/>
            </v:line>
            <v:shape style="position:absolute;left:10288;top:3370;width:2;height:2075" coordorigin="10288,3370" coordsize="0,2075" path="m10288,4624l10288,5445m10288,4624l10288,3370e" filled="false" stroked="true" strokeweight=".230533pt" strokecolor="#000000">
              <v:path arrowok="t"/>
              <v:stroke dashstyle="solid"/>
            </v:shape>
            <v:rect style="position:absolute;left:7608;top:4032;width:1124;height:779" filled="false" stroked="true" strokeweight=".230532pt" strokecolor="#2f2f2f">
              <v:stroke dashstyle="solid"/>
            </v:rect>
            <v:shape style="position:absolute;left:8450;top:3355;width:44;height:44" coordorigin="8450,3355" coordsize="44,44" path="m8484,3398l8460,3398,8450,3389,8450,3377,8450,3365,8460,3355,8484,3355,8493,3365,8493,3389,8484,3398xe" filled="true" fillcolor="#000000" stroked="false">
              <v:path arrowok="t"/>
              <v:fill type="solid"/>
            </v:shape>
            <v:shape style="position:absolute;left:8450;top:3355;width:44;height:44" coordorigin="8450,3355" coordsize="44,44" path="m8450,3377l8450,3365,8460,3355,8472,3355,8484,3355,8493,3365,8493,3377,8493,3389,8484,3398,8472,3398,8460,3398,8450,3389,8450,3377xe" filled="false" stroked="true" strokeweight=".691599pt" strokecolor="#2f2f2f">
              <v:path arrowok="t"/>
              <v:stroke dashstyle="solid"/>
            </v:shape>
            <v:shape style="position:absolute;left:3539;top:1040;width:567;height:135" type="#_x0000_t75" stroked="false">
              <v:imagedata r:id="rId185" o:title=""/>
            </v:shape>
            <v:line style="position:absolute" from="4020,950" to="4020,733" stroked="true" strokeweight=".230536pt" strokecolor="#2f2f2f">
              <v:stroke dashstyle="solid"/>
            </v:line>
            <v:shape style="position:absolute;left:4366;top:949;width:2;height:3199" coordorigin="4366,950" coordsize="0,3199" path="m4366,2592l4366,4148m4366,950l4366,2419e" filled="false" stroked="true" strokeweight=".230536pt" strokecolor="#2f2f2f">
              <v:path arrowok="t"/>
              <v:stroke dashstyle="solid"/>
            </v:shape>
            <v:line style="position:absolute" from="4366,4148" to="4784,4148" stroked="true" strokeweight=".23053pt" strokecolor="#2f2f2f">
              <v:stroke dashstyle="solid"/>
            </v:line>
            <v:shape style="position:absolute;left:4769;top:4104;width:159;height:101" coordorigin="4770,4105" coordsize="159,101" path="m4770,4206l4770,4105,4928,4148,4770,4206xe" filled="true" fillcolor="#2f2f2f" stroked="false">
              <v:path arrowok="t"/>
              <v:fill type="solid"/>
            </v:shape>
            <v:rect style="position:absolute;left:4279;top:2419;width:173;height:173" filled="true" fillcolor="#ffffff" stroked="false">
              <v:fill type="solid"/>
            </v:rect>
            <v:rect style="position:absolute;left:4279;top:2419;width:173;height:173" filled="false" stroked="true" strokeweight=".230533pt" strokecolor="#2f2f2f">
              <v:stroke dashstyle="solid"/>
            </v:rect>
            <v:shape style="position:absolute;left:4106;top:733;width:476;height:4971" coordorigin="4107,733" coordsize="476,4971" path="m4107,2592l4107,5704m4107,1079l4107,2419m4582,2592l4582,3975m4582,733l4582,2419e" filled="false" stroked="true" strokeweight=".230536pt" strokecolor="#2f2f2f">
              <v:path arrowok="t"/>
              <v:stroke dashstyle="solid"/>
            </v:shape>
            <v:rect style="position:absolute;left:4495;top:2419;width:173;height:173" filled="true" fillcolor="#ffffff" stroked="false">
              <v:fill type="solid"/>
            </v:rect>
            <v:rect style="position:absolute;left:4495;top:2419;width:173;height:173" filled="false" stroked="true" strokeweight=".230533pt" strokecolor="#2f2f2f">
              <v:stroke dashstyle="solid"/>
            </v:rect>
            <v:line style="position:absolute" from="4020,950" to="4366,950" stroked="true" strokeweight=".23053pt" strokecolor="#2f2f2f">
              <v:stroke dashstyle="solid"/>
            </v:line>
            <v:rect style="position:absolute;left:4020;top:2419;width:173;height:173" filled="true" fillcolor="#ffffff" stroked="false">
              <v:fill type="solid"/>
            </v:rect>
            <v:rect style="position:absolute;left:4020;top:2419;width:173;height:173" filled="false" stroked="true" strokeweight=".230533pt" strokecolor="#2f2f2f">
              <v:stroke dashstyle="solid"/>
            </v:rect>
            <v:line style="position:absolute" from="4784,4753" to="3415,4753" stroked="true" strokeweight=".23053pt" strokecolor="#2f2f2f">
              <v:stroke dashstyle="solid"/>
            </v:line>
            <v:shape style="position:absolute;left:4769;top:4710;width:159;height:101" coordorigin="4770,4710" coordsize="159,101" path="m4770,4811l4770,4710,4928,4753,4770,4811xe" filled="true" fillcolor="#2f2f2f" stroked="false">
              <v:path arrowok="t"/>
              <v:fill type="solid"/>
            </v:shape>
            <v:shape style="position:absolute;left:3544;top:1079;width:346;height:217" coordorigin="3545,1079" coordsize="346,217" path="m3545,1295l3545,1079m3545,1295l3891,1295e" filled="false" stroked="true" strokeweight=".230533pt" strokecolor="#2f2f2f">
              <v:path arrowok="t"/>
              <v:stroke dashstyle="solid"/>
            </v:shape>
            <v:shape style="position:absolute;left:3069;top:1439;width:346;height:245" coordorigin="3069,1439" coordsize="346,245" path="m3069,1684l3069,1439m3069,1684l3415,1684e" filled="false" stroked="true" strokeweight=".230533pt" strokecolor="#2f2f2f">
              <v:path arrowok="t"/>
              <v:stroke dashstyle="solid"/>
            </v:shape>
            <v:shape style="position:absolute;left:3890;top:1295;width:2;height:4582" coordorigin="3891,1295" coordsize="0,4582" path="m3891,2592l3891,5877m3891,1295l3891,2419e" filled="false" stroked="true" strokeweight=".230536pt" strokecolor="#2f2f2f">
              <v:path arrowok="t"/>
              <v:stroke dashstyle="solid"/>
            </v:shape>
            <v:rect style="position:absolute;left:3804;top:2419;width:173;height:173" filled="true" fillcolor="#ffffff" stroked="false">
              <v:fill type="solid"/>
            </v:rect>
            <v:rect style="position:absolute;left:3804;top:2419;width:173;height:173" filled="false" stroked="true" strokeweight=".230533pt" strokecolor="#2f2f2f">
              <v:stroke dashstyle="solid"/>
            </v:rect>
            <v:rect style="position:absolute;left:3544;top:2419;width:173;height:173" filled="true" fillcolor="#ffffff" stroked="false">
              <v:fill type="solid"/>
            </v:rect>
            <v:rect style="position:absolute;left:3544;top:2419;width:173;height:173" filled="false" stroked="true" strokeweight=".230533pt" strokecolor="#2f2f2f">
              <v:stroke dashstyle="solid"/>
            </v:rect>
            <v:line style="position:absolute" from="4784,5099" to="3156,5099" stroked="true" strokeweight=".23053pt" strokecolor="#2f2f2f">
              <v:stroke dashstyle="solid"/>
            </v:line>
            <v:shape style="position:absolute;left:4769;top:5055;width:159;height:101" coordorigin="4770,5056" coordsize="159,101" path="m4770,5157l4770,5056,4928,5099,4770,5157xe" filled="true" fillcolor="#2f2f2f" stroked="false">
              <v:path arrowok="t"/>
              <v:fill type="solid"/>
            </v:shape>
            <v:line style="position:absolute" from="4784,5272" to="2940,5272" stroked="true" strokeweight=".23053pt" strokecolor="#2f2f2f">
              <v:stroke dashstyle="solid"/>
            </v:line>
            <v:shape style="position:absolute;left:4769;top:5228;width:159;height:101" coordorigin="4770,5229" coordsize="159,101" path="m4770,5330l4770,5229,4928,5272,4770,5330xe" filled="true" fillcolor="#2f2f2f" stroked="false">
              <v:path arrowok="t"/>
              <v:fill type="solid"/>
            </v:shape>
            <v:shape style="position:absolute;left:3415;top:1684;width:2;height:3069" coordorigin="3415,1684" coordsize="0,3069" path="m3415,2592l3415,4753m3415,1684l3415,2419e" filled="false" stroked="true" strokeweight=".230536pt" strokecolor="#2f2f2f">
              <v:path arrowok="t"/>
              <v:stroke dashstyle="solid"/>
            </v:shape>
            <v:rect style="position:absolute;left:3328;top:2419;width:173;height:173" filled="true" fillcolor="#ffffff" stroked="false">
              <v:fill type="solid"/>
            </v:rect>
            <v:rect style="position:absolute;left:3328;top:2419;width:173;height:173" filled="false" stroked="true" strokeweight=".230533pt" strokecolor="#2f2f2f">
              <v:stroke dashstyle="solid"/>
            </v:rect>
            <v:line style="position:absolute" from="4784,5704" to="4107,5704" stroked="true" strokeweight=".23053pt" strokecolor="#2f2f2f">
              <v:stroke dashstyle="solid"/>
            </v:line>
            <v:shape style="position:absolute;left:4769;top:5661;width:159;height:101" coordorigin="4770,5661" coordsize="159,101" path="m4770,5762l4770,5661,4928,5704,4770,5762xe" filled="true" fillcolor="#2f2f2f" stroked="false">
              <v:path arrowok="t"/>
              <v:fill type="solid"/>
            </v:shape>
            <v:line style="position:absolute" from="4784,5877" to="3891,5877" stroked="true" strokeweight=".23053pt" strokecolor="#2f2f2f">
              <v:stroke dashstyle="solid"/>
            </v:line>
            <v:shape style="position:absolute;left:4769;top:5833;width:159;height:101" coordorigin="4770,5834" coordsize="159,101" path="m4770,5935l4770,5834,4928,5877,4770,5935xe" filled="true" fillcolor="#2f2f2f" stroked="false">
              <v:path arrowok="t"/>
              <v:fill type="solid"/>
            </v:shape>
            <v:shape style="position:absolute;left:2939;top:2159;width:217;height:3113" coordorigin="2940,2160" coordsize="217,3113" path="m3156,2592l3156,5099m3156,2160l3156,2419m2940,2592l2940,5272m2940,2160l2940,2419e" filled="false" stroked="true" strokeweight=".230536pt" strokecolor="#2f2f2f">
              <v:path arrowok="t"/>
              <v:stroke dashstyle="solid"/>
            </v:shape>
            <v:rect style="position:absolute;left:2853;top:2419;width:173;height:173" filled="true" fillcolor="#ffffff" stroked="false">
              <v:fill type="solid"/>
            </v:rect>
            <v:rect style="position:absolute;left:2853;top:2419;width:173;height:173" filled="false" stroked="true" strokeweight=".230533pt" strokecolor="#2f2f2f">
              <v:stroke dashstyle="solid"/>
            </v:rect>
            <v:rect style="position:absolute;left:3069;top:2419;width:173;height:173" filled="true" fillcolor="#ffffff" stroked="false">
              <v:fill type="solid"/>
            </v:rect>
            <v:rect style="position:absolute;left:3069;top:2419;width:173;height:173" filled="false" stroked="true" strokeweight=".230533pt" strokecolor="#2f2f2f">
              <v:stroke dashstyle="solid"/>
            </v:rect>
            <v:shape style="position:absolute;left:2737;top:1972;width:202;height:188" coordorigin="2738,1973" coordsize="202,188" path="m2738,2160l2738,1973m2738,2160l2940,2160e" filled="false" stroked="true" strokeweight=".230533pt" strokecolor="#2f2f2f">
              <v:path arrowok="t"/>
              <v:stroke dashstyle="solid"/>
            </v:shape>
            <v:line style="position:absolute" from="3156,2160" to="3300,2160" stroked="true" strokeweight=".23053pt" strokecolor="#2f2f2f">
              <v:stroke dashstyle="solid"/>
            </v:line>
            <v:line style="position:absolute" from="3300,2160" to="3300,1973" stroked="true" strokeweight=".230536pt" strokecolor="#2f2f2f">
              <v:stroke dashstyle="solid"/>
            </v:line>
            <v:shape style="position:absolute;left:9139;top:4608;width:44;height:44" coordorigin="9140,4609" coordsize="44,44" path="m9173,4652l9150,4652,9140,4642,9140,4630,9140,4618,9150,4609,9173,4609,9183,4618,9183,4642,9173,4652xe" filled="true" fillcolor="#000000" stroked="false">
              <v:path arrowok="t"/>
              <v:fill type="solid"/>
            </v:shape>
            <v:shape style="position:absolute;left:9139;top:4608;width:44;height:44" coordorigin="9140,4609" coordsize="44,44" path="m9140,4630l9140,4618,9150,4609,9162,4609,9173,4609,9183,4618,9183,4630,9183,4642,9173,4652,9162,4652,9150,4652,9140,4642,9140,4630xe" filled="false" stroked="true" strokeweight=".691599pt" strokecolor="#2f2f2f">
              <v:path arrowok="t"/>
              <v:stroke dashstyle="solid"/>
            </v:shape>
            <v:shape style="position:absolute;left:9312;top:4608;width:44;height:44" coordorigin="9313,4609" coordsize="44,44" path="m9346,4652l9323,4652,9313,4642,9313,4630,9313,4618,9323,4609,9346,4609,9356,4618,9356,4642,9346,4652xe" filled="true" fillcolor="#000000" stroked="false">
              <v:path arrowok="t"/>
              <v:fill type="solid"/>
            </v:shape>
            <v:shape style="position:absolute;left:9312;top:4608;width:44;height:44" coordorigin="9313,4609" coordsize="44,44" path="m9313,4630l9313,4618,9323,4609,9334,4609,9346,4609,9356,4618,9356,4630,9356,4642,9346,4652,9334,4652,9323,4652,9313,4642,9313,4630xe" filled="false" stroked="true" strokeweight=".691599pt" strokecolor="#2f2f2f">
              <v:path arrowok="t"/>
              <v:stroke dashstyle="solid"/>
            </v:shape>
            <v:line style="position:absolute" from="9118,4544" to="9378,4544" stroked="true" strokeweight="1.152648pt" strokecolor="#000000">
              <v:stroke dashstyle="solid"/>
            </v:line>
            <v:line style="position:absolute" from="9162,4414" to="9334,4414" stroked="true" strokeweight="2.074766pt" strokecolor="#000000">
              <v:stroke dashstyle="solid"/>
            </v:line>
            <v:line style="position:absolute" from="9248,4414" to="9248,4544" stroked="true" strokeweight="1.152681pt" strokecolor="#000000">
              <v:stroke dashstyle="solid"/>
            </v:line>
            <v:line style="position:absolute" from="9510,4624" to="9337,4624" stroked="true" strokeweight=".23053pt" strokecolor="#000000">
              <v:stroke dashstyle="solid"/>
            </v:line>
            <v:line style="position:absolute" from="9510,5186" to="9510,4624" stroked="true" strokeweight=".230536pt" strokecolor="#000000">
              <v:stroke dashstyle="solid"/>
            </v:line>
            <v:shape style="position:absolute;left:9485;top:5170;width:44;height:44" coordorigin="9486,5171" coordsize="44,44" path="m9519,5214l9495,5214,9486,5204,9486,5192,9486,5180,9495,5171,9519,5171,9529,5180,9529,5204,9519,5214xe" filled="true" fillcolor="#000000" stroked="false">
              <v:path arrowok="t"/>
              <v:fill type="solid"/>
            </v:shape>
            <v:shape style="position:absolute;left:9485;top:5170;width:44;height:44" coordorigin="9486,5171" coordsize="44,44" path="m9486,5192l9486,5180,9495,5171,9507,5171,9519,5171,9529,5180,9529,5192,9529,5204,9519,5214,9507,5214,9495,5214,9486,5204,9486,5192xe" filled="false" stroked="true" strokeweight=".691599pt" strokecolor="#2f2f2f">
              <v:path arrowok="t"/>
              <v:stroke dashstyle="solid"/>
            </v:shape>
            <v:shape style="position:absolute;left:9120;top:5272;width:346;height:346" coordorigin="9121,5272" coordsize="346,346" path="m9121,5445l9265,5445m9323,5445l9467,5445m9265,5272l9265,5618m9323,5330l9323,5560m9207,5315l9207,5358m9193,5330l9236,5330m9366,5330l9409,5330e" filled="false" stroked="true" strokeweight=".691599pt" strokecolor="#000000">
              <v:path arrowok="t"/>
              <v:stroke dashstyle="solid"/>
            </v:shape>
            <v:line style="position:absolute" from="9467,5445" to="10288,5445" stroked="true" strokeweight=".23053pt" strokecolor="#000000">
              <v:stroke dashstyle="solid"/>
            </v:line>
            <v:shape style="position:absolute;left:10263;top:5170;width:44;height:44" coordorigin="10264,5171" coordsize="44,44" path="m10297,5214l10273,5214,10264,5204,10264,5192,10264,5180,10273,5171,10297,5171,10307,5180,10307,5204,10297,5214xe" filled="true" fillcolor="#000000" stroked="false">
              <v:path arrowok="t"/>
              <v:fill type="solid"/>
            </v:shape>
            <v:shape style="position:absolute;left:10263;top:5170;width:44;height:44" coordorigin="10264,5171" coordsize="44,44" path="m10264,5192l10264,5180,10273,5171,10285,5171,10297,5171,10307,5180,10307,5192,10307,5204,10297,5214,10285,5214,10273,5214,10264,5204,10264,5192xe" filled="false" stroked="true" strokeweight=".691599pt" strokecolor="#2f2f2f">
              <v:path arrowok="t"/>
              <v:stroke dashstyle="solid"/>
            </v:shape>
            <v:line style="position:absolute" from="8876,5445" to="9121,5445" stroked="true" strokeweight=".23053pt" strokecolor="#2f2f2f">
              <v:stroke dashstyle="solid"/>
            </v:line>
            <v:shape style="position:absolute;left:8731;top:5401;width:159;height:101" coordorigin="8732,5402" coordsize="159,101" path="m8890,5503l8732,5445,8890,5402,8890,5503xe" filled="true" fillcolor="#2f2f2f" stroked="false">
              <v:path arrowok="t"/>
              <v:fill type="solid"/>
            </v:shape>
            <v:line style="position:absolute" from="8732,8471" to="9452,8471" stroked="true" strokeweight=".23053pt" strokecolor="#2f2f2f">
              <v:stroke dashstyle="solid"/>
            </v:line>
            <v:shape style="position:absolute;left:9437;top:8427;width:159;height:101" coordorigin="9438,8427" coordsize="159,101" path="m9438,8528l9438,8427,9596,8471,9438,8528xe" filled="true" fillcolor="#2f2f2f" stroked="false">
              <v:path arrowok="t"/>
              <v:fill type="solid"/>
            </v:shape>
            <v:rect style="position:absolute;left:4928;top:8729;width:1297;height:865" filled="false" stroked="true" strokeweight=".230532pt" strokecolor="#2f2f2f">
              <v:stroke dashstyle="solid"/>
            </v:rect>
            <v:line style="position:absolute" from="4784,8903" to="4150,8903" stroked="true" strokeweight=".23053pt" strokecolor="#2f2f2f">
              <v:stroke dashstyle="solid"/>
            </v:line>
            <v:shape style="position:absolute;left:4769;top:8859;width:159;height:101" coordorigin="4770,8860" coordsize="159,101" path="m4770,8960l4770,8860,4928,8903,4770,8960xe" filled="true" fillcolor="#2f2f2f" stroked="false">
              <v:path arrowok="t"/>
              <v:fill type="solid"/>
            </v:shape>
            <v:line style="position:absolute" from="4784,9076" to="4150,9076" stroked="true" strokeweight=".23053pt" strokecolor="#2f2f2f">
              <v:stroke dashstyle="solid"/>
            </v:line>
            <v:shape style="position:absolute;left:4769;top:9032;width:159;height:101" coordorigin="4770,9033" coordsize="159,101" path="m4770,9133l4770,9033,4928,9076,4770,9133xe" filled="true" fillcolor="#2f2f2f" stroked="false">
              <v:path arrowok="t"/>
              <v:fill type="solid"/>
            </v:shape>
            <v:line style="position:absolute" from="4928,9249" to="4294,9249" stroked="true" strokeweight=".23053pt" strokecolor="#2f2f2f">
              <v:stroke dashstyle="solid"/>
            </v:line>
            <v:shape style="position:absolute;left:4149;top:9205;width:159;height:101" coordorigin="4150,9205" coordsize="159,101" path="m4308,9306l4150,9249,4308,9205,4308,9306xe" filled="true" fillcolor="#2f2f2f" stroked="false">
              <v:path arrowok="t"/>
              <v:fill type="solid"/>
            </v:shape>
            <v:line style="position:absolute" from="4784,9422" to="4150,9422" stroked="true" strokeweight=".23053pt" strokecolor="#2f2f2f">
              <v:stroke dashstyle="solid"/>
            </v:line>
            <v:shape style="position:absolute;left:4769;top:9378;width:159;height:101" coordorigin="4770,9378" coordsize="159,101" path="m4770,9479l4770,9378,4928,9422,4770,9479xe" filled="true" fillcolor="#2f2f2f" stroked="false">
              <v:path arrowok="t"/>
              <v:fill type="solid"/>
            </v:shape>
            <v:rect style="position:absolute;left:3112;top:8859;width:1038;height:606" filled="false" stroked="true" strokeweight=".691594pt" strokecolor="#2f2f2f">
              <v:stroke dashstyle="solid"/>
            </v:rect>
            <v:shape style="position:absolute;left:1878;top:3182;width:44;height:44" coordorigin="1878,3182" coordsize="44,44" path="m1912,3225l1888,3225,1878,3216,1878,3204,1878,3192,1888,3182,1912,3182,1921,3192,1921,3216,1912,3225xe" filled="true" fillcolor="#000000" stroked="false">
              <v:path arrowok="t"/>
              <v:fill type="solid"/>
            </v:shape>
            <v:shape style="position:absolute;left:1878;top:3182;width:44;height:44" coordorigin="1878,3182" coordsize="44,44" path="m1878,3204l1878,3192,1888,3182,1900,3182,1912,3182,1921,3192,1921,3204,1921,3216,1912,3225,1900,3225,1888,3225,1878,3216,1878,3204xe" filled="false" stroked="true" strokeweight=".691599pt" strokecolor="#2f2f2f">
              <v:path arrowok="t"/>
              <v:stroke dashstyle="solid"/>
            </v:shape>
            <v:shape style="position:absolute;left:1921;top:613;width:755;height:518" type="#_x0000_t202" filled="false" stroked="false">
              <v:textbox inset="0,0,0,0">
                <w:txbxContent>
                  <w:p>
                    <w:pPr>
                      <w:spacing w:line="171" w:lineRule="exact" w:before="0"/>
                      <w:ind w:left="205" w:right="0" w:firstLine="0"/>
                      <w:jc w:val="left"/>
                      <w:rPr>
                        <w:b/>
                        <w:sz w:val="15"/>
                      </w:rPr>
                    </w:pPr>
                    <w:r>
                      <w:rPr>
                        <w:b/>
                        <w:w w:val="102"/>
                        <w:sz w:val="15"/>
                      </w:rPr>
                      <w:t>A</w:t>
                    </w:r>
                  </w:p>
                  <w:p>
                    <w:pPr>
                      <w:spacing w:line="240" w:lineRule="auto" w:before="0"/>
                      <w:rPr>
                        <w:b/>
                        <w:sz w:val="15"/>
                      </w:rPr>
                    </w:pPr>
                  </w:p>
                  <w:p>
                    <w:pPr>
                      <w:spacing w:before="0"/>
                      <w:ind w:left="0" w:right="0" w:firstLine="0"/>
                      <w:jc w:val="left"/>
                      <w:rPr>
                        <w:b/>
                        <w:sz w:val="15"/>
                      </w:rPr>
                    </w:pPr>
                    <w:r>
                      <w:rPr>
                        <w:b/>
                        <w:sz w:val="15"/>
                      </w:rPr>
                      <w:t>NEUTRAL</w:t>
                    </w:r>
                  </w:p>
                </w:txbxContent>
              </v:textbox>
              <w10:wrap type="none"/>
            </v:shape>
            <v:shape style="position:absolute;left:7067;top:943;width:544;height:215" type="#_x0000_t202" filled="false" stroked="false">
              <v:textbox inset="0,0,0,0">
                <w:txbxContent>
                  <w:p>
                    <w:pPr>
                      <w:spacing w:line="214" w:lineRule="exact" w:before="0"/>
                      <w:ind w:left="0" w:right="0" w:firstLine="0"/>
                      <w:jc w:val="left"/>
                      <w:rPr>
                        <w:sz w:val="19"/>
                      </w:rPr>
                    </w:pPr>
                    <w:r>
                      <w:rPr>
                        <w:sz w:val="19"/>
                      </w:rPr>
                      <w:t>LOAD</w:t>
                    </w:r>
                  </w:p>
                </w:txbxContent>
              </v:textbox>
              <w10:wrap type="none"/>
            </v:shape>
            <v:shape style="position:absolute;left:2123;top:1307;width:131;height:688" type="#_x0000_t202" filled="false" stroked="false">
              <v:textbox inset="0,0,0,0">
                <w:txbxContent>
                  <w:p>
                    <w:pPr>
                      <w:spacing w:line="171" w:lineRule="exact" w:before="0"/>
                      <w:ind w:left="0" w:right="0" w:firstLine="0"/>
                      <w:jc w:val="left"/>
                      <w:rPr>
                        <w:b/>
                        <w:sz w:val="15"/>
                      </w:rPr>
                    </w:pPr>
                    <w:r>
                      <w:rPr>
                        <w:b/>
                        <w:w w:val="102"/>
                        <w:sz w:val="15"/>
                      </w:rPr>
                      <w:t>B</w:t>
                    </w:r>
                  </w:p>
                  <w:p>
                    <w:pPr>
                      <w:spacing w:line="240" w:lineRule="auto" w:before="0"/>
                      <w:rPr>
                        <w:b/>
                        <w:sz w:val="16"/>
                      </w:rPr>
                    </w:pPr>
                  </w:p>
                  <w:p>
                    <w:pPr>
                      <w:spacing w:line="240" w:lineRule="auto" w:before="10"/>
                      <w:rPr>
                        <w:b/>
                        <w:sz w:val="13"/>
                      </w:rPr>
                    </w:pPr>
                  </w:p>
                  <w:p>
                    <w:pPr>
                      <w:spacing w:before="0"/>
                      <w:ind w:left="0" w:right="0" w:firstLine="0"/>
                      <w:jc w:val="left"/>
                      <w:rPr>
                        <w:b/>
                        <w:sz w:val="15"/>
                      </w:rPr>
                    </w:pPr>
                    <w:r>
                      <w:rPr>
                        <w:b/>
                        <w:w w:val="102"/>
                        <w:sz w:val="15"/>
                      </w:rPr>
                      <w:t>C</w:t>
                    </w:r>
                  </w:p>
                </w:txbxContent>
              </v:textbox>
              <w10:wrap type="none"/>
            </v:shape>
            <v:shape style="position:absolute;left:5750;top:2219;width:4325;height:673" type="#_x0000_t202" filled="false" stroked="false">
              <v:textbox inset="0,0,0,0">
                <w:txbxContent>
                  <w:p>
                    <w:pPr>
                      <w:spacing w:line="257" w:lineRule="exact" w:before="0"/>
                      <w:ind w:left="0" w:right="0" w:firstLine="0"/>
                      <w:jc w:val="left"/>
                      <w:rPr>
                        <w:sz w:val="23"/>
                      </w:rPr>
                    </w:pPr>
                    <w:r>
                      <w:rPr>
                        <w:sz w:val="23"/>
                      </w:rPr>
                      <w:t>Note: This system is referenced to Neutral</w:t>
                    </w:r>
                  </w:p>
                  <w:p>
                    <w:pPr>
                      <w:spacing w:before="196"/>
                      <w:ind w:left="1080" w:right="0" w:firstLine="0"/>
                      <w:jc w:val="left"/>
                      <w:rPr>
                        <w:b/>
                        <w:sz w:val="19"/>
                      </w:rPr>
                    </w:pPr>
                    <w:r>
                      <w:rPr>
                        <w:b/>
                        <w:sz w:val="19"/>
                      </w:rPr>
                      <w:t>POWER SUPPLY</w:t>
                    </w:r>
                  </w:p>
                </w:txbxContent>
              </v:textbox>
              <w10:wrap type="none"/>
            </v:shape>
            <v:shape style="position:absolute;left:4964;top:3110;width:738;height:172" type="#_x0000_t202" filled="false" stroked="false">
              <v:textbox inset="0,0,0,0">
                <w:txbxContent>
                  <w:p>
                    <w:pPr>
                      <w:spacing w:line="171" w:lineRule="exact" w:before="0"/>
                      <w:ind w:left="0" w:right="0" w:firstLine="0"/>
                      <w:jc w:val="left"/>
                      <w:rPr>
                        <w:sz w:val="15"/>
                      </w:rPr>
                    </w:pPr>
                    <w:r>
                      <w:rPr>
                        <w:sz w:val="15"/>
                      </w:rPr>
                      <w:t>NEUTRAL</w:t>
                    </w:r>
                  </w:p>
                </w:txbxContent>
              </v:textbox>
              <w10:wrap type="none"/>
            </v:shape>
            <v:shape style="position:absolute;left:5057;top:3715;width:1053;height:172" type="#_x0000_t202" filled="false" stroked="false">
              <v:textbox inset="0,0,0,0">
                <w:txbxContent>
                  <w:p>
                    <w:pPr>
                      <w:spacing w:line="171" w:lineRule="exact" w:before="0"/>
                      <w:ind w:left="0" w:right="0" w:firstLine="0"/>
                      <w:jc w:val="left"/>
                      <w:rPr>
                        <w:b/>
                        <w:sz w:val="15"/>
                      </w:rPr>
                    </w:pPr>
                    <w:r>
                      <w:rPr>
                        <w:b/>
                        <w:sz w:val="15"/>
                      </w:rPr>
                      <w:t>MUX and ADC</w:t>
                    </w:r>
                  </w:p>
                </w:txbxContent>
              </v:textbox>
              <w10:wrap type="none"/>
            </v:shape>
            <v:shape style="position:absolute;left:5009;top:4061;width:734;height:345" type="#_x0000_t202" filled="false" stroked="false">
              <v:textbox inset="0,0,0,0">
                <w:txbxContent>
                  <w:p>
                    <w:pPr>
                      <w:spacing w:before="0"/>
                      <w:ind w:left="0" w:right="0" w:firstLine="9"/>
                      <w:jc w:val="left"/>
                      <w:rPr>
                        <w:sz w:val="15"/>
                      </w:rPr>
                    </w:pPr>
                    <w:r>
                      <w:rPr>
                        <w:sz w:val="15"/>
                      </w:rPr>
                      <w:t>IADC3 </w:t>
                    </w:r>
                    <w:r>
                      <w:rPr>
                        <w:spacing w:val="-16"/>
                        <w:sz w:val="15"/>
                      </w:rPr>
                      <w:t>VADC8 </w:t>
                    </w:r>
                    <w:r>
                      <w:rPr>
                        <w:spacing w:val="-19"/>
                        <w:sz w:val="15"/>
                      </w:rPr>
                      <w:t>(VA)</w:t>
                    </w:r>
                  </w:p>
                </w:txbxContent>
              </v:textbox>
              <w10:wrap type="none"/>
            </v:shape>
            <v:shape style="position:absolute;left:5013;top:3888;width:776;height:279" type="#_x0000_t202" filled="false" stroked="false">
              <v:textbox inset="0,0,0,0">
                <w:txbxContent>
                  <w:p>
                    <w:pPr>
                      <w:spacing w:line="153" w:lineRule="auto" w:before="43"/>
                      <w:ind w:left="0" w:right="0" w:firstLine="0"/>
                      <w:jc w:val="left"/>
                      <w:rPr>
                        <w:sz w:val="15"/>
                      </w:rPr>
                    </w:pPr>
                    <w:r>
                      <w:rPr>
                        <w:sz w:val="15"/>
                      </w:rPr>
                      <w:t>IADC2 </w:t>
                    </w:r>
                    <w:r>
                      <w:rPr>
                        <w:position w:val="-8"/>
                        <w:sz w:val="23"/>
                      </w:rPr>
                      <w:t>}</w:t>
                    </w:r>
                    <w:r>
                      <w:rPr>
                        <w:position w:val="-8"/>
                        <w:sz w:val="15"/>
                      </w:rPr>
                      <w:t>IA</w:t>
                    </w:r>
                  </w:p>
                </w:txbxContent>
              </v:textbox>
              <w10:wrap type="none"/>
            </v:shape>
            <v:shape style="position:absolute;left:6328;top:3726;width:2298;height:673" type="#_x0000_t202" filled="false" stroked="false">
              <v:textbox inset="0,0,0,0">
                <w:txbxContent>
                  <w:p>
                    <w:pPr>
                      <w:spacing w:line="182" w:lineRule="exact" w:before="0"/>
                      <w:ind w:left="0" w:right="0" w:firstLine="0"/>
                      <w:jc w:val="left"/>
                      <w:rPr>
                        <w:sz w:val="15"/>
                      </w:rPr>
                    </w:pPr>
                    <w:r>
                      <w:rPr>
                        <w:position w:val="1"/>
                        <w:sz w:val="15"/>
                      </w:rPr>
                      <w:t>V3P3A V3P3SYS </w:t>
                    </w:r>
                    <w:r>
                      <w:rPr>
                        <w:sz w:val="15"/>
                      </w:rPr>
                      <w:t>GNDA GNDD</w:t>
                    </w:r>
                  </w:p>
                  <w:p>
                    <w:pPr>
                      <w:spacing w:line="256" w:lineRule="auto" w:before="133"/>
                      <w:ind w:left="1466" w:right="0" w:hanging="52"/>
                      <w:jc w:val="left"/>
                      <w:rPr>
                        <w:b/>
                        <w:sz w:val="15"/>
                      </w:rPr>
                    </w:pPr>
                    <w:r>
                      <w:rPr>
                        <w:b/>
                        <w:sz w:val="15"/>
                      </w:rPr>
                      <w:t>PWR MODE CONTROL</w:t>
                    </w:r>
                  </w:p>
                </w:txbxContent>
              </v:textbox>
              <w10:wrap type="none"/>
            </v:shape>
            <v:shape style="position:absolute;left:5013;top:4666;width:883;height:345" type="#_x0000_t202" filled="false" stroked="false">
              <v:textbox inset="0,0,0,0">
                <w:txbxContent>
                  <w:p>
                    <w:pPr>
                      <w:spacing w:before="0"/>
                      <w:ind w:left="0" w:right="0" w:firstLine="17"/>
                      <w:jc w:val="left"/>
                      <w:rPr>
                        <w:sz w:val="15"/>
                      </w:rPr>
                    </w:pPr>
                    <w:r>
                      <w:rPr>
                        <w:sz w:val="15"/>
                      </w:rPr>
                      <w:t>IADC5 VADC9 (VB)</w:t>
                    </w:r>
                  </w:p>
                </w:txbxContent>
              </v:textbox>
              <w10:wrap type="none"/>
            </v:shape>
            <v:shape style="position:absolute;left:5029;top:4488;width:787;height:258" type="#_x0000_t202" filled="false" stroked="false">
              <v:textbox inset="0,0,0,0">
                <w:txbxContent>
                  <w:p>
                    <w:pPr>
                      <w:spacing w:line="254" w:lineRule="exact" w:before="0"/>
                      <w:ind w:left="0" w:right="0" w:firstLine="0"/>
                      <w:jc w:val="left"/>
                      <w:rPr>
                        <w:sz w:val="15"/>
                      </w:rPr>
                    </w:pPr>
                    <w:r>
                      <w:rPr>
                        <w:sz w:val="15"/>
                      </w:rPr>
                      <w:t>IADC4 </w:t>
                    </w:r>
                    <w:r>
                      <w:rPr>
                        <w:position w:val="-5"/>
                        <w:sz w:val="23"/>
                      </w:rPr>
                      <w:t>}</w:t>
                    </w:r>
                    <w:r>
                      <w:rPr>
                        <w:position w:val="-5"/>
                        <w:sz w:val="15"/>
                      </w:rPr>
                      <w:t>IB</w:t>
                    </w:r>
                  </w:p>
                </w:txbxContent>
              </v:textbox>
              <w10:wrap type="none"/>
            </v:shape>
            <v:shape style="position:absolute;left:6363;top:4634;width:1186;height:535" type="#_x0000_t202" filled="false" stroked="false">
              <v:textbox inset="0,0,0,0">
                <w:txbxContent>
                  <w:p>
                    <w:pPr>
                      <w:spacing w:line="257" w:lineRule="exact" w:before="0"/>
                      <w:ind w:left="0" w:right="0" w:firstLine="0"/>
                      <w:jc w:val="left"/>
                      <w:rPr>
                        <w:b/>
                        <w:sz w:val="23"/>
                      </w:rPr>
                    </w:pPr>
                    <w:r>
                      <w:rPr>
                        <w:b/>
                        <w:sz w:val="23"/>
                      </w:rPr>
                      <w:t>71M6543F/</w:t>
                    </w:r>
                  </w:p>
                  <w:p>
                    <w:pPr>
                      <w:spacing w:before="12"/>
                      <w:ind w:left="12" w:right="0" w:firstLine="0"/>
                      <w:jc w:val="left"/>
                      <w:rPr>
                        <w:b/>
                        <w:sz w:val="23"/>
                      </w:rPr>
                    </w:pPr>
                    <w:r>
                      <w:rPr>
                        <w:b/>
                        <w:sz w:val="23"/>
                      </w:rPr>
                      <w:t>71M6543G</w:t>
                    </w:r>
                  </w:p>
                </w:txbxContent>
              </v:textbox>
              <w10:wrap type="none"/>
            </v:shape>
            <v:shape style="position:absolute;left:5029;top:5790;width:512;height:172" type="#_x0000_t202" filled="false" stroked="false">
              <v:textbox inset="0,0,0,0">
                <w:txbxContent>
                  <w:p>
                    <w:pPr>
                      <w:spacing w:line="171" w:lineRule="exact" w:before="0"/>
                      <w:ind w:left="0" w:right="0" w:firstLine="0"/>
                      <w:jc w:val="left"/>
                      <w:rPr>
                        <w:sz w:val="15"/>
                      </w:rPr>
                    </w:pPr>
                    <w:r>
                      <w:rPr>
                        <w:sz w:val="15"/>
                      </w:rPr>
                      <w:t>IADC1</w:t>
                    </w:r>
                  </w:p>
                </w:txbxContent>
              </v:textbox>
              <w10:wrap type="none"/>
            </v:shape>
            <v:shape style="position:absolute;left:5035;top:5617;width:866;height:274" type="#_x0000_t202" filled="false" stroked="false">
              <v:textbox inset="0,0,0,0">
                <w:txbxContent>
                  <w:p>
                    <w:pPr>
                      <w:spacing w:line="153" w:lineRule="auto" w:before="43"/>
                      <w:ind w:left="0" w:right="0" w:firstLine="0"/>
                      <w:jc w:val="left"/>
                      <w:rPr>
                        <w:sz w:val="15"/>
                      </w:rPr>
                    </w:pPr>
                    <w:r>
                      <w:rPr>
                        <w:sz w:val="15"/>
                      </w:rPr>
                      <w:t>IADC0 </w:t>
                    </w:r>
                    <w:r>
                      <w:rPr>
                        <w:position w:val="-8"/>
                        <w:sz w:val="23"/>
                      </w:rPr>
                      <w:t>}</w:t>
                    </w:r>
                    <w:r>
                      <w:rPr>
                        <w:position w:val="-8"/>
                        <w:sz w:val="15"/>
                      </w:rPr>
                      <w:t>IN*</w:t>
                    </w:r>
                  </w:p>
                </w:txbxContent>
              </v:textbox>
              <w10:wrap type="none"/>
            </v:shape>
            <v:shape style="position:absolute;left:6255;top:5653;width:1337;height:401" type="#_x0000_t202" filled="false" stroked="false">
              <v:textbox inset="0,0,0,0">
                <w:txbxContent>
                  <w:p>
                    <w:pPr>
                      <w:spacing w:line="254" w:lineRule="auto" w:before="0"/>
                      <w:ind w:left="292" w:right="0" w:hanging="293"/>
                      <w:jc w:val="left"/>
                      <w:rPr>
                        <w:b/>
                        <w:sz w:val="17"/>
                      </w:rPr>
                    </w:pPr>
                    <w:r>
                      <w:rPr>
                        <w:b/>
                        <w:sz w:val="17"/>
                      </w:rPr>
                      <w:t>TEMPERATURE SENSOR</w:t>
                    </w:r>
                  </w:p>
                </w:txbxContent>
              </v:textbox>
              <w10:wrap type="none"/>
            </v:shape>
            <v:shape style="position:absolute;left:7680;top:4524;width:994;height:1444" type="#_x0000_t202" filled="false" stroked="false">
              <v:textbox inset="0,0,0,0">
                <w:txbxContent>
                  <w:p>
                    <w:pPr>
                      <w:spacing w:line="171" w:lineRule="exact" w:before="0"/>
                      <w:ind w:left="0" w:right="106" w:firstLine="0"/>
                      <w:jc w:val="right"/>
                      <w:rPr>
                        <w:sz w:val="15"/>
                      </w:rPr>
                    </w:pPr>
                    <w:r>
                      <w:rPr>
                        <w:sz w:val="15"/>
                      </w:rPr>
                      <w:t>WAKE-UP</w:t>
                    </w:r>
                  </w:p>
                  <w:p>
                    <w:pPr>
                      <w:spacing w:before="121"/>
                      <w:ind w:left="0" w:right="0" w:firstLine="0"/>
                      <w:jc w:val="left"/>
                      <w:rPr>
                        <w:b/>
                        <w:sz w:val="15"/>
                      </w:rPr>
                    </w:pPr>
                    <w:r>
                      <w:rPr>
                        <w:b/>
                        <w:sz w:val="15"/>
                      </w:rPr>
                      <w:t>REGULATOR</w:t>
                    </w:r>
                  </w:p>
                  <w:p>
                    <w:pPr>
                      <w:spacing w:line="360" w:lineRule="auto" w:before="130"/>
                      <w:ind w:left="29" w:right="158" w:firstLine="392"/>
                      <w:jc w:val="right"/>
                      <w:rPr>
                        <w:sz w:val="15"/>
                      </w:rPr>
                    </w:pPr>
                    <w:r>
                      <w:rPr>
                        <w:sz w:val="15"/>
                      </w:rPr>
                      <w:t>VBAT VBAT_RTC</w:t>
                    </w:r>
                  </w:p>
                  <w:p>
                    <w:pPr>
                      <w:spacing w:line="146" w:lineRule="exact" w:before="0"/>
                      <w:ind w:left="0" w:right="141" w:firstLine="0"/>
                      <w:jc w:val="right"/>
                      <w:rPr>
                        <w:b/>
                        <w:sz w:val="15"/>
                      </w:rPr>
                    </w:pPr>
                    <w:r>
                      <w:rPr>
                        <w:b/>
                        <w:spacing w:val="-1"/>
                        <w:sz w:val="15"/>
                      </w:rPr>
                      <w:t>BATTERY</w:t>
                    </w:r>
                  </w:p>
                  <w:p>
                    <w:pPr>
                      <w:spacing w:before="12"/>
                      <w:ind w:left="0" w:right="141" w:firstLine="0"/>
                      <w:jc w:val="right"/>
                      <w:rPr>
                        <w:b/>
                        <w:sz w:val="15"/>
                      </w:rPr>
                    </w:pPr>
                    <w:r>
                      <w:rPr>
                        <w:b/>
                        <w:sz w:val="15"/>
                      </w:rPr>
                      <w:t>MONITOR</w:t>
                    </w:r>
                  </w:p>
                </w:txbxContent>
              </v:textbox>
              <w10:wrap type="none"/>
            </v:shape>
            <v:shape style="position:absolute;left:9545;top:4839;width:729;height:172" type="#_x0000_t202" filled="false" stroked="false">
              <v:textbox inset="0,0,0,0">
                <w:txbxContent>
                  <w:p>
                    <w:pPr>
                      <w:spacing w:line="171" w:lineRule="exact" w:before="0"/>
                      <w:ind w:left="0" w:right="0" w:firstLine="0"/>
                      <w:jc w:val="left"/>
                      <w:rPr>
                        <w:sz w:val="15"/>
                      </w:rPr>
                    </w:pPr>
                    <w:r>
                      <w:rPr>
                        <w:sz w:val="15"/>
                      </w:rPr>
                      <w:t>BATTERY</w:t>
                    </w:r>
                  </w:p>
                </w:txbxContent>
              </v:textbox>
              <w10:wrap type="none"/>
            </v:shape>
            <v:shape style="position:absolute;left:5006;top:5185;width:977;height:432" type="#_x0000_t202" filled="false" stroked="false">
              <v:textbox inset="0,0,0,0">
                <w:txbxContent>
                  <w:p>
                    <w:pPr>
                      <w:spacing w:line="171" w:lineRule="exact" w:before="0"/>
                      <w:ind w:left="23" w:right="0" w:firstLine="0"/>
                      <w:jc w:val="left"/>
                      <w:rPr>
                        <w:sz w:val="15"/>
                      </w:rPr>
                    </w:pPr>
                    <w:r>
                      <w:rPr>
                        <w:sz w:val="15"/>
                      </w:rPr>
                      <w:t>IADC7</w:t>
                    </w:r>
                  </w:p>
                  <w:p>
                    <w:pPr>
                      <w:spacing w:before="87"/>
                      <w:ind w:left="0" w:right="0" w:firstLine="0"/>
                      <w:jc w:val="left"/>
                      <w:rPr>
                        <w:sz w:val="15"/>
                      </w:rPr>
                    </w:pPr>
                    <w:r>
                      <w:rPr>
                        <w:sz w:val="15"/>
                      </w:rPr>
                      <w:t>VADC10 (VC)</w:t>
                    </w:r>
                  </w:p>
                </w:txbxContent>
              </v:textbox>
              <w10:wrap type="none"/>
            </v:shape>
            <v:shape style="position:absolute;left:5029;top:5012;width:820;height:274" type="#_x0000_t202" filled="false" stroked="false">
              <v:textbox inset="0,0,0,0">
                <w:txbxContent>
                  <w:p>
                    <w:pPr>
                      <w:spacing w:line="153" w:lineRule="auto" w:before="43"/>
                      <w:ind w:left="0" w:right="0" w:firstLine="0"/>
                      <w:jc w:val="left"/>
                      <w:rPr>
                        <w:sz w:val="15"/>
                      </w:rPr>
                    </w:pPr>
                    <w:r>
                      <w:rPr>
                        <w:sz w:val="15"/>
                      </w:rPr>
                      <w:t>IADC6 </w:t>
                    </w:r>
                    <w:r>
                      <w:rPr>
                        <w:position w:val="-8"/>
                        <w:sz w:val="23"/>
                      </w:rPr>
                      <w:t>}</w:t>
                    </w:r>
                    <w:r>
                      <w:rPr>
                        <w:position w:val="-8"/>
                        <w:sz w:val="15"/>
                      </w:rPr>
                      <w:t>IC</w:t>
                    </w:r>
                  </w:p>
                </w:txbxContent>
              </v:textbox>
              <w10:wrap type="none"/>
            </v:shape>
            <v:shape style="position:absolute;left:9547;top:5482;width:729;height:357" type="#_x0000_t202" filled="false" stroked="false">
              <v:textbox inset="0,0,0,0">
                <w:txbxContent>
                  <w:p>
                    <w:pPr>
                      <w:spacing w:line="256" w:lineRule="auto" w:before="0"/>
                      <w:ind w:left="0" w:right="17" w:firstLine="0"/>
                      <w:jc w:val="left"/>
                      <w:rPr>
                        <w:sz w:val="15"/>
                      </w:rPr>
                    </w:pPr>
                    <w:r>
                      <w:rPr>
                        <w:sz w:val="15"/>
                      </w:rPr>
                      <w:t>RTC BATTERY</w:t>
                    </w:r>
                  </w:p>
                </w:txbxContent>
              </v:textbox>
              <w10:wrap type="none"/>
            </v:shape>
            <v:shape style="position:absolute;left:5364;top:6221;width:430;height:172" type="#_x0000_t202" filled="false" stroked="false">
              <v:textbox inset="0,0,0,0">
                <w:txbxContent>
                  <w:p>
                    <w:pPr>
                      <w:spacing w:line="171" w:lineRule="exact" w:before="0"/>
                      <w:ind w:left="0" w:right="0" w:firstLine="0"/>
                      <w:jc w:val="left"/>
                      <w:rPr>
                        <w:b/>
                        <w:sz w:val="15"/>
                      </w:rPr>
                    </w:pPr>
                    <w:r>
                      <w:rPr>
                        <w:b/>
                        <w:sz w:val="15"/>
                      </w:rPr>
                      <w:t>VREF</w:t>
                    </w:r>
                  </w:p>
                </w:txbxContent>
              </v:textbox>
              <w10:wrap type="none"/>
            </v:shape>
            <v:shape style="position:absolute;left:6695;top:6242;width:458;height:215" type="#_x0000_t202" filled="false" stroked="false">
              <v:textbox inset="0,0,0,0">
                <w:txbxContent>
                  <w:p>
                    <w:pPr>
                      <w:spacing w:line="214" w:lineRule="exact" w:before="0"/>
                      <w:ind w:left="0" w:right="0" w:firstLine="0"/>
                      <w:jc w:val="left"/>
                      <w:rPr>
                        <w:b/>
                        <w:sz w:val="19"/>
                      </w:rPr>
                    </w:pPr>
                    <w:r>
                      <w:rPr>
                        <w:b/>
                        <w:sz w:val="19"/>
                      </w:rPr>
                      <w:t>RAM</w:t>
                    </w:r>
                  </w:p>
                </w:txbxContent>
              </v:textbox>
              <w10:wrap type="none"/>
            </v:shape>
            <v:shape style="position:absolute;left:5006;top:6610;width:1156;height:758" type="#_x0000_t202" filled="false" stroked="false">
              <v:textbox inset="0,0,0,0">
                <w:txbxContent>
                  <w:p>
                    <w:pPr>
                      <w:spacing w:line="171" w:lineRule="exact" w:before="0"/>
                      <w:ind w:left="0" w:right="0" w:firstLine="0"/>
                      <w:jc w:val="left"/>
                      <w:rPr>
                        <w:b/>
                        <w:sz w:val="15"/>
                      </w:rPr>
                    </w:pPr>
                    <w:r>
                      <w:rPr>
                        <w:b/>
                        <w:sz w:val="15"/>
                      </w:rPr>
                      <w:t>SERIAL PORTS</w:t>
                    </w:r>
                  </w:p>
                  <w:p>
                    <w:pPr>
                      <w:spacing w:line="280" w:lineRule="atLeast" w:before="24"/>
                      <w:ind w:left="135" w:right="792" w:firstLine="0"/>
                      <w:jc w:val="left"/>
                      <w:rPr>
                        <w:sz w:val="15"/>
                      </w:rPr>
                    </w:pPr>
                    <w:r>
                      <w:rPr>
                        <w:sz w:val="15"/>
                      </w:rPr>
                      <w:t>TX RX</w:t>
                    </w:r>
                  </w:p>
                </w:txbxContent>
              </v:textbox>
              <w10:wrap type="none"/>
            </v:shape>
            <v:shape style="position:absolute;left:6433;top:6689;width:981;height:446" type="#_x0000_t202" filled="false" stroked="false">
              <v:textbox inset="0,0,0,0">
                <w:txbxContent>
                  <w:p>
                    <w:pPr>
                      <w:spacing w:line="254" w:lineRule="auto" w:before="0"/>
                      <w:ind w:left="112" w:right="11" w:hanging="112"/>
                      <w:jc w:val="left"/>
                      <w:rPr>
                        <w:b/>
                        <w:sz w:val="19"/>
                      </w:rPr>
                    </w:pPr>
                    <w:r>
                      <w:rPr>
                        <w:b/>
                        <w:sz w:val="19"/>
                      </w:rPr>
                      <w:t>COMPUTE ENGINE</w:t>
                    </w:r>
                  </w:p>
                </w:txbxContent>
              </v:textbox>
              <w10:wrap type="none"/>
            </v:shape>
            <v:shape style="position:absolute;left:5011;top:7713;width:627;height:357" type="#_x0000_t202" filled="false" stroked="false">
              <v:textbox inset="0,0,0,0">
                <w:txbxContent>
                  <w:p>
                    <w:pPr>
                      <w:spacing w:line="256" w:lineRule="auto" w:before="0"/>
                      <w:ind w:left="89" w:right="16" w:hanging="90"/>
                      <w:jc w:val="left"/>
                      <w:rPr>
                        <w:sz w:val="15"/>
                      </w:rPr>
                    </w:pPr>
                    <w:r>
                      <w:rPr>
                        <w:sz w:val="15"/>
                      </w:rPr>
                      <w:t>MODUL- ATOR</w:t>
                    </w:r>
                  </w:p>
                </w:txbxContent>
              </v:textbox>
              <w10:wrap type="none"/>
            </v:shape>
            <v:shape style="position:absolute;left:5746;top:7735;width:256;height:388" type="#_x0000_t202" filled="false" stroked="false">
              <v:textbox inset="0,0,0,0">
                <w:txbxContent>
                  <w:p>
                    <w:pPr>
                      <w:spacing w:line="171" w:lineRule="exact" w:before="0"/>
                      <w:ind w:left="21" w:right="0" w:firstLine="0"/>
                      <w:jc w:val="left"/>
                      <w:rPr>
                        <w:sz w:val="15"/>
                      </w:rPr>
                    </w:pPr>
                    <w:r>
                      <w:rPr>
                        <w:sz w:val="15"/>
                      </w:rPr>
                      <w:t>RX</w:t>
                    </w:r>
                  </w:p>
                  <w:p>
                    <w:pPr>
                      <w:spacing w:before="43"/>
                      <w:ind w:left="0" w:right="0" w:firstLine="0"/>
                      <w:jc w:val="left"/>
                      <w:rPr>
                        <w:sz w:val="15"/>
                      </w:rPr>
                    </w:pPr>
                    <w:r>
                      <w:rPr>
                        <w:sz w:val="15"/>
                      </w:rPr>
                      <w:t>TX</w:t>
                    </w:r>
                  </w:p>
                </w:txbxContent>
              </v:textbox>
              <w10:wrap type="none"/>
            </v:shape>
            <v:shape style="position:absolute;left:6481;top:7408;width:885;height:446" type="#_x0000_t202" filled="false" stroked="false">
              <v:textbox inset="0,0,0,0">
                <w:txbxContent>
                  <w:p>
                    <w:pPr>
                      <w:spacing w:line="254" w:lineRule="auto" w:before="0"/>
                      <w:ind w:left="0" w:right="10" w:firstLine="112"/>
                      <w:jc w:val="left"/>
                      <w:rPr>
                        <w:b/>
                        <w:sz w:val="19"/>
                      </w:rPr>
                    </w:pPr>
                    <w:r>
                      <w:rPr>
                        <w:b/>
                        <w:sz w:val="19"/>
                      </w:rPr>
                      <w:t>FLASH MEMORY</w:t>
                    </w:r>
                  </w:p>
                </w:txbxContent>
              </v:textbox>
              <w10:wrap type="none"/>
            </v:shape>
            <v:shape style="position:absolute;left:7680;top:6395;width:994;height:1383" type="#_x0000_t202" filled="false" stroked="false">
              <v:textbox inset="0,0,0,0">
                <w:txbxContent>
                  <w:p>
                    <w:pPr>
                      <w:spacing w:line="171" w:lineRule="exact" w:before="0"/>
                      <w:ind w:left="0" w:right="18" w:firstLine="0"/>
                      <w:jc w:val="right"/>
                      <w:rPr>
                        <w:sz w:val="15"/>
                      </w:rPr>
                    </w:pPr>
                    <w:r>
                      <w:rPr>
                        <w:spacing w:val="-1"/>
                        <w:sz w:val="15"/>
                      </w:rPr>
                      <w:t>COM0...5</w:t>
                    </w:r>
                  </w:p>
                  <w:p>
                    <w:pPr>
                      <w:spacing w:line="360" w:lineRule="auto" w:before="87"/>
                      <w:ind w:left="332" w:right="18" w:firstLine="315"/>
                      <w:jc w:val="right"/>
                      <w:rPr>
                        <w:sz w:val="15"/>
                      </w:rPr>
                    </w:pPr>
                    <w:r>
                      <w:rPr>
                        <w:sz w:val="15"/>
                      </w:rPr>
                      <w:t>SEG SEG/DIO</w:t>
                    </w:r>
                  </w:p>
                  <w:p>
                    <w:pPr>
                      <w:spacing w:line="256" w:lineRule="auto" w:before="0"/>
                      <w:ind w:left="0" w:right="18" w:firstLine="17"/>
                      <w:jc w:val="right"/>
                      <w:rPr>
                        <w:b/>
                        <w:sz w:val="15"/>
                      </w:rPr>
                    </w:pPr>
                    <w:r>
                      <w:rPr>
                        <w:b/>
                        <w:sz w:val="15"/>
                      </w:rPr>
                      <w:t>LCD</w:t>
                    </w:r>
                    <w:r>
                      <w:rPr>
                        <w:b/>
                        <w:spacing w:val="16"/>
                        <w:sz w:val="15"/>
                      </w:rPr>
                      <w:t> </w:t>
                    </w:r>
                    <w:r>
                      <w:rPr>
                        <w:b/>
                        <w:sz w:val="15"/>
                      </w:rPr>
                      <w:t>DRIVER</w:t>
                    </w:r>
                    <w:r>
                      <w:rPr>
                        <w:b/>
                        <w:spacing w:val="-1"/>
                        <w:w w:val="102"/>
                        <w:sz w:val="15"/>
                      </w:rPr>
                      <w:t> </w:t>
                    </w:r>
                    <w:r>
                      <w:rPr>
                        <w:b/>
                        <w:sz w:val="15"/>
                      </w:rPr>
                      <w:t>DIO,</w:t>
                    </w:r>
                    <w:r>
                      <w:rPr>
                        <w:b/>
                        <w:spacing w:val="23"/>
                        <w:sz w:val="15"/>
                      </w:rPr>
                      <w:t> </w:t>
                    </w:r>
                    <w:r>
                      <w:rPr>
                        <w:b/>
                        <w:spacing w:val="-3"/>
                        <w:sz w:val="15"/>
                      </w:rPr>
                      <w:t>PULSES</w:t>
                    </w:r>
                  </w:p>
                  <w:p>
                    <w:pPr>
                      <w:spacing w:before="64"/>
                      <w:ind w:left="0" w:right="29" w:firstLine="0"/>
                      <w:jc w:val="right"/>
                      <w:rPr>
                        <w:sz w:val="15"/>
                      </w:rPr>
                    </w:pPr>
                    <w:r>
                      <w:rPr>
                        <w:spacing w:val="-2"/>
                        <w:sz w:val="15"/>
                      </w:rPr>
                      <w:t>DIO</w:t>
                    </w:r>
                  </w:p>
                </w:txbxContent>
              </v:textbox>
              <w10:wrap type="none"/>
            </v:shape>
            <v:shape style="position:absolute;left:5010;top:8281;width:1148;height:357" type="#_x0000_t202" filled="false" stroked="false">
              <v:textbox inset="0,0,0,0">
                <w:txbxContent>
                  <w:p>
                    <w:pPr>
                      <w:spacing w:line="256" w:lineRule="auto" w:before="0"/>
                      <w:ind w:left="4" w:right="0" w:hanging="5"/>
                      <w:jc w:val="left"/>
                      <w:rPr>
                        <w:b/>
                        <w:sz w:val="15"/>
                      </w:rPr>
                    </w:pPr>
                    <w:r>
                      <w:rPr>
                        <w:b/>
                        <w:sz w:val="15"/>
                      </w:rPr>
                      <w:t>POWER FAULT COMPARATOR</w:t>
                    </w:r>
                  </w:p>
                </w:txbxContent>
              </v:textbox>
              <w10:wrap type="none"/>
            </v:shape>
            <v:shape style="position:absolute;left:6551;top:8220;width:746;height:722" type="#_x0000_t202" filled="false" stroked="false">
              <v:textbox inset="0,0,0,0">
                <w:txbxContent>
                  <w:p>
                    <w:pPr>
                      <w:spacing w:line="254" w:lineRule="auto" w:before="0"/>
                      <w:ind w:left="0" w:right="18" w:hanging="1"/>
                      <w:jc w:val="center"/>
                      <w:rPr>
                        <w:b/>
                        <w:sz w:val="19"/>
                      </w:rPr>
                    </w:pPr>
                    <w:r>
                      <w:rPr>
                        <w:b/>
                        <w:sz w:val="23"/>
                      </w:rPr>
                      <w:t>MPU </w:t>
                    </w:r>
                    <w:r>
                      <w:rPr>
                        <w:b/>
                        <w:sz w:val="19"/>
                      </w:rPr>
                      <w:t>RTC TIMERS</w:t>
                    </w:r>
                  </w:p>
                </w:txbxContent>
              </v:textbox>
              <w10:wrap type="none"/>
            </v:shape>
            <v:shape style="position:absolute;left:7646;top:8384;width:1062;height:648" type="#_x0000_t202" filled="false" stroked="false">
              <v:textbox inset="0,0,0,0">
                <w:txbxContent>
                  <w:p>
                    <w:pPr>
                      <w:spacing w:line="171" w:lineRule="exact" w:before="0"/>
                      <w:ind w:left="0" w:right="43" w:firstLine="0"/>
                      <w:jc w:val="right"/>
                      <w:rPr>
                        <w:sz w:val="15"/>
                      </w:rPr>
                    </w:pPr>
                    <w:r>
                      <w:rPr>
                        <w:sz w:val="15"/>
                      </w:rPr>
                      <w:t>V3P3D</w:t>
                    </w:r>
                  </w:p>
                  <w:p>
                    <w:pPr>
                      <w:spacing w:before="16"/>
                      <w:ind w:left="0" w:right="18" w:firstLine="0"/>
                      <w:jc w:val="right"/>
                      <w:rPr>
                        <w:b/>
                        <w:sz w:val="15"/>
                      </w:rPr>
                    </w:pPr>
                    <w:r>
                      <w:rPr>
                        <w:b/>
                        <w:sz w:val="15"/>
                      </w:rPr>
                      <w:t>OSCILLATOR/</w:t>
                    </w:r>
                  </w:p>
                  <w:p>
                    <w:pPr>
                      <w:spacing w:before="12"/>
                      <w:ind w:left="375" w:right="0" w:firstLine="0"/>
                      <w:jc w:val="left"/>
                      <w:rPr>
                        <w:sz w:val="15"/>
                      </w:rPr>
                    </w:pPr>
                    <w:r>
                      <w:rPr>
                        <w:b/>
                        <w:sz w:val="15"/>
                      </w:rPr>
                      <w:t>PLL </w:t>
                    </w:r>
                    <w:r>
                      <w:rPr>
                        <w:b/>
                        <w:spacing w:val="25"/>
                        <w:sz w:val="15"/>
                      </w:rPr>
                      <w:t> </w:t>
                    </w:r>
                    <w:r>
                      <w:rPr>
                        <w:position w:val="-9"/>
                        <w:sz w:val="15"/>
                      </w:rPr>
                      <w:t>XIN</w:t>
                    </w:r>
                  </w:p>
                </w:txbxContent>
              </v:textbox>
              <w10:wrap type="none"/>
            </v:shape>
            <v:shape style="position:absolute;left:3361;top:9052;width:554;height:215" type="#_x0000_t202" filled="false" stroked="false">
              <v:textbox inset="0,0,0,0">
                <w:txbxContent>
                  <w:p>
                    <w:pPr>
                      <w:spacing w:line="214" w:lineRule="exact" w:before="0"/>
                      <w:ind w:left="0" w:right="0" w:firstLine="0"/>
                      <w:jc w:val="left"/>
                      <w:rPr>
                        <w:sz w:val="19"/>
                      </w:rPr>
                    </w:pPr>
                    <w:r>
                      <w:rPr>
                        <w:sz w:val="19"/>
                      </w:rPr>
                      <w:t>HOST</w:t>
                    </w:r>
                  </w:p>
                </w:txbxContent>
              </v:textbox>
              <w10:wrap type="none"/>
            </v:shape>
            <v:shape style="position:absolute;left:4988;top:9075;width:1191;height:172" type="#_x0000_t202" filled="false" stroked="false">
              <v:textbox inset="0,0,0,0">
                <w:txbxContent>
                  <w:p>
                    <w:pPr>
                      <w:spacing w:line="171" w:lineRule="exact" w:before="0"/>
                      <w:ind w:left="0" w:right="0" w:firstLine="0"/>
                      <w:jc w:val="left"/>
                      <w:rPr>
                        <w:b/>
                        <w:sz w:val="15"/>
                      </w:rPr>
                    </w:pPr>
                    <w:r>
                      <w:rPr>
                        <w:b/>
                        <w:sz w:val="15"/>
                      </w:rPr>
                      <w:t>SPI INTERFACE</w:t>
                    </w:r>
                  </w:p>
                </w:txbxContent>
              </v:textbox>
              <w10:wrap type="none"/>
            </v:shape>
            <v:shape style="position:absolute;left:9748;top:9041;width:618;height:215" type="#_x0000_t202" filled="false" stroked="false">
              <v:textbox inset="0,0,0,0">
                <w:txbxContent>
                  <w:p>
                    <w:pPr>
                      <w:spacing w:line="214" w:lineRule="exact" w:before="0"/>
                      <w:ind w:left="0" w:right="0" w:firstLine="0"/>
                      <w:jc w:val="left"/>
                      <w:rPr>
                        <w:sz w:val="19"/>
                      </w:rPr>
                    </w:pPr>
                    <w:r>
                      <w:rPr>
                        <w:sz w:val="19"/>
                      </w:rPr>
                      <w:t>32 kHz</w:t>
                    </w:r>
                  </w:p>
                </w:txbxContent>
              </v:textbox>
              <w10:wrap type="none"/>
            </v:shape>
            <v:shape style="position:absolute;left:6785;top:9249;width:277;height:172" type="#_x0000_t202" filled="false" stroked="false">
              <v:textbox inset="0,0,0,0">
                <w:txbxContent>
                  <w:p>
                    <w:pPr>
                      <w:spacing w:line="171" w:lineRule="exact" w:before="0"/>
                      <w:ind w:left="0" w:right="0" w:firstLine="0"/>
                      <w:jc w:val="left"/>
                      <w:rPr>
                        <w:b/>
                        <w:sz w:val="15"/>
                      </w:rPr>
                    </w:pPr>
                    <w:r>
                      <w:rPr>
                        <w:b/>
                        <w:sz w:val="15"/>
                      </w:rPr>
                      <w:t>ICE</w:t>
                    </w:r>
                  </w:p>
                </w:txbxContent>
              </v:textbox>
              <w10:wrap type="none"/>
            </v:shape>
            <v:shape style="position:absolute;left:8248;top:9292;width:447;height:172" type="#_x0000_t202" filled="false" stroked="false">
              <v:textbox inset="0,0,0,0">
                <w:txbxContent>
                  <w:p>
                    <w:pPr>
                      <w:spacing w:line="171" w:lineRule="exact" w:before="0"/>
                      <w:ind w:left="0" w:right="0" w:firstLine="0"/>
                      <w:jc w:val="left"/>
                      <w:rPr>
                        <w:sz w:val="15"/>
                      </w:rPr>
                    </w:pPr>
                    <w:r>
                      <w:rPr>
                        <w:sz w:val="15"/>
                      </w:rPr>
                      <w:t>XOUT</w:t>
                    </w:r>
                  </w:p>
                </w:txbxContent>
              </v:textbox>
              <w10:wrap type="none"/>
            </v:shape>
            <v:shape style="position:absolute;left:3112;top:7606;width:1038;height:606" type="#_x0000_t202" filled="false" stroked="true" strokeweight=".691594pt" strokecolor="#2f2f2f">
              <v:textbox inset="0,0,0,0">
                <w:txbxContent>
                  <w:p>
                    <w:pPr>
                      <w:spacing w:line="240" w:lineRule="auto" w:before="9"/>
                      <w:rPr>
                        <w:b/>
                        <w:sz w:val="15"/>
                      </w:rPr>
                    </w:pPr>
                  </w:p>
                  <w:p>
                    <w:pPr>
                      <w:spacing w:before="0"/>
                      <w:ind w:left="493" w:right="0" w:firstLine="0"/>
                      <w:jc w:val="left"/>
                      <w:rPr>
                        <w:sz w:val="19"/>
                      </w:rPr>
                    </w:pPr>
                    <w:r>
                      <w:rPr>
                        <w:sz w:val="19"/>
                      </w:rPr>
                      <w:t>IR</w:t>
                    </w:r>
                  </w:p>
                </w:txbxContent>
              </v:textbox>
              <v:stroke dashstyle="solid"/>
              <w10:wrap type="none"/>
            </v:shape>
            <v:shape style="position:absolute;left:3112;top:6828;width:1038;height:606" type="#_x0000_t202" filled="false" stroked="true" strokeweight=".691594pt" strokecolor="#2f2f2f">
              <v:textbox inset="0,0,0,0">
                <w:txbxContent>
                  <w:p>
                    <w:pPr>
                      <w:spacing w:line="240" w:lineRule="auto" w:before="9"/>
                      <w:rPr>
                        <w:b/>
                        <w:sz w:val="15"/>
                      </w:rPr>
                    </w:pPr>
                  </w:p>
                  <w:p>
                    <w:pPr>
                      <w:spacing w:before="0"/>
                      <w:ind w:left="295" w:right="0" w:firstLine="0"/>
                      <w:jc w:val="left"/>
                      <w:rPr>
                        <w:sz w:val="19"/>
                      </w:rPr>
                    </w:pPr>
                    <w:r>
                      <w:rPr>
                        <w:sz w:val="19"/>
                      </w:rPr>
                      <w:t>AMR</w:t>
                    </w:r>
                  </w:p>
                </w:txbxContent>
              </v:textbox>
              <v:stroke dashstyle="solid"/>
              <w10:wrap type="none"/>
            </v:shape>
            <v:shape style="position:absolute;left:9596;top:8124;width:1470;height:519" type="#_x0000_t202" filled="false" stroked="true" strokeweight=".691591pt" strokecolor="#2f2f2f">
              <v:textbox inset="0,0,0,0">
                <w:txbxContent>
                  <w:p>
                    <w:pPr>
                      <w:spacing w:line="254" w:lineRule="auto" w:before="23"/>
                      <w:ind w:left="309" w:right="202" w:hanging="107"/>
                      <w:jc w:val="left"/>
                      <w:rPr>
                        <w:sz w:val="19"/>
                      </w:rPr>
                    </w:pPr>
                    <w:r>
                      <w:rPr>
                        <w:sz w:val="19"/>
                      </w:rPr>
                      <w:t>I</w:t>
                    </w:r>
                    <w:r>
                      <w:rPr>
                        <w:sz w:val="19"/>
                        <w:vertAlign w:val="superscript"/>
                      </w:rPr>
                      <w:t>2</w:t>
                    </w:r>
                    <w:r>
                      <w:rPr>
                        <w:sz w:val="19"/>
                        <w:vertAlign w:val="baseline"/>
                      </w:rPr>
                      <w:t>C or µWire EEPROM</w:t>
                    </w:r>
                  </w:p>
                </w:txbxContent>
              </v:textbox>
              <v:stroke dashstyle="solid"/>
              <w10:wrap type="none"/>
            </v:shape>
            <v:shape style="position:absolute;left:9596;top:7433;width:1470;height:519" type="#_x0000_t202" filled="false" stroked="true" strokeweight=".691591pt" strokecolor="#2f2f2f">
              <v:textbox inset="0,0,0,0">
                <w:txbxContent>
                  <w:p>
                    <w:pPr>
                      <w:spacing w:line="254" w:lineRule="auto" w:before="23"/>
                      <w:ind w:left="554" w:right="314" w:hanging="235"/>
                      <w:jc w:val="left"/>
                      <w:rPr>
                        <w:sz w:val="19"/>
                      </w:rPr>
                    </w:pPr>
                    <w:r>
                      <w:rPr>
                        <w:sz w:val="19"/>
                      </w:rPr>
                      <w:t>PULSES, DIO</w:t>
                    </w:r>
                  </w:p>
                </w:txbxContent>
              </v:textbox>
              <v:stroke dashstyle="solid"/>
              <w10:wrap type="none"/>
            </v:shape>
            <v:shape style="position:absolute;left:9596;top:6395;width:1470;height:865" type="#_x0000_t202" filled="false" stroked="true" strokeweight=".691594pt" strokecolor="#2f2f2f">
              <v:textbox inset="0,0,0,0">
                <w:txbxContent>
                  <w:p>
                    <w:pPr>
                      <w:spacing w:before="52"/>
                      <w:ind w:left="92" w:right="87" w:firstLine="0"/>
                      <w:jc w:val="center"/>
                      <w:rPr>
                        <w:sz w:val="19"/>
                      </w:rPr>
                    </w:pPr>
                    <w:r>
                      <w:rPr>
                        <w:sz w:val="19"/>
                      </w:rPr>
                      <w:t>LCD DISPLAY</w:t>
                    </w:r>
                  </w:p>
                  <w:p>
                    <w:pPr>
                      <w:spacing w:before="86"/>
                      <w:ind w:left="-6" w:right="-15" w:firstLine="0"/>
                      <w:jc w:val="center"/>
                      <w:rPr>
                        <w:rFonts w:ascii="Lucida Console"/>
                        <w:sz w:val="27"/>
                      </w:rPr>
                    </w:pPr>
                    <w:r>
                      <w:rPr>
                        <w:rFonts w:ascii="Lucida Console"/>
                        <w:sz w:val="27"/>
                      </w:rPr>
                      <w:t>8888.8888</w:t>
                    </w:r>
                  </w:p>
                </w:txbxContent>
              </v:textbox>
              <v:stroke dashstyle="solid"/>
              <w10:wrap type="none"/>
            </v:shape>
            <w10:wrap type="none"/>
          </v:group>
        </w:pict>
      </w:r>
      <w:r>
        <w:rPr>
          <w:sz w:val="19"/>
        </w:rPr>
        <w:t>Current Transformers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6"/>
        </w:rPr>
      </w:pPr>
    </w:p>
    <w:p>
      <w:pPr>
        <w:spacing w:after="0"/>
        <w:rPr>
          <w:sz w:val="26"/>
        </w:rPr>
        <w:sectPr>
          <w:pgSz w:w="12240" w:h="15840"/>
          <w:pgMar w:header="727" w:footer="819" w:top="960" w:bottom="1000" w:left="1200" w:right="1060"/>
        </w:sectPr>
      </w:pPr>
    </w:p>
    <w:p>
      <w:pPr>
        <w:spacing w:before="108"/>
        <w:ind w:left="3735" w:right="0" w:firstLine="0"/>
        <w:jc w:val="left"/>
        <w:rPr>
          <w:sz w:val="15"/>
        </w:rPr>
      </w:pPr>
      <w:r>
        <w:rPr>
          <w:sz w:val="15"/>
        </w:rPr>
        <w:t>*IN = Optional Neutral Current</w:t>
      </w:r>
    </w:p>
    <w:p>
      <w:pPr>
        <w:spacing w:before="101"/>
        <w:ind w:left="1073" w:right="0" w:firstLine="0"/>
        <w:jc w:val="left"/>
        <w:rPr>
          <w:sz w:val="11"/>
        </w:rPr>
      </w:pPr>
      <w:r>
        <w:rPr/>
        <w:br w:type="column"/>
      </w:r>
      <w:r>
        <w:rPr>
          <w:w w:val="105"/>
          <w:sz w:val="11"/>
        </w:rPr>
        <w:t>9/17/2010</w:t>
      </w:r>
    </w:p>
    <w:p>
      <w:pPr>
        <w:spacing w:after="0"/>
        <w:jc w:val="left"/>
        <w:rPr>
          <w:sz w:val="11"/>
        </w:rPr>
        <w:sectPr>
          <w:type w:val="continuous"/>
          <w:pgSz w:w="12240" w:h="15840"/>
          <w:pgMar w:top="940" w:bottom="280" w:left="1200" w:right="1060"/>
          <w:cols w:num="2" w:equalWidth="0">
            <w:col w:w="5790" w:space="40"/>
            <w:col w:w="4150"/>
          </w:cols>
        </w:sectPr>
      </w:pPr>
    </w:p>
    <w:p>
      <w:pPr>
        <w:pStyle w:val="BodyText"/>
      </w:pPr>
      <w:r>
        <w:rPr/>
        <w:pict>
          <v:shape style="position:absolute;margin-left:81.444115pt;margin-top:344.151764pt;width:12.75pt;height:74.6pt;mso-position-horizontal-relative:page;mso-position-vertical-relative:page;z-index:15839232" type="#_x0000_t202" filled="false" stroked="false">
            <v:textbox inset="0,0,0,0" style="layout-flow:vertical;mso-layout-flow-alt:bottom-to-top">
              <w:txbxContent>
                <w:p>
                  <w:pPr>
                    <w:spacing w:before="15"/>
                    <w:ind w:left="20" w:right="0" w:firstLine="0"/>
                    <w:jc w:val="left"/>
                    <w:rPr>
                      <w:sz w:val="19"/>
                    </w:rPr>
                  </w:pPr>
                  <w:r>
                    <w:rPr>
                      <w:sz w:val="19"/>
                    </w:rPr>
                    <w:t>Resistor Dividers</w:t>
                  </w:r>
                </w:p>
              </w:txbxContent>
            </v:textbox>
            <w10:wrap type="none"/>
          </v:shape>
        </w:pict>
      </w:r>
    </w:p>
    <w:p>
      <w:pPr>
        <w:pStyle w:val="BodyText"/>
        <w:spacing w:before="2"/>
        <w:rPr>
          <w:sz w:val="16"/>
        </w:rPr>
      </w:pPr>
    </w:p>
    <w:p>
      <w:pPr>
        <w:spacing w:before="93"/>
        <w:ind w:left="63" w:right="204" w:firstLine="0"/>
        <w:jc w:val="center"/>
        <w:rPr>
          <w:b/>
          <w:sz w:val="20"/>
        </w:rPr>
      </w:pPr>
      <w:bookmarkStart w:name="_bookmark181" w:id="366"/>
      <w:bookmarkEnd w:id="366"/>
      <w:r>
        <w:rPr/>
      </w:r>
      <w:r>
        <w:rPr>
          <w:b/>
          <w:sz w:val="20"/>
        </w:rPr>
        <w:t>Figure 32. System Using Current Transformers</w:t>
      </w:r>
    </w:p>
    <w:p>
      <w:pPr>
        <w:spacing w:after="0"/>
        <w:jc w:val="center"/>
        <w:rPr>
          <w:sz w:val="20"/>
        </w:rPr>
        <w:sectPr>
          <w:type w:val="continuous"/>
          <w:pgSz w:w="12240" w:h="15840"/>
          <w:pgMar w:top="940" w:bottom="280" w:left="1200" w:right="1060"/>
        </w:sectPr>
      </w:pPr>
    </w:p>
    <w:p>
      <w:pPr>
        <w:pStyle w:val="BodyText"/>
        <w:spacing w:before="7"/>
        <w:rPr>
          <w:b/>
          <w:sz w:val="15"/>
        </w:rPr>
      </w:pPr>
    </w:p>
    <w:p>
      <w:pPr>
        <w:pStyle w:val="ListParagraph"/>
        <w:numPr>
          <w:ilvl w:val="1"/>
          <w:numId w:val="22"/>
        </w:numPr>
        <w:tabs>
          <w:tab w:pos="959" w:val="left" w:leader="none"/>
          <w:tab w:pos="960" w:val="left" w:leader="none"/>
        </w:tabs>
        <w:spacing w:line="240" w:lineRule="auto" w:before="92" w:after="0"/>
        <w:ind w:left="960" w:right="0" w:hanging="720"/>
        <w:jc w:val="left"/>
        <w:rPr>
          <w:b/>
          <w:sz w:val="24"/>
        </w:rPr>
      </w:pPr>
      <w:bookmarkStart w:name="4.5 Metrology Temperature Compensation" w:id="367"/>
      <w:bookmarkEnd w:id="367"/>
      <w:r>
        <w:rPr/>
      </w:r>
      <w:bookmarkStart w:name="_bookmark182" w:id="368"/>
      <w:bookmarkEnd w:id="368"/>
      <w:r>
        <w:rPr/>
      </w:r>
      <w:bookmarkStart w:name="_bookmark182" w:id="369"/>
      <w:bookmarkEnd w:id="369"/>
      <w:r>
        <w:rPr>
          <w:b/>
          <w:sz w:val="24"/>
        </w:rPr>
        <w:t>M</w:t>
      </w:r>
      <w:r>
        <w:rPr>
          <w:b/>
          <w:sz w:val="24"/>
        </w:rPr>
        <w:t>etrology Temperature</w:t>
      </w:r>
      <w:r>
        <w:rPr>
          <w:b/>
          <w:spacing w:val="-4"/>
          <w:sz w:val="24"/>
        </w:rPr>
        <w:t> </w:t>
      </w:r>
      <w:r>
        <w:rPr>
          <w:b/>
          <w:sz w:val="24"/>
        </w:rPr>
        <w:t>Compensation</w:t>
      </w:r>
    </w:p>
    <w:p>
      <w:pPr>
        <w:pStyle w:val="ListParagraph"/>
        <w:numPr>
          <w:ilvl w:val="2"/>
          <w:numId w:val="27"/>
        </w:numPr>
        <w:tabs>
          <w:tab w:pos="959" w:val="left" w:leader="none"/>
          <w:tab w:pos="960" w:val="left" w:leader="none"/>
        </w:tabs>
        <w:spacing w:line="240" w:lineRule="auto" w:before="98" w:after="0"/>
        <w:ind w:left="959" w:right="0" w:hanging="720"/>
        <w:jc w:val="left"/>
        <w:rPr>
          <w:b/>
          <w:sz w:val="22"/>
        </w:rPr>
      </w:pPr>
      <w:bookmarkStart w:name="4.5.1 Temperature Compensation" w:id="370"/>
      <w:bookmarkEnd w:id="370"/>
      <w:r>
        <w:rPr/>
      </w:r>
      <w:bookmarkStart w:name="_bookmark183" w:id="371"/>
      <w:bookmarkEnd w:id="371"/>
      <w:r>
        <w:rPr/>
      </w:r>
      <w:bookmarkStart w:name="_bookmark183" w:id="372"/>
      <w:bookmarkEnd w:id="372"/>
      <w:r>
        <w:rPr>
          <w:b/>
          <w:sz w:val="22"/>
        </w:rPr>
        <w:t>T</w:t>
      </w:r>
      <w:r>
        <w:rPr>
          <w:b/>
          <w:sz w:val="22"/>
        </w:rPr>
        <w:t>emperature</w:t>
      </w:r>
      <w:r>
        <w:rPr>
          <w:b/>
          <w:spacing w:val="-1"/>
          <w:sz w:val="22"/>
        </w:rPr>
        <w:t> </w:t>
      </w:r>
      <w:r>
        <w:rPr>
          <w:b/>
          <w:sz w:val="22"/>
        </w:rPr>
        <w:t>Compensation</w:t>
      </w:r>
    </w:p>
    <w:p>
      <w:pPr>
        <w:pStyle w:val="BodyText"/>
        <w:spacing w:before="118"/>
        <w:ind w:left="239" w:right="449"/>
      </w:pPr>
      <w:r>
        <w:rPr>
          <w:spacing w:val="-3"/>
        </w:rPr>
        <w:t>Since</w:t>
      </w:r>
      <w:r>
        <w:rPr>
          <w:spacing w:val="-14"/>
        </w:rPr>
        <w:t> </w:t>
      </w:r>
      <w:r>
        <w:rPr/>
        <w:t>the</w:t>
      </w:r>
      <w:r>
        <w:rPr>
          <w:spacing w:val="-13"/>
        </w:rPr>
        <w:t> </w:t>
      </w:r>
      <w:r>
        <w:rPr/>
        <w:t>VREF</w:t>
      </w:r>
      <w:r>
        <w:rPr>
          <w:spacing w:val="-12"/>
        </w:rPr>
        <w:t> </w:t>
      </w:r>
      <w:r>
        <w:rPr/>
        <w:t>band-gap</w:t>
      </w:r>
      <w:r>
        <w:rPr>
          <w:spacing w:val="-13"/>
        </w:rPr>
        <w:t> </w:t>
      </w:r>
      <w:r>
        <w:rPr/>
        <w:t>amplifier</w:t>
      </w:r>
      <w:r>
        <w:rPr>
          <w:spacing w:val="-12"/>
        </w:rPr>
        <w:t> </w:t>
      </w:r>
      <w:r>
        <w:rPr/>
        <w:t>is</w:t>
      </w:r>
      <w:r>
        <w:rPr>
          <w:spacing w:val="-13"/>
        </w:rPr>
        <w:t> </w:t>
      </w:r>
      <w:r>
        <w:rPr/>
        <w:t>chopper-stabilized,</w:t>
      </w:r>
      <w:r>
        <w:rPr>
          <w:spacing w:val="-13"/>
        </w:rPr>
        <w:t> </w:t>
      </w:r>
      <w:r>
        <w:rPr/>
        <w:t>as</w:t>
      </w:r>
      <w:r>
        <w:rPr>
          <w:spacing w:val="-13"/>
        </w:rPr>
        <w:t> </w:t>
      </w:r>
      <w:r>
        <w:rPr/>
        <w:t>set</w:t>
      </w:r>
      <w:r>
        <w:rPr>
          <w:spacing w:val="-12"/>
        </w:rPr>
        <w:t> </w:t>
      </w:r>
      <w:r>
        <w:rPr/>
        <w:t>by</w:t>
      </w:r>
      <w:r>
        <w:rPr>
          <w:spacing w:val="-16"/>
        </w:rPr>
        <w:t> </w:t>
      </w:r>
      <w:r>
        <w:rPr/>
        <w:t>the</w:t>
      </w:r>
      <w:r>
        <w:rPr>
          <w:spacing w:val="-12"/>
        </w:rPr>
        <w:t> </w:t>
      </w:r>
      <w:r>
        <w:rPr>
          <w:rFonts w:ascii="Times New Roman"/>
          <w:i/>
          <w:spacing w:val="-3"/>
        </w:rPr>
        <w:t>CHOP_E[1:0]</w:t>
      </w:r>
      <w:r>
        <w:rPr>
          <w:rFonts w:ascii="Times New Roman"/>
          <w:i/>
          <w:spacing w:val="-7"/>
        </w:rPr>
        <w:t> </w:t>
      </w:r>
      <w:r>
        <w:rPr>
          <w:rFonts w:ascii="Times New Roman"/>
          <w:i/>
          <w:spacing w:val="-3"/>
        </w:rPr>
        <w:t>(I/O</w:t>
      </w:r>
      <w:r>
        <w:rPr>
          <w:rFonts w:ascii="Times New Roman"/>
          <w:i/>
          <w:spacing w:val="-13"/>
        </w:rPr>
        <w:t> </w:t>
      </w:r>
      <w:r>
        <w:rPr>
          <w:rFonts w:ascii="Times New Roman"/>
          <w:i/>
        </w:rPr>
        <w:t>RAM</w:t>
      </w:r>
      <w:r>
        <w:rPr>
          <w:rFonts w:ascii="Times New Roman"/>
          <w:i/>
          <w:spacing w:val="-13"/>
        </w:rPr>
        <w:t> </w:t>
      </w:r>
      <w:r>
        <w:rPr>
          <w:rFonts w:ascii="Times New Roman"/>
          <w:i/>
        </w:rPr>
        <w:t>0x2106[3:2]) </w:t>
      </w:r>
      <w:r>
        <w:rPr/>
        <w:t>control field, the dc offset voltage, which is the most significant long-term drift mechanism in the voltage references (VREF), is automatically removed by the chopper circuit. Both the 71M6543 and the 71M6xx3 feature chopper circuits for their respective VREF voltage</w:t>
      </w:r>
      <w:r>
        <w:rPr>
          <w:spacing w:val="-6"/>
        </w:rPr>
        <w:t> </w:t>
      </w:r>
      <w:r>
        <w:rPr/>
        <w:t>reference.</w:t>
      </w:r>
    </w:p>
    <w:p>
      <w:pPr>
        <w:pStyle w:val="BodyText"/>
        <w:spacing w:before="124"/>
        <w:ind w:left="239" w:right="401"/>
      </w:pPr>
      <w:r>
        <w:rPr/>
        <w:t>Since the variation in the bandgap reference voltage (VREF) is the major contributor to measurement error across temperatures, Maxim implements a two-step procedure to trim and characterize the VREF voltage reference during the device manufacturing process.</w:t>
      </w:r>
    </w:p>
    <w:p>
      <w:pPr>
        <w:pStyle w:val="BodyText"/>
        <w:spacing w:before="119"/>
        <w:ind w:left="239" w:right="417"/>
      </w:pPr>
      <w:r>
        <w:rPr/>
        <w:t>The</w:t>
      </w:r>
      <w:r>
        <w:rPr>
          <w:spacing w:val="-4"/>
        </w:rPr>
        <w:t> </w:t>
      </w:r>
      <w:r>
        <w:rPr/>
        <w:t>first</w:t>
      </w:r>
      <w:r>
        <w:rPr>
          <w:spacing w:val="-3"/>
        </w:rPr>
        <w:t> </w:t>
      </w:r>
      <w:r>
        <w:rPr/>
        <w:t>step</w:t>
      </w:r>
      <w:r>
        <w:rPr>
          <w:spacing w:val="-3"/>
        </w:rPr>
        <w:t> </w:t>
      </w:r>
      <w:r>
        <w:rPr/>
        <w:t>in</w:t>
      </w:r>
      <w:r>
        <w:rPr>
          <w:spacing w:val="-3"/>
        </w:rPr>
        <w:t> </w:t>
      </w:r>
      <w:r>
        <w:rPr/>
        <w:t>the</w:t>
      </w:r>
      <w:r>
        <w:rPr>
          <w:spacing w:val="-4"/>
        </w:rPr>
        <w:t> </w:t>
      </w:r>
      <w:r>
        <w:rPr/>
        <w:t>process</w:t>
      </w:r>
      <w:r>
        <w:rPr>
          <w:spacing w:val="-2"/>
        </w:rPr>
        <w:t> </w:t>
      </w:r>
      <w:r>
        <w:rPr/>
        <w:t>is</w:t>
      </w:r>
      <w:r>
        <w:rPr>
          <w:spacing w:val="-2"/>
        </w:rPr>
        <w:t> </w:t>
      </w:r>
      <w:r>
        <w:rPr/>
        <w:t>applied</w:t>
      </w:r>
      <w:r>
        <w:rPr>
          <w:spacing w:val="-3"/>
        </w:rPr>
        <w:t> </w:t>
      </w:r>
      <w:r>
        <w:rPr/>
        <w:t>to</w:t>
      </w:r>
      <w:r>
        <w:rPr>
          <w:spacing w:val="-3"/>
        </w:rPr>
        <w:t> </w:t>
      </w:r>
      <w:r>
        <w:rPr/>
        <w:t>all</w:t>
      </w:r>
      <w:r>
        <w:rPr>
          <w:spacing w:val="-3"/>
        </w:rPr>
        <w:t> </w:t>
      </w:r>
      <w:r>
        <w:rPr/>
        <w:t>parts</w:t>
      </w:r>
      <w:r>
        <w:rPr>
          <w:spacing w:val="-2"/>
        </w:rPr>
        <w:t> </w:t>
      </w:r>
      <w:r>
        <w:rPr/>
        <w:t>(71M6543F,</w:t>
      </w:r>
      <w:r>
        <w:rPr>
          <w:spacing w:val="-3"/>
        </w:rPr>
        <w:t> </w:t>
      </w:r>
      <w:r>
        <w:rPr/>
        <w:t>71M6543G).</w:t>
      </w:r>
      <w:r>
        <w:rPr>
          <w:spacing w:val="-3"/>
        </w:rPr>
        <w:t> </w:t>
      </w:r>
      <w:r>
        <w:rPr/>
        <w:t>In</w:t>
      </w:r>
      <w:r>
        <w:rPr>
          <w:spacing w:val="-4"/>
        </w:rPr>
        <w:t> </w:t>
      </w:r>
      <w:r>
        <w:rPr/>
        <w:t>this</w:t>
      </w:r>
      <w:r>
        <w:rPr>
          <w:spacing w:val="-2"/>
        </w:rPr>
        <w:t> </w:t>
      </w:r>
      <w:r>
        <w:rPr/>
        <w:t>first</w:t>
      </w:r>
      <w:r>
        <w:rPr>
          <w:spacing w:val="-3"/>
        </w:rPr>
        <w:t> </w:t>
      </w:r>
      <w:r>
        <w:rPr/>
        <w:t>step,</w:t>
      </w:r>
      <w:r>
        <w:rPr>
          <w:spacing w:val="-3"/>
        </w:rPr>
        <w:t> </w:t>
      </w:r>
      <w:r>
        <w:rPr/>
        <w:t>the</w:t>
      </w:r>
      <w:r>
        <w:rPr>
          <w:spacing w:val="-4"/>
        </w:rPr>
        <w:t> </w:t>
      </w:r>
      <w:r>
        <w:rPr/>
        <w:t>reference voltage (VREF) is trimmed to a target value of 1.195V. During this trimming process, the </w:t>
      </w:r>
      <w:r>
        <w:rPr>
          <w:rFonts w:ascii="Times New Roman"/>
          <w:i/>
        </w:rPr>
        <w:t>TRIMT[7:0] </w:t>
      </w:r>
      <w:r>
        <w:rPr/>
        <w:t>(</w:t>
      </w:r>
      <w:r>
        <w:rPr>
          <w:rFonts w:ascii="Times New Roman"/>
          <w:i/>
        </w:rPr>
        <w:t>I/O </w:t>
      </w:r>
      <w:r>
        <w:rPr>
          <w:rFonts w:ascii="Times New Roman"/>
          <w:i/>
        </w:rPr>
        <w:t>RAM 0x2309</w:t>
      </w:r>
      <w:r>
        <w:rPr/>
        <w:t>) value is stored in non-volatile fuses. </w:t>
      </w:r>
      <w:r>
        <w:rPr>
          <w:rFonts w:ascii="Times New Roman"/>
          <w:i/>
        </w:rPr>
        <w:t>TRIMT[7:0] </w:t>
      </w:r>
      <w:r>
        <w:rPr/>
        <w:t>is trimmed to a value that results in minimum VREF variation with</w:t>
      </w:r>
      <w:r>
        <w:rPr>
          <w:spacing w:val="2"/>
        </w:rPr>
        <w:t> </w:t>
      </w:r>
      <w:r>
        <w:rPr/>
        <w:t>temperature.</w:t>
      </w:r>
    </w:p>
    <w:p>
      <w:pPr>
        <w:pStyle w:val="BodyText"/>
        <w:spacing w:before="118"/>
        <w:ind w:left="239" w:right="401"/>
      </w:pPr>
      <w:r>
        <w:rPr/>
        <w:t>For the 71M6543F and 71M6543G devices, the </w:t>
      </w:r>
      <w:r>
        <w:rPr>
          <w:rFonts w:ascii="Times New Roman" w:hAnsi="Times New Roman"/>
          <w:i/>
        </w:rPr>
        <w:t>TRIMT[7:0] </w:t>
      </w:r>
      <w:r>
        <w:rPr/>
        <w:t>value can be read by the MPU during initialization in order to calculate parabolic temperature compensation coefficients suitable for each individual 71M6543F and 71M6543G device. The resulting temperature coefficient for VREF in the 71M6543F and 71M6543G is ±40</w:t>
      </w:r>
      <w:r>
        <w:rPr>
          <w:spacing w:val="25"/>
        </w:rPr>
        <w:t> </w:t>
      </w:r>
      <w:r>
        <w:rPr/>
        <w:t>ppm/°C.</w:t>
      </w:r>
    </w:p>
    <w:p>
      <w:pPr>
        <w:pStyle w:val="BodyText"/>
        <w:spacing w:before="123"/>
        <w:ind w:left="239" w:right="417"/>
      </w:pPr>
      <w:r>
        <w:rPr/>
        <w:t>Considering the </w:t>
      </w:r>
      <w:r>
        <w:rPr>
          <w:spacing w:val="2"/>
        </w:rPr>
        <w:t>factory </w:t>
      </w:r>
      <w:r>
        <w:rPr/>
        <w:t>calibration temperature of VREF to be +22°C and </w:t>
      </w:r>
      <w:r>
        <w:rPr>
          <w:spacing w:val="2"/>
        </w:rPr>
        <w:t>the </w:t>
      </w:r>
      <w:r>
        <w:rPr/>
        <w:t>industrial temperature range (-40°C to +85°C), </w:t>
      </w:r>
      <w:r>
        <w:rPr>
          <w:spacing w:val="2"/>
        </w:rPr>
        <w:t>the </w:t>
      </w:r>
      <w:r>
        <w:rPr/>
        <w:t>VREF error at the temperature extremes for the 71M6543F and 71M6543G devices can be calculated</w:t>
      </w:r>
      <w:r>
        <w:rPr>
          <w:spacing w:val="17"/>
        </w:rPr>
        <w:t> </w:t>
      </w:r>
      <w:r>
        <w:rPr/>
        <w:t>as:</w:t>
      </w:r>
    </w:p>
    <w:p>
      <w:pPr>
        <w:spacing w:before="141"/>
        <w:ind w:left="69" w:right="204" w:firstLine="0"/>
        <w:jc w:val="center"/>
        <w:rPr>
          <w:rFonts w:ascii="Times New Roman" w:hAnsi="Times New Roman"/>
          <w:sz w:val="23"/>
        </w:rPr>
      </w:pPr>
      <w:r>
        <w:rPr>
          <w:rFonts w:ascii="Times New Roman" w:hAnsi="Times New Roman"/>
          <w:sz w:val="23"/>
        </w:rPr>
        <w:t>(85</w:t>
      </w:r>
      <w:r>
        <w:rPr>
          <w:rFonts w:ascii="Times New Roman" w:hAnsi="Times New Roman"/>
          <w:i/>
          <w:sz w:val="23"/>
          <w:vertAlign w:val="superscript"/>
        </w:rPr>
        <w:t>o</w:t>
      </w:r>
      <w:r>
        <w:rPr>
          <w:rFonts w:ascii="Times New Roman" w:hAnsi="Times New Roman"/>
          <w:i/>
          <w:sz w:val="23"/>
          <w:vertAlign w:val="baseline"/>
        </w:rPr>
        <w:t> C </w:t>
      </w:r>
      <w:r>
        <w:rPr>
          <w:rFonts w:ascii="Symbol" w:hAnsi="Symbol"/>
          <w:sz w:val="23"/>
          <w:vertAlign w:val="baseline"/>
        </w:rPr>
        <w:t></w:t>
      </w:r>
      <w:r>
        <w:rPr>
          <w:rFonts w:ascii="Times New Roman" w:hAnsi="Times New Roman"/>
          <w:sz w:val="23"/>
          <w:vertAlign w:val="baseline"/>
        </w:rPr>
        <w:t> 22</w:t>
      </w:r>
      <w:r>
        <w:rPr>
          <w:rFonts w:ascii="Times New Roman" w:hAnsi="Times New Roman"/>
          <w:i/>
          <w:sz w:val="23"/>
          <w:vertAlign w:val="superscript"/>
        </w:rPr>
        <w:t>o</w:t>
      </w:r>
      <w:r>
        <w:rPr>
          <w:rFonts w:ascii="Times New Roman" w:hAnsi="Times New Roman"/>
          <w:i/>
          <w:sz w:val="23"/>
          <w:vertAlign w:val="baseline"/>
        </w:rPr>
        <w:t> C</w:t>
      </w:r>
      <w:r>
        <w:rPr>
          <w:rFonts w:ascii="Times New Roman" w:hAnsi="Times New Roman"/>
          <w:sz w:val="23"/>
          <w:vertAlign w:val="baseline"/>
        </w:rPr>
        <w:t>) </w:t>
      </w:r>
      <w:r>
        <w:rPr>
          <w:rFonts w:ascii="Symbol" w:hAnsi="Symbol"/>
          <w:w w:val="95"/>
          <w:sz w:val="23"/>
          <w:vertAlign w:val="baseline"/>
        </w:rPr>
        <w:t></w:t>
      </w:r>
      <w:r>
        <w:rPr>
          <w:rFonts w:ascii="Times New Roman" w:hAnsi="Times New Roman"/>
          <w:w w:val="95"/>
          <w:sz w:val="23"/>
          <w:vertAlign w:val="baseline"/>
        </w:rPr>
        <w:t> </w:t>
      </w:r>
      <w:r>
        <w:rPr>
          <w:rFonts w:ascii="Times New Roman" w:hAnsi="Times New Roman"/>
          <w:sz w:val="23"/>
          <w:vertAlign w:val="baseline"/>
        </w:rPr>
        <w:t>40 </w:t>
      </w:r>
      <w:r>
        <w:rPr>
          <w:rFonts w:ascii="Times New Roman" w:hAnsi="Times New Roman"/>
          <w:i/>
          <w:sz w:val="23"/>
          <w:vertAlign w:val="baseline"/>
        </w:rPr>
        <w:t>ppm</w:t>
      </w:r>
      <w:r>
        <w:rPr>
          <w:rFonts w:ascii="Times New Roman" w:hAnsi="Times New Roman"/>
          <w:sz w:val="23"/>
          <w:vertAlign w:val="baseline"/>
        </w:rPr>
        <w:t>/ </w:t>
      </w:r>
      <w:r>
        <w:rPr>
          <w:rFonts w:ascii="Times New Roman" w:hAnsi="Times New Roman"/>
          <w:i/>
          <w:sz w:val="23"/>
          <w:vertAlign w:val="superscript"/>
        </w:rPr>
        <w:t>o</w:t>
      </w:r>
      <w:r>
        <w:rPr>
          <w:rFonts w:ascii="Times New Roman" w:hAnsi="Times New Roman"/>
          <w:i/>
          <w:sz w:val="23"/>
          <w:vertAlign w:val="baseline"/>
        </w:rPr>
        <w:t>C </w:t>
      </w:r>
      <w:r>
        <w:rPr>
          <w:rFonts w:ascii="Symbol" w:hAnsi="Symbol"/>
          <w:sz w:val="23"/>
          <w:vertAlign w:val="baseline"/>
        </w:rPr>
        <w:t></w:t>
      </w:r>
      <w:r>
        <w:rPr>
          <w:rFonts w:ascii="Times New Roman" w:hAnsi="Times New Roman"/>
          <w:sz w:val="23"/>
          <w:vertAlign w:val="baseline"/>
        </w:rPr>
        <w:t> </w:t>
      </w:r>
      <w:r>
        <w:rPr>
          <w:rFonts w:ascii="Symbol" w:hAnsi="Symbol"/>
          <w:sz w:val="23"/>
          <w:vertAlign w:val="baseline"/>
        </w:rPr>
        <w:t></w:t>
      </w:r>
      <w:r>
        <w:rPr>
          <w:rFonts w:ascii="Times New Roman" w:hAnsi="Times New Roman"/>
          <w:sz w:val="23"/>
          <w:vertAlign w:val="baseline"/>
        </w:rPr>
        <w:t>2520 </w:t>
      </w:r>
      <w:r>
        <w:rPr>
          <w:rFonts w:ascii="Times New Roman" w:hAnsi="Times New Roman"/>
          <w:i/>
          <w:sz w:val="23"/>
          <w:vertAlign w:val="baseline"/>
        </w:rPr>
        <w:t>ppm </w:t>
      </w:r>
      <w:r>
        <w:rPr>
          <w:rFonts w:ascii="Symbol" w:hAnsi="Symbol"/>
          <w:sz w:val="23"/>
          <w:vertAlign w:val="baseline"/>
        </w:rPr>
        <w:t></w:t>
      </w:r>
      <w:r>
        <w:rPr>
          <w:rFonts w:ascii="Times New Roman" w:hAnsi="Times New Roman"/>
          <w:sz w:val="23"/>
          <w:vertAlign w:val="baseline"/>
        </w:rPr>
        <w:t> </w:t>
      </w:r>
      <w:r>
        <w:rPr>
          <w:rFonts w:ascii="Symbol" w:hAnsi="Symbol"/>
          <w:sz w:val="23"/>
          <w:vertAlign w:val="baseline"/>
        </w:rPr>
        <w:t></w:t>
      </w:r>
      <w:r>
        <w:rPr>
          <w:rFonts w:ascii="Times New Roman" w:hAnsi="Times New Roman"/>
          <w:sz w:val="23"/>
          <w:vertAlign w:val="baseline"/>
        </w:rPr>
        <w:t>0.252%</w:t>
      </w:r>
    </w:p>
    <w:p>
      <w:pPr>
        <w:pStyle w:val="BodyText"/>
        <w:spacing w:before="161"/>
        <w:ind w:left="64" w:right="204"/>
        <w:jc w:val="center"/>
      </w:pPr>
      <w:r>
        <w:rPr/>
        <w:t>and</w:t>
      </w:r>
    </w:p>
    <w:p>
      <w:pPr>
        <w:spacing w:before="140"/>
        <w:ind w:left="54" w:right="204" w:firstLine="0"/>
        <w:jc w:val="center"/>
        <w:rPr>
          <w:rFonts w:ascii="Times New Roman" w:hAnsi="Times New Roman"/>
          <w:sz w:val="23"/>
        </w:rPr>
      </w:pPr>
      <w:r>
        <w:rPr>
          <w:rFonts w:ascii="Times New Roman" w:hAnsi="Times New Roman"/>
          <w:sz w:val="23"/>
        </w:rPr>
        <w:t>(</w:t>
      </w:r>
      <w:r>
        <w:rPr>
          <w:rFonts w:ascii="Symbol" w:hAnsi="Symbol"/>
          <w:sz w:val="23"/>
        </w:rPr>
        <w:t></w:t>
      </w:r>
      <w:r>
        <w:rPr>
          <w:rFonts w:ascii="Times New Roman" w:hAnsi="Times New Roman"/>
          <w:sz w:val="23"/>
        </w:rPr>
        <w:t>40</w:t>
      </w:r>
      <w:r>
        <w:rPr>
          <w:rFonts w:ascii="Times New Roman" w:hAnsi="Times New Roman"/>
          <w:i/>
          <w:sz w:val="23"/>
          <w:vertAlign w:val="superscript"/>
        </w:rPr>
        <w:t>o</w:t>
      </w:r>
      <w:r>
        <w:rPr>
          <w:rFonts w:ascii="Times New Roman" w:hAnsi="Times New Roman"/>
          <w:i/>
          <w:sz w:val="23"/>
          <w:vertAlign w:val="baseline"/>
        </w:rPr>
        <w:t> C </w:t>
      </w:r>
      <w:r>
        <w:rPr>
          <w:rFonts w:ascii="Symbol" w:hAnsi="Symbol"/>
          <w:sz w:val="23"/>
          <w:vertAlign w:val="baseline"/>
        </w:rPr>
        <w:t></w:t>
      </w:r>
      <w:r>
        <w:rPr>
          <w:rFonts w:ascii="Times New Roman" w:hAnsi="Times New Roman"/>
          <w:sz w:val="23"/>
          <w:vertAlign w:val="baseline"/>
        </w:rPr>
        <w:t> 22</w:t>
      </w:r>
      <w:r>
        <w:rPr>
          <w:rFonts w:ascii="Times New Roman" w:hAnsi="Times New Roman"/>
          <w:i/>
          <w:sz w:val="23"/>
          <w:vertAlign w:val="superscript"/>
        </w:rPr>
        <w:t>o</w:t>
      </w:r>
      <w:r>
        <w:rPr>
          <w:rFonts w:ascii="Times New Roman" w:hAnsi="Times New Roman"/>
          <w:i/>
          <w:sz w:val="23"/>
          <w:vertAlign w:val="baseline"/>
        </w:rPr>
        <w:t> C</w:t>
      </w:r>
      <w:r>
        <w:rPr>
          <w:rFonts w:ascii="Times New Roman" w:hAnsi="Times New Roman"/>
          <w:sz w:val="23"/>
          <w:vertAlign w:val="baseline"/>
        </w:rPr>
        <w:t>) </w:t>
      </w:r>
      <w:r>
        <w:rPr>
          <w:rFonts w:ascii="Symbol" w:hAnsi="Symbol"/>
          <w:w w:val="95"/>
          <w:sz w:val="23"/>
          <w:vertAlign w:val="baseline"/>
        </w:rPr>
        <w:t></w:t>
      </w:r>
      <w:r>
        <w:rPr>
          <w:rFonts w:ascii="Times New Roman" w:hAnsi="Times New Roman"/>
          <w:w w:val="95"/>
          <w:sz w:val="23"/>
          <w:vertAlign w:val="baseline"/>
        </w:rPr>
        <w:t> </w:t>
      </w:r>
      <w:r>
        <w:rPr>
          <w:rFonts w:ascii="Times New Roman" w:hAnsi="Times New Roman"/>
          <w:sz w:val="23"/>
          <w:vertAlign w:val="baseline"/>
        </w:rPr>
        <w:t>40 </w:t>
      </w:r>
      <w:r>
        <w:rPr>
          <w:rFonts w:ascii="Times New Roman" w:hAnsi="Times New Roman"/>
          <w:i/>
          <w:sz w:val="23"/>
          <w:vertAlign w:val="baseline"/>
        </w:rPr>
        <w:t>ppm</w:t>
      </w:r>
      <w:r>
        <w:rPr>
          <w:rFonts w:ascii="Times New Roman" w:hAnsi="Times New Roman"/>
          <w:sz w:val="23"/>
          <w:vertAlign w:val="baseline"/>
        </w:rPr>
        <w:t>/ </w:t>
      </w:r>
      <w:r>
        <w:rPr>
          <w:rFonts w:ascii="Times New Roman" w:hAnsi="Times New Roman"/>
          <w:i/>
          <w:sz w:val="23"/>
          <w:vertAlign w:val="superscript"/>
        </w:rPr>
        <w:t>o</w:t>
      </w:r>
      <w:r>
        <w:rPr>
          <w:rFonts w:ascii="Times New Roman" w:hAnsi="Times New Roman"/>
          <w:i/>
          <w:sz w:val="23"/>
          <w:vertAlign w:val="baseline"/>
        </w:rPr>
        <w:t>C </w:t>
      </w:r>
      <w:r>
        <w:rPr>
          <w:rFonts w:ascii="Symbol" w:hAnsi="Symbol"/>
          <w:sz w:val="23"/>
          <w:vertAlign w:val="baseline"/>
        </w:rPr>
        <w:t></w:t>
      </w:r>
      <w:r>
        <w:rPr>
          <w:rFonts w:ascii="Times New Roman" w:hAnsi="Times New Roman"/>
          <w:sz w:val="23"/>
          <w:vertAlign w:val="baseline"/>
        </w:rPr>
        <w:t> </w:t>
      </w:r>
      <w:r>
        <w:rPr>
          <w:rFonts w:ascii="Symbol" w:hAnsi="Symbol"/>
          <w:sz w:val="23"/>
          <w:vertAlign w:val="baseline"/>
        </w:rPr>
        <w:t></w:t>
      </w:r>
      <w:r>
        <w:rPr>
          <w:rFonts w:ascii="Times New Roman" w:hAnsi="Times New Roman"/>
          <w:sz w:val="23"/>
          <w:vertAlign w:val="baseline"/>
        </w:rPr>
        <w:t>2480 </w:t>
      </w:r>
      <w:r>
        <w:rPr>
          <w:rFonts w:ascii="Times New Roman" w:hAnsi="Times New Roman"/>
          <w:i/>
          <w:sz w:val="23"/>
          <w:vertAlign w:val="baseline"/>
        </w:rPr>
        <w:t>ppm </w:t>
      </w:r>
      <w:r>
        <w:rPr>
          <w:rFonts w:ascii="Symbol" w:hAnsi="Symbol"/>
          <w:sz w:val="23"/>
          <w:vertAlign w:val="baseline"/>
        </w:rPr>
        <w:t></w:t>
      </w:r>
      <w:r>
        <w:rPr>
          <w:rFonts w:ascii="Times New Roman" w:hAnsi="Times New Roman"/>
          <w:sz w:val="23"/>
          <w:vertAlign w:val="baseline"/>
        </w:rPr>
        <w:t> </w:t>
      </w:r>
      <w:r>
        <w:rPr>
          <w:rFonts w:ascii="Symbol" w:hAnsi="Symbol"/>
          <w:sz w:val="23"/>
          <w:vertAlign w:val="baseline"/>
        </w:rPr>
        <w:t></w:t>
      </w:r>
      <w:r>
        <w:rPr>
          <w:rFonts w:ascii="Times New Roman" w:hAnsi="Times New Roman"/>
          <w:sz w:val="23"/>
          <w:vertAlign w:val="baseline"/>
        </w:rPr>
        <w:t>0.248%</w:t>
      </w:r>
    </w:p>
    <w:p>
      <w:pPr>
        <w:pStyle w:val="BodyText"/>
        <w:spacing w:before="164"/>
        <w:ind w:left="240" w:right="574"/>
      </w:pPr>
      <w:r>
        <w:rPr/>
        <w:t>The above calculation implies that both the voltage and the current measurements are individually subject to a theoretical maximum error of approximately ±0.25%. </w:t>
      </w:r>
      <w:r>
        <w:rPr>
          <w:spacing w:val="3"/>
        </w:rPr>
        <w:t>When </w:t>
      </w:r>
      <w:r>
        <w:rPr/>
        <w:t>the voltage sample and current sample are multiplied together to obtain </w:t>
      </w:r>
      <w:r>
        <w:rPr>
          <w:spacing w:val="2"/>
        </w:rPr>
        <w:t>the </w:t>
      </w:r>
      <w:r>
        <w:rPr/>
        <w:t>energy per sample, the voltage error and current error combine resulting in approximately ±0.5% maximum energy measurement error. However, this theoretical ±0.5% error considers only the voltage reference (VREF) as an </w:t>
      </w:r>
      <w:r>
        <w:rPr>
          <w:spacing w:val="2"/>
        </w:rPr>
        <w:t>error </w:t>
      </w:r>
      <w:r>
        <w:rPr/>
        <w:t>source. In practice, other error sources exist in the system. The principal remaining error sources are the current sensors (shunts or CTs) and their corresponding signal conditioning circuits, and the resistor voltage divider  used to </w:t>
      </w:r>
      <w:r>
        <w:rPr>
          <w:spacing w:val="2"/>
        </w:rPr>
        <w:t>measure </w:t>
      </w:r>
      <w:r>
        <w:rPr/>
        <w:t>the voltage. The 71M6543F and 71M6543G devices should be used in Class 1% designs, to allow margin for the other error sources in the</w:t>
      </w:r>
      <w:r>
        <w:rPr>
          <w:spacing w:val="50"/>
        </w:rPr>
        <w:t> </w:t>
      </w:r>
      <w:r>
        <w:rPr/>
        <w:t>system.</w:t>
      </w:r>
    </w:p>
    <w:p>
      <w:pPr>
        <w:pStyle w:val="BodyText"/>
        <w:spacing w:before="120"/>
        <w:ind w:left="239" w:right="401"/>
      </w:pPr>
      <w:r>
        <w:rPr/>
        <w:t>The preceding discussion in this section also applies to the 71M6603 (0.5%), 71M6113 (0.5%) and 71M6203 (0.1%) remote sensors. Refer to the 71M6xxx Data Sheet for details.</w:t>
      </w:r>
    </w:p>
    <w:p>
      <w:pPr>
        <w:pStyle w:val="ListParagraph"/>
        <w:numPr>
          <w:ilvl w:val="2"/>
          <w:numId w:val="27"/>
        </w:numPr>
        <w:tabs>
          <w:tab w:pos="959" w:val="left" w:leader="none"/>
          <w:tab w:pos="960" w:val="left" w:leader="none"/>
        </w:tabs>
        <w:spacing w:line="240" w:lineRule="auto" w:before="118" w:after="0"/>
        <w:ind w:left="959" w:right="0" w:hanging="720"/>
        <w:jc w:val="left"/>
        <w:rPr>
          <w:b/>
          <w:sz w:val="22"/>
        </w:rPr>
      </w:pPr>
      <w:bookmarkStart w:name="4.5.2 Temperature Coefficients for the 7" w:id="373"/>
      <w:bookmarkEnd w:id="373"/>
      <w:r>
        <w:rPr/>
      </w:r>
      <w:bookmarkStart w:name="_bookmark184" w:id="374"/>
      <w:bookmarkEnd w:id="374"/>
      <w:r>
        <w:rPr/>
      </w:r>
      <w:bookmarkStart w:name="_bookmark184" w:id="375"/>
      <w:bookmarkEnd w:id="375"/>
      <w:r>
        <w:rPr>
          <w:b/>
          <w:sz w:val="22"/>
        </w:rPr>
        <w:t>T</w:t>
      </w:r>
      <w:r>
        <w:rPr>
          <w:b/>
          <w:sz w:val="22"/>
        </w:rPr>
        <w:t>emperature Coefficients for the 71M6543F and</w:t>
      </w:r>
      <w:r>
        <w:rPr>
          <w:b/>
          <w:spacing w:val="-4"/>
          <w:sz w:val="22"/>
        </w:rPr>
        <w:t> </w:t>
      </w:r>
      <w:r>
        <w:rPr>
          <w:b/>
          <w:sz w:val="22"/>
        </w:rPr>
        <w:t>71M6543G</w:t>
      </w:r>
    </w:p>
    <w:p>
      <w:pPr>
        <w:pStyle w:val="BodyText"/>
        <w:spacing w:line="230" w:lineRule="auto" w:before="121"/>
        <w:ind w:left="239" w:right="401"/>
      </w:pPr>
      <w:r>
        <w:rPr/>
        <w:t>The</w:t>
      </w:r>
      <w:r>
        <w:rPr>
          <w:spacing w:val="-9"/>
        </w:rPr>
        <w:t> </w:t>
      </w:r>
      <w:r>
        <w:rPr>
          <w:spacing w:val="-3"/>
        </w:rPr>
        <w:t>equations</w:t>
      </w:r>
      <w:r>
        <w:rPr>
          <w:spacing w:val="-7"/>
        </w:rPr>
        <w:t> </w:t>
      </w:r>
      <w:r>
        <w:rPr>
          <w:spacing w:val="-4"/>
        </w:rPr>
        <w:t>provided</w:t>
      </w:r>
      <w:r>
        <w:rPr>
          <w:spacing w:val="-9"/>
        </w:rPr>
        <w:t> </w:t>
      </w:r>
      <w:r>
        <w:rPr>
          <w:spacing w:val="-3"/>
        </w:rPr>
        <w:t>below</w:t>
      </w:r>
      <w:r>
        <w:rPr>
          <w:spacing w:val="-10"/>
        </w:rPr>
        <w:t> </w:t>
      </w:r>
      <w:r>
        <w:rPr/>
        <w:t>for</w:t>
      </w:r>
      <w:r>
        <w:rPr>
          <w:spacing w:val="-8"/>
        </w:rPr>
        <w:t> </w:t>
      </w:r>
      <w:r>
        <w:rPr>
          <w:spacing w:val="-3"/>
        </w:rPr>
        <w:t>calculating</w:t>
      </w:r>
      <w:r>
        <w:rPr>
          <w:spacing w:val="-9"/>
        </w:rPr>
        <w:t> </w:t>
      </w:r>
      <w:r>
        <w:rPr/>
        <w:t>TC1</w:t>
      </w:r>
      <w:r>
        <w:rPr>
          <w:spacing w:val="-9"/>
        </w:rPr>
        <w:t> </w:t>
      </w:r>
      <w:r>
        <w:rPr/>
        <w:t>and</w:t>
      </w:r>
      <w:r>
        <w:rPr>
          <w:spacing w:val="-11"/>
        </w:rPr>
        <w:t> </w:t>
      </w:r>
      <w:r>
        <w:rPr/>
        <w:t>TC2</w:t>
      </w:r>
      <w:r>
        <w:rPr>
          <w:spacing w:val="-9"/>
        </w:rPr>
        <w:t> </w:t>
      </w:r>
      <w:r>
        <w:rPr>
          <w:spacing w:val="-3"/>
        </w:rPr>
        <w:t>apply</w:t>
      </w:r>
      <w:r>
        <w:rPr>
          <w:spacing w:val="-12"/>
        </w:rPr>
        <w:t> </w:t>
      </w:r>
      <w:r>
        <w:rPr/>
        <w:t>to</w:t>
      </w:r>
      <w:r>
        <w:rPr>
          <w:spacing w:val="-8"/>
        </w:rPr>
        <w:t> </w:t>
      </w:r>
      <w:r>
        <w:rPr/>
        <w:t>the</w:t>
      </w:r>
      <w:r>
        <w:rPr>
          <w:spacing w:val="-9"/>
        </w:rPr>
        <w:t> </w:t>
      </w:r>
      <w:r>
        <w:rPr>
          <w:spacing w:val="-3"/>
        </w:rPr>
        <w:t>71M6543F</w:t>
      </w:r>
      <w:r>
        <w:rPr>
          <w:spacing w:val="-7"/>
        </w:rPr>
        <w:t> </w:t>
      </w:r>
      <w:r>
        <w:rPr/>
        <w:t>and</w:t>
      </w:r>
      <w:r>
        <w:rPr>
          <w:spacing w:val="-9"/>
        </w:rPr>
        <w:t> </w:t>
      </w:r>
      <w:r>
        <w:rPr>
          <w:spacing w:val="-3"/>
        </w:rPr>
        <w:t>71M6543G.</w:t>
      </w:r>
      <w:r>
        <w:rPr>
          <w:spacing w:val="-9"/>
        </w:rPr>
        <w:t> </w:t>
      </w:r>
      <w:r>
        <w:rPr/>
        <w:t>In</w:t>
      </w:r>
      <w:r>
        <w:rPr>
          <w:spacing w:val="-8"/>
        </w:rPr>
        <w:t> </w:t>
      </w:r>
      <w:r>
        <w:rPr>
          <w:spacing w:val="-3"/>
        </w:rPr>
        <w:t>order </w:t>
      </w:r>
      <w:r>
        <w:rPr/>
        <w:t>to</w:t>
      </w:r>
      <w:r>
        <w:rPr>
          <w:spacing w:val="-10"/>
        </w:rPr>
        <w:t> </w:t>
      </w:r>
      <w:r>
        <w:rPr>
          <w:spacing w:val="-3"/>
        </w:rPr>
        <w:t>obtain</w:t>
      </w:r>
      <w:r>
        <w:rPr>
          <w:spacing w:val="-10"/>
        </w:rPr>
        <w:t> </w:t>
      </w:r>
      <w:r>
        <w:rPr/>
        <w:t>TC1</w:t>
      </w:r>
      <w:r>
        <w:rPr>
          <w:spacing w:val="-10"/>
        </w:rPr>
        <w:t> </w:t>
      </w:r>
      <w:r>
        <w:rPr/>
        <w:t>and</w:t>
      </w:r>
      <w:r>
        <w:rPr>
          <w:spacing w:val="-13"/>
        </w:rPr>
        <w:t> </w:t>
      </w:r>
      <w:r>
        <w:rPr/>
        <w:t>TC2,</w:t>
      </w:r>
      <w:r>
        <w:rPr>
          <w:spacing w:val="-10"/>
        </w:rPr>
        <w:t> </w:t>
      </w:r>
      <w:r>
        <w:rPr/>
        <w:t>the</w:t>
      </w:r>
      <w:r>
        <w:rPr>
          <w:spacing w:val="-13"/>
        </w:rPr>
        <w:t> </w:t>
      </w:r>
      <w:r>
        <w:rPr>
          <w:spacing w:val="-3"/>
        </w:rPr>
        <w:t>MPU</w:t>
      </w:r>
      <w:r>
        <w:rPr>
          <w:spacing w:val="-9"/>
        </w:rPr>
        <w:t> </w:t>
      </w:r>
      <w:r>
        <w:rPr>
          <w:spacing w:val="-3"/>
        </w:rPr>
        <w:t>reads</w:t>
      </w:r>
      <w:r>
        <w:rPr>
          <w:spacing w:val="-8"/>
        </w:rPr>
        <w:t> </w:t>
      </w:r>
      <w:r>
        <w:rPr>
          <w:rFonts w:ascii="Times New Roman" w:hAnsi="Times New Roman"/>
          <w:i/>
        </w:rPr>
        <w:t>TRIMT[7:0]</w:t>
      </w:r>
      <w:r>
        <w:rPr>
          <w:rFonts w:ascii="Times New Roman" w:hAnsi="Times New Roman"/>
          <w:i/>
          <w:spacing w:val="3"/>
        </w:rPr>
        <w:t> </w:t>
      </w:r>
      <w:r>
        <w:rPr/>
        <w:t>(</w:t>
      </w:r>
      <w:r>
        <w:rPr>
          <w:rFonts w:ascii="Times New Roman" w:hAnsi="Times New Roman"/>
          <w:i/>
        </w:rPr>
        <w:t>I/O</w:t>
      </w:r>
      <w:r>
        <w:rPr>
          <w:rFonts w:ascii="Times New Roman" w:hAnsi="Times New Roman"/>
          <w:i/>
          <w:spacing w:val="-4"/>
        </w:rPr>
        <w:t> </w:t>
      </w:r>
      <w:r>
        <w:rPr>
          <w:rFonts w:ascii="Times New Roman" w:hAnsi="Times New Roman"/>
          <w:i/>
        </w:rPr>
        <w:t>RAM</w:t>
      </w:r>
      <w:r>
        <w:rPr>
          <w:rFonts w:ascii="Times New Roman" w:hAnsi="Times New Roman"/>
          <w:i/>
          <w:spacing w:val="-4"/>
        </w:rPr>
        <w:t> </w:t>
      </w:r>
      <w:r>
        <w:rPr>
          <w:rFonts w:ascii="Times New Roman" w:hAnsi="Times New Roman"/>
          <w:i/>
        </w:rPr>
        <w:t>0x2309</w:t>
      </w:r>
      <w:r>
        <w:rPr/>
        <w:t>)</w:t>
      </w:r>
      <w:r>
        <w:rPr>
          <w:spacing w:val="-9"/>
        </w:rPr>
        <w:t> </w:t>
      </w:r>
      <w:r>
        <w:rPr/>
        <w:t>and</w:t>
      </w:r>
      <w:r>
        <w:rPr>
          <w:spacing w:val="-10"/>
        </w:rPr>
        <w:t> </w:t>
      </w:r>
      <w:r>
        <w:rPr>
          <w:spacing w:val="-3"/>
        </w:rPr>
        <w:t>uses</w:t>
      </w:r>
      <w:r>
        <w:rPr>
          <w:spacing w:val="-8"/>
        </w:rPr>
        <w:t> </w:t>
      </w:r>
      <w:r>
        <w:rPr/>
        <w:t>the</w:t>
      </w:r>
      <w:r>
        <w:rPr>
          <w:spacing w:val="-12"/>
        </w:rPr>
        <w:t> </w:t>
      </w:r>
      <w:r>
        <w:rPr/>
        <w:t>TC1</w:t>
      </w:r>
      <w:r>
        <w:rPr>
          <w:spacing w:val="-10"/>
        </w:rPr>
        <w:t> </w:t>
      </w:r>
      <w:r>
        <w:rPr/>
        <w:t>and</w:t>
      </w:r>
      <w:r>
        <w:rPr>
          <w:spacing w:val="-13"/>
        </w:rPr>
        <w:t> </w:t>
      </w:r>
      <w:r>
        <w:rPr/>
        <w:t>TC2</w:t>
      </w:r>
      <w:r>
        <w:rPr>
          <w:spacing w:val="-9"/>
        </w:rPr>
        <w:t> </w:t>
      </w:r>
      <w:r>
        <w:rPr>
          <w:spacing w:val="-4"/>
        </w:rPr>
        <w:t>equations </w:t>
      </w:r>
      <w:r>
        <w:rPr>
          <w:spacing w:val="-3"/>
        </w:rPr>
        <w:t>provided. PPMC </w:t>
      </w:r>
      <w:r>
        <w:rPr/>
        <w:t>and </w:t>
      </w:r>
      <w:r>
        <w:rPr>
          <w:spacing w:val="-3"/>
        </w:rPr>
        <w:t>PPMC2 </w:t>
      </w:r>
      <w:r>
        <w:rPr/>
        <w:t>are </w:t>
      </w:r>
      <w:r>
        <w:rPr>
          <w:spacing w:val="-3"/>
        </w:rPr>
        <w:t>then calculated from </w:t>
      </w:r>
      <w:r>
        <w:rPr/>
        <w:t>TC1 and TC2, </w:t>
      </w:r>
      <w:r>
        <w:rPr>
          <w:spacing w:val="-3"/>
        </w:rPr>
        <w:t>as shown. </w:t>
      </w:r>
      <w:r>
        <w:rPr/>
        <w:t>The resulting tracking of the reference voltage (VREF) is </w:t>
      </w:r>
      <w:r>
        <w:rPr>
          <w:spacing w:val="-3"/>
        </w:rPr>
        <w:t>within </w:t>
      </w:r>
      <w:r>
        <w:rPr/>
        <w:t>±40</w:t>
      </w:r>
      <w:r>
        <w:rPr>
          <w:spacing w:val="-25"/>
        </w:rPr>
        <w:t> </w:t>
      </w:r>
      <w:r>
        <w:rPr/>
        <w:t>ppm/°C.</w:t>
      </w:r>
    </w:p>
    <w:p>
      <w:pPr>
        <w:spacing w:before="105"/>
        <w:ind w:left="30" w:right="204" w:firstLine="0"/>
        <w:jc w:val="center"/>
        <w:rPr>
          <w:rFonts w:ascii="Times New Roman" w:hAnsi="Times New Roman"/>
          <w:i/>
          <w:sz w:val="22"/>
        </w:rPr>
      </w:pPr>
      <w:r>
        <w:rPr>
          <w:rFonts w:ascii="Times New Roman" w:hAnsi="Times New Roman"/>
          <w:i/>
          <w:sz w:val="22"/>
        </w:rPr>
        <w:t>TC</w:t>
      </w:r>
      <w:r>
        <w:rPr>
          <w:rFonts w:ascii="Times New Roman" w:hAnsi="Times New Roman"/>
          <w:sz w:val="22"/>
        </w:rPr>
        <w:t>1(</w:t>
      </w:r>
      <w:r>
        <w:rPr>
          <w:rFonts w:ascii="Symbol" w:hAnsi="Symbol"/>
          <w:i/>
          <w:sz w:val="23"/>
        </w:rPr>
        <w:t></w:t>
      </w:r>
      <w:r>
        <w:rPr>
          <w:rFonts w:ascii="Times New Roman" w:hAnsi="Times New Roman"/>
          <w:i/>
          <w:sz w:val="22"/>
        </w:rPr>
        <w:t>V </w:t>
      </w:r>
      <w:r>
        <w:rPr>
          <w:rFonts w:ascii="Times New Roman" w:hAnsi="Times New Roman"/>
          <w:sz w:val="22"/>
        </w:rPr>
        <w:t>/ </w:t>
      </w:r>
      <w:r>
        <w:rPr>
          <w:rFonts w:ascii="Symbol" w:hAnsi="Symbol"/>
          <w:sz w:val="22"/>
        </w:rPr>
        <w:t></w:t>
      </w:r>
      <w:r>
        <w:rPr>
          <w:rFonts w:ascii="Times New Roman" w:hAnsi="Times New Roman"/>
          <w:i/>
          <w:sz w:val="22"/>
        </w:rPr>
        <w:t>C</w:t>
      </w:r>
      <w:r>
        <w:rPr>
          <w:rFonts w:ascii="Times New Roman" w:hAnsi="Times New Roman"/>
          <w:sz w:val="22"/>
        </w:rPr>
        <w:t>) </w:t>
      </w:r>
      <w:r>
        <w:rPr>
          <w:rFonts w:ascii="Symbol" w:hAnsi="Symbol"/>
          <w:sz w:val="22"/>
        </w:rPr>
        <w:t></w:t>
      </w:r>
      <w:r>
        <w:rPr>
          <w:rFonts w:ascii="Times New Roman" w:hAnsi="Times New Roman"/>
          <w:sz w:val="22"/>
        </w:rPr>
        <w:t> 275 </w:t>
      </w:r>
      <w:r>
        <w:rPr>
          <w:rFonts w:ascii="Symbol" w:hAnsi="Symbol"/>
          <w:sz w:val="22"/>
        </w:rPr>
        <w:t></w:t>
      </w:r>
      <w:r>
        <w:rPr>
          <w:rFonts w:ascii="Times New Roman" w:hAnsi="Times New Roman"/>
          <w:sz w:val="22"/>
        </w:rPr>
        <w:t> 4.95 </w:t>
      </w:r>
      <w:r>
        <w:rPr>
          <w:rFonts w:ascii="Symbol" w:hAnsi="Symbol"/>
          <w:sz w:val="22"/>
        </w:rPr>
        <w:t></w:t>
      </w:r>
      <w:r>
        <w:rPr>
          <w:rFonts w:ascii="Times New Roman" w:hAnsi="Times New Roman"/>
          <w:i/>
          <w:sz w:val="22"/>
        </w:rPr>
        <w:t>TRIMT</w:t>
      </w:r>
    </w:p>
    <w:p>
      <w:pPr>
        <w:spacing w:before="180"/>
        <w:ind w:left="28" w:right="204" w:firstLine="0"/>
        <w:jc w:val="center"/>
        <w:rPr>
          <w:rFonts w:ascii="Times New Roman" w:hAnsi="Times New Roman"/>
          <w:i/>
          <w:sz w:val="24"/>
        </w:rPr>
      </w:pPr>
      <w:r>
        <w:rPr>
          <w:rFonts w:ascii="Times New Roman" w:hAnsi="Times New Roman"/>
          <w:i/>
          <w:sz w:val="24"/>
        </w:rPr>
        <w:t>TC </w:t>
      </w:r>
      <w:r>
        <w:rPr>
          <w:rFonts w:ascii="Times New Roman" w:hAnsi="Times New Roman"/>
          <w:sz w:val="24"/>
        </w:rPr>
        <w:t>2(</w:t>
      </w:r>
      <w:r>
        <w:rPr>
          <w:rFonts w:ascii="Symbol" w:hAnsi="Symbol"/>
          <w:i/>
          <w:sz w:val="25"/>
        </w:rPr>
        <w:t></w:t>
      </w:r>
      <w:r>
        <w:rPr>
          <w:rFonts w:ascii="Times New Roman" w:hAnsi="Times New Roman"/>
          <w:i/>
          <w:sz w:val="24"/>
        </w:rPr>
        <w:t>V </w:t>
      </w:r>
      <w:r>
        <w:rPr>
          <w:rFonts w:ascii="Times New Roman" w:hAnsi="Times New Roman"/>
          <w:sz w:val="24"/>
        </w:rPr>
        <w:t>/ </w:t>
      </w:r>
      <w:r>
        <w:rPr>
          <w:rFonts w:ascii="Symbol" w:hAnsi="Symbol"/>
          <w:sz w:val="24"/>
        </w:rPr>
        <w:t></w:t>
      </w:r>
      <w:r>
        <w:rPr>
          <w:rFonts w:ascii="Times New Roman" w:hAnsi="Times New Roman"/>
          <w:i/>
          <w:sz w:val="24"/>
        </w:rPr>
        <w:t>C </w:t>
      </w:r>
      <w:r>
        <w:rPr>
          <w:rFonts w:ascii="Times New Roman" w:hAnsi="Times New Roman"/>
          <w:sz w:val="24"/>
          <w:vertAlign w:val="superscript"/>
        </w:rPr>
        <w:t>2</w:t>
      </w:r>
      <w:r>
        <w:rPr>
          <w:rFonts w:ascii="Times New Roman" w:hAnsi="Times New Roman"/>
          <w:sz w:val="24"/>
          <w:vertAlign w:val="baseline"/>
        </w:rPr>
        <w:t> ) </w:t>
      </w:r>
      <w:r>
        <w:rPr>
          <w:rFonts w:ascii="Symbol" w:hAnsi="Symbol"/>
          <w:sz w:val="24"/>
          <w:vertAlign w:val="baseline"/>
        </w:rPr>
        <w:t></w:t>
      </w:r>
      <w:r>
        <w:rPr>
          <w:rFonts w:ascii="Times New Roman" w:hAnsi="Times New Roman"/>
          <w:sz w:val="24"/>
          <w:vertAlign w:val="baseline"/>
        </w:rPr>
        <w:t> </w:t>
      </w:r>
      <w:r>
        <w:rPr>
          <w:rFonts w:ascii="Symbol" w:hAnsi="Symbol"/>
          <w:sz w:val="24"/>
          <w:vertAlign w:val="baseline"/>
        </w:rPr>
        <w:t></w:t>
      </w:r>
      <w:r>
        <w:rPr>
          <w:rFonts w:ascii="Times New Roman" w:hAnsi="Times New Roman"/>
          <w:sz w:val="24"/>
          <w:vertAlign w:val="baseline"/>
        </w:rPr>
        <w:t>0.557 </w:t>
      </w:r>
      <w:r>
        <w:rPr>
          <w:rFonts w:ascii="Symbol" w:hAnsi="Symbol"/>
          <w:sz w:val="24"/>
          <w:vertAlign w:val="baseline"/>
        </w:rPr>
        <w:t></w:t>
      </w:r>
      <w:r>
        <w:rPr>
          <w:rFonts w:ascii="Times New Roman" w:hAnsi="Times New Roman"/>
          <w:sz w:val="24"/>
          <w:vertAlign w:val="baseline"/>
        </w:rPr>
        <w:t> 0.00028 </w:t>
      </w:r>
      <w:r>
        <w:rPr>
          <w:rFonts w:ascii="Symbol" w:hAnsi="Symbol"/>
          <w:sz w:val="24"/>
          <w:vertAlign w:val="baseline"/>
        </w:rPr>
        <w:t></w:t>
      </w:r>
      <w:r>
        <w:rPr>
          <w:rFonts w:ascii="Times New Roman" w:hAnsi="Times New Roman"/>
          <w:i/>
          <w:sz w:val="24"/>
          <w:vertAlign w:val="baseline"/>
        </w:rPr>
        <w:t>TRIMT</w:t>
      </w:r>
    </w:p>
    <w:p>
      <w:pPr>
        <w:spacing w:before="141"/>
        <w:ind w:left="94" w:right="204" w:firstLine="0"/>
        <w:jc w:val="center"/>
        <w:rPr>
          <w:rFonts w:ascii="Times New Roman" w:hAnsi="Times New Roman"/>
          <w:sz w:val="21"/>
        </w:rPr>
      </w:pPr>
      <w:r>
        <w:rPr>
          <w:rFonts w:ascii="Times New Roman" w:hAnsi="Times New Roman"/>
          <w:i/>
          <w:sz w:val="21"/>
        </w:rPr>
        <w:t>PPMC </w:t>
      </w:r>
      <w:r>
        <w:rPr>
          <w:rFonts w:ascii="Symbol" w:hAnsi="Symbol"/>
          <w:sz w:val="21"/>
        </w:rPr>
        <w:t></w:t>
      </w:r>
      <w:r>
        <w:rPr>
          <w:rFonts w:ascii="Times New Roman" w:hAnsi="Times New Roman"/>
          <w:sz w:val="21"/>
        </w:rPr>
        <w:t> 22.4632 </w:t>
      </w:r>
      <w:r>
        <w:rPr>
          <w:rFonts w:ascii="Symbol" w:hAnsi="Symbol"/>
          <w:sz w:val="21"/>
        </w:rPr>
        <w:t></w:t>
      </w:r>
      <w:r>
        <w:rPr>
          <w:rFonts w:ascii="Times New Roman" w:hAnsi="Times New Roman"/>
          <w:sz w:val="21"/>
        </w:rPr>
        <w:t> </w:t>
      </w:r>
      <w:r>
        <w:rPr>
          <w:rFonts w:ascii="Times New Roman" w:hAnsi="Times New Roman"/>
          <w:i/>
          <w:sz w:val="21"/>
        </w:rPr>
        <w:t>TC</w:t>
      </w:r>
      <w:r>
        <w:rPr>
          <w:rFonts w:ascii="Times New Roman" w:hAnsi="Times New Roman"/>
          <w:sz w:val="21"/>
        </w:rPr>
        <w:t>1</w:t>
      </w:r>
    </w:p>
    <w:p>
      <w:pPr>
        <w:spacing w:before="110"/>
        <w:ind w:left="78" w:right="204" w:firstLine="0"/>
        <w:jc w:val="center"/>
        <w:rPr>
          <w:rFonts w:ascii="Times New Roman" w:hAnsi="Times New Roman"/>
          <w:sz w:val="21"/>
        </w:rPr>
      </w:pPr>
      <w:r>
        <w:rPr>
          <w:rFonts w:ascii="Times New Roman" w:hAnsi="Times New Roman"/>
          <w:i/>
          <w:w w:val="110"/>
          <w:sz w:val="21"/>
        </w:rPr>
        <w:t>PPMC</w:t>
      </w:r>
      <w:r>
        <w:rPr>
          <w:rFonts w:ascii="Times New Roman" w:hAnsi="Times New Roman"/>
          <w:w w:val="110"/>
          <w:sz w:val="21"/>
        </w:rPr>
        <w:t>2 </w:t>
      </w:r>
      <w:r>
        <w:rPr>
          <w:rFonts w:ascii="Symbol" w:hAnsi="Symbol"/>
          <w:w w:val="110"/>
          <w:sz w:val="21"/>
        </w:rPr>
        <w:t></w:t>
      </w:r>
      <w:r>
        <w:rPr>
          <w:rFonts w:ascii="Times New Roman" w:hAnsi="Times New Roman"/>
          <w:w w:val="110"/>
          <w:sz w:val="21"/>
        </w:rPr>
        <w:t> 1150.116 </w:t>
      </w:r>
      <w:r>
        <w:rPr>
          <w:rFonts w:ascii="Symbol" w:hAnsi="Symbol"/>
          <w:sz w:val="21"/>
        </w:rPr>
        <w:t></w:t>
      </w:r>
      <w:r>
        <w:rPr>
          <w:rFonts w:ascii="Times New Roman" w:hAnsi="Times New Roman"/>
          <w:sz w:val="21"/>
        </w:rPr>
        <w:t> </w:t>
      </w:r>
      <w:r>
        <w:rPr>
          <w:rFonts w:ascii="Times New Roman" w:hAnsi="Times New Roman"/>
          <w:i/>
          <w:w w:val="110"/>
          <w:sz w:val="21"/>
        </w:rPr>
        <w:t>TC </w:t>
      </w:r>
      <w:r>
        <w:rPr>
          <w:rFonts w:ascii="Times New Roman" w:hAnsi="Times New Roman"/>
          <w:w w:val="110"/>
          <w:sz w:val="21"/>
        </w:rPr>
        <w:t>2</w:t>
      </w:r>
    </w:p>
    <w:p>
      <w:pPr>
        <w:pStyle w:val="BodyText"/>
        <w:spacing w:before="115"/>
        <w:ind w:left="239"/>
      </w:pPr>
      <w:r>
        <w:rPr/>
        <w:t>See </w:t>
      </w:r>
      <w:hyperlink w:history="true" w:anchor="_bookmark186">
        <w:r>
          <w:rPr>
            <w:color w:val="0000FF"/>
          </w:rPr>
          <w:t>4.5.4 </w:t>
        </w:r>
      </w:hyperlink>
      <w:r>
        <w:rPr/>
        <w:t>and </w:t>
      </w:r>
      <w:hyperlink w:history="true" w:anchor="_bookmark188">
        <w:r>
          <w:rPr>
            <w:color w:val="0000FF"/>
          </w:rPr>
          <w:t>4.5.5 </w:t>
        </w:r>
      </w:hyperlink>
      <w:r>
        <w:rPr/>
        <w:t>below for further temperature compensation details.</w:t>
      </w:r>
    </w:p>
    <w:p>
      <w:pPr>
        <w:spacing w:after="0"/>
        <w:sectPr>
          <w:pgSz w:w="12240" w:h="15840"/>
          <w:pgMar w:header="727" w:footer="819" w:top="960" w:bottom="1000" w:left="1200" w:right="1060"/>
        </w:sectPr>
      </w:pPr>
    </w:p>
    <w:p>
      <w:pPr>
        <w:pStyle w:val="BodyText"/>
        <w:spacing w:before="5"/>
        <w:rPr>
          <w:sz w:val="16"/>
        </w:rPr>
      </w:pPr>
    </w:p>
    <w:p>
      <w:pPr>
        <w:pStyle w:val="ListParagraph"/>
        <w:numPr>
          <w:ilvl w:val="2"/>
          <w:numId w:val="27"/>
        </w:numPr>
        <w:tabs>
          <w:tab w:pos="959" w:val="left" w:leader="none"/>
          <w:tab w:pos="960" w:val="left" w:leader="none"/>
        </w:tabs>
        <w:spacing w:line="240" w:lineRule="auto" w:before="94" w:after="0"/>
        <w:ind w:left="959" w:right="0" w:hanging="720"/>
        <w:jc w:val="left"/>
        <w:rPr>
          <w:b/>
          <w:sz w:val="22"/>
        </w:rPr>
      </w:pPr>
      <w:bookmarkStart w:name="4.5.3 Temperature Coefficients for the 7" w:id="376"/>
      <w:bookmarkEnd w:id="376"/>
      <w:r>
        <w:rPr/>
      </w:r>
      <w:bookmarkStart w:name="_bookmark185" w:id="377"/>
      <w:bookmarkEnd w:id="377"/>
      <w:r>
        <w:rPr/>
      </w:r>
      <w:bookmarkStart w:name="_bookmark185" w:id="378"/>
      <w:bookmarkEnd w:id="378"/>
      <w:r>
        <w:rPr>
          <w:b/>
          <w:sz w:val="22"/>
        </w:rPr>
        <w:t>T</w:t>
      </w:r>
      <w:r>
        <w:rPr>
          <w:b/>
          <w:sz w:val="22"/>
        </w:rPr>
        <w:t>emperature Coefficients for the</w:t>
      </w:r>
      <w:r>
        <w:rPr>
          <w:b/>
          <w:spacing w:val="-1"/>
          <w:sz w:val="22"/>
        </w:rPr>
        <w:t> </w:t>
      </w:r>
      <w:r>
        <w:rPr>
          <w:b/>
          <w:sz w:val="22"/>
        </w:rPr>
        <w:t>71M6xx3</w:t>
      </w:r>
    </w:p>
    <w:p>
      <w:pPr>
        <w:pStyle w:val="BodyText"/>
        <w:spacing w:before="121"/>
        <w:ind w:left="240" w:right="401"/>
      </w:pPr>
      <w:r>
        <w:rPr/>
        <w:t>Refer to the 71M6xxx Data sheet for the equations that are applicable to each 71M6xx3 part number and the corresponding temperature coefficients.</w:t>
      </w:r>
    </w:p>
    <w:p>
      <w:pPr>
        <w:pStyle w:val="ListParagraph"/>
        <w:numPr>
          <w:ilvl w:val="2"/>
          <w:numId w:val="27"/>
        </w:numPr>
        <w:tabs>
          <w:tab w:pos="959" w:val="left" w:leader="none"/>
          <w:tab w:pos="960" w:val="left" w:leader="none"/>
        </w:tabs>
        <w:spacing w:line="240" w:lineRule="auto" w:before="107" w:after="0"/>
        <w:ind w:left="959" w:right="0" w:hanging="720"/>
        <w:jc w:val="left"/>
        <w:rPr>
          <w:b/>
          <w:sz w:val="22"/>
        </w:rPr>
      </w:pPr>
      <w:bookmarkStart w:name="4.5.4 Temperature Compensation for VREF " w:id="379"/>
      <w:bookmarkEnd w:id="379"/>
      <w:r>
        <w:rPr/>
      </w:r>
      <w:bookmarkStart w:name="_bookmark186" w:id="380"/>
      <w:bookmarkEnd w:id="380"/>
      <w:r>
        <w:rPr/>
      </w:r>
      <w:bookmarkStart w:name="_bookmark186" w:id="381"/>
      <w:bookmarkEnd w:id="381"/>
      <w:r>
        <w:rPr>
          <w:b/>
          <w:sz w:val="22"/>
        </w:rPr>
        <w:t>T</w:t>
      </w:r>
      <w:r>
        <w:rPr>
          <w:b/>
          <w:sz w:val="22"/>
        </w:rPr>
        <w:t>emperature Compensation for VREF and Shunt</w:t>
      </w:r>
      <w:r>
        <w:rPr>
          <w:b/>
          <w:spacing w:val="-3"/>
          <w:sz w:val="22"/>
        </w:rPr>
        <w:t> </w:t>
      </w:r>
      <w:r>
        <w:rPr>
          <w:b/>
          <w:sz w:val="22"/>
        </w:rPr>
        <w:t>Sensors</w:t>
      </w:r>
    </w:p>
    <w:p>
      <w:pPr>
        <w:pStyle w:val="BodyText"/>
        <w:spacing w:before="102"/>
        <w:ind w:left="240" w:right="401"/>
      </w:pPr>
      <w:r>
        <w:rPr/>
        <w:t>This section discusses metrology temperature compensation for the meter designs where current shunt sensors are used in conjunction with the 71M6xx3 remote isolated sensors, as shown in </w:t>
      </w:r>
      <w:hyperlink w:history="true" w:anchor="_bookmark179">
        <w:r>
          <w:rPr>
            <w:color w:val="0000FF"/>
          </w:rPr>
          <w:t>Figure 31.</w:t>
        </w:r>
      </w:hyperlink>
    </w:p>
    <w:p>
      <w:pPr>
        <w:pStyle w:val="BodyText"/>
        <w:spacing w:line="230" w:lineRule="auto" w:before="118"/>
        <w:ind w:left="239" w:right="368"/>
      </w:pPr>
      <w:r>
        <w:rPr/>
        <w:t>Sensors that are directly connected to the 71M6543 are affected by the voltage variation in the 71M6543 VREF due to temperature. On the other hand, shunt sensors that are connected to 71M6xx3 remote sensor are affected by the VREF in the 71M6xx3. The VREF in both the 71M6543 and 71M6xx3 can be compensated digitally using a second-order polynomial function of temperature. The 71M6543 and 71M6xx3 feature temperature sensors for the purposes of temperature compensating their corresponding VREF. The compensation computations must be implemented in MPU firmware.</w:t>
      </w:r>
    </w:p>
    <w:p>
      <w:pPr>
        <w:pStyle w:val="BodyText"/>
        <w:spacing w:line="230" w:lineRule="auto" w:before="118"/>
        <w:ind w:left="238" w:right="417" w:firstLine="1"/>
      </w:pPr>
      <w:r>
        <w:rPr/>
        <w:t>Referring to </w:t>
      </w:r>
      <w:hyperlink w:history="true" w:anchor="_bookmark179">
        <w:r>
          <w:rPr>
            <w:color w:val="0000FF"/>
          </w:rPr>
          <w:t>Figure 31</w:t>
        </w:r>
        <w:r>
          <w:rPr/>
          <w:t>, </w:t>
        </w:r>
      </w:hyperlink>
      <w:r>
        <w:rPr/>
        <w:t>the VADC8 (VA), VADC9 (VB) and VADC10 (VC) voltage sensors are always directly connected to the 71M6543. Thus, the precision of the </w:t>
      </w:r>
      <w:r>
        <w:rPr>
          <w:spacing w:val="-3"/>
        </w:rPr>
        <w:t>voltage sensors </w:t>
      </w:r>
      <w:r>
        <w:rPr/>
        <w:t>is </w:t>
      </w:r>
      <w:r>
        <w:rPr>
          <w:spacing w:val="-3"/>
        </w:rPr>
        <w:t>primarily affected by VREF </w:t>
      </w:r>
      <w:r>
        <w:rPr/>
        <w:t>in the </w:t>
      </w:r>
      <w:r>
        <w:rPr>
          <w:spacing w:val="-3"/>
        </w:rPr>
        <w:t>71M6543. </w:t>
      </w:r>
      <w:r>
        <w:rPr/>
        <w:t>The </w:t>
      </w:r>
      <w:r>
        <w:rPr>
          <w:spacing w:val="-3"/>
        </w:rPr>
        <w:t>temperature coefficient of the resistors used </w:t>
      </w:r>
      <w:r>
        <w:rPr/>
        <w:t>to </w:t>
      </w:r>
      <w:r>
        <w:rPr>
          <w:spacing w:val="-3"/>
        </w:rPr>
        <w:t>implement </w:t>
      </w:r>
      <w:r>
        <w:rPr/>
        <w:t>the </w:t>
      </w:r>
      <w:r>
        <w:rPr>
          <w:spacing w:val="-3"/>
        </w:rPr>
        <w:t>voltage dividers </w:t>
      </w:r>
      <w:r>
        <w:rPr/>
        <w:t>for the </w:t>
      </w:r>
      <w:r>
        <w:rPr>
          <w:spacing w:val="-3"/>
        </w:rPr>
        <w:t>voltage sensors (see </w:t>
      </w:r>
      <w:hyperlink w:history="true" w:anchor="_bookmark174">
        <w:r>
          <w:rPr>
            <w:color w:val="0000FF"/>
          </w:rPr>
          <w:t>Figure 27</w:t>
        </w:r>
      </w:hyperlink>
      <w:r>
        <w:rPr/>
        <w:t>) </w:t>
      </w:r>
      <w:r>
        <w:rPr>
          <w:spacing w:val="-3"/>
        </w:rPr>
        <w:t>determine </w:t>
      </w:r>
      <w:r>
        <w:rPr/>
        <w:t>the </w:t>
      </w:r>
      <w:r>
        <w:rPr>
          <w:spacing w:val="-3"/>
        </w:rPr>
        <w:t>behavior </w:t>
      </w:r>
      <w:r>
        <w:rPr/>
        <w:t>of the </w:t>
      </w:r>
      <w:r>
        <w:rPr>
          <w:spacing w:val="-3"/>
        </w:rPr>
        <w:t>voltage division ratio with respect </w:t>
      </w:r>
      <w:r>
        <w:rPr/>
        <w:t>to </w:t>
      </w:r>
      <w:r>
        <w:rPr>
          <w:spacing w:val="-3"/>
        </w:rPr>
        <w:t>temperature. </w:t>
      </w:r>
      <w:r>
        <w:rPr/>
        <w:t>It is </w:t>
      </w:r>
      <w:r>
        <w:rPr>
          <w:spacing w:val="-3"/>
        </w:rPr>
        <w:t>recommended </w:t>
      </w:r>
      <w:r>
        <w:rPr/>
        <w:t>to use </w:t>
      </w:r>
      <w:r>
        <w:rPr>
          <w:spacing w:val="-3"/>
        </w:rPr>
        <w:t>resistors with </w:t>
      </w:r>
      <w:r>
        <w:rPr/>
        <w:t>low </w:t>
      </w:r>
      <w:r>
        <w:rPr>
          <w:spacing w:val="-3"/>
        </w:rPr>
        <w:t>temperature coefficients, </w:t>
      </w:r>
      <w:r>
        <w:rPr>
          <w:spacing w:val="-4"/>
        </w:rPr>
        <w:t>while </w:t>
      </w:r>
      <w:r>
        <w:rPr/>
        <w:t>forming the </w:t>
      </w:r>
      <w:r>
        <w:rPr>
          <w:spacing w:val="-3"/>
        </w:rPr>
        <w:t>entire voltage divider using resistors belonging </w:t>
      </w:r>
      <w:r>
        <w:rPr/>
        <w:t>to the same </w:t>
      </w:r>
      <w:r>
        <w:rPr>
          <w:spacing w:val="-3"/>
        </w:rPr>
        <w:t>technology family, </w:t>
      </w:r>
      <w:r>
        <w:rPr/>
        <w:t>in </w:t>
      </w:r>
      <w:r>
        <w:rPr>
          <w:spacing w:val="-3"/>
        </w:rPr>
        <w:t>order </w:t>
      </w:r>
      <w:r>
        <w:rPr/>
        <w:t>to </w:t>
      </w:r>
      <w:r>
        <w:rPr>
          <w:spacing w:val="-3"/>
        </w:rPr>
        <w:t>minimize </w:t>
      </w:r>
      <w:r>
        <w:rPr/>
        <w:t>the </w:t>
      </w:r>
      <w:r>
        <w:rPr>
          <w:spacing w:val="-3"/>
        </w:rPr>
        <w:t>temperature dependency </w:t>
      </w:r>
      <w:r>
        <w:rPr/>
        <w:t>of the </w:t>
      </w:r>
      <w:r>
        <w:rPr>
          <w:spacing w:val="-3"/>
        </w:rPr>
        <w:t>voltage division ratio. </w:t>
      </w:r>
      <w:r>
        <w:rPr/>
        <w:t>The </w:t>
      </w:r>
      <w:r>
        <w:rPr>
          <w:spacing w:val="-3"/>
        </w:rPr>
        <w:t>resistors </w:t>
      </w:r>
      <w:r>
        <w:rPr/>
        <w:t>must </w:t>
      </w:r>
      <w:r>
        <w:rPr>
          <w:spacing w:val="-3"/>
        </w:rPr>
        <w:t>also have suitable voltage ratings.</w:t>
      </w:r>
    </w:p>
    <w:p>
      <w:pPr>
        <w:pStyle w:val="BodyText"/>
        <w:spacing w:line="230" w:lineRule="auto" w:before="117"/>
        <w:ind w:left="238" w:right="552"/>
      </w:pPr>
      <w:r>
        <w:rPr/>
        <w:t>The </w:t>
      </w:r>
      <w:r>
        <w:rPr>
          <w:spacing w:val="-3"/>
        </w:rPr>
        <w:t>71M6543 also </w:t>
      </w:r>
      <w:r>
        <w:rPr/>
        <w:t>may have one </w:t>
      </w:r>
      <w:r>
        <w:rPr>
          <w:spacing w:val="-3"/>
        </w:rPr>
        <w:t>local current shunt sensor that </w:t>
      </w:r>
      <w:r>
        <w:rPr/>
        <w:t>is connected directly to it via the IADC0- IADC1 input pins, and therefore this local current sensor is also affected by the VREF in the 71M6543. The shunt current </w:t>
      </w:r>
      <w:r>
        <w:rPr>
          <w:spacing w:val="2"/>
        </w:rPr>
        <w:t>sensor resistance </w:t>
      </w:r>
      <w:r>
        <w:rPr/>
        <w:t>has a </w:t>
      </w:r>
      <w:r>
        <w:rPr>
          <w:spacing w:val="2"/>
        </w:rPr>
        <w:t>temperature dependency, which </w:t>
      </w:r>
      <w:r>
        <w:rPr/>
        <w:t>also </w:t>
      </w:r>
      <w:r>
        <w:rPr>
          <w:spacing w:val="3"/>
        </w:rPr>
        <w:t>may </w:t>
      </w:r>
      <w:r>
        <w:rPr>
          <w:spacing w:val="2"/>
        </w:rPr>
        <w:t>require compensation, depending </w:t>
      </w:r>
      <w:r>
        <w:rPr/>
        <w:t>on the </w:t>
      </w:r>
      <w:r>
        <w:rPr>
          <w:spacing w:val="2"/>
        </w:rPr>
        <w:t>required accuracy class.</w:t>
      </w:r>
    </w:p>
    <w:p>
      <w:pPr>
        <w:pStyle w:val="BodyText"/>
        <w:spacing w:line="228" w:lineRule="auto" w:before="122"/>
        <w:ind w:left="237" w:right="604"/>
      </w:pPr>
      <w:r>
        <w:rPr/>
        <w:t>The </w:t>
      </w:r>
      <w:r>
        <w:rPr>
          <w:spacing w:val="-4"/>
        </w:rPr>
        <w:t>IADC2-IADC3, IADC4-IADC5 </w:t>
      </w:r>
      <w:r>
        <w:rPr/>
        <w:t>and </w:t>
      </w:r>
      <w:r>
        <w:rPr>
          <w:spacing w:val="-3"/>
        </w:rPr>
        <w:t>IADC6-IADC7 current sensors </w:t>
      </w:r>
      <w:r>
        <w:rPr/>
        <w:t>are </w:t>
      </w:r>
      <w:r>
        <w:rPr>
          <w:spacing w:val="-3"/>
        </w:rPr>
        <w:t>isolated </w:t>
      </w:r>
      <w:r>
        <w:rPr/>
        <w:t>by the </w:t>
      </w:r>
      <w:r>
        <w:rPr>
          <w:spacing w:val="-3"/>
        </w:rPr>
        <w:t>71M6xx3 and depend </w:t>
      </w:r>
      <w:r>
        <w:rPr/>
        <w:t>on the </w:t>
      </w:r>
      <w:r>
        <w:rPr>
          <w:spacing w:val="-3"/>
        </w:rPr>
        <w:t>VREF </w:t>
      </w:r>
      <w:r>
        <w:rPr/>
        <w:t>of the </w:t>
      </w:r>
      <w:r>
        <w:rPr>
          <w:spacing w:val="-3"/>
        </w:rPr>
        <w:t>71M6xx3, plus </w:t>
      </w:r>
      <w:r>
        <w:rPr/>
        <w:t>the </w:t>
      </w:r>
      <w:r>
        <w:rPr>
          <w:spacing w:val="-3"/>
        </w:rPr>
        <w:t>variation </w:t>
      </w:r>
      <w:r>
        <w:rPr/>
        <w:t>of the </w:t>
      </w:r>
      <w:r>
        <w:rPr>
          <w:spacing w:val="-3"/>
        </w:rPr>
        <w:t>corresponding remote shunt current sensor with temperature.</w:t>
      </w:r>
    </w:p>
    <w:p>
      <w:pPr>
        <w:pStyle w:val="BodyText"/>
        <w:spacing w:line="230" w:lineRule="auto" w:before="122"/>
        <w:ind w:left="237" w:right="401"/>
      </w:pPr>
      <w:r>
        <w:rPr/>
        <w:t>The</w:t>
      </w:r>
      <w:r>
        <w:rPr>
          <w:spacing w:val="-17"/>
        </w:rPr>
        <w:t> </w:t>
      </w:r>
      <w:r>
        <w:rPr/>
        <w:t>MPU</w:t>
      </w:r>
      <w:r>
        <w:rPr>
          <w:spacing w:val="-14"/>
        </w:rPr>
        <w:t> </w:t>
      </w:r>
      <w:r>
        <w:rPr/>
        <w:t>has</w:t>
      </w:r>
      <w:r>
        <w:rPr>
          <w:spacing w:val="-13"/>
        </w:rPr>
        <w:t> </w:t>
      </w:r>
      <w:r>
        <w:rPr/>
        <w:t>the</w:t>
      </w:r>
      <w:r>
        <w:rPr>
          <w:spacing w:val="-16"/>
        </w:rPr>
        <w:t> </w:t>
      </w:r>
      <w:r>
        <w:rPr/>
        <w:t>responsibility</w:t>
      </w:r>
      <w:r>
        <w:rPr>
          <w:spacing w:val="-17"/>
        </w:rPr>
        <w:t> </w:t>
      </w:r>
      <w:r>
        <w:rPr/>
        <w:t>of</w:t>
      </w:r>
      <w:r>
        <w:rPr>
          <w:spacing w:val="-14"/>
        </w:rPr>
        <w:t> </w:t>
      </w:r>
      <w:r>
        <w:rPr/>
        <w:t>computing</w:t>
      </w:r>
      <w:r>
        <w:rPr>
          <w:spacing w:val="-16"/>
        </w:rPr>
        <w:t> </w:t>
      </w:r>
      <w:r>
        <w:rPr/>
        <w:t>the</w:t>
      </w:r>
      <w:r>
        <w:rPr>
          <w:spacing w:val="-15"/>
        </w:rPr>
        <w:t> </w:t>
      </w:r>
      <w:r>
        <w:rPr/>
        <w:t>necessary</w:t>
      </w:r>
      <w:r>
        <w:rPr>
          <w:spacing w:val="-18"/>
        </w:rPr>
        <w:t> </w:t>
      </w:r>
      <w:r>
        <w:rPr/>
        <w:t>sample</w:t>
      </w:r>
      <w:r>
        <w:rPr>
          <w:spacing w:val="-15"/>
        </w:rPr>
        <w:t> </w:t>
      </w:r>
      <w:r>
        <w:rPr/>
        <w:t>gain</w:t>
      </w:r>
      <w:r>
        <w:rPr>
          <w:spacing w:val="-16"/>
        </w:rPr>
        <w:t> </w:t>
      </w:r>
      <w:r>
        <w:rPr/>
        <w:t>compensation</w:t>
      </w:r>
      <w:r>
        <w:rPr>
          <w:spacing w:val="-15"/>
        </w:rPr>
        <w:t> </w:t>
      </w:r>
      <w:r>
        <w:rPr>
          <w:spacing w:val="-3"/>
        </w:rPr>
        <w:t>values</w:t>
      </w:r>
      <w:r>
        <w:rPr>
          <w:spacing w:val="-13"/>
        </w:rPr>
        <w:t> </w:t>
      </w:r>
      <w:r>
        <w:rPr/>
        <w:t>required</w:t>
      </w:r>
      <w:r>
        <w:rPr>
          <w:spacing w:val="-16"/>
        </w:rPr>
        <w:t> </w:t>
      </w:r>
      <w:r>
        <w:rPr>
          <w:spacing w:val="-3"/>
        </w:rPr>
        <w:t>for </w:t>
      </w:r>
      <w:r>
        <w:rPr/>
        <w:t>each sensor channel based on the sensed temperature. Maxim provides demonstration code that implements the </w:t>
      </w:r>
      <w:r>
        <w:rPr>
          <w:rFonts w:ascii="Times New Roman"/>
          <w:i/>
        </w:rPr>
        <w:t>GAIN_ADJx </w:t>
      </w:r>
      <w:r>
        <w:rPr/>
        <w:t>compensation equation shown below. The resulting </w:t>
      </w:r>
      <w:r>
        <w:rPr>
          <w:rFonts w:ascii="Times New Roman"/>
          <w:i/>
        </w:rPr>
        <w:t>GAIN_ADJx </w:t>
      </w:r>
      <w:r>
        <w:rPr/>
        <w:t>values are stored by the MPU in five CE RAM locations </w:t>
      </w:r>
      <w:r>
        <w:rPr>
          <w:rFonts w:ascii="Times New Roman"/>
          <w:i/>
        </w:rPr>
        <w:t>GAIN_ADJ0-GAIN_ADJ5 </w:t>
      </w:r>
      <w:r>
        <w:rPr/>
        <w:t>(</w:t>
      </w:r>
      <w:r>
        <w:rPr>
          <w:rFonts w:ascii="Times New Roman"/>
          <w:i/>
        </w:rPr>
        <w:t>CE RAM 0x40-0x44</w:t>
      </w:r>
      <w:r>
        <w:rPr/>
        <w:t>). The </w:t>
      </w:r>
      <w:r>
        <w:rPr>
          <w:spacing w:val="-3"/>
        </w:rPr>
        <w:t>demonstration </w:t>
      </w:r>
      <w:r>
        <w:rPr/>
        <w:t>code thus provides a suitable implementation of temperature compensation, but other methods are possible in MPU firmware by </w:t>
      </w:r>
      <w:r>
        <w:rPr>
          <w:spacing w:val="-3"/>
        </w:rPr>
        <w:t>utilizing </w:t>
      </w:r>
      <w:r>
        <w:rPr/>
        <w:t>the on-chip temperature sensors </w:t>
      </w:r>
      <w:r>
        <w:rPr>
          <w:spacing w:val="-3"/>
        </w:rPr>
        <w:t>while </w:t>
      </w:r>
      <w:r>
        <w:rPr/>
        <w:t>storing </w:t>
      </w:r>
      <w:r>
        <w:rPr>
          <w:spacing w:val="-3"/>
        </w:rPr>
        <w:t>the </w:t>
      </w:r>
      <w:r>
        <w:rPr/>
        <w:t>sample gain adjustment results in the CE RAM </w:t>
      </w:r>
      <w:r>
        <w:rPr>
          <w:rFonts w:ascii="Times New Roman"/>
          <w:i/>
        </w:rPr>
        <w:t>GAIN_ADJx </w:t>
      </w:r>
      <w:r>
        <w:rPr/>
        <w:t>storage </w:t>
      </w:r>
      <w:r>
        <w:rPr>
          <w:spacing w:val="-3"/>
        </w:rPr>
        <w:t>locations </w:t>
      </w:r>
      <w:r>
        <w:rPr/>
        <w:t>for use by the CE. The demonstration code maintains five separate sets of </w:t>
      </w:r>
      <w:r>
        <w:rPr>
          <w:i/>
        </w:rPr>
        <w:t>PPMC </w:t>
      </w:r>
      <w:r>
        <w:rPr/>
        <w:t>and </w:t>
      </w:r>
      <w:r>
        <w:rPr>
          <w:i/>
        </w:rPr>
        <w:t>PPMC2 </w:t>
      </w:r>
      <w:r>
        <w:rPr/>
        <w:t>coefficients and computes five separate </w:t>
      </w:r>
      <w:r>
        <w:rPr>
          <w:rFonts w:ascii="Times New Roman"/>
          <w:i/>
        </w:rPr>
        <w:t>GAIN_ADJx </w:t>
      </w:r>
      <w:r>
        <w:rPr/>
        <w:t>values based on the sensed temperature using the equation</w:t>
      </w:r>
      <w:r>
        <w:rPr>
          <w:spacing w:val="-10"/>
        </w:rPr>
        <w:t> </w:t>
      </w:r>
      <w:r>
        <w:rPr/>
        <w:t>below:</w:t>
      </w:r>
    </w:p>
    <w:p>
      <w:pPr>
        <w:spacing w:after="0" w:line="230" w:lineRule="auto"/>
        <w:sectPr>
          <w:pgSz w:w="12240" w:h="15840"/>
          <w:pgMar w:header="727" w:footer="819" w:top="960" w:bottom="1000" w:left="1200" w:right="1060"/>
        </w:sectPr>
      </w:pPr>
    </w:p>
    <w:p>
      <w:pPr>
        <w:pStyle w:val="BodyText"/>
        <w:spacing w:before="9"/>
        <w:rPr>
          <w:sz w:val="27"/>
        </w:rPr>
      </w:pPr>
    </w:p>
    <w:p>
      <w:pPr>
        <w:spacing w:line="205" w:lineRule="exact" w:before="0"/>
        <w:ind w:left="1439" w:right="0" w:firstLine="0"/>
        <w:jc w:val="left"/>
        <w:rPr>
          <w:rFonts w:ascii="Symbol" w:hAnsi="Symbol"/>
          <w:sz w:val="25"/>
        </w:rPr>
      </w:pPr>
      <w:r>
        <w:rPr>
          <w:rFonts w:ascii="Times New Roman" w:hAnsi="Times New Roman"/>
          <w:i/>
          <w:w w:val="95"/>
          <w:sz w:val="25"/>
        </w:rPr>
        <w:t>GAIN</w:t>
      </w:r>
      <w:r>
        <w:rPr>
          <w:rFonts w:ascii="Times New Roman" w:hAnsi="Times New Roman"/>
          <w:i/>
          <w:spacing w:val="-21"/>
          <w:w w:val="95"/>
          <w:sz w:val="25"/>
        </w:rPr>
        <w:t> </w:t>
      </w:r>
      <w:r>
        <w:rPr>
          <w:rFonts w:ascii="Times New Roman" w:hAnsi="Times New Roman"/>
          <w:w w:val="95"/>
          <w:sz w:val="25"/>
        </w:rPr>
        <w:t>_</w:t>
      </w:r>
      <w:r>
        <w:rPr>
          <w:rFonts w:ascii="Times New Roman" w:hAnsi="Times New Roman"/>
          <w:spacing w:val="-20"/>
          <w:w w:val="95"/>
          <w:sz w:val="25"/>
        </w:rPr>
        <w:t> </w:t>
      </w:r>
      <w:r>
        <w:rPr>
          <w:rFonts w:ascii="Times New Roman" w:hAnsi="Times New Roman"/>
          <w:i/>
          <w:w w:val="95"/>
          <w:sz w:val="25"/>
        </w:rPr>
        <w:t>ADJx</w:t>
      </w:r>
      <w:r>
        <w:rPr>
          <w:rFonts w:ascii="Times New Roman" w:hAnsi="Times New Roman"/>
          <w:i/>
          <w:spacing w:val="-23"/>
          <w:w w:val="95"/>
          <w:sz w:val="25"/>
        </w:rPr>
        <w:t> </w:t>
      </w:r>
      <w:r>
        <w:rPr>
          <w:rFonts w:ascii="Symbol" w:hAnsi="Symbol"/>
          <w:w w:val="95"/>
          <w:sz w:val="25"/>
        </w:rPr>
        <w:t></w:t>
      </w:r>
      <w:r>
        <w:rPr>
          <w:rFonts w:ascii="Times New Roman" w:hAnsi="Times New Roman"/>
          <w:spacing w:val="-39"/>
          <w:w w:val="95"/>
          <w:sz w:val="25"/>
        </w:rPr>
        <w:t> </w:t>
      </w:r>
      <w:r>
        <w:rPr>
          <w:rFonts w:ascii="Times New Roman" w:hAnsi="Times New Roman"/>
          <w:w w:val="95"/>
          <w:sz w:val="25"/>
        </w:rPr>
        <w:t>16385</w:t>
      </w:r>
      <w:r>
        <w:rPr>
          <w:rFonts w:ascii="Times New Roman" w:hAnsi="Times New Roman"/>
          <w:spacing w:val="-39"/>
          <w:w w:val="95"/>
          <w:sz w:val="25"/>
        </w:rPr>
        <w:t> </w:t>
      </w:r>
      <w:r>
        <w:rPr>
          <w:rFonts w:ascii="Symbol" w:hAnsi="Symbol"/>
          <w:spacing w:val="-14"/>
          <w:w w:val="95"/>
          <w:sz w:val="25"/>
        </w:rPr>
        <w:t></w:t>
      </w:r>
    </w:p>
    <w:p>
      <w:pPr>
        <w:spacing w:before="156"/>
        <w:ind w:left="-5" w:right="0" w:firstLine="0"/>
        <w:jc w:val="left"/>
        <w:rPr>
          <w:rFonts w:ascii="Times New Roman" w:hAnsi="Times New Roman"/>
          <w:i/>
          <w:sz w:val="25"/>
        </w:rPr>
      </w:pPr>
      <w:r>
        <w:rPr/>
        <w:br w:type="column"/>
      </w:r>
      <w:r>
        <w:rPr>
          <w:rFonts w:ascii="Times New Roman" w:hAnsi="Times New Roman"/>
          <w:w w:val="90"/>
          <w:sz w:val="25"/>
        </w:rPr>
        <w:t>10</w:t>
      </w:r>
      <w:r>
        <w:rPr>
          <w:rFonts w:ascii="Times New Roman" w:hAnsi="Times New Roman"/>
          <w:spacing w:val="-35"/>
          <w:w w:val="90"/>
          <w:sz w:val="25"/>
        </w:rPr>
        <w:t> </w:t>
      </w:r>
      <w:r>
        <w:rPr>
          <w:rFonts w:ascii="Symbol" w:hAnsi="Symbol"/>
          <w:spacing w:val="2"/>
          <w:w w:val="90"/>
          <w:sz w:val="25"/>
        </w:rPr>
        <w:t></w:t>
      </w:r>
      <w:r>
        <w:rPr>
          <w:rFonts w:ascii="Times New Roman" w:hAnsi="Times New Roman"/>
          <w:i/>
          <w:spacing w:val="2"/>
          <w:w w:val="90"/>
          <w:sz w:val="25"/>
        </w:rPr>
        <w:t>TEMP</w:t>
      </w:r>
      <w:r>
        <w:rPr>
          <w:rFonts w:ascii="Times New Roman" w:hAnsi="Times New Roman"/>
          <w:i/>
          <w:spacing w:val="-19"/>
          <w:w w:val="90"/>
          <w:sz w:val="25"/>
        </w:rPr>
        <w:t> </w:t>
      </w:r>
      <w:r>
        <w:rPr>
          <w:rFonts w:ascii="Times New Roman" w:hAnsi="Times New Roman"/>
          <w:w w:val="90"/>
          <w:sz w:val="25"/>
        </w:rPr>
        <w:t>_</w:t>
      </w:r>
      <w:r>
        <w:rPr>
          <w:rFonts w:ascii="Times New Roman" w:hAnsi="Times New Roman"/>
          <w:spacing w:val="-3"/>
          <w:w w:val="90"/>
          <w:sz w:val="25"/>
        </w:rPr>
        <w:t> </w:t>
      </w:r>
      <w:r>
        <w:rPr>
          <w:rFonts w:ascii="Times New Roman" w:hAnsi="Times New Roman"/>
          <w:i/>
          <w:w w:val="90"/>
          <w:sz w:val="25"/>
        </w:rPr>
        <w:t>X</w:t>
      </w:r>
      <w:r>
        <w:rPr>
          <w:rFonts w:ascii="Times New Roman" w:hAnsi="Times New Roman"/>
          <w:i/>
          <w:spacing w:val="1"/>
          <w:w w:val="90"/>
          <w:sz w:val="25"/>
        </w:rPr>
        <w:t> </w:t>
      </w:r>
      <w:r>
        <w:rPr>
          <w:rFonts w:ascii="Symbol" w:hAnsi="Symbol"/>
          <w:w w:val="90"/>
          <w:sz w:val="25"/>
        </w:rPr>
        <w:t></w:t>
      </w:r>
      <w:r>
        <w:rPr>
          <w:rFonts w:ascii="Times New Roman" w:hAnsi="Times New Roman"/>
          <w:spacing w:val="-26"/>
          <w:w w:val="90"/>
          <w:sz w:val="25"/>
        </w:rPr>
        <w:t> </w:t>
      </w:r>
      <w:r>
        <w:rPr>
          <w:rFonts w:ascii="Times New Roman" w:hAnsi="Times New Roman"/>
          <w:i/>
          <w:w w:val="90"/>
          <w:sz w:val="25"/>
        </w:rPr>
        <w:t>PPMC</w:t>
      </w:r>
    </w:p>
    <w:p>
      <w:pPr>
        <w:pStyle w:val="BodyText"/>
        <w:spacing w:before="4"/>
        <w:rPr>
          <w:rFonts w:ascii="Times New Roman"/>
          <w:i/>
          <w:sz w:val="3"/>
        </w:rPr>
      </w:pPr>
    </w:p>
    <w:p>
      <w:pPr>
        <w:pStyle w:val="BodyText"/>
        <w:spacing w:line="20" w:lineRule="exact"/>
        <w:ind w:left="-1" w:right="-101"/>
        <w:rPr>
          <w:rFonts w:ascii="Times New Roman"/>
          <w:sz w:val="2"/>
        </w:rPr>
      </w:pPr>
      <w:r>
        <w:rPr>
          <w:rFonts w:ascii="Times New Roman"/>
          <w:sz w:val="2"/>
        </w:rPr>
        <w:pict>
          <v:group style="width:103.25pt;height:.550pt;mso-position-horizontal-relative:char;mso-position-vertical-relative:line" coordorigin="0,0" coordsize="2065,11">
            <v:line style="position:absolute" from="0,5" to="2064,5" stroked="true" strokeweight=".534848pt" strokecolor="#000000">
              <v:stroke dashstyle="solid"/>
            </v:line>
          </v:group>
        </w:pict>
      </w:r>
      <w:r>
        <w:rPr>
          <w:rFonts w:ascii="Times New Roman"/>
          <w:sz w:val="2"/>
        </w:rPr>
      </w:r>
    </w:p>
    <w:p>
      <w:pPr>
        <w:pStyle w:val="ListParagraph"/>
        <w:numPr>
          <w:ilvl w:val="0"/>
          <w:numId w:val="28"/>
        </w:numPr>
        <w:tabs>
          <w:tab w:pos="191" w:val="left" w:leader="none"/>
        </w:tabs>
        <w:spacing w:line="129" w:lineRule="auto" w:before="199" w:after="0"/>
        <w:ind w:left="190" w:right="0" w:hanging="162"/>
        <w:jc w:val="left"/>
        <w:rPr>
          <w:rFonts w:ascii="Times New Roman" w:hAnsi="Times New Roman"/>
          <w:sz w:val="25"/>
        </w:rPr>
      </w:pPr>
      <w:r>
        <w:rPr>
          <w:rFonts w:ascii="Times New Roman" w:hAnsi="Times New Roman"/>
          <w:w w:val="91"/>
          <w:sz w:val="25"/>
        </w:rPr>
        <w:br w:type="column"/>
      </w:r>
      <w:r>
        <w:rPr>
          <w:rFonts w:ascii="Times New Roman" w:hAnsi="Times New Roman"/>
          <w:w w:val="90"/>
          <w:sz w:val="25"/>
        </w:rPr>
        <w:t>100</w:t>
      </w:r>
      <w:r>
        <w:rPr>
          <w:rFonts w:ascii="Times New Roman" w:hAnsi="Times New Roman"/>
          <w:spacing w:val="-32"/>
          <w:w w:val="90"/>
          <w:sz w:val="25"/>
        </w:rPr>
        <w:t> </w:t>
      </w:r>
      <w:r>
        <w:rPr>
          <w:rFonts w:ascii="Symbol" w:hAnsi="Symbol"/>
          <w:w w:val="90"/>
          <w:sz w:val="25"/>
        </w:rPr>
        <w:t></w:t>
      </w:r>
      <w:r>
        <w:rPr>
          <w:rFonts w:ascii="Times New Roman" w:hAnsi="Times New Roman"/>
          <w:i/>
          <w:w w:val="90"/>
          <w:sz w:val="25"/>
        </w:rPr>
        <w:t>TEMP</w:t>
      </w:r>
      <w:r>
        <w:rPr>
          <w:rFonts w:ascii="Times New Roman" w:hAnsi="Times New Roman"/>
          <w:i/>
          <w:spacing w:val="-15"/>
          <w:w w:val="90"/>
          <w:sz w:val="25"/>
        </w:rPr>
        <w:t> </w:t>
      </w:r>
      <w:r>
        <w:rPr>
          <w:rFonts w:ascii="Times New Roman" w:hAnsi="Times New Roman"/>
          <w:w w:val="90"/>
          <w:sz w:val="25"/>
        </w:rPr>
        <w:t>_</w:t>
      </w:r>
      <w:r>
        <w:rPr>
          <w:rFonts w:ascii="Times New Roman" w:hAnsi="Times New Roman"/>
          <w:spacing w:val="1"/>
          <w:w w:val="90"/>
          <w:sz w:val="25"/>
        </w:rPr>
        <w:t> </w:t>
      </w:r>
      <w:r>
        <w:rPr>
          <w:rFonts w:ascii="Times New Roman" w:hAnsi="Times New Roman"/>
          <w:i/>
          <w:w w:val="90"/>
          <w:sz w:val="25"/>
        </w:rPr>
        <w:t>X</w:t>
      </w:r>
      <w:r>
        <w:rPr>
          <w:rFonts w:ascii="Times New Roman" w:hAnsi="Times New Roman"/>
          <w:i/>
          <w:spacing w:val="-5"/>
          <w:w w:val="90"/>
          <w:sz w:val="25"/>
        </w:rPr>
        <w:t> </w:t>
      </w:r>
      <w:r>
        <w:rPr>
          <w:rFonts w:ascii="Times New Roman" w:hAnsi="Times New Roman"/>
          <w:w w:val="90"/>
          <w:sz w:val="25"/>
          <w:vertAlign w:val="superscript"/>
        </w:rPr>
        <w:t>2</w:t>
      </w:r>
      <w:r>
        <w:rPr>
          <w:rFonts w:ascii="Times New Roman" w:hAnsi="Times New Roman"/>
          <w:spacing w:val="-3"/>
          <w:w w:val="90"/>
          <w:sz w:val="25"/>
          <w:vertAlign w:val="baseline"/>
        </w:rPr>
        <w:t> </w:t>
      </w:r>
      <w:r>
        <w:rPr>
          <w:rFonts w:ascii="Symbol" w:hAnsi="Symbol"/>
          <w:w w:val="90"/>
          <w:sz w:val="25"/>
          <w:vertAlign w:val="baseline"/>
        </w:rPr>
        <w:t></w:t>
      </w:r>
      <w:r>
        <w:rPr>
          <w:rFonts w:ascii="Times New Roman" w:hAnsi="Times New Roman"/>
          <w:spacing w:val="-23"/>
          <w:w w:val="90"/>
          <w:sz w:val="25"/>
          <w:vertAlign w:val="baseline"/>
        </w:rPr>
        <w:t> </w:t>
      </w:r>
      <w:r>
        <w:rPr>
          <w:rFonts w:ascii="Times New Roman" w:hAnsi="Times New Roman"/>
          <w:i/>
          <w:spacing w:val="3"/>
          <w:w w:val="90"/>
          <w:sz w:val="25"/>
          <w:vertAlign w:val="baseline"/>
        </w:rPr>
        <w:t>PPMC</w:t>
      </w:r>
      <w:r>
        <w:rPr>
          <w:rFonts w:ascii="Times New Roman" w:hAnsi="Times New Roman"/>
          <w:spacing w:val="3"/>
          <w:w w:val="90"/>
          <w:sz w:val="25"/>
          <w:vertAlign w:val="baseline"/>
        </w:rPr>
        <w:t>2</w:t>
      </w:r>
    </w:p>
    <w:p>
      <w:pPr>
        <w:spacing w:after="0" w:line="129" w:lineRule="auto"/>
        <w:jc w:val="left"/>
        <w:rPr>
          <w:rFonts w:ascii="Times New Roman" w:hAnsi="Times New Roman"/>
          <w:sz w:val="25"/>
        </w:rPr>
        <w:sectPr>
          <w:type w:val="continuous"/>
          <w:pgSz w:w="12240" w:h="15840"/>
          <w:pgMar w:top="940" w:bottom="280" w:left="1200" w:right="1060"/>
          <w:cols w:num="3" w:equalWidth="0">
            <w:col w:w="3649" w:space="40"/>
            <w:col w:w="2047" w:space="39"/>
            <w:col w:w="4205"/>
          </w:cols>
        </w:sectPr>
      </w:pPr>
    </w:p>
    <w:p>
      <w:pPr>
        <w:tabs>
          <w:tab w:pos="7038" w:val="left" w:leader="none"/>
        </w:tabs>
        <w:spacing w:line="136" w:lineRule="auto" w:before="47"/>
        <w:ind w:left="4592" w:right="0" w:firstLine="0"/>
        <w:jc w:val="left"/>
        <w:rPr>
          <w:rFonts w:ascii="Times New Roman"/>
          <w:sz w:val="15"/>
        </w:rPr>
      </w:pPr>
      <w:r>
        <w:rPr/>
        <w:pict>
          <v:line style="position:absolute;mso-position-horizontal-relative:page;mso-position-vertical-relative:paragraph;z-index:15840256" from="358.747986pt,-.889187pt" to="478.953659pt,-.889187pt" stroked="true" strokeweight=".534848pt" strokecolor="#000000">
            <v:stroke dashstyle="solid"/>
            <w10:wrap type="none"/>
          </v:line>
        </w:pict>
      </w:r>
      <w:r>
        <w:rPr>
          <w:rFonts w:ascii="Times New Roman"/>
          <w:position w:val="-10"/>
          <w:sz w:val="25"/>
        </w:rPr>
        <w:t>2</w:t>
      </w:r>
      <w:r>
        <w:rPr>
          <w:rFonts w:ascii="Times New Roman"/>
          <w:sz w:val="15"/>
        </w:rPr>
        <w:t>14</w:t>
        <w:tab/>
      </w:r>
      <w:r>
        <w:rPr>
          <w:rFonts w:ascii="Times New Roman"/>
          <w:spacing w:val="4"/>
          <w:position w:val="-10"/>
          <w:sz w:val="25"/>
        </w:rPr>
        <w:t>2</w:t>
      </w:r>
      <w:r>
        <w:rPr>
          <w:rFonts w:ascii="Times New Roman"/>
          <w:spacing w:val="4"/>
          <w:sz w:val="15"/>
        </w:rPr>
        <w:t>23</w:t>
      </w:r>
    </w:p>
    <w:p>
      <w:pPr>
        <w:pStyle w:val="BodyText"/>
        <w:spacing w:before="69"/>
        <w:ind w:left="239" w:right="433"/>
      </w:pPr>
      <w:r>
        <w:rPr/>
        <w:t>The </w:t>
      </w:r>
      <w:r>
        <w:rPr>
          <w:rFonts w:ascii="Times New Roman"/>
          <w:i/>
        </w:rPr>
        <w:t>GAIN_ADJx </w:t>
      </w:r>
      <w:r>
        <w:rPr/>
        <w:t>values stored by the MPU in CE RAM are used by the CE to gain adjust (i.e., multiply) the sample in each corresponding sensor channel. A </w:t>
      </w:r>
      <w:r>
        <w:rPr>
          <w:rFonts w:ascii="Times New Roman"/>
          <w:i/>
        </w:rPr>
        <w:t>GAIN_ADJx </w:t>
      </w:r>
      <w:r>
        <w:rPr/>
        <w:t>value of 16,384 (i.e., 2</w:t>
      </w:r>
      <w:r>
        <w:rPr>
          <w:vertAlign w:val="superscript"/>
        </w:rPr>
        <w:t>14</w:t>
      </w:r>
      <w:r>
        <w:rPr>
          <w:vertAlign w:val="baseline"/>
        </w:rPr>
        <w:t>)corresponds to unity gain, while values less than 16,384 attenuate the samples and values greater than 16,384 amplify the samples.</w:t>
      </w:r>
    </w:p>
    <w:p>
      <w:pPr>
        <w:pStyle w:val="BodyText"/>
      </w:pPr>
    </w:p>
    <w:p>
      <w:pPr>
        <w:pStyle w:val="BodyText"/>
        <w:spacing w:line="230" w:lineRule="auto"/>
        <w:ind w:left="239" w:right="401"/>
      </w:pPr>
      <w:r>
        <w:rPr/>
        <w:t>In the above equation, </w:t>
      </w:r>
      <w:r>
        <w:rPr>
          <w:i/>
        </w:rPr>
        <w:t>TEMP_X </w:t>
      </w:r>
      <w:r>
        <w:rPr/>
        <w:t>is the deviation from nominal or calibration temperature expressed in multiples of 0.1 °C. The 10x and 100x factors seen in the above equation are due to 0.1 </w:t>
      </w:r>
      <w:r>
        <w:rPr>
          <w:vertAlign w:val="superscript"/>
        </w:rPr>
        <w:t>o</w:t>
      </w:r>
      <w:r>
        <w:rPr>
          <w:vertAlign w:val="baseline"/>
        </w:rPr>
        <w:t>C scaling of </w:t>
      </w:r>
      <w:r>
        <w:rPr>
          <w:i/>
          <w:vertAlign w:val="baseline"/>
        </w:rPr>
        <w:t>TEMP_X</w:t>
      </w:r>
      <w:r>
        <w:rPr>
          <w:vertAlign w:val="baseline"/>
        </w:rPr>
        <w:t>. For example, if the calibration (reference) temperature is 22 </w:t>
      </w:r>
      <w:r>
        <w:rPr>
          <w:vertAlign w:val="superscript"/>
        </w:rPr>
        <w:t>o</w:t>
      </w:r>
      <w:r>
        <w:rPr>
          <w:vertAlign w:val="baseline"/>
        </w:rPr>
        <w:t>C and the measured temperature is 27 </w:t>
      </w:r>
      <w:r>
        <w:rPr>
          <w:vertAlign w:val="superscript"/>
        </w:rPr>
        <w:t>o</w:t>
      </w:r>
      <w:r>
        <w:rPr>
          <w:vertAlign w:val="baseline"/>
        </w:rPr>
        <w:t>C, then 10*</w:t>
      </w:r>
      <w:r>
        <w:rPr>
          <w:i/>
          <w:vertAlign w:val="baseline"/>
        </w:rPr>
        <w:t>TEMP_X </w:t>
      </w:r>
      <w:r>
        <w:rPr>
          <w:vertAlign w:val="baseline"/>
        </w:rPr>
        <w:t>= (27-22) x 10 = 50 (decimal), which represents a +5 </w:t>
      </w:r>
      <w:r>
        <w:rPr>
          <w:vertAlign w:val="superscript"/>
        </w:rPr>
        <w:t>o</w:t>
      </w:r>
      <w:r>
        <w:rPr>
          <w:vertAlign w:val="baseline"/>
        </w:rPr>
        <w:t>C deviation from 22</w:t>
      </w:r>
      <w:r>
        <w:rPr>
          <w:vertAlign w:val="superscript"/>
        </w:rPr>
        <w:t>o</w:t>
      </w:r>
      <w:r>
        <w:rPr>
          <w:vertAlign w:val="baseline"/>
        </w:rPr>
        <w:t>C. In the demonstration code, </w:t>
      </w:r>
      <w:r>
        <w:rPr>
          <w:rFonts w:ascii="Times New Roman" w:hAnsi="Times New Roman"/>
          <w:i/>
          <w:vertAlign w:val="baseline"/>
        </w:rPr>
        <w:t>TEMP_X </w:t>
      </w:r>
      <w:r>
        <w:rPr>
          <w:vertAlign w:val="baseline"/>
        </w:rPr>
        <w:t>is calculated in the MPU from the </w:t>
      </w:r>
      <w:r>
        <w:rPr>
          <w:rFonts w:ascii="Times New Roman" w:hAnsi="Times New Roman"/>
          <w:i/>
          <w:vertAlign w:val="baseline"/>
        </w:rPr>
        <w:t>STEMP[10:0] </w:t>
      </w:r>
      <w:r>
        <w:rPr>
          <w:vertAlign w:val="baseline"/>
        </w:rPr>
        <w:t>temperature sensor reading using the equation provided below and is scaled in 0.1°C units. See </w:t>
      </w:r>
      <w:hyperlink w:history="true" w:anchor="_bookmark109">
        <w:r>
          <w:rPr>
            <w:color w:val="0000FF"/>
            <w:vertAlign w:val="baseline"/>
          </w:rPr>
          <w:t>2.5.5 </w:t>
        </w:r>
      </w:hyperlink>
      <w:hyperlink w:history="true" w:anchor="_bookmark109">
        <w:r>
          <w:rPr>
            <w:color w:val="0000FF"/>
            <w:vertAlign w:val="baseline"/>
          </w:rPr>
          <w:t>71M6543 Temperature</w:t>
        </w:r>
      </w:hyperlink>
      <w:r>
        <w:rPr>
          <w:color w:val="0000FF"/>
          <w:vertAlign w:val="baseline"/>
        </w:rPr>
        <w:t> </w:t>
      </w:r>
      <w:hyperlink w:history="true" w:anchor="_bookmark109">
        <w:r>
          <w:rPr>
            <w:color w:val="0000FF"/>
            <w:vertAlign w:val="baseline"/>
          </w:rPr>
          <w:t>Sensor </w:t>
        </w:r>
      </w:hyperlink>
      <w:r>
        <w:rPr>
          <w:vertAlign w:val="baseline"/>
        </w:rPr>
        <w:t>on page </w:t>
      </w:r>
      <w:hyperlink w:history="true" w:anchor="_bookmark109">
        <w:r>
          <w:rPr>
            <w:color w:val="0000FF"/>
            <w:vertAlign w:val="baseline"/>
          </w:rPr>
          <w:t>53 </w:t>
        </w:r>
      </w:hyperlink>
      <w:r>
        <w:rPr>
          <w:vertAlign w:val="baseline"/>
        </w:rPr>
        <w:t>for the equation to calculate temperature in degrees °C from the </w:t>
      </w:r>
      <w:r>
        <w:rPr>
          <w:rFonts w:ascii="Times New Roman" w:hAnsi="Times New Roman"/>
          <w:i/>
          <w:vertAlign w:val="baseline"/>
        </w:rPr>
        <w:t>STEMP[10:0] </w:t>
      </w:r>
      <w:r>
        <w:rPr>
          <w:vertAlign w:val="baseline"/>
        </w:rPr>
        <w:t>value.</w:t>
      </w:r>
    </w:p>
    <w:p>
      <w:pPr>
        <w:pStyle w:val="BodyText"/>
        <w:spacing w:line="232" w:lineRule="auto" w:before="114"/>
        <w:ind w:left="239" w:right="566"/>
      </w:pPr>
      <w:hyperlink w:history="true" w:anchor="_bookmark187">
        <w:r>
          <w:rPr>
            <w:color w:val="0000FF"/>
          </w:rPr>
          <w:t>Table 66 </w:t>
        </w:r>
      </w:hyperlink>
      <w:r>
        <w:rPr/>
        <w:t>shows the five </w:t>
      </w:r>
      <w:r>
        <w:rPr>
          <w:rFonts w:ascii="Times New Roman"/>
          <w:i/>
        </w:rPr>
        <w:t>GAIN_ADJx </w:t>
      </w:r>
      <w:r>
        <w:rPr/>
        <w:t>equation output storage locations and the voltage or current sensor channels for which they compensate for the 1 Local / 3 Remote configuration shown in </w:t>
      </w:r>
      <w:hyperlink w:history="true" w:anchor="_bookmark179">
        <w:r>
          <w:rPr>
            <w:color w:val="0000FF"/>
          </w:rPr>
          <w:t>Figure 31</w:t>
        </w:r>
        <w:r>
          <w:rPr/>
          <w:t>.</w:t>
        </w:r>
      </w:hyperlink>
    </w:p>
    <w:p>
      <w:pPr>
        <w:spacing w:after="0" w:line="232" w:lineRule="auto"/>
        <w:sectPr>
          <w:type w:val="continuous"/>
          <w:pgSz w:w="12240" w:h="15840"/>
          <w:pgMar w:top="940" w:bottom="280" w:left="1200" w:right="1060"/>
        </w:sectPr>
      </w:pPr>
    </w:p>
    <w:p>
      <w:pPr>
        <w:pStyle w:val="BodyText"/>
        <w:spacing w:before="8"/>
        <w:rPr>
          <w:sz w:val="16"/>
        </w:rPr>
      </w:pPr>
    </w:p>
    <w:p>
      <w:pPr>
        <w:pStyle w:val="Heading1"/>
        <w:spacing w:before="93"/>
        <w:ind w:left="66" w:right="204"/>
      </w:pPr>
      <w:bookmarkStart w:name="_bookmark187" w:id="382"/>
      <w:bookmarkEnd w:id="382"/>
      <w:r>
        <w:rPr>
          <w:b w:val="0"/>
        </w:rPr>
      </w:r>
      <w:r>
        <w:rPr/>
        <w:t>Table 66: GAIN_ADJn Compensation Channels (</w:t>
      </w:r>
      <w:hyperlink w:history="true" w:anchor="_bookmark5">
        <w:r>
          <w:rPr>
            <w:color w:val="0000FF"/>
          </w:rPr>
          <w:t>Figure 2</w:t>
        </w:r>
        <w:r>
          <w:rPr/>
          <w:t>, </w:t>
        </w:r>
      </w:hyperlink>
      <w:hyperlink w:history="true" w:anchor="_bookmark179">
        <w:r>
          <w:rPr>
            <w:color w:val="0000FF"/>
          </w:rPr>
          <w:t>Figure 31, </w:t>
        </w:r>
      </w:hyperlink>
      <w:hyperlink w:history="true" w:anchor="_bookmark9">
        <w:r>
          <w:rPr>
            <w:color w:val="0000FF"/>
          </w:rPr>
          <w:t>Table 1</w:t>
        </w:r>
      </w:hyperlink>
      <w:r>
        <w:rPr/>
        <w:t>)</w:t>
      </w:r>
    </w:p>
    <w:p>
      <w:pPr>
        <w:pStyle w:val="BodyText"/>
        <w:spacing w:before="2"/>
        <w:rPr>
          <w:b/>
          <w:sz w:val="7"/>
        </w:rPr>
      </w:pPr>
    </w:p>
    <w:tbl>
      <w:tblPr>
        <w:tblW w:w="0" w:type="auto"/>
        <w:jc w:val="left"/>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0"/>
        <w:gridCol w:w="1708"/>
        <w:gridCol w:w="1710"/>
        <w:gridCol w:w="3287"/>
      </w:tblGrid>
      <w:tr>
        <w:trPr>
          <w:trHeight w:val="489" w:hRule="atLeast"/>
        </w:trPr>
        <w:tc>
          <w:tcPr>
            <w:tcW w:w="2570" w:type="dxa"/>
          </w:tcPr>
          <w:p>
            <w:pPr>
              <w:pStyle w:val="TableParagraph"/>
              <w:spacing w:before="145"/>
              <w:ind w:left="341" w:right="330"/>
              <w:jc w:val="center"/>
              <w:rPr>
                <w:b/>
                <w:sz w:val="16"/>
              </w:rPr>
            </w:pPr>
            <w:r>
              <w:rPr>
                <w:b/>
                <w:sz w:val="16"/>
              </w:rPr>
              <w:t>Gain Adjustment Output</w:t>
            </w:r>
          </w:p>
        </w:tc>
        <w:tc>
          <w:tcPr>
            <w:tcW w:w="1708" w:type="dxa"/>
          </w:tcPr>
          <w:p>
            <w:pPr>
              <w:pStyle w:val="TableParagraph"/>
              <w:spacing w:before="145"/>
              <w:ind w:left="47" w:right="43"/>
              <w:jc w:val="center"/>
              <w:rPr>
                <w:b/>
                <w:sz w:val="16"/>
              </w:rPr>
            </w:pPr>
            <w:r>
              <w:rPr>
                <w:b/>
                <w:sz w:val="16"/>
              </w:rPr>
              <w:t>CE RAM Address</w:t>
            </w:r>
          </w:p>
        </w:tc>
        <w:tc>
          <w:tcPr>
            <w:tcW w:w="1710" w:type="dxa"/>
          </w:tcPr>
          <w:p>
            <w:pPr>
              <w:pStyle w:val="TableParagraph"/>
              <w:spacing w:line="226" w:lineRule="exact" w:before="1"/>
              <w:ind w:left="406" w:right="120" w:hanging="260"/>
              <w:rPr>
                <w:b/>
                <w:sz w:val="16"/>
              </w:rPr>
            </w:pPr>
            <w:r>
              <w:rPr>
                <w:b/>
                <w:sz w:val="16"/>
              </w:rPr>
              <w:t>Sensor Channel(s) (pin names)</w:t>
            </w:r>
          </w:p>
        </w:tc>
        <w:tc>
          <w:tcPr>
            <w:tcW w:w="3287" w:type="dxa"/>
          </w:tcPr>
          <w:p>
            <w:pPr>
              <w:pStyle w:val="TableParagraph"/>
              <w:spacing w:before="145"/>
              <w:ind w:left="909"/>
              <w:rPr>
                <w:b/>
                <w:sz w:val="16"/>
              </w:rPr>
            </w:pPr>
            <w:r>
              <w:rPr>
                <w:b/>
                <w:sz w:val="16"/>
              </w:rPr>
              <w:t>Compensation For:</w:t>
            </w:r>
          </w:p>
        </w:tc>
      </w:tr>
      <w:tr>
        <w:trPr>
          <w:trHeight w:val="630" w:hRule="atLeast"/>
        </w:trPr>
        <w:tc>
          <w:tcPr>
            <w:tcW w:w="2570" w:type="dxa"/>
          </w:tcPr>
          <w:p>
            <w:pPr>
              <w:pStyle w:val="TableParagraph"/>
              <w:spacing w:before="1"/>
              <w:rPr>
                <w:b/>
                <w:sz w:val="19"/>
              </w:rPr>
            </w:pPr>
          </w:p>
          <w:p>
            <w:pPr>
              <w:pStyle w:val="TableParagraph"/>
              <w:ind w:left="341" w:right="330"/>
              <w:jc w:val="center"/>
              <w:rPr>
                <w:rFonts w:ascii="Times New Roman"/>
                <w:i/>
                <w:sz w:val="16"/>
              </w:rPr>
            </w:pPr>
            <w:r>
              <w:rPr>
                <w:rFonts w:ascii="Times New Roman"/>
                <w:i/>
                <w:sz w:val="16"/>
              </w:rPr>
              <w:t>GAIN_ADJ0</w:t>
            </w:r>
          </w:p>
        </w:tc>
        <w:tc>
          <w:tcPr>
            <w:tcW w:w="1708" w:type="dxa"/>
          </w:tcPr>
          <w:p>
            <w:pPr>
              <w:pStyle w:val="TableParagraph"/>
              <w:spacing w:before="3"/>
              <w:rPr>
                <w:b/>
                <w:sz w:val="19"/>
              </w:rPr>
            </w:pPr>
          </w:p>
          <w:p>
            <w:pPr>
              <w:pStyle w:val="TableParagraph"/>
              <w:ind w:left="45" w:right="43"/>
              <w:jc w:val="center"/>
              <w:rPr>
                <w:sz w:val="16"/>
              </w:rPr>
            </w:pPr>
            <w:r>
              <w:rPr>
                <w:sz w:val="16"/>
              </w:rPr>
              <w:t>0x40</w:t>
            </w:r>
          </w:p>
        </w:tc>
        <w:tc>
          <w:tcPr>
            <w:tcW w:w="1710" w:type="dxa"/>
          </w:tcPr>
          <w:p>
            <w:pPr>
              <w:pStyle w:val="TableParagraph"/>
              <w:spacing w:line="264" w:lineRule="auto" w:before="17"/>
              <w:ind w:left="406"/>
              <w:rPr>
                <w:sz w:val="16"/>
              </w:rPr>
            </w:pPr>
            <w:r>
              <w:rPr>
                <w:sz w:val="16"/>
              </w:rPr>
              <w:t>VADC8 </w:t>
            </w:r>
            <w:r>
              <w:rPr>
                <w:spacing w:val="-5"/>
                <w:sz w:val="16"/>
              </w:rPr>
              <w:t>(VA) </w:t>
            </w:r>
            <w:r>
              <w:rPr>
                <w:sz w:val="16"/>
              </w:rPr>
              <w:t>VADC9</w:t>
            </w:r>
            <w:r>
              <w:rPr>
                <w:spacing w:val="6"/>
                <w:sz w:val="16"/>
              </w:rPr>
              <w:t> </w:t>
            </w:r>
            <w:r>
              <w:rPr>
                <w:spacing w:val="-5"/>
                <w:sz w:val="16"/>
              </w:rPr>
              <w:t>(VB)</w:t>
            </w:r>
          </w:p>
          <w:p>
            <w:pPr>
              <w:pStyle w:val="TableParagraph"/>
              <w:spacing w:before="1"/>
              <w:ind w:left="356"/>
              <w:rPr>
                <w:sz w:val="16"/>
              </w:rPr>
            </w:pPr>
            <w:r>
              <w:rPr>
                <w:sz w:val="16"/>
              </w:rPr>
              <w:t>VADC10</w:t>
            </w:r>
            <w:r>
              <w:rPr>
                <w:spacing w:val="-1"/>
                <w:sz w:val="16"/>
              </w:rPr>
              <w:t> </w:t>
            </w:r>
            <w:r>
              <w:rPr>
                <w:sz w:val="16"/>
              </w:rPr>
              <w:t>(VC)</w:t>
            </w:r>
          </w:p>
        </w:tc>
        <w:tc>
          <w:tcPr>
            <w:tcW w:w="3287" w:type="dxa"/>
          </w:tcPr>
          <w:p>
            <w:pPr>
              <w:pStyle w:val="TableParagraph"/>
              <w:spacing w:before="125"/>
              <w:ind w:left="1310" w:right="240" w:hanging="1042"/>
              <w:rPr>
                <w:sz w:val="16"/>
              </w:rPr>
            </w:pPr>
            <w:r>
              <w:rPr>
                <w:sz w:val="16"/>
              </w:rPr>
              <w:t>VREF in 71M6543 and Voltage Divider Resistors</w:t>
            </w:r>
          </w:p>
        </w:tc>
      </w:tr>
      <w:tr>
        <w:trPr>
          <w:trHeight w:val="429" w:hRule="atLeast"/>
        </w:trPr>
        <w:tc>
          <w:tcPr>
            <w:tcW w:w="2570" w:type="dxa"/>
          </w:tcPr>
          <w:p>
            <w:pPr>
              <w:pStyle w:val="TableParagraph"/>
              <w:spacing w:before="119"/>
              <w:ind w:left="341" w:right="330"/>
              <w:jc w:val="center"/>
              <w:rPr>
                <w:rFonts w:ascii="Times New Roman"/>
                <w:i/>
                <w:sz w:val="16"/>
              </w:rPr>
            </w:pPr>
            <w:r>
              <w:rPr>
                <w:rFonts w:ascii="Times New Roman"/>
                <w:i/>
                <w:sz w:val="16"/>
              </w:rPr>
              <w:t>GAIN_ADJ1</w:t>
            </w:r>
          </w:p>
        </w:tc>
        <w:tc>
          <w:tcPr>
            <w:tcW w:w="1708" w:type="dxa"/>
          </w:tcPr>
          <w:p>
            <w:pPr>
              <w:pStyle w:val="TableParagraph"/>
              <w:spacing w:before="121"/>
              <w:ind w:left="45" w:right="43"/>
              <w:jc w:val="center"/>
              <w:rPr>
                <w:sz w:val="16"/>
              </w:rPr>
            </w:pPr>
            <w:r>
              <w:rPr>
                <w:sz w:val="16"/>
              </w:rPr>
              <w:t>0x41</w:t>
            </w:r>
          </w:p>
        </w:tc>
        <w:tc>
          <w:tcPr>
            <w:tcW w:w="1710" w:type="dxa"/>
          </w:tcPr>
          <w:p>
            <w:pPr>
              <w:pStyle w:val="TableParagraph"/>
              <w:spacing w:before="17"/>
              <w:ind w:left="236" w:right="226"/>
              <w:jc w:val="center"/>
              <w:rPr>
                <w:sz w:val="16"/>
              </w:rPr>
            </w:pPr>
            <w:r>
              <w:rPr>
                <w:sz w:val="16"/>
              </w:rPr>
              <w:t>IADC0-IADC1</w:t>
            </w:r>
          </w:p>
        </w:tc>
        <w:tc>
          <w:tcPr>
            <w:tcW w:w="3287" w:type="dxa"/>
          </w:tcPr>
          <w:p>
            <w:pPr>
              <w:pStyle w:val="TableParagraph"/>
              <w:spacing w:line="204" w:lineRule="exact" w:before="4"/>
              <w:ind w:left="1043" w:right="574" w:hanging="442"/>
              <w:rPr>
                <w:sz w:val="16"/>
              </w:rPr>
            </w:pPr>
            <w:r>
              <w:rPr>
                <w:sz w:val="16"/>
              </w:rPr>
              <w:t>VREF in 71M6543 and Shunt (Neutral Current)</w:t>
            </w:r>
          </w:p>
        </w:tc>
      </w:tr>
      <w:tr>
        <w:trPr>
          <w:trHeight w:val="426" w:hRule="atLeast"/>
        </w:trPr>
        <w:tc>
          <w:tcPr>
            <w:tcW w:w="2570" w:type="dxa"/>
          </w:tcPr>
          <w:p>
            <w:pPr>
              <w:pStyle w:val="TableParagraph"/>
              <w:spacing w:before="117"/>
              <w:ind w:left="341" w:right="330"/>
              <w:jc w:val="center"/>
              <w:rPr>
                <w:rFonts w:ascii="Times New Roman"/>
                <w:i/>
                <w:sz w:val="16"/>
              </w:rPr>
            </w:pPr>
            <w:r>
              <w:rPr>
                <w:rFonts w:ascii="Times New Roman"/>
                <w:i/>
                <w:sz w:val="16"/>
              </w:rPr>
              <w:t>GAIN_ADJ2</w:t>
            </w:r>
          </w:p>
        </w:tc>
        <w:tc>
          <w:tcPr>
            <w:tcW w:w="1708" w:type="dxa"/>
          </w:tcPr>
          <w:p>
            <w:pPr>
              <w:pStyle w:val="TableParagraph"/>
              <w:spacing w:before="118"/>
              <w:ind w:left="45" w:right="43"/>
              <w:jc w:val="center"/>
              <w:rPr>
                <w:sz w:val="16"/>
              </w:rPr>
            </w:pPr>
            <w:r>
              <w:rPr>
                <w:sz w:val="16"/>
              </w:rPr>
              <w:t>0x42</w:t>
            </w:r>
          </w:p>
        </w:tc>
        <w:tc>
          <w:tcPr>
            <w:tcW w:w="1710" w:type="dxa"/>
          </w:tcPr>
          <w:p>
            <w:pPr>
              <w:pStyle w:val="TableParagraph"/>
              <w:spacing w:before="17"/>
              <w:ind w:left="236" w:right="226"/>
              <w:jc w:val="center"/>
              <w:rPr>
                <w:sz w:val="16"/>
              </w:rPr>
            </w:pPr>
            <w:r>
              <w:rPr>
                <w:sz w:val="16"/>
              </w:rPr>
              <w:t>IADC2-IADC3</w:t>
            </w:r>
          </w:p>
        </w:tc>
        <w:tc>
          <w:tcPr>
            <w:tcW w:w="3287" w:type="dxa"/>
          </w:tcPr>
          <w:p>
            <w:pPr>
              <w:pStyle w:val="TableParagraph"/>
              <w:spacing w:line="200" w:lineRule="atLeast" w:before="1"/>
              <w:ind w:left="1288" w:right="582" w:hanging="677"/>
              <w:rPr>
                <w:sz w:val="16"/>
              </w:rPr>
            </w:pPr>
            <w:r>
              <w:rPr>
                <w:sz w:val="16"/>
              </w:rPr>
              <w:t>VREF in 71M6xx3 and Shunt (Phase A)</w:t>
            </w:r>
          </w:p>
        </w:tc>
      </w:tr>
      <w:tr>
        <w:trPr>
          <w:trHeight w:val="429" w:hRule="atLeast"/>
        </w:trPr>
        <w:tc>
          <w:tcPr>
            <w:tcW w:w="2570" w:type="dxa"/>
          </w:tcPr>
          <w:p>
            <w:pPr>
              <w:pStyle w:val="TableParagraph"/>
              <w:spacing w:before="119"/>
              <w:ind w:left="341" w:right="330"/>
              <w:jc w:val="center"/>
              <w:rPr>
                <w:rFonts w:ascii="Times New Roman"/>
                <w:i/>
                <w:sz w:val="16"/>
              </w:rPr>
            </w:pPr>
            <w:r>
              <w:rPr>
                <w:rFonts w:ascii="Times New Roman"/>
                <w:i/>
                <w:sz w:val="16"/>
              </w:rPr>
              <w:t>GAIN_ADJ3</w:t>
            </w:r>
          </w:p>
        </w:tc>
        <w:tc>
          <w:tcPr>
            <w:tcW w:w="1708" w:type="dxa"/>
          </w:tcPr>
          <w:p>
            <w:pPr>
              <w:pStyle w:val="TableParagraph"/>
              <w:spacing w:before="121"/>
              <w:ind w:left="45" w:right="43"/>
              <w:jc w:val="center"/>
              <w:rPr>
                <w:sz w:val="16"/>
              </w:rPr>
            </w:pPr>
            <w:r>
              <w:rPr>
                <w:sz w:val="16"/>
              </w:rPr>
              <w:t>0x43</w:t>
            </w:r>
          </w:p>
        </w:tc>
        <w:tc>
          <w:tcPr>
            <w:tcW w:w="1710" w:type="dxa"/>
          </w:tcPr>
          <w:p>
            <w:pPr>
              <w:pStyle w:val="TableParagraph"/>
              <w:spacing w:before="17"/>
              <w:ind w:left="236" w:right="226"/>
              <w:jc w:val="center"/>
              <w:rPr>
                <w:sz w:val="16"/>
              </w:rPr>
            </w:pPr>
            <w:r>
              <w:rPr>
                <w:sz w:val="16"/>
              </w:rPr>
              <w:t>IADC4-IADC5</w:t>
            </w:r>
          </w:p>
        </w:tc>
        <w:tc>
          <w:tcPr>
            <w:tcW w:w="3287" w:type="dxa"/>
          </w:tcPr>
          <w:p>
            <w:pPr>
              <w:pStyle w:val="TableParagraph"/>
              <w:spacing w:line="204" w:lineRule="exact" w:before="4"/>
              <w:ind w:left="1288" w:right="582" w:hanging="677"/>
              <w:rPr>
                <w:sz w:val="16"/>
              </w:rPr>
            </w:pPr>
            <w:r>
              <w:rPr>
                <w:sz w:val="16"/>
              </w:rPr>
              <w:t>VREF in 71M6xx3 and Shunt (Phase B)</w:t>
            </w:r>
          </w:p>
        </w:tc>
      </w:tr>
      <w:tr>
        <w:trPr>
          <w:trHeight w:val="426" w:hRule="atLeast"/>
        </w:trPr>
        <w:tc>
          <w:tcPr>
            <w:tcW w:w="2570" w:type="dxa"/>
          </w:tcPr>
          <w:p>
            <w:pPr>
              <w:pStyle w:val="TableParagraph"/>
              <w:spacing w:before="117"/>
              <w:ind w:left="341" w:right="330"/>
              <w:jc w:val="center"/>
              <w:rPr>
                <w:rFonts w:ascii="Times New Roman"/>
                <w:i/>
                <w:sz w:val="16"/>
              </w:rPr>
            </w:pPr>
            <w:r>
              <w:rPr>
                <w:rFonts w:ascii="Times New Roman"/>
                <w:i/>
                <w:sz w:val="16"/>
              </w:rPr>
              <w:t>GAIN_ADJ4</w:t>
            </w:r>
          </w:p>
        </w:tc>
        <w:tc>
          <w:tcPr>
            <w:tcW w:w="1708" w:type="dxa"/>
          </w:tcPr>
          <w:p>
            <w:pPr>
              <w:pStyle w:val="TableParagraph"/>
              <w:spacing w:before="118"/>
              <w:ind w:left="45" w:right="43"/>
              <w:jc w:val="center"/>
              <w:rPr>
                <w:sz w:val="16"/>
              </w:rPr>
            </w:pPr>
            <w:r>
              <w:rPr>
                <w:sz w:val="16"/>
              </w:rPr>
              <w:t>0x44</w:t>
            </w:r>
          </w:p>
        </w:tc>
        <w:tc>
          <w:tcPr>
            <w:tcW w:w="1710" w:type="dxa"/>
          </w:tcPr>
          <w:p>
            <w:pPr>
              <w:pStyle w:val="TableParagraph"/>
              <w:spacing w:before="17"/>
              <w:ind w:left="236" w:right="226"/>
              <w:jc w:val="center"/>
              <w:rPr>
                <w:sz w:val="16"/>
              </w:rPr>
            </w:pPr>
            <w:r>
              <w:rPr>
                <w:sz w:val="16"/>
              </w:rPr>
              <w:t>IADC6-IADC7</w:t>
            </w:r>
          </w:p>
        </w:tc>
        <w:tc>
          <w:tcPr>
            <w:tcW w:w="3287" w:type="dxa"/>
          </w:tcPr>
          <w:p>
            <w:pPr>
              <w:pStyle w:val="TableParagraph"/>
              <w:spacing w:line="200" w:lineRule="atLeast" w:before="1"/>
              <w:ind w:left="1283" w:right="582" w:hanging="672"/>
              <w:rPr>
                <w:sz w:val="16"/>
              </w:rPr>
            </w:pPr>
            <w:r>
              <w:rPr>
                <w:sz w:val="16"/>
              </w:rPr>
              <w:t>VREF in 71M6xx3 and Shunt (Phase C)</w:t>
            </w:r>
          </w:p>
        </w:tc>
      </w:tr>
    </w:tbl>
    <w:p>
      <w:pPr>
        <w:pStyle w:val="BodyText"/>
        <w:ind w:left="239" w:right="401"/>
      </w:pPr>
      <w:r>
        <w:rPr/>
        <w:t>In the demonstration code, the shape of the temperature compensation second-order parabolic curve is determined by the values stored in the </w:t>
      </w:r>
      <w:r>
        <w:rPr>
          <w:i/>
        </w:rPr>
        <w:t>PPMC </w:t>
      </w:r>
      <w:r>
        <w:rPr/>
        <w:t>(1</w:t>
      </w:r>
      <w:r>
        <w:rPr>
          <w:vertAlign w:val="superscript"/>
        </w:rPr>
        <w:t>st</w:t>
      </w:r>
      <w:r>
        <w:rPr>
          <w:vertAlign w:val="baseline"/>
        </w:rPr>
        <w:t> order coefficient) and </w:t>
      </w:r>
      <w:r>
        <w:rPr>
          <w:i/>
          <w:vertAlign w:val="baseline"/>
        </w:rPr>
        <w:t>PPMC2 </w:t>
      </w:r>
      <w:r>
        <w:rPr>
          <w:vertAlign w:val="baseline"/>
        </w:rPr>
        <w:t>(2</w:t>
      </w:r>
      <w:r>
        <w:rPr>
          <w:vertAlign w:val="superscript"/>
        </w:rPr>
        <w:t>nd</w:t>
      </w:r>
      <w:r>
        <w:rPr>
          <w:vertAlign w:val="baseline"/>
        </w:rPr>
        <w:t> order coefficient), which are typically setup by the MPU at initialization time from values that are stored in EEPROM.</w:t>
      </w:r>
    </w:p>
    <w:p>
      <w:pPr>
        <w:pStyle w:val="BodyText"/>
        <w:spacing w:before="119"/>
        <w:ind w:left="239" w:right="404"/>
      </w:pPr>
      <w:r>
        <w:rPr/>
        <w:t>To disable temperature compensation in the demonstration code, </w:t>
      </w:r>
      <w:r>
        <w:rPr>
          <w:i/>
        </w:rPr>
        <w:t>PPMC </w:t>
      </w:r>
      <w:r>
        <w:rPr/>
        <w:t>and </w:t>
      </w:r>
      <w:r>
        <w:rPr>
          <w:i/>
        </w:rPr>
        <w:t>PPMC2 </w:t>
      </w:r>
      <w:r>
        <w:rPr/>
        <w:t>are both set to zero for each of the five </w:t>
      </w:r>
      <w:r>
        <w:rPr>
          <w:rFonts w:ascii="Times New Roman"/>
          <w:i/>
        </w:rPr>
        <w:t>GAIN_ADJx </w:t>
      </w:r>
      <w:r>
        <w:rPr/>
        <w:t>channels. To enable temperature compensation, the </w:t>
      </w:r>
      <w:r>
        <w:rPr>
          <w:i/>
        </w:rPr>
        <w:t>PPMC </w:t>
      </w:r>
      <w:r>
        <w:rPr/>
        <w:t>and </w:t>
      </w:r>
      <w:r>
        <w:rPr>
          <w:i/>
        </w:rPr>
        <w:t>PPMC2 </w:t>
      </w:r>
      <w:r>
        <w:rPr/>
        <w:t>coefficients are set with values that match the expected temperature variation of the shunt current sensor (if required) and the corresponding VREF voltage reference (summed together).</w:t>
      </w:r>
    </w:p>
    <w:p>
      <w:pPr>
        <w:pStyle w:val="BodyText"/>
        <w:spacing w:before="118"/>
        <w:ind w:left="239" w:right="401" w:hanging="1"/>
      </w:pPr>
      <w:r>
        <w:rPr/>
        <w:t>The shunt sensor requires a second order polynomial compensation which is determined by the </w:t>
      </w:r>
      <w:r>
        <w:rPr>
          <w:i/>
        </w:rPr>
        <w:t>PPMC </w:t>
      </w:r>
      <w:r>
        <w:rPr/>
        <w:t>and </w:t>
      </w:r>
      <w:r>
        <w:rPr>
          <w:i/>
        </w:rPr>
        <w:t>PPMC2 </w:t>
      </w:r>
      <w:r>
        <w:rPr/>
        <w:t>coefficients for the corresponding current measurement channel. The corresponding VREF voltage reference also requires the </w:t>
      </w:r>
      <w:r>
        <w:rPr>
          <w:i/>
        </w:rPr>
        <w:t>PPMC </w:t>
      </w:r>
      <w:r>
        <w:rPr/>
        <w:t>and </w:t>
      </w:r>
      <w:r>
        <w:rPr>
          <w:i/>
        </w:rPr>
        <w:t>PPMC2 </w:t>
      </w:r>
      <w:r>
        <w:rPr/>
        <w:t>coefficients to match the second order temperature behavior of the voltage reference. The PPMC and PPMC2 values associated with the shunt and with the corresponding VREF are summed together to obtain the compensation coefficients for a given current-sensing channel (i.e., the 1</w:t>
      </w:r>
      <w:r>
        <w:rPr>
          <w:vertAlign w:val="superscript"/>
        </w:rPr>
        <w:t>st</w:t>
      </w:r>
      <w:r>
        <w:rPr>
          <w:vertAlign w:val="baseline"/>
        </w:rPr>
        <w:t> order PPMC coefficients are summed together, and the 2</w:t>
      </w:r>
      <w:r>
        <w:rPr>
          <w:vertAlign w:val="superscript"/>
        </w:rPr>
        <w:t>nd</w:t>
      </w:r>
      <w:r>
        <w:rPr>
          <w:vertAlign w:val="baseline"/>
        </w:rPr>
        <w:t> order PPMC2 coefficients are summed together).</w:t>
      </w:r>
    </w:p>
    <w:p>
      <w:pPr>
        <w:pStyle w:val="BodyText"/>
        <w:spacing w:before="121"/>
        <w:ind w:left="239" w:right="638"/>
      </w:pPr>
      <w:r>
        <w:rPr/>
        <w:t>In</w:t>
      </w:r>
      <w:r>
        <w:rPr>
          <w:spacing w:val="-17"/>
        </w:rPr>
        <w:t> </w:t>
      </w:r>
      <w:r>
        <w:rPr/>
        <w:t>the</w:t>
      </w:r>
      <w:r>
        <w:rPr>
          <w:spacing w:val="-17"/>
        </w:rPr>
        <w:t> </w:t>
      </w:r>
      <w:r>
        <w:rPr/>
        <w:t>71M6543F</w:t>
      </w:r>
      <w:r>
        <w:rPr>
          <w:spacing w:val="-15"/>
        </w:rPr>
        <w:t> </w:t>
      </w:r>
      <w:r>
        <w:rPr/>
        <w:t>and</w:t>
      </w:r>
      <w:r>
        <w:rPr>
          <w:spacing w:val="-15"/>
        </w:rPr>
        <w:t> </w:t>
      </w:r>
      <w:r>
        <w:rPr/>
        <w:t>71M6543G,</w:t>
      </w:r>
      <w:r>
        <w:rPr>
          <w:spacing w:val="-17"/>
        </w:rPr>
        <w:t> </w:t>
      </w:r>
      <w:r>
        <w:rPr/>
        <w:t>the</w:t>
      </w:r>
      <w:r>
        <w:rPr>
          <w:spacing w:val="-17"/>
        </w:rPr>
        <w:t> </w:t>
      </w:r>
      <w:r>
        <w:rPr/>
        <w:t>required</w:t>
      </w:r>
      <w:r>
        <w:rPr>
          <w:spacing w:val="-14"/>
        </w:rPr>
        <w:t> </w:t>
      </w:r>
      <w:r>
        <w:rPr/>
        <w:t>VREF</w:t>
      </w:r>
      <w:r>
        <w:rPr>
          <w:spacing w:val="-15"/>
        </w:rPr>
        <w:t> </w:t>
      </w:r>
      <w:r>
        <w:rPr/>
        <w:t>compensation</w:t>
      </w:r>
      <w:r>
        <w:rPr>
          <w:spacing w:val="-17"/>
        </w:rPr>
        <w:t> </w:t>
      </w:r>
      <w:r>
        <w:rPr/>
        <w:t>coefficients</w:t>
      </w:r>
      <w:r>
        <w:rPr>
          <w:spacing w:val="-13"/>
        </w:rPr>
        <w:t> </w:t>
      </w:r>
      <w:r>
        <w:rPr>
          <w:i/>
        </w:rPr>
        <w:t>PPMC</w:t>
      </w:r>
      <w:r>
        <w:rPr>
          <w:i/>
          <w:spacing w:val="-15"/>
        </w:rPr>
        <w:t> </w:t>
      </w:r>
      <w:r>
        <w:rPr/>
        <w:t>and</w:t>
      </w:r>
      <w:r>
        <w:rPr>
          <w:spacing w:val="-14"/>
        </w:rPr>
        <w:t> </w:t>
      </w:r>
      <w:r>
        <w:rPr>
          <w:i/>
        </w:rPr>
        <w:t>PPMC2</w:t>
      </w:r>
      <w:r>
        <w:rPr>
          <w:i/>
          <w:spacing w:val="23"/>
        </w:rPr>
        <w:t> </w:t>
      </w:r>
      <w:r>
        <w:rPr/>
        <w:t>are </w:t>
      </w:r>
      <w:r>
        <w:rPr>
          <w:spacing w:val="-3"/>
        </w:rPr>
        <w:t>calculated </w:t>
      </w:r>
      <w:r>
        <w:rPr/>
        <w:t>from readable on-chip non-volatile fuses (see </w:t>
      </w:r>
      <w:hyperlink w:history="true" w:anchor="_bookmark184">
        <w:r>
          <w:rPr>
            <w:color w:val="0000FF"/>
          </w:rPr>
          <w:t>4.5.2 </w:t>
        </w:r>
      </w:hyperlink>
      <w:hyperlink w:history="true" w:anchor="_bookmark184">
        <w:r>
          <w:rPr>
            <w:color w:val="0000FF"/>
          </w:rPr>
          <w:t>Temperature Coefficients for the</w:t>
        </w:r>
      </w:hyperlink>
      <w:r>
        <w:rPr>
          <w:color w:val="0000FF"/>
        </w:rPr>
        <w:t> </w:t>
      </w:r>
      <w:hyperlink w:history="true" w:anchor="_bookmark184">
        <w:r>
          <w:rPr>
            <w:color w:val="0000FF"/>
          </w:rPr>
          <w:t>71M6543F</w:t>
        </w:r>
      </w:hyperlink>
      <w:r>
        <w:rPr/>
        <w:t>). These coefficients are designed to achieve ±40 </w:t>
      </w:r>
      <w:r>
        <w:rPr>
          <w:spacing w:val="2"/>
        </w:rPr>
        <w:t>ppm/°C </w:t>
      </w:r>
      <w:r>
        <w:rPr/>
        <w:t>for VREF in the 71M6543F and 71M6543G. PPMC and PPMC2 coefficients are similarly calculated for the 71M6xx3 remote sensor (see </w:t>
      </w:r>
      <w:hyperlink w:history="true" w:anchor="_bookmark185">
        <w:r>
          <w:rPr>
            <w:color w:val="0000FF"/>
          </w:rPr>
          <w:t>4.5.3 </w:t>
        </w:r>
      </w:hyperlink>
      <w:hyperlink w:history="true" w:anchor="_bookmark185">
        <w:r>
          <w:rPr>
            <w:color w:val="0000FF"/>
          </w:rPr>
          <w:t>Temperature Coefficients for the</w:t>
        </w:r>
        <w:r>
          <w:rPr>
            <w:color w:val="0000FF"/>
            <w:spacing w:val="5"/>
          </w:rPr>
          <w:t> </w:t>
        </w:r>
        <w:r>
          <w:rPr>
            <w:color w:val="0000FF"/>
          </w:rPr>
          <w:t>71M6xx3</w:t>
        </w:r>
      </w:hyperlink>
      <w:r>
        <w:rPr/>
        <w:t>).</w:t>
      </w:r>
    </w:p>
    <w:p>
      <w:pPr>
        <w:pStyle w:val="BodyText"/>
        <w:spacing w:line="242" w:lineRule="auto" w:before="120"/>
        <w:ind w:left="238" w:right="638"/>
      </w:pPr>
      <w:r>
        <w:rPr/>
        <w:t>For the current channels, to determine the </w:t>
      </w:r>
      <w:r>
        <w:rPr>
          <w:i/>
        </w:rPr>
        <w:t>PPMC </w:t>
      </w:r>
      <w:r>
        <w:rPr/>
        <w:t>and </w:t>
      </w:r>
      <w:r>
        <w:rPr>
          <w:i/>
        </w:rPr>
        <w:t>PPMC2 </w:t>
      </w:r>
      <w:r>
        <w:rPr/>
        <w:t>coefficients for the shunt current  sensors, the designer must either know the average temperature curve of the shunt from its manufacturer’s data sheet or obtain these coefficients by laboratory characterization of the shunt used in the</w:t>
      </w:r>
      <w:r>
        <w:rPr>
          <w:spacing w:val="6"/>
        </w:rPr>
        <w:t> </w:t>
      </w:r>
      <w:r>
        <w:rPr/>
        <w:t>design.</w:t>
      </w:r>
    </w:p>
    <w:p>
      <w:pPr>
        <w:pStyle w:val="ListParagraph"/>
        <w:numPr>
          <w:ilvl w:val="2"/>
          <w:numId w:val="27"/>
        </w:numPr>
        <w:tabs>
          <w:tab w:pos="959" w:val="left" w:leader="none"/>
          <w:tab w:pos="960" w:val="left" w:leader="none"/>
        </w:tabs>
        <w:spacing w:line="240" w:lineRule="auto" w:before="112" w:after="0"/>
        <w:ind w:left="959" w:right="0" w:hanging="720"/>
        <w:jc w:val="left"/>
        <w:rPr>
          <w:b/>
          <w:sz w:val="22"/>
        </w:rPr>
      </w:pPr>
      <w:bookmarkStart w:name="4.5.5 Temperature Compensation of VREF a" w:id="383"/>
      <w:bookmarkEnd w:id="383"/>
      <w:r>
        <w:rPr/>
      </w:r>
      <w:bookmarkStart w:name="_bookmark188" w:id="384"/>
      <w:bookmarkEnd w:id="384"/>
      <w:r>
        <w:rPr/>
      </w:r>
      <w:bookmarkStart w:name="_bookmark188" w:id="385"/>
      <w:bookmarkEnd w:id="385"/>
      <w:r>
        <w:rPr>
          <w:b/>
          <w:sz w:val="22"/>
        </w:rPr>
        <w:t>T</w:t>
      </w:r>
      <w:r>
        <w:rPr>
          <w:b/>
          <w:sz w:val="22"/>
        </w:rPr>
        <w:t>emperature Compensation of VREF and Current</w:t>
      </w:r>
      <w:r>
        <w:rPr>
          <w:b/>
          <w:spacing w:val="-4"/>
          <w:sz w:val="22"/>
        </w:rPr>
        <w:t> </w:t>
      </w:r>
      <w:r>
        <w:rPr>
          <w:b/>
          <w:sz w:val="22"/>
        </w:rPr>
        <w:t>Transformers</w:t>
      </w:r>
    </w:p>
    <w:p>
      <w:pPr>
        <w:pStyle w:val="BodyText"/>
        <w:spacing w:before="121"/>
        <w:ind w:left="240" w:right="401"/>
      </w:pPr>
      <w:r>
        <w:rPr/>
        <w:t>This section discusses metrology temperature compensation for meter designs where Current Transformer (CT) sensors are used, as shown in </w:t>
      </w:r>
      <w:hyperlink w:history="true" w:anchor="_bookmark181">
        <w:r>
          <w:rPr>
            <w:color w:val="0000FF"/>
          </w:rPr>
          <w:t>Figure 32.</w:t>
        </w:r>
      </w:hyperlink>
    </w:p>
    <w:p>
      <w:pPr>
        <w:pStyle w:val="BodyText"/>
        <w:spacing w:line="228" w:lineRule="auto" w:before="123"/>
        <w:ind w:left="240" w:right="460"/>
      </w:pPr>
      <w:r>
        <w:rPr/>
        <w:t>Sensors that are directly connected to the 71M6543 are affected by the voltage variation in the 71M6543 VREF due to temperature. The VREF in the 71M6543 can be compensated digitally using a second- order polynomial function of temperature. The 71M6543 features a temperature sensor for the purposes of temperature compensating its VREF. The compensation computations must be implemented in MPU firmware and written to the corresponding </w:t>
      </w:r>
      <w:r>
        <w:rPr>
          <w:rFonts w:ascii="Times New Roman"/>
          <w:i/>
        </w:rPr>
        <w:t>GAIN_ADJx </w:t>
      </w:r>
      <w:r>
        <w:rPr/>
        <w:t>CE RAM location.</w:t>
      </w:r>
    </w:p>
    <w:p>
      <w:pPr>
        <w:pStyle w:val="BodyText"/>
        <w:spacing w:line="230" w:lineRule="auto" w:before="126"/>
        <w:ind w:left="239" w:right="386"/>
      </w:pPr>
      <w:r>
        <w:rPr/>
        <w:t>Referring to </w:t>
      </w:r>
      <w:hyperlink w:history="true" w:anchor="_bookmark181">
        <w:r>
          <w:rPr>
            <w:color w:val="0000FF"/>
          </w:rPr>
          <w:t>Figure 32</w:t>
        </w:r>
        <w:r>
          <w:rPr/>
          <w:t>, </w:t>
        </w:r>
      </w:hyperlink>
      <w:r>
        <w:rPr/>
        <w:t>the VADC8 (VA), VADC9 (VB) and VADC10 (VC) voltage sensors are directly connected to the 71M6543. Thus, the precision of the </w:t>
      </w:r>
      <w:r>
        <w:rPr>
          <w:spacing w:val="-3"/>
        </w:rPr>
        <w:t>voltage sensors </w:t>
      </w:r>
      <w:r>
        <w:rPr/>
        <w:t>is </w:t>
      </w:r>
      <w:r>
        <w:rPr>
          <w:spacing w:val="-3"/>
        </w:rPr>
        <w:t>primarily affected </w:t>
      </w:r>
      <w:r>
        <w:rPr/>
        <w:t>by </w:t>
      </w:r>
      <w:r>
        <w:rPr>
          <w:spacing w:val="-3"/>
        </w:rPr>
        <w:t>VREF </w:t>
      </w:r>
      <w:r>
        <w:rPr/>
        <w:t>in </w:t>
      </w:r>
      <w:r>
        <w:rPr>
          <w:spacing w:val="-3"/>
        </w:rPr>
        <w:t>the 71M6543. </w:t>
      </w:r>
      <w:r>
        <w:rPr/>
        <w:t>The </w:t>
      </w:r>
      <w:r>
        <w:rPr>
          <w:spacing w:val="-3"/>
        </w:rPr>
        <w:t>temperature coefficient of </w:t>
      </w:r>
      <w:r>
        <w:rPr/>
        <w:t>the </w:t>
      </w:r>
      <w:r>
        <w:rPr>
          <w:spacing w:val="-3"/>
        </w:rPr>
        <w:t>resistors used </w:t>
      </w:r>
      <w:r>
        <w:rPr/>
        <w:t>to </w:t>
      </w:r>
      <w:r>
        <w:rPr>
          <w:spacing w:val="-3"/>
        </w:rPr>
        <w:t>implement </w:t>
      </w:r>
      <w:r>
        <w:rPr/>
        <w:t>the </w:t>
      </w:r>
      <w:r>
        <w:rPr>
          <w:spacing w:val="-3"/>
        </w:rPr>
        <w:t>voltage dividers </w:t>
      </w:r>
      <w:r>
        <w:rPr/>
        <w:t>for the </w:t>
      </w:r>
      <w:r>
        <w:rPr>
          <w:spacing w:val="-3"/>
        </w:rPr>
        <w:t>voltage sensors </w:t>
      </w:r>
      <w:r>
        <w:rPr/>
        <w:t>(see </w:t>
      </w:r>
      <w:hyperlink w:history="true" w:anchor="_bookmark174">
        <w:r>
          <w:rPr>
            <w:color w:val="0000FF"/>
          </w:rPr>
          <w:t>Figure 27</w:t>
        </w:r>
      </w:hyperlink>
      <w:r>
        <w:rPr/>
        <w:t>) </w:t>
      </w:r>
      <w:r>
        <w:rPr>
          <w:spacing w:val="-3"/>
        </w:rPr>
        <w:t>determine </w:t>
      </w:r>
      <w:r>
        <w:rPr/>
        <w:t>the </w:t>
      </w:r>
      <w:r>
        <w:rPr>
          <w:spacing w:val="-3"/>
        </w:rPr>
        <w:t>behavior </w:t>
      </w:r>
      <w:r>
        <w:rPr/>
        <w:t>of the </w:t>
      </w:r>
      <w:r>
        <w:rPr>
          <w:spacing w:val="-4"/>
        </w:rPr>
        <w:t>voltage </w:t>
      </w:r>
      <w:r>
        <w:rPr>
          <w:spacing w:val="-3"/>
        </w:rPr>
        <w:t>division ratio with respect </w:t>
      </w:r>
      <w:r>
        <w:rPr/>
        <w:t>to </w:t>
      </w:r>
      <w:r>
        <w:rPr>
          <w:spacing w:val="-3"/>
        </w:rPr>
        <w:t>temperature. </w:t>
      </w:r>
      <w:r>
        <w:rPr/>
        <w:t>It is </w:t>
      </w:r>
      <w:r>
        <w:rPr>
          <w:spacing w:val="-3"/>
        </w:rPr>
        <w:t>recommended </w:t>
      </w:r>
      <w:r>
        <w:rPr/>
        <w:t>to </w:t>
      </w:r>
      <w:r>
        <w:rPr>
          <w:spacing w:val="-3"/>
        </w:rPr>
        <w:t>use resistors with low temperature coefficients, </w:t>
      </w:r>
      <w:r>
        <w:rPr>
          <w:spacing w:val="-4"/>
        </w:rPr>
        <w:t>while </w:t>
      </w:r>
      <w:r>
        <w:rPr/>
        <w:t>forming the </w:t>
      </w:r>
      <w:r>
        <w:rPr>
          <w:spacing w:val="-3"/>
        </w:rPr>
        <w:t>entire voltage </w:t>
      </w:r>
      <w:r>
        <w:rPr>
          <w:spacing w:val="-4"/>
        </w:rPr>
        <w:t>divider </w:t>
      </w:r>
      <w:r>
        <w:rPr>
          <w:spacing w:val="-3"/>
        </w:rPr>
        <w:t>using resistors belonging </w:t>
      </w:r>
      <w:r>
        <w:rPr/>
        <w:t>to the same </w:t>
      </w:r>
      <w:r>
        <w:rPr>
          <w:spacing w:val="-3"/>
        </w:rPr>
        <w:t>technology family, </w:t>
      </w:r>
      <w:r>
        <w:rPr/>
        <w:t>in </w:t>
      </w:r>
      <w:r>
        <w:rPr>
          <w:spacing w:val="-3"/>
        </w:rPr>
        <w:t>order </w:t>
      </w:r>
      <w:r>
        <w:rPr/>
        <w:t>to </w:t>
      </w:r>
      <w:r>
        <w:rPr>
          <w:spacing w:val="-3"/>
        </w:rPr>
        <w:t>minimize </w:t>
      </w:r>
      <w:r>
        <w:rPr/>
        <w:t>the </w:t>
      </w:r>
      <w:r>
        <w:rPr>
          <w:spacing w:val="-3"/>
        </w:rPr>
        <w:t>temperature dependency of </w:t>
      </w:r>
      <w:r>
        <w:rPr/>
        <w:t>the </w:t>
      </w:r>
      <w:r>
        <w:rPr>
          <w:spacing w:val="-3"/>
        </w:rPr>
        <w:t>voltage division ratio. </w:t>
      </w:r>
      <w:r>
        <w:rPr/>
        <w:t>The </w:t>
      </w:r>
      <w:r>
        <w:rPr>
          <w:spacing w:val="-3"/>
        </w:rPr>
        <w:t>resistors must also have suitable voltage ratings.</w:t>
      </w:r>
    </w:p>
    <w:p>
      <w:pPr>
        <w:pStyle w:val="BodyText"/>
        <w:spacing w:line="230" w:lineRule="auto" w:before="118"/>
        <w:ind w:left="239" w:right="434"/>
      </w:pPr>
      <w:r>
        <w:rPr/>
        <w:t>The </w:t>
      </w:r>
      <w:r>
        <w:rPr>
          <w:spacing w:val="-3"/>
        </w:rPr>
        <w:t>Current Transformers are directly connected </w:t>
      </w:r>
      <w:r>
        <w:rPr/>
        <w:t>to the </w:t>
      </w:r>
      <w:r>
        <w:rPr>
          <w:spacing w:val="-3"/>
        </w:rPr>
        <w:t>71M6543 </w:t>
      </w:r>
      <w:r>
        <w:rPr/>
        <w:t>and are </w:t>
      </w:r>
      <w:r>
        <w:rPr>
          <w:spacing w:val="-3"/>
        </w:rPr>
        <w:t>therefore primarily affected </w:t>
      </w:r>
      <w:r>
        <w:rPr/>
        <w:t>by </w:t>
      </w:r>
      <w:r>
        <w:rPr>
          <w:spacing w:val="-3"/>
        </w:rPr>
        <w:t>the VREF temperature dependency </w:t>
      </w:r>
      <w:r>
        <w:rPr/>
        <w:t>in the </w:t>
      </w:r>
      <w:r>
        <w:rPr>
          <w:spacing w:val="-3"/>
        </w:rPr>
        <w:t>71M6543. </w:t>
      </w:r>
      <w:r>
        <w:rPr/>
        <w:t>For best </w:t>
      </w:r>
      <w:r>
        <w:rPr>
          <w:spacing w:val="-3"/>
        </w:rPr>
        <w:t>performance, </w:t>
      </w:r>
      <w:r>
        <w:rPr/>
        <w:t>it </w:t>
      </w:r>
      <w:r>
        <w:rPr>
          <w:spacing w:val="-3"/>
        </w:rPr>
        <w:t>is recommended </w:t>
      </w:r>
      <w:r>
        <w:rPr/>
        <w:t>to use </w:t>
      </w:r>
      <w:r>
        <w:rPr>
          <w:spacing w:val="-3"/>
        </w:rPr>
        <w:t>the</w:t>
      </w:r>
    </w:p>
    <w:p>
      <w:pPr>
        <w:spacing w:after="0" w:line="230" w:lineRule="auto"/>
        <w:sectPr>
          <w:pgSz w:w="12240" w:h="15840"/>
          <w:pgMar w:header="727" w:footer="819" w:top="960" w:bottom="1000" w:left="1200" w:right="1060"/>
        </w:sectPr>
      </w:pPr>
    </w:p>
    <w:p>
      <w:pPr>
        <w:pStyle w:val="BodyText"/>
        <w:spacing w:before="1"/>
        <w:rPr>
          <w:sz w:val="16"/>
        </w:rPr>
      </w:pPr>
    </w:p>
    <w:p>
      <w:pPr>
        <w:pStyle w:val="BodyText"/>
        <w:spacing w:line="230" w:lineRule="auto" w:before="100"/>
        <w:ind w:left="239" w:right="388"/>
      </w:pPr>
      <w:r>
        <w:rPr>
          <w:spacing w:val="-3"/>
        </w:rPr>
        <w:t>differential signal conditioning circuit, as shown </w:t>
      </w:r>
      <w:r>
        <w:rPr/>
        <w:t>in </w:t>
      </w:r>
      <w:hyperlink w:history="true" w:anchor="_bookmark176">
        <w:r>
          <w:rPr>
            <w:color w:val="0000FF"/>
          </w:rPr>
          <w:t>Figure 29</w:t>
        </w:r>
        <w:r>
          <w:rPr/>
          <w:t>, </w:t>
        </w:r>
      </w:hyperlink>
      <w:r>
        <w:rPr/>
        <w:t>to </w:t>
      </w:r>
      <w:r>
        <w:rPr>
          <w:spacing w:val="-3"/>
        </w:rPr>
        <w:t>connect </w:t>
      </w:r>
      <w:r>
        <w:rPr/>
        <w:t>the CTs to </w:t>
      </w:r>
      <w:r>
        <w:rPr>
          <w:spacing w:val="-3"/>
        </w:rPr>
        <w:t>the 71M6543. Current transformers </w:t>
      </w:r>
      <w:r>
        <w:rPr/>
        <w:t>may also </w:t>
      </w:r>
      <w:r>
        <w:rPr>
          <w:spacing w:val="-3"/>
        </w:rPr>
        <w:t>require temperature compensation. </w:t>
      </w:r>
      <w:r>
        <w:rPr/>
        <w:t>The </w:t>
      </w:r>
      <w:r>
        <w:rPr>
          <w:spacing w:val="-3"/>
        </w:rPr>
        <w:t>copper wire </w:t>
      </w:r>
      <w:r>
        <w:rPr>
          <w:spacing w:val="-4"/>
        </w:rPr>
        <w:t>winding </w:t>
      </w:r>
      <w:r>
        <w:rPr/>
        <w:t>in the CT </w:t>
      </w:r>
      <w:r>
        <w:rPr>
          <w:spacing w:val="-3"/>
        </w:rPr>
        <w:t>has </w:t>
      </w:r>
      <w:r>
        <w:rPr/>
        <w:t>dc </w:t>
      </w:r>
      <w:r>
        <w:rPr>
          <w:spacing w:val="-3"/>
        </w:rPr>
        <w:t>resistance with </w:t>
      </w:r>
      <w:r>
        <w:rPr/>
        <w:t>a </w:t>
      </w:r>
      <w:r>
        <w:rPr>
          <w:spacing w:val="-3"/>
        </w:rPr>
        <w:t>temperature coefficient, which </w:t>
      </w:r>
      <w:r>
        <w:rPr/>
        <w:t>makes </w:t>
      </w:r>
      <w:r>
        <w:rPr>
          <w:spacing w:val="-3"/>
        </w:rPr>
        <w:t>the voltage delivered </w:t>
      </w:r>
      <w:r>
        <w:rPr/>
        <w:t>to the </w:t>
      </w:r>
      <w:r>
        <w:rPr>
          <w:spacing w:val="-2"/>
        </w:rPr>
        <w:t>burden </w:t>
      </w:r>
      <w:r>
        <w:rPr>
          <w:spacing w:val="-3"/>
        </w:rPr>
        <w:t>resistor temperature dependent, </w:t>
      </w:r>
      <w:r>
        <w:rPr/>
        <w:t>and the </w:t>
      </w:r>
      <w:r>
        <w:rPr>
          <w:spacing w:val="-3"/>
        </w:rPr>
        <w:t>burden resistor also has </w:t>
      </w:r>
      <w:r>
        <w:rPr/>
        <w:t>a </w:t>
      </w:r>
      <w:r>
        <w:rPr>
          <w:spacing w:val="-3"/>
        </w:rPr>
        <w:t>temperature coefficient. Thus, </w:t>
      </w:r>
      <w:r>
        <w:rPr/>
        <w:t>each </w:t>
      </w:r>
      <w:r>
        <w:rPr>
          <w:spacing w:val="-3"/>
        </w:rPr>
        <w:t>CT sensor channel needs </w:t>
      </w:r>
      <w:r>
        <w:rPr/>
        <w:t>to </w:t>
      </w:r>
      <w:r>
        <w:rPr>
          <w:spacing w:val="-3"/>
        </w:rPr>
        <w:t>compensate for </w:t>
      </w:r>
      <w:r>
        <w:rPr/>
        <w:t>the </w:t>
      </w:r>
      <w:r>
        <w:rPr>
          <w:spacing w:val="-3"/>
        </w:rPr>
        <w:t>71M6543 VREF, </w:t>
      </w:r>
      <w:r>
        <w:rPr/>
        <w:t>and </w:t>
      </w:r>
      <w:r>
        <w:rPr>
          <w:spacing w:val="-3"/>
        </w:rPr>
        <w:t>optionally </w:t>
      </w:r>
      <w:r>
        <w:rPr/>
        <w:t>for the </w:t>
      </w:r>
      <w:r>
        <w:rPr>
          <w:spacing w:val="-3"/>
        </w:rPr>
        <w:t>temperature dependency </w:t>
      </w:r>
      <w:r>
        <w:rPr/>
        <w:t>of </w:t>
      </w:r>
      <w:r>
        <w:rPr>
          <w:spacing w:val="-3"/>
        </w:rPr>
        <w:t>the </w:t>
      </w:r>
      <w:r>
        <w:rPr/>
        <w:t>CT and </w:t>
      </w:r>
      <w:r>
        <w:rPr>
          <w:spacing w:val="-3"/>
        </w:rPr>
        <w:t>its burden </w:t>
      </w:r>
      <w:r>
        <w:rPr>
          <w:spacing w:val="-4"/>
        </w:rPr>
        <w:t>resistor depending </w:t>
      </w:r>
      <w:r>
        <w:rPr/>
        <w:t>on the </w:t>
      </w:r>
      <w:r>
        <w:rPr>
          <w:spacing w:val="-3"/>
        </w:rPr>
        <w:t>required accuracy class.</w:t>
      </w:r>
    </w:p>
    <w:p>
      <w:pPr>
        <w:pStyle w:val="BodyText"/>
        <w:spacing w:line="230" w:lineRule="auto" w:before="118"/>
        <w:ind w:left="239" w:right="401"/>
      </w:pPr>
      <w:r>
        <w:rPr/>
        <w:t>The</w:t>
      </w:r>
      <w:r>
        <w:rPr>
          <w:spacing w:val="-16"/>
        </w:rPr>
        <w:t> </w:t>
      </w:r>
      <w:r>
        <w:rPr/>
        <w:t>MPU</w:t>
      </w:r>
      <w:r>
        <w:rPr>
          <w:spacing w:val="-12"/>
        </w:rPr>
        <w:t> </w:t>
      </w:r>
      <w:r>
        <w:rPr/>
        <w:t>has</w:t>
      </w:r>
      <w:r>
        <w:rPr>
          <w:spacing w:val="-12"/>
        </w:rPr>
        <w:t> </w:t>
      </w:r>
      <w:r>
        <w:rPr/>
        <w:t>the</w:t>
      </w:r>
      <w:r>
        <w:rPr>
          <w:spacing w:val="-15"/>
        </w:rPr>
        <w:t> </w:t>
      </w:r>
      <w:r>
        <w:rPr/>
        <w:t>responsibility</w:t>
      </w:r>
      <w:r>
        <w:rPr>
          <w:spacing w:val="-16"/>
        </w:rPr>
        <w:t> </w:t>
      </w:r>
      <w:r>
        <w:rPr/>
        <w:t>of</w:t>
      </w:r>
      <w:r>
        <w:rPr>
          <w:spacing w:val="-13"/>
        </w:rPr>
        <w:t> </w:t>
      </w:r>
      <w:r>
        <w:rPr/>
        <w:t>computing</w:t>
      </w:r>
      <w:r>
        <w:rPr>
          <w:spacing w:val="-15"/>
        </w:rPr>
        <w:t> </w:t>
      </w:r>
      <w:r>
        <w:rPr/>
        <w:t>the</w:t>
      </w:r>
      <w:r>
        <w:rPr>
          <w:spacing w:val="-13"/>
        </w:rPr>
        <w:t> </w:t>
      </w:r>
      <w:r>
        <w:rPr/>
        <w:t>necessary</w:t>
      </w:r>
      <w:r>
        <w:rPr>
          <w:spacing w:val="-18"/>
        </w:rPr>
        <w:t> </w:t>
      </w:r>
      <w:r>
        <w:rPr/>
        <w:t>sample</w:t>
      </w:r>
      <w:r>
        <w:rPr>
          <w:spacing w:val="-13"/>
        </w:rPr>
        <w:t> </w:t>
      </w:r>
      <w:r>
        <w:rPr/>
        <w:t>gain</w:t>
      </w:r>
      <w:r>
        <w:rPr>
          <w:spacing w:val="-15"/>
        </w:rPr>
        <w:t> </w:t>
      </w:r>
      <w:r>
        <w:rPr/>
        <w:t>compensation</w:t>
      </w:r>
      <w:r>
        <w:rPr>
          <w:spacing w:val="-14"/>
        </w:rPr>
        <w:t> </w:t>
      </w:r>
      <w:r>
        <w:rPr>
          <w:spacing w:val="-3"/>
        </w:rPr>
        <w:t>values</w:t>
      </w:r>
      <w:r>
        <w:rPr>
          <w:spacing w:val="-12"/>
        </w:rPr>
        <w:t> </w:t>
      </w:r>
      <w:r>
        <w:rPr/>
        <w:t>required</w:t>
      </w:r>
      <w:r>
        <w:rPr>
          <w:spacing w:val="-15"/>
        </w:rPr>
        <w:t> </w:t>
      </w:r>
      <w:r>
        <w:rPr>
          <w:spacing w:val="-3"/>
        </w:rPr>
        <w:t>for </w:t>
      </w:r>
      <w:r>
        <w:rPr/>
        <w:t>each sensor channel based on the sensed temperature. Maxim provides demonstration code that implements the </w:t>
      </w:r>
      <w:r>
        <w:rPr>
          <w:rFonts w:ascii="Times New Roman"/>
          <w:i/>
        </w:rPr>
        <w:t>GAIN_ADJx </w:t>
      </w:r>
      <w:r>
        <w:rPr/>
        <w:t>compensation equation shown below. The resulting </w:t>
      </w:r>
      <w:r>
        <w:rPr>
          <w:rFonts w:ascii="Times New Roman"/>
          <w:i/>
        </w:rPr>
        <w:t>GAIN_ADJx </w:t>
      </w:r>
      <w:r>
        <w:rPr/>
        <w:t>values are stored by the MPU in five CE RAM locations </w:t>
      </w:r>
      <w:r>
        <w:rPr>
          <w:rFonts w:ascii="Times New Roman"/>
          <w:i/>
        </w:rPr>
        <w:t>GAIN_ADJ0-GAIN_ADJ5 </w:t>
      </w:r>
      <w:r>
        <w:rPr/>
        <w:t>(</w:t>
      </w:r>
      <w:r>
        <w:rPr>
          <w:rFonts w:ascii="Times New Roman"/>
          <w:i/>
        </w:rPr>
        <w:t>CE RAM 0x40-0x44</w:t>
      </w:r>
      <w:r>
        <w:rPr/>
        <w:t>). The </w:t>
      </w:r>
      <w:r>
        <w:rPr>
          <w:spacing w:val="-3"/>
        </w:rPr>
        <w:t>demonstration </w:t>
      </w:r>
      <w:r>
        <w:rPr/>
        <w:t>code thus provides a suitable implementation of temperature compensation, but other methods</w:t>
      </w:r>
      <w:r>
        <w:rPr>
          <w:spacing w:val="-9"/>
        </w:rPr>
        <w:t> </w:t>
      </w:r>
      <w:r>
        <w:rPr/>
        <w:t>are</w:t>
      </w:r>
      <w:r>
        <w:rPr>
          <w:spacing w:val="-10"/>
        </w:rPr>
        <w:t> </w:t>
      </w:r>
      <w:r>
        <w:rPr/>
        <w:t>possible</w:t>
      </w:r>
      <w:r>
        <w:rPr>
          <w:spacing w:val="-8"/>
        </w:rPr>
        <w:t> </w:t>
      </w:r>
      <w:r>
        <w:rPr/>
        <w:t>in</w:t>
      </w:r>
      <w:r>
        <w:rPr>
          <w:spacing w:val="-7"/>
        </w:rPr>
        <w:t> </w:t>
      </w:r>
      <w:r>
        <w:rPr/>
        <w:t>MPU</w:t>
      </w:r>
      <w:r>
        <w:rPr>
          <w:spacing w:val="-12"/>
        </w:rPr>
        <w:t> </w:t>
      </w:r>
      <w:r>
        <w:rPr/>
        <w:t>firmware</w:t>
      </w:r>
      <w:r>
        <w:rPr>
          <w:spacing w:val="-13"/>
        </w:rPr>
        <w:t> </w:t>
      </w:r>
      <w:r>
        <w:rPr/>
        <w:t>by</w:t>
      </w:r>
      <w:r>
        <w:rPr>
          <w:spacing w:val="-14"/>
        </w:rPr>
        <w:t> </w:t>
      </w:r>
      <w:r>
        <w:rPr>
          <w:spacing w:val="-3"/>
        </w:rPr>
        <w:t>utilizing</w:t>
      </w:r>
      <w:r>
        <w:rPr>
          <w:spacing w:val="-14"/>
        </w:rPr>
        <w:t> </w:t>
      </w:r>
      <w:r>
        <w:rPr/>
        <w:t>the</w:t>
      </w:r>
      <w:r>
        <w:rPr>
          <w:spacing w:val="-9"/>
        </w:rPr>
        <w:t> </w:t>
      </w:r>
      <w:r>
        <w:rPr/>
        <w:t>on-chip</w:t>
      </w:r>
      <w:r>
        <w:rPr>
          <w:spacing w:val="-13"/>
        </w:rPr>
        <w:t> </w:t>
      </w:r>
      <w:r>
        <w:rPr/>
        <w:t>temperature</w:t>
      </w:r>
      <w:r>
        <w:rPr>
          <w:spacing w:val="-13"/>
        </w:rPr>
        <w:t> </w:t>
      </w:r>
      <w:r>
        <w:rPr/>
        <w:t>sensor</w:t>
      </w:r>
      <w:r>
        <w:rPr>
          <w:spacing w:val="-11"/>
        </w:rPr>
        <w:t> </w:t>
      </w:r>
      <w:r>
        <w:rPr/>
        <w:t>while</w:t>
      </w:r>
      <w:r>
        <w:rPr>
          <w:spacing w:val="-13"/>
        </w:rPr>
        <w:t> </w:t>
      </w:r>
      <w:r>
        <w:rPr/>
        <w:t>storing</w:t>
      </w:r>
      <w:r>
        <w:rPr>
          <w:spacing w:val="-12"/>
        </w:rPr>
        <w:t> </w:t>
      </w:r>
      <w:r>
        <w:rPr/>
        <w:t>the</w:t>
      </w:r>
      <w:r>
        <w:rPr>
          <w:spacing w:val="-14"/>
        </w:rPr>
        <w:t> </w:t>
      </w:r>
      <w:r>
        <w:rPr/>
        <w:t>sample gain adjustment results in the CE RAM </w:t>
      </w:r>
      <w:r>
        <w:rPr>
          <w:rFonts w:ascii="Times New Roman"/>
          <w:i/>
          <w:spacing w:val="-3"/>
        </w:rPr>
        <w:t>GAIN_ADJn </w:t>
      </w:r>
      <w:r>
        <w:rPr/>
        <w:t>storage locations. The demonstration code maintains five separate sets of </w:t>
      </w:r>
      <w:r>
        <w:rPr>
          <w:i/>
        </w:rPr>
        <w:t>PPMC </w:t>
      </w:r>
      <w:r>
        <w:rPr/>
        <w:t>and </w:t>
      </w:r>
      <w:r>
        <w:rPr>
          <w:i/>
        </w:rPr>
        <w:t>PPMC2 </w:t>
      </w:r>
      <w:r>
        <w:rPr/>
        <w:t>coefficients and computes five separate </w:t>
      </w:r>
      <w:r>
        <w:rPr>
          <w:rFonts w:ascii="Times New Roman"/>
          <w:i/>
        </w:rPr>
        <w:t>GAIN_ADJn </w:t>
      </w:r>
      <w:r>
        <w:rPr/>
        <w:t>values based on the sensed temperature using the equation below:</w:t>
      </w:r>
    </w:p>
    <w:p>
      <w:pPr>
        <w:spacing w:after="0" w:line="230" w:lineRule="auto"/>
        <w:sectPr>
          <w:pgSz w:w="12240" w:h="15840"/>
          <w:pgMar w:header="727" w:footer="819" w:top="960" w:bottom="1000" w:left="1200" w:right="1060"/>
        </w:sectPr>
      </w:pPr>
    </w:p>
    <w:p>
      <w:pPr>
        <w:pStyle w:val="BodyText"/>
        <w:spacing w:before="7"/>
        <w:rPr>
          <w:sz w:val="27"/>
        </w:rPr>
      </w:pPr>
    </w:p>
    <w:p>
      <w:pPr>
        <w:spacing w:line="206" w:lineRule="exact" w:before="0"/>
        <w:ind w:left="1439" w:right="0" w:firstLine="0"/>
        <w:jc w:val="left"/>
        <w:rPr>
          <w:rFonts w:ascii="Symbol" w:hAnsi="Symbol"/>
          <w:sz w:val="25"/>
        </w:rPr>
      </w:pPr>
      <w:r>
        <w:rPr>
          <w:rFonts w:ascii="Times New Roman" w:hAnsi="Times New Roman"/>
          <w:i/>
          <w:w w:val="95"/>
          <w:sz w:val="25"/>
        </w:rPr>
        <w:t>GAIN</w:t>
      </w:r>
      <w:r>
        <w:rPr>
          <w:rFonts w:ascii="Times New Roman" w:hAnsi="Times New Roman"/>
          <w:i/>
          <w:spacing w:val="-21"/>
          <w:w w:val="95"/>
          <w:sz w:val="25"/>
        </w:rPr>
        <w:t> </w:t>
      </w:r>
      <w:r>
        <w:rPr>
          <w:rFonts w:ascii="Times New Roman" w:hAnsi="Times New Roman"/>
          <w:w w:val="95"/>
          <w:sz w:val="25"/>
        </w:rPr>
        <w:t>_</w:t>
      </w:r>
      <w:r>
        <w:rPr>
          <w:rFonts w:ascii="Times New Roman" w:hAnsi="Times New Roman"/>
          <w:spacing w:val="-20"/>
          <w:w w:val="95"/>
          <w:sz w:val="25"/>
        </w:rPr>
        <w:t> </w:t>
      </w:r>
      <w:r>
        <w:rPr>
          <w:rFonts w:ascii="Times New Roman" w:hAnsi="Times New Roman"/>
          <w:i/>
          <w:w w:val="95"/>
          <w:sz w:val="25"/>
        </w:rPr>
        <w:t>ADJx</w:t>
      </w:r>
      <w:r>
        <w:rPr>
          <w:rFonts w:ascii="Times New Roman" w:hAnsi="Times New Roman"/>
          <w:i/>
          <w:spacing w:val="-23"/>
          <w:w w:val="95"/>
          <w:sz w:val="25"/>
        </w:rPr>
        <w:t> </w:t>
      </w:r>
      <w:r>
        <w:rPr>
          <w:rFonts w:ascii="Symbol" w:hAnsi="Symbol"/>
          <w:w w:val="95"/>
          <w:sz w:val="25"/>
        </w:rPr>
        <w:t></w:t>
      </w:r>
      <w:r>
        <w:rPr>
          <w:rFonts w:ascii="Times New Roman" w:hAnsi="Times New Roman"/>
          <w:spacing w:val="-39"/>
          <w:w w:val="95"/>
          <w:sz w:val="25"/>
        </w:rPr>
        <w:t> </w:t>
      </w:r>
      <w:r>
        <w:rPr>
          <w:rFonts w:ascii="Times New Roman" w:hAnsi="Times New Roman"/>
          <w:w w:val="95"/>
          <w:sz w:val="25"/>
        </w:rPr>
        <w:t>16385</w:t>
      </w:r>
      <w:r>
        <w:rPr>
          <w:rFonts w:ascii="Times New Roman" w:hAnsi="Times New Roman"/>
          <w:spacing w:val="-39"/>
          <w:w w:val="95"/>
          <w:sz w:val="25"/>
        </w:rPr>
        <w:t> </w:t>
      </w:r>
      <w:r>
        <w:rPr>
          <w:rFonts w:ascii="Symbol" w:hAnsi="Symbol"/>
          <w:spacing w:val="-14"/>
          <w:w w:val="95"/>
          <w:sz w:val="25"/>
        </w:rPr>
        <w:t></w:t>
      </w:r>
    </w:p>
    <w:p>
      <w:pPr>
        <w:spacing w:line="129" w:lineRule="auto" w:before="197"/>
        <w:ind w:left="-5" w:right="0" w:firstLine="0"/>
        <w:jc w:val="left"/>
        <w:rPr>
          <w:rFonts w:ascii="Times New Roman" w:hAnsi="Times New Roman"/>
          <w:sz w:val="25"/>
        </w:rPr>
      </w:pPr>
      <w:r>
        <w:rPr/>
        <w:br w:type="column"/>
      </w:r>
      <w:r>
        <w:rPr>
          <w:rFonts w:ascii="Times New Roman" w:hAnsi="Times New Roman"/>
          <w:w w:val="95"/>
          <w:sz w:val="25"/>
        </w:rPr>
        <w:t>10 </w:t>
      </w:r>
      <w:r>
        <w:rPr>
          <w:rFonts w:ascii="Symbol" w:hAnsi="Symbol"/>
          <w:w w:val="95"/>
          <w:sz w:val="25"/>
        </w:rPr>
        <w:t></w:t>
      </w:r>
      <w:r>
        <w:rPr>
          <w:rFonts w:ascii="Times New Roman" w:hAnsi="Times New Roman"/>
          <w:i/>
          <w:w w:val="95"/>
          <w:sz w:val="25"/>
        </w:rPr>
        <w:t>TEMP </w:t>
      </w:r>
      <w:r>
        <w:rPr>
          <w:rFonts w:ascii="Times New Roman" w:hAnsi="Times New Roman"/>
          <w:w w:val="95"/>
          <w:sz w:val="25"/>
        </w:rPr>
        <w:t>_ </w:t>
      </w:r>
      <w:r>
        <w:rPr>
          <w:rFonts w:ascii="Times New Roman" w:hAnsi="Times New Roman"/>
          <w:i/>
          <w:w w:val="95"/>
          <w:sz w:val="25"/>
        </w:rPr>
        <w:t>X </w:t>
      </w:r>
      <w:r>
        <w:rPr>
          <w:rFonts w:ascii="Symbol" w:hAnsi="Symbol"/>
          <w:w w:val="90"/>
          <w:sz w:val="25"/>
        </w:rPr>
        <w:t></w:t>
      </w:r>
      <w:r>
        <w:rPr>
          <w:rFonts w:ascii="Times New Roman" w:hAnsi="Times New Roman"/>
          <w:w w:val="90"/>
          <w:sz w:val="25"/>
        </w:rPr>
        <w:t> </w:t>
      </w:r>
      <w:r>
        <w:rPr>
          <w:rFonts w:ascii="Times New Roman" w:hAnsi="Times New Roman"/>
          <w:i/>
          <w:w w:val="95"/>
          <w:sz w:val="25"/>
        </w:rPr>
        <w:t>PPMC </w:t>
      </w:r>
      <w:r>
        <w:rPr>
          <w:rFonts w:ascii="Symbol" w:hAnsi="Symbol"/>
          <w:w w:val="95"/>
          <w:position w:val="-15"/>
          <w:sz w:val="25"/>
        </w:rPr>
        <w:t></w:t>
      </w:r>
      <w:r>
        <w:rPr>
          <w:rFonts w:ascii="Times New Roman" w:hAnsi="Times New Roman"/>
          <w:w w:val="95"/>
          <w:position w:val="-15"/>
          <w:sz w:val="25"/>
        </w:rPr>
        <w:t> </w:t>
      </w:r>
      <w:r>
        <w:rPr>
          <w:rFonts w:ascii="Times New Roman" w:hAnsi="Times New Roman"/>
          <w:w w:val="95"/>
          <w:sz w:val="25"/>
        </w:rPr>
        <w:t>100 </w:t>
      </w:r>
      <w:r>
        <w:rPr>
          <w:rFonts w:ascii="Symbol" w:hAnsi="Symbol"/>
          <w:w w:val="95"/>
          <w:sz w:val="25"/>
        </w:rPr>
        <w:t></w:t>
      </w:r>
      <w:r>
        <w:rPr>
          <w:rFonts w:ascii="Times New Roman" w:hAnsi="Times New Roman"/>
          <w:i/>
          <w:w w:val="95"/>
          <w:sz w:val="25"/>
        </w:rPr>
        <w:t>TEMP </w:t>
      </w:r>
      <w:r>
        <w:rPr>
          <w:rFonts w:ascii="Times New Roman" w:hAnsi="Times New Roman"/>
          <w:w w:val="95"/>
          <w:sz w:val="25"/>
        </w:rPr>
        <w:t>_ </w:t>
      </w:r>
      <w:r>
        <w:rPr>
          <w:rFonts w:ascii="Times New Roman" w:hAnsi="Times New Roman"/>
          <w:i/>
          <w:w w:val="95"/>
          <w:sz w:val="25"/>
        </w:rPr>
        <w:t>X </w:t>
      </w:r>
      <w:r>
        <w:rPr>
          <w:rFonts w:ascii="Times New Roman" w:hAnsi="Times New Roman"/>
          <w:w w:val="95"/>
          <w:sz w:val="25"/>
          <w:vertAlign w:val="superscript"/>
        </w:rPr>
        <w:t>2</w:t>
      </w:r>
      <w:r>
        <w:rPr>
          <w:rFonts w:ascii="Times New Roman" w:hAnsi="Times New Roman"/>
          <w:w w:val="95"/>
          <w:sz w:val="25"/>
          <w:vertAlign w:val="baseline"/>
        </w:rPr>
        <w:t> </w:t>
      </w:r>
      <w:r>
        <w:rPr>
          <w:rFonts w:ascii="Symbol" w:hAnsi="Symbol"/>
          <w:w w:val="90"/>
          <w:sz w:val="25"/>
          <w:vertAlign w:val="baseline"/>
        </w:rPr>
        <w:t></w:t>
      </w:r>
      <w:r>
        <w:rPr>
          <w:rFonts w:ascii="Times New Roman" w:hAnsi="Times New Roman"/>
          <w:w w:val="90"/>
          <w:sz w:val="25"/>
          <w:vertAlign w:val="baseline"/>
        </w:rPr>
        <w:t> </w:t>
      </w:r>
      <w:r>
        <w:rPr>
          <w:rFonts w:ascii="Times New Roman" w:hAnsi="Times New Roman"/>
          <w:i/>
          <w:w w:val="95"/>
          <w:sz w:val="25"/>
          <w:vertAlign w:val="baseline"/>
        </w:rPr>
        <w:t>PPMC</w:t>
      </w:r>
      <w:r>
        <w:rPr>
          <w:rFonts w:ascii="Times New Roman" w:hAnsi="Times New Roman"/>
          <w:w w:val="95"/>
          <w:sz w:val="25"/>
          <w:vertAlign w:val="baseline"/>
        </w:rPr>
        <w:t>2</w:t>
      </w:r>
    </w:p>
    <w:p>
      <w:pPr>
        <w:spacing w:after="0" w:line="129" w:lineRule="auto"/>
        <w:jc w:val="left"/>
        <w:rPr>
          <w:rFonts w:ascii="Times New Roman" w:hAnsi="Times New Roman"/>
          <w:sz w:val="25"/>
        </w:rPr>
        <w:sectPr>
          <w:type w:val="continuous"/>
          <w:pgSz w:w="12240" w:h="15840"/>
          <w:pgMar w:top="940" w:bottom="280" w:left="1200" w:right="1060"/>
          <w:cols w:num="2" w:equalWidth="0">
            <w:col w:w="3649" w:space="40"/>
            <w:col w:w="6291"/>
          </w:cols>
        </w:sectPr>
      </w:pPr>
    </w:p>
    <w:p>
      <w:pPr>
        <w:tabs>
          <w:tab w:pos="7038" w:val="left" w:leader="none"/>
        </w:tabs>
        <w:spacing w:line="136" w:lineRule="auto" w:before="47"/>
        <w:ind w:left="4592" w:right="0" w:firstLine="0"/>
        <w:jc w:val="left"/>
        <w:rPr>
          <w:rFonts w:ascii="Times New Roman"/>
          <w:sz w:val="15"/>
        </w:rPr>
      </w:pPr>
      <w:r>
        <w:rPr/>
        <w:pict>
          <v:line style="position:absolute;mso-position-horizontal-relative:page;mso-position-vertical-relative:paragraph;z-index:15840768" from="244.693939pt,-.878567pt" to="347.90143pt,-.878567pt" stroked="true" strokeweight=".534091pt" strokecolor="#000000">
            <v:stroke dashstyle="solid"/>
            <w10:wrap type="none"/>
          </v:line>
        </w:pict>
      </w:r>
      <w:r>
        <w:rPr/>
        <w:pict>
          <v:line style="position:absolute;mso-position-horizontal-relative:page;mso-position-vertical-relative:paragraph;z-index:15841280" from="358.748138pt,-.878567pt" to="478.953811pt,-.878567pt" stroked="true" strokeweight=".534091pt" strokecolor="#000000">
            <v:stroke dashstyle="solid"/>
            <w10:wrap type="none"/>
          </v:line>
        </w:pict>
      </w:r>
      <w:r>
        <w:rPr>
          <w:rFonts w:ascii="Times New Roman"/>
          <w:position w:val="-10"/>
          <w:sz w:val="25"/>
        </w:rPr>
        <w:t>2</w:t>
      </w:r>
      <w:r>
        <w:rPr>
          <w:rFonts w:ascii="Times New Roman"/>
          <w:sz w:val="15"/>
        </w:rPr>
        <w:t>14</w:t>
        <w:tab/>
      </w:r>
      <w:r>
        <w:rPr>
          <w:rFonts w:ascii="Times New Roman"/>
          <w:spacing w:val="4"/>
          <w:position w:val="-10"/>
          <w:sz w:val="25"/>
        </w:rPr>
        <w:t>2</w:t>
      </w:r>
      <w:r>
        <w:rPr>
          <w:rFonts w:ascii="Times New Roman"/>
          <w:spacing w:val="4"/>
          <w:sz w:val="15"/>
        </w:rPr>
        <w:t>23</w:t>
      </w:r>
    </w:p>
    <w:p>
      <w:pPr>
        <w:pStyle w:val="BodyText"/>
        <w:spacing w:before="4"/>
        <w:rPr>
          <w:rFonts w:ascii="Times New Roman"/>
          <w:sz w:val="22"/>
        </w:rPr>
      </w:pPr>
    </w:p>
    <w:p>
      <w:pPr>
        <w:pStyle w:val="BodyText"/>
        <w:spacing w:before="93"/>
        <w:ind w:left="239" w:right="433"/>
      </w:pPr>
      <w:r>
        <w:rPr/>
        <w:t>The </w:t>
      </w:r>
      <w:r>
        <w:rPr>
          <w:rFonts w:ascii="Times New Roman"/>
          <w:i/>
        </w:rPr>
        <w:t>GAIN_ADJn </w:t>
      </w:r>
      <w:r>
        <w:rPr/>
        <w:t>values stored by the MPU in CE RAM are used by the CE to gain adjust (i.e., multiply) the sample in each corresponding sensor channel. A </w:t>
      </w:r>
      <w:r>
        <w:rPr>
          <w:rFonts w:ascii="Times New Roman"/>
          <w:i/>
        </w:rPr>
        <w:t>GAIN_ADJx </w:t>
      </w:r>
      <w:r>
        <w:rPr/>
        <w:t>value of 16,384 (i.e., 2</w:t>
      </w:r>
      <w:r>
        <w:rPr>
          <w:vertAlign w:val="superscript"/>
        </w:rPr>
        <w:t>14</w:t>
      </w:r>
      <w:r>
        <w:rPr>
          <w:vertAlign w:val="baseline"/>
        </w:rPr>
        <w:t>)corresponds to unity gain, while values less than 16,384 attenuate the samples and values greater than 16,384 amplify the samples.</w:t>
      </w:r>
    </w:p>
    <w:p>
      <w:pPr>
        <w:pStyle w:val="BodyText"/>
      </w:pPr>
    </w:p>
    <w:p>
      <w:pPr>
        <w:pStyle w:val="BodyText"/>
        <w:spacing w:line="230" w:lineRule="auto" w:before="1"/>
        <w:ind w:left="239" w:right="401"/>
      </w:pPr>
      <w:r>
        <w:rPr/>
        <w:t>In the above equation, </w:t>
      </w:r>
      <w:r>
        <w:rPr>
          <w:i/>
        </w:rPr>
        <w:t>TEMP_X </w:t>
      </w:r>
      <w:r>
        <w:rPr/>
        <w:t>is the deviation from nominal or calibration temperature expressed in multiples of 0.1 °C. The 10x and 100x factors seen in the above equation are due to 0.1 </w:t>
      </w:r>
      <w:r>
        <w:rPr>
          <w:vertAlign w:val="superscript"/>
        </w:rPr>
        <w:t>o</w:t>
      </w:r>
      <w:r>
        <w:rPr>
          <w:vertAlign w:val="baseline"/>
        </w:rPr>
        <w:t>C scaling of </w:t>
      </w:r>
      <w:r>
        <w:rPr>
          <w:i/>
          <w:vertAlign w:val="baseline"/>
        </w:rPr>
        <w:t>TEMP_X</w:t>
      </w:r>
      <w:r>
        <w:rPr>
          <w:vertAlign w:val="baseline"/>
        </w:rPr>
        <w:t>. For example, if the calibration (reference) temperature is 22 °C and the measured temperature is 27 °C, then 10*</w:t>
      </w:r>
      <w:r>
        <w:rPr>
          <w:i/>
          <w:vertAlign w:val="baseline"/>
        </w:rPr>
        <w:t>TEMP_X </w:t>
      </w:r>
      <w:r>
        <w:rPr>
          <w:vertAlign w:val="baseline"/>
        </w:rPr>
        <w:t>= (27-22) x 10 = 50 (decimal), which represents a +5 °C deviation from 22 °C. In the demonstration code, </w:t>
      </w:r>
      <w:r>
        <w:rPr>
          <w:rFonts w:ascii="Times New Roman" w:hAnsi="Times New Roman"/>
          <w:i/>
          <w:vertAlign w:val="baseline"/>
        </w:rPr>
        <w:t>TEMP_X </w:t>
      </w:r>
      <w:r>
        <w:rPr>
          <w:vertAlign w:val="baseline"/>
        </w:rPr>
        <w:t>is calculated in the MPU from the </w:t>
      </w:r>
      <w:r>
        <w:rPr>
          <w:rFonts w:ascii="Times New Roman" w:hAnsi="Times New Roman"/>
          <w:i/>
          <w:vertAlign w:val="baseline"/>
        </w:rPr>
        <w:t>STEMP[10:0] </w:t>
      </w:r>
      <w:r>
        <w:rPr>
          <w:vertAlign w:val="baseline"/>
        </w:rPr>
        <w:t>temperature sensor reading using the equation provided below and is scaled in 0.1°C units. See </w:t>
      </w:r>
      <w:hyperlink w:history="true" w:anchor="_bookmark109">
        <w:r>
          <w:rPr>
            <w:color w:val="0000FF"/>
            <w:vertAlign w:val="baseline"/>
          </w:rPr>
          <w:t>2.5.5 </w:t>
        </w:r>
      </w:hyperlink>
      <w:hyperlink w:history="true" w:anchor="_bookmark109">
        <w:r>
          <w:rPr>
            <w:color w:val="0000FF"/>
            <w:vertAlign w:val="baseline"/>
          </w:rPr>
          <w:t>71M6543 Temperature</w:t>
        </w:r>
      </w:hyperlink>
      <w:r>
        <w:rPr>
          <w:color w:val="0000FF"/>
          <w:vertAlign w:val="baseline"/>
        </w:rPr>
        <w:t> </w:t>
      </w:r>
      <w:hyperlink w:history="true" w:anchor="_bookmark109">
        <w:r>
          <w:rPr>
            <w:color w:val="0000FF"/>
            <w:vertAlign w:val="baseline"/>
          </w:rPr>
          <w:t>Sensor </w:t>
        </w:r>
      </w:hyperlink>
      <w:r>
        <w:rPr>
          <w:vertAlign w:val="baseline"/>
        </w:rPr>
        <w:t>on page </w:t>
      </w:r>
      <w:hyperlink w:history="true" w:anchor="_bookmark109">
        <w:r>
          <w:rPr>
            <w:color w:val="0000FF"/>
            <w:vertAlign w:val="baseline"/>
          </w:rPr>
          <w:t>53 </w:t>
        </w:r>
      </w:hyperlink>
      <w:r>
        <w:rPr>
          <w:vertAlign w:val="baseline"/>
        </w:rPr>
        <w:t>for the equation to calculate temperature in °C from the </w:t>
      </w:r>
      <w:r>
        <w:rPr>
          <w:rFonts w:ascii="Times New Roman" w:hAnsi="Times New Roman"/>
          <w:i/>
          <w:vertAlign w:val="baseline"/>
        </w:rPr>
        <w:t>STEMP[10:0] </w:t>
      </w:r>
      <w:r>
        <w:rPr>
          <w:vertAlign w:val="baseline"/>
        </w:rPr>
        <w:t>reading.</w:t>
      </w:r>
    </w:p>
    <w:p>
      <w:pPr>
        <w:pStyle w:val="BodyText"/>
        <w:spacing w:line="232" w:lineRule="auto" w:before="116"/>
        <w:ind w:left="240" w:right="1221"/>
      </w:pPr>
      <w:hyperlink w:history="true" w:anchor="_bookmark189">
        <w:r>
          <w:rPr>
            <w:color w:val="0000FF"/>
          </w:rPr>
          <w:t>Table 67 </w:t>
        </w:r>
      </w:hyperlink>
      <w:r>
        <w:rPr/>
        <w:t>shows the five </w:t>
      </w:r>
      <w:r>
        <w:rPr>
          <w:rFonts w:ascii="Times New Roman"/>
          <w:i/>
        </w:rPr>
        <w:t>GAIN_ADJx </w:t>
      </w:r>
      <w:r>
        <w:rPr/>
        <w:t>equation output storage locations and the voltage or current measurements for which they compensate.</w:t>
      </w:r>
    </w:p>
    <w:p>
      <w:pPr>
        <w:pStyle w:val="Heading1"/>
        <w:spacing w:before="118"/>
        <w:ind w:left="64" w:right="204"/>
      </w:pPr>
      <w:bookmarkStart w:name="_bookmark189" w:id="386"/>
      <w:bookmarkEnd w:id="386"/>
      <w:r>
        <w:rPr>
          <w:b w:val="0"/>
        </w:rPr>
      </w:r>
      <w:r>
        <w:rPr/>
        <w:t>Table 67: GAIN_ADJx Compensation Channels (</w:t>
      </w:r>
      <w:hyperlink w:history="true" w:anchor="_bookmark7">
        <w:r>
          <w:rPr>
            <w:color w:val="0000FF"/>
          </w:rPr>
          <w:t>Figure 3</w:t>
        </w:r>
        <w:r>
          <w:rPr/>
          <w:t>, </w:t>
        </w:r>
      </w:hyperlink>
      <w:hyperlink w:history="true" w:anchor="_bookmark181">
        <w:r>
          <w:rPr>
            <w:color w:val="0000FF"/>
          </w:rPr>
          <w:t>Figure 32</w:t>
        </w:r>
        <w:r>
          <w:rPr/>
          <w:t>, </w:t>
        </w:r>
      </w:hyperlink>
      <w:hyperlink w:history="true" w:anchor="_bookmark10">
        <w:r>
          <w:rPr>
            <w:color w:val="0000FF"/>
          </w:rPr>
          <w:t>Table 2</w:t>
        </w:r>
      </w:hyperlink>
      <w:r>
        <w:rPr/>
        <w:t>)</w:t>
      </w:r>
    </w:p>
    <w:p>
      <w:pPr>
        <w:pStyle w:val="BodyText"/>
        <w:spacing w:before="2"/>
        <w:rPr>
          <w:b/>
          <w:sz w:val="7"/>
        </w:rPr>
      </w:pPr>
    </w:p>
    <w:tbl>
      <w:tblPr>
        <w:tblW w:w="0" w:type="auto"/>
        <w:jc w:val="left"/>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0"/>
        <w:gridCol w:w="1888"/>
        <w:gridCol w:w="1799"/>
        <w:gridCol w:w="3018"/>
      </w:tblGrid>
      <w:tr>
        <w:trPr>
          <w:trHeight w:val="486" w:hRule="atLeast"/>
        </w:trPr>
        <w:tc>
          <w:tcPr>
            <w:tcW w:w="2570" w:type="dxa"/>
          </w:tcPr>
          <w:p>
            <w:pPr>
              <w:pStyle w:val="TableParagraph"/>
              <w:spacing w:before="145"/>
              <w:ind w:left="341" w:right="330"/>
              <w:jc w:val="center"/>
              <w:rPr>
                <w:b/>
                <w:sz w:val="16"/>
              </w:rPr>
            </w:pPr>
            <w:r>
              <w:rPr>
                <w:b/>
                <w:sz w:val="16"/>
              </w:rPr>
              <w:t>Gain Adjustment Output</w:t>
            </w:r>
          </w:p>
        </w:tc>
        <w:tc>
          <w:tcPr>
            <w:tcW w:w="1888" w:type="dxa"/>
          </w:tcPr>
          <w:p>
            <w:pPr>
              <w:pStyle w:val="TableParagraph"/>
              <w:spacing w:before="145"/>
              <w:ind w:left="262" w:right="260"/>
              <w:jc w:val="center"/>
              <w:rPr>
                <w:b/>
                <w:sz w:val="16"/>
              </w:rPr>
            </w:pPr>
            <w:r>
              <w:rPr>
                <w:b/>
                <w:sz w:val="16"/>
              </w:rPr>
              <w:t>CE RAM Address</w:t>
            </w:r>
          </w:p>
        </w:tc>
        <w:tc>
          <w:tcPr>
            <w:tcW w:w="1799" w:type="dxa"/>
          </w:tcPr>
          <w:p>
            <w:pPr>
              <w:pStyle w:val="TableParagraph"/>
              <w:spacing w:line="226" w:lineRule="exact" w:before="1"/>
              <w:ind w:left="452" w:right="163" w:hanging="260"/>
              <w:rPr>
                <w:b/>
                <w:sz w:val="16"/>
              </w:rPr>
            </w:pPr>
            <w:r>
              <w:rPr>
                <w:b/>
                <w:sz w:val="16"/>
              </w:rPr>
              <w:t>Sensor Channel(s) (pin names)</w:t>
            </w:r>
          </w:p>
        </w:tc>
        <w:tc>
          <w:tcPr>
            <w:tcW w:w="3018" w:type="dxa"/>
          </w:tcPr>
          <w:p>
            <w:pPr>
              <w:pStyle w:val="TableParagraph"/>
              <w:spacing w:before="145"/>
              <w:ind w:left="777"/>
              <w:rPr>
                <w:b/>
                <w:sz w:val="16"/>
              </w:rPr>
            </w:pPr>
            <w:r>
              <w:rPr>
                <w:b/>
                <w:sz w:val="16"/>
              </w:rPr>
              <w:t>Compensation For:</w:t>
            </w:r>
          </w:p>
        </w:tc>
      </w:tr>
      <w:tr>
        <w:trPr>
          <w:trHeight w:val="633" w:hRule="atLeast"/>
        </w:trPr>
        <w:tc>
          <w:tcPr>
            <w:tcW w:w="2570" w:type="dxa"/>
          </w:tcPr>
          <w:p>
            <w:pPr>
              <w:pStyle w:val="TableParagraph"/>
              <w:spacing w:before="3"/>
              <w:rPr>
                <w:b/>
                <w:sz w:val="19"/>
              </w:rPr>
            </w:pPr>
          </w:p>
          <w:p>
            <w:pPr>
              <w:pStyle w:val="TableParagraph"/>
              <w:spacing w:before="1"/>
              <w:ind w:left="341" w:right="330"/>
              <w:jc w:val="center"/>
              <w:rPr>
                <w:rFonts w:ascii="Times New Roman"/>
                <w:i/>
                <w:sz w:val="16"/>
              </w:rPr>
            </w:pPr>
            <w:r>
              <w:rPr>
                <w:rFonts w:ascii="Times New Roman"/>
                <w:i/>
                <w:sz w:val="16"/>
              </w:rPr>
              <w:t>GAIN_ADJ0</w:t>
            </w:r>
          </w:p>
        </w:tc>
        <w:tc>
          <w:tcPr>
            <w:tcW w:w="1888" w:type="dxa"/>
          </w:tcPr>
          <w:p>
            <w:pPr>
              <w:pStyle w:val="TableParagraph"/>
              <w:spacing w:before="5"/>
              <w:rPr>
                <w:b/>
                <w:sz w:val="19"/>
              </w:rPr>
            </w:pPr>
          </w:p>
          <w:p>
            <w:pPr>
              <w:pStyle w:val="TableParagraph"/>
              <w:ind w:left="262" w:right="258"/>
              <w:jc w:val="center"/>
              <w:rPr>
                <w:sz w:val="16"/>
              </w:rPr>
            </w:pPr>
            <w:r>
              <w:rPr>
                <w:sz w:val="16"/>
              </w:rPr>
              <w:t>0x40</w:t>
            </w:r>
          </w:p>
        </w:tc>
        <w:tc>
          <w:tcPr>
            <w:tcW w:w="1799" w:type="dxa"/>
          </w:tcPr>
          <w:p>
            <w:pPr>
              <w:pStyle w:val="TableParagraph"/>
              <w:spacing w:line="264" w:lineRule="auto" w:before="20"/>
              <w:ind w:left="452" w:right="163"/>
              <w:rPr>
                <w:sz w:val="16"/>
              </w:rPr>
            </w:pPr>
            <w:r>
              <w:rPr>
                <w:sz w:val="16"/>
              </w:rPr>
              <w:t>VADC8 </w:t>
            </w:r>
            <w:r>
              <w:rPr>
                <w:spacing w:val="-5"/>
                <w:sz w:val="16"/>
              </w:rPr>
              <w:t>(VA) </w:t>
            </w:r>
            <w:r>
              <w:rPr>
                <w:sz w:val="16"/>
              </w:rPr>
              <w:t>VADC9</w:t>
            </w:r>
            <w:r>
              <w:rPr>
                <w:spacing w:val="4"/>
                <w:sz w:val="16"/>
              </w:rPr>
              <w:t> </w:t>
            </w:r>
            <w:r>
              <w:rPr>
                <w:spacing w:val="-5"/>
                <w:sz w:val="16"/>
              </w:rPr>
              <w:t>(VB)</w:t>
            </w:r>
          </w:p>
          <w:p>
            <w:pPr>
              <w:pStyle w:val="TableParagraph"/>
              <w:spacing w:before="1"/>
              <w:ind w:left="401"/>
              <w:rPr>
                <w:sz w:val="16"/>
              </w:rPr>
            </w:pPr>
            <w:r>
              <w:rPr>
                <w:sz w:val="16"/>
              </w:rPr>
              <w:t>VADC10</w:t>
            </w:r>
            <w:r>
              <w:rPr>
                <w:spacing w:val="-1"/>
                <w:sz w:val="16"/>
              </w:rPr>
              <w:t> </w:t>
            </w:r>
            <w:r>
              <w:rPr>
                <w:sz w:val="16"/>
              </w:rPr>
              <w:t>(VC)</w:t>
            </w:r>
          </w:p>
        </w:tc>
        <w:tc>
          <w:tcPr>
            <w:tcW w:w="3018" w:type="dxa"/>
          </w:tcPr>
          <w:p>
            <w:pPr>
              <w:pStyle w:val="TableParagraph"/>
              <w:spacing w:before="128"/>
              <w:ind w:left="1178" w:right="103" w:hanging="1042"/>
              <w:rPr>
                <w:sz w:val="16"/>
              </w:rPr>
            </w:pPr>
            <w:r>
              <w:rPr>
                <w:sz w:val="16"/>
              </w:rPr>
              <w:t>VREF in 71M6543 and Voltage Divider Resistors</w:t>
            </w:r>
          </w:p>
        </w:tc>
      </w:tr>
      <w:tr>
        <w:trPr>
          <w:trHeight w:val="426" w:hRule="atLeast"/>
        </w:trPr>
        <w:tc>
          <w:tcPr>
            <w:tcW w:w="2570" w:type="dxa"/>
          </w:tcPr>
          <w:p>
            <w:pPr>
              <w:pStyle w:val="TableParagraph"/>
              <w:spacing w:before="117"/>
              <w:ind w:left="341" w:right="330"/>
              <w:jc w:val="center"/>
              <w:rPr>
                <w:rFonts w:ascii="Times New Roman"/>
                <w:i/>
                <w:sz w:val="16"/>
              </w:rPr>
            </w:pPr>
            <w:r>
              <w:rPr>
                <w:rFonts w:ascii="Times New Roman"/>
                <w:i/>
                <w:sz w:val="16"/>
              </w:rPr>
              <w:t>GAIN_ADJ1</w:t>
            </w:r>
          </w:p>
        </w:tc>
        <w:tc>
          <w:tcPr>
            <w:tcW w:w="1888" w:type="dxa"/>
          </w:tcPr>
          <w:p>
            <w:pPr>
              <w:pStyle w:val="TableParagraph"/>
              <w:spacing w:before="118"/>
              <w:ind w:left="262" w:right="258"/>
              <w:jc w:val="center"/>
              <w:rPr>
                <w:sz w:val="16"/>
              </w:rPr>
            </w:pPr>
            <w:r>
              <w:rPr>
                <w:sz w:val="16"/>
              </w:rPr>
              <w:t>0x41</w:t>
            </w:r>
          </w:p>
        </w:tc>
        <w:tc>
          <w:tcPr>
            <w:tcW w:w="1799" w:type="dxa"/>
          </w:tcPr>
          <w:p>
            <w:pPr>
              <w:pStyle w:val="TableParagraph"/>
              <w:spacing w:before="17"/>
              <w:ind w:left="382" w:right="370"/>
              <w:jc w:val="center"/>
              <w:rPr>
                <w:sz w:val="16"/>
              </w:rPr>
            </w:pPr>
            <w:r>
              <w:rPr>
                <w:sz w:val="16"/>
              </w:rPr>
              <w:t>IADC0-IADC1</w:t>
            </w:r>
          </w:p>
        </w:tc>
        <w:tc>
          <w:tcPr>
            <w:tcW w:w="3018" w:type="dxa"/>
          </w:tcPr>
          <w:p>
            <w:pPr>
              <w:pStyle w:val="TableParagraph"/>
              <w:spacing w:before="25"/>
              <w:ind w:left="594" w:right="236" w:hanging="324"/>
              <w:rPr>
                <w:sz w:val="16"/>
              </w:rPr>
            </w:pPr>
            <w:r>
              <w:rPr>
                <w:sz w:val="16"/>
              </w:rPr>
              <w:t>VREF in 71M6543, CT and Burden Resistor (Neutral Current)</w:t>
            </w:r>
          </w:p>
        </w:tc>
      </w:tr>
      <w:tr>
        <w:trPr>
          <w:trHeight w:val="429" w:hRule="atLeast"/>
        </w:trPr>
        <w:tc>
          <w:tcPr>
            <w:tcW w:w="2570" w:type="dxa"/>
          </w:tcPr>
          <w:p>
            <w:pPr>
              <w:pStyle w:val="TableParagraph"/>
              <w:spacing w:before="119"/>
              <w:ind w:left="341" w:right="330"/>
              <w:jc w:val="center"/>
              <w:rPr>
                <w:rFonts w:ascii="Times New Roman"/>
                <w:i/>
                <w:sz w:val="16"/>
              </w:rPr>
            </w:pPr>
            <w:r>
              <w:rPr>
                <w:rFonts w:ascii="Times New Roman"/>
                <w:i/>
                <w:sz w:val="16"/>
              </w:rPr>
              <w:t>GAIN_ADJ2</w:t>
            </w:r>
          </w:p>
        </w:tc>
        <w:tc>
          <w:tcPr>
            <w:tcW w:w="1888" w:type="dxa"/>
          </w:tcPr>
          <w:p>
            <w:pPr>
              <w:pStyle w:val="TableParagraph"/>
              <w:spacing w:before="121"/>
              <w:ind w:left="262" w:right="258"/>
              <w:jc w:val="center"/>
              <w:rPr>
                <w:sz w:val="16"/>
              </w:rPr>
            </w:pPr>
            <w:r>
              <w:rPr>
                <w:sz w:val="16"/>
              </w:rPr>
              <w:t>0x42</w:t>
            </w:r>
          </w:p>
        </w:tc>
        <w:tc>
          <w:tcPr>
            <w:tcW w:w="1799" w:type="dxa"/>
          </w:tcPr>
          <w:p>
            <w:pPr>
              <w:pStyle w:val="TableParagraph"/>
              <w:spacing w:before="17"/>
              <w:ind w:left="382" w:right="370"/>
              <w:jc w:val="center"/>
              <w:rPr>
                <w:sz w:val="16"/>
              </w:rPr>
            </w:pPr>
            <w:r>
              <w:rPr>
                <w:sz w:val="16"/>
              </w:rPr>
              <w:t>IADC2-IADC3</w:t>
            </w:r>
          </w:p>
        </w:tc>
        <w:tc>
          <w:tcPr>
            <w:tcW w:w="3018" w:type="dxa"/>
          </w:tcPr>
          <w:p>
            <w:pPr>
              <w:pStyle w:val="TableParagraph"/>
              <w:spacing w:before="27"/>
              <w:ind w:left="839" w:right="236" w:hanging="569"/>
              <w:rPr>
                <w:sz w:val="16"/>
              </w:rPr>
            </w:pPr>
            <w:r>
              <w:rPr>
                <w:sz w:val="16"/>
              </w:rPr>
              <w:t>VREF in 71M6543, CT and Burden Resistor (Phase A)</w:t>
            </w:r>
          </w:p>
        </w:tc>
      </w:tr>
      <w:tr>
        <w:trPr>
          <w:trHeight w:val="426" w:hRule="atLeast"/>
        </w:trPr>
        <w:tc>
          <w:tcPr>
            <w:tcW w:w="2570" w:type="dxa"/>
          </w:tcPr>
          <w:p>
            <w:pPr>
              <w:pStyle w:val="TableParagraph"/>
              <w:spacing w:before="117"/>
              <w:ind w:left="341" w:right="330"/>
              <w:jc w:val="center"/>
              <w:rPr>
                <w:rFonts w:ascii="Times New Roman"/>
                <w:i/>
                <w:sz w:val="16"/>
              </w:rPr>
            </w:pPr>
            <w:r>
              <w:rPr>
                <w:rFonts w:ascii="Times New Roman"/>
                <w:i/>
                <w:sz w:val="16"/>
              </w:rPr>
              <w:t>GAIN_ADJ3</w:t>
            </w:r>
          </w:p>
        </w:tc>
        <w:tc>
          <w:tcPr>
            <w:tcW w:w="1888" w:type="dxa"/>
          </w:tcPr>
          <w:p>
            <w:pPr>
              <w:pStyle w:val="TableParagraph"/>
              <w:spacing w:before="118"/>
              <w:ind w:left="262" w:right="258"/>
              <w:jc w:val="center"/>
              <w:rPr>
                <w:sz w:val="16"/>
              </w:rPr>
            </w:pPr>
            <w:r>
              <w:rPr>
                <w:sz w:val="16"/>
              </w:rPr>
              <w:t>0x43</w:t>
            </w:r>
          </w:p>
        </w:tc>
        <w:tc>
          <w:tcPr>
            <w:tcW w:w="1799" w:type="dxa"/>
          </w:tcPr>
          <w:p>
            <w:pPr>
              <w:pStyle w:val="TableParagraph"/>
              <w:spacing w:before="17"/>
              <w:ind w:left="382" w:right="370"/>
              <w:jc w:val="center"/>
              <w:rPr>
                <w:sz w:val="16"/>
              </w:rPr>
            </w:pPr>
            <w:r>
              <w:rPr>
                <w:sz w:val="16"/>
              </w:rPr>
              <w:t>IADC4-IADC5</w:t>
            </w:r>
          </w:p>
        </w:tc>
        <w:tc>
          <w:tcPr>
            <w:tcW w:w="3018" w:type="dxa"/>
          </w:tcPr>
          <w:p>
            <w:pPr>
              <w:pStyle w:val="TableParagraph"/>
              <w:spacing w:before="25"/>
              <w:ind w:left="839" w:right="236" w:hanging="569"/>
              <w:rPr>
                <w:sz w:val="16"/>
              </w:rPr>
            </w:pPr>
            <w:r>
              <w:rPr>
                <w:sz w:val="16"/>
              </w:rPr>
              <w:t>VREF in 71M6543, CT and Burden Resistor (Phase B)</w:t>
            </w:r>
          </w:p>
        </w:tc>
      </w:tr>
      <w:tr>
        <w:trPr>
          <w:trHeight w:val="429" w:hRule="atLeast"/>
        </w:trPr>
        <w:tc>
          <w:tcPr>
            <w:tcW w:w="2570" w:type="dxa"/>
          </w:tcPr>
          <w:p>
            <w:pPr>
              <w:pStyle w:val="TableParagraph"/>
              <w:spacing w:before="119"/>
              <w:ind w:left="341" w:right="330"/>
              <w:jc w:val="center"/>
              <w:rPr>
                <w:rFonts w:ascii="Times New Roman"/>
                <w:i/>
                <w:sz w:val="16"/>
              </w:rPr>
            </w:pPr>
            <w:r>
              <w:rPr>
                <w:rFonts w:ascii="Times New Roman"/>
                <w:i/>
                <w:sz w:val="16"/>
              </w:rPr>
              <w:t>GAIN_ADJ4</w:t>
            </w:r>
          </w:p>
        </w:tc>
        <w:tc>
          <w:tcPr>
            <w:tcW w:w="1888" w:type="dxa"/>
          </w:tcPr>
          <w:p>
            <w:pPr>
              <w:pStyle w:val="TableParagraph"/>
              <w:spacing w:before="121"/>
              <w:ind w:left="262" w:right="258"/>
              <w:jc w:val="center"/>
              <w:rPr>
                <w:sz w:val="16"/>
              </w:rPr>
            </w:pPr>
            <w:r>
              <w:rPr>
                <w:sz w:val="16"/>
              </w:rPr>
              <w:t>0x44</w:t>
            </w:r>
          </w:p>
        </w:tc>
        <w:tc>
          <w:tcPr>
            <w:tcW w:w="1799" w:type="dxa"/>
          </w:tcPr>
          <w:p>
            <w:pPr>
              <w:pStyle w:val="TableParagraph"/>
              <w:spacing w:before="17"/>
              <w:ind w:left="382" w:right="370"/>
              <w:jc w:val="center"/>
              <w:rPr>
                <w:sz w:val="16"/>
              </w:rPr>
            </w:pPr>
            <w:r>
              <w:rPr>
                <w:sz w:val="16"/>
              </w:rPr>
              <w:t>IADC6-IADC7</w:t>
            </w:r>
          </w:p>
        </w:tc>
        <w:tc>
          <w:tcPr>
            <w:tcW w:w="3018" w:type="dxa"/>
          </w:tcPr>
          <w:p>
            <w:pPr>
              <w:pStyle w:val="TableParagraph"/>
              <w:spacing w:before="27"/>
              <w:ind w:left="834" w:right="236" w:hanging="564"/>
              <w:rPr>
                <w:sz w:val="16"/>
              </w:rPr>
            </w:pPr>
            <w:r>
              <w:rPr>
                <w:sz w:val="16"/>
              </w:rPr>
              <w:t>VREF in 71M6543, CT and Burden Resistor (Phase C)</w:t>
            </w:r>
          </w:p>
        </w:tc>
      </w:tr>
    </w:tbl>
    <w:p>
      <w:pPr>
        <w:pStyle w:val="BodyText"/>
        <w:spacing w:before="3"/>
        <w:rPr>
          <w:b/>
          <w:sz w:val="30"/>
        </w:rPr>
      </w:pPr>
    </w:p>
    <w:p>
      <w:pPr>
        <w:pStyle w:val="BodyText"/>
        <w:ind w:left="239" w:right="401"/>
      </w:pPr>
      <w:r>
        <w:rPr/>
        <w:t>In the demonstration code, the shape of the temperature compensation second-order parabolic curve is determined by the values stored in the </w:t>
      </w:r>
      <w:r>
        <w:rPr>
          <w:i/>
        </w:rPr>
        <w:t>PPMC </w:t>
      </w:r>
      <w:r>
        <w:rPr/>
        <w:t>(1</w:t>
      </w:r>
      <w:r>
        <w:rPr>
          <w:vertAlign w:val="superscript"/>
        </w:rPr>
        <w:t>st</w:t>
      </w:r>
      <w:r>
        <w:rPr>
          <w:vertAlign w:val="baseline"/>
        </w:rPr>
        <w:t> order coefficient) and </w:t>
      </w:r>
      <w:r>
        <w:rPr>
          <w:i/>
          <w:vertAlign w:val="baseline"/>
        </w:rPr>
        <w:t>PPMC2 </w:t>
      </w:r>
      <w:r>
        <w:rPr>
          <w:vertAlign w:val="baseline"/>
        </w:rPr>
        <w:t>(2</w:t>
      </w:r>
      <w:r>
        <w:rPr>
          <w:vertAlign w:val="superscript"/>
        </w:rPr>
        <w:t>nd</w:t>
      </w:r>
      <w:r>
        <w:rPr>
          <w:vertAlign w:val="baseline"/>
        </w:rPr>
        <w:t> order coefficient), which are typically setup by the MPU at initialization time from values that are stored in EEPROM.</w:t>
      </w:r>
    </w:p>
    <w:p>
      <w:pPr>
        <w:pStyle w:val="BodyText"/>
        <w:spacing w:line="242" w:lineRule="auto" w:before="117"/>
        <w:ind w:left="239" w:right="404"/>
      </w:pPr>
      <w:r>
        <w:rPr/>
        <w:t>To disable temperature compensation in the demonstration code, </w:t>
      </w:r>
      <w:r>
        <w:rPr>
          <w:i/>
        </w:rPr>
        <w:t>PPMC </w:t>
      </w:r>
      <w:r>
        <w:rPr/>
        <w:t>and </w:t>
      </w:r>
      <w:r>
        <w:rPr>
          <w:i/>
        </w:rPr>
        <w:t>PPMC2 </w:t>
      </w:r>
      <w:r>
        <w:rPr/>
        <w:t>are both set to zero for each of the five </w:t>
      </w:r>
      <w:r>
        <w:rPr>
          <w:rFonts w:ascii="Times New Roman"/>
          <w:i/>
        </w:rPr>
        <w:t>GAIN_ADJx </w:t>
      </w:r>
      <w:r>
        <w:rPr/>
        <w:t>channels. To enable temperature compensation, the </w:t>
      </w:r>
      <w:r>
        <w:rPr>
          <w:i/>
        </w:rPr>
        <w:t>PPMC </w:t>
      </w:r>
      <w:r>
        <w:rPr/>
        <w:t>and </w:t>
      </w:r>
      <w:r>
        <w:rPr>
          <w:i/>
        </w:rPr>
        <w:t>PPMC2 </w:t>
      </w:r>
      <w:r>
        <w:rPr/>
        <w:t>coefficients are set with values that match the expected VREF temperature variation and optionally the</w:t>
      </w:r>
    </w:p>
    <w:p>
      <w:pPr>
        <w:spacing w:after="0" w:line="242" w:lineRule="auto"/>
        <w:sectPr>
          <w:type w:val="continuous"/>
          <w:pgSz w:w="12240" w:h="15840"/>
          <w:pgMar w:top="940" w:bottom="280" w:left="1200" w:right="1060"/>
        </w:sectPr>
      </w:pPr>
    </w:p>
    <w:p>
      <w:pPr>
        <w:pStyle w:val="BodyText"/>
        <w:spacing w:before="8"/>
        <w:rPr>
          <w:sz w:val="16"/>
        </w:rPr>
      </w:pPr>
    </w:p>
    <w:p>
      <w:pPr>
        <w:pStyle w:val="BodyText"/>
        <w:spacing w:before="93"/>
        <w:ind w:left="240" w:right="401"/>
      </w:pPr>
      <w:r>
        <w:rPr/>
        <w:t>corresponding sensor circuit (i.e., the CT and burden resistor for current channels or the resistor divider network for the voltage channels).</w:t>
      </w:r>
    </w:p>
    <w:p>
      <w:pPr>
        <w:pStyle w:val="BodyText"/>
        <w:spacing w:before="118"/>
        <w:ind w:left="240" w:right="401"/>
      </w:pPr>
      <w:r>
        <w:rPr/>
        <w:t>In</w:t>
      </w:r>
      <w:r>
        <w:rPr>
          <w:spacing w:val="-18"/>
        </w:rPr>
        <w:t> </w:t>
      </w:r>
      <w:r>
        <w:rPr/>
        <w:t>the</w:t>
      </w:r>
      <w:r>
        <w:rPr>
          <w:spacing w:val="-17"/>
        </w:rPr>
        <w:t> </w:t>
      </w:r>
      <w:r>
        <w:rPr/>
        <w:t>71M6543F</w:t>
      </w:r>
      <w:r>
        <w:rPr>
          <w:spacing w:val="-16"/>
        </w:rPr>
        <w:t> </w:t>
      </w:r>
      <w:r>
        <w:rPr/>
        <w:t>and</w:t>
      </w:r>
      <w:r>
        <w:rPr>
          <w:spacing w:val="-16"/>
        </w:rPr>
        <w:t> </w:t>
      </w:r>
      <w:r>
        <w:rPr/>
        <w:t>71M6543G,</w:t>
      </w:r>
      <w:r>
        <w:rPr>
          <w:spacing w:val="-18"/>
        </w:rPr>
        <w:t> </w:t>
      </w:r>
      <w:r>
        <w:rPr/>
        <w:t>the</w:t>
      </w:r>
      <w:r>
        <w:rPr>
          <w:spacing w:val="-17"/>
        </w:rPr>
        <w:t> </w:t>
      </w:r>
      <w:r>
        <w:rPr/>
        <w:t>required</w:t>
      </w:r>
      <w:r>
        <w:rPr>
          <w:spacing w:val="-16"/>
        </w:rPr>
        <w:t> </w:t>
      </w:r>
      <w:r>
        <w:rPr/>
        <w:t>VREF</w:t>
      </w:r>
      <w:r>
        <w:rPr>
          <w:spacing w:val="-15"/>
        </w:rPr>
        <w:t> </w:t>
      </w:r>
      <w:r>
        <w:rPr/>
        <w:t>compensation</w:t>
      </w:r>
      <w:r>
        <w:rPr>
          <w:spacing w:val="-17"/>
        </w:rPr>
        <w:t> </w:t>
      </w:r>
      <w:r>
        <w:rPr/>
        <w:t>coefficients</w:t>
      </w:r>
      <w:r>
        <w:rPr>
          <w:spacing w:val="-15"/>
        </w:rPr>
        <w:t> </w:t>
      </w:r>
      <w:r>
        <w:rPr>
          <w:i/>
        </w:rPr>
        <w:t>PPMC</w:t>
      </w:r>
      <w:r>
        <w:rPr>
          <w:i/>
          <w:spacing w:val="-15"/>
        </w:rPr>
        <w:t> </w:t>
      </w:r>
      <w:r>
        <w:rPr/>
        <w:t>and</w:t>
      </w:r>
      <w:r>
        <w:rPr>
          <w:spacing w:val="-15"/>
        </w:rPr>
        <w:t> </w:t>
      </w:r>
      <w:r>
        <w:rPr>
          <w:i/>
        </w:rPr>
        <w:t>PPMC2</w:t>
      </w:r>
      <w:r>
        <w:rPr>
          <w:i/>
          <w:spacing w:val="-14"/>
        </w:rPr>
        <w:t> </w:t>
      </w:r>
      <w:r>
        <w:rPr/>
        <w:t>are </w:t>
      </w:r>
      <w:r>
        <w:rPr>
          <w:spacing w:val="-3"/>
        </w:rPr>
        <w:t>calculated </w:t>
      </w:r>
      <w:r>
        <w:rPr/>
        <w:t>from readable on-chip non-volatile fuses (see </w:t>
      </w:r>
      <w:hyperlink w:history="true" w:anchor="_bookmark184">
        <w:r>
          <w:rPr>
            <w:color w:val="0000FF"/>
          </w:rPr>
          <w:t>4.5.2</w:t>
        </w:r>
      </w:hyperlink>
      <w:hyperlink w:history="true" w:anchor="_bookmark184">
        <w:r>
          <w:rPr>
            <w:color w:val="0000FF"/>
          </w:rPr>
          <w:t>Temperature Coefficients for the</w:t>
        </w:r>
      </w:hyperlink>
      <w:r>
        <w:rPr>
          <w:color w:val="0000FF"/>
        </w:rPr>
        <w:t> 71M6543F</w:t>
      </w:r>
      <w:r>
        <w:rPr/>
        <w:t>). These coefficients are designed to achieve ±40 </w:t>
      </w:r>
      <w:r>
        <w:rPr>
          <w:spacing w:val="2"/>
        </w:rPr>
        <w:t>ppm/°C </w:t>
      </w:r>
      <w:r>
        <w:rPr/>
        <w:t>for</w:t>
      </w:r>
      <w:r>
        <w:rPr>
          <w:spacing w:val="43"/>
        </w:rPr>
        <w:t> </w:t>
      </w:r>
      <w:r>
        <w:rPr/>
        <w:t>VREF.</w:t>
      </w:r>
    </w:p>
    <w:p>
      <w:pPr>
        <w:pStyle w:val="ListParagraph"/>
        <w:numPr>
          <w:ilvl w:val="1"/>
          <w:numId w:val="22"/>
        </w:numPr>
        <w:tabs>
          <w:tab w:pos="959" w:val="left" w:leader="none"/>
          <w:tab w:pos="960" w:val="left" w:leader="none"/>
        </w:tabs>
        <w:spacing w:line="240" w:lineRule="auto" w:before="120" w:after="0"/>
        <w:ind w:left="960" w:right="0" w:hanging="720"/>
        <w:jc w:val="left"/>
        <w:rPr>
          <w:b/>
          <w:sz w:val="24"/>
        </w:rPr>
      </w:pPr>
      <w:bookmarkStart w:name="4.6 Connecting I2C EEPROMs" w:id="387"/>
      <w:bookmarkEnd w:id="387"/>
      <w:r>
        <w:rPr/>
      </w:r>
      <w:bookmarkStart w:name="_bookmark190" w:id="388"/>
      <w:bookmarkEnd w:id="388"/>
      <w:r>
        <w:rPr/>
      </w:r>
      <w:bookmarkStart w:name="_bookmark190" w:id="389"/>
      <w:bookmarkEnd w:id="389"/>
      <w:r>
        <w:rPr>
          <w:b/>
          <w:sz w:val="24"/>
        </w:rPr>
        <w:t>Conn</w:t>
      </w:r>
      <w:r>
        <w:rPr>
          <w:b/>
          <w:sz w:val="24"/>
        </w:rPr>
        <w:t>ecting I</w:t>
      </w:r>
      <w:r>
        <w:rPr>
          <w:b/>
          <w:sz w:val="24"/>
          <w:vertAlign w:val="superscript"/>
        </w:rPr>
        <w:t>2</w:t>
      </w:r>
      <w:r>
        <w:rPr>
          <w:b/>
          <w:sz w:val="24"/>
          <w:vertAlign w:val="baseline"/>
        </w:rPr>
        <w:t>C</w:t>
      </w:r>
      <w:r>
        <w:rPr>
          <w:b/>
          <w:spacing w:val="-1"/>
          <w:sz w:val="24"/>
          <w:vertAlign w:val="baseline"/>
        </w:rPr>
        <w:t> </w:t>
      </w:r>
      <w:r>
        <w:rPr>
          <w:b/>
          <w:sz w:val="24"/>
          <w:vertAlign w:val="baseline"/>
        </w:rPr>
        <w:t>EEPROMs</w:t>
      </w:r>
    </w:p>
    <w:p>
      <w:pPr>
        <w:pStyle w:val="BodyText"/>
        <w:spacing w:before="122"/>
        <w:ind w:left="239" w:right="972"/>
      </w:pPr>
      <w:r>
        <w:rPr/>
        <w:t>I</w:t>
      </w:r>
      <w:r>
        <w:rPr>
          <w:vertAlign w:val="superscript"/>
        </w:rPr>
        <w:t>2</w:t>
      </w:r>
      <w:r>
        <w:rPr>
          <w:vertAlign w:val="baseline"/>
        </w:rPr>
        <w:t>C EEPROMs or other I</w:t>
      </w:r>
      <w:r>
        <w:rPr>
          <w:vertAlign w:val="superscript"/>
        </w:rPr>
        <w:t>2</w:t>
      </w:r>
      <w:r>
        <w:rPr>
          <w:vertAlign w:val="baseline"/>
        </w:rPr>
        <w:t>C compatible devices should be connected to the DIO pins SEGDIO2 and SEGDIO3, as shown in </w:t>
      </w:r>
      <w:hyperlink w:history="true" w:anchor="_bookmark191">
        <w:r>
          <w:rPr>
            <w:color w:val="0000FF"/>
            <w:vertAlign w:val="baseline"/>
          </w:rPr>
          <w:t>Figure 33</w:t>
        </w:r>
        <w:r>
          <w:rPr>
            <w:vertAlign w:val="baseline"/>
          </w:rPr>
          <w:t>.</w:t>
        </w:r>
      </w:hyperlink>
    </w:p>
    <w:p>
      <w:pPr>
        <w:pStyle w:val="BodyText"/>
        <w:spacing w:line="237" w:lineRule="auto" w:before="126"/>
        <w:ind w:left="240" w:right="401"/>
      </w:pPr>
      <w:r>
        <w:rPr/>
        <w:t>Pullup resistors of roughly 10 k</w:t>
      </w:r>
      <w:r>
        <w:rPr>
          <w:rFonts w:ascii="Symbol" w:hAnsi="Symbol"/>
        </w:rPr>
        <w:t></w:t>
      </w:r>
      <w:r>
        <w:rPr>
          <w:rFonts w:ascii="Times New Roman" w:hAnsi="Times New Roman"/>
        </w:rPr>
        <w:t> </w:t>
      </w:r>
      <w:r>
        <w:rPr/>
        <w:t>to V3P3D (to ensure operation in BRN mode) should be used for both SDCK</w:t>
      </w:r>
      <w:r>
        <w:rPr>
          <w:spacing w:val="-12"/>
        </w:rPr>
        <w:t> </w:t>
      </w:r>
      <w:r>
        <w:rPr/>
        <w:t>and</w:t>
      </w:r>
      <w:r>
        <w:rPr>
          <w:spacing w:val="-10"/>
        </w:rPr>
        <w:t> </w:t>
      </w:r>
      <w:r>
        <w:rPr/>
        <w:t>SDATA</w:t>
      </w:r>
      <w:r>
        <w:rPr>
          <w:spacing w:val="-14"/>
        </w:rPr>
        <w:t> </w:t>
      </w:r>
      <w:r>
        <w:rPr/>
        <w:t>signals.</w:t>
      </w:r>
      <w:r>
        <w:rPr>
          <w:spacing w:val="36"/>
        </w:rPr>
        <w:t> </w:t>
      </w:r>
      <w:r>
        <w:rPr/>
        <w:t>The</w:t>
      </w:r>
      <w:r>
        <w:rPr>
          <w:spacing w:val="-13"/>
        </w:rPr>
        <w:t> </w:t>
      </w:r>
      <w:r>
        <w:rPr>
          <w:rFonts w:ascii="Times New Roman" w:hAnsi="Times New Roman"/>
          <w:i/>
        </w:rPr>
        <w:t>DIO_EEX</w:t>
      </w:r>
      <w:r>
        <w:rPr>
          <w:rFonts w:ascii="Times New Roman" w:hAnsi="Times New Roman"/>
          <w:i/>
          <w:spacing w:val="-5"/>
        </w:rPr>
        <w:t> </w:t>
      </w:r>
      <w:r>
        <w:rPr/>
        <w:t>(</w:t>
      </w:r>
      <w:r>
        <w:rPr>
          <w:rFonts w:ascii="Times New Roman" w:hAnsi="Times New Roman"/>
          <w:i/>
        </w:rPr>
        <w:t>I/O</w:t>
      </w:r>
      <w:r>
        <w:rPr>
          <w:rFonts w:ascii="Times New Roman" w:hAnsi="Times New Roman"/>
          <w:i/>
          <w:spacing w:val="-12"/>
        </w:rPr>
        <w:t> </w:t>
      </w:r>
      <w:r>
        <w:rPr>
          <w:rFonts w:ascii="Times New Roman" w:hAnsi="Times New Roman"/>
          <w:i/>
        </w:rPr>
        <w:t>RAM</w:t>
      </w:r>
      <w:r>
        <w:rPr>
          <w:rFonts w:ascii="Times New Roman" w:hAnsi="Times New Roman"/>
          <w:i/>
          <w:spacing w:val="-11"/>
        </w:rPr>
        <w:t> </w:t>
      </w:r>
      <w:r>
        <w:rPr>
          <w:rFonts w:ascii="Times New Roman" w:hAnsi="Times New Roman"/>
          <w:i/>
        </w:rPr>
        <w:t>0x2456[7:6]</w:t>
      </w:r>
      <w:r>
        <w:rPr/>
        <w:t>)</w:t>
      </w:r>
      <w:r>
        <w:rPr>
          <w:spacing w:val="-14"/>
        </w:rPr>
        <w:t> </w:t>
      </w:r>
      <w:r>
        <w:rPr>
          <w:spacing w:val="-3"/>
        </w:rPr>
        <w:t>field</w:t>
      </w:r>
      <w:r>
        <w:rPr>
          <w:spacing w:val="-11"/>
        </w:rPr>
        <w:t> </w:t>
      </w:r>
      <w:r>
        <w:rPr/>
        <w:t>must</w:t>
      </w:r>
      <w:r>
        <w:rPr>
          <w:spacing w:val="-14"/>
        </w:rPr>
        <w:t> </w:t>
      </w:r>
      <w:r>
        <w:rPr/>
        <w:t>be</w:t>
      </w:r>
      <w:r>
        <w:rPr>
          <w:spacing w:val="-13"/>
        </w:rPr>
        <w:t> </w:t>
      </w:r>
      <w:r>
        <w:rPr/>
        <w:t>set</w:t>
      </w:r>
      <w:r>
        <w:rPr>
          <w:spacing w:val="-10"/>
        </w:rPr>
        <w:t> </w:t>
      </w:r>
      <w:r>
        <w:rPr/>
        <w:t>to</w:t>
      </w:r>
      <w:r>
        <w:rPr>
          <w:spacing w:val="-13"/>
        </w:rPr>
        <w:t> </w:t>
      </w:r>
      <w:r>
        <w:rPr/>
        <w:t>01</w:t>
      </w:r>
      <w:r>
        <w:rPr>
          <w:spacing w:val="-12"/>
        </w:rPr>
        <w:t> </w:t>
      </w:r>
      <w:r>
        <w:rPr/>
        <w:t>in</w:t>
      </w:r>
      <w:r>
        <w:rPr>
          <w:spacing w:val="-11"/>
        </w:rPr>
        <w:t> </w:t>
      </w:r>
      <w:r>
        <w:rPr/>
        <w:t>order</w:t>
      </w:r>
      <w:r>
        <w:rPr>
          <w:spacing w:val="-10"/>
        </w:rPr>
        <w:t> </w:t>
      </w:r>
      <w:r>
        <w:rPr/>
        <w:t>to</w:t>
      </w:r>
      <w:r>
        <w:rPr>
          <w:spacing w:val="-11"/>
        </w:rPr>
        <w:t> </w:t>
      </w:r>
      <w:r>
        <w:rPr/>
        <w:t>convert the DIO pins SEGDIO2 and SEGDIO3 to I</w:t>
      </w:r>
      <w:r>
        <w:rPr>
          <w:vertAlign w:val="superscript"/>
        </w:rPr>
        <w:t>2</w:t>
      </w:r>
      <w:r>
        <w:rPr>
          <w:vertAlign w:val="baseline"/>
        </w:rPr>
        <w:t>C pins SCL and</w:t>
      </w:r>
      <w:r>
        <w:rPr>
          <w:spacing w:val="1"/>
          <w:vertAlign w:val="baseline"/>
        </w:rPr>
        <w:t> </w:t>
      </w:r>
      <w:r>
        <w:rPr>
          <w:vertAlign w:val="baseline"/>
        </w:rPr>
        <w:t>SDATA.</w:t>
      </w:r>
    </w:p>
    <w:p>
      <w:pPr>
        <w:pStyle w:val="BodyText"/>
        <w:spacing w:before="155"/>
        <w:ind w:left="2778" w:right="204"/>
        <w:jc w:val="center"/>
      </w:pPr>
      <w:r>
        <w:rPr/>
        <w:pict>
          <v:group style="position:absolute;margin-left:289.600006pt;margin-top:17.549877pt;width:62.15pt;height:71.650pt;mso-position-horizontal-relative:page;mso-position-vertical-relative:paragraph;z-index:-38738432" coordorigin="5792,351" coordsize="1243,1433">
            <v:shape style="position:absolute;left:5792;top:1363;width:1195;height:107" coordorigin="5792,1363" coordsize="1195,107" path="m6987,1416l6881,1363,6881,1404,5792,1404,5792,1428,6881,1428,6881,1470,6987,1416xe" filled="true" fillcolor="#ff0000" stroked="false">
              <v:path arrowok="t"/>
              <v:fill type="solid"/>
            </v:shape>
            <v:shape style="position:absolute;left:6026;top:363;width:631;height:1053" coordorigin="6026,363" coordsize="631,1053" path="m6226,616l6139,577,6139,363,6115,363,6115,581,6127,581,6124,589,6200,623,6028,702,6031,709,6027,718,6123,762,6130,746,6052,710,6226,631,6223,624,6226,616xm6226,963l6130,919,6130,919,6052,884,6226,805,6222,797,6226,789,6131,746,6124,762,6201,797,6028,876,6031,883,6027,892,6123,935,6127,926,6123,935,6200,970,6027,1049,6030,1056,6026,1065,6115,1106,6115,1320,6115,1416,6139,1416,6139,1320,6139,1103,6125,1103,6129,1093,6051,1057,6226,978,6223,970,6226,963xm6657,789l6561,746,6554,762,6632,797,6459,876,6462,883,6458,892,6553,935,6556,929,6553,935,6630,970,6458,1049,6461,1056,6457,1065,6545,1106,6545,1320,6569,1320,6569,1103,6555,1103,6559,1093,6482,1057,6656,978,6653,971,6656,963,6560,919,6560,919,6483,884,6657,805,6653,797,6657,789xm6657,616l6569,577,6569,363,6545,363,6545,581,6557,581,6554,589,6631,624,6459,702,6462,709,6458,718,6553,762,6560,746,6483,710,6657,631,6654,624,6657,616xe" filled="true" fillcolor="#000000" stroked="false">
              <v:path arrowok="t"/>
              <v:fill type="solid"/>
            </v:shape>
            <v:shape style="position:absolute;left:5792;top:1698;width:1195;height:87" coordorigin="5792,1698" coordsize="1195,87" path="m6987,1740l6881,1698,6881,1731,5900,1731,5900,1698,5792,1740,5900,1784,5900,1750,6881,1750,6881,1784,6987,1740xe" filled="true" fillcolor="#ff0000" stroked="false">
              <v:path arrowok="t"/>
              <v:fill type="solid"/>
            </v:shape>
            <v:shape style="position:absolute;left:6026;top:351;width:1009;height:1400" coordorigin="6026,351" coordsize="1009,1400" path="m6226,963l6130,919,6130,919,6052,884,6226,805,6222,797,6222,797,6226,789,6131,746,6124,762,6201,797,6028,876,6031,883,6027,892,6123,935,6127,927,6123,935,6200,970,6027,1049,6030,1056,6026,1065,6115,1106,6115,1320,6139,1320,6139,1103,6125,1103,6129,1093,6051,1057,6226,978,6223,971,6223,970,6226,963xm6657,789l6561,746,6554,762,6632,797,6459,876,6462,883,6458,892,6553,935,6555,932,6553,935,6630,970,6458,1049,6461,1056,6457,1065,6545,1106,6545,1320,6545,1751,6569,1751,6569,1320,6569,1103,6555,1103,6559,1093,6482,1057,6656,978,6653,971,6653,971,6656,963,6560,919,6560,919,6483,884,6657,805,6653,797,6653,797,6653,797,6657,789xm7035,351l6127,351,6127,363,6115,363,6115,581,6127,581,6124,589,6200,623,6028,702,6031,709,6027,718,6123,762,6130,746,6052,710,6052,710,6226,631,6223,624,6226,616,6139,577,6139,375,6545,375,6545,581,6557,581,6554,589,6631,624,6459,702,6462,709,6458,718,6553,762,6560,746,6483,710,6483,710,6657,631,6654,624,6657,616,6569,577,6569,375,7035,375,7035,351xe" filled="true" fillcolor="#000000" stroked="false">
              <v:path arrowok="t"/>
              <v:fill type="solid"/>
            </v:shape>
            <v:shape style="position:absolute;left:6115;top:351;width:920;height:1400" coordorigin="6115,351" coordsize="920,1400" path="m6139,1320l6115,1320,6115,1416,6139,1416,6139,1320xm6569,1103l6545,1103,6545,1320,6545,1751,6569,1751,6569,1320,6569,1103xm6657,789l6561,746,6554,762,6632,797,6459,876,6462,883,6458,892,6553,935,6560,919,6483,884,6657,805,6653,797,6653,797,6657,789xm7035,351l6127,351,6127,375,6545,375,6545,581,6557,581,6554,589,6631,624,6459,702,6462,709,6458,718,6553,762,6560,746,6483,710,6483,710,6657,631,6654,624,6657,616,6569,577,6569,375,7035,375,7035,351xe" filled="true" fillcolor="#000000" stroked="false">
              <v:path arrowok="t"/>
              <v:fill type="solid"/>
            </v:shape>
            <w10:wrap type="none"/>
          </v:group>
        </w:pict>
      </w:r>
      <w:r>
        <w:rPr/>
        <w:t>V3P3D</w:t>
      </w:r>
    </w:p>
    <w:p>
      <w:pPr>
        <w:spacing w:after="0"/>
        <w:jc w:val="center"/>
        <w:sectPr>
          <w:pgSz w:w="12240" w:h="15840"/>
          <w:pgMar w:header="727" w:footer="819" w:top="960" w:bottom="1000" w:left="1200" w:right="1060"/>
        </w:sectPr>
      </w:pPr>
    </w:p>
    <w:p>
      <w:pPr>
        <w:pStyle w:val="BodyText"/>
        <w:spacing w:before="10"/>
        <w:jc w:val="right"/>
      </w:pPr>
      <w:r>
        <w:rPr/>
        <w:pict>
          <v:shape style="position:absolute;margin-left:217.899994pt;margin-top:15.649878pt;width:72.55pt;height:93.35pt;mso-position-horizontal-relative:page;mso-position-vertical-relative:paragraph;z-index:15843328" type="#_x0000_t202" filled="false" stroked="true" strokeweight=".75pt" strokecolor="#000000">
            <v:textbox inset="0,0,0,0">
              <w:txbxContent>
                <w:p>
                  <w:pPr>
                    <w:pStyle w:val="BodyText"/>
                    <w:rPr>
                      <w:b/>
                      <w:sz w:val="22"/>
                    </w:rPr>
                  </w:pPr>
                </w:p>
                <w:p>
                  <w:pPr>
                    <w:pStyle w:val="BodyText"/>
                    <w:spacing w:before="1"/>
                    <w:rPr>
                      <w:b/>
                      <w:sz w:val="26"/>
                    </w:rPr>
                  </w:pPr>
                </w:p>
                <w:p>
                  <w:pPr>
                    <w:pStyle w:val="BodyText"/>
                    <w:spacing w:line="398" w:lineRule="auto"/>
                    <w:ind w:left="830" w:right="119" w:hanging="24"/>
                  </w:pPr>
                  <w:r>
                    <w:rPr/>
                    <w:t>DIO2 DIO3</w:t>
                  </w:r>
                </w:p>
                <w:p>
                  <w:pPr>
                    <w:pStyle w:val="BodyText"/>
                    <w:spacing w:before="187"/>
                    <w:ind w:left="242"/>
                  </w:pPr>
                  <w:r>
                    <w:rPr/>
                    <w:t>71M6543</w:t>
                  </w:r>
                </w:p>
              </w:txbxContent>
            </v:textbox>
            <v:stroke dashstyle="solid"/>
            <w10:wrap type="none"/>
          </v:shape>
        </w:pict>
      </w:r>
      <w:r>
        <w:rPr/>
        <w:t>10 kΩ</w:t>
      </w:r>
    </w:p>
    <w:p>
      <w:pPr>
        <w:pStyle w:val="BodyText"/>
        <w:spacing w:before="106"/>
        <w:ind w:left="583"/>
      </w:pPr>
      <w:r>
        <w:rPr/>
        <w:br w:type="column"/>
      </w:r>
      <w:r>
        <w:rPr/>
        <w:t>10 kΩ</w:t>
      </w:r>
    </w:p>
    <w:p>
      <w:pPr>
        <w:pStyle w:val="BodyText"/>
        <w:spacing w:before="9"/>
        <w:rPr>
          <w:sz w:val="17"/>
        </w:rPr>
      </w:pPr>
    </w:p>
    <w:p>
      <w:pPr>
        <w:pStyle w:val="BodyText"/>
        <w:ind w:left="787"/>
      </w:pPr>
      <w:r>
        <w:rPr/>
        <w:t>EEPROM</w:t>
      </w:r>
    </w:p>
    <w:p>
      <w:pPr>
        <w:spacing w:after="0"/>
        <w:sectPr>
          <w:type w:val="continuous"/>
          <w:pgSz w:w="12240" w:h="15840"/>
          <w:pgMar w:top="940" w:bottom="280" w:left="1200" w:right="1060"/>
          <w:cols w:num="2" w:equalWidth="0">
            <w:col w:w="4904" w:space="40"/>
            <w:col w:w="5036"/>
          </w:cols>
        </w:sectPr>
      </w:pPr>
    </w:p>
    <w:p>
      <w:pPr>
        <w:pStyle w:val="BodyText"/>
        <w:spacing w:before="3"/>
        <w:rPr>
          <w:sz w:val="5"/>
        </w:rPr>
      </w:pPr>
    </w:p>
    <w:p>
      <w:pPr>
        <w:pStyle w:val="BodyText"/>
        <w:ind w:left="5779"/>
      </w:pPr>
      <w:r>
        <w:rPr>
          <w:position w:val="0"/>
        </w:rPr>
        <w:pict>
          <v:shape style="width:40.7pt;height:55.1pt;mso-position-horizontal-relative:char;mso-position-vertical-relative:line" type="#_x0000_t202" filled="false" stroked="true" strokeweight=".75pt" strokecolor="#000000">
            <w10:anchorlock/>
            <v:textbox inset="0,0,0,0">
              <w:txbxContent>
                <w:p>
                  <w:pPr>
                    <w:pStyle w:val="BodyText"/>
                    <w:spacing w:line="350" w:lineRule="auto" w:before="73"/>
                    <w:ind w:left="87" w:right="25" w:hanging="24"/>
                  </w:pPr>
                  <w:r>
                    <w:rPr/>
                    <w:t>SDCK SDATA</w:t>
                  </w:r>
                </w:p>
              </w:txbxContent>
            </v:textbox>
            <v:stroke dashstyle="solid"/>
          </v:shape>
        </w:pict>
      </w:r>
      <w:r>
        <w:rPr>
          <w:position w:val="0"/>
        </w:rPr>
      </w:r>
    </w:p>
    <w:p>
      <w:pPr>
        <w:pStyle w:val="BodyText"/>
      </w:pPr>
    </w:p>
    <w:p>
      <w:pPr>
        <w:pStyle w:val="BodyText"/>
        <w:spacing w:before="4"/>
        <w:rPr>
          <w:sz w:val="16"/>
        </w:rPr>
      </w:pPr>
    </w:p>
    <w:p>
      <w:pPr>
        <w:spacing w:before="131"/>
        <w:ind w:left="63" w:right="204" w:firstLine="0"/>
        <w:jc w:val="center"/>
        <w:rPr>
          <w:b/>
          <w:sz w:val="20"/>
        </w:rPr>
      </w:pPr>
      <w:bookmarkStart w:name="_bookmark191" w:id="390"/>
      <w:bookmarkEnd w:id="390"/>
      <w:r>
        <w:rPr/>
      </w:r>
      <w:r>
        <w:rPr>
          <w:b/>
          <w:sz w:val="20"/>
        </w:rPr>
        <w:t>Figure 33: I</w:t>
      </w:r>
      <w:r>
        <w:rPr>
          <w:b/>
          <w:sz w:val="20"/>
          <w:vertAlign w:val="superscript"/>
        </w:rPr>
        <w:t>2</w:t>
      </w:r>
      <w:r>
        <w:rPr>
          <w:b/>
          <w:sz w:val="20"/>
          <w:vertAlign w:val="baseline"/>
        </w:rPr>
        <w:t>C EEPROM Connection</w:t>
      </w:r>
    </w:p>
    <w:p>
      <w:pPr>
        <w:pStyle w:val="ListParagraph"/>
        <w:numPr>
          <w:ilvl w:val="1"/>
          <w:numId w:val="22"/>
        </w:numPr>
        <w:tabs>
          <w:tab w:pos="959" w:val="left" w:leader="none"/>
          <w:tab w:pos="960" w:val="left" w:leader="none"/>
        </w:tabs>
        <w:spacing w:line="240" w:lineRule="auto" w:before="229" w:after="0"/>
        <w:ind w:left="960" w:right="0" w:hanging="720"/>
        <w:jc w:val="left"/>
        <w:rPr>
          <w:b/>
          <w:sz w:val="24"/>
        </w:rPr>
      </w:pPr>
      <w:bookmarkStart w:name="4.7 Connecting Three-Wire EEPROMs" w:id="391"/>
      <w:bookmarkEnd w:id="391"/>
      <w:r>
        <w:rPr/>
      </w:r>
      <w:bookmarkStart w:name="_bookmark192" w:id="392"/>
      <w:bookmarkEnd w:id="392"/>
      <w:r>
        <w:rPr/>
      </w:r>
      <w:bookmarkStart w:name="_bookmark192" w:id="393"/>
      <w:bookmarkEnd w:id="393"/>
      <w:r>
        <w:rPr>
          <w:b/>
          <w:sz w:val="24"/>
        </w:rPr>
        <w:t>Conn</w:t>
      </w:r>
      <w:r>
        <w:rPr>
          <w:b/>
          <w:sz w:val="24"/>
        </w:rPr>
        <w:t>ecting Three-Wire EEPROMs</w:t>
      </w:r>
    </w:p>
    <w:p>
      <w:pPr>
        <w:pStyle w:val="BodyText"/>
        <w:spacing w:before="122"/>
        <w:ind w:left="240" w:right="889"/>
      </w:pPr>
      <w:r>
        <w:rPr/>
        <w:t>µWire EEPROMs and other compatible devices should be connected to the DIO pins SEGDIO2 and SEGDIO3, as described in </w:t>
      </w:r>
      <w:hyperlink w:history="true" w:anchor="_bookmark130">
        <w:r>
          <w:rPr>
            <w:color w:val="0000FF"/>
          </w:rPr>
          <w:t>2.5.11 </w:t>
        </w:r>
      </w:hyperlink>
      <w:hyperlink w:history="true" w:anchor="_bookmark130">
        <w:r>
          <w:rPr>
            <w:color w:val="0000FF"/>
          </w:rPr>
          <w:t>EEPROM Interface </w:t>
        </w:r>
      </w:hyperlink>
      <w:r>
        <w:rPr/>
        <w:t>on page </w:t>
      </w:r>
      <w:hyperlink w:history="true" w:anchor="_bookmark130">
        <w:r>
          <w:rPr>
            <w:color w:val="0000FF"/>
          </w:rPr>
          <w:t>65</w:t>
        </w:r>
        <w:r>
          <w:rPr/>
          <w:t>.</w:t>
        </w:r>
      </w:hyperlink>
    </w:p>
    <w:p>
      <w:pPr>
        <w:pStyle w:val="ListParagraph"/>
        <w:numPr>
          <w:ilvl w:val="1"/>
          <w:numId w:val="22"/>
        </w:numPr>
        <w:tabs>
          <w:tab w:pos="959" w:val="left" w:leader="none"/>
          <w:tab w:pos="960" w:val="left" w:leader="none"/>
        </w:tabs>
        <w:spacing w:line="240" w:lineRule="auto" w:before="119" w:after="0"/>
        <w:ind w:left="960" w:right="0" w:hanging="720"/>
        <w:jc w:val="left"/>
        <w:rPr>
          <w:b/>
          <w:sz w:val="24"/>
        </w:rPr>
      </w:pPr>
      <w:bookmarkStart w:name="4.8 UART0 (TX/RX)" w:id="394"/>
      <w:bookmarkEnd w:id="394"/>
      <w:r>
        <w:rPr/>
      </w:r>
      <w:bookmarkStart w:name="_bookmark193" w:id="395"/>
      <w:bookmarkEnd w:id="395"/>
      <w:r>
        <w:rPr/>
      </w:r>
      <w:bookmarkStart w:name="_bookmark193" w:id="396"/>
      <w:bookmarkEnd w:id="396"/>
      <w:r>
        <w:rPr>
          <w:b/>
          <w:sz w:val="24"/>
        </w:rPr>
        <w:t>U</w:t>
      </w:r>
      <w:r>
        <w:rPr>
          <w:b/>
          <w:sz w:val="24"/>
        </w:rPr>
        <w:t>ART0 (TX/RX)</w:t>
      </w:r>
    </w:p>
    <w:p>
      <w:pPr>
        <w:pStyle w:val="BodyText"/>
        <w:spacing w:line="237" w:lineRule="auto" w:before="127"/>
        <w:ind w:left="239" w:right="401"/>
      </w:pPr>
      <w:r>
        <w:rPr/>
        <w:t>The UART0 RX pin should be pulled down by a 10 k</w:t>
      </w:r>
      <w:r>
        <w:rPr>
          <w:rFonts w:ascii="Symbol" w:hAnsi="Symbol"/>
        </w:rPr>
        <w:t></w:t>
      </w:r>
      <w:r>
        <w:rPr>
          <w:rFonts w:ascii="Times New Roman" w:hAnsi="Times New Roman"/>
        </w:rPr>
        <w:t> </w:t>
      </w:r>
      <w:r>
        <w:rPr/>
        <w:t>resistor and additionally protected by a 100 pF ceramic capacitor, as shown in </w:t>
      </w:r>
      <w:hyperlink w:history="true" w:anchor="_bookmark194">
        <w:r>
          <w:rPr>
            <w:color w:val="0000FF"/>
          </w:rPr>
          <w:t>Figure 34</w:t>
        </w:r>
        <w:r>
          <w:rPr/>
          <w:t>.</w:t>
        </w:r>
      </w:hyperlink>
    </w:p>
    <w:p>
      <w:pPr>
        <w:pStyle w:val="BodyText"/>
      </w:pPr>
    </w:p>
    <w:p>
      <w:pPr>
        <w:pStyle w:val="BodyText"/>
      </w:pPr>
    </w:p>
    <w:p>
      <w:pPr>
        <w:pStyle w:val="BodyText"/>
      </w:pPr>
    </w:p>
    <w:p>
      <w:pPr>
        <w:pStyle w:val="BodyText"/>
        <w:spacing w:before="7"/>
        <w:rPr>
          <w:sz w:val="21"/>
        </w:rPr>
      </w:pPr>
    </w:p>
    <w:p>
      <w:pPr>
        <w:pStyle w:val="BodyText"/>
        <w:spacing w:before="93"/>
        <w:ind w:left="6607"/>
      </w:pPr>
      <w:r>
        <w:rPr/>
        <w:pict>
          <v:group style="position:absolute;margin-left:198.600006pt;margin-top:-35.250111pt;width:182.95pt;height:165.25pt;mso-position-horizontal-relative:page;mso-position-vertical-relative:paragraph;z-index:15842304" coordorigin="3972,-705" coordsize="3659,3305">
            <v:shape style="position:absolute;left:5696;top:1724;width:1806;height:876" coordorigin="5696,1724" coordsize="1806,876" path="m5719,2510l5696,2510,5696,2600,5719,2600,5719,2510xm5719,2353l5696,2353,5696,2443,5719,2443,5719,2353xm5719,2196l5696,2196,5696,2286,5719,2286,5719,2196xm5719,2039l5696,2039,5696,2129,5719,2129,5719,2039xm5719,1882l5696,1882,5696,1971,5719,1971,5719,1882xm5719,1724l5696,1724,5696,1814,5719,1814,5719,1724xm7502,2353l5767,2353,5767,2375,7502,2375,7502,2353xe" filled="true" fillcolor="#000000" stroked="false">
              <v:path arrowok="t"/>
              <v:fill type="solid"/>
            </v:shape>
            <v:shape style="position:absolute;left:5646;top:2299;width:124;height:124" type="#_x0000_t75" stroked="false">
              <v:imagedata r:id="rId186" o:title=""/>
            </v:shape>
            <v:shape style="position:absolute;left:5696;top:-634;width:23;height:562" coordorigin="5696,-634" coordsize="23,562" path="m5719,-162l5696,-162,5696,-72,5719,-72,5719,-162xm5719,-319l5696,-319,5696,-229,5719,-229,5719,-319xm5719,-476l5696,-476,5696,-387,5719,-387,5719,-476xm5719,-634l5696,-634,5696,-544,5719,-544,5719,-634xe" filled="true" fillcolor="#000000" stroked="false">
              <v:path arrowok="t"/>
              <v:fill type="solid"/>
            </v:shape>
            <v:rect style="position:absolute;left:4047;top:-705;width:1660;height:23" filled="true" fillcolor="#000000" stroked="false">
              <v:fill type="solid"/>
            </v:rect>
            <v:rect style="position:absolute;left:3972;top:-705;width:8;height:23" filled="true" fillcolor="#000000" stroked="false">
              <v:fill type="solid"/>
            </v:rect>
            <v:shape style="position:absolute;left:5640;top:-5;width:1990;height:1734" type="#_x0000_t75" stroked="false">
              <v:imagedata r:id="rId187" o:title=""/>
            </v:shape>
            <v:shape style="position:absolute;left:7434;top:2293;width:136;height:136" type="#_x0000_t75" stroked="false">
              <v:imagedata r:id="rId188" o:title=""/>
            </v:shape>
            <v:shape style="position:absolute;left:5696;top:-634;width:23;height:3234" coordorigin="5696,-634" coordsize="23,3234" path="m5719,2510l5696,2510,5696,2600,5719,2600,5719,2510xm5719,2353l5696,2353,5696,2443,5719,2443,5719,2353xm5719,2196l5696,2196,5696,2286,5719,2286,5719,2196xm5719,2039l5696,2039,5696,2129,5719,2129,5719,2039xm5719,1882l5696,1882,5696,1971,5719,1971,5719,1882xm5719,1724l5696,1724,5696,1814,5719,1814,5719,1724xm5719,-162l5696,-162,5696,-72,5719,-72,5719,-162xm5719,-319l5696,-319,5696,-229,5719,-229,5719,-319xm5719,-476l5696,-476,5696,-387,5719,-387,5719,-476xm5719,-634l5696,-634,5696,-544,5719,-544,5719,-634xe" filled="true" fillcolor="#000000" stroked="false">
              <v:path arrowok="t"/>
              <v:fill type="solid"/>
            </v:shape>
            <v:shape style="position:absolute;left:5640;top:2293;width:136;height:136" type="#_x0000_t75" stroked="false">
              <v:imagedata r:id="rId188" o:title=""/>
            </v:shape>
            <v:rect style="position:absolute;left:4047;top:-705;width:1660;height:23" filled="true" fillcolor="#000000" stroked="false">
              <v:fill type="solid"/>
            </v:rect>
            <v:rect style="position:absolute;left:3972;top:-705;width:8;height:23" filled="true" fillcolor="#000000" stroked="false">
              <v:fill type="solid"/>
            </v:rect>
            <v:shape style="position:absolute;left:4293;top:-527;width:853;height:223" type="#_x0000_t202" filled="false" stroked="false">
              <v:textbox inset="0,0,0,0">
                <w:txbxContent>
                  <w:p>
                    <w:pPr>
                      <w:spacing w:line="223" w:lineRule="exact" w:before="0"/>
                      <w:ind w:left="0" w:right="0" w:firstLine="0"/>
                      <w:jc w:val="left"/>
                      <w:rPr>
                        <w:sz w:val="20"/>
                      </w:rPr>
                    </w:pPr>
                    <w:r>
                      <w:rPr>
                        <w:sz w:val="20"/>
                      </w:rPr>
                      <w:t>71M6543</w:t>
                    </w:r>
                  </w:p>
                </w:txbxContent>
              </v:textbox>
              <w10:wrap type="none"/>
            </v:shape>
            <v:shape style="position:absolute;left:5188;top:100;width:298;height:223" type="#_x0000_t202" filled="false" stroked="false">
              <v:textbox inset="0,0,0,0">
                <w:txbxContent>
                  <w:p>
                    <w:pPr>
                      <w:spacing w:line="223" w:lineRule="exact" w:before="0"/>
                      <w:ind w:left="0" w:right="0" w:firstLine="0"/>
                      <w:jc w:val="left"/>
                      <w:rPr>
                        <w:sz w:val="20"/>
                      </w:rPr>
                    </w:pPr>
                    <w:r>
                      <w:rPr>
                        <w:color w:val="FF0000"/>
                        <w:sz w:val="20"/>
                      </w:rPr>
                      <w:t>RX</w:t>
                    </w:r>
                  </w:p>
                </w:txbxContent>
              </v:textbox>
              <w10:wrap type="none"/>
            </v:shape>
            <v:shape style="position:absolute;left:5928;top:-56;width:1343;height:230" type="#_x0000_t202" filled="false" stroked="false">
              <v:textbox inset="0,0,0,0">
                <w:txbxContent>
                  <w:p>
                    <w:pPr>
                      <w:spacing w:line="230" w:lineRule="exact" w:before="0"/>
                      <w:ind w:left="0" w:right="0" w:firstLine="0"/>
                      <w:jc w:val="left"/>
                      <w:rPr>
                        <w:sz w:val="20"/>
                      </w:rPr>
                    </w:pPr>
                    <w:r>
                      <w:rPr>
                        <w:sz w:val="20"/>
                      </w:rPr>
                      <w:t>100 pF </w:t>
                    </w:r>
                    <w:r>
                      <w:rPr>
                        <w:position w:val="1"/>
                        <w:sz w:val="20"/>
                      </w:rPr>
                      <w:t>10 kΩ</w:t>
                    </w:r>
                  </w:p>
                </w:txbxContent>
              </v:textbox>
              <w10:wrap type="none"/>
            </v:shape>
            <v:shape style="position:absolute;left:5145;top:2236;width:276;height:223" type="#_x0000_t202" filled="false" stroked="false">
              <v:textbox inset="0,0,0,0">
                <w:txbxContent>
                  <w:p>
                    <w:pPr>
                      <w:spacing w:line="223" w:lineRule="exact" w:before="0"/>
                      <w:ind w:left="0" w:right="0" w:firstLine="0"/>
                      <w:jc w:val="left"/>
                      <w:rPr>
                        <w:sz w:val="20"/>
                      </w:rPr>
                    </w:pPr>
                    <w:r>
                      <w:rPr>
                        <w:color w:val="FF0000"/>
                        <w:sz w:val="20"/>
                      </w:rPr>
                      <w:t>TX</w:t>
                    </w:r>
                  </w:p>
                </w:txbxContent>
              </v:textbox>
              <w10:wrap type="none"/>
            </v:shape>
            <w10:wrap type="none"/>
          </v:group>
        </w:pict>
      </w:r>
      <w:r>
        <w:rPr/>
        <w:t>RX</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52"/>
        <w:ind w:left="6556"/>
      </w:pPr>
      <w:r>
        <w:rPr/>
        <w:t>TX</w:t>
      </w:r>
    </w:p>
    <w:p>
      <w:pPr>
        <w:pStyle w:val="BodyText"/>
        <w:spacing w:before="9"/>
        <w:rPr>
          <w:sz w:val="14"/>
        </w:rPr>
      </w:pPr>
    </w:p>
    <w:p>
      <w:pPr>
        <w:spacing w:before="93"/>
        <w:ind w:left="62" w:right="204" w:firstLine="0"/>
        <w:jc w:val="center"/>
        <w:rPr>
          <w:b/>
          <w:sz w:val="20"/>
        </w:rPr>
      </w:pPr>
      <w:bookmarkStart w:name="_bookmark194" w:id="397"/>
      <w:bookmarkEnd w:id="397"/>
      <w:r>
        <w:rPr/>
      </w:r>
      <w:r>
        <w:rPr>
          <w:b/>
          <w:sz w:val="20"/>
        </w:rPr>
        <w:t>Figure 34: Connections for UART0</w:t>
      </w:r>
    </w:p>
    <w:p>
      <w:pPr>
        <w:spacing w:after="0"/>
        <w:jc w:val="center"/>
        <w:rPr>
          <w:sz w:val="20"/>
        </w:rPr>
        <w:sectPr>
          <w:type w:val="continuous"/>
          <w:pgSz w:w="12240" w:h="15840"/>
          <w:pgMar w:top="940" w:bottom="280" w:left="1200" w:right="1060"/>
        </w:sectPr>
      </w:pPr>
    </w:p>
    <w:p>
      <w:pPr>
        <w:pStyle w:val="BodyText"/>
        <w:spacing w:before="7"/>
        <w:rPr>
          <w:b/>
          <w:sz w:val="16"/>
        </w:rPr>
      </w:pPr>
    </w:p>
    <w:p>
      <w:pPr>
        <w:pStyle w:val="ListParagraph"/>
        <w:numPr>
          <w:ilvl w:val="1"/>
          <w:numId w:val="22"/>
        </w:numPr>
        <w:tabs>
          <w:tab w:pos="959" w:val="left" w:leader="none"/>
          <w:tab w:pos="960" w:val="left" w:leader="none"/>
        </w:tabs>
        <w:spacing w:line="240" w:lineRule="auto" w:before="92" w:after="0"/>
        <w:ind w:left="960" w:right="0" w:hanging="720"/>
        <w:jc w:val="left"/>
        <w:rPr>
          <w:b/>
          <w:sz w:val="24"/>
        </w:rPr>
      </w:pPr>
      <w:bookmarkStart w:name="4.9 Optical Interface (UART1)" w:id="398"/>
      <w:bookmarkEnd w:id="398"/>
      <w:r>
        <w:rPr/>
      </w:r>
      <w:bookmarkStart w:name="_bookmark195" w:id="399"/>
      <w:bookmarkEnd w:id="399"/>
      <w:r>
        <w:rPr/>
      </w:r>
      <w:bookmarkStart w:name="_bookmark195" w:id="400"/>
      <w:bookmarkEnd w:id="400"/>
      <w:r>
        <w:rPr>
          <w:b/>
          <w:sz w:val="24"/>
        </w:rPr>
        <w:t>O</w:t>
      </w:r>
      <w:r>
        <w:rPr>
          <w:b/>
          <w:sz w:val="24"/>
        </w:rPr>
        <w:t>ptical Interface</w:t>
      </w:r>
      <w:r>
        <w:rPr>
          <w:b/>
          <w:spacing w:val="-2"/>
          <w:sz w:val="24"/>
        </w:rPr>
        <w:t> </w:t>
      </w:r>
      <w:r>
        <w:rPr>
          <w:b/>
          <w:sz w:val="24"/>
        </w:rPr>
        <w:t>(UART1)</w:t>
      </w:r>
    </w:p>
    <w:p>
      <w:pPr>
        <w:pStyle w:val="BodyText"/>
        <w:spacing w:before="122"/>
        <w:ind w:left="239" w:right="469"/>
      </w:pPr>
      <w:r>
        <w:rPr/>
        <w:t>The OPT_TX and OPT_RX pins can be used for a regular serial interface </w:t>
      </w:r>
      <w:r>
        <w:rPr>
          <w:spacing w:val="2"/>
        </w:rPr>
        <w:t>(by </w:t>
      </w:r>
      <w:r>
        <w:rPr/>
        <w:t>connecting a RS_232 transceiver for example), or they can be used to directly operate optical components (for example, an infrared</w:t>
      </w:r>
      <w:r>
        <w:rPr>
          <w:spacing w:val="-12"/>
        </w:rPr>
        <w:t> </w:t>
      </w:r>
      <w:r>
        <w:rPr/>
        <w:t>diode</w:t>
      </w:r>
      <w:r>
        <w:rPr>
          <w:spacing w:val="-12"/>
        </w:rPr>
        <w:t> </w:t>
      </w:r>
      <w:r>
        <w:rPr/>
        <w:t>and</w:t>
      </w:r>
      <w:r>
        <w:rPr>
          <w:spacing w:val="-12"/>
        </w:rPr>
        <w:t> </w:t>
      </w:r>
      <w:r>
        <w:rPr>
          <w:spacing w:val="-3"/>
        </w:rPr>
        <w:t>phototransistor</w:t>
      </w:r>
      <w:r>
        <w:rPr>
          <w:spacing w:val="-12"/>
        </w:rPr>
        <w:t> </w:t>
      </w:r>
      <w:r>
        <w:rPr/>
        <w:t>implementing</w:t>
      </w:r>
      <w:r>
        <w:rPr>
          <w:spacing w:val="-13"/>
        </w:rPr>
        <w:t> </w:t>
      </w:r>
      <w:r>
        <w:rPr/>
        <w:t>a</w:t>
      </w:r>
      <w:r>
        <w:rPr>
          <w:spacing w:val="-12"/>
        </w:rPr>
        <w:t> </w:t>
      </w:r>
      <w:r>
        <w:rPr/>
        <w:t>FLAG</w:t>
      </w:r>
      <w:r>
        <w:rPr>
          <w:spacing w:val="-13"/>
        </w:rPr>
        <w:t> </w:t>
      </w:r>
      <w:r>
        <w:rPr/>
        <w:t>interface).</w:t>
      </w:r>
      <w:r>
        <w:rPr>
          <w:spacing w:val="31"/>
        </w:rPr>
        <w:t> </w:t>
      </w:r>
      <w:hyperlink w:history="true" w:anchor="_bookmark196">
        <w:r>
          <w:rPr>
            <w:color w:val="0000FF"/>
          </w:rPr>
          <w:t>Figure</w:t>
        </w:r>
        <w:r>
          <w:rPr>
            <w:color w:val="0000FF"/>
            <w:spacing w:val="-14"/>
          </w:rPr>
          <w:t> </w:t>
        </w:r>
        <w:r>
          <w:rPr>
            <w:color w:val="0000FF"/>
          </w:rPr>
          <w:t>35</w:t>
        </w:r>
        <w:r>
          <w:rPr>
            <w:color w:val="0000FF"/>
            <w:spacing w:val="-13"/>
          </w:rPr>
          <w:t> </w:t>
        </w:r>
      </w:hyperlink>
      <w:r>
        <w:rPr/>
        <w:t>shows</w:t>
      </w:r>
      <w:r>
        <w:rPr>
          <w:spacing w:val="-11"/>
        </w:rPr>
        <w:t> </w:t>
      </w:r>
      <w:r>
        <w:rPr/>
        <w:t>the</w:t>
      </w:r>
      <w:r>
        <w:rPr>
          <w:spacing w:val="-12"/>
        </w:rPr>
        <w:t> </w:t>
      </w:r>
      <w:r>
        <w:rPr/>
        <w:t>basic</w:t>
      </w:r>
      <w:r>
        <w:rPr>
          <w:spacing w:val="-12"/>
        </w:rPr>
        <w:t> </w:t>
      </w:r>
      <w:r>
        <w:rPr>
          <w:spacing w:val="-3"/>
        </w:rPr>
        <w:t>connections </w:t>
      </w:r>
      <w:r>
        <w:rPr/>
        <w:t>for UART1. The OPT_TX pin becomes active when the control field </w:t>
      </w:r>
      <w:r>
        <w:rPr>
          <w:rFonts w:ascii="Times New Roman"/>
          <w:i/>
        </w:rPr>
        <w:t>OPT_TXE </w:t>
      </w:r>
      <w:r>
        <w:rPr/>
        <w:t>(</w:t>
      </w:r>
      <w:r>
        <w:rPr>
          <w:rFonts w:ascii="Times New Roman"/>
          <w:i/>
        </w:rPr>
        <w:t>I/O RAM 0x2456[3:2]) </w:t>
      </w:r>
      <w:r>
        <w:rPr/>
        <w:t>is set to</w:t>
      </w:r>
      <w:r>
        <w:rPr>
          <w:spacing w:val="-3"/>
        </w:rPr>
        <w:t> </w:t>
      </w:r>
      <w:r>
        <w:rPr/>
        <w:t>01.</w:t>
      </w:r>
    </w:p>
    <w:p>
      <w:pPr>
        <w:spacing w:line="242" w:lineRule="auto" w:before="117"/>
        <w:ind w:left="239" w:right="739" w:firstLine="0"/>
        <w:jc w:val="left"/>
        <w:rPr>
          <w:sz w:val="20"/>
        </w:rPr>
      </w:pPr>
      <w:r>
        <w:rPr>
          <w:sz w:val="20"/>
        </w:rPr>
        <w:t>The polarity of the OPT_TX and OPT_RX pins can be inverted with the configuration bits, </w:t>
      </w:r>
      <w:r>
        <w:rPr>
          <w:rFonts w:ascii="Times New Roman"/>
          <w:i/>
          <w:sz w:val="20"/>
        </w:rPr>
        <w:t>OPT_TXINV </w:t>
      </w:r>
      <w:r>
        <w:rPr>
          <w:rFonts w:ascii="Times New Roman"/>
          <w:i/>
          <w:sz w:val="20"/>
        </w:rPr>
        <w:t>(I/O RAM 0x2456[0]) </w:t>
      </w:r>
      <w:r>
        <w:rPr>
          <w:sz w:val="20"/>
        </w:rPr>
        <w:t>and </w:t>
      </w:r>
      <w:r>
        <w:rPr>
          <w:rFonts w:ascii="Times New Roman"/>
          <w:i/>
          <w:sz w:val="20"/>
        </w:rPr>
        <w:t>OPT_RXINV (I/O RAM 0x2457[1])</w:t>
      </w:r>
      <w:r>
        <w:rPr>
          <w:sz w:val="20"/>
        </w:rPr>
        <w:t>, respectively.</w:t>
      </w:r>
    </w:p>
    <w:p>
      <w:pPr>
        <w:pStyle w:val="BodyText"/>
        <w:spacing w:before="119"/>
        <w:ind w:left="238" w:right="401"/>
      </w:pPr>
      <w:r>
        <w:rPr/>
        <w:t>The OPT_TX output may be modulated at 38 kHz when system power is present. Modulation is not available in BRN mode. The </w:t>
      </w:r>
      <w:r>
        <w:rPr>
          <w:rFonts w:ascii="Times New Roman"/>
          <w:i/>
        </w:rPr>
        <w:t>OPT_TXMOD </w:t>
      </w:r>
      <w:r>
        <w:rPr/>
        <w:t>bit (</w:t>
      </w:r>
      <w:r>
        <w:rPr>
          <w:rFonts w:ascii="Times New Roman"/>
          <w:i/>
        </w:rPr>
        <w:t>I/O RAM 0x2456[1]) </w:t>
      </w:r>
      <w:r>
        <w:rPr/>
        <w:t>enables modulation. The duty cycle is controlled by </w:t>
      </w:r>
      <w:r>
        <w:rPr>
          <w:rFonts w:ascii="Times New Roman"/>
          <w:i/>
        </w:rPr>
        <w:t>OPT_FDC[1:0] (I/O RAM 0x2457[5:4])</w:t>
      </w:r>
      <w:r>
        <w:rPr/>
        <w:t>, which can select 50%, 25%, 12.5%, and 6.25% duty cycle. A 6.25% duty cycle means OPT_TX is low for 6.25% of the period. The OPT_RX pin uses digital signal thresholds. It may need an analog filter when receiving modulated optical signals.</w:t>
      </w:r>
    </w:p>
    <w:p>
      <w:pPr>
        <w:pStyle w:val="BodyText"/>
        <w:spacing w:before="10"/>
        <w:rPr>
          <w:sz w:val="19"/>
        </w:rPr>
      </w:pPr>
    </w:p>
    <w:p>
      <w:pPr>
        <w:pStyle w:val="BodyText"/>
        <w:ind w:left="790" w:right="401" w:firstLine="2"/>
      </w:pPr>
      <w:r>
        <w:rPr/>
        <w:drawing>
          <wp:anchor distT="0" distB="0" distL="0" distR="0" allowOverlap="1" layoutInCell="1" locked="0" behindDoc="0" simplePos="0" relativeHeight="15844352">
            <wp:simplePos x="0" y="0"/>
            <wp:positionH relativeFrom="page">
              <wp:posOffset>949567</wp:posOffset>
            </wp:positionH>
            <wp:positionV relativeFrom="paragraph">
              <wp:posOffset>-25760</wp:posOffset>
            </wp:positionV>
            <wp:extent cx="226221" cy="348507"/>
            <wp:effectExtent l="0" t="0" r="0" b="0"/>
            <wp:wrapNone/>
            <wp:docPr id="103" name="image157.png"/>
            <wp:cNvGraphicFramePr>
              <a:graphicFrameLocks noChangeAspect="1"/>
            </wp:cNvGraphicFramePr>
            <a:graphic>
              <a:graphicData uri="http://schemas.openxmlformats.org/drawingml/2006/picture">
                <pic:pic>
                  <pic:nvPicPr>
                    <pic:cNvPr id="104" name="image157.png"/>
                    <pic:cNvPicPr/>
                  </pic:nvPicPr>
                  <pic:blipFill>
                    <a:blip r:embed="rId189" cstate="print"/>
                    <a:stretch>
                      <a:fillRect/>
                    </a:stretch>
                  </pic:blipFill>
                  <pic:spPr>
                    <a:xfrm>
                      <a:off x="0" y="0"/>
                      <a:ext cx="226221" cy="348507"/>
                    </a:xfrm>
                    <a:prstGeom prst="rect">
                      <a:avLst/>
                    </a:prstGeom>
                  </pic:spPr>
                </pic:pic>
              </a:graphicData>
            </a:graphic>
          </wp:anchor>
        </w:drawing>
      </w:r>
      <w:r>
        <w:rPr/>
        <w:t>With</w:t>
      </w:r>
      <w:r>
        <w:rPr>
          <w:spacing w:val="-8"/>
        </w:rPr>
        <w:t> </w:t>
      </w:r>
      <w:r>
        <w:rPr/>
        <w:t>modulation,</w:t>
      </w:r>
      <w:r>
        <w:rPr>
          <w:spacing w:val="-4"/>
        </w:rPr>
        <w:t> </w:t>
      </w:r>
      <w:r>
        <w:rPr/>
        <w:t>an</w:t>
      </w:r>
      <w:r>
        <w:rPr>
          <w:spacing w:val="-4"/>
        </w:rPr>
        <w:t> </w:t>
      </w:r>
      <w:r>
        <w:rPr/>
        <w:t>optical</w:t>
      </w:r>
      <w:r>
        <w:rPr>
          <w:spacing w:val="-3"/>
        </w:rPr>
        <w:t> </w:t>
      </w:r>
      <w:r>
        <w:rPr/>
        <w:t>emitter</w:t>
      </w:r>
      <w:r>
        <w:rPr>
          <w:spacing w:val="-3"/>
        </w:rPr>
        <w:t> </w:t>
      </w:r>
      <w:r>
        <w:rPr/>
        <w:t>can</w:t>
      </w:r>
      <w:r>
        <w:rPr>
          <w:spacing w:val="-5"/>
        </w:rPr>
        <w:t> </w:t>
      </w:r>
      <w:r>
        <w:rPr/>
        <w:t>be</w:t>
      </w:r>
      <w:r>
        <w:rPr>
          <w:spacing w:val="-2"/>
        </w:rPr>
        <w:t> </w:t>
      </w:r>
      <w:r>
        <w:rPr/>
        <w:t>operated</w:t>
      </w:r>
      <w:r>
        <w:rPr>
          <w:spacing w:val="-2"/>
        </w:rPr>
        <w:t> </w:t>
      </w:r>
      <w:r>
        <w:rPr/>
        <w:t>at</w:t>
      </w:r>
      <w:r>
        <w:rPr>
          <w:spacing w:val="-3"/>
        </w:rPr>
        <w:t> </w:t>
      </w:r>
      <w:r>
        <w:rPr/>
        <w:t>higher</w:t>
      </w:r>
      <w:r>
        <w:rPr>
          <w:spacing w:val="-3"/>
        </w:rPr>
        <w:t> </w:t>
      </w:r>
      <w:r>
        <w:rPr/>
        <w:t>current</w:t>
      </w:r>
      <w:r>
        <w:rPr>
          <w:spacing w:val="-2"/>
        </w:rPr>
        <w:t> </w:t>
      </w:r>
      <w:r>
        <w:rPr/>
        <w:t>than</w:t>
      </w:r>
      <w:r>
        <w:rPr>
          <w:spacing w:val="-4"/>
        </w:rPr>
        <w:t> </w:t>
      </w:r>
      <w:r>
        <w:rPr/>
        <w:t>nominal,</w:t>
      </w:r>
      <w:r>
        <w:rPr>
          <w:spacing w:val="-4"/>
        </w:rPr>
        <w:t> </w:t>
      </w:r>
      <w:r>
        <w:rPr/>
        <w:t>enabling</w:t>
      </w:r>
      <w:r>
        <w:rPr>
          <w:spacing w:val="-3"/>
        </w:rPr>
        <w:t> </w:t>
      </w:r>
      <w:r>
        <w:rPr/>
        <w:t>it</w:t>
      </w:r>
      <w:r>
        <w:rPr>
          <w:spacing w:val="-2"/>
        </w:rPr>
        <w:t> </w:t>
      </w:r>
      <w:r>
        <w:rPr/>
        <w:t>to increase the distance along the optical</w:t>
      </w:r>
      <w:r>
        <w:rPr>
          <w:spacing w:val="-1"/>
        </w:rPr>
        <w:t> </w:t>
      </w:r>
      <w:r>
        <w:rPr/>
        <w:t>path.</w:t>
      </w:r>
    </w:p>
    <w:p>
      <w:pPr>
        <w:pStyle w:val="BodyText"/>
        <w:spacing w:before="2"/>
      </w:pPr>
    </w:p>
    <w:p>
      <w:pPr>
        <w:pStyle w:val="BodyText"/>
        <w:ind w:left="238" w:right="460"/>
      </w:pPr>
      <w:r>
        <w:rPr/>
        <w:t>If operation in BRN mode is desired, the external components should be connected to V3P3D. However, it is recommended to limit the current to a few</w:t>
      </w:r>
      <w:r>
        <w:rPr>
          <w:spacing w:val="-9"/>
        </w:rPr>
        <w:t> </w:t>
      </w:r>
      <w:r>
        <w:rPr/>
        <w:t>mA.</w:t>
      </w:r>
    </w:p>
    <w:p>
      <w:pPr>
        <w:pStyle w:val="BodyText"/>
        <w:rPr>
          <w:sz w:val="15"/>
        </w:rPr>
      </w:pPr>
      <w:r>
        <w:rPr/>
        <w:pict>
          <v:group style="position:absolute;margin-left:165.5pt;margin-top:10.609776pt;width:282.150pt;height:172.4pt;mso-position-horizontal-relative:page;mso-position-vertical-relative:paragraph;z-index:-15613440;mso-wrap-distance-left:0;mso-wrap-distance-right:0" coordorigin="3310,212" coordsize="5643,3448">
            <v:shape style="position:absolute;left:4857;top:212;width:4096;height:3448" type="#_x0000_t75" stroked="false">
              <v:imagedata r:id="rId190" o:title=""/>
            </v:shape>
            <v:shape style="position:absolute;left:3310;top:692;width:1487;height:20" coordorigin="3310,693" coordsize="1487,20" path="m3390,693l3310,693,3310,713,3390,713,3390,693xm3531,693l3451,693,3451,713,3531,713,3531,693xm3672,693l3591,693,3591,713,3672,713,3672,693xm3812,693l3732,693,3732,713,3812,713,3812,693xm3953,693l3872,693,3872,713,3953,713,3953,693xm4093,693l4013,693,4013,713,4093,713,4093,693xm4234,693l4154,693,4154,713,4234,713,4234,693xm4375,693l4294,693,4294,713,4375,713,4375,693xm4515,693l4435,693,4435,713,4515,713,4515,693xm4656,693l4576,693,4576,713,4656,713,4656,693xm4797,693l4716,693,4716,713,4797,713,4797,693xe" filled="true" fillcolor="#000000" stroked="false">
              <v:path arrowok="t"/>
              <v:fill type="solid"/>
            </v:shape>
            <v:shape style="position:absolute;left:3310;top:692;width:1487;height:20" coordorigin="3310,693" coordsize="1487,20" path="m3390,693l3310,693,3310,713,3390,713,3390,693xm3531,693l3451,693,3451,713,3531,713,3531,693xm3672,693l3591,693,3591,713,3672,713,3672,693xm3812,693l3732,693,3732,713,3812,713,3812,693xm3953,693l3872,693,3872,713,3953,713,3953,693xm4093,693l4013,693,4013,713,4093,713,4093,693xm4234,693l4154,693,4154,713,4234,713,4234,693xm4375,693l4294,693,4294,713,4375,713,4375,693xm4515,693l4435,693,4435,713,4515,713,4515,693xm4656,693l4576,693,4576,713,4656,713,4656,693xm4797,693l4716,693,4716,713,4797,713,4797,693xe" filled="true" fillcolor="#000000" stroked="false">
              <v:path arrowok="t"/>
              <v:fill type="solid"/>
            </v:shape>
            <v:shape style="position:absolute;left:6904;top:226;width:820;height:202" type="#_x0000_t202" filled="false" stroked="false">
              <v:textbox inset="0,0,0,0">
                <w:txbxContent>
                  <w:p>
                    <w:pPr>
                      <w:spacing w:line="201" w:lineRule="exact" w:before="0"/>
                      <w:ind w:left="0" w:right="0" w:firstLine="0"/>
                      <w:jc w:val="left"/>
                      <w:rPr>
                        <w:sz w:val="18"/>
                      </w:rPr>
                    </w:pPr>
                    <w:r>
                      <w:rPr>
                        <w:sz w:val="18"/>
                      </w:rPr>
                      <w:t>V3P3SYS</w:t>
                    </w:r>
                  </w:p>
                </w:txbxContent>
              </v:textbox>
              <w10:wrap type="none"/>
            </v:shape>
            <v:shape style="position:absolute;left:3451;top:854;width:853;height:223" type="#_x0000_t202" filled="false" stroked="false">
              <v:textbox inset="0,0,0,0">
                <w:txbxContent>
                  <w:p>
                    <w:pPr>
                      <w:spacing w:line="223" w:lineRule="exact" w:before="0"/>
                      <w:ind w:left="0" w:right="0" w:firstLine="0"/>
                      <w:jc w:val="left"/>
                      <w:rPr>
                        <w:sz w:val="20"/>
                      </w:rPr>
                    </w:pPr>
                    <w:r>
                      <w:rPr>
                        <w:sz w:val="20"/>
                      </w:rPr>
                      <w:t>71M6543</w:t>
                    </w:r>
                  </w:p>
                </w:txbxContent>
              </v:textbox>
              <w10:wrap type="none"/>
            </v:shape>
            <v:shape style="position:absolute;left:6914;top:803;width:252;height:273" type="#_x0000_t202" filled="false" stroked="false">
              <v:textbox inset="0,0,0,0">
                <w:txbxContent>
                  <w:p>
                    <w:pPr>
                      <w:spacing w:line="270" w:lineRule="exact" w:before="0"/>
                      <w:ind w:left="0" w:right="0" w:firstLine="0"/>
                      <w:jc w:val="left"/>
                      <w:rPr>
                        <w:b/>
                        <w:sz w:val="14"/>
                      </w:rPr>
                    </w:pPr>
                    <w:r>
                      <w:rPr>
                        <w:sz w:val="20"/>
                      </w:rPr>
                      <w:t>R</w:t>
                    </w:r>
                    <w:r>
                      <w:rPr>
                        <w:b/>
                        <w:position w:val="-5"/>
                        <w:sz w:val="14"/>
                      </w:rPr>
                      <w:t>1</w:t>
                    </w:r>
                  </w:p>
                </w:txbxContent>
              </v:textbox>
              <w10:wrap type="none"/>
            </v:shape>
            <v:shape style="position:absolute;left:4044;top:1414;width:741;height:202" type="#_x0000_t202" filled="false" stroked="false">
              <v:textbox inset="0,0,0,0">
                <w:txbxContent>
                  <w:p>
                    <w:pPr>
                      <w:spacing w:line="201" w:lineRule="exact" w:before="0"/>
                      <w:ind w:left="0" w:right="0" w:firstLine="0"/>
                      <w:jc w:val="left"/>
                      <w:rPr>
                        <w:sz w:val="18"/>
                      </w:rPr>
                    </w:pPr>
                    <w:r>
                      <w:rPr>
                        <w:color w:val="FF0000"/>
                        <w:sz w:val="18"/>
                      </w:rPr>
                      <w:t>OPT_RX</w:t>
                    </w:r>
                  </w:p>
                </w:txbxContent>
              </v:textbox>
              <w10:wrap type="none"/>
            </v:shape>
            <v:shape style="position:absolute;left:5167;top:1270;width:1253;height:211" type="#_x0000_t202" filled="false" stroked="false">
              <v:textbox inset="0,0,0,0">
                <w:txbxContent>
                  <w:p>
                    <w:pPr>
                      <w:spacing w:line="211" w:lineRule="exact" w:before="0"/>
                      <w:ind w:left="0" w:right="0" w:firstLine="0"/>
                      <w:jc w:val="left"/>
                      <w:rPr>
                        <w:sz w:val="18"/>
                      </w:rPr>
                    </w:pPr>
                    <w:r>
                      <w:rPr>
                        <w:sz w:val="18"/>
                      </w:rPr>
                      <w:t>100 pF </w:t>
                    </w:r>
                    <w:r>
                      <w:rPr>
                        <w:position w:val="1"/>
                        <w:sz w:val="18"/>
                      </w:rPr>
                      <w:t>10 kΩ</w:t>
                    </w:r>
                  </w:p>
                </w:txbxContent>
              </v:textbox>
              <w10:wrap type="none"/>
            </v:shape>
            <v:shape style="position:absolute;left:7003;top:1757;width:1233;height:202" type="#_x0000_t202" filled="false" stroked="false">
              <v:textbox inset="0,0,0,0">
                <w:txbxContent>
                  <w:p>
                    <w:pPr>
                      <w:spacing w:line="201" w:lineRule="exact" w:before="0"/>
                      <w:ind w:left="0" w:right="0" w:firstLine="0"/>
                      <w:jc w:val="left"/>
                      <w:rPr>
                        <w:sz w:val="18"/>
                      </w:rPr>
                    </w:pPr>
                    <w:r>
                      <w:rPr>
                        <w:sz w:val="18"/>
                      </w:rPr>
                      <w:t>Phototransistor</w:t>
                    </w:r>
                  </w:p>
                </w:txbxContent>
              </v:textbox>
              <w10:wrap type="none"/>
            </v:shape>
            <v:shape style="position:absolute;left:7708;top:2467;width:820;height:202" type="#_x0000_t202" filled="false" stroked="false">
              <v:textbox inset="0,0,0,0">
                <w:txbxContent>
                  <w:p>
                    <w:pPr>
                      <w:spacing w:line="201" w:lineRule="exact" w:before="0"/>
                      <w:ind w:left="0" w:right="0" w:firstLine="0"/>
                      <w:jc w:val="left"/>
                      <w:rPr>
                        <w:sz w:val="18"/>
                      </w:rPr>
                    </w:pPr>
                    <w:r>
                      <w:rPr>
                        <w:sz w:val="18"/>
                      </w:rPr>
                      <w:t>V3P3SYS</w:t>
                    </w:r>
                  </w:p>
                </w:txbxContent>
              </v:textbox>
              <w10:wrap type="none"/>
            </v:shape>
            <v:shape style="position:absolute;left:6225;top:3057;width:254;height:275" type="#_x0000_t202" filled="false" stroked="false">
              <v:textbox inset="0,0,0,0">
                <w:txbxContent>
                  <w:p>
                    <w:pPr>
                      <w:spacing w:line="270" w:lineRule="exact" w:before="0"/>
                      <w:ind w:left="0" w:right="0" w:firstLine="0"/>
                      <w:jc w:val="left"/>
                      <w:rPr>
                        <w:b/>
                        <w:sz w:val="14"/>
                      </w:rPr>
                    </w:pPr>
                    <w:r>
                      <w:rPr>
                        <w:sz w:val="20"/>
                      </w:rPr>
                      <w:t>R</w:t>
                    </w:r>
                    <w:r>
                      <w:rPr>
                        <w:b/>
                        <w:position w:val="-5"/>
                        <w:sz w:val="14"/>
                      </w:rPr>
                      <w:t>2</w:t>
                    </w:r>
                  </w:p>
                </w:txbxContent>
              </v:textbox>
              <w10:wrap type="none"/>
            </v:shape>
            <v:shape style="position:absolute;left:6938;top:2950;width:371;height:202" type="#_x0000_t202" filled="false" stroked="false">
              <v:textbox inset="0,0,0,0">
                <w:txbxContent>
                  <w:p>
                    <w:pPr>
                      <w:spacing w:line="201" w:lineRule="exact" w:before="0"/>
                      <w:ind w:left="0" w:right="0" w:firstLine="0"/>
                      <w:jc w:val="left"/>
                      <w:rPr>
                        <w:sz w:val="18"/>
                      </w:rPr>
                    </w:pPr>
                    <w:r>
                      <w:rPr>
                        <w:sz w:val="18"/>
                      </w:rPr>
                      <w:t>LED</w:t>
                    </w:r>
                  </w:p>
                </w:txbxContent>
              </v:textbox>
              <w10:wrap type="none"/>
            </v:shape>
            <v:shape style="position:absolute;left:4063;top:3334;width:721;height:202" type="#_x0000_t202" filled="false" stroked="false">
              <v:textbox inset="0,0,0,0">
                <w:txbxContent>
                  <w:p>
                    <w:pPr>
                      <w:spacing w:line="201" w:lineRule="exact" w:before="0"/>
                      <w:ind w:left="0" w:right="0" w:firstLine="0"/>
                      <w:jc w:val="left"/>
                      <w:rPr>
                        <w:sz w:val="18"/>
                      </w:rPr>
                    </w:pPr>
                    <w:r>
                      <w:rPr>
                        <w:color w:val="FF0000"/>
                        <w:sz w:val="18"/>
                      </w:rPr>
                      <w:t>OPT_TX</w:t>
                    </w:r>
                  </w:p>
                </w:txbxContent>
              </v:textbox>
              <w10:wrap type="none"/>
            </v:shape>
            <w10:wrap type="topAndBottom"/>
          </v:group>
        </w:pict>
      </w:r>
    </w:p>
    <w:p>
      <w:pPr>
        <w:spacing w:before="108"/>
        <w:ind w:left="63" w:right="204" w:firstLine="0"/>
        <w:jc w:val="center"/>
        <w:rPr>
          <w:b/>
          <w:sz w:val="20"/>
        </w:rPr>
      </w:pPr>
      <w:bookmarkStart w:name="_bookmark196" w:id="401"/>
      <w:bookmarkEnd w:id="401"/>
      <w:r>
        <w:rPr/>
      </w:r>
      <w:r>
        <w:rPr>
          <w:b/>
          <w:sz w:val="20"/>
        </w:rPr>
        <w:t>Figure 35: Connection for Optical Components</w:t>
      </w:r>
    </w:p>
    <w:p>
      <w:pPr>
        <w:pStyle w:val="BodyText"/>
        <w:spacing w:before="10"/>
        <w:rPr>
          <w:b/>
          <w:sz w:val="19"/>
        </w:rPr>
      </w:pPr>
    </w:p>
    <w:p>
      <w:pPr>
        <w:pStyle w:val="ListParagraph"/>
        <w:numPr>
          <w:ilvl w:val="1"/>
          <w:numId w:val="22"/>
        </w:numPr>
        <w:tabs>
          <w:tab w:pos="959" w:val="left" w:leader="none"/>
          <w:tab w:pos="960" w:val="left" w:leader="none"/>
        </w:tabs>
        <w:spacing w:line="240" w:lineRule="auto" w:before="1" w:after="0"/>
        <w:ind w:left="960" w:right="0" w:hanging="720"/>
        <w:jc w:val="left"/>
        <w:rPr>
          <w:b/>
          <w:sz w:val="24"/>
        </w:rPr>
      </w:pPr>
      <w:bookmarkStart w:name="4.10 Connecting the Reset Pin" w:id="402"/>
      <w:bookmarkEnd w:id="402"/>
      <w:r>
        <w:rPr/>
      </w:r>
      <w:bookmarkStart w:name="_bookmark197" w:id="403"/>
      <w:bookmarkEnd w:id="403"/>
      <w:r>
        <w:rPr/>
      </w:r>
      <w:bookmarkStart w:name="_bookmark197" w:id="404"/>
      <w:bookmarkEnd w:id="404"/>
      <w:r>
        <w:rPr>
          <w:b/>
          <w:sz w:val="24"/>
        </w:rPr>
        <w:t>Conn</w:t>
      </w:r>
      <w:r>
        <w:rPr>
          <w:b/>
          <w:sz w:val="24"/>
        </w:rPr>
        <w:t>ecting the Reset</w:t>
      </w:r>
      <w:r>
        <w:rPr>
          <w:b/>
          <w:spacing w:val="-1"/>
          <w:sz w:val="24"/>
        </w:rPr>
        <w:t> </w:t>
      </w:r>
      <w:r>
        <w:rPr>
          <w:b/>
          <w:sz w:val="24"/>
        </w:rPr>
        <w:t>Pin</w:t>
      </w:r>
    </w:p>
    <w:p>
      <w:pPr>
        <w:pStyle w:val="BodyText"/>
        <w:spacing w:before="121"/>
        <w:ind w:left="239" w:right="401"/>
      </w:pPr>
      <w:r>
        <w:rPr/>
        <w:t>Even though a functional meter does not necessarily need a reset switch, it is useful to have a reset pushbutton </w:t>
      </w:r>
      <w:r>
        <w:rPr>
          <w:spacing w:val="-3"/>
        </w:rPr>
        <w:t>for prototyping </w:t>
      </w:r>
      <w:r>
        <w:rPr/>
        <w:t>as </w:t>
      </w:r>
      <w:r>
        <w:rPr>
          <w:spacing w:val="-3"/>
        </w:rPr>
        <w:t>shown </w:t>
      </w:r>
      <w:r>
        <w:rPr/>
        <w:t>in </w:t>
      </w:r>
      <w:hyperlink w:history="true" w:anchor="_bookmark198">
        <w:r>
          <w:rPr>
            <w:color w:val="0000FF"/>
            <w:spacing w:val="-3"/>
          </w:rPr>
          <w:t>Figure </w:t>
        </w:r>
        <w:r>
          <w:rPr>
            <w:color w:val="0000FF"/>
          </w:rPr>
          <w:t>36</w:t>
        </w:r>
        <w:r>
          <w:rPr/>
          <w:t>, </w:t>
        </w:r>
      </w:hyperlink>
      <w:r>
        <w:rPr/>
        <w:t>left </w:t>
      </w:r>
      <w:r>
        <w:rPr>
          <w:spacing w:val="-3"/>
        </w:rPr>
        <w:t>side. </w:t>
      </w:r>
      <w:r>
        <w:rPr/>
        <w:t>The </w:t>
      </w:r>
      <w:r>
        <w:rPr>
          <w:spacing w:val="-3"/>
        </w:rPr>
        <w:t>RESET signal </w:t>
      </w:r>
      <w:r>
        <w:rPr/>
        <w:t>may be </w:t>
      </w:r>
      <w:r>
        <w:rPr>
          <w:spacing w:val="-3"/>
        </w:rPr>
        <w:t>sourced from V3P3SYS</w:t>
      </w:r>
      <w:r>
        <w:rPr>
          <w:spacing w:val="-9"/>
        </w:rPr>
        <w:t> </w:t>
      </w:r>
      <w:r>
        <w:rPr>
          <w:spacing w:val="-3"/>
        </w:rPr>
        <w:t>(functional</w:t>
      </w:r>
      <w:r>
        <w:rPr>
          <w:spacing w:val="-10"/>
        </w:rPr>
        <w:t> </w:t>
      </w:r>
      <w:r>
        <w:rPr/>
        <w:t>in</w:t>
      </w:r>
      <w:r>
        <w:rPr>
          <w:spacing w:val="-8"/>
        </w:rPr>
        <w:t> </w:t>
      </w:r>
      <w:r>
        <w:rPr>
          <w:spacing w:val="-3"/>
        </w:rPr>
        <w:t>MSN</w:t>
      </w:r>
      <w:r>
        <w:rPr>
          <w:spacing w:val="-11"/>
        </w:rPr>
        <w:t> </w:t>
      </w:r>
      <w:r>
        <w:rPr/>
        <w:t>mode</w:t>
      </w:r>
      <w:r>
        <w:rPr>
          <w:spacing w:val="-8"/>
        </w:rPr>
        <w:t> </w:t>
      </w:r>
      <w:r>
        <w:rPr>
          <w:spacing w:val="-4"/>
        </w:rPr>
        <w:t>only),</w:t>
      </w:r>
      <w:r>
        <w:rPr>
          <w:spacing w:val="-9"/>
        </w:rPr>
        <w:t> </w:t>
      </w:r>
      <w:r>
        <w:rPr>
          <w:spacing w:val="-3"/>
        </w:rPr>
        <w:t>V3P3D</w:t>
      </w:r>
      <w:r>
        <w:rPr>
          <w:spacing w:val="-8"/>
        </w:rPr>
        <w:t> </w:t>
      </w:r>
      <w:r>
        <w:rPr>
          <w:spacing w:val="-3"/>
        </w:rPr>
        <w:t>(MSN</w:t>
      </w:r>
      <w:r>
        <w:rPr>
          <w:spacing w:val="-5"/>
        </w:rPr>
        <w:t> </w:t>
      </w:r>
      <w:r>
        <w:rPr/>
        <w:t>and</w:t>
      </w:r>
      <w:r>
        <w:rPr>
          <w:spacing w:val="-9"/>
        </w:rPr>
        <w:t> </w:t>
      </w:r>
      <w:r>
        <w:rPr>
          <w:spacing w:val="-3"/>
        </w:rPr>
        <w:t>BRN</w:t>
      </w:r>
      <w:r>
        <w:rPr>
          <w:spacing w:val="-10"/>
        </w:rPr>
        <w:t> </w:t>
      </w:r>
      <w:r>
        <w:rPr/>
        <w:t>modes),</w:t>
      </w:r>
      <w:r>
        <w:rPr>
          <w:spacing w:val="-11"/>
        </w:rPr>
        <w:t> </w:t>
      </w:r>
      <w:r>
        <w:rPr/>
        <w:t>or</w:t>
      </w:r>
      <w:r>
        <w:rPr>
          <w:spacing w:val="-8"/>
        </w:rPr>
        <w:t> </w:t>
      </w:r>
      <w:r>
        <w:rPr>
          <w:spacing w:val="-3"/>
        </w:rPr>
        <w:t>VBAT</w:t>
      </w:r>
      <w:r>
        <w:rPr>
          <w:spacing w:val="-7"/>
        </w:rPr>
        <w:t> </w:t>
      </w:r>
      <w:r>
        <w:rPr>
          <w:spacing w:val="-3"/>
        </w:rPr>
        <w:t>(all</w:t>
      </w:r>
      <w:r>
        <w:rPr>
          <w:spacing w:val="-12"/>
        </w:rPr>
        <w:t> </w:t>
      </w:r>
      <w:r>
        <w:rPr/>
        <w:t>modes,</w:t>
      </w:r>
      <w:r>
        <w:rPr>
          <w:spacing w:val="-8"/>
        </w:rPr>
        <w:t> </w:t>
      </w:r>
      <w:r>
        <w:rPr>
          <w:spacing w:val="-3"/>
        </w:rPr>
        <w:t>if</w:t>
      </w:r>
      <w:r>
        <w:rPr>
          <w:spacing w:val="-6"/>
        </w:rPr>
        <w:t> </w:t>
      </w:r>
      <w:r>
        <w:rPr/>
        <w:t>a</w:t>
      </w:r>
      <w:r>
        <w:rPr>
          <w:spacing w:val="-9"/>
        </w:rPr>
        <w:t> </w:t>
      </w:r>
      <w:r>
        <w:rPr>
          <w:spacing w:val="-3"/>
        </w:rPr>
        <w:t>battery</w:t>
      </w:r>
      <w:r>
        <w:rPr>
          <w:spacing w:val="-14"/>
        </w:rPr>
        <w:t> </w:t>
      </w:r>
      <w:r>
        <w:rPr/>
        <w:t>is </w:t>
      </w:r>
      <w:r>
        <w:rPr>
          <w:spacing w:val="-3"/>
        </w:rPr>
        <w:t>present), </w:t>
      </w:r>
      <w:r>
        <w:rPr/>
        <w:t>or from a combination of these sources, depending on the</w:t>
      </w:r>
      <w:r>
        <w:rPr>
          <w:spacing w:val="-8"/>
        </w:rPr>
        <w:t> </w:t>
      </w:r>
      <w:r>
        <w:rPr/>
        <w:t>application.</w:t>
      </w:r>
    </w:p>
    <w:p>
      <w:pPr>
        <w:pStyle w:val="BodyText"/>
        <w:spacing w:before="120"/>
        <w:ind w:left="794" w:right="368"/>
      </w:pPr>
      <w:r>
        <w:rPr/>
        <w:drawing>
          <wp:anchor distT="0" distB="0" distL="0" distR="0" allowOverlap="1" layoutInCell="1" locked="0" behindDoc="0" simplePos="0" relativeHeight="15844864">
            <wp:simplePos x="0" y="0"/>
            <wp:positionH relativeFrom="page">
              <wp:posOffset>948103</wp:posOffset>
            </wp:positionH>
            <wp:positionV relativeFrom="paragraph">
              <wp:posOffset>168132</wp:posOffset>
            </wp:positionV>
            <wp:extent cx="194896" cy="314322"/>
            <wp:effectExtent l="0" t="0" r="0" b="0"/>
            <wp:wrapNone/>
            <wp:docPr id="105" name="image64.png" descr="checkmark_-bottomheavy-60-blue"/>
            <wp:cNvGraphicFramePr>
              <a:graphicFrameLocks noChangeAspect="1"/>
            </wp:cNvGraphicFramePr>
            <a:graphic>
              <a:graphicData uri="http://schemas.openxmlformats.org/drawingml/2006/picture">
                <pic:pic>
                  <pic:nvPicPr>
                    <pic:cNvPr id="106" name="image64.png"/>
                    <pic:cNvPicPr/>
                  </pic:nvPicPr>
                  <pic:blipFill>
                    <a:blip r:embed="rId73" cstate="print"/>
                    <a:stretch>
                      <a:fillRect/>
                    </a:stretch>
                  </pic:blipFill>
                  <pic:spPr>
                    <a:xfrm>
                      <a:off x="0" y="0"/>
                      <a:ext cx="194896" cy="314322"/>
                    </a:xfrm>
                    <a:prstGeom prst="rect">
                      <a:avLst/>
                    </a:prstGeom>
                  </pic:spPr>
                </pic:pic>
              </a:graphicData>
            </a:graphic>
          </wp:anchor>
        </w:drawing>
      </w:r>
      <w:r>
        <w:rPr/>
        <w:t>For a production meter, the RESET pin should be protected by the by the external components </w:t>
      </w:r>
      <w:r>
        <w:rPr>
          <w:spacing w:val="-3"/>
        </w:rPr>
        <w:t>shown </w:t>
      </w:r>
      <w:r>
        <w:rPr/>
        <w:t>in </w:t>
      </w:r>
      <w:hyperlink w:history="true" w:anchor="_bookmark198">
        <w:r>
          <w:rPr>
            <w:color w:val="0000FF"/>
            <w:spacing w:val="-3"/>
          </w:rPr>
          <w:t>Figure </w:t>
        </w:r>
        <w:r>
          <w:rPr>
            <w:color w:val="0000FF"/>
          </w:rPr>
          <w:t>36</w:t>
        </w:r>
        <w:r>
          <w:rPr/>
          <w:t>, </w:t>
        </w:r>
      </w:hyperlink>
      <w:r>
        <w:rPr>
          <w:spacing w:val="-3"/>
        </w:rPr>
        <w:t>right side. </w:t>
      </w:r>
      <w:r>
        <w:rPr/>
        <w:t>R1 </w:t>
      </w:r>
      <w:r>
        <w:rPr>
          <w:spacing w:val="-3"/>
        </w:rPr>
        <w:t>should </w:t>
      </w:r>
      <w:r>
        <w:rPr/>
        <w:t>be in the </w:t>
      </w:r>
      <w:r>
        <w:rPr>
          <w:spacing w:val="-3"/>
        </w:rPr>
        <w:t>range </w:t>
      </w:r>
      <w:r>
        <w:rPr/>
        <w:t>of </w:t>
      </w:r>
      <w:r>
        <w:rPr>
          <w:spacing w:val="-3"/>
        </w:rPr>
        <w:t>100</w:t>
      </w:r>
      <w:r>
        <w:rPr>
          <w:rFonts w:ascii="Symbol" w:hAnsi="Symbol"/>
          <w:spacing w:val="-3"/>
        </w:rPr>
        <w:t></w:t>
      </w:r>
      <w:r>
        <w:rPr>
          <w:rFonts w:ascii="Times New Roman" w:hAnsi="Times New Roman"/>
          <w:spacing w:val="-3"/>
        </w:rPr>
        <w:t> </w:t>
      </w:r>
      <w:r>
        <w:rPr/>
        <w:t>and </w:t>
      </w:r>
      <w:r>
        <w:rPr>
          <w:spacing w:val="-3"/>
        </w:rPr>
        <w:t>mounted </w:t>
      </w:r>
      <w:r>
        <w:rPr/>
        <w:t>as </w:t>
      </w:r>
      <w:r>
        <w:rPr>
          <w:spacing w:val="-3"/>
        </w:rPr>
        <w:t>closely </w:t>
      </w:r>
      <w:r>
        <w:rPr/>
        <w:t>as </w:t>
      </w:r>
      <w:r>
        <w:rPr>
          <w:spacing w:val="-3"/>
        </w:rPr>
        <w:t>possible </w:t>
      </w:r>
      <w:r>
        <w:rPr/>
        <w:t>to the IC.</w:t>
      </w:r>
    </w:p>
    <w:p>
      <w:pPr>
        <w:pStyle w:val="BodyText"/>
        <w:spacing w:before="120"/>
        <w:ind w:left="239" w:right="705"/>
      </w:pPr>
      <w:r>
        <w:rPr>
          <w:spacing w:val="-3"/>
        </w:rPr>
        <w:t>Since the </w:t>
      </w:r>
      <w:r>
        <w:rPr>
          <w:spacing w:val="-4"/>
        </w:rPr>
        <w:t>71M6543 generates </w:t>
      </w:r>
      <w:r>
        <w:rPr>
          <w:spacing w:val="-3"/>
        </w:rPr>
        <w:t>its own </w:t>
      </w:r>
      <w:r>
        <w:rPr>
          <w:spacing w:val="-4"/>
        </w:rPr>
        <w:t>power-on reset, </w:t>
      </w:r>
      <w:r>
        <w:rPr/>
        <w:t>a </w:t>
      </w:r>
      <w:r>
        <w:rPr>
          <w:spacing w:val="-4"/>
        </w:rPr>
        <w:t>reset button </w:t>
      </w:r>
      <w:r>
        <w:rPr>
          <w:spacing w:val="-3"/>
        </w:rPr>
        <w:t>or </w:t>
      </w:r>
      <w:r>
        <w:rPr>
          <w:spacing w:val="-4"/>
        </w:rPr>
        <w:t>circuitry, </w:t>
      </w:r>
      <w:r>
        <w:rPr>
          <w:spacing w:val="-3"/>
        </w:rPr>
        <w:t>as </w:t>
      </w:r>
      <w:r>
        <w:rPr>
          <w:spacing w:val="-4"/>
        </w:rPr>
        <w:t>shown </w:t>
      </w:r>
      <w:r>
        <w:rPr/>
        <w:t>in </w:t>
      </w:r>
      <w:hyperlink w:history="true" w:anchor="_bookmark198">
        <w:r>
          <w:rPr>
            <w:color w:val="0000FF"/>
            <w:spacing w:val="-4"/>
          </w:rPr>
          <w:t>Figure </w:t>
        </w:r>
        <w:r>
          <w:rPr>
            <w:color w:val="0000FF"/>
          </w:rPr>
          <w:t>36</w:t>
        </w:r>
        <w:r>
          <w:rPr/>
          <w:t>, </w:t>
        </w:r>
      </w:hyperlink>
      <w:r>
        <w:rPr/>
        <w:t>is only required for test units and prototypes.</w:t>
      </w:r>
    </w:p>
    <w:p>
      <w:pPr>
        <w:spacing w:after="0"/>
        <w:sectPr>
          <w:pgSz w:w="12240" w:h="15840"/>
          <w:pgMar w:header="727" w:footer="819" w:top="960" w:bottom="1000" w:left="1200" w:right="1060"/>
        </w:sectPr>
      </w:pPr>
    </w:p>
    <w:p>
      <w:pPr>
        <w:pStyle w:val="BodyText"/>
        <w:spacing w:before="11"/>
        <w:rPr>
          <w:sz w:val="22"/>
        </w:rPr>
      </w:pPr>
    </w:p>
    <w:p>
      <w:pPr>
        <w:pStyle w:val="BodyText"/>
        <w:spacing w:line="261" w:lineRule="auto" w:before="93"/>
        <w:ind w:left="410" w:right="8934" w:firstLine="38"/>
      </w:pPr>
      <w:r>
        <w:rPr/>
        <w:pict>
          <v:group style="position:absolute;margin-left:382.772095pt;margin-top:10.390649pt;width:126.9pt;height:121.6pt;mso-position-horizontal-relative:page;mso-position-vertical-relative:paragraph;z-index:15845376" coordorigin="7655,208" coordsize="2538,2432">
            <v:shape style="position:absolute;left:7655;top:207;width:2463;height:2432" type="#_x0000_t75" stroked="false">
              <v:imagedata r:id="rId191" o:title=""/>
            </v:shape>
            <v:rect style="position:absolute;left:9085;top:270;width:1108;height:350" filled="true" fillcolor="#ffffff" stroked="false">
              <v:fill type="solid"/>
            </v:rect>
            <v:shape style="position:absolute;left:9084;top:273;width:853;height:223" type="#_x0000_t202" filled="false" stroked="false">
              <v:textbox inset="0,0,0,0">
                <w:txbxContent>
                  <w:p>
                    <w:pPr>
                      <w:spacing w:line="223" w:lineRule="exact" w:before="0"/>
                      <w:ind w:left="0" w:right="0" w:firstLine="0"/>
                      <w:jc w:val="left"/>
                      <w:rPr>
                        <w:b/>
                        <w:sz w:val="20"/>
                      </w:rPr>
                    </w:pPr>
                    <w:r>
                      <w:rPr>
                        <w:b/>
                        <w:sz w:val="20"/>
                      </w:rPr>
                      <w:t>71M6543</w:t>
                    </w:r>
                  </w:p>
                </w:txbxContent>
              </v:textbox>
              <w10:wrap type="none"/>
            </v:shape>
            <w10:wrap type="none"/>
          </v:group>
        </w:pict>
      </w:r>
      <w:r>
        <w:rPr/>
        <w:pict>
          <v:group style="position:absolute;margin-left:115.189796pt;margin-top:10.869861pt;width:227.8pt;height:139.35pt;mso-position-horizontal-relative:page;mso-position-vertical-relative:paragraph;z-index:15846400" coordorigin="2304,217" coordsize="4556,2787">
            <v:shape style="position:absolute;left:5570;top:293;width:32;height:2627" type="#_x0000_t75" stroked="false">
              <v:imagedata r:id="rId192" o:title=""/>
            </v:shape>
            <v:rect style="position:absolute;left:5572;top:279;width:19;height:2614" filled="true" fillcolor="#000000" stroked="false">
              <v:fill type="solid"/>
            </v:rect>
            <v:rect style="position:absolute;left:5570;top:278;width:22;height:2617" filled="true" fillcolor="#000000" stroked="false">
              <v:fill type="solid"/>
            </v:rect>
            <v:rect style="position:absolute;left:3335;top:1704;width:2247;height:20" filled="true" fillcolor="#000000" stroked="false">
              <v:fill type="solid"/>
            </v:rect>
            <v:rect style="position:absolute;left:3335;top:1704;width:2247;height:20" filled="false" stroked="true" strokeweight=".12pt" strokecolor="#000000">
              <v:stroke dashstyle="solid"/>
            </v:rect>
            <v:rect style="position:absolute;left:5122;top:2556;width:409;height:20" filled="true" fillcolor="#000000" stroked="false">
              <v:fill type="solid"/>
            </v:rect>
            <v:rect style="position:absolute;left:5122;top:2556;width:409;height:20" filled="false" stroked="true" strokeweight=".12pt" strokecolor="#000000">
              <v:stroke dashstyle="solid"/>
            </v:rect>
            <v:shape style="position:absolute;left:5519;top:2504;width:125;height:125" type="#_x0000_t75" stroked="false">
              <v:imagedata r:id="rId193" o:title=""/>
            </v:shape>
            <v:rect style="position:absolute;left:5020;top:2883;width:204;height:19" filled="true" fillcolor="#000000" stroked="false">
              <v:fill type="solid"/>
            </v:rect>
            <v:rect style="position:absolute;left:5020;top:2883;width:204;height:19" filled="false" stroked="true" strokeweight=".12pt" strokecolor="#000000">
              <v:stroke dashstyle="solid"/>
            </v:rect>
            <v:shape style="position:absolute;left:5013;top:2886;width:116;height:116" coordorigin="5013,2887" coordsize="116,116" path="m5027,2887l5013,2900,5115,3003,5129,2989,5027,2887xe" filled="true" fillcolor="#000000" stroked="false">
              <v:path arrowok="t"/>
              <v:fill type="solid"/>
            </v:shape>
            <v:shape style="position:absolute;left:5519;top:1652;width:125;height:125" type="#_x0000_t75" stroked="false">
              <v:imagedata r:id="rId194" o:title=""/>
            </v:shape>
            <v:shape style="position:absolute;left:5011;top:2580;width:221;height:424" type="#_x0000_t75" stroked="false">
              <v:imagedata r:id="rId195" o:title=""/>
            </v:shape>
            <v:shape style="position:absolute;left:5519;top:525;width:125;height:125" type="#_x0000_t75" stroked="false">
              <v:imagedata r:id="rId196" o:title=""/>
            </v:shape>
            <v:rect style="position:absolute;left:5582;top:270;width:1276;height:19" filled="true" fillcolor="#000000" stroked="false">
              <v:fill type="solid"/>
            </v:rect>
            <v:rect style="position:absolute;left:5580;top:269;width:1279;height:22" filled="true" fillcolor="#000000" stroked="false">
              <v:fill type="solid"/>
            </v:rect>
            <v:rect style="position:absolute;left:5113;top:2566;width:19;height:327" filled="true" fillcolor="#000000" stroked="false">
              <v:fill type="solid"/>
            </v:rect>
            <v:rect style="position:absolute;left:5113;top:2566;width:19;height:327" filled="false" stroked="true" strokeweight=".12pt" strokecolor="#000000">
              <v:stroke dashstyle="solid"/>
            </v:rect>
            <v:shape style="position:absolute;left:3222;top:1652;width:124;height:125" type="#_x0000_t75" stroked="false">
              <v:imagedata r:id="rId197" o:title=""/>
            </v:shape>
            <v:shape style="position:absolute;left:2660;top:1158;width:32;height:576" type="#_x0000_t75" stroked="false">
              <v:imagedata r:id="rId198" o:title=""/>
            </v:shape>
            <v:rect style="position:absolute;left:2662;top:1144;width:19;height:564" filled="true" fillcolor="#000000" stroked="false">
              <v:fill type="solid"/>
            </v:rect>
            <v:rect style="position:absolute;left:2662;top:1144;width:19;height:564" filled="false" stroked="true" strokeweight=".12pt" strokecolor="#000000">
              <v:stroke dashstyle="solid"/>
            </v:rect>
            <v:shape style="position:absolute;left:2562;top:1014;width:110;height:64" coordorigin="2562,1015" coordsize="110,64" path="m2570,1015l2562,1032,2664,1079,2672,1061,2570,1015xe" filled="true" fillcolor="#000000" stroked="false">
              <v:path arrowok="t"/>
              <v:fill type="solid"/>
            </v:shape>
            <v:shape style="position:absolute;left:2562;top:1014;width:110;height:64" coordorigin="2562,1015" coordsize="110,64" path="m2664,1079l2562,1032,2570,1015,2672,1061,2664,1079xe" filled="false" stroked="true" strokeweight=".12pt" strokecolor="#000000">
              <v:path arrowok="t"/>
              <v:stroke dashstyle="solid"/>
            </v:shape>
            <v:shape style="position:absolute;left:2562;top:921;width:213;height:110" coordorigin="2562,922" coordsize="213,110" path="m2767,922l2562,1015,2570,1032,2775,940,2767,922xe" filled="true" fillcolor="#000000" stroked="false">
              <v:path arrowok="t"/>
              <v:fill type="solid"/>
            </v:shape>
            <v:shape style="position:absolute;left:2562;top:921;width:213;height:110" coordorigin="2562,922" coordsize="213,110" path="m2562,1015l2767,922,2775,940,2570,1032,2562,1015xe" filled="false" stroked="true" strokeweight=".12pt" strokecolor="#000000">
              <v:path arrowok="t"/>
              <v:stroke dashstyle="solid"/>
            </v:shape>
            <v:shape style="position:absolute;left:2664;top:874;width:111;height:65" coordorigin="2664,875" coordsize="111,65" path="m2672,875l2664,893,2767,940,2775,922,2672,875xe" filled="true" fillcolor="#000000" stroked="false">
              <v:path arrowok="t"/>
              <v:fill type="solid"/>
            </v:shape>
            <v:shape style="position:absolute;left:2664;top:874;width:111;height:65" coordorigin="2664,875" coordsize="111,65" path="m2767,940l2664,893,2672,875,2775,922,2767,940xe" filled="false" stroked="true" strokeweight=".12pt" strokecolor="#000000">
              <v:path arrowok="t"/>
              <v:stroke dashstyle="solid"/>
            </v:shape>
            <v:shape style="position:absolute;left:2562;top:827;width:110;height:65" coordorigin="2562,828" coordsize="110,65" path="m2570,828l2562,846,2664,893,2672,875,2570,828xe" filled="true" fillcolor="#000000" stroked="false">
              <v:path arrowok="t"/>
              <v:fill type="solid"/>
            </v:shape>
            <v:shape style="position:absolute;left:2562;top:827;width:110;height:65" coordorigin="2562,828" coordsize="110,65" path="m2664,893l2562,846,2570,828,2672,875,2664,893xe" filled="false" stroked="true" strokeweight=".12pt" strokecolor="#000000">
              <v:path arrowok="t"/>
              <v:stroke dashstyle="solid"/>
            </v:shape>
            <v:shape style="position:absolute;left:2562;top:734;width:213;height:111" coordorigin="2562,735" coordsize="213,111" path="m2767,735l2562,828,2570,846,2775,753,2767,735xe" filled="true" fillcolor="#000000" stroked="false">
              <v:path arrowok="t"/>
              <v:fill type="solid"/>
            </v:shape>
            <v:shape style="position:absolute;left:2562;top:734;width:213;height:111" coordorigin="2562,735" coordsize="213,111" path="m2562,828l2767,735,2775,753,2570,846,2562,828xe" filled="false" stroked="true" strokeweight=".12pt" strokecolor="#000000">
              <v:path arrowok="t"/>
              <v:stroke dashstyle="solid"/>
            </v:shape>
            <v:shape style="position:absolute;left:2665;top:688;width:110;height:64" coordorigin="2665,689" coordsize="110,64" path="m2673,689l2665,706,2767,753,2775,735,2673,689xe" filled="true" fillcolor="#000000" stroked="false">
              <v:path arrowok="t"/>
              <v:fill type="solid"/>
            </v:shape>
            <v:shape style="position:absolute;left:2665;top:688;width:110;height:64" coordorigin="2665,689" coordsize="110,64" path="m2767,753l2665,706,2673,689,2775,735,2767,753xe" filled="false" stroked="true" strokeweight=".12pt" strokecolor="#000000">
              <v:path arrowok="t"/>
              <v:stroke dashstyle="solid"/>
            </v:shape>
            <v:shape style="position:absolute;left:2563;top:641;width:110;height:64" coordorigin="2563,642" coordsize="110,64" path="m2571,642l2563,659,2665,706,2673,689,2571,642xe" filled="true" fillcolor="#000000" stroked="false">
              <v:path arrowok="t"/>
              <v:fill type="solid"/>
            </v:shape>
            <v:shape style="position:absolute;left:2563;top:641;width:110;height:64" coordorigin="2563,642" coordsize="110,64" path="m2665,706l2563,659,2571,642,2673,689,2665,706xe" filled="false" stroked="true" strokeweight=".12pt" strokecolor="#000000">
              <v:path arrowok="t"/>
              <v:stroke dashstyle="solid"/>
            </v:shape>
            <v:shape style="position:absolute;left:2563;top:548;width:212;height:110" coordorigin="2563,549" coordsize="212,110" path="m2767,549l2563,642,2571,659,2775,567,2767,549xe" filled="true" fillcolor="#000000" stroked="false">
              <v:path arrowok="t"/>
              <v:fill type="solid"/>
            </v:shape>
            <v:shape style="position:absolute;left:2563;top:548;width:212;height:110" coordorigin="2563,549" coordsize="212,110" path="m2563,642l2767,549,2775,567,2571,659,2563,642xe" filled="false" stroked="true" strokeweight=".12pt" strokecolor="#000000">
              <v:path arrowok="t"/>
              <v:stroke dashstyle="solid"/>
            </v:shape>
            <v:shape style="position:absolute;left:2665;top:501;width:110;height:65" coordorigin="2665,502" coordsize="110,65" path="m2673,502l2665,520,2767,567,2775,549,2673,502xe" filled="true" fillcolor="#000000" stroked="false">
              <v:path arrowok="t"/>
              <v:fill type="solid"/>
            </v:shape>
            <v:shape style="position:absolute;left:2665;top:501;width:110;height:65" coordorigin="2665,502" coordsize="110,65" path="m2767,567l2665,520,2673,502,2775,549,2767,567xe" filled="false" stroked="true" strokeweight=".12pt" strokecolor="#000000">
              <v:path arrowok="t"/>
              <v:stroke dashstyle="solid"/>
            </v:shape>
            <v:rect style="position:absolute;left:2662;top:279;width:19;height:237" filled="true" fillcolor="#000000" stroked="false">
              <v:fill type="solid"/>
            </v:rect>
            <v:rect style="position:absolute;left:2662;top:279;width:19;height:237" filled="false" stroked="true" strokeweight=".12pt" strokecolor="#000000">
              <v:stroke dashstyle="solid"/>
            </v:rect>
            <v:rect style="position:absolute;left:2662;top:1073;width:19;height:232" filled="true" fillcolor="#000000" stroked="false">
              <v:fill type="solid"/>
            </v:rect>
            <v:rect style="position:absolute;left:2662;top:1073;width:19;height:231" filled="false" stroked="true" strokeweight=".12pt" strokecolor="#000000">
              <v:stroke dashstyle="solid"/>
            </v:rect>
            <v:rect style="position:absolute;left:2672;top:1704;width:306;height:20" filled="true" fillcolor="#000000" stroked="false">
              <v:fill type="solid"/>
            </v:rect>
            <v:rect style="position:absolute;left:2672;top:1704;width:306;height:20" filled="false" stroked="true" strokeweight=".12pt" strokecolor="#000000">
              <v:stroke dashstyle="solid"/>
            </v:rect>
            <v:rect style="position:absolute;left:2416;top:270;width:256;height:19" filled="true" fillcolor="#000000" stroked="false">
              <v:fill type="solid"/>
            </v:rect>
            <v:rect style="position:absolute;left:2416;top:270;width:256;height:19" filled="false" stroked="true" strokeweight=".12pt" strokecolor="#000000">
              <v:stroke dashstyle="solid"/>
            </v:rect>
            <v:shape style="position:absolute;left:2314;top:228;width:102;height:102" coordorigin="2314,229" coordsize="102,102" path="m2314,280l2318,260,2329,244,2345,233,2365,229,2385,233,2401,244,2412,260,2416,280,2412,299,2401,316,2385,327,2365,331,2345,327,2329,316,2318,299,2314,280xe" filled="false" stroked="true" strokeweight=".12pt" strokecolor="#000000">
              <v:path arrowok="t"/>
              <v:stroke dashstyle="solid"/>
            </v:shape>
            <v:shape style="position:absolute;left:2305;top:218;width:121;height:122" coordorigin="2305,219" coordsize="121,122" path="m2366,219l2365,219,2364,219,2344,223,2343,223,2341,224,2340,225,2324,236,2323,236,2322,237,2322,238,2311,254,2310,255,2310,257,2309,258,2305,278,2305,279,2305,280,2305,281,2309,301,2310,304,2322,321,2322,323,2324,323,2324,324,2341,335,2344,336,2364,340,2365,341,2366,341,2367,340,2387,336,2391,335,2407,324,2410,321,2364,321,2365,321,2355,319,2351,319,2347,317,2349,317,2339,311,2338,311,2335,308,2336,308,2329,298,2328,298,2326,294,2327,294,2325,281,2324,281,2324,278,2325,278,2327,265,2326,265,2328,261,2329,261,2336,251,2335,251,2338,249,2339,249,2349,242,2347,242,2351,240,2355,240,2365,238,2364,238,2409,238,2409,237,2408,236,2407,236,2391,225,2389,224,2387,223,2367,219,2366,219xm2381,318l2365,321,2367,321,2410,321,2412,319,2380,319,2381,318xm2349,318l2351,319,2355,319,2349,318xm2412,317l2384,317,2380,319,2412,319,2412,317xm2395,309l2381,318,2384,317,2412,317,2417,311,2393,311,2395,309xm2349,317l2347,317,2349,318,2349,317xm2337,309l2338,311,2339,311,2337,309xm2419,308l2396,308,2393,311,2417,311,2419,308xm2336,308l2335,308,2337,309,2336,308xm2404,295l2395,309,2396,308,2419,308,2420,305,2422,301,2422,298,2403,298,2404,295xm2328,296l2328,298,2329,298,2328,296xm2423,294l2404,294,2403,298,2422,298,2423,294xm2327,294l2326,294,2328,296,2327,294xm2407,280l2404,295,2404,294,2423,294,2426,281,2407,281,2407,280xm2324,280l2324,281,2325,281,2324,280xm2426,278l2407,278,2407,281,2426,281,2426,280,2426,279,2426,278xm2325,278l2324,278,2324,280,2325,278xm2403,263l2407,280,2407,278,2426,278,2423,265,2405,265,2403,263xm2328,263l2326,265,2327,265,2328,263xm2422,261l2403,261,2405,265,2423,265,2422,261xm2329,261l2328,261,2328,263,2329,261xm2395,250l2403,263,2403,261,2422,261,2422,258,2421,255,2418,251,2396,251,2395,250xm2337,250l2335,251,2336,251,2337,250xm2417,249l2394,249,2396,251,2418,251,2417,249xm2339,249l2338,249,2337,250,2339,249xm2382,241l2395,250,2394,249,2417,249,2412,242,2384,242,2382,241xm2349,241l2347,242,2349,242,2349,241xm2411,240l2380,240,2384,242,2412,242,2411,240xm2409,238l2367,238,2365,238,2382,241,2380,240,2411,240,2409,238,2409,238xm2355,240l2351,240,2349,241,2355,240xe" filled="true" fillcolor="#000000" stroked="false">
              <v:path arrowok="t"/>
              <v:fill type="solid"/>
            </v:shape>
            <v:shape style="position:absolute;left:2305;top:218;width:121;height:122" coordorigin="2305,219" coordsize="121,122" path="m2305,281l2305,280,2305,279,2305,278,2309,258,2310,257,2310,255,2311,254,2322,238,2322,237,2323,236,2324,236,2340,225,2341,224,2343,223,2344,223,2364,219,2365,219,2366,219,2367,219,2387,223,2388,223,2389,224,2391,225,2407,236,2408,236,2409,237,2409,238,2420,254,2421,255,2421,257,2422,258,2426,278,2426,279,2426,280,2426,281,2422,301,2421,303,2421,304,2420,305,2410,321,2409,322,2408,323,2407,324,2391,335,2389,335,2388,336,2387,336,2367,340,2366,341,2365,341,2364,340,2344,336,2343,336,2341,335,2340,335,2324,324,2324,323,2322,323,2322,321,2311,305,2310,304,2310,303,2309,301,2305,281xm2328,298l2326,294,2338,311,2335,308,2351,319,2347,317,2367,321,2364,321,2384,317,2380,319,2396,308,2393,311,2404,294,2403,298,2407,278,2407,281,2403,261,2405,265,2394,249,2396,251,2380,240,2384,242,2364,238,2367,238,2347,242,2351,240,2335,251,2338,249,2326,265,2328,261,2324,281,2324,278,2328,298xe" filled="false" stroked="true" strokeweight=".12pt" strokecolor="#000000">
              <v:path arrowok="t"/>
              <v:stroke dashstyle="solid"/>
            </v:shape>
            <v:shape style="position:absolute;left:2975;top:1596;width:1484;height:1070" coordorigin="2975,1597" coordsize="1484,1070" path="m3281,1597l2975,1597,2975,1622,3281,1622,3281,1597xm4459,2650l4357,2603,4349,2621,4451,2667,4459,2650xe" filled="true" fillcolor="#000000" stroked="false">
              <v:path arrowok="t"/>
              <v:fill type="solid"/>
            </v:shape>
            <v:shape style="position:absolute;left:4349;top:2602;width:110;height:64" coordorigin="4349,2603" coordsize="110,64" path="m4451,2667l4349,2621,4357,2603,4459,2650,4451,2667xe" filled="false" stroked="true" strokeweight=".12pt" strokecolor="#000000">
              <v:path arrowok="t"/>
              <v:stroke dashstyle="solid"/>
            </v:shape>
            <v:shape style="position:absolute;left:4349;top:2509;width:212;height:111" coordorigin="4349,2510" coordsize="212,111" path="m4553,2510l4349,2603,4357,2621,4561,2528,4553,2510xe" filled="true" fillcolor="#000000" stroked="false">
              <v:path arrowok="t"/>
              <v:fill type="solid"/>
            </v:shape>
            <v:shape style="position:absolute;left:4349;top:2509;width:212;height:111" coordorigin="4349,2510" coordsize="212,111" path="m4349,2603l4553,2510,4561,2528,4357,2621,4349,2603xe" filled="false" stroked="true" strokeweight=".12pt" strokecolor="#000000">
              <v:path arrowok="t"/>
              <v:stroke dashstyle="solid"/>
            </v:shape>
            <v:shape style="position:absolute;left:4451;top:2463;width:110;height:64" coordorigin="4451,2464" coordsize="110,64" path="m4459,2464l4451,2481,4553,2528,4561,2510,4459,2464xe" filled="true" fillcolor="#000000" stroked="false">
              <v:path arrowok="t"/>
              <v:fill type="solid"/>
            </v:shape>
            <v:shape style="position:absolute;left:4451;top:2463;width:110;height:64" coordorigin="4451,2464" coordsize="110,64" path="m4553,2528l4451,2481,4459,2464,4561,2510,4553,2528xe" filled="false" stroked="true" strokeweight=".12pt" strokecolor="#000000">
              <v:path arrowok="t"/>
              <v:stroke dashstyle="solid"/>
            </v:shape>
            <v:shape style="position:absolute;left:4349;top:2416;width:110;height:64" coordorigin="4349,2417" coordsize="110,64" path="m4357,2417l4349,2434,4451,2481,4459,2464,4357,2417xe" filled="true" fillcolor="#000000" stroked="false">
              <v:path arrowok="t"/>
              <v:fill type="solid"/>
            </v:shape>
            <v:shape style="position:absolute;left:4349;top:2416;width:110;height:64" coordorigin="4349,2417" coordsize="110,64" path="m4451,2481l4349,2434,4357,2417,4459,2464,4451,2481xe" filled="false" stroked="true" strokeweight=".12pt" strokecolor="#000000">
              <v:path arrowok="t"/>
              <v:stroke dashstyle="solid"/>
            </v:shape>
            <v:shape style="position:absolute;left:4349;top:2323;width:213;height:110" coordorigin="4349,2324" coordsize="213,110" path="m4554,2324l4349,2417,4357,2434,4562,2342,4554,2324xe" filled="true" fillcolor="#000000" stroked="false">
              <v:path arrowok="t"/>
              <v:fill type="solid"/>
            </v:shape>
            <v:shape style="position:absolute;left:4349;top:2323;width:213;height:110" coordorigin="4349,2324" coordsize="213,110" path="m4349,2417l4554,2324,4562,2342,4357,2434,4349,2417xe" filled="false" stroked="true" strokeweight=".12pt" strokecolor="#000000">
              <v:path arrowok="t"/>
              <v:stroke dashstyle="solid"/>
            </v:shape>
            <v:shape style="position:absolute;left:4452;top:2276;width:110;height:65" coordorigin="4452,2277" coordsize="110,65" path="m4460,2277l4452,2295,4554,2342,4562,2324,4460,2277xe" filled="true" fillcolor="#000000" stroked="false">
              <v:path arrowok="t"/>
              <v:fill type="solid"/>
            </v:shape>
            <v:shape style="position:absolute;left:4452;top:2276;width:110;height:65" coordorigin="4452,2277" coordsize="110,65" path="m4554,2342l4452,2295,4460,2277,4562,2324,4554,2342xe" filled="false" stroked="true" strokeweight=".12pt" strokecolor="#000000">
              <v:path arrowok="t"/>
              <v:stroke dashstyle="solid"/>
            </v:shape>
            <v:shape style="position:absolute;left:4350;top:2230;width:110;height:64" coordorigin="4350,2231" coordsize="110,64" path="m4358,2231l4350,2248,4452,2295,4460,2277,4358,2231xe" filled="true" fillcolor="#000000" stroked="false">
              <v:path arrowok="t"/>
              <v:fill type="solid"/>
            </v:shape>
            <v:shape style="position:absolute;left:4350;top:2230;width:110;height:64" coordorigin="4350,2231" coordsize="110,64" path="m4452,2295l4350,2248,4358,2231,4460,2277,4452,2295xe" filled="false" stroked="true" strokeweight=".12pt" strokecolor="#000000">
              <v:path arrowok="t"/>
              <v:stroke dashstyle="solid"/>
            </v:shape>
            <v:shape style="position:absolute;left:4350;top:2137;width:212;height:110" coordorigin="4350,2138" coordsize="212,110" path="m4554,2138l4350,2231,4358,2248,4562,2155,4554,2138xe" filled="true" fillcolor="#000000" stroked="false">
              <v:path arrowok="t"/>
              <v:fill type="solid"/>
            </v:shape>
            <v:shape style="position:absolute;left:4350;top:2137;width:212;height:110" coordorigin="4350,2138" coordsize="212,110" path="m4350,2231l4554,2138,4562,2155,4358,2248,4350,2231xe" filled="false" stroked="true" strokeweight=".12pt" strokecolor="#000000">
              <v:path arrowok="t"/>
              <v:stroke dashstyle="solid"/>
            </v:shape>
            <v:shape style="position:absolute;left:4452;top:2090;width:110;height:64" coordorigin="4452,2091" coordsize="110,64" path="m4460,2091l4452,2109,4554,2155,4562,2138,4460,2091xe" filled="true" fillcolor="#000000" stroked="false">
              <v:path arrowok="t"/>
              <v:fill type="solid"/>
            </v:shape>
            <v:shape style="position:absolute;left:4452;top:2090;width:110;height:64" coordorigin="4452,2091" coordsize="110,64" path="m4554,2155l4452,2109,4460,2091,4562,2138,4554,2155xe" filled="false" stroked="true" strokeweight=".12pt" strokecolor="#000000">
              <v:path arrowok="t"/>
              <v:stroke dashstyle="solid"/>
            </v:shape>
            <v:rect style="position:absolute;left:4449;top:1868;width:19;height:237" filled="true" fillcolor="#000000" stroked="false">
              <v:fill type="solid"/>
            </v:rect>
            <v:rect style="position:absolute;left:4449;top:1868;width:19;height:237" filled="false" stroked="true" strokeweight=".12pt" strokecolor="#000000">
              <v:stroke dashstyle="solid"/>
            </v:rect>
            <v:rect style="position:absolute;left:4449;top:2662;width:19;height:231" filled="true" fillcolor="#000000" stroked="false">
              <v:fill type="solid"/>
            </v:rect>
            <v:rect style="position:absolute;left:4449;top:2662;width:19;height:231" filled="false" stroked="true" strokeweight=".12pt" strokecolor="#000000">
              <v:stroke dashstyle="solid"/>
            </v:rect>
            <v:rect style="position:absolute;left:4356;top:2883;width:205;height:19" filled="true" fillcolor="#000000" stroked="false">
              <v:fill type="solid"/>
            </v:rect>
            <v:rect style="position:absolute;left:4356;top:2883;width:205;height:19" filled="false" stroked="true" strokeweight=".12pt" strokecolor="#000000">
              <v:stroke dashstyle="solid"/>
            </v:rect>
            <v:shape style="position:absolute;left:4421;top:1671;width:74;height:224" type="#_x0000_t75" stroked="false">
              <v:imagedata r:id="rId199" o:title=""/>
            </v:shape>
            <v:shape style="position:absolute;left:4350;top:2886;width:115;height:116" coordorigin="4350,2887" coordsize="115,116" path="m4363,2887l4350,2900,4452,3003,4465,2989,4363,2887xe" filled="true" fillcolor="#000000" stroked="false">
              <v:path arrowok="t"/>
              <v:fill type="solid"/>
            </v:shape>
            <v:shape style="position:absolute;left:4350;top:2886;width:115;height:116" coordorigin="4350,2887" coordsize="115,116" path="m4363,2887l4465,2989,4452,3003,4350,2900,4363,2887xe" filled="false" stroked="true" strokeweight=".12pt" strokecolor="#000000">
              <v:path arrowok="t"/>
              <v:stroke dashstyle="solid"/>
            </v:shape>
            <v:shape style="position:absolute;left:4452;top:2886;width:115;height:116" coordorigin="4452,2887" coordsize="115,116" path="m4554,2887l4452,2989,4465,3003,4567,2900,4554,2887xe" filled="true" fillcolor="#000000" stroked="false">
              <v:path arrowok="t"/>
              <v:fill type="solid"/>
            </v:shape>
            <v:shape style="position:absolute;left:4452;top:2886;width:115;height:116" coordorigin="4452,2887" coordsize="115,116" path="m4567,2900l4465,3003,4452,2989,4554,2887,4567,2900xe" filled="false" stroked="true" strokeweight=".12pt" strokecolor="#000000">
              <v:path arrowok="t"/>
              <v:stroke dashstyle="solid"/>
            </v:shape>
            <v:shape style="position:absolute;left:3039;top:1435;width:858;height:699" coordorigin="3039,1436" coordsize="858,699" path="m3217,1436l3039,1436,3039,1475,3109,1475,3109,1609,3147,1609,3147,1475,3217,1475,3217,1436xm3897,2115l3603,2115,3603,2135,3897,2135,3897,2115xe" filled="true" fillcolor="#000000" stroked="false">
              <v:path arrowok="t"/>
              <v:fill type="solid"/>
            </v:shape>
            <v:rect style="position:absolute;left:3603;top:2114;width:294;height:20" filled="false" stroked="true" strokeweight=".12pt" strokecolor="#000000">
              <v:stroke dashstyle="solid"/>
            </v:rect>
            <v:rect style="position:absolute;left:3603;top:2166;width:294;height:19" filled="true" fillcolor="#000000" stroked="false">
              <v:fill type="solid"/>
            </v:rect>
            <v:rect style="position:absolute;left:3603;top:2166;width:294;height:19" filled="false" stroked="true" strokeweight=".12pt" strokecolor="#000000">
              <v:stroke dashstyle="solid"/>
            </v:rect>
            <v:shape style="position:absolute;left:3732;top:1728;width:32;height:398" type="#_x0000_t75" stroked="false">
              <v:imagedata r:id="rId200" o:title=""/>
            </v:shape>
            <v:rect style="position:absolute;left:3734;top:1714;width:19;height:385" filled="true" fillcolor="#000000" stroked="false">
              <v:fill type="solid"/>
            </v:rect>
            <v:rect style="position:absolute;left:3734;top:1714;width:19;height:384" filled="false" stroked="true" strokeweight=".12pt" strokecolor="#000000">
              <v:stroke dashstyle="solid"/>
            </v:rect>
            <v:shape style="position:absolute;left:3732;top:2176;width:32;height:398" type="#_x0000_t75" stroked="false">
              <v:imagedata r:id="rId200" o:title=""/>
            </v:shape>
            <v:rect style="position:absolute;left:3734;top:2162;width:19;height:385" filled="true" fillcolor="#000000" stroked="false">
              <v:fill type="solid"/>
            </v:rect>
            <v:rect style="position:absolute;left:3734;top:2162;width:19;height:385" filled="false" stroked="true" strokeweight=".12pt" strokecolor="#000000">
              <v:stroke dashstyle="solid"/>
            </v:rect>
            <v:rect style="position:absolute;left:3642;top:2556;width:205;height:20" filled="true" fillcolor="#000000" stroked="false">
              <v:fill type="solid"/>
            </v:rect>
            <v:rect style="position:absolute;left:3642;top:2556;width:204;height:20" filled="false" stroked="true" strokeweight=".12pt" strokecolor="#000000">
              <v:stroke dashstyle="solid"/>
            </v:rect>
            <v:shape style="position:absolute;left:3635;top:2559;width:116;height:116" coordorigin="3635,2560" coordsize="116,116" path="m3648,2560l3635,2574,3737,2676,3751,2663,3648,2560xe" filled="true" fillcolor="#000000" stroked="false">
              <v:path arrowok="t"/>
              <v:fill type="solid"/>
            </v:shape>
            <v:shape style="position:absolute;left:3635;top:2559;width:116;height:116" coordorigin="3635,2560" coordsize="116,116" path="m3648,2560l3751,2663,3737,2676,3635,2574,3648,2560xe" filled="false" stroked="true" strokeweight=".12pt" strokecolor="#000000">
              <v:path arrowok="t"/>
              <v:stroke dashstyle="solid"/>
            </v:shape>
            <v:shape style="position:absolute;left:3737;top:2559;width:116;height:116" coordorigin="3737,2560" coordsize="116,116" path="m3839,2560l3737,2663,3751,2676,3853,2574,3839,2560xe" filled="true" fillcolor="#000000" stroked="false">
              <v:path arrowok="t"/>
              <v:fill type="solid"/>
            </v:shape>
            <v:shape style="position:absolute;left:3737;top:2559;width:116;height:116" coordorigin="3737,2560" coordsize="116,116" path="m3853,2574l3751,2676,3737,2663,3839,2560,3853,2574xe" filled="false" stroked="true" strokeweight=".12pt" strokecolor="#000000">
              <v:path arrowok="t"/>
              <v:stroke dashstyle="solid"/>
            </v:shape>
            <v:shape style="position:absolute;left:3700;top:1678;width:74;height:74" type="#_x0000_t75" stroked="false">
              <v:imagedata r:id="rId201" o:title=""/>
            </v:shape>
            <v:shape style="position:absolute;left:2915;top:1652;width:125;height:125" type="#_x0000_t75" stroked="false">
              <v:imagedata r:id="rId202" o:title=""/>
            </v:shape>
            <v:shape style="position:absolute;left:2791;top:426;width:385;height:530" type="#_x0000_t202" filled="false" stroked="false">
              <v:textbox inset="0,0,0,0">
                <w:txbxContent>
                  <w:p>
                    <w:pPr>
                      <w:spacing w:line="223" w:lineRule="exact" w:before="0"/>
                      <w:ind w:left="0" w:right="31" w:firstLine="0"/>
                      <w:jc w:val="right"/>
                      <w:rPr>
                        <w:sz w:val="20"/>
                      </w:rPr>
                    </w:pPr>
                    <w:r>
                      <w:rPr>
                        <w:spacing w:val="-1"/>
                        <w:sz w:val="20"/>
                      </w:rPr>
                      <w:t>R</w:t>
                    </w:r>
                    <w:r>
                      <w:rPr>
                        <w:spacing w:val="-1"/>
                        <w:sz w:val="20"/>
                        <w:vertAlign w:val="subscript"/>
                      </w:rPr>
                      <w:t>2</w:t>
                    </w:r>
                  </w:p>
                  <w:p>
                    <w:pPr>
                      <w:spacing w:before="77"/>
                      <w:ind w:left="0" w:right="18" w:firstLine="0"/>
                      <w:jc w:val="right"/>
                      <w:rPr>
                        <w:sz w:val="20"/>
                      </w:rPr>
                    </w:pPr>
                    <w:r>
                      <w:rPr>
                        <w:sz w:val="20"/>
                      </w:rPr>
                      <w:t>1kΩ</w:t>
                    </w:r>
                  </w:p>
                </w:txbxContent>
              </v:textbox>
              <w10:wrap type="none"/>
            </v:shape>
            <v:shape style="position:absolute;left:4723;top:376;width:829;height:223" type="#_x0000_t202" filled="false" stroked="false">
              <v:textbox inset="0,0,0,0">
                <w:txbxContent>
                  <w:p>
                    <w:pPr>
                      <w:spacing w:line="223" w:lineRule="exact" w:before="0"/>
                      <w:ind w:left="0" w:right="0" w:firstLine="0"/>
                      <w:jc w:val="left"/>
                      <w:rPr>
                        <w:sz w:val="20"/>
                      </w:rPr>
                    </w:pPr>
                    <w:r>
                      <w:rPr>
                        <w:color w:val="FF0000"/>
                        <w:sz w:val="20"/>
                      </w:rPr>
                      <w:t>V3P</w:t>
                    </w:r>
                    <w:r>
                      <w:rPr>
                        <w:color w:val="FF0000"/>
                        <w:sz w:val="20"/>
                        <w:u w:val="thick" w:color="000000"/>
                      </w:rPr>
                      <w:t>3D </w:t>
                    </w:r>
                  </w:p>
                </w:txbxContent>
              </v:textbox>
              <w10:wrap type="none"/>
            </v:shape>
            <v:shape style="position:absolute;left:5892;top:318;width:853;height:223" type="#_x0000_t202" filled="false" stroked="false">
              <v:textbox inset="0,0,0,0">
                <w:txbxContent>
                  <w:p>
                    <w:pPr>
                      <w:spacing w:line="223" w:lineRule="exact" w:before="0"/>
                      <w:ind w:left="0" w:right="0" w:firstLine="0"/>
                      <w:jc w:val="left"/>
                      <w:rPr>
                        <w:b/>
                        <w:sz w:val="20"/>
                      </w:rPr>
                    </w:pPr>
                    <w:r>
                      <w:rPr>
                        <w:b/>
                        <w:sz w:val="20"/>
                      </w:rPr>
                      <w:t>71M6543</w:t>
                    </w:r>
                  </w:p>
                </w:txbxContent>
              </v:textbox>
              <w10:wrap type="none"/>
            </v:shape>
            <v:shape style="position:absolute;left:3391;top:1045;width:607;height:470" type="#_x0000_t202" filled="false" stroked="false">
              <v:textbox inset="0,0,0,0">
                <w:txbxContent>
                  <w:p>
                    <w:pPr>
                      <w:spacing w:line="256" w:lineRule="auto" w:before="0"/>
                      <w:ind w:left="0" w:right="0" w:firstLine="38"/>
                      <w:jc w:val="left"/>
                      <w:rPr>
                        <w:sz w:val="20"/>
                      </w:rPr>
                    </w:pPr>
                    <w:r>
                      <w:rPr>
                        <w:sz w:val="20"/>
                      </w:rPr>
                      <w:t>Reset </w:t>
                    </w:r>
                    <w:r>
                      <w:rPr>
                        <w:w w:val="95"/>
                        <w:sz w:val="20"/>
                      </w:rPr>
                      <w:t>Switch</w:t>
                    </w:r>
                  </w:p>
                </w:txbxContent>
              </v:textbox>
              <w10:wrap type="none"/>
            </v:shape>
            <v:shape style="position:absolute;left:5707;top:1609;width:684;height:223" type="#_x0000_t202" filled="false" stroked="false">
              <v:textbox inset="0,0,0,0">
                <w:txbxContent>
                  <w:p>
                    <w:pPr>
                      <w:spacing w:line="223" w:lineRule="exact" w:before="0"/>
                      <w:ind w:left="0" w:right="0" w:firstLine="0"/>
                      <w:jc w:val="left"/>
                      <w:rPr>
                        <w:sz w:val="20"/>
                      </w:rPr>
                    </w:pPr>
                    <w:r>
                      <w:rPr>
                        <w:color w:val="FF0000"/>
                        <w:sz w:val="20"/>
                      </w:rPr>
                      <w:t>RESET</w:t>
                    </w:r>
                  </w:p>
                </w:txbxContent>
              </v:textbox>
              <w10:wrap type="none"/>
            </v:shape>
            <v:shape style="position:absolute;left:3122;top:2257;width:533;height:223" type="#_x0000_t202" filled="false" stroked="false">
              <v:textbox inset="0,0,0,0">
                <w:txbxContent>
                  <w:p>
                    <w:pPr>
                      <w:spacing w:line="223" w:lineRule="exact" w:before="0"/>
                      <w:ind w:left="0" w:right="0" w:firstLine="0"/>
                      <w:jc w:val="left"/>
                      <w:rPr>
                        <w:sz w:val="20"/>
                      </w:rPr>
                    </w:pPr>
                    <w:r>
                      <w:rPr>
                        <w:sz w:val="20"/>
                      </w:rPr>
                      <w:t>0.1µF</w:t>
                    </w:r>
                  </w:p>
                </w:txbxContent>
              </v:textbox>
              <w10:wrap type="none"/>
            </v:shape>
            <v:shape style="position:absolute;left:4653;top:2015;width:573;height:496" type="#_x0000_t202" filled="false" stroked="false">
              <v:textbox inset="0,0,0,0">
                <w:txbxContent>
                  <w:p>
                    <w:pPr>
                      <w:spacing w:line="252" w:lineRule="auto" w:before="0"/>
                      <w:ind w:left="0" w:right="17" w:firstLine="69"/>
                      <w:jc w:val="left"/>
                      <w:rPr>
                        <w:sz w:val="20"/>
                      </w:rPr>
                    </w:pPr>
                    <w:r>
                      <w:rPr>
                        <w:sz w:val="20"/>
                      </w:rPr>
                      <w:t>10k</w:t>
                    </w:r>
                    <w:r>
                      <w:rPr>
                        <w:spacing w:val="-45"/>
                        <w:sz w:val="20"/>
                      </w:rPr>
                      <w:t> </w:t>
                    </w:r>
                    <w:r>
                      <w:rPr>
                        <w:spacing w:val="-16"/>
                        <w:sz w:val="20"/>
                      </w:rPr>
                      <w:t>Ω </w:t>
                    </w:r>
                    <w:r>
                      <w:rPr>
                        <w:sz w:val="20"/>
                      </w:rPr>
                      <w:t>R</w:t>
                    </w:r>
                    <w:r>
                      <w:rPr>
                        <w:sz w:val="20"/>
                        <w:vertAlign w:val="subscript"/>
                      </w:rPr>
                      <w:t>1</w:t>
                    </w:r>
                  </w:p>
                </w:txbxContent>
              </v:textbox>
              <w10:wrap type="none"/>
            </v:shape>
            <v:shape style="position:absolute;left:5714;top:2502;width:609;height:223" type="#_x0000_t202" filled="false" stroked="false">
              <v:textbox inset="0,0,0,0">
                <w:txbxContent>
                  <w:p>
                    <w:pPr>
                      <w:spacing w:line="223" w:lineRule="exact" w:before="0"/>
                      <w:ind w:left="0" w:right="0" w:firstLine="0"/>
                      <w:jc w:val="left"/>
                      <w:rPr>
                        <w:sz w:val="20"/>
                      </w:rPr>
                    </w:pPr>
                    <w:r>
                      <w:rPr>
                        <w:color w:val="FF0000"/>
                        <w:sz w:val="20"/>
                      </w:rPr>
                      <w:t>GNDD</w:t>
                    </w:r>
                  </w:p>
                </w:txbxContent>
              </v:textbox>
              <w10:wrap type="none"/>
            </v:shape>
            <w10:wrap type="none"/>
          </v:group>
        </w:pict>
      </w:r>
      <w:r>
        <w:rPr>
          <w:color w:val="FF0000"/>
        </w:rPr>
        <w:t>VBAT/ </w:t>
      </w:r>
      <w:r>
        <w:rPr>
          <w:color w:val="FF0000"/>
          <w:w w:val="95"/>
        </w:rPr>
        <w:t>V3P3D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2"/>
        </w:rPr>
      </w:pPr>
    </w:p>
    <w:p>
      <w:pPr>
        <w:spacing w:before="93"/>
        <w:ind w:left="280" w:right="0" w:firstLine="0"/>
        <w:jc w:val="left"/>
        <w:rPr>
          <w:b/>
          <w:sz w:val="20"/>
        </w:rPr>
      </w:pPr>
      <w:bookmarkStart w:name="_bookmark198" w:id="405"/>
      <w:bookmarkEnd w:id="405"/>
      <w:r>
        <w:rPr/>
      </w:r>
      <w:r>
        <w:rPr>
          <w:b/>
          <w:sz w:val="20"/>
        </w:rPr>
        <w:t>Figure 36: External Components for the RESET Pin: Push-Button (Left), Production Circuit (Right)</w:t>
      </w:r>
    </w:p>
    <w:p>
      <w:pPr>
        <w:pStyle w:val="BodyText"/>
        <w:spacing w:before="4"/>
        <w:rPr>
          <w:b/>
          <w:sz w:val="30"/>
        </w:rPr>
      </w:pPr>
    </w:p>
    <w:p>
      <w:pPr>
        <w:pStyle w:val="ListParagraph"/>
        <w:numPr>
          <w:ilvl w:val="1"/>
          <w:numId w:val="22"/>
        </w:numPr>
        <w:tabs>
          <w:tab w:pos="959" w:val="left" w:leader="none"/>
          <w:tab w:pos="960" w:val="left" w:leader="none"/>
        </w:tabs>
        <w:spacing w:line="240" w:lineRule="auto" w:before="0" w:after="0"/>
        <w:ind w:left="960" w:right="0" w:hanging="720"/>
        <w:jc w:val="left"/>
        <w:rPr>
          <w:b/>
          <w:sz w:val="24"/>
        </w:rPr>
      </w:pPr>
      <w:bookmarkStart w:name="4.11 Connecting the Emulator Port Pins" w:id="406"/>
      <w:bookmarkEnd w:id="406"/>
      <w:r>
        <w:rPr/>
      </w:r>
      <w:bookmarkStart w:name="_bookmark199" w:id="407"/>
      <w:bookmarkEnd w:id="407"/>
      <w:r>
        <w:rPr/>
      </w:r>
      <w:bookmarkStart w:name="_bookmark199" w:id="408"/>
      <w:bookmarkEnd w:id="408"/>
      <w:r>
        <w:rPr>
          <w:b/>
          <w:sz w:val="24"/>
        </w:rPr>
        <w:t>Conn</w:t>
      </w:r>
      <w:r>
        <w:rPr>
          <w:b/>
          <w:sz w:val="24"/>
        </w:rPr>
        <w:t>ecting the Emulator Port</w:t>
      </w:r>
      <w:r>
        <w:rPr>
          <w:b/>
          <w:spacing w:val="-1"/>
          <w:sz w:val="24"/>
        </w:rPr>
        <w:t> </w:t>
      </w:r>
      <w:r>
        <w:rPr>
          <w:b/>
          <w:sz w:val="24"/>
        </w:rPr>
        <w:t>Pins</w:t>
      </w:r>
    </w:p>
    <w:p>
      <w:pPr>
        <w:pStyle w:val="BodyText"/>
        <w:spacing w:before="122"/>
        <w:ind w:left="240" w:right="401"/>
      </w:pPr>
      <w:r>
        <w:rPr/>
        <w:t>Even</w:t>
      </w:r>
      <w:r>
        <w:rPr>
          <w:spacing w:val="-14"/>
        </w:rPr>
        <w:t> </w:t>
      </w:r>
      <w:r>
        <w:rPr/>
        <w:t>when</w:t>
      </w:r>
      <w:r>
        <w:rPr>
          <w:spacing w:val="-14"/>
        </w:rPr>
        <w:t> </w:t>
      </w:r>
      <w:r>
        <w:rPr/>
        <w:t>the</w:t>
      </w:r>
      <w:r>
        <w:rPr>
          <w:spacing w:val="-15"/>
        </w:rPr>
        <w:t> </w:t>
      </w:r>
      <w:r>
        <w:rPr/>
        <w:t>emulator</w:t>
      </w:r>
      <w:r>
        <w:rPr>
          <w:spacing w:val="-12"/>
        </w:rPr>
        <w:t> </w:t>
      </w:r>
      <w:r>
        <w:rPr/>
        <w:t>is</w:t>
      </w:r>
      <w:r>
        <w:rPr>
          <w:spacing w:val="-10"/>
        </w:rPr>
        <w:t> </w:t>
      </w:r>
      <w:r>
        <w:rPr/>
        <w:t>not</w:t>
      </w:r>
      <w:r>
        <w:rPr>
          <w:spacing w:val="-13"/>
        </w:rPr>
        <w:t> </w:t>
      </w:r>
      <w:r>
        <w:rPr/>
        <w:t>used,</w:t>
      </w:r>
      <w:r>
        <w:rPr>
          <w:spacing w:val="-12"/>
        </w:rPr>
        <w:t> </w:t>
      </w:r>
      <w:r>
        <w:rPr/>
        <w:t>small</w:t>
      </w:r>
      <w:r>
        <w:rPr>
          <w:spacing w:val="-15"/>
        </w:rPr>
        <w:t> </w:t>
      </w:r>
      <w:r>
        <w:rPr/>
        <w:t>shunt</w:t>
      </w:r>
      <w:r>
        <w:rPr>
          <w:spacing w:val="-15"/>
        </w:rPr>
        <w:t> </w:t>
      </w:r>
      <w:r>
        <w:rPr/>
        <w:t>capacitors</w:t>
      </w:r>
      <w:r>
        <w:rPr>
          <w:spacing w:val="-13"/>
        </w:rPr>
        <w:t> </w:t>
      </w:r>
      <w:r>
        <w:rPr/>
        <w:t>to</w:t>
      </w:r>
      <w:r>
        <w:rPr>
          <w:spacing w:val="-13"/>
        </w:rPr>
        <w:t> </w:t>
      </w:r>
      <w:r>
        <w:rPr/>
        <w:t>ground</w:t>
      </w:r>
      <w:r>
        <w:rPr>
          <w:spacing w:val="-14"/>
        </w:rPr>
        <w:t> </w:t>
      </w:r>
      <w:r>
        <w:rPr/>
        <w:t>(22</w:t>
      </w:r>
      <w:r>
        <w:rPr>
          <w:spacing w:val="-14"/>
        </w:rPr>
        <w:t> </w:t>
      </w:r>
      <w:r>
        <w:rPr/>
        <w:t>pF)</w:t>
      </w:r>
      <w:r>
        <w:rPr>
          <w:spacing w:val="-12"/>
        </w:rPr>
        <w:t> </w:t>
      </w:r>
      <w:r>
        <w:rPr/>
        <w:t>should</w:t>
      </w:r>
      <w:r>
        <w:rPr>
          <w:spacing w:val="-15"/>
        </w:rPr>
        <w:t> </w:t>
      </w:r>
      <w:r>
        <w:rPr/>
        <w:t>be</w:t>
      </w:r>
      <w:r>
        <w:rPr>
          <w:spacing w:val="-13"/>
        </w:rPr>
        <w:t> </w:t>
      </w:r>
      <w:r>
        <w:rPr/>
        <w:t>used</w:t>
      </w:r>
      <w:r>
        <w:rPr>
          <w:spacing w:val="-14"/>
        </w:rPr>
        <w:t> </w:t>
      </w:r>
      <w:r>
        <w:rPr/>
        <w:t>for</w:t>
      </w:r>
      <w:r>
        <w:rPr>
          <w:spacing w:val="-14"/>
        </w:rPr>
        <w:t> </w:t>
      </w:r>
      <w:r>
        <w:rPr/>
        <w:t>protection from EMI as illustrated in </w:t>
      </w:r>
      <w:hyperlink w:history="true" w:anchor="_bookmark200">
        <w:r>
          <w:rPr>
            <w:color w:val="0000FF"/>
          </w:rPr>
          <w:t>Figure 37</w:t>
        </w:r>
        <w:r>
          <w:rPr/>
          <w:t>.</w:t>
        </w:r>
      </w:hyperlink>
      <w:r>
        <w:rPr/>
        <w:t> Production boards should have the ICE_E pin connected to</w:t>
      </w:r>
      <w:r>
        <w:rPr>
          <w:spacing w:val="10"/>
        </w:rPr>
        <w:t> </w:t>
      </w:r>
      <w:r>
        <w:rPr/>
        <w:t>ground.</w:t>
      </w:r>
    </w:p>
    <w:p>
      <w:pPr>
        <w:pStyle w:val="BodyText"/>
        <w:spacing w:before="9"/>
        <w:rPr>
          <w:sz w:val="15"/>
        </w:rPr>
      </w:pPr>
    </w:p>
    <w:p>
      <w:pPr>
        <w:pStyle w:val="BodyText"/>
        <w:spacing w:before="93"/>
        <w:ind w:left="702" w:right="2106"/>
        <w:jc w:val="center"/>
      </w:pPr>
      <w:r>
        <w:rPr/>
        <w:pict>
          <v:group style="position:absolute;margin-left:148.5pt;margin-top:14.759875pt;width:283.75pt;height:143.5pt;mso-position-horizontal-relative:page;mso-position-vertical-relative:paragraph;z-index:15845888" coordorigin="2970,295" coordsize="5675,2870">
            <v:rect style="position:absolute;left:2977;top:302;width:324;height:2524" filled="true" fillcolor="#ffffcc" stroked="false">
              <v:fill type="solid"/>
            </v:rect>
            <v:shape style="position:absolute;left:2970;top:302;width:13;height:1903" coordorigin="2970,302" coordsize="13,1903" path="m2983,2191l2970,2191,2970,2205,2983,2205,2983,2191xm2983,2164l2970,2164,2970,2178,2983,2178,2983,2164xm2983,2137l2970,2137,2970,2151,2983,2151,2983,2137xm2983,2110l2970,2110,2970,2124,2983,2124,2983,2110xm2983,2083l2970,2083,2970,2097,2983,2097,2983,2083xm2983,2056l2970,2056,2970,2070,2983,2070,2983,2056xm2983,2029l2970,2029,2970,2043,2983,2043,2983,2029xm2983,2002l2970,2002,2970,2016,2983,2016,2983,2002xm2983,1975l2970,1975,2970,1989,2983,1989,2983,1975xm2983,1948l2970,1948,2970,1962,2983,1962,2983,1948xm2983,1921l2970,1921,2970,1935,2983,1935,2983,1921xm2983,1894l2970,1894,2970,1908,2983,1908,2983,1894xm2983,1867l2970,1867,2970,1881,2983,1881,2983,1867xm2983,1840l2970,1840,2970,1854,2983,1854,2983,1840xm2983,1813l2970,1813,2970,1827,2983,1827,2983,1813xm2983,1786l2970,1786,2970,1800,2983,1800,2983,1786xm2983,1759l2970,1759,2970,1773,2983,1773,2983,1759xm2983,1732l2970,1732,2970,1746,2983,1746,2983,1732xm2983,1705l2970,1705,2970,1719,2983,1719,2983,1705xm2983,1678l2970,1678,2970,1692,2983,1692,2983,1678xm2983,1651l2970,1651,2970,1665,2983,1665,2983,1651xm2983,1624l2970,1624,2970,1638,2983,1638,2983,1624xm2983,1597l2970,1597,2970,1611,2983,1611,2983,1597xm2983,1570l2970,1570,2970,1584,2983,1584,2983,1570xm2983,1543l2970,1543,2970,1557,2983,1557,2983,1543xm2983,1516l2970,1516,2970,1530,2983,1530,2983,1516xm2983,1489l2970,1489,2970,1503,2983,1503,2983,1489xm2983,1462l2970,1462,2970,1476,2983,1476,2983,1462xm2983,1435l2970,1435,2970,1449,2983,1449,2983,1435xm2983,1408l2970,1408,2970,1422,2983,1422,2983,1408xm2983,1381l2970,1381,2970,1395,2983,1395,2983,1381xm2983,1354l2970,1354,2970,1368,2983,1368,2983,1354xm2983,1327l2970,1327,2970,1341,2983,1341,2983,1327xm2983,1301l2970,1301,2970,1314,2983,1314,2983,1301xm2983,1274l2970,1274,2970,1287,2983,1287,2983,1274xm2983,1247l2970,1247,2970,1260,2983,1260,2983,1247xm2983,1220l2970,1220,2970,1233,2983,1233,2983,1220xm2983,1193l2970,1193,2970,1206,2983,1206,2983,1193xm2983,1166l2970,1166,2970,1179,2983,1179,2983,1166xm2983,1139l2970,1139,2970,1152,2983,1152,2983,1139xm2983,1112l2970,1112,2970,1125,2983,1125,2983,1112xm2983,1085l2970,1085,2970,1098,2983,1098,2983,1085xm2983,1058l2970,1058,2970,1071,2983,1071,2983,1058xm2983,1031l2970,1031,2970,1044,2983,1044,2983,1031xm2983,1004l2970,1004,2970,1017,2983,1017,2983,1004xm2983,977l2970,977,2970,990,2983,990,2983,977xm2983,950l2970,950,2970,963,2983,963,2983,950xm2983,923l2970,923,2970,936,2983,936,2983,923xm2983,896l2970,896,2970,909,2983,909,2983,896xm2983,869l2970,869,2970,882,2983,882,2983,869xm2983,842l2970,842,2970,855,2983,855,2983,842xm2983,815l2970,815,2970,828,2983,828,2983,815xm2983,788l2970,788,2970,801,2983,801,2983,788xm2983,761l2970,761,2970,774,2983,774,2983,761xm2983,734l2970,734,2970,747,2983,747,2983,734xm2983,707l2970,707,2970,720,2983,720,2983,707xm2983,680l2970,680,2970,693,2983,693,2983,680xm2983,653l2970,653,2970,666,2983,666,2983,653xm2983,626l2970,626,2970,639,2983,639,2983,626xm2983,599l2970,599,2970,612,2983,612,2983,599xm2983,572l2970,572,2970,585,2983,585,2983,572xm2983,545l2970,545,2970,558,2983,558,2983,545xm2983,518l2970,518,2970,531,2983,531,2983,518xm2983,491l2970,491,2970,504,2983,504,2983,491xm2983,464l2970,464,2970,477,2983,477,2983,464xm2983,437l2970,437,2970,450,2983,450,2983,437xm2983,410l2970,410,2970,423,2983,423,2983,410xm2983,383l2970,383,2970,396,2983,396,2983,383xm2983,356l2970,356,2970,369,2983,369,2983,356xm2983,329l2970,329,2970,342,2983,342,2983,329xm2983,302l2970,302,2970,315,2983,315,2983,302xe" filled="true" fillcolor="#000000" stroked="false">
              <v:path arrowok="t"/>
              <v:fill type="solid"/>
            </v:shape>
            <v:shape style="position:absolute;left:2970;top:1881;width:337;height:951" coordorigin="2970,1881" coordsize="337,951" path="m2983,2812l2970,2812,2970,2826,2983,2826,2983,2812xm2983,2785l2970,2785,2970,2799,2983,2799,2983,2785xm2983,2758l2970,2758,2970,2772,2983,2772,2983,2758xm2983,2731l2970,2731,2970,2745,2983,2745,2983,2731xm2983,2704l2970,2704,2970,2718,2983,2718,2983,2704xm2983,2677l2970,2677,2970,2691,2983,2691,2983,2677xm2983,2650l2970,2650,2970,2664,2983,2664,2983,2650xm2983,2623l2970,2623,2970,2637,2983,2637,2983,2623xm2983,2596l2970,2596,2970,2610,2983,2610,2983,2596xm2983,2569l2970,2569,2970,2583,2983,2583,2983,2569xm2983,2542l2970,2542,2970,2556,2983,2556,2983,2542xm2983,2515l2970,2515,2970,2529,2983,2529,2983,2515xm2983,2488l2970,2488,2970,2502,2983,2502,2983,2488xm2983,2461l2970,2461,2970,2475,2983,2475,2983,2461xm2983,2434l2970,2434,2970,2448,2983,2448,2983,2434xm2983,2407l2970,2407,2970,2421,2983,2421,2983,2407xm2983,2380l2970,2380,2970,2394,2983,2394,2983,2380xm2983,2353l2970,2353,2970,2367,2983,2367,2983,2353xm2983,2326l2970,2326,2970,2340,2983,2340,2983,2326xm2983,2299l2970,2299,2970,2313,2983,2313,2983,2299xm2983,2272l2970,2272,2970,2286,2983,2286,2983,2272xm2983,2245l2970,2245,2970,2259,2983,2259,2983,2245xm2983,2218l2970,2218,2970,2232,2983,2232,2983,2218xm2983,2191l2970,2191,2970,2205,2983,2205,2983,2191xm3004,2819l2990,2819,2990,2832,3004,2832,3004,2819xm3031,2819l3017,2819,3017,2832,3031,2832,3031,2819xm3058,2819l3044,2819,3044,2832,3058,2832,3058,2819xm3085,2819l3071,2819,3071,2832,3085,2832,3085,2819xm3112,2819l3098,2819,3098,2832,3112,2832,3112,2819xm3139,2819l3125,2819,3125,2832,3139,2832,3139,2819xm3166,2819l3152,2819,3152,2832,3166,2832,3166,2819xm3193,2819l3179,2819,3179,2832,3193,2832,3193,2819xm3220,2819l3206,2819,3206,2832,3220,2832,3220,2819xm3247,2819l3233,2819,3233,2832,3247,2832,3247,2819xm3274,2819l3260,2819,3260,2832,3274,2832,3274,2819xm3301,2819l3287,2819,3287,2832,3301,2832,3301,2819xm3307,2799l3294,2799,3294,2812,3307,2812,3307,2799xm3307,2772l3294,2772,3294,2785,3307,2785,3307,2772xm3307,2745l3294,2745,3294,2758,3307,2758,3307,2745xm3307,2718l3294,2718,3294,2731,3307,2731,3307,2718xm3307,2691l3294,2691,3294,2704,3307,2704,3307,2691xm3307,2664l3294,2664,3294,2677,3307,2677,3307,2664xm3307,2637l3294,2637,3294,2650,3307,2650,3307,2637xm3307,2610l3294,2610,3294,2623,3307,2623,3307,2610xm3307,2583l3294,2583,3294,2596,3307,2596,3307,2583xm3307,2556l3294,2556,3294,2569,3307,2569,3307,2556xm3307,2529l3294,2529,3294,2542,3307,2542,3307,2529xm3307,2502l3294,2502,3294,2515,3307,2515,3307,2502xm3307,2475l3294,2475,3294,2488,3307,2488,3307,2475xm3307,2448l3294,2448,3294,2461,3307,2461,3307,2448xm3307,2421l3294,2421,3294,2434,3307,2434,3307,2421xm3307,2394l3294,2394,3294,2407,3307,2407,3307,2394xm3307,2367l3294,2367,3294,2380,3307,2380,3307,2367xm3307,2340l3294,2340,3294,2353,3307,2353,3307,2340xm3307,2313l3294,2313,3294,2326,3307,2326,3307,2313xm3307,2286l3294,2286,3294,2299,3307,2299,3307,2286xm3307,2259l3294,2259,3294,2272,3307,2272,3307,2259xm3307,2232l3294,2232,3294,2245,3307,2245,3307,2232xm3307,2205l3294,2205,3294,2218,3307,2218,3307,2205xm3307,2178l3294,2178,3294,2191,3307,2191,3307,2178xm3307,2151l3294,2151,3294,2164,3307,2164,3307,2151xm3307,2124l3294,2124,3294,2137,3307,2137,3307,2124xm3307,2097l3294,2097,3294,2110,3307,2110,3307,2097xm3307,2070l3294,2070,3294,2083,3307,2083,3307,2070xm3307,2043l3294,2043,3294,2056,3307,2056,3307,2043xm3307,2016l3294,2016,3294,2029,3307,2029,3307,2016xm3307,1989l3294,1989,3294,2002,3307,2002,3307,1989xm3307,1962l3294,1962,3294,1975,3307,1975,3307,1962xm3307,1935l3294,1935,3294,1948,3307,1948,3307,1935xm3307,1908l3294,1908,3294,1921,3307,1921,3307,1908xm3307,1881l3294,1881,3294,1894,3307,1894,3307,1881xe" filled="true" fillcolor="#000000" stroked="false">
              <v:path arrowok="t"/>
              <v:fill type="solid"/>
            </v:shape>
            <v:shape style="position:absolute;left:2990;top:295;width:317;height:1599" coordorigin="2990,295" coordsize="317,1599" path="m3004,295l2990,295,2990,308,3004,308,3004,295xm3031,295l3017,295,3017,308,3031,308,3031,295xm3058,295l3044,295,3044,308,3058,308,3058,295xm3085,295l3071,295,3071,308,3085,308,3085,295xm3112,295l3098,295,3098,308,3112,308,3112,295xm3139,295l3125,295,3125,308,3139,308,3139,295xm3166,295l3152,295,3152,308,3166,308,3166,295xm3193,295l3179,295,3179,308,3193,308,3193,295xm3220,295l3206,295,3206,308,3220,308,3220,295xm3247,295l3233,295,3233,308,3247,308,3247,295xm3274,295l3260,295,3260,308,3274,308,3274,295xm3301,295l3287,295,3287,308,3301,308,3301,295xm3307,1881l3294,1881,3294,1894,3307,1894,3307,1881xm3307,1854l3294,1854,3294,1867,3307,1867,3307,1854xm3307,1827l3294,1827,3294,1840,3307,1840,3307,1827xm3307,1800l3294,1800,3294,1813,3307,1813,3307,1800xm3307,1773l3294,1773,3294,1786,3307,1786,3307,1773xm3307,1746l3294,1746,3294,1759,3307,1759,3307,1746xm3307,1719l3294,1719,3294,1732,3307,1732,3307,1719xm3307,1692l3294,1692,3294,1705,3307,1705,3307,1692xm3307,1665l3294,1665,3294,1678,3307,1678,3307,1665xm3307,1638l3294,1638,3294,1651,3307,1651,3307,1638xm3307,1611l3294,1611,3294,1624,3307,1624,3307,1611xm3307,1584l3294,1584,3294,1597,3307,1597,3307,1584xm3307,1557l3294,1557,3294,1570,3307,1570,3307,1557xm3307,1530l3294,1530,3294,1543,3307,1543,3307,1530xm3307,1503l3294,1503,3294,1516,3307,1516,3307,1503xm3307,1476l3294,1476,3294,1489,3307,1489,3307,1476xm3307,1449l3294,1449,3294,1462,3307,1462,3307,1449xm3307,1422l3294,1422,3294,1435,3307,1435,3307,1422xm3307,1395l3294,1395,3294,1408,3307,1408,3307,1395xm3307,1368l3294,1368,3294,1381,3307,1381,3307,1368xm3307,1341l3294,1341,3294,1354,3307,1354,3307,1341xm3307,1314l3294,1314,3294,1327,3307,1327,3307,1314xm3307,1287l3294,1287,3294,1301,3307,1301,3307,1287xm3307,1260l3294,1260,3294,1274,3307,1274,3307,1260xm3307,1233l3294,1233,3294,1247,3307,1247,3307,1233xm3307,1206l3294,1206,3294,1220,3307,1220,3307,1206xm3307,1179l3294,1179,3294,1193,3307,1193,3307,1179xm3307,1152l3294,1152,3294,1166,3307,1166,3307,1152xm3307,1125l3294,1125,3294,1139,3307,1139,3307,1125xm3307,1098l3294,1098,3294,1112,3307,1112,3307,1098xm3307,1071l3294,1071,3294,1085,3307,1085,3307,1071xm3307,1044l3294,1044,3294,1058,3307,1058,3307,1044xm3307,1017l3294,1017,3294,1031,3307,1031,3307,1017xm3307,990l3294,990,3294,1004,3307,1004,3307,990xm3307,963l3294,963,3294,977,3307,977,3307,963xm3307,936l3294,936,3294,950,3307,950,3307,936xm3307,909l3294,909,3294,923,3307,923,3307,909xm3307,882l3294,882,3294,896,3307,896,3307,882xm3307,855l3294,855,3294,869,3307,869,3307,855xm3307,828l3294,828,3294,842,3307,842,3307,828xm3307,801l3294,801,3294,815,3307,815,3307,801xm3307,774l3294,774,3294,788,3307,788,3307,774xm3307,747l3294,747,3294,761,3307,761,3307,747xm3307,720l3294,720,3294,734,3307,734,3307,720xm3307,693l3294,693,3294,707,3307,707,3307,693xm3307,666l3294,666,3294,680,3307,680,3307,666xm3307,639l3294,639,3294,653,3307,653,3307,639xm3307,612l3294,612,3294,626,3307,626,3307,612xm3307,585l3294,585,3294,599,3307,599,3307,585xm3307,558l3294,558,3294,572,3307,572,3307,558xm3307,531l3294,531,3294,545,3307,545,3307,531xm3307,504l3294,504,3294,518,3307,518,3307,504xm3307,477l3294,477,3294,491,3307,491,3307,477xm3307,450l3294,450,3294,464,3307,464,3307,450xm3307,423l3294,423,3294,437,3307,437,3307,423xm3307,396l3294,396,3294,410,3307,410,3307,396xm3307,369l3294,369,3294,383,3307,383,3307,369xm3307,342l3294,342,3294,356,3307,356,3307,342xm3307,315l3294,315,3294,329,3307,329,3307,315xe" filled="true" fillcolor="#000000" stroked="false">
              <v:path arrowok="t"/>
              <v:fill type="solid"/>
            </v:shape>
            <v:rect style="position:absolute;left:2990;top:295;width:14;height:13" filled="true" fillcolor="#000000" stroked="false">
              <v:fill type="solid"/>
            </v:rect>
            <v:shape style="position:absolute;left:3085;top:1274;width:108;height:107" coordorigin="3085,1274" coordsize="108,107" path="m3139,1274l3118,1278,3101,1290,3089,1307,3085,1328,3089,1349,3101,1366,3118,1377,3139,1381,3160,1377,3177,1366,3189,1349,3193,1328,3189,1307,3177,1290,3160,1278,3139,1274xe" filled="true" fillcolor="#ffffff" stroked="false">
              <v:path arrowok="t"/>
              <v:fill type="solid"/>
            </v:shape>
            <v:shape style="position:absolute;left:3085;top:1274;width:108;height:107" coordorigin="3085,1274" coordsize="108,107" path="m3139,1274l3118,1278,3101,1290,3089,1307,3085,1328,3089,1349,3101,1366,3118,1377,3139,1381,3160,1377,3177,1366,3189,1349,3193,1328,3189,1307,3177,1290,3160,1278,3139,1274xe" filled="false" stroked="true" strokeweight=".12pt" strokecolor="#000000">
              <v:path arrowok="t"/>
              <v:stroke dashstyle="solid"/>
            </v:shape>
            <v:shape style="position:absolute;left:3085;top:1705;width:108;height:108" coordorigin="3085,1705" coordsize="108,108" path="m3139,1705l3118,1709,3101,1721,3089,1738,3085,1759,3089,1780,3101,1797,3118,1809,3139,1813,3160,1809,3177,1797,3189,1780,3193,1759,3189,1738,3177,1721,3160,1709,3139,1705xe" filled="true" fillcolor="#ffffff" stroked="false">
              <v:path arrowok="t"/>
              <v:fill type="solid"/>
            </v:shape>
            <v:shape style="position:absolute;left:3085;top:1705;width:108;height:108" coordorigin="3085,1705" coordsize="108,108" path="m3139,1705l3118,1709,3101,1721,3089,1738,3085,1759,3089,1780,3101,1797,3118,1809,3139,1813,3160,1809,3177,1797,3189,1780,3193,1759,3189,1738,3177,1721,3160,1709,3139,1705xe" filled="false" stroked="true" strokeweight=".12pt" strokecolor="#000000">
              <v:path arrowok="t"/>
              <v:stroke dashstyle="solid"/>
            </v:shape>
            <v:shape style="position:absolute;left:3085;top:2137;width:108;height:108" coordorigin="3085,2137" coordsize="108,108" path="m3139,2137l3118,2141,3101,2153,3089,2170,3085,2191,3089,2212,3101,2229,3118,2241,3139,2245,3160,2241,3177,2229,3189,2212,3193,2191,3189,2170,3177,2153,3160,2141,3139,2137xe" filled="true" fillcolor="#ffffff" stroked="false">
              <v:path arrowok="t"/>
              <v:fill type="solid"/>
            </v:shape>
            <v:shape style="position:absolute;left:3085;top:2137;width:108;height:108" coordorigin="3085,2137" coordsize="108,108" path="m3139,2137l3118,2141,3101,2153,3089,2170,3085,2191,3089,2212,3101,2229,3118,2241,3139,2245,3160,2241,3177,2229,3189,2212,3193,2191,3189,2170,3177,2153,3160,2141,3139,2137xe" filled="false" stroked="true" strokeweight=".12pt" strokecolor="#000000">
              <v:path arrowok="t"/>
              <v:stroke dashstyle="solid"/>
            </v:shape>
            <v:shape style="position:absolute;left:3085;top:842;width:108;height:108" coordorigin="3085,842" coordsize="108,108" path="m3139,842l3118,846,3101,858,3089,875,3085,896,3089,917,3101,934,3118,946,3139,950,3160,946,3177,934,3189,917,3193,896,3189,875,3177,858,3160,846,3139,842xe" filled="true" fillcolor="#ffffff" stroked="false">
              <v:path arrowok="t"/>
              <v:fill type="solid"/>
            </v:shape>
            <v:shape style="position:absolute;left:3085;top:842;width:108;height:108" coordorigin="3085,842" coordsize="108,108" path="m3139,842l3118,846,3101,858,3089,875,3085,896,3089,917,3101,934,3118,946,3139,950,3160,946,3177,934,3189,917,3193,896,3189,875,3177,858,3160,846,3139,842xe" filled="false" stroked="true" strokeweight=".12pt" strokecolor="#000000">
              <v:path arrowok="t"/>
              <v:stroke dashstyle="solid"/>
            </v:shape>
            <v:shape style="position:absolute;left:3085;top:2569;width:108;height:108" coordorigin="3085,2569" coordsize="108,108" path="m3139,2569l3118,2573,3101,2585,3089,2602,3085,2623,3089,2644,3101,2661,3118,2673,3139,2677,3160,2673,3177,2661,3189,2644,3193,2623,3189,2602,3177,2585,3160,2573,3139,2569xe" filled="true" fillcolor="#ffffff" stroked="false">
              <v:path arrowok="t"/>
              <v:fill type="solid"/>
            </v:shape>
            <v:shape style="position:absolute;left:3085;top:2569;width:108;height:108" coordorigin="3085,2569" coordsize="108,108" path="m3139,2569l3118,2573,3101,2585,3089,2602,3085,2623,3089,2644,3101,2661,3118,2673,3139,2677,3160,2673,3177,2661,3189,2644,3193,2623,3189,2602,3177,2585,3160,2573,3139,2569xe" filled="false" stroked="true" strokeweight=".12pt" strokecolor="#000000">
              <v:path arrowok="t"/>
              <v:stroke dashstyle="solid"/>
            </v:shape>
            <v:shape style="position:absolute;left:3085;top:410;width:108;height:108" coordorigin="3085,410" coordsize="108,108" path="m3139,410l3118,414,3101,426,3089,443,3085,464,3089,485,3101,502,3118,514,3139,518,3160,514,3177,502,3189,485,3193,464,3189,443,3177,426,3160,414,3139,410xe" filled="true" fillcolor="#ffffff" stroked="false">
              <v:path arrowok="t"/>
              <v:fill type="solid"/>
            </v:shape>
            <v:shape style="position:absolute;left:3085;top:410;width:108;height:108" coordorigin="3085,410" coordsize="108,108" path="m3139,410l3118,414,3101,426,3089,443,3085,464,3089,485,3101,502,3118,514,3139,518,3160,514,3177,502,3189,485,3193,464,3189,443,3177,426,3160,414,3139,410xe" filled="false" stroked="true" strokeweight=".12pt" strokecolor="#000000">
              <v:path arrowok="t"/>
              <v:stroke dashstyle="solid"/>
            </v:shape>
            <v:line style="position:absolute" from="3301,465" to="3734,465" stroked="true" strokeweight=".17pt" strokecolor="#000000">
              <v:stroke dashstyle="solid"/>
            </v:line>
            <v:rect style="position:absolute;left:2977;top:302;width:324;height:2524" filled="true" fillcolor="#ffffcc" stroked="false">
              <v:fill type="solid"/>
            </v:rect>
            <v:shape style="position:absolute;left:2970;top:302;width:13;height:1903" coordorigin="2970,302" coordsize="13,1903" path="m2983,2191l2970,2191,2970,2205,2983,2205,2983,2191xm2983,2164l2970,2164,2970,2178,2983,2178,2983,2164xm2983,2137l2970,2137,2970,2151,2983,2151,2983,2137xm2983,2110l2970,2110,2970,2124,2983,2124,2983,2110xm2983,2083l2970,2083,2970,2097,2983,2097,2983,2083xm2983,2056l2970,2056,2970,2070,2983,2070,2983,2056xm2983,2029l2970,2029,2970,2043,2983,2043,2983,2029xm2983,2002l2970,2002,2970,2016,2983,2016,2983,2002xm2983,1975l2970,1975,2970,1989,2983,1989,2983,1975xm2983,1948l2970,1948,2970,1962,2983,1962,2983,1948xm2983,1921l2970,1921,2970,1935,2983,1935,2983,1921xm2983,1894l2970,1894,2970,1908,2983,1908,2983,1894xm2983,1867l2970,1867,2970,1881,2983,1881,2983,1867xm2983,1840l2970,1840,2970,1854,2983,1854,2983,1840xm2983,1813l2970,1813,2970,1827,2983,1827,2983,1813xm2983,1786l2970,1786,2970,1800,2983,1800,2983,1786xm2983,1759l2970,1759,2970,1773,2983,1773,2983,1759xm2983,1732l2970,1732,2970,1746,2983,1746,2983,1732xm2983,1705l2970,1705,2970,1719,2983,1719,2983,1705xm2983,1678l2970,1678,2970,1692,2983,1692,2983,1678xm2983,1651l2970,1651,2970,1665,2983,1665,2983,1651xm2983,1624l2970,1624,2970,1638,2983,1638,2983,1624xm2983,1597l2970,1597,2970,1611,2983,1611,2983,1597xm2983,1570l2970,1570,2970,1584,2983,1584,2983,1570xm2983,1543l2970,1543,2970,1557,2983,1557,2983,1543xm2983,1516l2970,1516,2970,1530,2983,1530,2983,1516xm2983,1489l2970,1489,2970,1503,2983,1503,2983,1489xm2983,1462l2970,1462,2970,1476,2983,1476,2983,1462xm2983,1435l2970,1435,2970,1449,2983,1449,2983,1435xm2983,1408l2970,1408,2970,1422,2983,1422,2983,1408xm2983,1381l2970,1381,2970,1395,2983,1395,2983,1381xm2983,1354l2970,1354,2970,1368,2983,1368,2983,1354xm2983,1327l2970,1327,2970,1341,2983,1341,2983,1327xm2983,1301l2970,1301,2970,1314,2983,1314,2983,1301xm2983,1274l2970,1274,2970,1287,2983,1287,2983,1274xm2983,1247l2970,1247,2970,1260,2983,1260,2983,1247xm2983,1220l2970,1220,2970,1233,2983,1233,2983,1220xm2983,1193l2970,1193,2970,1206,2983,1206,2983,1193xm2983,1166l2970,1166,2970,1179,2983,1179,2983,1166xm2983,1139l2970,1139,2970,1152,2983,1152,2983,1139xm2983,1112l2970,1112,2970,1125,2983,1125,2983,1112xm2983,1085l2970,1085,2970,1098,2983,1098,2983,1085xm2983,1058l2970,1058,2970,1071,2983,1071,2983,1058xm2983,1031l2970,1031,2970,1044,2983,1044,2983,1031xm2983,1004l2970,1004,2970,1017,2983,1017,2983,1004xm2983,977l2970,977,2970,990,2983,990,2983,977xm2983,950l2970,950,2970,963,2983,963,2983,950xm2983,923l2970,923,2970,936,2983,936,2983,923xm2983,896l2970,896,2970,909,2983,909,2983,896xm2983,869l2970,869,2970,882,2983,882,2983,869xm2983,842l2970,842,2970,855,2983,855,2983,842xm2983,815l2970,815,2970,828,2983,828,2983,815xm2983,788l2970,788,2970,801,2983,801,2983,788xm2983,761l2970,761,2970,774,2983,774,2983,761xm2983,734l2970,734,2970,747,2983,747,2983,734xm2983,707l2970,707,2970,720,2983,720,2983,707xm2983,680l2970,680,2970,693,2983,693,2983,680xm2983,653l2970,653,2970,666,2983,666,2983,653xm2983,626l2970,626,2970,639,2983,639,2983,626xm2983,599l2970,599,2970,612,2983,612,2983,599xm2983,572l2970,572,2970,585,2983,585,2983,572xm2983,545l2970,545,2970,558,2983,558,2983,545xm2983,518l2970,518,2970,531,2983,531,2983,518xm2983,491l2970,491,2970,504,2983,504,2983,491xm2983,464l2970,464,2970,477,2983,477,2983,464xm2983,437l2970,437,2970,450,2983,450,2983,437xm2983,410l2970,410,2970,423,2983,423,2983,410xm2983,383l2970,383,2970,396,2983,396,2983,383xm2983,356l2970,356,2970,369,2983,369,2983,356xm2983,329l2970,329,2970,342,2983,342,2983,329xm2983,302l2970,302,2970,315,2983,315,2983,302xe" filled="true" fillcolor="#000000" stroked="false">
              <v:path arrowok="t"/>
              <v:fill type="solid"/>
            </v:shape>
            <v:shape style="position:absolute;left:2970;top:1881;width:337;height:951" coordorigin="2970,1881" coordsize="337,951" path="m2983,2812l2970,2812,2970,2826,2983,2826,2983,2812xm2983,2785l2970,2785,2970,2799,2983,2799,2983,2785xm2983,2758l2970,2758,2970,2772,2983,2772,2983,2758xm2983,2731l2970,2731,2970,2745,2983,2745,2983,2731xm2983,2704l2970,2704,2970,2718,2983,2718,2983,2704xm2983,2677l2970,2677,2970,2691,2983,2691,2983,2677xm2983,2650l2970,2650,2970,2664,2983,2664,2983,2650xm2983,2623l2970,2623,2970,2637,2983,2637,2983,2623xm2983,2596l2970,2596,2970,2610,2983,2610,2983,2596xm2983,2569l2970,2569,2970,2583,2983,2583,2983,2569xm2983,2542l2970,2542,2970,2556,2983,2556,2983,2542xm2983,2515l2970,2515,2970,2529,2983,2529,2983,2515xm2983,2488l2970,2488,2970,2502,2983,2502,2983,2488xm2983,2461l2970,2461,2970,2475,2983,2475,2983,2461xm2983,2434l2970,2434,2970,2448,2983,2448,2983,2434xm2983,2407l2970,2407,2970,2421,2983,2421,2983,2407xm2983,2380l2970,2380,2970,2394,2983,2394,2983,2380xm2983,2353l2970,2353,2970,2367,2983,2367,2983,2353xm2983,2326l2970,2326,2970,2340,2983,2340,2983,2326xm2983,2299l2970,2299,2970,2313,2983,2313,2983,2299xm2983,2272l2970,2272,2970,2286,2983,2286,2983,2272xm2983,2245l2970,2245,2970,2259,2983,2259,2983,2245xm2983,2218l2970,2218,2970,2232,2983,2232,2983,2218xm2983,2191l2970,2191,2970,2205,2983,2205,2983,2191xm3004,2819l2990,2819,2990,2832,3004,2832,3004,2819xm3031,2819l3017,2819,3017,2832,3031,2832,3031,2819xm3058,2819l3044,2819,3044,2832,3058,2832,3058,2819xm3085,2819l3071,2819,3071,2832,3085,2832,3085,2819xm3112,2819l3098,2819,3098,2832,3112,2832,3112,2819xm3139,2819l3125,2819,3125,2832,3139,2832,3139,2819xm3166,2819l3152,2819,3152,2832,3166,2832,3166,2819xm3193,2819l3179,2819,3179,2832,3193,2832,3193,2819xm3220,2819l3206,2819,3206,2832,3220,2832,3220,2819xm3247,2819l3233,2819,3233,2832,3247,2832,3247,2819xm3274,2819l3260,2819,3260,2832,3274,2832,3274,2819xm3301,2819l3287,2819,3287,2832,3301,2832,3301,2819xm3307,2799l3294,2799,3294,2812,3307,2812,3307,2799xm3307,2772l3294,2772,3294,2785,3307,2785,3307,2772xm3307,2745l3294,2745,3294,2758,3307,2758,3307,2745xm3307,2718l3294,2718,3294,2731,3307,2731,3307,2718xm3307,2691l3294,2691,3294,2704,3307,2704,3307,2691xm3307,2664l3294,2664,3294,2677,3307,2677,3307,2664xm3307,2637l3294,2637,3294,2650,3307,2650,3307,2637xm3307,2610l3294,2610,3294,2623,3307,2623,3307,2610xm3307,2583l3294,2583,3294,2596,3307,2596,3307,2583xm3307,2556l3294,2556,3294,2569,3307,2569,3307,2556xm3307,2529l3294,2529,3294,2542,3307,2542,3307,2529xm3307,2502l3294,2502,3294,2515,3307,2515,3307,2502xm3307,2475l3294,2475,3294,2488,3307,2488,3307,2475xm3307,2448l3294,2448,3294,2461,3307,2461,3307,2448xm3307,2421l3294,2421,3294,2434,3307,2434,3307,2421xm3307,2394l3294,2394,3294,2407,3307,2407,3307,2394xm3307,2367l3294,2367,3294,2380,3307,2380,3307,2367xm3307,2340l3294,2340,3294,2353,3307,2353,3307,2340xm3307,2313l3294,2313,3294,2326,3307,2326,3307,2313xm3307,2286l3294,2286,3294,2299,3307,2299,3307,2286xm3307,2259l3294,2259,3294,2272,3307,2272,3307,2259xm3307,2232l3294,2232,3294,2245,3307,2245,3307,2232xm3307,2205l3294,2205,3294,2218,3307,2218,3307,2205xm3307,2178l3294,2178,3294,2191,3307,2191,3307,2178xm3307,2151l3294,2151,3294,2164,3307,2164,3307,2151xm3307,2124l3294,2124,3294,2137,3307,2137,3307,2124xm3307,2097l3294,2097,3294,2110,3307,2110,3307,2097xm3307,2070l3294,2070,3294,2083,3307,2083,3307,2070xm3307,2043l3294,2043,3294,2056,3307,2056,3307,2043xm3307,2016l3294,2016,3294,2029,3307,2029,3307,2016xm3307,1989l3294,1989,3294,2002,3307,2002,3307,1989xm3307,1962l3294,1962,3294,1975,3307,1975,3307,1962xm3307,1935l3294,1935,3294,1948,3307,1948,3307,1935xm3307,1908l3294,1908,3294,1921,3307,1921,3307,1908xm3307,1881l3294,1881,3294,1894,3307,1894,3307,1881xe" filled="true" fillcolor="#000000" stroked="false">
              <v:path arrowok="t"/>
              <v:fill type="solid"/>
            </v:shape>
            <v:shape style="position:absolute;left:2990;top:295;width:317;height:1599" coordorigin="2990,295" coordsize="317,1599" path="m3004,295l2990,295,2990,308,3004,308,3004,295xm3031,295l3017,295,3017,308,3031,308,3031,295xm3058,295l3044,295,3044,308,3058,308,3058,295xm3085,295l3071,295,3071,308,3085,308,3085,295xm3112,295l3098,295,3098,308,3112,308,3112,295xm3139,295l3125,295,3125,308,3139,308,3139,295xm3166,295l3152,295,3152,308,3166,308,3166,295xm3193,295l3179,295,3179,308,3193,308,3193,295xm3220,295l3206,295,3206,308,3220,308,3220,295xm3247,295l3233,295,3233,308,3247,308,3247,295xm3274,295l3260,295,3260,308,3274,308,3274,295xm3301,295l3287,295,3287,308,3301,308,3301,295xm3307,1881l3294,1881,3294,1894,3307,1894,3307,1881xm3307,1854l3294,1854,3294,1867,3307,1867,3307,1854xm3307,1827l3294,1827,3294,1840,3307,1840,3307,1827xm3307,1800l3294,1800,3294,1813,3307,1813,3307,1800xm3307,1773l3294,1773,3294,1786,3307,1786,3307,1773xm3307,1746l3294,1746,3294,1759,3307,1759,3307,1746xm3307,1719l3294,1719,3294,1732,3307,1732,3307,1719xm3307,1692l3294,1692,3294,1705,3307,1705,3307,1692xm3307,1665l3294,1665,3294,1678,3307,1678,3307,1665xm3307,1638l3294,1638,3294,1651,3307,1651,3307,1638xm3307,1611l3294,1611,3294,1624,3307,1624,3307,1611xm3307,1584l3294,1584,3294,1597,3307,1597,3307,1584xm3307,1557l3294,1557,3294,1570,3307,1570,3307,1557xm3307,1530l3294,1530,3294,1543,3307,1543,3307,1530xm3307,1503l3294,1503,3294,1516,3307,1516,3307,1503xm3307,1476l3294,1476,3294,1489,3307,1489,3307,1476xm3307,1449l3294,1449,3294,1462,3307,1462,3307,1449xm3307,1422l3294,1422,3294,1435,3307,1435,3307,1422xm3307,1395l3294,1395,3294,1408,3307,1408,3307,1395xm3307,1368l3294,1368,3294,1381,3307,1381,3307,1368xm3307,1341l3294,1341,3294,1354,3307,1354,3307,1341xm3307,1314l3294,1314,3294,1327,3307,1327,3307,1314xm3307,1287l3294,1287,3294,1301,3307,1301,3307,1287xm3307,1260l3294,1260,3294,1274,3307,1274,3307,1260xm3307,1233l3294,1233,3294,1247,3307,1247,3307,1233xm3307,1206l3294,1206,3294,1220,3307,1220,3307,1206xm3307,1179l3294,1179,3294,1193,3307,1193,3307,1179xm3307,1152l3294,1152,3294,1166,3307,1166,3307,1152xm3307,1125l3294,1125,3294,1139,3307,1139,3307,1125xm3307,1098l3294,1098,3294,1112,3307,1112,3307,1098xm3307,1071l3294,1071,3294,1085,3307,1085,3307,1071xm3307,1044l3294,1044,3294,1058,3307,1058,3307,1044xm3307,1017l3294,1017,3294,1031,3307,1031,3307,1017xm3307,990l3294,990,3294,1004,3307,1004,3307,990xm3307,963l3294,963,3294,977,3307,977,3307,963xm3307,936l3294,936,3294,950,3307,950,3307,936xm3307,909l3294,909,3294,923,3307,923,3307,909xm3307,882l3294,882,3294,896,3307,896,3307,882xm3307,855l3294,855,3294,869,3307,869,3307,855xm3307,828l3294,828,3294,842,3307,842,3307,828xm3307,801l3294,801,3294,815,3307,815,3307,801xm3307,774l3294,774,3294,788,3307,788,3307,774xm3307,747l3294,747,3294,761,3307,761,3307,747xm3307,720l3294,720,3294,734,3307,734,3307,720xm3307,693l3294,693,3294,707,3307,707,3307,693xm3307,666l3294,666,3294,680,3307,680,3307,666xm3307,639l3294,639,3294,653,3307,653,3307,639xm3307,612l3294,612,3294,626,3307,626,3307,612xm3307,585l3294,585,3294,599,3307,599,3307,585xm3307,558l3294,558,3294,572,3307,572,3307,558xm3307,531l3294,531,3294,545,3307,545,3307,531xm3307,504l3294,504,3294,518,3307,518,3307,504xm3307,477l3294,477,3294,491,3307,491,3307,477xm3307,450l3294,450,3294,464,3307,464,3307,450xm3307,423l3294,423,3294,437,3307,437,3307,423xm3307,396l3294,396,3294,410,3307,410,3307,396xm3307,369l3294,369,3294,383,3307,383,3307,369xm3307,342l3294,342,3294,356,3307,356,3307,342xm3307,315l3294,315,3294,329,3307,329,3307,315xe" filled="true" fillcolor="#000000" stroked="false">
              <v:path arrowok="t"/>
              <v:fill type="solid"/>
            </v:shape>
            <v:rect style="position:absolute;left:2990;top:295;width:14;height:13" filled="true" fillcolor="#000000" stroked="false">
              <v:fill type="solid"/>
            </v:rect>
            <v:shape style="position:absolute;left:3455;top:1212;width:662;height:230" type="#_x0000_t75" stroked="false">
              <v:imagedata r:id="rId203" o:title=""/>
            </v:shape>
            <v:shape style="position:absolute;left:3455;top:1643;width:662;height:231" type="#_x0000_t75" stroked="false">
              <v:imagedata r:id="rId204" o:title=""/>
            </v:shape>
            <v:shape style="position:absolute;left:3455;top:2075;width:662;height:231" type="#_x0000_t75" stroked="false">
              <v:imagedata r:id="rId204" o:title=""/>
            </v:shape>
            <v:shape style="position:absolute;left:3085;top:1274;width:108;height:107" coordorigin="3085,1274" coordsize="108,107" path="m3139,1274l3118,1278,3101,1290,3089,1307,3085,1328,3089,1349,3101,1366,3118,1377,3139,1381,3160,1377,3177,1366,3189,1349,3193,1328,3189,1307,3177,1290,3160,1278,3139,1274xe" filled="true" fillcolor="#ffffff" stroked="false">
              <v:path arrowok="t"/>
              <v:fill type="solid"/>
            </v:shape>
            <v:shape style="position:absolute;left:3085;top:1274;width:108;height:107" coordorigin="3085,1274" coordsize="108,107" path="m3139,1274l3118,1278,3101,1290,3089,1307,3085,1328,3089,1349,3101,1366,3118,1377,3139,1381,3160,1377,3177,1366,3189,1349,3193,1328,3189,1307,3177,1290,3160,1278,3139,1274xe" filled="false" stroked="true" strokeweight=".75pt" strokecolor="#000000">
              <v:path arrowok="t"/>
              <v:stroke dashstyle="solid"/>
            </v:shape>
            <v:shape style="position:absolute;left:3085;top:1705;width:108;height:108" coordorigin="3085,1705" coordsize="108,108" path="m3139,1705l3118,1709,3101,1721,3089,1738,3085,1759,3089,1780,3101,1797,3118,1809,3139,1813,3160,1809,3177,1797,3189,1780,3193,1759,3189,1738,3177,1721,3160,1709,3139,1705xe" filled="true" fillcolor="#ffffff" stroked="false">
              <v:path arrowok="t"/>
              <v:fill type="solid"/>
            </v:shape>
            <v:shape style="position:absolute;left:3085;top:1705;width:108;height:108" coordorigin="3085,1705" coordsize="108,108" path="m3139,1705l3118,1709,3101,1721,3089,1738,3085,1759,3089,1780,3101,1797,3118,1809,3139,1813,3160,1809,3177,1797,3189,1780,3193,1759,3189,1738,3177,1721,3160,1709,3139,1705xe" filled="false" stroked="true" strokeweight=".75pt" strokecolor="#000000">
              <v:path arrowok="t"/>
              <v:stroke dashstyle="solid"/>
            </v:shape>
            <v:shape style="position:absolute;left:3085;top:2137;width:108;height:108" coordorigin="3085,2137" coordsize="108,108" path="m3139,2137l3118,2141,3101,2153,3089,2170,3085,2191,3089,2212,3101,2229,3118,2241,3139,2245,3160,2241,3177,2229,3189,2212,3193,2191,3189,2170,3177,2153,3160,2141,3139,2137xe" filled="true" fillcolor="#ffffff" stroked="false">
              <v:path arrowok="t"/>
              <v:fill type="solid"/>
            </v:shape>
            <v:shape style="position:absolute;left:3085;top:2137;width:108;height:108" coordorigin="3085,2137" coordsize="108,108" path="m3139,2137l3118,2141,3101,2153,3089,2170,3085,2191,3089,2212,3101,2229,3118,2241,3139,2245,3160,2241,3177,2229,3189,2212,3193,2191,3189,2170,3177,2153,3160,2141,3139,2137xe" filled="false" stroked="true" strokeweight=".75pt" strokecolor="#000000">
              <v:path arrowok="t"/>
              <v:stroke dashstyle="solid"/>
            </v:shape>
            <v:shape style="position:absolute;left:3085;top:842;width:108;height:108" coordorigin="3085,842" coordsize="108,108" path="m3139,842l3118,846,3101,858,3089,875,3085,896,3089,917,3101,934,3118,946,3139,950,3160,946,3177,934,3189,917,3193,896,3189,875,3177,858,3160,846,3139,842xe" filled="true" fillcolor="#ffffff" stroked="false">
              <v:path arrowok="t"/>
              <v:fill type="solid"/>
            </v:shape>
            <v:shape style="position:absolute;left:3085;top:842;width:108;height:108" coordorigin="3085,842" coordsize="108,108" path="m3139,842l3118,846,3101,858,3089,875,3085,896,3089,917,3101,934,3118,946,3139,950,3160,946,3177,934,3189,917,3193,896,3189,875,3177,858,3160,846,3139,842xe" filled="false" stroked="true" strokeweight=".75pt" strokecolor="#000000">
              <v:path arrowok="t"/>
              <v:stroke dashstyle="solid"/>
            </v:shape>
            <v:shape style="position:absolute;left:3085;top:2569;width:108;height:108" coordorigin="3085,2569" coordsize="108,108" path="m3139,2569l3118,2573,3101,2585,3089,2602,3085,2623,3089,2644,3101,2661,3118,2673,3139,2677,3160,2673,3177,2661,3189,2644,3193,2623,3189,2602,3177,2585,3160,2573,3139,2569xe" filled="true" fillcolor="#ffffff" stroked="false">
              <v:path arrowok="t"/>
              <v:fill type="solid"/>
            </v:shape>
            <v:shape style="position:absolute;left:3085;top:2569;width:108;height:108" coordorigin="3085,2569" coordsize="108,108" path="m3139,2569l3118,2573,3101,2585,3089,2602,3085,2623,3089,2644,3101,2661,3118,2673,3139,2677,3160,2673,3177,2661,3189,2644,3193,2623,3189,2602,3177,2585,3160,2573,3139,2569xe" filled="false" stroked="true" strokeweight=".75pt" strokecolor="#000000">
              <v:path arrowok="t"/>
              <v:stroke dashstyle="solid"/>
            </v:shape>
            <v:shape style="position:absolute;left:3085;top:410;width:108;height:108" coordorigin="3085,410" coordsize="108,108" path="m3139,410l3118,414,3101,426,3089,443,3085,464,3089,485,3101,502,3118,514,3139,518,3160,514,3177,502,3189,485,3193,464,3189,443,3177,426,3160,414,3139,410xe" filled="true" fillcolor="#ffffff" stroked="false">
              <v:path arrowok="t"/>
              <v:fill type="solid"/>
            </v:shape>
            <v:shape style="position:absolute;left:3085;top:410;width:108;height:108" coordorigin="3085,410" coordsize="108,108" path="m3139,410l3118,414,3101,426,3089,443,3085,464,3089,485,3101,502,3118,514,3139,518,3160,514,3177,502,3189,485,3193,464,3189,443,3177,426,3160,414,3139,410xe" filled="false" stroked="true" strokeweight=".75pt" strokecolor="#000000">
              <v:path arrowok="t"/>
              <v:stroke dashstyle="solid"/>
            </v:shape>
            <v:line style="position:absolute" from="3193,464" to="3726,465" stroked="true" strokeweight="1.0pt" strokecolor="#000000">
              <v:stroke dashstyle="solid"/>
            </v:line>
            <v:line style="position:absolute" from="7083,619" to="7083,2947" stroked="true" strokeweight="1.001000pt" strokecolor="#000000">
              <v:stroke dashstyle="shortdash"/>
            </v:line>
            <v:shape style="position:absolute;left:7024;top:1273;width:111;height:110" type="#_x0000_t75" stroked="false">
              <v:imagedata r:id="rId205" o:title=""/>
            </v:shape>
            <v:shape style="position:absolute;left:7024;top:2136;width:111;height:111" type="#_x0000_t75" stroked="false">
              <v:imagedata r:id="rId206" o:title=""/>
            </v:shape>
            <v:rect style="position:absolute;left:7147;top:612;width:1498;height:20" filled="true" fillcolor="#000000" stroked="false">
              <v:fill type="solid"/>
            </v:rect>
            <v:rect style="position:absolute;left:7080;top:612;width:7;height:20" filled="true" fillcolor="#000000" stroked="false">
              <v:fill type="solid"/>
            </v:rect>
            <v:shape style="position:absolute;left:7024;top:1704;width:111;height:111" type="#_x0000_t75" stroked="false">
              <v:imagedata r:id="rId206" o:title=""/>
            </v:shape>
            <v:shape style="position:absolute;left:7024;top:841;width:111;height:111" type="#_x0000_t75" stroked="false">
              <v:imagedata r:id="rId206" o:title=""/>
            </v:shape>
            <v:line style="position:absolute" from="7083,619" to="7083,2947" stroked="true" strokeweight="1.001000pt" strokecolor="#000000">
              <v:stroke dashstyle="shortdash"/>
            </v:line>
            <v:shape style="position:absolute;left:7018;top:1266;width:123;height:122" type="#_x0000_t75" stroked="false">
              <v:imagedata r:id="rId207" o:title=""/>
            </v:shape>
            <v:shape style="position:absolute;left:7018;top:2129;width:123;height:123" type="#_x0000_t75" stroked="false">
              <v:imagedata r:id="rId208" o:title=""/>
            </v:shape>
            <v:rect style="position:absolute;left:7147;top:612;width:1498;height:20" filled="true" fillcolor="#000000" stroked="false">
              <v:fill type="solid"/>
            </v:rect>
            <v:rect style="position:absolute;left:7080;top:612;width:7;height:20" filled="true" fillcolor="#000000" stroked="false">
              <v:fill type="solid"/>
            </v:rect>
            <v:shape style="position:absolute;left:7018;top:1697;width:123;height:123" type="#_x0000_t75" stroked="false">
              <v:imagedata r:id="rId209" o:title=""/>
            </v:shape>
            <v:shape style="position:absolute;left:7018;top:834;width:123;height:123" type="#_x0000_t75" stroked="false">
              <v:imagedata r:id="rId209" o:title=""/>
            </v:shape>
            <v:shape style="position:absolute;left:6452;top:869;width:54;height:54" coordorigin="6452,869" coordsize="54,54" path="m6494,869l6479,869,6464,869,6452,881,6452,911,6464,923,6494,923,6506,911,6506,881,6494,869xe" filled="true" fillcolor="#000000" stroked="false">
              <v:path arrowok="t"/>
              <v:fill type="solid"/>
            </v:shape>
            <v:shape style="position:absolute;left:6452;top:869;width:54;height:54" coordorigin="6452,869" coordsize="54,54" path="m6479,869l6464,869,6452,881,6452,896,6452,911,6464,923,6479,923,6494,923,6506,911,6506,896,6506,881,6494,869,6479,869xe" filled="false" stroked="true" strokeweight=".12pt" strokecolor="#000000">
              <v:path arrowok="t"/>
              <v:stroke dashstyle="solid"/>
            </v:shape>
            <v:shape style="position:absolute;left:6452;top:869;width:54;height:54" coordorigin="6452,869" coordsize="54,54" path="m6494,869l6479,869,6464,869,6452,881,6452,911,6464,923,6494,923,6506,911,6506,881,6494,869xe" filled="true" fillcolor="#000000" stroked="false">
              <v:path arrowok="t"/>
              <v:fill type="solid"/>
            </v:shape>
            <v:shape style="position:absolute;left:6452;top:869;width:54;height:54" coordorigin="6452,869" coordsize="54,54" path="m6479,869l6464,869,6452,881,6452,896,6452,911,6464,923,6479,923,6494,923,6506,911,6506,896,6506,881,6494,869,6479,869xe" filled="false" stroked="true" strokeweight=".12pt" strokecolor="#000000">
              <v:path arrowok="t"/>
              <v:stroke dashstyle="solid"/>
            </v:shape>
            <v:line style="position:absolute" from="3206,896" to="7026,897" stroked="true" strokeweight="1.0pt" strokecolor="#000000">
              <v:stroke dashstyle="solid"/>
            </v:line>
            <v:line style="position:absolute" from="3193,1319" to="3467,1320" stroked="true" strokeweight="1pt" strokecolor="#000000">
              <v:stroke dashstyle="solid"/>
            </v:line>
            <v:shape style="position:absolute;left:4886;top:1301;width:54;height:53" coordorigin="4886,1301" coordsize="54,53" path="m4928,1301l4913,1301,4898,1301,4886,1313,4886,1342,4898,1354,4928,1354,4940,1342,4940,1313,4928,1301xe" filled="true" fillcolor="#000000" stroked="false">
              <v:path arrowok="t"/>
              <v:fill type="solid"/>
            </v:shape>
            <v:shape style="position:absolute;left:4886;top:1301;width:54;height:53" coordorigin="4886,1301" coordsize="54,53" path="m4913,1301l4898,1301,4886,1313,4886,1328,4886,1342,4898,1354,4913,1354,4928,1354,4940,1342,4940,1328,4940,1313,4928,1301,4913,1301xe" filled="false" stroked="true" strokeweight=".12pt" strokecolor="#000000">
              <v:path arrowok="t"/>
              <v:stroke dashstyle="solid"/>
            </v:shape>
            <v:shape style="position:absolute;left:4886;top:1301;width:54;height:53" coordorigin="4886,1301" coordsize="54,53" path="m4928,1301l4913,1301,4898,1301,4886,1313,4886,1342,4898,1354,4928,1354,4940,1342,4940,1313,4928,1301xe" filled="true" fillcolor="#000000" stroked="false">
              <v:path arrowok="t"/>
              <v:fill type="solid"/>
            </v:shape>
            <v:shape style="position:absolute;left:4886;top:1301;width:54;height:53" coordorigin="4886,1301" coordsize="54,53" path="m4913,1301l4898,1301,4886,1313,4886,1328,4886,1342,4898,1354,4913,1354,4928,1354,4940,1342,4940,1328,4940,1313,4928,1301,4913,1301xe" filled="false" stroked="true" strokeweight=".12pt" strokecolor="#000000">
              <v:path arrowok="t"/>
              <v:stroke dashstyle="solid"/>
            </v:shape>
            <v:shape style="position:absolute;left:5028;top:1301;width:54;height:53" coordorigin="5028,1301" coordsize="54,53" path="m5070,1301l5055,1301,5040,1301,5028,1313,5028,1342,5040,1354,5070,1354,5082,1342,5082,1313,5070,1301xe" filled="true" fillcolor="#000000" stroked="false">
              <v:path arrowok="t"/>
              <v:fill type="solid"/>
            </v:shape>
            <v:shape style="position:absolute;left:5028;top:1301;width:54;height:53" coordorigin="5028,1301" coordsize="54,53" path="m5055,1301l5040,1301,5028,1313,5028,1328,5028,1342,5040,1354,5055,1354,5070,1354,5082,1342,5082,1328,5082,1313,5070,1301,5055,1301xe" filled="false" stroked="true" strokeweight=".12pt" strokecolor="#000000">
              <v:path arrowok="t"/>
              <v:stroke dashstyle="solid"/>
            </v:shape>
            <v:shape style="position:absolute;left:5028;top:1301;width:54;height:53" coordorigin="5028,1301" coordsize="54,53" path="m5070,1301l5055,1301,5040,1301,5028,1313,5028,1342,5040,1354,5070,1354,5082,1342,5082,1313,5070,1301xe" filled="true" fillcolor="#000000" stroked="false">
              <v:path arrowok="t"/>
              <v:fill type="solid"/>
            </v:shape>
            <v:shape style="position:absolute;left:5028;top:1301;width:54;height:53" coordorigin="5028,1301" coordsize="54,53" path="m5055,1301l5040,1301,5028,1313,5028,1328,5028,1342,5040,1354,5055,1354,5070,1354,5082,1342,5082,1328,5082,1313,5070,1301,5055,1301xe" filled="false" stroked="true" strokeweight=".12pt" strokecolor="#000000">
              <v:path arrowok="t"/>
              <v:stroke dashstyle="solid"/>
            </v:shape>
            <v:line style="position:absolute" from="4106,1330" to="7029,1329" stroked="true" strokeweight="1.0pt" strokecolor="#000000">
              <v:stroke dashstyle="solid"/>
            </v:line>
            <v:shape style="position:absolute;left:5426;top:1732;width:54;height:54" coordorigin="5426,1732" coordsize="54,54" path="m5468,1732l5453,1732,5438,1732,5426,1744,5426,1774,5438,1786,5468,1786,5480,1774,5480,1744,5468,1732xe" filled="true" fillcolor="#000000" stroked="false">
              <v:path arrowok="t"/>
              <v:fill type="solid"/>
            </v:shape>
            <v:shape style="position:absolute;left:5426;top:1732;width:54;height:54" coordorigin="5426,1732" coordsize="54,54" path="m5453,1732l5438,1732,5426,1744,5426,1759,5426,1774,5438,1786,5453,1786,5468,1786,5480,1774,5480,1759,5480,1744,5468,1732,5453,1732xe" filled="false" stroked="true" strokeweight=".12pt" strokecolor="#000000">
              <v:path arrowok="t"/>
              <v:stroke dashstyle="solid"/>
            </v:shape>
            <v:shape style="position:absolute;left:5426;top:1732;width:54;height:54" coordorigin="5426,1732" coordsize="54,54" path="m5468,1732l5453,1732,5438,1732,5426,1744,5426,1774,5438,1786,5468,1786,5480,1774,5480,1744,5468,1732xe" filled="true" fillcolor="#000000" stroked="false">
              <v:path arrowok="t"/>
              <v:fill type="solid"/>
            </v:shape>
            <v:shape style="position:absolute;left:5426;top:1732;width:54;height:54" coordorigin="5426,1732" coordsize="54,54" path="m5453,1732l5438,1732,5426,1744,5426,1759,5426,1774,5438,1786,5453,1786,5468,1786,5480,1774,5480,1759,5480,1744,5468,1732,5453,1732xe" filled="false" stroked="true" strokeweight=".12pt" strokecolor="#000000">
              <v:path arrowok="t"/>
              <v:stroke dashstyle="solid"/>
            </v:shape>
            <v:shape style="position:absolute;left:5298;top:1732;width:54;height:54" coordorigin="5298,1732" coordsize="54,54" path="m5340,1732l5325,1732,5310,1732,5298,1744,5298,1774,5310,1786,5340,1786,5352,1774,5352,1744,5340,1732xe" filled="true" fillcolor="#000000" stroked="false">
              <v:path arrowok="t"/>
              <v:fill type="solid"/>
            </v:shape>
            <v:shape style="position:absolute;left:5298;top:1732;width:54;height:54" coordorigin="5298,1732" coordsize="54,54" path="m5325,1732l5310,1732,5298,1744,5298,1759,5298,1774,5310,1786,5325,1786,5340,1786,5352,1774,5352,1759,5352,1744,5340,1732,5325,1732xe" filled="false" stroked="true" strokeweight=".12pt" strokecolor="#000000">
              <v:path arrowok="t"/>
              <v:stroke dashstyle="solid"/>
            </v:shape>
            <v:shape style="position:absolute;left:5298;top:1732;width:54;height:54" coordorigin="5298,1732" coordsize="54,54" path="m5340,1732l5325,1732,5310,1732,5298,1744,5298,1774,5310,1786,5340,1786,5352,1774,5352,1744,5340,1732xe" filled="true" fillcolor="#000000" stroked="false">
              <v:path arrowok="t"/>
              <v:fill type="solid"/>
            </v:shape>
            <v:shape style="position:absolute;left:5298;top:1732;width:54;height:54" coordorigin="5298,1732" coordsize="54,54" path="m5325,1732l5310,1732,5298,1744,5298,1759,5298,1774,5310,1786,5325,1786,5340,1786,5352,1774,5352,1759,5352,1744,5340,1732,5325,1732xe" filled="false" stroked="true" strokeweight=".12pt" strokecolor="#000000">
              <v:path arrowok="t"/>
              <v:stroke dashstyle="solid"/>
            </v:shape>
            <v:line style="position:absolute" from="4121,1756" to="7044,1755" stroked="true" strokeweight="1.0pt" strokecolor="#000000">
              <v:stroke dashstyle="solid"/>
            </v:line>
            <v:shape style="position:absolute;left:5919;top:2158;width:54;height:54" coordorigin="5919,2158" coordsize="54,54" path="m5961,2158l5946,2158,5931,2158,5919,2170,5919,2200,5931,2212,5961,2212,5973,2200,5973,2170,5961,2158xe" filled="true" fillcolor="#000000" stroked="false">
              <v:path arrowok="t"/>
              <v:fill type="solid"/>
            </v:shape>
            <v:shape style="position:absolute;left:5919;top:2158;width:54;height:54" coordorigin="5919,2158" coordsize="54,54" path="m5946,2158l5931,2158,5919,2170,5919,2185,5919,2200,5931,2212,5946,2212,5961,2212,5973,2200,5973,2185,5973,2170,5961,2158,5946,2158xe" filled="false" stroked="true" strokeweight=".12pt" strokecolor="#000000">
              <v:path arrowok="t"/>
              <v:stroke dashstyle="solid"/>
            </v:shape>
            <v:shape style="position:absolute;left:5919;top:2158;width:54;height:54" coordorigin="5919,2158" coordsize="54,54" path="m5961,2158l5946,2158,5931,2158,5919,2170,5919,2200,5931,2212,5961,2212,5973,2200,5973,2170,5961,2158xe" filled="true" fillcolor="#000000" stroked="false">
              <v:path arrowok="t"/>
              <v:fill type="solid"/>
            </v:shape>
            <v:shape style="position:absolute;left:5919;top:2158;width:54;height:54" coordorigin="5919,2158" coordsize="54,54" path="m5946,2158l5931,2158,5919,2170,5919,2185,5919,2200,5931,2212,5946,2212,5961,2212,5973,2200,5973,2185,5973,2170,5961,2158,5946,2158xe" filled="false" stroked="true" strokeweight=".12pt" strokecolor="#000000">
              <v:path arrowok="t"/>
              <v:stroke dashstyle="solid"/>
            </v:shape>
            <v:shape style="position:absolute;left:5568;top:2164;width:54;height:54" coordorigin="5568,2164" coordsize="54,54" path="m5610,2164l5595,2164,5580,2164,5568,2176,5568,2206,5580,2218,5610,2218,5622,2206,5622,2176,5610,2164xe" filled="true" fillcolor="#000000" stroked="false">
              <v:path arrowok="t"/>
              <v:fill type="solid"/>
            </v:shape>
            <v:shape style="position:absolute;left:5568;top:2164;width:54;height:54" coordorigin="5568,2164" coordsize="54,54" path="m5595,2164l5580,2164,5568,2176,5568,2191,5568,2206,5580,2218,5595,2218,5610,2218,5622,2206,5622,2191,5622,2176,5610,2164,5595,2164xe" filled="false" stroked="true" strokeweight=".12pt" strokecolor="#000000">
              <v:path arrowok="t"/>
              <v:stroke dashstyle="solid"/>
            </v:shape>
            <v:shape style="position:absolute;left:5568;top:2164;width:54;height:54" coordorigin="5568,2164" coordsize="54,54" path="m5610,2164l5595,2164,5580,2164,5568,2176,5568,2206,5580,2218,5610,2218,5622,2206,5622,2176,5610,2164xe" filled="true" fillcolor="#000000" stroked="false">
              <v:path arrowok="t"/>
              <v:fill type="solid"/>
            </v:shape>
            <v:shape style="position:absolute;left:5568;top:2164;width:54;height:54" coordorigin="5568,2164" coordsize="54,54" path="m5595,2164l5580,2164,5568,2176,5568,2191,5568,2206,5580,2218,5595,2218,5610,2218,5622,2206,5622,2191,5622,2176,5610,2164,5595,2164xe" filled="false" stroked="true" strokeweight=".12pt" strokecolor="#000000">
              <v:path arrowok="t"/>
              <v:stroke dashstyle="solid"/>
            </v:shape>
            <v:line style="position:absolute" from="4121,2200" to="7030,2199" stroked="true" strokeweight="1pt" strokecolor="#000000">
              <v:stroke dashstyle="solid"/>
            </v:line>
            <v:line style="position:absolute" from="3193,1754" to="3467,1755" stroked="true" strokeweight="1pt" strokecolor="#000000">
              <v:stroke dashstyle="solid"/>
            </v:line>
            <v:line style="position:absolute" from="3193,2189" to="3467,2190" stroked="true" strokeweight="1pt" strokecolor="#000000">
              <v:stroke dashstyle="solid"/>
            </v:line>
            <v:line style="position:absolute" from="3193,2624" to="3740,2625" stroked="true" strokeweight="1pt" strokecolor="#000000">
              <v:stroke dashstyle="solid"/>
            </v:line>
            <v:rect style="position:absolute;left:3716;top:2636;width:24;height:304" filled="true" fillcolor="#818181" stroked="false">
              <v:fill type="solid"/>
            </v:rect>
            <v:rect style="position:absolute;left:3716;top:2623;width:24;height:304" filled="true" fillcolor="#000000" stroked="false">
              <v:fill type="solid"/>
            </v:rect>
            <v:shape style="position:absolute;left:5048;top:518;width:21;height:216" coordorigin="5048,518" coordsize="21,216" path="m5069,720l5048,720,5048,734,5069,734,5069,720xm5069,680l5048,680,5048,700,5069,700,5069,680xm5069,639l5048,639,5048,659,5069,659,5069,639xm5069,599l5048,599,5048,619,5069,619,5069,599xm5069,558l5048,558,5048,578,5069,578,5069,558xm5069,518l5048,518,5048,538,5069,538,5069,518xe" filled="true" fillcolor="#000000" stroked="false">
              <v:path arrowok="t"/>
              <v:fill type="solid"/>
            </v:shape>
            <v:rect style="position:absolute;left:5045;top:785;width:24;height:529" filled="true" fillcolor="#818181" stroked="false">
              <v:fill type="solid"/>
            </v:rect>
            <v:rect style="position:absolute;left:5045;top:769;width:24;height:529" filled="true" fillcolor="#000000" stroked="false">
              <v:fill type="solid"/>
            </v:rect>
            <v:shape style="position:absolute;left:5318;top:538;width:21;height:216" coordorigin="5318,538" coordsize="21,216" path="m5339,740l5318,740,5318,754,5339,754,5339,740xm5339,700l5318,700,5318,720,5339,720,5339,700xm5339,659l5318,659,5318,680,5339,680,5339,659xm5339,619l5318,619,5318,639,5339,639,5339,619xm5339,578l5318,578,5318,599,5339,599,5339,578xm5339,538l5318,538,5318,558,5339,558,5339,538xe" filled="true" fillcolor="#000000" stroked="false">
              <v:path arrowok="t"/>
              <v:fill type="solid"/>
            </v:shape>
            <v:rect style="position:absolute;left:5315;top:797;width:24;height:937" filled="true" fillcolor="#818181" stroked="false">
              <v:fill type="solid"/>
            </v:rect>
            <v:rect style="position:absolute;left:5315;top:769;width:24;height:937" filled="true" fillcolor="#000000" stroked="false">
              <v:fill type="solid"/>
            </v:rect>
            <v:shape style="position:absolute;left:5588;top:538;width:20;height:216" coordorigin="5588,538" coordsize="20,216" path="m5608,740l5588,740,5588,754,5608,754,5608,740xm5608,700l5588,700,5588,720,5608,720,5608,700xm5608,659l5588,659,5588,680,5608,680,5608,659xm5608,619l5588,619,5588,639,5608,639,5608,619xm5608,578l5588,578,5588,599,5608,599,5608,578xm5608,538l5588,538,5588,558,5608,558,5608,538xe" filled="true" fillcolor="#000000" stroked="false">
              <v:path arrowok="t"/>
              <v:fill type="solid"/>
            </v:shape>
            <v:rect style="position:absolute;left:5585;top:810;width:24;height:1356" filled="true" fillcolor="#818181" stroked="false">
              <v:fill type="solid"/>
            </v:rect>
            <v:rect style="position:absolute;left:5585;top:769;width:24;height:1356" filled="true" fillcolor="#000000" stroked="false">
              <v:fill type="solid"/>
            </v:rect>
            <v:shape style="position:absolute;left:6370;top:2406;width:231;height:602" type="#_x0000_t75" stroked="false">
              <v:imagedata r:id="rId210" o:title=""/>
            </v:shape>
            <v:rect style="position:absolute;left:6475;top:962;width:24;height:1439" filled="true" fillcolor="#818181" stroked="false">
              <v:fill type="solid"/>
            </v:rect>
            <v:rect style="position:absolute;left:6475;top:918;width:24;height:1439" filled="true" fillcolor="#000000" stroked="false">
              <v:fill type="solid"/>
            </v:rect>
            <v:line style="position:absolute" from="4758,2461" to="5082,2462" stroked="true" strokeweight=".75pt" strokecolor="#000000">
              <v:stroke dashstyle="solid"/>
            </v:line>
            <v:line style="position:absolute" from="4758,2407" to="5082,2408" stroked="true" strokeweight=".75pt" strokecolor="#000000">
              <v:stroke dashstyle="solid"/>
            </v:line>
            <v:line style="position:absolute" from="4758,2461" to="5082,2462" stroked="true" strokeweight=".75pt" strokecolor="#000000">
              <v:stroke dashstyle="solid"/>
            </v:line>
            <v:line style="position:absolute" from="4758,2407" to="5082,2408" stroked="true" strokeweight=".75pt" strokecolor="#000000">
              <v:stroke dashstyle="solid"/>
            </v:line>
            <v:rect style="position:absolute;left:4900;top:1355;width:24;height:1062" filled="true" fillcolor="#818181" stroked="false">
              <v:fill type="solid"/>
            </v:rect>
            <v:rect style="position:absolute;left:4900;top:1323;width:24;height:1062" filled="true" fillcolor="#000000" stroked="false">
              <v:fill type="solid"/>
            </v:rect>
            <v:line style="position:absolute" from="5298,2461" to="5622,2462" stroked="true" strokeweight=".75pt" strokecolor="#000000">
              <v:stroke dashstyle="solid"/>
            </v:line>
            <v:line style="position:absolute" from="5298,2407" to="5622,2408" stroked="true" strokeweight=".75pt" strokecolor="#000000">
              <v:stroke dashstyle="solid"/>
            </v:line>
            <v:line style="position:absolute" from="5298,2461" to="5622,2462" stroked="true" strokeweight=".75pt" strokecolor="#000000">
              <v:stroke dashstyle="solid"/>
            </v:line>
            <v:line style="position:absolute" from="5298,2407" to="5622,2408" stroked="true" strokeweight=".75pt" strokecolor="#000000">
              <v:stroke dashstyle="solid"/>
            </v:line>
            <v:rect style="position:absolute;left:5440;top:1777;width:24;height:643" filled="true" fillcolor="#818181" stroked="false">
              <v:fill type="solid"/>
            </v:rect>
            <v:rect style="position:absolute;left:5440;top:1758;width:24;height:643" filled="true" fillcolor="#000000" stroked="false">
              <v:fill type="solid"/>
            </v:rect>
            <v:line style="position:absolute" from="5784,2468" to="6108,2469" stroked="true" strokeweight=".75pt" strokecolor="#000000">
              <v:stroke dashstyle="solid"/>
            </v:line>
            <v:line style="position:absolute" from="5784,2414" to="6108,2415" stroked="true" strokeweight=".75pt" strokecolor="#000000">
              <v:stroke dashstyle="solid"/>
            </v:line>
            <v:line style="position:absolute" from="5784,2468" to="6108,2469" stroked="true" strokeweight=".75pt" strokecolor="#000000">
              <v:stroke dashstyle="solid"/>
            </v:line>
            <v:line style="position:absolute" from="5784,2414" to="6108,2415" stroked="true" strokeweight=".75pt" strokecolor="#000000">
              <v:stroke dashstyle="solid"/>
            </v:line>
            <v:rect style="position:absolute;left:5935;top:2200;width:24;height:223" filled="true" fillcolor="#818181" stroked="false">
              <v:fill type="solid"/>
            </v:rect>
            <v:rect style="position:absolute;left:5935;top:2193;width:24;height:223" filled="true" fillcolor="#000000" stroked="false">
              <v:fill type="solid"/>
            </v:rect>
            <v:rect style="position:absolute;left:5440;top:2479;width:24;height:531" filled="true" fillcolor="#818181" stroked="false">
              <v:fill type="solid"/>
            </v:rect>
            <v:rect style="position:absolute;left:5440;top:2463;width:24;height:531" filled="true" fillcolor="#000000" stroked="false">
              <v:fill type="solid"/>
            </v:rect>
            <v:rect style="position:absolute;left:4900;top:2479;width:24;height:531" filled="true" fillcolor="#818181" stroked="false">
              <v:fill type="solid"/>
            </v:rect>
            <v:rect style="position:absolute;left:4900;top:2463;width:24;height:531" filled="true" fillcolor="#000000" stroked="false">
              <v:fill type="solid"/>
            </v:rect>
            <v:rect style="position:absolute;left:5935;top:2479;width:24;height:531" filled="true" fillcolor="#818181" stroked="false">
              <v:fill type="solid"/>
            </v:rect>
            <v:rect style="position:absolute;left:5935;top:2463;width:24;height:531" filled="true" fillcolor="#000000" stroked="false">
              <v:fill type="solid"/>
            </v:rect>
            <v:shape style="position:absolute;left:3619;top:2912;width:211;height:159" type="#_x0000_t75" stroked="false">
              <v:imagedata r:id="rId211" o:title=""/>
            </v:shape>
            <v:shape style="position:absolute;left:4804;top:2975;width:211;height:159" type="#_x0000_t75" stroked="false">
              <v:imagedata r:id="rId212" o:title=""/>
            </v:shape>
            <v:shape style="position:absolute;left:5352;top:2998;width:196;height:144" coordorigin="5352,2998" coordsize="196,144" path="m5450,3142l5352,2998,5548,2998,5450,3142xe" filled="false" stroked="true" strokeweight=".75pt" strokecolor="#000000">
              <v:path arrowok="t"/>
              <v:stroke dashstyle="solid"/>
            </v:shape>
            <v:shape style="position:absolute;left:5847;top:3013;width:196;height:144" coordorigin="5847,3013" coordsize="196,144" path="m5945,3157l5847,3013,6043,3013,5945,3157xe" filled="false" stroked="true" strokeweight=".75pt" strokecolor="#000000">
              <v:path arrowok="t"/>
              <v:stroke dashstyle="solid"/>
            </v:shape>
            <v:shape style="position:absolute;left:6387;top:3013;width:196;height:144" coordorigin="6387,3013" coordsize="196,144" path="m6485,3157l6387,3013,6583,3013,6485,3157xe" filled="false" stroked="true" strokeweight=".75pt" strokecolor="#000000">
              <v:path arrowok="t"/>
              <v:stroke dashstyle="solid"/>
            </v:shape>
            <v:shape style="position:absolute;left:3760;top:372;width:592;height:202" type="#_x0000_t202" filled="false" stroked="false">
              <v:textbox inset="0,0,0,0">
                <w:txbxContent>
                  <w:p>
                    <w:pPr>
                      <w:spacing w:line="201" w:lineRule="exact" w:before="0"/>
                      <w:ind w:left="0" w:right="0" w:firstLine="0"/>
                      <w:jc w:val="left"/>
                      <w:rPr>
                        <w:sz w:val="18"/>
                      </w:rPr>
                    </w:pPr>
                    <w:r>
                      <w:rPr>
                        <w:color w:val="FF0000"/>
                        <w:sz w:val="18"/>
                      </w:rPr>
                      <w:t>V3P3D</w:t>
                    </w:r>
                  </w:p>
                </w:txbxContent>
              </v:textbox>
              <w10:wrap type="none"/>
            </v:shape>
            <v:shape style="position:absolute;left:5028;top:314;width:774;height:202" type="#_x0000_t202" filled="false" stroked="false">
              <v:textbox inset="0,0,0,0">
                <w:txbxContent>
                  <w:p>
                    <w:pPr>
                      <w:spacing w:line="201" w:lineRule="exact" w:before="0"/>
                      <w:ind w:left="0" w:right="0" w:firstLine="0"/>
                      <w:jc w:val="left"/>
                      <w:rPr>
                        <w:sz w:val="18"/>
                      </w:rPr>
                    </w:pPr>
                    <w:r>
                      <w:rPr>
                        <w:sz w:val="18"/>
                      </w:rPr>
                      <w:t>(optional)</w:t>
                    </w:r>
                  </w:p>
                </w:txbxContent>
              </v:textbox>
              <w10:wrap type="none"/>
            </v:shape>
            <v:shape style="position:absolute;left:7070;top:347;width:853;height:223" type="#_x0000_t202" filled="false" stroked="false">
              <v:textbox inset="0,0,0,0">
                <w:txbxContent>
                  <w:p>
                    <w:pPr>
                      <w:spacing w:line="223" w:lineRule="exact" w:before="0"/>
                      <w:ind w:left="0" w:right="0" w:firstLine="0"/>
                      <w:jc w:val="left"/>
                      <w:rPr>
                        <w:sz w:val="20"/>
                      </w:rPr>
                    </w:pPr>
                    <w:r>
                      <w:rPr>
                        <w:sz w:val="20"/>
                      </w:rPr>
                      <w:t>71M6543</w:t>
                    </w:r>
                  </w:p>
                </w:txbxContent>
              </v:textbox>
              <w10:wrap type="none"/>
            </v:shape>
            <v:shape style="position:absolute;left:3672;top:945;width:407;height:202" type="#_x0000_t202" filled="false" stroked="false">
              <v:textbox inset="0,0,0,0">
                <w:txbxContent>
                  <w:p>
                    <w:pPr>
                      <w:spacing w:line="201" w:lineRule="exact" w:before="0"/>
                      <w:ind w:left="0" w:right="0" w:firstLine="0"/>
                      <w:jc w:val="left"/>
                      <w:rPr>
                        <w:sz w:val="18"/>
                      </w:rPr>
                    </w:pPr>
                    <w:r>
                      <w:rPr>
                        <w:sz w:val="18"/>
                      </w:rPr>
                      <w:t>62 Ω</w:t>
                    </w:r>
                  </w:p>
                </w:txbxContent>
              </v:textbox>
              <w10:wrap type="none"/>
            </v:shape>
            <v:shape style="position:absolute;left:7262;top:804;width:601;height:614" type="#_x0000_t202" filled="false" stroked="false">
              <v:textbox inset="0,0,0,0">
                <w:txbxContent>
                  <w:p>
                    <w:pPr>
                      <w:spacing w:line="201" w:lineRule="exact" w:before="0"/>
                      <w:ind w:left="0" w:right="0" w:firstLine="0"/>
                      <w:jc w:val="left"/>
                      <w:rPr>
                        <w:sz w:val="18"/>
                      </w:rPr>
                    </w:pPr>
                    <w:r>
                      <w:rPr>
                        <w:color w:val="FF0000"/>
                        <w:sz w:val="18"/>
                      </w:rPr>
                      <w:t>ICE_E</w:t>
                    </w:r>
                  </w:p>
                  <w:p>
                    <w:pPr>
                      <w:spacing w:line="240" w:lineRule="auto" w:before="10"/>
                      <w:rPr>
                        <w:sz w:val="17"/>
                      </w:rPr>
                    </w:pPr>
                  </w:p>
                  <w:p>
                    <w:pPr>
                      <w:spacing w:before="0"/>
                      <w:ind w:left="0" w:right="0" w:firstLine="0"/>
                      <w:jc w:val="left"/>
                      <w:rPr>
                        <w:sz w:val="18"/>
                      </w:rPr>
                    </w:pPr>
                    <w:r>
                      <w:rPr>
                        <w:color w:val="FF0000"/>
                        <w:sz w:val="18"/>
                      </w:rPr>
                      <w:t>E_RST</w:t>
                    </w:r>
                  </w:p>
                </w:txbxContent>
              </v:textbox>
              <w10:wrap type="none"/>
            </v:shape>
            <v:shape style="position:absolute;left:4051;top:1485;width:411;height:202" type="#_x0000_t202" filled="false" stroked="false">
              <v:textbox inset="0,0,0,0">
                <w:txbxContent>
                  <w:p>
                    <w:pPr>
                      <w:spacing w:line="201" w:lineRule="exact" w:before="0"/>
                      <w:ind w:left="0" w:right="0" w:firstLine="0"/>
                      <w:jc w:val="left"/>
                      <w:rPr>
                        <w:sz w:val="18"/>
                      </w:rPr>
                    </w:pPr>
                    <w:r>
                      <w:rPr>
                        <w:sz w:val="18"/>
                      </w:rPr>
                      <w:t>62 Ω</w:t>
                    </w:r>
                  </w:p>
                </w:txbxContent>
              </v:textbox>
              <w10:wrap type="none"/>
            </v:shape>
            <v:shape style="position:absolute;left:7262;top:1668;width:700;height:653" type="#_x0000_t202" filled="false" stroked="false">
              <v:textbox inset="0,0,0,0">
                <w:txbxContent>
                  <w:p>
                    <w:pPr>
                      <w:spacing w:line="201" w:lineRule="exact" w:before="0"/>
                      <w:ind w:left="0" w:right="0" w:firstLine="0"/>
                      <w:jc w:val="left"/>
                      <w:rPr>
                        <w:sz w:val="18"/>
                      </w:rPr>
                    </w:pPr>
                    <w:r>
                      <w:rPr>
                        <w:color w:val="FF0000"/>
                        <w:sz w:val="18"/>
                      </w:rPr>
                      <w:t>E_RXT</w:t>
                    </w:r>
                  </w:p>
                  <w:p>
                    <w:pPr>
                      <w:spacing w:line="240" w:lineRule="auto" w:before="2"/>
                      <w:rPr>
                        <w:sz w:val="21"/>
                      </w:rPr>
                    </w:pPr>
                  </w:p>
                  <w:p>
                    <w:pPr>
                      <w:spacing w:before="0"/>
                      <w:ind w:left="0" w:right="0" w:firstLine="0"/>
                      <w:jc w:val="left"/>
                      <w:rPr>
                        <w:sz w:val="18"/>
                      </w:rPr>
                    </w:pPr>
                    <w:r>
                      <w:rPr>
                        <w:color w:val="FF0000"/>
                        <w:sz w:val="18"/>
                      </w:rPr>
                      <w:t>E_TCLK</w:t>
                    </w:r>
                  </w:p>
                </w:txbxContent>
              </v:textbox>
              <w10:wrap type="none"/>
            </v:shape>
            <v:shape style="position:absolute;left:3616;top:2404;width:411;height:202" type="#_x0000_t202" filled="false" stroked="false">
              <v:textbox inset="0,0,0,0">
                <w:txbxContent>
                  <w:p>
                    <w:pPr>
                      <w:spacing w:line="201" w:lineRule="exact" w:before="0"/>
                      <w:ind w:left="0" w:right="0" w:firstLine="0"/>
                      <w:jc w:val="left"/>
                      <w:rPr>
                        <w:sz w:val="18"/>
                      </w:rPr>
                    </w:pPr>
                    <w:r>
                      <w:rPr>
                        <w:sz w:val="18"/>
                      </w:rPr>
                      <w:t>62 Ω</w:t>
                    </w:r>
                  </w:p>
                </w:txbxContent>
              </v:textbox>
              <w10:wrap type="none"/>
            </v:shape>
            <v:shape style="position:absolute;left:4380;top:2541;width:1617;height:202" type="#_x0000_t202" filled="false" stroked="false">
              <v:textbox inset="0,0,0,0">
                <w:txbxContent>
                  <w:p>
                    <w:pPr>
                      <w:spacing w:line="201" w:lineRule="exact" w:before="0"/>
                      <w:ind w:left="0" w:right="0" w:firstLine="0"/>
                      <w:jc w:val="left"/>
                      <w:rPr>
                        <w:sz w:val="18"/>
                      </w:rPr>
                    </w:pPr>
                    <w:r>
                      <w:rPr>
                        <w:sz w:val="18"/>
                      </w:rPr>
                      <w:t>22 pF 22 pF 22 pF</w:t>
                    </w:r>
                  </w:p>
                </w:txbxContent>
              </v:textbox>
              <w10:wrap type="none"/>
            </v:shape>
            <w10:wrap type="none"/>
          </v:group>
        </w:pict>
      </w:r>
      <w:r>
        <w:rPr/>
        <w:t>LCD Segments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7"/>
        </w:rPr>
      </w:pPr>
    </w:p>
    <w:p>
      <w:pPr>
        <w:spacing w:before="93"/>
        <w:ind w:left="62" w:right="204" w:firstLine="0"/>
        <w:jc w:val="center"/>
        <w:rPr>
          <w:b/>
          <w:sz w:val="20"/>
        </w:rPr>
      </w:pPr>
      <w:bookmarkStart w:name="_bookmark200" w:id="409"/>
      <w:bookmarkEnd w:id="409"/>
      <w:r>
        <w:rPr/>
      </w:r>
      <w:r>
        <w:rPr>
          <w:b/>
          <w:sz w:val="20"/>
        </w:rPr>
        <w:t>Figure 37: External Components for the Emulator Interface</w:t>
      </w:r>
    </w:p>
    <w:p>
      <w:pPr>
        <w:pStyle w:val="BodyText"/>
        <w:spacing w:before="1"/>
        <w:rPr>
          <w:b/>
        </w:rPr>
      </w:pPr>
    </w:p>
    <w:p>
      <w:pPr>
        <w:pStyle w:val="ListParagraph"/>
        <w:numPr>
          <w:ilvl w:val="1"/>
          <w:numId w:val="22"/>
        </w:numPr>
        <w:tabs>
          <w:tab w:pos="959" w:val="left" w:leader="none"/>
          <w:tab w:pos="960" w:val="left" w:leader="none"/>
        </w:tabs>
        <w:spacing w:line="240" w:lineRule="auto" w:before="0" w:after="0"/>
        <w:ind w:left="960" w:right="0" w:hanging="720"/>
        <w:jc w:val="left"/>
        <w:rPr>
          <w:b/>
          <w:sz w:val="24"/>
        </w:rPr>
      </w:pPr>
      <w:bookmarkStart w:name="4.12 Flash Programming" w:id="410"/>
      <w:bookmarkEnd w:id="410"/>
      <w:r>
        <w:rPr/>
      </w:r>
      <w:bookmarkStart w:name="_bookmark201" w:id="411"/>
      <w:bookmarkEnd w:id="411"/>
      <w:r>
        <w:rPr/>
      </w:r>
      <w:bookmarkStart w:name="_bookmark201" w:id="412"/>
      <w:bookmarkEnd w:id="412"/>
      <w:r>
        <w:rPr>
          <w:b/>
          <w:sz w:val="24"/>
        </w:rPr>
        <w:t>F</w:t>
      </w:r>
      <w:r>
        <w:rPr>
          <w:b/>
          <w:sz w:val="24"/>
        </w:rPr>
        <w:t>lash</w:t>
      </w:r>
      <w:r>
        <w:rPr>
          <w:b/>
          <w:spacing w:val="-1"/>
          <w:sz w:val="24"/>
        </w:rPr>
        <w:t> </w:t>
      </w:r>
      <w:r>
        <w:rPr>
          <w:b/>
          <w:sz w:val="24"/>
        </w:rPr>
        <w:t>Programming</w:t>
      </w:r>
    </w:p>
    <w:p>
      <w:pPr>
        <w:pStyle w:val="ListParagraph"/>
        <w:numPr>
          <w:ilvl w:val="2"/>
          <w:numId w:val="29"/>
        </w:numPr>
        <w:tabs>
          <w:tab w:pos="961" w:val="left" w:leader="none"/>
        </w:tabs>
        <w:spacing w:line="240" w:lineRule="auto" w:before="120" w:after="0"/>
        <w:ind w:left="960" w:right="0" w:hanging="721"/>
        <w:jc w:val="left"/>
        <w:rPr>
          <w:b/>
          <w:sz w:val="22"/>
        </w:rPr>
      </w:pPr>
      <w:bookmarkStart w:name="4.12.1 Flash Programming via the ICE Por" w:id="413"/>
      <w:bookmarkEnd w:id="413"/>
      <w:r>
        <w:rPr/>
      </w:r>
      <w:bookmarkStart w:name="_bookmark202" w:id="414"/>
      <w:bookmarkEnd w:id="414"/>
      <w:r>
        <w:rPr/>
      </w:r>
      <w:bookmarkStart w:name="_bookmark202" w:id="415"/>
      <w:bookmarkEnd w:id="415"/>
      <w:r>
        <w:rPr>
          <w:b/>
          <w:sz w:val="22"/>
        </w:rPr>
        <w:t>F</w:t>
      </w:r>
      <w:r>
        <w:rPr>
          <w:b/>
          <w:sz w:val="22"/>
        </w:rPr>
        <w:t>lash Programming via the ICE</w:t>
      </w:r>
      <w:r>
        <w:rPr>
          <w:b/>
          <w:spacing w:val="-5"/>
          <w:sz w:val="22"/>
        </w:rPr>
        <w:t> </w:t>
      </w:r>
      <w:r>
        <w:rPr>
          <w:b/>
          <w:sz w:val="22"/>
        </w:rPr>
        <w:t>Port</w:t>
      </w:r>
    </w:p>
    <w:p>
      <w:pPr>
        <w:pStyle w:val="BodyText"/>
        <w:spacing w:before="121"/>
        <w:ind w:left="240" w:right="368"/>
      </w:pPr>
      <w:r>
        <w:rPr/>
        <w:t>Operational or test code can be programmed into the flash memory using either an in-circuit emulator or the Flash Programmer Module (TFP-2) available from Maxim. The flash programming procedure uses the E_RST, E_RXTX, and E_TCLK pins.</w:t>
      </w:r>
    </w:p>
    <w:p>
      <w:pPr>
        <w:pStyle w:val="ListParagraph"/>
        <w:numPr>
          <w:ilvl w:val="2"/>
          <w:numId w:val="29"/>
        </w:numPr>
        <w:tabs>
          <w:tab w:pos="961" w:val="left" w:leader="none"/>
        </w:tabs>
        <w:spacing w:line="240" w:lineRule="auto" w:before="119" w:after="0"/>
        <w:ind w:left="960" w:right="0" w:hanging="721"/>
        <w:jc w:val="left"/>
        <w:rPr>
          <w:b/>
          <w:sz w:val="22"/>
        </w:rPr>
      </w:pPr>
      <w:bookmarkStart w:name="4.12.2 Flash Programming via the SPI Por" w:id="416"/>
      <w:bookmarkEnd w:id="416"/>
      <w:r>
        <w:rPr/>
      </w:r>
      <w:bookmarkStart w:name="_bookmark203" w:id="417"/>
      <w:bookmarkEnd w:id="417"/>
      <w:r>
        <w:rPr/>
      </w:r>
      <w:bookmarkStart w:name="_bookmark203" w:id="418"/>
      <w:bookmarkEnd w:id="418"/>
      <w:r>
        <w:rPr>
          <w:b/>
          <w:sz w:val="22"/>
        </w:rPr>
        <w:t>F</w:t>
      </w:r>
      <w:r>
        <w:rPr>
          <w:b/>
          <w:sz w:val="22"/>
        </w:rPr>
        <w:t>lash Programming via the SPI</w:t>
      </w:r>
      <w:r>
        <w:rPr>
          <w:b/>
          <w:spacing w:val="-3"/>
          <w:sz w:val="22"/>
        </w:rPr>
        <w:t> </w:t>
      </w:r>
      <w:r>
        <w:rPr>
          <w:b/>
          <w:sz w:val="22"/>
        </w:rPr>
        <w:t>Port</w:t>
      </w:r>
    </w:p>
    <w:p>
      <w:pPr>
        <w:pStyle w:val="BodyText"/>
        <w:spacing w:before="121"/>
        <w:ind w:left="240" w:right="417"/>
      </w:pPr>
      <w:r>
        <w:rPr/>
        <w:t>It is possible to erase, read and program the flash memory of the 71M6543 via the SPI port. See </w:t>
      </w:r>
      <w:hyperlink w:history="true" w:anchor="_bookmark138">
        <w:r>
          <w:rPr>
            <w:color w:val="0000FF"/>
          </w:rPr>
          <w:t>2.5.12</w:t>
        </w:r>
      </w:hyperlink>
      <w:r>
        <w:rPr>
          <w:color w:val="0000FF"/>
        </w:rPr>
        <w:t> </w:t>
      </w:r>
      <w:r>
        <w:rPr/>
        <w:t>for a detailed description.</w:t>
      </w:r>
    </w:p>
    <w:p>
      <w:pPr>
        <w:pStyle w:val="BodyText"/>
      </w:pPr>
    </w:p>
    <w:p>
      <w:pPr>
        <w:pStyle w:val="ListParagraph"/>
        <w:numPr>
          <w:ilvl w:val="1"/>
          <w:numId w:val="22"/>
        </w:numPr>
        <w:tabs>
          <w:tab w:pos="959" w:val="left" w:leader="none"/>
          <w:tab w:pos="960" w:val="left" w:leader="none"/>
        </w:tabs>
        <w:spacing w:line="240" w:lineRule="auto" w:before="0" w:after="0"/>
        <w:ind w:left="960" w:right="0" w:hanging="720"/>
        <w:jc w:val="left"/>
        <w:rPr>
          <w:b/>
          <w:sz w:val="24"/>
        </w:rPr>
      </w:pPr>
      <w:bookmarkStart w:name="4.13 MPU Demonstration Code" w:id="419"/>
      <w:bookmarkEnd w:id="419"/>
      <w:r>
        <w:rPr/>
      </w:r>
      <w:bookmarkStart w:name="_bookmark204" w:id="420"/>
      <w:bookmarkEnd w:id="420"/>
      <w:r>
        <w:rPr/>
      </w:r>
      <w:bookmarkStart w:name="_bookmark204" w:id="421"/>
      <w:bookmarkEnd w:id="421"/>
      <w:r>
        <w:rPr>
          <w:b/>
          <w:sz w:val="24"/>
        </w:rPr>
        <w:t>M</w:t>
      </w:r>
      <w:r>
        <w:rPr>
          <w:b/>
          <w:sz w:val="24"/>
        </w:rPr>
        <w:t>PU Demonstration</w:t>
      </w:r>
      <w:r>
        <w:rPr>
          <w:b/>
          <w:spacing w:val="-4"/>
          <w:sz w:val="24"/>
        </w:rPr>
        <w:t> </w:t>
      </w:r>
      <w:r>
        <w:rPr>
          <w:b/>
          <w:sz w:val="24"/>
        </w:rPr>
        <w:t>Code</w:t>
      </w:r>
    </w:p>
    <w:p>
      <w:pPr>
        <w:pStyle w:val="BodyText"/>
        <w:spacing w:before="122"/>
        <w:ind w:left="239" w:right="537"/>
      </w:pPr>
      <w:r>
        <w:rPr/>
        <w:t>All application-specific MPU functions mentioned in </w:t>
      </w:r>
      <w:hyperlink w:history="true" w:anchor="_bookmark171">
        <w:r>
          <w:rPr/>
          <w:t>4 </w:t>
        </w:r>
      </w:hyperlink>
      <w:hyperlink w:history="true" w:anchor="_bookmark171">
        <w:r>
          <w:rPr>
            <w:color w:val="0000FF"/>
          </w:rPr>
          <w:t>Application Information </w:t>
        </w:r>
      </w:hyperlink>
      <w:r>
        <w:rPr/>
        <w:t>are featured in the demonstration C source code supplied by Maxim. The code is available as part of the </w:t>
      </w:r>
      <w:r>
        <w:rPr>
          <w:spacing w:val="-4"/>
        </w:rPr>
        <w:t>Demonstration Kit </w:t>
      </w:r>
      <w:r>
        <w:rPr>
          <w:spacing w:val="-3"/>
        </w:rPr>
        <w:t>for </w:t>
      </w:r>
      <w:r>
        <w:rPr/>
        <w:t>the </w:t>
      </w:r>
      <w:r>
        <w:rPr>
          <w:spacing w:val="-4"/>
        </w:rPr>
        <w:t>71M6543. </w:t>
      </w:r>
      <w:r>
        <w:rPr/>
        <w:t>The </w:t>
      </w:r>
      <w:r>
        <w:rPr>
          <w:spacing w:val="-4"/>
        </w:rPr>
        <w:t>Demonstration Kits </w:t>
      </w:r>
      <w:r>
        <w:rPr>
          <w:spacing w:val="-3"/>
        </w:rPr>
        <w:t>come </w:t>
      </w:r>
      <w:r>
        <w:rPr>
          <w:spacing w:val="-4"/>
        </w:rPr>
        <w:t>with </w:t>
      </w:r>
      <w:r>
        <w:rPr>
          <w:spacing w:val="-3"/>
        </w:rPr>
        <w:t>the </w:t>
      </w:r>
      <w:r>
        <w:rPr>
          <w:spacing w:val="-4"/>
        </w:rPr>
        <w:t>71M6543 preprogrammed </w:t>
      </w:r>
      <w:r>
        <w:rPr/>
        <w:t>with </w:t>
      </w:r>
      <w:r>
        <w:rPr>
          <w:spacing w:val="-3"/>
        </w:rPr>
        <w:t>demonstration </w:t>
      </w:r>
      <w:r>
        <w:rPr/>
        <w:t>firmware and mounted on a </w:t>
      </w:r>
      <w:r>
        <w:rPr>
          <w:spacing w:val="-3"/>
        </w:rPr>
        <w:t>functional </w:t>
      </w:r>
      <w:r>
        <w:rPr/>
        <w:t>sample meter Demo </w:t>
      </w:r>
      <w:r>
        <w:rPr>
          <w:spacing w:val="-3"/>
        </w:rPr>
        <w:t>Board. </w:t>
      </w:r>
      <w:r>
        <w:rPr/>
        <w:t>The Demo Boards allow for quick and efficient evaluation of the IC without having to write firmware or having to supply an in-circuit emulator (ICE).</w:t>
      </w:r>
    </w:p>
    <w:p>
      <w:pPr>
        <w:spacing w:after="0"/>
        <w:sectPr>
          <w:pgSz w:w="12240" w:h="15840"/>
          <w:pgMar w:header="727" w:footer="819" w:top="960" w:bottom="1000" w:left="1200" w:right="1060"/>
        </w:sectPr>
      </w:pPr>
    </w:p>
    <w:p>
      <w:pPr>
        <w:pStyle w:val="BodyText"/>
        <w:spacing w:before="7"/>
        <w:rPr>
          <w:sz w:val="16"/>
        </w:rPr>
      </w:pPr>
    </w:p>
    <w:p>
      <w:pPr>
        <w:pStyle w:val="ListParagraph"/>
        <w:numPr>
          <w:ilvl w:val="1"/>
          <w:numId w:val="22"/>
        </w:numPr>
        <w:tabs>
          <w:tab w:pos="959" w:val="left" w:leader="none"/>
          <w:tab w:pos="960" w:val="left" w:leader="none"/>
        </w:tabs>
        <w:spacing w:line="240" w:lineRule="auto" w:before="92" w:after="0"/>
        <w:ind w:left="960" w:right="0" w:hanging="720"/>
        <w:jc w:val="left"/>
        <w:rPr>
          <w:b/>
          <w:sz w:val="24"/>
        </w:rPr>
      </w:pPr>
      <w:bookmarkStart w:name="4.14 Crystal Oscillator" w:id="422"/>
      <w:bookmarkEnd w:id="422"/>
      <w:r>
        <w:rPr/>
      </w:r>
      <w:bookmarkStart w:name="_bookmark205" w:id="423"/>
      <w:bookmarkEnd w:id="423"/>
      <w:r>
        <w:rPr/>
      </w:r>
      <w:bookmarkStart w:name="_bookmark205" w:id="424"/>
      <w:bookmarkEnd w:id="424"/>
      <w:r>
        <w:rPr>
          <w:b/>
          <w:sz w:val="24"/>
        </w:rPr>
        <w:t>C</w:t>
      </w:r>
      <w:r>
        <w:rPr>
          <w:b/>
          <w:sz w:val="24"/>
        </w:rPr>
        <w:t>rystal Oscillator</w:t>
      </w:r>
    </w:p>
    <w:p>
      <w:pPr>
        <w:pStyle w:val="BodyText"/>
        <w:spacing w:before="122"/>
        <w:ind w:left="239" w:right="401"/>
      </w:pPr>
      <w:r>
        <w:rPr/>
        <w:t>The oscillator of the 71M6543 drives a standard 32.768 kHz watch crystal. The oscillator has been designed specifically to handle these crystals and is compatible with their high impedance and limited power handling capability. The oscillator power dissipation is very low to maximize the lifetime of any battery backup device attached to the VBAT_RTC pin.</w:t>
      </w:r>
    </w:p>
    <w:p>
      <w:pPr>
        <w:pStyle w:val="BodyText"/>
        <w:spacing w:before="119"/>
        <w:ind w:left="239" w:right="623"/>
        <w:jc w:val="both"/>
      </w:pPr>
      <w:r>
        <w:rPr/>
        <w:drawing>
          <wp:anchor distT="0" distB="0" distL="0" distR="0" allowOverlap="1" layoutInCell="1" locked="0" behindDoc="0" simplePos="0" relativeHeight="15846912">
            <wp:simplePos x="0" y="0"/>
            <wp:positionH relativeFrom="page">
              <wp:posOffset>962025</wp:posOffset>
            </wp:positionH>
            <wp:positionV relativeFrom="paragraph">
              <wp:posOffset>603994</wp:posOffset>
            </wp:positionV>
            <wp:extent cx="448309" cy="447673"/>
            <wp:effectExtent l="0" t="0" r="0" b="0"/>
            <wp:wrapNone/>
            <wp:docPr id="107" name="image54.png"/>
            <wp:cNvGraphicFramePr>
              <a:graphicFrameLocks noChangeAspect="1"/>
            </wp:cNvGraphicFramePr>
            <a:graphic>
              <a:graphicData uri="http://schemas.openxmlformats.org/drawingml/2006/picture">
                <pic:pic>
                  <pic:nvPicPr>
                    <pic:cNvPr id="108" name="image54.png"/>
                    <pic:cNvPicPr/>
                  </pic:nvPicPr>
                  <pic:blipFill>
                    <a:blip r:embed="rId63" cstate="print"/>
                    <a:stretch>
                      <a:fillRect/>
                    </a:stretch>
                  </pic:blipFill>
                  <pic:spPr>
                    <a:xfrm>
                      <a:off x="0" y="0"/>
                      <a:ext cx="448309" cy="447673"/>
                    </a:xfrm>
                    <a:prstGeom prst="rect">
                      <a:avLst/>
                    </a:prstGeom>
                  </pic:spPr>
                </pic:pic>
              </a:graphicData>
            </a:graphic>
          </wp:anchor>
        </w:drawing>
      </w:r>
      <w:r>
        <w:rPr/>
        <w:t>Board layouts with minimum capacitance from XIN to XOUT require less battery current. Good layouts have XIN and XOUT shielded from each other and also keep the XIN and XOUT traces short and away from LCD and digital signals.</w:t>
      </w:r>
    </w:p>
    <w:p>
      <w:pPr>
        <w:pStyle w:val="BodyText"/>
        <w:spacing w:before="7"/>
        <w:rPr>
          <w:sz w:val="30"/>
        </w:rPr>
      </w:pPr>
    </w:p>
    <w:p>
      <w:pPr>
        <w:pStyle w:val="BodyText"/>
        <w:ind w:left="1214"/>
      </w:pPr>
      <w:r>
        <w:rPr/>
        <w:t>Since the oscillator is self-biasing, an external resistor </w:t>
      </w:r>
      <w:r>
        <w:rPr>
          <w:u w:val="single"/>
        </w:rPr>
        <w:t>must not be connected</w:t>
      </w:r>
      <w:r>
        <w:rPr/>
        <w:t> across the crystal.</w:t>
      </w:r>
    </w:p>
    <w:p>
      <w:pPr>
        <w:pStyle w:val="BodyText"/>
        <w:rPr>
          <w:sz w:val="22"/>
        </w:rPr>
      </w:pPr>
    </w:p>
    <w:p>
      <w:pPr>
        <w:pStyle w:val="BodyText"/>
        <w:spacing w:before="9"/>
        <w:rPr>
          <w:sz w:val="17"/>
        </w:rPr>
      </w:pPr>
    </w:p>
    <w:p>
      <w:pPr>
        <w:pStyle w:val="ListParagraph"/>
        <w:numPr>
          <w:ilvl w:val="1"/>
          <w:numId w:val="22"/>
        </w:numPr>
        <w:tabs>
          <w:tab w:pos="959" w:val="left" w:leader="none"/>
          <w:tab w:pos="960" w:val="left" w:leader="none"/>
        </w:tabs>
        <w:spacing w:line="240" w:lineRule="auto" w:before="0" w:after="0"/>
        <w:ind w:left="960" w:right="0" w:hanging="720"/>
        <w:jc w:val="left"/>
        <w:rPr>
          <w:b/>
          <w:sz w:val="24"/>
        </w:rPr>
      </w:pPr>
      <w:bookmarkStart w:name="4.15 Meter Calibration" w:id="425"/>
      <w:bookmarkEnd w:id="425"/>
      <w:r>
        <w:rPr/>
      </w:r>
      <w:bookmarkStart w:name="_bookmark206" w:id="426"/>
      <w:bookmarkEnd w:id="426"/>
      <w:r>
        <w:rPr/>
      </w:r>
      <w:bookmarkStart w:name="_bookmark206" w:id="427"/>
      <w:bookmarkEnd w:id="427"/>
      <w:r>
        <w:rPr>
          <w:b/>
          <w:sz w:val="24"/>
        </w:rPr>
        <w:t>M</w:t>
      </w:r>
      <w:r>
        <w:rPr>
          <w:b/>
          <w:sz w:val="24"/>
        </w:rPr>
        <w:t>eter</w:t>
      </w:r>
      <w:r>
        <w:rPr>
          <w:b/>
          <w:spacing w:val="-1"/>
          <w:sz w:val="24"/>
        </w:rPr>
        <w:t> </w:t>
      </w:r>
      <w:r>
        <w:rPr>
          <w:b/>
          <w:sz w:val="24"/>
        </w:rPr>
        <w:t>Calibration</w:t>
      </w:r>
    </w:p>
    <w:p>
      <w:pPr>
        <w:pStyle w:val="BodyText"/>
        <w:spacing w:before="121"/>
        <w:ind w:left="240" w:right="401"/>
      </w:pPr>
      <w:r>
        <w:rPr/>
        <w:t>Once the 71M6543 energy meter device has been installed in a meter system, it must be calibrated. A complete calibration includes the following:</w:t>
      </w:r>
    </w:p>
    <w:p>
      <w:pPr>
        <w:pStyle w:val="ListParagraph"/>
        <w:numPr>
          <w:ilvl w:val="1"/>
          <w:numId w:val="28"/>
        </w:numPr>
        <w:tabs>
          <w:tab w:pos="599" w:val="left" w:leader="none"/>
          <w:tab w:pos="600" w:val="left" w:leader="none"/>
        </w:tabs>
        <w:spacing w:line="240" w:lineRule="auto" w:before="122" w:after="0"/>
        <w:ind w:left="599" w:right="0" w:hanging="360"/>
        <w:jc w:val="left"/>
        <w:rPr>
          <w:sz w:val="20"/>
        </w:rPr>
      </w:pPr>
      <w:r>
        <w:rPr>
          <w:spacing w:val="-4"/>
          <w:sz w:val="20"/>
        </w:rPr>
        <w:t>Establishment</w:t>
      </w:r>
      <w:r>
        <w:rPr>
          <w:spacing w:val="-9"/>
          <w:sz w:val="20"/>
        </w:rPr>
        <w:t> </w:t>
      </w:r>
      <w:r>
        <w:rPr>
          <w:spacing w:val="-3"/>
          <w:sz w:val="20"/>
        </w:rPr>
        <w:t>of</w:t>
      </w:r>
      <w:r>
        <w:rPr>
          <w:spacing w:val="-8"/>
          <w:sz w:val="20"/>
        </w:rPr>
        <w:t> </w:t>
      </w:r>
      <w:r>
        <w:rPr>
          <w:sz w:val="20"/>
        </w:rPr>
        <w:t>the</w:t>
      </w:r>
      <w:r>
        <w:rPr>
          <w:spacing w:val="-11"/>
          <w:sz w:val="20"/>
        </w:rPr>
        <w:t> </w:t>
      </w:r>
      <w:r>
        <w:rPr>
          <w:spacing w:val="-4"/>
          <w:sz w:val="20"/>
        </w:rPr>
        <w:t>reference</w:t>
      </w:r>
      <w:r>
        <w:rPr>
          <w:spacing w:val="-9"/>
          <w:sz w:val="20"/>
        </w:rPr>
        <w:t> </w:t>
      </w:r>
      <w:r>
        <w:rPr>
          <w:spacing w:val="-4"/>
          <w:sz w:val="20"/>
        </w:rPr>
        <w:t>temperature</w:t>
      </w:r>
      <w:r>
        <w:rPr>
          <w:spacing w:val="-9"/>
          <w:sz w:val="20"/>
        </w:rPr>
        <w:t> </w:t>
      </w:r>
      <w:r>
        <w:rPr>
          <w:spacing w:val="-3"/>
          <w:sz w:val="20"/>
        </w:rPr>
        <w:t>for</w:t>
      </w:r>
      <w:r>
        <w:rPr>
          <w:spacing w:val="-10"/>
          <w:sz w:val="20"/>
        </w:rPr>
        <w:t> </w:t>
      </w:r>
      <w:r>
        <w:rPr>
          <w:spacing w:val="-3"/>
          <w:sz w:val="20"/>
        </w:rPr>
        <w:t>factory</w:t>
      </w:r>
      <w:r>
        <w:rPr>
          <w:spacing w:val="-14"/>
          <w:sz w:val="20"/>
        </w:rPr>
        <w:t> </w:t>
      </w:r>
      <w:r>
        <w:rPr>
          <w:spacing w:val="-4"/>
          <w:sz w:val="20"/>
        </w:rPr>
        <w:t>calibration </w:t>
      </w:r>
      <w:r>
        <w:rPr>
          <w:sz w:val="20"/>
        </w:rPr>
        <w:t>(e.g.,</w:t>
      </w:r>
      <w:r>
        <w:rPr>
          <w:spacing w:val="-2"/>
          <w:sz w:val="20"/>
        </w:rPr>
        <w:t> </w:t>
      </w:r>
      <w:r>
        <w:rPr>
          <w:sz w:val="20"/>
        </w:rPr>
        <w:t>typically</w:t>
      </w:r>
      <w:r>
        <w:rPr>
          <w:spacing w:val="-2"/>
          <w:sz w:val="20"/>
        </w:rPr>
        <w:t> </w:t>
      </w:r>
      <w:r>
        <w:rPr>
          <w:sz w:val="20"/>
        </w:rPr>
        <w:t>22</w:t>
      </w:r>
      <w:r>
        <w:rPr>
          <w:spacing w:val="2"/>
          <w:sz w:val="20"/>
        </w:rPr>
        <w:t> </w:t>
      </w:r>
      <w:r>
        <w:rPr>
          <w:sz w:val="20"/>
        </w:rPr>
        <w:t>°C).</w:t>
      </w:r>
    </w:p>
    <w:p>
      <w:pPr>
        <w:pStyle w:val="ListParagraph"/>
        <w:numPr>
          <w:ilvl w:val="1"/>
          <w:numId w:val="28"/>
        </w:numPr>
        <w:tabs>
          <w:tab w:pos="599" w:val="left" w:leader="none"/>
          <w:tab w:pos="600" w:val="left" w:leader="none"/>
        </w:tabs>
        <w:spacing w:line="237" w:lineRule="auto" w:before="40" w:after="0"/>
        <w:ind w:left="599" w:right="706" w:hanging="360"/>
        <w:jc w:val="left"/>
        <w:rPr>
          <w:sz w:val="20"/>
        </w:rPr>
      </w:pPr>
      <w:r>
        <w:rPr>
          <w:sz w:val="20"/>
        </w:rPr>
        <w:t>Calibration of the metrology section, i.e., calibration for errors of the current sensors, voltage dividers and signal conditioning components as well as of the internal reference voltage (VREF) at the reference temperature (e.g., typically 22</w:t>
      </w:r>
      <w:r>
        <w:rPr>
          <w:spacing w:val="-11"/>
          <w:sz w:val="20"/>
        </w:rPr>
        <w:t> </w:t>
      </w:r>
      <w:r>
        <w:rPr>
          <w:sz w:val="20"/>
        </w:rPr>
        <w:t>°C).</w:t>
      </w:r>
    </w:p>
    <w:p>
      <w:pPr>
        <w:pStyle w:val="ListParagraph"/>
        <w:numPr>
          <w:ilvl w:val="1"/>
          <w:numId w:val="28"/>
        </w:numPr>
        <w:tabs>
          <w:tab w:pos="599" w:val="left" w:leader="none"/>
          <w:tab w:pos="600" w:val="left" w:leader="none"/>
        </w:tabs>
        <w:spacing w:line="240" w:lineRule="auto" w:before="37" w:after="0"/>
        <w:ind w:left="599" w:right="0" w:hanging="361"/>
        <w:jc w:val="left"/>
        <w:rPr>
          <w:sz w:val="20"/>
        </w:rPr>
      </w:pPr>
      <w:r>
        <w:rPr>
          <w:sz w:val="20"/>
        </w:rPr>
        <w:t>Calibration of the oscillator frequency using the </w:t>
      </w:r>
      <w:r>
        <w:rPr>
          <w:rFonts w:ascii="Times New Roman" w:hAnsi="Times New Roman"/>
          <w:i/>
          <w:sz w:val="20"/>
        </w:rPr>
        <w:t>RTCA_ADJ </w:t>
      </w:r>
      <w:r>
        <w:rPr>
          <w:sz w:val="20"/>
        </w:rPr>
        <w:t>register (</w:t>
      </w:r>
      <w:r>
        <w:rPr>
          <w:rFonts w:ascii="Times New Roman" w:hAnsi="Times New Roman"/>
          <w:i/>
          <w:sz w:val="20"/>
        </w:rPr>
        <w:t>I/O RAM</w:t>
      </w:r>
      <w:r>
        <w:rPr>
          <w:rFonts w:ascii="Times New Roman" w:hAnsi="Times New Roman"/>
          <w:i/>
          <w:spacing w:val="-7"/>
          <w:sz w:val="20"/>
        </w:rPr>
        <w:t> </w:t>
      </w:r>
      <w:r>
        <w:rPr>
          <w:rFonts w:ascii="Times New Roman" w:hAnsi="Times New Roman"/>
          <w:i/>
          <w:sz w:val="20"/>
        </w:rPr>
        <w:t>0x2504</w:t>
      </w:r>
      <w:r>
        <w:rPr>
          <w:sz w:val="20"/>
        </w:rPr>
        <w:t>).</w:t>
      </w:r>
    </w:p>
    <w:p>
      <w:pPr>
        <w:pStyle w:val="BodyText"/>
        <w:spacing w:before="4"/>
      </w:pPr>
    </w:p>
    <w:p>
      <w:pPr>
        <w:pStyle w:val="BodyText"/>
        <w:spacing w:before="1"/>
        <w:ind w:left="239" w:right="401"/>
      </w:pPr>
      <w:r>
        <w:rPr/>
        <w:t>The metrology section can be calibrated using the gain and phase adjustment factors accessible to the </w:t>
      </w:r>
      <w:r>
        <w:rPr>
          <w:spacing w:val="-3"/>
        </w:rPr>
        <w:t>CE.</w:t>
      </w:r>
      <w:r>
        <w:rPr>
          <w:spacing w:val="32"/>
        </w:rPr>
        <w:t> </w:t>
      </w:r>
      <w:r>
        <w:rPr/>
        <w:t>The</w:t>
      </w:r>
      <w:r>
        <w:rPr>
          <w:spacing w:val="-12"/>
        </w:rPr>
        <w:t> </w:t>
      </w:r>
      <w:r>
        <w:rPr/>
        <w:t>gain</w:t>
      </w:r>
      <w:r>
        <w:rPr>
          <w:spacing w:val="-12"/>
        </w:rPr>
        <w:t> </w:t>
      </w:r>
      <w:r>
        <w:rPr/>
        <w:t>adjustment</w:t>
      </w:r>
      <w:r>
        <w:rPr>
          <w:spacing w:val="-14"/>
        </w:rPr>
        <w:t> </w:t>
      </w:r>
      <w:r>
        <w:rPr/>
        <w:t>is</w:t>
      </w:r>
      <w:r>
        <w:rPr>
          <w:spacing w:val="-10"/>
        </w:rPr>
        <w:t> </w:t>
      </w:r>
      <w:r>
        <w:rPr/>
        <w:t>used</w:t>
      </w:r>
      <w:r>
        <w:rPr>
          <w:spacing w:val="-14"/>
        </w:rPr>
        <w:t> </w:t>
      </w:r>
      <w:r>
        <w:rPr/>
        <w:t>to</w:t>
      </w:r>
      <w:r>
        <w:rPr>
          <w:spacing w:val="-14"/>
        </w:rPr>
        <w:t> </w:t>
      </w:r>
      <w:r>
        <w:rPr/>
        <w:t>compensate</w:t>
      </w:r>
      <w:r>
        <w:rPr>
          <w:spacing w:val="-14"/>
        </w:rPr>
        <w:t> </w:t>
      </w:r>
      <w:r>
        <w:rPr/>
        <w:t>for</w:t>
      </w:r>
      <w:r>
        <w:rPr>
          <w:spacing w:val="-12"/>
        </w:rPr>
        <w:t> </w:t>
      </w:r>
      <w:r>
        <w:rPr/>
        <w:t>tolerances</w:t>
      </w:r>
      <w:r>
        <w:rPr>
          <w:spacing w:val="-12"/>
        </w:rPr>
        <w:t> </w:t>
      </w:r>
      <w:r>
        <w:rPr/>
        <w:t>of</w:t>
      </w:r>
      <w:r>
        <w:rPr>
          <w:spacing w:val="-11"/>
        </w:rPr>
        <w:t> </w:t>
      </w:r>
      <w:r>
        <w:rPr/>
        <w:t>components</w:t>
      </w:r>
      <w:r>
        <w:rPr>
          <w:spacing w:val="-11"/>
        </w:rPr>
        <w:t> </w:t>
      </w:r>
      <w:r>
        <w:rPr/>
        <w:t>used</w:t>
      </w:r>
      <w:r>
        <w:rPr>
          <w:spacing w:val="-14"/>
        </w:rPr>
        <w:t> </w:t>
      </w:r>
      <w:r>
        <w:rPr/>
        <w:t>for</w:t>
      </w:r>
      <w:r>
        <w:rPr>
          <w:spacing w:val="-13"/>
        </w:rPr>
        <w:t> </w:t>
      </w:r>
      <w:r>
        <w:rPr/>
        <w:t>signal</w:t>
      </w:r>
      <w:r>
        <w:rPr>
          <w:spacing w:val="-14"/>
        </w:rPr>
        <w:t> </w:t>
      </w:r>
      <w:r>
        <w:rPr>
          <w:spacing w:val="-3"/>
        </w:rPr>
        <w:t>conditioning, </w:t>
      </w:r>
      <w:r>
        <w:rPr>
          <w:spacing w:val="-4"/>
        </w:rPr>
        <w:t>especially </w:t>
      </w:r>
      <w:r>
        <w:rPr/>
        <w:t>the </w:t>
      </w:r>
      <w:r>
        <w:rPr>
          <w:spacing w:val="-4"/>
        </w:rPr>
        <w:t>resistive components. Phase adjustment </w:t>
      </w:r>
      <w:r>
        <w:rPr>
          <w:spacing w:val="-3"/>
        </w:rPr>
        <w:t>is </w:t>
      </w:r>
      <w:r>
        <w:rPr>
          <w:spacing w:val="-4"/>
        </w:rPr>
        <w:t>provided </w:t>
      </w:r>
      <w:r>
        <w:rPr/>
        <w:t>to </w:t>
      </w:r>
      <w:r>
        <w:rPr>
          <w:spacing w:val="-4"/>
        </w:rPr>
        <w:t>compensate </w:t>
      </w:r>
      <w:r>
        <w:rPr>
          <w:spacing w:val="-3"/>
        </w:rPr>
        <w:t>for </w:t>
      </w:r>
      <w:r>
        <w:rPr>
          <w:spacing w:val="-4"/>
        </w:rPr>
        <w:t>phase shifts introduced </w:t>
      </w:r>
      <w:r>
        <w:rPr/>
        <w:t>by the current sensors or by the effects of reactive power</w:t>
      </w:r>
      <w:r>
        <w:rPr>
          <w:spacing w:val="-12"/>
        </w:rPr>
        <w:t> </w:t>
      </w:r>
      <w:r>
        <w:rPr/>
        <w:t>supplies.</w:t>
      </w:r>
    </w:p>
    <w:p>
      <w:pPr>
        <w:pStyle w:val="BodyText"/>
        <w:spacing w:before="119"/>
        <w:ind w:left="239" w:right="300"/>
      </w:pPr>
      <w:r>
        <w:rPr/>
        <w:t>Due to the flexibility of the MPU firmware, any calibration method, such as calibration based on energy, or current and voltage can be implemented. It is also possible to implement segment-wise calibration (depending on current range).</w:t>
      </w:r>
    </w:p>
    <w:p>
      <w:pPr>
        <w:pStyle w:val="BodyText"/>
        <w:spacing w:before="122"/>
        <w:ind w:left="238" w:right="1128"/>
      </w:pPr>
      <w:r>
        <w:rPr/>
        <w:t>The 71M6543 supports common industry standard calibration techniques, such as single-point (energy-only), multi-point (energy, Vrms, Irms), and auto-calibration.</w:t>
      </w:r>
    </w:p>
    <w:p>
      <w:pPr>
        <w:pStyle w:val="BodyText"/>
        <w:spacing w:before="120"/>
        <w:ind w:left="238" w:right="762"/>
      </w:pPr>
      <w:r>
        <w:rPr/>
        <w:t>Maxim provides a calibration spreadsheet file to facilitate the calibration process. Contact your Maxim representative to obtain a copy of the latest calibration spreadsheet file for the 71M6543.</w:t>
      </w:r>
    </w:p>
    <w:p>
      <w:pPr>
        <w:spacing w:after="0"/>
        <w:sectPr>
          <w:pgSz w:w="12240" w:h="15840"/>
          <w:pgMar w:header="727" w:footer="819" w:top="960" w:bottom="1000" w:left="1200" w:right="1060"/>
        </w:sectPr>
      </w:pPr>
    </w:p>
    <w:p>
      <w:pPr>
        <w:pStyle w:val="ListParagraph"/>
        <w:numPr>
          <w:ilvl w:val="0"/>
          <w:numId w:val="22"/>
        </w:numPr>
        <w:tabs>
          <w:tab w:pos="839" w:val="left" w:leader="none"/>
          <w:tab w:pos="840" w:val="left" w:leader="none"/>
        </w:tabs>
        <w:spacing w:line="240" w:lineRule="auto" w:before="83" w:after="0"/>
        <w:ind w:left="839" w:right="0" w:hanging="720"/>
        <w:jc w:val="left"/>
        <w:rPr>
          <w:b/>
          <w:sz w:val="28"/>
        </w:rPr>
      </w:pPr>
      <w:bookmarkStart w:name="5 Firmware Interface" w:id="428"/>
      <w:bookmarkEnd w:id="428"/>
      <w:r>
        <w:rPr/>
      </w:r>
      <w:bookmarkStart w:name="_bookmark207" w:id="429"/>
      <w:bookmarkEnd w:id="429"/>
      <w:r>
        <w:rPr/>
      </w:r>
      <w:bookmarkStart w:name="_bookmark207" w:id="430"/>
      <w:bookmarkEnd w:id="430"/>
      <w:r>
        <w:rPr>
          <w:b/>
          <w:sz w:val="28"/>
        </w:rPr>
        <w:t>F</w:t>
      </w:r>
      <w:r>
        <w:rPr>
          <w:b/>
          <w:sz w:val="28"/>
        </w:rPr>
        <w:t>irmware</w:t>
      </w:r>
      <w:r>
        <w:rPr>
          <w:b/>
          <w:spacing w:val="-3"/>
          <w:sz w:val="28"/>
        </w:rPr>
        <w:t> </w:t>
      </w:r>
      <w:r>
        <w:rPr>
          <w:b/>
          <w:sz w:val="28"/>
        </w:rPr>
        <w:t>Interface</w:t>
      </w:r>
    </w:p>
    <w:p>
      <w:pPr>
        <w:pStyle w:val="ListParagraph"/>
        <w:numPr>
          <w:ilvl w:val="1"/>
          <w:numId w:val="22"/>
        </w:numPr>
        <w:tabs>
          <w:tab w:pos="839" w:val="left" w:leader="none"/>
          <w:tab w:pos="840" w:val="left" w:leader="none"/>
        </w:tabs>
        <w:spacing w:line="240" w:lineRule="auto" w:before="118" w:after="0"/>
        <w:ind w:left="840" w:right="0" w:hanging="720"/>
        <w:jc w:val="left"/>
        <w:rPr>
          <w:b/>
          <w:sz w:val="24"/>
        </w:rPr>
      </w:pPr>
      <w:bookmarkStart w:name="5.1 I/O RAM Map –Functional Order" w:id="431"/>
      <w:bookmarkEnd w:id="431"/>
      <w:r>
        <w:rPr/>
      </w:r>
      <w:bookmarkStart w:name="_bookmark208" w:id="432"/>
      <w:bookmarkEnd w:id="432"/>
      <w:r>
        <w:rPr/>
      </w:r>
      <w:bookmarkStart w:name="_bookmark208" w:id="433"/>
      <w:bookmarkEnd w:id="433"/>
      <w:r>
        <w:rPr>
          <w:b/>
          <w:sz w:val="24"/>
        </w:rPr>
        <w:t>I/O</w:t>
      </w:r>
      <w:r>
        <w:rPr>
          <w:b/>
          <w:sz w:val="24"/>
        </w:rPr>
        <w:t> RAM Map –Functional Order</w:t>
      </w:r>
    </w:p>
    <w:p>
      <w:pPr>
        <w:pStyle w:val="BodyText"/>
        <w:spacing w:before="122"/>
        <w:ind w:left="119" w:right="109"/>
      </w:pPr>
      <w:r>
        <w:rPr/>
        <w:t>In </w:t>
      </w:r>
      <w:hyperlink w:history="true" w:anchor="_bookmark209">
        <w:r>
          <w:rPr>
            <w:color w:val="0000FF"/>
          </w:rPr>
          <w:t>Table 68 </w:t>
        </w:r>
      </w:hyperlink>
      <w:r>
        <w:rPr/>
        <w:t>and </w:t>
      </w:r>
      <w:hyperlink w:history="true" w:anchor="_bookmark210">
        <w:r>
          <w:rPr>
            <w:color w:val="0000FF"/>
          </w:rPr>
          <w:t>Table 69</w:t>
        </w:r>
        <w:r>
          <w:rPr/>
          <w:t>, </w:t>
        </w:r>
      </w:hyperlink>
      <w:r>
        <w:rPr/>
        <w:t>unimplemented (U) and reserved (R) bits are shaded in light gray. Unimplemented bits are identified with a ‘U’. Unimplemented bits have no memory storage, writing them has no effect, and reading them always returns zero. Reserved bits are identified with an ‘R’, and must always be written with a zero. Writing values other than zero to reserved bits may have undesirable side effects and must be avoided. Non-volatile bits are shaded in dark gray. Non-volatile bits are backed-up during power failures if the system includes a battery connected to the VBAT pin.</w:t>
      </w:r>
    </w:p>
    <w:p>
      <w:pPr>
        <w:pStyle w:val="BodyText"/>
      </w:pPr>
    </w:p>
    <w:p>
      <w:pPr>
        <w:pStyle w:val="BodyText"/>
        <w:spacing w:before="1"/>
        <w:ind w:left="119" w:right="221"/>
      </w:pPr>
      <w:r>
        <w:rPr/>
        <w:t>The I/O RAM locations listed in </w:t>
      </w:r>
      <w:hyperlink w:history="true" w:anchor="_bookmark209">
        <w:r>
          <w:rPr>
            <w:color w:val="0000FF"/>
          </w:rPr>
          <w:t>Table 68 </w:t>
        </w:r>
      </w:hyperlink>
      <w:r>
        <w:rPr/>
        <w:t>have sequential addresses to facilitate reading by the MPU (e.g., in order to verify their contents). These I/O RAM locations are usually modified only at boot-up. The addresses shown in </w:t>
      </w:r>
      <w:hyperlink w:history="true" w:anchor="_bookmark209">
        <w:r>
          <w:rPr>
            <w:color w:val="0000FF"/>
          </w:rPr>
          <w:t>Table 68 </w:t>
        </w:r>
      </w:hyperlink>
      <w:r>
        <w:rPr/>
        <w:t>are an alternative sequential address to the addresses from </w:t>
      </w:r>
      <w:hyperlink w:history="true" w:anchor="_bookmark210">
        <w:r>
          <w:rPr>
            <w:color w:val="0000FF"/>
          </w:rPr>
          <w:t>Table 69 </w:t>
        </w:r>
      </w:hyperlink>
      <w:r>
        <w:rPr/>
        <w:t>which are used throughout this document. For instance, </w:t>
      </w:r>
      <w:r>
        <w:rPr>
          <w:rFonts w:ascii="Times New Roman"/>
          <w:i/>
        </w:rPr>
        <w:t>EQU[2:0] </w:t>
      </w:r>
      <w:r>
        <w:rPr/>
        <w:t>can be accessed at </w:t>
      </w:r>
      <w:r>
        <w:rPr>
          <w:rFonts w:ascii="Times New Roman"/>
          <w:i/>
        </w:rPr>
        <w:t>I/O RAM 0x2000[7:5] </w:t>
      </w:r>
      <w:r>
        <w:rPr/>
        <w:t>or at </w:t>
      </w:r>
      <w:r>
        <w:rPr>
          <w:rFonts w:ascii="Times New Roman"/>
          <w:i/>
        </w:rPr>
        <w:t>I/O RAM </w:t>
      </w:r>
      <w:r>
        <w:rPr>
          <w:rFonts w:ascii="Times New Roman"/>
          <w:i/>
        </w:rPr>
        <w:t>0x2106[7:5]</w:t>
      </w:r>
      <w:r>
        <w:rPr/>
        <w:t>.</w:t>
      </w:r>
    </w:p>
    <w:p>
      <w:pPr>
        <w:pStyle w:val="BodyText"/>
        <w:rPr>
          <w:sz w:val="25"/>
        </w:rPr>
      </w:pPr>
    </w:p>
    <w:p>
      <w:pPr>
        <w:pStyle w:val="Heading1"/>
        <w:ind w:left="3579" w:right="3580"/>
      </w:pPr>
      <w:bookmarkStart w:name="_bookmark209" w:id="434"/>
      <w:bookmarkEnd w:id="434"/>
      <w:r>
        <w:rPr>
          <w:b w:val="0"/>
        </w:rPr>
      </w:r>
      <w:r>
        <w:rPr/>
        <w:t>Table 68: I/O RAM Map – Functional Order, Basic Configuration</w:t>
      </w:r>
    </w:p>
    <w:p>
      <w:pPr>
        <w:pStyle w:val="BodyText"/>
        <w:spacing w:before="8"/>
        <w:rPr>
          <w:b/>
          <w:sz w:val="5"/>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713"/>
        <w:gridCol w:w="1423"/>
        <w:gridCol w:w="1313"/>
        <w:gridCol w:w="1270"/>
        <w:gridCol w:w="108"/>
        <w:gridCol w:w="1267"/>
        <w:gridCol w:w="93"/>
        <w:gridCol w:w="1337"/>
        <w:gridCol w:w="1367"/>
        <w:gridCol w:w="1365"/>
        <w:gridCol w:w="1379"/>
      </w:tblGrid>
      <w:tr>
        <w:trPr>
          <w:trHeight w:val="309" w:hRule="atLeast"/>
        </w:trPr>
        <w:tc>
          <w:tcPr>
            <w:tcW w:w="1325" w:type="dxa"/>
          </w:tcPr>
          <w:p>
            <w:pPr>
              <w:pStyle w:val="TableParagraph"/>
              <w:spacing w:before="36"/>
              <w:ind w:left="110" w:right="106"/>
              <w:jc w:val="center"/>
              <w:rPr>
                <w:b/>
                <w:sz w:val="20"/>
              </w:rPr>
            </w:pPr>
            <w:r>
              <w:rPr>
                <w:b/>
                <w:sz w:val="20"/>
              </w:rPr>
              <w:t>Name</w:t>
            </w:r>
          </w:p>
        </w:tc>
        <w:tc>
          <w:tcPr>
            <w:tcW w:w="713" w:type="dxa"/>
          </w:tcPr>
          <w:p>
            <w:pPr>
              <w:pStyle w:val="TableParagraph"/>
              <w:spacing w:before="36"/>
              <w:ind w:left="92" w:right="89"/>
              <w:jc w:val="center"/>
              <w:rPr>
                <w:b/>
                <w:sz w:val="20"/>
              </w:rPr>
            </w:pPr>
            <w:r>
              <w:rPr>
                <w:b/>
                <w:sz w:val="20"/>
              </w:rPr>
              <w:t>Addr</w:t>
            </w:r>
          </w:p>
        </w:tc>
        <w:tc>
          <w:tcPr>
            <w:tcW w:w="1423" w:type="dxa"/>
          </w:tcPr>
          <w:p>
            <w:pPr>
              <w:pStyle w:val="TableParagraph"/>
              <w:spacing w:before="36"/>
              <w:ind w:left="148" w:right="143"/>
              <w:jc w:val="center"/>
              <w:rPr>
                <w:b/>
                <w:sz w:val="20"/>
              </w:rPr>
            </w:pPr>
            <w:r>
              <w:rPr>
                <w:b/>
                <w:sz w:val="20"/>
              </w:rPr>
              <w:t>Bit 7</w:t>
            </w:r>
          </w:p>
        </w:tc>
        <w:tc>
          <w:tcPr>
            <w:tcW w:w="1313" w:type="dxa"/>
          </w:tcPr>
          <w:p>
            <w:pPr>
              <w:pStyle w:val="TableParagraph"/>
              <w:spacing w:before="36"/>
              <w:ind w:left="56" w:right="105"/>
              <w:jc w:val="center"/>
              <w:rPr>
                <w:b/>
                <w:sz w:val="20"/>
              </w:rPr>
            </w:pPr>
            <w:r>
              <w:rPr>
                <w:b/>
                <w:sz w:val="20"/>
              </w:rPr>
              <w:t>Bit 6</w:t>
            </w:r>
          </w:p>
        </w:tc>
        <w:tc>
          <w:tcPr>
            <w:tcW w:w="1270" w:type="dxa"/>
          </w:tcPr>
          <w:p>
            <w:pPr>
              <w:pStyle w:val="TableParagraph"/>
              <w:spacing w:before="36"/>
              <w:ind w:left="387"/>
              <w:rPr>
                <w:b/>
                <w:sz w:val="20"/>
              </w:rPr>
            </w:pPr>
            <w:r>
              <w:rPr>
                <w:b/>
                <w:sz w:val="20"/>
              </w:rPr>
              <w:t>Bit 5</w:t>
            </w:r>
          </w:p>
        </w:tc>
        <w:tc>
          <w:tcPr>
            <w:tcW w:w="1375" w:type="dxa"/>
            <w:gridSpan w:val="2"/>
          </w:tcPr>
          <w:p>
            <w:pPr>
              <w:pStyle w:val="TableParagraph"/>
              <w:spacing w:before="36"/>
              <w:ind w:left="447" w:right="442"/>
              <w:jc w:val="center"/>
              <w:rPr>
                <w:b/>
                <w:sz w:val="20"/>
              </w:rPr>
            </w:pPr>
            <w:r>
              <w:rPr>
                <w:b/>
                <w:sz w:val="20"/>
              </w:rPr>
              <w:t>Bit 4</w:t>
            </w:r>
          </w:p>
        </w:tc>
        <w:tc>
          <w:tcPr>
            <w:tcW w:w="1430" w:type="dxa"/>
            <w:gridSpan w:val="2"/>
          </w:tcPr>
          <w:p>
            <w:pPr>
              <w:pStyle w:val="TableParagraph"/>
              <w:spacing w:before="36"/>
              <w:ind w:left="471"/>
              <w:rPr>
                <w:b/>
                <w:sz w:val="20"/>
              </w:rPr>
            </w:pPr>
            <w:r>
              <w:rPr>
                <w:b/>
                <w:sz w:val="20"/>
              </w:rPr>
              <w:t>Bit 3</w:t>
            </w:r>
          </w:p>
        </w:tc>
        <w:tc>
          <w:tcPr>
            <w:tcW w:w="1367" w:type="dxa"/>
          </w:tcPr>
          <w:p>
            <w:pPr>
              <w:pStyle w:val="TableParagraph"/>
              <w:spacing w:before="36"/>
              <w:ind w:left="253" w:right="332"/>
              <w:jc w:val="center"/>
              <w:rPr>
                <w:b/>
                <w:sz w:val="20"/>
              </w:rPr>
            </w:pPr>
            <w:r>
              <w:rPr>
                <w:b/>
                <w:sz w:val="20"/>
              </w:rPr>
              <w:t>Bit 2</w:t>
            </w:r>
          </w:p>
        </w:tc>
        <w:tc>
          <w:tcPr>
            <w:tcW w:w="1365" w:type="dxa"/>
          </w:tcPr>
          <w:p>
            <w:pPr>
              <w:pStyle w:val="TableParagraph"/>
              <w:spacing w:before="36"/>
              <w:ind w:left="37" w:right="102"/>
              <w:jc w:val="center"/>
              <w:rPr>
                <w:b/>
                <w:sz w:val="20"/>
              </w:rPr>
            </w:pPr>
            <w:r>
              <w:rPr>
                <w:b/>
                <w:sz w:val="20"/>
              </w:rPr>
              <w:t>Bit 1</w:t>
            </w:r>
          </w:p>
        </w:tc>
        <w:tc>
          <w:tcPr>
            <w:tcW w:w="1379" w:type="dxa"/>
          </w:tcPr>
          <w:p>
            <w:pPr>
              <w:pStyle w:val="TableParagraph"/>
              <w:spacing w:before="36"/>
              <w:ind w:left="248" w:right="273"/>
              <w:jc w:val="center"/>
              <w:rPr>
                <w:b/>
                <w:sz w:val="20"/>
              </w:rPr>
            </w:pPr>
            <w:r>
              <w:rPr>
                <w:b/>
                <w:sz w:val="20"/>
              </w:rPr>
              <w:t>Bit 0</w:t>
            </w:r>
          </w:p>
        </w:tc>
      </w:tr>
      <w:tr>
        <w:trPr>
          <w:trHeight w:val="270" w:hRule="atLeast"/>
        </w:trPr>
        <w:tc>
          <w:tcPr>
            <w:tcW w:w="1325" w:type="dxa"/>
          </w:tcPr>
          <w:p>
            <w:pPr>
              <w:pStyle w:val="TableParagraph"/>
              <w:spacing w:before="18"/>
              <w:ind w:left="112" w:right="106"/>
              <w:jc w:val="center"/>
              <w:rPr>
                <w:sz w:val="20"/>
              </w:rPr>
            </w:pPr>
            <w:r>
              <w:rPr>
                <w:sz w:val="20"/>
              </w:rPr>
              <w:t>CE6</w:t>
            </w:r>
          </w:p>
        </w:tc>
        <w:tc>
          <w:tcPr>
            <w:tcW w:w="713" w:type="dxa"/>
          </w:tcPr>
          <w:p>
            <w:pPr>
              <w:pStyle w:val="TableParagraph"/>
              <w:spacing w:before="18"/>
              <w:ind w:left="94" w:right="88"/>
              <w:jc w:val="center"/>
              <w:rPr>
                <w:sz w:val="20"/>
              </w:rPr>
            </w:pPr>
            <w:r>
              <w:rPr>
                <w:sz w:val="20"/>
              </w:rPr>
              <w:t>2000</w:t>
            </w:r>
          </w:p>
        </w:tc>
        <w:tc>
          <w:tcPr>
            <w:tcW w:w="4006" w:type="dxa"/>
            <w:gridSpan w:val="3"/>
          </w:tcPr>
          <w:p>
            <w:pPr>
              <w:pStyle w:val="TableParagraph"/>
              <w:spacing w:before="14"/>
              <w:ind w:left="1564" w:right="1558"/>
              <w:jc w:val="center"/>
              <w:rPr>
                <w:rFonts w:ascii="Times New Roman"/>
                <w:i/>
                <w:sz w:val="20"/>
              </w:rPr>
            </w:pPr>
            <w:r>
              <w:rPr>
                <w:rFonts w:ascii="Times New Roman"/>
                <w:i/>
                <w:sz w:val="20"/>
              </w:rPr>
              <w:t>EQU[2:0]</w:t>
            </w:r>
          </w:p>
        </w:tc>
        <w:tc>
          <w:tcPr>
            <w:tcW w:w="1375" w:type="dxa"/>
            <w:gridSpan w:val="2"/>
            <w:shd w:val="clear" w:color="auto" w:fill="DADADA"/>
          </w:tcPr>
          <w:p>
            <w:pPr>
              <w:pStyle w:val="TableParagraph"/>
              <w:spacing w:before="14"/>
              <w:ind w:left="5"/>
              <w:jc w:val="center"/>
              <w:rPr>
                <w:rFonts w:ascii="Times New Roman"/>
                <w:i/>
                <w:sz w:val="20"/>
              </w:rPr>
            </w:pPr>
            <w:r>
              <w:rPr>
                <w:rFonts w:ascii="Times New Roman"/>
                <w:i/>
                <w:w w:val="99"/>
                <w:sz w:val="20"/>
              </w:rPr>
              <w:t>U</w:t>
            </w:r>
          </w:p>
        </w:tc>
        <w:tc>
          <w:tcPr>
            <w:tcW w:w="2797" w:type="dxa"/>
            <w:gridSpan w:val="3"/>
          </w:tcPr>
          <w:p>
            <w:pPr>
              <w:pStyle w:val="TableParagraph"/>
              <w:spacing w:before="14"/>
              <w:ind w:left="783"/>
              <w:rPr>
                <w:rFonts w:ascii="Times New Roman"/>
                <w:i/>
                <w:sz w:val="20"/>
              </w:rPr>
            </w:pPr>
            <w:r>
              <w:rPr>
                <w:rFonts w:ascii="Times New Roman"/>
                <w:i/>
                <w:sz w:val="20"/>
              </w:rPr>
              <w:t>CHOP_E[1:0]</w:t>
            </w:r>
          </w:p>
        </w:tc>
        <w:tc>
          <w:tcPr>
            <w:tcW w:w="1365" w:type="dxa"/>
          </w:tcPr>
          <w:p>
            <w:pPr>
              <w:pStyle w:val="TableParagraph"/>
              <w:spacing w:before="14"/>
              <w:ind w:left="39" w:right="102"/>
              <w:jc w:val="center"/>
              <w:rPr>
                <w:rFonts w:ascii="Times New Roman"/>
                <w:i/>
                <w:sz w:val="20"/>
              </w:rPr>
            </w:pPr>
            <w:r>
              <w:rPr>
                <w:rFonts w:ascii="Times New Roman"/>
                <w:i/>
                <w:sz w:val="20"/>
              </w:rPr>
              <w:t>RTM_E</w:t>
            </w:r>
          </w:p>
        </w:tc>
        <w:tc>
          <w:tcPr>
            <w:tcW w:w="1379" w:type="dxa"/>
          </w:tcPr>
          <w:p>
            <w:pPr>
              <w:pStyle w:val="TableParagraph"/>
              <w:spacing w:before="14"/>
              <w:ind w:left="250" w:right="273"/>
              <w:jc w:val="center"/>
              <w:rPr>
                <w:rFonts w:ascii="Times New Roman"/>
                <w:i/>
                <w:sz w:val="20"/>
              </w:rPr>
            </w:pPr>
            <w:r>
              <w:rPr>
                <w:rFonts w:ascii="Times New Roman"/>
                <w:i/>
                <w:sz w:val="20"/>
              </w:rPr>
              <w:t>CE_E</w:t>
            </w:r>
          </w:p>
        </w:tc>
      </w:tr>
      <w:tr>
        <w:trPr>
          <w:trHeight w:val="268" w:hRule="atLeast"/>
        </w:trPr>
        <w:tc>
          <w:tcPr>
            <w:tcW w:w="1325" w:type="dxa"/>
          </w:tcPr>
          <w:p>
            <w:pPr>
              <w:pStyle w:val="TableParagraph"/>
              <w:spacing w:before="18"/>
              <w:ind w:left="112" w:right="106"/>
              <w:jc w:val="center"/>
              <w:rPr>
                <w:sz w:val="20"/>
              </w:rPr>
            </w:pPr>
            <w:r>
              <w:rPr>
                <w:sz w:val="20"/>
              </w:rPr>
              <w:t>CE5</w:t>
            </w:r>
          </w:p>
        </w:tc>
        <w:tc>
          <w:tcPr>
            <w:tcW w:w="713" w:type="dxa"/>
          </w:tcPr>
          <w:p>
            <w:pPr>
              <w:pStyle w:val="TableParagraph"/>
              <w:spacing w:before="18"/>
              <w:ind w:left="94" w:right="88"/>
              <w:jc w:val="center"/>
              <w:rPr>
                <w:sz w:val="20"/>
              </w:rPr>
            </w:pPr>
            <w:r>
              <w:rPr>
                <w:sz w:val="20"/>
              </w:rPr>
              <w:t>2001</w:t>
            </w:r>
          </w:p>
        </w:tc>
        <w:tc>
          <w:tcPr>
            <w:tcW w:w="4006" w:type="dxa"/>
            <w:gridSpan w:val="3"/>
            <w:shd w:val="clear" w:color="auto" w:fill="DADADA"/>
          </w:tcPr>
          <w:p>
            <w:pPr>
              <w:pStyle w:val="TableParagraph"/>
              <w:spacing w:before="14"/>
              <w:ind w:left="5"/>
              <w:jc w:val="center"/>
              <w:rPr>
                <w:rFonts w:ascii="Times New Roman"/>
                <w:i/>
                <w:sz w:val="20"/>
              </w:rPr>
            </w:pPr>
            <w:r>
              <w:rPr>
                <w:rFonts w:ascii="Times New Roman"/>
                <w:i/>
                <w:w w:val="99"/>
                <w:sz w:val="20"/>
              </w:rPr>
              <w:t>U</w:t>
            </w:r>
          </w:p>
        </w:tc>
        <w:tc>
          <w:tcPr>
            <w:tcW w:w="6916" w:type="dxa"/>
            <w:gridSpan w:val="7"/>
          </w:tcPr>
          <w:p>
            <w:pPr>
              <w:pStyle w:val="TableParagraph"/>
              <w:spacing w:before="14"/>
              <w:ind w:left="2612" w:right="2608"/>
              <w:jc w:val="center"/>
              <w:rPr>
                <w:rFonts w:ascii="Times New Roman"/>
                <w:i/>
                <w:sz w:val="20"/>
              </w:rPr>
            </w:pPr>
            <w:r>
              <w:rPr>
                <w:rFonts w:ascii="Times New Roman"/>
                <w:i/>
                <w:sz w:val="20"/>
              </w:rPr>
              <w:t>SUM_SAMPS[12:8]</w:t>
            </w:r>
          </w:p>
        </w:tc>
      </w:tr>
      <w:tr>
        <w:trPr>
          <w:trHeight w:val="270" w:hRule="atLeast"/>
        </w:trPr>
        <w:tc>
          <w:tcPr>
            <w:tcW w:w="1325" w:type="dxa"/>
          </w:tcPr>
          <w:p>
            <w:pPr>
              <w:pStyle w:val="TableParagraph"/>
              <w:spacing w:before="21"/>
              <w:ind w:left="112" w:right="106"/>
              <w:jc w:val="center"/>
              <w:rPr>
                <w:sz w:val="20"/>
              </w:rPr>
            </w:pPr>
            <w:r>
              <w:rPr>
                <w:sz w:val="20"/>
              </w:rPr>
              <w:t>CE4</w:t>
            </w:r>
          </w:p>
        </w:tc>
        <w:tc>
          <w:tcPr>
            <w:tcW w:w="713" w:type="dxa"/>
          </w:tcPr>
          <w:p>
            <w:pPr>
              <w:pStyle w:val="TableParagraph"/>
              <w:spacing w:before="21"/>
              <w:ind w:left="94" w:right="88"/>
              <w:jc w:val="center"/>
              <w:rPr>
                <w:sz w:val="20"/>
              </w:rPr>
            </w:pPr>
            <w:r>
              <w:rPr>
                <w:sz w:val="20"/>
              </w:rPr>
              <w:t>2002</w:t>
            </w:r>
          </w:p>
        </w:tc>
        <w:tc>
          <w:tcPr>
            <w:tcW w:w="10922" w:type="dxa"/>
            <w:gridSpan w:val="10"/>
          </w:tcPr>
          <w:p>
            <w:pPr>
              <w:pStyle w:val="TableParagraph"/>
              <w:spacing w:before="17"/>
              <w:ind w:left="4487" w:right="4480"/>
              <w:jc w:val="center"/>
              <w:rPr>
                <w:rFonts w:ascii="Times New Roman"/>
                <w:i/>
                <w:sz w:val="20"/>
              </w:rPr>
            </w:pPr>
            <w:r>
              <w:rPr>
                <w:rFonts w:ascii="Times New Roman"/>
                <w:i/>
                <w:sz w:val="20"/>
              </w:rPr>
              <w:t>SUM_SAMPS[7:0]</w:t>
            </w:r>
          </w:p>
        </w:tc>
      </w:tr>
      <w:tr>
        <w:trPr>
          <w:trHeight w:val="520" w:hRule="atLeast"/>
        </w:trPr>
        <w:tc>
          <w:tcPr>
            <w:tcW w:w="1325" w:type="dxa"/>
          </w:tcPr>
          <w:p>
            <w:pPr>
              <w:pStyle w:val="TableParagraph"/>
              <w:spacing w:before="143"/>
              <w:ind w:left="112" w:right="106"/>
              <w:jc w:val="center"/>
              <w:rPr>
                <w:sz w:val="20"/>
              </w:rPr>
            </w:pPr>
            <w:r>
              <w:rPr>
                <w:sz w:val="20"/>
              </w:rPr>
              <w:t>CE3</w:t>
            </w:r>
          </w:p>
        </w:tc>
        <w:tc>
          <w:tcPr>
            <w:tcW w:w="713" w:type="dxa"/>
          </w:tcPr>
          <w:p>
            <w:pPr>
              <w:pStyle w:val="TableParagraph"/>
              <w:spacing w:before="143"/>
              <w:ind w:left="94" w:right="88"/>
              <w:jc w:val="center"/>
              <w:rPr>
                <w:sz w:val="20"/>
              </w:rPr>
            </w:pPr>
            <w:r>
              <w:rPr>
                <w:sz w:val="20"/>
              </w:rPr>
              <w:t>2003</w:t>
            </w:r>
          </w:p>
        </w:tc>
        <w:tc>
          <w:tcPr>
            <w:tcW w:w="1423" w:type="dxa"/>
            <w:shd w:val="clear" w:color="auto" w:fill="DADADA"/>
          </w:tcPr>
          <w:p>
            <w:pPr>
              <w:pStyle w:val="TableParagraph"/>
              <w:spacing w:before="139"/>
              <w:ind w:left="6"/>
              <w:jc w:val="center"/>
              <w:rPr>
                <w:rFonts w:ascii="Times New Roman"/>
                <w:i/>
                <w:sz w:val="20"/>
              </w:rPr>
            </w:pPr>
            <w:r>
              <w:rPr>
                <w:rFonts w:ascii="Times New Roman"/>
                <w:i/>
                <w:w w:val="99"/>
                <w:sz w:val="20"/>
              </w:rPr>
              <w:t>U</w:t>
            </w:r>
          </w:p>
        </w:tc>
        <w:tc>
          <w:tcPr>
            <w:tcW w:w="9499" w:type="dxa"/>
            <w:gridSpan w:val="9"/>
          </w:tcPr>
          <w:p>
            <w:pPr>
              <w:pStyle w:val="TableParagraph"/>
              <w:spacing w:before="2"/>
              <w:rPr>
                <w:b/>
                <w:sz w:val="23"/>
              </w:rPr>
            </w:pPr>
          </w:p>
          <w:p>
            <w:pPr>
              <w:pStyle w:val="TableParagraph"/>
              <w:ind w:left="4013" w:right="4013"/>
              <w:jc w:val="center"/>
              <w:rPr>
                <w:rFonts w:ascii="Times New Roman"/>
                <w:i/>
                <w:sz w:val="20"/>
              </w:rPr>
            </w:pPr>
            <w:r>
              <w:rPr>
                <w:rFonts w:ascii="Times New Roman"/>
                <w:i/>
                <w:sz w:val="20"/>
              </w:rPr>
              <w:t>CE_LCTN[6/5:0]</w:t>
            </w:r>
          </w:p>
        </w:tc>
      </w:tr>
      <w:tr>
        <w:trPr>
          <w:trHeight w:val="268" w:hRule="atLeast"/>
        </w:trPr>
        <w:tc>
          <w:tcPr>
            <w:tcW w:w="1325" w:type="dxa"/>
          </w:tcPr>
          <w:p>
            <w:pPr>
              <w:pStyle w:val="TableParagraph"/>
              <w:spacing w:before="18"/>
              <w:ind w:left="112" w:right="106"/>
              <w:jc w:val="center"/>
              <w:rPr>
                <w:sz w:val="20"/>
              </w:rPr>
            </w:pPr>
            <w:r>
              <w:rPr>
                <w:sz w:val="20"/>
              </w:rPr>
              <w:t>CE2</w:t>
            </w:r>
          </w:p>
        </w:tc>
        <w:tc>
          <w:tcPr>
            <w:tcW w:w="713" w:type="dxa"/>
          </w:tcPr>
          <w:p>
            <w:pPr>
              <w:pStyle w:val="TableParagraph"/>
              <w:spacing w:before="18"/>
              <w:ind w:left="94" w:right="88"/>
              <w:jc w:val="center"/>
              <w:rPr>
                <w:sz w:val="20"/>
              </w:rPr>
            </w:pPr>
            <w:r>
              <w:rPr>
                <w:sz w:val="20"/>
              </w:rPr>
              <w:t>2004</w:t>
            </w:r>
          </w:p>
        </w:tc>
        <w:tc>
          <w:tcPr>
            <w:tcW w:w="10922" w:type="dxa"/>
            <w:gridSpan w:val="10"/>
          </w:tcPr>
          <w:p>
            <w:pPr>
              <w:pStyle w:val="TableParagraph"/>
              <w:spacing w:before="14"/>
              <w:ind w:left="4487" w:right="4485"/>
              <w:jc w:val="center"/>
              <w:rPr>
                <w:rFonts w:ascii="Times New Roman"/>
                <w:i/>
                <w:sz w:val="20"/>
              </w:rPr>
            </w:pPr>
            <w:r>
              <w:rPr>
                <w:rFonts w:ascii="Times New Roman"/>
                <w:i/>
                <w:sz w:val="20"/>
              </w:rPr>
              <w:t>PLS_MAXWIDTH[7:0]</w:t>
            </w:r>
          </w:p>
        </w:tc>
      </w:tr>
      <w:tr>
        <w:trPr>
          <w:trHeight w:val="270" w:hRule="atLeast"/>
        </w:trPr>
        <w:tc>
          <w:tcPr>
            <w:tcW w:w="1325" w:type="dxa"/>
          </w:tcPr>
          <w:p>
            <w:pPr>
              <w:pStyle w:val="TableParagraph"/>
              <w:spacing w:before="21"/>
              <w:ind w:left="112" w:right="106"/>
              <w:jc w:val="center"/>
              <w:rPr>
                <w:sz w:val="20"/>
              </w:rPr>
            </w:pPr>
            <w:r>
              <w:rPr>
                <w:sz w:val="20"/>
              </w:rPr>
              <w:t>CE1</w:t>
            </w:r>
          </w:p>
        </w:tc>
        <w:tc>
          <w:tcPr>
            <w:tcW w:w="713" w:type="dxa"/>
          </w:tcPr>
          <w:p>
            <w:pPr>
              <w:pStyle w:val="TableParagraph"/>
              <w:spacing w:before="21"/>
              <w:ind w:left="94" w:right="88"/>
              <w:jc w:val="center"/>
              <w:rPr>
                <w:sz w:val="20"/>
              </w:rPr>
            </w:pPr>
            <w:r>
              <w:rPr>
                <w:sz w:val="20"/>
              </w:rPr>
              <w:t>2005</w:t>
            </w:r>
          </w:p>
        </w:tc>
        <w:tc>
          <w:tcPr>
            <w:tcW w:w="10922" w:type="dxa"/>
            <w:gridSpan w:val="10"/>
          </w:tcPr>
          <w:p>
            <w:pPr>
              <w:pStyle w:val="TableParagraph"/>
              <w:spacing w:before="17"/>
              <w:ind w:left="4487" w:right="4483"/>
              <w:jc w:val="center"/>
              <w:rPr>
                <w:rFonts w:ascii="Times New Roman"/>
                <w:i/>
                <w:sz w:val="20"/>
              </w:rPr>
            </w:pPr>
            <w:r>
              <w:rPr>
                <w:rFonts w:ascii="Times New Roman"/>
                <w:i/>
                <w:sz w:val="20"/>
              </w:rPr>
              <w:t>PLS_INTERVAL[7:0]</w:t>
            </w:r>
          </w:p>
        </w:tc>
      </w:tr>
      <w:tr>
        <w:trPr>
          <w:trHeight w:val="270" w:hRule="atLeast"/>
        </w:trPr>
        <w:tc>
          <w:tcPr>
            <w:tcW w:w="1325" w:type="dxa"/>
          </w:tcPr>
          <w:p>
            <w:pPr>
              <w:pStyle w:val="TableParagraph"/>
              <w:spacing w:before="18"/>
              <w:ind w:left="112" w:right="106"/>
              <w:jc w:val="center"/>
              <w:rPr>
                <w:sz w:val="20"/>
              </w:rPr>
            </w:pPr>
            <w:r>
              <w:rPr>
                <w:sz w:val="20"/>
              </w:rPr>
              <w:t>CE0</w:t>
            </w:r>
          </w:p>
        </w:tc>
        <w:tc>
          <w:tcPr>
            <w:tcW w:w="713" w:type="dxa"/>
          </w:tcPr>
          <w:p>
            <w:pPr>
              <w:pStyle w:val="TableParagraph"/>
              <w:spacing w:before="18"/>
              <w:ind w:left="94" w:right="88"/>
              <w:jc w:val="center"/>
              <w:rPr>
                <w:sz w:val="20"/>
              </w:rPr>
            </w:pPr>
            <w:r>
              <w:rPr>
                <w:sz w:val="20"/>
              </w:rPr>
              <w:t>2006</w:t>
            </w:r>
          </w:p>
        </w:tc>
        <w:tc>
          <w:tcPr>
            <w:tcW w:w="1423" w:type="dxa"/>
          </w:tcPr>
          <w:p>
            <w:pPr>
              <w:pStyle w:val="TableParagraph"/>
              <w:spacing w:before="14"/>
              <w:ind w:left="151" w:right="142"/>
              <w:jc w:val="center"/>
              <w:rPr>
                <w:rFonts w:ascii="Times New Roman"/>
                <w:i/>
                <w:sz w:val="20"/>
              </w:rPr>
            </w:pPr>
            <w:r>
              <w:rPr>
                <w:rFonts w:ascii="Times New Roman"/>
                <w:i/>
                <w:sz w:val="20"/>
              </w:rPr>
              <w:t>DIFF6_E</w:t>
            </w:r>
          </w:p>
        </w:tc>
        <w:tc>
          <w:tcPr>
            <w:tcW w:w="1313" w:type="dxa"/>
          </w:tcPr>
          <w:p>
            <w:pPr>
              <w:pStyle w:val="TableParagraph"/>
              <w:spacing w:before="14"/>
              <w:ind w:left="124" w:right="101"/>
              <w:jc w:val="center"/>
              <w:rPr>
                <w:rFonts w:ascii="Times New Roman"/>
                <w:i/>
                <w:sz w:val="20"/>
              </w:rPr>
            </w:pPr>
            <w:r>
              <w:rPr>
                <w:rFonts w:ascii="Times New Roman"/>
                <w:i/>
                <w:sz w:val="20"/>
              </w:rPr>
              <w:t>DIFF4_E</w:t>
            </w:r>
          </w:p>
        </w:tc>
        <w:tc>
          <w:tcPr>
            <w:tcW w:w="1378" w:type="dxa"/>
            <w:gridSpan w:val="2"/>
          </w:tcPr>
          <w:p>
            <w:pPr>
              <w:pStyle w:val="TableParagraph"/>
              <w:spacing w:before="14"/>
              <w:ind w:left="304"/>
              <w:rPr>
                <w:rFonts w:ascii="Times New Roman"/>
                <w:i/>
                <w:sz w:val="20"/>
              </w:rPr>
            </w:pPr>
            <w:r>
              <w:rPr>
                <w:rFonts w:ascii="Times New Roman"/>
                <w:i/>
                <w:sz w:val="20"/>
              </w:rPr>
              <w:t>DIFF2_E</w:t>
            </w:r>
          </w:p>
        </w:tc>
        <w:tc>
          <w:tcPr>
            <w:tcW w:w="1360" w:type="dxa"/>
            <w:gridSpan w:val="2"/>
          </w:tcPr>
          <w:p>
            <w:pPr>
              <w:pStyle w:val="TableParagraph"/>
              <w:spacing w:before="14"/>
              <w:ind w:left="289"/>
              <w:rPr>
                <w:rFonts w:ascii="Times New Roman"/>
                <w:i/>
                <w:sz w:val="20"/>
              </w:rPr>
            </w:pPr>
            <w:r>
              <w:rPr>
                <w:rFonts w:ascii="Times New Roman"/>
                <w:i/>
                <w:sz w:val="20"/>
              </w:rPr>
              <w:t>DIFF0_E</w:t>
            </w:r>
          </w:p>
        </w:tc>
        <w:tc>
          <w:tcPr>
            <w:tcW w:w="1337" w:type="dxa"/>
          </w:tcPr>
          <w:p>
            <w:pPr>
              <w:pStyle w:val="TableParagraph"/>
              <w:spacing w:before="14"/>
              <w:ind w:left="239"/>
              <w:rPr>
                <w:rFonts w:ascii="Times New Roman"/>
                <w:i/>
                <w:sz w:val="20"/>
              </w:rPr>
            </w:pPr>
            <w:r>
              <w:rPr>
                <w:rFonts w:ascii="Times New Roman"/>
                <w:i/>
                <w:sz w:val="20"/>
              </w:rPr>
              <w:t>RFLY_DIS</w:t>
            </w:r>
          </w:p>
        </w:tc>
        <w:tc>
          <w:tcPr>
            <w:tcW w:w="2732" w:type="dxa"/>
            <w:gridSpan w:val="2"/>
          </w:tcPr>
          <w:p>
            <w:pPr>
              <w:pStyle w:val="TableParagraph"/>
              <w:spacing w:before="14"/>
              <w:ind w:left="786"/>
              <w:rPr>
                <w:rFonts w:ascii="Times New Roman"/>
                <w:i/>
                <w:sz w:val="20"/>
              </w:rPr>
            </w:pPr>
            <w:r>
              <w:rPr>
                <w:rFonts w:ascii="Times New Roman"/>
                <w:i/>
                <w:sz w:val="20"/>
              </w:rPr>
              <w:t>FIR_LEN[1:0]</w:t>
            </w:r>
          </w:p>
        </w:tc>
        <w:tc>
          <w:tcPr>
            <w:tcW w:w="1379" w:type="dxa"/>
          </w:tcPr>
          <w:p>
            <w:pPr>
              <w:pStyle w:val="TableParagraph"/>
              <w:spacing w:before="14"/>
              <w:ind w:left="299" w:right="273"/>
              <w:jc w:val="center"/>
              <w:rPr>
                <w:rFonts w:ascii="Times New Roman"/>
                <w:i/>
                <w:sz w:val="20"/>
              </w:rPr>
            </w:pPr>
            <w:r>
              <w:rPr>
                <w:rFonts w:ascii="Times New Roman"/>
                <w:i/>
                <w:sz w:val="20"/>
              </w:rPr>
              <w:t>PLS_INV</w:t>
            </w:r>
          </w:p>
        </w:tc>
      </w:tr>
      <w:tr>
        <w:trPr>
          <w:trHeight w:val="268" w:hRule="atLeast"/>
        </w:trPr>
        <w:tc>
          <w:tcPr>
            <w:tcW w:w="1325" w:type="dxa"/>
          </w:tcPr>
          <w:p>
            <w:pPr>
              <w:pStyle w:val="TableParagraph"/>
              <w:spacing w:before="18"/>
              <w:ind w:left="113" w:right="106"/>
              <w:jc w:val="center"/>
              <w:rPr>
                <w:sz w:val="20"/>
              </w:rPr>
            </w:pPr>
            <w:r>
              <w:rPr>
                <w:sz w:val="20"/>
              </w:rPr>
              <w:t>RCE0</w:t>
            </w:r>
          </w:p>
        </w:tc>
        <w:tc>
          <w:tcPr>
            <w:tcW w:w="713" w:type="dxa"/>
          </w:tcPr>
          <w:p>
            <w:pPr>
              <w:pStyle w:val="TableParagraph"/>
              <w:spacing w:before="18"/>
              <w:ind w:left="94" w:right="88"/>
              <w:jc w:val="center"/>
              <w:rPr>
                <w:sz w:val="20"/>
              </w:rPr>
            </w:pPr>
            <w:r>
              <w:rPr>
                <w:sz w:val="20"/>
              </w:rPr>
              <w:t>2007</w:t>
            </w:r>
          </w:p>
        </w:tc>
        <w:tc>
          <w:tcPr>
            <w:tcW w:w="2736" w:type="dxa"/>
            <w:gridSpan w:val="2"/>
          </w:tcPr>
          <w:p>
            <w:pPr>
              <w:pStyle w:val="TableParagraph"/>
              <w:spacing w:before="14"/>
              <w:ind w:left="829"/>
              <w:rPr>
                <w:rFonts w:ascii="Times New Roman"/>
                <w:i/>
                <w:sz w:val="20"/>
              </w:rPr>
            </w:pPr>
            <w:r>
              <w:rPr>
                <w:rFonts w:ascii="Times New Roman"/>
                <w:i/>
                <w:sz w:val="20"/>
              </w:rPr>
              <w:t>CHOPR[1:0]</w:t>
            </w:r>
          </w:p>
        </w:tc>
        <w:tc>
          <w:tcPr>
            <w:tcW w:w="1378" w:type="dxa"/>
            <w:gridSpan w:val="2"/>
          </w:tcPr>
          <w:p>
            <w:pPr>
              <w:pStyle w:val="TableParagraph"/>
              <w:spacing w:before="14"/>
              <w:ind w:left="332"/>
              <w:rPr>
                <w:rFonts w:ascii="Times New Roman"/>
                <w:i/>
                <w:sz w:val="20"/>
              </w:rPr>
            </w:pPr>
            <w:r>
              <w:rPr>
                <w:rFonts w:ascii="Times New Roman"/>
                <w:i/>
                <w:sz w:val="20"/>
              </w:rPr>
              <w:t>RMT6_E</w:t>
            </w:r>
          </w:p>
        </w:tc>
        <w:tc>
          <w:tcPr>
            <w:tcW w:w="1360" w:type="dxa"/>
            <w:gridSpan w:val="2"/>
          </w:tcPr>
          <w:p>
            <w:pPr>
              <w:pStyle w:val="TableParagraph"/>
              <w:spacing w:before="14"/>
              <w:ind w:left="318"/>
              <w:rPr>
                <w:rFonts w:ascii="Times New Roman"/>
                <w:i/>
                <w:sz w:val="20"/>
              </w:rPr>
            </w:pPr>
            <w:r>
              <w:rPr>
                <w:rFonts w:ascii="Times New Roman"/>
                <w:i/>
                <w:sz w:val="20"/>
              </w:rPr>
              <w:t>RMT4_E</w:t>
            </w:r>
          </w:p>
        </w:tc>
        <w:tc>
          <w:tcPr>
            <w:tcW w:w="1337" w:type="dxa"/>
          </w:tcPr>
          <w:p>
            <w:pPr>
              <w:pStyle w:val="TableParagraph"/>
              <w:spacing w:before="14"/>
              <w:ind w:left="318"/>
              <w:rPr>
                <w:rFonts w:ascii="Times New Roman"/>
                <w:i/>
                <w:sz w:val="20"/>
              </w:rPr>
            </w:pPr>
            <w:r>
              <w:rPr>
                <w:rFonts w:ascii="Times New Roman"/>
                <w:i/>
                <w:sz w:val="20"/>
              </w:rPr>
              <w:t>RMT2_E</w:t>
            </w:r>
          </w:p>
        </w:tc>
        <w:tc>
          <w:tcPr>
            <w:tcW w:w="4111" w:type="dxa"/>
            <w:gridSpan w:val="3"/>
          </w:tcPr>
          <w:p>
            <w:pPr>
              <w:pStyle w:val="TableParagraph"/>
              <w:spacing w:before="14"/>
              <w:ind w:left="1450" w:right="1422"/>
              <w:jc w:val="center"/>
              <w:rPr>
                <w:rFonts w:ascii="Times New Roman"/>
                <w:i/>
                <w:sz w:val="20"/>
              </w:rPr>
            </w:pPr>
            <w:r>
              <w:rPr>
                <w:rFonts w:ascii="Times New Roman"/>
                <w:i/>
                <w:sz w:val="20"/>
              </w:rPr>
              <w:t>TMUXR6[2:0]</w:t>
            </w:r>
          </w:p>
        </w:tc>
      </w:tr>
      <w:tr>
        <w:trPr>
          <w:trHeight w:val="270" w:hRule="atLeast"/>
        </w:trPr>
        <w:tc>
          <w:tcPr>
            <w:tcW w:w="1325" w:type="dxa"/>
          </w:tcPr>
          <w:p>
            <w:pPr>
              <w:pStyle w:val="TableParagraph"/>
              <w:spacing w:before="21"/>
              <w:ind w:left="113" w:right="103"/>
              <w:jc w:val="center"/>
              <w:rPr>
                <w:sz w:val="20"/>
              </w:rPr>
            </w:pPr>
            <w:r>
              <w:rPr>
                <w:sz w:val="20"/>
              </w:rPr>
              <w:t>RTMUX</w:t>
            </w:r>
          </w:p>
        </w:tc>
        <w:tc>
          <w:tcPr>
            <w:tcW w:w="713" w:type="dxa"/>
          </w:tcPr>
          <w:p>
            <w:pPr>
              <w:pStyle w:val="TableParagraph"/>
              <w:spacing w:before="21"/>
              <w:ind w:left="94" w:right="88"/>
              <w:jc w:val="center"/>
              <w:rPr>
                <w:sz w:val="20"/>
              </w:rPr>
            </w:pPr>
            <w:r>
              <w:rPr>
                <w:sz w:val="20"/>
              </w:rPr>
              <w:t>2008</w:t>
            </w:r>
          </w:p>
        </w:tc>
        <w:tc>
          <w:tcPr>
            <w:tcW w:w="1423" w:type="dxa"/>
            <w:shd w:val="clear" w:color="auto" w:fill="DADADA"/>
          </w:tcPr>
          <w:p>
            <w:pPr>
              <w:pStyle w:val="TableParagraph"/>
              <w:spacing w:before="17"/>
              <w:ind w:left="6"/>
              <w:jc w:val="center"/>
              <w:rPr>
                <w:rFonts w:ascii="Times New Roman"/>
                <w:i/>
                <w:sz w:val="20"/>
              </w:rPr>
            </w:pPr>
            <w:r>
              <w:rPr>
                <w:rFonts w:ascii="Times New Roman"/>
                <w:i/>
                <w:w w:val="99"/>
                <w:sz w:val="20"/>
              </w:rPr>
              <w:t>U</w:t>
            </w:r>
          </w:p>
        </w:tc>
        <w:tc>
          <w:tcPr>
            <w:tcW w:w="4051" w:type="dxa"/>
            <w:gridSpan w:val="5"/>
          </w:tcPr>
          <w:p>
            <w:pPr>
              <w:pStyle w:val="TableParagraph"/>
              <w:spacing w:before="17"/>
              <w:ind w:left="1406" w:right="1405"/>
              <w:jc w:val="center"/>
              <w:rPr>
                <w:rFonts w:ascii="Times New Roman"/>
                <w:i/>
                <w:sz w:val="20"/>
              </w:rPr>
            </w:pPr>
            <w:r>
              <w:rPr>
                <w:rFonts w:ascii="Times New Roman"/>
                <w:i/>
                <w:sz w:val="20"/>
              </w:rPr>
              <w:t>TMUXR4[2:0]</w:t>
            </w:r>
          </w:p>
        </w:tc>
        <w:tc>
          <w:tcPr>
            <w:tcW w:w="1337" w:type="dxa"/>
            <w:shd w:val="clear" w:color="auto" w:fill="DADADA"/>
          </w:tcPr>
          <w:p>
            <w:pPr>
              <w:pStyle w:val="TableParagraph"/>
              <w:spacing w:before="17"/>
              <w:ind w:left="30"/>
              <w:jc w:val="center"/>
              <w:rPr>
                <w:rFonts w:ascii="Times New Roman"/>
                <w:i/>
                <w:sz w:val="20"/>
              </w:rPr>
            </w:pPr>
            <w:r>
              <w:rPr>
                <w:rFonts w:ascii="Times New Roman"/>
                <w:i/>
                <w:w w:val="99"/>
                <w:sz w:val="20"/>
              </w:rPr>
              <w:t>U</w:t>
            </w:r>
          </w:p>
        </w:tc>
        <w:tc>
          <w:tcPr>
            <w:tcW w:w="4111" w:type="dxa"/>
            <w:gridSpan w:val="3"/>
          </w:tcPr>
          <w:p>
            <w:pPr>
              <w:pStyle w:val="TableParagraph"/>
              <w:spacing w:before="17"/>
              <w:ind w:left="1450" w:right="1422"/>
              <w:jc w:val="center"/>
              <w:rPr>
                <w:rFonts w:ascii="Times New Roman"/>
                <w:i/>
                <w:sz w:val="20"/>
              </w:rPr>
            </w:pPr>
            <w:r>
              <w:rPr>
                <w:rFonts w:ascii="Times New Roman"/>
                <w:i/>
                <w:sz w:val="20"/>
              </w:rPr>
              <w:t>TMUXR2[2:0]</w:t>
            </w:r>
          </w:p>
        </w:tc>
      </w:tr>
      <w:tr>
        <w:trPr>
          <w:trHeight w:val="270" w:hRule="atLeast"/>
        </w:trPr>
        <w:tc>
          <w:tcPr>
            <w:tcW w:w="1325" w:type="dxa"/>
          </w:tcPr>
          <w:p>
            <w:pPr>
              <w:pStyle w:val="TableParagraph"/>
              <w:spacing w:before="18"/>
              <w:ind w:left="112" w:right="106"/>
              <w:jc w:val="center"/>
              <w:rPr>
                <w:sz w:val="20"/>
              </w:rPr>
            </w:pPr>
            <w:r>
              <w:rPr>
                <w:sz w:val="20"/>
              </w:rPr>
              <w:t>FOVRD</w:t>
            </w:r>
          </w:p>
        </w:tc>
        <w:tc>
          <w:tcPr>
            <w:tcW w:w="713" w:type="dxa"/>
          </w:tcPr>
          <w:p>
            <w:pPr>
              <w:pStyle w:val="TableParagraph"/>
              <w:spacing w:before="18"/>
              <w:ind w:left="94" w:right="88"/>
              <w:jc w:val="center"/>
              <w:rPr>
                <w:sz w:val="20"/>
              </w:rPr>
            </w:pPr>
            <w:r>
              <w:rPr>
                <w:sz w:val="20"/>
              </w:rPr>
              <w:t>2009</w:t>
            </w:r>
          </w:p>
        </w:tc>
        <w:tc>
          <w:tcPr>
            <w:tcW w:w="1423" w:type="dxa"/>
            <w:shd w:val="clear" w:color="auto" w:fill="DADADA"/>
          </w:tcPr>
          <w:p>
            <w:pPr>
              <w:pStyle w:val="TableParagraph"/>
              <w:spacing w:before="14"/>
              <w:ind w:left="6"/>
              <w:jc w:val="center"/>
              <w:rPr>
                <w:rFonts w:ascii="Times New Roman"/>
                <w:i/>
                <w:sz w:val="20"/>
              </w:rPr>
            </w:pPr>
            <w:r>
              <w:rPr>
                <w:rFonts w:ascii="Times New Roman"/>
                <w:i/>
                <w:w w:val="99"/>
                <w:sz w:val="20"/>
              </w:rPr>
              <w:t>U</w:t>
            </w:r>
          </w:p>
        </w:tc>
        <w:tc>
          <w:tcPr>
            <w:tcW w:w="1313" w:type="dxa"/>
            <w:shd w:val="clear" w:color="auto" w:fill="DADADA"/>
          </w:tcPr>
          <w:p>
            <w:pPr>
              <w:pStyle w:val="TableParagraph"/>
              <w:spacing w:before="14"/>
              <w:ind w:left="20"/>
              <w:jc w:val="center"/>
              <w:rPr>
                <w:rFonts w:ascii="Times New Roman"/>
                <w:i/>
                <w:sz w:val="20"/>
              </w:rPr>
            </w:pPr>
            <w:r>
              <w:rPr>
                <w:rFonts w:ascii="Times New Roman"/>
                <w:i/>
                <w:w w:val="99"/>
                <w:sz w:val="20"/>
              </w:rPr>
              <w:t>U</w:t>
            </w:r>
          </w:p>
        </w:tc>
        <w:tc>
          <w:tcPr>
            <w:tcW w:w="1378" w:type="dxa"/>
            <w:gridSpan w:val="2"/>
            <w:shd w:val="clear" w:color="auto" w:fill="A8A8A8"/>
          </w:tcPr>
          <w:p>
            <w:pPr>
              <w:pStyle w:val="TableParagraph"/>
              <w:spacing w:before="14"/>
              <w:ind w:left="19"/>
              <w:jc w:val="center"/>
              <w:rPr>
                <w:rFonts w:ascii="Times New Roman"/>
                <w:i/>
                <w:sz w:val="20"/>
              </w:rPr>
            </w:pPr>
            <w:r>
              <w:rPr>
                <w:rFonts w:ascii="Times New Roman"/>
                <w:i/>
                <w:w w:val="99"/>
                <w:sz w:val="20"/>
              </w:rPr>
              <w:t>R</w:t>
            </w:r>
          </w:p>
        </w:tc>
        <w:tc>
          <w:tcPr>
            <w:tcW w:w="1360" w:type="dxa"/>
            <w:gridSpan w:val="2"/>
            <w:shd w:val="clear" w:color="auto" w:fill="DADADA"/>
          </w:tcPr>
          <w:p>
            <w:pPr>
              <w:pStyle w:val="TableParagraph"/>
              <w:spacing w:before="14"/>
              <w:ind w:left="6"/>
              <w:jc w:val="center"/>
              <w:rPr>
                <w:rFonts w:ascii="Times New Roman"/>
                <w:i/>
                <w:sz w:val="20"/>
              </w:rPr>
            </w:pPr>
            <w:r>
              <w:rPr>
                <w:rFonts w:ascii="Times New Roman"/>
                <w:i/>
                <w:w w:val="99"/>
                <w:sz w:val="20"/>
              </w:rPr>
              <w:t>U</w:t>
            </w:r>
          </w:p>
        </w:tc>
        <w:tc>
          <w:tcPr>
            <w:tcW w:w="1337" w:type="dxa"/>
            <w:shd w:val="clear" w:color="auto" w:fill="DADADA"/>
          </w:tcPr>
          <w:p>
            <w:pPr>
              <w:pStyle w:val="TableParagraph"/>
              <w:spacing w:before="14"/>
              <w:ind w:left="30"/>
              <w:jc w:val="center"/>
              <w:rPr>
                <w:rFonts w:ascii="Times New Roman"/>
                <w:i/>
                <w:sz w:val="20"/>
              </w:rPr>
            </w:pPr>
            <w:r>
              <w:rPr>
                <w:rFonts w:ascii="Times New Roman"/>
                <w:i/>
                <w:w w:val="99"/>
                <w:sz w:val="20"/>
              </w:rPr>
              <w:t>U</w:t>
            </w:r>
          </w:p>
        </w:tc>
        <w:tc>
          <w:tcPr>
            <w:tcW w:w="1367" w:type="dxa"/>
            <w:shd w:val="clear" w:color="auto" w:fill="DADADA"/>
          </w:tcPr>
          <w:p>
            <w:pPr>
              <w:pStyle w:val="TableParagraph"/>
              <w:spacing w:before="14"/>
              <w:ind w:left="53"/>
              <w:jc w:val="center"/>
              <w:rPr>
                <w:rFonts w:ascii="Times New Roman"/>
                <w:i/>
                <w:sz w:val="20"/>
              </w:rPr>
            </w:pPr>
            <w:r>
              <w:rPr>
                <w:rFonts w:ascii="Times New Roman"/>
                <w:i/>
                <w:w w:val="99"/>
                <w:sz w:val="20"/>
              </w:rPr>
              <w:t>U</w:t>
            </w:r>
          </w:p>
        </w:tc>
        <w:tc>
          <w:tcPr>
            <w:tcW w:w="1365" w:type="dxa"/>
            <w:shd w:val="clear" w:color="auto" w:fill="DADADA"/>
          </w:tcPr>
          <w:p>
            <w:pPr>
              <w:pStyle w:val="TableParagraph"/>
              <w:spacing w:before="14"/>
              <w:ind w:left="42"/>
              <w:jc w:val="center"/>
              <w:rPr>
                <w:rFonts w:ascii="Times New Roman"/>
                <w:i/>
                <w:sz w:val="20"/>
              </w:rPr>
            </w:pPr>
            <w:r>
              <w:rPr>
                <w:rFonts w:ascii="Times New Roman"/>
                <w:i/>
                <w:w w:val="99"/>
                <w:sz w:val="20"/>
              </w:rPr>
              <w:t>U</w:t>
            </w:r>
          </w:p>
        </w:tc>
        <w:tc>
          <w:tcPr>
            <w:tcW w:w="1379" w:type="dxa"/>
            <w:shd w:val="clear" w:color="auto" w:fill="DADADA"/>
          </w:tcPr>
          <w:p>
            <w:pPr>
              <w:pStyle w:val="TableParagraph"/>
              <w:spacing w:before="14"/>
              <w:ind w:left="25"/>
              <w:jc w:val="center"/>
              <w:rPr>
                <w:rFonts w:ascii="Times New Roman"/>
                <w:i/>
                <w:sz w:val="20"/>
              </w:rPr>
            </w:pPr>
            <w:r>
              <w:rPr>
                <w:rFonts w:ascii="Times New Roman"/>
                <w:i/>
                <w:w w:val="99"/>
                <w:sz w:val="20"/>
              </w:rPr>
              <w:t>U</w:t>
            </w:r>
          </w:p>
        </w:tc>
      </w:tr>
      <w:tr>
        <w:trPr>
          <w:trHeight w:val="268" w:hRule="atLeast"/>
        </w:trPr>
        <w:tc>
          <w:tcPr>
            <w:tcW w:w="1325" w:type="dxa"/>
          </w:tcPr>
          <w:p>
            <w:pPr>
              <w:pStyle w:val="TableParagraph"/>
              <w:spacing w:before="18"/>
              <w:ind w:left="113" w:right="106"/>
              <w:jc w:val="center"/>
              <w:rPr>
                <w:sz w:val="20"/>
              </w:rPr>
            </w:pPr>
            <w:r>
              <w:rPr>
                <w:sz w:val="20"/>
              </w:rPr>
              <w:t>MUX5</w:t>
            </w:r>
          </w:p>
        </w:tc>
        <w:tc>
          <w:tcPr>
            <w:tcW w:w="713" w:type="dxa"/>
          </w:tcPr>
          <w:p>
            <w:pPr>
              <w:pStyle w:val="TableParagraph"/>
              <w:spacing w:before="18"/>
              <w:ind w:left="94" w:right="87"/>
              <w:jc w:val="center"/>
              <w:rPr>
                <w:sz w:val="20"/>
              </w:rPr>
            </w:pPr>
            <w:r>
              <w:rPr>
                <w:sz w:val="20"/>
              </w:rPr>
              <w:t>200A</w:t>
            </w:r>
          </w:p>
        </w:tc>
        <w:tc>
          <w:tcPr>
            <w:tcW w:w="5474" w:type="dxa"/>
            <w:gridSpan w:val="6"/>
          </w:tcPr>
          <w:p>
            <w:pPr>
              <w:pStyle w:val="TableParagraph"/>
              <w:spacing w:before="14"/>
              <w:ind w:left="2071" w:right="2064"/>
              <w:jc w:val="center"/>
              <w:rPr>
                <w:rFonts w:ascii="Times New Roman"/>
                <w:i/>
                <w:sz w:val="20"/>
              </w:rPr>
            </w:pPr>
            <w:r>
              <w:rPr>
                <w:rFonts w:ascii="Times New Roman"/>
                <w:i/>
                <w:sz w:val="20"/>
              </w:rPr>
              <w:t>MUX_DIV[3:0]</w:t>
            </w:r>
          </w:p>
        </w:tc>
        <w:tc>
          <w:tcPr>
            <w:tcW w:w="5448" w:type="dxa"/>
            <w:gridSpan w:val="4"/>
          </w:tcPr>
          <w:p>
            <w:pPr>
              <w:pStyle w:val="TableParagraph"/>
              <w:spacing w:before="14"/>
              <w:ind w:left="2169" w:right="2162"/>
              <w:jc w:val="center"/>
              <w:rPr>
                <w:rFonts w:ascii="Times New Roman"/>
                <w:i/>
                <w:sz w:val="20"/>
              </w:rPr>
            </w:pPr>
            <w:r>
              <w:rPr>
                <w:rFonts w:ascii="Times New Roman"/>
                <w:i/>
                <w:sz w:val="20"/>
              </w:rPr>
              <w:t>MUX10_SEL</w:t>
            </w:r>
          </w:p>
        </w:tc>
      </w:tr>
      <w:tr>
        <w:trPr>
          <w:trHeight w:val="270" w:hRule="atLeast"/>
        </w:trPr>
        <w:tc>
          <w:tcPr>
            <w:tcW w:w="1325" w:type="dxa"/>
          </w:tcPr>
          <w:p>
            <w:pPr>
              <w:pStyle w:val="TableParagraph"/>
              <w:spacing w:before="21"/>
              <w:ind w:left="113" w:right="106"/>
              <w:jc w:val="center"/>
              <w:rPr>
                <w:sz w:val="20"/>
              </w:rPr>
            </w:pPr>
            <w:r>
              <w:rPr>
                <w:sz w:val="20"/>
              </w:rPr>
              <w:t>MUX4</w:t>
            </w:r>
          </w:p>
        </w:tc>
        <w:tc>
          <w:tcPr>
            <w:tcW w:w="713" w:type="dxa"/>
          </w:tcPr>
          <w:p>
            <w:pPr>
              <w:pStyle w:val="TableParagraph"/>
              <w:spacing w:before="21"/>
              <w:ind w:left="94" w:right="87"/>
              <w:jc w:val="center"/>
              <w:rPr>
                <w:sz w:val="20"/>
              </w:rPr>
            </w:pPr>
            <w:r>
              <w:rPr>
                <w:sz w:val="20"/>
              </w:rPr>
              <w:t>200B</w:t>
            </w:r>
          </w:p>
        </w:tc>
        <w:tc>
          <w:tcPr>
            <w:tcW w:w="5474" w:type="dxa"/>
            <w:gridSpan w:val="6"/>
          </w:tcPr>
          <w:p>
            <w:pPr>
              <w:pStyle w:val="TableParagraph"/>
              <w:spacing w:before="17"/>
              <w:ind w:left="2071" w:right="2062"/>
              <w:jc w:val="center"/>
              <w:rPr>
                <w:rFonts w:ascii="Times New Roman"/>
                <w:i/>
                <w:sz w:val="20"/>
              </w:rPr>
            </w:pPr>
            <w:r>
              <w:rPr>
                <w:rFonts w:ascii="Times New Roman"/>
                <w:i/>
                <w:sz w:val="20"/>
              </w:rPr>
              <w:t>MUX9_SEL</w:t>
            </w:r>
          </w:p>
        </w:tc>
        <w:tc>
          <w:tcPr>
            <w:tcW w:w="5448" w:type="dxa"/>
            <w:gridSpan w:val="4"/>
          </w:tcPr>
          <w:p>
            <w:pPr>
              <w:pStyle w:val="TableParagraph"/>
              <w:spacing w:before="17"/>
              <w:ind w:left="2169" w:right="2162"/>
              <w:jc w:val="center"/>
              <w:rPr>
                <w:rFonts w:ascii="Times New Roman"/>
                <w:i/>
                <w:sz w:val="20"/>
              </w:rPr>
            </w:pPr>
            <w:r>
              <w:rPr>
                <w:rFonts w:ascii="Times New Roman"/>
                <w:i/>
                <w:sz w:val="20"/>
              </w:rPr>
              <w:t>MUX8_SEL</w:t>
            </w:r>
          </w:p>
        </w:tc>
      </w:tr>
      <w:tr>
        <w:trPr>
          <w:trHeight w:val="270" w:hRule="atLeast"/>
        </w:trPr>
        <w:tc>
          <w:tcPr>
            <w:tcW w:w="1325" w:type="dxa"/>
          </w:tcPr>
          <w:p>
            <w:pPr>
              <w:pStyle w:val="TableParagraph"/>
              <w:spacing w:before="18"/>
              <w:ind w:left="113" w:right="106"/>
              <w:jc w:val="center"/>
              <w:rPr>
                <w:sz w:val="20"/>
              </w:rPr>
            </w:pPr>
            <w:r>
              <w:rPr>
                <w:sz w:val="20"/>
              </w:rPr>
              <w:t>MUX3</w:t>
            </w:r>
          </w:p>
        </w:tc>
        <w:tc>
          <w:tcPr>
            <w:tcW w:w="713" w:type="dxa"/>
          </w:tcPr>
          <w:p>
            <w:pPr>
              <w:pStyle w:val="TableParagraph"/>
              <w:spacing w:before="18"/>
              <w:ind w:left="94" w:right="89"/>
              <w:jc w:val="center"/>
              <w:rPr>
                <w:sz w:val="20"/>
              </w:rPr>
            </w:pPr>
            <w:r>
              <w:rPr>
                <w:sz w:val="20"/>
              </w:rPr>
              <w:t>200C</w:t>
            </w:r>
          </w:p>
        </w:tc>
        <w:tc>
          <w:tcPr>
            <w:tcW w:w="5474" w:type="dxa"/>
            <w:gridSpan w:val="6"/>
          </w:tcPr>
          <w:p>
            <w:pPr>
              <w:pStyle w:val="TableParagraph"/>
              <w:spacing w:before="14"/>
              <w:ind w:left="2071" w:right="2062"/>
              <w:jc w:val="center"/>
              <w:rPr>
                <w:rFonts w:ascii="Times New Roman"/>
                <w:i/>
                <w:sz w:val="20"/>
              </w:rPr>
            </w:pPr>
            <w:r>
              <w:rPr>
                <w:rFonts w:ascii="Times New Roman"/>
                <w:i/>
                <w:sz w:val="20"/>
              </w:rPr>
              <w:t>MUX7_SEL</w:t>
            </w:r>
          </w:p>
        </w:tc>
        <w:tc>
          <w:tcPr>
            <w:tcW w:w="5448" w:type="dxa"/>
            <w:gridSpan w:val="4"/>
          </w:tcPr>
          <w:p>
            <w:pPr>
              <w:pStyle w:val="TableParagraph"/>
              <w:spacing w:before="14"/>
              <w:ind w:left="2169" w:right="2162"/>
              <w:jc w:val="center"/>
              <w:rPr>
                <w:rFonts w:ascii="Times New Roman"/>
                <w:i/>
                <w:sz w:val="20"/>
              </w:rPr>
            </w:pPr>
            <w:r>
              <w:rPr>
                <w:rFonts w:ascii="Times New Roman"/>
                <w:i/>
                <w:sz w:val="20"/>
              </w:rPr>
              <w:t>MUX6_SEL</w:t>
            </w:r>
          </w:p>
        </w:tc>
      </w:tr>
      <w:tr>
        <w:trPr>
          <w:trHeight w:val="268" w:hRule="atLeast"/>
        </w:trPr>
        <w:tc>
          <w:tcPr>
            <w:tcW w:w="1325" w:type="dxa"/>
          </w:tcPr>
          <w:p>
            <w:pPr>
              <w:pStyle w:val="TableParagraph"/>
              <w:spacing w:before="18"/>
              <w:ind w:left="113" w:right="106"/>
              <w:jc w:val="center"/>
              <w:rPr>
                <w:sz w:val="20"/>
              </w:rPr>
            </w:pPr>
            <w:r>
              <w:rPr>
                <w:sz w:val="20"/>
              </w:rPr>
              <w:t>MUX2</w:t>
            </w:r>
          </w:p>
        </w:tc>
        <w:tc>
          <w:tcPr>
            <w:tcW w:w="713" w:type="dxa"/>
          </w:tcPr>
          <w:p>
            <w:pPr>
              <w:pStyle w:val="TableParagraph"/>
              <w:spacing w:before="18"/>
              <w:ind w:left="94" w:right="89"/>
              <w:jc w:val="center"/>
              <w:rPr>
                <w:sz w:val="20"/>
              </w:rPr>
            </w:pPr>
            <w:r>
              <w:rPr>
                <w:sz w:val="20"/>
              </w:rPr>
              <w:t>200D</w:t>
            </w:r>
          </w:p>
        </w:tc>
        <w:tc>
          <w:tcPr>
            <w:tcW w:w="5474" w:type="dxa"/>
            <w:gridSpan w:val="6"/>
          </w:tcPr>
          <w:p>
            <w:pPr>
              <w:pStyle w:val="TableParagraph"/>
              <w:spacing w:before="14"/>
              <w:ind w:left="2071" w:right="2062"/>
              <w:jc w:val="center"/>
              <w:rPr>
                <w:rFonts w:ascii="Times New Roman"/>
                <w:i/>
                <w:sz w:val="20"/>
              </w:rPr>
            </w:pPr>
            <w:r>
              <w:rPr>
                <w:rFonts w:ascii="Times New Roman"/>
                <w:i/>
                <w:sz w:val="20"/>
              </w:rPr>
              <w:t>MUX5_SEL</w:t>
            </w:r>
          </w:p>
        </w:tc>
        <w:tc>
          <w:tcPr>
            <w:tcW w:w="5448" w:type="dxa"/>
            <w:gridSpan w:val="4"/>
          </w:tcPr>
          <w:p>
            <w:pPr>
              <w:pStyle w:val="TableParagraph"/>
              <w:spacing w:before="14"/>
              <w:ind w:left="2169" w:right="2162"/>
              <w:jc w:val="center"/>
              <w:rPr>
                <w:rFonts w:ascii="Times New Roman"/>
                <w:i/>
                <w:sz w:val="20"/>
              </w:rPr>
            </w:pPr>
            <w:r>
              <w:rPr>
                <w:rFonts w:ascii="Times New Roman"/>
                <w:i/>
                <w:sz w:val="20"/>
              </w:rPr>
              <w:t>MUX4_SEL</w:t>
            </w:r>
          </w:p>
        </w:tc>
      </w:tr>
      <w:tr>
        <w:trPr>
          <w:trHeight w:val="270" w:hRule="atLeast"/>
        </w:trPr>
        <w:tc>
          <w:tcPr>
            <w:tcW w:w="1325" w:type="dxa"/>
          </w:tcPr>
          <w:p>
            <w:pPr>
              <w:pStyle w:val="TableParagraph"/>
              <w:spacing w:before="21"/>
              <w:ind w:left="113" w:right="106"/>
              <w:jc w:val="center"/>
              <w:rPr>
                <w:sz w:val="20"/>
              </w:rPr>
            </w:pPr>
            <w:r>
              <w:rPr>
                <w:sz w:val="20"/>
              </w:rPr>
              <w:t>MUX1</w:t>
            </w:r>
          </w:p>
        </w:tc>
        <w:tc>
          <w:tcPr>
            <w:tcW w:w="713" w:type="dxa"/>
          </w:tcPr>
          <w:p>
            <w:pPr>
              <w:pStyle w:val="TableParagraph"/>
              <w:spacing w:before="21"/>
              <w:ind w:left="94" w:right="87"/>
              <w:jc w:val="center"/>
              <w:rPr>
                <w:sz w:val="20"/>
              </w:rPr>
            </w:pPr>
            <w:r>
              <w:rPr>
                <w:sz w:val="20"/>
              </w:rPr>
              <w:t>200E</w:t>
            </w:r>
          </w:p>
        </w:tc>
        <w:tc>
          <w:tcPr>
            <w:tcW w:w="5474" w:type="dxa"/>
            <w:gridSpan w:val="6"/>
          </w:tcPr>
          <w:p>
            <w:pPr>
              <w:pStyle w:val="TableParagraph"/>
              <w:spacing w:before="17"/>
              <w:ind w:left="2071" w:right="2062"/>
              <w:jc w:val="center"/>
              <w:rPr>
                <w:rFonts w:ascii="Times New Roman"/>
                <w:i/>
                <w:sz w:val="20"/>
              </w:rPr>
            </w:pPr>
            <w:r>
              <w:rPr>
                <w:rFonts w:ascii="Times New Roman"/>
                <w:i/>
                <w:sz w:val="20"/>
              </w:rPr>
              <w:t>MUX3_SEL</w:t>
            </w:r>
          </w:p>
        </w:tc>
        <w:tc>
          <w:tcPr>
            <w:tcW w:w="5448" w:type="dxa"/>
            <w:gridSpan w:val="4"/>
          </w:tcPr>
          <w:p>
            <w:pPr>
              <w:pStyle w:val="TableParagraph"/>
              <w:spacing w:before="17"/>
              <w:ind w:left="2169" w:right="2162"/>
              <w:jc w:val="center"/>
              <w:rPr>
                <w:rFonts w:ascii="Times New Roman"/>
                <w:i/>
                <w:sz w:val="20"/>
              </w:rPr>
            </w:pPr>
            <w:r>
              <w:rPr>
                <w:rFonts w:ascii="Times New Roman"/>
                <w:i/>
                <w:sz w:val="20"/>
              </w:rPr>
              <w:t>MUX2_SEL</w:t>
            </w:r>
          </w:p>
        </w:tc>
      </w:tr>
      <w:tr>
        <w:trPr>
          <w:trHeight w:val="270" w:hRule="atLeast"/>
        </w:trPr>
        <w:tc>
          <w:tcPr>
            <w:tcW w:w="1325" w:type="dxa"/>
          </w:tcPr>
          <w:p>
            <w:pPr>
              <w:pStyle w:val="TableParagraph"/>
              <w:spacing w:before="18"/>
              <w:ind w:left="113" w:right="106"/>
              <w:jc w:val="center"/>
              <w:rPr>
                <w:sz w:val="20"/>
              </w:rPr>
            </w:pPr>
            <w:r>
              <w:rPr>
                <w:sz w:val="20"/>
              </w:rPr>
              <w:t>MUX0</w:t>
            </w:r>
          </w:p>
        </w:tc>
        <w:tc>
          <w:tcPr>
            <w:tcW w:w="713" w:type="dxa"/>
          </w:tcPr>
          <w:p>
            <w:pPr>
              <w:pStyle w:val="TableParagraph"/>
              <w:spacing w:before="18"/>
              <w:ind w:left="91" w:right="89"/>
              <w:jc w:val="center"/>
              <w:rPr>
                <w:sz w:val="20"/>
              </w:rPr>
            </w:pPr>
            <w:r>
              <w:rPr>
                <w:sz w:val="20"/>
              </w:rPr>
              <w:t>200F</w:t>
            </w:r>
          </w:p>
        </w:tc>
        <w:tc>
          <w:tcPr>
            <w:tcW w:w="5474" w:type="dxa"/>
            <w:gridSpan w:val="6"/>
          </w:tcPr>
          <w:p>
            <w:pPr>
              <w:pStyle w:val="TableParagraph"/>
              <w:spacing w:before="14"/>
              <w:ind w:left="2071" w:right="2062"/>
              <w:jc w:val="center"/>
              <w:rPr>
                <w:rFonts w:ascii="Times New Roman"/>
                <w:i/>
                <w:sz w:val="20"/>
              </w:rPr>
            </w:pPr>
            <w:r>
              <w:rPr>
                <w:rFonts w:ascii="Times New Roman"/>
                <w:i/>
                <w:sz w:val="20"/>
              </w:rPr>
              <w:t>MUX1_SEL</w:t>
            </w:r>
          </w:p>
        </w:tc>
        <w:tc>
          <w:tcPr>
            <w:tcW w:w="5448" w:type="dxa"/>
            <w:gridSpan w:val="4"/>
          </w:tcPr>
          <w:p>
            <w:pPr>
              <w:pStyle w:val="TableParagraph"/>
              <w:spacing w:before="14"/>
              <w:ind w:left="2169" w:right="2162"/>
              <w:jc w:val="center"/>
              <w:rPr>
                <w:rFonts w:ascii="Times New Roman"/>
                <w:i/>
                <w:sz w:val="20"/>
              </w:rPr>
            </w:pPr>
            <w:r>
              <w:rPr>
                <w:rFonts w:ascii="Times New Roman"/>
                <w:i/>
                <w:sz w:val="20"/>
              </w:rPr>
              <w:t>MUX0_SEL</w:t>
            </w:r>
          </w:p>
        </w:tc>
      </w:tr>
      <w:tr>
        <w:trPr>
          <w:trHeight w:val="268" w:hRule="atLeast"/>
        </w:trPr>
        <w:tc>
          <w:tcPr>
            <w:tcW w:w="1325" w:type="dxa"/>
          </w:tcPr>
          <w:p>
            <w:pPr>
              <w:pStyle w:val="TableParagraph"/>
              <w:spacing w:before="18"/>
              <w:ind w:left="113" w:right="106"/>
              <w:jc w:val="center"/>
              <w:rPr>
                <w:sz w:val="20"/>
              </w:rPr>
            </w:pPr>
            <w:r>
              <w:rPr>
                <w:sz w:val="20"/>
              </w:rPr>
              <w:t>TEMP</w:t>
            </w:r>
          </w:p>
        </w:tc>
        <w:tc>
          <w:tcPr>
            <w:tcW w:w="713" w:type="dxa"/>
          </w:tcPr>
          <w:p>
            <w:pPr>
              <w:pStyle w:val="TableParagraph"/>
              <w:spacing w:before="18"/>
              <w:ind w:left="94" w:right="88"/>
              <w:jc w:val="center"/>
              <w:rPr>
                <w:sz w:val="20"/>
              </w:rPr>
            </w:pPr>
            <w:r>
              <w:rPr>
                <w:sz w:val="20"/>
              </w:rPr>
              <w:t>2010</w:t>
            </w:r>
          </w:p>
        </w:tc>
        <w:tc>
          <w:tcPr>
            <w:tcW w:w="1423" w:type="dxa"/>
            <w:shd w:val="clear" w:color="auto" w:fill="A8A8A8"/>
          </w:tcPr>
          <w:p>
            <w:pPr>
              <w:pStyle w:val="TableParagraph"/>
              <w:spacing w:before="14"/>
              <w:ind w:left="151" w:right="143"/>
              <w:jc w:val="center"/>
              <w:rPr>
                <w:rFonts w:ascii="Times New Roman"/>
                <w:i/>
                <w:sz w:val="20"/>
              </w:rPr>
            </w:pPr>
            <w:r>
              <w:rPr>
                <w:rFonts w:ascii="Times New Roman"/>
                <w:i/>
                <w:sz w:val="20"/>
              </w:rPr>
              <w:t>TEMP_BSEL</w:t>
            </w:r>
          </w:p>
        </w:tc>
        <w:tc>
          <w:tcPr>
            <w:tcW w:w="1313" w:type="dxa"/>
            <w:shd w:val="clear" w:color="auto" w:fill="A8A8A8"/>
          </w:tcPr>
          <w:p>
            <w:pPr>
              <w:pStyle w:val="TableParagraph"/>
              <w:spacing w:before="14"/>
              <w:ind w:left="124" w:right="105"/>
              <w:jc w:val="center"/>
              <w:rPr>
                <w:rFonts w:ascii="Times New Roman"/>
                <w:i/>
                <w:sz w:val="20"/>
              </w:rPr>
            </w:pPr>
            <w:r>
              <w:rPr>
                <w:rFonts w:ascii="Times New Roman"/>
                <w:i/>
                <w:sz w:val="20"/>
              </w:rPr>
              <w:t>TEMP_PWR</w:t>
            </w:r>
          </w:p>
        </w:tc>
        <w:tc>
          <w:tcPr>
            <w:tcW w:w="1378" w:type="dxa"/>
            <w:gridSpan w:val="2"/>
            <w:shd w:val="clear" w:color="auto" w:fill="A8A8A8"/>
          </w:tcPr>
          <w:p>
            <w:pPr>
              <w:pStyle w:val="TableParagraph"/>
              <w:spacing w:before="14"/>
              <w:ind w:left="172"/>
              <w:rPr>
                <w:rFonts w:ascii="Times New Roman"/>
                <w:i/>
                <w:sz w:val="20"/>
              </w:rPr>
            </w:pPr>
            <w:r>
              <w:rPr>
                <w:rFonts w:ascii="Times New Roman"/>
                <w:i/>
                <w:sz w:val="20"/>
              </w:rPr>
              <w:t>OSC_COMP</w:t>
            </w:r>
          </w:p>
        </w:tc>
        <w:tc>
          <w:tcPr>
            <w:tcW w:w="1360" w:type="dxa"/>
            <w:gridSpan w:val="2"/>
            <w:shd w:val="clear" w:color="auto" w:fill="A8A8A8"/>
          </w:tcPr>
          <w:p>
            <w:pPr>
              <w:pStyle w:val="TableParagraph"/>
              <w:spacing w:before="14"/>
              <w:ind w:left="191"/>
              <w:rPr>
                <w:rFonts w:ascii="Times New Roman"/>
                <w:i/>
                <w:sz w:val="20"/>
              </w:rPr>
            </w:pPr>
            <w:r>
              <w:rPr>
                <w:rFonts w:ascii="Times New Roman"/>
                <w:i/>
                <w:sz w:val="20"/>
              </w:rPr>
              <w:t>TEMP_BAT</w:t>
            </w:r>
          </w:p>
        </w:tc>
        <w:tc>
          <w:tcPr>
            <w:tcW w:w="1337" w:type="dxa"/>
            <w:shd w:val="clear" w:color="auto" w:fill="A8A8A8"/>
          </w:tcPr>
          <w:p>
            <w:pPr>
              <w:pStyle w:val="TableParagraph"/>
              <w:spacing w:before="14"/>
              <w:ind w:right="70"/>
              <w:jc w:val="right"/>
              <w:rPr>
                <w:rFonts w:ascii="Times New Roman"/>
                <w:i/>
                <w:sz w:val="20"/>
              </w:rPr>
            </w:pPr>
            <w:r>
              <w:rPr>
                <w:rFonts w:ascii="Times New Roman"/>
                <w:i/>
                <w:sz w:val="20"/>
              </w:rPr>
              <w:t>TBYTE_BUSY</w:t>
            </w:r>
          </w:p>
        </w:tc>
        <w:tc>
          <w:tcPr>
            <w:tcW w:w="4111" w:type="dxa"/>
            <w:gridSpan w:val="3"/>
            <w:shd w:val="clear" w:color="auto" w:fill="A8A8A8"/>
          </w:tcPr>
          <w:p>
            <w:pPr>
              <w:pStyle w:val="TableParagraph"/>
              <w:spacing w:before="14"/>
              <w:ind w:left="1362"/>
              <w:rPr>
                <w:rFonts w:ascii="Times New Roman"/>
                <w:i/>
                <w:sz w:val="20"/>
              </w:rPr>
            </w:pPr>
            <w:r>
              <w:rPr>
                <w:rFonts w:ascii="Times New Roman"/>
                <w:i/>
                <w:sz w:val="20"/>
              </w:rPr>
              <w:t>TEMP_PER[2:0]</w:t>
            </w:r>
          </w:p>
        </w:tc>
      </w:tr>
      <w:tr>
        <w:trPr>
          <w:trHeight w:val="270" w:hRule="atLeast"/>
        </w:trPr>
        <w:tc>
          <w:tcPr>
            <w:tcW w:w="1325" w:type="dxa"/>
          </w:tcPr>
          <w:p>
            <w:pPr>
              <w:pStyle w:val="TableParagraph"/>
              <w:spacing w:before="21"/>
              <w:ind w:left="111" w:right="106"/>
              <w:jc w:val="center"/>
              <w:rPr>
                <w:sz w:val="20"/>
              </w:rPr>
            </w:pPr>
            <w:r>
              <w:rPr>
                <w:sz w:val="20"/>
              </w:rPr>
              <w:t>LCD0</w:t>
            </w:r>
          </w:p>
        </w:tc>
        <w:tc>
          <w:tcPr>
            <w:tcW w:w="713" w:type="dxa"/>
          </w:tcPr>
          <w:p>
            <w:pPr>
              <w:pStyle w:val="TableParagraph"/>
              <w:spacing w:before="21"/>
              <w:ind w:left="94" w:right="88"/>
              <w:jc w:val="center"/>
              <w:rPr>
                <w:sz w:val="20"/>
              </w:rPr>
            </w:pPr>
            <w:r>
              <w:rPr>
                <w:sz w:val="20"/>
              </w:rPr>
              <w:t>2011</w:t>
            </w:r>
          </w:p>
        </w:tc>
        <w:tc>
          <w:tcPr>
            <w:tcW w:w="1423" w:type="dxa"/>
            <w:shd w:val="clear" w:color="auto" w:fill="A8A8A8"/>
          </w:tcPr>
          <w:p>
            <w:pPr>
              <w:pStyle w:val="TableParagraph"/>
              <w:spacing w:before="17"/>
              <w:ind w:left="148" w:right="143"/>
              <w:jc w:val="center"/>
              <w:rPr>
                <w:rFonts w:ascii="Times New Roman"/>
                <w:i/>
                <w:sz w:val="20"/>
              </w:rPr>
            </w:pPr>
            <w:r>
              <w:rPr>
                <w:rFonts w:ascii="Times New Roman"/>
                <w:i/>
                <w:sz w:val="20"/>
              </w:rPr>
              <w:t>LCD_E</w:t>
            </w:r>
          </w:p>
        </w:tc>
        <w:tc>
          <w:tcPr>
            <w:tcW w:w="4051" w:type="dxa"/>
            <w:gridSpan w:val="5"/>
            <w:shd w:val="clear" w:color="auto" w:fill="A8A8A8"/>
          </w:tcPr>
          <w:p>
            <w:pPr>
              <w:pStyle w:val="TableParagraph"/>
              <w:spacing w:before="17"/>
              <w:ind w:left="1281"/>
              <w:rPr>
                <w:rFonts w:ascii="Times New Roman"/>
                <w:i/>
                <w:sz w:val="20"/>
              </w:rPr>
            </w:pPr>
            <w:r>
              <w:rPr>
                <w:rFonts w:ascii="Times New Roman"/>
                <w:i/>
                <w:sz w:val="20"/>
              </w:rPr>
              <w:t>LCD_MODE[2:0]</w:t>
            </w:r>
          </w:p>
        </w:tc>
        <w:tc>
          <w:tcPr>
            <w:tcW w:w="1337" w:type="dxa"/>
            <w:shd w:val="clear" w:color="auto" w:fill="A8A8A8"/>
          </w:tcPr>
          <w:p>
            <w:pPr>
              <w:pStyle w:val="TableParagraph"/>
              <w:spacing w:before="17"/>
              <w:ind w:right="7"/>
              <w:jc w:val="right"/>
              <w:rPr>
                <w:rFonts w:ascii="Times New Roman"/>
                <w:i/>
                <w:sz w:val="20"/>
              </w:rPr>
            </w:pPr>
            <w:r>
              <w:rPr>
                <w:rFonts w:ascii="Times New Roman"/>
                <w:i/>
                <w:w w:val="95"/>
                <w:sz w:val="20"/>
              </w:rPr>
              <w:t>LCD_ALLCOM</w:t>
            </w:r>
          </w:p>
        </w:tc>
        <w:tc>
          <w:tcPr>
            <w:tcW w:w="1367" w:type="dxa"/>
            <w:shd w:val="clear" w:color="auto" w:fill="A8A8A8"/>
          </w:tcPr>
          <w:p>
            <w:pPr>
              <w:pStyle w:val="TableParagraph"/>
              <w:spacing w:before="17"/>
              <w:ind w:left="383" w:right="332"/>
              <w:jc w:val="center"/>
              <w:rPr>
                <w:rFonts w:ascii="Times New Roman"/>
                <w:i/>
                <w:sz w:val="20"/>
              </w:rPr>
            </w:pPr>
            <w:r>
              <w:rPr>
                <w:rFonts w:ascii="Times New Roman"/>
                <w:i/>
                <w:sz w:val="20"/>
              </w:rPr>
              <w:t>LCD_Y</w:t>
            </w:r>
          </w:p>
        </w:tc>
        <w:tc>
          <w:tcPr>
            <w:tcW w:w="2744" w:type="dxa"/>
            <w:gridSpan w:val="2"/>
            <w:shd w:val="clear" w:color="auto" w:fill="A8A8A8"/>
          </w:tcPr>
          <w:p>
            <w:pPr>
              <w:pStyle w:val="TableParagraph"/>
              <w:spacing w:before="17"/>
              <w:ind w:left="737"/>
              <w:rPr>
                <w:rFonts w:ascii="Times New Roman"/>
                <w:i/>
                <w:sz w:val="20"/>
              </w:rPr>
            </w:pPr>
            <w:r>
              <w:rPr>
                <w:rFonts w:ascii="Times New Roman"/>
                <w:i/>
                <w:sz w:val="20"/>
              </w:rPr>
              <w:t>LCD_CLK[1:0]</w:t>
            </w:r>
          </w:p>
        </w:tc>
      </w:tr>
      <w:tr>
        <w:trPr>
          <w:trHeight w:val="270" w:hRule="atLeast"/>
        </w:trPr>
        <w:tc>
          <w:tcPr>
            <w:tcW w:w="1325" w:type="dxa"/>
          </w:tcPr>
          <w:p>
            <w:pPr>
              <w:pStyle w:val="TableParagraph"/>
              <w:spacing w:before="18"/>
              <w:ind w:left="111" w:right="106"/>
              <w:jc w:val="center"/>
              <w:rPr>
                <w:sz w:val="20"/>
              </w:rPr>
            </w:pPr>
            <w:r>
              <w:rPr>
                <w:sz w:val="20"/>
              </w:rPr>
              <w:t>LCD1</w:t>
            </w:r>
          </w:p>
        </w:tc>
        <w:tc>
          <w:tcPr>
            <w:tcW w:w="713" w:type="dxa"/>
          </w:tcPr>
          <w:p>
            <w:pPr>
              <w:pStyle w:val="TableParagraph"/>
              <w:spacing w:before="18"/>
              <w:ind w:left="94" w:right="88"/>
              <w:jc w:val="center"/>
              <w:rPr>
                <w:sz w:val="20"/>
              </w:rPr>
            </w:pPr>
            <w:r>
              <w:rPr>
                <w:sz w:val="20"/>
              </w:rPr>
              <w:t>2012</w:t>
            </w:r>
          </w:p>
        </w:tc>
        <w:tc>
          <w:tcPr>
            <w:tcW w:w="2736" w:type="dxa"/>
            <w:gridSpan w:val="2"/>
            <w:shd w:val="clear" w:color="auto" w:fill="A8A8A8"/>
          </w:tcPr>
          <w:p>
            <w:pPr>
              <w:pStyle w:val="TableParagraph"/>
              <w:spacing w:before="14"/>
              <w:ind w:left="570"/>
              <w:rPr>
                <w:rFonts w:ascii="Times New Roman"/>
                <w:i/>
                <w:sz w:val="20"/>
              </w:rPr>
            </w:pPr>
            <w:r>
              <w:rPr>
                <w:rFonts w:ascii="Times New Roman"/>
                <w:i/>
                <w:sz w:val="20"/>
              </w:rPr>
              <w:t>LCD_VMODE[1:0]</w:t>
            </w:r>
          </w:p>
        </w:tc>
        <w:tc>
          <w:tcPr>
            <w:tcW w:w="8186" w:type="dxa"/>
            <w:gridSpan w:val="8"/>
            <w:shd w:val="clear" w:color="auto" w:fill="A8A8A8"/>
          </w:tcPr>
          <w:p>
            <w:pPr>
              <w:pStyle w:val="TableParagraph"/>
              <w:spacing w:before="14"/>
              <w:ind w:left="3063" w:right="3049"/>
              <w:jc w:val="center"/>
              <w:rPr>
                <w:rFonts w:ascii="Times New Roman"/>
                <w:i/>
                <w:sz w:val="20"/>
              </w:rPr>
            </w:pPr>
            <w:r>
              <w:rPr>
                <w:rFonts w:ascii="Times New Roman"/>
                <w:i/>
                <w:sz w:val="20"/>
              </w:rPr>
              <w:t>LCD_BLNKMAP23[5:0]</w:t>
            </w:r>
          </w:p>
        </w:tc>
      </w:tr>
    </w:tbl>
    <w:p>
      <w:pPr>
        <w:spacing w:after="0"/>
        <w:jc w:val="center"/>
        <w:rPr>
          <w:rFonts w:ascii="Times New Roman"/>
          <w:sz w:val="20"/>
        </w:rPr>
        <w:sectPr>
          <w:headerReference w:type="even" r:id="rId213"/>
          <w:headerReference w:type="default" r:id="rId214"/>
          <w:footerReference w:type="even" r:id="rId215"/>
          <w:footerReference w:type="default" r:id="rId216"/>
          <w:pgSz w:w="15840" w:h="12240" w:orient="landscape"/>
          <w:pgMar w:header="727" w:footer="819" w:top="1180" w:bottom="1000" w:left="1320" w:right="1320"/>
          <w:pgNumType w:start="96"/>
        </w:sectPr>
      </w:pPr>
    </w:p>
    <w:p>
      <w:pPr>
        <w:pStyle w:val="BodyText"/>
        <w:spacing w:before="5"/>
        <w:rPr>
          <w:b/>
          <w:sz w:val="7"/>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713"/>
        <w:gridCol w:w="1423"/>
        <w:gridCol w:w="1309"/>
        <w:gridCol w:w="1273"/>
        <w:gridCol w:w="108"/>
        <w:gridCol w:w="1267"/>
        <w:gridCol w:w="93"/>
        <w:gridCol w:w="1324"/>
        <w:gridCol w:w="1370"/>
        <w:gridCol w:w="1365"/>
        <w:gridCol w:w="1387"/>
      </w:tblGrid>
      <w:tr>
        <w:trPr>
          <w:trHeight w:val="309" w:hRule="atLeast"/>
        </w:trPr>
        <w:tc>
          <w:tcPr>
            <w:tcW w:w="1325" w:type="dxa"/>
          </w:tcPr>
          <w:p>
            <w:pPr>
              <w:pStyle w:val="TableParagraph"/>
              <w:spacing w:before="35"/>
              <w:ind w:left="111" w:right="106"/>
              <w:jc w:val="center"/>
              <w:rPr>
                <w:b/>
                <w:sz w:val="20"/>
              </w:rPr>
            </w:pPr>
            <w:r>
              <w:rPr>
                <w:b/>
                <w:sz w:val="20"/>
              </w:rPr>
              <w:t>Name</w:t>
            </w:r>
          </w:p>
        </w:tc>
        <w:tc>
          <w:tcPr>
            <w:tcW w:w="713" w:type="dxa"/>
          </w:tcPr>
          <w:p>
            <w:pPr>
              <w:pStyle w:val="TableParagraph"/>
              <w:spacing w:before="35"/>
              <w:ind w:left="93" w:right="89"/>
              <w:jc w:val="center"/>
              <w:rPr>
                <w:b/>
                <w:sz w:val="20"/>
              </w:rPr>
            </w:pPr>
            <w:r>
              <w:rPr>
                <w:b/>
                <w:sz w:val="20"/>
              </w:rPr>
              <w:t>Addr</w:t>
            </w:r>
          </w:p>
        </w:tc>
        <w:tc>
          <w:tcPr>
            <w:tcW w:w="1423" w:type="dxa"/>
          </w:tcPr>
          <w:p>
            <w:pPr>
              <w:pStyle w:val="TableParagraph"/>
              <w:spacing w:before="35"/>
              <w:ind w:left="149" w:right="143"/>
              <w:jc w:val="center"/>
              <w:rPr>
                <w:b/>
                <w:sz w:val="20"/>
              </w:rPr>
            </w:pPr>
            <w:r>
              <w:rPr>
                <w:b/>
                <w:sz w:val="20"/>
              </w:rPr>
              <w:t>Bit 7</w:t>
            </w:r>
          </w:p>
        </w:tc>
        <w:tc>
          <w:tcPr>
            <w:tcW w:w="1309" w:type="dxa"/>
          </w:tcPr>
          <w:p>
            <w:pPr>
              <w:pStyle w:val="TableParagraph"/>
              <w:spacing w:before="35"/>
              <w:ind w:left="17" w:right="62"/>
              <w:jc w:val="center"/>
              <w:rPr>
                <w:b/>
                <w:sz w:val="20"/>
              </w:rPr>
            </w:pPr>
            <w:r>
              <w:rPr>
                <w:b/>
                <w:sz w:val="20"/>
              </w:rPr>
              <w:t>Bit 6</w:t>
            </w:r>
          </w:p>
        </w:tc>
        <w:tc>
          <w:tcPr>
            <w:tcW w:w="1273" w:type="dxa"/>
          </w:tcPr>
          <w:p>
            <w:pPr>
              <w:pStyle w:val="TableParagraph"/>
              <w:spacing w:before="35"/>
              <w:ind w:left="392"/>
              <w:rPr>
                <w:b/>
                <w:sz w:val="20"/>
              </w:rPr>
            </w:pPr>
            <w:r>
              <w:rPr>
                <w:b/>
                <w:sz w:val="20"/>
              </w:rPr>
              <w:t>Bit 5</w:t>
            </w:r>
          </w:p>
        </w:tc>
        <w:tc>
          <w:tcPr>
            <w:tcW w:w="1375" w:type="dxa"/>
            <w:gridSpan w:val="2"/>
          </w:tcPr>
          <w:p>
            <w:pPr>
              <w:pStyle w:val="TableParagraph"/>
              <w:spacing w:before="35"/>
              <w:ind w:left="448" w:right="441"/>
              <w:jc w:val="center"/>
              <w:rPr>
                <w:b/>
                <w:sz w:val="20"/>
              </w:rPr>
            </w:pPr>
            <w:r>
              <w:rPr>
                <w:b/>
                <w:sz w:val="20"/>
              </w:rPr>
              <w:t>Bit 4</w:t>
            </w:r>
          </w:p>
        </w:tc>
        <w:tc>
          <w:tcPr>
            <w:tcW w:w="1417" w:type="dxa"/>
            <w:gridSpan w:val="2"/>
          </w:tcPr>
          <w:p>
            <w:pPr>
              <w:pStyle w:val="TableParagraph"/>
              <w:spacing w:before="35"/>
              <w:ind w:left="453" w:right="479"/>
              <w:jc w:val="center"/>
              <w:rPr>
                <w:b/>
                <w:sz w:val="20"/>
              </w:rPr>
            </w:pPr>
            <w:r>
              <w:rPr>
                <w:b/>
                <w:sz w:val="20"/>
              </w:rPr>
              <w:t>Bit 3</w:t>
            </w:r>
          </w:p>
        </w:tc>
        <w:tc>
          <w:tcPr>
            <w:tcW w:w="1370" w:type="dxa"/>
          </w:tcPr>
          <w:p>
            <w:pPr>
              <w:pStyle w:val="TableParagraph"/>
              <w:spacing w:before="35"/>
              <w:ind w:left="50" w:right="103"/>
              <w:jc w:val="center"/>
              <w:rPr>
                <w:b/>
                <w:sz w:val="20"/>
              </w:rPr>
            </w:pPr>
            <w:r>
              <w:rPr>
                <w:b/>
                <w:sz w:val="20"/>
              </w:rPr>
              <w:t>Bit 2</w:t>
            </w:r>
          </w:p>
        </w:tc>
        <w:tc>
          <w:tcPr>
            <w:tcW w:w="1365" w:type="dxa"/>
          </w:tcPr>
          <w:p>
            <w:pPr>
              <w:pStyle w:val="TableParagraph"/>
              <w:spacing w:before="35"/>
              <w:ind w:left="59" w:right="102"/>
              <w:jc w:val="center"/>
              <w:rPr>
                <w:b/>
                <w:sz w:val="20"/>
              </w:rPr>
            </w:pPr>
            <w:r>
              <w:rPr>
                <w:b/>
                <w:sz w:val="20"/>
              </w:rPr>
              <w:t>Bit 1</w:t>
            </w:r>
          </w:p>
        </w:tc>
        <w:tc>
          <w:tcPr>
            <w:tcW w:w="1387" w:type="dxa"/>
          </w:tcPr>
          <w:p>
            <w:pPr>
              <w:pStyle w:val="TableParagraph"/>
              <w:spacing w:before="35"/>
              <w:ind w:left="309" w:right="320"/>
              <w:jc w:val="center"/>
              <w:rPr>
                <w:b/>
                <w:sz w:val="20"/>
              </w:rPr>
            </w:pPr>
            <w:r>
              <w:rPr>
                <w:b/>
                <w:sz w:val="20"/>
              </w:rPr>
              <w:t>Bit 0</w:t>
            </w:r>
          </w:p>
        </w:tc>
      </w:tr>
      <w:tr>
        <w:trPr>
          <w:trHeight w:val="270" w:hRule="atLeast"/>
        </w:trPr>
        <w:tc>
          <w:tcPr>
            <w:tcW w:w="1325" w:type="dxa"/>
          </w:tcPr>
          <w:p>
            <w:pPr>
              <w:pStyle w:val="TableParagraph"/>
              <w:spacing w:before="18"/>
              <w:ind w:left="111" w:right="106"/>
              <w:jc w:val="center"/>
              <w:rPr>
                <w:sz w:val="20"/>
              </w:rPr>
            </w:pPr>
            <w:r>
              <w:rPr>
                <w:sz w:val="20"/>
              </w:rPr>
              <w:t>LCD2</w:t>
            </w:r>
          </w:p>
        </w:tc>
        <w:tc>
          <w:tcPr>
            <w:tcW w:w="713" w:type="dxa"/>
          </w:tcPr>
          <w:p>
            <w:pPr>
              <w:pStyle w:val="TableParagraph"/>
              <w:spacing w:before="18"/>
              <w:ind w:left="94" w:right="88"/>
              <w:jc w:val="center"/>
              <w:rPr>
                <w:sz w:val="20"/>
              </w:rPr>
            </w:pPr>
            <w:r>
              <w:rPr>
                <w:sz w:val="20"/>
              </w:rPr>
              <w:t>2013</w:t>
            </w:r>
          </w:p>
        </w:tc>
        <w:tc>
          <w:tcPr>
            <w:tcW w:w="1423" w:type="dxa"/>
            <w:shd w:val="clear" w:color="auto" w:fill="A8A8A8"/>
          </w:tcPr>
          <w:p>
            <w:pPr>
              <w:pStyle w:val="TableParagraph"/>
              <w:spacing w:before="14"/>
              <w:ind w:left="147" w:right="143"/>
              <w:jc w:val="center"/>
              <w:rPr>
                <w:rFonts w:ascii="Times New Roman"/>
                <w:i/>
                <w:sz w:val="20"/>
              </w:rPr>
            </w:pPr>
            <w:r>
              <w:rPr>
                <w:rFonts w:ascii="Times New Roman"/>
                <w:i/>
                <w:sz w:val="20"/>
              </w:rPr>
              <w:t>LCD_BAT</w:t>
            </w:r>
          </w:p>
        </w:tc>
        <w:tc>
          <w:tcPr>
            <w:tcW w:w="1309" w:type="dxa"/>
            <w:shd w:val="clear" w:color="auto" w:fill="A8A8A8"/>
          </w:tcPr>
          <w:p>
            <w:pPr>
              <w:pStyle w:val="TableParagraph"/>
              <w:spacing w:before="14"/>
              <w:ind w:left="26"/>
              <w:jc w:val="center"/>
              <w:rPr>
                <w:rFonts w:ascii="Times New Roman"/>
                <w:i/>
                <w:sz w:val="20"/>
              </w:rPr>
            </w:pPr>
            <w:r>
              <w:rPr>
                <w:rFonts w:ascii="Times New Roman"/>
                <w:i/>
                <w:w w:val="99"/>
                <w:sz w:val="20"/>
              </w:rPr>
              <w:t>R</w:t>
            </w:r>
          </w:p>
        </w:tc>
        <w:tc>
          <w:tcPr>
            <w:tcW w:w="8187" w:type="dxa"/>
            <w:gridSpan w:val="8"/>
            <w:shd w:val="clear" w:color="auto" w:fill="A8A8A8"/>
          </w:tcPr>
          <w:p>
            <w:pPr>
              <w:pStyle w:val="TableParagraph"/>
              <w:spacing w:before="14"/>
              <w:ind w:left="3067" w:right="3046"/>
              <w:jc w:val="center"/>
              <w:rPr>
                <w:rFonts w:ascii="Times New Roman"/>
                <w:i/>
                <w:sz w:val="20"/>
              </w:rPr>
            </w:pPr>
            <w:r>
              <w:rPr>
                <w:rFonts w:ascii="Times New Roman"/>
                <w:i/>
                <w:sz w:val="20"/>
              </w:rPr>
              <w:t>LCD_BLNKMAP22[5:0]</w:t>
            </w:r>
          </w:p>
        </w:tc>
      </w:tr>
      <w:tr>
        <w:trPr>
          <w:trHeight w:val="270" w:hRule="atLeast"/>
        </w:trPr>
        <w:tc>
          <w:tcPr>
            <w:tcW w:w="1325" w:type="dxa"/>
          </w:tcPr>
          <w:p>
            <w:pPr>
              <w:pStyle w:val="TableParagraph"/>
              <w:spacing w:before="18"/>
              <w:ind w:left="113" w:right="106"/>
              <w:jc w:val="center"/>
              <w:rPr>
                <w:sz w:val="20"/>
              </w:rPr>
            </w:pPr>
            <w:r>
              <w:rPr>
                <w:sz w:val="20"/>
              </w:rPr>
              <w:t>LCD_MAP6</w:t>
            </w:r>
          </w:p>
        </w:tc>
        <w:tc>
          <w:tcPr>
            <w:tcW w:w="713" w:type="dxa"/>
          </w:tcPr>
          <w:p>
            <w:pPr>
              <w:pStyle w:val="TableParagraph"/>
              <w:spacing w:before="18"/>
              <w:ind w:left="94" w:right="88"/>
              <w:jc w:val="center"/>
              <w:rPr>
                <w:sz w:val="20"/>
              </w:rPr>
            </w:pPr>
            <w:r>
              <w:rPr>
                <w:sz w:val="20"/>
              </w:rPr>
              <w:t>2014</w:t>
            </w:r>
          </w:p>
        </w:tc>
        <w:tc>
          <w:tcPr>
            <w:tcW w:w="10919" w:type="dxa"/>
            <w:gridSpan w:val="10"/>
            <w:shd w:val="clear" w:color="auto" w:fill="A8A8A8"/>
          </w:tcPr>
          <w:p>
            <w:pPr>
              <w:pStyle w:val="TableParagraph"/>
              <w:spacing w:before="14"/>
              <w:ind w:left="4676" w:right="4669"/>
              <w:jc w:val="center"/>
              <w:rPr>
                <w:rFonts w:ascii="Times New Roman"/>
                <w:i/>
                <w:sz w:val="20"/>
              </w:rPr>
            </w:pPr>
            <w:r>
              <w:rPr>
                <w:rFonts w:ascii="Times New Roman"/>
                <w:i/>
                <w:sz w:val="20"/>
              </w:rPr>
              <w:t>LCD_MAP[55:48]</w:t>
            </w:r>
          </w:p>
        </w:tc>
      </w:tr>
      <w:tr>
        <w:trPr>
          <w:trHeight w:val="268" w:hRule="atLeast"/>
        </w:trPr>
        <w:tc>
          <w:tcPr>
            <w:tcW w:w="1325" w:type="dxa"/>
          </w:tcPr>
          <w:p>
            <w:pPr>
              <w:pStyle w:val="TableParagraph"/>
              <w:spacing w:before="18"/>
              <w:ind w:left="113" w:right="106"/>
              <w:jc w:val="center"/>
              <w:rPr>
                <w:sz w:val="20"/>
              </w:rPr>
            </w:pPr>
            <w:r>
              <w:rPr>
                <w:sz w:val="20"/>
              </w:rPr>
              <w:t>LCD_MAP5</w:t>
            </w:r>
          </w:p>
        </w:tc>
        <w:tc>
          <w:tcPr>
            <w:tcW w:w="713" w:type="dxa"/>
          </w:tcPr>
          <w:p>
            <w:pPr>
              <w:pStyle w:val="TableParagraph"/>
              <w:spacing w:before="18"/>
              <w:ind w:left="94" w:right="88"/>
              <w:jc w:val="center"/>
              <w:rPr>
                <w:sz w:val="20"/>
              </w:rPr>
            </w:pPr>
            <w:r>
              <w:rPr>
                <w:sz w:val="20"/>
              </w:rPr>
              <w:t>2015</w:t>
            </w:r>
          </w:p>
        </w:tc>
        <w:tc>
          <w:tcPr>
            <w:tcW w:w="10919" w:type="dxa"/>
            <w:gridSpan w:val="10"/>
            <w:shd w:val="clear" w:color="auto" w:fill="A8A8A8"/>
          </w:tcPr>
          <w:p>
            <w:pPr>
              <w:pStyle w:val="TableParagraph"/>
              <w:spacing w:before="14"/>
              <w:ind w:left="4676" w:right="4669"/>
              <w:jc w:val="center"/>
              <w:rPr>
                <w:rFonts w:ascii="Times New Roman"/>
                <w:i/>
                <w:sz w:val="20"/>
              </w:rPr>
            </w:pPr>
            <w:r>
              <w:rPr>
                <w:rFonts w:ascii="Times New Roman"/>
                <w:i/>
                <w:sz w:val="20"/>
              </w:rPr>
              <w:t>LCD_MAP[47:40]</w:t>
            </w:r>
          </w:p>
        </w:tc>
      </w:tr>
      <w:tr>
        <w:trPr>
          <w:trHeight w:val="270" w:hRule="atLeast"/>
        </w:trPr>
        <w:tc>
          <w:tcPr>
            <w:tcW w:w="1325" w:type="dxa"/>
          </w:tcPr>
          <w:p>
            <w:pPr>
              <w:pStyle w:val="TableParagraph"/>
              <w:spacing w:before="18"/>
              <w:ind w:left="113" w:right="106"/>
              <w:jc w:val="center"/>
              <w:rPr>
                <w:sz w:val="20"/>
              </w:rPr>
            </w:pPr>
            <w:r>
              <w:rPr>
                <w:sz w:val="20"/>
              </w:rPr>
              <w:t>LCD_MAP4</w:t>
            </w:r>
          </w:p>
        </w:tc>
        <w:tc>
          <w:tcPr>
            <w:tcW w:w="713" w:type="dxa"/>
          </w:tcPr>
          <w:p>
            <w:pPr>
              <w:pStyle w:val="TableParagraph"/>
              <w:spacing w:before="18"/>
              <w:ind w:left="94" w:right="88"/>
              <w:jc w:val="center"/>
              <w:rPr>
                <w:sz w:val="20"/>
              </w:rPr>
            </w:pPr>
            <w:r>
              <w:rPr>
                <w:sz w:val="20"/>
              </w:rPr>
              <w:t>2016</w:t>
            </w:r>
          </w:p>
        </w:tc>
        <w:tc>
          <w:tcPr>
            <w:tcW w:w="10919" w:type="dxa"/>
            <w:gridSpan w:val="10"/>
            <w:shd w:val="clear" w:color="auto" w:fill="A8A8A8"/>
          </w:tcPr>
          <w:p>
            <w:pPr>
              <w:pStyle w:val="TableParagraph"/>
              <w:spacing w:before="14"/>
              <w:ind w:left="4676" w:right="4669"/>
              <w:jc w:val="center"/>
              <w:rPr>
                <w:rFonts w:ascii="Times New Roman"/>
                <w:i/>
                <w:sz w:val="20"/>
              </w:rPr>
            </w:pPr>
            <w:r>
              <w:rPr>
                <w:rFonts w:ascii="Times New Roman"/>
                <w:i/>
                <w:sz w:val="20"/>
              </w:rPr>
              <w:t>LCD_MAP[39:32]</w:t>
            </w:r>
          </w:p>
        </w:tc>
      </w:tr>
      <w:tr>
        <w:trPr>
          <w:trHeight w:val="270" w:hRule="atLeast"/>
        </w:trPr>
        <w:tc>
          <w:tcPr>
            <w:tcW w:w="1325" w:type="dxa"/>
          </w:tcPr>
          <w:p>
            <w:pPr>
              <w:pStyle w:val="TableParagraph"/>
              <w:spacing w:before="18"/>
              <w:ind w:left="113" w:right="106"/>
              <w:jc w:val="center"/>
              <w:rPr>
                <w:sz w:val="20"/>
              </w:rPr>
            </w:pPr>
            <w:r>
              <w:rPr>
                <w:sz w:val="20"/>
              </w:rPr>
              <w:t>LCD_MAP3</w:t>
            </w:r>
          </w:p>
        </w:tc>
        <w:tc>
          <w:tcPr>
            <w:tcW w:w="713" w:type="dxa"/>
          </w:tcPr>
          <w:p>
            <w:pPr>
              <w:pStyle w:val="TableParagraph"/>
              <w:spacing w:before="18"/>
              <w:ind w:left="94" w:right="88"/>
              <w:jc w:val="center"/>
              <w:rPr>
                <w:sz w:val="20"/>
              </w:rPr>
            </w:pPr>
            <w:r>
              <w:rPr>
                <w:sz w:val="20"/>
              </w:rPr>
              <w:t>2017</w:t>
            </w:r>
          </w:p>
        </w:tc>
        <w:tc>
          <w:tcPr>
            <w:tcW w:w="10919" w:type="dxa"/>
            <w:gridSpan w:val="10"/>
            <w:shd w:val="clear" w:color="auto" w:fill="A8A8A8"/>
          </w:tcPr>
          <w:p>
            <w:pPr>
              <w:pStyle w:val="TableParagraph"/>
              <w:spacing w:before="14"/>
              <w:ind w:left="4676" w:right="4669"/>
              <w:jc w:val="center"/>
              <w:rPr>
                <w:rFonts w:ascii="Times New Roman"/>
                <w:i/>
                <w:sz w:val="20"/>
              </w:rPr>
            </w:pPr>
            <w:r>
              <w:rPr>
                <w:rFonts w:ascii="Times New Roman"/>
                <w:i/>
                <w:sz w:val="20"/>
              </w:rPr>
              <w:t>LCD_MAP[31:24]</w:t>
            </w:r>
          </w:p>
        </w:tc>
      </w:tr>
      <w:tr>
        <w:trPr>
          <w:trHeight w:val="268" w:hRule="atLeast"/>
        </w:trPr>
        <w:tc>
          <w:tcPr>
            <w:tcW w:w="1325" w:type="dxa"/>
          </w:tcPr>
          <w:p>
            <w:pPr>
              <w:pStyle w:val="TableParagraph"/>
              <w:spacing w:before="18"/>
              <w:ind w:left="113" w:right="106"/>
              <w:jc w:val="center"/>
              <w:rPr>
                <w:sz w:val="20"/>
              </w:rPr>
            </w:pPr>
            <w:r>
              <w:rPr>
                <w:sz w:val="20"/>
              </w:rPr>
              <w:t>LCD_MAP2</w:t>
            </w:r>
          </w:p>
        </w:tc>
        <w:tc>
          <w:tcPr>
            <w:tcW w:w="713" w:type="dxa"/>
          </w:tcPr>
          <w:p>
            <w:pPr>
              <w:pStyle w:val="TableParagraph"/>
              <w:spacing w:before="18"/>
              <w:ind w:left="94" w:right="88"/>
              <w:jc w:val="center"/>
              <w:rPr>
                <w:sz w:val="20"/>
              </w:rPr>
            </w:pPr>
            <w:r>
              <w:rPr>
                <w:sz w:val="20"/>
              </w:rPr>
              <w:t>2018</w:t>
            </w:r>
          </w:p>
        </w:tc>
        <w:tc>
          <w:tcPr>
            <w:tcW w:w="10919" w:type="dxa"/>
            <w:gridSpan w:val="10"/>
            <w:shd w:val="clear" w:color="auto" w:fill="A8A8A8"/>
          </w:tcPr>
          <w:p>
            <w:pPr>
              <w:pStyle w:val="TableParagraph"/>
              <w:spacing w:before="14"/>
              <w:ind w:left="4676" w:right="4669"/>
              <w:jc w:val="center"/>
              <w:rPr>
                <w:rFonts w:ascii="Times New Roman"/>
                <w:i/>
                <w:sz w:val="20"/>
              </w:rPr>
            </w:pPr>
            <w:r>
              <w:rPr>
                <w:rFonts w:ascii="Times New Roman"/>
                <w:i/>
                <w:sz w:val="20"/>
              </w:rPr>
              <w:t>LCD_MAP[23:16]</w:t>
            </w:r>
          </w:p>
        </w:tc>
      </w:tr>
      <w:tr>
        <w:trPr>
          <w:trHeight w:val="270" w:hRule="atLeast"/>
        </w:trPr>
        <w:tc>
          <w:tcPr>
            <w:tcW w:w="1325" w:type="dxa"/>
          </w:tcPr>
          <w:p>
            <w:pPr>
              <w:pStyle w:val="TableParagraph"/>
              <w:spacing w:before="18"/>
              <w:ind w:left="113" w:right="106"/>
              <w:jc w:val="center"/>
              <w:rPr>
                <w:sz w:val="20"/>
              </w:rPr>
            </w:pPr>
            <w:r>
              <w:rPr>
                <w:sz w:val="20"/>
              </w:rPr>
              <w:t>LCD_MAP1</w:t>
            </w:r>
          </w:p>
        </w:tc>
        <w:tc>
          <w:tcPr>
            <w:tcW w:w="713" w:type="dxa"/>
          </w:tcPr>
          <w:p>
            <w:pPr>
              <w:pStyle w:val="TableParagraph"/>
              <w:spacing w:before="18"/>
              <w:ind w:left="94" w:right="88"/>
              <w:jc w:val="center"/>
              <w:rPr>
                <w:sz w:val="20"/>
              </w:rPr>
            </w:pPr>
            <w:r>
              <w:rPr>
                <w:sz w:val="20"/>
              </w:rPr>
              <w:t>2019</w:t>
            </w:r>
          </w:p>
        </w:tc>
        <w:tc>
          <w:tcPr>
            <w:tcW w:w="10919" w:type="dxa"/>
            <w:gridSpan w:val="10"/>
            <w:shd w:val="clear" w:color="auto" w:fill="A8A8A8"/>
          </w:tcPr>
          <w:p>
            <w:pPr>
              <w:pStyle w:val="TableParagraph"/>
              <w:spacing w:before="14"/>
              <w:ind w:left="4676" w:right="4669"/>
              <w:jc w:val="center"/>
              <w:rPr>
                <w:rFonts w:ascii="Times New Roman"/>
                <w:i/>
                <w:sz w:val="20"/>
              </w:rPr>
            </w:pPr>
            <w:r>
              <w:rPr>
                <w:rFonts w:ascii="Times New Roman"/>
                <w:i/>
                <w:sz w:val="20"/>
              </w:rPr>
              <w:t>LCD_MAP[15:8]</w:t>
            </w:r>
          </w:p>
        </w:tc>
      </w:tr>
      <w:tr>
        <w:trPr>
          <w:trHeight w:val="270" w:hRule="atLeast"/>
        </w:trPr>
        <w:tc>
          <w:tcPr>
            <w:tcW w:w="1325" w:type="dxa"/>
          </w:tcPr>
          <w:p>
            <w:pPr>
              <w:pStyle w:val="TableParagraph"/>
              <w:spacing w:before="18"/>
              <w:ind w:left="113" w:right="106"/>
              <w:jc w:val="center"/>
              <w:rPr>
                <w:sz w:val="20"/>
              </w:rPr>
            </w:pPr>
            <w:r>
              <w:rPr>
                <w:sz w:val="20"/>
              </w:rPr>
              <w:t>LCD_MAP0</w:t>
            </w:r>
          </w:p>
        </w:tc>
        <w:tc>
          <w:tcPr>
            <w:tcW w:w="713" w:type="dxa"/>
          </w:tcPr>
          <w:p>
            <w:pPr>
              <w:pStyle w:val="TableParagraph"/>
              <w:spacing w:before="18"/>
              <w:ind w:left="94" w:right="87"/>
              <w:jc w:val="center"/>
              <w:rPr>
                <w:sz w:val="20"/>
              </w:rPr>
            </w:pPr>
            <w:r>
              <w:rPr>
                <w:sz w:val="20"/>
              </w:rPr>
              <w:t>201A</w:t>
            </w:r>
          </w:p>
        </w:tc>
        <w:tc>
          <w:tcPr>
            <w:tcW w:w="10919" w:type="dxa"/>
            <w:gridSpan w:val="10"/>
            <w:shd w:val="clear" w:color="auto" w:fill="A8A8A8"/>
          </w:tcPr>
          <w:p>
            <w:pPr>
              <w:pStyle w:val="TableParagraph"/>
              <w:spacing w:before="14"/>
              <w:ind w:left="4676" w:right="4669"/>
              <w:jc w:val="center"/>
              <w:rPr>
                <w:rFonts w:ascii="Times New Roman"/>
                <w:i/>
                <w:sz w:val="20"/>
              </w:rPr>
            </w:pPr>
            <w:r>
              <w:rPr>
                <w:rFonts w:ascii="Times New Roman"/>
                <w:i/>
                <w:sz w:val="20"/>
              </w:rPr>
              <w:t>LCD_MAP[7:0]</w:t>
            </w:r>
          </w:p>
        </w:tc>
      </w:tr>
      <w:tr>
        <w:trPr>
          <w:trHeight w:val="268" w:hRule="atLeast"/>
        </w:trPr>
        <w:tc>
          <w:tcPr>
            <w:tcW w:w="1325" w:type="dxa"/>
          </w:tcPr>
          <w:p>
            <w:pPr>
              <w:pStyle w:val="TableParagraph"/>
              <w:spacing w:before="18"/>
              <w:ind w:left="111" w:right="106"/>
              <w:jc w:val="center"/>
              <w:rPr>
                <w:sz w:val="20"/>
              </w:rPr>
            </w:pPr>
            <w:r>
              <w:rPr>
                <w:sz w:val="20"/>
              </w:rPr>
              <w:t>DIO_R5</w:t>
            </w:r>
          </w:p>
        </w:tc>
        <w:tc>
          <w:tcPr>
            <w:tcW w:w="713" w:type="dxa"/>
          </w:tcPr>
          <w:p>
            <w:pPr>
              <w:pStyle w:val="TableParagraph"/>
              <w:spacing w:before="18"/>
              <w:ind w:left="94" w:right="87"/>
              <w:jc w:val="center"/>
              <w:rPr>
                <w:sz w:val="20"/>
              </w:rPr>
            </w:pPr>
            <w:r>
              <w:rPr>
                <w:sz w:val="20"/>
              </w:rPr>
              <w:t>201B</w:t>
            </w:r>
          </w:p>
        </w:tc>
        <w:tc>
          <w:tcPr>
            <w:tcW w:w="1423" w:type="dxa"/>
            <w:shd w:val="clear" w:color="auto" w:fill="DADADA"/>
          </w:tcPr>
          <w:p>
            <w:pPr>
              <w:pStyle w:val="TableParagraph"/>
              <w:spacing w:before="14"/>
              <w:ind w:left="6"/>
              <w:jc w:val="center"/>
              <w:rPr>
                <w:rFonts w:ascii="Times New Roman"/>
                <w:i/>
                <w:sz w:val="20"/>
              </w:rPr>
            </w:pPr>
            <w:r>
              <w:rPr>
                <w:rFonts w:ascii="Times New Roman"/>
                <w:i/>
                <w:w w:val="99"/>
                <w:sz w:val="20"/>
              </w:rPr>
              <w:t>U</w:t>
            </w:r>
          </w:p>
        </w:tc>
        <w:tc>
          <w:tcPr>
            <w:tcW w:w="1309" w:type="dxa"/>
            <w:shd w:val="clear" w:color="auto" w:fill="DADADA"/>
          </w:tcPr>
          <w:p>
            <w:pPr>
              <w:pStyle w:val="TableParagraph"/>
              <w:spacing w:before="14"/>
              <w:ind w:left="24"/>
              <w:jc w:val="center"/>
              <w:rPr>
                <w:rFonts w:ascii="Times New Roman"/>
                <w:i/>
                <w:sz w:val="20"/>
              </w:rPr>
            </w:pPr>
            <w:r>
              <w:rPr>
                <w:rFonts w:ascii="Times New Roman"/>
                <w:i/>
                <w:w w:val="99"/>
                <w:sz w:val="20"/>
              </w:rPr>
              <w:t>U</w:t>
            </w:r>
          </w:p>
        </w:tc>
        <w:tc>
          <w:tcPr>
            <w:tcW w:w="1381" w:type="dxa"/>
            <w:gridSpan w:val="2"/>
            <w:shd w:val="clear" w:color="auto" w:fill="DADADA"/>
          </w:tcPr>
          <w:p>
            <w:pPr>
              <w:pStyle w:val="TableParagraph"/>
              <w:spacing w:before="14"/>
              <w:ind w:left="22"/>
              <w:jc w:val="center"/>
              <w:rPr>
                <w:rFonts w:ascii="Times New Roman"/>
                <w:i/>
                <w:sz w:val="20"/>
              </w:rPr>
            </w:pPr>
            <w:r>
              <w:rPr>
                <w:rFonts w:ascii="Times New Roman"/>
                <w:i/>
                <w:w w:val="99"/>
                <w:sz w:val="20"/>
              </w:rPr>
              <w:t>U</w:t>
            </w:r>
          </w:p>
        </w:tc>
        <w:tc>
          <w:tcPr>
            <w:tcW w:w="1360" w:type="dxa"/>
            <w:gridSpan w:val="2"/>
            <w:shd w:val="clear" w:color="auto" w:fill="DADADA"/>
          </w:tcPr>
          <w:p>
            <w:pPr>
              <w:pStyle w:val="TableParagraph"/>
              <w:spacing w:before="14"/>
              <w:ind w:left="8"/>
              <w:jc w:val="center"/>
              <w:rPr>
                <w:rFonts w:ascii="Times New Roman"/>
                <w:i/>
                <w:sz w:val="20"/>
              </w:rPr>
            </w:pPr>
            <w:r>
              <w:rPr>
                <w:rFonts w:ascii="Times New Roman"/>
                <w:i/>
                <w:w w:val="99"/>
                <w:sz w:val="20"/>
              </w:rPr>
              <w:t>U</w:t>
            </w:r>
          </w:p>
        </w:tc>
        <w:tc>
          <w:tcPr>
            <w:tcW w:w="1324" w:type="dxa"/>
            <w:shd w:val="clear" w:color="auto" w:fill="DADADA"/>
          </w:tcPr>
          <w:p>
            <w:pPr>
              <w:pStyle w:val="TableParagraph"/>
              <w:spacing w:before="14"/>
              <w:ind w:left="45"/>
              <w:jc w:val="center"/>
              <w:rPr>
                <w:rFonts w:ascii="Times New Roman"/>
                <w:i/>
                <w:sz w:val="20"/>
              </w:rPr>
            </w:pPr>
            <w:r>
              <w:rPr>
                <w:rFonts w:ascii="Times New Roman"/>
                <w:i/>
                <w:w w:val="99"/>
                <w:sz w:val="20"/>
              </w:rPr>
              <w:t>U</w:t>
            </w:r>
          </w:p>
        </w:tc>
        <w:tc>
          <w:tcPr>
            <w:tcW w:w="4122" w:type="dxa"/>
            <w:gridSpan w:val="3"/>
          </w:tcPr>
          <w:p>
            <w:pPr>
              <w:pStyle w:val="TableParagraph"/>
              <w:spacing w:before="14"/>
              <w:ind w:left="1438" w:right="1388"/>
              <w:jc w:val="center"/>
              <w:rPr>
                <w:rFonts w:ascii="Times New Roman"/>
                <w:i/>
                <w:sz w:val="20"/>
              </w:rPr>
            </w:pPr>
            <w:r>
              <w:rPr>
                <w:rFonts w:ascii="Times New Roman"/>
                <w:i/>
                <w:sz w:val="20"/>
              </w:rPr>
              <w:t>DIO_RPB[2:0]</w:t>
            </w:r>
          </w:p>
        </w:tc>
      </w:tr>
      <w:tr>
        <w:trPr>
          <w:trHeight w:val="270" w:hRule="atLeast"/>
        </w:trPr>
        <w:tc>
          <w:tcPr>
            <w:tcW w:w="1325" w:type="dxa"/>
          </w:tcPr>
          <w:p>
            <w:pPr>
              <w:pStyle w:val="TableParagraph"/>
              <w:spacing w:before="18"/>
              <w:ind w:left="111" w:right="106"/>
              <w:jc w:val="center"/>
              <w:rPr>
                <w:sz w:val="20"/>
              </w:rPr>
            </w:pPr>
            <w:r>
              <w:rPr>
                <w:sz w:val="20"/>
              </w:rPr>
              <w:t>DIO_R4</w:t>
            </w:r>
          </w:p>
        </w:tc>
        <w:tc>
          <w:tcPr>
            <w:tcW w:w="713" w:type="dxa"/>
          </w:tcPr>
          <w:p>
            <w:pPr>
              <w:pStyle w:val="TableParagraph"/>
              <w:spacing w:before="18"/>
              <w:ind w:left="94" w:right="89"/>
              <w:jc w:val="center"/>
              <w:rPr>
                <w:sz w:val="20"/>
              </w:rPr>
            </w:pPr>
            <w:r>
              <w:rPr>
                <w:sz w:val="20"/>
              </w:rPr>
              <w:t>201C</w:t>
            </w:r>
          </w:p>
        </w:tc>
        <w:tc>
          <w:tcPr>
            <w:tcW w:w="1423" w:type="dxa"/>
            <w:shd w:val="clear" w:color="auto" w:fill="DADADA"/>
          </w:tcPr>
          <w:p>
            <w:pPr>
              <w:pStyle w:val="TableParagraph"/>
              <w:spacing w:before="14"/>
              <w:ind w:left="6"/>
              <w:jc w:val="center"/>
              <w:rPr>
                <w:rFonts w:ascii="Times New Roman"/>
                <w:i/>
                <w:sz w:val="20"/>
              </w:rPr>
            </w:pPr>
            <w:r>
              <w:rPr>
                <w:rFonts w:ascii="Times New Roman"/>
                <w:i/>
                <w:w w:val="99"/>
                <w:sz w:val="20"/>
              </w:rPr>
              <w:t>U</w:t>
            </w:r>
          </w:p>
        </w:tc>
        <w:tc>
          <w:tcPr>
            <w:tcW w:w="4050" w:type="dxa"/>
            <w:gridSpan w:val="5"/>
          </w:tcPr>
          <w:p>
            <w:pPr>
              <w:pStyle w:val="TableParagraph"/>
              <w:spacing w:before="14"/>
              <w:ind w:left="1404" w:right="1396"/>
              <w:jc w:val="center"/>
              <w:rPr>
                <w:rFonts w:ascii="Times New Roman"/>
                <w:i/>
                <w:sz w:val="20"/>
              </w:rPr>
            </w:pPr>
            <w:r>
              <w:rPr>
                <w:rFonts w:ascii="Times New Roman"/>
                <w:i/>
                <w:sz w:val="20"/>
              </w:rPr>
              <w:t>DIO_R11[2:0]</w:t>
            </w:r>
          </w:p>
        </w:tc>
        <w:tc>
          <w:tcPr>
            <w:tcW w:w="1324" w:type="dxa"/>
            <w:shd w:val="clear" w:color="auto" w:fill="DADADA"/>
          </w:tcPr>
          <w:p>
            <w:pPr>
              <w:pStyle w:val="TableParagraph"/>
              <w:spacing w:before="14"/>
              <w:ind w:left="45"/>
              <w:jc w:val="center"/>
              <w:rPr>
                <w:rFonts w:ascii="Times New Roman"/>
                <w:i/>
                <w:sz w:val="20"/>
              </w:rPr>
            </w:pPr>
            <w:r>
              <w:rPr>
                <w:rFonts w:ascii="Times New Roman"/>
                <w:i/>
                <w:w w:val="99"/>
                <w:sz w:val="20"/>
              </w:rPr>
              <w:t>U</w:t>
            </w:r>
          </w:p>
        </w:tc>
        <w:tc>
          <w:tcPr>
            <w:tcW w:w="4122" w:type="dxa"/>
            <w:gridSpan w:val="3"/>
          </w:tcPr>
          <w:p>
            <w:pPr>
              <w:pStyle w:val="TableParagraph"/>
              <w:spacing w:before="14"/>
              <w:ind w:left="1438" w:right="1387"/>
              <w:jc w:val="center"/>
              <w:rPr>
                <w:rFonts w:ascii="Times New Roman"/>
                <w:i/>
                <w:sz w:val="20"/>
              </w:rPr>
            </w:pPr>
            <w:r>
              <w:rPr>
                <w:rFonts w:ascii="Times New Roman"/>
                <w:i/>
                <w:sz w:val="20"/>
              </w:rPr>
              <w:t>DIO_R10[2:0]</w:t>
            </w:r>
          </w:p>
        </w:tc>
      </w:tr>
      <w:tr>
        <w:trPr>
          <w:trHeight w:val="268" w:hRule="atLeast"/>
        </w:trPr>
        <w:tc>
          <w:tcPr>
            <w:tcW w:w="1325" w:type="dxa"/>
          </w:tcPr>
          <w:p>
            <w:pPr>
              <w:pStyle w:val="TableParagraph"/>
              <w:spacing w:before="18"/>
              <w:ind w:left="111" w:right="106"/>
              <w:jc w:val="center"/>
              <w:rPr>
                <w:sz w:val="20"/>
              </w:rPr>
            </w:pPr>
            <w:r>
              <w:rPr>
                <w:sz w:val="20"/>
              </w:rPr>
              <w:t>DIO_R3</w:t>
            </w:r>
          </w:p>
        </w:tc>
        <w:tc>
          <w:tcPr>
            <w:tcW w:w="713" w:type="dxa"/>
          </w:tcPr>
          <w:p>
            <w:pPr>
              <w:pStyle w:val="TableParagraph"/>
              <w:spacing w:before="18"/>
              <w:ind w:left="94" w:right="89"/>
              <w:jc w:val="center"/>
              <w:rPr>
                <w:sz w:val="20"/>
              </w:rPr>
            </w:pPr>
            <w:r>
              <w:rPr>
                <w:sz w:val="20"/>
              </w:rPr>
              <w:t>201D</w:t>
            </w:r>
          </w:p>
        </w:tc>
        <w:tc>
          <w:tcPr>
            <w:tcW w:w="1423" w:type="dxa"/>
            <w:shd w:val="clear" w:color="auto" w:fill="DADADA"/>
          </w:tcPr>
          <w:p>
            <w:pPr>
              <w:pStyle w:val="TableParagraph"/>
              <w:spacing w:before="14"/>
              <w:ind w:left="6"/>
              <w:jc w:val="center"/>
              <w:rPr>
                <w:rFonts w:ascii="Times New Roman"/>
                <w:i/>
                <w:sz w:val="20"/>
              </w:rPr>
            </w:pPr>
            <w:r>
              <w:rPr>
                <w:rFonts w:ascii="Times New Roman"/>
                <w:i/>
                <w:w w:val="99"/>
                <w:sz w:val="20"/>
              </w:rPr>
              <w:t>U</w:t>
            </w:r>
          </w:p>
        </w:tc>
        <w:tc>
          <w:tcPr>
            <w:tcW w:w="4050" w:type="dxa"/>
            <w:gridSpan w:val="5"/>
          </w:tcPr>
          <w:p>
            <w:pPr>
              <w:pStyle w:val="TableParagraph"/>
              <w:spacing w:before="14"/>
              <w:ind w:left="1404" w:right="1396"/>
              <w:jc w:val="center"/>
              <w:rPr>
                <w:rFonts w:ascii="Times New Roman"/>
                <w:i/>
                <w:sz w:val="20"/>
              </w:rPr>
            </w:pPr>
            <w:r>
              <w:rPr>
                <w:rFonts w:ascii="Times New Roman"/>
                <w:i/>
                <w:sz w:val="20"/>
              </w:rPr>
              <w:t>DIO_R9[2:0]</w:t>
            </w:r>
          </w:p>
        </w:tc>
        <w:tc>
          <w:tcPr>
            <w:tcW w:w="1324" w:type="dxa"/>
            <w:shd w:val="clear" w:color="auto" w:fill="DADADA"/>
          </w:tcPr>
          <w:p>
            <w:pPr>
              <w:pStyle w:val="TableParagraph"/>
              <w:spacing w:before="14"/>
              <w:ind w:left="45"/>
              <w:jc w:val="center"/>
              <w:rPr>
                <w:rFonts w:ascii="Times New Roman"/>
                <w:i/>
                <w:sz w:val="20"/>
              </w:rPr>
            </w:pPr>
            <w:r>
              <w:rPr>
                <w:rFonts w:ascii="Times New Roman"/>
                <w:i/>
                <w:w w:val="99"/>
                <w:sz w:val="20"/>
              </w:rPr>
              <w:t>U</w:t>
            </w:r>
          </w:p>
        </w:tc>
        <w:tc>
          <w:tcPr>
            <w:tcW w:w="4122" w:type="dxa"/>
            <w:gridSpan w:val="3"/>
          </w:tcPr>
          <w:p>
            <w:pPr>
              <w:pStyle w:val="TableParagraph"/>
              <w:spacing w:before="14"/>
              <w:ind w:left="1438" w:right="1388"/>
              <w:jc w:val="center"/>
              <w:rPr>
                <w:rFonts w:ascii="Times New Roman"/>
                <w:i/>
                <w:sz w:val="20"/>
              </w:rPr>
            </w:pPr>
            <w:r>
              <w:rPr>
                <w:rFonts w:ascii="Times New Roman"/>
                <w:i/>
                <w:sz w:val="20"/>
              </w:rPr>
              <w:t>DIO_R8[2:0]</w:t>
            </w:r>
          </w:p>
        </w:tc>
      </w:tr>
      <w:tr>
        <w:trPr>
          <w:trHeight w:val="270" w:hRule="atLeast"/>
        </w:trPr>
        <w:tc>
          <w:tcPr>
            <w:tcW w:w="1325" w:type="dxa"/>
          </w:tcPr>
          <w:p>
            <w:pPr>
              <w:pStyle w:val="TableParagraph"/>
              <w:spacing w:before="21"/>
              <w:ind w:left="111" w:right="106"/>
              <w:jc w:val="center"/>
              <w:rPr>
                <w:sz w:val="20"/>
              </w:rPr>
            </w:pPr>
            <w:r>
              <w:rPr>
                <w:sz w:val="20"/>
              </w:rPr>
              <w:t>DIO_R2</w:t>
            </w:r>
          </w:p>
        </w:tc>
        <w:tc>
          <w:tcPr>
            <w:tcW w:w="713" w:type="dxa"/>
          </w:tcPr>
          <w:p>
            <w:pPr>
              <w:pStyle w:val="TableParagraph"/>
              <w:spacing w:before="21"/>
              <w:ind w:left="94" w:right="87"/>
              <w:jc w:val="center"/>
              <w:rPr>
                <w:sz w:val="20"/>
              </w:rPr>
            </w:pPr>
            <w:r>
              <w:rPr>
                <w:sz w:val="20"/>
              </w:rPr>
              <w:t>201E</w:t>
            </w:r>
          </w:p>
        </w:tc>
        <w:tc>
          <w:tcPr>
            <w:tcW w:w="1423" w:type="dxa"/>
            <w:shd w:val="clear" w:color="auto" w:fill="DADADA"/>
          </w:tcPr>
          <w:p>
            <w:pPr>
              <w:pStyle w:val="TableParagraph"/>
              <w:spacing w:before="17"/>
              <w:ind w:left="6"/>
              <w:jc w:val="center"/>
              <w:rPr>
                <w:rFonts w:ascii="Times New Roman"/>
                <w:i/>
                <w:sz w:val="20"/>
              </w:rPr>
            </w:pPr>
            <w:r>
              <w:rPr>
                <w:rFonts w:ascii="Times New Roman"/>
                <w:i/>
                <w:w w:val="99"/>
                <w:sz w:val="20"/>
              </w:rPr>
              <w:t>U</w:t>
            </w:r>
          </w:p>
        </w:tc>
        <w:tc>
          <w:tcPr>
            <w:tcW w:w="4050" w:type="dxa"/>
            <w:gridSpan w:val="5"/>
          </w:tcPr>
          <w:p>
            <w:pPr>
              <w:pStyle w:val="TableParagraph"/>
              <w:spacing w:before="17"/>
              <w:ind w:left="1404" w:right="1396"/>
              <w:jc w:val="center"/>
              <w:rPr>
                <w:rFonts w:ascii="Times New Roman"/>
                <w:i/>
                <w:sz w:val="20"/>
              </w:rPr>
            </w:pPr>
            <w:r>
              <w:rPr>
                <w:rFonts w:ascii="Times New Roman"/>
                <w:i/>
                <w:sz w:val="20"/>
              </w:rPr>
              <w:t>DIO_R7[2:0]</w:t>
            </w:r>
          </w:p>
        </w:tc>
        <w:tc>
          <w:tcPr>
            <w:tcW w:w="1324" w:type="dxa"/>
            <w:shd w:val="clear" w:color="auto" w:fill="DADADA"/>
          </w:tcPr>
          <w:p>
            <w:pPr>
              <w:pStyle w:val="TableParagraph"/>
              <w:spacing w:before="17"/>
              <w:ind w:left="45"/>
              <w:jc w:val="center"/>
              <w:rPr>
                <w:rFonts w:ascii="Times New Roman"/>
                <w:i/>
                <w:sz w:val="20"/>
              </w:rPr>
            </w:pPr>
            <w:r>
              <w:rPr>
                <w:rFonts w:ascii="Times New Roman"/>
                <w:i/>
                <w:w w:val="99"/>
                <w:sz w:val="20"/>
              </w:rPr>
              <w:t>U</w:t>
            </w:r>
          </w:p>
        </w:tc>
        <w:tc>
          <w:tcPr>
            <w:tcW w:w="4122" w:type="dxa"/>
            <w:gridSpan w:val="3"/>
          </w:tcPr>
          <w:p>
            <w:pPr>
              <w:pStyle w:val="TableParagraph"/>
              <w:spacing w:before="17"/>
              <w:ind w:left="1438" w:right="1388"/>
              <w:jc w:val="center"/>
              <w:rPr>
                <w:rFonts w:ascii="Times New Roman"/>
                <w:i/>
                <w:sz w:val="20"/>
              </w:rPr>
            </w:pPr>
            <w:r>
              <w:rPr>
                <w:rFonts w:ascii="Times New Roman"/>
                <w:i/>
                <w:sz w:val="20"/>
              </w:rPr>
              <w:t>DIO_R6[2:0]</w:t>
            </w:r>
          </w:p>
        </w:tc>
      </w:tr>
      <w:tr>
        <w:trPr>
          <w:trHeight w:val="270" w:hRule="atLeast"/>
        </w:trPr>
        <w:tc>
          <w:tcPr>
            <w:tcW w:w="1325" w:type="dxa"/>
          </w:tcPr>
          <w:p>
            <w:pPr>
              <w:pStyle w:val="TableParagraph"/>
              <w:spacing w:before="18"/>
              <w:ind w:left="111" w:right="106"/>
              <w:jc w:val="center"/>
              <w:rPr>
                <w:sz w:val="20"/>
              </w:rPr>
            </w:pPr>
            <w:r>
              <w:rPr>
                <w:sz w:val="20"/>
              </w:rPr>
              <w:t>DIO_R1</w:t>
            </w:r>
          </w:p>
        </w:tc>
        <w:tc>
          <w:tcPr>
            <w:tcW w:w="713" w:type="dxa"/>
          </w:tcPr>
          <w:p>
            <w:pPr>
              <w:pStyle w:val="TableParagraph"/>
              <w:spacing w:before="18"/>
              <w:ind w:left="91" w:right="89"/>
              <w:jc w:val="center"/>
              <w:rPr>
                <w:sz w:val="20"/>
              </w:rPr>
            </w:pPr>
            <w:r>
              <w:rPr>
                <w:sz w:val="20"/>
              </w:rPr>
              <w:t>201F</w:t>
            </w:r>
          </w:p>
        </w:tc>
        <w:tc>
          <w:tcPr>
            <w:tcW w:w="1423" w:type="dxa"/>
            <w:shd w:val="clear" w:color="auto" w:fill="DADADA"/>
          </w:tcPr>
          <w:p>
            <w:pPr>
              <w:pStyle w:val="TableParagraph"/>
              <w:spacing w:before="14"/>
              <w:ind w:left="6"/>
              <w:jc w:val="center"/>
              <w:rPr>
                <w:rFonts w:ascii="Times New Roman"/>
                <w:i/>
                <w:sz w:val="20"/>
              </w:rPr>
            </w:pPr>
            <w:r>
              <w:rPr>
                <w:rFonts w:ascii="Times New Roman"/>
                <w:i/>
                <w:w w:val="99"/>
                <w:sz w:val="20"/>
              </w:rPr>
              <w:t>U</w:t>
            </w:r>
          </w:p>
        </w:tc>
        <w:tc>
          <w:tcPr>
            <w:tcW w:w="4050" w:type="dxa"/>
            <w:gridSpan w:val="5"/>
          </w:tcPr>
          <w:p>
            <w:pPr>
              <w:pStyle w:val="TableParagraph"/>
              <w:spacing w:before="14"/>
              <w:ind w:left="1404" w:right="1396"/>
              <w:jc w:val="center"/>
              <w:rPr>
                <w:rFonts w:ascii="Times New Roman"/>
                <w:i/>
                <w:sz w:val="20"/>
              </w:rPr>
            </w:pPr>
            <w:r>
              <w:rPr>
                <w:rFonts w:ascii="Times New Roman"/>
                <w:i/>
                <w:sz w:val="20"/>
              </w:rPr>
              <w:t>DIO_R5[2:0]</w:t>
            </w:r>
          </w:p>
        </w:tc>
        <w:tc>
          <w:tcPr>
            <w:tcW w:w="1324" w:type="dxa"/>
            <w:shd w:val="clear" w:color="auto" w:fill="DADADA"/>
          </w:tcPr>
          <w:p>
            <w:pPr>
              <w:pStyle w:val="TableParagraph"/>
              <w:spacing w:before="14"/>
              <w:ind w:left="45"/>
              <w:jc w:val="center"/>
              <w:rPr>
                <w:rFonts w:ascii="Times New Roman"/>
                <w:i/>
                <w:sz w:val="20"/>
              </w:rPr>
            </w:pPr>
            <w:r>
              <w:rPr>
                <w:rFonts w:ascii="Times New Roman"/>
                <w:i/>
                <w:w w:val="99"/>
                <w:sz w:val="20"/>
              </w:rPr>
              <w:t>U</w:t>
            </w:r>
          </w:p>
        </w:tc>
        <w:tc>
          <w:tcPr>
            <w:tcW w:w="4122" w:type="dxa"/>
            <w:gridSpan w:val="3"/>
          </w:tcPr>
          <w:p>
            <w:pPr>
              <w:pStyle w:val="TableParagraph"/>
              <w:spacing w:before="14"/>
              <w:ind w:left="1438" w:right="1388"/>
              <w:jc w:val="center"/>
              <w:rPr>
                <w:rFonts w:ascii="Times New Roman"/>
                <w:i/>
                <w:sz w:val="20"/>
              </w:rPr>
            </w:pPr>
            <w:r>
              <w:rPr>
                <w:rFonts w:ascii="Times New Roman"/>
                <w:i/>
                <w:sz w:val="20"/>
              </w:rPr>
              <w:t>DIO_R4[2:0]</w:t>
            </w:r>
          </w:p>
        </w:tc>
      </w:tr>
      <w:tr>
        <w:trPr>
          <w:trHeight w:val="268" w:hRule="atLeast"/>
        </w:trPr>
        <w:tc>
          <w:tcPr>
            <w:tcW w:w="1325" w:type="dxa"/>
          </w:tcPr>
          <w:p>
            <w:pPr>
              <w:pStyle w:val="TableParagraph"/>
              <w:spacing w:before="18"/>
              <w:ind w:left="111" w:right="106"/>
              <w:jc w:val="center"/>
              <w:rPr>
                <w:sz w:val="20"/>
              </w:rPr>
            </w:pPr>
            <w:r>
              <w:rPr>
                <w:sz w:val="20"/>
              </w:rPr>
              <w:t>DIO_R0</w:t>
            </w:r>
          </w:p>
        </w:tc>
        <w:tc>
          <w:tcPr>
            <w:tcW w:w="713" w:type="dxa"/>
          </w:tcPr>
          <w:p>
            <w:pPr>
              <w:pStyle w:val="TableParagraph"/>
              <w:spacing w:before="18"/>
              <w:ind w:left="94" w:right="88"/>
              <w:jc w:val="center"/>
              <w:rPr>
                <w:sz w:val="20"/>
              </w:rPr>
            </w:pPr>
            <w:r>
              <w:rPr>
                <w:sz w:val="20"/>
              </w:rPr>
              <w:t>2020</w:t>
            </w:r>
          </w:p>
        </w:tc>
        <w:tc>
          <w:tcPr>
            <w:tcW w:w="1423" w:type="dxa"/>
            <w:shd w:val="clear" w:color="auto" w:fill="DADADA"/>
          </w:tcPr>
          <w:p>
            <w:pPr>
              <w:pStyle w:val="TableParagraph"/>
              <w:spacing w:before="14"/>
              <w:ind w:left="6"/>
              <w:jc w:val="center"/>
              <w:rPr>
                <w:rFonts w:ascii="Times New Roman"/>
                <w:i/>
                <w:sz w:val="20"/>
              </w:rPr>
            </w:pPr>
            <w:r>
              <w:rPr>
                <w:rFonts w:ascii="Times New Roman"/>
                <w:i/>
                <w:w w:val="99"/>
                <w:sz w:val="20"/>
              </w:rPr>
              <w:t>U</w:t>
            </w:r>
          </w:p>
        </w:tc>
        <w:tc>
          <w:tcPr>
            <w:tcW w:w="4050" w:type="dxa"/>
            <w:gridSpan w:val="5"/>
          </w:tcPr>
          <w:p>
            <w:pPr>
              <w:pStyle w:val="TableParagraph"/>
              <w:spacing w:before="14"/>
              <w:ind w:left="1404" w:right="1396"/>
              <w:jc w:val="center"/>
              <w:rPr>
                <w:rFonts w:ascii="Times New Roman"/>
                <w:i/>
                <w:sz w:val="20"/>
              </w:rPr>
            </w:pPr>
            <w:r>
              <w:rPr>
                <w:rFonts w:ascii="Times New Roman"/>
                <w:i/>
                <w:sz w:val="20"/>
              </w:rPr>
              <w:t>DIO_R3[2:0]</w:t>
            </w:r>
          </w:p>
        </w:tc>
        <w:tc>
          <w:tcPr>
            <w:tcW w:w="1324" w:type="dxa"/>
            <w:shd w:val="clear" w:color="auto" w:fill="DADADA"/>
          </w:tcPr>
          <w:p>
            <w:pPr>
              <w:pStyle w:val="TableParagraph"/>
              <w:spacing w:before="14"/>
              <w:ind w:left="45"/>
              <w:jc w:val="center"/>
              <w:rPr>
                <w:rFonts w:ascii="Times New Roman"/>
                <w:i/>
                <w:sz w:val="20"/>
              </w:rPr>
            </w:pPr>
            <w:r>
              <w:rPr>
                <w:rFonts w:ascii="Times New Roman"/>
                <w:i/>
                <w:w w:val="99"/>
                <w:sz w:val="20"/>
              </w:rPr>
              <w:t>U</w:t>
            </w:r>
          </w:p>
        </w:tc>
        <w:tc>
          <w:tcPr>
            <w:tcW w:w="4122" w:type="dxa"/>
            <w:gridSpan w:val="3"/>
          </w:tcPr>
          <w:p>
            <w:pPr>
              <w:pStyle w:val="TableParagraph"/>
              <w:spacing w:before="14"/>
              <w:ind w:left="1438" w:right="1388"/>
              <w:jc w:val="center"/>
              <w:rPr>
                <w:rFonts w:ascii="Times New Roman"/>
                <w:i/>
                <w:sz w:val="20"/>
              </w:rPr>
            </w:pPr>
            <w:r>
              <w:rPr>
                <w:rFonts w:ascii="Times New Roman"/>
                <w:i/>
                <w:sz w:val="20"/>
              </w:rPr>
              <w:t>DIO_R2[2:0]</w:t>
            </w:r>
          </w:p>
        </w:tc>
      </w:tr>
      <w:tr>
        <w:trPr>
          <w:trHeight w:val="270" w:hRule="atLeast"/>
        </w:trPr>
        <w:tc>
          <w:tcPr>
            <w:tcW w:w="1325" w:type="dxa"/>
          </w:tcPr>
          <w:p>
            <w:pPr>
              <w:pStyle w:val="TableParagraph"/>
              <w:spacing w:before="21"/>
              <w:ind w:left="110" w:right="106"/>
              <w:jc w:val="center"/>
              <w:rPr>
                <w:sz w:val="20"/>
              </w:rPr>
            </w:pPr>
            <w:r>
              <w:rPr>
                <w:sz w:val="20"/>
              </w:rPr>
              <w:t>DIO0</w:t>
            </w:r>
          </w:p>
        </w:tc>
        <w:tc>
          <w:tcPr>
            <w:tcW w:w="713" w:type="dxa"/>
          </w:tcPr>
          <w:p>
            <w:pPr>
              <w:pStyle w:val="TableParagraph"/>
              <w:spacing w:before="21"/>
              <w:ind w:left="94" w:right="88"/>
              <w:jc w:val="center"/>
              <w:rPr>
                <w:sz w:val="20"/>
              </w:rPr>
            </w:pPr>
            <w:r>
              <w:rPr>
                <w:sz w:val="20"/>
              </w:rPr>
              <w:t>2021</w:t>
            </w:r>
          </w:p>
        </w:tc>
        <w:tc>
          <w:tcPr>
            <w:tcW w:w="2732" w:type="dxa"/>
            <w:gridSpan w:val="2"/>
          </w:tcPr>
          <w:p>
            <w:pPr>
              <w:pStyle w:val="TableParagraph"/>
              <w:spacing w:before="17"/>
              <w:ind w:left="753"/>
              <w:rPr>
                <w:rFonts w:ascii="Times New Roman"/>
                <w:i/>
                <w:sz w:val="20"/>
              </w:rPr>
            </w:pPr>
            <w:r>
              <w:rPr>
                <w:rFonts w:ascii="Times New Roman"/>
                <w:i/>
                <w:sz w:val="20"/>
              </w:rPr>
              <w:t>DIO_EEX[1:0]</w:t>
            </w:r>
          </w:p>
        </w:tc>
        <w:tc>
          <w:tcPr>
            <w:tcW w:w="1381" w:type="dxa"/>
            <w:gridSpan w:val="2"/>
            <w:shd w:val="clear" w:color="auto" w:fill="DADADA"/>
          </w:tcPr>
          <w:p>
            <w:pPr>
              <w:pStyle w:val="TableParagraph"/>
              <w:spacing w:before="17"/>
              <w:ind w:left="22"/>
              <w:jc w:val="center"/>
              <w:rPr>
                <w:rFonts w:ascii="Times New Roman"/>
                <w:i/>
                <w:sz w:val="20"/>
              </w:rPr>
            </w:pPr>
            <w:r>
              <w:rPr>
                <w:rFonts w:ascii="Times New Roman"/>
                <w:i/>
                <w:w w:val="99"/>
                <w:sz w:val="20"/>
              </w:rPr>
              <w:t>U</w:t>
            </w:r>
          </w:p>
        </w:tc>
        <w:tc>
          <w:tcPr>
            <w:tcW w:w="1360" w:type="dxa"/>
            <w:gridSpan w:val="2"/>
            <w:shd w:val="clear" w:color="auto" w:fill="DADADA"/>
          </w:tcPr>
          <w:p>
            <w:pPr>
              <w:pStyle w:val="TableParagraph"/>
              <w:spacing w:before="17"/>
              <w:ind w:left="8"/>
              <w:jc w:val="center"/>
              <w:rPr>
                <w:rFonts w:ascii="Times New Roman"/>
                <w:i/>
                <w:sz w:val="20"/>
              </w:rPr>
            </w:pPr>
            <w:r>
              <w:rPr>
                <w:rFonts w:ascii="Times New Roman"/>
                <w:i/>
                <w:w w:val="99"/>
                <w:sz w:val="20"/>
              </w:rPr>
              <w:t>U</w:t>
            </w:r>
          </w:p>
        </w:tc>
        <w:tc>
          <w:tcPr>
            <w:tcW w:w="2694" w:type="dxa"/>
            <w:gridSpan w:val="2"/>
          </w:tcPr>
          <w:p>
            <w:pPr>
              <w:pStyle w:val="TableParagraph"/>
              <w:spacing w:before="17"/>
              <w:ind w:left="732"/>
              <w:rPr>
                <w:rFonts w:ascii="Times New Roman"/>
                <w:i/>
                <w:sz w:val="20"/>
              </w:rPr>
            </w:pPr>
            <w:r>
              <w:rPr>
                <w:rFonts w:ascii="Times New Roman"/>
                <w:i/>
                <w:sz w:val="20"/>
              </w:rPr>
              <w:t>OPT_TXE[1:0]</w:t>
            </w:r>
          </w:p>
        </w:tc>
        <w:tc>
          <w:tcPr>
            <w:tcW w:w="1365" w:type="dxa"/>
          </w:tcPr>
          <w:p>
            <w:pPr>
              <w:pStyle w:val="TableParagraph"/>
              <w:spacing w:before="17"/>
              <w:ind w:left="105" w:right="43"/>
              <w:jc w:val="center"/>
              <w:rPr>
                <w:rFonts w:ascii="Times New Roman"/>
                <w:i/>
                <w:sz w:val="20"/>
              </w:rPr>
            </w:pPr>
            <w:r>
              <w:rPr>
                <w:rFonts w:ascii="Times New Roman"/>
                <w:i/>
                <w:sz w:val="20"/>
              </w:rPr>
              <w:t>OPT_TXMOD</w:t>
            </w:r>
          </w:p>
        </w:tc>
        <w:tc>
          <w:tcPr>
            <w:tcW w:w="1387" w:type="dxa"/>
          </w:tcPr>
          <w:p>
            <w:pPr>
              <w:pStyle w:val="TableParagraph"/>
              <w:spacing w:before="17"/>
              <w:ind w:right="151"/>
              <w:jc w:val="right"/>
              <w:rPr>
                <w:rFonts w:ascii="Times New Roman"/>
                <w:i/>
                <w:sz w:val="20"/>
              </w:rPr>
            </w:pPr>
            <w:r>
              <w:rPr>
                <w:rFonts w:ascii="Times New Roman"/>
                <w:i/>
                <w:sz w:val="20"/>
              </w:rPr>
              <w:t>OPT_TXINV</w:t>
            </w:r>
          </w:p>
        </w:tc>
      </w:tr>
      <w:tr>
        <w:trPr>
          <w:trHeight w:val="270" w:hRule="atLeast"/>
        </w:trPr>
        <w:tc>
          <w:tcPr>
            <w:tcW w:w="1325" w:type="dxa"/>
          </w:tcPr>
          <w:p>
            <w:pPr>
              <w:pStyle w:val="TableParagraph"/>
              <w:spacing w:before="18"/>
              <w:ind w:left="110" w:right="106"/>
              <w:jc w:val="center"/>
              <w:rPr>
                <w:sz w:val="20"/>
              </w:rPr>
            </w:pPr>
            <w:r>
              <w:rPr>
                <w:sz w:val="20"/>
              </w:rPr>
              <w:t>DIO1</w:t>
            </w:r>
          </w:p>
        </w:tc>
        <w:tc>
          <w:tcPr>
            <w:tcW w:w="713" w:type="dxa"/>
          </w:tcPr>
          <w:p>
            <w:pPr>
              <w:pStyle w:val="TableParagraph"/>
              <w:spacing w:before="18"/>
              <w:ind w:left="94" w:right="88"/>
              <w:jc w:val="center"/>
              <w:rPr>
                <w:sz w:val="20"/>
              </w:rPr>
            </w:pPr>
            <w:r>
              <w:rPr>
                <w:sz w:val="20"/>
              </w:rPr>
              <w:t>2022</w:t>
            </w:r>
          </w:p>
        </w:tc>
        <w:tc>
          <w:tcPr>
            <w:tcW w:w="1423" w:type="dxa"/>
          </w:tcPr>
          <w:p>
            <w:pPr>
              <w:pStyle w:val="TableParagraph"/>
              <w:spacing w:before="14"/>
              <w:ind w:left="149" w:right="143"/>
              <w:jc w:val="center"/>
              <w:rPr>
                <w:rFonts w:ascii="Times New Roman"/>
                <w:i/>
                <w:sz w:val="20"/>
              </w:rPr>
            </w:pPr>
            <w:r>
              <w:rPr>
                <w:rFonts w:ascii="Times New Roman"/>
                <w:i/>
                <w:sz w:val="20"/>
              </w:rPr>
              <w:t>DIO_PW</w:t>
            </w:r>
          </w:p>
        </w:tc>
        <w:tc>
          <w:tcPr>
            <w:tcW w:w="1309" w:type="dxa"/>
          </w:tcPr>
          <w:p>
            <w:pPr>
              <w:pStyle w:val="TableParagraph"/>
              <w:spacing w:before="14"/>
              <w:ind w:left="85" w:right="61"/>
              <w:jc w:val="center"/>
              <w:rPr>
                <w:rFonts w:ascii="Times New Roman"/>
                <w:i/>
                <w:sz w:val="20"/>
              </w:rPr>
            </w:pPr>
            <w:r>
              <w:rPr>
                <w:rFonts w:ascii="Times New Roman"/>
                <w:i/>
                <w:sz w:val="20"/>
              </w:rPr>
              <w:t>DIO_PV</w:t>
            </w:r>
          </w:p>
        </w:tc>
        <w:tc>
          <w:tcPr>
            <w:tcW w:w="2741" w:type="dxa"/>
            <w:gridSpan w:val="4"/>
          </w:tcPr>
          <w:p>
            <w:pPr>
              <w:pStyle w:val="TableParagraph"/>
              <w:spacing w:before="14"/>
              <w:ind w:left="728"/>
              <w:rPr>
                <w:rFonts w:ascii="Times New Roman"/>
                <w:i/>
                <w:sz w:val="20"/>
              </w:rPr>
            </w:pPr>
            <w:r>
              <w:rPr>
                <w:rFonts w:ascii="Times New Roman"/>
                <w:i/>
                <w:sz w:val="20"/>
              </w:rPr>
              <w:t>OPT_FDC[1:0]</w:t>
            </w:r>
          </w:p>
        </w:tc>
        <w:tc>
          <w:tcPr>
            <w:tcW w:w="1324" w:type="dxa"/>
            <w:shd w:val="clear" w:color="auto" w:fill="DADADA"/>
          </w:tcPr>
          <w:p>
            <w:pPr>
              <w:pStyle w:val="TableParagraph"/>
              <w:spacing w:before="14"/>
              <w:ind w:left="45"/>
              <w:jc w:val="center"/>
              <w:rPr>
                <w:rFonts w:ascii="Times New Roman"/>
                <w:i/>
                <w:sz w:val="20"/>
              </w:rPr>
            </w:pPr>
            <w:r>
              <w:rPr>
                <w:rFonts w:ascii="Times New Roman"/>
                <w:i/>
                <w:w w:val="99"/>
                <w:sz w:val="20"/>
              </w:rPr>
              <w:t>U</w:t>
            </w:r>
          </w:p>
        </w:tc>
        <w:tc>
          <w:tcPr>
            <w:tcW w:w="1370" w:type="dxa"/>
          </w:tcPr>
          <w:p>
            <w:pPr>
              <w:pStyle w:val="TableParagraph"/>
              <w:spacing w:before="14"/>
              <w:ind w:left="183" w:right="103"/>
              <w:jc w:val="center"/>
              <w:rPr>
                <w:rFonts w:ascii="Times New Roman"/>
                <w:i/>
                <w:sz w:val="20"/>
              </w:rPr>
            </w:pPr>
            <w:r>
              <w:rPr>
                <w:rFonts w:ascii="Times New Roman"/>
                <w:i/>
                <w:sz w:val="20"/>
              </w:rPr>
              <w:t>OPT_RXDIS</w:t>
            </w:r>
          </w:p>
        </w:tc>
        <w:tc>
          <w:tcPr>
            <w:tcW w:w="1365" w:type="dxa"/>
          </w:tcPr>
          <w:p>
            <w:pPr>
              <w:pStyle w:val="TableParagraph"/>
              <w:spacing w:before="14"/>
              <w:ind w:left="105" w:right="39"/>
              <w:jc w:val="center"/>
              <w:rPr>
                <w:rFonts w:ascii="Times New Roman"/>
                <w:i/>
                <w:sz w:val="20"/>
              </w:rPr>
            </w:pPr>
            <w:r>
              <w:rPr>
                <w:rFonts w:ascii="Times New Roman"/>
                <w:i/>
                <w:sz w:val="20"/>
              </w:rPr>
              <w:t>OPT_RXINV</w:t>
            </w:r>
          </w:p>
        </w:tc>
        <w:tc>
          <w:tcPr>
            <w:tcW w:w="1387" w:type="dxa"/>
          </w:tcPr>
          <w:p>
            <w:pPr>
              <w:pStyle w:val="TableParagraph"/>
              <w:spacing w:before="14"/>
              <w:ind w:left="348"/>
              <w:rPr>
                <w:rFonts w:ascii="Times New Roman"/>
                <w:i/>
                <w:sz w:val="20"/>
              </w:rPr>
            </w:pPr>
            <w:r>
              <w:rPr>
                <w:rFonts w:ascii="Times New Roman"/>
                <w:i/>
                <w:sz w:val="20"/>
              </w:rPr>
              <w:t>OPT_BB</w:t>
            </w:r>
          </w:p>
        </w:tc>
      </w:tr>
      <w:tr>
        <w:trPr>
          <w:trHeight w:val="268" w:hRule="atLeast"/>
        </w:trPr>
        <w:tc>
          <w:tcPr>
            <w:tcW w:w="1325" w:type="dxa"/>
          </w:tcPr>
          <w:p>
            <w:pPr>
              <w:pStyle w:val="TableParagraph"/>
              <w:spacing w:before="18"/>
              <w:ind w:left="110" w:right="106"/>
              <w:jc w:val="center"/>
              <w:rPr>
                <w:sz w:val="20"/>
              </w:rPr>
            </w:pPr>
            <w:r>
              <w:rPr>
                <w:sz w:val="20"/>
              </w:rPr>
              <w:t>DIO2</w:t>
            </w:r>
          </w:p>
        </w:tc>
        <w:tc>
          <w:tcPr>
            <w:tcW w:w="713" w:type="dxa"/>
          </w:tcPr>
          <w:p>
            <w:pPr>
              <w:pStyle w:val="TableParagraph"/>
              <w:spacing w:before="18"/>
              <w:ind w:left="94" w:right="88"/>
              <w:jc w:val="center"/>
              <w:rPr>
                <w:sz w:val="20"/>
              </w:rPr>
            </w:pPr>
            <w:r>
              <w:rPr>
                <w:sz w:val="20"/>
              </w:rPr>
              <w:t>2023</w:t>
            </w:r>
          </w:p>
        </w:tc>
        <w:tc>
          <w:tcPr>
            <w:tcW w:w="1423" w:type="dxa"/>
          </w:tcPr>
          <w:p>
            <w:pPr>
              <w:pStyle w:val="TableParagraph"/>
              <w:spacing w:before="14"/>
              <w:ind w:left="148" w:right="143"/>
              <w:jc w:val="center"/>
              <w:rPr>
                <w:rFonts w:ascii="Times New Roman"/>
                <w:i/>
                <w:sz w:val="20"/>
              </w:rPr>
            </w:pPr>
            <w:r>
              <w:rPr>
                <w:rFonts w:ascii="Times New Roman"/>
                <w:i/>
                <w:sz w:val="20"/>
              </w:rPr>
              <w:t>DIO_PX</w:t>
            </w:r>
          </w:p>
        </w:tc>
        <w:tc>
          <w:tcPr>
            <w:tcW w:w="1309" w:type="dxa"/>
          </w:tcPr>
          <w:p>
            <w:pPr>
              <w:pStyle w:val="TableParagraph"/>
              <w:spacing w:before="14"/>
              <w:ind w:left="85" w:right="58"/>
              <w:jc w:val="center"/>
              <w:rPr>
                <w:rFonts w:ascii="Times New Roman"/>
                <w:i/>
                <w:sz w:val="20"/>
              </w:rPr>
            </w:pPr>
            <w:r>
              <w:rPr>
                <w:rFonts w:ascii="Times New Roman"/>
                <w:i/>
                <w:sz w:val="20"/>
              </w:rPr>
              <w:t>DIO_PY</w:t>
            </w:r>
          </w:p>
        </w:tc>
        <w:tc>
          <w:tcPr>
            <w:tcW w:w="1381" w:type="dxa"/>
            <w:gridSpan w:val="2"/>
            <w:shd w:val="clear" w:color="auto" w:fill="DADADA"/>
          </w:tcPr>
          <w:p>
            <w:pPr>
              <w:pStyle w:val="TableParagraph"/>
              <w:spacing w:before="14"/>
              <w:ind w:left="22"/>
              <w:jc w:val="center"/>
              <w:rPr>
                <w:rFonts w:ascii="Times New Roman"/>
                <w:i/>
                <w:sz w:val="20"/>
              </w:rPr>
            </w:pPr>
            <w:r>
              <w:rPr>
                <w:rFonts w:ascii="Times New Roman"/>
                <w:i/>
                <w:w w:val="99"/>
                <w:sz w:val="20"/>
              </w:rPr>
              <w:t>U</w:t>
            </w:r>
          </w:p>
        </w:tc>
        <w:tc>
          <w:tcPr>
            <w:tcW w:w="1360" w:type="dxa"/>
            <w:gridSpan w:val="2"/>
            <w:shd w:val="clear" w:color="auto" w:fill="DADADA"/>
          </w:tcPr>
          <w:p>
            <w:pPr>
              <w:pStyle w:val="TableParagraph"/>
              <w:spacing w:before="14"/>
              <w:ind w:left="8"/>
              <w:jc w:val="center"/>
              <w:rPr>
                <w:rFonts w:ascii="Times New Roman"/>
                <w:i/>
                <w:sz w:val="20"/>
              </w:rPr>
            </w:pPr>
            <w:r>
              <w:rPr>
                <w:rFonts w:ascii="Times New Roman"/>
                <w:i/>
                <w:w w:val="99"/>
                <w:sz w:val="20"/>
              </w:rPr>
              <w:t>U</w:t>
            </w:r>
          </w:p>
        </w:tc>
        <w:tc>
          <w:tcPr>
            <w:tcW w:w="1324" w:type="dxa"/>
            <w:shd w:val="clear" w:color="auto" w:fill="DADADA"/>
          </w:tcPr>
          <w:p>
            <w:pPr>
              <w:pStyle w:val="TableParagraph"/>
              <w:spacing w:before="14"/>
              <w:ind w:left="45"/>
              <w:jc w:val="center"/>
              <w:rPr>
                <w:rFonts w:ascii="Times New Roman"/>
                <w:i/>
                <w:sz w:val="20"/>
              </w:rPr>
            </w:pPr>
            <w:r>
              <w:rPr>
                <w:rFonts w:ascii="Times New Roman"/>
                <w:i/>
                <w:w w:val="99"/>
                <w:sz w:val="20"/>
              </w:rPr>
              <w:t>U</w:t>
            </w:r>
          </w:p>
        </w:tc>
        <w:tc>
          <w:tcPr>
            <w:tcW w:w="1370" w:type="dxa"/>
            <w:shd w:val="clear" w:color="auto" w:fill="DADADA"/>
          </w:tcPr>
          <w:p>
            <w:pPr>
              <w:pStyle w:val="TableParagraph"/>
              <w:spacing w:before="14"/>
              <w:ind w:left="78"/>
              <w:jc w:val="center"/>
              <w:rPr>
                <w:rFonts w:ascii="Times New Roman"/>
                <w:i/>
                <w:sz w:val="20"/>
              </w:rPr>
            </w:pPr>
            <w:r>
              <w:rPr>
                <w:rFonts w:ascii="Times New Roman"/>
                <w:i/>
                <w:w w:val="99"/>
                <w:sz w:val="20"/>
              </w:rPr>
              <w:t>U</w:t>
            </w:r>
          </w:p>
        </w:tc>
        <w:tc>
          <w:tcPr>
            <w:tcW w:w="1365" w:type="dxa"/>
            <w:shd w:val="clear" w:color="auto" w:fill="DADADA"/>
          </w:tcPr>
          <w:p>
            <w:pPr>
              <w:pStyle w:val="TableParagraph"/>
              <w:spacing w:before="14"/>
              <w:ind w:left="64"/>
              <w:jc w:val="center"/>
              <w:rPr>
                <w:rFonts w:ascii="Times New Roman"/>
                <w:i/>
                <w:sz w:val="20"/>
              </w:rPr>
            </w:pPr>
            <w:r>
              <w:rPr>
                <w:rFonts w:ascii="Times New Roman"/>
                <w:i/>
                <w:w w:val="99"/>
                <w:sz w:val="20"/>
              </w:rPr>
              <w:t>U</w:t>
            </w:r>
          </w:p>
        </w:tc>
        <w:tc>
          <w:tcPr>
            <w:tcW w:w="1387" w:type="dxa"/>
            <w:shd w:val="clear" w:color="auto" w:fill="DADADA"/>
          </w:tcPr>
          <w:p>
            <w:pPr>
              <w:pStyle w:val="TableParagraph"/>
              <w:spacing w:before="14"/>
              <w:ind w:left="39"/>
              <w:jc w:val="center"/>
              <w:rPr>
                <w:rFonts w:ascii="Times New Roman"/>
                <w:i/>
                <w:sz w:val="20"/>
              </w:rPr>
            </w:pPr>
            <w:r>
              <w:rPr>
                <w:rFonts w:ascii="Times New Roman"/>
                <w:i/>
                <w:w w:val="99"/>
                <w:sz w:val="20"/>
              </w:rPr>
              <w:t>U</w:t>
            </w:r>
          </w:p>
        </w:tc>
      </w:tr>
      <w:tr>
        <w:trPr>
          <w:trHeight w:val="270" w:hRule="atLeast"/>
        </w:trPr>
        <w:tc>
          <w:tcPr>
            <w:tcW w:w="1325" w:type="dxa"/>
          </w:tcPr>
          <w:p>
            <w:pPr>
              <w:pStyle w:val="TableParagraph"/>
              <w:spacing w:before="21"/>
              <w:ind w:left="110" w:right="106"/>
              <w:jc w:val="center"/>
              <w:rPr>
                <w:sz w:val="20"/>
              </w:rPr>
            </w:pPr>
            <w:r>
              <w:rPr>
                <w:sz w:val="20"/>
              </w:rPr>
              <w:t>INT1_E</w:t>
            </w:r>
          </w:p>
        </w:tc>
        <w:tc>
          <w:tcPr>
            <w:tcW w:w="713" w:type="dxa"/>
          </w:tcPr>
          <w:p>
            <w:pPr>
              <w:pStyle w:val="TableParagraph"/>
              <w:spacing w:before="21"/>
              <w:ind w:left="94" w:right="88"/>
              <w:jc w:val="center"/>
              <w:rPr>
                <w:sz w:val="20"/>
              </w:rPr>
            </w:pPr>
            <w:r>
              <w:rPr>
                <w:sz w:val="20"/>
              </w:rPr>
              <w:t>2024</w:t>
            </w:r>
          </w:p>
        </w:tc>
        <w:tc>
          <w:tcPr>
            <w:tcW w:w="1423" w:type="dxa"/>
          </w:tcPr>
          <w:p>
            <w:pPr>
              <w:pStyle w:val="TableParagraph"/>
              <w:spacing w:before="17"/>
              <w:ind w:left="150" w:right="143"/>
              <w:jc w:val="center"/>
              <w:rPr>
                <w:rFonts w:ascii="Times New Roman"/>
                <w:i/>
                <w:sz w:val="20"/>
              </w:rPr>
            </w:pPr>
            <w:r>
              <w:rPr>
                <w:rFonts w:ascii="Times New Roman"/>
                <w:i/>
                <w:sz w:val="20"/>
              </w:rPr>
              <w:t>EX_EEX</w:t>
            </w:r>
          </w:p>
        </w:tc>
        <w:tc>
          <w:tcPr>
            <w:tcW w:w="1309" w:type="dxa"/>
          </w:tcPr>
          <w:p>
            <w:pPr>
              <w:pStyle w:val="TableParagraph"/>
              <w:spacing w:before="17"/>
              <w:ind w:left="85" w:right="59"/>
              <w:jc w:val="center"/>
              <w:rPr>
                <w:rFonts w:ascii="Times New Roman"/>
                <w:i/>
                <w:sz w:val="20"/>
              </w:rPr>
            </w:pPr>
            <w:r>
              <w:rPr>
                <w:rFonts w:ascii="Times New Roman"/>
                <w:i/>
                <w:sz w:val="20"/>
              </w:rPr>
              <w:t>EX_XPULSE</w:t>
            </w:r>
          </w:p>
        </w:tc>
        <w:tc>
          <w:tcPr>
            <w:tcW w:w="1381" w:type="dxa"/>
            <w:gridSpan w:val="2"/>
          </w:tcPr>
          <w:p>
            <w:pPr>
              <w:pStyle w:val="TableParagraph"/>
              <w:spacing w:before="17"/>
              <w:ind w:left="168"/>
              <w:rPr>
                <w:rFonts w:ascii="Times New Roman"/>
                <w:i/>
                <w:sz w:val="20"/>
              </w:rPr>
            </w:pPr>
            <w:r>
              <w:rPr>
                <w:rFonts w:ascii="Times New Roman"/>
                <w:i/>
                <w:sz w:val="20"/>
              </w:rPr>
              <w:t>EX_YPULSE</w:t>
            </w:r>
          </w:p>
        </w:tc>
        <w:tc>
          <w:tcPr>
            <w:tcW w:w="1360" w:type="dxa"/>
            <w:gridSpan w:val="2"/>
          </w:tcPr>
          <w:p>
            <w:pPr>
              <w:pStyle w:val="TableParagraph"/>
              <w:spacing w:before="17"/>
              <w:ind w:left="268"/>
              <w:rPr>
                <w:rFonts w:ascii="Times New Roman"/>
                <w:i/>
                <w:sz w:val="20"/>
              </w:rPr>
            </w:pPr>
            <w:r>
              <w:rPr>
                <w:rFonts w:ascii="Times New Roman"/>
                <w:i/>
                <w:sz w:val="20"/>
              </w:rPr>
              <w:t>EX_RTCT</w:t>
            </w:r>
          </w:p>
        </w:tc>
        <w:tc>
          <w:tcPr>
            <w:tcW w:w="1324" w:type="dxa"/>
            <w:shd w:val="clear" w:color="auto" w:fill="DADADA"/>
          </w:tcPr>
          <w:p>
            <w:pPr>
              <w:pStyle w:val="TableParagraph"/>
              <w:spacing w:before="17"/>
              <w:ind w:left="45"/>
              <w:jc w:val="center"/>
              <w:rPr>
                <w:rFonts w:ascii="Times New Roman"/>
                <w:i/>
                <w:sz w:val="20"/>
              </w:rPr>
            </w:pPr>
            <w:r>
              <w:rPr>
                <w:rFonts w:ascii="Times New Roman"/>
                <w:i/>
                <w:w w:val="99"/>
                <w:sz w:val="20"/>
              </w:rPr>
              <w:t>U</w:t>
            </w:r>
          </w:p>
        </w:tc>
        <w:tc>
          <w:tcPr>
            <w:tcW w:w="1370" w:type="dxa"/>
          </w:tcPr>
          <w:p>
            <w:pPr>
              <w:pStyle w:val="TableParagraph"/>
              <w:spacing w:before="17"/>
              <w:ind w:left="183" w:right="103"/>
              <w:jc w:val="center"/>
              <w:rPr>
                <w:rFonts w:ascii="Times New Roman"/>
                <w:i/>
                <w:sz w:val="20"/>
              </w:rPr>
            </w:pPr>
            <w:r>
              <w:rPr>
                <w:rFonts w:ascii="Times New Roman"/>
                <w:i/>
                <w:sz w:val="20"/>
              </w:rPr>
              <w:t>EX_RTC1M</w:t>
            </w:r>
          </w:p>
        </w:tc>
        <w:tc>
          <w:tcPr>
            <w:tcW w:w="1365" w:type="dxa"/>
          </w:tcPr>
          <w:p>
            <w:pPr>
              <w:pStyle w:val="TableParagraph"/>
              <w:spacing w:before="17"/>
              <w:ind w:left="105" w:right="42"/>
              <w:jc w:val="center"/>
              <w:rPr>
                <w:rFonts w:ascii="Times New Roman"/>
                <w:i/>
                <w:sz w:val="20"/>
              </w:rPr>
            </w:pPr>
            <w:r>
              <w:rPr>
                <w:rFonts w:ascii="Times New Roman"/>
                <w:i/>
                <w:sz w:val="20"/>
              </w:rPr>
              <w:t>EX_RTC1S</w:t>
            </w:r>
          </w:p>
        </w:tc>
        <w:tc>
          <w:tcPr>
            <w:tcW w:w="1387" w:type="dxa"/>
          </w:tcPr>
          <w:p>
            <w:pPr>
              <w:pStyle w:val="TableParagraph"/>
              <w:spacing w:before="17"/>
              <w:ind w:right="247"/>
              <w:jc w:val="right"/>
              <w:rPr>
                <w:rFonts w:ascii="Times New Roman"/>
                <w:i/>
                <w:sz w:val="20"/>
              </w:rPr>
            </w:pPr>
            <w:r>
              <w:rPr>
                <w:rFonts w:ascii="Times New Roman"/>
                <w:i/>
                <w:w w:val="95"/>
                <w:sz w:val="20"/>
              </w:rPr>
              <w:t>EX_XFER</w:t>
            </w:r>
          </w:p>
        </w:tc>
      </w:tr>
      <w:tr>
        <w:trPr>
          <w:trHeight w:val="270" w:hRule="atLeast"/>
        </w:trPr>
        <w:tc>
          <w:tcPr>
            <w:tcW w:w="1325" w:type="dxa"/>
          </w:tcPr>
          <w:p>
            <w:pPr>
              <w:pStyle w:val="TableParagraph"/>
              <w:spacing w:before="18"/>
              <w:ind w:left="110" w:right="106"/>
              <w:jc w:val="center"/>
              <w:rPr>
                <w:sz w:val="20"/>
              </w:rPr>
            </w:pPr>
            <w:r>
              <w:rPr>
                <w:sz w:val="20"/>
              </w:rPr>
              <w:t>INT2_E</w:t>
            </w:r>
          </w:p>
        </w:tc>
        <w:tc>
          <w:tcPr>
            <w:tcW w:w="713" w:type="dxa"/>
          </w:tcPr>
          <w:p>
            <w:pPr>
              <w:pStyle w:val="TableParagraph"/>
              <w:spacing w:before="18"/>
              <w:ind w:left="94" w:right="88"/>
              <w:jc w:val="center"/>
              <w:rPr>
                <w:sz w:val="20"/>
              </w:rPr>
            </w:pPr>
            <w:r>
              <w:rPr>
                <w:sz w:val="20"/>
              </w:rPr>
              <w:t>2025</w:t>
            </w:r>
          </w:p>
        </w:tc>
        <w:tc>
          <w:tcPr>
            <w:tcW w:w="1423" w:type="dxa"/>
          </w:tcPr>
          <w:p>
            <w:pPr>
              <w:pStyle w:val="TableParagraph"/>
              <w:spacing w:before="14"/>
              <w:ind w:left="150" w:right="143"/>
              <w:jc w:val="center"/>
              <w:rPr>
                <w:rFonts w:ascii="Times New Roman"/>
                <w:i/>
                <w:sz w:val="20"/>
              </w:rPr>
            </w:pPr>
            <w:r>
              <w:rPr>
                <w:rFonts w:ascii="Times New Roman"/>
                <w:i/>
                <w:sz w:val="20"/>
              </w:rPr>
              <w:t>EX_SPI</w:t>
            </w:r>
          </w:p>
        </w:tc>
        <w:tc>
          <w:tcPr>
            <w:tcW w:w="1309" w:type="dxa"/>
          </w:tcPr>
          <w:p>
            <w:pPr>
              <w:pStyle w:val="TableParagraph"/>
              <w:spacing w:before="14"/>
              <w:ind w:left="85" w:right="62"/>
              <w:jc w:val="center"/>
              <w:rPr>
                <w:rFonts w:ascii="Times New Roman"/>
                <w:i/>
                <w:sz w:val="20"/>
              </w:rPr>
            </w:pPr>
            <w:r>
              <w:rPr>
                <w:rFonts w:ascii="Times New Roman"/>
                <w:i/>
                <w:sz w:val="20"/>
              </w:rPr>
              <w:t>EX_WPULSE</w:t>
            </w:r>
          </w:p>
        </w:tc>
        <w:tc>
          <w:tcPr>
            <w:tcW w:w="1381" w:type="dxa"/>
            <w:gridSpan w:val="2"/>
          </w:tcPr>
          <w:p>
            <w:pPr>
              <w:pStyle w:val="TableParagraph"/>
              <w:spacing w:before="14"/>
              <w:ind w:left="164"/>
              <w:rPr>
                <w:rFonts w:ascii="Times New Roman"/>
                <w:i/>
                <w:sz w:val="20"/>
              </w:rPr>
            </w:pPr>
            <w:r>
              <w:rPr>
                <w:rFonts w:ascii="Times New Roman"/>
                <w:i/>
                <w:sz w:val="20"/>
              </w:rPr>
              <w:t>EX_VPULSE</w:t>
            </w:r>
          </w:p>
        </w:tc>
        <w:tc>
          <w:tcPr>
            <w:tcW w:w="1360" w:type="dxa"/>
            <w:gridSpan w:val="2"/>
          </w:tcPr>
          <w:p>
            <w:pPr>
              <w:pStyle w:val="TableParagraph"/>
              <w:rPr>
                <w:rFonts w:ascii="Times New Roman"/>
                <w:sz w:val="18"/>
              </w:rPr>
            </w:pPr>
          </w:p>
        </w:tc>
        <w:tc>
          <w:tcPr>
            <w:tcW w:w="1324" w:type="dxa"/>
          </w:tcPr>
          <w:p>
            <w:pPr>
              <w:pStyle w:val="TableParagraph"/>
              <w:rPr>
                <w:rFonts w:ascii="Times New Roman"/>
                <w:sz w:val="18"/>
              </w:rPr>
            </w:pPr>
          </w:p>
        </w:tc>
        <w:tc>
          <w:tcPr>
            <w:tcW w:w="1370" w:type="dxa"/>
          </w:tcPr>
          <w:p>
            <w:pPr>
              <w:pStyle w:val="TableParagraph"/>
              <w:rPr>
                <w:rFonts w:ascii="Times New Roman"/>
                <w:sz w:val="18"/>
              </w:rPr>
            </w:pPr>
          </w:p>
        </w:tc>
        <w:tc>
          <w:tcPr>
            <w:tcW w:w="1365" w:type="dxa"/>
          </w:tcPr>
          <w:p>
            <w:pPr>
              <w:pStyle w:val="TableParagraph"/>
              <w:rPr>
                <w:rFonts w:ascii="Times New Roman"/>
                <w:sz w:val="18"/>
              </w:rPr>
            </w:pPr>
          </w:p>
        </w:tc>
        <w:tc>
          <w:tcPr>
            <w:tcW w:w="1387" w:type="dxa"/>
          </w:tcPr>
          <w:p>
            <w:pPr>
              <w:pStyle w:val="TableParagraph"/>
              <w:rPr>
                <w:rFonts w:ascii="Times New Roman"/>
                <w:sz w:val="18"/>
              </w:rPr>
            </w:pPr>
          </w:p>
        </w:tc>
      </w:tr>
      <w:tr>
        <w:trPr>
          <w:trHeight w:val="268" w:hRule="atLeast"/>
        </w:trPr>
        <w:tc>
          <w:tcPr>
            <w:tcW w:w="1325" w:type="dxa"/>
          </w:tcPr>
          <w:p>
            <w:pPr>
              <w:pStyle w:val="TableParagraph"/>
              <w:spacing w:before="18"/>
              <w:ind w:left="113" w:right="105"/>
              <w:jc w:val="center"/>
              <w:rPr>
                <w:sz w:val="20"/>
              </w:rPr>
            </w:pPr>
            <w:r>
              <w:rPr>
                <w:sz w:val="20"/>
              </w:rPr>
              <w:t>WAKE_E</w:t>
            </w:r>
          </w:p>
        </w:tc>
        <w:tc>
          <w:tcPr>
            <w:tcW w:w="713" w:type="dxa"/>
          </w:tcPr>
          <w:p>
            <w:pPr>
              <w:pStyle w:val="TableParagraph"/>
              <w:spacing w:before="18"/>
              <w:ind w:left="94" w:right="88"/>
              <w:jc w:val="center"/>
              <w:rPr>
                <w:sz w:val="20"/>
              </w:rPr>
            </w:pPr>
            <w:r>
              <w:rPr>
                <w:sz w:val="20"/>
              </w:rPr>
              <w:t>2026</w:t>
            </w:r>
          </w:p>
        </w:tc>
        <w:tc>
          <w:tcPr>
            <w:tcW w:w="1423" w:type="dxa"/>
          </w:tcPr>
          <w:p>
            <w:pPr>
              <w:pStyle w:val="TableParagraph"/>
              <w:rPr>
                <w:rFonts w:ascii="Times New Roman"/>
                <w:sz w:val="18"/>
              </w:rPr>
            </w:pPr>
          </w:p>
        </w:tc>
        <w:tc>
          <w:tcPr>
            <w:tcW w:w="1309" w:type="dxa"/>
          </w:tcPr>
          <w:p>
            <w:pPr>
              <w:pStyle w:val="TableParagraph"/>
              <w:rPr>
                <w:rFonts w:ascii="Times New Roman"/>
                <w:sz w:val="18"/>
              </w:rPr>
            </w:pPr>
          </w:p>
        </w:tc>
        <w:tc>
          <w:tcPr>
            <w:tcW w:w="1381" w:type="dxa"/>
            <w:gridSpan w:val="2"/>
          </w:tcPr>
          <w:p>
            <w:pPr>
              <w:pStyle w:val="TableParagraph"/>
              <w:rPr>
                <w:rFonts w:ascii="Times New Roman"/>
                <w:sz w:val="18"/>
              </w:rPr>
            </w:pPr>
          </w:p>
        </w:tc>
        <w:tc>
          <w:tcPr>
            <w:tcW w:w="1360" w:type="dxa"/>
            <w:gridSpan w:val="2"/>
            <w:shd w:val="clear" w:color="auto" w:fill="A8A8A8"/>
          </w:tcPr>
          <w:p>
            <w:pPr>
              <w:pStyle w:val="TableParagraph"/>
              <w:spacing w:before="14"/>
              <w:ind w:left="362"/>
              <w:rPr>
                <w:rFonts w:ascii="Times New Roman"/>
                <w:i/>
                <w:sz w:val="20"/>
              </w:rPr>
            </w:pPr>
            <w:r>
              <w:rPr>
                <w:rFonts w:ascii="Times New Roman"/>
                <w:i/>
                <w:sz w:val="20"/>
              </w:rPr>
              <w:t>EW_RX</w:t>
            </w:r>
          </w:p>
        </w:tc>
        <w:tc>
          <w:tcPr>
            <w:tcW w:w="1324" w:type="dxa"/>
            <w:shd w:val="clear" w:color="auto" w:fill="A8A8A8"/>
          </w:tcPr>
          <w:p>
            <w:pPr>
              <w:pStyle w:val="TableParagraph"/>
              <w:spacing w:before="14"/>
              <w:ind w:left="341" w:right="299"/>
              <w:jc w:val="center"/>
              <w:rPr>
                <w:rFonts w:ascii="Times New Roman"/>
                <w:i/>
                <w:sz w:val="20"/>
              </w:rPr>
            </w:pPr>
            <w:r>
              <w:rPr>
                <w:rFonts w:ascii="Times New Roman"/>
                <w:i/>
                <w:sz w:val="20"/>
              </w:rPr>
              <w:t>EW_PB</w:t>
            </w:r>
          </w:p>
        </w:tc>
        <w:tc>
          <w:tcPr>
            <w:tcW w:w="1370" w:type="dxa"/>
            <w:shd w:val="clear" w:color="auto" w:fill="A8A8A8"/>
          </w:tcPr>
          <w:p>
            <w:pPr>
              <w:pStyle w:val="TableParagraph"/>
              <w:spacing w:before="14"/>
              <w:ind w:left="177" w:right="103"/>
              <w:jc w:val="center"/>
              <w:rPr>
                <w:rFonts w:ascii="Times New Roman"/>
                <w:i/>
                <w:sz w:val="20"/>
              </w:rPr>
            </w:pPr>
            <w:r>
              <w:rPr>
                <w:rFonts w:ascii="Times New Roman"/>
                <w:i/>
                <w:sz w:val="20"/>
              </w:rPr>
              <w:t>EW_DIO4</w:t>
            </w:r>
          </w:p>
        </w:tc>
        <w:tc>
          <w:tcPr>
            <w:tcW w:w="1365" w:type="dxa"/>
            <w:shd w:val="clear" w:color="auto" w:fill="A8A8A8"/>
          </w:tcPr>
          <w:p>
            <w:pPr>
              <w:pStyle w:val="TableParagraph"/>
              <w:spacing w:before="14"/>
              <w:ind w:left="105" w:right="38"/>
              <w:jc w:val="center"/>
              <w:rPr>
                <w:rFonts w:ascii="Times New Roman"/>
                <w:i/>
                <w:sz w:val="20"/>
              </w:rPr>
            </w:pPr>
            <w:r>
              <w:rPr>
                <w:rFonts w:ascii="Times New Roman"/>
                <w:i/>
                <w:sz w:val="20"/>
              </w:rPr>
              <w:t>EW_DIO52</w:t>
            </w:r>
          </w:p>
        </w:tc>
        <w:tc>
          <w:tcPr>
            <w:tcW w:w="1387" w:type="dxa"/>
            <w:shd w:val="clear" w:color="auto" w:fill="A8A8A8"/>
          </w:tcPr>
          <w:p>
            <w:pPr>
              <w:pStyle w:val="TableParagraph"/>
              <w:spacing w:before="14"/>
              <w:ind w:right="194"/>
              <w:jc w:val="right"/>
              <w:rPr>
                <w:rFonts w:ascii="Times New Roman"/>
                <w:i/>
                <w:sz w:val="20"/>
              </w:rPr>
            </w:pPr>
            <w:r>
              <w:rPr>
                <w:rFonts w:ascii="Times New Roman"/>
                <w:i/>
                <w:w w:val="95"/>
                <w:sz w:val="20"/>
              </w:rPr>
              <w:t>EW_DIO55</w:t>
            </w:r>
          </w:p>
        </w:tc>
      </w:tr>
      <w:tr>
        <w:trPr>
          <w:trHeight w:val="270" w:hRule="atLeast"/>
        </w:trPr>
        <w:tc>
          <w:tcPr>
            <w:tcW w:w="1325" w:type="dxa"/>
          </w:tcPr>
          <w:p>
            <w:pPr>
              <w:pStyle w:val="TableParagraph"/>
              <w:spacing w:before="21"/>
              <w:ind w:left="110" w:right="106"/>
              <w:jc w:val="center"/>
              <w:rPr>
                <w:sz w:val="20"/>
              </w:rPr>
            </w:pPr>
            <w:r>
              <w:rPr>
                <w:sz w:val="20"/>
              </w:rPr>
              <w:t>SFMM</w:t>
            </w:r>
          </w:p>
        </w:tc>
        <w:tc>
          <w:tcPr>
            <w:tcW w:w="713" w:type="dxa"/>
          </w:tcPr>
          <w:p>
            <w:pPr>
              <w:pStyle w:val="TableParagraph"/>
              <w:spacing w:before="21"/>
              <w:ind w:left="94" w:right="88"/>
              <w:jc w:val="center"/>
              <w:rPr>
                <w:sz w:val="20"/>
              </w:rPr>
            </w:pPr>
            <w:r>
              <w:rPr>
                <w:sz w:val="20"/>
              </w:rPr>
              <w:t>2080</w:t>
            </w:r>
          </w:p>
        </w:tc>
        <w:tc>
          <w:tcPr>
            <w:tcW w:w="10919" w:type="dxa"/>
            <w:gridSpan w:val="10"/>
          </w:tcPr>
          <w:p>
            <w:pPr>
              <w:pStyle w:val="TableParagraph"/>
              <w:spacing w:before="17"/>
              <w:ind w:left="4676" w:right="4661"/>
              <w:jc w:val="center"/>
              <w:rPr>
                <w:rFonts w:ascii="Times New Roman"/>
                <w:i/>
                <w:sz w:val="20"/>
              </w:rPr>
            </w:pPr>
            <w:r>
              <w:rPr>
                <w:rFonts w:ascii="Times New Roman"/>
                <w:i/>
                <w:sz w:val="20"/>
              </w:rPr>
              <w:t>SFMM[7:0]*</w:t>
            </w:r>
          </w:p>
        </w:tc>
      </w:tr>
      <w:tr>
        <w:trPr>
          <w:trHeight w:val="270" w:hRule="atLeast"/>
        </w:trPr>
        <w:tc>
          <w:tcPr>
            <w:tcW w:w="1325" w:type="dxa"/>
          </w:tcPr>
          <w:p>
            <w:pPr>
              <w:pStyle w:val="TableParagraph"/>
              <w:spacing w:before="18"/>
              <w:ind w:left="113" w:right="106"/>
              <w:jc w:val="center"/>
              <w:rPr>
                <w:sz w:val="20"/>
              </w:rPr>
            </w:pPr>
            <w:r>
              <w:rPr>
                <w:sz w:val="20"/>
              </w:rPr>
              <w:t>SFMS</w:t>
            </w:r>
          </w:p>
        </w:tc>
        <w:tc>
          <w:tcPr>
            <w:tcW w:w="713" w:type="dxa"/>
          </w:tcPr>
          <w:p>
            <w:pPr>
              <w:pStyle w:val="TableParagraph"/>
              <w:spacing w:before="18"/>
              <w:ind w:left="94" w:right="88"/>
              <w:jc w:val="center"/>
              <w:rPr>
                <w:sz w:val="20"/>
              </w:rPr>
            </w:pPr>
            <w:r>
              <w:rPr>
                <w:sz w:val="20"/>
              </w:rPr>
              <w:t>2081</w:t>
            </w:r>
          </w:p>
        </w:tc>
        <w:tc>
          <w:tcPr>
            <w:tcW w:w="10919" w:type="dxa"/>
            <w:gridSpan w:val="10"/>
          </w:tcPr>
          <w:p>
            <w:pPr>
              <w:pStyle w:val="TableParagraph"/>
              <w:spacing w:before="14"/>
              <w:ind w:left="4676" w:right="4661"/>
              <w:jc w:val="center"/>
              <w:rPr>
                <w:rFonts w:ascii="Times New Roman"/>
                <w:i/>
                <w:sz w:val="20"/>
              </w:rPr>
            </w:pPr>
            <w:r>
              <w:rPr>
                <w:rFonts w:ascii="Times New Roman"/>
                <w:i/>
                <w:sz w:val="20"/>
              </w:rPr>
              <w:t>SFMS[7:0]*</w:t>
            </w:r>
          </w:p>
        </w:tc>
      </w:tr>
      <w:tr>
        <w:trPr>
          <w:trHeight w:val="520" w:hRule="atLeast"/>
        </w:trPr>
        <w:tc>
          <w:tcPr>
            <w:tcW w:w="12957" w:type="dxa"/>
            <w:gridSpan w:val="12"/>
          </w:tcPr>
          <w:p>
            <w:pPr>
              <w:pStyle w:val="TableParagraph"/>
              <w:spacing w:before="19"/>
              <w:ind w:left="4"/>
              <w:rPr>
                <w:rFonts w:ascii="Times New Roman"/>
                <w:b/>
                <w:sz w:val="20"/>
              </w:rPr>
            </w:pPr>
            <w:r>
              <w:rPr>
                <w:rFonts w:ascii="Times New Roman"/>
                <w:b/>
                <w:sz w:val="20"/>
              </w:rPr>
              <w:t>Notes:</w:t>
            </w:r>
          </w:p>
          <w:p>
            <w:pPr>
              <w:pStyle w:val="TableParagraph"/>
              <w:spacing w:line="218" w:lineRule="exact" w:before="33"/>
              <w:ind w:left="4"/>
              <w:rPr>
                <w:sz w:val="20"/>
              </w:rPr>
            </w:pPr>
            <w:r>
              <w:rPr>
                <w:sz w:val="20"/>
              </w:rPr>
              <w:t>*</w:t>
            </w:r>
            <w:r>
              <w:rPr>
                <w:rFonts w:ascii="Times New Roman"/>
                <w:i/>
                <w:sz w:val="20"/>
              </w:rPr>
              <w:t>SFMM </w:t>
            </w:r>
            <w:r>
              <w:rPr>
                <w:sz w:val="20"/>
              </w:rPr>
              <w:t>and </w:t>
            </w:r>
            <w:r>
              <w:rPr>
                <w:rFonts w:ascii="Times New Roman"/>
                <w:i/>
                <w:sz w:val="20"/>
              </w:rPr>
              <w:t>SFMS </w:t>
            </w:r>
            <w:r>
              <w:rPr>
                <w:sz w:val="20"/>
              </w:rPr>
              <w:t>are accessible only through the SPI slave port. See </w:t>
            </w:r>
            <w:hyperlink w:history="true" w:anchor="_bookmark95">
              <w:r>
                <w:rPr>
                  <w:color w:val="0000FF"/>
                  <w:sz w:val="20"/>
                </w:rPr>
                <w:t>2.5.1.1 </w:t>
              </w:r>
            </w:hyperlink>
            <w:hyperlink w:history="true" w:anchor="_bookmark95">
              <w:r>
                <w:rPr>
                  <w:color w:val="0000FF"/>
                  <w:sz w:val="20"/>
                </w:rPr>
                <w:t>Flash Memory </w:t>
              </w:r>
            </w:hyperlink>
            <w:r>
              <w:rPr>
                <w:sz w:val="20"/>
              </w:rPr>
              <w:t>for details.</w:t>
            </w:r>
          </w:p>
        </w:tc>
      </w:tr>
    </w:tbl>
    <w:p>
      <w:pPr>
        <w:spacing w:after="0" w:line="218" w:lineRule="exact"/>
        <w:rPr>
          <w:sz w:val="20"/>
        </w:rPr>
        <w:sectPr>
          <w:pgSz w:w="15840" w:h="12240" w:orient="landscape"/>
          <w:pgMar w:header="727" w:footer="819" w:top="1180" w:bottom="1000" w:left="1320" w:right="1320"/>
        </w:sectPr>
      </w:pPr>
    </w:p>
    <w:p>
      <w:pPr>
        <w:pStyle w:val="BodyText"/>
        <w:spacing w:before="83"/>
        <w:ind w:left="120" w:right="109" w:hanging="1"/>
      </w:pPr>
      <w:hyperlink w:history="true" w:anchor="_bookmark210">
        <w:r>
          <w:rPr>
            <w:color w:val="0000FF"/>
          </w:rPr>
          <w:t>Table 69 </w:t>
        </w:r>
      </w:hyperlink>
      <w:r>
        <w:rPr/>
        <w:t>lists bits and registers that may have to be accessed on a frequent basis. Reserved bits have lighter gray background, and non-volatile bits have a darker gray background.</w:t>
      </w:r>
    </w:p>
    <w:p>
      <w:pPr>
        <w:pStyle w:val="Heading1"/>
        <w:spacing w:before="119"/>
        <w:ind w:left="3579" w:right="3579"/>
      </w:pPr>
      <w:bookmarkStart w:name="_bookmark210" w:id="435"/>
      <w:bookmarkEnd w:id="435"/>
      <w:r>
        <w:rPr>
          <w:b w:val="0"/>
        </w:rPr>
      </w:r>
      <w:r>
        <w:rPr/>
        <w:t>Table 69: I/O RAM Map – Functional Order</w:t>
      </w:r>
    </w:p>
    <w:p>
      <w:pPr>
        <w:pStyle w:val="BodyText"/>
        <w:spacing w:before="5"/>
        <w:rPr>
          <w:b/>
          <w:sz w:val="5"/>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5"/>
        <w:gridCol w:w="768"/>
        <w:gridCol w:w="1380"/>
        <w:gridCol w:w="1382"/>
        <w:gridCol w:w="1380"/>
        <w:gridCol w:w="1380"/>
        <w:gridCol w:w="1382"/>
        <w:gridCol w:w="1442"/>
        <w:gridCol w:w="1320"/>
        <w:gridCol w:w="1380"/>
      </w:tblGrid>
      <w:tr>
        <w:trPr>
          <w:trHeight w:val="311" w:hRule="atLeast"/>
        </w:trPr>
        <w:tc>
          <w:tcPr>
            <w:tcW w:w="1145" w:type="dxa"/>
          </w:tcPr>
          <w:p>
            <w:pPr>
              <w:pStyle w:val="TableParagraph"/>
              <w:spacing w:before="38"/>
              <w:ind w:left="22" w:right="15"/>
              <w:jc w:val="center"/>
              <w:rPr>
                <w:b/>
                <w:sz w:val="20"/>
              </w:rPr>
            </w:pPr>
            <w:r>
              <w:rPr>
                <w:b/>
                <w:sz w:val="20"/>
              </w:rPr>
              <w:t>Name</w:t>
            </w:r>
          </w:p>
        </w:tc>
        <w:tc>
          <w:tcPr>
            <w:tcW w:w="768" w:type="dxa"/>
          </w:tcPr>
          <w:p>
            <w:pPr>
              <w:pStyle w:val="TableParagraph"/>
              <w:spacing w:before="38"/>
              <w:ind w:left="2"/>
              <w:jc w:val="center"/>
              <w:rPr>
                <w:b/>
                <w:sz w:val="20"/>
              </w:rPr>
            </w:pPr>
            <w:r>
              <w:rPr>
                <w:b/>
                <w:sz w:val="20"/>
              </w:rPr>
              <w:t>Addr</w:t>
            </w:r>
          </w:p>
        </w:tc>
        <w:tc>
          <w:tcPr>
            <w:tcW w:w="1380" w:type="dxa"/>
          </w:tcPr>
          <w:p>
            <w:pPr>
              <w:pStyle w:val="TableParagraph"/>
              <w:spacing w:before="38"/>
              <w:ind w:left="87" w:right="80"/>
              <w:jc w:val="center"/>
              <w:rPr>
                <w:b/>
                <w:sz w:val="20"/>
              </w:rPr>
            </w:pPr>
            <w:r>
              <w:rPr>
                <w:b/>
                <w:sz w:val="20"/>
              </w:rPr>
              <w:t>Bit 7</w:t>
            </w:r>
          </w:p>
        </w:tc>
        <w:tc>
          <w:tcPr>
            <w:tcW w:w="1382" w:type="dxa"/>
          </w:tcPr>
          <w:p>
            <w:pPr>
              <w:pStyle w:val="TableParagraph"/>
              <w:spacing w:before="38"/>
              <w:ind w:left="73" w:right="68"/>
              <w:jc w:val="center"/>
              <w:rPr>
                <w:b/>
                <w:sz w:val="20"/>
              </w:rPr>
            </w:pPr>
            <w:r>
              <w:rPr>
                <w:b/>
                <w:sz w:val="20"/>
              </w:rPr>
              <w:t>Bit 6</w:t>
            </w:r>
          </w:p>
        </w:tc>
        <w:tc>
          <w:tcPr>
            <w:tcW w:w="1380" w:type="dxa"/>
          </w:tcPr>
          <w:p>
            <w:pPr>
              <w:pStyle w:val="TableParagraph"/>
              <w:spacing w:before="38"/>
              <w:ind w:left="87" w:right="80"/>
              <w:jc w:val="center"/>
              <w:rPr>
                <w:b/>
                <w:sz w:val="20"/>
              </w:rPr>
            </w:pPr>
            <w:r>
              <w:rPr>
                <w:b/>
                <w:sz w:val="20"/>
              </w:rPr>
              <w:t>Bit 5</w:t>
            </w:r>
          </w:p>
        </w:tc>
        <w:tc>
          <w:tcPr>
            <w:tcW w:w="1380" w:type="dxa"/>
          </w:tcPr>
          <w:p>
            <w:pPr>
              <w:pStyle w:val="TableParagraph"/>
              <w:spacing w:before="38"/>
              <w:ind w:left="87" w:right="80"/>
              <w:jc w:val="center"/>
              <w:rPr>
                <w:b/>
                <w:sz w:val="20"/>
              </w:rPr>
            </w:pPr>
            <w:r>
              <w:rPr>
                <w:b/>
                <w:sz w:val="20"/>
              </w:rPr>
              <w:t>Bit 4</w:t>
            </w:r>
          </w:p>
        </w:tc>
        <w:tc>
          <w:tcPr>
            <w:tcW w:w="1382" w:type="dxa"/>
          </w:tcPr>
          <w:p>
            <w:pPr>
              <w:pStyle w:val="TableParagraph"/>
              <w:spacing w:before="38"/>
              <w:ind w:left="73" w:right="68"/>
              <w:jc w:val="center"/>
              <w:rPr>
                <w:b/>
                <w:sz w:val="20"/>
              </w:rPr>
            </w:pPr>
            <w:r>
              <w:rPr>
                <w:b/>
                <w:sz w:val="20"/>
              </w:rPr>
              <w:t>Bit 3</w:t>
            </w:r>
          </w:p>
        </w:tc>
        <w:tc>
          <w:tcPr>
            <w:tcW w:w="1442" w:type="dxa"/>
          </w:tcPr>
          <w:p>
            <w:pPr>
              <w:pStyle w:val="TableParagraph"/>
              <w:spacing w:before="38"/>
              <w:ind w:left="98" w:right="89"/>
              <w:jc w:val="center"/>
              <w:rPr>
                <w:b/>
                <w:sz w:val="20"/>
              </w:rPr>
            </w:pPr>
            <w:r>
              <w:rPr>
                <w:b/>
                <w:sz w:val="20"/>
              </w:rPr>
              <w:t>Bit 2</w:t>
            </w:r>
          </w:p>
        </w:tc>
        <w:tc>
          <w:tcPr>
            <w:tcW w:w="1320" w:type="dxa"/>
          </w:tcPr>
          <w:p>
            <w:pPr>
              <w:pStyle w:val="TableParagraph"/>
              <w:spacing w:before="38"/>
              <w:ind w:left="442"/>
              <w:rPr>
                <w:b/>
                <w:sz w:val="20"/>
              </w:rPr>
            </w:pPr>
            <w:r>
              <w:rPr>
                <w:b/>
                <w:sz w:val="20"/>
              </w:rPr>
              <w:t>Bit 1</w:t>
            </w:r>
          </w:p>
        </w:tc>
        <w:tc>
          <w:tcPr>
            <w:tcW w:w="1380" w:type="dxa"/>
          </w:tcPr>
          <w:p>
            <w:pPr>
              <w:pStyle w:val="TableParagraph"/>
              <w:spacing w:before="38"/>
              <w:ind w:left="87" w:right="78"/>
              <w:jc w:val="center"/>
              <w:rPr>
                <w:b/>
                <w:sz w:val="20"/>
              </w:rPr>
            </w:pPr>
            <w:r>
              <w:rPr>
                <w:b/>
                <w:sz w:val="20"/>
              </w:rPr>
              <w:t>Bit 0</w:t>
            </w:r>
          </w:p>
        </w:tc>
      </w:tr>
      <w:tr>
        <w:trPr>
          <w:trHeight w:val="268" w:hRule="atLeast"/>
        </w:trPr>
        <w:tc>
          <w:tcPr>
            <w:tcW w:w="12959" w:type="dxa"/>
            <w:gridSpan w:val="10"/>
          </w:tcPr>
          <w:p>
            <w:pPr>
              <w:pStyle w:val="TableParagraph"/>
              <w:spacing w:before="18"/>
              <w:ind w:left="170"/>
              <w:rPr>
                <w:b/>
                <w:i/>
                <w:sz w:val="20"/>
              </w:rPr>
            </w:pPr>
            <w:r>
              <w:rPr>
                <w:b/>
                <w:i/>
                <w:sz w:val="20"/>
              </w:rPr>
              <w:t>CE and ADC</w:t>
            </w:r>
          </w:p>
        </w:tc>
      </w:tr>
      <w:tr>
        <w:trPr>
          <w:trHeight w:val="265" w:hRule="atLeast"/>
        </w:trPr>
        <w:tc>
          <w:tcPr>
            <w:tcW w:w="1145" w:type="dxa"/>
          </w:tcPr>
          <w:p>
            <w:pPr>
              <w:pStyle w:val="TableParagraph"/>
              <w:spacing w:line="227" w:lineRule="exact" w:before="18"/>
              <w:ind w:left="20" w:right="15"/>
              <w:jc w:val="center"/>
              <w:rPr>
                <w:sz w:val="20"/>
              </w:rPr>
            </w:pPr>
            <w:r>
              <w:rPr>
                <w:sz w:val="20"/>
              </w:rPr>
              <w:t>MUX5</w:t>
            </w:r>
          </w:p>
        </w:tc>
        <w:tc>
          <w:tcPr>
            <w:tcW w:w="768" w:type="dxa"/>
          </w:tcPr>
          <w:p>
            <w:pPr>
              <w:pStyle w:val="TableParagraph"/>
              <w:spacing w:line="227" w:lineRule="exact" w:before="18"/>
              <w:ind w:left="4"/>
              <w:jc w:val="center"/>
              <w:rPr>
                <w:sz w:val="20"/>
              </w:rPr>
            </w:pPr>
            <w:r>
              <w:rPr>
                <w:sz w:val="20"/>
              </w:rPr>
              <w:t>2100</w:t>
            </w:r>
          </w:p>
        </w:tc>
        <w:tc>
          <w:tcPr>
            <w:tcW w:w="5522" w:type="dxa"/>
            <w:gridSpan w:val="4"/>
          </w:tcPr>
          <w:p>
            <w:pPr>
              <w:pStyle w:val="TableParagraph"/>
              <w:spacing w:before="14"/>
              <w:ind w:left="2033" w:right="2026"/>
              <w:jc w:val="center"/>
              <w:rPr>
                <w:rFonts w:ascii="Times New Roman"/>
                <w:i/>
                <w:sz w:val="20"/>
              </w:rPr>
            </w:pPr>
            <w:r>
              <w:rPr>
                <w:rFonts w:ascii="Times New Roman"/>
                <w:i/>
                <w:sz w:val="20"/>
              </w:rPr>
              <w:t>MUX_DIV[3:0]</w:t>
            </w:r>
          </w:p>
        </w:tc>
        <w:tc>
          <w:tcPr>
            <w:tcW w:w="5524" w:type="dxa"/>
            <w:gridSpan w:val="4"/>
          </w:tcPr>
          <w:p>
            <w:pPr>
              <w:pStyle w:val="TableParagraph"/>
              <w:spacing w:before="14"/>
              <w:ind w:left="1994" w:right="1990"/>
              <w:jc w:val="center"/>
              <w:rPr>
                <w:rFonts w:ascii="Times New Roman"/>
                <w:i/>
                <w:sz w:val="20"/>
              </w:rPr>
            </w:pPr>
            <w:r>
              <w:rPr>
                <w:rFonts w:ascii="Times New Roman"/>
                <w:i/>
                <w:sz w:val="20"/>
              </w:rPr>
              <w:t>MUX10_SEL[3:0]</w:t>
            </w:r>
          </w:p>
        </w:tc>
      </w:tr>
      <w:tr>
        <w:trPr>
          <w:trHeight w:val="263" w:hRule="atLeast"/>
        </w:trPr>
        <w:tc>
          <w:tcPr>
            <w:tcW w:w="1145" w:type="dxa"/>
          </w:tcPr>
          <w:p>
            <w:pPr>
              <w:pStyle w:val="TableParagraph"/>
              <w:spacing w:line="227" w:lineRule="exact" w:before="16"/>
              <w:ind w:left="20" w:right="15"/>
              <w:jc w:val="center"/>
              <w:rPr>
                <w:sz w:val="20"/>
              </w:rPr>
            </w:pPr>
            <w:r>
              <w:rPr>
                <w:sz w:val="20"/>
              </w:rPr>
              <w:t>MUX4</w:t>
            </w:r>
          </w:p>
        </w:tc>
        <w:tc>
          <w:tcPr>
            <w:tcW w:w="768" w:type="dxa"/>
          </w:tcPr>
          <w:p>
            <w:pPr>
              <w:pStyle w:val="TableParagraph"/>
              <w:spacing w:line="227" w:lineRule="exact" w:before="16"/>
              <w:ind w:left="4"/>
              <w:jc w:val="center"/>
              <w:rPr>
                <w:sz w:val="20"/>
              </w:rPr>
            </w:pPr>
            <w:r>
              <w:rPr>
                <w:sz w:val="20"/>
              </w:rPr>
              <w:t>2101</w:t>
            </w:r>
          </w:p>
        </w:tc>
        <w:tc>
          <w:tcPr>
            <w:tcW w:w="5522" w:type="dxa"/>
            <w:gridSpan w:val="4"/>
          </w:tcPr>
          <w:p>
            <w:pPr>
              <w:pStyle w:val="TableParagraph"/>
              <w:spacing w:before="12"/>
              <w:ind w:left="2033" w:right="2028"/>
              <w:jc w:val="center"/>
              <w:rPr>
                <w:rFonts w:ascii="Times New Roman"/>
                <w:i/>
                <w:sz w:val="20"/>
              </w:rPr>
            </w:pPr>
            <w:r>
              <w:rPr>
                <w:rFonts w:ascii="Times New Roman"/>
                <w:i/>
                <w:sz w:val="20"/>
              </w:rPr>
              <w:t>MUX9_SEL[3:0]</w:t>
            </w:r>
          </w:p>
        </w:tc>
        <w:tc>
          <w:tcPr>
            <w:tcW w:w="5524" w:type="dxa"/>
            <w:gridSpan w:val="4"/>
          </w:tcPr>
          <w:p>
            <w:pPr>
              <w:pStyle w:val="TableParagraph"/>
              <w:spacing w:before="12"/>
              <w:ind w:left="1994" w:right="1990"/>
              <w:jc w:val="center"/>
              <w:rPr>
                <w:rFonts w:ascii="Times New Roman"/>
                <w:i/>
                <w:sz w:val="20"/>
              </w:rPr>
            </w:pPr>
            <w:r>
              <w:rPr>
                <w:rFonts w:ascii="Times New Roman"/>
                <w:i/>
                <w:sz w:val="20"/>
              </w:rPr>
              <w:t>MUX8_SEL[3:0]</w:t>
            </w:r>
          </w:p>
        </w:tc>
      </w:tr>
      <w:tr>
        <w:trPr>
          <w:trHeight w:val="263" w:hRule="atLeast"/>
        </w:trPr>
        <w:tc>
          <w:tcPr>
            <w:tcW w:w="1145" w:type="dxa"/>
          </w:tcPr>
          <w:p>
            <w:pPr>
              <w:pStyle w:val="TableParagraph"/>
              <w:spacing w:line="227" w:lineRule="exact" w:before="16"/>
              <w:ind w:left="20" w:right="15"/>
              <w:jc w:val="center"/>
              <w:rPr>
                <w:sz w:val="20"/>
              </w:rPr>
            </w:pPr>
            <w:r>
              <w:rPr>
                <w:sz w:val="20"/>
              </w:rPr>
              <w:t>MUX3</w:t>
            </w:r>
          </w:p>
        </w:tc>
        <w:tc>
          <w:tcPr>
            <w:tcW w:w="768" w:type="dxa"/>
          </w:tcPr>
          <w:p>
            <w:pPr>
              <w:pStyle w:val="TableParagraph"/>
              <w:spacing w:line="227" w:lineRule="exact" w:before="16"/>
              <w:ind w:left="4"/>
              <w:jc w:val="center"/>
              <w:rPr>
                <w:sz w:val="20"/>
              </w:rPr>
            </w:pPr>
            <w:r>
              <w:rPr>
                <w:sz w:val="20"/>
              </w:rPr>
              <w:t>2102</w:t>
            </w:r>
          </w:p>
        </w:tc>
        <w:tc>
          <w:tcPr>
            <w:tcW w:w="5522" w:type="dxa"/>
            <w:gridSpan w:val="4"/>
          </w:tcPr>
          <w:p>
            <w:pPr>
              <w:pStyle w:val="TableParagraph"/>
              <w:spacing w:before="12"/>
              <w:ind w:left="2033" w:right="2028"/>
              <w:jc w:val="center"/>
              <w:rPr>
                <w:rFonts w:ascii="Times New Roman"/>
                <w:i/>
                <w:sz w:val="20"/>
              </w:rPr>
            </w:pPr>
            <w:r>
              <w:rPr>
                <w:rFonts w:ascii="Times New Roman"/>
                <w:i/>
                <w:sz w:val="20"/>
              </w:rPr>
              <w:t>MUX7_SEL[3:0]</w:t>
            </w:r>
          </w:p>
        </w:tc>
        <w:tc>
          <w:tcPr>
            <w:tcW w:w="5524" w:type="dxa"/>
            <w:gridSpan w:val="4"/>
          </w:tcPr>
          <w:p>
            <w:pPr>
              <w:pStyle w:val="TableParagraph"/>
              <w:spacing w:before="12"/>
              <w:ind w:left="1994" w:right="1990"/>
              <w:jc w:val="center"/>
              <w:rPr>
                <w:rFonts w:ascii="Times New Roman"/>
                <w:i/>
                <w:sz w:val="20"/>
              </w:rPr>
            </w:pPr>
            <w:r>
              <w:rPr>
                <w:rFonts w:ascii="Times New Roman"/>
                <w:i/>
                <w:sz w:val="20"/>
              </w:rPr>
              <w:t>MUX6_SEL[3:0]</w:t>
            </w:r>
          </w:p>
        </w:tc>
      </w:tr>
      <w:tr>
        <w:trPr>
          <w:trHeight w:val="263" w:hRule="atLeast"/>
        </w:trPr>
        <w:tc>
          <w:tcPr>
            <w:tcW w:w="1145" w:type="dxa"/>
          </w:tcPr>
          <w:p>
            <w:pPr>
              <w:pStyle w:val="TableParagraph"/>
              <w:spacing w:line="227" w:lineRule="exact" w:before="16"/>
              <w:ind w:left="20" w:right="15"/>
              <w:jc w:val="center"/>
              <w:rPr>
                <w:sz w:val="20"/>
              </w:rPr>
            </w:pPr>
            <w:r>
              <w:rPr>
                <w:sz w:val="20"/>
              </w:rPr>
              <w:t>MUX2</w:t>
            </w:r>
          </w:p>
        </w:tc>
        <w:tc>
          <w:tcPr>
            <w:tcW w:w="768" w:type="dxa"/>
          </w:tcPr>
          <w:p>
            <w:pPr>
              <w:pStyle w:val="TableParagraph"/>
              <w:spacing w:line="227" w:lineRule="exact" w:before="16"/>
              <w:ind w:left="4"/>
              <w:jc w:val="center"/>
              <w:rPr>
                <w:sz w:val="20"/>
              </w:rPr>
            </w:pPr>
            <w:r>
              <w:rPr>
                <w:sz w:val="20"/>
              </w:rPr>
              <w:t>2103</w:t>
            </w:r>
          </w:p>
        </w:tc>
        <w:tc>
          <w:tcPr>
            <w:tcW w:w="5522" w:type="dxa"/>
            <w:gridSpan w:val="4"/>
          </w:tcPr>
          <w:p>
            <w:pPr>
              <w:pStyle w:val="TableParagraph"/>
              <w:spacing w:before="12"/>
              <w:ind w:left="2033" w:right="2028"/>
              <w:jc w:val="center"/>
              <w:rPr>
                <w:rFonts w:ascii="Times New Roman"/>
                <w:i/>
                <w:sz w:val="20"/>
              </w:rPr>
            </w:pPr>
            <w:r>
              <w:rPr>
                <w:rFonts w:ascii="Times New Roman"/>
                <w:i/>
                <w:sz w:val="20"/>
              </w:rPr>
              <w:t>MUX5_SEL[3:0]</w:t>
            </w:r>
          </w:p>
        </w:tc>
        <w:tc>
          <w:tcPr>
            <w:tcW w:w="5524" w:type="dxa"/>
            <w:gridSpan w:val="4"/>
          </w:tcPr>
          <w:p>
            <w:pPr>
              <w:pStyle w:val="TableParagraph"/>
              <w:spacing w:before="12"/>
              <w:ind w:left="1994" w:right="1990"/>
              <w:jc w:val="center"/>
              <w:rPr>
                <w:rFonts w:ascii="Times New Roman"/>
                <w:i/>
                <w:sz w:val="20"/>
              </w:rPr>
            </w:pPr>
            <w:r>
              <w:rPr>
                <w:rFonts w:ascii="Times New Roman"/>
                <w:i/>
                <w:sz w:val="20"/>
              </w:rPr>
              <w:t>MUX4_SEL[3:0]</w:t>
            </w:r>
          </w:p>
        </w:tc>
      </w:tr>
      <w:tr>
        <w:trPr>
          <w:trHeight w:val="263" w:hRule="atLeast"/>
        </w:trPr>
        <w:tc>
          <w:tcPr>
            <w:tcW w:w="1145" w:type="dxa"/>
          </w:tcPr>
          <w:p>
            <w:pPr>
              <w:pStyle w:val="TableParagraph"/>
              <w:spacing w:line="227" w:lineRule="exact" w:before="16"/>
              <w:ind w:left="20" w:right="15"/>
              <w:jc w:val="center"/>
              <w:rPr>
                <w:sz w:val="20"/>
              </w:rPr>
            </w:pPr>
            <w:r>
              <w:rPr>
                <w:sz w:val="20"/>
              </w:rPr>
              <w:t>MUX1</w:t>
            </w:r>
          </w:p>
        </w:tc>
        <w:tc>
          <w:tcPr>
            <w:tcW w:w="768" w:type="dxa"/>
          </w:tcPr>
          <w:p>
            <w:pPr>
              <w:pStyle w:val="TableParagraph"/>
              <w:spacing w:line="227" w:lineRule="exact" w:before="16"/>
              <w:ind w:left="4"/>
              <w:jc w:val="center"/>
              <w:rPr>
                <w:sz w:val="20"/>
              </w:rPr>
            </w:pPr>
            <w:r>
              <w:rPr>
                <w:sz w:val="20"/>
              </w:rPr>
              <w:t>2104</w:t>
            </w:r>
          </w:p>
        </w:tc>
        <w:tc>
          <w:tcPr>
            <w:tcW w:w="5522" w:type="dxa"/>
            <w:gridSpan w:val="4"/>
          </w:tcPr>
          <w:p>
            <w:pPr>
              <w:pStyle w:val="TableParagraph"/>
              <w:spacing w:before="12"/>
              <w:ind w:left="2033" w:right="2028"/>
              <w:jc w:val="center"/>
              <w:rPr>
                <w:rFonts w:ascii="Times New Roman"/>
                <w:i/>
                <w:sz w:val="20"/>
              </w:rPr>
            </w:pPr>
            <w:r>
              <w:rPr>
                <w:rFonts w:ascii="Times New Roman"/>
                <w:i/>
                <w:sz w:val="20"/>
              </w:rPr>
              <w:t>MUX3_SEL[3:0]</w:t>
            </w:r>
          </w:p>
        </w:tc>
        <w:tc>
          <w:tcPr>
            <w:tcW w:w="5524" w:type="dxa"/>
            <w:gridSpan w:val="4"/>
          </w:tcPr>
          <w:p>
            <w:pPr>
              <w:pStyle w:val="TableParagraph"/>
              <w:spacing w:before="12"/>
              <w:ind w:left="1994" w:right="1990"/>
              <w:jc w:val="center"/>
              <w:rPr>
                <w:rFonts w:ascii="Times New Roman"/>
                <w:i/>
                <w:sz w:val="20"/>
              </w:rPr>
            </w:pPr>
            <w:r>
              <w:rPr>
                <w:rFonts w:ascii="Times New Roman"/>
                <w:i/>
                <w:sz w:val="20"/>
              </w:rPr>
              <w:t>MUX2_SEL[3:0]</w:t>
            </w:r>
          </w:p>
        </w:tc>
      </w:tr>
      <w:tr>
        <w:trPr>
          <w:trHeight w:val="263" w:hRule="atLeast"/>
        </w:trPr>
        <w:tc>
          <w:tcPr>
            <w:tcW w:w="1145" w:type="dxa"/>
          </w:tcPr>
          <w:p>
            <w:pPr>
              <w:pStyle w:val="TableParagraph"/>
              <w:spacing w:line="227" w:lineRule="exact" w:before="16"/>
              <w:ind w:left="20" w:right="15"/>
              <w:jc w:val="center"/>
              <w:rPr>
                <w:sz w:val="20"/>
              </w:rPr>
            </w:pPr>
            <w:r>
              <w:rPr>
                <w:sz w:val="20"/>
              </w:rPr>
              <w:t>MUX0</w:t>
            </w:r>
          </w:p>
        </w:tc>
        <w:tc>
          <w:tcPr>
            <w:tcW w:w="768" w:type="dxa"/>
          </w:tcPr>
          <w:p>
            <w:pPr>
              <w:pStyle w:val="TableParagraph"/>
              <w:spacing w:line="227" w:lineRule="exact" w:before="16"/>
              <w:ind w:left="4"/>
              <w:jc w:val="center"/>
              <w:rPr>
                <w:sz w:val="20"/>
              </w:rPr>
            </w:pPr>
            <w:r>
              <w:rPr>
                <w:sz w:val="20"/>
              </w:rPr>
              <w:t>2105</w:t>
            </w:r>
          </w:p>
        </w:tc>
        <w:tc>
          <w:tcPr>
            <w:tcW w:w="5522" w:type="dxa"/>
            <w:gridSpan w:val="4"/>
          </w:tcPr>
          <w:p>
            <w:pPr>
              <w:pStyle w:val="TableParagraph"/>
              <w:spacing w:before="12"/>
              <w:ind w:left="2033" w:right="2028"/>
              <w:jc w:val="center"/>
              <w:rPr>
                <w:rFonts w:ascii="Times New Roman"/>
                <w:i/>
                <w:sz w:val="20"/>
              </w:rPr>
            </w:pPr>
            <w:r>
              <w:rPr>
                <w:rFonts w:ascii="Times New Roman"/>
                <w:i/>
                <w:sz w:val="20"/>
              </w:rPr>
              <w:t>MUX1_SEL[3:0]</w:t>
            </w:r>
          </w:p>
        </w:tc>
        <w:tc>
          <w:tcPr>
            <w:tcW w:w="5524" w:type="dxa"/>
            <w:gridSpan w:val="4"/>
          </w:tcPr>
          <w:p>
            <w:pPr>
              <w:pStyle w:val="TableParagraph"/>
              <w:spacing w:before="12"/>
              <w:ind w:left="1994" w:right="1990"/>
              <w:jc w:val="center"/>
              <w:rPr>
                <w:rFonts w:ascii="Times New Roman"/>
                <w:i/>
                <w:sz w:val="20"/>
              </w:rPr>
            </w:pPr>
            <w:r>
              <w:rPr>
                <w:rFonts w:ascii="Times New Roman"/>
                <w:i/>
                <w:sz w:val="20"/>
              </w:rPr>
              <w:t>MUX0_SEL[3:0]</w:t>
            </w:r>
          </w:p>
        </w:tc>
      </w:tr>
      <w:tr>
        <w:trPr>
          <w:trHeight w:val="263" w:hRule="atLeast"/>
        </w:trPr>
        <w:tc>
          <w:tcPr>
            <w:tcW w:w="1145" w:type="dxa"/>
          </w:tcPr>
          <w:p>
            <w:pPr>
              <w:pStyle w:val="TableParagraph"/>
              <w:spacing w:line="227" w:lineRule="exact" w:before="16"/>
              <w:ind w:left="19" w:right="15"/>
              <w:jc w:val="center"/>
              <w:rPr>
                <w:sz w:val="20"/>
              </w:rPr>
            </w:pPr>
            <w:r>
              <w:rPr>
                <w:sz w:val="20"/>
              </w:rPr>
              <w:t>CE6</w:t>
            </w:r>
          </w:p>
        </w:tc>
        <w:tc>
          <w:tcPr>
            <w:tcW w:w="768" w:type="dxa"/>
          </w:tcPr>
          <w:p>
            <w:pPr>
              <w:pStyle w:val="TableParagraph"/>
              <w:spacing w:line="227" w:lineRule="exact" w:before="16"/>
              <w:ind w:left="4"/>
              <w:jc w:val="center"/>
              <w:rPr>
                <w:sz w:val="20"/>
              </w:rPr>
            </w:pPr>
            <w:r>
              <w:rPr>
                <w:sz w:val="20"/>
              </w:rPr>
              <w:t>2106</w:t>
            </w:r>
          </w:p>
        </w:tc>
        <w:tc>
          <w:tcPr>
            <w:tcW w:w="4142" w:type="dxa"/>
            <w:gridSpan w:val="3"/>
          </w:tcPr>
          <w:p>
            <w:pPr>
              <w:pStyle w:val="TableParagraph"/>
              <w:spacing w:before="12"/>
              <w:ind w:left="1403" w:right="1398"/>
              <w:jc w:val="center"/>
              <w:rPr>
                <w:rFonts w:ascii="Times New Roman"/>
                <w:i/>
                <w:sz w:val="20"/>
              </w:rPr>
            </w:pPr>
            <w:r>
              <w:rPr>
                <w:rFonts w:ascii="Times New Roman"/>
                <w:i/>
                <w:sz w:val="20"/>
              </w:rPr>
              <w:t>EQU[2:0]</w:t>
            </w:r>
          </w:p>
        </w:tc>
        <w:tc>
          <w:tcPr>
            <w:tcW w:w="1380" w:type="dxa"/>
            <w:shd w:val="clear" w:color="auto" w:fill="DADADA"/>
          </w:tcPr>
          <w:p>
            <w:pPr>
              <w:pStyle w:val="TableParagraph"/>
              <w:spacing w:before="12"/>
              <w:ind w:left="7"/>
              <w:jc w:val="center"/>
              <w:rPr>
                <w:rFonts w:ascii="Times New Roman"/>
                <w:i/>
                <w:sz w:val="20"/>
              </w:rPr>
            </w:pPr>
            <w:r>
              <w:rPr>
                <w:rFonts w:ascii="Times New Roman"/>
                <w:i/>
                <w:w w:val="99"/>
                <w:sz w:val="20"/>
              </w:rPr>
              <w:t>U</w:t>
            </w:r>
          </w:p>
        </w:tc>
        <w:tc>
          <w:tcPr>
            <w:tcW w:w="1382" w:type="dxa"/>
          </w:tcPr>
          <w:p>
            <w:pPr>
              <w:pStyle w:val="TableParagraph"/>
              <w:spacing w:before="12"/>
              <w:ind w:left="96"/>
              <w:rPr>
                <w:rFonts w:ascii="Times New Roman"/>
                <w:i/>
                <w:sz w:val="20"/>
              </w:rPr>
            </w:pPr>
            <w:r>
              <w:rPr>
                <w:rFonts w:ascii="Times New Roman"/>
                <w:i/>
                <w:sz w:val="20"/>
              </w:rPr>
              <w:t>CHOP_E[1:0]</w:t>
            </w:r>
          </w:p>
        </w:tc>
        <w:tc>
          <w:tcPr>
            <w:tcW w:w="2762" w:type="dxa"/>
            <w:gridSpan w:val="2"/>
          </w:tcPr>
          <w:p>
            <w:pPr>
              <w:pStyle w:val="TableParagraph"/>
              <w:spacing w:before="12"/>
              <w:ind w:left="1049" w:right="1039"/>
              <w:jc w:val="center"/>
              <w:rPr>
                <w:rFonts w:ascii="Times New Roman"/>
                <w:i/>
                <w:sz w:val="20"/>
              </w:rPr>
            </w:pPr>
            <w:r>
              <w:rPr>
                <w:rFonts w:ascii="Times New Roman"/>
                <w:i/>
                <w:sz w:val="20"/>
              </w:rPr>
              <w:t>RTM_E</w:t>
            </w:r>
          </w:p>
        </w:tc>
        <w:tc>
          <w:tcPr>
            <w:tcW w:w="1380" w:type="dxa"/>
          </w:tcPr>
          <w:p>
            <w:pPr>
              <w:pStyle w:val="TableParagraph"/>
              <w:spacing w:before="12"/>
              <w:ind w:left="87" w:right="77"/>
              <w:jc w:val="center"/>
              <w:rPr>
                <w:rFonts w:ascii="Times New Roman"/>
                <w:i/>
                <w:sz w:val="20"/>
              </w:rPr>
            </w:pPr>
            <w:r>
              <w:rPr>
                <w:rFonts w:ascii="Times New Roman"/>
                <w:i/>
                <w:sz w:val="20"/>
              </w:rPr>
              <w:t>CE_E</w:t>
            </w:r>
          </w:p>
        </w:tc>
      </w:tr>
      <w:tr>
        <w:trPr>
          <w:trHeight w:val="266" w:hRule="atLeast"/>
        </w:trPr>
        <w:tc>
          <w:tcPr>
            <w:tcW w:w="1145" w:type="dxa"/>
          </w:tcPr>
          <w:p>
            <w:pPr>
              <w:pStyle w:val="TableParagraph"/>
              <w:spacing w:line="227" w:lineRule="exact" w:before="18"/>
              <w:ind w:left="19" w:right="15"/>
              <w:jc w:val="center"/>
              <w:rPr>
                <w:sz w:val="20"/>
              </w:rPr>
            </w:pPr>
            <w:r>
              <w:rPr>
                <w:sz w:val="20"/>
              </w:rPr>
              <w:t>CE5</w:t>
            </w:r>
          </w:p>
        </w:tc>
        <w:tc>
          <w:tcPr>
            <w:tcW w:w="768" w:type="dxa"/>
          </w:tcPr>
          <w:p>
            <w:pPr>
              <w:pStyle w:val="TableParagraph"/>
              <w:spacing w:line="227" w:lineRule="exact" w:before="18"/>
              <w:ind w:left="4"/>
              <w:jc w:val="center"/>
              <w:rPr>
                <w:sz w:val="20"/>
              </w:rPr>
            </w:pPr>
            <w:r>
              <w:rPr>
                <w:sz w:val="20"/>
              </w:rPr>
              <w:t>2107</w:t>
            </w:r>
          </w:p>
        </w:tc>
        <w:tc>
          <w:tcPr>
            <w:tcW w:w="4142" w:type="dxa"/>
            <w:gridSpan w:val="3"/>
            <w:shd w:val="clear" w:color="auto" w:fill="DADADA"/>
          </w:tcPr>
          <w:p>
            <w:pPr>
              <w:pStyle w:val="TableParagraph"/>
              <w:spacing w:before="14"/>
              <w:ind w:left="9"/>
              <w:jc w:val="center"/>
              <w:rPr>
                <w:rFonts w:ascii="Times New Roman"/>
                <w:i/>
                <w:sz w:val="20"/>
              </w:rPr>
            </w:pPr>
            <w:r>
              <w:rPr>
                <w:rFonts w:ascii="Times New Roman"/>
                <w:i/>
                <w:w w:val="99"/>
                <w:sz w:val="20"/>
              </w:rPr>
              <w:t>U</w:t>
            </w:r>
          </w:p>
        </w:tc>
        <w:tc>
          <w:tcPr>
            <w:tcW w:w="6904" w:type="dxa"/>
            <w:gridSpan w:val="5"/>
          </w:tcPr>
          <w:p>
            <w:pPr>
              <w:pStyle w:val="TableParagraph"/>
              <w:spacing w:before="14"/>
              <w:ind w:left="2608" w:right="2600"/>
              <w:jc w:val="center"/>
              <w:rPr>
                <w:rFonts w:ascii="Times New Roman"/>
                <w:i/>
                <w:sz w:val="20"/>
              </w:rPr>
            </w:pPr>
            <w:r>
              <w:rPr>
                <w:rFonts w:ascii="Times New Roman"/>
                <w:i/>
                <w:sz w:val="20"/>
              </w:rPr>
              <w:t>SUM_SAMPS[12:8]</w:t>
            </w:r>
          </w:p>
        </w:tc>
      </w:tr>
      <w:tr>
        <w:trPr>
          <w:trHeight w:val="263" w:hRule="atLeast"/>
        </w:trPr>
        <w:tc>
          <w:tcPr>
            <w:tcW w:w="1145" w:type="dxa"/>
          </w:tcPr>
          <w:p>
            <w:pPr>
              <w:pStyle w:val="TableParagraph"/>
              <w:spacing w:line="227" w:lineRule="exact" w:before="16"/>
              <w:ind w:left="19" w:right="15"/>
              <w:jc w:val="center"/>
              <w:rPr>
                <w:sz w:val="20"/>
              </w:rPr>
            </w:pPr>
            <w:r>
              <w:rPr>
                <w:sz w:val="20"/>
              </w:rPr>
              <w:t>CE4</w:t>
            </w:r>
          </w:p>
        </w:tc>
        <w:tc>
          <w:tcPr>
            <w:tcW w:w="768" w:type="dxa"/>
          </w:tcPr>
          <w:p>
            <w:pPr>
              <w:pStyle w:val="TableParagraph"/>
              <w:spacing w:line="227" w:lineRule="exact" w:before="16"/>
              <w:ind w:left="4"/>
              <w:jc w:val="center"/>
              <w:rPr>
                <w:sz w:val="20"/>
              </w:rPr>
            </w:pPr>
            <w:r>
              <w:rPr>
                <w:sz w:val="20"/>
              </w:rPr>
              <w:t>2108</w:t>
            </w:r>
          </w:p>
        </w:tc>
        <w:tc>
          <w:tcPr>
            <w:tcW w:w="11046" w:type="dxa"/>
            <w:gridSpan w:val="8"/>
          </w:tcPr>
          <w:p>
            <w:pPr>
              <w:pStyle w:val="TableParagraph"/>
              <w:spacing w:before="12"/>
              <w:ind w:left="3673" w:right="3665"/>
              <w:jc w:val="center"/>
              <w:rPr>
                <w:rFonts w:ascii="Times New Roman"/>
                <w:i/>
                <w:sz w:val="20"/>
              </w:rPr>
            </w:pPr>
            <w:r>
              <w:rPr>
                <w:rFonts w:ascii="Times New Roman"/>
                <w:i/>
                <w:sz w:val="20"/>
              </w:rPr>
              <w:t>SUM_SAMPS[7:0]</w:t>
            </w:r>
          </w:p>
        </w:tc>
      </w:tr>
      <w:tr>
        <w:trPr>
          <w:trHeight w:val="263" w:hRule="atLeast"/>
        </w:trPr>
        <w:tc>
          <w:tcPr>
            <w:tcW w:w="1145" w:type="dxa"/>
          </w:tcPr>
          <w:p>
            <w:pPr>
              <w:pStyle w:val="TableParagraph"/>
              <w:spacing w:line="227" w:lineRule="exact" w:before="16"/>
              <w:ind w:left="19" w:right="15"/>
              <w:jc w:val="center"/>
              <w:rPr>
                <w:sz w:val="20"/>
              </w:rPr>
            </w:pPr>
            <w:r>
              <w:rPr>
                <w:sz w:val="20"/>
              </w:rPr>
              <w:t>CE3</w:t>
            </w:r>
          </w:p>
        </w:tc>
        <w:tc>
          <w:tcPr>
            <w:tcW w:w="768" w:type="dxa"/>
          </w:tcPr>
          <w:p>
            <w:pPr>
              <w:pStyle w:val="TableParagraph"/>
              <w:spacing w:line="227" w:lineRule="exact" w:before="16"/>
              <w:ind w:left="4"/>
              <w:jc w:val="center"/>
              <w:rPr>
                <w:sz w:val="20"/>
              </w:rPr>
            </w:pPr>
            <w:r>
              <w:rPr>
                <w:sz w:val="20"/>
              </w:rPr>
              <w:t>2109</w:t>
            </w:r>
          </w:p>
        </w:tc>
        <w:tc>
          <w:tcPr>
            <w:tcW w:w="1380" w:type="dxa"/>
            <w:shd w:val="clear" w:color="auto" w:fill="DADADA"/>
          </w:tcPr>
          <w:p>
            <w:pPr>
              <w:pStyle w:val="TableParagraph"/>
              <w:spacing w:before="12"/>
              <w:ind w:left="6"/>
              <w:jc w:val="center"/>
              <w:rPr>
                <w:rFonts w:ascii="Times New Roman"/>
                <w:i/>
                <w:sz w:val="20"/>
              </w:rPr>
            </w:pPr>
            <w:r>
              <w:rPr>
                <w:rFonts w:ascii="Times New Roman"/>
                <w:i/>
                <w:w w:val="99"/>
                <w:sz w:val="20"/>
              </w:rPr>
              <w:t>U</w:t>
            </w:r>
          </w:p>
        </w:tc>
        <w:tc>
          <w:tcPr>
            <w:tcW w:w="9666" w:type="dxa"/>
            <w:gridSpan w:val="7"/>
          </w:tcPr>
          <w:p>
            <w:pPr>
              <w:pStyle w:val="TableParagraph"/>
              <w:spacing w:before="12"/>
              <w:ind w:left="2412" w:right="2403"/>
              <w:jc w:val="center"/>
              <w:rPr>
                <w:rFonts w:ascii="Times New Roman"/>
                <w:i/>
                <w:sz w:val="20"/>
              </w:rPr>
            </w:pPr>
            <w:r>
              <w:rPr>
                <w:rFonts w:ascii="Times New Roman"/>
                <w:i/>
                <w:sz w:val="20"/>
              </w:rPr>
              <w:t>CE_LCTN[6:0] (71M6543G), CE_LCTN[5:0] (71M6543F)</w:t>
            </w:r>
          </w:p>
        </w:tc>
      </w:tr>
      <w:tr>
        <w:trPr>
          <w:trHeight w:val="263" w:hRule="atLeast"/>
        </w:trPr>
        <w:tc>
          <w:tcPr>
            <w:tcW w:w="1145" w:type="dxa"/>
          </w:tcPr>
          <w:p>
            <w:pPr>
              <w:pStyle w:val="TableParagraph"/>
              <w:spacing w:line="227" w:lineRule="exact" w:before="16"/>
              <w:ind w:left="19" w:right="15"/>
              <w:jc w:val="center"/>
              <w:rPr>
                <w:sz w:val="20"/>
              </w:rPr>
            </w:pPr>
            <w:r>
              <w:rPr>
                <w:sz w:val="20"/>
              </w:rPr>
              <w:t>CE2</w:t>
            </w:r>
          </w:p>
        </w:tc>
        <w:tc>
          <w:tcPr>
            <w:tcW w:w="768" w:type="dxa"/>
          </w:tcPr>
          <w:p>
            <w:pPr>
              <w:pStyle w:val="TableParagraph"/>
              <w:spacing w:line="227" w:lineRule="exact" w:before="16"/>
              <w:ind w:left="5"/>
              <w:jc w:val="center"/>
              <w:rPr>
                <w:sz w:val="20"/>
              </w:rPr>
            </w:pPr>
            <w:r>
              <w:rPr>
                <w:sz w:val="20"/>
              </w:rPr>
              <w:t>210A</w:t>
            </w:r>
          </w:p>
        </w:tc>
        <w:tc>
          <w:tcPr>
            <w:tcW w:w="11046" w:type="dxa"/>
            <w:gridSpan w:val="8"/>
          </w:tcPr>
          <w:p>
            <w:pPr>
              <w:pStyle w:val="TableParagraph"/>
              <w:spacing w:before="12"/>
              <w:ind w:left="3669" w:right="3666"/>
              <w:jc w:val="center"/>
              <w:rPr>
                <w:rFonts w:ascii="Times New Roman"/>
                <w:i/>
                <w:sz w:val="20"/>
              </w:rPr>
            </w:pPr>
            <w:r>
              <w:rPr>
                <w:rFonts w:ascii="Times New Roman"/>
                <w:i/>
                <w:sz w:val="20"/>
              </w:rPr>
              <w:t>PLS_MAXWIDTH[7:0]</w:t>
            </w:r>
          </w:p>
        </w:tc>
      </w:tr>
      <w:tr>
        <w:trPr>
          <w:trHeight w:val="263" w:hRule="atLeast"/>
        </w:trPr>
        <w:tc>
          <w:tcPr>
            <w:tcW w:w="1145" w:type="dxa"/>
          </w:tcPr>
          <w:p>
            <w:pPr>
              <w:pStyle w:val="TableParagraph"/>
              <w:spacing w:line="227" w:lineRule="exact" w:before="16"/>
              <w:ind w:left="19" w:right="15"/>
              <w:jc w:val="center"/>
              <w:rPr>
                <w:sz w:val="20"/>
              </w:rPr>
            </w:pPr>
            <w:r>
              <w:rPr>
                <w:sz w:val="20"/>
              </w:rPr>
              <w:t>CE1</w:t>
            </w:r>
          </w:p>
        </w:tc>
        <w:tc>
          <w:tcPr>
            <w:tcW w:w="768" w:type="dxa"/>
          </w:tcPr>
          <w:p>
            <w:pPr>
              <w:pStyle w:val="TableParagraph"/>
              <w:spacing w:line="227" w:lineRule="exact" w:before="16"/>
              <w:ind w:left="5"/>
              <w:jc w:val="center"/>
              <w:rPr>
                <w:sz w:val="20"/>
              </w:rPr>
            </w:pPr>
            <w:r>
              <w:rPr>
                <w:sz w:val="20"/>
              </w:rPr>
              <w:t>210B</w:t>
            </w:r>
          </w:p>
        </w:tc>
        <w:tc>
          <w:tcPr>
            <w:tcW w:w="11046" w:type="dxa"/>
            <w:gridSpan w:val="8"/>
          </w:tcPr>
          <w:p>
            <w:pPr>
              <w:pStyle w:val="TableParagraph"/>
              <w:spacing w:before="12"/>
              <w:ind w:left="3671" w:right="3666"/>
              <w:jc w:val="center"/>
              <w:rPr>
                <w:rFonts w:ascii="Times New Roman"/>
                <w:i/>
                <w:sz w:val="20"/>
              </w:rPr>
            </w:pPr>
            <w:r>
              <w:rPr>
                <w:rFonts w:ascii="Times New Roman"/>
                <w:i/>
                <w:sz w:val="20"/>
              </w:rPr>
              <w:t>PLS_INTERVAL[7:0]</w:t>
            </w:r>
          </w:p>
        </w:tc>
      </w:tr>
      <w:tr>
        <w:trPr>
          <w:trHeight w:val="263" w:hRule="atLeast"/>
        </w:trPr>
        <w:tc>
          <w:tcPr>
            <w:tcW w:w="1145" w:type="dxa"/>
          </w:tcPr>
          <w:p>
            <w:pPr>
              <w:pStyle w:val="TableParagraph"/>
              <w:spacing w:line="227" w:lineRule="exact" w:before="16"/>
              <w:ind w:left="19" w:right="15"/>
              <w:jc w:val="center"/>
              <w:rPr>
                <w:sz w:val="20"/>
              </w:rPr>
            </w:pPr>
            <w:r>
              <w:rPr>
                <w:sz w:val="20"/>
              </w:rPr>
              <w:t>CE0</w:t>
            </w:r>
          </w:p>
        </w:tc>
        <w:tc>
          <w:tcPr>
            <w:tcW w:w="768" w:type="dxa"/>
          </w:tcPr>
          <w:p>
            <w:pPr>
              <w:pStyle w:val="TableParagraph"/>
              <w:spacing w:line="227" w:lineRule="exact" w:before="16"/>
              <w:ind w:left="3"/>
              <w:jc w:val="center"/>
              <w:rPr>
                <w:sz w:val="20"/>
              </w:rPr>
            </w:pPr>
            <w:r>
              <w:rPr>
                <w:sz w:val="20"/>
              </w:rPr>
              <w:t>210C</w:t>
            </w:r>
          </w:p>
        </w:tc>
        <w:tc>
          <w:tcPr>
            <w:tcW w:w="1380" w:type="dxa"/>
          </w:tcPr>
          <w:p>
            <w:pPr>
              <w:pStyle w:val="TableParagraph"/>
              <w:spacing w:before="12"/>
              <w:ind w:left="87" w:right="78"/>
              <w:jc w:val="center"/>
              <w:rPr>
                <w:rFonts w:ascii="Times New Roman"/>
                <w:i/>
                <w:sz w:val="20"/>
              </w:rPr>
            </w:pPr>
            <w:r>
              <w:rPr>
                <w:rFonts w:ascii="Times New Roman"/>
                <w:i/>
                <w:sz w:val="20"/>
              </w:rPr>
              <w:t>DIFF6_E</w:t>
            </w:r>
          </w:p>
        </w:tc>
        <w:tc>
          <w:tcPr>
            <w:tcW w:w="1382" w:type="dxa"/>
          </w:tcPr>
          <w:p>
            <w:pPr>
              <w:pStyle w:val="TableParagraph"/>
              <w:spacing w:before="12"/>
              <w:ind w:left="75" w:right="68"/>
              <w:jc w:val="center"/>
              <w:rPr>
                <w:rFonts w:ascii="Times New Roman"/>
                <w:i/>
                <w:sz w:val="20"/>
              </w:rPr>
            </w:pPr>
            <w:r>
              <w:rPr>
                <w:rFonts w:ascii="Times New Roman"/>
                <w:i/>
                <w:sz w:val="20"/>
              </w:rPr>
              <w:t>DIFF4_E</w:t>
            </w:r>
          </w:p>
        </w:tc>
        <w:tc>
          <w:tcPr>
            <w:tcW w:w="1380" w:type="dxa"/>
          </w:tcPr>
          <w:p>
            <w:pPr>
              <w:pStyle w:val="TableParagraph"/>
              <w:spacing w:before="12"/>
              <w:ind w:left="87" w:right="77"/>
              <w:jc w:val="center"/>
              <w:rPr>
                <w:rFonts w:ascii="Times New Roman"/>
                <w:i/>
                <w:sz w:val="20"/>
              </w:rPr>
            </w:pPr>
            <w:r>
              <w:rPr>
                <w:rFonts w:ascii="Times New Roman"/>
                <w:i/>
                <w:sz w:val="20"/>
              </w:rPr>
              <w:t>DIFF2_E</w:t>
            </w:r>
          </w:p>
        </w:tc>
        <w:tc>
          <w:tcPr>
            <w:tcW w:w="1380" w:type="dxa"/>
          </w:tcPr>
          <w:p>
            <w:pPr>
              <w:pStyle w:val="TableParagraph"/>
              <w:spacing w:before="12"/>
              <w:ind w:left="87" w:right="77"/>
              <w:jc w:val="center"/>
              <w:rPr>
                <w:rFonts w:ascii="Times New Roman"/>
                <w:i/>
                <w:sz w:val="20"/>
              </w:rPr>
            </w:pPr>
            <w:r>
              <w:rPr>
                <w:rFonts w:ascii="Times New Roman"/>
                <w:i/>
                <w:sz w:val="20"/>
              </w:rPr>
              <w:t>DIFF0_E</w:t>
            </w:r>
          </w:p>
        </w:tc>
        <w:tc>
          <w:tcPr>
            <w:tcW w:w="1382" w:type="dxa"/>
          </w:tcPr>
          <w:p>
            <w:pPr>
              <w:pStyle w:val="TableParagraph"/>
              <w:spacing w:before="12"/>
              <w:ind w:left="249"/>
              <w:rPr>
                <w:rFonts w:ascii="Times New Roman"/>
                <w:i/>
                <w:sz w:val="20"/>
              </w:rPr>
            </w:pPr>
            <w:r>
              <w:rPr>
                <w:rFonts w:ascii="Times New Roman"/>
                <w:i/>
                <w:sz w:val="20"/>
              </w:rPr>
              <w:t>RFLY_DIS</w:t>
            </w:r>
          </w:p>
        </w:tc>
        <w:tc>
          <w:tcPr>
            <w:tcW w:w="2762" w:type="dxa"/>
            <w:gridSpan w:val="2"/>
          </w:tcPr>
          <w:p>
            <w:pPr>
              <w:pStyle w:val="TableParagraph"/>
              <w:spacing w:before="12"/>
              <w:ind w:left="780"/>
              <w:rPr>
                <w:rFonts w:ascii="Times New Roman"/>
                <w:i/>
                <w:sz w:val="20"/>
              </w:rPr>
            </w:pPr>
            <w:r>
              <w:rPr>
                <w:rFonts w:ascii="Times New Roman"/>
                <w:i/>
                <w:sz w:val="20"/>
              </w:rPr>
              <w:t>FIR_LEN[1:0]</w:t>
            </w:r>
          </w:p>
        </w:tc>
        <w:tc>
          <w:tcPr>
            <w:tcW w:w="1380" w:type="dxa"/>
          </w:tcPr>
          <w:p>
            <w:pPr>
              <w:pStyle w:val="TableParagraph"/>
              <w:spacing w:before="12"/>
              <w:ind w:left="87" w:right="77"/>
              <w:jc w:val="center"/>
              <w:rPr>
                <w:rFonts w:ascii="Times New Roman"/>
                <w:i/>
                <w:sz w:val="20"/>
              </w:rPr>
            </w:pPr>
            <w:r>
              <w:rPr>
                <w:rFonts w:ascii="Times New Roman"/>
                <w:i/>
                <w:sz w:val="20"/>
              </w:rPr>
              <w:t>PLS_INV</w:t>
            </w:r>
          </w:p>
        </w:tc>
      </w:tr>
      <w:tr>
        <w:trPr>
          <w:trHeight w:val="266" w:hRule="atLeast"/>
        </w:trPr>
        <w:tc>
          <w:tcPr>
            <w:tcW w:w="1145" w:type="dxa"/>
          </w:tcPr>
          <w:p>
            <w:pPr>
              <w:pStyle w:val="TableParagraph"/>
              <w:spacing w:line="227" w:lineRule="exact" w:before="18"/>
              <w:ind w:left="24" w:right="15"/>
              <w:jc w:val="center"/>
              <w:rPr>
                <w:sz w:val="20"/>
              </w:rPr>
            </w:pPr>
            <w:r>
              <w:rPr>
                <w:sz w:val="20"/>
              </w:rPr>
              <w:t>RTM0</w:t>
            </w:r>
          </w:p>
        </w:tc>
        <w:tc>
          <w:tcPr>
            <w:tcW w:w="768" w:type="dxa"/>
          </w:tcPr>
          <w:p>
            <w:pPr>
              <w:pStyle w:val="TableParagraph"/>
              <w:spacing w:line="227" w:lineRule="exact" w:before="18"/>
              <w:ind w:left="3"/>
              <w:jc w:val="center"/>
              <w:rPr>
                <w:sz w:val="20"/>
              </w:rPr>
            </w:pPr>
            <w:r>
              <w:rPr>
                <w:sz w:val="20"/>
              </w:rPr>
              <w:t>210D</w:t>
            </w:r>
          </w:p>
        </w:tc>
        <w:tc>
          <w:tcPr>
            <w:tcW w:w="1380" w:type="dxa"/>
            <w:shd w:val="clear" w:color="auto" w:fill="DADADA"/>
          </w:tcPr>
          <w:p>
            <w:pPr>
              <w:pStyle w:val="TableParagraph"/>
              <w:spacing w:before="14"/>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4"/>
              <w:ind w:left="4"/>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4"/>
              <w:ind w:left="7"/>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4"/>
              <w:ind w:left="7"/>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4"/>
              <w:ind w:left="5"/>
              <w:jc w:val="center"/>
              <w:rPr>
                <w:rFonts w:ascii="Times New Roman"/>
                <w:i/>
                <w:sz w:val="20"/>
              </w:rPr>
            </w:pPr>
            <w:r>
              <w:rPr>
                <w:rFonts w:ascii="Times New Roman"/>
                <w:i/>
                <w:w w:val="99"/>
                <w:sz w:val="20"/>
              </w:rPr>
              <w:t>U</w:t>
            </w:r>
          </w:p>
        </w:tc>
        <w:tc>
          <w:tcPr>
            <w:tcW w:w="1442" w:type="dxa"/>
            <w:shd w:val="clear" w:color="auto" w:fill="DADADA"/>
          </w:tcPr>
          <w:p>
            <w:pPr>
              <w:pStyle w:val="TableParagraph"/>
              <w:spacing w:before="14"/>
              <w:ind w:left="8"/>
              <w:jc w:val="center"/>
              <w:rPr>
                <w:rFonts w:ascii="Times New Roman"/>
                <w:i/>
                <w:sz w:val="20"/>
              </w:rPr>
            </w:pPr>
            <w:r>
              <w:rPr>
                <w:rFonts w:ascii="Times New Roman"/>
                <w:i/>
                <w:w w:val="99"/>
                <w:sz w:val="20"/>
              </w:rPr>
              <w:t>U</w:t>
            </w:r>
          </w:p>
        </w:tc>
        <w:tc>
          <w:tcPr>
            <w:tcW w:w="2700" w:type="dxa"/>
            <w:gridSpan w:val="2"/>
          </w:tcPr>
          <w:p>
            <w:pPr>
              <w:pStyle w:val="TableParagraph"/>
              <w:spacing w:before="14"/>
              <w:ind w:left="888"/>
              <w:rPr>
                <w:rFonts w:ascii="Times New Roman"/>
                <w:i/>
                <w:sz w:val="20"/>
              </w:rPr>
            </w:pPr>
            <w:r>
              <w:rPr>
                <w:rFonts w:ascii="Times New Roman"/>
                <w:i/>
                <w:sz w:val="20"/>
              </w:rPr>
              <w:t>RTM0[9:8]</w:t>
            </w:r>
          </w:p>
        </w:tc>
      </w:tr>
      <w:tr>
        <w:trPr>
          <w:trHeight w:val="263" w:hRule="atLeast"/>
        </w:trPr>
        <w:tc>
          <w:tcPr>
            <w:tcW w:w="1145" w:type="dxa"/>
          </w:tcPr>
          <w:p>
            <w:pPr>
              <w:pStyle w:val="TableParagraph"/>
              <w:spacing w:line="227" w:lineRule="exact" w:before="16"/>
              <w:ind w:left="24" w:right="15"/>
              <w:jc w:val="center"/>
              <w:rPr>
                <w:sz w:val="20"/>
              </w:rPr>
            </w:pPr>
            <w:r>
              <w:rPr>
                <w:sz w:val="20"/>
              </w:rPr>
              <w:t>RTM0</w:t>
            </w:r>
          </w:p>
        </w:tc>
        <w:tc>
          <w:tcPr>
            <w:tcW w:w="768" w:type="dxa"/>
          </w:tcPr>
          <w:p>
            <w:pPr>
              <w:pStyle w:val="TableParagraph"/>
              <w:spacing w:line="227" w:lineRule="exact" w:before="16"/>
              <w:ind w:left="5"/>
              <w:jc w:val="center"/>
              <w:rPr>
                <w:sz w:val="20"/>
              </w:rPr>
            </w:pPr>
            <w:r>
              <w:rPr>
                <w:sz w:val="20"/>
              </w:rPr>
              <w:t>210E</w:t>
            </w:r>
          </w:p>
        </w:tc>
        <w:tc>
          <w:tcPr>
            <w:tcW w:w="11046" w:type="dxa"/>
            <w:gridSpan w:val="8"/>
          </w:tcPr>
          <w:p>
            <w:pPr>
              <w:pStyle w:val="TableParagraph"/>
              <w:spacing w:before="12"/>
              <w:ind w:left="3672" w:right="3666"/>
              <w:jc w:val="center"/>
              <w:rPr>
                <w:rFonts w:ascii="Times New Roman"/>
                <w:i/>
                <w:sz w:val="20"/>
              </w:rPr>
            </w:pPr>
            <w:r>
              <w:rPr>
                <w:rFonts w:ascii="Times New Roman"/>
                <w:i/>
                <w:sz w:val="20"/>
              </w:rPr>
              <w:t>RTM0[7:0]</w:t>
            </w:r>
          </w:p>
        </w:tc>
      </w:tr>
      <w:tr>
        <w:trPr>
          <w:trHeight w:val="263" w:hRule="atLeast"/>
        </w:trPr>
        <w:tc>
          <w:tcPr>
            <w:tcW w:w="1145" w:type="dxa"/>
          </w:tcPr>
          <w:p>
            <w:pPr>
              <w:pStyle w:val="TableParagraph"/>
              <w:spacing w:line="227" w:lineRule="exact" w:before="16"/>
              <w:ind w:left="24" w:right="15"/>
              <w:jc w:val="center"/>
              <w:rPr>
                <w:sz w:val="20"/>
              </w:rPr>
            </w:pPr>
            <w:r>
              <w:rPr>
                <w:sz w:val="20"/>
              </w:rPr>
              <w:t>RTM1</w:t>
            </w:r>
          </w:p>
        </w:tc>
        <w:tc>
          <w:tcPr>
            <w:tcW w:w="768" w:type="dxa"/>
          </w:tcPr>
          <w:p>
            <w:pPr>
              <w:pStyle w:val="TableParagraph"/>
              <w:spacing w:line="227" w:lineRule="exact" w:before="16"/>
              <w:jc w:val="center"/>
              <w:rPr>
                <w:sz w:val="20"/>
              </w:rPr>
            </w:pPr>
            <w:r>
              <w:rPr>
                <w:sz w:val="20"/>
              </w:rPr>
              <w:t>210F</w:t>
            </w:r>
          </w:p>
        </w:tc>
        <w:tc>
          <w:tcPr>
            <w:tcW w:w="11046" w:type="dxa"/>
            <w:gridSpan w:val="8"/>
          </w:tcPr>
          <w:p>
            <w:pPr>
              <w:pStyle w:val="TableParagraph"/>
              <w:spacing w:before="12"/>
              <w:ind w:left="3672" w:right="3666"/>
              <w:jc w:val="center"/>
              <w:rPr>
                <w:rFonts w:ascii="Times New Roman"/>
                <w:i/>
                <w:sz w:val="20"/>
              </w:rPr>
            </w:pPr>
            <w:r>
              <w:rPr>
                <w:rFonts w:ascii="Times New Roman"/>
                <w:i/>
                <w:sz w:val="20"/>
              </w:rPr>
              <w:t>RTM1[7:0]</w:t>
            </w:r>
          </w:p>
        </w:tc>
      </w:tr>
      <w:tr>
        <w:trPr>
          <w:trHeight w:val="263" w:hRule="atLeast"/>
        </w:trPr>
        <w:tc>
          <w:tcPr>
            <w:tcW w:w="1145" w:type="dxa"/>
          </w:tcPr>
          <w:p>
            <w:pPr>
              <w:pStyle w:val="TableParagraph"/>
              <w:spacing w:line="227" w:lineRule="exact" w:before="16"/>
              <w:ind w:left="24" w:right="15"/>
              <w:jc w:val="center"/>
              <w:rPr>
                <w:sz w:val="20"/>
              </w:rPr>
            </w:pPr>
            <w:r>
              <w:rPr>
                <w:sz w:val="20"/>
              </w:rPr>
              <w:t>RTM2</w:t>
            </w:r>
          </w:p>
        </w:tc>
        <w:tc>
          <w:tcPr>
            <w:tcW w:w="768" w:type="dxa"/>
          </w:tcPr>
          <w:p>
            <w:pPr>
              <w:pStyle w:val="TableParagraph"/>
              <w:spacing w:line="227" w:lineRule="exact" w:before="16"/>
              <w:ind w:left="4"/>
              <w:jc w:val="center"/>
              <w:rPr>
                <w:sz w:val="20"/>
              </w:rPr>
            </w:pPr>
            <w:r>
              <w:rPr>
                <w:sz w:val="20"/>
              </w:rPr>
              <w:t>2110</w:t>
            </w:r>
          </w:p>
        </w:tc>
        <w:tc>
          <w:tcPr>
            <w:tcW w:w="11046" w:type="dxa"/>
            <w:gridSpan w:val="8"/>
          </w:tcPr>
          <w:p>
            <w:pPr>
              <w:pStyle w:val="TableParagraph"/>
              <w:spacing w:before="12"/>
              <w:ind w:left="3672" w:right="3666"/>
              <w:jc w:val="center"/>
              <w:rPr>
                <w:rFonts w:ascii="Times New Roman"/>
                <w:i/>
                <w:sz w:val="20"/>
              </w:rPr>
            </w:pPr>
            <w:r>
              <w:rPr>
                <w:rFonts w:ascii="Times New Roman"/>
                <w:i/>
                <w:sz w:val="20"/>
              </w:rPr>
              <w:t>RTM2[7:0]</w:t>
            </w:r>
          </w:p>
        </w:tc>
      </w:tr>
      <w:tr>
        <w:trPr>
          <w:trHeight w:val="263" w:hRule="atLeast"/>
        </w:trPr>
        <w:tc>
          <w:tcPr>
            <w:tcW w:w="1145" w:type="dxa"/>
          </w:tcPr>
          <w:p>
            <w:pPr>
              <w:pStyle w:val="TableParagraph"/>
              <w:spacing w:line="227" w:lineRule="exact" w:before="16"/>
              <w:ind w:left="24" w:right="15"/>
              <w:jc w:val="center"/>
              <w:rPr>
                <w:sz w:val="20"/>
              </w:rPr>
            </w:pPr>
            <w:r>
              <w:rPr>
                <w:sz w:val="20"/>
              </w:rPr>
              <w:t>RTM3</w:t>
            </w:r>
          </w:p>
        </w:tc>
        <w:tc>
          <w:tcPr>
            <w:tcW w:w="768" w:type="dxa"/>
          </w:tcPr>
          <w:p>
            <w:pPr>
              <w:pStyle w:val="TableParagraph"/>
              <w:spacing w:line="227" w:lineRule="exact" w:before="16"/>
              <w:ind w:left="4"/>
              <w:jc w:val="center"/>
              <w:rPr>
                <w:sz w:val="20"/>
              </w:rPr>
            </w:pPr>
            <w:r>
              <w:rPr>
                <w:sz w:val="20"/>
              </w:rPr>
              <w:t>2111</w:t>
            </w:r>
          </w:p>
        </w:tc>
        <w:tc>
          <w:tcPr>
            <w:tcW w:w="11046" w:type="dxa"/>
            <w:gridSpan w:val="8"/>
          </w:tcPr>
          <w:p>
            <w:pPr>
              <w:pStyle w:val="TableParagraph"/>
              <w:spacing w:before="12"/>
              <w:ind w:left="3672" w:right="3666"/>
              <w:jc w:val="center"/>
              <w:rPr>
                <w:rFonts w:ascii="Times New Roman"/>
                <w:i/>
                <w:sz w:val="20"/>
              </w:rPr>
            </w:pPr>
            <w:r>
              <w:rPr>
                <w:rFonts w:ascii="Times New Roman"/>
                <w:i/>
                <w:sz w:val="20"/>
              </w:rPr>
              <w:t>RTM3[7:0]</w:t>
            </w:r>
          </w:p>
        </w:tc>
      </w:tr>
      <w:tr>
        <w:trPr>
          <w:trHeight w:val="263" w:hRule="atLeast"/>
        </w:trPr>
        <w:tc>
          <w:tcPr>
            <w:tcW w:w="12959" w:type="dxa"/>
            <w:gridSpan w:val="10"/>
          </w:tcPr>
          <w:p>
            <w:pPr>
              <w:pStyle w:val="TableParagraph"/>
              <w:spacing w:line="227" w:lineRule="exact" w:before="16"/>
              <w:ind w:left="115"/>
              <w:rPr>
                <w:b/>
                <w:i/>
                <w:sz w:val="20"/>
              </w:rPr>
            </w:pPr>
            <w:r>
              <w:rPr>
                <w:b/>
                <w:i/>
                <w:sz w:val="20"/>
              </w:rPr>
              <w:t>CLOCK GENERATION</w:t>
            </w:r>
          </w:p>
        </w:tc>
      </w:tr>
      <w:tr>
        <w:trPr>
          <w:trHeight w:val="265" w:hRule="atLeast"/>
        </w:trPr>
        <w:tc>
          <w:tcPr>
            <w:tcW w:w="1145" w:type="dxa"/>
          </w:tcPr>
          <w:p>
            <w:pPr>
              <w:pStyle w:val="TableParagraph"/>
              <w:spacing w:line="227" w:lineRule="exact" w:before="18"/>
              <w:ind w:left="21" w:right="15"/>
              <w:jc w:val="center"/>
              <w:rPr>
                <w:sz w:val="20"/>
              </w:rPr>
            </w:pPr>
            <w:r>
              <w:rPr>
                <w:sz w:val="20"/>
              </w:rPr>
              <w:t>CKGN</w:t>
            </w:r>
          </w:p>
        </w:tc>
        <w:tc>
          <w:tcPr>
            <w:tcW w:w="768" w:type="dxa"/>
          </w:tcPr>
          <w:p>
            <w:pPr>
              <w:pStyle w:val="TableParagraph"/>
              <w:spacing w:line="227" w:lineRule="exact" w:before="18"/>
              <w:ind w:left="4"/>
              <w:jc w:val="center"/>
              <w:rPr>
                <w:sz w:val="20"/>
              </w:rPr>
            </w:pPr>
            <w:r>
              <w:rPr>
                <w:sz w:val="20"/>
              </w:rPr>
              <w:t>2200</w:t>
            </w:r>
          </w:p>
        </w:tc>
        <w:tc>
          <w:tcPr>
            <w:tcW w:w="1380" w:type="dxa"/>
            <w:shd w:val="clear" w:color="auto" w:fill="DADADA"/>
          </w:tcPr>
          <w:p>
            <w:pPr>
              <w:pStyle w:val="TableParagraph"/>
              <w:spacing w:before="14"/>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4"/>
              <w:ind w:left="4"/>
              <w:jc w:val="center"/>
              <w:rPr>
                <w:rFonts w:ascii="Times New Roman"/>
                <w:i/>
                <w:sz w:val="20"/>
              </w:rPr>
            </w:pPr>
            <w:r>
              <w:rPr>
                <w:rFonts w:ascii="Times New Roman"/>
                <w:i/>
                <w:w w:val="99"/>
                <w:sz w:val="20"/>
              </w:rPr>
              <w:t>U</w:t>
            </w:r>
          </w:p>
        </w:tc>
        <w:tc>
          <w:tcPr>
            <w:tcW w:w="1380" w:type="dxa"/>
          </w:tcPr>
          <w:p>
            <w:pPr>
              <w:pStyle w:val="TableParagraph"/>
              <w:spacing w:before="14"/>
              <w:ind w:left="87" w:right="78"/>
              <w:jc w:val="center"/>
              <w:rPr>
                <w:rFonts w:ascii="Times New Roman"/>
                <w:i/>
                <w:sz w:val="20"/>
              </w:rPr>
            </w:pPr>
            <w:r>
              <w:rPr>
                <w:rFonts w:ascii="Times New Roman"/>
                <w:i/>
                <w:sz w:val="20"/>
              </w:rPr>
              <w:t>ADC_DIV</w:t>
            </w:r>
          </w:p>
        </w:tc>
        <w:tc>
          <w:tcPr>
            <w:tcW w:w="1380" w:type="dxa"/>
          </w:tcPr>
          <w:p>
            <w:pPr>
              <w:pStyle w:val="TableParagraph"/>
              <w:spacing w:before="14"/>
              <w:ind w:left="87" w:right="77"/>
              <w:jc w:val="center"/>
              <w:rPr>
                <w:rFonts w:ascii="Times New Roman"/>
                <w:i/>
                <w:sz w:val="20"/>
              </w:rPr>
            </w:pPr>
            <w:r>
              <w:rPr>
                <w:rFonts w:ascii="Times New Roman"/>
                <w:i/>
                <w:sz w:val="20"/>
              </w:rPr>
              <w:t>PLL_FAST</w:t>
            </w:r>
          </w:p>
        </w:tc>
        <w:tc>
          <w:tcPr>
            <w:tcW w:w="1382" w:type="dxa"/>
          </w:tcPr>
          <w:p>
            <w:pPr>
              <w:pStyle w:val="TableParagraph"/>
              <w:spacing w:before="14"/>
              <w:ind w:left="400"/>
              <w:rPr>
                <w:rFonts w:ascii="Times New Roman"/>
                <w:i/>
                <w:sz w:val="20"/>
              </w:rPr>
            </w:pPr>
            <w:r>
              <w:rPr>
                <w:rFonts w:ascii="Times New Roman"/>
                <w:i/>
                <w:sz w:val="20"/>
              </w:rPr>
              <w:t>RESET</w:t>
            </w:r>
          </w:p>
        </w:tc>
        <w:tc>
          <w:tcPr>
            <w:tcW w:w="4142" w:type="dxa"/>
            <w:gridSpan w:val="3"/>
          </w:tcPr>
          <w:p>
            <w:pPr>
              <w:pStyle w:val="TableParagraph"/>
              <w:spacing w:before="14"/>
              <w:ind w:left="1404" w:right="1398"/>
              <w:jc w:val="center"/>
              <w:rPr>
                <w:rFonts w:ascii="Times New Roman"/>
                <w:i/>
                <w:sz w:val="20"/>
              </w:rPr>
            </w:pPr>
            <w:r>
              <w:rPr>
                <w:rFonts w:ascii="Times New Roman"/>
                <w:i/>
                <w:sz w:val="20"/>
              </w:rPr>
              <w:t>MPU_DIV[2:0]</w:t>
            </w:r>
          </w:p>
        </w:tc>
      </w:tr>
      <w:tr>
        <w:trPr>
          <w:trHeight w:val="263" w:hRule="atLeast"/>
        </w:trPr>
        <w:tc>
          <w:tcPr>
            <w:tcW w:w="12959" w:type="dxa"/>
            <w:gridSpan w:val="10"/>
          </w:tcPr>
          <w:p>
            <w:pPr>
              <w:pStyle w:val="TableParagraph"/>
              <w:spacing w:line="227" w:lineRule="exact" w:before="16"/>
              <w:ind w:left="115"/>
              <w:rPr>
                <w:b/>
                <w:i/>
                <w:sz w:val="20"/>
              </w:rPr>
            </w:pPr>
            <w:r>
              <w:rPr>
                <w:b/>
                <w:i/>
                <w:sz w:val="20"/>
              </w:rPr>
              <w:t>VREF TRIM FUSES</w:t>
            </w:r>
          </w:p>
        </w:tc>
      </w:tr>
      <w:tr>
        <w:trPr>
          <w:trHeight w:val="263" w:hRule="atLeast"/>
        </w:trPr>
        <w:tc>
          <w:tcPr>
            <w:tcW w:w="1145" w:type="dxa"/>
          </w:tcPr>
          <w:p>
            <w:pPr>
              <w:pStyle w:val="TableParagraph"/>
              <w:spacing w:line="227" w:lineRule="exact" w:before="16"/>
              <w:ind w:left="23" w:right="15"/>
              <w:jc w:val="center"/>
              <w:rPr>
                <w:sz w:val="20"/>
              </w:rPr>
            </w:pPr>
            <w:r>
              <w:rPr>
                <w:sz w:val="20"/>
              </w:rPr>
              <w:t>TRIMT</w:t>
            </w:r>
          </w:p>
        </w:tc>
        <w:tc>
          <w:tcPr>
            <w:tcW w:w="768" w:type="dxa"/>
          </w:tcPr>
          <w:p>
            <w:pPr>
              <w:pStyle w:val="TableParagraph"/>
              <w:spacing w:line="227" w:lineRule="exact" w:before="16"/>
              <w:ind w:left="4"/>
              <w:jc w:val="center"/>
              <w:rPr>
                <w:sz w:val="20"/>
              </w:rPr>
            </w:pPr>
            <w:r>
              <w:rPr>
                <w:sz w:val="20"/>
              </w:rPr>
              <w:t>2309</w:t>
            </w:r>
          </w:p>
        </w:tc>
        <w:tc>
          <w:tcPr>
            <w:tcW w:w="11046" w:type="dxa"/>
            <w:gridSpan w:val="8"/>
          </w:tcPr>
          <w:p>
            <w:pPr>
              <w:pStyle w:val="TableParagraph"/>
              <w:spacing w:before="12"/>
              <w:ind w:left="3671" w:right="3666"/>
              <w:jc w:val="center"/>
              <w:rPr>
                <w:rFonts w:ascii="Times New Roman"/>
                <w:i/>
                <w:sz w:val="20"/>
              </w:rPr>
            </w:pPr>
            <w:r>
              <w:rPr>
                <w:rFonts w:ascii="Times New Roman"/>
                <w:i/>
                <w:sz w:val="20"/>
              </w:rPr>
              <w:t>TRIMT[7:0]</w:t>
            </w:r>
          </w:p>
        </w:tc>
      </w:tr>
      <w:tr>
        <w:trPr>
          <w:trHeight w:val="263" w:hRule="atLeast"/>
        </w:trPr>
        <w:tc>
          <w:tcPr>
            <w:tcW w:w="12959" w:type="dxa"/>
            <w:gridSpan w:val="10"/>
          </w:tcPr>
          <w:p>
            <w:pPr>
              <w:pStyle w:val="TableParagraph"/>
              <w:spacing w:line="227" w:lineRule="exact" w:before="16"/>
              <w:ind w:left="170"/>
              <w:rPr>
                <w:b/>
                <w:i/>
                <w:sz w:val="20"/>
              </w:rPr>
            </w:pPr>
            <w:r>
              <w:rPr>
                <w:b/>
                <w:i/>
                <w:sz w:val="20"/>
              </w:rPr>
              <w:t>LCD/DIO</w:t>
            </w:r>
          </w:p>
        </w:tc>
      </w:tr>
      <w:tr>
        <w:trPr>
          <w:trHeight w:val="263" w:hRule="atLeast"/>
        </w:trPr>
        <w:tc>
          <w:tcPr>
            <w:tcW w:w="1145" w:type="dxa"/>
          </w:tcPr>
          <w:p>
            <w:pPr>
              <w:pStyle w:val="TableParagraph"/>
              <w:spacing w:line="227" w:lineRule="exact" w:before="16"/>
              <w:ind w:left="22" w:right="15"/>
              <w:jc w:val="center"/>
              <w:rPr>
                <w:sz w:val="20"/>
              </w:rPr>
            </w:pPr>
            <w:r>
              <w:rPr>
                <w:sz w:val="20"/>
              </w:rPr>
              <w:t>LCD0</w:t>
            </w:r>
          </w:p>
        </w:tc>
        <w:tc>
          <w:tcPr>
            <w:tcW w:w="768" w:type="dxa"/>
          </w:tcPr>
          <w:p>
            <w:pPr>
              <w:pStyle w:val="TableParagraph"/>
              <w:spacing w:line="227" w:lineRule="exact" w:before="16"/>
              <w:ind w:left="4"/>
              <w:jc w:val="center"/>
              <w:rPr>
                <w:sz w:val="20"/>
              </w:rPr>
            </w:pPr>
            <w:r>
              <w:rPr>
                <w:sz w:val="20"/>
              </w:rPr>
              <w:t>2400</w:t>
            </w:r>
          </w:p>
        </w:tc>
        <w:tc>
          <w:tcPr>
            <w:tcW w:w="1380" w:type="dxa"/>
            <w:shd w:val="clear" w:color="auto" w:fill="A8A8A8"/>
          </w:tcPr>
          <w:p>
            <w:pPr>
              <w:pStyle w:val="TableParagraph"/>
              <w:spacing w:before="12"/>
              <w:ind w:left="87" w:right="81"/>
              <w:jc w:val="center"/>
              <w:rPr>
                <w:rFonts w:ascii="Times New Roman"/>
                <w:i/>
                <w:sz w:val="20"/>
              </w:rPr>
            </w:pPr>
            <w:r>
              <w:rPr>
                <w:rFonts w:ascii="Times New Roman"/>
                <w:i/>
                <w:sz w:val="20"/>
              </w:rPr>
              <w:t>LCD_E</w:t>
            </w:r>
          </w:p>
        </w:tc>
        <w:tc>
          <w:tcPr>
            <w:tcW w:w="4142" w:type="dxa"/>
            <w:gridSpan w:val="3"/>
            <w:shd w:val="clear" w:color="auto" w:fill="A8A8A8"/>
          </w:tcPr>
          <w:p>
            <w:pPr>
              <w:pStyle w:val="TableParagraph"/>
              <w:spacing w:before="12"/>
              <w:ind w:left="1326"/>
              <w:rPr>
                <w:rFonts w:ascii="Times New Roman"/>
                <w:i/>
                <w:sz w:val="20"/>
              </w:rPr>
            </w:pPr>
            <w:r>
              <w:rPr>
                <w:rFonts w:ascii="Times New Roman"/>
                <w:i/>
                <w:sz w:val="20"/>
              </w:rPr>
              <w:t>LCD_MODE[2:0]</w:t>
            </w:r>
          </w:p>
        </w:tc>
        <w:tc>
          <w:tcPr>
            <w:tcW w:w="1382" w:type="dxa"/>
            <w:shd w:val="clear" w:color="auto" w:fill="A8A8A8"/>
          </w:tcPr>
          <w:p>
            <w:pPr>
              <w:pStyle w:val="TableParagraph"/>
              <w:spacing w:before="12"/>
              <w:ind w:left="50"/>
              <w:rPr>
                <w:rFonts w:ascii="Times New Roman"/>
                <w:i/>
                <w:sz w:val="20"/>
              </w:rPr>
            </w:pPr>
            <w:r>
              <w:rPr>
                <w:rFonts w:ascii="Times New Roman"/>
                <w:i/>
                <w:sz w:val="20"/>
              </w:rPr>
              <w:t>LCD_ALLCOM</w:t>
            </w:r>
          </w:p>
        </w:tc>
        <w:tc>
          <w:tcPr>
            <w:tcW w:w="1442" w:type="dxa"/>
            <w:shd w:val="clear" w:color="auto" w:fill="A8A8A8"/>
          </w:tcPr>
          <w:p>
            <w:pPr>
              <w:pStyle w:val="TableParagraph"/>
              <w:spacing w:before="12"/>
              <w:ind w:left="98" w:right="92"/>
              <w:jc w:val="center"/>
              <w:rPr>
                <w:rFonts w:ascii="Times New Roman"/>
                <w:i/>
                <w:sz w:val="20"/>
              </w:rPr>
            </w:pPr>
            <w:r>
              <w:rPr>
                <w:rFonts w:ascii="Times New Roman"/>
                <w:i/>
                <w:sz w:val="20"/>
              </w:rPr>
              <w:t>LCD_Y</w:t>
            </w:r>
          </w:p>
        </w:tc>
        <w:tc>
          <w:tcPr>
            <w:tcW w:w="2700" w:type="dxa"/>
            <w:gridSpan w:val="2"/>
            <w:shd w:val="clear" w:color="auto" w:fill="A8A8A8"/>
          </w:tcPr>
          <w:p>
            <w:pPr>
              <w:pStyle w:val="TableParagraph"/>
              <w:spacing w:before="12"/>
              <w:ind w:left="706"/>
              <w:rPr>
                <w:rFonts w:ascii="Times New Roman"/>
                <w:i/>
                <w:sz w:val="20"/>
              </w:rPr>
            </w:pPr>
            <w:r>
              <w:rPr>
                <w:rFonts w:ascii="Times New Roman"/>
                <w:i/>
                <w:sz w:val="20"/>
              </w:rPr>
              <w:t>LCD_CLK[1:0]</w:t>
            </w:r>
          </w:p>
        </w:tc>
      </w:tr>
      <w:tr>
        <w:trPr>
          <w:trHeight w:val="263" w:hRule="atLeast"/>
        </w:trPr>
        <w:tc>
          <w:tcPr>
            <w:tcW w:w="1145" w:type="dxa"/>
          </w:tcPr>
          <w:p>
            <w:pPr>
              <w:pStyle w:val="TableParagraph"/>
              <w:spacing w:line="227" w:lineRule="exact" w:before="16"/>
              <w:ind w:left="22" w:right="15"/>
              <w:jc w:val="center"/>
              <w:rPr>
                <w:sz w:val="20"/>
              </w:rPr>
            </w:pPr>
            <w:r>
              <w:rPr>
                <w:sz w:val="20"/>
              </w:rPr>
              <w:t>LCD1</w:t>
            </w:r>
          </w:p>
        </w:tc>
        <w:tc>
          <w:tcPr>
            <w:tcW w:w="768" w:type="dxa"/>
          </w:tcPr>
          <w:p>
            <w:pPr>
              <w:pStyle w:val="TableParagraph"/>
              <w:spacing w:line="227" w:lineRule="exact" w:before="16"/>
              <w:ind w:left="4"/>
              <w:jc w:val="center"/>
              <w:rPr>
                <w:sz w:val="20"/>
              </w:rPr>
            </w:pPr>
            <w:r>
              <w:rPr>
                <w:sz w:val="20"/>
              </w:rPr>
              <w:t>2401</w:t>
            </w:r>
          </w:p>
        </w:tc>
        <w:tc>
          <w:tcPr>
            <w:tcW w:w="2762" w:type="dxa"/>
            <w:gridSpan w:val="2"/>
            <w:shd w:val="clear" w:color="auto" w:fill="A8A8A8"/>
          </w:tcPr>
          <w:p>
            <w:pPr>
              <w:pStyle w:val="TableParagraph"/>
              <w:spacing w:before="12"/>
              <w:ind w:left="575"/>
              <w:rPr>
                <w:rFonts w:ascii="Times New Roman"/>
                <w:i/>
                <w:sz w:val="20"/>
              </w:rPr>
            </w:pPr>
            <w:r>
              <w:rPr>
                <w:rFonts w:ascii="Times New Roman"/>
                <w:i/>
                <w:sz w:val="20"/>
              </w:rPr>
              <w:t>LCD_VMODE[1:0]</w:t>
            </w:r>
          </w:p>
        </w:tc>
        <w:tc>
          <w:tcPr>
            <w:tcW w:w="8284" w:type="dxa"/>
            <w:gridSpan w:val="6"/>
            <w:shd w:val="clear" w:color="auto" w:fill="A8A8A8"/>
          </w:tcPr>
          <w:p>
            <w:pPr>
              <w:pStyle w:val="TableParagraph"/>
              <w:spacing w:before="12"/>
              <w:ind w:left="3107" w:right="3103"/>
              <w:jc w:val="center"/>
              <w:rPr>
                <w:rFonts w:ascii="Times New Roman"/>
                <w:i/>
                <w:sz w:val="20"/>
              </w:rPr>
            </w:pPr>
            <w:r>
              <w:rPr>
                <w:rFonts w:ascii="Times New Roman"/>
                <w:i/>
                <w:sz w:val="20"/>
              </w:rPr>
              <w:t>LCD_BLNKMAP23[5:0]</w:t>
            </w:r>
          </w:p>
        </w:tc>
      </w:tr>
      <w:tr>
        <w:trPr>
          <w:trHeight w:val="263" w:hRule="atLeast"/>
        </w:trPr>
        <w:tc>
          <w:tcPr>
            <w:tcW w:w="1145" w:type="dxa"/>
          </w:tcPr>
          <w:p>
            <w:pPr>
              <w:pStyle w:val="TableParagraph"/>
              <w:spacing w:line="227" w:lineRule="exact" w:before="16"/>
              <w:ind w:left="22" w:right="15"/>
              <w:jc w:val="center"/>
              <w:rPr>
                <w:sz w:val="20"/>
              </w:rPr>
            </w:pPr>
            <w:r>
              <w:rPr>
                <w:sz w:val="20"/>
              </w:rPr>
              <w:t>LCD2</w:t>
            </w:r>
          </w:p>
        </w:tc>
        <w:tc>
          <w:tcPr>
            <w:tcW w:w="768" w:type="dxa"/>
          </w:tcPr>
          <w:p>
            <w:pPr>
              <w:pStyle w:val="TableParagraph"/>
              <w:spacing w:line="227" w:lineRule="exact" w:before="16"/>
              <w:ind w:left="4"/>
              <w:jc w:val="center"/>
              <w:rPr>
                <w:sz w:val="20"/>
              </w:rPr>
            </w:pPr>
            <w:r>
              <w:rPr>
                <w:sz w:val="20"/>
              </w:rPr>
              <w:t>2402</w:t>
            </w:r>
          </w:p>
        </w:tc>
        <w:tc>
          <w:tcPr>
            <w:tcW w:w="1380" w:type="dxa"/>
            <w:shd w:val="clear" w:color="auto" w:fill="A8A8A8"/>
          </w:tcPr>
          <w:p>
            <w:pPr>
              <w:pStyle w:val="TableParagraph"/>
              <w:spacing w:before="12"/>
              <w:ind w:left="87" w:right="83"/>
              <w:jc w:val="center"/>
              <w:rPr>
                <w:rFonts w:ascii="Times New Roman"/>
                <w:i/>
                <w:sz w:val="20"/>
              </w:rPr>
            </w:pPr>
            <w:r>
              <w:rPr>
                <w:rFonts w:ascii="Times New Roman"/>
                <w:i/>
                <w:sz w:val="20"/>
              </w:rPr>
              <w:t>LCD_BAT</w:t>
            </w:r>
          </w:p>
        </w:tc>
        <w:tc>
          <w:tcPr>
            <w:tcW w:w="1382" w:type="dxa"/>
            <w:shd w:val="clear" w:color="auto" w:fill="A8A8A8"/>
          </w:tcPr>
          <w:p>
            <w:pPr>
              <w:pStyle w:val="TableParagraph"/>
              <w:spacing w:before="12"/>
              <w:ind w:left="6"/>
              <w:jc w:val="center"/>
              <w:rPr>
                <w:rFonts w:ascii="Times New Roman"/>
                <w:i/>
                <w:sz w:val="20"/>
              </w:rPr>
            </w:pPr>
            <w:r>
              <w:rPr>
                <w:rFonts w:ascii="Times New Roman"/>
                <w:i/>
                <w:w w:val="99"/>
                <w:sz w:val="20"/>
              </w:rPr>
              <w:t>R</w:t>
            </w:r>
          </w:p>
        </w:tc>
        <w:tc>
          <w:tcPr>
            <w:tcW w:w="8284" w:type="dxa"/>
            <w:gridSpan w:val="6"/>
            <w:shd w:val="clear" w:color="auto" w:fill="A8A8A8"/>
          </w:tcPr>
          <w:p>
            <w:pPr>
              <w:pStyle w:val="TableParagraph"/>
              <w:spacing w:before="12"/>
              <w:ind w:left="3107" w:right="3103"/>
              <w:jc w:val="center"/>
              <w:rPr>
                <w:rFonts w:ascii="Times New Roman"/>
                <w:i/>
                <w:sz w:val="20"/>
              </w:rPr>
            </w:pPr>
            <w:r>
              <w:rPr>
                <w:rFonts w:ascii="Times New Roman"/>
                <w:i/>
                <w:sz w:val="20"/>
              </w:rPr>
              <w:t>LCD_BLNKMAP22[5:0]</w:t>
            </w:r>
          </w:p>
        </w:tc>
      </w:tr>
      <w:tr>
        <w:trPr>
          <w:trHeight w:val="266" w:hRule="atLeast"/>
        </w:trPr>
        <w:tc>
          <w:tcPr>
            <w:tcW w:w="1145" w:type="dxa"/>
          </w:tcPr>
          <w:p>
            <w:pPr>
              <w:pStyle w:val="TableParagraph"/>
              <w:spacing w:line="227" w:lineRule="exact" w:before="18"/>
              <w:ind w:left="24" w:right="15"/>
              <w:jc w:val="center"/>
              <w:rPr>
                <w:sz w:val="20"/>
              </w:rPr>
            </w:pPr>
            <w:r>
              <w:rPr>
                <w:sz w:val="20"/>
              </w:rPr>
              <w:t>LCD_MAP6</w:t>
            </w:r>
          </w:p>
        </w:tc>
        <w:tc>
          <w:tcPr>
            <w:tcW w:w="768" w:type="dxa"/>
          </w:tcPr>
          <w:p>
            <w:pPr>
              <w:pStyle w:val="TableParagraph"/>
              <w:spacing w:line="227" w:lineRule="exact" w:before="18"/>
              <w:ind w:left="4"/>
              <w:jc w:val="center"/>
              <w:rPr>
                <w:sz w:val="20"/>
              </w:rPr>
            </w:pPr>
            <w:r>
              <w:rPr>
                <w:sz w:val="20"/>
              </w:rPr>
              <w:t>2405</w:t>
            </w:r>
          </w:p>
        </w:tc>
        <w:tc>
          <w:tcPr>
            <w:tcW w:w="11046" w:type="dxa"/>
            <w:gridSpan w:val="8"/>
            <w:shd w:val="clear" w:color="auto" w:fill="A8A8A8"/>
          </w:tcPr>
          <w:p>
            <w:pPr>
              <w:pStyle w:val="TableParagraph"/>
              <w:spacing w:before="14"/>
              <w:ind w:left="3672" w:right="3666"/>
              <w:jc w:val="center"/>
              <w:rPr>
                <w:rFonts w:ascii="Times New Roman"/>
                <w:i/>
                <w:sz w:val="20"/>
              </w:rPr>
            </w:pPr>
            <w:r>
              <w:rPr>
                <w:rFonts w:ascii="Times New Roman"/>
                <w:i/>
                <w:sz w:val="20"/>
              </w:rPr>
              <w:t>LCD_MAP[55:48]</w:t>
            </w:r>
          </w:p>
        </w:tc>
      </w:tr>
      <w:tr>
        <w:trPr>
          <w:trHeight w:val="263" w:hRule="atLeast"/>
        </w:trPr>
        <w:tc>
          <w:tcPr>
            <w:tcW w:w="1145" w:type="dxa"/>
          </w:tcPr>
          <w:p>
            <w:pPr>
              <w:pStyle w:val="TableParagraph"/>
              <w:spacing w:line="227" w:lineRule="exact" w:before="16"/>
              <w:ind w:left="24" w:right="15"/>
              <w:jc w:val="center"/>
              <w:rPr>
                <w:sz w:val="20"/>
              </w:rPr>
            </w:pPr>
            <w:r>
              <w:rPr>
                <w:sz w:val="20"/>
              </w:rPr>
              <w:t>LCD_MAP5</w:t>
            </w:r>
          </w:p>
        </w:tc>
        <w:tc>
          <w:tcPr>
            <w:tcW w:w="768" w:type="dxa"/>
          </w:tcPr>
          <w:p>
            <w:pPr>
              <w:pStyle w:val="TableParagraph"/>
              <w:spacing w:line="227" w:lineRule="exact" w:before="16"/>
              <w:ind w:left="4"/>
              <w:jc w:val="center"/>
              <w:rPr>
                <w:sz w:val="20"/>
              </w:rPr>
            </w:pPr>
            <w:r>
              <w:rPr>
                <w:sz w:val="20"/>
              </w:rPr>
              <w:t>2406</w:t>
            </w:r>
          </w:p>
        </w:tc>
        <w:tc>
          <w:tcPr>
            <w:tcW w:w="11046" w:type="dxa"/>
            <w:gridSpan w:val="8"/>
            <w:shd w:val="clear" w:color="auto" w:fill="A8A8A8"/>
          </w:tcPr>
          <w:p>
            <w:pPr>
              <w:pStyle w:val="TableParagraph"/>
              <w:spacing w:before="12"/>
              <w:ind w:left="3672" w:right="3666"/>
              <w:jc w:val="center"/>
              <w:rPr>
                <w:rFonts w:ascii="Times New Roman"/>
                <w:i/>
                <w:sz w:val="20"/>
              </w:rPr>
            </w:pPr>
            <w:r>
              <w:rPr>
                <w:rFonts w:ascii="Times New Roman"/>
                <w:i/>
                <w:sz w:val="20"/>
              </w:rPr>
              <w:t>LCD_MAP[47:40]</w:t>
            </w:r>
          </w:p>
        </w:tc>
      </w:tr>
      <w:tr>
        <w:trPr>
          <w:trHeight w:val="263" w:hRule="atLeast"/>
        </w:trPr>
        <w:tc>
          <w:tcPr>
            <w:tcW w:w="1145" w:type="dxa"/>
          </w:tcPr>
          <w:p>
            <w:pPr>
              <w:pStyle w:val="TableParagraph"/>
              <w:spacing w:line="227" w:lineRule="exact" w:before="16"/>
              <w:ind w:left="24" w:right="15"/>
              <w:jc w:val="center"/>
              <w:rPr>
                <w:sz w:val="20"/>
              </w:rPr>
            </w:pPr>
            <w:r>
              <w:rPr>
                <w:sz w:val="20"/>
              </w:rPr>
              <w:t>LCD_MAP4</w:t>
            </w:r>
          </w:p>
        </w:tc>
        <w:tc>
          <w:tcPr>
            <w:tcW w:w="768" w:type="dxa"/>
          </w:tcPr>
          <w:p>
            <w:pPr>
              <w:pStyle w:val="TableParagraph"/>
              <w:spacing w:line="227" w:lineRule="exact" w:before="16"/>
              <w:ind w:left="4"/>
              <w:jc w:val="center"/>
              <w:rPr>
                <w:sz w:val="20"/>
              </w:rPr>
            </w:pPr>
            <w:r>
              <w:rPr>
                <w:sz w:val="20"/>
              </w:rPr>
              <w:t>2407</w:t>
            </w:r>
          </w:p>
        </w:tc>
        <w:tc>
          <w:tcPr>
            <w:tcW w:w="11046" w:type="dxa"/>
            <w:gridSpan w:val="8"/>
            <w:shd w:val="clear" w:color="auto" w:fill="A8A8A8"/>
          </w:tcPr>
          <w:p>
            <w:pPr>
              <w:pStyle w:val="TableParagraph"/>
              <w:spacing w:before="12"/>
              <w:ind w:left="3672" w:right="3666"/>
              <w:jc w:val="center"/>
              <w:rPr>
                <w:rFonts w:ascii="Times New Roman"/>
                <w:i/>
                <w:sz w:val="20"/>
              </w:rPr>
            </w:pPr>
            <w:r>
              <w:rPr>
                <w:rFonts w:ascii="Times New Roman"/>
                <w:i/>
                <w:sz w:val="20"/>
              </w:rPr>
              <w:t>LCD_MAP[39:32]</w:t>
            </w:r>
          </w:p>
        </w:tc>
      </w:tr>
      <w:tr>
        <w:trPr>
          <w:trHeight w:val="263" w:hRule="atLeast"/>
        </w:trPr>
        <w:tc>
          <w:tcPr>
            <w:tcW w:w="1145" w:type="dxa"/>
          </w:tcPr>
          <w:p>
            <w:pPr>
              <w:pStyle w:val="TableParagraph"/>
              <w:spacing w:line="227" w:lineRule="exact" w:before="16"/>
              <w:ind w:left="24" w:right="15"/>
              <w:jc w:val="center"/>
              <w:rPr>
                <w:sz w:val="20"/>
              </w:rPr>
            </w:pPr>
            <w:r>
              <w:rPr>
                <w:sz w:val="20"/>
              </w:rPr>
              <w:t>LCD_MAP3</w:t>
            </w:r>
          </w:p>
        </w:tc>
        <w:tc>
          <w:tcPr>
            <w:tcW w:w="768" w:type="dxa"/>
          </w:tcPr>
          <w:p>
            <w:pPr>
              <w:pStyle w:val="TableParagraph"/>
              <w:spacing w:line="227" w:lineRule="exact" w:before="16"/>
              <w:ind w:left="4"/>
              <w:jc w:val="center"/>
              <w:rPr>
                <w:sz w:val="20"/>
              </w:rPr>
            </w:pPr>
            <w:r>
              <w:rPr>
                <w:sz w:val="20"/>
              </w:rPr>
              <w:t>2408</w:t>
            </w:r>
          </w:p>
        </w:tc>
        <w:tc>
          <w:tcPr>
            <w:tcW w:w="11046" w:type="dxa"/>
            <w:gridSpan w:val="8"/>
            <w:shd w:val="clear" w:color="auto" w:fill="A8A8A8"/>
          </w:tcPr>
          <w:p>
            <w:pPr>
              <w:pStyle w:val="TableParagraph"/>
              <w:spacing w:before="12"/>
              <w:ind w:left="3672" w:right="3666"/>
              <w:jc w:val="center"/>
              <w:rPr>
                <w:rFonts w:ascii="Times New Roman"/>
                <w:i/>
                <w:sz w:val="20"/>
              </w:rPr>
            </w:pPr>
            <w:r>
              <w:rPr>
                <w:rFonts w:ascii="Times New Roman"/>
                <w:i/>
                <w:sz w:val="20"/>
              </w:rPr>
              <w:t>LCD_MAP[31:24]</w:t>
            </w:r>
          </w:p>
        </w:tc>
      </w:tr>
    </w:tbl>
    <w:p>
      <w:pPr>
        <w:spacing w:after="0"/>
        <w:jc w:val="center"/>
        <w:rPr>
          <w:rFonts w:ascii="Times New Roman"/>
          <w:sz w:val="20"/>
        </w:rPr>
        <w:sectPr>
          <w:pgSz w:w="15840" w:h="12240" w:orient="landscape"/>
          <w:pgMar w:header="727" w:footer="819" w:top="1180" w:bottom="1000" w:left="1320" w:right="1320"/>
        </w:sectPr>
      </w:pPr>
    </w:p>
    <w:p>
      <w:pPr>
        <w:pStyle w:val="BodyText"/>
        <w:spacing w:before="5"/>
        <w:rPr>
          <w:b/>
          <w:sz w:val="7"/>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5"/>
        <w:gridCol w:w="768"/>
        <w:gridCol w:w="1380"/>
        <w:gridCol w:w="1382"/>
        <w:gridCol w:w="1380"/>
        <w:gridCol w:w="1380"/>
        <w:gridCol w:w="1382"/>
        <w:gridCol w:w="1442"/>
        <w:gridCol w:w="1320"/>
        <w:gridCol w:w="1380"/>
      </w:tblGrid>
      <w:tr>
        <w:trPr>
          <w:trHeight w:val="309" w:hRule="atLeast"/>
        </w:trPr>
        <w:tc>
          <w:tcPr>
            <w:tcW w:w="1145" w:type="dxa"/>
          </w:tcPr>
          <w:p>
            <w:pPr>
              <w:pStyle w:val="TableParagraph"/>
              <w:spacing w:before="35"/>
              <w:ind w:left="22" w:right="15"/>
              <w:jc w:val="center"/>
              <w:rPr>
                <w:b/>
                <w:sz w:val="20"/>
              </w:rPr>
            </w:pPr>
            <w:r>
              <w:rPr>
                <w:b/>
                <w:sz w:val="20"/>
              </w:rPr>
              <w:t>Name</w:t>
            </w:r>
          </w:p>
        </w:tc>
        <w:tc>
          <w:tcPr>
            <w:tcW w:w="768" w:type="dxa"/>
          </w:tcPr>
          <w:p>
            <w:pPr>
              <w:pStyle w:val="TableParagraph"/>
              <w:spacing w:before="35"/>
              <w:ind w:left="2"/>
              <w:jc w:val="center"/>
              <w:rPr>
                <w:b/>
                <w:sz w:val="20"/>
              </w:rPr>
            </w:pPr>
            <w:r>
              <w:rPr>
                <w:b/>
                <w:sz w:val="20"/>
              </w:rPr>
              <w:t>Addr</w:t>
            </w:r>
          </w:p>
        </w:tc>
        <w:tc>
          <w:tcPr>
            <w:tcW w:w="1380" w:type="dxa"/>
          </w:tcPr>
          <w:p>
            <w:pPr>
              <w:pStyle w:val="TableParagraph"/>
              <w:spacing w:before="35"/>
              <w:ind w:left="87" w:right="80"/>
              <w:jc w:val="center"/>
              <w:rPr>
                <w:b/>
                <w:sz w:val="20"/>
              </w:rPr>
            </w:pPr>
            <w:r>
              <w:rPr>
                <w:b/>
                <w:sz w:val="20"/>
              </w:rPr>
              <w:t>Bit 7</w:t>
            </w:r>
          </w:p>
        </w:tc>
        <w:tc>
          <w:tcPr>
            <w:tcW w:w="1382" w:type="dxa"/>
          </w:tcPr>
          <w:p>
            <w:pPr>
              <w:pStyle w:val="TableParagraph"/>
              <w:spacing w:before="35"/>
              <w:ind w:left="73" w:right="68"/>
              <w:jc w:val="center"/>
              <w:rPr>
                <w:b/>
                <w:sz w:val="20"/>
              </w:rPr>
            </w:pPr>
            <w:r>
              <w:rPr>
                <w:b/>
                <w:sz w:val="20"/>
              </w:rPr>
              <w:t>Bit 6</w:t>
            </w:r>
          </w:p>
        </w:tc>
        <w:tc>
          <w:tcPr>
            <w:tcW w:w="1380" w:type="dxa"/>
          </w:tcPr>
          <w:p>
            <w:pPr>
              <w:pStyle w:val="TableParagraph"/>
              <w:spacing w:before="35"/>
              <w:ind w:left="87" w:right="79"/>
              <w:jc w:val="center"/>
              <w:rPr>
                <w:b/>
                <w:sz w:val="20"/>
              </w:rPr>
            </w:pPr>
            <w:r>
              <w:rPr>
                <w:b/>
                <w:sz w:val="20"/>
              </w:rPr>
              <w:t>Bit 5</w:t>
            </w:r>
          </w:p>
        </w:tc>
        <w:tc>
          <w:tcPr>
            <w:tcW w:w="1380" w:type="dxa"/>
          </w:tcPr>
          <w:p>
            <w:pPr>
              <w:pStyle w:val="TableParagraph"/>
              <w:spacing w:before="35"/>
              <w:ind w:left="87" w:right="79"/>
              <w:jc w:val="center"/>
              <w:rPr>
                <w:b/>
                <w:sz w:val="20"/>
              </w:rPr>
            </w:pPr>
            <w:r>
              <w:rPr>
                <w:b/>
                <w:sz w:val="20"/>
              </w:rPr>
              <w:t>Bit 4</w:t>
            </w:r>
          </w:p>
        </w:tc>
        <w:tc>
          <w:tcPr>
            <w:tcW w:w="1382" w:type="dxa"/>
          </w:tcPr>
          <w:p>
            <w:pPr>
              <w:pStyle w:val="TableParagraph"/>
              <w:spacing w:before="35"/>
              <w:ind w:left="74" w:right="68"/>
              <w:jc w:val="center"/>
              <w:rPr>
                <w:b/>
                <w:sz w:val="20"/>
              </w:rPr>
            </w:pPr>
            <w:r>
              <w:rPr>
                <w:b/>
                <w:sz w:val="20"/>
              </w:rPr>
              <w:t>Bit 3</w:t>
            </w:r>
          </w:p>
        </w:tc>
        <w:tc>
          <w:tcPr>
            <w:tcW w:w="1442" w:type="dxa"/>
          </w:tcPr>
          <w:p>
            <w:pPr>
              <w:pStyle w:val="TableParagraph"/>
              <w:spacing w:before="35"/>
              <w:ind w:left="98" w:right="89"/>
              <w:jc w:val="center"/>
              <w:rPr>
                <w:b/>
                <w:sz w:val="20"/>
              </w:rPr>
            </w:pPr>
            <w:r>
              <w:rPr>
                <w:b/>
                <w:sz w:val="20"/>
              </w:rPr>
              <w:t>Bit 2</w:t>
            </w:r>
          </w:p>
        </w:tc>
        <w:tc>
          <w:tcPr>
            <w:tcW w:w="1320" w:type="dxa"/>
          </w:tcPr>
          <w:p>
            <w:pPr>
              <w:pStyle w:val="TableParagraph"/>
              <w:spacing w:before="35"/>
              <w:ind w:left="53" w:right="46"/>
              <w:jc w:val="center"/>
              <w:rPr>
                <w:b/>
                <w:sz w:val="20"/>
              </w:rPr>
            </w:pPr>
            <w:r>
              <w:rPr>
                <w:b/>
                <w:sz w:val="20"/>
              </w:rPr>
              <w:t>Bit 1</w:t>
            </w:r>
          </w:p>
        </w:tc>
        <w:tc>
          <w:tcPr>
            <w:tcW w:w="1380" w:type="dxa"/>
          </w:tcPr>
          <w:p>
            <w:pPr>
              <w:pStyle w:val="TableParagraph"/>
              <w:spacing w:before="35"/>
              <w:ind w:left="87" w:right="77"/>
              <w:jc w:val="center"/>
              <w:rPr>
                <w:b/>
                <w:sz w:val="20"/>
              </w:rPr>
            </w:pPr>
            <w:r>
              <w:rPr>
                <w:b/>
                <w:sz w:val="20"/>
              </w:rPr>
              <w:t>Bit 0</w:t>
            </w:r>
          </w:p>
        </w:tc>
      </w:tr>
      <w:tr>
        <w:trPr>
          <w:trHeight w:val="263" w:hRule="atLeast"/>
        </w:trPr>
        <w:tc>
          <w:tcPr>
            <w:tcW w:w="1145" w:type="dxa"/>
          </w:tcPr>
          <w:p>
            <w:pPr>
              <w:pStyle w:val="TableParagraph"/>
              <w:spacing w:line="227" w:lineRule="exact" w:before="16"/>
              <w:ind w:left="24" w:right="15"/>
              <w:jc w:val="center"/>
              <w:rPr>
                <w:sz w:val="20"/>
              </w:rPr>
            </w:pPr>
            <w:r>
              <w:rPr>
                <w:sz w:val="20"/>
              </w:rPr>
              <w:t>LCD_MAP2</w:t>
            </w:r>
          </w:p>
        </w:tc>
        <w:tc>
          <w:tcPr>
            <w:tcW w:w="768" w:type="dxa"/>
          </w:tcPr>
          <w:p>
            <w:pPr>
              <w:pStyle w:val="TableParagraph"/>
              <w:spacing w:line="227" w:lineRule="exact" w:before="16"/>
              <w:ind w:left="4"/>
              <w:jc w:val="center"/>
              <w:rPr>
                <w:sz w:val="20"/>
              </w:rPr>
            </w:pPr>
            <w:r>
              <w:rPr>
                <w:sz w:val="20"/>
              </w:rPr>
              <w:t>2409</w:t>
            </w:r>
          </w:p>
        </w:tc>
        <w:tc>
          <w:tcPr>
            <w:tcW w:w="11046" w:type="dxa"/>
            <w:gridSpan w:val="8"/>
            <w:shd w:val="clear" w:color="auto" w:fill="A8A8A8"/>
          </w:tcPr>
          <w:p>
            <w:pPr>
              <w:pStyle w:val="TableParagraph"/>
              <w:spacing w:before="12"/>
              <w:ind w:left="3672" w:right="3666"/>
              <w:jc w:val="center"/>
              <w:rPr>
                <w:rFonts w:ascii="Times New Roman"/>
                <w:i/>
                <w:sz w:val="20"/>
              </w:rPr>
            </w:pPr>
            <w:r>
              <w:rPr>
                <w:rFonts w:ascii="Times New Roman"/>
                <w:i/>
                <w:sz w:val="20"/>
              </w:rPr>
              <w:t>LCD_MAP[23:16]</w:t>
            </w:r>
          </w:p>
        </w:tc>
      </w:tr>
      <w:tr>
        <w:trPr>
          <w:trHeight w:val="266" w:hRule="atLeast"/>
        </w:trPr>
        <w:tc>
          <w:tcPr>
            <w:tcW w:w="1145" w:type="dxa"/>
          </w:tcPr>
          <w:p>
            <w:pPr>
              <w:pStyle w:val="TableParagraph"/>
              <w:spacing w:line="227" w:lineRule="exact" w:before="18"/>
              <w:ind w:left="24" w:right="15"/>
              <w:jc w:val="center"/>
              <w:rPr>
                <w:sz w:val="20"/>
              </w:rPr>
            </w:pPr>
            <w:r>
              <w:rPr>
                <w:sz w:val="20"/>
              </w:rPr>
              <w:t>LCD_MAP1</w:t>
            </w:r>
          </w:p>
        </w:tc>
        <w:tc>
          <w:tcPr>
            <w:tcW w:w="768" w:type="dxa"/>
          </w:tcPr>
          <w:p>
            <w:pPr>
              <w:pStyle w:val="TableParagraph"/>
              <w:spacing w:line="227" w:lineRule="exact" w:before="18"/>
              <w:ind w:left="5"/>
              <w:jc w:val="center"/>
              <w:rPr>
                <w:sz w:val="20"/>
              </w:rPr>
            </w:pPr>
            <w:r>
              <w:rPr>
                <w:sz w:val="20"/>
              </w:rPr>
              <w:t>240A</w:t>
            </w:r>
          </w:p>
        </w:tc>
        <w:tc>
          <w:tcPr>
            <w:tcW w:w="11046" w:type="dxa"/>
            <w:gridSpan w:val="8"/>
            <w:shd w:val="clear" w:color="auto" w:fill="A8A8A8"/>
          </w:tcPr>
          <w:p>
            <w:pPr>
              <w:pStyle w:val="TableParagraph"/>
              <w:spacing w:before="14"/>
              <w:ind w:left="3672" w:right="3666"/>
              <w:jc w:val="center"/>
              <w:rPr>
                <w:rFonts w:ascii="Times New Roman"/>
                <w:i/>
                <w:sz w:val="20"/>
              </w:rPr>
            </w:pPr>
            <w:r>
              <w:rPr>
                <w:rFonts w:ascii="Times New Roman"/>
                <w:i/>
                <w:sz w:val="20"/>
              </w:rPr>
              <w:t>LCD_MAP[15:8]</w:t>
            </w:r>
          </w:p>
        </w:tc>
      </w:tr>
      <w:tr>
        <w:trPr>
          <w:trHeight w:val="263" w:hRule="atLeast"/>
        </w:trPr>
        <w:tc>
          <w:tcPr>
            <w:tcW w:w="1145" w:type="dxa"/>
          </w:tcPr>
          <w:p>
            <w:pPr>
              <w:pStyle w:val="TableParagraph"/>
              <w:spacing w:line="227" w:lineRule="exact" w:before="16"/>
              <w:ind w:left="24" w:right="15"/>
              <w:jc w:val="center"/>
              <w:rPr>
                <w:sz w:val="20"/>
              </w:rPr>
            </w:pPr>
            <w:r>
              <w:rPr>
                <w:sz w:val="20"/>
              </w:rPr>
              <w:t>LCD_MAP0</w:t>
            </w:r>
          </w:p>
        </w:tc>
        <w:tc>
          <w:tcPr>
            <w:tcW w:w="768" w:type="dxa"/>
          </w:tcPr>
          <w:p>
            <w:pPr>
              <w:pStyle w:val="TableParagraph"/>
              <w:spacing w:line="227" w:lineRule="exact" w:before="16"/>
              <w:ind w:left="5"/>
              <w:jc w:val="center"/>
              <w:rPr>
                <w:sz w:val="20"/>
              </w:rPr>
            </w:pPr>
            <w:r>
              <w:rPr>
                <w:sz w:val="20"/>
              </w:rPr>
              <w:t>240B</w:t>
            </w:r>
          </w:p>
        </w:tc>
        <w:tc>
          <w:tcPr>
            <w:tcW w:w="11046" w:type="dxa"/>
            <w:gridSpan w:val="8"/>
            <w:shd w:val="clear" w:color="auto" w:fill="A8A8A8"/>
          </w:tcPr>
          <w:p>
            <w:pPr>
              <w:pStyle w:val="TableParagraph"/>
              <w:spacing w:before="12"/>
              <w:ind w:left="3672" w:right="3666"/>
              <w:jc w:val="center"/>
              <w:rPr>
                <w:rFonts w:ascii="Times New Roman"/>
                <w:i/>
                <w:sz w:val="20"/>
              </w:rPr>
            </w:pPr>
            <w:r>
              <w:rPr>
                <w:rFonts w:ascii="Times New Roman"/>
                <w:i/>
                <w:sz w:val="20"/>
              </w:rPr>
              <w:t>LCD_MAP[7:0]</w:t>
            </w:r>
          </w:p>
        </w:tc>
      </w:tr>
      <w:tr>
        <w:trPr>
          <w:trHeight w:val="263" w:hRule="atLeast"/>
        </w:trPr>
        <w:tc>
          <w:tcPr>
            <w:tcW w:w="1145" w:type="dxa"/>
          </w:tcPr>
          <w:p>
            <w:pPr>
              <w:pStyle w:val="TableParagraph"/>
              <w:spacing w:line="227" w:lineRule="exact" w:before="16"/>
              <w:ind w:left="22" w:right="15"/>
              <w:jc w:val="center"/>
              <w:rPr>
                <w:sz w:val="20"/>
              </w:rPr>
            </w:pPr>
            <w:r>
              <w:rPr>
                <w:sz w:val="20"/>
              </w:rPr>
              <w:t>LCD4</w:t>
            </w:r>
          </w:p>
        </w:tc>
        <w:tc>
          <w:tcPr>
            <w:tcW w:w="768" w:type="dxa"/>
          </w:tcPr>
          <w:p>
            <w:pPr>
              <w:pStyle w:val="TableParagraph"/>
              <w:spacing w:line="227" w:lineRule="exact" w:before="16"/>
              <w:ind w:left="3"/>
              <w:jc w:val="center"/>
              <w:rPr>
                <w:sz w:val="20"/>
              </w:rPr>
            </w:pPr>
            <w:r>
              <w:rPr>
                <w:sz w:val="20"/>
              </w:rPr>
              <w:t>240C</w:t>
            </w:r>
          </w:p>
        </w:tc>
        <w:tc>
          <w:tcPr>
            <w:tcW w:w="1380" w:type="dxa"/>
            <w:shd w:val="clear" w:color="auto" w:fill="DADADA"/>
          </w:tcPr>
          <w:p>
            <w:pPr>
              <w:pStyle w:val="TableParagraph"/>
              <w:spacing w:before="12"/>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2"/>
              <w:ind w:left="4"/>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2"/>
              <w:ind w:left="7"/>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2"/>
              <w:ind w:left="7"/>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2"/>
              <w:ind w:left="5"/>
              <w:jc w:val="center"/>
              <w:rPr>
                <w:rFonts w:ascii="Times New Roman"/>
                <w:i/>
                <w:sz w:val="20"/>
              </w:rPr>
            </w:pPr>
            <w:r>
              <w:rPr>
                <w:rFonts w:ascii="Times New Roman"/>
                <w:i/>
                <w:w w:val="99"/>
                <w:sz w:val="20"/>
              </w:rPr>
              <w:t>U</w:t>
            </w:r>
          </w:p>
        </w:tc>
        <w:tc>
          <w:tcPr>
            <w:tcW w:w="1442" w:type="dxa"/>
            <w:shd w:val="clear" w:color="auto" w:fill="A8A8A8"/>
          </w:tcPr>
          <w:p>
            <w:pPr>
              <w:pStyle w:val="TableParagraph"/>
              <w:spacing w:before="12"/>
              <w:ind w:left="98" w:right="88"/>
              <w:jc w:val="center"/>
              <w:rPr>
                <w:rFonts w:ascii="Times New Roman"/>
                <w:i/>
                <w:sz w:val="20"/>
              </w:rPr>
            </w:pPr>
            <w:r>
              <w:rPr>
                <w:rFonts w:ascii="Times New Roman"/>
                <w:i/>
                <w:sz w:val="20"/>
              </w:rPr>
              <w:t>LCD_RST</w:t>
            </w:r>
          </w:p>
        </w:tc>
        <w:tc>
          <w:tcPr>
            <w:tcW w:w="1320" w:type="dxa"/>
            <w:shd w:val="clear" w:color="auto" w:fill="A8A8A8"/>
          </w:tcPr>
          <w:p>
            <w:pPr>
              <w:pStyle w:val="TableParagraph"/>
              <w:spacing w:before="12"/>
              <w:ind w:left="53" w:right="47"/>
              <w:jc w:val="center"/>
              <w:rPr>
                <w:rFonts w:ascii="Times New Roman"/>
                <w:i/>
                <w:sz w:val="20"/>
              </w:rPr>
            </w:pPr>
            <w:r>
              <w:rPr>
                <w:rFonts w:ascii="Times New Roman"/>
                <w:i/>
                <w:sz w:val="20"/>
              </w:rPr>
              <w:t>LCD_BLANK</w:t>
            </w:r>
          </w:p>
        </w:tc>
        <w:tc>
          <w:tcPr>
            <w:tcW w:w="1380" w:type="dxa"/>
            <w:shd w:val="clear" w:color="auto" w:fill="A8A8A8"/>
          </w:tcPr>
          <w:p>
            <w:pPr>
              <w:pStyle w:val="TableParagraph"/>
              <w:spacing w:before="12"/>
              <w:ind w:left="87" w:right="80"/>
              <w:jc w:val="center"/>
              <w:rPr>
                <w:rFonts w:ascii="Times New Roman"/>
                <w:i/>
                <w:sz w:val="20"/>
              </w:rPr>
            </w:pPr>
            <w:r>
              <w:rPr>
                <w:rFonts w:ascii="Times New Roman"/>
                <w:i/>
                <w:sz w:val="20"/>
              </w:rPr>
              <w:t>LCD_ON</w:t>
            </w:r>
          </w:p>
        </w:tc>
      </w:tr>
      <w:tr>
        <w:trPr>
          <w:trHeight w:val="263" w:hRule="atLeast"/>
        </w:trPr>
        <w:tc>
          <w:tcPr>
            <w:tcW w:w="1145" w:type="dxa"/>
          </w:tcPr>
          <w:p>
            <w:pPr>
              <w:pStyle w:val="TableParagraph"/>
              <w:spacing w:line="227" w:lineRule="exact" w:before="16"/>
              <w:ind w:left="21" w:right="15"/>
              <w:jc w:val="center"/>
              <w:rPr>
                <w:sz w:val="20"/>
              </w:rPr>
            </w:pPr>
            <w:r>
              <w:rPr>
                <w:sz w:val="20"/>
              </w:rPr>
              <w:t>LCD_DAC</w:t>
            </w:r>
          </w:p>
        </w:tc>
        <w:tc>
          <w:tcPr>
            <w:tcW w:w="768" w:type="dxa"/>
          </w:tcPr>
          <w:p>
            <w:pPr>
              <w:pStyle w:val="TableParagraph"/>
              <w:spacing w:line="227" w:lineRule="exact" w:before="16"/>
              <w:ind w:left="3"/>
              <w:jc w:val="center"/>
              <w:rPr>
                <w:sz w:val="20"/>
              </w:rPr>
            </w:pPr>
            <w:r>
              <w:rPr>
                <w:sz w:val="20"/>
              </w:rPr>
              <w:t>240D</w:t>
            </w:r>
          </w:p>
        </w:tc>
        <w:tc>
          <w:tcPr>
            <w:tcW w:w="1380" w:type="dxa"/>
            <w:shd w:val="clear" w:color="auto" w:fill="DADADA"/>
          </w:tcPr>
          <w:p>
            <w:pPr>
              <w:pStyle w:val="TableParagraph"/>
              <w:spacing w:before="12"/>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2"/>
              <w:ind w:left="4"/>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2"/>
              <w:ind w:left="7"/>
              <w:jc w:val="center"/>
              <w:rPr>
                <w:rFonts w:ascii="Times New Roman"/>
                <w:i/>
                <w:sz w:val="20"/>
              </w:rPr>
            </w:pPr>
            <w:r>
              <w:rPr>
                <w:rFonts w:ascii="Times New Roman"/>
                <w:i/>
                <w:w w:val="99"/>
                <w:sz w:val="20"/>
              </w:rPr>
              <w:t>U</w:t>
            </w:r>
          </w:p>
        </w:tc>
        <w:tc>
          <w:tcPr>
            <w:tcW w:w="6904" w:type="dxa"/>
            <w:gridSpan w:val="5"/>
            <w:shd w:val="clear" w:color="auto" w:fill="A8A8A8"/>
          </w:tcPr>
          <w:p>
            <w:pPr>
              <w:pStyle w:val="TableParagraph"/>
              <w:spacing w:before="12"/>
              <w:ind w:left="2604" w:right="2600"/>
              <w:jc w:val="center"/>
              <w:rPr>
                <w:rFonts w:ascii="Times New Roman"/>
                <w:i/>
                <w:sz w:val="20"/>
              </w:rPr>
            </w:pPr>
            <w:r>
              <w:rPr>
                <w:rFonts w:ascii="Times New Roman"/>
                <w:i/>
                <w:sz w:val="20"/>
              </w:rPr>
              <w:t>LCD_DAC[4:0]</w:t>
            </w:r>
          </w:p>
        </w:tc>
      </w:tr>
      <w:tr>
        <w:trPr>
          <w:trHeight w:val="263" w:hRule="atLeast"/>
        </w:trPr>
        <w:tc>
          <w:tcPr>
            <w:tcW w:w="1145" w:type="dxa"/>
          </w:tcPr>
          <w:p>
            <w:pPr>
              <w:pStyle w:val="TableParagraph"/>
              <w:spacing w:line="227" w:lineRule="exact" w:before="16"/>
              <w:ind w:left="22" w:right="15"/>
              <w:jc w:val="center"/>
              <w:rPr>
                <w:sz w:val="20"/>
              </w:rPr>
            </w:pPr>
            <w:r>
              <w:rPr>
                <w:sz w:val="20"/>
              </w:rPr>
              <w:t>SEGDIO0</w:t>
            </w:r>
          </w:p>
        </w:tc>
        <w:tc>
          <w:tcPr>
            <w:tcW w:w="768" w:type="dxa"/>
          </w:tcPr>
          <w:p>
            <w:pPr>
              <w:pStyle w:val="TableParagraph"/>
              <w:spacing w:line="227" w:lineRule="exact" w:before="16"/>
              <w:ind w:left="4"/>
              <w:jc w:val="center"/>
              <w:rPr>
                <w:sz w:val="20"/>
              </w:rPr>
            </w:pPr>
            <w:r>
              <w:rPr>
                <w:sz w:val="20"/>
              </w:rPr>
              <w:t>2410</w:t>
            </w:r>
          </w:p>
        </w:tc>
        <w:tc>
          <w:tcPr>
            <w:tcW w:w="1380" w:type="dxa"/>
            <w:shd w:val="clear" w:color="auto" w:fill="DADADA"/>
          </w:tcPr>
          <w:p>
            <w:pPr>
              <w:pStyle w:val="TableParagraph"/>
              <w:spacing w:before="12"/>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2"/>
              <w:ind w:left="4"/>
              <w:jc w:val="center"/>
              <w:rPr>
                <w:rFonts w:ascii="Times New Roman"/>
                <w:i/>
                <w:sz w:val="20"/>
              </w:rPr>
            </w:pPr>
            <w:r>
              <w:rPr>
                <w:rFonts w:ascii="Times New Roman"/>
                <w:i/>
                <w:w w:val="99"/>
                <w:sz w:val="20"/>
              </w:rPr>
              <w:t>U</w:t>
            </w:r>
          </w:p>
        </w:tc>
        <w:tc>
          <w:tcPr>
            <w:tcW w:w="8284" w:type="dxa"/>
            <w:gridSpan w:val="6"/>
            <w:shd w:val="clear" w:color="auto" w:fill="A8A8A8"/>
          </w:tcPr>
          <w:p>
            <w:pPr>
              <w:pStyle w:val="TableParagraph"/>
              <w:spacing w:before="12"/>
              <w:ind w:left="3107" w:right="3098"/>
              <w:jc w:val="center"/>
              <w:rPr>
                <w:rFonts w:ascii="Times New Roman"/>
                <w:i/>
                <w:sz w:val="20"/>
              </w:rPr>
            </w:pPr>
            <w:r>
              <w:rPr>
                <w:rFonts w:ascii="Times New Roman"/>
                <w:i/>
                <w:sz w:val="20"/>
              </w:rPr>
              <w:t>LCD_SEG0[5:0]</w:t>
            </w:r>
          </w:p>
        </w:tc>
      </w:tr>
      <w:tr>
        <w:trPr>
          <w:trHeight w:val="263" w:hRule="atLeast"/>
        </w:trPr>
        <w:tc>
          <w:tcPr>
            <w:tcW w:w="1145" w:type="dxa"/>
          </w:tcPr>
          <w:p>
            <w:pPr>
              <w:pStyle w:val="TableParagraph"/>
              <w:spacing w:line="227" w:lineRule="exact" w:before="16"/>
              <w:ind w:left="9"/>
              <w:jc w:val="center"/>
              <w:rPr>
                <w:sz w:val="20"/>
              </w:rPr>
            </w:pPr>
            <w:r>
              <w:rPr>
                <w:w w:val="99"/>
                <w:sz w:val="20"/>
              </w:rPr>
              <w:t>…</w:t>
            </w:r>
          </w:p>
        </w:tc>
        <w:tc>
          <w:tcPr>
            <w:tcW w:w="768" w:type="dxa"/>
          </w:tcPr>
          <w:p>
            <w:pPr>
              <w:pStyle w:val="TableParagraph"/>
              <w:spacing w:line="227" w:lineRule="exact" w:before="16"/>
              <w:ind w:left="6"/>
              <w:jc w:val="center"/>
              <w:rPr>
                <w:sz w:val="20"/>
              </w:rPr>
            </w:pPr>
            <w:r>
              <w:rPr>
                <w:w w:val="99"/>
                <w:sz w:val="20"/>
              </w:rPr>
              <w:t>…</w:t>
            </w:r>
          </w:p>
        </w:tc>
        <w:tc>
          <w:tcPr>
            <w:tcW w:w="1380" w:type="dxa"/>
            <w:shd w:val="clear" w:color="auto" w:fill="DADADA"/>
          </w:tcPr>
          <w:p>
            <w:pPr>
              <w:pStyle w:val="TableParagraph"/>
              <w:spacing w:before="12"/>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2"/>
              <w:ind w:left="4"/>
              <w:jc w:val="center"/>
              <w:rPr>
                <w:rFonts w:ascii="Times New Roman"/>
                <w:i/>
                <w:sz w:val="20"/>
              </w:rPr>
            </w:pPr>
            <w:r>
              <w:rPr>
                <w:rFonts w:ascii="Times New Roman"/>
                <w:i/>
                <w:w w:val="99"/>
                <w:sz w:val="20"/>
              </w:rPr>
              <w:t>U</w:t>
            </w:r>
          </w:p>
        </w:tc>
        <w:tc>
          <w:tcPr>
            <w:tcW w:w="8284" w:type="dxa"/>
            <w:gridSpan w:val="6"/>
            <w:shd w:val="clear" w:color="auto" w:fill="A8A8A8"/>
          </w:tcPr>
          <w:p>
            <w:pPr>
              <w:pStyle w:val="TableParagraph"/>
              <w:spacing w:before="12"/>
              <w:ind w:left="10"/>
              <w:jc w:val="center"/>
              <w:rPr>
                <w:rFonts w:ascii="Times New Roman" w:hAnsi="Times New Roman"/>
                <w:i/>
                <w:sz w:val="20"/>
              </w:rPr>
            </w:pPr>
            <w:r>
              <w:rPr>
                <w:rFonts w:ascii="Times New Roman" w:hAnsi="Times New Roman"/>
                <w:i/>
                <w:w w:val="99"/>
                <w:sz w:val="20"/>
              </w:rPr>
              <w:t>…</w:t>
            </w:r>
          </w:p>
        </w:tc>
      </w:tr>
      <w:tr>
        <w:trPr>
          <w:trHeight w:val="266" w:hRule="atLeast"/>
        </w:trPr>
        <w:tc>
          <w:tcPr>
            <w:tcW w:w="1145" w:type="dxa"/>
          </w:tcPr>
          <w:p>
            <w:pPr>
              <w:pStyle w:val="TableParagraph"/>
              <w:spacing w:line="227" w:lineRule="exact" w:before="18"/>
              <w:ind w:left="22" w:right="15"/>
              <w:jc w:val="center"/>
              <w:rPr>
                <w:sz w:val="20"/>
              </w:rPr>
            </w:pPr>
            <w:r>
              <w:rPr>
                <w:sz w:val="20"/>
              </w:rPr>
              <w:t>SEGDIO15</w:t>
            </w:r>
          </w:p>
        </w:tc>
        <w:tc>
          <w:tcPr>
            <w:tcW w:w="768" w:type="dxa"/>
          </w:tcPr>
          <w:p>
            <w:pPr>
              <w:pStyle w:val="TableParagraph"/>
              <w:spacing w:line="227" w:lineRule="exact" w:before="18"/>
              <w:jc w:val="center"/>
              <w:rPr>
                <w:sz w:val="20"/>
              </w:rPr>
            </w:pPr>
            <w:r>
              <w:rPr>
                <w:sz w:val="20"/>
              </w:rPr>
              <w:t>241F</w:t>
            </w:r>
          </w:p>
        </w:tc>
        <w:tc>
          <w:tcPr>
            <w:tcW w:w="1380" w:type="dxa"/>
            <w:shd w:val="clear" w:color="auto" w:fill="DADADA"/>
          </w:tcPr>
          <w:p>
            <w:pPr>
              <w:pStyle w:val="TableParagraph"/>
              <w:spacing w:before="14"/>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4"/>
              <w:ind w:left="4"/>
              <w:jc w:val="center"/>
              <w:rPr>
                <w:rFonts w:ascii="Times New Roman"/>
                <w:i/>
                <w:sz w:val="20"/>
              </w:rPr>
            </w:pPr>
            <w:r>
              <w:rPr>
                <w:rFonts w:ascii="Times New Roman"/>
                <w:i/>
                <w:w w:val="99"/>
                <w:sz w:val="20"/>
              </w:rPr>
              <w:t>U</w:t>
            </w:r>
          </w:p>
        </w:tc>
        <w:tc>
          <w:tcPr>
            <w:tcW w:w="8284" w:type="dxa"/>
            <w:gridSpan w:val="6"/>
            <w:shd w:val="clear" w:color="auto" w:fill="A8A8A8"/>
          </w:tcPr>
          <w:p>
            <w:pPr>
              <w:pStyle w:val="TableParagraph"/>
              <w:spacing w:before="14"/>
              <w:ind w:left="3107" w:right="3101"/>
              <w:jc w:val="center"/>
              <w:rPr>
                <w:rFonts w:ascii="Times New Roman"/>
                <w:i/>
                <w:sz w:val="20"/>
              </w:rPr>
            </w:pPr>
            <w:r>
              <w:rPr>
                <w:rFonts w:ascii="Times New Roman"/>
                <w:i/>
                <w:sz w:val="20"/>
              </w:rPr>
              <w:t>LCD_SEG15[5:0]</w:t>
            </w:r>
          </w:p>
        </w:tc>
      </w:tr>
      <w:tr>
        <w:trPr>
          <w:trHeight w:val="263" w:hRule="atLeast"/>
        </w:trPr>
        <w:tc>
          <w:tcPr>
            <w:tcW w:w="1145" w:type="dxa"/>
          </w:tcPr>
          <w:p>
            <w:pPr>
              <w:pStyle w:val="TableParagraph"/>
              <w:spacing w:line="227" w:lineRule="exact" w:before="16"/>
              <w:ind w:left="22" w:right="15"/>
              <w:jc w:val="center"/>
              <w:rPr>
                <w:sz w:val="20"/>
              </w:rPr>
            </w:pPr>
            <w:r>
              <w:rPr>
                <w:sz w:val="20"/>
              </w:rPr>
              <w:t>SEGDIO16</w:t>
            </w:r>
          </w:p>
        </w:tc>
        <w:tc>
          <w:tcPr>
            <w:tcW w:w="768" w:type="dxa"/>
          </w:tcPr>
          <w:p>
            <w:pPr>
              <w:pStyle w:val="TableParagraph"/>
              <w:spacing w:line="227" w:lineRule="exact" w:before="16"/>
              <w:ind w:left="4"/>
              <w:jc w:val="center"/>
              <w:rPr>
                <w:sz w:val="20"/>
              </w:rPr>
            </w:pPr>
            <w:r>
              <w:rPr>
                <w:sz w:val="20"/>
              </w:rPr>
              <w:t>2420</w:t>
            </w:r>
          </w:p>
        </w:tc>
        <w:tc>
          <w:tcPr>
            <w:tcW w:w="1380" w:type="dxa"/>
            <w:shd w:val="clear" w:color="auto" w:fill="DADADA"/>
          </w:tcPr>
          <w:p>
            <w:pPr>
              <w:pStyle w:val="TableParagraph"/>
              <w:spacing w:before="12"/>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2"/>
              <w:ind w:left="4"/>
              <w:jc w:val="center"/>
              <w:rPr>
                <w:rFonts w:ascii="Times New Roman"/>
                <w:i/>
                <w:sz w:val="20"/>
              </w:rPr>
            </w:pPr>
            <w:r>
              <w:rPr>
                <w:rFonts w:ascii="Times New Roman"/>
                <w:i/>
                <w:w w:val="99"/>
                <w:sz w:val="20"/>
              </w:rPr>
              <w:t>U</w:t>
            </w:r>
          </w:p>
        </w:tc>
        <w:tc>
          <w:tcPr>
            <w:tcW w:w="8284" w:type="dxa"/>
            <w:gridSpan w:val="6"/>
            <w:shd w:val="clear" w:color="auto" w:fill="A8A8A8"/>
          </w:tcPr>
          <w:p>
            <w:pPr>
              <w:pStyle w:val="TableParagraph"/>
              <w:spacing w:before="12"/>
              <w:ind w:left="3107" w:right="3103"/>
              <w:jc w:val="center"/>
              <w:rPr>
                <w:rFonts w:ascii="Times New Roman"/>
                <w:i/>
                <w:sz w:val="20"/>
              </w:rPr>
            </w:pPr>
            <w:r>
              <w:rPr>
                <w:rFonts w:ascii="Times New Roman"/>
                <w:i/>
                <w:sz w:val="20"/>
              </w:rPr>
              <w:t>LCD_SEGDIO16[5:0]</w:t>
            </w:r>
          </w:p>
        </w:tc>
      </w:tr>
      <w:tr>
        <w:trPr>
          <w:trHeight w:val="263" w:hRule="atLeast"/>
        </w:trPr>
        <w:tc>
          <w:tcPr>
            <w:tcW w:w="1145" w:type="dxa"/>
          </w:tcPr>
          <w:p>
            <w:pPr>
              <w:pStyle w:val="TableParagraph"/>
              <w:spacing w:line="227" w:lineRule="exact" w:before="16"/>
              <w:ind w:left="9"/>
              <w:jc w:val="center"/>
              <w:rPr>
                <w:sz w:val="20"/>
              </w:rPr>
            </w:pPr>
            <w:r>
              <w:rPr>
                <w:w w:val="99"/>
                <w:sz w:val="20"/>
              </w:rPr>
              <w:t>…</w:t>
            </w:r>
          </w:p>
        </w:tc>
        <w:tc>
          <w:tcPr>
            <w:tcW w:w="768" w:type="dxa"/>
          </w:tcPr>
          <w:p>
            <w:pPr>
              <w:pStyle w:val="TableParagraph"/>
              <w:spacing w:line="227" w:lineRule="exact" w:before="16"/>
              <w:ind w:left="6"/>
              <w:jc w:val="center"/>
              <w:rPr>
                <w:sz w:val="20"/>
              </w:rPr>
            </w:pPr>
            <w:r>
              <w:rPr>
                <w:w w:val="99"/>
                <w:sz w:val="20"/>
              </w:rPr>
              <w:t>…</w:t>
            </w:r>
          </w:p>
        </w:tc>
        <w:tc>
          <w:tcPr>
            <w:tcW w:w="1380" w:type="dxa"/>
            <w:shd w:val="clear" w:color="auto" w:fill="DADADA"/>
          </w:tcPr>
          <w:p>
            <w:pPr>
              <w:pStyle w:val="TableParagraph"/>
              <w:spacing w:before="12"/>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2"/>
              <w:ind w:left="4"/>
              <w:jc w:val="center"/>
              <w:rPr>
                <w:rFonts w:ascii="Times New Roman"/>
                <w:i/>
                <w:sz w:val="20"/>
              </w:rPr>
            </w:pPr>
            <w:r>
              <w:rPr>
                <w:rFonts w:ascii="Times New Roman"/>
                <w:i/>
                <w:w w:val="99"/>
                <w:sz w:val="20"/>
              </w:rPr>
              <w:t>U</w:t>
            </w:r>
          </w:p>
        </w:tc>
        <w:tc>
          <w:tcPr>
            <w:tcW w:w="8284" w:type="dxa"/>
            <w:gridSpan w:val="6"/>
            <w:shd w:val="clear" w:color="auto" w:fill="A8A8A8"/>
          </w:tcPr>
          <w:p>
            <w:pPr>
              <w:pStyle w:val="TableParagraph"/>
              <w:spacing w:before="12"/>
              <w:ind w:left="10"/>
              <w:jc w:val="center"/>
              <w:rPr>
                <w:rFonts w:ascii="Times New Roman" w:hAnsi="Times New Roman"/>
                <w:i/>
                <w:sz w:val="20"/>
              </w:rPr>
            </w:pPr>
            <w:r>
              <w:rPr>
                <w:rFonts w:ascii="Times New Roman" w:hAnsi="Times New Roman"/>
                <w:i/>
                <w:w w:val="99"/>
                <w:sz w:val="20"/>
              </w:rPr>
              <w:t>…</w:t>
            </w:r>
          </w:p>
        </w:tc>
      </w:tr>
      <w:tr>
        <w:trPr>
          <w:trHeight w:val="263" w:hRule="atLeast"/>
        </w:trPr>
        <w:tc>
          <w:tcPr>
            <w:tcW w:w="1145" w:type="dxa"/>
          </w:tcPr>
          <w:p>
            <w:pPr>
              <w:pStyle w:val="TableParagraph"/>
              <w:spacing w:line="227" w:lineRule="exact" w:before="16"/>
              <w:ind w:left="21" w:right="15"/>
              <w:jc w:val="center"/>
              <w:rPr>
                <w:sz w:val="20"/>
              </w:rPr>
            </w:pPr>
            <w:r>
              <w:rPr>
                <w:sz w:val="20"/>
              </w:rPr>
              <w:t>SEGDIO45</w:t>
            </w:r>
          </w:p>
        </w:tc>
        <w:tc>
          <w:tcPr>
            <w:tcW w:w="768" w:type="dxa"/>
          </w:tcPr>
          <w:p>
            <w:pPr>
              <w:pStyle w:val="TableParagraph"/>
              <w:spacing w:line="227" w:lineRule="exact" w:before="16"/>
              <w:ind w:left="3"/>
              <w:jc w:val="center"/>
              <w:rPr>
                <w:sz w:val="20"/>
              </w:rPr>
            </w:pPr>
            <w:r>
              <w:rPr>
                <w:sz w:val="20"/>
              </w:rPr>
              <w:t>243D</w:t>
            </w:r>
          </w:p>
        </w:tc>
        <w:tc>
          <w:tcPr>
            <w:tcW w:w="1380" w:type="dxa"/>
            <w:shd w:val="clear" w:color="auto" w:fill="DADADA"/>
          </w:tcPr>
          <w:p>
            <w:pPr>
              <w:pStyle w:val="TableParagraph"/>
              <w:spacing w:before="12"/>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2"/>
              <w:ind w:left="4"/>
              <w:jc w:val="center"/>
              <w:rPr>
                <w:rFonts w:ascii="Times New Roman"/>
                <w:i/>
                <w:sz w:val="20"/>
              </w:rPr>
            </w:pPr>
            <w:r>
              <w:rPr>
                <w:rFonts w:ascii="Times New Roman"/>
                <w:i/>
                <w:w w:val="99"/>
                <w:sz w:val="20"/>
              </w:rPr>
              <w:t>U</w:t>
            </w:r>
          </w:p>
        </w:tc>
        <w:tc>
          <w:tcPr>
            <w:tcW w:w="8284" w:type="dxa"/>
            <w:gridSpan w:val="6"/>
            <w:shd w:val="clear" w:color="auto" w:fill="A8A8A8"/>
          </w:tcPr>
          <w:p>
            <w:pPr>
              <w:pStyle w:val="TableParagraph"/>
              <w:spacing w:before="12"/>
              <w:ind w:left="3107" w:right="3098"/>
              <w:jc w:val="center"/>
              <w:rPr>
                <w:rFonts w:ascii="Times New Roman"/>
                <w:i/>
                <w:sz w:val="20"/>
              </w:rPr>
            </w:pPr>
            <w:r>
              <w:rPr>
                <w:rFonts w:ascii="Times New Roman"/>
                <w:i/>
                <w:sz w:val="20"/>
              </w:rPr>
              <w:t>LCD_SEGDIO45[5:0]</w:t>
            </w:r>
          </w:p>
        </w:tc>
      </w:tr>
      <w:tr>
        <w:trPr>
          <w:trHeight w:val="263" w:hRule="atLeast"/>
        </w:trPr>
        <w:tc>
          <w:tcPr>
            <w:tcW w:w="1145" w:type="dxa"/>
          </w:tcPr>
          <w:p>
            <w:pPr>
              <w:pStyle w:val="TableParagraph"/>
              <w:spacing w:line="227" w:lineRule="exact" w:before="16"/>
              <w:ind w:left="21" w:right="15"/>
              <w:jc w:val="center"/>
              <w:rPr>
                <w:sz w:val="20"/>
              </w:rPr>
            </w:pPr>
            <w:r>
              <w:rPr>
                <w:sz w:val="20"/>
              </w:rPr>
              <w:t>SEGDIO46</w:t>
            </w:r>
          </w:p>
        </w:tc>
        <w:tc>
          <w:tcPr>
            <w:tcW w:w="768" w:type="dxa"/>
          </w:tcPr>
          <w:p>
            <w:pPr>
              <w:pStyle w:val="TableParagraph"/>
              <w:spacing w:line="227" w:lineRule="exact" w:before="16"/>
              <w:ind w:left="5"/>
              <w:jc w:val="center"/>
              <w:rPr>
                <w:sz w:val="20"/>
              </w:rPr>
            </w:pPr>
            <w:r>
              <w:rPr>
                <w:sz w:val="20"/>
              </w:rPr>
              <w:t>243E</w:t>
            </w:r>
          </w:p>
        </w:tc>
        <w:tc>
          <w:tcPr>
            <w:tcW w:w="1380" w:type="dxa"/>
            <w:shd w:val="clear" w:color="auto" w:fill="DADADA"/>
          </w:tcPr>
          <w:p>
            <w:pPr>
              <w:pStyle w:val="TableParagraph"/>
              <w:spacing w:before="12"/>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2"/>
              <w:ind w:left="4"/>
              <w:jc w:val="center"/>
              <w:rPr>
                <w:rFonts w:ascii="Times New Roman"/>
                <w:i/>
                <w:sz w:val="20"/>
              </w:rPr>
            </w:pPr>
            <w:r>
              <w:rPr>
                <w:rFonts w:ascii="Times New Roman"/>
                <w:i/>
                <w:w w:val="99"/>
                <w:sz w:val="20"/>
              </w:rPr>
              <w:t>U</w:t>
            </w:r>
          </w:p>
        </w:tc>
        <w:tc>
          <w:tcPr>
            <w:tcW w:w="8284" w:type="dxa"/>
            <w:gridSpan w:val="6"/>
            <w:shd w:val="clear" w:color="auto" w:fill="A8A8A8"/>
          </w:tcPr>
          <w:p>
            <w:pPr>
              <w:pStyle w:val="TableParagraph"/>
              <w:spacing w:before="12"/>
              <w:ind w:left="3107" w:right="3101"/>
              <w:jc w:val="center"/>
              <w:rPr>
                <w:rFonts w:ascii="Times New Roman"/>
                <w:i/>
                <w:sz w:val="20"/>
              </w:rPr>
            </w:pPr>
            <w:r>
              <w:rPr>
                <w:rFonts w:ascii="Times New Roman"/>
                <w:i/>
                <w:sz w:val="20"/>
              </w:rPr>
              <w:t>LCD_SEG46[5:0]</w:t>
            </w:r>
          </w:p>
        </w:tc>
      </w:tr>
      <w:tr>
        <w:trPr>
          <w:trHeight w:val="263" w:hRule="atLeast"/>
        </w:trPr>
        <w:tc>
          <w:tcPr>
            <w:tcW w:w="1145" w:type="dxa"/>
          </w:tcPr>
          <w:p>
            <w:pPr>
              <w:pStyle w:val="TableParagraph"/>
              <w:spacing w:line="227" w:lineRule="exact" w:before="16"/>
              <w:ind w:left="9"/>
              <w:jc w:val="center"/>
              <w:rPr>
                <w:sz w:val="20"/>
              </w:rPr>
            </w:pPr>
            <w:r>
              <w:rPr>
                <w:w w:val="99"/>
                <w:sz w:val="20"/>
              </w:rPr>
              <w:t>…</w:t>
            </w:r>
          </w:p>
        </w:tc>
        <w:tc>
          <w:tcPr>
            <w:tcW w:w="768" w:type="dxa"/>
          </w:tcPr>
          <w:p>
            <w:pPr>
              <w:pStyle w:val="TableParagraph"/>
              <w:spacing w:line="227" w:lineRule="exact" w:before="16"/>
              <w:ind w:left="6"/>
              <w:jc w:val="center"/>
              <w:rPr>
                <w:sz w:val="20"/>
              </w:rPr>
            </w:pPr>
            <w:r>
              <w:rPr>
                <w:w w:val="99"/>
                <w:sz w:val="20"/>
              </w:rPr>
              <w:t>…</w:t>
            </w:r>
          </w:p>
        </w:tc>
        <w:tc>
          <w:tcPr>
            <w:tcW w:w="1380" w:type="dxa"/>
            <w:shd w:val="clear" w:color="auto" w:fill="DADADA"/>
          </w:tcPr>
          <w:p>
            <w:pPr>
              <w:pStyle w:val="TableParagraph"/>
              <w:spacing w:before="12"/>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2"/>
              <w:ind w:left="4"/>
              <w:jc w:val="center"/>
              <w:rPr>
                <w:rFonts w:ascii="Times New Roman"/>
                <w:i/>
                <w:sz w:val="20"/>
              </w:rPr>
            </w:pPr>
            <w:r>
              <w:rPr>
                <w:rFonts w:ascii="Times New Roman"/>
                <w:i/>
                <w:w w:val="99"/>
                <w:sz w:val="20"/>
              </w:rPr>
              <w:t>U</w:t>
            </w:r>
          </w:p>
        </w:tc>
        <w:tc>
          <w:tcPr>
            <w:tcW w:w="8284" w:type="dxa"/>
            <w:gridSpan w:val="6"/>
            <w:shd w:val="clear" w:color="auto" w:fill="A8A8A8"/>
          </w:tcPr>
          <w:p>
            <w:pPr>
              <w:pStyle w:val="TableParagraph"/>
              <w:spacing w:before="12"/>
              <w:ind w:left="10"/>
              <w:jc w:val="center"/>
              <w:rPr>
                <w:rFonts w:ascii="Times New Roman" w:hAnsi="Times New Roman"/>
                <w:i/>
                <w:sz w:val="20"/>
              </w:rPr>
            </w:pPr>
            <w:r>
              <w:rPr>
                <w:rFonts w:ascii="Times New Roman" w:hAnsi="Times New Roman"/>
                <w:i/>
                <w:w w:val="99"/>
                <w:sz w:val="20"/>
              </w:rPr>
              <w:t>…</w:t>
            </w:r>
          </w:p>
        </w:tc>
      </w:tr>
      <w:tr>
        <w:trPr>
          <w:trHeight w:val="263" w:hRule="atLeast"/>
        </w:trPr>
        <w:tc>
          <w:tcPr>
            <w:tcW w:w="1145" w:type="dxa"/>
          </w:tcPr>
          <w:p>
            <w:pPr>
              <w:pStyle w:val="TableParagraph"/>
              <w:spacing w:line="227" w:lineRule="exact" w:before="16"/>
              <w:ind w:left="21" w:right="15"/>
              <w:jc w:val="center"/>
              <w:rPr>
                <w:sz w:val="20"/>
              </w:rPr>
            </w:pPr>
            <w:r>
              <w:rPr>
                <w:sz w:val="20"/>
              </w:rPr>
              <w:t>SEGDIO50</w:t>
            </w:r>
          </w:p>
        </w:tc>
        <w:tc>
          <w:tcPr>
            <w:tcW w:w="768" w:type="dxa"/>
          </w:tcPr>
          <w:p>
            <w:pPr>
              <w:pStyle w:val="TableParagraph"/>
              <w:spacing w:line="227" w:lineRule="exact" w:before="16"/>
              <w:ind w:left="4"/>
              <w:jc w:val="center"/>
              <w:rPr>
                <w:sz w:val="20"/>
              </w:rPr>
            </w:pPr>
            <w:r>
              <w:rPr>
                <w:sz w:val="20"/>
              </w:rPr>
              <w:t>2442</w:t>
            </w:r>
          </w:p>
        </w:tc>
        <w:tc>
          <w:tcPr>
            <w:tcW w:w="1380" w:type="dxa"/>
            <w:shd w:val="clear" w:color="auto" w:fill="DADADA"/>
          </w:tcPr>
          <w:p>
            <w:pPr>
              <w:pStyle w:val="TableParagraph"/>
              <w:spacing w:before="12"/>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2"/>
              <w:ind w:left="4"/>
              <w:jc w:val="center"/>
              <w:rPr>
                <w:rFonts w:ascii="Times New Roman"/>
                <w:i/>
                <w:sz w:val="20"/>
              </w:rPr>
            </w:pPr>
            <w:r>
              <w:rPr>
                <w:rFonts w:ascii="Times New Roman"/>
                <w:i/>
                <w:w w:val="99"/>
                <w:sz w:val="20"/>
              </w:rPr>
              <w:t>U</w:t>
            </w:r>
          </w:p>
        </w:tc>
        <w:tc>
          <w:tcPr>
            <w:tcW w:w="8284" w:type="dxa"/>
            <w:gridSpan w:val="6"/>
            <w:shd w:val="clear" w:color="auto" w:fill="A8A8A8"/>
          </w:tcPr>
          <w:p>
            <w:pPr>
              <w:pStyle w:val="TableParagraph"/>
              <w:spacing w:before="12"/>
              <w:ind w:left="3107" w:right="3101"/>
              <w:jc w:val="center"/>
              <w:rPr>
                <w:rFonts w:ascii="Times New Roman"/>
                <w:i/>
                <w:sz w:val="20"/>
              </w:rPr>
            </w:pPr>
            <w:r>
              <w:rPr>
                <w:rFonts w:ascii="Times New Roman"/>
                <w:i/>
                <w:sz w:val="20"/>
              </w:rPr>
              <w:t>LCD_SEG50[5:0]</w:t>
            </w:r>
          </w:p>
        </w:tc>
      </w:tr>
      <w:tr>
        <w:trPr>
          <w:trHeight w:val="265" w:hRule="atLeast"/>
        </w:trPr>
        <w:tc>
          <w:tcPr>
            <w:tcW w:w="1145" w:type="dxa"/>
          </w:tcPr>
          <w:p>
            <w:pPr>
              <w:pStyle w:val="TableParagraph"/>
              <w:spacing w:line="227" w:lineRule="exact" w:before="18"/>
              <w:ind w:left="21" w:right="15"/>
              <w:jc w:val="center"/>
              <w:rPr>
                <w:sz w:val="20"/>
              </w:rPr>
            </w:pPr>
            <w:r>
              <w:rPr>
                <w:sz w:val="20"/>
              </w:rPr>
              <w:t>SEGDIO51</w:t>
            </w:r>
          </w:p>
        </w:tc>
        <w:tc>
          <w:tcPr>
            <w:tcW w:w="768" w:type="dxa"/>
          </w:tcPr>
          <w:p>
            <w:pPr>
              <w:pStyle w:val="TableParagraph"/>
              <w:spacing w:line="227" w:lineRule="exact" w:before="18"/>
              <w:ind w:left="4"/>
              <w:jc w:val="center"/>
              <w:rPr>
                <w:sz w:val="20"/>
              </w:rPr>
            </w:pPr>
            <w:r>
              <w:rPr>
                <w:sz w:val="20"/>
              </w:rPr>
              <w:t>2443</w:t>
            </w:r>
          </w:p>
        </w:tc>
        <w:tc>
          <w:tcPr>
            <w:tcW w:w="1380" w:type="dxa"/>
            <w:shd w:val="clear" w:color="auto" w:fill="DADADA"/>
          </w:tcPr>
          <w:p>
            <w:pPr>
              <w:pStyle w:val="TableParagraph"/>
              <w:spacing w:before="14"/>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4"/>
              <w:ind w:left="4"/>
              <w:jc w:val="center"/>
              <w:rPr>
                <w:rFonts w:ascii="Times New Roman"/>
                <w:i/>
                <w:sz w:val="20"/>
              </w:rPr>
            </w:pPr>
            <w:r>
              <w:rPr>
                <w:rFonts w:ascii="Times New Roman"/>
                <w:i/>
                <w:w w:val="99"/>
                <w:sz w:val="20"/>
              </w:rPr>
              <w:t>U</w:t>
            </w:r>
          </w:p>
        </w:tc>
        <w:tc>
          <w:tcPr>
            <w:tcW w:w="8284" w:type="dxa"/>
            <w:gridSpan w:val="6"/>
            <w:shd w:val="clear" w:color="auto" w:fill="A8A8A8"/>
          </w:tcPr>
          <w:p>
            <w:pPr>
              <w:pStyle w:val="TableParagraph"/>
              <w:spacing w:before="14"/>
              <w:ind w:left="3107" w:right="3098"/>
              <w:jc w:val="center"/>
              <w:rPr>
                <w:rFonts w:ascii="Times New Roman"/>
                <w:i/>
                <w:sz w:val="20"/>
              </w:rPr>
            </w:pPr>
            <w:r>
              <w:rPr>
                <w:rFonts w:ascii="Times New Roman"/>
                <w:i/>
                <w:sz w:val="20"/>
              </w:rPr>
              <w:t>LCD_SEGDIO51[5:0]</w:t>
            </w:r>
          </w:p>
        </w:tc>
      </w:tr>
      <w:tr>
        <w:trPr>
          <w:trHeight w:val="263" w:hRule="atLeast"/>
        </w:trPr>
        <w:tc>
          <w:tcPr>
            <w:tcW w:w="1145" w:type="dxa"/>
          </w:tcPr>
          <w:p>
            <w:pPr>
              <w:pStyle w:val="TableParagraph"/>
              <w:spacing w:line="227" w:lineRule="exact" w:before="16"/>
              <w:ind w:left="9"/>
              <w:jc w:val="center"/>
              <w:rPr>
                <w:sz w:val="20"/>
              </w:rPr>
            </w:pPr>
            <w:r>
              <w:rPr>
                <w:w w:val="99"/>
                <w:sz w:val="20"/>
              </w:rPr>
              <w:t>…</w:t>
            </w:r>
          </w:p>
        </w:tc>
        <w:tc>
          <w:tcPr>
            <w:tcW w:w="768" w:type="dxa"/>
          </w:tcPr>
          <w:p>
            <w:pPr>
              <w:pStyle w:val="TableParagraph"/>
              <w:spacing w:line="227" w:lineRule="exact" w:before="16"/>
              <w:ind w:left="6"/>
              <w:jc w:val="center"/>
              <w:rPr>
                <w:sz w:val="20"/>
              </w:rPr>
            </w:pPr>
            <w:r>
              <w:rPr>
                <w:w w:val="99"/>
                <w:sz w:val="20"/>
              </w:rPr>
              <w:t>…</w:t>
            </w:r>
          </w:p>
        </w:tc>
        <w:tc>
          <w:tcPr>
            <w:tcW w:w="1380" w:type="dxa"/>
            <w:shd w:val="clear" w:color="auto" w:fill="DADADA"/>
          </w:tcPr>
          <w:p>
            <w:pPr>
              <w:pStyle w:val="TableParagraph"/>
              <w:spacing w:before="12"/>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2"/>
              <w:ind w:left="4"/>
              <w:jc w:val="center"/>
              <w:rPr>
                <w:rFonts w:ascii="Times New Roman"/>
                <w:i/>
                <w:sz w:val="20"/>
              </w:rPr>
            </w:pPr>
            <w:r>
              <w:rPr>
                <w:rFonts w:ascii="Times New Roman"/>
                <w:i/>
                <w:w w:val="99"/>
                <w:sz w:val="20"/>
              </w:rPr>
              <w:t>U</w:t>
            </w:r>
          </w:p>
        </w:tc>
        <w:tc>
          <w:tcPr>
            <w:tcW w:w="8284" w:type="dxa"/>
            <w:gridSpan w:val="6"/>
            <w:shd w:val="clear" w:color="auto" w:fill="A8A8A8"/>
          </w:tcPr>
          <w:p>
            <w:pPr>
              <w:pStyle w:val="TableParagraph"/>
              <w:spacing w:before="12"/>
              <w:ind w:left="10"/>
              <w:jc w:val="center"/>
              <w:rPr>
                <w:rFonts w:ascii="Times New Roman" w:hAnsi="Times New Roman"/>
                <w:i/>
                <w:sz w:val="20"/>
              </w:rPr>
            </w:pPr>
            <w:r>
              <w:rPr>
                <w:rFonts w:ascii="Times New Roman" w:hAnsi="Times New Roman"/>
                <w:i/>
                <w:w w:val="99"/>
                <w:sz w:val="20"/>
              </w:rPr>
              <w:t>…</w:t>
            </w:r>
          </w:p>
        </w:tc>
      </w:tr>
      <w:tr>
        <w:trPr>
          <w:trHeight w:val="263" w:hRule="atLeast"/>
        </w:trPr>
        <w:tc>
          <w:tcPr>
            <w:tcW w:w="1145" w:type="dxa"/>
          </w:tcPr>
          <w:p>
            <w:pPr>
              <w:pStyle w:val="TableParagraph"/>
              <w:spacing w:line="227" w:lineRule="exact" w:before="16"/>
              <w:ind w:left="22" w:right="15"/>
              <w:jc w:val="center"/>
              <w:rPr>
                <w:sz w:val="20"/>
              </w:rPr>
            </w:pPr>
            <w:r>
              <w:rPr>
                <w:sz w:val="20"/>
              </w:rPr>
              <w:t>SEGDIO55</w:t>
            </w:r>
          </w:p>
        </w:tc>
        <w:tc>
          <w:tcPr>
            <w:tcW w:w="768" w:type="dxa"/>
          </w:tcPr>
          <w:p>
            <w:pPr>
              <w:pStyle w:val="TableParagraph"/>
              <w:spacing w:line="227" w:lineRule="exact" w:before="16"/>
              <w:ind w:left="4"/>
              <w:jc w:val="center"/>
              <w:rPr>
                <w:sz w:val="20"/>
              </w:rPr>
            </w:pPr>
            <w:r>
              <w:rPr>
                <w:sz w:val="20"/>
              </w:rPr>
              <w:t>2447</w:t>
            </w:r>
          </w:p>
        </w:tc>
        <w:tc>
          <w:tcPr>
            <w:tcW w:w="1380" w:type="dxa"/>
            <w:shd w:val="clear" w:color="auto" w:fill="DADADA"/>
          </w:tcPr>
          <w:p>
            <w:pPr>
              <w:pStyle w:val="TableParagraph"/>
              <w:spacing w:before="12"/>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2"/>
              <w:ind w:left="4"/>
              <w:jc w:val="center"/>
              <w:rPr>
                <w:rFonts w:ascii="Times New Roman"/>
                <w:i/>
                <w:sz w:val="20"/>
              </w:rPr>
            </w:pPr>
            <w:r>
              <w:rPr>
                <w:rFonts w:ascii="Times New Roman"/>
                <w:i/>
                <w:w w:val="99"/>
                <w:sz w:val="20"/>
              </w:rPr>
              <w:t>U</w:t>
            </w:r>
          </w:p>
        </w:tc>
        <w:tc>
          <w:tcPr>
            <w:tcW w:w="8284" w:type="dxa"/>
            <w:gridSpan w:val="6"/>
            <w:shd w:val="clear" w:color="auto" w:fill="A8A8A8"/>
          </w:tcPr>
          <w:p>
            <w:pPr>
              <w:pStyle w:val="TableParagraph"/>
              <w:spacing w:before="12"/>
              <w:ind w:left="3107" w:right="3098"/>
              <w:jc w:val="center"/>
              <w:rPr>
                <w:rFonts w:ascii="Times New Roman"/>
                <w:i/>
                <w:sz w:val="20"/>
              </w:rPr>
            </w:pPr>
            <w:r>
              <w:rPr>
                <w:rFonts w:ascii="Times New Roman"/>
                <w:i/>
                <w:sz w:val="20"/>
              </w:rPr>
              <w:t>LCD_SEGDIO55[5:0]</w:t>
            </w:r>
          </w:p>
        </w:tc>
      </w:tr>
      <w:tr>
        <w:trPr>
          <w:trHeight w:val="263" w:hRule="atLeast"/>
        </w:trPr>
        <w:tc>
          <w:tcPr>
            <w:tcW w:w="12959" w:type="dxa"/>
            <w:gridSpan w:val="10"/>
          </w:tcPr>
          <w:p>
            <w:pPr>
              <w:pStyle w:val="TableParagraph"/>
              <w:rPr>
                <w:rFonts w:ascii="Times New Roman"/>
                <w:sz w:val="18"/>
              </w:rPr>
            </w:pPr>
          </w:p>
        </w:tc>
      </w:tr>
      <w:tr>
        <w:trPr>
          <w:trHeight w:val="263" w:hRule="atLeast"/>
        </w:trPr>
        <w:tc>
          <w:tcPr>
            <w:tcW w:w="1145" w:type="dxa"/>
          </w:tcPr>
          <w:p>
            <w:pPr>
              <w:pStyle w:val="TableParagraph"/>
              <w:spacing w:line="227" w:lineRule="exact" w:before="16"/>
              <w:ind w:left="22" w:right="15"/>
              <w:jc w:val="center"/>
              <w:rPr>
                <w:sz w:val="20"/>
              </w:rPr>
            </w:pPr>
            <w:r>
              <w:rPr>
                <w:sz w:val="20"/>
              </w:rPr>
              <w:t>DIO_R5</w:t>
            </w:r>
          </w:p>
        </w:tc>
        <w:tc>
          <w:tcPr>
            <w:tcW w:w="768" w:type="dxa"/>
          </w:tcPr>
          <w:p>
            <w:pPr>
              <w:pStyle w:val="TableParagraph"/>
              <w:spacing w:line="227" w:lineRule="exact" w:before="16"/>
              <w:ind w:left="4"/>
              <w:jc w:val="center"/>
              <w:rPr>
                <w:sz w:val="20"/>
              </w:rPr>
            </w:pPr>
            <w:r>
              <w:rPr>
                <w:sz w:val="20"/>
              </w:rPr>
              <w:t>2450</w:t>
            </w:r>
          </w:p>
        </w:tc>
        <w:tc>
          <w:tcPr>
            <w:tcW w:w="1380" w:type="dxa"/>
            <w:shd w:val="clear" w:color="auto" w:fill="DADADA"/>
          </w:tcPr>
          <w:p>
            <w:pPr>
              <w:pStyle w:val="TableParagraph"/>
              <w:spacing w:before="12"/>
              <w:ind w:left="6"/>
              <w:jc w:val="center"/>
              <w:rPr>
                <w:rFonts w:ascii="Times New Roman"/>
                <w:i/>
                <w:sz w:val="20"/>
              </w:rPr>
            </w:pPr>
            <w:r>
              <w:rPr>
                <w:rFonts w:ascii="Times New Roman"/>
                <w:i/>
                <w:w w:val="99"/>
                <w:sz w:val="20"/>
              </w:rPr>
              <w:t>U</w:t>
            </w:r>
          </w:p>
        </w:tc>
        <w:tc>
          <w:tcPr>
            <w:tcW w:w="1382" w:type="dxa"/>
            <w:shd w:val="clear" w:color="auto" w:fill="A8A8A8"/>
          </w:tcPr>
          <w:p>
            <w:pPr>
              <w:pStyle w:val="TableParagraph"/>
              <w:spacing w:before="12"/>
              <w:ind w:left="6"/>
              <w:jc w:val="center"/>
              <w:rPr>
                <w:rFonts w:ascii="Times New Roman"/>
                <w:i/>
                <w:sz w:val="20"/>
              </w:rPr>
            </w:pPr>
            <w:r>
              <w:rPr>
                <w:rFonts w:ascii="Times New Roman"/>
                <w:i/>
                <w:w w:val="99"/>
                <w:sz w:val="20"/>
              </w:rPr>
              <w:t>R</w:t>
            </w:r>
          </w:p>
        </w:tc>
        <w:tc>
          <w:tcPr>
            <w:tcW w:w="1380" w:type="dxa"/>
            <w:shd w:val="clear" w:color="auto" w:fill="A8A8A8"/>
          </w:tcPr>
          <w:p>
            <w:pPr>
              <w:pStyle w:val="TableParagraph"/>
              <w:spacing w:before="12"/>
              <w:ind w:left="9"/>
              <w:jc w:val="center"/>
              <w:rPr>
                <w:rFonts w:ascii="Times New Roman"/>
                <w:i/>
                <w:sz w:val="20"/>
              </w:rPr>
            </w:pPr>
            <w:r>
              <w:rPr>
                <w:rFonts w:ascii="Times New Roman"/>
                <w:i/>
                <w:w w:val="99"/>
                <w:sz w:val="20"/>
              </w:rPr>
              <w:t>R</w:t>
            </w:r>
          </w:p>
        </w:tc>
        <w:tc>
          <w:tcPr>
            <w:tcW w:w="1380" w:type="dxa"/>
            <w:shd w:val="clear" w:color="auto" w:fill="A8A8A8"/>
          </w:tcPr>
          <w:p>
            <w:pPr>
              <w:pStyle w:val="TableParagraph"/>
              <w:spacing w:before="12"/>
              <w:ind w:left="9"/>
              <w:jc w:val="center"/>
              <w:rPr>
                <w:rFonts w:ascii="Times New Roman"/>
                <w:i/>
                <w:sz w:val="20"/>
              </w:rPr>
            </w:pPr>
            <w:r>
              <w:rPr>
                <w:rFonts w:ascii="Times New Roman"/>
                <w:i/>
                <w:w w:val="99"/>
                <w:sz w:val="20"/>
              </w:rPr>
              <w:t>R</w:t>
            </w:r>
          </w:p>
        </w:tc>
        <w:tc>
          <w:tcPr>
            <w:tcW w:w="1382" w:type="dxa"/>
            <w:shd w:val="clear" w:color="auto" w:fill="DADADA"/>
          </w:tcPr>
          <w:p>
            <w:pPr>
              <w:pStyle w:val="TableParagraph"/>
              <w:spacing w:before="12"/>
              <w:ind w:left="5"/>
              <w:jc w:val="center"/>
              <w:rPr>
                <w:rFonts w:ascii="Times New Roman"/>
                <w:i/>
                <w:sz w:val="20"/>
              </w:rPr>
            </w:pPr>
            <w:r>
              <w:rPr>
                <w:rFonts w:ascii="Times New Roman"/>
                <w:i/>
                <w:w w:val="99"/>
                <w:sz w:val="20"/>
              </w:rPr>
              <w:t>U</w:t>
            </w:r>
          </w:p>
        </w:tc>
        <w:tc>
          <w:tcPr>
            <w:tcW w:w="4142" w:type="dxa"/>
            <w:gridSpan w:val="3"/>
            <w:shd w:val="clear" w:color="auto" w:fill="A8A8A8"/>
          </w:tcPr>
          <w:p>
            <w:pPr>
              <w:pStyle w:val="TableParagraph"/>
              <w:spacing w:before="12"/>
              <w:ind w:left="1404" w:right="1395"/>
              <w:jc w:val="center"/>
              <w:rPr>
                <w:rFonts w:ascii="Times New Roman"/>
                <w:i/>
                <w:sz w:val="20"/>
              </w:rPr>
            </w:pPr>
            <w:r>
              <w:rPr>
                <w:rFonts w:ascii="Times New Roman"/>
                <w:i/>
                <w:sz w:val="20"/>
              </w:rPr>
              <w:t>DIO_RPB[2:0]</w:t>
            </w:r>
          </w:p>
        </w:tc>
      </w:tr>
      <w:tr>
        <w:trPr>
          <w:trHeight w:val="263" w:hRule="atLeast"/>
        </w:trPr>
        <w:tc>
          <w:tcPr>
            <w:tcW w:w="1145" w:type="dxa"/>
          </w:tcPr>
          <w:p>
            <w:pPr>
              <w:pStyle w:val="TableParagraph"/>
              <w:spacing w:line="227" w:lineRule="exact" w:before="16"/>
              <w:ind w:left="22" w:right="15"/>
              <w:jc w:val="center"/>
              <w:rPr>
                <w:sz w:val="20"/>
              </w:rPr>
            </w:pPr>
            <w:r>
              <w:rPr>
                <w:sz w:val="20"/>
              </w:rPr>
              <w:t>DIO_R4</w:t>
            </w:r>
          </w:p>
        </w:tc>
        <w:tc>
          <w:tcPr>
            <w:tcW w:w="768" w:type="dxa"/>
          </w:tcPr>
          <w:p>
            <w:pPr>
              <w:pStyle w:val="TableParagraph"/>
              <w:spacing w:line="227" w:lineRule="exact" w:before="16"/>
              <w:ind w:left="4"/>
              <w:jc w:val="center"/>
              <w:rPr>
                <w:sz w:val="20"/>
              </w:rPr>
            </w:pPr>
            <w:r>
              <w:rPr>
                <w:sz w:val="20"/>
              </w:rPr>
              <w:t>2451</w:t>
            </w:r>
          </w:p>
        </w:tc>
        <w:tc>
          <w:tcPr>
            <w:tcW w:w="1380" w:type="dxa"/>
            <w:shd w:val="clear" w:color="auto" w:fill="DADADA"/>
          </w:tcPr>
          <w:p>
            <w:pPr>
              <w:pStyle w:val="TableParagraph"/>
              <w:spacing w:before="12"/>
              <w:ind w:left="6"/>
              <w:jc w:val="center"/>
              <w:rPr>
                <w:rFonts w:ascii="Times New Roman"/>
                <w:i/>
                <w:sz w:val="20"/>
              </w:rPr>
            </w:pPr>
            <w:r>
              <w:rPr>
                <w:rFonts w:ascii="Times New Roman"/>
                <w:i/>
                <w:w w:val="99"/>
                <w:sz w:val="20"/>
              </w:rPr>
              <w:t>U</w:t>
            </w:r>
          </w:p>
        </w:tc>
        <w:tc>
          <w:tcPr>
            <w:tcW w:w="4142" w:type="dxa"/>
            <w:gridSpan w:val="3"/>
            <w:shd w:val="clear" w:color="auto" w:fill="A8A8A8"/>
          </w:tcPr>
          <w:p>
            <w:pPr>
              <w:pStyle w:val="TableParagraph"/>
              <w:spacing w:before="12"/>
              <w:ind w:left="1404" w:right="1397"/>
              <w:jc w:val="center"/>
              <w:rPr>
                <w:rFonts w:ascii="Times New Roman"/>
                <w:i/>
                <w:sz w:val="20"/>
              </w:rPr>
            </w:pPr>
            <w:r>
              <w:rPr>
                <w:rFonts w:ascii="Times New Roman"/>
                <w:i/>
                <w:sz w:val="20"/>
              </w:rPr>
              <w:t>DIO_R11[2:0]</w:t>
            </w:r>
          </w:p>
        </w:tc>
        <w:tc>
          <w:tcPr>
            <w:tcW w:w="1382" w:type="dxa"/>
            <w:shd w:val="clear" w:color="auto" w:fill="DADADA"/>
          </w:tcPr>
          <w:p>
            <w:pPr>
              <w:pStyle w:val="TableParagraph"/>
              <w:spacing w:before="12"/>
              <w:ind w:left="5"/>
              <w:jc w:val="center"/>
              <w:rPr>
                <w:rFonts w:ascii="Times New Roman"/>
                <w:i/>
                <w:sz w:val="20"/>
              </w:rPr>
            </w:pPr>
            <w:r>
              <w:rPr>
                <w:rFonts w:ascii="Times New Roman"/>
                <w:i/>
                <w:w w:val="99"/>
                <w:sz w:val="20"/>
              </w:rPr>
              <w:t>U</w:t>
            </w:r>
          </w:p>
        </w:tc>
        <w:tc>
          <w:tcPr>
            <w:tcW w:w="4142" w:type="dxa"/>
            <w:gridSpan w:val="3"/>
            <w:shd w:val="clear" w:color="auto" w:fill="A8A8A8"/>
          </w:tcPr>
          <w:p>
            <w:pPr>
              <w:pStyle w:val="TableParagraph"/>
              <w:spacing w:before="12"/>
              <w:ind w:left="1404" w:right="1395"/>
              <w:jc w:val="center"/>
              <w:rPr>
                <w:rFonts w:ascii="Times New Roman"/>
                <w:i/>
                <w:sz w:val="20"/>
              </w:rPr>
            </w:pPr>
            <w:r>
              <w:rPr>
                <w:rFonts w:ascii="Times New Roman"/>
                <w:i/>
                <w:sz w:val="20"/>
              </w:rPr>
              <w:t>DIO_R10[2:0]</w:t>
            </w:r>
          </w:p>
        </w:tc>
      </w:tr>
      <w:tr>
        <w:trPr>
          <w:trHeight w:val="266" w:hRule="atLeast"/>
        </w:trPr>
        <w:tc>
          <w:tcPr>
            <w:tcW w:w="1145" w:type="dxa"/>
          </w:tcPr>
          <w:p>
            <w:pPr>
              <w:pStyle w:val="TableParagraph"/>
              <w:spacing w:line="227" w:lineRule="exact" w:before="18"/>
              <w:ind w:left="22" w:right="15"/>
              <w:jc w:val="center"/>
              <w:rPr>
                <w:sz w:val="20"/>
              </w:rPr>
            </w:pPr>
            <w:r>
              <w:rPr>
                <w:sz w:val="20"/>
              </w:rPr>
              <w:t>DIO_R3</w:t>
            </w:r>
          </w:p>
        </w:tc>
        <w:tc>
          <w:tcPr>
            <w:tcW w:w="768" w:type="dxa"/>
          </w:tcPr>
          <w:p>
            <w:pPr>
              <w:pStyle w:val="TableParagraph"/>
              <w:spacing w:line="227" w:lineRule="exact" w:before="18"/>
              <w:ind w:left="4"/>
              <w:jc w:val="center"/>
              <w:rPr>
                <w:sz w:val="20"/>
              </w:rPr>
            </w:pPr>
            <w:r>
              <w:rPr>
                <w:sz w:val="20"/>
              </w:rPr>
              <w:t>2452</w:t>
            </w:r>
          </w:p>
        </w:tc>
        <w:tc>
          <w:tcPr>
            <w:tcW w:w="1380" w:type="dxa"/>
            <w:shd w:val="clear" w:color="auto" w:fill="DADADA"/>
          </w:tcPr>
          <w:p>
            <w:pPr>
              <w:pStyle w:val="TableParagraph"/>
              <w:spacing w:before="14"/>
              <w:ind w:left="6"/>
              <w:jc w:val="center"/>
              <w:rPr>
                <w:rFonts w:ascii="Times New Roman"/>
                <w:i/>
                <w:sz w:val="20"/>
              </w:rPr>
            </w:pPr>
            <w:r>
              <w:rPr>
                <w:rFonts w:ascii="Times New Roman"/>
                <w:i/>
                <w:w w:val="99"/>
                <w:sz w:val="20"/>
              </w:rPr>
              <w:t>U</w:t>
            </w:r>
          </w:p>
        </w:tc>
        <w:tc>
          <w:tcPr>
            <w:tcW w:w="4142" w:type="dxa"/>
            <w:gridSpan w:val="3"/>
            <w:shd w:val="clear" w:color="auto" w:fill="A8A8A8"/>
          </w:tcPr>
          <w:p>
            <w:pPr>
              <w:pStyle w:val="TableParagraph"/>
              <w:spacing w:before="14"/>
              <w:ind w:left="1404" w:right="1397"/>
              <w:jc w:val="center"/>
              <w:rPr>
                <w:rFonts w:ascii="Times New Roman"/>
                <w:i/>
                <w:sz w:val="20"/>
              </w:rPr>
            </w:pPr>
            <w:r>
              <w:rPr>
                <w:rFonts w:ascii="Times New Roman"/>
                <w:i/>
                <w:sz w:val="20"/>
              </w:rPr>
              <w:t>DIO_R9[2:0]</w:t>
            </w:r>
          </w:p>
        </w:tc>
        <w:tc>
          <w:tcPr>
            <w:tcW w:w="1382" w:type="dxa"/>
            <w:shd w:val="clear" w:color="auto" w:fill="DADADA"/>
          </w:tcPr>
          <w:p>
            <w:pPr>
              <w:pStyle w:val="TableParagraph"/>
              <w:spacing w:before="14"/>
              <w:ind w:left="5"/>
              <w:jc w:val="center"/>
              <w:rPr>
                <w:rFonts w:ascii="Times New Roman"/>
                <w:i/>
                <w:sz w:val="20"/>
              </w:rPr>
            </w:pPr>
            <w:r>
              <w:rPr>
                <w:rFonts w:ascii="Times New Roman"/>
                <w:i/>
                <w:w w:val="99"/>
                <w:sz w:val="20"/>
              </w:rPr>
              <w:t>U</w:t>
            </w:r>
          </w:p>
        </w:tc>
        <w:tc>
          <w:tcPr>
            <w:tcW w:w="4142" w:type="dxa"/>
            <w:gridSpan w:val="3"/>
            <w:shd w:val="clear" w:color="auto" w:fill="A8A8A8"/>
          </w:tcPr>
          <w:p>
            <w:pPr>
              <w:pStyle w:val="TableParagraph"/>
              <w:spacing w:before="14"/>
              <w:ind w:left="1404" w:right="1395"/>
              <w:jc w:val="center"/>
              <w:rPr>
                <w:rFonts w:ascii="Times New Roman"/>
                <w:i/>
                <w:sz w:val="20"/>
              </w:rPr>
            </w:pPr>
            <w:r>
              <w:rPr>
                <w:rFonts w:ascii="Times New Roman"/>
                <w:i/>
                <w:sz w:val="20"/>
              </w:rPr>
              <w:t>DIO_R8[2:0]</w:t>
            </w:r>
          </w:p>
        </w:tc>
      </w:tr>
      <w:tr>
        <w:trPr>
          <w:trHeight w:val="263" w:hRule="atLeast"/>
        </w:trPr>
        <w:tc>
          <w:tcPr>
            <w:tcW w:w="1145" w:type="dxa"/>
          </w:tcPr>
          <w:p>
            <w:pPr>
              <w:pStyle w:val="TableParagraph"/>
              <w:spacing w:line="227" w:lineRule="exact" w:before="16"/>
              <w:ind w:left="22" w:right="15"/>
              <w:jc w:val="center"/>
              <w:rPr>
                <w:sz w:val="20"/>
              </w:rPr>
            </w:pPr>
            <w:r>
              <w:rPr>
                <w:sz w:val="20"/>
              </w:rPr>
              <w:t>DIO_R2</w:t>
            </w:r>
          </w:p>
        </w:tc>
        <w:tc>
          <w:tcPr>
            <w:tcW w:w="768" w:type="dxa"/>
          </w:tcPr>
          <w:p>
            <w:pPr>
              <w:pStyle w:val="TableParagraph"/>
              <w:spacing w:line="227" w:lineRule="exact" w:before="16"/>
              <w:ind w:left="4"/>
              <w:jc w:val="center"/>
              <w:rPr>
                <w:sz w:val="20"/>
              </w:rPr>
            </w:pPr>
            <w:r>
              <w:rPr>
                <w:sz w:val="20"/>
              </w:rPr>
              <w:t>2453</w:t>
            </w:r>
          </w:p>
        </w:tc>
        <w:tc>
          <w:tcPr>
            <w:tcW w:w="1380" w:type="dxa"/>
            <w:shd w:val="clear" w:color="auto" w:fill="DADADA"/>
          </w:tcPr>
          <w:p>
            <w:pPr>
              <w:pStyle w:val="TableParagraph"/>
              <w:spacing w:before="12"/>
              <w:ind w:left="6"/>
              <w:jc w:val="center"/>
              <w:rPr>
                <w:rFonts w:ascii="Times New Roman"/>
                <w:i/>
                <w:sz w:val="20"/>
              </w:rPr>
            </w:pPr>
            <w:r>
              <w:rPr>
                <w:rFonts w:ascii="Times New Roman"/>
                <w:i/>
                <w:w w:val="99"/>
                <w:sz w:val="20"/>
              </w:rPr>
              <w:t>U</w:t>
            </w:r>
          </w:p>
        </w:tc>
        <w:tc>
          <w:tcPr>
            <w:tcW w:w="4142" w:type="dxa"/>
            <w:gridSpan w:val="3"/>
            <w:shd w:val="clear" w:color="auto" w:fill="A8A8A8"/>
          </w:tcPr>
          <w:p>
            <w:pPr>
              <w:pStyle w:val="TableParagraph"/>
              <w:spacing w:before="12"/>
              <w:ind w:left="1404" w:right="1397"/>
              <w:jc w:val="center"/>
              <w:rPr>
                <w:rFonts w:ascii="Times New Roman"/>
                <w:i/>
                <w:sz w:val="20"/>
              </w:rPr>
            </w:pPr>
            <w:r>
              <w:rPr>
                <w:rFonts w:ascii="Times New Roman"/>
                <w:i/>
                <w:sz w:val="20"/>
              </w:rPr>
              <w:t>DIO_R7[2:0]</w:t>
            </w:r>
          </w:p>
        </w:tc>
        <w:tc>
          <w:tcPr>
            <w:tcW w:w="1382" w:type="dxa"/>
            <w:shd w:val="clear" w:color="auto" w:fill="DADADA"/>
          </w:tcPr>
          <w:p>
            <w:pPr>
              <w:pStyle w:val="TableParagraph"/>
              <w:spacing w:before="12"/>
              <w:ind w:left="5"/>
              <w:jc w:val="center"/>
              <w:rPr>
                <w:rFonts w:ascii="Times New Roman"/>
                <w:i/>
                <w:sz w:val="20"/>
              </w:rPr>
            </w:pPr>
            <w:r>
              <w:rPr>
                <w:rFonts w:ascii="Times New Roman"/>
                <w:i/>
                <w:w w:val="99"/>
                <w:sz w:val="20"/>
              </w:rPr>
              <w:t>U</w:t>
            </w:r>
          </w:p>
        </w:tc>
        <w:tc>
          <w:tcPr>
            <w:tcW w:w="4142" w:type="dxa"/>
            <w:gridSpan w:val="3"/>
            <w:shd w:val="clear" w:color="auto" w:fill="A8A8A8"/>
          </w:tcPr>
          <w:p>
            <w:pPr>
              <w:pStyle w:val="TableParagraph"/>
              <w:spacing w:before="12"/>
              <w:ind w:left="1404" w:right="1395"/>
              <w:jc w:val="center"/>
              <w:rPr>
                <w:rFonts w:ascii="Times New Roman"/>
                <w:i/>
                <w:sz w:val="20"/>
              </w:rPr>
            </w:pPr>
            <w:r>
              <w:rPr>
                <w:rFonts w:ascii="Times New Roman"/>
                <w:i/>
                <w:sz w:val="20"/>
              </w:rPr>
              <w:t>DIO_R6[2:0]</w:t>
            </w:r>
          </w:p>
        </w:tc>
      </w:tr>
      <w:tr>
        <w:trPr>
          <w:trHeight w:val="263" w:hRule="atLeast"/>
        </w:trPr>
        <w:tc>
          <w:tcPr>
            <w:tcW w:w="1145" w:type="dxa"/>
          </w:tcPr>
          <w:p>
            <w:pPr>
              <w:pStyle w:val="TableParagraph"/>
              <w:spacing w:line="227" w:lineRule="exact" w:before="16"/>
              <w:ind w:left="22" w:right="15"/>
              <w:jc w:val="center"/>
              <w:rPr>
                <w:sz w:val="20"/>
              </w:rPr>
            </w:pPr>
            <w:r>
              <w:rPr>
                <w:sz w:val="20"/>
              </w:rPr>
              <w:t>DIO_R1</w:t>
            </w:r>
          </w:p>
        </w:tc>
        <w:tc>
          <w:tcPr>
            <w:tcW w:w="768" w:type="dxa"/>
          </w:tcPr>
          <w:p>
            <w:pPr>
              <w:pStyle w:val="TableParagraph"/>
              <w:spacing w:line="227" w:lineRule="exact" w:before="16"/>
              <w:ind w:left="4"/>
              <w:jc w:val="center"/>
              <w:rPr>
                <w:sz w:val="20"/>
              </w:rPr>
            </w:pPr>
            <w:r>
              <w:rPr>
                <w:sz w:val="20"/>
              </w:rPr>
              <w:t>2454</w:t>
            </w:r>
          </w:p>
        </w:tc>
        <w:tc>
          <w:tcPr>
            <w:tcW w:w="1380" w:type="dxa"/>
            <w:shd w:val="clear" w:color="auto" w:fill="DADADA"/>
          </w:tcPr>
          <w:p>
            <w:pPr>
              <w:pStyle w:val="TableParagraph"/>
              <w:spacing w:before="12"/>
              <w:ind w:left="6"/>
              <w:jc w:val="center"/>
              <w:rPr>
                <w:rFonts w:ascii="Times New Roman"/>
                <w:i/>
                <w:sz w:val="20"/>
              </w:rPr>
            </w:pPr>
            <w:r>
              <w:rPr>
                <w:rFonts w:ascii="Times New Roman"/>
                <w:i/>
                <w:w w:val="99"/>
                <w:sz w:val="20"/>
              </w:rPr>
              <w:t>U</w:t>
            </w:r>
          </w:p>
        </w:tc>
        <w:tc>
          <w:tcPr>
            <w:tcW w:w="4142" w:type="dxa"/>
            <w:gridSpan w:val="3"/>
            <w:shd w:val="clear" w:color="auto" w:fill="A8A8A8"/>
          </w:tcPr>
          <w:p>
            <w:pPr>
              <w:pStyle w:val="TableParagraph"/>
              <w:spacing w:before="12"/>
              <w:ind w:left="1404" w:right="1397"/>
              <w:jc w:val="center"/>
              <w:rPr>
                <w:rFonts w:ascii="Times New Roman"/>
                <w:i/>
                <w:sz w:val="20"/>
              </w:rPr>
            </w:pPr>
            <w:r>
              <w:rPr>
                <w:rFonts w:ascii="Times New Roman"/>
                <w:i/>
                <w:sz w:val="20"/>
              </w:rPr>
              <w:t>DIO_R5[2:0]</w:t>
            </w:r>
          </w:p>
        </w:tc>
        <w:tc>
          <w:tcPr>
            <w:tcW w:w="1382" w:type="dxa"/>
            <w:shd w:val="clear" w:color="auto" w:fill="DADADA"/>
          </w:tcPr>
          <w:p>
            <w:pPr>
              <w:pStyle w:val="TableParagraph"/>
              <w:spacing w:before="12"/>
              <w:ind w:left="5"/>
              <w:jc w:val="center"/>
              <w:rPr>
                <w:rFonts w:ascii="Times New Roman"/>
                <w:i/>
                <w:sz w:val="20"/>
              </w:rPr>
            </w:pPr>
            <w:r>
              <w:rPr>
                <w:rFonts w:ascii="Times New Roman"/>
                <w:i/>
                <w:w w:val="99"/>
                <w:sz w:val="20"/>
              </w:rPr>
              <w:t>U</w:t>
            </w:r>
          </w:p>
        </w:tc>
        <w:tc>
          <w:tcPr>
            <w:tcW w:w="4142" w:type="dxa"/>
            <w:gridSpan w:val="3"/>
            <w:shd w:val="clear" w:color="auto" w:fill="A8A8A8"/>
          </w:tcPr>
          <w:p>
            <w:pPr>
              <w:pStyle w:val="TableParagraph"/>
              <w:spacing w:before="12"/>
              <w:ind w:left="1404" w:right="1395"/>
              <w:jc w:val="center"/>
              <w:rPr>
                <w:rFonts w:ascii="Times New Roman"/>
                <w:i/>
                <w:sz w:val="20"/>
              </w:rPr>
            </w:pPr>
            <w:r>
              <w:rPr>
                <w:rFonts w:ascii="Times New Roman"/>
                <w:i/>
                <w:sz w:val="20"/>
              </w:rPr>
              <w:t>DIO_R4[2:0]</w:t>
            </w:r>
          </w:p>
        </w:tc>
      </w:tr>
      <w:tr>
        <w:trPr>
          <w:trHeight w:val="263" w:hRule="atLeast"/>
        </w:trPr>
        <w:tc>
          <w:tcPr>
            <w:tcW w:w="1145" w:type="dxa"/>
          </w:tcPr>
          <w:p>
            <w:pPr>
              <w:pStyle w:val="TableParagraph"/>
              <w:spacing w:line="227" w:lineRule="exact" w:before="16"/>
              <w:ind w:left="22" w:right="15"/>
              <w:jc w:val="center"/>
              <w:rPr>
                <w:sz w:val="20"/>
              </w:rPr>
            </w:pPr>
            <w:r>
              <w:rPr>
                <w:sz w:val="20"/>
              </w:rPr>
              <w:t>DIO_R0</w:t>
            </w:r>
          </w:p>
        </w:tc>
        <w:tc>
          <w:tcPr>
            <w:tcW w:w="768" w:type="dxa"/>
          </w:tcPr>
          <w:p>
            <w:pPr>
              <w:pStyle w:val="TableParagraph"/>
              <w:spacing w:line="227" w:lineRule="exact" w:before="16"/>
              <w:ind w:left="4"/>
              <w:jc w:val="center"/>
              <w:rPr>
                <w:sz w:val="20"/>
              </w:rPr>
            </w:pPr>
            <w:r>
              <w:rPr>
                <w:sz w:val="20"/>
              </w:rPr>
              <w:t>2455</w:t>
            </w:r>
          </w:p>
        </w:tc>
        <w:tc>
          <w:tcPr>
            <w:tcW w:w="1380" w:type="dxa"/>
            <w:shd w:val="clear" w:color="auto" w:fill="DADADA"/>
          </w:tcPr>
          <w:p>
            <w:pPr>
              <w:pStyle w:val="TableParagraph"/>
              <w:spacing w:before="12"/>
              <w:ind w:left="6"/>
              <w:jc w:val="center"/>
              <w:rPr>
                <w:rFonts w:ascii="Times New Roman"/>
                <w:i/>
                <w:sz w:val="20"/>
              </w:rPr>
            </w:pPr>
            <w:r>
              <w:rPr>
                <w:rFonts w:ascii="Times New Roman"/>
                <w:i/>
                <w:w w:val="99"/>
                <w:sz w:val="20"/>
              </w:rPr>
              <w:t>U</w:t>
            </w:r>
          </w:p>
        </w:tc>
        <w:tc>
          <w:tcPr>
            <w:tcW w:w="4142" w:type="dxa"/>
            <w:gridSpan w:val="3"/>
            <w:shd w:val="clear" w:color="auto" w:fill="A8A8A8"/>
          </w:tcPr>
          <w:p>
            <w:pPr>
              <w:pStyle w:val="TableParagraph"/>
              <w:spacing w:before="12"/>
              <w:ind w:left="1404" w:right="1397"/>
              <w:jc w:val="center"/>
              <w:rPr>
                <w:rFonts w:ascii="Times New Roman"/>
                <w:i/>
                <w:sz w:val="20"/>
              </w:rPr>
            </w:pPr>
            <w:r>
              <w:rPr>
                <w:rFonts w:ascii="Times New Roman"/>
                <w:i/>
                <w:sz w:val="20"/>
              </w:rPr>
              <w:t>DIO_R3[2:0]</w:t>
            </w:r>
          </w:p>
        </w:tc>
        <w:tc>
          <w:tcPr>
            <w:tcW w:w="1382" w:type="dxa"/>
            <w:shd w:val="clear" w:color="auto" w:fill="DADADA"/>
          </w:tcPr>
          <w:p>
            <w:pPr>
              <w:pStyle w:val="TableParagraph"/>
              <w:spacing w:before="12"/>
              <w:ind w:left="5"/>
              <w:jc w:val="center"/>
              <w:rPr>
                <w:rFonts w:ascii="Times New Roman"/>
                <w:i/>
                <w:sz w:val="20"/>
              </w:rPr>
            </w:pPr>
            <w:r>
              <w:rPr>
                <w:rFonts w:ascii="Times New Roman"/>
                <w:i/>
                <w:w w:val="99"/>
                <w:sz w:val="20"/>
              </w:rPr>
              <w:t>U</w:t>
            </w:r>
          </w:p>
        </w:tc>
        <w:tc>
          <w:tcPr>
            <w:tcW w:w="4142" w:type="dxa"/>
            <w:gridSpan w:val="3"/>
            <w:shd w:val="clear" w:color="auto" w:fill="A8A8A8"/>
          </w:tcPr>
          <w:p>
            <w:pPr>
              <w:pStyle w:val="TableParagraph"/>
              <w:spacing w:before="12"/>
              <w:ind w:left="1404" w:right="1395"/>
              <w:jc w:val="center"/>
              <w:rPr>
                <w:rFonts w:ascii="Times New Roman"/>
                <w:i/>
                <w:sz w:val="20"/>
              </w:rPr>
            </w:pPr>
            <w:r>
              <w:rPr>
                <w:rFonts w:ascii="Times New Roman"/>
                <w:i/>
                <w:sz w:val="20"/>
              </w:rPr>
              <w:t>DIO_R2[2:0]</w:t>
            </w:r>
          </w:p>
        </w:tc>
      </w:tr>
      <w:tr>
        <w:trPr>
          <w:trHeight w:val="263" w:hRule="atLeast"/>
        </w:trPr>
        <w:tc>
          <w:tcPr>
            <w:tcW w:w="1145" w:type="dxa"/>
          </w:tcPr>
          <w:p>
            <w:pPr>
              <w:pStyle w:val="TableParagraph"/>
              <w:spacing w:line="227" w:lineRule="exact" w:before="16"/>
              <w:ind w:left="22" w:right="15"/>
              <w:jc w:val="center"/>
              <w:rPr>
                <w:sz w:val="20"/>
              </w:rPr>
            </w:pPr>
            <w:r>
              <w:rPr>
                <w:sz w:val="20"/>
              </w:rPr>
              <w:t>DIO0</w:t>
            </w:r>
          </w:p>
        </w:tc>
        <w:tc>
          <w:tcPr>
            <w:tcW w:w="768" w:type="dxa"/>
          </w:tcPr>
          <w:p>
            <w:pPr>
              <w:pStyle w:val="TableParagraph"/>
              <w:spacing w:line="227" w:lineRule="exact" w:before="16"/>
              <w:ind w:left="4"/>
              <w:jc w:val="center"/>
              <w:rPr>
                <w:sz w:val="20"/>
              </w:rPr>
            </w:pPr>
            <w:r>
              <w:rPr>
                <w:sz w:val="20"/>
              </w:rPr>
              <w:t>2456</w:t>
            </w:r>
          </w:p>
        </w:tc>
        <w:tc>
          <w:tcPr>
            <w:tcW w:w="2762" w:type="dxa"/>
            <w:gridSpan w:val="2"/>
            <w:shd w:val="clear" w:color="auto" w:fill="A8A8A8"/>
          </w:tcPr>
          <w:p>
            <w:pPr>
              <w:pStyle w:val="TableParagraph"/>
              <w:spacing w:before="12"/>
              <w:ind w:left="758"/>
              <w:rPr>
                <w:rFonts w:ascii="Times New Roman"/>
                <w:i/>
                <w:sz w:val="20"/>
              </w:rPr>
            </w:pPr>
            <w:r>
              <w:rPr>
                <w:rFonts w:ascii="Times New Roman"/>
                <w:i/>
                <w:sz w:val="20"/>
              </w:rPr>
              <w:t>DIO_EEX[1:0]</w:t>
            </w:r>
          </w:p>
        </w:tc>
        <w:tc>
          <w:tcPr>
            <w:tcW w:w="1380" w:type="dxa"/>
            <w:shd w:val="clear" w:color="auto" w:fill="DADADA"/>
          </w:tcPr>
          <w:p>
            <w:pPr>
              <w:pStyle w:val="TableParagraph"/>
              <w:spacing w:before="12"/>
              <w:ind w:left="7"/>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2"/>
              <w:ind w:left="7"/>
              <w:jc w:val="center"/>
              <w:rPr>
                <w:rFonts w:ascii="Times New Roman"/>
                <w:i/>
                <w:sz w:val="20"/>
              </w:rPr>
            </w:pPr>
            <w:r>
              <w:rPr>
                <w:rFonts w:ascii="Times New Roman"/>
                <w:i/>
                <w:w w:val="99"/>
                <w:sz w:val="20"/>
              </w:rPr>
              <w:t>U</w:t>
            </w:r>
          </w:p>
        </w:tc>
        <w:tc>
          <w:tcPr>
            <w:tcW w:w="2824" w:type="dxa"/>
            <w:gridSpan w:val="2"/>
            <w:shd w:val="clear" w:color="auto" w:fill="A8A8A8"/>
          </w:tcPr>
          <w:p>
            <w:pPr>
              <w:pStyle w:val="TableParagraph"/>
              <w:spacing w:before="12"/>
              <w:ind w:left="782"/>
              <w:rPr>
                <w:rFonts w:ascii="Times New Roman"/>
                <w:i/>
                <w:sz w:val="20"/>
              </w:rPr>
            </w:pPr>
            <w:r>
              <w:rPr>
                <w:rFonts w:ascii="Times New Roman"/>
                <w:i/>
                <w:sz w:val="20"/>
              </w:rPr>
              <w:t>OPT_TXE[1:0]</w:t>
            </w:r>
          </w:p>
        </w:tc>
        <w:tc>
          <w:tcPr>
            <w:tcW w:w="1320" w:type="dxa"/>
            <w:shd w:val="clear" w:color="auto" w:fill="A8A8A8"/>
          </w:tcPr>
          <w:p>
            <w:pPr>
              <w:pStyle w:val="TableParagraph"/>
              <w:spacing w:before="12"/>
              <w:ind w:left="53" w:right="50"/>
              <w:jc w:val="center"/>
              <w:rPr>
                <w:rFonts w:ascii="Times New Roman"/>
                <w:i/>
                <w:sz w:val="20"/>
              </w:rPr>
            </w:pPr>
            <w:r>
              <w:rPr>
                <w:rFonts w:ascii="Times New Roman"/>
                <w:i/>
                <w:sz w:val="20"/>
              </w:rPr>
              <w:t>OPT_TXMOD</w:t>
            </w:r>
          </w:p>
        </w:tc>
        <w:tc>
          <w:tcPr>
            <w:tcW w:w="1380" w:type="dxa"/>
            <w:shd w:val="clear" w:color="auto" w:fill="A8A8A8"/>
          </w:tcPr>
          <w:p>
            <w:pPr>
              <w:pStyle w:val="TableParagraph"/>
              <w:spacing w:before="12"/>
              <w:ind w:left="87" w:right="79"/>
              <w:jc w:val="center"/>
              <w:rPr>
                <w:rFonts w:ascii="Times New Roman"/>
                <w:i/>
                <w:sz w:val="20"/>
              </w:rPr>
            </w:pPr>
            <w:r>
              <w:rPr>
                <w:rFonts w:ascii="Times New Roman"/>
                <w:i/>
                <w:sz w:val="20"/>
              </w:rPr>
              <w:t>OPT_TXINV</w:t>
            </w:r>
          </w:p>
        </w:tc>
      </w:tr>
      <w:tr>
        <w:trPr>
          <w:trHeight w:val="263" w:hRule="atLeast"/>
        </w:trPr>
        <w:tc>
          <w:tcPr>
            <w:tcW w:w="1145" w:type="dxa"/>
          </w:tcPr>
          <w:p>
            <w:pPr>
              <w:pStyle w:val="TableParagraph"/>
              <w:spacing w:line="227" w:lineRule="exact" w:before="16"/>
              <w:ind w:left="22" w:right="15"/>
              <w:jc w:val="center"/>
              <w:rPr>
                <w:sz w:val="20"/>
              </w:rPr>
            </w:pPr>
            <w:r>
              <w:rPr>
                <w:sz w:val="20"/>
              </w:rPr>
              <w:t>DIO1</w:t>
            </w:r>
          </w:p>
        </w:tc>
        <w:tc>
          <w:tcPr>
            <w:tcW w:w="768" w:type="dxa"/>
          </w:tcPr>
          <w:p>
            <w:pPr>
              <w:pStyle w:val="TableParagraph"/>
              <w:spacing w:line="227" w:lineRule="exact" w:before="16"/>
              <w:ind w:left="4"/>
              <w:jc w:val="center"/>
              <w:rPr>
                <w:sz w:val="20"/>
              </w:rPr>
            </w:pPr>
            <w:r>
              <w:rPr>
                <w:sz w:val="20"/>
              </w:rPr>
              <w:t>2457</w:t>
            </w:r>
          </w:p>
        </w:tc>
        <w:tc>
          <w:tcPr>
            <w:tcW w:w="1380" w:type="dxa"/>
            <w:shd w:val="clear" w:color="auto" w:fill="A8A8A8"/>
          </w:tcPr>
          <w:p>
            <w:pPr>
              <w:pStyle w:val="TableParagraph"/>
              <w:spacing w:before="12"/>
              <w:ind w:left="87" w:right="81"/>
              <w:jc w:val="center"/>
              <w:rPr>
                <w:rFonts w:ascii="Times New Roman"/>
                <w:i/>
                <w:sz w:val="20"/>
              </w:rPr>
            </w:pPr>
            <w:r>
              <w:rPr>
                <w:rFonts w:ascii="Times New Roman"/>
                <w:i/>
                <w:sz w:val="20"/>
              </w:rPr>
              <w:t>DIO_PW</w:t>
            </w:r>
          </w:p>
        </w:tc>
        <w:tc>
          <w:tcPr>
            <w:tcW w:w="1382" w:type="dxa"/>
            <w:shd w:val="clear" w:color="auto" w:fill="A8A8A8"/>
          </w:tcPr>
          <w:p>
            <w:pPr>
              <w:pStyle w:val="TableParagraph"/>
              <w:spacing w:before="12"/>
              <w:ind w:left="71" w:right="68"/>
              <w:jc w:val="center"/>
              <w:rPr>
                <w:rFonts w:ascii="Times New Roman"/>
                <w:i/>
                <w:sz w:val="20"/>
              </w:rPr>
            </w:pPr>
            <w:r>
              <w:rPr>
                <w:rFonts w:ascii="Times New Roman"/>
                <w:i/>
                <w:sz w:val="20"/>
              </w:rPr>
              <w:t>DIO_PV</w:t>
            </w:r>
          </w:p>
        </w:tc>
        <w:tc>
          <w:tcPr>
            <w:tcW w:w="2760" w:type="dxa"/>
            <w:gridSpan w:val="2"/>
            <w:shd w:val="clear" w:color="auto" w:fill="A8A8A8"/>
          </w:tcPr>
          <w:p>
            <w:pPr>
              <w:pStyle w:val="TableParagraph"/>
              <w:spacing w:before="12"/>
              <w:ind w:left="729"/>
              <w:rPr>
                <w:rFonts w:ascii="Times New Roman"/>
                <w:i/>
                <w:sz w:val="20"/>
              </w:rPr>
            </w:pPr>
            <w:r>
              <w:rPr>
                <w:rFonts w:ascii="Times New Roman"/>
                <w:i/>
                <w:sz w:val="20"/>
              </w:rPr>
              <w:t>OPT_FDC[1:0]</w:t>
            </w:r>
          </w:p>
        </w:tc>
        <w:tc>
          <w:tcPr>
            <w:tcW w:w="1382" w:type="dxa"/>
            <w:shd w:val="clear" w:color="auto" w:fill="DADADA"/>
          </w:tcPr>
          <w:p>
            <w:pPr>
              <w:pStyle w:val="TableParagraph"/>
              <w:spacing w:before="12"/>
              <w:ind w:left="5"/>
              <w:jc w:val="center"/>
              <w:rPr>
                <w:rFonts w:ascii="Times New Roman"/>
                <w:i/>
                <w:sz w:val="20"/>
              </w:rPr>
            </w:pPr>
            <w:r>
              <w:rPr>
                <w:rFonts w:ascii="Times New Roman"/>
                <w:i/>
                <w:w w:val="99"/>
                <w:sz w:val="20"/>
              </w:rPr>
              <w:t>U</w:t>
            </w:r>
          </w:p>
        </w:tc>
        <w:tc>
          <w:tcPr>
            <w:tcW w:w="1442" w:type="dxa"/>
            <w:shd w:val="clear" w:color="auto" w:fill="A8A8A8"/>
          </w:tcPr>
          <w:p>
            <w:pPr>
              <w:pStyle w:val="TableParagraph"/>
              <w:spacing w:before="12"/>
              <w:ind w:left="98" w:right="88"/>
              <w:jc w:val="center"/>
              <w:rPr>
                <w:rFonts w:ascii="Times New Roman"/>
                <w:i/>
                <w:sz w:val="20"/>
              </w:rPr>
            </w:pPr>
            <w:r>
              <w:rPr>
                <w:rFonts w:ascii="Times New Roman"/>
                <w:i/>
                <w:sz w:val="20"/>
              </w:rPr>
              <w:t>OPT_RXDIS</w:t>
            </w:r>
          </w:p>
        </w:tc>
        <w:tc>
          <w:tcPr>
            <w:tcW w:w="1320" w:type="dxa"/>
            <w:shd w:val="clear" w:color="auto" w:fill="A8A8A8"/>
          </w:tcPr>
          <w:p>
            <w:pPr>
              <w:pStyle w:val="TableParagraph"/>
              <w:spacing w:before="12"/>
              <w:ind w:left="53" w:right="45"/>
              <w:jc w:val="center"/>
              <w:rPr>
                <w:rFonts w:ascii="Times New Roman"/>
                <w:i/>
                <w:sz w:val="20"/>
              </w:rPr>
            </w:pPr>
            <w:r>
              <w:rPr>
                <w:rFonts w:ascii="Times New Roman"/>
                <w:i/>
                <w:sz w:val="20"/>
              </w:rPr>
              <w:t>OPT_RXINV</w:t>
            </w:r>
          </w:p>
        </w:tc>
        <w:tc>
          <w:tcPr>
            <w:tcW w:w="1380" w:type="dxa"/>
            <w:shd w:val="clear" w:color="auto" w:fill="A8A8A8"/>
          </w:tcPr>
          <w:p>
            <w:pPr>
              <w:pStyle w:val="TableParagraph"/>
              <w:spacing w:before="12"/>
              <w:ind w:left="87" w:right="77"/>
              <w:jc w:val="center"/>
              <w:rPr>
                <w:rFonts w:ascii="Times New Roman"/>
                <w:i/>
                <w:sz w:val="20"/>
              </w:rPr>
            </w:pPr>
            <w:r>
              <w:rPr>
                <w:rFonts w:ascii="Times New Roman"/>
                <w:i/>
                <w:sz w:val="20"/>
              </w:rPr>
              <w:t>OPT_BB</w:t>
            </w:r>
          </w:p>
        </w:tc>
      </w:tr>
      <w:tr>
        <w:trPr>
          <w:trHeight w:val="265" w:hRule="atLeast"/>
        </w:trPr>
        <w:tc>
          <w:tcPr>
            <w:tcW w:w="1145" w:type="dxa"/>
          </w:tcPr>
          <w:p>
            <w:pPr>
              <w:pStyle w:val="TableParagraph"/>
              <w:spacing w:line="227" w:lineRule="exact" w:before="18"/>
              <w:ind w:left="22" w:right="15"/>
              <w:jc w:val="center"/>
              <w:rPr>
                <w:sz w:val="20"/>
              </w:rPr>
            </w:pPr>
            <w:r>
              <w:rPr>
                <w:sz w:val="20"/>
              </w:rPr>
              <w:t>DIO2</w:t>
            </w:r>
          </w:p>
        </w:tc>
        <w:tc>
          <w:tcPr>
            <w:tcW w:w="768" w:type="dxa"/>
          </w:tcPr>
          <w:p>
            <w:pPr>
              <w:pStyle w:val="TableParagraph"/>
              <w:spacing w:line="227" w:lineRule="exact" w:before="18"/>
              <w:ind w:left="4"/>
              <w:jc w:val="center"/>
              <w:rPr>
                <w:sz w:val="20"/>
              </w:rPr>
            </w:pPr>
            <w:r>
              <w:rPr>
                <w:sz w:val="20"/>
              </w:rPr>
              <w:t>2458</w:t>
            </w:r>
          </w:p>
        </w:tc>
        <w:tc>
          <w:tcPr>
            <w:tcW w:w="1380" w:type="dxa"/>
            <w:shd w:val="clear" w:color="auto" w:fill="A8A8A8"/>
          </w:tcPr>
          <w:p>
            <w:pPr>
              <w:pStyle w:val="TableParagraph"/>
              <w:spacing w:before="14"/>
              <w:ind w:left="87" w:right="82"/>
              <w:jc w:val="center"/>
              <w:rPr>
                <w:rFonts w:ascii="Times New Roman"/>
                <w:i/>
                <w:sz w:val="20"/>
              </w:rPr>
            </w:pPr>
            <w:r>
              <w:rPr>
                <w:rFonts w:ascii="Times New Roman"/>
                <w:i/>
                <w:sz w:val="20"/>
              </w:rPr>
              <w:t>DIO_PX</w:t>
            </w:r>
          </w:p>
        </w:tc>
        <w:tc>
          <w:tcPr>
            <w:tcW w:w="1382" w:type="dxa"/>
            <w:shd w:val="clear" w:color="auto" w:fill="A8A8A8"/>
          </w:tcPr>
          <w:p>
            <w:pPr>
              <w:pStyle w:val="TableParagraph"/>
              <w:spacing w:before="14"/>
              <w:ind w:left="75" w:right="68"/>
              <w:jc w:val="center"/>
              <w:rPr>
                <w:rFonts w:ascii="Times New Roman"/>
                <w:i/>
                <w:sz w:val="20"/>
              </w:rPr>
            </w:pPr>
            <w:r>
              <w:rPr>
                <w:rFonts w:ascii="Times New Roman"/>
                <w:i/>
                <w:sz w:val="20"/>
              </w:rPr>
              <w:t>DIO_PY</w:t>
            </w:r>
          </w:p>
        </w:tc>
        <w:tc>
          <w:tcPr>
            <w:tcW w:w="1380" w:type="dxa"/>
            <w:shd w:val="clear" w:color="auto" w:fill="DADADA"/>
          </w:tcPr>
          <w:p>
            <w:pPr>
              <w:pStyle w:val="TableParagraph"/>
              <w:spacing w:before="14"/>
              <w:ind w:left="7"/>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4"/>
              <w:ind w:left="7"/>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4"/>
              <w:ind w:left="5"/>
              <w:jc w:val="center"/>
              <w:rPr>
                <w:rFonts w:ascii="Times New Roman"/>
                <w:i/>
                <w:sz w:val="20"/>
              </w:rPr>
            </w:pPr>
            <w:r>
              <w:rPr>
                <w:rFonts w:ascii="Times New Roman"/>
                <w:i/>
                <w:w w:val="99"/>
                <w:sz w:val="20"/>
              </w:rPr>
              <w:t>U</w:t>
            </w:r>
          </w:p>
        </w:tc>
        <w:tc>
          <w:tcPr>
            <w:tcW w:w="1442" w:type="dxa"/>
            <w:shd w:val="clear" w:color="auto" w:fill="DADADA"/>
          </w:tcPr>
          <w:p>
            <w:pPr>
              <w:pStyle w:val="TableParagraph"/>
              <w:spacing w:before="14"/>
              <w:ind w:left="8"/>
              <w:jc w:val="center"/>
              <w:rPr>
                <w:rFonts w:ascii="Times New Roman"/>
                <w:i/>
                <w:sz w:val="20"/>
              </w:rPr>
            </w:pPr>
            <w:r>
              <w:rPr>
                <w:rFonts w:ascii="Times New Roman"/>
                <w:i/>
                <w:w w:val="99"/>
                <w:sz w:val="20"/>
              </w:rPr>
              <w:t>U</w:t>
            </w:r>
          </w:p>
        </w:tc>
        <w:tc>
          <w:tcPr>
            <w:tcW w:w="1320" w:type="dxa"/>
            <w:shd w:val="clear" w:color="auto" w:fill="DADADA"/>
          </w:tcPr>
          <w:p>
            <w:pPr>
              <w:pStyle w:val="TableParagraph"/>
              <w:spacing w:before="14"/>
              <w:ind w:left="6"/>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4"/>
              <w:ind w:left="9"/>
              <w:jc w:val="center"/>
              <w:rPr>
                <w:rFonts w:ascii="Times New Roman"/>
                <w:i/>
                <w:sz w:val="20"/>
              </w:rPr>
            </w:pPr>
            <w:r>
              <w:rPr>
                <w:rFonts w:ascii="Times New Roman"/>
                <w:i/>
                <w:w w:val="99"/>
                <w:sz w:val="20"/>
              </w:rPr>
              <w:t>U</w:t>
            </w:r>
          </w:p>
        </w:tc>
      </w:tr>
      <w:tr>
        <w:trPr>
          <w:trHeight w:val="263" w:hRule="atLeast"/>
        </w:trPr>
        <w:tc>
          <w:tcPr>
            <w:tcW w:w="12959" w:type="dxa"/>
            <w:gridSpan w:val="10"/>
          </w:tcPr>
          <w:p>
            <w:pPr>
              <w:pStyle w:val="TableParagraph"/>
              <w:spacing w:line="227" w:lineRule="exact" w:before="16"/>
              <w:ind w:left="170"/>
              <w:rPr>
                <w:b/>
                <w:i/>
                <w:sz w:val="20"/>
              </w:rPr>
            </w:pPr>
            <w:r>
              <w:rPr>
                <w:b/>
                <w:i/>
                <w:sz w:val="20"/>
              </w:rPr>
              <w:t>NV BITS</w:t>
            </w:r>
          </w:p>
        </w:tc>
      </w:tr>
      <w:tr>
        <w:trPr>
          <w:trHeight w:val="263" w:hRule="atLeast"/>
        </w:trPr>
        <w:tc>
          <w:tcPr>
            <w:tcW w:w="1145" w:type="dxa"/>
          </w:tcPr>
          <w:p>
            <w:pPr>
              <w:pStyle w:val="TableParagraph"/>
              <w:spacing w:line="227" w:lineRule="exact" w:before="16"/>
              <w:ind w:left="20" w:right="15"/>
              <w:jc w:val="center"/>
              <w:rPr>
                <w:sz w:val="20"/>
              </w:rPr>
            </w:pPr>
            <w:r>
              <w:rPr>
                <w:sz w:val="20"/>
              </w:rPr>
              <w:t>SPARENV</w:t>
            </w:r>
          </w:p>
        </w:tc>
        <w:tc>
          <w:tcPr>
            <w:tcW w:w="768" w:type="dxa"/>
          </w:tcPr>
          <w:p>
            <w:pPr>
              <w:pStyle w:val="TableParagraph"/>
              <w:spacing w:line="227" w:lineRule="exact" w:before="16"/>
              <w:ind w:left="4"/>
              <w:jc w:val="center"/>
              <w:rPr>
                <w:sz w:val="20"/>
              </w:rPr>
            </w:pPr>
            <w:r>
              <w:rPr>
                <w:sz w:val="20"/>
              </w:rPr>
              <w:t>2500</w:t>
            </w:r>
          </w:p>
        </w:tc>
        <w:tc>
          <w:tcPr>
            <w:tcW w:w="1380" w:type="dxa"/>
            <w:shd w:val="clear" w:color="auto" w:fill="DADADA"/>
          </w:tcPr>
          <w:p>
            <w:pPr>
              <w:pStyle w:val="TableParagraph"/>
              <w:spacing w:before="12"/>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2"/>
              <w:ind w:left="4"/>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2"/>
              <w:ind w:left="7"/>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2"/>
              <w:ind w:left="7"/>
              <w:jc w:val="center"/>
              <w:rPr>
                <w:rFonts w:ascii="Times New Roman"/>
                <w:i/>
                <w:sz w:val="20"/>
              </w:rPr>
            </w:pPr>
            <w:r>
              <w:rPr>
                <w:rFonts w:ascii="Times New Roman"/>
                <w:i/>
                <w:w w:val="99"/>
                <w:sz w:val="20"/>
              </w:rPr>
              <w:t>U</w:t>
            </w:r>
          </w:p>
        </w:tc>
        <w:tc>
          <w:tcPr>
            <w:tcW w:w="5524" w:type="dxa"/>
            <w:gridSpan w:val="4"/>
            <w:shd w:val="clear" w:color="auto" w:fill="A8A8A8"/>
          </w:tcPr>
          <w:p>
            <w:pPr>
              <w:pStyle w:val="TableParagraph"/>
              <w:spacing w:before="12"/>
              <w:ind w:left="7"/>
              <w:jc w:val="center"/>
              <w:rPr>
                <w:rFonts w:ascii="Times New Roman"/>
                <w:i/>
                <w:sz w:val="20"/>
              </w:rPr>
            </w:pPr>
            <w:r>
              <w:rPr>
                <w:rFonts w:ascii="Times New Roman"/>
                <w:i/>
                <w:w w:val="99"/>
                <w:sz w:val="20"/>
              </w:rPr>
              <w:t>R</w:t>
            </w:r>
          </w:p>
        </w:tc>
      </w:tr>
      <w:tr>
        <w:trPr>
          <w:trHeight w:val="263" w:hRule="atLeast"/>
        </w:trPr>
        <w:tc>
          <w:tcPr>
            <w:tcW w:w="1145" w:type="dxa"/>
          </w:tcPr>
          <w:p>
            <w:pPr>
              <w:pStyle w:val="TableParagraph"/>
              <w:spacing w:line="227" w:lineRule="exact" w:before="16"/>
              <w:ind w:left="19" w:right="15"/>
              <w:jc w:val="center"/>
              <w:rPr>
                <w:sz w:val="20"/>
              </w:rPr>
            </w:pPr>
            <w:r>
              <w:rPr>
                <w:sz w:val="20"/>
              </w:rPr>
              <w:t>FOVRD</w:t>
            </w:r>
          </w:p>
        </w:tc>
        <w:tc>
          <w:tcPr>
            <w:tcW w:w="768" w:type="dxa"/>
          </w:tcPr>
          <w:p>
            <w:pPr>
              <w:pStyle w:val="TableParagraph"/>
              <w:spacing w:line="227" w:lineRule="exact" w:before="16"/>
              <w:ind w:left="4"/>
              <w:jc w:val="center"/>
              <w:rPr>
                <w:sz w:val="20"/>
              </w:rPr>
            </w:pPr>
            <w:r>
              <w:rPr>
                <w:sz w:val="20"/>
              </w:rPr>
              <w:t>2501</w:t>
            </w:r>
          </w:p>
        </w:tc>
        <w:tc>
          <w:tcPr>
            <w:tcW w:w="1380" w:type="dxa"/>
            <w:shd w:val="clear" w:color="auto" w:fill="DADADA"/>
          </w:tcPr>
          <w:p>
            <w:pPr>
              <w:pStyle w:val="TableParagraph"/>
              <w:spacing w:before="12"/>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2"/>
              <w:ind w:left="4"/>
              <w:jc w:val="center"/>
              <w:rPr>
                <w:rFonts w:ascii="Times New Roman"/>
                <w:i/>
                <w:sz w:val="20"/>
              </w:rPr>
            </w:pPr>
            <w:r>
              <w:rPr>
                <w:rFonts w:ascii="Times New Roman"/>
                <w:i/>
                <w:w w:val="99"/>
                <w:sz w:val="20"/>
              </w:rPr>
              <w:t>U</w:t>
            </w:r>
          </w:p>
        </w:tc>
        <w:tc>
          <w:tcPr>
            <w:tcW w:w="1380" w:type="dxa"/>
            <w:shd w:val="clear" w:color="auto" w:fill="A8A8A8"/>
          </w:tcPr>
          <w:p>
            <w:pPr>
              <w:pStyle w:val="TableParagraph"/>
              <w:spacing w:before="12"/>
              <w:ind w:left="9"/>
              <w:jc w:val="center"/>
              <w:rPr>
                <w:rFonts w:ascii="Times New Roman"/>
                <w:i/>
                <w:sz w:val="20"/>
              </w:rPr>
            </w:pPr>
            <w:r>
              <w:rPr>
                <w:rFonts w:ascii="Times New Roman"/>
                <w:i/>
                <w:w w:val="99"/>
                <w:sz w:val="20"/>
              </w:rPr>
              <w:t>R</w:t>
            </w:r>
          </w:p>
        </w:tc>
        <w:tc>
          <w:tcPr>
            <w:tcW w:w="1380" w:type="dxa"/>
            <w:shd w:val="clear" w:color="auto" w:fill="DADADA"/>
          </w:tcPr>
          <w:p>
            <w:pPr>
              <w:pStyle w:val="TableParagraph"/>
              <w:spacing w:before="12"/>
              <w:ind w:left="7"/>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2"/>
              <w:ind w:left="5"/>
              <w:jc w:val="center"/>
              <w:rPr>
                <w:rFonts w:ascii="Times New Roman"/>
                <w:i/>
                <w:sz w:val="20"/>
              </w:rPr>
            </w:pPr>
            <w:r>
              <w:rPr>
                <w:rFonts w:ascii="Times New Roman"/>
                <w:i/>
                <w:w w:val="99"/>
                <w:sz w:val="20"/>
              </w:rPr>
              <w:t>U</w:t>
            </w:r>
          </w:p>
        </w:tc>
        <w:tc>
          <w:tcPr>
            <w:tcW w:w="1442" w:type="dxa"/>
            <w:shd w:val="clear" w:color="auto" w:fill="DADADA"/>
          </w:tcPr>
          <w:p>
            <w:pPr>
              <w:pStyle w:val="TableParagraph"/>
              <w:spacing w:before="12"/>
              <w:ind w:left="8"/>
              <w:jc w:val="center"/>
              <w:rPr>
                <w:rFonts w:ascii="Times New Roman"/>
                <w:i/>
                <w:sz w:val="20"/>
              </w:rPr>
            </w:pPr>
            <w:r>
              <w:rPr>
                <w:rFonts w:ascii="Times New Roman"/>
                <w:i/>
                <w:w w:val="99"/>
                <w:sz w:val="20"/>
              </w:rPr>
              <w:t>U</w:t>
            </w:r>
          </w:p>
        </w:tc>
        <w:tc>
          <w:tcPr>
            <w:tcW w:w="1320" w:type="dxa"/>
            <w:shd w:val="clear" w:color="auto" w:fill="DADADA"/>
          </w:tcPr>
          <w:p>
            <w:pPr>
              <w:pStyle w:val="TableParagraph"/>
              <w:spacing w:before="12"/>
              <w:ind w:left="6"/>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2"/>
              <w:ind w:left="9"/>
              <w:jc w:val="center"/>
              <w:rPr>
                <w:rFonts w:ascii="Times New Roman"/>
                <w:i/>
                <w:sz w:val="20"/>
              </w:rPr>
            </w:pPr>
            <w:r>
              <w:rPr>
                <w:rFonts w:ascii="Times New Roman"/>
                <w:i/>
                <w:w w:val="99"/>
                <w:sz w:val="20"/>
              </w:rPr>
              <w:t>U</w:t>
            </w:r>
          </w:p>
        </w:tc>
      </w:tr>
      <w:tr>
        <w:trPr>
          <w:trHeight w:val="263" w:hRule="atLeast"/>
        </w:trPr>
        <w:tc>
          <w:tcPr>
            <w:tcW w:w="1145" w:type="dxa"/>
          </w:tcPr>
          <w:p>
            <w:pPr>
              <w:pStyle w:val="TableParagraph"/>
              <w:spacing w:line="227" w:lineRule="exact" w:before="16"/>
              <w:ind w:left="22" w:right="15"/>
              <w:jc w:val="center"/>
              <w:rPr>
                <w:sz w:val="20"/>
              </w:rPr>
            </w:pPr>
            <w:r>
              <w:rPr>
                <w:sz w:val="20"/>
              </w:rPr>
              <w:t>TMUX</w:t>
            </w:r>
          </w:p>
        </w:tc>
        <w:tc>
          <w:tcPr>
            <w:tcW w:w="768" w:type="dxa"/>
          </w:tcPr>
          <w:p>
            <w:pPr>
              <w:pStyle w:val="TableParagraph"/>
              <w:spacing w:line="227" w:lineRule="exact" w:before="16"/>
              <w:ind w:left="4"/>
              <w:jc w:val="center"/>
              <w:rPr>
                <w:sz w:val="20"/>
              </w:rPr>
            </w:pPr>
            <w:r>
              <w:rPr>
                <w:sz w:val="20"/>
              </w:rPr>
              <w:t>2502</w:t>
            </w:r>
          </w:p>
        </w:tc>
        <w:tc>
          <w:tcPr>
            <w:tcW w:w="1380" w:type="dxa"/>
            <w:shd w:val="clear" w:color="auto" w:fill="DADADA"/>
          </w:tcPr>
          <w:p>
            <w:pPr>
              <w:pStyle w:val="TableParagraph"/>
              <w:spacing w:before="12"/>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2"/>
              <w:ind w:left="4"/>
              <w:jc w:val="center"/>
              <w:rPr>
                <w:rFonts w:ascii="Times New Roman"/>
                <w:i/>
                <w:sz w:val="20"/>
              </w:rPr>
            </w:pPr>
            <w:r>
              <w:rPr>
                <w:rFonts w:ascii="Times New Roman"/>
                <w:i/>
                <w:w w:val="99"/>
                <w:sz w:val="20"/>
              </w:rPr>
              <w:t>U</w:t>
            </w:r>
          </w:p>
        </w:tc>
        <w:tc>
          <w:tcPr>
            <w:tcW w:w="8284" w:type="dxa"/>
            <w:gridSpan w:val="6"/>
            <w:shd w:val="clear" w:color="auto" w:fill="A8A8A8"/>
          </w:tcPr>
          <w:p>
            <w:pPr>
              <w:pStyle w:val="TableParagraph"/>
              <w:spacing w:before="12"/>
              <w:ind w:left="3103" w:right="3103"/>
              <w:jc w:val="center"/>
              <w:rPr>
                <w:rFonts w:ascii="Times New Roman"/>
                <w:i/>
                <w:sz w:val="20"/>
              </w:rPr>
            </w:pPr>
            <w:r>
              <w:rPr>
                <w:rFonts w:ascii="Times New Roman"/>
                <w:i/>
                <w:sz w:val="20"/>
              </w:rPr>
              <w:t>TMUX[5:0]</w:t>
            </w:r>
          </w:p>
        </w:tc>
      </w:tr>
      <w:tr>
        <w:trPr>
          <w:trHeight w:val="263" w:hRule="atLeast"/>
        </w:trPr>
        <w:tc>
          <w:tcPr>
            <w:tcW w:w="1145" w:type="dxa"/>
          </w:tcPr>
          <w:p>
            <w:pPr>
              <w:pStyle w:val="TableParagraph"/>
              <w:spacing w:line="227" w:lineRule="exact" w:before="16"/>
              <w:ind w:left="24" w:right="15"/>
              <w:jc w:val="center"/>
              <w:rPr>
                <w:sz w:val="20"/>
              </w:rPr>
            </w:pPr>
            <w:r>
              <w:rPr>
                <w:sz w:val="20"/>
              </w:rPr>
              <w:t>TMUX2</w:t>
            </w:r>
          </w:p>
        </w:tc>
        <w:tc>
          <w:tcPr>
            <w:tcW w:w="768" w:type="dxa"/>
          </w:tcPr>
          <w:p>
            <w:pPr>
              <w:pStyle w:val="TableParagraph"/>
              <w:spacing w:line="227" w:lineRule="exact" w:before="16"/>
              <w:ind w:left="4"/>
              <w:jc w:val="center"/>
              <w:rPr>
                <w:sz w:val="20"/>
              </w:rPr>
            </w:pPr>
            <w:r>
              <w:rPr>
                <w:sz w:val="20"/>
              </w:rPr>
              <w:t>2503</w:t>
            </w:r>
          </w:p>
        </w:tc>
        <w:tc>
          <w:tcPr>
            <w:tcW w:w="1380" w:type="dxa"/>
            <w:shd w:val="clear" w:color="auto" w:fill="DADADA"/>
          </w:tcPr>
          <w:p>
            <w:pPr>
              <w:pStyle w:val="TableParagraph"/>
              <w:spacing w:before="12"/>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2"/>
              <w:ind w:left="4"/>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2"/>
              <w:ind w:left="7"/>
              <w:jc w:val="center"/>
              <w:rPr>
                <w:rFonts w:ascii="Times New Roman"/>
                <w:i/>
                <w:sz w:val="20"/>
              </w:rPr>
            </w:pPr>
            <w:r>
              <w:rPr>
                <w:rFonts w:ascii="Times New Roman"/>
                <w:i/>
                <w:w w:val="99"/>
                <w:sz w:val="20"/>
              </w:rPr>
              <w:t>U</w:t>
            </w:r>
          </w:p>
        </w:tc>
        <w:tc>
          <w:tcPr>
            <w:tcW w:w="6904" w:type="dxa"/>
            <w:gridSpan w:val="5"/>
            <w:shd w:val="clear" w:color="auto" w:fill="A8A8A8"/>
          </w:tcPr>
          <w:p>
            <w:pPr>
              <w:pStyle w:val="TableParagraph"/>
              <w:spacing w:before="12"/>
              <w:ind w:left="2606" w:right="2600"/>
              <w:jc w:val="center"/>
              <w:rPr>
                <w:rFonts w:ascii="Times New Roman"/>
                <w:i/>
                <w:sz w:val="20"/>
              </w:rPr>
            </w:pPr>
            <w:r>
              <w:rPr>
                <w:rFonts w:ascii="Times New Roman"/>
                <w:i/>
                <w:sz w:val="20"/>
              </w:rPr>
              <w:t>TMUX2[4:0]</w:t>
            </w:r>
          </w:p>
        </w:tc>
      </w:tr>
      <w:tr>
        <w:trPr>
          <w:trHeight w:val="263" w:hRule="atLeast"/>
        </w:trPr>
        <w:tc>
          <w:tcPr>
            <w:tcW w:w="1145" w:type="dxa"/>
          </w:tcPr>
          <w:p>
            <w:pPr>
              <w:pStyle w:val="TableParagraph"/>
              <w:spacing w:line="227" w:lineRule="exact" w:before="16"/>
              <w:ind w:left="22" w:right="15"/>
              <w:jc w:val="center"/>
              <w:rPr>
                <w:sz w:val="20"/>
              </w:rPr>
            </w:pPr>
            <w:r>
              <w:rPr>
                <w:sz w:val="20"/>
              </w:rPr>
              <w:t>RTC1</w:t>
            </w:r>
          </w:p>
        </w:tc>
        <w:tc>
          <w:tcPr>
            <w:tcW w:w="768" w:type="dxa"/>
          </w:tcPr>
          <w:p>
            <w:pPr>
              <w:pStyle w:val="TableParagraph"/>
              <w:spacing w:line="227" w:lineRule="exact" w:before="16"/>
              <w:ind w:left="4"/>
              <w:jc w:val="center"/>
              <w:rPr>
                <w:sz w:val="20"/>
              </w:rPr>
            </w:pPr>
            <w:r>
              <w:rPr>
                <w:sz w:val="20"/>
              </w:rPr>
              <w:t>2504</w:t>
            </w:r>
          </w:p>
        </w:tc>
        <w:tc>
          <w:tcPr>
            <w:tcW w:w="1380" w:type="dxa"/>
            <w:shd w:val="clear" w:color="auto" w:fill="DADADA"/>
          </w:tcPr>
          <w:p>
            <w:pPr>
              <w:pStyle w:val="TableParagraph"/>
              <w:spacing w:before="12"/>
              <w:ind w:left="6"/>
              <w:jc w:val="center"/>
              <w:rPr>
                <w:rFonts w:ascii="Times New Roman"/>
                <w:i/>
                <w:sz w:val="20"/>
              </w:rPr>
            </w:pPr>
            <w:r>
              <w:rPr>
                <w:rFonts w:ascii="Times New Roman"/>
                <w:i/>
                <w:w w:val="99"/>
                <w:sz w:val="20"/>
              </w:rPr>
              <w:t>U</w:t>
            </w:r>
          </w:p>
        </w:tc>
        <w:tc>
          <w:tcPr>
            <w:tcW w:w="9666" w:type="dxa"/>
            <w:gridSpan w:val="7"/>
            <w:shd w:val="clear" w:color="auto" w:fill="A8A8A8"/>
          </w:tcPr>
          <w:p>
            <w:pPr>
              <w:pStyle w:val="TableParagraph"/>
              <w:spacing w:before="12"/>
              <w:ind w:left="2409" w:right="2403"/>
              <w:jc w:val="center"/>
              <w:rPr>
                <w:rFonts w:ascii="Times New Roman"/>
                <w:i/>
                <w:sz w:val="20"/>
              </w:rPr>
            </w:pPr>
            <w:r>
              <w:rPr>
                <w:rFonts w:ascii="Times New Roman"/>
                <w:i/>
                <w:sz w:val="20"/>
              </w:rPr>
              <w:t>RTCA_ADJ[6:0]</w:t>
            </w:r>
          </w:p>
        </w:tc>
      </w:tr>
      <w:tr>
        <w:trPr>
          <w:trHeight w:val="265" w:hRule="atLeast"/>
        </w:trPr>
        <w:tc>
          <w:tcPr>
            <w:tcW w:w="12959" w:type="dxa"/>
            <w:gridSpan w:val="10"/>
          </w:tcPr>
          <w:p>
            <w:pPr>
              <w:pStyle w:val="TableParagraph"/>
              <w:spacing w:line="227" w:lineRule="exact" w:before="18"/>
              <w:ind w:left="170"/>
              <w:rPr>
                <w:b/>
                <w:i/>
                <w:sz w:val="20"/>
              </w:rPr>
            </w:pPr>
            <w:r>
              <w:rPr>
                <w:b/>
                <w:i/>
                <w:sz w:val="20"/>
              </w:rPr>
              <w:t>71M6xx3 Interface</w:t>
            </w:r>
          </w:p>
        </w:tc>
      </w:tr>
    </w:tbl>
    <w:p>
      <w:pPr>
        <w:spacing w:after="0" w:line="227" w:lineRule="exact"/>
        <w:rPr>
          <w:sz w:val="20"/>
        </w:rPr>
        <w:sectPr>
          <w:pgSz w:w="15840" w:h="12240" w:orient="landscape"/>
          <w:pgMar w:header="727" w:footer="819" w:top="1180" w:bottom="1000" w:left="1320" w:right="1320"/>
        </w:sectPr>
      </w:pPr>
    </w:p>
    <w:p>
      <w:pPr>
        <w:pStyle w:val="BodyText"/>
        <w:spacing w:before="5"/>
        <w:rPr>
          <w:b/>
          <w:sz w:val="7"/>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5"/>
        <w:gridCol w:w="768"/>
        <w:gridCol w:w="1380"/>
        <w:gridCol w:w="1382"/>
        <w:gridCol w:w="1380"/>
        <w:gridCol w:w="1380"/>
        <w:gridCol w:w="1382"/>
        <w:gridCol w:w="1442"/>
        <w:gridCol w:w="1320"/>
        <w:gridCol w:w="1380"/>
      </w:tblGrid>
      <w:tr>
        <w:trPr>
          <w:trHeight w:val="309" w:hRule="atLeast"/>
        </w:trPr>
        <w:tc>
          <w:tcPr>
            <w:tcW w:w="1145" w:type="dxa"/>
          </w:tcPr>
          <w:p>
            <w:pPr>
              <w:pStyle w:val="TableParagraph"/>
              <w:spacing w:before="35"/>
              <w:ind w:left="22" w:right="15"/>
              <w:jc w:val="center"/>
              <w:rPr>
                <w:b/>
                <w:sz w:val="20"/>
              </w:rPr>
            </w:pPr>
            <w:r>
              <w:rPr>
                <w:b/>
                <w:sz w:val="20"/>
              </w:rPr>
              <w:t>Name</w:t>
            </w:r>
          </w:p>
        </w:tc>
        <w:tc>
          <w:tcPr>
            <w:tcW w:w="768" w:type="dxa"/>
          </w:tcPr>
          <w:p>
            <w:pPr>
              <w:pStyle w:val="TableParagraph"/>
              <w:spacing w:before="35"/>
              <w:ind w:left="2"/>
              <w:jc w:val="center"/>
              <w:rPr>
                <w:b/>
                <w:sz w:val="20"/>
              </w:rPr>
            </w:pPr>
            <w:r>
              <w:rPr>
                <w:b/>
                <w:sz w:val="20"/>
              </w:rPr>
              <w:t>Addr</w:t>
            </w:r>
          </w:p>
        </w:tc>
        <w:tc>
          <w:tcPr>
            <w:tcW w:w="1380" w:type="dxa"/>
          </w:tcPr>
          <w:p>
            <w:pPr>
              <w:pStyle w:val="TableParagraph"/>
              <w:spacing w:before="35"/>
              <w:ind w:left="87" w:right="80"/>
              <w:jc w:val="center"/>
              <w:rPr>
                <w:b/>
                <w:sz w:val="20"/>
              </w:rPr>
            </w:pPr>
            <w:r>
              <w:rPr>
                <w:b/>
                <w:sz w:val="20"/>
              </w:rPr>
              <w:t>Bit 7</w:t>
            </w:r>
          </w:p>
        </w:tc>
        <w:tc>
          <w:tcPr>
            <w:tcW w:w="1382" w:type="dxa"/>
          </w:tcPr>
          <w:p>
            <w:pPr>
              <w:pStyle w:val="TableParagraph"/>
              <w:spacing w:before="35"/>
              <w:ind w:left="73" w:right="68"/>
              <w:jc w:val="center"/>
              <w:rPr>
                <w:b/>
                <w:sz w:val="20"/>
              </w:rPr>
            </w:pPr>
            <w:r>
              <w:rPr>
                <w:b/>
                <w:sz w:val="20"/>
              </w:rPr>
              <w:t>Bit 6</w:t>
            </w:r>
          </w:p>
        </w:tc>
        <w:tc>
          <w:tcPr>
            <w:tcW w:w="1380" w:type="dxa"/>
          </w:tcPr>
          <w:p>
            <w:pPr>
              <w:pStyle w:val="TableParagraph"/>
              <w:spacing w:before="35"/>
              <w:ind w:left="87" w:right="79"/>
              <w:jc w:val="center"/>
              <w:rPr>
                <w:b/>
                <w:sz w:val="20"/>
              </w:rPr>
            </w:pPr>
            <w:r>
              <w:rPr>
                <w:b/>
                <w:sz w:val="20"/>
              </w:rPr>
              <w:t>Bit 5</w:t>
            </w:r>
          </w:p>
        </w:tc>
        <w:tc>
          <w:tcPr>
            <w:tcW w:w="1380" w:type="dxa"/>
          </w:tcPr>
          <w:p>
            <w:pPr>
              <w:pStyle w:val="TableParagraph"/>
              <w:spacing w:before="35"/>
              <w:ind w:left="87" w:right="79"/>
              <w:jc w:val="center"/>
              <w:rPr>
                <w:b/>
                <w:sz w:val="20"/>
              </w:rPr>
            </w:pPr>
            <w:r>
              <w:rPr>
                <w:b/>
                <w:sz w:val="20"/>
              </w:rPr>
              <w:t>Bit 4</w:t>
            </w:r>
          </w:p>
        </w:tc>
        <w:tc>
          <w:tcPr>
            <w:tcW w:w="1382" w:type="dxa"/>
          </w:tcPr>
          <w:p>
            <w:pPr>
              <w:pStyle w:val="TableParagraph"/>
              <w:spacing w:before="35"/>
              <w:ind w:left="74" w:right="68"/>
              <w:jc w:val="center"/>
              <w:rPr>
                <w:b/>
                <w:sz w:val="20"/>
              </w:rPr>
            </w:pPr>
            <w:r>
              <w:rPr>
                <w:b/>
                <w:sz w:val="20"/>
              </w:rPr>
              <w:t>Bit 3</w:t>
            </w:r>
          </w:p>
        </w:tc>
        <w:tc>
          <w:tcPr>
            <w:tcW w:w="1442" w:type="dxa"/>
          </w:tcPr>
          <w:p>
            <w:pPr>
              <w:pStyle w:val="TableParagraph"/>
              <w:spacing w:before="35"/>
              <w:ind w:left="98" w:right="89"/>
              <w:jc w:val="center"/>
              <w:rPr>
                <w:b/>
                <w:sz w:val="20"/>
              </w:rPr>
            </w:pPr>
            <w:r>
              <w:rPr>
                <w:b/>
                <w:sz w:val="20"/>
              </w:rPr>
              <w:t>Bit 2</w:t>
            </w:r>
          </w:p>
        </w:tc>
        <w:tc>
          <w:tcPr>
            <w:tcW w:w="1320" w:type="dxa"/>
          </w:tcPr>
          <w:p>
            <w:pPr>
              <w:pStyle w:val="TableParagraph"/>
              <w:spacing w:before="35"/>
              <w:ind w:left="442"/>
              <w:rPr>
                <w:b/>
                <w:sz w:val="20"/>
              </w:rPr>
            </w:pPr>
            <w:r>
              <w:rPr>
                <w:b/>
                <w:sz w:val="20"/>
              </w:rPr>
              <w:t>Bit 1</w:t>
            </w:r>
          </w:p>
        </w:tc>
        <w:tc>
          <w:tcPr>
            <w:tcW w:w="1380" w:type="dxa"/>
          </w:tcPr>
          <w:p>
            <w:pPr>
              <w:pStyle w:val="TableParagraph"/>
              <w:spacing w:before="35"/>
              <w:ind w:left="87" w:right="77"/>
              <w:jc w:val="center"/>
              <w:rPr>
                <w:b/>
                <w:sz w:val="20"/>
              </w:rPr>
            </w:pPr>
            <w:r>
              <w:rPr>
                <w:b/>
                <w:sz w:val="20"/>
              </w:rPr>
              <w:t>Bit 0</w:t>
            </w:r>
          </w:p>
        </w:tc>
      </w:tr>
      <w:tr>
        <w:trPr>
          <w:trHeight w:val="263" w:hRule="atLeast"/>
        </w:trPr>
        <w:tc>
          <w:tcPr>
            <w:tcW w:w="1145" w:type="dxa"/>
          </w:tcPr>
          <w:p>
            <w:pPr>
              <w:pStyle w:val="TableParagraph"/>
              <w:spacing w:line="227" w:lineRule="exact" w:before="16"/>
              <w:ind w:left="21" w:right="15"/>
              <w:jc w:val="center"/>
              <w:rPr>
                <w:sz w:val="20"/>
              </w:rPr>
            </w:pPr>
            <w:r>
              <w:rPr>
                <w:sz w:val="20"/>
              </w:rPr>
              <w:t>REMOTE2</w:t>
            </w:r>
          </w:p>
        </w:tc>
        <w:tc>
          <w:tcPr>
            <w:tcW w:w="768" w:type="dxa"/>
          </w:tcPr>
          <w:p>
            <w:pPr>
              <w:pStyle w:val="TableParagraph"/>
              <w:spacing w:line="227" w:lineRule="exact" w:before="16"/>
              <w:ind w:left="4"/>
              <w:jc w:val="center"/>
              <w:rPr>
                <w:sz w:val="20"/>
              </w:rPr>
            </w:pPr>
            <w:r>
              <w:rPr>
                <w:sz w:val="20"/>
              </w:rPr>
              <w:t>2602</w:t>
            </w:r>
          </w:p>
        </w:tc>
        <w:tc>
          <w:tcPr>
            <w:tcW w:w="11046" w:type="dxa"/>
            <w:gridSpan w:val="8"/>
          </w:tcPr>
          <w:p>
            <w:pPr>
              <w:pStyle w:val="TableParagraph"/>
              <w:spacing w:before="12"/>
              <w:ind w:left="3673" w:right="3665"/>
              <w:jc w:val="center"/>
              <w:rPr>
                <w:rFonts w:ascii="Times New Roman"/>
                <w:i/>
                <w:sz w:val="20"/>
              </w:rPr>
            </w:pPr>
            <w:r>
              <w:rPr>
                <w:rFonts w:ascii="Times New Roman"/>
                <w:i/>
                <w:sz w:val="20"/>
              </w:rPr>
              <w:t>RMT_RD[15:8]</w:t>
            </w:r>
          </w:p>
        </w:tc>
      </w:tr>
      <w:tr>
        <w:trPr>
          <w:trHeight w:val="266" w:hRule="atLeast"/>
        </w:trPr>
        <w:tc>
          <w:tcPr>
            <w:tcW w:w="1145" w:type="dxa"/>
          </w:tcPr>
          <w:p>
            <w:pPr>
              <w:pStyle w:val="TableParagraph"/>
              <w:spacing w:line="227" w:lineRule="exact" w:before="18"/>
              <w:ind w:left="21" w:right="15"/>
              <w:jc w:val="center"/>
              <w:rPr>
                <w:sz w:val="20"/>
              </w:rPr>
            </w:pPr>
            <w:r>
              <w:rPr>
                <w:sz w:val="20"/>
              </w:rPr>
              <w:t>REMOTE1</w:t>
            </w:r>
          </w:p>
        </w:tc>
        <w:tc>
          <w:tcPr>
            <w:tcW w:w="768" w:type="dxa"/>
          </w:tcPr>
          <w:p>
            <w:pPr>
              <w:pStyle w:val="TableParagraph"/>
              <w:spacing w:line="227" w:lineRule="exact" w:before="18"/>
              <w:ind w:left="4"/>
              <w:jc w:val="center"/>
              <w:rPr>
                <w:sz w:val="20"/>
              </w:rPr>
            </w:pPr>
            <w:r>
              <w:rPr>
                <w:sz w:val="20"/>
              </w:rPr>
              <w:t>2603</w:t>
            </w:r>
          </w:p>
        </w:tc>
        <w:tc>
          <w:tcPr>
            <w:tcW w:w="11046" w:type="dxa"/>
            <w:gridSpan w:val="8"/>
          </w:tcPr>
          <w:p>
            <w:pPr>
              <w:pStyle w:val="TableParagraph"/>
              <w:spacing w:before="14"/>
              <w:ind w:left="3673" w:right="3665"/>
              <w:jc w:val="center"/>
              <w:rPr>
                <w:rFonts w:ascii="Times New Roman"/>
                <w:i/>
                <w:sz w:val="20"/>
              </w:rPr>
            </w:pPr>
            <w:r>
              <w:rPr>
                <w:rFonts w:ascii="Times New Roman"/>
                <w:i/>
                <w:sz w:val="20"/>
              </w:rPr>
              <w:t>RMT_RD[7:0]</w:t>
            </w:r>
          </w:p>
        </w:tc>
      </w:tr>
      <w:tr>
        <w:trPr>
          <w:trHeight w:val="268" w:hRule="atLeast"/>
        </w:trPr>
        <w:tc>
          <w:tcPr>
            <w:tcW w:w="12959" w:type="dxa"/>
            <w:gridSpan w:val="10"/>
          </w:tcPr>
          <w:p>
            <w:pPr>
              <w:pStyle w:val="TableParagraph"/>
              <w:spacing w:before="18"/>
              <w:ind w:left="170"/>
              <w:rPr>
                <w:b/>
                <w:i/>
                <w:sz w:val="20"/>
              </w:rPr>
            </w:pPr>
            <w:r>
              <w:rPr>
                <w:b/>
                <w:i/>
                <w:sz w:val="20"/>
              </w:rPr>
              <w:t>RBITS</w:t>
            </w:r>
          </w:p>
        </w:tc>
      </w:tr>
      <w:tr>
        <w:trPr>
          <w:trHeight w:val="270" w:hRule="atLeast"/>
        </w:trPr>
        <w:tc>
          <w:tcPr>
            <w:tcW w:w="1145" w:type="dxa"/>
          </w:tcPr>
          <w:p>
            <w:pPr>
              <w:pStyle w:val="TableParagraph"/>
              <w:spacing w:before="18"/>
              <w:ind w:left="22" w:right="15"/>
              <w:jc w:val="center"/>
              <w:rPr>
                <w:sz w:val="20"/>
              </w:rPr>
            </w:pPr>
            <w:r>
              <w:rPr>
                <w:sz w:val="20"/>
              </w:rPr>
              <w:t>INT1_E</w:t>
            </w:r>
          </w:p>
        </w:tc>
        <w:tc>
          <w:tcPr>
            <w:tcW w:w="768" w:type="dxa"/>
          </w:tcPr>
          <w:p>
            <w:pPr>
              <w:pStyle w:val="TableParagraph"/>
              <w:spacing w:before="18"/>
              <w:ind w:left="4"/>
              <w:jc w:val="center"/>
              <w:rPr>
                <w:sz w:val="20"/>
              </w:rPr>
            </w:pPr>
            <w:r>
              <w:rPr>
                <w:sz w:val="20"/>
              </w:rPr>
              <w:t>2700</w:t>
            </w:r>
          </w:p>
        </w:tc>
        <w:tc>
          <w:tcPr>
            <w:tcW w:w="1380" w:type="dxa"/>
          </w:tcPr>
          <w:p>
            <w:pPr>
              <w:pStyle w:val="TableParagraph"/>
              <w:spacing w:before="14"/>
              <w:ind w:left="87" w:right="79"/>
              <w:jc w:val="center"/>
              <w:rPr>
                <w:rFonts w:ascii="Times New Roman"/>
                <w:i/>
                <w:sz w:val="20"/>
              </w:rPr>
            </w:pPr>
            <w:r>
              <w:rPr>
                <w:rFonts w:ascii="Times New Roman"/>
                <w:i/>
                <w:sz w:val="20"/>
              </w:rPr>
              <w:t>EX_EEX</w:t>
            </w:r>
          </w:p>
        </w:tc>
        <w:tc>
          <w:tcPr>
            <w:tcW w:w="1382" w:type="dxa"/>
          </w:tcPr>
          <w:p>
            <w:pPr>
              <w:pStyle w:val="TableParagraph"/>
              <w:spacing w:before="14"/>
              <w:ind w:left="74" w:right="68"/>
              <w:jc w:val="center"/>
              <w:rPr>
                <w:rFonts w:ascii="Times New Roman"/>
                <w:i/>
                <w:sz w:val="20"/>
              </w:rPr>
            </w:pPr>
            <w:r>
              <w:rPr>
                <w:rFonts w:ascii="Times New Roman"/>
                <w:i/>
                <w:sz w:val="20"/>
              </w:rPr>
              <w:t>EX_XPULSE</w:t>
            </w:r>
          </w:p>
        </w:tc>
        <w:tc>
          <w:tcPr>
            <w:tcW w:w="1380" w:type="dxa"/>
          </w:tcPr>
          <w:p>
            <w:pPr>
              <w:pStyle w:val="TableParagraph"/>
              <w:spacing w:before="14"/>
              <w:ind w:left="87" w:right="81"/>
              <w:jc w:val="center"/>
              <w:rPr>
                <w:rFonts w:ascii="Times New Roman"/>
                <w:i/>
                <w:sz w:val="20"/>
              </w:rPr>
            </w:pPr>
            <w:r>
              <w:rPr>
                <w:rFonts w:ascii="Times New Roman"/>
                <w:i/>
                <w:sz w:val="20"/>
              </w:rPr>
              <w:t>EX_YPULSE</w:t>
            </w:r>
          </w:p>
        </w:tc>
        <w:tc>
          <w:tcPr>
            <w:tcW w:w="1380" w:type="dxa"/>
          </w:tcPr>
          <w:p>
            <w:pPr>
              <w:pStyle w:val="TableParagraph"/>
              <w:spacing w:before="14"/>
              <w:ind w:right="268"/>
              <w:jc w:val="right"/>
              <w:rPr>
                <w:rFonts w:ascii="Times New Roman"/>
                <w:i/>
                <w:sz w:val="20"/>
              </w:rPr>
            </w:pPr>
            <w:r>
              <w:rPr>
                <w:rFonts w:ascii="Times New Roman"/>
                <w:i/>
                <w:sz w:val="20"/>
              </w:rPr>
              <w:t>EX_RTCT</w:t>
            </w:r>
          </w:p>
        </w:tc>
        <w:tc>
          <w:tcPr>
            <w:tcW w:w="1382" w:type="dxa"/>
            <w:shd w:val="clear" w:color="auto" w:fill="DADADA"/>
          </w:tcPr>
          <w:p>
            <w:pPr>
              <w:pStyle w:val="TableParagraph"/>
              <w:spacing w:before="14"/>
              <w:ind w:left="5"/>
              <w:jc w:val="center"/>
              <w:rPr>
                <w:rFonts w:ascii="Times New Roman"/>
                <w:i/>
                <w:sz w:val="20"/>
              </w:rPr>
            </w:pPr>
            <w:r>
              <w:rPr>
                <w:rFonts w:ascii="Times New Roman"/>
                <w:i/>
                <w:w w:val="99"/>
                <w:sz w:val="20"/>
              </w:rPr>
              <w:t>U</w:t>
            </w:r>
          </w:p>
        </w:tc>
        <w:tc>
          <w:tcPr>
            <w:tcW w:w="1442" w:type="dxa"/>
          </w:tcPr>
          <w:p>
            <w:pPr>
              <w:pStyle w:val="TableParagraph"/>
              <w:spacing w:before="14"/>
              <w:ind w:left="98" w:right="87"/>
              <w:jc w:val="center"/>
              <w:rPr>
                <w:rFonts w:ascii="Times New Roman"/>
                <w:i/>
                <w:sz w:val="20"/>
              </w:rPr>
            </w:pPr>
            <w:r>
              <w:rPr>
                <w:rFonts w:ascii="Times New Roman"/>
                <w:i/>
                <w:sz w:val="20"/>
              </w:rPr>
              <w:t>EX_RTC1M</w:t>
            </w:r>
          </w:p>
        </w:tc>
        <w:tc>
          <w:tcPr>
            <w:tcW w:w="1320" w:type="dxa"/>
          </w:tcPr>
          <w:p>
            <w:pPr>
              <w:pStyle w:val="TableParagraph"/>
              <w:spacing w:before="14"/>
              <w:ind w:right="195"/>
              <w:jc w:val="right"/>
              <w:rPr>
                <w:rFonts w:ascii="Times New Roman"/>
                <w:i/>
                <w:sz w:val="20"/>
              </w:rPr>
            </w:pPr>
            <w:r>
              <w:rPr>
                <w:rFonts w:ascii="Times New Roman"/>
                <w:i/>
                <w:w w:val="95"/>
                <w:sz w:val="20"/>
              </w:rPr>
              <w:t>EX_RTC1S</w:t>
            </w:r>
          </w:p>
        </w:tc>
        <w:tc>
          <w:tcPr>
            <w:tcW w:w="1380" w:type="dxa"/>
          </w:tcPr>
          <w:p>
            <w:pPr>
              <w:pStyle w:val="TableParagraph"/>
              <w:spacing w:before="14"/>
              <w:ind w:left="87" w:right="75"/>
              <w:jc w:val="center"/>
              <w:rPr>
                <w:rFonts w:ascii="Times New Roman"/>
                <w:i/>
                <w:sz w:val="20"/>
              </w:rPr>
            </w:pPr>
            <w:r>
              <w:rPr>
                <w:rFonts w:ascii="Times New Roman"/>
                <w:i/>
                <w:sz w:val="20"/>
              </w:rPr>
              <w:t>EX_XFER</w:t>
            </w:r>
          </w:p>
        </w:tc>
      </w:tr>
      <w:tr>
        <w:trPr>
          <w:trHeight w:val="270" w:hRule="atLeast"/>
        </w:trPr>
        <w:tc>
          <w:tcPr>
            <w:tcW w:w="1145" w:type="dxa"/>
          </w:tcPr>
          <w:p>
            <w:pPr>
              <w:pStyle w:val="TableParagraph"/>
              <w:spacing w:before="18"/>
              <w:ind w:left="22" w:right="15"/>
              <w:jc w:val="center"/>
              <w:rPr>
                <w:sz w:val="20"/>
              </w:rPr>
            </w:pPr>
            <w:r>
              <w:rPr>
                <w:sz w:val="20"/>
              </w:rPr>
              <w:t>INT2_E</w:t>
            </w:r>
          </w:p>
        </w:tc>
        <w:tc>
          <w:tcPr>
            <w:tcW w:w="768" w:type="dxa"/>
          </w:tcPr>
          <w:p>
            <w:pPr>
              <w:pStyle w:val="TableParagraph"/>
              <w:spacing w:before="18"/>
              <w:ind w:left="4"/>
              <w:jc w:val="center"/>
              <w:rPr>
                <w:sz w:val="20"/>
              </w:rPr>
            </w:pPr>
            <w:r>
              <w:rPr>
                <w:sz w:val="20"/>
              </w:rPr>
              <w:t>2701</w:t>
            </w:r>
          </w:p>
        </w:tc>
        <w:tc>
          <w:tcPr>
            <w:tcW w:w="1380" w:type="dxa"/>
          </w:tcPr>
          <w:p>
            <w:pPr>
              <w:pStyle w:val="TableParagraph"/>
              <w:spacing w:before="14"/>
              <w:ind w:left="87" w:right="79"/>
              <w:jc w:val="center"/>
              <w:rPr>
                <w:rFonts w:ascii="Times New Roman"/>
                <w:i/>
                <w:sz w:val="20"/>
              </w:rPr>
            </w:pPr>
            <w:r>
              <w:rPr>
                <w:rFonts w:ascii="Times New Roman"/>
                <w:i/>
                <w:sz w:val="20"/>
              </w:rPr>
              <w:t>EX_SPI</w:t>
            </w:r>
          </w:p>
        </w:tc>
        <w:tc>
          <w:tcPr>
            <w:tcW w:w="1382" w:type="dxa"/>
          </w:tcPr>
          <w:p>
            <w:pPr>
              <w:pStyle w:val="TableParagraph"/>
              <w:spacing w:before="14"/>
              <w:ind w:left="71" w:right="68"/>
              <w:jc w:val="center"/>
              <w:rPr>
                <w:rFonts w:ascii="Times New Roman"/>
                <w:i/>
                <w:sz w:val="20"/>
              </w:rPr>
            </w:pPr>
            <w:r>
              <w:rPr>
                <w:rFonts w:ascii="Times New Roman"/>
                <w:i/>
                <w:sz w:val="20"/>
              </w:rPr>
              <w:t>EX_WPULSE</w:t>
            </w:r>
          </w:p>
        </w:tc>
        <w:tc>
          <w:tcPr>
            <w:tcW w:w="1380" w:type="dxa"/>
          </w:tcPr>
          <w:p>
            <w:pPr>
              <w:pStyle w:val="TableParagraph"/>
              <w:spacing w:before="14"/>
              <w:ind w:left="87" w:right="79"/>
              <w:jc w:val="center"/>
              <w:rPr>
                <w:rFonts w:ascii="Times New Roman"/>
                <w:i/>
                <w:sz w:val="20"/>
              </w:rPr>
            </w:pPr>
            <w:r>
              <w:rPr>
                <w:rFonts w:ascii="Times New Roman"/>
                <w:i/>
                <w:sz w:val="20"/>
              </w:rPr>
              <w:t>EX_VPULSE</w:t>
            </w:r>
          </w:p>
        </w:tc>
        <w:tc>
          <w:tcPr>
            <w:tcW w:w="1380" w:type="dxa"/>
            <w:shd w:val="clear" w:color="auto" w:fill="DADADA"/>
          </w:tcPr>
          <w:p>
            <w:pPr>
              <w:pStyle w:val="TableParagraph"/>
              <w:spacing w:before="14"/>
              <w:ind w:left="7"/>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4"/>
              <w:ind w:left="5"/>
              <w:jc w:val="center"/>
              <w:rPr>
                <w:rFonts w:ascii="Times New Roman"/>
                <w:i/>
                <w:sz w:val="20"/>
              </w:rPr>
            </w:pPr>
            <w:r>
              <w:rPr>
                <w:rFonts w:ascii="Times New Roman"/>
                <w:i/>
                <w:w w:val="99"/>
                <w:sz w:val="20"/>
              </w:rPr>
              <w:t>U</w:t>
            </w:r>
          </w:p>
        </w:tc>
        <w:tc>
          <w:tcPr>
            <w:tcW w:w="1442" w:type="dxa"/>
            <w:shd w:val="clear" w:color="auto" w:fill="DADADA"/>
          </w:tcPr>
          <w:p>
            <w:pPr>
              <w:pStyle w:val="TableParagraph"/>
              <w:spacing w:before="14"/>
              <w:ind w:left="8"/>
              <w:jc w:val="center"/>
              <w:rPr>
                <w:rFonts w:ascii="Times New Roman"/>
                <w:i/>
                <w:sz w:val="20"/>
              </w:rPr>
            </w:pPr>
            <w:r>
              <w:rPr>
                <w:rFonts w:ascii="Times New Roman"/>
                <w:i/>
                <w:w w:val="99"/>
                <w:sz w:val="20"/>
              </w:rPr>
              <w:t>U</w:t>
            </w:r>
          </w:p>
        </w:tc>
        <w:tc>
          <w:tcPr>
            <w:tcW w:w="1320" w:type="dxa"/>
            <w:shd w:val="clear" w:color="auto" w:fill="DADADA"/>
          </w:tcPr>
          <w:p>
            <w:pPr>
              <w:pStyle w:val="TableParagraph"/>
              <w:spacing w:before="14"/>
              <w:ind w:left="6"/>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4"/>
              <w:ind w:left="9"/>
              <w:jc w:val="center"/>
              <w:rPr>
                <w:rFonts w:ascii="Times New Roman"/>
                <w:i/>
                <w:sz w:val="20"/>
              </w:rPr>
            </w:pPr>
            <w:r>
              <w:rPr>
                <w:rFonts w:ascii="Times New Roman"/>
                <w:i/>
                <w:w w:val="99"/>
                <w:sz w:val="20"/>
              </w:rPr>
              <w:t>U</w:t>
            </w:r>
          </w:p>
        </w:tc>
      </w:tr>
      <w:tr>
        <w:trPr>
          <w:trHeight w:val="268" w:hRule="atLeast"/>
        </w:trPr>
        <w:tc>
          <w:tcPr>
            <w:tcW w:w="1145" w:type="dxa"/>
          </w:tcPr>
          <w:p>
            <w:pPr>
              <w:pStyle w:val="TableParagraph"/>
              <w:spacing w:before="18"/>
              <w:ind w:left="23" w:right="15"/>
              <w:jc w:val="center"/>
              <w:rPr>
                <w:sz w:val="20"/>
              </w:rPr>
            </w:pPr>
            <w:r>
              <w:rPr>
                <w:sz w:val="20"/>
              </w:rPr>
              <w:t>SECURE</w:t>
            </w:r>
          </w:p>
        </w:tc>
        <w:tc>
          <w:tcPr>
            <w:tcW w:w="768" w:type="dxa"/>
          </w:tcPr>
          <w:p>
            <w:pPr>
              <w:pStyle w:val="TableParagraph"/>
              <w:spacing w:before="18"/>
              <w:ind w:left="4"/>
              <w:jc w:val="center"/>
              <w:rPr>
                <w:sz w:val="20"/>
              </w:rPr>
            </w:pPr>
            <w:r>
              <w:rPr>
                <w:sz w:val="20"/>
              </w:rPr>
              <w:t>2702</w:t>
            </w:r>
          </w:p>
        </w:tc>
        <w:tc>
          <w:tcPr>
            <w:tcW w:w="4142" w:type="dxa"/>
            <w:gridSpan w:val="3"/>
            <w:tcBorders>
              <w:right w:val="nil"/>
            </w:tcBorders>
          </w:tcPr>
          <w:p>
            <w:pPr>
              <w:pStyle w:val="TableParagraph"/>
              <w:spacing w:before="14"/>
              <w:ind w:left="1859"/>
              <w:rPr>
                <w:rFonts w:ascii="Times New Roman"/>
                <w:i/>
                <w:sz w:val="20"/>
              </w:rPr>
            </w:pPr>
            <w:r>
              <w:rPr>
                <w:rFonts w:ascii="Times New Roman"/>
                <w:i/>
                <w:sz w:val="20"/>
              </w:rPr>
              <w:t>FLSH_UNLOCK[3:0]</w:t>
            </w:r>
          </w:p>
        </w:tc>
        <w:tc>
          <w:tcPr>
            <w:tcW w:w="1380" w:type="dxa"/>
            <w:tcBorders>
              <w:left w:val="nil"/>
            </w:tcBorders>
          </w:tcPr>
          <w:p>
            <w:pPr>
              <w:pStyle w:val="TableParagraph"/>
              <w:rPr>
                <w:rFonts w:ascii="Times New Roman"/>
                <w:sz w:val="18"/>
              </w:rPr>
            </w:pPr>
          </w:p>
        </w:tc>
        <w:tc>
          <w:tcPr>
            <w:tcW w:w="1382" w:type="dxa"/>
            <w:shd w:val="clear" w:color="auto" w:fill="DADADA"/>
          </w:tcPr>
          <w:p>
            <w:pPr>
              <w:pStyle w:val="TableParagraph"/>
              <w:spacing w:before="14"/>
              <w:ind w:left="7"/>
              <w:jc w:val="center"/>
              <w:rPr>
                <w:rFonts w:ascii="Times New Roman"/>
                <w:i/>
                <w:sz w:val="20"/>
              </w:rPr>
            </w:pPr>
            <w:r>
              <w:rPr>
                <w:rFonts w:ascii="Times New Roman"/>
                <w:i/>
                <w:w w:val="99"/>
                <w:sz w:val="20"/>
              </w:rPr>
              <w:t>R</w:t>
            </w:r>
          </w:p>
        </w:tc>
        <w:tc>
          <w:tcPr>
            <w:tcW w:w="1442" w:type="dxa"/>
          </w:tcPr>
          <w:p>
            <w:pPr>
              <w:pStyle w:val="TableParagraph"/>
              <w:spacing w:before="14"/>
              <w:ind w:left="98" w:right="88"/>
              <w:jc w:val="center"/>
              <w:rPr>
                <w:rFonts w:ascii="Times New Roman"/>
                <w:i/>
                <w:sz w:val="20"/>
              </w:rPr>
            </w:pPr>
            <w:r>
              <w:rPr>
                <w:rFonts w:ascii="Times New Roman"/>
                <w:i/>
                <w:sz w:val="20"/>
              </w:rPr>
              <w:t>FLSH_RDE</w:t>
            </w:r>
          </w:p>
        </w:tc>
        <w:tc>
          <w:tcPr>
            <w:tcW w:w="1320" w:type="dxa"/>
          </w:tcPr>
          <w:p>
            <w:pPr>
              <w:pStyle w:val="TableParagraph"/>
              <w:spacing w:before="14"/>
              <w:ind w:right="158"/>
              <w:jc w:val="right"/>
              <w:rPr>
                <w:rFonts w:ascii="Times New Roman"/>
                <w:i/>
                <w:sz w:val="20"/>
              </w:rPr>
            </w:pPr>
            <w:r>
              <w:rPr>
                <w:rFonts w:ascii="Times New Roman"/>
                <w:i/>
                <w:sz w:val="20"/>
              </w:rPr>
              <w:t>FLSH_WRE</w:t>
            </w:r>
          </w:p>
        </w:tc>
        <w:tc>
          <w:tcPr>
            <w:tcW w:w="1380" w:type="dxa"/>
            <w:shd w:val="clear" w:color="auto" w:fill="DADADA"/>
          </w:tcPr>
          <w:p>
            <w:pPr>
              <w:pStyle w:val="TableParagraph"/>
              <w:spacing w:before="14"/>
              <w:ind w:left="10"/>
              <w:jc w:val="center"/>
              <w:rPr>
                <w:rFonts w:ascii="Times New Roman"/>
                <w:i/>
                <w:sz w:val="20"/>
              </w:rPr>
            </w:pPr>
            <w:r>
              <w:rPr>
                <w:rFonts w:ascii="Times New Roman"/>
                <w:i/>
                <w:w w:val="99"/>
                <w:sz w:val="20"/>
              </w:rPr>
              <w:t>R</w:t>
            </w:r>
          </w:p>
        </w:tc>
      </w:tr>
      <w:tr>
        <w:trPr>
          <w:trHeight w:val="270" w:hRule="atLeast"/>
        </w:trPr>
        <w:tc>
          <w:tcPr>
            <w:tcW w:w="1145" w:type="dxa"/>
          </w:tcPr>
          <w:p>
            <w:pPr>
              <w:pStyle w:val="TableParagraph"/>
              <w:spacing w:before="18"/>
              <w:ind w:left="19" w:right="15"/>
              <w:jc w:val="center"/>
              <w:rPr>
                <w:sz w:val="20"/>
              </w:rPr>
            </w:pPr>
            <w:r>
              <w:rPr>
                <w:sz w:val="20"/>
              </w:rPr>
              <w:t>Analog0</w:t>
            </w:r>
          </w:p>
        </w:tc>
        <w:tc>
          <w:tcPr>
            <w:tcW w:w="768" w:type="dxa"/>
          </w:tcPr>
          <w:p>
            <w:pPr>
              <w:pStyle w:val="TableParagraph"/>
              <w:spacing w:before="18"/>
              <w:ind w:left="4"/>
              <w:jc w:val="center"/>
              <w:rPr>
                <w:sz w:val="20"/>
              </w:rPr>
            </w:pPr>
            <w:r>
              <w:rPr>
                <w:sz w:val="20"/>
              </w:rPr>
              <w:t>2704</w:t>
            </w:r>
          </w:p>
        </w:tc>
        <w:tc>
          <w:tcPr>
            <w:tcW w:w="1380" w:type="dxa"/>
          </w:tcPr>
          <w:p>
            <w:pPr>
              <w:pStyle w:val="TableParagraph"/>
              <w:spacing w:before="14"/>
              <w:ind w:left="87" w:right="81"/>
              <w:jc w:val="center"/>
              <w:rPr>
                <w:rFonts w:ascii="Times New Roman"/>
                <w:i/>
                <w:sz w:val="20"/>
              </w:rPr>
            </w:pPr>
            <w:r>
              <w:rPr>
                <w:rFonts w:ascii="Times New Roman"/>
                <w:i/>
                <w:sz w:val="20"/>
              </w:rPr>
              <w:t>VREF_CAL</w:t>
            </w:r>
          </w:p>
        </w:tc>
        <w:tc>
          <w:tcPr>
            <w:tcW w:w="1382" w:type="dxa"/>
          </w:tcPr>
          <w:p>
            <w:pPr>
              <w:pStyle w:val="TableParagraph"/>
              <w:spacing w:before="14"/>
              <w:ind w:left="75" w:right="67"/>
              <w:jc w:val="center"/>
              <w:rPr>
                <w:rFonts w:ascii="Times New Roman"/>
                <w:i/>
                <w:sz w:val="20"/>
              </w:rPr>
            </w:pPr>
            <w:r>
              <w:rPr>
                <w:rFonts w:ascii="Times New Roman"/>
                <w:i/>
                <w:sz w:val="20"/>
              </w:rPr>
              <w:t>VREF_DIS</w:t>
            </w:r>
          </w:p>
        </w:tc>
        <w:tc>
          <w:tcPr>
            <w:tcW w:w="1380" w:type="dxa"/>
          </w:tcPr>
          <w:p>
            <w:pPr>
              <w:pStyle w:val="TableParagraph"/>
              <w:spacing w:before="14"/>
              <w:ind w:left="87" w:right="76"/>
              <w:jc w:val="center"/>
              <w:rPr>
                <w:rFonts w:ascii="Times New Roman"/>
                <w:i/>
                <w:sz w:val="20"/>
              </w:rPr>
            </w:pPr>
            <w:r>
              <w:rPr>
                <w:rFonts w:ascii="Times New Roman"/>
                <w:i/>
                <w:sz w:val="20"/>
              </w:rPr>
              <w:t>PRE_E</w:t>
            </w:r>
          </w:p>
        </w:tc>
        <w:tc>
          <w:tcPr>
            <w:tcW w:w="1380" w:type="dxa"/>
          </w:tcPr>
          <w:p>
            <w:pPr>
              <w:pStyle w:val="TableParagraph"/>
              <w:spacing w:before="14"/>
              <w:ind w:left="379"/>
              <w:rPr>
                <w:rFonts w:ascii="Times New Roman"/>
                <w:i/>
                <w:sz w:val="20"/>
              </w:rPr>
            </w:pPr>
            <w:r>
              <w:rPr>
                <w:rFonts w:ascii="Times New Roman"/>
                <w:i/>
                <w:sz w:val="20"/>
              </w:rPr>
              <w:t>ADC_E</w:t>
            </w:r>
          </w:p>
        </w:tc>
        <w:tc>
          <w:tcPr>
            <w:tcW w:w="1382" w:type="dxa"/>
          </w:tcPr>
          <w:p>
            <w:pPr>
              <w:pStyle w:val="TableParagraph"/>
              <w:spacing w:before="14"/>
              <w:ind w:right="360"/>
              <w:jc w:val="right"/>
              <w:rPr>
                <w:rFonts w:ascii="Times New Roman"/>
                <w:i/>
                <w:sz w:val="20"/>
              </w:rPr>
            </w:pPr>
            <w:r>
              <w:rPr>
                <w:rFonts w:ascii="Times New Roman"/>
                <w:i/>
                <w:sz w:val="20"/>
              </w:rPr>
              <w:t>BCURR</w:t>
            </w:r>
          </w:p>
        </w:tc>
        <w:tc>
          <w:tcPr>
            <w:tcW w:w="4142" w:type="dxa"/>
            <w:gridSpan w:val="3"/>
          </w:tcPr>
          <w:p>
            <w:pPr>
              <w:pStyle w:val="TableParagraph"/>
              <w:spacing w:before="14"/>
              <w:ind w:left="1404" w:right="1398"/>
              <w:jc w:val="center"/>
              <w:rPr>
                <w:rFonts w:ascii="Times New Roman"/>
                <w:i/>
                <w:sz w:val="20"/>
              </w:rPr>
            </w:pPr>
            <w:r>
              <w:rPr>
                <w:rFonts w:ascii="Times New Roman"/>
                <w:i/>
                <w:sz w:val="20"/>
              </w:rPr>
              <w:t>SPARE[2:0]</w:t>
            </w:r>
          </w:p>
        </w:tc>
      </w:tr>
      <w:tr>
        <w:trPr>
          <w:trHeight w:val="270" w:hRule="atLeast"/>
        </w:trPr>
        <w:tc>
          <w:tcPr>
            <w:tcW w:w="1145" w:type="dxa"/>
          </w:tcPr>
          <w:p>
            <w:pPr>
              <w:pStyle w:val="TableParagraph"/>
              <w:spacing w:before="18"/>
              <w:ind w:left="22" w:right="15"/>
              <w:jc w:val="center"/>
              <w:rPr>
                <w:sz w:val="20"/>
              </w:rPr>
            </w:pPr>
            <w:r>
              <w:rPr>
                <w:sz w:val="20"/>
              </w:rPr>
              <w:t>VERSION</w:t>
            </w:r>
          </w:p>
        </w:tc>
        <w:tc>
          <w:tcPr>
            <w:tcW w:w="768" w:type="dxa"/>
          </w:tcPr>
          <w:p>
            <w:pPr>
              <w:pStyle w:val="TableParagraph"/>
              <w:spacing w:before="18"/>
              <w:ind w:left="4"/>
              <w:jc w:val="center"/>
              <w:rPr>
                <w:sz w:val="20"/>
              </w:rPr>
            </w:pPr>
            <w:r>
              <w:rPr>
                <w:sz w:val="20"/>
              </w:rPr>
              <w:t>2706</w:t>
            </w:r>
          </w:p>
        </w:tc>
        <w:tc>
          <w:tcPr>
            <w:tcW w:w="11046" w:type="dxa"/>
            <w:gridSpan w:val="8"/>
          </w:tcPr>
          <w:p>
            <w:pPr>
              <w:pStyle w:val="TableParagraph"/>
              <w:spacing w:before="14"/>
              <w:ind w:left="3669" w:right="3666"/>
              <w:jc w:val="center"/>
              <w:rPr>
                <w:rFonts w:ascii="Times New Roman"/>
                <w:i/>
                <w:sz w:val="20"/>
              </w:rPr>
            </w:pPr>
            <w:r>
              <w:rPr>
                <w:rFonts w:ascii="Times New Roman"/>
                <w:i/>
                <w:sz w:val="20"/>
              </w:rPr>
              <w:t>VERSION[7:0]</w:t>
            </w:r>
          </w:p>
        </w:tc>
      </w:tr>
      <w:tr>
        <w:trPr>
          <w:trHeight w:val="268" w:hRule="atLeast"/>
        </w:trPr>
        <w:tc>
          <w:tcPr>
            <w:tcW w:w="1145" w:type="dxa"/>
          </w:tcPr>
          <w:p>
            <w:pPr>
              <w:pStyle w:val="TableParagraph"/>
              <w:spacing w:before="18"/>
              <w:ind w:left="24" w:right="12"/>
              <w:jc w:val="center"/>
              <w:rPr>
                <w:sz w:val="20"/>
              </w:rPr>
            </w:pPr>
            <w:r>
              <w:rPr>
                <w:sz w:val="20"/>
              </w:rPr>
              <w:t>INTBITS</w:t>
            </w:r>
          </w:p>
        </w:tc>
        <w:tc>
          <w:tcPr>
            <w:tcW w:w="768" w:type="dxa"/>
          </w:tcPr>
          <w:p>
            <w:pPr>
              <w:pStyle w:val="TableParagraph"/>
              <w:spacing w:before="18"/>
              <w:ind w:left="4"/>
              <w:jc w:val="center"/>
              <w:rPr>
                <w:sz w:val="20"/>
              </w:rPr>
            </w:pPr>
            <w:r>
              <w:rPr>
                <w:sz w:val="20"/>
              </w:rPr>
              <w:t>2707</w:t>
            </w:r>
          </w:p>
        </w:tc>
        <w:tc>
          <w:tcPr>
            <w:tcW w:w="1380" w:type="dxa"/>
            <w:shd w:val="clear" w:color="auto" w:fill="DADADA"/>
          </w:tcPr>
          <w:p>
            <w:pPr>
              <w:pStyle w:val="TableParagraph"/>
              <w:spacing w:before="14"/>
              <w:ind w:left="6"/>
              <w:jc w:val="center"/>
              <w:rPr>
                <w:rFonts w:ascii="Times New Roman"/>
                <w:i/>
                <w:sz w:val="20"/>
              </w:rPr>
            </w:pPr>
            <w:r>
              <w:rPr>
                <w:rFonts w:ascii="Times New Roman"/>
                <w:i/>
                <w:w w:val="99"/>
                <w:sz w:val="20"/>
              </w:rPr>
              <w:t>U</w:t>
            </w:r>
          </w:p>
        </w:tc>
        <w:tc>
          <w:tcPr>
            <w:tcW w:w="1382" w:type="dxa"/>
          </w:tcPr>
          <w:p>
            <w:pPr>
              <w:pStyle w:val="TableParagraph"/>
              <w:spacing w:before="14"/>
              <w:ind w:left="73" w:right="68"/>
              <w:jc w:val="center"/>
              <w:rPr>
                <w:rFonts w:ascii="Times New Roman"/>
                <w:i/>
                <w:sz w:val="20"/>
              </w:rPr>
            </w:pPr>
            <w:r>
              <w:rPr>
                <w:rFonts w:ascii="Times New Roman"/>
                <w:i/>
                <w:sz w:val="20"/>
              </w:rPr>
              <w:t>INT6</w:t>
            </w:r>
          </w:p>
        </w:tc>
        <w:tc>
          <w:tcPr>
            <w:tcW w:w="1380" w:type="dxa"/>
          </w:tcPr>
          <w:p>
            <w:pPr>
              <w:pStyle w:val="TableParagraph"/>
              <w:spacing w:before="14"/>
              <w:ind w:left="87" w:right="79"/>
              <w:jc w:val="center"/>
              <w:rPr>
                <w:rFonts w:ascii="Times New Roman"/>
                <w:i/>
                <w:sz w:val="20"/>
              </w:rPr>
            </w:pPr>
            <w:r>
              <w:rPr>
                <w:rFonts w:ascii="Times New Roman"/>
                <w:i/>
                <w:sz w:val="20"/>
              </w:rPr>
              <w:t>INT5</w:t>
            </w:r>
          </w:p>
        </w:tc>
        <w:tc>
          <w:tcPr>
            <w:tcW w:w="1380" w:type="dxa"/>
          </w:tcPr>
          <w:p>
            <w:pPr>
              <w:pStyle w:val="TableParagraph"/>
              <w:spacing w:before="14"/>
              <w:ind w:left="87" w:right="79"/>
              <w:jc w:val="center"/>
              <w:rPr>
                <w:rFonts w:ascii="Times New Roman"/>
                <w:i/>
                <w:sz w:val="20"/>
              </w:rPr>
            </w:pPr>
            <w:r>
              <w:rPr>
                <w:rFonts w:ascii="Times New Roman"/>
                <w:i/>
                <w:sz w:val="20"/>
              </w:rPr>
              <w:t>INT4</w:t>
            </w:r>
          </w:p>
        </w:tc>
        <w:tc>
          <w:tcPr>
            <w:tcW w:w="1382" w:type="dxa"/>
          </w:tcPr>
          <w:p>
            <w:pPr>
              <w:pStyle w:val="TableParagraph"/>
              <w:spacing w:before="14"/>
              <w:ind w:left="74" w:right="68"/>
              <w:jc w:val="center"/>
              <w:rPr>
                <w:rFonts w:ascii="Times New Roman"/>
                <w:i/>
                <w:sz w:val="20"/>
              </w:rPr>
            </w:pPr>
            <w:r>
              <w:rPr>
                <w:rFonts w:ascii="Times New Roman"/>
                <w:i/>
                <w:sz w:val="20"/>
              </w:rPr>
              <w:t>INT3</w:t>
            </w:r>
          </w:p>
        </w:tc>
        <w:tc>
          <w:tcPr>
            <w:tcW w:w="1442" w:type="dxa"/>
          </w:tcPr>
          <w:p>
            <w:pPr>
              <w:pStyle w:val="TableParagraph"/>
              <w:spacing w:before="14"/>
              <w:ind w:left="98" w:right="89"/>
              <w:jc w:val="center"/>
              <w:rPr>
                <w:rFonts w:ascii="Times New Roman"/>
                <w:i/>
                <w:sz w:val="20"/>
              </w:rPr>
            </w:pPr>
            <w:r>
              <w:rPr>
                <w:rFonts w:ascii="Times New Roman"/>
                <w:i/>
                <w:sz w:val="20"/>
              </w:rPr>
              <w:t>INT2</w:t>
            </w:r>
          </w:p>
        </w:tc>
        <w:tc>
          <w:tcPr>
            <w:tcW w:w="1320" w:type="dxa"/>
          </w:tcPr>
          <w:p>
            <w:pPr>
              <w:pStyle w:val="TableParagraph"/>
              <w:spacing w:before="14"/>
              <w:ind w:left="53" w:right="46"/>
              <w:jc w:val="center"/>
              <w:rPr>
                <w:rFonts w:ascii="Times New Roman"/>
                <w:i/>
                <w:sz w:val="20"/>
              </w:rPr>
            </w:pPr>
            <w:r>
              <w:rPr>
                <w:rFonts w:ascii="Times New Roman"/>
                <w:i/>
                <w:sz w:val="20"/>
              </w:rPr>
              <w:t>INT1</w:t>
            </w:r>
          </w:p>
        </w:tc>
        <w:tc>
          <w:tcPr>
            <w:tcW w:w="1380" w:type="dxa"/>
          </w:tcPr>
          <w:p>
            <w:pPr>
              <w:pStyle w:val="TableParagraph"/>
              <w:spacing w:before="14"/>
              <w:ind w:left="87" w:right="77"/>
              <w:jc w:val="center"/>
              <w:rPr>
                <w:rFonts w:ascii="Times New Roman"/>
                <w:i/>
                <w:sz w:val="20"/>
              </w:rPr>
            </w:pPr>
            <w:r>
              <w:rPr>
                <w:rFonts w:ascii="Times New Roman"/>
                <w:i/>
                <w:sz w:val="20"/>
              </w:rPr>
              <w:t>INT0</w:t>
            </w:r>
          </w:p>
        </w:tc>
      </w:tr>
      <w:tr>
        <w:trPr>
          <w:trHeight w:val="270" w:hRule="atLeast"/>
        </w:trPr>
        <w:tc>
          <w:tcPr>
            <w:tcW w:w="1145" w:type="dxa"/>
          </w:tcPr>
          <w:p>
            <w:pPr>
              <w:pStyle w:val="TableParagraph"/>
              <w:spacing w:before="18"/>
              <w:ind w:left="19" w:right="15"/>
              <w:jc w:val="center"/>
              <w:rPr>
                <w:sz w:val="20"/>
              </w:rPr>
            </w:pPr>
            <w:r>
              <w:rPr>
                <w:sz w:val="20"/>
              </w:rPr>
              <w:t>FLAG0</w:t>
            </w:r>
          </w:p>
        </w:tc>
        <w:tc>
          <w:tcPr>
            <w:tcW w:w="768" w:type="dxa"/>
          </w:tcPr>
          <w:p>
            <w:pPr>
              <w:pStyle w:val="TableParagraph"/>
              <w:spacing w:before="18"/>
              <w:ind w:left="2"/>
              <w:jc w:val="center"/>
              <w:rPr>
                <w:sz w:val="20"/>
              </w:rPr>
            </w:pPr>
            <w:r>
              <w:rPr>
                <w:sz w:val="20"/>
              </w:rPr>
              <w:t>SFR E8</w:t>
            </w:r>
          </w:p>
        </w:tc>
        <w:tc>
          <w:tcPr>
            <w:tcW w:w="1380" w:type="dxa"/>
          </w:tcPr>
          <w:p>
            <w:pPr>
              <w:pStyle w:val="TableParagraph"/>
              <w:spacing w:before="14"/>
              <w:ind w:left="87" w:right="77"/>
              <w:jc w:val="center"/>
              <w:rPr>
                <w:rFonts w:ascii="Times New Roman"/>
                <w:i/>
                <w:sz w:val="20"/>
              </w:rPr>
            </w:pPr>
            <w:r>
              <w:rPr>
                <w:rFonts w:ascii="Times New Roman"/>
                <w:i/>
                <w:sz w:val="20"/>
              </w:rPr>
              <w:t>IE_EEX</w:t>
            </w:r>
          </w:p>
        </w:tc>
        <w:tc>
          <w:tcPr>
            <w:tcW w:w="1382" w:type="dxa"/>
          </w:tcPr>
          <w:p>
            <w:pPr>
              <w:pStyle w:val="TableParagraph"/>
              <w:spacing w:before="14"/>
              <w:ind w:left="75" w:right="67"/>
              <w:jc w:val="center"/>
              <w:rPr>
                <w:rFonts w:ascii="Times New Roman"/>
                <w:i/>
                <w:sz w:val="20"/>
              </w:rPr>
            </w:pPr>
            <w:r>
              <w:rPr>
                <w:rFonts w:ascii="Times New Roman"/>
                <w:i/>
                <w:sz w:val="20"/>
              </w:rPr>
              <w:t>IE_XPULSE</w:t>
            </w:r>
          </w:p>
        </w:tc>
        <w:tc>
          <w:tcPr>
            <w:tcW w:w="1380" w:type="dxa"/>
          </w:tcPr>
          <w:p>
            <w:pPr>
              <w:pStyle w:val="TableParagraph"/>
              <w:spacing w:before="14"/>
              <w:ind w:left="87" w:right="79"/>
              <w:jc w:val="center"/>
              <w:rPr>
                <w:rFonts w:ascii="Times New Roman"/>
                <w:i/>
                <w:sz w:val="20"/>
              </w:rPr>
            </w:pPr>
            <w:r>
              <w:rPr>
                <w:rFonts w:ascii="Times New Roman"/>
                <w:i/>
                <w:sz w:val="20"/>
              </w:rPr>
              <w:t>IE_YPULSE</w:t>
            </w:r>
          </w:p>
        </w:tc>
        <w:tc>
          <w:tcPr>
            <w:tcW w:w="1380" w:type="dxa"/>
          </w:tcPr>
          <w:p>
            <w:pPr>
              <w:pStyle w:val="TableParagraph"/>
              <w:spacing w:before="14"/>
              <w:ind w:right="297"/>
              <w:jc w:val="right"/>
              <w:rPr>
                <w:rFonts w:ascii="Times New Roman"/>
                <w:i/>
                <w:sz w:val="20"/>
              </w:rPr>
            </w:pPr>
            <w:r>
              <w:rPr>
                <w:rFonts w:ascii="Times New Roman"/>
                <w:i/>
                <w:sz w:val="20"/>
              </w:rPr>
              <w:t>IE_RTCT</w:t>
            </w:r>
          </w:p>
        </w:tc>
        <w:tc>
          <w:tcPr>
            <w:tcW w:w="1382" w:type="dxa"/>
            <w:shd w:val="clear" w:color="auto" w:fill="DADADA"/>
          </w:tcPr>
          <w:p>
            <w:pPr>
              <w:pStyle w:val="TableParagraph"/>
              <w:spacing w:before="14"/>
              <w:ind w:left="5"/>
              <w:jc w:val="center"/>
              <w:rPr>
                <w:rFonts w:ascii="Times New Roman"/>
                <w:i/>
                <w:sz w:val="20"/>
              </w:rPr>
            </w:pPr>
            <w:r>
              <w:rPr>
                <w:rFonts w:ascii="Times New Roman"/>
                <w:i/>
                <w:w w:val="99"/>
                <w:sz w:val="20"/>
              </w:rPr>
              <w:t>U</w:t>
            </w:r>
          </w:p>
        </w:tc>
        <w:tc>
          <w:tcPr>
            <w:tcW w:w="1442" w:type="dxa"/>
          </w:tcPr>
          <w:p>
            <w:pPr>
              <w:pStyle w:val="TableParagraph"/>
              <w:spacing w:before="14"/>
              <w:ind w:left="98" w:right="90"/>
              <w:jc w:val="center"/>
              <w:rPr>
                <w:rFonts w:ascii="Times New Roman"/>
                <w:i/>
                <w:sz w:val="20"/>
              </w:rPr>
            </w:pPr>
            <w:r>
              <w:rPr>
                <w:rFonts w:ascii="Times New Roman"/>
                <w:i/>
                <w:sz w:val="20"/>
              </w:rPr>
              <w:t>IE_RTC1M</w:t>
            </w:r>
          </w:p>
        </w:tc>
        <w:tc>
          <w:tcPr>
            <w:tcW w:w="1320" w:type="dxa"/>
          </w:tcPr>
          <w:p>
            <w:pPr>
              <w:pStyle w:val="TableParagraph"/>
              <w:spacing w:before="14"/>
              <w:ind w:right="221"/>
              <w:jc w:val="right"/>
              <w:rPr>
                <w:rFonts w:ascii="Times New Roman"/>
                <w:i/>
                <w:sz w:val="20"/>
              </w:rPr>
            </w:pPr>
            <w:r>
              <w:rPr>
                <w:rFonts w:ascii="Times New Roman"/>
                <w:i/>
                <w:w w:val="95"/>
                <w:sz w:val="20"/>
              </w:rPr>
              <w:t>IE_RTC1S</w:t>
            </w:r>
          </w:p>
        </w:tc>
        <w:tc>
          <w:tcPr>
            <w:tcW w:w="1380" w:type="dxa"/>
          </w:tcPr>
          <w:p>
            <w:pPr>
              <w:pStyle w:val="TableParagraph"/>
              <w:spacing w:before="14"/>
              <w:ind w:left="87" w:right="77"/>
              <w:jc w:val="center"/>
              <w:rPr>
                <w:rFonts w:ascii="Times New Roman"/>
                <w:i/>
                <w:sz w:val="20"/>
              </w:rPr>
            </w:pPr>
            <w:r>
              <w:rPr>
                <w:rFonts w:ascii="Times New Roman"/>
                <w:i/>
                <w:sz w:val="20"/>
              </w:rPr>
              <w:t>IE_XFER</w:t>
            </w:r>
          </w:p>
        </w:tc>
      </w:tr>
      <w:tr>
        <w:trPr>
          <w:trHeight w:val="268" w:hRule="atLeast"/>
        </w:trPr>
        <w:tc>
          <w:tcPr>
            <w:tcW w:w="1145" w:type="dxa"/>
          </w:tcPr>
          <w:p>
            <w:pPr>
              <w:pStyle w:val="TableParagraph"/>
              <w:spacing w:before="18"/>
              <w:ind w:left="19" w:right="15"/>
              <w:jc w:val="center"/>
              <w:rPr>
                <w:sz w:val="20"/>
              </w:rPr>
            </w:pPr>
            <w:r>
              <w:rPr>
                <w:sz w:val="20"/>
              </w:rPr>
              <w:t>FLAG1</w:t>
            </w:r>
          </w:p>
        </w:tc>
        <w:tc>
          <w:tcPr>
            <w:tcW w:w="768" w:type="dxa"/>
          </w:tcPr>
          <w:p>
            <w:pPr>
              <w:pStyle w:val="TableParagraph"/>
              <w:spacing w:before="18"/>
              <w:ind w:left="4"/>
              <w:jc w:val="center"/>
              <w:rPr>
                <w:sz w:val="20"/>
              </w:rPr>
            </w:pPr>
            <w:r>
              <w:rPr>
                <w:sz w:val="20"/>
              </w:rPr>
              <w:t>SFR F8</w:t>
            </w:r>
          </w:p>
        </w:tc>
        <w:tc>
          <w:tcPr>
            <w:tcW w:w="1380" w:type="dxa"/>
          </w:tcPr>
          <w:p>
            <w:pPr>
              <w:pStyle w:val="TableParagraph"/>
              <w:spacing w:before="14"/>
              <w:ind w:left="87" w:right="77"/>
              <w:jc w:val="center"/>
              <w:rPr>
                <w:rFonts w:ascii="Times New Roman"/>
                <w:i/>
                <w:sz w:val="20"/>
              </w:rPr>
            </w:pPr>
            <w:r>
              <w:rPr>
                <w:rFonts w:ascii="Times New Roman"/>
                <w:i/>
                <w:sz w:val="20"/>
              </w:rPr>
              <w:t>IE_SPI</w:t>
            </w:r>
          </w:p>
        </w:tc>
        <w:tc>
          <w:tcPr>
            <w:tcW w:w="1382" w:type="dxa"/>
          </w:tcPr>
          <w:p>
            <w:pPr>
              <w:pStyle w:val="TableParagraph"/>
              <w:spacing w:before="14"/>
              <w:ind w:left="69" w:right="68"/>
              <w:jc w:val="center"/>
              <w:rPr>
                <w:rFonts w:ascii="Times New Roman"/>
                <w:i/>
                <w:sz w:val="20"/>
              </w:rPr>
            </w:pPr>
            <w:r>
              <w:rPr>
                <w:rFonts w:ascii="Times New Roman"/>
                <w:i/>
                <w:sz w:val="20"/>
              </w:rPr>
              <w:t>IE_WPULSE</w:t>
            </w:r>
          </w:p>
        </w:tc>
        <w:tc>
          <w:tcPr>
            <w:tcW w:w="1380" w:type="dxa"/>
          </w:tcPr>
          <w:p>
            <w:pPr>
              <w:pStyle w:val="TableParagraph"/>
              <w:spacing w:before="14"/>
              <w:ind w:left="87" w:right="76"/>
              <w:jc w:val="center"/>
              <w:rPr>
                <w:rFonts w:ascii="Times New Roman"/>
                <w:i/>
                <w:sz w:val="20"/>
              </w:rPr>
            </w:pPr>
            <w:r>
              <w:rPr>
                <w:rFonts w:ascii="Times New Roman"/>
                <w:i/>
                <w:sz w:val="20"/>
              </w:rPr>
              <w:t>IE_VPULSE</w:t>
            </w:r>
          </w:p>
        </w:tc>
        <w:tc>
          <w:tcPr>
            <w:tcW w:w="1380" w:type="dxa"/>
            <w:shd w:val="clear" w:color="auto" w:fill="DADADA"/>
          </w:tcPr>
          <w:p>
            <w:pPr>
              <w:pStyle w:val="TableParagraph"/>
              <w:spacing w:before="14"/>
              <w:ind w:left="7"/>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4"/>
              <w:ind w:left="5"/>
              <w:jc w:val="center"/>
              <w:rPr>
                <w:rFonts w:ascii="Times New Roman"/>
                <w:i/>
                <w:sz w:val="20"/>
              </w:rPr>
            </w:pPr>
            <w:r>
              <w:rPr>
                <w:rFonts w:ascii="Times New Roman"/>
                <w:i/>
                <w:w w:val="99"/>
                <w:sz w:val="20"/>
              </w:rPr>
              <w:t>U</w:t>
            </w:r>
          </w:p>
        </w:tc>
        <w:tc>
          <w:tcPr>
            <w:tcW w:w="1442" w:type="dxa"/>
            <w:shd w:val="clear" w:color="auto" w:fill="DADADA"/>
          </w:tcPr>
          <w:p>
            <w:pPr>
              <w:pStyle w:val="TableParagraph"/>
              <w:spacing w:before="14"/>
              <w:ind w:left="8"/>
              <w:jc w:val="center"/>
              <w:rPr>
                <w:rFonts w:ascii="Times New Roman"/>
                <w:i/>
                <w:sz w:val="20"/>
              </w:rPr>
            </w:pPr>
            <w:r>
              <w:rPr>
                <w:rFonts w:ascii="Times New Roman"/>
                <w:i/>
                <w:w w:val="99"/>
                <w:sz w:val="20"/>
              </w:rPr>
              <w:t>U</w:t>
            </w:r>
          </w:p>
        </w:tc>
        <w:tc>
          <w:tcPr>
            <w:tcW w:w="1320" w:type="dxa"/>
            <w:shd w:val="clear" w:color="auto" w:fill="DADADA"/>
          </w:tcPr>
          <w:p>
            <w:pPr>
              <w:pStyle w:val="TableParagraph"/>
              <w:spacing w:before="14"/>
              <w:ind w:left="6"/>
              <w:jc w:val="center"/>
              <w:rPr>
                <w:rFonts w:ascii="Times New Roman"/>
                <w:i/>
                <w:sz w:val="20"/>
              </w:rPr>
            </w:pPr>
            <w:r>
              <w:rPr>
                <w:rFonts w:ascii="Times New Roman"/>
                <w:i/>
                <w:w w:val="99"/>
                <w:sz w:val="20"/>
              </w:rPr>
              <w:t>U</w:t>
            </w:r>
          </w:p>
        </w:tc>
        <w:tc>
          <w:tcPr>
            <w:tcW w:w="1380" w:type="dxa"/>
          </w:tcPr>
          <w:p>
            <w:pPr>
              <w:pStyle w:val="TableParagraph"/>
              <w:spacing w:before="14"/>
              <w:ind w:left="87" w:right="79"/>
              <w:jc w:val="center"/>
              <w:rPr>
                <w:rFonts w:ascii="Times New Roman"/>
                <w:i/>
                <w:sz w:val="20"/>
              </w:rPr>
            </w:pPr>
            <w:r>
              <w:rPr>
                <w:rFonts w:ascii="Times New Roman"/>
                <w:i/>
                <w:sz w:val="20"/>
              </w:rPr>
              <w:t>PB_STATE</w:t>
            </w:r>
          </w:p>
        </w:tc>
      </w:tr>
      <w:tr>
        <w:trPr>
          <w:trHeight w:val="270" w:hRule="atLeast"/>
        </w:trPr>
        <w:tc>
          <w:tcPr>
            <w:tcW w:w="1145" w:type="dxa"/>
          </w:tcPr>
          <w:p>
            <w:pPr>
              <w:pStyle w:val="TableParagraph"/>
              <w:spacing w:before="21"/>
              <w:ind w:left="23" w:right="15"/>
              <w:jc w:val="center"/>
              <w:rPr>
                <w:sz w:val="20"/>
              </w:rPr>
            </w:pPr>
            <w:r>
              <w:rPr>
                <w:sz w:val="20"/>
              </w:rPr>
              <w:t>STAT</w:t>
            </w:r>
          </w:p>
        </w:tc>
        <w:tc>
          <w:tcPr>
            <w:tcW w:w="768" w:type="dxa"/>
          </w:tcPr>
          <w:p>
            <w:pPr>
              <w:pStyle w:val="TableParagraph"/>
              <w:spacing w:before="21"/>
              <w:ind w:left="4"/>
              <w:jc w:val="center"/>
              <w:rPr>
                <w:sz w:val="20"/>
              </w:rPr>
            </w:pPr>
            <w:r>
              <w:rPr>
                <w:sz w:val="20"/>
              </w:rPr>
              <w:t>SFR F9</w:t>
            </w:r>
          </w:p>
        </w:tc>
        <w:tc>
          <w:tcPr>
            <w:tcW w:w="1380" w:type="dxa"/>
            <w:shd w:val="clear" w:color="auto" w:fill="DADADA"/>
          </w:tcPr>
          <w:p>
            <w:pPr>
              <w:pStyle w:val="TableParagraph"/>
              <w:spacing w:before="17"/>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7"/>
              <w:ind w:left="4"/>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7"/>
              <w:ind w:left="7"/>
              <w:jc w:val="center"/>
              <w:rPr>
                <w:rFonts w:ascii="Times New Roman"/>
                <w:i/>
                <w:sz w:val="20"/>
              </w:rPr>
            </w:pPr>
            <w:r>
              <w:rPr>
                <w:rFonts w:ascii="Times New Roman"/>
                <w:i/>
                <w:w w:val="99"/>
                <w:sz w:val="20"/>
              </w:rPr>
              <w:t>U</w:t>
            </w:r>
          </w:p>
        </w:tc>
        <w:tc>
          <w:tcPr>
            <w:tcW w:w="1380" w:type="dxa"/>
          </w:tcPr>
          <w:p>
            <w:pPr>
              <w:pStyle w:val="TableParagraph"/>
              <w:spacing w:before="17"/>
              <w:ind w:right="318"/>
              <w:jc w:val="right"/>
              <w:rPr>
                <w:rFonts w:ascii="Times New Roman"/>
                <w:i/>
                <w:sz w:val="20"/>
              </w:rPr>
            </w:pPr>
            <w:r>
              <w:rPr>
                <w:rFonts w:ascii="Times New Roman"/>
                <w:i/>
                <w:sz w:val="20"/>
              </w:rPr>
              <w:t>PLL_OK</w:t>
            </w:r>
          </w:p>
        </w:tc>
        <w:tc>
          <w:tcPr>
            <w:tcW w:w="1382" w:type="dxa"/>
            <w:shd w:val="clear" w:color="auto" w:fill="DADADA"/>
          </w:tcPr>
          <w:p>
            <w:pPr>
              <w:pStyle w:val="TableParagraph"/>
              <w:spacing w:before="17"/>
              <w:ind w:left="5"/>
              <w:jc w:val="center"/>
              <w:rPr>
                <w:rFonts w:ascii="Times New Roman"/>
                <w:i/>
                <w:sz w:val="20"/>
              </w:rPr>
            </w:pPr>
            <w:r>
              <w:rPr>
                <w:rFonts w:ascii="Times New Roman"/>
                <w:i/>
                <w:w w:val="99"/>
                <w:sz w:val="20"/>
              </w:rPr>
              <w:t>U</w:t>
            </w:r>
          </w:p>
        </w:tc>
        <w:tc>
          <w:tcPr>
            <w:tcW w:w="2762" w:type="dxa"/>
            <w:gridSpan w:val="2"/>
            <w:tcBorders>
              <w:right w:val="nil"/>
            </w:tcBorders>
          </w:tcPr>
          <w:p>
            <w:pPr>
              <w:pStyle w:val="TableParagraph"/>
              <w:spacing w:before="17"/>
              <w:ind w:left="1577"/>
              <w:rPr>
                <w:rFonts w:ascii="Times New Roman"/>
                <w:i/>
                <w:sz w:val="20"/>
              </w:rPr>
            </w:pPr>
            <w:r>
              <w:rPr>
                <w:rFonts w:ascii="Times New Roman"/>
                <w:i/>
                <w:sz w:val="20"/>
              </w:rPr>
              <w:t>VSTAT[2:0]</w:t>
            </w:r>
          </w:p>
        </w:tc>
        <w:tc>
          <w:tcPr>
            <w:tcW w:w="1380" w:type="dxa"/>
            <w:tcBorders>
              <w:left w:val="nil"/>
            </w:tcBorders>
          </w:tcPr>
          <w:p>
            <w:pPr>
              <w:pStyle w:val="TableParagraph"/>
              <w:rPr>
                <w:rFonts w:ascii="Times New Roman"/>
                <w:sz w:val="18"/>
              </w:rPr>
            </w:pPr>
          </w:p>
        </w:tc>
      </w:tr>
      <w:tr>
        <w:trPr>
          <w:trHeight w:val="270" w:hRule="atLeast"/>
        </w:trPr>
        <w:tc>
          <w:tcPr>
            <w:tcW w:w="1145" w:type="dxa"/>
          </w:tcPr>
          <w:p>
            <w:pPr>
              <w:pStyle w:val="TableParagraph"/>
              <w:spacing w:before="18"/>
              <w:ind w:left="21" w:right="15"/>
              <w:jc w:val="center"/>
              <w:rPr>
                <w:sz w:val="20"/>
              </w:rPr>
            </w:pPr>
            <w:r>
              <w:rPr>
                <w:sz w:val="20"/>
              </w:rPr>
              <w:t>REMOTE0</w:t>
            </w:r>
          </w:p>
        </w:tc>
        <w:tc>
          <w:tcPr>
            <w:tcW w:w="768" w:type="dxa"/>
          </w:tcPr>
          <w:p>
            <w:pPr>
              <w:pStyle w:val="TableParagraph"/>
              <w:spacing w:before="18"/>
              <w:ind w:left="8"/>
              <w:jc w:val="center"/>
              <w:rPr>
                <w:sz w:val="20"/>
              </w:rPr>
            </w:pPr>
            <w:r>
              <w:rPr>
                <w:sz w:val="20"/>
              </w:rPr>
              <w:t>SFR FC</w:t>
            </w:r>
          </w:p>
        </w:tc>
        <w:tc>
          <w:tcPr>
            <w:tcW w:w="1380" w:type="dxa"/>
            <w:shd w:val="clear" w:color="auto" w:fill="DADADA"/>
          </w:tcPr>
          <w:p>
            <w:pPr>
              <w:pStyle w:val="TableParagraph"/>
              <w:spacing w:before="14"/>
              <w:ind w:left="6"/>
              <w:jc w:val="center"/>
              <w:rPr>
                <w:rFonts w:ascii="Times New Roman"/>
                <w:i/>
                <w:sz w:val="20"/>
              </w:rPr>
            </w:pPr>
            <w:r>
              <w:rPr>
                <w:rFonts w:ascii="Times New Roman"/>
                <w:i/>
                <w:w w:val="99"/>
                <w:sz w:val="20"/>
              </w:rPr>
              <w:t>U</w:t>
            </w:r>
          </w:p>
        </w:tc>
        <w:tc>
          <w:tcPr>
            <w:tcW w:w="1382" w:type="dxa"/>
          </w:tcPr>
          <w:p>
            <w:pPr>
              <w:pStyle w:val="TableParagraph"/>
              <w:spacing w:before="14"/>
              <w:ind w:left="74" w:right="68"/>
              <w:jc w:val="center"/>
              <w:rPr>
                <w:rFonts w:ascii="Times New Roman"/>
                <w:i/>
                <w:sz w:val="20"/>
              </w:rPr>
            </w:pPr>
            <w:r>
              <w:rPr>
                <w:rFonts w:ascii="Times New Roman"/>
                <w:i/>
                <w:sz w:val="20"/>
              </w:rPr>
              <w:t>PERR_RD</w:t>
            </w:r>
          </w:p>
        </w:tc>
        <w:tc>
          <w:tcPr>
            <w:tcW w:w="1380" w:type="dxa"/>
          </w:tcPr>
          <w:p>
            <w:pPr>
              <w:pStyle w:val="TableParagraph"/>
              <w:spacing w:before="14"/>
              <w:ind w:left="87" w:right="83"/>
              <w:jc w:val="center"/>
              <w:rPr>
                <w:rFonts w:ascii="Times New Roman"/>
                <w:i/>
                <w:sz w:val="20"/>
              </w:rPr>
            </w:pPr>
            <w:r>
              <w:rPr>
                <w:rFonts w:ascii="Times New Roman"/>
                <w:i/>
                <w:sz w:val="20"/>
              </w:rPr>
              <w:t>PERR_WR</w:t>
            </w:r>
          </w:p>
        </w:tc>
        <w:tc>
          <w:tcPr>
            <w:tcW w:w="5524" w:type="dxa"/>
            <w:gridSpan w:val="4"/>
            <w:tcBorders>
              <w:right w:val="nil"/>
            </w:tcBorders>
          </w:tcPr>
          <w:p>
            <w:pPr>
              <w:pStyle w:val="TableParagraph"/>
              <w:spacing w:before="14"/>
              <w:ind w:left="2956"/>
              <w:rPr>
                <w:rFonts w:ascii="Times New Roman"/>
                <w:i/>
                <w:sz w:val="20"/>
              </w:rPr>
            </w:pPr>
            <w:r>
              <w:rPr>
                <w:rFonts w:ascii="Times New Roman"/>
                <w:i/>
                <w:sz w:val="20"/>
              </w:rPr>
              <w:t>RCMD[4:0]</w:t>
            </w:r>
          </w:p>
        </w:tc>
        <w:tc>
          <w:tcPr>
            <w:tcW w:w="1380" w:type="dxa"/>
            <w:tcBorders>
              <w:left w:val="nil"/>
            </w:tcBorders>
          </w:tcPr>
          <w:p>
            <w:pPr>
              <w:pStyle w:val="TableParagraph"/>
              <w:rPr>
                <w:rFonts w:ascii="Times New Roman"/>
                <w:sz w:val="18"/>
              </w:rPr>
            </w:pPr>
          </w:p>
        </w:tc>
      </w:tr>
      <w:tr>
        <w:trPr>
          <w:trHeight w:val="268" w:hRule="atLeast"/>
        </w:trPr>
        <w:tc>
          <w:tcPr>
            <w:tcW w:w="1145" w:type="dxa"/>
          </w:tcPr>
          <w:p>
            <w:pPr>
              <w:pStyle w:val="TableParagraph"/>
              <w:spacing w:before="18"/>
              <w:ind w:left="22" w:right="15"/>
              <w:jc w:val="center"/>
              <w:rPr>
                <w:sz w:val="20"/>
              </w:rPr>
            </w:pPr>
            <w:r>
              <w:rPr>
                <w:sz w:val="20"/>
              </w:rPr>
              <w:t>SPI1</w:t>
            </w:r>
          </w:p>
        </w:tc>
        <w:tc>
          <w:tcPr>
            <w:tcW w:w="768" w:type="dxa"/>
          </w:tcPr>
          <w:p>
            <w:pPr>
              <w:pStyle w:val="TableParagraph"/>
              <w:spacing w:before="18"/>
              <w:ind w:left="8"/>
              <w:jc w:val="center"/>
              <w:rPr>
                <w:sz w:val="20"/>
              </w:rPr>
            </w:pPr>
            <w:r>
              <w:rPr>
                <w:sz w:val="20"/>
              </w:rPr>
              <w:t>SFR FD</w:t>
            </w:r>
          </w:p>
        </w:tc>
        <w:tc>
          <w:tcPr>
            <w:tcW w:w="11046" w:type="dxa"/>
            <w:gridSpan w:val="8"/>
          </w:tcPr>
          <w:p>
            <w:pPr>
              <w:pStyle w:val="TableParagraph"/>
              <w:spacing w:before="14"/>
              <w:ind w:left="3673" w:right="3665"/>
              <w:jc w:val="center"/>
              <w:rPr>
                <w:rFonts w:ascii="Times New Roman"/>
                <w:i/>
                <w:sz w:val="20"/>
              </w:rPr>
            </w:pPr>
            <w:r>
              <w:rPr>
                <w:rFonts w:ascii="Times New Roman"/>
                <w:i/>
                <w:sz w:val="20"/>
              </w:rPr>
              <w:t>SPI_CMD[7:0]</w:t>
            </w:r>
          </w:p>
        </w:tc>
      </w:tr>
      <w:tr>
        <w:trPr>
          <w:trHeight w:val="270" w:hRule="atLeast"/>
        </w:trPr>
        <w:tc>
          <w:tcPr>
            <w:tcW w:w="1145" w:type="dxa"/>
          </w:tcPr>
          <w:p>
            <w:pPr>
              <w:pStyle w:val="TableParagraph"/>
              <w:spacing w:before="21"/>
              <w:ind w:left="22" w:right="15"/>
              <w:jc w:val="center"/>
              <w:rPr>
                <w:sz w:val="20"/>
              </w:rPr>
            </w:pPr>
            <w:r>
              <w:rPr>
                <w:sz w:val="20"/>
              </w:rPr>
              <w:t>SPI0</w:t>
            </w:r>
          </w:p>
        </w:tc>
        <w:tc>
          <w:tcPr>
            <w:tcW w:w="768" w:type="dxa"/>
          </w:tcPr>
          <w:p>
            <w:pPr>
              <w:pStyle w:val="TableParagraph"/>
              <w:spacing w:before="21"/>
              <w:ind w:left="4"/>
              <w:jc w:val="center"/>
              <w:rPr>
                <w:sz w:val="20"/>
              </w:rPr>
            </w:pPr>
            <w:r>
              <w:rPr>
                <w:sz w:val="20"/>
              </w:rPr>
              <w:t>2708</w:t>
            </w:r>
          </w:p>
        </w:tc>
        <w:tc>
          <w:tcPr>
            <w:tcW w:w="11046" w:type="dxa"/>
            <w:gridSpan w:val="8"/>
          </w:tcPr>
          <w:p>
            <w:pPr>
              <w:pStyle w:val="TableParagraph"/>
              <w:spacing w:before="17"/>
              <w:ind w:left="3673" w:right="3665"/>
              <w:jc w:val="center"/>
              <w:rPr>
                <w:rFonts w:ascii="Times New Roman"/>
                <w:i/>
                <w:sz w:val="20"/>
              </w:rPr>
            </w:pPr>
            <w:r>
              <w:rPr>
                <w:rFonts w:ascii="Times New Roman"/>
                <w:i/>
                <w:sz w:val="20"/>
              </w:rPr>
              <w:t>SPI_STAT[7:0]</w:t>
            </w:r>
          </w:p>
        </w:tc>
      </w:tr>
      <w:tr>
        <w:trPr>
          <w:trHeight w:val="270" w:hRule="atLeast"/>
        </w:trPr>
        <w:tc>
          <w:tcPr>
            <w:tcW w:w="1145" w:type="dxa"/>
          </w:tcPr>
          <w:p>
            <w:pPr>
              <w:pStyle w:val="TableParagraph"/>
              <w:spacing w:before="18"/>
              <w:ind w:left="20" w:right="15"/>
              <w:jc w:val="center"/>
              <w:rPr>
                <w:sz w:val="20"/>
              </w:rPr>
            </w:pPr>
            <w:r>
              <w:rPr>
                <w:sz w:val="20"/>
              </w:rPr>
              <w:t>RCE0</w:t>
            </w:r>
          </w:p>
        </w:tc>
        <w:tc>
          <w:tcPr>
            <w:tcW w:w="768" w:type="dxa"/>
          </w:tcPr>
          <w:p>
            <w:pPr>
              <w:pStyle w:val="TableParagraph"/>
              <w:spacing w:before="18"/>
              <w:ind w:left="4"/>
              <w:jc w:val="center"/>
              <w:rPr>
                <w:sz w:val="20"/>
              </w:rPr>
            </w:pPr>
            <w:r>
              <w:rPr>
                <w:sz w:val="20"/>
              </w:rPr>
              <w:t>2709</w:t>
            </w:r>
          </w:p>
        </w:tc>
        <w:tc>
          <w:tcPr>
            <w:tcW w:w="2762" w:type="dxa"/>
            <w:gridSpan w:val="2"/>
          </w:tcPr>
          <w:p>
            <w:pPr>
              <w:pStyle w:val="TableParagraph"/>
              <w:spacing w:before="14"/>
              <w:ind w:left="834"/>
              <w:rPr>
                <w:rFonts w:ascii="Times New Roman"/>
                <w:i/>
                <w:sz w:val="20"/>
              </w:rPr>
            </w:pPr>
            <w:r>
              <w:rPr>
                <w:rFonts w:ascii="Times New Roman"/>
                <w:i/>
                <w:sz w:val="20"/>
              </w:rPr>
              <w:t>CHOPR[1:0]</w:t>
            </w:r>
          </w:p>
        </w:tc>
        <w:tc>
          <w:tcPr>
            <w:tcW w:w="1380" w:type="dxa"/>
          </w:tcPr>
          <w:p>
            <w:pPr>
              <w:pStyle w:val="TableParagraph"/>
              <w:spacing w:before="14"/>
              <w:ind w:left="87" w:right="77"/>
              <w:jc w:val="center"/>
              <w:rPr>
                <w:rFonts w:ascii="Times New Roman"/>
                <w:i/>
                <w:sz w:val="20"/>
              </w:rPr>
            </w:pPr>
            <w:r>
              <w:rPr>
                <w:rFonts w:ascii="Times New Roman"/>
                <w:i/>
                <w:sz w:val="20"/>
              </w:rPr>
              <w:t>RMT6_E</w:t>
            </w:r>
          </w:p>
        </w:tc>
        <w:tc>
          <w:tcPr>
            <w:tcW w:w="1380" w:type="dxa"/>
          </w:tcPr>
          <w:p>
            <w:pPr>
              <w:pStyle w:val="TableParagraph"/>
              <w:spacing w:before="14"/>
              <w:ind w:right="316"/>
              <w:jc w:val="right"/>
              <w:rPr>
                <w:rFonts w:ascii="Times New Roman"/>
                <w:i/>
                <w:sz w:val="20"/>
              </w:rPr>
            </w:pPr>
            <w:r>
              <w:rPr>
                <w:rFonts w:ascii="Times New Roman"/>
                <w:i/>
                <w:w w:val="95"/>
                <w:sz w:val="20"/>
              </w:rPr>
              <w:t>RMT4_E</w:t>
            </w:r>
          </w:p>
        </w:tc>
        <w:tc>
          <w:tcPr>
            <w:tcW w:w="1382" w:type="dxa"/>
          </w:tcPr>
          <w:p>
            <w:pPr>
              <w:pStyle w:val="TableParagraph"/>
              <w:spacing w:before="14"/>
              <w:ind w:right="318"/>
              <w:jc w:val="right"/>
              <w:rPr>
                <w:rFonts w:ascii="Times New Roman"/>
                <w:i/>
                <w:sz w:val="20"/>
              </w:rPr>
            </w:pPr>
            <w:r>
              <w:rPr>
                <w:rFonts w:ascii="Times New Roman"/>
                <w:i/>
                <w:w w:val="95"/>
                <w:sz w:val="20"/>
              </w:rPr>
              <w:t>RMT2_E</w:t>
            </w:r>
          </w:p>
        </w:tc>
        <w:tc>
          <w:tcPr>
            <w:tcW w:w="4142" w:type="dxa"/>
            <w:gridSpan w:val="3"/>
          </w:tcPr>
          <w:p>
            <w:pPr>
              <w:pStyle w:val="TableParagraph"/>
              <w:spacing w:before="14"/>
              <w:ind w:left="1401" w:right="1398"/>
              <w:jc w:val="center"/>
              <w:rPr>
                <w:rFonts w:ascii="Times New Roman"/>
                <w:i/>
                <w:sz w:val="20"/>
              </w:rPr>
            </w:pPr>
            <w:r>
              <w:rPr>
                <w:rFonts w:ascii="Times New Roman"/>
                <w:i/>
                <w:sz w:val="20"/>
              </w:rPr>
              <w:t>TMUXR6[2:0]</w:t>
            </w:r>
          </w:p>
        </w:tc>
      </w:tr>
      <w:tr>
        <w:trPr>
          <w:trHeight w:val="268" w:hRule="atLeast"/>
        </w:trPr>
        <w:tc>
          <w:tcPr>
            <w:tcW w:w="1145" w:type="dxa"/>
          </w:tcPr>
          <w:p>
            <w:pPr>
              <w:pStyle w:val="TableParagraph"/>
              <w:spacing w:before="18"/>
              <w:ind w:left="22" w:right="15"/>
              <w:jc w:val="center"/>
              <w:rPr>
                <w:sz w:val="20"/>
              </w:rPr>
            </w:pPr>
            <w:r>
              <w:rPr>
                <w:sz w:val="20"/>
              </w:rPr>
              <w:t>RTMUX</w:t>
            </w:r>
          </w:p>
        </w:tc>
        <w:tc>
          <w:tcPr>
            <w:tcW w:w="768" w:type="dxa"/>
          </w:tcPr>
          <w:p>
            <w:pPr>
              <w:pStyle w:val="TableParagraph"/>
              <w:spacing w:before="18"/>
              <w:ind w:left="5"/>
              <w:jc w:val="center"/>
              <w:rPr>
                <w:sz w:val="20"/>
              </w:rPr>
            </w:pPr>
            <w:r>
              <w:rPr>
                <w:sz w:val="20"/>
              </w:rPr>
              <w:t>270A</w:t>
            </w:r>
          </w:p>
        </w:tc>
        <w:tc>
          <w:tcPr>
            <w:tcW w:w="1380" w:type="dxa"/>
            <w:shd w:val="clear" w:color="auto" w:fill="DADADA"/>
          </w:tcPr>
          <w:p>
            <w:pPr>
              <w:pStyle w:val="TableParagraph"/>
              <w:spacing w:before="14"/>
              <w:ind w:left="6"/>
              <w:jc w:val="center"/>
              <w:rPr>
                <w:rFonts w:ascii="Times New Roman"/>
                <w:i/>
                <w:sz w:val="20"/>
              </w:rPr>
            </w:pPr>
            <w:r>
              <w:rPr>
                <w:rFonts w:ascii="Times New Roman"/>
                <w:i/>
                <w:w w:val="99"/>
                <w:sz w:val="20"/>
              </w:rPr>
              <w:t>U</w:t>
            </w:r>
          </w:p>
        </w:tc>
        <w:tc>
          <w:tcPr>
            <w:tcW w:w="4142" w:type="dxa"/>
            <w:gridSpan w:val="3"/>
          </w:tcPr>
          <w:p>
            <w:pPr>
              <w:pStyle w:val="TableParagraph"/>
              <w:spacing w:before="14"/>
              <w:ind w:left="1399" w:right="1398"/>
              <w:jc w:val="center"/>
              <w:rPr>
                <w:rFonts w:ascii="Times New Roman"/>
                <w:i/>
                <w:sz w:val="20"/>
              </w:rPr>
            </w:pPr>
            <w:r>
              <w:rPr>
                <w:rFonts w:ascii="Times New Roman"/>
                <w:i/>
                <w:sz w:val="20"/>
              </w:rPr>
              <w:t>TMUXR4[2:0]</w:t>
            </w:r>
          </w:p>
        </w:tc>
        <w:tc>
          <w:tcPr>
            <w:tcW w:w="1382" w:type="dxa"/>
            <w:shd w:val="clear" w:color="auto" w:fill="DADADA"/>
          </w:tcPr>
          <w:p>
            <w:pPr>
              <w:pStyle w:val="TableParagraph"/>
              <w:spacing w:before="14"/>
              <w:ind w:left="5"/>
              <w:jc w:val="center"/>
              <w:rPr>
                <w:rFonts w:ascii="Times New Roman"/>
                <w:i/>
                <w:sz w:val="20"/>
              </w:rPr>
            </w:pPr>
            <w:r>
              <w:rPr>
                <w:rFonts w:ascii="Times New Roman"/>
                <w:i/>
                <w:w w:val="99"/>
                <w:sz w:val="20"/>
              </w:rPr>
              <w:t>U</w:t>
            </w:r>
          </w:p>
        </w:tc>
        <w:tc>
          <w:tcPr>
            <w:tcW w:w="4142" w:type="dxa"/>
            <w:gridSpan w:val="3"/>
          </w:tcPr>
          <w:p>
            <w:pPr>
              <w:pStyle w:val="TableParagraph"/>
              <w:spacing w:before="14"/>
              <w:ind w:left="1401" w:right="1398"/>
              <w:jc w:val="center"/>
              <w:rPr>
                <w:rFonts w:ascii="Times New Roman"/>
                <w:i/>
                <w:sz w:val="20"/>
              </w:rPr>
            </w:pPr>
            <w:r>
              <w:rPr>
                <w:rFonts w:ascii="Times New Roman"/>
                <w:i/>
                <w:sz w:val="20"/>
              </w:rPr>
              <w:t>TMUXR2[2:0]</w:t>
            </w:r>
          </w:p>
        </w:tc>
      </w:tr>
      <w:tr>
        <w:trPr>
          <w:trHeight w:val="270" w:hRule="atLeast"/>
        </w:trPr>
        <w:tc>
          <w:tcPr>
            <w:tcW w:w="1145" w:type="dxa"/>
          </w:tcPr>
          <w:p>
            <w:pPr>
              <w:pStyle w:val="TableParagraph"/>
              <w:spacing w:before="21"/>
              <w:ind w:left="22" w:right="15"/>
              <w:jc w:val="center"/>
              <w:rPr>
                <w:sz w:val="20"/>
              </w:rPr>
            </w:pPr>
            <w:r>
              <w:rPr>
                <w:sz w:val="20"/>
              </w:rPr>
              <w:t>DIO3</w:t>
            </w:r>
          </w:p>
        </w:tc>
        <w:tc>
          <w:tcPr>
            <w:tcW w:w="768" w:type="dxa"/>
          </w:tcPr>
          <w:p>
            <w:pPr>
              <w:pStyle w:val="TableParagraph"/>
              <w:spacing w:before="21"/>
              <w:ind w:left="3"/>
              <w:jc w:val="center"/>
              <w:rPr>
                <w:sz w:val="20"/>
              </w:rPr>
            </w:pPr>
            <w:r>
              <w:rPr>
                <w:sz w:val="20"/>
              </w:rPr>
              <w:t>270C</w:t>
            </w:r>
          </w:p>
        </w:tc>
        <w:tc>
          <w:tcPr>
            <w:tcW w:w="1380" w:type="dxa"/>
            <w:shd w:val="clear" w:color="auto" w:fill="DADADA"/>
          </w:tcPr>
          <w:p>
            <w:pPr>
              <w:pStyle w:val="TableParagraph"/>
              <w:spacing w:before="17"/>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7"/>
              <w:ind w:left="4"/>
              <w:jc w:val="center"/>
              <w:rPr>
                <w:rFonts w:ascii="Times New Roman"/>
                <w:i/>
                <w:sz w:val="20"/>
              </w:rPr>
            </w:pPr>
            <w:r>
              <w:rPr>
                <w:rFonts w:ascii="Times New Roman"/>
                <w:i/>
                <w:w w:val="99"/>
                <w:sz w:val="20"/>
              </w:rPr>
              <w:t>U</w:t>
            </w:r>
          </w:p>
        </w:tc>
        <w:tc>
          <w:tcPr>
            <w:tcW w:w="1380" w:type="dxa"/>
          </w:tcPr>
          <w:p>
            <w:pPr>
              <w:pStyle w:val="TableParagraph"/>
              <w:spacing w:before="17"/>
              <w:ind w:left="87" w:right="78"/>
              <w:jc w:val="center"/>
              <w:rPr>
                <w:rFonts w:ascii="Times New Roman"/>
                <w:i/>
                <w:sz w:val="20"/>
              </w:rPr>
            </w:pPr>
            <w:r>
              <w:rPr>
                <w:rFonts w:ascii="Times New Roman"/>
                <w:i/>
                <w:sz w:val="20"/>
              </w:rPr>
              <w:t>PORT_E</w:t>
            </w:r>
          </w:p>
        </w:tc>
        <w:tc>
          <w:tcPr>
            <w:tcW w:w="1380" w:type="dxa"/>
          </w:tcPr>
          <w:p>
            <w:pPr>
              <w:pStyle w:val="TableParagraph"/>
              <w:spacing w:before="17"/>
              <w:ind w:left="434"/>
              <w:rPr>
                <w:rFonts w:ascii="Times New Roman"/>
                <w:i/>
                <w:sz w:val="20"/>
              </w:rPr>
            </w:pPr>
            <w:r>
              <w:rPr>
                <w:rFonts w:ascii="Times New Roman"/>
                <w:i/>
                <w:sz w:val="20"/>
              </w:rPr>
              <w:t>SPI_E</w:t>
            </w:r>
          </w:p>
        </w:tc>
        <w:tc>
          <w:tcPr>
            <w:tcW w:w="1382" w:type="dxa"/>
          </w:tcPr>
          <w:p>
            <w:pPr>
              <w:pStyle w:val="TableParagraph"/>
              <w:spacing w:before="17"/>
              <w:ind w:right="252"/>
              <w:jc w:val="right"/>
              <w:rPr>
                <w:rFonts w:ascii="Times New Roman"/>
                <w:i/>
                <w:sz w:val="20"/>
              </w:rPr>
            </w:pPr>
            <w:r>
              <w:rPr>
                <w:rFonts w:ascii="Times New Roman"/>
                <w:i/>
                <w:w w:val="95"/>
                <w:sz w:val="20"/>
              </w:rPr>
              <w:t>SPI_SAFE</w:t>
            </w:r>
          </w:p>
        </w:tc>
        <w:tc>
          <w:tcPr>
            <w:tcW w:w="1442" w:type="dxa"/>
            <w:shd w:val="clear" w:color="auto" w:fill="DADADA"/>
          </w:tcPr>
          <w:p>
            <w:pPr>
              <w:pStyle w:val="TableParagraph"/>
              <w:spacing w:before="17"/>
              <w:ind w:left="8"/>
              <w:jc w:val="center"/>
              <w:rPr>
                <w:rFonts w:ascii="Times New Roman"/>
                <w:i/>
                <w:sz w:val="20"/>
              </w:rPr>
            </w:pPr>
            <w:r>
              <w:rPr>
                <w:rFonts w:ascii="Times New Roman"/>
                <w:i/>
                <w:w w:val="99"/>
                <w:sz w:val="20"/>
              </w:rPr>
              <w:t>U</w:t>
            </w:r>
          </w:p>
        </w:tc>
        <w:tc>
          <w:tcPr>
            <w:tcW w:w="1320" w:type="dxa"/>
            <w:shd w:val="clear" w:color="auto" w:fill="DADADA"/>
          </w:tcPr>
          <w:p>
            <w:pPr>
              <w:pStyle w:val="TableParagraph"/>
              <w:spacing w:before="17"/>
              <w:ind w:left="6"/>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7"/>
              <w:ind w:left="9"/>
              <w:jc w:val="center"/>
              <w:rPr>
                <w:rFonts w:ascii="Times New Roman"/>
                <w:i/>
                <w:sz w:val="20"/>
              </w:rPr>
            </w:pPr>
            <w:r>
              <w:rPr>
                <w:rFonts w:ascii="Times New Roman"/>
                <w:i/>
                <w:w w:val="99"/>
                <w:sz w:val="20"/>
              </w:rPr>
              <w:t>U</w:t>
            </w:r>
          </w:p>
        </w:tc>
      </w:tr>
      <w:tr>
        <w:trPr>
          <w:trHeight w:val="270" w:hRule="atLeast"/>
        </w:trPr>
        <w:tc>
          <w:tcPr>
            <w:tcW w:w="12959" w:type="dxa"/>
            <w:gridSpan w:val="10"/>
          </w:tcPr>
          <w:p>
            <w:pPr>
              <w:pStyle w:val="TableParagraph"/>
              <w:spacing w:before="18"/>
              <w:ind w:left="170"/>
              <w:rPr>
                <w:b/>
                <w:i/>
                <w:sz w:val="20"/>
              </w:rPr>
            </w:pPr>
            <w:r>
              <w:rPr>
                <w:b/>
                <w:i/>
                <w:sz w:val="20"/>
              </w:rPr>
              <w:t>NV RAM and RTC</w:t>
            </w:r>
          </w:p>
        </w:tc>
      </w:tr>
      <w:tr>
        <w:trPr>
          <w:trHeight w:val="520" w:hRule="atLeast"/>
        </w:trPr>
        <w:tc>
          <w:tcPr>
            <w:tcW w:w="1145" w:type="dxa"/>
          </w:tcPr>
          <w:p>
            <w:pPr>
              <w:pStyle w:val="TableParagraph"/>
              <w:spacing w:before="143"/>
              <w:ind w:left="20" w:right="15"/>
              <w:jc w:val="center"/>
              <w:rPr>
                <w:sz w:val="20"/>
              </w:rPr>
            </w:pPr>
            <w:r>
              <w:rPr>
                <w:sz w:val="20"/>
              </w:rPr>
              <w:t>NVRAMxx</w:t>
            </w:r>
          </w:p>
        </w:tc>
        <w:tc>
          <w:tcPr>
            <w:tcW w:w="768" w:type="dxa"/>
          </w:tcPr>
          <w:p>
            <w:pPr>
              <w:pStyle w:val="TableParagraph"/>
              <w:spacing w:before="18"/>
              <w:ind w:left="126"/>
              <w:rPr>
                <w:sz w:val="20"/>
              </w:rPr>
            </w:pPr>
            <w:r>
              <w:rPr>
                <w:sz w:val="20"/>
              </w:rPr>
              <w:t>2800-</w:t>
            </w:r>
          </w:p>
          <w:p>
            <w:pPr>
              <w:pStyle w:val="TableParagraph"/>
              <w:spacing w:before="20"/>
              <w:ind w:left="153"/>
              <w:rPr>
                <w:sz w:val="20"/>
              </w:rPr>
            </w:pPr>
            <w:r>
              <w:rPr>
                <w:sz w:val="20"/>
              </w:rPr>
              <w:t>287F</w:t>
            </w:r>
          </w:p>
        </w:tc>
        <w:tc>
          <w:tcPr>
            <w:tcW w:w="11046" w:type="dxa"/>
            <w:gridSpan w:val="8"/>
          </w:tcPr>
          <w:p>
            <w:pPr>
              <w:pStyle w:val="TableParagraph"/>
              <w:spacing w:before="138"/>
              <w:ind w:left="3673" w:right="3666"/>
              <w:jc w:val="center"/>
              <w:rPr>
                <w:i/>
                <w:sz w:val="20"/>
              </w:rPr>
            </w:pPr>
            <w:r>
              <w:rPr>
                <w:rFonts w:ascii="Times New Roman" w:hAnsi="Times New Roman"/>
                <w:i/>
                <w:sz w:val="20"/>
              </w:rPr>
              <w:t>NVRAM[0] – NVRAM[7F]  </w:t>
            </w:r>
            <w:r>
              <w:rPr>
                <w:i/>
                <w:sz w:val="20"/>
              </w:rPr>
              <w:t>– Direct Access</w:t>
            </w:r>
          </w:p>
        </w:tc>
      </w:tr>
      <w:tr>
        <w:trPr>
          <w:trHeight w:val="268" w:hRule="atLeast"/>
        </w:trPr>
        <w:tc>
          <w:tcPr>
            <w:tcW w:w="1145" w:type="dxa"/>
          </w:tcPr>
          <w:p>
            <w:pPr>
              <w:pStyle w:val="TableParagraph"/>
              <w:spacing w:before="18"/>
              <w:ind w:left="24" w:right="12"/>
              <w:jc w:val="center"/>
              <w:rPr>
                <w:sz w:val="20"/>
              </w:rPr>
            </w:pPr>
            <w:r>
              <w:rPr>
                <w:sz w:val="20"/>
              </w:rPr>
              <w:t>WAKE</w:t>
            </w:r>
          </w:p>
        </w:tc>
        <w:tc>
          <w:tcPr>
            <w:tcW w:w="768" w:type="dxa"/>
          </w:tcPr>
          <w:p>
            <w:pPr>
              <w:pStyle w:val="TableParagraph"/>
              <w:spacing w:before="18"/>
              <w:ind w:left="4"/>
              <w:jc w:val="center"/>
              <w:rPr>
                <w:sz w:val="20"/>
              </w:rPr>
            </w:pPr>
            <w:r>
              <w:rPr>
                <w:sz w:val="20"/>
              </w:rPr>
              <w:t>2880</w:t>
            </w:r>
          </w:p>
        </w:tc>
        <w:tc>
          <w:tcPr>
            <w:tcW w:w="11046" w:type="dxa"/>
            <w:gridSpan w:val="8"/>
            <w:shd w:val="clear" w:color="auto" w:fill="A8A8A8"/>
          </w:tcPr>
          <w:p>
            <w:pPr>
              <w:pStyle w:val="TableParagraph"/>
              <w:spacing w:before="14"/>
              <w:ind w:left="3671" w:right="3666"/>
              <w:jc w:val="center"/>
              <w:rPr>
                <w:rFonts w:ascii="Times New Roman"/>
                <w:i/>
                <w:sz w:val="20"/>
              </w:rPr>
            </w:pPr>
            <w:r>
              <w:rPr>
                <w:rFonts w:ascii="Times New Roman"/>
                <w:i/>
                <w:sz w:val="20"/>
              </w:rPr>
              <w:t>WAKE_TMR[7:0]</w:t>
            </w:r>
          </w:p>
        </w:tc>
      </w:tr>
      <w:tr>
        <w:trPr>
          <w:trHeight w:val="270" w:hRule="atLeast"/>
        </w:trPr>
        <w:tc>
          <w:tcPr>
            <w:tcW w:w="1145" w:type="dxa"/>
          </w:tcPr>
          <w:p>
            <w:pPr>
              <w:pStyle w:val="TableParagraph"/>
              <w:spacing w:before="18"/>
              <w:ind w:left="21" w:right="15"/>
              <w:jc w:val="center"/>
              <w:rPr>
                <w:sz w:val="20"/>
              </w:rPr>
            </w:pPr>
            <w:r>
              <w:rPr>
                <w:sz w:val="20"/>
              </w:rPr>
              <w:t>STEMP1</w:t>
            </w:r>
          </w:p>
        </w:tc>
        <w:tc>
          <w:tcPr>
            <w:tcW w:w="768" w:type="dxa"/>
          </w:tcPr>
          <w:p>
            <w:pPr>
              <w:pStyle w:val="TableParagraph"/>
              <w:spacing w:before="18"/>
              <w:ind w:left="4"/>
              <w:jc w:val="center"/>
              <w:rPr>
                <w:sz w:val="20"/>
              </w:rPr>
            </w:pPr>
            <w:r>
              <w:rPr>
                <w:sz w:val="20"/>
              </w:rPr>
              <w:t>2881</w:t>
            </w:r>
          </w:p>
        </w:tc>
        <w:tc>
          <w:tcPr>
            <w:tcW w:w="11046" w:type="dxa"/>
            <w:gridSpan w:val="8"/>
          </w:tcPr>
          <w:p>
            <w:pPr>
              <w:pStyle w:val="TableParagraph"/>
              <w:spacing w:before="14"/>
              <w:ind w:left="3672" w:right="3666"/>
              <w:jc w:val="center"/>
              <w:rPr>
                <w:rFonts w:ascii="Times New Roman"/>
                <w:i/>
                <w:sz w:val="20"/>
              </w:rPr>
            </w:pPr>
            <w:r>
              <w:rPr>
                <w:rFonts w:ascii="Times New Roman"/>
                <w:i/>
                <w:sz w:val="20"/>
              </w:rPr>
              <w:t>STEMP[10:3]</w:t>
            </w:r>
          </w:p>
        </w:tc>
      </w:tr>
      <w:tr>
        <w:trPr>
          <w:trHeight w:val="270" w:hRule="atLeast"/>
        </w:trPr>
        <w:tc>
          <w:tcPr>
            <w:tcW w:w="1145" w:type="dxa"/>
          </w:tcPr>
          <w:p>
            <w:pPr>
              <w:pStyle w:val="TableParagraph"/>
              <w:spacing w:before="18"/>
              <w:ind w:left="21" w:right="15"/>
              <w:jc w:val="center"/>
              <w:rPr>
                <w:sz w:val="20"/>
              </w:rPr>
            </w:pPr>
            <w:r>
              <w:rPr>
                <w:sz w:val="20"/>
              </w:rPr>
              <w:t>STEMP0</w:t>
            </w:r>
          </w:p>
        </w:tc>
        <w:tc>
          <w:tcPr>
            <w:tcW w:w="768" w:type="dxa"/>
          </w:tcPr>
          <w:p>
            <w:pPr>
              <w:pStyle w:val="TableParagraph"/>
              <w:spacing w:before="18"/>
              <w:ind w:left="4"/>
              <w:jc w:val="center"/>
              <w:rPr>
                <w:sz w:val="20"/>
              </w:rPr>
            </w:pPr>
            <w:r>
              <w:rPr>
                <w:sz w:val="20"/>
              </w:rPr>
              <w:t>2882</w:t>
            </w:r>
          </w:p>
        </w:tc>
        <w:tc>
          <w:tcPr>
            <w:tcW w:w="4142" w:type="dxa"/>
            <w:gridSpan w:val="3"/>
          </w:tcPr>
          <w:p>
            <w:pPr>
              <w:pStyle w:val="TableParagraph"/>
              <w:spacing w:before="14"/>
              <w:ind w:left="1403" w:right="1398"/>
              <w:jc w:val="center"/>
              <w:rPr>
                <w:rFonts w:ascii="Times New Roman"/>
                <w:i/>
                <w:sz w:val="20"/>
              </w:rPr>
            </w:pPr>
            <w:r>
              <w:rPr>
                <w:rFonts w:ascii="Times New Roman"/>
                <w:i/>
                <w:sz w:val="20"/>
              </w:rPr>
              <w:t>STEMP[2:0]</w:t>
            </w:r>
          </w:p>
        </w:tc>
        <w:tc>
          <w:tcPr>
            <w:tcW w:w="1380" w:type="dxa"/>
            <w:shd w:val="clear" w:color="auto" w:fill="DADADA"/>
          </w:tcPr>
          <w:p>
            <w:pPr>
              <w:pStyle w:val="TableParagraph"/>
              <w:spacing w:before="14"/>
              <w:ind w:left="7"/>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4"/>
              <w:ind w:left="5"/>
              <w:jc w:val="center"/>
              <w:rPr>
                <w:rFonts w:ascii="Times New Roman"/>
                <w:i/>
                <w:sz w:val="20"/>
              </w:rPr>
            </w:pPr>
            <w:r>
              <w:rPr>
                <w:rFonts w:ascii="Times New Roman"/>
                <w:i/>
                <w:w w:val="99"/>
                <w:sz w:val="20"/>
              </w:rPr>
              <w:t>U</w:t>
            </w:r>
          </w:p>
        </w:tc>
        <w:tc>
          <w:tcPr>
            <w:tcW w:w="1442" w:type="dxa"/>
            <w:shd w:val="clear" w:color="auto" w:fill="DADADA"/>
          </w:tcPr>
          <w:p>
            <w:pPr>
              <w:pStyle w:val="TableParagraph"/>
              <w:spacing w:before="14"/>
              <w:ind w:left="8"/>
              <w:jc w:val="center"/>
              <w:rPr>
                <w:rFonts w:ascii="Times New Roman"/>
                <w:i/>
                <w:sz w:val="20"/>
              </w:rPr>
            </w:pPr>
            <w:r>
              <w:rPr>
                <w:rFonts w:ascii="Times New Roman"/>
                <w:i/>
                <w:w w:val="99"/>
                <w:sz w:val="20"/>
              </w:rPr>
              <w:t>U</w:t>
            </w:r>
          </w:p>
        </w:tc>
        <w:tc>
          <w:tcPr>
            <w:tcW w:w="1320" w:type="dxa"/>
            <w:shd w:val="clear" w:color="auto" w:fill="DADADA"/>
          </w:tcPr>
          <w:p>
            <w:pPr>
              <w:pStyle w:val="TableParagraph"/>
              <w:spacing w:before="14"/>
              <w:ind w:left="6"/>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4"/>
              <w:ind w:left="9"/>
              <w:jc w:val="center"/>
              <w:rPr>
                <w:rFonts w:ascii="Times New Roman"/>
                <w:i/>
                <w:sz w:val="20"/>
              </w:rPr>
            </w:pPr>
            <w:r>
              <w:rPr>
                <w:rFonts w:ascii="Times New Roman"/>
                <w:i/>
                <w:w w:val="99"/>
                <w:sz w:val="20"/>
              </w:rPr>
              <w:t>U</w:t>
            </w:r>
          </w:p>
        </w:tc>
      </w:tr>
      <w:tr>
        <w:trPr>
          <w:trHeight w:val="268" w:hRule="atLeast"/>
        </w:trPr>
        <w:tc>
          <w:tcPr>
            <w:tcW w:w="1145" w:type="dxa"/>
          </w:tcPr>
          <w:p>
            <w:pPr>
              <w:pStyle w:val="TableParagraph"/>
              <w:spacing w:before="18"/>
              <w:ind w:left="19" w:right="15"/>
              <w:jc w:val="center"/>
              <w:rPr>
                <w:sz w:val="20"/>
              </w:rPr>
            </w:pPr>
            <w:r>
              <w:rPr>
                <w:sz w:val="20"/>
              </w:rPr>
              <w:t>BSENSE</w:t>
            </w:r>
          </w:p>
        </w:tc>
        <w:tc>
          <w:tcPr>
            <w:tcW w:w="768" w:type="dxa"/>
          </w:tcPr>
          <w:p>
            <w:pPr>
              <w:pStyle w:val="TableParagraph"/>
              <w:spacing w:before="18"/>
              <w:ind w:left="4"/>
              <w:jc w:val="center"/>
              <w:rPr>
                <w:sz w:val="20"/>
              </w:rPr>
            </w:pPr>
            <w:r>
              <w:rPr>
                <w:sz w:val="20"/>
              </w:rPr>
              <w:t>2885</w:t>
            </w:r>
          </w:p>
        </w:tc>
        <w:tc>
          <w:tcPr>
            <w:tcW w:w="11046" w:type="dxa"/>
            <w:gridSpan w:val="8"/>
          </w:tcPr>
          <w:p>
            <w:pPr>
              <w:pStyle w:val="TableParagraph"/>
              <w:spacing w:before="14"/>
              <w:ind w:left="3669" w:right="3666"/>
              <w:jc w:val="center"/>
              <w:rPr>
                <w:rFonts w:ascii="Times New Roman"/>
                <w:i/>
                <w:sz w:val="20"/>
              </w:rPr>
            </w:pPr>
            <w:r>
              <w:rPr>
                <w:rFonts w:ascii="Times New Roman"/>
                <w:i/>
                <w:sz w:val="20"/>
              </w:rPr>
              <w:t>BSENSE[7:0]</w:t>
            </w:r>
          </w:p>
        </w:tc>
      </w:tr>
      <w:tr>
        <w:trPr>
          <w:trHeight w:val="270" w:hRule="atLeast"/>
        </w:trPr>
        <w:tc>
          <w:tcPr>
            <w:tcW w:w="1145" w:type="dxa"/>
          </w:tcPr>
          <w:p>
            <w:pPr>
              <w:pStyle w:val="TableParagraph"/>
              <w:spacing w:before="18"/>
              <w:ind w:left="19" w:right="15"/>
              <w:jc w:val="center"/>
              <w:rPr>
                <w:sz w:val="20"/>
              </w:rPr>
            </w:pPr>
            <w:r>
              <w:rPr>
                <w:sz w:val="20"/>
              </w:rPr>
              <w:t>LKPADDR</w:t>
            </w:r>
          </w:p>
        </w:tc>
        <w:tc>
          <w:tcPr>
            <w:tcW w:w="768" w:type="dxa"/>
          </w:tcPr>
          <w:p>
            <w:pPr>
              <w:pStyle w:val="TableParagraph"/>
              <w:spacing w:before="18"/>
              <w:ind w:left="4"/>
              <w:jc w:val="center"/>
              <w:rPr>
                <w:sz w:val="20"/>
              </w:rPr>
            </w:pPr>
            <w:r>
              <w:rPr>
                <w:sz w:val="20"/>
              </w:rPr>
              <w:t>2887</w:t>
            </w:r>
          </w:p>
        </w:tc>
        <w:tc>
          <w:tcPr>
            <w:tcW w:w="1380" w:type="dxa"/>
          </w:tcPr>
          <w:p>
            <w:pPr>
              <w:pStyle w:val="TableParagraph"/>
              <w:spacing w:before="14"/>
              <w:ind w:left="87" w:right="84"/>
              <w:jc w:val="center"/>
              <w:rPr>
                <w:rFonts w:ascii="Times New Roman"/>
                <w:i/>
                <w:sz w:val="20"/>
              </w:rPr>
            </w:pPr>
            <w:r>
              <w:rPr>
                <w:rFonts w:ascii="Times New Roman"/>
                <w:i/>
                <w:sz w:val="20"/>
              </w:rPr>
              <w:t>LKPAUTOI</w:t>
            </w:r>
          </w:p>
        </w:tc>
        <w:tc>
          <w:tcPr>
            <w:tcW w:w="9666" w:type="dxa"/>
            <w:gridSpan w:val="7"/>
          </w:tcPr>
          <w:p>
            <w:pPr>
              <w:pStyle w:val="TableParagraph"/>
              <w:spacing w:before="14"/>
              <w:ind w:left="2406" w:right="2403"/>
              <w:jc w:val="center"/>
              <w:rPr>
                <w:rFonts w:ascii="Times New Roman"/>
                <w:i/>
                <w:sz w:val="20"/>
              </w:rPr>
            </w:pPr>
            <w:r>
              <w:rPr>
                <w:rFonts w:ascii="Times New Roman"/>
                <w:i/>
                <w:sz w:val="20"/>
              </w:rPr>
              <w:t>LKPADDR[6:0]</w:t>
            </w:r>
          </w:p>
        </w:tc>
      </w:tr>
      <w:tr>
        <w:trPr>
          <w:trHeight w:val="270" w:hRule="atLeast"/>
        </w:trPr>
        <w:tc>
          <w:tcPr>
            <w:tcW w:w="1145" w:type="dxa"/>
          </w:tcPr>
          <w:p>
            <w:pPr>
              <w:pStyle w:val="TableParagraph"/>
              <w:spacing w:before="18"/>
              <w:ind w:left="20" w:right="15"/>
              <w:jc w:val="center"/>
              <w:rPr>
                <w:sz w:val="20"/>
              </w:rPr>
            </w:pPr>
            <w:r>
              <w:rPr>
                <w:sz w:val="20"/>
              </w:rPr>
              <w:t>LKPDATA</w:t>
            </w:r>
          </w:p>
        </w:tc>
        <w:tc>
          <w:tcPr>
            <w:tcW w:w="768" w:type="dxa"/>
          </w:tcPr>
          <w:p>
            <w:pPr>
              <w:pStyle w:val="TableParagraph"/>
              <w:spacing w:before="18"/>
              <w:ind w:left="4"/>
              <w:jc w:val="center"/>
              <w:rPr>
                <w:sz w:val="20"/>
              </w:rPr>
            </w:pPr>
            <w:r>
              <w:rPr>
                <w:sz w:val="20"/>
              </w:rPr>
              <w:t>2888</w:t>
            </w:r>
          </w:p>
        </w:tc>
        <w:tc>
          <w:tcPr>
            <w:tcW w:w="11046" w:type="dxa"/>
            <w:gridSpan w:val="8"/>
          </w:tcPr>
          <w:p>
            <w:pPr>
              <w:pStyle w:val="TableParagraph"/>
              <w:spacing w:before="14"/>
              <w:ind w:left="3669" w:right="3666"/>
              <w:jc w:val="center"/>
              <w:rPr>
                <w:rFonts w:ascii="Times New Roman"/>
                <w:i/>
                <w:sz w:val="20"/>
              </w:rPr>
            </w:pPr>
            <w:r>
              <w:rPr>
                <w:rFonts w:ascii="Times New Roman"/>
                <w:i/>
                <w:sz w:val="20"/>
              </w:rPr>
              <w:t>LKPDAT[7:0]</w:t>
            </w:r>
          </w:p>
        </w:tc>
      </w:tr>
      <w:tr>
        <w:trPr>
          <w:trHeight w:val="268" w:hRule="atLeast"/>
        </w:trPr>
        <w:tc>
          <w:tcPr>
            <w:tcW w:w="1145" w:type="dxa"/>
          </w:tcPr>
          <w:p>
            <w:pPr>
              <w:pStyle w:val="TableParagraph"/>
              <w:spacing w:before="18"/>
              <w:ind w:left="24" w:right="15"/>
              <w:jc w:val="center"/>
              <w:rPr>
                <w:sz w:val="20"/>
              </w:rPr>
            </w:pPr>
            <w:r>
              <w:rPr>
                <w:sz w:val="20"/>
              </w:rPr>
              <w:t>LKPCTRL</w:t>
            </w:r>
          </w:p>
        </w:tc>
        <w:tc>
          <w:tcPr>
            <w:tcW w:w="768" w:type="dxa"/>
          </w:tcPr>
          <w:p>
            <w:pPr>
              <w:pStyle w:val="TableParagraph"/>
              <w:spacing w:before="18"/>
              <w:ind w:left="4"/>
              <w:jc w:val="center"/>
              <w:rPr>
                <w:sz w:val="20"/>
              </w:rPr>
            </w:pPr>
            <w:r>
              <w:rPr>
                <w:sz w:val="20"/>
              </w:rPr>
              <w:t>2889</w:t>
            </w:r>
          </w:p>
        </w:tc>
        <w:tc>
          <w:tcPr>
            <w:tcW w:w="1380" w:type="dxa"/>
            <w:shd w:val="clear" w:color="auto" w:fill="DADADA"/>
          </w:tcPr>
          <w:p>
            <w:pPr>
              <w:pStyle w:val="TableParagraph"/>
              <w:spacing w:before="14"/>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4"/>
              <w:ind w:left="4"/>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4"/>
              <w:ind w:left="7"/>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4"/>
              <w:ind w:left="7"/>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4"/>
              <w:ind w:left="5"/>
              <w:jc w:val="center"/>
              <w:rPr>
                <w:rFonts w:ascii="Times New Roman"/>
                <w:i/>
                <w:sz w:val="20"/>
              </w:rPr>
            </w:pPr>
            <w:r>
              <w:rPr>
                <w:rFonts w:ascii="Times New Roman"/>
                <w:i/>
                <w:w w:val="99"/>
                <w:sz w:val="20"/>
              </w:rPr>
              <w:t>U</w:t>
            </w:r>
          </w:p>
        </w:tc>
        <w:tc>
          <w:tcPr>
            <w:tcW w:w="1442" w:type="dxa"/>
            <w:shd w:val="clear" w:color="auto" w:fill="DADADA"/>
          </w:tcPr>
          <w:p>
            <w:pPr>
              <w:pStyle w:val="TableParagraph"/>
              <w:spacing w:before="14"/>
              <w:ind w:left="8"/>
              <w:jc w:val="center"/>
              <w:rPr>
                <w:rFonts w:ascii="Times New Roman"/>
                <w:i/>
                <w:sz w:val="20"/>
              </w:rPr>
            </w:pPr>
            <w:r>
              <w:rPr>
                <w:rFonts w:ascii="Times New Roman"/>
                <w:i/>
                <w:w w:val="99"/>
                <w:sz w:val="20"/>
              </w:rPr>
              <w:t>U</w:t>
            </w:r>
          </w:p>
        </w:tc>
        <w:tc>
          <w:tcPr>
            <w:tcW w:w="1320" w:type="dxa"/>
          </w:tcPr>
          <w:p>
            <w:pPr>
              <w:pStyle w:val="TableParagraph"/>
              <w:spacing w:before="14"/>
              <w:ind w:left="291"/>
              <w:rPr>
                <w:rFonts w:ascii="Times New Roman"/>
                <w:i/>
                <w:sz w:val="20"/>
              </w:rPr>
            </w:pPr>
            <w:r>
              <w:rPr>
                <w:rFonts w:ascii="Times New Roman"/>
                <w:i/>
                <w:sz w:val="20"/>
              </w:rPr>
              <w:t>LKP_RD</w:t>
            </w:r>
          </w:p>
        </w:tc>
        <w:tc>
          <w:tcPr>
            <w:tcW w:w="1380" w:type="dxa"/>
          </w:tcPr>
          <w:p>
            <w:pPr>
              <w:pStyle w:val="TableParagraph"/>
              <w:spacing w:before="14"/>
              <w:ind w:left="87" w:right="82"/>
              <w:jc w:val="center"/>
              <w:rPr>
                <w:rFonts w:ascii="Times New Roman"/>
                <w:i/>
                <w:sz w:val="20"/>
              </w:rPr>
            </w:pPr>
            <w:r>
              <w:rPr>
                <w:rFonts w:ascii="Times New Roman"/>
                <w:i/>
                <w:sz w:val="20"/>
              </w:rPr>
              <w:t>LKP_WR</w:t>
            </w:r>
          </w:p>
        </w:tc>
      </w:tr>
      <w:tr>
        <w:trPr>
          <w:trHeight w:val="270" w:hRule="atLeast"/>
        </w:trPr>
        <w:tc>
          <w:tcPr>
            <w:tcW w:w="1145" w:type="dxa"/>
          </w:tcPr>
          <w:p>
            <w:pPr>
              <w:pStyle w:val="TableParagraph"/>
              <w:spacing w:before="18"/>
              <w:ind w:left="22" w:right="15"/>
              <w:jc w:val="center"/>
              <w:rPr>
                <w:sz w:val="20"/>
              </w:rPr>
            </w:pPr>
            <w:r>
              <w:rPr>
                <w:sz w:val="20"/>
              </w:rPr>
              <w:t>RTC0</w:t>
            </w:r>
          </w:p>
        </w:tc>
        <w:tc>
          <w:tcPr>
            <w:tcW w:w="768" w:type="dxa"/>
          </w:tcPr>
          <w:p>
            <w:pPr>
              <w:pStyle w:val="TableParagraph"/>
              <w:spacing w:before="18"/>
              <w:ind w:left="4"/>
              <w:jc w:val="center"/>
              <w:rPr>
                <w:sz w:val="20"/>
              </w:rPr>
            </w:pPr>
            <w:r>
              <w:rPr>
                <w:sz w:val="20"/>
              </w:rPr>
              <w:t>2890</w:t>
            </w:r>
          </w:p>
        </w:tc>
        <w:tc>
          <w:tcPr>
            <w:tcW w:w="1380" w:type="dxa"/>
          </w:tcPr>
          <w:p>
            <w:pPr>
              <w:pStyle w:val="TableParagraph"/>
              <w:spacing w:before="14"/>
              <w:ind w:left="87" w:right="84"/>
              <w:jc w:val="center"/>
              <w:rPr>
                <w:rFonts w:ascii="Times New Roman"/>
                <w:i/>
                <w:sz w:val="20"/>
              </w:rPr>
            </w:pPr>
            <w:r>
              <w:rPr>
                <w:rFonts w:ascii="Times New Roman"/>
                <w:i/>
                <w:sz w:val="20"/>
              </w:rPr>
              <w:t>RTC_WR</w:t>
            </w:r>
          </w:p>
        </w:tc>
        <w:tc>
          <w:tcPr>
            <w:tcW w:w="1382" w:type="dxa"/>
          </w:tcPr>
          <w:p>
            <w:pPr>
              <w:pStyle w:val="TableParagraph"/>
              <w:spacing w:before="14"/>
              <w:ind w:left="70" w:right="68"/>
              <w:jc w:val="center"/>
              <w:rPr>
                <w:rFonts w:ascii="Times New Roman"/>
                <w:i/>
                <w:sz w:val="20"/>
              </w:rPr>
            </w:pPr>
            <w:r>
              <w:rPr>
                <w:rFonts w:ascii="Times New Roman"/>
                <w:i/>
                <w:sz w:val="20"/>
              </w:rPr>
              <w:t>RTC_RD</w:t>
            </w:r>
          </w:p>
        </w:tc>
        <w:tc>
          <w:tcPr>
            <w:tcW w:w="1380" w:type="dxa"/>
            <w:shd w:val="clear" w:color="auto" w:fill="DADADA"/>
          </w:tcPr>
          <w:p>
            <w:pPr>
              <w:pStyle w:val="TableParagraph"/>
              <w:spacing w:before="14"/>
              <w:ind w:left="7"/>
              <w:jc w:val="center"/>
              <w:rPr>
                <w:rFonts w:ascii="Times New Roman"/>
                <w:i/>
                <w:sz w:val="20"/>
              </w:rPr>
            </w:pPr>
            <w:r>
              <w:rPr>
                <w:rFonts w:ascii="Times New Roman"/>
                <w:i/>
                <w:w w:val="99"/>
                <w:sz w:val="20"/>
              </w:rPr>
              <w:t>U</w:t>
            </w:r>
          </w:p>
        </w:tc>
        <w:tc>
          <w:tcPr>
            <w:tcW w:w="1380" w:type="dxa"/>
            <w:shd w:val="clear" w:color="auto" w:fill="A8A8A8"/>
          </w:tcPr>
          <w:p>
            <w:pPr>
              <w:pStyle w:val="TableParagraph"/>
              <w:spacing w:before="14"/>
              <w:ind w:right="234"/>
              <w:jc w:val="right"/>
              <w:rPr>
                <w:rFonts w:ascii="Times New Roman"/>
                <w:i/>
                <w:sz w:val="20"/>
              </w:rPr>
            </w:pPr>
            <w:r>
              <w:rPr>
                <w:rFonts w:ascii="Times New Roman"/>
                <w:i/>
                <w:sz w:val="20"/>
              </w:rPr>
              <w:t>RTC_FAIL</w:t>
            </w:r>
          </w:p>
        </w:tc>
        <w:tc>
          <w:tcPr>
            <w:tcW w:w="1382" w:type="dxa"/>
            <w:shd w:val="clear" w:color="auto" w:fill="DADADA"/>
          </w:tcPr>
          <w:p>
            <w:pPr>
              <w:pStyle w:val="TableParagraph"/>
              <w:spacing w:before="14"/>
              <w:ind w:left="5"/>
              <w:jc w:val="center"/>
              <w:rPr>
                <w:rFonts w:ascii="Times New Roman"/>
                <w:i/>
                <w:sz w:val="20"/>
              </w:rPr>
            </w:pPr>
            <w:r>
              <w:rPr>
                <w:rFonts w:ascii="Times New Roman"/>
                <w:i/>
                <w:w w:val="99"/>
                <w:sz w:val="20"/>
              </w:rPr>
              <w:t>U</w:t>
            </w:r>
          </w:p>
        </w:tc>
        <w:tc>
          <w:tcPr>
            <w:tcW w:w="1442" w:type="dxa"/>
            <w:shd w:val="clear" w:color="auto" w:fill="DADADA"/>
          </w:tcPr>
          <w:p>
            <w:pPr>
              <w:pStyle w:val="TableParagraph"/>
              <w:spacing w:before="14"/>
              <w:ind w:left="8"/>
              <w:jc w:val="center"/>
              <w:rPr>
                <w:rFonts w:ascii="Times New Roman"/>
                <w:i/>
                <w:sz w:val="20"/>
              </w:rPr>
            </w:pPr>
            <w:r>
              <w:rPr>
                <w:rFonts w:ascii="Times New Roman"/>
                <w:i/>
                <w:w w:val="99"/>
                <w:sz w:val="20"/>
              </w:rPr>
              <w:t>U</w:t>
            </w:r>
          </w:p>
        </w:tc>
        <w:tc>
          <w:tcPr>
            <w:tcW w:w="1320" w:type="dxa"/>
            <w:shd w:val="clear" w:color="auto" w:fill="DADADA"/>
          </w:tcPr>
          <w:p>
            <w:pPr>
              <w:pStyle w:val="TableParagraph"/>
              <w:spacing w:before="14"/>
              <w:ind w:left="6"/>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4"/>
              <w:ind w:left="9"/>
              <w:jc w:val="center"/>
              <w:rPr>
                <w:rFonts w:ascii="Times New Roman"/>
                <w:i/>
                <w:sz w:val="20"/>
              </w:rPr>
            </w:pPr>
            <w:r>
              <w:rPr>
                <w:rFonts w:ascii="Times New Roman"/>
                <w:i/>
                <w:w w:val="99"/>
                <w:sz w:val="20"/>
              </w:rPr>
              <w:t>U</w:t>
            </w:r>
          </w:p>
        </w:tc>
      </w:tr>
      <w:tr>
        <w:trPr>
          <w:trHeight w:val="268" w:hRule="atLeast"/>
        </w:trPr>
        <w:tc>
          <w:tcPr>
            <w:tcW w:w="1145" w:type="dxa"/>
          </w:tcPr>
          <w:p>
            <w:pPr>
              <w:pStyle w:val="TableParagraph"/>
              <w:spacing w:before="18"/>
              <w:ind w:left="22" w:right="15"/>
              <w:jc w:val="center"/>
              <w:rPr>
                <w:sz w:val="20"/>
              </w:rPr>
            </w:pPr>
            <w:r>
              <w:rPr>
                <w:sz w:val="20"/>
              </w:rPr>
              <w:t>RTC2</w:t>
            </w:r>
          </w:p>
        </w:tc>
        <w:tc>
          <w:tcPr>
            <w:tcW w:w="768" w:type="dxa"/>
          </w:tcPr>
          <w:p>
            <w:pPr>
              <w:pStyle w:val="TableParagraph"/>
              <w:spacing w:before="18"/>
              <w:ind w:left="4"/>
              <w:jc w:val="center"/>
              <w:rPr>
                <w:sz w:val="20"/>
              </w:rPr>
            </w:pPr>
            <w:r>
              <w:rPr>
                <w:sz w:val="20"/>
              </w:rPr>
              <w:t>2892</w:t>
            </w:r>
          </w:p>
        </w:tc>
        <w:tc>
          <w:tcPr>
            <w:tcW w:w="11046" w:type="dxa"/>
            <w:gridSpan w:val="8"/>
          </w:tcPr>
          <w:p>
            <w:pPr>
              <w:pStyle w:val="TableParagraph"/>
              <w:spacing w:before="14"/>
              <w:ind w:left="3672" w:right="3666"/>
              <w:jc w:val="center"/>
              <w:rPr>
                <w:rFonts w:ascii="Times New Roman"/>
                <w:i/>
                <w:sz w:val="20"/>
              </w:rPr>
            </w:pPr>
            <w:r>
              <w:rPr>
                <w:rFonts w:ascii="Times New Roman"/>
                <w:i/>
                <w:sz w:val="20"/>
              </w:rPr>
              <w:t>RTC_SBSC[7:0]</w:t>
            </w:r>
          </w:p>
        </w:tc>
      </w:tr>
      <w:tr>
        <w:trPr>
          <w:trHeight w:val="270" w:hRule="atLeast"/>
        </w:trPr>
        <w:tc>
          <w:tcPr>
            <w:tcW w:w="1145" w:type="dxa"/>
          </w:tcPr>
          <w:p>
            <w:pPr>
              <w:pStyle w:val="TableParagraph"/>
              <w:spacing w:before="21"/>
              <w:ind w:left="22" w:right="15"/>
              <w:jc w:val="center"/>
              <w:rPr>
                <w:sz w:val="20"/>
              </w:rPr>
            </w:pPr>
            <w:r>
              <w:rPr>
                <w:sz w:val="20"/>
              </w:rPr>
              <w:t>RTC3</w:t>
            </w:r>
          </w:p>
        </w:tc>
        <w:tc>
          <w:tcPr>
            <w:tcW w:w="768" w:type="dxa"/>
          </w:tcPr>
          <w:p>
            <w:pPr>
              <w:pStyle w:val="TableParagraph"/>
              <w:spacing w:before="21"/>
              <w:ind w:left="4"/>
              <w:jc w:val="center"/>
              <w:rPr>
                <w:sz w:val="20"/>
              </w:rPr>
            </w:pPr>
            <w:r>
              <w:rPr>
                <w:sz w:val="20"/>
              </w:rPr>
              <w:t>2893</w:t>
            </w:r>
          </w:p>
        </w:tc>
        <w:tc>
          <w:tcPr>
            <w:tcW w:w="1380" w:type="dxa"/>
            <w:shd w:val="clear" w:color="auto" w:fill="DADADA"/>
          </w:tcPr>
          <w:p>
            <w:pPr>
              <w:pStyle w:val="TableParagraph"/>
              <w:spacing w:before="17"/>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7"/>
              <w:ind w:left="4"/>
              <w:jc w:val="center"/>
              <w:rPr>
                <w:rFonts w:ascii="Times New Roman"/>
                <w:i/>
                <w:sz w:val="20"/>
              </w:rPr>
            </w:pPr>
            <w:r>
              <w:rPr>
                <w:rFonts w:ascii="Times New Roman"/>
                <w:i/>
                <w:w w:val="99"/>
                <w:sz w:val="20"/>
              </w:rPr>
              <w:t>U</w:t>
            </w:r>
          </w:p>
        </w:tc>
        <w:tc>
          <w:tcPr>
            <w:tcW w:w="8284" w:type="dxa"/>
            <w:gridSpan w:val="6"/>
          </w:tcPr>
          <w:p>
            <w:pPr>
              <w:pStyle w:val="TableParagraph"/>
              <w:spacing w:before="17"/>
              <w:ind w:left="3107" w:right="3103"/>
              <w:jc w:val="center"/>
              <w:rPr>
                <w:rFonts w:ascii="Times New Roman"/>
                <w:i/>
                <w:sz w:val="20"/>
              </w:rPr>
            </w:pPr>
            <w:r>
              <w:rPr>
                <w:rFonts w:ascii="Times New Roman"/>
                <w:i/>
                <w:sz w:val="20"/>
              </w:rPr>
              <w:t>RTC_SEC[5:0]</w:t>
            </w:r>
          </w:p>
        </w:tc>
      </w:tr>
      <w:tr>
        <w:trPr>
          <w:trHeight w:val="270" w:hRule="atLeast"/>
        </w:trPr>
        <w:tc>
          <w:tcPr>
            <w:tcW w:w="1145" w:type="dxa"/>
          </w:tcPr>
          <w:p>
            <w:pPr>
              <w:pStyle w:val="TableParagraph"/>
              <w:spacing w:before="18"/>
              <w:ind w:left="22" w:right="15"/>
              <w:jc w:val="center"/>
              <w:rPr>
                <w:sz w:val="20"/>
              </w:rPr>
            </w:pPr>
            <w:r>
              <w:rPr>
                <w:sz w:val="20"/>
              </w:rPr>
              <w:t>RTC4</w:t>
            </w:r>
          </w:p>
        </w:tc>
        <w:tc>
          <w:tcPr>
            <w:tcW w:w="768" w:type="dxa"/>
          </w:tcPr>
          <w:p>
            <w:pPr>
              <w:pStyle w:val="TableParagraph"/>
              <w:spacing w:before="18"/>
              <w:ind w:left="4"/>
              <w:jc w:val="center"/>
              <w:rPr>
                <w:sz w:val="20"/>
              </w:rPr>
            </w:pPr>
            <w:r>
              <w:rPr>
                <w:sz w:val="20"/>
              </w:rPr>
              <w:t>2894</w:t>
            </w:r>
          </w:p>
        </w:tc>
        <w:tc>
          <w:tcPr>
            <w:tcW w:w="1380" w:type="dxa"/>
            <w:shd w:val="clear" w:color="auto" w:fill="DADADA"/>
          </w:tcPr>
          <w:p>
            <w:pPr>
              <w:pStyle w:val="TableParagraph"/>
              <w:spacing w:before="14"/>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4"/>
              <w:ind w:left="4"/>
              <w:jc w:val="center"/>
              <w:rPr>
                <w:rFonts w:ascii="Times New Roman"/>
                <w:i/>
                <w:sz w:val="20"/>
              </w:rPr>
            </w:pPr>
            <w:r>
              <w:rPr>
                <w:rFonts w:ascii="Times New Roman"/>
                <w:i/>
                <w:w w:val="99"/>
                <w:sz w:val="20"/>
              </w:rPr>
              <w:t>U</w:t>
            </w:r>
          </w:p>
        </w:tc>
        <w:tc>
          <w:tcPr>
            <w:tcW w:w="8284" w:type="dxa"/>
            <w:gridSpan w:val="6"/>
          </w:tcPr>
          <w:p>
            <w:pPr>
              <w:pStyle w:val="TableParagraph"/>
              <w:spacing w:before="14"/>
              <w:ind w:left="3107" w:right="3103"/>
              <w:jc w:val="center"/>
              <w:rPr>
                <w:rFonts w:ascii="Times New Roman"/>
                <w:i/>
                <w:sz w:val="20"/>
              </w:rPr>
            </w:pPr>
            <w:r>
              <w:rPr>
                <w:rFonts w:ascii="Times New Roman"/>
                <w:i/>
                <w:sz w:val="20"/>
              </w:rPr>
              <w:t>RTC_MIN[5:0]</w:t>
            </w:r>
          </w:p>
        </w:tc>
      </w:tr>
      <w:tr>
        <w:trPr>
          <w:trHeight w:val="270" w:hRule="atLeast"/>
        </w:trPr>
        <w:tc>
          <w:tcPr>
            <w:tcW w:w="1145" w:type="dxa"/>
          </w:tcPr>
          <w:p>
            <w:pPr>
              <w:pStyle w:val="TableParagraph"/>
              <w:spacing w:before="18"/>
              <w:ind w:left="22" w:right="15"/>
              <w:jc w:val="center"/>
              <w:rPr>
                <w:sz w:val="20"/>
              </w:rPr>
            </w:pPr>
            <w:r>
              <w:rPr>
                <w:sz w:val="20"/>
              </w:rPr>
              <w:t>RTC5</w:t>
            </w:r>
          </w:p>
        </w:tc>
        <w:tc>
          <w:tcPr>
            <w:tcW w:w="768" w:type="dxa"/>
          </w:tcPr>
          <w:p>
            <w:pPr>
              <w:pStyle w:val="TableParagraph"/>
              <w:spacing w:before="18"/>
              <w:ind w:left="4"/>
              <w:jc w:val="center"/>
              <w:rPr>
                <w:sz w:val="20"/>
              </w:rPr>
            </w:pPr>
            <w:r>
              <w:rPr>
                <w:sz w:val="20"/>
              </w:rPr>
              <w:t>2895</w:t>
            </w:r>
          </w:p>
        </w:tc>
        <w:tc>
          <w:tcPr>
            <w:tcW w:w="1380" w:type="dxa"/>
            <w:shd w:val="clear" w:color="auto" w:fill="DADADA"/>
          </w:tcPr>
          <w:p>
            <w:pPr>
              <w:pStyle w:val="TableParagraph"/>
              <w:spacing w:before="14"/>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4"/>
              <w:ind w:left="4"/>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4"/>
              <w:ind w:left="7"/>
              <w:jc w:val="center"/>
              <w:rPr>
                <w:rFonts w:ascii="Times New Roman"/>
                <w:i/>
                <w:sz w:val="20"/>
              </w:rPr>
            </w:pPr>
            <w:r>
              <w:rPr>
                <w:rFonts w:ascii="Times New Roman"/>
                <w:i/>
                <w:w w:val="99"/>
                <w:sz w:val="20"/>
              </w:rPr>
              <w:t>U</w:t>
            </w:r>
          </w:p>
        </w:tc>
        <w:tc>
          <w:tcPr>
            <w:tcW w:w="6904" w:type="dxa"/>
            <w:gridSpan w:val="5"/>
          </w:tcPr>
          <w:p>
            <w:pPr>
              <w:pStyle w:val="TableParagraph"/>
              <w:spacing w:before="14"/>
              <w:ind w:left="2604" w:right="2600"/>
              <w:jc w:val="center"/>
              <w:rPr>
                <w:rFonts w:ascii="Times New Roman"/>
                <w:i/>
                <w:sz w:val="20"/>
              </w:rPr>
            </w:pPr>
            <w:r>
              <w:rPr>
                <w:rFonts w:ascii="Times New Roman"/>
                <w:i/>
                <w:sz w:val="20"/>
              </w:rPr>
              <w:t>RTC_HR[4:0]</w:t>
            </w:r>
          </w:p>
        </w:tc>
      </w:tr>
    </w:tbl>
    <w:p>
      <w:pPr>
        <w:spacing w:after="0"/>
        <w:jc w:val="center"/>
        <w:rPr>
          <w:rFonts w:ascii="Times New Roman"/>
          <w:sz w:val="20"/>
        </w:rPr>
        <w:sectPr>
          <w:pgSz w:w="15840" w:h="12240" w:orient="landscape"/>
          <w:pgMar w:header="727" w:footer="819" w:top="1180" w:bottom="1000" w:left="1320" w:right="1320"/>
        </w:sectPr>
      </w:pPr>
    </w:p>
    <w:p>
      <w:pPr>
        <w:pStyle w:val="BodyText"/>
        <w:spacing w:before="5"/>
        <w:rPr>
          <w:b/>
          <w:sz w:val="7"/>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5"/>
        <w:gridCol w:w="768"/>
        <w:gridCol w:w="1380"/>
        <w:gridCol w:w="1382"/>
        <w:gridCol w:w="1380"/>
        <w:gridCol w:w="1380"/>
        <w:gridCol w:w="1382"/>
        <w:gridCol w:w="1442"/>
        <w:gridCol w:w="1320"/>
        <w:gridCol w:w="1380"/>
      </w:tblGrid>
      <w:tr>
        <w:trPr>
          <w:trHeight w:val="309" w:hRule="atLeast"/>
        </w:trPr>
        <w:tc>
          <w:tcPr>
            <w:tcW w:w="1145" w:type="dxa"/>
          </w:tcPr>
          <w:p>
            <w:pPr>
              <w:pStyle w:val="TableParagraph"/>
              <w:spacing w:before="35"/>
              <w:ind w:left="22" w:right="15"/>
              <w:jc w:val="center"/>
              <w:rPr>
                <w:b/>
                <w:sz w:val="20"/>
              </w:rPr>
            </w:pPr>
            <w:r>
              <w:rPr>
                <w:b/>
                <w:sz w:val="20"/>
              </w:rPr>
              <w:t>Name</w:t>
            </w:r>
          </w:p>
        </w:tc>
        <w:tc>
          <w:tcPr>
            <w:tcW w:w="768" w:type="dxa"/>
          </w:tcPr>
          <w:p>
            <w:pPr>
              <w:pStyle w:val="TableParagraph"/>
              <w:spacing w:before="35"/>
              <w:ind w:left="2"/>
              <w:jc w:val="center"/>
              <w:rPr>
                <w:b/>
                <w:sz w:val="20"/>
              </w:rPr>
            </w:pPr>
            <w:r>
              <w:rPr>
                <w:b/>
                <w:sz w:val="20"/>
              </w:rPr>
              <w:t>Addr</w:t>
            </w:r>
          </w:p>
        </w:tc>
        <w:tc>
          <w:tcPr>
            <w:tcW w:w="1380" w:type="dxa"/>
          </w:tcPr>
          <w:p>
            <w:pPr>
              <w:pStyle w:val="TableParagraph"/>
              <w:spacing w:before="35"/>
              <w:ind w:left="87" w:right="80"/>
              <w:jc w:val="center"/>
              <w:rPr>
                <w:b/>
                <w:sz w:val="20"/>
              </w:rPr>
            </w:pPr>
            <w:r>
              <w:rPr>
                <w:b/>
                <w:sz w:val="20"/>
              </w:rPr>
              <w:t>Bit 7</w:t>
            </w:r>
          </w:p>
        </w:tc>
        <w:tc>
          <w:tcPr>
            <w:tcW w:w="1382" w:type="dxa"/>
          </w:tcPr>
          <w:p>
            <w:pPr>
              <w:pStyle w:val="TableParagraph"/>
              <w:spacing w:before="35"/>
              <w:ind w:left="73" w:right="68"/>
              <w:jc w:val="center"/>
              <w:rPr>
                <w:b/>
                <w:sz w:val="20"/>
              </w:rPr>
            </w:pPr>
            <w:r>
              <w:rPr>
                <w:b/>
                <w:sz w:val="20"/>
              </w:rPr>
              <w:t>Bit 6</w:t>
            </w:r>
          </w:p>
        </w:tc>
        <w:tc>
          <w:tcPr>
            <w:tcW w:w="1380" w:type="dxa"/>
          </w:tcPr>
          <w:p>
            <w:pPr>
              <w:pStyle w:val="TableParagraph"/>
              <w:spacing w:before="35"/>
              <w:ind w:left="87" w:right="79"/>
              <w:jc w:val="center"/>
              <w:rPr>
                <w:b/>
                <w:sz w:val="20"/>
              </w:rPr>
            </w:pPr>
            <w:r>
              <w:rPr>
                <w:b/>
                <w:sz w:val="20"/>
              </w:rPr>
              <w:t>Bit 5</w:t>
            </w:r>
          </w:p>
        </w:tc>
        <w:tc>
          <w:tcPr>
            <w:tcW w:w="1380" w:type="dxa"/>
          </w:tcPr>
          <w:p>
            <w:pPr>
              <w:pStyle w:val="TableParagraph"/>
              <w:spacing w:before="35"/>
              <w:ind w:left="87" w:right="79"/>
              <w:jc w:val="center"/>
              <w:rPr>
                <w:b/>
                <w:sz w:val="20"/>
              </w:rPr>
            </w:pPr>
            <w:r>
              <w:rPr>
                <w:b/>
                <w:sz w:val="20"/>
              </w:rPr>
              <w:t>Bit 4</w:t>
            </w:r>
          </w:p>
        </w:tc>
        <w:tc>
          <w:tcPr>
            <w:tcW w:w="1382" w:type="dxa"/>
          </w:tcPr>
          <w:p>
            <w:pPr>
              <w:pStyle w:val="TableParagraph"/>
              <w:spacing w:before="35"/>
              <w:ind w:left="74" w:right="68"/>
              <w:jc w:val="center"/>
              <w:rPr>
                <w:b/>
                <w:sz w:val="20"/>
              </w:rPr>
            </w:pPr>
            <w:r>
              <w:rPr>
                <w:b/>
                <w:sz w:val="20"/>
              </w:rPr>
              <w:t>Bit 3</w:t>
            </w:r>
          </w:p>
        </w:tc>
        <w:tc>
          <w:tcPr>
            <w:tcW w:w="1442" w:type="dxa"/>
          </w:tcPr>
          <w:p>
            <w:pPr>
              <w:pStyle w:val="TableParagraph"/>
              <w:spacing w:before="35"/>
              <w:ind w:left="98" w:right="89"/>
              <w:jc w:val="center"/>
              <w:rPr>
                <w:b/>
                <w:sz w:val="20"/>
              </w:rPr>
            </w:pPr>
            <w:r>
              <w:rPr>
                <w:b/>
                <w:sz w:val="20"/>
              </w:rPr>
              <w:t>Bit 2</w:t>
            </w:r>
          </w:p>
        </w:tc>
        <w:tc>
          <w:tcPr>
            <w:tcW w:w="1320" w:type="dxa"/>
          </w:tcPr>
          <w:p>
            <w:pPr>
              <w:pStyle w:val="TableParagraph"/>
              <w:spacing w:before="35"/>
              <w:ind w:left="53" w:right="46"/>
              <w:jc w:val="center"/>
              <w:rPr>
                <w:b/>
                <w:sz w:val="20"/>
              </w:rPr>
            </w:pPr>
            <w:r>
              <w:rPr>
                <w:b/>
                <w:sz w:val="20"/>
              </w:rPr>
              <w:t>Bit 1</w:t>
            </w:r>
          </w:p>
        </w:tc>
        <w:tc>
          <w:tcPr>
            <w:tcW w:w="1380" w:type="dxa"/>
          </w:tcPr>
          <w:p>
            <w:pPr>
              <w:pStyle w:val="TableParagraph"/>
              <w:spacing w:before="35"/>
              <w:ind w:left="87" w:right="77"/>
              <w:jc w:val="center"/>
              <w:rPr>
                <w:b/>
                <w:sz w:val="20"/>
              </w:rPr>
            </w:pPr>
            <w:r>
              <w:rPr>
                <w:b/>
                <w:sz w:val="20"/>
              </w:rPr>
              <w:t>Bit 0</w:t>
            </w:r>
          </w:p>
        </w:tc>
      </w:tr>
      <w:tr>
        <w:trPr>
          <w:trHeight w:val="270" w:hRule="atLeast"/>
        </w:trPr>
        <w:tc>
          <w:tcPr>
            <w:tcW w:w="1145" w:type="dxa"/>
          </w:tcPr>
          <w:p>
            <w:pPr>
              <w:pStyle w:val="TableParagraph"/>
              <w:spacing w:before="18"/>
              <w:ind w:left="22" w:right="15"/>
              <w:jc w:val="center"/>
              <w:rPr>
                <w:sz w:val="20"/>
              </w:rPr>
            </w:pPr>
            <w:r>
              <w:rPr>
                <w:sz w:val="20"/>
              </w:rPr>
              <w:t>RTC6</w:t>
            </w:r>
          </w:p>
        </w:tc>
        <w:tc>
          <w:tcPr>
            <w:tcW w:w="768" w:type="dxa"/>
          </w:tcPr>
          <w:p>
            <w:pPr>
              <w:pStyle w:val="TableParagraph"/>
              <w:spacing w:before="18"/>
              <w:ind w:left="4"/>
              <w:jc w:val="center"/>
              <w:rPr>
                <w:sz w:val="20"/>
              </w:rPr>
            </w:pPr>
            <w:r>
              <w:rPr>
                <w:sz w:val="20"/>
              </w:rPr>
              <w:t>2896</w:t>
            </w:r>
          </w:p>
        </w:tc>
        <w:tc>
          <w:tcPr>
            <w:tcW w:w="1380" w:type="dxa"/>
            <w:shd w:val="clear" w:color="auto" w:fill="DADADA"/>
          </w:tcPr>
          <w:p>
            <w:pPr>
              <w:pStyle w:val="TableParagraph"/>
              <w:spacing w:before="14"/>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4"/>
              <w:ind w:left="4"/>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4"/>
              <w:ind w:left="7"/>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4"/>
              <w:ind w:left="7"/>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4"/>
              <w:ind w:left="5"/>
              <w:jc w:val="center"/>
              <w:rPr>
                <w:rFonts w:ascii="Times New Roman"/>
                <w:i/>
                <w:sz w:val="20"/>
              </w:rPr>
            </w:pPr>
            <w:r>
              <w:rPr>
                <w:rFonts w:ascii="Times New Roman"/>
                <w:i/>
                <w:w w:val="99"/>
                <w:sz w:val="20"/>
              </w:rPr>
              <w:t>U</w:t>
            </w:r>
          </w:p>
        </w:tc>
        <w:tc>
          <w:tcPr>
            <w:tcW w:w="4142" w:type="dxa"/>
            <w:gridSpan w:val="3"/>
          </w:tcPr>
          <w:p>
            <w:pPr>
              <w:pStyle w:val="TableParagraph"/>
              <w:spacing w:before="14"/>
              <w:ind w:left="1404" w:right="1398"/>
              <w:jc w:val="center"/>
              <w:rPr>
                <w:rFonts w:ascii="Times New Roman"/>
                <w:i/>
                <w:sz w:val="20"/>
              </w:rPr>
            </w:pPr>
            <w:r>
              <w:rPr>
                <w:rFonts w:ascii="Times New Roman"/>
                <w:i/>
                <w:sz w:val="20"/>
              </w:rPr>
              <w:t>RTC_DAY[2:0]</w:t>
            </w:r>
          </w:p>
        </w:tc>
      </w:tr>
      <w:tr>
        <w:trPr>
          <w:trHeight w:val="270" w:hRule="atLeast"/>
        </w:trPr>
        <w:tc>
          <w:tcPr>
            <w:tcW w:w="1145" w:type="dxa"/>
          </w:tcPr>
          <w:p>
            <w:pPr>
              <w:pStyle w:val="TableParagraph"/>
              <w:spacing w:before="18"/>
              <w:ind w:left="22" w:right="15"/>
              <w:jc w:val="center"/>
              <w:rPr>
                <w:sz w:val="20"/>
              </w:rPr>
            </w:pPr>
            <w:r>
              <w:rPr>
                <w:sz w:val="20"/>
              </w:rPr>
              <w:t>RTC7</w:t>
            </w:r>
          </w:p>
        </w:tc>
        <w:tc>
          <w:tcPr>
            <w:tcW w:w="768" w:type="dxa"/>
          </w:tcPr>
          <w:p>
            <w:pPr>
              <w:pStyle w:val="TableParagraph"/>
              <w:spacing w:before="18"/>
              <w:ind w:left="4"/>
              <w:jc w:val="center"/>
              <w:rPr>
                <w:sz w:val="20"/>
              </w:rPr>
            </w:pPr>
            <w:r>
              <w:rPr>
                <w:sz w:val="20"/>
              </w:rPr>
              <w:t>2897</w:t>
            </w:r>
          </w:p>
        </w:tc>
        <w:tc>
          <w:tcPr>
            <w:tcW w:w="1380" w:type="dxa"/>
            <w:shd w:val="clear" w:color="auto" w:fill="DADADA"/>
          </w:tcPr>
          <w:p>
            <w:pPr>
              <w:pStyle w:val="TableParagraph"/>
              <w:spacing w:before="14"/>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4"/>
              <w:ind w:left="4"/>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4"/>
              <w:ind w:left="7"/>
              <w:jc w:val="center"/>
              <w:rPr>
                <w:rFonts w:ascii="Times New Roman"/>
                <w:i/>
                <w:sz w:val="20"/>
              </w:rPr>
            </w:pPr>
            <w:r>
              <w:rPr>
                <w:rFonts w:ascii="Times New Roman"/>
                <w:i/>
                <w:w w:val="99"/>
                <w:sz w:val="20"/>
              </w:rPr>
              <w:t>U</w:t>
            </w:r>
          </w:p>
        </w:tc>
        <w:tc>
          <w:tcPr>
            <w:tcW w:w="6904" w:type="dxa"/>
            <w:gridSpan w:val="5"/>
          </w:tcPr>
          <w:p>
            <w:pPr>
              <w:pStyle w:val="TableParagraph"/>
              <w:spacing w:before="14"/>
              <w:ind w:left="2606" w:right="2600"/>
              <w:jc w:val="center"/>
              <w:rPr>
                <w:rFonts w:ascii="Times New Roman"/>
                <w:i/>
                <w:sz w:val="20"/>
              </w:rPr>
            </w:pPr>
            <w:r>
              <w:rPr>
                <w:rFonts w:ascii="Times New Roman"/>
                <w:i/>
                <w:sz w:val="20"/>
              </w:rPr>
              <w:t>RTC_DATE[4:0]</w:t>
            </w:r>
          </w:p>
        </w:tc>
      </w:tr>
      <w:tr>
        <w:trPr>
          <w:trHeight w:val="268" w:hRule="atLeast"/>
        </w:trPr>
        <w:tc>
          <w:tcPr>
            <w:tcW w:w="1145" w:type="dxa"/>
          </w:tcPr>
          <w:p>
            <w:pPr>
              <w:pStyle w:val="TableParagraph"/>
              <w:spacing w:before="18"/>
              <w:ind w:left="22" w:right="15"/>
              <w:jc w:val="center"/>
              <w:rPr>
                <w:sz w:val="20"/>
              </w:rPr>
            </w:pPr>
            <w:r>
              <w:rPr>
                <w:sz w:val="20"/>
              </w:rPr>
              <w:t>RTC8</w:t>
            </w:r>
          </w:p>
        </w:tc>
        <w:tc>
          <w:tcPr>
            <w:tcW w:w="768" w:type="dxa"/>
          </w:tcPr>
          <w:p>
            <w:pPr>
              <w:pStyle w:val="TableParagraph"/>
              <w:spacing w:before="18"/>
              <w:ind w:left="4"/>
              <w:jc w:val="center"/>
              <w:rPr>
                <w:sz w:val="20"/>
              </w:rPr>
            </w:pPr>
            <w:r>
              <w:rPr>
                <w:sz w:val="20"/>
              </w:rPr>
              <w:t>2898</w:t>
            </w:r>
          </w:p>
        </w:tc>
        <w:tc>
          <w:tcPr>
            <w:tcW w:w="1380" w:type="dxa"/>
            <w:shd w:val="clear" w:color="auto" w:fill="DADADA"/>
          </w:tcPr>
          <w:p>
            <w:pPr>
              <w:pStyle w:val="TableParagraph"/>
              <w:spacing w:before="14"/>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4"/>
              <w:ind w:left="4"/>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4"/>
              <w:ind w:left="7"/>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4"/>
              <w:ind w:left="7"/>
              <w:jc w:val="center"/>
              <w:rPr>
                <w:rFonts w:ascii="Times New Roman"/>
                <w:i/>
                <w:sz w:val="20"/>
              </w:rPr>
            </w:pPr>
            <w:r>
              <w:rPr>
                <w:rFonts w:ascii="Times New Roman"/>
                <w:i/>
                <w:w w:val="99"/>
                <w:sz w:val="20"/>
              </w:rPr>
              <w:t>U</w:t>
            </w:r>
          </w:p>
        </w:tc>
        <w:tc>
          <w:tcPr>
            <w:tcW w:w="5524" w:type="dxa"/>
            <w:gridSpan w:val="4"/>
          </w:tcPr>
          <w:p>
            <w:pPr>
              <w:pStyle w:val="TableParagraph"/>
              <w:spacing w:before="14"/>
              <w:ind w:left="1991" w:right="1990"/>
              <w:jc w:val="center"/>
              <w:rPr>
                <w:rFonts w:ascii="Times New Roman"/>
                <w:i/>
                <w:sz w:val="20"/>
              </w:rPr>
            </w:pPr>
            <w:r>
              <w:rPr>
                <w:rFonts w:ascii="Times New Roman"/>
                <w:i/>
                <w:sz w:val="20"/>
              </w:rPr>
              <w:t>RTC_MO[3:0]</w:t>
            </w:r>
          </w:p>
        </w:tc>
      </w:tr>
      <w:tr>
        <w:trPr>
          <w:trHeight w:val="270" w:hRule="atLeast"/>
        </w:trPr>
        <w:tc>
          <w:tcPr>
            <w:tcW w:w="1145" w:type="dxa"/>
          </w:tcPr>
          <w:p>
            <w:pPr>
              <w:pStyle w:val="TableParagraph"/>
              <w:spacing w:before="18"/>
              <w:ind w:left="22" w:right="15"/>
              <w:jc w:val="center"/>
              <w:rPr>
                <w:sz w:val="20"/>
              </w:rPr>
            </w:pPr>
            <w:r>
              <w:rPr>
                <w:sz w:val="20"/>
              </w:rPr>
              <w:t>RTC9</w:t>
            </w:r>
          </w:p>
        </w:tc>
        <w:tc>
          <w:tcPr>
            <w:tcW w:w="768" w:type="dxa"/>
          </w:tcPr>
          <w:p>
            <w:pPr>
              <w:pStyle w:val="TableParagraph"/>
              <w:spacing w:before="18"/>
              <w:ind w:left="4"/>
              <w:jc w:val="center"/>
              <w:rPr>
                <w:sz w:val="20"/>
              </w:rPr>
            </w:pPr>
            <w:r>
              <w:rPr>
                <w:sz w:val="20"/>
              </w:rPr>
              <w:t>2899</w:t>
            </w:r>
          </w:p>
        </w:tc>
        <w:tc>
          <w:tcPr>
            <w:tcW w:w="11046" w:type="dxa"/>
            <w:gridSpan w:val="8"/>
          </w:tcPr>
          <w:p>
            <w:pPr>
              <w:pStyle w:val="TableParagraph"/>
              <w:spacing w:before="14"/>
              <w:ind w:left="3669" w:right="3666"/>
              <w:jc w:val="center"/>
              <w:rPr>
                <w:rFonts w:ascii="Times New Roman"/>
                <w:i/>
                <w:sz w:val="20"/>
              </w:rPr>
            </w:pPr>
            <w:r>
              <w:rPr>
                <w:rFonts w:ascii="Times New Roman"/>
                <w:i/>
                <w:sz w:val="20"/>
              </w:rPr>
              <w:t>RTC_YR[7:0]</w:t>
            </w:r>
          </w:p>
        </w:tc>
      </w:tr>
      <w:tr>
        <w:trPr>
          <w:trHeight w:val="270" w:hRule="atLeast"/>
        </w:trPr>
        <w:tc>
          <w:tcPr>
            <w:tcW w:w="1145" w:type="dxa"/>
          </w:tcPr>
          <w:p>
            <w:pPr>
              <w:pStyle w:val="TableParagraph"/>
              <w:spacing w:before="18"/>
              <w:ind w:left="22" w:right="15"/>
              <w:jc w:val="center"/>
              <w:rPr>
                <w:sz w:val="20"/>
              </w:rPr>
            </w:pPr>
            <w:r>
              <w:rPr>
                <w:sz w:val="20"/>
              </w:rPr>
              <w:t>RTC10</w:t>
            </w:r>
          </w:p>
        </w:tc>
        <w:tc>
          <w:tcPr>
            <w:tcW w:w="768" w:type="dxa"/>
          </w:tcPr>
          <w:p>
            <w:pPr>
              <w:pStyle w:val="TableParagraph"/>
              <w:spacing w:before="18"/>
              <w:ind w:left="5"/>
              <w:jc w:val="center"/>
              <w:rPr>
                <w:sz w:val="20"/>
              </w:rPr>
            </w:pPr>
            <w:r>
              <w:rPr>
                <w:sz w:val="20"/>
              </w:rPr>
              <w:t>289B</w:t>
            </w:r>
          </w:p>
        </w:tc>
        <w:tc>
          <w:tcPr>
            <w:tcW w:w="1380" w:type="dxa"/>
            <w:shd w:val="clear" w:color="auto" w:fill="A8A8A8"/>
          </w:tcPr>
          <w:p>
            <w:pPr>
              <w:pStyle w:val="TableParagraph"/>
              <w:spacing w:before="14"/>
              <w:ind w:left="6"/>
              <w:jc w:val="center"/>
              <w:rPr>
                <w:rFonts w:ascii="Times New Roman"/>
                <w:i/>
                <w:sz w:val="20"/>
              </w:rPr>
            </w:pPr>
            <w:r>
              <w:rPr>
                <w:rFonts w:ascii="Times New Roman"/>
                <w:i/>
                <w:w w:val="99"/>
                <w:sz w:val="20"/>
              </w:rPr>
              <w:t>U</w:t>
            </w:r>
          </w:p>
        </w:tc>
        <w:tc>
          <w:tcPr>
            <w:tcW w:w="1382" w:type="dxa"/>
            <w:shd w:val="clear" w:color="auto" w:fill="A8A8A8"/>
          </w:tcPr>
          <w:p>
            <w:pPr>
              <w:pStyle w:val="TableParagraph"/>
              <w:spacing w:before="14"/>
              <w:ind w:left="4"/>
              <w:jc w:val="center"/>
              <w:rPr>
                <w:rFonts w:ascii="Times New Roman"/>
                <w:i/>
                <w:sz w:val="20"/>
              </w:rPr>
            </w:pPr>
            <w:r>
              <w:rPr>
                <w:rFonts w:ascii="Times New Roman"/>
                <w:i/>
                <w:w w:val="99"/>
                <w:sz w:val="20"/>
              </w:rPr>
              <w:t>U</w:t>
            </w:r>
          </w:p>
        </w:tc>
        <w:tc>
          <w:tcPr>
            <w:tcW w:w="1380" w:type="dxa"/>
            <w:shd w:val="clear" w:color="auto" w:fill="A8A8A8"/>
          </w:tcPr>
          <w:p>
            <w:pPr>
              <w:pStyle w:val="TableParagraph"/>
              <w:spacing w:before="14"/>
              <w:ind w:left="7"/>
              <w:jc w:val="center"/>
              <w:rPr>
                <w:rFonts w:ascii="Times New Roman"/>
                <w:i/>
                <w:sz w:val="20"/>
              </w:rPr>
            </w:pPr>
            <w:r>
              <w:rPr>
                <w:rFonts w:ascii="Times New Roman"/>
                <w:i/>
                <w:w w:val="99"/>
                <w:sz w:val="20"/>
              </w:rPr>
              <w:t>U</w:t>
            </w:r>
          </w:p>
        </w:tc>
        <w:tc>
          <w:tcPr>
            <w:tcW w:w="1380" w:type="dxa"/>
            <w:shd w:val="clear" w:color="auto" w:fill="A8A8A8"/>
          </w:tcPr>
          <w:p>
            <w:pPr>
              <w:pStyle w:val="TableParagraph"/>
              <w:spacing w:before="14"/>
              <w:ind w:left="7"/>
              <w:jc w:val="center"/>
              <w:rPr>
                <w:rFonts w:ascii="Times New Roman"/>
                <w:i/>
                <w:sz w:val="20"/>
              </w:rPr>
            </w:pPr>
            <w:r>
              <w:rPr>
                <w:rFonts w:ascii="Times New Roman"/>
                <w:i/>
                <w:w w:val="99"/>
                <w:sz w:val="20"/>
              </w:rPr>
              <w:t>U</w:t>
            </w:r>
          </w:p>
        </w:tc>
        <w:tc>
          <w:tcPr>
            <w:tcW w:w="1382" w:type="dxa"/>
            <w:shd w:val="clear" w:color="auto" w:fill="A8A8A8"/>
          </w:tcPr>
          <w:p>
            <w:pPr>
              <w:pStyle w:val="TableParagraph"/>
              <w:spacing w:before="14"/>
              <w:ind w:left="5"/>
              <w:jc w:val="center"/>
              <w:rPr>
                <w:rFonts w:ascii="Times New Roman"/>
                <w:i/>
                <w:sz w:val="20"/>
              </w:rPr>
            </w:pPr>
            <w:r>
              <w:rPr>
                <w:rFonts w:ascii="Times New Roman"/>
                <w:i/>
                <w:w w:val="99"/>
                <w:sz w:val="20"/>
              </w:rPr>
              <w:t>U</w:t>
            </w:r>
          </w:p>
        </w:tc>
        <w:tc>
          <w:tcPr>
            <w:tcW w:w="4142" w:type="dxa"/>
            <w:gridSpan w:val="3"/>
            <w:shd w:val="clear" w:color="auto" w:fill="A8A8A8"/>
          </w:tcPr>
          <w:p>
            <w:pPr>
              <w:pStyle w:val="TableParagraph"/>
              <w:spacing w:before="14"/>
              <w:ind w:left="1402" w:right="1398"/>
              <w:jc w:val="center"/>
              <w:rPr>
                <w:rFonts w:ascii="Times New Roman"/>
                <w:i/>
                <w:sz w:val="20"/>
              </w:rPr>
            </w:pPr>
            <w:r>
              <w:rPr>
                <w:rFonts w:ascii="Times New Roman"/>
                <w:i/>
                <w:sz w:val="20"/>
              </w:rPr>
              <w:t>RTC_P[16:14]</w:t>
            </w:r>
          </w:p>
        </w:tc>
      </w:tr>
      <w:tr>
        <w:trPr>
          <w:trHeight w:val="268" w:hRule="atLeast"/>
        </w:trPr>
        <w:tc>
          <w:tcPr>
            <w:tcW w:w="1145" w:type="dxa"/>
          </w:tcPr>
          <w:p>
            <w:pPr>
              <w:pStyle w:val="TableParagraph"/>
              <w:spacing w:before="18"/>
              <w:ind w:left="22" w:right="15"/>
              <w:jc w:val="center"/>
              <w:rPr>
                <w:sz w:val="20"/>
              </w:rPr>
            </w:pPr>
            <w:r>
              <w:rPr>
                <w:sz w:val="20"/>
              </w:rPr>
              <w:t>RTC11</w:t>
            </w:r>
          </w:p>
        </w:tc>
        <w:tc>
          <w:tcPr>
            <w:tcW w:w="768" w:type="dxa"/>
          </w:tcPr>
          <w:p>
            <w:pPr>
              <w:pStyle w:val="TableParagraph"/>
              <w:spacing w:before="18"/>
              <w:ind w:left="3"/>
              <w:jc w:val="center"/>
              <w:rPr>
                <w:sz w:val="20"/>
              </w:rPr>
            </w:pPr>
            <w:r>
              <w:rPr>
                <w:sz w:val="20"/>
              </w:rPr>
              <w:t>289C</w:t>
            </w:r>
          </w:p>
        </w:tc>
        <w:tc>
          <w:tcPr>
            <w:tcW w:w="11046" w:type="dxa"/>
            <w:gridSpan w:val="8"/>
            <w:shd w:val="clear" w:color="auto" w:fill="A8A8A8"/>
          </w:tcPr>
          <w:p>
            <w:pPr>
              <w:pStyle w:val="TableParagraph"/>
              <w:spacing w:before="14"/>
              <w:ind w:left="3673" w:right="3665"/>
              <w:jc w:val="center"/>
              <w:rPr>
                <w:rFonts w:ascii="Times New Roman"/>
                <w:i/>
                <w:sz w:val="20"/>
              </w:rPr>
            </w:pPr>
            <w:r>
              <w:rPr>
                <w:rFonts w:ascii="Times New Roman"/>
                <w:i/>
                <w:sz w:val="20"/>
              </w:rPr>
              <w:t>RTC_P[13:6]</w:t>
            </w:r>
          </w:p>
        </w:tc>
      </w:tr>
      <w:tr>
        <w:trPr>
          <w:trHeight w:val="270" w:hRule="atLeast"/>
        </w:trPr>
        <w:tc>
          <w:tcPr>
            <w:tcW w:w="1145" w:type="dxa"/>
          </w:tcPr>
          <w:p>
            <w:pPr>
              <w:pStyle w:val="TableParagraph"/>
              <w:spacing w:before="18"/>
              <w:ind w:left="22" w:right="15"/>
              <w:jc w:val="center"/>
              <w:rPr>
                <w:sz w:val="20"/>
              </w:rPr>
            </w:pPr>
            <w:r>
              <w:rPr>
                <w:sz w:val="20"/>
              </w:rPr>
              <w:t>RTC12</w:t>
            </w:r>
          </w:p>
        </w:tc>
        <w:tc>
          <w:tcPr>
            <w:tcW w:w="768" w:type="dxa"/>
          </w:tcPr>
          <w:p>
            <w:pPr>
              <w:pStyle w:val="TableParagraph"/>
              <w:spacing w:before="18"/>
              <w:ind w:left="3"/>
              <w:jc w:val="center"/>
              <w:rPr>
                <w:sz w:val="20"/>
              </w:rPr>
            </w:pPr>
            <w:r>
              <w:rPr>
                <w:sz w:val="20"/>
              </w:rPr>
              <w:t>289D</w:t>
            </w:r>
          </w:p>
        </w:tc>
        <w:tc>
          <w:tcPr>
            <w:tcW w:w="8346" w:type="dxa"/>
            <w:gridSpan w:val="6"/>
            <w:shd w:val="clear" w:color="auto" w:fill="A8A8A8"/>
          </w:tcPr>
          <w:p>
            <w:pPr>
              <w:pStyle w:val="TableParagraph"/>
              <w:spacing w:before="14"/>
              <w:ind w:left="3321" w:right="3315"/>
              <w:jc w:val="center"/>
              <w:rPr>
                <w:rFonts w:ascii="Times New Roman"/>
                <w:i/>
                <w:sz w:val="20"/>
              </w:rPr>
            </w:pPr>
            <w:r>
              <w:rPr>
                <w:rFonts w:ascii="Times New Roman"/>
                <w:i/>
                <w:sz w:val="20"/>
              </w:rPr>
              <w:t>RTC_P[5:0]</w:t>
            </w:r>
          </w:p>
        </w:tc>
        <w:tc>
          <w:tcPr>
            <w:tcW w:w="2700" w:type="dxa"/>
            <w:gridSpan w:val="2"/>
            <w:shd w:val="clear" w:color="auto" w:fill="A8A8A8"/>
          </w:tcPr>
          <w:p>
            <w:pPr>
              <w:pStyle w:val="TableParagraph"/>
              <w:spacing w:before="14"/>
              <w:ind w:left="833"/>
              <w:rPr>
                <w:rFonts w:ascii="Times New Roman"/>
                <w:i/>
                <w:sz w:val="20"/>
              </w:rPr>
            </w:pPr>
            <w:r>
              <w:rPr>
                <w:rFonts w:ascii="Times New Roman"/>
                <w:i/>
                <w:sz w:val="20"/>
              </w:rPr>
              <w:t>RTC_Q[1:0]</w:t>
            </w:r>
          </w:p>
        </w:tc>
      </w:tr>
      <w:tr>
        <w:trPr>
          <w:trHeight w:val="270" w:hRule="atLeast"/>
        </w:trPr>
        <w:tc>
          <w:tcPr>
            <w:tcW w:w="1145" w:type="dxa"/>
          </w:tcPr>
          <w:p>
            <w:pPr>
              <w:pStyle w:val="TableParagraph"/>
              <w:spacing w:before="18"/>
              <w:ind w:left="22" w:right="15"/>
              <w:jc w:val="center"/>
              <w:rPr>
                <w:sz w:val="20"/>
              </w:rPr>
            </w:pPr>
            <w:r>
              <w:rPr>
                <w:sz w:val="20"/>
              </w:rPr>
              <w:t>RTC13</w:t>
            </w:r>
          </w:p>
        </w:tc>
        <w:tc>
          <w:tcPr>
            <w:tcW w:w="768" w:type="dxa"/>
          </w:tcPr>
          <w:p>
            <w:pPr>
              <w:pStyle w:val="TableParagraph"/>
              <w:spacing w:before="18"/>
              <w:ind w:left="5"/>
              <w:jc w:val="center"/>
              <w:rPr>
                <w:sz w:val="20"/>
              </w:rPr>
            </w:pPr>
            <w:r>
              <w:rPr>
                <w:sz w:val="20"/>
              </w:rPr>
              <w:t>289E</w:t>
            </w:r>
          </w:p>
        </w:tc>
        <w:tc>
          <w:tcPr>
            <w:tcW w:w="1380" w:type="dxa"/>
            <w:shd w:val="clear" w:color="auto" w:fill="DADADA"/>
          </w:tcPr>
          <w:p>
            <w:pPr>
              <w:pStyle w:val="TableParagraph"/>
              <w:spacing w:before="14"/>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4"/>
              <w:ind w:left="4"/>
              <w:jc w:val="center"/>
              <w:rPr>
                <w:rFonts w:ascii="Times New Roman"/>
                <w:i/>
                <w:sz w:val="20"/>
              </w:rPr>
            </w:pPr>
            <w:r>
              <w:rPr>
                <w:rFonts w:ascii="Times New Roman"/>
                <w:i/>
                <w:w w:val="99"/>
                <w:sz w:val="20"/>
              </w:rPr>
              <w:t>U</w:t>
            </w:r>
          </w:p>
        </w:tc>
        <w:tc>
          <w:tcPr>
            <w:tcW w:w="8284" w:type="dxa"/>
            <w:gridSpan w:val="6"/>
            <w:shd w:val="clear" w:color="auto" w:fill="A8A8A8"/>
          </w:tcPr>
          <w:p>
            <w:pPr>
              <w:pStyle w:val="TableParagraph"/>
              <w:spacing w:before="14"/>
              <w:ind w:left="3107" w:right="3101"/>
              <w:jc w:val="center"/>
              <w:rPr>
                <w:rFonts w:ascii="Times New Roman"/>
                <w:i/>
                <w:sz w:val="20"/>
              </w:rPr>
            </w:pPr>
            <w:r>
              <w:rPr>
                <w:rFonts w:ascii="Times New Roman"/>
                <w:i/>
                <w:sz w:val="20"/>
              </w:rPr>
              <w:t>RTC_TMIN[5:0]</w:t>
            </w:r>
          </w:p>
        </w:tc>
      </w:tr>
      <w:tr>
        <w:trPr>
          <w:trHeight w:val="268" w:hRule="atLeast"/>
        </w:trPr>
        <w:tc>
          <w:tcPr>
            <w:tcW w:w="1145" w:type="dxa"/>
          </w:tcPr>
          <w:p>
            <w:pPr>
              <w:pStyle w:val="TableParagraph"/>
              <w:spacing w:before="18"/>
              <w:ind w:left="22" w:right="15"/>
              <w:jc w:val="center"/>
              <w:rPr>
                <w:sz w:val="20"/>
              </w:rPr>
            </w:pPr>
            <w:r>
              <w:rPr>
                <w:sz w:val="20"/>
              </w:rPr>
              <w:t>RTC14</w:t>
            </w:r>
          </w:p>
        </w:tc>
        <w:tc>
          <w:tcPr>
            <w:tcW w:w="768" w:type="dxa"/>
          </w:tcPr>
          <w:p>
            <w:pPr>
              <w:pStyle w:val="TableParagraph"/>
              <w:spacing w:before="18"/>
              <w:jc w:val="center"/>
              <w:rPr>
                <w:sz w:val="20"/>
              </w:rPr>
            </w:pPr>
            <w:r>
              <w:rPr>
                <w:sz w:val="20"/>
              </w:rPr>
              <w:t>289F</w:t>
            </w:r>
          </w:p>
        </w:tc>
        <w:tc>
          <w:tcPr>
            <w:tcW w:w="1380" w:type="dxa"/>
            <w:shd w:val="clear" w:color="auto" w:fill="DADADA"/>
          </w:tcPr>
          <w:p>
            <w:pPr>
              <w:pStyle w:val="TableParagraph"/>
              <w:spacing w:before="14"/>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4"/>
              <w:ind w:left="4"/>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4"/>
              <w:ind w:left="7"/>
              <w:jc w:val="center"/>
              <w:rPr>
                <w:rFonts w:ascii="Times New Roman"/>
                <w:i/>
                <w:sz w:val="20"/>
              </w:rPr>
            </w:pPr>
            <w:r>
              <w:rPr>
                <w:rFonts w:ascii="Times New Roman"/>
                <w:i/>
                <w:w w:val="99"/>
                <w:sz w:val="20"/>
              </w:rPr>
              <w:t>U</w:t>
            </w:r>
          </w:p>
        </w:tc>
        <w:tc>
          <w:tcPr>
            <w:tcW w:w="6904" w:type="dxa"/>
            <w:gridSpan w:val="5"/>
            <w:shd w:val="clear" w:color="auto" w:fill="A8A8A8"/>
          </w:tcPr>
          <w:p>
            <w:pPr>
              <w:pStyle w:val="TableParagraph"/>
              <w:spacing w:before="14"/>
              <w:ind w:left="2604" w:right="2600"/>
              <w:jc w:val="center"/>
              <w:rPr>
                <w:rFonts w:ascii="Times New Roman"/>
                <w:i/>
                <w:sz w:val="20"/>
              </w:rPr>
            </w:pPr>
            <w:r>
              <w:rPr>
                <w:rFonts w:ascii="Times New Roman"/>
                <w:i/>
                <w:sz w:val="20"/>
              </w:rPr>
              <w:t>RTC_THR[4:0]</w:t>
            </w:r>
          </w:p>
        </w:tc>
      </w:tr>
      <w:tr>
        <w:trPr>
          <w:trHeight w:val="270" w:hRule="atLeast"/>
        </w:trPr>
        <w:tc>
          <w:tcPr>
            <w:tcW w:w="1145" w:type="dxa"/>
          </w:tcPr>
          <w:p>
            <w:pPr>
              <w:pStyle w:val="TableParagraph"/>
              <w:spacing w:before="18"/>
              <w:ind w:left="20" w:right="15"/>
              <w:jc w:val="center"/>
              <w:rPr>
                <w:sz w:val="20"/>
              </w:rPr>
            </w:pPr>
            <w:r>
              <w:rPr>
                <w:sz w:val="20"/>
              </w:rPr>
              <w:t>TEMP</w:t>
            </w:r>
          </w:p>
        </w:tc>
        <w:tc>
          <w:tcPr>
            <w:tcW w:w="768" w:type="dxa"/>
          </w:tcPr>
          <w:p>
            <w:pPr>
              <w:pStyle w:val="TableParagraph"/>
              <w:spacing w:before="18"/>
              <w:ind w:left="6"/>
              <w:jc w:val="center"/>
              <w:rPr>
                <w:sz w:val="20"/>
              </w:rPr>
            </w:pPr>
            <w:r>
              <w:rPr>
                <w:sz w:val="20"/>
              </w:rPr>
              <w:t>28A0</w:t>
            </w:r>
          </w:p>
        </w:tc>
        <w:tc>
          <w:tcPr>
            <w:tcW w:w="1380" w:type="dxa"/>
            <w:shd w:val="clear" w:color="auto" w:fill="A8A8A8"/>
          </w:tcPr>
          <w:p>
            <w:pPr>
              <w:pStyle w:val="TableParagraph"/>
              <w:spacing w:before="14"/>
              <w:ind w:left="87" w:right="78"/>
              <w:jc w:val="center"/>
              <w:rPr>
                <w:rFonts w:ascii="Times New Roman"/>
                <w:i/>
                <w:sz w:val="20"/>
              </w:rPr>
            </w:pPr>
            <w:r>
              <w:rPr>
                <w:rFonts w:ascii="Times New Roman"/>
                <w:i/>
                <w:sz w:val="20"/>
              </w:rPr>
              <w:t>TEMP_BSEL</w:t>
            </w:r>
          </w:p>
        </w:tc>
        <w:tc>
          <w:tcPr>
            <w:tcW w:w="1382" w:type="dxa"/>
            <w:shd w:val="clear" w:color="auto" w:fill="A8A8A8"/>
          </w:tcPr>
          <w:p>
            <w:pPr>
              <w:pStyle w:val="TableParagraph"/>
              <w:spacing w:before="14"/>
              <w:ind w:left="71" w:right="68"/>
              <w:jc w:val="center"/>
              <w:rPr>
                <w:rFonts w:ascii="Times New Roman"/>
                <w:i/>
                <w:sz w:val="20"/>
              </w:rPr>
            </w:pPr>
            <w:r>
              <w:rPr>
                <w:rFonts w:ascii="Times New Roman"/>
                <w:i/>
                <w:sz w:val="20"/>
              </w:rPr>
              <w:t>TEMP_PWR</w:t>
            </w:r>
          </w:p>
        </w:tc>
        <w:tc>
          <w:tcPr>
            <w:tcW w:w="1380" w:type="dxa"/>
            <w:shd w:val="clear" w:color="auto" w:fill="A8A8A8"/>
          </w:tcPr>
          <w:p>
            <w:pPr>
              <w:pStyle w:val="TableParagraph"/>
              <w:spacing w:before="14"/>
              <w:ind w:left="87" w:right="80"/>
              <w:jc w:val="center"/>
              <w:rPr>
                <w:rFonts w:ascii="Times New Roman"/>
                <w:i/>
                <w:sz w:val="20"/>
              </w:rPr>
            </w:pPr>
            <w:r>
              <w:rPr>
                <w:rFonts w:ascii="Times New Roman"/>
                <w:i/>
                <w:sz w:val="20"/>
              </w:rPr>
              <w:t>OSC_COMP</w:t>
            </w:r>
          </w:p>
        </w:tc>
        <w:tc>
          <w:tcPr>
            <w:tcW w:w="1380" w:type="dxa"/>
            <w:shd w:val="clear" w:color="auto" w:fill="A8A8A8"/>
          </w:tcPr>
          <w:p>
            <w:pPr>
              <w:pStyle w:val="TableParagraph"/>
              <w:spacing w:before="14"/>
              <w:ind w:left="87" w:right="78"/>
              <w:jc w:val="center"/>
              <w:rPr>
                <w:rFonts w:ascii="Times New Roman"/>
                <w:i/>
                <w:sz w:val="20"/>
              </w:rPr>
            </w:pPr>
            <w:r>
              <w:rPr>
                <w:rFonts w:ascii="Times New Roman"/>
                <w:i/>
                <w:sz w:val="20"/>
              </w:rPr>
              <w:t>TEMP_BAT</w:t>
            </w:r>
          </w:p>
        </w:tc>
        <w:tc>
          <w:tcPr>
            <w:tcW w:w="1382" w:type="dxa"/>
            <w:shd w:val="clear" w:color="auto" w:fill="A8A8A8"/>
          </w:tcPr>
          <w:p>
            <w:pPr>
              <w:pStyle w:val="TableParagraph"/>
              <w:spacing w:before="14"/>
              <w:ind w:left="71" w:right="68"/>
              <w:jc w:val="center"/>
              <w:rPr>
                <w:rFonts w:ascii="Times New Roman"/>
                <w:i/>
                <w:sz w:val="20"/>
              </w:rPr>
            </w:pPr>
            <w:r>
              <w:rPr>
                <w:rFonts w:ascii="Times New Roman"/>
                <w:i/>
                <w:sz w:val="20"/>
              </w:rPr>
              <w:t>TBYTE_BUSY</w:t>
            </w:r>
          </w:p>
        </w:tc>
        <w:tc>
          <w:tcPr>
            <w:tcW w:w="4142" w:type="dxa"/>
            <w:gridSpan w:val="3"/>
            <w:shd w:val="clear" w:color="auto" w:fill="A8A8A8"/>
          </w:tcPr>
          <w:p>
            <w:pPr>
              <w:pStyle w:val="TableParagraph"/>
              <w:spacing w:before="14"/>
              <w:ind w:left="1365"/>
              <w:rPr>
                <w:rFonts w:ascii="Times New Roman"/>
                <w:i/>
                <w:sz w:val="20"/>
              </w:rPr>
            </w:pPr>
            <w:r>
              <w:rPr>
                <w:rFonts w:ascii="Times New Roman"/>
                <w:i/>
                <w:sz w:val="20"/>
              </w:rPr>
              <w:t>TEMP_PER[2:0]</w:t>
            </w:r>
          </w:p>
        </w:tc>
      </w:tr>
      <w:tr>
        <w:trPr>
          <w:trHeight w:val="268" w:hRule="atLeast"/>
        </w:trPr>
        <w:tc>
          <w:tcPr>
            <w:tcW w:w="1145" w:type="dxa"/>
          </w:tcPr>
          <w:p>
            <w:pPr>
              <w:pStyle w:val="TableParagraph"/>
              <w:spacing w:before="18"/>
              <w:ind w:left="24" w:right="15"/>
              <w:jc w:val="center"/>
              <w:rPr>
                <w:sz w:val="20"/>
              </w:rPr>
            </w:pPr>
            <w:r>
              <w:rPr>
                <w:sz w:val="20"/>
              </w:rPr>
              <w:t>WF1</w:t>
            </w:r>
          </w:p>
        </w:tc>
        <w:tc>
          <w:tcPr>
            <w:tcW w:w="768" w:type="dxa"/>
          </w:tcPr>
          <w:p>
            <w:pPr>
              <w:pStyle w:val="TableParagraph"/>
              <w:spacing w:before="18"/>
              <w:ind w:left="4"/>
              <w:jc w:val="center"/>
              <w:rPr>
                <w:sz w:val="20"/>
              </w:rPr>
            </w:pPr>
            <w:r>
              <w:rPr>
                <w:sz w:val="20"/>
              </w:rPr>
              <w:t>28B0</w:t>
            </w:r>
          </w:p>
        </w:tc>
        <w:tc>
          <w:tcPr>
            <w:tcW w:w="1380" w:type="dxa"/>
            <w:shd w:val="clear" w:color="auto" w:fill="A8A8A8"/>
          </w:tcPr>
          <w:p>
            <w:pPr>
              <w:pStyle w:val="TableParagraph"/>
              <w:spacing w:before="14"/>
              <w:ind w:left="87" w:right="83"/>
              <w:jc w:val="center"/>
              <w:rPr>
                <w:rFonts w:ascii="Times New Roman"/>
                <w:i/>
                <w:sz w:val="20"/>
              </w:rPr>
            </w:pPr>
            <w:r>
              <w:rPr>
                <w:rFonts w:ascii="Times New Roman"/>
                <w:i/>
                <w:sz w:val="20"/>
              </w:rPr>
              <w:t>WF_CSTART</w:t>
            </w:r>
          </w:p>
        </w:tc>
        <w:tc>
          <w:tcPr>
            <w:tcW w:w="1382" w:type="dxa"/>
            <w:shd w:val="clear" w:color="auto" w:fill="A8A8A8"/>
          </w:tcPr>
          <w:p>
            <w:pPr>
              <w:pStyle w:val="TableParagraph"/>
              <w:spacing w:before="14"/>
              <w:ind w:left="72" w:right="68"/>
              <w:jc w:val="center"/>
              <w:rPr>
                <w:rFonts w:ascii="Times New Roman"/>
                <w:i/>
                <w:sz w:val="20"/>
              </w:rPr>
            </w:pPr>
            <w:r>
              <w:rPr>
                <w:rFonts w:ascii="Times New Roman"/>
                <w:i/>
                <w:sz w:val="20"/>
              </w:rPr>
              <w:t>WF_RST</w:t>
            </w:r>
          </w:p>
        </w:tc>
        <w:tc>
          <w:tcPr>
            <w:tcW w:w="1380" w:type="dxa"/>
            <w:shd w:val="clear" w:color="auto" w:fill="A8A8A8"/>
          </w:tcPr>
          <w:p>
            <w:pPr>
              <w:pStyle w:val="TableParagraph"/>
              <w:spacing w:before="14"/>
              <w:ind w:left="87" w:right="82"/>
              <w:jc w:val="center"/>
              <w:rPr>
                <w:rFonts w:ascii="Times New Roman"/>
                <w:i/>
                <w:sz w:val="20"/>
              </w:rPr>
            </w:pPr>
            <w:r>
              <w:rPr>
                <w:rFonts w:ascii="Times New Roman"/>
                <w:i/>
                <w:sz w:val="20"/>
              </w:rPr>
              <w:t>WF_RSTBIT</w:t>
            </w:r>
          </w:p>
        </w:tc>
        <w:tc>
          <w:tcPr>
            <w:tcW w:w="1380" w:type="dxa"/>
            <w:shd w:val="clear" w:color="auto" w:fill="A8A8A8"/>
          </w:tcPr>
          <w:p>
            <w:pPr>
              <w:pStyle w:val="TableParagraph"/>
              <w:spacing w:before="14"/>
              <w:ind w:left="87" w:right="83"/>
              <w:jc w:val="center"/>
              <w:rPr>
                <w:rFonts w:ascii="Times New Roman"/>
                <w:i/>
                <w:sz w:val="20"/>
              </w:rPr>
            </w:pPr>
            <w:r>
              <w:rPr>
                <w:rFonts w:ascii="Times New Roman"/>
                <w:i/>
                <w:sz w:val="20"/>
              </w:rPr>
              <w:t>WF_OVF</w:t>
            </w:r>
          </w:p>
        </w:tc>
        <w:tc>
          <w:tcPr>
            <w:tcW w:w="1382" w:type="dxa"/>
            <w:shd w:val="clear" w:color="auto" w:fill="A8A8A8"/>
          </w:tcPr>
          <w:p>
            <w:pPr>
              <w:pStyle w:val="TableParagraph"/>
              <w:spacing w:before="14"/>
              <w:ind w:left="71" w:right="68"/>
              <w:jc w:val="center"/>
              <w:rPr>
                <w:rFonts w:ascii="Times New Roman"/>
                <w:i/>
                <w:sz w:val="20"/>
              </w:rPr>
            </w:pPr>
            <w:r>
              <w:rPr>
                <w:rFonts w:ascii="Times New Roman"/>
                <w:i/>
                <w:sz w:val="20"/>
              </w:rPr>
              <w:t>WF_ERST</w:t>
            </w:r>
          </w:p>
        </w:tc>
        <w:tc>
          <w:tcPr>
            <w:tcW w:w="1442" w:type="dxa"/>
            <w:shd w:val="clear" w:color="auto" w:fill="A8A8A8"/>
          </w:tcPr>
          <w:p>
            <w:pPr>
              <w:pStyle w:val="TableParagraph"/>
              <w:spacing w:before="14"/>
              <w:ind w:left="98" w:right="90"/>
              <w:jc w:val="center"/>
              <w:rPr>
                <w:rFonts w:ascii="Times New Roman"/>
                <w:i/>
                <w:sz w:val="20"/>
              </w:rPr>
            </w:pPr>
            <w:r>
              <w:rPr>
                <w:rFonts w:ascii="Times New Roman"/>
                <w:i/>
                <w:sz w:val="20"/>
              </w:rPr>
              <w:t>WF_BADVDD</w:t>
            </w:r>
          </w:p>
        </w:tc>
        <w:tc>
          <w:tcPr>
            <w:tcW w:w="1320" w:type="dxa"/>
            <w:shd w:val="clear" w:color="auto" w:fill="DADADA"/>
          </w:tcPr>
          <w:p>
            <w:pPr>
              <w:pStyle w:val="TableParagraph"/>
              <w:spacing w:before="14"/>
              <w:ind w:left="6"/>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4"/>
              <w:ind w:left="9"/>
              <w:jc w:val="center"/>
              <w:rPr>
                <w:rFonts w:ascii="Times New Roman"/>
                <w:i/>
                <w:sz w:val="20"/>
              </w:rPr>
            </w:pPr>
            <w:r>
              <w:rPr>
                <w:rFonts w:ascii="Times New Roman"/>
                <w:i/>
                <w:w w:val="99"/>
                <w:sz w:val="20"/>
              </w:rPr>
              <w:t>U</w:t>
            </w:r>
          </w:p>
        </w:tc>
      </w:tr>
      <w:tr>
        <w:trPr>
          <w:trHeight w:val="270" w:hRule="atLeast"/>
        </w:trPr>
        <w:tc>
          <w:tcPr>
            <w:tcW w:w="1145" w:type="dxa"/>
          </w:tcPr>
          <w:p>
            <w:pPr>
              <w:pStyle w:val="TableParagraph"/>
              <w:spacing w:before="21"/>
              <w:ind w:left="24" w:right="15"/>
              <w:jc w:val="center"/>
              <w:rPr>
                <w:sz w:val="20"/>
              </w:rPr>
            </w:pPr>
            <w:r>
              <w:rPr>
                <w:sz w:val="20"/>
              </w:rPr>
              <w:t>WF2</w:t>
            </w:r>
          </w:p>
        </w:tc>
        <w:tc>
          <w:tcPr>
            <w:tcW w:w="768" w:type="dxa"/>
          </w:tcPr>
          <w:p>
            <w:pPr>
              <w:pStyle w:val="TableParagraph"/>
              <w:spacing w:before="21"/>
              <w:ind w:left="4"/>
              <w:jc w:val="center"/>
              <w:rPr>
                <w:sz w:val="20"/>
              </w:rPr>
            </w:pPr>
            <w:r>
              <w:rPr>
                <w:sz w:val="20"/>
              </w:rPr>
              <w:t>28B1</w:t>
            </w:r>
          </w:p>
        </w:tc>
        <w:tc>
          <w:tcPr>
            <w:tcW w:w="1380" w:type="dxa"/>
            <w:shd w:val="clear" w:color="auto" w:fill="DADADA"/>
          </w:tcPr>
          <w:p>
            <w:pPr>
              <w:pStyle w:val="TableParagraph"/>
              <w:spacing w:before="17"/>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7"/>
              <w:ind w:left="4"/>
              <w:jc w:val="center"/>
              <w:rPr>
                <w:rFonts w:ascii="Times New Roman"/>
                <w:i/>
                <w:sz w:val="20"/>
              </w:rPr>
            </w:pPr>
            <w:r>
              <w:rPr>
                <w:rFonts w:ascii="Times New Roman"/>
                <w:i/>
                <w:w w:val="99"/>
                <w:sz w:val="20"/>
              </w:rPr>
              <w:t>U</w:t>
            </w:r>
          </w:p>
        </w:tc>
        <w:tc>
          <w:tcPr>
            <w:tcW w:w="1380" w:type="dxa"/>
            <w:shd w:val="clear" w:color="auto" w:fill="A8A8A8"/>
          </w:tcPr>
          <w:p>
            <w:pPr>
              <w:pStyle w:val="TableParagraph"/>
              <w:spacing w:before="17"/>
              <w:ind w:left="87" w:right="81"/>
              <w:jc w:val="center"/>
              <w:rPr>
                <w:rFonts w:ascii="Times New Roman"/>
                <w:i/>
                <w:sz w:val="20"/>
              </w:rPr>
            </w:pPr>
            <w:r>
              <w:rPr>
                <w:rFonts w:ascii="Times New Roman"/>
                <w:i/>
                <w:sz w:val="20"/>
              </w:rPr>
              <w:t>WF_TMR</w:t>
            </w:r>
          </w:p>
        </w:tc>
        <w:tc>
          <w:tcPr>
            <w:tcW w:w="1380" w:type="dxa"/>
            <w:shd w:val="clear" w:color="auto" w:fill="A8A8A8"/>
          </w:tcPr>
          <w:p>
            <w:pPr>
              <w:pStyle w:val="TableParagraph"/>
              <w:spacing w:before="17"/>
              <w:ind w:left="87" w:right="83"/>
              <w:jc w:val="center"/>
              <w:rPr>
                <w:rFonts w:ascii="Times New Roman"/>
                <w:i/>
                <w:sz w:val="20"/>
              </w:rPr>
            </w:pPr>
            <w:r>
              <w:rPr>
                <w:rFonts w:ascii="Times New Roman"/>
                <w:i/>
                <w:sz w:val="20"/>
              </w:rPr>
              <w:t>WF_RX</w:t>
            </w:r>
          </w:p>
        </w:tc>
        <w:tc>
          <w:tcPr>
            <w:tcW w:w="1382" w:type="dxa"/>
            <w:shd w:val="clear" w:color="auto" w:fill="A8A8A8"/>
          </w:tcPr>
          <w:p>
            <w:pPr>
              <w:pStyle w:val="TableParagraph"/>
              <w:spacing w:before="17"/>
              <w:ind w:left="70" w:right="68"/>
              <w:jc w:val="center"/>
              <w:rPr>
                <w:rFonts w:ascii="Times New Roman"/>
                <w:i/>
                <w:sz w:val="20"/>
              </w:rPr>
            </w:pPr>
            <w:r>
              <w:rPr>
                <w:rFonts w:ascii="Times New Roman"/>
                <w:i/>
                <w:sz w:val="20"/>
              </w:rPr>
              <w:t>WF_PB</w:t>
            </w:r>
          </w:p>
        </w:tc>
        <w:tc>
          <w:tcPr>
            <w:tcW w:w="1442" w:type="dxa"/>
            <w:shd w:val="clear" w:color="auto" w:fill="A8A8A8"/>
          </w:tcPr>
          <w:p>
            <w:pPr>
              <w:pStyle w:val="TableParagraph"/>
              <w:spacing w:before="17"/>
              <w:ind w:left="98" w:right="93"/>
              <w:jc w:val="center"/>
              <w:rPr>
                <w:rFonts w:ascii="Times New Roman"/>
                <w:i/>
                <w:sz w:val="20"/>
              </w:rPr>
            </w:pPr>
            <w:r>
              <w:rPr>
                <w:rFonts w:ascii="Times New Roman"/>
                <w:i/>
                <w:sz w:val="20"/>
              </w:rPr>
              <w:t>WF_DIO4</w:t>
            </w:r>
          </w:p>
        </w:tc>
        <w:tc>
          <w:tcPr>
            <w:tcW w:w="1320" w:type="dxa"/>
            <w:shd w:val="clear" w:color="auto" w:fill="A8A8A8"/>
          </w:tcPr>
          <w:p>
            <w:pPr>
              <w:pStyle w:val="TableParagraph"/>
              <w:spacing w:before="17"/>
              <w:ind w:left="53" w:right="44"/>
              <w:jc w:val="center"/>
              <w:rPr>
                <w:rFonts w:ascii="Times New Roman"/>
                <w:i/>
                <w:sz w:val="20"/>
              </w:rPr>
            </w:pPr>
            <w:r>
              <w:rPr>
                <w:rFonts w:ascii="Times New Roman"/>
                <w:i/>
                <w:sz w:val="20"/>
              </w:rPr>
              <w:t>WF_DIO52</w:t>
            </w:r>
          </w:p>
        </w:tc>
        <w:tc>
          <w:tcPr>
            <w:tcW w:w="1380" w:type="dxa"/>
            <w:shd w:val="clear" w:color="auto" w:fill="A8A8A8"/>
          </w:tcPr>
          <w:p>
            <w:pPr>
              <w:pStyle w:val="TableParagraph"/>
              <w:spacing w:before="17"/>
              <w:ind w:left="87" w:right="76"/>
              <w:jc w:val="center"/>
              <w:rPr>
                <w:rFonts w:ascii="Times New Roman"/>
                <w:i/>
                <w:sz w:val="20"/>
              </w:rPr>
            </w:pPr>
            <w:r>
              <w:rPr>
                <w:rFonts w:ascii="Times New Roman"/>
                <w:i/>
                <w:sz w:val="20"/>
              </w:rPr>
              <w:t>WF_DIO55</w:t>
            </w:r>
          </w:p>
        </w:tc>
      </w:tr>
      <w:tr>
        <w:trPr>
          <w:trHeight w:val="270" w:hRule="atLeast"/>
        </w:trPr>
        <w:tc>
          <w:tcPr>
            <w:tcW w:w="1145" w:type="dxa"/>
          </w:tcPr>
          <w:p>
            <w:pPr>
              <w:pStyle w:val="TableParagraph"/>
              <w:spacing w:before="18"/>
              <w:ind w:left="18" w:right="15"/>
              <w:jc w:val="center"/>
              <w:rPr>
                <w:sz w:val="20"/>
              </w:rPr>
            </w:pPr>
            <w:r>
              <w:rPr>
                <w:sz w:val="20"/>
              </w:rPr>
              <w:t>MISC</w:t>
            </w:r>
          </w:p>
        </w:tc>
        <w:tc>
          <w:tcPr>
            <w:tcW w:w="768" w:type="dxa"/>
          </w:tcPr>
          <w:p>
            <w:pPr>
              <w:pStyle w:val="TableParagraph"/>
              <w:spacing w:before="18"/>
              <w:ind w:left="4"/>
              <w:jc w:val="center"/>
              <w:rPr>
                <w:sz w:val="20"/>
              </w:rPr>
            </w:pPr>
            <w:r>
              <w:rPr>
                <w:sz w:val="20"/>
              </w:rPr>
              <w:t>28B2</w:t>
            </w:r>
          </w:p>
        </w:tc>
        <w:tc>
          <w:tcPr>
            <w:tcW w:w="1380" w:type="dxa"/>
            <w:shd w:val="clear" w:color="auto" w:fill="A8A8A8"/>
          </w:tcPr>
          <w:p>
            <w:pPr>
              <w:pStyle w:val="TableParagraph"/>
              <w:spacing w:before="14"/>
              <w:ind w:left="87" w:right="79"/>
              <w:jc w:val="center"/>
              <w:rPr>
                <w:rFonts w:ascii="Times New Roman"/>
                <w:i/>
                <w:sz w:val="20"/>
              </w:rPr>
            </w:pPr>
            <w:r>
              <w:rPr>
                <w:rFonts w:ascii="Times New Roman"/>
                <w:i/>
                <w:sz w:val="20"/>
              </w:rPr>
              <w:t>SLEEP</w:t>
            </w:r>
          </w:p>
        </w:tc>
        <w:tc>
          <w:tcPr>
            <w:tcW w:w="1382" w:type="dxa"/>
            <w:shd w:val="clear" w:color="auto" w:fill="A8A8A8"/>
          </w:tcPr>
          <w:p>
            <w:pPr>
              <w:pStyle w:val="TableParagraph"/>
              <w:spacing w:before="14"/>
              <w:ind w:left="70" w:right="68"/>
              <w:jc w:val="center"/>
              <w:rPr>
                <w:rFonts w:ascii="Times New Roman"/>
                <w:i/>
                <w:sz w:val="20"/>
              </w:rPr>
            </w:pPr>
            <w:r>
              <w:rPr>
                <w:rFonts w:ascii="Times New Roman"/>
                <w:i/>
                <w:sz w:val="20"/>
              </w:rPr>
              <w:t>LCD_ONLY</w:t>
            </w:r>
          </w:p>
        </w:tc>
        <w:tc>
          <w:tcPr>
            <w:tcW w:w="1380" w:type="dxa"/>
            <w:shd w:val="clear" w:color="auto" w:fill="A8A8A8"/>
          </w:tcPr>
          <w:p>
            <w:pPr>
              <w:pStyle w:val="TableParagraph"/>
              <w:spacing w:before="14"/>
              <w:ind w:left="87" w:right="82"/>
              <w:jc w:val="center"/>
              <w:rPr>
                <w:rFonts w:ascii="Times New Roman"/>
                <w:i/>
                <w:sz w:val="20"/>
              </w:rPr>
            </w:pPr>
            <w:r>
              <w:rPr>
                <w:rFonts w:ascii="Times New Roman"/>
                <w:i/>
                <w:sz w:val="20"/>
              </w:rPr>
              <w:t>WAKE_ARM</w:t>
            </w:r>
          </w:p>
        </w:tc>
        <w:tc>
          <w:tcPr>
            <w:tcW w:w="1380" w:type="dxa"/>
            <w:shd w:val="clear" w:color="auto" w:fill="DADADA"/>
          </w:tcPr>
          <w:p>
            <w:pPr>
              <w:pStyle w:val="TableParagraph"/>
              <w:spacing w:before="14"/>
              <w:ind w:left="7"/>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4"/>
              <w:ind w:left="5"/>
              <w:jc w:val="center"/>
              <w:rPr>
                <w:rFonts w:ascii="Times New Roman"/>
                <w:i/>
                <w:sz w:val="20"/>
              </w:rPr>
            </w:pPr>
            <w:r>
              <w:rPr>
                <w:rFonts w:ascii="Times New Roman"/>
                <w:i/>
                <w:w w:val="99"/>
                <w:sz w:val="20"/>
              </w:rPr>
              <w:t>U</w:t>
            </w:r>
          </w:p>
        </w:tc>
        <w:tc>
          <w:tcPr>
            <w:tcW w:w="1442" w:type="dxa"/>
            <w:shd w:val="clear" w:color="auto" w:fill="DADADA"/>
          </w:tcPr>
          <w:p>
            <w:pPr>
              <w:pStyle w:val="TableParagraph"/>
              <w:spacing w:before="14"/>
              <w:ind w:left="8"/>
              <w:jc w:val="center"/>
              <w:rPr>
                <w:rFonts w:ascii="Times New Roman"/>
                <w:i/>
                <w:sz w:val="20"/>
              </w:rPr>
            </w:pPr>
            <w:r>
              <w:rPr>
                <w:rFonts w:ascii="Times New Roman"/>
                <w:i/>
                <w:w w:val="99"/>
                <w:sz w:val="20"/>
              </w:rPr>
              <w:t>U</w:t>
            </w:r>
          </w:p>
        </w:tc>
        <w:tc>
          <w:tcPr>
            <w:tcW w:w="1320" w:type="dxa"/>
            <w:shd w:val="clear" w:color="auto" w:fill="DADADA"/>
          </w:tcPr>
          <w:p>
            <w:pPr>
              <w:pStyle w:val="TableParagraph"/>
              <w:spacing w:before="14"/>
              <w:ind w:left="6"/>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4"/>
              <w:ind w:left="9"/>
              <w:jc w:val="center"/>
              <w:rPr>
                <w:rFonts w:ascii="Times New Roman"/>
                <w:i/>
                <w:sz w:val="20"/>
              </w:rPr>
            </w:pPr>
            <w:r>
              <w:rPr>
                <w:rFonts w:ascii="Times New Roman"/>
                <w:i/>
                <w:w w:val="99"/>
                <w:sz w:val="20"/>
              </w:rPr>
              <w:t>U</w:t>
            </w:r>
          </w:p>
        </w:tc>
      </w:tr>
      <w:tr>
        <w:trPr>
          <w:trHeight w:val="268" w:hRule="atLeast"/>
        </w:trPr>
        <w:tc>
          <w:tcPr>
            <w:tcW w:w="1145" w:type="dxa"/>
          </w:tcPr>
          <w:p>
            <w:pPr>
              <w:pStyle w:val="TableParagraph"/>
              <w:spacing w:before="18"/>
              <w:ind w:left="24" w:right="14"/>
              <w:jc w:val="center"/>
              <w:rPr>
                <w:sz w:val="20"/>
              </w:rPr>
            </w:pPr>
            <w:r>
              <w:rPr>
                <w:sz w:val="20"/>
              </w:rPr>
              <w:t>WAKE_E</w:t>
            </w:r>
          </w:p>
        </w:tc>
        <w:tc>
          <w:tcPr>
            <w:tcW w:w="768" w:type="dxa"/>
          </w:tcPr>
          <w:p>
            <w:pPr>
              <w:pStyle w:val="TableParagraph"/>
              <w:spacing w:before="18"/>
              <w:ind w:left="4"/>
              <w:jc w:val="center"/>
              <w:rPr>
                <w:sz w:val="20"/>
              </w:rPr>
            </w:pPr>
            <w:r>
              <w:rPr>
                <w:sz w:val="20"/>
              </w:rPr>
              <w:t>28B3</w:t>
            </w:r>
          </w:p>
        </w:tc>
        <w:tc>
          <w:tcPr>
            <w:tcW w:w="1380" w:type="dxa"/>
            <w:shd w:val="clear" w:color="auto" w:fill="DADADA"/>
          </w:tcPr>
          <w:p>
            <w:pPr>
              <w:pStyle w:val="TableParagraph"/>
              <w:spacing w:before="14"/>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4"/>
              <w:ind w:left="4"/>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4"/>
              <w:ind w:left="7"/>
              <w:jc w:val="center"/>
              <w:rPr>
                <w:rFonts w:ascii="Times New Roman"/>
                <w:i/>
                <w:sz w:val="20"/>
              </w:rPr>
            </w:pPr>
            <w:r>
              <w:rPr>
                <w:rFonts w:ascii="Times New Roman"/>
                <w:i/>
                <w:w w:val="99"/>
                <w:sz w:val="20"/>
              </w:rPr>
              <w:t>U</w:t>
            </w:r>
          </w:p>
        </w:tc>
        <w:tc>
          <w:tcPr>
            <w:tcW w:w="1380" w:type="dxa"/>
            <w:shd w:val="clear" w:color="auto" w:fill="A8A8A8"/>
          </w:tcPr>
          <w:p>
            <w:pPr>
              <w:pStyle w:val="TableParagraph"/>
              <w:spacing w:before="14"/>
              <w:ind w:left="87" w:right="83"/>
              <w:jc w:val="center"/>
              <w:rPr>
                <w:rFonts w:ascii="Times New Roman"/>
                <w:i/>
                <w:sz w:val="20"/>
              </w:rPr>
            </w:pPr>
            <w:r>
              <w:rPr>
                <w:rFonts w:ascii="Times New Roman"/>
                <w:i/>
                <w:sz w:val="20"/>
              </w:rPr>
              <w:t>EW_RX</w:t>
            </w:r>
          </w:p>
        </w:tc>
        <w:tc>
          <w:tcPr>
            <w:tcW w:w="1382" w:type="dxa"/>
            <w:shd w:val="clear" w:color="auto" w:fill="A8A8A8"/>
          </w:tcPr>
          <w:p>
            <w:pPr>
              <w:pStyle w:val="TableParagraph"/>
              <w:spacing w:before="14"/>
              <w:ind w:left="70" w:right="68"/>
              <w:jc w:val="center"/>
              <w:rPr>
                <w:rFonts w:ascii="Times New Roman"/>
                <w:i/>
                <w:sz w:val="20"/>
              </w:rPr>
            </w:pPr>
            <w:r>
              <w:rPr>
                <w:rFonts w:ascii="Times New Roman"/>
                <w:i/>
                <w:sz w:val="20"/>
              </w:rPr>
              <w:t>EW_PB</w:t>
            </w:r>
          </w:p>
        </w:tc>
        <w:tc>
          <w:tcPr>
            <w:tcW w:w="1442" w:type="dxa"/>
            <w:shd w:val="clear" w:color="auto" w:fill="A8A8A8"/>
          </w:tcPr>
          <w:p>
            <w:pPr>
              <w:pStyle w:val="TableParagraph"/>
              <w:spacing w:before="14"/>
              <w:ind w:left="98" w:right="93"/>
              <w:jc w:val="center"/>
              <w:rPr>
                <w:rFonts w:ascii="Times New Roman"/>
                <w:i/>
                <w:sz w:val="20"/>
              </w:rPr>
            </w:pPr>
            <w:r>
              <w:rPr>
                <w:rFonts w:ascii="Times New Roman"/>
                <w:i/>
                <w:sz w:val="20"/>
              </w:rPr>
              <w:t>EW_DIO4</w:t>
            </w:r>
          </w:p>
        </w:tc>
        <w:tc>
          <w:tcPr>
            <w:tcW w:w="1320" w:type="dxa"/>
            <w:shd w:val="clear" w:color="auto" w:fill="A8A8A8"/>
          </w:tcPr>
          <w:p>
            <w:pPr>
              <w:pStyle w:val="TableParagraph"/>
              <w:spacing w:before="14"/>
              <w:ind w:left="53" w:right="44"/>
              <w:jc w:val="center"/>
              <w:rPr>
                <w:rFonts w:ascii="Times New Roman"/>
                <w:i/>
                <w:sz w:val="20"/>
              </w:rPr>
            </w:pPr>
            <w:r>
              <w:rPr>
                <w:rFonts w:ascii="Times New Roman"/>
                <w:i/>
                <w:sz w:val="20"/>
              </w:rPr>
              <w:t>EW_DIO52</w:t>
            </w:r>
          </w:p>
        </w:tc>
        <w:tc>
          <w:tcPr>
            <w:tcW w:w="1380" w:type="dxa"/>
            <w:shd w:val="clear" w:color="auto" w:fill="A8A8A8"/>
          </w:tcPr>
          <w:p>
            <w:pPr>
              <w:pStyle w:val="TableParagraph"/>
              <w:spacing w:before="14"/>
              <w:ind w:left="87" w:right="76"/>
              <w:jc w:val="center"/>
              <w:rPr>
                <w:rFonts w:ascii="Times New Roman"/>
                <w:i/>
                <w:sz w:val="20"/>
              </w:rPr>
            </w:pPr>
            <w:r>
              <w:rPr>
                <w:rFonts w:ascii="Times New Roman"/>
                <w:i/>
                <w:sz w:val="20"/>
              </w:rPr>
              <w:t>EW_DIO55</w:t>
            </w:r>
          </w:p>
        </w:tc>
      </w:tr>
      <w:tr>
        <w:trPr>
          <w:trHeight w:val="270" w:hRule="atLeast"/>
        </w:trPr>
        <w:tc>
          <w:tcPr>
            <w:tcW w:w="1145" w:type="dxa"/>
          </w:tcPr>
          <w:p>
            <w:pPr>
              <w:pStyle w:val="TableParagraph"/>
              <w:spacing w:before="21"/>
              <w:ind w:left="21" w:right="15"/>
              <w:jc w:val="center"/>
              <w:rPr>
                <w:sz w:val="20"/>
              </w:rPr>
            </w:pPr>
            <w:r>
              <w:rPr>
                <w:sz w:val="20"/>
              </w:rPr>
              <w:t>WDRST</w:t>
            </w:r>
          </w:p>
        </w:tc>
        <w:tc>
          <w:tcPr>
            <w:tcW w:w="768" w:type="dxa"/>
          </w:tcPr>
          <w:p>
            <w:pPr>
              <w:pStyle w:val="TableParagraph"/>
              <w:spacing w:before="21"/>
              <w:ind w:left="4"/>
              <w:jc w:val="center"/>
              <w:rPr>
                <w:sz w:val="20"/>
              </w:rPr>
            </w:pPr>
            <w:r>
              <w:rPr>
                <w:sz w:val="20"/>
              </w:rPr>
              <w:t>28B4</w:t>
            </w:r>
          </w:p>
        </w:tc>
        <w:tc>
          <w:tcPr>
            <w:tcW w:w="1380" w:type="dxa"/>
            <w:shd w:val="clear" w:color="auto" w:fill="A8A8A8"/>
          </w:tcPr>
          <w:p>
            <w:pPr>
              <w:pStyle w:val="TableParagraph"/>
              <w:spacing w:before="17"/>
              <w:ind w:left="87" w:right="79"/>
              <w:jc w:val="center"/>
              <w:rPr>
                <w:rFonts w:ascii="Times New Roman"/>
                <w:i/>
                <w:sz w:val="20"/>
              </w:rPr>
            </w:pPr>
            <w:r>
              <w:rPr>
                <w:rFonts w:ascii="Times New Roman"/>
                <w:i/>
                <w:sz w:val="20"/>
              </w:rPr>
              <w:t>WD_RST</w:t>
            </w:r>
          </w:p>
        </w:tc>
        <w:tc>
          <w:tcPr>
            <w:tcW w:w="1382" w:type="dxa"/>
            <w:shd w:val="clear" w:color="auto" w:fill="A8A8A8"/>
          </w:tcPr>
          <w:p>
            <w:pPr>
              <w:pStyle w:val="TableParagraph"/>
              <w:spacing w:before="17"/>
              <w:ind w:left="75" w:right="68"/>
              <w:jc w:val="center"/>
              <w:rPr>
                <w:rFonts w:ascii="Times New Roman"/>
                <w:i/>
                <w:sz w:val="20"/>
              </w:rPr>
            </w:pPr>
            <w:r>
              <w:rPr>
                <w:rFonts w:ascii="Times New Roman"/>
                <w:i/>
                <w:sz w:val="20"/>
              </w:rPr>
              <w:t>TEMP_START</w:t>
            </w:r>
          </w:p>
        </w:tc>
        <w:tc>
          <w:tcPr>
            <w:tcW w:w="1380" w:type="dxa"/>
            <w:shd w:val="clear" w:color="auto" w:fill="DADADA"/>
          </w:tcPr>
          <w:p>
            <w:pPr>
              <w:pStyle w:val="TableParagraph"/>
              <w:spacing w:before="17"/>
              <w:ind w:left="7"/>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7"/>
              <w:ind w:left="7"/>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7"/>
              <w:ind w:left="5"/>
              <w:jc w:val="center"/>
              <w:rPr>
                <w:rFonts w:ascii="Times New Roman"/>
                <w:i/>
                <w:sz w:val="20"/>
              </w:rPr>
            </w:pPr>
            <w:r>
              <w:rPr>
                <w:rFonts w:ascii="Times New Roman"/>
                <w:i/>
                <w:w w:val="99"/>
                <w:sz w:val="20"/>
              </w:rPr>
              <w:t>U</w:t>
            </w:r>
          </w:p>
        </w:tc>
        <w:tc>
          <w:tcPr>
            <w:tcW w:w="1442" w:type="dxa"/>
            <w:shd w:val="clear" w:color="auto" w:fill="DADADA"/>
          </w:tcPr>
          <w:p>
            <w:pPr>
              <w:pStyle w:val="TableParagraph"/>
              <w:spacing w:before="17"/>
              <w:ind w:left="8"/>
              <w:jc w:val="center"/>
              <w:rPr>
                <w:rFonts w:ascii="Times New Roman"/>
                <w:i/>
                <w:sz w:val="20"/>
              </w:rPr>
            </w:pPr>
            <w:r>
              <w:rPr>
                <w:rFonts w:ascii="Times New Roman"/>
                <w:i/>
                <w:w w:val="99"/>
                <w:sz w:val="20"/>
              </w:rPr>
              <w:t>U</w:t>
            </w:r>
          </w:p>
        </w:tc>
        <w:tc>
          <w:tcPr>
            <w:tcW w:w="1320" w:type="dxa"/>
            <w:shd w:val="clear" w:color="auto" w:fill="DADADA"/>
          </w:tcPr>
          <w:p>
            <w:pPr>
              <w:pStyle w:val="TableParagraph"/>
              <w:spacing w:before="17"/>
              <w:ind w:left="6"/>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7"/>
              <w:ind w:left="9"/>
              <w:jc w:val="center"/>
              <w:rPr>
                <w:rFonts w:ascii="Times New Roman"/>
                <w:i/>
                <w:sz w:val="20"/>
              </w:rPr>
            </w:pPr>
            <w:r>
              <w:rPr>
                <w:rFonts w:ascii="Times New Roman"/>
                <w:i/>
                <w:w w:val="99"/>
                <w:sz w:val="20"/>
              </w:rPr>
              <w:t>U</w:t>
            </w:r>
          </w:p>
        </w:tc>
      </w:tr>
      <w:tr>
        <w:trPr>
          <w:trHeight w:val="270" w:hRule="atLeast"/>
        </w:trPr>
        <w:tc>
          <w:tcPr>
            <w:tcW w:w="12959" w:type="dxa"/>
            <w:gridSpan w:val="10"/>
          </w:tcPr>
          <w:p>
            <w:pPr>
              <w:pStyle w:val="TableParagraph"/>
              <w:spacing w:before="18"/>
              <w:ind w:left="172"/>
              <w:rPr>
                <w:b/>
                <w:i/>
                <w:sz w:val="20"/>
              </w:rPr>
            </w:pPr>
            <w:r>
              <w:rPr>
                <w:b/>
                <w:i/>
                <w:sz w:val="20"/>
              </w:rPr>
              <w:t>MPU PORTS</w:t>
            </w:r>
          </w:p>
        </w:tc>
      </w:tr>
      <w:tr>
        <w:trPr>
          <w:trHeight w:val="268" w:hRule="atLeast"/>
        </w:trPr>
        <w:tc>
          <w:tcPr>
            <w:tcW w:w="1145" w:type="dxa"/>
          </w:tcPr>
          <w:p>
            <w:pPr>
              <w:pStyle w:val="TableParagraph"/>
              <w:spacing w:before="18"/>
              <w:ind w:left="22" w:right="15"/>
              <w:jc w:val="center"/>
              <w:rPr>
                <w:sz w:val="20"/>
              </w:rPr>
            </w:pPr>
            <w:r>
              <w:rPr>
                <w:sz w:val="20"/>
              </w:rPr>
              <w:t>PORT3</w:t>
            </w:r>
          </w:p>
        </w:tc>
        <w:tc>
          <w:tcPr>
            <w:tcW w:w="768" w:type="dxa"/>
          </w:tcPr>
          <w:p>
            <w:pPr>
              <w:pStyle w:val="TableParagraph"/>
              <w:spacing w:before="18"/>
              <w:ind w:left="2"/>
              <w:jc w:val="center"/>
              <w:rPr>
                <w:sz w:val="20"/>
              </w:rPr>
            </w:pPr>
            <w:r>
              <w:rPr>
                <w:sz w:val="20"/>
              </w:rPr>
              <w:t>SFR B0</w:t>
            </w:r>
          </w:p>
        </w:tc>
        <w:tc>
          <w:tcPr>
            <w:tcW w:w="5522" w:type="dxa"/>
            <w:gridSpan w:val="4"/>
          </w:tcPr>
          <w:p>
            <w:pPr>
              <w:pStyle w:val="TableParagraph"/>
              <w:spacing w:before="14"/>
              <w:ind w:left="2033" w:right="2028"/>
              <w:jc w:val="center"/>
              <w:rPr>
                <w:rFonts w:ascii="Times New Roman"/>
                <w:i/>
                <w:sz w:val="20"/>
              </w:rPr>
            </w:pPr>
            <w:r>
              <w:rPr>
                <w:rFonts w:ascii="Times New Roman"/>
                <w:i/>
                <w:sz w:val="20"/>
              </w:rPr>
              <w:t>DIO_DIR[15:12]</w:t>
            </w:r>
          </w:p>
        </w:tc>
        <w:tc>
          <w:tcPr>
            <w:tcW w:w="5524" w:type="dxa"/>
            <w:gridSpan w:val="4"/>
          </w:tcPr>
          <w:p>
            <w:pPr>
              <w:pStyle w:val="TableParagraph"/>
              <w:spacing w:before="14"/>
              <w:ind w:left="1994" w:right="1988"/>
              <w:jc w:val="center"/>
              <w:rPr>
                <w:rFonts w:ascii="Times New Roman"/>
                <w:i/>
                <w:sz w:val="20"/>
              </w:rPr>
            </w:pPr>
            <w:r>
              <w:rPr>
                <w:rFonts w:ascii="Times New Roman"/>
                <w:i/>
                <w:sz w:val="20"/>
              </w:rPr>
              <w:t>DIO[15:12]</w:t>
            </w:r>
          </w:p>
        </w:tc>
      </w:tr>
      <w:tr>
        <w:trPr>
          <w:trHeight w:val="270" w:hRule="atLeast"/>
        </w:trPr>
        <w:tc>
          <w:tcPr>
            <w:tcW w:w="1145" w:type="dxa"/>
          </w:tcPr>
          <w:p>
            <w:pPr>
              <w:pStyle w:val="TableParagraph"/>
              <w:spacing w:before="21"/>
              <w:ind w:left="22" w:right="15"/>
              <w:jc w:val="center"/>
              <w:rPr>
                <w:sz w:val="20"/>
              </w:rPr>
            </w:pPr>
            <w:r>
              <w:rPr>
                <w:sz w:val="20"/>
              </w:rPr>
              <w:t>PORT2</w:t>
            </w:r>
          </w:p>
        </w:tc>
        <w:tc>
          <w:tcPr>
            <w:tcW w:w="768" w:type="dxa"/>
          </w:tcPr>
          <w:p>
            <w:pPr>
              <w:pStyle w:val="TableParagraph"/>
              <w:spacing w:before="21"/>
              <w:ind w:left="2"/>
              <w:jc w:val="center"/>
              <w:rPr>
                <w:sz w:val="20"/>
              </w:rPr>
            </w:pPr>
            <w:r>
              <w:rPr>
                <w:sz w:val="20"/>
              </w:rPr>
              <w:t>SFR A0</w:t>
            </w:r>
          </w:p>
        </w:tc>
        <w:tc>
          <w:tcPr>
            <w:tcW w:w="5522" w:type="dxa"/>
            <w:gridSpan w:val="4"/>
          </w:tcPr>
          <w:p>
            <w:pPr>
              <w:pStyle w:val="TableParagraph"/>
              <w:spacing w:before="17"/>
              <w:ind w:left="2033" w:right="2028"/>
              <w:jc w:val="center"/>
              <w:rPr>
                <w:rFonts w:ascii="Times New Roman"/>
                <w:i/>
                <w:sz w:val="20"/>
              </w:rPr>
            </w:pPr>
            <w:r>
              <w:rPr>
                <w:rFonts w:ascii="Times New Roman"/>
                <w:i/>
                <w:sz w:val="20"/>
              </w:rPr>
              <w:t>DIO_DIR[11:8]</w:t>
            </w:r>
          </w:p>
        </w:tc>
        <w:tc>
          <w:tcPr>
            <w:tcW w:w="5524" w:type="dxa"/>
            <w:gridSpan w:val="4"/>
          </w:tcPr>
          <w:p>
            <w:pPr>
              <w:pStyle w:val="TableParagraph"/>
              <w:spacing w:before="17"/>
              <w:ind w:left="1991" w:right="1990"/>
              <w:jc w:val="center"/>
              <w:rPr>
                <w:rFonts w:ascii="Times New Roman"/>
                <w:i/>
                <w:sz w:val="20"/>
              </w:rPr>
            </w:pPr>
            <w:r>
              <w:rPr>
                <w:rFonts w:ascii="Times New Roman"/>
                <w:i/>
                <w:sz w:val="20"/>
              </w:rPr>
              <w:t>DIO[11:8]</w:t>
            </w:r>
          </w:p>
        </w:tc>
      </w:tr>
      <w:tr>
        <w:trPr>
          <w:trHeight w:val="270" w:hRule="atLeast"/>
        </w:trPr>
        <w:tc>
          <w:tcPr>
            <w:tcW w:w="1145" w:type="dxa"/>
          </w:tcPr>
          <w:p>
            <w:pPr>
              <w:pStyle w:val="TableParagraph"/>
              <w:spacing w:before="18"/>
              <w:ind w:left="22" w:right="15"/>
              <w:jc w:val="center"/>
              <w:rPr>
                <w:sz w:val="20"/>
              </w:rPr>
            </w:pPr>
            <w:r>
              <w:rPr>
                <w:sz w:val="20"/>
              </w:rPr>
              <w:t>PORT1</w:t>
            </w:r>
          </w:p>
        </w:tc>
        <w:tc>
          <w:tcPr>
            <w:tcW w:w="768" w:type="dxa"/>
          </w:tcPr>
          <w:p>
            <w:pPr>
              <w:pStyle w:val="TableParagraph"/>
              <w:spacing w:before="18"/>
              <w:ind w:left="4"/>
              <w:jc w:val="center"/>
              <w:rPr>
                <w:sz w:val="20"/>
              </w:rPr>
            </w:pPr>
            <w:r>
              <w:rPr>
                <w:sz w:val="20"/>
              </w:rPr>
              <w:t>SFR 90</w:t>
            </w:r>
          </w:p>
        </w:tc>
        <w:tc>
          <w:tcPr>
            <w:tcW w:w="5522" w:type="dxa"/>
            <w:gridSpan w:val="4"/>
          </w:tcPr>
          <w:p>
            <w:pPr>
              <w:pStyle w:val="TableParagraph"/>
              <w:spacing w:before="14"/>
              <w:ind w:left="2033" w:right="2028"/>
              <w:jc w:val="center"/>
              <w:rPr>
                <w:rFonts w:ascii="Times New Roman"/>
                <w:i/>
                <w:sz w:val="20"/>
              </w:rPr>
            </w:pPr>
            <w:r>
              <w:rPr>
                <w:rFonts w:ascii="Times New Roman"/>
                <w:i/>
                <w:sz w:val="20"/>
              </w:rPr>
              <w:t>DIO_DIR[7:4]</w:t>
            </w:r>
          </w:p>
        </w:tc>
        <w:tc>
          <w:tcPr>
            <w:tcW w:w="5524" w:type="dxa"/>
            <w:gridSpan w:val="4"/>
          </w:tcPr>
          <w:p>
            <w:pPr>
              <w:pStyle w:val="TableParagraph"/>
              <w:spacing w:before="14"/>
              <w:ind w:left="1994" w:right="1990"/>
              <w:jc w:val="center"/>
              <w:rPr>
                <w:rFonts w:ascii="Times New Roman"/>
                <w:i/>
                <w:sz w:val="20"/>
              </w:rPr>
            </w:pPr>
            <w:r>
              <w:rPr>
                <w:rFonts w:ascii="Times New Roman"/>
                <w:i/>
                <w:sz w:val="20"/>
              </w:rPr>
              <w:t>DIO[7:4]</w:t>
            </w:r>
          </w:p>
        </w:tc>
      </w:tr>
      <w:tr>
        <w:trPr>
          <w:trHeight w:val="268" w:hRule="atLeast"/>
        </w:trPr>
        <w:tc>
          <w:tcPr>
            <w:tcW w:w="1145" w:type="dxa"/>
          </w:tcPr>
          <w:p>
            <w:pPr>
              <w:pStyle w:val="TableParagraph"/>
              <w:spacing w:before="18"/>
              <w:ind w:left="22" w:right="15"/>
              <w:jc w:val="center"/>
              <w:rPr>
                <w:sz w:val="20"/>
              </w:rPr>
            </w:pPr>
            <w:r>
              <w:rPr>
                <w:sz w:val="20"/>
              </w:rPr>
              <w:t>PORT0</w:t>
            </w:r>
          </w:p>
        </w:tc>
        <w:tc>
          <w:tcPr>
            <w:tcW w:w="768" w:type="dxa"/>
          </w:tcPr>
          <w:p>
            <w:pPr>
              <w:pStyle w:val="TableParagraph"/>
              <w:spacing w:before="18"/>
              <w:ind w:left="4"/>
              <w:jc w:val="center"/>
              <w:rPr>
                <w:sz w:val="20"/>
              </w:rPr>
            </w:pPr>
            <w:r>
              <w:rPr>
                <w:sz w:val="20"/>
              </w:rPr>
              <w:t>SFR 80</w:t>
            </w:r>
          </w:p>
        </w:tc>
        <w:tc>
          <w:tcPr>
            <w:tcW w:w="5522" w:type="dxa"/>
            <w:gridSpan w:val="4"/>
          </w:tcPr>
          <w:p>
            <w:pPr>
              <w:pStyle w:val="TableParagraph"/>
              <w:spacing w:before="14"/>
              <w:ind w:left="2033" w:right="2028"/>
              <w:jc w:val="center"/>
              <w:rPr>
                <w:rFonts w:ascii="Times New Roman"/>
                <w:i/>
                <w:sz w:val="20"/>
              </w:rPr>
            </w:pPr>
            <w:r>
              <w:rPr>
                <w:rFonts w:ascii="Times New Roman"/>
                <w:i/>
                <w:sz w:val="20"/>
              </w:rPr>
              <w:t>DIO_DIR[3:0]</w:t>
            </w:r>
          </w:p>
        </w:tc>
        <w:tc>
          <w:tcPr>
            <w:tcW w:w="5524" w:type="dxa"/>
            <w:gridSpan w:val="4"/>
          </w:tcPr>
          <w:p>
            <w:pPr>
              <w:pStyle w:val="TableParagraph"/>
              <w:spacing w:before="14"/>
              <w:ind w:left="1994" w:right="1990"/>
              <w:jc w:val="center"/>
              <w:rPr>
                <w:rFonts w:ascii="Times New Roman"/>
                <w:i/>
                <w:sz w:val="20"/>
              </w:rPr>
            </w:pPr>
            <w:r>
              <w:rPr>
                <w:rFonts w:ascii="Times New Roman"/>
                <w:i/>
                <w:sz w:val="20"/>
              </w:rPr>
              <w:t>DIO[3:0]</w:t>
            </w:r>
          </w:p>
        </w:tc>
      </w:tr>
      <w:tr>
        <w:trPr>
          <w:trHeight w:val="270" w:hRule="atLeast"/>
        </w:trPr>
        <w:tc>
          <w:tcPr>
            <w:tcW w:w="12959" w:type="dxa"/>
            <w:gridSpan w:val="10"/>
          </w:tcPr>
          <w:p>
            <w:pPr>
              <w:pStyle w:val="TableParagraph"/>
              <w:spacing w:before="21"/>
              <w:ind w:left="170"/>
              <w:rPr>
                <w:b/>
                <w:i/>
                <w:sz w:val="20"/>
              </w:rPr>
            </w:pPr>
            <w:r>
              <w:rPr>
                <w:b/>
                <w:i/>
                <w:sz w:val="20"/>
              </w:rPr>
              <w:t>FLASH</w:t>
            </w:r>
          </w:p>
        </w:tc>
      </w:tr>
      <w:tr>
        <w:trPr>
          <w:trHeight w:val="270" w:hRule="atLeast"/>
        </w:trPr>
        <w:tc>
          <w:tcPr>
            <w:tcW w:w="1145" w:type="dxa"/>
          </w:tcPr>
          <w:p>
            <w:pPr>
              <w:pStyle w:val="TableParagraph"/>
              <w:spacing w:before="18"/>
              <w:ind w:left="24" w:right="15"/>
              <w:jc w:val="center"/>
              <w:rPr>
                <w:sz w:val="20"/>
              </w:rPr>
            </w:pPr>
            <w:r>
              <w:rPr>
                <w:sz w:val="20"/>
              </w:rPr>
              <w:t>ERASE</w:t>
            </w:r>
          </w:p>
        </w:tc>
        <w:tc>
          <w:tcPr>
            <w:tcW w:w="768" w:type="dxa"/>
          </w:tcPr>
          <w:p>
            <w:pPr>
              <w:pStyle w:val="TableParagraph"/>
              <w:spacing w:before="18"/>
              <w:ind w:left="4"/>
              <w:jc w:val="center"/>
              <w:rPr>
                <w:sz w:val="20"/>
              </w:rPr>
            </w:pPr>
            <w:r>
              <w:rPr>
                <w:sz w:val="20"/>
              </w:rPr>
              <w:t>SFR 94</w:t>
            </w:r>
          </w:p>
        </w:tc>
        <w:tc>
          <w:tcPr>
            <w:tcW w:w="11046" w:type="dxa"/>
            <w:gridSpan w:val="8"/>
          </w:tcPr>
          <w:p>
            <w:pPr>
              <w:pStyle w:val="TableParagraph"/>
              <w:spacing w:before="14"/>
              <w:ind w:left="3671" w:right="3666"/>
              <w:jc w:val="center"/>
              <w:rPr>
                <w:rFonts w:ascii="Times New Roman"/>
                <w:i/>
                <w:sz w:val="20"/>
              </w:rPr>
            </w:pPr>
            <w:r>
              <w:rPr>
                <w:rFonts w:ascii="Times New Roman"/>
                <w:i/>
                <w:sz w:val="20"/>
              </w:rPr>
              <w:t>FLSH_ERASE[7:0]</w:t>
            </w:r>
          </w:p>
        </w:tc>
      </w:tr>
      <w:tr>
        <w:trPr>
          <w:trHeight w:val="268" w:hRule="atLeast"/>
        </w:trPr>
        <w:tc>
          <w:tcPr>
            <w:tcW w:w="1145" w:type="dxa"/>
          </w:tcPr>
          <w:p>
            <w:pPr>
              <w:pStyle w:val="TableParagraph"/>
              <w:spacing w:before="18"/>
              <w:ind w:left="22" w:right="15"/>
              <w:jc w:val="center"/>
              <w:rPr>
                <w:sz w:val="20"/>
              </w:rPr>
            </w:pPr>
            <w:r>
              <w:rPr>
                <w:sz w:val="20"/>
              </w:rPr>
              <w:t>FLSHCTL</w:t>
            </w:r>
          </w:p>
        </w:tc>
        <w:tc>
          <w:tcPr>
            <w:tcW w:w="768" w:type="dxa"/>
          </w:tcPr>
          <w:p>
            <w:pPr>
              <w:pStyle w:val="TableParagraph"/>
              <w:spacing w:before="18"/>
              <w:ind w:left="2"/>
              <w:jc w:val="center"/>
              <w:rPr>
                <w:sz w:val="20"/>
              </w:rPr>
            </w:pPr>
            <w:r>
              <w:rPr>
                <w:sz w:val="20"/>
              </w:rPr>
              <w:t>SFR B2</w:t>
            </w:r>
          </w:p>
        </w:tc>
        <w:tc>
          <w:tcPr>
            <w:tcW w:w="1380" w:type="dxa"/>
          </w:tcPr>
          <w:p>
            <w:pPr>
              <w:pStyle w:val="TableParagraph"/>
              <w:spacing w:before="14"/>
              <w:ind w:left="87" w:right="81"/>
              <w:jc w:val="center"/>
              <w:rPr>
                <w:rFonts w:ascii="Times New Roman"/>
                <w:i/>
                <w:sz w:val="20"/>
              </w:rPr>
            </w:pPr>
            <w:r>
              <w:rPr>
                <w:rFonts w:ascii="Times New Roman"/>
                <w:i/>
                <w:sz w:val="20"/>
              </w:rPr>
              <w:t>PREBOOT</w:t>
            </w:r>
          </w:p>
        </w:tc>
        <w:tc>
          <w:tcPr>
            <w:tcW w:w="1382" w:type="dxa"/>
          </w:tcPr>
          <w:p>
            <w:pPr>
              <w:pStyle w:val="TableParagraph"/>
              <w:spacing w:before="14"/>
              <w:ind w:left="71" w:right="68"/>
              <w:jc w:val="center"/>
              <w:rPr>
                <w:rFonts w:ascii="Times New Roman"/>
                <w:i/>
                <w:sz w:val="20"/>
              </w:rPr>
            </w:pPr>
            <w:r>
              <w:rPr>
                <w:rFonts w:ascii="Times New Roman"/>
                <w:i/>
                <w:sz w:val="20"/>
              </w:rPr>
              <w:t>SECURE</w:t>
            </w:r>
          </w:p>
        </w:tc>
        <w:tc>
          <w:tcPr>
            <w:tcW w:w="1380" w:type="dxa"/>
            <w:shd w:val="clear" w:color="auto" w:fill="DADADA"/>
          </w:tcPr>
          <w:p>
            <w:pPr>
              <w:pStyle w:val="TableParagraph"/>
              <w:spacing w:before="14"/>
              <w:ind w:left="7"/>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4"/>
              <w:ind w:left="7"/>
              <w:jc w:val="center"/>
              <w:rPr>
                <w:rFonts w:ascii="Times New Roman"/>
                <w:i/>
                <w:sz w:val="20"/>
              </w:rPr>
            </w:pPr>
            <w:r>
              <w:rPr>
                <w:rFonts w:ascii="Times New Roman"/>
                <w:i/>
                <w:w w:val="99"/>
                <w:sz w:val="20"/>
              </w:rPr>
              <w:t>U</w:t>
            </w:r>
          </w:p>
        </w:tc>
        <w:tc>
          <w:tcPr>
            <w:tcW w:w="1382" w:type="dxa"/>
          </w:tcPr>
          <w:p>
            <w:pPr>
              <w:pStyle w:val="TableParagraph"/>
              <w:spacing w:before="14"/>
              <w:ind w:left="73" w:right="68"/>
              <w:jc w:val="center"/>
              <w:rPr>
                <w:rFonts w:ascii="Times New Roman"/>
                <w:i/>
                <w:sz w:val="20"/>
              </w:rPr>
            </w:pPr>
            <w:r>
              <w:rPr>
                <w:rFonts w:ascii="Times New Roman"/>
                <w:i/>
                <w:sz w:val="20"/>
              </w:rPr>
              <w:t>FLSH_PEND</w:t>
            </w:r>
          </w:p>
        </w:tc>
        <w:tc>
          <w:tcPr>
            <w:tcW w:w="1442" w:type="dxa"/>
          </w:tcPr>
          <w:p>
            <w:pPr>
              <w:pStyle w:val="TableParagraph"/>
              <w:spacing w:before="14"/>
              <w:ind w:left="98" w:right="93"/>
              <w:jc w:val="center"/>
              <w:rPr>
                <w:rFonts w:ascii="Times New Roman"/>
                <w:i/>
                <w:sz w:val="20"/>
              </w:rPr>
            </w:pPr>
            <w:r>
              <w:rPr>
                <w:rFonts w:ascii="Times New Roman"/>
                <w:i/>
                <w:sz w:val="20"/>
              </w:rPr>
              <w:t>FLSH_PSTWR</w:t>
            </w:r>
          </w:p>
        </w:tc>
        <w:tc>
          <w:tcPr>
            <w:tcW w:w="1320" w:type="dxa"/>
          </w:tcPr>
          <w:p>
            <w:pPr>
              <w:pStyle w:val="TableParagraph"/>
              <w:spacing w:before="14"/>
              <w:ind w:left="53" w:right="49"/>
              <w:jc w:val="center"/>
              <w:rPr>
                <w:rFonts w:ascii="Times New Roman"/>
                <w:i/>
                <w:sz w:val="20"/>
              </w:rPr>
            </w:pPr>
            <w:r>
              <w:rPr>
                <w:rFonts w:ascii="Times New Roman"/>
                <w:i/>
                <w:sz w:val="20"/>
              </w:rPr>
              <w:t>FLSH_MEEN</w:t>
            </w:r>
          </w:p>
        </w:tc>
        <w:tc>
          <w:tcPr>
            <w:tcW w:w="1380" w:type="dxa"/>
          </w:tcPr>
          <w:p>
            <w:pPr>
              <w:pStyle w:val="TableParagraph"/>
              <w:spacing w:before="14"/>
              <w:ind w:left="87" w:right="82"/>
              <w:jc w:val="center"/>
              <w:rPr>
                <w:rFonts w:ascii="Times New Roman"/>
                <w:i/>
                <w:sz w:val="20"/>
              </w:rPr>
            </w:pPr>
            <w:r>
              <w:rPr>
                <w:rFonts w:ascii="Times New Roman"/>
                <w:i/>
                <w:sz w:val="20"/>
              </w:rPr>
              <w:t>FLSH_PWE</w:t>
            </w:r>
          </w:p>
        </w:tc>
      </w:tr>
      <w:tr>
        <w:trPr>
          <w:trHeight w:val="270" w:hRule="atLeast"/>
        </w:trPr>
        <w:tc>
          <w:tcPr>
            <w:tcW w:w="1145" w:type="dxa"/>
          </w:tcPr>
          <w:p>
            <w:pPr>
              <w:pStyle w:val="TableParagraph"/>
              <w:spacing w:before="21"/>
              <w:ind w:left="22" w:right="15"/>
              <w:jc w:val="center"/>
              <w:rPr>
                <w:sz w:val="20"/>
              </w:rPr>
            </w:pPr>
            <w:r>
              <w:rPr>
                <w:sz w:val="20"/>
              </w:rPr>
              <w:t>FL_BANK</w:t>
            </w:r>
          </w:p>
        </w:tc>
        <w:tc>
          <w:tcPr>
            <w:tcW w:w="768" w:type="dxa"/>
          </w:tcPr>
          <w:p>
            <w:pPr>
              <w:pStyle w:val="TableParagraph"/>
              <w:spacing w:before="21"/>
              <w:ind w:left="2"/>
              <w:jc w:val="center"/>
              <w:rPr>
                <w:sz w:val="20"/>
              </w:rPr>
            </w:pPr>
            <w:r>
              <w:rPr>
                <w:sz w:val="20"/>
              </w:rPr>
              <w:t>SFR B6</w:t>
            </w:r>
          </w:p>
        </w:tc>
        <w:tc>
          <w:tcPr>
            <w:tcW w:w="1380" w:type="dxa"/>
            <w:shd w:val="clear" w:color="auto" w:fill="DADADA"/>
          </w:tcPr>
          <w:p>
            <w:pPr>
              <w:pStyle w:val="TableParagraph"/>
              <w:spacing w:before="17"/>
              <w:ind w:left="6"/>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7"/>
              <w:ind w:left="4"/>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7"/>
              <w:ind w:left="7"/>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7"/>
              <w:ind w:left="7"/>
              <w:jc w:val="center"/>
              <w:rPr>
                <w:rFonts w:ascii="Times New Roman"/>
                <w:i/>
                <w:sz w:val="20"/>
              </w:rPr>
            </w:pPr>
            <w:r>
              <w:rPr>
                <w:rFonts w:ascii="Times New Roman"/>
                <w:i/>
                <w:w w:val="99"/>
                <w:sz w:val="20"/>
              </w:rPr>
              <w:t>U</w:t>
            </w:r>
          </w:p>
        </w:tc>
        <w:tc>
          <w:tcPr>
            <w:tcW w:w="1382" w:type="dxa"/>
            <w:shd w:val="clear" w:color="auto" w:fill="DADADA"/>
          </w:tcPr>
          <w:p>
            <w:pPr>
              <w:pStyle w:val="TableParagraph"/>
              <w:spacing w:before="17"/>
              <w:ind w:left="5"/>
              <w:jc w:val="center"/>
              <w:rPr>
                <w:rFonts w:ascii="Times New Roman"/>
                <w:i/>
                <w:sz w:val="20"/>
              </w:rPr>
            </w:pPr>
            <w:r>
              <w:rPr>
                <w:rFonts w:ascii="Times New Roman"/>
                <w:i/>
                <w:w w:val="99"/>
                <w:sz w:val="20"/>
              </w:rPr>
              <w:t>U</w:t>
            </w:r>
          </w:p>
        </w:tc>
        <w:tc>
          <w:tcPr>
            <w:tcW w:w="1442" w:type="dxa"/>
            <w:shd w:val="clear" w:color="auto" w:fill="DADADA"/>
          </w:tcPr>
          <w:p>
            <w:pPr>
              <w:pStyle w:val="TableParagraph"/>
              <w:spacing w:before="17"/>
              <w:ind w:left="8"/>
              <w:jc w:val="center"/>
              <w:rPr>
                <w:rFonts w:ascii="Times New Roman"/>
                <w:i/>
                <w:sz w:val="20"/>
              </w:rPr>
            </w:pPr>
            <w:r>
              <w:rPr>
                <w:rFonts w:ascii="Times New Roman"/>
                <w:i/>
                <w:w w:val="99"/>
                <w:sz w:val="20"/>
              </w:rPr>
              <w:t>U</w:t>
            </w:r>
          </w:p>
        </w:tc>
        <w:tc>
          <w:tcPr>
            <w:tcW w:w="2700" w:type="dxa"/>
            <w:gridSpan w:val="2"/>
          </w:tcPr>
          <w:p>
            <w:pPr>
              <w:pStyle w:val="TableParagraph"/>
              <w:spacing w:before="17"/>
              <w:ind w:left="715"/>
              <w:rPr>
                <w:rFonts w:ascii="Times New Roman"/>
                <w:i/>
                <w:sz w:val="20"/>
              </w:rPr>
            </w:pPr>
            <w:r>
              <w:rPr>
                <w:rFonts w:ascii="Times New Roman"/>
                <w:i/>
                <w:sz w:val="20"/>
              </w:rPr>
              <w:t>FL_BANK[1:0]</w:t>
            </w:r>
          </w:p>
        </w:tc>
      </w:tr>
      <w:tr>
        <w:trPr>
          <w:trHeight w:val="270" w:hRule="atLeast"/>
        </w:trPr>
        <w:tc>
          <w:tcPr>
            <w:tcW w:w="1145" w:type="dxa"/>
          </w:tcPr>
          <w:p>
            <w:pPr>
              <w:pStyle w:val="TableParagraph"/>
              <w:spacing w:before="18"/>
              <w:ind w:left="19" w:right="15"/>
              <w:jc w:val="center"/>
              <w:rPr>
                <w:sz w:val="20"/>
              </w:rPr>
            </w:pPr>
            <w:r>
              <w:rPr>
                <w:sz w:val="20"/>
              </w:rPr>
              <w:t>PGADR</w:t>
            </w:r>
          </w:p>
        </w:tc>
        <w:tc>
          <w:tcPr>
            <w:tcW w:w="768" w:type="dxa"/>
          </w:tcPr>
          <w:p>
            <w:pPr>
              <w:pStyle w:val="TableParagraph"/>
              <w:spacing w:before="18"/>
              <w:ind w:left="2"/>
              <w:jc w:val="center"/>
              <w:rPr>
                <w:sz w:val="20"/>
              </w:rPr>
            </w:pPr>
            <w:r>
              <w:rPr>
                <w:sz w:val="20"/>
              </w:rPr>
              <w:t>SFR B7</w:t>
            </w:r>
          </w:p>
        </w:tc>
        <w:tc>
          <w:tcPr>
            <w:tcW w:w="8346" w:type="dxa"/>
            <w:gridSpan w:val="6"/>
          </w:tcPr>
          <w:p>
            <w:pPr>
              <w:pStyle w:val="TableParagraph"/>
              <w:spacing w:before="14"/>
              <w:ind w:left="3321" w:right="3319"/>
              <w:jc w:val="center"/>
              <w:rPr>
                <w:rFonts w:ascii="Times New Roman"/>
                <w:i/>
                <w:sz w:val="20"/>
              </w:rPr>
            </w:pPr>
            <w:r>
              <w:rPr>
                <w:rFonts w:ascii="Times New Roman"/>
                <w:i/>
                <w:sz w:val="20"/>
              </w:rPr>
              <w:t>FLSH_PGADR[5:0]</w:t>
            </w:r>
          </w:p>
        </w:tc>
        <w:tc>
          <w:tcPr>
            <w:tcW w:w="1320" w:type="dxa"/>
            <w:shd w:val="clear" w:color="auto" w:fill="DADADA"/>
          </w:tcPr>
          <w:p>
            <w:pPr>
              <w:pStyle w:val="TableParagraph"/>
              <w:spacing w:before="14"/>
              <w:ind w:left="6"/>
              <w:jc w:val="center"/>
              <w:rPr>
                <w:rFonts w:ascii="Times New Roman"/>
                <w:i/>
                <w:sz w:val="20"/>
              </w:rPr>
            </w:pPr>
            <w:r>
              <w:rPr>
                <w:rFonts w:ascii="Times New Roman"/>
                <w:i/>
                <w:w w:val="99"/>
                <w:sz w:val="20"/>
              </w:rPr>
              <w:t>U</w:t>
            </w:r>
          </w:p>
        </w:tc>
        <w:tc>
          <w:tcPr>
            <w:tcW w:w="1380" w:type="dxa"/>
            <w:shd w:val="clear" w:color="auto" w:fill="DADADA"/>
          </w:tcPr>
          <w:p>
            <w:pPr>
              <w:pStyle w:val="TableParagraph"/>
              <w:spacing w:before="14"/>
              <w:ind w:left="9"/>
              <w:jc w:val="center"/>
              <w:rPr>
                <w:rFonts w:ascii="Times New Roman"/>
                <w:i/>
                <w:sz w:val="20"/>
              </w:rPr>
            </w:pPr>
            <w:r>
              <w:rPr>
                <w:rFonts w:ascii="Times New Roman"/>
                <w:i/>
                <w:w w:val="99"/>
                <w:sz w:val="20"/>
              </w:rPr>
              <w:t>U</w:t>
            </w:r>
          </w:p>
        </w:tc>
      </w:tr>
      <w:tr>
        <w:trPr>
          <w:trHeight w:val="268" w:hRule="atLeast"/>
        </w:trPr>
        <w:tc>
          <w:tcPr>
            <w:tcW w:w="12959" w:type="dxa"/>
            <w:gridSpan w:val="10"/>
          </w:tcPr>
          <w:p>
            <w:pPr>
              <w:pStyle w:val="TableParagraph"/>
              <w:spacing w:before="18"/>
              <w:ind w:left="4"/>
              <w:rPr>
                <w:b/>
                <w:i/>
                <w:sz w:val="20"/>
              </w:rPr>
            </w:pPr>
            <w:r>
              <w:rPr>
                <w:b/>
                <w:i/>
                <w:sz w:val="20"/>
              </w:rPr>
              <w:t>I</w:t>
            </w:r>
            <w:r>
              <w:rPr>
                <w:b/>
                <w:i/>
                <w:sz w:val="20"/>
                <w:vertAlign w:val="superscript"/>
              </w:rPr>
              <w:t>2</w:t>
            </w:r>
            <w:r>
              <w:rPr>
                <w:b/>
                <w:i/>
                <w:sz w:val="20"/>
                <w:vertAlign w:val="baseline"/>
              </w:rPr>
              <w:t>C</w:t>
            </w:r>
          </w:p>
        </w:tc>
      </w:tr>
      <w:tr>
        <w:trPr>
          <w:trHeight w:val="270" w:hRule="atLeast"/>
        </w:trPr>
        <w:tc>
          <w:tcPr>
            <w:tcW w:w="1145" w:type="dxa"/>
          </w:tcPr>
          <w:p>
            <w:pPr>
              <w:pStyle w:val="TableParagraph"/>
              <w:spacing w:before="21"/>
              <w:ind w:left="24" w:right="14"/>
              <w:jc w:val="center"/>
              <w:rPr>
                <w:sz w:val="20"/>
              </w:rPr>
            </w:pPr>
            <w:r>
              <w:rPr>
                <w:sz w:val="20"/>
              </w:rPr>
              <w:t>EEDATA</w:t>
            </w:r>
          </w:p>
        </w:tc>
        <w:tc>
          <w:tcPr>
            <w:tcW w:w="768" w:type="dxa"/>
          </w:tcPr>
          <w:p>
            <w:pPr>
              <w:pStyle w:val="TableParagraph"/>
              <w:spacing w:before="21"/>
              <w:ind w:left="2"/>
              <w:jc w:val="center"/>
              <w:rPr>
                <w:sz w:val="20"/>
              </w:rPr>
            </w:pPr>
            <w:r>
              <w:rPr>
                <w:sz w:val="20"/>
              </w:rPr>
              <w:t>SFR 9E</w:t>
            </w:r>
          </w:p>
        </w:tc>
        <w:tc>
          <w:tcPr>
            <w:tcW w:w="11046" w:type="dxa"/>
            <w:gridSpan w:val="8"/>
          </w:tcPr>
          <w:p>
            <w:pPr>
              <w:pStyle w:val="TableParagraph"/>
              <w:spacing w:before="17"/>
              <w:ind w:left="3671" w:right="3666"/>
              <w:jc w:val="center"/>
              <w:rPr>
                <w:rFonts w:ascii="Times New Roman"/>
                <w:i/>
                <w:sz w:val="20"/>
              </w:rPr>
            </w:pPr>
            <w:r>
              <w:rPr>
                <w:rFonts w:ascii="Times New Roman"/>
                <w:i/>
                <w:sz w:val="20"/>
              </w:rPr>
              <w:t>EEDATA[7:0]</w:t>
            </w:r>
          </w:p>
        </w:tc>
      </w:tr>
      <w:tr>
        <w:trPr>
          <w:trHeight w:val="270" w:hRule="atLeast"/>
        </w:trPr>
        <w:tc>
          <w:tcPr>
            <w:tcW w:w="1145" w:type="dxa"/>
          </w:tcPr>
          <w:p>
            <w:pPr>
              <w:pStyle w:val="TableParagraph"/>
              <w:spacing w:before="18"/>
              <w:ind w:left="22" w:right="15"/>
              <w:jc w:val="center"/>
              <w:rPr>
                <w:sz w:val="20"/>
              </w:rPr>
            </w:pPr>
            <w:r>
              <w:rPr>
                <w:sz w:val="20"/>
              </w:rPr>
              <w:t>EECTRL</w:t>
            </w:r>
          </w:p>
        </w:tc>
        <w:tc>
          <w:tcPr>
            <w:tcW w:w="768" w:type="dxa"/>
          </w:tcPr>
          <w:p>
            <w:pPr>
              <w:pStyle w:val="TableParagraph"/>
              <w:spacing w:before="18"/>
              <w:ind w:left="3"/>
              <w:jc w:val="center"/>
              <w:rPr>
                <w:sz w:val="20"/>
              </w:rPr>
            </w:pPr>
            <w:r>
              <w:rPr>
                <w:sz w:val="20"/>
              </w:rPr>
              <w:t>SFR 9F</w:t>
            </w:r>
          </w:p>
        </w:tc>
        <w:tc>
          <w:tcPr>
            <w:tcW w:w="11046" w:type="dxa"/>
            <w:gridSpan w:val="8"/>
          </w:tcPr>
          <w:p>
            <w:pPr>
              <w:pStyle w:val="TableParagraph"/>
              <w:spacing w:before="14"/>
              <w:ind w:left="3672" w:right="3666"/>
              <w:jc w:val="center"/>
              <w:rPr>
                <w:rFonts w:ascii="Times New Roman"/>
                <w:i/>
                <w:sz w:val="20"/>
              </w:rPr>
            </w:pPr>
            <w:r>
              <w:rPr>
                <w:rFonts w:ascii="Times New Roman"/>
                <w:i/>
                <w:sz w:val="20"/>
              </w:rPr>
              <w:t>EECTRL[7:0]</w:t>
            </w:r>
          </w:p>
        </w:tc>
      </w:tr>
    </w:tbl>
    <w:p>
      <w:pPr>
        <w:spacing w:after="0"/>
        <w:jc w:val="center"/>
        <w:rPr>
          <w:rFonts w:ascii="Times New Roman"/>
          <w:sz w:val="20"/>
        </w:rPr>
        <w:sectPr>
          <w:pgSz w:w="15840" w:h="12240" w:orient="landscape"/>
          <w:pgMar w:header="727" w:footer="819" w:top="1180" w:bottom="1000" w:left="1320" w:right="1320"/>
        </w:sectPr>
      </w:pPr>
    </w:p>
    <w:p>
      <w:pPr>
        <w:pStyle w:val="ListParagraph"/>
        <w:numPr>
          <w:ilvl w:val="1"/>
          <w:numId w:val="22"/>
        </w:numPr>
        <w:tabs>
          <w:tab w:pos="839" w:val="left" w:leader="none"/>
          <w:tab w:pos="840" w:val="left" w:leader="none"/>
        </w:tabs>
        <w:spacing w:line="240" w:lineRule="auto" w:before="82" w:after="0"/>
        <w:ind w:left="840" w:right="0" w:hanging="720"/>
        <w:jc w:val="left"/>
        <w:rPr>
          <w:b/>
          <w:sz w:val="24"/>
        </w:rPr>
      </w:pPr>
      <w:bookmarkStart w:name="5.2 I/O RAM Map – Alphabetical Order" w:id="436"/>
      <w:bookmarkEnd w:id="436"/>
      <w:r>
        <w:rPr/>
      </w:r>
      <w:bookmarkStart w:name="_bookmark211" w:id="437"/>
      <w:bookmarkEnd w:id="437"/>
      <w:r>
        <w:rPr/>
      </w:r>
      <w:bookmarkStart w:name="_bookmark211" w:id="438"/>
      <w:bookmarkEnd w:id="438"/>
      <w:r>
        <w:rPr>
          <w:b/>
          <w:sz w:val="24"/>
        </w:rPr>
        <w:t>I/O</w:t>
      </w:r>
      <w:r>
        <w:rPr>
          <w:b/>
          <w:sz w:val="24"/>
        </w:rPr>
        <w:t> RAM Map – Alphabetical Order</w:t>
      </w:r>
    </w:p>
    <w:p>
      <w:pPr>
        <w:pStyle w:val="BodyText"/>
        <w:spacing w:before="121"/>
        <w:ind w:left="120"/>
      </w:pPr>
      <w:hyperlink w:history="true" w:anchor="_bookmark212">
        <w:r>
          <w:rPr>
            <w:color w:val="0000FF"/>
          </w:rPr>
          <w:t>Table 70 </w:t>
        </w:r>
      </w:hyperlink>
      <w:r>
        <w:rPr/>
        <w:t>lists I/O RAM bits and registers in alphabetical order.</w:t>
      </w:r>
    </w:p>
    <w:p>
      <w:pPr>
        <w:pStyle w:val="BodyText"/>
        <w:spacing w:before="121"/>
        <w:ind w:left="120" w:right="109"/>
      </w:pPr>
      <w:r>
        <w:rPr/>
        <w:t>Bits with a write direction (W in column Dir) are written by the MPU into configuration RAM. Typically, they are initially stored in flash memory and copied to the configuration RAM by the MPU. Some of the more frequently programmed bits are mapped to the MPU SFR memory space. The remaining bits are mapped to the address space 0x2XXX. Bits with R (read) direction can be read by the MPU. Columns labeled Rst and Wk describe the bit values upon reset and wake, respectively. No entry in one of these columns means the bit is either read-only or is powered by the NV supply and is not initialized. Write-only bits return zero when they are read.</w:t>
      </w:r>
    </w:p>
    <w:p>
      <w:pPr>
        <w:pStyle w:val="BodyText"/>
        <w:spacing w:before="120"/>
        <w:ind w:left="119"/>
      </w:pPr>
      <w:r>
        <w:rPr/>
        <w:t>Locations that are shaded in grey are non-volatile (i.e., battery-backed).</w:t>
      </w:r>
    </w:p>
    <w:p>
      <w:pPr>
        <w:pStyle w:val="Heading1"/>
        <w:spacing w:before="118"/>
        <w:ind w:left="3576" w:right="3580"/>
      </w:pPr>
      <w:bookmarkStart w:name="_bookmark212" w:id="439"/>
      <w:bookmarkEnd w:id="439"/>
      <w:r>
        <w:rPr>
          <w:b w:val="0"/>
        </w:rPr>
      </w:r>
      <w:r>
        <w:rPr/>
        <w:t>Table 70: I/O RAM Map – Alphabetical Order</w:t>
      </w:r>
    </w:p>
    <w:p>
      <w:pPr>
        <w:pStyle w:val="BodyText"/>
        <w:spacing w:before="7"/>
        <w:rPr>
          <w:b/>
          <w:sz w:val="5"/>
        </w:rPr>
      </w:pPr>
    </w:p>
    <w:tbl>
      <w:tblPr>
        <w:tblW w:w="0" w:type="auto"/>
        <w:jc w:val="left"/>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4"/>
        <w:gridCol w:w="1124"/>
        <w:gridCol w:w="344"/>
        <w:gridCol w:w="344"/>
        <w:gridCol w:w="620"/>
        <w:gridCol w:w="114"/>
        <w:gridCol w:w="1208"/>
        <w:gridCol w:w="176"/>
        <w:gridCol w:w="1352"/>
        <w:gridCol w:w="181"/>
        <w:gridCol w:w="1249"/>
        <w:gridCol w:w="464"/>
        <w:gridCol w:w="1782"/>
        <w:gridCol w:w="1496"/>
      </w:tblGrid>
      <w:tr>
        <w:trPr>
          <w:trHeight w:val="309" w:hRule="atLeast"/>
        </w:trPr>
        <w:tc>
          <w:tcPr>
            <w:tcW w:w="2254" w:type="dxa"/>
          </w:tcPr>
          <w:p>
            <w:pPr>
              <w:pStyle w:val="TableParagraph"/>
              <w:spacing w:before="35"/>
              <w:ind w:left="107"/>
              <w:rPr>
                <w:b/>
                <w:sz w:val="20"/>
              </w:rPr>
            </w:pPr>
            <w:r>
              <w:rPr>
                <w:b/>
                <w:sz w:val="20"/>
              </w:rPr>
              <w:t>Name</w:t>
            </w:r>
          </w:p>
        </w:tc>
        <w:tc>
          <w:tcPr>
            <w:tcW w:w="1124" w:type="dxa"/>
          </w:tcPr>
          <w:p>
            <w:pPr>
              <w:pStyle w:val="TableParagraph"/>
              <w:spacing w:before="35"/>
              <w:ind w:left="3"/>
              <w:jc w:val="center"/>
              <w:rPr>
                <w:b/>
                <w:sz w:val="20"/>
              </w:rPr>
            </w:pPr>
            <w:r>
              <w:rPr>
                <w:b/>
                <w:sz w:val="20"/>
              </w:rPr>
              <w:t>Location</w:t>
            </w:r>
          </w:p>
        </w:tc>
        <w:tc>
          <w:tcPr>
            <w:tcW w:w="344" w:type="dxa"/>
          </w:tcPr>
          <w:p>
            <w:pPr>
              <w:pStyle w:val="TableParagraph"/>
              <w:spacing w:before="35"/>
              <w:ind w:right="3"/>
              <w:jc w:val="right"/>
              <w:rPr>
                <w:b/>
                <w:sz w:val="20"/>
              </w:rPr>
            </w:pPr>
            <w:r>
              <w:rPr>
                <w:b/>
                <w:w w:val="95"/>
                <w:sz w:val="20"/>
              </w:rPr>
              <w:t>Rst</w:t>
            </w:r>
          </w:p>
        </w:tc>
        <w:tc>
          <w:tcPr>
            <w:tcW w:w="344" w:type="dxa"/>
          </w:tcPr>
          <w:p>
            <w:pPr>
              <w:pStyle w:val="TableParagraph"/>
              <w:spacing w:before="35"/>
              <w:ind w:left="6"/>
              <w:jc w:val="center"/>
              <w:rPr>
                <w:b/>
                <w:sz w:val="20"/>
              </w:rPr>
            </w:pPr>
            <w:r>
              <w:rPr>
                <w:b/>
                <w:sz w:val="20"/>
              </w:rPr>
              <w:t>Wk</w:t>
            </w:r>
          </w:p>
        </w:tc>
        <w:tc>
          <w:tcPr>
            <w:tcW w:w="620" w:type="dxa"/>
          </w:tcPr>
          <w:p>
            <w:pPr>
              <w:pStyle w:val="TableParagraph"/>
              <w:spacing w:before="35"/>
              <w:ind w:left="87" w:right="86"/>
              <w:jc w:val="center"/>
              <w:rPr>
                <w:b/>
                <w:sz w:val="20"/>
              </w:rPr>
            </w:pPr>
            <w:r>
              <w:rPr>
                <w:b/>
                <w:sz w:val="20"/>
              </w:rPr>
              <w:t>Dir</w:t>
            </w:r>
          </w:p>
        </w:tc>
        <w:tc>
          <w:tcPr>
            <w:tcW w:w="8022" w:type="dxa"/>
            <w:gridSpan w:val="9"/>
          </w:tcPr>
          <w:p>
            <w:pPr>
              <w:pStyle w:val="TableParagraph"/>
              <w:spacing w:before="35"/>
              <w:ind w:left="104"/>
              <w:rPr>
                <w:b/>
                <w:sz w:val="20"/>
              </w:rPr>
            </w:pPr>
            <w:r>
              <w:rPr>
                <w:b/>
                <w:sz w:val="20"/>
              </w:rPr>
              <w:t>Description</w:t>
            </w:r>
          </w:p>
        </w:tc>
      </w:tr>
      <w:tr>
        <w:trPr>
          <w:trHeight w:val="268" w:hRule="atLeast"/>
        </w:trPr>
        <w:tc>
          <w:tcPr>
            <w:tcW w:w="2254" w:type="dxa"/>
          </w:tcPr>
          <w:p>
            <w:pPr>
              <w:pStyle w:val="TableParagraph"/>
              <w:spacing w:before="12"/>
              <w:ind w:left="107"/>
              <w:rPr>
                <w:rFonts w:ascii="Times New Roman"/>
                <w:i/>
                <w:sz w:val="20"/>
              </w:rPr>
            </w:pPr>
            <w:r>
              <w:rPr>
                <w:rFonts w:ascii="Times New Roman"/>
                <w:i/>
                <w:sz w:val="20"/>
              </w:rPr>
              <w:t>ADC_E</w:t>
            </w:r>
          </w:p>
        </w:tc>
        <w:tc>
          <w:tcPr>
            <w:tcW w:w="1124" w:type="dxa"/>
          </w:tcPr>
          <w:p>
            <w:pPr>
              <w:pStyle w:val="TableParagraph"/>
              <w:spacing w:before="16"/>
              <w:ind w:left="5"/>
              <w:jc w:val="center"/>
              <w:rPr>
                <w:sz w:val="20"/>
              </w:rPr>
            </w:pPr>
            <w:r>
              <w:rPr>
                <w:sz w:val="20"/>
              </w:rPr>
              <w:t>2704[4]</w:t>
            </w:r>
          </w:p>
        </w:tc>
        <w:tc>
          <w:tcPr>
            <w:tcW w:w="344" w:type="dxa"/>
          </w:tcPr>
          <w:p>
            <w:pPr>
              <w:pStyle w:val="TableParagraph"/>
              <w:spacing w:before="16"/>
              <w:ind w:right="107"/>
              <w:jc w:val="right"/>
              <w:rPr>
                <w:sz w:val="20"/>
              </w:rPr>
            </w:pPr>
            <w:r>
              <w:rPr>
                <w:w w:val="99"/>
                <w:sz w:val="20"/>
              </w:rPr>
              <w:t>0</w:t>
            </w:r>
          </w:p>
        </w:tc>
        <w:tc>
          <w:tcPr>
            <w:tcW w:w="344" w:type="dxa"/>
          </w:tcPr>
          <w:p>
            <w:pPr>
              <w:pStyle w:val="TableParagraph"/>
              <w:spacing w:before="16"/>
              <w:ind w:left="2"/>
              <w:jc w:val="center"/>
              <w:rPr>
                <w:sz w:val="20"/>
              </w:rPr>
            </w:pPr>
            <w:r>
              <w:rPr>
                <w:w w:val="99"/>
                <w:sz w:val="20"/>
              </w:rPr>
              <w:t>0</w:t>
            </w:r>
          </w:p>
        </w:tc>
        <w:tc>
          <w:tcPr>
            <w:tcW w:w="620" w:type="dxa"/>
          </w:tcPr>
          <w:p>
            <w:pPr>
              <w:pStyle w:val="TableParagraph"/>
              <w:spacing w:before="16"/>
              <w:ind w:left="87" w:right="93"/>
              <w:jc w:val="center"/>
              <w:rPr>
                <w:sz w:val="20"/>
              </w:rPr>
            </w:pPr>
            <w:r>
              <w:rPr>
                <w:sz w:val="20"/>
              </w:rPr>
              <w:t>R/W</w:t>
            </w:r>
          </w:p>
        </w:tc>
        <w:tc>
          <w:tcPr>
            <w:tcW w:w="8022" w:type="dxa"/>
            <w:gridSpan w:val="9"/>
          </w:tcPr>
          <w:p>
            <w:pPr>
              <w:pStyle w:val="TableParagraph"/>
              <w:spacing w:before="16"/>
              <w:ind w:left="104"/>
              <w:rPr>
                <w:sz w:val="20"/>
              </w:rPr>
            </w:pPr>
            <w:r>
              <w:rPr>
                <w:sz w:val="20"/>
              </w:rPr>
              <w:t>Enables ADC and VREF. When disabled, reduces bias current.</w:t>
            </w:r>
          </w:p>
        </w:tc>
      </w:tr>
      <w:tr>
        <w:trPr>
          <w:trHeight w:val="1293" w:hRule="atLeast"/>
        </w:trPr>
        <w:tc>
          <w:tcPr>
            <w:tcW w:w="2254"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7"/>
              <w:rPr>
                <w:b/>
                <w:sz w:val="29"/>
              </w:rPr>
            </w:pPr>
          </w:p>
          <w:p>
            <w:pPr>
              <w:pStyle w:val="TableParagraph"/>
              <w:ind w:left="107"/>
              <w:rPr>
                <w:rFonts w:ascii="Times New Roman"/>
                <w:i/>
                <w:sz w:val="20"/>
              </w:rPr>
            </w:pPr>
            <w:r>
              <w:rPr>
                <w:rFonts w:ascii="Times New Roman"/>
                <w:i/>
                <w:sz w:val="20"/>
              </w:rPr>
              <w:t>ADC_DIV</w:t>
            </w:r>
          </w:p>
        </w:tc>
        <w:tc>
          <w:tcPr>
            <w:tcW w:w="1124"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10"/>
              <w:rPr>
                <w:b/>
                <w:sz w:val="29"/>
              </w:rPr>
            </w:pPr>
          </w:p>
          <w:p>
            <w:pPr>
              <w:pStyle w:val="TableParagraph"/>
              <w:spacing w:before="1"/>
              <w:ind w:left="227"/>
              <w:rPr>
                <w:sz w:val="20"/>
              </w:rPr>
            </w:pPr>
            <w:r>
              <w:rPr>
                <w:sz w:val="20"/>
              </w:rPr>
              <w:t>2200[5]</w:t>
            </w:r>
          </w:p>
        </w:tc>
        <w:tc>
          <w:tcPr>
            <w:tcW w:w="344"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10"/>
              <w:rPr>
                <w:b/>
                <w:sz w:val="29"/>
              </w:rPr>
            </w:pPr>
          </w:p>
          <w:p>
            <w:pPr>
              <w:pStyle w:val="TableParagraph"/>
              <w:spacing w:before="1"/>
              <w:ind w:left="113"/>
              <w:rPr>
                <w:sz w:val="20"/>
              </w:rPr>
            </w:pPr>
            <w:r>
              <w:rPr>
                <w:w w:val="99"/>
                <w:sz w:val="20"/>
              </w:rPr>
              <w:t>0</w:t>
            </w:r>
          </w:p>
        </w:tc>
        <w:tc>
          <w:tcPr>
            <w:tcW w:w="344"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10"/>
              <w:rPr>
                <w:b/>
                <w:sz w:val="29"/>
              </w:rPr>
            </w:pPr>
          </w:p>
          <w:p>
            <w:pPr>
              <w:pStyle w:val="TableParagraph"/>
              <w:spacing w:before="1"/>
              <w:ind w:left="113"/>
              <w:rPr>
                <w:sz w:val="20"/>
              </w:rPr>
            </w:pPr>
            <w:r>
              <w:rPr>
                <w:w w:val="99"/>
                <w:sz w:val="20"/>
              </w:rPr>
              <w:t>0</w:t>
            </w:r>
          </w:p>
        </w:tc>
        <w:tc>
          <w:tcPr>
            <w:tcW w:w="620"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10"/>
              <w:rPr>
                <w:b/>
                <w:sz w:val="29"/>
              </w:rPr>
            </w:pPr>
          </w:p>
          <w:p>
            <w:pPr>
              <w:pStyle w:val="TableParagraph"/>
              <w:spacing w:before="1"/>
              <w:ind w:left="112"/>
              <w:rPr>
                <w:sz w:val="20"/>
              </w:rPr>
            </w:pPr>
            <w:r>
              <w:rPr>
                <w:sz w:val="20"/>
              </w:rPr>
              <w:t>R/W</w:t>
            </w:r>
          </w:p>
        </w:tc>
        <w:tc>
          <w:tcPr>
            <w:tcW w:w="8022" w:type="dxa"/>
            <w:gridSpan w:val="9"/>
            <w:tcBorders>
              <w:bottom w:val="nil"/>
            </w:tcBorders>
          </w:tcPr>
          <w:p>
            <w:pPr>
              <w:pStyle w:val="TableParagraph"/>
              <w:spacing w:before="35"/>
              <w:ind w:left="104"/>
              <w:rPr>
                <w:sz w:val="20"/>
              </w:rPr>
            </w:pPr>
            <w:r>
              <w:rPr>
                <w:rFonts w:ascii="Times New Roman"/>
                <w:i/>
                <w:sz w:val="20"/>
              </w:rPr>
              <w:t>ADC_DIV </w:t>
            </w:r>
            <w:r>
              <w:rPr>
                <w:sz w:val="20"/>
              </w:rPr>
              <w:t>controls the rate of the ADC and FIR clocks.</w:t>
            </w:r>
          </w:p>
          <w:p>
            <w:pPr>
              <w:pStyle w:val="TableParagraph"/>
              <w:spacing w:line="264" w:lineRule="auto" w:before="21"/>
              <w:ind w:left="824" w:right="1925" w:hanging="721"/>
              <w:rPr>
                <w:sz w:val="20"/>
              </w:rPr>
            </w:pPr>
            <w:r>
              <w:rPr>
                <w:sz w:val="20"/>
              </w:rPr>
              <w:t>The </w:t>
            </w:r>
            <w:r>
              <w:rPr>
                <w:rFonts w:ascii="Times New Roman"/>
                <w:i/>
                <w:sz w:val="20"/>
              </w:rPr>
              <w:t>ADC_DIV </w:t>
            </w:r>
            <w:r>
              <w:rPr>
                <w:sz w:val="20"/>
              </w:rPr>
              <w:t>setting determines whether MCK is divided by 4 or 8: 0 =</w:t>
            </w:r>
            <w:r>
              <w:rPr>
                <w:spacing w:val="-2"/>
                <w:sz w:val="20"/>
              </w:rPr>
              <w:t> </w:t>
            </w:r>
            <w:r>
              <w:rPr>
                <w:sz w:val="20"/>
              </w:rPr>
              <w:t>MCK/4</w:t>
            </w:r>
          </w:p>
          <w:p>
            <w:pPr>
              <w:pStyle w:val="TableParagraph"/>
              <w:spacing w:line="230" w:lineRule="exact"/>
              <w:ind w:left="824"/>
              <w:rPr>
                <w:sz w:val="20"/>
              </w:rPr>
            </w:pPr>
            <w:r>
              <w:rPr>
                <w:sz w:val="20"/>
              </w:rPr>
              <w:t>1 =</w:t>
            </w:r>
            <w:r>
              <w:rPr>
                <w:spacing w:val="-6"/>
                <w:sz w:val="20"/>
              </w:rPr>
              <w:t> </w:t>
            </w:r>
            <w:r>
              <w:rPr>
                <w:sz w:val="20"/>
              </w:rPr>
              <w:t>MCK/8</w:t>
            </w:r>
          </w:p>
          <w:p>
            <w:pPr>
              <w:pStyle w:val="TableParagraph"/>
              <w:spacing w:before="20"/>
              <w:ind w:left="103"/>
              <w:rPr>
                <w:sz w:val="20"/>
              </w:rPr>
            </w:pPr>
            <w:r>
              <w:rPr>
                <w:sz w:val="20"/>
              </w:rPr>
              <w:t>The resulting ADC and FIR clock is as shown below.</w:t>
            </w:r>
          </w:p>
        </w:tc>
      </w:tr>
      <w:tr>
        <w:trPr>
          <w:trHeight w:val="270" w:hRule="atLeast"/>
        </w:trPr>
        <w:tc>
          <w:tcPr>
            <w:tcW w:w="2254" w:type="dxa"/>
            <w:vMerge/>
            <w:tcBorders>
              <w:top w:val="nil"/>
            </w:tcBorders>
          </w:tcPr>
          <w:p>
            <w:pPr>
              <w:rPr>
                <w:sz w:val="2"/>
                <w:szCs w:val="2"/>
              </w:rPr>
            </w:pPr>
          </w:p>
        </w:tc>
        <w:tc>
          <w:tcPr>
            <w:tcW w:w="1124" w:type="dxa"/>
            <w:vMerge/>
            <w:tcBorders>
              <w:top w:val="nil"/>
            </w:tcBorders>
          </w:tcPr>
          <w:p>
            <w:pPr>
              <w:rPr>
                <w:sz w:val="2"/>
                <w:szCs w:val="2"/>
              </w:rPr>
            </w:pPr>
          </w:p>
        </w:tc>
        <w:tc>
          <w:tcPr>
            <w:tcW w:w="344" w:type="dxa"/>
            <w:vMerge/>
            <w:tcBorders>
              <w:top w:val="nil"/>
            </w:tcBorders>
          </w:tcPr>
          <w:p>
            <w:pPr>
              <w:rPr>
                <w:sz w:val="2"/>
                <w:szCs w:val="2"/>
              </w:rPr>
            </w:pPr>
          </w:p>
        </w:tc>
        <w:tc>
          <w:tcPr>
            <w:tcW w:w="344" w:type="dxa"/>
            <w:vMerge/>
            <w:tcBorders>
              <w:top w:val="nil"/>
            </w:tcBorders>
          </w:tcPr>
          <w:p>
            <w:pPr>
              <w:rPr>
                <w:sz w:val="2"/>
                <w:szCs w:val="2"/>
              </w:rPr>
            </w:pPr>
          </w:p>
        </w:tc>
        <w:tc>
          <w:tcPr>
            <w:tcW w:w="620" w:type="dxa"/>
            <w:vMerge/>
            <w:tcBorders>
              <w:top w:val="nil"/>
            </w:tcBorders>
          </w:tcPr>
          <w:p>
            <w:pPr>
              <w:rPr>
                <w:sz w:val="2"/>
                <w:szCs w:val="2"/>
              </w:rPr>
            </w:pPr>
          </w:p>
        </w:tc>
        <w:tc>
          <w:tcPr>
            <w:tcW w:w="1498" w:type="dxa"/>
            <w:gridSpan w:val="3"/>
            <w:vMerge w:val="restart"/>
            <w:tcBorders>
              <w:top w:val="nil"/>
            </w:tcBorders>
          </w:tcPr>
          <w:p>
            <w:pPr>
              <w:pStyle w:val="TableParagraph"/>
              <w:rPr>
                <w:rFonts w:ascii="Times New Roman"/>
                <w:sz w:val="18"/>
              </w:rPr>
            </w:pPr>
          </w:p>
        </w:tc>
        <w:tc>
          <w:tcPr>
            <w:tcW w:w="1533" w:type="dxa"/>
            <w:gridSpan w:val="2"/>
          </w:tcPr>
          <w:p>
            <w:pPr>
              <w:pStyle w:val="TableParagraph"/>
              <w:ind w:left="-7" w:right="-72"/>
              <w:rPr>
                <w:sz w:val="20"/>
              </w:rPr>
            </w:pPr>
            <w:r>
              <w:rPr>
                <w:sz w:val="20"/>
              </w:rPr>
              <w:pict>
                <v:group style="width:76.6pt;height:14.05pt;mso-position-horizontal-relative:char;mso-position-vertical-relative:line" coordorigin="0,0" coordsize="1532,281">
                  <v:line style="position:absolute" from="5,5" to="1526,276" stroked="true" strokeweight=".48pt" strokecolor="#000000">
                    <v:stroke dashstyle="solid"/>
                  </v:line>
                </v:group>
              </w:pict>
            </w:r>
            <w:r>
              <w:rPr>
                <w:sz w:val="20"/>
              </w:rPr>
            </w:r>
          </w:p>
        </w:tc>
        <w:tc>
          <w:tcPr>
            <w:tcW w:w="1713" w:type="dxa"/>
            <w:gridSpan w:val="2"/>
          </w:tcPr>
          <w:p>
            <w:pPr>
              <w:pStyle w:val="TableParagraph"/>
              <w:spacing w:before="18"/>
              <w:ind w:left="186"/>
              <w:rPr>
                <w:sz w:val="20"/>
              </w:rPr>
            </w:pPr>
            <w:r>
              <w:rPr>
                <w:sz w:val="20"/>
              </w:rPr>
              <w:t>PLL_FAST = 0</w:t>
            </w:r>
          </w:p>
        </w:tc>
        <w:tc>
          <w:tcPr>
            <w:tcW w:w="1782" w:type="dxa"/>
          </w:tcPr>
          <w:p>
            <w:pPr>
              <w:pStyle w:val="TableParagraph"/>
              <w:spacing w:before="18"/>
              <w:ind w:left="150" w:right="164"/>
              <w:jc w:val="center"/>
              <w:rPr>
                <w:sz w:val="20"/>
              </w:rPr>
            </w:pPr>
            <w:r>
              <w:rPr>
                <w:sz w:val="20"/>
              </w:rPr>
              <w:t>PLL_FAST = 1</w:t>
            </w:r>
          </w:p>
        </w:tc>
        <w:tc>
          <w:tcPr>
            <w:tcW w:w="1496" w:type="dxa"/>
            <w:vMerge w:val="restart"/>
            <w:tcBorders>
              <w:top w:val="nil"/>
            </w:tcBorders>
          </w:tcPr>
          <w:p>
            <w:pPr>
              <w:pStyle w:val="TableParagraph"/>
              <w:rPr>
                <w:rFonts w:ascii="Times New Roman"/>
                <w:sz w:val="18"/>
              </w:rPr>
            </w:pPr>
          </w:p>
        </w:tc>
      </w:tr>
      <w:tr>
        <w:trPr>
          <w:trHeight w:val="228" w:hRule="atLeast"/>
        </w:trPr>
        <w:tc>
          <w:tcPr>
            <w:tcW w:w="2254" w:type="dxa"/>
            <w:vMerge/>
            <w:tcBorders>
              <w:top w:val="nil"/>
            </w:tcBorders>
          </w:tcPr>
          <w:p>
            <w:pPr>
              <w:rPr>
                <w:sz w:val="2"/>
                <w:szCs w:val="2"/>
              </w:rPr>
            </w:pPr>
          </w:p>
        </w:tc>
        <w:tc>
          <w:tcPr>
            <w:tcW w:w="1124" w:type="dxa"/>
            <w:vMerge/>
            <w:tcBorders>
              <w:top w:val="nil"/>
            </w:tcBorders>
          </w:tcPr>
          <w:p>
            <w:pPr>
              <w:rPr>
                <w:sz w:val="2"/>
                <w:szCs w:val="2"/>
              </w:rPr>
            </w:pPr>
          </w:p>
        </w:tc>
        <w:tc>
          <w:tcPr>
            <w:tcW w:w="344" w:type="dxa"/>
            <w:vMerge/>
            <w:tcBorders>
              <w:top w:val="nil"/>
            </w:tcBorders>
          </w:tcPr>
          <w:p>
            <w:pPr>
              <w:rPr>
                <w:sz w:val="2"/>
                <w:szCs w:val="2"/>
              </w:rPr>
            </w:pPr>
          </w:p>
        </w:tc>
        <w:tc>
          <w:tcPr>
            <w:tcW w:w="344" w:type="dxa"/>
            <w:vMerge/>
            <w:tcBorders>
              <w:top w:val="nil"/>
            </w:tcBorders>
          </w:tcPr>
          <w:p>
            <w:pPr>
              <w:rPr>
                <w:sz w:val="2"/>
                <w:szCs w:val="2"/>
              </w:rPr>
            </w:pPr>
          </w:p>
        </w:tc>
        <w:tc>
          <w:tcPr>
            <w:tcW w:w="620" w:type="dxa"/>
            <w:vMerge/>
            <w:tcBorders>
              <w:top w:val="nil"/>
            </w:tcBorders>
          </w:tcPr>
          <w:p>
            <w:pPr>
              <w:rPr>
                <w:sz w:val="2"/>
                <w:szCs w:val="2"/>
              </w:rPr>
            </w:pPr>
          </w:p>
        </w:tc>
        <w:tc>
          <w:tcPr>
            <w:tcW w:w="1498" w:type="dxa"/>
            <w:gridSpan w:val="3"/>
            <w:vMerge/>
            <w:tcBorders>
              <w:top w:val="nil"/>
            </w:tcBorders>
          </w:tcPr>
          <w:p>
            <w:pPr>
              <w:rPr>
                <w:sz w:val="2"/>
                <w:szCs w:val="2"/>
              </w:rPr>
            </w:pPr>
          </w:p>
        </w:tc>
        <w:tc>
          <w:tcPr>
            <w:tcW w:w="1533" w:type="dxa"/>
            <w:gridSpan w:val="2"/>
          </w:tcPr>
          <w:p>
            <w:pPr>
              <w:pStyle w:val="TableParagraph"/>
              <w:spacing w:line="209" w:lineRule="exact"/>
              <w:ind w:left="518" w:right="520"/>
              <w:jc w:val="center"/>
              <w:rPr>
                <w:sz w:val="20"/>
              </w:rPr>
            </w:pPr>
            <w:r>
              <w:rPr>
                <w:sz w:val="20"/>
              </w:rPr>
              <w:t>MCK</w:t>
            </w:r>
          </w:p>
        </w:tc>
        <w:tc>
          <w:tcPr>
            <w:tcW w:w="1713" w:type="dxa"/>
            <w:gridSpan w:val="2"/>
          </w:tcPr>
          <w:p>
            <w:pPr>
              <w:pStyle w:val="TableParagraph"/>
              <w:spacing w:line="209" w:lineRule="exact"/>
              <w:ind w:left="195"/>
              <w:rPr>
                <w:sz w:val="20"/>
              </w:rPr>
            </w:pPr>
            <w:r>
              <w:rPr>
                <w:sz w:val="20"/>
              </w:rPr>
              <w:t>6.291456 MHz</w:t>
            </w:r>
          </w:p>
        </w:tc>
        <w:tc>
          <w:tcPr>
            <w:tcW w:w="1782" w:type="dxa"/>
          </w:tcPr>
          <w:p>
            <w:pPr>
              <w:pStyle w:val="TableParagraph"/>
              <w:spacing w:line="209" w:lineRule="exact"/>
              <w:ind w:left="156" w:right="164"/>
              <w:jc w:val="center"/>
              <w:rPr>
                <w:sz w:val="20"/>
              </w:rPr>
            </w:pPr>
            <w:r>
              <w:rPr>
                <w:sz w:val="20"/>
              </w:rPr>
              <w:t>19.660800 MHz</w:t>
            </w:r>
          </w:p>
        </w:tc>
        <w:tc>
          <w:tcPr>
            <w:tcW w:w="1496" w:type="dxa"/>
            <w:vMerge/>
            <w:tcBorders>
              <w:top w:val="nil"/>
            </w:tcBorders>
          </w:tcPr>
          <w:p>
            <w:pPr>
              <w:rPr>
                <w:sz w:val="2"/>
                <w:szCs w:val="2"/>
              </w:rPr>
            </w:pPr>
          </w:p>
        </w:tc>
      </w:tr>
      <w:tr>
        <w:trPr>
          <w:trHeight w:val="270" w:hRule="atLeast"/>
        </w:trPr>
        <w:tc>
          <w:tcPr>
            <w:tcW w:w="2254" w:type="dxa"/>
            <w:vMerge/>
            <w:tcBorders>
              <w:top w:val="nil"/>
            </w:tcBorders>
          </w:tcPr>
          <w:p>
            <w:pPr>
              <w:rPr>
                <w:sz w:val="2"/>
                <w:szCs w:val="2"/>
              </w:rPr>
            </w:pPr>
          </w:p>
        </w:tc>
        <w:tc>
          <w:tcPr>
            <w:tcW w:w="1124" w:type="dxa"/>
            <w:vMerge/>
            <w:tcBorders>
              <w:top w:val="nil"/>
            </w:tcBorders>
          </w:tcPr>
          <w:p>
            <w:pPr>
              <w:rPr>
                <w:sz w:val="2"/>
                <w:szCs w:val="2"/>
              </w:rPr>
            </w:pPr>
          </w:p>
        </w:tc>
        <w:tc>
          <w:tcPr>
            <w:tcW w:w="344" w:type="dxa"/>
            <w:vMerge/>
            <w:tcBorders>
              <w:top w:val="nil"/>
            </w:tcBorders>
          </w:tcPr>
          <w:p>
            <w:pPr>
              <w:rPr>
                <w:sz w:val="2"/>
                <w:szCs w:val="2"/>
              </w:rPr>
            </w:pPr>
          </w:p>
        </w:tc>
        <w:tc>
          <w:tcPr>
            <w:tcW w:w="344" w:type="dxa"/>
            <w:vMerge/>
            <w:tcBorders>
              <w:top w:val="nil"/>
            </w:tcBorders>
          </w:tcPr>
          <w:p>
            <w:pPr>
              <w:rPr>
                <w:sz w:val="2"/>
                <w:szCs w:val="2"/>
              </w:rPr>
            </w:pPr>
          </w:p>
        </w:tc>
        <w:tc>
          <w:tcPr>
            <w:tcW w:w="620" w:type="dxa"/>
            <w:vMerge/>
            <w:tcBorders>
              <w:top w:val="nil"/>
            </w:tcBorders>
          </w:tcPr>
          <w:p>
            <w:pPr>
              <w:rPr>
                <w:sz w:val="2"/>
                <w:szCs w:val="2"/>
              </w:rPr>
            </w:pPr>
          </w:p>
        </w:tc>
        <w:tc>
          <w:tcPr>
            <w:tcW w:w="1498" w:type="dxa"/>
            <w:gridSpan w:val="3"/>
            <w:vMerge/>
            <w:tcBorders>
              <w:top w:val="nil"/>
            </w:tcBorders>
          </w:tcPr>
          <w:p>
            <w:pPr>
              <w:rPr>
                <w:sz w:val="2"/>
                <w:szCs w:val="2"/>
              </w:rPr>
            </w:pPr>
          </w:p>
        </w:tc>
        <w:tc>
          <w:tcPr>
            <w:tcW w:w="1533" w:type="dxa"/>
            <w:gridSpan w:val="2"/>
          </w:tcPr>
          <w:p>
            <w:pPr>
              <w:pStyle w:val="TableParagraph"/>
              <w:spacing w:before="18"/>
              <w:ind w:left="156"/>
              <w:rPr>
                <w:sz w:val="20"/>
              </w:rPr>
            </w:pPr>
            <w:r>
              <w:rPr>
                <w:sz w:val="20"/>
              </w:rPr>
              <w:t>ADC_DIV = 0</w:t>
            </w:r>
          </w:p>
        </w:tc>
        <w:tc>
          <w:tcPr>
            <w:tcW w:w="1713" w:type="dxa"/>
            <w:gridSpan w:val="2"/>
          </w:tcPr>
          <w:p>
            <w:pPr>
              <w:pStyle w:val="TableParagraph"/>
              <w:spacing w:before="18"/>
              <w:ind w:left="195"/>
              <w:rPr>
                <w:sz w:val="20"/>
              </w:rPr>
            </w:pPr>
            <w:r>
              <w:rPr>
                <w:sz w:val="20"/>
              </w:rPr>
              <w:t>1.572864 MHz</w:t>
            </w:r>
          </w:p>
        </w:tc>
        <w:tc>
          <w:tcPr>
            <w:tcW w:w="1782" w:type="dxa"/>
          </w:tcPr>
          <w:p>
            <w:pPr>
              <w:pStyle w:val="TableParagraph"/>
              <w:spacing w:before="18"/>
              <w:ind w:left="153" w:right="164"/>
              <w:jc w:val="center"/>
              <w:rPr>
                <w:sz w:val="20"/>
              </w:rPr>
            </w:pPr>
            <w:r>
              <w:rPr>
                <w:sz w:val="20"/>
              </w:rPr>
              <w:t>4.9152 MHz</w:t>
            </w:r>
          </w:p>
        </w:tc>
        <w:tc>
          <w:tcPr>
            <w:tcW w:w="1496" w:type="dxa"/>
            <w:vMerge/>
            <w:tcBorders>
              <w:top w:val="nil"/>
            </w:tcBorders>
          </w:tcPr>
          <w:p>
            <w:pPr>
              <w:rPr>
                <w:sz w:val="2"/>
                <w:szCs w:val="2"/>
              </w:rPr>
            </w:pPr>
          </w:p>
        </w:tc>
      </w:tr>
      <w:tr>
        <w:trPr>
          <w:trHeight w:val="289" w:hRule="atLeast"/>
        </w:trPr>
        <w:tc>
          <w:tcPr>
            <w:tcW w:w="2254" w:type="dxa"/>
            <w:vMerge/>
            <w:tcBorders>
              <w:top w:val="nil"/>
            </w:tcBorders>
          </w:tcPr>
          <w:p>
            <w:pPr>
              <w:rPr>
                <w:sz w:val="2"/>
                <w:szCs w:val="2"/>
              </w:rPr>
            </w:pPr>
          </w:p>
        </w:tc>
        <w:tc>
          <w:tcPr>
            <w:tcW w:w="1124" w:type="dxa"/>
            <w:vMerge/>
            <w:tcBorders>
              <w:top w:val="nil"/>
            </w:tcBorders>
          </w:tcPr>
          <w:p>
            <w:pPr>
              <w:rPr>
                <w:sz w:val="2"/>
                <w:szCs w:val="2"/>
              </w:rPr>
            </w:pPr>
          </w:p>
        </w:tc>
        <w:tc>
          <w:tcPr>
            <w:tcW w:w="344" w:type="dxa"/>
            <w:vMerge/>
            <w:tcBorders>
              <w:top w:val="nil"/>
            </w:tcBorders>
          </w:tcPr>
          <w:p>
            <w:pPr>
              <w:rPr>
                <w:sz w:val="2"/>
                <w:szCs w:val="2"/>
              </w:rPr>
            </w:pPr>
          </w:p>
        </w:tc>
        <w:tc>
          <w:tcPr>
            <w:tcW w:w="344" w:type="dxa"/>
            <w:vMerge/>
            <w:tcBorders>
              <w:top w:val="nil"/>
            </w:tcBorders>
          </w:tcPr>
          <w:p>
            <w:pPr>
              <w:rPr>
                <w:sz w:val="2"/>
                <w:szCs w:val="2"/>
              </w:rPr>
            </w:pPr>
          </w:p>
        </w:tc>
        <w:tc>
          <w:tcPr>
            <w:tcW w:w="620" w:type="dxa"/>
            <w:vMerge/>
            <w:tcBorders>
              <w:top w:val="nil"/>
            </w:tcBorders>
          </w:tcPr>
          <w:p>
            <w:pPr>
              <w:rPr>
                <w:sz w:val="2"/>
                <w:szCs w:val="2"/>
              </w:rPr>
            </w:pPr>
          </w:p>
        </w:tc>
        <w:tc>
          <w:tcPr>
            <w:tcW w:w="1498" w:type="dxa"/>
            <w:gridSpan w:val="3"/>
            <w:vMerge/>
            <w:tcBorders>
              <w:top w:val="nil"/>
            </w:tcBorders>
          </w:tcPr>
          <w:p>
            <w:pPr>
              <w:rPr>
                <w:sz w:val="2"/>
                <w:szCs w:val="2"/>
              </w:rPr>
            </w:pPr>
          </w:p>
        </w:tc>
        <w:tc>
          <w:tcPr>
            <w:tcW w:w="1533" w:type="dxa"/>
            <w:gridSpan w:val="2"/>
            <w:tcBorders>
              <w:bottom w:val="double" w:sz="1" w:space="0" w:color="000000"/>
            </w:tcBorders>
          </w:tcPr>
          <w:p>
            <w:pPr>
              <w:pStyle w:val="TableParagraph"/>
              <w:spacing w:before="18"/>
              <w:ind w:left="156"/>
              <w:rPr>
                <w:sz w:val="20"/>
              </w:rPr>
            </w:pPr>
            <w:r>
              <w:rPr>
                <w:sz w:val="20"/>
              </w:rPr>
              <w:t>ADC_DIV = 1</w:t>
            </w:r>
          </w:p>
        </w:tc>
        <w:tc>
          <w:tcPr>
            <w:tcW w:w="1713" w:type="dxa"/>
            <w:gridSpan w:val="2"/>
            <w:tcBorders>
              <w:bottom w:val="double" w:sz="1" w:space="0" w:color="000000"/>
            </w:tcBorders>
          </w:tcPr>
          <w:p>
            <w:pPr>
              <w:pStyle w:val="TableParagraph"/>
              <w:spacing w:before="18"/>
              <w:ind w:left="195"/>
              <w:rPr>
                <w:sz w:val="20"/>
              </w:rPr>
            </w:pPr>
            <w:r>
              <w:rPr>
                <w:sz w:val="20"/>
              </w:rPr>
              <w:t>0.786432 MHz</w:t>
            </w:r>
          </w:p>
        </w:tc>
        <w:tc>
          <w:tcPr>
            <w:tcW w:w="1782" w:type="dxa"/>
            <w:tcBorders>
              <w:bottom w:val="double" w:sz="1" w:space="0" w:color="000000"/>
            </w:tcBorders>
          </w:tcPr>
          <w:p>
            <w:pPr>
              <w:pStyle w:val="TableParagraph"/>
              <w:spacing w:before="18"/>
              <w:ind w:left="153" w:right="164"/>
              <w:jc w:val="center"/>
              <w:rPr>
                <w:sz w:val="20"/>
              </w:rPr>
            </w:pPr>
            <w:r>
              <w:rPr>
                <w:sz w:val="20"/>
              </w:rPr>
              <w:t>2.4576 MHz</w:t>
            </w:r>
          </w:p>
        </w:tc>
        <w:tc>
          <w:tcPr>
            <w:tcW w:w="1496" w:type="dxa"/>
            <w:vMerge/>
            <w:tcBorders>
              <w:top w:val="nil"/>
            </w:tcBorders>
          </w:tcPr>
          <w:p>
            <w:pPr>
              <w:rPr>
                <w:sz w:val="2"/>
                <w:szCs w:val="2"/>
              </w:rPr>
            </w:pPr>
          </w:p>
        </w:tc>
      </w:tr>
      <w:tr>
        <w:trPr>
          <w:trHeight w:val="260" w:hRule="atLeast"/>
        </w:trPr>
        <w:tc>
          <w:tcPr>
            <w:tcW w:w="2254" w:type="dxa"/>
          </w:tcPr>
          <w:p>
            <w:pPr>
              <w:pStyle w:val="TableParagraph"/>
              <w:spacing w:before="4"/>
              <w:ind w:left="107"/>
              <w:rPr>
                <w:rFonts w:ascii="Times New Roman"/>
                <w:i/>
                <w:sz w:val="20"/>
              </w:rPr>
            </w:pPr>
            <w:r>
              <w:rPr>
                <w:rFonts w:ascii="Times New Roman"/>
                <w:i/>
                <w:sz w:val="20"/>
              </w:rPr>
              <w:t>BCURR</w:t>
            </w:r>
          </w:p>
        </w:tc>
        <w:tc>
          <w:tcPr>
            <w:tcW w:w="1124" w:type="dxa"/>
          </w:tcPr>
          <w:p>
            <w:pPr>
              <w:pStyle w:val="TableParagraph"/>
              <w:spacing w:before="8"/>
              <w:ind w:left="5"/>
              <w:jc w:val="center"/>
              <w:rPr>
                <w:sz w:val="20"/>
              </w:rPr>
            </w:pPr>
            <w:r>
              <w:rPr>
                <w:sz w:val="20"/>
              </w:rPr>
              <w:t>2704[3]</w:t>
            </w:r>
          </w:p>
        </w:tc>
        <w:tc>
          <w:tcPr>
            <w:tcW w:w="344" w:type="dxa"/>
          </w:tcPr>
          <w:p>
            <w:pPr>
              <w:pStyle w:val="TableParagraph"/>
              <w:spacing w:before="8"/>
              <w:ind w:right="107"/>
              <w:jc w:val="right"/>
              <w:rPr>
                <w:sz w:val="20"/>
              </w:rPr>
            </w:pPr>
            <w:r>
              <w:rPr>
                <w:w w:val="99"/>
                <w:sz w:val="20"/>
              </w:rPr>
              <w:t>0</w:t>
            </w:r>
          </w:p>
        </w:tc>
        <w:tc>
          <w:tcPr>
            <w:tcW w:w="344" w:type="dxa"/>
          </w:tcPr>
          <w:p>
            <w:pPr>
              <w:pStyle w:val="TableParagraph"/>
              <w:spacing w:before="8"/>
              <w:ind w:left="2"/>
              <w:jc w:val="center"/>
              <w:rPr>
                <w:sz w:val="20"/>
              </w:rPr>
            </w:pPr>
            <w:r>
              <w:rPr>
                <w:w w:val="99"/>
                <w:sz w:val="20"/>
              </w:rPr>
              <w:t>0</w:t>
            </w:r>
          </w:p>
        </w:tc>
        <w:tc>
          <w:tcPr>
            <w:tcW w:w="620" w:type="dxa"/>
          </w:tcPr>
          <w:p>
            <w:pPr>
              <w:pStyle w:val="TableParagraph"/>
              <w:spacing w:before="8"/>
              <w:ind w:left="87" w:right="93"/>
              <w:jc w:val="center"/>
              <w:rPr>
                <w:sz w:val="20"/>
              </w:rPr>
            </w:pPr>
            <w:r>
              <w:rPr>
                <w:sz w:val="20"/>
              </w:rPr>
              <w:t>R/W</w:t>
            </w:r>
          </w:p>
        </w:tc>
        <w:tc>
          <w:tcPr>
            <w:tcW w:w="8022" w:type="dxa"/>
            <w:gridSpan w:val="9"/>
            <w:tcBorders>
              <w:top w:val="nil"/>
            </w:tcBorders>
          </w:tcPr>
          <w:p>
            <w:pPr>
              <w:pStyle w:val="TableParagraph"/>
              <w:spacing w:before="4"/>
              <w:ind w:left="104"/>
              <w:rPr>
                <w:sz w:val="20"/>
              </w:rPr>
            </w:pPr>
            <w:r>
              <w:rPr>
                <w:sz w:val="20"/>
              </w:rPr>
              <w:t>Connects a 100 µA load to the battery selected by </w:t>
            </w:r>
            <w:r>
              <w:rPr>
                <w:rFonts w:ascii="Times New Roman" w:hAnsi="Times New Roman"/>
                <w:i/>
                <w:sz w:val="20"/>
              </w:rPr>
              <w:t>TEMP_BSEL</w:t>
            </w:r>
            <w:r>
              <w:rPr>
                <w:sz w:val="20"/>
              </w:rPr>
              <w:t>.</w:t>
            </w:r>
          </w:p>
        </w:tc>
      </w:tr>
      <w:tr>
        <w:trPr>
          <w:trHeight w:val="498" w:hRule="atLeast"/>
        </w:trPr>
        <w:tc>
          <w:tcPr>
            <w:tcW w:w="2254" w:type="dxa"/>
          </w:tcPr>
          <w:p>
            <w:pPr>
              <w:pStyle w:val="TableParagraph"/>
              <w:spacing w:before="127"/>
              <w:ind w:left="107"/>
              <w:rPr>
                <w:rFonts w:ascii="Times New Roman"/>
                <w:i/>
                <w:sz w:val="20"/>
              </w:rPr>
            </w:pPr>
            <w:r>
              <w:rPr>
                <w:rFonts w:ascii="Times New Roman"/>
                <w:i/>
                <w:sz w:val="20"/>
              </w:rPr>
              <w:t>BSENSE[7:0]</w:t>
            </w:r>
          </w:p>
        </w:tc>
        <w:tc>
          <w:tcPr>
            <w:tcW w:w="1124" w:type="dxa"/>
          </w:tcPr>
          <w:p>
            <w:pPr>
              <w:pStyle w:val="TableParagraph"/>
              <w:spacing w:before="131"/>
              <w:ind w:left="5"/>
              <w:jc w:val="center"/>
              <w:rPr>
                <w:sz w:val="20"/>
              </w:rPr>
            </w:pPr>
            <w:r>
              <w:rPr>
                <w:sz w:val="20"/>
              </w:rPr>
              <w:t>2885[7:0]</w:t>
            </w:r>
          </w:p>
        </w:tc>
        <w:tc>
          <w:tcPr>
            <w:tcW w:w="344" w:type="dxa"/>
          </w:tcPr>
          <w:p>
            <w:pPr>
              <w:pStyle w:val="TableParagraph"/>
              <w:spacing w:before="131"/>
              <w:ind w:right="107"/>
              <w:jc w:val="right"/>
              <w:rPr>
                <w:sz w:val="20"/>
              </w:rPr>
            </w:pPr>
            <w:r>
              <w:rPr>
                <w:w w:val="99"/>
                <w:sz w:val="20"/>
              </w:rPr>
              <w:t>–</w:t>
            </w:r>
          </w:p>
        </w:tc>
        <w:tc>
          <w:tcPr>
            <w:tcW w:w="344" w:type="dxa"/>
          </w:tcPr>
          <w:p>
            <w:pPr>
              <w:pStyle w:val="TableParagraph"/>
              <w:spacing w:before="131"/>
              <w:ind w:left="2"/>
              <w:jc w:val="center"/>
              <w:rPr>
                <w:sz w:val="20"/>
              </w:rPr>
            </w:pPr>
            <w:r>
              <w:rPr>
                <w:w w:val="99"/>
                <w:sz w:val="20"/>
              </w:rPr>
              <w:t>–</w:t>
            </w:r>
          </w:p>
        </w:tc>
        <w:tc>
          <w:tcPr>
            <w:tcW w:w="620" w:type="dxa"/>
          </w:tcPr>
          <w:p>
            <w:pPr>
              <w:pStyle w:val="TableParagraph"/>
              <w:spacing w:before="131"/>
              <w:ind w:left="2"/>
              <w:jc w:val="center"/>
              <w:rPr>
                <w:sz w:val="20"/>
              </w:rPr>
            </w:pPr>
            <w:r>
              <w:rPr>
                <w:w w:val="99"/>
                <w:sz w:val="20"/>
              </w:rPr>
              <w:t>R</w:t>
            </w:r>
          </w:p>
        </w:tc>
        <w:tc>
          <w:tcPr>
            <w:tcW w:w="8022" w:type="dxa"/>
            <w:gridSpan w:val="9"/>
          </w:tcPr>
          <w:p>
            <w:pPr>
              <w:pStyle w:val="TableParagraph"/>
              <w:spacing w:line="229" w:lineRule="exact" w:before="18"/>
              <w:ind w:left="104"/>
              <w:rPr>
                <w:sz w:val="20"/>
              </w:rPr>
            </w:pPr>
            <w:r>
              <w:rPr>
                <w:sz w:val="20"/>
              </w:rPr>
              <w:t>The result of the battery measurement.</w:t>
            </w:r>
          </w:p>
          <w:p>
            <w:pPr>
              <w:pStyle w:val="TableParagraph"/>
              <w:spacing w:line="229" w:lineRule="exact"/>
              <w:ind w:left="104"/>
              <w:rPr>
                <w:sz w:val="20"/>
              </w:rPr>
            </w:pPr>
            <w:r>
              <w:rPr>
                <w:sz w:val="20"/>
              </w:rPr>
              <w:t>See </w:t>
            </w:r>
            <w:hyperlink w:history="true" w:anchor="_bookmark112">
              <w:r>
                <w:rPr>
                  <w:color w:val="0000FF"/>
                  <w:sz w:val="20"/>
                </w:rPr>
                <w:t>2.5.7 </w:t>
              </w:r>
            </w:hyperlink>
            <w:hyperlink w:history="true" w:anchor="_bookmark112">
              <w:r>
                <w:rPr>
                  <w:color w:val="0000FF"/>
                  <w:sz w:val="20"/>
                </w:rPr>
                <w:t>71M6543 Battery Monitor </w:t>
              </w:r>
            </w:hyperlink>
            <w:r>
              <w:rPr>
                <w:sz w:val="20"/>
              </w:rPr>
              <w:t>on page </w:t>
            </w:r>
            <w:hyperlink w:history="true" w:anchor="_bookmark112">
              <w:r>
                <w:rPr>
                  <w:color w:val="0000FF"/>
                  <w:sz w:val="20"/>
                </w:rPr>
                <w:t>56</w:t>
              </w:r>
              <w:r>
                <w:rPr>
                  <w:sz w:val="20"/>
                </w:rPr>
                <w:t>.</w:t>
              </w:r>
            </w:hyperlink>
          </w:p>
        </w:tc>
      </w:tr>
      <w:tr>
        <w:trPr>
          <w:trHeight w:val="270" w:hRule="atLeast"/>
        </w:trPr>
        <w:tc>
          <w:tcPr>
            <w:tcW w:w="2254" w:type="dxa"/>
          </w:tcPr>
          <w:p>
            <w:pPr>
              <w:pStyle w:val="TableParagraph"/>
              <w:spacing w:before="14"/>
              <w:ind w:left="107"/>
              <w:rPr>
                <w:rFonts w:ascii="Times New Roman"/>
                <w:i/>
                <w:sz w:val="20"/>
              </w:rPr>
            </w:pPr>
            <w:r>
              <w:rPr>
                <w:rFonts w:ascii="Times New Roman"/>
                <w:i/>
                <w:sz w:val="20"/>
              </w:rPr>
              <w:t>CE_E</w:t>
            </w:r>
          </w:p>
        </w:tc>
        <w:tc>
          <w:tcPr>
            <w:tcW w:w="1124" w:type="dxa"/>
          </w:tcPr>
          <w:p>
            <w:pPr>
              <w:pStyle w:val="TableParagraph"/>
              <w:spacing w:before="18"/>
              <w:ind w:left="5"/>
              <w:jc w:val="center"/>
              <w:rPr>
                <w:sz w:val="20"/>
              </w:rPr>
            </w:pPr>
            <w:r>
              <w:rPr>
                <w:sz w:val="20"/>
              </w:rPr>
              <w:t>2106[0]</w:t>
            </w:r>
          </w:p>
        </w:tc>
        <w:tc>
          <w:tcPr>
            <w:tcW w:w="344" w:type="dxa"/>
          </w:tcPr>
          <w:p>
            <w:pPr>
              <w:pStyle w:val="TableParagraph"/>
              <w:spacing w:before="18"/>
              <w:ind w:right="107"/>
              <w:jc w:val="right"/>
              <w:rPr>
                <w:sz w:val="20"/>
              </w:rPr>
            </w:pPr>
            <w:r>
              <w:rPr>
                <w:w w:val="99"/>
                <w:sz w:val="20"/>
              </w:rPr>
              <w:t>0</w:t>
            </w:r>
          </w:p>
        </w:tc>
        <w:tc>
          <w:tcPr>
            <w:tcW w:w="344" w:type="dxa"/>
          </w:tcPr>
          <w:p>
            <w:pPr>
              <w:pStyle w:val="TableParagraph"/>
              <w:spacing w:before="18"/>
              <w:ind w:left="2"/>
              <w:jc w:val="center"/>
              <w:rPr>
                <w:sz w:val="20"/>
              </w:rPr>
            </w:pPr>
            <w:r>
              <w:rPr>
                <w:w w:val="99"/>
                <w:sz w:val="20"/>
              </w:rPr>
              <w:t>0</w:t>
            </w:r>
          </w:p>
        </w:tc>
        <w:tc>
          <w:tcPr>
            <w:tcW w:w="620" w:type="dxa"/>
          </w:tcPr>
          <w:p>
            <w:pPr>
              <w:pStyle w:val="TableParagraph"/>
              <w:spacing w:before="18"/>
              <w:ind w:left="87" w:right="93"/>
              <w:jc w:val="center"/>
              <w:rPr>
                <w:sz w:val="20"/>
              </w:rPr>
            </w:pPr>
            <w:r>
              <w:rPr>
                <w:sz w:val="20"/>
              </w:rPr>
              <w:t>R/W</w:t>
            </w:r>
          </w:p>
        </w:tc>
        <w:tc>
          <w:tcPr>
            <w:tcW w:w="8022" w:type="dxa"/>
            <w:gridSpan w:val="9"/>
          </w:tcPr>
          <w:p>
            <w:pPr>
              <w:pStyle w:val="TableParagraph"/>
              <w:spacing w:before="18"/>
              <w:ind w:left="104"/>
              <w:rPr>
                <w:sz w:val="20"/>
              </w:rPr>
            </w:pPr>
            <w:r>
              <w:rPr>
                <w:sz w:val="20"/>
              </w:rPr>
              <w:t>CE enable.</w:t>
            </w:r>
          </w:p>
        </w:tc>
      </w:tr>
      <w:tr>
        <w:trPr>
          <w:trHeight w:val="731" w:hRule="atLeast"/>
        </w:trPr>
        <w:tc>
          <w:tcPr>
            <w:tcW w:w="2254" w:type="dxa"/>
          </w:tcPr>
          <w:p>
            <w:pPr>
              <w:pStyle w:val="TableParagraph"/>
              <w:spacing w:before="3"/>
              <w:rPr>
                <w:b/>
                <w:sz w:val="21"/>
              </w:rPr>
            </w:pPr>
          </w:p>
          <w:p>
            <w:pPr>
              <w:pStyle w:val="TableParagraph"/>
              <w:ind w:left="107"/>
              <w:rPr>
                <w:rFonts w:ascii="Times New Roman"/>
                <w:i/>
                <w:sz w:val="20"/>
              </w:rPr>
            </w:pPr>
            <w:r>
              <w:rPr>
                <w:rFonts w:ascii="Times New Roman"/>
                <w:i/>
                <w:sz w:val="20"/>
              </w:rPr>
              <w:t>CE_LCTN[6:0]</w:t>
            </w:r>
          </w:p>
        </w:tc>
        <w:tc>
          <w:tcPr>
            <w:tcW w:w="1124" w:type="dxa"/>
          </w:tcPr>
          <w:p>
            <w:pPr>
              <w:pStyle w:val="TableParagraph"/>
              <w:spacing w:before="7"/>
              <w:rPr>
                <w:b/>
                <w:sz w:val="21"/>
              </w:rPr>
            </w:pPr>
          </w:p>
          <w:p>
            <w:pPr>
              <w:pStyle w:val="TableParagraph"/>
              <w:ind w:left="6"/>
              <w:jc w:val="center"/>
              <w:rPr>
                <w:sz w:val="20"/>
              </w:rPr>
            </w:pPr>
            <w:r>
              <w:rPr>
                <w:sz w:val="20"/>
              </w:rPr>
              <w:t>2109[6:0]</w:t>
            </w:r>
          </w:p>
        </w:tc>
        <w:tc>
          <w:tcPr>
            <w:tcW w:w="344" w:type="dxa"/>
          </w:tcPr>
          <w:p>
            <w:pPr>
              <w:pStyle w:val="TableParagraph"/>
              <w:spacing w:before="7"/>
              <w:rPr>
                <w:b/>
                <w:sz w:val="21"/>
              </w:rPr>
            </w:pPr>
          </w:p>
          <w:p>
            <w:pPr>
              <w:pStyle w:val="TableParagraph"/>
              <w:ind w:right="52"/>
              <w:jc w:val="right"/>
              <w:rPr>
                <w:sz w:val="20"/>
              </w:rPr>
            </w:pPr>
            <w:r>
              <w:rPr>
                <w:w w:val="95"/>
                <w:sz w:val="20"/>
              </w:rPr>
              <w:t>31</w:t>
            </w:r>
          </w:p>
        </w:tc>
        <w:tc>
          <w:tcPr>
            <w:tcW w:w="344" w:type="dxa"/>
          </w:tcPr>
          <w:p>
            <w:pPr>
              <w:pStyle w:val="TableParagraph"/>
              <w:spacing w:before="7"/>
              <w:rPr>
                <w:b/>
                <w:sz w:val="21"/>
              </w:rPr>
            </w:pPr>
          </w:p>
          <w:p>
            <w:pPr>
              <w:pStyle w:val="TableParagraph"/>
              <w:ind w:left="2"/>
              <w:jc w:val="center"/>
              <w:rPr>
                <w:sz w:val="20"/>
              </w:rPr>
            </w:pPr>
            <w:r>
              <w:rPr>
                <w:sz w:val="20"/>
              </w:rPr>
              <w:t>31</w:t>
            </w:r>
          </w:p>
        </w:tc>
        <w:tc>
          <w:tcPr>
            <w:tcW w:w="620" w:type="dxa"/>
          </w:tcPr>
          <w:p>
            <w:pPr>
              <w:pStyle w:val="TableParagraph"/>
              <w:spacing w:before="7"/>
              <w:rPr>
                <w:b/>
                <w:sz w:val="21"/>
              </w:rPr>
            </w:pPr>
          </w:p>
          <w:p>
            <w:pPr>
              <w:pStyle w:val="TableParagraph"/>
              <w:ind w:left="87" w:right="93"/>
              <w:jc w:val="center"/>
              <w:rPr>
                <w:sz w:val="20"/>
              </w:rPr>
            </w:pPr>
            <w:r>
              <w:rPr>
                <w:sz w:val="20"/>
              </w:rPr>
              <w:t>R/W</w:t>
            </w:r>
          </w:p>
        </w:tc>
        <w:tc>
          <w:tcPr>
            <w:tcW w:w="8022" w:type="dxa"/>
            <w:gridSpan w:val="9"/>
          </w:tcPr>
          <w:p>
            <w:pPr>
              <w:pStyle w:val="TableParagraph"/>
              <w:spacing w:before="16"/>
              <w:ind w:left="104"/>
              <w:rPr>
                <w:sz w:val="20"/>
              </w:rPr>
            </w:pPr>
            <w:r>
              <w:rPr>
                <w:sz w:val="20"/>
              </w:rPr>
              <w:t>CE program location. The starting address for the CE program is 1024*</w:t>
            </w:r>
            <w:r>
              <w:rPr>
                <w:rFonts w:ascii="Times New Roman"/>
                <w:i/>
                <w:sz w:val="20"/>
              </w:rPr>
              <w:t>CE_LCTN</w:t>
            </w:r>
            <w:r>
              <w:rPr>
                <w:sz w:val="20"/>
              </w:rPr>
              <w:t>. (</w:t>
            </w:r>
            <w:r>
              <w:rPr>
                <w:i/>
                <w:sz w:val="20"/>
              </w:rPr>
              <w:t>CE_LCTN[6:0], </w:t>
            </w:r>
            <w:r>
              <w:rPr>
                <w:sz w:val="20"/>
              </w:rPr>
              <w:t>2109[6:0] for</w:t>
            </w:r>
            <w:r>
              <w:rPr>
                <w:spacing w:val="-3"/>
                <w:sz w:val="20"/>
              </w:rPr>
              <w:t> </w:t>
            </w:r>
            <w:r>
              <w:rPr>
                <w:sz w:val="20"/>
              </w:rPr>
              <w:t>71M6543G)</w:t>
            </w:r>
          </w:p>
          <w:p>
            <w:pPr>
              <w:pStyle w:val="TableParagraph"/>
              <w:ind w:left="104"/>
              <w:rPr>
                <w:sz w:val="20"/>
              </w:rPr>
            </w:pPr>
            <w:r>
              <w:rPr>
                <w:sz w:val="20"/>
              </w:rPr>
              <w:t>(</w:t>
            </w:r>
            <w:r>
              <w:rPr>
                <w:i/>
                <w:sz w:val="20"/>
              </w:rPr>
              <w:t>CE_LCTN[5:0], </w:t>
            </w:r>
            <w:r>
              <w:rPr>
                <w:sz w:val="20"/>
              </w:rPr>
              <w:t>2109[5:0] for</w:t>
            </w:r>
            <w:r>
              <w:rPr>
                <w:spacing w:val="-22"/>
                <w:sz w:val="20"/>
              </w:rPr>
              <w:t> </w:t>
            </w:r>
            <w:r>
              <w:rPr>
                <w:sz w:val="20"/>
              </w:rPr>
              <w:t>71M6543F)</w:t>
            </w:r>
          </w:p>
        </w:tc>
      </w:tr>
      <w:tr>
        <w:trPr>
          <w:trHeight w:val="249" w:hRule="atLeast"/>
        </w:trPr>
        <w:tc>
          <w:tcPr>
            <w:tcW w:w="2254" w:type="dxa"/>
            <w:vMerge w:val="restart"/>
          </w:tcPr>
          <w:p>
            <w:pPr>
              <w:pStyle w:val="TableParagraph"/>
              <w:spacing w:before="8"/>
              <w:rPr>
                <w:b/>
                <w:sz w:val="22"/>
              </w:rPr>
            </w:pPr>
          </w:p>
          <w:p>
            <w:pPr>
              <w:pStyle w:val="TableParagraph"/>
              <w:spacing w:before="1"/>
              <w:ind w:left="107"/>
              <w:rPr>
                <w:rFonts w:ascii="Times New Roman"/>
                <w:i/>
                <w:sz w:val="20"/>
              </w:rPr>
            </w:pPr>
            <w:r>
              <w:rPr>
                <w:rFonts w:ascii="Times New Roman"/>
                <w:i/>
                <w:w w:val="95"/>
                <w:sz w:val="20"/>
              </w:rPr>
              <w:t>CHIP_ID[15:8] </w:t>
            </w:r>
            <w:r>
              <w:rPr>
                <w:rFonts w:ascii="Times New Roman"/>
                <w:i/>
                <w:sz w:val="20"/>
              </w:rPr>
              <w:t>CHIP_ID[7:0]</w:t>
            </w:r>
          </w:p>
        </w:tc>
        <w:tc>
          <w:tcPr>
            <w:tcW w:w="1124" w:type="dxa"/>
            <w:vMerge w:val="restart"/>
          </w:tcPr>
          <w:p>
            <w:pPr>
              <w:pStyle w:val="TableParagraph"/>
              <w:spacing w:before="1"/>
              <w:rPr>
                <w:b/>
                <w:sz w:val="23"/>
              </w:rPr>
            </w:pPr>
          </w:p>
          <w:p>
            <w:pPr>
              <w:pStyle w:val="TableParagraph"/>
              <w:ind w:left="143"/>
              <w:rPr>
                <w:sz w:val="20"/>
              </w:rPr>
            </w:pPr>
            <w:r>
              <w:rPr>
                <w:sz w:val="20"/>
              </w:rPr>
              <w:t>2300[7:0]</w:t>
            </w:r>
          </w:p>
          <w:p>
            <w:pPr>
              <w:pStyle w:val="TableParagraph"/>
              <w:spacing w:before="1"/>
              <w:ind w:left="143"/>
              <w:rPr>
                <w:sz w:val="20"/>
              </w:rPr>
            </w:pPr>
            <w:r>
              <w:rPr>
                <w:sz w:val="20"/>
              </w:rPr>
              <w:t>2301[7:0]</w:t>
            </w:r>
          </w:p>
        </w:tc>
        <w:tc>
          <w:tcPr>
            <w:tcW w:w="344" w:type="dxa"/>
            <w:vMerge w:val="restart"/>
          </w:tcPr>
          <w:p>
            <w:pPr>
              <w:pStyle w:val="TableParagraph"/>
              <w:spacing w:before="1"/>
              <w:rPr>
                <w:b/>
                <w:sz w:val="23"/>
              </w:rPr>
            </w:pPr>
          </w:p>
          <w:p>
            <w:pPr>
              <w:pStyle w:val="TableParagraph"/>
              <w:ind w:left="113"/>
              <w:rPr>
                <w:sz w:val="20"/>
              </w:rPr>
            </w:pPr>
            <w:r>
              <w:rPr>
                <w:w w:val="99"/>
                <w:sz w:val="20"/>
              </w:rPr>
              <w:t>0</w:t>
            </w:r>
          </w:p>
          <w:p>
            <w:pPr>
              <w:pStyle w:val="TableParagraph"/>
              <w:spacing w:before="1"/>
              <w:ind w:left="113"/>
              <w:rPr>
                <w:sz w:val="20"/>
              </w:rPr>
            </w:pPr>
            <w:r>
              <w:rPr>
                <w:w w:val="99"/>
                <w:sz w:val="20"/>
              </w:rPr>
              <w:t>0</w:t>
            </w:r>
          </w:p>
        </w:tc>
        <w:tc>
          <w:tcPr>
            <w:tcW w:w="344" w:type="dxa"/>
            <w:vMerge w:val="restart"/>
          </w:tcPr>
          <w:p>
            <w:pPr>
              <w:pStyle w:val="TableParagraph"/>
              <w:spacing w:before="1"/>
              <w:rPr>
                <w:b/>
                <w:sz w:val="23"/>
              </w:rPr>
            </w:pPr>
          </w:p>
          <w:p>
            <w:pPr>
              <w:pStyle w:val="TableParagraph"/>
              <w:ind w:left="113"/>
              <w:rPr>
                <w:sz w:val="20"/>
              </w:rPr>
            </w:pPr>
            <w:r>
              <w:rPr>
                <w:w w:val="99"/>
                <w:sz w:val="20"/>
              </w:rPr>
              <w:t>0</w:t>
            </w:r>
          </w:p>
          <w:p>
            <w:pPr>
              <w:pStyle w:val="TableParagraph"/>
              <w:spacing w:before="1"/>
              <w:ind w:left="113"/>
              <w:rPr>
                <w:sz w:val="20"/>
              </w:rPr>
            </w:pPr>
            <w:r>
              <w:rPr>
                <w:w w:val="99"/>
                <w:sz w:val="20"/>
              </w:rPr>
              <w:t>0</w:t>
            </w:r>
          </w:p>
        </w:tc>
        <w:tc>
          <w:tcPr>
            <w:tcW w:w="620" w:type="dxa"/>
            <w:vMerge w:val="restart"/>
          </w:tcPr>
          <w:p>
            <w:pPr>
              <w:pStyle w:val="TableParagraph"/>
              <w:spacing w:before="1"/>
              <w:rPr>
                <w:b/>
                <w:sz w:val="23"/>
              </w:rPr>
            </w:pPr>
          </w:p>
          <w:p>
            <w:pPr>
              <w:pStyle w:val="TableParagraph"/>
              <w:ind w:left="234" w:right="229"/>
              <w:jc w:val="center"/>
              <w:rPr>
                <w:sz w:val="20"/>
              </w:rPr>
            </w:pPr>
            <w:r>
              <w:rPr>
                <w:sz w:val="20"/>
              </w:rPr>
              <w:t>R</w:t>
            </w:r>
            <w:r>
              <w:rPr>
                <w:w w:val="99"/>
                <w:sz w:val="20"/>
              </w:rPr>
              <w:t> </w:t>
            </w:r>
            <w:r>
              <w:rPr>
                <w:sz w:val="20"/>
              </w:rPr>
              <w:t>R</w:t>
            </w:r>
          </w:p>
        </w:tc>
        <w:tc>
          <w:tcPr>
            <w:tcW w:w="8022" w:type="dxa"/>
            <w:gridSpan w:val="9"/>
            <w:tcBorders>
              <w:bottom w:val="nil"/>
            </w:tcBorders>
          </w:tcPr>
          <w:p>
            <w:pPr>
              <w:pStyle w:val="TableParagraph"/>
              <w:spacing w:line="213" w:lineRule="exact" w:before="16"/>
              <w:ind w:left="104"/>
              <w:rPr>
                <w:sz w:val="20"/>
              </w:rPr>
            </w:pPr>
            <w:r>
              <w:rPr>
                <w:sz w:val="20"/>
              </w:rPr>
              <w:t>These bytes contain the chip identification as shown below.</w:t>
            </w:r>
          </w:p>
        </w:tc>
      </w:tr>
      <w:tr>
        <w:trPr>
          <w:trHeight w:val="230" w:hRule="atLeast"/>
        </w:trPr>
        <w:tc>
          <w:tcPr>
            <w:tcW w:w="2254" w:type="dxa"/>
            <w:vMerge/>
            <w:tcBorders>
              <w:top w:val="nil"/>
            </w:tcBorders>
          </w:tcPr>
          <w:p>
            <w:pPr>
              <w:rPr>
                <w:sz w:val="2"/>
                <w:szCs w:val="2"/>
              </w:rPr>
            </w:pPr>
          </w:p>
        </w:tc>
        <w:tc>
          <w:tcPr>
            <w:tcW w:w="1124" w:type="dxa"/>
            <w:vMerge/>
            <w:tcBorders>
              <w:top w:val="nil"/>
            </w:tcBorders>
          </w:tcPr>
          <w:p>
            <w:pPr>
              <w:rPr>
                <w:sz w:val="2"/>
                <w:szCs w:val="2"/>
              </w:rPr>
            </w:pPr>
          </w:p>
        </w:tc>
        <w:tc>
          <w:tcPr>
            <w:tcW w:w="344" w:type="dxa"/>
            <w:vMerge/>
            <w:tcBorders>
              <w:top w:val="nil"/>
            </w:tcBorders>
          </w:tcPr>
          <w:p>
            <w:pPr>
              <w:rPr>
                <w:sz w:val="2"/>
                <w:szCs w:val="2"/>
              </w:rPr>
            </w:pPr>
          </w:p>
        </w:tc>
        <w:tc>
          <w:tcPr>
            <w:tcW w:w="344" w:type="dxa"/>
            <w:vMerge/>
            <w:tcBorders>
              <w:top w:val="nil"/>
            </w:tcBorders>
          </w:tcPr>
          <w:p>
            <w:pPr>
              <w:rPr>
                <w:sz w:val="2"/>
                <w:szCs w:val="2"/>
              </w:rPr>
            </w:pPr>
          </w:p>
        </w:tc>
        <w:tc>
          <w:tcPr>
            <w:tcW w:w="620" w:type="dxa"/>
            <w:vMerge/>
            <w:tcBorders>
              <w:top w:val="nil"/>
            </w:tcBorders>
          </w:tcPr>
          <w:p>
            <w:pPr>
              <w:rPr>
                <w:sz w:val="2"/>
                <w:szCs w:val="2"/>
              </w:rPr>
            </w:pPr>
          </w:p>
        </w:tc>
        <w:tc>
          <w:tcPr>
            <w:tcW w:w="114" w:type="dxa"/>
            <w:vMerge w:val="restart"/>
            <w:tcBorders>
              <w:top w:val="nil"/>
            </w:tcBorders>
          </w:tcPr>
          <w:p>
            <w:pPr>
              <w:pStyle w:val="TableParagraph"/>
              <w:rPr>
                <w:rFonts w:ascii="Times New Roman"/>
                <w:sz w:val="18"/>
              </w:rPr>
            </w:pPr>
          </w:p>
        </w:tc>
        <w:tc>
          <w:tcPr>
            <w:tcW w:w="1208" w:type="dxa"/>
          </w:tcPr>
          <w:p>
            <w:pPr>
              <w:pStyle w:val="TableParagraph"/>
              <w:rPr>
                <w:rFonts w:ascii="Times New Roman"/>
                <w:sz w:val="16"/>
              </w:rPr>
            </w:pPr>
          </w:p>
        </w:tc>
        <w:tc>
          <w:tcPr>
            <w:tcW w:w="1528" w:type="dxa"/>
            <w:gridSpan w:val="2"/>
          </w:tcPr>
          <w:p>
            <w:pPr>
              <w:pStyle w:val="TableParagraph"/>
              <w:spacing w:line="210" w:lineRule="exact"/>
              <w:ind w:left="102"/>
              <w:rPr>
                <w:rFonts w:ascii="Times New Roman"/>
                <w:b/>
                <w:i/>
                <w:sz w:val="20"/>
              </w:rPr>
            </w:pPr>
            <w:r>
              <w:rPr>
                <w:rFonts w:ascii="Times New Roman"/>
                <w:b/>
                <w:i/>
                <w:sz w:val="20"/>
              </w:rPr>
              <w:t>CHIP_ID[15:8]</w:t>
            </w:r>
          </w:p>
        </w:tc>
        <w:tc>
          <w:tcPr>
            <w:tcW w:w="1430" w:type="dxa"/>
            <w:gridSpan w:val="2"/>
          </w:tcPr>
          <w:p>
            <w:pPr>
              <w:pStyle w:val="TableParagraph"/>
              <w:spacing w:line="210" w:lineRule="exact"/>
              <w:ind w:left="100"/>
              <w:rPr>
                <w:rFonts w:ascii="Times New Roman"/>
                <w:b/>
                <w:i/>
                <w:sz w:val="20"/>
              </w:rPr>
            </w:pPr>
            <w:r>
              <w:rPr>
                <w:rFonts w:ascii="Times New Roman"/>
                <w:b/>
                <w:i/>
                <w:sz w:val="20"/>
              </w:rPr>
              <w:t>CHIP_ID[7:0]</w:t>
            </w:r>
          </w:p>
        </w:tc>
        <w:tc>
          <w:tcPr>
            <w:tcW w:w="3742" w:type="dxa"/>
            <w:gridSpan w:val="3"/>
            <w:vMerge w:val="restart"/>
            <w:tcBorders>
              <w:top w:val="nil"/>
            </w:tcBorders>
          </w:tcPr>
          <w:p>
            <w:pPr>
              <w:pStyle w:val="TableParagraph"/>
              <w:rPr>
                <w:rFonts w:ascii="Times New Roman"/>
                <w:sz w:val="18"/>
              </w:rPr>
            </w:pPr>
          </w:p>
        </w:tc>
      </w:tr>
      <w:tr>
        <w:trPr>
          <w:trHeight w:val="230" w:hRule="atLeast"/>
        </w:trPr>
        <w:tc>
          <w:tcPr>
            <w:tcW w:w="2254" w:type="dxa"/>
            <w:vMerge/>
            <w:tcBorders>
              <w:top w:val="nil"/>
            </w:tcBorders>
          </w:tcPr>
          <w:p>
            <w:pPr>
              <w:rPr>
                <w:sz w:val="2"/>
                <w:szCs w:val="2"/>
              </w:rPr>
            </w:pPr>
          </w:p>
        </w:tc>
        <w:tc>
          <w:tcPr>
            <w:tcW w:w="1124" w:type="dxa"/>
            <w:vMerge/>
            <w:tcBorders>
              <w:top w:val="nil"/>
            </w:tcBorders>
          </w:tcPr>
          <w:p>
            <w:pPr>
              <w:rPr>
                <w:sz w:val="2"/>
                <w:szCs w:val="2"/>
              </w:rPr>
            </w:pPr>
          </w:p>
        </w:tc>
        <w:tc>
          <w:tcPr>
            <w:tcW w:w="344" w:type="dxa"/>
            <w:vMerge/>
            <w:tcBorders>
              <w:top w:val="nil"/>
            </w:tcBorders>
          </w:tcPr>
          <w:p>
            <w:pPr>
              <w:rPr>
                <w:sz w:val="2"/>
                <w:szCs w:val="2"/>
              </w:rPr>
            </w:pPr>
          </w:p>
        </w:tc>
        <w:tc>
          <w:tcPr>
            <w:tcW w:w="344" w:type="dxa"/>
            <w:vMerge/>
            <w:tcBorders>
              <w:top w:val="nil"/>
            </w:tcBorders>
          </w:tcPr>
          <w:p>
            <w:pPr>
              <w:rPr>
                <w:sz w:val="2"/>
                <w:szCs w:val="2"/>
              </w:rPr>
            </w:pPr>
          </w:p>
        </w:tc>
        <w:tc>
          <w:tcPr>
            <w:tcW w:w="620" w:type="dxa"/>
            <w:vMerge/>
            <w:tcBorders>
              <w:top w:val="nil"/>
            </w:tcBorders>
          </w:tcPr>
          <w:p>
            <w:pPr>
              <w:rPr>
                <w:sz w:val="2"/>
                <w:szCs w:val="2"/>
              </w:rPr>
            </w:pPr>
          </w:p>
        </w:tc>
        <w:tc>
          <w:tcPr>
            <w:tcW w:w="114" w:type="dxa"/>
            <w:vMerge/>
            <w:tcBorders>
              <w:top w:val="nil"/>
            </w:tcBorders>
          </w:tcPr>
          <w:p>
            <w:pPr>
              <w:rPr>
                <w:sz w:val="2"/>
                <w:szCs w:val="2"/>
              </w:rPr>
            </w:pPr>
          </w:p>
        </w:tc>
        <w:tc>
          <w:tcPr>
            <w:tcW w:w="1208" w:type="dxa"/>
          </w:tcPr>
          <w:p>
            <w:pPr>
              <w:pStyle w:val="TableParagraph"/>
              <w:spacing w:line="210" w:lineRule="exact"/>
              <w:ind w:left="119"/>
              <w:rPr>
                <w:sz w:val="20"/>
              </w:rPr>
            </w:pPr>
            <w:r>
              <w:rPr>
                <w:sz w:val="20"/>
              </w:rPr>
              <w:t>71M6543F</w:t>
            </w:r>
          </w:p>
        </w:tc>
        <w:tc>
          <w:tcPr>
            <w:tcW w:w="1528" w:type="dxa"/>
            <w:gridSpan w:val="2"/>
          </w:tcPr>
          <w:p>
            <w:pPr>
              <w:pStyle w:val="TableParagraph"/>
              <w:spacing w:line="210" w:lineRule="exact"/>
              <w:ind w:left="521" w:right="522"/>
              <w:jc w:val="center"/>
              <w:rPr>
                <w:sz w:val="20"/>
              </w:rPr>
            </w:pPr>
            <w:r>
              <w:rPr>
                <w:sz w:val="20"/>
              </w:rPr>
              <w:t>0x04</w:t>
            </w:r>
          </w:p>
        </w:tc>
        <w:tc>
          <w:tcPr>
            <w:tcW w:w="1430" w:type="dxa"/>
            <w:gridSpan w:val="2"/>
          </w:tcPr>
          <w:p>
            <w:pPr>
              <w:pStyle w:val="TableParagraph"/>
              <w:spacing w:line="210" w:lineRule="exact"/>
              <w:ind w:left="469" w:right="476"/>
              <w:jc w:val="center"/>
              <w:rPr>
                <w:sz w:val="20"/>
              </w:rPr>
            </w:pPr>
            <w:r>
              <w:rPr>
                <w:sz w:val="20"/>
              </w:rPr>
              <w:t>0x10</w:t>
            </w:r>
          </w:p>
        </w:tc>
        <w:tc>
          <w:tcPr>
            <w:tcW w:w="3742" w:type="dxa"/>
            <w:gridSpan w:val="3"/>
            <w:vMerge/>
            <w:tcBorders>
              <w:top w:val="nil"/>
            </w:tcBorders>
          </w:tcPr>
          <w:p>
            <w:pPr>
              <w:rPr>
                <w:sz w:val="2"/>
                <w:szCs w:val="2"/>
              </w:rPr>
            </w:pPr>
          </w:p>
        </w:tc>
      </w:tr>
      <w:tr>
        <w:trPr>
          <w:trHeight w:val="251" w:hRule="atLeast"/>
        </w:trPr>
        <w:tc>
          <w:tcPr>
            <w:tcW w:w="2254" w:type="dxa"/>
            <w:vMerge/>
            <w:tcBorders>
              <w:top w:val="nil"/>
            </w:tcBorders>
          </w:tcPr>
          <w:p>
            <w:pPr>
              <w:rPr>
                <w:sz w:val="2"/>
                <w:szCs w:val="2"/>
              </w:rPr>
            </w:pPr>
          </w:p>
        </w:tc>
        <w:tc>
          <w:tcPr>
            <w:tcW w:w="1124" w:type="dxa"/>
            <w:vMerge/>
            <w:tcBorders>
              <w:top w:val="nil"/>
            </w:tcBorders>
          </w:tcPr>
          <w:p>
            <w:pPr>
              <w:rPr>
                <w:sz w:val="2"/>
                <w:szCs w:val="2"/>
              </w:rPr>
            </w:pPr>
          </w:p>
        </w:tc>
        <w:tc>
          <w:tcPr>
            <w:tcW w:w="344" w:type="dxa"/>
            <w:vMerge/>
            <w:tcBorders>
              <w:top w:val="nil"/>
            </w:tcBorders>
          </w:tcPr>
          <w:p>
            <w:pPr>
              <w:rPr>
                <w:sz w:val="2"/>
                <w:szCs w:val="2"/>
              </w:rPr>
            </w:pPr>
          </w:p>
        </w:tc>
        <w:tc>
          <w:tcPr>
            <w:tcW w:w="344" w:type="dxa"/>
            <w:vMerge/>
            <w:tcBorders>
              <w:top w:val="nil"/>
            </w:tcBorders>
          </w:tcPr>
          <w:p>
            <w:pPr>
              <w:rPr>
                <w:sz w:val="2"/>
                <w:szCs w:val="2"/>
              </w:rPr>
            </w:pPr>
          </w:p>
        </w:tc>
        <w:tc>
          <w:tcPr>
            <w:tcW w:w="620" w:type="dxa"/>
            <w:vMerge/>
            <w:tcBorders>
              <w:top w:val="nil"/>
            </w:tcBorders>
          </w:tcPr>
          <w:p>
            <w:pPr>
              <w:rPr>
                <w:sz w:val="2"/>
                <w:szCs w:val="2"/>
              </w:rPr>
            </w:pPr>
          </w:p>
        </w:tc>
        <w:tc>
          <w:tcPr>
            <w:tcW w:w="114" w:type="dxa"/>
            <w:vMerge/>
            <w:tcBorders>
              <w:top w:val="nil"/>
            </w:tcBorders>
          </w:tcPr>
          <w:p>
            <w:pPr>
              <w:rPr>
                <w:sz w:val="2"/>
                <w:szCs w:val="2"/>
              </w:rPr>
            </w:pPr>
          </w:p>
        </w:tc>
        <w:tc>
          <w:tcPr>
            <w:tcW w:w="1208" w:type="dxa"/>
            <w:tcBorders>
              <w:bottom w:val="double" w:sz="1" w:space="0" w:color="000000"/>
            </w:tcBorders>
          </w:tcPr>
          <w:p>
            <w:pPr>
              <w:pStyle w:val="TableParagraph"/>
              <w:spacing w:line="227" w:lineRule="exact"/>
              <w:ind w:left="103"/>
              <w:rPr>
                <w:sz w:val="20"/>
              </w:rPr>
            </w:pPr>
            <w:r>
              <w:rPr>
                <w:sz w:val="20"/>
              </w:rPr>
              <w:t>71M6543G</w:t>
            </w:r>
          </w:p>
        </w:tc>
        <w:tc>
          <w:tcPr>
            <w:tcW w:w="1528" w:type="dxa"/>
            <w:gridSpan w:val="2"/>
            <w:tcBorders>
              <w:bottom w:val="double" w:sz="1" w:space="0" w:color="000000"/>
            </w:tcBorders>
          </w:tcPr>
          <w:p>
            <w:pPr>
              <w:pStyle w:val="TableParagraph"/>
              <w:spacing w:line="227" w:lineRule="exact"/>
              <w:ind w:left="521" w:right="522"/>
              <w:jc w:val="center"/>
              <w:rPr>
                <w:sz w:val="20"/>
              </w:rPr>
            </w:pPr>
            <w:r>
              <w:rPr>
                <w:sz w:val="20"/>
              </w:rPr>
              <w:t>0x05</w:t>
            </w:r>
          </w:p>
        </w:tc>
        <w:tc>
          <w:tcPr>
            <w:tcW w:w="1430" w:type="dxa"/>
            <w:gridSpan w:val="2"/>
            <w:tcBorders>
              <w:bottom w:val="double" w:sz="1" w:space="0" w:color="000000"/>
            </w:tcBorders>
          </w:tcPr>
          <w:p>
            <w:pPr>
              <w:pStyle w:val="TableParagraph"/>
              <w:spacing w:line="227" w:lineRule="exact"/>
              <w:ind w:left="469" w:right="476"/>
              <w:jc w:val="center"/>
              <w:rPr>
                <w:sz w:val="20"/>
              </w:rPr>
            </w:pPr>
            <w:r>
              <w:rPr>
                <w:sz w:val="20"/>
              </w:rPr>
              <w:t>0x10</w:t>
            </w:r>
          </w:p>
        </w:tc>
        <w:tc>
          <w:tcPr>
            <w:tcW w:w="3742" w:type="dxa"/>
            <w:gridSpan w:val="3"/>
            <w:vMerge/>
            <w:tcBorders>
              <w:top w:val="nil"/>
            </w:tcBorders>
          </w:tcPr>
          <w:p>
            <w:pPr>
              <w:rPr>
                <w:sz w:val="2"/>
                <w:szCs w:val="2"/>
              </w:rPr>
            </w:pPr>
          </w:p>
        </w:tc>
      </w:tr>
      <w:tr>
        <w:trPr>
          <w:trHeight w:val="1031" w:hRule="atLeast"/>
        </w:trPr>
        <w:tc>
          <w:tcPr>
            <w:tcW w:w="2254" w:type="dxa"/>
          </w:tcPr>
          <w:p>
            <w:pPr>
              <w:pStyle w:val="TableParagraph"/>
              <w:rPr>
                <w:b/>
                <w:sz w:val="22"/>
              </w:rPr>
            </w:pPr>
          </w:p>
          <w:p>
            <w:pPr>
              <w:pStyle w:val="TableParagraph"/>
              <w:spacing w:before="135"/>
              <w:ind w:left="107"/>
              <w:rPr>
                <w:rFonts w:ascii="Times New Roman"/>
                <w:i/>
                <w:sz w:val="20"/>
              </w:rPr>
            </w:pPr>
            <w:r>
              <w:rPr>
                <w:rFonts w:ascii="Times New Roman"/>
                <w:i/>
                <w:sz w:val="20"/>
              </w:rPr>
              <w:t>CHOP_E[1:0]</w:t>
            </w:r>
          </w:p>
        </w:tc>
        <w:tc>
          <w:tcPr>
            <w:tcW w:w="1124" w:type="dxa"/>
          </w:tcPr>
          <w:p>
            <w:pPr>
              <w:pStyle w:val="TableParagraph"/>
              <w:rPr>
                <w:b/>
                <w:sz w:val="22"/>
              </w:rPr>
            </w:pPr>
          </w:p>
          <w:p>
            <w:pPr>
              <w:pStyle w:val="TableParagraph"/>
              <w:spacing w:before="139"/>
              <w:ind w:left="5"/>
              <w:jc w:val="center"/>
              <w:rPr>
                <w:sz w:val="20"/>
              </w:rPr>
            </w:pPr>
            <w:r>
              <w:rPr>
                <w:sz w:val="20"/>
              </w:rPr>
              <w:t>2106[3:2]</w:t>
            </w:r>
          </w:p>
        </w:tc>
        <w:tc>
          <w:tcPr>
            <w:tcW w:w="344" w:type="dxa"/>
          </w:tcPr>
          <w:p>
            <w:pPr>
              <w:pStyle w:val="TableParagraph"/>
              <w:rPr>
                <w:b/>
                <w:sz w:val="22"/>
              </w:rPr>
            </w:pPr>
          </w:p>
          <w:p>
            <w:pPr>
              <w:pStyle w:val="TableParagraph"/>
              <w:spacing w:before="139"/>
              <w:ind w:right="107"/>
              <w:jc w:val="right"/>
              <w:rPr>
                <w:sz w:val="20"/>
              </w:rPr>
            </w:pPr>
            <w:r>
              <w:rPr>
                <w:w w:val="99"/>
                <w:sz w:val="20"/>
              </w:rPr>
              <w:t>0</w:t>
            </w:r>
          </w:p>
        </w:tc>
        <w:tc>
          <w:tcPr>
            <w:tcW w:w="344" w:type="dxa"/>
          </w:tcPr>
          <w:p>
            <w:pPr>
              <w:pStyle w:val="TableParagraph"/>
              <w:rPr>
                <w:b/>
                <w:sz w:val="22"/>
              </w:rPr>
            </w:pPr>
          </w:p>
          <w:p>
            <w:pPr>
              <w:pStyle w:val="TableParagraph"/>
              <w:spacing w:before="139"/>
              <w:ind w:left="2"/>
              <w:jc w:val="center"/>
              <w:rPr>
                <w:sz w:val="20"/>
              </w:rPr>
            </w:pPr>
            <w:r>
              <w:rPr>
                <w:w w:val="99"/>
                <w:sz w:val="20"/>
              </w:rPr>
              <w:t>0</w:t>
            </w:r>
          </w:p>
        </w:tc>
        <w:tc>
          <w:tcPr>
            <w:tcW w:w="620" w:type="dxa"/>
          </w:tcPr>
          <w:p>
            <w:pPr>
              <w:pStyle w:val="TableParagraph"/>
              <w:rPr>
                <w:b/>
                <w:sz w:val="22"/>
              </w:rPr>
            </w:pPr>
          </w:p>
          <w:p>
            <w:pPr>
              <w:pStyle w:val="TableParagraph"/>
              <w:spacing w:before="139"/>
              <w:ind w:left="87" w:right="93"/>
              <w:jc w:val="center"/>
              <w:rPr>
                <w:sz w:val="20"/>
              </w:rPr>
            </w:pPr>
            <w:r>
              <w:rPr>
                <w:sz w:val="20"/>
              </w:rPr>
              <w:t>R/W</w:t>
            </w:r>
          </w:p>
        </w:tc>
        <w:tc>
          <w:tcPr>
            <w:tcW w:w="8022" w:type="dxa"/>
            <w:gridSpan w:val="9"/>
            <w:tcBorders>
              <w:top w:val="nil"/>
            </w:tcBorders>
          </w:tcPr>
          <w:p>
            <w:pPr>
              <w:pStyle w:val="TableParagraph"/>
              <w:spacing w:line="235" w:lineRule="auto" w:before="10"/>
              <w:ind w:left="104" w:right="484"/>
              <w:rPr>
                <w:i/>
                <w:sz w:val="20"/>
              </w:rPr>
            </w:pPr>
            <w:r>
              <w:rPr>
                <w:sz w:val="20"/>
              </w:rPr>
              <w:t>Chop enable for the reference bandgap circuit. The value of CHOP changes on the rising edge of the internal MUXSYNC signal according to the value in </w:t>
            </w:r>
            <w:r>
              <w:rPr>
                <w:rFonts w:ascii="Times New Roman"/>
                <w:i/>
                <w:sz w:val="20"/>
              </w:rPr>
              <w:t>CHOP_E[1:0]</w:t>
            </w:r>
            <w:r>
              <w:rPr>
                <w:i/>
                <w:sz w:val="20"/>
              </w:rPr>
              <w:t>:</w:t>
            </w:r>
          </w:p>
          <w:p>
            <w:pPr>
              <w:pStyle w:val="TableParagraph"/>
              <w:tabs>
                <w:tab w:pos="1448" w:val="left" w:leader="none"/>
                <w:tab w:pos="2798" w:val="left" w:leader="none"/>
                <w:tab w:pos="4249" w:val="left" w:leader="none"/>
              </w:tabs>
              <w:spacing w:before="46"/>
              <w:ind w:left="159"/>
              <w:rPr>
                <w:sz w:val="20"/>
              </w:rPr>
            </w:pPr>
            <w:r>
              <w:rPr>
                <w:sz w:val="20"/>
              </w:rPr>
              <w:t>00</w:t>
            </w:r>
            <w:r>
              <w:rPr>
                <w:spacing w:val="-1"/>
                <w:sz w:val="20"/>
              </w:rPr>
              <w:t> </w:t>
            </w:r>
            <w:r>
              <w:rPr>
                <w:sz w:val="20"/>
              </w:rPr>
              <w:t>=</w:t>
            </w:r>
            <w:r>
              <w:rPr>
                <w:spacing w:val="-4"/>
                <w:sz w:val="20"/>
              </w:rPr>
              <w:t> </w:t>
            </w:r>
            <w:r>
              <w:rPr>
                <w:sz w:val="20"/>
              </w:rPr>
              <w:t>toggle</w:t>
            </w:r>
            <w:r>
              <w:rPr>
                <w:sz w:val="20"/>
                <w:vertAlign w:val="superscript"/>
              </w:rPr>
              <w:t>1</w:t>
            </w:r>
            <w:r>
              <w:rPr>
                <w:sz w:val="20"/>
                <w:vertAlign w:val="baseline"/>
              </w:rPr>
              <w:tab/>
              <w:t>01 =</w:t>
            </w:r>
            <w:r>
              <w:rPr>
                <w:spacing w:val="-1"/>
                <w:sz w:val="20"/>
                <w:vertAlign w:val="baseline"/>
              </w:rPr>
              <w:t> </w:t>
            </w:r>
            <w:r>
              <w:rPr>
                <w:sz w:val="20"/>
                <w:vertAlign w:val="baseline"/>
              </w:rPr>
              <w:t>positive</w:t>
              <w:tab/>
              <w:t>10</w:t>
            </w:r>
            <w:r>
              <w:rPr>
                <w:spacing w:val="-2"/>
                <w:sz w:val="20"/>
                <w:vertAlign w:val="baseline"/>
              </w:rPr>
              <w:t> </w:t>
            </w:r>
            <w:r>
              <w:rPr>
                <w:sz w:val="20"/>
                <w:vertAlign w:val="baseline"/>
              </w:rPr>
              <w:t>=</w:t>
            </w:r>
            <w:r>
              <w:rPr>
                <w:spacing w:val="-2"/>
                <w:sz w:val="20"/>
                <w:vertAlign w:val="baseline"/>
              </w:rPr>
              <w:t> </w:t>
            </w:r>
            <w:r>
              <w:rPr>
                <w:sz w:val="20"/>
                <w:vertAlign w:val="baseline"/>
              </w:rPr>
              <w:t>reversed</w:t>
              <w:tab/>
              <w:t>11 =</w:t>
            </w:r>
            <w:r>
              <w:rPr>
                <w:spacing w:val="-1"/>
                <w:sz w:val="20"/>
                <w:vertAlign w:val="baseline"/>
              </w:rPr>
              <w:t> </w:t>
            </w:r>
            <w:r>
              <w:rPr>
                <w:sz w:val="20"/>
                <w:vertAlign w:val="baseline"/>
              </w:rPr>
              <w:t>toggle</w:t>
            </w:r>
          </w:p>
          <w:p>
            <w:pPr>
              <w:pStyle w:val="TableParagraph"/>
              <w:spacing w:before="41"/>
              <w:ind w:left="104"/>
              <w:rPr>
                <w:sz w:val="20"/>
              </w:rPr>
            </w:pPr>
            <w:r>
              <w:rPr>
                <w:sz w:val="20"/>
                <w:vertAlign w:val="superscript"/>
              </w:rPr>
              <w:t>1</w:t>
            </w:r>
            <w:r>
              <w:rPr>
                <w:sz w:val="20"/>
                <w:vertAlign w:val="baseline"/>
              </w:rPr>
              <w:t>except at the mux sync edge at the end of an accumulation interval.</w:t>
            </w:r>
          </w:p>
        </w:tc>
      </w:tr>
    </w:tbl>
    <w:p>
      <w:pPr>
        <w:spacing w:after="0"/>
        <w:rPr>
          <w:sz w:val="20"/>
        </w:rPr>
        <w:sectPr>
          <w:pgSz w:w="15840" w:h="12240" w:orient="landscape"/>
          <w:pgMar w:header="727" w:footer="819" w:top="1180" w:bottom="1000" w:left="1320" w:right="1320"/>
        </w:sectPr>
      </w:pPr>
    </w:p>
    <w:p>
      <w:pPr>
        <w:pStyle w:val="BodyText"/>
        <w:spacing w:before="5"/>
        <w:rPr>
          <w:b/>
          <w:sz w:val="7"/>
        </w:rPr>
      </w:pPr>
    </w:p>
    <w:tbl>
      <w:tblPr>
        <w:tblW w:w="0" w:type="auto"/>
        <w:jc w:val="left"/>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4"/>
        <w:gridCol w:w="1124"/>
        <w:gridCol w:w="344"/>
        <w:gridCol w:w="344"/>
        <w:gridCol w:w="620"/>
        <w:gridCol w:w="114"/>
        <w:gridCol w:w="918"/>
        <w:gridCol w:w="3208"/>
        <w:gridCol w:w="1218"/>
        <w:gridCol w:w="2562"/>
      </w:tblGrid>
      <w:tr>
        <w:trPr>
          <w:trHeight w:val="309" w:hRule="atLeast"/>
        </w:trPr>
        <w:tc>
          <w:tcPr>
            <w:tcW w:w="2254" w:type="dxa"/>
          </w:tcPr>
          <w:p>
            <w:pPr>
              <w:pStyle w:val="TableParagraph"/>
              <w:spacing w:before="35"/>
              <w:ind w:left="107"/>
              <w:rPr>
                <w:b/>
                <w:sz w:val="20"/>
              </w:rPr>
            </w:pPr>
            <w:r>
              <w:rPr>
                <w:b/>
                <w:sz w:val="20"/>
              </w:rPr>
              <w:t>Name</w:t>
            </w:r>
          </w:p>
        </w:tc>
        <w:tc>
          <w:tcPr>
            <w:tcW w:w="1124" w:type="dxa"/>
          </w:tcPr>
          <w:p>
            <w:pPr>
              <w:pStyle w:val="TableParagraph"/>
              <w:spacing w:before="35"/>
              <w:ind w:left="4"/>
              <w:jc w:val="center"/>
              <w:rPr>
                <w:b/>
                <w:sz w:val="20"/>
              </w:rPr>
            </w:pPr>
            <w:r>
              <w:rPr>
                <w:b/>
                <w:sz w:val="20"/>
              </w:rPr>
              <w:t>Location</w:t>
            </w:r>
          </w:p>
        </w:tc>
        <w:tc>
          <w:tcPr>
            <w:tcW w:w="344" w:type="dxa"/>
          </w:tcPr>
          <w:p>
            <w:pPr>
              <w:pStyle w:val="TableParagraph"/>
              <w:spacing w:before="35"/>
              <w:ind w:right="3"/>
              <w:jc w:val="right"/>
              <w:rPr>
                <w:b/>
                <w:sz w:val="20"/>
              </w:rPr>
            </w:pPr>
            <w:r>
              <w:rPr>
                <w:b/>
                <w:w w:val="95"/>
                <w:sz w:val="20"/>
              </w:rPr>
              <w:t>Rst</w:t>
            </w:r>
          </w:p>
        </w:tc>
        <w:tc>
          <w:tcPr>
            <w:tcW w:w="344" w:type="dxa"/>
          </w:tcPr>
          <w:p>
            <w:pPr>
              <w:pStyle w:val="TableParagraph"/>
              <w:spacing w:before="35"/>
              <w:ind w:left="6"/>
              <w:jc w:val="center"/>
              <w:rPr>
                <w:b/>
                <w:sz w:val="20"/>
              </w:rPr>
            </w:pPr>
            <w:r>
              <w:rPr>
                <w:b/>
                <w:sz w:val="20"/>
              </w:rPr>
              <w:t>Wk</w:t>
            </w:r>
          </w:p>
        </w:tc>
        <w:tc>
          <w:tcPr>
            <w:tcW w:w="620" w:type="dxa"/>
          </w:tcPr>
          <w:p>
            <w:pPr>
              <w:pStyle w:val="TableParagraph"/>
              <w:spacing w:before="35"/>
              <w:ind w:left="87" w:right="86"/>
              <w:jc w:val="center"/>
              <w:rPr>
                <w:b/>
                <w:sz w:val="20"/>
              </w:rPr>
            </w:pPr>
            <w:r>
              <w:rPr>
                <w:b/>
                <w:sz w:val="20"/>
              </w:rPr>
              <w:t>Dir</w:t>
            </w:r>
          </w:p>
        </w:tc>
        <w:tc>
          <w:tcPr>
            <w:tcW w:w="8020" w:type="dxa"/>
            <w:gridSpan w:val="5"/>
          </w:tcPr>
          <w:p>
            <w:pPr>
              <w:pStyle w:val="TableParagraph"/>
              <w:spacing w:before="35"/>
              <w:ind w:left="104"/>
              <w:rPr>
                <w:b/>
                <w:sz w:val="20"/>
              </w:rPr>
            </w:pPr>
            <w:r>
              <w:rPr>
                <w:b/>
                <w:sz w:val="20"/>
              </w:rPr>
              <w:t>Description</w:t>
            </w:r>
          </w:p>
        </w:tc>
      </w:tr>
      <w:tr>
        <w:trPr>
          <w:trHeight w:val="1230" w:hRule="atLeast"/>
        </w:trPr>
        <w:tc>
          <w:tcPr>
            <w:tcW w:w="2254" w:type="dxa"/>
          </w:tcPr>
          <w:p>
            <w:pPr>
              <w:pStyle w:val="TableParagraph"/>
              <w:rPr>
                <w:b/>
                <w:sz w:val="22"/>
              </w:rPr>
            </w:pPr>
          </w:p>
          <w:p>
            <w:pPr>
              <w:pStyle w:val="TableParagraph"/>
              <w:rPr>
                <w:b/>
                <w:sz w:val="21"/>
              </w:rPr>
            </w:pPr>
          </w:p>
          <w:p>
            <w:pPr>
              <w:pStyle w:val="TableParagraph"/>
              <w:ind w:left="107"/>
              <w:rPr>
                <w:rFonts w:ascii="Times New Roman"/>
                <w:i/>
                <w:sz w:val="20"/>
              </w:rPr>
            </w:pPr>
            <w:r>
              <w:rPr>
                <w:rFonts w:ascii="Times New Roman"/>
                <w:i/>
                <w:sz w:val="20"/>
              </w:rPr>
              <w:t>CHOPR[1:0]</w:t>
            </w:r>
          </w:p>
        </w:tc>
        <w:tc>
          <w:tcPr>
            <w:tcW w:w="1124" w:type="dxa"/>
          </w:tcPr>
          <w:p>
            <w:pPr>
              <w:pStyle w:val="TableParagraph"/>
              <w:rPr>
                <w:b/>
                <w:sz w:val="22"/>
              </w:rPr>
            </w:pPr>
          </w:p>
          <w:p>
            <w:pPr>
              <w:pStyle w:val="TableParagraph"/>
              <w:spacing w:before="4"/>
              <w:rPr>
                <w:b/>
                <w:sz w:val="21"/>
              </w:rPr>
            </w:pPr>
          </w:p>
          <w:p>
            <w:pPr>
              <w:pStyle w:val="TableParagraph"/>
              <w:ind w:left="5"/>
              <w:jc w:val="center"/>
              <w:rPr>
                <w:sz w:val="20"/>
              </w:rPr>
            </w:pPr>
            <w:r>
              <w:rPr>
                <w:sz w:val="20"/>
              </w:rPr>
              <w:t>2709[7:6]</w:t>
            </w:r>
          </w:p>
        </w:tc>
        <w:tc>
          <w:tcPr>
            <w:tcW w:w="344" w:type="dxa"/>
          </w:tcPr>
          <w:p>
            <w:pPr>
              <w:pStyle w:val="TableParagraph"/>
              <w:rPr>
                <w:b/>
                <w:sz w:val="22"/>
              </w:rPr>
            </w:pPr>
          </w:p>
          <w:p>
            <w:pPr>
              <w:pStyle w:val="TableParagraph"/>
              <w:spacing w:before="4"/>
              <w:rPr>
                <w:b/>
                <w:sz w:val="21"/>
              </w:rPr>
            </w:pPr>
          </w:p>
          <w:p>
            <w:pPr>
              <w:pStyle w:val="TableParagraph"/>
              <w:ind w:right="52"/>
              <w:jc w:val="right"/>
              <w:rPr>
                <w:sz w:val="20"/>
              </w:rPr>
            </w:pPr>
            <w:r>
              <w:rPr>
                <w:w w:val="95"/>
                <w:sz w:val="20"/>
              </w:rPr>
              <w:t>00</w:t>
            </w:r>
          </w:p>
        </w:tc>
        <w:tc>
          <w:tcPr>
            <w:tcW w:w="344" w:type="dxa"/>
          </w:tcPr>
          <w:p>
            <w:pPr>
              <w:pStyle w:val="TableParagraph"/>
              <w:rPr>
                <w:b/>
                <w:sz w:val="22"/>
              </w:rPr>
            </w:pPr>
          </w:p>
          <w:p>
            <w:pPr>
              <w:pStyle w:val="TableParagraph"/>
              <w:spacing w:before="4"/>
              <w:rPr>
                <w:b/>
                <w:sz w:val="21"/>
              </w:rPr>
            </w:pPr>
          </w:p>
          <w:p>
            <w:pPr>
              <w:pStyle w:val="TableParagraph"/>
              <w:ind w:left="2"/>
              <w:jc w:val="center"/>
              <w:rPr>
                <w:sz w:val="20"/>
              </w:rPr>
            </w:pPr>
            <w:r>
              <w:rPr>
                <w:sz w:val="20"/>
              </w:rPr>
              <w:t>00</w:t>
            </w:r>
          </w:p>
        </w:tc>
        <w:tc>
          <w:tcPr>
            <w:tcW w:w="620" w:type="dxa"/>
          </w:tcPr>
          <w:p>
            <w:pPr>
              <w:pStyle w:val="TableParagraph"/>
              <w:rPr>
                <w:b/>
                <w:sz w:val="22"/>
              </w:rPr>
            </w:pPr>
          </w:p>
          <w:p>
            <w:pPr>
              <w:pStyle w:val="TableParagraph"/>
              <w:spacing w:before="4"/>
              <w:rPr>
                <w:b/>
                <w:sz w:val="21"/>
              </w:rPr>
            </w:pPr>
          </w:p>
          <w:p>
            <w:pPr>
              <w:pStyle w:val="TableParagraph"/>
              <w:ind w:left="87" w:right="93"/>
              <w:jc w:val="center"/>
              <w:rPr>
                <w:sz w:val="20"/>
              </w:rPr>
            </w:pPr>
            <w:r>
              <w:rPr>
                <w:sz w:val="20"/>
              </w:rPr>
              <w:t>R/W</w:t>
            </w:r>
          </w:p>
        </w:tc>
        <w:tc>
          <w:tcPr>
            <w:tcW w:w="8020" w:type="dxa"/>
            <w:gridSpan w:val="5"/>
          </w:tcPr>
          <w:p>
            <w:pPr>
              <w:pStyle w:val="TableParagraph"/>
              <w:spacing w:line="261" w:lineRule="auto" w:before="18"/>
              <w:ind w:left="104" w:right="3968"/>
              <w:rPr>
                <w:sz w:val="20"/>
              </w:rPr>
            </w:pPr>
            <w:r>
              <w:rPr>
                <w:sz w:val="20"/>
              </w:rPr>
              <w:t>The CHOP settings for the remote sensor. 00 = Auto chop. Change every MUX frame. 01 = Positive</w:t>
            </w:r>
          </w:p>
          <w:p>
            <w:pPr>
              <w:pStyle w:val="TableParagraph"/>
              <w:spacing w:line="208" w:lineRule="exact"/>
              <w:ind w:left="104"/>
              <w:rPr>
                <w:sz w:val="20"/>
              </w:rPr>
            </w:pPr>
            <w:r>
              <w:rPr>
                <w:sz w:val="20"/>
              </w:rPr>
              <w:t>10 = Negative</w:t>
            </w:r>
          </w:p>
          <w:p>
            <w:pPr>
              <w:pStyle w:val="TableParagraph"/>
              <w:spacing w:before="1"/>
              <w:ind w:left="104"/>
              <w:rPr>
                <w:sz w:val="20"/>
              </w:rPr>
            </w:pPr>
            <w:r>
              <w:rPr>
                <w:sz w:val="20"/>
              </w:rPr>
              <w:t>11 = Auto chop (same as 00)</w:t>
            </w:r>
          </w:p>
        </w:tc>
      </w:tr>
      <w:tr>
        <w:trPr>
          <w:trHeight w:val="270" w:hRule="atLeast"/>
        </w:trPr>
        <w:tc>
          <w:tcPr>
            <w:tcW w:w="2254" w:type="dxa"/>
          </w:tcPr>
          <w:p>
            <w:pPr>
              <w:pStyle w:val="TableParagraph"/>
              <w:spacing w:before="12"/>
              <w:ind w:left="107"/>
              <w:rPr>
                <w:rFonts w:ascii="Times New Roman"/>
                <w:i/>
                <w:sz w:val="20"/>
              </w:rPr>
            </w:pPr>
            <w:r>
              <w:rPr>
                <w:rFonts w:ascii="Times New Roman"/>
                <w:i/>
                <w:sz w:val="20"/>
              </w:rPr>
              <w:t>DIFF0_E</w:t>
            </w:r>
          </w:p>
        </w:tc>
        <w:tc>
          <w:tcPr>
            <w:tcW w:w="1124" w:type="dxa"/>
          </w:tcPr>
          <w:p>
            <w:pPr>
              <w:pStyle w:val="TableParagraph"/>
              <w:spacing w:before="16"/>
              <w:ind w:left="5"/>
              <w:jc w:val="center"/>
              <w:rPr>
                <w:sz w:val="20"/>
              </w:rPr>
            </w:pPr>
            <w:r>
              <w:rPr>
                <w:sz w:val="20"/>
              </w:rPr>
              <w:t>210C[4]</w:t>
            </w:r>
          </w:p>
        </w:tc>
        <w:tc>
          <w:tcPr>
            <w:tcW w:w="344" w:type="dxa"/>
          </w:tcPr>
          <w:p>
            <w:pPr>
              <w:pStyle w:val="TableParagraph"/>
              <w:spacing w:before="16"/>
              <w:ind w:right="107"/>
              <w:jc w:val="right"/>
              <w:rPr>
                <w:sz w:val="20"/>
              </w:rPr>
            </w:pPr>
            <w:r>
              <w:rPr>
                <w:w w:val="99"/>
                <w:sz w:val="20"/>
              </w:rPr>
              <w:t>0</w:t>
            </w:r>
          </w:p>
        </w:tc>
        <w:tc>
          <w:tcPr>
            <w:tcW w:w="344" w:type="dxa"/>
          </w:tcPr>
          <w:p>
            <w:pPr>
              <w:pStyle w:val="TableParagraph"/>
              <w:spacing w:before="16"/>
              <w:ind w:left="2"/>
              <w:jc w:val="center"/>
              <w:rPr>
                <w:sz w:val="20"/>
              </w:rPr>
            </w:pPr>
            <w:r>
              <w:rPr>
                <w:w w:val="99"/>
                <w:sz w:val="20"/>
              </w:rPr>
              <w:t>0</w:t>
            </w:r>
          </w:p>
        </w:tc>
        <w:tc>
          <w:tcPr>
            <w:tcW w:w="620" w:type="dxa"/>
          </w:tcPr>
          <w:p>
            <w:pPr>
              <w:pStyle w:val="TableParagraph"/>
              <w:spacing w:before="16"/>
              <w:ind w:left="87" w:right="93"/>
              <w:jc w:val="center"/>
              <w:rPr>
                <w:sz w:val="20"/>
              </w:rPr>
            </w:pPr>
            <w:r>
              <w:rPr>
                <w:sz w:val="20"/>
              </w:rPr>
              <w:t>R/W</w:t>
            </w:r>
          </w:p>
        </w:tc>
        <w:tc>
          <w:tcPr>
            <w:tcW w:w="8020" w:type="dxa"/>
            <w:gridSpan w:val="5"/>
          </w:tcPr>
          <w:p>
            <w:pPr>
              <w:pStyle w:val="TableParagraph"/>
              <w:spacing w:before="16"/>
              <w:ind w:left="104"/>
              <w:rPr>
                <w:sz w:val="20"/>
              </w:rPr>
            </w:pPr>
            <w:r>
              <w:rPr>
                <w:sz w:val="20"/>
              </w:rPr>
              <w:t>Enables IADC0-IADC1 differential configuration.</w:t>
            </w:r>
          </w:p>
        </w:tc>
      </w:tr>
      <w:tr>
        <w:trPr>
          <w:trHeight w:val="268" w:hRule="atLeast"/>
        </w:trPr>
        <w:tc>
          <w:tcPr>
            <w:tcW w:w="2254" w:type="dxa"/>
          </w:tcPr>
          <w:p>
            <w:pPr>
              <w:pStyle w:val="TableParagraph"/>
              <w:spacing w:before="12"/>
              <w:ind w:left="107"/>
              <w:rPr>
                <w:rFonts w:ascii="Times New Roman"/>
                <w:i/>
                <w:sz w:val="20"/>
              </w:rPr>
            </w:pPr>
            <w:r>
              <w:rPr>
                <w:rFonts w:ascii="Times New Roman"/>
                <w:i/>
                <w:sz w:val="20"/>
              </w:rPr>
              <w:t>DIFF2_E</w:t>
            </w:r>
          </w:p>
        </w:tc>
        <w:tc>
          <w:tcPr>
            <w:tcW w:w="1124" w:type="dxa"/>
          </w:tcPr>
          <w:p>
            <w:pPr>
              <w:pStyle w:val="TableParagraph"/>
              <w:spacing w:before="16"/>
              <w:ind w:left="5"/>
              <w:jc w:val="center"/>
              <w:rPr>
                <w:sz w:val="20"/>
              </w:rPr>
            </w:pPr>
            <w:r>
              <w:rPr>
                <w:sz w:val="20"/>
              </w:rPr>
              <w:t>210C[5]</w:t>
            </w:r>
          </w:p>
        </w:tc>
        <w:tc>
          <w:tcPr>
            <w:tcW w:w="344" w:type="dxa"/>
          </w:tcPr>
          <w:p>
            <w:pPr>
              <w:pStyle w:val="TableParagraph"/>
              <w:spacing w:before="16"/>
              <w:ind w:right="107"/>
              <w:jc w:val="right"/>
              <w:rPr>
                <w:sz w:val="20"/>
              </w:rPr>
            </w:pPr>
            <w:r>
              <w:rPr>
                <w:w w:val="99"/>
                <w:sz w:val="20"/>
              </w:rPr>
              <w:t>0</w:t>
            </w:r>
          </w:p>
        </w:tc>
        <w:tc>
          <w:tcPr>
            <w:tcW w:w="344" w:type="dxa"/>
          </w:tcPr>
          <w:p>
            <w:pPr>
              <w:pStyle w:val="TableParagraph"/>
              <w:spacing w:before="16"/>
              <w:ind w:left="2"/>
              <w:jc w:val="center"/>
              <w:rPr>
                <w:sz w:val="20"/>
              </w:rPr>
            </w:pPr>
            <w:r>
              <w:rPr>
                <w:w w:val="99"/>
                <w:sz w:val="20"/>
              </w:rPr>
              <w:t>0</w:t>
            </w:r>
          </w:p>
        </w:tc>
        <w:tc>
          <w:tcPr>
            <w:tcW w:w="620" w:type="dxa"/>
          </w:tcPr>
          <w:p>
            <w:pPr>
              <w:pStyle w:val="TableParagraph"/>
              <w:spacing w:before="16"/>
              <w:ind w:left="87" w:right="93"/>
              <w:jc w:val="center"/>
              <w:rPr>
                <w:sz w:val="20"/>
              </w:rPr>
            </w:pPr>
            <w:r>
              <w:rPr>
                <w:sz w:val="20"/>
              </w:rPr>
              <w:t>R/W</w:t>
            </w:r>
          </w:p>
        </w:tc>
        <w:tc>
          <w:tcPr>
            <w:tcW w:w="8020" w:type="dxa"/>
            <w:gridSpan w:val="5"/>
          </w:tcPr>
          <w:p>
            <w:pPr>
              <w:pStyle w:val="TableParagraph"/>
              <w:spacing w:before="16"/>
              <w:ind w:left="104"/>
              <w:rPr>
                <w:sz w:val="20"/>
              </w:rPr>
            </w:pPr>
            <w:r>
              <w:rPr>
                <w:sz w:val="20"/>
              </w:rPr>
              <w:t>Enables IADC2-IADC3 differential configuration.</w:t>
            </w:r>
          </w:p>
        </w:tc>
      </w:tr>
      <w:tr>
        <w:trPr>
          <w:trHeight w:val="270" w:hRule="atLeast"/>
        </w:trPr>
        <w:tc>
          <w:tcPr>
            <w:tcW w:w="2254" w:type="dxa"/>
          </w:tcPr>
          <w:p>
            <w:pPr>
              <w:pStyle w:val="TableParagraph"/>
              <w:spacing w:before="14"/>
              <w:ind w:left="107"/>
              <w:rPr>
                <w:rFonts w:ascii="Times New Roman"/>
                <w:i/>
                <w:sz w:val="20"/>
              </w:rPr>
            </w:pPr>
            <w:r>
              <w:rPr>
                <w:rFonts w:ascii="Times New Roman"/>
                <w:i/>
                <w:sz w:val="20"/>
              </w:rPr>
              <w:t>DIFF4_E</w:t>
            </w:r>
          </w:p>
        </w:tc>
        <w:tc>
          <w:tcPr>
            <w:tcW w:w="1124" w:type="dxa"/>
          </w:tcPr>
          <w:p>
            <w:pPr>
              <w:pStyle w:val="TableParagraph"/>
              <w:spacing w:before="18"/>
              <w:ind w:left="5"/>
              <w:jc w:val="center"/>
              <w:rPr>
                <w:sz w:val="20"/>
              </w:rPr>
            </w:pPr>
            <w:r>
              <w:rPr>
                <w:sz w:val="20"/>
              </w:rPr>
              <w:t>210C[6]</w:t>
            </w:r>
          </w:p>
        </w:tc>
        <w:tc>
          <w:tcPr>
            <w:tcW w:w="344" w:type="dxa"/>
          </w:tcPr>
          <w:p>
            <w:pPr>
              <w:pStyle w:val="TableParagraph"/>
              <w:spacing w:before="18"/>
              <w:ind w:right="107"/>
              <w:jc w:val="right"/>
              <w:rPr>
                <w:sz w:val="20"/>
              </w:rPr>
            </w:pPr>
            <w:r>
              <w:rPr>
                <w:w w:val="99"/>
                <w:sz w:val="20"/>
              </w:rPr>
              <w:t>0</w:t>
            </w:r>
          </w:p>
        </w:tc>
        <w:tc>
          <w:tcPr>
            <w:tcW w:w="344" w:type="dxa"/>
          </w:tcPr>
          <w:p>
            <w:pPr>
              <w:pStyle w:val="TableParagraph"/>
              <w:spacing w:before="18"/>
              <w:ind w:left="2"/>
              <w:jc w:val="center"/>
              <w:rPr>
                <w:sz w:val="20"/>
              </w:rPr>
            </w:pPr>
            <w:r>
              <w:rPr>
                <w:w w:val="99"/>
                <w:sz w:val="20"/>
              </w:rPr>
              <w:t>0</w:t>
            </w:r>
          </w:p>
        </w:tc>
        <w:tc>
          <w:tcPr>
            <w:tcW w:w="620" w:type="dxa"/>
          </w:tcPr>
          <w:p>
            <w:pPr>
              <w:pStyle w:val="TableParagraph"/>
              <w:spacing w:before="18"/>
              <w:ind w:left="87" w:right="93"/>
              <w:jc w:val="center"/>
              <w:rPr>
                <w:sz w:val="20"/>
              </w:rPr>
            </w:pPr>
            <w:r>
              <w:rPr>
                <w:sz w:val="20"/>
              </w:rPr>
              <w:t>R/W</w:t>
            </w:r>
          </w:p>
        </w:tc>
        <w:tc>
          <w:tcPr>
            <w:tcW w:w="8020" w:type="dxa"/>
            <w:gridSpan w:val="5"/>
          </w:tcPr>
          <w:p>
            <w:pPr>
              <w:pStyle w:val="TableParagraph"/>
              <w:spacing w:before="18"/>
              <w:ind w:left="104"/>
              <w:rPr>
                <w:sz w:val="20"/>
              </w:rPr>
            </w:pPr>
            <w:r>
              <w:rPr>
                <w:sz w:val="20"/>
              </w:rPr>
              <w:t>Enables IADC4-IADC5 differential configuration.</w:t>
            </w:r>
          </w:p>
        </w:tc>
      </w:tr>
      <w:tr>
        <w:trPr>
          <w:trHeight w:val="270" w:hRule="atLeast"/>
        </w:trPr>
        <w:tc>
          <w:tcPr>
            <w:tcW w:w="2254" w:type="dxa"/>
          </w:tcPr>
          <w:p>
            <w:pPr>
              <w:pStyle w:val="TableParagraph"/>
              <w:spacing w:before="12"/>
              <w:ind w:left="107"/>
              <w:rPr>
                <w:rFonts w:ascii="Times New Roman"/>
                <w:i/>
                <w:sz w:val="20"/>
              </w:rPr>
            </w:pPr>
            <w:r>
              <w:rPr>
                <w:rFonts w:ascii="Times New Roman"/>
                <w:i/>
                <w:sz w:val="20"/>
              </w:rPr>
              <w:t>DIFF6_E</w:t>
            </w:r>
          </w:p>
        </w:tc>
        <w:tc>
          <w:tcPr>
            <w:tcW w:w="1124" w:type="dxa"/>
          </w:tcPr>
          <w:p>
            <w:pPr>
              <w:pStyle w:val="TableParagraph"/>
              <w:spacing w:before="16"/>
              <w:ind w:left="5"/>
              <w:jc w:val="center"/>
              <w:rPr>
                <w:sz w:val="20"/>
              </w:rPr>
            </w:pPr>
            <w:r>
              <w:rPr>
                <w:sz w:val="20"/>
              </w:rPr>
              <w:t>210C[7]</w:t>
            </w:r>
          </w:p>
        </w:tc>
        <w:tc>
          <w:tcPr>
            <w:tcW w:w="344" w:type="dxa"/>
          </w:tcPr>
          <w:p>
            <w:pPr>
              <w:pStyle w:val="TableParagraph"/>
              <w:spacing w:before="16"/>
              <w:ind w:right="107"/>
              <w:jc w:val="right"/>
              <w:rPr>
                <w:sz w:val="20"/>
              </w:rPr>
            </w:pPr>
            <w:r>
              <w:rPr>
                <w:w w:val="99"/>
                <w:sz w:val="20"/>
              </w:rPr>
              <w:t>0</w:t>
            </w:r>
          </w:p>
        </w:tc>
        <w:tc>
          <w:tcPr>
            <w:tcW w:w="344" w:type="dxa"/>
          </w:tcPr>
          <w:p>
            <w:pPr>
              <w:pStyle w:val="TableParagraph"/>
              <w:spacing w:before="16"/>
              <w:ind w:left="2"/>
              <w:jc w:val="center"/>
              <w:rPr>
                <w:sz w:val="20"/>
              </w:rPr>
            </w:pPr>
            <w:r>
              <w:rPr>
                <w:w w:val="99"/>
                <w:sz w:val="20"/>
              </w:rPr>
              <w:t>0</w:t>
            </w:r>
          </w:p>
        </w:tc>
        <w:tc>
          <w:tcPr>
            <w:tcW w:w="620" w:type="dxa"/>
          </w:tcPr>
          <w:p>
            <w:pPr>
              <w:pStyle w:val="TableParagraph"/>
              <w:spacing w:before="16"/>
              <w:ind w:left="87" w:right="93"/>
              <w:jc w:val="center"/>
              <w:rPr>
                <w:sz w:val="20"/>
              </w:rPr>
            </w:pPr>
            <w:r>
              <w:rPr>
                <w:sz w:val="20"/>
              </w:rPr>
              <w:t>R/W</w:t>
            </w:r>
          </w:p>
        </w:tc>
        <w:tc>
          <w:tcPr>
            <w:tcW w:w="8020" w:type="dxa"/>
            <w:gridSpan w:val="5"/>
          </w:tcPr>
          <w:p>
            <w:pPr>
              <w:pStyle w:val="TableParagraph"/>
              <w:spacing w:before="16"/>
              <w:ind w:left="104"/>
              <w:rPr>
                <w:sz w:val="20"/>
              </w:rPr>
            </w:pPr>
            <w:r>
              <w:rPr>
                <w:sz w:val="20"/>
              </w:rPr>
              <w:t>Enables IADC6-IADC7 differential configuration.</w:t>
            </w:r>
          </w:p>
        </w:tc>
      </w:tr>
      <w:tr>
        <w:trPr>
          <w:trHeight w:val="748" w:hRule="atLeast"/>
        </w:trPr>
        <w:tc>
          <w:tcPr>
            <w:tcW w:w="2254" w:type="dxa"/>
            <w:vMerge w:val="restart"/>
            <w:tcBorders>
              <w:bottom w:val="nil"/>
            </w:tcBorders>
            <w:shd w:val="clear" w:color="auto" w:fill="C1C1C1"/>
          </w:tcPr>
          <w:p>
            <w:pPr>
              <w:pStyle w:val="TableParagraph"/>
              <w:spacing w:line="240" w:lineRule="atLeast" w:before="38"/>
              <w:ind w:left="107" w:right="1036"/>
              <w:jc w:val="both"/>
              <w:rPr>
                <w:rFonts w:ascii="Times New Roman"/>
                <w:i/>
                <w:sz w:val="20"/>
              </w:rPr>
            </w:pPr>
            <w:r>
              <w:rPr>
                <w:rFonts w:ascii="Times New Roman"/>
                <w:i/>
                <w:w w:val="95"/>
                <w:sz w:val="20"/>
              </w:rPr>
              <w:t>DIO_R2[2:0] </w:t>
            </w:r>
            <w:r>
              <w:rPr>
                <w:rFonts w:ascii="Times New Roman"/>
                <w:i/>
                <w:w w:val="95"/>
                <w:sz w:val="20"/>
              </w:rPr>
              <w:t>DIO_R3[2:0] DIO_R4[2:0]</w:t>
            </w:r>
          </w:p>
        </w:tc>
        <w:tc>
          <w:tcPr>
            <w:tcW w:w="1124" w:type="dxa"/>
            <w:vMerge w:val="restart"/>
            <w:tcBorders>
              <w:bottom w:val="nil"/>
            </w:tcBorders>
            <w:shd w:val="clear" w:color="auto" w:fill="C1C1C1"/>
          </w:tcPr>
          <w:p>
            <w:pPr>
              <w:pStyle w:val="TableParagraph"/>
              <w:spacing w:before="45"/>
              <w:ind w:left="143"/>
              <w:rPr>
                <w:sz w:val="20"/>
              </w:rPr>
            </w:pPr>
            <w:r>
              <w:rPr>
                <w:sz w:val="20"/>
              </w:rPr>
              <w:t>2455[2:0]</w:t>
            </w:r>
          </w:p>
          <w:p>
            <w:pPr>
              <w:pStyle w:val="TableParagraph"/>
              <w:spacing w:before="10"/>
              <w:ind w:left="143"/>
              <w:rPr>
                <w:sz w:val="20"/>
              </w:rPr>
            </w:pPr>
            <w:r>
              <w:rPr>
                <w:sz w:val="20"/>
              </w:rPr>
              <w:t>2455[6:4]</w:t>
            </w:r>
          </w:p>
          <w:p>
            <w:pPr>
              <w:pStyle w:val="TableParagraph"/>
              <w:spacing w:line="217" w:lineRule="exact" w:before="10"/>
              <w:ind w:left="143"/>
              <w:rPr>
                <w:sz w:val="20"/>
              </w:rPr>
            </w:pPr>
            <w:r>
              <w:rPr>
                <w:sz w:val="20"/>
              </w:rPr>
              <w:t>2454[2:0]</w:t>
            </w:r>
          </w:p>
        </w:tc>
        <w:tc>
          <w:tcPr>
            <w:tcW w:w="344" w:type="dxa"/>
            <w:vMerge w:val="restart"/>
            <w:tcBorders>
              <w:bottom w:val="nil"/>
            </w:tcBorders>
            <w:shd w:val="clear" w:color="auto" w:fill="C1C1C1"/>
          </w:tcPr>
          <w:p>
            <w:pPr>
              <w:pStyle w:val="TableParagraph"/>
              <w:spacing w:before="52"/>
              <w:ind w:left="113"/>
              <w:rPr>
                <w:sz w:val="20"/>
              </w:rPr>
            </w:pPr>
            <w:r>
              <w:rPr>
                <w:w w:val="99"/>
                <w:sz w:val="20"/>
              </w:rPr>
              <w:t>0</w:t>
            </w:r>
          </w:p>
          <w:p>
            <w:pPr>
              <w:pStyle w:val="TableParagraph"/>
              <w:spacing w:before="10"/>
              <w:ind w:left="113"/>
              <w:rPr>
                <w:sz w:val="20"/>
              </w:rPr>
            </w:pPr>
            <w:r>
              <w:rPr>
                <w:w w:val="99"/>
                <w:sz w:val="20"/>
              </w:rPr>
              <w:t>0</w:t>
            </w:r>
          </w:p>
          <w:p>
            <w:pPr>
              <w:pStyle w:val="TableParagraph"/>
              <w:spacing w:line="210" w:lineRule="exact" w:before="10"/>
              <w:ind w:left="113"/>
              <w:rPr>
                <w:sz w:val="20"/>
              </w:rPr>
            </w:pPr>
            <w:r>
              <w:rPr>
                <w:w w:val="99"/>
                <w:sz w:val="20"/>
              </w:rPr>
              <w:t>0</w:t>
            </w:r>
          </w:p>
        </w:tc>
        <w:tc>
          <w:tcPr>
            <w:tcW w:w="344" w:type="dxa"/>
            <w:vMerge w:val="restart"/>
            <w:tcBorders>
              <w:bottom w:val="nil"/>
            </w:tcBorders>
            <w:shd w:val="clear" w:color="auto" w:fill="C1C1C1"/>
          </w:tcPr>
          <w:p>
            <w:pPr>
              <w:pStyle w:val="TableParagraph"/>
              <w:rPr>
                <w:rFonts w:ascii="Times New Roman"/>
                <w:sz w:val="18"/>
              </w:rPr>
            </w:pPr>
          </w:p>
        </w:tc>
        <w:tc>
          <w:tcPr>
            <w:tcW w:w="620" w:type="dxa"/>
            <w:vMerge w:val="restart"/>
            <w:tcBorders>
              <w:bottom w:val="nil"/>
            </w:tcBorders>
            <w:shd w:val="clear" w:color="auto" w:fill="C1C1C1"/>
          </w:tcPr>
          <w:p>
            <w:pPr>
              <w:pStyle w:val="TableParagraph"/>
              <w:rPr>
                <w:rFonts w:ascii="Times New Roman"/>
                <w:sz w:val="18"/>
              </w:rPr>
            </w:pPr>
          </w:p>
        </w:tc>
        <w:tc>
          <w:tcPr>
            <w:tcW w:w="8020" w:type="dxa"/>
            <w:gridSpan w:val="5"/>
            <w:tcBorders>
              <w:bottom w:val="nil"/>
            </w:tcBorders>
            <w:shd w:val="clear" w:color="auto" w:fill="C1C1C1"/>
          </w:tcPr>
          <w:p>
            <w:pPr>
              <w:pStyle w:val="TableParagraph"/>
              <w:spacing w:before="16"/>
              <w:ind w:left="104" w:right="149"/>
              <w:jc w:val="both"/>
              <w:rPr>
                <w:sz w:val="20"/>
              </w:rPr>
            </w:pPr>
            <w:r>
              <w:rPr>
                <w:sz w:val="20"/>
              </w:rPr>
              <w:t>Connects PB and dedicated I/O pins DIO2 through DIO11 to internal resources. If </w:t>
            </w:r>
            <w:r>
              <w:rPr>
                <w:spacing w:val="-3"/>
                <w:sz w:val="20"/>
              </w:rPr>
              <w:t>more than</w:t>
            </w:r>
            <w:r>
              <w:rPr>
                <w:spacing w:val="-10"/>
                <w:sz w:val="20"/>
              </w:rPr>
              <w:t> </w:t>
            </w:r>
            <w:r>
              <w:rPr>
                <w:sz w:val="20"/>
              </w:rPr>
              <w:t>one</w:t>
            </w:r>
            <w:r>
              <w:rPr>
                <w:spacing w:val="-9"/>
                <w:sz w:val="20"/>
              </w:rPr>
              <w:t> </w:t>
            </w:r>
            <w:r>
              <w:rPr>
                <w:spacing w:val="-3"/>
                <w:sz w:val="20"/>
              </w:rPr>
              <w:t>input</w:t>
            </w:r>
            <w:r>
              <w:rPr>
                <w:spacing w:val="-9"/>
                <w:sz w:val="20"/>
              </w:rPr>
              <w:t> </w:t>
            </w:r>
            <w:r>
              <w:rPr>
                <w:sz w:val="20"/>
              </w:rPr>
              <w:t>is</w:t>
            </w:r>
            <w:r>
              <w:rPr>
                <w:spacing w:val="-7"/>
                <w:sz w:val="20"/>
              </w:rPr>
              <w:t> </w:t>
            </w:r>
            <w:r>
              <w:rPr>
                <w:spacing w:val="-3"/>
                <w:sz w:val="20"/>
              </w:rPr>
              <w:t>connected</w:t>
            </w:r>
            <w:r>
              <w:rPr>
                <w:spacing w:val="-9"/>
                <w:sz w:val="20"/>
              </w:rPr>
              <w:t> </w:t>
            </w:r>
            <w:r>
              <w:rPr>
                <w:sz w:val="20"/>
              </w:rPr>
              <w:t>to</w:t>
            </w:r>
            <w:r>
              <w:rPr>
                <w:spacing w:val="-10"/>
                <w:sz w:val="20"/>
              </w:rPr>
              <w:t> </w:t>
            </w:r>
            <w:r>
              <w:rPr>
                <w:sz w:val="20"/>
              </w:rPr>
              <w:t>the</w:t>
            </w:r>
            <w:r>
              <w:rPr>
                <w:spacing w:val="-9"/>
                <w:sz w:val="20"/>
              </w:rPr>
              <w:t> </w:t>
            </w:r>
            <w:r>
              <w:rPr>
                <w:sz w:val="20"/>
              </w:rPr>
              <w:t>same</w:t>
            </w:r>
            <w:r>
              <w:rPr>
                <w:spacing w:val="-12"/>
                <w:sz w:val="20"/>
              </w:rPr>
              <w:t> </w:t>
            </w:r>
            <w:r>
              <w:rPr>
                <w:spacing w:val="-3"/>
                <w:sz w:val="20"/>
              </w:rPr>
              <w:t>resource,</w:t>
            </w:r>
            <w:r>
              <w:rPr>
                <w:spacing w:val="-9"/>
                <w:sz w:val="20"/>
              </w:rPr>
              <w:t> </w:t>
            </w:r>
            <w:r>
              <w:rPr>
                <w:sz w:val="20"/>
              </w:rPr>
              <w:t>the</w:t>
            </w:r>
            <w:r>
              <w:rPr>
                <w:spacing w:val="-9"/>
                <w:sz w:val="20"/>
              </w:rPr>
              <w:t> </w:t>
            </w:r>
            <w:r>
              <w:rPr>
                <w:spacing w:val="-3"/>
                <w:sz w:val="20"/>
              </w:rPr>
              <w:t>MULTIPLE</w:t>
            </w:r>
            <w:r>
              <w:rPr>
                <w:spacing w:val="-9"/>
                <w:sz w:val="20"/>
              </w:rPr>
              <w:t> </w:t>
            </w:r>
            <w:r>
              <w:rPr>
                <w:spacing w:val="-3"/>
                <w:sz w:val="20"/>
              </w:rPr>
              <w:t>column</w:t>
            </w:r>
            <w:r>
              <w:rPr>
                <w:spacing w:val="-6"/>
                <w:sz w:val="20"/>
              </w:rPr>
              <w:t> </w:t>
            </w:r>
            <w:r>
              <w:rPr>
                <w:sz w:val="20"/>
              </w:rPr>
              <w:t>below</w:t>
            </w:r>
            <w:r>
              <w:rPr>
                <w:spacing w:val="-4"/>
                <w:sz w:val="20"/>
              </w:rPr>
              <w:t> </w:t>
            </w:r>
            <w:r>
              <w:rPr>
                <w:sz w:val="20"/>
              </w:rPr>
              <w:t>specifies how they are</w:t>
            </w:r>
            <w:r>
              <w:rPr>
                <w:spacing w:val="-9"/>
                <w:sz w:val="20"/>
              </w:rPr>
              <w:t> </w:t>
            </w:r>
            <w:r>
              <w:rPr>
                <w:sz w:val="20"/>
              </w:rPr>
              <w:t>combined.</w:t>
            </w:r>
          </w:p>
        </w:tc>
      </w:tr>
      <w:tr>
        <w:trPr>
          <w:trHeight w:val="3" w:hRule="atLeast"/>
        </w:trPr>
        <w:tc>
          <w:tcPr>
            <w:tcW w:w="2254" w:type="dxa"/>
            <w:vMerge/>
            <w:tcBorders>
              <w:top w:val="nil"/>
              <w:bottom w:val="nil"/>
            </w:tcBorders>
            <w:shd w:val="clear" w:color="auto" w:fill="C1C1C1"/>
          </w:tcPr>
          <w:p>
            <w:pPr>
              <w:rPr>
                <w:sz w:val="2"/>
                <w:szCs w:val="2"/>
              </w:rPr>
            </w:pPr>
          </w:p>
        </w:tc>
        <w:tc>
          <w:tcPr>
            <w:tcW w:w="1124" w:type="dxa"/>
            <w:vMerge/>
            <w:tcBorders>
              <w:top w:val="nil"/>
              <w:bottom w:val="nil"/>
            </w:tcBorders>
            <w:shd w:val="clear" w:color="auto" w:fill="C1C1C1"/>
          </w:tcPr>
          <w:p>
            <w:pPr>
              <w:rPr>
                <w:sz w:val="2"/>
                <w:szCs w:val="2"/>
              </w:rPr>
            </w:pPr>
          </w:p>
        </w:tc>
        <w:tc>
          <w:tcPr>
            <w:tcW w:w="344" w:type="dxa"/>
            <w:vMerge/>
            <w:tcBorders>
              <w:top w:val="nil"/>
              <w:bottom w:val="nil"/>
            </w:tcBorders>
            <w:shd w:val="clear" w:color="auto" w:fill="C1C1C1"/>
          </w:tcPr>
          <w:p>
            <w:pPr>
              <w:rPr>
                <w:sz w:val="2"/>
                <w:szCs w:val="2"/>
              </w:rPr>
            </w:pPr>
          </w:p>
        </w:tc>
        <w:tc>
          <w:tcPr>
            <w:tcW w:w="344" w:type="dxa"/>
            <w:vMerge/>
            <w:tcBorders>
              <w:top w:val="nil"/>
              <w:bottom w:val="nil"/>
            </w:tcBorders>
            <w:shd w:val="clear" w:color="auto" w:fill="C1C1C1"/>
          </w:tcPr>
          <w:p>
            <w:pPr>
              <w:rPr>
                <w:sz w:val="2"/>
                <w:szCs w:val="2"/>
              </w:rPr>
            </w:pPr>
          </w:p>
        </w:tc>
        <w:tc>
          <w:tcPr>
            <w:tcW w:w="620" w:type="dxa"/>
            <w:vMerge/>
            <w:tcBorders>
              <w:top w:val="nil"/>
              <w:bottom w:val="nil"/>
            </w:tcBorders>
            <w:shd w:val="clear" w:color="auto" w:fill="C1C1C1"/>
          </w:tcPr>
          <w:p>
            <w:pPr>
              <w:rPr>
                <w:sz w:val="2"/>
                <w:szCs w:val="2"/>
              </w:rPr>
            </w:pPr>
          </w:p>
        </w:tc>
        <w:tc>
          <w:tcPr>
            <w:tcW w:w="114" w:type="dxa"/>
            <w:vMerge w:val="restart"/>
            <w:tcBorders>
              <w:top w:val="nil"/>
            </w:tcBorders>
            <w:shd w:val="clear" w:color="auto" w:fill="C1C1C1"/>
          </w:tcPr>
          <w:p>
            <w:pPr>
              <w:pStyle w:val="TableParagraph"/>
              <w:rPr>
                <w:rFonts w:ascii="Times New Roman"/>
                <w:sz w:val="18"/>
              </w:rPr>
            </w:pPr>
          </w:p>
        </w:tc>
        <w:tc>
          <w:tcPr>
            <w:tcW w:w="918" w:type="dxa"/>
            <w:vMerge w:val="restart"/>
            <w:shd w:val="clear" w:color="auto" w:fill="C1C1C1"/>
          </w:tcPr>
          <w:p>
            <w:pPr>
              <w:pStyle w:val="TableParagraph"/>
              <w:spacing w:before="19"/>
              <w:ind w:left="103"/>
              <w:rPr>
                <w:rFonts w:ascii="Times New Roman"/>
                <w:b/>
                <w:i/>
                <w:sz w:val="20"/>
              </w:rPr>
            </w:pPr>
            <w:r>
              <w:rPr>
                <w:rFonts w:ascii="Times New Roman"/>
                <w:b/>
                <w:i/>
                <w:sz w:val="20"/>
              </w:rPr>
              <w:t>DIO_Rx</w:t>
            </w:r>
          </w:p>
        </w:tc>
        <w:tc>
          <w:tcPr>
            <w:tcW w:w="3208" w:type="dxa"/>
            <w:vMerge w:val="restart"/>
            <w:shd w:val="clear" w:color="auto" w:fill="C1C1C1"/>
          </w:tcPr>
          <w:p>
            <w:pPr>
              <w:pStyle w:val="TableParagraph"/>
              <w:spacing w:before="16"/>
              <w:ind w:left="101"/>
              <w:rPr>
                <w:b/>
                <w:sz w:val="20"/>
              </w:rPr>
            </w:pPr>
            <w:r>
              <w:rPr>
                <w:b/>
                <w:sz w:val="20"/>
              </w:rPr>
              <w:t>Resource</w:t>
            </w:r>
          </w:p>
        </w:tc>
        <w:tc>
          <w:tcPr>
            <w:tcW w:w="1218" w:type="dxa"/>
            <w:vMerge w:val="restart"/>
            <w:shd w:val="clear" w:color="auto" w:fill="C1C1C1"/>
          </w:tcPr>
          <w:p>
            <w:pPr>
              <w:pStyle w:val="TableParagraph"/>
              <w:spacing w:before="16"/>
              <w:ind w:left="102"/>
              <w:rPr>
                <w:b/>
                <w:sz w:val="20"/>
              </w:rPr>
            </w:pPr>
            <w:r>
              <w:rPr>
                <w:b/>
                <w:sz w:val="20"/>
              </w:rPr>
              <w:t>MULTIPLE</w:t>
            </w:r>
          </w:p>
        </w:tc>
        <w:tc>
          <w:tcPr>
            <w:tcW w:w="2562" w:type="dxa"/>
            <w:vMerge w:val="restart"/>
            <w:tcBorders>
              <w:top w:val="nil"/>
            </w:tcBorders>
            <w:shd w:val="clear" w:color="auto" w:fill="C1C1C1"/>
          </w:tcPr>
          <w:p>
            <w:pPr>
              <w:pStyle w:val="TableParagraph"/>
              <w:rPr>
                <w:rFonts w:ascii="Times New Roman"/>
                <w:sz w:val="18"/>
              </w:rPr>
            </w:pPr>
          </w:p>
        </w:tc>
      </w:tr>
      <w:tr>
        <w:trPr>
          <w:trHeight w:val="230" w:hRule="atLeast"/>
        </w:trPr>
        <w:tc>
          <w:tcPr>
            <w:tcW w:w="2254" w:type="dxa"/>
            <w:tcBorders>
              <w:top w:val="nil"/>
              <w:bottom w:val="nil"/>
            </w:tcBorders>
            <w:shd w:val="clear" w:color="auto" w:fill="C1C1C1"/>
          </w:tcPr>
          <w:p>
            <w:pPr>
              <w:pStyle w:val="TableParagraph"/>
              <w:spacing w:line="210" w:lineRule="exact"/>
              <w:ind w:left="107"/>
              <w:rPr>
                <w:rFonts w:ascii="Times New Roman"/>
                <w:i/>
                <w:sz w:val="20"/>
              </w:rPr>
            </w:pPr>
            <w:r>
              <w:rPr>
                <w:rFonts w:ascii="Times New Roman"/>
                <w:i/>
                <w:sz w:val="20"/>
              </w:rPr>
              <w:t>DIO_R5[2:0]</w:t>
            </w:r>
          </w:p>
        </w:tc>
        <w:tc>
          <w:tcPr>
            <w:tcW w:w="1124" w:type="dxa"/>
            <w:tcBorders>
              <w:top w:val="nil"/>
              <w:bottom w:val="nil"/>
            </w:tcBorders>
            <w:shd w:val="clear" w:color="auto" w:fill="C1C1C1"/>
          </w:tcPr>
          <w:p>
            <w:pPr>
              <w:pStyle w:val="TableParagraph"/>
              <w:spacing w:line="210" w:lineRule="exact"/>
              <w:ind w:left="5"/>
              <w:jc w:val="center"/>
              <w:rPr>
                <w:sz w:val="20"/>
              </w:rPr>
            </w:pPr>
            <w:r>
              <w:rPr>
                <w:sz w:val="20"/>
              </w:rPr>
              <w:t>2454[6:4]</w:t>
            </w:r>
          </w:p>
        </w:tc>
        <w:tc>
          <w:tcPr>
            <w:tcW w:w="344" w:type="dxa"/>
            <w:tcBorders>
              <w:top w:val="nil"/>
              <w:bottom w:val="nil"/>
            </w:tcBorders>
            <w:shd w:val="clear" w:color="auto" w:fill="C1C1C1"/>
          </w:tcPr>
          <w:p>
            <w:pPr>
              <w:pStyle w:val="TableParagraph"/>
              <w:spacing w:line="210" w:lineRule="exact"/>
              <w:ind w:right="107"/>
              <w:jc w:val="right"/>
              <w:rPr>
                <w:sz w:val="20"/>
              </w:rPr>
            </w:pPr>
            <w:r>
              <w:rPr>
                <w:w w:val="99"/>
                <w:sz w:val="20"/>
              </w:rPr>
              <w:t>0</w:t>
            </w:r>
          </w:p>
        </w:tc>
        <w:tc>
          <w:tcPr>
            <w:tcW w:w="344" w:type="dxa"/>
            <w:tcBorders>
              <w:top w:val="nil"/>
              <w:bottom w:val="nil"/>
            </w:tcBorders>
            <w:shd w:val="clear" w:color="auto" w:fill="C1C1C1"/>
          </w:tcPr>
          <w:p>
            <w:pPr>
              <w:pStyle w:val="TableParagraph"/>
              <w:rPr>
                <w:rFonts w:ascii="Times New Roman"/>
                <w:sz w:val="16"/>
              </w:rPr>
            </w:pPr>
          </w:p>
        </w:tc>
        <w:tc>
          <w:tcPr>
            <w:tcW w:w="620" w:type="dxa"/>
            <w:tcBorders>
              <w:top w:val="nil"/>
              <w:bottom w:val="nil"/>
            </w:tcBorders>
            <w:shd w:val="clear" w:color="auto" w:fill="C1C1C1"/>
          </w:tcPr>
          <w:p>
            <w:pPr>
              <w:pStyle w:val="TableParagraph"/>
              <w:rPr>
                <w:rFonts w:ascii="Times New Roman"/>
                <w:sz w:val="16"/>
              </w:rPr>
            </w:pPr>
          </w:p>
        </w:tc>
        <w:tc>
          <w:tcPr>
            <w:tcW w:w="114" w:type="dxa"/>
            <w:vMerge/>
            <w:tcBorders>
              <w:top w:val="nil"/>
            </w:tcBorders>
            <w:shd w:val="clear" w:color="auto" w:fill="C1C1C1"/>
          </w:tcPr>
          <w:p>
            <w:pPr>
              <w:rPr>
                <w:sz w:val="2"/>
                <w:szCs w:val="2"/>
              </w:rPr>
            </w:pPr>
          </w:p>
        </w:tc>
        <w:tc>
          <w:tcPr>
            <w:tcW w:w="918" w:type="dxa"/>
            <w:vMerge/>
            <w:tcBorders>
              <w:top w:val="nil"/>
            </w:tcBorders>
            <w:shd w:val="clear" w:color="auto" w:fill="C1C1C1"/>
          </w:tcPr>
          <w:p>
            <w:pPr>
              <w:rPr>
                <w:sz w:val="2"/>
                <w:szCs w:val="2"/>
              </w:rPr>
            </w:pPr>
          </w:p>
        </w:tc>
        <w:tc>
          <w:tcPr>
            <w:tcW w:w="3208" w:type="dxa"/>
            <w:vMerge/>
            <w:tcBorders>
              <w:top w:val="nil"/>
            </w:tcBorders>
            <w:shd w:val="clear" w:color="auto" w:fill="C1C1C1"/>
          </w:tcPr>
          <w:p>
            <w:pPr>
              <w:rPr>
                <w:sz w:val="2"/>
                <w:szCs w:val="2"/>
              </w:rPr>
            </w:pPr>
          </w:p>
        </w:tc>
        <w:tc>
          <w:tcPr>
            <w:tcW w:w="1218" w:type="dxa"/>
            <w:vMerge/>
            <w:tcBorders>
              <w:top w:val="nil"/>
            </w:tcBorders>
            <w:shd w:val="clear" w:color="auto" w:fill="C1C1C1"/>
          </w:tcPr>
          <w:p>
            <w:pPr>
              <w:rPr>
                <w:sz w:val="2"/>
                <w:szCs w:val="2"/>
              </w:rPr>
            </w:pPr>
          </w:p>
        </w:tc>
        <w:tc>
          <w:tcPr>
            <w:tcW w:w="2562" w:type="dxa"/>
            <w:vMerge/>
            <w:tcBorders>
              <w:top w:val="nil"/>
            </w:tcBorders>
            <w:shd w:val="clear" w:color="auto" w:fill="C1C1C1"/>
          </w:tcPr>
          <w:p>
            <w:pPr>
              <w:rPr>
                <w:sz w:val="2"/>
                <w:szCs w:val="2"/>
              </w:rPr>
            </w:pPr>
          </w:p>
        </w:tc>
      </w:tr>
      <w:tr>
        <w:trPr>
          <w:trHeight w:val="17" w:hRule="atLeast"/>
        </w:trPr>
        <w:tc>
          <w:tcPr>
            <w:tcW w:w="2254" w:type="dxa"/>
            <w:vMerge w:val="restart"/>
            <w:tcBorders>
              <w:top w:val="nil"/>
              <w:bottom w:val="nil"/>
            </w:tcBorders>
            <w:shd w:val="clear" w:color="auto" w:fill="C1C1C1"/>
          </w:tcPr>
          <w:p>
            <w:pPr>
              <w:pStyle w:val="TableParagraph"/>
              <w:spacing w:line="210" w:lineRule="exact"/>
              <w:ind w:left="107"/>
              <w:rPr>
                <w:rFonts w:ascii="Times New Roman"/>
                <w:i/>
                <w:sz w:val="20"/>
              </w:rPr>
            </w:pPr>
            <w:r>
              <w:rPr>
                <w:rFonts w:ascii="Times New Roman"/>
                <w:i/>
                <w:sz w:val="20"/>
              </w:rPr>
              <w:t>DIO_R6[2:0]</w:t>
            </w:r>
          </w:p>
        </w:tc>
        <w:tc>
          <w:tcPr>
            <w:tcW w:w="1124" w:type="dxa"/>
            <w:vMerge w:val="restart"/>
            <w:tcBorders>
              <w:top w:val="nil"/>
              <w:bottom w:val="nil"/>
            </w:tcBorders>
            <w:shd w:val="clear" w:color="auto" w:fill="C1C1C1"/>
          </w:tcPr>
          <w:p>
            <w:pPr>
              <w:pStyle w:val="TableParagraph"/>
              <w:spacing w:line="210" w:lineRule="exact"/>
              <w:ind w:left="143"/>
              <w:rPr>
                <w:sz w:val="20"/>
              </w:rPr>
            </w:pPr>
            <w:r>
              <w:rPr>
                <w:sz w:val="20"/>
              </w:rPr>
              <w:t>2453[2:0]</w:t>
            </w:r>
          </w:p>
        </w:tc>
        <w:tc>
          <w:tcPr>
            <w:tcW w:w="344" w:type="dxa"/>
            <w:vMerge w:val="restart"/>
            <w:tcBorders>
              <w:top w:val="nil"/>
              <w:bottom w:val="nil"/>
            </w:tcBorders>
            <w:shd w:val="clear" w:color="auto" w:fill="C1C1C1"/>
          </w:tcPr>
          <w:p>
            <w:pPr>
              <w:pStyle w:val="TableParagraph"/>
              <w:spacing w:line="210" w:lineRule="exact"/>
              <w:ind w:left="113"/>
              <w:rPr>
                <w:sz w:val="20"/>
              </w:rPr>
            </w:pPr>
            <w:r>
              <w:rPr>
                <w:w w:val="99"/>
                <w:sz w:val="20"/>
              </w:rPr>
              <w:t>0</w:t>
            </w:r>
          </w:p>
        </w:tc>
        <w:tc>
          <w:tcPr>
            <w:tcW w:w="344" w:type="dxa"/>
            <w:vMerge w:val="restart"/>
            <w:tcBorders>
              <w:top w:val="nil"/>
              <w:bottom w:val="nil"/>
            </w:tcBorders>
            <w:shd w:val="clear" w:color="auto" w:fill="C1C1C1"/>
          </w:tcPr>
          <w:p>
            <w:pPr>
              <w:pStyle w:val="TableParagraph"/>
              <w:rPr>
                <w:rFonts w:ascii="Times New Roman"/>
                <w:sz w:val="16"/>
              </w:rPr>
            </w:pPr>
          </w:p>
        </w:tc>
        <w:tc>
          <w:tcPr>
            <w:tcW w:w="620" w:type="dxa"/>
            <w:vMerge w:val="restart"/>
            <w:tcBorders>
              <w:top w:val="nil"/>
              <w:bottom w:val="nil"/>
            </w:tcBorders>
            <w:shd w:val="clear" w:color="auto" w:fill="C1C1C1"/>
          </w:tcPr>
          <w:p>
            <w:pPr>
              <w:pStyle w:val="TableParagraph"/>
              <w:rPr>
                <w:rFonts w:ascii="Times New Roman"/>
                <w:sz w:val="16"/>
              </w:rPr>
            </w:pPr>
          </w:p>
        </w:tc>
        <w:tc>
          <w:tcPr>
            <w:tcW w:w="114" w:type="dxa"/>
            <w:vMerge/>
            <w:tcBorders>
              <w:top w:val="nil"/>
            </w:tcBorders>
            <w:shd w:val="clear" w:color="auto" w:fill="C1C1C1"/>
          </w:tcPr>
          <w:p>
            <w:pPr>
              <w:rPr>
                <w:sz w:val="2"/>
                <w:szCs w:val="2"/>
              </w:rPr>
            </w:pPr>
          </w:p>
        </w:tc>
        <w:tc>
          <w:tcPr>
            <w:tcW w:w="918" w:type="dxa"/>
            <w:vMerge/>
            <w:tcBorders>
              <w:top w:val="nil"/>
            </w:tcBorders>
            <w:shd w:val="clear" w:color="auto" w:fill="C1C1C1"/>
          </w:tcPr>
          <w:p>
            <w:pPr>
              <w:rPr>
                <w:sz w:val="2"/>
                <w:szCs w:val="2"/>
              </w:rPr>
            </w:pPr>
          </w:p>
        </w:tc>
        <w:tc>
          <w:tcPr>
            <w:tcW w:w="3208" w:type="dxa"/>
            <w:vMerge/>
            <w:tcBorders>
              <w:top w:val="nil"/>
            </w:tcBorders>
            <w:shd w:val="clear" w:color="auto" w:fill="C1C1C1"/>
          </w:tcPr>
          <w:p>
            <w:pPr>
              <w:rPr>
                <w:sz w:val="2"/>
                <w:szCs w:val="2"/>
              </w:rPr>
            </w:pPr>
          </w:p>
        </w:tc>
        <w:tc>
          <w:tcPr>
            <w:tcW w:w="1218" w:type="dxa"/>
            <w:vMerge/>
            <w:tcBorders>
              <w:top w:val="nil"/>
            </w:tcBorders>
            <w:shd w:val="clear" w:color="auto" w:fill="C1C1C1"/>
          </w:tcPr>
          <w:p>
            <w:pPr>
              <w:rPr>
                <w:sz w:val="2"/>
                <w:szCs w:val="2"/>
              </w:rPr>
            </w:pPr>
          </w:p>
        </w:tc>
        <w:tc>
          <w:tcPr>
            <w:tcW w:w="2562" w:type="dxa"/>
            <w:vMerge/>
            <w:tcBorders>
              <w:top w:val="nil"/>
            </w:tcBorders>
            <w:shd w:val="clear" w:color="auto" w:fill="C1C1C1"/>
          </w:tcPr>
          <w:p>
            <w:pPr>
              <w:rPr>
                <w:sz w:val="2"/>
                <w:szCs w:val="2"/>
              </w:rPr>
            </w:pPr>
          </w:p>
        </w:tc>
      </w:tr>
      <w:tr>
        <w:trPr>
          <w:trHeight w:val="202" w:hRule="atLeast"/>
        </w:trPr>
        <w:tc>
          <w:tcPr>
            <w:tcW w:w="2254" w:type="dxa"/>
            <w:vMerge/>
            <w:tcBorders>
              <w:top w:val="nil"/>
              <w:bottom w:val="nil"/>
            </w:tcBorders>
            <w:shd w:val="clear" w:color="auto" w:fill="C1C1C1"/>
          </w:tcPr>
          <w:p>
            <w:pPr>
              <w:rPr>
                <w:sz w:val="2"/>
                <w:szCs w:val="2"/>
              </w:rPr>
            </w:pPr>
          </w:p>
        </w:tc>
        <w:tc>
          <w:tcPr>
            <w:tcW w:w="1124" w:type="dxa"/>
            <w:vMerge/>
            <w:tcBorders>
              <w:top w:val="nil"/>
              <w:bottom w:val="nil"/>
            </w:tcBorders>
            <w:shd w:val="clear" w:color="auto" w:fill="C1C1C1"/>
          </w:tcPr>
          <w:p>
            <w:pPr>
              <w:rPr>
                <w:sz w:val="2"/>
                <w:szCs w:val="2"/>
              </w:rPr>
            </w:pPr>
          </w:p>
        </w:tc>
        <w:tc>
          <w:tcPr>
            <w:tcW w:w="344" w:type="dxa"/>
            <w:vMerge/>
            <w:tcBorders>
              <w:top w:val="nil"/>
              <w:bottom w:val="nil"/>
            </w:tcBorders>
            <w:shd w:val="clear" w:color="auto" w:fill="C1C1C1"/>
          </w:tcPr>
          <w:p>
            <w:pPr>
              <w:rPr>
                <w:sz w:val="2"/>
                <w:szCs w:val="2"/>
              </w:rPr>
            </w:pPr>
          </w:p>
        </w:tc>
        <w:tc>
          <w:tcPr>
            <w:tcW w:w="344" w:type="dxa"/>
            <w:vMerge/>
            <w:tcBorders>
              <w:top w:val="nil"/>
              <w:bottom w:val="nil"/>
            </w:tcBorders>
            <w:shd w:val="clear" w:color="auto" w:fill="C1C1C1"/>
          </w:tcPr>
          <w:p>
            <w:pPr>
              <w:rPr>
                <w:sz w:val="2"/>
                <w:szCs w:val="2"/>
              </w:rPr>
            </w:pPr>
          </w:p>
        </w:tc>
        <w:tc>
          <w:tcPr>
            <w:tcW w:w="620" w:type="dxa"/>
            <w:vMerge/>
            <w:tcBorders>
              <w:top w:val="nil"/>
              <w:bottom w:val="nil"/>
            </w:tcBorders>
            <w:shd w:val="clear" w:color="auto" w:fill="C1C1C1"/>
          </w:tcPr>
          <w:p>
            <w:pPr>
              <w:rPr>
                <w:sz w:val="2"/>
                <w:szCs w:val="2"/>
              </w:rPr>
            </w:pPr>
          </w:p>
        </w:tc>
        <w:tc>
          <w:tcPr>
            <w:tcW w:w="114" w:type="dxa"/>
            <w:vMerge/>
            <w:tcBorders>
              <w:top w:val="nil"/>
            </w:tcBorders>
            <w:shd w:val="clear" w:color="auto" w:fill="C1C1C1"/>
          </w:tcPr>
          <w:p>
            <w:pPr>
              <w:rPr>
                <w:sz w:val="2"/>
                <w:szCs w:val="2"/>
              </w:rPr>
            </w:pPr>
          </w:p>
        </w:tc>
        <w:tc>
          <w:tcPr>
            <w:tcW w:w="918" w:type="dxa"/>
            <w:vMerge w:val="restart"/>
            <w:shd w:val="clear" w:color="auto" w:fill="C1C1C1"/>
          </w:tcPr>
          <w:p>
            <w:pPr>
              <w:pStyle w:val="TableParagraph"/>
              <w:spacing w:before="18"/>
              <w:jc w:val="center"/>
              <w:rPr>
                <w:sz w:val="20"/>
              </w:rPr>
            </w:pPr>
            <w:r>
              <w:rPr>
                <w:w w:val="99"/>
                <w:sz w:val="20"/>
              </w:rPr>
              <w:t>0</w:t>
            </w:r>
          </w:p>
        </w:tc>
        <w:tc>
          <w:tcPr>
            <w:tcW w:w="3208" w:type="dxa"/>
            <w:vMerge w:val="restart"/>
            <w:shd w:val="clear" w:color="auto" w:fill="C1C1C1"/>
          </w:tcPr>
          <w:p>
            <w:pPr>
              <w:pStyle w:val="TableParagraph"/>
              <w:spacing w:before="18"/>
              <w:ind w:left="101"/>
              <w:rPr>
                <w:sz w:val="20"/>
              </w:rPr>
            </w:pPr>
            <w:r>
              <w:rPr>
                <w:sz w:val="20"/>
              </w:rPr>
              <w:t>NONE</w:t>
            </w:r>
          </w:p>
        </w:tc>
        <w:tc>
          <w:tcPr>
            <w:tcW w:w="1218" w:type="dxa"/>
            <w:vMerge w:val="restart"/>
            <w:shd w:val="clear" w:color="auto" w:fill="C1C1C1"/>
          </w:tcPr>
          <w:p>
            <w:pPr>
              <w:pStyle w:val="TableParagraph"/>
              <w:spacing w:before="18"/>
              <w:ind w:right="2"/>
              <w:jc w:val="center"/>
              <w:rPr>
                <w:sz w:val="20"/>
              </w:rPr>
            </w:pPr>
            <w:r>
              <w:rPr>
                <w:w w:val="99"/>
                <w:sz w:val="20"/>
              </w:rPr>
              <w:t>–</w:t>
            </w:r>
          </w:p>
        </w:tc>
        <w:tc>
          <w:tcPr>
            <w:tcW w:w="2562" w:type="dxa"/>
            <w:vMerge/>
            <w:tcBorders>
              <w:top w:val="nil"/>
            </w:tcBorders>
            <w:shd w:val="clear" w:color="auto" w:fill="C1C1C1"/>
          </w:tcPr>
          <w:p>
            <w:pPr>
              <w:rPr>
                <w:sz w:val="2"/>
                <w:szCs w:val="2"/>
              </w:rPr>
            </w:pPr>
          </w:p>
        </w:tc>
      </w:tr>
      <w:tr>
        <w:trPr>
          <w:trHeight w:val="55" w:hRule="atLeast"/>
        </w:trPr>
        <w:tc>
          <w:tcPr>
            <w:tcW w:w="2254" w:type="dxa"/>
            <w:vMerge w:val="restart"/>
            <w:tcBorders>
              <w:top w:val="nil"/>
              <w:bottom w:val="nil"/>
            </w:tcBorders>
            <w:shd w:val="clear" w:color="auto" w:fill="C1C1C1"/>
          </w:tcPr>
          <w:p>
            <w:pPr>
              <w:pStyle w:val="TableParagraph"/>
              <w:spacing w:line="210" w:lineRule="exact"/>
              <w:ind w:left="107"/>
              <w:rPr>
                <w:rFonts w:ascii="Times New Roman"/>
                <w:i/>
                <w:sz w:val="20"/>
              </w:rPr>
            </w:pPr>
            <w:r>
              <w:rPr>
                <w:rFonts w:ascii="Times New Roman"/>
                <w:i/>
                <w:sz w:val="20"/>
              </w:rPr>
              <w:t>DIO_R7[2:0]</w:t>
            </w:r>
          </w:p>
        </w:tc>
        <w:tc>
          <w:tcPr>
            <w:tcW w:w="1124" w:type="dxa"/>
            <w:vMerge w:val="restart"/>
            <w:tcBorders>
              <w:top w:val="nil"/>
              <w:bottom w:val="nil"/>
            </w:tcBorders>
            <w:shd w:val="clear" w:color="auto" w:fill="C1C1C1"/>
          </w:tcPr>
          <w:p>
            <w:pPr>
              <w:pStyle w:val="TableParagraph"/>
              <w:spacing w:line="210" w:lineRule="exact"/>
              <w:ind w:left="143"/>
              <w:rPr>
                <w:sz w:val="20"/>
              </w:rPr>
            </w:pPr>
            <w:r>
              <w:rPr>
                <w:sz w:val="20"/>
              </w:rPr>
              <w:t>2453[6:4]</w:t>
            </w:r>
          </w:p>
        </w:tc>
        <w:tc>
          <w:tcPr>
            <w:tcW w:w="344" w:type="dxa"/>
            <w:vMerge w:val="restart"/>
            <w:tcBorders>
              <w:top w:val="nil"/>
              <w:bottom w:val="nil"/>
            </w:tcBorders>
            <w:shd w:val="clear" w:color="auto" w:fill="C1C1C1"/>
          </w:tcPr>
          <w:p>
            <w:pPr>
              <w:pStyle w:val="TableParagraph"/>
              <w:spacing w:line="210" w:lineRule="exact"/>
              <w:ind w:left="113"/>
              <w:rPr>
                <w:sz w:val="20"/>
              </w:rPr>
            </w:pPr>
            <w:r>
              <w:rPr>
                <w:w w:val="99"/>
                <w:sz w:val="20"/>
              </w:rPr>
              <w:t>0</w:t>
            </w:r>
          </w:p>
        </w:tc>
        <w:tc>
          <w:tcPr>
            <w:tcW w:w="344" w:type="dxa"/>
            <w:vMerge w:val="restart"/>
            <w:tcBorders>
              <w:top w:val="nil"/>
              <w:bottom w:val="nil"/>
            </w:tcBorders>
            <w:shd w:val="clear" w:color="auto" w:fill="C1C1C1"/>
          </w:tcPr>
          <w:p>
            <w:pPr>
              <w:pStyle w:val="TableParagraph"/>
              <w:spacing w:line="210" w:lineRule="exact"/>
              <w:ind w:left="113"/>
              <w:rPr>
                <w:sz w:val="20"/>
              </w:rPr>
            </w:pPr>
            <w:r>
              <w:rPr>
                <w:w w:val="99"/>
                <w:sz w:val="20"/>
              </w:rPr>
              <w:t>–</w:t>
            </w:r>
          </w:p>
        </w:tc>
        <w:tc>
          <w:tcPr>
            <w:tcW w:w="620" w:type="dxa"/>
            <w:vMerge w:val="restart"/>
            <w:tcBorders>
              <w:top w:val="nil"/>
              <w:bottom w:val="nil"/>
            </w:tcBorders>
            <w:shd w:val="clear" w:color="auto" w:fill="C1C1C1"/>
          </w:tcPr>
          <w:p>
            <w:pPr>
              <w:pStyle w:val="TableParagraph"/>
              <w:spacing w:line="210" w:lineRule="exact"/>
              <w:ind w:left="112"/>
              <w:rPr>
                <w:sz w:val="20"/>
              </w:rPr>
            </w:pPr>
            <w:r>
              <w:rPr>
                <w:sz w:val="20"/>
              </w:rPr>
              <w:t>R/W</w:t>
            </w:r>
          </w:p>
        </w:tc>
        <w:tc>
          <w:tcPr>
            <w:tcW w:w="114" w:type="dxa"/>
            <w:vMerge/>
            <w:tcBorders>
              <w:top w:val="nil"/>
            </w:tcBorders>
            <w:shd w:val="clear" w:color="auto" w:fill="C1C1C1"/>
          </w:tcPr>
          <w:p>
            <w:pPr>
              <w:rPr>
                <w:sz w:val="2"/>
                <w:szCs w:val="2"/>
              </w:rPr>
            </w:pPr>
          </w:p>
        </w:tc>
        <w:tc>
          <w:tcPr>
            <w:tcW w:w="918" w:type="dxa"/>
            <w:vMerge/>
            <w:tcBorders>
              <w:top w:val="nil"/>
            </w:tcBorders>
            <w:shd w:val="clear" w:color="auto" w:fill="C1C1C1"/>
          </w:tcPr>
          <w:p>
            <w:pPr>
              <w:rPr>
                <w:sz w:val="2"/>
                <w:szCs w:val="2"/>
              </w:rPr>
            </w:pPr>
          </w:p>
        </w:tc>
        <w:tc>
          <w:tcPr>
            <w:tcW w:w="3208" w:type="dxa"/>
            <w:vMerge/>
            <w:tcBorders>
              <w:top w:val="nil"/>
            </w:tcBorders>
            <w:shd w:val="clear" w:color="auto" w:fill="C1C1C1"/>
          </w:tcPr>
          <w:p>
            <w:pPr>
              <w:rPr>
                <w:sz w:val="2"/>
                <w:szCs w:val="2"/>
              </w:rPr>
            </w:pPr>
          </w:p>
        </w:tc>
        <w:tc>
          <w:tcPr>
            <w:tcW w:w="1218" w:type="dxa"/>
            <w:vMerge/>
            <w:tcBorders>
              <w:top w:val="nil"/>
            </w:tcBorders>
            <w:shd w:val="clear" w:color="auto" w:fill="C1C1C1"/>
          </w:tcPr>
          <w:p>
            <w:pPr>
              <w:rPr>
                <w:sz w:val="2"/>
                <w:szCs w:val="2"/>
              </w:rPr>
            </w:pPr>
          </w:p>
        </w:tc>
        <w:tc>
          <w:tcPr>
            <w:tcW w:w="2562" w:type="dxa"/>
            <w:vMerge/>
            <w:tcBorders>
              <w:top w:val="nil"/>
            </w:tcBorders>
            <w:shd w:val="clear" w:color="auto" w:fill="C1C1C1"/>
          </w:tcPr>
          <w:p>
            <w:pPr>
              <w:rPr>
                <w:sz w:val="2"/>
                <w:szCs w:val="2"/>
              </w:rPr>
            </w:pPr>
          </w:p>
        </w:tc>
      </w:tr>
      <w:tr>
        <w:trPr>
          <w:trHeight w:val="164" w:hRule="atLeast"/>
        </w:trPr>
        <w:tc>
          <w:tcPr>
            <w:tcW w:w="2254" w:type="dxa"/>
            <w:vMerge/>
            <w:tcBorders>
              <w:top w:val="nil"/>
              <w:bottom w:val="nil"/>
            </w:tcBorders>
            <w:shd w:val="clear" w:color="auto" w:fill="C1C1C1"/>
          </w:tcPr>
          <w:p>
            <w:pPr>
              <w:rPr>
                <w:sz w:val="2"/>
                <w:szCs w:val="2"/>
              </w:rPr>
            </w:pPr>
          </w:p>
        </w:tc>
        <w:tc>
          <w:tcPr>
            <w:tcW w:w="1124" w:type="dxa"/>
            <w:vMerge/>
            <w:tcBorders>
              <w:top w:val="nil"/>
              <w:bottom w:val="nil"/>
            </w:tcBorders>
            <w:shd w:val="clear" w:color="auto" w:fill="C1C1C1"/>
          </w:tcPr>
          <w:p>
            <w:pPr>
              <w:rPr>
                <w:sz w:val="2"/>
                <w:szCs w:val="2"/>
              </w:rPr>
            </w:pPr>
          </w:p>
        </w:tc>
        <w:tc>
          <w:tcPr>
            <w:tcW w:w="344" w:type="dxa"/>
            <w:vMerge/>
            <w:tcBorders>
              <w:top w:val="nil"/>
              <w:bottom w:val="nil"/>
            </w:tcBorders>
            <w:shd w:val="clear" w:color="auto" w:fill="C1C1C1"/>
          </w:tcPr>
          <w:p>
            <w:pPr>
              <w:rPr>
                <w:sz w:val="2"/>
                <w:szCs w:val="2"/>
              </w:rPr>
            </w:pPr>
          </w:p>
        </w:tc>
        <w:tc>
          <w:tcPr>
            <w:tcW w:w="344" w:type="dxa"/>
            <w:vMerge/>
            <w:tcBorders>
              <w:top w:val="nil"/>
              <w:bottom w:val="nil"/>
            </w:tcBorders>
            <w:shd w:val="clear" w:color="auto" w:fill="C1C1C1"/>
          </w:tcPr>
          <w:p>
            <w:pPr>
              <w:rPr>
                <w:sz w:val="2"/>
                <w:szCs w:val="2"/>
              </w:rPr>
            </w:pPr>
          </w:p>
        </w:tc>
        <w:tc>
          <w:tcPr>
            <w:tcW w:w="620" w:type="dxa"/>
            <w:vMerge/>
            <w:tcBorders>
              <w:top w:val="nil"/>
              <w:bottom w:val="nil"/>
            </w:tcBorders>
            <w:shd w:val="clear" w:color="auto" w:fill="C1C1C1"/>
          </w:tcPr>
          <w:p>
            <w:pPr>
              <w:rPr>
                <w:sz w:val="2"/>
                <w:szCs w:val="2"/>
              </w:rPr>
            </w:pPr>
          </w:p>
        </w:tc>
        <w:tc>
          <w:tcPr>
            <w:tcW w:w="114" w:type="dxa"/>
            <w:vMerge/>
            <w:tcBorders>
              <w:top w:val="nil"/>
            </w:tcBorders>
            <w:shd w:val="clear" w:color="auto" w:fill="C1C1C1"/>
          </w:tcPr>
          <w:p>
            <w:pPr>
              <w:rPr>
                <w:sz w:val="2"/>
                <w:szCs w:val="2"/>
              </w:rPr>
            </w:pPr>
          </w:p>
        </w:tc>
        <w:tc>
          <w:tcPr>
            <w:tcW w:w="918" w:type="dxa"/>
            <w:vMerge w:val="restart"/>
            <w:shd w:val="clear" w:color="auto" w:fill="C1C1C1"/>
          </w:tcPr>
          <w:p>
            <w:pPr>
              <w:pStyle w:val="TableParagraph"/>
              <w:spacing w:before="21"/>
              <w:jc w:val="center"/>
              <w:rPr>
                <w:sz w:val="20"/>
              </w:rPr>
            </w:pPr>
            <w:r>
              <w:rPr>
                <w:w w:val="99"/>
                <w:sz w:val="20"/>
              </w:rPr>
              <w:t>1</w:t>
            </w:r>
          </w:p>
        </w:tc>
        <w:tc>
          <w:tcPr>
            <w:tcW w:w="3208" w:type="dxa"/>
            <w:vMerge w:val="restart"/>
            <w:shd w:val="clear" w:color="auto" w:fill="C1C1C1"/>
          </w:tcPr>
          <w:p>
            <w:pPr>
              <w:pStyle w:val="TableParagraph"/>
              <w:spacing w:before="21"/>
              <w:ind w:left="101"/>
              <w:rPr>
                <w:sz w:val="20"/>
              </w:rPr>
            </w:pPr>
            <w:r>
              <w:rPr>
                <w:sz w:val="20"/>
              </w:rPr>
              <w:t>Reserved</w:t>
            </w:r>
          </w:p>
        </w:tc>
        <w:tc>
          <w:tcPr>
            <w:tcW w:w="1218" w:type="dxa"/>
            <w:vMerge w:val="restart"/>
            <w:shd w:val="clear" w:color="auto" w:fill="C1C1C1"/>
          </w:tcPr>
          <w:p>
            <w:pPr>
              <w:pStyle w:val="TableParagraph"/>
              <w:spacing w:before="21"/>
              <w:ind w:left="433" w:right="434"/>
              <w:jc w:val="center"/>
              <w:rPr>
                <w:sz w:val="20"/>
              </w:rPr>
            </w:pPr>
            <w:r>
              <w:rPr>
                <w:sz w:val="20"/>
              </w:rPr>
              <w:t>OR</w:t>
            </w:r>
          </w:p>
        </w:tc>
        <w:tc>
          <w:tcPr>
            <w:tcW w:w="2562" w:type="dxa"/>
            <w:vMerge/>
            <w:tcBorders>
              <w:top w:val="nil"/>
            </w:tcBorders>
            <w:shd w:val="clear" w:color="auto" w:fill="C1C1C1"/>
          </w:tcPr>
          <w:p>
            <w:pPr>
              <w:rPr>
                <w:sz w:val="2"/>
                <w:szCs w:val="2"/>
              </w:rPr>
            </w:pPr>
          </w:p>
        </w:tc>
      </w:tr>
      <w:tr>
        <w:trPr>
          <w:trHeight w:val="96" w:hRule="atLeast"/>
        </w:trPr>
        <w:tc>
          <w:tcPr>
            <w:tcW w:w="2254" w:type="dxa"/>
            <w:vMerge w:val="restart"/>
            <w:tcBorders>
              <w:top w:val="nil"/>
              <w:bottom w:val="nil"/>
            </w:tcBorders>
            <w:shd w:val="clear" w:color="auto" w:fill="C1C1C1"/>
          </w:tcPr>
          <w:p>
            <w:pPr>
              <w:pStyle w:val="TableParagraph"/>
              <w:spacing w:line="210" w:lineRule="exact"/>
              <w:ind w:left="107"/>
              <w:rPr>
                <w:rFonts w:ascii="Times New Roman"/>
                <w:i/>
                <w:sz w:val="20"/>
              </w:rPr>
            </w:pPr>
            <w:r>
              <w:rPr>
                <w:rFonts w:ascii="Times New Roman"/>
                <w:i/>
                <w:sz w:val="20"/>
              </w:rPr>
              <w:t>DIO_R8[2:0]</w:t>
            </w:r>
          </w:p>
        </w:tc>
        <w:tc>
          <w:tcPr>
            <w:tcW w:w="1124" w:type="dxa"/>
            <w:vMerge w:val="restart"/>
            <w:tcBorders>
              <w:top w:val="nil"/>
              <w:bottom w:val="nil"/>
            </w:tcBorders>
            <w:shd w:val="clear" w:color="auto" w:fill="C1C1C1"/>
          </w:tcPr>
          <w:p>
            <w:pPr>
              <w:pStyle w:val="TableParagraph"/>
              <w:spacing w:line="210" w:lineRule="exact"/>
              <w:ind w:left="143"/>
              <w:rPr>
                <w:sz w:val="20"/>
              </w:rPr>
            </w:pPr>
            <w:r>
              <w:rPr>
                <w:sz w:val="20"/>
              </w:rPr>
              <w:t>2452[2:0]</w:t>
            </w:r>
          </w:p>
        </w:tc>
        <w:tc>
          <w:tcPr>
            <w:tcW w:w="344" w:type="dxa"/>
            <w:vMerge w:val="restart"/>
            <w:tcBorders>
              <w:top w:val="nil"/>
              <w:bottom w:val="nil"/>
            </w:tcBorders>
            <w:shd w:val="clear" w:color="auto" w:fill="C1C1C1"/>
          </w:tcPr>
          <w:p>
            <w:pPr>
              <w:pStyle w:val="TableParagraph"/>
              <w:spacing w:line="210" w:lineRule="exact"/>
              <w:ind w:left="113"/>
              <w:rPr>
                <w:sz w:val="20"/>
              </w:rPr>
            </w:pPr>
            <w:r>
              <w:rPr>
                <w:w w:val="99"/>
                <w:sz w:val="20"/>
              </w:rPr>
              <w:t>0</w:t>
            </w:r>
          </w:p>
        </w:tc>
        <w:tc>
          <w:tcPr>
            <w:tcW w:w="344" w:type="dxa"/>
            <w:vMerge w:val="restart"/>
            <w:tcBorders>
              <w:top w:val="nil"/>
              <w:bottom w:val="nil"/>
            </w:tcBorders>
            <w:shd w:val="clear" w:color="auto" w:fill="C1C1C1"/>
          </w:tcPr>
          <w:p>
            <w:pPr>
              <w:pStyle w:val="TableParagraph"/>
              <w:rPr>
                <w:rFonts w:ascii="Times New Roman"/>
                <w:sz w:val="16"/>
              </w:rPr>
            </w:pPr>
          </w:p>
        </w:tc>
        <w:tc>
          <w:tcPr>
            <w:tcW w:w="620" w:type="dxa"/>
            <w:vMerge w:val="restart"/>
            <w:tcBorders>
              <w:top w:val="nil"/>
              <w:bottom w:val="nil"/>
            </w:tcBorders>
            <w:shd w:val="clear" w:color="auto" w:fill="C1C1C1"/>
          </w:tcPr>
          <w:p>
            <w:pPr>
              <w:pStyle w:val="TableParagraph"/>
              <w:rPr>
                <w:rFonts w:ascii="Times New Roman"/>
                <w:sz w:val="16"/>
              </w:rPr>
            </w:pPr>
          </w:p>
        </w:tc>
        <w:tc>
          <w:tcPr>
            <w:tcW w:w="114" w:type="dxa"/>
            <w:vMerge/>
            <w:tcBorders>
              <w:top w:val="nil"/>
            </w:tcBorders>
            <w:shd w:val="clear" w:color="auto" w:fill="C1C1C1"/>
          </w:tcPr>
          <w:p>
            <w:pPr>
              <w:rPr>
                <w:sz w:val="2"/>
                <w:szCs w:val="2"/>
              </w:rPr>
            </w:pPr>
          </w:p>
        </w:tc>
        <w:tc>
          <w:tcPr>
            <w:tcW w:w="918" w:type="dxa"/>
            <w:vMerge/>
            <w:tcBorders>
              <w:top w:val="nil"/>
            </w:tcBorders>
            <w:shd w:val="clear" w:color="auto" w:fill="C1C1C1"/>
          </w:tcPr>
          <w:p>
            <w:pPr>
              <w:rPr>
                <w:sz w:val="2"/>
                <w:szCs w:val="2"/>
              </w:rPr>
            </w:pPr>
          </w:p>
        </w:tc>
        <w:tc>
          <w:tcPr>
            <w:tcW w:w="3208" w:type="dxa"/>
            <w:vMerge/>
            <w:tcBorders>
              <w:top w:val="nil"/>
            </w:tcBorders>
            <w:shd w:val="clear" w:color="auto" w:fill="C1C1C1"/>
          </w:tcPr>
          <w:p>
            <w:pPr>
              <w:rPr>
                <w:sz w:val="2"/>
                <w:szCs w:val="2"/>
              </w:rPr>
            </w:pPr>
          </w:p>
        </w:tc>
        <w:tc>
          <w:tcPr>
            <w:tcW w:w="1218" w:type="dxa"/>
            <w:vMerge/>
            <w:tcBorders>
              <w:top w:val="nil"/>
            </w:tcBorders>
            <w:shd w:val="clear" w:color="auto" w:fill="C1C1C1"/>
          </w:tcPr>
          <w:p>
            <w:pPr>
              <w:rPr>
                <w:sz w:val="2"/>
                <w:szCs w:val="2"/>
              </w:rPr>
            </w:pPr>
          </w:p>
        </w:tc>
        <w:tc>
          <w:tcPr>
            <w:tcW w:w="2562" w:type="dxa"/>
            <w:vMerge/>
            <w:tcBorders>
              <w:top w:val="nil"/>
            </w:tcBorders>
            <w:shd w:val="clear" w:color="auto" w:fill="C1C1C1"/>
          </w:tcPr>
          <w:p>
            <w:pPr>
              <w:rPr>
                <w:sz w:val="2"/>
                <w:szCs w:val="2"/>
              </w:rPr>
            </w:pPr>
          </w:p>
        </w:tc>
      </w:tr>
      <w:tr>
        <w:trPr>
          <w:trHeight w:val="123" w:hRule="atLeast"/>
        </w:trPr>
        <w:tc>
          <w:tcPr>
            <w:tcW w:w="2254" w:type="dxa"/>
            <w:vMerge/>
            <w:tcBorders>
              <w:top w:val="nil"/>
              <w:bottom w:val="nil"/>
            </w:tcBorders>
            <w:shd w:val="clear" w:color="auto" w:fill="C1C1C1"/>
          </w:tcPr>
          <w:p>
            <w:pPr>
              <w:rPr>
                <w:sz w:val="2"/>
                <w:szCs w:val="2"/>
              </w:rPr>
            </w:pPr>
          </w:p>
        </w:tc>
        <w:tc>
          <w:tcPr>
            <w:tcW w:w="1124" w:type="dxa"/>
            <w:vMerge/>
            <w:tcBorders>
              <w:top w:val="nil"/>
              <w:bottom w:val="nil"/>
            </w:tcBorders>
            <w:shd w:val="clear" w:color="auto" w:fill="C1C1C1"/>
          </w:tcPr>
          <w:p>
            <w:pPr>
              <w:rPr>
                <w:sz w:val="2"/>
                <w:szCs w:val="2"/>
              </w:rPr>
            </w:pPr>
          </w:p>
        </w:tc>
        <w:tc>
          <w:tcPr>
            <w:tcW w:w="344" w:type="dxa"/>
            <w:vMerge/>
            <w:tcBorders>
              <w:top w:val="nil"/>
              <w:bottom w:val="nil"/>
            </w:tcBorders>
            <w:shd w:val="clear" w:color="auto" w:fill="C1C1C1"/>
          </w:tcPr>
          <w:p>
            <w:pPr>
              <w:rPr>
                <w:sz w:val="2"/>
                <w:szCs w:val="2"/>
              </w:rPr>
            </w:pPr>
          </w:p>
        </w:tc>
        <w:tc>
          <w:tcPr>
            <w:tcW w:w="344" w:type="dxa"/>
            <w:vMerge/>
            <w:tcBorders>
              <w:top w:val="nil"/>
              <w:bottom w:val="nil"/>
            </w:tcBorders>
            <w:shd w:val="clear" w:color="auto" w:fill="C1C1C1"/>
          </w:tcPr>
          <w:p>
            <w:pPr>
              <w:rPr>
                <w:sz w:val="2"/>
                <w:szCs w:val="2"/>
              </w:rPr>
            </w:pPr>
          </w:p>
        </w:tc>
        <w:tc>
          <w:tcPr>
            <w:tcW w:w="620" w:type="dxa"/>
            <w:vMerge/>
            <w:tcBorders>
              <w:top w:val="nil"/>
              <w:bottom w:val="nil"/>
            </w:tcBorders>
            <w:shd w:val="clear" w:color="auto" w:fill="C1C1C1"/>
          </w:tcPr>
          <w:p>
            <w:pPr>
              <w:rPr>
                <w:sz w:val="2"/>
                <w:szCs w:val="2"/>
              </w:rPr>
            </w:pPr>
          </w:p>
        </w:tc>
        <w:tc>
          <w:tcPr>
            <w:tcW w:w="114" w:type="dxa"/>
            <w:vMerge/>
            <w:tcBorders>
              <w:top w:val="nil"/>
            </w:tcBorders>
            <w:shd w:val="clear" w:color="auto" w:fill="C1C1C1"/>
          </w:tcPr>
          <w:p>
            <w:pPr>
              <w:rPr>
                <w:sz w:val="2"/>
                <w:szCs w:val="2"/>
              </w:rPr>
            </w:pPr>
          </w:p>
        </w:tc>
        <w:tc>
          <w:tcPr>
            <w:tcW w:w="918" w:type="dxa"/>
            <w:vMerge w:val="restart"/>
            <w:shd w:val="clear" w:color="auto" w:fill="C1C1C1"/>
          </w:tcPr>
          <w:p>
            <w:pPr>
              <w:pStyle w:val="TableParagraph"/>
              <w:spacing w:before="18"/>
              <w:jc w:val="center"/>
              <w:rPr>
                <w:sz w:val="20"/>
              </w:rPr>
            </w:pPr>
            <w:r>
              <w:rPr>
                <w:w w:val="99"/>
                <w:sz w:val="20"/>
              </w:rPr>
              <w:t>2</w:t>
            </w:r>
          </w:p>
        </w:tc>
        <w:tc>
          <w:tcPr>
            <w:tcW w:w="3208" w:type="dxa"/>
            <w:vMerge w:val="restart"/>
            <w:shd w:val="clear" w:color="auto" w:fill="C1C1C1"/>
          </w:tcPr>
          <w:p>
            <w:pPr>
              <w:pStyle w:val="TableParagraph"/>
              <w:spacing w:before="18"/>
              <w:ind w:left="101"/>
              <w:rPr>
                <w:sz w:val="20"/>
              </w:rPr>
            </w:pPr>
            <w:r>
              <w:rPr>
                <w:sz w:val="20"/>
              </w:rPr>
              <w:t>T0 (Timer0 clock or gate)</w:t>
            </w:r>
          </w:p>
        </w:tc>
        <w:tc>
          <w:tcPr>
            <w:tcW w:w="1218" w:type="dxa"/>
            <w:vMerge w:val="restart"/>
            <w:shd w:val="clear" w:color="auto" w:fill="C1C1C1"/>
          </w:tcPr>
          <w:p>
            <w:pPr>
              <w:pStyle w:val="TableParagraph"/>
              <w:spacing w:before="18"/>
              <w:ind w:left="433" w:right="434"/>
              <w:jc w:val="center"/>
              <w:rPr>
                <w:sz w:val="20"/>
              </w:rPr>
            </w:pPr>
            <w:r>
              <w:rPr>
                <w:sz w:val="20"/>
              </w:rPr>
              <w:t>OR</w:t>
            </w:r>
          </w:p>
        </w:tc>
        <w:tc>
          <w:tcPr>
            <w:tcW w:w="2562" w:type="dxa"/>
            <w:vMerge/>
            <w:tcBorders>
              <w:top w:val="nil"/>
            </w:tcBorders>
            <w:shd w:val="clear" w:color="auto" w:fill="C1C1C1"/>
          </w:tcPr>
          <w:p>
            <w:pPr>
              <w:rPr>
                <w:sz w:val="2"/>
                <w:szCs w:val="2"/>
              </w:rPr>
            </w:pPr>
          </w:p>
        </w:tc>
      </w:tr>
      <w:tr>
        <w:trPr>
          <w:trHeight w:val="137" w:hRule="atLeast"/>
        </w:trPr>
        <w:tc>
          <w:tcPr>
            <w:tcW w:w="2254" w:type="dxa"/>
            <w:vMerge w:val="restart"/>
            <w:tcBorders>
              <w:top w:val="nil"/>
              <w:bottom w:val="nil"/>
            </w:tcBorders>
            <w:shd w:val="clear" w:color="auto" w:fill="C1C1C1"/>
          </w:tcPr>
          <w:p>
            <w:pPr>
              <w:pStyle w:val="TableParagraph"/>
              <w:spacing w:line="210" w:lineRule="exact"/>
              <w:ind w:left="107"/>
              <w:rPr>
                <w:rFonts w:ascii="Times New Roman"/>
                <w:i/>
                <w:sz w:val="20"/>
              </w:rPr>
            </w:pPr>
            <w:r>
              <w:rPr>
                <w:rFonts w:ascii="Times New Roman"/>
                <w:i/>
                <w:sz w:val="20"/>
              </w:rPr>
              <w:t>DIO_R9[2:0]</w:t>
            </w:r>
          </w:p>
        </w:tc>
        <w:tc>
          <w:tcPr>
            <w:tcW w:w="1124" w:type="dxa"/>
            <w:vMerge w:val="restart"/>
            <w:tcBorders>
              <w:top w:val="nil"/>
              <w:bottom w:val="nil"/>
            </w:tcBorders>
            <w:shd w:val="clear" w:color="auto" w:fill="C1C1C1"/>
          </w:tcPr>
          <w:p>
            <w:pPr>
              <w:pStyle w:val="TableParagraph"/>
              <w:spacing w:line="210" w:lineRule="exact"/>
              <w:ind w:left="143"/>
              <w:rPr>
                <w:sz w:val="20"/>
              </w:rPr>
            </w:pPr>
            <w:r>
              <w:rPr>
                <w:sz w:val="20"/>
              </w:rPr>
              <w:t>2452[6:4]</w:t>
            </w:r>
          </w:p>
        </w:tc>
        <w:tc>
          <w:tcPr>
            <w:tcW w:w="344" w:type="dxa"/>
            <w:vMerge w:val="restart"/>
            <w:tcBorders>
              <w:top w:val="nil"/>
              <w:bottom w:val="nil"/>
            </w:tcBorders>
            <w:shd w:val="clear" w:color="auto" w:fill="C1C1C1"/>
          </w:tcPr>
          <w:p>
            <w:pPr>
              <w:pStyle w:val="TableParagraph"/>
              <w:spacing w:line="210" w:lineRule="exact"/>
              <w:ind w:left="113"/>
              <w:rPr>
                <w:sz w:val="20"/>
              </w:rPr>
            </w:pPr>
            <w:r>
              <w:rPr>
                <w:w w:val="99"/>
                <w:sz w:val="20"/>
              </w:rPr>
              <w:t>0</w:t>
            </w:r>
          </w:p>
        </w:tc>
        <w:tc>
          <w:tcPr>
            <w:tcW w:w="344" w:type="dxa"/>
            <w:vMerge w:val="restart"/>
            <w:tcBorders>
              <w:top w:val="nil"/>
              <w:bottom w:val="nil"/>
            </w:tcBorders>
            <w:shd w:val="clear" w:color="auto" w:fill="C1C1C1"/>
          </w:tcPr>
          <w:p>
            <w:pPr>
              <w:pStyle w:val="TableParagraph"/>
              <w:rPr>
                <w:rFonts w:ascii="Times New Roman"/>
                <w:sz w:val="16"/>
              </w:rPr>
            </w:pPr>
          </w:p>
        </w:tc>
        <w:tc>
          <w:tcPr>
            <w:tcW w:w="620" w:type="dxa"/>
            <w:vMerge w:val="restart"/>
            <w:tcBorders>
              <w:top w:val="nil"/>
              <w:bottom w:val="nil"/>
            </w:tcBorders>
            <w:shd w:val="clear" w:color="auto" w:fill="C1C1C1"/>
          </w:tcPr>
          <w:p>
            <w:pPr>
              <w:pStyle w:val="TableParagraph"/>
              <w:rPr>
                <w:rFonts w:ascii="Times New Roman"/>
                <w:sz w:val="16"/>
              </w:rPr>
            </w:pPr>
          </w:p>
        </w:tc>
        <w:tc>
          <w:tcPr>
            <w:tcW w:w="114" w:type="dxa"/>
            <w:vMerge/>
            <w:tcBorders>
              <w:top w:val="nil"/>
            </w:tcBorders>
            <w:shd w:val="clear" w:color="auto" w:fill="C1C1C1"/>
          </w:tcPr>
          <w:p>
            <w:pPr>
              <w:rPr>
                <w:sz w:val="2"/>
                <w:szCs w:val="2"/>
              </w:rPr>
            </w:pPr>
          </w:p>
        </w:tc>
        <w:tc>
          <w:tcPr>
            <w:tcW w:w="918" w:type="dxa"/>
            <w:vMerge/>
            <w:tcBorders>
              <w:top w:val="nil"/>
            </w:tcBorders>
            <w:shd w:val="clear" w:color="auto" w:fill="C1C1C1"/>
          </w:tcPr>
          <w:p>
            <w:pPr>
              <w:rPr>
                <w:sz w:val="2"/>
                <w:szCs w:val="2"/>
              </w:rPr>
            </w:pPr>
          </w:p>
        </w:tc>
        <w:tc>
          <w:tcPr>
            <w:tcW w:w="3208" w:type="dxa"/>
            <w:vMerge/>
            <w:tcBorders>
              <w:top w:val="nil"/>
            </w:tcBorders>
            <w:shd w:val="clear" w:color="auto" w:fill="C1C1C1"/>
          </w:tcPr>
          <w:p>
            <w:pPr>
              <w:rPr>
                <w:sz w:val="2"/>
                <w:szCs w:val="2"/>
              </w:rPr>
            </w:pPr>
          </w:p>
        </w:tc>
        <w:tc>
          <w:tcPr>
            <w:tcW w:w="1218" w:type="dxa"/>
            <w:vMerge/>
            <w:tcBorders>
              <w:top w:val="nil"/>
            </w:tcBorders>
            <w:shd w:val="clear" w:color="auto" w:fill="C1C1C1"/>
          </w:tcPr>
          <w:p>
            <w:pPr>
              <w:rPr>
                <w:sz w:val="2"/>
                <w:szCs w:val="2"/>
              </w:rPr>
            </w:pPr>
          </w:p>
        </w:tc>
        <w:tc>
          <w:tcPr>
            <w:tcW w:w="2562" w:type="dxa"/>
            <w:vMerge/>
            <w:tcBorders>
              <w:top w:val="nil"/>
            </w:tcBorders>
            <w:shd w:val="clear" w:color="auto" w:fill="C1C1C1"/>
          </w:tcPr>
          <w:p>
            <w:pPr>
              <w:rPr>
                <w:sz w:val="2"/>
                <w:szCs w:val="2"/>
              </w:rPr>
            </w:pPr>
          </w:p>
        </w:tc>
      </w:tr>
      <w:tr>
        <w:trPr>
          <w:trHeight w:val="82" w:hRule="atLeast"/>
        </w:trPr>
        <w:tc>
          <w:tcPr>
            <w:tcW w:w="2254" w:type="dxa"/>
            <w:vMerge/>
            <w:tcBorders>
              <w:top w:val="nil"/>
              <w:bottom w:val="nil"/>
            </w:tcBorders>
            <w:shd w:val="clear" w:color="auto" w:fill="C1C1C1"/>
          </w:tcPr>
          <w:p>
            <w:pPr>
              <w:rPr>
                <w:sz w:val="2"/>
                <w:szCs w:val="2"/>
              </w:rPr>
            </w:pPr>
          </w:p>
        </w:tc>
        <w:tc>
          <w:tcPr>
            <w:tcW w:w="1124" w:type="dxa"/>
            <w:vMerge/>
            <w:tcBorders>
              <w:top w:val="nil"/>
              <w:bottom w:val="nil"/>
            </w:tcBorders>
            <w:shd w:val="clear" w:color="auto" w:fill="C1C1C1"/>
          </w:tcPr>
          <w:p>
            <w:pPr>
              <w:rPr>
                <w:sz w:val="2"/>
                <w:szCs w:val="2"/>
              </w:rPr>
            </w:pPr>
          </w:p>
        </w:tc>
        <w:tc>
          <w:tcPr>
            <w:tcW w:w="344" w:type="dxa"/>
            <w:vMerge/>
            <w:tcBorders>
              <w:top w:val="nil"/>
              <w:bottom w:val="nil"/>
            </w:tcBorders>
            <w:shd w:val="clear" w:color="auto" w:fill="C1C1C1"/>
          </w:tcPr>
          <w:p>
            <w:pPr>
              <w:rPr>
                <w:sz w:val="2"/>
                <w:szCs w:val="2"/>
              </w:rPr>
            </w:pPr>
          </w:p>
        </w:tc>
        <w:tc>
          <w:tcPr>
            <w:tcW w:w="344" w:type="dxa"/>
            <w:vMerge/>
            <w:tcBorders>
              <w:top w:val="nil"/>
              <w:bottom w:val="nil"/>
            </w:tcBorders>
            <w:shd w:val="clear" w:color="auto" w:fill="C1C1C1"/>
          </w:tcPr>
          <w:p>
            <w:pPr>
              <w:rPr>
                <w:sz w:val="2"/>
                <w:szCs w:val="2"/>
              </w:rPr>
            </w:pPr>
          </w:p>
        </w:tc>
        <w:tc>
          <w:tcPr>
            <w:tcW w:w="620" w:type="dxa"/>
            <w:vMerge/>
            <w:tcBorders>
              <w:top w:val="nil"/>
              <w:bottom w:val="nil"/>
            </w:tcBorders>
            <w:shd w:val="clear" w:color="auto" w:fill="C1C1C1"/>
          </w:tcPr>
          <w:p>
            <w:pPr>
              <w:rPr>
                <w:sz w:val="2"/>
                <w:szCs w:val="2"/>
              </w:rPr>
            </w:pPr>
          </w:p>
        </w:tc>
        <w:tc>
          <w:tcPr>
            <w:tcW w:w="114" w:type="dxa"/>
            <w:vMerge/>
            <w:tcBorders>
              <w:top w:val="nil"/>
            </w:tcBorders>
            <w:shd w:val="clear" w:color="auto" w:fill="C1C1C1"/>
          </w:tcPr>
          <w:p>
            <w:pPr>
              <w:rPr>
                <w:sz w:val="2"/>
                <w:szCs w:val="2"/>
              </w:rPr>
            </w:pPr>
          </w:p>
        </w:tc>
        <w:tc>
          <w:tcPr>
            <w:tcW w:w="918" w:type="dxa"/>
            <w:vMerge w:val="restart"/>
            <w:shd w:val="clear" w:color="auto" w:fill="C1C1C1"/>
          </w:tcPr>
          <w:p>
            <w:pPr>
              <w:pStyle w:val="TableParagraph"/>
              <w:spacing w:before="18"/>
              <w:jc w:val="center"/>
              <w:rPr>
                <w:sz w:val="20"/>
              </w:rPr>
            </w:pPr>
            <w:r>
              <w:rPr>
                <w:w w:val="99"/>
                <w:sz w:val="20"/>
              </w:rPr>
              <w:t>3</w:t>
            </w:r>
          </w:p>
        </w:tc>
        <w:tc>
          <w:tcPr>
            <w:tcW w:w="3208" w:type="dxa"/>
            <w:vMerge w:val="restart"/>
            <w:shd w:val="clear" w:color="auto" w:fill="C1C1C1"/>
          </w:tcPr>
          <w:p>
            <w:pPr>
              <w:pStyle w:val="TableParagraph"/>
              <w:spacing w:before="18"/>
              <w:ind w:left="101"/>
              <w:rPr>
                <w:sz w:val="20"/>
              </w:rPr>
            </w:pPr>
            <w:r>
              <w:rPr>
                <w:sz w:val="20"/>
              </w:rPr>
              <w:t>T1 (Timer1 clock or gate)</w:t>
            </w:r>
          </w:p>
        </w:tc>
        <w:tc>
          <w:tcPr>
            <w:tcW w:w="1218" w:type="dxa"/>
            <w:vMerge w:val="restart"/>
            <w:shd w:val="clear" w:color="auto" w:fill="C1C1C1"/>
          </w:tcPr>
          <w:p>
            <w:pPr>
              <w:pStyle w:val="TableParagraph"/>
              <w:spacing w:before="18"/>
              <w:ind w:left="433" w:right="434"/>
              <w:jc w:val="center"/>
              <w:rPr>
                <w:sz w:val="20"/>
              </w:rPr>
            </w:pPr>
            <w:r>
              <w:rPr>
                <w:sz w:val="20"/>
              </w:rPr>
              <w:t>OR</w:t>
            </w:r>
          </w:p>
        </w:tc>
        <w:tc>
          <w:tcPr>
            <w:tcW w:w="2562" w:type="dxa"/>
            <w:vMerge/>
            <w:tcBorders>
              <w:top w:val="nil"/>
            </w:tcBorders>
            <w:shd w:val="clear" w:color="auto" w:fill="C1C1C1"/>
          </w:tcPr>
          <w:p>
            <w:pPr>
              <w:rPr>
                <w:sz w:val="2"/>
                <w:szCs w:val="2"/>
              </w:rPr>
            </w:pPr>
          </w:p>
        </w:tc>
      </w:tr>
      <w:tr>
        <w:trPr>
          <w:trHeight w:val="175" w:hRule="atLeast"/>
        </w:trPr>
        <w:tc>
          <w:tcPr>
            <w:tcW w:w="2254" w:type="dxa"/>
            <w:vMerge w:val="restart"/>
            <w:tcBorders>
              <w:top w:val="nil"/>
              <w:bottom w:val="nil"/>
            </w:tcBorders>
            <w:shd w:val="clear" w:color="auto" w:fill="C1C1C1"/>
          </w:tcPr>
          <w:p>
            <w:pPr>
              <w:pStyle w:val="TableParagraph"/>
              <w:spacing w:line="197" w:lineRule="exact"/>
              <w:ind w:left="107"/>
              <w:rPr>
                <w:rFonts w:ascii="Times New Roman"/>
                <w:i/>
                <w:sz w:val="20"/>
              </w:rPr>
            </w:pPr>
            <w:r>
              <w:rPr>
                <w:rFonts w:ascii="Times New Roman"/>
                <w:i/>
                <w:sz w:val="20"/>
              </w:rPr>
              <w:t>DIO_R10[2:0]</w:t>
            </w:r>
          </w:p>
        </w:tc>
        <w:tc>
          <w:tcPr>
            <w:tcW w:w="1124" w:type="dxa"/>
            <w:vMerge w:val="restart"/>
            <w:tcBorders>
              <w:top w:val="nil"/>
              <w:bottom w:val="nil"/>
            </w:tcBorders>
            <w:shd w:val="clear" w:color="auto" w:fill="C1C1C1"/>
          </w:tcPr>
          <w:p>
            <w:pPr>
              <w:pStyle w:val="TableParagraph"/>
              <w:spacing w:line="197" w:lineRule="exact"/>
              <w:ind w:left="143"/>
              <w:rPr>
                <w:sz w:val="20"/>
              </w:rPr>
            </w:pPr>
            <w:r>
              <w:rPr>
                <w:sz w:val="20"/>
              </w:rPr>
              <w:t>2451[2:0]</w:t>
            </w:r>
          </w:p>
        </w:tc>
        <w:tc>
          <w:tcPr>
            <w:tcW w:w="344" w:type="dxa"/>
            <w:vMerge w:val="restart"/>
            <w:tcBorders>
              <w:top w:val="nil"/>
              <w:bottom w:val="nil"/>
            </w:tcBorders>
            <w:shd w:val="clear" w:color="auto" w:fill="C1C1C1"/>
          </w:tcPr>
          <w:p>
            <w:pPr>
              <w:pStyle w:val="TableParagraph"/>
              <w:spacing w:line="197" w:lineRule="exact"/>
              <w:ind w:left="113"/>
              <w:rPr>
                <w:sz w:val="20"/>
              </w:rPr>
            </w:pPr>
            <w:r>
              <w:rPr>
                <w:w w:val="99"/>
                <w:sz w:val="20"/>
              </w:rPr>
              <w:t>0</w:t>
            </w:r>
          </w:p>
        </w:tc>
        <w:tc>
          <w:tcPr>
            <w:tcW w:w="344" w:type="dxa"/>
            <w:vMerge w:val="restart"/>
            <w:tcBorders>
              <w:top w:val="nil"/>
              <w:bottom w:val="nil"/>
            </w:tcBorders>
            <w:shd w:val="clear" w:color="auto" w:fill="C1C1C1"/>
          </w:tcPr>
          <w:p>
            <w:pPr>
              <w:pStyle w:val="TableParagraph"/>
              <w:rPr>
                <w:rFonts w:ascii="Times New Roman"/>
                <w:sz w:val="14"/>
              </w:rPr>
            </w:pPr>
          </w:p>
        </w:tc>
        <w:tc>
          <w:tcPr>
            <w:tcW w:w="620" w:type="dxa"/>
            <w:vMerge w:val="restart"/>
            <w:tcBorders>
              <w:top w:val="nil"/>
              <w:bottom w:val="nil"/>
            </w:tcBorders>
            <w:shd w:val="clear" w:color="auto" w:fill="C1C1C1"/>
          </w:tcPr>
          <w:p>
            <w:pPr>
              <w:pStyle w:val="TableParagraph"/>
              <w:rPr>
                <w:rFonts w:ascii="Times New Roman"/>
                <w:sz w:val="14"/>
              </w:rPr>
            </w:pPr>
          </w:p>
        </w:tc>
        <w:tc>
          <w:tcPr>
            <w:tcW w:w="114" w:type="dxa"/>
            <w:vMerge/>
            <w:tcBorders>
              <w:top w:val="nil"/>
            </w:tcBorders>
            <w:shd w:val="clear" w:color="auto" w:fill="C1C1C1"/>
          </w:tcPr>
          <w:p>
            <w:pPr>
              <w:rPr>
                <w:sz w:val="2"/>
                <w:szCs w:val="2"/>
              </w:rPr>
            </w:pPr>
          </w:p>
        </w:tc>
        <w:tc>
          <w:tcPr>
            <w:tcW w:w="918" w:type="dxa"/>
            <w:vMerge/>
            <w:tcBorders>
              <w:top w:val="nil"/>
            </w:tcBorders>
            <w:shd w:val="clear" w:color="auto" w:fill="C1C1C1"/>
          </w:tcPr>
          <w:p>
            <w:pPr>
              <w:rPr>
                <w:sz w:val="2"/>
                <w:szCs w:val="2"/>
              </w:rPr>
            </w:pPr>
          </w:p>
        </w:tc>
        <w:tc>
          <w:tcPr>
            <w:tcW w:w="3208" w:type="dxa"/>
            <w:vMerge/>
            <w:tcBorders>
              <w:top w:val="nil"/>
            </w:tcBorders>
            <w:shd w:val="clear" w:color="auto" w:fill="C1C1C1"/>
          </w:tcPr>
          <w:p>
            <w:pPr>
              <w:rPr>
                <w:sz w:val="2"/>
                <w:szCs w:val="2"/>
              </w:rPr>
            </w:pPr>
          </w:p>
        </w:tc>
        <w:tc>
          <w:tcPr>
            <w:tcW w:w="1218" w:type="dxa"/>
            <w:vMerge/>
            <w:tcBorders>
              <w:top w:val="nil"/>
            </w:tcBorders>
            <w:shd w:val="clear" w:color="auto" w:fill="C1C1C1"/>
          </w:tcPr>
          <w:p>
            <w:pPr>
              <w:rPr>
                <w:sz w:val="2"/>
                <w:szCs w:val="2"/>
              </w:rPr>
            </w:pPr>
          </w:p>
        </w:tc>
        <w:tc>
          <w:tcPr>
            <w:tcW w:w="2562" w:type="dxa"/>
            <w:vMerge/>
            <w:tcBorders>
              <w:top w:val="nil"/>
            </w:tcBorders>
            <w:shd w:val="clear" w:color="auto" w:fill="C1C1C1"/>
          </w:tcPr>
          <w:p>
            <w:pPr>
              <w:rPr>
                <w:sz w:val="2"/>
                <w:szCs w:val="2"/>
              </w:rPr>
            </w:pPr>
          </w:p>
        </w:tc>
      </w:tr>
      <w:tr>
        <w:trPr>
          <w:trHeight w:val="31" w:hRule="atLeast"/>
        </w:trPr>
        <w:tc>
          <w:tcPr>
            <w:tcW w:w="2254" w:type="dxa"/>
            <w:vMerge/>
            <w:tcBorders>
              <w:top w:val="nil"/>
              <w:bottom w:val="nil"/>
            </w:tcBorders>
            <w:shd w:val="clear" w:color="auto" w:fill="C1C1C1"/>
          </w:tcPr>
          <w:p>
            <w:pPr>
              <w:rPr>
                <w:sz w:val="2"/>
                <w:szCs w:val="2"/>
              </w:rPr>
            </w:pPr>
          </w:p>
        </w:tc>
        <w:tc>
          <w:tcPr>
            <w:tcW w:w="1124" w:type="dxa"/>
            <w:vMerge/>
            <w:tcBorders>
              <w:top w:val="nil"/>
              <w:bottom w:val="nil"/>
            </w:tcBorders>
            <w:shd w:val="clear" w:color="auto" w:fill="C1C1C1"/>
          </w:tcPr>
          <w:p>
            <w:pPr>
              <w:rPr>
                <w:sz w:val="2"/>
                <w:szCs w:val="2"/>
              </w:rPr>
            </w:pPr>
          </w:p>
        </w:tc>
        <w:tc>
          <w:tcPr>
            <w:tcW w:w="344" w:type="dxa"/>
            <w:vMerge/>
            <w:tcBorders>
              <w:top w:val="nil"/>
              <w:bottom w:val="nil"/>
            </w:tcBorders>
            <w:shd w:val="clear" w:color="auto" w:fill="C1C1C1"/>
          </w:tcPr>
          <w:p>
            <w:pPr>
              <w:rPr>
                <w:sz w:val="2"/>
                <w:szCs w:val="2"/>
              </w:rPr>
            </w:pPr>
          </w:p>
        </w:tc>
        <w:tc>
          <w:tcPr>
            <w:tcW w:w="344" w:type="dxa"/>
            <w:vMerge/>
            <w:tcBorders>
              <w:top w:val="nil"/>
              <w:bottom w:val="nil"/>
            </w:tcBorders>
            <w:shd w:val="clear" w:color="auto" w:fill="C1C1C1"/>
          </w:tcPr>
          <w:p>
            <w:pPr>
              <w:rPr>
                <w:sz w:val="2"/>
                <w:szCs w:val="2"/>
              </w:rPr>
            </w:pPr>
          </w:p>
        </w:tc>
        <w:tc>
          <w:tcPr>
            <w:tcW w:w="620" w:type="dxa"/>
            <w:vMerge/>
            <w:tcBorders>
              <w:top w:val="nil"/>
              <w:bottom w:val="nil"/>
            </w:tcBorders>
            <w:shd w:val="clear" w:color="auto" w:fill="C1C1C1"/>
          </w:tcPr>
          <w:p>
            <w:pPr>
              <w:rPr>
                <w:sz w:val="2"/>
                <w:szCs w:val="2"/>
              </w:rPr>
            </w:pPr>
          </w:p>
        </w:tc>
        <w:tc>
          <w:tcPr>
            <w:tcW w:w="114" w:type="dxa"/>
            <w:vMerge/>
            <w:tcBorders>
              <w:top w:val="nil"/>
            </w:tcBorders>
            <w:shd w:val="clear" w:color="auto" w:fill="C1C1C1"/>
          </w:tcPr>
          <w:p>
            <w:pPr>
              <w:rPr>
                <w:sz w:val="2"/>
                <w:szCs w:val="2"/>
              </w:rPr>
            </w:pPr>
          </w:p>
        </w:tc>
        <w:tc>
          <w:tcPr>
            <w:tcW w:w="918" w:type="dxa"/>
            <w:vMerge w:val="restart"/>
            <w:shd w:val="clear" w:color="auto" w:fill="C1C1C1"/>
          </w:tcPr>
          <w:p>
            <w:pPr>
              <w:pStyle w:val="TableParagraph"/>
              <w:spacing w:before="21"/>
              <w:jc w:val="center"/>
              <w:rPr>
                <w:sz w:val="20"/>
              </w:rPr>
            </w:pPr>
            <w:r>
              <w:rPr>
                <w:w w:val="99"/>
                <w:sz w:val="20"/>
              </w:rPr>
              <w:t>4</w:t>
            </w:r>
          </w:p>
        </w:tc>
        <w:tc>
          <w:tcPr>
            <w:tcW w:w="3208" w:type="dxa"/>
            <w:vMerge w:val="restart"/>
            <w:shd w:val="clear" w:color="auto" w:fill="C1C1C1"/>
          </w:tcPr>
          <w:p>
            <w:pPr>
              <w:pStyle w:val="TableParagraph"/>
              <w:spacing w:before="21"/>
              <w:ind w:left="101"/>
              <w:rPr>
                <w:sz w:val="20"/>
              </w:rPr>
            </w:pPr>
            <w:r>
              <w:rPr>
                <w:sz w:val="20"/>
              </w:rPr>
              <w:t>IO interrupt (int0)</w:t>
            </w:r>
          </w:p>
        </w:tc>
        <w:tc>
          <w:tcPr>
            <w:tcW w:w="1218" w:type="dxa"/>
            <w:vMerge w:val="restart"/>
            <w:shd w:val="clear" w:color="auto" w:fill="C1C1C1"/>
          </w:tcPr>
          <w:p>
            <w:pPr>
              <w:pStyle w:val="TableParagraph"/>
              <w:spacing w:before="21"/>
              <w:ind w:left="433" w:right="434"/>
              <w:jc w:val="center"/>
              <w:rPr>
                <w:sz w:val="20"/>
              </w:rPr>
            </w:pPr>
            <w:r>
              <w:rPr>
                <w:sz w:val="20"/>
              </w:rPr>
              <w:t>OR</w:t>
            </w:r>
          </w:p>
        </w:tc>
        <w:tc>
          <w:tcPr>
            <w:tcW w:w="2562" w:type="dxa"/>
            <w:vMerge/>
            <w:tcBorders>
              <w:top w:val="nil"/>
            </w:tcBorders>
            <w:shd w:val="clear" w:color="auto" w:fill="C1C1C1"/>
          </w:tcPr>
          <w:p>
            <w:pPr>
              <w:rPr>
                <w:sz w:val="2"/>
                <w:szCs w:val="2"/>
              </w:rPr>
            </w:pPr>
          </w:p>
        </w:tc>
      </w:tr>
      <w:tr>
        <w:trPr>
          <w:trHeight w:val="229" w:hRule="atLeast"/>
        </w:trPr>
        <w:tc>
          <w:tcPr>
            <w:tcW w:w="2254" w:type="dxa"/>
            <w:tcBorders>
              <w:top w:val="nil"/>
              <w:bottom w:val="nil"/>
            </w:tcBorders>
            <w:shd w:val="clear" w:color="auto" w:fill="C1C1C1"/>
          </w:tcPr>
          <w:p>
            <w:pPr>
              <w:pStyle w:val="TableParagraph"/>
              <w:spacing w:line="202" w:lineRule="exact" w:before="9"/>
              <w:ind w:left="107"/>
              <w:rPr>
                <w:rFonts w:ascii="Times New Roman"/>
                <w:i/>
                <w:sz w:val="20"/>
              </w:rPr>
            </w:pPr>
            <w:r>
              <w:rPr>
                <w:rFonts w:ascii="Times New Roman"/>
                <w:i/>
                <w:sz w:val="20"/>
              </w:rPr>
              <w:t>DIO_R11[2:0]</w:t>
            </w:r>
          </w:p>
        </w:tc>
        <w:tc>
          <w:tcPr>
            <w:tcW w:w="1124" w:type="dxa"/>
            <w:tcBorders>
              <w:top w:val="nil"/>
              <w:bottom w:val="nil"/>
            </w:tcBorders>
            <w:shd w:val="clear" w:color="auto" w:fill="C1C1C1"/>
          </w:tcPr>
          <w:p>
            <w:pPr>
              <w:pStyle w:val="TableParagraph"/>
              <w:spacing w:line="211" w:lineRule="exact"/>
              <w:ind w:left="9"/>
              <w:jc w:val="center"/>
              <w:rPr>
                <w:rFonts w:ascii="Trebuchet MS"/>
                <w:sz w:val="20"/>
              </w:rPr>
            </w:pPr>
            <w:r>
              <w:rPr>
                <w:rFonts w:ascii="Trebuchet MS"/>
                <w:sz w:val="20"/>
              </w:rPr>
              <w:t>2451[6:4]</w:t>
            </w:r>
          </w:p>
        </w:tc>
        <w:tc>
          <w:tcPr>
            <w:tcW w:w="344" w:type="dxa"/>
            <w:tcBorders>
              <w:top w:val="nil"/>
              <w:bottom w:val="nil"/>
            </w:tcBorders>
            <w:shd w:val="clear" w:color="auto" w:fill="C1C1C1"/>
          </w:tcPr>
          <w:p>
            <w:pPr>
              <w:pStyle w:val="TableParagraph"/>
              <w:spacing w:line="198" w:lineRule="exact" w:before="13"/>
              <w:ind w:right="107"/>
              <w:jc w:val="right"/>
              <w:rPr>
                <w:sz w:val="20"/>
              </w:rPr>
            </w:pPr>
            <w:r>
              <w:rPr>
                <w:w w:val="99"/>
                <w:sz w:val="20"/>
              </w:rPr>
              <w:t>0</w:t>
            </w:r>
          </w:p>
        </w:tc>
        <w:tc>
          <w:tcPr>
            <w:tcW w:w="344" w:type="dxa"/>
            <w:tcBorders>
              <w:top w:val="nil"/>
              <w:bottom w:val="nil"/>
            </w:tcBorders>
            <w:shd w:val="clear" w:color="auto" w:fill="C1C1C1"/>
          </w:tcPr>
          <w:p>
            <w:pPr>
              <w:pStyle w:val="TableParagraph"/>
              <w:rPr>
                <w:rFonts w:ascii="Times New Roman"/>
                <w:sz w:val="16"/>
              </w:rPr>
            </w:pPr>
          </w:p>
        </w:tc>
        <w:tc>
          <w:tcPr>
            <w:tcW w:w="620" w:type="dxa"/>
            <w:tcBorders>
              <w:top w:val="nil"/>
              <w:bottom w:val="nil"/>
            </w:tcBorders>
            <w:shd w:val="clear" w:color="auto" w:fill="C1C1C1"/>
          </w:tcPr>
          <w:p>
            <w:pPr>
              <w:pStyle w:val="TableParagraph"/>
              <w:rPr>
                <w:rFonts w:ascii="Times New Roman"/>
                <w:sz w:val="16"/>
              </w:rPr>
            </w:pPr>
          </w:p>
        </w:tc>
        <w:tc>
          <w:tcPr>
            <w:tcW w:w="114" w:type="dxa"/>
            <w:vMerge/>
            <w:tcBorders>
              <w:top w:val="nil"/>
            </w:tcBorders>
            <w:shd w:val="clear" w:color="auto" w:fill="C1C1C1"/>
          </w:tcPr>
          <w:p>
            <w:pPr>
              <w:rPr>
                <w:sz w:val="2"/>
                <w:szCs w:val="2"/>
              </w:rPr>
            </w:pPr>
          </w:p>
        </w:tc>
        <w:tc>
          <w:tcPr>
            <w:tcW w:w="918" w:type="dxa"/>
            <w:vMerge/>
            <w:tcBorders>
              <w:top w:val="nil"/>
            </w:tcBorders>
            <w:shd w:val="clear" w:color="auto" w:fill="C1C1C1"/>
          </w:tcPr>
          <w:p>
            <w:pPr>
              <w:rPr>
                <w:sz w:val="2"/>
                <w:szCs w:val="2"/>
              </w:rPr>
            </w:pPr>
          </w:p>
        </w:tc>
        <w:tc>
          <w:tcPr>
            <w:tcW w:w="3208" w:type="dxa"/>
            <w:vMerge/>
            <w:tcBorders>
              <w:top w:val="nil"/>
            </w:tcBorders>
            <w:shd w:val="clear" w:color="auto" w:fill="C1C1C1"/>
          </w:tcPr>
          <w:p>
            <w:pPr>
              <w:rPr>
                <w:sz w:val="2"/>
                <w:szCs w:val="2"/>
              </w:rPr>
            </w:pPr>
          </w:p>
        </w:tc>
        <w:tc>
          <w:tcPr>
            <w:tcW w:w="1218" w:type="dxa"/>
            <w:vMerge/>
            <w:tcBorders>
              <w:top w:val="nil"/>
            </w:tcBorders>
            <w:shd w:val="clear" w:color="auto" w:fill="C1C1C1"/>
          </w:tcPr>
          <w:p>
            <w:pPr>
              <w:rPr>
                <w:sz w:val="2"/>
                <w:szCs w:val="2"/>
              </w:rPr>
            </w:pPr>
          </w:p>
        </w:tc>
        <w:tc>
          <w:tcPr>
            <w:tcW w:w="2562" w:type="dxa"/>
            <w:vMerge/>
            <w:tcBorders>
              <w:top w:val="nil"/>
            </w:tcBorders>
            <w:shd w:val="clear" w:color="auto" w:fill="C1C1C1"/>
          </w:tcPr>
          <w:p>
            <w:pPr>
              <w:rPr>
                <w:sz w:val="2"/>
                <w:szCs w:val="2"/>
              </w:rPr>
            </w:pPr>
          </w:p>
        </w:tc>
      </w:tr>
      <w:tr>
        <w:trPr>
          <w:trHeight w:val="289" w:hRule="atLeast"/>
        </w:trPr>
        <w:tc>
          <w:tcPr>
            <w:tcW w:w="2254" w:type="dxa"/>
            <w:tcBorders>
              <w:top w:val="nil"/>
            </w:tcBorders>
            <w:shd w:val="clear" w:color="auto" w:fill="C1C1C1"/>
          </w:tcPr>
          <w:p>
            <w:pPr>
              <w:pStyle w:val="TableParagraph"/>
              <w:spacing w:before="8"/>
              <w:ind w:left="107"/>
              <w:rPr>
                <w:rFonts w:ascii="Times New Roman"/>
                <w:i/>
                <w:sz w:val="20"/>
              </w:rPr>
            </w:pPr>
            <w:r>
              <w:rPr>
                <w:rFonts w:ascii="Times New Roman"/>
                <w:i/>
                <w:sz w:val="20"/>
              </w:rPr>
              <w:t>DIO_RPB[2:0]</w:t>
            </w:r>
          </w:p>
        </w:tc>
        <w:tc>
          <w:tcPr>
            <w:tcW w:w="1124" w:type="dxa"/>
            <w:tcBorders>
              <w:top w:val="nil"/>
            </w:tcBorders>
            <w:shd w:val="clear" w:color="auto" w:fill="C1C1C1"/>
          </w:tcPr>
          <w:p>
            <w:pPr>
              <w:pStyle w:val="TableParagraph"/>
              <w:spacing w:line="227" w:lineRule="exact"/>
              <w:ind w:left="9"/>
              <w:jc w:val="center"/>
              <w:rPr>
                <w:rFonts w:ascii="Trebuchet MS"/>
                <w:sz w:val="20"/>
              </w:rPr>
            </w:pPr>
            <w:r>
              <w:rPr>
                <w:rFonts w:ascii="Trebuchet MS"/>
                <w:sz w:val="20"/>
              </w:rPr>
              <w:t>2450[2:0]</w:t>
            </w:r>
          </w:p>
        </w:tc>
        <w:tc>
          <w:tcPr>
            <w:tcW w:w="344" w:type="dxa"/>
            <w:tcBorders>
              <w:top w:val="nil"/>
            </w:tcBorders>
            <w:shd w:val="clear" w:color="auto" w:fill="C1C1C1"/>
          </w:tcPr>
          <w:p>
            <w:pPr>
              <w:pStyle w:val="TableParagraph"/>
              <w:spacing w:before="12"/>
              <w:ind w:right="107"/>
              <w:jc w:val="right"/>
              <w:rPr>
                <w:sz w:val="20"/>
              </w:rPr>
            </w:pPr>
            <w:r>
              <w:rPr>
                <w:w w:val="99"/>
                <w:sz w:val="20"/>
              </w:rPr>
              <w:t>0</w:t>
            </w:r>
          </w:p>
        </w:tc>
        <w:tc>
          <w:tcPr>
            <w:tcW w:w="344" w:type="dxa"/>
            <w:tcBorders>
              <w:top w:val="nil"/>
            </w:tcBorders>
            <w:shd w:val="clear" w:color="auto" w:fill="C1C1C1"/>
          </w:tcPr>
          <w:p>
            <w:pPr>
              <w:pStyle w:val="TableParagraph"/>
              <w:rPr>
                <w:rFonts w:ascii="Times New Roman"/>
                <w:sz w:val="18"/>
              </w:rPr>
            </w:pPr>
          </w:p>
        </w:tc>
        <w:tc>
          <w:tcPr>
            <w:tcW w:w="620" w:type="dxa"/>
            <w:tcBorders>
              <w:top w:val="nil"/>
            </w:tcBorders>
            <w:shd w:val="clear" w:color="auto" w:fill="C1C1C1"/>
          </w:tcPr>
          <w:p>
            <w:pPr>
              <w:pStyle w:val="TableParagraph"/>
              <w:rPr>
                <w:rFonts w:ascii="Times New Roman"/>
                <w:sz w:val="18"/>
              </w:rPr>
            </w:pPr>
          </w:p>
        </w:tc>
        <w:tc>
          <w:tcPr>
            <w:tcW w:w="114" w:type="dxa"/>
            <w:vMerge/>
            <w:tcBorders>
              <w:top w:val="nil"/>
            </w:tcBorders>
            <w:shd w:val="clear" w:color="auto" w:fill="C1C1C1"/>
          </w:tcPr>
          <w:p>
            <w:pPr>
              <w:rPr>
                <w:sz w:val="2"/>
                <w:szCs w:val="2"/>
              </w:rPr>
            </w:pPr>
          </w:p>
        </w:tc>
        <w:tc>
          <w:tcPr>
            <w:tcW w:w="918" w:type="dxa"/>
            <w:tcBorders>
              <w:bottom w:val="double" w:sz="1" w:space="0" w:color="000000"/>
            </w:tcBorders>
            <w:shd w:val="clear" w:color="auto" w:fill="C1C1C1"/>
          </w:tcPr>
          <w:p>
            <w:pPr>
              <w:pStyle w:val="TableParagraph"/>
              <w:spacing w:before="18"/>
              <w:jc w:val="center"/>
              <w:rPr>
                <w:sz w:val="20"/>
              </w:rPr>
            </w:pPr>
            <w:r>
              <w:rPr>
                <w:w w:val="99"/>
                <w:sz w:val="20"/>
              </w:rPr>
              <w:t>5</w:t>
            </w:r>
          </w:p>
        </w:tc>
        <w:tc>
          <w:tcPr>
            <w:tcW w:w="3208" w:type="dxa"/>
            <w:tcBorders>
              <w:bottom w:val="double" w:sz="1" w:space="0" w:color="000000"/>
            </w:tcBorders>
            <w:shd w:val="clear" w:color="auto" w:fill="C1C1C1"/>
          </w:tcPr>
          <w:p>
            <w:pPr>
              <w:pStyle w:val="TableParagraph"/>
              <w:spacing w:before="18"/>
              <w:ind w:left="101"/>
              <w:rPr>
                <w:sz w:val="20"/>
              </w:rPr>
            </w:pPr>
            <w:r>
              <w:rPr>
                <w:sz w:val="20"/>
              </w:rPr>
              <w:t>IO interrupt (int1)</w:t>
            </w:r>
          </w:p>
        </w:tc>
        <w:tc>
          <w:tcPr>
            <w:tcW w:w="1218" w:type="dxa"/>
            <w:tcBorders>
              <w:bottom w:val="double" w:sz="1" w:space="0" w:color="000000"/>
            </w:tcBorders>
            <w:shd w:val="clear" w:color="auto" w:fill="C1C1C1"/>
          </w:tcPr>
          <w:p>
            <w:pPr>
              <w:pStyle w:val="TableParagraph"/>
              <w:spacing w:before="18"/>
              <w:ind w:left="433" w:right="434"/>
              <w:jc w:val="center"/>
              <w:rPr>
                <w:sz w:val="20"/>
              </w:rPr>
            </w:pPr>
            <w:r>
              <w:rPr>
                <w:sz w:val="20"/>
              </w:rPr>
              <w:t>OR</w:t>
            </w:r>
          </w:p>
        </w:tc>
        <w:tc>
          <w:tcPr>
            <w:tcW w:w="2562" w:type="dxa"/>
            <w:vMerge/>
            <w:tcBorders>
              <w:top w:val="nil"/>
            </w:tcBorders>
            <w:shd w:val="clear" w:color="auto" w:fill="C1C1C1"/>
          </w:tcPr>
          <w:p>
            <w:pPr>
              <w:rPr>
                <w:sz w:val="2"/>
                <w:szCs w:val="2"/>
              </w:rPr>
            </w:pPr>
          </w:p>
        </w:tc>
      </w:tr>
      <w:tr>
        <w:trPr>
          <w:trHeight w:val="1170" w:hRule="atLeast"/>
        </w:trPr>
        <w:tc>
          <w:tcPr>
            <w:tcW w:w="2254" w:type="dxa"/>
          </w:tcPr>
          <w:p>
            <w:pPr>
              <w:pStyle w:val="TableParagraph"/>
              <w:spacing w:line="249" w:lineRule="auto" w:before="98"/>
              <w:ind w:left="107"/>
              <w:rPr>
                <w:rFonts w:ascii="Times New Roman"/>
                <w:i/>
                <w:sz w:val="20"/>
              </w:rPr>
            </w:pPr>
            <w:r>
              <w:rPr>
                <w:rFonts w:ascii="Times New Roman"/>
                <w:i/>
                <w:w w:val="95"/>
                <w:sz w:val="20"/>
              </w:rPr>
              <w:t>DIO_DIR[15:12] </w:t>
            </w:r>
            <w:r>
              <w:rPr>
                <w:rFonts w:ascii="Times New Roman"/>
                <w:i/>
                <w:sz w:val="20"/>
              </w:rPr>
              <w:t>DIO_DIR[11:8] DIO_DIR[7:4] DIO_DIR[3:0]</w:t>
            </w:r>
          </w:p>
        </w:tc>
        <w:tc>
          <w:tcPr>
            <w:tcW w:w="1124" w:type="dxa"/>
          </w:tcPr>
          <w:p>
            <w:pPr>
              <w:pStyle w:val="TableParagraph"/>
              <w:spacing w:line="249" w:lineRule="auto" w:before="102"/>
              <w:ind w:left="16" w:right="9"/>
              <w:jc w:val="both"/>
              <w:rPr>
                <w:sz w:val="20"/>
              </w:rPr>
            </w:pPr>
            <w:r>
              <w:rPr>
                <w:sz w:val="20"/>
              </w:rPr>
              <w:t>SFR </w:t>
            </w:r>
            <w:r>
              <w:rPr>
                <w:spacing w:val="-3"/>
                <w:sz w:val="20"/>
              </w:rPr>
              <w:t>B0[7:4] </w:t>
            </w:r>
            <w:r>
              <w:rPr>
                <w:sz w:val="20"/>
              </w:rPr>
              <w:t>SFR </w:t>
            </w:r>
            <w:r>
              <w:rPr>
                <w:spacing w:val="-3"/>
                <w:sz w:val="20"/>
              </w:rPr>
              <w:t>A0[7:4] </w:t>
            </w:r>
            <w:r>
              <w:rPr>
                <w:sz w:val="20"/>
              </w:rPr>
              <w:t>SFR</w:t>
            </w:r>
            <w:r>
              <w:rPr>
                <w:spacing w:val="-9"/>
                <w:sz w:val="20"/>
              </w:rPr>
              <w:t> </w:t>
            </w:r>
            <w:r>
              <w:rPr>
                <w:sz w:val="20"/>
              </w:rPr>
              <w:t>90[7:4]</w:t>
            </w:r>
          </w:p>
          <w:p>
            <w:pPr>
              <w:pStyle w:val="TableParagraph"/>
              <w:spacing w:before="2"/>
              <w:ind w:left="25"/>
              <w:jc w:val="both"/>
              <w:rPr>
                <w:sz w:val="20"/>
              </w:rPr>
            </w:pPr>
            <w:r>
              <w:rPr>
                <w:sz w:val="20"/>
              </w:rPr>
              <w:t>SFR</w:t>
            </w:r>
            <w:r>
              <w:rPr>
                <w:spacing w:val="-9"/>
                <w:sz w:val="20"/>
              </w:rPr>
              <w:t> </w:t>
            </w:r>
            <w:r>
              <w:rPr>
                <w:sz w:val="20"/>
              </w:rPr>
              <w:t>80[7:4]</w:t>
            </w:r>
          </w:p>
        </w:tc>
        <w:tc>
          <w:tcPr>
            <w:tcW w:w="344" w:type="dxa"/>
          </w:tcPr>
          <w:p>
            <w:pPr>
              <w:pStyle w:val="TableParagraph"/>
              <w:rPr>
                <w:b/>
                <w:sz w:val="22"/>
              </w:rPr>
            </w:pPr>
          </w:p>
          <w:p>
            <w:pPr>
              <w:pStyle w:val="TableParagraph"/>
              <w:spacing w:before="2"/>
              <w:rPr>
                <w:b/>
                <w:sz w:val="18"/>
              </w:rPr>
            </w:pPr>
          </w:p>
          <w:p>
            <w:pPr>
              <w:pStyle w:val="TableParagraph"/>
              <w:ind w:right="101"/>
              <w:jc w:val="right"/>
              <w:rPr>
                <w:sz w:val="20"/>
              </w:rPr>
            </w:pPr>
            <w:r>
              <w:rPr>
                <w:w w:val="99"/>
                <w:sz w:val="20"/>
              </w:rPr>
              <w:t>F</w:t>
            </w:r>
          </w:p>
        </w:tc>
        <w:tc>
          <w:tcPr>
            <w:tcW w:w="344" w:type="dxa"/>
          </w:tcPr>
          <w:p>
            <w:pPr>
              <w:pStyle w:val="TableParagraph"/>
              <w:rPr>
                <w:b/>
                <w:sz w:val="22"/>
              </w:rPr>
            </w:pPr>
          </w:p>
          <w:p>
            <w:pPr>
              <w:pStyle w:val="TableParagraph"/>
              <w:spacing w:before="2"/>
              <w:rPr>
                <w:b/>
                <w:sz w:val="18"/>
              </w:rPr>
            </w:pPr>
          </w:p>
          <w:p>
            <w:pPr>
              <w:pStyle w:val="TableParagraph"/>
              <w:ind w:left="3"/>
              <w:jc w:val="center"/>
              <w:rPr>
                <w:sz w:val="20"/>
              </w:rPr>
            </w:pPr>
            <w:r>
              <w:rPr>
                <w:w w:val="99"/>
                <w:sz w:val="20"/>
              </w:rPr>
              <w:t>F</w:t>
            </w:r>
          </w:p>
        </w:tc>
        <w:tc>
          <w:tcPr>
            <w:tcW w:w="620" w:type="dxa"/>
          </w:tcPr>
          <w:p>
            <w:pPr>
              <w:pStyle w:val="TableParagraph"/>
              <w:rPr>
                <w:b/>
                <w:sz w:val="22"/>
              </w:rPr>
            </w:pPr>
          </w:p>
          <w:p>
            <w:pPr>
              <w:pStyle w:val="TableParagraph"/>
              <w:spacing w:before="2"/>
              <w:rPr>
                <w:b/>
                <w:sz w:val="18"/>
              </w:rPr>
            </w:pPr>
          </w:p>
          <w:p>
            <w:pPr>
              <w:pStyle w:val="TableParagraph"/>
              <w:ind w:left="87" w:right="93"/>
              <w:jc w:val="center"/>
              <w:rPr>
                <w:sz w:val="20"/>
              </w:rPr>
            </w:pPr>
            <w:r>
              <w:rPr>
                <w:sz w:val="20"/>
              </w:rPr>
              <w:t>R/W</w:t>
            </w:r>
          </w:p>
        </w:tc>
        <w:tc>
          <w:tcPr>
            <w:tcW w:w="8020" w:type="dxa"/>
            <w:gridSpan w:val="5"/>
            <w:tcBorders>
              <w:top w:val="nil"/>
            </w:tcBorders>
          </w:tcPr>
          <w:p>
            <w:pPr>
              <w:pStyle w:val="TableParagraph"/>
              <w:spacing w:before="1"/>
              <w:ind w:left="111" w:right="238"/>
              <w:jc w:val="both"/>
              <w:rPr>
                <w:sz w:val="20"/>
              </w:rPr>
            </w:pPr>
            <w:r>
              <w:rPr>
                <w:sz w:val="20"/>
              </w:rPr>
              <w:t>Programs the direction of the first 16 DIO pins. 1 indicates output. Ignored if the pin is not configured as I/O. See </w:t>
            </w:r>
            <w:r>
              <w:rPr>
                <w:rFonts w:ascii="Times New Roman"/>
                <w:i/>
                <w:sz w:val="20"/>
              </w:rPr>
              <w:t>DIO_PV </w:t>
            </w:r>
            <w:r>
              <w:rPr>
                <w:sz w:val="20"/>
              </w:rPr>
              <w:t>and </w:t>
            </w:r>
            <w:r>
              <w:rPr>
                <w:rFonts w:ascii="Times New Roman"/>
                <w:i/>
                <w:sz w:val="20"/>
              </w:rPr>
              <w:t>DIO_PW </w:t>
            </w:r>
            <w:r>
              <w:rPr>
                <w:sz w:val="20"/>
              </w:rPr>
              <w:t>for special option for DIO0 and DIO1 outputs. See </w:t>
            </w:r>
            <w:r>
              <w:rPr>
                <w:rFonts w:ascii="Times New Roman"/>
                <w:i/>
                <w:sz w:val="20"/>
              </w:rPr>
              <w:t>DIO_EEX[1:0] </w:t>
            </w:r>
            <w:r>
              <w:rPr>
                <w:sz w:val="20"/>
              </w:rPr>
              <w:t>for special option for SEGDIO2 and SEGDIO3. Note that the direction of DIO pins above 15 is set by </w:t>
            </w:r>
            <w:r>
              <w:rPr>
                <w:rFonts w:ascii="Times New Roman"/>
                <w:i/>
                <w:sz w:val="20"/>
              </w:rPr>
              <w:t>SEGDIOx[1]</w:t>
            </w:r>
            <w:r>
              <w:rPr>
                <w:sz w:val="20"/>
              </w:rPr>
              <w:t>. See </w:t>
            </w:r>
            <w:r>
              <w:rPr>
                <w:rFonts w:ascii="Times New Roman"/>
                <w:i/>
                <w:sz w:val="20"/>
              </w:rPr>
              <w:t>PORT_E </w:t>
            </w:r>
            <w:r>
              <w:rPr>
                <w:sz w:val="20"/>
              </w:rPr>
              <w:t>to avoid power-</w:t>
            </w:r>
          </w:p>
          <w:p>
            <w:pPr>
              <w:pStyle w:val="TableParagraph"/>
              <w:spacing w:line="225" w:lineRule="exact" w:before="2"/>
              <w:ind w:left="111"/>
              <w:jc w:val="both"/>
              <w:rPr>
                <w:sz w:val="20"/>
              </w:rPr>
            </w:pPr>
            <w:r>
              <w:rPr>
                <w:sz w:val="20"/>
              </w:rPr>
              <w:t>up spikes.</w:t>
            </w:r>
          </w:p>
        </w:tc>
      </w:tr>
      <w:tr>
        <w:trPr>
          <w:trHeight w:val="254" w:hRule="atLeast"/>
        </w:trPr>
        <w:tc>
          <w:tcPr>
            <w:tcW w:w="2254" w:type="dxa"/>
            <w:tcBorders>
              <w:bottom w:val="nil"/>
            </w:tcBorders>
          </w:tcPr>
          <w:p>
            <w:pPr>
              <w:pStyle w:val="TableParagraph"/>
              <w:spacing w:line="220" w:lineRule="exact" w:before="14"/>
              <w:ind w:left="107"/>
              <w:rPr>
                <w:rFonts w:ascii="Times New Roman"/>
                <w:i/>
                <w:sz w:val="20"/>
              </w:rPr>
            </w:pPr>
            <w:r>
              <w:rPr>
                <w:rFonts w:ascii="Times New Roman"/>
                <w:i/>
                <w:sz w:val="20"/>
              </w:rPr>
              <w:t>DIO[15:12]</w:t>
            </w:r>
          </w:p>
        </w:tc>
        <w:tc>
          <w:tcPr>
            <w:tcW w:w="1124" w:type="dxa"/>
            <w:tcBorders>
              <w:bottom w:val="nil"/>
            </w:tcBorders>
          </w:tcPr>
          <w:p>
            <w:pPr>
              <w:pStyle w:val="TableParagraph"/>
              <w:spacing w:line="211" w:lineRule="exact" w:before="23"/>
              <w:ind w:left="5"/>
              <w:jc w:val="center"/>
              <w:rPr>
                <w:sz w:val="20"/>
              </w:rPr>
            </w:pPr>
            <w:r>
              <w:rPr>
                <w:sz w:val="20"/>
              </w:rPr>
              <w:t>SFR B0[3:0]</w:t>
            </w:r>
          </w:p>
        </w:tc>
        <w:tc>
          <w:tcPr>
            <w:tcW w:w="344" w:type="dxa"/>
            <w:tcBorders>
              <w:bottom w:val="nil"/>
            </w:tcBorders>
          </w:tcPr>
          <w:p>
            <w:pPr>
              <w:pStyle w:val="TableParagraph"/>
              <w:rPr>
                <w:rFonts w:ascii="Times New Roman"/>
                <w:sz w:val="18"/>
              </w:rPr>
            </w:pPr>
          </w:p>
        </w:tc>
        <w:tc>
          <w:tcPr>
            <w:tcW w:w="344" w:type="dxa"/>
            <w:tcBorders>
              <w:bottom w:val="nil"/>
            </w:tcBorders>
          </w:tcPr>
          <w:p>
            <w:pPr>
              <w:pStyle w:val="TableParagraph"/>
              <w:rPr>
                <w:rFonts w:ascii="Times New Roman"/>
                <w:sz w:val="18"/>
              </w:rPr>
            </w:pPr>
          </w:p>
        </w:tc>
        <w:tc>
          <w:tcPr>
            <w:tcW w:w="620" w:type="dxa"/>
            <w:tcBorders>
              <w:bottom w:val="nil"/>
            </w:tcBorders>
          </w:tcPr>
          <w:p>
            <w:pPr>
              <w:pStyle w:val="TableParagraph"/>
              <w:rPr>
                <w:rFonts w:ascii="Times New Roman"/>
                <w:sz w:val="18"/>
              </w:rPr>
            </w:pPr>
          </w:p>
        </w:tc>
        <w:tc>
          <w:tcPr>
            <w:tcW w:w="8020" w:type="dxa"/>
            <w:gridSpan w:val="5"/>
            <w:tcBorders>
              <w:bottom w:val="nil"/>
            </w:tcBorders>
          </w:tcPr>
          <w:p>
            <w:pPr>
              <w:pStyle w:val="TableParagraph"/>
              <w:spacing w:line="216" w:lineRule="exact" w:before="18"/>
              <w:ind w:left="104"/>
              <w:rPr>
                <w:sz w:val="20"/>
              </w:rPr>
            </w:pPr>
            <w:r>
              <w:rPr>
                <w:sz w:val="20"/>
              </w:rPr>
              <w:t>The value on the first 16 DIO pins. Pins configured as LCD read zero. When written,</w:t>
            </w:r>
          </w:p>
        </w:tc>
      </w:tr>
      <w:tr>
        <w:trPr>
          <w:trHeight w:val="473" w:hRule="atLeast"/>
        </w:trPr>
        <w:tc>
          <w:tcPr>
            <w:tcW w:w="2254" w:type="dxa"/>
            <w:tcBorders>
              <w:top w:val="nil"/>
              <w:bottom w:val="nil"/>
            </w:tcBorders>
          </w:tcPr>
          <w:p>
            <w:pPr>
              <w:pStyle w:val="TableParagraph"/>
              <w:ind w:left="107"/>
              <w:rPr>
                <w:rFonts w:ascii="Times New Roman"/>
                <w:i/>
                <w:sz w:val="20"/>
              </w:rPr>
            </w:pPr>
            <w:r>
              <w:rPr>
                <w:rFonts w:ascii="Times New Roman"/>
                <w:i/>
                <w:sz w:val="20"/>
              </w:rPr>
              <w:t>DIO[11:8]</w:t>
            </w:r>
          </w:p>
          <w:p>
            <w:pPr>
              <w:pStyle w:val="TableParagraph"/>
              <w:spacing w:line="213" w:lineRule="exact" w:before="10"/>
              <w:ind w:left="107"/>
              <w:rPr>
                <w:rFonts w:ascii="Times New Roman"/>
                <w:i/>
                <w:sz w:val="20"/>
              </w:rPr>
            </w:pPr>
            <w:r>
              <w:rPr>
                <w:rFonts w:ascii="Times New Roman"/>
                <w:i/>
                <w:sz w:val="20"/>
              </w:rPr>
              <w:t>DIO[7:4]</w:t>
            </w:r>
          </w:p>
        </w:tc>
        <w:tc>
          <w:tcPr>
            <w:tcW w:w="1124" w:type="dxa"/>
            <w:tcBorders>
              <w:top w:val="nil"/>
              <w:bottom w:val="nil"/>
            </w:tcBorders>
          </w:tcPr>
          <w:p>
            <w:pPr>
              <w:pStyle w:val="TableParagraph"/>
              <w:spacing w:line="230" w:lineRule="atLeast" w:before="8"/>
              <w:ind w:left="28" w:right="-12" w:hanging="12"/>
              <w:rPr>
                <w:sz w:val="20"/>
              </w:rPr>
            </w:pPr>
            <w:r>
              <w:rPr>
                <w:sz w:val="20"/>
              </w:rPr>
              <w:t>SFR A0[3:0] SFR 90[3:0]</w:t>
            </w:r>
          </w:p>
        </w:tc>
        <w:tc>
          <w:tcPr>
            <w:tcW w:w="344" w:type="dxa"/>
            <w:tcBorders>
              <w:top w:val="nil"/>
              <w:bottom w:val="nil"/>
            </w:tcBorders>
          </w:tcPr>
          <w:p>
            <w:pPr>
              <w:pStyle w:val="TableParagraph"/>
              <w:spacing w:before="124"/>
              <w:ind w:right="101"/>
              <w:jc w:val="right"/>
              <w:rPr>
                <w:sz w:val="20"/>
              </w:rPr>
            </w:pPr>
            <w:r>
              <w:rPr>
                <w:w w:val="99"/>
                <w:sz w:val="20"/>
              </w:rPr>
              <w:t>F</w:t>
            </w:r>
          </w:p>
        </w:tc>
        <w:tc>
          <w:tcPr>
            <w:tcW w:w="344" w:type="dxa"/>
            <w:tcBorders>
              <w:top w:val="nil"/>
              <w:bottom w:val="nil"/>
            </w:tcBorders>
          </w:tcPr>
          <w:p>
            <w:pPr>
              <w:pStyle w:val="TableParagraph"/>
              <w:spacing w:before="124"/>
              <w:ind w:left="3"/>
              <w:jc w:val="center"/>
              <w:rPr>
                <w:sz w:val="20"/>
              </w:rPr>
            </w:pPr>
            <w:r>
              <w:rPr>
                <w:w w:val="99"/>
                <w:sz w:val="20"/>
              </w:rPr>
              <w:t>F</w:t>
            </w:r>
          </w:p>
        </w:tc>
        <w:tc>
          <w:tcPr>
            <w:tcW w:w="620" w:type="dxa"/>
            <w:tcBorders>
              <w:top w:val="nil"/>
              <w:bottom w:val="nil"/>
            </w:tcBorders>
          </w:tcPr>
          <w:p>
            <w:pPr>
              <w:pStyle w:val="TableParagraph"/>
              <w:spacing w:before="124"/>
              <w:ind w:left="87" w:right="93"/>
              <w:jc w:val="center"/>
              <w:rPr>
                <w:sz w:val="20"/>
              </w:rPr>
            </w:pPr>
            <w:r>
              <w:rPr>
                <w:sz w:val="20"/>
              </w:rPr>
              <w:t>R/W</w:t>
            </w:r>
          </w:p>
        </w:tc>
        <w:tc>
          <w:tcPr>
            <w:tcW w:w="8020" w:type="dxa"/>
            <w:gridSpan w:val="5"/>
            <w:tcBorders>
              <w:top w:val="nil"/>
              <w:bottom w:val="nil"/>
            </w:tcBorders>
          </w:tcPr>
          <w:p>
            <w:pPr>
              <w:pStyle w:val="TableParagraph"/>
              <w:spacing w:line="235" w:lineRule="auto"/>
              <w:ind w:left="104"/>
              <w:rPr>
                <w:sz w:val="20"/>
              </w:rPr>
            </w:pPr>
            <w:r>
              <w:rPr>
                <w:sz w:val="20"/>
              </w:rPr>
              <w:t>changes data on pins configured as outputs. Pins configured as LCD or input ignore writes. Note that the data for DIO pins above 15 is set by </w:t>
            </w:r>
            <w:r>
              <w:rPr>
                <w:rFonts w:ascii="Times New Roman"/>
                <w:i/>
                <w:sz w:val="20"/>
              </w:rPr>
              <w:t>SEGDIOx[0]</w:t>
            </w:r>
            <w:r>
              <w:rPr>
                <w:sz w:val="20"/>
              </w:rPr>
              <w:t>.</w:t>
            </w:r>
          </w:p>
        </w:tc>
      </w:tr>
      <w:tr>
        <w:trPr>
          <w:trHeight w:val="262" w:hRule="atLeast"/>
        </w:trPr>
        <w:tc>
          <w:tcPr>
            <w:tcW w:w="2254" w:type="dxa"/>
            <w:tcBorders>
              <w:top w:val="nil"/>
            </w:tcBorders>
          </w:tcPr>
          <w:p>
            <w:pPr>
              <w:pStyle w:val="TableParagraph"/>
              <w:spacing w:before="6"/>
              <w:ind w:left="107"/>
              <w:rPr>
                <w:rFonts w:ascii="Times New Roman"/>
                <w:i/>
                <w:sz w:val="20"/>
              </w:rPr>
            </w:pPr>
            <w:r>
              <w:rPr>
                <w:rFonts w:ascii="Times New Roman"/>
                <w:i/>
                <w:sz w:val="20"/>
              </w:rPr>
              <w:t>DIO[3:0]</w:t>
            </w:r>
          </w:p>
        </w:tc>
        <w:tc>
          <w:tcPr>
            <w:tcW w:w="1124" w:type="dxa"/>
            <w:tcBorders>
              <w:top w:val="nil"/>
            </w:tcBorders>
          </w:tcPr>
          <w:p>
            <w:pPr>
              <w:pStyle w:val="TableParagraph"/>
              <w:spacing w:line="226" w:lineRule="exact"/>
              <w:ind w:left="2"/>
              <w:jc w:val="center"/>
              <w:rPr>
                <w:sz w:val="20"/>
              </w:rPr>
            </w:pPr>
            <w:r>
              <w:rPr>
                <w:sz w:val="20"/>
              </w:rPr>
              <w:t>SFR 80[3:0]</w:t>
            </w:r>
          </w:p>
        </w:tc>
        <w:tc>
          <w:tcPr>
            <w:tcW w:w="344" w:type="dxa"/>
            <w:tcBorders>
              <w:top w:val="nil"/>
            </w:tcBorders>
          </w:tcPr>
          <w:p>
            <w:pPr>
              <w:pStyle w:val="TableParagraph"/>
              <w:rPr>
                <w:rFonts w:ascii="Times New Roman"/>
                <w:sz w:val="18"/>
              </w:rPr>
            </w:pPr>
          </w:p>
        </w:tc>
        <w:tc>
          <w:tcPr>
            <w:tcW w:w="344" w:type="dxa"/>
            <w:tcBorders>
              <w:top w:val="nil"/>
            </w:tcBorders>
          </w:tcPr>
          <w:p>
            <w:pPr>
              <w:pStyle w:val="TableParagraph"/>
              <w:rPr>
                <w:rFonts w:ascii="Times New Roman"/>
                <w:sz w:val="18"/>
              </w:rPr>
            </w:pPr>
          </w:p>
        </w:tc>
        <w:tc>
          <w:tcPr>
            <w:tcW w:w="620" w:type="dxa"/>
            <w:tcBorders>
              <w:top w:val="nil"/>
            </w:tcBorders>
          </w:tcPr>
          <w:p>
            <w:pPr>
              <w:pStyle w:val="TableParagraph"/>
              <w:rPr>
                <w:rFonts w:ascii="Times New Roman"/>
                <w:sz w:val="18"/>
              </w:rPr>
            </w:pPr>
          </w:p>
        </w:tc>
        <w:tc>
          <w:tcPr>
            <w:tcW w:w="8020" w:type="dxa"/>
            <w:gridSpan w:val="5"/>
            <w:tcBorders>
              <w:top w:val="nil"/>
            </w:tcBorders>
          </w:tcPr>
          <w:p>
            <w:pPr>
              <w:pStyle w:val="TableParagraph"/>
              <w:rPr>
                <w:rFonts w:ascii="Times New Roman"/>
                <w:sz w:val="18"/>
              </w:rPr>
            </w:pPr>
          </w:p>
        </w:tc>
      </w:tr>
    </w:tbl>
    <w:p>
      <w:pPr>
        <w:spacing w:after="0"/>
        <w:rPr>
          <w:rFonts w:ascii="Times New Roman"/>
          <w:sz w:val="18"/>
        </w:rPr>
        <w:sectPr>
          <w:pgSz w:w="15840" w:h="12240" w:orient="landscape"/>
          <w:pgMar w:header="727" w:footer="819" w:top="1180" w:bottom="1000" w:left="1320" w:right="1320"/>
        </w:sectPr>
      </w:pPr>
    </w:p>
    <w:p>
      <w:pPr>
        <w:pStyle w:val="BodyText"/>
        <w:spacing w:before="5"/>
        <w:rPr>
          <w:b/>
          <w:sz w:val="7"/>
        </w:rPr>
      </w:pPr>
    </w:p>
    <w:tbl>
      <w:tblPr>
        <w:tblW w:w="0" w:type="auto"/>
        <w:jc w:val="left"/>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4"/>
        <w:gridCol w:w="1124"/>
        <w:gridCol w:w="344"/>
        <w:gridCol w:w="344"/>
        <w:gridCol w:w="620"/>
        <w:gridCol w:w="118"/>
        <w:gridCol w:w="149"/>
        <w:gridCol w:w="766"/>
        <w:gridCol w:w="164"/>
        <w:gridCol w:w="402"/>
        <w:gridCol w:w="330"/>
        <w:gridCol w:w="820"/>
        <w:gridCol w:w="242"/>
        <w:gridCol w:w="453"/>
        <w:gridCol w:w="628"/>
        <w:gridCol w:w="225"/>
        <w:gridCol w:w="856"/>
        <w:gridCol w:w="1055"/>
        <w:gridCol w:w="1557"/>
        <w:gridCol w:w="148"/>
        <w:gridCol w:w="122"/>
      </w:tblGrid>
      <w:tr>
        <w:trPr>
          <w:trHeight w:val="309" w:hRule="atLeast"/>
        </w:trPr>
        <w:tc>
          <w:tcPr>
            <w:tcW w:w="2254" w:type="dxa"/>
          </w:tcPr>
          <w:p>
            <w:pPr>
              <w:pStyle w:val="TableParagraph"/>
              <w:spacing w:before="35"/>
              <w:ind w:left="107"/>
              <w:rPr>
                <w:b/>
                <w:sz w:val="20"/>
              </w:rPr>
            </w:pPr>
            <w:r>
              <w:rPr>
                <w:b/>
                <w:sz w:val="20"/>
              </w:rPr>
              <w:t>Name</w:t>
            </w:r>
          </w:p>
        </w:tc>
        <w:tc>
          <w:tcPr>
            <w:tcW w:w="1124" w:type="dxa"/>
          </w:tcPr>
          <w:p>
            <w:pPr>
              <w:pStyle w:val="TableParagraph"/>
              <w:spacing w:before="35"/>
              <w:ind w:left="4"/>
              <w:jc w:val="center"/>
              <w:rPr>
                <w:b/>
                <w:sz w:val="20"/>
              </w:rPr>
            </w:pPr>
            <w:r>
              <w:rPr>
                <w:b/>
                <w:sz w:val="20"/>
              </w:rPr>
              <w:t>Location</w:t>
            </w:r>
          </w:p>
        </w:tc>
        <w:tc>
          <w:tcPr>
            <w:tcW w:w="344" w:type="dxa"/>
          </w:tcPr>
          <w:p>
            <w:pPr>
              <w:pStyle w:val="TableParagraph"/>
              <w:spacing w:before="35"/>
              <w:ind w:left="2"/>
              <w:jc w:val="center"/>
              <w:rPr>
                <w:b/>
                <w:sz w:val="20"/>
              </w:rPr>
            </w:pPr>
            <w:r>
              <w:rPr>
                <w:b/>
                <w:sz w:val="20"/>
              </w:rPr>
              <w:t>Rst</w:t>
            </w:r>
          </w:p>
        </w:tc>
        <w:tc>
          <w:tcPr>
            <w:tcW w:w="344" w:type="dxa"/>
          </w:tcPr>
          <w:p>
            <w:pPr>
              <w:pStyle w:val="TableParagraph"/>
              <w:spacing w:before="35"/>
              <w:ind w:left="6"/>
              <w:jc w:val="center"/>
              <w:rPr>
                <w:b/>
                <w:sz w:val="20"/>
              </w:rPr>
            </w:pPr>
            <w:r>
              <w:rPr>
                <w:b/>
                <w:sz w:val="20"/>
              </w:rPr>
              <w:t>Wk</w:t>
            </w:r>
          </w:p>
        </w:tc>
        <w:tc>
          <w:tcPr>
            <w:tcW w:w="620" w:type="dxa"/>
          </w:tcPr>
          <w:p>
            <w:pPr>
              <w:pStyle w:val="TableParagraph"/>
              <w:spacing w:before="35"/>
              <w:ind w:left="87" w:right="86"/>
              <w:jc w:val="center"/>
              <w:rPr>
                <w:b/>
                <w:sz w:val="20"/>
              </w:rPr>
            </w:pPr>
            <w:r>
              <w:rPr>
                <w:b/>
                <w:sz w:val="20"/>
              </w:rPr>
              <w:t>Dir</w:t>
            </w:r>
          </w:p>
        </w:tc>
        <w:tc>
          <w:tcPr>
            <w:tcW w:w="8035" w:type="dxa"/>
            <w:gridSpan w:val="16"/>
          </w:tcPr>
          <w:p>
            <w:pPr>
              <w:pStyle w:val="TableParagraph"/>
              <w:spacing w:before="35"/>
              <w:ind w:left="104"/>
              <w:rPr>
                <w:b/>
                <w:sz w:val="20"/>
              </w:rPr>
            </w:pPr>
            <w:r>
              <w:rPr>
                <w:b/>
                <w:sz w:val="20"/>
              </w:rPr>
              <w:t>Description</w:t>
            </w:r>
          </w:p>
        </w:tc>
      </w:tr>
      <w:tr>
        <w:trPr>
          <w:trHeight w:val="746" w:hRule="atLeast"/>
        </w:trPr>
        <w:tc>
          <w:tcPr>
            <w:tcW w:w="2254" w:type="dxa"/>
            <w:vMerge w:val="restart"/>
            <w:shd w:val="clear" w:color="auto" w:fill="C1C1C1"/>
          </w:tcPr>
          <w:p>
            <w:pPr>
              <w:pStyle w:val="TableParagraph"/>
              <w:rPr>
                <w:b/>
                <w:sz w:val="22"/>
              </w:rPr>
            </w:pPr>
          </w:p>
          <w:p>
            <w:pPr>
              <w:pStyle w:val="TableParagraph"/>
              <w:rPr>
                <w:b/>
                <w:sz w:val="22"/>
              </w:rPr>
            </w:pPr>
          </w:p>
          <w:p>
            <w:pPr>
              <w:pStyle w:val="TableParagraph"/>
              <w:rPr>
                <w:b/>
                <w:sz w:val="22"/>
              </w:rPr>
            </w:pPr>
          </w:p>
          <w:p>
            <w:pPr>
              <w:pStyle w:val="TableParagraph"/>
              <w:spacing w:before="8"/>
              <w:rPr>
                <w:b/>
                <w:sz w:val="27"/>
              </w:rPr>
            </w:pPr>
          </w:p>
          <w:p>
            <w:pPr>
              <w:pStyle w:val="TableParagraph"/>
              <w:ind w:left="107"/>
              <w:rPr>
                <w:rFonts w:ascii="Times New Roman"/>
                <w:i/>
                <w:sz w:val="20"/>
              </w:rPr>
            </w:pPr>
            <w:r>
              <w:rPr>
                <w:rFonts w:ascii="Times New Roman"/>
                <w:i/>
                <w:sz w:val="20"/>
              </w:rPr>
              <w:t>DIO_EEX[1:0]</w:t>
            </w:r>
          </w:p>
        </w:tc>
        <w:tc>
          <w:tcPr>
            <w:tcW w:w="1124" w:type="dxa"/>
            <w:vMerge w:val="restart"/>
            <w:shd w:val="clear" w:color="auto" w:fill="C1C1C1"/>
          </w:tcPr>
          <w:p>
            <w:pPr>
              <w:pStyle w:val="TableParagraph"/>
              <w:rPr>
                <w:b/>
                <w:sz w:val="22"/>
              </w:rPr>
            </w:pPr>
          </w:p>
          <w:p>
            <w:pPr>
              <w:pStyle w:val="TableParagraph"/>
              <w:rPr>
                <w:b/>
                <w:sz w:val="22"/>
              </w:rPr>
            </w:pPr>
          </w:p>
          <w:p>
            <w:pPr>
              <w:pStyle w:val="TableParagraph"/>
              <w:rPr>
                <w:b/>
                <w:sz w:val="22"/>
              </w:rPr>
            </w:pPr>
          </w:p>
          <w:p>
            <w:pPr>
              <w:pStyle w:val="TableParagraph"/>
              <w:rPr>
                <w:b/>
                <w:sz w:val="28"/>
              </w:rPr>
            </w:pPr>
          </w:p>
          <w:p>
            <w:pPr>
              <w:pStyle w:val="TableParagraph"/>
              <w:spacing w:before="1"/>
              <w:ind w:left="143"/>
              <w:rPr>
                <w:sz w:val="20"/>
              </w:rPr>
            </w:pPr>
            <w:r>
              <w:rPr>
                <w:sz w:val="20"/>
              </w:rPr>
              <w:t>2456[7:6]</w:t>
            </w:r>
          </w:p>
        </w:tc>
        <w:tc>
          <w:tcPr>
            <w:tcW w:w="344" w:type="dxa"/>
            <w:vMerge w:val="restart"/>
            <w:shd w:val="clear" w:color="auto" w:fill="C1C1C1"/>
          </w:tcPr>
          <w:p>
            <w:pPr>
              <w:pStyle w:val="TableParagraph"/>
              <w:rPr>
                <w:b/>
                <w:sz w:val="22"/>
              </w:rPr>
            </w:pPr>
          </w:p>
          <w:p>
            <w:pPr>
              <w:pStyle w:val="TableParagraph"/>
              <w:rPr>
                <w:b/>
                <w:sz w:val="22"/>
              </w:rPr>
            </w:pPr>
          </w:p>
          <w:p>
            <w:pPr>
              <w:pStyle w:val="TableParagraph"/>
              <w:rPr>
                <w:b/>
                <w:sz w:val="22"/>
              </w:rPr>
            </w:pPr>
          </w:p>
          <w:p>
            <w:pPr>
              <w:pStyle w:val="TableParagraph"/>
              <w:rPr>
                <w:b/>
                <w:sz w:val="28"/>
              </w:rPr>
            </w:pPr>
          </w:p>
          <w:p>
            <w:pPr>
              <w:pStyle w:val="TableParagraph"/>
              <w:spacing w:before="1"/>
              <w:ind w:left="113"/>
              <w:rPr>
                <w:sz w:val="20"/>
              </w:rPr>
            </w:pPr>
            <w:r>
              <w:rPr>
                <w:w w:val="99"/>
                <w:sz w:val="20"/>
              </w:rPr>
              <w:t>0</w:t>
            </w:r>
          </w:p>
        </w:tc>
        <w:tc>
          <w:tcPr>
            <w:tcW w:w="344" w:type="dxa"/>
            <w:vMerge w:val="restart"/>
            <w:shd w:val="clear" w:color="auto" w:fill="C1C1C1"/>
          </w:tcPr>
          <w:p>
            <w:pPr>
              <w:pStyle w:val="TableParagraph"/>
              <w:rPr>
                <w:b/>
                <w:sz w:val="22"/>
              </w:rPr>
            </w:pPr>
          </w:p>
          <w:p>
            <w:pPr>
              <w:pStyle w:val="TableParagraph"/>
              <w:rPr>
                <w:b/>
                <w:sz w:val="22"/>
              </w:rPr>
            </w:pPr>
          </w:p>
          <w:p>
            <w:pPr>
              <w:pStyle w:val="TableParagraph"/>
              <w:rPr>
                <w:b/>
                <w:sz w:val="22"/>
              </w:rPr>
            </w:pPr>
          </w:p>
          <w:p>
            <w:pPr>
              <w:pStyle w:val="TableParagraph"/>
              <w:rPr>
                <w:b/>
                <w:sz w:val="28"/>
              </w:rPr>
            </w:pPr>
          </w:p>
          <w:p>
            <w:pPr>
              <w:pStyle w:val="TableParagraph"/>
              <w:spacing w:before="1"/>
              <w:ind w:left="113"/>
              <w:rPr>
                <w:sz w:val="20"/>
              </w:rPr>
            </w:pPr>
            <w:r>
              <w:rPr>
                <w:w w:val="99"/>
                <w:sz w:val="20"/>
              </w:rPr>
              <w:t>–</w:t>
            </w:r>
          </w:p>
        </w:tc>
        <w:tc>
          <w:tcPr>
            <w:tcW w:w="620" w:type="dxa"/>
            <w:vMerge w:val="restart"/>
            <w:shd w:val="clear" w:color="auto" w:fill="C1C1C1"/>
          </w:tcPr>
          <w:p>
            <w:pPr>
              <w:pStyle w:val="TableParagraph"/>
              <w:rPr>
                <w:b/>
                <w:sz w:val="22"/>
              </w:rPr>
            </w:pPr>
          </w:p>
          <w:p>
            <w:pPr>
              <w:pStyle w:val="TableParagraph"/>
              <w:rPr>
                <w:b/>
                <w:sz w:val="22"/>
              </w:rPr>
            </w:pPr>
          </w:p>
          <w:p>
            <w:pPr>
              <w:pStyle w:val="TableParagraph"/>
              <w:rPr>
                <w:b/>
                <w:sz w:val="22"/>
              </w:rPr>
            </w:pPr>
          </w:p>
          <w:p>
            <w:pPr>
              <w:pStyle w:val="TableParagraph"/>
              <w:rPr>
                <w:b/>
                <w:sz w:val="28"/>
              </w:rPr>
            </w:pPr>
          </w:p>
          <w:p>
            <w:pPr>
              <w:pStyle w:val="TableParagraph"/>
              <w:spacing w:before="1"/>
              <w:ind w:left="112"/>
              <w:rPr>
                <w:sz w:val="20"/>
              </w:rPr>
            </w:pPr>
            <w:r>
              <w:rPr>
                <w:sz w:val="20"/>
              </w:rPr>
              <w:t>R/W</w:t>
            </w:r>
          </w:p>
        </w:tc>
        <w:tc>
          <w:tcPr>
            <w:tcW w:w="8035" w:type="dxa"/>
            <w:gridSpan w:val="16"/>
            <w:shd w:val="clear" w:color="auto" w:fill="C1C1C1"/>
          </w:tcPr>
          <w:p>
            <w:pPr>
              <w:pStyle w:val="TableParagraph"/>
              <w:spacing w:line="237" w:lineRule="auto" w:before="13"/>
              <w:ind w:left="104" w:right="453"/>
              <w:rPr>
                <w:i/>
                <w:sz w:val="20"/>
              </w:rPr>
            </w:pPr>
            <w:r>
              <w:rPr>
                <w:sz w:val="20"/>
              </w:rPr>
              <w:t>When set, converts SEGDIO3 and SEGDIO2 to interface with external EEPROM. SEGDIO2 becomes SDCK and SEGDIO3 becomes bi-directional SDATA, but only if </w:t>
            </w:r>
            <w:r>
              <w:rPr>
                <w:rFonts w:ascii="Times New Roman"/>
                <w:i/>
                <w:sz w:val="20"/>
              </w:rPr>
              <w:t>LCD_MAP[2] </w:t>
            </w:r>
            <w:r>
              <w:rPr>
                <w:i/>
                <w:sz w:val="20"/>
              </w:rPr>
              <w:t>and </w:t>
            </w:r>
            <w:r>
              <w:rPr>
                <w:rFonts w:ascii="Times New Roman"/>
                <w:i/>
                <w:sz w:val="20"/>
              </w:rPr>
              <w:t>LCD_MAP[3] </w:t>
            </w:r>
            <w:r>
              <w:rPr>
                <w:i/>
                <w:sz w:val="20"/>
              </w:rPr>
              <w:t>are cleared.</w:t>
            </w:r>
          </w:p>
        </w:tc>
      </w:tr>
      <w:tr>
        <w:trPr>
          <w:trHeight w:val="268" w:hRule="atLeast"/>
        </w:trPr>
        <w:tc>
          <w:tcPr>
            <w:tcW w:w="2254" w:type="dxa"/>
            <w:vMerge/>
            <w:tcBorders>
              <w:top w:val="nil"/>
            </w:tcBorders>
            <w:shd w:val="clear" w:color="auto" w:fill="C1C1C1"/>
          </w:tcPr>
          <w:p>
            <w:pPr>
              <w:rPr>
                <w:sz w:val="2"/>
                <w:szCs w:val="2"/>
              </w:rPr>
            </w:pPr>
          </w:p>
        </w:tc>
        <w:tc>
          <w:tcPr>
            <w:tcW w:w="112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620" w:type="dxa"/>
            <w:vMerge/>
            <w:tcBorders>
              <w:top w:val="nil"/>
            </w:tcBorders>
            <w:shd w:val="clear" w:color="auto" w:fill="C1C1C1"/>
          </w:tcPr>
          <w:p>
            <w:pPr>
              <w:rPr>
                <w:sz w:val="2"/>
                <w:szCs w:val="2"/>
              </w:rPr>
            </w:pPr>
          </w:p>
        </w:tc>
        <w:tc>
          <w:tcPr>
            <w:tcW w:w="118" w:type="dxa"/>
            <w:vMerge w:val="restart"/>
            <w:tcBorders>
              <w:top w:val="nil"/>
            </w:tcBorders>
            <w:shd w:val="clear" w:color="auto" w:fill="C1C1C1"/>
          </w:tcPr>
          <w:p>
            <w:pPr>
              <w:pStyle w:val="TableParagraph"/>
              <w:rPr>
                <w:rFonts w:ascii="Times New Roman"/>
                <w:sz w:val="18"/>
              </w:rPr>
            </w:pPr>
          </w:p>
        </w:tc>
        <w:tc>
          <w:tcPr>
            <w:tcW w:w="1481" w:type="dxa"/>
            <w:gridSpan w:val="4"/>
            <w:shd w:val="clear" w:color="auto" w:fill="C1C1C1"/>
          </w:tcPr>
          <w:p>
            <w:pPr>
              <w:pStyle w:val="TableParagraph"/>
              <w:spacing w:line="229" w:lineRule="exact" w:before="19"/>
              <w:ind w:left="99"/>
              <w:rPr>
                <w:rFonts w:ascii="Times New Roman"/>
                <w:b/>
                <w:i/>
                <w:sz w:val="20"/>
              </w:rPr>
            </w:pPr>
            <w:r>
              <w:rPr>
                <w:rFonts w:ascii="Times New Roman"/>
                <w:b/>
                <w:i/>
                <w:sz w:val="20"/>
              </w:rPr>
              <w:t>DIO_EEX[1:0]</w:t>
            </w:r>
          </w:p>
        </w:tc>
        <w:tc>
          <w:tcPr>
            <w:tcW w:w="6314" w:type="dxa"/>
            <w:gridSpan w:val="10"/>
            <w:shd w:val="clear" w:color="auto" w:fill="C1C1C1"/>
          </w:tcPr>
          <w:p>
            <w:pPr>
              <w:pStyle w:val="TableParagraph"/>
              <w:spacing w:before="16"/>
              <w:ind w:left="101"/>
              <w:rPr>
                <w:b/>
                <w:sz w:val="20"/>
              </w:rPr>
            </w:pPr>
            <w:r>
              <w:rPr>
                <w:b/>
                <w:sz w:val="20"/>
              </w:rPr>
              <w:t>Function</w:t>
            </w:r>
          </w:p>
        </w:tc>
        <w:tc>
          <w:tcPr>
            <w:tcW w:w="122" w:type="dxa"/>
            <w:tcBorders>
              <w:top w:val="nil"/>
              <w:bottom w:val="nil"/>
            </w:tcBorders>
            <w:shd w:val="clear" w:color="auto" w:fill="C1C1C1"/>
          </w:tcPr>
          <w:p>
            <w:pPr>
              <w:pStyle w:val="TableParagraph"/>
              <w:rPr>
                <w:rFonts w:ascii="Times New Roman"/>
                <w:sz w:val="18"/>
              </w:rPr>
            </w:pPr>
          </w:p>
        </w:tc>
      </w:tr>
      <w:tr>
        <w:trPr>
          <w:trHeight w:val="270" w:hRule="atLeast"/>
        </w:trPr>
        <w:tc>
          <w:tcPr>
            <w:tcW w:w="2254" w:type="dxa"/>
            <w:vMerge/>
            <w:tcBorders>
              <w:top w:val="nil"/>
            </w:tcBorders>
            <w:shd w:val="clear" w:color="auto" w:fill="C1C1C1"/>
          </w:tcPr>
          <w:p>
            <w:pPr>
              <w:rPr>
                <w:sz w:val="2"/>
                <w:szCs w:val="2"/>
              </w:rPr>
            </w:pPr>
          </w:p>
        </w:tc>
        <w:tc>
          <w:tcPr>
            <w:tcW w:w="112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620" w:type="dxa"/>
            <w:vMerge/>
            <w:tcBorders>
              <w:top w:val="nil"/>
            </w:tcBorders>
            <w:shd w:val="clear" w:color="auto" w:fill="C1C1C1"/>
          </w:tcPr>
          <w:p>
            <w:pPr>
              <w:rPr>
                <w:sz w:val="2"/>
                <w:szCs w:val="2"/>
              </w:rPr>
            </w:pPr>
          </w:p>
        </w:tc>
        <w:tc>
          <w:tcPr>
            <w:tcW w:w="118" w:type="dxa"/>
            <w:vMerge/>
            <w:tcBorders>
              <w:top w:val="nil"/>
            </w:tcBorders>
            <w:shd w:val="clear" w:color="auto" w:fill="C1C1C1"/>
          </w:tcPr>
          <w:p>
            <w:pPr>
              <w:rPr>
                <w:sz w:val="2"/>
                <w:szCs w:val="2"/>
              </w:rPr>
            </w:pPr>
          </w:p>
        </w:tc>
        <w:tc>
          <w:tcPr>
            <w:tcW w:w="1481" w:type="dxa"/>
            <w:gridSpan w:val="4"/>
            <w:shd w:val="clear" w:color="auto" w:fill="C1C1C1"/>
          </w:tcPr>
          <w:p>
            <w:pPr>
              <w:pStyle w:val="TableParagraph"/>
              <w:spacing w:before="21"/>
              <w:ind w:left="600" w:right="608"/>
              <w:jc w:val="center"/>
              <w:rPr>
                <w:sz w:val="20"/>
              </w:rPr>
            </w:pPr>
            <w:r>
              <w:rPr>
                <w:sz w:val="20"/>
              </w:rPr>
              <w:t>00</w:t>
            </w:r>
          </w:p>
        </w:tc>
        <w:tc>
          <w:tcPr>
            <w:tcW w:w="6314" w:type="dxa"/>
            <w:gridSpan w:val="10"/>
            <w:shd w:val="clear" w:color="auto" w:fill="C1C1C1"/>
          </w:tcPr>
          <w:p>
            <w:pPr>
              <w:pStyle w:val="TableParagraph"/>
              <w:spacing w:before="21"/>
              <w:ind w:left="101"/>
              <w:rPr>
                <w:sz w:val="20"/>
              </w:rPr>
            </w:pPr>
            <w:r>
              <w:rPr>
                <w:sz w:val="20"/>
              </w:rPr>
              <w:t>Disable EEPROM interface</w:t>
            </w:r>
          </w:p>
        </w:tc>
        <w:tc>
          <w:tcPr>
            <w:tcW w:w="122" w:type="dxa"/>
            <w:tcBorders>
              <w:top w:val="nil"/>
              <w:bottom w:val="nil"/>
            </w:tcBorders>
            <w:shd w:val="clear" w:color="auto" w:fill="C1C1C1"/>
          </w:tcPr>
          <w:p>
            <w:pPr>
              <w:pStyle w:val="TableParagraph"/>
              <w:rPr>
                <w:rFonts w:ascii="Times New Roman"/>
                <w:sz w:val="18"/>
              </w:rPr>
            </w:pPr>
          </w:p>
        </w:tc>
      </w:tr>
      <w:tr>
        <w:trPr>
          <w:trHeight w:val="270" w:hRule="atLeast"/>
        </w:trPr>
        <w:tc>
          <w:tcPr>
            <w:tcW w:w="2254" w:type="dxa"/>
            <w:vMerge/>
            <w:tcBorders>
              <w:top w:val="nil"/>
            </w:tcBorders>
            <w:shd w:val="clear" w:color="auto" w:fill="C1C1C1"/>
          </w:tcPr>
          <w:p>
            <w:pPr>
              <w:rPr>
                <w:sz w:val="2"/>
                <w:szCs w:val="2"/>
              </w:rPr>
            </w:pPr>
          </w:p>
        </w:tc>
        <w:tc>
          <w:tcPr>
            <w:tcW w:w="112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620" w:type="dxa"/>
            <w:vMerge/>
            <w:tcBorders>
              <w:top w:val="nil"/>
            </w:tcBorders>
            <w:shd w:val="clear" w:color="auto" w:fill="C1C1C1"/>
          </w:tcPr>
          <w:p>
            <w:pPr>
              <w:rPr>
                <w:sz w:val="2"/>
                <w:szCs w:val="2"/>
              </w:rPr>
            </w:pPr>
          </w:p>
        </w:tc>
        <w:tc>
          <w:tcPr>
            <w:tcW w:w="118" w:type="dxa"/>
            <w:vMerge/>
            <w:tcBorders>
              <w:top w:val="nil"/>
            </w:tcBorders>
            <w:shd w:val="clear" w:color="auto" w:fill="C1C1C1"/>
          </w:tcPr>
          <w:p>
            <w:pPr>
              <w:rPr>
                <w:sz w:val="2"/>
                <w:szCs w:val="2"/>
              </w:rPr>
            </w:pPr>
          </w:p>
        </w:tc>
        <w:tc>
          <w:tcPr>
            <w:tcW w:w="1481" w:type="dxa"/>
            <w:gridSpan w:val="4"/>
            <w:shd w:val="clear" w:color="auto" w:fill="C1C1C1"/>
          </w:tcPr>
          <w:p>
            <w:pPr>
              <w:pStyle w:val="TableParagraph"/>
              <w:spacing w:before="18"/>
              <w:ind w:left="600" w:right="608"/>
              <w:jc w:val="center"/>
              <w:rPr>
                <w:sz w:val="20"/>
              </w:rPr>
            </w:pPr>
            <w:r>
              <w:rPr>
                <w:sz w:val="20"/>
              </w:rPr>
              <w:t>01</w:t>
            </w:r>
          </w:p>
        </w:tc>
        <w:tc>
          <w:tcPr>
            <w:tcW w:w="6314" w:type="dxa"/>
            <w:gridSpan w:val="10"/>
            <w:shd w:val="clear" w:color="auto" w:fill="C1C1C1"/>
          </w:tcPr>
          <w:p>
            <w:pPr>
              <w:pStyle w:val="TableParagraph"/>
              <w:spacing w:before="18"/>
              <w:ind w:left="101"/>
              <w:rPr>
                <w:sz w:val="20"/>
              </w:rPr>
            </w:pPr>
            <w:r>
              <w:rPr>
                <w:sz w:val="20"/>
              </w:rPr>
              <w:t>2-Wire EEPROM interface</w:t>
            </w:r>
          </w:p>
        </w:tc>
        <w:tc>
          <w:tcPr>
            <w:tcW w:w="122" w:type="dxa"/>
            <w:tcBorders>
              <w:top w:val="nil"/>
              <w:bottom w:val="nil"/>
            </w:tcBorders>
            <w:shd w:val="clear" w:color="auto" w:fill="C1C1C1"/>
          </w:tcPr>
          <w:p>
            <w:pPr>
              <w:pStyle w:val="TableParagraph"/>
              <w:rPr>
                <w:rFonts w:ascii="Times New Roman"/>
                <w:sz w:val="18"/>
              </w:rPr>
            </w:pPr>
          </w:p>
        </w:tc>
      </w:tr>
      <w:tr>
        <w:trPr>
          <w:trHeight w:val="268" w:hRule="atLeast"/>
        </w:trPr>
        <w:tc>
          <w:tcPr>
            <w:tcW w:w="2254" w:type="dxa"/>
            <w:vMerge/>
            <w:tcBorders>
              <w:top w:val="nil"/>
            </w:tcBorders>
            <w:shd w:val="clear" w:color="auto" w:fill="C1C1C1"/>
          </w:tcPr>
          <w:p>
            <w:pPr>
              <w:rPr>
                <w:sz w:val="2"/>
                <w:szCs w:val="2"/>
              </w:rPr>
            </w:pPr>
          </w:p>
        </w:tc>
        <w:tc>
          <w:tcPr>
            <w:tcW w:w="112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620" w:type="dxa"/>
            <w:vMerge/>
            <w:tcBorders>
              <w:top w:val="nil"/>
            </w:tcBorders>
            <w:shd w:val="clear" w:color="auto" w:fill="C1C1C1"/>
          </w:tcPr>
          <w:p>
            <w:pPr>
              <w:rPr>
                <w:sz w:val="2"/>
                <w:szCs w:val="2"/>
              </w:rPr>
            </w:pPr>
          </w:p>
        </w:tc>
        <w:tc>
          <w:tcPr>
            <w:tcW w:w="118" w:type="dxa"/>
            <w:vMerge/>
            <w:tcBorders>
              <w:top w:val="nil"/>
            </w:tcBorders>
            <w:shd w:val="clear" w:color="auto" w:fill="C1C1C1"/>
          </w:tcPr>
          <w:p>
            <w:pPr>
              <w:rPr>
                <w:sz w:val="2"/>
                <w:szCs w:val="2"/>
              </w:rPr>
            </w:pPr>
          </w:p>
        </w:tc>
        <w:tc>
          <w:tcPr>
            <w:tcW w:w="1481" w:type="dxa"/>
            <w:gridSpan w:val="4"/>
            <w:shd w:val="clear" w:color="auto" w:fill="C1C1C1"/>
          </w:tcPr>
          <w:p>
            <w:pPr>
              <w:pStyle w:val="TableParagraph"/>
              <w:spacing w:before="18"/>
              <w:ind w:left="600" w:right="608"/>
              <w:jc w:val="center"/>
              <w:rPr>
                <w:sz w:val="20"/>
              </w:rPr>
            </w:pPr>
            <w:r>
              <w:rPr>
                <w:sz w:val="20"/>
              </w:rPr>
              <w:t>10</w:t>
            </w:r>
          </w:p>
        </w:tc>
        <w:tc>
          <w:tcPr>
            <w:tcW w:w="6314" w:type="dxa"/>
            <w:gridSpan w:val="10"/>
            <w:shd w:val="clear" w:color="auto" w:fill="C1C1C1"/>
          </w:tcPr>
          <w:p>
            <w:pPr>
              <w:pStyle w:val="TableParagraph"/>
              <w:spacing w:before="18"/>
              <w:ind w:left="101"/>
              <w:rPr>
                <w:sz w:val="20"/>
              </w:rPr>
            </w:pPr>
            <w:r>
              <w:rPr>
                <w:sz w:val="20"/>
              </w:rPr>
              <w:t>3-Wire EEPROM interface</w:t>
            </w:r>
          </w:p>
        </w:tc>
        <w:tc>
          <w:tcPr>
            <w:tcW w:w="122" w:type="dxa"/>
            <w:tcBorders>
              <w:top w:val="nil"/>
              <w:bottom w:val="nil"/>
            </w:tcBorders>
            <w:shd w:val="clear" w:color="auto" w:fill="C1C1C1"/>
          </w:tcPr>
          <w:p>
            <w:pPr>
              <w:pStyle w:val="TableParagraph"/>
              <w:rPr>
                <w:rFonts w:ascii="Times New Roman"/>
                <w:sz w:val="18"/>
              </w:rPr>
            </w:pPr>
          </w:p>
        </w:tc>
      </w:tr>
      <w:tr>
        <w:trPr>
          <w:trHeight w:val="503" w:hRule="atLeast"/>
        </w:trPr>
        <w:tc>
          <w:tcPr>
            <w:tcW w:w="2254" w:type="dxa"/>
            <w:vMerge/>
            <w:tcBorders>
              <w:top w:val="nil"/>
            </w:tcBorders>
            <w:shd w:val="clear" w:color="auto" w:fill="C1C1C1"/>
          </w:tcPr>
          <w:p>
            <w:pPr>
              <w:rPr>
                <w:sz w:val="2"/>
                <w:szCs w:val="2"/>
              </w:rPr>
            </w:pPr>
          </w:p>
        </w:tc>
        <w:tc>
          <w:tcPr>
            <w:tcW w:w="112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620" w:type="dxa"/>
            <w:vMerge/>
            <w:tcBorders>
              <w:top w:val="nil"/>
            </w:tcBorders>
            <w:shd w:val="clear" w:color="auto" w:fill="C1C1C1"/>
          </w:tcPr>
          <w:p>
            <w:pPr>
              <w:rPr>
                <w:sz w:val="2"/>
                <w:szCs w:val="2"/>
              </w:rPr>
            </w:pPr>
          </w:p>
        </w:tc>
        <w:tc>
          <w:tcPr>
            <w:tcW w:w="118" w:type="dxa"/>
            <w:vMerge/>
            <w:tcBorders>
              <w:top w:val="nil"/>
            </w:tcBorders>
            <w:shd w:val="clear" w:color="auto" w:fill="C1C1C1"/>
          </w:tcPr>
          <w:p>
            <w:pPr>
              <w:rPr>
                <w:sz w:val="2"/>
                <w:szCs w:val="2"/>
              </w:rPr>
            </w:pPr>
          </w:p>
        </w:tc>
        <w:tc>
          <w:tcPr>
            <w:tcW w:w="1481" w:type="dxa"/>
            <w:gridSpan w:val="4"/>
            <w:tcBorders>
              <w:bottom w:val="double" w:sz="1" w:space="0" w:color="000000"/>
            </w:tcBorders>
            <w:shd w:val="clear" w:color="auto" w:fill="C1C1C1"/>
          </w:tcPr>
          <w:p>
            <w:pPr>
              <w:pStyle w:val="TableParagraph"/>
              <w:spacing w:before="134"/>
              <w:ind w:left="600" w:right="608"/>
              <w:jc w:val="center"/>
              <w:rPr>
                <w:sz w:val="20"/>
              </w:rPr>
            </w:pPr>
            <w:r>
              <w:rPr>
                <w:sz w:val="20"/>
              </w:rPr>
              <w:t>11</w:t>
            </w:r>
          </w:p>
        </w:tc>
        <w:tc>
          <w:tcPr>
            <w:tcW w:w="6314" w:type="dxa"/>
            <w:gridSpan w:val="10"/>
            <w:tcBorders>
              <w:bottom w:val="double" w:sz="1" w:space="0" w:color="000000"/>
            </w:tcBorders>
            <w:shd w:val="clear" w:color="auto" w:fill="C1C1C1"/>
          </w:tcPr>
          <w:p>
            <w:pPr>
              <w:pStyle w:val="TableParagraph"/>
              <w:spacing w:before="21"/>
              <w:ind w:left="101" w:right="525"/>
              <w:rPr>
                <w:sz w:val="20"/>
              </w:rPr>
            </w:pPr>
            <w:r>
              <w:rPr>
                <w:sz w:val="20"/>
              </w:rPr>
              <w:t>3-Wire EEPROM interface with separate DO (SEGDIO3) and DI (SEGDIO8) pins.</w:t>
            </w:r>
          </w:p>
        </w:tc>
        <w:tc>
          <w:tcPr>
            <w:tcW w:w="122" w:type="dxa"/>
            <w:tcBorders>
              <w:top w:val="nil"/>
            </w:tcBorders>
            <w:shd w:val="clear" w:color="auto" w:fill="C1C1C1"/>
          </w:tcPr>
          <w:p>
            <w:pPr>
              <w:pStyle w:val="TableParagraph"/>
              <w:rPr>
                <w:rFonts w:ascii="Times New Roman"/>
                <w:sz w:val="18"/>
              </w:rPr>
            </w:pPr>
          </w:p>
        </w:tc>
      </w:tr>
      <w:tr>
        <w:trPr>
          <w:trHeight w:val="272" w:hRule="atLeast"/>
        </w:trPr>
        <w:tc>
          <w:tcPr>
            <w:tcW w:w="2254" w:type="dxa"/>
            <w:shd w:val="clear" w:color="auto" w:fill="C1C1C1"/>
          </w:tcPr>
          <w:p>
            <w:pPr>
              <w:pStyle w:val="TableParagraph"/>
              <w:spacing w:before="16"/>
              <w:ind w:left="107"/>
              <w:rPr>
                <w:rFonts w:ascii="Times New Roman"/>
                <w:i/>
                <w:sz w:val="20"/>
              </w:rPr>
            </w:pPr>
            <w:r>
              <w:rPr>
                <w:rFonts w:ascii="Times New Roman"/>
                <w:i/>
                <w:sz w:val="20"/>
              </w:rPr>
              <w:t>DIO_PV</w:t>
            </w:r>
          </w:p>
        </w:tc>
        <w:tc>
          <w:tcPr>
            <w:tcW w:w="1124" w:type="dxa"/>
            <w:shd w:val="clear" w:color="auto" w:fill="C1C1C1"/>
          </w:tcPr>
          <w:p>
            <w:pPr>
              <w:pStyle w:val="TableParagraph"/>
              <w:spacing w:before="20"/>
              <w:ind w:left="5"/>
              <w:jc w:val="center"/>
              <w:rPr>
                <w:sz w:val="20"/>
              </w:rPr>
            </w:pPr>
            <w:r>
              <w:rPr>
                <w:sz w:val="20"/>
              </w:rPr>
              <w:t>2457[6]</w:t>
            </w:r>
          </w:p>
        </w:tc>
        <w:tc>
          <w:tcPr>
            <w:tcW w:w="344" w:type="dxa"/>
            <w:shd w:val="clear" w:color="auto" w:fill="C1C1C1"/>
          </w:tcPr>
          <w:p>
            <w:pPr>
              <w:pStyle w:val="TableParagraph"/>
              <w:spacing w:before="20"/>
              <w:ind w:left="4"/>
              <w:jc w:val="center"/>
              <w:rPr>
                <w:sz w:val="20"/>
              </w:rPr>
            </w:pPr>
            <w:r>
              <w:rPr>
                <w:w w:val="99"/>
                <w:sz w:val="20"/>
              </w:rPr>
              <w:t>0</w:t>
            </w:r>
          </w:p>
        </w:tc>
        <w:tc>
          <w:tcPr>
            <w:tcW w:w="344" w:type="dxa"/>
            <w:shd w:val="clear" w:color="auto" w:fill="C1C1C1"/>
          </w:tcPr>
          <w:p>
            <w:pPr>
              <w:pStyle w:val="TableParagraph"/>
              <w:spacing w:before="20"/>
              <w:ind w:left="2"/>
              <w:jc w:val="center"/>
              <w:rPr>
                <w:sz w:val="20"/>
              </w:rPr>
            </w:pPr>
            <w:r>
              <w:rPr>
                <w:w w:val="99"/>
                <w:sz w:val="20"/>
              </w:rPr>
              <w:t>–</w:t>
            </w:r>
          </w:p>
        </w:tc>
        <w:tc>
          <w:tcPr>
            <w:tcW w:w="620" w:type="dxa"/>
            <w:shd w:val="clear" w:color="auto" w:fill="C1C1C1"/>
          </w:tcPr>
          <w:p>
            <w:pPr>
              <w:pStyle w:val="TableParagraph"/>
              <w:spacing w:before="20"/>
              <w:ind w:left="87" w:right="93"/>
              <w:jc w:val="center"/>
              <w:rPr>
                <w:sz w:val="20"/>
              </w:rPr>
            </w:pPr>
            <w:r>
              <w:rPr>
                <w:sz w:val="20"/>
              </w:rPr>
              <w:t>R/W</w:t>
            </w:r>
          </w:p>
        </w:tc>
        <w:tc>
          <w:tcPr>
            <w:tcW w:w="8035" w:type="dxa"/>
            <w:gridSpan w:val="16"/>
            <w:tcBorders>
              <w:top w:val="double" w:sz="1" w:space="0" w:color="000000"/>
            </w:tcBorders>
            <w:shd w:val="clear" w:color="auto" w:fill="C1C1C1"/>
          </w:tcPr>
          <w:p>
            <w:pPr>
              <w:pStyle w:val="TableParagraph"/>
              <w:spacing w:before="16"/>
              <w:ind w:left="104"/>
              <w:rPr>
                <w:sz w:val="20"/>
              </w:rPr>
            </w:pPr>
            <w:r>
              <w:rPr>
                <w:sz w:val="20"/>
              </w:rPr>
              <w:t>Causes VPULSE to be output on SEGDIO1, if </w:t>
            </w:r>
            <w:r>
              <w:rPr>
                <w:rFonts w:ascii="Times New Roman"/>
                <w:i/>
                <w:sz w:val="20"/>
              </w:rPr>
              <w:t>LCD_MAP[1]</w:t>
            </w:r>
            <w:r>
              <w:rPr>
                <w:sz w:val="20"/>
              </w:rPr>
              <w:t>=0.</w:t>
            </w:r>
          </w:p>
        </w:tc>
      </w:tr>
      <w:tr>
        <w:trPr>
          <w:trHeight w:val="270" w:hRule="atLeast"/>
        </w:trPr>
        <w:tc>
          <w:tcPr>
            <w:tcW w:w="2254" w:type="dxa"/>
            <w:shd w:val="clear" w:color="auto" w:fill="C1C1C1"/>
          </w:tcPr>
          <w:p>
            <w:pPr>
              <w:pStyle w:val="TableParagraph"/>
              <w:spacing w:before="14"/>
              <w:ind w:left="107"/>
              <w:rPr>
                <w:rFonts w:ascii="Times New Roman"/>
                <w:i/>
                <w:sz w:val="20"/>
              </w:rPr>
            </w:pPr>
            <w:r>
              <w:rPr>
                <w:rFonts w:ascii="Times New Roman"/>
                <w:i/>
                <w:sz w:val="20"/>
              </w:rPr>
              <w:t>DIO_PW</w:t>
            </w:r>
          </w:p>
        </w:tc>
        <w:tc>
          <w:tcPr>
            <w:tcW w:w="1124" w:type="dxa"/>
            <w:shd w:val="clear" w:color="auto" w:fill="C1C1C1"/>
          </w:tcPr>
          <w:p>
            <w:pPr>
              <w:pStyle w:val="TableParagraph"/>
              <w:spacing w:before="18"/>
              <w:ind w:left="5"/>
              <w:jc w:val="center"/>
              <w:rPr>
                <w:sz w:val="20"/>
              </w:rPr>
            </w:pPr>
            <w:r>
              <w:rPr>
                <w:sz w:val="20"/>
              </w:rPr>
              <w:t>2457[7]</w:t>
            </w:r>
          </w:p>
        </w:tc>
        <w:tc>
          <w:tcPr>
            <w:tcW w:w="344" w:type="dxa"/>
            <w:shd w:val="clear" w:color="auto" w:fill="C1C1C1"/>
          </w:tcPr>
          <w:p>
            <w:pPr>
              <w:pStyle w:val="TableParagraph"/>
              <w:spacing w:before="18"/>
              <w:ind w:left="4"/>
              <w:jc w:val="center"/>
              <w:rPr>
                <w:sz w:val="20"/>
              </w:rPr>
            </w:pPr>
            <w:r>
              <w:rPr>
                <w:w w:val="99"/>
                <w:sz w:val="20"/>
              </w:rPr>
              <w:t>0</w:t>
            </w:r>
          </w:p>
        </w:tc>
        <w:tc>
          <w:tcPr>
            <w:tcW w:w="344" w:type="dxa"/>
            <w:shd w:val="clear" w:color="auto" w:fill="C1C1C1"/>
          </w:tcPr>
          <w:p>
            <w:pPr>
              <w:pStyle w:val="TableParagraph"/>
              <w:spacing w:before="18"/>
              <w:ind w:left="2"/>
              <w:jc w:val="center"/>
              <w:rPr>
                <w:sz w:val="20"/>
              </w:rPr>
            </w:pPr>
            <w:r>
              <w:rPr>
                <w:w w:val="99"/>
                <w:sz w:val="20"/>
              </w:rPr>
              <w:t>–</w:t>
            </w:r>
          </w:p>
        </w:tc>
        <w:tc>
          <w:tcPr>
            <w:tcW w:w="620" w:type="dxa"/>
            <w:shd w:val="clear" w:color="auto" w:fill="C1C1C1"/>
          </w:tcPr>
          <w:p>
            <w:pPr>
              <w:pStyle w:val="TableParagraph"/>
              <w:spacing w:before="18"/>
              <w:ind w:left="87" w:right="93"/>
              <w:jc w:val="center"/>
              <w:rPr>
                <w:sz w:val="20"/>
              </w:rPr>
            </w:pPr>
            <w:r>
              <w:rPr>
                <w:sz w:val="20"/>
              </w:rPr>
              <w:t>R/W</w:t>
            </w:r>
          </w:p>
        </w:tc>
        <w:tc>
          <w:tcPr>
            <w:tcW w:w="8035" w:type="dxa"/>
            <w:gridSpan w:val="16"/>
            <w:shd w:val="clear" w:color="auto" w:fill="C1C1C1"/>
          </w:tcPr>
          <w:p>
            <w:pPr>
              <w:pStyle w:val="TableParagraph"/>
              <w:spacing w:before="14"/>
              <w:ind w:left="104"/>
              <w:rPr>
                <w:sz w:val="20"/>
              </w:rPr>
            </w:pPr>
            <w:r>
              <w:rPr>
                <w:sz w:val="20"/>
              </w:rPr>
              <w:t>Causes WPULSE to be output on SEGDIO0, if </w:t>
            </w:r>
            <w:r>
              <w:rPr>
                <w:rFonts w:ascii="Times New Roman"/>
                <w:i/>
                <w:sz w:val="20"/>
              </w:rPr>
              <w:t>LCD_MAP[0]=</w:t>
            </w:r>
            <w:r>
              <w:rPr>
                <w:sz w:val="20"/>
              </w:rPr>
              <w:t>0.</w:t>
            </w:r>
          </w:p>
        </w:tc>
      </w:tr>
      <w:tr>
        <w:trPr>
          <w:trHeight w:val="270" w:hRule="atLeast"/>
        </w:trPr>
        <w:tc>
          <w:tcPr>
            <w:tcW w:w="2254" w:type="dxa"/>
            <w:shd w:val="clear" w:color="auto" w:fill="C1C1C1"/>
          </w:tcPr>
          <w:p>
            <w:pPr>
              <w:pStyle w:val="TableParagraph"/>
              <w:spacing w:before="14"/>
              <w:ind w:left="107"/>
              <w:rPr>
                <w:rFonts w:ascii="Times New Roman"/>
                <w:i/>
                <w:sz w:val="20"/>
              </w:rPr>
            </w:pPr>
            <w:r>
              <w:rPr>
                <w:rFonts w:ascii="Times New Roman"/>
                <w:i/>
                <w:sz w:val="20"/>
              </w:rPr>
              <w:t>DIO_PX</w:t>
            </w:r>
          </w:p>
        </w:tc>
        <w:tc>
          <w:tcPr>
            <w:tcW w:w="1124" w:type="dxa"/>
            <w:shd w:val="clear" w:color="auto" w:fill="C1C1C1"/>
          </w:tcPr>
          <w:p>
            <w:pPr>
              <w:pStyle w:val="TableParagraph"/>
              <w:spacing w:before="18"/>
              <w:ind w:left="5"/>
              <w:jc w:val="center"/>
              <w:rPr>
                <w:sz w:val="20"/>
              </w:rPr>
            </w:pPr>
            <w:r>
              <w:rPr>
                <w:sz w:val="20"/>
              </w:rPr>
              <w:t>2458[7]</w:t>
            </w:r>
          </w:p>
        </w:tc>
        <w:tc>
          <w:tcPr>
            <w:tcW w:w="344" w:type="dxa"/>
            <w:shd w:val="clear" w:color="auto" w:fill="C1C1C1"/>
          </w:tcPr>
          <w:p>
            <w:pPr>
              <w:pStyle w:val="TableParagraph"/>
              <w:spacing w:before="18"/>
              <w:ind w:left="4"/>
              <w:jc w:val="center"/>
              <w:rPr>
                <w:sz w:val="20"/>
              </w:rPr>
            </w:pPr>
            <w:r>
              <w:rPr>
                <w:w w:val="99"/>
                <w:sz w:val="20"/>
              </w:rPr>
              <w:t>0</w:t>
            </w:r>
          </w:p>
        </w:tc>
        <w:tc>
          <w:tcPr>
            <w:tcW w:w="344" w:type="dxa"/>
            <w:shd w:val="clear" w:color="auto" w:fill="C1C1C1"/>
          </w:tcPr>
          <w:p>
            <w:pPr>
              <w:pStyle w:val="TableParagraph"/>
              <w:spacing w:before="18"/>
              <w:ind w:left="2"/>
              <w:jc w:val="center"/>
              <w:rPr>
                <w:sz w:val="20"/>
              </w:rPr>
            </w:pPr>
            <w:r>
              <w:rPr>
                <w:w w:val="99"/>
                <w:sz w:val="20"/>
              </w:rPr>
              <w:t>–</w:t>
            </w:r>
          </w:p>
        </w:tc>
        <w:tc>
          <w:tcPr>
            <w:tcW w:w="620" w:type="dxa"/>
            <w:shd w:val="clear" w:color="auto" w:fill="C1C1C1"/>
          </w:tcPr>
          <w:p>
            <w:pPr>
              <w:pStyle w:val="TableParagraph"/>
              <w:spacing w:before="18"/>
              <w:ind w:left="87" w:right="93"/>
              <w:jc w:val="center"/>
              <w:rPr>
                <w:sz w:val="20"/>
              </w:rPr>
            </w:pPr>
            <w:r>
              <w:rPr>
                <w:sz w:val="20"/>
              </w:rPr>
              <w:t>R/W</w:t>
            </w:r>
          </w:p>
        </w:tc>
        <w:tc>
          <w:tcPr>
            <w:tcW w:w="8035" w:type="dxa"/>
            <w:gridSpan w:val="16"/>
            <w:shd w:val="clear" w:color="auto" w:fill="C1C1C1"/>
          </w:tcPr>
          <w:p>
            <w:pPr>
              <w:pStyle w:val="TableParagraph"/>
              <w:spacing w:before="14"/>
              <w:ind w:left="104"/>
              <w:rPr>
                <w:sz w:val="20"/>
              </w:rPr>
            </w:pPr>
            <w:r>
              <w:rPr>
                <w:sz w:val="20"/>
              </w:rPr>
              <w:t>Causes XPULSE to be output on SEGDIO6 , if </w:t>
            </w:r>
            <w:r>
              <w:rPr>
                <w:rFonts w:ascii="Times New Roman"/>
                <w:i/>
                <w:sz w:val="20"/>
              </w:rPr>
              <w:t>LCD_MAP[6]=</w:t>
            </w:r>
            <w:r>
              <w:rPr>
                <w:sz w:val="20"/>
              </w:rPr>
              <w:t>0.</w:t>
            </w:r>
          </w:p>
        </w:tc>
      </w:tr>
      <w:tr>
        <w:trPr>
          <w:trHeight w:val="270" w:hRule="atLeast"/>
        </w:trPr>
        <w:tc>
          <w:tcPr>
            <w:tcW w:w="2254" w:type="dxa"/>
            <w:shd w:val="clear" w:color="auto" w:fill="C1C1C1"/>
          </w:tcPr>
          <w:p>
            <w:pPr>
              <w:pStyle w:val="TableParagraph"/>
              <w:spacing w:before="14"/>
              <w:ind w:left="107"/>
              <w:rPr>
                <w:rFonts w:ascii="Times New Roman"/>
                <w:i/>
                <w:sz w:val="20"/>
              </w:rPr>
            </w:pPr>
            <w:r>
              <w:rPr>
                <w:rFonts w:ascii="Times New Roman"/>
                <w:i/>
                <w:sz w:val="20"/>
              </w:rPr>
              <w:t>DIO_PY</w:t>
            </w:r>
          </w:p>
        </w:tc>
        <w:tc>
          <w:tcPr>
            <w:tcW w:w="1124" w:type="dxa"/>
            <w:shd w:val="clear" w:color="auto" w:fill="C1C1C1"/>
          </w:tcPr>
          <w:p>
            <w:pPr>
              <w:pStyle w:val="TableParagraph"/>
              <w:spacing w:before="18"/>
              <w:ind w:left="5"/>
              <w:jc w:val="center"/>
              <w:rPr>
                <w:sz w:val="20"/>
              </w:rPr>
            </w:pPr>
            <w:r>
              <w:rPr>
                <w:sz w:val="20"/>
              </w:rPr>
              <w:t>2458[6]</w:t>
            </w:r>
          </w:p>
        </w:tc>
        <w:tc>
          <w:tcPr>
            <w:tcW w:w="344" w:type="dxa"/>
            <w:shd w:val="clear" w:color="auto" w:fill="C1C1C1"/>
          </w:tcPr>
          <w:p>
            <w:pPr>
              <w:pStyle w:val="TableParagraph"/>
              <w:spacing w:before="18"/>
              <w:ind w:left="4"/>
              <w:jc w:val="center"/>
              <w:rPr>
                <w:sz w:val="20"/>
              </w:rPr>
            </w:pPr>
            <w:r>
              <w:rPr>
                <w:w w:val="99"/>
                <w:sz w:val="20"/>
              </w:rPr>
              <w:t>0</w:t>
            </w:r>
          </w:p>
        </w:tc>
        <w:tc>
          <w:tcPr>
            <w:tcW w:w="344" w:type="dxa"/>
            <w:shd w:val="clear" w:color="auto" w:fill="C1C1C1"/>
          </w:tcPr>
          <w:p>
            <w:pPr>
              <w:pStyle w:val="TableParagraph"/>
              <w:spacing w:before="18"/>
              <w:ind w:left="2"/>
              <w:jc w:val="center"/>
              <w:rPr>
                <w:sz w:val="20"/>
              </w:rPr>
            </w:pPr>
            <w:r>
              <w:rPr>
                <w:w w:val="99"/>
                <w:sz w:val="20"/>
              </w:rPr>
              <w:t>–</w:t>
            </w:r>
          </w:p>
        </w:tc>
        <w:tc>
          <w:tcPr>
            <w:tcW w:w="620" w:type="dxa"/>
            <w:shd w:val="clear" w:color="auto" w:fill="C1C1C1"/>
          </w:tcPr>
          <w:p>
            <w:pPr>
              <w:pStyle w:val="TableParagraph"/>
              <w:spacing w:before="18"/>
              <w:ind w:left="87" w:right="93"/>
              <w:jc w:val="center"/>
              <w:rPr>
                <w:sz w:val="20"/>
              </w:rPr>
            </w:pPr>
            <w:r>
              <w:rPr>
                <w:sz w:val="20"/>
              </w:rPr>
              <w:t>R/W</w:t>
            </w:r>
          </w:p>
        </w:tc>
        <w:tc>
          <w:tcPr>
            <w:tcW w:w="8035" w:type="dxa"/>
            <w:gridSpan w:val="16"/>
            <w:shd w:val="clear" w:color="auto" w:fill="C1C1C1"/>
          </w:tcPr>
          <w:p>
            <w:pPr>
              <w:pStyle w:val="TableParagraph"/>
              <w:spacing w:before="14"/>
              <w:ind w:left="104"/>
              <w:rPr>
                <w:sz w:val="20"/>
              </w:rPr>
            </w:pPr>
            <w:r>
              <w:rPr>
                <w:sz w:val="20"/>
              </w:rPr>
              <w:t>Causes YPULSE to be output on SEGDIO7 , if </w:t>
            </w:r>
            <w:r>
              <w:rPr>
                <w:rFonts w:ascii="Times New Roman"/>
                <w:i/>
                <w:sz w:val="20"/>
              </w:rPr>
              <w:t>LCD_MAP[7]=</w:t>
            </w:r>
            <w:r>
              <w:rPr>
                <w:sz w:val="20"/>
              </w:rPr>
              <w:t>0.</w:t>
            </w:r>
          </w:p>
        </w:tc>
      </w:tr>
      <w:tr>
        <w:trPr>
          <w:trHeight w:val="270" w:hRule="atLeast"/>
        </w:trPr>
        <w:tc>
          <w:tcPr>
            <w:tcW w:w="2254" w:type="dxa"/>
          </w:tcPr>
          <w:p>
            <w:pPr>
              <w:pStyle w:val="TableParagraph"/>
              <w:spacing w:before="12"/>
              <w:ind w:left="107"/>
              <w:rPr>
                <w:rFonts w:ascii="Times New Roman"/>
                <w:i/>
                <w:sz w:val="20"/>
              </w:rPr>
            </w:pPr>
            <w:r>
              <w:rPr>
                <w:rFonts w:ascii="Times New Roman"/>
                <w:i/>
                <w:sz w:val="20"/>
              </w:rPr>
              <w:t>EEDATA[7:0]</w:t>
            </w:r>
          </w:p>
        </w:tc>
        <w:tc>
          <w:tcPr>
            <w:tcW w:w="1124" w:type="dxa"/>
          </w:tcPr>
          <w:p>
            <w:pPr>
              <w:pStyle w:val="TableParagraph"/>
              <w:spacing w:before="16"/>
              <w:ind w:left="6"/>
              <w:jc w:val="center"/>
              <w:rPr>
                <w:sz w:val="20"/>
              </w:rPr>
            </w:pPr>
            <w:r>
              <w:rPr>
                <w:sz w:val="20"/>
              </w:rPr>
              <w:t>SFR 9E</w:t>
            </w:r>
          </w:p>
        </w:tc>
        <w:tc>
          <w:tcPr>
            <w:tcW w:w="344" w:type="dxa"/>
          </w:tcPr>
          <w:p>
            <w:pPr>
              <w:pStyle w:val="TableParagraph"/>
              <w:spacing w:before="16"/>
              <w:ind w:left="4"/>
              <w:jc w:val="center"/>
              <w:rPr>
                <w:sz w:val="20"/>
              </w:rPr>
            </w:pPr>
            <w:r>
              <w:rPr>
                <w:w w:val="99"/>
                <w:sz w:val="20"/>
              </w:rPr>
              <w:t>0</w:t>
            </w:r>
          </w:p>
        </w:tc>
        <w:tc>
          <w:tcPr>
            <w:tcW w:w="344" w:type="dxa"/>
          </w:tcPr>
          <w:p>
            <w:pPr>
              <w:pStyle w:val="TableParagraph"/>
              <w:spacing w:before="16"/>
              <w:ind w:left="2"/>
              <w:jc w:val="center"/>
              <w:rPr>
                <w:sz w:val="20"/>
              </w:rPr>
            </w:pPr>
            <w:r>
              <w:rPr>
                <w:w w:val="99"/>
                <w:sz w:val="20"/>
              </w:rPr>
              <w:t>0</w:t>
            </w:r>
          </w:p>
        </w:tc>
        <w:tc>
          <w:tcPr>
            <w:tcW w:w="620" w:type="dxa"/>
          </w:tcPr>
          <w:p>
            <w:pPr>
              <w:pStyle w:val="TableParagraph"/>
              <w:spacing w:before="16"/>
              <w:ind w:left="87" w:right="93"/>
              <w:jc w:val="center"/>
              <w:rPr>
                <w:sz w:val="20"/>
              </w:rPr>
            </w:pPr>
            <w:r>
              <w:rPr>
                <w:sz w:val="20"/>
              </w:rPr>
              <w:t>R/W</w:t>
            </w:r>
          </w:p>
        </w:tc>
        <w:tc>
          <w:tcPr>
            <w:tcW w:w="8035" w:type="dxa"/>
            <w:gridSpan w:val="16"/>
          </w:tcPr>
          <w:p>
            <w:pPr>
              <w:pStyle w:val="TableParagraph"/>
              <w:spacing w:before="16"/>
              <w:ind w:left="104"/>
              <w:rPr>
                <w:sz w:val="20"/>
              </w:rPr>
            </w:pPr>
            <w:r>
              <w:rPr>
                <w:sz w:val="20"/>
              </w:rPr>
              <w:t>Serial EEPROM interface data.</w:t>
            </w:r>
          </w:p>
        </w:tc>
      </w:tr>
      <w:tr>
        <w:trPr>
          <w:trHeight w:val="309" w:hRule="atLeast"/>
        </w:trPr>
        <w:tc>
          <w:tcPr>
            <w:tcW w:w="2254" w:type="dxa"/>
            <w:vMerge w:val="restart"/>
          </w:tcPr>
          <w:p>
            <w:pPr>
              <w:pStyle w:val="TableParagraph"/>
              <w:rPr>
                <w:b/>
                <w:sz w:val="22"/>
              </w:rPr>
            </w:pPr>
          </w:p>
          <w:p>
            <w:pPr>
              <w:pStyle w:val="TableParagraph"/>
              <w:rPr>
                <w:b/>
                <w:sz w:val="22"/>
              </w:rPr>
            </w:pPr>
          </w:p>
          <w:p>
            <w:pPr>
              <w:pStyle w:val="TableParagraph"/>
              <w:spacing w:before="9"/>
              <w:rPr>
                <w:b/>
                <w:sz w:val="28"/>
              </w:rPr>
            </w:pPr>
          </w:p>
          <w:p>
            <w:pPr>
              <w:pStyle w:val="TableParagraph"/>
              <w:spacing w:before="1"/>
              <w:ind w:left="107"/>
              <w:rPr>
                <w:rFonts w:ascii="Times New Roman"/>
                <w:i/>
                <w:sz w:val="20"/>
              </w:rPr>
            </w:pPr>
            <w:r>
              <w:rPr>
                <w:rFonts w:ascii="Times New Roman"/>
                <w:i/>
                <w:sz w:val="20"/>
              </w:rPr>
              <w:t>EECTRL[7:0]</w:t>
            </w:r>
          </w:p>
        </w:tc>
        <w:tc>
          <w:tcPr>
            <w:tcW w:w="1124" w:type="dxa"/>
            <w:vMerge w:val="restart"/>
          </w:tcPr>
          <w:p>
            <w:pPr>
              <w:pStyle w:val="TableParagraph"/>
              <w:rPr>
                <w:b/>
                <w:sz w:val="22"/>
              </w:rPr>
            </w:pPr>
          </w:p>
          <w:p>
            <w:pPr>
              <w:pStyle w:val="TableParagraph"/>
              <w:rPr>
                <w:b/>
                <w:sz w:val="22"/>
              </w:rPr>
            </w:pPr>
          </w:p>
          <w:p>
            <w:pPr>
              <w:pStyle w:val="TableParagraph"/>
              <w:spacing w:before="2"/>
              <w:rPr>
                <w:b/>
                <w:sz w:val="29"/>
              </w:rPr>
            </w:pPr>
          </w:p>
          <w:p>
            <w:pPr>
              <w:pStyle w:val="TableParagraph"/>
              <w:ind w:left="215"/>
              <w:rPr>
                <w:sz w:val="20"/>
              </w:rPr>
            </w:pPr>
            <w:r>
              <w:rPr>
                <w:sz w:val="20"/>
              </w:rPr>
              <w:t>SFR 9F</w:t>
            </w:r>
          </w:p>
        </w:tc>
        <w:tc>
          <w:tcPr>
            <w:tcW w:w="344" w:type="dxa"/>
            <w:vMerge w:val="restart"/>
          </w:tcPr>
          <w:p>
            <w:pPr>
              <w:pStyle w:val="TableParagraph"/>
              <w:rPr>
                <w:b/>
                <w:sz w:val="22"/>
              </w:rPr>
            </w:pPr>
          </w:p>
          <w:p>
            <w:pPr>
              <w:pStyle w:val="TableParagraph"/>
              <w:rPr>
                <w:b/>
                <w:sz w:val="22"/>
              </w:rPr>
            </w:pPr>
          </w:p>
          <w:p>
            <w:pPr>
              <w:pStyle w:val="TableParagraph"/>
              <w:spacing w:before="2"/>
              <w:rPr>
                <w:b/>
                <w:sz w:val="29"/>
              </w:rPr>
            </w:pPr>
          </w:p>
          <w:p>
            <w:pPr>
              <w:pStyle w:val="TableParagraph"/>
              <w:ind w:left="113"/>
              <w:rPr>
                <w:sz w:val="20"/>
              </w:rPr>
            </w:pPr>
            <w:r>
              <w:rPr>
                <w:w w:val="99"/>
                <w:sz w:val="20"/>
              </w:rPr>
              <w:t>0</w:t>
            </w:r>
          </w:p>
        </w:tc>
        <w:tc>
          <w:tcPr>
            <w:tcW w:w="344" w:type="dxa"/>
            <w:vMerge w:val="restart"/>
          </w:tcPr>
          <w:p>
            <w:pPr>
              <w:pStyle w:val="TableParagraph"/>
              <w:rPr>
                <w:b/>
                <w:sz w:val="22"/>
              </w:rPr>
            </w:pPr>
          </w:p>
          <w:p>
            <w:pPr>
              <w:pStyle w:val="TableParagraph"/>
              <w:rPr>
                <w:b/>
                <w:sz w:val="22"/>
              </w:rPr>
            </w:pPr>
          </w:p>
          <w:p>
            <w:pPr>
              <w:pStyle w:val="TableParagraph"/>
              <w:spacing w:before="2"/>
              <w:rPr>
                <w:b/>
                <w:sz w:val="29"/>
              </w:rPr>
            </w:pPr>
          </w:p>
          <w:p>
            <w:pPr>
              <w:pStyle w:val="TableParagraph"/>
              <w:ind w:left="113"/>
              <w:rPr>
                <w:sz w:val="20"/>
              </w:rPr>
            </w:pPr>
            <w:r>
              <w:rPr>
                <w:w w:val="99"/>
                <w:sz w:val="20"/>
              </w:rPr>
              <w:t>0</w:t>
            </w:r>
          </w:p>
        </w:tc>
        <w:tc>
          <w:tcPr>
            <w:tcW w:w="620" w:type="dxa"/>
            <w:vMerge w:val="restart"/>
          </w:tcPr>
          <w:p>
            <w:pPr>
              <w:pStyle w:val="TableParagraph"/>
              <w:rPr>
                <w:b/>
                <w:sz w:val="22"/>
              </w:rPr>
            </w:pPr>
          </w:p>
          <w:p>
            <w:pPr>
              <w:pStyle w:val="TableParagraph"/>
              <w:rPr>
                <w:b/>
                <w:sz w:val="22"/>
              </w:rPr>
            </w:pPr>
          </w:p>
          <w:p>
            <w:pPr>
              <w:pStyle w:val="TableParagraph"/>
              <w:spacing w:before="2"/>
              <w:rPr>
                <w:b/>
                <w:sz w:val="29"/>
              </w:rPr>
            </w:pPr>
          </w:p>
          <w:p>
            <w:pPr>
              <w:pStyle w:val="TableParagraph"/>
              <w:ind w:left="112"/>
              <w:rPr>
                <w:sz w:val="20"/>
              </w:rPr>
            </w:pPr>
            <w:r>
              <w:rPr>
                <w:sz w:val="20"/>
              </w:rPr>
              <w:t>R/W</w:t>
            </w:r>
          </w:p>
        </w:tc>
        <w:tc>
          <w:tcPr>
            <w:tcW w:w="8035" w:type="dxa"/>
            <w:gridSpan w:val="16"/>
            <w:tcBorders>
              <w:bottom w:val="nil"/>
            </w:tcBorders>
          </w:tcPr>
          <w:p>
            <w:pPr>
              <w:pStyle w:val="TableParagraph"/>
              <w:spacing w:before="16"/>
              <w:ind w:left="104"/>
              <w:rPr>
                <w:sz w:val="20"/>
              </w:rPr>
            </w:pPr>
            <w:r>
              <w:rPr>
                <w:sz w:val="20"/>
              </w:rPr>
              <w:t>Serial EEPROM interface control.</w:t>
            </w:r>
          </w:p>
        </w:tc>
      </w:tr>
      <w:tr>
        <w:trPr>
          <w:trHeight w:val="498" w:hRule="atLeast"/>
        </w:trPr>
        <w:tc>
          <w:tcPr>
            <w:tcW w:w="2254" w:type="dxa"/>
            <w:vMerge/>
            <w:tcBorders>
              <w:top w:val="nil"/>
            </w:tcBorders>
          </w:tcPr>
          <w:p>
            <w:pPr>
              <w:rPr>
                <w:sz w:val="2"/>
                <w:szCs w:val="2"/>
              </w:rPr>
            </w:pPr>
          </w:p>
        </w:tc>
        <w:tc>
          <w:tcPr>
            <w:tcW w:w="1124" w:type="dxa"/>
            <w:vMerge/>
            <w:tcBorders>
              <w:top w:val="nil"/>
            </w:tcBorders>
          </w:tcPr>
          <w:p>
            <w:pPr>
              <w:rPr>
                <w:sz w:val="2"/>
                <w:szCs w:val="2"/>
              </w:rPr>
            </w:pPr>
          </w:p>
        </w:tc>
        <w:tc>
          <w:tcPr>
            <w:tcW w:w="344" w:type="dxa"/>
            <w:vMerge/>
            <w:tcBorders>
              <w:top w:val="nil"/>
            </w:tcBorders>
          </w:tcPr>
          <w:p>
            <w:pPr>
              <w:rPr>
                <w:sz w:val="2"/>
                <w:szCs w:val="2"/>
              </w:rPr>
            </w:pPr>
          </w:p>
        </w:tc>
        <w:tc>
          <w:tcPr>
            <w:tcW w:w="344" w:type="dxa"/>
            <w:vMerge/>
            <w:tcBorders>
              <w:top w:val="nil"/>
            </w:tcBorders>
          </w:tcPr>
          <w:p>
            <w:pPr>
              <w:rPr>
                <w:sz w:val="2"/>
                <w:szCs w:val="2"/>
              </w:rPr>
            </w:pPr>
          </w:p>
        </w:tc>
        <w:tc>
          <w:tcPr>
            <w:tcW w:w="620" w:type="dxa"/>
            <w:vMerge/>
            <w:tcBorders>
              <w:top w:val="nil"/>
            </w:tcBorders>
          </w:tcPr>
          <w:p>
            <w:pPr>
              <w:rPr>
                <w:sz w:val="2"/>
                <w:szCs w:val="2"/>
              </w:rPr>
            </w:pPr>
          </w:p>
        </w:tc>
        <w:tc>
          <w:tcPr>
            <w:tcW w:w="267" w:type="dxa"/>
            <w:gridSpan w:val="2"/>
            <w:vMerge w:val="restart"/>
            <w:tcBorders>
              <w:top w:val="nil"/>
            </w:tcBorders>
          </w:tcPr>
          <w:p>
            <w:pPr>
              <w:pStyle w:val="TableParagraph"/>
              <w:rPr>
                <w:rFonts w:ascii="Times New Roman"/>
                <w:sz w:val="18"/>
              </w:rPr>
            </w:pPr>
          </w:p>
        </w:tc>
        <w:tc>
          <w:tcPr>
            <w:tcW w:w="766" w:type="dxa"/>
          </w:tcPr>
          <w:p>
            <w:pPr>
              <w:pStyle w:val="TableParagraph"/>
              <w:spacing w:before="16"/>
              <w:ind w:left="245" w:hanging="173"/>
              <w:rPr>
                <w:b/>
                <w:sz w:val="20"/>
              </w:rPr>
            </w:pPr>
            <w:r>
              <w:rPr>
                <w:b/>
                <w:w w:val="95"/>
                <w:sz w:val="20"/>
              </w:rPr>
              <w:t>Status </w:t>
            </w:r>
            <w:r>
              <w:rPr>
                <w:b/>
                <w:sz w:val="20"/>
              </w:rPr>
              <w:t>Bit</w:t>
            </w:r>
          </w:p>
        </w:tc>
        <w:tc>
          <w:tcPr>
            <w:tcW w:w="896" w:type="dxa"/>
            <w:gridSpan w:val="3"/>
          </w:tcPr>
          <w:p>
            <w:pPr>
              <w:pStyle w:val="TableParagraph"/>
              <w:spacing w:before="131"/>
              <w:ind w:left="168"/>
              <w:rPr>
                <w:b/>
                <w:sz w:val="20"/>
              </w:rPr>
            </w:pPr>
            <w:r>
              <w:rPr>
                <w:b/>
                <w:sz w:val="20"/>
              </w:rPr>
              <w:t>Name</w:t>
            </w:r>
          </w:p>
        </w:tc>
        <w:tc>
          <w:tcPr>
            <w:tcW w:w="820" w:type="dxa"/>
          </w:tcPr>
          <w:p>
            <w:pPr>
              <w:pStyle w:val="TableParagraph"/>
              <w:spacing w:before="16"/>
              <w:ind w:left="150" w:hanging="22"/>
              <w:rPr>
                <w:b/>
                <w:sz w:val="20"/>
              </w:rPr>
            </w:pPr>
            <w:r>
              <w:rPr>
                <w:b/>
                <w:w w:val="95"/>
                <w:sz w:val="20"/>
              </w:rPr>
              <w:t>Read/ </w:t>
            </w:r>
            <w:r>
              <w:rPr>
                <w:b/>
                <w:sz w:val="20"/>
              </w:rPr>
              <w:t>Write</w:t>
            </w:r>
          </w:p>
        </w:tc>
        <w:tc>
          <w:tcPr>
            <w:tcW w:w="695" w:type="dxa"/>
            <w:gridSpan w:val="2"/>
          </w:tcPr>
          <w:p>
            <w:pPr>
              <w:pStyle w:val="TableParagraph"/>
              <w:spacing w:before="16"/>
              <w:ind w:left="91" w:hanging="27"/>
              <w:rPr>
                <w:b/>
                <w:sz w:val="20"/>
              </w:rPr>
            </w:pPr>
            <w:r>
              <w:rPr>
                <w:b/>
                <w:sz w:val="20"/>
              </w:rPr>
              <w:t>Reset State</w:t>
            </w:r>
          </w:p>
        </w:tc>
        <w:tc>
          <w:tcPr>
            <w:tcW w:w="853" w:type="dxa"/>
            <w:gridSpan w:val="2"/>
          </w:tcPr>
          <w:p>
            <w:pPr>
              <w:pStyle w:val="TableParagraph"/>
              <w:spacing w:before="131"/>
              <w:ind w:left="46"/>
              <w:rPr>
                <w:b/>
                <w:sz w:val="20"/>
              </w:rPr>
            </w:pPr>
            <w:r>
              <w:rPr>
                <w:b/>
                <w:sz w:val="20"/>
              </w:rPr>
              <w:t>Polarity</w:t>
            </w:r>
          </w:p>
        </w:tc>
        <w:tc>
          <w:tcPr>
            <w:tcW w:w="3468" w:type="dxa"/>
            <w:gridSpan w:val="3"/>
          </w:tcPr>
          <w:p>
            <w:pPr>
              <w:pStyle w:val="TableParagraph"/>
              <w:spacing w:before="131"/>
              <w:ind w:left="43"/>
              <w:rPr>
                <w:b/>
                <w:sz w:val="20"/>
              </w:rPr>
            </w:pPr>
            <w:r>
              <w:rPr>
                <w:b/>
                <w:sz w:val="20"/>
              </w:rPr>
              <w:t>Description</w:t>
            </w:r>
          </w:p>
        </w:tc>
        <w:tc>
          <w:tcPr>
            <w:tcW w:w="270" w:type="dxa"/>
            <w:gridSpan w:val="2"/>
            <w:vMerge w:val="restart"/>
            <w:tcBorders>
              <w:top w:val="nil"/>
            </w:tcBorders>
          </w:tcPr>
          <w:p>
            <w:pPr>
              <w:pStyle w:val="TableParagraph"/>
              <w:rPr>
                <w:rFonts w:ascii="Times New Roman"/>
                <w:sz w:val="18"/>
              </w:rPr>
            </w:pPr>
          </w:p>
        </w:tc>
      </w:tr>
      <w:tr>
        <w:trPr>
          <w:trHeight w:val="270" w:hRule="atLeast"/>
        </w:trPr>
        <w:tc>
          <w:tcPr>
            <w:tcW w:w="2254" w:type="dxa"/>
            <w:vMerge/>
            <w:tcBorders>
              <w:top w:val="nil"/>
            </w:tcBorders>
          </w:tcPr>
          <w:p>
            <w:pPr>
              <w:rPr>
                <w:sz w:val="2"/>
                <w:szCs w:val="2"/>
              </w:rPr>
            </w:pPr>
          </w:p>
        </w:tc>
        <w:tc>
          <w:tcPr>
            <w:tcW w:w="1124" w:type="dxa"/>
            <w:vMerge/>
            <w:tcBorders>
              <w:top w:val="nil"/>
            </w:tcBorders>
          </w:tcPr>
          <w:p>
            <w:pPr>
              <w:rPr>
                <w:sz w:val="2"/>
                <w:szCs w:val="2"/>
              </w:rPr>
            </w:pPr>
          </w:p>
        </w:tc>
        <w:tc>
          <w:tcPr>
            <w:tcW w:w="344" w:type="dxa"/>
            <w:vMerge/>
            <w:tcBorders>
              <w:top w:val="nil"/>
            </w:tcBorders>
          </w:tcPr>
          <w:p>
            <w:pPr>
              <w:rPr>
                <w:sz w:val="2"/>
                <w:szCs w:val="2"/>
              </w:rPr>
            </w:pPr>
          </w:p>
        </w:tc>
        <w:tc>
          <w:tcPr>
            <w:tcW w:w="344" w:type="dxa"/>
            <w:vMerge/>
            <w:tcBorders>
              <w:top w:val="nil"/>
            </w:tcBorders>
          </w:tcPr>
          <w:p>
            <w:pPr>
              <w:rPr>
                <w:sz w:val="2"/>
                <w:szCs w:val="2"/>
              </w:rPr>
            </w:pPr>
          </w:p>
        </w:tc>
        <w:tc>
          <w:tcPr>
            <w:tcW w:w="620" w:type="dxa"/>
            <w:vMerge/>
            <w:tcBorders>
              <w:top w:val="nil"/>
            </w:tcBorders>
          </w:tcPr>
          <w:p>
            <w:pPr>
              <w:rPr>
                <w:sz w:val="2"/>
                <w:szCs w:val="2"/>
              </w:rPr>
            </w:pPr>
          </w:p>
        </w:tc>
        <w:tc>
          <w:tcPr>
            <w:tcW w:w="267" w:type="dxa"/>
            <w:gridSpan w:val="2"/>
            <w:vMerge/>
            <w:tcBorders>
              <w:top w:val="nil"/>
            </w:tcBorders>
          </w:tcPr>
          <w:p>
            <w:pPr>
              <w:rPr>
                <w:sz w:val="2"/>
                <w:szCs w:val="2"/>
              </w:rPr>
            </w:pPr>
          </w:p>
        </w:tc>
        <w:tc>
          <w:tcPr>
            <w:tcW w:w="766" w:type="dxa"/>
          </w:tcPr>
          <w:p>
            <w:pPr>
              <w:pStyle w:val="TableParagraph"/>
              <w:spacing w:before="21"/>
              <w:ind w:right="1"/>
              <w:jc w:val="center"/>
              <w:rPr>
                <w:sz w:val="20"/>
              </w:rPr>
            </w:pPr>
            <w:r>
              <w:rPr>
                <w:w w:val="99"/>
                <w:sz w:val="20"/>
              </w:rPr>
              <w:t>7</w:t>
            </w:r>
          </w:p>
        </w:tc>
        <w:tc>
          <w:tcPr>
            <w:tcW w:w="896" w:type="dxa"/>
            <w:gridSpan w:val="3"/>
          </w:tcPr>
          <w:p>
            <w:pPr>
              <w:pStyle w:val="TableParagraph"/>
              <w:spacing w:before="18"/>
              <w:ind w:left="52"/>
              <w:rPr>
                <w:i/>
                <w:sz w:val="20"/>
              </w:rPr>
            </w:pPr>
            <w:r>
              <w:rPr>
                <w:i/>
                <w:sz w:val="20"/>
              </w:rPr>
              <w:t>ERROR</w:t>
            </w:r>
          </w:p>
        </w:tc>
        <w:tc>
          <w:tcPr>
            <w:tcW w:w="820" w:type="dxa"/>
          </w:tcPr>
          <w:p>
            <w:pPr>
              <w:pStyle w:val="TableParagraph"/>
              <w:spacing w:before="21"/>
              <w:ind w:right="8"/>
              <w:jc w:val="center"/>
              <w:rPr>
                <w:sz w:val="20"/>
              </w:rPr>
            </w:pPr>
            <w:r>
              <w:rPr>
                <w:w w:val="99"/>
                <w:sz w:val="20"/>
              </w:rPr>
              <w:t>R</w:t>
            </w:r>
          </w:p>
        </w:tc>
        <w:tc>
          <w:tcPr>
            <w:tcW w:w="695" w:type="dxa"/>
            <w:gridSpan w:val="2"/>
          </w:tcPr>
          <w:p>
            <w:pPr>
              <w:pStyle w:val="TableParagraph"/>
              <w:spacing w:before="21"/>
              <w:ind w:right="10"/>
              <w:jc w:val="center"/>
              <w:rPr>
                <w:sz w:val="20"/>
              </w:rPr>
            </w:pPr>
            <w:r>
              <w:rPr>
                <w:w w:val="99"/>
                <w:sz w:val="20"/>
              </w:rPr>
              <w:t>0</w:t>
            </w:r>
          </w:p>
        </w:tc>
        <w:tc>
          <w:tcPr>
            <w:tcW w:w="853" w:type="dxa"/>
            <w:gridSpan w:val="2"/>
          </w:tcPr>
          <w:p>
            <w:pPr>
              <w:pStyle w:val="TableParagraph"/>
              <w:spacing w:before="21"/>
              <w:ind w:left="46"/>
              <w:rPr>
                <w:sz w:val="20"/>
              </w:rPr>
            </w:pPr>
            <w:r>
              <w:rPr>
                <w:sz w:val="20"/>
              </w:rPr>
              <w:t>Positive</w:t>
            </w:r>
          </w:p>
        </w:tc>
        <w:tc>
          <w:tcPr>
            <w:tcW w:w="3468" w:type="dxa"/>
            <w:gridSpan w:val="3"/>
          </w:tcPr>
          <w:p>
            <w:pPr>
              <w:pStyle w:val="TableParagraph"/>
              <w:spacing w:before="21"/>
              <w:ind w:left="43"/>
              <w:rPr>
                <w:sz w:val="20"/>
              </w:rPr>
            </w:pPr>
            <w:r>
              <w:rPr>
                <w:sz w:val="20"/>
              </w:rPr>
              <w:t>1 </w:t>
            </w:r>
            <w:r>
              <w:rPr>
                <w:spacing w:val="-3"/>
                <w:sz w:val="20"/>
              </w:rPr>
              <w:t>when </w:t>
            </w:r>
            <w:r>
              <w:rPr>
                <w:sz w:val="20"/>
              </w:rPr>
              <w:t>an </w:t>
            </w:r>
            <w:r>
              <w:rPr>
                <w:spacing w:val="-4"/>
                <w:sz w:val="20"/>
              </w:rPr>
              <w:t>illegal command </w:t>
            </w:r>
            <w:r>
              <w:rPr>
                <w:sz w:val="20"/>
              </w:rPr>
              <w:t>is </w:t>
            </w:r>
            <w:r>
              <w:rPr>
                <w:spacing w:val="-4"/>
                <w:sz w:val="20"/>
              </w:rPr>
              <w:t>received.</w:t>
            </w:r>
          </w:p>
        </w:tc>
        <w:tc>
          <w:tcPr>
            <w:tcW w:w="270" w:type="dxa"/>
            <w:gridSpan w:val="2"/>
            <w:vMerge/>
            <w:tcBorders>
              <w:top w:val="nil"/>
            </w:tcBorders>
          </w:tcPr>
          <w:p>
            <w:pPr>
              <w:rPr>
                <w:sz w:val="2"/>
                <w:szCs w:val="2"/>
              </w:rPr>
            </w:pPr>
          </w:p>
        </w:tc>
      </w:tr>
      <w:tr>
        <w:trPr>
          <w:trHeight w:val="270" w:hRule="atLeast"/>
        </w:trPr>
        <w:tc>
          <w:tcPr>
            <w:tcW w:w="2254" w:type="dxa"/>
            <w:vMerge/>
            <w:tcBorders>
              <w:top w:val="nil"/>
            </w:tcBorders>
          </w:tcPr>
          <w:p>
            <w:pPr>
              <w:rPr>
                <w:sz w:val="2"/>
                <w:szCs w:val="2"/>
              </w:rPr>
            </w:pPr>
          </w:p>
        </w:tc>
        <w:tc>
          <w:tcPr>
            <w:tcW w:w="1124" w:type="dxa"/>
            <w:vMerge/>
            <w:tcBorders>
              <w:top w:val="nil"/>
            </w:tcBorders>
          </w:tcPr>
          <w:p>
            <w:pPr>
              <w:rPr>
                <w:sz w:val="2"/>
                <w:szCs w:val="2"/>
              </w:rPr>
            </w:pPr>
          </w:p>
        </w:tc>
        <w:tc>
          <w:tcPr>
            <w:tcW w:w="344" w:type="dxa"/>
            <w:vMerge/>
            <w:tcBorders>
              <w:top w:val="nil"/>
            </w:tcBorders>
          </w:tcPr>
          <w:p>
            <w:pPr>
              <w:rPr>
                <w:sz w:val="2"/>
                <w:szCs w:val="2"/>
              </w:rPr>
            </w:pPr>
          </w:p>
        </w:tc>
        <w:tc>
          <w:tcPr>
            <w:tcW w:w="344" w:type="dxa"/>
            <w:vMerge/>
            <w:tcBorders>
              <w:top w:val="nil"/>
            </w:tcBorders>
          </w:tcPr>
          <w:p>
            <w:pPr>
              <w:rPr>
                <w:sz w:val="2"/>
                <w:szCs w:val="2"/>
              </w:rPr>
            </w:pPr>
          </w:p>
        </w:tc>
        <w:tc>
          <w:tcPr>
            <w:tcW w:w="620" w:type="dxa"/>
            <w:vMerge/>
            <w:tcBorders>
              <w:top w:val="nil"/>
            </w:tcBorders>
          </w:tcPr>
          <w:p>
            <w:pPr>
              <w:rPr>
                <w:sz w:val="2"/>
                <w:szCs w:val="2"/>
              </w:rPr>
            </w:pPr>
          </w:p>
        </w:tc>
        <w:tc>
          <w:tcPr>
            <w:tcW w:w="267" w:type="dxa"/>
            <w:gridSpan w:val="2"/>
            <w:vMerge/>
            <w:tcBorders>
              <w:top w:val="nil"/>
            </w:tcBorders>
          </w:tcPr>
          <w:p>
            <w:pPr>
              <w:rPr>
                <w:sz w:val="2"/>
                <w:szCs w:val="2"/>
              </w:rPr>
            </w:pPr>
          </w:p>
        </w:tc>
        <w:tc>
          <w:tcPr>
            <w:tcW w:w="766" w:type="dxa"/>
          </w:tcPr>
          <w:p>
            <w:pPr>
              <w:pStyle w:val="TableParagraph"/>
              <w:spacing w:before="18"/>
              <w:ind w:right="1"/>
              <w:jc w:val="center"/>
              <w:rPr>
                <w:sz w:val="20"/>
              </w:rPr>
            </w:pPr>
            <w:r>
              <w:rPr>
                <w:w w:val="99"/>
                <w:sz w:val="20"/>
              </w:rPr>
              <w:t>6</w:t>
            </w:r>
          </w:p>
        </w:tc>
        <w:tc>
          <w:tcPr>
            <w:tcW w:w="896" w:type="dxa"/>
            <w:gridSpan w:val="3"/>
          </w:tcPr>
          <w:p>
            <w:pPr>
              <w:pStyle w:val="TableParagraph"/>
              <w:spacing w:before="16"/>
              <w:ind w:left="52"/>
              <w:rPr>
                <w:i/>
                <w:sz w:val="20"/>
              </w:rPr>
            </w:pPr>
            <w:r>
              <w:rPr>
                <w:i/>
                <w:sz w:val="20"/>
              </w:rPr>
              <w:t>BUSY</w:t>
            </w:r>
          </w:p>
        </w:tc>
        <w:tc>
          <w:tcPr>
            <w:tcW w:w="820" w:type="dxa"/>
          </w:tcPr>
          <w:p>
            <w:pPr>
              <w:pStyle w:val="TableParagraph"/>
              <w:spacing w:before="18"/>
              <w:ind w:right="8"/>
              <w:jc w:val="center"/>
              <w:rPr>
                <w:sz w:val="20"/>
              </w:rPr>
            </w:pPr>
            <w:r>
              <w:rPr>
                <w:w w:val="99"/>
                <w:sz w:val="20"/>
              </w:rPr>
              <w:t>R</w:t>
            </w:r>
          </w:p>
        </w:tc>
        <w:tc>
          <w:tcPr>
            <w:tcW w:w="695" w:type="dxa"/>
            <w:gridSpan w:val="2"/>
          </w:tcPr>
          <w:p>
            <w:pPr>
              <w:pStyle w:val="TableParagraph"/>
              <w:spacing w:before="18"/>
              <w:ind w:right="10"/>
              <w:jc w:val="center"/>
              <w:rPr>
                <w:sz w:val="20"/>
              </w:rPr>
            </w:pPr>
            <w:r>
              <w:rPr>
                <w:w w:val="99"/>
                <w:sz w:val="20"/>
              </w:rPr>
              <w:t>0</w:t>
            </w:r>
          </w:p>
        </w:tc>
        <w:tc>
          <w:tcPr>
            <w:tcW w:w="853" w:type="dxa"/>
            <w:gridSpan w:val="2"/>
          </w:tcPr>
          <w:p>
            <w:pPr>
              <w:pStyle w:val="TableParagraph"/>
              <w:spacing w:before="18"/>
              <w:ind w:left="46"/>
              <w:rPr>
                <w:sz w:val="20"/>
              </w:rPr>
            </w:pPr>
            <w:r>
              <w:rPr>
                <w:sz w:val="20"/>
              </w:rPr>
              <w:t>Positive</w:t>
            </w:r>
          </w:p>
        </w:tc>
        <w:tc>
          <w:tcPr>
            <w:tcW w:w="3468" w:type="dxa"/>
            <w:gridSpan w:val="3"/>
          </w:tcPr>
          <w:p>
            <w:pPr>
              <w:pStyle w:val="TableParagraph"/>
              <w:spacing w:before="18"/>
              <w:ind w:left="43"/>
              <w:rPr>
                <w:sz w:val="20"/>
              </w:rPr>
            </w:pPr>
            <w:r>
              <w:rPr>
                <w:sz w:val="20"/>
              </w:rPr>
              <w:t>1 when serial data bus is busy.</w:t>
            </w:r>
          </w:p>
        </w:tc>
        <w:tc>
          <w:tcPr>
            <w:tcW w:w="270" w:type="dxa"/>
            <w:gridSpan w:val="2"/>
            <w:vMerge/>
            <w:tcBorders>
              <w:top w:val="nil"/>
            </w:tcBorders>
          </w:tcPr>
          <w:p>
            <w:pPr>
              <w:rPr>
                <w:sz w:val="2"/>
                <w:szCs w:val="2"/>
              </w:rPr>
            </w:pPr>
          </w:p>
        </w:tc>
      </w:tr>
      <w:tr>
        <w:trPr>
          <w:trHeight w:val="520" w:hRule="atLeast"/>
        </w:trPr>
        <w:tc>
          <w:tcPr>
            <w:tcW w:w="2254" w:type="dxa"/>
            <w:vMerge/>
            <w:tcBorders>
              <w:top w:val="nil"/>
            </w:tcBorders>
          </w:tcPr>
          <w:p>
            <w:pPr>
              <w:rPr>
                <w:sz w:val="2"/>
                <w:szCs w:val="2"/>
              </w:rPr>
            </w:pPr>
          </w:p>
        </w:tc>
        <w:tc>
          <w:tcPr>
            <w:tcW w:w="1124" w:type="dxa"/>
            <w:vMerge/>
            <w:tcBorders>
              <w:top w:val="nil"/>
            </w:tcBorders>
          </w:tcPr>
          <w:p>
            <w:pPr>
              <w:rPr>
                <w:sz w:val="2"/>
                <w:szCs w:val="2"/>
              </w:rPr>
            </w:pPr>
          </w:p>
        </w:tc>
        <w:tc>
          <w:tcPr>
            <w:tcW w:w="344" w:type="dxa"/>
            <w:vMerge/>
            <w:tcBorders>
              <w:top w:val="nil"/>
            </w:tcBorders>
          </w:tcPr>
          <w:p>
            <w:pPr>
              <w:rPr>
                <w:sz w:val="2"/>
                <w:szCs w:val="2"/>
              </w:rPr>
            </w:pPr>
          </w:p>
        </w:tc>
        <w:tc>
          <w:tcPr>
            <w:tcW w:w="344" w:type="dxa"/>
            <w:vMerge/>
            <w:tcBorders>
              <w:top w:val="nil"/>
            </w:tcBorders>
          </w:tcPr>
          <w:p>
            <w:pPr>
              <w:rPr>
                <w:sz w:val="2"/>
                <w:szCs w:val="2"/>
              </w:rPr>
            </w:pPr>
          </w:p>
        </w:tc>
        <w:tc>
          <w:tcPr>
            <w:tcW w:w="620" w:type="dxa"/>
            <w:vMerge/>
            <w:tcBorders>
              <w:top w:val="nil"/>
            </w:tcBorders>
          </w:tcPr>
          <w:p>
            <w:pPr>
              <w:rPr>
                <w:sz w:val="2"/>
                <w:szCs w:val="2"/>
              </w:rPr>
            </w:pPr>
          </w:p>
        </w:tc>
        <w:tc>
          <w:tcPr>
            <w:tcW w:w="267" w:type="dxa"/>
            <w:gridSpan w:val="2"/>
            <w:vMerge/>
            <w:tcBorders>
              <w:top w:val="nil"/>
            </w:tcBorders>
          </w:tcPr>
          <w:p>
            <w:pPr>
              <w:rPr>
                <w:sz w:val="2"/>
                <w:szCs w:val="2"/>
              </w:rPr>
            </w:pPr>
          </w:p>
        </w:tc>
        <w:tc>
          <w:tcPr>
            <w:tcW w:w="766" w:type="dxa"/>
            <w:tcBorders>
              <w:bottom w:val="double" w:sz="1" w:space="0" w:color="000000"/>
            </w:tcBorders>
          </w:tcPr>
          <w:p>
            <w:pPr>
              <w:pStyle w:val="TableParagraph"/>
              <w:spacing w:before="134"/>
              <w:ind w:right="1"/>
              <w:jc w:val="center"/>
              <w:rPr>
                <w:sz w:val="20"/>
              </w:rPr>
            </w:pPr>
            <w:r>
              <w:rPr>
                <w:w w:val="99"/>
                <w:sz w:val="20"/>
              </w:rPr>
              <w:t>5</w:t>
            </w:r>
          </w:p>
        </w:tc>
        <w:tc>
          <w:tcPr>
            <w:tcW w:w="896" w:type="dxa"/>
            <w:gridSpan w:val="3"/>
            <w:tcBorders>
              <w:bottom w:val="double" w:sz="1" w:space="0" w:color="000000"/>
            </w:tcBorders>
          </w:tcPr>
          <w:p>
            <w:pPr>
              <w:pStyle w:val="TableParagraph"/>
              <w:spacing w:before="131"/>
              <w:ind w:left="52"/>
              <w:rPr>
                <w:i/>
                <w:sz w:val="20"/>
              </w:rPr>
            </w:pPr>
            <w:r>
              <w:rPr>
                <w:i/>
                <w:sz w:val="20"/>
              </w:rPr>
              <w:t>RX_ACK</w:t>
            </w:r>
          </w:p>
        </w:tc>
        <w:tc>
          <w:tcPr>
            <w:tcW w:w="820" w:type="dxa"/>
            <w:tcBorders>
              <w:bottom w:val="double" w:sz="1" w:space="0" w:color="000000"/>
            </w:tcBorders>
          </w:tcPr>
          <w:p>
            <w:pPr>
              <w:pStyle w:val="TableParagraph"/>
              <w:spacing w:before="134"/>
              <w:ind w:right="8"/>
              <w:jc w:val="center"/>
              <w:rPr>
                <w:sz w:val="20"/>
              </w:rPr>
            </w:pPr>
            <w:r>
              <w:rPr>
                <w:w w:val="99"/>
                <w:sz w:val="20"/>
              </w:rPr>
              <w:t>R</w:t>
            </w:r>
          </w:p>
        </w:tc>
        <w:tc>
          <w:tcPr>
            <w:tcW w:w="695" w:type="dxa"/>
            <w:gridSpan w:val="2"/>
            <w:tcBorders>
              <w:bottom w:val="double" w:sz="1" w:space="0" w:color="000000"/>
            </w:tcBorders>
          </w:tcPr>
          <w:p>
            <w:pPr>
              <w:pStyle w:val="TableParagraph"/>
              <w:spacing w:before="134"/>
              <w:ind w:right="10"/>
              <w:jc w:val="center"/>
              <w:rPr>
                <w:sz w:val="20"/>
              </w:rPr>
            </w:pPr>
            <w:r>
              <w:rPr>
                <w:w w:val="99"/>
                <w:sz w:val="20"/>
              </w:rPr>
              <w:t>1</w:t>
            </w:r>
          </w:p>
        </w:tc>
        <w:tc>
          <w:tcPr>
            <w:tcW w:w="853" w:type="dxa"/>
            <w:gridSpan w:val="2"/>
            <w:tcBorders>
              <w:bottom w:val="double" w:sz="1" w:space="0" w:color="000000"/>
            </w:tcBorders>
          </w:tcPr>
          <w:p>
            <w:pPr>
              <w:pStyle w:val="TableParagraph"/>
              <w:spacing w:before="134"/>
              <w:ind w:left="46"/>
              <w:rPr>
                <w:sz w:val="20"/>
              </w:rPr>
            </w:pPr>
            <w:r>
              <w:rPr>
                <w:sz w:val="20"/>
              </w:rPr>
              <w:t>Positive</w:t>
            </w:r>
          </w:p>
        </w:tc>
        <w:tc>
          <w:tcPr>
            <w:tcW w:w="3468" w:type="dxa"/>
            <w:gridSpan w:val="3"/>
            <w:tcBorders>
              <w:bottom w:val="double" w:sz="1" w:space="0" w:color="000000"/>
            </w:tcBorders>
          </w:tcPr>
          <w:p>
            <w:pPr>
              <w:pStyle w:val="TableParagraph"/>
              <w:spacing w:before="18"/>
              <w:ind w:left="43" w:right="82"/>
              <w:rPr>
                <w:sz w:val="20"/>
              </w:rPr>
            </w:pPr>
            <w:r>
              <w:rPr>
                <w:sz w:val="20"/>
              </w:rPr>
              <w:t>1 indicates that the EEPROM sent an ACK bit.</w:t>
            </w:r>
          </w:p>
        </w:tc>
        <w:tc>
          <w:tcPr>
            <w:tcW w:w="270" w:type="dxa"/>
            <w:gridSpan w:val="2"/>
            <w:vMerge/>
            <w:tcBorders>
              <w:top w:val="nil"/>
            </w:tcBorders>
          </w:tcPr>
          <w:p>
            <w:pPr>
              <w:rPr>
                <w:sz w:val="2"/>
                <w:szCs w:val="2"/>
              </w:rPr>
            </w:pPr>
          </w:p>
        </w:tc>
      </w:tr>
      <w:tr>
        <w:trPr>
          <w:trHeight w:val="298" w:hRule="atLeast"/>
        </w:trPr>
        <w:tc>
          <w:tcPr>
            <w:tcW w:w="2254"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26"/>
              </w:rPr>
            </w:pPr>
          </w:p>
          <w:p>
            <w:pPr>
              <w:pStyle w:val="TableParagraph"/>
              <w:ind w:left="107"/>
              <w:rPr>
                <w:rFonts w:ascii="Times New Roman"/>
                <w:i/>
                <w:sz w:val="20"/>
              </w:rPr>
            </w:pPr>
            <w:r>
              <w:rPr>
                <w:rFonts w:ascii="Times New Roman"/>
                <w:i/>
                <w:sz w:val="20"/>
              </w:rPr>
              <w:t>EQU[2:0]</w:t>
            </w:r>
          </w:p>
        </w:tc>
        <w:tc>
          <w:tcPr>
            <w:tcW w:w="1124"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rPr>
                <w:b/>
                <w:sz w:val="27"/>
              </w:rPr>
            </w:pPr>
          </w:p>
          <w:p>
            <w:pPr>
              <w:pStyle w:val="TableParagraph"/>
              <w:ind w:left="143"/>
              <w:rPr>
                <w:sz w:val="20"/>
              </w:rPr>
            </w:pPr>
            <w:r>
              <w:rPr>
                <w:sz w:val="20"/>
              </w:rPr>
              <w:t>2106[7:5]</w:t>
            </w:r>
          </w:p>
        </w:tc>
        <w:tc>
          <w:tcPr>
            <w:tcW w:w="344"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rPr>
                <w:b/>
                <w:sz w:val="27"/>
              </w:rPr>
            </w:pPr>
          </w:p>
          <w:p>
            <w:pPr>
              <w:pStyle w:val="TableParagraph"/>
              <w:ind w:left="113"/>
              <w:rPr>
                <w:sz w:val="20"/>
              </w:rPr>
            </w:pPr>
            <w:r>
              <w:rPr>
                <w:w w:val="99"/>
                <w:sz w:val="20"/>
              </w:rPr>
              <w:t>0</w:t>
            </w:r>
          </w:p>
        </w:tc>
        <w:tc>
          <w:tcPr>
            <w:tcW w:w="344"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rPr>
                <w:b/>
                <w:sz w:val="27"/>
              </w:rPr>
            </w:pPr>
          </w:p>
          <w:p>
            <w:pPr>
              <w:pStyle w:val="TableParagraph"/>
              <w:ind w:left="113"/>
              <w:rPr>
                <w:sz w:val="20"/>
              </w:rPr>
            </w:pPr>
            <w:r>
              <w:rPr>
                <w:w w:val="99"/>
                <w:sz w:val="20"/>
              </w:rPr>
              <w:t>0</w:t>
            </w:r>
          </w:p>
        </w:tc>
        <w:tc>
          <w:tcPr>
            <w:tcW w:w="62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rPr>
                <w:b/>
                <w:sz w:val="27"/>
              </w:rPr>
            </w:pPr>
          </w:p>
          <w:p>
            <w:pPr>
              <w:pStyle w:val="TableParagraph"/>
              <w:ind w:left="112"/>
              <w:rPr>
                <w:sz w:val="20"/>
              </w:rPr>
            </w:pPr>
            <w:r>
              <w:rPr>
                <w:sz w:val="20"/>
              </w:rPr>
              <w:t>R/W</w:t>
            </w:r>
          </w:p>
        </w:tc>
        <w:tc>
          <w:tcPr>
            <w:tcW w:w="8035" w:type="dxa"/>
            <w:gridSpan w:val="16"/>
            <w:tcBorders>
              <w:top w:val="nil"/>
              <w:bottom w:val="single" w:sz="12" w:space="0" w:color="000000"/>
            </w:tcBorders>
          </w:tcPr>
          <w:p>
            <w:pPr>
              <w:pStyle w:val="TableParagraph"/>
              <w:spacing w:before="6"/>
              <w:ind w:left="104"/>
              <w:rPr>
                <w:sz w:val="20"/>
              </w:rPr>
            </w:pPr>
            <w:r>
              <w:rPr>
                <w:sz w:val="20"/>
              </w:rPr>
              <w:t>Specifies the power equation.</w:t>
            </w:r>
          </w:p>
        </w:tc>
      </w:tr>
      <w:tr>
        <w:trPr>
          <w:trHeight w:val="459" w:hRule="atLeast"/>
        </w:trPr>
        <w:tc>
          <w:tcPr>
            <w:tcW w:w="2254" w:type="dxa"/>
            <w:vMerge/>
            <w:tcBorders>
              <w:top w:val="nil"/>
            </w:tcBorders>
          </w:tcPr>
          <w:p>
            <w:pPr>
              <w:rPr>
                <w:sz w:val="2"/>
                <w:szCs w:val="2"/>
              </w:rPr>
            </w:pPr>
          </w:p>
        </w:tc>
        <w:tc>
          <w:tcPr>
            <w:tcW w:w="1124" w:type="dxa"/>
            <w:vMerge/>
            <w:tcBorders>
              <w:top w:val="nil"/>
            </w:tcBorders>
          </w:tcPr>
          <w:p>
            <w:pPr>
              <w:rPr>
                <w:sz w:val="2"/>
                <w:szCs w:val="2"/>
              </w:rPr>
            </w:pPr>
          </w:p>
        </w:tc>
        <w:tc>
          <w:tcPr>
            <w:tcW w:w="344" w:type="dxa"/>
            <w:vMerge/>
            <w:tcBorders>
              <w:top w:val="nil"/>
            </w:tcBorders>
          </w:tcPr>
          <w:p>
            <w:pPr>
              <w:rPr>
                <w:sz w:val="2"/>
                <w:szCs w:val="2"/>
              </w:rPr>
            </w:pPr>
          </w:p>
        </w:tc>
        <w:tc>
          <w:tcPr>
            <w:tcW w:w="344" w:type="dxa"/>
            <w:vMerge/>
            <w:tcBorders>
              <w:top w:val="nil"/>
            </w:tcBorders>
          </w:tcPr>
          <w:p>
            <w:pPr>
              <w:rPr>
                <w:sz w:val="2"/>
                <w:szCs w:val="2"/>
              </w:rPr>
            </w:pPr>
          </w:p>
        </w:tc>
        <w:tc>
          <w:tcPr>
            <w:tcW w:w="620" w:type="dxa"/>
            <w:vMerge/>
            <w:tcBorders>
              <w:top w:val="nil"/>
            </w:tcBorders>
          </w:tcPr>
          <w:p>
            <w:pPr>
              <w:rPr>
                <w:sz w:val="2"/>
                <w:szCs w:val="2"/>
              </w:rPr>
            </w:pPr>
          </w:p>
        </w:tc>
        <w:tc>
          <w:tcPr>
            <w:tcW w:w="118" w:type="dxa"/>
            <w:vMerge w:val="restart"/>
            <w:tcBorders>
              <w:top w:val="nil"/>
              <w:right w:val="single" w:sz="12" w:space="0" w:color="000000"/>
            </w:tcBorders>
          </w:tcPr>
          <w:p>
            <w:pPr>
              <w:pStyle w:val="TableParagraph"/>
              <w:rPr>
                <w:rFonts w:ascii="Times New Roman"/>
                <w:sz w:val="18"/>
              </w:rPr>
            </w:pPr>
          </w:p>
        </w:tc>
        <w:tc>
          <w:tcPr>
            <w:tcW w:w="1079" w:type="dxa"/>
            <w:gridSpan w:val="3"/>
            <w:tcBorders>
              <w:top w:val="single" w:sz="12" w:space="0" w:color="000000"/>
              <w:left w:val="single" w:sz="12" w:space="0" w:color="000000"/>
              <w:bottom w:val="single" w:sz="12" w:space="0" w:color="000000"/>
              <w:right w:val="single" w:sz="6" w:space="0" w:color="000000"/>
            </w:tcBorders>
          </w:tcPr>
          <w:p>
            <w:pPr>
              <w:pStyle w:val="TableParagraph"/>
              <w:spacing w:before="112"/>
              <w:ind w:left="98"/>
              <w:rPr>
                <w:b/>
                <w:i/>
                <w:sz w:val="20"/>
              </w:rPr>
            </w:pPr>
            <w:r>
              <w:rPr>
                <w:b/>
                <w:i/>
                <w:sz w:val="20"/>
              </w:rPr>
              <w:t>EQU[2:0]</w:t>
            </w:r>
          </w:p>
        </w:tc>
        <w:tc>
          <w:tcPr>
            <w:tcW w:w="1794" w:type="dxa"/>
            <w:gridSpan w:val="4"/>
            <w:tcBorders>
              <w:top w:val="single" w:sz="12" w:space="0" w:color="000000"/>
              <w:left w:val="single" w:sz="6" w:space="0" w:color="000000"/>
              <w:bottom w:val="single" w:sz="12" w:space="0" w:color="000000"/>
              <w:right w:val="single" w:sz="6" w:space="0" w:color="000000"/>
            </w:tcBorders>
          </w:tcPr>
          <w:p>
            <w:pPr>
              <w:pStyle w:val="TableParagraph"/>
              <w:spacing w:before="109"/>
              <w:ind w:left="335"/>
              <w:rPr>
                <w:b/>
                <w:sz w:val="20"/>
              </w:rPr>
            </w:pPr>
            <w:r>
              <w:rPr>
                <w:b/>
                <w:sz w:val="20"/>
              </w:rPr>
              <w:t>Description</w:t>
            </w:r>
          </w:p>
        </w:tc>
        <w:tc>
          <w:tcPr>
            <w:tcW w:w="1081" w:type="dxa"/>
            <w:gridSpan w:val="2"/>
            <w:tcBorders>
              <w:top w:val="single" w:sz="12" w:space="0" w:color="000000"/>
              <w:left w:val="single" w:sz="6" w:space="0" w:color="000000"/>
              <w:bottom w:val="single" w:sz="12" w:space="0" w:color="000000"/>
              <w:right w:val="single" w:sz="6" w:space="0" w:color="000000"/>
            </w:tcBorders>
          </w:tcPr>
          <w:p>
            <w:pPr>
              <w:pStyle w:val="TableParagraph"/>
              <w:spacing w:line="228" w:lineRule="exact" w:before="1"/>
              <w:ind w:left="470" w:right="105" w:hanging="334"/>
              <w:rPr>
                <w:b/>
                <w:sz w:val="20"/>
              </w:rPr>
            </w:pPr>
            <w:r>
              <w:rPr>
                <w:b/>
                <w:w w:val="95"/>
                <w:sz w:val="20"/>
              </w:rPr>
              <w:t>Element </w:t>
            </w:r>
            <w:r>
              <w:rPr>
                <w:b/>
                <w:sz w:val="20"/>
              </w:rPr>
              <w:t>0</w:t>
            </w:r>
          </w:p>
        </w:tc>
        <w:tc>
          <w:tcPr>
            <w:tcW w:w="1081" w:type="dxa"/>
            <w:gridSpan w:val="2"/>
            <w:tcBorders>
              <w:top w:val="single" w:sz="12" w:space="0" w:color="000000"/>
              <w:left w:val="single" w:sz="6" w:space="0" w:color="000000"/>
              <w:bottom w:val="single" w:sz="12" w:space="0" w:color="000000"/>
              <w:right w:val="single" w:sz="6" w:space="0" w:color="000000"/>
            </w:tcBorders>
          </w:tcPr>
          <w:p>
            <w:pPr>
              <w:pStyle w:val="TableParagraph"/>
              <w:spacing w:line="228" w:lineRule="exact" w:before="1"/>
              <w:ind w:left="464" w:right="105" w:hanging="334"/>
              <w:rPr>
                <w:b/>
                <w:sz w:val="20"/>
              </w:rPr>
            </w:pPr>
            <w:r>
              <w:rPr>
                <w:b/>
                <w:w w:val="95"/>
                <w:sz w:val="20"/>
              </w:rPr>
              <w:t>Element </w:t>
            </w:r>
            <w:r>
              <w:rPr>
                <w:b/>
                <w:sz w:val="20"/>
              </w:rPr>
              <w:t>1</w:t>
            </w:r>
          </w:p>
        </w:tc>
        <w:tc>
          <w:tcPr>
            <w:tcW w:w="1055" w:type="dxa"/>
            <w:tcBorders>
              <w:top w:val="single" w:sz="12" w:space="0" w:color="000000"/>
              <w:left w:val="single" w:sz="6" w:space="0" w:color="000000"/>
              <w:bottom w:val="single" w:sz="12" w:space="0" w:color="000000"/>
              <w:right w:val="single" w:sz="6" w:space="0" w:color="000000"/>
            </w:tcBorders>
          </w:tcPr>
          <w:p>
            <w:pPr>
              <w:pStyle w:val="TableParagraph"/>
              <w:spacing w:line="228" w:lineRule="exact" w:before="1"/>
              <w:ind w:left="451" w:right="92" w:hanging="334"/>
              <w:rPr>
                <w:b/>
                <w:sz w:val="20"/>
              </w:rPr>
            </w:pPr>
            <w:r>
              <w:rPr>
                <w:b/>
                <w:w w:val="95"/>
                <w:sz w:val="20"/>
              </w:rPr>
              <w:t>Element </w:t>
            </w:r>
            <w:r>
              <w:rPr>
                <w:b/>
                <w:sz w:val="20"/>
              </w:rPr>
              <w:t>2</w:t>
            </w:r>
          </w:p>
        </w:tc>
        <w:tc>
          <w:tcPr>
            <w:tcW w:w="1705" w:type="dxa"/>
            <w:gridSpan w:val="2"/>
            <w:tcBorders>
              <w:top w:val="single" w:sz="12" w:space="0" w:color="000000"/>
              <w:left w:val="single" w:sz="6" w:space="0" w:color="000000"/>
              <w:bottom w:val="single" w:sz="12" w:space="0" w:color="000000"/>
              <w:right w:val="single" w:sz="12" w:space="0" w:color="000000"/>
            </w:tcBorders>
          </w:tcPr>
          <w:p>
            <w:pPr>
              <w:pStyle w:val="TableParagraph"/>
              <w:spacing w:line="228" w:lineRule="exact" w:before="1"/>
              <w:ind w:left="104" w:right="113" w:firstLine="4"/>
              <w:rPr>
                <w:b/>
                <w:sz w:val="20"/>
              </w:rPr>
            </w:pPr>
            <w:r>
              <w:rPr>
                <w:b/>
                <w:sz w:val="20"/>
              </w:rPr>
              <w:t>Recommended MUX Sequence</w:t>
            </w:r>
          </w:p>
        </w:tc>
        <w:tc>
          <w:tcPr>
            <w:tcW w:w="122" w:type="dxa"/>
            <w:tcBorders>
              <w:top w:val="nil"/>
              <w:left w:val="single" w:sz="12" w:space="0" w:color="000000"/>
              <w:bottom w:val="nil"/>
            </w:tcBorders>
          </w:tcPr>
          <w:p>
            <w:pPr>
              <w:pStyle w:val="TableParagraph"/>
              <w:rPr>
                <w:rFonts w:ascii="Times New Roman"/>
                <w:sz w:val="18"/>
              </w:rPr>
            </w:pPr>
          </w:p>
        </w:tc>
      </w:tr>
      <w:tr>
        <w:trPr>
          <w:trHeight w:val="476" w:hRule="atLeast"/>
        </w:trPr>
        <w:tc>
          <w:tcPr>
            <w:tcW w:w="2254" w:type="dxa"/>
            <w:vMerge/>
            <w:tcBorders>
              <w:top w:val="nil"/>
            </w:tcBorders>
          </w:tcPr>
          <w:p>
            <w:pPr>
              <w:rPr>
                <w:sz w:val="2"/>
                <w:szCs w:val="2"/>
              </w:rPr>
            </w:pPr>
          </w:p>
        </w:tc>
        <w:tc>
          <w:tcPr>
            <w:tcW w:w="1124" w:type="dxa"/>
            <w:vMerge/>
            <w:tcBorders>
              <w:top w:val="nil"/>
            </w:tcBorders>
          </w:tcPr>
          <w:p>
            <w:pPr>
              <w:rPr>
                <w:sz w:val="2"/>
                <w:szCs w:val="2"/>
              </w:rPr>
            </w:pPr>
          </w:p>
        </w:tc>
        <w:tc>
          <w:tcPr>
            <w:tcW w:w="344" w:type="dxa"/>
            <w:vMerge/>
            <w:tcBorders>
              <w:top w:val="nil"/>
            </w:tcBorders>
          </w:tcPr>
          <w:p>
            <w:pPr>
              <w:rPr>
                <w:sz w:val="2"/>
                <w:szCs w:val="2"/>
              </w:rPr>
            </w:pPr>
          </w:p>
        </w:tc>
        <w:tc>
          <w:tcPr>
            <w:tcW w:w="344" w:type="dxa"/>
            <w:vMerge/>
            <w:tcBorders>
              <w:top w:val="nil"/>
            </w:tcBorders>
          </w:tcPr>
          <w:p>
            <w:pPr>
              <w:rPr>
                <w:sz w:val="2"/>
                <w:szCs w:val="2"/>
              </w:rPr>
            </w:pPr>
          </w:p>
        </w:tc>
        <w:tc>
          <w:tcPr>
            <w:tcW w:w="620" w:type="dxa"/>
            <w:vMerge/>
            <w:tcBorders>
              <w:top w:val="nil"/>
            </w:tcBorders>
          </w:tcPr>
          <w:p>
            <w:pPr>
              <w:rPr>
                <w:sz w:val="2"/>
                <w:szCs w:val="2"/>
              </w:rPr>
            </w:pPr>
          </w:p>
        </w:tc>
        <w:tc>
          <w:tcPr>
            <w:tcW w:w="118" w:type="dxa"/>
            <w:vMerge/>
            <w:tcBorders>
              <w:top w:val="nil"/>
              <w:right w:val="single" w:sz="12" w:space="0" w:color="000000"/>
            </w:tcBorders>
          </w:tcPr>
          <w:p>
            <w:pPr>
              <w:rPr>
                <w:sz w:val="2"/>
                <w:szCs w:val="2"/>
              </w:rPr>
            </w:pPr>
          </w:p>
        </w:tc>
        <w:tc>
          <w:tcPr>
            <w:tcW w:w="1079" w:type="dxa"/>
            <w:gridSpan w:val="3"/>
            <w:tcBorders>
              <w:top w:val="single" w:sz="12" w:space="0" w:color="000000"/>
              <w:left w:val="single" w:sz="12" w:space="0" w:color="000000"/>
              <w:bottom w:val="single" w:sz="6" w:space="0" w:color="000000"/>
              <w:right w:val="single" w:sz="6" w:space="0" w:color="000000"/>
            </w:tcBorders>
          </w:tcPr>
          <w:p>
            <w:pPr>
              <w:pStyle w:val="TableParagraph"/>
              <w:spacing w:before="121"/>
              <w:ind w:right="2"/>
              <w:jc w:val="center"/>
              <w:rPr>
                <w:sz w:val="20"/>
              </w:rPr>
            </w:pPr>
            <w:r>
              <w:rPr>
                <w:w w:val="99"/>
                <w:sz w:val="20"/>
              </w:rPr>
              <w:t>3</w:t>
            </w:r>
          </w:p>
        </w:tc>
        <w:tc>
          <w:tcPr>
            <w:tcW w:w="1794" w:type="dxa"/>
            <w:gridSpan w:val="4"/>
            <w:tcBorders>
              <w:top w:val="single" w:sz="12" w:space="0" w:color="000000"/>
              <w:left w:val="single" w:sz="6" w:space="0" w:color="000000"/>
              <w:bottom w:val="single" w:sz="6" w:space="0" w:color="000000"/>
              <w:right w:val="single" w:sz="6" w:space="0" w:color="000000"/>
            </w:tcBorders>
          </w:tcPr>
          <w:p>
            <w:pPr>
              <w:pStyle w:val="TableParagraph"/>
              <w:spacing w:line="229" w:lineRule="exact"/>
              <w:ind w:left="194" w:right="199"/>
              <w:jc w:val="center"/>
              <w:rPr>
                <w:sz w:val="20"/>
              </w:rPr>
            </w:pPr>
            <w:r>
              <w:rPr>
                <w:sz w:val="20"/>
              </w:rPr>
              <w:t>2 element, 4W,</w:t>
            </w:r>
          </w:p>
          <w:p>
            <w:pPr>
              <w:pStyle w:val="TableParagraph"/>
              <w:spacing w:line="224" w:lineRule="exact" w:before="3"/>
              <w:ind w:left="192" w:right="199"/>
              <w:jc w:val="center"/>
              <w:rPr>
                <w:sz w:val="20"/>
              </w:rPr>
            </w:pPr>
            <w:r>
              <w:rPr>
                <w:sz w:val="20"/>
              </w:rPr>
              <w:t>3</w:t>
            </w:r>
            <w:r>
              <w:rPr>
                <w:rFonts w:ascii="Symbol" w:hAnsi="Symbol"/>
                <w:sz w:val="20"/>
              </w:rPr>
              <w:t></w:t>
            </w:r>
            <w:r>
              <w:rPr>
                <w:rFonts w:ascii="Times New Roman" w:hAnsi="Times New Roman"/>
                <w:sz w:val="20"/>
              </w:rPr>
              <w:t> </w:t>
            </w:r>
            <w:r>
              <w:rPr>
                <w:sz w:val="20"/>
              </w:rPr>
              <w:t>Delta</w:t>
            </w:r>
          </w:p>
        </w:tc>
        <w:tc>
          <w:tcPr>
            <w:tcW w:w="1081" w:type="dxa"/>
            <w:gridSpan w:val="2"/>
            <w:tcBorders>
              <w:top w:val="single" w:sz="12" w:space="0" w:color="000000"/>
              <w:left w:val="single" w:sz="6" w:space="0" w:color="000000"/>
              <w:bottom w:val="single" w:sz="6" w:space="0" w:color="000000"/>
              <w:right w:val="single" w:sz="6" w:space="0" w:color="000000"/>
            </w:tcBorders>
          </w:tcPr>
          <w:p>
            <w:pPr>
              <w:pStyle w:val="TableParagraph"/>
              <w:spacing w:before="142"/>
              <w:ind w:left="120"/>
              <w:rPr>
                <w:sz w:val="16"/>
              </w:rPr>
            </w:pPr>
            <w:r>
              <w:rPr>
                <w:sz w:val="16"/>
              </w:rPr>
              <w:t>VA(IA-IB)/2</w:t>
            </w:r>
          </w:p>
        </w:tc>
        <w:tc>
          <w:tcPr>
            <w:tcW w:w="1081" w:type="dxa"/>
            <w:gridSpan w:val="2"/>
            <w:tcBorders>
              <w:top w:val="single" w:sz="12" w:space="0" w:color="000000"/>
              <w:left w:val="single" w:sz="6" w:space="0" w:color="000000"/>
              <w:bottom w:val="single" w:sz="6" w:space="0" w:color="000000"/>
              <w:right w:val="single" w:sz="6" w:space="0" w:color="000000"/>
            </w:tcBorders>
          </w:tcPr>
          <w:p>
            <w:pPr>
              <w:pStyle w:val="TableParagraph"/>
              <w:spacing w:before="142"/>
              <w:ind w:right="21"/>
              <w:jc w:val="center"/>
              <w:rPr>
                <w:sz w:val="16"/>
              </w:rPr>
            </w:pPr>
            <w:r>
              <w:rPr>
                <w:w w:val="100"/>
                <w:sz w:val="16"/>
              </w:rPr>
              <w:t>0</w:t>
            </w:r>
          </w:p>
        </w:tc>
        <w:tc>
          <w:tcPr>
            <w:tcW w:w="1055" w:type="dxa"/>
            <w:tcBorders>
              <w:top w:val="single" w:sz="12" w:space="0" w:color="000000"/>
              <w:left w:val="single" w:sz="6" w:space="0" w:color="000000"/>
              <w:bottom w:val="single" w:sz="6" w:space="0" w:color="000000"/>
              <w:right w:val="single" w:sz="6" w:space="0" w:color="000000"/>
            </w:tcBorders>
          </w:tcPr>
          <w:p>
            <w:pPr>
              <w:pStyle w:val="TableParagraph"/>
              <w:spacing w:before="142"/>
              <w:ind w:left="276" w:right="296"/>
              <w:jc w:val="center"/>
              <w:rPr>
                <w:sz w:val="16"/>
              </w:rPr>
            </w:pPr>
            <w:r>
              <w:rPr>
                <w:sz w:val="16"/>
              </w:rPr>
              <w:t>VC IC</w:t>
            </w:r>
          </w:p>
        </w:tc>
        <w:tc>
          <w:tcPr>
            <w:tcW w:w="1705" w:type="dxa"/>
            <w:gridSpan w:val="2"/>
            <w:tcBorders>
              <w:top w:val="single" w:sz="12" w:space="0" w:color="000000"/>
              <w:left w:val="single" w:sz="6" w:space="0" w:color="000000"/>
              <w:bottom w:val="single" w:sz="6" w:space="0" w:color="000000"/>
              <w:right w:val="single" w:sz="12" w:space="0" w:color="000000"/>
            </w:tcBorders>
          </w:tcPr>
          <w:p>
            <w:pPr>
              <w:pStyle w:val="TableParagraph"/>
              <w:spacing w:before="142"/>
              <w:ind w:left="289"/>
              <w:rPr>
                <w:sz w:val="16"/>
              </w:rPr>
            </w:pPr>
            <w:r>
              <w:rPr>
                <w:sz w:val="16"/>
              </w:rPr>
              <w:t>IA VA IB IC VC</w:t>
            </w:r>
          </w:p>
        </w:tc>
        <w:tc>
          <w:tcPr>
            <w:tcW w:w="122" w:type="dxa"/>
            <w:tcBorders>
              <w:top w:val="nil"/>
              <w:left w:val="single" w:sz="12" w:space="0" w:color="000000"/>
              <w:bottom w:val="nil"/>
            </w:tcBorders>
          </w:tcPr>
          <w:p>
            <w:pPr>
              <w:pStyle w:val="TableParagraph"/>
              <w:rPr>
                <w:rFonts w:ascii="Times New Roman"/>
                <w:sz w:val="18"/>
              </w:rPr>
            </w:pPr>
          </w:p>
        </w:tc>
      </w:tr>
      <w:tr>
        <w:trPr>
          <w:trHeight w:val="474" w:hRule="atLeast"/>
        </w:trPr>
        <w:tc>
          <w:tcPr>
            <w:tcW w:w="2254" w:type="dxa"/>
            <w:vMerge/>
            <w:tcBorders>
              <w:top w:val="nil"/>
            </w:tcBorders>
          </w:tcPr>
          <w:p>
            <w:pPr>
              <w:rPr>
                <w:sz w:val="2"/>
                <w:szCs w:val="2"/>
              </w:rPr>
            </w:pPr>
          </w:p>
        </w:tc>
        <w:tc>
          <w:tcPr>
            <w:tcW w:w="1124" w:type="dxa"/>
            <w:vMerge/>
            <w:tcBorders>
              <w:top w:val="nil"/>
            </w:tcBorders>
          </w:tcPr>
          <w:p>
            <w:pPr>
              <w:rPr>
                <w:sz w:val="2"/>
                <w:szCs w:val="2"/>
              </w:rPr>
            </w:pPr>
          </w:p>
        </w:tc>
        <w:tc>
          <w:tcPr>
            <w:tcW w:w="344" w:type="dxa"/>
            <w:vMerge/>
            <w:tcBorders>
              <w:top w:val="nil"/>
            </w:tcBorders>
          </w:tcPr>
          <w:p>
            <w:pPr>
              <w:rPr>
                <w:sz w:val="2"/>
                <w:szCs w:val="2"/>
              </w:rPr>
            </w:pPr>
          </w:p>
        </w:tc>
        <w:tc>
          <w:tcPr>
            <w:tcW w:w="344" w:type="dxa"/>
            <w:vMerge/>
            <w:tcBorders>
              <w:top w:val="nil"/>
            </w:tcBorders>
          </w:tcPr>
          <w:p>
            <w:pPr>
              <w:rPr>
                <w:sz w:val="2"/>
                <w:szCs w:val="2"/>
              </w:rPr>
            </w:pPr>
          </w:p>
        </w:tc>
        <w:tc>
          <w:tcPr>
            <w:tcW w:w="620" w:type="dxa"/>
            <w:vMerge/>
            <w:tcBorders>
              <w:top w:val="nil"/>
            </w:tcBorders>
          </w:tcPr>
          <w:p>
            <w:pPr>
              <w:rPr>
                <w:sz w:val="2"/>
                <w:szCs w:val="2"/>
              </w:rPr>
            </w:pPr>
          </w:p>
        </w:tc>
        <w:tc>
          <w:tcPr>
            <w:tcW w:w="118" w:type="dxa"/>
            <w:vMerge/>
            <w:tcBorders>
              <w:top w:val="nil"/>
              <w:right w:val="single" w:sz="12" w:space="0" w:color="000000"/>
            </w:tcBorders>
          </w:tcPr>
          <w:p>
            <w:pPr>
              <w:rPr>
                <w:sz w:val="2"/>
                <w:szCs w:val="2"/>
              </w:rPr>
            </w:pPr>
          </w:p>
        </w:tc>
        <w:tc>
          <w:tcPr>
            <w:tcW w:w="1079" w:type="dxa"/>
            <w:gridSpan w:val="3"/>
            <w:tcBorders>
              <w:top w:val="single" w:sz="6" w:space="0" w:color="000000"/>
              <w:left w:val="single" w:sz="12" w:space="0" w:color="000000"/>
              <w:bottom w:val="single" w:sz="6" w:space="0" w:color="000000"/>
              <w:right w:val="single" w:sz="6" w:space="0" w:color="000000"/>
            </w:tcBorders>
          </w:tcPr>
          <w:p>
            <w:pPr>
              <w:pStyle w:val="TableParagraph"/>
              <w:spacing w:before="119"/>
              <w:ind w:right="2"/>
              <w:jc w:val="center"/>
              <w:rPr>
                <w:sz w:val="20"/>
              </w:rPr>
            </w:pPr>
            <w:r>
              <w:rPr>
                <w:w w:val="99"/>
                <w:sz w:val="20"/>
              </w:rPr>
              <w:t>4</w:t>
            </w:r>
          </w:p>
        </w:tc>
        <w:tc>
          <w:tcPr>
            <w:tcW w:w="1794" w:type="dxa"/>
            <w:gridSpan w:val="4"/>
            <w:tcBorders>
              <w:top w:val="single" w:sz="6" w:space="0" w:color="000000"/>
              <w:left w:val="single" w:sz="6" w:space="0" w:color="000000"/>
              <w:bottom w:val="single" w:sz="6" w:space="0" w:color="000000"/>
              <w:right w:val="single" w:sz="6" w:space="0" w:color="000000"/>
            </w:tcBorders>
          </w:tcPr>
          <w:p>
            <w:pPr>
              <w:pStyle w:val="TableParagraph"/>
              <w:spacing w:line="227" w:lineRule="exact"/>
              <w:ind w:left="194" w:right="199"/>
              <w:jc w:val="center"/>
              <w:rPr>
                <w:sz w:val="20"/>
              </w:rPr>
            </w:pPr>
            <w:r>
              <w:rPr>
                <w:sz w:val="20"/>
              </w:rPr>
              <w:t>2 element, 4W,</w:t>
            </w:r>
          </w:p>
          <w:p>
            <w:pPr>
              <w:pStyle w:val="TableParagraph"/>
              <w:spacing w:line="224" w:lineRule="exact" w:before="3"/>
              <w:ind w:left="184" w:right="199"/>
              <w:jc w:val="center"/>
              <w:rPr>
                <w:sz w:val="20"/>
              </w:rPr>
            </w:pPr>
            <w:r>
              <w:rPr>
                <w:sz w:val="20"/>
              </w:rPr>
              <w:t>3</w:t>
            </w:r>
            <w:r>
              <w:rPr>
                <w:rFonts w:ascii="Symbol" w:hAnsi="Symbol"/>
                <w:sz w:val="20"/>
              </w:rPr>
              <w:t></w:t>
            </w:r>
            <w:r>
              <w:rPr>
                <w:rFonts w:ascii="Times New Roman" w:hAnsi="Times New Roman"/>
                <w:sz w:val="20"/>
              </w:rPr>
              <w:t> </w:t>
            </w:r>
            <w:r>
              <w:rPr>
                <w:sz w:val="20"/>
              </w:rPr>
              <w:t>Wye</w:t>
            </w:r>
          </w:p>
        </w:tc>
        <w:tc>
          <w:tcPr>
            <w:tcW w:w="108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2"/>
              <w:ind w:left="120"/>
              <w:rPr>
                <w:sz w:val="16"/>
              </w:rPr>
            </w:pPr>
            <w:r>
              <w:rPr>
                <w:sz w:val="16"/>
              </w:rPr>
              <w:t>VA(IA-IB)/2</w:t>
            </w:r>
          </w:p>
        </w:tc>
        <w:tc>
          <w:tcPr>
            <w:tcW w:w="108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2"/>
              <w:ind w:left="112"/>
              <w:rPr>
                <w:sz w:val="16"/>
              </w:rPr>
            </w:pPr>
            <w:r>
              <w:rPr>
                <w:sz w:val="16"/>
              </w:rPr>
              <w:t>VB(IC-IB)/2</w:t>
            </w:r>
          </w:p>
        </w:tc>
        <w:tc>
          <w:tcPr>
            <w:tcW w:w="1055" w:type="dxa"/>
            <w:tcBorders>
              <w:top w:val="single" w:sz="6" w:space="0" w:color="000000"/>
              <w:left w:val="single" w:sz="6" w:space="0" w:color="000000"/>
              <w:bottom w:val="single" w:sz="6" w:space="0" w:color="000000"/>
              <w:right w:val="single" w:sz="6" w:space="0" w:color="000000"/>
            </w:tcBorders>
          </w:tcPr>
          <w:p>
            <w:pPr>
              <w:pStyle w:val="TableParagraph"/>
              <w:spacing w:before="142"/>
              <w:ind w:right="25"/>
              <w:jc w:val="center"/>
              <w:rPr>
                <w:sz w:val="16"/>
              </w:rPr>
            </w:pPr>
            <w:r>
              <w:rPr>
                <w:w w:val="100"/>
                <w:sz w:val="16"/>
              </w:rPr>
              <w:t>0</w:t>
            </w:r>
          </w:p>
        </w:tc>
        <w:tc>
          <w:tcPr>
            <w:tcW w:w="1705"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142"/>
              <w:ind w:left="292"/>
              <w:rPr>
                <w:sz w:val="16"/>
              </w:rPr>
            </w:pPr>
            <w:r>
              <w:rPr>
                <w:sz w:val="16"/>
              </w:rPr>
              <w:t>IA VA IB VB IC</w:t>
            </w:r>
          </w:p>
        </w:tc>
        <w:tc>
          <w:tcPr>
            <w:tcW w:w="122" w:type="dxa"/>
            <w:tcBorders>
              <w:top w:val="nil"/>
              <w:left w:val="single" w:sz="12" w:space="0" w:color="000000"/>
              <w:bottom w:val="nil"/>
            </w:tcBorders>
          </w:tcPr>
          <w:p>
            <w:pPr>
              <w:pStyle w:val="TableParagraph"/>
              <w:rPr>
                <w:rFonts w:ascii="Times New Roman"/>
                <w:sz w:val="18"/>
              </w:rPr>
            </w:pPr>
          </w:p>
        </w:tc>
      </w:tr>
      <w:tr>
        <w:trPr>
          <w:trHeight w:val="474" w:hRule="atLeast"/>
        </w:trPr>
        <w:tc>
          <w:tcPr>
            <w:tcW w:w="2254" w:type="dxa"/>
            <w:vMerge/>
            <w:tcBorders>
              <w:top w:val="nil"/>
            </w:tcBorders>
          </w:tcPr>
          <w:p>
            <w:pPr>
              <w:rPr>
                <w:sz w:val="2"/>
                <w:szCs w:val="2"/>
              </w:rPr>
            </w:pPr>
          </w:p>
        </w:tc>
        <w:tc>
          <w:tcPr>
            <w:tcW w:w="1124" w:type="dxa"/>
            <w:vMerge/>
            <w:tcBorders>
              <w:top w:val="nil"/>
            </w:tcBorders>
          </w:tcPr>
          <w:p>
            <w:pPr>
              <w:rPr>
                <w:sz w:val="2"/>
                <w:szCs w:val="2"/>
              </w:rPr>
            </w:pPr>
          </w:p>
        </w:tc>
        <w:tc>
          <w:tcPr>
            <w:tcW w:w="344" w:type="dxa"/>
            <w:vMerge/>
            <w:tcBorders>
              <w:top w:val="nil"/>
            </w:tcBorders>
          </w:tcPr>
          <w:p>
            <w:pPr>
              <w:rPr>
                <w:sz w:val="2"/>
                <w:szCs w:val="2"/>
              </w:rPr>
            </w:pPr>
          </w:p>
        </w:tc>
        <w:tc>
          <w:tcPr>
            <w:tcW w:w="344" w:type="dxa"/>
            <w:vMerge/>
            <w:tcBorders>
              <w:top w:val="nil"/>
            </w:tcBorders>
          </w:tcPr>
          <w:p>
            <w:pPr>
              <w:rPr>
                <w:sz w:val="2"/>
                <w:szCs w:val="2"/>
              </w:rPr>
            </w:pPr>
          </w:p>
        </w:tc>
        <w:tc>
          <w:tcPr>
            <w:tcW w:w="620" w:type="dxa"/>
            <w:vMerge/>
            <w:tcBorders>
              <w:top w:val="nil"/>
            </w:tcBorders>
          </w:tcPr>
          <w:p>
            <w:pPr>
              <w:rPr>
                <w:sz w:val="2"/>
                <w:szCs w:val="2"/>
              </w:rPr>
            </w:pPr>
          </w:p>
        </w:tc>
        <w:tc>
          <w:tcPr>
            <w:tcW w:w="118" w:type="dxa"/>
            <w:vMerge/>
            <w:tcBorders>
              <w:top w:val="nil"/>
              <w:right w:val="single" w:sz="12" w:space="0" w:color="000000"/>
            </w:tcBorders>
          </w:tcPr>
          <w:p>
            <w:pPr>
              <w:rPr>
                <w:sz w:val="2"/>
                <w:szCs w:val="2"/>
              </w:rPr>
            </w:pPr>
          </w:p>
        </w:tc>
        <w:tc>
          <w:tcPr>
            <w:tcW w:w="1079" w:type="dxa"/>
            <w:gridSpan w:val="3"/>
            <w:tcBorders>
              <w:top w:val="single" w:sz="6" w:space="0" w:color="000000"/>
              <w:left w:val="single" w:sz="12" w:space="0" w:color="000000"/>
              <w:bottom w:val="single" w:sz="6" w:space="0" w:color="000000"/>
              <w:right w:val="single" w:sz="6" w:space="0" w:color="000000"/>
            </w:tcBorders>
          </w:tcPr>
          <w:p>
            <w:pPr>
              <w:pStyle w:val="TableParagraph"/>
              <w:spacing w:before="119"/>
              <w:ind w:left="412" w:right="414"/>
              <w:jc w:val="center"/>
              <w:rPr>
                <w:sz w:val="20"/>
              </w:rPr>
            </w:pPr>
            <w:r>
              <w:rPr>
                <w:sz w:val="20"/>
              </w:rPr>
              <w:t>5*</w:t>
            </w:r>
          </w:p>
        </w:tc>
        <w:tc>
          <w:tcPr>
            <w:tcW w:w="1794" w:type="dxa"/>
            <w:gridSpan w:val="4"/>
            <w:tcBorders>
              <w:top w:val="single" w:sz="6" w:space="0" w:color="000000"/>
              <w:left w:val="single" w:sz="6" w:space="0" w:color="000000"/>
              <w:bottom w:val="single" w:sz="6" w:space="0" w:color="000000"/>
              <w:right w:val="single" w:sz="6" w:space="0" w:color="000000"/>
            </w:tcBorders>
          </w:tcPr>
          <w:p>
            <w:pPr>
              <w:pStyle w:val="TableParagraph"/>
              <w:spacing w:line="227" w:lineRule="exact"/>
              <w:ind w:left="194" w:right="199"/>
              <w:jc w:val="center"/>
              <w:rPr>
                <w:sz w:val="20"/>
              </w:rPr>
            </w:pPr>
            <w:r>
              <w:rPr>
                <w:sz w:val="20"/>
              </w:rPr>
              <w:t>3 element, 4W,</w:t>
            </w:r>
          </w:p>
          <w:p>
            <w:pPr>
              <w:pStyle w:val="TableParagraph"/>
              <w:spacing w:line="224" w:lineRule="exact" w:before="3"/>
              <w:ind w:left="184" w:right="199"/>
              <w:jc w:val="center"/>
              <w:rPr>
                <w:sz w:val="20"/>
              </w:rPr>
            </w:pPr>
            <w:r>
              <w:rPr>
                <w:sz w:val="20"/>
              </w:rPr>
              <w:t>3</w:t>
            </w:r>
            <w:r>
              <w:rPr>
                <w:rFonts w:ascii="Symbol" w:hAnsi="Symbol"/>
                <w:sz w:val="20"/>
              </w:rPr>
              <w:t></w:t>
            </w:r>
            <w:r>
              <w:rPr>
                <w:rFonts w:ascii="Times New Roman" w:hAnsi="Times New Roman"/>
                <w:sz w:val="20"/>
              </w:rPr>
              <w:t> </w:t>
            </w:r>
            <w:r>
              <w:rPr>
                <w:sz w:val="20"/>
              </w:rPr>
              <w:t>Wye</w:t>
            </w:r>
          </w:p>
        </w:tc>
        <w:tc>
          <w:tcPr>
            <w:tcW w:w="108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2"/>
              <w:ind w:left="321"/>
              <w:rPr>
                <w:sz w:val="16"/>
              </w:rPr>
            </w:pPr>
            <w:r>
              <w:rPr>
                <w:sz w:val="16"/>
              </w:rPr>
              <w:t>VA IA</w:t>
            </w:r>
          </w:p>
        </w:tc>
        <w:tc>
          <w:tcPr>
            <w:tcW w:w="108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2"/>
              <w:ind w:left="316"/>
              <w:rPr>
                <w:sz w:val="16"/>
              </w:rPr>
            </w:pPr>
            <w:r>
              <w:rPr>
                <w:sz w:val="16"/>
              </w:rPr>
              <w:t>VB IB</w:t>
            </w:r>
          </w:p>
        </w:tc>
        <w:tc>
          <w:tcPr>
            <w:tcW w:w="1055" w:type="dxa"/>
            <w:tcBorders>
              <w:top w:val="single" w:sz="6" w:space="0" w:color="000000"/>
              <w:left w:val="single" w:sz="6" w:space="0" w:color="000000"/>
              <w:bottom w:val="single" w:sz="6" w:space="0" w:color="000000"/>
              <w:right w:val="single" w:sz="6" w:space="0" w:color="000000"/>
            </w:tcBorders>
          </w:tcPr>
          <w:p>
            <w:pPr>
              <w:pStyle w:val="TableParagraph"/>
              <w:spacing w:before="142"/>
              <w:ind w:left="276" w:right="296"/>
              <w:jc w:val="center"/>
              <w:rPr>
                <w:sz w:val="16"/>
              </w:rPr>
            </w:pPr>
            <w:r>
              <w:rPr>
                <w:sz w:val="16"/>
              </w:rPr>
              <w:t>VC IC</w:t>
            </w:r>
          </w:p>
        </w:tc>
        <w:tc>
          <w:tcPr>
            <w:tcW w:w="1705"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142"/>
              <w:ind w:left="160"/>
              <w:rPr>
                <w:sz w:val="16"/>
              </w:rPr>
            </w:pPr>
            <w:r>
              <w:rPr>
                <w:sz w:val="16"/>
              </w:rPr>
              <w:t>IA VA IB VB IC VC</w:t>
            </w:r>
          </w:p>
        </w:tc>
        <w:tc>
          <w:tcPr>
            <w:tcW w:w="122" w:type="dxa"/>
            <w:tcBorders>
              <w:top w:val="nil"/>
              <w:left w:val="single" w:sz="12" w:space="0" w:color="000000"/>
              <w:bottom w:val="nil"/>
            </w:tcBorders>
          </w:tcPr>
          <w:p>
            <w:pPr>
              <w:pStyle w:val="TableParagraph"/>
              <w:rPr>
                <w:rFonts w:ascii="Times New Roman"/>
                <w:sz w:val="18"/>
              </w:rPr>
            </w:pPr>
          </w:p>
        </w:tc>
      </w:tr>
      <w:tr>
        <w:trPr>
          <w:trHeight w:val="560" w:hRule="atLeast"/>
        </w:trPr>
        <w:tc>
          <w:tcPr>
            <w:tcW w:w="2254" w:type="dxa"/>
            <w:vMerge/>
            <w:tcBorders>
              <w:top w:val="nil"/>
            </w:tcBorders>
          </w:tcPr>
          <w:p>
            <w:pPr>
              <w:rPr>
                <w:sz w:val="2"/>
                <w:szCs w:val="2"/>
              </w:rPr>
            </w:pPr>
          </w:p>
        </w:tc>
        <w:tc>
          <w:tcPr>
            <w:tcW w:w="1124" w:type="dxa"/>
            <w:vMerge/>
            <w:tcBorders>
              <w:top w:val="nil"/>
            </w:tcBorders>
          </w:tcPr>
          <w:p>
            <w:pPr>
              <w:rPr>
                <w:sz w:val="2"/>
                <w:szCs w:val="2"/>
              </w:rPr>
            </w:pPr>
          </w:p>
        </w:tc>
        <w:tc>
          <w:tcPr>
            <w:tcW w:w="344" w:type="dxa"/>
            <w:vMerge/>
            <w:tcBorders>
              <w:top w:val="nil"/>
            </w:tcBorders>
          </w:tcPr>
          <w:p>
            <w:pPr>
              <w:rPr>
                <w:sz w:val="2"/>
                <w:szCs w:val="2"/>
              </w:rPr>
            </w:pPr>
          </w:p>
        </w:tc>
        <w:tc>
          <w:tcPr>
            <w:tcW w:w="344" w:type="dxa"/>
            <w:vMerge/>
            <w:tcBorders>
              <w:top w:val="nil"/>
            </w:tcBorders>
          </w:tcPr>
          <w:p>
            <w:pPr>
              <w:rPr>
                <w:sz w:val="2"/>
                <w:szCs w:val="2"/>
              </w:rPr>
            </w:pPr>
          </w:p>
        </w:tc>
        <w:tc>
          <w:tcPr>
            <w:tcW w:w="620" w:type="dxa"/>
            <w:vMerge/>
            <w:tcBorders>
              <w:top w:val="nil"/>
            </w:tcBorders>
          </w:tcPr>
          <w:p>
            <w:pPr>
              <w:rPr>
                <w:sz w:val="2"/>
                <w:szCs w:val="2"/>
              </w:rPr>
            </w:pPr>
          </w:p>
        </w:tc>
        <w:tc>
          <w:tcPr>
            <w:tcW w:w="118" w:type="dxa"/>
            <w:vMerge/>
            <w:tcBorders>
              <w:top w:val="nil"/>
              <w:right w:val="single" w:sz="12" w:space="0" w:color="000000"/>
            </w:tcBorders>
          </w:tcPr>
          <w:p>
            <w:pPr>
              <w:rPr>
                <w:sz w:val="2"/>
                <w:szCs w:val="2"/>
              </w:rPr>
            </w:pPr>
          </w:p>
        </w:tc>
        <w:tc>
          <w:tcPr>
            <w:tcW w:w="7795" w:type="dxa"/>
            <w:gridSpan w:val="14"/>
            <w:tcBorders>
              <w:top w:val="single" w:sz="6" w:space="0" w:color="000000"/>
              <w:left w:val="single" w:sz="12" w:space="0" w:color="000000"/>
              <w:bottom w:val="thinThickMediumGap" w:sz="6" w:space="0" w:color="000000"/>
              <w:right w:val="single" w:sz="12" w:space="0" w:color="000000"/>
            </w:tcBorders>
          </w:tcPr>
          <w:p>
            <w:pPr>
              <w:pStyle w:val="TableParagraph"/>
              <w:spacing w:line="180" w:lineRule="exact"/>
              <w:ind w:left="98"/>
              <w:rPr>
                <w:sz w:val="16"/>
              </w:rPr>
            </w:pPr>
            <w:r>
              <w:rPr>
                <w:sz w:val="16"/>
              </w:rPr>
              <w:t>Note:</w:t>
            </w:r>
          </w:p>
          <w:p>
            <w:pPr>
              <w:pStyle w:val="TableParagraph"/>
              <w:spacing w:line="180" w:lineRule="atLeast" w:before="1"/>
              <w:ind w:left="98" w:right="300"/>
              <w:rPr>
                <w:sz w:val="16"/>
              </w:rPr>
            </w:pPr>
            <w:r>
              <w:rPr>
                <w:sz w:val="16"/>
              </w:rPr>
              <w:t>*The available CE codes implements only equation 5. Contact your local Maxim representative to obtain CE code for equation 3 and 4.</w:t>
            </w:r>
          </w:p>
        </w:tc>
        <w:tc>
          <w:tcPr>
            <w:tcW w:w="122" w:type="dxa"/>
            <w:tcBorders>
              <w:top w:val="nil"/>
              <w:left w:val="single" w:sz="12" w:space="0" w:color="000000"/>
            </w:tcBorders>
          </w:tcPr>
          <w:p>
            <w:pPr>
              <w:pStyle w:val="TableParagraph"/>
              <w:rPr>
                <w:rFonts w:ascii="Times New Roman"/>
                <w:sz w:val="18"/>
              </w:rPr>
            </w:pPr>
          </w:p>
        </w:tc>
      </w:tr>
    </w:tbl>
    <w:p>
      <w:pPr>
        <w:spacing w:after="0"/>
        <w:rPr>
          <w:rFonts w:ascii="Times New Roman"/>
          <w:sz w:val="18"/>
        </w:rPr>
        <w:sectPr>
          <w:pgSz w:w="15840" w:h="12240" w:orient="landscape"/>
          <w:pgMar w:header="727" w:footer="819" w:top="1180" w:bottom="1000" w:left="1320" w:right="1320"/>
        </w:sectPr>
      </w:pPr>
    </w:p>
    <w:p>
      <w:pPr>
        <w:pStyle w:val="BodyText"/>
        <w:spacing w:before="5"/>
        <w:rPr>
          <w:b/>
          <w:sz w:val="7"/>
        </w:rPr>
      </w:pPr>
      <w:r>
        <w:rPr/>
        <w:pict>
          <v:shape style="position:absolute;margin-left:438.480011pt;margin-top:364.920013pt;width:149.3pt;height:48.5pt;mso-position-horizontal-relative:page;mso-position-vertical-relative:page;z-index:15847936"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1"/>
                    <w:gridCol w:w="1440"/>
                  </w:tblGrid>
                  <w:tr>
                    <w:trPr>
                      <w:trHeight w:val="230" w:hRule="atLeast"/>
                    </w:trPr>
                    <w:tc>
                      <w:tcPr>
                        <w:tcW w:w="1531" w:type="dxa"/>
                      </w:tcPr>
                      <w:p>
                        <w:pPr>
                          <w:pStyle w:val="TableParagraph"/>
                          <w:spacing w:line="210" w:lineRule="exact"/>
                          <w:ind w:left="90" w:right="190"/>
                          <w:jc w:val="center"/>
                          <w:rPr>
                            <w:rFonts w:ascii="Times New Roman"/>
                            <w:i/>
                            <w:sz w:val="20"/>
                          </w:rPr>
                        </w:pPr>
                        <w:r>
                          <w:rPr>
                            <w:rFonts w:ascii="Times New Roman"/>
                            <w:i/>
                            <w:sz w:val="20"/>
                          </w:rPr>
                          <w:t>FIR_LEN[1:0]</w:t>
                        </w:r>
                      </w:p>
                    </w:tc>
                    <w:tc>
                      <w:tcPr>
                        <w:tcW w:w="1440" w:type="dxa"/>
                      </w:tcPr>
                      <w:p>
                        <w:pPr>
                          <w:pStyle w:val="TableParagraph"/>
                          <w:spacing w:line="210" w:lineRule="exact"/>
                          <w:ind w:left="107"/>
                          <w:rPr>
                            <w:sz w:val="20"/>
                          </w:rPr>
                        </w:pPr>
                        <w:r>
                          <w:rPr>
                            <w:sz w:val="20"/>
                          </w:rPr>
                          <w:t>ADC Cycles</w:t>
                        </w:r>
                      </w:p>
                    </w:tc>
                  </w:tr>
                  <w:tr>
                    <w:trPr>
                      <w:trHeight w:val="229" w:hRule="atLeast"/>
                    </w:trPr>
                    <w:tc>
                      <w:tcPr>
                        <w:tcW w:w="1531" w:type="dxa"/>
                      </w:tcPr>
                      <w:p>
                        <w:pPr>
                          <w:pStyle w:val="TableParagraph"/>
                          <w:spacing w:line="210" w:lineRule="exact"/>
                          <w:ind w:left="90" w:right="81"/>
                          <w:jc w:val="center"/>
                          <w:rPr>
                            <w:sz w:val="20"/>
                          </w:rPr>
                        </w:pPr>
                        <w:r>
                          <w:rPr>
                            <w:sz w:val="20"/>
                          </w:rPr>
                          <w:t>00</w:t>
                        </w:r>
                      </w:p>
                    </w:tc>
                    <w:tc>
                      <w:tcPr>
                        <w:tcW w:w="1440" w:type="dxa"/>
                      </w:tcPr>
                      <w:p>
                        <w:pPr>
                          <w:pStyle w:val="TableParagraph"/>
                          <w:spacing w:line="210" w:lineRule="exact"/>
                          <w:ind w:left="191" w:right="186"/>
                          <w:jc w:val="center"/>
                          <w:rPr>
                            <w:sz w:val="20"/>
                          </w:rPr>
                        </w:pPr>
                        <w:r>
                          <w:rPr>
                            <w:sz w:val="20"/>
                          </w:rPr>
                          <w:t>141</w:t>
                        </w:r>
                      </w:p>
                    </w:tc>
                  </w:tr>
                  <w:tr>
                    <w:trPr>
                      <w:trHeight w:val="230" w:hRule="atLeast"/>
                    </w:trPr>
                    <w:tc>
                      <w:tcPr>
                        <w:tcW w:w="1531" w:type="dxa"/>
                      </w:tcPr>
                      <w:p>
                        <w:pPr>
                          <w:pStyle w:val="TableParagraph"/>
                          <w:spacing w:line="210" w:lineRule="exact"/>
                          <w:ind w:left="90" w:right="81"/>
                          <w:jc w:val="center"/>
                          <w:rPr>
                            <w:sz w:val="20"/>
                          </w:rPr>
                        </w:pPr>
                        <w:r>
                          <w:rPr>
                            <w:sz w:val="20"/>
                          </w:rPr>
                          <w:t>01</w:t>
                        </w:r>
                      </w:p>
                    </w:tc>
                    <w:tc>
                      <w:tcPr>
                        <w:tcW w:w="1440" w:type="dxa"/>
                      </w:tcPr>
                      <w:p>
                        <w:pPr>
                          <w:pStyle w:val="TableParagraph"/>
                          <w:spacing w:line="210" w:lineRule="exact"/>
                          <w:ind w:left="191" w:right="186"/>
                          <w:jc w:val="center"/>
                          <w:rPr>
                            <w:sz w:val="20"/>
                          </w:rPr>
                        </w:pPr>
                        <w:r>
                          <w:rPr>
                            <w:sz w:val="20"/>
                          </w:rPr>
                          <w:t>288</w:t>
                        </w:r>
                      </w:p>
                    </w:tc>
                  </w:tr>
                  <w:tr>
                    <w:trPr>
                      <w:trHeight w:val="230" w:hRule="atLeast"/>
                    </w:trPr>
                    <w:tc>
                      <w:tcPr>
                        <w:tcW w:w="1531" w:type="dxa"/>
                      </w:tcPr>
                      <w:p>
                        <w:pPr>
                          <w:pStyle w:val="TableParagraph"/>
                          <w:spacing w:line="210" w:lineRule="exact"/>
                          <w:ind w:left="90" w:right="81"/>
                          <w:jc w:val="center"/>
                          <w:rPr>
                            <w:sz w:val="20"/>
                          </w:rPr>
                        </w:pPr>
                        <w:r>
                          <w:rPr>
                            <w:sz w:val="20"/>
                          </w:rPr>
                          <w:t>10</w:t>
                        </w:r>
                      </w:p>
                    </w:tc>
                    <w:tc>
                      <w:tcPr>
                        <w:tcW w:w="1440" w:type="dxa"/>
                      </w:tcPr>
                      <w:p>
                        <w:pPr>
                          <w:pStyle w:val="TableParagraph"/>
                          <w:spacing w:line="210" w:lineRule="exact"/>
                          <w:ind w:left="191" w:right="186"/>
                          <w:jc w:val="center"/>
                          <w:rPr>
                            <w:sz w:val="20"/>
                          </w:rPr>
                        </w:pPr>
                        <w:r>
                          <w:rPr>
                            <w:sz w:val="20"/>
                          </w:rPr>
                          <w:t>384</w:t>
                        </w:r>
                      </w:p>
                    </w:tc>
                  </w:tr>
                </w:tbl>
                <w:p>
                  <w:pPr>
                    <w:pStyle w:val="BodyText"/>
                  </w:pPr>
                </w:p>
              </w:txbxContent>
            </v:textbox>
            <w10:wrap type="none"/>
          </v:shape>
        </w:pict>
      </w:r>
      <w:r>
        <w:rPr/>
        <w:pict>
          <v:shape style="position:absolute;margin-left:438.480011pt;margin-top:424.919006pt;width:149.3pt;height:48.5pt;mso-position-horizontal-relative:page;mso-position-vertical-relative:page;z-index:1584844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1"/>
                    <w:gridCol w:w="1440"/>
                  </w:tblGrid>
                  <w:tr>
                    <w:trPr>
                      <w:trHeight w:val="230" w:hRule="atLeast"/>
                    </w:trPr>
                    <w:tc>
                      <w:tcPr>
                        <w:tcW w:w="1531" w:type="dxa"/>
                      </w:tcPr>
                      <w:p>
                        <w:pPr>
                          <w:pStyle w:val="TableParagraph"/>
                          <w:spacing w:line="210" w:lineRule="exact"/>
                          <w:ind w:left="90" w:right="190"/>
                          <w:jc w:val="center"/>
                          <w:rPr>
                            <w:rFonts w:ascii="Times New Roman"/>
                            <w:i/>
                            <w:sz w:val="20"/>
                          </w:rPr>
                        </w:pPr>
                        <w:r>
                          <w:rPr>
                            <w:rFonts w:ascii="Times New Roman"/>
                            <w:i/>
                            <w:sz w:val="20"/>
                          </w:rPr>
                          <w:t>FIR_LEN[1:0]</w:t>
                        </w:r>
                      </w:p>
                    </w:tc>
                    <w:tc>
                      <w:tcPr>
                        <w:tcW w:w="1440" w:type="dxa"/>
                      </w:tcPr>
                      <w:p>
                        <w:pPr>
                          <w:pStyle w:val="TableParagraph"/>
                          <w:spacing w:line="210" w:lineRule="exact"/>
                          <w:ind w:right="243"/>
                          <w:jc w:val="right"/>
                          <w:rPr>
                            <w:sz w:val="20"/>
                          </w:rPr>
                        </w:pPr>
                        <w:r>
                          <w:rPr>
                            <w:sz w:val="20"/>
                          </w:rPr>
                          <w:t>ADC Cycles</w:t>
                        </w:r>
                      </w:p>
                    </w:tc>
                  </w:tr>
                  <w:tr>
                    <w:trPr>
                      <w:trHeight w:val="230" w:hRule="atLeast"/>
                    </w:trPr>
                    <w:tc>
                      <w:tcPr>
                        <w:tcW w:w="1531" w:type="dxa"/>
                      </w:tcPr>
                      <w:p>
                        <w:pPr>
                          <w:pStyle w:val="TableParagraph"/>
                          <w:spacing w:line="210" w:lineRule="exact"/>
                          <w:ind w:left="90" w:right="81"/>
                          <w:jc w:val="center"/>
                          <w:rPr>
                            <w:sz w:val="20"/>
                          </w:rPr>
                        </w:pPr>
                        <w:r>
                          <w:rPr>
                            <w:sz w:val="20"/>
                          </w:rPr>
                          <w:t>00</w:t>
                        </w:r>
                      </w:p>
                    </w:tc>
                    <w:tc>
                      <w:tcPr>
                        <w:tcW w:w="1440" w:type="dxa"/>
                      </w:tcPr>
                      <w:p>
                        <w:pPr>
                          <w:pStyle w:val="TableParagraph"/>
                          <w:spacing w:line="210" w:lineRule="exact"/>
                          <w:ind w:left="191" w:right="186"/>
                          <w:jc w:val="center"/>
                          <w:rPr>
                            <w:sz w:val="20"/>
                          </w:rPr>
                        </w:pPr>
                        <w:r>
                          <w:rPr>
                            <w:sz w:val="20"/>
                          </w:rPr>
                          <w:t>135</w:t>
                        </w:r>
                      </w:p>
                    </w:tc>
                  </w:tr>
                  <w:tr>
                    <w:trPr>
                      <w:trHeight w:val="229" w:hRule="atLeast"/>
                    </w:trPr>
                    <w:tc>
                      <w:tcPr>
                        <w:tcW w:w="1531" w:type="dxa"/>
                      </w:tcPr>
                      <w:p>
                        <w:pPr>
                          <w:pStyle w:val="TableParagraph"/>
                          <w:spacing w:line="210" w:lineRule="exact"/>
                          <w:ind w:left="90" w:right="81"/>
                          <w:jc w:val="center"/>
                          <w:rPr>
                            <w:sz w:val="20"/>
                          </w:rPr>
                        </w:pPr>
                        <w:r>
                          <w:rPr>
                            <w:sz w:val="20"/>
                          </w:rPr>
                          <w:t>01</w:t>
                        </w:r>
                      </w:p>
                    </w:tc>
                    <w:tc>
                      <w:tcPr>
                        <w:tcW w:w="1440" w:type="dxa"/>
                      </w:tcPr>
                      <w:p>
                        <w:pPr>
                          <w:pStyle w:val="TableParagraph"/>
                          <w:spacing w:line="210" w:lineRule="exact"/>
                          <w:ind w:left="191" w:right="186"/>
                          <w:jc w:val="center"/>
                          <w:rPr>
                            <w:sz w:val="20"/>
                          </w:rPr>
                        </w:pPr>
                        <w:r>
                          <w:rPr>
                            <w:sz w:val="20"/>
                          </w:rPr>
                          <w:t>276</w:t>
                        </w:r>
                      </w:p>
                    </w:tc>
                  </w:tr>
                  <w:tr>
                    <w:trPr>
                      <w:trHeight w:val="230" w:hRule="atLeast"/>
                    </w:trPr>
                    <w:tc>
                      <w:tcPr>
                        <w:tcW w:w="1531" w:type="dxa"/>
                      </w:tcPr>
                      <w:p>
                        <w:pPr>
                          <w:pStyle w:val="TableParagraph"/>
                          <w:spacing w:line="210" w:lineRule="exact"/>
                          <w:ind w:left="90" w:right="81"/>
                          <w:jc w:val="center"/>
                          <w:rPr>
                            <w:sz w:val="20"/>
                          </w:rPr>
                        </w:pPr>
                        <w:r>
                          <w:rPr>
                            <w:sz w:val="20"/>
                          </w:rPr>
                          <w:t>10</w:t>
                        </w:r>
                      </w:p>
                    </w:tc>
                    <w:tc>
                      <w:tcPr>
                        <w:tcW w:w="1440" w:type="dxa"/>
                      </w:tcPr>
                      <w:p>
                        <w:pPr>
                          <w:pStyle w:val="TableParagraph"/>
                          <w:spacing w:line="210" w:lineRule="exact"/>
                          <w:ind w:right="175"/>
                          <w:jc w:val="right"/>
                          <w:rPr>
                            <w:sz w:val="20"/>
                          </w:rPr>
                        </w:pPr>
                        <w:r>
                          <w:rPr>
                            <w:sz w:val="20"/>
                          </w:rPr>
                          <w:t>Not Allowed</w:t>
                        </w:r>
                      </w:p>
                    </w:tc>
                  </w:tr>
                </w:tbl>
                <w:p>
                  <w:pPr>
                    <w:pStyle w:val="BodyText"/>
                  </w:pPr>
                </w:p>
              </w:txbxContent>
            </v:textbox>
            <w10:wrap type="none"/>
          </v:shape>
        </w:pict>
      </w:r>
    </w:p>
    <w:tbl>
      <w:tblPr>
        <w:tblW w:w="0" w:type="auto"/>
        <w:jc w:val="left"/>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4"/>
        <w:gridCol w:w="1124"/>
        <w:gridCol w:w="344"/>
        <w:gridCol w:w="344"/>
        <w:gridCol w:w="620"/>
        <w:gridCol w:w="8014"/>
      </w:tblGrid>
      <w:tr>
        <w:trPr>
          <w:trHeight w:val="309" w:hRule="atLeast"/>
        </w:trPr>
        <w:tc>
          <w:tcPr>
            <w:tcW w:w="2254" w:type="dxa"/>
          </w:tcPr>
          <w:p>
            <w:pPr>
              <w:pStyle w:val="TableParagraph"/>
              <w:spacing w:before="35"/>
              <w:ind w:left="107"/>
              <w:rPr>
                <w:b/>
                <w:sz w:val="20"/>
              </w:rPr>
            </w:pPr>
            <w:r>
              <w:rPr>
                <w:b/>
                <w:sz w:val="20"/>
              </w:rPr>
              <w:t>Name</w:t>
            </w:r>
          </w:p>
        </w:tc>
        <w:tc>
          <w:tcPr>
            <w:tcW w:w="1124" w:type="dxa"/>
          </w:tcPr>
          <w:p>
            <w:pPr>
              <w:pStyle w:val="TableParagraph"/>
              <w:spacing w:before="35"/>
              <w:ind w:left="4"/>
              <w:jc w:val="center"/>
              <w:rPr>
                <w:b/>
                <w:sz w:val="20"/>
              </w:rPr>
            </w:pPr>
            <w:r>
              <w:rPr>
                <w:b/>
                <w:sz w:val="20"/>
              </w:rPr>
              <w:t>Location</w:t>
            </w:r>
          </w:p>
        </w:tc>
        <w:tc>
          <w:tcPr>
            <w:tcW w:w="344" w:type="dxa"/>
          </w:tcPr>
          <w:p>
            <w:pPr>
              <w:pStyle w:val="TableParagraph"/>
              <w:spacing w:before="35"/>
              <w:ind w:left="2"/>
              <w:jc w:val="center"/>
              <w:rPr>
                <w:b/>
                <w:sz w:val="20"/>
              </w:rPr>
            </w:pPr>
            <w:r>
              <w:rPr>
                <w:b/>
                <w:sz w:val="20"/>
              </w:rPr>
              <w:t>Rst</w:t>
            </w:r>
          </w:p>
        </w:tc>
        <w:tc>
          <w:tcPr>
            <w:tcW w:w="344" w:type="dxa"/>
          </w:tcPr>
          <w:p>
            <w:pPr>
              <w:pStyle w:val="TableParagraph"/>
              <w:spacing w:before="35"/>
              <w:ind w:left="6"/>
              <w:jc w:val="center"/>
              <w:rPr>
                <w:b/>
                <w:sz w:val="20"/>
              </w:rPr>
            </w:pPr>
            <w:r>
              <w:rPr>
                <w:b/>
                <w:sz w:val="20"/>
              </w:rPr>
              <w:t>Wk</w:t>
            </w:r>
          </w:p>
        </w:tc>
        <w:tc>
          <w:tcPr>
            <w:tcW w:w="620" w:type="dxa"/>
          </w:tcPr>
          <w:p>
            <w:pPr>
              <w:pStyle w:val="TableParagraph"/>
              <w:spacing w:before="35"/>
              <w:ind w:left="87" w:right="86"/>
              <w:jc w:val="center"/>
              <w:rPr>
                <w:b/>
                <w:sz w:val="20"/>
              </w:rPr>
            </w:pPr>
            <w:r>
              <w:rPr>
                <w:b/>
                <w:sz w:val="20"/>
              </w:rPr>
              <w:t>Dir</w:t>
            </w:r>
          </w:p>
        </w:tc>
        <w:tc>
          <w:tcPr>
            <w:tcW w:w="8014" w:type="dxa"/>
          </w:tcPr>
          <w:p>
            <w:pPr>
              <w:pStyle w:val="TableParagraph"/>
              <w:spacing w:before="35"/>
              <w:ind w:left="104"/>
              <w:rPr>
                <w:b/>
                <w:sz w:val="20"/>
              </w:rPr>
            </w:pPr>
            <w:r>
              <w:rPr>
                <w:b/>
                <w:sz w:val="20"/>
              </w:rPr>
              <w:t>Description</w:t>
            </w:r>
          </w:p>
        </w:tc>
      </w:tr>
      <w:tr>
        <w:trPr>
          <w:trHeight w:val="2430" w:hRule="atLeast"/>
        </w:trPr>
        <w:tc>
          <w:tcPr>
            <w:tcW w:w="2254" w:type="dxa"/>
          </w:tcPr>
          <w:p>
            <w:pPr>
              <w:pStyle w:val="TableParagraph"/>
              <w:spacing w:line="249" w:lineRule="auto" w:before="14"/>
              <w:ind w:left="107" w:right="924"/>
              <w:rPr>
                <w:rFonts w:ascii="Times New Roman"/>
                <w:i/>
                <w:sz w:val="20"/>
              </w:rPr>
            </w:pPr>
            <w:r>
              <w:rPr>
                <w:rFonts w:ascii="Times New Roman"/>
                <w:i/>
                <w:sz w:val="20"/>
              </w:rPr>
              <w:t>EX_XFER </w:t>
            </w:r>
            <w:r>
              <w:rPr>
                <w:rFonts w:ascii="Times New Roman"/>
                <w:i/>
                <w:sz w:val="20"/>
              </w:rPr>
              <w:t>EX_RTC1S EX_RTC1M EX_RTCT EX_SPI EX_EEX EX_XPULSE EX_YPULSE </w:t>
            </w:r>
            <w:r>
              <w:rPr>
                <w:rFonts w:ascii="Times New Roman"/>
                <w:i/>
                <w:w w:val="95"/>
                <w:sz w:val="20"/>
              </w:rPr>
              <w:t>EX_WPULSE </w:t>
            </w:r>
            <w:r>
              <w:rPr>
                <w:rFonts w:ascii="Times New Roman"/>
                <w:i/>
                <w:sz w:val="20"/>
              </w:rPr>
              <w:t>EX_VPULSE</w:t>
            </w:r>
          </w:p>
        </w:tc>
        <w:tc>
          <w:tcPr>
            <w:tcW w:w="1124" w:type="dxa"/>
          </w:tcPr>
          <w:p>
            <w:pPr>
              <w:pStyle w:val="TableParagraph"/>
              <w:spacing w:before="18"/>
              <w:ind w:left="227"/>
              <w:rPr>
                <w:sz w:val="20"/>
              </w:rPr>
            </w:pPr>
            <w:r>
              <w:rPr>
                <w:sz w:val="20"/>
              </w:rPr>
              <w:t>2700[0]</w:t>
            </w:r>
          </w:p>
          <w:p>
            <w:pPr>
              <w:pStyle w:val="TableParagraph"/>
              <w:spacing w:before="10"/>
              <w:ind w:left="227"/>
              <w:rPr>
                <w:sz w:val="20"/>
              </w:rPr>
            </w:pPr>
            <w:r>
              <w:rPr>
                <w:sz w:val="20"/>
              </w:rPr>
              <w:t>2700[1]</w:t>
            </w:r>
          </w:p>
          <w:p>
            <w:pPr>
              <w:pStyle w:val="TableParagraph"/>
              <w:spacing w:before="10"/>
              <w:ind w:left="227"/>
              <w:rPr>
                <w:sz w:val="20"/>
              </w:rPr>
            </w:pPr>
            <w:r>
              <w:rPr>
                <w:sz w:val="20"/>
              </w:rPr>
              <w:t>2700[2]</w:t>
            </w:r>
          </w:p>
          <w:p>
            <w:pPr>
              <w:pStyle w:val="TableParagraph"/>
              <w:spacing w:before="10"/>
              <w:ind w:left="227"/>
              <w:rPr>
                <w:sz w:val="20"/>
              </w:rPr>
            </w:pPr>
            <w:r>
              <w:rPr>
                <w:sz w:val="20"/>
              </w:rPr>
              <w:t>2700[3]</w:t>
            </w:r>
          </w:p>
          <w:p>
            <w:pPr>
              <w:pStyle w:val="TableParagraph"/>
              <w:spacing w:before="10"/>
              <w:ind w:left="227"/>
              <w:rPr>
                <w:sz w:val="20"/>
              </w:rPr>
            </w:pPr>
            <w:r>
              <w:rPr>
                <w:sz w:val="20"/>
              </w:rPr>
              <w:t>2701[7]</w:t>
            </w:r>
          </w:p>
          <w:p>
            <w:pPr>
              <w:pStyle w:val="TableParagraph"/>
              <w:spacing w:before="11"/>
              <w:ind w:left="227"/>
              <w:rPr>
                <w:sz w:val="20"/>
              </w:rPr>
            </w:pPr>
            <w:r>
              <w:rPr>
                <w:sz w:val="20"/>
              </w:rPr>
              <w:t>2700[7]</w:t>
            </w:r>
          </w:p>
          <w:p>
            <w:pPr>
              <w:pStyle w:val="TableParagraph"/>
              <w:spacing w:before="10"/>
              <w:ind w:left="227"/>
              <w:rPr>
                <w:sz w:val="20"/>
              </w:rPr>
            </w:pPr>
            <w:r>
              <w:rPr>
                <w:sz w:val="20"/>
              </w:rPr>
              <w:t>2700[6]</w:t>
            </w:r>
          </w:p>
          <w:p>
            <w:pPr>
              <w:pStyle w:val="TableParagraph"/>
              <w:spacing w:before="10"/>
              <w:ind w:left="227"/>
              <w:rPr>
                <w:sz w:val="20"/>
              </w:rPr>
            </w:pPr>
            <w:r>
              <w:rPr>
                <w:sz w:val="20"/>
              </w:rPr>
              <w:t>2700[5]</w:t>
            </w:r>
          </w:p>
          <w:p>
            <w:pPr>
              <w:pStyle w:val="TableParagraph"/>
              <w:spacing w:before="10"/>
              <w:ind w:left="227"/>
              <w:rPr>
                <w:sz w:val="20"/>
              </w:rPr>
            </w:pPr>
            <w:r>
              <w:rPr>
                <w:sz w:val="20"/>
              </w:rPr>
              <w:t>2701[6]</w:t>
            </w:r>
          </w:p>
          <w:p>
            <w:pPr>
              <w:pStyle w:val="TableParagraph"/>
              <w:spacing w:before="9"/>
              <w:ind w:left="227"/>
              <w:rPr>
                <w:sz w:val="20"/>
              </w:rPr>
            </w:pPr>
            <w:r>
              <w:rPr>
                <w:sz w:val="20"/>
              </w:rPr>
              <w:t>2701[5]</w:t>
            </w:r>
          </w:p>
        </w:tc>
        <w:tc>
          <w:tcPr>
            <w:tcW w:w="344" w:type="dxa"/>
          </w:tcPr>
          <w:p>
            <w:pPr>
              <w:pStyle w:val="TableParagraph"/>
              <w:rPr>
                <w:b/>
                <w:sz w:val="22"/>
              </w:rPr>
            </w:pPr>
          </w:p>
          <w:p>
            <w:pPr>
              <w:pStyle w:val="TableParagraph"/>
              <w:rPr>
                <w:b/>
                <w:sz w:val="22"/>
              </w:rPr>
            </w:pPr>
          </w:p>
          <w:p>
            <w:pPr>
              <w:pStyle w:val="TableParagraph"/>
              <w:rPr>
                <w:b/>
                <w:sz w:val="22"/>
              </w:rPr>
            </w:pPr>
          </w:p>
          <w:p>
            <w:pPr>
              <w:pStyle w:val="TableParagraph"/>
              <w:spacing w:before="6"/>
              <w:rPr>
                <w:b/>
                <w:sz w:val="29"/>
              </w:rPr>
            </w:pPr>
          </w:p>
          <w:p>
            <w:pPr>
              <w:pStyle w:val="TableParagraph"/>
              <w:ind w:left="4"/>
              <w:jc w:val="center"/>
              <w:rPr>
                <w:sz w:val="20"/>
              </w:rPr>
            </w:pPr>
            <w:r>
              <w:rPr>
                <w:w w:val="99"/>
                <w:sz w:val="20"/>
              </w:rPr>
              <w:t>0</w:t>
            </w:r>
          </w:p>
        </w:tc>
        <w:tc>
          <w:tcPr>
            <w:tcW w:w="344" w:type="dxa"/>
          </w:tcPr>
          <w:p>
            <w:pPr>
              <w:pStyle w:val="TableParagraph"/>
              <w:rPr>
                <w:b/>
                <w:sz w:val="22"/>
              </w:rPr>
            </w:pPr>
          </w:p>
          <w:p>
            <w:pPr>
              <w:pStyle w:val="TableParagraph"/>
              <w:rPr>
                <w:b/>
                <w:sz w:val="22"/>
              </w:rPr>
            </w:pPr>
          </w:p>
          <w:p>
            <w:pPr>
              <w:pStyle w:val="TableParagraph"/>
              <w:rPr>
                <w:b/>
                <w:sz w:val="22"/>
              </w:rPr>
            </w:pPr>
          </w:p>
          <w:p>
            <w:pPr>
              <w:pStyle w:val="TableParagraph"/>
              <w:spacing w:before="6"/>
              <w:rPr>
                <w:b/>
                <w:sz w:val="29"/>
              </w:rPr>
            </w:pPr>
          </w:p>
          <w:p>
            <w:pPr>
              <w:pStyle w:val="TableParagraph"/>
              <w:ind w:left="2"/>
              <w:jc w:val="center"/>
              <w:rPr>
                <w:sz w:val="20"/>
              </w:rPr>
            </w:pPr>
            <w:r>
              <w:rPr>
                <w:w w:val="99"/>
                <w:sz w:val="20"/>
              </w:rPr>
              <w:t>0</w:t>
            </w:r>
          </w:p>
        </w:tc>
        <w:tc>
          <w:tcPr>
            <w:tcW w:w="620" w:type="dxa"/>
          </w:tcPr>
          <w:p>
            <w:pPr>
              <w:pStyle w:val="TableParagraph"/>
              <w:rPr>
                <w:b/>
                <w:sz w:val="22"/>
              </w:rPr>
            </w:pPr>
          </w:p>
          <w:p>
            <w:pPr>
              <w:pStyle w:val="TableParagraph"/>
              <w:rPr>
                <w:b/>
                <w:sz w:val="22"/>
              </w:rPr>
            </w:pPr>
          </w:p>
          <w:p>
            <w:pPr>
              <w:pStyle w:val="TableParagraph"/>
              <w:rPr>
                <w:b/>
                <w:sz w:val="22"/>
              </w:rPr>
            </w:pPr>
          </w:p>
          <w:p>
            <w:pPr>
              <w:pStyle w:val="TableParagraph"/>
              <w:spacing w:before="6"/>
              <w:rPr>
                <w:b/>
                <w:sz w:val="29"/>
              </w:rPr>
            </w:pPr>
          </w:p>
          <w:p>
            <w:pPr>
              <w:pStyle w:val="TableParagraph"/>
              <w:ind w:left="87" w:right="93"/>
              <w:jc w:val="center"/>
              <w:rPr>
                <w:sz w:val="20"/>
              </w:rPr>
            </w:pPr>
            <w:r>
              <w:rPr>
                <w:sz w:val="20"/>
              </w:rPr>
              <w:t>R/W</w:t>
            </w:r>
          </w:p>
        </w:tc>
        <w:tc>
          <w:tcPr>
            <w:tcW w:w="8014" w:type="dxa"/>
          </w:tcPr>
          <w:p>
            <w:pPr>
              <w:pStyle w:val="TableParagraph"/>
              <w:rPr>
                <w:b/>
                <w:sz w:val="22"/>
              </w:rPr>
            </w:pPr>
          </w:p>
          <w:p>
            <w:pPr>
              <w:pStyle w:val="TableParagraph"/>
              <w:rPr>
                <w:b/>
                <w:sz w:val="22"/>
              </w:rPr>
            </w:pPr>
          </w:p>
          <w:p>
            <w:pPr>
              <w:pStyle w:val="TableParagraph"/>
              <w:spacing w:before="5"/>
              <w:rPr>
                <w:b/>
                <w:sz w:val="21"/>
              </w:rPr>
            </w:pPr>
          </w:p>
          <w:p>
            <w:pPr>
              <w:pStyle w:val="TableParagraph"/>
              <w:ind w:left="104" w:right="249"/>
              <w:rPr>
                <w:sz w:val="20"/>
              </w:rPr>
            </w:pPr>
            <w:r>
              <w:rPr>
                <w:sz w:val="20"/>
              </w:rPr>
              <w:t>Interrupt enable bits. These bits enable the XFER_BUSY, the RTC_1SEC, etc. The bits are set by hardware and cannot be set by writing a 1. The bits are reset by writing</w:t>
            </w:r>
          </w:p>
          <w:p>
            <w:pPr>
              <w:pStyle w:val="TableParagraph"/>
              <w:spacing w:before="1"/>
              <w:ind w:left="104" w:right="249"/>
              <w:rPr>
                <w:sz w:val="20"/>
              </w:rPr>
            </w:pPr>
            <w:r>
              <w:rPr>
                <w:sz w:val="20"/>
              </w:rPr>
              <w:t>0. Note that if one of these interrupts is to enabled, its corresponding 8051 EX enable bit must also be set. See </w:t>
            </w:r>
            <w:hyperlink w:history="true" w:anchor="_bookmark75">
              <w:r>
                <w:rPr>
                  <w:color w:val="0000FF"/>
                  <w:sz w:val="20"/>
                </w:rPr>
                <w:t>2.4.8 </w:t>
              </w:r>
            </w:hyperlink>
            <w:hyperlink w:history="true" w:anchor="_bookmark75">
              <w:r>
                <w:rPr>
                  <w:color w:val="0000FF"/>
                  <w:sz w:val="18"/>
                </w:rPr>
                <w:t>Interrupts</w:t>
              </w:r>
              <w:r>
                <w:rPr>
                  <w:sz w:val="20"/>
                </w:rPr>
                <w:t>, </w:t>
              </w:r>
            </w:hyperlink>
            <w:r>
              <w:rPr>
                <w:sz w:val="20"/>
              </w:rPr>
              <w:t>for details.</w:t>
            </w:r>
          </w:p>
        </w:tc>
      </w:tr>
      <w:tr>
        <w:trPr>
          <w:trHeight w:val="498" w:hRule="atLeast"/>
        </w:trPr>
        <w:tc>
          <w:tcPr>
            <w:tcW w:w="2254" w:type="dxa"/>
            <w:shd w:val="clear" w:color="auto" w:fill="C1C1C1"/>
          </w:tcPr>
          <w:p>
            <w:pPr>
              <w:pStyle w:val="TableParagraph"/>
              <w:spacing w:before="127"/>
              <w:ind w:left="107"/>
              <w:rPr>
                <w:rFonts w:ascii="Times New Roman"/>
                <w:i/>
                <w:sz w:val="20"/>
              </w:rPr>
            </w:pPr>
            <w:r>
              <w:rPr>
                <w:rFonts w:ascii="Times New Roman"/>
                <w:i/>
                <w:sz w:val="20"/>
              </w:rPr>
              <w:t>EW_DIO4</w:t>
            </w:r>
          </w:p>
        </w:tc>
        <w:tc>
          <w:tcPr>
            <w:tcW w:w="1124" w:type="dxa"/>
            <w:shd w:val="clear" w:color="auto" w:fill="C1C1C1"/>
          </w:tcPr>
          <w:p>
            <w:pPr>
              <w:pStyle w:val="TableParagraph"/>
              <w:spacing w:before="131"/>
              <w:ind w:left="2"/>
              <w:jc w:val="center"/>
              <w:rPr>
                <w:sz w:val="20"/>
              </w:rPr>
            </w:pPr>
            <w:r>
              <w:rPr>
                <w:sz w:val="20"/>
              </w:rPr>
              <w:t>28B3[2]</w:t>
            </w:r>
          </w:p>
        </w:tc>
        <w:tc>
          <w:tcPr>
            <w:tcW w:w="344" w:type="dxa"/>
            <w:shd w:val="clear" w:color="auto" w:fill="C1C1C1"/>
          </w:tcPr>
          <w:p>
            <w:pPr>
              <w:pStyle w:val="TableParagraph"/>
              <w:spacing w:before="131"/>
              <w:ind w:left="4"/>
              <w:jc w:val="center"/>
              <w:rPr>
                <w:sz w:val="20"/>
              </w:rPr>
            </w:pPr>
            <w:r>
              <w:rPr>
                <w:w w:val="99"/>
                <w:sz w:val="20"/>
              </w:rPr>
              <w:t>0</w:t>
            </w:r>
          </w:p>
        </w:tc>
        <w:tc>
          <w:tcPr>
            <w:tcW w:w="344" w:type="dxa"/>
            <w:shd w:val="clear" w:color="auto" w:fill="C1C1C1"/>
          </w:tcPr>
          <w:p>
            <w:pPr>
              <w:pStyle w:val="TableParagraph"/>
              <w:spacing w:before="131"/>
              <w:ind w:left="2"/>
              <w:jc w:val="center"/>
              <w:rPr>
                <w:sz w:val="20"/>
              </w:rPr>
            </w:pPr>
            <w:r>
              <w:rPr>
                <w:w w:val="99"/>
                <w:sz w:val="20"/>
              </w:rPr>
              <w:t>–</w:t>
            </w:r>
          </w:p>
        </w:tc>
        <w:tc>
          <w:tcPr>
            <w:tcW w:w="620" w:type="dxa"/>
            <w:shd w:val="clear" w:color="auto" w:fill="C1C1C1"/>
          </w:tcPr>
          <w:p>
            <w:pPr>
              <w:pStyle w:val="TableParagraph"/>
              <w:spacing w:before="131"/>
              <w:ind w:left="87" w:right="93"/>
              <w:jc w:val="center"/>
              <w:rPr>
                <w:sz w:val="20"/>
              </w:rPr>
            </w:pPr>
            <w:r>
              <w:rPr>
                <w:sz w:val="20"/>
              </w:rPr>
              <w:t>R/W</w:t>
            </w:r>
          </w:p>
        </w:tc>
        <w:tc>
          <w:tcPr>
            <w:tcW w:w="8014" w:type="dxa"/>
            <w:shd w:val="clear" w:color="auto" w:fill="C1C1C1"/>
          </w:tcPr>
          <w:p>
            <w:pPr>
              <w:pStyle w:val="TableParagraph"/>
              <w:spacing w:before="16"/>
              <w:ind w:left="104" w:right="310"/>
              <w:rPr>
                <w:sz w:val="20"/>
              </w:rPr>
            </w:pPr>
            <w:r>
              <w:rPr>
                <w:sz w:val="20"/>
              </w:rPr>
              <w:t>Connects SEGDIO4 to the WAKE logic and permits SEGDIO4 rising to wake the part. This bit has no effect unless DIO4 is configured as a digital input.</w:t>
            </w:r>
          </w:p>
        </w:tc>
      </w:tr>
      <w:tr>
        <w:trPr>
          <w:trHeight w:val="501" w:hRule="atLeast"/>
        </w:trPr>
        <w:tc>
          <w:tcPr>
            <w:tcW w:w="2254" w:type="dxa"/>
            <w:shd w:val="clear" w:color="auto" w:fill="C1C1C1"/>
          </w:tcPr>
          <w:p>
            <w:pPr>
              <w:pStyle w:val="TableParagraph"/>
              <w:spacing w:before="130"/>
              <w:ind w:left="107"/>
              <w:rPr>
                <w:rFonts w:ascii="Times New Roman"/>
                <w:i/>
                <w:sz w:val="20"/>
              </w:rPr>
            </w:pPr>
            <w:r>
              <w:rPr>
                <w:rFonts w:ascii="Times New Roman"/>
                <w:i/>
                <w:sz w:val="20"/>
              </w:rPr>
              <w:t>EW_DIO52</w:t>
            </w:r>
          </w:p>
        </w:tc>
        <w:tc>
          <w:tcPr>
            <w:tcW w:w="1124" w:type="dxa"/>
            <w:shd w:val="clear" w:color="auto" w:fill="C1C1C1"/>
          </w:tcPr>
          <w:p>
            <w:pPr>
              <w:pStyle w:val="TableParagraph"/>
              <w:spacing w:before="134"/>
              <w:ind w:left="2"/>
              <w:jc w:val="center"/>
              <w:rPr>
                <w:sz w:val="20"/>
              </w:rPr>
            </w:pPr>
            <w:r>
              <w:rPr>
                <w:sz w:val="20"/>
              </w:rPr>
              <w:t>28B3[1]</w:t>
            </w:r>
          </w:p>
        </w:tc>
        <w:tc>
          <w:tcPr>
            <w:tcW w:w="344" w:type="dxa"/>
            <w:shd w:val="clear" w:color="auto" w:fill="C1C1C1"/>
          </w:tcPr>
          <w:p>
            <w:pPr>
              <w:pStyle w:val="TableParagraph"/>
              <w:spacing w:before="134"/>
              <w:ind w:left="4"/>
              <w:jc w:val="center"/>
              <w:rPr>
                <w:sz w:val="20"/>
              </w:rPr>
            </w:pPr>
            <w:r>
              <w:rPr>
                <w:w w:val="99"/>
                <w:sz w:val="20"/>
              </w:rPr>
              <w:t>0</w:t>
            </w:r>
          </w:p>
        </w:tc>
        <w:tc>
          <w:tcPr>
            <w:tcW w:w="344" w:type="dxa"/>
            <w:shd w:val="clear" w:color="auto" w:fill="C1C1C1"/>
          </w:tcPr>
          <w:p>
            <w:pPr>
              <w:pStyle w:val="TableParagraph"/>
              <w:spacing w:before="134"/>
              <w:ind w:left="2"/>
              <w:jc w:val="center"/>
              <w:rPr>
                <w:sz w:val="20"/>
              </w:rPr>
            </w:pPr>
            <w:r>
              <w:rPr>
                <w:w w:val="99"/>
                <w:sz w:val="20"/>
              </w:rPr>
              <w:t>–</w:t>
            </w:r>
          </w:p>
        </w:tc>
        <w:tc>
          <w:tcPr>
            <w:tcW w:w="620" w:type="dxa"/>
            <w:shd w:val="clear" w:color="auto" w:fill="C1C1C1"/>
          </w:tcPr>
          <w:p>
            <w:pPr>
              <w:pStyle w:val="TableParagraph"/>
              <w:spacing w:before="134"/>
              <w:ind w:left="87" w:right="93"/>
              <w:jc w:val="center"/>
              <w:rPr>
                <w:sz w:val="20"/>
              </w:rPr>
            </w:pPr>
            <w:r>
              <w:rPr>
                <w:sz w:val="20"/>
              </w:rPr>
              <w:t>R/W</w:t>
            </w:r>
          </w:p>
        </w:tc>
        <w:tc>
          <w:tcPr>
            <w:tcW w:w="8014" w:type="dxa"/>
            <w:shd w:val="clear" w:color="auto" w:fill="C1C1C1"/>
          </w:tcPr>
          <w:p>
            <w:pPr>
              <w:pStyle w:val="TableParagraph"/>
              <w:spacing w:before="18"/>
              <w:ind w:left="104"/>
              <w:rPr>
                <w:sz w:val="20"/>
              </w:rPr>
            </w:pPr>
            <w:r>
              <w:rPr>
                <w:sz w:val="20"/>
              </w:rPr>
              <w:t>Connects SEGDIO52 to the WAKE logic and permits SEGDIO52 rising to wake the part. This bit has no effect unless SEGDIO52 is configured as a digital input.</w:t>
            </w:r>
          </w:p>
        </w:tc>
      </w:tr>
      <w:tr>
        <w:trPr>
          <w:trHeight w:val="729" w:hRule="atLeast"/>
        </w:trPr>
        <w:tc>
          <w:tcPr>
            <w:tcW w:w="2254" w:type="dxa"/>
            <w:shd w:val="clear" w:color="auto" w:fill="C1C1C1"/>
          </w:tcPr>
          <w:p>
            <w:pPr>
              <w:pStyle w:val="TableParagraph"/>
              <w:spacing w:before="1"/>
              <w:rPr>
                <w:b/>
                <w:sz w:val="21"/>
              </w:rPr>
            </w:pPr>
          </w:p>
          <w:p>
            <w:pPr>
              <w:pStyle w:val="TableParagraph"/>
              <w:ind w:left="107"/>
              <w:rPr>
                <w:rFonts w:ascii="Times New Roman"/>
                <w:i/>
                <w:sz w:val="20"/>
              </w:rPr>
            </w:pPr>
            <w:r>
              <w:rPr>
                <w:rFonts w:ascii="Times New Roman"/>
                <w:i/>
                <w:sz w:val="20"/>
              </w:rPr>
              <w:t>EW_DIO55</w:t>
            </w:r>
          </w:p>
        </w:tc>
        <w:tc>
          <w:tcPr>
            <w:tcW w:w="1124" w:type="dxa"/>
            <w:shd w:val="clear" w:color="auto" w:fill="C1C1C1"/>
          </w:tcPr>
          <w:p>
            <w:pPr>
              <w:pStyle w:val="TableParagraph"/>
              <w:spacing w:before="5"/>
              <w:rPr>
                <w:b/>
                <w:sz w:val="21"/>
              </w:rPr>
            </w:pPr>
          </w:p>
          <w:p>
            <w:pPr>
              <w:pStyle w:val="TableParagraph"/>
              <w:ind w:left="2"/>
              <w:jc w:val="center"/>
              <w:rPr>
                <w:sz w:val="20"/>
              </w:rPr>
            </w:pPr>
            <w:r>
              <w:rPr>
                <w:sz w:val="20"/>
              </w:rPr>
              <w:t>28B3[0]</w:t>
            </w:r>
          </w:p>
        </w:tc>
        <w:tc>
          <w:tcPr>
            <w:tcW w:w="344" w:type="dxa"/>
            <w:shd w:val="clear" w:color="auto" w:fill="C1C1C1"/>
          </w:tcPr>
          <w:p>
            <w:pPr>
              <w:pStyle w:val="TableParagraph"/>
              <w:spacing w:before="5"/>
              <w:rPr>
                <w:b/>
                <w:sz w:val="21"/>
              </w:rPr>
            </w:pPr>
          </w:p>
          <w:p>
            <w:pPr>
              <w:pStyle w:val="TableParagraph"/>
              <w:ind w:left="4"/>
              <w:jc w:val="center"/>
              <w:rPr>
                <w:sz w:val="20"/>
              </w:rPr>
            </w:pPr>
            <w:r>
              <w:rPr>
                <w:w w:val="99"/>
                <w:sz w:val="20"/>
              </w:rPr>
              <w:t>0</w:t>
            </w:r>
          </w:p>
        </w:tc>
        <w:tc>
          <w:tcPr>
            <w:tcW w:w="344" w:type="dxa"/>
            <w:shd w:val="clear" w:color="auto" w:fill="C1C1C1"/>
          </w:tcPr>
          <w:p>
            <w:pPr>
              <w:pStyle w:val="TableParagraph"/>
              <w:spacing w:before="5"/>
              <w:rPr>
                <w:b/>
                <w:sz w:val="21"/>
              </w:rPr>
            </w:pPr>
          </w:p>
          <w:p>
            <w:pPr>
              <w:pStyle w:val="TableParagraph"/>
              <w:ind w:left="2"/>
              <w:jc w:val="center"/>
              <w:rPr>
                <w:sz w:val="20"/>
              </w:rPr>
            </w:pPr>
            <w:r>
              <w:rPr>
                <w:w w:val="99"/>
                <w:sz w:val="20"/>
              </w:rPr>
              <w:t>–</w:t>
            </w:r>
          </w:p>
        </w:tc>
        <w:tc>
          <w:tcPr>
            <w:tcW w:w="620" w:type="dxa"/>
            <w:shd w:val="clear" w:color="auto" w:fill="C1C1C1"/>
          </w:tcPr>
          <w:p>
            <w:pPr>
              <w:pStyle w:val="TableParagraph"/>
              <w:spacing w:before="5"/>
              <w:rPr>
                <w:b/>
                <w:sz w:val="21"/>
              </w:rPr>
            </w:pPr>
          </w:p>
          <w:p>
            <w:pPr>
              <w:pStyle w:val="TableParagraph"/>
              <w:ind w:left="87" w:right="93"/>
              <w:jc w:val="center"/>
              <w:rPr>
                <w:sz w:val="20"/>
              </w:rPr>
            </w:pPr>
            <w:r>
              <w:rPr>
                <w:sz w:val="20"/>
              </w:rPr>
              <w:t>R/W</w:t>
            </w:r>
          </w:p>
        </w:tc>
        <w:tc>
          <w:tcPr>
            <w:tcW w:w="8014" w:type="dxa"/>
            <w:shd w:val="clear" w:color="auto" w:fill="C1C1C1"/>
          </w:tcPr>
          <w:p>
            <w:pPr>
              <w:pStyle w:val="TableParagraph"/>
              <w:spacing w:before="16"/>
              <w:ind w:left="104" w:right="573"/>
              <w:jc w:val="both"/>
              <w:rPr>
                <w:sz w:val="20"/>
              </w:rPr>
            </w:pPr>
            <w:r>
              <w:rPr>
                <w:sz w:val="20"/>
              </w:rPr>
              <w:t>Connects SEGDIO55 to the WAKE logic and permits the SEGDIO55 rising edge to awaken the part. This bit has no effect unless SEGDIO55 is configured as a digital input.</w:t>
            </w:r>
          </w:p>
        </w:tc>
      </w:tr>
      <w:tr>
        <w:trPr>
          <w:trHeight w:val="501" w:hRule="atLeast"/>
        </w:trPr>
        <w:tc>
          <w:tcPr>
            <w:tcW w:w="2254" w:type="dxa"/>
            <w:shd w:val="clear" w:color="auto" w:fill="C1C1C1"/>
          </w:tcPr>
          <w:p>
            <w:pPr>
              <w:pStyle w:val="TableParagraph"/>
              <w:spacing w:before="130"/>
              <w:ind w:left="107"/>
              <w:rPr>
                <w:rFonts w:ascii="Times New Roman"/>
                <w:i/>
                <w:sz w:val="20"/>
              </w:rPr>
            </w:pPr>
            <w:r>
              <w:rPr>
                <w:rFonts w:ascii="Times New Roman"/>
                <w:i/>
                <w:sz w:val="20"/>
              </w:rPr>
              <w:t>EW_PB</w:t>
            </w:r>
          </w:p>
        </w:tc>
        <w:tc>
          <w:tcPr>
            <w:tcW w:w="1124" w:type="dxa"/>
            <w:shd w:val="clear" w:color="auto" w:fill="C1C1C1"/>
          </w:tcPr>
          <w:p>
            <w:pPr>
              <w:pStyle w:val="TableParagraph"/>
              <w:spacing w:before="134"/>
              <w:ind w:left="2"/>
              <w:jc w:val="center"/>
              <w:rPr>
                <w:sz w:val="20"/>
              </w:rPr>
            </w:pPr>
            <w:r>
              <w:rPr>
                <w:sz w:val="20"/>
              </w:rPr>
              <w:t>28B3[3]</w:t>
            </w:r>
          </w:p>
        </w:tc>
        <w:tc>
          <w:tcPr>
            <w:tcW w:w="344" w:type="dxa"/>
            <w:shd w:val="clear" w:color="auto" w:fill="C1C1C1"/>
          </w:tcPr>
          <w:p>
            <w:pPr>
              <w:pStyle w:val="TableParagraph"/>
              <w:spacing w:before="134"/>
              <w:ind w:left="4"/>
              <w:jc w:val="center"/>
              <w:rPr>
                <w:sz w:val="20"/>
              </w:rPr>
            </w:pPr>
            <w:r>
              <w:rPr>
                <w:w w:val="99"/>
                <w:sz w:val="20"/>
              </w:rPr>
              <w:t>0</w:t>
            </w:r>
          </w:p>
        </w:tc>
        <w:tc>
          <w:tcPr>
            <w:tcW w:w="344" w:type="dxa"/>
            <w:shd w:val="clear" w:color="auto" w:fill="C1C1C1"/>
          </w:tcPr>
          <w:p>
            <w:pPr>
              <w:pStyle w:val="TableParagraph"/>
              <w:spacing w:before="134"/>
              <w:ind w:left="2"/>
              <w:jc w:val="center"/>
              <w:rPr>
                <w:sz w:val="20"/>
              </w:rPr>
            </w:pPr>
            <w:r>
              <w:rPr>
                <w:w w:val="99"/>
                <w:sz w:val="20"/>
              </w:rPr>
              <w:t>–</w:t>
            </w:r>
          </w:p>
        </w:tc>
        <w:tc>
          <w:tcPr>
            <w:tcW w:w="620" w:type="dxa"/>
            <w:shd w:val="clear" w:color="auto" w:fill="C1C1C1"/>
          </w:tcPr>
          <w:p>
            <w:pPr>
              <w:pStyle w:val="TableParagraph"/>
              <w:spacing w:before="134"/>
              <w:ind w:left="87" w:right="93"/>
              <w:jc w:val="center"/>
              <w:rPr>
                <w:sz w:val="20"/>
              </w:rPr>
            </w:pPr>
            <w:r>
              <w:rPr>
                <w:sz w:val="20"/>
              </w:rPr>
              <w:t>R/W</w:t>
            </w:r>
          </w:p>
        </w:tc>
        <w:tc>
          <w:tcPr>
            <w:tcW w:w="8014" w:type="dxa"/>
            <w:shd w:val="clear" w:color="auto" w:fill="C1C1C1"/>
          </w:tcPr>
          <w:p>
            <w:pPr>
              <w:pStyle w:val="TableParagraph"/>
              <w:spacing w:before="18"/>
              <w:ind w:left="104" w:right="198"/>
              <w:rPr>
                <w:sz w:val="20"/>
              </w:rPr>
            </w:pPr>
            <w:r>
              <w:rPr>
                <w:sz w:val="20"/>
              </w:rPr>
              <w:t>Connects PB to the WAKE logic and permits a high level on PB to awaken the part. PB is always configured as an input.</w:t>
            </w:r>
          </w:p>
        </w:tc>
      </w:tr>
      <w:tr>
        <w:trPr>
          <w:trHeight w:val="498" w:hRule="atLeast"/>
        </w:trPr>
        <w:tc>
          <w:tcPr>
            <w:tcW w:w="2254" w:type="dxa"/>
            <w:shd w:val="clear" w:color="auto" w:fill="C1C1C1"/>
          </w:tcPr>
          <w:p>
            <w:pPr>
              <w:pStyle w:val="TableParagraph"/>
              <w:spacing w:before="127"/>
              <w:ind w:left="107"/>
              <w:rPr>
                <w:rFonts w:ascii="Times New Roman"/>
                <w:i/>
                <w:sz w:val="20"/>
              </w:rPr>
            </w:pPr>
            <w:r>
              <w:rPr>
                <w:rFonts w:ascii="Times New Roman"/>
                <w:i/>
                <w:sz w:val="20"/>
              </w:rPr>
              <w:t>EW_RX</w:t>
            </w:r>
          </w:p>
        </w:tc>
        <w:tc>
          <w:tcPr>
            <w:tcW w:w="1124" w:type="dxa"/>
            <w:shd w:val="clear" w:color="auto" w:fill="C1C1C1"/>
          </w:tcPr>
          <w:p>
            <w:pPr>
              <w:pStyle w:val="TableParagraph"/>
              <w:spacing w:before="131"/>
              <w:ind w:left="2"/>
              <w:jc w:val="center"/>
              <w:rPr>
                <w:sz w:val="20"/>
              </w:rPr>
            </w:pPr>
            <w:r>
              <w:rPr>
                <w:sz w:val="20"/>
              </w:rPr>
              <w:t>28B3[4]</w:t>
            </w:r>
          </w:p>
        </w:tc>
        <w:tc>
          <w:tcPr>
            <w:tcW w:w="344" w:type="dxa"/>
            <w:shd w:val="clear" w:color="auto" w:fill="C1C1C1"/>
          </w:tcPr>
          <w:p>
            <w:pPr>
              <w:pStyle w:val="TableParagraph"/>
              <w:spacing w:before="131"/>
              <w:ind w:left="4"/>
              <w:jc w:val="center"/>
              <w:rPr>
                <w:sz w:val="20"/>
              </w:rPr>
            </w:pPr>
            <w:r>
              <w:rPr>
                <w:w w:val="99"/>
                <w:sz w:val="20"/>
              </w:rPr>
              <w:t>0</w:t>
            </w:r>
          </w:p>
        </w:tc>
        <w:tc>
          <w:tcPr>
            <w:tcW w:w="344" w:type="dxa"/>
            <w:shd w:val="clear" w:color="auto" w:fill="C1C1C1"/>
          </w:tcPr>
          <w:p>
            <w:pPr>
              <w:pStyle w:val="TableParagraph"/>
              <w:spacing w:before="131"/>
              <w:ind w:left="2"/>
              <w:jc w:val="center"/>
              <w:rPr>
                <w:sz w:val="20"/>
              </w:rPr>
            </w:pPr>
            <w:r>
              <w:rPr>
                <w:w w:val="99"/>
                <w:sz w:val="20"/>
              </w:rPr>
              <w:t>–</w:t>
            </w:r>
          </w:p>
        </w:tc>
        <w:tc>
          <w:tcPr>
            <w:tcW w:w="620" w:type="dxa"/>
            <w:shd w:val="clear" w:color="auto" w:fill="C1C1C1"/>
          </w:tcPr>
          <w:p>
            <w:pPr>
              <w:pStyle w:val="TableParagraph"/>
              <w:spacing w:before="131"/>
              <w:ind w:left="87" w:right="93"/>
              <w:jc w:val="center"/>
              <w:rPr>
                <w:sz w:val="20"/>
              </w:rPr>
            </w:pPr>
            <w:r>
              <w:rPr>
                <w:sz w:val="20"/>
              </w:rPr>
              <w:t>R/W</w:t>
            </w:r>
          </w:p>
        </w:tc>
        <w:tc>
          <w:tcPr>
            <w:tcW w:w="8014" w:type="dxa"/>
            <w:shd w:val="clear" w:color="auto" w:fill="C1C1C1"/>
          </w:tcPr>
          <w:p>
            <w:pPr>
              <w:pStyle w:val="TableParagraph"/>
              <w:spacing w:before="16"/>
              <w:ind w:left="104" w:right="476"/>
              <w:rPr>
                <w:sz w:val="20"/>
              </w:rPr>
            </w:pPr>
            <w:r>
              <w:rPr>
                <w:sz w:val="20"/>
              </w:rPr>
              <w:t>Connects RX to the WAKE logic and permits the RX rising edge to awaken the part. See the WAKE description in </w:t>
            </w:r>
            <w:hyperlink w:history="true" w:anchor="_bookmark163">
              <w:r>
                <w:rPr>
                  <w:color w:val="0000FF"/>
                  <w:sz w:val="20"/>
                </w:rPr>
                <w:t>3.4 </w:t>
              </w:r>
            </w:hyperlink>
            <w:hyperlink w:history="true" w:anchor="_bookmark168">
              <w:r>
                <w:rPr>
                  <w:color w:val="0000FF"/>
                  <w:sz w:val="20"/>
                </w:rPr>
                <w:t>Wake on Timer </w:t>
              </w:r>
            </w:hyperlink>
            <w:r>
              <w:rPr>
                <w:sz w:val="20"/>
              </w:rPr>
              <w:t>for de-bounce issues.</w:t>
            </w:r>
          </w:p>
        </w:tc>
      </w:tr>
      <w:tr>
        <w:trPr>
          <w:trHeight w:val="3134" w:hRule="atLeast"/>
        </w:trPr>
        <w:tc>
          <w:tcPr>
            <w:tcW w:w="2254"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0"/>
              <w:ind w:left="107"/>
              <w:rPr>
                <w:rFonts w:ascii="Times New Roman"/>
                <w:i/>
                <w:sz w:val="20"/>
              </w:rPr>
            </w:pPr>
            <w:r>
              <w:rPr>
                <w:rFonts w:ascii="Times New Roman"/>
                <w:i/>
                <w:sz w:val="20"/>
              </w:rPr>
              <w:t>FIR_LEN[1:0]</w:t>
            </w:r>
          </w:p>
        </w:tc>
        <w:tc>
          <w:tcPr>
            <w:tcW w:w="1124"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4"/>
              <w:ind w:left="2"/>
              <w:jc w:val="center"/>
              <w:rPr>
                <w:sz w:val="20"/>
              </w:rPr>
            </w:pPr>
            <w:r>
              <w:rPr>
                <w:sz w:val="20"/>
              </w:rPr>
              <w:t>210C[2:1]</w:t>
            </w:r>
          </w:p>
        </w:tc>
        <w:tc>
          <w:tcPr>
            <w:tcW w:w="344"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4"/>
              <w:ind w:left="4"/>
              <w:jc w:val="center"/>
              <w:rPr>
                <w:sz w:val="20"/>
              </w:rPr>
            </w:pPr>
            <w:r>
              <w:rPr>
                <w:w w:val="99"/>
                <w:sz w:val="20"/>
              </w:rPr>
              <w:t>0</w:t>
            </w:r>
          </w:p>
        </w:tc>
        <w:tc>
          <w:tcPr>
            <w:tcW w:w="344"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4"/>
              <w:ind w:left="2"/>
              <w:jc w:val="center"/>
              <w:rPr>
                <w:sz w:val="20"/>
              </w:rPr>
            </w:pPr>
            <w:r>
              <w:rPr>
                <w:w w:val="99"/>
                <w:sz w:val="20"/>
              </w:rPr>
              <w:t>0</w:t>
            </w:r>
          </w:p>
        </w:tc>
        <w:tc>
          <w:tcPr>
            <w:tcW w:w="62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4"/>
              <w:ind w:left="87" w:right="93"/>
              <w:jc w:val="center"/>
              <w:rPr>
                <w:sz w:val="20"/>
              </w:rPr>
            </w:pPr>
            <w:r>
              <w:rPr>
                <w:sz w:val="20"/>
              </w:rPr>
              <w:t>R/W</w:t>
            </w:r>
          </w:p>
        </w:tc>
        <w:tc>
          <w:tcPr>
            <w:tcW w:w="8014" w:type="dxa"/>
          </w:tcPr>
          <w:p>
            <w:pPr>
              <w:pStyle w:val="TableParagraph"/>
              <w:spacing w:line="228" w:lineRule="exact" w:before="18"/>
              <w:ind w:left="104"/>
              <w:rPr>
                <w:sz w:val="20"/>
              </w:rPr>
            </w:pPr>
            <w:r>
              <w:rPr>
                <w:sz w:val="20"/>
              </w:rPr>
              <w:t>Determines the number of ADC cycles in the ADC decimation FIR filter.</w:t>
            </w:r>
          </w:p>
          <w:p>
            <w:pPr>
              <w:pStyle w:val="TableParagraph"/>
              <w:spacing w:line="229" w:lineRule="exact"/>
              <w:ind w:left="104"/>
              <w:rPr>
                <w:sz w:val="20"/>
              </w:rPr>
            </w:pPr>
            <w:r>
              <w:rPr>
                <w:rFonts w:ascii="Times New Roman"/>
                <w:i/>
                <w:sz w:val="20"/>
              </w:rPr>
              <w:t>PLL_FAST </w:t>
            </w:r>
            <w:r>
              <w:rPr>
                <w:sz w:val="20"/>
              </w:rPr>
              <w:t>=</w:t>
            </w:r>
            <w:r>
              <w:rPr>
                <w:spacing w:val="-8"/>
                <w:sz w:val="20"/>
              </w:rPr>
              <w:t> </w:t>
            </w:r>
            <w:r>
              <w:rPr>
                <w:sz w:val="20"/>
              </w:rPr>
              <w:t>1:</w:t>
            </w:r>
          </w:p>
          <w:p>
            <w:pPr>
              <w:pStyle w:val="TableParagraph"/>
              <w:rPr>
                <w:b/>
                <w:sz w:val="22"/>
              </w:rPr>
            </w:pPr>
          </w:p>
          <w:p>
            <w:pPr>
              <w:pStyle w:val="TableParagraph"/>
              <w:rPr>
                <w:b/>
                <w:sz w:val="22"/>
              </w:rPr>
            </w:pPr>
          </w:p>
          <w:p>
            <w:pPr>
              <w:pStyle w:val="TableParagraph"/>
              <w:rPr>
                <w:b/>
                <w:sz w:val="22"/>
              </w:rPr>
            </w:pPr>
          </w:p>
          <w:p>
            <w:pPr>
              <w:pStyle w:val="TableParagraph"/>
              <w:spacing w:before="6"/>
              <w:rPr>
                <w:b/>
                <w:sz w:val="18"/>
              </w:rPr>
            </w:pPr>
          </w:p>
          <w:p>
            <w:pPr>
              <w:pStyle w:val="TableParagraph"/>
              <w:ind w:left="104"/>
              <w:rPr>
                <w:sz w:val="20"/>
              </w:rPr>
            </w:pPr>
            <w:r>
              <w:rPr>
                <w:rFonts w:ascii="Times New Roman"/>
                <w:i/>
                <w:sz w:val="20"/>
              </w:rPr>
              <w:t>PLL_FAST </w:t>
            </w:r>
            <w:r>
              <w:rPr>
                <w:sz w:val="20"/>
              </w:rPr>
              <w:t>=</w:t>
            </w:r>
            <w:r>
              <w:rPr>
                <w:spacing w:val="-8"/>
                <w:sz w:val="20"/>
              </w:rPr>
              <w:t> </w:t>
            </w:r>
            <w:r>
              <w:rPr>
                <w:sz w:val="20"/>
              </w:rPr>
              <w:t>0:</w:t>
            </w:r>
          </w:p>
          <w:p>
            <w:pPr>
              <w:pStyle w:val="TableParagraph"/>
              <w:rPr>
                <w:b/>
                <w:sz w:val="22"/>
              </w:rPr>
            </w:pPr>
          </w:p>
          <w:p>
            <w:pPr>
              <w:pStyle w:val="TableParagraph"/>
              <w:rPr>
                <w:b/>
                <w:sz w:val="22"/>
              </w:rPr>
            </w:pPr>
          </w:p>
          <w:p>
            <w:pPr>
              <w:pStyle w:val="TableParagraph"/>
              <w:rPr>
                <w:b/>
                <w:sz w:val="22"/>
              </w:rPr>
            </w:pPr>
          </w:p>
          <w:p>
            <w:pPr>
              <w:pStyle w:val="TableParagraph"/>
              <w:spacing w:before="3"/>
              <w:rPr>
                <w:b/>
                <w:sz w:val="18"/>
              </w:rPr>
            </w:pPr>
          </w:p>
          <w:p>
            <w:pPr>
              <w:pStyle w:val="TableParagraph"/>
              <w:ind w:left="104" w:right="293"/>
              <w:rPr>
                <w:sz w:val="20"/>
              </w:rPr>
            </w:pPr>
            <w:r>
              <w:rPr>
                <w:sz w:val="20"/>
              </w:rPr>
              <w:t>The ADC LSB size and full-scale values depend on the </w:t>
            </w:r>
            <w:r>
              <w:rPr>
                <w:rFonts w:ascii="Times New Roman"/>
                <w:i/>
                <w:sz w:val="20"/>
              </w:rPr>
              <w:t>FIR_LEN[1:0] </w:t>
            </w:r>
            <w:r>
              <w:rPr>
                <w:sz w:val="20"/>
              </w:rPr>
              <w:t>setting. Refer to </w:t>
            </w:r>
            <w:hyperlink w:history="true" w:anchor="_bookmark232">
              <w:r>
                <w:rPr>
                  <w:color w:val="0000FF"/>
                  <w:sz w:val="20"/>
                </w:rPr>
                <w:t>Table 81 </w:t>
              </w:r>
            </w:hyperlink>
            <w:r>
              <w:rPr>
                <w:sz w:val="20"/>
              </w:rPr>
              <w:t>on page </w:t>
            </w:r>
            <w:hyperlink w:history="true" w:anchor="_bookmark232">
              <w:r>
                <w:rPr>
                  <w:color w:val="0000FF"/>
                  <w:sz w:val="20"/>
                </w:rPr>
                <w:t>122 </w:t>
              </w:r>
            </w:hyperlink>
            <w:r>
              <w:rPr>
                <w:sz w:val="20"/>
              </w:rPr>
              <w:t>and </w:t>
            </w:r>
            <w:hyperlink w:history="true" w:anchor="_bookmark280">
              <w:r>
                <w:rPr>
                  <w:color w:val="0000FF"/>
                  <w:sz w:val="20"/>
                </w:rPr>
                <w:t>Table 103 </w:t>
              </w:r>
            </w:hyperlink>
            <w:r>
              <w:rPr>
                <w:sz w:val="20"/>
              </w:rPr>
              <w:t>on page </w:t>
            </w:r>
            <w:hyperlink w:history="true" w:anchor="_bookmark280">
              <w:r>
                <w:rPr>
                  <w:color w:val="0000FF"/>
                  <w:sz w:val="20"/>
                </w:rPr>
                <w:t>141 </w:t>
              </w:r>
            </w:hyperlink>
            <w:r>
              <w:rPr>
                <w:sz w:val="20"/>
              </w:rPr>
              <w:t>for details.</w:t>
            </w:r>
          </w:p>
        </w:tc>
      </w:tr>
    </w:tbl>
    <w:p>
      <w:pPr>
        <w:spacing w:after="0"/>
        <w:rPr>
          <w:sz w:val="20"/>
        </w:rPr>
        <w:sectPr>
          <w:pgSz w:w="15840" w:h="12240" w:orient="landscape"/>
          <w:pgMar w:header="727" w:footer="819" w:top="1180" w:bottom="1000" w:left="1320" w:right="1320"/>
        </w:sectPr>
      </w:pPr>
    </w:p>
    <w:p>
      <w:pPr>
        <w:pStyle w:val="BodyText"/>
        <w:spacing w:before="5"/>
        <w:rPr>
          <w:b/>
          <w:sz w:val="7"/>
        </w:rPr>
      </w:pPr>
    </w:p>
    <w:tbl>
      <w:tblPr>
        <w:tblW w:w="0" w:type="auto"/>
        <w:jc w:val="left"/>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4"/>
        <w:gridCol w:w="1124"/>
        <w:gridCol w:w="344"/>
        <w:gridCol w:w="344"/>
        <w:gridCol w:w="620"/>
        <w:gridCol w:w="114"/>
        <w:gridCol w:w="1484"/>
        <w:gridCol w:w="3140"/>
        <w:gridCol w:w="3164"/>
        <w:gridCol w:w="116"/>
      </w:tblGrid>
      <w:tr>
        <w:trPr>
          <w:trHeight w:val="309" w:hRule="atLeast"/>
        </w:trPr>
        <w:tc>
          <w:tcPr>
            <w:tcW w:w="2254" w:type="dxa"/>
          </w:tcPr>
          <w:p>
            <w:pPr>
              <w:pStyle w:val="TableParagraph"/>
              <w:spacing w:before="35"/>
              <w:ind w:left="107"/>
              <w:rPr>
                <w:b/>
                <w:sz w:val="20"/>
              </w:rPr>
            </w:pPr>
            <w:r>
              <w:rPr>
                <w:b/>
                <w:sz w:val="20"/>
              </w:rPr>
              <w:t>Name</w:t>
            </w:r>
          </w:p>
        </w:tc>
        <w:tc>
          <w:tcPr>
            <w:tcW w:w="1124" w:type="dxa"/>
          </w:tcPr>
          <w:p>
            <w:pPr>
              <w:pStyle w:val="TableParagraph"/>
              <w:spacing w:before="35"/>
              <w:ind w:left="143"/>
              <w:rPr>
                <w:b/>
                <w:sz w:val="20"/>
              </w:rPr>
            </w:pPr>
            <w:r>
              <w:rPr>
                <w:b/>
                <w:sz w:val="20"/>
              </w:rPr>
              <w:t>Location</w:t>
            </w:r>
          </w:p>
        </w:tc>
        <w:tc>
          <w:tcPr>
            <w:tcW w:w="344" w:type="dxa"/>
          </w:tcPr>
          <w:p>
            <w:pPr>
              <w:pStyle w:val="TableParagraph"/>
              <w:spacing w:before="35"/>
              <w:ind w:left="2"/>
              <w:jc w:val="center"/>
              <w:rPr>
                <w:b/>
                <w:sz w:val="20"/>
              </w:rPr>
            </w:pPr>
            <w:r>
              <w:rPr>
                <w:b/>
                <w:sz w:val="20"/>
              </w:rPr>
              <w:t>Rst</w:t>
            </w:r>
          </w:p>
        </w:tc>
        <w:tc>
          <w:tcPr>
            <w:tcW w:w="344" w:type="dxa"/>
          </w:tcPr>
          <w:p>
            <w:pPr>
              <w:pStyle w:val="TableParagraph"/>
              <w:spacing w:before="35"/>
              <w:ind w:left="6"/>
              <w:jc w:val="center"/>
              <w:rPr>
                <w:b/>
                <w:sz w:val="20"/>
              </w:rPr>
            </w:pPr>
            <w:r>
              <w:rPr>
                <w:b/>
                <w:sz w:val="20"/>
              </w:rPr>
              <w:t>Wk</w:t>
            </w:r>
          </w:p>
        </w:tc>
        <w:tc>
          <w:tcPr>
            <w:tcW w:w="620" w:type="dxa"/>
          </w:tcPr>
          <w:p>
            <w:pPr>
              <w:pStyle w:val="TableParagraph"/>
              <w:spacing w:before="35"/>
              <w:ind w:left="87" w:right="86"/>
              <w:jc w:val="center"/>
              <w:rPr>
                <w:b/>
                <w:sz w:val="20"/>
              </w:rPr>
            </w:pPr>
            <w:r>
              <w:rPr>
                <w:b/>
                <w:sz w:val="20"/>
              </w:rPr>
              <w:t>Dir</w:t>
            </w:r>
          </w:p>
        </w:tc>
        <w:tc>
          <w:tcPr>
            <w:tcW w:w="8018" w:type="dxa"/>
            <w:gridSpan w:val="5"/>
          </w:tcPr>
          <w:p>
            <w:pPr>
              <w:pStyle w:val="TableParagraph"/>
              <w:spacing w:before="35"/>
              <w:ind w:left="104"/>
              <w:rPr>
                <w:b/>
                <w:sz w:val="20"/>
              </w:rPr>
            </w:pPr>
            <w:r>
              <w:rPr>
                <w:b/>
                <w:sz w:val="20"/>
              </w:rPr>
              <w:t>Description</w:t>
            </w:r>
          </w:p>
        </w:tc>
      </w:tr>
      <w:tr>
        <w:trPr>
          <w:trHeight w:val="1396" w:hRule="atLeast"/>
        </w:trPr>
        <w:tc>
          <w:tcPr>
            <w:tcW w:w="2254"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5"/>
              </w:rPr>
            </w:pPr>
          </w:p>
          <w:p>
            <w:pPr>
              <w:pStyle w:val="TableParagraph"/>
              <w:ind w:left="107"/>
              <w:rPr>
                <w:rFonts w:ascii="Times New Roman"/>
                <w:i/>
                <w:sz w:val="20"/>
              </w:rPr>
            </w:pPr>
            <w:r>
              <w:rPr>
                <w:rFonts w:ascii="Times New Roman"/>
                <w:i/>
                <w:sz w:val="20"/>
              </w:rPr>
              <w:t>FL_BANK[1:0]</w:t>
            </w:r>
          </w:p>
        </w:tc>
        <w:tc>
          <w:tcPr>
            <w:tcW w:w="1124"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8"/>
              <w:rPr>
                <w:b/>
                <w:sz w:val="25"/>
              </w:rPr>
            </w:pPr>
          </w:p>
          <w:p>
            <w:pPr>
              <w:pStyle w:val="TableParagraph"/>
              <w:ind w:left="16"/>
              <w:rPr>
                <w:sz w:val="20"/>
              </w:rPr>
            </w:pPr>
            <w:r>
              <w:rPr>
                <w:sz w:val="20"/>
              </w:rPr>
              <w:t>SFR B6[1:0]</w:t>
            </w:r>
          </w:p>
        </w:tc>
        <w:tc>
          <w:tcPr>
            <w:tcW w:w="344"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8"/>
              <w:rPr>
                <w:b/>
                <w:sz w:val="25"/>
              </w:rPr>
            </w:pPr>
          </w:p>
          <w:p>
            <w:pPr>
              <w:pStyle w:val="TableParagraph"/>
              <w:ind w:left="58"/>
              <w:rPr>
                <w:sz w:val="20"/>
              </w:rPr>
            </w:pPr>
            <w:r>
              <w:rPr>
                <w:sz w:val="20"/>
              </w:rPr>
              <w:t>01</w:t>
            </w:r>
          </w:p>
        </w:tc>
        <w:tc>
          <w:tcPr>
            <w:tcW w:w="344"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8"/>
              <w:rPr>
                <w:b/>
                <w:sz w:val="25"/>
              </w:rPr>
            </w:pPr>
          </w:p>
          <w:p>
            <w:pPr>
              <w:pStyle w:val="TableParagraph"/>
              <w:ind w:left="57"/>
              <w:rPr>
                <w:sz w:val="20"/>
              </w:rPr>
            </w:pPr>
            <w:r>
              <w:rPr>
                <w:sz w:val="20"/>
              </w:rPr>
              <w:t>01</w:t>
            </w:r>
          </w:p>
        </w:tc>
        <w:tc>
          <w:tcPr>
            <w:tcW w:w="62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8"/>
              <w:rPr>
                <w:b/>
                <w:sz w:val="25"/>
              </w:rPr>
            </w:pPr>
          </w:p>
          <w:p>
            <w:pPr>
              <w:pStyle w:val="TableParagraph"/>
              <w:ind w:left="112"/>
              <w:rPr>
                <w:sz w:val="20"/>
              </w:rPr>
            </w:pPr>
            <w:r>
              <w:rPr>
                <w:sz w:val="20"/>
              </w:rPr>
              <w:t>R/W</w:t>
            </w:r>
          </w:p>
        </w:tc>
        <w:tc>
          <w:tcPr>
            <w:tcW w:w="8018" w:type="dxa"/>
            <w:gridSpan w:val="5"/>
          </w:tcPr>
          <w:p>
            <w:pPr>
              <w:pStyle w:val="TableParagraph"/>
              <w:spacing w:before="11"/>
              <w:ind w:left="104"/>
              <w:rPr>
                <w:sz w:val="20"/>
              </w:rPr>
            </w:pPr>
            <w:r>
              <w:rPr>
                <w:sz w:val="20"/>
                <w:u w:val="single"/>
              </w:rPr>
              <w:t>Flash Bank Selection (71M6543G only)</w:t>
            </w:r>
          </w:p>
          <w:p>
            <w:pPr>
              <w:pStyle w:val="TableParagraph"/>
              <w:spacing w:before="1"/>
              <w:ind w:left="104"/>
              <w:rPr>
                <w:sz w:val="20"/>
              </w:rPr>
            </w:pPr>
            <w:r>
              <w:rPr>
                <w:sz w:val="20"/>
              </w:rPr>
              <w:t>The program memory of the 71M6543G consists of a fixed lower bank of 32 KB, addressable at 0x0000 to 0x7FFF plus an upper banked area of 32 KB, addressable at 0x8000 to 0xFFFF. The I/O RAM register </w:t>
            </w:r>
            <w:r>
              <w:rPr>
                <w:rFonts w:ascii="Times New Roman"/>
                <w:i/>
                <w:sz w:val="20"/>
              </w:rPr>
              <w:t>FL_BANK </w:t>
            </w:r>
            <w:r>
              <w:rPr>
                <w:sz w:val="20"/>
              </w:rPr>
              <w:t>is used to switch one of four</w:t>
            </w:r>
          </w:p>
          <w:p>
            <w:pPr>
              <w:pStyle w:val="TableParagraph"/>
              <w:spacing w:line="228" w:lineRule="exact" w:before="5"/>
              <w:ind w:left="104"/>
              <w:rPr>
                <w:sz w:val="20"/>
              </w:rPr>
            </w:pPr>
            <w:r>
              <w:rPr>
                <w:sz w:val="20"/>
              </w:rPr>
              <w:t>memory banks of 32 KB each into the address range from 0x8000 to 0xFFFF. Note that when </w:t>
            </w:r>
            <w:r>
              <w:rPr>
                <w:rFonts w:ascii="Times New Roman"/>
                <w:i/>
                <w:sz w:val="20"/>
              </w:rPr>
              <w:t>FL_BANK </w:t>
            </w:r>
            <w:r>
              <w:rPr>
                <w:sz w:val="20"/>
              </w:rPr>
              <w:t>= 0, the upper bank is the same as the lower bank.</w:t>
            </w:r>
          </w:p>
        </w:tc>
      </w:tr>
      <w:tr>
        <w:trPr>
          <w:trHeight w:val="460" w:hRule="atLeast"/>
        </w:trPr>
        <w:tc>
          <w:tcPr>
            <w:tcW w:w="2254" w:type="dxa"/>
            <w:vMerge/>
            <w:tcBorders>
              <w:top w:val="nil"/>
            </w:tcBorders>
          </w:tcPr>
          <w:p>
            <w:pPr>
              <w:rPr>
                <w:sz w:val="2"/>
                <w:szCs w:val="2"/>
              </w:rPr>
            </w:pPr>
          </w:p>
        </w:tc>
        <w:tc>
          <w:tcPr>
            <w:tcW w:w="1124" w:type="dxa"/>
            <w:vMerge/>
            <w:tcBorders>
              <w:top w:val="nil"/>
            </w:tcBorders>
          </w:tcPr>
          <w:p>
            <w:pPr>
              <w:rPr>
                <w:sz w:val="2"/>
                <w:szCs w:val="2"/>
              </w:rPr>
            </w:pPr>
          </w:p>
        </w:tc>
        <w:tc>
          <w:tcPr>
            <w:tcW w:w="344" w:type="dxa"/>
            <w:vMerge/>
            <w:tcBorders>
              <w:top w:val="nil"/>
            </w:tcBorders>
          </w:tcPr>
          <w:p>
            <w:pPr>
              <w:rPr>
                <w:sz w:val="2"/>
                <w:szCs w:val="2"/>
              </w:rPr>
            </w:pPr>
          </w:p>
        </w:tc>
        <w:tc>
          <w:tcPr>
            <w:tcW w:w="344" w:type="dxa"/>
            <w:vMerge/>
            <w:tcBorders>
              <w:top w:val="nil"/>
            </w:tcBorders>
          </w:tcPr>
          <w:p>
            <w:pPr>
              <w:rPr>
                <w:sz w:val="2"/>
                <w:szCs w:val="2"/>
              </w:rPr>
            </w:pPr>
          </w:p>
        </w:tc>
        <w:tc>
          <w:tcPr>
            <w:tcW w:w="620" w:type="dxa"/>
            <w:vMerge/>
            <w:tcBorders>
              <w:top w:val="nil"/>
            </w:tcBorders>
          </w:tcPr>
          <w:p>
            <w:pPr>
              <w:rPr>
                <w:sz w:val="2"/>
                <w:szCs w:val="2"/>
              </w:rPr>
            </w:pPr>
          </w:p>
        </w:tc>
        <w:tc>
          <w:tcPr>
            <w:tcW w:w="114" w:type="dxa"/>
            <w:vMerge w:val="restart"/>
            <w:tcBorders>
              <w:top w:val="nil"/>
            </w:tcBorders>
          </w:tcPr>
          <w:p>
            <w:pPr>
              <w:pStyle w:val="TableParagraph"/>
              <w:rPr>
                <w:rFonts w:ascii="Times New Roman"/>
                <w:sz w:val="18"/>
              </w:rPr>
            </w:pPr>
          </w:p>
        </w:tc>
        <w:tc>
          <w:tcPr>
            <w:tcW w:w="1484" w:type="dxa"/>
          </w:tcPr>
          <w:p>
            <w:pPr>
              <w:pStyle w:val="TableParagraph"/>
              <w:spacing w:before="108"/>
              <w:ind w:left="82" w:right="85"/>
              <w:jc w:val="center"/>
              <w:rPr>
                <w:rFonts w:ascii="Times New Roman"/>
                <w:i/>
                <w:sz w:val="20"/>
              </w:rPr>
            </w:pPr>
            <w:r>
              <w:rPr>
                <w:rFonts w:ascii="Times New Roman"/>
                <w:i/>
                <w:sz w:val="20"/>
              </w:rPr>
              <w:t>FL_BANK[1:0]</w:t>
            </w:r>
          </w:p>
        </w:tc>
        <w:tc>
          <w:tcPr>
            <w:tcW w:w="3140" w:type="dxa"/>
          </w:tcPr>
          <w:p>
            <w:pPr>
              <w:pStyle w:val="TableParagraph"/>
              <w:spacing w:line="230" w:lineRule="exact"/>
              <w:ind w:left="791" w:right="137" w:hanging="617"/>
              <w:rPr>
                <w:sz w:val="20"/>
              </w:rPr>
            </w:pPr>
            <w:r>
              <w:rPr>
                <w:sz w:val="20"/>
              </w:rPr>
              <w:t>Address Range for Lower Bank (0x0000-0x7FFF)</w:t>
            </w:r>
          </w:p>
        </w:tc>
        <w:tc>
          <w:tcPr>
            <w:tcW w:w="3164" w:type="dxa"/>
          </w:tcPr>
          <w:p>
            <w:pPr>
              <w:pStyle w:val="TableParagraph"/>
              <w:spacing w:line="230" w:lineRule="exact"/>
              <w:ind w:left="797" w:right="150" w:hanging="612"/>
              <w:rPr>
                <w:sz w:val="20"/>
              </w:rPr>
            </w:pPr>
            <w:r>
              <w:rPr>
                <w:sz w:val="20"/>
              </w:rPr>
              <w:t>Address Range for Upper Bank (0x8000-0xFFFF)</w:t>
            </w:r>
          </w:p>
        </w:tc>
        <w:tc>
          <w:tcPr>
            <w:tcW w:w="116" w:type="dxa"/>
            <w:tcBorders>
              <w:top w:val="nil"/>
              <w:bottom w:val="nil"/>
            </w:tcBorders>
          </w:tcPr>
          <w:p>
            <w:pPr>
              <w:pStyle w:val="TableParagraph"/>
              <w:rPr>
                <w:rFonts w:ascii="Times New Roman"/>
                <w:sz w:val="18"/>
              </w:rPr>
            </w:pPr>
          </w:p>
        </w:tc>
      </w:tr>
      <w:tr>
        <w:trPr>
          <w:trHeight w:val="229" w:hRule="atLeast"/>
        </w:trPr>
        <w:tc>
          <w:tcPr>
            <w:tcW w:w="2254" w:type="dxa"/>
            <w:vMerge/>
            <w:tcBorders>
              <w:top w:val="nil"/>
            </w:tcBorders>
          </w:tcPr>
          <w:p>
            <w:pPr>
              <w:rPr>
                <w:sz w:val="2"/>
                <w:szCs w:val="2"/>
              </w:rPr>
            </w:pPr>
          </w:p>
        </w:tc>
        <w:tc>
          <w:tcPr>
            <w:tcW w:w="1124" w:type="dxa"/>
            <w:vMerge/>
            <w:tcBorders>
              <w:top w:val="nil"/>
            </w:tcBorders>
          </w:tcPr>
          <w:p>
            <w:pPr>
              <w:rPr>
                <w:sz w:val="2"/>
                <w:szCs w:val="2"/>
              </w:rPr>
            </w:pPr>
          </w:p>
        </w:tc>
        <w:tc>
          <w:tcPr>
            <w:tcW w:w="344" w:type="dxa"/>
            <w:vMerge/>
            <w:tcBorders>
              <w:top w:val="nil"/>
            </w:tcBorders>
          </w:tcPr>
          <w:p>
            <w:pPr>
              <w:rPr>
                <w:sz w:val="2"/>
                <w:szCs w:val="2"/>
              </w:rPr>
            </w:pPr>
          </w:p>
        </w:tc>
        <w:tc>
          <w:tcPr>
            <w:tcW w:w="344" w:type="dxa"/>
            <w:vMerge/>
            <w:tcBorders>
              <w:top w:val="nil"/>
            </w:tcBorders>
          </w:tcPr>
          <w:p>
            <w:pPr>
              <w:rPr>
                <w:sz w:val="2"/>
                <w:szCs w:val="2"/>
              </w:rPr>
            </w:pPr>
          </w:p>
        </w:tc>
        <w:tc>
          <w:tcPr>
            <w:tcW w:w="620" w:type="dxa"/>
            <w:vMerge/>
            <w:tcBorders>
              <w:top w:val="nil"/>
            </w:tcBorders>
          </w:tcPr>
          <w:p>
            <w:pPr>
              <w:rPr>
                <w:sz w:val="2"/>
                <w:szCs w:val="2"/>
              </w:rPr>
            </w:pPr>
          </w:p>
        </w:tc>
        <w:tc>
          <w:tcPr>
            <w:tcW w:w="114" w:type="dxa"/>
            <w:vMerge/>
            <w:tcBorders>
              <w:top w:val="nil"/>
            </w:tcBorders>
          </w:tcPr>
          <w:p>
            <w:pPr>
              <w:rPr>
                <w:sz w:val="2"/>
                <w:szCs w:val="2"/>
              </w:rPr>
            </w:pPr>
          </w:p>
        </w:tc>
        <w:tc>
          <w:tcPr>
            <w:tcW w:w="1484" w:type="dxa"/>
          </w:tcPr>
          <w:p>
            <w:pPr>
              <w:pStyle w:val="TableParagraph"/>
              <w:spacing w:line="210" w:lineRule="exact"/>
              <w:ind w:left="82" w:right="85"/>
              <w:jc w:val="center"/>
              <w:rPr>
                <w:sz w:val="20"/>
              </w:rPr>
            </w:pPr>
            <w:r>
              <w:rPr>
                <w:sz w:val="20"/>
              </w:rPr>
              <w:t>00</w:t>
            </w:r>
          </w:p>
        </w:tc>
        <w:tc>
          <w:tcPr>
            <w:tcW w:w="3140" w:type="dxa"/>
          </w:tcPr>
          <w:p>
            <w:pPr>
              <w:pStyle w:val="TableParagraph"/>
              <w:spacing w:line="210" w:lineRule="exact"/>
              <w:ind w:right="859"/>
              <w:jc w:val="right"/>
              <w:rPr>
                <w:sz w:val="20"/>
              </w:rPr>
            </w:pPr>
            <w:r>
              <w:rPr>
                <w:sz w:val="20"/>
              </w:rPr>
              <w:t>0x0000-0x7FFF</w:t>
            </w:r>
          </w:p>
        </w:tc>
        <w:tc>
          <w:tcPr>
            <w:tcW w:w="3164" w:type="dxa"/>
          </w:tcPr>
          <w:p>
            <w:pPr>
              <w:pStyle w:val="TableParagraph"/>
              <w:spacing w:line="210" w:lineRule="exact"/>
              <w:ind w:left="731" w:right="734"/>
              <w:jc w:val="center"/>
              <w:rPr>
                <w:sz w:val="20"/>
              </w:rPr>
            </w:pPr>
            <w:r>
              <w:rPr>
                <w:sz w:val="20"/>
              </w:rPr>
              <w:t>0x0000-0x7FFF</w:t>
            </w:r>
          </w:p>
        </w:tc>
        <w:tc>
          <w:tcPr>
            <w:tcW w:w="116" w:type="dxa"/>
            <w:tcBorders>
              <w:top w:val="nil"/>
              <w:bottom w:val="nil"/>
            </w:tcBorders>
          </w:tcPr>
          <w:p>
            <w:pPr>
              <w:pStyle w:val="TableParagraph"/>
              <w:rPr>
                <w:rFonts w:ascii="Times New Roman"/>
                <w:sz w:val="16"/>
              </w:rPr>
            </w:pPr>
          </w:p>
        </w:tc>
      </w:tr>
      <w:tr>
        <w:trPr>
          <w:trHeight w:val="230" w:hRule="atLeast"/>
        </w:trPr>
        <w:tc>
          <w:tcPr>
            <w:tcW w:w="2254" w:type="dxa"/>
            <w:vMerge/>
            <w:tcBorders>
              <w:top w:val="nil"/>
            </w:tcBorders>
          </w:tcPr>
          <w:p>
            <w:pPr>
              <w:rPr>
                <w:sz w:val="2"/>
                <w:szCs w:val="2"/>
              </w:rPr>
            </w:pPr>
          </w:p>
        </w:tc>
        <w:tc>
          <w:tcPr>
            <w:tcW w:w="1124" w:type="dxa"/>
            <w:vMerge/>
            <w:tcBorders>
              <w:top w:val="nil"/>
            </w:tcBorders>
          </w:tcPr>
          <w:p>
            <w:pPr>
              <w:rPr>
                <w:sz w:val="2"/>
                <w:szCs w:val="2"/>
              </w:rPr>
            </w:pPr>
          </w:p>
        </w:tc>
        <w:tc>
          <w:tcPr>
            <w:tcW w:w="344" w:type="dxa"/>
            <w:vMerge/>
            <w:tcBorders>
              <w:top w:val="nil"/>
            </w:tcBorders>
          </w:tcPr>
          <w:p>
            <w:pPr>
              <w:rPr>
                <w:sz w:val="2"/>
                <w:szCs w:val="2"/>
              </w:rPr>
            </w:pPr>
          </w:p>
        </w:tc>
        <w:tc>
          <w:tcPr>
            <w:tcW w:w="344" w:type="dxa"/>
            <w:vMerge/>
            <w:tcBorders>
              <w:top w:val="nil"/>
            </w:tcBorders>
          </w:tcPr>
          <w:p>
            <w:pPr>
              <w:rPr>
                <w:sz w:val="2"/>
                <w:szCs w:val="2"/>
              </w:rPr>
            </w:pPr>
          </w:p>
        </w:tc>
        <w:tc>
          <w:tcPr>
            <w:tcW w:w="620" w:type="dxa"/>
            <w:vMerge/>
            <w:tcBorders>
              <w:top w:val="nil"/>
            </w:tcBorders>
          </w:tcPr>
          <w:p>
            <w:pPr>
              <w:rPr>
                <w:sz w:val="2"/>
                <w:szCs w:val="2"/>
              </w:rPr>
            </w:pPr>
          </w:p>
        </w:tc>
        <w:tc>
          <w:tcPr>
            <w:tcW w:w="114" w:type="dxa"/>
            <w:vMerge/>
            <w:tcBorders>
              <w:top w:val="nil"/>
            </w:tcBorders>
          </w:tcPr>
          <w:p>
            <w:pPr>
              <w:rPr>
                <w:sz w:val="2"/>
                <w:szCs w:val="2"/>
              </w:rPr>
            </w:pPr>
          </w:p>
        </w:tc>
        <w:tc>
          <w:tcPr>
            <w:tcW w:w="1484" w:type="dxa"/>
          </w:tcPr>
          <w:p>
            <w:pPr>
              <w:pStyle w:val="TableParagraph"/>
              <w:spacing w:line="210" w:lineRule="exact"/>
              <w:ind w:left="82" w:right="85"/>
              <w:jc w:val="center"/>
              <w:rPr>
                <w:sz w:val="20"/>
              </w:rPr>
            </w:pPr>
            <w:r>
              <w:rPr>
                <w:sz w:val="20"/>
              </w:rPr>
              <w:t>01</w:t>
            </w:r>
          </w:p>
        </w:tc>
        <w:tc>
          <w:tcPr>
            <w:tcW w:w="3140" w:type="dxa"/>
          </w:tcPr>
          <w:p>
            <w:pPr>
              <w:pStyle w:val="TableParagraph"/>
              <w:spacing w:line="210" w:lineRule="exact"/>
              <w:ind w:right="859"/>
              <w:jc w:val="right"/>
              <w:rPr>
                <w:sz w:val="20"/>
              </w:rPr>
            </w:pPr>
            <w:r>
              <w:rPr>
                <w:sz w:val="20"/>
              </w:rPr>
              <w:t>0x0000-0x7FFF</w:t>
            </w:r>
          </w:p>
        </w:tc>
        <w:tc>
          <w:tcPr>
            <w:tcW w:w="3164" w:type="dxa"/>
          </w:tcPr>
          <w:p>
            <w:pPr>
              <w:pStyle w:val="TableParagraph"/>
              <w:spacing w:line="210" w:lineRule="exact"/>
              <w:ind w:left="731" w:right="736"/>
              <w:jc w:val="center"/>
              <w:rPr>
                <w:sz w:val="20"/>
              </w:rPr>
            </w:pPr>
            <w:r>
              <w:rPr>
                <w:sz w:val="20"/>
              </w:rPr>
              <w:t>0x8000-0xFFFF</w:t>
            </w:r>
          </w:p>
        </w:tc>
        <w:tc>
          <w:tcPr>
            <w:tcW w:w="116" w:type="dxa"/>
            <w:tcBorders>
              <w:top w:val="nil"/>
              <w:bottom w:val="nil"/>
            </w:tcBorders>
          </w:tcPr>
          <w:p>
            <w:pPr>
              <w:pStyle w:val="TableParagraph"/>
              <w:rPr>
                <w:rFonts w:ascii="Times New Roman"/>
                <w:sz w:val="16"/>
              </w:rPr>
            </w:pPr>
          </w:p>
        </w:tc>
      </w:tr>
      <w:tr>
        <w:trPr>
          <w:trHeight w:val="230" w:hRule="atLeast"/>
        </w:trPr>
        <w:tc>
          <w:tcPr>
            <w:tcW w:w="2254" w:type="dxa"/>
            <w:vMerge/>
            <w:tcBorders>
              <w:top w:val="nil"/>
            </w:tcBorders>
          </w:tcPr>
          <w:p>
            <w:pPr>
              <w:rPr>
                <w:sz w:val="2"/>
                <w:szCs w:val="2"/>
              </w:rPr>
            </w:pPr>
          </w:p>
        </w:tc>
        <w:tc>
          <w:tcPr>
            <w:tcW w:w="1124" w:type="dxa"/>
            <w:vMerge/>
            <w:tcBorders>
              <w:top w:val="nil"/>
            </w:tcBorders>
          </w:tcPr>
          <w:p>
            <w:pPr>
              <w:rPr>
                <w:sz w:val="2"/>
                <w:szCs w:val="2"/>
              </w:rPr>
            </w:pPr>
          </w:p>
        </w:tc>
        <w:tc>
          <w:tcPr>
            <w:tcW w:w="344" w:type="dxa"/>
            <w:vMerge/>
            <w:tcBorders>
              <w:top w:val="nil"/>
            </w:tcBorders>
          </w:tcPr>
          <w:p>
            <w:pPr>
              <w:rPr>
                <w:sz w:val="2"/>
                <w:szCs w:val="2"/>
              </w:rPr>
            </w:pPr>
          </w:p>
        </w:tc>
        <w:tc>
          <w:tcPr>
            <w:tcW w:w="344" w:type="dxa"/>
            <w:vMerge/>
            <w:tcBorders>
              <w:top w:val="nil"/>
            </w:tcBorders>
          </w:tcPr>
          <w:p>
            <w:pPr>
              <w:rPr>
                <w:sz w:val="2"/>
                <w:szCs w:val="2"/>
              </w:rPr>
            </w:pPr>
          </w:p>
        </w:tc>
        <w:tc>
          <w:tcPr>
            <w:tcW w:w="620" w:type="dxa"/>
            <w:vMerge/>
            <w:tcBorders>
              <w:top w:val="nil"/>
            </w:tcBorders>
          </w:tcPr>
          <w:p>
            <w:pPr>
              <w:rPr>
                <w:sz w:val="2"/>
                <w:szCs w:val="2"/>
              </w:rPr>
            </w:pPr>
          </w:p>
        </w:tc>
        <w:tc>
          <w:tcPr>
            <w:tcW w:w="114" w:type="dxa"/>
            <w:vMerge/>
            <w:tcBorders>
              <w:top w:val="nil"/>
            </w:tcBorders>
          </w:tcPr>
          <w:p>
            <w:pPr>
              <w:rPr>
                <w:sz w:val="2"/>
                <w:szCs w:val="2"/>
              </w:rPr>
            </w:pPr>
          </w:p>
        </w:tc>
        <w:tc>
          <w:tcPr>
            <w:tcW w:w="1484" w:type="dxa"/>
          </w:tcPr>
          <w:p>
            <w:pPr>
              <w:pStyle w:val="TableParagraph"/>
              <w:spacing w:line="210" w:lineRule="exact"/>
              <w:ind w:left="82" w:right="85"/>
              <w:jc w:val="center"/>
              <w:rPr>
                <w:sz w:val="20"/>
              </w:rPr>
            </w:pPr>
            <w:r>
              <w:rPr>
                <w:sz w:val="20"/>
              </w:rPr>
              <w:t>10</w:t>
            </w:r>
          </w:p>
        </w:tc>
        <w:tc>
          <w:tcPr>
            <w:tcW w:w="3140" w:type="dxa"/>
          </w:tcPr>
          <w:p>
            <w:pPr>
              <w:pStyle w:val="TableParagraph"/>
              <w:spacing w:line="210" w:lineRule="exact"/>
              <w:ind w:right="859"/>
              <w:jc w:val="right"/>
              <w:rPr>
                <w:sz w:val="20"/>
              </w:rPr>
            </w:pPr>
            <w:r>
              <w:rPr>
                <w:sz w:val="20"/>
              </w:rPr>
              <w:t>0x0000-0x7FFF</w:t>
            </w:r>
          </w:p>
        </w:tc>
        <w:tc>
          <w:tcPr>
            <w:tcW w:w="3164" w:type="dxa"/>
          </w:tcPr>
          <w:p>
            <w:pPr>
              <w:pStyle w:val="TableParagraph"/>
              <w:spacing w:line="210" w:lineRule="exact"/>
              <w:ind w:left="729" w:right="736"/>
              <w:jc w:val="center"/>
              <w:rPr>
                <w:sz w:val="20"/>
              </w:rPr>
            </w:pPr>
            <w:r>
              <w:rPr>
                <w:sz w:val="20"/>
              </w:rPr>
              <w:t>0x10000-0x17FFF</w:t>
            </w:r>
          </w:p>
        </w:tc>
        <w:tc>
          <w:tcPr>
            <w:tcW w:w="116" w:type="dxa"/>
            <w:tcBorders>
              <w:top w:val="nil"/>
              <w:bottom w:val="nil"/>
            </w:tcBorders>
          </w:tcPr>
          <w:p>
            <w:pPr>
              <w:pStyle w:val="TableParagraph"/>
              <w:rPr>
                <w:rFonts w:ascii="Times New Roman"/>
                <w:sz w:val="16"/>
              </w:rPr>
            </w:pPr>
          </w:p>
        </w:tc>
      </w:tr>
      <w:tr>
        <w:trPr>
          <w:trHeight w:val="231" w:hRule="atLeast"/>
        </w:trPr>
        <w:tc>
          <w:tcPr>
            <w:tcW w:w="2254" w:type="dxa"/>
            <w:vMerge/>
            <w:tcBorders>
              <w:top w:val="nil"/>
            </w:tcBorders>
          </w:tcPr>
          <w:p>
            <w:pPr>
              <w:rPr>
                <w:sz w:val="2"/>
                <w:szCs w:val="2"/>
              </w:rPr>
            </w:pPr>
          </w:p>
        </w:tc>
        <w:tc>
          <w:tcPr>
            <w:tcW w:w="1124" w:type="dxa"/>
            <w:vMerge/>
            <w:tcBorders>
              <w:top w:val="nil"/>
            </w:tcBorders>
          </w:tcPr>
          <w:p>
            <w:pPr>
              <w:rPr>
                <w:sz w:val="2"/>
                <w:szCs w:val="2"/>
              </w:rPr>
            </w:pPr>
          </w:p>
        </w:tc>
        <w:tc>
          <w:tcPr>
            <w:tcW w:w="344" w:type="dxa"/>
            <w:vMerge/>
            <w:tcBorders>
              <w:top w:val="nil"/>
            </w:tcBorders>
          </w:tcPr>
          <w:p>
            <w:pPr>
              <w:rPr>
                <w:sz w:val="2"/>
                <w:szCs w:val="2"/>
              </w:rPr>
            </w:pPr>
          </w:p>
        </w:tc>
        <w:tc>
          <w:tcPr>
            <w:tcW w:w="344" w:type="dxa"/>
            <w:vMerge/>
            <w:tcBorders>
              <w:top w:val="nil"/>
            </w:tcBorders>
          </w:tcPr>
          <w:p>
            <w:pPr>
              <w:rPr>
                <w:sz w:val="2"/>
                <w:szCs w:val="2"/>
              </w:rPr>
            </w:pPr>
          </w:p>
        </w:tc>
        <w:tc>
          <w:tcPr>
            <w:tcW w:w="620" w:type="dxa"/>
            <w:vMerge/>
            <w:tcBorders>
              <w:top w:val="nil"/>
            </w:tcBorders>
          </w:tcPr>
          <w:p>
            <w:pPr>
              <w:rPr>
                <w:sz w:val="2"/>
                <w:szCs w:val="2"/>
              </w:rPr>
            </w:pPr>
          </w:p>
        </w:tc>
        <w:tc>
          <w:tcPr>
            <w:tcW w:w="114" w:type="dxa"/>
            <w:vMerge/>
            <w:tcBorders>
              <w:top w:val="nil"/>
            </w:tcBorders>
          </w:tcPr>
          <w:p>
            <w:pPr>
              <w:rPr>
                <w:sz w:val="2"/>
                <w:szCs w:val="2"/>
              </w:rPr>
            </w:pPr>
          </w:p>
        </w:tc>
        <w:tc>
          <w:tcPr>
            <w:tcW w:w="1484" w:type="dxa"/>
            <w:tcBorders>
              <w:bottom w:val="double" w:sz="1" w:space="0" w:color="000000"/>
            </w:tcBorders>
          </w:tcPr>
          <w:p>
            <w:pPr>
              <w:pStyle w:val="TableParagraph"/>
              <w:spacing w:line="212" w:lineRule="exact"/>
              <w:ind w:left="82" w:right="85"/>
              <w:jc w:val="center"/>
              <w:rPr>
                <w:sz w:val="20"/>
              </w:rPr>
            </w:pPr>
            <w:r>
              <w:rPr>
                <w:sz w:val="20"/>
              </w:rPr>
              <w:t>11</w:t>
            </w:r>
          </w:p>
        </w:tc>
        <w:tc>
          <w:tcPr>
            <w:tcW w:w="3140" w:type="dxa"/>
            <w:tcBorders>
              <w:bottom w:val="double" w:sz="1" w:space="0" w:color="000000"/>
            </w:tcBorders>
          </w:tcPr>
          <w:p>
            <w:pPr>
              <w:pStyle w:val="TableParagraph"/>
              <w:spacing w:line="212" w:lineRule="exact"/>
              <w:ind w:right="859"/>
              <w:jc w:val="right"/>
              <w:rPr>
                <w:sz w:val="20"/>
              </w:rPr>
            </w:pPr>
            <w:r>
              <w:rPr>
                <w:sz w:val="20"/>
              </w:rPr>
              <w:t>0x0000-0x7FFF</w:t>
            </w:r>
          </w:p>
        </w:tc>
        <w:tc>
          <w:tcPr>
            <w:tcW w:w="3164" w:type="dxa"/>
            <w:tcBorders>
              <w:bottom w:val="double" w:sz="1" w:space="0" w:color="000000"/>
            </w:tcBorders>
          </w:tcPr>
          <w:p>
            <w:pPr>
              <w:pStyle w:val="TableParagraph"/>
              <w:spacing w:line="212" w:lineRule="exact"/>
              <w:ind w:left="731" w:right="736"/>
              <w:jc w:val="center"/>
              <w:rPr>
                <w:sz w:val="20"/>
              </w:rPr>
            </w:pPr>
            <w:r>
              <w:rPr>
                <w:sz w:val="20"/>
              </w:rPr>
              <w:t>0x18000-0x1FFFF</w:t>
            </w:r>
          </w:p>
        </w:tc>
        <w:tc>
          <w:tcPr>
            <w:tcW w:w="116" w:type="dxa"/>
            <w:tcBorders>
              <w:top w:val="nil"/>
            </w:tcBorders>
          </w:tcPr>
          <w:p>
            <w:pPr>
              <w:pStyle w:val="TableParagraph"/>
              <w:rPr>
                <w:rFonts w:ascii="Times New Roman"/>
                <w:sz w:val="16"/>
              </w:rPr>
            </w:pPr>
          </w:p>
        </w:tc>
      </w:tr>
      <w:tr>
        <w:trPr>
          <w:trHeight w:val="2202" w:hRule="atLeast"/>
        </w:trPr>
        <w:tc>
          <w:tcPr>
            <w:tcW w:w="2254" w:type="dxa"/>
          </w:tcPr>
          <w:p>
            <w:pPr>
              <w:pStyle w:val="TableParagraph"/>
              <w:rPr>
                <w:b/>
                <w:sz w:val="22"/>
              </w:rPr>
            </w:pPr>
          </w:p>
          <w:p>
            <w:pPr>
              <w:pStyle w:val="TableParagraph"/>
              <w:rPr>
                <w:b/>
                <w:sz w:val="22"/>
              </w:rPr>
            </w:pPr>
          </w:p>
          <w:p>
            <w:pPr>
              <w:pStyle w:val="TableParagraph"/>
              <w:rPr>
                <w:b/>
                <w:sz w:val="22"/>
              </w:rPr>
            </w:pPr>
          </w:p>
          <w:p>
            <w:pPr>
              <w:pStyle w:val="TableParagraph"/>
              <w:spacing w:before="4"/>
              <w:rPr>
                <w:b/>
                <w:sz w:val="19"/>
              </w:rPr>
            </w:pPr>
          </w:p>
          <w:p>
            <w:pPr>
              <w:pStyle w:val="TableParagraph"/>
              <w:ind w:left="107"/>
              <w:rPr>
                <w:rFonts w:ascii="Times New Roman"/>
                <w:i/>
                <w:sz w:val="20"/>
              </w:rPr>
            </w:pPr>
            <w:r>
              <w:rPr>
                <w:rFonts w:ascii="Times New Roman"/>
                <w:i/>
                <w:sz w:val="20"/>
              </w:rPr>
              <w:t>FLSH_ERASE[7:0]</w:t>
            </w:r>
          </w:p>
        </w:tc>
        <w:tc>
          <w:tcPr>
            <w:tcW w:w="1124" w:type="dxa"/>
          </w:tcPr>
          <w:p>
            <w:pPr>
              <w:pStyle w:val="TableParagraph"/>
              <w:rPr>
                <w:b/>
                <w:sz w:val="22"/>
              </w:rPr>
            </w:pPr>
          </w:p>
          <w:p>
            <w:pPr>
              <w:pStyle w:val="TableParagraph"/>
              <w:rPr>
                <w:b/>
                <w:sz w:val="22"/>
              </w:rPr>
            </w:pPr>
          </w:p>
          <w:p>
            <w:pPr>
              <w:pStyle w:val="TableParagraph"/>
              <w:rPr>
                <w:b/>
                <w:sz w:val="22"/>
              </w:rPr>
            </w:pPr>
          </w:p>
          <w:p>
            <w:pPr>
              <w:pStyle w:val="TableParagraph"/>
              <w:spacing w:before="8"/>
              <w:rPr>
                <w:b/>
                <w:sz w:val="19"/>
              </w:rPr>
            </w:pPr>
          </w:p>
          <w:p>
            <w:pPr>
              <w:pStyle w:val="TableParagraph"/>
              <w:ind w:right="21"/>
              <w:jc w:val="right"/>
              <w:rPr>
                <w:sz w:val="20"/>
              </w:rPr>
            </w:pPr>
            <w:r>
              <w:rPr>
                <w:sz w:val="20"/>
              </w:rPr>
              <w:t>SFR 94[7:0]</w:t>
            </w:r>
          </w:p>
        </w:tc>
        <w:tc>
          <w:tcPr>
            <w:tcW w:w="344" w:type="dxa"/>
          </w:tcPr>
          <w:p>
            <w:pPr>
              <w:pStyle w:val="TableParagraph"/>
              <w:rPr>
                <w:b/>
                <w:sz w:val="22"/>
              </w:rPr>
            </w:pPr>
          </w:p>
          <w:p>
            <w:pPr>
              <w:pStyle w:val="TableParagraph"/>
              <w:rPr>
                <w:b/>
                <w:sz w:val="22"/>
              </w:rPr>
            </w:pPr>
          </w:p>
          <w:p>
            <w:pPr>
              <w:pStyle w:val="TableParagraph"/>
              <w:rPr>
                <w:b/>
                <w:sz w:val="22"/>
              </w:rPr>
            </w:pPr>
          </w:p>
          <w:p>
            <w:pPr>
              <w:pStyle w:val="TableParagraph"/>
              <w:spacing w:before="8"/>
              <w:rPr>
                <w:b/>
                <w:sz w:val="19"/>
              </w:rPr>
            </w:pPr>
          </w:p>
          <w:p>
            <w:pPr>
              <w:pStyle w:val="TableParagraph"/>
              <w:ind w:left="4"/>
              <w:jc w:val="center"/>
              <w:rPr>
                <w:sz w:val="20"/>
              </w:rPr>
            </w:pPr>
            <w:r>
              <w:rPr>
                <w:w w:val="99"/>
                <w:sz w:val="20"/>
              </w:rPr>
              <w:t>0</w:t>
            </w:r>
          </w:p>
        </w:tc>
        <w:tc>
          <w:tcPr>
            <w:tcW w:w="344" w:type="dxa"/>
          </w:tcPr>
          <w:p>
            <w:pPr>
              <w:pStyle w:val="TableParagraph"/>
              <w:rPr>
                <w:b/>
                <w:sz w:val="22"/>
              </w:rPr>
            </w:pPr>
          </w:p>
          <w:p>
            <w:pPr>
              <w:pStyle w:val="TableParagraph"/>
              <w:rPr>
                <w:b/>
                <w:sz w:val="22"/>
              </w:rPr>
            </w:pPr>
          </w:p>
          <w:p>
            <w:pPr>
              <w:pStyle w:val="TableParagraph"/>
              <w:rPr>
                <w:b/>
                <w:sz w:val="22"/>
              </w:rPr>
            </w:pPr>
          </w:p>
          <w:p>
            <w:pPr>
              <w:pStyle w:val="TableParagraph"/>
              <w:spacing w:before="8"/>
              <w:rPr>
                <w:b/>
                <w:sz w:val="19"/>
              </w:rPr>
            </w:pPr>
          </w:p>
          <w:p>
            <w:pPr>
              <w:pStyle w:val="TableParagraph"/>
              <w:ind w:left="2"/>
              <w:jc w:val="center"/>
              <w:rPr>
                <w:sz w:val="20"/>
              </w:rPr>
            </w:pPr>
            <w:r>
              <w:rPr>
                <w:w w:val="99"/>
                <w:sz w:val="20"/>
              </w:rPr>
              <w:t>0</w:t>
            </w:r>
          </w:p>
        </w:tc>
        <w:tc>
          <w:tcPr>
            <w:tcW w:w="620" w:type="dxa"/>
          </w:tcPr>
          <w:p>
            <w:pPr>
              <w:pStyle w:val="TableParagraph"/>
              <w:rPr>
                <w:b/>
                <w:sz w:val="22"/>
              </w:rPr>
            </w:pPr>
          </w:p>
          <w:p>
            <w:pPr>
              <w:pStyle w:val="TableParagraph"/>
              <w:rPr>
                <w:b/>
                <w:sz w:val="22"/>
              </w:rPr>
            </w:pPr>
          </w:p>
          <w:p>
            <w:pPr>
              <w:pStyle w:val="TableParagraph"/>
              <w:rPr>
                <w:b/>
                <w:sz w:val="22"/>
              </w:rPr>
            </w:pPr>
          </w:p>
          <w:p>
            <w:pPr>
              <w:pStyle w:val="TableParagraph"/>
              <w:spacing w:before="8"/>
              <w:rPr>
                <w:b/>
                <w:sz w:val="19"/>
              </w:rPr>
            </w:pPr>
          </w:p>
          <w:p>
            <w:pPr>
              <w:pStyle w:val="TableParagraph"/>
              <w:jc w:val="center"/>
              <w:rPr>
                <w:sz w:val="20"/>
              </w:rPr>
            </w:pPr>
            <w:r>
              <w:rPr>
                <w:w w:val="99"/>
                <w:sz w:val="20"/>
              </w:rPr>
              <w:t>W</w:t>
            </w:r>
          </w:p>
        </w:tc>
        <w:tc>
          <w:tcPr>
            <w:tcW w:w="8018" w:type="dxa"/>
            <w:gridSpan w:val="5"/>
            <w:tcBorders>
              <w:top w:val="double" w:sz="1" w:space="0" w:color="000000"/>
            </w:tcBorders>
          </w:tcPr>
          <w:p>
            <w:pPr>
              <w:pStyle w:val="TableParagraph"/>
              <w:spacing w:line="229" w:lineRule="exact" w:before="13"/>
              <w:ind w:left="104"/>
              <w:rPr>
                <w:sz w:val="20"/>
              </w:rPr>
            </w:pPr>
            <w:r>
              <w:rPr>
                <w:sz w:val="20"/>
                <w:u w:val="single"/>
              </w:rPr>
              <w:t>Flash Erase Initiate</w:t>
            </w:r>
          </w:p>
          <w:p>
            <w:pPr>
              <w:pStyle w:val="TableParagraph"/>
              <w:ind w:left="104" w:right="486"/>
              <w:rPr>
                <w:sz w:val="20"/>
              </w:rPr>
            </w:pPr>
            <w:r>
              <w:rPr>
                <w:rFonts w:ascii="Times New Roman"/>
                <w:i/>
                <w:sz w:val="20"/>
              </w:rPr>
              <w:t>FLSH_ERASE </w:t>
            </w:r>
            <w:r>
              <w:rPr>
                <w:sz w:val="20"/>
              </w:rPr>
              <w:t>is used to initiate either the Flash Mass Erase cycle or the Flash Page Erase cycle. Specific patterns are expected for </w:t>
            </w:r>
            <w:r>
              <w:rPr>
                <w:rFonts w:ascii="Times New Roman"/>
                <w:i/>
                <w:sz w:val="20"/>
              </w:rPr>
              <w:t>FLSH_ERASE </w:t>
            </w:r>
            <w:r>
              <w:rPr>
                <w:sz w:val="20"/>
              </w:rPr>
              <w:t>in order to initiate the appropriate Erase cycle. (default = 0x00).</w:t>
            </w:r>
          </w:p>
          <w:p>
            <w:pPr>
              <w:pStyle w:val="TableParagraph"/>
              <w:spacing w:line="229" w:lineRule="exact" w:before="39"/>
              <w:ind w:left="103"/>
              <w:rPr>
                <w:sz w:val="20"/>
              </w:rPr>
            </w:pPr>
            <w:r>
              <w:rPr>
                <w:sz w:val="20"/>
              </w:rPr>
              <w:t>0x55 – Initiate Flash Page Erase cycle. Must be proceeded by a write to</w:t>
            </w:r>
          </w:p>
          <w:p>
            <w:pPr>
              <w:pStyle w:val="TableParagraph"/>
              <w:spacing w:line="230" w:lineRule="exact"/>
              <w:ind w:left="823"/>
              <w:rPr>
                <w:sz w:val="20"/>
              </w:rPr>
            </w:pPr>
            <w:r>
              <w:rPr>
                <w:rFonts w:ascii="Times New Roman"/>
                <w:i/>
                <w:sz w:val="20"/>
              </w:rPr>
              <w:t>FLSH_PGADR[5:0] </w:t>
            </w:r>
            <w:r>
              <w:rPr>
                <w:sz w:val="20"/>
              </w:rPr>
              <w:t>(</w:t>
            </w:r>
            <w:r>
              <w:rPr>
                <w:rFonts w:ascii="Times New Roman"/>
                <w:i/>
                <w:sz w:val="20"/>
              </w:rPr>
              <w:t>SFR 0xB7</w:t>
            </w:r>
            <w:r>
              <w:rPr>
                <w:sz w:val="20"/>
              </w:rPr>
              <w:t>).</w:t>
            </w:r>
          </w:p>
          <w:p>
            <w:pPr>
              <w:pStyle w:val="TableParagraph"/>
              <w:spacing w:line="228" w:lineRule="exact" w:before="24"/>
              <w:ind w:left="103"/>
              <w:rPr>
                <w:sz w:val="20"/>
              </w:rPr>
            </w:pPr>
            <w:r>
              <w:rPr>
                <w:sz w:val="20"/>
              </w:rPr>
              <w:t>0xAA – Initiate Flash Mass Erase cycle. Must be proceeded by a write to</w:t>
            </w:r>
          </w:p>
          <w:p>
            <w:pPr>
              <w:pStyle w:val="TableParagraph"/>
              <w:spacing w:line="229" w:lineRule="exact"/>
              <w:ind w:left="823"/>
              <w:rPr>
                <w:sz w:val="20"/>
              </w:rPr>
            </w:pPr>
            <w:r>
              <w:rPr>
                <w:rFonts w:ascii="Times New Roman"/>
                <w:i/>
                <w:sz w:val="20"/>
              </w:rPr>
              <w:t>FLSH_MEEN </w:t>
            </w:r>
            <w:r>
              <w:rPr>
                <w:sz w:val="20"/>
              </w:rPr>
              <w:t>(</w:t>
            </w:r>
            <w:r>
              <w:rPr>
                <w:rFonts w:ascii="Times New Roman"/>
                <w:i/>
                <w:sz w:val="20"/>
              </w:rPr>
              <w:t>SFR 0xB2</w:t>
            </w:r>
            <w:r>
              <w:rPr>
                <w:sz w:val="20"/>
              </w:rPr>
              <w:t>) and the debug (CC) port must be enabled.</w:t>
            </w:r>
          </w:p>
          <w:p>
            <w:pPr>
              <w:pStyle w:val="TableParagraph"/>
              <w:spacing w:line="230" w:lineRule="exact" w:before="40"/>
              <w:ind w:left="104"/>
              <w:rPr>
                <w:sz w:val="20"/>
              </w:rPr>
            </w:pPr>
            <w:r>
              <w:rPr>
                <w:sz w:val="20"/>
              </w:rPr>
              <w:t>Any other pattern written to </w:t>
            </w:r>
            <w:r>
              <w:rPr>
                <w:rFonts w:ascii="Times New Roman"/>
                <w:i/>
                <w:sz w:val="20"/>
              </w:rPr>
              <w:t>FLSH_ERASE </w:t>
            </w:r>
            <w:r>
              <w:rPr>
                <w:sz w:val="20"/>
              </w:rPr>
              <w:t>has no effect.</w:t>
            </w:r>
          </w:p>
        </w:tc>
      </w:tr>
      <w:tr>
        <w:trPr>
          <w:trHeight w:val="988" w:hRule="atLeast"/>
        </w:trPr>
        <w:tc>
          <w:tcPr>
            <w:tcW w:w="2254" w:type="dxa"/>
          </w:tcPr>
          <w:p>
            <w:pPr>
              <w:pStyle w:val="TableParagraph"/>
              <w:spacing w:before="6"/>
              <w:rPr>
                <w:b/>
                <w:sz w:val="32"/>
              </w:rPr>
            </w:pPr>
          </w:p>
          <w:p>
            <w:pPr>
              <w:pStyle w:val="TableParagraph"/>
              <w:ind w:left="107"/>
              <w:rPr>
                <w:rFonts w:ascii="Times New Roman"/>
                <w:i/>
                <w:sz w:val="20"/>
              </w:rPr>
            </w:pPr>
            <w:r>
              <w:rPr>
                <w:rFonts w:ascii="Times New Roman"/>
                <w:i/>
                <w:sz w:val="20"/>
              </w:rPr>
              <w:t>FLSH_MEEN</w:t>
            </w:r>
          </w:p>
        </w:tc>
        <w:tc>
          <w:tcPr>
            <w:tcW w:w="1124" w:type="dxa"/>
          </w:tcPr>
          <w:p>
            <w:pPr>
              <w:pStyle w:val="TableParagraph"/>
              <w:spacing w:before="10"/>
              <w:rPr>
                <w:b/>
                <w:sz w:val="32"/>
              </w:rPr>
            </w:pPr>
          </w:p>
          <w:p>
            <w:pPr>
              <w:pStyle w:val="TableParagraph"/>
              <w:ind w:right="92"/>
              <w:jc w:val="right"/>
              <w:rPr>
                <w:sz w:val="20"/>
              </w:rPr>
            </w:pPr>
            <w:r>
              <w:rPr>
                <w:sz w:val="20"/>
              </w:rPr>
              <w:t>SFR B2[1]</w:t>
            </w:r>
          </w:p>
        </w:tc>
        <w:tc>
          <w:tcPr>
            <w:tcW w:w="344" w:type="dxa"/>
          </w:tcPr>
          <w:p>
            <w:pPr>
              <w:pStyle w:val="TableParagraph"/>
              <w:spacing w:before="10"/>
              <w:rPr>
                <w:b/>
                <w:sz w:val="32"/>
              </w:rPr>
            </w:pPr>
          </w:p>
          <w:p>
            <w:pPr>
              <w:pStyle w:val="TableParagraph"/>
              <w:ind w:left="4"/>
              <w:jc w:val="center"/>
              <w:rPr>
                <w:sz w:val="20"/>
              </w:rPr>
            </w:pPr>
            <w:r>
              <w:rPr>
                <w:w w:val="99"/>
                <w:sz w:val="20"/>
              </w:rPr>
              <w:t>0</w:t>
            </w:r>
          </w:p>
        </w:tc>
        <w:tc>
          <w:tcPr>
            <w:tcW w:w="344" w:type="dxa"/>
          </w:tcPr>
          <w:p>
            <w:pPr>
              <w:pStyle w:val="TableParagraph"/>
              <w:spacing w:before="10"/>
              <w:rPr>
                <w:b/>
                <w:sz w:val="32"/>
              </w:rPr>
            </w:pPr>
          </w:p>
          <w:p>
            <w:pPr>
              <w:pStyle w:val="TableParagraph"/>
              <w:ind w:left="2"/>
              <w:jc w:val="center"/>
              <w:rPr>
                <w:sz w:val="20"/>
              </w:rPr>
            </w:pPr>
            <w:r>
              <w:rPr>
                <w:w w:val="99"/>
                <w:sz w:val="20"/>
              </w:rPr>
              <w:t>0</w:t>
            </w:r>
          </w:p>
        </w:tc>
        <w:tc>
          <w:tcPr>
            <w:tcW w:w="620" w:type="dxa"/>
          </w:tcPr>
          <w:p>
            <w:pPr>
              <w:pStyle w:val="TableParagraph"/>
              <w:spacing w:before="10"/>
              <w:rPr>
                <w:b/>
                <w:sz w:val="32"/>
              </w:rPr>
            </w:pPr>
          </w:p>
          <w:p>
            <w:pPr>
              <w:pStyle w:val="TableParagraph"/>
              <w:jc w:val="center"/>
              <w:rPr>
                <w:sz w:val="20"/>
              </w:rPr>
            </w:pPr>
            <w:r>
              <w:rPr>
                <w:w w:val="99"/>
                <w:sz w:val="20"/>
              </w:rPr>
              <w:t>W</w:t>
            </w:r>
          </w:p>
        </w:tc>
        <w:tc>
          <w:tcPr>
            <w:tcW w:w="8018" w:type="dxa"/>
            <w:gridSpan w:val="5"/>
          </w:tcPr>
          <w:p>
            <w:pPr>
              <w:pStyle w:val="TableParagraph"/>
              <w:spacing w:before="14"/>
              <w:ind w:left="104"/>
              <w:rPr>
                <w:sz w:val="20"/>
              </w:rPr>
            </w:pPr>
            <w:r>
              <w:rPr>
                <w:sz w:val="20"/>
                <w:u w:val="single"/>
              </w:rPr>
              <w:t>Mass Erase Enable</w:t>
            </w:r>
          </w:p>
          <w:p>
            <w:pPr>
              <w:pStyle w:val="TableParagraph"/>
              <w:spacing w:line="256" w:lineRule="auto" w:before="22"/>
              <w:ind w:left="104" w:right="4772"/>
              <w:rPr>
                <w:sz w:val="20"/>
              </w:rPr>
            </w:pPr>
            <w:r>
              <w:rPr>
                <w:sz w:val="20"/>
              </w:rPr>
              <w:t>0 = Mass Erase disabled (default). 1 = Mass Erase enabled.</w:t>
            </w:r>
          </w:p>
          <w:p>
            <w:pPr>
              <w:pStyle w:val="TableParagraph"/>
              <w:spacing w:line="210" w:lineRule="exact"/>
              <w:ind w:left="104"/>
              <w:rPr>
                <w:b/>
                <w:sz w:val="20"/>
              </w:rPr>
            </w:pPr>
            <w:r>
              <w:rPr>
                <w:b/>
                <w:sz w:val="20"/>
              </w:rPr>
              <w:t>Must be re-written for each new Mass Erase cycle.</w:t>
            </w:r>
          </w:p>
        </w:tc>
      </w:tr>
      <w:tr>
        <w:trPr>
          <w:trHeight w:val="501" w:hRule="atLeast"/>
        </w:trPr>
        <w:tc>
          <w:tcPr>
            <w:tcW w:w="2254" w:type="dxa"/>
          </w:tcPr>
          <w:p>
            <w:pPr>
              <w:pStyle w:val="TableParagraph"/>
              <w:spacing w:before="130"/>
              <w:ind w:left="107"/>
              <w:rPr>
                <w:rFonts w:ascii="Times New Roman"/>
                <w:i/>
                <w:sz w:val="20"/>
              </w:rPr>
            </w:pPr>
            <w:r>
              <w:rPr>
                <w:rFonts w:ascii="Times New Roman"/>
                <w:i/>
                <w:sz w:val="20"/>
              </w:rPr>
              <w:t>FLSH_PEND</w:t>
            </w:r>
          </w:p>
        </w:tc>
        <w:tc>
          <w:tcPr>
            <w:tcW w:w="1124" w:type="dxa"/>
          </w:tcPr>
          <w:p>
            <w:pPr>
              <w:pStyle w:val="TableParagraph"/>
              <w:spacing w:before="133"/>
              <w:ind w:right="93"/>
              <w:jc w:val="right"/>
              <w:rPr>
                <w:sz w:val="20"/>
              </w:rPr>
            </w:pPr>
            <w:r>
              <w:rPr>
                <w:sz w:val="20"/>
              </w:rPr>
              <w:t>SFR B2[3]</w:t>
            </w:r>
          </w:p>
        </w:tc>
        <w:tc>
          <w:tcPr>
            <w:tcW w:w="344" w:type="dxa"/>
          </w:tcPr>
          <w:p>
            <w:pPr>
              <w:pStyle w:val="TableParagraph"/>
              <w:spacing w:before="133"/>
              <w:ind w:left="4"/>
              <w:jc w:val="center"/>
              <w:rPr>
                <w:sz w:val="20"/>
              </w:rPr>
            </w:pPr>
            <w:r>
              <w:rPr>
                <w:w w:val="99"/>
                <w:sz w:val="20"/>
              </w:rPr>
              <w:t>0</w:t>
            </w:r>
          </w:p>
        </w:tc>
        <w:tc>
          <w:tcPr>
            <w:tcW w:w="344" w:type="dxa"/>
          </w:tcPr>
          <w:p>
            <w:pPr>
              <w:pStyle w:val="TableParagraph"/>
              <w:spacing w:before="133"/>
              <w:ind w:left="2"/>
              <w:jc w:val="center"/>
              <w:rPr>
                <w:sz w:val="20"/>
              </w:rPr>
            </w:pPr>
            <w:r>
              <w:rPr>
                <w:w w:val="99"/>
                <w:sz w:val="20"/>
              </w:rPr>
              <w:t>0</w:t>
            </w:r>
          </w:p>
        </w:tc>
        <w:tc>
          <w:tcPr>
            <w:tcW w:w="620" w:type="dxa"/>
          </w:tcPr>
          <w:p>
            <w:pPr>
              <w:pStyle w:val="TableParagraph"/>
              <w:spacing w:before="133"/>
              <w:ind w:left="2"/>
              <w:jc w:val="center"/>
              <w:rPr>
                <w:sz w:val="20"/>
              </w:rPr>
            </w:pPr>
            <w:r>
              <w:rPr>
                <w:w w:val="99"/>
                <w:sz w:val="20"/>
              </w:rPr>
              <w:t>R</w:t>
            </w:r>
          </w:p>
        </w:tc>
        <w:tc>
          <w:tcPr>
            <w:tcW w:w="8018" w:type="dxa"/>
            <w:gridSpan w:val="5"/>
          </w:tcPr>
          <w:p>
            <w:pPr>
              <w:pStyle w:val="TableParagraph"/>
              <w:spacing w:before="18"/>
              <w:ind w:left="104"/>
              <w:rPr>
                <w:sz w:val="20"/>
              </w:rPr>
            </w:pPr>
            <w:r>
              <w:rPr>
                <w:sz w:val="20"/>
              </w:rPr>
              <w:t>Indicates that a posted flash write is pending. If another flash write is attempted, it is ignored.</w:t>
            </w:r>
          </w:p>
        </w:tc>
      </w:tr>
      <w:tr>
        <w:trPr>
          <w:trHeight w:val="1000" w:hRule="atLeast"/>
        </w:trPr>
        <w:tc>
          <w:tcPr>
            <w:tcW w:w="2254" w:type="dxa"/>
          </w:tcPr>
          <w:p>
            <w:pPr>
              <w:pStyle w:val="TableParagraph"/>
              <w:spacing w:before="9"/>
              <w:rPr>
                <w:b/>
                <w:sz w:val="32"/>
              </w:rPr>
            </w:pPr>
          </w:p>
          <w:p>
            <w:pPr>
              <w:pStyle w:val="TableParagraph"/>
              <w:ind w:left="107"/>
              <w:rPr>
                <w:rFonts w:ascii="Times New Roman"/>
                <w:i/>
                <w:sz w:val="20"/>
              </w:rPr>
            </w:pPr>
            <w:r>
              <w:rPr>
                <w:rFonts w:ascii="Times New Roman"/>
                <w:i/>
                <w:sz w:val="20"/>
              </w:rPr>
              <w:t>FLSH_PGADR[5:0]</w:t>
            </w:r>
          </w:p>
        </w:tc>
        <w:tc>
          <w:tcPr>
            <w:tcW w:w="1124" w:type="dxa"/>
          </w:tcPr>
          <w:p>
            <w:pPr>
              <w:pStyle w:val="TableParagraph"/>
              <w:rPr>
                <w:b/>
                <w:sz w:val="22"/>
              </w:rPr>
            </w:pPr>
          </w:p>
          <w:p>
            <w:pPr>
              <w:pStyle w:val="TableParagraph"/>
              <w:spacing w:before="128"/>
              <w:ind w:right="8"/>
              <w:jc w:val="right"/>
              <w:rPr>
                <w:sz w:val="20"/>
              </w:rPr>
            </w:pPr>
            <w:r>
              <w:rPr>
                <w:sz w:val="20"/>
              </w:rPr>
              <w:t>SFR B7[7:2]</w:t>
            </w:r>
          </w:p>
        </w:tc>
        <w:tc>
          <w:tcPr>
            <w:tcW w:w="344" w:type="dxa"/>
          </w:tcPr>
          <w:p>
            <w:pPr>
              <w:pStyle w:val="TableParagraph"/>
              <w:rPr>
                <w:b/>
                <w:sz w:val="22"/>
              </w:rPr>
            </w:pPr>
          </w:p>
          <w:p>
            <w:pPr>
              <w:pStyle w:val="TableParagraph"/>
              <w:spacing w:before="128"/>
              <w:ind w:left="4"/>
              <w:jc w:val="center"/>
              <w:rPr>
                <w:sz w:val="20"/>
              </w:rPr>
            </w:pPr>
            <w:r>
              <w:rPr>
                <w:w w:val="99"/>
                <w:sz w:val="20"/>
              </w:rPr>
              <w:t>0</w:t>
            </w:r>
          </w:p>
        </w:tc>
        <w:tc>
          <w:tcPr>
            <w:tcW w:w="344" w:type="dxa"/>
          </w:tcPr>
          <w:p>
            <w:pPr>
              <w:pStyle w:val="TableParagraph"/>
              <w:rPr>
                <w:b/>
                <w:sz w:val="22"/>
              </w:rPr>
            </w:pPr>
          </w:p>
          <w:p>
            <w:pPr>
              <w:pStyle w:val="TableParagraph"/>
              <w:spacing w:before="128"/>
              <w:ind w:left="2"/>
              <w:jc w:val="center"/>
              <w:rPr>
                <w:sz w:val="20"/>
              </w:rPr>
            </w:pPr>
            <w:r>
              <w:rPr>
                <w:w w:val="99"/>
                <w:sz w:val="20"/>
              </w:rPr>
              <w:t>0</w:t>
            </w:r>
          </w:p>
        </w:tc>
        <w:tc>
          <w:tcPr>
            <w:tcW w:w="620" w:type="dxa"/>
          </w:tcPr>
          <w:p>
            <w:pPr>
              <w:pStyle w:val="TableParagraph"/>
              <w:rPr>
                <w:b/>
                <w:sz w:val="22"/>
              </w:rPr>
            </w:pPr>
          </w:p>
          <w:p>
            <w:pPr>
              <w:pStyle w:val="TableParagraph"/>
              <w:spacing w:before="128"/>
              <w:jc w:val="center"/>
              <w:rPr>
                <w:sz w:val="20"/>
              </w:rPr>
            </w:pPr>
            <w:r>
              <w:rPr>
                <w:w w:val="99"/>
                <w:sz w:val="20"/>
              </w:rPr>
              <w:t>W</w:t>
            </w:r>
          </w:p>
        </w:tc>
        <w:tc>
          <w:tcPr>
            <w:tcW w:w="8018" w:type="dxa"/>
            <w:gridSpan w:val="5"/>
          </w:tcPr>
          <w:p>
            <w:pPr>
              <w:pStyle w:val="TableParagraph"/>
              <w:spacing w:before="18"/>
              <w:ind w:left="104"/>
              <w:rPr>
                <w:sz w:val="20"/>
              </w:rPr>
            </w:pPr>
            <w:r>
              <w:rPr>
                <w:sz w:val="20"/>
                <w:u w:val="single"/>
              </w:rPr>
              <w:t>Flash Page Erase Address</w:t>
            </w:r>
          </w:p>
          <w:p>
            <w:pPr>
              <w:pStyle w:val="TableParagraph"/>
              <w:spacing w:before="18"/>
              <w:ind w:left="104" w:right="486"/>
              <w:rPr>
                <w:sz w:val="20"/>
              </w:rPr>
            </w:pPr>
            <w:r>
              <w:rPr>
                <w:sz w:val="20"/>
              </w:rPr>
              <w:t>Flash Page Address (page 0 thru 63) that is erased during the Page Erase cycle. (default = 0x00).</w:t>
            </w:r>
          </w:p>
          <w:p>
            <w:pPr>
              <w:pStyle w:val="TableParagraph"/>
              <w:spacing w:before="20"/>
              <w:ind w:left="104"/>
              <w:rPr>
                <w:b/>
                <w:sz w:val="20"/>
              </w:rPr>
            </w:pPr>
            <w:r>
              <w:rPr>
                <w:b/>
                <w:sz w:val="20"/>
              </w:rPr>
              <w:t>Must be re-written for each new Page Erase cycle.</w:t>
            </w:r>
          </w:p>
        </w:tc>
      </w:tr>
      <w:tr>
        <w:trPr>
          <w:trHeight w:val="961" w:hRule="atLeast"/>
        </w:trPr>
        <w:tc>
          <w:tcPr>
            <w:tcW w:w="2254" w:type="dxa"/>
          </w:tcPr>
          <w:p>
            <w:pPr>
              <w:pStyle w:val="TableParagraph"/>
              <w:spacing w:before="1"/>
              <w:rPr>
                <w:b/>
                <w:sz w:val="31"/>
              </w:rPr>
            </w:pPr>
          </w:p>
          <w:p>
            <w:pPr>
              <w:pStyle w:val="TableParagraph"/>
              <w:ind w:left="107"/>
              <w:rPr>
                <w:rFonts w:ascii="Times New Roman"/>
                <w:i/>
                <w:sz w:val="20"/>
              </w:rPr>
            </w:pPr>
            <w:r>
              <w:rPr>
                <w:rFonts w:ascii="Times New Roman"/>
                <w:i/>
                <w:sz w:val="20"/>
              </w:rPr>
              <w:t>FLSH_PSTWR</w:t>
            </w:r>
          </w:p>
        </w:tc>
        <w:tc>
          <w:tcPr>
            <w:tcW w:w="1124" w:type="dxa"/>
          </w:tcPr>
          <w:p>
            <w:pPr>
              <w:pStyle w:val="TableParagraph"/>
              <w:spacing w:before="5"/>
              <w:rPr>
                <w:b/>
                <w:sz w:val="31"/>
              </w:rPr>
            </w:pPr>
          </w:p>
          <w:p>
            <w:pPr>
              <w:pStyle w:val="TableParagraph"/>
              <w:ind w:right="93"/>
              <w:jc w:val="right"/>
              <w:rPr>
                <w:sz w:val="20"/>
              </w:rPr>
            </w:pPr>
            <w:r>
              <w:rPr>
                <w:sz w:val="20"/>
              </w:rPr>
              <w:t>SFR B2[2]</w:t>
            </w:r>
          </w:p>
        </w:tc>
        <w:tc>
          <w:tcPr>
            <w:tcW w:w="344" w:type="dxa"/>
          </w:tcPr>
          <w:p>
            <w:pPr>
              <w:pStyle w:val="TableParagraph"/>
              <w:spacing w:before="5"/>
              <w:rPr>
                <w:b/>
                <w:sz w:val="31"/>
              </w:rPr>
            </w:pPr>
          </w:p>
          <w:p>
            <w:pPr>
              <w:pStyle w:val="TableParagraph"/>
              <w:ind w:left="4"/>
              <w:jc w:val="center"/>
              <w:rPr>
                <w:sz w:val="20"/>
              </w:rPr>
            </w:pPr>
            <w:r>
              <w:rPr>
                <w:w w:val="99"/>
                <w:sz w:val="20"/>
              </w:rPr>
              <w:t>0</w:t>
            </w:r>
          </w:p>
        </w:tc>
        <w:tc>
          <w:tcPr>
            <w:tcW w:w="344" w:type="dxa"/>
          </w:tcPr>
          <w:p>
            <w:pPr>
              <w:pStyle w:val="TableParagraph"/>
              <w:spacing w:before="5"/>
              <w:rPr>
                <w:b/>
                <w:sz w:val="31"/>
              </w:rPr>
            </w:pPr>
          </w:p>
          <w:p>
            <w:pPr>
              <w:pStyle w:val="TableParagraph"/>
              <w:ind w:left="2"/>
              <w:jc w:val="center"/>
              <w:rPr>
                <w:sz w:val="20"/>
              </w:rPr>
            </w:pPr>
            <w:r>
              <w:rPr>
                <w:w w:val="99"/>
                <w:sz w:val="20"/>
              </w:rPr>
              <w:t>0</w:t>
            </w:r>
          </w:p>
        </w:tc>
        <w:tc>
          <w:tcPr>
            <w:tcW w:w="620" w:type="dxa"/>
          </w:tcPr>
          <w:p>
            <w:pPr>
              <w:pStyle w:val="TableParagraph"/>
              <w:spacing w:before="5"/>
              <w:rPr>
                <w:b/>
                <w:sz w:val="31"/>
              </w:rPr>
            </w:pPr>
          </w:p>
          <w:p>
            <w:pPr>
              <w:pStyle w:val="TableParagraph"/>
              <w:ind w:left="87" w:right="93"/>
              <w:jc w:val="center"/>
              <w:rPr>
                <w:sz w:val="20"/>
              </w:rPr>
            </w:pPr>
            <w:r>
              <w:rPr>
                <w:sz w:val="20"/>
              </w:rPr>
              <w:t>R/W</w:t>
            </w:r>
          </w:p>
        </w:tc>
        <w:tc>
          <w:tcPr>
            <w:tcW w:w="8018" w:type="dxa"/>
            <w:gridSpan w:val="5"/>
          </w:tcPr>
          <w:p>
            <w:pPr>
              <w:pStyle w:val="TableParagraph"/>
              <w:spacing w:before="14"/>
              <w:ind w:left="104" w:right="109"/>
              <w:rPr>
                <w:sz w:val="20"/>
              </w:rPr>
            </w:pPr>
            <w:r>
              <w:rPr>
                <w:sz w:val="20"/>
              </w:rPr>
              <w:t>Enables posted flash writes. When 1, and if </w:t>
            </w:r>
            <w:r>
              <w:rPr>
                <w:rFonts w:ascii="Times New Roman"/>
                <w:i/>
                <w:sz w:val="20"/>
              </w:rPr>
              <w:t>CE_E </w:t>
            </w:r>
            <w:r>
              <w:rPr>
                <w:sz w:val="20"/>
              </w:rPr>
              <w:t>= 1, flash write requests are stored in a one element deep FIFO and are executed when CE_BUSY falls. </w:t>
            </w:r>
            <w:r>
              <w:rPr>
                <w:rFonts w:ascii="Times New Roman"/>
                <w:i/>
                <w:sz w:val="20"/>
              </w:rPr>
              <w:t>FLSH_PEND </w:t>
            </w:r>
            <w:r>
              <w:rPr>
                <w:sz w:val="20"/>
              </w:rPr>
              <w:t>can be read to determine the status of the FIFO. If </w:t>
            </w:r>
            <w:r>
              <w:rPr>
                <w:rFonts w:ascii="Times New Roman"/>
                <w:i/>
                <w:sz w:val="20"/>
              </w:rPr>
              <w:t>FLSH_PSTWR </w:t>
            </w:r>
            <w:r>
              <w:rPr>
                <w:sz w:val="20"/>
              </w:rPr>
              <w:t>= 0 or if </w:t>
            </w:r>
            <w:r>
              <w:rPr>
                <w:rFonts w:ascii="Times New Roman"/>
                <w:i/>
                <w:sz w:val="20"/>
              </w:rPr>
              <w:t>CE_E </w:t>
            </w:r>
            <w:r>
              <w:rPr>
                <w:sz w:val="20"/>
              </w:rPr>
              <w:t>= 0, flash writes are immediate.</w:t>
            </w:r>
          </w:p>
        </w:tc>
      </w:tr>
    </w:tbl>
    <w:p>
      <w:pPr>
        <w:spacing w:after="0"/>
        <w:rPr>
          <w:sz w:val="20"/>
        </w:rPr>
        <w:sectPr>
          <w:pgSz w:w="15840" w:h="12240" w:orient="landscape"/>
          <w:pgMar w:header="727" w:footer="819" w:top="1180" w:bottom="1000" w:left="1320" w:right="1320"/>
        </w:sectPr>
      </w:pPr>
    </w:p>
    <w:p>
      <w:pPr>
        <w:pStyle w:val="BodyText"/>
        <w:spacing w:before="5"/>
        <w:rPr>
          <w:b/>
          <w:sz w:val="7"/>
        </w:rPr>
      </w:pPr>
    </w:p>
    <w:tbl>
      <w:tblPr>
        <w:tblW w:w="0" w:type="auto"/>
        <w:jc w:val="left"/>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4"/>
        <w:gridCol w:w="1124"/>
        <w:gridCol w:w="344"/>
        <w:gridCol w:w="344"/>
        <w:gridCol w:w="620"/>
        <w:gridCol w:w="2106"/>
        <w:gridCol w:w="1554"/>
        <w:gridCol w:w="2250"/>
        <w:gridCol w:w="2108"/>
      </w:tblGrid>
      <w:tr>
        <w:trPr>
          <w:trHeight w:val="309" w:hRule="atLeast"/>
        </w:trPr>
        <w:tc>
          <w:tcPr>
            <w:tcW w:w="2254" w:type="dxa"/>
          </w:tcPr>
          <w:p>
            <w:pPr>
              <w:pStyle w:val="TableParagraph"/>
              <w:spacing w:before="35"/>
              <w:ind w:left="107"/>
              <w:rPr>
                <w:b/>
                <w:sz w:val="20"/>
              </w:rPr>
            </w:pPr>
            <w:r>
              <w:rPr>
                <w:b/>
                <w:sz w:val="20"/>
              </w:rPr>
              <w:t>Name</w:t>
            </w:r>
          </w:p>
        </w:tc>
        <w:tc>
          <w:tcPr>
            <w:tcW w:w="1124" w:type="dxa"/>
          </w:tcPr>
          <w:p>
            <w:pPr>
              <w:pStyle w:val="TableParagraph"/>
              <w:spacing w:before="35"/>
              <w:ind w:left="4"/>
              <w:jc w:val="center"/>
              <w:rPr>
                <w:b/>
                <w:sz w:val="20"/>
              </w:rPr>
            </w:pPr>
            <w:r>
              <w:rPr>
                <w:b/>
                <w:sz w:val="20"/>
              </w:rPr>
              <w:t>Location</w:t>
            </w:r>
          </w:p>
        </w:tc>
        <w:tc>
          <w:tcPr>
            <w:tcW w:w="344" w:type="dxa"/>
          </w:tcPr>
          <w:p>
            <w:pPr>
              <w:pStyle w:val="TableParagraph"/>
              <w:spacing w:before="35"/>
              <w:ind w:left="2"/>
              <w:jc w:val="center"/>
              <w:rPr>
                <w:b/>
                <w:sz w:val="20"/>
              </w:rPr>
            </w:pPr>
            <w:r>
              <w:rPr>
                <w:b/>
                <w:sz w:val="20"/>
              </w:rPr>
              <w:t>Rst</w:t>
            </w:r>
          </w:p>
        </w:tc>
        <w:tc>
          <w:tcPr>
            <w:tcW w:w="344" w:type="dxa"/>
          </w:tcPr>
          <w:p>
            <w:pPr>
              <w:pStyle w:val="TableParagraph"/>
              <w:spacing w:before="35"/>
              <w:ind w:left="6"/>
              <w:jc w:val="center"/>
              <w:rPr>
                <w:b/>
                <w:sz w:val="20"/>
              </w:rPr>
            </w:pPr>
            <w:r>
              <w:rPr>
                <w:b/>
                <w:sz w:val="20"/>
              </w:rPr>
              <w:t>Wk</w:t>
            </w:r>
          </w:p>
        </w:tc>
        <w:tc>
          <w:tcPr>
            <w:tcW w:w="620" w:type="dxa"/>
          </w:tcPr>
          <w:p>
            <w:pPr>
              <w:pStyle w:val="TableParagraph"/>
              <w:spacing w:before="35"/>
              <w:ind w:left="87" w:right="86"/>
              <w:jc w:val="center"/>
              <w:rPr>
                <w:b/>
                <w:sz w:val="20"/>
              </w:rPr>
            </w:pPr>
            <w:r>
              <w:rPr>
                <w:b/>
                <w:sz w:val="20"/>
              </w:rPr>
              <w:t>Dir</w:t>
            </w:r>
          </w:p>
        </w:tc>
        <w:tc>
          <w:tcPr>
            <w:tcW w:w="8018" w:type="dxa"/>
            <w:gridSpan w:val="4"/>
          </w:tcPr>
          <w:p>
            <w:pPr>
              <w:pStyle w:val="TableParagraph"/>
              <w:spacing w:before="35"/>
              <w:ind w:left="104"/>
              <w:rPr>
                <w:b/>
                <w:sz w:val="20"/>
              </w:rPr>
            </w:pPr>
            <w:r>
              <w:rPr>
                <w:b/>
                <w:sz w:val="20"/>
              </w:rPr>
              <w:t>Description</w:t>
            </w:r>
          </w:p>
        </w:tc>
      </w:tr>
      <w:tr>
        <w:trPr>
          <w:trHeight w:val="1252" w:hRule="atLeast"/>
        </w:trPr>
        <w:tc>
          <w:tcPr>
            <w:tcW w:w="2254" w:type="dxa"/>
          </w:tcPr>
          <w:p>
            <w:pPr>
              <w:pStyle w:val="TableParagraph"/>
              <w:rPr>
                <w:b/>
                <w:sz w:val="22"/>
              </w:rPr>
            </w:pPr>
          </w:p>
          <w:p>
            <w:pPr>
              <w:pStyle w:val="TableParagraph"/>
              <w:spacing w:before="9"/>
              <w:rPr>
                <w:b/>
                <w:sz w:val="21"/>
              </w:rPr>
            </w:pPr>
          </w:p>
          <w:p>
            <w:pPr>
              <w:pStyle w:val="TableParagraph"/>
              <w:spacing w:before="1"/>
              <w:ind w:left="107"/>
              <w:rPr>
                <w:rFonts w:ascii="Times New Roman"/>
                <w:i/>
                <w:sz w:val="20"/>
              </w:rPr>
            </w:pPr>
            <w:r>
              <w:rPr>
                <w:rFonts w:ascii="Times New Roman"/>
                <w:i/>
                <w:sz w:val="20"/>
              </w:rPr>
              <w:t>FLSH_PWE</w:t>
            </w:r>
          </w:p>
        </w:tc>
        <w:tc>
          <w:tcPr>
            <w:tcW w:w="1124" w:type="dxa"/>
          </w:tcPr>
          <w:p>
            <w:pPr>
              <w:pStyle w:val="TableParagraph"/>
              <w:rPr>
                <w:b/>
                <w:sz w:val="22"/>
              </w:rPr>
            </w:pPr>
          </w:p>
          <w:p>
            <w:pPr>
              <w:pStyle w:val="TableParagraph"/>
              <w:spacing w:before="2"/>
              <w:rPr>
                <w:b/>
                <w:sz w:val="22"/>
              </w:rPr>
            </w:pPr>
          </w:p>
          <w:p>
            <w:pPr>
              <w:pStyle w:val="TableParagraph"/>
              <w:ind w:left="5"/>
              <w:jc w:val="center"/>
              <w:rPr>
                <w:sz w:val="20"/>
              </w:rPr>
            </w:pPr>
            <w:r>
              <w:rPr>
                <w:sz w:val="20"/>
              </w:rPr>
              <w:t>SFR B2[0]</w:t>
            </w:r>
          </w:p>
        </w:tc>
        <w:tc>
          <w:tcPr>
            <w:tcW w:w="344" w:type="dxa"/>
          </w:tcPr>
          <w:p>
            <w:pPr>
              <w:pStyle w:val="TableParagraph"/>
              <w:rPr>
                <w:b/>
                <w:sz w:val="22"/>
              </w:rPr>
            </w:pPr>
          </w:p>
          <w:p>
            <w:pPr>
              <w:pStyle w:val="TableParagraph"/>
              <w:spacing w:before="2"/>
              <w:rPr>
                <w:b/>
                <w:sz w:val="22"/>
              </w:rPr>
            </w:pPr>
          </w:p>
          <w:p>
            <w:pPr>
              <w:pStyle w:val="TableParagraph"/>
              <w:ind w:left="4"/>
              <w:jc w:val="center"/>
              <w:rPr>
                <w:sz w:val="20"/>
              </w:rPr>
            </w:pPr>
            <w:r>
              <w:rPr>
                <w:w w:val="99"/>
                <w:sz w:val="20"/>
              </w:rPr>
              <w:t>0</w:t>
            </w:r>
          </w:p>
        </w:tc>
        <w:tc>
          <w:tcPr>
            <w:tcW w:w="344" w:type="dxa"/>
          </w:tcPr>
          <w:p>
            <w:pPr>
              <w:pStyle w:val="TableParagraph"/>
              <w:rPr>
                <w:b/>
                <w:sz w:val="22"/>
              </w:rPr>
            </w:pPr>
          </w:p>
          <w:p>
            <w:pPr>
              <w:pStyle w:val="TableParagraph"/>
              <w:spacing w:before="2"/>
              <w:rPr>
                <w:b/>
                <w:sz w:val="22"/>
              </w:rPr>
            </w:pPr>
          </w:p>
          <w:p>
            <w:pPr>
              <w:pStyle w:val="TableParagraph"/>
              <w:ind w:left="2"/>
              <w:jc w:val="center"/>
              <w:rPr>
                <w:sz w:val="20"/>
              </w:rPr>
            </w:pPr>
            <w:r>
              <w:rPr>
                <w:w w:val="99"/>
                <w:sz w:val="20"/>
              </w:rPr>
              <w:t>0</w:t>
            </w:r>
          </w:p>
        </w:tc>
        <w:tc>
          <w:tcPr>
            <w:tcW w:w="620" w:type="dxa"/>
          </w:tcPr>
          <w:p>
            <w:pPr>
              <w:pStyle w:val="TableParagraph"/>
              <w:rPr>
                <w:b/>
                <w:sz w:val="22"/>
              </w:rPr>
            </w:pPr>
          </w:p>
          <w:p>
            <w:pPr>
              <w:pStyle w:val="TableParagraph"/>
              <w:spacing w:before="2"/>
              <w:rPr>
                <w:b/>
                <w:sz w:val="22"/>
              </w:rPr>
            </w:pPr>
          </w:p>
          <w:p>
            <w:pPr>
              <w:pStyle w:val="TableParagraph"/>
              <w:ind w:left="87" w:right="93"/>
              <w:jc w:val="center"/>
              <w:rPr>
                <w:sz w:val="20"/>
              </w:rPr>
            </w:pPr>
            <w:r>
              <w:rPr>
                <w:sz w:val="20"/>
              </w:rPr>
              <w:t>R/W</w:t>
            </w:r>
          </w:p>
        </w:tc>
        <w:tc>
          <w:tcPr>
            <w:tcW w:w="8018" w:type="dxa"/>
            <w:gridSpan w:val="4"/>
          </w:tcPr>
          <w:p>
            <w:pPr>
              <w:pStyle w:val="TableParagraph"/>
              <w:spacing w:before="21"/>
              <w:ind w:left="104"/>
              <w:rPr>
                <w:sz w:val="20"/>
              </w:rPr>
            </w:pPr>
            <w:r>
              <w:rPr>
                <w:sz w:val="20"/>
                <w:u w:val="single"/>
              </w:rPr>
              <w:t>Program Write Enable</w:t>
            </w:r>
          </w:p>
          <w:p>
            <w:pPr>
              <w:pStyle w:val="TableParagraph"/>
              <w:spacing w:line="254" w:lineRule="auto" w:before="19"/>
              <w:ind w:left="104" w:right="1050"/>
              <w:rPr>
                <w:sz w:val="20"/>
              </w:rPr>
            </w:pPr>
            <w:r>
              <w:rPr>
                <w:sz w:val="20"/>
              </w:rPr>
              <w:t>0 = </w:t>
            </w:r>
            <w:r>
              <w:rPr>
                <w:spacing w:val="-4"/>
                <w:sz w:val="20"/>
              </w:rPr>
              <w:t>MOVX commands refer </w:t>
            </w:r>
            <w:r>
              <w:rPr>
                <w:sz w:val="20"/>
              </w:rPr>
              <w:t>to </w:t>
            </w:r>
            <w:r>
              <w:rPr>
                <w:spacing w:val="-4"/>
                <w:sz w:val="20"/>
              </w:rPr>
              <w:t>External </w:t>
            </w:r>
            <w:r>
              <w:rPr>
                <w:spacing w:val="-3"/>
                <w:sz w:val="20"/>
              </w:rPr>
              <w:t>RAM </w:t>
            </w:r>
            <w:r>
              <w:rPr>
                <w:spacing w:val="-4"/>
                <w:sz w:val="20"/>
              </w:rPr>
              <w:t>Space, </w:t>
            </w:r>
            <w:r>
              <w:rPr>
                <w:spacing w:val="-3"/>
                <w:sz w:val="20"/>
              </w:rPr>
              <w:t>normal </w:t>
            </w:r>
            <w:r>
              <w:rPr>
                <w:spacing w:val="-4"/>
                <w:sz w:val="20"/>
              </w:rPr>
              <w:t>operation (default). </w:t>
            </w:r>
            <w:r>
              <w:rPr>
                <w:sz w:val="20"/>
              </w:rPr>
              <w:t>1 = MOVX @</w:t>
            </w:r>
            <w:r>
              <w:rPr>
                <w:rFonts w:ascii="Times New Roman"/>
                <w:i/>
                <w:sz w:val="20"/>
              </w:rPr>
              <w:t>DPTR</w:t>
            </w:r>
            <w:r>
              <w:rPr>
                <w:sz w:val="20"/>
              </w:rPr>
              <w:t>,A moves A to External Program Space (Flash) @ </w:t>
            </w:r>
            <w:r>
              <w:rPr>
                <w:rFonts w:ascii="Times New Roman"/>
                <w:i/>
                <w:sz w:val="20"/>
              </w:rPr>
              <w:t>DPTR</w:t>
            </w:r>
            <w:r>
              <w:rPr>
                <w:sz w:val="20"/>
              </w:rPr>
              <w:t>.</w:t>
            </w:r>
          </w:p>
          <w:p>
            <w:pPr>
              <w:pStyle w:val="TableParagraph"/>
              <w:spacing w:before="11"/>
              <w:ind w:left="87" w:right="486"/>
              <w:rPr>
                <w:sz w:val="20"/>
              </w:rPr>
            </w:pPr>
            <w:r>
              <w:rPr>
                <w:sz w:val="20"/>
              </w:rPr>
              <w:t>This bit is automatically reset after each byte written to flash. Writes to this bit are inhibited when interrupts are enabled.</w:t>
            </w:r>
          </w:p>
        </w:tc>
      </w:tr>
      <w:tr>
        <w:trPr>
          <w:trHeight w:val="258" w:hRule="atLeast"/>
        </w:trPr>
        <w:tc>
          <w:tcPr>
            <w:tcW w:w="2254" w:type="dxa"/>
          </w:tcPr>
          <w:p>
            <w:pPr>
              <w:pStyle w:val="TableParagraph"/>
              <w:spacing w:before="7"/>
              <w:ind w:left="107"/>
              <w:rPr>
                <w:rFonts w:ascii="Times New Roman"/>
                <w:i/>
                <w:sz w:val="20"/>
              </w:rPr>
            </w:pPr>
            <w:r>
              <w:rPr>
                <w:rFonts w:ascii="Times New Roman"/>
                <w:i/>
                <w:sz w:val="20"/>
              </w:rPr>
              <w:t>FLSH_RDE</w:t>
            </w:r>
          </w:p>
        </w:tc>
        <w:tc>
          <w:tcPr>
            <w:tcW w:w="1124" w:type="dxa"/>
          </w:tcPr>
          <w:p>
            <w:pPr>
              <w:pStyle w:val="TableParagraph"/>
              <w:spacing w:line="227" w:lineRule="exact" w:before="11"/>
              <w:ind w:left="5"/>
              <w:jc w:val="center"/>
              <w:rPr>
                <w:sz w:val="20"/>
              </w:rPr>
            </w:pPr>
            <w:r>
              <w:rPr>
                <w:sz w:val="20"/>
              </w:rPr>
              <w:t>2702[2]</w:t>
            </w:r>
          </w:p>
        </w:tc>
        <w:tc>
          <w:tcPr>
            <w:tcW w:w="344" w:type="dxa"/>
          </w:tcPr>
          <w:p>
            <w:pPr>
              <w:pStyle w:val="TableParagraph"/>
              <w:spacing w:line="227" w:lineRule="exact" w:before="11"/>
              <w:ind w:left="4"/>
              <w:jc w:val="center"/>
              <w:rPr>
                <w:sz w:val="20"/>
              </w:rPr>
            </w:pPr>
            <w:r>
              <w:rPr>
                <w:w w:val="99"/>
                <w:sz w:val="20"/>
              </w:rPr>
              <w:t>–</w:t>
            </w:r>
          </w:p>
        </w:tc>
        <w:tc>
          <w:tcPr>
            <w:tcW w:w="344" w:type="dxa"/>
          </w:tcPr>
          <w:p>
            <w:pPr>
              <w:pStyle w:val="TableParagraph"/>
              <w:spacing w:line="227" w:lineRule="exact" w:before="11"/>
              <w:ind w:left="2"/>
              <w:jc w:val="center"/>
              <w:rPr>
                <w:sz w:val="20"/>
              </w:rPr>
            </w:pPr>
            <w:r>
              <w:rPr>
                <w:w w:val="99"/>
                <w:sz w:val="20"/>
              </w:rPr>
              <w:t>–</w:t>
            </w:r>
          </w:p>
        </w:tc>
        <w:tc>
          <w:tcPr>
            <w:tcW w:w="620" w:type="dxa"/>
          </w:tcPr>
          <w:p>
            <w:pPr>
              <w:pStyle w:val="TableParagraph"/>
              <w:spacing w:line="227" w:lineRule="exact" w:before="11"/>
              <w:ind w:left="3"/>
              <w:jc w:val="center"/>
              <w:rPr>
                <w:sz w:val="20"/>
              </w:rPr>
            </w:pPr>
            <w:r>
              <w:rPr>
                <w:w w:val="99"/>
                <w:sz w:val="20"/>
              </w:rPr>
              <w:t>R</w:t>
            </w:r>
          </w:p>
        </w:tc>
        <w:tc>
          <w:tcPr>
            <w:tcW w:w="8018" w:type="dxa"/>
            <w:gridSpan w:val="4"/>
          </w:tcPr>
          <w:p>
            <w:pPr>
              <w:pStyle w:val="TableParagraph"/>
              <w:spacing w:line="230" w:lineRule="exact" w:before="9"/>
              <w:ind w:left="104"/>
              <w:rPr>
                <w:sz w:val="20"/>
              </w:rPr>
            </w:pPr>
            <w:r>
              <w:rPr>
                <w:sz w:val="20"/>
              </w:rPr>
              <w:t>Indicates that the flash may be read by ICE or SPI slave. </w:t>
            </w:r>
            <w:r>
              <w:rPr>
                <w:rFonts w:ascii="Times New Roman"/>
                <w:i/>
                <w:sz w:val="20"/>
              </w:rPr>
              <w:t>FLSH_RDE </w:t>
            </w:r>
            <w:r>
              <w:rPr>
                <w:sz w:val="20"/>
              </w:rPr>
              <w:t>= (!</w:t>
            </w:r>
            <w:r>
              <w:rPr>
                <w:rFonts w:ascii="Times New Roman"/>
                <w:i/>
                <w:sz w:val="20"/>
              </w:rPr>
              <w:t>SECURE</w:t>
            </w:r>
            <w:r>
              <w:rPr>
                <w:sz w:val="20"/>
              </w:rPr>
              <w:t>)</w:t>
            </w:r>
          </w:p>
        </w:tc>
      </w:tr>
      <w:tr>
        <w:trPr>
          <w:trHeight w:val="486" w:hRule="atLeast"/>
        </w:trPr>
        <w:tc>
          <w:tcPr>
            <w:tcW w:w="2254" w:type="dxa"/>
          </w:tcPr>
          <w:p>
            <w:pPr>
              <w:pStyle w:val="TableParagraph"/>
              <w:spacing w:before="122"/>
              <w:ind w:left="107"/>
              <w:rPr>
                <w:rFonts w:ascii="Times New Roman"/>
                <w:i/>
                <w:sz w:val="20"/>
              </w:rPr>
            </w:pPr>
            <w:r>
              <w:rPr>
                <w:rFonts w:ascii="Times New Roman"/>
                <w:i/>
                <w:sz w:val="20"/>
              </w:rPr>
              <w:t>FLSH_UNLOCK[3:0]</w:t>
            </w:r>
          </w:p>
        </w:tc>
        <w:tc>
          <w:tcPr>
            <w:tcW w:w="1124" w:type="dxa"/>
          </w:tcPr>
          <w:p>
            <w:pPr>
              <w:pStyle w:val="TableParagraph"/>
              <w:spacing w:before="126"/>
              <w:ind w:left="5"/>
              <w:jc w:val="center"/>
              <w:rPr>
                <w:sz w:val="20"/>
              </w:rPr>
            </w:pPr>
            <w:r>
              <w:rPr>
                <w:sz w:val="20"/>
              </w:rPr>
              <w:t>2702[7:4]</w:t>
            </w:r>
          </w:p>
        </w:tc>
        <w:tc>
          <w:tcPr>
            <w:tcW w:w="344" w:type="dxa"/>
          </w:tcPr>
          <w:p>
            <w:pPr>
              <w:pStyle w:val="TableParagraph"/>
              <w:spacing w:before="126"/>
              <w:ind w:left="4"/>
              <w:jc w:val="center"/>
              <w:rPr>
                <w:sz w:val="20"/>
              </w:rPr>
            </w:pPr>
            <w:r>
              <w:rPr>
                <w:w w:val="99"/>
                <w:sz w:val="20"/>
              </w:rPr>
              <w:t>0</w:t>
            </w:r>
          </w:p>
        </w:tc>
        <w:tc>
          <w:tcPr>
            <w:tcW w:w="344" w:type="dxa"/>
          </w:tcPr>
          <w:p>
            <w:pPr>
              <w:pStyle w:val="TableParagraph"/>
              <w:spacing w:before="126"/>
              <w:ind w:left="2"/>
              <w:jc w:val="center"/>
              <w:rPr>
                <w:sz w:val="20"/>
              </w:rPr>
            </w:pPr>
            <w:r>
              <w:rPr>
                <w:w w:val="99"/>
                <w:sz w:val="20"/>
              </w:rPr>
              <w:t>0</w:t>
            </w:r>
          </w:p>
        </w:tc>
        <w:tc>
          <w:tcPr>
            <w:tcW w:w="620" w:type="dxa"/>
          </w:tcPr>
          <w:p>
            <w:pPr>
              <w:pStyle w:val="TableParagraph"/>
              <w:spacing w:before="126"/>
              <w:ind w:left="87" w:right="93"/>
              <w:jc w:val="center"/>
              <w:rPr>
                <w:sz w:val="20"/>
              </w:rPr>
            </w:pPr>
            <w:r>
              <w:rPr>
                <w:sz w:val="20"/>
              </w:rPr>
              <w:t>R/W</w:t>
            </w:r>
          </w:p>
        </w:tc>
        <w:tc>
          <w:tcPr>
            <w:tcW w:w="8018" w:type="dxa"/>
            <w:gridSpan w:val="4"/>
          </w:tcPr>
          <w:p>
            <w:pPr>
              <w:pStyle w:val="TableParagraph"/>
              <w:spacing w:line="228" w:lineRule="exact" w:before="16"/>
              <w:ind w:left="104"/>
              <w:rPr>
                <w:sz w:val="20"/>
              </w:rPr>
            </w:pPr>
            <w:r>
              <w:rPr>
                <w:sz w:val="20"/>
              </w:rPr>
              <w:t>Must be a 2 to enable any flash modification. See the description of Flash security for more details.</w:t>
            </w:r>
          </w:p>
        </w:tc>
      </w:tr>
      <w:tr>
        <w:trPr>
          <w:trHeight w:val="258" w:hRule="atLeast"/>
        </w:trPr>
        <w:tc>
          <w:tcPr>
            <w:tcW w:w="2254" w:type="dxa"/>
          </w:tcPr>
          <w:p>
            <w:pPr>
              <w:pStyle w:val="TableParagraph"/>
              <w:spacing w:before="7"/>
              <w:ind w:left="107"/>
              <w:rPr>
                <w:rFonts w:ascii="Times New Roman"/>
                <w:i/>
                <w:sz w:val="20"/>
              </w:rPr>
            </w:pPr>
            <w:r>
              <w:rPr>
                <w:rFonts w:ascii="Times New Roman"/>
                <w:i/>
                <w:sz w:val="20"/>
              </w:rPr>
              <w:t>FLSH_WRE</w:t>
            </w:r>
          </w:p>
        </w:tc>
        <w:tc>
          <w:tcPr>
            <w:tcW w:w="1124" w:type="dxa"/>
          </w:tcPr>
          <w:p>
            <w:pPr>
              <w:pStyle w:val="TableParagraph"/>
              <w:spacing w:line="227" w:lineRule="exact" w:before="11"/>
              <w:ind w:left="5"/>
              <w:jc w:val="center"/>
              <w:rPr>
                <w:sz w:val="20"/>
              </w:rPr>
            </w:pPr>
            <w:r>
              <w:rPr>
                <w:sz w:val="20"/>
              </w:rPr>
              <w:t>2702[1]</w:t>
            </w:r>
          </w:p>
        </w:tc>
        <w:tc>
          <w:tcPr>
            <w:tcW w:w="344" w:type="dxa"/>
          </w:tcPr>
          <w:p>
            <w:pPr>
              <w:pStyle w:val="TableParagraph"/>
              <w:spacing w:line="227" w:lineRule="exact" w:before="11"/>
              <w:ind w:left="4"/>
              <w:jc w:val="center"/>
              <w:rPr>
                <w:sz w:val="20"/>
              </w:rPr>
            </w:pPr>
            <w:r>
              <w:rPr>
                <w:w w:val="99"/>
                <w:sz w:val="20"/>
              </w:rPr>
              <w:t>–</w:t>
            </w:r>
          </w:p>
        </w:tc>
        <w:tc>
          <w:tcPr>
            <w:tcW w:w="344" w:type="dxa"/>
          </w:tcPr>
          <w:p>
            <w:pPr>
              <w:pStyle w:val="TableParagraph"/>
              <w:spacing w:line="227" w:lineRule="exact" w:before="11"/>
              <w:ind w:left="2"/>
              <w:jc w:val="center"/>
              <w:rPr>
                <w:sz w:val="20"/>
              </w:rPr>
            </w:pPr>
            <w:r>
              <w:rPr>
                <w:w w:val="99"/>
                <w:sz w:val="20"/>
              </w:rPr>
              <w:t>–</w:t>
            </w:r>
          </w:p>
        </w:tc>
        <w:tc>
          <w:tcPr>
            <w:tcW w:w="620" w:type="dxa"/>
          </w:tcPr>
          <w:p>
            <w:pPr>
              <w:pStyle w:val="TableParagraph"/>
              <w:spacing w:line="227" w:lineRule="exact" w:before="11"/>
              <w:ind w:left="3"/>
              <w:jc w:val="center"/>
              <w:rPr>
                <w:sz w:val="20"/>
              </w:rPr>
            </w:pPr>
            <w:r>
              <w:rPr>
                <w:w w:val="99"/>
                <w:sz w:val="20"/>
              </w:rPr>
              <w:t>R</w:t>
            </w:r>
          </w:p>
        </w:tc>
        <w:tc>
          <w:tcPr>
            <w:tcW w:w="8018" w:type="dxa"/>
            <w:gridSpan w:val="4"/>
          </w:tcPr>
          <w:p>
            <w:pPr>
              <w:pStyle w:val="TableParagraph"/>
              <w:spacing w:line="227" w:lineRule="exact" w:before="11"/>
              <w:ind w:left="104"/>
              <w:rPr>
                <w:sz w:val="20"/>
              </w:rPr>
            </w:pPr>
            <w:r>
              <w:rPr>
                <w:sz w:val="20"/>
              </w:rPr>
              <w:t>Indicates that the flash may be written through ICE or SPI slave ports.</w:t>
            </w:r>
          </w:p>
        </w:tc>
      </w:tr>
      <w:tr>
        <w:trPr>
          <w:trHeight w:val="2416" w:hRule="atLeast"/>
        </w:trPr>
        <w:tc>
          <w:tcPr>
            <w:tcW w:w="2254" w:type="dxa"/>
          </w:tcPr>
          <w:p>
            <w:pPr>
              <w:pStyle w:val="TableParagraph"/>
              <w:spacing w:line="249" w:lineRule="auto" w:before="7"/>
              <w:ind w:left="107" w:right="924"/>
              <w:rPr>
                <w:rFonts w:ascii="Times New Roman"/>
                <w:i/>
                <w:sz w:val="20"/>
              </w:rPr>
            </w:pPr>
            <w:r>
              <w:rPr>
                <w:rFonts w:ascii="Times New Roman"/>
                <w:i/>
                <w:sz w:val="20"/>
              </w:rPr>
              <w:t>IE_XFER </w:t>
            </w:r>
            <w:r>
              <w:rPr>
                <w:rFonts w:ascii="Times New Roman"/>
                <w:i/>
                <w:sz w:val="20"/>
              </w:rPr>
              <w:t>IE_RTC1S IE_RTC1M IE_RTCT IE_SPI IE_EEX IE_XPULSE IE_YPULSE</w:t>
            </w:r>
          </w:p>
          <w:p>
            <w:pPr>
              <w:pStyle w:val="TableParagraph"/>
              <w:spacing w:line="240" w:lineRule="exact" w:before="2"/>
              <w:ind w:left="107" w:right="924"/>
              <w:rPr>
                <w:rFonts w:ascii="Times New Roman"/>
                <w:i/>
                <w:sz w:val="20"/>
              </w:rPr>
            </w:pPr>
            <w:r>
              <w:rPr>
                <w:rFonts w:ascii="Times New Roman"/>
                <w:i/>
                <w:w w:val="95"/>
                <w:sz w:val="20"/>
              </w:rPr>
              <w:t>IE_WPULSE </w:t>
            </w:r>
            <w:r>
              <w:rPr>
                <w:rFonts w:ascii="Times New Roman"/>
                <w:i/>
                <w:sz w:val="20"/>
              </w:rPr>
              <w:t>IE_VPULSE</w:t>
            </w:r>
          </w:p>
        </w:tc>
        <w:tc>
          <w:tcPr>
            <w:tcW w:w="1124" w:type="dxa"/>
          </w:tcPr>
          <w:p>
            <w:pPr>
              <w:pStyle w:val="TableParagraph"/>
              <w:spacing w:line="249" w:lineRule="auto" w:before="11"/>
              <w:ind w:left="100" w:right="92"/>
              <w:jc w:val="both"/>
              <w:rPr>
                <w:sz w:val="20"/>
              </w:rPr>
            </w:pPr>
            <w:r>
              <w:rPr>
                <w:sz w:val="20"/>
              </w:rPr>
              <w:t>SFR </w:t>
            </w:r>
            <w:r>
              <w:rPr>
                <w:spacing w:val="-4"/>
                <w:sz w:val="20"/>
              </w:rPr>
              <w:t>E8[0] </w:t>
            </w:r>
            <w:r>
              <w:rPr>
                <w:sz w:val="20"/>
              </w:rPr>
              <w:t>SFR </w:t>
            </w:r>
            <w:r>
              <w:rPr>
                <w:spacing w:val="-4"/>
                <w:sz w:val="20"/>
              </w:rPr>
              <w:t>E8[1] </w:t>
            </w:r>
            <w:r>
              <w:rPr>
                <w:sz w:val="20"/>
              </w:rPr>
              <w:t>SFR </w:t>
            </w:r>
            <w:r>
              <w:rPr>
                <w:spacing w:val="-4"/>
                <w:sz w:val="20"/>
              </w:rPr>
              <w:t>E8[2] </w:t>
            </w:r>
            <w:r>
              <w:rPr>
                <w:sz w:val="20"/>
              </w:rPr>
              <w:t>SFR </w:t>
            </w:r>
            <w:r>
              <w:rPr>
                <w:spacing w:val="-4"/>
                <w:sz w:val="20"/>
              </w:rPr>
              <w:t>E8[3] </w:t>
            </w:r>
            <w:r>
              <w:rPr>
                <w:sz w:val="20"/>
              </w:rPr>
              <w:t>SFR F8[7] SFR </w:t>
            </w:r>
            <w:r>
              <w:rPr>
                <w:spacing w:val="-4"/>
                <w:sz w:val="20"/>
              </w:rPr>
              <w:t>E8[7] </w:t>
            </w:r>
            <w:r>
              <w:rPr>
                <w:sz w:val="20"/>
              </w:rPr>
              <w:t>SFR </w:t>
            </w:r>
            <w:r>
              <w:rPr>
                <w:spacing w:val="-4"/>
                <w:sz w:val="20"/>
              </w:rPr>
              <w:t>E8[6] </w:t>
            </w:r>
            <w:r>
              <w:rPr>
                <w:sz w:val="20"/>
              </w:rPr>
              <w:t>SFR</w:t>
            </w:r>
            <w:r>
              <w:rPr>
                <w:spacing w:val="-1"/>
                <w:sz w:val="20"/>
              </w:rPr>
              <w:t> </w:t>
            </w:r>
            <w:r>
              <w:rPr>
                <w:spacing w:val="-4"/>
                <w:sz w:val="20"/>
              </w:rPr>
              <w:t>E8[5]</w:t>
            </w:r>
          </w:p>
          <w:p>
            <w:pPr>
              <w:pStyle w:val="TableParagraph"/>
              <w:spacing w:line="240" w:lineRule="exact" w:before="3"/>
              <w:ind w:left="105" w:right="96"/>
              <w:jc w:val="both"/>
              <w:rPr>
                <w:sz w:val="20"/>
              </w:rPr>
            </w:pPr>
            <w:r>
              <w:rPr>
                <w:sz w:val="20"/>
              </w:rPr>
              <w:t>SFR </w:t>
            </w:r>
            <w:r>
              <w:rPr>
                <w:spacing w:val="-3"/>
                <w:sz w:val="20"/>
              </w:rPr>
              <w:t>F8[6] </w:t>
            </w:r>
            <w:r>
              <w:rPr>
                <w:sz w:val="20"/>
              </w:rPr>
              <w:t>SFR</w:t>
            </w:r>
            <w:r>
              <w:rPr>
                <w:spacing w:val="-4"/>
                <w:sz w:val="20"/>
              </w:rPr>
              <w:t> </w:t>
            </w:r>
            <w:r>
              <w:rPr>
                <w:spacing w:val="-3"/>
                <w:sz w:val="20"/>
              </w:rPr>
              <w:t>F8[5]</w:t>
            </w:r>
          </w:p>
        </w:tc>
        <w:tc>
          <w:tcPr>
            <w:tcW w:w="344" w:type="dxa"/>
          </w:tcPr>
          <w:p>
            <w:pPr>
              <w:pStyle w:val="TableParagraph"/>
              <w:rPr>
                <w:b/>
                <w:sz w:val="22"/>
              </w:rPr>
            </w:pPr>
          </w:p>
          <w:p>
            <w:pPr>
              <w:pStyle w:val="TableParagraph"/>
              <w:rPr>
                <w:b/>
                <w:sz w:val="22"/>
              </w:rPr>
            </w:pPr>
          </w:p>
          <w:p>
            <w:pPr>
              <w:pStyle w:val="TableParagraph"/>
              <w:rPr>
                <w:b/>
                <w:sz w:val="22"/>
              </w:rPr>
            </w:pPr>
          </w:p>
          <w:p>
            <w:pPr>
              <w:pStyle w:val="TableParagraph"/>
              <w:spacing w:before="10"/>
              <w:rPr>
                <w:b/>
                <w:sz w:val="28"/>
              </w:rPr>
            </w:pPr>
          </w:p>
          <w:p>
            <w:pPr>
              <w:pStyle w:val="TableParagraph"/>
              <w:ind w:left="4"/>
              <w:jc w:val="center"/>
              <w:rPr>
                <w:sz w:val="20"/>
              </w:rPr>
            </w:pPr>
            <w:r>
              <w:rPr>
                <w:w w:val="99"/>
                <w:sz w:val="20"/>
              </w:rPr>
              <w:t>0</w:t>
            </w:r>
          </w:p>
        </w:tc>
        <w:tc>
          <w:tcPr>
            <w:tcW w:w="344" w:type="dxa"/>
          </w:tcPr>
          <w:p>
            <w:pPr>
              <w:pStyle w:val="TableParagraph"/>
              <w:rPr>
                <w:b/>
                <w:sz w:val="22"/>
              </w:rPr>
            </w:pPr>
          </w:p>
          <w:p>
            <w:pPr>
              <w:pStyle w:val="TableParagraph"/>
              <w:rPr>
                <w:b/>
                <w:sz w:val="22"/>
              </w:rPr>
            </w:pPr>
          </w:p>
          <w:p>
            <w:pPr>
              <w:pStyle w:val="TableParagraph"/>
              <w:rPr>
                <w:b/>
                <w:sz w:val="22"/>
              </w:rPr>
            </w:pPr>
          </w:p>
          <w:p>
            <w:pPr>
              <w:pStyle w:val="TableParagraph"/>
              <w:spacing w:before="10"/>
              <w:rPr>
                <w:b/>
                <w:sz w:val="28"/>
              </w:rPr>
            </w:pPr>
          </w:p>
          <w:p>
            <w:pPr>
              <w:pStyle w:val="TableParagraph"/>
              <w:ind w:left="2"/>
              <w:jc w:val="center"/>
              <w:rPr>
                <w:sz w:val="20"/>
              </w:rPr>
            </w:pPr>
            <w:r>
              <w:rPr>
                <w:w w:val="99"/>
                <w:sz w:val="20"/>
              </w:rPr>
              <w:t>0</w:t>
            </w:r>
          </w:p>
        </w:tc>
        <w:tc>
          <w:tcPr>
            <w:tcW w:w="620" w:type="dxa"/>
          </w:tcPr>
          <w:p>
            <w:pPr>
              <w:pStyle w:val="TableParagraph"/>
              <w:rPr>
                <w:b/>
                <w:sz w:val="22"/>
              </w:rPr>
            </w:pPr>
          </w:p>
          <w:p>
            <w:pPr>
              <w:pStyle w:val="TableParagraph"/>
              <w:rPr>
                <w:b/>
                <w:sz w:val="22"/>
              </w:rPr>
            </w:pPr>
          </w:p>
          <w:p>
            <w:pPr>
              <w:pStyle w:val="TableParagraph"/>
              <w:rPr>
                <w:b/>
                <w:sz w:val="22"/>
              </w:rPr>
            </w:pPr>
          </w:p>
          <w:p>
            <w:pPr>
              <w:pStyle w:val="TableParagraph"/>
              <w:spacing w:before="10"/>
              <w:rPr>
                <w:b/>
                <w:sz w:val="28"/>
              </w:rPr>
            </w:pPr>
          </w:p>
          <w:p>
            <w:pPr>
              <w:pStyle w:val="TableParagraph"/>
              <w:ind w:left="87" w:right="93"/>
              <w:jc w:val="center"/>
              <w:rPr>
                <w:sz w:val="20"/>
              </w:rPr>
            </w:pPr>
            <w:r>
              <w:rPr>
                <w:sz w:val="20"/>
              </w:rPr>
              <w:t>R/W</w:t>
            </w:r>
          </w:p>
        </w:tc>
        <w:tc>
          <w:tcPr>
            <w:tcW w:w="8018" w:type="dxa"/>
            <w:gridSpan w:val="4"/>
          </w:tcPr>
          <w:p>
            <w:pPr>
              <w:pStyle w:val="TableParagraph"/>
              <w:rPr>
                <w:b/>
                <w:sz w:val="22"/>
              </w:rPr>
            </w:pPr>
          </w:p>
          <w:p>
            <w:pPr>
              <w:pStyle w:val="TableParagraph"/>
              <w:spacing w:before="147"/>
              <w:ind w:left="103" w:right="169"/>
              <w:rPr>
                <w:sz w:val="20"/>
              </w:rPr>
            </w:pPr>
            <w:r>
              <w:rPr>
                <w:sz w:val="20"/>
              </w:rPr>
              <w:t>Interrupt flags for external interrupts 2 and 6. These flags monitor the source of the int6 and int2 interrupts (external interrupts to the MPU core). These flags are set by hardware and must be cleared by the software interrupt handler. The </w:t>
            </w:r>
            <w:r>
              <w:rPr>
                <w:rFonts w:ascii="Times New Roman"/>
                <w:i/>
                <w:sz w:val="20"/>
              </w:rPr>
              <w:t>IEX2 </w:t>
            </w:r>
            <w:r>
              <w:rPr>
                <w:sz w:val="20"/>
              </w:rPr>
              <w:t>(</w:t>
            </w:r>
            <w:r>
              <w:rPr>
                <w:rFonts w:ascii="Times New Roman"/>
                <w:i/>
                <w:sz w:val="20"/>
              </w:rPr>
              <w:t>SFR </w:t>
            </w:r>
            <w:r>
              <w:rPr>
                <w:rFonts w:ascii="Times New Roman"/>
                <w:i/>
                <w:sz w:val="20"/>
              </w:rPr>
              <w:t>0xC0[1]</w:t>
            </w:r>
            <w:r>
              <w:rPr>
                <w:sz w:val="20"/>
              </w:rPr>
              <w:t>) and </w:t>
            </w:r>
            <w:r>
              <w:rPr>
                <w:rFonts w:ascii="Times New Roman"/>
                <w:i/>
                <w:sz w:val="20"/>
              </w:rPr>
              <w:t>IEX6 </w:t>
            </w:r>
            <w:r>
              <w:rPr>
                <w:sz w:val="20"/>
              </w:rPr>
              <w:t>(</w:t>
            </w:r>
            <w:r>
              <w:rPr>
                <w:rFonts w:ascii="Times New Roman"/>
                <w:i/>
                <w:sz w:val="20"/>
              </w:rPr>
              <w:t>SFR 0xC0[5]</w:t>
            </w:r>
            <w:r>
              <w:rPr>
                <w:sz w:val="20"/>
              </w:rPr>
              <w:t>) interrupt flags are automatically cleared by the MPU core when it vectors to the interrupt handler. </w:t>
            </w:r>
            <w:r>
              <w:rPr>
                <w:rFonts w:ascii="Times New Roman"/>
                <w:i/>
                <w:sz w:val="20"/>
              </w:rPr>
              <w:t>IEX2 </w:t>
            </w:r>
            <w:r>
              <w:rPr>
                <w:sz w:val="20"/>
              </w:rPr>
              <w:t>and </w:t>
            </w:r>
            <w:r>
              <w:rPr>
                <w:rFonts w:ascii="Times New Roman"/>
                <w:i/>
                <w:sz w:val="20"/>
              </w:rPr>
              <w:t>IEX6 </w:t>
            </w:r>
            <w:r>
              <w:rPr>
                <w:sz w:val="20"/>
              </w:rPr>
              <w:t>must be cleared by writing zero to their corresponding bit positions in SFR 0xC0, while writing ones to the other bit positions that are not being cleared.</w:t>
            </w:r>
          </w:p>
        </w:tc>
      </w:tr>
      <w:tr>
        <w:trPr>
          <w:trHeight w:val="719" w:hRule="atLeast"/>
        </w:trPr>
        <w:tc>
          <w:tcPr>
            <w:tcW w:w="2254" w:type="dxa"/>
          </w:tcPr>
          <w:p>
            <w:pPr>
              <w:pStyle w:val="TableParagraph"/>
              <w:spacing w:before="7"/>
              <w:rPr>
                <w:b/>
                <w:sz w:val="20"/>
              </w:rPr>
            </w:pPr>
          </w:p>
          <w:p>
            <w:pPr>
              <w:pStyle w:val="TableParagraph"/>
              <w:spacing w:before="1"/>
              <w:ind w:left="107"/>
              <w:rPr>
                <w:rFonts w:ascii="Times New Roman"/>
                <w:i/>
                <w:sz w:val="20"/>
              </w:rPr>
            </w:pPr>
            <w:r>
              <w:rPr>
                <w:rFonts w:ascii="Times New Roman"/>
                <w:i/>
                <w:sz w:val="20"/>
              </w:rPr>
              <w:t>INTBITS</w:t>
            </w:r>
          </w:p>
        </w:tc>
        <w:tc>
          <w:tcPr>
            <w:tcW w:w="1124" w:type="dxa"/>
          </w:tcPr>
          <w:p>
            <w:pPr>
              <w:pStyle w:val="TableParagraph"/>
              <w:rPr>
                <w:b/>
                <w:sz w:val="21"/>
              </w:rPr>
            </w:pPr>
          </w:p>
          <w:p>
            <w:pPr>
              <w:pStyle w:val="TableParagraph"/>
              <w:ind w:left="5"/>
              <w:jc w:val="center"/>
              <w:rPr>
                <w:sz w:val="20"/>
              </w:rPr>
            </w:pPr>
            <w:r>
              <w:rPr>
                <w:sz w:val="20"/>
              </w:rPr>
              <w:t>2707[6:0]</w:t>
            </w:r>
          </w:p>
        </w:tc>
        <w:tc>
          <w:tcPr>
            <w:tcW w:w="344" w:type="dxa"/>
          </w:tcPr>
          <w:p>
            <w:pPr>
              <w:pStyle w:val="TableParagraph"/>
              <w:rPr>
                <w:b/>
                <w:sz w:val="21"/>
              </w:rPr>
            </w:pPr>
          </w:p>
          <w:p>
            <w:pPr>
              <w:pStyle w:val="TableParagraph"/>
              <w:ind w:left="4"/>
              <w:jc w:val="center"/>
              <w:rPr>
                <w:sz w:val="20"/>
              </w:rPr>
            </w:pPr>
            <w:r>
              <w:rPr>
                <w:w w:val="99"/>
                <w:sz w:val="20"/>
              </w:rPr>
              <w:t>–</w:t>
            </w:r>
          </w:p>
        </w:tc>
        <w:tc>
          <w:tcPr>
            <w:tcW w:w="344" w:type="dxa"/>
          </w:tcPr>
          <w:p>
            <w:pPr>
              <w:pStyle w:val="TableParagraph"/>
              <w:rPr>
                <w:b/>
                <w:sz w:val="21"/>
              </w:rPr>
            </w:pPr>
          </w:p>
          <w:p>
            <w:pPr>
              <w:pStyle w:val="TableParagraph"/>
              <w:ind w:left="2"/>
              <w:jc w:val="center"/>
              <w:rPr>
                <w:sz w:val="20"/>
              </w:rPr>
            </w:pPr>
            <w:r>
              <w:rPr>
                <w:w w:val="99"/>
                <w:sz w:val="20"/>
              </w:rPr>
              <w:t>–</w:t>
            </w:r>
          </w:p>
        </w:tc>
        <w:tc>
          <w:tcPr>
            <w:tcW w:w="620" w:type="dxa"/>
          </w:tcPr>
          <w:p>
            <w:pPr>
              <w:pStyle w:val="TableParagraph"/>
              <w:rPr>
                <w:b/>
                <w:sz w:val="21"/>
              </w:rPr>
            </w:pPr>
          </w:p>
          <w:p>
            <w:pPr>
              <w:pStyle w:val="TableParagraph"/>
              <w:ind w:left="2"/>
              <w:jc w:val="center"/>
              <w:rPr>
                <w:sz w:val="20"/>
              </w:rPr>
            </w:pPr>
            <w:r>
              <w:rPr>
                <w:w w:val="99"/>
                <w:sz w:val="20"/>
              </w:rPr>
              <w:t>R</w:t>
            </w:r>
          </w:p>
        </w:tc>
        <w:tc>
          <w:tcPr>
            <w:tcW w:w="8018" w:type="dxa"/>
            <w:gridSpan w:val="4"/>
          </w:tcPr>
          <w:p>
            <w:pPr>
              <w:pStyle w:val="TableParagraph"/>
              <w:spacing w:line="230" w:lineRule="atLeast" w:before="11"/>
              <w:ind w:left="104" w:right="109"/>
              <w:rPr>
                <w:sz w:val="20"/>
              </w:rPr>
            </w:pPr>
            <w:r>
              <w:rPr>
                <w:sz w:val="20"/>
              </w:rPr>
              <w:t>Interrupt inputs. The MPU may read these bits to see the input to external interrupts INT0, INT1, up to INT6. These bits do not have any memory and are primarily intended for debug use.</w:t>
            </w:r>
          </w:p>
        </w:tc>
      </w:tr>
      <w:tr>
        <w:trPr>
          <w:trHeight w:val="270" w:hRule="atLeast"/>
        </w:trPr>
        <w:tc>
          <w:tcPr>
            <w:tcW w:w="2254" w:type="dxa"/>
            <w:shd w:val="clear" w:color="auto" w:fill="C1C1C1"/>
          </w:tcPr>
          <w:p>
            <w:pPr>
              <w:pStyle w:val="TableParagraph"/>
              <w:spacing w:before="12"/>
              <w:ind w:left="107"/>
              <w:rPr>
                <w:rFonts w:ascii="Times New Roman"/>
                <w:i/>
                <w:sz w:val="20"/>
              </w:rPr>
            </w:pPr>
            <w:r>
              <w:rPr>
                <w:rFonts w:ascii="Times New Roman"/>
                <w:i/>
                <w:sz w:val="20"/>
              </w:rPr>
              <w:t>LCD_ALLCOM</w:t>
            </w:r>
          </w:p>
        </w:tc>
        <w:tc>
          <w:tcPr>
            <w:tcW w:w="1124" w:type="dxa"/>
            <w:shd w:val="clear" w:color="auto" w:fill="C1C1C1"/>
          </w:tcPr>
          <w:p>
            <w:pPr>
              <w:pStyle w:val="TableParagraph"/>
              <w:spacing w:before="16"/>
              <w:ind w:left="5"/>
              <w:jc w:val="center"/>
              <w:rPr>
                <w:sz w:val="20"/>
              </w:rPr>
            </w:pPr>
            <w:r>
              <w:rPr>
                <w:sz w:val="20"/>
              </w:rPr>
              <w:t>2400[3]</w:t>
            </w:r>
          </w:p>
        </w:tc>
        <w:tc>
          <w:tcPr>
            <w:tcW w:w="344" w:type="dxa"/>
            <w:shd w:val="clear" w:color="auto" w:fill="C1C1C1"/>
          </w:tcPr>
          <w:p>
            <w:pPr>
              <w:pStyle w:val="TableParagraph"/>
              <w:spacing w:before="16"/>
              <w:ind w:left="4"/>
              <w:jc w:val="center"/>
              <w:rPr>
                <w:sz w:val="20"/>
              </w:rPr>
            </w:pPr>
            <w:r>
              <w:rPr>
                <w:w w:val="99"/>
                <w:sz w:val="20"/>
              </w:rPr>
              <w:t>0</w:t>
            </w:r>
          </w:p>
        </w:tc>
        <w:tc>
          <w:tcPr>
            <w:tcW w:w="344" w:type="dxa"/>
            <w:shd w:val="clear" w:color="auto" w:fill="C1C1C1"/>
          </w:tcPr>
          <w:p>
            <w:pPr>
              <w:pStyle w:val="TableParagraph"/>
              <w:spacing w:before="16"/>
              <w:ind w:left="2"/>
              <w:jc w:val="center"/>
              <w:rPr>
                <w:sz w:val="20"/>
              </w:rPr>
            </w:pPr>
            <w:r>
              <w:rPr>
                <w:w w:val="99"/>
                <w:sz w:val="20"/>
              </w:rPr>
              <w:t>–</w:t>
            </w:r>
          </w:p>
        </w:tc>
        <w:tc>
          <w:tcPr>
            <w:tcW w:w="620" w:type="dxa"/>
            <w:shd w:val="clear" w:color="auto" w:fill="C1C1C1"/>
          </w:tcPr>
          <w:p>
            <w:pPr>
              <w:pStyle w:val="TableParagraph"/>
              <w:spacing w:before="16"/>
              <w:ind w:left="87" w:right="93"/>
              <w:jc w:val="center"/>
              <w:rPr>
                <w:sz w:val="20"/>
              </w:rPr>
            </w:pPr>
            <w:r>
              <w:rPr>
                <w:sz w:val="20"/>
              </w:rPr>
              <w:t>R/W</w:t>
            </w:r>
          </w:p>
        </w:tc>
        <w:tc>
          <w:tcPr>
            <w:tcW w:w="8018" w:type="dxa"/>
            <w:gridSpan w:val="4"/>
            <w:shd w:val="clear" w:color="auto" w:fill="C1C1C1"/>
          </w:tcPr>
          <w:p>
            <w:pPr>
              <w:pStyle w:val="TableParagraph"/>
              <w:spacing w:before="14"/>
              <w:ind w:left="104"/>
              <w:rPr>
                <w:sz w:val="20"/>
              </w:rPr>
            </w:pPr>
            <w:r>
              <w:rPr>
                <w:sz w:val="20"/>
              </w:rPr>
              <w:t>Configures SEG/COM bits as COM. Has no effect on pins whose </w:t>
            </w:r>
            <w:r>
              <w:rPr>
                <w:rFonts w:ascii="Times New Roman"/>
                <w:i/>
                <w:sz w:val="20"/>
              </w:rPr>
              <w:t>LCD_MAP </w:t>
            </w:r>
            <w:r>
              <w:rPr>
                <w:sz w:val="20"/>
              </w:rPr>
              <w:t>bit is zero.</w:t>
            </w:r>
          </w:p>
        </w:tc>
      </w:tr>
      <w:tr>
        <w:trPr>
          <w:trHeight w:val="268" w:hRule="atLeast"/>
        </w:trPr>
        <w:tc>
          <w:tcPr>
            <w:tcW w:w="2254" w:type="dxa"/>
            <w:shd w:val="clear" w:color="auto" w:fill="C1C1C1"/>
          </w:tcPr>
          <w:p>
            <w:pPr>
              <w:pStyle w:val="TableParagraph"/>
              <w:spacing w:before="12"/>
              <w:ind w:left="107"/>
              <w:rPr>
                <w:rFonts w:ascii="Times New Roman"/>
                <w:i/>
                <w:sz w:val="20"/>
              </w:rPr>
            </w:pPr>
            <w:r>
              <w:rPr>
                <w:rFonts w:ascii="Times New Roman"/>
                <w:i/>
                <w:sz w:val="20"/>
              </w:rPr>
              <w:t>LCD_BAT</w:t>
            </w:r>
          </w:p>
        </w:tc>
        <w:tc>
          <w:tcPr>
            <w:tcW w:w="1124" w:type="dxa"/>
            <w:shd w:val="clear" w:color="auto" w:fill="C1C1C1"/>
          </w:tcPr>
          <w:p>
            <w:pPr>
              <w:pStyle w:val="TableParagraph"/>
              <w:spacing w:before="16"/>
              <w:ind w:left="5"/>
              <w:jc w:val="center"/>
              <w:rPr>
                <w:sz w:val="20"/>
              </w:rPr>
            </w:pPr>
            <w:r>
              <w:rPr>
                <w:sz w:val="20"/>
              </w:rPr>
              <w:t>2402[7]</w:t>
            </w:r>
          </w:p>
        </w:tc>
        <w:tc>
          <w:tcPr>
            <w:tcW w:w="344" w:type="dxa"/>
            <w:shd w:val="clear" w:color="auto" w:fill="C1C1C1"/>
          </w:tcPr>
          <w:p>
            <w:pPr>
              <w:pStyle w:val="TableParagraph"/>
              <w:spacing w:before="16"/>
              <w:ind w:left="4"/>
              <w:jc w:val="center"/>
              <w:rPr>
                <w:sz w:val="20"/>
              </w:rPr>
            </w:pPr>
            <w:r>
              <w:rPr>
                <w:w w:val="99"/>
                <w:sz w:val="20"/>
              </w:rPr>
              <w:t>0</w:t>
            </w:r>
          </w:p>
        </w:tc>
        <w:tc>
          <w:tcPr>
            <w:tcW w:w="344" w:type="dxa"/>
            <w:shd w:val="clear" w:color="auto" w:fill="C1C1C1"/>
          </w:tcPr>
          <w:p>
            <w:pPr>
              <w:pStyle w:val="TableParagraph"/>
              <w:spacing w:before="16"/>
              <w:ind w:left="2"/>
              <w:jc w:val="center"/>
              <w:rPr>
                <w:sz w:val="20"/>
              </w:rPr>
            </w:pPr>
            <w:r>
              <w:rPr>
                <w:w w:val="99"/>
                <w:sz w:val="20"/>
              </w:rPr>
              <w:t>–</w:t>
            </w:r>
          </w:p>
        </w:tc>
        <w:tc>
          <w:tcPr>
            <w:tcW w:w="620" w:type="dxa"/>
            <w:shd w:val="clear" w:color="auto" w:fill="C1C1C1"/>
          </w:tcPr>
          <w:p>
            <w:pPr>
              <w:pStyle w:val="TableParagraph"/>
              <w:spacing w:before="16"/>
              <w:ind w:left="87" w:right="93"/>
              <w:jc w:val="center"/>
              <w:rPr>
                <w:sz w:val="20"/>
              </w:rPr>
            </w:pPr>
            <w:r>
              <w:rPr>
                <w:sz w:val="20"/>
              </w:rPr>
              <w:t>R/W</w:t>
            </w:r>
          </w:p>
        </w:tc>
        <w:tc>
          <w:tcPr>
            <w:tcW w:w="8018" w:type="dxa"/>
            <w:gridSpan w:val="4"/>
            <w:shd w:val="clear" w:color="auto" w:fill="C1C1C1"/>
          </w:tcPr>
          <w:p>
            <w:pPr>
              <w:pStyle w:val="TableParagraph"/>
              <w:spacing w:before="16"/>
              <w:ind w:left="104"/>
              <w:rPr>
                <w:sz w:val="20"/>
              </w:rPr>
            </w:pPr>
            <w:r>
              <w:rPr>
                <w:sz w:val="20"/>
              </w:rPr>
              <w:t>Connects the LCD power supply to VBAT in all modes.</w:t>
            </w:r>
          </w:p>
        </w:tc>
      </w:tr>
      <w:tr>
        <w:trPr>
          <w:trHeight w:val="510" w:hRule="atLeast"/>
        </w:trPr>
        <w:tc>
          <w:tcPr>
            <w:tcW w:w="2254" w:type="dxa"/>
            <w:shd w:val="clear" w:color="auto" w:fill="C1C1C1"/>
          </w:tcPr>
          <w:p>
            <w:pPr>
              <w:pStyle w:val="TableParagraph"/>
              <w:spacing w:before="26"/>
              <w:ind w:left="115"/>
              <w:rPr>
                <w:rFonts w:ascii="Times New Roman"/>
                <w:i/>
                <w:sz w:val="20"/>
              </w:rPr>
            </w:pPr>
            <w:r>
              <w:rPr>
                <w:rFonts w:ascii="Times New Roman"/>
                <w:i/>
                <w:sz w:val="20"/>
              </w:rPr>
              <w:t>LCD_BLNKMAP23[5:0]</w:t>
            </w:r>
          </w:p>
          <w:p>
            <w:pPr>
              <w:pStyle w:val="TableParagraph"/>
              <w:spacing w:before="12"/>
              <w:ind w:left="115"/>
              <w:rPr>
                <w:rFonts w:ascii="Times New Roman"/>
                <w:i/>
                <w:sz w:val="18"/>
              </w:rPr>
            </w:pPr>
            <w:r>
              <w:rPr>
                <w:rFonts w:ascii="Times New Roman"/>
                <w:i/>
                <w:sz w:val="18"/>
              </w:rPr>
              <w:t>LCD_BLNKMAP22[5:0]</w:t>
            </w:r>
          </w:p>
        </w:tc>
        <w:tc>
          <w:tcPr>
            <w:tcW w:w="1124" w:type="dxa"/>
            <w:shd w:val="clear" w:color="auto" w:fill="C1C1C1"/>
          </w:tcPr>
          <w:p>
            <w:pPr>
              <w:pStyle w:val="TableParagraph"/>
              <w:spacing w:before="18"/>
              <w:ind w:left="143"/>
              <w:rPr>
                <w:sz w:val="20"/>
              </w:rPr>
            </w:pPr>
            <w:r>
              <w:rPr>
                <w:sz w:val="20"/>
              </w:rPr>
              <w:t>2401[5:0]</w:t>
            </w:r>
          </w:p>
          <w:p>
            <w:pPr>
              <w:pStyle w:val="TableParagraph"/>
              <w:spacing w:before="10"/>
              <w:ind w:left="143"/>
              <w:rPr>
                <w:sz w:val="20"/>
              </w:rPr>
            </w:pPr>
            <w:r>
              <w:rPr>
                <w:sz w:val="20"/>
              </w:rPr>
              <w:t>2402[5:0]</w:t>
            </w:r>
          </w:p>
        </w:tc>
        <w:tc>
          <w:tcPr>
            <w:tcW w:w="344" w:type="dxa"/>
            <w:shd w:val="clear" w:color="auto" w:fill="C1C1C1"/>
          </w:tcPr>
          <w:p>
            <w:pPr>
              <w:pStyle w:val="TableParagraph"/>
              <w:spacing w:before="138"/>
              <w:ind w:left="4"/>
              <w:jc w:val="center"/>
              <w:rPr>
                <w:sz w:val="20"/>
              </w:rPr>
            </w:pPr>
            <w:r>
              <w:rPr>
                <w:w w:val="99"/>
                <w:sz w:val="20"/>
              </w:rPr>
              <w:t>0</w:t>
            </w:r>
          </w:p>
        </w:tc>
        <w:tc>
          <w:tcPr>
            <w:tcW w:w="344" w:type="dxa"/>
            <w:shd w:val="clear" w:color="auto" w:fill="C1C1C1"/>
          </w:tcPr>
          <w:p>
            <w:pPr>
              <w:pStyle w:val="TableParagraph"/>
              <w:spacing w:before="138"/>
              <w:ind w:left="2"/>
              <w:jc w:val="center"/>
              <w:rPr>
                <w:sz w:val="20"/>
              </w:rPr>
            </w:pPr>
            <w:r>
              <w:rPr>
                <w:w w:val="99"/>
                <w:sz w:val="20"/>
              </w:rPr>
              <w:t>–</w:t>
            </w:r>
          </w:p>
        </w:tc>
        <w:tc>
          <w:tcPr>
            <w:tcW w:w="620" w:type="dxa"/>
            <w:shd w:val="clear" w:color="auto" w:fill="C1C1C1"/>
          </w:tcPr>
          <w:p>
            <w:pPr>
              <w:pStyle w:val="TableParagraph"/>
              <w:spacing w:before="138"/>
              <w:ind w:left="87" w:right="93"/>
              <w:jc w:val="center"/>
              <w:rPr>
                <w:sz w:val="20"/>
              </w:rPr>
            </w:pPr>
            <w:r>
              <w:rPr>
                <w:sz w:val="20"/>
              </w:rPr>
              <w:t>R/W</w:t>
            </w:r>
          </w:p>
        </w:tc>
        <w:tc>
          <w:tcPr>
            <w:tcW w:w="8018" w:type="dxa"/>
            <w:gridSpan w:val="4"/>
            <w:shd w:val="clear" w:color="auto" w:fill="C1C1C1"/>
          </w:tcPr>
          <w:p>
            <w:pPr>
              <w:pStyle w:val="TableParagraph"/>
              <w:spacing w:before="18"/>
              <w:ind w:left="104" w:right="525"/>
              <w:rPr>
                <w:sz w:val="20"/>
              </w:rPr>
            </w:pPr>
            <w:r>
              <w:rPr>
                <w:sz w:val="20"/>
              </w:rPr>
              <w:t>Identifies which segments connected to SEG23 and SEG22 should blink. 1 means blink. The most significant bit corresponds to COM5, the least significant, to COM0.</w:t>
            </w:r>
          </w:p>
        </w:tc>
      </w:tr>
      <w:tr>
        <w:trPr>
          <w:trHeight w:val="289" w:hRule="atLeast"/>
        </w:trPr>
        <w:tc>
          <w:tcPr>
            <w:tcW w:w="2254" w:type="dxa"/>
            <w:vMerge w:val="restart"/>
            <w:shd w:val="clear" w:color="auto" w:fill="C1C1C1"/>
          </w:tcPr>
          <w:p>
            <w:pPr>
              <w:pStyle w:val="TableParagraph"/>
              <w:rPr>
                <w:b/>
                <w:sz w:val="22"/>
              </w:rPr>
            </w:pPr>
          </w:p>
          <w:p>
            <w:pPr>
              <w:pStyle w:val="TableParagraph"/>
              <w:rPr>
                <w:b/>
                <w:sz w:val="22"/>
              </w:rPr>
            </w:pPr>
          </w:p>
          <w:p>
            <w:pPr>
              <w:pStyle w:val="TableParagraph"/>
              <w:spacing w:before="3"/>
              <w:rPr>
                <w:b/>
                <w:sz w:val="20"/>
              </w:rPr>
            </w:pPr>
          </w:p>
          <w:p>
            <w:pPr>
              <w:pStyle w:val="TableParagraph"/>
              <w:ind w:left="107"/>
              <w:rPr>
                <w:rFonts w:ascii="Times New Roman"/>
                <w:i/>
                <w:sz w:val="20"/>
              </w:rPr>
            </w:pPr>
            <w:r>
              <w:rPr>
                <w:rFonts w:ascii="Times New Roman"/>
                <w:i/>
                <w:sz w:val="20"/>
              </w:rPr>
              <w:t>LCD_CLK[1:0]</w:t>
            </w:r>
          </w:p>
        </w:tc>
        <w:tc>
          <w:tcPr>
            <w:tcW w:w="1124" w:type="dxa"/>
            <w:vMerge w:val="restart"/>
            <w:shd w:val="clear" w:color="auto" w:fill="C1C1C1"/>
          </w:tcPr>
          <w:p>
            <w:pPr>
              <w:pStyle w:val="TableParagraph"/>
              <w:rPr>
                <w:b/>
                <w:sz w:val="22"/>
              </w:rPr>
            </w:pPr>
          </w:p>
          <w:p>
            <w:pPr>
              <w:pStyle w:val="TableParagraph"/>
              <w:rPr>
                <w:b/>
                <w:sz w:val="22"/>
              </w:rPr>
            </w:pPr>
          </w:p>
          <w:p>
            <w:pPr>
              <w:pStyle w:val="TableParagraph"/>
              <w:spacing w:before="7"/>
              <w:rPr>
                <w:b/>
                <w:sz w:val="20"/>
              </w:rPr>
            </w:pPr>
          </w:p>
          <w:p>
            <w:pPr>
              <w:pStyle w:val="TableParagraph"/>
              <w:ind w:left="143"/>
              <w:rPr>
                <w:sz w:val="20"/>
              </w:rPr>
            </w:pPr>
            <w:r>
              <w:rPr>
                <w:sz w:val="20"/>
              </w:rPr>
              <w:t>2400[1:0]</w:t>
            </w:r>
          </w:p>
        </w:tc>
        <w:tc>
          <w:tcPr>
            <w:tcW w:w="344" w:type="dxa"/>
            <w:vMerge w:val="restart"/>
            <w:shd w:val="clear" w:color="auto" w:fill="C1C1C1"/>
          </w:tcPr>
          <w:p>
            <w:pPr>
              <w:pStyle w:val="TableParagraph"/>
              <w:rPr>
                <w:b/>
                <w:sz w:val="22"/>
              </w:rPr>
            </w:pPr>
          </w:p>
          <w:p>
            <w:pPr>
              <w:pStyle w:val="TableParagraph"/>
              <w:rPr>
                <w:b/>
                <w:sz w:val="22"/>
              </w:rPr>
            </w:pPr>
          </w:p>
          <w:p>
            <w:pPr>
              <w:pStyle w:val="TableParagraph"/>
              <w:spacing w:before="7"/>
              <w:rPr>
                <w:b/>
                <w:sz w:val="20"/>
              </w:rPr>
            </w:pPr>
          </w:p>
          <w:p>
            <w:pPr>
              <w:pStyle w:val="TableParagraph"/>
              <w:ind w:left="113"/>
              <w:rPr>
                <w:sz w:val="20"/>
              </w:rPr>
            </w:pPr>
            <w:r>
              <w:rPr>
                <w:w w:val="99"/>
                <w:sz w:val="20"/>
              </w:rPr>
              <w:t>0</w:t>
            </w:r>
          </w:p>
        </w:tc>
        <w:tc>
          <w:tcPr>
            <w:tcW w:w="344" w:type="dxa"/>
            <w:vMerge w:val="restart"/>
            <w:shd w:val="clear" w:color="auto" w:fill="C1C1C1"/>
          </w:tcPr>
          <w:p>
            <w:pPr>
              <w:pStyle w:val="TableParagraph"/>
              <w:rPr>
                <w:b/>
                <w:sz w:val="22"/>
              </w:rPr>
            </w:pPr>
          </w:p>
          <w:p>
            <w:pPr>
              <w:pStyle w:val="TableParagraph"/>
              <w:rPr>
                <w:b/>
                <w:sz w:val="22"/>
              </w:rPr>
            </w:pPr>
          </w:p>
          <w:p>
            <w:pPr>
              <w:pStyle w:val="TableParagraph"/>
              <w:spacing w:before="7"/>
              <w:rPr>
                <w:b/>
                <w:sz w:val="20"/>
              </w:rPr>
            </w:pPr>
          </w:p>
          <w:p>
            <w:pPr>
              <w:pStyle w:val="TableParagraph"/>
              <w:ind w:left="113"/>
              <w:rPr>
                <w:sz w:val="20"/>
              </w:rPr>
            </w:pPr>
            <w:r>
              <w:rPr>
                <w:w w:val="99"/>
                <w:sz w:val="20"/>
              </w:rPr>
              <w:t>–</w:t>
            </w:r>
          </w:p>
        </w:tc>
        <w:tc>
          <w:tcPr>
            <w:tcW w:w="620" w:type="dxa"/>
            <w:vMerge w:val="restart"/>
            <w:shd w:val="clear" w:color="auto" w:fill="C1C1C1"/>
          </w:tcPr>
          <w:p>
            <w:pPr>
              <w:pStyle w:val="TableParagraph"/>
              <w:rPr>
                <w:b/>
                <w:sz w:val="22"/>
              </w:rPr>
            </w:pPr>
          </w:p>
          <w:p>
            <w:pPr>
              <w:pStyle w:val="TableParagraph"/>
              <w:rPr>
                <w:b/>
                <w:sz w:val="22"/>
              </w:rPr>
            </w:pPr>
          </w:p>
          <w:p>
            <w:pPr>
              <w:pStyle w:val="TableParagraph"/>
              <w:spacing w:before="7"/>
              <w:rPr>
                <w:b/>
                <w:sz w:val="20"/>
              </w:rPr>
            </w:pPr>
          </w:p>
          <w:p>
            <w:pPr>
              <w:pStyle w:val="TableParagraph"/>
              <w:ind w:left="112"/>
              <w:rPr>
                <w:sz w:val="20"/>
              </w:rPr>
            </w:pPr>
            <w:r>
              <w:rPr>
                <w:sz w:val="20"/>
              </w:rPr>
              <w:t>R/W</w:t>
            </w:r>
          </w:p>
        </w:tc>
        <w:tc>
          <w:tcPr>
            <w:tcW w:w="8018" w:type="dxa"/>
            <w:gridSpan w:val="4"/>
            <w:tcBorders>
              <w:bottom w:val="nil"/>
            </w:tcBorders>
            <w:shd w:val="clear" w:color="auto" w:fill="C1C1C1"/>
          </w:tcPr>
          <w:p>
            <w:pPr>
              <w:pStyle w:val="TableParagraph"/>
              <w:spacing w:before="16"/>
              <w:ind w:left="104"/>
              <w:rPr>
                <w:sz w:val="20"/>
              </w:rPr>
            </w:pPr>
            <w:r>
              <w:rPr>
                <w:sz w:val="20"/>
              </w:rPr>
              <w:t>Sets the LCD clock frequency. Note: f</w:t>
            </w:r>
            <w:r>
              <w:rPr>
                <w:sz w:val="20"/>
                <w:vertAlign w:val="subscript"/>
              </w:rPr>
              <w:t>XTAL</w:t>
            </w:r>
            <w:r>
              <w:rPr>
                <w:sz w:val="20"/>
                <w:vertAlign w:val="baseline"/>
              </w:rPr>
              <w:t> = 32768 Hz</w:t>
            </w:r>
          </w:p>
        </w:tc>
      </w:tr>
      <w:tr>
        <w:trPr>
          <w:trHeight w:val="270" w:hRule="atLeast"/>
        </w:trPr>
        <w:tc>
          <w:tcPr>
            <w:tcW w:w="2254" w:type="dxa"/>
            <w:vMerge/>
            <w:tcBorders>
              <w:top w:val="nil"/>
            </w:tcBorders>
            <w:shd w:val="clear" w:color="auto" w:fill="C1C1C1"/>
          </w:tcPr>
          <w:p>
            <w:pPr>
              <w:rPr>
                <w:sz w:val="2"/>
                <w:szCs w:val="2"/>
              </w:rPr>
            </w:pPr>
          </w:p>
        </w:tc>
        <w:tc>
          <w:tcPr>
            <w:tcW w:w="112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620" w:type="dxa"/>
            <w:vMerge/>
            <w:tcBorders>
              <w:top w:val="nil"/>
            </w:tcBorders>
            <w:shd w:val="clear" w:color="auto" w:fill="C1C1C1"/>
          </w:tcPr>
          <w:p>
            <w:pPr>
              <w:rPr>
                <w:sz w:val="2"/>
                <w:szCs w:val="2"/>
              </w:rPr>
            </w:pPr>
          </w:p>
        </w:tc>
        <w:tc>
          <w:tcPr>
            <w:tcW w:w="2106" w:type="dxa"/>
            <w:vMerge w:val="restart"/>
            <w:tcBorders>
              <w:top w:val="nil"/>
            </w:tcBorders>
            <w:shd w:val="clear" w:color="auto" w:fill="C1C1C1"/>
          </w:tcPr>
          <w:p>
            <w:pPr>
              <w:pStyle w:val="TableParagraph"/>
              <w:rPr>
                <w:rFonts w:ascii="Times New Roman"/>
                <w:sz w:val="18"/>
              </w:rPr>
            </w:pPr>
          </w:p>
        </w:tc>
        <w:tc>
          <w:tcPr>
            <w:tcW w:w="1554" w:type="dxa"/>
            <w:shd w:val="clear" w:color="auto" w:fill="C1C1C1"/>
          </w:tcPr>
          <w:p>
            <w:pPr>
              <w:pStyle w:val="TableParagraph"/>
              <w:spacing w:line="223" w:lineRule="exact"/>
              <w:ind w:left="105" w:right="108"/>
              <w:jc w:val="center"/>
              <w:rPr>
                <w:rFonts w:ascii="Times New Roman"/>
                <w:i/>
                <w:sz w:val="20"/>
              </w:rPr>
            </w:pPr>
            <w:r>
              <w:rPr>
                <w:rFonts w:ascii="Times New Roman"/>
                <w:i/>
                <w:sz w:val="20"/>
              </w:rPr>
              <w:t>LCD_CLK[1:0]</w:t>
            </w:r>
          </w:p>
        </w:tc>
        <w:tc>
          <w:tcPr>
            <w:tcW w:w="2250" w:type="dxa"/>
            <w:shd w:val="clear" w:color="auto" w:fill="C1C1C1"/>
          </w:tcPr>
          <w:p>
            <w:pPr>
              <w:pStyle w:val="TableParagraph"/>
              <w:spacing w:line="227" w:lineRule="exact"/>
              <w:ind w:left="121" w:right="121"/>
              <w:jc w:val="center"/>
              <w:rPr>
                <w:sz w:val="20"/>
              </w:rPr>
            </w:pPr>
            <w:r>
              <w:rPr>
                <w:sz w:val="20"/>
              </w:rPr>
              <w:t>LCD Clock Frequency</w:t>
            </w:r>
          </w:p>
        </w:tc>
        <w:tc>
          <w:tcPr>
            <w:tcW w:w="2108" w:type="dxa"/>
            <w:vMerge w:val="restart"/>
            <w:tcBorders>
              <w:top w:val="nil"/>
            </w:tcBorders>
            <w:shd w:val="clear" w:color="auto" w:fill="C1C1C1"/>
          </w:tcPr>
          <w:p>
            <w:pPr>
              <w:pStyle w:val="TableParagraph"/>
              <w:rPr>
                <w:rFonts w:ascii="Times New Roman"/>
                <w:sz w:val="18"/>
              </w:rPr>
            </w:pPr>
          </w:p>
        </w:tc>
      </w:tr>
      <w:tr>
        <w:trPr>
          <w:trHeight w:val="268" w:hRule="atLeast"/>
        </w:trPr>
        <w:tc>
          <w:tcPr>
            <w:tcW w:w="2254" w:type="dxa"/>
            <w:vMerge/>
            <w:tcBorders>
              <w:top w:val="nil"/>
            </w:tcBorders>
            <w:shd w:val="clear" w:color="auto" w:fill="C1C1C1"/>
          </w:tcPr>
          <w:p>
            <w:pPr>
              <w:rPr>
                <w:sz w:val="2"/>
                <w:szCs w:val="2"/>
              </w:rPr>
            </w:pPr>
          </w:p>
        </w:tc>
        <w:tc>
          <w:tcPr>
            <w:tcW w:w="112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620" w:type="dxa"/>
            <w:vMerge/>
            <w:tcBorders>
              <w:top w:val="nil"/>
            </w:tcBorders>
            <w:shd w:val="clear" w:color="auto" w:fill="C1C1C1"/>
          </w:tcPr>
          <w:p>
            <w:pPr>
              <w:rPr>
                <w:sz w:val="2"/>
                <w:szCs w:val="2"/>
              </w:rPr>
            </w:pPr>
          </w:p>
        </w:tc>
        <w:tc>
          <w:tcPr>
            <w:tcW w:w="2106" w:type="dxa"/>
            <w:vMerge/>
            <w:tcBorders>
              <w:top w:val="nil"/>
            </w:tcBorders>
            <w:shd w:val="clear" w:color="auto" w:fill="C1C1C1"/>
          </w:tcPr>
          <w:p>
            <w:pPr>
              <w:rPr>
                <w:sz w:val="2"/>
                <w:szCs w:val="2"/>
              </w:rPr>
            </w:pPr>
          </w:p>
        </w:tc>
        <w:tc>
          <w:tcPr>
            <w:tcW w:w="1554" w:type="dxa"/>
            <w:shd w:val="clear" w:color="auto" w:fill="C1C1C1"/>
          </w:tcPr>
          <w:p>
            <w:pPr>
              <w:pStyle w:val="TableParagraph"/>
              <w:spacing w:line="227" w:lineRule="exact"/>
              <w:ind w:left="105" w:right="106"/>
              <w:jc w:val="center"/>
              <w:rPr>
                <w:sz w:val="20"/>
              </w:rPr>
            </w:pPr>
            <w:r>
              <w:rPr>
                <w:sz w:val="20"/>
              </w:rPr>
              <w:t>00</w:t>
            </w:r>
          </w:p>
        </w:tc>
        <w:tc>
          <w:tcPr>
            <w:tcW w:w="2250" w:type="dxa"/>
            <w:shd w:val="clear" w:color="auto" w:fill="C1C1C1"/>
          </w:tcPr>
          <w:p>
            <w:pPr>
              <w:pStyle w:val="TableParagraph"/>
              <w:spacing w:line="243" w:lineRule="exact"/>
              <w:ind w:left="115" w:right="121"/>
              <w:jc w:val="center"/>
              <w:rPr>
                <w:sz w:val="13"/>
              </w:rPr>
            </w:pPr>
            <w:r>
              <w:rPr>
                <w:position w:val="3"/>
                <w:sz w:val="20"/>
              </w:rPr>
              <w:t>f</w:t>
            </w:r>
            <w:r>
              <w:rPr>
                <w:sz w:val="13"/>
              </w:rPr>
              <w:t>XTAL</w:t>
            </w:r>
            <w:r>
              <w:rPr>
                <w:position w:val="3"/>
                <w:sz w:val="20"/>
              </w:rPr>
              <w:t>/2</w:t>
            </w:r>
            <w:r>
              <w:rPr>
                <w:position w:val="13"/>
                <w:sz w:val="13"/>
              </w:rPr>
              <w:t>9</w:t>
            </w:r>
          </w:p>
        </w:tc>
        <w:tc>
          <w:tcPr>
            <w:tcW w:w="2108" w:type="dxa"/>
            <w:vMerge/>
            <w:tcBorders>
              <w:top w:val="nil"/>
            </w:tcBorders>
            <w:shd w:val="clear" w:color="auto" w:fill="C1C1C1"/>
          </w:tcPr>
          <w:p>
            <w:pPr>
              <w:rPr>
                <w:sz w:val="2"/>
                <w:szCs w:val="2"/>
              </w:rPr>
            </w:pPr>
          </w:p>
        </w:tc>
      </w:tr>
      <w:tr>
        <w:trPr>
          <w:trHeight w:val="270" w:hRule="atLeast"/>
        </w:trPr>
        <w:tc>
          <w:tcPr>
            <w:tcW w:w="2254" w:type="dxa"/>
            <w:vMerge/>
            <w:tcBorders>
              <w:top w:val="nil"/>
            </w:tcBorders>
            <w:shd w:val="clear" w:color="auto" w:fill="C1C1C1"/>
          </w:tcPr>
          <w:p>
            <w:pPr>
              <w:rPr>
                <w:sz w:val="2"/>
                <w:szCs w:val="2"/>
              </w:rPr>
            </w:pPr>
          </w:p>
        </w:tc>
        <w:tc>
          <w:tcPr>
            <w:tcW w:w="112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620" w:type="dxa"/>
            <w:vMerge/>
            <w:tcBorders>
              <w:top w:val="nil"/>
            </w:tcBorders>
            <w:shd w:val="clear" w:color="auto" w:fill="C1C1C1"/>
          </w:tcPr>
          <w:p>
            <w:pPr>
              <w:rPr>
                <w:sz w:val="2"/>
                <w:szCs w:val="2"/>
              </w:rPr>
            </w:pPr>
          </w:p>
        </w:tc>
        <w:tc>
          <w:tcPr>
            <w:tcW w:w="2106" w:type="dxa"/>
            <w:vMerge/>
            <w:tcBorders>
              <w:top w:val="nil"/>
            </w:tcBorders>
            <w:shd w:val="clear" w:color="auto" w:fill="C1C1C1"/>
          </w:tcPr>
          <w:p>
            <w:pPr>
              <w:rPr>
                <w:sz w:val="2"/>
                <w:szCs w:val="2"/>
              </w:rPr>
            </w:pPr>
          </w:p>
        </w:tc>
        <w:tc>
          <w:tcPr>
            <w:tcW w:w="1554" w:type="dxa"/>
            <w:shd w:val="clear" w:color="auto" w:fill="C1C1C1"/>
          </w:tcPr>
          <w:p>
            <w:pPr>
              <w:pStyle w:val="TableParagraph"/>
              <w:spacing w:line="227" w:lineRule="exact"/>
              <w:ind w:left="105" w:right="106"/>
              <w:jc w:val="center"/>
              <w:rPr>
                <w:sz w:val="20"/>
              </w:rPr>
            </w:pPr>
            <w:r>
              <w:rPr>
                <w:sz w:val="20"/>
              </w:rPr>
              <w:t>01</w:t>
            </w:r>
          </w:p>
        </w:tc>
        <w:tc>
          <w:tcPr>
            <w:tcW w:w="2250" w:type="dxa"/>
            <w:shd w:val="clear" w:color="auto" w:fill="C1C1C1"/>
          </w:tcPr>
          <w:p>
            <w:pPr>
              <w:pStyle w:val="TableParagraph"/>
              <w:spacing w:line="243" w:lineRule="exact"/>
              <w:ind w:left="115" w:right="121"/>
              <w:jc w:val="center"/>
              <w:rPr>
                <w:sz w:val="13"/>
              </w:rPr>
            </w:pPr>
            <w:r>
              <w:rPr>
                <w:position w:val="3"/>
                <w:sz w:val="20"/>
              </w:rPr>
              <w:t>f</w:t>
            </w:r>
            <w:r>
              <w:rPr>
                <w:sz w:val="13"/>
              </w:rPr>
              <w:t>XTAL</w:t>
            </w:r>
            <w:r>
              <w:rPr>
                <w:position w:val="3"/>
                <w:sz w:val="20"/>
              </w:rPr>
              <w:t>/2</w:t>
            </w:r>
            <w:r>
              <w:rPr>
                <w:position w:val="13"/>
                <w:sz w:val="13"/>
              </w:rPr>
              <w:t>8</w:t>
            </w:r>
          </w:p>
        </w:tc>
        <w:tc>
          <w:tcPr>
            <w:tcW w:w="2108" w:type="dxa"/>
            <w:vMerge/>
            <w:tcBorders>
              <w:top w:val="nil"/>
            </w:tcBorders>
            <w:shd w:val="clear" w:color="auto" w:fill="C1C1C1"/>
          </w:tcPr>
          <w:p>
            <w:pPr>
              <w:rPr>
                <w:sz w:val="2"/>
                <w:szCs w:val="2"/>
              </w:rPr>
            </w:pPr>
          </w:p>
        </w:tc>
      </w:tr>
      <w:tr>
        <w:trPr>
          <w:trHeight w:val="270" w:hRule="atLeast"/>
        </w:trPr>
        <w:tc>
          <w:tcPr>
            <w:tcW w:w="2254" w:type="dxa"/>
            <w:vMerge/>
            <w:tcBorders>
              <w:top w:val="nil"/>
            </w:tcBorders>
            <w:shd w:val="clear" w:color="auto" w:fill="C1C1C1"/>
          </w:tcPr>
          <w:p>
            <w:pPr>
              <w:rPr>
                <w:sz w:val="2"/>
                <w:szCs w:val="2"/>
              </w:rPr>
            </w:pPr>
          </w:p>
        </w:tc>
        <w:tc>
          <w:tcPr>
            <w:tcW w:w="112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620" w:type="dxa"/>
            <w:vMerge/>
            <w:tcBorders>
              <w:top w:val="nil"/>
            </w:tcBorders>
            <w:shd w:val="clear" w:color="auto" w:fill="C1C1C1"/>
          </w:tcPr>
          <w:p>
            <w:pPr>
              <w:rPr>
                <w:sz w:val="2"/>
                <w:szCs w:val="2"/>
              </w:rPr>
            </w:pPr>
          </w:p>
        </w:tc>
        <w:tc>
          <w:tcPr>
            <w:tcW w:w="2106" w:type="dxa"/>
            <w:vMerge/>
            <w:tcBorders>
              <w:top w:val="nil"/>
            </w:tcBorders>
            <w:shd w:val="clear" w:color="auto" w:fill="C1C1C1"/>
          </w:tcPr>
          <w:p>
            <w:pPr>
              <w:rPr>
                <w:sz w:val="2"/>
                <w:szCs w:val="2"/>
              </w:rPr>
            </w:pPr>
          </w:p>
        </w:tc>
        <w:tc>
          <w:tcPr>
            <w:tcW w:w="1554" w:type="dxa"/>
            <w:shd w:val="clear" w:color="auto" w:fill="C1C1C1"/>
          </w:tcPr>
          <w:p>
            <w:pPr>
              <w:pStyle w:val="TableParagraph"/>
              <w:spacing w:line="227" w:lineRule="exact"/>
              <w:ind w:left="105" w:right="106"/>
              <w:jc w:val="center"/>
              <w:rPr>
                <w:sz w:val="20"/>
              </w:rPr>
            </w:pPr>
            <w:r>
              <w:rPr>
                <w:sz w:val="20"/>
              </w:rPr>
              <w:t>10</w:t>
            </w:r>
          </w:p>
        </w:tc>
        <w:tc>
          <w:tcPr>
            <w:tcW w:w="2250" w:type="dxa"/>
            <w:shd w:val="clear" w:color="auto" w:fill="C1C1C1"/>
          </w:tcPr>
          <w:p>
            <w:pPr>
              <w:pStyle w:val="TableParagraph"/>
              <w:spacing w:line="243" w:lineRule="exact"/>
              <w:ind w:left="115" w:right="121"/>
              <w:jc w:val="center"/>
              <w:rPr>
                <w:sz w:val="13"/>
              </w:rPr>
            </w:pPr>
            <w:r>
              <w:rPr>
                <w:position w:val="3"/>
                <w:sz w:val="20"/>
              </w:rPr>
              <w:t>f</w:t>
            </w:r>
            <w:r>
              <w:rPr>
                <w:sz w:val="13"/>
              </w:rPr>
              <w:t>XTAL</w:t>
            </w:r>
            <w:r>
              <w:rPr>
                <w:position w:val="3"/>
                <w:sz w:val="20"/>
              </w:rPr>
              <w:t>/2</w:t>
            </w:r>
            <w:r>
              <w:rPr>
                <w:position w:val="13"/>
                <w:sz w:val="13"/>
              </w:rPr>
              <w:t>7</w:t>
            </w:r>
          </w:p>
        </w:tc>
        <w:tc>
          <w:tcPr>
            <w:tcW w:w="2108" w:type="dxa"/>
            <w:vMerge/>
            <w:tcBorders>
              <w:top w:val="nil"/>
            </w:tcBorders>
            <w:shd w:val="clear" w:color="auto" w:fill="C1C1C1"/>
          </w:tcPr>
          <w:p>
            <w:pPr>
              <w:rPr>
                <w:sz w:val="2"/>
                <w:szCs w:val="2"/>
              </w:rPr>
            </w:pPr>
          </w:p>
        </w:tc>
      </w:tr>
      <w:tr>
        <w:trPr>
          <w:trHeight w:val="289" w:hRule="atLeast"/>
        </w:trPr>
        <w:tc>
          <w:tcPr>
            <w:tcW w:w="2254" w:type="dxa"/>
            <w:vMerge/>
            <w:tcBorders>
              <w:top w:val="nil"/>
            </w:tcBorders>
            <w:shd w:val="clear" w:color="auto" w:fill="C1C1C1"/>
          </w:tcPr>
          <w:p>
            <w:pPr>
              <w:rPr>
                <w:sz w:val="2"/>
                <w:szCs w:val="2"/>
              </w:rPr>
            </w:pPr>
          </w:p>
        </w:tc>
        <w:tc>
          <w:tcPr>
            <w:tcW w:w="112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620" w:type="dxa"/>
            <w:vMerge/>
            <w:tcBorders>
              <w:top w:val="nil"/>
            </w:tcBorders>
            <w:shd w:val="clear" w:color="auto" w:fill="C1C1C1"/>
          </w:tcPr>
          <w:p>
            <w:pPr>
              <w:rPr>
                <w:sz w:val="2"/>
                <w:szCs w:val="2"/>
              </w:rPr>
            </w:pPr>
          </w:p>
        </w:tc>
        <w:tc>
          <w:tcPr>
            <w:tcW w:w="2106" w:type="dxa"/>
            <w:vMerge/>
            <w:tcBorders>
              <w:top w:val="nil"/>
            </w:tcBorders>
            <w:shd w:val="clear" w:color="auto" w:fill="C1C1C1"/>
          </w:tcPr>
          <w:p>
            <w:pPr>
              <w:rPr>
                <w:sz w:val="2"/>
                <w:szCs w:val="2"/>
              </w:rPr>
            </w:pPr>
          </w:p>
        </w:tc>
        <w:tc>
          <w:tcPr>
            <w:tcW w:w="1554" w:type="dxa"/>
            <w:tcBorders>
              <w:bottom w:val="double" w:sz="1" w:space="0" w:color="000000"/>
            </w:tcBorders>
            <w:shd w:val="clear" w:color="auto" w:fill="C1C1C1"/>
          </w:tcPr>
          <w:p>
            <w:pPr>
              <w:pStyle w:val="TableParagraph"/>
              <w:spacing w:line="227" w:lineRule="exact"/>
              <w:ind w:left="105" w:right="106"/>
              <w:jc w:val="center"/>
              <w:rPr>
                <w:sz w:val="20"/>
              </w:rPr>
            </w:pPr>
            <w:r>
              <w:rPr>
                <w:sz w:val="20"/>
              </w:rPr>
              <w:t>11</w:t>
            </w:r>
          </w:p>
        </w:tc>
        <w:tc>
          <w:tcPr>
            <w:tcW w:w="2250" w:type="dxa"/>
            <w:tcBorders>
              <w:bottom w:val="double" w:sz="1" w:space="0" w:color="000000"/>
            </w:tcBorders>
            <w:shd w:val="clear" w:color="auto" w:fill="C1C1C1"/>
          </w:tcPr>
          <w:p>
            <w:pPr>
              <w:pStyle w:val="TableParagraph"/>
              <w:spacing w:line="243" w:lineRule="exact"/>
              <w:ind w:left="115" w:right="121"/>
              <w:jc w:val="center"/>
              <w:rPr>
                <w:sz w:val="13"/>
              </w:rPr>
            </w:pPr>
            <w:r>
              <w:rPr>
                <w:position w:val="3"/>
                <w:sz w:val="20"/>
              </w:rPr>
              <w:t>f</w:t>
            </w:r>
            <w:r>
              <w:rPr>
                <w:sz w:val="13"/>
              </w:rPr>
              <w:t>XTAL</w:t>
            </w:r>
            <w:r>
              <w:rPr>
                <w:position w:val="3"/>
                <w:sz w:val="20"/>
              </w:rPr>
              <w:t>/2</w:t>
            </w:r>
            <w:r>
              <w:rPr>
                <w:position w:val="13"/>
                <w:sz w:val="13"/>
              </w:rPr>
              <w:t>6</w:t>
            </w:r>
          </w:p>
        </w:tc>
        <w:tc>
          <w:tcPr>
            <w:tcW w:w="2108" w:type="dxa"/>
            <w:vMerge/>
            <w:tcBorders>
              <w:top w:val="nil"/>
            </w:tcBorders>
            <w:shd w:val="clear" w:color="auto" w:fill="C1C1C1"/>
          </w:tcPr>
          <w:p>
            <w:pPr>
              <w:rPr>
                <w:sz w:val="2"/>
                <w:szCs w:val="2"/>
              </w:rPr>
            </w:pPr>
          </w:p>
        </w:tc>
      </w:tr>
    </w:tbl>
    <w:p>
      <w:pPr>
        <w:spacing w:after="0"/>
        <w:rPr>
          <w:sz w:val="2"/>
          <w:szCs w:val="2"/>
        </w:rPr>
        <w:sectPr>
          <w:pgSz w:w="15840" w:h="12240" w:orient="landscape"/>
          <w:pgMar w:header="727" w:footer="819" w:top="1180" w:bottom="1000" w:left="1320" w:right="1320"/>
        </w:sectPr>
      </w:pPr>
    </w:p>
    <w:p>
      <w:pPr>
        <w:pStyle w:val="BodyText"/>
        <w:spacing w:before="5"/>
        <w:rPr>
          <w:b/>
          <w:sz w:val="7"/>
        </w:rPr>
      </w:pPr>
    </w:p>
    <w:tbl>
      <w:tblPr>
        <w:tblW w:w="0" w:type="auto"/>
        <w:jc w:val="left"/>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4"/>
        <w:gridCol w:w="1124"/>
        <w:gridCol w:w="344"/>
        <w:gridCol w:w="344"/>
        <w:gridCol w:w="620"/>
        <w:gridCol w:w="114"/>
        <w:gridCol w:w="1319"/>
        <w:gridCol w:w="2159"/>
        <w:gridCol w:w="4427"/>
      </w:tblGrid>
      <w:tr>
        <w:trPr>
          <w:trHeight w:val="309" w:hRule="atLeast"/>
        </w:trPr>
        <w:tc>
          <w:tcPr>
            <w:tcW w:w="2254" w:type="dxa"/>
          </w:tcPr>
          <w:p>
            <w:pPr>
              <w:pStyle w:val="TableParagraph"/>
              <w:spacing w:before="35"/>
              <w:ind w:left="107"/>
              <w:rPr>
                <w:b/>
                <w:sz w:val="20"/>
              </w:rPr>
            </w:pPr>
            <w:r>
              <w:rPr>
                <w:b/>
                <w:sz w:val="20"/>
              </w:rPr>
              <w:t>Name</w:t>
            </w:r>
          </w:p>
        </w:tc>
        <w:tc>
          <w:tcPr>
            <w:tcW w:w="1124" w:type="dxa"/>
          </w:tcPr>
          <w:p>
            <w:pPr>
              <w:pStyle w:val="TableParagraph"/>
              <w:spacing w:before="35"/>
              <w:ind w:right="137"/>
              <w:jc w:val="right"/>
              <w:rPr>
                <w:b/>
                <w:sz w:val="20"/>
              </w:rPr>
            </w:pPr>
            <w:r>
              <w:rPr>
                <w:b/>
                <w:sz w:val="20"/>
              </w:rPr>
              <w:t>Location</w:t>
            </w:r>
          </w:p>
        </w:tc>
        <w:tc>
          <w:tcPr>
            <w:tcW w:w="344" w:type="dxa"/>
          </w:tcPr>
          <w:p>
            <w:pPr>
              <w:pStyle w:val="TableParagraph"/>
              <w:spacing w:before="35"/>
              <w:ind w:left="2"/>
              <w:jc w:val="center"/>
              <w:rPr>
                <w:b/>
                <w:sz w:val="20"/>
              </w:rPr>
            </w:pPr>
            <w:r>
              <w:rPr>
                <w:b/>
                <w:sz w:val="20"/>
              </w:rPr>
              <w:t>Rst</w:t>
            </w:r>
          </w:p>
        </w:tc>
        <w:tc>
          <w:tcPr>
            <w:tcW w:w="344" w:type="dxa"/>
          </w:tcPr>
          <w:p>
            <w:pPr>
              <w:pStyle w:val="TableParagraph"/>
              <w:spacing w:before="35"/>
              <w:ind w:left="6"/>
              <w:jc w:val="center"/>
              <w:rPr>
                <w:b/>
                <w:sz w:val="20"/>
              </w:rPr>
            </w:pPr>
            <w:r>
              <w:rPr>
                <w:b/>
                <w:sz w:val="20"/>
              </w:rPr>
              <w:t>Wk</w:t>
            </w:r>
          </w:p>
        </w:tc>
        <w:tc>
          <w:tcPr>
            <w:tcW w:w="620" w:type="dxa"/>
          </w:tcPr>
          <w:p>
            <w:pPr>
              <w:pStyle w:val="TableParagraph"/>
              <w:spacing w:before="35"/>
              <w:ind w:left="87" w:right="86"/>
              <w:jc w:val="center"/>
              <w:rPr>
                <w:b/>
                <w:sz w:val="20"/>
              </w:rPr>
            </w:pPr>
            <w:r>
              <w:rPr>
                <w:b/>
                <w:sz w:val="20"/>
              </w:rPr>
              <w:t>Dir</w:t>
            </w:r>
          </w:p>
        </w:tc>
        <w:tc>
          <w:tcPr>
            <w:tcW w:w="8019" w:type="dxa"/>
            <w:gridSpan w:val="4"/>
          </w:tcPr>
          <w:p>
            <w:pPr>
              <w:pStyle w:val="TableParagraph"/>
              <w:spacing w:before="35"/>
              <w:ind w:left="104"/>
              <w:rPr>
                <w:b/>
                <w:sz w:val="20"/>
              </w:rPr>
            </w:pPr>
            <w:r>
              <w:rPr>
                <w:b/>
                <w:sz w:val="20"/>
              </w:rPr>
              <w:t>Description</w:t>
            </w:r>
          </w:p>
        </w:tc>
      </w:tr>
      <w:tr>
        <w:trPr>
          <w:trHeight w:val="1271" w:hRule="atLeast"/>
        </w:trPr>
        <w:tc>
          <w:tcPr>
            <w:tcW w:w="2254" w:type="dxa"/>
            <w:shd w:val="clear" w:color="auto" w:fill="C1C1C1"/>
          </w:tcPr>
          <w:p>
            <w:pPr>
              <w:pStyle w:val="TableParagraph"/>
              <w:rPr>
                <w:b/>
                <w:sz w:val="22"/>
              </w:rPr>
            </w:pPr>
          </w:p>
          <w:p>
            <w:pPr>
              <w:pStyle w:val="TableParagraph"/>
              <w:spacing w:before="7"/>
              <w:rPr>
                <w:b/>
                <w:sz w:val="22"/>
              </w:rPr>
            </w:pPr>
          </w:p>
          <w:p>
            <w:pPr>
              <w:pStyle w:val="TableParagraph"/>
              <w:spacing w:before="1"/>
              <w:ind w:left="107"/>
              <w:rPr>
                <w:rFonts w:ascii="Times New Roman"/>
                <w:i/>
                <w:sz w:val="20"/>
              </w:rPr>
            </w:pPr>
            <w:r>
              <w:rPr>
                <w:rFonts w:ascii="Times New Roman"/>
                <w:i/>
                <w:sz w:val="20"/>
              </w:rPr>
              <w:t>LCD_DAC[4:0]</w:t>
            </w:r>
          </w:p>
        </w:tc>
        <w:tc>
          <w:tcPr>
            <w:tcW w:w="1124" w:type="dxa"/>
            <w:shd w:val="clear" w:color="auto" w:fill="C1C1C1"/>
          </w:tcPr>
          <w:p>
            <w:pPr>
              <w:pStyle w:val="TableParagraph"/>
              <w:rPr>
                <w:b/>
                <w:sz w:val="22"/>
              </w:rPr>
            </w:pPr>
          </w:p>
          <w:p>
            <w:pPr>
              <w:pStyle w:val="TableParagraph"/>
              <w:rPr>
                <w:b/>
                <w:sz w:val="23"/>
              </w:rPr>
            </w:pPr>
          </w:p>
          <w:p>
            <w:pPr>
              <w:pStyle w:val="TableParagraph"/>
              <w:ind w:right="123"/>
              <w:jc w:val="right"/>
              <w:rPr>
                <w:sz w:val="20"/>
              </w:rPr>
            </w:pPr>
            <w:r>
              <w:rPr>
                <w:sz w:val="20"/>
              </w:rPr>
              <w:t>240D[4:0]</w:t>
            </w:r>
          </w:p>
        </w:tc>
        <w:tc>
          <w:tcPr>
            <w:tcW w:w="344" w:type="dxa"/>
            <w:shd w:val="clear" w:color="auto" w:fill="C1C1C1"/>
          </w:tcPr>
          <w:p>
            <w:pPr>
              <w:pStyle w:val="TableParagraph"/>
              <w:rPr>
                <w:b/>
                <w:sz w:val="22"/>
              </w:rPr>
            </w:pPr>
          </w:p>
          <w:p>
            <w:pPr>
              <w:pStyle w:val="TableParagraph"/>
              <w:rPr>
                <w:b/>
                <w:sz w:val="23"/>
              </w:rPr>
            </w:pPr>
          </w:p>
          <w:p>
            <w:pPr>
              <w:pStyle w:val="TableParagraph"/>
              <w:ind w:left="4"/>
              <w:jc w:val="center"/>
              <w:rPr>
                <w:sz w:val="20"/>
              </w:rPr>
            </w:pPr>
            <w:r>
              <w:rPr>
                <w:w w:val="99"/>
                <w:sz w:val="20"/>
              </w:rPr>
              <w:t>0</w:t>
            </w:r>
          </w:p>
        </w:tc>
        <w:tc>
          <w:tcPr>
            <w:tcW w:w="344" w:type="dxa"/>
            <w:shd w:val="clear" w:color="auto" w:fill="C1C1C1"/>
          </w:tcPr>
          <w:p>
            <w:pPr>
              <w:pStyle w:val="TableParagraph"/>
              <w:rPr>
                <w:b/>
                <w:sz w:val="22"/>
              </w:rPr>
            </w:pPr>
          </w:p>
          <w:p>
            <w:pPr>
              <w:pStyle w:val="TableParagraph"/>
              <w:rPr>
                <w:b/>
                <w:sz w:val="23"/>
              </w:rPr>
            </w:pPr>
          </w:p>
          <w:p>
            <w:pPr>
              <w:pStyle w:val="TableParagraph"/>
              <w:ind w:left="2"/>
              <w:jc w:val="center"/>
              <w:rPr>
                <w:sz w:val="20"/>
              </w:rPr>
            </w:pPr>
            <w:r>
              <w:rPr>
                <w:w w:val="99"/>
                <w:sz w:val="20"/>
              </w:rPr>
              <w:t>–</w:t>
            </w:r>
          </w:p>
        </w:tc>
        <w:tc>
          <w:tcPr>
            <w:tcW w:w="620" w:type="dxa"/>
            <w:shd w:val="clear" w:color="auto" w:fill="C1C1C1"/>
          </w:tcPr>
          <w:p>
            <w:pPr>
              <w:pStyle w:val="TableParagraph"/>
              <w:rPr>
                <w:b/>
                <w:sz w:val="22"/>
              </w:rPr>
            </w:pPr>
          </w:p>
          <w:p>
            <w:pPr>
              <w:pStyle w:val="TableParagraph"/>
              <w:rPr>
                <w:b/>
                <w:sz w:val="23"/>
              </w:rPr>
            </w:pPr>
          </w:p>
          <w:p>
            <w:pPr>
              <w:pStyle w:val="TableParagraph"/>
              <w:ind w:left="87" w:right="93"/>
              <w:jc w:val="center"/>
              <w:rPr>
                <w:sz w:val="20"/>
              </w:rPr>
            </w:pPr>
            <w:r>
              <w:rPr>
                <w:sz w:val="20"/>
              </w:rPr>
              <w:t>R/W</w:t>
            </w:r>
          </w:p>
        </w:tc>
        <w:tc>
          <w:tcPr>
            <w:tcW w:w="8019" w:type="dxa"/>
            <w:gridSpan w:val="4"/>
            <w:shd w:val="clear" w:color="auto" w:fill="C1C1C1"/>
          </w:tcPr>
          <w:p>
            <w:pPr>
              <w:pStyle w:val="TableParagraph"/>
              <w:spacing w:before="18"/>
              <w:ind w:left="104"/>
              <w:rPr>
                <w:sz w:val="20"/>
              </w:rPr>
            </w:pPr>
            <w:r>
              <w:rPr>
                <w:sz w:val="20"/>
              </w:rPr>
              <w:t>The LCD contrast DAC. This DAC controls the VLCD voltage and has an output range of</w:t>
            </w:r>
          </w:p>
          <w:p>
            <w:pPr>
              <w:pStyle w:val="TableParagraph"/>
              <w:spacing w:before="1"/>
              <w:ind w:left="104"/>
              <w:rPr>
                <w:sz w:val="20"/>
              </w:rPr>
            </w:pPr>
            <w:r>
              <w:rPr>
                <w:sz w:val="20"/>
              </w:rPr>
              <w:t>2.65 V to 5.3 V. The VLCD voltage is</w:t>
            </w:r>
          </w:p>
          <w:p>
            <w:pPr>
              <w:pStyle w:val="TableParagraph"/>
              <w:spacing w:before="34"/>
              <w:ind w:left="2209" w:right="2212"/>
              <w:jc w:val="center"/>
              <w:rPr>
                <w:sz w:val="20"/>
              </w:rPr>
            </w:pPr>
            <w:r>
              <w:rPr>
                <w:sz w:val="20"/>
              </w:rPr>
              <w:t>VLCD = 2.65 + 2.65 * </w:t>
            </w:r>
            <w:r>
              <w:rPr>
                <w:rFonts w:ascii="Times New Roman"/>
                <w:i/>
                <w:sz w:val="20"/>
              </w:rPr>
              <w:t>LCD_DAC[4:0]/</w:t>
            </w:r>
            <w:r>
              <w:rPr>
                <w:sz w:val="20"/>
              </w:rPr>
              <w:t>31</w:t>
            </w:r>
          </w:p>
          <w:p>
            <w:pPr>
              <w:pStyle w:val="TableParagraph"/>
              <w:spacing w:before="45"/>
              <w:ind w:left="104"/>
              <w:rPr>
                <w:sz w:val="20"/>
              </w:rPr>
            </w:pPr>
            <w:r>
              <w:rPr>
                <w:sz w:val="20"/>
              </w:rPr>
              <w:t>Thus, the LSB of the DAC is 85.5 mV. The maximum DAC output voltage is limited by V3P3SYS, VBAT, and whether </w:t>
            </w:r>
            <w:r>
              <w:rPr>
                <w:rFonts w:ascii="Times New Roman"/>
                <w:i/>
                <w:sz w:val="20"/>
              </w:rPr>
              <w:t>LCD_BSTE </w:t>
            </w:r>
            <w:r>
              <w:rPr>
                <w:sz w:val="20"/>
              </w:rPr>
              <w:t>= 1.</w:t>
            </w:r>
          </w:p>
        </w:tc>
      </w:tr>
      <w:tr>
        <w:trPr>
          <w:trHeight w:val="501" w:hRule="atLeast"/>
        </w:trPr>
        <w:tc>
          <w:tcPr>
            <w:tcW w:w="2254" w:type="dxa"/>
            <w:shd w:val="clear" w:color="auto" w:fill="C1C1C1"/>
          </w:tcPr>
          <w:p>
            <w:pPr>
              <w:pStyle w:val="TableParagraph"/>
              <w:spacing w:before="130"/>
              <w:ind w:left="107"/>
              <w:rPr>
                <w:rFonts w:ascii="Times New Roman"/>
                <w:i/>
                <w:sz w:val="20"/>
              </w:rPr>
            </w:pPr>
            <w:r>
              <w:rPr>
                <w:rFonts w:ascii="Times New Roman"/>
                <w:i/>
                <w:sz w:val="20"/>
              </w:rPr>
              <w:t>LCD_E</w:t>
            </w:r>
          </w:p>
        </w:tc>
        <w:tc>
          <w:tcPr>
            <w:tcW w:w="1124" w:type="dxa"/>
            <w:shd w:val="clear" w:color="auto" w:fill="C1C1C1"/>
          </w:tcPr>
          <w:p>
            <w:pPr>
              <w:pStyle w:val="TableParagraph"/>
              <w:spacing w:before="134"/>
              <w:ind w:left="227"/>
              <w:rPr>
                <w:sz w:val="20"/>
              </w:rPr>
            </w:pPr>
            <w:r>
              <w:rPr>
                <w:sz w:val="20"/>
              </w:rPr>
              <w:t>2400[7]</w:t>
            </w:r>
          </w:p>
        </w:tc>
        <w:tc>
          <w:tcPr>
            <w:tcW w:w="344" w:type="dxa"/>
            <w:shd w:val="clear" w:color="auto" w:fill="C1C1C1"/>
          </w:tcPr>
          <w:p>
            <w:pPr>
              <w:pStyle w:val="TableParagraph"/>
              <w:spacing w:before="134"/>
              <w:ind w:left="4"/>
              <w:jc w:val="center"/>
              <w:rPr>
                <w:sz w:val="20"/>
              </w:rPr>
            </w:pPr>
            <w:r>
              <w:rPr>
                <w:w w:val="99"/>
                <w:sz w:val="20"/>
              </w:rPr>
              <w:t>0</w:t>
            </w:r>
          </w:p>
        </w:tc>
        <w:tc>
          <w:tcPr>
            <w:tcW w:w="344" w:type="dxa"/>
            <w:shd w:val="clear" w:color="auto" w:fill="C1C1C1"/>
          </w:tcPr>
          <w:p>
            <w:pPr>
              <w:pStyle w:val="TableParagraph"/>
              <w:spacing w:before="134"/>
              <w:ind w:left="2"/>
              <w:jc w:val="center"/>
              <w:rPr>
                <w:sz w:val="20"/>
              </w:rPr>
            </w:pPr>
            <w:r>
              <w:rPr>
                <w:w w:val="99"/>
                <w:sz w:val="20"/>
              </w:rPr>
              <w:t>–</w:t>
            </w:r>
          </w:p>
        </w:tc>
        <w:tc>
          <w:tcPr>
            <w:tcW w:w="620" w:type="dxa"/>
            <w:shd w:val="clear" w:color="auto" w:fill="C1C1C1"/>
          </w:tcPr>
          <w:p>
            <w:pPr>
              <w:pStyle w:val="TableParagraph"/>
              <w:spacing w:before="134"/>
              <w:ind w:left="87" w:right="93"/>
              <w:jc w:val="center"/>
              <w:rPr>
                <w:sz w:val="20"/>
              </w:rPr>
            </w:pPr>
            <w:r>
              <w:rPr>
                <w:sz w:val="20"/>
              </w:rPr>
              <w:t>R/W</w:t>
            </w:r>
          </w:p>
        </w:tc>
        <w:tc>
          <w:tcPr>
            <w:tcW w:w="8019" w:type="dxa"/>
            <w:gridSpan w:val="4"/>
            <w:shd w:val="clear" w:color="auto" w:fill="C1C1C1"/>
          </w:tcPr>
          <w:p>
            <w:pPr>
              <w:pStyle w:val="TableParagraph"/>
              <w:spacing w:before="18"/>
              <w:ind w:left="104" w:right="164"/>
              <w:rPr>
                <w:sz w:val="20"/>
              </w:rPr>
            </w:pPr>
            <w:r>
              <w:rPr>
                <w:sz w:val="20"/>
              </w:rPr>
              <w:t>Enables the LCD display. When disabled, VLC2, VLC1, and VLC0 are ground as are the COM and SEG outputs if their </w:t>
            </w:r>
            <w:r>
              <w:rPr>
                <w:rFonts w:ascii="Times New Roman"/>
                <w:i/>
                <w:sz w:val="20"/>
              </w:rPr>
              <w:t>LCD_MAP </w:t>
            </w:r>
            <w:r>
              <w:rPr>
                <w:sz w:val="20"/>
              </w:rPr>
              <w:t>bit is 1.</w:t>
            </w:r>
          </w:p>
        </w:tc>
      </w:tr>
      <w:tr>
        <w:trPr>
          <w:trHeight w:val="1710" w:hRule="atLeast"/>
        </w:trPr>
        <w:tc>
          <w:tcPr>
            <w:tcW w:w="2254" w:type="dxa"/>
            <w:shd w:val="clear" w:color="auto" w:fill="C1C1C1"/>
          </w:tcPr>
          <w:p>
            <w:pPr>
              <w:pStyle w:val="TableParagraph"/>
              <w:spacing w:line="249" w:lineRule="auto" w:before="14"/>
              <w:ind w:left="107"/>
              <w:rPr>
                <w:rFonts w:ascii="Times New Roman"/>
                <w:i/>
                <w:sz w:val="20"/>
              </w:rPr>
            </w:pPr>
            <w:r>
              <w:rPr>
                <w:rFonts w:ascii="Times New Roman"/>
                <w:i/>
                <w:w w:val="95"/>
                <w:sz w:val="20"/>
              </w:rPr>
              <w:t>LCD_MAP[55:48] </w:t>
            </w:r>
            <w:r>
              <w:rPr>
                <w:rFonts w:ascii="Times New Roman"/>
                <w:i/>
                <w:w w:val="95"/>
                <w:sz w:val="20"/>
              </w:rPr>
              <w:t>LCD_MAP[47:40] LCD_MAP[39:32] LCD_MAP[31:24] LCD_MAP[23:16] </w:t>
            </w:r>
            <w:r>
              <w:rPr>
                <w:rFonts w:ascii="Times New Roman"/>
                <w:i/>
                <w:sz w:val="20"/>
              </w:rPr>
              <w:t>LCD_MAP[15:8] LCD_MAP[7:0]</w:t>
            </w:r>
          </w:p>
        </w:tc>
        <w:tc>
          <w:tcPr>
            <w:tcW w:w="1124" w:type="dxa"/>
            <w:shd w:val="clear" w:color="auto" w:fill="C1C1C1"/>
          </w:tcPr>
          <w:p>
            <w:pPr>
              <w:pStyle w:val="TableParagraph"/>
              <w:spacing w:before="18"/>
              <w:ind w:left="143"/>
              <w:rPr>
                <w:sz w:val="20"/>
              </w:rPr>
            </w:pPr>
            <w:r>
              <w:rPr>
                <w:sz w:val="20"/>
              </w:rPr>
              <w:t>2405[7:0]</w:t>
            </w:r>
          </w:p>
          <w:p>
            <w:pPr>
              <w:pStyle w:val="TableParagraph"/>
              <w:spacing w:before="10"/>
              <w:ind w:left="143"/>
              <w:rPr>
                <w:sz w:val="20"/>
              </w:rPr>
            </w:pPr>
            <w:r>
              <w:rPr>
                <w:sz w:val="20"/>
              </w:rPr>
              <w:t>2406[7:0]</w:t>
            </w:r>
          </w:p>
          <w:p>
            <w:pPr>
              <w:pStyle w:val="TableParagraph"/>
              <w:spacing w:before="10"/>
              <w:ind w:left="143"/>
              <w:rPr>
                <w:sz w:val="20"/>
              </w:rPr>
            </w:pPr>
            <w:r>
              <w:rPr>
                <w:sz w:val="20"/>
              </w:rPr>
              <w:t>2407[7:0]</w:t>
            </w:r>
          </w:p>
          <w:p>
            <w:pPr>
              <w:pStyle w:val="TableParagraph"/>
              <w:spacing w:before="10"/>
              <w:ind w:left="143"/>
              <w:rPr>
                <w:sz w:val="20"/>
              </w:rPr>
            </w:pPr>
            <w:r>
              <w:rPr>
                <w:sz w:val="20"/>
              </w:rPr>
              <w:t>2408[7:0]</w:t>
            </w:r>
          </w:p>
          <w:p>
            <w:pPr>
              <w:pStyle w:val="TableParagraph"/>
              <w:spacing w:before="10"/>
              <w:ind w:left="143"/>
              <w:rPr>
                <w:sz w:val="20"/>
              </w:rPr>
            </w:pPr>
            <w:r>
              <w:rPr>
                <w:sz w:val="20"/>
              </w:rPr>
              <w:t>2409[7:0]</w:t>
            </w:r>
          </w:p>
          <w:p>
            <w:pPr>
              <w:pStyle w:val="TableParagraph"/>
              <w:spacing w:before="10"/>
              <w:ind w:left="131"/>
              <w:rPr>
                <w:sz w:val="20"/>
              </w:rPr>
            </w:pPr>
            <w:r>
              <w:rPr>
                <w:sz w:val="20"/>
              </w:rPr>
              <w:t>240A[7:0]</w:t>
            </w:r>
          </w:p>
          <w:p>
            <w:pPr>
              <w:pStyle w:val="TableParagraph"/>
              <w:spacing w:before="10"/>
              <w:ind w:left="131"/>
              <w:rPr>
                <w:sz w:val="20"/>
              </w:rPr>
            </w:pPr>
            <w:r>
              <w:rPr>
                <w:sz w:val="20"/>
              </w:rPr>
              <w:t>240B[7:0]</w:t>
            </w:r>
          </w:p>
        </w:tc>
        <w:tc>
          <w:tcPr>
            <w:tcW w:w="344" w:type="dxa"/>
            <w:shd w:val="clear" w:color="auto" w:fill="C1C1C1"/>
          </w:tcPr>
          <w:p>
            <w:pPr>
              <w:pStyle w:val="TableParagraph"/>
              <w:spacing w:before="18"/>
              <w:ind w:left="113"/>
              <w:rPr>
                <w:sz w:val="20"/>
              </w:rPr>
            </w:pPr>
            <w:r>
              <w:rPr>
                <w:w w:val="99"/>
                <w:sz w:val="20"/>
              </w:rPr>
              <w:t>0</w:t>
            </w:r>
          </w:p>
          <w:p>
            <w:pPr>
              <w:pStyle w:val="TableParagraph"/>
              <w:spacing w:before="10"/>
              <w:ind w:left="113"/>
              <w:rPr>
                <w:sz w:val="20"/>
              </w:rPr>
            </w:pPr>
            <w:r>
              <w:rPr>
                <w:w w:val="99"/>
                <w:sz w:val="20"/>
              </w:rPr>
              <w:t>0</w:t>
            </w:r>
          </w:p>
          <w:p>
            <w:pPr>
              <w:pStyle w:val="TableParagraph"/>
              <w:spacing w:before="10"/>
              <w:ind w:left="113"/>
              <w:rPr>
                <w:sz w:val="20"/>
              </w:rPr>
            </w:pPr>
            <w:r>
              <w:rPr>
                <w:w w:val="99"/>
                <w:sz w:val="20"/>
              </w:rPr>
              <w:t>0</w:t>
            </w:r>
          </w:p>
          <w:p>
            <w:pPr>
              <w:pStyle w:val="TableParagraph"/>
              <w:spacing w:before="10"/>
              <w:ind w:left="113"/>
              <w:rPr>
                <w:sz w:val="20"/>
              </w:rPr>
            </w:pPr>
            <w:r>
              <w:rPr>
                <w:w w:val="99"/>
                <w:sz w:val="20"/>
              </w:rPr>
              <w:t>0</w:t>
            </w:r>
          </w:p>
          <w:p>
            <w:pPr>
              <w:pStyle w:val="TableParagraph"/>
              <w:spacing w:before="10"/>
              <w:ind w:left="113"/>
              <w:rPr>
                <w:sz w:val="20"/>
              </w:rPr>
            </w:pPr>
            <w:r>
              <w:rPr>
                <w:w w:val="99"/>
                <w:sz w:val="20"/>
              </w:rPr>
              <w:t>0</w:t>
            </w:r>
          </w:p>
          <w:p>
            <w:pPr>
              <w:pStyle w:val="TableParagraph"/>
              <w:spacing w:before="10"/>
              <w:ind w:left="113"/>
              <w:rPr>
                <w:sz w:val="20"/>
              </w:rPr>
            </w:pPr>
            <w:r>
              <w:rPr>
                <w:w w:val="99"/>
                <w:sz w:val="20"/>
              </w:rPr>
              <w:t>0</w:t>
            </w:r>
          </w:p>
          <w:p>
            <w:pPr>
              <w:pStyle w:val="TableParagraph"/>
              <w:spacing w:before="10"/>
              <w:ind w:left="113"/>
              <w:rPr>
                <w:sz w:val="20"/>
              </w:rPr>
            </w:pPr>
            <w:r>
              <w:rPr>
                <w:w w:val="99"/>
                <w:sz w:val="20"/>
              </w:rPr>
              <w:t>0</w:t>
            </w:r>
          </w:p>
        </w:tc>
        <w:tc>
          <w:tcPr>
            <w:tcW w:w="344" w:type="dxa"/>
            <w:shd w:val="clear" w:color="auto" w:fill="C1C1C1"/>
          </w:tcPr>
          <w:p>
            <w:pPr>
              <w:pStyle w:val="TableParagraph"/>
              <w:spacing w:before="18"/>
              <w:ind w:left="113"/>
              <w:rPr>
                <w:sz w:val="20"/>
              </w:rPr>
            </w:pPr>
            <w:r>
              <w:rPr>
                <w:w w:val="99"/>
                <w:sz w:val="20"/>
              </w:rPr>
              <w:t>–</w:t>
            </w:r>
          </w:p>
          <w:p>
            <w:pPr>
              <w:pStyle w:val="TableParagraph"/>
              <w:spacing w:before="10"/>
              <w:ind w:left="113"/>
              <w:rPr>
                <w:sz w:val="20"/>
              </w:rPr>
            </w:pPr>
            <w:r>
              <w:rPr>
                <w:w w:val="99"/>
                <w:sz w:val="20"/>
              </w:rPr>
              <w:t>–</w:t>
            </w:r>
          </w:p>
          <w:p>
            <w:pPr>
              <w:pStyle w:val="TableParagraph"/>
              <w:spacing w:before="10"/>
              <w:ind w:left="113"/>
              <w:rPr>
                <w:sz w:val="20"/>
              </w:rPr>
            </w:pPr>
            <w:r>
              <w:rPr>
                <w:w w:val="99"/>
                <w:sz w:val="20"/>
              </w:rPr>
              <w:t>–</w:t>
            </w:r>
          </w:p>
          <w:p>
            <w:pPr>
              <w:pStyle w:val="TableParagraph"/>
              <w:spacing w:before="10"/>
              <w:ind w:left="113"/>
              <w:rPr>
                <w:sz w:val="20"/>
              </w:rPr>
            </w:pPr>
            <w:r>
              <w:rPr>
                <w:w w:val="99"/>
                <w:sz w:val="20"/>
              </w:rPr>
              <w:t>–</w:t>
            </w:r>
          </w:p>
          <w:p>
            <w:pPr>
              <w:pStyle w:val="TableParagraph"/>
              <w:spacing w:before="10"/>
              <w:ind w:left="113"/>
              <w:rPr>
                <w:sz w:val="20"/>
              </w:rPr>
            </w:pPr>
            <w:r>
              <w:rPr>
                <w:w w:val="99"/>
                <w:sz w:val="20"/>
              </w:rPr>
              <w:t>–</w:t>
            </w:r>
          </w:p>
          <w:p>
            <w:pPr>
              <w:pStyle w:val="TableParagraph"/>
              <w:spacing w:before="10"/>
              <w:ind w:left="113"/>
              <w:rPr>
                <w:sz w:val="20"/>
              </w:rPr>
            </w:pPr>
            <w:r>
              <w:rPr>
                <w:w w:val="99"/>
                <w:sz w:val="20"/>
              </w:rPr>
              <w:t>–</w:t>
            </w:r>
          </w:p>
          <w:p>
            <w:pPr>
              <w:pStyle w:val="TableParagraph"/>
              <w:spacing w:before="10"/>
              <w:ind w:left="113"/>
              <w:rPr>
                <w:sz w:val="20"/>
              </w:rPr>
            </w:pPr>
            <w:r>
              <w:rPr>
                <w:w w:val="99"/>
                <w:sz w:val="20"/>
              </w:rPr>
              <w:t>–</w:t>
            </w:r>
          </w:p>
        </w:tc>
        <w:tc>
          <w:tcPr>
            <w:tcW w:w="620" w:type="dxa"/>
            <w:shd w:val="clear" w:color="auto" w:fill="C1C1C1"/>
          </w:tcPr>
          <w:p>
            <w:pPr>
              <w:pStyle w:val="TableParagraph"/>
              <w:spacing w:line="247" w:lineRule="auto" w:before="23"/>
              <w:ind w:left="109" w:right="118" w:firstLine="2"/>
              <w:jc w:val="both"/>
              <w:rPr>
                <w:sz w:val="20"/>
              </w:rPr>
            </w:pPr>
            <w:r>
              <w:rPr>
                <w:spacing w:val="-4"/>
                <w:sz w:val="20"/>
              </w:rPr>
              <w:t>R/W R/W R/W R/W R/W R/W R/W</w:t>
            </w:r>
          </w:p>
        </w:tc>
        <w:tc>
          <w:tcPr>
            <w:tcW w:w="8019" w:type="dxa"/>
            <w:gridSpan w:val="4"/>
            <w:shd w:val="clear" w:color="auto" w:fill="C1C1C1"/>
          </w:tcPr>
          <w:p>
            <w:pPr>
              <w:pStyle w:val="TableParagraph"/>
              <w:spacing w:before="165"/>
              <w:ind w:left="104" w:right="164"/>
              <w:rPr>
                <w:sz w:val="20"/>
              </w:rPr>
            </w:pPr>
            <w:r>
              <w:rPr>
                <w:sz w:val="20"/>
              </w:rPr>
              <w:t>Enables LCD segment driver mode of combined SEGDIO pins. Pins that cannot be configured as outputs (SEG48 through SEG50) become inputs with internal pull ups when their </w:t>
            </w:r>
            <w:r>
              <w:rPr>
                <w:rFonts w:ascii="Times New Roman"/>
                <w:i/>
                <w:sz w:val="20"/>
              </w:rPr>
              <w:t>LCD_MAP </w:t>
            </w:r>
            <w:r>
              <w:rPr>
                <w:sz w:val="20"/>
              </w:rPr>
              <w:t>bit is zero. Also, note that SEG48 through SEG50 are multiplexed with the in-circuit emulator signals. When the ICE_E pin is high, the ICE interface is enabled, and SEG48 through SEG50 become E_RXTX, E_TCLK and E_RST, respectively.</w:t>
            </w:r>
          </w:p>
        </w:tc>
      </w:tr>
      <w:tr>
        <w:trPr>
          <w:trHeight w:val="290" w:hRule="atLeast"/>
        </w:trPr>
        <w:tc>
          <w:tcPr>
            <w:tcW w:w="2254" w:type="dxa"/>
            <w:vMerge w:val="restart"/>
            <w:shd w:val="clear" w:color="auto" w:fill="C1C1C1"/>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45"/>
              <w:ind w:left="107"/>
              <w:rPr>
                <w:rFonts w:ascii="Times New Roman"/>
                <w:i/>
                <w:sz w:val="20"/>
              </w:rPr>
            </w:pPr>
            <w:r>
              <w:rPr>
                <w:rFonts w:ascii="Times New Roman"/>
                <w:i/>
                <w:sz w:val="20"/>
              </w:rPr>
              <w:t>LCD_MODE[2:0]</w:t>
            </w:r>
          </w:p>
        </w:tc>
        <w:tc>
          <w:tcPr>
            <w:tcW w:w="1124" w:type="dxa"/>
            <w:vMerge w:val="restart"/>
            <w:shd w:val="clear" w:color="auto" w:fill="C1C1C1"/>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49"/>
              <w:ind w:left="143"/>
              <w:rPr>
                <w:sz w:val="20"/>
              </w:rPr>
            </w:pPr>
            <w:r>
              <w:rPr>
                <w:sz w:val="20"/>
              </w:rPr>
              <w:t>2400[6:4]</w:t>
            </w:r>
          </w:p>
        </w:tc>
        <w:tc>
          <w:tcPr>
            <w:tcW w:w="344" w:type="dxa"/>
            <w:vMerge w:val="restart"/>
            <w:shd w:val="clear" w:color="auto" w:fill="C1C1C1"/>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49"/>
              <w:ind w:left="113"/>
              <w:rPr>
                <w:sz w:val="20"/>
              </w:rPr>
            </w:pPr>
            <w:r>
              <w:rPr>
                <w:w w:val="99"/>
                <w:sz w:val="20"/>
              </w:rPr>
              <w:t>0</w:t>
            </w:r>
          </w:p>
        </w:tc>
        <w:tc>
          <w:tcPr>
            <w:tcW w:w="344" w:type="dxa"/>
            <w:vMerge w:val="restart"/>
            <w:shd w:val="clear" w:color="auto" w:fill="C1C1C1"/>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49"/>
              <w:ind w:left="113"/>
              <w:rPr>
                <w:sz w:val="20"/>
              </w:rPr>
            </w:pPr>
            <w:r>
              <w:rPr>
                <w:w w:val="99"/>
                <w:sz w:val="20"/>
              </w:rPr>
              <w:t>–</w:t>
            </w:r>
          </w:p>
        </w:tc>
        <w:tc>
          <w:tcPr>
            <w:tcW w:w="620" w:type="dxa"/>
            <w:vMerge w:val="restart"/>
            <w:shd w:val="clear" w:color="auto" w:fill="C1C1C1"/>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49"/>
              <w:ind w:left="112"/>
              <w:rPr>
                <w:sz w:val="20"/>
              </w:rPr>
            </w:pPr>
            <w:r>
              <w:rPr>
                <w:sz w:val="20"/>
              </w:rPr>
              <w:t>R/W</w:t>
            </w:r>
          </w:p>
        </w:tc>
        <w:tc>
          <w:tcPr>
            <w:tcW w:w="8019" w:type="dxa"/>
            <w:gridSpan w:val="4"/>
            <w:tcBorders>
              <w:bottom w:val="nil"/>
            </w:tcBorders>
            <w:shd w:val="clear" w:color="auto" w:fill="C1C1C1"/>
          </w:tcPr>
          <w:p>
            <w:pPr>
              <w:pStyle w:val="TableParagraph"/>
              <w:spacing w:before="16"/>
              <w:ind w:left="104"/>
              <w:rPr>
                <w:sz w:val="20"/>
              </w:rPr>
            </w:pPr>
            <w:r>
              <w:rPr>
                <w:sz w:val="20"/>
              </w:rPr>
              <w:t>Selects the LCD bias and multiplex mode.</w:t>
            </w:r>
          </w:p>
        </w:tc>
      </w:tr>
      <w:tr>
        <w:trPr>
          <w:trHeight w:val="268" w:hRule="atLeast"/>
        </w:trPr>
        <w:tc>
          <w:tcPr>
            <w:tcW w:w="2254" w:type="dxa"/>
            <w:vMerge/>
            <w:tcBorders>
              <w:top w:val="nil"/>
            </w:tcBorders>
            <w:shd w:val="clear" w:color="auto" w:fill="C1C1C1"/>
          </w:tcPr>
          <w:p>
            <w:pPr>
              <w:rPr>
                <w:sz w:val="2"/>
                <w:szCs w:val="2"/>
              </w:rPr>
            </w:pPr>
          </w:p>
        </w:tc>
        <w:tc>
          <w:tcPr>
            <w:tcW w:w="112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620" w:type="dxa"/>
            <w:vMerge/>
            <w:tcBorders>
              <w:top w:val="nil"/>
            </w:tcBorders>
            <w:shd w:val="clear" w:color="auto" w:fill="C1C1C1"/>
          </w:tcPr>
          <w:p>
            <w:pPr>
              <w:rPr>
                <w:sz w:val="2"/>
                <w:szCs w:val="2"/>
              </w:rPr>
            </w:pPr>
          </w:p>
        </w:tc>
        <w:tc>
          <w:tcPr>
            <w:tcW w:w="114" w:type="dxa"/>
            <w:vMerge w:val="restart"/>
            <w:tcBorders>
              <w:top w:val="nil"/>
            </w:tcBorders>
            <w:shd w:val="clear" w:color="auto" w:fill="C1C1C1"/>
          </w:tcPr>
          <w:p>
            <w:pPr>
              <w:pStyle w:val="TableParagraph"/>
              <w:rPr>
                <w:rFonts w:ascii="Times New Roman"/>
                <w:sz w:val="18"/>
              </w:rPr>
            </w:pPr>
          </w:p>
        </w:tc>
        <w:tc>
          <w:tcPr>
            <w:tcW w:w="1319" w:type="dxa"/>
            <w:shd w:val="clear" w:color="auto" w:fill="C1C1C1"/>
          </w:tcPr>
          <w:p>
            <w:pPr>
              <w:pStyle w:val="TableParagraph"/>
              <w:spacing w:line="229" w:lineRule="exact" w:before="19"/>
              <w:ind w:left="82" w:right="85"/>
              <w:jc w:val="center"/>
              <w:rPr>
                <w:rFonts w:ascii="Times New Roman"/>
                <w:b/>
                <w:i/>
                <w:sz w:val="20"/>
              </w:rPr>
            </w:pPr>
            <w:r>
              <w:rPr>
                <w:rFonts w:ascii="Times New Roman"/>
                <w:b/>
                <w:i/>
                <w:sz w:val="20"/>
              </w:rPr>
              <w:t>LCD_MODE</w:t>
            </w:r>
          </w:p>
        </w:tc>
        <w:tc>
          <w:tcPr>
            <w:tcW w:w="2159" w:type="dxa"/>
            <w:shd w:val="clear" w:color="auto" w:fill="C1C1C1"/>
          </w:tcPr>
          <w:p>
            <w:pPr>
              <w:pStyle w:val="TableParagraph"/>
              <w:spacing w:before="16"/>
              <w:ind w:left="296" w:right="297"/>
              <w:jc w:val="center"/>
              <w:rPr>
                <w:b/>
                <w:sz w:val="20"/>
              </w:rPr>
            </w:pPr>
            <w:r>
              <w:rPr>
                <w:b/>
                <w:sz w:val="20"/>
              </w:rPr>
              <w:t>Output</w:t>
            </w:r>
          </w:p>
        </w:tc>
        <w:tc>
          <w:tcPr>
            <w:tcW w:w="4427" w:type="dxa"/>
            <w:vMerge w:val="restart"/>
            <w:tcBorders>
              <w:top w:val="nil"/>
            </w:tcBorders>
            <w:shd w:val="clear" w:color="auto" w:fill="C1C1C1"/>
          </w:tcPr>
          <w:p>
            <w:pPr>
              <w:pStyle w:val="TableParagraph"/>
              <w:rPr>
                <w:rFonts w:ascii="Times New Roman"/>
                <w:sz w:val="18"/>
              </w:rPr>
            </w:pPr>
          </w:p>
        </w:tc>
      </w:tr>
      <w:tr>
        <w:trPr>
          <w:trHeight w:val="270" w:hRule="atLeast"/>
        </w:trPr>
        <w:tc>
          <w:tcPr>
            <w:tcW w:w="2254" w:type="dxa"/>
            <w:vMerge/>
            <w:tcBorders>
              <w:top w:val="nil"/>
            </w:tcBorders>
            <w:shd w:val="clear" w:color="auto" w:fill="C1C1C1"/>
          </w:tcPr>
          <w:p>
            <w:pPr>
              <w:rPr>
                <w:sz w:val="2"/>
                <w:szCs w:val="2"/>
              </w:rPr>
            </w:pPr>
          </w:p>
        </w:tc>
        <w:tc>
          <w:tcPr>
            <w:tcW w:w="112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620" w:type="dxa"/>
            <w:vMerge/>
            <w:tcBorders>
              <w:top w:val="nil"/>
            </w:tcBorders>
            <w:shd w:val="clear" w:color="auto" w:fill="C1C1C1"/>
          </w:tcPr>
          <w:p>
            <w:pPr>
              <w:rPr>
                <w:sz w:val="2"/>
                <w:szCs w:val="2"/>
              </w:rPr>
            </w:pPr>
          </w:p>
        </w:tc>
        <w:tc>
          <w:tcPr>
            <w:tcW w:w="114" w:type="dxa"/>
            <w:vMerge/>
            <w:tcBorders>
              <w:top w:val="nil"/>
            </w:tcBorders>
            <w:shd w:val="clear" w:color="auto" w:fill="C1C1C1"/>
          </w:tcPr>
          <w:p>
            <w:pPr>
              <w:rPr>
                <w:sz w:val="2"/>
                <w:szCs w:val="2"/>
              </w:rPr>
            </w:pPr>
          </w:p>
        </w:tc>
        <w:tc>
          <w:tcPr>
            <w:tcW w:w="1319" w:type="dxa"/>
            <w:shd w:val="clear" w:color="auto" w:fill="C1C1C1"/>
          </w:tcPr>
          <w:p>
            <w:pPr>
              <w:pStyle w:val="TableParagraph"/>
              <w:spacing w:before="21"/>
              <w:ind w:left="82" w:right="83"/>
              <w:jc w:val="center"/>
              <w:rPr>
                <w:sz w:val="20"/>
              </w:rPr>
            </w:pPr>
            <w:r>
              <w:rPr>
                <w:sz w:val="20"/>
              </w:rPr>
              <w:t>000</w:t>
            </w:r>
          </w:p>
        </w:tc>
        <w:tc>
          <w:tcPr>
            <w:tcW w:w="2159" w:type="dxa"/>
            <w:shd w:val="clear" w:color="auto" w:fill="C1C1C1"/>
          </w:tcPr>
          <w:p>
            <w:pPr>
              <w:pStyle w:val="TableParagraph"/>
              <w:spacing w:before="21"/>
              <w:ind w:left="296" w:right="300"/>
              <w:jc w:val="center"/>
              <w:rPr>
                <w:sz w:val="20"/>
              </w:rPr>
            </w:pPr>
            <w:r>
              <w:rPr>
                <w:sz w:val="20"/>
              </w:rPr>
              <w:t>4 states, 1/3 bias</w:t>
            </w:r>
          </w:p>
        </w:tc>
        <w:tc>
          <w:tcPr>
            <w:tcW w:w="4427" w:type="dxa"/>
            <w:vMerge/>
            <w:tcBorders>
              <w:top w:val="nil"/>
            </w:tcBorders>
            <w:shd w:val="clear" w:color="auto" w:fill="C1C1C1"/>
          </w:tcPr>
          <w:p>
            <w:pPr>
              <w:rPr>
                <w:sz w:val="2"/>
                <w:szCs w:val="2"/>
              </w:rPr>
            </w:pPr>
          </w:p>
        </w:tc>
      </w:tr>
      <w:tr>
        <w:trPr>
          <w:trHeight w:val="270" w:hRule="atLeast"/>
        </w:trPr>
        <w:tc>
          <w:tcPr>
            <w:tcW w:w="2254" w:type="dxa"/>
            <w:vMerge/>
            <w:tcBorders>
              <w:top w:val="nil"/>
            </w:tcBorders>
            <w:shd w:val="clear" w:color="auto" w:fill="C1C1C1"/>
          </w:tcPr>
          <w:p>
            <w:pPr>
              <w:rPr>
                <w:sz w:val="2"/>
                <w:szCs w:val="2"/>
              </w:rPr>
            </w:pPr>
          </w:p>
        </w:tc>
        <w:tc>
          <w:tcPr>
            <w:tcW w:w="112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620" w:type="dxa"/>
            <w:vMerge/>
            <w:tcBorders>
              <w:top w:val="nil"/>
            </w:tcBorders>
            <w:shd w:val="clear" w:color="auto" w:fill="C1C1C1"/>
          </w:tcPr>
          <w:p>
            <w:pPr>
              <w:rPr>
                <w:sz w:val="2"/>
                <w:szCs w:val="2"/>
              </w:rPr>
            </w:pPr>
          </w:p>
        </w:tc>
        <w:tc>
          <w:tcPr>
            <w:tcW w:w="114" w:type="dxa"/>
            <w:vMerge/>
            <w:tcBorders>
              <w:top w:val="nil"/>
            </w:tcBorders>
            <w:shd w:val="clear" w:color="auto" w:fill="C1C1C1"/>
          </w:tcPr>
          <w:p>
            <w:pPr>
              <w:rPr>
                <w:sz w:val="2"/>
                <w:szCs w:val="2"/>
              </w:rPr>
            </w:pPr>
          </w:p>
        </w:tc>
        <w:tc>
          <w:tcPr>
            <w:tcW w:w="1319" w:type="dxa"/>
            <w:shd w:val="clear" w:color="auto" w:fill="C1C1C1"/>
          </w:tcPr>
          <w:p>
            <w:pPr>
              <w:pStyle w:val="TableParagraph"/>
              <w:spacing w:before="18"/>
              <w:ind w:left="82" w:right="83"/>
              <w:jc w:val="center"/>
              <w:rPr>
                <w:sz w:val="20"/>
              </w:rPr>
            </w:pPr>
            <w:r>
              <w:rPr>
                <w:sz w:val="20"/>
              </w:rPr>
              <w:t>001</w:t>
            </w:r>
          </w:p>
        </w:tc>
        <w:tc>
          <w:tcPr>
            <w:tcW w:w="2159" w:type="dxa"/>
            <w:shd w:val="clear" w:color="auto" w:fill="C1C1C1"/>
          </w:tcPr>
          <w:p>
            <w:pPr>
              <w:pStyle w:val="TableParagraph"/>
              <w:spacing w:before="18"/>
              <w:ind w:left="296" w:right="300"/>
              <w:jc w:val="center"/>
              <w:rPr>
                <w:sz w:val="20"/>
              </w:rPr>
            </w:pPr>
            <w:r>
              <w:rPr>
                <w:sz w:val="20"/>
              </w:rPr>
              <w:t>3 states, 1/3 bias</w:t>
            </w:r>
          </w:p>
        </w:tc>
        <w:tc>
          <w:tcPr>
            <w:tcW w:w="4427" w:type="dxa"/>
            <w:vMerge/>
            <w:tcBorders>
              <w:top w:val="nil"/>
            </w:tcBorders>
            <w:shd w:val="clear" w:color="auto" w:fill="C1C1C1"/>
          </w:tcPr>
          <w:p>
            <w:pPr>
              <w:rPr>
                <w:sz w:val="2"/>
                <w:szCs w:val="2"/>
              </w:rPr>
            </w:pPr>
          </w:p>
        </w:tc>
      </w:tr>
      <w:tr>
        <w:trPr>
          <w:trHeight w:val="268" w:hRule="atLeast"/>
        </w:trPr>
        <w:tc>
          <w:tcPr>
            <w:tcW w:w="2254" w:type="dxa"/>
            <w:vMerge/>
            <w:tcBorders>
              <w:top w:val="nil"/>
            </w:tcBorders>
            <w:shd w:val="clear" w:color="auto" w:fill="C1C1C1"/>
          </w:tcPr>
          <w:p>
            <w:pPr>
              <w:rPr>
                <w:sz w:val="2"/>
                <w:szCs w:val="2"/>
              </w:rPr>
            </w:pPr>
          </w:p>
        </w:tc>
        <w:tc>
          <w:tcPr>
            <w:tcW w:w="112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620" w:type="dxa"/>
            <w:vMerge/>
            <w:tcBorders>
              <w:top w:val="nil"/>
            </w:tcBorders>
            <w:shd w:val="clear" w:color="auto" w:fill="C1C1C1"/>
          </w:tcPr>
          <w:p>
            <w:pPr>
              <w:rPr>
                <w:sz w:val="2"/>
                <w:szCs w:val="2"/>
              </w:rPr>
            </w:pPr>
          </w:p>
        </w:tc>
        <w:tc>
          <w:tcPr>
            <w:tcW w:w="114" w:type="dxa"/>
            <w:vMerge/>
            <w:tcBorders>
              <w:top w:val="nil"/>
            </w:tcBorders>
            <w:shd w:val="clear" w:color="auto" w:fill="C1C1C1"/>
          </w:tcPr>
          <w:p>
            <w:pPr>
              <w:rPr>
                <w:sz w:val="2"/>
                <w:szCs w:val="2"/>
              </w:rPr>
            </w:pPr>
          </w:p>
        </w:tc>
        <w:tc>
          <w:tcPr>
            <w:tcW w:w="1319" w:type="dxa"/>
            <w:shd w:val="clear" w:color="auto" w:fill="C1C1C1"/>
          </w:tcPr>
          <w:p>
            <w:pPr>
              <w:pStyle w:val="TableParagraph"/>
              <w:spacing w:before="18"/>
              <w:ind w:left="82" w:right="83"/>
              <w:jc w:val="center"/>
              <w:rPr>
                <w:sz w:val="20"/>
              </w:rPr>
            </w:pPr>
            <w:r>
              <w:rPr>
                <w:sz w:val="20"/>
              </w:rPr>
              <w:t>010</w:t>
            </w:r>
          </w:p>
        </w:tc>
        <w:tc>
          <w:tcPr>
            <w:tcW w:w="2159" w:type="dxa"/>
            <w:shd w:val="clear" w:color="auto" w:fill="C1C1C1"/>
          </w:tcPr>
          <w:p>
            <w:pPr>
              <w:pStyle w:val="TableParagraph"/>
              <w:spacing w:before="18"/>
              <w:ind w:left="296" w:right="299"/>
              <w:jc w:val="center"/>
              <w:rPr>
                <w:sz w:val="20"/>
              </w:rPr>
            </w:pPr>
            <w:r>
              <w:rPr>
                <w:sz w:val="20"/>
              </w:rPr>
              <w:t>2 states, 1/2 bias</w:t>
            </w:r>
          </w:p>
        </w:tc>
        <w:tc>
          <w:tcPr>
            <w:tcW w:w="4427" w:type="dxa"/>
            <w:vMerge/>
            <w:tcBorders>
              <w:top w:val="nil"/>
            </w:tcBorders>
            <w:shd w:val="clear" w:color="auto" w:fill="C1C1C1"/>
          </w:tcPr>
          <w:p>
            <w:pPr>
              <w:rPr>
                <w:sz w:val="2"/>
                <w:szCs w:val="2"/>
              </w:rPr>
            </w:pPr>
          </w:p>
        </w:tc>
      </w:tr>
      <w:tr>
        <w:trPr>
          <w:trHeight w:val="270" w:hRule="atLeast"/>
        </w:trPr>
        <w:tc>
          <w:tcPr>
            <w:tcW w:w="2254" w:type="dxa"/>
            <w:vMerge/>
            <w:tcBorders>
              <w:top w:val="nil"/>
            </w:tcBorders>
            <w:shd w:val="clear" w:color="auto" w:fill="C1C1C1"/>
          </w:tcPr>
          <w:p>
            <w:pPr>
              <w:rPr>
                <w:sz w:val="2"/>
                <w:szCs w:val="2"/>
              </w:rPr>
            </w:pPr>
          </w:p>
        </w:tc>
        <w:tc>
          <w:tcPr>
            <w:tcW w:w="112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620" w:type="dxa"/>
            <w:vMerge/>
            <w:tcBorders>
              <w:top w:val="nil"/>
            </w:tcBorders>
            <w:shd w:val="clear" w:color="auto" w:fill="C1C1C1"/>
          </w:tcPr>
          <w:p>
            <w:pPr>
              <w:rPr>
                <w:sz w:val="2"/>
                <w:szCs w:val="2"/>
              </w:rPr>
            </w:pPr>
          </w:p>
        </w:tc>
        <w:tc>
          <w:tcPr>
            <w:tcW w:w="114" w:type="dxa"/>
            <w:vMerge/>
            <w:tcBorders>
              <w:top w:val="nil"/>
            </w:tcBorders>
            <w:shd w:val="clear" w:color="auto" w:fill="C1C1C1"/>
          </w:tcPr>
          <w:p>
            <w:pPr>
              <w:rPr>
                <w:sz w:val="2"/>
                <w:szCs w:val="2"/>
              </w:rPr>
            </w:pPr>
          </w:p>
        </w:tc>
        <w:tc>
          <w:tcPr>
            <w:tcW w:w="1319" w:type="dxa"/>
            <w:shd w:val="clear" w:color="auto" w:fill="C1C1C1"/>
          </w:tcPr>
          <w:p>
            <w:pPr>
              <w:pStyle w:val="TableParagraph"/>
              <w:spacing w:before="21"/>
              <w:ind w:left="82" w:right="83"/>
              <w:jc w:val="center"/>
              <w:rPr>
                <w:sz w:val="20"/>
              </w:rPr>
            </w:pPr>
            <w:r>
              <w:rPr>
                <w:sz w:val="20"/>
              </w:rPr>
              <w:t>011</w:t>
            </w:r>
          </w:p>
        </w:tc>
        <w:tc>
          <w:tcPr>
            <w:tcW w:w="2159" w:type="dxa"/>
            <w:shd w:val="clear" w:color="auto" w:fill="C1C1C1"/>
          </w:tcPr>
          <w:p>
            <w:pPr>
              <w:pStyle w:val="TableParagraph"/>
              <w:spacing w:before="21"/>
              <w:ind w:left="296" w:right="299"/>
              <w:jc w:val="center"/>
              <w:rPr>
                <w:sz w:val="20"/>
              </w:rPr>
            </w:pPr>
            <w:r>
              <w:rPr>
                <w:sz w:val="20"/>
              </w:rPr>
              <w:t>3 states, 1/2 bias</w:t>
            </w:r>
          </w:p>
        </w:tc>
        <w:tc>
          <w:tcPr>
            <w:tcW w:w="4427" w:type="dxa"/>
            <w:vMerge/>
            <w:tcBorders>
              <w:top w:val="nil"/>
            </w:tcBorders>
            <w:shd w:val="clear" w:color="auto" w:fill="C1C1C1"/>
          </w:tcPr>
          <w:p>
            <w:pPr>
              <w:rPr>
                <w:sz w:val="2"/>
                <w:szCs w:val="2"/>
              </w:rPr>
            </w:pPr>
          </w:p>
        </w:tc>
      </w:tr>
      <w:tr>
        <w:trPr>
          <w:trHeight w:val="270" w:hRule="atLeast"/>
        </w:trPr>
        <w:tc>
          <w:tcPr>
            <w:tcW w:w="2254" w:type="dxa"/>
            <w:vMerge/>
            <w:tcBorders>
              <w:top w:val="nil"/>
            </w:tcBorders>
            <w:shd w:val="clear" w:color="auto" w:fill="C1C1C1"/>
          </w:tcPr>
          <w:p>
            <w:pPr>
              <w:rPr>
                <w:sz w:val="2"/>
                <w:szCs w:val="2"/>
              </w:rPr>
            </w:pPr>
          </w:p>
        </w:tc>
        <w:tc>
          <w:tcPr>
            <w:tcW w:w="112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620" w:type="dxa"/>
            <w:vMerge/>
            <w:tcBorders>
              <w:top w:val="nil"/>
            </w:tcBorders>
            <w:shd w:val="clear" w:color="auto" w:fill="C1C1C1"/>
          </w:tcPr>
          <w:p>
            <w:pPr>
              <w:rPr>
                <w:sz w:val="2"/>
                <w:szCs w:val="2"/>
              </w:rPr>
            </w:pPr>
          </w:p>
        </w:tc>
        <w:tc>
          <w:tcPr>
            <w:tcW w:w="114" w:type="dxa"/>
            <w:vMerge/>
            <w:tcBorders>
              <w:top w:val="nil"/>
            </w:tcBorders>
            <w:shd w:val="clear" w:color="auto" w:fill="C1C1C1"/>
          </w:tcPr>
          <w:p>
            <w:pPr>
              <w:rPr>
                <w:sz w:val="2"/>
                <w:szCs w:val="2"/>
              </w:rPr>
            </w:pPr>
          </w:p>
        </w:tc>
        <w:tc>
          <w:tcPr>
            <w:tcW w:w="1319" w:type="dxa"/>
            <w:shd w:val="clear" w:color="auto" w:fill="C1C1C1"/>
          </w:tcPr>
          <w:p>
            <w:pPr>
              <w:pStyle w:val="TableParagraph"/>
              <w:spacing w:before="18"/>
              <w:ind w:left="82" w:right="83"/>
              <w:jc w:val="center"/>
              <w:rPr>
                <w:sz w:val="20"/>
              </w:rPr>
            </w:pPr>
            <w:r>
              <w:rPr>
                <w:sz w:val="20"/>
              </w:rPr>
              <w:t>100</w:t>
            </w:r>
          </w:p>
        </w:tc>
        <w:tc>
          <w:tcPr>
            <w:tcW w:w="2159" w:type="dxa"/>
            <w:shd w:val="clear" w:color="auto" w:fill="C1C1C1"/>
          </w:tcPr>
          <w:p>
            <w:pPr>
              <w:pStyle w:val="TableParagraph"/>
              <w:spacing w:before="18"/>
              <w:ind w:left="296" w:right="297"/>
              <w:jc w:val="center"/>
              <w:rPr>
                <w:sz w:val="20"/>
              </w:rPr>
            </w:pPr>
            <w:r>
              <w:rPr>
                <w:sz w:val="20"/>
              </w:rPr>
              <w:t>Static display</w:t>
            </w:r>
          </w:p>
        </w:tc>
        <w:tc>
          <w:tcPr>
            <w:tcW w:w="4427" w:type="dxa"/>
            <w:vMerge/>
            <w:tcBorders>
              <w:top w:val="nil"/>
            </w:tcBorders>
            <w:shd w:val="clear" w:color="auto" w:fill="C1C1C1"/>
          </w:tcPr>
          <w:p>
            <w:pPr>
              <w:rPr>
                <w:sz w:val="2"/>
                <w:szCs w:val="2"/>
              </w:rPr>
            </w:pPr>
          </w:p>
        </w:tc>
      </w:tr>
      <w:tr>
        <w:trPr>
          <w:trHeight w:val="268" w:hRule="atLeast"/>
        </w:trPr>
        <w:tc>
          <w:tcPr>
            <w:tcW w:w="2254" w:type="dxa"/>
            <w:vMerge/>
            <w:tcBorders>
              <w:top w:val="nil"/>
            </w:tcBorders>
            <w:shd w:val="clear" w:color="auto" w:fill="C1C1C1"/>
          </w:tcPr>
          <w:p>
            <w:pPr>
              <w:rPr>
                <w:sz w:val="2"/>
                <w:szCs w:val="2"/>
              </w:rPr>
            </w:pPr>
          </w:p>
        </w:tc>
        <w:tc>
          <w:tcPr>
            <w:tcW w:w="112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620" w:type="dxa"/>
            <w:vMerge/>
            <w:tcBorders>
              <w:top w:val="nil"/>
            </w:tcBorders>
            <w:shd w:val="clear" w:color="auto" w:fill="C1C1C1"/>
          </w:tcPr>
          <w:p>
            <w:pPr>
              <w:rPr>
                <w:sz w:val="2"/>
                <w:szCs w:val="2"/>
              </w:rPr>
            </w:pPr>
          </w:p>
        </w:tc>
        <w:tc>
          <w:tcPr>
            <w:tcW w:w="114" w:type="dxa"/>
            <w:vMerge/>
            <w:tcBorders>
              <w:top w:val="nil"/>
            </w:tcBorders>
            <w:shd w:val="clear" w:color="auto" w:fill="C1C1C1"/>
          </w:tcPr>
          <w:p>
            <w:pPr>
              <w:rPr>
                <w:sz w:val="2"/>
                <w:szCs w:val="2"/>
              </w:rPr>
            </w:pPr>
          </w:p>
        </w:tc>
        <w:tc>
          <w:tcPr>
            <w:tcW w:w="1319" w:type="dxa"/>
            <w:shd w:val="clear" w:color="auto" w:fill="C1C1C1"/>
          </w:tcPr>
          <w:p>
            <w:pPr>
              <w:pStyle w:val="TableParagraph"/>
              <w:spacing w:before="18"/>
              <w:ind w:left="82" w:right="83"/>
              <w:jc w:val="center"/>
              <w:rPr>
                <w:sz w:val="20"/>
              </w:rPr>
            </w:pPr>
            <w:r>
              <w:rPr>
                <w:sz w:val="20"/>
              </w:rPr>
              <w:t>101</w:t>
            </w:r>
          </w:p>
        </w:tc>
        <w:tc>
          <w:tcPr>
            <w:tcW w:w="2159" w:type="dxa"/>
            <w:shd w:val="clear" w:color="auto" w:fill="C1C1C1"/>
          </w:tcPr>
          <w:p>
            <w:pPr>
              <w:pStyle w:val="TableParagraph"/>
              <w:spacing w:before="18"/>
              <w:ind w:left="296" w:right="300"/>
              <w:jc w:val="center"/>
              <w:rPr>
                <w:sz w:val="20"/>
              </w:rPr>
            </w:pPr>
            <w:r>
              <w:rPr>
                <w:sz w:val="20"/>
              </w:rPr>
              <w:t>5 states, 1/3 bias</w:t>
            </w:r>
          </w:p>
        </w:tc>
        <w:tc>
          <w:tcPr>
            <w:tcW w:w="4427" w:type="dxa"/>
            <w:vMerge/>
            <w:tcBorders>
              <w:top w:val="nil"/>
            </w:tcBorders>
            <w:shd w:val="clear" w:color="auto" w:fill="C1C1C1"/>
          </w:tcPr>
          <w:p>
            <w:pPr>
              <w:rPr>
                <w:sz w:val="2"/>
                <w:szCs w:val="2"/>
              </w:rPr>
            </w:pPr>
          </w:p>
        </w:tc>
      </w:tr>
      <w:tr>
        <w:trPr>
          <w:trHeight w:val="289" w:hRule="atLeast"/>
        </w:trPr>
        <w:tc>
          <w:tcPr>
            <w:tcW w:w="2254" w:type="dxa"/>
            <w:vMerge/>
            <w:tcBorders>
              <w:top w:val="nil"/>
            </w:tcBorders>
            <w:shd w:val="clear" w:color="auto" w:fill="C1C1C1"/>
          </w:tcPr>
          <w:p>
            <w:pPr>
              <w:rPr>
                <w:sz w:val="2"/>
                <w:szCs w:val="2"/>
              </w:rPr>
            </w:pPr>
          </w:p>
        </w:tc>
        <w:tc>
          <w:tcPr>
            <w:tcW w:w="112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620" w:type="dxa"/>
            <w:vMerge/>
            <w:tcBorders>
              <w:top w:val="nil"/>
            </w:tcBorders>
            <w:shd w:val="clear" w:color="auto" w:fill="C1C1C1"/>
          </w:tcPr>
          <w:p>
            <w:pPr>
              <w:rPr>
                <w:sz w:val="2"/>
                <w:szCs w:val="2"/>
              </w:rPr>
            </w:pPr>
          </w:p>
        </w:tc>
        <w:tc>
          <w:tcPr>
            <w:tcW w:w="114" w:type="dxa"/>
            <w:vMerge/>
            <w:tcBorders>
              <w:top w:val="nil"/>
            </w:tcBorders>
            <w:shd w:val="clear" w:color="auto" w:fill="C1C1C1"/>
          </w:tcPr>
          <w:p>
            <w:pPr>
              <w:rPr>
                <w:sz w:val="2"/>
                <w:szCs w:val="2"/>
              </w:rPr>
            </w:pPr>
          </w:p>
        </w:tc>
        <w:tc>
          <w:tcPr>
            <w:tcW w:w="1319" w:type="dxa"/>
            <w:tcBorders>
              <w:bottom w:val="double" w:sz="1" w:space="0" w:color="000000"/>
            </w:tcBorders>
            <w:shd w:val="clear" w:color="auto" w:fill="C1C1C1"/>
          </w:tcPr>
          <w:p>
            <w:pPr>
              <w:pStyle w:val="TableParagraph"/>
              <w:spacing w:before="18"/>
              <w:ind w:left="82" w:right="83"/>
              <w:jc w:val="center"/>
              <w:rPr>
                <w:sz w:val="20"/>
              </w:rPr>
            </w:pPr>
            <w:r>
              <w:rPr>
                <w:sz w:val="20"/>
              </w:rPr>
              <w:t>110</w:t>
            </w:r>
          </w:p>
        </w:tc>
        <w:tc>
          <w:tcPr>
            <w:tcW w:w="2159" w:type="dxa"/>
            <w:tcBorders>
              <w:bottom w:val="double" w:sz="1" w:space="0" w:color="000000"/>
            </w:tcBorders>
            <w:shd w:val="clear" w:color="auto" w:fill="C1C1C1"/>
          </w:tcPr>
          <w:p>
            <w:pPr>
              <w:pStyle w:val="TableParagraph"/>
              <w:spacing w:before="18"/>
              <w:ind w:left="296" w:right="300"/>
              <w:jc w:val="center"/>
              <w:rPr>
                <w:sz w:val="20"/>
              </w:rPr>
            </w:pPr>
            <w:r>
              <w:rPr>
                <w:sz w:val="20"/>
              </w:rPr>
              <w:t>6 states, 1/3 bias</w:t>
            </w:r>
          </w:p>
        </w:tc>
        <w:tc>
          <w:tcPr>
            <w:tcW w:w="4427" w:type="dxa"/>
            <w:vMerge/>
            <w:tcBorders>
              <w:top w:val="nil"/>
            </w:tcBorders>
            <w:shd w:val="clear" w:color="auto" w:fill="C1C1C1"/>
          </w:tcPr>
          <w:p>
            <w:pPr>
              <w:rPr>
                <w:sz w:val="2"/>
                <w:szCs w:val="2"/>
              </w:rPr>
            </w:pPr>
          </w:p>
        </w:tc>
      </w:tr>
      <w:tr>
        <w:trPr>
          <w:trHeight w:val="500" w:hRule="atLeast"/>
        </w:trPr>
        <w:tc>
          <w:tcPr>
            <w:tcW w:w="2254" w:type="dxa"/>
            <w:shd w:val="clear" w:color="auto" w:fill="C1C1C1"/>
          </w:tcPr>
          <w:p>
            <w:pPr>
              <w:pStyle w:val="TableParagraph"/>
              <w:spacing w:before="4"/>
              <w:ind w:left="107"/>
              <w:rPr>
                <w:rFonts w:ascii="Times New Roman"/>
                <w:i/>
                <w:sz w:val="20"/>
              </w:rPr>
            </w:pPr>
            <w:r>
              <w:rPr>
                <w:rFonts w:ascii="Times New Roman"/>
                <w:i/>
                <w:sz w:val="20"/>
              </w:rPr>
              <w:t>LCD_ON</w:t>
            </w:r>
          </w:p>
          <w:p>
            <w:pPr>
              <w:pStyle w:val="TableParagraph"/>
              <w:spacing w:before="10"/>
              <w:ind w:left="107"/>
              <w:rPr>
                <w:rFonts w:ascii="Times New Roman"/>
                <w:i/>
                <w:sz w:val="20"/>
              </w:rPr>
            </w:pPr>
            <w:r>
              <w:rPr>
                <w:rFonts w:ascii="Times New Roman"/>
                <w:i/>
                <w:sz w:val="20"/>
              </w:rPr>
              <w:t>LCD_BLANK</w:t>
            </w:r>
          </w:p>
        </w:tc>
        <w:tc>
          <w:tcPr>
            <w:tcW w:w="1124" w:type="dxa"/>
            <w:shd w:val="clear" w:color="auto" w:fill="C1C1C1"/>
          </w:tcPr>
          <w:p>
            <w:pPr>
              <w:pStyle w:val="TableParagraph"/>
              <w:spacing w:before="8"/>
              <w:ind w:left="210"/>
              <w:rPr>
                <w:sz w:val="20"/>
              </w:rPr>
            </w:pPr>
            <w:r>
              <w:rPr>
                <w:sz w:val="20"/>
              </w:rPr>
              <w:t>240C[0]</w:t>
            </w:r>
          </w:p>
          <w:p>
            <w:pPr>
              <w:pStyle w:val="TableParagraph"/>
              <w:spacing w:before="10"/>
              <w:ind w:left="210"/>
              <w:rPr>
                <w:sz w:val="20"/>
              </w:rPr>
            </w:pPr>
            <w:r>
              <w:rPr>
                <w:sz w:val="20"/>
              </w:rPr>
              <w:t>240C[1]</w:t>
            </w:r>
          </w:p>
        </w:tc>
        <w:tc>
          <w:tcPr>
            <w:tcW w:w="344" w:type="dxa"/>
            <w:shd w:val="clear" w:color="auto" w:fill="C1C1C1"/>
          </w:tcPr>
          <w:p>
            <w:pPr>
              <w:pStyle w:val="TableParagraph"/>
              <w:spacing w:before="8"/>
              <w:ind w:left="113"/>
              <w:rPr>
                <w:sz w:val="20"/>
              </w:rPr>
            </w:pPr>
            <w:r>
              <w:rPr>
                <w:w w:val="99"/>
                <w:sz w:val="20"/>
              </w:rPr>
              <w:t>0</w:t>
            </w:r>
          </w:p>
          <w:p>
            <w:pPr>
              <w:pStyle w:val="TableParagraph"/>
              <w:spacing w:before="10"/>
              <w:ind w:left="113"/>
              <w:rPr>
                <w:sz w:val="20"/>
              </w:rPr>
            </w:pPr>
            <w:r>
              <w:rPr>
                <w:w w:val="99"/>
                <w:sz w:val="20"/>
              </w:rPr>
              <w:t>0</w:t>
            </w:r>
          </w:p>
        </w:tc>
        <w:tc>
          <w:tcPr>
            <w:tcW w:w="344" w:type="dxa"/>
            <w:shd w:val="clear" w:color="auto" w:fill="C1C1C1"/>
          </w:tcPr>
          <w:p>
            <w:pPr>
              <w:pStyle w:val="TableParagraph"/>
              <w:spacing w:before="8"/>
              <w:ind w:left="113"/>
              <w:rPr>
                <w:sz w:val="20"/>
              </w:rPr>
            </w:pPr>
            <w:r>
              <w:rPr>
                <w:w w:val="99"/>
                <w:sz w:val="20"/>
              </w:rPr>
              <w:t>–</w:t>
            </w:r>
          </w:p>
          <w:p>
            <w:pPr>
              <w:pStyle w:val="TableParagraph"/>
              <w:spacing w:before="10"/>
              <w:ind w:left="113"/>
              <w:rPr>
                <w:sz w:val="20"/>
              </w:rPr>
            </w:pPr>
            <w:r>
              <w:rPr>
                <w:w w:val="99"/>
                <w:sz w:val="20"/>
              </w:rPr>
              <w:t>–</w:t>
            </w:r>
          </w:p>
        </w:tc>
        <w:tc>
          <w:tcPr>
            <w:tcW w:w="620" w:type="dxa"/>
            <w:shd w:val="clear" w:color="auto" w:fill="C1C1C1"/>
          </w:tcPr>
          <w:p>
            <w:pPr>
              <w:pStyle w:val="TableParagraph"/>
              <w:spacing w:line="240" w:lineRule="exact" w:before="4"/>
              <w:ind w:left="112"/>
              <w:rPr>
                <w:sz w:val="20"/>
              </w:rPr>
            </w:pPr>
            <w:r>
              <w:rPr>
                <w:sz w:val="20"/>
              </w:rPr>
              <w:t>R/W R/W</w:t>
            </w:r>
          </w:p>
        </w:tc>
        <w:tc>
          <w:tcPr>
            <w:tcW w:w="8019" w:type="dxa"/>
            <w:gridSpan w:val="4"/>
            <w:tcBorders>
              <w:top w:val="nil"/>
            </w:tcBorders>
            <w:shd w:val="clear" w:color="auto" w:fill="C1C1C1"/>
          </w:tcPr>
          <w:p>
            <w:pPr>
              <w:pStyle w:val="TableParagraph"/>
              <w:spacing w:before="8"/>
              <w:ind w:left="104" w:right="164"/>
              <w:rPr>
                <w:sz w:val="20"/>
              </w:rPr>
            </w:pPr>
            <w:r>
              <w:rPr>
                <w:sz w:val="20"/>
              </w:rPr>
              <w:t>Turns on or off all LCD segments without changing LCD data. If both bits are set, the LCD display is turned on.</w:t>
            </w:r>
          </w:p>
        </w:tc>
      </w:tr>
      <w:tr>
        <w:trPr>
          <w:trHeight w:val="729" w:hRule="atLeast"/>
        </w:trPr>
        <w:tc>
          <w:tcPr>
            <w:tcW w:w="2254" w:type="dxa"/>
            <w:shd w:val="clear" w:color="auto" w:fill="C1C1C1"/>
          </w:tcPr>
          <w:p>
            <w:pPr>
              <w:pStyle w:val="TableParagraph"/>
              <w:spacing w:before="1"/>
              <w:rPr>
                <w:b/>
                <w:sz w:val="21"/>
              </w:rPr>
            </w:pPr>
          </w:p>
          <w:p>
            <w:pPr>
              <w:pStyle w:val="TableParagraph"/>
              <w:ind w:left="107"/>
              <w:rPr>
                <w:rFonts w:ascii="Times New Roman"/>
                <w:i/>
                <w:sz w:val="20"/>
              </w:rPr>
            </w:pPr>
            <w:r>
              <w:rPr>
                <w:rFonts w:ascii="Times New Roman"/>
                <w:i/>
                <w:sz w:val="20"/>
              </w:rPr>
              <w:t>LCD_ONLY</w:t>
            </w:r>
          </w:p>
        </w:tc>
        <w:tc>
          <w:tcPr>
            <w:tcW w:w="1124" w:type="dxa"/>
            <w:shd w:val="clear" w:color="auto" w:fill="C1C1C1"/>
          </w:tcPr>
          <w:p>
            <w:pPr>
              <w:pStyle w:val="TableParagraph"/>
              <w:spacing w:before="5"/>
              <w:rPr>
                <w:b/>
                <w:sz w:val="21"/>
              </w:rPr>
            </w:pPr>
          </w:p>
          <w:p>
            <w:pPr>
              <w:pStyle w:val="TableParagraph"/>
              <w:ind w:left="215"/>
              <w:rPr>
                <w:sz w:val="20"/>
              </w:rPr>
            </w:pPr>
            <w:r>
              <w:rPr>
                <w:sz w:val="20"/>
              </w:rPr>
              <w:t>28B2[6]</w:t>
            </w:r>
          </w:p>
        </w:tc>
        <w:tc>
          <w:tcPr>
            <w:tcW w:w="344" w:type="dxa"/>
            <w:shd w:val="clear" w:color="auto" w:fill="C1C1C1"/>
          </w:tcPr>
          <w:p>
            <w:pPr>
              <w:pStyle w:val="TableParagraph"/>
              <w:spacing w:before="5"/>
              <w:rPr>
                <w:b/>
                <w:sz w:val="21"/>
              </w:rPr>
            </w:pPr>
          </w:p>
          <w:p>
            <w:pPr>
              <w:pStyle w:val="TableParagraph"/>
              <w:ind w:left="4"/>
              <w:jc w:val="center"/>
              <w:rPr>
                <w:sz w:val="20"/>
              </w:rPr>
            </w:pPr>
            <w:r>
              <w:rPr>
                <w:w w:val="99"/>
                <w:sz w:val="20"/>
              </w:rPr>
              <w:t>0</w:t>
            </w:r>
          </w:p>
        </w:tc>
        <w:tc>
          <w:tcPr>
            <w:tcW w:w="344" w:type="dxa"/>
            <w:shd w:val="clear" w:color="auto" w:fill="C1C1C1"/>
          </w:tcPr>
          <w:p>
            <w:pPr>
              <w:pStyle w:val="TableParagraph"/>
              <w:spacing w:before="5"/>
              <w:rPr>
                <w:b/>
                <w:sz w:val="21"/>
              </w:rPr>
            </w:pPr>
          </w:p>
          <w:p>
            <w:pPr>
              <w:pStyle w:val="TableParagraph"/>
              <w:ind w:left="2"/>
              <w:jc w:val="center"/>
              <w:rPr>
                <w:sz w:val="20"/>
              </w:rPr>
            </w:pPr>
            <w:r>
              <w:rPr>
                <w:w w:val="99"/>
                <w:sz w:val="20"/>
              </w:rPr>
              <w:t>0</w:t>
            </w:r>
          </w:p>
        </w:tc>
        <w:tc>
          <w:tcPr>
            <w:tcW w:w="620" w:type="dxa"/>
            <w:shd w:val="clear" w:color="auto" w:fill="C1C1C1"/>
          </w:tcPr>
          <w:p>
            <w:pPr>
              <w:pStyle w:val="TableParagraph"/>
              <w:spacing w:before="5"/>
              <w:rPr>
                <w:b/>
                <w:sz w:val="21"/>
              </w:rPr>
            </w:pPr>
          </w:p>
          <w:p>
            <w:pPr>
              <w:pStyle w:val="TableParagraph"/>
              <w:jc w:val="center"/>
              <w:rPr>
                <w:sz w:val="20"/>
              </w:rPr>
            </w:pPr>
            <w:r>
              <w:rPr>
                <w:w w:val="99"/>
                <w:sz w:val="20"/>
              </w:rPr>
              <w:t>W</w:t>
            </w:r>
          </w:p>
        </w:tc>
        <w:tc>
          <w:tcPr>
            <w:tcW w:w="8019" w:type="dxa"/>
            <w:gridSpan w:val="4"/>
            <w:shd w:val="clear" w:color="auto" w:fill="C1C1C1"/>
          </w:tcPr>
          <w:p>
            <w:pPr>
              <w:pStyle w:val="TableParagraph"/>
              <w:spacing w:before="18"/>
              <w:ind w:left="104" w:right="164"/>
              <w:rPr>
                <w:sz w:val="20"/>
              </w:rPr>
            </w:pPr>
            <w:r>
              <w:rPr>
                <w:sz w:val="20"/>
              </w:rPr>
              <w:t>Puts the 71M6543 to sleep, but with LCD display still active. Ignored if system power is present. It awakens when the Wake Timer times out, when certain DIO pins are raised, or when system power returns (see </w:t>
            </w:r>
            <w:hyperlink w:history="true" w:anchor="_bookmark151">
              <w:r>
                <w:rPr>
                  <w:color w:val="0000FF"/>
                  <w:sz w:val="20"/>
                </w:rPr>
                <w:t>3.2 </w:t>
              </w:r>
            </w:hyperlink>
            <w:hyperlink w:history="true" w:anchor="_bookmark151">
              <w:r>
                <w:rPr>
                  <w:color w:val="0000FF"/>
                  <w:sz w:val="20"/>
                </w:rPr>
                <w:t>Battery Modes</w:t>
              </w:r>
            </w:hyperlink>
            <w:r>
              <w:rPr>
                <w:sz w:val="20"/>
              </w:rPr>
              <w:t>).</w:t>
            </w:r>
          </w:p>
        </w:tc>
      </w:tr>
      <w:tr>
        <w:trPr>
          <w:trHeight w:val="501" w:hRule="atLeast"/>
        </w:trPr>
        <w:tc>
          <w:tcPr>
            <w:tcW w:w="2254" w:type="dxa"/>
            <w:shd w:val="clear" w:color="auto" w:fill="C1C1C1"/>
          </w:tcPr>
          <w:p>
            <w:pPr>
              <w:pStyle w:val="TableParagraph"/>
              <w:spacing w:before="130"/>
              <w:ind w:left="107"/>
              <w:rPr>
                <w:rFonts w:ascii="Times New Roman"/>
                <w:i/>
                <w:sz w:val="20"/>
              </w:rPr>
            </w:pPr>
            <w:r>
              <w:rPr>
                <w:rFonts w:ascii="Times New Roman"/>
                <w:i/>
                <w:sz w:val="20"/>
              </w:rPr>
              <w:t>LCD_RST</w:t>
            </w:r>
          </w:p>
        </w:tc>
        <w:tc>
          <w:tcPr>
            <w:tcW w:w="1124" w:type="dxa"/>
            <w:shd w:val="clear" w:color="auto" w:fill="C1C1C1"/>
          </w:tcPr>
          <w:p>
            <w:pPr>
              <w:pStyle w:val="TableParagraph"/>
              <w:spacing w:before="134"/>
              <w:ind w:left="210"/>
              <w:rPr>
                <w:sz w:val="20"/>
              </w:rPr>
            </w:pPr>
            <w:r>
              <w:rPr>
                <w:sz w:val="20"/>
              </w:rPr>
              <w:t>240C[2]</w:t>
            </w:r>
          </w:p>
        </w:tc>
        <w:tc>
          <w:tcPr>
            <w:tcW w:w="344" w:type="dxa"/>
            <w:shd w:val="clear" w:color="auto" w:fill="C1C1C1"/>
          </w:tcPr>
          <w:p>
            <w:pPr>
              <w:pStyle w:val="TableParagraph"/>
              <w:spacing w:before="134"/>
              <w:ind w:left="4"/>
              <w:jc w:val="center"/>
              <w:rPr>
                <w:sz w:val="20"/>
              </w:rPr>
            </w:pPr>
            <w:r>
              <w:rPr>
                <w:w w:val="99"/>
                <w:sz w:val="20"/>
              </w:rPr>
              <w:t>0</w:t>
            </w:r>
          </w:p>
        </w:tc>
        <w:tc>
          <w:tcPr>
            <w:tcW w:w="344" w:type="dxa"/>
            <w:shd w:val="clear" w:color="auto" w:fill="C1C1C1"/>
          </w:tcPr>
          <w:p>
            <w:pPr>
              <w:pStyle w:val="TableParagraph"/>
              <w:spacing w:before="134"/>
              <w:ind w:left="2"/>
              <w:jc w:val="center"/>
              <w:rPr>
                <w:sz w:val="20"/>
              </w:rPr>
            </w:pPr>
            <w:r>
              <w:rPr>
                <w:w w:val="99"/>
                <w:sz w:val="20"/>
              </w:rPr>
              <w:t>–</w:t>
            </w:r>
          </w:p>
        </w:tc>
        <w:tc>
          <w:tcPr>
            <w:tcW w:w="620" w:type="dxa"/>
            <w:shd w:val="clear" w:color="auto" w:fill="C1C1C1"/>
          </w:tcPr>
          <w:p>
            <w:pPr>
              <w:pStyle w:val="TableParagraph"/>
              <w:spacing w:before="134"/>
              <w:ind w:left="87" w:right="93"/>
              <w:jc w:val="center"/>
              <w:rPr>
                <w:sz w:val="20"/>
              </w:rPr>
            </w:pPr>
            <w:r>
              <w:rPr>
                <w:sz w:val="20"/>
              </w:rPr>
              <w:t>R/W</w:t>
            </w:r>
          </w:p>
        </w:tc>
        <w:tc>
          <w:tcPr>
            <w:tcW w:w="8019" w:type="dxa"/>
            <w:gridSpan w:val="4"/>
            <w:shd w:val="clear" w:color="auto" w:fill="C1C1C1"/>
          </w:tcPr>
          <w:p>
            <w:pPr>
              <w:pStyle w:val="TableParagraph"/>
              <w:spacing w:before="18"/>
              <w:ind w:left="104"/>
              <w:rPr>
                <w:sz w:val="20"/>
              </w:rPr>
            </w:pPr>
            <w:r>
              <w:rPr>
                <w:sz w:val="20"/>
              </w:rPr>
              <w:t>Clear all bits of LCD data. These bits affect SEGDIO pins that are configured as LCD drivers. This bit does not auto clear.</w:t>
            </w:r>
          </w:p>
        </w:tc>
      </w:tr>
      <w:tr>
        <w:trPr>
          <w:trHeight w:val="729" w:hRule="atLeast"/>
        </w:trPr>
        <w:tc>
          <w:tcPr>
            <w:tcW w:w="2254" w:type="dxa"/>
            <w:shd w:val="clear" w:color="auto" w:fill="C1C1C1"/>
          </w:tcPr>
          <w:p>
            <w:pPr>
              <w:pStyle w:val="TableParagraph"/>
              <w:spacing w:before="12"/>
              <w:ind w:left="107"/>
              <w:rPr>
                <w:rFonts w:ascii="Times New Roman"/>
                <w:i/>
                <w:sz w:val="20"/>
              </w:rPr>
            </w:pPr>
            <w:r>
              <w:rPr>
                <w:rFonts w:ascii="Times New Roman"/>
                <w:i/>
                <w:sz w:val="20"/>
              </w:rPr>
              <w:t>LCD_SEG0[5:0]</w:t>
            </w:r>
          </w:p>
          <w:p>
            <w:pPr>
              <w:pStyle w:val="TableParagraph"/>
              <w:ind w:left="107" w:firstLine="719"/>
              <w:rPr>
                <w:rFonts w:ascii="Times New Roman"/>
                <w:i/>
                <w:sz w:val="20"/>
              </w:rPr>
            </w:pPr>
            <w:r>
              <w:rPr>
                <w:rFonts w:ascii="Times New Roman"/>
                <w:i/>
                <w:sz w:val="20"/>
              </w:rPr>
              <w:t>to </w:t>
            </w:r>
            <w:r>
              <w:rPr>
                <w:rFonts w:ascii="Times New Roman"/>
                <w:i/>
                <w:w w:val="95"/>
                <w:sz w:val="20"/>
              </w:rPr>
              <w:t>LCD_SEG15[5:0]</w:t>
            </w:r>
          </w:p>
        </w:tc>
        <w:tc>
          <w:tcPr>
            <w:tcW w:w="1124" w:type="dxa"/>
            <w:shd w:val="clear" w:color="auto" w:fill="C1C1C1"/>
          </w:tcPr>
          <w:p>
            <w:pPr>
              <w:pStyle w:val="TableParagraph"/>
              <w:spacing w:before="131"/>
              <w:ind w:left="33"/>
              <w:rPr>
                <w:sz w:val="20"/>
              </w:rPr>
            </w:pPr>
            <w:r>
              <w:rPr>
                <w:sz w:val="20"/>
              </w:rPr>
              <w:t>2410[5:0] to</w:t>
            </w:r>
          </w:p>
          <w:p>
            <w:pPr>
              <w:pStyle w:val="TableParagraph"/>
              <w:spacing w:before="1"/>
              <w:ind w:left="138"/>
              <w:rPr>
                <w:sz w:val="20"/>
              </w:rPr>
            </w:pPr>
            <w:r>
              <w:rPr>
                <w:sz w:val="20"/>
              </w:rPr>
              <w:t>241F[5:0]</w:t>
            </w:r>
          </w:p>
        </w:tc>
        <w:tc>
          <w:tcPr>
            <w:tcW w:w="344" w:type="dxa"/>
            <w:shd w:val="clear" w:color="auto" w:fill="C1C1C1"/>
          </w:tcPr>
          <w:p>
            <w:pPr>
              <w:pStyle w:val="TableParagraph"/>
              <w:spacing w:before="5"/>
              <w:rPr>
                <w:b/>
                <w:sz w:val="21"/>
              </w:rPr>
            </w:pPr>
          </w:p>
          <w:p>
            <w:pPr>
              <w:pStyle w:val="TableParagraph"/>
              <w:ind w:left="4"/>
              <w:jc w:val="center"/>
              <w:rPr>
                <w:sz w:val="20"/>
              </w:rPr>
            </w:pPr>
            <w:r>
              <w:rPr>
                <w:w w:val="99"/>
                <w:sz w:val="20"/>
              </w:rPr>
              <w:t>0</w:t>
            </w:r>
          </w:p>
        </w:tc>
        <w:tc>
          <w:tcPr>
            <w:tcW w:w="344" w:type="dxa"/>
            <w:shd w:val="clear" w:color="auto" w:fill="C1C1C1"/>
          </w:tcPr>
          <w:p>
            <w:pPr>
              <w:pStyle w:val="TableParagraph"/>
              <w:spacing w:before="5"/>
              <w:rPr>
                <w:b/>
                <w:sz w:val="21"/>
              </w:rPr>
            </w:pPr>
          </w:p>
          <w:p>
            <w:pPr>
              <w:pStyle w:val="TableParagraph"/>
              <w:ind w:left="2"/>
              <w:jc w:val="center"/>
              <w:rPr>
                <w:sz w:val="20"/>
              </w:rPr>
            </w:pPr>
            <w:r>
              <w:rPr>
                <w:w w:val="99"/>
                <w:sz w:val="20"/>
              </w:rPr>
              <w:t>–</w:t>
            </w:r>
          </w:p>
        </w:tc>
        <w:tc>
          <w:tcPr>
            <w:tcW w:w="620" w:type="dxa"/>
            <w:shd w:val="clear" w:color="auto" w:fill="C1C1C1"/>
          </w:tcPr>
          <w:p>
            <w:pPr>
              <w:pStyle w:val="TableParagraph"/>
              <w:spacing w:before="5"/>
              <w:rPr>
                <w:b/>
                <w:sz w:val="21"/>
              </w:rPr>
            </w:pPr>
          </w:p>
          <w:p>
            <w:pPr>
              <w:pStyle w:val="TableParagraph"/>
              <w:ind w:left="87" w:right="93"/>
              <w:jc w:val="center"/>
              <w:rPr>
                <w:sz w:val="20"/>
              </w:rPr>
            </w:pPr>
            <w:r>
              <w:rPr>
                <w:sz w:val="20"/>
              </w:rPr>
              <w:t>R/W</w:t>
            </w:r>
          </w:p>
        </w:tc>
        <w:tc>
          <w:tcPr>
            <w:tcW w:w="8019" w:type="dxa"/>
            <w:gridSpan w:val="4"/>
            <w:shd w:val="clear" w:color="auto" w:fill="C1C1C1"/>
          </w:tcPr>
          <w:p>
            <w:pPr>
              <w:pStyle w:val="TableParagraph"/>
              <w:spacing w:before="5"/>
              <w:rPr>
                <w:b/>
                <w:sz w:val="21"/>
              </w:rPr>
            </w:pPr>
          </w:p>
          <w:p>
            <w:pPr>
              <w:pStyle w:val="TableParagraph"/>
              <w:ind w:left="104"/>
              <w:rPr>
                <w:sz w:val="20"/>
              </w:rPr>
            </w:pPr>
            <w:r>
              <w:rPr>
                <w:sz w:val="20"/>
              </w:rPr>
              <w:t>SEG Data for SEG0 through SEG15. DIO data for these pins is in SFR space.</w:t>
            </w:r>
          </w:p>
        </w:tc>
      </w:tr>
      <w:tr>
        <w:trPr>
          <w:trHeight w:val="731" w:hRule="atLeast"/>
        </w:trPr>
        <w:tc>
          <w:tcPr>
            <w:tcW w:w="2254" w:type="dxa"/>
            <w:shd w:val="clear" w:color="auto" w:fill="C1C1C1"/>
          </w:tcPr>
          <w:p>
            <w:pPr>
              <w:pStyle w:val="TableParagraph"/>
              <w:spacing w:before="14"/>
              <w:ind w:left="107"/>
              <w:rPr>
                <w:rFonts w:ascii="Times New Roman"/>
                <w:i/>
                <w:sz w:val="20"/>
              </w:rPr>
            </w:pPr>
            <w:r>
              <w:rPr>
                <w:rFonts w:ascii="Times New Roman"/>
                <w:i/>
                <w:sz w:val="20"/>
              </w:rPr>
              <w:t>LCD_SEGDIO16[5:0]</w:t>
            </w:r>
          </w:p>
          <w:p>
            <w:pPr>
              <w:pStyle w:val="TableParagraph"/>
              <w:spacing w:before="1"/>
              <w:ind w:left="107" w:firstLine="719"/>
              <w:rPr>
                <w:rFonts w:ascii="Times New Roman"/>
                <w:i/>
                <w:sz w:val="20"/>
              </w:rPr>
            </w:pPr>
            <w:r>
              <w:rPr>
                <w:rFonts w:ascii="Times New Roman"/>
                <w:i/>
                <w:sz w:val="20"/>
              </w:rPr>
              <w:t>to </w:t>
            </w:r>
            <w:r>
              <w:rPr>
                <w:rFonts w:ascii="Times New Roman"/>
                <w:i/>
                <w:w w:val="95"/>
                <w:sz w:val="20"/>
              </w:rPr>
              <w:t>LCD_SEGDIO45[5:0]</w:t>
            </w:r>
          </w:p>
        </w:tc>
        <w:tc>
          <w:tcPr>
            <w:tcW w:w="1124" w:type="dxa"/>
            <w:shd w:val="clear" w:color="auto" w:fill="C1C1C1"/>
          </w:tcPr>
          <w:p>
            <w:pPr>
              <w:pStyle w:val="TableParagraph"/>
              <w:spacing w:line="229" w:lineRule="exact" w:before="134"/>
              <w:ind w:left="3"/>
              <w:jc w:val="center"/>
              <w:rPr>
                <w:sz w:val="20"/>
              </w:rPr>
            </w:pPr>
            <w:r>
              <w:rPr>
                <w:sz w:val="20"/>
              </w:rPr>
              <w:t>2420[5:0] </w:t>
            </w:r>
            <w:r>
              <w:rPr>
                <w:spacing w:val="-7"/>
                <w:sz w:val="20"/>
              </w:rPr>
              <w:t>to</w:t>
            </w:r>
          </w:p>
          <w:p>
            <w:pPr>
              <w:pStyle w:val="TableParagraph"/>
              <w:spacing w:line="229" w:lineRule="exact"/>
              <w:ind w:left="2"/>
              <w:jc w:val="center"/>
              <w:rPr>
                <w:sz w:val="20"/>
              </w:rPr>
            </w:pPr>
            <w:r>
              <w:rPr>
                <w:sz w:val="20"/>
              </w:rPr>
              <w:t>243D[5:0]</w:t>
            </w:r>
          </w:p>
        </w:tc>
        <w:tc>
          <w:tcPr>
            <w:tcW w:w="344" w:type="dxa"/>
            <w:shd w:val="clear" w:color="auto" w:fill="C1C1C1"/>
          </w:tcPr>
          <w:p>
            <w:pPr>
              <w:pStyle w:val="TableParagraph"/>
              <w:spacing w:before="7"/>
              <w:rPr>
                <w:b/>
                <w:sz w:val="21"/>
              </w:rPr>
            </w:pPr>
          </w:p>
          <w:p>
            <w:pPr>
              <w:pStyle w:val="TableParagraph"/>
              <w:ind w:left="4"/>
              <w:jc w:val="center"/>
              <w:rPr>
                <w:sz w:val="20"/>
              </w:rPr>
            </w:pPr>
            <w:r>
              <w:rPr>
                <w:w w:val="99"/>
                <w:sz w:val="20"/>
              </w:rPr>
              <w:t>0</w:t>
            </w:r>
          </w:p>
        </w:tc>
        <w:tc>
          <w:tcPr>
            <w:tcW w:w="344" w:type="dxa"/>
            <w:shd w:val="clear" w:color="auto" w:fill="C1C1C1"/>
          </w:tcPr>
          <w:p>
            <w:pPr>
              <w:pStyle w:val="TableParagraph"/>
              <w:spacing w:before="7"/>
              <w:rPr>
                <w:b/>
                <w:sz w:val="21"/>
              </w:rPr>
            </w:pPr>
          </w:p>
          <w:p>
            <w:pPr>
              <w:pStyle w:val="TableParagraph"/>
              <w:ind w:left="2"/>
              <w:jc w:val="center"/>
              <w:rPr>
                <w:sz w:val="20"/>
              </w:rPr>
            </w:pPr>
            <w:r>
              <w:rPr>
                <w:w w:val="99"/>
                <w:sz w:val="20"/>
              </w:rPr>
              <w:t>–</w:t>
            </w:r>
          </w:p>
        </w:tc>
        <w:tc>
          <w:tcPr>
            <w:tcW w:w="620" w:type="dxa"/>
            <w:shd w:val="clear" w:color="auto" w:fill="C1C1C1"/>
          </w:tcPr>
          <w:p>
            <w:pPr>
              <w:pStyle w:val="TableParagraph"/>
              <w:spacing w:before="7"/>
              <w:rPr>
                <w:b/>
                <w:sz w:val="21"/>
              </w:rPr>
            </w:pPr>
          </w:p>
          <w:p>
            <w:pPr>
              <w:pStyle w:val="TableParagraph"/>
              <w:ind w:left="87" w:right="93"/>
              <w:jc w:val="center"/>
              <w:rPr>
                <w:sz w:val="20"/>
              </w:rPr>
            </w:pPr>
            <w:r>
              <w:rPr>
                <w:sz w:val="20"/>
              </w:rPr>
              <w:t>R/W</w:t>
            </w:r>
          </w:p>
        </w:tc>
        <w:tc>
          <w:tcPr>
            <w:tcW w:w="8019" w:type="dxa"/>
            <w:gridSpan w:val="4"/>
            <w:shd w:val="clear" w:color="auto" w:fill="C1C1C1"/>
          </w:tcPr>
          <w:p>
            <w:pPr>
              <w:pStyle w:val="TableParagraph"/>
              <w:spacing w:before="134"/>
              <w:ind w:left="104"/>
              <w:rPr>
                <w:sz w:val="20"/>
              </w:rPr>
            </w:pPr>
            <w:r>
              <w:rPr>
                <w:sz w:val="20"/>
              </w:rPr>
              <w:t>SEG and DIO data for SEGDIO16 through SEGDIO45. If configured as DIO, bit 1 is direction (1 is output, 0 is input), bit 0 is data, and the other bits are ignored.</w:t>
            </w:r>
          </w:p>
        </w:tc>
      </w:tr>
    </w:tbl>
    <w:p>
      <w:pPr>
        <w:spacing w:after="0"/>
        <w:rPr>
          <w:sz w:val="20"/>
        </w:rPr>
        <w:sectPr>
          <w:pgSz w:w="15840" w:h="12240" w:orient="landscape"/>
          <w:pgMar w:header="727" w:footer="819" w:top="1180" w:bottom="1000" w:left="1320" w:right="1320"/>
        </w:sectPr>
      </w:pPr>
    </w:p>
    <w:p>
      <w:pPr>
        <w:pStyle w:val="BodyText"/>
        <w:spacing w:before="5"/>
        <w:rPr>
          <w:b/>
          <w:sz w:val="7"/>
        </w:rPr>
      </w:pPr>
    </w:p>
    <w:tbl>
      <w:tblPr>
        <w:tblW w:w="0" w:type="auto"/>
        <w:jc w:val="left"/>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4"/>
        <w:gridCol w:w="1124"/>
        <w:gridCol w:w="344"/>
        <w:gridCol w:w="344"/>
        <w:gridCol w:w="620"/>
        <w:gridCol w:w="114"/>
        <w:gridCol w:w="1451"/>
        <w:gridCol w:w="3637"/>
        <w:gridCol w:w="2816"/>
      </w:tblGrid>
      <w:tr>
        <w:trPr>
          <w:trHeight w:val="309" w:hRule="atLeast"/>
        </w:trPr>
        <w:tc>
          <w:tcPr>
            <w:tcW w:w="2254" w:type="dxa"/>
          </w:tcPr>
          <w:p>
            <w:pPr>
              <w:pStyle w:val="TableParagraph"/>
              <w:spacing w:before="35"/>
              <w:ind w:left="107"/>
              <w:rPr>
                <w:b/>
                <w:sz w:val="20"/>
              </w:rPr>
            </w:pPr>
            <w:r>
              <w:rPr>
                <w:b/>
                <w:sz w:val="20"/>
              </w:rPr>
              <w:t>Name</w:t>
            </w:r>
          </w:p>
        </w:tc>
        <w:tc>
          <w:tcPr>
            <w:tcW w:w="1124" w:type="dxa"/>
          </w:tcPr>
          <w:p>
            <w:pPr>
              <w:pStyle w:val="TableParagraph"/>
              <w:spacing w:before="35"/>
              <w:ind w:left="4"/>
              <w:jc w:val="center"/>
              <w:rPr>
                <w:b/>
                <w:sz w:val="20"/>
              </w:rPr>
            </w:pPr>
            <w:r>
              <w:rPr>
                <w:b/>
                <w:sz w:val="20"/>
              </w:rPr>
              <w:t>Location</w:t>
            </w:r>
          </w:p>
        </w:tc>
        <w:tc>
          <w:tcPr>
            <w:tcW w:w="344" w:type="dxa"/>
          </w:tcPr>
          <w:p>
            <w:pPr>
              <w:pStyle w:val="TableParagraph"/>
              <w:spacing w:before="35"/>
              <w:ind w:left="2"/>
              <w:jc w:val="center"/>
              <w:rPr>
                <w:b/>
                <w:sz w:val="20"/>
              </w:rPr>
            </w:pPr>
            <w:r>
              <w:rPr>
                <w:b/>
                <w:sz w:val="20"/>
              </w:rPr>
              <w:t>Rst</w:t>
            </w:r>
          </w:p>
        </w:tc>
        <w:tc>
          <w:tcPr>
            <w:tcW w:w="344" w:type="dxa"/>
          </w:tcPr>
          <w:p>
            <w:pPr>
              <w:pStyle w:val="TableParagraph"/>
              <w:spacing w:before="35"/>
              <w:ind w:left="6"/>
              <w:jc w:val="center"/>
              <w:rPr>
                <w:b/>
                <w:sz w:val="20"/>
              </w:rPr>
            </w:pPr>
            <w:r>
              <w:rPr>
                <w:b/>
                <w:sz w:val="20"/>
              </w:rPr>
              <w:t>Wk</w:t>
            </w:r>
          </w:p>
        </w:tc>
        <w:tc>
          <w:tcPr>
            <w:tcW w:w="620" w:type="dxa"/>
          </w:tcPr>
          <w:p>
            <w:pPr>
              <w:pStyle w:val="TableParagraph"/>
              <w:spacing w:before="35"/>
              <w:ind w:left="87" w:right="86"/>
              <w:jc w:val="center"/>
              <w:rPr>
                <w:b/>
                <w:sz w:val="20"/>
              </w:rPr>
            </w:pPr>
            <w:r>
              <w:rPr>
                <w:b/>
                <w:sz w:val="20"/>
              </w:rPr>
              <w:t>Dir</w:t>
            </w:r>
          </w:p>
        </w:tc>
        <w:tc>
          <w:tcPr>
            <w:tcW w:w="8018" w:type="dxa"/>
            <w:gridSpan w:val="4"/>
          </w:tcPr>
          <w:p>
            <w:pPr>
              <w:pStyle w:val="TableParagraph"/>
              <w:spacing w:before="35"/>
              <w:ind w:left="104"/>
              <w:rPr>
                <w:b/>
                <w:sz w:val="20"/>
              </w:rPr>
            </w:pPr>
            <w:r>
              <w:rPr>
                <w:b/>
                <w:sz w:val="20"/>
              </w:rPr>
              <w:t>Description</w:t>
            </w:r>
          </w:p>
        </w:tc>
      </w:tr>
      <w:tr>
        <w:trPr>
          <w:trHeight w:val="731" w:hRule="atLeast"/>
        </w:trPr>
        <w:tc>
          <w:tcPr>
            <w:tcW w:w="2254" w:type="dxa"/>
            <w:shd w:val="clear" w:color="auto" w:fill="C1C1C1"/>
          </w:tcPr>
          <w:p>
            <w:pPr>
              <w:pStyle w:val="TableParagraph"/>
              <w:spacing w:before="14"/>
              <w:ind w:left="107"/>
              <w:rPr>
                <w:rFonts w:ascii="Times New Roman"/>
                <w:i/>
                <w:sz w:val="20"/>
              </w:rPr>
            </w:pPr>
            <w:r>
              <w:rPr>
                <w:rFonts w:ascii="Times New Roman"/>
                <w:i/>
                <w:sz w:val="20"/>
              </w:rPr>
              <w:t>LCD_SEG46[5:0]</w:t>
            </w:r>
          </w:p>
          <w:p>
            <w:pPr>
              <w:pStyle w:val="TableParagraph"/>
              <w:spacing w:before="1"/>
              <w:ind w:left="107" w:firstLine="719"/>
              <w:rPr>
                <w:rFonts w:ascii="Times New Roman"/>
                <w:i/>
                <w:sz w:val="20"/>
              </w:rPr>
            </w:pPr>
            <w:r>
              <w:rPr>
                <w:rFonts w:ascii="Times New Roman"/>
                <w:i/>
                <w:sz w:val="20"/>
              </w:rPr>
              <w:t>to </w:t>
            </w:r>
            <w:r>
              <w:rPr>
                <w:rFonts w:ascii="Times New Roman"/>
                <w:i/>
                <w:w w:val="95"/>
                <w:sz w:val="20"/>
              </w:rPr>
              <w:t>LCD_SEG50[5:0]</w:t>
            </w:r>
          </w:p>
        </w:tc>
        <w:tc>
          <w:tcPr>
            <w:tcW w:w="1124" w:type="dxa"/>
            <w:shd w:val="clear" w:color="auto" w:fill="C1C1C1"/>
          </w:tcPr>
          <w:p>
            <w:pPr>
              <w:pStyle w:val="TableParagraph"/>
              <w:spacing w:before="134"/>
              <w:ind w:left="33" w:right="4" w:firstLine="100"/>
              <w:rPr>
                <w:sz w:val="20"/>
              </w:rPr>
            </w:pPr>
            <w:r>
              <w:rPr>
                <w:sz w:val="20"/>
              </w:rPr>
              <w:t>243E[5:0] to 2442[5:0]</w:t>
            </w:r>
          </w:p>
        </w:tc>
        <w:tc>
          <w:tcPr>
            <w:tcW w:w="344" w:type="dxa"/>
            <w:shd w:val="clear" w:color="auto" w:fill="C1C1C1"/>
          </w:tcPr>
          <w:p>
            <w:pPr>
              <w:pStyle w:val="TableParagraph"/>
              <w:spacing w:before="7"/>
              <w:rPr>
                <w:b/>
                <w:sz w:val="21"/>
              </w:rPr>
            </w:pPr>
          </w:p>
          <w:p>
            <w:pPr>
              <w:pStyle w:val="TableParagraph"/>
              <w:ind w:left="4"/>
              <w:jc w:val="center"/>
              <w:rPr>
                <w:sz w:val="20"/>
              </w:rPr>
            </w:pPr>
            <w:r>
              <w:rPr>
                <w:w w:val="99"/>
                <w:sz w:val="20"/>
              </w:rPr>
              <w:t>0</w:t>
            </w:r>
          </w:p>
        </w:tc>
        <w:tc>
          <w:tcPr>
            <w:tcW w:w="344" w:type="dxa"/>
            <w:shd w:val="clear" w:color="auto" w:fill="C1C1C1"/>
          </w:tcPr>
          <w:p>
            <w:pPr>
              <w:pStyle w:val="TableParagraph"/>
              <w:spacing w:before="7"/>
              <w:rPr>
                <w:b/>
                <w:sz w:val="21"/>
              </w:rPr>
            </w:pPr>
          </w:p>
          <w:p>
            <w:pPr>
              <w:pStyle w:val="TableParagraph"/>
              <w:ind w:left="2"/>
              <w:jc w:val="center"/>
              <w:rPr>
                <w:sz w:val="20"/>
              </w:rPr>
            </w:pPr>
            <w:r>
              <w:rPr>
                <w:w w:val="99"/>
                <w:sz w:val="20"/>
              </w:rPr>
              <w:t>–</w:t>
            </w:r>
          </w:p>
        </w:tc>
        <w:tc>
          <w:tcPr>
            <w:tcW w:w="620" w:type="dxa"/>
            <w:shd w:val="clear" w:color="auto" w:fill="C1C1C1"/>
          </w:tcPr>
          <w:p>
            <w:pPr>
              <w:pStyle w:val="TableParagraph"/>
              <w:spacing w:before="7"/>
              <w:rPr>
                <w:b/>
                <w:sz w:val="21"/>
              </w:rPr>
            </w:pPr>
          </w:p>
          <w:p>
            <w:pPr>
              <w:pStyle w:val="TableParagraph"/>
              <w:ind w:left="87" w:right="93"/>
              <w:jc w:val="center"/>
              <w:rPr>
                <w:sz w:val="20"/>
              </w:rPr>
            </w:pPr>
            <w:r>
              <w:rPr>
                <w:sz w:val="20"/>
              </w:rPr>
              <w:t>R/W</w:t>
            </w:r>
          </w:p>
        </w:tc>
        <w:tc>
          <w:tcPr>
            <w:tcW w:w="8018" w:type="dxa"/>
            <w:gridSpan w:val="4"/>
            <w:shd w:val="clear" w:color="auto" w:fill="C1C1C1"/>
          </w:tcPr>
          <w:p>
            <w:pPr>
              <w:pStyle w:val="TableParagraph"/>
              <w:spacing w:before="7"/>
              <w:rPr>
                <w:b/>
                <w:sz w:val="21"/>
              </w:rPr>
            </w:pPr>
          </w:p>
          <w:p>
            <w:pPr>
              <w:pStyle w:val="TableParagraph"/>
              <w:ind w:left="104"/>
              <w:rPr>
                <w:sz w:val="20"/>
              </w:rPr>
            </w:pPr>
            <w:r>
              <w:rPr>
                <w:sz w:val="20"/>
              </w:rPr>
              <w:t>SEG data for SEG46 through SEG50. These pins cannot be configured as DIO.</w:t>
            </w:r>
          </w:p>
        </w:tc>
      </w:tr>
      <w:tr>
        <w:trPr>
          <w:trHeight w:val="729" w:hRule="atLeast"/>
        </w:trPr>
        <w:tc>
          <w:tcPr>
            <w:tcW w:w="2254" w:type="dxa"/>
            <w:shd w:val="clear" w:color="auto" w:fill="C1C1C1"/>
          </w:tcPr>
          <w:p>
            <w:pPr>
              <w:pStyle w:val="TableParagraph"/>
              <w:spacing w:before="12"/>
              <w:ind w:left="107"/>
              <w:rPr>
                <w:rFonts w:ascii="Times New Roman"/>
                <w:i/>
                <w:sz w:val="20"/>
              </w:rPr>
            </w:pPr>
            <w:r>
              <w:rPr>
                <w:rFonts w:ascii="Times New Roman"/>
                <w:i/>
                <w:sz w:val="20"/>
              </w:rPr>
              <w:t>LCD_SEGDIO51[5:0]</w:t>
            </w:r>
          </w:p>
          <w:p>
            <w:pPr>
              <w:pStyle w:val="TableParagraph"/>
              <w:ind w:left="107" w:firstLine="719"/>
              <w:rPr>
                <w:rFonts w:ascii="Times New Roman"/>
                <w:i/>
                <w:sz w:val="20"/>
              </w:rPr>
            </w:pPr>
            <w:r>
              <w:rPr>
                <w:rFonts w:ascii="Times New Roman"/>
                <w:i/>
                <w:sz w:val="20"/>
              </w:rPr>
              <w:t>to </w:t>
            </w:r>
            <w:r>
              <w:rPr>
                <w:rFonts w:ascii="Times New Roman"/>
                <w:i/>
                <w:w w:val="95"/>
                <w:sz w:val="20"/>
              </w:rPr>
              <w:t>LCD_SEGDIO55[5:0]</w:t>
            </w:r>
          </w:p>
        </w:tc>
        <w:tc>
          <w:tcPr>
            <w:tcW w:w="1124" w:type="dxa"/>
            <w:shd w:val="clear" w:color="auto" w:fill="C1C1C1"/>
          </w:tcPr>
          <w:p>
            <w:pPr>
              <w:pStyle w:val="TableParagraph"/>
              <w:spacing w:before="131"/>
              <w:ind w:left="3"/>
              <w:jc w:val="center"/>
              <w:rPr>
                <w:sz w:val="20"/>
              </w:rPr>
            </w:pPr>
            <w:r>
              <w:rPr>
                <w:sz w:val="20"/>
              </w:rPr>
              <w:t>2443[5:0] </w:t>
            </w:r>
            <w:r>
              <w:rPr>
                <w:spacing w:val="-7"/>
                <w:sz w:val="20"/>
              </w:rPr>
              <w:t>to</w:t>
            </w:r>
          </w:p>
          <w:p>
            <w:pPr>
              <w:pStyle w:val="TableParagraph"/>
              <w:spacing w:before="1"/>
              <w:ind w:left="5"/>
              <w:jc w:val="center"/>
              <w:rPr>
                <w:sz w:val="20"/>
              </w:rPr>
            </w:pPr>
            <w:r>
              <w:rPr>
                <w:sz w:val="20"/>
              </w:rPr>
              <w:t>2447[5:0]</w:t>
            </w:r>
          </w:p>
        </w:tc>
        <w:tc>
          <w:tcPr>
            <w:tcW w:w="344" w:type="dxa"/>
            <w:shd w:val="clear" w:color="auto" w:fill="C1C1C1"/>
          </w:tcPr>
          <w:p>
            <w:pPr>
              <w:pStyle w:val="TableParagraph"/>
              <w:spacing w:before="5"/>
              <w:rPr>
                <w:b/>
                <w:sz w:val="21"/>
              </w:rPr>
            </w:pPr>
          </w:p>
          <w:p>
            <w:pPr>
              <w:pStyle w:val="TableParagraph"/>
              <w:ind w:left="4"/>
              <w:jc w:val="center"/>
              <w:rPr>
                <w:sz w:val="20"/>
              </w:rPr>
            </w:pPr>
            <w:r>
              <w:rPr>
                <w:w w:val="99"/>
                <w:sz w:val="20"/>
              </w:rPr>
              <w:t>0</w:t>
            </w:r>
          </w:p>
        </w:tc>
        <w:tc>
          <w:tcPr>
            <w:tcW w:w="344" w:type="dxa"/>
            <w:shd w:val="clear" w:color="auto" w:fill="C1C1C1"/>
          </w:tcPr>
          <w:p>
            <w:pPr>
              <w:pStyle w:val="TableParagraph"/>
              <w:spacing w:before="5"/>
              <w:rPr>
                <w:b/>
                <w:sz w:val="21"/>
              </w:rPr>
            </w:pPr>
          </w:p>
          <w:p>
            <w:pPr>
              <w:pStyle w:val="TableParagraph"/>
              <w:ind w:left="2"/>
              <w:jc w:val="center"/>
              <w:rPr>
                <w:sz w:val="20"/>
              </w:rPr>
            </w:pPr>
            <w:r>
              <w:rPr>
                <w:w w:val="99"/>
                <w:sz w:val="20"/>
              </w:rPr>
              <w:t>–</w:t>
            </w:r>
          </w:p>
        </w:tc>
        <w:tc>
          <w:tcPr>
            <w:tcW w:w="620" w:type="dxa"/>
            <w:shd w:val="clear" w:color="auto" w:fill="C1C1C1"/>
          </w:tcPr>
          <w:p>
            <w:pPr>
              <w:pStyle w:val="TableParagraph"/>
              <w:spacing w:before="5"/>
              <w:rPr>
                <w:b/>
                <w:sz w:val="21"/>
              </w:rPr>
            </w:pPr>
          </w:p>
          <w:p>
            <w:pPr>
              <w:pStyle w:val="TableParagraph"/>
              <w:ind w:left="87" w:right="93"/>
              <w:jc w:val="center"/>
              <w:rPr>
                <w:sz w:val="20"/>
              </w:rPr>
            </w:pPr>
            <w:r>
              <w:rPr>
                <w:sz w:val="20"/>
              </w:rPr>
              <w:t>R/W</w:t>
            </w:r>
          </w:p>
        </w:tc>
        <w:tc>
          <w:tcPr>
            <w:tcW w:w="8018" w:type="dxa"/>
            <w:gridSpan w:val="4"/>
            <w:shd w:val="clear" w:color="auto" w:fill="C1C1C1"/>
          </w:tcPr>
          <w:p>
            <w:pPr>
              <w:pStyle w:val="TableParagraph"/>
              <w:spacing w:before="131"/>
              <w:ind w:left="104"/>
              <w:rPr>
                <w:sz w:val="20"/>
              </w:rPr>
            </w:pPr>
            <w:r>
              <w:rPr>
                <w:sz w:val="20"/>
              </w:rPr>
              <w:t>SEG and DIO data for SEGDIO51 through SEGDIO55. If configured as DIO, bit 1 is direction (1 is output, 0 is input), bit 0 is data, and the other bits are ignored.</w:t>
            </w:r>
          </w:p>
        </w:tc>
      </w:tr>
      <w:tr>
        <w:trPr>
          <w:trHeight w:val="290" w:hRule="atLeast"/>
        </w:trPr>
        <w:tc>
          <w:tcPr>
            <w:tcW w:w="2254" w:type="dxa"/>
            <w:vMerge w:val="restart"/>
            <w:shd w:val="clear" w:color="auto" w:fill="C1C1C1"/>
          </w:tcPr>
          <w:p>
            <w:pPr>
              <w:pStyle w:val="TableParagraph"/>
              <w:rPr>
                <w:b/>
                <w:sz w:val="22"/>
              </w:rPr>
            </w:pPr>
          </w:p>
          <w:p>
            <w:pPr>
              <w:pStyle w:val="TableParagraph"/>
              <w:rPr>
                <w:b/>
                <w:sz w:val="22"/>
              </w:rPr>
            </w:pPr>
          </w:p>
          <w:p>
            <w:pPr>
              <w:pStyle w:val="TableParagraph"/>
              <w:spacing w:before="1"/>
              <w:rPr>
                <w:b/>
                <w:sz w:val="20"/>
              </w:rPr>
            </w:pPr>
          </w:p>
          <w:p>
            <w:pPr>
              <w:pStyle w:val="TableParagraph"/>
              <w:ind w:left="107"/>
              <w:rPr>
                <w:rFonts w:ascii="Times New Roman"/>
                <w:i/>
                <w:sz w:val="20"/>
              </w:rPr>
            </w:pPr>
            <w:r>
              <w:rPr>
                <w:rFonts w:ascii="Times New Roman"/>
                <w:i/>
                <w:sz w:val="20"/>
              </w:rPr>
              <w:t>LCD_VMODE[1:0]</w:t>
            </w:r>
          </w:p>
        </w:tc>
        <w:tc>
          <w:tcPr>
            <w:tcW w:w="1124" w:type="dxa"/>
            <w:vMerge w:val="restart"/>
            <w:shd w:val="clear" w:color="auto" w:fill="C1C1C1"/>
          </w:tcPr>
          <w:p>
            <w:pPr>
              <w:pStyle w:val="TableParagraph"/>
              <w:rPr>
                <w:b/>
                <w:sz w:val="22"/>
              </w:rPr>
            </w:pPr>
          </w:p>
          <w:p>
            <w:pPr>
              <w:pStyle w:val="TableParagraph"/>
              <w:rPr>
                <w:b/>
                <w:sz w:val="22"/>
              </w:rPr>
            </w:pPr>
          </w:p>
          <w:p>
            <w:pPr>
              <w:pStyle w:val="TableParagraph"/>
              <w:spacing w:before="5"/>
              <w:rPr>
                <w:b/>
                <w:sz w:val="20"/>
              </w:rPr>
            </w:pPr>
          </w:p>
          <w:p>
            <w:pPr>
              <w:pStyle w:val="TableParagraph"/>
              <w:ind w:left="143"/>
              <w:rPr>
                <w:sz w:val="20"/>
              </w:rPr>
            </w:pPr>
            <w:r>
              <w:rPr>
                <w:sz w:val="20"/>
              </w:rPr>
              <w:t>2401[7:6]</w:t>
            </w:r>
          </w:p>
        </w:tc>
        <w:tc>
          <w:tcPr>
            <w:tcW w:w="344" w:type="dxa"/>
            <w:vMerge w:val="restart"/>
            <w:shd w:val="clear" w:color="auto" w:fill="C1C1C1"/>
          </w:tcPr>
          <w:p>
            <w:pPr>
              <w:pStyle w:val="TableParagraph"/>
              <w:rPr>
                <w:b/>
                <w:sz w:val="22"/>
              </w:rPr>
            </w:pPr>
          </w:p>
          <w:p>
            <w:pPr>
              <w:pStyle w:val="TableParagraph"/>
              <w:rPr>
                <w:b/>
                <w:sz w:val="22"/>
              </w:rPr>
            </w:pPr>
          </w:p>
          <w:p>
            <w:pPr>
              <w:pStyle w:val="TableParagraph"/>
              <w:spacing w:before="5"/>
              <w:rPr>
                <w:b/>
                <w:sz w:val="20"/>
              </w:rPr>
            </w:pPr>
          </w:p>
          <w:p>
            <w:pPr>
              <w:pStyle w:val="TableParagraph"/>
              <w:ind w:left="58"/>
              <w:rPr>
                <w:sz w:val="20"/>
              </w:rPr>
            </w:pPr>
            <w:r>
              <w:rPr>
                <w:sz w:val="20"/>
              </w:rPr>
              <w:t>00</w:t>
            </w:r>
          </w:p>
        </w:tc>
        <w:tc>
          <w:tcPr>
            <w:tcW w:w="344" w:type="dxa"/>
            <w:vMerge w:val="restart"/>
            <w:shd w:val="clear" w:color="auto" w:fill="C1C1C1"/>
          </w:tcPr>
          <w:p>
            <w:pPr>
              <w:pStyle w:val="TableParagraph"/>
              <w:rPr>
                <w:b/>
                <w:sz w:val="22"/>
              </w:rPr>
            </w:pPr>
          </w:p>
          <w:p>
            <w:pPr>
              <w:pStyle w:val="TableParagraph"/>
              <w:rPr>
                <w:b/>
                <w:sz w:val="22"/>
              </w:rPr>
            </w:pPr>
          </w:p>
          <w:p>
            <w:pPr>
              <w:pStyle w:val="TableParagraph"/>
              <w:spacing w:before="5"/>
              <w:rPr>
                <w:b/>
                <w:sz w:val="20"/>
              </w:rPr>
            </w:pPr>
          </w:p>
          <w:p>
            <w:pPr>
              <w:pStyle w:val="TableParagraph"/>
              <w:ind w:left="57"/>
              <w:rPr>
                <w:sz w:val="20"/>
              </w:rPr>
            </w:pPr>
            <w:r>
              <w:rPr>
                <w:sz w:val="20"/>
              </w:rPr>
              <w:t>00</w:t>
            </w:r>
          </w:p>
        </w:tc>
        <w:tc>
          <w:tcPr>
            <w:tcW w:w="620" w:type="dxa"/>
            <w:vMerge w:val="restart"/>
            <w:shd w:val="clear" w:color="auto" w:fill="C1C1C1"/>
          </w:tcPr>
          <w:p>
            <w:pPr>
              <w:pStyle w:val="TableParagraph"/>
              <w:rPr>
                <w:b/>
                <w:sz w:val="22"/>
              </w:rPr>
            </w:pPr>
          </w:p>
          <w:p>
            <w:pPr>
              <w:pStyle w:val="TableParagraph"/>
              <w:rPr>
                <w:b/>
                <w:sz w:val="22"/>
              </w:rPr>
            </w:pPr>
          </w:p>
          <w:p>
            <w:pPr>
              <w:pStyle w:val="TableParagraph"/>
              <w:spacing w:before="5"/>
              <w:rPr>
                <w:b/>
                <w:sz w:val="20"/>
              </w:rPr>
            </w:pPr>
          </w:p>
          <w:p>
            <w:pPr>
              <w:pStyle w:val="TableParagraph"/>
              <w:ind w:left="112"/>
              <w:rPr>
                <w:sz w:val="20"/>
              </w:rPr>
            </w:pPr>
            <w:r>
              <w:rPr>
                <w:sz w:val="20"/>
              </w:rPr>
              <w:t>R/W</w:t>
            </w:r>
          </w:p>
        </w:tc>
        <w:tc>
          <w:tcPr>
            <w:tcW w:w="8018" w:type="dxa"/>
            <w:gridSpan w:val="4"/>
            <w:tcBorders>
              <w:bottom w:val="nil"/>
            </w:tcBorders>
            <w:shd w:val="clear" w:color="auto" w:fill="C1C1C1"/>
          </w:tcPr>
          <w:p>
            <w:pPr>
              <w:pStyle w:val="TableParagraph"/>
              <w:spacing w:before="16"/>
              <w:ind w:left="104"/>
              <w:rPr>
                <w:sz w:val="20"/>
              </w:rPr>
            </w:pPr>
            <w:r>
              <w:rPr>
                <w:sz w:val="20"/>
              </w:rPr>
              <w:t>Specifies how VLCD is generated. See </w:t>
            </w:r>
            <w:hyperlink w:history="true" w:anchor="_bookmark125">
              <w:r>
                <w:rPr>
                  <w:color w:val="0000FF"/>
                  <w:sz w:val="20"/>
                </w:rPr>
                <w:t>2.5.10.3 </w:t>
              </w:r>
            </w:hyperlink>
            <w:r>
              <w:rPr>
                <w:sz w:val="20"/>
              </w:rPr>
              <w:t>for the definition of V3P3L.</w:t>
            </w:r>
          </w:p>
        </w:tc>
      </w:tr>
      <w:tr>
        <w:trPr>
          <w:trHeight w:val="270" w:hRule="atLeast"/>
        </w:trPr>
        <w:tc>
          <w:tcPr>
            <w:tcW w:w="2254" w:type="dxa"/>
            <w:vMerge/>
            <w:tcBorders>
              <w:top w:val="nil"/>
            </w:tcBorders>
            <w:shd w:val="clear" w:color="auto" w:fill="C1C1C1"/>
          </w:tcPr>
          <w:p>
            <w:pPr>
              <w:rPr>
                <w:sz w:val="2"/>
                <w:szCs w:val="2"/>
              </w:rPr>
            </w:pPr>
          </w:p>
        </w:tc>
        <w:tc>
          <w:tcPr>
            <w:tcW w:w="112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620" w:type="dxa"/>
            <w:vMerge/>
            <w:tcBorders>
              <w:top w:val="nil"/>
            </w:tcBorders>
            <w:shd w:val="clear" w:color="auto" w:fill="C1C1C1"/>
          </w:tcPr>
          <w:p>
            <w:pPr>
              <w:rPr>
                <w:sz w:val="2"/>
                <w:szCs w:val="2"/>
              </w:rPr>
            </w:pPr>
          </w:p>
        </w:tc>
        <w:tc>
          <w:tcPr>
            <w:tcW w:w="114" w:type="dxa"/>
            <w:vMerge w:val="restart"/>
            <w:tcBorders>
              <w:top w:val="nil"/>
            </w:tcBorders>
            <w:shd w:val="clear" w:color="auto" w:fill="C1C1C1"/>
          </w:tcPr>
          <w:p>
            <w:pPr>
              <w:pStyle w:val="TableParagraph"/>
              <w:rPr>
                <w:rFonts w:ascii="Times New Roman"/>
                <w:sz w:val="18"/>
              </w:rPr>
            </w:pPr>
          </w:p>
        </w:tc>
        <w:tc>
          <w:tcPr>
            <w:tcW w:w="1451" w:type="dxa"/>
            <w:shd w:val="clear" w:color="auto" w:fill="C1C1C1"/>
          </w:tcPr>
          <w:p>
            <w:pPr>
              <w:pStyle w:val="TableParagraph"/>
              <w:spacing w:before="19"/>
              <w:ind w:left="83" w:right="83"/>
              <w:jc w:val="center"/>
              <w:rPr>
                <w:rFonts w:ascii="Times New Roman"/>
                <w:b/>
                <w:i/>
                <w:sz w:val="20"/>
              </w:rPr>
            </w:pPr>
            <w:r>
              <w:rPr>
                <w:rFonts w:ascii="Times New Roman"/>
                <w:b/>
                <w:i/>
                <w:sz w:val="20"/>
              </w:rPr>
              <w:t>LCD_VMODE</w:t>
            </w:r>
          </w:p>
        </w:tc>
        <w:tc>
          <w:tcPr>
            <w:tcW w:w="3637" w:type="dxa"/>
            <w:shd w:val="clear" w:color="auto" w:fill="C1C1C1"/>
          </w:tcPr>
          <w:p>
            <w:pPr>
              <w:pStyle w:val="TableParagraph"/>
              <w:spacing w:before="16"/>
              <w:ind w:left="101"/>
              <w:rPr>
                <w:b/>
                <w:sz w:val="20"/>
              </w:rPr>
            </w:pPr>
            <w:r>
              <w:rPr>
                <w:b/>
                <w:sz w:val="20"/>
              </w:rPr>
              <w:t>Description</w:t>
            </w:r>
          </w:p>
        </w:tc>
        <w:tc>
          <w:tcPr>
            <w:tcW w:w="2816" w:type="dxa"/>
            <w:vMerge w:val="restart"/>
            <w:tcBorders>
              <w:top w:val="nil"/>
            </w:tcBorders>
            <w:shd w:val="clear" w:color="auto" w:fill="C1C1C1"/>
          </w:tcPr>
          <w:p>
            <w:pPr>
              <w:pStyle w:val="TableParagraph"/>
              <w:rPr>
                <w:rFonts w:ascii="Times New Roman"/>
                <w:sz w:val="18"/>
              </w:rPr>
            </w:pPr>
          </w:p>
        </w:tc>
      </w:tr>
      <w:tr>
        <w:trPr>
          <w:trHeight w:val="268" w:hRule="atLeast"/>
        </w:trPr>
        <w:tc>
          <w:tcPr>
            <w:tcW w:w="2254" w:type="dxa"/>
            <w:vMerge/>
            <w:tcBorders>
              <w:top w:val="nil"/>
            </w:tcBorders>
            <w:shd w:val="clear" w:color="auto" w:fill="C1C1C1"/>
          </w:tcPr>
          <w:p>
            <w:pPr>
              <w:rPr>
                <w:sz w:val="2"/>
                <w:szCs w:val="2"/>
              </w:rPr>
            </w:pPr>
          </w:p>
        </w:tc>
        <w:tc>
          <w:tcPr>
            <w:tcW w:w="112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620" w:type="dxa"/>
            <w:vMerge/>
            <w:tcBorders>
              <w:top w:val="nil"/>
            </w:tcBorders>
            <w:shd w:val="clear" w:color="auto" w:fill="C1C1C1"/>
          </w:tcPr>
          <w:p>
            <w:pPr>
              <w:rPr>
                <w:sz w:val="2"/>
                <w:szCs w:val="2"/>
              </w:rPr>
            </w:pPr>
          </w:p>
        </w:tc>
        <w:tc>
          <w:tcPr>
            <w:tcW w:w="114" w:type="dxa"/>
            <w:vMerge/>
            <w:tcBorders>
              <w:top w:val="nil"/>
            </w:tcBorders>
            <w:shd w:val="clear" w:color="auto" w:fill="C1C1C1"/>
          </w:tcPr>
          <w:p>
            <w:pPr>
              <w:rPr>
                <w:sz w:val="2"/>
                <w:szCs w:val="2"/>
              </w:rPr>
            </w:pPr>
          </w:p>
        </w:tc>
        <w:tc>
          <w:tcPr>
            <w:tcW w:w="1451" w:type="dxa"/>
            <w:shd w:val="clear" w:color="auto" w:fill="C1C1C1"/>
          </w:tcPr>
          <w:p>
            <w:pPr>
              <w:pStyle w:val="TableParagraph"/>
              <w:spacing w:before="18"/>
              <w:ind w:left="79" w:right="83"/>
              <w:jc w:val="center"/>
              <w:rPr>
                <w:sz w:val="20"/>
              </w:rPr>
            </w:pPr>
            <w:r>
              <w:rPr>
                <w:sz w:val="20"/>
              </w:rPr>
              <w:t>11</w:t>
            </w:r>
          </w:p>
        </w:tc>
        <w:tc>
          <w:tcPr>
            <w:tcW w:w="3637" w:type="dxa"/>
            <w:shd w:val="clear" w:color="auto" w:fill="C1C1C1"/>
          </w:tcPr>
          <w:p>
            <w:pPr>
              <w:pStyle w:val="TableParagraph"/>
              <w:spacing w:before="18"/>
              <w:ind w:left="101"/>
              <w:rPr>
                <w:sz w:val="20"/>
              </w:rPr>
            </w:pPr>
            <w:r>
              <w:rPr>
                <w:sz w:val="20"/>
              </w:rPr>
              <w:t>External VLCD</w:t>
            </w:r>
          </w:p>
        </w:tc>
        <w:tc>
          <w:tcPr>
            <w:tcW w:w="2816" w:type="dxa"/>
            <w:vMerge/>
            <w:tcBorders>
              <w:top w:val="nil"/>
            </w:tcBorders>
            <w:shd w:val="clear" w:color="auto" w:fill="C1C1C1"/>
          </w:tcPr>
          <w:p>
            <w:pPr>
              <w:rPr>
                <w:sz w:val="2"/>
                <w:szCs w:val="2"/>
              </w:rPr>
            </w:pPr>
          </w:p>
        </w:tc>
      </w:tr>
      <w:tr>
        <w:trPr>
          <w:trHeight w:val="270" w:hRule="atLeast"/>
        </w:trPr>
        <w:tc>
          <w:tcPr>
            <w:tcW w:w="2254" w:type="dxa"/>
            <w:vMerge/>
            <w:tcBorders>
              <w:top w:val="nil"/>
            </w:tcBorders>
            <w:shd w:val="clear" w:color="auto" w:fill="C1C1C1"/>
          </w:tcPr>
          <w:p>
            <w:pPr>
              <w:rPr>
                <w:sz w:val="2"/>
                <w:szCs w:val="2"/>
              </w:rPr>
            </w:pPr>
          </w:p>
        </w:tc>
        <w:tc>
          <w:tcPr>
            <w:tcW w:w="112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620" w:type="dxa"/>
            <w:vMerge/>
            <w:tcBorders>
              <w:top w:val="nil"/>
            </w:tcBorders>
            <w:shd w:val="clear" w:color="auto" w:fill="C1C1C1"/>
          </w:tcPr>
          <w:p>
            <w:pPr>
              <w:rPr>
                <w:sz w:val="2"/>
                <w:szCs w:val="2"/>
              </w:rPr>
            </w:pPr>
          </w:p>
        </w:tc>
        <w:tc>
          <w:tcPr>
            <w:tcW w:w="114" w:type="dxa"/>
            <w:vMerge/>
            <w:tcBorders>
              <w:top w:val="nil"/>
            </w:tcBorders>
            <w:shd w:val="clear" w:color="auto" w:fill="C1C1C1"/>
          </w:tcPr>
          <w:p>
            <w:pPr>
              <w:rPr>
                <w:sz w:val="2"/>
                <w:szCs w:val="2"/>
              </w:rPr>
            </w:pPr>
          </w:p>
        </w:tc>
        <w:tc>
          <w:tcPr>
            <w:tcW w:w="1451" w:type="dxa"/>
            <w:shd w:val="clear" w:color="auto" w:fill="C1C1C1"/>
          </w:tcPr>
          <w:p>
            <w:pPr>
              <w:pStyle w:val="TableParagraph"/>
              <w:spacing w:before="18"/>
              <w:ind w:left="79" w:right="83"/>
              <w:jc w:val="center"/>
              <w:rPr>
                <w:sz w:val="20"/>
              </w:rPr>
            </w:pPr>
            <w:r>
              <w:rPr>
                <w:sz w:val="20"/>
              </w:rPr>
              <w:t>10</w:t>
            </w:r>
          </w:p>
        </w:tc>
        <w:tc>
          <w:tcPr>
            <w:tcW w:w="3637" w:type="dxa"/>
            <w:shd w:val="clear" w:color="auto" w:fill="C1C1C1"/>
          </w:tcPr>
          <w:p>
            <w:pPr>
              <w:pStyle w:val="TableParagraph"/>
              <w:spacing w:before="18"/>
              <w:ind w:left="101"/>
              <w:rPr>
                <w:sz w:val="20"/>
              </w:rPr>
            </w:pPr>
            <w:r>
              <w:rPr>
                <w:sz w:val="20"/>
              </w:rPr>
              <w:t>LCD boost and LCD DAC enabled</w:t>
            </w:r>
          </w:p>
        </w:tc>
        <w:tc>
          <w:tcPr>
            <w:tcW w:w="2816" w:type="dxa"/>
            <w:vMerge/>
            <w:tcBorders>
              <w:top w:val="nil"/>
            </w:tcBorders>
            <w:shd w:val="clear" w:color="auto" w:fill="C1C1C1"/>
          </w:tcPr>
          <w:p>
            <w:pPr>
              <w:rPr>
                <w:sz w:val="2"/>
                <w:szCs w:val="2"/>
              </w:rPr>
            </w:pPr>
          </w:p>
        </w:tc>
      </w:tr>
      <w:tr>
        <w:trPr>
          <w:trHeight w:val="268" w:hRule="atLeast"/>
        </w:trPr>
        <w:tc>
          <w:tcPr>
            <w:tcW w:w="2254" w:type="dxa"/>
            <w:vMerge/>
            <w:tcBorders>
              <w:top w:val="nil"/>
            </w:tcBorders>
            <w:shd w:val="clear" w:color="auto" w:fill="C1C1C1"/>
          </w:tcPr>
          <w:p>
            <w:pPr>
              <w:rPr>
                <w:sz w:val="2"/>
                <w:szCs w:val="2"/>
              </w:rPr>
            </w:pPr>
          </w:p>
        </w:tc>
        <w:tc>
          <w:tcPr>
            <w:tcW w:w="112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620" w:type="dxa"/>
            <w:vMerge/>
            <w:tcBorders>
              <w:top w:val="nil"/>
            </w:tcBorders>
            <w:shd w:val="clear" w:color="auto" w:fill="C1C1C1"/>
          </w:tcPr>
          <w:p>
            <w:pPr>
              <w:rPr>
                <w:sz w:val="2"/>
                <w:szCs w:val="2"/>
              </w:rPr>
            </w:pPr>
          </w:p>
        </w:tc>
        <w:tc>
          <w:tcPr>
            <w:tcW w:w="114" w:type="dxa"/>
            <w:vMerge/>
            <w:tcBorders>
              <w:top w:val="nil"/>
            </w:tcBorders>
            <w:shd w:val="clear" w:color="auto" w:fill="C1C1C1"/>
          </w:tcPr>
          <w:p>
            <w:pPr>
              <w:rPr>
                <w:sz w:val="2"/>
                <w:szCs w:val="2"/>
              </w:rPr>
            </w:pPr>
          </w:p>
        </w:tc>
        <w:tc>
          <w:tcPr>
            <w:tcW w:w="1451" w:type="dxa"/>
            <w:shd w:val="clear" w:color="auto" w:fill="C1C1C1"/>
          </w:tcPr>
          <w:p>
            <w:pPr>
              <w:pStyle w:val="TableParagraph"/>
              <w:spacing w:before="18"/>
              <w:ind w:left="79" w:right="83"/>
              <w:jc w:val="center"/>
              <w:rPr>
                <w:sz w:val="20"/>
              </w:rPr>
            </w:pPr>
            <w:r>
              <w:rPr>
                <w:sz w:val="20"/>
              </w:rPr>
              <w:t>01</w:t>
            </w:r>
          </w:p>
        </w:tc>
        <w:tc>
          <w:tcPr>
            <w:tcW w:w="3637" w:type="dxa"/>
            <w:shd w:val="clear" w:color="auto" w:fill="C1C1C1"/>
          </w:tcPr>
          <w:p>
            <w:pPr>
              <w:pStyle w:val="TableParagraph"/>
              <w:spacing w:before="18"/>
              <w:ind w:left="101"/>
              <w:rPr>
                <w:sz w:val="20"/>
              </w:rPr>
            </w:pPr>
            <w:r>
              <w:rPr>
                <w:sz w:val="20"/>
              </w:rPr>
              <w:t>LCD DAC enabled</w:t>
            </w:r>
          </w:p>
        </w:tc>
        <w:tc>
          <w:tcPr>
            <w:tcW w:w="2816" w:type="dxa"/>
            <w:vMerge/>
            <w:tcBorders>
              <w:top w:val="nil"/>
            </w:tcBorders>
            <w:shd w:val="clear" w:color="auto" w:fill="C1C1C1"/>
          </w:tcPr>
          <w:p>
            <w:pPr>
              <w:rPr>
                <w:sz w:val="2"/>
                <w:szCs w:val="2"/>
              </w:rPr>
            </w:pPr>
          </w:p>
        </w:tc>
      </w:tr>
      <w:tr>
        <w:trPr>
          <w:trHeight w:val="291" w:hRule="atLeast"/>
        </w:trPr>
        <w:tc>
          <w:tcPr>
            <w:tcW w:w="2254" w:type="dxa"/>
            <w:vMerge/>
            <w:tcBorders>
              <w:top w:val="nil"/>
            </w:tcBorders>
            <w:shd w:val="clear" w:color="auto" w:fill="C1C1C1"/>
          </w:tcPr>
          <w:p>
            <w:pPr>
              <w:rPr>
                <w:sz w:val="2"/>
                <w:szCs w:val="2"/>
              </w:rPr>
            </w:pPr>
          </w:p>
        </w:tc>
        <w:tc>
          <w:tcPr>
            <w:tcW w:w="112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620" w:type="dxa"/>
            <w:vMerge/>
            <w:tcBorders>
              <w:top w:val="nil"/>
            </w:tcBorders>
            <w:shd w:val="clear" w:color="auto" w:fill="C1C1C1"/>
          </w:tcPr>
          <w:p>
            <w:pPr>
              <w:rPr>
                <w:sz w:val="2"/>
                <w:szCs w:val="2"/>
              </w:rPr>
            </w:pPr>
          </w:p>
        </w:tc>
        <w:tc>
          <w:tcPr>
            <w:tcW w:w="114" w:type="dxa"/>
            <w:vMerge/>
            <w:tcBorders>
              <w:top w:val="nil"/>
            </w:tcBorders>
            <w:shd w:val="clear" w:color="auto" w:fill="C1C1C1"/>
          </w:tcPr>
          <w:p>
            <w:pPr>
              <w:rPr>
                <w:sz w:val="2"/>
                <w:szCs w:val="2"/>
              </w:rPr>
            </w:pPr>
          </w:p>
        </w:tc>
        <w:tc>
          <w:tcPr>
            <w:tcW w:w="1451" w:type="dxa"/>
            <w:tcBorders>
              <w:bottom w:val="double" w:sz="1" w:space="0" w:color="000000"/>
            </w:tcBorders>
            <w:shd w:val="clear" w:color="auto" w:fill="C1C1C1"/>
          </w:tcPr>
          <w:p>
            <w:pPr>
              <w:pStyle w:val="TableParagraph"/>
              <w:spacing w:before="21"/>
              <w:ind w:left="79" w:right="83"/>
              <w:jc w:val="center"/>
              <w:rPr>
                <w:sz w:val="20"/>
              </w:rPr>
            </w:pPr>
            <w:r>
              <w:rPr>
                <w:sz w:val="20"/>
              </w:rPr>
              <w:t>00</w:t>
            </w:r>
          </w:p>
        </w:tc>
        <w:tc>
          <w:tcPr>
            <w:tcW w:w="3637" w:type="dxa"/>
            <w:tcBorders>
              <w:bottom w:val="double" w:sz="1" w:space="0" w:color="000000"/>
            </w:tcBorders>
            <w:shd w:val="clear" w:color="auto" w:fill="C1C1C1"/>
          </w:tcPr>
          <w:p>
            <w:pPr>
              <w:pStyle w:val="TableParagraph"/>
              <w:spacing w:before="21"/>
              <w:ind w:left="101"/>
              <w:rPr>
                <w:sz w:val="20"/>
              </w:rPr>
            </w:pPr>
            <w:r>
              <w:rPr>
                <w:sz w:val="20"/>
              </w:rPr>
              <w:t>No boost and no DAC. VLCD=V3P3L.</w:t>
            </w:r>
          </w:p>
        </w:tc>
        <w:tc>
          <w:tcPr>
            <w:tcW w:w="2816" w:type="dxa"/>
            <w:vMerge/>
            <w:tcBorders>
              <w:top w:val="nil"/>
            </w:tcBorders>
            <w:shd w:val="clear" w:color="auto" w:fill="C1C1C1"/>
          </w:tcPr>
          <w:p>
            <w:pPr>
              <w:rPr>
                <w:sz w:val="2"/>
                <w:szCs w:val="2"/>
              </w:rPr>
            </w:pPr>
          </w:p>
        </w:tc>
      </w:tr>
      <w:tr>
        <w:trPr>
          <w:trHeight w:val="508" w:hRule="atLeast"/>
        </w:trPr>
        <w:tc>
          <w:tcPr>
            <w:tcW w:w="2254" w:type="dxa"/>
            <w:shd w:val="clear" w:color="auto" w:fill="C1C1C1"/>
          </w:tcPr>
          <w:p>
            <w:pPr>
              <w:pStyle w:val="TableParagraph"/>
              <w:spacing w:before="127"/>
              <w:ind w:left="107"/>
              <w:rPr>
                <w:rFonts w:ascii="Times New Roman"/>
                <w:i/>
                <w:sz w:val="20"/>
              </w:rPr>
            </w:pPr>
            <w:r>
              <w:rPr>
                <w:rFonts w:ascii="Times New Roman"/>
                <w:i/>
                <w:sz w:val="20"/>
              </w:rPr>
              <w:t>LCD_Y</w:t>
            </w:r>
          </w:p>
        </w:tc>
        <w:tc>
          <w:tcPr>
            <w:tcW w:w="1124" w:type="dxa"/>
            <w:shd w:val="clear" w:color="auto" w:fill="C1C1C1"/>
          </w:tcPr>
          <w:p>
            <w:pPr>
              <w:pStyle w:val="TableParagraph"/>
              <w:spacing w:before="131"/>
              <w:ind w:left="5"/>
              <w:jc w:val="center"/>
              <w:rPr>
                <w:sz w:val="20"/>
              </w:rPr>
            </w:pPr>
            <w:r>
              <w:rPr>
                <w:sz w:val="20"/>
              </w:rPr>
              <w:t>2400[2]</w:t>
            </w:r>
          </w:p>
        </w:tc>
        <w:tc>
          <w:tcPr>
            <w:tcW w:w="344" w:type="dxa"/>
            <w:shd w:val="clear" w:color="auto" w:fill="C1C1C1"/>
          </w:tcPr>
          <w:p>
            <w:pPr>
              <w:pStyle w:val="TableParagraph"/>
              <w:spacing w:before="131"/>
              <w:ind w:left="4"/>
              <w:jc w:val="center"/>
              <w:rPr>
                <w:sz w:val="20"/>
              </w:rPr>
            </w:pPr>
            <w:r>
              <w:rPr>
                <w:w w:val="99"/>
                <w:sz w:val="20"/>
              </w:rPr>
              <w:t>0</w:t>
            </w:r>
          </w:p>
        </w:tc>
        <w:tc>
          <w:tcPr>
            <w:tcW w:w="344" w:type="dxa"/>
            <w:shd w:val="clear" w:color="auto" w:fill="C1C1C1"/>
          </w:tcPr>
          <w:p>
            <w:pPr>
              <w:pStyle w:val="TableParagraph"/>
              <w:spacing w:before="131"/>
              <w:ind w:left="2"/>
              <w:jc w:val="center"/>
              <w:rPr>
                <w:sz w:val="20"/>
              </w:rPr>
            </w:pPr>
            <w:r>
              <w:rPr>
                <w:w w:val="99"/>
                <w:sz w:val="20"/>
              </w:rPr>
              <w:t>–</w:t>
            </w:r>
          </w:p>
        </w:tc>
        <w:tc>
          <w:tcPr>
            <w:tcW w:w="620" w:type="dxa"/>
            <w:shd w:val="clear" w:color="auto" w:fill="C1C1C1"/>
          </w:tcPr>
          <w:p>
            <w:pPr>
              <w:pStyle w:val="TableParagraph"/>
              <w:spacing w:before="131"/>
              <w:ind w:left="87" w:right="93"/>
              <w:jc w:val="center"/>
              <w:rPr>
                <w:sz w:val="20"/>
              </w:rPr>
            </w:pPr>
            <w:r>
              <w:rPr>
                <w:sz w:val="20"/>
              </w:rPr>
              <w:t>R/W</w:t>
            </w:r>
          </w:p>
        </w:tc>
        <w:tc>
          <w:tcPr>
            <w:tcW w:w="8018" w:type="dxa"/>
            <w:gridSpan w:val="4"/>
            <w:tcBorders>
              <w:top w:val="nil"/>
            </w:tcBorders>
            <w:shd w:val="clear" w:color="auto" w:fill="C1C1C1"/>
          </w:tcPr>
          <w:p>
            <w:pPr>
              <w:pStyle w:val="TableParagraph"/>
              <w:spacing w:before="8"/>
              <w:ind w:left="104"/>
              <w:rPr>
                <w:sz w:val="20"/>
              </w:rPr>
            </w:pPr>
            <w:r>
              <w:rPr>
                <w:sz w:val="20"/>
              </w:rPr>
              <w:t>LCD Blink Frequency (ignored if blink is disabled).</w:t>
            </w:r>
          </w:p>
          <w:p>
            <w:pPr>
              <w:pStyle w:val="TableParagraph"/>
              <w:spacing w:before="18"/>
              <w:ind w:left="104"/>
              <w:rPr>
                <w:sz w:val="20"/>
              </w:rPr>
            </w:pPr>
            <w:r>
              <w:rPr>
                <w:sz w:val="20"/>
              </w:rPr>
              <w:t>1 = 1 Hz, 0 = 0.5 Hz</w:t>
            </w:r>
          </w:p>
        </w:tc>
      </w:tr>
      <w:tr>
        <w:trPr>
          <w:trHeight w:val="270" w:hRule="atLeast"/>
        </w:trPr>
        <w:tc>
          <w:tcPr>
            <w:tcW w:w="2254" w:type="dxa"/>
          </w:tcPr>
          <w:p>
            <w:pPr>
              <w:pStyle w:val="TableParagraph"/>
              <w:spacing w:before="14"/>
              <w:ind w:left="107"/>
              <w:rPr>
                <w:rFonts w:ascii="Times New Roman"/>
                <w:i/>
                <w:sz w:val="20"/>
              </w:rPr>
            </w:pPr>
            <w:r>
              <w:rPr>
                <w:rFonts w:ascii="Times New Roman"/>
                <w:i/>
                <w:sz w:val="20"/>
              </w:rPr>
              <w:t>LKPADDR[6:0]</w:t>
            </w:r>
          </w:p>
        </w:tc>
        <w:tc>
          <w:tcPr>
            <w:tcW w:w="1124" w:type="dxa"/>
          </w:tcPr>
          <w:p>
            <w:pPr>
              <w:pStyle w:val="TableParagraph"/>
              <w:spacing w:before="18"/>
              <w:ind w:left="5"/>
              <w:jc w:val="center"/>
              <w:rPr>
                <w:sz w:val="20"/>
              </w:rPr>
            </w:pPr>
            <w:r>
              <w:rPr>
                <w:sz w:val="20"/>
              </w:rPr>
              <w:t>2887[6:0]</w:t>
            </w:r>
          </w:p>
        </w:tc>
        <w:tc>
          <w:tcPr>
            <w:tcW w:w="344" w:type="dxa"/>
          </w:tcPr>
          <w:p>
            <w:pPr>
              <w:pStyle w:val="TableParagraph"/>
              <w:spacing w:before="18"/>
              <w:ind w:left="4"/>
              <w:jc w:val="center"/>
              <w:rPr>
                <w:sz w:val="20"/>
              </w:rPr>
            </w:pPr>
            <w:r>
              <w:rPr>
                <w:w w:val="99"/>
                <w:sz w:val="20"/>
              </w:rPr>
              <w:t>0</w:t>
            </w:r>
          </w:p>
        </w:tc>
        <w:tc>
          <w:tcPr>
            <w:tcW w:w="344" w:type="dxa"/>
          </w:tcPr>
          <w:p>
            <w:pPr>
              <w:pStyle w:val="TableParagraph"/>
              <w:spacing w:before="18"/>
              <w:ind w:left="2"/>
              <w:jc w:val="center"/>
              <w:rPr>
                <w:sz w:val="20"/>
              </w:rPr>
            </w:pPr>
            <w:r>
              <w:rPr>
                <w:w w:val="99"/>
                <w:sz w:val="20"/>
              </w:rPr>
              <w:t>0</w:t>
            </w:r>
          </w:p>
        </w:tc>
        <w:tc>
          <w:tcPr>
            <w:tcW w:w="620" w:type="dxa"/>
          </w:tcPr>
          <w:p>
            <w:pPr>
              <w:pStyle w:val="TableParagraph"/>
              <w:spacing w:before="18"/>
              <w:ind w:left="87" w:right="93"/>
              <w:jc w:val="center"/>
              <w:rPr>
                <w:sz w:val="20"/>
              </w:rPr>
            </w:pPr>
            <w:r>
              <w:rPr>
                <w:sz w:val="20"/>
              </w:rPr>
              <w:t>R/W</w:t>
            </w:r>
          </w:p>
        </w:tc>
        <w:tc>
          <w:tcPr>
            <w:tcW w:w="8018" w:type="dxa"/>
            <w:gridSpan w:val="4"/>
          </w:tcPr>
          <w:p>
            <w:pPr>
              <w:pStyle w:val="TableParagraph"/>
              <w:spacing w:before="18"/>
              <w:ind w:left="104"/>
              <w:rPr>
                <w:sz w:val="20"/>
              </w:rPr>
            </w:pPr>
            <w:r>
              <w:rPr>
                <w:sz w:val="20"/>
              </w:rPr>
              <w:t>The address for reading and writing the RTC lookup RAM.</w:t>
            </w:r>
          </w:p>
        </w:tc>
      </w:tr>
      <w:tr>
        <w:trPr>
          <w:trHeight w:val="501" w:hRule="atLeast"/>
        </w:trPr>
        <w:tc>
          <w:tcPr>
            <w:tcW w:w="2254" w:type="dxa"/>
          </w:tcPr>
          <w:p>
            <w:pPr>
              <w:pStyle w:val="TableParagraph"/>
              <w:spacing w:before="130"/>
              <w:ind w:left="107"/>
              <w:rPr>
                <w:rFonts w:ascii="Times New Roman"/>
                <w:i/>
                <w:sz w:val="20"/>
              </w:rPr>
            </w:pPr>
            <w:r>
              <w:rPr>
                <w:rFonts w:ascii="Times New Roman"/>
                <w:i/>
                <w:sz w:val="20"/>
              </w:rPr>
              <w:t>LKPAUTOI</w:t>
            </w:r>
          </w:p>
        </w:tc>
        <w:tc>
          <w:tcPr>
            <w:tcW w:w="1124" w:type="dxa"/>
          </w:tcPr>
          <w:p>
            <w:pPr>
              <w:pStyle w:val="TableParagraph"/>
              <w:spacing w:before="134"/>
              <w:ind w:left="5"/>
              <w:jc w:val="center"/>
              <w:rPr>
                <w:sz w:val="20"/>
              </w:rPr>
            </w:pPr>
            <w:r>
              <w:rPr>
                <w:sz w:val="20"/>
              </w:rPr>
              <w:t>2887[7]</w:t>
            </w:r>
          </w:p>
        </w:tc>
        <w:tc>
          <w:tcPr>
            <w:tcW w:w="344" w:type="dxa"/>
          </w:tcPr>
          <w:p>
            <w:pPr>
              <w:pStyle w:val="TableParagraph"/>
              <w:spacing w:before="134"/>
              <w:ind w:left="4"/>
              <w:jc w:val="center"/>
              <w:rPr>
                <w:sz w:val="20"/>
              </w:rPr>
            </w:pPr>
            <w:r>
              <w:rPr>
                <w:w w:val="99"/>
                <w:sz w:val="20"/>
              </w:rPr>
              <w:t>0</w:t>
            </w:r>
          </w:p>
        </w:tc>
        <w:tc>
          <w:tcPr>
            <w:tcW w:w="344" w:type="dxa"/>
          </w:tcPr>
          <w:p>
            <w:pPr>
              <w:pStyle w:val="TableParagraph"/>
              <w:spacing w:before="134"/>
              <w:ind w:left="2"/>
              <w:jc w:val="center"/>
              <w:rPr>
                <w:sz w:val="20"/>
              </w:rPr>
            </w:pPr>
            <w:r>
              <w:rPr>
                <w:w w:val="99"/>
                <w:sz w:val="20"/>
              </w:rPr>
              <w:t>0</w:t>
            </w:r>
          </w:p>
        </w:tc>
        <w:tc>
          <w:tcPr>
            <w:tcW w:w="620" w:type="dxa"/>
          </w:tcPr>
          <w:p>
            <w:pPr>
              <w:pStyle w:val="TableParagraph"/>
              <w:spacing w:before="134"/>
              <w:ind w:left="87" w:right="93"/>
              <w:jc w:val="center"/>
              <w:rPr>
                <w:sz w:val="20"/>
              </w:rPr>
            </w:pPr>
            <w:r>
              <w:rPr>
                <w:sz w:val="20"/>
              </w:rPr>
              <w:t>R/W</w:t>
            </w:r>
          </w:p>
        </w:tc>
        <w:tc>
          <w:tcPr>
            <w:tcW w:w="8018" w:type="dxa"/>
            <w:gridSpan w:val="4"/>
          </w:tcPr>
          <w:p>
            <w:pPr>
              <w:pStyle w:val="TableParagraph"/>
              <w:spacing w:line="231" w:lineRule="exact" w:before="16"/>
              <w:ind w:left="104"/>
              <w:rPr>
                <w:sz w:val="20"/>
              </w:rPr>
            </w:pPr>
            <w:r>
              <w:rPr>
                <w:sz w:val="20"/>
              </w:rPr>
              <w:t>Auto-increment flag. When set, </w:t>
            </w:r>
            <w:r>
              <w:rPr>
                <w:rFonts w:ascii="Times New Roman"/>
                <w:i/>
                <w:sz w:val="20"/>
              </w:rPr>
              <w:t>LKPADDR[6:0] </w:t>
            </w:r>
            <w:r>
              <w:rPr>
                <w:sz w:val="20"/>
              </w:rPr>
              <w:t>auto increments every time </w:t>
            </w:r>
            <w:r>
              <w:rPr>
                <w:rFonts w:ascii="Times New Roman"/>
                <w:i/>
                <w:sz w:val="20"/>
              </w:rPr>
              <w:t>LKP_RD </w:t>
            </w:r>
            <w:r>
              <w:rPr>
                <w:sz w:val="20"/>
              </w:rPr>
              <w:t>or</w:t>
            </w:r>
          </w:p>
          <w:p>
            <w:pPr>
              <w:pStyle w:val="TableParagraph"/>
              <w:spacing w:line="231" w:lineRule="exact"/>
              <w:ind w:left="104"/>
              <w:rPr>
                <w:sz w:val="20"/>
              </w:rPr>
            </w:pPr>
            <w:r>
              <w:rPr>
                <w:rFonts w:ascii="Times New Roman"/>
                <w:i/>
                <w:sz w:val="20"/>
              </w:rPr>
              <w:t>LKP_WR </w:t>
            </w:r>
            <w:r>
              <w:rPr>
                <w:sz w:val="20"/>
              </w:rPr>
              <w:t>is pulsed. The incremented address can be read at LKPADDR.</w:t>
            </w:r>
          </w:p>
        </w:tc>
      </w:tr>
      <w:tr>
        <w:trPr>
          <w:trHeight w:val="270" w:hRule="atLeast"/>
        </w:trPr>
        <w:tc>
          <w:tcPr>
            <w:tcW w:w="2254" w:type="dxa"/>
          </w:tcPr>
          <w:p>
            <w:pPr>
              <w:pStyle w:val="TableParagraph"/>
              <w:spacing w:before="14"/>
              <w:ind w:left="107"/>
              <w:rPr>
                <w:rFonts w:ascii="Times New Roman"/>
                <w:i/>
                <w:sz w:val="20"/>
              </w:rPr>
            </w:pPr>
            <w:r>
              <w:rPr>
                <w:rFonts w:ascii="Times New Roman"/>
                <w:i/>
                <w:sz w:val="20"/>
              </w:rPr>
              <w:t>LKPDAT[7:0]</w:t>
            </w:r>
          </w:p>
        </w:tc>
        <w:tc>
          <w:tcPr>
            <w:tcW w:w="1124" w:type="dxa"/>
          </w:tcPr>
          <w:p>
            <w:pPr>
              <w:pStyle w:val="TableParagraph"/>
              <w:spacing w:before="18"/>
              <w:ind w:left="5"/>
              <w:jc w:val="center"/>
              <w:rPr>
                <w:sz w:val="20"/>
              </w:rPr>
            </w:pPr>
            <w:r>
              <w:rPr>
                <w:sz w:val="20"/>
              </w:rPr>
              <w:t>2888[7:0]</w:t>
            </w:r>
          </w:p>
        </w:tc>
        <w:tc>
          <w:tcPr>
            <w:tcW w:w="344" w:type="dxa"/>
          </w:tcPr>
          <w:p>
            <w:pPr>
              <w:pStyle w:val="TableParagraph"/>
              <w:spacing w:before="18"/>
              <w:ind w:left="4"/>
              <w:jc w:val="center"/>
              <w:rPr>
                <w:sz w:val="20"/>
              </w:rPr>
            </w:pPr>
            <w:r>
              <w:rPr>
                <w:w w:val="99"/>
                <w:sz w:val="20"/>
              </w:rPr>
              <w:t>0</w:t>
            </w:r>
          </w:p>
        </w:tc>
        <w:tc>
          <w:tcPr>
            <w:tcW w:w="344" w:type="dxa"/>
          </w:tcPr>
          <w:p>
            <w:pPr>
              <w:pStyle w:val="TableParagraph"/>
              <w:spacing w:before="18"/>
              <w:ind w:left="2"/>
              <w:jc w:val="center"/>
              <w:rPr>
                <w:sz w:val="20"/>
              </w:rPr>
            </w:pPr>
            <w:r>
              <w:rPr>
                <w:w w:val="99"/>
                <w:sz w:val="20"/>
              </w:rPr>
              <w:t>0</w:t>
            </w:r>
          </w:p>
        </w:tc>
        <w:tc>
          <w:tcPr>
            <w:tcW w:w="620" w:type="dxa"/>
          </w:tcPr>
          <w:p>
            <w:pPr>
              <w:pStyle w:val="TableParagraph"/>
              <w:spacing w:before="18"/>
              <w:ind w:left="87" w:right="93"/>
              <w:jc w:val="center"/>
              <w:rPr>
                <w:sz w:val="20"/>
              </w:rPr>
            </w:pPr>
            <w:r>
              <w:rPr>
                <w:sz w:val="20"/>
              </w:rPr>
              <w:t>R/W</w:t>
            </w:r>
          </w:p>
        </w:tc>
        <w:tc>
          <w:tcPr>
            <w:tcW w:w="8018" w:type="dxa"/>
            <w:gridSpan w:val="4"/>
          </w:tcPr>
          <w:p>
            <w:pPr>
              <w:pStyle w:val="TableParagraph"/>
              <w:spacing w:before="18"/>
              <w:ind w:left="104"/>
              <w:rPr>
                <w:sz w:val="20"/>
              </w:rPr>
            </w:pPr>
            <w:r>
              <w:rPr>
                <w:sz w:val="20"/>
              </w:rPr>
              <w:t>The data for reading and writing the RTC lookup RAM.</w:t>
            </w:r>
          </w:p>
        </w:tc>
      </w:tr>
      <w:tr>
        <w:trPr>
          <w:trHeight w:val="964" w:hRule="atLeast"/>
        </w:trPr>
        <w:tc>
          <w:tcPr>
            <w:tcW w:w="2254" w:type="dxa"/>
          </w:tcPr>
          <w:p>
            <w:pPr>
              <w:pStyle w:val="TableParagraph"/>
              <w:spacing w:before="10"/>
              <w:rPr>
                <w:b/>
                <w:sz w:val="20"/>
              </w:rPr>
            </w:pPr>
          </w:p>
          <w:p>
            <w:pPr>
              <w:pStyle w:val="TableParagraph"/>
              <w:spacing w:line="249" w:lineRule="auto"/>
              <w:ind w:left="107" w:right="924"/>
              <w:rPr>
                <w:rFonts w:ascii="Times New Roman"/>
                <w:i/>
                <w:sz w:val="20"/>
              </w:rPr>
            </w:pPr>
            <w:r>
              <w:rPr>
                <w:rFonts w:ascii="Times New Roman"/>
                <w:i/>
                <w:sz w:val="20"/>
              </w:rPr>
              <w:t>LKP_RD </w:t>
            </w:r>
            <w:r>
              <w:rPr>
                <w:rFonts w:ascii="Times New Roman"/>
                <w:i/>
                <w:sz w:val="20"/>
              </w:rPr>
              <w:t>LKP_WR</w:t>
            </w:r>
          </w:p>
        </w:tc>
        <w:tc>
          <w:tcPr>
            <w:tcW w:w="1124" w:type="dxa"/>
          </w:tcPr>
          <w:p>
            <w:pPr>
              <w:pStyle w:val="TableParagraph"/>
              <w:spacing w:before="2"/>
              <w:rPr>
                <w:b/>
                <w:sz w:val="21"/>
              </w:rPr>
            </w:pPr>
          </w:p>
          <w:p>
            <w:pPr>
              <w:pStyle w:val="TableParagraph"/>
              <w:ind w:left="227"/>
              <w:rPr>
                <w:sz w:val="20"/>
              </w:rPr>
            </w:pPr>
            <w:r>
              <w:rPr>
                <w:sz w:val="20"/>
              </w:rPr>
              <w:t>2889[1]</w:t>
            </w:r>
          </w:p>
          <w:p>
            <w:pPr>
              <w:pStyle w:val="TableParagraph"/>
              <w:spacing w:before="10"/>
              <w:ind w:left="227"/>
              <w:rPr>
                <w:sz w:val="20"/>
              </w:rPr>
            </w:pPr>
            <w:r>
              <w:rPr>
                <w:sz w:val="20"/>
              </w:rPr>
              <w:t>2889[0]</w:t>
            </w:r>
          </w:p>
        </w:tc>
        <w:tc>
          <w:tcPr>
            <w:tcW w:w="344" w:type="dxa"/>
          </w:tcPr>
          <w:p>
            <w:pPr>
              <w:pStyle w:val="TableParagraph"/>
              <w:spacing w:before="2"/>
              <w:rPr>
                <w:b/>
                <w:sz w:val="21"/>
              </w:rPr>
            </w:pPr>
          </w:p>
          <w:p>
            <w:pPr>
              <w:pStyle w:val="TableParagraph"/>
              <w:ind w:left="113"/>
              <w:rPr>
                <w:sz w:val="20"/>
              </w:rPr>
            </w:pPr>
            <w:r>
              <w:rPr>
                <w:w w:val="99"/>
                <w:sz w:val="20"/>
              </w:rPr>
              <w:t>0</w:t>
            </w:r>
          </w:p>
          <w:p>
            <w:pPr>
              <w:pStyle w:val="TableParagraph"/>
              <w:spacing w:before="10"/>
              <w:ind w:left="113"/>
              <w:rPr>
                <w:sz w:val="20"/>
              </w:rPr>
            </w:pPr>
            <w:r>
              <w:rPr>
                <w:w w:val="99"/>
                <w:sz w:val="20"/>
              </w:rPr>
              <w:t>0</w:t>
            </w:r>
          </w:p>
        </w:tc>
        <w:tc>
          <w:tcPr>
            <w:tcW w:w="344" w:type="dxa"/>
          </w:tcPr>
          <w:p>
            <w:pPr>
              <w:pStyle w:val="TableParagraph"/>
              <w:spacing w:before="2"/>
              <w:rPr>
                <w:b/>
                <w:sz w:val="21"/>
              </w:rPr>
            </w:pPr>
          </w:p>
          <w:p>
            <w:pPr>
              <w:pStyle w:val="TableParagraph"/>
              <w:ind w:left="112"/>
              <w:rPr>
                <w:sz w:val="20"/>
              </w:rPr>
            </w:pPr>
            <w:r>
              <w:rPr>
                <w:w w:val="99"/>
                <w:sz w:val="20"/>
              </w:rPr>
              <w:t>0</w:t>
            </w:r>
          </w:p>
          <w:p>
            <w:pPr>
              <w:pStyle w:val="TableParagraph"/>
              <w:spacing w:before="10"/>
              <w:ind w:left="112"/>
              <w:rPr>
                <w:sz w:val="20"/>
              </w:rPr>
            </w:pPr>
            <w:r>
              <w:rPr>
                <w:w w:val="99"/>
                <w:sz w:val="20"/>
              </w:rPr>
              <w:t>0</w:t>
            </w:r>
          </w:p>
        </w:tc>
        <w:tc>
          <w:tcPr>
            <w:tcW w:w="620" w:type="dxa"/>
          </w:tcPr>
          <w:p>
            <w:pPr>
              <w:pStyle w:val="TableParagraph"/>
              <w:spacing w:before="2"/>
              <w:rPr>
                <w:b/>
                <w:sz w:val="21"/>
              </w:rPr>
            </w:pPr>
          </w:p>
          <w:p>
            <w:pPr>
              <w:pStyle w:val="TableParagraph"/>
              <w:spacing w:line="249" w:lineRule="auto"/>
              <w:ind w:left="112"/>
              <w:rPr>
                <w:sz w:val="20"/>
              </w:rPr>
            </w:pPr>
            <w:r>
              <w:rPr>
                <w:sz w:val="20"/>
              </w:rPr>
              <w:t>R/W R/W</w:t>
            </w:r>
          </w:p>
        </w:tc>
        <w:tc>
          <w:tcPr>
            <w:tcW w:w="8018" w:type="dxa"/>
            <w:gridSpan w:val="4"/>
          </w:tcPr>
          <w:p>
            <w:pPr>
              <w:pStyle w:val="TableParagraph"/>
              <w:spacing w:before="14"/>
              <w:ind w:left="104"/>
              <w:rPr>
                <w:sz w:val="20"/>
              </w:rPr>
            </w:pPr>
            <w:r>
              <w:rPr>
                <w:sz w:val="20"/>
              </w:rPr>
              <w:t>Strobe bits for the RTC lookup RAM read and write. When set, the </w:t>
            </w:r>
            <w:r>
              <w:rPr>
                <w:rFonts w:ascii="Times New Roman"/>
                <w:i/>
                <w:sz w:val="20"/>
              </w:rPr>
              <w:t>LKPADDR[6:0] </w:t>
            </w:r>
            <w:r>
              <w:rPr>
                <w:sz w:val="20"/>
              </w:rPr>
              <w:t>and </w:t>
            </w:r>
            <w:r>
              <w:rPr>
                <w:rFonts w:ascii="Times New Roman"/>
                <w:i/>
                <w:sz w:val="20"/>
              </w:rPr>
              <w:t>LKPDAT </w:t>
            </w:r>
            <w:r>
              <w:rPr>
                <w:sz w:val="20"/>
              </w:rPr>
              <w:t>registers is used in a read or write operation. When a strobe is set, it stays set until the operation completes, at which time the strobe is cleared and </w:t>
            </w:r>
            <w:r>
              <w:rPr>
                <w:rFonts w:ascii="Times New Roman"/>
                <w:i/>
                <w:sz w:val="20"/>
              </w:rPr>
              <w:t>LKPADDR[6:0] </w:t>
            </w:r>
            <w:r>
              <w:rPr>
                <w:sz w:val="20"/>
              </w:rPr>
              <w:t>is incremented if </w:t>
            </w:r>
            <w:r>
              <w:rPr>
                <w:rFonts w:ascii="Times New Roman"/>
                <w:i/>
                <w:sz w:val="20"/>
              </w:rPr>
              <w:t>LKPAUTOI </w:t>
            </w:r>
            <w:r>
              <w:rPr>
                <w:sz w:val="20"/>
              </w:rPr>
              <w:t>is set.</w:t>
            </w:r>
          </w:p>
        </w:tc>
      </w:tr>
      <w:tr>
        <w:trPr>
          <w:trHeight w:val="1252" w:hRule="atLeast"/>
        </w:trPr>
        <w:tc>
          <w:tcPr>
            <w:tcW w:w="2254" w:type="dxa"/>
          </w:tcPr>
          <w:p>
            <w:pPr>
              <w:pStyle w:val="TableParagraph"/>
              <w:rPr>
                <w:b/>
                <w:sz w:val="22"/>
              </w:rPr>
            </w:pPr>
          </w:p>
          <w:p>
            <w:pPr>
              <w:pStyle w:val="TableParagraph"/>
              <w:spacing w:before="9"/>
              <w:rPr>
                <w:b/>
                <w:sz w:val="21"/>
              </w:rPr>
            </w:pPr>
          </w:p>
          <w:p>
            <w:pPr>
              <w:pStyle w:val="TableParagraph"/>
              <w:spacing w:before="1"/>
              <w:ind w:left="107"/>
              <w:rPr>
                <w:rFonts w:ascii="Times New Roman"/>
                <w:i/>
                <w:sz w:val="20"/>
              </w:rPr>
            </w:pPr>
            <w:r>
              <w:rPr>
                <w:rFonts w:ascii="Times New Roman"/>
                <w:i/>
                <w:sz w:val="20"/>
              </w:rPr>
              <w:t>MPU_DIV[2:0]</w:t>
            </w:r>
          </w:p>
        </w:tc>
        <w:tc>
          <w:tcPr>
            <w:tcW w:w="1124" w:type="dxa"/>
          </w:tcPr>
          <w:p>
            <w:pPr>
              <w:pStyle w:val="TableParagraph"/>
              <w:rPr>
                <w:b/>
                <w:sz w:val="22"/>
              </w:rPr>
            </w:pPr>
          </w:p>
          <w:p>
            <w:pPr>
              <w:pStyle w:val="TableParagraph"/>
              <w:spacing w:before="2"/>
              <w:rPr>
                <w:b/>
                <w:sz w:val="22"/>
              </w:rPr>
            </w:pPr>
          </w:p>
          <w:p>
            <w:pPr>
              <w:pStyle w:val="TableParagraph"/>
              <w:ind w:left="5"/>
              <w:jc w:val="center"/>
              <w:rPr>
                <w:sz w:val="20"/>
              </w:rPr>
            </w:pPr>
            <w:r>
              <w:rPr>
                <w:sz w:val="20"/>
              </w:rPr>
              <w:t>2200[2:0]</w:t>
            </w:r>
          </w:p>
        </w:tc>
        <w:tc>
          <w:tcPr>
            <w:tcW w:w="344" w:type="dxa"/>
          </w:tcPr>
          <w:p>
            <w:pPr>
              <w:pStyle w:val="TableParagraph"/>
              <w:rPr>
                <w:b/>
                <w:sz w:val="22"/>
              </w:rPr>
            </w:pPr>
          </w:p>
          <w:p>
            <w:pPr>
              <w:pStyle w:val="TableParagraph"/>
              <w:spacing w:before="2"/>
              <w:rPr>
                <w:b/>
                <w:sz w:val="22"/>
              </w:rPr>
            </w:pPr>
          </w:p>
          <w:p>
            <w:pPr>
              <w:pStyle w:val="TableParagraph"/>
              <w:ind w:left="4"/>
              <w:jc w:val="center"/>
              <w:rPr>
                <w:sz w:val="20"/>
              </w:rPr>
            </w:pPr>
            <w:r>
              <w:rPr>
                <w:w w:val="99"/>
                <w:sz w:val="20"/>
              </w:rPr>
              <w:t>0</w:t>
            </w:r>
          </w:p>
        </w:tc>
        <w:tc>
          <w:tcPr>
            <w:tcW w:w="344" w:type="dxa"/>
          </w:tcPr>
          <w:p>
            <w:pPr>
              <w:pStyle w:val="TableParagraph"/>
              <w:rPr>
                <w:b/>
                <w:sz w:val="22"/>
              </w:rPr>
            </w:pPr>
          </w:p>
          <w:p>
            <w:pPr>
              <w:pStyle w:val="TableParagraph"/>
              <w:spacing w:before="2"/>
              <w:rPr>
                <w:b/>
                <w:sz w:val="22"/>
              </w:rPr>
            </w:pPr>
          </w:p>
          <w:p>
            <w:pPr>
              <w:pStyle w:val="TableParagraph"/>
              <w:ind w:left="2"/>
              <w:jc w:val="center"/>
              <w:rPr>
                <w:sz w:val="20"/>
              </w:rPr>
            </w:pPr>
            <w:r>
              <w:rPr>
                <w:w w:val="99"/>
                <w:sz w:val="20"/>
              </w:rPr>
              <w:t>0</w:t>
            </w:r>
          </w:p>
        </w:tc>
        <w:tc>
          <w:tcPr>
            <w:tcW w:w="620" w:type="dxa"/>
          </w:tcPr>
          <w:p>
            <w:pPr>
              <w:pStyle w:val="TableParagraph"/>
              <w:rPr>
                <w:b/>
                <w:sz w:val="22"/>
              </w:rPr>
            </w:pPr>
          </w:p>
          <w:p>
            <w:pPr>
              <w:pStyle w:val="TableParagraph"/>
              <w:spacing w:before="2"/>
              <w:rPr>
                <w:b/>
                <w:sz w:val="22"/>
              </w:rPr>
            </w:pPr>
          </w:p>
          <w:p>
            <w:pPr>
              <w:pStyle w:val="TableParagraph"/>
              <w:ind w:left="87" w:right="93"/>
              <w:jc w:val="center"/>
              <w:rPr>
                <w:sz w:val="20"/>
              </w:rPr>
            </w:pPr>
            <w:r>
              <w:rPr>
                <w:sz w:val="20"/>
              </w:rPr>
              <w:t>R/W</w:t>
            </w:r>
          </w:p>
        </w:tc>
        <w:tc>
          <w:tcPr>
            <w:tcW w:w="8018" w:type="dxa"/>
            <w:gridSpan w:val="4"/>
          </w:tcPr>
          <w:p>
            <w:pPr>
              <w:pStyle w:val="TableParagraph"/>
              <w:spacing w:before="18"/>
              <w:ind w:left="104"/>
              <w:rPr>
                <w:sz w:val="20"/>
              </w:rPr>
            </w:pPr>
            <w:r>
              <w:rPr>
                <w:sz w:val="20"/>
              </w:rPr>
              <w:t>MPU clock rate is:</w:t>
            </w:r>
          </w:p>
          <w:p>
            <w:pPr>
              <w:pStyle w:val="TableParagraph"/>
              <w:spacing w:before="13"/>
              <w:ind w:left="2220" w:right="2224"/>
              <w:jc w:val="center"/>
              <w:rPr>
                <w:sz w:val="20"/>
              </w:rPr>
            </w:pPr>
            <w:r>
              <w:rPr>
                <w:sz w:val="20"/>
              </w:rPr>
              <w:t>MPU Rate = MCK Rate * 2</w:t>
            </w:r>
            <w:r>
              <w:rPr>
                <w:sz w:val="20"/>
                <w:vertAlign w:val="superscript"/>
              </w:rPr>
              <w:t>-(2+</w:t>
            </w:r>
            <w:r>
              <w:rPr>
                <w:rFonts w:ascii="Times New Roman"/>
                <w:i/>
                <w:sz w:val="20"/>
                <w:vertAlign w:val="superscript"/>
              </w:rPr>
              <w:t>MPU_DIV</w:t>
            </w:r>
            <w:r>
              <w:rPr>
                <w:i/>
                <w:sz w:val="20"/>
                <w:vertAlign w:val="superscript"/>
              </w:rPr>
              <w:t>[2:0])</w:t>
            </w:r>
            <w:r>
              <w:rPr>
                <w:sz w:val="20"/>
                <w:vertAlign w:val="baseline"/>
              </w:rPr>
              <w:t>.</w:t>
            </w:r>
          </w:p>
          <w:p>
            <w:pPr>
              <w:pStyle w:val="TableParagraph"/>
              <w:spacing w:before="42"/>
              <w:ind w:left="104" w:right="46"/>
              <w:rPr>
                <w:sz w:val="20"/>
              </w:rPr>
            </w:pPr>
            <w:r>
              <w:rPr>
                <w:sz w:val="20"/>
              </w:rPr>
              <w:t>The maximum </w:t>
            </w:r>
            <w:r>
              <w:rPr>
                <w:spacing w:val="-3"/>
                <w:sz w:val="20"/>
              </w:rPr>
              <w:t>value </w:t>
            </w:r>
            <w:r>
              <w:rPr>
                <w:sz w:val="20"/>
              </w:rPr>
              <w:t>for </w:t>
            </w:r>
            <w:r>
              <w:rPr>
                <w:rFonts w:ascii="Times New Roman"/>
                <w:i/>
                <w:spacing w:val="-3"/>
                <w:sz w:val="20"/>
              </w:rPr>
              <w:t>MPU_DIV[2:0] </w:t>
            </w:r>
            <w:r>
              <w:rPr>
                <w:sz w:val="20"/>
              </w:rPr>
              <w:t>is 4. Based on the default </w:t>
            </w:r>
            <w:r>
              <w:rPr>
                <w:spacing w:val="-3"/>
                <w:sz w:val="20"/>
              </w:rPr>
              <w:t>values </w:t>
            </w:r>
            <w:r>
              <w:rPr>
                <w:sz w:val="20"/>
              </w:rPr>
              <w:t>of the </w:t>
            </w:r>
            <w:r>
              <w:rPr>
                <w:rFonts w:ascii="Times New Roman"/>
                <w:i/>
                <w:sz w:val="20"/>
              </w:rPr>
              <w:t>PLL_FAST </w:t>
            </w:r>
            <w:r>
              <w:rPr>
                <w:spacing w:val="-3"/>
                <w:sz w:val="20"/>
              </w:rPr>
              <w:t>bit </w:t>
            </w:r>
            <w:r>
              <w:rPr>
                <w:sz w:val="20"/>
              </w:rPr>
              <w:t>and </w:t>
            </w:r>
            <w:r>
              <w:rPr>
                <w:rFonts w:ascii="Times New Roman"/>
                <w:i/>
                <w:spacing w:val="-4"/>
                <w:sz w:val="20"/>
              </w:rPr>
              <w:t>MPU_DIV[2:0]</w:t>
            </w:r>
            <w:r>
              <w:rPr>
                <w:spacing w:val="-4"/>
                <w:sz w:val="20"/>
              </w:rPr>
              <w:t>, </w:t>
            </w:r>
            <w:r>
              <w:rPr>
                <w:spacing w:val="-3"/>
                <w:sz w:val="20"/>
              </w:rPr>
              <w:t>the </w:t>
            </w:r>
            <w:r>
              <w:rPr>
                <w:spacing w:val="-4"/>
                <w:sz w:val="20"/>
              </w:rPr>
              <w:t>power-up </w:t>
            </w:r>
            <w:r>
              <w:rPr>
                <w:spacing w:val="-3"/>
                <w:sz w:val="20"/>
              </w:rPr>
              <w:t>MPU rate is 6.29 </w:t>
            </w:r>
            <w:r>
              <w:rPr>
                <w:sz w:val="20"/>
              </w:rPr>
              <w:t>MHz / 4 = </w:t>
            </w:r>
            <w:r>
              <w:rPr>
                <w:spacing w:val="-3"/>
                <w:sz w:val="20"/>
              </w:rPr>
              <w:t>1.5725 </w:t>
            </w:r>
            <w:r>
              <w:rPr>
                <w:spacing w:val="-4"/>
                <w:sz w:val="20"/>
              </w:rPr>
              <w:t>MHz. </w:t>
            </w:r>
            <w:r>
              <w:rPr>
                <w:sz w:val="20"/>
              </w:rPr>
              <w:t>The minimum MPU clock rate is 38.4 kHz when </w:t>
            </w:r>
            <w:r>
              <w:rPr>
                <w:rFonts w:ascii="Times New Roman"/>
                <w:i/>
                <w:sz w:val="20"/>
              </w:rPr>
              <w:t>PLL_FAST </w:t>
            </w:r>
            <w:r>
              <w:rPr>
                <w:sz w:val="20"/>
              </w:rPr>
              <w:t>= 1.</w:t>
            </w:r>
          </w:p>
        </w:tc>
      </w:tr>
      <w:tr>
        <w:trPr>
          <w:trHeight w:val="270" w:hRule="atLeast"/>
        </w:trPr>
        <w:tc>
          <w:tcPr>
            <w:tcW w:w="2254" w:type="dxa"/>
          </w:tcPr>
          <w:p>
            <w:pPr>
              <w:pStyle w:val="TableParagraph"/>
              <w:spacing w:before="14"/>
              <w:ind w:left="107"/>
              <w:rPr>
                <w:rFonts w:ascii="Times New Roman"/>
                <w:i/>
                <w:sz w:val="20"/>
              </w:rPr>
            </w:pPr>
            <w:r>
              <w:rPr>
                <w:rFonts w:ascii="Times New Roman"/>
                <w:i/>
                <w:sz w:val="20"/>
              </w:rPr>
              <w:t>MUX0_SEL[3:0]</w:t>
            </w:r>
          </w:p>
        </w:tc>
        <w:tc>
          <w:tcPr>
            <w:tcW w:w="1124" w:type="dxa"/>
          </w:tcPr>
          <w:p>
            <w:pPr>
              <w:pStyle w:val="TableParagraph"/>
              <w:spacing w:before="18"/>
              <w:ind w:left="5"/>
              <w:jc w:val="center"/>
              <w:rPr>
                <w:sz w:val="20"/>
              </w:rPr>
            </w:pPr>
            <w:r>
              <w:rPr>
                <w:sz w:val="20"/>
              </w:rPr>
              <w:t>2105[3:0]</w:t>
            </w:r>
          </w:p>
        </w:tc>
        <w:tc>
          <w:tcPr>
            <w:tcW w:w="344" w:type="dxa"/>
          </w:tcPr>
          <w:p>
            <w:pPr>
              <w:pStyle w:val="TableParagraph"/>
              <w:spacing w:before="18"/>
              <w:ind w:left="4"/>
              <w:jc w:val="center"/>
              <w:rPr>
                <w:sz w:val="20"/>
              </w:rPr>
            </w:pPr>
            <w:r>
              <w:rPr>
                <w:w w:val="99"/>
                <w:sz w:val="20"/>
              </w:rPr>
              <w:t>0</w:t>
            </w:r>
          </w:p>
        </w:tc>
        <w:tc>
          <w:tcPr>
            <w:tcW w:w="344" w:type="dxa"/>
          </w:tcPr>
          <w:p>
            <w:pPr>
              <w:pStyle w:val="TableParagraph"/>
              <w:spacing w:before="18"/>
              <w:ind w:left="2"/>
              <w:jc w:val="center"/>
              <w:rPr>
                <w:sz w:val="20"/>
              </w:rPr>
            </w:pPr>
            <w:r>
              <w:rPr>
                <w:w w:val="99"/>
                <w:sz w:val="20"/>
              </w:rPr>
              <w:t>0</w:t>
            </w:r>
          </w:p>
        </w:tc>
        <w:tc>
          <w:tcPr>
            <w:tcW w:w="620" w:type="dxa"/>
          </w:tcPr>
          <w:p>
            <w:pPr>
              <w:pStyle w:val="TableParagraph"/>
              <w:spacing w:before="18"/>
              <w:ind w:left="87" w:right="93"/>
              <w:jc w:val="center"/>
              <w:rPr>
                <w:sz w:val="20"/>
              </w:rPr>
            </w:pPr>
            <w:r>
              <w:rPr>
                <w:sz w:val="20"/>
              </w:rPr>
              <w:t>R/W</w:t>
            </w:r>
          </w:p>
        </w:tc>
        <w:tc>
          <w:tcPr>
            <w:tcW w:w="8018" w:type="dxa"/>
            <w:gridSpan w:val="4"/>
          </w:tcPr>
          <w:p>
            <w:pPr>
              <w:pStyle w:val="TableParagraph"/>
              <w:spacing w:before="18"/>
              <w:ind w:left="104"/>
              <w:rPr>
                <w:sz w:val="20"/>
              </w:rPr>
            </w:pPr>
            <w:r>
              <w:rPr>
                <w:sz w:val="20"/>
              </w:rPr>
              <w:t>Selects which ADC input is to be converted during time slot 0.</w:t>
            </w:r>
          </w:p>
        </w:tc>
      </w:tr>
      <w:tr>
        <w:trPr>
          <w:trHeight w:val="268" w:hRule="atLeast"/>
        </w:trPr>
        <w:tc>
          <w:tcPr>
            <w:tcW w:w="2254" w:type="dxa"/>
          </w:tcPr>
          <w:p>
            <w:pPr>
              <w:pStyle w:val="TableParagraph"/>
              <w:spacing w:before="12"/>
              <w:ind w:left="107"/>
              <w:rPr>
                <w:rFonts w:ascii="Times New Roman"/>
                <w:i/>
                <w:sz w:val="20"/>
              </w:rPr>
            </w:pPr>
            <w:r>
              <w:rPr>
                <w:rFonts w:ascii="Times New Roman"/>
                <w:i/>
                <w:sz w:val="20"/>
              </w:rPr>
              <w:t>MUX1_SEL[3:0]</w:t>
            </w:r>
          </w:p>
        </w:tc>
        <w:tc>
          <w:tcPr>
            <w:tcW w:w="1124" w:type="dxa"/>
          </w:tcPr>
          <w:p>
            <w:pPr>
              <w:pStyle w:val="TableParagraph"/>
              <w:spacing w:before="16"/>
              <w:ind w:left="5"/>
              <w:jc w:val="center"/>
              <w:rPr>
                <w:sz w:val="20"/>
              </w:rPr>
            </w:pPr>
            <w:r>
              <w:rPr>
                <w:sz w:val="20"/>
              </w:rPr>
              <w:t>2105[7:4]</w:t>
            </w:r>
          </w:p>
        </w:tc>
        <w:tc>
          <w:tcPr>
            <w:tcW w:w="344" w:type="dxa"/>
          </w:tcPr>
          <w:p>
            <w:pPr>
              <w:pStyle w:val="TableParagraph"/>
              <w:spacing w:before="16"/>
              <w:ind w:left="4"/>
              <w:jc w:val="center"/>
              <w:rPr>
                <w:sz w:val="20"/>
              </w:rPr>
            </w:pPr>
            <w:r>
              <w:rPr>
                <w:w w:val="99"/>
                <w:sz w:val="20"/>
              </w:rPr>
              <w:t>0</w:t>
            </w:r>
          </w:p>
        </w:tc>
        <w:tc>
          <w:tcPr>
            <w:tcW w:w="344" w:type="dxa"/>
          </w:tcPr>
          <w:p>
            <w:pPr>
              <w:pStyle w:val="TableParagraph"/>
              <w:spacing w:before="16"/>
              <w:ind w:left="2"/>
              <w:jc w:val="center"/>
              <w:rPr>
                <w:sz w:val="20"/>
              </w:rPr>
            </w:pPr>
            <w:r>
              <w:rPr>
                <w:w w:val="99"/>
                <w:sz w:val="20"/>
              </w:rPr>
              <w:t>0</w:t>
            </w:r>
          </w:p>
        </w:tc>
        <w:tc>
          <w:tcPr>
            <w:tcW w:w="620" w:type="dxa"/>
          </w:tcPr>
          <w:p>
            <w:pPr>
              <w:pStyle w:val="TableParagraph"/>
              <w:spacing w:before="16"/>
              <w:ind w:left="87" w:right="93"/>
              <w:jc w:val="center"/>
              <w:rPr>
                <w:sz w:val="20"/>
              </w:rPr>
            </w:pPr>
            <w:r>
              <w:rPr>
                <w:sz w:val="20"/>
              </w:rPr>
              <w:t>R/W</w:t>
            </w:r>
          </w:p>
        </w:tc>
        <w:tc>
          <w:tcPr>
            <w:tcW w:w="8018" w:type="dxa"/>
            <w:gridSpan w:val="4"/>
          </w:tcPr>
          <w:p>
            <w:pPr>
              <w:pStyle w:val="TableParagraph"/>
              <w:spacing w:before="16"/>
              <w:ind w:left="104"/>
              <w:rPr>
                <w:sz w:val="20"/>
              </w:rPr>
            </w:pPr>
            <w:r>
              <w:rPr>
                <w:sz w:val="20"/>
              </w:rPr>
              <w:t>Selects which ADC input is to be converted during time slot 1.</w:t>
            </w:r>
          </w:p>
        </w:tc>
      </w:tr>
      <w:tr>
        <w:trPr>
          <w:trHeight w:val="270" w:hRule="atLeast"/>
        </w:trPr>
        <w:tc>
          <w:tcPr>
            <w:tcW w:w="2254" w:type="dxa"/>
          </w:tcPr>
          <w:p>
            <w:pPr>
              <w:pStyle w:val="TableParagraph"/>
              <w:spacing w:before="14"/>
              <w:ind w:left="107"/>
              <w:rPr>
                <w:rFonts w:ascii="Times New Roman"/>
                <w:i/>
                <w:sz w:val="20"/>
              </w:rPr>
            </w:pPr>
            <w:r>
              <w:rPr>
                <w:rFonts w:ascii="Times New Roman"/>
                <w:i/>
                <w:sz w:val="20"/>
              </w:rPr>
              <w:t>MUX2_SEL[3:0]</w:t>
            </w:r>
          </w:p>
        </w:tc>
        <w:tc>
          <w:tcPr>
            <w:tcW w:w="1124" w:type="dxa"/>
          </w:tcPr>
          <w:p>
            <w:pPr>
              <w:pStyle w:val="TableParagraph"/>
              <w:spacing w:before="18"/>
              <w:ind w:left="5"/>
              <w:jc w:val="center"/>
              <w:rPr>
                <w:sz w:val="20"/>
              </w:rPr>
            </w:pPr>
            <w:r>
              <w:rPr>
                <w:sz w:val="20"/>
              </w:rPr>
              <w:t>2104[3:0]</w:t>
            </w:r>
          </w:p>
        </w:tc>
        <w:tc>
          <w:tcPr>
            <w:tcW w:w="344" w:type="dxa"/>
          </w:tcPr>
          <w:p>
            <w:pPr>
              <w:pStyle w:val="TableParagraph"/>
              <w:spacing w:before="18"/>
              <w:ind w:left="4"/>
              <w:jc w:val="center"/>
              <w:rPr>
                <w:sz w:val="20"/>
              </w:rPr>
            </w:pPr>
            <w:r>
              <w:rPr>
                <w:w w:val="99"/>
                <w:sz w:val="20"/>
              </w:rPr>
              <w:t>0</w:t>
            </w:r>
          </w:p>
        </w:tc>
        <w:tc>
          <w:tcPr>
            <w:tcW w:w="344" w:type="dxa"/>
          </w:tcPr>
          <w:p>
            <w:pPr>
              <w:pStyle w:val="TableParagraph"/>
              <w:spacing w:before="18"/>
              <w:ind w:left="2"/>
              <w:jc w:val="center"/>
              <w:rPr>
                <w:sz w:val="20"/>
              </w:rPr>
            </w:pPr>
            <w:r>
              <w:rPr>
                <w:w w:val="99"/>
                <w:sz w:val="20"/>
              </w:rPr>
              <w:t>0</w:t>
            </w:r>
          </w:p>
        </w:tc>
        <w:tc>
          <w:tcPr>
            <w:tcW w:w="620" w:type="dxa"/>
          </w:tcPr>
          <w:p>
            <w:pPr>
              <w:pStyle w:val="TableParagraph"/>
              <w:spacing w:before="18"/>
              <w:ind w:left="87" w:right="93"/>
              <w:jc w:val="center"/>
              <w:rPr>
                <w:sz w:val="20"/>
              </w:rPr>
            </w:pPr>
            <w:r>
              <w:rPr>
                <w:sz w:val="20"/>
              </w:rPr>
              <w:t>R/W</w:t>
            </w:r>
          </w:p>
        </w:tc>
        <w:tc>
          <w:tcPr>
            <w:tcW w:w="8018" w:type="dxa"/>
            <w:gridSpan w:val="4"/>
          </w:tcPr>
          <w:p>
            <w:pPr>
              <w:pStyle w:val="TableParagraph"/>
              <w:spacing w:before="18"/>
              <w:ind w:left="104"/>
              <w:rPr>
                <w:sz w:val="20"/>
              </w:rPr>
            </w:pPr>
            <w:r>
              <w:rPr>
                <w:sz w:val="20"/>
              </w:rPr>
              <w:t>Selects which ADC input is to be converted during time slot 2.</w:t>
            </w:r>
          </w:p>
        </w:tc>
      </w:tr>
      <w:tr>
        <w:trPr>
          <w:trHeight w:val="270" w:hRule="atLeast"/>
        </w:trPr>
        <w:tc>
          <w:tcPr>
            <w:tcW w:w="2254" w:type="dxa"/>
          </w:tcPr>
          <w:p>
            <w:pPr>
              <w:pStyle w:val="TableParagraph"/>
              <w:spacing w:before="12"/>
              <w:ind w:left="107"/>
              <w:rPr>
                <w:rFonts w:ascii="Times New Roman"/>
                <w:i/>
                <w:sz w:val="20"/>
              </w:rPr>
            </w:pPr>
            <w:r>
              <w:rPr>
                <w:rFonts w:ascii="Times New Roman"/>
                <w:i/>
                <w:sz w:val="20"/>
              </w:rPr>
              <w:t>MUX3_SEL[3:0]</w:t>
            </w:r>
          </w:p>
        </w:tc>
        <w:tc>
          <w:tcPr>
            <w:tcW w:w="1124" w:type="dxa"/>
          </w:tcPr>
          <w:p>
            <w:pPr>
              <w:pStyle w:val="TableParagraph"/>
              <w:spacing w:before="16"/>
              <w:ind w:left="5"/>
              <w:jc w:val="center"/>
              <w:rPr>
                <w:sz w:val="20"/>
              </w:rPr>
            </w:pPr>
            <w:r>
              <w:rPr>
                <w:sz w:val="20"/>
              </w:rPr>
              <w:t>2104[7:4]</w:t>
            </w:r>
          </w:p>
        </w:tc>
        <w:tc>
          <w:tcPr>
            <w:tcW w:w="344" w:type="dxa"/>
          </w:tcPr>
          <w:p>
            <w:pPr>
              <w:pStyle w:val="TableParagraph"/>
              <w:spacing w:before="16"/>
              <w:ind w:left="4"/>
              <w:jc w:val="center"/>
              <w:rPr>
                <w:sz w:val="20"/>
              </w:rPr>
            </w:pPr>
            <w:r>
              <w:rPr>
                <w:w w:val="99"/>
                <w:sz w:val="20"/>
              </w:rPr>
              <w:t>0</w:t>
            </w:r>
          </w:p>
        </w:tc>
        <w:tc>
          <w:tcPr>
            <w:tcW w:w="344" w:type="dxa"/>
          </w:tcPr>
          <w:p>
            <w:pPr>
              <w:pStyle w:val="TableParagraph"/>
              <w:spacing w:before="16"/>
              <w:ind w:left="2"/>
              <w:jc w:val="center"/>
              <w:rPr>
                <w:sz w:val="20"/>
              </w:rPr>
            </w:pPr>
            <w:r>
              <w:rPr>
                <w:w w:val="99"/>
                <w:sz w:val="20"/>
              </w:rPr>
              <w:t>0</w:t>
            </w:r>
          </w:p>
        </w:tc>
        <w:tc>
          <w:tcPr>
            <w:tcW w:w="620" w:type="dxa"/>
          </w:tcPr>
          <w:p>
            <w:pPr>
              <w:pStyle w:val="TableParagraph"/>
              <w:spacing w:before="16"/>
              <w:ind w:left="87" w:right="93"/>
              <w:jc w:val="center"/>
              <w:rPr>
                <w:sz w:val="20"/>
              </w:rPr>
            </w:pPr>
            <w:r>
              <w:rPr>
                <w:sz w:val="20"/>
              </w:rPr>
              <w:t>R/W</w:t>
            </w:r>
          </w:p>
        </w:tc>
        <w:tc>
          <w:tcPr>
            <w:tcW w:w="8018" w:type="dxa"/>
            <w:gridSpan w:val="4"/>
          </w:tcPr>
          <w:p>
            <w:pPr>
              <w:pStyle w:val="TableParagraph"/>
              <w:spacing w:before="16"/>
              <w:ind w:left="104"/>
              <w:rPr>
                <w:sz w:val="20"/>
              </w:rPr>
            </w:pPr>
            <w:r>
              <w:rPr>
                <w:sz w:val="20"/>
              </w:rPr>
              <w:t>Selects which ADC input is to be converted during time slot 3.</w:t>
            </w:r>
          </w:p>
        </w:tc>
      </w:tr>
      <w:tr>
        <w:trPr>
          <w:trHeight w:val="268" w:hRule="atLeast"/>
        </w:trPr>
        <w:tc>
          <w:tcPr>
            <w:tcW w:w="2254" w:type="dxa"/>
          </w:tcPr>
          <w:p>
            <w:pPr>
              <w:pStyle w:val="TableParagraph"/>
              <w:spacing w:before="12"/>
              <w:ind w:left="107"/>
              <w:rPr>
                <w:rFonts w:ascii="Times New Roman"/>
                <w:i/>
                <w:sz w:val="20"/>
              </w:rPr>
            </w:pPr>
            <w:r>
              <w:rPr>
                <w:rFonts w:ascii="Times New Roman"/>
                <w:i/>
                <w:sz w:val="20"/>
              </w:rPr>
              <w:t>MUX4_SEL[3:0]</w:t>
            </w:r>
          </w:p>
        </w:tc>
        <w:tc>
          <w:tcPr>
            <w:tcW w:w="1124" w:type="dxa"/>
          </w:tcPr>
          <w:p>
            <w:pPr>
              <w:pStyle w:val="TableParagraph"/>
              <w:spacing w:before="16"/>
              <w:ind w:left="5"/>
              <w:jc w:val="center"/>
              <w:rPr>
                <w:sz w:val="20"/>
              </w:rPr>
            </w:pPr>
            <w:r>
              <w:rPr>
                <w:sz w:val="20"/>
              </w:rPr>
              <w:t>2103[3:0]</w:t>
            </w:r>
          </w:p>
        </w:tc>
        <w:tc>
          <w:tcPr>
            <w:tcW w:w="344" w:type="dxa"/>
          </w:tcPr>
          <w:p>
            <w:pPr>
              <w:pStyle w:val="TableParagraph"/>
              <w:spacing w:before="16"/>
              <w:ind w:left="4"/>
              <w:jc w:val="center"/>
              <w:rPr>
                <w:sz w:val="20"/>
              </w:rPr>
            </w:pPr>
            <w:r>
              <w:rPr>
                <w:w w:val="99"/>
                <w:sz w:val="20"/>
              </w:rPr>
              <w:t>0</w:t>
            </w:r>
          </w:p>
        </w:tc>
        <w:tc>
          <w:tcPr>
            <w:tcW w:w="344" w:type="dxa"/>
          </w:tcPr>
          <w:p>
            <w:pPr>
              <w:pStyle w:val="TableParagraph"/>
              <w:spacing w:before="16"/>
              <w:ind w:left="2"/>
              <w:jc w:val="center"/>
              <w:rPr>
                <w:sz w:val="20"/>
              </w:rPr>
            </w:pPr>
            <w:r>
              <w:rPr>
                <w:w w:val="99"/>
                <w:sz w:val="20"/>
              </w:rPr>
              <w:t>0</w:t>
            </w:r>
          </w:p>
        </w:tc>
        <w:tc>
          <w:tcPr>
            <w:tcW w:w="620" w:type="dxa"/>
          </w:tcPr>
          <w:p>
            <w:pPr>
              <w:pStyle w:val="TableParagraph"/>
              <w:spacing w:before="16"/>
              <w:ind w:left="87" w:right="93"/>
              <w:jc w:val="center"/>
              <w:rPr>
                <w:sz w:val="20"/>
              </w:rPr>
            </w:pPr>
            <w:r>
              <w:rPr>
                <w:sz w:val="20"/>
              </w:rPr>
              <w:t>R/W</w:t>
            </w:r>
          </w:p>
        </w:tc>
        <w:tc>
          <w:tcPr>
            <w:tcW w:w="8018" w:type="dxa"/>
            <w:gridSpan w:val="4"/>
          </w:tcPr>
          <w:p>
            <w:pPr>
              <w:pStyle w:val="TableParagraph"/>
              <w:spacing w:before="16"/>
              <w:ind w:left="104"/>
              <w:rPr>
                <w:sz w:val="20"/>
              </w:rPr>
            </w:pPr>
            <w:r>
              <w:rPr>
                <w:sz w:val="20"/>
              </w:rPr>
              <w:t>Selects which ADC input is to be converted during time slot 4.</w:t>
            </w:r>
          </w:p>
        </w:tc>
      </w:tr>
      <w:tr>
        <w:trPr>
          <w:trHeight w:val="270" w:hRule="atLeast"/>
        </w:trPr>
        <w:tc>
          <w:tcPr>
            <w:tcW w:w="2254" w:type="dxa"/>
          </w:tcPr>
          <w:p>
            <w:pPr>
              <w:pStyle w:val="TableParagraph"/>
              <w:spacing w:before="14"/>
              <w:ind w:left="107"/>
              <w:rPr>
                <w:rFonts w:ascii="Times New Roman"/>
                <w:i/>
                <w:sz w:val="20"/>
              </w:rPr>
            </w:pPr>
            <w:r>
              <w:rPr>
                <w:rFonts w:ascii="Times New Roman"/>
                <w:i/>
                <w:sz w:val="20"/>
              </w:rPr>
              <w:t>MUX5_SEL[3:0]</w:t>
            </w:r>
          </w:p>
        </w:tc>
        <w:tc>
          <w:tcPr>
            <w:tcW w:w="1124" w:type="dxa"/>
          </w:tcPr>
          <w:p>
            <w:pPr>
              <w:pStyle w:val="TableParagraph"/>
              <w:spacing w:before="18"/>
              <w:ind w:left="5"/>
              <w:jc w:val="center"/>
              <w:rPr>
                <w:sz w:val="20"/>
              </w:rPr>
            </w:pPr>
            <w:r>
              <w:rPr>
                <w:sz w:val="20"/>
              </w:rPr>
              <w:t>2103[7:4]</w:t>
            </w:r>
          </w:p>
        </w:tc>
        <w:tc>
          <w:tcPr>
            <w:tcW w:w="344" w:type="dxa"/>
          </w:tcPr>
          <w:p>
            <w:pPr>
              <w:pStyle w:val="TableParagraph"/>
              <w:spacing w:before="18"/>
              <w:ind w:left="4"/>
              <w:jc w:val="center"/>
              <w:rPr>
                <w:sz w:val="20"/>
              </w:rPr>
            </w:pPr>
            <w:r>
              <w:rPr>
                <w:w w:val="99"/>
                <w:sz w:val="20"/>
              </w:rPr>
              <w:t>0</w:t>
            </w:r>
          </w:p>
        </w:tc>
        <w:tc>
          <w:tcPr>
            <w:tcW w:w="344" w:type="dxa"/>
          </w:tcPr>
          <w:p>
            <w:pPr>
              <w:pStyle w:val="TableParagraph"/>
              <w:spacing w:before="18"/>
              <w:ind w:left="2"/>
              <w:jc w:val="center"/>
              <w:rPr>
                <w:sz w:val="20"/>
              </w:rPr>
            </w:pPr>
            <w:r>
              <w:rPr>
                <w:w w:val="99"/>
                <w:sz w:val="20"/>
              </w:rPr>
              <w:t>0</w:t>
            </w:r>
          </w:p>
        </w:tc>
        <w:tc>
          <w:tcPr>
            <w:tcW w:w="620" w:type="dxa"/>
          </w:tcPr>
          <w:p>
            <w:pPr>
              <w:pStyle w:val="TableParagraph"/>
              <w:spacing w:before="18"/>
              <w:ind w:left="87" w:right="93"/>
              <w:jc w:val="center"/>
              <w:rPr>
                <w:sz w:val="20"/>
              </w:rPr>
            </w:pPr>
            <w:r>
              <w:rPr>
                <w:sz w:val="20"/>
              </w:rPr>
              <w:t>R/W</w:t>
            </w:r>
          </w:p>
        </w:tc>
        <w:tc>
          <w:tcPr>
            <w:tcW w:w="8018" w:type="dxa"/>
            <w:gridSpan w:val="4"/>
          </w:tcPr>
          <w:p>
            <w:pPr>
              <w:pStyle w:val="TableParagraph"/>
              <w:spacing w:before="18"/>
              <w:ind w:left="104"/>
              <w:rPr>
                <w:sz w:val="20"/>
              </w:rPr>
            </w:pPr>
            <w:r>
              <w:rPr>
                <w:sz w:val="20"/>
              </w:rPr>
              <w:t>Selects which ADC input is to be converted during time slot 5.</w:t>
            </w:r>
          </w:p>
        </w:tc>
      </w:tr>
      <w:tr>
        <w:trPr>
          <w:trHeight w:val="270" w:hRule="atLeast"/>
        </w:trPr>
        <w:tc>
          <w:tcPr>
            <w:tcW w:w="2254" w:type="dxa"/>
          </w:tcPr>
          <w:p>
            <w:pPr>
              <w:pStyle w:val="TableParagraph"/>
              <w:spacing w:before="12"/>
              <w:ind w:left="107"/>
              <w:rPr>
                <w:rFonts w:ascii="Times New Roman"/>
                <w:i/>
                <w:sz w:val="20"/>
              </w:rPr>
            </w:pPr>
            <w:r>
              <w:rPr>
                <w:rFonts w:ascii="Times New Roman"/>
                <w:i/>
                <w:sz w:val="20"/>
              </w:rPr>
              <w:t>MUX6_SEL[3:0]</w:t>
            </w:r>
          </w:p>
        </w:tc>
        <w:tc>
          <w:tcPr>
            <w:tcW w:w="1124" w:type="dxa"/>
          </w:tcPr>
          <w:p>
            <w:pPr>
              <w:pStyle w:val="TableParagraph"/>
              <w:spacing w:before="16"/>
              <w:ind w:left="5"/>
              <w:jc w:val="center"/>
              <w:rPr>
                <w:sz w:val="20"/>
              </w:rPr>
            </w:pPr>
            <w:r>
              <w:rPr>
                <w:sz w:val="20"/>
              </w:rPr>
              <w:t>2102[3:0]</w:t>
            </w:r>
          </w:p>
        </w:tc>
        <w:tc>
          <w:tcPr>
            <w:tcW w:w="344" w:type="dxa"/>
          </w:tcPr>
          <w:p>
            <w:pPr>
              <w:pStyle w:val="TableParagraph"/>
              <w:spacing w:before="16"/>
              <w:ind w:left="4"/>
              <w:jc w:val="center"/>
              <w:rPr>
                <w:sz w:val="20"/>
              </w:rPr>
            </w:pPr>
            <w:r>
              <w:rPr>
                <w:w w:val="99"/>
                <w:sz w:val="20"/>
              </w:rPr>
              <w:t>0</w:t>
            </w:r>
          </w:p>
        </w:tc>
        <w:tc>
          <w:tcPr>
            <w:tcW w:w="344" w:type="dxa"/>
          </w:tcPr>
          <w:p>
            <w:pPr>
              <w:pStyle w:val="TableParagraph"/>
              <w:spacing w:before="16"/>
              <w:ind w:left="2"/>
              <w:jc w:val="center"/>
              <w:rPr>
                <w:sz w:val="20"/>
              </w:rPr>
            </w:pPr>
            <w:r>
              <w:rPr>
                <w:w w:val="99"/>
                <w:sz w:val="20"/>
              </w:rPr>
              <w:t>0</w:t>
            </w:r>
          </w:p>
        </w:tc>
        <w:tc>
          <w:tcPr>
            <w:tcW w:w="620" w:type="dxa"/>
          </w:tcPr>
          <w:p>
            <w:pPr>
              <w:pStyle w:val="TableParagraph"/>
              <w:spacing w:before="16"/>
              <w:ind w:left="87" w:right="93"/>
              <w:jc w:val="center"/>
              <w:rPr>
                <w:sz w:val="20"/>
              </w:rPr>
            </w:pPr>
            <w:r>
              <w:rPr>
                <w:sz w:val="20"/>
              </w:rPr>
              <w:t>R/W</w:t>
            </w:r>
          </w:p>
        </w:tc>
        <w:tc>
          <w:tcPr>
            <w:tcW w:w="8018" w:type="dxa"/>
            <w:gridSpan w:val="4"/>
          </w:tcPr>
          <w:p>
            <w:pPr>
              <w:pStyle w:val="TableParagraph"/>
              <w:spacing w:before="16"/>
              <w:ind w:left="104"/>
              <w:rPr>
                <w:sz w:val="20"/>
              </w:rPr>
            </w:pPr>
            <w:r>
              <w:rPr>
                <w:sz w:val="20"/>
              </w:rPr>
              <w:t>Selects which ADC input is to be converted during time slot 6.</w:t>
            </w:r>
          </w:p>
        </w:tc>
      </w:tr>
      <w:tr>
        <w:trPr>
          <w:trHeight w:val="268" w:hRule="atLeast"/>
        </w:trPr>
        <w:tc>
          <w:tcPr>
            <w:tcW w:w="2254" w:type="dxa"/>
          </w:tcPr>
          <w:p>
            <w:pPr>
              <w:pStyle w:val="TableParagraph"/>
              <w:spacing w:before="12"/>
              <w:ind w:left="107"/>
              <w:rPr>
                <w:rFonts w:ascii="Times New Roman"/>
                <w:i/>
                <w:sz w:val="20"/>
              </w:rPr>
            </w:pPr>
            <w:r>
              <w:rPr>
                <w:rFonts w:ascii="Times New Roman"/>
                <w:i/>
                <w:sz w:val="20"/>
              </w:rPr>
              <w:t>MUX7_SEL[3:0]</w:t>
            </w:r>
          </w:p>
        </w:tc>
        <w:tc>
          <w:tcPr>
            <w:tcW w:w="1124" w:type="dxa"/>
          </w:tcPr>
          <w:p>
            <w:pPr>
              <w:pStyle w:val="TableParagraph"/>
              <w:spacing w:before="16"/>
              <w:ind w:left="5"/>
              <w:jc w:val="center"/>
              <w:rPr>
                <w:sz w:val="20"/>
              </w:rPr>
            </w:pPr>
            <w:r>
              <w:rPr>
                <w:sz w:val="20"/>
              </w:rPr>
              <w:t>2102[7:4]</w:t>
            </w:r>
          </w:p>
        </w:tc>
        <w:tc>
          <w:tcPr>
            <w:tcW w:w="344" w:type="dxa"/>
          </w:tcPr>
          <w:p>
            <w:pPr>
              <w:pStyle w:val="TableParagraph"/>
              <w:spacing w:before="16"/>
              <w:ind w:left="4"/>
              <w:jc w:val="center"/>
              <w:rPr>
                <w:sz w:val="20"/>
              </w:rPr>
            </w:pPr>
            <w:r>
              <w:rPr>
                <w:w w:val="99"/>
                <w:sz w:val="20"/>
              </w:rPr>
              <w:t>0</w:t>
            </w:r>
          </w:p>
        </w:tc>
        <w:tc>
          <w:tcPr>
            <w:tcW w:w="344" w:type="dxa"/>
          </w:tcPr>
          <w:p>
            <w:pPr>
              <w:pStyle w:val="TableParagraph"/>
              <w:spacing w:before="16"/>
              <w:ind w:left="2"/>
              <w:jc w:val="center"/>
              <w:rPr>
                <w:sz w:val="20"/>
              </w:rPr>
            </w:pPr>
            <w:r>
              <w:rPr>
                <w:w w:val="99"/>
                <w:sz w:val="20"/>
              </w:rPr>
              <w:t>0</w:t>
            </w:r>
          </w:p>
        </w:tc>
        <w:tc>
          <w:tcPr>
            <w:tcW w:w="620" w:type="dxa"/>
          </w:tcPr>
          <w:p>
            <w:pPr>
              <w:pStyle w:val="TableParagraph"/>
              <w:spacing w:before="16"/>
              <w:ind w:left="87" w:right="93"/>
              <w:jc w:val="center"/>
              <w:rPr>
                <w:sz w:val="20"/>
              </w:rPr>
            </w:pPr>
            <w:r>
              <w:rPr>
                <w:sz w:val="20"/>
              </w:rPr>
              <w:t>R/W</w:t>
            </w:r>
          </w:p>
        </w:tc>
        <w:tc>
          <w:tcPr>
            <w:tcW w:w="8018" w:type="dxa"/>
            <w:gridSpan w:val="4"/>
          </w:tcPr>
          <w:p>
            <w:pPr>
              <w:pStyle w:val="TableParagraph"/>
              <w:spacing w:before="16"/>
              <w:ind w:left="104"/>
              <w:rPr>
                <w:sz w:val="20"/>
              </w:rPr>
            </w:pPr>
            <w:r>
              <w:rPr>
                <w:sz w:val="20"/>
              </w:rPr>
              <w:t>Selects which ADC input is to be converted during time slot 7.</w:t>
            </w:r>
          </w:p>
        </w:tc>
      </w:tr>
    </w:tbl>
    <w:p>
      <w:pPr>
        <w:spacing w:after="0"/>
        <w:rPr>
          <w:sz w:val="20"/>
        </w:rPr>
        <w:sectPr>
          <w:pgSz w:w="15840" w:h="12240" w:orient="landscape"/>
          <w:pgMar w:header="727" w:footer="819" w:top="1180" w:bottom="1000" w:left="1320" w:right="1320"/>
        </w:sectPr>
      </w:pPr>
    </w:p>
    <w:p>
      <w:pPr>
        <w:pStyle w:val="BodyText"/>
        <w:spacing w:before="5"/>
        <w:rPr>
          <w:b/>
          <w:sz w:val="7"/>
        </w:rPr>
      </w:pPr>
    </w:p>
    <w:tbl>
      <w:tblPr>
        <w:tblW w:w="0" w:type="auto"/>
        <w:jc w:val="left"/>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4"/>
        <w:gridCol w:w="1124"/>
        <w:gridCol w:w="344"/>
        <w:gridCol w:w="344"/>
        <w:gridCol w:w="620"/>
        <w:gridCol w:w="114"/>
        <w:gridCol w:w="1156"/>
        <w:gridCol w:w="1214"/>
        <w:gridCol w:w="5536"/>
      </w:tblGrid>
      <w:tr>
        <w:trPr>
          <w:trHeight w:val="309" w:hRule="atLeast"/>
        </w:trPr>
        <w:tc>
          <w:tcPr>
            <w:tcW w:w="2254" w:type="dxa"/>
          </w:tcPr>
          <w:p>
            <w:pPr>
              <w:pStyle w:val="TableParagraph"/>
              <w:spacing w:before="35"/>
              <w:ind w:left="107"/>
              <w:rPr>
                <w:b/>
                <w:sz w:val="20"/>
              </w:rPr>
            </w:pPr>
            <w:r>
              <w:rPr>
                <w:b/>
                <w:sz w:val="20"/>
              </w:rPr>
              <w:t>Name</w:t>
            </w:r>
          </w:p>
        </w:tc>
        <w:tc>
          <w:tcPr>
            <w:tcW w:w="1124" w:type="dxa"/>
          </w:tcPr>
          <w:p>
            <w:pPr>
              <w:pStyle w:val="TableParagraph"/>
              <w:spacing w:before="35"/>
              <w:ind w:left="4"/>
              <w:jc w:val="center"/>
              <w:rPr>
                <w:b/>
                <w:sz w:val="20"/>
              </w:rPr>
            </w:pPr>
            <w:r>
              <w:rPr>
                <w:b/>
                <w:sz w:val="20"/>
              </w:rPr>
              <w:t>Location</w:t>
            </w:r>
          </w:p>
        </w:tc>
        <w:tc>
          <w:tcPr>
            <w:tcW w:w="344" w:type="dxa"/>
          </w:tcPr>
          <w:p>
            <w:pPr>
              <w:pStyle w:val="TableParagraph"/>
              <w:spacing w:before="35"/>
              <w:ind w:right="3"/>
              <w:jc w:val="right"/>
              <w:rPr>
                <w:b/>
                <w:sz w:val="20"/>
              </w:rPr>
            </w:pPr>
            <w:r>
              <w:rPr>
                <w:b/>
                <w:w w:val="95"/>
                <w:sz w:val="20"/>
              </w:rPr>
              <w:t>Rst</w:t>
            </w:r>
          </w:p>
        </w:tc>
        <w:tc>
          <w:tcPr>
            <w:tcW w:w="344" w:type="dxa"/>
          </w:tcPr>
          <w:p>
            <w:pPr>
              <w:pStyle w:val="TableParagraph"/>
              <w:spacing w:before="35"/>
              <w:ind w:left="6"/>
              <w:jc w:val="center"/>
              <w:rPr>
                <w:b/>
                <w:sz w:val="20"/>
              </w:rPr>
            </w:pPr>
            <w:r>
              <w:rPr>
                <w:b/>
                <w:sz w:val="20"/>
              </w:rPr>
              <w:t>Wk</w:t>
            </w:r>
          </w:p>
        </w:tc>
        <w:tc>
          <w:tcPr>
            <w:tcW w:w="620" w:type="dxa"/>
          </w:tcPr>
          <w:p>
            <w:pPr>
              <w:pStyle w:val="TableParagraph"/>
              <w:spacing w:before="35"/>
              <w:ind w:left="87" w:right="86"/>
              <w:jc w:val="center"/>
              <w:rPr>
                <w:b/>
                <w:sz w:val="20"/>
              </w:rPr>
            </w:pPr>
            <w:r>
              <w:rPr>
                <w:b/>
                <w:sz w:val="20"/>
              </w:rPr>
              <w:t>Dir</w:t>
            </w:r>
          </w:p>
        </w:tc>
        <w:tc>
          <w:tcPr>
            <w:tcW w:w="8020" w:type="dxa"/>
            <w:gridSpan w:val="4"/>
          </w:tcPr>
          <w:p>
            <w:pPr>
              <w:pStyle w:val="TableParagraph"/>
              <w:spacing w:before="35"/>
              <w:ind w:left="104"/>
              <w:rPr>
                <w:b/>
                <w:sz w:val="20"/>
              </w:rPr>
            </w:pPr>
            <w:r>
              <w:rPr>
                <w:b/>
                <w:sz w:val="20"/>
              </w:rPr>
              <w:t>Description</w:t>
            </w:r>
          </w:p>
        </w:tc>
      </w:tr>
      <w:tr>
        <w:trPr>
          <w:trHeight w:val="270" w:hRule="atLeast"/>
        </w:trPr>
        <w:tc>
          <w:tcPr>
            <w:tcW w:w="2254" w:type="dxa"/>
          </w:tcPr>
          <w:p>
            <w:pPr>
              <w:pStyle w:val="TableParagraph"/>
              <w:spacing w:before="14"/>
              <w:ind w:left="107"/>
              <w:rPr>
                <w:rFonts w:ascii="Times New Roman"/>
                <w:i/>
                <w:sz w:val="20"/>
              </w:rPr>
            </w:pPr>
            <w:r>
              <w:rPr>
                <w:rFonts w:ascii="Times New Roman"/>
                <w:i/>
                <w:sz w:val="20"/>
              </w:rPr>
              <w:t>MUX8_SEL[3:0]</w:t>
            </w:r>
          </w:p>
        </w:tc>
        <w:tc>
          <w:tcPr>
            <w:tcW w:w="1124" w:type="dxa"/>
          </w:tcPr>
          <w:p>
            <w:pPr>
              <w:pStyle w:val="TableParagraph"/>
              <w:spacing w:before="18"/>
              <w:ind w:left="5"/>
              <w:jc w:val="center"/>
              <w:rPr>
                <w:sz w:val="20"/>
              </w:rPr>
            </w:pPr>
            <w:r>
              <w:rPr>
                <w:sz w:val="20"/>
              </w:rPr>
              <w:t>2101[3:0]</w:t>
            </w:r>
          </w:p>
        </w:tc>
        <w:tc>
          <w:tcPr>
            <w:tcW w:w="344" w:type="dxa"/>
          </w:tcPr>
          <w:p>
            <w:pPr>
              <w:pStyle w:val="TableParagraph"/>
              <w:spacing w:before="18"/>
              <w:ind w:right="107"/>
              <w:jc w:val="right"/>
              <w:rPr>
                <w:sz w:val="20"/>
              </w:rPr>
            </w:pPr>
            <w:r>
              <w:rPr>
                <w:w w:val="99"/>
                <w:sz w:val="20"/>
              </w:rPr>
              <w:t>0</w:t>
            </w:r>
          </w:p>
        </w:tc>
        <w:tc>
          <w:tcPr>
            <w:tcW w:w="344" w:type="dxa"/>
          </w:tcPr>
          <w:p>
            <w:pPr>
              <w:pStyle w:val="TableParagraph"/>
              <w:spacing w:before="18"/>
              <w:ind w:left="2"/>
              <w:jc w:val="center"/>
              <w:rPr>
                <w:sz w:val="20"/>
              </w:rPr>
            </w:pPr>
            <w:r>
              <w:rPr>
                <w:w w:val="99"/>
                <w:sz w:val="20"/>
              </w:rPr>
              <w:t>0</w:t>
            </w:r>
          </w:p>
        </w:tc>
        <w:tc>
          <w:tcPr>
            <w:tcW w:w="620" w:type="dxa"/>
          </w:tcPr>
          <w:p>
            <w:pPr>
              <w:pStyle w:val="TableParagraph"/>
              <w:spacing w:before="18"/>
              <w:ind w:left="87" w:right="93"/>
              <w:jc w:val="center"/>
              <w:rPr>
                <w:sz w:val="20"/>
              </w:rPr>
            </w:pPr>
            <w:r>
              <w:rPr>
                <w:sz w:val="20"/>
              </w:rPr>
              <w:t>R/W</w:t>
            </w:r>
          </w:p>
        </w:tc>
        <w:tc>
          <w:tcPr>
            <w:tcW w:w="8020" w:type="dxa"/>
            <w:gridSpan w:val="4"/>
          </w:tcPr>
          <w:p>
            <w:pPr>
              <w:pStyle w:val="TableParagraph"/>
              <w:spacing w:before="18"/>
              <w:ind w:left="104"/>
              <w:rPr>
                <w:sz w:val="20"/>
              </w:rPr>
            </w:pPr>
            <w:r>
              <w:rPr>
                <w:sz w:val="20"/>
              </w:rPr>
              <w:t>Selects which ADC input is to be converted during time slot 8.</w:t>
            </w:r>
          </w:p>
        </w:tc>
      </w:tr>
      <w:tr>
        <w:trPr>
          <w:trHeight w:val="270" w:hRule="atLeast"/>
        </w:trPr>
        <w:tc>
          <w:tcPr>
            <w:tcW w:w="2254" w:type="dxa"/>
          </w:tcPr>
          <w:p>
            <w:pPr>
              <w:pStyle w:val="TableParagraph"/>
              <w:spacing w:before="12"/>
              <w:ind w:left="107"/>
              <w:rPr>
                <w:rFonts w:ascii="Times New Roman"/>
                <w:i/>
                <w:sz w:val="20"/>
              </w:rPr>
            </w:pPr>
            <w:r>
              <w:rPr>
                <w:rFonts w:ascii="Times New Roman"/>
                <w:i/>
                <w:sz w:val="20"/>
              </w:rPr>
              <w:t>MUX9_SEL[3:0]</w:t>
            </w:r>
          </w:p>
        </w:tc>
        <w:tc>
          <w:tcPr>
            <w:tcW w:w="1124" w:type="dxa"/>
          </w:tcPr>
          <w:p>
            <w:pPr>
              <w:pStyle w:val="TableParagraph"/>
              <w:spacing w:before="16"/>
              <w:ind w:left="5"/>
              <w:jc w:val="center"/>
              <w:rPr>
                <w:sz w:val="20"/>
              </w:rPr>
            </w:pPr>
            <w:r>
              <w:rPr>
                <w:sz w:val="20"/>
              </w:rPr>
              <w:t>2101[7:4]</w:t>
            </w:r>
          </w:p>
        </w:tc>
        <w:tc>
          <w:tcPr>
            <w:tcW w:w="344" w:type="dxa"/>
          </w:tcPr>
          <w:p>
            <w:pPr>
              <w:pStyle w:val="TableParagraph"/>
              <w:spacing w:before="16"/>
              <w:ind w:right="107"/>
              <w:jc w:val="right"/>
              <w:rPr>
                <w:sz w:val="20"/>
              </w:rPr>
            </w:pPr>
            <w:r>
              <w:rPr>
                <w:w w:val="99"/>
                <w:sz w:val="20"/>
              </w:rPr>
              <w:t>0</w:t>
            </w:r>
          </w:p>
        </w:tc>
        <w:tc>
          <w:tcPr>
            <w:tcW w:w="344" w:type="dxa"/>
          </w:tcPr>
          <w:p>
            <w:pPr>
              <w:pStyle w:val="TableParagraph"/>
              <w:spacing w:before="16"/>
              <w:ind w:left="2"/>
              <w:jc w:val="center"/>
              <w:rPr>
                <w:sz w:val="20"/>
              </w:rPr>
            </w:pPr>
            <w:r>
              <w:rPr>
                <w:w w:val="99"/>
                <w:sz w:val="20"/>
              </w:rPr>
              <w:t>0</w:t>
            </w:r>
          </w:p>
        </w:tc>
        <w:tc>
          <w:tcPr>
            <w:tcW w:w="620" w:type="dxa"/>
          </w:tcPr>
          <w:p>
            <w:pPr>
              <w:pStyle w:val="TableParagraph"/>
              <w:spacing w:before="16"/>
              <w:ind w:left="87" w:right="93"/>
              <w:jc w:val="center"/>
              <w:rPr>
                <w:sz w:val="20"/>
              </w:rPr>
            </w:pPr>
            <w:r>
              <w:rPr>
                <w:sz w:val="20"/>
              </w:rPr>
              <w:t>R/W</w:t>
            </w:r>
          </w:p>
        </w:tc>
        <w:tc>
          <w:tcPr>
            <w:tcW w:w="8020" w:type="dxa"/>
            <w:gridSpan w:val="4"/>
          </w:tcPr>
          <w:p>
            <w:pPr>
              <w:pStyle w:val="TableParagraph"/>
              <w:spacing w:before="16"/>
              <w:ind w:left="104"/>
              <w:rPr>
                <w:sz w:val="20"/>
              </w:rPr>
            </w:pPr>
            <w:r>
              <w:rPr>
                <w:sz w:val="20"/>
              </w:rPr>
              <w:t>Selects which ADC input is to be converted during time slot 9.</w:t>
            </w:r>
          </w:p>
        </w:tc>
      </w:tr>
      <w:tr>
        <w:trPr>
          <w:trHeight w:val="268" w:hRule="atLeast"/>
        </w:trPr>
        <w:tc>
          <w:tcPr>
            <w:tcW w:w="2254" w:type="dxa"/>
          </w:tcPr>
          <w:p>
            <w:pPr>
              <w:pStyle w:val="TableParagraph"/>
              <w:spacing w:before="12"/>
              <w:ind w:left="107"/>
              <w:rPr>
                <w:rFonts w:ascii="Times New Roman"/>
                <w:i/>
                <w:sz w:val="20"/>
              </w:rPr>
            </w:pPr>
            <w:r>
              <w:rPr>
                <w:rFonts w:ascii="Times New Roman"/>
                <w:i/>
                <w:sz w:val="20"/>
              </w:rPr>
              <w:t>MUX10_SEL[3:0]</w:t>
            </w:r>
          </w:p>
        </w:tc>
        <w:tc>
          <w:tcPr>
            <w:tcW w:w="1124" w:type="dxa"/>
          </w:tcPr>
          <w:p>
            <w:pPr>
              <w:pStyle w:val="TableParagraph"/>
              <w:spacing w:before="16"/>
              <w:ind w:left="5"/>
              <w:jc w:val="center"/>
              <w:rPr>
                <w:sz w:val="20"/>
              </w:rPr>
            </w:pPr>
            <w:r>
              <w:rPr>
                <w:sz w:val="20"/>
              </w:rPr>
              <w:t>2100[3:0]</w:t>
            </w:r>
          </w:p>
        </w:tc>
        <w:tc>
          <w:tcPr>
            <w:tcW w:w="344" w:type="dxa"/>
          </w:tcPr>
          <w:p>
            <w:pPr>
              <w:pStyle w:val="TableParagraph"/>
              <w:spacing w:before="16"/>
              <w:ind w:right="107"/>
              <w:jc w:val="right"/>
              <w:rPr>
                <w:sz w:val="20"/>
              </w:rPr>
            </w:pPr>
            <w:r>
              <w:rPr>
                <w:w w:val="99"/>
                <w:sz w:val="20"/>
              </w:rPr>
              <w:t>0</w:t>
            </w:r>
          </w:p>
        </w:tc>
        <w:tc>
          <w:tcPr>
            <w:tcW w:w="344" w:type="dxa"/>
          </w:tcPr>
          <w:p>
            <w:pPr>
              <w:pStyle w:val="TableParagraph"/>
              <w:spacing w:before="16"/>
              <w:ind w:left="2"/>
              <w:jc w:val="center"/>
              <w:rPr>
                <w:sz w:val="20"/>
              </w:rPr>
            </w:pPr>
            <w:r>
              <w:rPr>
                <w:w w:val="99"/>
                <w:sz w:val="20"/>
              </w:rPr>
              <w:t>0</w:t>
            </w:r>
          </w:p>
        </w:tc>
        <w:tc>
          <w:tcPr>
            <w:tcW w:w="620" w:type="dxa"/>
          </w:tcPr>
          <w:p>
            <w:pPr>
              <w:pStyle w:val="TableParagraph"/>
              <w:spacing w:before="16"/>
              <w:ind w:left="87" w:right="93"/>
              <w:jc w:val="center"/>
              <w:rPr>
                <w:sz w:val="20"/>
              </w:rPr>
            </w:pPr>
            <w:r>
              <w:rPr>
                <w:sz w:val="20"/>
              </w:rPr>
              <w:t>R/W</w:t>
            </w:r>
          </w:p>
        </w:tc>
        <w:tc>
          <w:tcPr>
            <w:tcW w:w="8020" w:type="dxa"/>
            <w:gridSpan w:val="4"/>
          </w:tcPr>
          <w:p>
            <w:pPr>
              <w:pStyle w:val="TableParagraph"/>
              <w:spacing w:before="16"/>
              <w:ind w:left="104"/>
              <w:rPr>
                <w:sz w:val="20"/>
              </w:rPr>
            </w:pPr>
            <w:r>
              <w:rPr>
                <w:sz w:val="20"/>
              </w:rPr>
              <w:t>Selects which ADC input is to be converted during time slot 10.</w:t>
            </w:r>
          </w:p>
        </w:tc>
      </w:tr>
      <w:tr>
        <w:trPr>
          <w:trHeight w:val="501" w:hRule="atLeast"/>
        </w:trPr>
        <w:tc>
          <w:tcPr>
            <w:tcW w:w="2254" w:type="dxa"/>
          </w:tcPr>
          <w:p>
            <w:pPr>
              <w:pStyle w:val="TableParagraph"/>
              <w:spacing w:before="130"/>
              <w:ind w:left="107"/>
              <w:rPr>
                <w:rFonts w:ascii="Times New Roman"/>
                <w:i/>
                <w:sz w:val="20"/>
              </w:rPr>
            </w:pPr>
            <w:r>
              <w:rPr>
                <w:rFonts w:ascii="Times New Roman"/>
                <w:i/>
                <w:sz w:val="20"/>
              </w:rPr>
              <w:t>MUX_DIV[3:0]</w:t>
            </w:r>
          </w:p>
        </w:tc>
        <w:tc>
          <w:tcPr>
            <w:tcW w:w="1124" w:type="dxa"/>
          </w:tcPr>
          <w:p>
            <w:pPr>
              <w:pStyle w:val="TableParagraph"/>
              <w:spacing w:before="133"/>
              <w:ind w:left="5"/>
              <w:jc w:val="center"/>
              <w:rPr>
                <w:sz w:val="20"/>
              </w:rPr>
            </w:pPr>
            <w:r>
              <w:rPr>
                <w:sz w:val="20"/>
              </w:rPr>
              <w:t>2100[7:4]</w:t>
            </w:r>
          </w:p>
        </w:tc>
        <w:tc>
          <w:tcPr>
            <w:tcW w:w="344" w:type="dxa"/>
          </w:tcPr>
          <w:p>
            <w:pPr>
              <w:pStyle w:val="TableParagraph"/>
              <w:spacing w:before="133"/>
              <w:ind w:right="107"/>
              <w:jc w:val="right"/>
              <w:rPr>
                <w:sz w:val="20"/>
              </w:rPr>
            </w:pPr>
            <w:r>
              <w:rPr>
                <w:w w:val="99"/>
                <w:sz w:val="20"/>
              </w:rPr>
              <w:t>0</w:t>
            </w:r>
          </w:p>
        </w:tc>
        <w:tc>
          <w:tcPr>
            <w:tcW w:w="344" w:type="dxa"/>
          </w:tcPr>
          <w:p>
            <w:pPr>
              <w:pStyle w:val="TableParagraph"/>
              <w:spacing w:before="133"/>
              <w:ind w:left="2"/>
              <w:jc w:val="center"/>
              <w:rPr>
                <w:sz w:val="20"/>
              </w:rPr>
            </w:pPr>
            <w:r>
              <w:rPr>
                <w:w w:val="99"/>
                <w:sz w:val="20"/>
              </w:rPr>
              <w:t>0</w:t>
            </w:r>
          </w:p>
        </w:tc>
        <w:tc>
          <w:tcPr>
            <w:tcW w:w="620" w:type="dxa"/>
          </w:tcPr>
          <w:p>
            <w:pPr>
              <w:pStyle w:val="TableParagraph"/>
              <w:spacing w:before="133"/>
              <w:ind w:left="87" w:right="93"/>
              <w:jc w:val="center"/>
              <w:rPr>
                <w:sz w:val="20"/>
              </w:rPr>
            </w:pPr>
            <w:r>
              <w:rPr>
                <w:sz w:val="20"/>
              </w:rPr>
              <w:t>R/W</w:t>
            </w:r>
          </w:p>
        </w:tc>
        <w:tc>
          <w:tcPr>
            <w:tcW w:w="8020" w:type="dxa"/>
            <w:gridSpan w:val="4"/>
          </w:tcPr>
          <w:p>
            <w:pPr>
              <w:pStyle w:val="TableParagraph"/>
              <w:spacing w:before="16"/>
              <w:ind w:left="104"/>
              <w:rPr>
                <w:sz w:val="20"/>
              </w:rPr>
            </w:pPr>
            <w:r>
              <w:rPr>
                <w:rFonts w:ascii="Times New Roman"/>
                <w:i/>
                <w:sz w:val="20"/>
              </w:rPr>
              <w:t>MUX_DIV[3:0] </w:t>
            </w:r>
            <w:r>
              <w:rPr>
                <w:sz w:val="20"/>
              </w:rPr>
              <w:t>is the number of ADC time slots in each MUX frame. The maximum number of time slots is 11.</w:t>
            </w:r>
          </w:p>
        </w:tc>
      </w:tr>
      <w:tr>
        <w:trPr>
          <w:trHeight w:val="959" w:hRule="atLeast"/>
        </w:trPr>
        <w:tc>
          <w:tcPr>
            <w:tcW w:w="2254" w:type="dxa"/>
            <w:shd w:val="clear" w:color="auto" w:fill="C1C1C1"/>
          </w:tcPr>
          <w:p>
            <w:pPr>
              <w:pStyle w:val="TableParagraph"/>
              <w:spacing w:before="1"/>
              <w:rPr>
                <w:b/>
                <w:sz w:val="31"/>
              </w:rPr>
            </w:pPr>
          </w:p>
          <w:p>
            <w:pPr>
              <w:pStyle w:val="TableParagraph"/>
              <w:ind w:left="107"/>
              <w:rPr>
                <w:rFonts w:ascii="Times New Roman"/>
                <w:i/>
                <w:sz w:val="20"/>
              </w:rPr>
            </w:pPr>
            <w:r>
              <w:rPr>
                <w:rFonts w:ascii="Times New Roman"/>
                <w:i/>
                <w:sz w:val="20"/>
              </w:rPr>
              <w:t>OPT_BB</w:t>
            </w:r>
          </w:p>
        </w:tc>
        <w:tc>
          <w:tcPr>
            <w:tcW w:w="1124" w:type="dxa"/>
            <w:shd w:val="clear" w:color="auto" w:fill="C1C1C1"/>
          </w:tcPr>
          <w:p>
            <w:pPr>
              <w:pStyle w:val="TableParagraph"/>
              <w:spacing w:before="5"/>
              <w:rPr>
                <w:b/>
                <w:sz w:val="31"/>
              </w:rPr>
            </w:pPr>
          </w:p>
          <w:p>
            <w:pPr>
              <w:pStyle w:val="TableParagraph"/>
              <w:ind w:left="5"/>
              <w:jc w:val="center"/>
              <w:rPr>
                <w:sz w:val="20"/>
              </w:rPr>
            </w:pPr>
            <w:r>
              <w:rPr>
                <w:sz w:val="20"/>
              </w:rPr>
              <w:t>2457[0]</w:t>
            </w:r>
          </w:p>
        </w:tc>
        <w:tc>
          <w:tcPr>
            <w:tcW w:w="344" w:type="dxa"/>
            <w:shd w:val="clear" w:color="auto" w:fill="C1C1C1"/>
          </w:tcPr>
          <w:p>
            <w:pPr>
              <w:pStyle w:val="TableParagraph"/>
              <w:spacing w:before="5"/>
              <w:rPr>
                <w:b/>
                <w:sz w:val="31"/>
              </w:rPr>
            </w:pPr>
          </w:p>
          <w:p>
            <w:pPr>
              <w:pStyle w:val="TableParagraph"/>
              <w:ind w:right="107"/>
              <w:jc w:val="right"/>
              <w:rPr>
                <w:sz w:val="20"/>
              </w:rPr>
            </w:pPr>
            <w:r>
              <w:rPr>
                <w:w w:val="99"/>
                <w:sz w:val="20"/>
              </w:rPr>
              <w:t>0</w:t>
            </w:r>
          </w:p>
        </w:tc>
        <w:tc>
          <w:tcPr>
            <w:tcW w:w="344" w:type="dxa"/>
            <w:shd w:val="clear" w:color="auto" w:fill="C1C1C1"/>
          </w:tcPr>
          <w:p>
            <w:pPr>
              <w:pStyle w:val="TableParagraph"/>
              <w:spacing w:before="5"/>
              <w:rPr>
                <w:b/>
                <w:sz w:val="31"/>
              </w:rPr>
            </w:pPr>
          </w:p>
          <w:p>
            <w:pPr>
              <w:pStyle w:val="TableParagraph"/>
              <w:ind w:left="2"/>
              <w:jc w:val="center"/>
              <w:rPr>
                <w:sz w:val="20"/>
              </w:rPr>
            </w:pPr>
            <w:r>
              <w:rPr>
                <w:w w:val="99"/>
                <w:sz w:val="20"/>
              </w:rPr>
              <w:t>–</w:t>
            </w:r>
          </w:p>
        </w:tc>
        <w:tc>
          <w:tcPr>
            <w:tcW w:w="620" w:type="dxa"/>
            <w:shd w:val="clear" w:color="auto" w:fill="C1C1C1"/>
          </w:tcPr>
          <w:p>
            <w:pPr>
              <w:pStyle w:val="TableParagraph"/>
              <w:spacing w:before="5"/>
              <w:rPr>
                <w:b/>
                <w:sz w:val="31"/>
              </w:rPr>
            </w:pPr>
          </w:p>
          <w:p>
            <w:pPr>
              <w:pStyle w:val="TableParagraph"/>
              <w:ind w:left="87" w:right="93"/>
              <w:jc w:val="center"/>
              <w:rPr>
                <w:sz w:val="20"/>
              </w:rPr>
            </w:pPr>
            <w:r>
              <w:rPr>
                <w:sz w:val="20"/>
              </w:rPr>
              <w:t>R/W</w:t>
            </w:r>
          </w:p>
        </w:tc>
        <w:tc>
          <w:tcPr>
            <w:tcW w:w="8020" w:type="dxa"/>
            <w:gridSpan w:val="4"/>
            <w:shd w:val="clear" w:color="auto" w:fill="C1C1C1"/>
          </w:tcPr>
          <w:p>
            <w:pPr>
              <w:pStyle w:val="TableParagraph"/>
              <w:spacing w:line="229" w:lineRule="exact" w:before="18"/>
              <w:ind w:left="104"/>
              <w:rPr>
                <w:sz w:val="20"/>
              </w:rPr>
            </w:pPr>
            <w:r>
              <w:rPr>
                <w:sz w:val="20"/>
              </w:rPr>
              <w:t>Configures the input of the optical port to be a DIO pin to allow it to be</w:t>
            </w:r>
          </w:p>
          <w:p>
            <w:pPr>
              <w:pStyle w:val="TableParagraph"/>
              <w:ind w:left="104"/>
              <w:rPr>
                <w:sz w:val="20"/>
              </w:rPr>
            </w:pPr>
            <w:r>
              <w:rPr>
                <w:sz w:val="20"/>
              </w:rPr>
              <w:t>bit-banged. In this case, DIO5 becomes a third high speed UART. Refer to </w:t>
            </w:r>
            <w:hyperlink w:history="true" w:anchor="_bookmark114">
              <w:r>
                <w:rPr>
                  <w:color w:val="0000FF"/>
                  <w:sz w:val="20"/>
                </w:rPr>
                <w:t>2.5.9 </w:t>
              </w:r>
            </w:hyperlink>
            <w:hyperlink w:history="true" w:anchor="_bookmark114">
              <w:r>
                <w:rPr>
                  <w:color w:val="0000FF"/>
                  <w:sz w:val="20"/>
                </w:rPr>
                <w:t>UART</w:t>
              </w:r>
            </w:hyperlink>
            <w:r>
              <w:rPr>
                <w:color w:val="0000FF"/>
                <w:sz w:val="20"/>
              </w:rPr>
              <w:t> </w:t>
            </w:r>
            <w:hyperlink w:history="true" w:anchor="_bookmark114">
              <w:r>
                <w:rPr>
                  <w:color w:val="0000FF"/>
                  <w:sz w:val="20"/>
                </w:rPr>
                <w:t>and Optical Interface</w:t>
              </w:r>
            </w:hyperlink>
            <w:r>
              <w:rPr>
                <w:color w:val="0000FF"/>
                <w:sz w:val="20"/>
              </w:rPr>
              <w:t> </w:t>
            </w:r>
            <w:r>
              <w:rPr>
                <w:sz w:val="20"/>
              </w:rPr>
              <w:t>=under the “</w:t>
            </w:r>
            <w:r>
              <w:rPr>
                <w:b/>
                <w:sz w:val="20"/>
              </w:rPr>
              <w:t>Bit Banged Optical UART (Third UART)” </w:t>
            </w:r>
            <w:r>
              <w:rPr>
                <w:sz w:val="20"/>
              </w:rPr>
              <w:t>sub- heading on page </w:t>
            </w:r>
            <w:hyperlink w:history="true" w:anchor="_bookmark114">
              <w:r>
                <w:rPr>
                  <w:color w:val="0000FF"/>
                  <w:sz w:val="20"/>
                </w:rPr>
                <w:t>56</w:t>
              </w:r>
              <w:r>
                <w:rPr>
                  <w:sz w:val="20"/>
                </w:rPr>
                <w:t>.</w:t>
              </w:r>
            </w:hyperlink>
          </w:p>
        </w:tc>
      </w:tr>
      <w:tr>
        <w:trPr>
          <w:trHeight w:val="289" w:hRule="atLeast"/>
        </w:trPr>
        <w:tc>
          <w:tcPr>
            <w:tcW w:w="2254" w:type="dxa"/>
            <w:vMerge w:val="restart"/>
            <w:shd w:val="clear" w:color="auto" w:fill="C1C1C1"/>
          </w:tcPr>
          <w:p>
            <w:pPr>
              <w:pStyle w:val="TableParagraph"/>
              <w:rPr>
                <w:b/>
                <w:sz w:val="22"/>
              </w:rPr>
            </w:pPr>
          </w:p>
          <w:p>
            <w:pPr>
              <w:pStyle w:val="TableParagraph"/>
              <w:rPr>
                <w:b/>
                <w:sz w:val="22"/>
              </w:rPr>
            </w:pPr>
          </w:p>
          <w:p>
            <w:pPr>
              <w:pStyle w:val="TableParagraph"/>
              <w:spacing w:before="3"/>
              <w:rPr>
                <w:b/>
                <w:sz w:val="20"/>
              </w:rPr>
            </w:pPr>
          </w:p>
          <w:p>
            <w:pPr>
              <w:pStyle w:val="TableParagraph"/>
              <w:ind w:left="107"/>
              <w:rPr>
                <w:rFonts w:ascii="Times New Roman"/>
                <w:i/>
                <w:sz w:val="20"/>
              </w:rPr>
            </w:pPr>
            <w:r>
              <w:rPr>
                <w:rFonts w:ascii="Times New Roman"/>
                <w:i/>
                <w:sz w:val="20"/>
              </w:rPr>
              <w:t>OPT_FDC[1:0]</w:t>
            </w:r>
          </w:p>
        </w:tc>
        <w:tc>
          <w:tcPr>
            <w:tcW w:w="1124" w:type="dxa"/>
            <w:vMerge w:val="restart"/>
            <w:shd w:val="clear" w:color="auto" w:fill="C1C1C1"/>
          </w:tcPr>
          <w:p>
            <w:pPr>
              <w:pStyle w:val="TableParagraph"/>
              <w:rPr>
                <w:b/>
                <w:sz w:val="22"/>
              </w:rPr>
            </w:pPr>
          </w:p>
          <w:p>
            <w:pPr>
              <w:pStyle w:val="TableParagraph"/>
              <w:rPr>
                <w:b/>
                <w:sz w:val="22"/>
              </w:rPr>
            </w:pPr>
          </w:p>
          <w:p>
            <w:pPr>
              <w:pStyle w:val="TableParagraph"/>
              <w:spacing w:before="7"/>
              <w:rPr>
                <w:b/>
                <w:sz w:val="20"/>
              </w:rPr>
            </w:pPr>
          </w:p>
          <w:p>
            <w:pPr>
              <w:pStyle w:val="TableParagraph"/>
              <w:ind w:left="143"/>
              <w:rPr>
                <w:sz w:val="20"/>
              </w:rPr>
            </w:pPr>
            <w:r>
              <w:rPr>
                <w:sz w:val="20"/>
              </w:rPr>
              <w:t>2457[5:4]</w:t>
            </w:r>
          </w:p>
        </w:tc>
        <w:tc>
          <w:tcPr>
            <w:tcW w:w="344" w:type="dxa"/>
            <w:vMerge w:val="restart"/>
            <w:shd w:val="clear" w:color="auto" w:fill="C1C1C1"/>
          </w:tcPr>
          <w:p>
            <w:pPr>
              <w:pStyle w:val="TableParagraph"/>
              <w:rPr>
                <w:b/>
                <w:sz w:val="22"/>
              </w:rPr>
            </w:pPr>
          </w:p>
          <w:p>
            <w:pPr>
              <w:pStyle w:val="TableParagraph"/>
              <w:rPr>
                <w:b/>
                <w:sz w:val="22"/>
              </w:rPr>
            </w:pPr>
          </w:p>
          <w:p>
            <w:pPr>
              <w:pStyle w:val="TableParagraph"/>
              <w:spacing w:before="7"/>
              <w:rPr>
                <w:b/>
                <w:sz w:val="20"/>
              </w:rPr>
            </w:pPr>
          </w:p>
          <w:p>
            <w:pPr>
              <w:pStyle w:val="TableParagraph"/>
              <w:ind w:left="113"/>
              <w:rPr>
                <w:sz w:val="20"/>
              </w:rPr>
            </w:pPr>
            <w:r>
              <w:rPr>
                <w:w w:val="99"/>
                <w:sz w:val="20"/>
              </w:rPr>
              <w:t>0</w:t>
            </w:r>
          </w:p>
        </w:tc>
        <w:tc>
          <w:tcPr>
            <w:tcW w:w="344" w:type="dxa"/>
            <w:vMerge w:val="restart"/>
            <w:shd w:val="clear" w:color="auto" w:fill="C1C1C1"/>
          </w:tcPr>
          <w:p>
            <w:pPr>
              <w:pStyle w:val="TableParagraph"/>
              <w:rPr>
                <w:b/>
                <w:sz w:val="22"/>
              </w:rPr>
            </w:pPr>
          </w:p>
          <w:p>
            <w:pPr>
              <w:pStyle w:val="TableParagraph"/>
              <w:rPr>
                <w:b/>
                <w:sz w:val="22"/>
              </w:rPr>
            </w:pPr>
          </w:p>
          <w:p>
            <w:pPr>
              <w:pStyle w:val="TableParagraph"/>
              <w:spacing w:before="7"/>
              <w:rPr>
                <w:b/>
                <w:sz w:val="20"/>
              </w:rPr>
            </w:pPr>
          </w:p>
          <w:p>
            <w:pPr>
              <w:pStyle w:val="TableParagraph"/>
              <w:ind w:left="113"/>
              <w:rPr>
                <w:sz w:val="20"/>
              </w:rPr>
            </w:pPr>
            <w:r>
              <w:rPr>
                <w:w w:val="99"/>
                <w:sz w:val="20"/>
              </w:rPr>
              <w:t>–</w:t>
            </w:r>
          </w:p>
        </w:tc>
        <w:tc>
          <w:tcPr>
            <w:tcW w:w="620" w:type="dxa"/>
            <w:vMerge w:val="restart"/>
            <w:shd w:val="clear" w:color="auto" w:fill="C1C1C1"/>
          </w:tcPr>
          <w:p>
            <w:pPr>
              <w:pStyle w:val="TableParagraph"/>
              <w:rPr>
                <w:b/>
                <w:sz w:val="22"/>
              </w:rPr>
            </w:pPr>
          </w:p>
          <w:p>
            <w:pPr>
              <w:pStyle w:val="TableParagraph"/>
              <w:rPr>
                <w:b/>
                <w:sz w:val="22"/>
              </w:rPr>
            </w:pPr>
          </w:p>
          <w:p>
            <w:pPr>
              <w:pStyle w:val="TableParagraph"/>
              <w:spacing w:before="7"/>
              <w:rPr>
                <w:b/>
                <w:sz w:val="20"/>
              </w:rPr>
            </w:pPr>
          </w:p>
          <w:p>
            <w:pPr>
              <w:pStyle w:val="TableParagraph"/>
              <w:ind w:left="112"/>
              <w:rPr>
                <w:sz w:val="20"/>
              </w:rPr>
            </w:pPr>
            <w:r>
              <w:rPr>
                <w:sz w:val="20"/>
              </w:rPr>
              <w:t>R/W</w:t>
            </w:r>
          </w:p>
        </w:tc>
        <w:tc>
          <w:tcPr>
            <w:tcW w:w="8020" w:type="dxa"/>
            <w:gridSpan w:val="4"/>
            <w:tcBorders>
              <w:bottom w:val="nil"/>
            </w:tcBorders>
            <w:shd w:val="clear" w:color="auto" w:fill="C1C1C1"/>
          </w:tcPr>
          <w:p>
            <w:pPr>
              <w:pStyle w:val="TableParagraph"/>
              <w:spacing w:before="18"/>
              <w:ind w:left="104"/>
              <w:rPr>
                <w:sz w:val="20"/>
              </w:rPr>
            </w:pPr>
            <w:r>
              <w:rPr>
                <w:sz w:val="20"/>
              </w:rPr>
              <w:t>Selects OPT_TX modulation duty cycle</w:t>
            </w:r>
          </w:p>
        </w:tc>
      </w:tr>
      <w:tr>
        <w:trPr>
          <w:trHeight w:val="270" w:hRule="atLeast"/>
        </w:trPr>
        <w:tc>
          <w:tcPr>
            <w:tcW w:w="2254" w:type="dxa"/>
            <w:vMerge/>
            <w:tcBorders>
              <w:top w:val="nil"/>
            </w:tcBorders>
            <w:shd w:val="clear" w:color="auto" w:fill="C1C1C1"/>
          </w:tcPr>
          <w:p>
            <w:pPr>
              <w:rPr>
                <w:sz w:val="2"/>
                <w:szCs w:val="2"/>
              </w:rPr>
            </w:pPr>
          </w:p>
        </w:tc>
        <w:tc>
          <w:tcPr>
            <w:tcW w:w="112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620" w:type="dxa"/>
            <w:vMerge/>
            <w:tcBorders>
              <w:top w:val="nil"/>
            </w:tcBorders>
            <w:shd w:val="clear" w:color="auto" w:fill="C1C1C1"/>
          </w:tcPr>
          <w:p>
            <w:pPr>
              <w:rPr>
                <w:sz w:val="2"/>
                <w:szCs w:val="2"/>
              </w:rPr>
            </w:pPr>
          </w:p>
        </w:tc>
        <w:tc>
          <w:tcPr>
            <w:tcW w:w="114" w:type="dxa"/>
            <w:vMerge w:val="restart"/>
            <w:tcBorders>
              <w:top w:val="nil"/>
            </w:tcBorders>
            <w:shd w:val="clear" w:color="auto" w:fill="C1C1C1"/>
          </w:tcPr>
          <w:p>
            <w:pPr>
              <w:pStyle w:val="TableParagraph"/>
              <w:rPr>
                <w:rFonts w:ascii="Times New Roman"/>
                <w:sz w:val="18"/>
              </w:rPr>
            </w:pPr>
          </w:p>
        </w:tc>
        <w:tc>
          <w:tcPr>
            <w:tcW w:w="1156" w:type="dxa"/>
            <w:shd w:val="clear" w:color="auto" w:fill="C1C1C1"/>
          </w:tcPr>
          <w:p>
            <w:pPr>
              <w:pStyle w:val="TableParagraph"/>
              <w:spacing w:before="19"/>
              <w:ind w:left="63" w:right="102"/>
              <w:jc w:val="center"/>
              <w:rPr>
                <w:rFonts w:ascii="Times New Roman"/>
                <w:b/>
                <w:i/>
                <w:sz w:val="20"/>
              </w:rPr>
            </w:pPr>
            <w:r>
              <w:rPr>
                <w:rFonts w:ascii="Times New Roman"/>
                <w:b/>
                <w:i/>
                <w:sz w:val="20"/>
              </w:rPr>
              <w:t>OPT_FDC</w:t>
            </w:r>
          </w:p>
        </w:tc>
        <w:tc>
          <w:tcPr>
            <w:tcW w:w="1214" w:type="dxa"/>
            <w:shd w:val="clear" w:color="auto" w:fill="C1C1C1"/>
          </w:tcPr>
          <w:p>
            <w:pPr>
              <w:pStyle w:val="TableParagraph"/>
              <w:spacing w:before="16"/>
              <w:ind w:left="103"/>
              <w:rPr>
                <w:b/>
                <w:sz w:val="20"/>
              </w:rPr>
            </w:pPr>
            <w:r>
              <w:rPr>
                <w:b/>
                <w:sz w:val="20"/>
              </w:rPr>
              <w:t>Function</w:t>
            </w:r>
          </w:p>
        </w:tc>
        <w:tc>
          <w:tcPr>
            <w:tcW w:w="5536" w:type="dxa"/>
            <w:vMerge w:val="restart"/>
            <w:tcBorders>
              <w:top w:val="nil"/>
            </w:tcBorders>
            <w:shd w:val="clear" w:color="auto" w:fill="C1C1C1"/>
          </w:tcPr>
          <w:p>
            <w:pPr>
              <w:pStyle w:val="TableParagraph"/>
              <w:rPr>
                <w:rFonts w:ascii="Times New Roman"/>
                <w:sz w:val="18"/>
              </w:rPr>
            </w:pPr>
          </w:p>
        </w:tc>
      </w:tr>
      <w:tr>
        <w:trPr>
          <w:trHeight w:val="270" w:hRule="atLeast"/>
        </w:trPr>
        <w:tc>
          <w:tcPr>
            <w:tcW w:w="2254" w:type="dxa"/>
            <w:vMerge/>
            <w:tcBorders>
              <w:top w:val="nil"/>
            </w:tcBorders>
            <w:shd w:val="clear" w:color="auto" w:fill="C1C1C1"/>
          </w:tcPr>
          <w:p>
            <w:pPr>
              <w:rPr>
                <w:sz w:val="2"/>
                <w:szCs w:val="2"/>
              </w:rPr>
            </w:pPr>
          </w:p>
        </w:tc>
        <w:tc>
          <w:tcPr>
            <w:tcW w:w="112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620" w:type="dxa"/>
            <w:vMerge/>
            <w:tcBorders>
              <w:top w:val="nil"/>
            </w:tcBorders>
            <w:shd w:val="clear" w:color="auto" w:fill="C1C1C1"/>
          </w:tcPr>
          <w:p>
            <w:pPr>
              <w:rPr>
                <w:sz w:val="2"/>
                <w:szCs w:val="2"/>
              </w:rPr>
            </w:pPr>
          </w:p>
        </w:tc>
        <w:tc>
          <w:tcPr>
            <w:tcW w:w="114" w:type="dxa"/>
            <w:vMerge/>
            <w:tcBorders>
              <w:top w:val="nil"/>
            </w:tcBorders>
            <w:shd w:val="clear" w:color="auto" w:fill="C1C1C1"/>
          </w:tcPr>
          <w:p>
            <w:pPr>
              <w:rPr>
                <w:sz w:val="2"/>
                <w:szCs w:val="2"/>
              </w:rPr>
            </w:pPr>
          </w:p>
        </w:tc>
        <w:tc>
          <w:tcPr>
            <w:tcW w:w="1156" w:type="dxa"/>
            <w:shd w:val="clear" w:color="auto" w:fill="C1C1C1"/>
          </w:tcPr>
          <w:p>
            <w:pPr>
              <w:pStyle w:val="TableParagraph"/>
              <w:spacing w:before="18"/>
              <w:ind w:left="83" w:right="85"/>
              <w:jc w:val="center"/>
              <w:rPr>
                <w:sz w:val="20"/>
              </w:rPr>
            </w:pPr>
            <w:r>
              <w:rPr>
                <w:sz w:val="20"/>
              </w:rPr>
              <w:t>00</w:t>
            </w:r>
          </w:p>
        </w:tc>
        <w:tc>
          <w:tcPr>
            <w:tcW w:w="1214" w:type="dxa"/>
            <w:shd w:val="clear" w:color="auto" w:fill="C1C1C1"/>
          </w:tcPr>
          <w:p>
            <w:pPr>
              <w:pStyle w:val="TableParagraph"/>
              <w:spacing w:before="18"/>
              <w:ind w:left="103"/>
              <w:rPr>
                <w:sz w:val="20"/>
              </w:rPr>
            </w:pPr>
            <w:r>
              <w:rPr>
                <w:sz w:val="20"/>
              </w:rPr>
              <w:t>50% Low</w:t>
            </w:r>
          </w:p>
        </w:tc>
        <w:tc>
          <w:tcPr>
            <w:tcW w:w="5536" w:type="dxa"/>
            <w:vMerge/>
            <w:tcBorders>
              <w:top w:val="nil"/>
            </w:tcBorders>
            <w:shd w:val="clear" w:color="auto" w:fill="C1C1C1"/>
          </w:tcPr>
          <w:p>
            <w:pPr>
              <w:rPr>
                <w:sz w:val="2"/>
                <w:szCs w:val="2"/>
              </w:rPr>
            </w:pPr>
          </w:p>
        </w:tc>
      </w:tr>
      <w:tr>
        <w:trPr>
          <w:trHeight w:val="268" w:hRule="atLeast"/>
        </w:trPr>
        <w:tc>
          <w:tcPr>
            <w:tcW w:w="2254" w:type="dxa"/>
            <w:vMerge/>
            <w:tcBorders>
              <w:top w:val="nil"/>
            </w:tcBorders>
            <w:shd w:val="clear" w:color="auto" w:fill="C1C1C1"/>
          </w:tcPr>
          <w:p>
            <w:pPr>
              <w:rPr>
                <w:sz w:val="2"/>
                <w:szCs w:val="2"/>
              </w:rPr>
            </w:pPr>
          </w:p>
        </w:tc>
        <w:tc>
          <w:tcPr>
            <w:tcW w:w="112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620" w:type="dxa"/>
            <w:vMerge/>
            <w:tcBorders>
              <w:top w:val="nil"/>
            </w:tcBorders>
            <w:shd w:val="clear" w:color="auto" w:fill="C1C1C1"/>
          </w:tcPr>
          <w:p>
            <w:pPr>
              <w:rPr>
                <w:sz w:val="2"/>
                <w:szCs w:val="2"/>
              </w:rPr>
            </w:pPr>
          </w:p>
        </w:tc>
        <w:tc>
          <w:tcPr>
            <w:tcW w:w="114" w:type="dxa"/>
            <w:vMerge/>
            <w:tcBorders>
              <w:top w:val="nil"/>
            </w:tcBorders>
            <w:shd w:val="clear" w:color="auto" w:fill="C1C1C1"/>
          </w:tcPr>
          <w:p>
            <w:pPr>
              <w:rPr>
                <w:sz w:val="2"/>
                <w:szCs w:val="2"/>
              </w:rPr>
            </w:pPr>
          </w:p>
        </w:tc>
        <w:tc>
          <w:tcPr>
            <w:tcW w:w="1156" w:type="dxa"/>
            <w:shd w:val="clear" w:color="auto" w:fill="C1C1C1"/>
          </w:tcPr>
          <w:p>
            <w:pPr>
              <w:pStyle w:val="TableParagraph"/>
              <w:spacing w:before="18"/>
              <w:ind w:left="83" w:right="85"/>
              <w:jc w:val="center"/>
              <w:rPr>
                <w:sz w:val="20"/>
              </w:rPr>
            </w:pPr>
            <w:r>
              <w:rPr>
                <w:sz w:val="20"/>
              </w:rPr>
              <w:t>01</w:t>
            </w:r>
          </w:p>
        </w:tc>
        <w:tc>
          <w:tcPr>
            <w:tcW w:w="1214" w:type="dxa"/>
            <w:shd w:val="clear" w:color="auto" w:fill="C1C1C1"/>
          </w:tcPr>
          <w:p>
            <w:pPr>
              <w:pStyle w:val="TableParagraph"/>
              <w:spacing w:before="18"/>
              <w:ind w:left="103"/>
              <w:rPr>
                <w:sz w:val="20"/>
              </w:rPr>
            </w:pPr>
            <w:r>
              <w:rPr>
                <w:sz w:val="20"/>
              </w:rPr>
              <w:t>25% Low</w:t>
            </w:r>
          </w:p>
        </w:tc>
        <w:tc>
          <w:tcPr>
            <w:tcW w:w="5536" w:type="dxa"/>
            <w:vMerge/>
            <w:tcBorders>
              <w:top w:val="nil"/>
            </w:tcBorders>
            <w:shd w:val="clear" w:color="auto" w:fill="C1C1C1"/>
          </w:tcPr>
          <w:p>
            <w:pPr>
              <w:rPr>
                <w:sz w:val="2"/>
                <w:szCs w:val="2"/>
              </w:rPr>
            </w:pPr>
          </w:p>
        </w:tc>
      </w:tr>
      <w:tr>
        <w:trPr>
          <w:trHeight w:val="270" w:hRule="atLeast"/>
        </w:trPr>
        <w:tc>
          <w:tcPr>
            <w:tcW w:w="2254" w:type="dxa"/>
            <w:vMerge/>
            <w:tcBorders>
              <w:top w:val="nil"/>
            </w:tcBorders>
            <w:shd w:val="clear" w:color="auto" w:fill="C1C1C1"/>
          </w:tcPr>
          <w:p>
            <w:pPr>
              <w:rPr>
                <w:sz w:val="2"/>
                <w:szCs w:val="2"/>
              </w:rPr>
            </w:pPr>
          </w:p>
        </w:tc>
        <w:tc>
          <w:tcPr>
            <w:tcW w:w="112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620" w:type="dxa"/>
            <w:vMerge/>
            <w:tcBorders>
              <w:top w:val="nil"/>
            </w:tcBorders>
            <w:shd w:val="clear" w:color="auto" w:fill="C1C1C1"/>
          </w:tcPr>
          <w:p>
            <w:pPr>
              <w:rPr>
                <w:sz w:val="2"/>
                <w:szCs w:val="2"/>
              </w:rPr>
            </w:pPr>
          </w:p>
        </w:tc>
        <w:tc>
          <w:tcPr>
            <w:tcW w:w="114" w:type="dxa"/>
            <w:vMerge/>
            <w:tcBorders>
              <w:top w:val="nil"/>
            </w:tcBorders>
            <w:shd w:val="clear" w:color="auto" w:fill="C1C1C1"/>
          </w:tcPr>
          <w:p>
            <w:pPr>
              <w:rPr>
                <w:sz w:val="2"/>
                <w:szCs w:val="2"/>
              </w:rPr>
            </w:pPr>
          </w:p>
        </w:tc>
        <w:tc>
          <w:tcPr>
            <w:tcW w:w="1156" w:type="dxa"/>
            <w:shd w:val="clear" w:color="auto" w:fill="C1C1C1"/>
          </w:tcPr>
          <w:p>
            <w:pPr>
              <w:pStyle w:val="TableParagraph"/>
              <w:spacing w:before="18"/>
              <w:ind w:left="83" w:right="85"/>
              <w:jc w:val="center"/>
              <w:rPr>
                <w:sz w:val="20"/>
              </w:rPr>
            </w:pPr>
            <w:r>
              <w:rPr>
                <w:sz w:val="20"/>
              </w:rPr>
              <w:t>10</w:t>
            </w:r>
          </w:p>
        </w:tc>
        <w:tc>
          <w:tcPr>
            <w:tcW w:w="1214" w:type="dxa"/>
            <w:shd w:val="clear" w:color="auto" w:fill="C1C1C1"/>
          </w:tcPr>
          <w:p>
            <w:pPr>
              <w:pStyle w:val="TableParagraph"/>
              <w:spacing w:before="18"/>
              <w:ind w:left="103"/>
              <w:rPr>
                <w:sz w:val="20"/>
              </w:rPr>
            </w:pPr>
            <w:r>
              <w:rPr>
                <w:sz w:val="20"/>
              </w:rPr>
              <w:t>12.5% Low</w:t>
            </w:r>
          </w:p>
        </w:tc>
        <w:tc>
          <w:tcPr>
            <w:tcW w:w="5536" w:type="dxa"/>
            <w:vMerge/>
            <w:tcBorders>
              <w:top w:val="nil"/>
            </w:tcBorders>
            <w:shd w:val="clear" w:color="auto" w:fill="C1C1C1"/>
          </w:tcPr>
          <w:p>
            <w:pPr>
              <w:rPr>
                <w:sz w:val="2"/>
                <w:szCs w:val="2"/>
              </w:rPr>
            </w:pPr>
          </w:p>
        </w:tc>
      </w:tr>
      <w:tr>
        <w:trPr>
          <w:trHeight w:val="289" w:hRule="atLeast"/>
        </w:trPr>
        <w:tc>
          <w:tcPr>
            <w:tcW w:w="2254" w:type="dxa"/>
            <w:vMerge/>
            <w:tcBorders>
              <w:top w:val="nil"/>
            </w:tcBorders>
            <w:shd w:val="clear" w:color="auto" w:fill="C1C1C1"/>
          </w:tcPr>
          <w:p>
            <w:pPr>
              <w:rPr>
                <w:sz w:val="2"/>
                <w:szCs w:val="2"/>
              </w:rPr>
            </w:pPr>
          </w:p>
        </w:tc>
        <w:tc>
          <w:tcPr>
            <w:tcW w:w="112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620" w:type="dxa"/>
            <w:vMerge/>
            <w:tcBorders>
              <w:top w:val="nil"/>
            </w:tcBorders>
            <w:shd w:val="clear" w:color="auto" w:fill="C1C1C1"/>
          </w:tcPr>
          <w:p>
            <w:pPr>
              <w:rPr>
                <w:sz w:val="2"/>
                <w:szCs w:val="2"/>
              </w:rPr>
            </w:pPr>
          </w:p>
        </w:tc>
        <w:tc>
          <w:tcPr>
            <w:tcW w:w="114" w:type="dxa"/>
            <w:vMerge/>
            <w:tcBorders>
              <w:top w:val="nil"/>
            </w:tcBorders>
            <w:shd w:val="clear" w:color="auto" w:fill="C1C1C1"/>
          </w:tcPr>
          <w:p>
            <w:pPr>
              <w:rPr>
                <w:sz w:val="2"/>
                <w:szCs w:val="2"/>
              </w:rPr>
            </w:pPr>
          </w:p>
        </w:tc>
        <w:tc>
          <w:tcPr>
            <w:tcW w:w="1156" w:type="dxa"/>
            <w:tcBorders>
              <w:bottom w:val="double" w:sz="1" w:space="0" w:color="000000"/>
            </w:tcBorders>
            <w:shd w:val="clear" w:color="auto" w:fill="C1C1C1"/>
          </w:tcPr>
          <w:p>
            <w:pPr>
              <w:pStyle w:val="TableParagraph"/>
              <w:spacing w:before="18"/>
              <w:ind w:left="83" w:right="85"/>
              <w:jc w:val="center"/>
              <w:rPr>
                <w:sz w:val="20"/>
              </w:rPr>
            </w:pPr>
            <w:r>
              <w:rPr>
                <w:sz w:val="20"/>
              </w:rPr>
              <w:t>11</w:t>
            </w:r>
          </w:p>
        </w:tc>
        <w:tc>
          <w:tcPr>
            <w:tcW w:w="1214" w:type="dxa"/>
            <w:tcBorders>
              <w:bottom w:val="double" w:sz="1" w:space="0" w:color="000000"/>
            </w:tcBorders>
            <w:shd w:val="clear" w:color="auto" w:fill="C1C1C1"/>
          </w:tcPr>
          <w:p>
            <w:pPr>
              <w:pStyle w:val="TableParagraph"/>
              <w:spacing w:before="18"/>
              <w:ind w:left="103"/>
              <w:rPr>
                <w:sz w:val="20"/>
              </w:rPr>
            </w:pPr>
            <w:r>
              <w:rPr>
                <w:sz w:val="20"/>
              </w:rPr>
              <w:t>6.25% Low</w:t>
            </w:r>
          </w:p>
        </w:tc>
        <w:tc>
          <w:tcPr>
            <w:tcW w:w="5536" w:type="dxa"/>
            <w:vMerge/>
            <w:tcBorders>
              <w:top w:val="nil"/>
            </w:tcBorders>
            <w:shd w:val="clear" w:color="auto" w:fill="C1C1C1"/>
          </w:tcPr>
          <w:p>
            <w:pPr>
              <w:rPr>
                <w:sz w:val="2"/>
                <w:szCs w:val="2"/>
              </w:rPr>
            </w:pPr>
          </w:p>
        </w:tc>
      </w:tr>
      <w:tr>
        <w:trPr>
          <w:trHeight w:val="1263" w:hRule="atLeast"/>
        </w:trPr>
        <w:tc>
          <w:tcPr>
            <w:tcW w:w="2254" w:type="dxa"/>
            <w:shd w:val="clear" w:color="auto" w:fill="C1C1C1"/>
          </w:tcPr>
          <w:p>
            <w:pPr>
              <w:pStyle w:val="TableParagraph"/>
              <w:rPr>
                <w:b/>
                <w:sz w:val="22"/>
              </w:rPr>
            </w:pPr>
          </w:p>
          <w:p>
            <w:pPr>
              <w:pStyle w:val="TableParagraph"/>
              <w:rPr>
                <w:b/>
                <w:sz w:val="22"/>
              </w:rPr>
            </w:pPr>
          </w:p>
          <w:p>
            <w:pPr>
              <w:pStyle w:val="TableParagraph"/>
              <w:ind w:left="107"/>
              <w:rPr>
                <w:rFonts w:ascii="Times New Roman"/>
                <w:i/>
                <w:sz w:val="20"/>
              </w:rPr>
            </w:pPr>
            <w:r>
              <w:rPr>
                <w:rFonts w:ascii="Times New Roman"/>
                <w:i/>
                <w:sz w:val="20"/>
              </w:rPr>
              <w:t>OPT_RXDIS</w:t>
            </w:r>
          </w:p>
        </w:tc>
        <w:tc>
          <w:tcPr>
            <w:tcW w:w="1124" w:type="dxa"/>
            <w:shd w:val="clear" w:color="auto" w:fill="C1C1C1"/>
          </w:tcPr>
          <w:p>
            <w:pPr>
              <w:pStyle w:val="TableParagraph"/>
              <w:rPr>
                <w:b/>
                <w:sz w:val="22"/>
              </w:rPr>
            </w:pPr>
          </w:p>
          <w:p>
            <w:pPr>
              <w:pStyle w:val="TableParagraph"/>
              <w:spacing w:before="4"/>
              <w:rPr>
                <w:b/>
                <w:sz w:val="22"/>
              </w:rPr>
            </w:pPr>
          </w:p>
          <w:p>
            <w:pPr>
              <w:pStyle w:val="TableParagraph"/>
              <w:ind w:left="5"/>
              <w:jc w:val="center"/>
              <w:rPr>
                <w:sz w:val="20"/>
              </w:rPr>
            </w:pPr>
            <w:r>
              <w:rPr>
                <w:sz w:val="20"/>
              </w:rPr>
              <w:t>2457[2]</w:t>
            </w:r>
          </w:p>
        </w:tc>
        <w:tc>
          <w:tcPr>
            <w:tcW w:w="344" w:type="dxa"/>
            <w:shd w:val="clear" w:color="auto" w:fill="C1C1C1"/>
          </w:tcPr>
          <w:p>
            <w:pPr>
              <w:pStyle w:val="TableParagraph"/>
              <w:rPr>
                <w:b/>
                <w:sz w:val="22"/>
              </w:rPr>
            </w:pPr>
          </w:p>
          <w:p>
            <w:pPr>
              <w:pStyle w:val="TableParagraph"/>
              <w:spacing w:before="4"/>
              <w:rPr>
                <w:b/>
                <w:sz w:val="22"/>
              </w:rPr>
            </w:pPr>
          </w:p>
          <w:p>
            <w:pPr>
              <w:pStyle w:val="TableParagraph"/>
              <w:ind w:right="107"/>
              <w:jc w:val="right"/>
              <w:rPr>
                <w:sz w:val="20"/>
              </w:rPr>
            </w:pPr>
            <w:r>
              <w:rPr>
                <w:w w:val="99"/>
                <w:sz w:val="20"/>
              </w:rPr>
              <w:t>0</w:t>
            </w:r>
          </w:p>
        </w:tc>
        <w:tc>
          <w:tcPr>
            <w:tcW w:w="344" w:type="dxa"/>
            <w:shd w:val="clear" w:color="auto" w:fill="C1C1C1"/>
          </w:tcPr>
          <w:p>
            <w:pPr>
              <w:pStyle w:val="TableParagraph"/>
              <w:rPr>
                <w:b/>
                <w:sz w:val="22"/>
              </w:rPr>
            </w:pPr>
          </w:p>
          <w:p>
            <w:pPr>
              <w:pStyle w:val="TableParagraph"/>
              <w:spacing w:before="4"/>
              <w:rPr>
                <w:b/>
                <w:sz w:val="22"/>
              </w:rPr>
            </w:pPr>
          </w:p>
          <w:p>
            <w:pPr>
              <w:pStyle w:val="TableParagraph"/>
              <w:ind w:left="2"/>
              <w:jc w:val="center"/>
              <w:rPr>
                <w:sz w:val="20"/>
              </w:rPr>
            </w:pPr>
            <w:r>
              <w:rPr>
                <w:w w:val="99"/>
                <w:sz w:val="20"/>
              </w:rPr>
              <w:t>–</w:t>
            </w:r>
          </w:p>
        </w:tc>
        <w:tc>
          <w:tcPr>
            <w:tcW w:w="620" w:type="dxa"/>
            <w:shd w:val="clear" w:color="auto" w:fill="C1C1C1"/>
          </w:tcPr>
          <w:p>
            <w:pPr>
              <w:pStyle w:val="TableParagraph"/>
              <w:rPr>
                <w:b/>
                <w:sz w:val="22"/>
              </w:rPr>
            </w:pPr>
          </w:p>
          <w:p>
            <w:pPr>
              <w:pStyle w:val="TableParagraph"/>
              <w:spacing w:before="4"/>
              <w:rPr>
                <w:b/>
                <w:sz w:val="22"/>
              </w:rPr>
            </w:pPr>
          </w:p>
          <w:p>
            <w:pPr>
              <w:pStyle w:val="TableParagraph"/>
              <w:ind w:left="87" w:right="93"/>
              <w:jc w:val="center"/>
              <w:rPr>
                <w:sz w:val="20"/>
              </w:rPr>
            </w:pPr>
            <w:r>
              <w:rPr>
                <w:sz w:val="20"/>
              </w:rPr>
              <w:t>R/W</w:t>
            </w:r>
          </w:p>
        </w:tc>
        <w:tc>
          <w:tcPr>
            <w:tcW w:w="8020" w:type="dxa"/>
            <w:gridSpan w:val="4"/>
            <w:tcBorders>
              <w:top w:val="nil"/>
            </w:tcBorders>
            <w:shd w:val="clear" w:color="auto" w:fill="C1C1C1"/>
          </w:tcPr>
          <w:p>
            <w:pPr>
              <w:pStyle w:val="TableParagraph"/>
              <w:spacing w:before="8"/>
              <w:ind w:left="104"/>
              <w:rPr>
                <w:sz w:val="20"/>
              </w:rPr>
            </w:pPr>
            <w:r>
              <w:rPr>
                <w:sz w:val="20"/>
              </w:rPr>
              <w:t>OPT_RX can be configured as an input to the optical UART or as SEGDIO55.</w:t>
            </w:r>
          </w:p>
          <w:p>
            <w:pPr>
              <w:pStyle w:val="TableParagraph"/>
              <w:spacing w:line="261" w:lineRule="auto" w:before="18"/>
              <w:ind w:left="104" w:right="2790"/>
              <w:rPr>
                <w:sz w:val="20"/>
              </w:rPr>
            </w:pPr>
            <w:r>
              <w:rPr>
                <w:rFonts w:ascii="Times New Roman"/>
                <w:i/>
                <w:sz w:val="20"/>
              </w:rPr>
              <w:t>OPT_RXDIS </w:t>
            </w:r>
            <w:r>
              <w:rPr>
                <w:sz w:val="20"/>
              </w:rPr>
              <w:t>= 0 and </w:t>
            </w:r>
            <w:r>
              <w:rPr>
                <w:rFonts w:ascii="Times New Roman"/>
                <w:i/>
                <w:sz w:val="20"/>
              </w:rPr>
              <w:t>LCD_MAP[55] </w:t>
            </w:r>
            <w:r>
              <w:rPr>
                <w:sz w:val="20"/>
              </w:rPr>
              <w:t>= 0: OPT_RX </w:t>
            </w:r>
            <w:r>
              <w:rPr>
                <w:rFonts w:ascii="Times New Roman"/>
                <w:i/>
                <w:sz w:val="20"/>
              </w:rPr>
              <w:t>OPT_RXDIS </w:t>
            </w:r>
            <w:r>
              <w:rPr>
                <w:sz w:val="20"/>
              </w:rPr>
              <w:t>= 1 and </w:t>
            </w:r>
            <w:r>
              <w:rPr>
                <w:rFonts w:ascii="Times New Roman"/>
                <w:i/>
                <w:sz w:val="20"/>
              </w:rPr>
              <w:t>LCD_MAP[55] = </w:t>
            </w:r>
            <w:r>
              <w:rPr>
                <w:sz w:val="20"/>
              </w:rPr>
              <w:t>0: DIO55 </w:t>
            </w:r>
            <w:r>
              <w:rPr>
                <w:rFonts w:ascii="Times New Roman"/>
                <w:i/>
                <w:sz w:val="20"/>
              </w:rPr>
              <w:t>OPT_RXDIS </w:t>
            </w:r>
            <w:r>
              <w:rPr>
                <w:sz w:val="20"/>
              </w:rPr>
              <w:t>= 0 and </w:t>
            </w:r>
            <w:r>
              <w:rPr>
                <w:rFonts w:ascii="Times New Roman"/>
                <w:i/>
                <w:sz w:val="20"/>
              </w:rPr>
              <w:t>LCD_MAP[55] = </w:t>
            </w:r>
            <w:r>
              <w:rPr>
                <w:sz w:val="20"/>
              </w:rPr>
              <w:t>1:</w:t>
            </w:r>
            <w:r>
              <w:rPr>
                <w:spacing w:val="45"/>
                <w:sz w:val="20"/>
              </w:rPr>
              <w:t> </w:t>
            </w:r>
            <w:r>
              <w:rPr>
                <w:sz w:val="20"/>
              </w:rPr>
              <w:t>SEG55</w:t>
            </w:r>
          </w:p>
          <w:p>
            <w:pPr>
              <w:pStyle w:val="TableParagraph"/>
              <w:spacing w:line="227" w:lineRule="exact"/>
              <w:ind w:left="104"/>
              <w:rPr>
                <w:sz w:val="20"/>
              </w:rPr>
            </w:pPr>
            <w:r>
              <w:rPr>
                <w:rFonts w:ascii="Times New Roman"/>
                <w:i/>
                <w:sz w:val="20"/>
              </w:rPr>
              <w:t>OPT_RXDIS </w:t>
            </w:r>
            <w:r>
              <w:rPr>
                <w:sz w:val="20"/>
              </w:rPr>
              <w:t>= 1 and </w:t>
            </w:r>
            <w:r>
              <w:rPr>
                <w:rFonts w:ascii="Times New Roman"/>
                <w:i/>
                <w:sz w:val="20"/>
              </w:rPr>
              <w:t>LCD_MAP[55] = </w:t>
            </w:r>
            <w:r>
              <w:rPr>
                <w:sz w:val="20"/>
              </w:rPr>
              <w:t>1:</w:t>
            </w:r>
            <w:r>
              <w:rPr>
                <w:spacing w:val="39"/>
                <w:sz w:val="20"/>
              </w:rPr>
              <w:t> </w:t>
            </w:r>
            <w:r>
              <w:rPr>
                <w:sz w:val="20"/>
              </w:rPr>
              <w:t>SEG55</w:t>
            </w:r>
          </w:p>
        </w:tc>
      </w:tr>
      <w:tr>
        <w:trPr>
          <w:trHeight w:val="498" w:hRule="atLeast"/>
        </w:trPr>
        <w:tc>
          <w:tcPr>
            <w:tcW w:w="2254" w:type="dxa"/>
            <w:shd w:val="clear" w:color="auto" w:fill="C1C1C1"/>
          </w:tcPr>
          <w:p>
            <w:pPr>
              <w:pStyle w:val="TableParagraph"/>
              <w:spacing w:before="127"/>
              <w:ind w:left="107"/>
              <w:rPr>
                <w:rFonts w:ascii="Times New Roman"/>
                <w:i/>
                <w:sz w:val="20"/>
              </w:rPr>
            </w:pPr>
            <w:r>
              <w:rPr>
                <w:rFonts w:ascii="Times New Roman"/>
                <w:i/>
                <w:sz w:val="20"/>
              </w:rPr>
              <w:t>OPT_RXINV</w:t>
            </w:r>
          </w:p>
        </w:tc>
        <w:tc>
          <w:tcPr>
            <w:tcW w:w="1124" w:type="dxa"/>
            <w:shd w:val="clear" w:color="auto" w:fill="C1C1C1"/>
          </w:tcPr>
          <w:p>
            <w:pPr>
              <w:pStyle w:val="TableParagraph"/>
              <w:spacing w:before="131"/>
              <w:ind w:left="5"/>
              <w:jc w:val="center"/>
              <w:rPr>
                <w:sz w:val="20"/>
              </w:rPr>
            </w:pPr>
            <w:r>
              <w:rPr>
                <w:sz w:val="20"/>
              </w:rPr>
              <w:t>2457[1]</w:t>
            </w:r>
          </w:p>
        </w:tc>
        <w:tc>
          <w:tcPr>
            <w:tcW w:w="344" w:type="dxa"/>
            <w:shd w:val="clear" w:color="auto" w:fill="C1C1C1"/>
          </w:tcPr>
          <w:p>
            <w:pPr>
              <w:pStyle w:val="TableParagraph"/>
              <w:spacing w:before="131"/>
              <w:ind w:right="107"/>
              <w:jc w:val="right"/>
              <w:rPr>
                <w:sz w:val="20"/>
              </w:rPr>
            </w:pPr>
            <w:r>
              <w:rPr>
                <w:w w:val="99"/>
                <w:sz w:val="20"/>
              </w:rPr>
              <w:t>0</w:t>
            </w:r>
          </w:p>
        </w:tc>
        <w:tc>
          <w:tcPr>
            <w:tcW w:w="344" w:type="dxa"/>
            <w:shd w:val="clear" w:color="auto" w:fill="C1C1C1"/>
          </w:tcPr>
          <w:p>
            <w:pPr>
              <w:pStyle w:val="TableParagraph"/>
              <w:spacing w:before="131"/>
              <w:ind w:left="2"/>
              <w:jc w:val="center"/>
              <w:rPr>
                <w:sz w:val="20"/>
              </w:rPr>
            </w:pPr>
            <w:r>
              <w:rPr>
                <w:w w:val="99"/>
                <w:sz w:val="20"/>
              </w:rPr>
              <w:t>–</w:t>
            </w:r>
          </w:p>
        </w:tc>
        <w:tc>
          <w:tcPr>
            <w:tcW w:w="620" w:type="dxa"/>
            <w:shd w:val="clear" w:color="auto" w:fill="C1C1C1"/>
          </w:tcPr>
          <w:p>
            <w:pPr>
              <w:pStyle w:val="TableParagraph"/>
              <w:spacing w:before="131"/>
              <w:ind w:left="87" w:right="93"/>
              <w:jc w:val="center"/>
              <w:rPr>
                <w:sz w:val="20"/>
              </w:rPr>
            </w:pPr>
            <w:r>
              <w:rPr>
                <w:sz w:val="20"/>
              </w:rPr>
              <w:t>R/W</w:t>
            </w:r>
          </w:p>
        </w:tc>
        <w:tc>
          <w:tcPr>
            <w:tcW w:w="8020" w:type="dxa"/>
            <w:gridSpan w:val="4"/>
            <w:shd w:val="clear" w:color="auto" w:fill="C1C1C1"/>
          </w:tcPr>
          <w:p>
            <w:pPr>
              <w:pStyle w:val="TableParagraph"/>
              <w:spacing w:before="16"/>
              <w:ind w:left="104"/>
              <w:rPr>
                <w:sz w:val="20"/>
              </w:rPr>
            </w:pPr>
            <w:r>
              <w:rPr>
                <w:sz w:val="20"/>
              </w:rPr>
              <w:t>Inverts result from OPT_RX comparator when 1. Affects only the UART input. Has no effect when OPT_RX is used as a DIO input.</w:t>
            </w:r>
          </w:p>
        </w:tc>
      </w:tr>
      <w:tr>
        <w:trPr>
          <w:trHeight w:val="1271" w:hRule="atLeast"/>
        </w:trPr>
        <w:tc>
          <w:tcPr>
            <w:tcW w:w="2254" w:type="dxa"/>
            <w:shd w:val="clear" w:color="auto" w:fill="C1C1C1"/>
          </w:tcPr>
          <w:p>
            <w:pPr>
              <w:pStyle w:val="TableParagraph"/>
              <w:rPr>
                <w:b/>
                <w:sz w:val="22"/>
              </w:rPr>
            </w:pPr>
          </w:p>
          <w:p>
            <w:pPr>
              <w:pStyle w:val="TableParagraph"/>
              <w:spacing w:before="7"/>
              <w:rPr>
                <w:b/>
                <w:sz w:val="22"/>
              </w:rPr>
            </w:pPr>
          </w:p>
          <w:p>
            <w:pPr>
              <w:pStyle w:val="TableParagraph"/>
              <w:spacing w:before="1"/>
              <w:ind w:left="107"/>
              <w:rPr>
                <w:rFonts w:ascii="Times New Roman"/>
                <w:i/>
                <w:sz w:val="20"/>
              </w:rPr>
            </w:pPr>
            <w:r>
              <w:rPr>
                <w:rFonts w:ascii="Times New Roman"/>
                <w:i/>
                <w:sz w:val="20"/>
              </w:rPr>
              <w:t>OPT_TXE [1,0]</w:t>
            </w:r>
          </w:p>
        </w:tc>
        <w:tc>
          <w:tcPr>
            <w:tcW w:w="1124" w:type="dxa"/>
            <w:shd w:val="clear" w:color="auto" w:fill="C1C1C1"/>
          </w:tcPr>
          <w:p>
            <w:pPr>
              <w:pStyle w:val="TableParagraph"/>
              <w:rPr>
                <w:b/>
                <w:sz w:val="22"/>
              </w:rPr>
            </w:pPr>
          </w:p>
          <w:p>
            <w:pPr>
              <w:pStyle w:val="TableParagraph"/>
              <w:rPr>
                <w:b/>
                <w:sz w:val="23"/>
              </w:rPr>
            </w:pPr>
          </w:p>
          <w:p>
            <w:pPr>
              <w:pStyle w:val="TableParagraph"/>
              <w:ind w:left="5"/>
              <w:jc w:val="center"/>
              <w:rPr>
                <w:sz w:val="20"/>
              </w:rPr>
            </w:pPr>
            <w:r>
              <w:rPr>
                <w:sz w:val="20"/>
              </w:rPr>
              <w:t>2456[3:2]</w:t>
            </w:r>
          </w:p>
        </w:tc>
        <w:tc>
          <w:tcPr>
            <w:tcW w:w="344" w:type="dxa"/>
            <w:shd w:val="clear" w:color="auto" w:fill="C1C1C1"/>
          </w:tcPr>
          <w:p>
            <w:pPr>
              <w:pStyle w:val="TableParagraph"/>
              <w:rPr>
                <w:b/>
                <w:sz w:val="22"/>
              </w:rPr>
            </w:pPr>
          </w:p>
          <w:p>
            <w:pPr>
              <w:pStyle w:val="TableParagraph"/>
              <w:rPr>
                <w:b/>
                <w:sz w:val="23"/>
              </w:rPr>
            </w:pPr>
          </w:p>
          <w:p>
            <w:pPr>
              <w:pStyle w:val="TableParagraph"/>
              <w:ind w:right="52"/>
              <w:jc w:val="right"/>
              <w:rPr>
                <w:sz w:val="20"/>
              </w:rPr>
            </w:pPr>
            <w:r>
              <w:rPr>
                <w:w w:val="95"/>
                <w:sz w:val="20"/>
              </w:rPr>
              <w:t>00</w:t>
            </w:r>
          </w:p>
        </w:tc>
        <w:tc>
          <w:tcPr>
            <w:tcW w:w="344" w:type="dxa"/>
            <w:shd w:val="clear" w:color="auto" w:fill="C1C1C1"/>
          </w:tcPr>
          <w:p>
            <w:pPr>
              <w:pStyle w:val="TableParagraph"/>
              <w:rPr>
                <w:b/>
                <w:sz w:val="22"/>
              </w:rPr>
            </w:pPr>
          </w:p>
          <w:p>
            <w:pPr>
              <w:pStyle w:val="TableParagraph"/>
              <w:rPr>
                <w:b/>
                <w:sz w:val="23"/>
              </w:rPr>
            </w:pPr>
          </w:p>
          <w:p>
            <w:pPr>
              <w:pStyle w:val="TableParagraph"/>
              <w:ind w:left="2"/>
              <w:jc w:val="center"/>
              <w:rPr>
                <w:sz w:val="20"/>
              </w:rPr>
            </w:pPr>
            <w:r>
              <w:rPr>
                <w:w w:val="99"/>
                <w:sz w:val="20"/>
              </w:rPr>
              <w:t>–</w:t>
            </w:r>
          </w:p>
        </w:tc>
        <w:tc>
          <w:tcPr>
            <w:tcW w:w="620" w:type="dxa"/>
            <w:shd w:val="clear" w:color="auto" w:fill="C1C1C1"/>
          </w:tcPr>
          <w:p>
            <w:pPr>
              <w:pStyle w:val="TableParagraph"/>
              <w:rPr>
                <w:b/>
                <w:sz w:val="22"/>
              </w:rPr>
            </w:pPr>
          </w:p>
          <w:p>
            <w:pPr>
              <w:pStyle w:val="TableParagraph"/>
              <w:rPr>
                <w:b/>
                <w:sz w:val="23"/>
              </w:rPr>
            </w:pPr>
          </w:p>
          <w:p>
            <w:pPr>
              <w:pStyle w:val="TableParagraph"/>
              <w:ind w:left="87" w:right="93"/>
              <w:jc w:val="center"/>
              <w:rPr>
                <w:sz w:val="20"/>
              </w:rPr>
            </w:pPr>
            <w:r>
              <w:rPr>
                <w:sz w:val="20"/>
              </w:rPr>
              <w:t>R/W</w:t>
            </w:r>
          </w:p>
        </w:tc>
        <w:tc>
          <w:tcPr>
            <w:tcW w:w="8020" w:type="dxa"/>
            <w:gridSpan w:val="4"/>
            <w:shd w:val="clear" w:color="auto" w:fill="C1C1C1"/>
          </w:tcPr>
          <w:p>
            <w:pPr>
              <w:pStyle w:val="TableParagraph"/>
              <w:spacing w:line="254" w:lineRule="auto" w:before="21"/>
              <w:ind w:left="104" w:right="4779"/>
              <w:rPr>
                <w:sz w:val="20"/>
              </w:rPr>
            </w:pPr>
            <w:r>
              <w:rPr>
                <w:sz w:val="20"/>
              </w:rPr>
              <w:t>Configures the OPT_TX output</w:t>
            </w:r>
            <w:r>
              <w:rPr>
                <w:spacing w:val="-17"/>
                <w:sz w:val="20"/>
              </w:rPr>
              <w:t> </w:t>
            </w:r>
            <w:r>
              <w:rPr>
                <w:sz w:val="20"/>
              </w:rPr>
              <w:t>pin. If </w:t>
            </w:r>
            <w:r>
              <w:rPr>
                <w:rFonts w:ascii="Times New Roman"/>
                <w:i/>
                <w:sz w:val="20"/>
              </w:rPr>
              <w:t>LCD_MAP[51] =</w:t>
            </w:r>
            <w:r>
              <w:rPr>
                <w:rFonts w:ascii="Times New Roman"/>
                <w:i/>
                <w:spacing w:val="6"/>
                <w:sz w:val="20"/>
              </w:rPr>
              <w:t> </w:t>
            </w:r>
            <w:r>
              <w:rPr>
                <w:sz w:val="20"/>
              </w:rPr>
              <w:t>0:</w:t>
            </w:r>
          </w:p>
          <w:p>
            <w:pPr>
              <w:pStyle w:val="TableParagraph"/>
              <w:spacing w:line="256" w:lineRule="auto" w:before="10"/>
              <w:ind w:left="104" w:right="1992" w:firstLine="719"/>
              <w:rPr>
                <w:sz w:val="20"/>
              </w:rPr>
            </w:pPr>
            <w:r>
              <w:rPr>
                <w:sz w:val="20"/>
              </w:rPr>
              <w:t>00 = DIO51, 01 = OPT_TX, 10 = WPULSE, 11 =</w:t>
            </w:r>
            <w:r>
              <w:rPr>
                <w:spacing w:val="-21"/>
                <w:sz w:val="20"/>
              </w:rPr>
              <w:t> </w:t>
            </w:r>
            <w:r>
              <w:rPr>
                <w:sz w:val="20"/>
              </w:rPr>
              <w:t>VPULSE If </w:t>
            </w:r>
            <w:r>
              <w:rPr>
                <w:rFonts w:ascii="Times New Roman"/>
                <w:i/>
                <w:sz w:val="20"/>
              </w:rPr>
              <w:t>LCD_MAP[51] =</w:t>
            </w:r>
            <w:r>
              <w:rPr>
                <w:rFonts w:ascii="Times New Roman"/>
                <w:i/>
                <w:spacing w:val="7"/>
                <w:sz w:val="20"/>
              </w:rPr>
              <w:t> </w:t>
            </w:r>
            <w:r>
              <w:rPr>
                <w:sz w:val="20"/>
              </w:rPr>
              <w:t>1:</w:t>
            </w:r>
          </w:p>
          <w:p>
            <w:pPr>
              <w:pStyle w:val="TableParagraph"/>
              <w:spacing w:before="7"/>
              <w:ind w:left="824"/>
              <w:rPr>
                <w:sz w:val="20"/>
              </w:rPr>
            </w:pPr>
            <w:r>
              <w:rPr>
                <w:sz w:val="20"/>
              </w:rPr>
              <w:t>xx =</w:t>
            </w:r>
            <w:r>
              <w:rPr>
                <w:spacing w:val="-5"/>
                <w:sz w:val="20"/>
              </w:rPr>
              <w:t> </w:t>
            </w:r>
            <w:r>
              <w:rPr>
                <w:sz w:val="20"/>
              </w:rPr>
              <w:t>SEG51</w:t>
            </w:r>
          </w:p>
        </w:tc>
      </w:tr>
      <w:tr>
        <w:trPr>
          <w:trHeight w:val="270" w:hRule="atLeast"/>
        </w:trPr>
        <w:tc>
          <w:tcPr>
            <w:tcW w:w="2254" w:type="dxa"/>
            <w:shd w:val="clear" w:color="auto" w:fill="C1C1C1"/>
          </w:tcPr>
          <w:p>
            <w:pPr>
              <w:pStyle w:val="TableParagraph"/>
              <w:spacing w:before="14"/>
              <w:ind w:left="107"/>
              <w:rPr>
                <w:rFonts w:ascii="Times New Roman"/>
                <w:i/>
                <w:sz w:val="20"/>
              </w:rPr>
            </w:pPr>
            <w:r>
              <w:rPr>
                <w:rFonts w:ascii="Times New Roman"/>
                <w:i/>
                <w:sz w:val="20"/>
              </w:rPr>
              <w:t>OPT_TXINV</w:t>
            </w:r>
          </w:p>
        </w:tc>
        <w:tc>
          <w:tcPr>
            <w:tcW w:w="1124" w:type="dxa"/>
            <w:shd w:val="clear" w:color="auto" w:fill="C1C1C1"/>
          </w:tcPr>
          <w:p>
            <w:pPr>
              <w:pStyle w:val="TableParagraph"/>
              <w:spacing w:before="18"/>
              <w:ind w:left="5"/>
              <w:jc w:val="center"/>
              <w:rPr>
                <w:sz w:val="20"/>
              </w:rPr>
            </w:pPr>
            <w:r>
              <w:rPr>
                <w:sz w:val="20"/>
              </w:rPr>
              <w:t>2456[0]</w:t>
            </w:r>
          </w:p>
        </w:tc>
        <w:tc>
          <w:tcPr>
            <w:tcW w:w="344" w:type="dxa"/>
            <w:shd w:val="clear" w:color="auto" w:fill="C1C1C1"/>
          </w:tcPr>
          <w:p>
            <w:pPr>
              <w:pStyle w:val="TableParagraph"/>
              <w:spacing w:before="18"/>
              <w:ind w:right="107"/>
              <w:jc w:val="right"/>
              <w:rPr>
                <w:sz w:val="20"/>
              </w:rPr>
            </w:pPr>
            <w:r>
              <w:rPr>
                <w:w w:val="99"/>
                <w:sz w:val="20"/>
              </w:rPr>
              <w:t>0</w:t>
            </w:r>
          </w:p>
        </w:tc>
        <w:tc>
          <w:tcPr>
            <w:tcW w:w="344" w:type="dxa"/>
            <w:shd w:val="clear" w:color="auto" w:fill="C1C1C1"/>
          </w:tcPr>
          <w:p>
            <w:pPr>
              <w:pStyle w:val="TableParagraph"/>
              <w:spacing w:before="18"/>
              <w:ind w:left="2"/>
              <w:jc w:val="center"/>
              <w:rPr>
                <w:sz w:val="20"/>
              </w:rPr>
            </w:pPr>
            <w:r>
              <w:rPr>
                <w:w w:val="99"/>
                <w:sz w:val="20"/>
              </w:rPr>
              <w:t>–</w:t>
            </w:r>
          </w:p>
        </w:tc>
        <w:tc>
          <w:tcPr>
            <w:tcW w:w="620" w:type="dxa"/>
            <w:shd w:val="clear" w:color="auto" w:fill="C1C1C1"/>
          </w:tcPr>
          <w:p>
            <w:pPr>
              <w:pStyle w:val="TableParagraph"/>
              <w:spacing w:before="18"/>
              <w:ind w:left="87" w:right="93"/>
              <w:jc w:val="center"/>
              <w:rPr>
                <w:sz w:val="20"/>
              </w:rPr>
            </w:pPr>
            <w:r>
              <w:rPr>
                <w:sz w:val="20"/>
              </w:rPr>
              <w:t>R/W</w:t>
            </w:r>
          </w:p>
        </w:tc>
        <w:tc>
          <w:tcPr>
            <w:tcW w:w="8020" w:type="dxa"/>
            <w:gridSpan w:val="4"/>
            <w:shd w:val="clear" w:color="auto" w:fill="C1C1C1"/>
          </w:tcPr>
          <w:p>
            <w:pPr>
              <w:pStyle w:val="TableParagraph"/>
              <w:spacing w:before="18"/>
              <w:ind w:left="104"/>
              <w:rPr>
                <w:sz w:val="20"/>
              </w:rPr>
            </w:pPr>
            <w:r>
              <w:rPr>
                <w:sz w:val="20"/>
              </w:rPr>
              <w:t>Invert OPT_TX when 1. This inversion occurs before modulation.</w:t>
            </w:r>
          </w:p>
        </w:tc>
      </w:tr>
      <w:tr>
        <w:trPr>
          <w:trHeight w:val="731" w:hRule="atLeast"/>
        </w:trPr>
        <w:tc>
          <w:tcPr>
            <w:tcW w:w="2254" w:type="dxa"/>
            <w:shd w:val="clear" w:color="auto" w:fill="C1C1C1"/>
          </w:tcPr>
          <w:p>
            <w:pPr>
              <w:pStyle w:val="TableParagraph"/>
              <w:spacing w:before="3"/>
              <w:rPr>
                <w:b/>
                <w:sz w:val="21"/>
              </w:rPr>
            </w:pPr>
          </w:p>
          <w:p>
            <w:pPr>
              <w:pStyle w:val="TableParagraph"/>
              <w:ind w:left="107"/>
              <w:rPr>
                <w:rFonts w:ascii="Times New Roman"/>
                <w:i/>
                <w:sz w:val="20"/>
              </w:rPr>
            </w:pPr>
            <w:r>
              <w:rPr>
                <w:rFonts w:ascii="Times New Roman"/>
                <w:i/>
                <w:sz w:val="20"/>
              </w:rPr>
              <w:t>OPT_TXMOD</w:t>
            </w:r>
          </w:p>
        </w:tc>
        <w:tc>
          <w:tcPr>
            <w:tcW w:w="1124" w:type="dxa"/>
            <w:shd w:val="clear" w:color="auto" w:fill="C1C1C1"/>
          </w:tcPr>
          <w:p>
            <w:pPr>
              <w:pStyle w:val="TableParagraph"/>
              <w:spacing w:before="7"/>
              <w:rPr>
                <w:b/>
                <w:sz w:val="21"/>
              </w:rPr>
            </w:pPr>
          </w:p>
          <w:p>
            <w:pPr>
              <w:pStyle w:val="TableParagraph"/>
              <w:ind w:left="5"/>
              <w:jc w:val="center"/>
              <w:rPr>
                <w:sz w:val="20"/>
              </w:rPr>
            </w:pPr>
            <w:r>
              <w:rPr>
                <w:sz w:val="20"/>
              </w:rPr>
              <w:t>2456[1]</w:t>
            </w:r>
          </w:p>
        </w:tc>
        <w:tc>
          <w:tcPr>
            <w:tcW w:w="344" w:type="dxa"/>
            <w:shd w:val="clear" w:color="auto" w:fill="C1C1C1"/>
          </w:tcPr>
          <w:p>
            <w:pPr>
              <w:pStyle w:val="TableParagraph"/>
              <w:spacing w:before="7"/>
              <w:rPr>
                <w:b/>
                <w:sz w:val="21"/>
              </w:rPr>
            </w:pPr>
          </w:p>
          <w:p>
            <w:pPr>
              <w:pStyle w:val="TableParagraph"/>
              <w:ind w:right="107"/>
              <w:jc w:val="right"/>
              <w:rPr>
                <w:sz w:val="20"/>
              </w:rPr>
            </w:pPr>
            <w:r>
              <w:rPr>
                <w:w w:val="99"/>
                <w:sz w:val="20"/>
              </w:rPr>
              <w:t>0</w:t>
            </w:r>
          </w:p>
        </w:tc>
        <w:tc>
          <w:tcPr>
            <w:tcW w:w="344" w:type="dxa"/>
            <w:shd w:val="clear" w:color="auto" w:fill="C1C1C1"/>
          </w:tcPr>
          <w:p>
            <w:pPr>
              <w:pStyle w:val="TableParagraph"/>
              <w:spacing w:before="7"/>
              <w:rPr>
                <w:b/>
                <w:sz w:val="21"/>
              </w:rPr>
            </w:pPr>
          </w:p>
          <w:p>
            <w:pPr>
              <w:pStyle w:val="TableParagraph"/>
              <w:ind w:left="2"/>
              <w:jc w:val="center"/>
              <w:rPr>
                <w:sz w:val="20"/>
              </w:rPr>
            </w:pPr>
            <w:r>
              <w:rPr>
                <w:w w:val="99"/>
                <w:sz w:val="20"/>
              </w:rPr>
              <w:t>–</w:t>
            </w:r>
          </w:p>
        </w:tc>
        <w:tc>
          <w:tcPr>
            <w:tcW w:w="620" w:type="dxa"/>
            <w:shd w:val="clear" w:color="auto" w:fill="C1C1C1"/>
          </w:tcPr>
          <w:p>
            <w:pPr>
              <w:pStyle w:val="TableParagraph"/>
              <w:spacing w:before="7"/>
              <w:rPr>
                <w:b/>
                <w:sz w:val="21"/>
              </w:rPr>
            </w:pPr>
          </w:p>
          <w:p>
            <w:pPr>
              <w:pStyle w:val="TableParagraph"/>
              <w:ind w:left="87" w:right="93"/>
              <w:jc w:val="center"/>
              <w:rPr>
                <w:sz w:val="20"/>
              </w:rPr>
            </w:pPr>
            <w:r>
              <w:rPr>
                <w:sz w:val="20"/>
              </w:rPr>
              <w:t>R/W</w:t>
            </w:r>
          </w:p>
        </w:tc>
        <w:tc>
          <w:tcPr>
            <w:tcW w:w="8020" w:type="dxa"/>
            <w:gridSpan w:val="4"/>
            <w:shd w:val="clear" w:color="auto" w:fill="C1C1C1"/>
          </w:tcPr>
          <w:p>
            <w:pPr>
              <w:pStyle w:val="TableParagraph"/>
              <w:spacing w:before="14"/>
              <w:ind w:left="104" w:right="289"/>
              <w:jc w:val="both"/>
              <w:rPr>
                <w:sz w:val="20"/>
              </w:rPr>
            </w:pPr>
            <w:r>
              <w:rPr>
                <w:spacing w:val="3"/>
                <w:sz w:val="20"/>
              </w:rPr>
              <w:t>Enables modulation </w:t>
            </w:r>
            <w:r>
              <w:rPr>
                <w:sz w:val="20"/>
              </w:rPr>
              <w:t>of </w:t>
            </w:r>
            <w:r>
              <w:rPr>
                <w:spacing w:val="3"/>
                <w:sz w:val="20"/>
              </w:rPr>
              <w:t>OPT_TX. </w:t>
            </w:r>
            <w:r>
              <w:rPr>
                <w:spacing w:val="4"/>
                <w:sz w:val="20"/>
              </w:rPr>
              <w:t>When </w:t>
            </w:r>
            <w:r>
              <w:rPr>
                <w:rFonts w:ascii="Times New Roman"/>
                <w:i/>
                <w:spacing w:val="3"/>
                <w:sz w:val="20"/>
              </w:rPr>
              <w:t>OPT_TXMOD </w:t>
            </w:r>
            <w:r>
              <w:rPr>
                <w:sz w:val="20"/>
              </w:rPr>
              <w:t>is </w:t>
            </w:r>
            <w:r>
              <w:rPr>
                <w:spacing w:val="3"/>
                <w:sz w:val="20"/>
              </w:rPr>
              <w:t>set, OPT_TX </w:t>
            </w:r>
            <w:r>
              <w:rPr>
                <w:sz w:val="20"/>
              </w:rPr>
              <w:t>is </w:t>
            </w:r>
            <w:r>
              <w:rPr>
                <w:spacing w:val="3"/>
                <w:sz w:val="20"/>
              </w:rPr>
              <w:t>modulated </w:t>
            </w:r>
            <w:r>
              <w:rPr>
                <w:sz w:val="20"/>
              </w:rPr>
              <w:t>when</w:t>
            </w:r>
            <w:r>
              <w:rPr>
                <w:spacing w:val="-11"/>
                <w:sz w:val="20"/>
              </w:rPr>
              <w:t> </w:t>
            </w:r>
            <w:r>
              <w:rPr>
                <w:sz w:val="20"/>
              </w:rPr>
              <w:t>it</w:t>
            </w:r>
            <w:r>
              <w:rPr>
                <w:spacing w:val="-8"/>
                <w:sz w:val="20"/>
              </w:rPr>
              <w:t> </w:t>
            </w:r>
            <w:r>
              <w:rPr>
                <w:spacing w:val="-3"/>
                <w:sz w:val="20"/>
              </w:rPr>
              <w:t>would</w:t>
            </w:r>
            <w:r>
              <w:rPr>
                <w:spacing w:val="-11"/>
                <w:sz w:val="20"/>
              </w:rPr>
              <w:t> </w:t>
            </w:r>
            <w:r>
              <w:rPr>
                <w:sz w:val="20"/>
              </w:rPr>
              <w:t>otherwise</w:t>
            </w:r>
            <w:r>
              <w:rPr>
                <w:spacing w:val="-12"/>
                <w:sz w:val="20"/>
              </w:rPr>
              <w:t> </w:t>
            </w:r>
            <w:r>
              <w:rPr>
                <w:sz w:val="20"/>
              </w:rPr>
              <w:t>have</w:t>
            </w:r>
            <w:r>
              <w:rPr>
                <w:spacing w:val="-13"/>
                <w:sz w:val="20"/>
              </w:rPr>
              <w:t> </w:t>
            </w:r>
            <w:r>
              <w:rPr>
                <w:sz w:val="20"/>
              </w:rPr>
              <w:t>been</w:t>
            </w:r>
            <w:r>
              <w:rPr>
                <w:spacing w:val="-10"/>
                <w:sz w:val="20"/>
              </w:rPr>
              <w:t> </w:t>
            </w:r>
            <w:r>
              <w:rPr>
                <w:sz w:val="20"/>
              </w:rPr>
              <w:t>zero.</w:t>
            </w:r>
            <w:r>
              <w:rPr>
                <w:spacing w:val="35"/>
                <w:sz w:val="20"/>
              </w:rPr>
              <w:t> </w:t>
            </w:r>
            <w:r>
              <w:rPr>
                <w:sz w:val="20"/>
              </w:rPr>
              <w:t>The</w:t>
            </w:r>
            <w:r>
              <w:rPr>
                <w:spacing w:val="-12"/>
                <w:sz w:val="20"/>
              </w:rPr>
              <w:t> </w:t>
            </w:r>
            <w:r>
              <w:rPr>
                <w:sz w:val="20"/>
              </w:rPr>
              <w:t>modulation</w:t>
            </w:r>
            <w:r>
              <w:rPr>
                <w:spacing w:val="-11"/>
                <w:sz w:val="20"/>
              </w:rPr>
              <w:t> </w:t>
            </w:r>
            <w:r>
              <w:rPr>
                <w:sz w:val="20"/>
              </w:rPr>
              <w:t>is</w:t>
            </w:r>
            <w:r>
              <w:rPr>
                <w:spacing w:val="-10"/>
                <w:sz w:val="20"/>
              </w:rPr>
              <w:t> </w:t>
            </w:r>
            <w:r>
              <w:rPr>
                <w:sz w:val="20"/>
              </w:rPr>
              <w:t>applied</w:t>
            </w:r>
            <w:r>
              <w:rPr>
                <w:spacing w:val="-9"/>
                <w:sz w:val="20"/>
              </w:rPr>
              <w:t> </w:t>
            </w:r>
            <w:r>
              <w:rPr>
                <w:sz w:val="20"/>
              </w:rPr>
              <w:t>after</w:t>
            </w:r>
            <w:r>
              <w:rPr>
                <w:spacing w:val="-7"/>
                <w:sz w:val="20"/>
              </w:rPr>
              <w:t> </w:t>
            </w:r>
            <w:r>
              <w:rPr>
                <w:sz w:val="20"/>
              </w:rPr>
              <w:t>any</w:t>
            </w:r>
            <w:r>
              <w:rPr>
                <w:spacing w:val="-9"/>
                <w:sz w:val="20"/>
              </w:rPr>
              <w:t> </w:t>
            </w:r>
            <w:r>
              <w:rPr>
                <w:sz w:val="20"/>
              </w:rPr>
              <w:t>inversion caused by</w:t>
            </w:r>
            <w:r>
              <w:rPr>
                <w:spacing w:val="-6"/>
                <w:sz w:val="20"/>
              </w:rPr>
              <w:t> </w:t>
            </w:r>
            <w:r>
              <w:rPr>
                <w:rFonts w:ascii="Times New Roman"/>
                <w:i/>
                <w:sz w:val="20"/>
              </w:rPr>
              <w:t>OPT_TXINV</w:t>
            </w:r>
            <w:r>
              <w:rPr>
                <w:sz w:val="20"/>
              </w:rPr>
              <w:t>.</w:t>
            </w:r>
          </w:p>
        </w:tc>
      </w:tr>
      <w:tr>
        <w:trPr>
          <w:trHeight w:val="501" w:hRule="atLeast"/>
        </w:trPr>
        <w:tc>
          <w:tcPr>
            <w:tcW w:w="2254" w:type="dxa"/>
            <w:shd w:val="clear" w:color="auto" w:fill="C1C1C1"/>
          </w:tcPr>
          <w:p>
            <w:pPr>
              <w:pStyle w:val="TableParagraph"/>
              <w:spacing w:before="130"/>
              <w:ind w:left="107"/>
              <w:rPr>
                <w:rFonts w:ascii="Times New Roman"/>
                <w:i/>
                <w:sz w:val="20"/>
              </w:rPr>
            </w:pPr>
            <w:r>
              <w:rPr>
                <w:rFonts w:ascii="Times New Roman"/>
                <w:i/>
                <w:sz w:val="20"/>
              </w:rPr>
              <w:t>OSC_COMP</w:t>
            </w:r>
          </w:p>
        </w:tc>
        <w:tc>
          <w:tcPr>
            <w:tcW w:w="1124" w:type="dxa"/>
            <w:shd w:val="clear" w:color="auto" w:fill="C1C1C1"/>
          </w:tcPr>
          <w:p>
            <w:pPr>
              <w:pStyle w:val="TableParagraph"/>
              <w:spacing w:before="134"/>
              <w:ind w:left="2"/>
              <w:jc w:val="center"/>
              <w:rPr>
                <w:sz w:val="20"/>
              </w:rPr>
            </w:pPr>
            <w:r>
              <w:rPr>
                <w:sz w:val="20"/>
              </w:rPr>
              <w:t>28A0[5]</w:t>
            </w:r>
          </w:p>
        </w:tc>
        <w:tc>
          <w:tcPr>
            <w:tcW w:w="344" w:type="dxa"/>
            <w:shd w:val="clear" w:color="auto" w:fill="C1C1C1"/>
          </w:tcPr>
          <w:p>
            <w:pPr>
              <w:pStyle w:val="TableParagraph"/>
              <w:spacing w:before="134"/>
              <w:ind w:right="107"/>
              <w:jc w:val="right"/>
              <w:rPr>
                <w:sz w:val="20"/>
              </w:rPr>
            </w:pPr>
            <w:r>
              <w:rPr>
                <w:w w:val="99"/>
                <w:sz w:val="20"/>
              </w:rPr>
              <w:t>0</w:t>
            </w:r>
          </w:p>
        </w:tc>
        <w:tc>
          <w:tcPr>
            <w:tcW w:w="344" w:type="dxa"/>
            <w:shd w:val="clear" w:color="auto" w:fill="C1C1C1"/>
          </w:tcPr>
          <w:p>
            <w:pPr>
              <w:pStyle w:val="TableParagraph"/>
              <w:spacing w:before="134"/>
              <w:ind w:left="2"/>
              <w:jc w:val="center"/>
              <w:rPr>
                <w:sz w:val="20"/>
              </w:rPr>
            </w:pPr>
            <w:r>
              <w:rPr>
                <w:w w:val="99"/>
                <w:sz w:val="20"/>
              </w:rPr>
              <w:t>–</w:t>
            </w:r>
          </w:p>
        </w:tc>
        <w:tc>
          <w:tcPr>
            <w:tcW w:w="620" w:type="dxa"/>
            <w:shd w:val="clear" w:color="auto" w:fill="C1C1C1"/>
          </w:tcPr>
          <w:p>
            <w:pPr>
              <w:pStyle w:val="TableParagraph"/>
              <w:spacing w:before="134"/>
              <w:ind w:left="87" w:right="93"/>
              <w:jc w:val="center"/>
              <w:rPr>
                <w:sz w:val="20"/>
              </w:rPr>
            </w:pPr>
            <w:r>
              <w:rPr>
                <w:sz w:val="20"/>
              </w:rPr>
              <w:t>R/W</w:t>
            </w:r>
          </w:p>
        </w:tc>
        <w:tc>
          <w:tcPr>
            <w:tcW w:w="8020" w:type="dxa"/>
            <w:gridSpan w:val="4"/>
            <w:shd w:val="clear" w:color="auto" w:fill="C1C1C1"/>
          </w:tcPr>
          <w:p>
            <w:pPr>
              <w:pStyle w:val="TableParagraph"/>
              <w:spacing w:line="230" w:lineRule="atLeast" w:before="14"/>
              <w:ind w:left="104" w:right="60"/>
              <w:rPr>
                <w:sz w:val="20"/>
              </w:rPr>
            </w:pPr>
            <w:r>
              <w:rPr>
                <w:spacing w:val="-3"/>
                <w:sz w:val="20"/>
              </w:rPr>
              <w:t>Enables </w:t>
            </w:r>
            <w:r>
              <w:rPr>
                <w:sz w:val="20"/>
              </w:rPr>
              <w:t>the </w:t>
            </w:r>
            <w:r>
              <w:rPr>
                <w:spacing w:val="-3"/>
                <w:sz w:val="20"/>
              </w:rPr>
              <w:t>automatic </w:t>
            </w:r>
            <w:r>
              <w:rPr>
                <w:sz w:val="20"/>
              </w:rPr>
              <w:t>update of </w:t>
            </w:r>
            <w:r>
              <w:rPr>
                <w:rFonts w:ascii="Times New Roman"/>
                <w:i/>
                <w:spacing w:val="-3"/>
                <w:sz w:val="20"/>
              </w:rPr>
              <w:t>RTC_P[16:0] </w:t>
            </w:r>
            <w:r>
              <w:rPr>
                <w:sz w:val="20"/>
              </w:rPr>
              <w:t>and </w:t>
            </w:r>
            <w:r>
              <w:rPr>
                <w:rFonts w:ascii="Times New Roman"/>
                <w:i/>
                <w:sz w:val="20"/>
              </w:rPr>
              <w:t>RTC_Q </w:t>
            </w:r>
            <w:r>
              <w:rPr>
                <w:sz w:val="20"/>
              </w:rPr>
              <w:t>[1:0]every time the temperature is measured.</w:t>
            </w:r>
          </w:p>
        </w:tc>
      </w:tr>
      <w:tr>
        <w:trPr>
          <w:trHeight w:val="268" w:hRule="atLeast"/>
        </w:trPr>
        <w:tc>
          <w:tcPr>
            <w:tcW w:w="2254" w:type="dxa"/>
          </w:tcPr>
          <w:p>
            <w:pPr>
              <w:pStyle w:val="TableParagraph"/>
              <w:spacing w:before="12"/>
              <w:ind w:left="107"/>
              <w:rPr>
                <w:rFonts w:ascii="Times New Roman"/>
                <w:i/>
                <w:sz w:val="20"/>
              </w:rPr>
            </w:pPr>
            <w:r>
              <w:rPr>
                <w:rFonts w:ascii="Times New Roman"/>
                <w:i/>
                <w:sz w:val="20"/>
              </w:rPr>
              <w:t>PB_STATE</w:t>
            </w:r>
          </w:p>
        </w:tc>
        <w:tc>
          <w:tcPr>
            <w:tcW w:w="1124" w:type="dxa"/>
          </w:tcPr>
          <w:p>
            <w:pPr>
              <w:pStyle w:val="TableParagraph"/>
              <w:spacing w:before="16"/>
              <w:ind w:left="5"/>
              <w:jc w:val="center"/>
              <w:rPr>
                <w:sz w:val="20"/>
              </w:rPr>
            </w:pPr>
            <w:r>
              <w:rPr>
                <w:sz w:val="20"/>
              </w:rPr>
              <w:t>SFR F8[0]</w:t>
            </w:r>
          </w:p>
        </w:tc>
        <w:tc>
          <w:tcPr>
            <w:tcW w:w="344" w:type="dxa"/>
          </w:tcPr>
          <w:p>
            <w:pPr>
              <w:pStyle w:val="TableParagraph"/>
              <w:spacing w:before="16"/>
              <w:ind w:right="107"/>
              <w:jc w:val="right"/>
              <w:rPr>
                <w:sz w:val="20"/>
              </w:rPr>
            </w:pPr>
            <w:r>
              <w:rPr>
                <w:w w:val="99"/>
                <w:sz w:val="20"/>
              </w:rPr>
              <w:t>0</w:t>
            </w:r>
          </w:p>
        </w:tc>
        <w:tc>
          <w:tcPr>
            <w:tcW w:w="344" w:type="dxa"/>
          </w:tcPr>
          <w:p>
            <w:pPr>
              <w:pStyle w:val="TableParagraph"/>
              <w:spacing w:before="16"/>
              <w:ind w:left="2"/>
              <w:jc w:val="center"/>
              <w:rPr>
                <w:sz w:val="20"/>
              </w:rPr>
            </w:pPr>
            <w:r>
              <w:rPr>
                <w:w w:val="99"/>
                <w:sz w:val="20"/>
              </w:rPr>
              <w:t>0</w:t>
            </w:r>
          </w:p>
        </w:tc>
        <w:tc>
          <w:tcPr>
            <w:tcW w:w="620" w:type="dxa"/>
          </w:tcPr>
          <w:p>
            <w:pPr>
              <w:pStyle w:val="TableParagraph"/>
              <w:spacing w:before="16"/>
              <w:ind w:left="3"/>
              <w:jc w:val="center"/>
              <w:rPr>
                <w:sz w:val="20"/>
              </w:rPr>
            </w:pPr>
            <w:r>
              <w:rPr>
                <w:w w:val="99"/>
                <w:sz w:val="20"/>
              </w:rPr>
              <w:t>R</w:t>
            </w:r>
          </w:p>
        </w:tc>
        <w:tc>
          <w:tcPr>
            <w:tcW w:w="8020" w:type="dxa"/>
            <w:gridSpan w:val="4"/>
          </w:tcPr>
          <w:p>
            <w:pPr>
              <w:pStyle w:val="TableParagraph"/>
              <w:spacing w:before="16"/>
              <w:ind w:left="104"/>
              <w:rPr>
                <w:sz w:val="20"/>
              </w:rPr>
            </w:pPr>
            <w:r>
              <w:rPr>
                <w:sz w:val="20"/>
              </w:rPr>
              <w:t>The de-bounced state of the PB pin.</w:t>
            </w:r>
          </w:p>
        </w:tc>
      </w:tr>
      <w:tr>
        <w:trPr>
          <w:trHeight w:val="501" w:hRule="atLeast"/>
        </w:trPr>
        <w:tc>
          <w:tcPr>
            <w:tcW w:w="2254" w:type="dxa"/>
          </w:tcPr>
          <w:p>
            <w:pPr>
              <w:pStyle w:val="TableParagraph"/>
              <w:spacing w:before="14"/>
              <w:ind w:left="107" w:right="924"/>
              <w:rPr>
                <w:rFonts w:ascii="Times New Roman"/>
                <w:i/>
                <w:sz w:val="20"/>
              </w:rPr>
            </w:pPr>
            <w:r>
              <w:rPr>
                <w:rFonts w:ascii="Times New Roman"/>
                <w:i/>
                <w:sz w:val="20"/>
              </w:rPr>
              <w:t>PERR_RD </w:t>
            </w:r>
            <w:r>
              <w:rPr>
                <w:rFonts w:ascii="Times New Roman"/>
                <w:i/>
                <w:w w:val="95"/>
                <w:sz w:val="20"/>
              </w:rPr>
              <w:t>PERR_WR</w:t>
            </w:r>
          </w:p>
        </w:tc>
        <w:tc>
          <w:tcPr>
            <w:tcW w:w="1124" w:type="dxa"/>
          </w:tcPr>
          <w:p>
            <w:pPr>
              <w:pStyle w:val="TableParagraph"/>
              <w:spacing w:before="18"/>
              <w:ind w:left="88" w:right="61"/>
              <w:rPr>
                <w:sz w:val="20"/>
              </w:rPr>
            </w:pPr>
            <w:r>
              <w:rPr>
                <w:sz w:val="20"/>
              </w:rPr>
              <w:t>SFR FC[6] SFR FC[5]</w:t>
            </w:r>
          </w:p>
        </w:tc>
        <w:tc>
          <w:tcPr>
            <w:tcW w:w="344" w:type="dxa"/>
          </w:tcPr>
          <w:p>
            <w:pPr>
              <w:pStyle w:val="TableParagraph"/>
              <w:spacing w:before="134"/>
              <w:ind w:right="107"/>
              <w:jc w:val="right"/>
              <w:rPr>
                <w:sz w:val="20"/>
              </w:rPr>
            </w:pPr>
            <w:r>
              <w:rPr>
                <w:w w:val="99"/>
                <w:sz w:val="20"/>
              </w:rPr>
              <w:t>0</w:t>
            </w:r>
          </w:p>
        </w:tc>
        <w:tc>
          <w:tcPr>
            <w:tcW w:w="344" w:type="dxa"/>
          </w:tcPr>
          <w:p>
            <w:pPr>
              <w:pStyle w:val="TableParagraph"/>
              <w:spacing w:before="134"/>
              <w:ind w:left="2"/>
              <w:jc w:val="center"/>
              <w:rPr>
                <w:sz w:val="20"/>
              </w:rPr>
            </w:pPr>
            <w:r>
              <w:rPr>
                <w:w w:val="99"/>
                <w:sz w:val="20"/>
              </w:rPr>
              <w:t>0</w:t>
            </w:r>
          </w:p>
        </w:tc>
        <w:tc>
          <w:tcPr>
            <w:tcW w:w="620" w:type="dxa"/>
          </w:tcPr>
          <w:p>
            <w:pPr>
              <w:pStyle w:val="TableParagraph"/>
              <w:spacing w:before="134"/>
              <w:ind w:left="87" w:right="93"/>
              <w:jc w:val="center"/>
              <w:rPr>
                <w:sz w:val="20"/>
              </w:rPr>
            </w:pPr>
            <w:r>
              <w:rPr>
                <w:sz w:val="20"/>
              </w:rPr>
              <w:t>R/W</w:t>
            </w:r>
          </w:p>
        </w:tc>
        <w:tc>
          <w:tcPr>
            <w:tcW w:w="8020" w:type="dxa"/>
            <w:gridSpan w:val="4"/>
          </w:tcPr>
          <w:p>
            <w:pPr>
              <w:pStyle w:val="TableParagraph"/>
              <w:spacing w:before="18"/>
              <w:ind w:left="104" w:right="60"/>
              <w:rPr>
                <w:sz w:val="20"/>
              </w:rPr>
            </w:pPr>
            <w:r>
              <w:rPr>
                <w:sz w:val="20"/>
              </w:rPr>
              <w:t>The 71M6543 sets these bits to indicate that a parity error on the remote sensor has been detected. Once set, the bits are remembered until they are cleared by the MPU.</w:t>
            </w:r>
          </w:p>
        </w:tc>
      </w:tr>
    </w:tbl>
    <w:p>
      <w:pPr>
        <w:spacing w:after="0"/>
        <w:rPr>
          <w:sz w:val="20"/>
        </w:rPr>
        <w:sectPr>
          <w:pgSz w:w="15840" w:h="12240" w:orient="landscape"/>
          <w:pgMar w:header="727" w:footer="819" w:top="1180" w:bottom="1000" w:left="1320" w:right="1320"/>
        </w:sectPr>
      </w:pPr>
    </w:p>
    <w:p>
      <w:pPr>
        <w:pStyle w:val="BodyText"/>
        <w:spacing w:before="5"/>
        <w:rPr>
          <w:b/>
          <w:sz w:val="7"/>
        </w:rPr>
      </w:pPr>
    </w:p>
    <w:tbl>
      <w:tblPr>
        <w:tblW w:w="0" w:type="auto"/>
        <w:jc w:val="left"/>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4"/>
        <w:gridCol w:w="1124"/>
        <w:gridCol w:w="344"/>
        <w:gridCol w:w="344"/>
        <w:gridCol w:w="620"/>
        <w:gridCol w:w="8014"/>
      </w:tblGrid>
      <w:tr>
        <w:trPr>
          <w:trHeight w:val="309" w:hRule="atLeast"/>
        </w:trPr>
        <w:tc>
          <w:tcPr>
            <w:tcW w:w="2254" w:type="dxa"/>
          </w:tcPr>
          <w:p>
            <w:pPr>
              <w:pStyle w:val="TableParagraph"/>
              <w:spacing w:before="35"/>
              <w:ind w:left="107"/>
              <w:rPr>
                <w:b/>
                <w:sz w:val="20"/>
              </w:rPr>
            </w:pPr>
            <w:r>
              <w:rPr>
                <w:b/>
                <w:sz w:val="20"/>
              </w:rPr>
              <w:t>Name</w:t>
            </w:r>
          </w:p>
        </w:tc>
        <w:tc>
          <w:tcPr>
            <w:tcW w:w="1124" w:type="dxa"/>
          </w:tcPr>
          <w:p>
            <w:pPr>
              <w:pStyle w:val="TableParagraph"/>
              <w:spacing w:before="35"/>
              <w:ind w:left="4"/>
              <w:jc w:val="center"/>
              <w:rPr>
                <w:b/>
                <w:sz w:val="20"/>
              </w:rPr>
            </w:pPr>
            <w:r>
              <w:rPr>
                <w:b/>
                <w:sz w:val="20"/>
              </w:rPr>
              <w:t>Location</w:t>
            </w:r>
          </w:p>
        </w:tc>
        <w:tc>
          <w:tcPr>
            <w:tcW w:w="344" w:type="dxa"/>
          </w:tcPr>
          <w:p>
            <w:pPr>
              <w:pStyle w:val="TableParagraph"/>
              <w:spacing w:before="35"/>
              <w:ind w:left="2"/>
              <w:jc w:val="center"/>
              <w:rPr>
                <w:b/>
                <w:sz w:val="20"/>
              </w:rPr>
            </w:pPr>
            <w:r>
              <w:rPr>
                <w:b/>
                <w:sz w:val="20"/>
              </w:rPr>
              <w:t>Rst</w:t>
            </w:r>
          </w:p>
        </w:tc>
        <w:tc>
          <w:tcPr>
            <w:tcW w:w="344" w:type="dxa"/>
          </w:tcPr>
          <w:p>
            <w:pPr>
              <w:pStyle w:val="TableParagraph"/>
              <w:spacing w:before="35"/>
              <w:ind w:left="6"/>
              <w:jc w:val="center"/>
              <w:rPr>
                <w:b/>
                <w:sz w:val="20"/>
              </w:rPr>
            </w:pPr>
            <w:r>
              <w:rPr>
                <w:b/>
                <w:sz w:val="20"/>
              </w:rPr>
              <w:t>Wk</w:t>
            </w:r>
          </w:p>
        </w:tc>
        <w:tc>
          <w:tcPr>
            <w:tcW w:w="620" w:type="dxa"/>
          </w:tcPr>
          <w:p>
            <w:pPr>
              <w:pStyle w:val="TableParagraph"/>
              <w:spacing w:before="35"/>
              <w:ind w:left="87" w:right="86"/>
              <w:jc w:val="center"/>
              <w:rPr>
                <w:b/>
                <w:sz w:val="20"/>
              </w:rPr>
            </w:pPr>
            <w:r>
              <w:rPr>
                <w:b/>
                <w:sz w:val="20"/>
              </w:rPr>
              <w:t>Dir</w:t>
            </w:r>
          </w:p>
        </w:tc>
        <w:tc>
          <w:tcPr>
            <w:tcW w:w="8014" w:type="dxa"/>
          </w:tcPr>
          <w:p>
            <w:pPr>
              <w:pStyle w:val="TableParagraph"/>
              <w:spacing w:before="35"/>
              <w:ind w:left="104"/>
              <w:rPr>
                <w:b/>
                <w:sz w:val="20"/>
              </w:rPr>
            </w:pPr>
            <w:r>
              <w:rPr>
                <w:b/>
                <w:sz w:val="20"/>
              </w:rPr>
              <w:t>Description</w:t>
            </w:r>
          </w:p>
        </w:tc>
      </w:tr>
      <w:tr>
        <w:trPr>
          <w:trHeight w:val="270" w:hRule="atLeast"/>
        </w:trPr>
        <w:tc>
          <w:tcPr>
            <w:tcW w:w="2254" w:type="dxa"/>
          </w:tcPr>
          <w:p>
            <w:pPr>
              <w:pStyle w:val="TableParagraph"/>
              <w:spacing w:before="14"/>
              <w:ind w:left="107"/>
              <w:rPr>
                <w:rFonts w:ascii="Times New Roman"/>
                <w:i/>
                <w:sz w:val="20"/>
              </w:rPr>
            </w:pPr>
            <w:r>
              <w:rPr>
                <w:rFonts w:ascii="Times New Roman"/>
                <w:i/>
                <w:sz w:val="20"/>
              </w:rPr>
              <w:t>PLL_OK</w:t>
            </w:r>
          </w:p>
        </w:tc>
        <w:tc>
          <w:tcPr>
            <w:tcW w:w="1124" w:type="dxa"/>
          </w:tcPr>
          <w:p>
            <w:pPr>
              <w:pStyle w:val="TableParagraph"/>
              <w:spacing w:before="18"/>
              <w:ind w:left="5"/>
              <w:jc w:val="center"/>
              <w:rPr>
                <w:sz w:val="20"/>
              </w:rPr>
            </w:pPr>
            <w:r>
              <w:rPr>
                <w:sz w:val="20"/>
              </w:rPr>
              <w:t>SFR F9[4]</w:t>
            </w:r>
          </w:p>
        </w:tc>
        <w:tc>
          <w:tcPr>
            <w:tcW w:w="344" w:type="dxa"/>
          </w:tcPr>
          <w:p>
            <w:pPr>
              <w:pStyle w:val="TableParagraph"/>
              <w:spacing w:before="18"/>
              <w:ind w:left="4"/>
              <w:jc w:val="center"/>
              <w:rPr>
                <w:sz w:val="20"/>
              </w:rPr>
            </w:pPr>
            <w:r>
              <w:rPr>
                <w:w w:val="99"/>
                <w:sz w:val="20"/>
              </w:rPr>
              <w:t>0</w:t>
            </w:r>
          </w:p>
        </w:tc>
        <w:tc>
          <w:tcPr>
            <w:tcW w:w="344" w:type="dxa"/>
          </w:tcPr>
          <w:p>
            <w:pPr>
              <w:pStyle w:val="TableParagraph"/>
              <w:spacing w:before="18"/>
              <w:ind w:left="2"/>
              <w:jc w:val="center"/>
              <w:rPr>
                <w:sz w:val="20"/>
              </w:rPr>
            </w:pPr>
            <w:r>
              <w:rPr>
                <w:w w:val="99"/>
                <w:sz w:val="20"/>
              </w:rPr>
              <w:t>0</w:t>
            </w:r>
          </w:p>
        </w:tc>
        <w:tc>
          <w:tcPr>
            <w:tcW w:w="620" w:type="dxa"/>
          </w:tcPr>
          <w:p>
            <w:pPr>
              <w:pStyle w:val="TableParagraph"/>
              <w:spacing w:before="18"/>
              <w:ind w:left="3"/>
              <w:jc w:val="center"/>
              <w:rPr>
                <w:sz w:val="20"/>
              </w:rPr>
            </w:pPr>
            <w:r>
              <w:rPr>
                <w:w w:val="99"/>
                <w:sz w:val="20"/>
              </w:rPr>
              <w:t>R</w:t>
            </w:r>
          </w:p>
        </w:tc>
        <w:tc>
          <w:tcPr>
            <w:tcW w:w="8014" w:type="dxa"/>
          </w:tcPr>
          <w:p>
            <w:pPr>
              <w:pStyle w:val="TableParagraph"/>
              <w:spacing w:before="18"/>
              <w:ind w:left="104"/>
              <w:rPr>
                <w:sz w:val="20"/>
              </w:rPr>
            </w:pPr>
            <w:r>
              <w:rPr>
                <w:sz w:val="20"/>
              </w:rPr>
              <w:t>Indicates that the clock generation PLL is settled.</w:t>
            </w:r>
          </w:p>
        </w:tc>
      </w:tr>
      <w:tr>
        <w:trPr>
          <w:trHeight w:val="770" w:hRule="atLeast"/>
        </w:trPr>
        <w:tc>
          <w:tcPr>
            <w:tcW w:w="2254" w:type="dxa"/>
          </w:tcPr>
          <w:p>
            <w:pPr>
              <w:pStyle w:val="TableParagraph"/>
              <w:spacing w:before="11"/>
              <w:rPr>
                <w:b/>
                <w:sz w:val="22"/>
              </w:rPr>
            </w:pPr>
          </w:p>
          <w:p>
            <w:pPr>
              <w:pStyle w:val="TableParagraph"/>
              <w:ind w:left="107"/>
              <w:rPr>
                <w:rFonts w:ascii="Times New Roman"/>
                <w:i/>
                <w:sz w:val="20"/>
              </w:rPr>
            </w:pPr>
            <w:r>
              <w:rPr>
                <w:rFonts w:ascii="Times New Roman"/>
                <w:i/>
                <w:sz w:val="20"/>
              </w:rPr>
              <w:t>PLL_FAST</w:t>
            </w:r>
          </w:p>
        </w:tc>
        <w:tc>
          <w:tcPr>
            <w:tcW w:w="1124" w:type="dxa"/>
          </w:tcPr>
          <w:p>
            <w:pPr>
              <w:pStyle w:val="TableParagraph"/>
              <w:spacing w:before="3"/>
              <w:rPr>
                <w:b/>
                <w:sz w:val="23"/>
              </w:rPr>
            </w:pPr>
          </w:p>
          <w:p>
            <w:pPr>
              <w:pStyle w:val="TableParagraph"/>
              <w:ind w:left="5"/>
              <w:jc w:val="center"/>
              <w:rPr>
                <w:sz w:val="20"/>
              </w:rPr>
            </w:pPr>
            <w:r>
              <w:rPr>
                <w:sz w:val="20"/>
              </w:rPr>
              <w:t>2200[4]</w:t>
            </w:r>
          </w:p>
        </w:tc>
        <w:tc>
          <w:tcPr>
            <w:tcW w:w="344" w:type="dxa"/>
          </w:tcPr>
          <w:p>
            <w:pPr>
              <w:pStyle w:val="TableParagraph"/>
              <w:spacing w:before="3"/>
              <w:rPr>
                <w:b/>
                <w:sz w:val="23"/>
              </w:rPr>
            </w:pPr>
          </w:p>
          <w:p>
            <w:pPr>
              <w:pStyle w:val="TableParagraph"/>
              <w:ind w:left="4"/>
              <w:jc w:val="center"/>
              <w:rPr>
                <w:sz w:val="20"/>
              </w:rPr>
            </w:pPr>
            <w:r>
              <w:rPr>
                <w:w w:val="99"/>
                <w:sz w:val="20"/>
              </w:rPr>
              <w:t>0</w:t>
            </w:r>
          </w:p>
        </w:tc>
        <w:tc>
          <w:tcPr>
            <w:tcW w:w="344" w:type="dxa"/>
          </w:tcPr>
          <w:p>
            <w:pPr>
              <w:pStyle w:val="TableParagraph"/>
              <w:spacing w:before="3"/>
              <w:rPr>
                <w:b/>
                <w:sz w:val="23"/>
              </w:rPr>
            </w:pPr>
          </w:p>
          <w:p>
            <w:pPr>
              <w:pStyle w:val="TableParagraph"/>
              <w:ind w:left="2"/>
              <w:jc w:val="center"/>
              <w:rPr>
                <w:sz w:val="20"/>
              </w:rPr>
            </w:pPr>
            <w:r>
              <w:rPr>
                <w:w w:val="99"/>
                <w:sz w:val="20"/>
              </w:rPr>
              <w:t>0</w:t>
            </w:r>
          </w:p>
        </w:tc>
        <w:tc>
          <w:tcPr>
            <w:tcW w:w="620" w:type="dxa"/>
          </w:tcPr>
          <w:p>
            <w:pPr>
              <w:pStyle w:val="TableParagraph"/>
              <w:spacing w:before="3"/>
              <w:rPr>
                <w:b/>
                <w:sz w:val="23"/>
              </w:rPr>
            </w:pPr>
          </w:p>
          <w:p>
            <w:pPr>
              <w:pStyle w:val="TableParagraph"/>
              <w:ind w:left="87" w:right="93"/>
              <w:jc w:val="center"/>
              <w:rPr>
                <w:sz w:val="20"/>
              </w:rPr>
            </w:pPr>
            <w:r>
              <w:rPr>
                <w:sz w:val="20"/>
              </w:rPr>
              <w:t>R/W</w:t>
            </w:r>
          </w:p>
        </w:tc>
        <w:tc>
          <w:tcPr>
            <w:tcW w:w="8014" w:type="dxa"/>
          </w:tcPr>
          <w:p>
            <w:pPr>
              <w:pStyle w:val="TableParagraph"/>
              <w:spacing w:line="261" w:lineRule="auto" w:before="18"/>
              <w:ind w:left="104" w:right="4217"/>
              <w:rPr>
                <w:sz w:val="20"/>
              </w:rPr>
            </w:pPr>
            <w:r>
              <w:rPr>
                <w:sz w:val="20"/>
              </w:rPr>
              <w:t>Controls the speed of the PLL and MCK. 1 = 19.66 MHz (XTAL * 600)</w:t>
            </w:r>
          </w:p>
          <w:p>
            <w:pPr>
              <w:pStyle w:val="TableParagraph"/>
              <w:spacing w:line="209" w:lineRule="exact"/>
              <w:ind w:left="104"/>
              <w:rPr>
                <w:sz w:val="20"/>
              </w:rPr>
            </w:pPr>
            <w:r>
              <w:rPr>
                <w:sz w:val="20"/>
              </w:rPr>
              <w:t>0 = 6.29 MHz (XTAL * 192)</w:t>
            </w:r>
          </w:p>
        </w:tc>
      </w:tr>
      <w:tr>
        <w:trPr>
          <w:trHeight w:val="1422" w:hRule="atLeast"/>
        </w:trPr>
        <w:tc>
          <w:tcPr>
            <w:tcW w:w="2254" w:type="dxa"/>
          </w:tcPr>
          <w:p>
            <w:pPr>
              <w:pStyle w:val="TableParagraph"/>
              <w:rPr>
                <w:b/>
                <w:sz w:val="22"/>
              </w:rPr>
            </w:pPr>
          </w:p>
          <w:p>
            <w:pPr>
              <w:pStyle w:val="TableParagraph"/>
              <w:spacing w:before="4"/>
              <w:rPr>
                <w:b/>
                <w:sz w:val="29"/>
              </w:rPr>
            </w:pPr>
          </w:p>
          <w:p>
            <w:pPr>
              <w:pStyle w:val="TableParagraph"/>
              <w:ind w:left="107"/>
              <w:rPr>
                <w:rFonts w:ascii="Times New Roman"/>
                <w:i/>
                <w:sz w:val="20"/>
              </w:rPr>
            </w:pPr>
            <w:r>
              <w:rPr>
                <w:rFonts w:ascii="Times New Roman"/>
                <w:i/>
                <w:sz w:val="20"/>
              </w:rPr>
              <w:t>PLS_MAXWIDTH[7:0]</w:t>
            </w:r>
          </w:p>
        </w:tc>
        <w:tc>
          <w:tcPr>
            <w:tcW w:w="1124" w:type="dxa"/>
          </w:tcPr>
          <w:p>
            <w:pPr>
              <w:pStyle w:val="TableParagraph"/>
              <w:rPr>
                <w:b/>
                <w:sz w:val="22"/>
              </w:rPr>
            </w:pPr>
          </w:p>
          <w:p>
            <w:pPr>
              <w:pStyle w:val="TableParagraph"/>
              <w:spacing w:before="8"/>
              <w:rPr>
                <w:b/>
                <w:sz w:val="29"/>
              </w:rPr>
            </w:pPr>
          </w:p>
          <w:p>
            <w:pPr>
              <w:pStyle w:val="TableParagraph"/>
              <w:ind w:left="2"/>
              <w:jc w:val="center"/>
              <w:rPr>
                <w:sz w:val="20"/>
              </w:rPr>
            </w:pPr>
            <w:r>
              <w:rPr>
                <w:sz w:val="20"/>
              </w:rPr>
              <w:t>210A[7:0]</w:t>
            </w:r>
          </w:p>
        </w:tc>
        <w:tc>
          <w:tcPr>
            <w:tcW w:w="344" w:type="dxa"/>
          </w:tcPr>
          <w:p>
            <w:pPr>
              <w:pStyle w:val="TableParagraph"/>
              <w:rPr>
                <w:b/>
                <w:sz w:val="22"/>
              </w:rPr>
            </w:pPr>
          </w:p>
          <w:p>
            <w:pPr>
              <w:pStyle w:val="TableParagraph"/>
              <w:spacing w:before="8"/>
              <w:rPr>
                <w:b/>
                <w:sz w:val="29"/>
              </w:rPr>
            </w:pPr>
          </w:p>
          <w:p>
            <w:pPr>
              <w:pStyle w:val="TableParagraph"/>
              <w:ind w:left="3"/>
              <w:jc w:val="center"/>
              <w:rPr>
                <w:sz w:val="20"/>
              </w:rPr>
            </w:pPr>
            <w:r>
              <w:rPr>
                <w:sz w:val="20"/>
              </w:rPr>
              <w:t>FF</w:t>
            </w:r>
          </w:p>
        </w:tc>
        <w:tc>
          <w:tcPr>
            <w:tcW w:w="344" w:type="dxa"/>
          </w:tcPr>
          <w:p>
            <w:pPr>
              <w:pStyle w:val="TableParagraph"/>
              <w:rPr>
                <w:b/>
                <w:sz w:val="22"/>
              </w:rPr>
            </w:pPr>
          </w:p>
          <w:p>
            <w:pPr>
              <w:pStyle w:val="TableParagraph"/>
              <w:spacing w:before="8"/>
              <w:rPr>
                <w:b/>
                <w:sz w:val="29"/>
              </w:rPr>
            </w:pPr>
          </w:p>
          <w:p>
            <w:pPr>
              <w:pStyle w:val="TableParagraph"/>
              <w:ind w:left="1"/>
              <w:jc w:val="center"/>
              <w:rPr>
                <w:sz w:val="20"/>
              </w:rPr>
            </w:pPr>
            <w:r>
              <w:rPr>
                <w:sz w:val="20"/>
              </w:rPr>
              <w:t>FF</w:t>
            </w:r>
          </w:p>
        </w:tc>
        <w:tc>
          <w:tcPr>
            <w:tcW w:w="620" w:type="dxa"/>
          </w:tcPr>
          <w:p>
            <w:pPr>
              <w:pStyle w:val="TableParagraph"/>
              <w:rPr>
                <w:b/>
                <w:sz w:val="22"/>
              </w:rPr>
            </w:pPr>
          </w:p>
          <w:p>
            <w:pPr>
              <w:pStyle w:val="TableParagraph"/>
              <w:spacing w:before="8"/>
              <w:rPr>
                <w:b/>
                <w:sz w:val="29"/>
              </w:rPr>
            </w:pPr>
          </w:p>
          <w:p>
            <w:pPr>
              <w:pStyle w:val="TableParagraph"/>
              <w:ind w:left="87" w:right="93"/>
              <w:jc w:val="center"/>
              <w:rPr>
                <w:sz w:val="20"/>
              </w:rPr>
            </w:pPr>
            <w:r>
              <w:rPr>
                <w:sz w:val="20"/>
              </w:rPr>
              <w:t>R/W</w:t>
            </w:r>
          </w:p>
        </w:tc>
        <w:tc>
          <w:tcPr>
            <w:tcW w:w="8014" w:type="dxa"/>
          </w:tcPr>
          <w:p>
            <w:pPr>
              <w:pStyle w:val="TableParagraph"/>
              <w:spacing w:before="14"/>
              <w:ind w:left="104"/>
              <w:rPr>
                <w:sz w:val="20"/>
              </w:rPr>
            </w:pPr>
            <w:r>
              <w:rPr>
                <w:rFonts w:ascii="Times New Roman"/>
                <w:i/>
                <w:sz w:val="20"/>
              </w:rPr>
              <w:t>PLS_MAXWIDTH[7:0] </w:t>
            </w:r>
            <w:r>
              <w:rPr>
                <w:sz w:val="20"/>
              </w:rPr>
              <w:t>determines the maximum width of the pulse (low-going pulse if </w:t>
            </w:r>
            <w:r>
              <w:rPr>
                <w:rFonts w:ascii="Times New Roman"/>
                <w:i/>
                <w:sz w:val="20"/>
              </w:rPr>
              <w:t>PLS_INV</w:t>
            </w:r>
            <w:r>
              <w:rPr>
                <w:sz w:val="20"/>
              </w:rPr>
              <w:t>=0 or high-going pulse if </w:t>
            </w:r>
            <w:r>
              <w:rPr>
                <w:rFonts w:ascii="Times New Roman"/>
                <w:i/>
                <w:sz w:val="20"/>
              </w:rPr>
              <w:t>PLS_INV</w:t>
            </w:r>
            <w:r>
              <w:rPr>
                <w:sz w:val="20"/>
              </w:rPr>
              <w:t>=1). The maximum pulse width is (2*</w:t>
            </w:r>
            <w:r>
              <w:rPr>
                <w:rFonts w:ascii="Times New Roman"/>
                <w:i/>
                <w:sz w:val="20"/>
              </w:rPr>
              <w:t>PLS_MAXWIDTH[7:0] </w:t>
            </w:r>
            <w:r>
              <w:rPr>
                <w:sz w:val="20"/>
              </w:rPr>
              <w:t>+ 1)*T</w:t>
            </w:r>
            <w:r>
              <w:rPr>
                <w:sz w:val="20"/>
                <w:vertAlign w:val="subscript"/>
              </w:rPr>
              <w:t>I</w:t>
            </w:r>
            <w:r>
              <w:rPr>
                <w:sz w:val="20"/>
                <w:vertAlign w:val="baseline"/>
              </w:rPr>
              <w:t>. Where T</w:t>
            </w:r>
            <w:r>
              <w:rPr>
                <w:sz w:val="20"/>
                <w:vertAlign w:val="subscript"/>
              </w:rPr>
              <w:t>I</w:t>
            </w:r>
            <w:r>
              <w:rPr>
                <w:sz w:val="20"/>
                <w:vertAlign w:val="baseline"/>
              </w:rPr>
              <w:t> is </w:t>
            </w:r>
            <w:r>
              <w:rPr>
                <w:rFonts w:ascii="Times New Roman"/>
                <w:i/>
                <w:sz w:val="20"/>
                <w:vertAlign w:val="baseline"/>
              </w:rPr>
              <w:t>PLS_INTERVAL[7:0] </w:t>
            </w:r>
            <w:r>
              <w:rPr>
                <w:sz w:val="20"/>
                <w:vertAlign w:val="baseline"/>
              </w:rPr>
              <w:t>in units of CK_FIR</w:t>
            </w:r>
          </w:p>
          <w:p>
            <w:pPr>
              <w:pStyle w:val="TableParagraph"/>
              <w:spacing w:before="1"/>
              <w:ind w:left="104" w:right="385"/>
              <w:rPr>
                <w:sz w:val="20"/>
              </w:rPr>
            </w:pPr>
            <w:r>
              <w:rPr>
                <w:sz w:val="20"/>
              </w:rPr>
              <w:t>clock cycles. If </w:t>
            </w:r>
            <w:r>
              <w:rPr>
                <w:rFonts w:ascii="Times New Roman"/>
                <w:i/>
                <w:sz w:val="20"/>
              </w:rPr>
              <w:t>PLS_INTERVAL[7:0] </w:t>
            </w:r>
            <w:r>
              <w:rPr>
                <w:sz w:val="20"/>
              </w:rPr>
              <w:t>= 0 or </w:t>
            </w:r>
            <w:r>
              <w:rPr>
                <w:rFonts w:ascii="Times New Roman"/>
                <w:i/>
                <w:sz w:val="20"/>
              </w:rPr>
              <w:t>PLS_MAXWIDTH[7:0] </w:t>
            </w:r>
            <w:r>
              <w:rPr>
                <w:sz w:val="20"/>
              </w:rPr>
              <w:t>= 255, no pulse width checking is performed and the output pulses have 50% duty cycle. See </w:t>
            </w:r>
            <w:hyperlink w:history="true" w:anchor="_bookmark35">
              <w:r>
                <w:rPr>
                  <w:color w:val="0000FF"/>
                  <w:sz w:val="20"/>
                </w:rPr>
                <w:t>2.3.6.2</w:t>
              </w:r>
            </w:hyperlink>
            <w:r>
              <w:rPr>
                <w:color w:val="0000FF"/>
                <w:sz w:val="20"/>
              </w:rPr>
              <w:t> VPULSE and WPULSE</w:t>
            </w:r>
            <w:r>
              <w:rPr>
                <w:sz w:val="20"/>
              </w:rPr>
              <w:t>.</w:t>
            </w:r>
          </w:p>
        </w:tc>
      </w:tr>
      <w:tr>
        <w:trPr>
          <w:trHeight w:val="2989" w:hRule="atLeast"/>
        </w:trPr>
        <w:tc>
          <w:tcPr>
            <w:tcW w:w="2254"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31"/>
              </w:rPr>
            </w:pPr>
          </w:p>
          <w:p>
            <w:pPr>
              <w:pStyle w:val="TableParagraph"/>
              <w:ind w:left="107"/>
              <w:rPr>
                <w:rFonts w:ascii="Times New Roman"/>
                <w:i/>
                <w:sz w:val="20"/>
              </w:rPr>
            </w:pPr>
            <w:r>
              <w:rPr>
                <w:rFonts w:ascii="Times New Roman"/>
                <w:i/>
                <w:sz w:val="20"/>
              </w:rPr>
              <w:t>PLS_INTERVAL[7:0]</w:t>
            </w:r>
          </w:p>
        </w:tc>
        <w:tc>
          <w:tcPr>
            <w:tcW w:w="1124"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8"/>
              <w:rPr>
                <w:b/>
                <w:sz w:val="31"/>
              </w:rPr>
            </w:pPr>
          </w:p>
          <w:p>
            <w:pPr>
              <w:pStyle w:val="TableParagraph"/>
              <w:ind w:left="2"/>
              <w:jc w:val="center"/>
              <w:rPr>
                <w:sz w:val="20"/>
              </w:rPr>
            </w:pPr>
            <w:r>
              <w:rPr>
                <w:sz w:val="20"/>
              </w:rPr>
              <w:t>210B[7:0]</w:t>
            </w:r>
          </w:p>
        </w:tc>
        <w:tc>
          <w:tcPr>
            <w:tcW w:w="344"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8"/>
              <w:rPr>
                <w:b/>
                <w:sz w:val="31"/>
              </w:rPr>
            </w:pPr>
          </w:p>
          <w:p>
            <w:pPr>
              <w:pStyle w:val="TableParagraph"/>
              <w:ind w:left="4"/>
              <w:jc w:val="center"/>
              <w:rPr>
                <w:sz w:val="20"/>
              </w:rPr>
            </w:pPr>
            <w:r>
              <w:rPr>
                <w:w w:val="99"/>
                <w:sz w:val="20"/>
              </w:rPr>
              <w:t>0</w:t>
            </w:r>
          </w:p>
        </w:tc>
        <w:tc>
          <w:tcPr>
            <w:tcW w:w="344"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8"/>
              <w:rPr>
                <w:b/>
                <w:sz w:val="31"/>
              </w:rPr>
            </w:pPr>
          </w:p>
          <w:p>
            <w:pPr>
              <w:pStyle w:val="TableParagraph"/>
              <w:ind w:left="2"/>
              <w:jc w:val="center"/>
              <w:rPr>
                <w:sz w:val="20"/>
              </w:rPr>
            </w:pPr>
            <w:r>
              <w:rPr>
                <w:w w:val="99"/>
                <w:sz w:val="20"/>
              </w:rPr>
              <w:t>0</w:t>
            </w:r>
          </w:p>
        </w:tc>
        <w:tc>
          <w:tcPr>
            <w:tcW w:w="62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8"/>
              <w:rPr>
                <w:b/>
                <w:sz w:val="31"/>
              </w:rPr>
            </w:pPr>
          </w:p>
          <w:p>
            <w:pPr>
              <w:pStyle w:val="TableParagraph"/>
              <w:ind w:left="87" w:right="93"/>
              <w:jc w:val="center"/>
              <w:rPr>
                <w:sz w:val="20"/>
              </w:rPr>
            </w:pPr>
            <w:r>
              <w:rPr>
                <w:sz w:val="20"/>
              </w:rPr>
              <w:t>R/W</w:t>
            </w:r>
          </w:p>
        </w:tc>
        <w:tc>
          <w:tcPr>
            <w:tcW w:w="8014" w:type="dxa"/>
          </w:tcPr>
          <w:p>
            <w:pPr>
              <w:pStyle w:val="TableParagraph"/>
              <w:spacing w:before="16"/>
              <w:ind w:left="104"/>
              <w:rPr>
                <w:sz w:val="20"/>
              </w:rPr>
            </w:pPr>
            <w:r>
              <w:rPr>
                <w:rFonts w:ascii="Times New Roman"/>
                <w:i/>
                <w:sz w:val="20"/>
              </w:rPr>
              <w:t>PLS_INTERVAL[7:0] </w:t>
            </w:r>
            <w:r>
              <w:rPr>
                <w:sz w:val="20"/>
              </w:rPr>
              <w:t>determines the interval time between pulses. The time between output pulses is </w:t>
            </w:r>
            <w:r>
              <w:rPr>
                <w:rFonts w:ascii="Times New Roman"/>
                <w:i/>
                <w:spacing w:val="-3"/>
                <w:sz w:val="20"/>
              </w:rPr>
              <w:t>PLS_INTERVAL[7:0]</w:t>
            </w:r>
            <w:r>
              <w:rPr>
                <w:spacing w:val="-3"/>
                <w:sz w:val="20"/>
              </w:rPr>
              <w:t>*4 </w:t>
            </w:r>
            <w:r>
              <w:rPr>
                <w:sz w:val="20"/>
              </w:rPr>
              <w:t>in </w:t>
            </w:r>
            <w:r>
              <w:rPr>
                <w:spacing w:val="-3"/>
                <w:sz w:val="20"/>
              </w:rPr>
              <w:t>units of CK_FIR clock cycles. If </w:t>
            </w:r>
            <w:r>
              <w:rPr>
                <w:rFonts w:ascii="Times New Roman"/>
                <w:i/>
                <w:spacing w:val="-3"/>
                <w:sz w:val="20"/>
              </w:rPr>
              <w:t>PLS_INTERVAL[7:0]</w:t>
            </w:r>
            <w:r>
              <w:rPr>
                <w:rFonts w:ascii="Times New Roman"/>
                <w:i/>
                <w:spacing w:val="-6"/>
                <w:sz w:val="20"/>
              </w:rPr>
              <w:t> </w:t>
            </w:r>
            <w:r>
              <w:rPr>
                <w:sz w:val="20"/>
              </w:rPr>
              <w:t>=</w:t>
            </w:r>
            <w:r>
              <w:rPr>
                <w:spacing w:val="-12"/>
                <w:sz w:val="20"/>
              </w:rPr>
              <w:t> </w:t>
            </w:r>
            <w:r>
              <w:rPr>
                <w:sz w:val="20"/>
              </w:rPr>
              <w:t>0,</w:t>
            </w:r>
            <w:r>
              <w:rPr>
                <w:spacing w:val="-11"/>
                <w:sz w:val="20"/>
              </w:rPr>
              <w:t> </w:t>
            </w:r>
            <w:r>
              <w:rPr>
                <w:sz w:val="20"/>
              </w:rPr>
              <w:t>the</w:t>
            </w:r>
            <w:r>
              <w:rPr>
                <w:spacing w:val="-13"/>
                <w:sz w:val="20"/>
              </w:rPr>
              <w:t> </w:t>
            </w:r>
            <w:r>
              <w:rPr>
                <w:sz w:val="20"/>
              </w:rPr>
              <w:t>FIFO</w:t>
            </w:r>
            <w:r>
              <w:rPr>
                <w:spacing w:val="-10"/>
                <w:sz w:val="20"/>
              </w:rPr>
              <w:t> </w:t>
            </w:r>
            <w:r>
              <w:rPr>
                <w:spacing w:val="-3"/>
                <w:sz w:val="20"/>
              </w:rPr>
              <w:t>is</w:t>
            </w:r>
            <w:r>
              <w:rPr>
                <w:spacing w:val="-9"/>
                <w:sz w:val="20"/>
              </w:rPr>
              <w:t> </w:t>
            </w:r>
            <w:r>
              <w:rPr>
                <w:sz w:val="20"/>
              </w:rPr>
              <w:t>not</w:t>
            </w:r>
            <w:r>
              <w:rPr>
                <w:spacing w:val="-11"/>
                <w:sz w:val="20"/>
              </w:rPr>
              <w:t> </w:t>
            </w:r>
            <w:r>
              <w:rPr>
                <w:sz w:val="20"/>
              </w:rPr>
              <w:t>used</w:t>
            </w:r>
            <w:r>
              <w:rPr>
                <w:spacing w:val="-12"/>
                <w:sz w:val="20"/>
              </w:rPr>
              <w:t> </w:t>
            </w:r>
            <w:r>
              <w:rPr>
                <w:sz w:val="20"/>
              </w:rPr>
              <w:t>and</w:t>
            </w:r>
            <w:r>
              <w:rPr>
                <w:spacing w:val="-11"/>
                <w:sz w:val="20"/>
              </w:rPr>
              <w:t> </w:t>
            </w:r>
            <w:r>
              <w:rPr>
                <w:spacing w:val="-3"/>
                <w:sz w:val="20"/>
              </w:rPr>
              <w:t>pulses</w:t>
            </w:r>
            <w:r>
              <w:rPr>
                <w:spacing w:val="-9"/>
                <w:sz w:val="20"/>
              </w:rPr>
              <w:t> </w:t>
            </w:r>
            <w:r>
              <w:rPr>
                <w:sz w:val="20"/>
              </w:rPr>
              <w:t>are</w:t>
            </w:r>
            <w:r>
              <w:rPr>
                <w:spacing w:val="-11"/>
                <w:sz w:val="20"/>
              </w:rPr>
              <w:t> </w:t>
            </w:r>
            <w:r>
              <w:rPr>
                <w:spacing w:val="-3"/>
                <w:sz w:val="20"/>
              </w:rPr>
              <w:t>output</w:t>
            </w:r>
            <w:r>
              <w:rPr>
                <w:spacing w:val="-11"/>
                <w:sz w:val="20"/>
              </w:rPr>
              <w:t> </w:t>
            </w:r>
            <w:r>
              <w:rPr>
                <w:sz w:val="20"/>
              </w:rPr>
              <w:t>as</w:t>
            </w:r>
            <w:r>
              <w:rPr>
                <w:spacing w:val="-12"/>
                <w:sz w:val="20"/>
              </w:rPr>
              <w:t> </w:t>
            </w:r>
            <w:r>
              <w:rPr>
                <w:sz w:val="20"/>
              </w:rPr>
              <w:t>soon</w:t>
            </w:r>
            <w:r>
              <w:rPr>
                <w:spacing w:val="-11"/>
                <w:sz w:val="20"/>
              </w:rPr>
              <w:t> </w:t>
            </w:r>
            <w:r>
              <w:rPr>
                <w:sz w:val="20"/>
              </w:rPr>
              <w:t>as</w:t>
            </w:r>
            <w:r>
              <w:rPr>
                <w:spacing w:val="-12"/>
                <w:sz w:val="20"/>
              </w:rPr>
              <w:t> </w:t>
            </w:r>
            <w:r>
              <w:rPr>
                <w:sz w:val="20"/>
              </w:rPr>
              <w:t>the</w:t>
            </w:r>
            <w:r>
              <w:rPr>
                <w:spacing w:val="-11"/>
                <w:sz w:val="20"/>
              </w:rPr>
              <w:t> </w:t>
            </w:r>
            <w:r>
              <w:rPr>
                <w:sz w:val="20"/>
              </w:rPr>
              <w:t>CE </w:t>
            </w:r>
            <w:r>
              <w:rPr>
                <w:spacing w:val="-3"/>
                <w:sz w:val="20"/>
              </w:rPr>
              <w:t>issues them. </w:t>
            </w:r>
            <w:r>
              <w:rPr>
                <w:rFonts w:ascii="Times New Roman"/>
                <w:i/>
                <w:sz w:val="20"/>
              </w:rPr>
              <w:t>PLS_INTERVAL[7:0] </w:t>
            </w:r>
            <w:r>
              <w:rPr>
                <w:sz w:val="20"/>
              </w:rPr>
              <w:t>is </w:t>
            </w:r>
            <w:r>
              <w:rPr>
                <w:spacing w:val="-3"/>
                <w:sz w:val="20"/>
              </w:rPr>
              <w:t>calculated </w:t>
            </w:r>
            <w:r>
              <w:rPr>
                <w:sz w:val="20"/>
              </w:rPr>
              <w:t>as</w:t>
            </w:r>
            <w:r>
              <w:rPr>
                <w:spacing w:val="-20"/>
                <w:sz w:val="20"/>
              </w:rPr>
              <w:t> </w:t>
            </w:r>
            <w:r>
              <w:rPr>
                <w:spacing w:val="-3"/>
                <w:sz w:val="20"/>
              </w:rPr>
              <w:t>follows:</w:t>
            </w:r>
          </w:p>
          <w:p>
            <w:pPr>
              <w:pStyle w:val="TableParagraph"/>
              <w:spacing w:line="247" w:lineRule="auto"/>
              <w:ind w:left="104" w:right="86" w:hanging="1"/>
              <w:rPr>
                <w:sz w:val="18"/>
              </w:rPr>
            </w:pPr>
            <w:r>
              <w:rPr>
                <w:rFonts w:ascii="Times New Roman"/>
                <w:i/>
                <w:sz w:val="20"/>
              </w:rPr>
              <w:t>PLS_INTERVAL[7:0] </w:t>
            </w:r>
            <w:r>
              <w:rPr>
                <w:sz w:val="18"/>
              </w:rPr>
              <w:t>= Floor ( Mux frame duration in CK_FIR cycles / CE pulse updates per Mux frame / 4 )</w:t>
            </w:r>
          </w:p>
          <w:p>
            <w:pPr>
              <w:pStyle w:val="TableParagraph"/>
              <w:rPr>
                <w:b/>
                <w:sz w:val="17"/>
              </w:rPr>
            </w:pPr>
          </w:p>
          <w:p>
            <w:pPr>
              <w:pStyle w:val="TableParagraph"/>
              <w:spacing w:before="1"/>
              <w:ind w:left="104"/>
              <w:rPr>
                <w:sz w:val="20"/>
              </w:rPr>
            </w:pPr>
            <w:r>
              <w:rPr>
                <w:sz w:val="20"/>
              </w:rPr>
              <w:t>For</w:t>
            </w:r>
            <w:r>
              <w:rPr>
                <w:spacing w:val="-8"/>
                <w:sz w:val="20"/>
              </w:rPr>
              <w:t> </w:t>
            </w:r>
            <w:r>
              <w:rPr>
                <w:spacing w:val="-3"/>
                <w:sz w:val="20"/>
              </w:rPr>
              <w:t>example,</w:t>
            </w:r>
            <w:r>
              <w:rPr>
                <w:spacing w:val="-9"/>
                <w:sz w:val="20"/>
              </w:rPr>
              <w:t> </w:t>
            </w:r>
            <w:r>
              <w:rPr>
                <w:spacing w:val="-3"/>
                <w:sz w:val="20"/>
              </w:rPr>
              <w:t>since</w:t>
            </w:r>
            <w:r>
              <w:rPr>
                <w:spacing w:val="-9"/>
                <w:sz w:val="20"/>
              </w:rPr>
              <w:t> </w:t>
            </w:r>
            <w:r>
              <w:rPr>
                <w:sz w:val="20"/>
              </w:rPr>
              <w:t>the</w:t>
            </w:r>
            <w:r>
              <w:rPr>
                <w:spacing w:val="-9"/>
                <w:sz w:val="20"/>
              </w:rPr>
              <w:t> </w:t>
            </w:r>
            <w:r>
              <w:rPr>
                <w:spacing w:val="-3"/>
                <w:sz w:val="20"/>
              </w:rPr>
              <w:t>71M6543</w:t>
            </w:r>
            <w:r>
              <w:rPr>
                <w:spacing w:val="-9"/>
                <w:sz w:val="20"/>
              </w:rPr>
              <w:t> </w:t>
            </w:r>
            <w:r>
              <w:rPr>
                <w:sz w:val="20"/>
              </w:rPr>
              <w:t>CE</w:t>
            </w:r>
            <w:r>
              <w:rPr>
                <w:spacing w:val="-8"/>
                <w:sz w:val="20"/>
              </w:rPr>
              <w:t> </w:t>
            </w:r>
            <w:r>
              <w:rPr>
                <w:sz w:val="20"/>
              </w:rPr>
              <w:t>code</w:t>
            </w:r>
            <w:r>
              <w:rPr>
                <w:spacing w:val="-9"/>
                <w:sz w:val="20"/>
              </w:rPr>
              <w:t> </w:t>
            </w:r>
            <w:r>
              <w:rPr>
                <w:sz w:val="20"/>
              </w:rPr>
              <w:t>is</w:t>
            </w:r>
            <w:r>
              <w:rPr>
                <w:spacing w:val="-7"/>
                <w:sz w:val="20"/>
              </w:rPr>
              <w:t> </w:t>
            </w:r>
            <w:r>
              <w:rPr>
                <w:spacing w:val="-3"/>
                <w:sz w:val="20"/>
              </w:rPr>
              <w:t>written</w:t>
            </w:r>
            <w:r>
              <w:rPr>
                <w:spacing w:val="-9"/>
                <w:sz w:val="20"/>
              </w:rPr>
              <w:t> </w:t>
            </w:r>
            <w:r>
              <w:rPr>
                <w:sz w:val="20"/>
              </w:rPr>
              <w:t>to</w:t>
            </w:r>
            <w:r>
              <w:rPr>
                <w:spacing w:val="-9"/>
                <w:sz w:val="20"/>
              </w:rPr>
              <w:t> </w:t>
            </w:r>
            <w:r>
              <w:rPr>
                <w:spacing w:val="-3"/>
                <w:sz w:val="20"/>
              </w:rPr>
              <w:t>generate</w:t>
            </w:r>
            <w:r>
              <w:rPr>
                <w:spacing w:val="-8"/>
                <w:sz w:val="20"/>
              </w:rPr>
              <w:t> </w:t>
            </w:r>
            <w:r>
              <w:rPr>
                <w:sz w:val="20"/>
              </w:rPr>
              <w:t>6</w:t>
            </w:r>
            <w:r>
              <w:rPr>
                <w:spacing w:val="-9"/>
                <w:sz w:val="20"/>
              </w:rPr>
              <w:t> </w:t>
            </w:r>
            <w:r>
              <w:rPr>
                <w:spacing w:val="-3"/>
                <w:sz w:val="20"/>
              </w:rPr>
              <w:t>pulses</w:t>
            </w:r>
            <w:r>
              <w:rPr>
                <w:spacing w:val="-7"/>
                <w:sz w:val="20"/>
              </w:rPr>
              <w:t> </w:t>
            </w:r>
            <w:r>
              <w:rPr>
                <w:sz w:val="20"/>
              </w:rPr>
              <w:t>in</w:t>
            </w:r>
            <w:r>
              <w:rPr>
                <w:spacing w:val="-9"/>
                <w:sz w:val="20"/>
              </w:rPr>
              <w:t> </w:t>
            </w:r>
            <w:r>
              <w:rPr>
                <w:sz w:val="20"/>
              </w:rPr>
              <w:t>one</w:t>
            </w:r>
            <w:r>
              <w:rPr>
                <w:spacing w:val="-9"/>
                <w:sz w:val="20"/>
              </w:rPr>
              <w:t> </w:t>
            </w:r>
            <w:r>
              <w:rPr>
                <w:spacing w:val="-4"/>
                <w:sz w:val="20"/>
              </w:rPr>
              <w:t>integration </w:t>
            </w:r>
            <w:r>
              <w:rPr>
                <w:spacing w:val="-3"/>
                <w:sz w:val="20"/>
              </w:rPr>
              <w:t>interval, when </w:t>
            </w:r>
            <w:r>
              <w:rPr>
                <w:sz w:val="20"/>
              </w:rPr>
              <w:t>the FIFO is </w:t>
            </w:r>
            <w:r>
              <w:rPr>
                <w:spacing w:val="-4"/>
                <w:sz w:val="20"/>
              </w:rPr>
              <w:t>enabled </w:t>
            </w:r>
            <w:r>
              <w:rPr>
                <w:spacing w:val="-3"/>
                <w:sz w:val="20"/>
              </w:rPr>
              <w:t>(i.e., </w:t>
            </w:r>
            <w:r>
              <w:rPr>
                <w:rFonts w:ascii="Times New Roman" w:hAnsi="Times New Roman"/>
                <w:i/>
                <w:sz w:val="20"/>
              </w:rPr>
              <w:t>PLS_INTERVAL[7:0] </w:t>
            </w:r>
            <w:r>
              <w:rPr>
                <w:sz w:val="20"/>
              </w:rPr>
              <w:t>≠ 0) and </w:t>
            </w:r>
            <w:r>
              <w:rPr>
                <w:spacing w:val="-3"/>
                <w:sz w:val="20"/>
              </w:rPr>
              <w:t>that </w:t>
            </w:r>
            <w:r>
              <w:rPr>
                <w:sz w:val="20"/>
              </w:rPr>
              <w:t>the frame </w:t>
            </w:r>
            <w:r>
              <w:rPr>
                <w:spacing w:val="-3"/>
                <w:sz w:val="20"/>
              </w:rPr>
              <w:t>duration </w:t>
            </w:r>
            <w:r>
              <w:rPr>
                <w:sz w:val="20"/>
              </w:rPr>
              <w:t>is </w:t>
            </w:r>
            <w:r>
              <w:rPr>
                <w:spacing w:val="-3"/>
                <w:sz w:val="20"/>
              </w:rPr>
              <w:t>1950 CK_FIR clock cycles, </w:t>
            </w:r>
            <w:r>
              <w:rPr>
                <w:rFonts w:ascii="Times New Roman" w:hAnsi="Times New Roman"/>
                <w:i/>
                <w:sz w:val="20"/>
              </w:rPr>
              <w:t>PLS_INTERVAL[7:0] </w:t>
            </w:r>
            <w:r>
              <w:rPr>
                <w:sz w:val="20"/>
              </w:rPr>
              <w:t>should be written with Floor(1950 / 6 / 4) = 81 so that the five pulses are evenly spaced in time over the integration interval and the last pulse is issued just prior to the end</w:t>
            </w:r>
            <w:r>
              <w:rPr>
                <w:spacing w:val="-40"/>
                <w:sz w:val="20"/>
              </w:rPr>
              <w:t> </w:t>
            </w:r>
            <w:r>
              <w:rPr>
                <w:sz w:val="20"/>
              </w:rPr>
              <w:t>of the interval. See</w:t>
            </w:r>
          </w:p>
          <w:p>
            <w:pPr>
              <w:pStyle w:val="TableParagraph"/>
              <w:ind w:left="104"/>
              <w:rPr>
                <w:sz w:val="20"/>
              </w:rPr>
            </w:pPr>
            <w:hyperlink w:history="true" w:anchor="_bookmark35">
              <w:r>
                <w:rPr>
                  <w:color w:val="0000FF"/>
                  <w:sz w:val="20"/>
                </w:rPr>
                <w:t>2.3.6.2 </w:t>
              </w:r>
            </w:hyperlink>
            <w:r>
              <w:rPr>
                <w:color w:val="0000FF"/>
                <w:sz w:val="20"/>
              </w:rPr>
              <w:t>VPULSE and WPULSE</w:t>
            </w:r>
            <w:r>
              <w:rPr>
                <w:sz w:val="20"/>
              </w:rPr>
              <w:t>.</w:t>
            </w:r>
          </w:p>
        </w:tc>
      </w:tr>
      <w:tr>
        <w:trPr>
          <w:trHeight w:val="498" w:hRule="atLeast"/>
        </w:trPr>
        <w:tc>
          <w:tcPr>
            <w:tcW w:w="2254" w:type="dxa"/>
          </w:tcPr>
          <w:p>
            <w:pPr>
              <w:pStyle w:val="TableParagraph"/>
              <w:spacing w:before="127"/>
              <w:ind w:left="107"/>
              <w:rPr>
                <w:rFonts w:ascii="Times New Roman"/>
                <w:i/>
                <w:sz w:val="20"/>
              </w:rPr>
            </w:pPr>
            <w:r>
              <w:rPr>
                <w:rFonts w:ascii="Times New Roman"/>
                <w:i/>
                <w:sz w:val="20"/>
              </w:rPr>
              <w:t>PLS_INV</w:t>
            </w:r>
          </w:p>
        </w:tc>
        <w:tc>
          <w:tcPr>
            <w:tcW w:w="1124" w:type="dxa"/>
          </w:tcPr>
          <w:p>
            <w:pPr>
              <w:pStyle w:val="TableParagraph"/>
              <w:spacing w:before="131"/>
              <w:ind w:left="5"/>
              <w:jc w:val="center"/>
              <w:rPr>
                <w:sz w:val="20"/>
              </w:rPr>
            </w:pPr>
            <w:r>
              <w:rPr>
                <w:sz w:val="20"/>
              </w:rPr>
              <w:t>210C[0]</w:t>
            </w:r>
          </w:p>
        </w:tc>
        <w:tc>
          <w:tcPr>
            <w:tcW w:w="344" w:type="dxa"/>
          </w:tcPr>
          <w:p>
            <w:pPr>
              <w:pStyle w:val="TableParagraph"/>
              <w:spacing w:before="131"/>
              <w:ind w:left="4"/>
              <w:jc w:val="center"/>
              <w:rPr>
                <w:sz w:val="20"/>
              </w:rPr>
            </w:pPr>
            <w:r>
              <w:rPr>
                <w:w w:val="99"/>
                <w:sz w:val="20"/>
              </w:rPr>
              <w:t>0</w:t>
            </w:r>
          </w:p>
        </w:tc>
        <w:tc>
          <w:tcPr>
            <w:tcW w:w="344" w:type="dxa"/>
          </w:tcPr>
          <w:p>
            <w:pPr>
              <w:pStyle w:val="TableParagraph"/>
              <w:spacing w:before="131"/>
              <w:ind w:left="2"/>
              <w:jc w:val="center"/>
              <w:rPr>
                <w:sz w:val="20"/>
              </w:rPr>
            </w:pPr>
            <w:r>
              <w:rPr>
                <w:w w:val="99"/>
                <w:sz w:val="20"/>
              </w:rPr>
              <w:t>0</w:t>
            </w:r>
          </w:p>
        </w:tc>
        <w:tc>
          <w:tcPr>
            <w:tcW w:w="620" w:type="dxa"/>
          </w:tcPr>
          <w:p>
            <w:pPr>
              <w:pStyle w:val="TableParagraph"/>
              <w:spacing w:before="131"/>
              <w:ind w:left="87" w:right="93"/>
              <w:jc w:val="center"/>
              <w:rPr>
                <w:sz w:val="20"/>
              </w:rPr>
            </w:pPr>
            <w:r>
              <w:rPr>
                <w:sz w:val="20"/>
              </w:rPr>
              <w:t>R/W</w:t>
            </w:r>
          </w:p>
        </w:tc>
        <w:tc>
          <w:tcPr>
            <w:tcW w:w="8014" w:type="dxa"/>
          </w:tcPr>
          <w:p>
            <w:pPr>
              <w:pStyle w:val="TableParagraph"/>
              <w:spacing w:before="16"/>
              <w:ind w:left="104"/>
              <w:rPr>
                <w:sz w:val="20"/>
              </w:rPr>
            </w:pPr>
            <w:r>
              <w:rPr>
                <w:sz w:val="20"/>
              </w:rPr>
              <w:t>Inverts the polarity of WPULSE, VARPULSE, XPULSE, and YPULSE. Normally, these pulses are active low. When inverted, they become active high.</w:t>
            </w:r>
          </w:p>
        </w:tc>
      </w:tr>
      <w:tr>
        <w:trPr>
          <w:trHeight w:val="501" w:hRule="atLeast"/>
        </w:trPr>
        <w:tc>
          <w:tcPr>
            <w:tcW w:w="2254" w:type="dxa"/>
          </w:tcPr>
          <w:p>
            <w:pPr>
              <w:pStyle w:val="TableParagraph"/>
              <w:spacing w:before="130"/>
              <w:ind w:left="107"/>
              <w:rPr>
                <w:rFonts w:ascii="Times New Roman"/>
                <w:i/>
                <w:sz w:val="20"/>
              </w:rPr>
            </w:pPr>
            <w:r>
              <w:rPr>
                <w:rFonts w:ascii="Times New Roman"/>
                <w:i/>
                <w:sz w:val="20"/>
              </w:rPr>
              <w:t>PORT_E</w:t>
            </w:r>
          </w:p>
        </w:tc>
        <w:tc>
          <w:tcPr>
            <w:tcW w:w="1124" w:type="dxa"/>
          </w:tcPr>
          <w:p>
            <w:pPr>
              <w:pStyle w:val="TableParagraph"/>
              <w:spacing w:before="133"/>
              <w:ind w:left="5"/>
              <w:jc w:val="center"/>
              <w:rPr>
                <w:sz w:val="20"/>
              </w:rPr>
            </w:pPr>
            <w:r>
              <w:rPr>
                <w:sz w:val="20"/>
              </w:rPr>
              <w:t>270C[5]</w:t>
            </w:r>
          </w:p>
        </w:tc>
        <w:tc>
          <w:tcPr>
            <w:tcW w:w="344" w:type="dxa"/>
          </w:tcPr>
          <w:p>
            <w:pPr>
              <w:pStyle w:val="TableParagraph"/>
              <w:spacing w:before="133"/>
              <w:ind w:left="4"/>
              <w:jc w:val="center"/>
              <w:rPr>
                <w:sz w:val="20"/>
              </w:rPr>
            </w:pPr>
            <w:r>
              <w:rPr>
                <w:w w:val="99"/>
                <w:sz w:val="20"/>
              </w:rPr>
              <w:t>0</w:t>
            </w:r>
          </w:p>
        </w:tc>
        <w:tc>
          <w:tcPr>
            <w:tcW w:w="344" w:type="dxa"/>
          </w:tcPr>
          <w:p>
            <w:pPr>
              <w:pStyle w:val="TableParagraph"/>
              <w:spacing w:before="133"/>
              <w:ind w:left="3"/>
              <w:jc w:val="center"/>
              <w:rPr>
                <w:sz w:val="20"/>
              </w:rPr>
            </w:pPr>
            <w:r>
              <w:rPr>
                <w:w w:val="99"/>
                <w:sz w:val="20"/>
              </w:rPr>
              <w:t>0</w:t>
            </w:r>
          </w:p>
        </w:tc>
        <w:tc>
          <w:tcPr>
            <w:tcW w:w="620" w:type="dxa"/>
          </w:tcPr>
          <w:p>
            <w:pPr>
              <w:pStyle w:val="TableParagraph"/>
              <w:spacing w:before="133"/>
              <w:ind w:left="87" w:right="92"/>
              <w:jc w:val="center"/>
              <w:rPr>
                <w:sz w:val="20"/>
              </w:rPr>
            </w:pPr>
            <w:r>
              <w:rPr>
                <w:sz w:val="20"/>
              </w:rPr>
              <w:t>R/W</w:t>
            </w:r>
          </w:p>
        </w:tc>
        <w:tc>
          <w:tcPr>
            <w:tcW w:w="8014" w:type="dxa"/>
          </w:tcPr>
          <w:p>
            <w:pPr>
              <w:pStyle w:val="TableParagraph"/>
              <w:spacing w:before="16"/>
              <w:ind w:left="104" w:right="67"/>
              <w:rPr>
                <w:sz w:val="20"/>
              </w:rPr>
            </w:pPr>
            <w:r>
              <w:rPr>
                <w:spacing w:val="-3"/>
                <w:sz w:val="20"/>
              </w:rPr>
              <w:t>Enables </w:t>
            </w:r>
            <w:r>
              <w:rPr>
                <w:sz w:val="20"/>
              </w:rPr>
              <w:t>outputs from the SEGDIO0-SEGDIO15 pins. </w:t>
            </w:r>
            <w:r>
              <w:rPr>
                <w:rFonts w:ascii="Times New Roman"/>
                <w:i/>
                <w:sz w:val="20"/>
              </w:rPr>
              <w:t>PORT_E </w:t>
            </w:r>
            <w:r>
              <w:rPr>
                <w:sz w:val="20"/>
              </w:rPr>
              <w:t>= 0 blocks the momentary output pulse that occurs when SEGDIO0-SEGDIO15 are reset on power-up.</w:t>
            </w:r>
          </w:p>
        </w:tc>
      </w:tr>
      <w:tr>
        <w:trPr>
          <w:trHeight w:val="270" w:hRule="atLeast"/>
        </w:trPr>
        <w:tc>
          <w:tcPr>
            <w:tcW w:w="2254" w:type="dxa"/>
          </w:tcPr>
          <w:p>
            <w:pPr>
              <w:pStyle w:val="TableParagraph"/>
              <w:spacing w:before="14"/>
              <w:ind w:left="107"/>
              <w:rPr>
                <w:rFonts w:ascii="Times New Roman"/>
                <w:i/>
                <w:sz w:val="20"/>
              </w:rPr>
            </w:pPr>
            <w:r>
              <w:rPr>
                <w:rFonts w:ascii="Times New Roman"/>
                <w:i/>
                <w:sz w:val="20"/>
              </w:rPr>
              <w:t>PRE_E</w:t>
            </w:r>
          </w:p>
        </w:tc>
        <w:tc>
          <w:tcPr>
            <w:tcW w:w="1124" w:type="dxa"/>
          </w:tcPr>
          <w:p>
            <w:pPr>
              <w:pStyle w:val="TableParagraph"/>
              <w:spacing w:before="18"/>
              <w:ind w:left="5"/>
              <w:jc w:val="center"/>
              <w:rPr>
                <w:sz w:val="20"/>
              </w:rPr>
            </w:pPr>
            <w:r>
              <w:rPr>
                <w:sz w:val="20"/>
              </w:rPr>
              <w:t>2704[5]</w:t>
            </w:r>
          </w:p>
        </w:tc>
        <w:tc>
          <w:tcPr>
            <w:tcW w:w="344" w:type="dxa"/>
          </w:tcPr>
          <w:p>
            <w:pPr>
              <w:pStyle w:val="TableParagraph"/>
              <w:spacing w:before="18"/>
              <w:ind w:left="4"/>
              <w:jc w:val="center"/>
              <w:rPr>
                <w:sz w:val="20"/>
              </w:rPr>
            </w:pPr>
            <w:r>
              <w:rPr>
                <w:w w:val="99"/>
                <w:sz w:val="20"/>
              </w:rPr>
              <w:t>0</w:t>
            </w:r>
          </w:p>
        </w:tc>
        <w:tc>
          <w:tcPr>
            <w:tcW w:w="344" w:type="dxa"/>
          </w:tcPr>
          <w:p>
            <w:pPr>
              <w:pStyle w:val="TableParagraph"/>
              <w:spacing w:before="18"/>
              <w:ind w:left="2"/>
              <w:jc w:val="center"/>
              <w:rPr>
                <w:sz w:val="20"/>
              </w:rPr>
            </w:pPr>
            <w:r>
              <w:rPr>
                <w:w w:val="99"/>
                <w:sz w:val="20"/>
              </w:rPr>
              <w:t>0</w:t>
            </w:r>
          </w:p>
        </w:tc>
        <w:tc>
          <w:tcPr>
            <w:tcW w:w="620" w:type="dxa"/>
          </w:tcPr>
          <w:p>
            <w:pPr>
              <w:pStyle w:val="TableParagraph"/>
              <w:spacing w:before="18"/>
              <w:ind w:left="87" w:right="93"/>
              <w:jc w:val="center"/>
              <w:rPr>
                <w:sz w:val="20"/>
              </w:rPr>
            </w:pPr>
            <w:r>
              <w:rPr>
                <w:sz w:val="20"/>
              </w:rPr>
              <w:t>R/W</w:t>
            </w:r>
          </w:p>
        </w:tc>
        <w:tc>
          <w:tcPr>
            <w:tcW w:w="8014" w:type="dxa"/>
          </w:tcPr>
          <w:p>
            <w:pPr>
              <w:pStyle w:val="TableParagraph"/>
              <w:spacing w:before="18"/>
              <w:ind w:left="104"/>
              <w:rPr>
                <w:sz w:val="20"/>
              </w:rPr>
            </w:pPr>
            <w:r>
              <w:rPr>
                <w:sz w:val="20"/>
              </w:rPr>
              <w:t>Enables the 8x pre-amplifier.</w:t>
            </w:r>
          </w:p>
        </w:tc>
      </w:tr>
      <w:tr>
        <w:trPr>
          <w:trHeight w:val="268" w:hRule="atLeast"/>
        </w:trPr>
        <w:tc>
          <w:tcPr>
            <w:tcW w:w="2254" w:type="dxa"/>
          </w:tcPr>
          <w:p>
            <w:pPr>
              <w:pStyle w:val="TableParagraph"/>
              <w:spacing w:before="12"/>
              <w:ind w:left="107"/>
              <w:rPr>
                <w:rFonts w:ascii="Times New Roman"/>
                <w:i/>
                <w:sz w:val="20"/>
              </w:rPr>
            </w:pPr>
            <w:r>
              <w:rPr>
                <w:rFonts w:ascii="Times New Roman"/>
                <w:i/>
                <w:sz w:val="20"/>
              </w:rPr>
              <w:t>PREBOOT</w:t>
            </w:r>
          </w:p>
        </w:tc>
        <w:tc>
          <w:tcPr>
            <w:tcW w:w="1124" w:type="dxa"/>
          </w:tcPr>
          <w:p>
            <w:pPr>
              <w:pStyle w:val="TableParagraph"/>
              <w:spacing w:before="16"/>
              <w:ind w:left="2"/>
              <w:jc w:val="center"/>
              <w:rPr>
                <w:sz w:val="20"/>
              </w:rPr>
            </w:pPr>
            <w:r>
              <w:rPr>
                <w:sz w:val="20"/>
              </w:rPr>
              <w:t>SFRB2[7]</w:t>
            </w:r>
          </w:p>
        </w:tc>
        <w:tc>
          <w:tcPr>
            <w:tcW w:w="344" w:type="dxa"/>
          </w:tcPr>
          <w:p>
            <w:pPr>
              <w:pStyle w:val="TableParagraph"/>
              <w:spacing w:before="16"/>
              <w:ind w:left="4"/>
              <w:jc w:val="center"/>
              <w:rPr>
                <w:sz w:val="20"/>
              </w:rPr>
            </w:pPr>
            <w:r>
              <w:rPr>
                <w:w w:val="99"/>
                <w:sz w:val="20"/>
              </w:rPr>
              <w:t>–</w:t>
            </w:r>
          </w:p>
        </w:tc>
        <w:tc>
          <w:tcPr>
            <w:tcW w:w="344" w:type="dxa"/>
          </w:tcPr>
          <w:p>
            <w:pPr>
              <w:pStyle w:val="TableParagraph"/>
              <w:spacing w:before="16"/>
              <w:ind w:left="2"/>
              <w:jc w:val="center"/>
              <w:rPr>
                <w:sz w:val="20"/>
              </w:rPr>
            </w:pPr>
            <w:r>
              <w:rPr>
                <w:w w:val="99"/>
                <w:sz w:val="20"/>
              </w:rPr>
              <w:t>–</w:t>
            </w:r>
          </w:p>
        </w:tc>
        <w:tc>
          <w:tcPr>
            <w:tcW w:w="620" w:type="dxa"/>
          </w:tcPr>
          <w:p>
            <w:pPr>
              <w:pStyle w:val="TableParagraph"/>
              <w:spacing w:before="16"/>
              <w:ind w:left="3"/>
              <w:jc w:val="center"/>
              <w:rPr>
                <w:sz w:val="20"/>
              </w:rPr>
            </w:pPr>
            <w:r>
              <w:rPr>
                <w:w w:val="99"/>
                <w:sz w:val="20"/>
              </w:rPr>
              <w:t>R</w:t>
            </w:r>
          </w:p>
        </w:tc>
        <w:tc>
          <w:tcPr>
            <w:tcW w:w="8014" w:type="dxa"/>
          </w:tcPr>
          <w:p>
            <w:pPr>
              <w:pStyle w:val="TableParagraph"/>
              <w:spacing w:before="16"/>
              <w:ind w:left="104"/>
              <w:rPr>
                <w:sz w:val="20"/>
              </w:rPr>
            </w:pPr>
            <w:r>
              <w:rPr>
                <w:sz w:val="20"/>
              </w:rPr>
              <w:t>Indicates that pre-boot sequence is active.</w:t>
            </w:r>
          </w:p>
        </w:tc>
      </w:tr>
      <w:tr>
        <w:trPr>
          <w:trHeight w:val="731" w:hRule="atLeast"/>
        </w:trPr>
        <w:tc>
          <w:tcPr>
            <w:tcW w:w="2254" w:type="dxa"/>
          </w:tcPr>
          <w:p>
            <w:pPr>
              <w:pStyle w:val="TableParagraph"/>
              <w:spacing w:before="3"/>
              <w:rPr>
                <w:b/>
                <w:sz w:val="21"/>
              </w:rPr>
            </w:pPr>
          </w:p>
          <w:p>
            <w:pPr>
              <w:pStyle w:val="TableParagraph"/>
              <w:ind w:left="107"/>
              <w:rPr>
                <w:rFonts w:ascii="Times New Roman"/>
                <w:i/>
                <w:sz w:val="20"/>
              </w:rPr>
            </w:pPr>
            <w:r>
              <w:rPr>
                <w:rFonts w:ascii="Times New Roman"/>
                <w:i/>
                <w:sz w:val="20"/>
              </w:rPr>
              <w:t>RCMD[4:0]</w:t>
            </w:r>
          </w:p>
        </w:tc>
        <w:tc>
          <w:tcPr>
            <w:tcW w:w="1124" w:type="dxa"/>
          </w:tcPr>
          <w:p>
            <w:pPr>
              <w:pStyle w:val="TableParagraph"/>
              <w:spacing w:before="7"/>
              <w:rPr>
                <w:b/>
                <w:sz w:val="21"/>
              </w:rPr>
            </w:pPr>
          </w:p>
          <w:p>
            <w:pPr>
              <w:pStyle w:val="TableParagraph"/>
              <w:ind w:left="3"/>
              <w:jc w:val="center"/>
              <w:rPr>
                <w:sz w:val="20"/>
              </w:rPr>
            </w:pPr>
            <w:r>
              <w:rPr>
                <w:sz w:val="20"/>
              </w:rPr>
              <w:t>SFR </w:t>
            </w:r>
            <w:r>
              <w:rPr>
                <w:spacing w:val="-3"/>
                <w:sz w:val="20"/>
              </w:rPr>
              <w:t>FC[4:0]</w:t>
            </w:r>
          </w:p>
        </w:tc>
        <w:tc>
          <w:tcPr>
            <w:tcW w:w="344" w:type="dxa"/>
          </w:tcPr>
          <w:p>
            <w:pPr>
              <w:pStyle w:val="TableParagraph"/>
              <w:spacing w:before="7"/>
              <w:rPr>
                <w:b/>
                <w:sz w:val="21"/>
              </w:rPr>
            </w:pPr>
          </w:p>
          <w:p>
            <w:pPr>
              <w:pStyle w:val="TableParagraph"/>
              <w:ind w:left="4"/>
              <w:jc w:val="center"/>
              <w:rPr>
                <w:sz w:val="20"/>
              </w:rPr>
            </w:pPr>
            <w:r>
              <w:rPr>
                <w:w w:val="99"/>
                <w:sz w:val="20"/>
              </w:rPr>
              <w:t>0</w:t>
            </w:r>
          </w:p>
        </w:tc>
        <w:tc>
          <w:tcPr>
            <w:tcW w:w="344" w:type="dxa"/>
          </w:tcPr>
          <w:p>
            <w:pPr>
              <w:pStyle w:val="TableParagraph"/>
              <w:spacing w:before="7"/>
              <w:rPr>
                <w:b/>
                <w:sz w:val="21"/>
              </w:rPr>
            </w:pPr>
          </w:p>
          <w:p>
            <w:pPr>
              <w:pStyle w:val="TableParagraph"/>
              <w:ind w:left="2"/>
              <w:jc w:val="center"/>
              <w:rPr>
                <w:sz w:val="20"/>
              </w:rPr>
            </w:pPr>
            <w:r>
              <w:rPr>
                <w:w w:val="99"/>
                <w:sz w:val="20"/>
              </w:rPr>
              <w:t>0</w:t>
            </w:r>
          </w:p>
        </w:tc>
        <w:tc>
          <w:tcPr>
            <w:tcW w:w="620" w:type="dxa"/>
          </w:tcPr>
          <w:p>
            <w:pPr>
              <w:pStyle w:val="TableParagraph"/>
              <w:spacing w:before="7"/>
              <w:rPr>
                <w:b/>
                <w:sz w:val="21"/>
              </w:rPr>
            </w:pPr>
          </w:p>
          <w:p>
            <w:pPr>
              <w:pStyle w:val="TableParagraph"/>
              <w:ind w:left="87" w:right="93"/>
              <w:jc w:val="center"/>
              <w:rPr>
                <w:sz w:val="20"/>
              </w:rPr>
            </w:pPr>
            <w:r>
              <w:rPr>
                <w:sz w:val="20"/>
              </w:rPr>
              <w:t>R/W</w:t>
            </w:r>
          </w:p>
        </w:tc>
        <w:tc>
          <w:tcPr>
            <w:tcW w:w="8014" w:type="dxa"/>
          </w:tcPr>
          <w:p>
            <w:pPr>
              <w:pStyle w:val="TableParagraph"/>
              <w:spacing w:before="16"/>
              <w:ind w:left="104" w:right="329"/>
              <w:jc w:val="both"/>
              <w:rPr>
                <w:sz w:val="20"/>
              </w:rPr>
            </w:pPr>
            <w:r>
              <w:rPr>
                <w:sz w:val="20"/>
              </w:rPr>
              <w:t>When the MPU writes a non-zero value to </w:t>
            </w:r>
            <w:r>
              <w:rPr>
                <w:rFonts w:ascii="Times New Roman"/>
                <w:i/>
                <w:sz w:val="20"/>
              </w:rPr>
              <w:t>RCMD</w:t>
            </w:r>
            <w:r>
              <w:rPr>
                <w:sz w:val="20"/>
              </w:rPr>
              <w:t>, the 71M6543 issues a command to the appropriate remote sensor. When the command is complete, the 71M6543 clears RCMD.</w:t>
            </w:r>
          </w:p>
        </w:tc>
      </w:tr>
      <w:tr>
        <w:trPr>
          <w:trHeight w:val="270" w:hRule="atLeast"/>
        </w:trPr>
        <w:tc>
          <w:tcPr>
            <w:tcW w:w="2254" w:type="dxa"/>
          </w:tcPr>
          <w:p>
            <w:pPr>
              <w:pStyle w:val="TableParagraph"/>
              <w:spacing w:before="14"/>
              <w:ind w:left="107"/>
              <w:rPr>
                <w:rFonts w:ascii="Times New Roman"/>
                <w:i/>
                <w:sz w:val="20"/>
              </w:rPr>
            </w:pPr>
            <w:r>
              <w:rPr>
                <w:rFonts w:ascii="Times New Roman"/>
                <w:i/>
                <w:sz w:val="20"/>
              </w:rPr>
              <w:t>RESET</w:t>
            </w:r>
          </w:p>
        </w:tc>
        <w:tc>
          <w:tcPr>
            <w:tcW w:w="1124" w:type="dxa"/>
          </w:tcPr>
          <w:p>
            <w:pPr>
              <w:pStyle w:val="TableParagraph"/>
              <w:spacing w:before="18"/>
              <w:ind w:left="5"/>
              <w:jc w:val="center"/>
              <w:rPr>
                <w:sz w:val="20"/>
              </w:rPr>
            </w:pPr>
            <w:r>
              <w:rPr>
                <w:sz w:val="20"/>
              </w:rPr>
              <w:t>2200[3]</w:t>
            </w:r>
          </w:p>
        </w:tc>
        <w:tc>
          <w:tcPr>
            <w:tcW w:w="344" w:type="dxa"/>
          </w:tcPr>
          <w:p>
            <w:pPr>
              <w:pStyle w:val="TableParagraph"/>
              <w:spacing w:before="18"/>
              <w:ind w:left="4"/>
              <w:jc w:val="center"/>
              <w:rPr>
                <w:sz w:val="20"/>
              </w:rPr>
            </w:pPr>
            <w:r>
              <w:rPr>
                <w:w w:val="99"/>
                <w:sz w:val="20"/>
              </w:rPr>
              <w:t>0</w:t>
            </w:r>
          </w:p>
        </w:tc>
        <w:tc>
          <w:tcPr>
            <w:tcW w:w="344" w:type="dxa"/>
          </w:tcPr>
          <w:p>
            <w:pPr>
              <w:pStyle w:val="TableParagraph"/>
              <w:spacing w:before="18"/>
              <w:ind w:left="2"/>
              <w:jc w:val="center"/>
              <w:rPr>
                <w:sz w:val="20"/>
              </w:rPr>
            </w:pPr>
            <w:r>
              <w:rPr>
                <w:w w:val="99"/>
                <w:sz w:val="20"/>
              </w:rPr>
              <w:t>0</w:t>
            </w:r>
          </w:p>
        </w:tc>
        <w:tc>
          <w:tcPr>
            <w:tcW w:w="620" w:type="dxa"/>
          </w:tcPr>
          <w:p>
            <w:pPr>
              <w:pStyle w:val="TableParagraph"/>
              <w:spacing w:before="18"/>
              <w:jc w:val="center"/>
              <w:rPr>
                <w:sz w:val="20"/>
              </w:rPr>
            </w:pPr>
            <w:r>
              <w:rPr>
                <w:w w:val="99"/>
                <w:sz w:val="20"/>
              </w:rPr>
              <w:t>W</w:t>
            </w:r>
          </w:p>
        </w:tc>
        <w:tc>
          <w:tcPr>
            <w:tcW w:w="8014" w:type="dxa"/>
          </w:tcPr>
          <w:p>
            <w:pPr>
              <w:pStyle w:val="TableParagraph"/>
              <w:spacing w:before="16"/>
              <w:ind w:left="104"/>
              <w:rPr>
                <w:sz w:val="20"/>
              </w:rPr>
            </w:pPr>
            <w:r>
              <w:rPr>
                <w:sz w:val="20"/>
              </w:rPr>
              <w:t>When set, writes a one to </w:t>
            </w:r>
            <w:r>
              <w:rPr>
                <w:rFonts w:ascii="Times New Roman"/>
                <w:i/>
                <w:sz w:val="20"/>
              </w:rPr>
              <w:t>WF_RSTBIT </w:t>
            </w:r>
            <w:r>
              <w:rPr>
                <w:sz w:val="20"/>
              </w:rPr>
              <w:t>and then causes a reset.</w:t>
            </w:r>
          </w:p>
        </w:tc>
      </w:tr>
      <w:tr>
        <w:trPr>
          <w:trHeight w:val="731" w:hRule="atLeast"/>
        </w:trPr>
        <w:tc>
          <w:tcPr>
            <w:tcW w:w="2254" w:type="dxa"/>
          </w:tcPr>
          <w:p>
            <w:pPr>
              <w:pStyle w:val="TableParagraph"/>
              <w:spacing w:before="1"/>
              <w:rPr>
                <w:b/>
                <w:sz w:val="21"/>
              </w:rPr>
            </w:pPr>
          </w:p>
          <w:p>
            <w:pPr>
              <w:pStyle w:val="TableParagraph"/>
              <w:ind w:left="107"/>
              <w:rPr>
                <w:rFonts w:ascii="Times New Roman"/>
                <w:i/>
                <w:sz w:val="20"/>
              </w:rPr>
            </w:pPr>
            <w:r>
              <w:rPr>
                <w:rFonts w:ascii="Times New Roman"/>
                <w:i/>
                <w:sz w:val="20"/>
              </w:rPr>
              <w:t>RFLY_DIS</w:t>
            </w:r>
          </w:p>
        </w:tc>
        <w:tc>
          <w:tcPr>
            <w:tcW w:w="1124" w:type="dxa"/>
          </w:tcPr>
          <w:p>
            <w:pPr>
              <w:pStyle w:val="TableParagraph"/>
              <w:spacing w:before="5"/>
              <w:rPr>
                <w:b/>
                <w:sz w:val="21"/>
              </w:rPr>
            </w:pPr>
          </w:p>
          <w:p>
            <w:pPr>
              <w:pStyle w:val="TableParagraph"/>
              <w:ind w:left="5"/>
              <w:jc w:val="center"/>
              <w:rPr>
                <w:sz w:val="20"/>
              </w:rPr>
            </w:pPr>
            <w:r>
              <w:rPr>
                <w:sz w:val="20"/>
              </w:rPr>
              <w:t>210C[3]</w:t>
            </w:r>
          </w:p>
        </w:tc>
        <w:tc>
          <w:tcPr>
            <w:tcW w:w="344" w:type="dxa"/>
          </w:tcPr>
          <w:p>
            <w:pPr>
              <w:pStyle w:val="TableParagraph"/>
              <w:spacing w:before="5"/>
              <w:rPr>
                <w:b/>
                <w:sz w:val="21"/>
              </w:rPr>
            </w:pPr>
          </w:p>
          <w:p>
            <w:pPr>
              <w:pStyle w:val="TableParagraph"/>
              <w:ind w:left="4"/>
              <w:jc w:val="center"/>
              <w:rPr>
                <w:sz w:val="20"/>
              </w:rPr>
            </w:pPr>
            <w:r>
              <w:rPr>
                <w:w w:val="99"/>
                <w:sz w:val="20"/>
              </w:rPr>
              <w:t>0</w:t>
            </w:r>
          </w:p>
        </w:tc>
        <w:tc>
          <w:tcPr>
            <w:tcW w:w="344" w:type="dxa"/>
          </w:tcPr>
          <w:p>
            <w:pPr>
              <w:pStyle w:val="TableParagraph"/>
              <w:spacing w:before="5"/>
              <w:rPr>
                <w:b/>
                <w:sz w:val="21"/>
              </w:rPr>
            </w:pPr>
          </w:p>
          <w:p>
            <w:pPr>
              <w:pStyle w:val="TableParagraph"/>
              <w:ind w:left="3"/>
              <w:jc w:val="center"/>
              <w:rPr>
                <w:sz w:val="20"/>
              </w:rPr>
            </w:pPr>
            <w:r>
              <w:rPr>
                <w:w w:val="99"/>
                <w:sz w:val="20"/>
              </w:rPr>
              <w:t>0</w:t>
            </w:r>
          </w:p>
        </w:tc>
        <w:tc>
          <w:tcPr>
            <w:tcW w:w="620" w:type="dxa"/>
          </w:tcPr>
          <w:p>
            <w:pPr>
              <w:pStyle w:val="TableParagraph"/>
              <w:spacing w:before="5"/>
              <w:rPr>
                <w:b/>
                <w:sz w:val="21"/>
              </w:rPr>
            </w:pPr>
          </w:p>
          <w:p>
            <w:pPr>
              <w:pStyle w:val="TableParagraph"/>
              <w:ind w:left="87" w:right="92"/>
              <w:jc w:val="center"/>
              <w:rPr>
                <w:sz w:val="20"/>
              </w:rPr>
            </w:pPr>
            <w:r>
              <w:rPr>
                <w:sz w:val="20"/>
              </w:rPr>
              <w:t>R/W</w:t>
            </w:r>
          </w:p>
        </w:tc>
        <w:tc>
          <w:tcPr>
            <w:tcW w:w="8014" w:type="dxa"/>
          </w:tcPr>
          <w:p>
            <w:pPr>
              <w:pStyle w:val="TableParagraph"/>
              <w:spacing w:before="18"/>
              <w:ind w:left="104" w:right="109"/>
              <w:rPr>
                <w:sz w:val="20"/>
              </w:rPr>
            </w:pPr>
            <w:r>
              <w:rPr>
                <w:sz w:val="20"/>
              </w:rPr>
              <w:t>Controls how the 71M6543 drives the power pulse for the 71M6xxx. When set, the power pulse is driven high and low. When cleared, it is driven high followed by an open circuit fly-back interval.</w:t>
            </w:r>
          </w:p>
        </w:tc>
      </w:tr>
    </w:tbl>
    <w:p>
      <w:pPr>
        <w:spacing w:after="0"/>
        <w:rPr>
          <w:sz w:val="20"/>
        </w:rPr>
        <w:sectPr>
          <w:pgSz w:w="15840" w:h="12240" w:orient="landscape"/>
          <w:pgMar w:header="727" w:footer="819" w:top="1180" w:bottom="1000" w:left="1320" w:right="1320"/>
        </w:sectPr>
      </w:pPr>
    </w:p>
    <w:p>
      <w:pPr>
        <w:pStyle w:val="BodyText"/>
        <w:spacing w:before="5"/>
        <w:rPr>
          <w:b/>
          <w:sz w:val="7"/>
        </w:rPr>
      </w:pPr>
    </w:p>
    <w:tbl>
      <w:tblPr>
        <w:tblW w:w="0" w:type="auto"/>
        <w:jc w:val="left"/>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4"/>
        <w:gridCol w:w="1124"/>
        <w:gridCol w:w="344"/>
        <w:gridCol w:w="344"/>
        <w:gridCol w:w="620"/>
        <w:gridCol w:w="8014"/>
      </w:tblGrid>
      <w:tr>
        <w:trPr>
          <w:trHeight w:val="309" w:hRule="atLeast"/>
        </w:trPr>
        <w:tc>
          <w:tcPr>
            <w:tcW w:w="2254" w:type="dxa"/>
          </w:tcPr>
          <w:p>
            <w:pPr>
              <w:pStyle w:val="TableParagraph"/>
              <w:spacing w:before="35"/>
              <w:ind w:left="107"/>
              <w:rPr>
                <w:b/>
                <w:sz w:val="20"/>
              </w:rPr>
            </w:pPr>
            <w:r>
              <w:rPr>
                <w:b/>
                <w:sz w:val="20"/>
              </w:rPr>
              <w:t>Name</w:t>
            </w:r>
          </w:p>
        </w:tc>
        <w:tc>
          <w:tcPr>
            <w:tcW w:w="1124" w:type="dxa"/>
          </w:tcPr>
          <w:p>
            <w:pPr>
              <w:pStyle w:val="TableParagraph"/>
              <w:spacing w:before="35"/>
              <w:ind w:left="4"/>
              <w:jc w:val="center"/>
              <w:rPr>
                <w:b/>
                <w:sz w:val="20"/>
              </w:rPr>
            </w:pPr>
            <w:r>
              <w:rPr>
                <w:b/>
                <w:sz w:val="20"/>
              </w:rPr>
              <w:t>Location</w:t>
            </w:r>
          </w:p>
        </w:tc>
        <w:tc>
          <w:tcPr>
            <w:tcW w:w="344" w:type="dxa"/>
          </w:tcPr>
          <w:p>
            <w:pPr>
              <w:pStyle w:val="TableParagraph"/>
              <w:spacing w:before="35"/>
              <w:ind w:right="3"/>
              <w:jc w:val="right"/>
              <w:rPr>
                <w:b/>
                <w:sz w:val="20"/>
              </w:rPr>
            </w:pPr>
            <w:r>
              <w:rPr>
                <w:b/>
                <w:w w:val="95"/>
                <w:sz w:val="20"/>
              </w:rPr>
              <w:t>Rst</w:t>
            </w:r>
          </w:p>
        </w:tc>
        <w:tc>
          <w:tcPr>
            <w:tcW w:w="344" w:type="dxa"/>
          </w:tcPr>
          <w:p>
            <w:pPr>
              <w:pStyle w:val="TableParagraph"/>
              <w:spacing w:before="35"/>
              <w:ind w:left="6"/>
              <w:jc w:val="center"/>
              <w:rPr>
                <w:b/>
                <w:sz w:val="20"/>
              </w:rPr>
            </w:pPr>
            <w:r>
              <w:rPr>
                <w:b/>
                <w:sz w:val="20"/>
              </w:rPr>
              <w:t>Wk</w:t>
            </w:r>
          </w:p>
        </w:tc>
        <w:tc>
          <w:tcPr>
            <w:tcW w:w="620" w:type="dxa"/>
          </w:tcPr>
          <w:p>
            <w:pPr>
              <w:pStyle w:val="TableParagraph"/>
              <w:spacing w:before="35"/>
              <w:ind w:left="87" w:right="86"/>
              <w:jc w:val="center"/>
              <w:rPr>
                <w:b/>
                <w:sz w:val="20"/>
              </w:rPr>
            </w:pPr>
            <w:r>
              <w:rPr>
                <w:b/>
                <w:sz w:val="20"/>
              </w:rPr>
              <w:t>Dir</w:t>
            </w:r>
          </w:p>
        </w:tc>
        <w:tc>
          <w:tcPr>
            <w:tcW w:w="8014" w:type="dxa"/>
          </w:tcPr>
          <w:p>
            <w:pPr>
              <w:pStyle w:val="TableParagraph"/>
              <w:spacing w:before="35"/>
              <w:ind w:left="104"/>
              <w:rPr>
                <w:b/>
                <w:sz w:val="20"/>
              </w:rPr>
            </w:pPr>
            <w:r>
              <w:rPr>
                <w:b/>
                <w:sz w:val="20"/>
              </w:rPr>
              <w:t>Description</w:t>
            </w:r>
          </w:p>
        </w:tc>
      </w:tr>
      <w:tr>
        <w:trPr>
          <w:trHeight w:val="750" w:hRule="atLeast"/>
        </w:trPr>
        <w:tc>
          <w:tcPr>
            <w:tcW w:w="2254" w:type="dxa"/>
          </w:tcPr>
          <w:p>
            <w:pPr>
              <w:pStyle w:val="TableParagraph"/>
              <w:spacing w:line="240" w:lineRule="atLeast" w:before="4"/>
              <w:ind w:left="107" w:right="1411"/>
              <w:jc w:val="both"/>
              <w:rPr>
                <w:rFonts w:ascii="Times New Roman"/>
                <w:i/>
                <w:sz w:val="20"/>
              </w:rPr>
            </w:pPr>
            <w:r>
              <w:rPr>
                <w:rFonts w:ascii="Times New Roman"/>
                <w:i/>
                <w:sz w:val="20"/>
              </w:rPr>
              <w:t>RMT2_E </w:t>
            </w:r>
            <w:r>
              <w:rPr>
                <w:rFonts w:ascii="Times New Roman"/>
                <w:i/>
                <w:sz w:val="20"/>
              </w:rPr>
              <w:t>RMT4_E RMT6_E</w:t>
            </w:r>
          </w:p>
        </w:tc>
        <w:tc>
          <w:tcPr>
            <w:tcW w:w="1124" w:type="dxa"/>
          </w:tcPr>
          <w:p>
            <w:pPr>
              <w:pStyle w:val="TableParagraph"/>
              <w:spacing w:before="18"/>
              <w:ind w:left="227"/>
              <w:rPr>
                <w:sz w:val="20"/>
              </w:rPr>
            </w:pPr>
            <w:r>
              <w:rPr>
                <w:sz w:val="20"/>
              </w:rPr>
              <w:t>2709[3]</w:t>
            </w:r>
          </w:p>
          <w:p>
            <w:pPr>
              <w:pStyle w:val="TableParagraph"/>
              <w:spacing w:before="10"/>
              <w:ind w:left="227"/>
              <w:rPr>
                <w:sz w:val="20"/>
              </w:rPr>
            </w:pPr>
            <w:r>
              <w:rPr>
                <w:sz w:val="20"/>
              </w:rPr>
              <w:t>2709[4]</w:t>
            </w:r>
          </w:p>
          <w:p>
            <w:pPr>
              <w:pStyle w:val="TableParagraph"/>
              <w:spacing w:before="10"/>
              <w:ind w:left="227"/>
              <w:rPr>
                <w:sz w:val="20"/>
              </w:rPr>
            </w:pPr>
            <w:r>
              <w:rPr>
                <w:sz w:val="20"/>
              </w:rPr>
              <w:t>2709[5]</w:t>
            </w:r>
          </w:p>
        </w:tc>
        <w:tc>
          <w:tcPr>
            <w:tcW w:w="344" w:type="dxa"/>
          </w:tcPr>
          <w:p>
            <w:pPr>
              <w:pStyle w:val="TableParagraph"/>
              <w:spacing w:before="5"/>
              <w:rPr>
                <w:b/>
                <w:sz w:val="22"/>
              </w:rPr>
            </w:pPr>
          </w:p>
          <w:p>
            <w:pPr>
              <w:pStyle w:val="TableParagraph"/>
              <w:ind w:right="107"/>
              <w:jc w:val="right"/>
              <w:rPr>
                <w:sz w:val="20"/>
              </w:rPr>
            </w:pPr>
            <w:r>
              <w:rPr>
                <w:w w:val="99"/>
                <w:sz w:val="20"/>
              </w:rPr>
              <w:t>0</w:t>
            </w:r>
          </w:p>
        </w:tc>
        <w:tc>
          <w:tcPr>
            <w:tcW w:w="344" w:type="dxa"/>
          </w:tcPr>
          <w:p>
            <w:pPr>
              <w:pStyle w:val="TableParagraph"/>
              <w:spacing w:before="5"/>
              <w:rPr>
                <w:b/>
                <w:sz w:val="22"/>
              </w:rPr>
            </w:pPr>
          </w:p>
          <w:p>
            <w:pPr>
              <w:pStyle w:val="TableParagraph"/>
              <w:ind w:left="2"/>
              <w:jc w:val="center"/>
              <w:rPr>
                <w:sz w:val="20"/>
              </w:rPr>
            </w:pPr>
            <w:r>
              <w:rPr>
                <w:w w:val="99"/>
                <w:sz w:val="20"/>
              </w:rPr>
              <w:t>0</w:t>
            </w:r>
          </w:p>
        </w:tc>
        <w:tc>
          <w:tcPr>
            <w:tcW w:w="620" w:type="dxa"/>
          </w:tcPr>
          <w:p>
            <w:pPr>
              <w:pStyle w:val="TableParagraph"/>
              <w:spacing w:before="5"/>
              <w:rPr>
                <w:b/>
                <w:sz w:val="22"/>
              </w:rPr>
            </w:pPr>
          </w:p>
          <w:p>
            <w:pPr>
              <w:pStyle w:val="TableParagraph"/>
              <w:ind w:left="87" w:right="93"/>
              <w:jc w:val="center"/>
              <w:rPr>
                <w:sz w:val="20"/>
              </w:rPr>
            </w:pPr>
            <w:r>
              <w:rPr>
                <w:sz w:val="20"/>
              </w:rPr>
              <w:t>R/W</w:t>
            </w:r>
          </w:p>
        </w:tc>
        <w:tc>
          <w:tcPr>
            <w:tcW w:w="8014" w:type="dxa"/>
          </w:tcPr>
          <w:p>
            <w:pPr>
              <w:pStyle w:val="TableParagraph"/>
              <w:spacing w:before="5"/>
              <w:rPr>
                <w:b/>
                <w:sz w:val="22"/>
              </w:rPr>
            </w:pPr>
          </w:p>
          <w:p>
            <w:pPr>
              <w:pStyle w:val="TableParagraph"/>
              <w:ind w:left="104"/>
              <w:rPr>
                <w:sz w:val="20"/>
              </w:rPr>
            </w:pPr>
            <w:r>
              <w:rPr>
                <w:sz w:val="20"/>
              </w:rPr>
              <w:t>Enables the remote interface.</w:t>
            </w:r>
          </w:p>
        </w:tc>
      </w:tr>
      <w:tr>
        <w:trPr>
          <w:trHeight w:val="510" w:hRule="atLeast"/>
        </w:trPr>
        <w:tc>
          <w:tcPr>
            <w:tcW w:w="2254" w:type="dxa"/>
          </w:tcPr>
          <w:p>
            <w:pPr>
              <w:pStyle w:val="TableParagraph"/>
              <w:spacing w:line="249" w:lineRule="auto" w:before="12"/>
              <w:ind w:left="107"/>
              <w:rPr>
                <w:rFonts w:ascii="Times New Roman"/>
                <w:i/>
                <w:sz w:val="20"/>
              </w:rPr>
            </w:pPr>
            <w:r>
              <w:rPr>
                <w:rFonts w:ascii="Times New Roman"/>
                <w:i/>
                <w:w w:val="95"/>
                <w:sz w:val="20"/>
              </w:rPr>
              <w:t>RMT_RD[15:8] </w:t>
            </w:r>
            <w:r>
              <w:rPr>
                <w:rFonts w:ascii="Times New Roman"/>
                <w:i/>
                <w:sz w:val="20"/>
              </w:rPr>
              <w:t>RMT_RD[7:0]</w:t>
            </w:r>
          </w:p>
        </w:tc>
        <w:tc>
          <w:tcPr>
            <w:tcW w:w="1124" w:type="dxa"/>
          </w:tcPr>
          <w:p>
            <w:pPr>
              <w:pStyle w:val="TableParagraph"/>
              <w:spacing w:before="16"/>
              <w:ind w:left="143"/>
              <w:rPr>
                <w:sz w:val="20"/>
              </w:rPr>
            </w:pPr>
            <w:r>
              <w:rPr>
                <w:sz w:val="20"/>
              </w:rPr>
              <w:t>2602[7:0]</w:t>
            </w:r>
          </w:p>
          <w:p>
            <w:pPr>
              <w:pStyle w:val="TableParagraph"/>
              <w:spacing w:before="10"/>
              <w:ind w:left="143"/>
              <w:rPr>
                <w:sz w:val="20"/>
              </w:rPr>
            </w:pPr>
            <w:r>
              <w:rPr>
                <w:sz w:val="20"/>
              </w:rPr>
              <w:t>2603[7:0]</w:t>
            </w:r>
          </w:p>
        </w:tc>
        <w:tc>
          <w:tcPr>
            <w:tcW w:w="344" w:type="dxa"/>
          </w:tcPr>
          <w:p>
            <w:pPr>
              <w:pStyle w:val="TableParagraph"/>
              <w:spacing w:before="136"/>
              <w:ind w:right="107"/>
              <w:jc w:val="right"/>
              <w:rPr>
                <w:sz w:val="20"/>
              </w:rPr>
            </w:pPr>
            <w:r>
              <w:rPr>
                <w:w w:val="99"/>
                <w:sz w:val="20"/>
              </w:rPr>
              <w:t>0</w:t>
            </w:r>
          </w:p>
        </w:tc>
        <w:tc>
          <w:tcPr>
            <w:tcW w:w="344" w:type="dxa"/>
          </w:tcPr>
          <w:p>
            <w:pPr>
              <w:pStyle w:val="TableParagraph"/>
              <w:spacing w:before="136"/>
              <w:ind w:left="2"/>
              <w:jc w:val="center"/>
              <w:rPr>
                <w:sz w:val="20"/>
              </w:rPr>
            </w:pPr>
            <w:r>
              <w:rPr>
                <w:w w:val="99"/>
                <w:sz w:val="20"/>
              </w:rPr>
              <w:t>0</w:t>
            </w:r>
          </w:p>
        </w:tc>
        <w:tc>
          <w:tcPr>
            <w:tcW w:w="620" w:type="dxa"/>
          </w:tcPr>
          <w:p>
            <w:pPr>
              <w:pStyle w:val="TableParagraph"/>
              <w:spacing w:before="136"/>
              <w:ind w:left="2"/>
              <w:jc w:val="center"/>
              <w:rPr>
                <w:sz w:val="20"/>
              </w:rPr>
            </w:pPr>
            <w:r>
              <w:rPr>
                <w:w w:val="99"/>
                <w:sz w:val="20"/>
              </w:rPr>
              <w:t>R</w:t>
            </w:r>
          </w:p>
        </w:tc>
        <w:tc>
          <w:tcPr>
            <w:tcW w:w="8014" w:type="dxa"/>
          </w:tcPr>
          <w:p>
            <w:pPr>
              <w:pStyle w:val="TableParagraph"/>
              <w:spacing w:before="136"/>
              <w:ind w:left="104"/>
              <w:rPr>
                <w:sz w:val="20"/>
              </w:rPr>
            </w:pPr>
            <w:r>
              <w:rPr>
                <w:sz w:val="20"/>
              </w:rPr>
              <w:t>Response from remote read request.</w:t>
            </w:r>
          </w:p>
        </w:tc>
      </w:tr>
      <w:tr>
        <w:trPr>
          <w:trHeight w:val="268" w:hRule="atLeast"/>
        </w:trPr>
        <w:tc>
          <w:tcPr>
            <w:tcW w:w="2254" w:type="dxa"/>
            <w:shd w:val="clear" w:color="auto" w:fill="C1C1C1"/>
          </w:tcPr>
          <w:p>
            <w:pPr>
              <w:pStyle w:val="TableParagraph"/>
              <w:spacing w:before="12"/>
              <w:ind w:left="107"/>
              <w:rPr>
                <w:rFonts w:ascii="Times New Roman"/>
                <w:i/>
                <w:sz w:val="20"/>
              </w:rPr>
            </w:pPr>
            <w:r>
              <w:rPr>
                <w:rFonts w:ascii="Times New Roman"/>
                <w:i/>
                <w:sz w:val="20"/>
              </w:rPr>
              <w:t>RTCA_ADJ[6:0]</w:t>
            </w:r>
          </w:p>
        </w:tc>
        <w:tc>
          <w:tcPr>
            <w:tcW w:w="1124" w:type="dxa"/>
            <w:shd w:val="clear" w:color="auto" w:fill="C1C1C1"/>
          </w:tcPr>
          <w:p>
            <w:pPr>
              <w:pStyle w:val="TableParagraph"/>
              <w:spacing w:before="16"/>
              <w:ind w:left="5"/>
              <w:jc w:val="center"/>
              <w:rPr>
                <w:sz w:val="20"/>
              </w:rPr>
            </w:pPr>
            <w:r>
              <w:rPr>
                <w:sz w:val="20"/>
              </w:rPr>
              <w:t>2504[6:0]</w:t>
            </w:r>
          </w:p>
        </w:tc>
        <w:tc>
          <w:tcPr>
            <w:tcW w:w="344" w:type="dxa"/>
            <w:shd w:val="clear" w:color="auto" w:fill="C1C1C1"/>
          </w:tcPr>
          <w:p>
            <w:pPr>
              <w:pStyle w:val="TableParagraph"/>
              <w:spacing w:before="16"/>
              <w:ind w:right="52"/>
              <w:jc w:val="right"/>
              <w:rPr>
                <w:sz w:val="20"/>
              </w:rPr>
            </w:pPr>
            <w:r>
              <w:rPr>
                <w:w w:val="95"/>
                <w:sz w:val="20"/>
              </w:rPr>
              <w:t>40</w:t>
            </w:r>
          </w:p>
        </w:tc>
        <w:tc>
          <w:tcPr>
            <w:tcW w:w="344" w:type="dxa"/>
            <w:shd w:val="clear" w:color="auto" w:fill="C1C1C1"/>
          </w:tcPr>
          <w:p>
            <w:pPr>
              <w:pStyle w:val="TableParagraph"/>
              <w:spacing w:before="16"/>
              <w:ind w:left="2"/>
              <w:jc w:val="center"/>
              <w:rPr>
                <w:sz w:val="20"/>
              </w:rPr>
            </w:pPr>
            <w:r>
              <w:rPr>
                <w:w w:val="99"/>
                <w:sz w:val="20"/>
              </w:rPr>
              <w:t>–</w:t>
            </w:r>
          </w:p>
        </w:tc>
        <w:tc>
          <w:tcPr>
            <w:tcW w:w="620" w:type="dxa"/>
            <w:shd w:val="clear" w:color="auto" w:fill="C1C1C1"/>
          </w:tcPr>
          <w:p>
            <w:pPr>
              <w:pStyle w:val="TableParagraph"/>
              <w:spacing w:before="16"/>
              <w:ind w:left="87" w:right="93"/>
              <w:jc w:val="center"/>
              <w:rPr>
                <w:sz w:val="20"/>
              </w:rPr>
            </w:pPr>
            <w:r>
              <w:rPr>
                <w:sz w:val="20"/>
              </w:rPr>
              <w:t>R/W</w:t>
            </w:r>
          </w:p>
        </w:tc>
        <w:tc>
          <w:tcPr>
            <w:tcW w:w="8014" w:type="dxa"/>
            <w:shd w:val="clear" w:color="auto" w:fill="C1C1C1"/>
          </w:tcPr>
          <w:p>
            <w:pPr>
              <w:pStyle w:val="TableParagraph"/>
              <w:spacing w:before="16"/>
              <w:ind w:left="104"/>
              <w:rPr>
                <w:sz w:val="20"/>
              </w:rPr>
            </w:pPr>
            <w:r>
              <w:rPr>
                <w:sz w:val="20"/>
              </w:rPr>
              <w:t>Register for analog RTC frequency adjustment.</w:t>
            </w:r>
          </w:p>
        </w:tc>
      </w:tr>
      <w:tr>
        <w:trPr>
          <w:trHeight w:val="501" w:hRule="atLeast"/>
        </w:trPr>
        <w:tc>
          <w:tcPr>
            <w:tcW w:w="2254" w:type="dxa"/>
            <w:shd w:val="clear" w:color="auto" w:fill="C1C1C1"/>
          </w:tcPr>
          <w:p>
            <w:pPr>
              <w:pStyle w:val="TableParagraph"/>
              <w:spacing w:before="130"/>
              <w:ind w:left="107"/>
              <w:rPr>
                <w:rFonts w:ascii="Times New Roman"/>
                <w:i/>
                <w:sz w:val="20"/>
              </w:rPr>
            </w:pPr>
            <w:r>
              <w:rPr>
                <w:rFonts w:ascii="Times New Roman"/>
                <w:i/>
                <w:sz w:val="20"/>
              </w:rPr>
              <w:t>RTC_FAIL</w:t>
            </w:r>
          </w:p>
        </w:tc>
        <w:tc>
          <w:tcPr>
            <w:tcW w:w="1124" w:type="dxa"/>
            <w:shd w:val="clear" w:color="auto" w:fill="C1C1C1"/>
          </w:tcPr>
          <w:p>
            <w:pPr>
              <w:pStyle w:val="TableParagraph"/>
              <w:spacing w:before="134"/>
              <w:ind w:left="5"/>
              <w:jc w:val="center"/>
              <w:rPr>
                <w:sz w:val="20"/>
              </w:rPr>
            </w:pPr>
            <w:r>
              <w:rPr>
                <w:sz w:val="20"/>
              </w:rPr>
              <w:t>2890[4]</w:t>
            </w:r>
          </w:p>
        </w:tc>
        <w:tc>
          <w:tcPr>
            <w:tcW w:w="344" w:type="dxa"/>
            <w:shd w:val="clear" w:color="auto" w:fill="C1C1C1"/>
          </w:tcPr>
          <w:p>
            <w:pPr>
              <w:pStyle w:val="TableParagraph"/>
              <w:spacing w:before="134"/>
              <w:ind w:right="107"/>
              <w:jc w:val="right"/>
              <w:rPr>
                <w:sz w:val="20"/>
              </w:rPr>
            </w:pPr>
            <w:r>
              <w:rPr>
                <w:w w:val="99"/>
                <w:sz w:val="20"/>
              </w:rPr>
              <w:t>0</w:t>
            </w:r>
          </w:p>
        </w:tc>
        <w:tc>
          <w:tcPr>
            <w:tcW w:w="344" w:type="dxa"/>
            <w:shd w:val="clear" w:color="auto" w:fill="C1C1C1"/>
          </w:tcPr>
          <w:p>
            <w:pPr>
              <w:pStyle w:val="TableParagraph"/>
              <w:spacing w:before="134"/>
              <w:ind w:left="2"/>
              <w:jc w:val="center"/>
              <w:rPr>
                <w:sz w:val="20"/>
              </w:rPr>
            </w:pPr>
            <w:r>
              <w:rPr>
                <w:w w:val="99"/>
                <w:sz w:val="20"/>
              </w:rPr>
              <w:t>0</w:t>
            </w:r>
          </w:p>
        </w:tc>
        <w:tc>
          <w:tcPr>
            <w:tcW w:w="620" w:type="dxa"/>
            <w:shd w:val="clear" w:color="auto" w:fill="C1C1C1"/>
          </w:tcPr>
          <w:p>
            <w:pPr>
              <w:pStyle w:val="TableParagraph"/>
              <w:spacing w:before="134"/>
              <w:ind w:left="3"/>
              <w:jc w:val="center"/>
              <w:rPr>
                <w:sz w:val="20"/>
              </w:rPr>
            </w:pPr>
            <w:r>
              <w:rPr>
                <w:w w:val="99"/>
                <w:sz w:val="20"/>
              </w:rPr>
              <w:t>R</w:t>
            </w:r>
          </w:p>
        </w:tc>
        <w:tc>
          <w:tcPr>
            <w:tcW w:w="8014" w:type="dxa"/>
            <w:shd w:val="clear" w:color="auto" w:fill="C1C1C1"/>
          </w:tcPr>
          <w:p>
            <w:pPr>
              <w:pStyle w:val="TableParagraph"/>
              <w:spacing w:before="18"/>
              <w:ind w:left="104" w:right="109"/>
              <w:rPr>
                <w:sz w:val="20"/>
              </w:rPr>
            </w:pPr>
            <w:r>
              <w:rPr>
                <w:sz w:val="20"/>
              </w:rPr>
              <w:t>Indicates that a count error has occurred in the RTC and that the time is not trustworthy. This bit can be cleared by writing a 0.</w:t>
            </w:r>
          </w:p>
        </w:tc>
      </w:tr>
      <w:tr>
        <w:trPr>
          <w:trHeight w:val="765" w:hRule="atLeast"/>
        </w:trPr>
        <w:tc>
          <w:tcPr>
            <w:tcW w:w="2254" w:type="dxa"/>
            <w:shd w:val="clear" w:color="auto" w:fill="C1C1C1"/>
          </w:tcPr>
          <w:p>
            <w:pPr>
              <w:pStyle w:val="TableParagraph"/>
              <w:spacing w:line="249" w:lineRule="auto" w:before="19"/>
              <w:ind w:left="107" w:right="924"/>
              <w:rPr>
                <w:rFonts w:ascii="Times New Roman"/>
                <w:i/>
                <w:sz w:val="20"/>
              </w:rPr>
            </w:pPr>
            <w:r>
              <w:rPr>
                <w:rFonts w:ascii="Times New Roman"/>
                <w:i/>
                <w:w w:val="95"/>
                <w:sz w:val="20"/>
              </w:rPr>
              <w:t>RTC_P[16:14] </w:t>
            </w:r>
            <w:r>
              <w:rPr>
                <w:rFonts w:ascii="Times New Roman"/>
                <w:i/>
                <w:sz w:val="20"/>
              </w:rPr>
              <w:t>RTC_P[13:6] RTC_P[5:0]</w:t>
            </w:r>
          </w:p>
        </w:tc>
        <w:tc>
          <w:tcPr>
            <w:tcW w:w="1124" w:type="dxa"/>
            <w:shd w:val="clear" w:color="auto" w:fill="C1C1C1"/>
          </w:tcPr>
          <w:p>
            <w:pPr>
              <w:pStyle w:val="TableParagraph"/>
              <w:spacing w:before="23"/>
              <w:ind w:left="131"/>
              <w:rPr>
                <w:sz w:val="20"/>
              </w:rPr>
            </w:pPr>
            <w:r>
              <w:rPr>
                <w:sz w:val="20"/>
              </w:rPr>
              <w:t>289B[2:0]</w:t>
            </w:r>
          </w:p>
          <w:p>
            <w:pPr>
              <w:pStyle w:val="TableParagraph"/>
              <w:spacing w:before="10"/>
              <w:ind w:left="126"/>
              <w:rPr>
                <w:sz w:val="20"/>
              </w:rPr>
            </w:pPr>
            <w:r>
              <w:rPr>
                <w:sz w:val="20"/>
              </w:rPr>
              <w:t>289C[7:0]</w:t>
            </w:r>
          </w:p>
          <w:p>
            <w:pPr>
              <w:pStyle w:val="TableParagraph"/>
              <w:spacing w:before="10"/>
              <w:ind w:left="126"/>
              <w:rPr>
                <w:sz w:val="20"/>
              </w:rPr>
            </w:pPr>
            <w:r>
              <w:rPr>
                <w:sz w:val="20"/>
              </w:rPr>
              <w:t>289D[7:2]</w:t>
            </w:r>
          </w:p>
        </w:tc>
        <w:tc>
          <w:tcPr>
            <w:tcW w:w="344" w:type="dxa"/>
            <w:shd w:val="clear" w:color="auto" w:fill="C1C1C1"/>
          </w:tcPr>
          <w:p>
            <w:pPr>
              <w:pStyle w:val="TableParagraph"/>
              <w:spacing w:before="23"/>
              <w:ind w:left="113"/>
              <w:rPr>
                <w:sz w:val="20"/>
              </w:rPr>
            </w:pPr>
            <w:r>
              <w:rPr>
                <w:w w:val="99"/>
                <w:sz w:val="20"/>
              </w:rPr>
              <w:t>4</w:t>
            </w:r>
          </w:p>
          <w:p>
            <w:pPr>
              <w:pStyle w:val="TableParagraph"/>
              <w:spacing w:before="10"/>
              <w:ind w:left="113"/>
              <w:rPr>
                <w:sz w:val="20"/>
              </w:rPr>
            </w:pPr>
            <w:r>
              <w:rPr>
                <w:w w:val="99"/>
                <w:sz w:val="20"/>
              </w:rPr>
              <w:t>0</w:t>
            </w:r>
          </w:p>
          <w:p>
            <w:pPr>
              <w:pStyle w:val="TableParagraph"/>
              <w:spacing w:before="10"/>
              <w:ind w:left="113"/>
              <w:rPr>
                <w:sz w:val="20"/>
              </w:rPr>
            </w:pPr>
            <w:r>
              <w:rPr>
                <w:w w:val="99"/>
                <w:sz w:val="20"/>
              </w:rPr>
              <w:t>0</w:t>
            </w:r>
          </w:p>
        </w:tc>
        <w:tc>
          <w:tcPr>
            <w:tcW w:w="344" w:type="dxa"/>
            <w:shd w:val="clear" w:color="auto" w:fill="C1C1C1"/>
          </w:tcPr>
          <w:p>
            <w:pPr>
              <w:pStyle w:val="TableParagraph"/>
              <w:spacing w:before="23"/>
              <w:ind w:left="113"/>
              <w:rPr>
                <w:sz w:val="20"/>
              </w:rPr>
            </w:pPr>
            <w:r>
              <w:rPr>
                <w:w w:val="99"/>
                <w:sz w:val="20"/>
              </w:rPr>
              <w:t>4</w:t>
            </w:r>
          </w:p>
          <w:p>
            <w:pPr>
              <w:pStyle w:val="TableParagraph"/>
              <w:spacing w:before="10"/>
              <w:ind w:left="113"/>
              <w:rPr>
                <w:sz w:val="20"/>
              </w:rPr>
            </w:pPr>
            <w:r>
              <w:rPr>
                <w:w w:val="99"/>
                <w:sz w:val="20"/>
              </w:rPr>
              <w:t>0</w:t>
            </w:r>
          </w:p>
          <w:p>
            <w:pPr>
              <w:pStyle w:val="TableParagraph"/>
              <w:spacing w:before="10"/>
              <w:ind w:left="113"/>
              <w:rPr>
                <w:sz w:val="20"/>
              </w:rPr>
            </w:pPr>
            <w:r>
              <w:rPr>
                <w:w w:val="99"/>
                <w:sz w:val="20"/>
              </w:rPr>
              <w:t>0</w:t>
            </w:r>
          </w:p>
        </w:tc>
        <w:tc>
          <w:tcPr>
            <w:tcW w:w="620" w:type="dxa"/>
            <w:shd w:val="clear" w:color="auto" w:fill="C1C1C1"/>
          </w:tcPr>
          <w:p>
            <w:pPr>
              <w:pStyle w:val="TableParagraph"/>
              <w:spacing w:before="10"/>
              <w:rPr>
                <w:b/>
                <w:sz w:val="22"/>
              </w:rPr>
            </w:pPr>
          </w:p>
          <w:p>
            <w:pPr>
              <w:pStyle w:val="TableParagraph"/>
              <w:ind w:left="87" w:right="93"/>
              <w:jc w:val="center"/>
              <w:rPr>
                <w:sz w:val="20"/>
              </w:rPr>
            </w:pPr>
            <w:r>
              <w:rPr>
                <w:sz w:val="20"/>
              </w:rPr>
              <w:t>R/W</w:t>
            </w:r>
          </w:p>
        </w:tc>
        <w:tc>
          <w:tcPr>
            <w:tcW w:w="8014" w:type="dxa"/>
            <w:shd w:val="clear" w:color="auto" w:fill="C1C1C1"/>
          </w:tcPr>
          <w:p>
            <w:pPr>
              <w:pStyle w:val="TableParagraph"/>
              <w:spacing w:line="256" w:lineRule="auto" w:before="18"/>
              <w:ind w:left="104" w:right="2941"/>
              <w:rPr>
                <w:sz w:val="20"/>
              </w:rPr>
            </w:pPr>
            <w:r>
              <w:rPr>
                <w:sz w:val="20"/>
              </w:rPr>
              <w:t>RTC adjust. See </w:t>
            </w:r>
            <w:hyperlink w:history="true" w:anchor="_bookmark102">
              <w:r>
                <w:rPr>
                  <w:color w:val="0000FF"/>
                  <w:sz w:val="20"/>
                </w:rPr>
                <w:t>2.5.4 </w:t>
              </w:r>
            </w:hyperlink>
            <w:hyperlink w:history="true" w:anchor="_bookmark102">
              <w:r>
                <w:rPr>
                  <w:color w:val="0000FF"/>
                  <w:sz w:val="20"/>
                </w:rPr>
                <w:t>Real-Time Clock (RTC)</w:t>
              </w:r>
              <w:r>
                <w:rPr>
                  <w:sz w:val="20"/>
                </w:rPr>
                <w:t>.</w:t>
              </w:r>
            </w:hyperlink>
            <w:r>
              <w:rPr>
                <w:sz w:val="20"/>
              </w:rPr>
              <w:t> 0x0FFBF </w:t>
            </w:r>
            <w:r>
              <w:rPr>
                <w:rFonts w:ascii="Symbol" w:hAnsi="Symbol"/>
                <w:sz w:val="20"/>
              </w:rPr>
              <w:t></w:t>
            </w:r>
            <w:r>
              <w:rPr>
                <w:rFonts w:ascii="Times New Roman" w:hAnsi="Times New Roman"/>
                <w:sz w:val="20"/>
              </w:rPr>
              <w:t> </w:t>
            </w:r>
            <w:r>
              <w:rPr>
                <w:rFonts w:ascii="Times New Roman" w:hAnsi="Times New Roman"/>
                <w:i/>
                <w:sz w:val="20"/>
              </w:rPr>
              <w:t>RTC_P </w:t>
            </w:r>
            <w:r>
              <w:rPr>
                <w:rFonts w:ascii="Symbol" w:hAnsi="Symbol"/>
                <w:sz w:val="20"/>
              </w:rPr>
              <w:t></w:t>
            </w:r>
            <w:r>
              <w:rPr>
                <w:rFonts w:ascii="Times New Roman" w:hAnsi="Times New Roman"/>
                <w:sz w:val="20"/>
              </w:rPr>
              <w:t> </w:t>
            </w:r>
            <w:r>
              <w:rPr>
                <w:sz w:val="20"/>
              </w:rPr>
              <w:t>0x10040</w:t>
            </w:r>
          </w:p>
          <w:p>
            <w:pPr>
              <w:pStyle w:val="TableParagraph"/>
              <w:spacing w:line="212" w:lineRule="exact"/>
              <w:ind w:left="104"/>
              <w:rPr>
                <w:sz w:val="20"/>
              </w:rPr>
            </w:pPr>
            <w:r>
              <w:rPr>
                <w:sz w:val="20"/>
              </w:rPr>
              <w:t>Note: </w:t>
            </w:r>
            <w:r>
              <w:rPr>
                <w:rFonts w:ascii="Times New Roman"/>
                <w:i/>
                <w:sz w:val="20"/>
              </w:rPr>
              <w:t>RTC_P[16:0] </w:t>
            </w:r>
            <w:r>
              <w:rPr>
                <w:sz w:val="20"/>
              </w:rPr>
              <w:t>and </w:t>
            </w:r>
            <w:r>
              <w:rPr>
                <w:rFonts w:ascii="Times New Roman"/>
                <w:i/>
                <w:sz w:val="20"/>
              </w:rPr>
              <w:t>RTC_Q[1:0] </w:t>
            </w:r>
            <w:r>
              <w:rPr>
                <w:sz w:val="20"/>
              </w:rPr>
              <w:t>form a single 19-bit RTC adjustment value.</w:t>
            </w:r>
          </w:p>
        </w:tc>
      </w:tr>
      <w:tr>
        <w:trPr>
          <w:trHeight w:val="501" w:hRule="atLeast"/>
        </w:trPr>
        <w:tc>
          <w:tcPr>
            <w:tcW w:w="2254" w:type="dxa"/>
            <w:shd w:val="clear" w:color="auto" w:fill="C1C1C1"/>
          </w:tcPr>
          <w:p>
            <w:pPr>
              <w:pStyle w:val="TableParagraph"/>
              <w:spacing w:before="130"/>
              <w:ind w:left="107"/>
              <w:rPr>
                <w:rFonts w:ascii="Times New Roman"/>
                <w:i/>
                <w:sz w:val="20"/>
              </w:rPr>
            </w:pPr>
            <w:r>
              <w:rPr>
                <w:rFonts w:ascii="Times New Roman"/>
                <w:i/>
                <w:sz w:val="20"/>
              </w:rPr>
              <w:t>RTC_Q[1:0]</w:t>
            </w:r>
          </w:p>
        </w:tc>
        <w:tc>
          <w:tcPr>
            <w:tcW w:w="1124" w:type="dxa"/>
            <w:shd w:val="clear" w:color="auto" w:fill="C1C1C1"/>
          </w:tcPr>
          <w:p>
            <w:pPr>
              <w:pStyle w:val="TableParagraph"/>
              <w:spacing w:before="134"/>
              <w:ind w:left="2"/>
              <w:jc w:val="center"/>
              <w:rPr>
                <w:sz w:val="20"/>
              </w:rPr>
            </w:pPr>
            <w:r>
              <w:rPr>
                <w:sz w:val="20"/>
              </w:rPr>
              <w:t>289D[1:0]</w:t>
            </w:r>
          </w:p>
        </w:tc>
        <w:tc>
          <w:tcPr>
            <w:tcW w:w="344" w:type="dxa"/>
            <w:shd w:val="clear" w:color="auto" w:fill="C1C1C1"/>
          </w:tcPr>
          <w:p>
            <w:pPr>
              <w:pStyle w:val="TableParagraph"/>
              <w:spacing w:before="134"/>
              <w:ind w:right="107"/>
              <w:jc w:val="right"/>
              <w:rPr>
                <w:sz w:val="20"/>
              </w:rPr>
            </w:pPr>
            <w:r>
              <w:rPr>
                <w:w w:val="99"/>
                <w:sz w:val="20"/>
              </w:rPr>
              <w:t>0</w:t>
            </w:r>
          </w:p>
        </w:tc>
        <w:tc>
          <w:tcPr>
            <w:tcW w:w="344" w:type="dxa"/>
            <w:shd w:val="clear" w:color="auto" w:fill="C1C1C1"/>
          </w:tcPr>
          <w:p>
            <w:pPr>
              <w:pStyle w:val="TableParagraph"/>
              <w:spacing w:before="134"/>
              <w:ind w:left="2"/>
              <w:jc w:val="center"/>
              <w:rPr>
                <w:sz w:val="20"/>
              </w:rPr>
            </w:pPr>
            <w:r>
              <w:rPr>
                <w:w w:val="99"/>
                <w:sz w:val="20"/>
              </w:rPr>
              <w:t>0</w:t>
            </w:r>
          </w:p>
        </w:tc>
        <w:tc>
          <w:tcPr>
            <w:tcW w:w="620" w:type="dxa"/>
            <w:shd w:val="clear" w:color="auto" w:fill="C1C1C1"/>
          </w:tcPr>
          <w:p>
            <w:pPr>
              <w:pStyle w:val="TableParagraph"/>
              <w:spacing w:before="134"/>
              <w:ind w:left="87" w:right="93"/>
              <w:jc w:val="center"/>
              <w:rPr>
                <w:sz w:val="20"/>
              </w:rPr>
            </w:pPr>
            <w:r>
              <w:rPr>
                <w:sz w:val="20"/>
              </w:rPr>
              <w:t>R/W</w:t>
            </w:r>
          </w:p>
        </w:tc>
        <w:tc>
          <w:tcPr>
            <w:tcW w:w="8014" w:type="dxa"/>
            <w:shd w:val="clear" w:color="auto" w:fill="C1C1C1"/>
          </w:tcPr>
          <w:p>
            <w:pPr>
              <w:pStyle w:val="TableParagraph"/>
              <w:spacing w:line="229" w:lineRule="exact" w:before="16"/>
              <w:ind w:left="104"/>
              <w:rPr>
                <w:sz w:val="20"/>
              </w:rPr>
            </w:pPr>
            <w:r>
              <w:rPr>
                <w:sz w:val="20"/>
              </w:rPr>
              <w:t>RTC adjust. See </w:t>
            </w:r>
            <w:hyperlink w:history="true" w:anchor="_bookmark102">
              <w:r>
                <w:rPr>
                  <w:color w:val="0000FF"/>
                  <w:sz w:val="20"/>
                </w:rPr>
                <w:t>2.5.4 </w:t>
              </w:r>
            </w:hyperlink>
            <w:hyperlink w:history="true" w:anchor="_bookmark102">
              <w:r>
                <w:rPr>
                  <w:color w:val="0000FF"/>
                  <w:sz w:val="20"/>
                </w:rPr>
                <w:t>Real-Time Clock (RTC)</w:t>
              </w:r>
              <w:r>
                <w:rPr>
                  <w:sz w:val="20"/>
                </w:rPr>
                <w:t>.</w:t>
              </w:r>
            </w:hyperlink>
          </w:p>
          <w:p>
            <w:pPr>
              <w:pStyle w:val="TableParagraph"/>
              <w:spacing w:line="230" w:lineRule="exact"/>
              <w:ind w:left="104"/>
              <w:rPr>
                <w:sz w:val="20"/>
              </w:rPr>
            </w:pPr>
            <w:r>
              <w:rPr>
                <w:sz w:val="20"/>
              </w:rPr>
              <w:t>Note: </w:t>
            </w:r>
            <w:r>
              <w:rPr>
                <w:rFonts w:ascii="Times New Roman"/>
                <w:i/>
                <w:sz w:val="20"/>
              </w:rPr>
              <w:t>RTC_P[16:0] </w:t>
            </w:r>
            <w:r>
              <w:rPr>
                <w:sz w:val="20"/>
              </w:rPr>
              <w:t>and </w:t>
            </w:r>
            <w:r>
              <w:rPr>
                <w:rFonts w:ascii="Times New Roman"/>
                <w:i/>
                <w:sz w:val="20"/>
              </w:rPr>
              <w:t>RTC_Q[1:0] </w:t>
            </w:r>
            <w:r>
              <w:rPr>
                <w:sz w:val="20"/>
              </w:rPr>
              <w:t>form a single 19-bit RTC adjustment value.</w:t>
            </w:r>
          </w:p>
        </w:tc>
      </w:tr>
      <w:tr>
        <w:trPr>
          <w:trHeight w:val="750" w:hRule="atLeast"/>
        </w:trPr>
        <w:tc>
          <w:tcPr>
            <w:tcW w:w="2254" w:type="dxa"/>
            <w:shd w:val="clear" w:color="auto" w:fill="C1C1C1"/>
          </w:tcPr>
          <w:p>
            <w:pPr>
              <w:pStyle w:val="TableParagraph"/>
              <w:spacing w:before="10"/>
              <w:rPr>
                <w:b/>
                <w:sz w:val="21"/>
              </w:rPr>
            </w:pPr>
          </w:p>
          <w:p>
            <w:pPr>
              <w:pStyle w:val="TableParagraph"/>
              <w:spacing w:before="1"/>
              <w:ind w:left="107"/>
              <w:rPr>
                <w:rFonts w:ascii="Times New Roman"/>
                <w:i/>
                <w:sz w:val="20"/>
              </w:rPr>
            </w:pPr>
            <w:r>
              <w:rPr>
                <w:rFonts w:ascii="Times New Roman"/>
                <w:i/>
                <w:sz w:val="20"/>
              </w:rPr>
              <w:t>RTC_RD</w:t>
            </w:r>
          </w:p>
        </w:tc>
        <w:tc>
          <w:tcPr>
            <w:tcW w:w="1124" w:type="dxa"/>
            <w:shd w:val="clear" w:color="auto" w:fill="C1C1C1"/>
          </w:tcPr>
          <w:p>
            <w:pPr>
              <w:pStyle w:val="TableParagraph"/>
              <w:spacing w:before="3"/>
              <w:rPr>
                <w:b/>
                <w:sz w:val="22"/>
              </w:rPr>
            </w:pPr>
          </w:p>
          <w:p>
            <w:pPr>
              <w:pStyle w:val="TableParagraph"/>
              <w:ind w:left="5"/>
              <w:jc w:val="center"/>
              <w:rPr>
                <w:sz w:val="20"/>
              </w:rPr>
            </w:pPr>
            <w:r>
              <w:rPr>
                <w:sz w:val="20"/>
              </w:rPr>
              <w:t>2890[6]</w:t>
            </w:r>
          </w:p>
        </w:tc>
        <w:tc>
          <w:tcPr>
            <w:tcW w:w="344" w:type="dxa"/>
            <w:shd w:val="clear" w:color="auto" w:fill="C1C1C1"/>
          </w:tcPr>
          <w:p>
            <w:pPr>
              <w:pStyle w:val="TableParagraph"/>
              <w:spacing w:before="3"/>
              <w:rPr>
                <w:b/>
                <w:sz w:val="22"/>
              </w:rPr>
            </w:pPr>
          </w:p>
          <w:p>
            <w:pPr>
              <w:pStyle w:val="TableParagraph"/>
              <w:ind w:right="107"/>
              <w:jc w:val="right"/>
              <w:rPr>
                <w:sz w:val="20"/>
              </w:rPr>
            </w:pPr>
            <w:r>
              <w:rPr>
                <w:w w:val="99"/>
                <w:sz w:val="20"/>
              </w:rPr>
              <w:t>0</w:t>
            </w:r>
          </w:p>
        </w:tc>
        <w:tc>
          <w:tcPr>
            <w:tcW w:w="344" w:type="dxa"/>
            <w:shd w:val="clear" w:color="auto" w:fill="C1C1C1"/>
          </w:tcPr>
          <w:p>
            <w:pPr>
              <w:pStyle w:val="TableParagraph"/>
              <w:spacing w:before="3"/>
              <w:rPr>
                <w:b/>
                <w:sz w:val="22"/>
              </w:rPr>
            </w:pPr>
          </w:p>
          <w:p>
            <w:pPr>
              <w:pStyle w:val="TableParagraph"/>
              <w:ind w:left="2"/>
              <w:jc w:val="center"/>
              <w:rPr>
                <w:sz w:val="20"/>
              </w:rPr>
            </w:pPr>
            <w:r>
              <w:rPr>
                <w:w w:val="99"/>
                <w:sz w:val="20"/>
              </w:rPr>
              <w:t>0</w:t>
            </w:r>
          </w:p>
        </w:tc>
        <w:tc>
          <w:tcPr>
            <w:tcW w:w="620" w:type="dxa"/>
            <w:shd w:val="clear" w:color="auto" w:fill="C1C1C1"/>
          </w:tcPr>
          <w:p>
            <w:pPr>
              <w:pStyle w:val="TableParagraph"/>
              <w:spacing w:before="3"/>
              <w:rPr>
                <w:b/>
                <w:sz w:val="22"/>
              </w:rPr>
            </w:pPr>
          </w:p>
          <w:p>
            <w:pPr>
              <w:pStyle w:val="TableParagraph"/>
              <w:ind w:left="87" w:right="93"/>
              <w:jc w:val="center"/>
              <w:rPr>
                <w:sz w:val="20"/>
              </w:rPr>
            </w:pPr>
            <w:r>
              <w:rPr>
                <w:sz w:val="20"/>
              </w:rPr>
              <w:t>R/W</w:t>
            </w:r>
          </w:p>
        </w:tc>
        <w:tc>
          <w:tcPr>
            <w:tcW w:w="8014" w:type="dxa"/>
            <w:shd w:val="clear" w:color="auto" w:fill="C1C1C1"/>
          </w:tcPr>
          <w:p>
            <w:pPr>
              <w:pStyle w:val="TableParagraph"/>
              <w:spacing w:before="14"/>
              <w:ind w:left="104" w:right="249"/>
              <w:rPr>
                <w:sz w:val="20"/>
              </w:rPr>
            </w:pPr>
            <w:r>
              <w:rPr>
                <w:sz w:val="20"/>
              </w:rPr>
              <w:t>Freezes the RTC shadow register so it is suitable for MPU reads. When </w:t>
            </w:r>
            <w:r>
              <w:rPr>
                <w:rFonts w:ascii="Times New Roman"/>
                <w:i/>
                <w:sz w:val="20"/>
              </w:rPr>
              <w:t>RTC_RD </w:t>
            </w:r>
            <w:r>
              <w:rPr>
                <w:sz w:val="20"/>
              </w:rPr>
              <w:t>is read, it returns the status of the shadow register:</w:t>
            </w:r>
          </w:p>
          <w:p>
            <w:pPr>
              <w:pStyle w:val="TableParagraph"/>
              <w:spacing w:before="23"/>
              <w:ind w:left="104"/>
              <w:rPr>
                <w:sz w:val="20"/>
              </w:rPr>
            </w:pPr>
            <w:r>
              <w:rPr>
                <w:sz w:val="20"/>
              </w:rPr>
              <w:t>0 = up to date, 1 = frozen.</w:t>
            </w:r>
          </w:p>
        </w:tc>
      </w:tr>
      <w:tr>
        <w:trPr>
          <w:trHeight w:val="268" w:hRule="atLeast"/>
        </w:trPr>
        <w:tc>
          <w:tcPr>
            <w:tcW w:w="2254" w:type="dxa"/>
          </w:tcPr>
          <w:p>
            <w:pPr>
              <w:pStyle w:val="TableParagraph"/>
              <w:spacing w:before="12"/>
              <w:ind w:left="107"/>
              <w:rPr>
                <w:rFonts w:ascii="Times New Roman"/>
                <w:i/>
                <w:sz w:val="20"/>
              </w:rPr>
            </w:pPr>
            <w:r>
              <w:rPr>
                <w:rFonts w:ascii="Times New Roman"/>
                <w:i/>
                <w:sz w:val="20"/>
              </w:rPr>
              <w:t>RTC_SBSC[7:0]</w:t>
            </w:r>
          </w:p>
        </w:tc>
        <w:tc>
          <w:tcPr>
            <w:tcW w:w="1124" w:type="dxa"/>
          </w:tcPr>
          <w:p>
            <w:pPr>
              <w:pStyle w:val="TableParagraph"/>
              <w:spacing w:before="16"/>
              <w:ind w:left="5"/>
              <w:jc w:val="center"/>
              <w:rPr>
                <w:sz w:val="20"/>
              </w:rPr>
            </w:pPr>
            <w:r>
              <w:rPr>
                <w:sz w:val="20"/>
              </w:rPr>
              <w:t>2892[7:0]</w:t>
            </w:r>
          </w:p>
        </w:tc>
        <w:tc>
          <w:tcPr>
            <w:tcW w:w="344" w:type="dxa"/>
          </w:tcPr>
          <w:p>
            <w:pPr>
              <w:pStyle w:val="TableParagraph"/>
              <w:spacing w:before="16"/>
              <w:ind w:right="107"/>
              <w:jc w:val="right"/>
              <w:rPr>
                <w:sz w:val="20"/>
              </w:rPr>
            </w:pPr>
            <w:r>
              <w:rPr>
                <w:w w:val="99"/>
                <w:sz w:val="20"/>
              </w:rPr>
              <w:t>–</w:t>
            </w:r>
          </w:p>
        </w:tc>
        <w:tc>
          <w:tcPr>
            <w:tcW w:w="344" w:type="dxa"/>
          </w:tcPr>
          <w:p>
            <w:pPr>
              <w:pStyle w:val="TableParagraph"/>
              <w:spacing w:before="16"/>
              <w:ind w:left="2"/>
              <w:jc w:val="center"/>
              <w:rPr>
                <w:sz w:val="20"/>
              </w:rPr>
            </w:pPr>
            <w:r>
              <w:rPr>
                <w:w w:val="99"/>
                <w:sz w:val="20"/>
              </w:rPr>
              <w:t>–</w:t>
            </w:r>
          </w:p>
        </w:tc>
        <w:tc>
          <w:tcPr>
            <w:tcW w:w="620" w:type="dxa"/>
          </w:tcPr>
          <w:p>
            <w:pPr>
              <w:pStyle w:val="TableParagraph"/>
              <w:spacing w:before="16"/>
              <w:ind w:left="3"/>
              <w:jc w:val="center"/>
              <w:rPr>
                <w:sz w:val="20"/>
              </w:rPr>
            </w:pPr>
            <w:r>
              <w:rPr>
                <w:w w:val="99"/>
                <w:sz w:val="20"/>
              </w:rPr>
              <w:t>R</w:t>
            </w:r>
          </w:p>
        </w:tc>
        <w:tc>
          <w:tcPr>
            <w:tcW w:w="8014" w:type="dxa"/>
          </w:tcPr>
          <w:p>
            <w:pPr>
              <w:pStyle w:val="TableParagraph"/>
              <w:spacing w:before="16"/>
              <w:ind w:left="104"/>
              <w:rPr>
                <w:sz w:val="20"/>
              </w:rPr>
            </w:pPr>
            <w:r>
              <w:rPr>
                <w:sz w:val="20"/>
              </w:rPr>
              <w:t>Time remaining since the last 1 second boundary. LSB=1/128 second.</w:t>
            </w:r>
          </w:p>
        </w:tc>
      </w:tr>
      <w:tr>
        <w:trPr>
          <w:trHeight w:val="270" w:hRule="atLeast"/>
        </w:trPr>
        <w:tc>
          <w:tcPr>
            <w:tcW w:w="2254" w:type="dxa"/>
            <w:shd w:val="clear" w:color="auto" w:fill="C1C1C1"/>
          </w:tcPr>
          <w:p>
            <w:pPr>
              <w:pStyle w:val="TableParagraph"/>
              <w:spacing w:before="14"/>
              <w:ind w:left="107"/>
              <w:rPr>
                <w:rFonts w:ascii="Times New Roman"/>
                <w:i/>
                <w:sz w:val="20"/>
              </w:rPr>
            </w:pPr>
            <w:r>
              <w:rPr>
                <w:rFonts w:ascii="Times New Roman"/>
                <w:i/>
                <w:sz w:val="20"/>
              </w:rPr>
              <w:t>RTC_TMIN[5:0]</w:t>
            </w:r>
          </w:p>
        </w:tc>
        <w:tc>
          <w:tcPr>
            <w:tcW w:w="1124" w:type="dxa"/>
            <w:shd w:val="clear" w:color="auto" w:fill="C1C1C1"/>
          </w:tcPr>
          <w:p>
            <w:pPr>
              <w:pStyle w:val="TableParagraph"/>
              <w:spacing w:before="18"/>
              <w:ind w:left="2"/>
              <w:jc w:val="center"/>
              <w:rPr>
                <w:sz w:val="20"/>
              </w:rPr>
            </w:pPr>
            <w:r>
              <w:rPr>
                <w:sz w:val="20"/>
              </w:rPr>
              <w:t>289E[5:0]</w:t>
            </w:r>
          </w:p>
        </w:tc>
        <w:tc>
          <w:tcPr>
            <w:tcW w:w="344" w:type="dxa"/>
            <w:shd w:val="clear" w:color="auto" w:fill="C1C1C1"/>
          </w:tcPr>
          <w:p>
            <w:pPr>
              <w:pStyle w:val="TableParagraph"/>
              <w:spacing w:before="18"/>
              <w:ind w:right="107"/>
              <w:jc w:val="right"/>
              <w:rPr>
                <w:sz w:val="20"/>
              </w:rPr>
            </w:pPr>
            <w:r>
              <w:rPr>
                <w:w w:val="99"/>
                <w:sz w:val="20"/>
              </w:rPr>
              <w:t>0</w:t>
            </w:r>
          </w:p>
        </w:tc>
        <w:tc>
          <w:tcPr>
            <w:tcW w:w="344" w:type="dxa"/>
            <w:shd w:val="clear" w:color="auto" w:fill="C1C1C1"/>
          </w:tcPr>
          <w:p>
            <w:pPr>
              <w:pStyle w:val="TableParagraph"/>
              <w:spacing w:before="18"/>
              <w:ind w:left="2"/>
              <w:jc w:val="center"/>
              <w:rPr>
                <w:sz w:val="20"/>
              </w:rPr>
            </w:pPr>
            <w:r>
              <w:rPr>
                <w:w w:val="99"/>
                <w:sz w:val="20"/>
              </w:rPr>
              <w:t>–</w:t>
            </w:r>
          </w:p>
        </w:tc>
        <w:tc>
          <w:tcPr>
            <w:tcW w:w="620" w:type="dxa"/>
            <w:shd w:val="clear" w:color="auto" w:fill="C1C1C1"/>
          </w:tcPr>
          <w:p>
            <w:pPr>
              <w:pStyle w:val="TableParagraph"/>
              <w:spacing w:before="18"/>
              <w:ind w:left="87" w:right="93"/>
              <w:jc w:val="center"/>
              <w:rPr>
                <w:sz w:val="20"/>
              </w:rPr>
            </w:pPr>
            <w:r>
              <w:rPr>
                <w:sz w:val="20"/>
              </w:rPr>
              <w:t>R/W</w:t>
            </w:r>
          </w:p>
        </w:tc>
        <w:tc>
          <w:tcPr>
            <w:tcW w:w="8014" w:type="dxa"/>
            <w:shd w:val="clear" w:color="auto" w:fill="C1C1C1"/>
          </w:tcPr>
          <w:p>
            <w:pPr>
              <w:pStyle w:val="TableParagraph"/>
              <w:spacing w:before="18"/>
              <w:ind w:left="104"/>
              <w:rPr>
                <w:sz w:val="20"/>
              </w:rPr>
            </w:pPr>
            <w:r>
              <w:rPr>
                <w:sz w:val="20"/>
              </w:rPr>
              <w:t>The target minutes register. See RTC_THR below.</w:t>
            </w:r>
          </w:p>
        </w:tc>
      </w:tr>
      <w:tr>
        <w:trPr>
          <w:trHeight w:val="501" w:hRule="atLeast"/>
        </w:trPr>
        <w:tc>
          <w:tcPr>
            <w:tcW w:w="2254" w:type="dxa"/>
            <w:shd w:val="clear" w:color="auto" w:fill="C1C1C1"/>
          </w:tcPr>
          <w:p>
            <w:pPr>
              <w:pStyle w:val="TableParagraph"/>
              <w:spacing w:before="130"/>
              <w:ind w:left="107"/>
              <w:rPr>
                <w:rFonts w:ascii="Times New Roman"/>
                <w:i/>
                <w:sz w:val="20"/>
              </w:rPr>
            </w:pPr>
            <w:r>
              <w:rPr>
                <w:rFonts w:ascii="Times New Roman"/>
                <w:i/>
                <w:sz w:val="20"/>
              </w:rPr>
              <w:t>RTC_THR[4:0]</w:t>
            </w:r>
          </w:p>
        </w:tc>
        <w:tc>
          <w:tcPr>
            <w:tcW w:w="1124" w:type="dxa"/>
            <w:shd w:val="clear" w:color="auto" w:fill="C1C1C1"/>
          </w:tcPr>
          <w:p>
            <w:pPr>
              <w:pStyle w:val="TableParagraph"/>
              <w:spacing w:before="134"/>
              <w:ind w:left="4"/>
              <w:jc w:val="center"/>
              <w:rPr>
                <w:sz w:val="20"/>
              </w:rPr>
            </w:pPr>
            <w:r>
              <w:rPr>
                <w:sz w:val="20"/>
              </w:rPr>
              <w:t>289F[4:0]</w:t>
            </w:r>
          </w:p>
        </w:tc>
        <w:tc>
          <w:tcPr>
            <w:tcW w:w="344" w:type="dxa"/>
            <w:shd w:val="clear" w:color="auto" w:fill="C1C1C1"/>
          </w:tcPr>
          <w:p>
            <w:pPr>
              <w:pStyle w:val="TableParagraph"/>
              <w:spacing w:before="134"/>
              <w:ind w:right="107"/>
              <w:jc w:val="right"/>
              <w:rPr>
                <w:sz w:val="20"/>
              </w:rPr>
            </w:pPr>
            <w:r>
              <w:rPr>
                <w:w w:val="99"/>
                <w:sz w:val="20"/>
              </w:rPr>
              <w:t>0</w:t>
            </w:r>
          </w:p>
        </w:tc>
        <w:tc>
          <w:tcPr>
            <w:tcW w:w="344" w:type="dxa"/>
            <w:shd w:val="clear" w:color="auto" w:fill="C1C1C1"/>
          </w:tcPr>
          <w:p>
            <w:pPr>
              <w:pStyle w:val="TableParagraph"/>
              <w:spacing w:before="134"/>
              <w:ind w:left="2"/>
              <w:jc w:val="center"/>
              <w:rPr>
                <w:sz w:val="20"/>
              </w:rPr>
            </w:pPr>
            <w:r>
              <w:rPr>
                <w:w w:val="99"/>
                <w:sz w:val="20"/>
              </w:rPr>
              <w:t>–</w:t>
            </w:r>
          </w:p>
        </w:tc>
        <w:tc>
          <w:tcPr>
            <w:tcW w:w="620" w:type="dxa"/>
            <w:shd w:val="clear" w:color="auto" w:fill="C1C1C1"/>
          </w:tcPr>
          <w:p>
            <w:pPr>
              <w:pStyle w:val="TableParagraph"/>
              <w:spacing w:before="134"/>
              <w:ind w:left="87" w:right="93"/>
              <w:jc w:val="center"/>
              <w:rPr>
                <w:sz w:val="20"/>
              </w:rPr>
            </w:pPr>
            <w:r>
              <w:rPr>
                <w:sz w:val="20"/>
              </w:rPr>
              <w:t>R/W</w:t>
            </w:r>
          </w:p>
        </w:tc>
        <w:tc>
          <w:tcPr>
            <w:tcW w:w="8014" w:type="dxa"/>
            <w:shd w:val="clear" w:color="auto" w:fill="C1C1C1"/>
          </w:tcPr>
          <w:p>
            <w:pPr>
              <w:pStyle w:val="TableParagraph"/>
              <w:spacing w:before="16"/>
              <w:ind w:left="104" w:right="249"/>
              <w:rPr>
                <w:sz w:val="20"/>
              </w:rPr>
            </w:pPr>
            <w:r>
              <w:rPr>
                <w:sz w:val="20"/>
              </w:rPr>
              <w:t>The </w:t>
            </w:r>
            <w:r>
              <w:rPr>
                <w:spacing w:val="-3"/>
                <w:sz w:val="20"/>
              </w:rPr>
              <w:t>target hours register. </w:t>
            </w:r>
            <w:r>
              <w:rPr>
                <w:sz w:val="20"/>
              </w:rPr>
              <w:t>The </w:t>
            </w:r>
            <w:r>
              <w:rPr>
                <w:spacing w:val="-3"/>
                <w:sz w:val="20"/>
              </w:rPr>
              <w:t>RTC_T interrupt occurs when </w:t>
            </w:r>
            <w:r>
              <w:rPr>
                <w:rFonts w:ascii="Times New Roman"/>
                <w:i/>
                <w:spacing w:val="-3"/>
                <w:sz w:val="20"/>
              </w:rPr>
              <w:t>RTC_MIN </w:t>
            </w:r>
            <w:r>
              <w:rPr>
                <w:spacing w:val="-3"/>
                <w:sz w:val="20"/>
              </w:rPr>
              <w:t>[5:0] becomes equal </w:t>
            </w:r>
            <w:r>
              <w:rPr>
                <w:sz w:val="20"/>
              </w:rPr>
              <w:t>to </w:t>
            </w:r>
            <w:r>
              <w:rPr>
                <w:rFonts w:ascii="Times New Roman"/>
                <w:i/>
                <w:spacing w:val="-3"/>
                <w:sz w:val="20"/>
              </w:rPr>
              <w:t>RTC_TMIN[5:0] </w:t>
            </w:r>
            <w:r>
              <w:rPr>
                <w:sz w:val="20"/>
              </w:rPr>
              <w:t>and </w:t>
            </w:r>
            <w:r>
              <w:rPr>
                <w:rFonts w:ascii="Times New Roman"/>
                <w:i/>
                <w:spacing w:val="-3"/>
                <w:sz w:val="20"/>
              </w:rPr>
              <w:t>RTC_HR[4:0] </w:t>
            </w:r>
            <w:r>
              <w:rPr>
                <w:spacing w:val="-3"/>
                <w:sz w:val="20"/>
              </w:rPr>
              <w:t>becomes equal </w:t>
            </w:r>
            <w:r>
              <w:rPr>
                <w:sz w:val="20"/>
              </w:rPr>
              <w:t>to </w:t>
            </w:r>
            <w:r>
              <w:rPr>
                <w:rFonts w:ascii="Times New Roman"/>
                <w:i/>
                <w:spacing w:val="-3"/>
                <w:sz w:val="20"/>
              </w:rPr>
              <w:t>RTC_THR[4:0]</w:t>
            </w:r>
            <w:r>
              <w:rPr>
                <w:spacing w:val="-3"/>
                <w:sz w:val="20"/>
              </w:rPr>
              <w:t>.</w:t>
            </w:r>
          </w:p>
        </w:tc>
      </w:tr>
      <w:tr>
        <w:trPr>
          <w:trHeight w:val="962" w:hRule="atLeast"/>
        </w:trPr>
        <w:tc>
          <w:tcPr>
            <w:tcW w:w="2254" w:type="dxa"/>
          </w:tcPr>
          <w:p>
            <w:pPr>
              <w:pStyle w:val="TableParagraph"/>
              <w:spacing w:before="3"/>
              <w:rPr>
                <w:b/>
                <w:sz w:val="31"/>
              </w:rPr>
            </w:pPr>
          </w:p>
          <w:p>
            <w:pPr>
              <w:pStyle w:val="TableParagraph"/>
              <w:spacing w:before="1"/>
              <w:ind w:left="107"/>
              <w:rPr>
                <w:rFonts w:ascii="Times New Roman"/>
                <w:i/>
                <w:sz w:val="20"/>
              </w:rPr>
            </w:pPr>
            <w:r>
              <w:rPr>
                <w:rFonts w:ascii="Times New Roman"/>
                <w:i/>
                <w:sz w:val="20"/>
              </w:rPr>
              <w:t>RTC_WR</w:t>
            </w:r>
          </w:p>
        </w:tc>
        <w:tc>
          <w:tcPr>
            <w:tcW w:w="1124" w:type="dxa"/>
          </w:tcPr>
          <w:p>
            <w:pPr>
              <w:pStyle w:val="TableParagraph"/>
              <w:spacing w:before="7"/>
              <w:rPr>
                <w:b/>
                <w:sz w:val="31"/>
              </w:rPr>
            </w:pPr>
          </w:p>
          <w:p>
            <w:pPr>
              <w:pStyle w:val="TableParagraph"/>
              <w:ind w:left="4"/>
              <w:jc w:val="center"/>
              <w:rPr>
                <w:sz w:val="20"/>
              </w:rPr>
            </w:pPr>
            <w:r>
              <w:rPr>
                <w:sz w:val="20"/>
              </w:rPr>
              <w:t>2890[7]</w:t>
            </w:r>
          </w:p>
        </w:tc>
        <w:tc>
          <w:tcPr>
            <w:tcW w:w="344" w:type="dxa"/>
          </w:tcPr>
          <w:p>
            <w:pPr>
              <w:pStyle w:val="TableParagraph"/>
              <w:spacing w:before="7"/>
              <w:rPr>
                <w:b/>
                <w:sz w:val="31"/>
              </w:rPr>
            </w:pPr>
          </w:p>
          <w:p>
            <w:pPr>
              <w:pStyle w:val="TableParagraph"/>
              <w:ind w:right="107"/>
              <w:jc w:val="right"/>
              <w:rPr>
                <w:sz w:val="20"/>
              </w:rPr>
            </w:pPr>
            <w:r>
              <w:rPr>
                <w:w w:val="99"/>
                <w:sz w:val="20"/>
              </w:rPr>
              <w:t>0</w:t>
            </w:r>
          </w:p>
        </w:tc>
        <w:tc>
          <w:tcPr>
            <w:tcW w:w="344" w:type="dxa"/>
          </w:tcPr>
          <w:p>
            <w:pPr>
              <w:pStyle w:val="TableParagraph"/>
              <w:spacing w:before="7"/>
              <w:rPr>
                <w:b/>
                <w:sz w:val="31"/>
              </w:rPr>
            </w:pPr>
          </w:p>
          <w:p>
            <w:pPr>
              <w:pStyle w:val="TableParagraph"/>
              <w:ind w:left="2"/>
              <w:jc w:val="center"/>
              <w:rPr>
                <w:sz w:val="20"/>
              </w:rPr>
            </w:pPr>
            <w:r>
              <w:rPr>
                <w:w w:val="99"/>
                <w:sz w:val="20"/>
              </w:rPr>
              <w:t>0</w:t>
            </w:r>
          </w:p>
        </w:tc>
        <w:tc>
          <w:tcPr>
            <w:tcW w:w="620" w:type="dxa"/>
          </w:tcPr>
          <w:p>
            <w:pPr>
              <w:pStyle w:val="TableParagraph"/>
              <w:spacing w:before="7"/>
              <w:rPr>
                <w:b/>
                <w:sz w:val="31"/>
              </w:rPr>
            </w:pPr>
          </w:p>
          <w:p>
            <w:pPr>
              <w:pStyle w:val="TableParagraph"/>
              <w:ind w:left="87" w:right="93"/>
              <w:jc w:val="center"/>
              <w:rPr>
                <w:sz w:val="20"/>
              </w:rPr>
            </w:pPr>
            <w:r>
              <w:rPr>
                <w:sz w:val="20"/>
              </w:rPr>
              <w:t>R/W</w:t>
            </w:r>
          </w:p>
        </w:tc>
        <w:tc>
          <w:tcPr>
            <w:tcW w:w="8014" w:type="dxa"/>
          </w:tcPr>
          <w:p>
            <w:pPr>
              <w:pStyle w:val="TableParagraph"/>
              <w:spacing w:before="16"/>
              <w:ind w:left="104"/>
              <w:rPr>
                <w:sz w:val="20"/>
              </w:rPr>
            </w:pPr>
            <w:r>
              <w:rPr>
                <w:sz w:val="20"/>
              </w:rPr>
              <w:t>Freezes the RTC shadow register so it is suitable for MPU writes. When </w:t>
            </w:r>
            <w:r>
              <w:rPr>
                <w:rFonts w:ascii="Times New Roman"/>
                <w:i/>
                <w:sz w:val="20"/>
              </w:rPr>
              <w:t>RTC_WR </w:t>
            </w:r>
            <w:r>
              <w:rPr>
                <w:sz w:val="20"/>
              </w:rPr>
              <w:t>is cleared, the contents of the shadow register are written to the RTC counter on the next RTC clock (~1 kHz). When </w:t>
            </w:r>
            <w:r>
              <w:rPr>
                <w:rFonts w:ascii="Times New Roman"/>
                <w:i/>
                <w:sz w:val="20"/>
              </w:rPr>
              <w:t>RTC_WR </w:t>
            </w:r>
            <w:r>
              <w:rPr>
                <w:sz w:val="20"/>
              </w:rPr>
              <w:t>is read, it returns 1 as long as </w:t>
            </w:r>
            <w:r>
              <w:rPr>
                <w:rFonts w:ascii="Times New Roman"/>
                <w:i/>
                <w:sz w:val="20"/>
              </w:rPr>
              <w:t>RTC_WR </w:t>
            </w:r>
            <w:r>
              <w:rPr>
                <w:sz w:val="20"/>
              </w:rPr>
              <w:t>is set. It continues to return one until the RTC counter actually updates.</w:t>
            </w:r>
          </w:p>
        </w:tc>
      </w:tr>
      <w:tr>
        <w:trPr>
          <w:trHeight w:val="2663" w:hRule="atLeast"/>
        </w:trPr>
        <w:tc>
          <w:tcPr>
            <w:tcW w:w="2254" w:type="dxa"/>
          </w:tcPr>
          <w:p>
            <w:pPr>
              <w:pStyle w:val="TableParagraph"/>
              <w:rPr>
                <w:b/>
                <w:sz w:val="22"/>
              </w:rPr>
            </w:pPr>
          </w:p>
          <w:p>
            <w:pPr>
              <w:pStyle w:val="TableParagraph"/>
              <w:spacing w:before="9"/>
              <w:rPr>
                <w:b/>
                <w:sz w:val="20"/>
              </w:rPr>
            </w:pPr>
          </w:p>
          <w:p>
            <w:pPr>
              <w:pStyle w:val="TableParagraph"/>
              <w:spacing w:line="249" w:lineRule="auto"/>
              <w:ind w:left="107"/>
              <w:rPr>
                <w:rFonts w:ascii="Times New Roman"/>
                <w:i/>
                <w:sz w:val="20"/>
              </w:rPr>
            </w:pPr>
            <w:r>
              <w:rPr>
                <w:rFonts w:ascii="Times New Roman"/>
                <w:i/>
                <w:sz w:val="20"/>
              </w:rPr>
              <w:t>RTC_SEC[5:0] </w:t>
            </w:r>
            <w:r>
              <w:rPr>
                <w:rFonts w:ascii="Times New Roman"/>
                <w:i/>
                <w:sz w:val="20"/>
              </w:rPr>
              <w:t>RTC_MIN[5:0] RTC_HR[4:0] RTC_DAY[2:0] </w:t>
            </w:r>
            <w:r>
              <w:rPr>
                <w:rFonts w:ascii="Times New Roman"/>
                <w:i/>
                <w:w w:val="95"/>
                <w:sz w:val="20"/>
              </w:rPr>
              <w:t>RTC_DATE[4:0] </w:t>
            </w:r>
            <w:r>
              <w:rPr>
                <w:rFonts w:ascii="Times New Roman"/>
                <w:i/>
                <w:sz w:val="20"/>
              </w:rPr>
              <w:t>RTC_MO[3:0] RTC_YR[7:0]</w:t>
            </w:r>
          </w:p>
        </w:tc>
        <w:tc>
          <w:tcPr>
            <w:tcW w:w="1124" w:type="dxa"/>
          </w:tcPr>
          <w:p>
            <w:pPr>
              <w:pStyle w:val="TableParagraph"/>
              <w:rPr>
                <w:b/>
                <w:sz w:val="22"/>
              </w:rPr>
            </w:pPr>
          </w:p>
          <w:p>
            <w:pPr>
              <w:pStyle w:val="TableParagraph"/>
              <w:spacing w:before="1"/>
              <w:rPr>
                <w:b/>
                <w:sz w:val="21"/>
              </w:rPr>
            </w:pPr>
          </w:p>
          <w:p>
            <w:pPr>
              <w:pStyle w:val="TableParagraph"/>
              <w:spacing w:before="1"/>
              <w:ind w:left="143"/>
              <w:rPr>
                <w:sz w:val="20"/>
              </w:rPr>
            </w:pPr>
            <w:r>
              <w:rPr>
                <w:sz w:val="20"/>
              </w:rPr>
              <w:t>2893[5:0]</w:t>
            </w:r>
          </w:p>
          <w:p>
            <w:pPr>
              <w:pStyle w:val="TableParagraph"/>
              <w:spacing w:before="10"/>
              <w:ind w:left="143"/>
              <w:rPr>
                <w:sz w:val="20"/>
              </w:rPr>
            </w:pPr>
            <w:r>
              <w:rPr>
                <w:sz w:val="20"/>
              </w:rPr>
              <w:t>2894[5:0]</w:t>
            </w:r>
          </w:p>
          <w:p>
            <w:pPr>
              <w:pStyle w:val="TableParagraph"/>
              <w:spacing w:before="10"/>
              <w:ind w:left="143"/>
              <w:rPr>
                <w:sz w:val="20"/>
              </w:rPr>
            </w:pPr>
            <w:r>
              <w:rPr>
                <w:sz w:val="20"/>
              </w:rPr>
              <w:t>2895[4:0]</w:t>
            </w:r>
          </w:p>
          <w:p>
            <w:pPr>
              <w:pStyle w:val="TableParagraph"/>
              <w:spacing w:before="10"/>
              <w:ind w:left="143"/>
              <w:rPr>
                <w:sz w:val="20"/>
              </w:rPr>
            </w:pPr>
            <w:r>
              <w:rPr>
                <w:sz w:val="20"/>
              </w:rPr>
              <w:t>2896[2:0]</w:t>
            </w:r>
          </w:p>
          <w:p>
            <w:pPr>
              <w:pStyle w:val="TableParagraph"/>
              <w:spacing w:before="10"/>
              <w:ind w:left="143"/>
              <w:rPr>
                <w:sz w:val="20"/>
              </w:rPr>
            </w:pPr>
            <w:r>
              <w:rPr>
                <w:sz w:val="20"/>
              </w:rPr>
              <w:t>2897[4:0]</w:t>
            </w:r>
          </w:p>
          <w:p>
            <w:pPr>
              <w:pStyle w:val="TableParagraph"/>
              <w:spacing w:before="10"/>
              <w:ind w:left="143"/>
              <w:rPr>
                <w:sz w:val="20"/>
              </w:rPr>
            </w:pPr>
            <w:r>
              <w:rPr>
                <w:sz w:val="20"/>
              </w:rPr>
              <w:t>2898[3:0]</w:t>
            </w:r>
          </w:p>
          <w:p>
            <w:pPr>
              <w:pStyle w:val="TableParagraph"/>
              <w:spacing w:before="8"/>
              <w:ind w:left="143"/>
              <w:rPr>
                <w:sz w:val="20"/>
              </w:rPr>
            </w:pPr>
            <w:r>
              <w:rPr>
                <w:sz w:val="20"/>
              </w:rPr>
              <w:t>2899[7:0]</w:t>
            </w:r>
          </w:p>
        </w:tc>
        <w:tc>
          <w:tcPr>
            <w:tcW w:w="344" w:type="dxa"/>
          </w:tcPr>
          <w:p>
            <w:pPr>
              <w:pStyle w:val="TableParagraph"/>
              <w:rPr>
                <w:b/>
                <w:sz w:val="22"/>
              </w:rPr>
            </w:pPr>
          </w:p>
          <w:p>
            <w:pPr>
              <w:pStyle w:val="TableParagraph"/>
              <w:spacing w:before="2"/>
              <w:rPr>
                <w:b/>
                <w:sz w:val="21"/>
              </w:rPr>
            </w:pPr>
          </w:p>
          <w:p>
            <w:pPr>
              <w:pStyle w:val="TableParagraph"/>
              <w:ind w:left="113"/>
              <w:rPr>
                <w:sz w:val="20"/>
              </w:rPr>
            </w:pPr>
            <w:r>
              <w:rPr>
                <w:w w:val="99"/>
                <w:sz w:val="20"/>
              </w:rPr>
              <w:t>–</w:t>
            </w:r>
          </w:p>
          <w:p>
            <w:pPr>
              <w:pStyle w:val="TableParagraph"/>
              <w:spacing w:before="10"/>
              <w:ind w:left="113"/>
              <w:rPr>
                <w:sz w:val="20"/>
              </w:rPr>
            </w:pPr>
            <w:r>
              <w:rPr>
                <w:w w:val="99"/>
                <w:sz w:val="20"/>
              </w:rPr>
              <w:t>–</w:t>
            </w:r>
          </w:p>
          <w:p>
            <w:pPr>
              <w:pStyle w:val="TableParagraph"/>
              <w:spacing w:before="10"/>
              <w:ind w:left="113"/>
              <w:rPr>
                <w:sz w:val="20"/>
              </w:rPr>
            </w:pPr>
            <w:r>
              <w:rPr>
                <w:w w:val="99"/>
                <w:sz w:val="20"/>
              </w:rPr>
              <w:t>–</w:t>
            </w:r>
          </w:p>
          <w:p>
            <w:pPr>
              <w:pStyle w:val="TableParagraph"/>
              <w:spacing w:before="10"/>
              <w:ind w:left="113"/>
              <w:rPr>
                <w:sz w:val="20"/>
              </w:rPr>
            </w:pPr>
            <w:r>
              <w:rPr>
                <w:w w:val="99"/>
                <w:sz w:val="20"/>
              </w:rPr>
              <w:t>–</w:t>
            </w:r>
          </w:p>
          <w:p>
            <w:pPr>
              <w:pStyle w:val="TableParagraph"/>
              <w:spacing w:before="10"/>
              <w:ind w:left="113"/>
              <w:rPr>
                <w:sz w:val="20"/>
              </w:rPr>
            </w:pPr>
            <w:r>
              <w:rPr>
                <w:w w:val="99"/>
                <w:sz w:val="20"/>
              </w:rPr>
              <w:t>–</w:t>
            </w:r>
          </w:p>
          <w:p>
            <w:pPr>
              <w:pStyle w:val="TableParagraph"/>
              <w:spacing w:before="10"/>
              <w:ind w:left="113"/>
              <w:rPr>
                <w:sz w:val="20"/>
              </w:rPr>
            </w:pPr>
            <w:r>
              <w:rPr>
                <w:w w:val="99"/>
                <w:sz w:val="20"/>
              </w:rPr>
              <w:t>–</w:t>
            </w:r>
          </w:p>
          <w:p>
            <w:pPr>
              <w:pStyle w:val="TableParagraph"/>
              <w:spacing w:before="8"/>
              <w:ind w:left="113"/>
              <w:rPr>
                <w:sz w:val="20"/>
              </w:rPr>
            </w:pPr>
            <w:r>
              <w:rPr>
                <w:w w:val="99"/>
                <w:sz w:val="20"/>
              </w:rPr>
              <w:t>–</w:t>
            </w:r>
          </w:p>
        </w:tc>
        <w:tc>
          <w:tcPr>
            <w:tcW w:w="344" w:type="dxa"/>
          </w:tcPr>
          <w:p>
            <w:pPr>
              <w:pStyle w:val="TableParagraph"/>
              <w:rPr>
                <w:b/>
                <w:sz w:val="22"/>
              </w:rPr>
            </w:pPr>
          </w:p>
          <w:p>
            <w:pPr>
              <w:pStyle w:val="TableParagraph"/>
              <w:spacing w:before="2"/>
              <w:rPr>
                <w:b/>
                <w:sz w:val="21"/>
              </w:rPr>
            </w:pPr>
          </w:p>
          <w:p>
            <w:pPr>
              <w:pStyle w:val="TableParagraph"/>
              <w:ind w:left="113"/>
              <w:rPr>
                <w:sz w:val="20"/>
              </w:rPr>
            </w:pPr>
            <w:r>
              <w:rPr>
                <w:w w:val="99"/>
                <w:sz w:val="20"/>
              </w:rPr>
              <w:t>–</w:t>
            </w:r>
          </w:p>
          <w:p>
            <w:pPr>
              <w:pStyle w:val="TableParagraph"/>
              <w:spacing w:before="10"/>
              <w:ind w:left="113"/>
              <w:rPr>
                <w:sz w:val="20"/>
              </w:rPr>
            </w:pPr>
            <w:r>
              <w:rPr>
                <w:w w:val="99"/>
                <w:sz w:val="20"/>
              </w:rPr>
              <w:t>–</w:t>
            </w:r>
          </w:p>
          <w:p>
            <w:pPr>
              <w:pStyle w:val="TableParagraph"/>
              <w:spacing w:before="10"/>
              <w:ind w:left="113"/>
              <w:rPr>
                <w:sz w:val="20"/>
              </w:rPr>
            </w:pPr>
            <w:r>
              <w:rPr>
                <w:w w:val="99"/>
                <w:sz w:val="20"/>
              </w:rPr>
              <w:t>–</w:t>
            </w:r>
          </w:p>
          <w:p>
            <w:pPr>
              <w:pStyle w:val="TableParagraph"/>
              <w:spacing w:before="10"/>
              <w:ind w:left="113"/>
              <w:rPr>
                <w:sz w:val="20"/>
              </w:rPr>
            </w:pPr>
            <w:r>
              <w:rPr>
                <w:w w:val="99"/>
                <w:sz w:val="20"/>
              </w:rPr>
              <w:t>–</w:t>
            </w:r>
          </w:p>
          <w:p>
            <w:pPr>
              <w:pStyle w:val="TableParagraph"/>
              <w:spacing w:before="10"/>
              <w:ind w:left="113"/>
              <w:rPr>
                <w:sz w:val="20"/>
              </w:rPr>
            </w:pPr>
            <w:r>
              <w:rPr>
                <w:w w:val="99"/>
                <w:sz w:val="20"/>
              </w:rPr>
              <w:t>–</w:t>
            </w:r>
          </w:p>
          <w:p>
            <w:pPr>
              <w:pStyle w:val="TableParagraph"/>
              <w:spacing w:before="10"/>
              <w:ind w:left="113"/>
              <w:rPr>
                <w:sz w:val="20"/>
              </w:rPr>
            </w:pPr>
            <w:r>
              <w:rPr>
                <w:w w:val="99"/>
                <w:sz w:val="20"/>
              </w:rPr>
              <w:t>–</w:t>
            </w:r>
          </w:p>
          <w:p>
            <w:pPr>
              <w:pStyle w:val="TableParagraph"/>
              <w:spacing w:before="8"/>
              <w:ind w:left="113"/>
              <w:rPr>
                <w:sz w:val="20"/>
              </w:rPr>
            </w:pPr>
            <w:r>
              <w:rPr>
                <w:w w:val="99"/>
                <w:sz w:val="20"/>
              </w:rPr>
              <w:t>–</w:t>
            </w:r>
          </w:p>
        </w:tc>
        <w:tc>
          <w:tcPr>
            <w:tcW w:w="62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17"/>
              </w:rPr>
            </w:pPr>
          </w:p>
          <w:p>
            <w:pPr>
              <w:pStyle w:val="TableParagraph"/>
              <w:ind w:left="87" w:right="93"/>
              <w:jc w:val="center"/>
              <w:rPr>
                <w:sz w:val="20"/>
              </w:rPr>
            </w:pPr>
            <w:r>
              <w:rPr>
                <w:sz w:val="20"/>
              </w:rPr>
              <w:t>R/W</w:t>
            </w:r>
          </w:p>
        </w:tc>
        <w:tc>
          <w:tcPr>
            <w:tcW w:w="8014" w:type="dxa"/>
          </w:tcPr>
          <w:p>
            <w:pPr>
              <w:pStyle w:val="TableParagraph"/>
              <w:spacing w:before="18"/>
              <w:ind w:left="104" w:right="128"/>
              <w:rPr>
                <w:sz w:val="20"/>
              </w:rPr>
            </w:pPr>
            <w:r>
              <w:rPr>
                <w:sz w:val="20"/>
              </w:rPr>
              <w:t>The </w:t>
            </w:r>
            <w:r>
              <w:rPr>
                <w:spacing w:val="-3"/>
                <w:sz w:val="20"/>
              </w:rPr>
              <w:t>RTC interface. </w:t>
            </w:r>
            <w:r>
              <w:rPr>
                <w:sz w:val="20"/>
              </w:rPr>
              <w:t>These </w:t>
            </w:r>
            <w:r>
              <w:rPr>
                <w:spacing w:val="-3"/>
                <w:sz w:val="20"/>
              </w:rPr>
              <w:t>are </w:t>
            </w:r>
            <w:r>
              <w:rPr>
                <w:sz w:val="20"/>
              </w:rPr>
              <w:t>the </w:t>
            </w:r>
            <w:r>
              <w:rPr>
                <w:spacing w:val="-4"/>
                <w:sz w:val="20"/>
              </w:rPr>
              <w:t>year, </w:t>
            </w:r>
            <w:r>
              <w:rPr>
                <w:sz w:val="20"/>
              </w:rPr>
              <w:t>month, </w:t>
            </w:r>
            <w:r>
              <w:rPr>
                <w:spacing w:val="-4"/>
                <w:sz w:val="20"/>
              </w:rPr>
              <w:t>day, </w:t>
            </w:r>
            <w:r>
              <w:rPr>
                <w:sz w:val="20"/>
              </w:rPr>
              <w:t>hour, minute and </w:t>
            </w:r>
            <w:r>
              <w:rPr>
                <w:spacing w:val="-3"/>
                <w:sz w:val="20"/>
              </w:rPr>
              <w:t>second parameters </w:t>
            </w:r>
            <w:r>
              <w:rPr>
                <w:sz w:val="20"/>
              </w:rPr>
              <w:t>for the RTC. The RTC is set by </w:t>
            </w:r>
            <w:r>
              <w:rPr>
                <w:spacing w:val="-3"/>
                <w:sz w:val="20"/>
              </w:rPr>
              <w:t>writing </w:t>
            </w:r>
            <w:r>
              <w:rPr>
                <w:sz w:val="20"/>
              </w:rPr>
              <w:t>to </w:t>
            </w:r>
            <w:r>
              <w:rPr>
                <w:spacing w:val="-3"/>
                <w:sz w:val="20"/>
              </w:rPr>
              <w:t>these registers. Year </w:t>
            </w:r>
            <w:r>
              <w:rPr>
                <w:sz w:val="20"/>
              </w:rPr>
              <w:t>00 and all </w:t>
            </w:r>
            <w:r>
              <w:rPr>
                <w:spacing w:val="-3"/>
                <w:sz w:val="20"/>
              </w:rPr>
              <w:t>others </w:t>
            </w:r>
            <w:r>
              <w:rPr>
                <w:spacing w:val="-4"/>
                <w:sz w:val="20"/>
              </w:rPr>
              <w:t>divisible </w:t>
            </w:r>
            <w:r>
              <w:rPr>
                <w:sz w:val="20"/>
              </w:rPr>
              <w:t>by 4 are defined as a leap year.</w:t>
            </w:r>
          </w:p>
          <w:p>
            <w:pPr>
              <w:pStyle w:val="TableParagraph"/>
              <w:spacing w:before="21"/>
              <w:ind w:left="716"/>
              <w:rPr>
                <w:sz w:val="20"/>
              </w:rPr>
            </w:pPr>
            <w:r>
              <w:rPr>
                <w:sz w:val="20"/>
              </w:rPr>
              <w:t>SEC   00 to</w:t>
            </w:r>
            <w:r>
              <w:rPr>
                <w:spacing w:val="-37"/>
                <w:sz w:val="20"/>
              </w:rPr>
              <w:t> </w:t>
            </w:r>
            <w:r>
              <w:rPr>
                <w:sz w:val="20"/>
              </w:rPr>
              <w:t>59</w:t>
            </w:r>
          </w:p>
          <w:p>
            <w:pPr>
              <w:pStyle w:val="TableParagraph"/>
              <w:spacing w:before="10"/>
              <w:ind w:left="716"/>
              <w:rPr>
                <w:sz w:val="20"/>
              </w:rPr>
            </w:pPr>
            <w:r>
              <w:rPr>
                <w:sz w:val="20"/>
              </w:rPr>
              <w:t>MIN   00 to</w:t>
            </w:r>
            <w:r>
              <w:rPr>
                <w:spacing w:val="8"/>
                <w:sz w:val="20"/>
              </w:rPr>
              <w:t> </w:t>
            </w:r>
            <w:r>
              <w:rPr>
                <w:sz w:val="20"/>
              </w:rPr>
              <w:t>59</w:t>
            </w:r>
          </w:p>
          <w:p>
            <w:pPr>
              <w:pStyle w:val="TableParagraph"/>
              <w:tabs>
                <w:tab w:pos="1265" w:val="left" w:leader="none"/>
              </w:tabs>
              <w:spacing w:before="10"/>
              <w:ind w:left="716"/>
              <w:rPr>
                <w:sz w:val="20"/>
              </w:rPr>
            </w:pPr>
            <w:r>
              <w:rPr>
                <w:sz w:val="20"/>
              </w:rPr>
              <w:t>HR</w:t>
              <w:tab/>
              <w:t>00 to 23</w:t>
            </w:r>
            <w:r>
              <w:rPr>
                <w:spacing w:val="25"/>
                <w:sz w:val="20"/>
              </w:rPr>
              <w:t> </w:t>
            </w:r>
            <w:r>
              <w:rPr>
                <w:sz w:val="20"/>
              </w:rPr>
              <w:t>(00=Midnight)</w:t>
            </w:r>
          </w:p>
          <w:p>
            <w:pPr>
              <w:pStyle w:val="TableParagraph"/>
              <w:spacing w:before="8"/>
              <w:ind w:left="716"/>
              <w:rPr>
                <w:sz w:val="20"/>
              </w:rPr>
            </w:pPr>
            <w:r>
              <w:rPr>
                <w:sz w:val="20"/>
              </w:rPr>
              <w:t>DAY 01 to 07 (01=Sunday)</w:t>
            </w:r>
          </w:p>
          <w:p>
            <w:pPr>
              <w:pStyle w:val="TableParagraph"/>
              <w:spacing w:before="10"/>
              <w:ind w:left="716"/>
              <w:rPr>
                <w:sz w:val="20"/>
              </w:rPr>
            </w:pPr>
            <w:r>
              <w:rPr>
                <w:spacing w:val="2"/>
                <w:sz w:val="20"/>
              </w:rPr>
              <w:t>DATE01 </w:t>
            </w:r>
            <w:r>
              <w:rPr>
                <w:sz w:val="20"/>
              </w:rPr>
              <w:t>to</w:t>
            </w:r>
            <w:r>
              <w:rPr>
                <w:spacing w:val="-7"/>
                <w:sz w:val="20"/>
              </w:rPr>
              <w:t> </w:t>
            </w:r>
            <w:r>
              <w:rPr>
                <w:sz w:val="20"/>
              </w:rPr>
              <w:t>31</w:t>
            </w:r>
          </w:p>
          <w:p>
            <w:pPr>
              <w:pStyle w:val="TableParagraph"/>
              <w:tabs>
                <w:tab w:pos="1265" w:val="left" w:leader="none"/>
              </w:tabs>
              <w:ind w:left="716"/>
              <w:rPr>
                <w:rFonts w:ascii="Trebuchet MS"/>
                <w:sz w:val="20"/>
              </w:rPr>
            </w:pPr>
            <w:r>
              <w:rPr>
                <w:rFonts w:ascii="Trebuchet MS"/>
                <w:sz w:val="20"/>
              </w:rPr>
              <w:t>MO</w:t>
              <w:tab/>
              <w:t>01 to 12</w:t>
            </w:r>
          </w:p>
          <w:p>
            <w:pPr>
              <w:pStyle w:val="TableParagraph"/>
              <w:tabs>
                <w:tab w:pos="1265" w:val="left" w:leader="none"/>
              </w:tabs>
              <w:spacing w:before="10"/>
              <w:ind w:left="716"/>
              <w:rPr>
                <w:rFonts w:ascii="Trebuchet MS"/>
                <w:sz w:val="20"/>
              </w:rPr>
            </w:pPr>
            <w:r>
              <w:rPr>
                <w:rFonts w:ascii="Trebuchet MS"/>
                <w:sz w:val="20"/>
              </w:rPr>
              <w:t>YR</w:t>
              <w:tab/>
              <w:t>00 to 99</w:t>
            </w:r>
          </w:p>
          <w:p>
            <w:pPr>
              <w:pStyle w:val="TableParagraph"/>
              <w:spacing w:before="20"/>
              <w:ind w:left="104"/>
              <w:rPr>
                <w:sz w:val="20"/>
              </w:rPr>
            </w:pPr>
            <w:r>
              <w:rPr>
                <w:sz w:val="20"/>
              </w:rPr>
              <w:t>Each write operation to one of these registers must be preceded by a write to 0x2890.</w:t>
            </w:r>
          </w:p>
        </w:tc>
      </w:tr>
      <w:tr>
        <w:trPr>
          <w:trHeight w:val="270" w:hRule="atLeast"/>
        </w:trPr>
        <w:tc>
          <w:tcPr>
            <w:tcW w:w="2254" w:type="dxa"/>
          </w:tcPr>
          <w:p>
            <w:pPr>
              <w:pStyle w:val="TableParagraph"/>
              <w:spacing w:before="14"/>
              <w:ind w:left="107"/>
              <w:rPr>
                <w:rFonts w:ascii="Times New Roman"/>
                <w:i/>
                <w:sz w:val="20"/>
              </w:rPr>
            </w:pPr>
            <w:r>
              <w:rPr>
                <w:rFonts w:ascii="Times New Roman"/>
                <w:i/>
                <w:sz w:val="20"/>
              </w:rPr>
              <w:t>RTM_E</w:t>
            </w:r>
          </w:p>
        </w:tc>
        <w:tc>
          <w:tcPr>
            <w:tcW w:w="1124" w:type="dxa"/>
          </w:tcPr>
          <w:p>
            <w:pPr>
              <w:pStyle w:val="TableParagraph"/>
              <w:spacing w:before="18"/>
              <w:ind w:left="5"/>
              <w:jc w:val="center"/>
              <w:rPr>
                <w:sz w:val="20"/>
              </w:rPr>
            </w:pPr>
            <w:r>
              <w:rPr>
                <w:sz w:val="20"/>
              </w:rPr>
              <w:t>2106[1]</w:t>
            </w:r>
          </w:p>
        </w:tc>
        <w:tc>
          <w:tcPr>
            <w:tcW w:w="344" w:type="dxa"/>
          </w:tcPr>
          <w:p>
            <w:pPr>
              <w:pStyle w:val="TableParagraph"/>
              <w:spacing w:before="18"/>
              <w:ind w:right="107"/>
              <w:jc w:val="right"/>
              <w:rPr>
                <w:sz w:val="20"/>
              </w:rPr>
            </w:pPr>
            <w:r>
              <w:rPr>
                <w:w w:val="99"/>
                <w:sz w:val="20"/>
              </w:rPr>
              <w:t>0</w:t>
            </w:r>
          </w:p>
        </w:tc>
        <w:tc>
          <w:tcPr>
            <w:tcW w:w="344" w:type="dxa"/>
          </w:tcPr>
          <w:p>
            <w:pPr>
              <w:pStyle w:val="TableParagraph"/>
              <w:spacing w:before="18"/>
              <w:ind w:left="2"/>
              <w:jc w:val="center"/>
              <w:rPr>
                <w:sz w:val="20"/>
              </w:rPr>
            </w:pPr>
            <w:r>
              <w:rPr>
                <w:w w:val="99"/>
                <w:sz w:val="20"/>
              </w:rPr>
              <w:t>0</w:t>
            </w:r>
          </w:p>
        </w:tc>
        <w:tc>
          <w:tcPr>
            <w:tcW w:w="620" w:type="dxa"/>
          </w:tcPr>
          <w:p>
            <w:pPr>
              <w:pStyle w:val="TableParagraph"/>
              <w:spacing w:before="18"/>
              <w:ind w:left="87" w:right="93"/>
              <w:jc w:val="center"/>
              <w:rPr>
                <w:sz w:val="20"/>
              </w:rPr>
            </w:pPr>
            <w:r>
              <w:rPr>
                <w:sz w:val="20"/>
              </w:rPr>
              <w:t>R/W</w:t>
            </w:r>
          </w:p>
        </w:tc>
        <w:tc>
          <w:tcPr>
            <w:tcW w:w="8014" w:type="dxa"/>
          </w:tcPr>
          <w:p>
            <w:pPr>
              <w:pStyle w:val="TableParagraph"/>
              <w:spacing w:before="18"/>
              <w:ind w:left="104"/>
              <w:rPr>
                <w:sz w:val="20"/>
              </w:rPr>
            </w:pPr>
            <w:r>
              <w:rPr>
                <w:sz w:val="20"/>
              </w:rPr>
              <w:t>Real Time Monitor enable. When 0, the RTM output is low.</w:t>
            </w:r>
          </w:p>
        </w:tc>
      </w:tr>
    </w:tbl>
    <w:p>
      <w:pPr>
        <w:spacing w:after="0"/>
        <w:rPr>
          <w:sz w:val="20"/>
        </w:rPr>
        <w:sectPr>
          <w:pgSz w:w="15840" w:h="12240" w:orient="landscape"/>
          <w:pgMar w:header="727" w:footer="819" w:top="1180" w:bottom="1000" w:left="1320" w:right="1320"/>
        </w:sectPr>
      </w:pPr>
    </w:p>
    <w:p>
      <w:pPr>
        <w:pStyle w:val="BodyText"/>
        <w:spacing w:before="5"/>
        <w:rPr>
          <w:b/>
          <w:sz w:val="7"/>
        </w:rPr>
      </w:pPr>
    </w:p>
    <w:tbl>
      <w:tblPr>
        <w:tblW w:w="0" w:type="auto"/>
        <w:jc w:val="left"/>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4"/>
        <w:gridCol w:w="1124"/>
        <w:gridCol w:w="344"/>
        <w:gridCol w:w="344"/>
        <w:gridCol w:w="620"/>
        <w:gridCol w:w="8014"/>
      </w:tblGrid>
      <w:tr>
        <w:trPr>
          <w:trHeight w:val="309" w:hRule="atLeast"/>
        </w:trPr>
        <w:tc>
          <w:tcPr>
            <w:tcW w:w="2254" w:type="dxa"/>
          </w:tcPr>
          <w:p>
            <w:pPr>
              <w:pStyle w:val="TableParagraph"/>
              <w:spacing w:before="35"/>
              <w:ind w:left="107"/>
              <w:rPr>
                <w:b/>
                <w:sz w:val="20"/>
              </w:rPr>
            </w:pPr>
            <w:r>
              <w:rPr>
                <w:b/>
                <w:sz w:val="20"/>
              </w:rPr>
              <w:t>Name</w:t>
            </w:r>
          </w:p>
        </w:tc>
        <w:tc>
          <w:tcPr>
            <w:tcW w:w="1124" w:type="dxa"/>
          </w:tcPr>
          <w:p>
            <w:pPr>
              <w:pStyle w:val="TableParagraph"/>
              <w:spacing w:before="35"/>
              <w:ind w:left="4"/>
              <w:jc w:val="center"/>
              <w:rPr>
                <w:b/>
                <w:sz w:val="20"/>
              </w:rPr>
            </w:pPr>
            <w:r>
              <w:rPr>
                <w:b/>
                <w:sz w:val="20"/>
              </w:rPr>
              <w:t>Location</w:t>
            </w:r>
          </w:p>
        </w:tc>
        <w:tc>
          <w:tcPr>
            <w:tcW w:w="344" w:type="dxa"/>
          </w:tcPr>
          <w:p>
            <w:pPr>
              <w:pStyle w:val="TableParagraph"/>
              <w:spacing w:before="35"/>
              <w:ind w:left="2"/>
              <w:jc w:val="center"/>
              <w:rPr>
                <w:b/>
                <w:sz w:val="20"/>
              </w:rPr>
            </w:pPr>
            <w:r>
              <w:rPr>
                <w:b/>
                <w:sz w:val="20"/>
              </w:rPr>
              <w:t>Rst</w:t>
            </w:r>
          </w:p>
        </w:tc>
        <w:tc>
          <w:tcPr>
            <w:tcW w:w="344" w:type="dxa"/>
          </w:tcPr>
          <w:p>
            <w:pPr>
              <w:pStyle w:val="TableParagraph"/>
              <w:spacing w:before="35"/>
              <w:ind w:left="6"/>
              <w:jc w:val="center"/>
              <w:rPr>
                <w:b/>
                <w:sz w:val="20"/>
              </w:rPr>
            </w:pPr>
            <w:r>
              <w:rPr>
                <w:b/>
                <w:sz w:val="20"/>
              </w:rPr>
              <w:t>Wk</w:t>
            </w:r>
          </w:p>
        </w:tc>
        <w:tc>
          <w:tcPr>
            <w:tcW w:w="620" w:type="dxa"/>
          </w:tcPr>
          <w:p>
            <w:pPr>
              <w:pStyle w:val="TableParagraph"/>
              <w:spacing w:before="35"/>
              <w:ind w:left="87" w:right="86"/>
              <w:jc w:val="center"/>
              <w:rPr>
                <w:b/>
                <w:sz w:val="20"/>
              </w:rPr>
            </w:pPr>
            <w:r>
              <w:rPr>
                <w:b/>
                <w:sz w:val="20"/>
              </w:rPr>
              <w:t>Dir</w:t>
            </w:r>
          </w:p>
        </w:tc>
        <w:tc>
          <w:tcPr>
            <w:tcW w:w="8014" w:type="dxa"/>
          </w:tcPr>
          <w:p>
            <w:pPr>
              <w:pStyle w:val="TableParagraph"/>
              <w:spacing w:before="35"/>
              <w:ind w:left="104"/>
              <w:rPr>
                <w:b/>
                <w:sz w:val="20"/>
              </w:rPr>
            </w:pPr>
            <w:r>
              <w:rPr>
                <w:b/>
                <w:sz w:val="20"/>
              </w:rPr>
              <w:t>Description</w:t>
            </w:r>
          </w:p>
        </w:tc>
      </w:tr>
      <w:tr>
        <w:trPr>
          <w:trHeight w:val="1230" w:hRule="atLeast"/>
        </w:trPr>
        <w:tc>
          <w:tcPr>
            <w:tcW w:w="2254" w:type="dxa"/>
          </w:tcPr>
          <w:p>
            <w:pPr>
              <w:pStyle w:val="TableParagraph"/>
              <w:spacing w:before="14"/>
              <w:ind w:left="107"/>
              <w:rPr>
                <w:rFonts w:ascii="Times New Roman"/>
                <w:i/>
                <w:sz w:val="20"/>
              </w:rPr>
            </w:pPr>
            <w:r>
              <w:rPr>
                <w:rFonts w:ascii="Times New Roman"/>
                <w:i/>
                <w:sz w:val="20"/>
              </w:rPr>
              <w:t>RTM0[9:8]</w:t>
            </w:r>
          </w:p>
          <w:p>
            <w:pPr>
              <w:pStyle w:val="TableParagraph"/>
              <w:spacing w:before="10"/>
              <w:ind w:left="107"/>
              <w:rPr>
                <w:rFonts w:ascii="Times New Roman"/>
                <w:i/>
                <w:sz w:val="20"/>
              </w:rPr>
            </w:pPr>
            <w:r>
              <w:rPr>
                <w:rFonts w:ascii="Times New Roman"/>
                <w:i/>
                <w:sz w:val="20"/>
              </w:rPr>
              <w:t>RTM0[7:0]</w:t>
            </w:r>
          </w:p>
          <w:p>
            <w:pPr>
              <w:pStyle w:val="TableParagraph"/>
              <w:spacing w:before="10"/>
              <w:ind w:left="107"/>
              <w:rPr>
                <w:rFonts w:ascii="Times New Roman"/>
                <w:i/>
                <w:sz w:val="20"/>
              </w:rPr>
            </w:pPr>
            <w:r>
              <w:rPr>
                <w:rFonts w:ascii="Times New Roman"/>
                <w:i/>
                <w:sz w:val="20"/>
              </w:rPr>
              <w:t>RTM1[7:0]</w:t>
            </w:r>
          </w:p>
          <w:p>
            <w:pPr>
              <w:pStyle w:val="TableParagraph"/>
              <w:spacing w:before="11"/>
              <w:ind w:left="107"/>
              <w:rPr>
                <w:rFonts w:ascii="Times New Roman"/>
                <w:i/>
                <w:sz w:val="20"/>
              </w:rPr>
            </w:pPr>
            <w:r>
              <w:rPr>
                <w:rFonts w:ascii="Times New Roman"/>
                <w:i/>
                <w:sz w:val="20"/>
              </w:rPr>
              <w:t>RTM2[7:0]</w:t>
            </w:r>
          </w:p>
          <w:p>
            <w:pPr>
              <w:pStyle w:val="TableParagraph"/>
              <w:spacing w:before="9"/>
              <w:ind w:left="107"/>
              <w:rPr>
                <w:rFonts w:ascii="Times New Roman"/>
                <w:i/>
                <w:sz w:val="20"/>
              </w:rPr>
            </w:pPr>
            <w:r>
              <w:rPr>
                <w:rFonts w:ascii="Times New Roman"/>
                <w:i/>
                <w:sz w:val="20"/>
              </w:rPr>
              <w:t>RTM3[7:0]</w:t>
            </w:r>
          </w:p>
        </w:tc>
        <w:tc>
          <w:tcPr>
            <w:tcW w:w="1124" w:type="dxa"/>
          </w:tcPr>
          <w:p>
            <w:pPr>
              <w:pStyle w:val="TableParagraph"/>
              <w:spacing w:before="18"/>
              <w:ind w:left="126"/>
              <w:rPr>
                <w:sz w:val="20"/>
              </w:rPr>
            </w:pPr>
            <w:r>
              <w:rPr>
                <w:sz w:val="20"/>
              </w:rPr>
              <w:t>210D[1:0]</w:t>
            </w:r>
          </w:p>
          <w:p>
            <w:pPr>
              <w:pStyle w:val="TableParagraph"/>
              <w:spacing w:before="10"/>
              <w:ind w:left="131"/>
              <w:rPr>
                <w:sz w:val="20"/>
              </w:rPr>
            </w:pPr>
            <w:r>
              <w:rPr>
                <w:sz w:val="20"/>
              </w:rPr>
              <w:t>210E[7:0]</w:t>
            </w:r>
          </w:p>
          <w:p>
            <w:pPr>
              <w:pStyle w:val="TableParagraph"/>
              <w:spacing w:before="10"/>
              <w:ind w:left="138"/>
              <w:rPr>
                <w:sz w:val="20"/>
              </w:rPr>
            </w:pPr>
            <w:r>
              <w:rPr>
                <w:sz w:val="20"/>
              </w:rPr>
              <w:t>210F[7:0]</w:t>
            </w:r>
          </w:p>
          <w:p>
            <w:pPr>
              <w:pStyle w:val="TableParagraph"/>
              <w:spacing w:before="10"/>
              <w:ind w:left="143"/>
              <w:rPr>
                <w:sz w:val="20"/>
              </w:rPr>
            </w:pPr>
            <w:r>
              <w:rPr>
                <w:sz w:val="20"/>
              </w:rPr>
              <w:t>2110[7:0]</w:t>
            </w:r>
          </w:p>
          <w:p>
            <w:pPr>
              <w:pStyle w:val="TableParagraph"/>
              <w:spacing w:before="10"/>
              <w:ind w:left="143"/>
              <w:rPr>
                <w:sz w:val="20"/>
              </w:rPr>
            </w:pPr>
            <w:r>
              <w:rPr>
                <w:sz w:val="20"/>
              </w:rPr>
              <w:t>2111[7:0]</w:t>
            </w:r>
          </w:p>
        </w:tc>
        <w:tc>
          <w:tcPr>
            <w:tcW w:w="344" w:type="dxa"/>
          </w:tcPr>
          <w:p>
            <w:pPr>
              <w:pStyle w:val="TableParagraph"/>
              <w:spacing w:before="18"/>
              <w:ind w:left="113"/>
              <w:rPr>
                <w:sz w:val="20"/>
              </w:rPr>
            </w:pPr>
            <w:r>
              <w:rPr>
                <w:w w:val="99"/>
                <w:sz w:val="20"/>
              </w:rPr>
              <w:t>0</w:t>
            </w:r>
          </w:p>
          <w:p>
            <w:pPr>
              <w:pStyle w:val="TableParagraph"/>
              <w:spacing w:before="10"/>
              <w:ind w:left="113"/>
              <w:rPr>
                <w:sz w:val="20"/>
              </w:rPr>
            </w:pPr>
            <w:r>
              <w:rPr>
                <w:w w:val="99"/>
                <w:sz w:val="20"/>
              </w:rPr>
              <w:t>0</w:t>
            </w:r>
          </w:p>
          <w:p>
            <w:pPr>
              <w:pStyle w:val="TableParagraph"/>
              <w:spacing w:before="10"/>
              <w:ind w:left="113"/>
              <w:rPr>
                <w:sz w:val="20"/>
              </w:rPr>
            </w:pPr>
            <w:r>
              <w:rPr>
                <w:w w:val="99"/>
                <w:sz w:val="20"/>
              </w:rPr>
              <w:t>0</w:t>
            </w:r>
          </w:p>
          <w:p>
            <w:pPr>
              <w:pStyle w:val="TableParagraph"/>
              <w:spacing w:before="10"/>
              <w:ind w:left="113"/>
              <w:rPr>
                <w:sz w:val="20"/>
              </w:rPr>
            </w:pPr>
            <w:r>
              <w:rPr>
                <w:w w:val="99"/>
                <w:sz w:val="20"/>
              </w:rPr>
              <w:t>0</w:t>
            </w:r>
          </w:p>
          <w:p>
            <w:pPr>
              <w:pStyle w:val="TableParagraph"/>
              <w:spacing w:before="10"/>
              <w:ind w:left="113"/>
              <w:rPr>
                <w:sz w:val="20"/>
              </w:rPr>
            </w:pPr>
            <w:r>
              <w:rPr>
                <w:w w:val="99"/>
                <w:sz w:val="20"/>
              </w:rPr>
              <w:t>0</w:t>
            </w:r>
          </w:p>
        </w:tc>
        <w:tc>
          <w:tcPr>
            <w:tcW w:w="344" w:type="dxa"/>
          </w:tcPr>
          <w:p>
            <w:pPr>
              <w:pStyle w:val="TableParagraph"/>
              <w:spacing w:before="18"/>
              <w:ind w:left="113"/>
              <w:rPr>
                <w:sz w:val="20"/>
              </w:rPr>
            </w:pPr>
            <w:r>
              <w:rPr>
                <w:w w:val="99"/>
                <w:sz w:val="20"/>
              </w:rPr>
              <w:t>0</w:t>
            </w:r>
          </w:p>
          <w:p>
            <w:pPr>
              <w:pStyle w:val="TableParagraph"/>
              <w:spacing w:before="10"/>
              <w:ind w:left="113"/>
              <w:rPr>
                <w:sz w:val="20"/>
              </w:rPr>
            </w:pPr>
            <w:r>
              <w:rPr>
                <w:w w:val="99"/>
                <w:sz w:val="20"/>
              </w:rPr>
              <w:t>0</w:t>
            </w:r>
          </w:p>
          <w:p>
            <w:pPr>
              <w:pStyle w:val="TableParagraph"/>
              <w:spacing w:before="10"/>
              <w:ind w:left="113"/>
              <w:rPr>
                <w:sz w:val="20"/>
              </w:rPr>
            </w:pPr>
            <w:r>
              <w:rPr>
                <w:w w:val="99"/>
                <w:sz w:val="20"/>
              </w:rPr>
              <w:t>0</w:t>
            </w:r>
          </w:p>
          <w:p>
            <w:pPr>
              <w:pStyle w:val="TableParagraph"/>
              <w:spacing w:before="10"/>
              <w:ind w:left="113"/>
              <w:rPr>
                <w:sz w:val="20"/>
              </w:rPr>
            </w:pPr>
            <w:r>
              <w:rPr>
                <w:w w:val="99"/>
                <w:sz w:val="20"/>
              </w:rPr>
              <w:t>0</w:t>
            </w:r>
          </w:p>
          <w:p>
            <w:pPr>
              <w:pStyle w:val="TableParagraph"/>
              <w:spacing w:before="10"/>
              <w:ind w:left="113"/>
              <w:rPr>
                <w:sz w:val="20"/>
              </w:rPr>
            </w:pPr>
            <w:r>
              <w:rPr>
                <w:w w:val="99"/>
                <w:sz w:val="20"/>
              </w:rPr>
              <w:t>0</w:t>
            </w:r>
          </w:p>
        </w:tc>
        <w:tc>
          <w:tcPr>
            <w:tcW w:w="620" w:type="dxa"/>
          </w:tcPr>
          <w:p>
            <w:pPr>
              <w:pStyle w:val="TableParagraph"/>
              <w:rPr>
                <w:b/>
                <w:sz w:val="22"/>
              </w:rPr>
            </w:pPr>
          </w:p>
          <w:p>
            <w:pPr>
              <w:pStyle w:val="TableParagraph"/>
              <w:spacing w:before="4"/>
              <w:rPr>
                <w:b/>
                <w:sz w:val="21"/>
              </w:rPr>
            </w:pPr>
          </w:p>
          <w:p>
            <w:pPr>
              <w:pStyle w:val="TableParagraph"/>
              <w:ind w:left="87" w:right="93"/>
              <w:jc w:val="center"/>
              <w:rPr>
                <w:sz w:val="20"/>
              </w:rPr>
            </w:pPr>
            <w:r>
              <w:rPr>
                <w:sz w:val="20"/>
              </w:rPr>
              <w:t>R/W</w:t>
            </w:r>
          </w:p>
        </w:tc>
        <w:tc>
          <w:tcPr>
            <w:tcW w:w="8014" w:type="dxa"/>
          </w:tcPr>
          <w:p>
            <w:pPr>
              <w:pStyle w:val="TableParagraph"/>
              <w:spacing w:before="3"/>
              <w:rPr>
                <w:b/>
                <w:sz w:val="23"/>
              </w:rPr>
            </w:pPr>
          </w:p>
          <w:p>
            <w:pPr>
              <w:pStyle w:val="TableParagraph"/>
              <w:ind w:left="104" w:right="109"/>
              <w:rPr>
                <w:sz w:val="20"/>
              </w:rPr>
            </w:pPr>
            <w:r>
              <w:rPr>
                <w:sz w:val="20"/>
              </w:rPr>
              <w:t>Four RTM probes. Before each CE code pass, the values of these registers are serially output on the RTM pin. The RTM registers are ignored when </w:t>
            </w:r>
            <w:r>
              <w:rPr>
                <w:rFonts w:ascii="Times New Roman"/>
                <w:i/>
                <w:sz w:val="20"/>
              </w:rPr>
              <w:t>RTM_E </w:t>
            </w:r>
            <w:r>
              <w:rPr>
                <w:sz w:val="20"/>
              </w:rPr>
              <w:t>= 0. Note that RTM0 is 10 bits wide. The others assume the upper two bits are 00.</w:t>
            </w:r>
          </w:p>
        </w:tc>
      </w:tr>
      <w:tr>
        <w:trPr>
          <w:trHeight w:val="731" w:hRule="atLeast"/>
        </w:trPr>
        <w:tc>
          <w:tcPr>
            <w:tcW w:w="2254" w:type="dxa"/>
          </w:tcPr>
          <w:p>
            <w:pPr>
              <w:pStyle w:val="TableParagraph"/>
              <w:spacing w:before="1"/>
              <w:rPr>
                <w:b/>
                <w:sz w:val="21"/>
              </w:rPr>
            </w:pPr>
          </w:p>
          <w:p>
            <w:pPr>
              <w:pStyle w:val="TableParagraph"/>
              <w:ind w:left="107"/>
              <w:rPr>
                <w:rFonts w:ascii="Times New Roman"/>
                <w:i/>
                <w:sz w:val="20"/>
              </w:rPr>
            </w:pPr>
            <w:r>
              <w:rPr>
                <w:rFonts w:ascii="Times New Roman"/>
                <w:i/>
                <w:sz w:val="20"/>
              </w:rPr>
              <w:t>SECURE</w:t>
            </w:r>
          </w:p>
        </w:tc>
        <w:tc>
          <w:tcPr>
            <w:tcW w:w="1124" w:type="dxa"/>
          </w:tcPr>
          <w:p>
            <w:pPr>
              <w:pStyle w:val="TableParagraph"/>
              <w:spacing w:before="5"/>
              <w:rPr>
                <w:b/>
                <w:sz w:val="21"/>
              </w:rPr>
            </w:pPr>
          </w:p>
          <w:p>
            <w:pPr>
              <w:pStyle w:val="TableParagraph"/>
              <w:ind w:left="5"/>
              <w:jc w:val="center"/>
              <w:rPr>
                <w:sz w:val="20"/>
              </w:rPr>
            </w:pPr>
            <w:r>
              <w:rPr>
                <w:sz w:val="20"/>
              </w:rPr>
              <w:t>SFR B2[6]</w:t>
            </w:r>
          </w:p>
        </w:tc>
        <w:tc>
          <w:tcPr>
            <w:tcW w:w="344" w:type="dxa"/>
          </w:tcPr>
          <w:p>
            <w:pPr>
              <w:pStyle w:val="TableParagraph"/>
              <w:spacing w:before="5"/>
              <w:rPr>
                <w:b/>
                <w:sz w:val="21"/>
              </w:rPr>
            </w:pPr>
          </w:p>
          <w:p>
            <w:pPr>
              <w:pStyle w:val="TableParagraph"/>
              <w:ind w:left="4"/>
              <w:jc w:val="center"/>
              <w:rPr>
                <w:sz w:val="20"/>
              </w:rPr>
            </w:pPr>
            <w:r>
              <w:rPr>
                <w:w w:val="99"/>
                <w:sz w:val="20"/>
              </w:rPr>
              <w:t>0</w:t>
            </w:r>
          </w:p>
        </w:tc>
        <w:tc>
          <w:tcPr>
            <w:tcW w:w="344" w:type="dxa"/>
          </w:tcPr>
          <w:p>
            <w:pPr>
              <w:pStyle w:val="TableParagraph"/>
              <w:spacing w:before="5"/>
              <w:rPr>
                <w:b/>
                <w:sz w:val="21"/>
              </w:rPr>
            </w:pPr>
          </w:p>
          <w:p>
            <w:pPr>
              <w:pStyle w:val="TableParagraph"/>
              <w:ind w:left="2"/>
              <w:jc w:val="center"/>
              <w:rPr>
                <w:sz w:val="20"/>
              </w:rPr>
            </w:pPr>
            <w:r>
              <w:rPr>
                <w:w w:val="99"/>
                <w:sz w:val="20"/>
              </w:rPr>
              <w:t>0</w:t>
            </w:r>
          </w:p>
        </w:tc>
        <w:tc>
          <w:tcPr>
            <w:tcW w:w="620" w:type="dxa"/>
          </w:tcPr>
          <w:p>
            <w:pPr>
              <w:pStyle w:val="TableParagraph"/>
              <w:spacing w:before="5"/>
              <w:rPr>
                <w:b/>
                <w:sz w:val="21"/>
              </w:rPr>
            </w:pPr>
          </w:p>
          <w:p>
            <w:pPr>
              <w:pStyle w:val="TableParagraph"/>
              <w:ind w:left="87" w:right="93"/>
              <w:jc w:val="center"/>
              <w:rPr>
                <w:sz w:val="20"/>
              </w:rPr>
            </w:pPr>
            <w:r>
              <w:rPr>
                <w:sz w:val="20"/>
              </w:rPr>
              <w:t>R/W</w:t>
            </w:r>
          </w:p>
        </w:tc>
        <w:tc>
          <w:tcPr>
            <w:tcW w:w="8014" w:type="dxa"/>
          </w:tcPr>
          <w:p>
            <w:pPr>
              <w:pStyle w:val="TableParagraph"/>
              <w:spacing w:before="16"/>
              <w:ind w:left="104" w:right="249"/>
              <w:rPr>
                <w:sz w:val="20"/>
              </w:rPr>
            </w:pPr>
            <w:r>
              <w:rPr>
                <w:spacing w:val="-3"/>
                <w:sz w:val="20"/>
              </w:rPr>
              <w:t>Inhibits</w:t>
            </w:r>
            <w:r>
              <w:rPr>
                <w:spacing w:val="-12"/>
                <w:sz w:val="20"/>
              </w:rPr>
              <w:t> </w:t>
            </w:r>
            <w:r>
              <w:rPr>
                <w:sz w:val="20"/>
              </w:rPr>
              <w:t>erasure</w:t>
            </w:r>
            <w:r>
              <w:rPr>
                <w:spacing w:val="-11"/>
                <w:sz w:val="20"/>
              </w:rPr>
              <w:t> </w:t>
            </w:r>
            <w:r>
              <w:rPr>
                <w:sz w:val="20"/>
              </w:rPr>
              <w:t>of</w:t>
            </w:r>
            <w:r>
              <w:rPr>
                <w:spacing w:val="-11"/>
                <w:sz w:val="20"/>
              </w:rPr>
              <w:t> </w:t>
            </w:r>
            <w:r>
              <w:rPr>
                <w:sz w:val="20"/>
              </w:rPr>
              <w:t>page</w:t>
            </w:r>
            <w:r>
              <w:rPr>
                <w:spacing w:val="-11"/>
                <w:sz w:val="20"/>
              </w:rPr>
              <w:t> </w:t>
            </w:r>
            <w:r>
              <w:rPr>
                <w:sz w:val="20"/>
              </w:rPr>
              <w:t>0</w:t>
            </w:r>
            <w:r>
              <w:rPr>
                <w:spacing w:val="-12"/>
                <w:sz w:val="20"/>
              </w:rPr>
              <w:t> </w:t>
            </w:r>
            <w:r>
              <w:rPr>
                <w:sz w:val="20"/>
              </w:rPr>
              <w:t>and</w:t>
            </w:r>
            <w:r>
              <w:rPr>
                <w:spacing w:val="-13"/>
                <w:sz w:val="20"/>
              </w:rPr>
              <w:t> </w:t>
            </w:r>
            <w:r>
              <w:rPr>
                <w:sz w:val="20"/>
              </w:rPr>
              <w:t>flash</w:t>
            </w:r>
            <w:r>
              <w:rPr>
                <w:spacing w:val="-12"/>
                <w:sz w:val="20"/>
              </w:rPr>
              <w:t> </w:t>
            </w:r>
            <w:r>
              <w:rPr>
                <w:sz w:val="20"/>
              </w:rPr>
              <w:t>memory</w:t>
            </w:r>
            <w:r>
              <w:rPr>
                <w:spacing w:val="-15"/>
                <w:sz w:val="20"/>
              </w:rPr>
              <w:t> </w:t>
            </w:r>
            <w:r>
              <w:rPr>
                <w:sz w:val="20"/>
              </w:rPr>
              <w:t>addresses</w:t>
            </w:r>
            <w:r>
              <w:rPr>
                <w:spacing w:val="-10"/>
                <w:sz w:val="20"/>
              </w:rPr>
              <w:t> </w:t>
            </w:r>
            <w:r>
              <w:rPr>
                <w:sz w:val="20"/>
              </w:rPr>
              <w:t>above</w:t>
            </w:r>
            <w:r>
              <w:rPr>
                <w:spacing w:val="-12"/>
                <w:sz w:val="20"/>
              </w:rPr>
              <w:t> </w:t>
            </w:r>
            <w:r>
              <w:rPr>
                <w:sz w:val="20"/>
              </w:rPr>
              <w:t>the</w:t>
            </w:r>
            <w:r>
              <w:rPr>
                <w:spacing w:val="-11"/>
                <w:sz w:val="20"/>
              </w:rPr>
              <w:t> </w:t>
            </w:r>
            <w:r>
              <w:rPr>
                <w:sz w:val="20"/>
              </w:rPr>
              <w:t>beginning</w:t>
            </w:r>
            <w:r>
              <w:rPr>
                <w:spacing w:val="-11"/>
                <w:sz w:val="20"/>
              </w:rPr>
              <w:t> </w:t>
            </w:r>
            <w:r>
              <w:rPr>
                <w:sz w:val="20"/>
              </w:rPr>
              <w:t>of</w:t>
            </w:r>
            <w:r>
              <w:rPr>
                <w:spacing w:val="-11"/>
                <w:sz w:val="20"/>
              </w:rPr>
              <w:t> </w:t>
            </w:r>
            <w:r>
              <w:rPr>
                <w:sz w:val="20"/>
              </w:rPr>
              <w:t>CE</w:t>
            </w:r>
            <w:r>
              <w:rPr>
                <w:spacing w:val="-12"/>
                <w:sz w:val="20"/>
              </w:rPr>
              <w:t> </w:t>
            </w:r>
            <w:r>
              <w:rPr>
                <w:spacing w:val="-3"/>
                <w:sz w:val="20"/>
              </w:rPr>
              <w:t>code </w:t>
            </w:r>
            <w:r>
              <w:rPr>
                <w:sz w:val="20"/>
              </w:rPr>
              <w:t>as </w:t>
            </w:r>
            <w:r>
              <w:rPr>
                <w:spacing w:val="-3"/>
                <w:sz w:val="20"/>
              </w:rPr>
              <w:t>defined </w:t>
            </w:r>
            <w:r>
              <w:rPr>
                <w:sz w:val="20"/>
              </w:rPr>
              <w:t>by </w:t>
            </w:r>
            <w:r>
              <w:rPr>
                <w:rFonts w:ascii="Times New Roman"/>
                <w:i/>
                <w:spacing w:val="-3"/>
                <w:sz w:val="20"/>
              </w:rPr>
              <w:t>CE_LCTN[6/5:0]. </w:t>
            </w:r>
            <w:r>
              <w:rPr>
                <w:spacing w:val="-3"/>
                <w:sz w:val="20"/>
              </w:rPr>
              <w:t>Also inhibits </w:t>
            </w:r>
            <w:r>
              <w:rPr>
                <w:sz w:val="20"/>
              </w:rPr>
              <w:t>the </w:t>
            </w:r>
            <w:r>
              <w:rPr>
                <w:spacing w:val="-3"/>
                <w:sz w:val="20"/>
              </w:rPr>
              <w:t>reading </w:t>
            </w:r>
            <w:r>
              <w:rPr>
                <w:sz w:val="20"/>
              </w:rPr>
              <w:t>of flash </w:t>
            </w:r>
            <w:r>
              <w:rPr>
                <w:spacing w:val="-3"/>
                <w:sz w:val="20"/>
              </w:rPr>
              <w:t>memory </w:t>
            </w:r>
            <w:r>
              <w:rPr>
                <w:sz w:val="20"/>
              </w:rPr>
              <w:t>by </w:t>
            </w:r>
            <w:r>
              <w:rPr>
                <w:spacing w:val="-3"/>
                <w:sz w:val="20"/>
              </w:rPr>
              <w:t>external devices </w:t>
            </w:r>
            <w:r>
              <w:rPr>
                <w:sz w:val="20"/>
              </w:rPr>
              <w:t>(SPI or ICE</w:t>
            </w:r>
            <w:r>
              <w:rPr>
                <w:spacing w:val="-14"/>
                <w:sz w:val="20"/>
              </w:rPr>
              <w:t> </w:t>
            </w:r>
            <w:r>
              <w:rPr>
                <w:spacing w:val="-3"/>
                <w:sz w:val="20"/>
              </w:rPr>
              <w:t>port).</w:t>
            </w:r>
          </w:p>
        </w:tc>
      </w:tr>
      <w:tr>
        <w:trPr>
          <w:trHeight w:val="729" w:hRule="atLeast"/>
        </w:trPr>
        <w:tc>
          <w:tcPr>
            <w:tcW w:w="2254" w:type="dxa"/>
            <w:shd w:val="clear" w:color="auto" w:fill="C1C1C1"/>
          </w:tcPr>
          <w:p>
            <w:pPr>
              <w:pStyle w:val="TableParagraph"/>
              <w:spacing w:before="1"/>
              <w:rPr>
                <w:b/>
                <w:sz w:val="21"/>
              </w:rPr>
            </w:pPr>
          </w:p>
          <w:p>
            <w:pPr>
              <w:pStyle w:val="TableParagraph"/>
              <w:ind w:left="107"/>
              <w:rPr>
                <w:rFonts w:ascii="Times New Roman"/>
                <w:i/>
                <w:sz w:val="20"/>
              </w:rPr>
            </w:pPr>
            <w:r>
              <w:rPr>
                <w:rFonts w:ascii="Times New Roman"/>
                <w:i/>
                <w:sz w:val="20"/>
              </w:rPr>
              <w:t>SLEEP</w:t>
            </w:r>
          </w:p>
        </w:tc>
        <w:tc>
          <w:tcPr>
            <w:tcW w:w="1124" w:type="dxa"/>
            <w:shd w:val="clear" w:color="auto" w:fill="C1C1C1"/>
          </w:tcPr>
          <w:p>
            <w:pPr>
              <w:pStyle w:val="TableParagraph"/>
              <w:spacing w:before="5"/>
              <w:rPr>
                <w:b/>
                <w:sz w:val="21"/>
              </w:rPr>
            </w:pPr>
          </w:p>
          <w:p>
            <w:pPr>
              <w:pStyle w:val="TableParagraph"/>
              <w:ind w:left="2"/>
              <w:jc w:val="center"/>
              <w:rPr>
                <w:sz w:val="20"/>
              </w:rPr>
            </w:pPr>
            <w:r>
              <w:rPr>
                <w:sz w:val="20"/>
              </w:rPr>
              <w:t>28B2[7]</w:t>
            </w:r>
          </w:p>
        </w:tc>
        <w:tc>
          <w:tcPr>
            <w:tcW w:w="344" w:type="dxa"/>
            <w:shd w:val="clear" w:color="auto" w:fill="C1C1C1"/>
          </w:tcPr>
          <w:p>
            <w:pPr>
              <w:pStyle w:val="TableParagraph"/>
              <w:spacing w:before="5"/>
              <w:rPr>
                <w:b/>
                <w:sz w:val="21"/>
              </w:rPr>
            </w:pPr>
          </w:p>
          <w:p>
            <w:pPr>
              <w:pStyle w:val="TableParagraph"/>
              <w:ind w:left="4"/>
              <w:jc w:val="center"/>
              <w:rPr>
                <w:sz w:val="20"/>
              </w:rPr>
            </w:pPr>
            <w:r>
              <w:rPr>
                <w:w w:val="99"/>
                <w:sz w:val="20"/>
              </w:rPr>
              <w:t>0</w:t>
            </w:r>
          </w:p>
        </w:tc>
        <w:tc>
          <w:tcPr>
            <w:tcW w:w="344" w:type="dxa"/>
            <w:shd w:val="clear" w:color="auto" w:fill="C1C1C1"/>
          </w:tcPr>
          <w:p>
            <w:pPr>
              <w:pStyle w:val="TableParagraph"/>
              <w:spacing w:before="5"/>
              <w:rPr>
                <w:b/>
                <w:sz w:val="21"/>
              </w:rPr>
            </w:pPr>
          </w:p>
          <w:p>
            <w:pPr>
              <w:pStyle w:val="TableParagraph"/>
              <w:ind w:left="2"/>
              <w:jc w:val="center"/>
              <w:rPr>
                <w:sz w:val="20"/>
              </w:rPr>
            </w:pPr>
            <w:r>
              <w:rPr>
                <w:w w:val="99"/>
                <w:sz w:val="20"/>
              </w:rPr>
              <w:t>0</w:t>
            </w:r>
          </w:p>
        </w:tc>
        <w:tc>
          <w:tcPr>
            <w:tcW w:w="620" w:type="dxa"/>
            <w:shd w:val="clear" w:color="auto" w:fill="C1C1C1"/>
          </w:tcPr>
          <w:p>
            <w:pPr>
              <w:pStyle w:val="TableParagraph"/>
              <w:spacing w:before="5"/>
              <w:rPr>
                <w:b/>
                <w:sz w:val="21"/>
              </w:rPr>
            </w:pPr>
          </w:p>
          <w:p>
            <w:pPr>
              <w:pStyle w:val="TableParagraph"/>
              <w:jc w:val="center"/>
              <w:rPr>
                <w:sz w:val="20"/>
              </w:rPr>
            </w:pPr>
            <w:r>
              <w:rPr>
                <w:w w:val="99"/>
                <w:sz w:val="20"/>
              </w:rPr>
              <w:t>W</w:t>
            </w:r>
          </w:p>
        </w:tc>
        <w:tc>
          <w:tcPr>
            <w:tcW w:w="8014" w:type="dxa"/>
            <w:shd w:val="clear" w:color="auto" w:fill="C1C1C1"/>
          </w:tcPr>
          <w:p>
            <w:pPr>
              <w:pStyle w:val="TableParagraph"/>
              <w:spacing w:before="16"/>
              <w:ind w:left="104"/>
              <w:rPr>
                <w:sz w:val="20"/>
              </w:rPr>
            </w:pPr>
            <w:r>
              <w:rPr>
                <w:sz w:val="20"/>
              </w:rPr>
              <w:t>Puts the 71M6543 to sleep. Ignored if system power is present. The 71M6543 wakes when the Wake timer times out, when push button is pushed, or when system power returns.</w:t>
            </w:r>
          </w:p>
        </w:tc>
      </w:tr>
      <w:tr>
        <w:trPr>
          <w:trHeight w:val="270" w:hRule="atLeast"/>
        </w:trPr>
        <w:tc>
          <w:tcPr>
            <w:tcW w:w="2254" w:type="dxa"/>
          </w:tcPr>
          <w:p>
            <w:pPr>
              <w:pStyle w:val="TableParagraph"/>
              <w:spacing w:before="12"/>
              <w:ind w:left="107"/>
              <w:rPr>
                <w:rFonts w:ascii="Times New Roman"/>
                <w:i/>
                <w:sz w:val="20"/>
              </w:rPr>
            </w:pPr>
            <w:r>
              <w:rPr>
                <w:rFonts w:ascii="Times New Roman"/>
                <w:i/>
                <w:sz w:val="20"/>
              </w:rPr>
              <w:t>SPI_CMD</w:t>
            </w:r>
          </w:p>
        </w:tc>
        <w:tc>
          <w:tcPr>
            <w:tcW w:w="1124" w:type="dxa"/>
          </w:tcPr>
          <w:p>
            <w:pPr>
              <w:pStyle w:val="TableParagraph"/>
              <w:spacing w:before="16"/>
              <w:ind w:left="3"/>
              <w:jc w:val="center"/>
              <w:rPr>
                <w:sz w:val="20"/>
              </w:rPr>
            </w:pPr>
            <w:r>
              <w:rPr>
                <w:sz w:val="20"/>
              </w:rPr>
              <w:t>SFR </w:t>
            </w:r>
            <w:r>
              <w:rPr>
                <w:spacing w:val="-3"/>
                <w:sz w:val="20"/>
              </w:rPr>
              <w:t>FD[7:0]</w:t>
            </w:r>
          </w:p>
        </w:tc>
        <w:tc>
          <w:tcPr>
            <w:tcW w:w="344" w:type="dxa"/>
          </w:tcPr>
          <w:p>
            <w:pPr>
              <w:pStyle w:val="TableParagraph"/>
              <w:spacing w:before="16"/>
              <w:ind w:left="4"/>
              <w:jc w:val="center"/>
              <w:rPr>
                <w:sz w:val="20"/>
              </w:rPr>
            </w:pPr>
            <w:r>
              <w:rPr>
                <w:w w:val="99"/>
                <w:sz w:val="20"/>
              </w:rPr>
              <w:t>–</w:t>
            </w:r>
          </w:p>
        </w:tc>
        <w:tc>
          <w:tcPr>
            <w:tcW w:w="344" w:type="dxa"/>
          </w:tcPr>
          <w:p>
            <w:pPr>
              <w:pStyle w:val="TableParagraph"/>
              <w:spacing w:before="16"/>
              <w:ind w:left="2"/>
              <w:jc w:val="center"/>
              <w:rPr>
                <w:sz w:val="20"/>
              </w:rPr>
            </w:pPr>
            <w:r>
              <w:rPr>
                <w:w w:val="99"/>
                <w:sz w:val="20"/>
              </w:rPr>
              <w:t>–</w:t>
            </w:r>
          </w:p>
        </w:tc>
        <w:tc>
          <w:tcPr>
            <w:tcW w:w="620" w:type="dxa"/>
          </w:tcPr>
          <w:p>
            <w:pPr>
              <w:pStyle w:val="TableParagraph"/>
              <w:spacing w:before="16"/>
              <w:ind w:left="3"/>
              <w:jc w:val="center"/>
              <w:rPr>
                <w:sz w:val="20"/>
              </w:rPr>
            </w:pPr>
            <w:r>
              <w:rPr>
                <w:w w:val="99"/>
                <w:sz w:val="20"/>
              </w:rPr>
              <w:t>R</w:t>
            </w:r>
          </w:p>
        </w:tc>
        <w:tc>
          <w:tcPr>
            <w:tcW w:w="8014" w:type="dxa"/>
          </w:tcPr>
          <w:p>
            <w:pPr>
              <w:pStyle w:val="TableParagraph"/>
              <w:spacing w:before="16"/>
              <w:ind w:left="104"/>
              <w:rPr>
                <w:sz w:val="20"/>
              </w:rPr>
            </w:pPr>
            <w:r>
              <w:rPr>
                <w:sz w:val="20"/>
              </w:rPr>
              <w:t>SPI command. 8-bit command from the bus master.</w:t>
            </w:r>
          </w:p>
        </w:tc>
      </w:tr>
      <w:tr>
        <w:trPr>
          <w:trHeight w:val="498" w:hRule="atLeast"/>
        </w:trPr>
        <w:tc>
          <w:tcPr>
            <w:tcW w:w="2254" w:type="dxa"/>
          </w:tcPr>
          <w:p>
            <w:pPr>
              <w:pStyle w:val="TableParagraph"/>
              <w:spacing w:before="127"/>
              <w:ind w:left="107"/>
              <w:rPr>
                <w:rFonts w:ascii="Times New Roman"/>
                <w:i/>
                <w:sz w:val="20"/>
              </w:rPr>
            </w:pPr>
            <w:r>
              <w:rPr>
                <w:rFonts w:ascii="Times New Roman"/>
                <w:i/>
                <w:sz w:val="20"/>
              </w:rPr>
              <w:t>SPI_E</w:t>
            </w:r>
          </w:p>
        </w:tc>
        <w:tc>
          <w:tcPr>
            <w:tcW w:w="1124" w:type="dxa"/>
          </w:tcPr>
          <w:p>
            <w:pPr>
              <w:pStyle w:val="TableParagraph"/>
              <w:spacing w:before="131"/>
              <w:ind w:left="5"/>
              <w:jc w:val="center"/>
              <w:rPr>
                <w:sz w:val="20"/>
              </w:rPr>
            </w:pPr>
            <w:r>
              <w:rPr>
                <w:sz w:val="20"/>
              </w:rPr>
              <w:t>270C[4]</w:t>
            </w:r>
          </w:p>
        </w:tc>
        <w:tc>
          <w:tcPr>
            <w:tcW w:w="344" w:type="dxa"/>
          </w:tcPr>
          <w:p>
            <w:pPr>
              <w:pStyle w:val="TableParagraph"/>
              <w:spacing w:before="131"/>
              <w:ind w:left="4"/>
              <w:jc w:val="center"/>
              <w:rPr>
                <w:sz w:val="20"/>
              </w:rPr>
            </w:pPr>
            <w:r>
              <w:rPr>
                <w:w w:val="99"/>
                <w:sz w:val="20"/>
              </w:rPr>
              <w:t>1</w:t>
            </w:r>
          </w:p>
        </w:tc>
        <w:tc>
          <w:tcPr>
            <w:tcW w:w="344" w:type="dxa"/>
          </w:tcPr>
          <w:p>
            <w:pPr>
              <w:pStyle w:val="TableParagraph"/>
              <w:spacing w:before="131"/>
              <w:ind w:left="2"/>
              <w:jc w:val="center"/>
              <w:rPr>
                <w:sz w:val="20"/>
              </w:rPr>
            </w:pPr>
            <w:r>
              <w:rPr>
                <w:w w:val="99"/>
                <w:sz w:val="20"/>
              </w:rPr>
              <w:t>1</w:t>
            </w:r>
          </w:p>
        </w:tc>
        <w:tc>
          <w:tcPr>
            <w:tcW w:w="620" w:type="dxa"/>
          </w:tcPr>
          <w:p>
            <w:pPr>
              <w:pStyle w:val="TableParagraph"/>
              <w:spacing w:before="131"/>
              <w:ind w:left="87" w:right="93"/>
              <w:jc w:val="center"/>
              <w:rPr>
                <w:sz w:val="20"/>
              </w:rPr>
            </w:pPr>
            <w:r>
              <w:rPr>
                <w:sz w:val="20"/>
              </w:rPr>
              <w:t>R/W</w:t>
            </w:r>
          </w:p>
        </w:tc>
        <w:tc>
          <w:tcPr>
            <w:tcW w:w="8014" w:type="dxa"/>
          </w:tcPr>
          <w:p>
            <w:pPr>
              <w:pStyle w:val="TableParagraph"/>
              <w:spacing w:before="16"/>
              <w:ind w:left="104"/>
              <w:rPr>
                <w:sz w:val="20"/>
              </w:rPr>
            </w:pPr>
            <w:r>
              <w:rPr>
                <w:sz w:val="20"/>
              </w:rPr>
              <w:t>SPI port enable. Enables the SPI interface on pins SEGDIO36 – SEGDIO39. Requires that </w:t>
            </w:r>
            <w:r>
              <w:rPr>
                <w:rFonts w:ascii="Times New Roman" w:hAnsi="Times New Roman"/>
                <w:i/>
                <w:sz w:val="20"/>
              </w:rPr>
              <w:t>LCD_MAP[36-39] = </w:t>
            </w:r>
            <w:r>
              <w:rPr>
                <w:sz w:val="20"/>
              </w:rPr>
              <w:t>0.</w:t>
            </w:r>
          </w:p>
        </w:tc>
      </w:tr>
      <w:tr>
        <w:trPr>
          <w:trHeight w:val="501" w:hRule="atLeast"/>
        </w:trPr>
        <w:tc>
          <w:tcPr>
            <w:tcW w:w="2254" w:type="dxa"/>
          </w:tcPr>
          <w:p>
            <w:pPr>
              <w:pStyle w:val="TableParagraph"/>
              <w:spacing w:before="130"/>
              <w:ind w:left="107"/>
              <w:rPr>
                <w:rFonts w:ascii="Times New Roman"/>
                <w:i/>
                <w:sz w:val="20"/>
              </w:rPr>
            </w:pPr>
            <w:r>
              <w:rPr>
                <w:rFonts w:ascii="Times New Roman"/>
                <w:i/>
                <w:sz w:val="20"/>
              </w:rPr>
              <w:t>SPI_SAFE</w:t>
            </w:r>
          </w:p>
        </w:tc>
        <w:tc>
          <w:tcPr>
            <w:tcW w:w="1124" w:type="dxa"/>
          </w:tcPr>
          <w:p>
            <w:pPr>
              <w:pStyle w:val="TableParagraph"/>
              <w:spacing w:before="133"/>
              <w:ind w:left="5"/>
              <w:jc w:val="center"/>
              <w:rPr>
                <w:sz w:val="20"/>
              </w:rPr>
            </w:pPr>
            <w:r>
              <w:rPr>
                <w:sz w:val="20"/>
              </w:rPr>
              <w:t>270C[3]</w:t>
            </w:r>
          </w:p>
        </w:tc>
        <w:tc>
          <w:tcPr>
            <w:tcW w:w="344" w:type="dxa"/>
          </w:tcPr>
          <w:p>
            <w:pPr>
              <w:pStyle w:val="TableParagraph"/>
              <w:spacing w:before="133"/>
              <w:ind w:left="4"/>
              <w:jc w:val="center"/>
              <w:rPr>
                <w:sz w:val="20"/>
              </w:rPr>
            </w:pPr>
            <w:r>
              <w:rPr>
                <w:w w:val="99"/>
                <w:sz w:val="20"/>
              </w:rPr>
              <w:t>0</w:t>
            </w:r>
          </w:p>
        </w:tc>
        <w:tc>
          <w:tcPr>
            <w:tcW w:w="344" w:type="dxa"/>
          </w:tcPr>
          <w:p>
            <w:pPr>
              <w:pStyle w:val="TableParagraph"/>
              <w:spacing w:before="133"/>
              <w:ind w:left="2"/>
              <w:jc w:val="center"/>
              <w:rPr>
                <w:sz w:val="20"/>
              </w:rPr>
            </w:pPr>
            <w:r>
              <w:rPr>
                <w:w w:val="99"/>
                <w:sz w:val="20"/>
              </w:rPr>
              <w:t>0</w:t>
            </w:r>
          </w:p>
        </w:tc>
        <w:tc>
          <w:tcPr>
            <w:tcW w:w="620" w:type="dxa"/>
          </w:tcPr>
          <w:p>
            <w:pPr>
              <w:pStyle w:val="TableParagraph"/>
              <w:spacing w:before="133"/>
              <w:ind w:left="87" w:right="93"/>
              <w:jc w:val="center"/>
              <w:rPr>
                <w:sz w:val="20"/>
              </w:rPr>
            </w:pPr>
            <w:r>
              <w:rPr>
                <w:sz w:val="20"/>
              </w:rPr>
              <w:t>R/W</w:t>
            </w:r>
          </w:p>
        </w:tc>
        <w:tc>
          <w:tcPr>
            <w:tcW w:w="8014" w:type="dxa"/>
          </w:tcPr>
          <w:p>
            <w:pPr>
              <w:pStyle w:val="TableParagraph"/>
              <w:spacing w:before="16"/>
              <w:ind w:left="104"/>
              <w:rPr>
                <w:sz w:val="20"/>
              </w:rPr>
            </w:pPr>
            <w:r>
              <w:rPr>
                <w:sz w:val="20"/>
              </w:rPr>
              <w:t>Limits SPI writes to </w:t>
            </w:r>
            <w:r>
              <w:rPr>
                <w:rFonts w:ascii="Times New Roman"/>
                <w:i/>
                <w:sz w:val="20"/>
              </w:rPr>
              <w:t>SPI_CMD </w:t>
            </w:r>
            <w:r>
              <w:rPr>
                <w:sz w:val="20"/>
              </w:rPr>
              <w:t>and a 16 byte region in DRAM. No other writes are permitted.</w:t>
            </w:r>
          </w:p>
        </w:tc>
      </w:tr>
      <w:tr>
        <w:trPr>
          <w:trHeight w:val="3194" w:hRule="atLeast"/>
        </w:trPr>
        <w:tc>
          <w:tcPr>
            <w:tcW w:w="2254"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18"/>
              </w:rPr>
            </w:pPr>
          </w:p>
          <w:p>
            <w:pPr>
              <w:pStyle w:val="TableParagraph"/>
              <w:ind w:left="107"/>
              <w:rPr>
                <w:rFonts w:ascii="Times New Roman"/>
                <w:i/>
                <w:sz w:val="20"/>
              </w:rPr>
            </w:pPr>
            <w:r>
              <w:rPr>
                <w:rFonts w:ascii="Times New Roman"/>
                <w:i/>
                <w:sz w:val="20"/>
              </w:rPr>
              <w:t>SPI_STAT</w:t>
            </w:r>
          </w:p>
        </w:tc>
        <w:tc>
          <w:tcPr>
            <w:tcW w:w="1124"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8"/>
              <w:rPr>
                <w:b/>
                <w:sz w:val="18"/>
              </w:rPr>
            </w:pPr>
          </w:p>
          <w:p>
            <w:pPr>
              <w:pStyle w:val="TableParagraph"/>
              <w:ind w:left="5"/>
              <w:jc w:val="center"/>
              <w:rPr>
                <w:sz w:val="20"/>
              </w:rPr>
            </w:pPr>
            <w:r>
              <w:rPr>
                <w:sz w:val="20"/>
              </w:rPr>
              <w:t>2708[7:0]</w:t>
            </w:r>
          </w:p>
        </w:tc>
        <w:tc>
          <w:tcPr>
            <w:tcW w:w="344"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8"/>
              <w:rPr>
                <w:b/>
                <w:sz w:val="18"/>
              </w:rPr>
            </w:pPr>
          </w:p>
          <w:p>
            <w:pPr>
              <w:pStyle w:val="TableParagraph"/>
              <w:ind w:left="4"/>
              <w:jc w:val="center"/>
              <w:rPr>
                <w:sz w:val="20"/>
              </w:rPr>
            </w:pPr>
            <w:r>
              <w:rPr>
                <w:w w:val="99"/>
                <w:sz w:val="20"/>
              </w:rPr>
              <w:t>0</w:t>
            </w:r>
          </w:p>
        </w:tc>
        <w:tc>
          <w:tcPr>
            <w:tcW w:w="344"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8"/>
              <w:rPr>
                <w:b/>
                <w:sz w:val="18"/>
              </w:rPr>
            </w:pPr>
          </w:p>
          <w:p>
            <w:pPr>
              <w:pStyle w:val="TableParagraph"/>
              <w:ind w:left="2"/>
              <w:jc w:val="center"/>
              <w:rPr>
                <w:sz w:val="20"/>
              </w:rPr>
            </w:pPr>
            <w:r>
              <w:rPr>
                <w:w w:val="99"/>
                <w:sz w:val="20"/>
              </w:rPr>
              <w:t>0</w:t>
            </w:r>
          </w:p>
        </w:tc>
        <w:tc>
          <w:tcPr>
            <w:tcW w:w="62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8"/>
              <w:rPr>
                <w:b/>
                <w:sz w:val="18"/>
              </w:rPr>
            </w:pPr>
          </w:p>
          <w:p>
            <w:pPr>
              <w:pStyle w:val="TableParagraph"/>
              <w:ind w:left="2"/>
              <w:jc w:val="center"/>
              <w:rPr>
                <w:sz w:val="20"/>
              </w:rPr>
            </w:pPr>
            <w:r>
              <w:rPr>
                <w:w w:val="99"/>
                <w:sz w:val="20"/>
              </w:rPr>
              <w:t>R</w:t>
            </w:r>
          </w:p>
        </w:tc>
        <w:tc>
          <w:tcPr>
            <w:tcW w:w="8014" w:type="dxa"/>
          </w:tcPr>
          <w:p>
            <w:pPr>
              <w:pStyle w:val="TableParagraph"/>
              <w:spacing w:before="35"/>
              <w:ind w:left="104"/>
              <w:rPr>
                <w:sz w:val="20"/>
              </w:rPr>
            </w:pPr>
            <w:r>
              <w:rPr>
                <w:rFonts w:ascii="Times New Roman"/>
                <w:i/>
                <w:sz w:val="20"/>
              </w:rPr>
              <w:t>SPI_STAT </w:t>
            </w:r>
            <w:r>
              <w:rPr>
                <w:sz w:val="20"/>
              </w:rPr>
              <w:t>contains the status results from the previous SPI transaction</w:t>
            </w:r>
          </w:p>
          <w:p>
            <w:pPr>
              <w:pStyle w:val="TableParagraph"/>
              <w:spacing w:before="122"/>
              <w:ind w:left="104"/>
              <w:rPr>
                <w:sz w:val="20"/>
              </w:rPr>
            </w:pPr>
            <w:r>
              <w:rPr>
                <w:sz w:val="20"/>
              </w:rPr>
              <w:t>Bit 7 - 71M6543 ready error: the 71M6543 was not ready to read or write as directed by the previous command.</w:t>
            </w:r>
          </w:p>
          <w:p>
            <w:pPr>
              <w:pStyle w:val="TableParagraph"/>
              <w:spacing w:before="61"/>
              <w:ind w:left="104"/>
              <w:rPr>
                <w:sz w:val="20"/>
              </w:rPr>
            </w:pPr>
            <w:r>
              <w:rPr>
                <w:sz w:val="20"/>
              </w:rPr>
              <w:t>Bit 6 - Read data parity: This bit is the parity of all bytes read from the 71M6543 in the previous command. Does not include the SPI_STAT byte.</w:t>
            </w:r>
          </w:p>
          <w:p>
            <w:pPr>
              <w:pStyle w:val="TableParagraph"/>
              <w:spacing w:before="61"/>
              <w:ind w:left="104" w:right="86"/>
              <w:rPr>
                <w:sz w:val="20"/>
              </w:rPr>
            </w:pPr>
            <w:r>
              <w:rPr>
                <w:sz w:val="20"/>
              </w:rPr>
              <w:t>Bit 5 - Write data parity: This bit is the overall parity of the bytes written to the 71M6543 in the previous command. It includes CMD and ADDR bytes.</w:t>
            </w:r>
          </w:p>
          <w:p>
            <w:pPr>
              <w:pStyle w:val="TableParagraph"/>
              <w:spacing w:before="58"/>
              <w:ind w:left="103" w:right="476"/>
              <w:rPr>
                <w:sz w:val="20"/>
              </w:rPr>
            </w:pPr>
            <w:r>
              <w:rPr>
                <w:sz w:val="20"/>
              </w:rPr>
              <w:t>Bit 4:2 - Bottom 3 bits of the byte count. Does not include ADDR and CMD bytes. One, two, and three byte instructions return 111.</w:t>
            </w:r>
          </w:p>
          <w:p>
            <w:pPr>
              <w:pStyle w:val="TableParagraph"/>
              <w:spacing w:before="61"/>
              <w:ind w:left="103"/>
              <w:rPr>
                <w:sz w:val="20"/>
              </w:rPr>
            </w:pPr>
            <w:r>
              <w:rPr>
                <w:sz w:val="20"/>
              </w:rPr>
              <w:t>Bit 1 - SPI FLASH mode: This bit is zero when the TEST pin is zero.</w:t>
            </w:r>
          </w:p>
          <w:p>
            <w:pPr>
              <w:pStyle w:val="TableParagraph"/>
              <w:spacing w:line="206" w:lineRule="exact" w:before="66"/>
              <w:ind w:left="104"/>
              <w:rPr>
                <w:sz w:val="18"/>
              </w:rPr>
            </w:pPr>
            <w:r>
              <w:rPr>
                <w:sz w:val="18"/>
              </w:rPr>
              <w:t>Bit 0 - SPI FLASH mode ready: Used in SPI FLASH mode. Indicates that the flash is ready to receive another write instruction.</w:t>
            </w:r>
          </w:p>
        </w:tc>
      </w:tr>
      <w:tr>
        <w:trPr>
          <w:trHeight w:val="510" w:hRule="atLeast"/>
        </w:trPr>
        <w:tc>
          <w:tcPr>
            <w:tcW w:w="2254" w:type="dxa"/>
          </w:tcPr>
          <w:p>
            <w:pPr>
              <w:pStyle w:val="TableParagraph"/>
              <w:spacing w:line="240" w:lineRule="atLeast" w:before="4"/>
              <w:ind w:left="107" w:right="924"/>
              <w:rPr>
                <w:rFonts w:ascii="Times New Roman"/>
                <w:i/>
                <w:sz w:val="20"/>
              </w:rPr>
            </w:pPr>
            <w:r>
              <w:rPr>
                <w:rFonts w:ascii="Times New Roman"/>
                <w:i/>
                <w:w w:val="95"/>
                <w:sz w:val="20"/>
              </w:rPr>
              <w:t>STEMP[10:3] </w:t>
            </w:r>
            <w:r>
              <w:rPr>
                <w:rFonts w:ascii="Times New Roman"/>
                <w:i/>
                <w:sz w:val="20"/>
              </w:rPr>
              <w:t>STEMP[2:0]</w:t>
            </w:r>
          </w:p>
        </w:tc>
        <w:tc>
          <w:tcPr>
            <w:tcW w:w="1124" w:type="dxa"/>
          </w:tcPr>
          <w:p>
            <w:pPr>
              <w:pStyle w:val="TableParagraph"/>
              <w:spacing w:before="18"/>
              <w:ind w:left="143"/>
              <w:rPr>
                <w:sz w:val="20"/>
              </w:rPr>
            </w:pPr>
            <w:r>
              <w:rPr>
                <w:sz w:val="20"/>
              </w:rPr>
              <w:t>2881[7:0]</w:t>
            </w:r>
          </w:p>
          <w:p>
            <w:pPr>
              <w:pStyle w:val="TableParagraph"/>
              <w:spacing w:before="10"/>
              <w:ind w:left="143"/>
              <w:rPr>
                <w:sz w:val="20"/>
              </w:rPr>
            </w:pPr>
            <w:r>
              <w:rPr>
                <w:sz w:val="20"/>
              </w:rPr>
              <w:t>2882[7:5]</w:t>
            </w:r>
          </w:p>
        </w:tc>
        <w:tc>
          <w:tcPr>
            <w:tcW w:w="344" w:type="dxa"/>
          </w:tcPr>
          <w:p>
            <w:pPr>
              <w:pStyle w:val="TableParagraph"/>
              <w:spacing w:before="18"/>
              <w:ind w:left="113"/>
              <w:rPr>
                <w:sz w:val="20"/>
              </w:rPr>
            </w:pPr>
            <w:r>
              <w:rPr>
                <w:w w:val="99"/>
                <w:sz w:val="20"/>
              </w:rPr>
              <w:t>–</w:t>
            </w:r>
          </w:p>
          <w:p>
            <w:pPr>
              <w:pStyle w:val="TableParagraph"/>
              <w:spacing w:before="10"/>
              <w:ind w:left="113"/>
              <w:rPr>
                <w:sz w:val="20"/>
              </w:rPr>
            </w:pPr>
            <w:r>
              <w:rPr>
                <w:w w:val="99"/>
                <w:sz w:val="20"/>
              </w:rPr>
              <w:t>–</w:t>
            </w:r>
          </w:p>
        </w:tc>
        <w:tc>
          <w:tcPr>
            <w:tcW w:w="344" w:type="dxa"/>
          </w:tcPr>
          <w:p>
            <w:pPr>
              <w:pStyle w:val="TableParagraph"/>
              <w:spacing w:before="18"/>
              <w:ind w:left="113"/>
              <w:rPr>
                <w:sz w:val="20"/>
              </w:rPr>
            </w:pPr>
            <w:r>
              <w:rPr>
                <w:w w:val="99"/>
                <w:sz w:val="20"/>
              </w:rPr>
              <w:t>–</w:t>
            </w:r>
          </w:p>
          <w:p>
            <w:pPr>
              <w:pStyle w:val="TableParagraph"/>
              <w:spacing w:before="10"/>
              <w:ind w:left="113"/>
              <w:rPr>
                <w:sz w:val="20"/>
              </w:rPr>
            </w:pPr>
            <w:r>
              <w:rPr>
                <w:w w:val="99"/>
                <w:sz w:val="20"/>
              </w:rPr>
              <w:t>–</w:t>
            </w:r>
          </w:p>
        </w:tc>
        <w:tc>
          <w:tcPr>
            <w:tcW w:w="620" w:type="dxa"/>
          </w:tcPr>
          <w:p>
            <w:pPr>
              <w:pStyle w:val="TableParagraph"/>
              <w:spacing w:line="240" w:lineRule="atLeast" w:before="8"/>
              <w:ind w:left="234" w:right="229"/>
              <w:jc w:val="center"/>
              <w:rPr>
                <w:sz w:val="20"/>
              </w:rPr>
            </w:pPr>
            <w:r>
              <w:rPr>
                <w:sz w:val="20"/>
              </w:rPr>
              <w:t>R</w:t>
            </w:r>
            <w:r>
              <w:rPr>
                <w:w w:val="99"/>
                <w:sz w:val="20"/>
              </w:rPr>
              <w:t> </w:t>
            </w:r>
            <w:r>
              <w:rPr>
                <w:sz w:val="20"/>
              </w:rPr>
              <w:t>R</w:t>
            </w:r>
          </w:p>
        </w:tc>
        <w:tc>
          <w:tcPr>
            <w:tcW w:w="8014" w:type="dxa"/>
          </w:tcPr>
          <w:p>
            <w:pPr>
              <w:pStyle w:val="TableParagraph"/>
              <w:spacing w:before="18"/>
              <w:ind w:left="104"/>
              <w:rPr>
                <w:sz w:val="20"/>
              </w:rPr>
            </w:pPr>
            <w:r>
              <w:rPr>
                <w:sz w:val="20"/>
              </w:rPr>
              <w:t>The result of the temperature measurement.</w:t>
            </w:r>
          </w:p>
        </w:tc>
      </w:tr>
      <w:tr>
        <w:trPr>
          <w:trHeight w:val="510" w:hRule="atLeast"/>
        </w:trPr>
        <w:tc>
          <w:tcPr>
            <w:tcW w:w="2254" w:type="dxa"/>
          </w:tcPr>
          <w:p>
            <w:pPr>
              <w:pStyle w:val="TableParagraph"/>
              <w:spacing w:line="240" w:lineRule="atLeast" w:before="4"/>
              <w:ind w:left="107"/>
              <w:rPr>
                <w:rFonts w:ascii="Times New Roman"/>
                <w:i/>
                <w:sz w:val="20"/>
              </w:rPr>
            </w:pPr>
            <w:r>
              <w:rPr>
                <w:rFonts w:ascii="Times New Roman"/>
                <w:i/>
                <w:w w:val="95"/>
                <w:sz w:val="20"/>
              </w:rPr>
              <w:t>SUM_SAMPS[12:8] </w:t>
            </w:r>
            <w:r>
              <w:rPr>
                <w:rFonts w:ascii="Times New Roman"/>
                <w:i/>
                <w:sz w:val="20"/>
              </w:rPr>
              <w:t>SUM_SAMPS[7:0]</w:t>
            </w:r>
          </w:p>
        </w:tc>
        <w:tc>
          <w:tcPr>
            <w:tcW w:w="1124" w:type="dxa"/>
          </w:tcPr>
          <w:p>
            <w:pPr>
              <w:pStyle w:val="TableParagraph"/>
              <w:spacing w:line="229" w:lineRule="exact" w:before="18"/>
              <w:ind w:left="143"/>
              <w:rPr>
                <w:sz w:val="20"/>
              </w:rPr>
            </w:pPr>
            <w:r>
              <w:rPr>
                <w:sz w:val="20"/>
              </w:rPr>
              <w:t>2107[4:0]</w:t>
            </w:r>
          </w:p>
          <w:p>
            <w:pPr>
              <w:pStyle w:val="TableParagraph"/>
              <w:spacing w:line="229" w:lineRule="exact"/>
              <w:ind w:left="143"/>
              <w:rPr>
                <w:sz w:val="20"/>
              </w:rPr>
            </w:pPr>
            <w:r>
              <w:rPr>
                <w:sz w:val="20"/>
              </w:rPr>
              <w:t>2108[7:0]</w:t>
            </w:r>
          </w:p>
        </w:tc>
        <w:tc>
          <w:tcPr>
            <w:tcW w:w="344" w:type="dxa"/>
          </w:tcPr>
          <w:p>
            <w:pPr>
              <w:pStyle w:val="TableParagraph"/>
              <w:spacing w:before="138"/>
              <w:ind w:left="4"/>
              <w:jc w:val="center"/>
              <w:rPr>
                <w:sz w:val="20"/>
              </w:rPr>
            </w:pPr>
            <w:r>
              <w:rPr>
                <w:w w:val="99"/>
                <w:sz w:val="20"/>
              </w:rPr>
              <w:t>0</w:t>
            </w:r>
          </w:p>
        </w:tc>
        <w:tc>
          <w:tcPr>
            <w:tcW w:w="344" w:type="dxa"/>
          </w:tcPr>
          <w:p>
            <w:pPr>
              <w:pStyle w:val="TableParagraph"/>
              <w:spacing w:before="138"/>
              <w:ind w:left="2"/>
              <w:jc w:val="center"/>
              <w:rPr>
                <w:sz w:val="20"/>
              </w:rPr>
            </w:pPr>
            <w:r>
              <w:rPr>
                <w:w w:val="99"/>
                <w:sz w:val="20"/>
              </w:rPr>
              <w:t>0</w:t>
            </w:r>
          </w:p>
        </w:tc>
        <w:tc>
          <w:tcPr>
            <w:tcW w:w="620" w:type="dxa"/>
          </w:tcPr>
          <w:p>
            <w:pPr>
              <w:pStyle w:val="TableParagraph"/>
              <w:spacing w:before="138"/>
              <w:ind w:left="87" w:right="93"/>
              <w:jc w:val="center"/>
              <w:rPr>
                <w:sz w:val="20"/>
              </w:rPr>
            </w:pPr>
            <w:r>
              <w:rPr>
                <w:sz w:val="20"/>
              </w:rPr>
              <w:t>R/W</w:t>
            </w:r>
          </w:p>
        </w:tc>
        <w:tc>
          <w:tcPr>
            <w:tcW w:w="8014" w:type="dxa"/>
          </w:tcPr>
          <w:p>
            <w:pPr>
              <w:pStyle w:val="TableParagraph"/>
              <w:spacing w:before="23"/>
              <w:ind w:left="104" w:right="105"/>
              <w:rPr>
                <w:sz w:val="20"/>
              </w:rPr>
            </w:pPr>
            <w:r>
              <w:rPr>
                <w:sz w:val="20"/>
              </w:rPr>
              <w:t>The number of </w:t>
            </w:r>
            <w:r>
              <w:rPr>
                <w:spacing w:val="-3"/>
                <w:sz w:val="20"/>
              </w:rPr>
              <w:t>multiplexer </w:t>
            </w:r>
            <w:r>
              <w:rPr>
                <w:spacing w:val="-2"/>
                <w:sz w:val="20"/>
              </w:rPr>
              <w:t>cycles </w:t>
            </w:r>
            <w:r>
              <w:rPr>
                <w:sz w:val="20"/>
              </w:rPr>
              <w:t>(frames) per XFER_BUSY interrupt. Maximum value is 8191 cycles.</w:t>
            </w:r>
          </w:p>
        </w:tc>
      </w:tr>
      <w:tr>
        <w:trPr>
          <w:trHeight w:val="498" w:hRule="atLeast"/>
        </w:trPr>
        <w:tc>
          <w:tcPr>
            <w:tcW w:w="2254" w:type="dxa"/>
            <w:shd w:val="clear" w:color="auto" w:fill="C1C1C1"/>
          </w:tcPr>
          <w:p>
            <w:pPr>
              <w:pStyle w:val="TableParagraph"/>
              <w:spacing w:before="127"/>
              <w:ind w:left="107"/>
              <w:rPr>
                <w:rFonts w:ascii="Times New Roman"/>
                <w:i/>
                <w:sz w:val="20"/>
              </w:rPr>
            </w:pPr>
            <w:r>
              <w:rPr>
                <w:rFonts w:ascii="Times New Roman"/>
                <w:i/>
                <w:sz w:val="20"/>
              </w:rPr>
              <w:t>TBYTE_BUSY</w:t>
            </w:r>
          </w:p>
        </w:tc>
        <w:tc>
          <w:tcPr>
            <w:tcW w:w="1124" w:type="dxa"/>
            <w:shd w:val="clear" w:color="auto" w:fill="C1C1C1"/>
          </w:tcPr>
          <w:p>
            <w:pPr>
              <w:pStyle w:val="TableParagraph"/>
              <w:spacing w:before="131"/>
              <w:ind w:left="2"/>
              <w:jc w:val="center"/>
              <w:rPr>
                <w:sz w:val="20"/>
              </w:rPr>
            </w:pPr>
            <w:r>
              <w:rPr>
                <w:sz w:val="20"/>
              </w:rPr>
              <w:t>28A0[3]</w:t>
            </w:r>
          </w:p>
        </w:tc>
        <w:tc>
          <w:tcPr>
            <w:tcW w:w="344" w:type="dxa"/>
            <w:shd w:val="clear" w:color="auto" w:fill="C1C1C1"/>
          </w:tcPr>
          <w:p>
            <w:pPr>
              <w:pStyle w:val="TableParagraph"/>
              <w:spacing w:before="131"/>
              <w:ind w:left="4"/>
              <w:jc w:val="center"/>
              <w:rPr>
                <w:sz w:val="20"/>
              </w:rPr>
            </w:pPr>
            <w:r>
              <w:rPr>
                <w:w w:val="99"/>
                <w:sz w:val="20"/>
              </w:rPr>
              <w:t>0</w:t>
            </w:r>
          </w:p>
        </w:tc>
        <w:tc>
          <w:tcPr>
            <w:tcW w:w="344" w:type="dxa"/>
            <w:shd w:val="clear" w:color="auto" w:fill="C1C1C1"/>
          </w:tcPr>
          <w:p>
            <w:pPr>
              <w:pStyle w:val="TableParagraph"/>
              <w:spacing w:before="131"/>
              <w:ind w:left="2"/>
              <w:jc w:val="center"/>
              <w:rPr>
                <w:sz w:val="20"/>
              </w:rPr>
            </w:pPr>
            <w:r>
              <w:rPr>
                <w:w w:val="99"/>
                <w:sz w:val="20"/>
              </w:rPr>
              <w:t>0</w:t>
            </w:r>
          </w:p>
        </w:tc>
        <w:tc>
          <w:tcPr>
            <w:tcW w:w="620" w:type="dxa"/>
            <w:shd w:val="clear" w:color="auto" w:fill="C1C1C1"/>
          </w:tcPr>
          <w:p>
            <w:pPr>
              <w:pStyle w:val="TableParagraph"/>
              <w:spacing w:before="131"/>
              <w:ind w:left="3"/>
              <w:jc w:val="center"/>
              <w:rPr>
                <w:sz w:val="20"/>
              </w:rPr>
            </w:pPr>
            <w:r>
              <w:rPr>
                <w:w w:val="99"/>
                <w:sz w:val="20"/>
              </w:rPr>
              <w:t>R</w:t>
            </w:r>
          </w:p>
        </w:tc>
        <w:tc>
          <w:tcPr>
            <w:tcW w:w="8014" w:type="dxa"/>
            <w:shd w:val="clear" w:color="auto" w:fill="C1C1C1"/>
          </w:tcPr>
          <w:p>
            <w:pPr>
              <w:pStyle w:val="TableParagraph"/>
              <w:spacing w:before="16"/>
              <w:ind w:left="104"/>
              <w:rPr>
                <w:sz w:val="20"/>
              </w:rPr>
            </w:pPr>
            <w:r>
              <w:rPr>
                <w:sz w:val="20"/>
              </w:rPr>
              <w:t>Indicates that hardware is still writing the 0x28A0 byte. Additional writes to this byte are locked out while it is one. Write duration could be as long as 6 ms.</w:t>
            </w:r>
          </w:p>
        </w:tc>
      </w:tr>
      <w:tr>
        <w:trPr>
          <w:trHeight w:val="501" w:hRule="atLeast"/>
        </w:trPr>
        <w:tc>
          <w:tcPr>
            <w:tcW w:w="2254" w:type="dxa"/>
            <w:shd w:val="clear" w:color="auto" w:fill="C1C1C1"/>
          </w:tcPr>
          <w:p>
            <w:pPr>
              <w:pStyle w:val="TableParagraph"/>
              <w:spacing w:before="14"/>
              <w:ind w:left="107"/>
              <w:rPr>
                <w:rFonts w:ascii="Times New Roman"/>
                <w:i/>
                <w:sz w:val="20"/>
              </w:rPr>
            </w:pPr>
            <w:r>
              <w:rPr>
                <w:rFonts w:ascii="Times New Roman"/>
                <w:i/>
                <w:w w:val="95"/>
                <w:sz w:val="20"/>
              </w:rPr>
              <w:t>TEMP_22[10:8] </w:t>
            </w:r>
            <w:r>
              <w:rPr>
                <w:rFonts w:ascii="Times New Roman"/>
                <w:i/>
                <w:sz w:val="20"/>
              </w:rPr>
              <w:t>TEMP_22[7:0]</w:t>
            </w:r>
          </w:p>
        </w:tc>
        <w:tc>
          <w:tcPr>
            <w:tcW w:w="1124" w:type="dxa"/>
            <w:shd w:val="clear" w:color="auto" w:fill="C1C1C1"/>
          </w:tcPr>
          <w:p>
            <w:pPr>
              <w:pStyle w:val="TableParagraph"/>
              <w:spacing w:before="18"/>
              <w:ind w:left="131"/>
              <w:rPr>
                <w:sz w:val="20"/>
              </w:rPr>
            </w:pPr>
            <w:r>
              <w:rPr>
                <w:sz w:val="20"/>
              </w:rPr>
              <w:t>230A[2:0]</w:t>
            </w:r>
          </w:p>
          <w:p>
            <w:pPr>
              <w:pStyle w:val="TableParagraph"/>
              <w:spacing w:before="1"/>
              <w:ind w:left="131"/>
              <w:rPr>
                <w:sz w:val="20"/>
              </w:rPr>
            </w:pPr>
            <w:r>
              <w:rPr>
                <w:sz w:val="20"/>
              </w:rPr>
              <w:t>230B[7:0]</w:t>
            </w:r>
          </w:p>
        </w:tc>
        <w:tc>
          <w:tcPr>
            <w:tcW w:w="344" w:type="dxa"/>
            <w:shd w:val="clear" w:color="auto" w:fill="C1C1C1"/>
          </w:tcPr>
          <w:p>
            <w:pPr>
              <w:pStyle w:val="TableParagraph"/>
              <w:spacing w:before="134"/>
              <w:ind w:left="4"/>
              <w:jc w:val="center"/>
              <w:rPr>
                <w:sz w:val="20"/>
              </w:rPr>
            </w:pPr>
            <w:r>
              <w:rPr>
                <w:w w:val="99"/>
                <w:sz w:val="20"/>
              </w:rPr>
              <w:t>0</w:t>
            </w:r>
          </w:p>
        </w:tc>
        <w:tc>
          <w:tcPr>
            <w:tcW w:w="344" w:type="dxa"/>
            <w:shd w:val="clear" w:color="auto" w:fill="C1C1C1"/>
          </w:tcPr>
          <w:p>
            <w:pPr>
              <w:pStyle w:val="TableParagraph"/>
              <w:spacing w:before="134"/>
              <w:ind w:left="2"/>
              <w:jc w:val="center"/>
              <w:rPr>
                <w:sz w:val="20"/>
              </w:rPr>
            </w:pPr>
            <w:r>
              <w:rPr>
                <w:w w:val="99"/>
                <w:sz w:val="20"/>
              </w:rPr>
              <w:t>–</w:t>
            </w:r>
          </w:p>
        </w:tc>
        <w:tc>
          <w:tcPr>
            <w:tcW w:w="620" w:type="dxa"/>
            <w:shd w:val="clear" w:color="auto" w:fill="C1C1C1"/>
          </w:tcPr>
          <w:p>
            <w:pPr>
              <w:pStyle w:val="TableParagraph"/>
              <w:spacing w:before="134"/>
              <w:ind w:left="3"/>
              <w:jc w:val="center"/>
              <w:rPr>
                <w:sz w:val="20"/>
              </w:rPr>
            </w:pPr>
            <w:r>
              <w:rPr>
                <w:w w:val="99"/>
                <w:sz w:val="20"/>
              </w:rPr>
              <w:t>R</w:t>
            </w:r>
          </w:p>
        </w:tc>
        <w:tc>
          <w:tcPr>
            <w:tcW w:w="8014" w:type="dxa"/>
            <w:shd w:val="clear" w:color="auto" w:fill="C1C1C1"/>
          </w:tcPr>
          <w:p>
            <w:pPr>
              <w:pStyle w:val="TableParagraph"/>
              <w:spacing w:before="129"/>
              <w:ind w:left="104"/>
              <w:rPr>
                <w:sz w:val="20"/>
              </w:rPr>
            </w:pPr>
            <w:r>
              <w:rPr>
                <w:sz w:val="20"/>
              </w:rPr>
              <w:t>Storage location for </w:t>
            </w:r>
            <w:r>
              <w:rPr>
                <w:rFonts w:ascii="Times New Roman"/>
                <w:i/>
                <w:sz w:val="20"/>
              </w:rPr>
              <w:t>STEMP[10:0] </w:t>
            </w:r>
            <w:r>
              <w:rPr>
                <w:sz w:val="20"/>
              </w:rPr>
              <w:t>at 22C. </w:t>
            </w:r>
            <w:r>
              <w:rPr>
                <w:rFonts w:ascii="Times New Roman"/>
                <w:i/>
                <w:sz w:val="20"/>
              </w:rPr>
              <w:t>STEMP[10:0] </w:t>
            </w:r>
            <w:r>
              <w:rPr>
                <w:sz w:val="20"/>
              </w:rPr>
              <w:t>is an 11 bit word.</w:t>
            </w:r>
          </w:p>
        </w:tc>
      </w:tr>
    </w:tbl>
    <w:p>
      <w:pPr>
        <w:spacing w:after="0"/>
        <w:rPr>
          <w:sz w:val="20"/>
        </w:rPr>
        <w:sectPr>
          <w:pgSz w:w="15840" w:h="12240" w:orient="landscape"/>
          <w:pgMar w:header="727" w:footer="819" w:top="1180" w:bottom="1000" w:left="1320" w:right="1320"/>
        </w:sectPr>
      </w:pPr>
    </w:p>
    <w:p>
      <w:pPr>
        <w:pStyle w:val="BodyText"/>
        <w:spacing w:before="5"/>
        <w:rPr>
          <w:b/>
          <w:sz w:val="7"/>
        </w:rPr>
      </w:pPr>
    </w:p>
    <w:tbl>
      <w:tblPr>
        <w:tblW w:w="0" w:type="auto"/>
        <w:jc w:val="left"/>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4"/>
        <w:gridCol w:w="1124"/>
        <w:gridCol w:w="344"/>
        <w:gridCol w:w="344"/>
        <w:gridCol w:w="620"/>
        <w:gridCol w:w="114"/>
        <w:gridCol w:w="1297"/>
        <w:gridCol w:w="212"/>
        <w:gridCol w:w="1801"/>
        <w:gridCol w:w="1230"/>
        <w:gridCol w:w="572"/>
        <w:gridCol w:w="2794"/>
      </w:tblGrid>
      <w:tr>
        <w:trPr>
          <w:trHeight w:val="291" w:hRule="atLeast"/>
        </w:trPr>
        <w:tc>
          <w:tcPr>
            <w:tcW w:w="2254" w:type="dxa"/>
            <w:tcBorders>
              <w:bottom w:val="single" w:sz="18" w:space="0" w:color="C1C1C1"/>
            </w:tcBorders>
          </w:tcPr>
          <w:p>
            <w:pPr>
              <w:pStyle w:val="TableParagraph"/>
              <w:spacing w:before="35"/>
              <w:ind w:left="107"/>
              <w:rPr>
                <w:b/>
                <w:sz w:val="20"/>
              </w:rPr>
            </w:pPr>
            <w:r>
              <w:rPr>
                <w:b/>
                <w:sz w:val="20"/>
              </w:rPr>
              <w:t>Name</w:t>
            </w:r>
          </w:p>
        </w:tc>
        <w:tc>
          <w:tcPr>
            <w:tcW w:w="1124" w:type="dxa"/>
            <w:tcBorders>
              <w:bottom w:val="single" w:sz="18" w:space="0" w:color="C1C1C1"/>
            </w:tcBorders>
          </w:tcPr>
          <w:p>
            <w:pPr>
              <w:pStyle w:val="TableParagraph"/>
              <w:spacing w:before="35"/>
              <w:ind w:left="4"/>
              <w:jc w:val="center"/>
              <w:rPr>
                <w:b/>
                <w:sz w:val="20"/>
              </w:rPr>
            </w:pPr>
            <w:r>
              <w:rPr>
                <w:b/>
                <w:sz w:val="20"/>
              </w:rPr>
              <w:t>Location</w:t>
            </w:r>
          </w:p>
        </w:tc>
        <w:tc>
          <w:tcPr>
            <w:tcW w:w="344" w:type="dxa"/>
            <w:tcBorders>
              <w:bottom w:val="single" w:sz="18" w:space="0" w:color="C1C1C1"/>
            </w:tcBorders>
          </w:tcPr>
          <w:p>
            <w:pPr>
              <w:pStyle w:val="TableParagraph"/>
              <w:spacing w:before="35"/>
              <w:ind w:left="2"/>
              <w:jc w:val="center"/>
              <w:rPr>
                <w:b/>
                <w:sz w:val="20"/>
              </w:rPr>
            </w:pPr>
            <w:r>
              <w:rPr>
                <w:b/>
                <w:sz w:val="20"/>
              </w:rPr>
              <w:t>Rst</w:t>
            </w:r>
          </w:p>
        </w:tc>
        <w:tc>
          <w:tcPr>
            <w:tcW w:w="344" w:type="dxa"/>
            <w:tcBorders>
              <w:bottom w:val="single" w:sz="18" w:space="0" w:color="C1C1C1"/>
            </w:tcBorders>
          </w:tcPr>
          <w:p>
            <w:pPr>
              <w:pStyle w:val="TableParagraph"/>
              <w:spacing w:before="35"/>
              <w:ind w:left="6"/>
              <w:jc w:val="center"/>
              <w:rPr>
                <w:b/>
                <w:sz w:val="20"/>
              </w:rPr>
            </w:pPr>
            <w:r>
              <w:rPr>
                <w:b/>
                <w:sz w:val="20"/>
              </w:rPr>
              <w:t>Wk</w:t>
            </w:r>
          </w:p>
        </w:tc>
        <w:tc>
          <w:tcPr>
            <w:tcW w:w="620" w:type="dxa"/>
            <w:tcBorders>
              <w:bottom w:val="single" w:sz="18" w:space="0" w:color="C1C1C1"/>
            </w:tcBorders>
          </w:tcPr>
          <w:p>
            <w:pPr>
              <w:pStyle w:val="TableParagraph"/>
              <w:spacing w:before="35"/>
              <w:ind w:left="87" w:right="86"/>
              <w:jc w:val="center"/>
              <w:rPr>
                <w:b/>
                <w:sz w:val="20"/>
              </w:rPr>
            </w:pPr>
            <w:r>
              <w:rPr>
                <w:b/>
                <w:sz w:val="20"/>
              </w:rPr>
              <w:t>Dir</w:t>
            </w:r>
          </w:p>
        </w:tc>
        <w:tc>
          <w:tcPr>
            <w:tcW w:w="8020" w:type="dxa"/>
            <w:gridSpan w:val="7"/>
            <w:tcBorders>
              <w:bottom w:val="single" w:sz="18" w:space="0" w:color="C1C1C1"/>
            </w:tcBorders>
          </w:tcPr>
          <w:p>
            <w:pPr>
              <w:pStyle w:val="TableParagraph"/>
              <w:spacing w:before="35"/>
              <w:ind w:left="104"/>
              <w:rPr>
                <w:b/>
                <w:sz w:val="20"/>
              </w:rPr>
            </w:pPr>
            <w:r>
              <w:rPr>
                <w:b/>
                <w:sz w:val="20"/>
              </w:rPr>
              <w:t>Description</w:t>
            </w:r>
          </w:p>
        </w:tc>
      </w:tr>
      <w:tr>
        <w:trPr>
          <w:trHeight w:val="253" w:hRule="atLeast"/>
        </w:trPr>
        <w:tc>
          <w:tcPr>
            <w:tcW w:w="2254" w:type="dxa"/>
            <w:shd w:val="clear" w:color="auto" w:fill="C1C1C1"/>
          </w:tcPr>
          <w:p>
            <w:pPr>
              <w:pStyle w:val="TableParagraph"/>
              <w:spacing w:line="227" w:lineRule="exact"/>
              <w:ind w:left="115"/>
              <w:rPr>
                <w:rFonts w:ascii="Times New Roman"/>
                <w:i/>
                <w:sz w:val="20"/>
              </w:rPr>
            </w:pPr>
            <w:r>
              <w:rPr>
                <w:rFonts w:ascii="Times New Roman"/>
                <w:i/>
                <w:sz w:val="20"/>
              </w:rPr>
              <w:t>TEMP_BAT</w:t>
            </w:r>
          </w:p>
        </w:tc>
        <w:tc>
          <w:tcPr>
            <w:tcW w:w="1124" w:type="dxa"/>
            <w:shd w:val="clear" w:color="auto" w:fill="C1C1C1"/>
          </w:tcPr>
          <w:p>
            <w:pPr>
              <w:pStyle w:val="TableParagraph"/>
              <w:spacing w:before="1"/>
              <w:ind w:left="2"/>
              <w:jc w:val="center"/>
              <w:rPr>
                <w:sz w:val="20"/>
              </w:rPr>
            </w:pPr>
            <w:r>
              <w:rPr>
                <w:sz w:val="20"/>
              </w:rPr>
              <w:t>28A0[4]</w:t>
            </w:r>
          </w:p>
        </w:tc>
        <w:tc>
          <w:tcPr>
            <w:tcW w:w="344" w:type="dxa"/>
            <w:shd w:val="clear" w:color="auto" w:fill="C1C1C1"/>
          </w:tcPr>
          <w:p>
            <w:pPr>
              <w:pStyle w:val="TableParagraph"/>
              <w:spacing w:before="1"/>
              <w:ind w:left="4"/>
              <w:jc w:val="center"/>
              <w:rPr>
                <w:sz w:val="20"/>
              </w:rPr>
            </w:pPr>
            <w:r>
              <w:rPr>
                <w:w w:val="99"/>
                <w:sz w:val="20"/>
              </w:rPr>
              <w:t>0</w:t>
            </w:r>
          </w:p>
        </w:tc>
        <w:tc>
          <w:tcPr>
            <w:tcW w:w="344" w:type="dxa"/>
            <w:shd w:val="clear" w:color="auto" w:fill="C1C1C1"/>
          </w:tcPr>
          <w:p>
            <w:pPr>
              <w:pStyle w:val="TableParagraph"/>
              <w:spacing w:before="1"/>
              <w:ind w:left="2"/>
              <w:jc w:val="center"/>
              <w:rPr>
                <w:sz w:val="20"/>
              </w:rPr>
            </w:pPr>
            <w:r>
              <w:rPr>
                <w:w w:val="99"/>
                <w:sz w:val="20"/>
              </w:rPr>
              <w:t>–</w:t>
            </w:r>
          </w:p>
        </w:tc>
        <w:tc>
          <w:tcPr>
            <w:tcW w:w="620" w:type="dxa"/>
            <w:shd w:val="clear" w:color="auto" w:fill="C1C1C1"/>
          </w:tcPr>
          <w:p>
            <w:pPr>
              <w:pStyle w:val="TableParagraph"/>
              <w:spacing w:before="1"/>
              <w:ind w:left="87" w:right="93"/>
              <w:jc w:val="center"/>
              <w:rPr>
                <w:sz w:val="20"/>
              </w:rPr>
            </w:pPr>
            <w:r>
              <w:rPr>
                <w:sz w:val="20"/>
              </w:rPr>
              <w:t>R/W</w:t>
            </w:r>
          </w:p>
        </w:tc>
        <w:tc>
          <w:tcPr>
            <w:tcW w:w="8020" w:type="dxa"/>
            <w:gridSpan w:val="7"/>
            <w:shd w:val="clear" w:color="auto" w:fill="C1C1C1"/>
          </w:tcPr>
          <w:p>
            <w:pPr>
              <w:pStyle w:val="TableParagraph"/>
              <w:spacing w:before="1"/>
              <w:ind w:left="104"/>
              <w:rPr>
                <w:sz w:val="20"/>
              </w:rPr>
            </w:pPr>
            <w:r>
              <w:rPr>
                <w:sz w:val="20"/>
              </w:rPr>
              <w:t>Causes VBAT to be measured whenever a temperature measurement is performed.</w:t>
            </w:r>
          </w:p>
        </w:tc>
      </w:tr>
      <w:tr>
        <w:trPr>
          <w:trHeight w:val="498" w:hRule="atLeast"/>
        </w:trPr>
        <w:tc>
          <w:tcPr>
            <w:tcW w:w="2254" w:type="dxa"/>
            <w:shd w:val="clear" w:color="auto" w:fill="C1C1C1"/>
          </w:tcPr>
          <w:p>
            <w:pPr>
              <w:pStyle w:val="TableParagraph"/>
              <w:spacing w:before="127"/>
              <w:ind w:left="115"/>
              <w:rPr>
                <w:rFonts w:ascii="Times New Roman"/>
                <w:i/>
                <w:sz w:val="20"/>
              </w:rPr>
            </w:pPr>
            <w:r>
              <w:rPr>
                <w:rFonts w:ascii="Times New Roman"/>
                <w:i/>
                <w:sz w:val="20"/>
              </w:rPr>
              <w:t>TEMP_BSEL</w:t>
            </w:r>
          </w:p>
        </w:tc>
        <w:tc>
          <w:tcPr>
            <w:tcW w:w="1124" w:type="dxa"/>
            <w:shd w:val="clear" w:color="auto" w:fill="C1C1C1"/>
          </w:tcPr>
          <w:p>
            <w:pPr>
              <w:pStyle w:val="TableParagraph"/>
              <w:spacing w:before="131"/>
              <w:ind w:left="3"/>
              <w:jc w:val="center"/>
              <w:rPr>
                <w:sz w:val="20"/>
              </w:rPr>
            </w:pPr>
            <w:r>
              <w:rPr>
                <w:sz w:val="20"/>
              </w:rPr>
              <w:t>28A0[7]</w:t>
            </w:r>
          </w:p>
        </w:tc>
        <w:tc>
          <w:tcPr>
            <w:tcW w:w="344" w:type="dxa"/>
            <w:shd w:val="clear" w:color="auto" w:fill="C1C1C1"/>
          </w:tcPr>
          <w:p>
            <w:pPr>
              <w:pStyle w:val="TableParagraph"/>
              <w:spacing w:before="131"/>
              <w:ind w:left="4"/>
              <w:jc w:val="center"/>
              <w:rPr>
                <w:sz w:val="20"/>
              </w:rPr>
            </w:pPr>
            <w:r>
              <w:rPr>
                <w:w w:val="99"/>
                <w:sz w:val="20"/>
              </w:rPr>
              <w:t>0</w:t>
            </w:r>
          </w:p>
        </w:tc>
        <w:tc>
          <w:tcPr>
            <w:tcW w:w="344" w:type="dxa"/>
            <w:shd w:val="clear" w:color="auto" w:fill="C1C1C1"/>
          </w:tcPr>
          <w:p>
            <w:pPr>
              <w:pStyle w:val="TableParagraph"/>
              <w:spacing w:before="131"/>
              <w:ind w:left="2"/>
              <w:jc w:val="center"/>
              <w:rPr>
                <w:sz w:val="20"/>
              </w:rPr>
            </w:pPr>
            <w:r>
              <w:rPr>
                <w:w w:val="99"/>
                <w:sz w:val="20"/>
              </w:rPr>
              <w:t>–</w:t>
            </w:r>
          </w:p>
        </w:tc>
        <w:tc>
          <w:tcPr>
            <w:tcW w:w="620" w:type="dxa"/>
            <w:shd w:val="clear" w:color="auto" w:fill="C1C1C1"/>
          </w:tcPr>
          <w:p>
            <w:pPr>
              <w:pStyle w:val="TableParagraph"/>
              <w:spacing w:before="131"/>
              <w:ind w:left="87" w:right="93"/>
              <w:jc w:val="center"/>
              <w:rPr>
                <w:sz w:val="20"/>
              </w:rPr>
            </w:pPr>
            <w:r>
              <w:rPr>
                <w:sz w:val="20"/>
              </w:rPr>
              <w:t>R/W</w:t>
            </w:r>
          </w:p>
        </w:tc>
        <w:tc>
          <w:tcPr>
            <w:tcW w:w="8020" w:type="dxa"/>
            <w:gridSpan w:val="7"/>
            <w:shd w:val="clear" w:color="auto" w:fill="C1C1C1"/>
          </w:tcPr>
          <w:p>
            <w:pPr>
              <w:pStyle w:val="TableParagraph"/>
              <w:spacing w:before="16"/>
              <w:ind w:left="104" w:right="2405"/>
              <w:rPr>
                <w:sz w:val="20"/>
              </w:rPr>
            </w:pPr>
            <w:r>
              <w:rPr>
                <w:sz w:val="20"/>
              </w:rPr>
              <w:t>Selects which battery is monitored by the temperature sensor: 1 = VBAT, 0 = VBAT_RTC</w:t>
            </w:r>
          </w:p>
        </w:tc>
      </w:tr>
      <w:tr>
        <w:trPr>
          <w:trHeight w:val="1021" w:hRule="atLeast"/>
        </w:trPr>
        <w:tc>
          <w:tcPr>
            <w:tcW w:w="2254" w:type="dxa"/>
            <w:vMerge w:val="restart"/>
            <w:shd w:val="clear" w:color="auto" w:fill="C1C1C1"/>
          </w:tcPr>
          <w:p>
            <w:pPr>
              <w:pStyle w:val="TableParagraph"/>
              <w:rPr>
                <w:b/>
                <w:sz w:val="22"/>
              </w:rPr>
            </w:pPr>
          </w:p>
          <w:p>
            <w:pPr>
              <w:pStyle w:val="TableParagraph"/>
              <w:rPr>
                <w:b/>
                <w:sz w:val="22"/>
              </w:rPr>
            </w:pPr>
          </w:p>
          <w:p>
            <w:pPr>
              <w:pStyle w:val="TableParagraph"/>
              <w:rPr>
                <w:b/>
                <w:sz w:val="22"/>
              </w:rPr>
            </w:pPr>
          </w:p>
          <w:p>
            <w:pPr>
              <w:pStyle w:val="TableParagraph"/>
              <w:spacing w:before="10"/>
              <w:rPr>
                <w:b/>
                <w:sz w:val="22"/>
              </w:rPr>
            </w:pPr>
          </w:p>
          <w:p>
            <w:pPr>
              <w:pStyle w:val="TableParagraph"/>
              <w:ind w:left="115"/>
              <w:rPr>
                <w:rFonts w:ascii="Times New Roman"/>
                <w:i/>
                <w:sz w:val="20"/>
              </w:rPr>
            </w:pPr>
            <w:r>
              <w:rPr>
                <w:rFonts w:ascii="Times New Roman"/>
                <w:i/>
                <w:sz w:val="20"/>
              </w:rPr>
              <w:t>TEMP_PER[2:0]</w:t>
            </w:r>
          </w:p>
        </w:tc>
        <w:tc>
          <w:tcPr>
            <w:tcW w:w="1124" w:type="dxa"/>
            <w:vMerge w:val="restart"/>
            <w:shd w:val="clear" w:color="auto" w:fill="C1C1C1"/>
          </w:tcPr>
          <w:p>
            <w:pPr>
              <w:pStyle w:val="TableParagraph"/>
              <w:rPr>
                <w:b/>
                <w:sz w:val="22"/>
              </w:rPr>
            </w:pPr>
          </w:p>
          <w:p>
            <w:pPr>
              <w:pStyle w:val="TableParagraph"/>
              <w:rPr>
                <w:b/>
                <w:sz w:val="22"/>
              </w:rPr>
            </w:pPr>
          </w:p>
          <w:p>
            <w:pPr>
              <w:pStyle w:val="TableParagraph"/>
              <w:rPr>
                <w:b/>
                <w:sz w:val="22"/>
              </w:rPr>
            </w:pPr>
          </w:p>
          <w:p>
            <w:pPr>
              <w:pStyle w:val="TableParagraph"/>
              <w:spacing w:before="3"/>
              <w:rPr>
                <w:b/>
                <w:sz w:val="23"/>
              </w:rPr>
            </w:pPr>
          </w:p>
          <w:p>
            <w:pPr>
              <w:pStyle w:val="TableParagraph"/>
              <w:ind w:left="131"/>
              <w:rPr>
                <w:sz w:val="20"/>
              </w:rPr>
            </w:pPr>
            <w:r>
              <w:rPr>
                <w:sz w:val="20"/>
              </w:rPr>
              <w:t>28A0[2:0]</w:t>
            </w:r>
          </w:p>
        </w:tc>
        <w:tc>
          <w:tcPr>
            <w:tcW w:w="344" w:type="dxa"/>
            <w:vMerge w:val="restart"/>
            <w:shd w:val="clear" w:color="auto" w:fill="C1C1C1"/>
          </w:tcPr>
          <w:p>
            <w:pPr>
              <w:pStyle w:val="TableParagraph"/>
              <w:rPr>
                <w:b/>
                <w:sz w:val="22"/>
              </w:rPr>
            </w:pPr>
          </w:p>
          <w:p>
            <w:pPr>
              <w:pStyle w:val="TableParagraph"/>
              <w:rPr>
                <w:b/>
                <w:sz w:val="22"/>
              </w:rPr>
            </w:pPr>
          </w:p>
          <w:p>
            <w:pPr>
              <w:pStyle w:val="TableParagraph"/>
              <w:rPr>
                <w:b/>
                <w:sz w:val="22"/>
              </w:rPr>
            </w:pPr>
          </w:p>
          <w:p>
            <w:pPr>
              <w:pStyle w:val="TableParagraph"/>
              <w:spacing w:before="3"/>
              <w:rPr>
                <w:b/>
                <w:sz w:val="23"/>
              </w:rPr>
            </w:pPr>
          </w:p>
          <w:p>
            <w:pPr>
              <w:pStyle w:val="TableParagraph"/>
              <w:ind w:left="113"/>
              <w:rPr>
                <w:sz w:val="20"/>
              </w:rPr>
            </w:pPr>
            <w:r>
              <w:rPr>
                <w:w w:val="99"/>
                <w:sz w:val="20"/>
              </w:rPr>
              <w:t>0</w:t>
            </w:r>
          </w:p>
        </w:tc>
        <w:tc>
          <w:tcPr>
            <w:tcW w:w="344" w:type="dxa"/>
            <w:vMerge w:val="restart"/>
            <w:shd w:val="clear" w:color="auto" w:fill="C1C1C1"/>
          </w:tcPr>
          <w:p>
            <w:pPr>
              <w:pStyle w:val="TableParagraph"/>
              <w:rPr>
                <w:b/>
                <w:sz w:val="22"/>
              </w:rPr>
            </w:pPr>
          </w:p>
          <w:p>
            <w:pPr>
              <w:pStyle w:val="TableParagraph"/>
              <w:rPr>
                <w:b/>
                <w:sz w:val="22"/>
              </w:rPr>
            </w:pPr>
          </w:p>
          <w:p>
            <w:pPr>
              <w:pStyle w:val="TableParagraph"/>
              <w:rPr>
                <w:b/>
                <w:sz w:val="22"/>
              </w:rPr>
            </w:pPr>
          </w:p>
          <w:p>
            <w:pPr>
              <w:pStyle w:val="TableParagraph"/>
              <w:spacing w:before="3"/>
              <w:rPr>
                <w:b/>
                <w:sz w:val="23"/>
              </w:rPr>
            </w:pPr>
          </w:p>
          <w:p>
            <w:pPr>
              <w:pStyle w:val="TableParagraph"/>
              <w:ind w:left="113"/>
              <w:rPr>
                <w:sz w:val="20"/>
              </w:rPr>
            </w:pPr>
            <w:r>
              <w:rPr>
                <w:w w:val="99"/>
                <w:sz w:val="20"/>
              </w:rPr>
              <w:t>–</w:t>
            </w:r>
          </w:p>
        </w:tc>
        <w:tc>
          <w:tcPr>
            <w:tcW w:w="620" w:type="dxa"/>
            <w:vMerge w:val="restart"/>
            <w:shd w:val="clear" w:color="auto" w:fill="C1C1C1"/>
          </w:tcPr>
          <w:p>
            <w:pPr>
              <w:pStyle w:val="TableParagraph"/>
              <w:rPr>
                <w:b/>
                <w:sz w:val="22"/>
              </w:rPr>
            </w:pPr>
          </w:p>
          <w:p>
            <w:pPr>
              <w:pStyle w:val="TableParagraph"/>
              <w:rPr>
                <w:b/>
                <w:sz w:val="22"/>
              </w:rPr>
            </w:pPr>
          </w:p>
          <w:p>
            <w:pPr>
              <w:pStyle w:val="TableParagraph"/>
              <w:rPr>
                <w:b/>
                <w:sz w:val="22"/>
              </w:rPr>
            </w:pPr>
          </w:p>
          <w:p>
            <w:pPr>
              <w:pStyle w:val="TableParagraph"/>
              <w:spacing w:before="3"/>
              <w:rPr>
                <w:b/>
                <w:sz w:val="23"/>
              </w:rPr>
            </w:pPr>
          </w:p>
          <w:p>
            <w:pPr>
              <w:pStyle w:val="TableParagraph"/>
              <w:ind w:left="112"/>
              <w:rPr>
                <w:sz w:val="20"/>
              </w:rPr>
            </w:pPr>
            <w:r>
              <w:rPr>
                <w:sz w:val="20"/>
              </w:rPr>
              <w:t>R/W</w:t>
            </w:r>
          </w:p>
        </w:tc>
        <w:tc>
          <w:tcPr>
            <w:tcW w:w="8020" w:type="dxa"/>
            <w:gridSpan w:val="7"/>
            <w:tcBorders>
              <w:bottom w:val="nil"/>
            </w:tcBorders>
            <w:shd w:val="clear" w:color="auto" w:fill="C1C1C1"/>
          </w:tcPr>
          <w:p>
            <w:pPr>
              <w:pStyle w:val="TableParagraph"/>
              <w:spacing w:before="40"/>
              <w:ind w:left="104" w:right="181"/>
              <w:rPr>
                <w:sz w:val="20"/>
              </w:rPr>
            </w:pPr>
            <w:r>
              <w:rPr>
                <w:sz w:val="20"/>
              </w:rPr>
              <w:t>Sets the period between temperature measurements. Automatic measurements can be enabled in any mode (MSN, BRN, LCD, or SLP). </w:t>
            </w:r>
            <w:r>
              <w:rPr>
                <w:rFonts w:ascii="Times New Roman"/>
                <w:i/>
                <w:sz w:val="20"/>
              </w:rPr>
              <w:t>TEMP_PER </w:t>
            </w:r>
            <w:r>
              <w:rPr>
                <w:sz w:val="20"/>
              </w:rPr>
              <w:t>= 0 disables automatic temperature updates, in which case </w:t>
            </w:r>
            <w:r>
              <w:rPr>
                <w:rFonts w:ascii="Times New Roman"/>
                <w:i/>
                <w:sz w:val="20"/>
              </w:rPr>
              <w:t>TEMP_START </w:t>
            </w:r>
            <w:r>
              <w:rPr>
                <w:sz w:val="20"/>
              </w:rPr>
              <w:t>may be used by the MPU to initiate a one-shot temperature measurement.</w:t>
            </w:r>
          </w:p>
        </w:tc>
      </w:tr>
      <w:tr>
        <w:trPr>
          <w:trHeight w:val="270" w:hRule="atLeast"/>
        </w:trPr>
        <w:tc>
          <w:tcPr>
            <w:tcW w:w="2254" w:type="dxa"/>
            <w:vMerge/>
            <w:tcBorders>
              <w:top w:val="nil"/>
            </w:tcBorders>
            <w:shd w:val="clear" w:color="auto" w:fill="C1C1C1"/>
          </w:tcPr>
          <w:p>
            <w:pPr>
              <w:rPr>
                <w:sz w:val="2"/>
                <w:szCs w:val="2"/>
              </w:rPr>
            </w:pPr>
          </w:p>
        </w:tc>
        <w:tc>
          <w:tcPr>
            <w:tcW w:w="112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620" w:type="dxa"/>
            <w:vMerge/>
            <w:tcBorders>
              <w:top w:val="nil"/>
            </w:tcBorders>
            <w:shd w:val="clear" w:color="auto" w:fill="C1C1C1"/>
          </w:tcPr>
          <w:p>
            <w:pPr>
              <w:rPr>
                <w:sz w:val="2"/>
                <w:szCs w:val="2"/>
              </w:rPr>
            </w:pPr>
          </w:p>
        </w:tc>
        <w:tc>
          <w:tcPr>
            <w:tcW w:w="114" w:type="dxa"/>
            <w:vMerge w:val="restart"/>
            <w:tcBorders>
              <w:top w:val="nil"/>
            </w:tcBorders>
            <w:shd w:val="clear" w:color="auto" w:fill="C1C1C1"/>
          </w:tcPr>
          <w:p>
            <w:pPr>
              <w:pStyle w:val="TableParagraph"/>
              <w:rPr>
                <w:rFonts w:ascii="Times New Roman"/>
                <w:sz w:val="18"/>
              </w:rPr>
            </w:pPr>
          </w:p>
        </w:tc>
        <w:tc>
          <w:tcPr>
            <w:tcW w:w="1297" w:type="dxa"/>
            <w:shd w:val="clear" w:color="auto" w:fill="C1C1C1"/>
          </w:tcPr>
          <w:p>
            <w:pPr>
              <w:pStyle w:val="TableParagraph"/>
              <w:spacing w:before="19"/>
              <w:ind w:left="83" w:right="119"/>
              <w:jc w:val="center"/>
              <w:rPr>
                <w:rFonts w:ascii="Times New Roman"/>
                <w:b/>
                <w:i/>
                <w:sz w:val="20"/>
              </w:rPr>
            </w:pPr>
            <w:r>
              <w:rPr>
                <w:rFonts w:ascii="Times New Roman"/>
                <w:b/>
                <w:i/>
                <w:sz w:val="20"/>
              </w:rPr>
              <w:t>TEMP_PER</w:t>
            </w:r>
          </w:p>
        </w:tc>
        <w:tc>
          <w:tcPr>
            <w:tcW w:w="3243" w:type="dxa"/>
            <w:gridSpan w:val="3"/>
            <w:shd w:val="clear" w:color="auto" w:fill="C1C1C1"/>
          </w:tcPr>
          <w:p>
            <w:pPr>
              <w:pStyle w:val="TableParagraph"/>
              <w:spacing w:before="16"/>
              <w:ind w:left="102"/>
              <w:rPr>
                <w:b/>
                <w:sz w:val="20"/>
              </w:rPr>
            </w:pPr>
            <w:r>
              <w:rPr>
                <w:b/>
                <w:sz w:val="20"/>
              </w:rPr>
              <w:t>Time (seconds)</w:t>
            </w:r>
          </w:p>
        </w:tc>
        <w:tc>
          <w:tcPr>
            <w:tcW w:w="3366" w:type="dxa"/>
            <w:gridSpan w:val="2"/>
            <w:vMerge w:val="restart"/>
            <w:tcBorders>
              <w:top w:val="nil"/>
            </w:tcBorders>
            <w:shd w:val="clear" w:color="auto" w:fill="C1C1C1"/>
          </w:tcPr>
          <w:p>
            <w:pPr>
              <w:pStyle w:val="TableParagraph"/>
              <w:rPr>
                <w:rFonts w:ascii="Times New Roman"/>
                <w:sz w:val="18"/>
              </w:rPr>
            </w:pPr>
          </w:p>
        </w:tc>
      </w:tr>
      <w:tr>
        <w:trPr>
          <w:trHeight w:val="270" w:hRule="atLeast"/>
        </w:trPr>
        <w:tc>
          <w:tcPr>
            <w:tcW w:w="2254" w:type="dxa"/>
            <w:vMerge/>
            <w:tcBorders>
              <w:top w:val="nil"/>
            </w:tcBorders>
            <w:shd w:val="clear" w:color="auto" w:fill="C1C1C1"/>
          </w:tcPr>
          <w:p>
            <w:pPr>
              <w:rPr>
                <w:sz w:val="2"/>
                <w:szCs w:val="2"/>
              </w:rPr>
            </w:pPr>
          </w:p>
        </w:tc>
        <w:tc>
          <w:tcPr>
            <w:tcW w:w="112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620" w:type="dxa"/>
            <w:vMerge/>
            <w:tcBorders>
              <w:top w:val="nil"/>
            </w:tcBorders>
            <w:shd w:val="clear" w:color="auto" w:fill="C1C1C1"/>
          </w:tcPr>
          <w:p>
            <w:pPr>
              <w:rPr>
                <w:sz w:val="2"/>
                <w:szCs w:val="2"/>
              </w:rPr>
            </w:pPr>
          </w:p>
        </w:tc>
        <w:tc>
          <w:tcPr>
            <w:tcW w:w="114" w:type="dxa"/>
            <w:vMerge/>
            <w:tcBorders>
              <w:top w:val="nil"/>
            </w:tcBorders>
            <w:shd w:val="clear" w:color="auto" w:fill="C1C1C1"/>
          </w:tcPr>
          <w:p>
            <w:pPr>
              <w:rPr>
                <w:sz w:val="2"/>
                <w:szCs w:val="2"/>
              </w:rPr>
            </w:pPr>
          </w:p>
        </w:tc>
        <w:tc>
          <w:tcPr>
            <w:tcW w:w="1297" w:type="dxa"/>
            <w:shd w:val="clear" w:color="auto" w:fill="C1C1C1"/>
          </w:tcPr>
          <w:p>
            <w:pPr>
              <w:pStyle w:val="TableParagraph"/>
              <w:spacing w:before="18"/>
              <w:jc w:val="center"/>
              <w:rPr>
                <w:sz w:val="20"/>
              </w:rPr>
            </w:pPr>
            <w:r>
              <w:rPr>
                <w:w w:val="99"/>
                <w:sz w:val="20"/>
              </w:rPr>
              <w:t>0</w:t>
            </w:r>
          </w:p>
        </w:tc>
        <w:tc>
          <w:tcPr>
            <w:tcW w:w="3243" w:type="dxa"/>
            <w:gridSpan w:val="3"/>
            <w:shd w:val="clear" w:color="auto" w:fill="C1C1C1"/>
          </w:tcPr>
          <w:p>
            <w:pPr>
              <w:pStyle w:val="TableParagraph"/>
              <w:spacing w:before="18"/>
              <w:ind w:left="102"/>
              <w:rPr>
                <w:sz w:val="20"/>
              </w:rPr>
            </w:pPr>
            <w:r>
              <w:rPr>
                <w:sz w:val="20"/>
              </w:rPr>
              <w:t>No temperature updates</w:t>
            </w:r>
          </w:p>
        </w:tc>
        <w:tc>
          <w:tcPr>
            <w:tcW w:w="3366" w:type="dxa"/>
            <w:gridSpan w:val="2"/>
            <w:vMerge/>
            <w:tcBorders>
              <w:top w:val="nil"/>
            </w:tcBorders>
            <w:shd w:val="clear" w:color="auto" w:fill="C1C1C1"/>
          </w:tcPr>
          <w:p>
            <w:pPr>
              <w:rPr>
                <w:sz w:val="2"/>
                <w:szCs w:val="2"/>
              </w:rPr>
            </w:pPr>
          </w:p>
        </w:tc>
      </w:tr>
      <w:tr>
        <w:trPr>
          <w:trHeight w:val="383" w:hRule="atLeast"/>
        </w:trPr>
        <w:tc>
          <w:tcPr>
            <w:tcW w:w="2254" w:type="dxa"/>
            <w:vMerge/>
            <w:tcBorders>
              <w:top w:val="nil"/>
            </w:tcBorders>
            <w:shd w:val="clear" w:color="auto" w:fill="C1C1C1"/>
          </w:tcPr>
          <w:p>
            <w:pPr>
              <w:rPr>
                <w:sz w:val="2"/>
                <w:szCs w:val="2"/>
              </w:rPr>
            </w:pPr>
          </w:p>
        </w:tc>
        <w:tc>
          <w:tcPr>
            <w:tcW w:w="112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620" w:type="dxa"/>
            <w:vMerge/>
            <w:tcBorders>
              <w:top w:val="nil"/>
            </w:tcBorders>
            <w:shd w:val="clear" w:color="auto" w:fill="C1C1C1"/>
          </w:tcPr>
          <w:p>
            <w:pPr>
              <w:rPr>
                <w:sz w:val="2"/>
                <w:szCs w:val="2"/>
              </w:rPr>
            </w:pPr>
          </w:p>
        </w:tc>
        <w:tc>
          <w:tcPr>
            <w:tcW w:w="114" w:type="dxa"/>
            <w:vMerge/>
            <w:tcBorders>
              <w:top w:val="nil"/>
            </w:tcBorders>
            <w:shd w:val="clear" w:color="auto" w:fill="C1C1C1"/>
          </w:tcPr>
          <w:p>
            <w:pPr>
              <w:rPr>
                <w:sz w:val="2"/>
                <w:szCs w:val="2"/>
              </w:rPr>
            </w:pPr>
          </w:p>
        </w:tc>
        <w:tc>
          <w:tcPr>
            <w:tcW w:w="1297" w:type="dxa"/>
            <w:shd w:val="clear" w:color="auto" w:fill="C1C1C1"/>
          </w:tcPr>
          <w:p>
            <w:pPr>
              <w:pStyle w:val="TableParagraph"/>
              <w:spacing w:before="76"/>
              <w:ind w:left="83" w:right="83"/>
              <w:jc w:val="center"/>
              <w:rPr>
                <w:sz w:val="20"/>
              </w:rPr>
            </w:pPr>
            <w:r>
              <w:rPr>
                <w:sz w:val="20"/>
              </w:rPr>
              <w:t>1-6</w:t>
            </w:r>
          </w:p>
        </w:tc>
        <w:tc>
          <w:tcPr>
            <w:tcW w:w="3243" w:type="dxa"/>
            <w:gridSpan w:val="3"/>
            <w:shd w:val="clear" w:color="auto" w:fill="C1C1C1"/>
          </w:tcPr>
          <w:p>
            <w:pPr>
              <w:pStyle w:val="TableParagraph"/>
              <w:spacing w:before="56"/>
              <w:ind w:left="152"/>
              <w:rPr>
                <w:sz w:val="17"/>
              </w:rPr>
            </w:pPr>
            <w:r>
              <w:rPr>
                <w:w w:val="115"/>
                <w:position w:val="-8"/>
                <w:sz w:val="19"/>
              </w:rPr>
              <w:t>2</w:t>
            </w:r>
            <w:r>
              <w:rPr>
                <w:w w:val="115"/>
                <w:sz w:val="17"/>
              </w:rPr>
              <w:t>(3 </w:t>
            </w:r>
            <w:r>
              <w:rPr>
                <w:rFonts w:ascii="Symbol" w:hAnsi="Symbol"/>
                <w:w w:val="115"/>
                <w:sz w:val="17"/>
              </w:rPr>
              <w:t></w:t>
            </w:r>
            <w:r>
              <w:rPr>
                <w:rFonts w:ascii="Times New Roman" w:hAnsi="Times New Roman"/>
                <w:w w:val="115"/>
                <w:sz w:val="17"/>
              </w:rPr>
              <w:t> </w:t>
            </w:r>
            <w:r>
              <w:rPr>
                <w:w w:val="115"/>
                <w:sz w:val="17"/>
              </w:rPr>
              <w:t>TEMP _ PER)</w:t>
            </w:r>
          </w:p>
        </w:tc>
        <w:tc>
          <w:tcPr>
            <w:tcW w:w="3366" w:type="dxa"/>
            <w:gridSpan w:val="2"/>
            <w:vMerge/>
            <w:tcBorders>
              <w:top w:val="nil"/>
            </w:tcBorders>
            <w:shd w:val="clear" w:color="auto" w:fill="C1C1C1"/>
          </w:tcPr>
          <w:p>
            <w:pPr>
              <w:rPr>
                <w:sz w:val="2"/>
                <w:szCs w:val="2"/>
              </w:rPr>
            </w:pPr>
          </w:p>
        </w:tc>
      </w:tr>
      <w:tr>
        <w:trPr>
          <w:trHeight w:val="289" w:hRule="atLeast"/>
        </w:trPr>
        <w:tc>
          <w:tcPr>
            <w:tcW w:w="2254" w:type="dxa"/>
            <w:vMerge/>
            <w:tcBorders>
              <w:top w:val="nil"/>
            </w:tcBorders>
            <w:shd w:val="clear" w:color="auto" w:fill="C1C1C1"/>
          </w:tcPr>
          <w:p>
            <w:pPr>
              <w:rPr>
                <w:sz w:val="2"/>
                <w:szCs w:val="2"/>
              </w:rPr>
            </w:pPr>
          </w:p>
        </w:tc>
        <w:tc>
          <w:tcPr>
            <w:tcW w:w="112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344" w:type="dxa"/>
            <w:vMerge/>
            <w:tcBorders>
              <w:top w:val="nil"/>
            </w:tcBorders>
            <w:shd w:val="clear" w:color="auto" w:fill="C1C1C1"/>
          </w:tcPr>
          <w:p>
            <w:pPr>
              <w:rPr>
                <w:sz w:val="2"/>
                <w:szCs w:val="2"/>
              </w:rPr>
            </w:pPr>
          </w:p>
        </w:tc>
        <w:tc>
          <w:tcPr>
            <w:tcW w:w="620" w:type="dxa"/>
            <w:vMerge/>
            <w:tcBorders>
              <w:top w:val="nil"/>
            </w:tcBorders>
            <w:shd w:val="clear" w:color="auto" w:fill="C1C1C1"/>
          </w:tcPr>
          <w:p>
            <w:pPr>
              <w:rPr>
                <w:sz w:val="2"/>
                <w:szCs w:val="2"/>
              </w:rPr>
            </w:pPr>
          </w:p>
        </w:tc>
        <w:tc>
          <w:tcPr>
            <w:tcW w:w="114" w:type="dxa"/>
            <w:vMerge/>
            <w:tcBorders>
              <w:top w:val="nil"/>
            </w:tcBorders>
            <w:shd w:val="clear" w:color="auto" w:fill="C1C1C1"/>
          </w:tcPr>
          <w:p>
            <w:pPr>
              <w:rPr>
                <w:sz w:val="2"/>
                <w:szCs w:val="2"/>
              </w:rPr>
            </w:pPr>
          </w:p>
        </w:tc>
        <w:tc>
          <w:tcPr>
            <w:tcW w:w="1297" w:type="dxa"/>
            <w:tcBorders>
              <w:bottom w:val="double" w:sz="1" w:space="0" w:color="000000"/>
            </w:tcBorders>
            <w:shd w:val="clear" w:color="auto" w:fill="C1C1C1"/>
          </w:tcPr>
          <w:p>
            <w:pPr>
              <w:pStyle w:val="TableParagraph"/>
              <w:spacing w:before="18"/>
              <w:jc w:val="center"/>
              <w:rPr>
                <w:sz w:val="20"/>
              </w:rPr>
            </w:pPr>
            <w:r>
              <w:rPr>
                <w:w w:val="99"/>
                <w:sz w:val="20"/>
              </w:rPr>
              <w:t>7</w:t>
            </w:r>
          </w:p>
        </w:tc>
        <w:tc>
          <w:tcPr>
            <w:tcW w:w="3243" w:type="dxa"/>
            <w:gridSpan w:val="3"/>
            <w:tcBorders>
              <w:bottom w:val="double" w:sz="1" w:space="0" w:color="000000"/>
            </w:tcBorders>
            <w:shd w:val="clear" w:color="auto" w:fill="C1C1C1"/>
          </w:tcPr>
          <w:p>
            <w:pPr>
              <w:pStyle w:val="TableParagraph"/>
              <w:spacing w:before="18"/>
              <w:ind w:left="102"/>
              <w:rPr>
                <w:sz w:val="20"/>
              </w:rPr>
            </w:pPr>
            <w:r>
              <w:rPr>
                <w:sz w:val="20"/>
              </w:rPr>
              <w:t>Continuous updates</w:t>
            </w:r>
          </w:p>
        </w:tc>
        <w:tc>
          <w:tcPr>
            <w:tcW w:w="3366" w:type="dxa"/>
            <w:gridSpan w:val="2"/>
            <w:vMerge/>
            <w:tcBorders>
              <w:top w:val="nil"/>
            </w:tcBorders>
            <w:shd w:val="clear" w:color="auto" w:fill="C1C1C1"/>
          </w:tcPr>
          <w:p>
            <w:pPr>
              <w:rPr>
                <w:sz w:val="2"/>
                <w:szCs w:val="2"/>
              </w:rPr>
            </w:pPr>
          </w:p>
        </w:tc>
      </w:tr>
      <w:tr>
        <w:trPr>
          <w:trHeight w:val="971" w:hRule="atLeast"/>
        </w:trPr>
        <w:tc>
          <w:tcPr>
            <w:tcW w:w="2254" w:type="dxa"/>
            <w:shd w:val="clear" w:color="auto" w:fill="C1C1C1"/>
          </w:tcPr>
          <w:p>
            <w:pPr>
              <w:pStyle w:val="TableParagraph"/>
              <w:spacing w:before="3"/>
              <w:rPr>
                <w:b/>
                <w:sz w:val="31"/>
              </w:rPr>
            </w:pPr>
          </w:p>
          <w:p>
            <w:pPr>
              <w:pStyle w:val="TableParagraph"/>
              <w:ind w:left="115"/>
              <w:rPr>
                <w:rFonts w:ascii="Times New Roman"/>
                <w:i/>
                <w:sz w:val="20"/>
              </w:rPr>
            </w:pPr>
            <w:r>
              <w:rPr>
                <w:rFonts w:ascii="Times New Roman"/>
                <w:i/>
                <w:sz w:val="20"/>
              </w:rPr>
              <w:t>TEMP_PWR</w:t>
            </w:r>
          </w:p>
        </w:tc>
        <w:tc>
          <w:tcPr>
            <w:tcW w:w="1124" w:type="dxa"/>
            <w:shd w:val="clear" w:color="auto" w:fill="C1C1C1"/>
          </w:tcPr>
          <w:p>
            <w:pPr>
              <w:pStyle w:val="TableParagraph"/>
              <w:spacing w:before="7"/>
              <w:rPr>
                <w:b/>
                <w:sz w:val="31"/>
              </w:rPr>
            </w:pPr>
          </w:p>
          <w:p>
            <w:pPr>
              <w:pStyle w:val="TableParagraph"/>
              <w:ind w:left="3"/>
              <w:jc w:val="center"/>
              <w:rPr>
                <w:sz w:val="20"/>
              </w:rPr>
            </w:pPr>
            <w:r>
              <w:rPr>
                <w:sz w:val="20"/>
              </w:rPr>
              <w:t>28A0[6]</w:t>
            </w:r>
          </w:p>
        </w:tc>
        <w:tc>
          <w:tcPr>
            <w:tcW w:w="344" w:type="dxa"/>
            <w:shd w:val="clear" w:color="auto" w:fill="C1C1C1"/>
          </w:tcPr>
          <w:p>
            <w:pPr>
              <w:pStyle w:val="TableParagraph"/>
              <w:spacing w:before="7"/>
              <w:rPr>
                <w:b/>
                <w:sz w:val="31"/>
              </w:rPr>
            </w:pPr>
          </w:p>
          <w:p>
            <w:pPr>
              <w:pStyle w:val="TableParagraph"/>
              <w:ind w:left="4"/>
              <w:jc w:val="center"/>
              <w:rPr>
                <w:sz w:val="20"/>
              </w:rPr>
            </w:pPr>
            <w:r>
              <w:rPr>
                <w:w w:val="99"/>
                <w:sz w:val="20"/>
              </w:rPr>
              <w:t>0</w:t>
            </w:r>
          </w:p>
        </w:tc>
        <w:tc>
          <w:tcPr>
            <w:tcW w:w="344" w:type="dxa"/>
            <w:shd w:val="clear" w:color="auto" w:fill="C1C1C1"/>
          </w:tcPr>
          <w:p>
            <w:pPr>
              <w:pStyle w:val="TableParagraph"/>
              <w:spacing w:before="7"/>
              <w:rPr>
                <w:b/>
                <w:sz w:val="31"/>
              </w:rPr>
            </w:pPr>
          </w:p>
          <w:p>
            <w:pPr>
              <w:pStyle w:val="TableParagraph"/>
              <w:ind w:left="2"/>
              <w:jc w:val="center"/>
              <w:rPr>
                <w:sz w:val="20"/>
              </w:rPr>
            </w:pPr>
            <w:r>
              <w:rPr>
                <w:w w:val="99"/>
                <w:sz w:val="20"/>
              </w:rPr>
              <w:t>–</w:t>
            </w:r>
          </w:p>
        </w:tc>
        <w:tc>
          <w:tcPr>
            <w:tcW w:w="620" w:type="dxa"/>
            <w:shd w:val="clear" w:color="auto" w:fill="C1C1C1"/>
          </w:tcPr>
          <w:p>
            <w:pPr>
              <w:pStyle w:val="TableParagraph"/>
              <w:spacing w:before="7"/>
              <w:rPr>
                <w:b/>
                <w:sz w:val="31"/>
              </w:rPr>
            </w:pPr>
          </w:p>
          <w:p>
            <w:pPr>
              <w:pStyle w:val="TableParagraph"/>
              <w:ind w:left="87" w:right="93"/>
              <w:jc w:val="center"/>
              <w:rPr>
                <w:sz w:val="20"/>
              </w:rPr>
            </w:pPr>
            <w:r>
              <w:rPr>
                <w:sz w:val="20"/>
              </w:rPr>
              <w:t>R/W</w:t>
            </w:r>
          </w:p>
        </w:tc>
        <w:tc>
          <w:tcPr>
            <w:tcW w:w="8020" w:type="dxa"/>
            <w:gridSpan w:val="7"/>
            <w:tcBorders>
              <w:top w:val="nil"/>
            </w:tcBorders>
            <w:shd w:val="clear" w:color="auto" w:fill="C1C1C1"/>
          </w:tcPr>
          <w:p>
            <w:pPr>
              <w:pStyle w:val="TableParagraph"/>
              <w:spacing w:before="11"/>
              <w:ind w:left="104"/>
              <w:rPr>
                <w:sz w:val="20"/>
              </w:rPr>
            </w:pPr>
            <w:r>
              <w:rPr>
                <w:sz w:val="20"/>
              </w:rPr>
              <w:t>Selects the power source for the temp sensor:</w:t>
            </w:r>
          </w:p>
          <w:p>
            <w:pPr>
              <w:pStyle w:val="TableParagraph"/>
              <w:spacing w:before="17"/>
              <w:ind w:left="104"/>
              <w:rPr>
                <w:sz w:val="20"/>
              </w:rPr>
            </w:pPr>
            <w:r>
              <w:rPr>
                <w:sz w:val="20"/>
              </w:rPr>
              <w:t>1 = V3P3D, 0 = VBAT_RTC.</w:t>
            </w:r>
          </w:p>
          <w:p>
            <w:pPr>
              <w:pStyle w:val="TableParagraph"/>
              <w:ind w:left="104" w:right="181"/>
              <w:rPr>
                <w:sz w:val="20"/>
              </w:rPr>
            </w:pPr>
            <w:r>
              <w:rPr>
                <w:sz w:val="20"/>
              </w:rPr>
              <w:t>This bit is ignored in SLP and LCD modes, where the temp sensor is always powered by VBAT_RTC.</w:t>
            </w:r>
          </w:p>
        </w:tc>
      </w:tr>
      <w:tr>
        <w:trPr>
          <w:trHeight w:val="961" w:hRule="atLeast"/>
        </w:trPr>
        <w:tc>
          <w:tcPr>
            <w:tcW w:w="2254" w:type="dxa"/>
            <w:shd w:val="clear" w:color="auto" w:fill="C1C1C1"/>
          </w:tcPr>
          <w:p>
            <w:pPr>
              <w:pStyle w:val="TableParagraph"/>
              <w:spacing w:before="3"/>
              <w:rPr>
                <w:b/>
                <w:sz w:val="31"/>
              </w:rPr>
            </w:pPr>
          </w:p>
          <w:p>
            <w:pPr>
              <w:pStyle w:val="TableParagraph"/>
              <w:spacing w:before="1"/>
              <w:ind w:left="115"/>
              <w:rPr>
                <w:rFonts w:ascii="Times New Roman"/>
                <w:i/>
                <w:sz w:val="20"/>
              </w:rPr>
            </w:pPr>
            <w:r>
              <w:rPr>
                <w:rFonts w:ascii="Times New Roman"/>
                <w:i/>
                <w:sz w:val="20"/>
              </w:rPr>
              <w:t>TEMP_START</w:t>
            </w:r>
          </w:p>
        </w:tc>
        <w:tc>
          <w:tcPr>
            <w:tcW w:w="1124" w:type="dxa"/>
            <w:shd w:val="clear" w:color="auto" w:fill="C1C1C1"/>
          </w:tcPr>
          <w:p>
            <w:pPr>
              <w:pStyle w:val="TableParagraph"/>
              <w:spacing w:before="7"/>
              <w:rPr>
                <w:b/>
                <w:sz w:val="31"/>
              </w:rPr>
            </w:pPr>
          </w:p>
          <w:p>
            <w:pPr>
              <w:pStyle w:val="TableParagraph"/>
              <w:ind w:left="2"/>
              <w:jc w:val="center"/>
              <w:rPr>
                <w:sz w:val="20"/>
              </w:rPr>
            </w:pPr>
            <w:r>
              <w:rPr>
                <w:sz w:val="20"/>
              </w:rPr>
              <w:t>28B4[6]</w:t>
            </w:r>
          </w:p>
        </w:tc>
        <w:tc>
          <w:tcPr>
            <w:tcW w:w="344" w:type="dxa"/>
            <w:shd w:val="clear" w:color="auto" w:fill="C1C1C1"/>
          </w:tcPr>
          <w:p>
            <w:pPr>
              <w:pStyle w:val="TableParagraph"/>
              <w:spacing w:before="7"/>
              <w:rPr>
                <w:b/>
                <w:sz w:val="31"/>
              </w:rPr>
            </w:pPr>
          </w:p>
          <w:p>
            <w:pPr>
              <w:pStyle w:val="TableParagraph"/>
              <w:ind w:left="4"/>
              <w:jc w:val="center"/>
              <w:rPr>
                <w:sz w:val="20"/>
              </w:rPr>
            </w:pPr>
            <w:r>
              <w:rPr>
                <w:w w:val="99"/>
                <w:sz w:val="20"/>
              </w:rPr>
              <w:t>0</w:t>
            </w:r>
          </w:p>
        </w:tc>
        <w:tc>
          <w:tcPr>
            <w:tcW w:w="344" w:type="dxa"/>
            <w:shd w:val="clear" w:color="auto" w:fill="C1C1C1"/>
          </w:tcPr>
          <w:p>
            <w:pPr>
              <w:pStyle w:val="TableParagraph"/>
              <w:spacing w:before="7"/>
              <w:rPr>
                <w:b/>
                <w:sz w:val="31"/>
              </w:rPr>
            </w:pPr>
          </w:p>
          <w:p>
            <w:pPr>
              <w:pStyle w:val="TableParagraph"/>
              <w:ind w:left="2"/>
              <w:jc w:val="center"/>
              <w:rPr>
                <w:sz w:val="20"/>
              </w:rPr>
            </w:pPr>
            <w:r>
              <w:rPr>
                <w:w w:val="99"/>
                <w:sz w:val="20"/>
              </w:rPr>
              <w:t>0</w:t>
            </w:r>
          </w:p>
        </w:tc>
        <w:tc>
          <w:tcPr>
            <w:tcW w:w="620" w:type="dxa"/>
            <w:shd w:val="clear" w:color="auto" w:fill="C1C1C1"/>
          </w:tcPr>
          <w:p>
            <w:pPr>
              <w:pStyle w:val="TableParagraph"/>
              <w:spacing w:before="7"/>
              <w:rPr>
                <w:b/>
                <w:sz w:val="31"/>
              </w:rPr>
            </w:pPr>
          </w:p>
          <w:p>
            <w:pPr>
              <w:pStyle w:val="TableParagraph"/>
              <w:ind w:left="87" w:right="93"/>
              <w:jc w:val="center"/>
              <w:rPr>
                <w:sz w:val="20"/>
              </w:rPr>
            </w:pPr>
            <w:r>
              <w:rPr>
                <w:sz w:val="20"/>
              </w:rPr>
              <w:t>R/W</w:t>
            </w:r>
          </w:p>
        </w:tc>
        <w:tc>
          <w:tcPr>
            <w:tcW w:w="8020" w:type="dxa"/>
            <w:gridSpan w:val="7"/>
            <w:shd w:val="clear" w:color="auto" w:fill="C1C1C1"/>
          </w:tcPr>
          <w:p>
            <w:pPr>
              <w:pStyle w:val="TableParagraph"/>
              <w:spacing w:before="14"/>
              <w:ind w:left="104" w:right="339"/>
              <w:rPr>
                <w:sz w:val="20"/>
              </w:rPr>
            </w:pPr>
            <w:r>
              <w:rPr>
                <w:sz w:val="20"/>
              </w:rPr>
              <w:t>When </w:t>
            </w:r>
            <w:r>
              <w:rPr>
                <w:rFonts w:ascii="Times New Roman"/>
                <w:i/>
                <w:sz w:val="20"/>
              </w:rPr>
              <w:t>TEMP_PER </w:t>
            </w:r>
            <w:r>
              <w:rPr>
                <w:sz w:val="20"/>
              </w:rPr>
              <w:t>= 0 automatic temperature measurements are disabled, and </w:t>
            </w:r>
            <w:r>
              <w:rPr>
                <w:rFonts w:ascii="Times New Roman"/>
                <w:i/>
                <w:sz w:val="20"/>
              </w:rPr>
              <w:t>TEMP_START </w:t>
            </w:r>
            <w:r>
              <w:rPr>
                <w:sz w:val="20"/>
              </w:rPr>
              <w:t>may be set by the MPU to initiate a one-shot temperature measurement. </w:t>
            </w:r>
            <w:r>
              <w:rPr>
                <w:rFonts w:ascii="Times New Roman"/>
                <w:i/>
                <w:sz w:val="20"/>
              </w:rPr>
              <w:t>TEMP_START </w:t>
            </w:r>
            <w:r>
              <w:rPr>
                <w:sz w:val="20"/>
              </w:rPr>
              <w:t>is ignored in SLP and LCD modes. Hardware clears </w:t>
            </w:r>
            <w:r>
              <w:rPr>
                <w:rFonts w:ascii="Times New Roman"/>
                <w:i/>
                <w:sz w:val="20"/>
              </w:rPr>
              <w:t>TEMP_START </w:t>
            </w:r>
            <w:r>
              <w:rPr>
                <w:sz w:val="20"/>
              </w:rPr>
              <w:t>when the temperature measurement is complete.</w:t>
            </w:r>
          </w:p>
        </w:tc>
      </w:tr>
      <w:tr>
        <w:trPr>
          <w:trHeight w:val="270" w:hRule="atLeast"/>
        </w:trPr>
        <w:tc>
          <w:tcPr>
            <w:tcW w:w="2254" w:type="dxa"/>
            <w:shd w:val="clear" w:color="auto" w:fill="C1C1C1"/>
          </w:tcPr>
          <w:p>
            <w:pPr>
              <w:pStyle w:val="TableParagraph"/>
              <w:spacing w:before="14"/>
              <w:ind w:left="107"/>
              <w:rPr>
                <w:rFonts w:ascii="Times New Roman"/>
                <w:i/>
                <w:sz w:val="20"/>
              </w:rPr>
            </w:pPr>
            <w:r>
              <w:rPr>
                <w:rFonts w:ascii="Times New Roman"/>
                <w:i/>
                <w:sz w:val="20"/>
              </w:rPr>
              <w:t>TMUX[5:0]</w:t>
            </w:r>
          </w:p>
        </w:tc>
        <w:tc>
          <w:tcPr>
            <w:tcW w:w="1124" w:type="dxa"/>
            <w:shd w:val="clear" w:color="auto" w:fill="C1C1C1"/>
          </w:tcPr>
          <w:p>
            <w:pPr>
              <w:pStyle w:val="TableParagraph"/>
              <w:spacing w:before="18"/>
              <w:ind w:left="5"/>
              <w:jc w:val="center"/>
              <w:rPr>
                <w:sz w:val="20"/>
              </w:rPr>
            </w:pPr>
            <w:r>
              <w:rPr>
                <w:sz w:val="20"/>
              </w:rPr>
              <w:t>2502[5:0]</w:t>
            </w:r>
          </w:p>
        </w:tc>
        <w:tc>
          <w:tcPr>
            <w:tcW w:w="344" w:type="dxa"/>
            <w:shd w:val="clear" w:color="auto" w:fill="C1C1C1"/>
          </w:tcPr>
          <w:p>
            <w:pPr>
              <w:pStyle w:val="TableParagraph"/>
              <w:spacing w:before="18"/>
              <w:ind w:left="4"/>
              <w:jc w:val="center"/>
              <w:rPr>
                <w:sz w:val="20"/>
              </w:rPr>
            </w:pPr>
            <w:r>
              <w:rPr>
                <w:w w:val="99"/>
                <w:sz w:val="20"/>
              </w:rPr>
              <w:t>–</w:t>
            </w:r>
          </w:p>
        </w:tc>
        <w:tc>
          <w:tcPr>
            <w:tcW w:w="344" w:type="dxa"/>
            <w:shd w:val="clear" w:color="auto" w:fill="C1C1C1"/>
          </w:tcPr>
          <w:p>
            <w:pPr>
              <w:pStyle w:val="TableParagraph"/>
              <w:spacing w:before="18"/>
              <w:ind w:left="2"/>
              <w:jc w:val="center"/>
              <w:rPr>
                <w:sz w:val="20"/>
              </w:rPr>
            </w:pPr>
            <w:r>
              <w:rPr>
                <w:w w:val="99"/>
                <w:sz w:val="20"/>
              </w:rPr>
              <w:t>–</w:t>
            </w:r>
          </w:p>
        </w:tc>
        <w:tc>
          <w:tcPr>
            <w:tcW w:w="620" w:type="dxa"/>
            <w:shd w:val="clear" w:color="auto" w:fill="C1C1C1"/>
          </w:tcPr>
          <w:p>
            <w:pPr>
              <w:pStyle w:val="TableParagraph"/>
              <w:spacing w:before="18"/>
              <w:ind w:left="87" w:right="93"/>
              <w:jc w:val="center"/>
              <w:rPr>
                <w:sz w:val="20"/>
              </w:rPr>
            </w:pPr>
            <w:r>
              <w:rPr>
                <w:sz w:val="20"/>
              </w:rPr>
              <w:t>R/W</w:t>
            </w:r>
          </w:p>
        </w:tc>
        <w:tc>
          <w:tcPr>
            <w:tcW w:w="8020" w:type="dxa"/>
            <w:gridSpan w:val="7"/>
            <w:shd w:val="clear" w:color="auto" w:fill="C1C1C1"/>
          </w:tcPr>
          <w:p>
            <w:pPr>
              <w:pStyle w:val="TableParagraph"/>
              <w:spacing w:before="18"/>
              <w:ind w:left="104"/>
              <w:rPr>
                <w:sz w:val="20"/>
              </w:rPr>
            </w:pPr>
            <w:r>
              <w:rPr>
                <w:sz w:val="20"/>
              </w:rPr>
              <w:t>Selects one of 32 signals for TMUXOUT. See </w:t>
            </w:r>
            <w:hyperlink w:history="true" w:anchor="_bookmark145">
              <w:r>
                <w:rPr>
                  <w:color w:val="0000FF"/>
                  <w:sz w:val="20"/>
                </w:rPr>
                <w:t>2.5.14 </w:t>
              </w:r>
            </w:hyperlink>
            <w:r>
              <w:rPr>
                <w:sz w:val="20"/>
              </w:rPr>
              <w:t>for details.</w:t>
            </w:r>
          </w:p>
        </w:tc>
      </w:tr>
      <w:tr>
        <w:trPr>
          <w:trHeight w:val="260" w:hRule="atLeast"/>
        </w:trPr>
        <w:tc>
          <w:tcPr>
            <w:tcW w:w="2254" w:type="dxa"/>
            <w:shd w:val="clear" w:color="auto" w:fill="C1C1C1"/>
          </w:tcPr>
          <w:p>
            <w:pPr>
              <w:pStyle w:val="TableParagraph"/>
              <w:spacing w:line="226" w:lineRule="exact" w:before="14"/>
              <w:ind w:left="107"/>
              <w:rPr>
                <w:rFonts w:ascii="Times New Roman"/>
                <w:i/>
                <w:sz w:val="20"/>
              </w:rPr>
            </w:pPr>
            <w:r>
              <w:rPr>
                <w:rFonts w:ascii="Times New Roman"/>
                <w:i/>
                <w:sz w:val="20"/>
              </w:rPr>
              <w:t>TMUX2[4:0]</w:t>
            </w:r>
          </w:p>
        </w:tc>
        <w:tc>
          <w:tcPr>
            <w:tcW w:w="1124" w:type="dxa"/>
            <w:shd w:val="clear" w:color="auto" w:fill="C1C1C1"/>
          </w:tcPr>
          <w:p>
            <w:pPr>
              <w:pStyle w:val="TableParagraph"/>
              <w:spacing w:line="222" w:lineRule="exact" w:before="18"/>
              <w:ind w:left="5"/>
              <w:jc w:val="center"/>
              <w:rPr>
                <w:sz w:val="20"/>
              </w:rPr>
            </w:pPr>
            <w:r>
              <w:rPr>
                <w:sz w:val="20"/>
              </w:rPr>
              <w:t>2503[4:0]</w:t>
            </w:r>
          </w:p>
        </w:tc>
        <w:tc>
          <w:tcPr>
            <w:tcW w:w="344" w:type="dxa"/>
            <w:shd w:val="clear" w:color="auto" w:fill="C1C1C1"/>
          </w:tcPr>
          <w:p>
            <w:pPr>
              <w:pStyle w:val="TableParagraph"/>
              <w:spacing w:line="222" w:lineRule="exact" w:before="18"/>
              <w:ind w:left="4"/>
              <w:jc w:val="center"/>
              <w:rPr>
                <w:sz w:val="20"/>
              </w:rPr>
            </w:pPr>
            <w:r>
              <w:rPr>
                <w:w w:val="99"/>
                <w:sz w:val="20"/>
              </w:rPr>
              <w:t>–</w:t>
            </w:r>
          </w:p>
        </w:tc>
        <w:tc>
          <w:tcPr>
            <w:tcW w:w="344" w:type="dxa"/>
            <w:shd w:val="clear" w:color="auto" w:fill="C1C1C1"/>
          </w:tcPr>
          <w:p>
            <w:pPr>
              <w:pStyle w:val="TableParagraph"/>
              <w:spacing w:line="222" w:lineRule="exact" w:before="18"/>
              <w:ind w:left="2"/>
              <w:jc w:val="center"/>
              <w:rPr>
                <w:sz w:val="20"/>
              </w:rPr>
            </w:pPr>
            <w:r>
              <w:rPr>
                <w:w w:val="99"/>
                <w:sz w:val="20"/>
              </w:rPr>
              <w:t>–</w:t>
            </w:r>
          </w:p>
        </w:tc>
        <w:tc>
          <w:tcPr>
            <w:tcW w:w="620" w:type="dxa"/>
            <w:shd w:val="clear" w:color="auto" w:fill="C1C1C1"/>
          </w:tcPr>
          <w:p>
            <w:pPr>
              <w:pStyle w:val="TableParagraph"/>
              <w:spacing w:line="222" w:lineRule="exact" w:before="18"/>
              <w:ind w:left="87" w:right="93"/>
              <w:jc w:val="center"/>
              <w:rPr>
                <w:sz w:val="20"/>
              </w:rPr>
            </w:pPr>
            <w:r>
              <w:rPr>
                <w:sz w:val="20"/>
              </w:rPr>
              <w:t>R/W</w:t>
            </w:r>
          </w:p>
        </w:tc>
        <w:tc>
          <w:tcPr>
            <w:tcW w:w="8020" w:type="dxa"/>
            <w:gridSpan w:val="7"/>
            <w:shd w:val="clear" w:color="auto" w:fill="C1C1C1"/>
          </w:tcPr>
          <w:p>
            <w:pPr>
              <w:pStyle w:val="TableParagraph"/>
              <w:spacing w:line="222" w:lineRule="exact" w:before="18"/>
              <w:ind w:left="104"/>
              <w:rPr>
                <w:sz w:val="20"/>
              </w:rPr>
            </w:pPr>
            <w:r>
              <w:rPr>
                <w:sz w:val="20"/>
              </w:rPr>
              <w:t>Selects one of 32 signals for TMUX2OUT. See </w:t>
            </w:r>
            <w:hyperlink w:history="true" w:anchor="_bookmark145">
              <w:r>
                <w:rPr>
                  <w:color w:val="0000FF"/>
                  <w:sz w:val="20"/>
                </w:rPr>
                <w:t>2.5.14 </w:t>
              </w:r>
            </w:hyperlink>
            <w:r>
              <w:rPr>
                <w:sz w:val="20"/>
              </w:rPr>
              <w:t>for details.</w:t>
            </w:r>
          </w:p>
        </w:tc>
      </w:tr>
      <w:tr>
        <w:trPr>
          <w:trHeight w:val="719" w:hRule="atLeast"/>
        </w:trPr>
        <w:tc>
          <w:tcPr>
            <w:tcW w:w="2254" w:type="dxa"/>
            <w:tcBorders>
              <w:top w:val="thickThinMediumGap" w:sz="4" w:space="0" w:color="C1C1C1"/>
            </w:tcBorders>
          </w:tcPr>
          <w:p>
            <w:pPr>
              <w:pStyle w:val="TableParagraph"/>
              <w:spacing w:before="2"/>
              <w:ind w:left="107" w:right="951"/>
              <w:jc w:val="both"/>
              <w:rPr>
                <w:rFonts w:ascii="Times New Roman"/>
                <w:i/>
                <w:sz w:val="20"/>
              </w:rPr>
            </w:pPr>
            <w:r>
              <w:rPr>
                <w:rFonts w:ascii="Times New Roman"/>
                <w:i/>
                <w:spacing w:val="-1"/>
                <w:sz w:val="20"/>
              </w:rPr>
              <w:t>TMUXR2[2:0] </w:t>
            </w:r>
            <w:r>
              <w:rPr>
                <w:rFonts w:ascii="Times New Roman"/>
                <w:i/>
                <w:spacing w:val="-1"/>
                <w:sz w:val="20"/>
              </w:rPr>
              <w:t>TMUXR4[2:0] TMUXR6[2:0]</w:t>
            </w:r>
          </w:p>
        </w:tc>
        <w:tc>
          <w:tcPr>
            <w:tcW w:w="1124" w:type="dxa"/>
            <w:tcBorders>
              <w:top w:val="thickThinMediumGap" w:sz="4" w:space="0" w:color="C1C1C1"/>
            </w:tcBorders>
          </w:tcPr>
          <w:p>
            <w:pPr>
              <w:pStyle w:val="TableParagraph"/>
              <w:spacing w:before="6"/>
              <w:ind w:left="131"/>
              <w:rPr>
                <w:sz w:val="20"/>
              </w:rPr>
            </w:pPr>
            <w:r>
              <w:rPr>
                <w:sz w:val="20"/>
              </w:rPr>
              <w:t>270A[2:0]</w:t>
            </w:r>
          </w:p>
          <w:p>
            <w:pPr>
              <w:pStyle w:val="TableParagraph"/>
              <w:ind w:left="131"/>
              <w:rPr>
                <w:sz w:val="20"/>
              </w:rPr>
            </w:pPr>
            <w:r>
              <w:rPr>
                <w:sz w:val="20"/>
              </w:rPr>
              <w:t>270A[6:4]</w:t>
            </w:r>
          </w:p>
          <w:p>
            <w:pPr>
              <w:pStyle w:val="TableParagraph"/>
              <w:spacing w:before="1"/>
              <w:ind w:left="143"/>
              <w:rPr>
                <w:sz w:val="20"/>
              </w:rPr>
            </w:pPr>
            <w:r>
              <w:rPr>
                <w:sz w:val="20"/>
              </w:rPr>
              <w:t>2709[2:0]</w:t>
            </w:r>
          </w:p>
        </w:tc>
        <w:tc>
          <w:tcPr>
            <w:tcW w:w="344" w:type="dxa"/>
            <w:tcBorders>
              <w:top w:val="thickThinMediumGap" w:sz="4" w:space="0" w:color="C1C1C1"/>
            </w:tcBorders>
          </w:tcPr>
          <w:p>
            <w:pPr>
              <w:pStyle w:val="TableParagraph"/>
              <w:spacing w:before="6"/>
              <w:rPr>
                <w:b/>
                <w:sz w:val="20"/>
              </w:rPr>
            </w:pPr>
          </w:p>
          <w:p>
            <w:pPr>
              <w:pStyle w:val="TableParagraph"/>
              <w:ind w:left="3" w:right="-15"/>
              <w:jc w:val="center"/>
              <w:rPr>
                <w:sz w:val="20"/>
              </w:rPr>
            </w:pPr>
            <w:r>
              <w:rPr>
                <w:sz w:val="20"/>
              </w:rPr>
              <w:t>000</w:t>
            </w:r>
          </w:p>
        </w:tc>
        <w:tc>
          <w:tcPr>
            <w:tcW w:w="344" w:type="dxa"/>
            <w:tcBorders>
              <w:top w:val="thickThinMediumGap" w:sz="4" w:space="0" w:color="C1C1C1"/>
            </w:tcBorders>
          </w:tcPr>
          <w:p>
            <w:pPr>
              <w:pStyle w:val="TableParagraph"/>
              <w:spacing w:before="6"/>
              <w:rPr>
                <w:b/>
                <w:sz w:val="20"/>
              </w:rPr>
            </w:pPr>
          </w:p>
          <w:p>
            <w:pPr>
              <w:pStyle w:val="TableParagraph"/>
              <w:ind w:left="2"/>
              <w:jc w:val="center"/>
              <w:rPr>
                <w:sz w:val="20"/>
              </w:rPr>
            </w:pPr>
            <w:r>
              <w:rPr>
                <w:w w:val="95"/>
                <w:sz w:val="20"/>
              </w:rPr>
              <w:t>000</w:t>
            </w:r>
          </w:p>
        </w:tc>
        <w:tc>
          <w:tcPr>
            <w:tcW w:w="620" w:type="dxa"/>
            <w:tcBorders>
              <w:top w:val="thickThinMediumGap" w:sz="4" w:space="0" w:color="C1C1C1"/>
            </w:tcBorders>
          </w:tcPr>
          <w:p>
            <w:pPr>
              <w:pStyle w:val="TableParagraph"/>
              <w:spacing w:before="6"/>
              <w:rPr>
                <w:b/>
                <w:sz w:val="20"/>
              </w:rPr>
            </w:pPr>
          </w:p>
          <w:p>
            <w:pPr>
              <w:pStyle w:val="TableParagraph"/>
              <w:ind w:left="87" w:right="93"/>
              <w:jc w:val="center"/>
              <w:rPr>
                <w:sz w:val="20"/>
              </w:rPr>
            </w:pPr>
            <w:r>
              <w:rPr>
                <w:sz w:val="20"/>
              </w:rPr>
              <w:t>R/W</w:t>
            </w:r>
          </w:p>
        </w:tc>
        <w:tc>
          <w:tcPr>
            <w:tcW w:w="8020" w:type="dxa"/>
            <w:gridSpan w:val="7"/>
            <w:tcBorders>
              <w:top w:val="thickThinMediumGap" w:sz="4" w:space="0" w:color="C1C1C1"/>
            </w:tcBorders>
          </w:tcPr>
          <w:p>
            <w:pPr>
              <w:pStyle w:val="TableParagraph"/>
              <w:spacing w:before="6"/>
              <w:rPr>
                <w:b/>
                <w:sz w:val="20"/>
              </w:rPr>
            </w:pPr>
          </w:p>
          <w:p>
            <w:pPr>
              <w:pStyle w:val="TableParagraph"/>
              <w:ind w:left="104"/>
              <w:rPr>
                <w:sz w:val="20"/>
              </w:rPr>
            </w:pPr>
            <w:r>
              <w:rPr>
                <w:sz w:val="20"/>
              </w:rPr>
              <w:t>The TMUX setting for the remote isolated sensors (71M6xx3).</w:t>
            </w:r>
          </w:p>
        </w:tc>
      </w:tr>
      <w:tr>
        <w:trPr>
          <w:trHeight w:val="520" w:hRule="atLeast"/>
        </w:trPr>
        <w:tc>
          <w:tcPr>
            <w:tcW w:w="2254"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1"/>
              <w:rPr>
                <w:b/>
                <w:sz w:val="18"/>
              </w:rPr>
            </w:pPr>
          </w:p>
          <w:p>
            <w:pPr>
              <w:pStyle w:val="TableParagraph"/>
              <w:ind w:left="107"/>
              <w:rPr>
                <w:rFonts w:ascii="Times New Roman"/>
                <w:i/>
                <w:sz w:val="20"/>
              </w:rPr>
            </w:pPr>
            <w:r>
              <w:rPr>
                <w:rFonts w:ascii="Times New Roman"/>
                <w:i/>
                <w:sz w:val="20"/>
              </w:rPr>
              <w:t>VERSION[7:0]</w:t>
            </w:r>
          </w:p>
        </w:tc>
        <w:tc>
          <w:tcPr>
            <w:tcW w:w="1124"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5"/>
              <w:rPr>
                <w:b/>
                <w:sz w:val="18"/>
              </w:rPr>
            </w:pPr>
          </w:p>
          <w:p>
            <w:pPr>
              <w:pStyle w:val="TableParagraph"/>
              <w:ind w:left="143"/>
              <w:rPr>
                <w:sz w:val="20"/>
              </w:rPr>
            </w:pPr>
            <w:r>
              <w:rPr>
                <w:sz w:val="20"/>
              </w:rPr>
              <w:t>2706[7:0]</w:t>
            </w:r>
          </w:p>
        </w:tc>
        <w:tc>
          <w:tcPr>
            <w:tcW w:w="344"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5"/>
              <w:rPr>
                <w:b/>
                <w:sz w:val="18"/>
              </w:rPr>
            </w:pPr>
          </w:p>
          <w:p>
            <w:pPr>
              <w:pStyle w:val="TableParagraph"/>
              <w:ind w:left="113"/>
              <w:rPr>
                <w:sz w:val="20"/>
              </w:rPr>
            </w:pPr>
            <w:r>
              <w:rPr>
                <w:w w:val="99"/>
                <w:sz w:val="20"/>
              </w:rPr>
              <w:t>–</w:t>
            </w:r>
          </w:p>
        </w:tc>
        <w:tc>
          <w:tcPr>
            <w:tcW w:w="344"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5"/>
              <w:rPr>
                <w:b/>
                <w:sz w:val="18"/>
              </w:rPr>
            </w:pPr>
          </w:p>
          <w:p>
            <w:pPr>
              <w:pStyle w:val="TableParagraph"/>
              <w:ind w:left="113"/>
              <w:rPr>
                <w:sz w:val="20"/>
              </w:rPr>
            </w:pPr>
            <w:r>
              <w:rPr>
                <w:w w:val="99"/>
                <w:sz w:val="20"/>
              </w:rPr>
              <w:t>–</w:t>
            </w:r>
          </w:p>
        </w:tc>
        <w:tc>
          <w:tcPr>
            <w:tcW w:w="620"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5"/>
              <w:rPr>
                <w:b/>
                <w:sz w:val="18"/>
              </w:rPr>
            </w:pPr>
          </w:p>
          <w:p>
            <w:pPr>
              <w:pStyle w:val="TableParagraph"/>
              <w:ind w:left="2"/>
              <w:jc w:val="center"/>
              <w:rPr>
                <w:sz w:val="20"/>
              </w:rPr>
            </w:pPr>
            <w:r>
              <w:rPr>
                <w:w w:val="99"/>
                <w:sz w:val="20"/>
              </w:rPr>
              <w:t>R</w:t>
            </w:r>
          </w:p>
        </w:tc>
        <w:tc>
          <w:tcPr>
            <w:tcW w:w="8020" w:type="dxa"/>
            <w:gridSpan w:val="7"/>
            <w:tcBorders>
              <w:bottom w:val="nil"/>
            </w:tcBorders>
          </w:tcPr>
          <w:p>
            <w:pPr>
              <w:pStyle w:val="TableParagraph"/>
              <w:spacing w:before="18"/>
              <w:ind w:left="104"/>
              <w:rPr>
                <w:sz w:val="20"/>
              </w:rPr>
            </w:pPr>
            <w:r>
              <w:rPr>
                <w:sz w:val="20"/>
              </w:rPr>
              <w:t>The silicon version index. This word may be read by firmware to determine the silicon version.</w:t>
            </w:r>
          </w:p>
        </w:tc>
      </w:tr>
      <w:tr>
        <w:trPr>
          <w:trHeight w:val="498" w:hRule="atLeast"/>
        </w:trPr>
        <w:tc>
          <w:tcPr>
            <w:tcW w:w="2254" w:type="dxa"/>
            <w:vMerge/>
            <w:tcBorders>
              <w:top w:val="nil"/>
            </w:tcBorders>
          </w:tcPr>
          <w:p>
            <w:pPr>
              <w:rPr>
                <w:sz w:val="2"/>
                <w:szCs w:val="2"/>
              </w:rPr>
            </w:pPr>
          </w:p>
        </w:tc>
        <w:tc>
          <w:tcPr>
            <w:tcW w:w="1124" w:type="dxa"/>
            <w:vMerge/>
            <w:tcBorders>
              <w:top w:val="nil"/>
            </w:tcBorders>
          </w:tcPr>
          <w:p>
            <w:pPr>
              <w:rPr>
                <w:sz w:val="2"/>
                <w:szCs w:val="2"/>
              </w:rPr>
            </w:pPr>
          </w:p>
        </w:tc>
        <w:tc>
          <w:tcPr>
            <w:tcW w:w="344" w:type="dxa"/>
            <w:vMerge/>
            <w:tcBorders>
              <w:top w:val="nil"/>
            </w:tcBorders>
          </w:tcPr>
          <w:p>
            <w:pPr>
              <w:rPr>
                <w:sz w:val="2"/>
                <w:szCs w:val="2"/>
              </w:rPr>
            </w:pPr>
          </w:p>
        </w:tc>
        <w:tc>
          <w:tcPr>
            <w:tcW w:w="344" w:type="dxa"/>
            <w:vMerge/>
            <w:tcBorders>
              <w:top w:val="nil"/>
            </w:tcBorders>
          </w:tcPr>
          <w:p>
            <w:pPr>
              <w:rPr>
                <w:sz w:val="2"/>
                <w:szCs w:val="2"/>
              </w:rPr>
            </w:pPr>
          </w:p>
        </w:tc>
        <w:tc>
          <w:tcPr>
            <w:tcW w:w="620" w:type="dxa"/>
            <w:vMerge/>
            <w:tcBorders>
              <w:top w:val="nil"/>
            </w:tcBorders>
          </w:tcPr>
          <w:p>
            <w:pPr>
              <w:rPr>
                <w:sz w:val="2"/>
                <w:szCs w:val="2"/>
              </w:rPr>
            </w:pPr>
          </w:p>
        </w:tc>
        <w:tc>
          <w:tcPr>
            <w:tcW w:w="114" w:type="dxa"/>
            <w:vMerge w:val="restart"/>
            <w:tcBorders>
              <w:top w:val="nil"/>
            </w:tcBorders>
          </w:tcPr>
          <w:p>
            <w:pPr>
              <w:pStyle w:val="TableParagraph"/>
              <w:rPr>
                <w:rFonts w:ascii="Times New Roman"/>
                <w:sz w:val="18"/>
              </w:rPr>
            </w:pPr>
          </w:p>
        </w:tc>
        <w:tc>
          <w:tcPr>
            <w:tcW w:w="1509" w:type="dxa"/>
            <w:gridSpan w:val="2"/>
          </w:tcPr>
          <w:p>
            <w:pPr>
              <w:pStyle w:val="TableParagraph"/>
              <w:spacing w:before="19"/>
              <w:ind w:left="103"/>
              <w:rPr>
                <w:rFonts w:ascii="Times New Roman"/>
                <w:b/>
                <w:i/>
                <w:sz w:val="20"/>
              </w:rPr>
            </w:pPr>
            <w:r>
              <w:rPr>
                <w:rFonts w:ascii="Times New Roman"/>
                <w:b/>
                <w:i/>
                <w:sz w:val="20"/>
              </w:rPr>
              <w:t>VERSION[7:0]</w:t>
            </w:r>
          </w:p>
        </w:tc>
        <w:tc>
          <w:tcPr>
            <w:tcW w:w="1801" w:type="dxa"/>
          </w:tcPr>
          <w:p>
            <w:pPr>
              <w:pStyle w:val="TableParagraph"/>
              <w:spacing w:before="16"/>
              <w:ind w:left="101"/>
              <w:rPr>
                <w:b/>
                <w:sz w:val="20"/>
              </w:rPr>
            </w:pPr>
            <w:r>
              <w:rPr>
                <w:b/>
                <w:sz w:val="20"/>
              </w:rPr>
              <w:t>71M6543F</w:t>
            </w:r>
          </w:p>
          <w:p>
            <w:pPr>
              <w:pStyle w:val="TableParagraph"/>
              <w:ind w:left="101"/>
              <w:rPr>
                <w:b/>
                <w:sz w:val="20"/>
              </w:rPr>
            </w:pPr>
            <w:r>
              <w:rPr>
                <w:b/>
                <w:sz w:val="20"/>
              </w:rPr>
              <w:t>Silicon Version</w:t>
            </w:r>
          </w:p>
        </w:tc>
        <w:tc>
          <w:tcPr>
            <w:tcW w:w="1802" w:type="dxa"/>
            <w:gridSpan w:val="2"/>
          </w:tcPr>
          <w:p>
            <w:pPr>
              <w:pStyle w:val="TableParagraph"/>
              <w:spacing w:before="16"/>
              <w:ind w:left="100"/>
              <w:rPr>
                <w:b/>
                <w:sz w:val="20"/>
              </w:rPr>
            </w:pPr>
            <w:r>
              <w:rPr>
                <w:b/>
                <w:sz w:val="20"/>
              </w:rPr>
              <w:t>71M6543G</w:t>
            </w:r>
          </w:p>
          <w:p>
            <w:pPr>
              <w:pStyle w:val="TableParagraph"/>
              <w:ind w:left="100"/>
              <w:rPr>
                <w:b/>
                <w:sz w:val="20"/>
              </w:rPr>
            </w:pPr>
            <w:r>
              <w:rPr>
                <w:b/>
                <w:sz w:val="20"/>
              </w:rPr>
              <w:t>Silicon Version</w:t>
            </w:r>
          </w:p>
        </w:tc>
        <w:tc>
          <w:tcPr>
            <w:tcW w:w="2794" w:type="dxa"/>
            <w:vMerge w:val="restart"/>
            <w:tcBorders>
              <w:top w:val="nil"/>
            </w:tcBorders>
          </w:tcPr>
          <w:p>
            <w:pPr>
              <w:pStyle w:val="TableParagraph"/>
              <w:rPr>
                <w:rFonts w:ascii="Times New Roman"/>
                <w:sz w:val="18"/>
              </w:rPr>
            </w:pPr>
          </w:p>
        </w:tc>
      </w:tr>
      <w:tr>
        <w:trPr>
          <w:trHeight w:val="270" w:hRule="atLeast"/>
        </w:trPr>
        <w:tc>
          <w:tcPr>
            <w:tcW w:w="2254" w:type="dxa"/>
            <w:vMerge/>
            <w:tcBorders>
              <w:top w:val="nil"/>
            </w:tcBorders>
          </w:tcPr>
          <w:p>
            <w:pPr>
              <w:rPr>
                <w:sz w:val="2"/>
                <w:szCs w:val="2"/>
              </w:rPr>
            </w:pPr>
          </w:p>
        </w:tc>
        <w:tc>
          <w:tcPr>
            <w:tcW w:w="1124" w:type="dxa"/>
            <w:vMerge/>
            <w:tcBorders>
              <w:top w:val="nil"/>
            </w:tcBorders>
          </w:tcPr>
          <w:p>
            <w:pPr>
              <w:rPr>
                <w:sz w:val="2"/>
                <w:szCs w:val="2"/>
              </w:rPr>
            </w:pPr>
          </w:p>
        </w:tc>
        <w:tc>
          <w:tcPr>
            <w:tcW w:w="344" w:type="dxa"/>
            <w:vMerge/>
            <w:tcBorders>
              <w:top w:val="nil"/>
            </w:tcBorders>
          </w:tcPr>
          <w:p>
            <w:pPr>
              <w:rPr>
                <w:sz w:val="2"/>
                <w:szCs w:val="2"/>
              </w:rPr>
            </w:pPr>
          </w:p>
        </w:tc>
        <w:tc>
          <w:tcPr>
            <w:tcW w:w="344" w:type="dxa"/>
            <w:vMerge/>
            <w:tcBorders>
              <w:top w:val="nil"/>
            </w:tcBorders>
          </w:tcPr>
          <w:p>
            <w:pPr>
              <w:rPr>
                <w:sz w:val="2"/>
                <w:szCs w:val="2"/>
              </w:rPr>
            </w:pPr>
          </w:p>
        </w:tc>
        <w:tc>
          <w:tcPr>
            <w:tcW w:w="620" w:type="dxa"/>
            <w:vMerge/>
            <w:tcBorders>
              <w:top w:val="nil"/>
            </w:tcBorders>
          </w:tcPr>
          <w:p>
            <w:pPr>
              <w:rPr>
                <w:sz w:val="2"/>
                <w:szCs w:val="2"/>
              </w:rPr>
            </w:pPr>
          </w:p>
        </w:tc>
        <w:tc>
          <w:tcPr>
            <w:tcW w:w="114" w:type="dxa"/>
            <w:vMerge/>
            <w:tcBorders>
              <w:top w:val="nil"/>
            </w:tcBorders>
          </w:tcPr>
          <w:p>
            <w:pPr>
              <w:rPr>
                <w:sz w:val="2"/>
                <w:szCs w:val="2"/>
              </w:rPr>
            </w:pPr>
          </w:p>
        </w:tc>
        <w:tc>
          <w:tcPr>
            <w:tcW w:w="1509" w:type="dxa"/>
            <w:gridSpan w:val="2"/>
          </w:tcPr>
          <w:p>
            <w:pPr>
              <w:pStyle w:val="TableParagraph"/>
              <w:spacing w:before="21"/>
              <w:ind w:left="275"/>
              <w:rPr>
                <w:sz w:val="20"/>
              </w:rPr>
            </w:pPr>
            <w:r>
              <w:rPr>
                <w:sz w:val="20"/>
              </w:rPr>
              <w:t>0001 0001</w:t>
            </w:r>
          </w:p>
        </w:tc>
        <w:tc>
          <w:tcPr>
            <w:tcW w:w="1801" w:type="dxa"/>
          </w:tcPr>
          <w:p>
            <w:pPr>
              <w:pStyle w:val="TableParagraph"/>
              <w:spacing w:before="21"/>
              <w:ind w:left="695" w:right="699"/>
              <w:jc w:val="center"/>
              <w:rPr>
                <w:sz w:val="20"/>
              </w:rPr>
            </w:pPr>
            <w:r>
              <w:rPr>
                <w:sz w:val="20"/>
              </w:rPr>
              <w:t>A01</w:t>
            </w:r>
          </w:p>
        </w:tc>
        <w:tc>
          <w:tcPr>
            <w:tcW w:w="1802" w:type="dxa"/>
            <w:gridSpan w:val="2"/>
          </w:tcPr>
          <w:p>
            <w:pPr>
              <w:pStyle w:val="TableParagraph"/>
              <w:spacing w:before="21"/>
              <w:ind w:left="694" w:right="701"/>
              <w:jc w:val="center"/>
              <w:rPr>
                <w:sz w:val="20"/>
              </w:rPr>
            </w:pPr>
            <w:r>
              <w:rPr>
                <w:sz w:val="20"/>
              </w:rPr>
              <w:t>A01</w:t>
            </w:r>
          </w:p>
        </w:tc>
        <w:tc>
          <w:tcPr>
            <w:tcW w:w="2794" w:type="dxa"/>
            <w:vMerge/>
            <w:tcBorders>
              <w:top w:val="nil"/>
            </w:tcBorders>
          </w:tcPr>
          <w:p>
            <w:pPr>
              <w:rPr>
                <w:sz w:val="2"/>
                <w:szCs w:val="2"/>
              </w:rPr>
            </w:pPr>
          </w:p>
        </w:tc>
      </w:tr>
      <w:tr>
        <w:trPr>
          <w:trHeight w:val="270" w:hRule="atLeast"/>
        </w:trPr>
        <w:tc>
          <w:tcPr>
            <w:tcW w:w="2254" w:type="dxa"/>
            <w:vMerge/>
            <w:tcBorders>
              <w:top w:val="nil"/>
            </w:tcBorders>
          </w:tcPr>
          <w:p>
            <w:pPr>
              <w:rPr>
                <w:sz w:val="2"/>
                <w:szCs w:val="2"/>
              </w:rPr>
            </w:pPr>
          </w:p>
        </w:tc>
        <w:tc>
          <w:tcPr>
            <w:tcW w:w="1124" w:type="dxa"/>
            <w:vMerge/>
            <w:tcBorders>
              <w:top w:val="nil"/>
            </w:tcBorders>
          </w:tcPr>
          <w:p>
            <w:pPr>
              <w:rPr>
                <w:sz w:val="2"/>
                <w:szCs w:val="2"/>
              </w:rPr>
            </w:pPr>
          </w:p>
        </w:tc>
        <w:tc>
          <w:tcPr>
            <w:tcW w:w="344" w:type="dxa"/>
            <w:vMerge/>
            <w:tcBorders>
              <w:top w:val="nil"/>
            </w:tcBorders>
          </w:tcPr>
          <w:p>
            <w:pPr>
              <w:rPr>
                <w:sz w:val="2"/>
                <w:szCs w:val="2"/>
              </w:rPr>
            </w:pPr>
          </w:p>
        </w:tc>
        <w:tc>
          <w:tcPr>
            <w:tcW w:w="344" w:type="dxa"/>
            <w:vMerge/>
            <w:tcBorders>
              <w:top w:val="nil"/>
            </w:tcBorders>
          </w:tcPr>
          <w:p>
            <w:pPr>
              <w:rPr>
                <w:sz w:val="2"/>
                <w:szCs w:val="2"/>
              </w:rPr>
            </w:pPr>
          </w:p>
        </w:tc>
        <w:tc>
          <w:tcPr>
            <w:tcW w:w="620" w:type="dxa"/>
            <w:vMerge/>
            <w:tcBorders>
              <w:top w:val="nil"/>
            </w:tcBorders>
          </w:tcPr>
          <w:p>
            <w:pPr>
              <w:rPr>
                <w:sz w:val="2"/>
                <w:szCs w:val="2"/>
              </w:rPr>
            </w:pPr>
          </w:p>
        </w:tc>
        <w:tc>
          <w:tcPr>
            <w:tcW w:w="114" w:type="dxa"/>
            <w:vMerge/>
            <w:tcBorders>
              <w:top w:val="nil"/>
            </w:tcBorders>
          </w:tcPr>
          <w:p>
            <w:pPr>
              <w:rPr>
                <w:sz w:val="2"/>
                <w:szCs w:val="2"/>
              </w:rPr>
            </w:pPr>
          </w:p>
        </w:tc>
        <w:tc>
          <w:tcPr>
            <w:tcW w:w="1509" w:type="dxa"/>
            <w:gridSpan w:val="2"/>
          </w:tcPr>
          <w:p>
            <w:pPr>
              <w:pStyle w:val="TableParagraph"/>
              <w:spacing w:before="18"/>
              <w:ind w:left="275"/>
              <w:rPr>
                <w:sz w:val="20"/>
              </w:rPr>
            </w:pPr>
            <w:r>
              <w:rPr>
                <w:sz w:val="20"/>
              </w:rPr>
              <w:t>0001 0011</w:t>
            </w:r>
          </w:p>
        </w:tc>
        <w:tc>
          <w:tcPr>
            <w:tcW w:w="1801" w:type="dxa"/>
          </w:tcPr>
          <w:p>
            <w:pPr>
              <w:pStyle w:val="TableParagraph"/>
              <w:spacing w:before="18"/>
              <w:ind w:left="695" w:right="699"/>
              <w:jc w:val="center"/>
              <w:rPr>
                <w:sz w:val="20"/>
              </w:rPr>
            </w:pPr>
            <w:r>
              <w:rPr>
                <w:sz w:val="20"/>
              </w:rPr>
              <w:t>A03</w:t>
            </w:r>
          </w:p>
        </w:tc>
        <w:tc>
          <w:tcPr>
            <w:tcW w:w="1802" w:type="dxa"/>
            <w:gridSpan w:val="2"/>
          </w:tcPr>
          <w:p>
            <w:pPr>
              <w:pStyle w:val="TableParagraph"/>
              <w:spacing w:before="18"/>
              <w:ind w:left="692" w:right="701"/>
              <w:jc w:val="center"/>
              <w:rPr>
                <w:sz w:val="20"/>
              </w:rPr>
            </w:pPr>
            <w:r>
              <w:rPr>
                <w:sz w:val="20"/>
              </w:rPr>
              <w:t>N/A</w:t>
            </w:r>
          </w:p>
        </w:tc>
        <w:tc>
          <w:tcPr>
            <w:tcW w:w="2794" w:type="dxa"/>
            <w:vMerge/>
            <w:tcBorders>
              <w:top w:val="nil"/>
            </w:tcBorders>
          </w:tcPr>
          <w:p>
            <w:pPr>
              <w:rPr>
                <w:sz w:val="2"/>
                <w:szCs w:val="2"/>
              </w:rPr>
            </w:pPr>
          </w:p>
        </w:tc>
      </w:tr>
      <w:tr>
        <w:trPr>
          <w:trHeight w:val="268" w:hRule="atLeast"/>
        </w:trPr>
        <w:tc>
          <w:tcPr>
            <w:tcW w:w="2254" w:type="dxa"/>
            <w:vMerge/>
            <w:tcBorders>
              <w:top w:val="nil"/>
            </w:tcBorders>
          </w:tcPr>
          <w:p>
            <w:pPr>
              <w:rPr>
                <w:sz w:val="2"/>
                <w:szCs w:val="2"/>
              </w:rPr>
            </w:pPr>
          </w:p>
        </w:tc>
        <w:tc>
          <w:tcPr>
            <w:tcW w:w="1124" w:type="dxa"/>
            <w:vMerge/>
            <w:tcBorders>
              <w:top w:val="nil"/>
            </w:tcBorders>
          </w:tcPr>
          <w:p>
            <w:pPr>
              <w:rPr>
                <w:sz w:val="2"/>
                <w:szCs w:val="2"/>
              </w:rPr>
            </w:pPr>
          </w:p>
        </w:tc>
        <w:tc>
          <w:tcPr>
            <w:tcW w:w="344" w:type="dxa"/>
            <w:vMerge/>
            <w:tcBorders>
              <w:top w:val="nil"/>
            </w:tcBorders>
          </w:tcPr>
          <w:p>
            <w:pPr>
              <w:rPr>
                <w:sz w:val="2"/>
                <w:szCs w:val="2"/>
              </w:rPr>
            </w:pPr>
          </w:p>
        </w:tc>
        <w:tc>
          <w:tcPr>
            <w:tcW w:w="344" w:type="dxa"/>
            <w:vMerge/>
            <w:tcBorders>
              <w:top w:val="nil"/>
            </w:tcBorders>
          </w:tcPr>
          <w:p>
            <w:pPr>
              <w:rPr>
                <w:sz w:val="2"/>
                <w:szCs w:val="2"/>
              </w:rPr>
            </w:pPr>
          </w:p>
        </w:tc>
        <w:tc>
          <w:tcPr>
            <w:tcW w:w="620" w:type="dxa"/>
            <w:vMerge/>
            <w:tcBorders>
              <w:top w:val="nil"/>
            </w:tcBorders>
          </w:tcPr>
          <w:p>
            <w:pPr>
              <w:rPr>
                <w:sz w:val="2"/>
                <w:szCs w:val="2"/>
              </w:rPr>
            </w:pPr>
          </w:p>
        </w:tc>
        <w:tc>
          <w:tcPr>
            <w:tcW w:w="114" w:type="dxa"/>
            <w:vMerge/>
            <w:tcBorders>
              <w:top w:val="nil"/>
            </w:tcBorders>
          </w:tcPr>
          <w:p>
            <w:pPr>
              <w:rPr>
                <w:sz w:val="2"/>
                <w:szCs w:val="2"/>
              </w:rPr>
            </w:pPr>
          </w:p>
        </w:tc>
        <w:tc>
          <w:tcPr>
            <w:tcW w:w="1509" w:type="dxa"/>
            <w:gridSpan w:val="2"/>
          </w:tcPr>
          <w:p>
            <w:pPr>
              <w:pStyle w:val="TableParagraph"/>
              <w:spacing w:before="18"/>
              <w:ind w:left="275"/>
              <w:rPr>
                <w:sz w:val="20"/>
              </w:rPr>
            </w:pPr>
            <w:r>
              <w:rPr>
                <w:sz w:val="20"/>
              </w:rPr>
              <w:t>0001 0011</w:t>
            </w:r>
          </w:p>
        </w:tc>
        <w:tc>
          <w:tcPr>
            <w:tcW w:w="1801" w:type="dxa"/>
          </w:tcPr>
          <w:p>
            <w:pPr>
              <w:pStyle w:val="TableParagraph"/>
              <w:spacing w:before="18"/>
              <w:ind w:left="695" w:right="699"/>
              <w:jc w:val="center"/>
              <w:rPr>
                <w:sz w:val="20"/>
              </w:rPr>
            </w:pPr>
            <w:r>
              <w:rPr>
                <w:sz w:val="20"/>
              </w:rPr>
              <w:t>B01</w:t>
            </w:r>
          </w:p>
        </w:tc>
        <w:tc>
          <w:tcPr>
            <w:tcW w:w="1802" w:type="dxa"/>
            <w:gridSpan w:val="2"/>
          </w:tcPr>
          <w:p>
            <w:pPr>
              <w:pStyle w:val="TableParagraph"/>
              <w:spacing w:before="18"/>
              <w:ind w:left="692" w:right="701"/>
              <w:jc w:val="center"/>
              <w:rPr>
                <w:sz w:val="20"/>
              </w:rPr>
            </w:pPr>
            <w:r>
              <w:rPr>
                <w:sz w:val="20"/>
              </w:rPr>
              <w:t>N/A</w:t>
            </w:r>
          </w:p>
        </w:tc>
        <w:tc>
          <w:tcPr>
            <w:tcW w:w="2794" w:type="dxa"/>
            <w:vMerge/>
            <w:tcBorders>
              <w:top w:val="nil"/>
            </w:tcBorders>
          </w:tcPr>
          <w:p>
            <w:pPr>
              <w:rPr>
                <w:sz w:val="2"/>
                <w:szCs w:val="2"/>
              </w:rPr>
            </w:pPr>
          </w:p>
        </w:tc>
      </w:tr>
      <w:tr>
        <w:trPr>
          <w:trHeight w:val="289" w:hRule="atLeast"/>
        </w:trPr>
        <w:tc>
          <w:tcPr>
            <w:tcW w:w="2254" w:type="dxa"/>
            <w:vMerge/>
            <w:tcBorders>
              <w:top w:val="nil"/>
            </w:tcBorders>
          </w:tcPr>
          <w:p>
            <w:pPr>
              <w:rPr>
                <w:sz w:val="2"/>
                <w:szCs w:val="2"/>
              </w:rPr>
            </w:pPr>
          </w:p>
        </w:tc>
        <w:tc>
          <w:tcPr>
            <w:tcW w:w="1124" w:type="dxa"/>
            <w:vMerge/>
            <w:tcBorders>
              <w:top w:val="nil"/>
            </w:tcBorders>
          </w:tcPr>
          <w:p>
            <w:pPr>
              <w:rPr>
                <w:sz w:val="2"/>
                <w:szCs w:val="2"/>
              </w:rPr>
            </w:pPr>
          </w:p>
        </w:tc>
        <w:tc>
          <w:tcPr>
            <w:tcW w:w="344" w:type="dxa"/>
            <w:vMerge/>
            <w:tcBorders>
              <w:top w:val="nil"/>
            </w:tcBorders>
          </w:tcPr>
          <w:p>
            <w:pPr>
              <w:rPr>
                <w:sz w:val="2"/>
                <w:szCs w:val="2"/>
              </w:rPr>
            </w:pPr>
          </w:p>
        </w:tc>
        <w:tc>
          <w:tcPr>
            <w:tcW w:w="344" w:type="dxa"/>
            <w:vMerge/>
            <w:tcBorders>
              <w:top w:val="nil"/>
            </w:tcBorders>
          </w:tcPr>
          <w:p>
            <w:pPr>
              <w:rPr>
                <w:sz w:val="2"/>
                <w:szCs w:val="2"/>
              </w:rPr>
            </w:pPr>
          </w:p>
        </w:tc>
        <w:tc>
          <w:tcPr>
            <w:tcW w:w="620" w:type="dxa"/>
            <w:vMerge/>
            <w:tcBorders>
              <w:top w:val="nil"/>
            </w:tcBorders>
          </w:tcPr>
          <w:p>
            <w:pPr>
              <w:rPr>
                <w:sz w:val="2"/>
                <w:szCs w:val="2"/>
              </w:rPr>
            </w:pPr>
          </w:p>
        </w:tc>
        <w:tc>
          <w:tcPr>
            <w:tcW w:w="114" w:type="dxa"/>
            <w:vMerge/>
            <w:tcBorders>
              <w:top w:val="nil"/>
            </w:tcBorders>
          </w:tcPr>
          <w:p>
            <w:pPr>
              <w:rPr>
                <w:sz w:val="2"/>
                <w:szCs w:val="2"/>
              </w:rPr>
            </w:pPr>
          </w:p>
        </w:tc>
        <w:tc>
          <w:tcPr>
            <w:tcW w:w="1509" w:type="dxa"/>
            <w:gridSpan w:val="2"/>
            <w:tcBorders>
              <w:bottom w:val="double" w:sz="1" w:space="0" w:color="000000"/>
            </w:tcBorders>
          </w:tcPr>
          <w:p>
            <w:pPr>
              <w:pStyle w:val="TableParagraph"/>
              <w:spacing w:before="18"/>
              <w:ind w:left="275"/>
              <w:rPr>
                <w:sz w:val="20"/>
              </w:rPr>
            </w:pPr>
            <w:r>
              <w:rPr>
                <w:sz w:val="20"/>
              </w:rPr>
              <w:t>0010 0010</w:t>
            </w:r>
          </w:p>
        </w:tc>
        <w:tc>
          <w:tcPr>
            <w:tcW w:w="1801" w:type="dxa"/>
            <w:tcBorders>
              <w:bottom w:val="double" w:sz="1" w:space="0" w:color="000000"/>
            </w:tcBorders>
          </w:tcPr>
          <w:p>
            <w:pPr>
              <w:pStyle w:val="TableParagraph"/>
              <w:spacing w:before="18"/>
              <w:ind w:left="695" w:right="699"/>
              <w:jc w:val="center"/>
              <w:rPr>
                <w:sz w:val="20"/>
              </w:rPr>
            </w:pPr>
            <w:r>
              <w:rPr>
                <w:sz w:val="20"/>
              </w:rPr>
              <w:t>B02</w:t>
            </w:r>
          </w:p>
        </w:tc>
        <w:tc>
          <w:tcPr>
            <w:tcW w:w="1802" w:type="dxa"/>
            <w:gridSpan w:val="2"/>
            <w:tcBorders>
              <w:bottom w:val="double" w:sz="1" w:space="0" w:color="000000"/>
            </w:tcBorders>
          </w:tcPr>
          <w:p>
            <w:pPr>
              <w:pStyle w:val="TableParagraph"/>
              <w:spacing w:before="18"/>
              <w:ind w:left="692" w:right="701"/>
              <w:jc w:val="center"/>
              <w:rPr>
                <w:sz w:val="20"/>
              </w:rPr>
            </w:pPr>
            <w:r>
              <w:rPr>
                <w:sz w:val="20"/>
              </w:rPr>
              <w:t>N/A</w:t>
            </w:r>
          </w:p>
        </w:tc>
        <w:tc>
          <w:tcPr>
            <w:tcW w:w="2794" w:type="dxa"/>
            <w:vMerge/>
            <w:tcBorders>
              <w:top w:val="nil"/>
            </w:tcBorders>
          </w:tcPr>
          <w:p>
            <w:pPr>
              <w:rPr>
                <w:sz w:val="2"/>
                <w:szCs w:val="2"/>
              </w:rPr>
            </w:pPr>
          </w:p>
        </w:tc>
      </w:tr>
      <w:tr>
        <w:trPr>
          <w:trHeight w:val="491" w:hRule="atLeast"/>
        </w:trPr>
        <w:tc>
          <w:tcPr>
            <w:tcW w:w="2254" w:type="dxa"/>
          </w:tcPr>
          <w:p>
            <w:pPr>
              <w:pStyle w:val="TableParagraph"/>
              <w:spacing w:before="120"/>
              <w:ind w:left="107"/>
              <w:rPr>
                <w:rFonts w:ascii="Times New Roman"/>
                <w:i/>
                <w:sz w:val="20"/>
              </w:rPr>
            </w:pPr>
            <w:r>
              <w:rPr>
                <w:rFonts w:ascii="Times New Roman"/>
                <w:i/>
                <w:sz w:val="20"/>
              </w:rPr>
              <w:t>VREF_CAL</w:t>
            </w:r>
          </w:p>
        </w:tc>
        <w:tc>
          <w:tcPr>
            <w:tcW w:w="1124" w:type="dxa"/>
          </w:tcPr>
          <w:p>
            <w:pPr>
              <w:pStyle w:val="TableParagraph"/>
              <w:spacing w:before="123"/>
              <w:ind w:left="4"/>
              <w:jc w:val="center"/>
              <w:rPr>
                <w:sz w:val="20"/>
              </w:rPr>
            </w:pPr>
            <w:r>
              <w:rPr>
                <w:sz w:val="20"/>
              </w:rPr>
              <w:t>2704[7]</w:t>
            </w:r>
          </w:p>
        </w:tc>
        <w:tc>
          <w:tcPr>
            <w:tcW w:w="344" w:type="dxa"/>
          </w:tcPr>
          <w:p>
            <w:pPr>
              <w:pStyle w:val="TableParagraph"/>
              <w:spacing w:before="123"/>
              <w:ind w:left="4"/>
              <w:jc w:val="center"/>
              <w:rPr>
                <w:sz w:val="20"/>
              </w:rPr>
            </w:pPr>
            <w:r>
              <w:rPr>
                <w:w w:val="99"/>
                <w:sz w:val="20"/>
              </w:rPr>
              <w:t>0</w:t>
            </w:r>
          </w:p>
        </w:tc>
        <w:tc>
          <w:tcPr>
            <w:tcW w:w="344" w:type="dxa"/>
          </w:tcPr>
          <w:p>
            <w:pPr>
              <w:pStyle w:val="TableParagraph"/>
              <w:spacing w:before="123"/>
              <w:ind w:left="2"/>
              <w:jc w:val="center"/>
              <w:rPr>
                <w:sz w:val="20"/>
              </w:rPr>
            </w:pPr>
            <w:r>
              <w:rPr>
                <w:w w:val="99"/>
                <w:sz w:val="20"/>
              </w:rPr>
              <w:t>0</w:t>
            </w:r>
          </w:p>
        </w:tc>
        <w:tc>
          <w:tcPr>
            <w:tcW w:w="620" w:type="dxa"/>
          </w:tcPr>
          <w:p>
            <w:pPr>
              <w:pStyle w:val="TableParagraph"/>
              <w:spacing w:before="123"/>
              <w:ind w:left="87" w:right="93"/>
              <w:jc w:val="center"/>
              <w:rPr>
                <w:sz w:val="20"/>
              </w:rPr>
            </w:pPr>
            <w:r>
              <w:rPr>
                <w:sz w:val="20"/>
              </w:rPr>
              <w:t>R/W</w:t>
            </w:r>
          </w:p>
        </w:tc>
        <w:tc>
          <w:tcPr>
            <w:tcW w:w="8020" w:type="dxa"/>
            <w:gridSpan w:val="7"/>
            <w:tcBorders>
              <w:top w:val="nil"/>
            </w:tcBorders>
          </w:tcPr>
          <w:p>
            <w:pPr>
              <w:pStyle w:val="TableParagraph"/>
              <w:spacing w:line="229" w:lineRule="exact" w:before="8"/>
              <w:ind w:left="104"/>
              <w:rPr>
                <w:sz w:val="20"/>
              </w:rPr>
            </w:pPr>
            <w:r>
              <w:rPr>
                <w:sz w:val="20"/>
              </w:rPr>
              <w:t>Brings the ADC reference voltage out to the VREF pin. This feature is disabled when</w:t>
            </w:r>
          </w:p>
          <w:p>
            <w:pPr>
              <w:pStyle w:val="TableParagraph"/>
              <w:spacing w:line="230" w:lineRule="exact"/>
              <w:ind w:left="104"/>
              <w:rPr>
                <w:sz w:val="20"/>
              </w:rPr>
            </w:pPr>
            <w:r>
              <w:rPr>
                <w:rFonts w:ascii="Times New Roman"/>
                <w:i/>
                <w:sz w:val="20"/>
              </w:rPr>
              <w:t>VREF_DIS</w:t>
            </w:r>
            <w:r>
              <w:rPr>
                <w:sz w:val="20"/>
              </w:rPr>
              <w:t>=1.</w:t>
            </w:r>
          </w:p>
        </w:tc>
      </w:tr>
      <w:tr>
        <w:trPr>
          <w:trHeight w:val="270" w:hRule="atLeast"/>
        </w:trPr>
        <w:tc>
          <w:tcPr>
            <w:tcW w:w="2254" w:type="dxa"/>
          </w:tcPr>
          <w:p>
            <w:pPr>
              <w:pStyle w:val="TableParagraph"/>
              <w:spacing w:before="14"/>
              <w:ind w:left="107"/>
              <w:rPr>
                <w:rFonts w:ascii="Times New Roman"/>
                <w:i/>
                <w:sz w:val="20"/>
              </w:rPr>
            </w:pPr>
            <w:r>
              <w:rPr>
                <w:rFonts w:ascii="Times New Roman"/>
                <w:i/>
                <w:sz w:val="20"/>
              </w:rPr>
              <w:t>VREF_DIS</w:t>
            </w:r>
          </w:p>
        </w:tc>
        <w:tc>
          <w:tcPr>
            <w:tcW w:w="1124" w:type="dxa"/>
          </w:tcPr>
          <w:p>
            <w:pPr>
              <w:pStyle w:val="TableParagraph"/>
              <w:spacing w:before="18"/>
              <w:ind w:left="5"/>
              <w:jc w:val="center"/>
              <w:rPr>
                <w:sz w:val="20"/>
              </w:rPr>
            </w:pPr>
            <w:r>
              <w:rPr>
                <w:sz w:val="20"/>
              </w:rPr>
              <w:t>2704[6]</w:t>
            </w:r>
          </w:p>
        </w:tc>
        <w:tc>
          <w:tcPr>
            <w:tcW w:w="344" w:type="dxa"/>
          </w:tcPr>
          <w:p>
            <w:pPr>
              <w:pStyle w:val="TableParagraph"/>
              <w:spacing w:before="18"/>
              <w:ind w:left="4"/>
              <w:jc w:val="center"/>
              <w:rPr>
                <w:sz w:val="20"/>
              </w:rPr>
            </w:pPr>
            <w:r>
              <w:rPr>
                <w:w w:val="99"/>
                <w:sz w:val="20"/>
              </w:rPr>
              <w:t>0</w:t>
            </w:r>
          </w:p>
        </w:tc>
        <w:tc>
          <w:tcPr>
            <w:tcW w:w="344" w:type="dxa"/>
          </w:tcPr>
          <w:p>
            <w:pPr>
              <w:pStyle w:val="TableParagraph"/>
              <w:spacing w:before="18"/>
              <w:ind w:left="2"/>
              <w:jc w:val="center"/>
              <w:rPr>
                <w:sz w:val="20"/>
              </w:rPr>
            </w:pPr>
            <w:r>
              <w:rPr>
                <w:w w:val="99"/>
                <w:sz w:val="20"/>
              </w:rPr>
              <w:t>1</w:t>
            </w:r>
          </w:p>
        </w:tc>
        <w:tc>
          <w:tcPr>
            <w:tcW w:w="620" w:type="dxa"/>
          </w:tcPr>
          <w:p>
            <w:pPr>
              <w:pStyle w:val="TableParagraph"/>
              <w:spacing w:before="18"/>
              <w:ind w:left="87" w:right="93"/>
              <w:jc w:val="center"/>
              <w:rPr>
                <w:sz w:val="20"/>
              </w:rPr>
            </w:pPr>
            <w:r>
              <w:rPr>
                <w:sz w:val="20"/>
              </w:rPr>
              <w:t>R/W</w:t>
            </w:r>
          </w:p>
        </w:tc>
        <w:tc>
          <w:tcPr>
            <w:tcW w:w="8020" w:type="dxa"/>
            <w:gridSpan w:val="7"/>
          </w:tcPr>
          <w:p>
            <w:pPr>
              <w:pStyle w:val="TableParagraph"/>
              <w:spacing w:before="18"/>
              <w:ind w:left="104"/>
              <w:rPr>
                <w:sz w:val="20"/>
              </w:rPr>
            </w:pPr>
            <w:r>
              <w:rPr>
                <w:sz w:val="20"/>
              </w:rPr>
              <w:t>Disables the internal ADC voltage reference.</w:t>
            </w:r>
          </w:p>
        </w:tc>
      </w:tr>
    </w:tbl>
    <w:p>
      <w:pPr>
        <w:spacing w:after="0"/>
        <w:rPr>
          <w:sz w:val="20"/>
        </w:rPr>
        <w:sectPr>
          <w:pgSz w:w="15840" w:h="12240" w:orient="landscape"/>
          <w:pgMar w:header="727" w:footer="819" w:top="1180" w:bottom="1000" w:left="1320" w:right="1320"/>
        </w:sectPr>
      </w:pPr>
    </w:p>
    <w:p>
      <w:pPr>
        <w:pStyle w:val="BodyText"/>
        <w:spacing w:before="5"/>
        <w:rPr>
          <w:b/>
          <w:sz w:val="7"/>
        </w:rPr>
      </w:pPr>
    </w:p>
    <w:tbl>
      <w:tblPr>
        <w:tblW w:w="0" w:type="auto"/>
        <w:jc w:val="left"/>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4"/>
        <w:gridCol w:w="1124"/>
        <w:gridCol w:w="344"/>
        <w:gridCol w:w="344"/>
        <w:gridCol w:w="620"/>
        <w:gridCol w:w="114"/>
        <w:gridCol w:w="1240"/>
        <w:gridCol w:w="6549"/>
        <w:gridCol w:w="117"/>
      </w:tblGrid>
      <w:tr>
        <w:trPr>
          <w:trHeight w:val="309" w:hRule="atLeast"/>
        </w:trPr>
        <w:tc>
          <w:tcPr>
            <w:tcW w:w="2254" w:type="dxa"/>
          </w:tcPr>
          <w:p>
            <w:pPr>
              <w:pStyle w:val="TableParagraph"/>
              <w:spacing w:before="35"/>
              <w:ind w:left="107"/>
              <w:rPr>
                <w:b/>
                <w:sz w:val="20"/>
              </w:rPr>
            </w:pPr>
            <w:r>
              <w:rPr>
                <w:b/>
                <w:sz w:val="20"/>
              </w:rPr>
              <w:t>Name</w:t>
            </w:r>
          </w:p>
        </w:tc>
        <w:tc>
          <w:tcPr>
            <w:tcW w:w="1124" w:type="dxa"/>
          </w:tcPr>
          <w:p>
            <w:pPr>
              <w:pStyle w:val="TableParagraph"/>
              <w:spacing w:before="35"/>
              <w:ind w:left="4"/>
              <w:jc w:val="center"/>
              <w:rPr>
                <w:b/>
                <w:sz w:val="20"/>
              </w:rPr>
            </w:pPr>
            <w:r>
              <w:rPr>
                <w:b/>
                <w:sz w:val="20"/>
              </w:rPr>
              <w:t>Location</w:t>
            </w:r>
          </w:p>
        </w:tc>
        <w:tc>
          <w:tcPr>
            <w:tcW w:w="344" w:type="dxa"/>
          </w:tcPr>
          <w:p>
            <w:pPr>
              <w:pStyle w:val="TableParagraph"/>
              <w:spacing w:before="35"/>
              <w:ind w:left="2"/>
              <w:jc w:val="center"/>
              <w:rPr>
                <w:b/>
                <w:sz w:val="20"/>
              </w:rPr>
            </w:pPr>
            <w:r>
              <w:rPr>
                <w:b/>
                <w:sz w:val="20"/>
              </w:rPr>
              <w:t>Rst</w:t>
            </w:r>
          </w:p>
        </w:tc>
        <w:tc>
          <w:tcPr>
            <w:tcW w:w="344" w:type="dxa"/>
          </w:tcPr>
          <w:p>
            <w:pPr>
              <w:pStyle w:val="TableParagraph"/>
              <w:spacing w:before="35"/>
              <w:ind w:left="6"/>
              <w:jc w:val="center"/>
              <w:rPr>
                <w:b/>
                <w:sz w:val="20"/>
              </w:rPr>
            </w:pPr>
            <w:r>
              <w:rPr>
                <w:b/>
                <w:sz w:val="20"/>
              </w:rPr>
              <w:t>Wk</w:t>
            </w:r>
          </w:p>
        </w:tc>
        <w:tc>
          <w:tcPr>
            <w:tcW w:w="620" w:type="dxa"/>
          </w:tcPr>
          <w:p>
            <w:pPr>
              <w:pStyle w:val="TableParagraph"/>
              <w:spacing w:before="35"/>
              <w:ind w:left="87" w:right="86"/>
              <w:jc w:val="center"/>
              <w:rPr>
                <w:b/>
                <w:sz w:val="20"/>
              </w:rPr>
            </w:pPr>
            <w:r>
              <w:rPr>
                <w:b/>
                <w:sz w:val="20"/>
              </w:rPr>
              <w:t>Dir</w:t>
            </w:r>
          </w:p>
        </w:tc>
        <w:tc>
          <w:tcPr>
            <w:tcW w:w="8020" w:type="dxa"/>
            <w:gridSpan w:val="4"/>
          </w:tcPr>
          <w:p>
            <w:pPr>
              <w:pStyle w:val="TableParagraph"/>
              <w:spacing w:before="35"/>
              <w:ind w:left="104"/>
              <w:rPr>
                <w:b/>
                <w:sz w:val="20"/>
              </w:rPr>
            </w:pPr>
            <w:r>
              <w:rPr>
                <w:b/>
                <w:sz w:val="20"/>
              </w:rPr>
              <w:t>Description</w:t>
            </w:r>
          </w:p>
        </w:tc>
      </w:tr>
      <w:tr>
        <w:trPr>
          <w:trHeight w:val="311" w:hRule="atLeast"/>
        </w:trPr>
        <w:tc>
          <w:tcPr>
            <w:tcW w:w="2254"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7"/>
              <w:ind w:left="107"/>
              <w:rPr>
                <w:rFonts w:ascii="Times New Roman"/>
                <w:i/>
                <w:sz w:val="20"/>
              </w:rPr>
            </w:pPr>
            <w:r>
              <w:rPr>
                <w:rFonts w:ascii="Times New Roman"/>
                <w:i/>
                <w:sz w:val="20"/>
              </w:rPr>
              <w:t>VSTAT[2:0]</w:t>
            </w:r>
          </w:p>
        </w:tc>
        <w:tc>
          <w:tcPr>
            <w:tcW w:w="1124" w:type="dxa"/>
            <w:vMerge w:val="restart"/>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8"/>
              <w:rPr>
                <w:b/>
                <w:sz w:val="28"/>
              </w:rPr>
            </w:pPr>
          </w:p>
          <w:p>
            <w:pPr>
              <w:pStyle w:val="TableParagraph"/>
              <w:ind w:left="76"/>
              <w:rPr>
                <w:sz w:val="18"/>
              </w:rPr>
            </w:pPr>
            <w:r>
              <w:rPr>
                <w:sz w:val="18"/>
              </w:rPr>
              <w:t>SFR F9[2:0]</w:t>
            </w:r>
          </w:p>
        </w:tc>
        <w:tc>
          <w:tcPr>
            <w:tcW w:w="344"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0"/>
              <w:ind w:left="113"/>
              <w:rPr>
                <w:sz w:val="20"/>
              </w:rPr>
            </w:pPr>
            <w:r>
              <w:rPr>
                <w:w w:val="99"/>
                <w:sz w:val="20"/>
              </w:rPr>
              <w:t>–</w:t>
            </w:r>
          </w:p>
        </w:tc>
        <w:tc>
          <w:tcPr>
            <w:tcW w:w="344"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0"/>
              <w:ind w:left="113"/>
              <w:rPr>
                <w:sz w:val="20"/>
              </w:rPr>
            </w:pPr>
            <w:r>
              <w:rPr>
                <w:w w:val="99"/>
                <w:sz w:val="20"/>
              </w:rPr>
              <w:t>–</w:t>
            </w:r>
          </w:p>
        </w:tc>
        <w:tc>
          <w:tcPr>
            <w:tcW w:w="62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0"/>
              <w:ind w:left="3"/>
              <w:jc w:val="center"/>
              <w:rPr>
                <w:sz w:val="20"/>
              </w:rPr>
            </w:pPr>
            <w:r>
              <w:rPr>
                <w:w w:val="99"/>
                <w:sz w:val="20"/>
              </w:rPr>
              <w:t>R</w:t>
            </w:r>
          </w:p>
        </w:tc>
        <w:tc>
          <w:tcPr>
            <w:tcW w:w="8020" w:type="dxa"/>
            <w:gridSpan w:val="4"/>
          </w:tcPr>
          <w:p>
            <w:pPr>
              <w:pStyle w:val="TableParagraph"/>
              <w:spacing w:before="18"/>
              <w:ind w:left="104"/>
              <w:rPr>
                <w:sz w:val="20"/>
              </w:rPr>
            </w:pPr>
            <w:r>
              <w:rPr>
                <w:sz w:val="20"/>
              </w:rPr>
              <w:t>This word describes the source of power and the status of the VDD.</w:t>
            </w:r>
          </w:p>
        </w:tc>
      </w:tr>
      <w:tr>
        <w:trPr>
          <w:trHeight w:val="268" w:hRule="atLeast"/>
        </w:trPr>
        <w:tc>
          <w:tcPr>
            <w:tcW w:w="2254" w:type="dxa"/>
            <w:vMerge/>
            <w:tcBorders>
              <w:top w:val="nil"/>
            </w:tcBorders>
          </w:tcPr>
          <w:p>
            <w:pPr>
              <w:rPr>
                <w:sz w:val="2"/>
                <w:szCs w:val="2"/>
              </w:rPr>
            </w:pPr>
          </w:p>
        </w:tc>
        <w:tc>
          <w:tcPr>
            <w:tcW w:w="1124" w:type="dxa"/>
            <w:vMerge/>
            <w:tcBorders>
              <w:top w:val="nil"/>
            </w:tcBorders>
          </w:tcPr>
          <w:p>
            <w:pPr>
              <w:rPr>
                <w:sz w:val="2"/>
                <w:szCs w:val="2"/>
              </w:rPr>
            </w:pPr>
          </w:p>
        </w:tc>
        <w:tc>
          <w:tcPr>
            <w:tcW w:w="344" w:type="dxa"/>
            <w:vMerge/>
            <w:tcBorders>
              <w:top w:val="nil"/>
            </w:tcBorders>
          </w:tcPr>
          <w:p>
            <w:pPr>
              <w:rPr>
                <w:sz w:val="2"/>
                <w:szCs w:val="2"/>
              </w:rPr>
            </w:pPr>
          </w:p>
        </w:tc>
        <w:tc>
          <w:tcPr>
            <w:tcW w:w="344" w:type="dxa"/>
            <w:vMerge/>
            <w:tcBorders>
              <w:top w:val="nil"/>
            </w:tcBorders>
          </w:tcPr>
          <w:p>
            <w:pPr>
              <w:rPr>
                <w:sz w:val="2"/>
                <w:szCs w:val="2"/>
              </w:rPr>
            </w:pPr>
          </w:p>
        </w:tc>
        <w:tc>
          <w:tcPr>
            <w:tcW w:w="620" w:type="dxa"/>
            <w:vMerge/>
            <w:tcBorders>
              <w:top w:val="nil"/>
            </w:tcBorders>
          </w:tcPr>
          <w:p>
            <w:pPr>
              <w:rPr>
                <w:sz w:val="2"/>
                <w:szCs w:val="2"/>
              </w:rPr>
            </w:pPr>
          </w:p>
        </w:tc>
        <w:tc>
          <w:tcPr>
            <w:tcW w:w="114" w:type="dxa"/>
            <w:vMerge w:val="restart"/>
            <w:tcBorders>
              <w:top w:val="nil"/>
            </w:tcBorders>
          </w:tcPr>
          <w:p>
            <w:pPr>
              <w:pStyle w:val="TableParagraph"/>
              <w:rPr>
                <w:rFonts w:ascii="Times New Roman"/>
                <w:sz w:val="18"/>
              </w:rPr>
            </w:pPr>
          </w:p>
        </w:tc>
        <w:tc>
          <w:tcPr>
            <w:tcW w:w="1240" w:type="dxa"/>
          </w:tcPr>
          <w:p>
            <w:pPr>
              <w:pStyle w:val="TableParagraph"/>
              <w:spacing w:line="229" w:lineRule="exact" w:before="19"/>
              <w:ind w:left="83" w:right="83"/>
              <w:jc w:val="center"/>
              <w:rPr>
                <w:rFonts w:ascii="Times New Roman"/>
                <w:b/>
                <w:i/>
                <w:sz w:val="20"/>
              </w:rPr>
            </w:pPr>
            <w:r>
              <w:rPr>
                <w:rFonts w:ascii="Times New Roman"/>
                <w:b/>
                <w:i/>
                <w:sz w:val="20"/>
              </w:rPr>
              <w:t>VSTAT[2:0]</w:t>
            </w:r>
          </w:p>
        </w:tc>
        <w:tc>
          <w:tcPr>
            <w:tcW w:w="6549" w:type="dxa"/>
          </w:tcPr>
          <w:p>
            <w:pPr>
              <w:pStyle w:val="TableParagraph"/>
              <w:spacing w:before="16"/>
              <w:ind w:left="103"/>
              <w:rPr>
                <w:b/>
                <w:sz w:val="20"/>
              </w:rPr>
            </w:pPr>
            <w:r>
              <w:rPr>
                <w:b/>
                <w:sz w:val="20"/>
              </w:rPr>
              <w:t>Description</w:t>
            </w:r>
          </w:p>
        </w:tc>
        <w:tc>
          <w:tcPr>
            <w:tcW w:w="117" w:type="dxa"/>
            <w:tcBorders>
              <w:top w:val="nil"/>
              <w:bottom w:val="nil"/>
            </w:tcBorders>
          </w:tcPr>
          <w:p>
            <w:pPr>
              <w:pStyle w:val="TableParagraph"/>
              <w:rPr>
                <w:rFonts w:ascii="Times New Roman"/>
                <w:sz w:val="18"/>
              </w:rPr>
            </w:pPr>
          </w:p>
        </w:tc>
      </w:tr>
      <w:tr>
        <w:trPr>
          <w:trHeight w:val="501" w:hRule="atLeast"/>
        </w:trPr>
        <w:tc>
          <w:tcPr>
            <w:tcW w:w="2254" w:type="dxa"/>
            <w:vMerge/>
            <w:tcBorders>
              <w:top w:val="nil"/>
            </w:tcBorders>
          </w:tcPr>
          <w:p>
            <w:pPr>
              <w:rPr>
                <w:sz w:val="2"/>
                <w:szCs w:val="2"/>
              </w:rPr>
            </w:pPr>
          </w:p>
        </w:tc>
        <w:tc>
          <w:tcPr>
            <w:tcW w:w="1124" w:type="dxa"/>
            <w:vMerge/>
            <w:tcBorders>
              <w:top w:val="nil"/>
            </w:tcBorders>
          </w:tcPr>
          <w:p>
            <w:pPr>
              <w:rPr>
                <w:sz w:val="2"/>
                <w:szCs w:val="2"/>
              </w:rPr>
            </w:pPr>
          </w:p>
        </w:tc>
        <w:tc>
          <w:tcPr>
            <w:tcW w:w="344" w:type="dxa"/>
            <w:vMerge/>
            <w:tcBorders>
              <w:top w:val="nil"/>
            </w:tcBorders>
          </w:tcPr>
          <w:p>
            <w:pPr>
              <w:rPr>
                <w:sz w:val="2"/>
                <w:szCs w:val="2"/>
              </w:rPr>
            </w:pPr>
          </w:p>
        </w:tc>
        <w:tc>
          <w:tcPr>
            <w:tcW w:w="344" w:type="dxa"/>
            <w:vMerge/>
            <w:tcBorders>
              <w:top w:val="nil"/>
            </w:tcBorders>
          </w:tcPr>
          <w:p>
            <w:pPr>
              <w:rPr>
                <w:sz w:val="2"/>
                <w:szCs w:val="2"/>
              </w:rPr>
            </w:pPr>
          </w:p>
        </w:tc>
        <w:tc>
          <w:tcPr>
            <w:tcW w:w="620" w:type="dxa"/>
            <w:vMerge/>
            <w:tcBorders>
              <w:top w:val="nil"/>
            </w:tcBorders>
          </w:tcPr>
          <w:p>
            <w:pPr>
              <w:rPr>
                <w:sz w:val="2"/>
                <w:szCs w:val="2"/>
              </w:rPr>
            </w:pPr>
          </w:p>
        </w:tc>
        <w:tc>
          <w:tcPr>
            <w:tcW w:w="114" w:type="dxa"/>
            <w:vMerge/>
            <w:tcBorders>
              <w:top w:val="nil"/>
            </w:tcBorders>
          </w:tcPr>
          <w:p>
            <w:pPr>
              <w:rPr>
                <w:sz w:val="2"/>
                <w:szCs w:val="2"/>
              </w:rPr>
            </w:pPr>
          </w:p>
        </w:tc>
        <w:tc>
          <w:tcPr>
            <w:tcW w:w="1240" w:type="dxa"/>
          </w:tcPr>
          <w:p>
            <w:pPr>
              <w:pStyle w:val="TableParagraph"/>
              <w:spacing w:before="18"/>
              <w:ind w:left="79" w:right="83"/>
              <w:jc w:val="center"/>
              <w:rPr>
                <w:sz w:val="20"/>
              </w:rPr>
            </w:pPr>
            <w:r>
              <w:rPr>
                <w:sz w:val="20"/>
              </w:rPr>
              <w:t>000</w:t>
            </w:r>
          </w:p>
        </w:tc>
        <w:tc>
          <w:tcPr>
            <w:tcW w:w="6549" w:type="dxa"/>
          </w:tcPr>
          <w:p>
            <w:pPr>
              <w:pStyle w:val="TableParagraph"/>
              <w:spacing w:before="18"/>
              <w:ind w:left="108"/>
              <w:rPr>
                <w:sz w:val="20"/>
              </w:rPr>
            </w:pPr>
            <w:r>
              <w:rPr>
                <w:sz w:val="20"/>
              </w:rPr>
              <w:t>System Power OK. V3P3A&gt;3.0v. Analog modules are functional and accurate.</w:t>
            </w:r>
            <w:r>
              <w:rPr>
                <w:spacing w:val="54"/>
                <w:sz w:val="20"/>
              </w:rPr>
              <w:t> </w:t>
            </w:r>
            <w:r>
              <w:rPr>
                <w:sz w:val="20"/>
              </w:rPr>
              <w:t>[V3AOK,V3OK]=11</w:t>
            </w:r>
          </w:p>
        </w:tc>
        <w:tc>
          <w:tcPr>
            <w:tcW w:w="117" w:type="dxa"/>
            <w:tcBorders>
              <w:top w:val="nil"/>
              <w:bottom w:val="nil"/>
            </w:tcBorders>
          </w:tcPr>
          <w:p>
            <w:pPr>
              <w:pStyle w:val="TableParagraph"/>
              <w:rPr>
                <w:rFonts w:ascii="Times New Roman"/>
                <w:sz w:val="18"/>
              </w:rPr>
            </w:pPr>
          </w:p>
        </w:tc>
      </w:tr>
      <w:tr>
        <w:trPr>
          <w:trHeight w:val="498" w:hRule="atLeast"/>
        </w:trPr>
        <w:tc>
          <w:tcPr>
            <w:tcW w:w="2254" w:type="dxa"/>
            <w:vMerge/>
            <w:tcBorders>
              <w:top w:val="nil"/>
            </w:tcBorders>
          </w:tcPr>
          <w:p>
            <w:pPr>
              <w:rPr>
                <w:sz w:val="2"/>
                <w:szCs w:val="2"/>
              </w:rPr>
            </w:pPr>
          </w:p>
        </w:tc>
        <w:tc>
          <w:tcPr>
            <w:tcW w:w="1124" w:type="dxa"/>
            <w:vMerge/>
            <w:tcBorders>
              <w:top w:val="nil"/>
            </w:tcBorders>
          </w:tcPr>
          <w:p>
            <w:pPr>
              <w:rPr>
                <w:sz w:val="2"/>
                <w:szCs w:val="2"/>
              </w:rPr>
            </w:pPr>
          </w:p>
        </w:tc>
        <w:tc>
          <w:tcPr>
            <w:tcW w:w="344" w:type="dxa"/>
            <w:vMerge/>
            <w:tcBorders>
              <w:top w:val="nil"/>
            </w:tcBorders>
          </w:tcPr>
          <w:p>
            <w:pPr>
              <w:rPr>
                <w:sz w:val="2"/>
                <w:szCs w:val="2"/>
              </w:rPr>
            </w:pPr>
          </w:p>
        </w:tc>
        <w:tc>
          <w:tcPr>
            <w:tcW w:w="344" w:type="dxa"/>
            <w:vMerge/>
            <w:tcBorders>
              <w:top w:val="nil"/>
            </w:tcBorders>
          </w:tcPr>
          <w:p>
            <w:pPr>
              <w:rPr>
                <w:sz w:val="2"/>
                <w:szCs w:val="2"/>
              </w:rPr>
            </w:pPr>
          </w:p>
        </w:tc>
        <w:tc>
          <w:tcPr>
            <w:tcW w:w="620" w:type="dxa"/>
            <w:vMerge/>
            <w:tcBorders>
              <w:top w:val="nil"/>
            </w:tcBorders>
          </w:tcPr>
          <w:p>
            <w:pPr>
              <w:rPr>
                <w:sz w:val="2"/>
                <w:szCs w:val="2"/>
              </w:rPr>
            </w:pPr>
          </w:p>
        </w:tc>
        <w:tc>
          <w:tcPr>
            <w:tcW w:w="114" w:type="dxa"/>
            <w:vMerge/>
            <w:tcBorders>
              <w:top w:val="nil"/>
            </w:tcBorders>
          </w:tcPr>
          <w:p>
            <w:pPr>
              <w:rPr>
                <w:sz w:val="2"/>
                <w:szCs w:val="2"/>
              </w:rPr>
            </w:pPr>
          </w:p>
        </w:tc>
        <w:tc>
          <w:tcPr>
            <w:tcW w:w="1240" w:type="dxa"/>
          </w:tcPr>
          <w:p>
            <w:pPr>
              <w:pStyle w:val="TableParagraph"/>
              <w:spacing w:before="16"/>
              <w:ind w:left="79" w:right="83"/>
              <w:jc w:val="center"/>
              <w:rPr>
                <w:sz w:val="20"/>
              </w:rPr>
            </w:pPr>
            <w:r>
              <w:rPr>
                <w:sz w:val="20"/>
              </w:rPr>
              <w:t>001</w:t>
            </w:r>
          </w:p>
        </w:tc>
        <w:tc>
          <w:tcPr>
            <w:tcW w:w="6549" w:type="dxa"/>
          </w:tcPr>
          <w:p>
            <w:pPr>
              <w:pStyle w:val="TableParagraph"/>
              <w:spacing w:before="16"/>
              <w:ind w:left="108"/>
              <w:rPr>
                <w:sz w:val="20"/>
              </w:rPr>
            </w:pPr>
            <w:r>
              <w:rPr>
                <w:sz w:val="20"/>
              </w:rPr>
              <w:t>System Power Low. 2.8v&lt;V3P3A&lt;3.0v. Analog modules not accurate. Switch over to battery power is imminent. [V3AOK,V3OK]=01</w:t>
            </w:r>
          </w:p>
        </w:tc>
        <w:tc>
          <w:tcPr>
            <w:tcW w:w="117" w:type="dxa"/>
            <w:tcBorders>
              <w:top w:val="nil"/>
              <w:bottom w:val="nil"/>
            </w:tcBorders>
          </w:tcPr>
          <w:p>
            <w:pPr>
              <w:pStyle w:val="TableParagraph"/>
              <w:rPr>
                <w:rFonts w:ascii="Times New Roman"/>
                <w:sz w:val="18"/>
              </w:rPr>
            </w:pPr>
          </w:p>
        </w:tc>
      </w:tr>
      <w:tr>
        <w:trPr>
          <w:trHeight w:val="501" w:hRule="atLeast"/>
        </w:trPr>
        <w:tc>
          <w:tcPr>
            <w:tcW w:w="2254" w:type="dxa"/>
            <w:vMerge/>
            <w:tcBorders>
              <w:top w:val="nil"/>
            </w:tcBorders>
          </w:tcPr>
          <w:p>
            <w:pPr>
              <w:rPr>
                <w:sz w:val="2"/>
                <w:szCs w:val="2"/>
              </w:rPr>
            </w:pPr>
          </w:p>
        </w:tc>
        <w:tc>
          <w:tcPr>
            <w:tcW w:w="1124" w:type="dxa"/>
            <w:vMerge/>
            <w:tcBorders>
              <w:top w:val="nil"/>
            </w:tcBorders>
          </w:tcPr>
          <w:p>
            <w:pPr>
              <w:rPr>
                <w:sz w:val="2"/>
                <w:szCs w:val="2"/>
              </w:rPr>
            </w:pPr>
          </w:p>
        </w:tc>
        <w:tc>
          <w:tcPr>
            <w:tcW w:w="344" w:type="dxa"/>
            <w:vMerge/>
            <w:tcBorders>
              <w:top w:val="nil"/>
            </w:tcBorders>
          </w:tcPr>
          <w:p>
            <w:pPr>
              <w:rPr>
                <w:sz w:val="2"/>
                <w:szCs w:val="2"/>
              </w:rPr>
            </w:pPr>
          </w:p>
        </w:tc>
        <w:tc>
          <w:tcPr>
            <w:tcW w:w="344" w:type="dxa"/>
            <w:vMerge/>
            <w:tcBorders>
              <w:top w:val="nil"/>
            </w:tcBorders>
          </w:tcPr>
          <w:p>
            <w:pPr>
              <w:rPr>
                <w:sz w:val="2"/>
                <w:szCs w:val="2"/>
              </w:rPr>
            </w:pPr>
          </w:p>
        </w:tc>
        <w:tc>
          <w:tcPr>
            <w:tcW w:w="620" w:type="dxa"/>
            <w:vMerge/>
            <w:tcBorders>
              <w:top w:val="nil"/>
            </w:tcBorders>
          </w:tcPr>
          <w:p>
            <w:pPr>
              <w:rPr>
                <w:sz w:val="2"/>
                <w:szCs w:val="2"/>
              </w:rPr>
            </w:pPr>
          </w:p>
        </w:tc>
        <w:tc>
          <w:tcPr>
            <w:tcW w:w="114" w:type="dxa"/>
            <w:vMerge/>
            <w:tcBorders>
              <w:top w:val="nil"/>
            </w:tcBorders>
          </w:tcPr>
          <w:p>
            <w:pPr>
              <w:rPr>
                <w:sz w:val="2"/>
                <w:szCs w:val="2"/>
              </w:rPr>
            </w:pPr>
          </w:p>
        </w:tc>
        <w:tc>
          <w:tcPr>
            <w:tcW w:w="1240" w:type="dxa"/>
          </w:tcPr>
          <w:p>
            <w:pPr>
              <w:pStyle w:val="TableParagraph"/>
              <w:spacing w:before="18"/>
              <w:ind w:left="79" w:right="83"/>
              <w:jc w:val="center"/>
              <w:rPr>
                <w:sz w:val="20"/>
              </w:rPr>
            </w:pPr>
            <w:r>
              <w:rPr>
                <w:sz w:val="20"/>
              </w:rPr>
              <w:t>010</w:t>
            </w:r>
          </w:p>
        </w:tc>
        <w:tc>
          <w:tcPr>
            <w:tcW w:w="6549" w:type="dxa"/>
          </w:tcPr>
          <w:p>
            <w:pPr>
              <w:pStyle w:val="TableParagraph"/>
              <w:spacing w:before="18"/>
              <w:ind w:left="108"/>
              <w:rPr>
                <w:sz w:val="20"/>
              </w:rPr>
            </w:pPr>
            <w:r>
              <w:rPr>
                <w:sz w:val="20"/>
              </w:rPr>
              <w:t>Battery power and VDD OK. VDD&gt;2.25v. Full digital functionality. [V3AOK,V3OK]=00, [VDDOK,VDDgt2]=11</w:t>
            </w:r>
          </w:p>
        </w:tc>
        <w:tc>
          <w:tcPr>
            <w:tcW w:w="117" w:type="dxa"/>
            <w:tcBorders>
              <w:top w:val="nil"/>
              <w:bottom w:val="nil"/>
            </w:tcBorders>
          </w:tcPr>
          <w:p>
            <w:pPr>
              <w:pStyle w:val="TableParagraph"/>
              <w:rPr>
                <w:rFonts w:ascii="Times New Roman"/>
                <w:sz w:val="18"/>
              </w:rPr>
            </w:pPr>
          </w:p>
        </w:tc>
      </w:tr>
      <w:tr>
        <w:trPr>
          <w:trHeight w:val="729" w:hRule="atLeast"/>
        </w:trPr>
        <w:tc>
          <w:tcPr>
            <w:tcW w:w="2254" w:type="dxa"/>
            <w:vMerge/>
            <w:tcBorders>
              <w:top w:val="nil"/>
            </w:tcBorders>
          </w:tcPr>
          <w:p>
            <w:pPr>
              <w:rPr>
                <w:sz w:val="2"/>
                <w:szCs w:val="2"/>
              </w:rPr>
            </w:pPr>
          </w:p>
        </w:tc>
        <w:tc>
          <w:tcPr>
            <w:tcW w:w="1124" w:type="dxa"/>
            <w:vMerge/>
            <w:tcBorders>
              <w:top w:val="nil"/>
            </w:tcBorders>
          </w:tcPr>
          <w:p>
            <w:pPr>
              <w:rPr>
                <w:sz w:val="2"/>
                <w:szCs w:val="2"/>
              </w:rPr>
            </w:pPr>
          </w:p>
        </w:tc>
        <w:tc>
          <w:tcPr>
            <w:tcW w:w="344" w:type="dxa"/>
            <w:vMerge/>
            <w:tcBorders>
              <w:top w:val="nil"/>
            </w:tcBorders>
          </w:tcPr>
          <w:p>
            <w:pPr>
              <w:rPr>
                <w:sz w:val="2"/>
                <w:szCs w:val="2"/>
              </w:rPr>
            </w:pPr>
          </w:p>
        </w:tc>
        <w:tc>
          <w:tcPr>
            <w:tcW w:w="344" w:type="dxa"/>
            <w:vMerge/>
            <w:tcBorders>
              <w:top w:val="nil"/>
            </w:tcBorders>
          </w:tcPr>
          <w:p>
            <w:pPr>
              <w:rPr>
                <w:sz w:val="2"/>
                <w:szCs w:val="2"/>
              </w:rPr>
            </w:pPr>
          </w:p>
        </w:tc>
        <w:tc>
          <w:tcPr>
            <w:tcW w:w="620" w:type="dxa"/>
            <w:vMerge/>
            <w:tcBorders>
              <w:top w:val="nil"/>
            </w:tcBorders>
          </w:tcPr>
          <w:p>
            <w:pPr>
              <w:rPr>
                <w:sz w:val="2"/>
                <w:szCs w:val="2"/>
              </w:rPr>
            </w:pPr>
          </w:p>
        </w:tc>
        <w:tc>
          <w:tcPr>
            <w:tcW w:w="114" w:type="dxa"/>
            <w:vMerge/>
            <w:tcBorders>
              <w:top w:val="nil"/>
            </w:tcBorders>
          </w:tcPr>
          <w:p>
            <w:pPr>
              <w:rPr>
                <w:sz w:val="2"/>
                <w:szCs w:val="2"/>
              </w:rPr>
            </w:pPr>
          </w:p>
        </w:tc>
        <w:tc>
          <w:tcPr>
            <w:tcW w:w="1240" w:type="dxa"/>
          </w:tcPr>
          <w:p>
            <w:pPr>
              <w:pStyle w:val="TableParagraph"/>
              <w:spacing w:before="16"/>
              <w:ind w:left="79" w:right="83"/>
              <w:jc w:val="center"/>
              <w:rPr>
                <w:sz w:val="20"/>
              </w:rPr>
            </w:pPr>
            <w:r>
              <w:rPr>
                <w:sz w:val="20"/>
              </w:rPr>
              <w:t>011</w:t>
            </w:r>
          </w:p>
        </w:tc>
        <w:tc>
          <w:tcPr>
            <w:tcW w:w="6549" w:type="dxa"/>
          </w:tcPr>
          <w:p>
            <w:pPr>
              <w:pStyle w:val="TableParagraph"/>
              <w:spacing w:before="16"/>
              <w:ind w:left="108" w:right="287"/>
              <w:rPr>
                <w:sz w:val="20"/>
              </w:rPr>
            </w:pPr>
            <w:r>
              <w:rPr>
                <w:sz w:val="20"/>
              </w:rPr>
              <w:t>Battery power and VDD&gt;2.0. Flash writes are inhibited. If the TRIMVDD[5] fuse is blown, </w:t>
            </w:r>
            <w:r>
              <w:rPr>
                <w:i/>
                <w:sz w:val="20"/>
              </w:rPr>
              <w:t>PLL_FAST </w:t>
            </w:r>
            <w:r>
              <w:rPr>
                <w:sz w:val="20"/>
              </w:rPr>
              <w:t>is cleared. [V3AOK,V3OK]=00, [VDDOK,VDDgt2]=01</w:t>
            </w:r>
          </w:p>
        </w:tc>
        <w:tc>
          <w:tcPr>
            <w:tcW w:w="117" w:type="dxa"/>
            <w:tcBorders>
              <w:top w:val="nil"/>
              <w:bottom w:val="nil"/>
            </w:tcBorders>
          </w:tcPr>
          <w:p>
            <w:pPr>
              <w:pStyle w:val="TableParagraph"/>
              <w:rPr>
                <w:rFonts w:ascii="Times New Roman"/>
                <w:sz w:val="18"/>
              </w:rPr>
            </w:pPr>
          </w:p>
        </w:tc>
      </w:tr>
      <w:tr>
        <w:trPr>
          <w:trHeight w:val="734" w:hRule="atLeast"/>
        </w:trPr>
        <w:tc>
          <w:tcPr>
            <w:tcW w:w="2254" w:type="dxa"/>
            <w:vMerge/>
            <w:tcBorders>
              <w:top w:val="nil"/>
            </w:tcBorders>
          </w:tcPr>
          <w:p>
            <w:pPr>
              <w:rPr>
                <w:sz w:val="2"/>
                <w:szCs w:val="2"/>
              </w:rPr>
            </w:pPr>
          </w:p>
        </w:tc>
        <w:tc>
          <w:tcPr>
            <w:tcW w:w="1124" w:type="dxa"/>
            <w:vMerge/>
            <w:tcBorders>
              <w:top w:val="nil"/>
            </w:tcBorders>
          </w:tcPr>
          <w:p>
            <w:pPr>
              <w:rPr>
                <w:sz w:val="2"/>
                <w:szCs w:val="2"/>
              </w:rPr>
            </w:pPr>
          </w:p>
        </w:tc>
        <w:tc>
          <w:tcPr>
            <w:tcW w:w="344" w:type="dxa"/>
            <w:vMerge/>
            <w:tcBorders>
              <w:top w:val="nil"/>
            </w:tcBorders>
          </w:tcPr>
          <w:p>
            <w:pPr>
              <w:rPr>
                <w:sz w:val="2"/>
                <w:szCs w:val="2"/>
              </w:rPr>
            </w:pPr>
          </w:p>
        </w:tc>
        <w:tc>
          <w:tcPr>
            <w:tcW w:w="344" w:type="dxa"/>
            <w:vMerge/>
            <w:tcBorders>
              <w:top w:val="nil"/>
            </w:tcBorders>
          </w:tcPr>
          <w:p>
            <w:pPr>
              <w:rPr>
                <w:sz w:val="2"/>
                <w:szCs w:val="2"/>
              </w:rPr>
            </w:pPr>
          </w:p>
        </w:tc>
        <w:tc>
          <w:tcPr>
            <w:tcW w:w="620" w:type="dxa"/>
            <w:vMerge/>
            <w:tcBorders>
              <w:top w:val="nil"/>
            </w:tcBorders>
          </w:tcPr>
          <w:p>
            <w:pPr>
              <w:rPr>
                <w:sz w:val="2"/>
                <w:szCs w:val="2"/>
              </w:rPr>
            </w:pPr>
          </w:p>
        </w:tc>
        <w:tc>
          <w:tcPr>
            <w:tcW w:w="114" w:type="dxa"/>
            <w:vMerge/>
            <w:tcBorders>
              <w:top w:val="nil"/>
            </w:tcBorders>
          </w:tcPr>
          <w:p>
            <w:pPr>
              <w:rPr>
                <w:sz w:val="2"/>
                <w:szCs w:val="2"/>
              </w:rPr>
            </w:pPr>
          </w:p>
        </w:tc>
        <w:tc>
          <w:tcPr>
            <w:tcW w:w="1240" w:type="dxa"/>
            <w:tcBorders>
              <w:bottom w:val="double" w:sz="1" w:space="0" w:color="000000"/>
            </w:tcBorders>
          </w:tcPr>
          <w:p>
            <w:pPr>
              <w:pStyle w:val="TableParagraph"/>
              <w:spacing w:before="16"/>
              <w:ind w:left="79" w:right="83"/>
              <w:jc w:val="center"/>
              <w:rPr>
                <w:sz w:val="20"/>
              </w:rPr>
            </w:pPr>
            <w:r>
              <w:rPr>
                <w:sz w:val="20"/>
              </w:rPr>
              <w:t>101</w:t>
            </w:r>
          </w:p>
        </w:tc>
        <w:tc>
          <w:tcPr>
            <w:tcW w:w="6549" w:type="dxa"/>
            <w:tcBorders>
              <w:bottom w:val="double" w:sz="1" w:space="0" w:color="000000"/>
            </w:tcBorders>
          </w:tcPr>
          <w:p>
            <w:pPr>
              <w:pStyle w:val="TableParagraph"/>
              <w:spacing w:before="16"/>
              <w:ind w:left="108" w:right="287"/>
              <w:rPr>
                <w:sz w:val="20"/>
              </w:rPr>
            </w:pPr>
            <w:r>
              <w:rPr>
                <w:sz w:val="20"/>
              </w:rPr>
              <w:t>Battery power and VDD&lt;2.0. When VSTAT=101, processor is nearly out of voltage. Processor failure is imminent.</w:t>
            </w:r>
          </w:p>
          <w:p>
            <w:pPr>
              <w:pStyle w:val="TableParagraph"/>
              <w:spacing w:before="1"/>
              <w:ind w:left="108"/>
              <w:rPr>
                <w:sz w:val="20"/>
              </w:rPr>
            </w:pPr>
            <w:r>
              <w:rPr>
                <w:sz w:val="20"/>
              </w:rPr>
              <w:t>[V3AOK,V3OK]=00, [VDDOK,VDDgt2]=00</w:t>
            </w:r>
          </w:p>
        </w:tc>
        <w:tc>
          <w:tcPr>
            <w:tcW w:w="117" w:type="dxa"/>
            <w:tcBorders>
              <w:top w:val="nil"/>
            </w:tcBorders>
          </w:tcPr>
          <w:p>
            <w:pPr>
              <w:pStyle w:val="TableParagraph"/>
              <w:rPr>
                <w:rFonts w:ascii="Times New Roman"/>
                <w:sz w:val="18"/>
              </w:rPr>
            </w:pPr>
          </w:p>
        </w:tc>
      </w:tr>
      <w:tr>
        <w:trPr>
          <w:trHeight w:val="545" w:hRule="atLeast"/>
        </w:trPr>
        <w:tc>
          <w:tcPr>
            <w:tcW w:w="2254" w:type="dxa"/>
            <w:shd w:val="clear" w:color="auto" w:fill="C1C1C1"/>
          </w:tcPr>
          <w:p>
            <w:pPr>
              <w:pStyle w:val="TableParagraph"/>
              <w:spacing w:before="154"/>
              <w:ind w:left="107"/>
              <w:rPr>
                <w:rFonts w:ascii="Times New Roman"/>
                <w:i/>
                <w:sz w:val="20"/>
              </w:rPr>
            </w:pPr>
            <w:r>
              <w:rPr>
                <w:rFonts w:ascii="Times New Roman"/>
                <w:i/>
                <w:sz w:val="20"/>
              </w:rPr>
              <w:t>WAKE_ARM</w:t>
            </w:r>
          </w:p>
        </w:tc>
        <w:tc>
          <w:tcPr>
            <w:tcW w:w="1124" w:type="dxa"/>
            <w:shd w:val="clear" w:color="auto" w:fill="C1C1C1"/>
          </w:tcPr>
          <w:p>
            <w:pPr>
              <w:pStyle w:val="TableParagraph"/>
              <w:spacing w:before="158"/>
              <w:ind w:left="2"/>
              <w:jc w:val="center"/>
              <w:rPr>
                <w:sz w:val="20"/>
              </w:rPr>
            </w:pPr>
            <w:r>
              <w:rPr>
                <w:sz w:val="20"/>
              </w:rPr>
              <w:t>28B2[5]</w:t>
            </w:r>
          </w:p>
        </w:tc>
        <w:tc>
          <w:tcPr>
            <w:tcW w:w="344" w:type="dxa"/>
            <w:shd w:val="clear" w:color="auto" w:fill="C1C1C1"/>
          </w:tcPr>
          <w:p>
            <w:pPr>
              <w:pStyle w:val="TableParagraph"/>
              <w:spacing w:before="158"/>
              <w:ind w:left="4"/>
              <w:jc w:val="center"/>
              <w:rPr>
                <w:sz w:val="20"/>
              </w:rPr>
            </w:pPr>
            <w:r>
              <w:rPr>
                <w:w w:val="99"/>
                <w:sz w:val="20"/>
              </w:rPr>
              <w:t>0</w:t>
            </w:r>
          </w:p>
        </w:tc>
        <w:tc>
          <w:tcPr>
            <w:tcW w:w="344" w:type="dxa"/>
            <w:shd w:val="clear" w:color="auto" w:fill="C1C1C1"/>
          </w:tcPr>
          <w:p>
            <w:pPr>
              <w:pStyle w:val="TableParagraph"/>
              <w:spacing w:before="158"/>
              <w:ind w:left="2"/>
              <w:jc w:val="center"/>
              <w:rPr>
                <w:sz w:val="20"/>
              </w:rPr>
            </w:pPr>
            <w:r>
              <w:rPr>
                <w:w w:val="99"/>
                <w:sz w:val="20"/>
              </w:rPr>
              <w:t>–</w:t>
            </w:r>
          </w:p>
        </w:tc>
        <w:tc>
          <w:tcPr>
            <w:tcW w:w="620" w:type="dxa"/>
            <w:shd w:val="clear" w:color="auto" w:fill="C1C1C1"/>
          </w:tcPr>
          <w:p>
            <w:pPr>
              <w:pStyle w:val="TableParagraph"/>
              <w:spacing w:before="158"/>
              <w:ind w:left="87" w:right="93"/>
              <w:jc w:val="center"/>
              <w:rPr>
                <w:sz w:val="20"/>
              </w:rPr>
            </w:pPr>
            <w:r>
              <w:rPr>
                <w:sz w:val="20"/>
              </w:rPr>
              <w:t>R/W</w:t>
            </w:r>
          </w:p>
        </w:tc>
        <w:tc>
          <w:tcPr>
            <w:tcW w:w="8020" w:type="dxa"/>
            <w:gridSpan w:val="4"/>
            <w:tcBorders>
              <w:top w:val="double" w:sz="1" w:space="0" w:color="000000"/>
            </w:tcBorders>
            <w:shd w:val="clear" w:color="auto" w:fill="C1C1C1"/>
          </w:tcPr>
          <w:p>
            <w:pPr>
              <w:pStyle w:val="TableParagraph"/>
              <w:spacing w:before="43"/>
              <w:ind w:left="104" w:right="190"/>
              <w:rPr>
                <w:sz w:val="20"/>
              </w:rPr>
            </w:pPr>
            <w:r>
              <w:rPr>
                <w:sz w:val="20"/>
              </w:rPr>
              <w:t>Arms the WAKE timer and loads it with WAKE_TMR[7:0]. When SLEEP or LCD mode is asserted by the MPU, the WAKE timer becomes active.</w:t>
            </w:r>
          </w:p>
        </w:tc>
      </w:tr>
      <w:tr>
        <w:trPr>
          <w:trHeight w:val="309" w:hRule="atLeast"/>
        </w:trPr>
        <w:tc>
          <w:tcPr>
            <w:tcW w:w="2254" w:type="dxa"/>
            <w:shd w:val="clear" w:color="auto" w:fill="C1C1C1"/>
          </w:tcPr>
          <w:p>
            <w:pPr>
              <w:pStyle w:val="TableParagraph"/>
              <w:spacing w:before="34"/>
              <w:ind w:left="107"/>
              <w:rPr>
                <w:rFonts w:ascii="Times New Roman"/>
                <w:i/>
                <w:sz w:val="20"/>
              </w:rPr>
            </w:pPr>
            <w:r>
              <w:rPr>
                <w:rFonts w:ascii="Times New Roman"/>
                <w:i/>
                <w:sz w:val="20"/>
              </w:rPr>
              <w:t>WAKE_TMR</w:t>
            </w:r>
          </w:p>
        </w:tc>
        <w:tc>
          <w:tcPr>
            <w:tcW w:w="1124" w:type="dxa"/>
            <w:shd w:val="clear" w:color="auto" w:fill="C1C1C1"/>
          </w:tcPr>
          <w:p>
            <w:pPr>
              <w:pStyle w:val="TableParagraph"/>
              <w:spacing w:before="38"/>
              <w:ind w:left="5"/>
              <w:jc w:val="center"/>
              <w:rPr>
                <w:sz w:val="20"/>
              </w:rPr>
            </w:pPr>
            <w:r>
              <w:rPr>
                <w:sz w:val="20"/>
              </w:rPr>
              <w:t>2880[7:0]</w:t>
            </w:r>
          </w:p>
        </w:tc>
        <w:tc>
          <w:tcPr>
            <w:tcW w:w="344" w:type="dxa"/>
            <w:shd w:val="clear" w:color="auto" w:fill="C1C1C1"/>
          </w:tcPr>
          <w:p>
            <w:pPr>
              <w:pStyle w:val="TableParagraph"/>
              <w:spacing w:before="38"/>
              <w:ind w:left="4"/>
              <w:jc w:val="center"/>
              <w:rPr>
                <w:sz w:val="20"/>
              </w:rPr>
            </w:pPr>
            <w:r>
              <w:rPr>
                <w:w w:val="99"/>
                <w:sz w:val="20"/>
              </w:rPr>
              <w:t>0</w:t>
            </w:r>
          </w:p>
        </w:tc>
        <w:tc>
          <w:tcPr>
            <w:tcW w:w="344" w:type="dxa"/>
            <w:shd w:val="clear" w:color="auto" w:fill="C1C1C1"/>
          </w:tcPr>
          <w:p>
            <w:pPr>
              <w:pStyle w:val="TableParagraph"/>
              <w:spacing w:before="38"/>
              <w:ind w:left="2"/>
              <w:jc w:val="center"/>
              <w:rPr>
                <w:sz w:val="20"/>
              </w:rPr>
            </w:pPr>
            <w:r>
              <w:rPr>
                <w:w w:val="99"/>
                <w:sz w:val="20"/>
              </w:rPr>
              <w:t>–</w:t>
            </w:r>
          </w:p>
        </w:tc>
        <w:tc>
          <w:tcPr>
            <w:tcW w:w="620" w:type="dxa"/>
            <w:shd w:val="clear" w:color="auto" w:fill="C1C1C1"/>
          </w:tcPr>
          <w:p>
            <w:pPr>
              <w:pStyle w:val="TableParagraph"/>
              <w:spacing w:before="38"/>
              <w:ind w:left="87" w:right="93"/>
              <w:jc w:val="center"/>
              <w:rPr>
                <w:sz w:val="20"/>
              </w:rPr>
            </w:pPr>
            <w:r>
              <w:rPr>
                <w:sz w:val="20"/>
              </w:rPr>
              <w:t>R/W</w:t>
            </w:r>
          </w:p>
        </w:tc>
        <w:tc>
          <w:tcPr>
            <w:tcW w:w="8020" w:type="dxa"/>
            <w:gridSpan w:val="4"/>
            <w:shd w:val="clear" w:color="auto" w:fill="C1C1C1"/>
          </w:tcPr>
          <w:p>
            <w:pPr>
              <w:pStyle w:val="TableParagraph"/>
              <w:spacing w:before="38"/>
              <w:ind w:left="104"/>
              <w:rPr>
                <w:sz w:val="20"/>
              </w:rPr>
            </w:pPr>
            <w:r>
              <w:rPr>
                <w:sz w:val="20"/>
              </w:rPr>
              <w:t>Timer duration is WAKE_TMR+1 seconds.</w:t>
            </w:r>
          </w:p>
        </w:tc>
      </w:tr>
      <w:tr>
        <w:trPr>
          <w:trHeight w:val="539" w:hRule="atLeast"/>
        </w:trPr>
        <w:tc>
          <w:tcPr>
            <w:tcW w:w="2254" w:type="dxa"/>
            <w:shd w:val="clear" w:color="auto" w:fill="C1C1C1"/>
          </w:tcPr>
          <w:p>
            <w:pPr>
              <w:pStyle w:val="TableParagraph"/>
              <w:spacing w:before="151"/>
              <w:ind w:left="107"/>
              <w:rPr>
                <w:rFonts w:ascii="Times New Roman"/>
                <w:i/>
                <w:sz w:val="20"/>
              </w:rPr>
            </w:pPr>
            <w:r>
              <w:rPr>
                <w:rFonts w:ascii="Times New Roman"/>
                <w:i/>
                <w:sz w:val="20"/>
              </w:rPr>
              <w:t>WD_RST</w:t>
            </w:r>
          </w:p>
        </w:tc>
        <w:tc>
          <w:tcPr>
            <w:tcW w:w="1124" w:type="dxa"/>
            <w:shd w:val="clear" w:color="auto" w:fill="C1C1C1"/>
          </w:tcPr>
          <w:p>
            <w:pPr>
              <w:pStyle w:val="TableParagraph"/>
              <w:spacing w:before="155"/>
              <w:ind w:left="2"/>
              <w:jc w:val="center"/>
              <w:rPr>
                <w:sz w:val="20"/>
              </w:rPr>
            </w:pPr>
            <w:r>
              <w:rPr>
                <w:sz w:val="20"/>
              </w:rPr>
              <w:t>28B4[7]</w:t>
            </w:r>
          </w:p>
        </w:tc>
        <w:tc>
          <w:tcPr>
            <w:tcW w:w="344" w:type="dxa"/>
            <w:shd w:val="clear" w:color="auto" w:fill="C1C1C1"/>
          </w:tcPr>
          <w:p>
            <w:pPr>
              <w:pStyle w:val="TableParagraph"/>
              <w:spacing w:before="155"/>
              <w:ind w:left="4"/>
              <w:jc w:val="center"/>
              <w:rPr>
                <w:sz w:val="20"/>
              </w:rPr>
            </w:pPr>
            <w:r>
              <w:rPr>
                <w:w w:val="99"/>
                <w:sz w:val="20"/>
              </w:rPr>
              <w:t>0</w:t>
            </w:r>
          </w:p>
        </w:tc>
        <w:tc>
          <w:tcPr>
            <w:tcW w:w="344" w:type="dxa"/>
            <w:shd w:val="clear" w:color="auto" w:fill="C1C1C1"/>
          </w:tcPr>
          <w:p>
            <w:pPr>
              <w:pStyle w:val="TableParagraph"/>
              <w:spacing w:before="155"/>
              <w:ind w:left="2"/>
              <w:jc w:val="center"/>
              <w:rPr>
                <w:sz w:val="20"/>
              </w:rPr>
            </w:pPr>
            <w:r>
              <w:rPr>
                <w:w w:val="99"/>
                <w:sz w:val="20"/>
              </w:rPr>
              <w:t>0</w:t>
            </w:r>
          </w:p>
        </w:tc>
        <w:tc>
          <w:tcPr>
            <w:tcW w:w="620" w:type="dxa"/>
            <w:shd w:val="clear" w:color="auto" w:fill="C1C1C1"/>
          </w:tcPr>
          <w:p>
            <w:pPr>
              <w:pStyle w:val="TableParagraph"/>
              <w:spacing w:before="155"/>
              <w:jc w:val="center"/>
              <w:rPr>
                <w:sz w:val="20"/>
              </w:rPr>
            </w:pPr>
            <w:r>
              <w:rPr>
                <w:w w:val="99"/>
                <w:sz w:val="20"/>
              </w:rPr>
              <w:t>W</w:t>
            </w:r>
          </w:p>
        </w:tc>
        <w:tc>
          <w:tcPr>
            <w:tcW w:w="8020" w:type="dxa"/>
            <w:gridSpan w:val="4"/>
            <w:shd w:val="clear" w:color="auto" w:fill="C1C1C1"/>
          </w:tcPr>
          <w:p>
            <w:pPr>
              <w:pStyle w:val="TableParagraph"/>
              <w:spacing w:before="40"/>
              <w:ind w:left="104" w:right="339"/>
              <w:rPr>
                <w:sz w:val="20"/>
              </w:rPr>
            </w:pPr>
            <w:r>
              <w:rPr>
                <w:sz w:val="20"/>
              </w:rPr>
              <w:t>Reset the WD timer. The WD is reset when a 1 is written to this bit. Writing a one clears and restarts the watch dog timer.</w:t>
            </w:r>
          </w:p>
        </w:tc>
      </w:tr>
      <w:tr>
        <w:trPr>
          <w:trHeight w:val="769" w:hRule="atLeast"/>
        </w:trPr>
        <w:tc>
          <w:tcPr>
            <w:tcW w:w="2254" w:type="dxa"/>
            <w:shd w:val="clear" w:color="auto" w:fill="C1C1C1"/>
          </w:tcPr>
          <w:p>
            <w:pPr>
              <w:pStyle w:val="TableParagraph"/>
              <w:spacing w:before="2"/>
              <w:rPr>
                <w:b/>
                <w:sz w:val="23"/>
              </w:rPr>
            </w:pPr>
          </w:p>
          <w:p>
            <w:pPr>
              <w:pStyle w:val="TableParagraph"/>
              <w:ind w:left="107"/>
              <w:rPr>
                <w:rFonts w:ascii="Times New Roman"/>
                <w:i/>
                <w:sz w:val="20"/>
              </w:rPr>
            </w:pPr>
            <w:r>
              <w:rPr>
                <w:rFonts w:ascii="Times New Roman"/>
                <w:i/>
                <w:sz w:val="20"/>
              </w:rPr>
              <w:t>WF_DIO4</w:t>
            </w:r>
          </w:p>
        </w:tc>
        <w:tc>
          <w:tcPr>
            <w:tcW w:w="1124" w:type="dxa"/>
            <w:shd w:val="clear" w:color="auto" w:fill="C1C1C1"/>
          </w:tcPr>
          <w:p>
            <w:pPr>
              <w:pStyle w:val="TableParagraph"/>
              <w:spacing w:before="6"/>
              <w:rPr>
                <w:b/>
                <w:sz w:val="23"/>
              </w:rPr>
            </w:pPr>
          </w:p>
          <w:p>
            <w:pPr>
              <w:pStyle w:val="TableParagraph"/>
              <w:ind w:left="2"/>
              <w:jc w:val="center"/>
              <w:rPr>
                <w:sz w:val="20"/>
              </w:rPr>
            </w:pPr>
            <w:r>
              <w:rPr>
                <w:sz w:val="20"/>
              </w:rPr>
              <w:t>28B1[2]</w:t>
            </w:r>
          </w:p>
        </w:tc>
        <w:tc>
          <w:tcPr>
            <w:tcW w:w="344" w:type="dxa"/>
            <w:shd w:val="clear" w:color="auto" w:fill="C1C1C1"/>
          </w:tcPr>
          <w:p>
            <w:pPr>
              <w:pStyle w:val="TableParagraph"/>
              <w:spacing w:before="6"/>
              <w:rPr>
                <w:b/>
                <w:sz w:val="23"/>
              </w:rPr>
            </w:pPr>
          </w:p>
          <w:p>
            <w:pPr>
              <w:pStyle w:val="TableParagraph"/>
              <w:ind w:left="4"/>
              <w:jc w:val="center"/>
              <w:rPr>
                <w:sz w:val="20"/>
              </w:rPr>
            </w:pPr>
            <w:r>
              <w:rPr>
                <w:w w:val="99"/>
                <w:sz w:val="20"/>
              </w:rPr>
              <w:t>0</w:t>
            </w:r>
          </w:p>
        </w:tc>
        <w:tc>
          <w:tcPr>
            <w:tcW w:w="344" w:type="dxa"/>
            <w:shd w:val="clear" w:color="auto" w:fill="C1C1C1"/>
          </w:tcPr>
          <w:p>
            <w:pPr>
              <w:pStyle w:val="TableParagraph"/>
              <w:spacing w:before="6"/>
              <w:rPr>
                <w:b/>
                <w:sz w:val="23"/>
              </w:rPr>
            </w:pPr>
          </w:p>
          <w:p>
            <w:pPr>
              <w:pStyle w:val="TableParagraph"/>
              <w:ind w:left="2"/>
              <w:jc w:val="center"/>
              <w:rPr>
                <w:sz w:val="20"/>
              </w:rPr>
            </w:pPr>
            <w:r>
              <w:rPr>
                <w:w w:val="99"/>
                <w:sz w:val="20"/>
              </w:rPr>
              <w:t>–</w:t>
            </w:r>
          </w:p>
        </w:tc>
        <w:tc>
          <w:tcPr>
            <w:tcW w:w="620" w:type="dxa"/>
            <w:shd w:val="clear" w:color="auto" w:fill="C1C1C1"/>
          </w:tcPr>
          <w:p>
            <w:pPr>
              <w:pStyle w:val="TableParagraph"/>
              <w:spacing w:before="6"/>
              <w:rPr>
                <w:b/>
                <w:sz w:val="23"/>
              </w:rPr>
            </w:pPr>
          </w:p>
          <w:p>
            <w:pPr>
              <w:pStyle w:val="TableParagraph"/>
              <w:ind w:left="3"/>
              <w:jc w:val="center"/>
              <w:rPr>
                <w:sz w:val="20"/>
              </w:rPr>
            </w:pPr>
            <w:r>
              <w:rPr>
                <w:w w:val="99"/>
                <w:sz w:val="20"/>
              </w:rPr>
              <w:t>R</w:t>
            </w:r>
          </w:p>
        </w:tc>
        <w:tc>
          <w:tcPr>
            <w:tcW w:w="8020" w:type="dxa"/>
            <w:gridSpan w:val="4"/>
            <w:shd w:val="clear" w:color="auto" w:fill="C1C1C1"/>
          </w:tcPr>
          <w:p>
            <w:pPr>
              <w:pStyle w:val="TableParagraph"/>
              <w:spacing w:before="40"/>
              <w:ind w:left="104" w:right="337"/>
              <w:rPr>
                <w:sz w:val="20"/>
              </w:rPr>
            </w:pPr>
            <w:r>
              <w:rPr>
                <w:sz w:val="20"/>
              </w:rPr>
              <w:t>DIO4 wake flag bit. If DIO4 is configured to wake the part, this bit is set whenever the de-bounced version of DIO4 rises. It is held in reset if DI04 is not configured for wakeup.</w:t>
            </w:r>
          </w:p>
        </w:tc>
      </w:tr>
      <w:tr>
        <w:trPr>
          <w:trHeight w:val="542" w:hRule="atLeast"/>
        </w:trPr>
        <w:tc>
          <w:tcPr>
            <w:tcW w:w="2254" w:type="dxa"/>
            <w:shd w:val="clear" w:color="auto" w:fill="C1C1C1"/>
          </w:tcPr>
          <w:p>
            <w:pPr>
              <w:pStyle w:val="TableParagraph"/>
              <w:spacing w:before="151"/>
              <w:ind w:left="107"/>
              <w:rPr>
                <w:rFonts w:ascii="Times New Roman"/>
                <w:i/>
                <w:sz w:val="20"/>
              </w:rPr>
            </w:pPr>
            <w:r>
              <w:rPr>
                <w:rFonts w:ascii="Times New Roman"/>
                <w:i/>
                <w:sz w:val="20"/>
              </w:rPr>
              <w:t>WF_DIO52</w:t>
            </w:r>
          </w:p>
        </w:tc>
        <w:tc>
          <w:tcPr>
            <w:tcW w:w="1124" w:type="dxa"/>
            <w:shd w:val="clear" w:color="auto" w:fill="C1C1C1"/>
          </w:tcPr>
          <w:p>
            <w:pPr>
              <w:pStyle w:val="TableParagraph"/>
              <w:spacing w:before="155"/>
              <w:ind w:left="2"/>
              <w:jc w:val="center"/>
              <w:rPr>
                <w:sz w:val="20"/>
              </w:rPr>
            </w:pPr>
            <w:r>
              <w:rPr>
                <w:sz w:val="20"/>
              </w:rPr>
              <w:t>28B1[1]</w:t>
            </w:r>
          </w:p>
        </w:tc>
        <w:tc>
          <w:tcPr>
            <w:tcW w:w="344" w:type="dxa"/>
            <w:shd w:val="clear" w:color="auto" w:fill="C1C1C1"/>
          </w:tcPr>
          <w:p>
            <w:pPr>
              <w:pStyle w:val="TableParagraph"/>
              <w:spacing w:before="155"/>
              <w:ind w:left="4"/>
              <w:jc w:val="center"/>
              <w:rPr>
                <w:sz w:val="20"/>
              </w:rPr>
            </w:pPr>
            <w:r>
              <w:rPr>
                <w:w w:val="99"/>
                <w:sz w:val="20"/>
              </w:rPr>
              <w:t>0</w:t>
            </w:r>
          </w:p>
        </w:tc>
        <w:tc>
          <w:tcPr>
            <w:tcW w:w="344" w:type="dxa"/>
            <w:shd w:val="clear" w:color="auto" w:fill="C1C1C1"/>
          </w:tcPr>
          <w:p>
            <w:pPr>
              <w:pStyle w:val="TableParagraph"/>
              <w:spacing w:before="155"/>
              <w:ind w:left="2"/>
              <w:jc w:val="center"/>
              <w:rPr>
                <w:sz w:val="20"/>
              </w:rPr>
            </w:pPr>
            <w:r>
              <w:rPr>
                <w:w w:val="99"/>
                <w:sz w:val="20"/>
              </w:rPr>
              <w:t>–</w:t>
            </w:r>
          </w:p>
        </w:tc>
        <w:tc>
          <w:tcPr>
            <w:tcW w:w="620" w:type="dxa"/>
            <w:shd w:val="clear" w:color="auto" w:fill="C1C1C1"/>
          </w:tcPr>
          <w:p>
            <w:pPr>
              <w:pStyle w:val="TableParagraph"/>
              <w:spacing w:before="155"/>
              <w:ind w:left="3"/>
              <w:jc w:val="center"/>
              <w:rPr>
                <w:sz w:val="20"/>
              </w:rPr>
            </w:pPr>
            <w:r>
              <w:rPr>
                <w:w w:val="99"/>
                <w:sz w:val="20"/>
              </w:rPr>
              <w:t>R</w:t>
            </w:r>
          </w:p>
        </w:tc>
        <w:tc>
          <w:tcPr>
            <w:tcW w:w="8020" w:type="dxa"/>
            <w:gridSpan w:val="4"/>
            <w:shd w:val="clear" w:color="auto" w:fill="C1C1C1"/>
          </w:tcPr>
          <w:p>
            <w:pPr>
              <w:pStyle w:val="TableParagraph"/>
              <w:spacing w:before="40"/>
              <w:ind w:left="104" w:right="58"/>
              <w:rPr>
                <w:sz w:val="20"/>
              </w:rPr>
            </w:pPr>
            <w:r>
              <w:rPr>
                <w:sz w:val="20"/>
              </w:rPr>
              <w:t>DIO52 wake flag bit. If DIO52 is configured to wake the part, this bit is set whenever the </w:t>
            </w:r>
            <w:r>
              <w:rPr>
                <w:spacing w:val="-3"/>
                <w:sz w:val="20"/>
              </w:rPr>
              <w:t>de-bounced version of DIO52 rises. </w:t>
            </w:r>
            <w:r>
              <w:rPr>
                <w:sz w:val="20"/>
              </w:rPr>
              <w:t>It is </w:t>
            </w:r>
            <w:r>
              <w:rPr>
                <w:spacing w:val="-3"/>
                <w:sz w:val="20"/>
              </w:rPr>
              <w:t>held </w:t>
            </w:r>
            <w:r>
              <w:rPr>
                <w:sz w:val="20"/>
              </w:rPr>
              <w:t>in reset if </w:t>
            </w:r>
            <w:r>
              <w:rPr>
                <w:spacing w:val="-3"/>
                <w:sz w:val="20"/>
              </w:rPr>
              <w:t>DI052 </w:t>
            </w:r>
            <w:r>
              <w:rPr>
                <w:sz w:val="20"/>
              </w:rPr>
              <w:t>is not </w:t>
            </w:r>
            <w:r>
              <w:rPr>
                <w:spacing w:val="-3"/>
                <w:sz w:val="20"/>
              </w:rPr>
              <w:t>configured </w:t>
            </w:r>
            <w:r>
              <w:rPr>
                <w:sz w:val="20"/>
              </w:rPr>
              <w:t>for </w:t>
            </w:r>
            <w:r>
              <w:rPr>
                <w:spacing w:val="-3"/>
                <w:sz w:val="20"/>
              </w:rPr>
              <w:t>wakeup.</w:t>
            </w:r>
          </w:p>
        </w:tc>
      </w:tr>
      <w:tr>
        <w:trPr>
          <w:trHeight w:val="539" w:hRule="atLeast"/>
        </w:trPr>
        <w:tc>
          <w:tcPr>
            <w:tcW w:w="2254" w:type="dxa"/>
            <w:shd w:val="clear" w:color="auto" w:fill="C1C1C1"/>
          </w:tcPr>
          <w:p>
            <w:pPr>
              <w:pStyle w:val="TableParagraph"/>
              <w:spacing w:before="149"/>
              <w:ind w:left="107"/>
              <w:rPr>
                <w:rFonts w:ascii="Times New Roman"/>
                <w:i/>
                <w:sz w:val="20"/>
              </w:rPr>
            </w:pPr>
            <w:r>
              <w:rPr>
                <w:rFonts w:ascii="Times New Roman"/>
                <w:i/>
                <w:sz w:val="20"/>
              </w:rPr>
              <w:t>WF_DIO55</w:t>
            </w:r>
          </w:p>
        </w:tc>
        <w:tc>
          <w:tcPr>
            <w:tcW w:w="1124" w:type="dxa"/>
            <w:shd w:val="clear" w:color="auto" w:fill="C1C1C1"/>
          </w:tcPr>
          <w:p>
            <w:pPr>
              <w:pStyle w:val="TableParagraph"/>
              <w:spacing w:before="153"/>
              <w:ind w:left="2"/>
              <w:jc w:val="center"/>
              <w:rPr>
                <w:sz w:val="20"/>
              </w:rPr>
            </w:pPr>
            <w:r>
              <w:rPr>
                <w:sz w:val="20"/>
              </w:rPr>
              <w:t>28B1[0]</w:t>
            </w:r>
          </w:p>
        </w:tc>
        <w:tc>
          <w:tcPr>
            <w:tcW w:w="344" w:type="dxa"/>
            <w:shd w:val="clear" w:color="auto" w:fill="C1C1C1"/>
          </w:tcPr>
          <w:p>
            <w:pPr>
              <w:pStyle w:val="TableParagraph"/>
              <w:spacing w:before="153"/>
              <w:ind w:left="4"/>
              <w:jc w:val="center"/>
              <w:rPr>
                <w:sz w:val="20"/>
              </w:rPr>
            </w:pPr>
            <w:r>
              <w:rPr>
                <w:w w:val="99"/>
                <w:sz w:val="20"/>
              </w:rPr>
              <w:t>0</w:t>
            </w:r>
          </w:p>
        </w:tc>
        <w:tc>
          <w:tcPr>
            <w:tcW w:w="344" w:type="dxa"/>
            <w:shd w:val="clear" w:color="auto" w:fill="C1C1C1"/>
          </w:tcPr>
          <w:p>
            <w:pPr>
              <w:pStyle w:val="TableParagraph"/>
              <w:spacing w:before="153"/>
              <w:ind w:left="2"/>
              <w:jc w:val="center"/>
              <w:rPr>
                <w:sz w:val="20"/>
              </w:rPr>
            </w:pPr>
            <w:r>
              <w:rPr>
                <w:w w:val="99"/>
                <w:sz w:val="20"/>
              </w:rPr>
              <w:t>–</w:t>
            </w:r>
          </w:p>
        </w:tc>
        <w:tc>
          <w:tcPr>
            <w:tcW w:w="620" w:type="dxa"/>
            <w:shd w:val="clear" w:color="auto" w:fill="C1C1C1"/>
          </w:tcPr>
          <w:p>
            <w:pPr>
              <w:pStyle w:val="TableParagraph"/>
              <w:spacing w:before="153"/>
              <w:ind w:left="3"/>
              <w:jc w:val="center"/>
              <w:rPr>
                <w:sz w:val="20"/>
              </w:rPr>
            </w:pPr>
            <w:r>
              <w:rPr>
                <w:w w:val="99"/>
                <w:sz w:val="20"/>
              </w:rPr>
              <w:t>R</w:t>
            </w:r>
          </w:p>
        </w:tc>
        <w:tc>
          <w:tcPr>
            <w:tcW w:w="8020" w:type="dxa"/>
            <w:gridSpan w:val="4"/>
            <w:shd w:val="clear" w:color="auto" w:fill="C1C1C1"/>
          </w:tcPr>
          <w:p>
            <w:pPr>
              <w:pStyle w:val="TableParagraph"/>
              <w:spacing w:before="38"/>
              <w:ind w:left="104" w:right="58"/>
              <w:rPr>
                <w:sz w:val="20"/>
              </w:rPr>
            </w:pPr>
            <w:r>
              <w:rPr>
                <w:sz w:val="20"/>
              </w:rPr>
              <w:t>DIO55 wake flag bit. If DIO55 is configured to wake the part, this bit is set whenever the </w:t>
            </w:r>
            <w:r>
              <w:rPr>
                <w:spacing w:val="-3"/>
                <w:sz w:val="20"/>
              </w:rPr>
              <w:t>de-bounced version of DIO55 rises. </w:t>
            </w:r>
            <w:r>
              <w:rPr>
                <w:sz w:val="20"/>
              </w:rPr>
              <w:t>It is </w:t>
            </w:r>
            <w:r>
              <w:rPr>
                <w:spacing w:val="-3"/>
                <w:sz w:val="20"/>
              </w:rPr>
              <w:t>held </w:t>
            </w:r>
            <w:r>
              <w:rPr>
                <w:sz w:val="20"/>
              </w:rPr>
              <w:t>in reset if </w:t>
            </w:r>
            <w:r>
              <w:rPr>
                <w:spacing w:val="-3"/>
                <w:sz w:val="20"/>
              </w:rPr>
              <w:t>DI055 </w:t>
            </w:r>
            <w:r>
              <w:rPr>
                <w:sz w:val="20"/>
              </w:rPr>
              <w:t>is not </w:t>
            </w:r>
            <w:r>
              <w:rPr>
                <w:spacing w:val="-3"/>
                <w:sz w:val="20"/>
              </w:rPr>
              <w:t>configured </w:t>
            </w:r>
            <w:r>
              <w:rPr>
                <w:sz w:val="20"/>
              </w:rPr>
              <w:t>for </w:t>
            </w:r>
            <w:r>
              <w:rPr>
                <w:spacing w:val="-3"/>
                <w:sz w:val="20"/>
              </w:rPr>
              <w:t>wakeup.</w:t>
            </w:r>
          </w:p>
        </w:tc>
      </w:tr>
      <w:tr>
        <w:trPr>
          <w:trHeight w:val="309" w:hRule="atLeast"/>
        </w:trPr>
        <w:tc>
          <w:tcPr>
            <w:tcW w:w="2254" w:type="dxa"/>
            <w:shd w:val="clear" w:color="auto" w:fill="C1C1C1"/>
          </w:tcPr>
          <w:p>
            <w:pPr>
              <w:pStyle w:val="TableParagraph"/>
              <w:spacing w:before="34"/>
              <w:ind w:left="107"/>
              <w:rPr>
                <w:rFonts w:ascii="Times New Roman"/>
                <w:i/>
                <w:sz w:val="20"/>
              </w:rPr>
            </w:pPr>
            <w:r>
              <w:rPr>
                <w:rFonts w:ascii="Times New Roman"/>
                <w:i/>
                <w:sz w:val="20"/>
              </w:rPr>
              <w:t>WF_TMR</w:t>
            </w:r>
          </w:p>
        </w:tc>
        <w:tc>
          <w:tcPr>
            <w:tcW w:w="1124" w:type="dxa"/>
            <w:shd w:val="clear" w:color="auto" w:fill="C1C1C1"/>
          </w:tcPr>
          <w:p>
            <w:pPr>
              <w:pStyle w:val="TableParagraph"/>
              <w:spacing w:before="38"/>
              <w:ind w:left="2"/>
              <w:jc w:val="center"/>
              <w:rPr>
                <w:sz w:val="20"/>
              </w:rPr>
            </w:pPr>
            <w:r>
              <w:rPr>
                <w:sz w:val="20"/>
              </w:rPr>
              <w:t>28B1[5]</w:t>
            </w:r>
          </w:p>
        </w:tc>
        <w:tc>
          <w:tcPr>
            <w:tcW w:w="344" w:type="dxa"/>
            <w:shd w:val="clear" w:color="auto" w:fill="C1C1C1"/>
          </w:tcPr>
          <w:p>
            <w:pPr>
              <w:pStyle w:val="TableParagraph"/>
              <w:spacing w:before="38"/>
              <w:ind w:left="4"/>
              <w:jc w:val="center"/>
              <w:rPr>
                <w:sz w:val="20"/>
              </w:rPr>
            </w:pPr>
            <w:r>
              <w:rPr>
                <w:w w:val="99"/>
                <w:sz w:val="20"/>
              </w:rPr>
              <w:t>0</w:t>
            </w:r>
          </w:p>
        </w:tc>
        <w:tc>
          <w:tcPr>
            <w:tcW w:w="344" w:type="dxa"/>
            <w:shd w:val="clear" w:color="auto" w:fill="C1C1C1"/>
          </w:tcPr>
          <w:p>
            <w:pPr>
              <w:pStyle w:val="TableParagraph"/>
              <w:spacing w:before="38"/>
              <w:ind w:left="2"/>
              <w:jc w:val="center"/>
              <w:rPr>
                <w:sz w:val="20"/>
              </w:rPr>
            </w:pPr>
            <w:r>
              <w:rPr>
                <w:w w:val="99"/>
                <w:sz w:val="20"/>
              </w:rPr>
              <w:t>–</w:t>
            </w:r>
          </w:p>
        </w:tc>
        <w:tc>
          <w:tcPr>
            <w:tcW w:w="620" w:type="dxa"/>
            <w:shd w:val="clear" w:color="auto" w:fill="C1C1C1"/>
          </w:tcPr>
          <w:p>
            <w:pPr>
              <w:pStyle w:val="TableParagraph"/>
              <w:spacing w:before="38"/>
              <w:ind w:left="3"/>
              <w:jc w:val="center"/>
              <w:rPr>
                <w:sz w:val="20"/>
              </w:rPr>
            </w:pPr>
            <w:r>
              <w:rPr>
                <w:w w:val="99"/>
                <w:sz w:val="20"/>
              </w:rPr>
              <w:t>R</w:t>
            </w:r>
          </w:p>
        </w:tc>
        <w:tc>
          <w:tcPr>
            <w:tcW w:w="8020" w:type="dxa"/>
            <w:gridSpan w:val="4"/>
            <w:shd w:val="clear" w:color="auto" w:fill="C1C1C1"/>
          </w:tcPr>
          <w:p>
            <w:pPr>
              <w:pStyle w:val="TableParagraph"/>
              <w:spacing w:before="38"/>
              <w:ind w:left="104"/>
              <w:rPr>
                <w:sz w:val="20"/>
              </w:rPr>
            </w:pPr>
            <w:r>
              <w:rPr>
                <w:sz w:val="20"/>
              </w:rPr>
              <w:t>Indicates that the wake timer caused the part to wake up.</w:t>
            </w:r>
          </w:p>
        </w:tc>
      </w:tr>
      <w:tr>
        <w:trPr>
          <w:trHeight w:val="309" w:hRule="atLeast"/>
        </w:trPr>
        <w:tc>
          <w:tcPr>
            <w:tcW w:w="2254" w:type="dxa"/>
            <w:shd w:val="clear" w:color="auto" w:fill="C1C1C1"/>
          </w:tcPr>
          <w:p>
            <w:pPr>
              <w:pStyle w:val="TableParagraph"/>
              <w:spacing w:before="36"/>
              <w:ind w:left="107"/>
              <w:rPr>
                <w:rFonts w:ascii="Times New Roman"/>
                <w:i/>
                <w:sz w:val="20"/>
              </w:rPr>
            </w:pPr>
            <w:r>
              <w:rPr>
                <w:rFonts w:ascii="Times New Roman"/>
                <w:i/>
                <w:sz w:val="20"/>
              </w:rPr>
              <w:t>WF_PB</w:t>
            </w:r>
          </w:p>
        </w:tc>
        <w:tc>
          <w:tcPr>
            <w:tcW w:w="1124" w:type="dxa"/>
            <w:shd w:val="clear" w:color="auto" w:fill="C1C1C1"/>
          </w:tcPr>
          <w:p>
            <w:pPr>
              <w:pStyle w:val="TableParagraph"/>
              <w:spacing w:before="40"/>
              <w:ind w:left="2"/>
              <w:jc w:val="center"/>
              <w:rPr>
                <w:sz w:val="20"/>
              </w:rPr>
            </w:pPr>
            <w:r>
              <w:rPr>
                <w:sz w:val="20"/>
              </w:rPr>
              <w:t>28B1[3]</w:t>
            </w:r>
          </w:p>
        </w:tc>
        <w:tc>
          <w:tcPr>
            <w:tcW w:w="344" w:type="dxa"/>
            <w:shd w:val="clear" w:color="auto" w:fill="C1C1C1"/>
          </w:tcPr>
          <w:p>
            <w:pPr>
              <w:pStyle w:val="TableParagraph"/>
              <w:spacing w:before="40"/>
              <w:ind w:left="4"/>
              <w:jc w:val="center"/>
              <w:rPr>
                <w:sz w:val="20"/>
              </w:rPr>
            </w:pPr>
            <w:r>
              <w:rPr>
                <w:w w:val="99"/>
                <w:sz w:val="20"/>
              </w:rPr>
              <w:t>0</w:t>
            </w:r>
          </w:p>
        </w:tc>
        <w:tc>
          <w:tcPr>
            <w:tcW w:w="344" w:type="dxa"/>
            <w:shd w:val="clear" w:color="auto" w:fill="C1C1C1"/>
          </w:tcPr>
          <w:p>
            <w:pPr>
              <w:pStyle w:val="TableParagraph"/>
              <w:spacing w:before="40"/>
              <w:ind w:left="2"/>
              <w:jc w:val="center"/>
              <w:rPr>
                <w:sz w:val="20"/>
              </w:rPr>
            </w:pPr>
            <w:r>
              <w:rPr>
                <w:w w:val="99"/>
                <w:sz w:val="20"/>
              </w:rPr>
              <w:t>–</w:t>
            </w:r>
          </w:p>
        </w:tc>
        <w:tc>
          <w:tcPr>
            <w:tcW w:w="620" w:type="dxa"/>
            <w:shd w:val="clear" w:color="auto" w:fill="C1C1C1"/>
          </w:tcPr>
          <w:p>
            <w:pPr>
              <w:pStyle w:val="TableParagraph"/>
              <w:spacing w:before="40"/>
              <w:ind w:left="3"/>
              <w:jc w:val="center"/>
              <w:rPr>
                <w:sz w:val="20"/>
              </w:rPr>
            </w:pPr>
            <w:r>
              <w:rPr>
                <w:w w:val="99"/>
                <w:sz w:val="20"/>
              </w:rPr>
              <w:t>R</w:t>
            </w:r>
          </w:p>
        </w:tc>
        <w:tc>
          <w:tcPr>
            <w:tcW w:w="8020" w:type="dxa"/>
            <w:gridSpan w:val="4"/>
            <w:shd w:val="clear" w:color="auto" w:fill="C1C1C1"/>
          </w:tcPr>
          <w:p>
            <w:pPr>
              <w:pStyle w:val="TableParagraph"/>
              <w:spacing w:before="40"/>
              <w:ind w:left="104"/>
              <w:rPr>
                <w:sz w:val="20"/>
              </w:rPr>
            </w:pPr>
            <w:r>
              <w:rPr>
                <w:sz w:val="20"/>
              </w:rPr>
              <w:t>Indicates that the PB caused the part to wake.</w:t>
            </w:r>
          </w:p>
        </w:tc>
      </w:tr>
      <w:tr>
        <w:trPr>
          <w:trHeight w:val="311" w:hRule="atLeast"/>
        </w:trPr>
        <w:tc>
          <w:tcPr>
            <w:tcW w:w="2254" w:type="dxa"/>
            <w:shd w:val="clear" w:color="auto" w:fill="C1C1C1"/>
          </w:tcPr>
          <w:p>
            <w:pPr>
              <w:pStyle w:val="TableParagraph"/>
              <w:spacing w:before="36"/>
              <w:ind w:left="107"/>
              <w:rPr>
                <w:rFonts w:ascii="Times New Roman"/>
                <w:i/>
                <w:sz w:val="20"/>
              </w:rPr>
            </w:pPr>
            <w:r>
              <w:rPr>
                <w:rFonts w:ascii="Times New Roman"/>
                <w:i/>
                <w:sz w:val="20"/>
              </w:rPr>
              <w:t>WF_RX</w:t>
            </w:r>
          </w:p>
        </w:tc>
        <w:tc>
          <w:tcPr>
            <w:tcW w:w="1124" w:type="dxa"/>
            <w:shd w:val="clear" w:color="auto" w:fill="C1C1C1"/>
          </w:tcPr>
          <w:p>
            <w:pPr>
              <w:pStyle w:val="TableParagraph"/>
              <w:spacing w:before="40"/>
              <w:ind w:left="2"/>
              <w:jc w:val="center"/>
              <w:rPr>
                <w:sz w:val="20"/>
              </w:rPr>
            </w:pPr>
            <w:r>
              <w:rPr>
                <w:sz w:val="20"/>
              </w:rPr>
              <w:t>28B1[4]</w:t>
            </w:r>
          </w:p>
        </w:tc>
        <w:tc>
          <w:tcPr>
            <w:tcW w:w="344" w:type="dxa"/>
            <w:shd w:val="clear" w:color="auto" w:fill="C1C1C1"/>
          </w:tcPr>
          <w:p>
            <w:pPr>
              <w:pStyle w:val="TableParagraph"/>
              <w:spacing w:before="40"/>
              <w:ind w:left="4"/>
              <w:jc w:val="center"/>
              <w:rPr>
                <w:sz w:val="20"/>
              </w:rPr>
            </w:pPr>
            <w:r>
              <w:rPr>
                <w:w w:val="99"/>
                <w:sz w:val="20"/>
              </w:rPr>
              <w:t>0</w:t>
            </w:r>
          </w:p>
        </w:tc>
        <w:tc>
          <w:tcPr>
            <w:tcW w:w="344" w:type="dxa"/>
            <w:shd w:val="clear" w:color="auto" w:fill="C1C1C1"/>
          </w:tcPr>
          <w:p>
            <w:pPr>
              <w:pStyle w:val="TableParagraph"/>
              <w:spacing w:before="40"/>
              <w:ind w:left="2"/>
              <w:jc w:val="center"/>
              <w:rPr>
                <w:sz w:val="20"/>
              </w:rPr>
            </w:pPr>
            <w:r>
              <w:rPr>
                <w:w w:val="99"/>
                <w:sz w:val="20"/>
              </w:rPr>
              <w:t>–</w:t>
            </w:r>
          </w:p>
        </w:tc>
        <w:tc>
          <w:tcPr>
            <w:tcW w:w="620" w:type="dxa"/>
            <w:shd w:val="clear" w:color="auto" w:fill="C1C1C1"/>
          </w:tcPr>
          <w:p>
            <w:pPr>
              <w:pStyle w:val="TableParagraph"/>
              <w:spacing w:before="40"/>
              <w:ind w:left="3"/>
              <w:jc w:val="center"/>
              <w:rPr>
                <w:sz w:val="20"/>
              </w:rPr>
            </w:pPr>
            <w:r>
              <w:rPr>
                <w:w w:val="99"/>
                <w:sz w:val="20"/>
              </w:rPr>
              <w:t>R</w:t>
            </w:r>
          </w:p>
        </w:tc>
        <w:tc>
          <w:tcPr>
            <w:tcW w:w="8020" w:type="dxa"/>
            <w:gridSpan w:val="4"/>
            <w:shd w:val="clear" w:color="auto" w:fill="C1C1C1"/>
          </w:tcPr>
          <w:p>
            <w:pPr>
              <w:pStyle w:val="TableParagraph"/>
              <w:spacing w:before="40"/>
              <w:ind w:left="104"/>
              <w:rPr>
                <w:sz w:val="20"/>
              </w:rPr>
            </w:pPr>
            <w:r>
              <w:rPr>
                <w:sz w:val="20"/>
              </w:rPr>
              <w:t>Indicates that RX caused the part to wake.</w:t>
            </w:r>
          </w:p>
        </w:tc>
      </w:tr>
      <w:tr>
        <w:trPr>
          <w:trHeight w:val="1458" w:hRule="atLeast"/>
        </w:trPr>
        <w:tc>
          <w:tcPr>
            <w:tcW w:w="2254" w:type="dxa"/>
            <w:shd w:val="clear" w:color="auto" w:fill="C1C1C1"/>
          </w:tcPr>
          <w:p>
            <w:pPr>
              <w:pStyle w:val="TableParagraph"/>
              <w:spacing w:line="244" w:lineRule="auto" w:before="12"/>
              <w:ind w:left="107" w:right="924"/>
              <w:rPr>
                <w:rFonts w:ascii="Times New Roman"/>
                <w:i/>
                <w:sz w:val="20"/>
              </w:rPr>
            </w:pPr>
            <w:r>
              <w:rPr>
                <w:rFonts w:ascii="Times New Roman"/>
                <w:i/>
                <w:sz w:val="20"/>
              </w:rPr>
              <w:t>WF_CSTART </w:t>
            </w:r>
            <w:r>
              <w:rPr>
                <w:rFonts w:ascii="Times New Roman"/>
                <w:i/>
                <w:sz w:val="20"/>
              </w:rPr>
              <w:t>WF_RST WF_RSTBIT WF_OVF WF_ERST </w:t>
            </w:r>
            <w:r>
              <w:rPr>
                <w:rFonts w:ascii="Times New Roman"/>
                <w:i/>
                <w:w w:val="95"/>
                <w:sz w:val="20"/>
              </w:rPr>
              <w:t>WF_BADVDD</w:t>
            </w:r>
          </w:p>
        </w:tc>
        <w:tc>
          <w:tcPr>
            <w:tcW w:w="1124" w:type="dxa"/>
            <w:shd w:val="clear" w:color="auto" w:fill="C1C1C1"/>
          </w:tcPr>
          <w:p>
            <w:pPr>
              <w:pStyle w:val="TableParagraph"/>
              <w:spacing w:before="16"/>
              <w:ind w:left="215"/>
              <w:rPr>
                <w:sz w:val="20"/>
              </w:rPr>
            </w:pPr>
            <w:r>
              <w:rPr>
                <w:sz w:val="20"/>
              </w:rPr>
              <w:t>28B0[7]</w:t>
            </w:r>
          </w:p>
          <w:p>
            <w:pPr>
              <w:pStyle w:val="TableParagraph"/>
              <w:ind w:left="215"/>
              <w:rPr>
                <w:sz w:val="20"/>
              </w:rPr>
            </w:pPr>
            <w:r>
              <w:rPr>
                <w:sz w:val="20"/>
              </w:rPr>
              <w:t>28B0[6]</w:t>
            </w:r>
          </w:p>
          <w:p>
            <w:pPr>
              <w:pStyle w:val="TableParagraph"/>
              <w:spacing w:before="1"/>
              <w:ind w:left="215"/>
              <w:rPr>
                <w:sz w:val="20"/>
              </w:rPr>
            </w:pPr>
            <w:r>
              <w:rPr>
                <w:sz w:val="20"/>
              </w:rPr>
              <w:t>28B0[5]</w:t>
            </w:r>
          </w:p>
          <w:p>
            <w:pPr>
              <w:pStyle w:val="TableParagraph"/>
              <w:spacing w:line="229" w:lineRule="exact"/>
              <w:ind w:left="215"/>
              <w:rPr>
                <w:sz w:val="20"/>
              </w:rPr>
            </w:pPr>
            <w:r>
              <w:rPr>
                <w:sz w:val="20"/>
              </w:rPr>
              <w:t>28B0[4]</w:t>
            </w:r>
          </w:p>
          <w:p>
            <w:pPr>
              <w:pStyle w:val="TableParagraph"/>
              <w:spacing w:line="229" w:lineRule="exact"/>
              <w:ind w:left="215"/>
              <w:rPr>
                <w:sz w:val="20"/>
              </w:rPr>
            </w:pPr>
            <w:r>
              <w:rPr>
                <w:sz w:val="20"/>
              </w:rPr>
              <w:t>28B0[3]</w:t>
            </w:r>
          </w:p>
          <w:p>
            <w:pPr>
              <w:pStyle w:val="TableParagraph"/>
              <w:spacing w:before="22"/>
              <w:ind w:left="215"/>
              <w:rPr>
                <w:sz w:val="20"/>
              </w:rPr>
            </w:pPr>
            <w:r>
              <w:rPr>
                <w:sz w:val="20"/>
              </w:rPr>
              <w:t>28B0[2]</w:t>
            </w:r>
          </w:p>
        </w:tc>
        <w:tc>
          <w:tcPr>
            <w:tcW w:w="344" w:type="dxa"/>
            <w:shd w:val="clear" w:color="auto" w:fill="C1C1C1"/>
          </w:tcPr>
          <w:p>
            <w:pPr>
              <w:pStyle w:val="TableParagraph"/>
              <w:spacing w:before="16"/>
              <w:ind w:left="113"/>
              <w:rPr>
                <w:sz w:val="20"/>
              </w:rPr>
            </w:pPr>
            <w:r>
              <w:rPr>
                <w:w w:val="99"/>
                <w:sz w:val="20"/>
              </w:rPr>
              <w:t>0</w:t>
            </w:r>
          </w:p>
          <w:p>
            <w:pPr>
              <w:pStyle w:val="TableParagraph"/>
              <w:ind w:left="113"/>
              <w:rPr>
                <w:sz w:val="20"/>
              </w:rPr>
            </w:pPr>
            <w:r>
              <w:rPr>
                <w:w w:val="99"/>
                <w:sz w:val="20"/>
              </w:rPr>
              <w:t>1</w:t>
            </w:r>
          </w:p>
          <w:p>
            <w:pPr>
              <w:pStyle w:val="TableParagraph"/>
              <w:spacing w:before="1"/>
              <w:ind w:left="113"/>
              <w:rPr>
                <w:sz w:val="20"/>
              </w:rPr>
            </w:pPr>
            <w:r>
              <w:rPr>
                <w:w w:val="99"/>
                <w:sz w:val="20"/>
              </w:rPr>
              <w:t>0</w:t>
            </w:r>
          </w:p>
          <w:p>
            <w:pPr>
              <w:pStyle w:val="TableParagraph"/>
              <w:spacing w:line="229" w:lineRule="exact"/>
              <w:ind w:left="113"/>
              <w:rPr>
                <w:sz w:val="20"/>
              </w:rPr>
            </w:pPr>
            <w:r>
              <w:rPr>
                <w:w w:val="99"/>
                <w:sz w:val="20"/>
              </w:rPr>
              <w:t>0</w:t>
            </w:r>
          </w:p>
          <w:p>
            <w:pPr>
              <w:pStyle w:val="TableParagraph"/>
              <w:spacing w:line="229" w:lineRule="exact"/>
              <w:ind w:left="113"/>
              <w:rPr>
                <w:sz w:val="20"/>
              </w:rPr>
            </w:pPr>
            <w:r>
              <w:rPr>
                <w:w w:val="99"/>
                <w:sz w:val="20"/>
              </w:rPr>
              <w:t>0</w:t>
            </w:r>
          </w:p>
          <w:p>
            <w:pPr>
              <w:pStyle w:val="TableParagraph"/>
              <w:spacing w:before="22"/>
              <w:ind w:left="113"/>
              <w:rPr>
                <w:sz w:val="20"/>
              </w:rPr>
            </w:pPr>
            <w:r>
              <w:rPr>
                <w:w w:val="99"/>
                <w:sz w:val="20"/>
              </w:rPr>
              <w:t>0</w:t>
            </w:r>
          </w:p>
        </w:tc>
        <w:tc>
          <w:tcPr>
            <w:tcW w:w="344" w:type="dxa"/>
            <w:shd w:val="clear" w:color="auto" w:fill="C1C1C1"/>
          </w:tcPr>
          <w:p>
            <w:pPr>
              <w:pStyle w:val="TableParagraph"/>
              <w:rPr>
                <w:b/>
                <w:sz w:val="22"/>
              </w:rPr>
            </w:pPr>
          </w:p>
          <w:p>
            <w:pPr>
              <w:pStyle w:val="TableParagraph"/>
              <w:spacing w:before="4"/>
              <w:rPr>
                <w:b/>
                <w:sz w:val="31"/>
              </w:rPr>
            </w:pPr>
          </w:p>
          <w:p>
            <w:pPr>
              <w:pStyle w:val="TableParagraph"/>
              <w:ind w:left="2"/>
              <w:jc w:val="center"/>
              <w:rPr>
                <w:sz w:val="20"/>
              </w:rPr>
            </w:pPr>
            <w:r>
              <w:rPr>
                <w:w w:val="99"/>
                <w:sz w:val="20"/>
              </w:rPr>
              <w:t>–</w:t>
            </w:r>
          </w:p>
        </w:tc>
        <w:tc>
          <w:tcPr>
            <w:tcW w:w="620" w:type="dxa"/>
            <w:shd w:val="clear" w:color="auto" w:fill="C1C1C1"/>
          </w:tcPr>
          <w:p>
            <w:pPr>
              <w:pStyle w:val="TableParagraph"/>
              <w:rPr>
                <w:b/>
                <w:sz w:val="22"/>
              </w:rPr>
            </w:pPr>
          </w:p>
          <w:p>
            <w:pPr>
              <w:pStyle w:val="TableParagraph"/>
              <w:spacing w:before="4"/>
              <w:rPr>
                <w:b/>
                <w:sz w:val="31"/>
              </w:rPr>
            </w:pPr>
          </w:p>
          <w:p>
            <w:pPr>
              <w:pStyle w:val="TableParagraph"/>
              <w:ind w:left="3"/>
              <w:jc w:val="center"/>
              <w:rPr>
                <w:sz w:val="20"/>
              </w:rPr>
            </w:pPr>
            <w:r>
              <w:rPr>
                <w:w w:val="99"/>
                <w:sz w:val="20"/>
              </w:rPr>
              <w:t>R</w:t>
            </w:r>
          </w:p>
        </w:tc>
        <w:tc>
          <w:tcPr>
            <w:tcW w:w="8020" w:type="dxa"/>
            <w:gridSpan w:val="4"/>
            <w:shd w:val="clear" w:color="auto" w:fill="C1C1C1"/>
          </w:tcPr>
          <w:p>
            <w:pPr>
              <w:pStyle w:val="TableParagraph"/>
              <w:rPr>
                <w:b/>
                <w:sz w:val="22"/>
              </w:rPr>
            </w:pPr>
          </w:p>
          <w:p>
            <w:pPr>
              <w:pStyle w:val="TableParagraph"/>
              <w:spacing w:before="4"/>
              <w:rPr>
                <w:b/>
                <w:sz w:val="21"/>
              </w:rPr>
            </w:pPr>
          </w:p>
          <w:p>
            <w:pPr>
              <w:pStyle w:val="TableParagraph"/>
              <w:ind w:left="104" w:right="181"/>
              <w:rPr>
                <w:sz w:val="20"/>
              </w:rPr>
            </w:pPr>
            <w:r>
              <w:rPr>
                <w:spacing w:val="-3"/>
                <w:sz w:val="20"/>
              </w:rPr>
              <w:t>Indicates</w:t>
            </w:r>
            <w:r>
              <w:rPr>
                <w:spacing w:val="-11"/>
                <w:sz w:val="20"/>
              </w:rPr>
              <w:t> </w:t>
            </w:r>
            <w:r>
              <w:rPr>
                <w:sz w:val="20"/>
              </w:rPr>
              <w:t>that</w:t>
            </w:r>
            <w:r>
              <w:rPr>
                <w:spacing w:val="-12"/>
                <w:sz w:val="20"/>
              </w:rPr>
              <w:t> </w:t>
            </w:r>
            <w:r>
              <w:rPr>
                <w:sz w:val="20"/>
              </w:rPr>
              <w:t>the</w:t>
            </w:r>
            <w:r>
              <w:rPr>
                <w:spacing w:val="-14"/>
                <w:sz w:val="20"/>
              </w:rPr>
              <w:t> </w:t>
            </w:r>
            <w:r>
              <w:rPr>
                <w:sz w:val="20"/>
              </w:rPr>
              <w:t>Reset</w:t>
            </w:r>
            <w:r>
              <w:rPr>
                <w:spacing w:val="-14"/>
                <w:sz w:val="20"/>
              </w:rPr>
              <w:t> </w:t>
            </w:r>
            <w:r>
              <w:rPr>
                <w:sz w:val="20"/>
              </w:rPr>
              <w:t>pin,</w:t>
            </w:r>
            <w:r>
              <w:rPr>
                <w:spacing w:val="-12"/>
                <w:sz w:val="20"/>
              </w:rPr>
              <w:t> </w:t>
            </w:r>
            <w:r>
              <w:rPr>
                <w:sz w:val="20"/>
              </w:rPr>
              <w:t>Reset</w:t>
            </w:r>
            <w:r>
              <w:rPr>
                <w:spacing w:val="-12"/>
                <w:sz w:val="20"/>
              </w:rPr>
              <w:t> </w:t>
            </w:r>
            <w:r>
              <w:rPr>
                <w:sz w:val="20"/>
              </w:rPr>
              <w:t>bit,</w:t>
            </w:r>
            <w:r>
              <w:rPr>
                <w:spacing w:val="-11"/>
                <w:sz w:val="20"/>
              </w:rPr>
              <w:t> </w:t>
            </w:r>
            <w:r>
              <w:rPr>
                <w:sz w:val="20"/>
              </w:rPr>
              <w:t>ERST</w:t>
            </w:r>
            <w:r>
              <w:rPr>
                <w:spacing w:val="-12"/>
                <w:sz w:val="20"/>
              </w:rPr>
              <w:t> </w:t>
            </w:r>
            <w:r>
              <w:rPr>
                <w:sz w:val="20"/>
              </w:rPr>
              <w:t>pin,</w:t>
            </w:r>
            <w:r>
              <w:rPr>
                <w:spacing w:val="-16"/>
                <w:sz w:val="20"/>
              </w:rPr>
              <w:t> </w:t>
            </w:r>
            <w:r>
              <w:rPr>
                <w:sz w:val="20"/>
              </w:rPr>
              <w:t>Watchdog</w:t>
            </w:r>
            <w:r>
              <w:rPr>
                <w:spacing w:val="-14"/>
                <w:sz w:val="20"/>
              </w:rPr>
              <w:t> </w:t>
            </w:r>
            <w:r>
              <w:rPr>
                <w:sz w:val="20"/>
              </w:rPr>
              <w:t>timer,</w:t>
            </w:r>
            <w:r>
              <w:rPr>
                <w:spacing w:val="-14"/>
                <w:sz w:val="20"/>
              </w:rPr>
              <w:t> </w:t>
            </w:r>
            <w:r>
              <w:rPr>
                <w:sz w:val="20"/>
              </w:rPr>
              <w:t>the</w:t>
            </w:r>
            <w:r>
              <w:rPr>
                <w:spacing w:val="-14"/>
                <w:sz w:val="20"/>
              </w:rPr>
              <w:t> </w:t>
            </w:r>
            <w:r>
              <w:rPr>
                <w:sz w:val="20"/>
              </w:rPr>
              <w:t>cold</w:t>
            </w:r>
            <w:r>
              <w:rPr>
                <w:spacing w:val="-14"/>
                <w:sz w:val="20"/>
              </w:rPr>
              <w:t> </w:t>
            </w:r>
            <w:r>
              <w:rPr>
                <w:sz w:val="20"/>
              </w:rPr>
              <w:t>start</w:t>
            </w:r>
            <w:r>
              <w:rPr>
                <w:spacing w:val="-12"/>
                <w:sz w:val="20"/>
              </w:rPr>
              <w:t> </w:t>
            </w:r>
            <w:r>
              <w:rPr>
                <w:sz w:val="20"/>
              </w:rPr>
              <w:t>detector, or bad VBAT caused the part to</w:t>
            </w:r>
            <w:r>
              <w:rPr>
                <w:spacing w:val="-1"/>
                <w:sz w:val="20"/>
              </w:rPr>
              <w:t> </w:t>
            </w:r>
            <w:r>
              <w:rPr>
                <w:sz w:val="20"/>
              </w:rPr>
              <w:t>reset.</w:t>
            </w:r>
          </w:p>
        </w:tc>
      </w:tr>
    </w:tbl>
    <w:p>
      <w:pPr>
        <w:spacing w:after="0"/>
        <w:rPr>
          <w:sz w:val="20"/>
        </w:rPr>
        <w:sectPr>
          <w:pgSz w:w="15840" w:h="12240" w:orient="landscape"/>
          <w:pgMar w:header="727" w:footer="819" w:top="1180" w:bottom="1000" w:left="1320" w:right="1320"/>
        </w:sectPr>
      </w:pPr>
    </w:p>
    <w:p>
      <w:pPr>
        <w:pStyle w:val="ListParagraph"/>
        <w:numPr>
          <w:ilvl w:val="1"/>
          <w:numId w:val="22"/>
        </w:numPr>
        <w:tabs>
          <w:tab w:pos="1199" w:val="left" w:leader="none"/>
          <w:tab w:pos="1200" w:val="left" w:leader="none"/>
        </w:tabs>
        <w:spacing w:line="240" w:lineRule="auto" w:before="88" w:after="0"/>
        <w:ind w:left="1200" w:right="0" w:hanging="720"/>
        <w:jc w:val="left"/>
        <w:rPr>
          <w:b/>
          <w:sz w:val="24"/>
        </w:rPr>
      </w:pPr>
      <w:bookmarkStart w:name="5.3 CE Interface Description" w:id="440"/>
      <w:bookmarkEnd w:id="440"/>
      <w:r>
        <w:rPr/>
      </w:r>
      <w:bookmarkStart w:name="_bookmark213" w:id="441"/>
      <w:bookmarkEnd w:id="441"/>
      <w:r>
        <w:rPr/>
      </w:r>
      <w:bookmarkStart w:name="_bookmark213" w:id="442"/>
      <w:bookmarkEnd w:id="442"/>
      <w:r>
        <w:rPr>
          <w:b/>
          <w:sz w:val="24"/>
        </w:rPr>
        <w:t>C</w:t>
      </w:r>
      <w:r>
        <w:rPr>
          <w:b/>
          <w:sz w:val="24"/>
        </w:rPr>
        <w:t>E Interface</w:t>
      </w:r>
      <w:r>
        <w:rPr>
          <w:b/>
          <w:spacing w:val="-1"/>
          <w:sz w:val="24"/>
        </w:rPr>
        <w:t> </w:t>
      </w:r>
      <w:r>
        <w:rPr>
          <w:b/>
          <w:sz w:val="24"/>
        </w:rPr>
        <w:t>Description</w:t>
      </w:r>
    </w:p>
    <w:p>
      <w:pPr>
        <w:pStyle w:val="ListParagraph"/>
        <w:numPr>
          <w:ilvl w:val="2"/>
          <w:numId w:val="30"/>
        </w:numPr>
        <w:tabs>
          <w:tab w:pos="1199" w:val="left" w:leader="none"/>
          <w:tab w:pos="1200" w:val="left" w:leader="none"/>
        </w:tabs>
        <w:spacing w:line="240" w:lineRule="auto" w:before="120" w:after="0"/>
        <w:ind w:left="1199" w:right="0" w:hanging="720"/>
        <w:jc w:val="left"/>
        <w:rPr>
          <w:b/>
          <w:sz w:val="22"/>
        </w:rPr>
      </w:pPr>
      <w:bookmarkStart w:name="5.3.1 CE Program" w:id="443"/>
      <w:bookmarkEnd w:id="443"/>
      <w:r>
        <w:rPr/>
      </w:r>
      <w:bookmarkStart w:name="_bookmark214" w:id="444"/>
      <w:bookmarkEnd w:id="444"/>
      <w:r>
        <w:rPr/>
      </w:r>
      <w:bookmarkStart w:name="_bookmark214" w:id="445"/>
      <w:bookmarkEnd w:id="445"/>
      <w:r>
        <w:rPr>
          <w:b/>
          <w:sz w:val="22"/>
        </w:rPr>
        <w:t>C</w:t>
      </w:r>
      <w:r>
        <w:rPr>
          <w:b/>
          <w:sz w:val="22"/>
        </w:rPr>
        <w:t>E</w:t>
      </w:r>
      <w:r>
        <w:rPr>
          <w:b/>
          <w:spacing w:val="-1"/>
          <w:sz w:val="22"/>
        </w:rPr>
        <w:t> </w:t>
      </w:r>
      <w:r>
        <w:rPr>
          <w:b/>
          <w:sz w:val="22"/>
        </w:rPr>
        <w:t>Program</w:t>
      </w:r>
    </w:p>
    <w:p>
      <w:pPr>
        <w:pStyle w:val="BodyText"/>
        <w:spacing w:before="101"/>
        <w:ind w:left="479" w:right="491"/>
      </w:pPr>
      <w:r>
        <w:rPr/>
        <w:t>The</w:t>
      </w:r>
      <w:r>
        <w:rPr>
          <w:spacing w:val="-16"/>
        </w:rPr>
        <w:t> </w:t>
      </w:r>
      <w:r>
        <w:rPr/>
        <w:t>CE</w:t>
      </w:r>
      <w:r>
        <w:rPr>
          <w:spacing w:val="-16"/>
        </w:rPr>
        <w:t> </w:t>
      </w:r>
      <w:r>
        <w:rPr/>
        <w:t>performs</w:t>
      </w:r>
      <w:r>
        <w:rPr>
          <w:spacing w:val="-15"/>
        </w:rPr>
        <w:t> </w:t>
      </w:r>
      <w:r>
        <w:rPr/>
        <w:t>the</w:t>
      </w:r>
      <w:r>
        <w:rPr>
          <w:spacing w:val="-16"/>
        </w:rPr>
        <w:t> </w:t>
      </w:r>
      <w:r>
        <w:rPr/>
        <w:t>precision</w:t>
      </w:r>
      <w:r>
        <w:rPr>
          <w:spacing w:val="-16"/>
        </w:rPr>
        <w:t> </w:t>
      </w:r>
      <w:r>
        <w:rPr/>
        <w:t>computations</w:t>
      </w:r>
      <w:r>
        <w:rPr>
          <w:spacing w:val="-12"/>
        </w:rPr>
        <w:t> </w:t>
      </w:r>
      <w:r>
        <w:rPr/>
        <w:t>necessary</w:t>
      </w:r>
      <w:r>
        <w:rPr>
          <w:spacing w:val="-16"/>
        </w:rPr>
        <w:t> </w:t>
      </w:r>
      <w:r>
        <w:rPr/>
        <w:t>to</w:t>
      </w:r>
      <w:r>
        <w:rPr>
          <w:spacing w:val="-15"/>
        </w:rPr>
        <w:t> </w:t>
      </w:r>
      <w:r>
        <w:rPr/>
        <w:t>accurately</w:t>
      </w:r>
      <w:r>
        <w:rPr>
          <w:spacing w:val="-18"/>
        </w:rPr>
        <w:t> </w:t>
      </w:r>
      <w:r>
        <w:rPr/>
        <w:t>measure</w:t>
      </w:r>
      <w:r>
        <w:rPr>
          <w:spacing w:val="-15"/>
        </w:rPr>
        <w:t> </w:t>
      </w:r>
      <w:r>
        <w:rPr/>
        <w:t>power.</w:t>
      </w:r>
      <w:r>
        <w:rPr>
          <w:spacing w:val="26"/>
        </w:rPr>
        <w:t> </w:t>
      </w:r>
      <w:r>
        <w:rPr/>
        <w:t>These</w:t>
      </w:r>
      <w:r>
        <w:rPr>
          <w:spacing w:val="-14"/>
        </w:rPr>
        <w:t> </w:t>
      </w:r>
      <w:r>
        <w:rPr>
          <w:spacing w:val="-3"/>
        </w:rPr>
        <w:t>computations </w:t>
      </w:r>
      <w:r>
        <w:rPr/>
        <w:t>include </w:t>
      </w:r>
      <w:r>
        <w:rPr>
          <w:spacing w:val="2"/>
        </w:rPr>
        <w:t>offset </w:t>
      </w:r>
      <w:r>
        <w:rPr/>
        <w:t>cancellation, phase compensation, product smoothing, product summation, frequency detection, VAR calculation, sag detection and voltage phase measurement. All data computed by the CE is dependent on the selected meter equation as given by </w:t>
      </w:r>
      <w:r>
        <w:rPr>
          <w:rFonts w:ascii="Times New Roman"/>
          <w:i/>
        </w:rPr>
        <w:t>EQU[2:0] </w:t>
      </w:r>
      <w:r>
        <w:rPr/>
        <w:t>(</w:t>
      </w:r>
      <w:r>
        <w:rPr>
          <w:rFonts w:ascii="Times New Roman"/>
          <w:i/>
        </w:rPr>
        <w:t>I/O RAM</w:t>
      </w:r>
      <w:r>
        <w:rPr>
          <w:rFonts w:ascii="Times New Roman"/>
          <w:i/>
          <w:spacing w:val="-7"/>
        </w:rPr>
        <w:t> </w:t>
      </w:r>
      <w:r>
        <w:rPr>
          <w:rFonts w:ascii="Times New Roman"/>
          <w:i/>
        </w:rPr>
        <w:t>0x2106[7:5]</w:t>
      </w:r>
      <w:r>
        <w:rPr/>
        <w:t>).</w:t>
      </w:r>
    </w:p>
    <w:p>
      <w:pPr>
        <w:pStyle w:val="BodyText"/>
        <w:spacing w:before="121"/>
        <w:ind w:left="479" w:right="491"/>
      </w:pPr>
      <w:r>
        <w:rPr/>
        <w:t>The standard CE program is supplied by Maxim as a data image that can be merged with the MPU operational code for meter applications. Typically, this CE program covers most applications and does not need to be modified. Other variations of CE code may be available from Maxim. The description in this section applies to CE code revision CE43A01A.</w:t>
      </w:r>
    </w:p>
    <w:p>
      <w:pPr>
        <w:pStyle w:val="ListParagraph"/>
        <w:numPr>
          <w:ilvl w:val="2"/>
          <w:numId w:val="30"/>
        </w:numPr>
        <w:tabs>
          <w:tab w:pos="1199" w:val="left" w:leader="none"/>
          <w:tab w:pos="1200" w:val="left" w:leader="none"/>
        </w:tabs>
        <w:spacing w:line="240" w:lineRule="auto" w:before="118" w:after="0"/>
        <w:ind w:left="1199" w:right="0" w:hanging="720"/>
        <w:jc w:val="left"/>
        <w:rPr>
          <w:b/>
          <w:sz w:val="22"/>
        </w:rPr>
      </w:pPr>
      <w:bookmarkStart w:name="5.3.2 CE Data Format" w:id="446"/>
      <w:bookmarkEnd w:id="446"/>
      <w:r>
        <w:rPr/>
      </w:r>
      <w:bookmarkStart w:name="_bookmark215" w:id="447"/>
      <w:bookmarkEnd w:id="447"/>
      <w:r>
        <w:rPr/>
      </w:r>
      <w:bookmarkStart w:name="_bookmark215" w:id="448"/>
      <w:bookmarkEnd w:id="448"/>
      <w:r>
        <w:rPr>
          <w:b/>
          <w:sz w:val="22"/>
        </w:rPr>
        <w:t>C</w:t>
      </w:r>
      <w:r>
        <w:rPr>
          <w:b/>
          <w:sz w:val="22"/>
        </w:rPr>
        <w:t>E Data</w:t>
      </w:r>
      <w:r>
        <w:rPr>
          <w:b/>
          <w:spacing w:val="-1"/>
          <w:sz w:val="22"/>
        </w:rPr>
        <w:t> </w:t>
      </w:r>
      <w:r>
        <w:rPr>
          <w:b/>
          <w:sz w:val="22"/>
        </w:rPr>
        <w:t>Format</w:t>
      </w:r>
    </w:p>
    <w:p>
      <w:pPr>
        <w:spacing w:before="99"/>
        <w:ind w:left="480" w:right="0" w:firstLine="0"/>
        <w:jc w:val="left"/>
        <w:rPr>
          <w:i/>
          <w:sz w:val="20"/>
        </w:rPr>
      </w:pPr>
      <w:r>
        <w:rPr>
          <w:i/>
          <w:sz w:val="20"/>
        </w:rPr>
        <w:t>All CE words are 4 bytes. Unless specified otherwise, they are in 32-bit two’s complement format</w:t>
      </w:r>
    </w:p>
    <w:p>
      <w:pPr>
        <w:pStyle w:val="BodyText"/>
        <w:spacing w:before="3"/>
        <w:ind w:left="479" w:right="577"/>
      </w:pPr>
      <w:r>
        <w:rPr/>
        <w:t>(-1 = 0xFFFFFFFF). Calibration parameters are defined in flash memory (or external EEPROM) and must be copied to CE data memory by the MPU before enabling the CE. Internal variables are used in internal CE calculations. Input variables allow the MPU to control the behavior of the CE code. Output variables are outputs of the CE calculations. The corresponding MPU address for the most significant byte</w:t>
      </w:r>
      <w:r>
        <w:rPr>
          <w:spacing w:val="-3"/>
        </w:rPr>
        <w:t> </w:t>
      </w:r>
      <w:r>
        <w:rPr/>
        <w:t>is</w:t>
      </w:r>
      <w:r>
        <w:rPr>
          <w:spacing w:val="-2"/>
        </w:rPr>
        <w:t> </w:t>
      </w:r>
      <w:r>
        <w:rPr/>
        <w:t>given</w:t>
      </w:r>
      <w:r>
        <w:rPr>
          <w:spacing w:val="-2"/>
        </w:rPr>
        <w:t> </w:t>
      </w:r>
      <w:r>
        <w:rPr/>
        <w:t>by</w:t>
      </w:r>
      <w:r>
        <w:rPr>
          <w:spacing w:val="-3"/>
        </w:rPr>
        <w:t> </w:t>
      </w:r>
      <w:r>
        <w:rPr/>
        <w:t>0x0000</w:t>
      </w:r>
      <w:r>
        <w:rPr>
          <w:spacing w:val="-2"/>
        </w:rPr>
        <w:t> </w:t>
      </w:r>
      <w:r>
        <w:rPr/>
        <w:t>+</w:t>
      </w:r>
      <w:r>
        <w:rPr>
          <w:spacing w:val="-3"/>
        </w:rPr>
        <w:t> </w:t>
      </w:r>
      <w:r>
        <w:rPr/>
        <w:t>4</w:t>
      </w:r>
      <w:r>
        <w:rPr>
          <w:spacing w:val="-2"/>
        </w:rPr>
        <w:t> </w:t>
      </w:r>
      <w:r>
        <w:rPr/>
        <w:t>x</w:t>
      </w:r>
      <w:r>
        <w:rPr>
          <w:spacing w:val="-2"/>
        </w:rPr>
        <w:t> </w:t>
      </w:r>
      <w:r>
        <w:rPr/>
        <w:t>CE_address</w:t>
      </w:r>
      <w:r>
        <w:rPr>
          <w:spacing w:val="-2"/>
        </w:rPr>
        <w:t> </w:t>
      </w:r>
      <w:r>
        <w:rPr/>
        <w:t>and</w:t>
      </w:r>
      <w:r>
        <w:rPr>
          <w:spacing w:val="-3"/>
        </w:rPr>
        <w:t> </w:t>
      </w:r>
      <w:r>
        <w:rPr/>
        <w:t>by</w:t>
      </w:r>
      <w:r>
        <w:rPr>
          <w:spacing w:val="-4"/>
        </w:rPr>
        <w:t> </w:t>
      </w:r>
      <w:r>
        <w:rPr/>
        <w:t>0x0003</w:t>
      </w:r>
      <w:r>
        <w:rPr>
          <w:spacing w:val="-1"/>
        </w:rPr>
        <w:t> </w:t>
      </w:r>
      <w:r>
        <w:rPr/>
        <w:t>+</w:t>
      </w:r>
      <w:r>
        <w:rPr>
          <w:spacing w:val="-4"/>
        </w:rPr>
        <w:t> </w:t>
      </w:r>
      <w:r>
        <w:rPr/>
        <w:t>4</w:t>
      </w:r>
      <w:r>
        <w:rPr>
          <w:spacing w:val="-1"/>
        </w:rPr>
        <w:t> </w:t>
      </w:r>
      <w:r>
        <w:rPr/>
        <w:t>x</w:t>
      </w:r>
      <w:r>
        <w:rPr>
          <w:spacing w:val="-3"/>
        </w:rPr>
        <w:t> </w:t>
      </w:r>
      <w:r>
        <w:rPr/>
        <w:t>CE_address</w:t>
      </w:r>
      <w:r>
        <w:rPr>
          <w:spacing w:val="-2"/>
        </w:rPr>
        <w:t> </w:t>
      </w:r>
      <w:r>
        <w:rPr/>
        <w:t>for</w:t>
      </w:r>
      <w:r>
        <w:rPr>
          <w:spacing w:val="-2"/>
        </w:rPr>
        <w:t> </w:t>
      </w:r>
      <w:r>
        <w:rPr/>
        <w:t>the</w:t>
      </w:r>
      <w:r>
        <w:rPr>
          <w:spacing w:val="-3"/>
        </w:rPr>
        <w:t> </w:t>
      </w:r>
      <w:r>
        <w:rPr/>
        <w:t>least</w:t>
      </w:r>
      <w:r>
        <w:rPr>
          <w:spacing w:val="-2"/>
        </w:rPr>
        <w:t> </w:t>
      </w:r>
      <w:r>
        <w:rPr/>
        <w:t>significant</w:t>
      </w:r>
      <w:r>
        <w:rPr>
          <w:spacing w:val="-3"/>
        </w:rPr>
        <w:t> </w:t>
      </w:r>
      <w:r>
        <w:rPr/>
        <w:t>byte.</w:t>
      </w:r>
    </w:p>
    <w:p>
      <w:pPr>
        <w:pStyle w:val="ListParagraph"/>
        <w:numPr>
          <w:ilvl w:val="2"/>
          <w:numId w:val="30"/>
        </w:numPr>
        <w:tabs>
          <w:tab w:pos="1199" w:val="left" w:leader="none"/>
          <w:tab w:pos="1200" w:val="left" w:leader="none"/>
        </w:tabs>
        <w:spacing w:line="240" w:lineRule="auto" w:before="118" w:after="0"/>
        <w:ind w:left="1199" w:right="0" w:hanging="720"/>
        <w:jc w:val="left"/>
        <w:rPr>
          <w:b/>
          <w:sz w:val="22"/>
        </w:rPr>
      </w:pPr>
      <w:bookmarkStart w:name="5.3.3 Constants" w:id="449"/>
      <w:bookmarkEnd w:id="449"/>
      <w:r>
        <w:rPr/>
      </w:r>
      <w:bookmarkStart w:name="_bookmark216" w:id="450"/>
      <w:bookmarkEnd w:id="450"/>
      <w:r>
        <w:rPr/>
      </w:r>
      <w:bookmarkStart w:name="_bookmark216" w:id="451"/>
      <w:bookmarkEnd w:id="451"/>
      <w:r>
        <w:rPr>
          <w:b/>
          <w:sz w:val="22"/>
        </w:rPr>
        <w:t>C</w:t>
      </w:r>
      <w:r>
        <w:rPr>
          <w:b/>
          <w:sz w:val="22"/>
        </w:rPr>
        <w:t>onstants</w:t>
      </w:r>
    </w:p>
    <w:p>
      <w:pPr>
        <w:pStyle w:val="BodyText"/>
        <w:spacing w:before="101"/>
        <w:ind w:left="480"/>
      </w:pPr>
      <w:r>
        <w:rPr/>
        <w:t>Constants used in the CE Data Memory tables are:</w:t>
      </w:r>
    </w:p>
    <w:p>
      <w:pPr>
        <w:pStyle w:val="ListParagraph"/>
        <w:numPr>
          <w:ilvl w:val="0"/>
          <w:numId w:val="31"/>
        </w:numPr>
        <w:tabs>
          <w:tab w:pos="839" w:val="left" w:leader="none"/>
          <w:tab w:pos="840" w:val="left" w:leader="none"/>
        </w:tabs>
        <w:spacing w:line="240" w:lineRule="auto" w:before="122" w:after="0"/>
        <w:ind w:left="839" w:right="0" w:hanging="360"/>
        <w:jc w:val="left"/>
        <w:rPr>
          <w:sz w:val="20"/>
        </w:rPr>
      </w:pPr>
      <w:r>
        <w:rPr>
          <w:sz w:val="20"/>
        </w:rPr>
        <w:t>Sampling Frequency: F</w:t>
      </w:r>
      <w:r>
        <w:rPr>
          <w:sz w:val="20"/>
          <w:vertAlign w:val="subscript"/>
        </w:rPr>
        <w:t>S</w:t>
      </w:r>
      <w:r>
        <w:rPr>
          <w:sz w:val="20"/>
          <w:vertAlign w:val="baseline"/>
        </w:rPr>
        <w:t> = 32768 Hz/15 = 2184.53</w:t>
      </w:r>
      <w:r>
        <w:rPr>
          <w:spacing w:val="-3"/>
          <w:sz w:val="20"/>
          <w:vertAlign w:val="baseline"/>
        </w:rPr>
        <w:t> </w:t>
      </w:r>
      <w:r>
        <w:rPr>
          <w:sz w:val="20"/>
          <w:vertAlign w:val="baseline"/>
        </w:rPr>
        <w:t>Hz.</w:t>
      </w:r>
    </w:p>
    <w:p>
      <w:pPr>
        <w:pStyle w:val="ListParagraph"/>
        <w:numPr>
          <w:ilvl w:val="0"/>
          <w:numId w:val="31"/>
        </w:numPr>
        <w:tabs>
          <w:tab w:pos="839" w:val="left" w:leader="none"/>
          <w:tab w:pos="841" w:val="left" w:leader="none"/>
        </w:tabs>
        <w:spacing w:line="240" w:lineRule="auto" w:before="38" w:after="0"/>
        <w:ind w:left="840" w:right="0" w:hanging="361"/>
        <w:jc w:val="left"/>
        <w:rPr>
          <w:sz w:val="20"/>
        </w:rPr>
      </w:pPr>
      <w:r>
        <w:rPr>
          <w:sz w:val="20"/>
        </w:rPr>
        <w:t>F</w:t>
      </w:r>
      <w:r>
        <w:rPr>
          <w:sz w:val="20"/>
          <w:vertAlign w:val="subscript"/>
        </w:rPr>
        <w:t>0</w:t>
      </w:r>
      <w:r>
        <w:rPr>
          <w:sz w:val="20"/>
          <w:vertAlign w:val="baseline"/>
        </w:rPr>
        <w:t> is the fundamental frequency of the mains</w:t>
      </w:r>
      <w:r>
        <w:rPr>
          <w:spacing w:val="-6"/>
          <w:sz w:val="20"/>
          <w:vertAlign w:val="baseline"/>
        </w:rPr>
        <w:t> </w:t>
      </w:r>
      <w:r>
        <w:rPr>
          <w:sz w:val="20"/>
          <w:vertAlign w:val="baseline"/>
        </w:rPr>
        <w:t>phases.</w:t>
      </w:r>
    </w:p>
    <w:p>
      <w:pPr>
        <w:pStyle w:val="ListParagraph"/>
        <w:numPr>
          <w:ilvl w:val="0"/>
          <w:numId w:val="31"/>
        </w:numPr>
        <w:tabs>
          <w:tab w:pos="839" w:val="left" w:leader="none"/>
          <w:tab w:pos="840" w:val="left" w:leader="none"/>
        </w:tabs>
        <w:spacing w:line="240" w:lineRule="auto" w:before="38" w:after="0"/>
        <w:ind w:left="839" w:right="0" w:hanging="360"/>
        <w:jc w:val="left"/>
        <w:rPr>
          <w:sz w:val="20"/>
        </w:rPr>
      </w:pPr>
      <w:r>
        <w:rPr>
          <w:sz w:val="20"/>
        </w:rPr>
        <w:t>IMAX is the external rms current corresponding to 250 mV pk at each IADC</w:t>
      </w:r>
      <w:r>
        <w:rPr>
          <w:spacing w:val="-7"/>
          <w:sz w:val="20"/>
        </w:rPr>
        <w:t> </w:t>
      </w:r>
      <w:r>
        <w:rPr>
          <w:sz w:val="20"/>
        </w:rPr>
        <w:t>input.</w:t>
      </w:r>
    </w:p>
    <w:p>
      <w:pPr>
        <w:pStyle w:val="ListParagraph"/>
        <w:numPr>
          <w:ilvl w:val="0"/>
          <w:numId w:val="31"/>
        </w:numPr>
        <w:tabs>
          <w:tab w:pos="839" w:val="left" w:leader="none"/>
          <w:tab w:pos="840" w:val="left" w:leader="none"/>
        </w:tabs>
        <w:spacing w:line="240" w:lineRule="auto" w:before="38" w:after="0"/>
        <w:ind w:left="839" w:right="0" w:hanging="361"/>
        <w:jc w:val="left"/>
        <w:rPr>
          <w:sz w:val="20"/>
        </w:rPr>
      </w:pPr>
      <w:r>
        <w:rPr>
          <w:sz w:val="20"/>
        </w:rPr>
        <w:t>VMAX is the external rms voltage corresponding to 250 mV pk at each VADC</w:t>
      </w:r>
      <w:r>
        <w:rPr>
          <w:spacing w:val="-12"/>
          <w:sz w:val="20"/>
        </w:rPr>
        <w:t> </w:t>
      </w:r>
      <w:r>
        <w:rPr>
          <w:sz w:val="20"/>
        </w:rPr>
        <w:t>input.</w:t>
      </w:r>
    </w:p>
    <w:p>
      <w:pPr>
        <w:pStyle w:val="ListParagraph"/>
        <w:numPr>
          <w:ilvl w:val="0"/>
          <w:numId w:val="31"/>
        </w:numPr>
        <w:tabs>
          <w:tab w:pos="839" w:val="left" w:leader="none"/>
          <w:tab w:pos="840" w:val="left" w:leader="none"/>
        </w:tabs>
        <w:spacing w:line="242" w:lineRule="auto" w:before="34" w:after="0"/>
        <w:ind w:left="839" w:right="799" w:hanging="361"/>
        <w:jc w:val="left"/>
        <w:rPr>
          <w:sz w:val="20"/>
        </w:rPr>
      </w:pPr>
      <w:r>
        <w:rPr>
          <w:spacing w:val="-3"/>
          <w:sz w:val="20"/>
        </w:rPr>
        <w:t>N</w:t>
      </w:r>
      <w:r>
        <w:rPr>
          <w:spacing w:val="-3"/>
          <w:sz w:val="16"/>
        </w:rPr>
        <w:t>ACC</w:t>
      </w:r>
      <w:r>
        <w:rPr>
          <w:spacing w:val="-3"/>
          <w:sz w:val="20"/>
        </w:rPr>
        <w:t>,</w:t>
      </w:r>
      <w:r>
        <w:rPr>
          <w:spacing w:val="-14"/>
          <w:sz w:val="20"/>
        </w:rPr>
        <w:t> </w:t>
      </w:r>
      <w:r>
        <w:rPr>
          <w:sz w:val="20"/>
        </w:rPr>
        <w:t>the</w:t>
      </w:r>
      <w:r>
        <w:rPr>
          <w:spacing w:val="-17"/>
          <w:sz w:val="20"/>
        </w:rPr>
        <w:t> </w:t>
      </w:r>
      <w:r>
        <w:rPr>
          <w:sz w:val="20"/>
        </w:rPr>
        <w:t>accumulation</w:t>
      </w:r>
      <w:r>
        <w:rPr>
          <w:spacing w:val="-16"/>
          <w:sz w:val="20"/>
        </w:rPr>
        <w:t> </w:t>
      </w:r>
      <w:r>
        <w:rPr>
          <w:sz w:val="20"/>
        </w:rPr>
        <w:t>count</w:t>
      </w:r>
      <w:r>
        <w:rPr>
          <w:spacing w:val="-17"/>
          <w:sz w:val="20"/>
        </w:rPr>
        <w:t> </w:t>
      </w:r>
      <w:r>
        <w:rPr>
          <w:sz w:val="20"/>
        </w:rPr>
        <w:t>for</w:t>
      </w:r>
      <w:r>
        <w:rPr>
          <w:spacing w:val="-14"/>
          <w:sz w:val="20"/>
        </w:rPr>
        <w:t> </w:t>
      </w:r>
      <w:r>
        <w:rPr>
          <w:sz w:val="20"/>
        </w:rPr>
        <w:t>energy</w:t>
      </w:r>
      <w:r>
        <w:rPr>
          <w:spacing w:val="-18"/>
          <w:sz w:val="20"/>
        </w:rPr>
        <w:t> </w:t>
      </w:r>
      <w:r>
        <w:rPr>
          <w:sz w:val="20"/>
        </w:rPr>
        <w:t>measurements</w:t>
      </w:r>
      <w:r>
        <w:rPr>
          <w:spacing w:val="-14"/>
          <w:sz w:val="20"/>
        </w:rPr>
        <w:t> </w:t>
      </w:r>
      <w:r>
        <w:rPr>
          <w:sz w:val="20"/>
        </w:rPr>
        <w:t>is</w:t>
      </w:r>
      <w:r>
        <w:rPr>
          <w:spacing w:val="-14"/>
          <w:sz w:val="20"/>
        </w:rPr>
        <w:t> </w:t>
      </w:r>
      <w:r>
        <w:rPr>
          <w:rFonts w:ascii="Times New Roman" w:hAnsi="Times New Roman"/>
          <w:i/>
          <w:sz w:val="20"/>
        </w:rPr>
        <w:t>SUM_SAMPS[12:0]</w:t>
      </w:r>
      <w:r>
        <w:rPr>
          <w:rFonts w:ascii="Times New Roman" w:hAnsi="Times New Roman"/>
          <w:i/>
          <w:spacing w:val="-9"/>
          <w:sz w:val="20"/>
        </w:rPr>
        <w:t> </w:t>
      </w:r>
      <w:r>
        <w:rPr>
          <w:rFonts w:ascii="Times New Roman" w:hAnsi="Times New Roman"/>
          <w:i/>
          <w:sz w:val="20"/>
        </w:rPr>
        <w:t>(I/O</w:t>
      </w:r>
      <w:r>
        <w:rPr>
          <w:rFonts w:ascii="Times New Roman" w:hAnsi="Times New Roman"/>
          <w:i/>
          <w:spacing w:val="-11"/>
          <w:sz w:val="20"/>
        </w:rPr>
        <w:t> </w:t>
      </w:r>
      <w:r>
        <w:rPr>
          <w:rFonts w:ascii="Times New Roman" w:hAnsi="Times New Roman"/>
          <w:i/>
          <w:sz w:val="20"/>
        </w:rPr>
        <w:t>RAM</w:t>
      </w:r>
      <w:r>
        <w:rPr>
          <w:rFonts w:ascii="Times New Roman" w:hAnsi="Times New Roman"/>
          <w:i/>
          <w:spacing w:val="-10"/>
          <w:sz w:val="20"/>
        </w:rPr>
        <w:t> </w:t>
      </w:r>
      <w:r>
        <w:rPr>
          <w:rFonts w:ascii="Times New Roman" w:hAnsi="Times New Roman"/>
          <w:i/>
          <w:sz w:val="20"/>
        </w:rPr>
        <w:t>0x2107[4:0], </w:t>
      </w:r>
      <w:r>
        <w:rPr>
          <w:rFonts w:ascii="Times New Roman" w:hAnsi="Times New Roman"/>
          <w:i/>
          <w:sz w:val="20"/>
        </w:rPr>
        <w:t>0x2108[7:0])</w:t>
      </w:r>
      <w:r>
        <w:rPr>
          <w:sz w:val="20"/>
        </w:rPr>
        <w:t>. This value also resides in </w:t>
      </w:r>
      <w:r>
        <w:rPr>
          <w:rFonts w:ascii="Times New Roman" w:hAnsi="Times New Roman"/>
          <w:i/>
          <w:sz w:val="20"/>
        </w:rPr>
        <w:t>SUM_PRE </w:t>
      </w:r>
      <w:r>
        <w:rPr>
          <w:sz w:val="20"/>
        </w:rPr>
        <w:t>(</w:t>
      </w:r>
      <w:r>
        <w:rPr>
          <w:rFonts w:ascii="Times New Roman" w:hAnsi="Times New Roman"/>
          <w:i/>
          <w:sz w:val="20"/>
        </w:rPr>
        <w:t>CE RAM 0x23</w:t>
      </w:r>
      <w:r>
        <w:rPr>
          <w:sz w:val="20"/>
        </w:rPr>
        <w:t>) where it is used for phase angle measurement.</w:t>
      </w:r>
    </w:p>
    <w:p>
      <w:pPr>
        <w:pStyle w:val="ListParagraph"/>
        <w:numPr>
          <w:ilvl w:val="0"/>
          <w:numId w:val="31"/>
        </w:numPr>
        <w:tabs>
          <w:tab w:pos="839" w:val="left" w:leader="none"/>
          <w:tab w:pos="840" w:val="left" w:leader="none"/>
        </w:tabs>
        <w:spacing w:line="240" w:lineRule="auto" w:before="33" w:after="0"/>
        <w:ind w:left="839" w:right="0" w:hanging="361"/>
        <w:jc w:val="left"/>
        <w:rPr>
          <w:sz w:val="20"/>
        </w:rPr>
      </w:pPr>
      <w:r>
        <w:rPr>
          <w:sz w:val="20"/>
        </w:rPr>
        <w:t>The duration of the accumulation interval for energy measurements is </w:t>
      </w:r>
      <w:r>
        <w:rPr>
          <w:rFonts w:ascii="Times New Roman" w:hAnsi="Times New Roman"/>
          <w:i/>
          <w:sz w:val="20"/>
        </w:rPr>
        <w:t>SUM_SAMPS[12:0]</w:t>
      </w:r>
      <w:r>
        <w:rPr>
          <w:rFonts w:ascii="Times New Roman" w:hAnsi="Times New Roman"/>
          <w:i/>
          <w:spacing w:val="-12"/>
          <w:sz w:val="20"/>
        </w:rPr>
        <w:t> </w:t>
      </w:r>
      <w:r>
        <w:rPr>
          <w:sz w:val="20"/>
        </w:rPr>
        <w:t>/F</w:t>
      </w:r>
      <w:r>
        <w:rPr>
          <w:sz w:val="20"/>
          <w:vertAlign w:val="subscript"/>
        </w:rPr>
        <w:t>S</w:t>
      </w:r>
      <w:r>
        <w:rPr>
          <w:sz w:val="20"/>
          <w:vertAlign w:val="baseline"/>
        </w:rPr>
        <w:t>.</w:t>
      </w:r>
    </w:p>
    <w:p>
      <w:pPr>
        <w:pStyle w:val="ListParagraph"/>
        <w:numPr>
          <w:ilvl w:val="0"/>
          <w:numId w:val="31"/>
        </w:numPr>
        <w:tabs>
          <w:tab w:pos="839" w:val="left" w:leader="none"/>
          <w:tab w:pos="840" w:val="left" w:leader="none"/>
        </w:tabs>
        <w:spacing w:line="244" w:lineRule="exact" w:before="38" w:after="0"/>
        <w:ind w:left="840" w:right="0" w:hanging="360"/>
        <w:jc w:val="left"/>
        <w:rPr>
          <w:rFonts w:ascii="Times New Roman" w:hAnsi="Times New Roman"/>
          <w:i/>
          <w:sz w:val="20"/>
        </w:rPr>
      </w:pPr>
      <w:r>
        <w:rPr>
          <w:sz w:val="20"/>
        </w:rPr>
        <w:t>X </w:t>
      </w:r>
      <w:r>
        <w:rPr>
          <w:spacing w:val="-3"/>
          <w:sz w:val="20"/>
        </w:rPr>
        <w:t>is </w:t>
      </w:r>
      <w:r>
        <w:rPr>
          <w:sz w:val="20"/>
        </w:rPr>
        <w:t>a </w:t>
      </w:r>
      <w:r>
        <w:rPr>
          <w:spacing w:val="-4"/>
          <w:sz w:val="20"/>
        </w:rPr>
        <w:t>gain constant </w:t>
      </w:r>
      <w:r>
        <w:rPr>
          <w:spacing w:val="-3"/>
          <w:sz w:val="20"/>
        </w:rPr>
        <w:t>of the </w:t>
      </w:r>
      <w:r>
        <w:rPr>
          <w:spacing w:val="-4"/>
          <w:sz w:val="20"/>
        </w:rPr>
        <w:t>pulse generators. </w:t>
      </w:r>
      <w:r>
        <w:rPr>
          <w:spacing w:val="-3"/>
          <w:sz w:val="20"/>
        </w:rPr>
        <w:t>Its </w:t>
      </w:r>
      <w:r>
        <w:rPr>
          <w:spacing w:val="-4"/>
          <w:sz w:val="20"/>
        </w:rPr>
        <w:t>value </w:t>
      </w:r>
      <w:r>
        <w:rPr>
          <w:spacing w:val="-3"/>
          <w:sz w:val="20"/>
        </w:rPr>
        <w:t>is </w:t>
      </w:r>
      <w:r>
        <w:rPr>
          <w:spacing w:val="-4"/>
          <w:sz w:val="20"/>
        </w:rPr>
        <w:t>determined </w:t>
      </w:r>
      <w:r>
        <w:rPr>
          <w:sz w:val="20"/>
        </w:rPr>
        <w:t>by </w:t>
      </w:r>
      <w:r>
        <w:rPr>
          <w:rFonts w:ascii="Times New Roman" w:hAnsi="Times New Roman"/>
          <w:i/>
          <w:spacing w:val="-4"/>
          <w:sz w:val="20"/>
        </w:rPr>
        <w:t>PULSE_FAST </w:t>
      </w:r>
      <w:r>
        <w:rPr>
          <w:spacing w:val="-3"/>
          <w:sz w:val="20"/>
        </w:rPr>
        <w:t>and</w:t>
      </w:r>
      <w:r>
        <w:rPr>
          <w:spacing w:val="-34"/>
          <w:sz w:val="20"/>
        </w:rPr>
        <w:t> </w:t>
      </w:r>
      <w:r>
        <w:rPr>
          <w:rFonts w:ascii="Times New Roman" w:hAnsi="Times New Roman"/>
          <w:i/>
          <w:spacing w:val="-4"/>
          <w:sz w:val="20"/>
        </w:rPr>
        <w:t>PULSE_SLOW</w:t>
      </w:r>
    </w:p>
    <w:p>
      <w:pPr>
        <w:pStyle w:val="BodyText"/>
        <w:spacing w:line="230" w:lineRule="exact"/>
        <w:ind w:left="839"/>
      </w:pPr>
      <w:r>
        <w:rPr>
          <w:color w:val="0000FF"/>
        </w:rPr>
        <w:t>(see </w:t>
      </w:r>
      <w:hyperlink w:history="true" w:anchor="_bookmark226">
        <w:r>
          <w:rPr>
            <w:color w:val="0000FF"/>
          </w:rPr>
          <w:t>Table 76</w:t>
        </w:r>
      </w:hyperlink>
      <w:r>
        <w:rPr>
          <w:rFonts w:ascii="Times New Roman"/>
          <w:i/>
        </w:rPr>
        <w:t>)</w:t>
      </w:r>
      <w:r>
        <w:rPr/>
        <w:t>.</w:t>
      </w:r>
    </w:p>
    <w:p>
      <w:pPr>
        <w:pStyle w:val="ListParagraph"/>
        <w:numPr>
          <w:ilvl w:val="0"/>
          <w:numId w:val="31"/>
        </w:numPr>
        <w:tabs>
          <w:tab w:pos="839" w:val="left" w:leader="none"/>
          <w:tab w:pos="840" w:val="left" w:leader="none"/>
        </w:tabs>
        <w:spacing w:line="240" w:lineRule="auto" w:before="46" w:after="0"/>
        <w:ind w:left="840" w:right="0" w:hanging="360"/>
        <w:jc w:val="left"/>
        <w:rPr>
          <w:sz w:val="20"/>
        </w:rPr>
      </w:pPr>
      <w:r>
        <w:rPr>
          <w:sz w:val="20"/>
        </w:rPr>
        <w:t>Voltage LSB = VMAX * 7.879810</w:t>
      </w:r>
      <w:r>
        <w:rPr>
          <w:sz w:val="20"/>
          <w:vertAlign w:val="superscript"/>
        </w:rPr>
        <w:t>-9</w:t>
      </w:r>
      <w:r>
        <w:rPr>
          <w:spacing w:val="-16"/>
          <w:sz w:val="20"/>
          <w:vertAlign w:val="baseline"/>
        </w:rPr>
        <w:t> </w:t>
      </w:r>
      <w:r>
        <w:rPr>
          <w:sz w:val="20"/>
          <w:vertAlign w:val="baseline"/>
        </w:rPr>
        <w:t>V.</w:t>
      </w:r>
    </w:p>
    <w:p>
      <w:pPr>
        <w:pStyle w:val="ListParagraph"/>
        <w:numPr>
          <w:ilvl w:val="0"/>
          <w:numId w:val="31"/>
        </w:numPr>
        <w:tabs>
          <w:tab w:pos="839" w:val="left" w:leader="none"/>
          <w:tab w:pos="840" w:val="left" w:leader="none"/>
        </w:tabs>
        <w:spacing w:line="240" w:lineRule="auto" w:before="38" w:after="0"/>
        <w:ind w:left="839" w:right="0" w:hanging="360"/>
        <w:jc w:val="left"/>
        <w:rPr>
          <w:sz w:val="20"/>
        </w:rPr>
      </w:pPr>
      <w:r>
        <w:rPr>
          <w:sz w:val="20"/>
        </w:rPr>
        <w:t>VMAX = 600 V, IMAX = 208 A, and kH = 3.2 Wh/pulse are assumed as default</w:t>
      </w:r>
      <w:r>
        <w:rPr>
          <w:spacing w:val="-15"/>
          <w:sz w:val="20"/>
        </w:rPr>
        <w:t> </w:t>
      </w:r>
      <w:r>
        <w:rPr>
          <w:sz w:val="20"/>
        </w:rPr>
        <w:t>settings.</w:t>
      </w:r>
    </w:p>
    <w:p>
      <w:pPr>
        <w:pStyle w:val="BodyText"/>
        <w:spacing w:before="9"/>
        <w:rPr>
          <w:sz w:val="19"/>
        </w:rPr>
      </w:pPr>
    </w:p>
    <w:p>
      <w:pPr>
        <w:pStyle w:val="BodyText"/>
        <w:ind w:left="479" w:right="544"/>
      </w:pPr>
      <w:r>
        <w:rPr/>
        <w:t>The system constants IMAX and VMAX are used by the MPU to convert internal digital quantities (as used by the CE) to external, i.e. metering quantities. Their values are determined by the scaling of the voltage and current sensors used in an actual meter. The LSB values used in this document relate digital quantities at the CE or MPU interface to external meter input quantities. For example, if a SAG threshold of 80 V peak is desired at the meter input, the digital value that should be programmed into </w:t>
      </w:r>
      <w:r>
        <w:rPr>
          <w:rFonts w:ascii="Times New Roman"/>
          <w:i/>
        </w:rPr>
        <w:t>SAG_THR (CE </w:t>
      </w:r>
      <w:r>
        <w:rPr>
          <w:rFonts w:ascii="Times New Roman"/>
          <w:i/>
        </w:rPr>
        <w:t>RAM 0x24) </w:t>
      </w:r>
      <w:r>
        <w:rPr/>
        <w:t>would be 80 V/</w:t>
      </w:r>
      <w:r>
        <w:rPr>
          <w:rFonts w:ascii="Times New Roman"/>
          <w:i/>
        </w:rPr>
        <w:t>SAG_THR</w:t>
      </w:r>
      <w:r>
        <w:rPr>
          <w:vertAlign w:val="subscript"/>
        </w:rPr>
        <w:t>LSB</w:t>
      </w:r>
      <w:r>
        <w:rPr>
          <w:vertAlign w:val="baseline"/>
        </w:rPr>
        <w:t>, where </w:t>
      </w:r>
      <w:r>
        <w:rPr>
          <w:rFonts w:ascii="Times New Roman"/>
          <w:i/>
          <w:vertAlign w:val="baseline"/>
        </w:rPr>
        <w:t>SAG_THR</w:t>
      </w:r>
      <w:r>
        <w:rPr>
          <w:vertAlign w:val="subscript"/>
        </w:rPr>
        <w:t>LSB</w:t>
      </w:r>
      <w:r>
        <w:rPr>
          <w:vertAlign w:val="baseline"/>
        </w:rPr>
        <w:t> is the LSB value in the description of </w:t>
      </w:r>
      <w:r>
        <w:rPr>
          <w:rFonts w:ascii="Times New Roman"/>
          <w:i/>
          <w:vertAlign w:val="baseline"/>
        </w:rPr>
        <w:t>SAG_THR </w:t>
      </w:r>
      <w:r>
        <w:rPr>
          <w:color w:val="0000FF"/>
          <w:vertAlign w:val="baseline"/>
        </w:rPr>
        <w:t>(</w:t>
      </w:r>
      <w:hyperlink w:history="true" w:anchor="_bookmark227">
        <w:r>
          <w:rPr>
            <w:color w:val="0000FF"/>
            <w:vertAlign w:val="baseline"/>
          </w:rPr>
          <w:t>Table</w:t>
        </w:r>
        <w:r>
          <w:rPr>
            <w:color w:val="0000FF"/>
            <w:spacing w:val="-1"/>
            <w:vertAlign w:val="baseline"/>
          </w:rPr>
          <w:t> </w:t>
        </w:r>
        <w:r>
          <w:rPr>
            <w:color w:val="0000FF"/>
            <w:vertAlign w:val="baseline"/>
          </w:rPr>
          <w:t>77</w:t>
        </w:r>
      </w:hyperlink>
      <w:r>
        <w:rPr>
          <w:rFonts w:ascii="Times New Roman"/>
          <w:i/>
          <w:vertAlign w:val="baseline"/>
        </w:rPr>
        <w:t>)</w:t>
      </w:r>
      <w:r>
        <w:rPr>
          <w:vertAlign w:val="baseline"/>
        </w:rPr>
        <w:t>.</w:t>
      </w:r>
    </w:p>
    <w:p>
      <w:pPr>
        <w:spacing w:line="242" w:lineRule="auto" w:before="118"/>
        <w:ind w:left="480" w:right="448" w:firstLine="0"/>
        <w:jc w:val="left"/>
        <w:rPr>
          <w:sz w:val="20"/>
        </w:rPr>
      </w:pPr>
      <w:r>
        <w:rPr>
          <w:sz w:val="20"/>
        </w:rPr>
        <w:t>The parameters </w:t>
      </w:r>
      <w:r>
        <w:rPr>
          <w:rFonts w:ascii="Times New Roman"/>
          <w:i/>
          <w:sz w:val="20"/>
        </w:rPr>
        <w:t>EQU[2:0], CE_E, </w:t>
      </w:r>
      <w:r>
        <w:rPr>
          <w:sz w:val="20"/>
        </w:rPr>
        <w:t>and </w:t>
      </w:r>
      <w:r>
        <w:rPr>
          <w:rFonts w:ascii="Times New Roman"/>
          <w:i/>
          <w:sz w:val="20"/>
        </w:rPr>
        <w:t>SUM_SAMPS[12:0] </w:t>
      </w:r>
      <w:r>
        <w:rPr>
          <w:i/>
          <w:sz w:val="20"/>
        </w:rPr>
        <w:t>, </w:t>
      </w:r>
      <w:r>
        <w:rPr>
          <w:sz w:val="20"/>
        </w:rPr>
        <w:t>essential to the function of the CE are stored in I/O RAM (see </w:t>
      </w:r>
      <w:hyperlink w:history="true" w:anchor="_bookmark211">
        <w:r>
          <w:rPr>
            <w:color w:val="0000FF"/>
            <w:sz w:val="20"/>
          </w:rPr>
          <w:t>5.2 </w:t>
        </w:r>
      </w:hyperlink>
      <w:r>
        <w:rPr>
          <w:sz w:val="20"/>
        </w:rPr>
        <w:t>for details).</w:t>
      </w:r>
    </w:p>
    <w:p>
      <w:pPr>
        <w:spacing w:after="0" w:line="242" w:lineRule="auto"/>
        <w:jc w:val="left"/>
        <w:rPr>
          <w:sz w:val="20"/>
        </w:rPr>
        <w:sectPr>
          <w:headerReference w:type="even" r:id="rId217"/>
          <w:headerReference w:type="default" r:id="rId218"/>
          <w:footerReference w:type="even" r:id="rId219"/>
          <w:footerReference w:type="default" r:id="rId220"/>
          <w:pgSz w:w="12240" w:h="15840"/>
          <w:pgMar w:header="727" w:footer="819" w:top="1160" w:bottom="1000" w:left="960" w:right="940"/>
          <w:pgNumType w:start="116"/>
        </w:sectPr>
      </w:pPr>
    </w:p>
    <w:p>
      <w:pPr>
        <w:pStyle w:val="ListParagraph"/>
        <w:numPr>
          <w:ilvl w:val="2"/>
          <w:numId w:val="30"/>
        </w:numPr>
        <w:tabs>
          <w:tab w:pos="1199" w:val="left" w:leader="none"/>
          <w:tab w:pos="1200" w:val="left" w:leader="none"/>
        </w:tabs>
        <w:spacing w:line="240" w:lineRule="auto" w:before="88" w:after="0"/>
        <w:ind w:left="1199" w:right="0" w:hanging="720"/>
        <w:jc w:val="left"/>
        <w:rPr>
          <w:b/>
          <w:sz w:val="22"/>
        </w:rPr>
      </w:pPr>
      <w:bookmarkStart w:name="5.3.4 Environment" w:id="452"/>
      <w:bookmarkEnd w:id="452"/>
      <w:r>
        <w:rPr/>
      </w:r>
      <w:bookmarkStart w:name="_bookmark217" w:id="453"/>
      <w:bookmarkEnd w:id="453"/>
      <w:r>
        <w:rPr/>
      </w:r>
      <w:bookmarkStart w:name="_bookmark217" w:id="454"/>
      <w:bookmarkEnd w:id="454"/>
      <w:r>
        <w:rPr>
          <w:b/>
          <w:sz w:val="22"/>
        </w:rPr>
        <w:t>En</w:t>
      </w:r>
      <w:r>
        <w:rPr>
          <w:b/>
          <w:sz w:val="22"/>
        </w:rPr>
        <w:t>vironment</w:t>
      </w:r>
    </w:p>
    <w:p>
      <w:pPr>
        <w:pStyle w:val="BodyText"/>
        <w:spacing w:line="242" w:lineRule="auto" w:before="99"/>
        <w:ind w:left="479" w:right="491"/>
      </w:pPr>
      <w:r>
        <w:rPr/>
        <w:t>Before starting the CE using the </w:t>
      </w:r>
      <w:r>
        <w:rPr>
          <w:rFonts w:ascii="Times New Roman"/>
          <w:i/>
        </w:rPr>
        <w:t>CE_E </w:t>
      </w:r>
      <w:r>
        <w:rPr/>
        <w:t>bit (</w:t>
      </w:r>
      <w:r>
        <w:rPr>
          <w:rFonts w:ascii="Times New Roman"/>
          <w:i/>
        </w:rPr>
        <w:t>I/O RAM 0x2106[0])</w:t>
      </w:r>
      <w:r>
        <w:rPr/>
        <w:t>, the MPU has to establish the proper environment for the CE by implementing the following steps:</w:t>
      </w:r>
    </w:p>
    <w:p>
      <w:pPr>
        <w:pStyle w:val="ListParagraph"/>
        <w:numPr>
          <w:ilvl w:val="0"/>
          <w:numId w:val="31"/>
        </w:numPr>
        <w:tabs>
          <w:tab w:pos="839" w:val="left" w:leader="none"/>
          <w:tab w:pos="840" w:val="left" w:leader="none"/>
        </w:tabs>
        <w:spacing w:line="240" w:lineRule="auto" w:before="114" w:after="0"/>
        <w:ind w:left="839" w:right="821" w:hanging="360"/>
        <w:jc w:val="left"/>
        <w:rPr>
          <w:sz w:val="20"/>
        </w:rPr>
      </w:pPr>
      <w:r>
        <w:rPr>
          <w:sz w:val="20"/>
        </w:rPr>
        <w:t>Locate the CE code in Flash memory using </w:t>
      </w:r>
      <w:r>
        <w:rPr>
          <w:rFonts w:ascii="Times New Roman" w:hAnsi="Times New Roman"/>
          <w:i/>
          <w:sz w:val="20"/>
        </w:rPr>
        <w:t>CE_LCTN[5:0] </w:t>
      </w:r>
      <w:r>
        <w:rPr>
          <w:sz w:val="20"/>
        </w:rPr>
        <w:t>(</w:t>
      </w:r>
      <w:r>
        <w:rPr>
          <w:rFonts w:ascii="Times New Roman" w:hAnsi="Times New Roman"/>
          <w:i/>
          <w:sz w:val="20"/>
        </w:rPr>
        <w:t>I/O RAM 0x2109[5:0]</w:t>
      </w:r>
      <w:r>
        <w:rPr>
          <w:sz w:val="20"/>
        </w:rPr>
        <w:t>) in the 71M6543F and </w:t>
      </w:r>
      <w:r>
        <w:rPr>
          <w:rFonts w:ascii="Times New Roman" w:hAnsi="Times New Roman"/>
          <w:i/>
          <w:sz w:val="20"/>
        </w:rPr>
        <w:t>CE_LCTN[6:0] </w:t>
      </w:r>
      <w:r>
        <w:rPr>
          <w:sz w:val="20"/>
        </w:rPr>
        <w:t>(</w:t>
      </w:r>
      <w:r>
        <w:rPr>
          <w:rFonts w:ascii="Times New Roman" w:hAnsi="Times New Roman"/>
          <w:i/>
          <w:sz w:val="20"/>
        </w:rPr>
        <w:t>I/O RAM 0x2109[6:0]</w:t>
      </w:r>
      <w:r>
        <w:rPr>
          <w:sz w:val="20"/>
        </w:rPr>
        <w:t>) in the</w:t>
      </w:r>
      <w:r>
        <w:rPr>
          <w:spacing w:val="7"/>
          <w:sz w:val="20"/>
        </w:rPr>
        <w:t> </w:t>
      </w:r>
      <w:r>
        <w:rPr>
          <w:sz w:val="20"/>
        </w:rPr>
        <w:t>71M6543G.</w:t>
      </w:r>
    </w:p>
    <w:p>
      <w:pPr>
        <w:pStyle w:val="ListParagraph"/>
        <w:numPr>
          <w:ilvl w:val="0"/>
          <w:numId w:val="31"/>
        </w:numPr>
        <w:tabs>
          <w:tab w:pos="839" w:val="left" w:leader="none"/>
          <w:tab w:pos="840" w:val="left" w:leader="none"/>
        </w:tabs>
        <w:spacing w:line="240" w:lineRule="auto" w:before="23" w:after="0"/>
        <w:ind w:left="839" w:right="0" w:hanging="361"/>
        <w:jc w:val="left"/>
        <w:rPr>
          <w:sz w:val="20"/>
        </w:rPr>
      </w:pPr>
      <w:r>
        <w:rPr>
          <w:sz w:val="20"/>
        </w:rPr>
        <w:t>Load the CE data into</w:t>
      </w:r>
      <w:r>
        <w:rPr>
          <w:spacing w:val="2"/>
          <w:sz w:val="20"/>
        </w:rPr>
        <w:t> </w:t>
      </w:r>
      <w:r>
        <w:rPr>
          <w:sz w:val="20"/>
        </w:rPr>
        <w:t>RAM.</w:t>
      </w:r>
    </w:p>
    <w:p>
      <w:pPr>
        <w:pStyle w:val="ListParagraph"/>
        <w:numPr>
          <w:ilvl w:val="0"/>
          <w:numId w:val="31"/>
        </w:numPr>
        <w:tabs>
          <w:tab w:pos="839" w:val="left" w:leader="none"/>
          <w:tab w:pos="840" w:val="left" w:leader="none"/>
        </w:tabs>
        <w:spacing w:line="240" w:lineRule="auto" w:before="34" w:after="0"/>
        <w:ind w:left="839" w:right="0" w:hanging="361"/>
        <w:jc w:val="left"/>
        <w:rPr>
          <w:sz w:val="20"/>
        </w:rPr>
      </w:pPr>
      <w:r>
        <w:rPr>
          <w:sz w:val="20"/>
        </w:rPr>
        <w:t>Establish the equation to be applied in </w:t>
      </w:r>
      <w:r>
        <w:rPr>
          <w:rFonts w:ascii="Times New Roman" w:hAnsi="Times New Roman"/>
          <w:i/>
          <w:sz w:val="20"/>
        </w:rPr>
        <w:t>EQU[2:0] (I/O RAM</w:t>
      </w:r>
      <w:r>
        <w:rPr>
          <w:rFonts w:ascii="Times New Roman" w:hAnsi="Times New Roman"/>
          <w:i/>
          <w:spacing w:val="4"/>
          <w:sz w:val="20"/>
        </w:rPr>
        <w:t> </w:t>
      </w:r>
      <w:r>
        <w:rPr>
          <w:rFonts w:ascii="Times New Roman" w:hAnsi="Times New Roman"/>
          <w:i/>
          <w:sz w:val="20"/>
        </w:rPr>
        <w:t>0x2106[7:5])</w:t>
      </w:r>
      <w:r>
        <w:rPr>
          <w:sz w:val="20"/>
        </w:rPr>
        <w:t>.</w:t>
      </w:r>
    </w:p>
    <w:p>
      <w:pPr>
        <w:pStyle w:val="ListParagraph"/>
        <w:numPr>
          <w:ilvl w:val="0"/>
          <w:numId w:val="31"/>
        </w:numPr>
        <w:tabs>
          <w:tab w:pos="839" w:val="left" w:leader="none"/>
          <w:tab w:pos="840" w:val="left" w:leader="none"/>
        </w:tabs>
        <w:spacing w:line="240" w:lineRule="auto" w:before="40" w:after="0"/>
        <w:ind w:left="839" w:right="1608" w:hanging="360"/>
        <w:jc w:val="left"/>
        <w:rPr>
          <w:sz w:val="20"/>
        </w:rPr>
      </w:pPr>
      <w:r>
        <w:rPr>
          <w:sz w:val="20"/>
        </w:rPr>
        <w:t>Establish the accumulation period and number of samples in</w:t>
      </w:r>
      <w:r>
        <w:rPr>
          <w:spacing w:val="-38"/>
          <w:sz w:val="20"/>
        </w:rPr>
        <w:t> </w:t>
      </w:r>
      <w:r>
        <w:rPr>
          <w:rFonts w:ascii="Times New Roman" w:hAnsi="Times New Roman"/>
          <w:i/>
          <w:sz w:val="20"/>
        </w:rPr>
        <w:t>SUM_SAMPS[12:0] (I/O RAM </w:t>
      </w:r>
      <w:r>
        <w:rPr>
          <w:rFonts w:ascii="Times New Roman" w:hAnsi="Times New Roman"/>
          <w:i/>
          <w:sz w:val="20"/>
        </w:rPr>
        <w:t>0x2107[4:0],</w:t>
      </w:r>
      <w:r>
        <w:rPr>
          <w:rFonts w:ascii="Times New Roman" w:hAnsi="Times New Roman"/>
          <w:i/>
          <w:spacing w:val="-3"/>
          <w:sz w:val="20"/>
        </w:rPr>
        <w:t> </w:t>
      </w:r>
      <w:r>
        <w:rPr>
          <w:rFonts w:ascii="Times New Roman" w:hAnsi="Times New Roman"/>
          <w:i/>
          <w:sz w:val="20"/>
        </w:rPr>
        <w:t>0x2108[7:0])</w:t>
      </w:r>
      <w:r>
        <w:rPr>
          <w:sz w:val="20"/>
        </w:rPr>
        <w:t>.</w:t>
      </w:r>
    </w:p>
    <w:p>
      <w:pPr>
        <w:pStyle w:val="ListParagraph"/>
        <w:numPr>
          <w:ilvl w:val="0"/>
          <w:numId w:val="31"/>
        </w:numPr>
        <w:tabs>
          <w:tab w:pos="839" w:val="left" w:leader="none"/>
          <w:tab w:pos="840" w:val="left" w:leader="none"/>
        </w:tabs>
        <w:spacing w:line="240" w:lineRule="auto" w:before="41" w:after="0"/>
        <w:ind w:left="839" w:right="0" w:hanging="361"/>
        <w:jc w:val="left"/>
        <w:rPr>
          <w:sz w:val="20"/>
        </w:rPr>
      </w:pPr>
      <w:r>
        <w:rPr>
          <w:sz w:val="20"/>
        </w:rPr>
        <w:t>Establish the number of cycles per ADC multiplexer frame (</w:t>
      </w:r>
      <w:r>
        <w:rPr>
          <w:rFonts w:ascii="Times New Roman" w:hAnsi="Times New Roman"/>
          <w:i/>
          <w:sz w:val="20"/>
        </w:rPr>
        <w:t>MUX_DIV[3:0] (I/O RAM</w:t>
      </w:r>
      <w:r>
        <w:rPr>
          <w:rFonts w:ascii="Times New Roman" w:hAnsi="Times New Roman"/>
          <w:i/>
          <w:spacing w:val="-13"/>
          <w:sz w:val="20"/>
        </w:rPr>
        <w:t> </w:t>
      </w:r>
      <w:r>
        <w:rPr>
          <w:rFonts w:ascii="Times New Roman" w:hAnsi="Times New Roman"/>
          <w:i/>
          <w:sz w:val="20"/>
        </w:rPr>
        <w:t>0x2100[7:4])</w:t>
      </w:r>
      <w:r>
        <w:rPr>
          <w:sz w:val="20"/>
        </w:rPr>
        <w:t>).</w:t>
      </w:r>
    </w:p>
    <w:p>
      <w:pPr>
        <w:pStyle w:val="ListParagraph"/>
        <w:numPr>
          <w:ilvl w:val="0"/>
          <w:numId w:val="31"/>
        </w:numPr>
        <w:tabs>
          <w:tab w:pos="839" w:val="left" w:leader="none"/>
          <w:tab w:pos="840" w:val="left" w:leader="none"/>
        </w:tabs>
        <w:spacing w:line="244" w:lineRule="exact" w:before="38" w:after="0"/>
        <w:ind w:left="839" w:right="0" w:hanging="361"/>
        <w:jc w:val="left"/>
        <w:rPr>
          <w:sz w:val="20"/>
        </w:rPr>
      </w:pPr>
      <w:r>
        <w:rPr>
          <w:sz w:val="20"/>
        </w:rPr>
        <w:t>Apply proper values to </w:t>
      </w:r>
      <w:r>
        <w:rPr>
          <w:rFonts w:ascii="Times New Roman" w:hAnsi="Times New Roman"/>
          <w:i/>
          <w:sz w:val="20"/>
        </w:rPr>
        <w:t>MUXn_SEL</w:t>
      </w:r>
      <w:r>
        <w:rPr>
          <w:sz w:val="20"/>
        </w:rPr>
        <w:t>, as well as proper selections for </w:t>
      </w:r>
      <w:r>
        <w:rPr>
          <w:rFonts w:ascii="Times New Roman" w:hAnsi="Times New Roman"/>
          <w:i/>
          <w:sz w:val="20"/>
        </w:rPr>
        <w:t>DIFFn_E </w:t>
      </w:r>
      <w:r>
        <w:rPr>
          <w:sz w:val="20"/>
        </w:rPr>
        <w:t>(</w:t>
      </w:r>
      <w:r>
        <w:rPr>
          <w:rFonts w:ascii="Times New Roman" w:hAnsi="Times New Roman"/>
          <w:i/>
          <w:sz w:val="20"/>
        </w:rPr>
        <w:t>I/O RAM 0x210C[ </w:t>
      </w:r>
      <w:r>
        <w:rPr>
          <w:rFonts w:ascii="Times New Roman" w:hAnsi="Times New Roman"/>
          <w:i/>
          <w:spacing w:val="3"/>
          <w:sz w:val="20"/>
        </w:rPr>
        <w:t>])</w:t>
      </w:r>
      <w:r>
        <w:rPr>
          <w:rFonts w:ascii="Times New Roman" w:hAnsi="Times New Roman"/>
          <w:i/>
          <w:spacing w:val="-26"/>
          <w:sz w:val="20"/>
        </w:rPr>
        <w:t> </w:t>
      </w:r>
      <w:r>
        <w:rPr>
          <w:sz w:val="20"/>
        </w:rPr>
        <w:t>and</w:t>
      </w:r>
    </w:p>
    <w:p>
      <w:pPr>
        <w:spacing w:line="230" w:lineRule="exact" w:before="0"/>
        <w:ind w:left="839" w:right="0" w:firstLine="0"/>
        <w:jc w:val="left"/>
        <w:rPr>
          <w:sz w:val="20"/>
        </w:rPr>
      </w:pPr>
      <w:r>
        <w:rPr>
          <w:rFonts w:ascii="Times New Roman"/>
          <w:i/>
          <w:sz w:val="20"/>
        </w:rPr>
        <w:t>RMTn_E </w:t>
      </w:r>
      <w:r>
        <w:rPr>
          <w:sz w:val="20"/>
        </w:rPr>
        <w:t>(</w:t>
      </w:r>
      <w:r>
        <w:rPr>
          <w:rFonts w:ascii="Times New Roman"/>
          <w:i/>
          <w:sz w:val="20"/>
        </w:rPr>
        <w:t>I/O RAM 0x2709[ ] </w:t>
      </w:r>
      <w:r>
        <w:rPr>
          <w:sz w:val="20"/>
        </w:rPr>
        <w:t>in order to configure the analog inputs.</w:t>
      </w:r>
    </w:p>
    <w:p>
      <w:pPr>
        <w:pStyle w:val="ListParagraph"/>
        <w:numPr>
          <w:ilvl w:val="0"/>
          <w:numId w:val="31"/>
        </w:numPr>
        <w:tabs>
          <w:tab w:pos="839" w:val="left" w:leader="none"/>
          <w:tab w:pos="840" w:val="left" w:leader="none"/>
        </w:tabs>
        <w:spacing w:line="240" w:lineRule="auto" w:before="46" w:after="0"/>
        <w:ind w:left="839" w:right="0" w:hanging="361"/>
        <w:jc w:val="left"/>
        <w:rPr>
          <w:sz w:val="20"/>
        </w:rPr>
      </w:pPr>
      <w:r>
        <w:rPr>
          <w:spacing w:val="-3"/>
          <w:sz w:val="20"/>
        </w:rPr>
        <w:t>Initialize</w:t>
      </w:r>
      <w:r>
        <w:rPr>
          <w:spacing w:val="-7"/>
          <w:sz w:val="20"/>
        </w:rPr>
        <w:t> </w:t>
      </w:r>
      <w:r>
        <w:rPr>
          <w:sz w:val="20"/>
        </w:rPr>
        <w:t>any</w:t>
      </w:r>
      <w:r>
        <w:rPr>
          <w:spacing w:val="-12"/>
          <w:sz w:val="20"/>
        </w:rPr>
        <w:t> </w:t>
      </w:r>
      <w:r>
        <w:rPr>
          <w:sz w:val="20"/>
        </w:rPr>
        <w:t>MPU</w:t>
      </w:r>
      <w:r>
        <w:rPr>
          <w:spacing w:val="-9"/>
          <w:sz w:val="20"/>
        </w:rPr>
        <w:t> </w:t>
      </w:r>
      <w:r>
        <w:rPr>
          <w:sz w:val="20"/>
        </w:rPr>
        <w:t>interrupts,</w:t>
      </w:r>
      <w:r>
        <w:rPr>
          <w:spacing w:val="-11"/>
          <w:sz w:val="20"/>
        </w:rPr>
        <w:t> </w:t>
      </w:r>
      <w:r>
        <w:rPr>
          <w:sz w:val="20"/>
        </w:rPr>
        <w:t>such</w:t>
      </w:r>
      <w:r>
        <w:rPr>
          <w:spacing w:val="-9"/>
          <w:sz w:val="20"/>
        </w:rPr>
        <w:t> </w:t>
      </w:r>
      <w:r>
        <w:rPr>
          <w:sz w:val="20"/>
        </w:rPr>
        <w:t>as</w:t>
      </w:r>
      <w:r>
        <w:rPr>
          <w:spacing w:val="-8"/>
          <w:sz w:val="20"/>
        </w:rPr>
        <w:t> </w:t>
      </w:r>
      <w:r>
        <w:rPr>
          <w:sz w:val="20"/>
        </w:rPr>
        <w:t>CE_BUSY,</w:t>
      </w:r>
      <w:r>
        <w:rPr>
          <w:spacing w:val="-11"/>
          <w:sz w:val="20"/>
        </w:rPr>
        <w:t> </w:t>
      </w:r>
      <w:r>
        <w:rPr>
          <w:sz w:val="20"/>
        </w:rPr>
        <w:t>XFER_BUSY,</w:t>
      </w:r>
      <w:r>
        <w:rPr>
          <w:spacing w:val="-9"/>
          <w:sz w:val="20"/>
        </w:rPr>
        <w:t> </w:t>
      </w:r>
      <w:r>
        <w:rPr>
          <w:sz w:val="20"/>
        </w:rPr>
        <w:t>or</w:t>
      </w:r>
      <w:r>
        <w:rPr>
          <w:spacing w:val="-8"/>
          <w:sz w:val="20"/>
        </w:rPr>
        <w:t> </w:t>
      </w:r>
      <w:r>
        <w:rPr>
          <w:sz w:val="20"/>
        </w:rPr>
        <w:t>the</w:t>
      </w:r>
      <w:r>
        <w:rPr>
          <w:spacing w:val="-10"/>
          <w:sz w:val="20"/>
        </w:rPr>
        <w:t> </w:t>
      </w:r>
      <w:r>
        <w:rPr>
          <w:spacing w:val="-3"/>
          <w:sz w:val="20"/>
        </w:rPr>
        <w:t>power-failure</w:t>
      </w:r>
      <w:r>
        <w:rPr>
          <w:spacing w:val="-9"/>
          <w:sz w:val="20"/>
        </w:rPr>
        <w:t> </w:t>
      </w:r>
      <w:r>
        <w:rPr>
          <w:sz w:val="20"/>
        </w:rPr>
        <w:t>detection</w:t>
      </w:r>
      <w:r>
        <w:rPr>
          <w:spacing w:val="-9"/>
          <w:sz w:val="20"/>
        </w:rPr>
        <w:t> </w:t>
      </w:r>
      <w:r>
        <w:rPr>
          <w:sz w:val="20"/>
        </w:rPr>
        <w:t>interrupt.</w:t>
      </w:r>
    </w:p>
    <w:p>
      <w:pPr>
        <w:pStyle w:val="BodyText"/>
        <w:spacing w:before="8"/>
        <w:rPr>
          <w:sz w:val="19"/>
        </w:rPr>
      </w:pPr>
    </w:p>
    <w:p>
      <w:pPr>
        <w:pStyle w:val="BodyText"/>
        <w:ind w:left="479" w:right="569"/>
      </w:pPr>
      <w:r>
        <w:rPr/>
        <w:t>When different CE codes are used, a different set of environment parameters need to be established. The exact values for these parameters are listed in the Application Notes and other documentation which accompanies the CE code.</w:t>
      </w:r>
    </w:p>
    <w:p>
      <w:pPr>
        <w:pStyle w:val="BodyText"/>
      </w:pPr>
    </w:p>
    <w:p>
      <w:pPr>
        <w:pStyle w:val="BodyText"/>
        <w:ind w:left="1343" w:right="491" w:firstLine="7"/>
      </w:pPr>
      <w:r>
        <w:rPr/>
        <w:drawing>
          <wp:anchor distT="0" distB="0" distL="0" distR="0" allowOverlap="1" layoutInCell="1" locked="0" behindDoc="0" simplePos="0" relativeHeight="15848960">
            <wp:simplePos x="0" y="0"/>
            <wp:positionH relativeFrom="page">
              <wp:posOffset>952500</wp:posOffset>
            </wp:positionH>
            <wp:positionV relativeFrom="paragraph">
              <wp:posOffset>-50997</wp:posOffset>
            </wp:positionV>
            <wp:extent cx="390525" cy="390522"/>
            <wp:effectExtent l="0" t="0" r="0" b="0"/>
            <wp:wrapNone/>
            <wp:docPr id="109" name="image101.png"/>
            <wp:cNvGraphicFramePr>
              <a:graphicFrameLocks noChangeAspect="1"/>
            </wp:cNvGraphicFramePr>
            <a:graphic>
              <a:graphicData uri="http://schemas.openxmlformats.org/drawingml/2006/picture">
                <pic:pic>
                  <pic:nvPicPr>
                    <pic:cNvPr id="110" name="image101.png"/>
                    <pic:cNvPicPr/>
                  </pic:nvPicPr>
                  <pic:blipFill>
                    <a:blip r:embed="rId125" cstate="print"/>
                    <a:stretch>
                      <a:fillRect/>
                    </a:stretch>
                  </pic:blipFill>
                  <pic:spPr>
                    <a:xfrm>
                      <a:off x="0" y="0"/>
                      <a:ext cx="390525" cy="390522"/>
                    </a:xfrm>
                    <a:prstGeom prst="rect">
                      <a:avLst/>
                    </a:prstGeom>
                  </pic:spPr>
                </pic:pic>
              </a:graphicData>
            </a:graphic>
          </wp:anchor>
        </w:drawing>
      </w:r>
      <w:r>
        <w:rPr>
          <w:spacing w:val="-3"/>
        </w:rPr>
        <w:t>Operating </w:t>
      </w:r>
      <w:r>
        <w:rPr/>
        <w:t>CE </w:t>
      </w:r>
      <w:r>
        <w:rPr>
          <w:spacing w:val="-3"/>
        </w:rPr>
        <w:t>codes with environment parameters deviating from </w:t>
      </w:r>
      <w:r>
        <w:rPr/>
        <w:t>the </w:t>
      </w:r>
      <w:r>
        <w:rPr>
          <w:spacing w:val="-3"/>
        </w:rPr>
        <w:t>values specified </w:t>
      </w:r>
      <w:r>
        <w:rPr/>
        <w:t>by </w:t>
      </w:r>
      <w:r>
        <w:rPr>
          <w:spacing w:val="-3"/>
        </w:rPr>
        <w:t>Maxim </w:t>
      </w:r>
      <w:r>
        <w:rPr/>
        <w:t>leads to unpredictable results.</w:t>
      </w:r>
    </w:p>
    <w:p>
      <w:pPr>
        <w:pStyle w:val="BodyText"/>
        <w:spacing w:before="1"/>
      </w:pPr>
    </w:p>
    <w:p>
      <w:pPr>
        <w:pStyle w:val="BodyText"/>
        <w:spacing w:before="1"/>
        <w:ind w:left="479" w:right="563"/>
      </w:pPr>
      <w:r>
        <w:rPr/>
        <w:t>Typically, there are fifteen 32768 Hz cycles per ADC multiplexer frame (see </w:t>
      </w:r>
      <w:hyperlink w:history="true" w:anchor="_bookmark8">
        <w:r>
          <w:rPr>
            <w:color w:val="0000FF"/>
          </w:rPr>
          <w:t>2.2.2</w:t>
        </w:r>
      </w:hyperlink>
      <w:r>
        <w:rPr/>
        <w:t>). This means that the product of the number of cycles per frame and the number of conversions per frame must be 14 </w:t>
      </w:r>
      <w:r>
        <w:rPr>
          <w:spacing w:val="-3"/>
        </w:rPr>
        <w:t>(allowing </w:t>
      </w:r>
      <w:r>
        <w:rPr/>
        <w:t>for one settling cycle). The </w:t>
      </w:r>
      <w:r>
        <w:rPr>
          <w:spacing w:val="-3"/>
        </w:rPr>
        <w:t>default </w:t>
      </w:r>
      <w:r>
        <w:rPr/>
        <w:t>configuration is </w:t>
      </w:r>
      <w:r>
        <w:rPr>
          <w:rFonts w:ascii="Times New Roman"/>
          <w:i/>
        </w:rPr>
        <w:t>FIR_LEN </w:t>
      </w:r>
      <w:r>
        <w:rPr/>
        <w:t>= 01, </w:t>
      </w:r>
      <w:r>
        <w:rPr>
          <w:rFonts w:ascii="Times New Roman"/>
          <w:i/>
        </w:rPr>
        <w:t>I/O RAM 0x210C[1] </w:t>
      </w:r>
      <w:r>
        <w:rPr/>
        <w:t>(two cycles per conversion) and </w:t>
      </w:r>
      <w:r>
        <w:rPr>
          <w:rFonts w:ascii="Times New Roman"/>
          <w:i/>
        </w:rPr>
        <w:t>MUX_DIV[3:0] </w:t>
      </w:r>
      <w:r>
        <w:rPr/>
        <w:t>= 7 (7 conversions per multiplexer cycle).</w:t>
      </w:r>
    </w:p>
    <w:p>
      <w:pPr>
        <w:pStyle w:val="BodyText"/>
        <w:spacing w:before="120"/>
        <w:ind w:left="478"/>
      </w:pPr>
      <w:r>
        <w:rPr/>
        <w:t>Sample configurations can be copied from Demo Code provided by Maxim with the Demo Kits.</w:t>
      </w:r>
    </w:p>
    <w:p>
      <w:pPr>
        <w:pStyle w:val="BodyText"/>
        <w:spacing w:before="6"/>
        <w:rPr>
          <w:sz w:val="19"/>
        </w:rPr>
      </w:pPr>
    </w:p>
    <w:p>
      <w:pPr>
        <w:pStyle w:val="ListParagraph"/>
        <w:numPr>
          <w:ilvl w:val="2"/>
          <w:numId w:val="30"/>
        </w:numPr>
        <w:tabs>
          <w:tab w:pos="1199" w:val="left" w:leader="none"/>
          <w:tab w:pos="1200" w:val="left" w:leader="none"/>
        </w:tabs>
        <w:spacing w:line="240" w:lineRule="auto" w:before="0" w:after="0"/>
        <w:ind w:left="1199" w:right="0" w:hanging="720"/>
        <w:jc w:val="left"/>
        <w:rPr>
          <w:b/>
          <w:sz w:val="22"/>
        </w:rPr>
      </w:pPr>
      <w:bookmarkStart w:name="5.3.5 CE Calculations" w:id="455"/>
      <w:bookmarkEnd w:id="455"/>
      <w:r>
        <w:rPr/>
      </w:r>
      <w:bookmarkStart w:name="_bookmark218" w:id="456"/>
      <w:bookmarkEnd w:id="456"/>
      <w:r>
        <w:rPr/>
      </w:r>
      <w:bookmarkStart w:name="_bookmark218" w:id="457"/>
      <w:bookmarkEnd w:id="457"/>
      <w:r>
        <w:rPr>
          <w:b/>
          <w:sz w:val="22"/>
        </w:rPr>
        <w:t>C</w:t>
      </w:r>
      <w:r>
        <w:rPr>
          <w:b/>
          <w:sz w:val="22"/>
        </w:rPr>
        <w:t>E</w:t>
      </w:r>
      <w:r>
        <w:rPr>
          <w:b/>
          <w:spacing w:val="-1"/>
          <w:sz w:val="22"/>
        </w:rPr>
        <w:t> </w:t>
      </w:r>
      <w:r>
        <w:rPr>
          <w:b/>
          <w:sz w:val="22"/>
        </w:rPr>
        <w:t>Calculations</w:t>
      </w:r>
    </w:p>
    <w:p>
      <w:pPr>
        <w:spacing w:before="121"/>
        <w:ind w:left="480" w:right="1492" w:firstLine="0"/>
        <w:jc w:val="left"/>
        <w:rPr>
          <w:sz w:val="20"/>
        </w:rPr>
      </w:pPr>
      <w:r>
        <w:rPr>
          <w:sz w:val="20"/>
        </w:rPr>
        <w:t>Referring to </w:t>
      </w:r>
      <w:hyperlink w:history="true" w:anchor="_bookmark219">
        <w:r>
          <w:rPr>
            <w:color w:val="0000FF"/>
            <w:sz w:val="20"/>
          </w:rPr>
          <w:t>Table 71</w:t>
        </w:r>
        <w:r>
          <w:rPr>
            <w:sz w:val="20"/>
          </w:rPr>
          <w:t>, </w:t>
        </w:r>
      </w:hyperlink>
      <w:r>
        <w:rPr>
          <w:sz w:val="20"/>
        </w:rPr>
        <w:t>The MPU selects the desired equation by writing the </w:t>
      </w:r>
      <w:r>
        <w:rPr>
          <w:rFonts w:ascii="Times New Roman"/>
          <w:i/>
          <w:sz w:val="20"/>
        </w:rPr>
        <w:t>EQU[2:0] </w:t>
      </w:r>
      <w:r>
        <w:rPr>
          <w:sz w:val="20"/>
        </w:rPr>
        <w:t>(</w:t>
      </w:r>
      <w:r>
        <w:rPr>
          <w:rFonts w:ascii="Times New Roman"/>
          <w:i/>
          <w:sz w:val="20"/>
        </w:rPr>
        <w:t>I/O RAM </w:t>
      </w:r>
      <w:r>
        <w:rPr>
          <w:rFonts w:ascii="Times New Roman"/>
          <w:i/>
          <w:sz w:val="20"/>
        </w:rPr>
        <w:t>0x2106[7:5]</w:t>
      </w:r>
      <w:r>
        <w:rPr>
          <w:sz w:val="20"/>
        </w:rPr>
        <w:t>).</w:t>
      </w:r>
    </w:p>
    <w:p>
      <w:pPr>
        <w:pStyle w:val="Heading1"/>
        <w:spacing w:before="122"/>
        <w:ind w:left="777" w:right="797"/>
      </w:pPr>
      <w:bookmarkStart w:name="_bookmark219" w:id="458"/>
      <w:bookmarkEnd w:id="458"/>
      <w:r>
        <w:rPr>
          <w:b w:val="0"/>
        </w:rPr>
      </w:r>
      <w:r>
        <w:rPr/>
        <w:t>Table 71: CE </w:t>
      </w:r>
      <w:r>
        <w:rPr>
          <w:rFonts w:ascii="Times New Roman"/>
          <w:i/>
        </w:rPr>
        <w:t>EQU[2:0] </w:t>
      </w:r>
      <w:r>
        <w:rPr/>
        <w:t>Equations and Element Input Mapping</w:t>
      </w:r>
    </w:p>
    <w:p>
      <w:pPr>
        <w:pStyle w:val="BodyText"/>
        <w:spacing w:before="4"/>
        <w:rPr>
          <w:b/>
          <w:sz w:val="5"/>
        </w:rPr>
      </w:pPr>
    </w:p>
    <w:tbl>
      <w:tblPr>
        <w:tblW w:w="0" w:type="auto"/>
        <w:jc w:val="left"/>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6"/>
        <w:gridCol w:w="2287"/>
        <w:gridCol w:w="1181"/>
        <w:gridCol w:w="1183"/>
        <w:gridCol w:w="1183"/>
        <w:gridCol w:w="921"/>
        <w:gridCol w:w="919"/>
        <w:gridCol w:w="919"/>
      </w:tblGrid>
      <w:tr>
        <w:trPr>
          <w:trHeight w:val="623" w:hRule="atLeast"/>
        </w:trPr>
        <w:tc>
          <w:tcPr>
            <w:tcW w:w="746" w:type="dxa"/>
            <w:tcBorders>
              <w:bottom w:val="single" w:sz="6" w:space="0" w:color="000000"/>
              <w:right w:val="single" w:sz="6" w:space="0" w:color="000000"/>
            </w:tcBorders>
          </w:tcPr>
          <w:p>
            <w:pPr>
              <w:pStyle w:val="TableParagraph"/>
              <w:spacing w:before="82"/>
              <w:ind w:left="124" w:right="89" w:firstLine="38"/>
              <w:rPr>
                <w:rFonts w:ascii="Times New Roman"/>
                <w:b/>
                <w:i/>
                <w:sz w:val="20"/>
              </w:rPr>
            </w:pPr>
            <w:r>
              <w:rPr>
                <w:rFonts w:ascii="Times New Roman"/>
                <w:b/>
                <w:i/>
                <w:sz w:val="20"/>
              </w:rPr>
              <w:t>EQU </w:t>
            </w:r>
            <w:r>
              <w:rPr>
                <w:rFonts w:ascii="Times New Roman"/>
                <w:b/>
                <w:i/>
                <w:sz w:val="20"/>
              </w:rPr>
              <w:t>[2:0]*</w:t>
            </w:r>
          </w:p>
        </w:tc>
        <w:tc>
          <w:tcPr>
            <w:tcW w:w="2287" w:type="dxa"/>
            <w:tcBorders>
              <w:left w:val="single" w:sz="6" w:space="0" w:color="000000"/>
              <w:bottom w:val="single" w:sz="6" w:space="0" w:color="000000"/>
              <w:right w:val="single" w:sz="6" w:space="0" w:color="000000"/>
            </w:tcBorders>
          </w:tcPr>
          <w:p>
            <w:pPr>
              <w:pStyle w:val="TableParagraph"/>
              <w:spacing w:before="57"/>
              <w:ind w:left="139" w:right="136"/>
              <w:jc w:val="center"/>
              <w:rPr>
                <w:b/>
                <w:sz w:val="20"/>
              </w:rPr>
            </w:pPr>
            <w:r>
              <w:rPr>
                <w:b/>
                <w:sz w:val="20"/>
              </w:rPr>
              <w:t>Watt &amp; VAR Formula</w:t>
            </w:r>
          </w:p>
          <w:p>
            <w:pPr>
              <w:pStyle w:val="TableParagraph"/>
              <w:spacing w:before="41"/>
              <w:ind w:left="139" w:right="135"/>
              <w:jc w:val="center"/>
              <w:rPr>
                <w:b/>
                <w:i/>
                <w:sz w:val="20"/>
              </w:rPr>
            </w:pPr>
            <w:r>
              <w:rPr>
                <w:b/>
                <w:i/>
                <w:sz w:val="20"/>
              </w:rPr>
              <w:t>(</w:t>
            </w:r>
            <w:r>
              <w:rPr>
                <w:rFonts w:ascii="Times New Roman"/>
                <w:b/>
                <w:i/>
                <w:sz w:val="20"/>
              </w:rPr>
              <w:t>WSUM/VARSUM</w:t>
            </w:r>
            <w:r>
              <w:rPr>
                <w:b/>
                <w:i/>
                <w:sz w:val="20"/>
              </w:rPr>
              <w:t>)</w:t>
            </w:r>
          </w:p>
        </w:tc>
        <w:tc>
          <w:tcPr>
            <w:tcW w:w="1181" w:type="dxa"/>
            <w:tcBorders>
              <w:left w:val="single" w:sz="6" w:space="0" w:color="000000"/>
              <w:bottom w:val="single" w:sz="6" w:space="0" w:color="000000"/>
              <w:right w:val="single" w:sz="6" w:space="0" w:color="000000"/>
            </w:tcBorders>
          </w:tcPr>
          <w:p>
            <w:pPr>
              <w:pStyle w:val="TableParagraph"/>
              <w:spacing w:before="103"/>
              <w:ind w:left="146" w:firstLine="74"/>
              <w:rPr>
                <w:rFonts w:ascii="Times New Roman"/>
                <w:b/>
                <w:i/>
                <w:sz w:val="18"/>
              </w:rPr>
            </w:pPr>
            <w:r>
              <w:rPr>
                <w:rFonts w:ascii="Times New Roman"/>
                <w:b/>
                <w:i/>
                <w:sz w:val="18"/>
              </w:rPr>
              <w:t>W0SUM/ </w:t>
            </w:r>
            <w:r>
              <w:rPr>
                <w:rFonts w:ascii="Times New Roman"/>
                <w:b/>
                <w:i/>
                <w:sz w:val="18"/>
              </w:rPr>
              <w:t>VAR0SUM</w:t>
            </w:r>
          </w:p>
        </w:tc>
        <w:tc>
          <w:tcPr>
            <w:tcW w:w="1183" w:type="dxa"/>
            <w:tcBorders>
              <w:left w:val="single" w:sz="6" w:space="0" w:color="000000"/>
              <w:bottom w:val="single" w:sz="6" w:space="0" w:color="000000"/>
              <w:right w:val="single" w:sz="6" w:space="0" w:color="000000"/>
            </w:tcBorders>
          </w:tcPr>
          <w:p>
            <w:pPr>
              <w:pStyle w:val="TableParagraph"/>
              <w:spacing w:before="103"/>
              <w:ind w:left="148" w:firstLine="74"/>
              <w:rPr>
                <w:rFonts w:ascii="Times New Roman"/>
                <w:b/>
                <w:i/>
                <w:sz w:val="18"/>
              </w:rPr>
            </w:pPr>
            <w:r>
              <w:rPr>
                <w:rFonts w:ascii="Times New Roman"/>
                <w:b/>
                <w:i/>
                <w:sz w:val="18"/>
              </w:rPr>
              <w:t>W1SUM/ </w:t>
            </w:r>
            <w:r>
              <w:rPr>
                <w:rFonts w:ascii="Times New Roman"/>
                <w:b/>
                <w:i/>
                <w:sz w:val="18"/>
              </w:rPr>
              <w:t>VAR1SUM</w:t>
            </w:r>
          </w:p>
        </w:tc>
        <w:tc>
          <w:tcPr>
            <w:tcW w:w="1183" w:type="dxa"/>
            <w:tcBorders>
              <w:left w:val="single" w:sz="6" w:space="0" w:color="000000"/>
              <w:bottom w:val="single" w:sz="6" w:space="0" w:color="000000"/>
              <w:right w:val="single" w:sz="6" w:space="0" w:color="000000"/>
            </w:tcBorders>
          </w:tcPr>
          <w:p>
            <w:pPr>
              <w:pStyle w:val="TableParagraph"/>
              <w:spacing w:before="103"/>
              <w:ind w:left="149" w:firstLine="72"/>
              <w:rPr>
                <w:rFonts w:ascii="Times New Roman"/>
                <w:b/>
                <w:i/>
                <w:sz w:val="18"/>
              </w:rPr>
            </w:pPr>
            <w:r>
              <w:rPr>
                <w:rFonts w:ascii="Times New Roman"/>
                <w:b/>
                <w:i/>
                <w:sz w:val="18"/>
              </w:rPr>
              <w:t>W2SUM/ </w:t>
            </w:r>
            <w:r>
              <w:rPr>
                <w:rFonts w:ascii="Times New Roman"/>
                <w:b/>
                <w:i/>
                <w:sz w:val="18"/>
              </w:rPr>
              <w:t>VAR2SUM</w:t>
            </w:r>
          </w:p>
        </w:tc>
        <w:tc>
          <w:tcPr>
            <w:tcW w:w="921" w:type="dxa"/>
            <w:tcBorders>
              <w:left w:val="single" w:sz="6" w:space="0" w:color="000000"/>
              <w:bottom w:val="single" w:sz="6" w:space="0" w:color="000000"/>
              <w:right w:val="single" w:sz="6" w:space="0" w:color="000000"/>
            </w:tcBorders>
          </w:tcPr>
          <w:p>
            <w:pPr>
              <w:pStyle w:val="TableParagraph"/>
              <w:spacing w:before="103"/>
              <w:ind w:left="228" w:right="267"/>
              <w:rPr>
                <w:rFonts w:ascii="Times New Roman"/>
                <w:b/>
                <w:i/>
                <w:sz w:val="18"/>
              </w:rPr>
            </w:pPr>
            <w:r>
              <w:rPr>
                <w:rFonts w:ascii="Times New Roman"/>
                <w:b/>
                <w:i/>
                <w:sz w:val="18"/>
              </w:rPr>
              <w:t>I0SQ </w:t>
            </w:r>
            <w:r>
              <w:rPr>
                <w:rFonts w:ascii="Times New Roman"/>
                <w:b/>
                <w:i/>
                <w:sz w:val="18"/>
              </w:rPr>
              <w:t>SUM</w:t>
            </w:r>
          </w:p>
        </w:tc>
        <w:tc>
          <w:tcPr>
            <w:tcW w:w="919" w:type="dxa"/>
            <w:tcBorders>
              <w:left w:val="single" w:sz="6" w:space="0" w:color="000000"/>
              <w:bottom w:val="single" w:sz="6" w:space="0" w:color="000000"/>
              <w:right w:val="single" w:sz="6" w:space="0" w:color="000000"/>
            </w:tcBorders>
          </w:tcPr>
          <w:p>
            <w:pPr>
              <w:pStyle w:val="TableParagraph"/>
              <w:spacing w:before="103"/>
              <w:ind w:left="226" w:right="267"/>
              <w:rPr>
                <w:rFonts w:ascii="Times New Roman"/>
                <w:b/>
                <w:i/>
                <w:sz w:val="18"/>
              </w:rPr>
            </w:pPr>
            <w:r>
              <w:rPr>
                <w:rFonts w:ascii="Times New Roman"/>
                <w:b/>
                <w:i/>
                <w:sz w:val="18"/>
              </w:rPr>
              <w:t>I1SQ </w:t>
            </w:r>
            <w:r>
              <w:rPr>
                <w:rFonts w:ascii="Times New Roman"/>
                <w:b/>
                <w:i/>
                <w:sz w:val="18"/>
              </w:rPr>
              <w:t>SUM</w:t>
            </w:r>
          </w:p>
        </w:tc>
        <w:tc>
          <w:tcPr>
            <w:tcW w:w="919" w:type="dxa"/>
            <w:tcBorders>
              <w:left w:val="single" w:sz="6" w:space="0" w:color="000000"/>
              <w:bottom w:val="single" w:sz="6" w:space="0" w:color="000000"/>
            </w:tcBorders>
          </w:tcPr>
          <w:p>
            <w:pPr>
              <w:pStyle w:val="TableParagraph"/>
              <w:spacing w:before="103"/>
              <w:ind w:left="229" w:right="267"/>
              <w:rPr>
                <w:rFonts w:ascii="Times New Roman"/>
                <w:b/>
                <w:i/>
                <w:sz w:val="18"/>
              </w:rPr>
            </w:pPr>
            <w:r>
              <w:rPr>
                <w:rFonts w:ascii="Times New Roman"/>
                <w:b/>
                <w:i/>
                <w:sz w:val="18"/>
              </w:rPr>
              <w:t>I2SQ </w:t>
            </w:r>
            <w:r>
              <w:rPr>
                <w:rFonts w:ascii="Times New Roman"/>
                <w:b/>
                <w:i/>
                <w:sz w:val="18"/>
              </w:rPr>
              <w:t>SUM</w:t>
            </w:r>
          </w:p>
        </w:tc>
      </w:tr>
      <w:tr>
        <w:trPr>
          <w:trHeight w:val="491" w:hRule="atLeast"/>
        </w:trPr>
        <w:tc>
          <w:tcPr>
            <w:tcW w:w="746" w:type="dxa"/>
            <w:tcBorders>
              <w:top w:val="single" w:sz="6" w:space="0" w:color="000000"/>
              <w:bottom w:val="single" w:sz="6" w:space="0" w:color="000000"/>
              <w:right w:val="single" w:sz="6" w:space="0" w:color="000000"/>
            </w:tcBorders>
          </w:tcPr>
          <w:p>
            <w:pPr>
              <w:pStyle w:val="TableParagraph"/>
              <w:spacing w:before="126"/>
              <w:ind w:left="15"/>
              <w:jc w:val="center"/>
              <w:rPr>
                <w:sz w:val="20"/>
              </w:rPr>
            </w:pPr>
            <w:r>
              <w:rPr>
                <w:w w:val="99"/>
                <w:sz w:val="20"/>
              </w:rPr>
              <w:t>2</w:t>
            </w:r>
          </w:p>
        </w:tc>
        <w:tc>
          <w:tcPr>
            <w:tcW w:w="2287" w:type="dxa"/>
            <w:tcBorders>
              <w:top w:val="single" w:sz="6" w:space="0" w:color="000000"/>
              <w:left w:val="single" w:sz="6" w:space="0" w:color="000000"/>
              <w:bottom w:val="single" w:sz="6" w:space="0" w:color="000000"/>
              <w:right w:val="single" w:sz="6" w:space="0" w:color="000000"/>
            </w:tcBorders>
          </w:tcPr>
          <w:p>
            <w:pPr>
              <w:pStyle w:val="TableParagraph"/>
              <w:spacing w:line="218" w:lineRule="exact" w:before="18"/>
              <w:ind w:left="57"/>
              <w:rPr>
                <w:sz w:val="19"/>
              </w:rPr>
            </w:pPr>
            <w:r>
              <w:rPr>
                <w:sz w:val="19"/>
              </w:rPr>
              <w:t>VA*IA + VB*IB</w:t>
            </w:r>
          </w:p>
          <w:p>
            <w:pPr>
              <w:pStyle w:val="TableParagraph"/>
              <w:spacing w:line="232" w:lineRule="exact"/>
              <w:ind w:left="57"/>
              <w:rPr>
                <w:sz w:val="19"/>
              </w:rPr>
            </w:pPr>
            <w:r>
              <w:rPr>
                <w:spacing w:val="-3"/>
                <w:sz w:val="19"/>
              </w:rPr>
              <w:t>(2-element, </w:t>
            </w:r>
            <w:r>
              <w:rPr>
                <w:sz w:val="19"/>
              </w:rPr>
              <w:t>3-W, 3</w:t>
            </w:r>
            <w:r>
              <w:rPr>
                <w:rFonts w:ascii="Symbol" w:hAnsi="Symbol"/>
                <w:sz w:val="19"/>
              </w:rPr>
              <w:t></w:t>
            </w:r>
            <w:r>
              <w:rPr>
                <w:rFonts w:ascii="Times New Roman" w:hAnsi="Times New Roman"/>
                <w:sz w:val="19"/>
              </w:rPr>
              <w:t> </w:t>
            </w:r>
            <w:r>
              <w:rPr>
                <w:spacing w:val="-29"/>
                <w:sz w:val="19"/>
              </w:rPr>
              <w:t>Delta)</w:t>
            </w:r>
          </w:p>
        </w:tc>
        <w:tc>
          <w:tcPr>
            <w:tcW w:w="1181" w:type="dxa"/>
            <w:tcBorders>
              <w:top w:val="single" w:sz="6" w:space="0" w:color="000000"/>
              <w:left w:val="single" w:sz="6" w:space="0" w:color="000000"/>
              <w:bottom w:val="single" w:sz="6" w:space="0" w:color="000000"/>
              <w:right w:val="single" w:sz="6" w:space="0" w:color="000000"/>
            </w:tcBorders>
          </w:tcPr>
          <w:p>
            <w:pPr>
              <w:pStyle w:val="TableParagraph"/>
              <w:spacing w:before="136"/>
              <w:ind w:left="53" w:right="32"/>
              <w:jc w:val="center"/>
              <w:rPr>
                <w:sz w:val="19"/>
              </w:rPr>
            </w:pPr>
            <w:r>
              <w:rPr>
                <w:sz w:val="19"/>
              </w:rPr>
              <w:t>VA * IA</w:t>
            </w:r>
          </w:p>
        </w:tc>
        <w:tc>
          <w:tcPr>
            <w:tcW w:w="1183" w:type="dxa"/>
            <w:tcBorders>
              <w:top w:val="single" w:sz="6" w:space="0" w:color="000000"/>
              <w:left w:val="single" w:sz="6" w:space="0" w:color="000000"/>
              <w:bottom w:val="single" w:sz="6" w:space="0" w:color="000000"/>
              <w:right w:val="single" w:sz="6" w:space="0" w:color="000000"/>
            </w:tcBorders>
          </w:tcPr>
          <w:p>
            <w:pPr>
              <w:pStyle w:val="TableParagraph"/>
              <w:spacing w:before="136"/>
              <w:ind w:left="14" w:right="67"/>
              <w:jc w:val="center"/>
              <w:rPr>
                <w:sz w:val="19"/>
              </w:rPr>
            </w:pPr>
            <w:r>
              <w:rPr>
                <w:sz w:val="19"/>
              </w:rPr>
              <w:t>VB * IB</w:t>
            </w:r>
          </w:p>
        </w:tc>
        <w:tc>
          <w:tcPr>
            <w:tcW w:w="1183" w:type="dxa"/>
            <w:tcBorders>
              <w:top w:val="single" w:sz="6" w:space="0" w:color="000000"/>
              <w:left w:val="single" w:sz="6" w:space="0" w:color="000000"/>
              <w:bottom w:val="single" w:sz="6" w:space="0" w:color="000000"/>
              <w:right w:val="single" w:sz="6" w:space="0" w:color="000000"/>
            </w:tcBorders>
          </w:tcPr>
          <w:p>
            <w:pPr>
              <w:pStyle w:val="TableParagraph"/>
              <w:spacing w:before="136"/>
              <w:ind w:left="14" w:right="47"/>
              <w:jc w:val="center"/>
              <w:rPr>
                <w:sz w:val="19"/>
              </w:rPr>
            </w:pPr>
            <w:r>
              <w:rPr>
                <w:sz w:val="19"/>
              </w:rPr>
              <w:t>N/A</w:t>
            </w:r>
          </w:p>
        </w:tc>
        <w:tc>
          <w:tcPr>
            <w:tcW w:w="921" w:type="dxa"/>
            <w:tcBorders>
              <w:top w:val="single" w:sz="6" w:space="0" w:color="000000"/>
              <w:left w:val="single" w:sz="6" w:space="0" w:color="000000"/>
              <w:bottom w:val="single" w:sz="6" w:space="0" w:color="000000"/>
              <w:right w:val="single" w:sz="6" w:space="0" w:color="000000"/>
            </w:tcBorders>
          </w:tcPr>
          <w:p>
            <w:pPr>
              <w:pStyle w:val="TableParagraph"/>
              <w:spacing w:before="136"/>
              <w:ind w:left="199" w:right="241"/>
              <w:jc w:val="center"/>
              <w:rPr>
                <w:sz w:val="19"/>
              </w:rPr>
            </w:pPr>
            <w:r>
              <w:rPr>
                <w:sz w:val="19"/>
              </w:rPr>
              <w:t>IA</w:t>
            </w:r>
          </w:p>
        </w:tc>
        <w:tc>
          <w:tcPr>
            <w:tcW w:w="919" w:type="dxa"/>
            <w:tcBorders>
              <w:top w:val="single" w:sz="6" w:space="0" w:color="000000"/>
              <w:left w:val="single" w:sz="6" w:space="0" w:color="000000"/>
              <w:bottom w:val="single" w:sz="6" w:space="0" w:color="000000"/>
              <w:right w:val="single" w:sz="6" w:space="0" w:color="000000"/>
            </w:tcBorders>
          </w:tcPr>
          <w:p>
            <w:pPr>
              <w:pStyle w:val="TableParagraph"/>
              <w:spacing w:before="136"/>
              <w:ind w:left="194" w:right="233"/>
              <w:jc w:val="center"/>
              <w:rPr>
                <w:sz w:val="19"/>
              </w:rPr>
            </w:pPr>
            <w:r>
              <w:rPr>
                <w:sz w:val="19"/>
              </w:rPr>
              <w:t>IB</w:t>
            </w:r>
          </w:p>
        </w:tc>
        <w:tc>
          <w:tcPr>
            <w:tcW w:w="919" w:type="dxa"/>
            <w:tcBorders>
              <w:top w:val="single" w:sz="6" w:space="0" w:color="000000"/>
              <w:left w:val="single" w:sz="6" w:space="0" w:color="000000"/>
              <w:bottom w:val="single" w:sz="6" w:space="0" w:color="000000"/>
            </w:tcBorders>
          </w:tcPr>
          <w:p>
            <w:pPr>
              <w:pStyle w:val="TableParagraph"/>
              <w:spacing w:before="126"/>
              <w:ind w:right="37"/>
              <w:jc w:val="center"/>
              <w:rPr>
                <w:sz w:val="20"/>
              </w:rPr>
            </w:pPr>
            <w:r>
              <w:rPr>
                <w:w w:val="99"/>
                <w:sz w:val="20"/>
              </w:rPr>
              <w:t>–</w:t>
            </w:r>
          </w:p>
        </w:tc>
      </w:tr>
      <w:tr>
        <w:trPr>
          <w:trHeight w:val="491" w:hRule="atLeast"/>
        </w:trPr>
        <w:tc>
          <w:tcPr>
            <w:tcW w:w="746" w:type="dxa"/>
            <w:tcBorders>
              <w:top w:val="single" w:sz="6" w:space="0" w:color="000000"/>
              <w:bottom w:val="single" w:sz="6" w:space="0" w:color="000000"/>
              <w:right w:val="single" w:sz="6" w:space="0" w:color="000000"/>
            </w:tcBorders>
          </w:tcPr>
          <w:p>
            <w:pPr>
              <w:pStyle w:val="TableParagraph"/>
              <w:spacing w:before="126"/>
              <w:ind w:left="15"/>
              <w:jc w:val="center"/>
              <w:rPr>
                <w:sz w:val="20"/>
              </w:rPr>
            </w:pPr>
            <w:r>
              <w:rPr>
                <w:w w:val="99"/>
                <w:sz w:val="20"/>
              </w:rPr>
              <w:t>3</w:t>
            </w:r>
          </w:p>
        </w:tc>
        <w:tc>
          <w:tcPr>
            <w:tcW w:w="2287" w:type="dxa"/>
            <w:tcBorders>
              <w:top w:val="single" w:sz="6" w:space="0" w:color="000000"/>
              <w:left w:val="single" w:sz="6" w:space="0" w:color="000000"/>
              <w:bottom w:val="single" w:sz="6" w:space="0" w:color="000000"/>
              <w:right w:val="single" w:sz="6" w:space="0" w:color="000000"/>
            </w:tcBorders>
          </w:tcPr>
          <w:p>
            <w:pPr>
              <w:pStyle w:val="TableParagraph"/>
              <w:spacing w:line="218" w:lineRule="exact" w:before="18"/>
              <w:ind w:left="57"/>
              <w:rPr>
                <w:sz w:val="19"/>
              </w:rPr>
            </w:pPr>
            <w:r>
              <w:rPr>
                <w:sz w:val="19"/>
              </w:rPr>
              <w:t>VA*(IA-IB)/2 + VC*IC</w:t>
            </w:r>
          </w:p>
          <w:p>
            <w:pPr>
              <w:pStyle w:val="TableParagraph"/>
              <w:spacing w:line="232" w:lineRule="exact"/>
              <w:ind w:left="57"/>
              <w:rPr>
                <w:sz w:val="19"/>
              </w:rPr>
            </w:pPr>
            <w:r>
              <w:rPr>
                <w:sz w:val="19"/>
              </w:rPr>
              <w:t>(2 element, 4W 3</w:t>
            </w:r>
            <w:r>
              <w:rPr>
                <w:rFonts w:ascii="Symbol" w:hAnsi="Symbol"/>
                <w:sz w:val="19"/>
              </w:rPr>
              <w:t></w:t>
            </w:r>
            <w:r>
              <w:rPr>
                <w:rFonts w:ascii="Times New Roman" w:hAnsi="Times New Roman"/>
                <w:sz w:val="19"/>
              </w:rPr>
              <w:t> </w:t>
            </w:r>
            <w:r>
              <w:rPr>
                <w:sz w:val="19"/>
              </w:rPr>
              <w:t>Delta)</w:t>
            </w:r>
          </w:p>
        </w:tc>
        <w:tc>
          <w:tcPr>
            <w:tcW w:w="1181" w:type="dxa"/>
            <w:tcBorders>
              <w:top w:val="single" w:sz="6" w:space="0" w:color="000000"/>
              <w:left w:val="single" w:sz="6" w:space="0" w:color="000000"/>
              <w:bottom w:val="single" w:sz="6" w:space="0" w:color="000000"/>
              <w:right w:val="single" w:sz="6" w:space="0" w:color="000000"/>
            </w:tcBorders>
          </w:tcPr>
          <w:p>
            <w:pPr>
              <w:pStyle w:val="TableParagraph"/>
              <w:spacing w:before="136"/>
              <w:ind w:left="53" w:right="38"/>
              <w:jc w:val="center"/>
              <w:rPr>
                <w:sz w:val="19"/>
              </w:rPr>
            </w:pPr>
            <w:r>
              <w:rPr>
                <w:sz w:val="19"/>
              </w:rPr>
              <w:t>VA*(IA-IB)/2</w:t>
            </w:r>
          </w:p>
        </w:tc>
        <w:tc>
          <w:tcPr>
            <w:tcW w:w="1183" w:type="dxa"/>
            <w:tcBorders>
              <w:top w:val="single" w:sz="6" w:space="0" w:color="000000"/>
              <w:left w:val="single" w:sz="6" w:space="0" w:color="000000"/>
              <w:bottom w:val="single" w:sz="6" w:space="0" w:color="000000"/>
              <w:right w:val="single" w:sz="6" w:space="0" w:color="000000"/>
            </w:tcBorders>
          </w:tcPr>
          <w:p>
            <w:pPr>
              <w:pStyle w:val="TableParagraph"/>
              <w:spacing w:before="126"/>
              <w:ind w:right="56"/>
              <w:jc w:val="center"/>
              <w:rPr>
                <w:sz w:val="20"/>
              </w:rPr>
            </w:pPr>
            <w:r>
              <w:rPr>
                <w:w w:val="99"/>
                <w:sz w:val="20"/>
              </w:rPr>
              <w:t>–</w:t>
            </w:r>
          </w:p>
        </w:tc>
        <w:tc>
          <w:tcPr>
            <w:tcW w:w="1183" w:type="dxa"/>
            <w:tcBorders>
              <w:top w:val="single" w:sz="6" w:space="0" w:color="000000"/>
              <w:left w:val="single" w:sz="6" w:space="0" w:color="000000"/>
              <w:bottom w:val="single" w:sz="6" w:space="0" w:color="000000"/>
              <w:right w:val="single" w:sz="6" w:space="0" w:color="000000"/>
            </w:tcBorders>
          </w:tcPr>
          <w:p>
            <w:pPr>
              <w:pStyle w:val="TableParagraph"/>
              <w:spacing w:before="136"/>
              <w:ind w:left="14" w:right="46"/>
              <w:jc w:val="center"/>
              <w:rPr>
                <w:sz w:val="19"/>
              </w:rPr>
            </w:pPr>
            <w:r>
              <w:rPr>
                <w:sz w:val="19"/>
              </w:rPr>
              <w:t>VC*IC</w:t>
            </w:r>
          </w:p>
        </w:tc>
        <w:tc>
          <w:tcPr>
            <w:tcW w:w="921" w:type="dxa"/>
            <w:tcBorders>
              <w:top w:val="single" w:sz="6" w:space="0" w:color="000000"/>
              <w:left w:val="single" w:sz="6" w:space="0" w:color="000000"/>
              <w:bottom w:val="single" w:sz="6" w:space="0" w:color="000000"/>
              <w:right w:val="single" w:sz="6" w:space="0" w:color="000000"/>
            </w:tcBorders>
          </w:tcPr>
          <w:p>
            <w:pPr>
              <w:pStyle w:val="TableParagraph"/>
              <w:spacing w:before="136"/>
              <w:ind w:left="201" w:right="241"/>
              <w:jc w:val="center"/>
              <w:rPr>
                <w:sz w:val="19"/>
              </w:rPr>
            </w:pPr>
            <w:r>
              <w:rPr>
                <w:sz w:val="19"/>
              </w:rPr>
              <w:t>IA-IB</w:t>
            </w:r>
          </w:p>
        </w:tc>
        <w:tc>
          <w:tcPr>
            <w:tcW w:w="919" w:type="dxa"/>
            <w:tcBorders>
              <w:top w:val="single" w:sz="6" w:space="0" w:color="000000"/>
              <w:left w:val="single" w:sz="6" w:space="0" w:color="000000"/>
              <w:bottom w:val="single" w:sz="6" w:space="0" w:color="000000"/>
              <w:right w:val="single" w:sz="6" w:space="0" w:color="000000"/>
            </w:tcBorders>
          </w:tcPr>
          <w:p>
            <w:pPr>
              <w:pStyle w:val="TableParagraph"/>
              <w:spacing w:before="136"/>
              <w:ind w:left="194" w:right="233"/>
              <w:jc w:val="center"/>
              <w:rPr>
                <w:sz w:val="19"/>
              </w:rPr>
            </w:pPr>
            <w:r>
              <w:rPr>
                <w:sz w:val="19"/>
              </w:rPr>
              <w:t>IB</w:t>
            </w:r>
          </w:p>
        </w:tc>
        <w:tc>
          <w:tcPr>
            <w:tcW w:w="919" w:type="dxa"/>
            <w:tcBorders>
              <w:top w:val="single" w:sz="6" w:space="0" w:color="000000"/>
              <w:left w:val="single" w:sz="6" w:space="0" w:color="000000"/>
              <w:bottom w:val="single" w:sz="6" w:space="0" w:color="000000"/>
            </w:tcBorders>
          </w:tcPr>
          <w:p>
            <w:pPr>
              <w:pStyle w:val="TableParagraph"/>
              <w:spacing w:before="136"/>
              <w:ind w:left="318" w:right="358"/>
              <w:jc w:val="center"/>
              <w:rPr>
                <w:sz w:val="19"/>
              </w:rPr>
            </w:pPr>
            <w:r>
              <w:rPr>
                <w:sz w:val="19"/>
              </w:rPr>
              <w:t>IC</w:t>
            </w:r>
          </w:p>
        </w:tc>
      </w:tr>
      <w:tr>
        <w:trPr>
          <w:trHeight w:val="491" w:hRule="atLeast"/>
        </w:trPr>
        <w:tc>
          <w:tcPr>
            <w:tcW w:w="746" w:type="dxa"/>
            <w:tcBorders>
              <w:top w:val="single" w:sz="6" w:space="0" w:color="000000"/>
              <w:bottom w:val="single" w:sz="6" w:space="0" w:color="000000"/>
              <w:right w:val="single" w:sz="6" w:space="0" w:color="000000"/>
            </w:tcBorders>
          </w:tcPr>
          <w:p>
            <w:pPr>
              <w:pStyle w:val="TableParagraph"/>
              <w:spacing w:before="126"/>
              <w:ind w:left="15"/>
              <w:jc w:val="center"/>
              <w:rPr>
                <w:sz w:val="20"/>
              </w:rPr>
            </w:pPr>
            <w:r>
              <w:rPr>
                <w:w w:val="99"/>
                <w:sz w:val="20"/>
              </w:rPr>
              <w:t>4</w:t>
            </w:r>
          </w:p>
        </w:tc>
        <w:tc>
          <w:tcPr>
            <w:tcW w:w="2287" w:type="dxa"/>
            <w:tcBorders>
              <w:top w:val="single" w:sz="6" w:space="0" w:color="000000"/>
              <w:left w:val="single" w:sz="6" w:space="0" w:color="000000"/>
              <w:bottom w:val="single" w:sz="6" w:space="0" w:color="000000"/>
              <w:right w:val="single" w:sz="6" w:space="0" w:color="000000"/>
            </w:tcBorders>
          </w:tcPr>
          <w:p>
            <w:pPr>
              <w:pStyle w:val="TableParagraph"/>
              <w:spacing w:line="218" w:lineRule="exact" w:before="18"/>
              <w:ind w:left="57"/>
              <w:rPr>
                <w:sz w:val="19"/>
              </w:rPr>
            </w:pPr>
            <w:r>
              <w:rPr>
                <w:spacing w:val="-5"/>
                <w:sz w:val="19"/>
              </w:rPr>
              <w:t>VA*(IA-IB)/2 </w:t>
            </w:r>
            <w:r>
              <w:rPr>
                <w:sz w:val="19"/>
              </w:rPr>
              <w:t>+ </w:t>
            </w:r>
            <w:r>
              <w:rPr>
                <w:spacing w:val="-5"/>
                <w:sz w:val="19"/>
              </w:rPr>
              <w:t>VB*(IC-IB)/2</w:t>
            </w:r>
          </w:p>
          <w:p>
            <w:pPr>
              <w:pStyle w:val="TableParagraph"/>
              <w:spacing w:line="232" w:lineRule="exact"/>
              <w:ind w:left="57"/>
              <w:rPr>
                <w:sz w:val="19"/>
              </w:rPr>
            </w:pPr>
            <w:r>
              <w:rPr>
                <w:sz w:val="19"/>
              </w:rPr>
              <w:t>(2 element, 4W 3</w:t>
            </w:r>
            <w:r>
              <w:rPr>
                <w:rFonts w:ascii="Symbol" w:hAnsi="Symbol"/>
                <w:sz w:val="19"/>
              </w:rPr>
              <w:t></w:t>
            </w:r>
            <w:r>
              <w:rPr>
                <w:rFonts w:ascii="Times New Roman" w:hAnsi="Times New Roman"/>
                <w:sz w:val="19"/>
              </w:rPr>
              <w:t> </w:t>
            </w:r>
            <w:r>
              <w:rPr>
                <w:sz w:val="19"/>
              </w:rPr>
              <w:t>Wye)</w:t>
            </w:r>
          </w:p>
        </w:tc>
        <w:tc>
          <w:tcPr>
            <w:tcW w:w="1181" w:type="dxa"/>
            <w:tcBorders>
              <w:top w:val="single" w:sz="6" w:space="0" w:color="000000"/>
              <w:left w:val="single" w:sz="6" w:space="0" w:color="000000"/>
              <w:bottom w:val="single" w:sz="6" w:space="0" w:color="000000"/>
              <w:right w:val="single" w:sz="6" w:space="0" w:color="000000"/>
            </w:tcBorders>
          </w:tcPr>
          <w:p>
            <w:pPr>
              <w:pStyle w:val="TableParagraph"/>
              <w:spacing w:before="136"/>
              <w:ind w:left="53" w:right="38"/>
              <w:jc w:val="center"/>
              <w:rPr>
                <w:sz w:val="19"/>
              </w:rPr>
            </w:pPr>
            <w:r>
              <w:rPr>
                <w:sz w:val="19"/>
              </w:rPr>
              <w:t>VA*(IA-IB)/2</w:t>
            </w:r>
          </w:p>
        </w:tc>
        <w:tc>
          <w:tcPr>
            <w:tcW w:w="1183" w:type="dxa"/>
            <w:tcBorders>
              <w:top w:val="single" w:sz="6" w:space="0" w:color="000000"/>
              <w:left w:val="single" w:sz="6" w:space="0" w:color="000000"/>
              <w:bottom w:val="single" w:sz="6" w:space="0" w:color="000000"/>
              <w:right w:val="single" w:sz="6" w:space="0" w:color="000000"/>
            </w:tcBorders>
          </w:tcPr>
          <w:p>
            <w:pPr>
              <w:pStyle w:val="TableParagraph"/>
              <w:spacing w:before="136"/>
              <w:ind w:left="14" w:right="68"/>
              <w:jc w:val="center"/>
              <w:rPr>
                <w:sz w:val="19"/>
              </w:rPr>
            </w:pPr>
            <w:r>
              <w:rPr>
                <w:sz w:val="19"/>
              </w:rPr>
              <w:t>VB*(IC-IB)/2</w:t>
            </w:r>
          </w:p>
        </w:tc>
        <w:tc>
          <w:tcPr>
            <w:tcW w:w="1183" w:type="dxa"/>
            <w:tcBorders>
              <w:top w:val="single" w:sz="6" w:space="0" w:color="000000"/>
              <w:left w:val="single" w:sz="6" w:space="0" w:color="000000"/>
              <w:bottom w:val="single" w:sz="6" w:space="0" w:color="000000"/>
              <w:right w:val="single" w:sz="6" w:space="0" w:color="000000"/>
            </w:tcBorders>
          </w:tcPr>
          <w:p>
            <w:pPr>
              <w:pStyle w:val="TableParagraph"/>
              <w:spacing w:before="126"/>
              <w:ind w:right="32"/>
              <w:jc w:val="center"/>
              <w:rPr>
                <w:sz w:val="20"/>
              </w:rPr>
            </w:pPr>
            <w:r>
              <w:rPr>
                <w:w w:val="99"/>
                <w:sz w:val="20"/>
              </w:rPr>
              <w:t>–</w:t>
            </w:r>
          </w:p>
        </w:tc>
        <w:tc>
          <w:tcPr>
            <w:tcW w:w="921" w:type="dxa"/>
            <w:tcBorders>
              <w:top w:val="single" w:sz="6" w:space="0" w:color="000000"/>
              <w:left w:val="single" w:sz="6" w:space="0" w:color="000000"/>
              <w:bottom w:val="single" w:sz="6" w:space="0" w:color="000000"/>
              <w:right w:val="single" w:sz="6" w:space="0" w:color="000000"/>
            </w:tcBorders>
          </w:tcPr>
          <w:p>
            <w:pPr>
              <w:pStyle w:val="TableParagraph"/>
              <w:spacing w:before="136"/>
              <w:ind w:left="201" w:right="240"/>
              <w:jc w:val="center"/>
              <w:rPr>
                <w:sz w:val="19"/>
              </w:rPr>
            </w:pPr>
            <w:r>
              <w:rPr>
                <w:sz w:val="19"/>
              </w:rPr>
              <w:t>IA-IB</w:t>
            </w:r>
          </w:p>
        </w:tc>
        <w:tc>
          <w:tcPr>
            <w:tcW w:w="919" w:type="dxa"/>
            <w:tcBorders>
              <w:top w:val="single" w:sz="6" w:space="0" w:color="000000"/>
              <w:left w:val="single" w:sz="6" w:space="0" w:color="000000"/>
              <w:bottom w:val="single" w:sz="6" w:space="0" w:color="000000"/>
              <w:right w:val="single" w:sz="6" w:space="0" w:color="000000"/>
            </w:tcBorders>
          </w:tcPr>
          <w:p>
            <w:pPr>
              <w:pStyle w:val="TableParagraph"/>
              <w:spacing w:before="136"/>
              <w:ind w:left="197" w:right="233"/>
              <w:jc w:val="center"/>
              <w:rPr>
                <w:sz w:val="19"/>
              </w:rPr>
            </w:pPr>
            <w:r>
              <w:rPr>
                <w:sz w:val="19"/>
              </w:rPr>
              <w:t>IC-IB</w:t>
            </w:r>
          </w:p>
        </w:tc>
        <w:tc>
          <w:tcPr>
            <w:tcW w:w="919" w:type="dxa"/>
            <w:tcBorders>
              <w:top w:val="single" w:sz="6" w:space="0" w:color="000000"/>
              <w:left w:val="single" w:sz="6" w:space="0" w:color="000000"/>
              <w:bottom w:val="single" w:sz="6" w:space="0" w:color="000000"/>
            </w:tcBorders>
          </w:tcPr>
          <w:p>
            <w:pPr>
              <w:pStyle w:val="TableParagraph"/>
              <w:spacing w:before="136"/>
              <w:ind w:left="318" w:right="358"/>
              <w:jc w:val="center"/>
              <w:rPr>
                <w:sz w:val="19"/>
              </w:rPr>
            </w:pPr>
            <w:r>
              <w:rPr>
                <w:sz w:val="19"/>
              </w:rPr>
              <w:t>IC</w:t>
            </w:r>
          </w:p>
        </w:tc>
      </w:tr>
      <w:tr>
        <w:trPr>
          <w:trHeight w:val="491" w:hRule="atLeast"/>
        </w:trPr>
        <w:tc>
          <w:tcPr>
            <w:tcW w:w="746" w:type="dxa"/>
            <w:tcBorders>
              <w:top w:val="single" w:sz="6" w:space="0" w:color="000000"/>
              <w:bottom w:val="single" w:sz="6" w:space="0" w:color="000000"/>
              <w:right w:val="single" w:sz="6" w:space="0" w:color="000000"/>
            </w:tcBorders>
          </w:tcPr>
          <w:p>
            <w:pPr>
              <w:pStyle w:val="TableParagraph"/>
              <w:spacing w:before="126"/>
              <w:ind w:left="15"/>
              <w:jc w:val="center"/>
              <w:rPr>
                <w:sz w:val="20"/>
              </w:rPr>
            </w:pPr>
            <w:r>
              <w:rPr>
                <w:w w:val="99"/>
                <w:sz w:val="20"/>
              </w:rPr>
              <w:t>5</w:t>
            </w:r>
          </w:p>
        </w:tc>
        <w:tc>
          <w:tcPr>
            <w:tcW w:w="2287" w:type="dxa"/>
            <w:tcBorders>
              <w:top w:val="single" w:sz="6" w:space="0" w:color="000000"/>
              <w:left w:val="single" w:sz="6" w:space="0" w:color="000000"/>
              <w:bottom w:val="single" w:sz="6" w:space="0" w:color="000000"/>
              <w:right w:val="single" w:sz="6" w:space="0" w:color="000000"/>
            </w:tcBorders>
          </w:tcPr>
          <w:p>
            <w:pPr>
              <w:pStyle w:val="TableParagraph"/>
              <w:spacing w:line="218" w:lineRule="exact" w:before="18"/>
              <w:ind w:left="57"/>
              <w:rPr>
                <w:sz w:val="19"/>
              </w:rPr>
            </w:pPr>
            <w:r>
              <w:rPr>
                <w:sz w:val="19"/>
              </w:rPr>
              <w:t>VA*IA + VB*IB +</w:t>
            </w:r>
            <w:r>
              <w:rPr>
                <w:spacing w:val="-7"/>
                <w:sz w:val="19"/>
              </w:rPr>
              <w:t> </w:t>
            </w:r>
            <w:r>
              <w:rPr>
                <w:sz w:val="19"/>
              </w:rPr>
              <w:t>VC*IC</w:t>
            </w:r>
          </w:p>
          <w:p>
            <w:pPr>
              <w:pStyle w:val="TableParagraph"/>
              <w:spacing w:line="232" w:lineRule="exact"/>
              <w:ind w:left="57"/>
              <w:rPr>
                <w:sz w:val="19"/>
              </w:rPr>
            </w:pPr>
            <w:r>
              <w:rPr>
                <w:spacing w:val="-3"/>
                <w:sz w:val="19"/>
              </w:rPr>
              <w:t>(3 </w:t>
            </w:r>
            <w:r>
              <w:rPr>
                <w:spacing w:val="-4"/>
                <w:sz w:val="19"/>
              </w:rPr>
              <w:t>element, 4W </w:t>
            </w:r>
            <w:r>
              <w:rPr>
                <w:sz w:val="19"/>
              </w:rPr>
              <w:t>3</w:t>
            </w:r>
            <w:r>
              <w:rPr>
                <w:rFonts w:ascii="Symbol" w:hAnsi="Symbol"/>
                <w:sz w:val="19"/>
              </w:rPr>
              <w:t></w:t>
            </w:r>
            <w:r>
              <w:rPr>
                <w:rFonts w:ascii="Times New Roman" w:hAnsi="Times New Roman"/>
                <w:spacing w:val="-29"/>
                <w:sz w:val="19"/>
              </w:rPr>
              <w:t> </w:t>
            </w:r>
            <w:r>
              <w:rPr>
                <w:sz w:val="19"/>
              </w:rPr>
              <w:t>Wye)</w:t>
            </w:r>
          </w:p>
        </w:tc>
        <w:tc>
          <w:tcPr>
            <w:tcW w:w="1181" w:type="dxa"/>
            <w:tcBorders>
              <w:top w:val="single" w:sz="6" w:space="0" w:color="000000"/>
              <w:left w:val="single" w:sz="6" w:space="0" w:color="000000"/>
              <w:bottom w:val="single" w:sz="6" w:space="0" w:color="000000"/>
              <w:right w:val="single" w:sz="6" w:space="0" w:color="000000"/>
            </w:tcBorders>
          </w:tcPr>
          <w:p>
            <w:pPr>
              <w:pStyle w:val="TableParagraph"/>
              <w:spacing w:before="136"/>
              <w:ind w:left="53" w:right="34"/>
              <w:jc w:val="center"/>
              <w:rPr>
                <w:sz w:val="19"/>
              </w:rPr>
            </w:pPr>
            <w:r>
              <w:rPr>
                <w:sz w:val="19"/>
              </w:rPr>
              <w:t>VA*IA</w:t>
            </w:r>
          </w:p>
        </w:tc>
        <w:tc>
          <w:tcPr>
            <w:tcW w:w="1183" w:type="dxa"/>
            <w:tcBorders>
              <w:top w:val="single" w:sz="6" w:space="0" w:color="000000"/>
              <w:left w:val="single" w:sz="6" w:space="0" w:color="000000"/>
              <w:bottom w:val="single" w:sz="6" w:space="0" w:color="000000"/>
              <w:right w:val="single" w:sz="6" w:space="0" w:color="000000"/>
            </w:tcBorders>
          </w:tcPr>
          <w:p>
            <w:pPr>
              <w:pStyle w:val="TableParagraph"/>
              <w:spacing w:before="136"/>
              <w:ind w:left="14" w:right="67"/>
              <w:jc w:val="center"/>
              <w:rPr>
                <w:sz w:val="19"/>
              </w:rPr>
            </w:pPr>
            <w:r>
              <w:rPr>
                <w:sz w:val="19"/>
              </w:rPr>
              <w:t>VB*IB</w:t>
            </w:r>
          </w:p>
        </w:tc>
        <w:tc>
          <w:tcPr>
            <w:tcW w:w="1183" w:type="dxa"/>
            <w:tcBorders>
              <w:top w:val="single" w:sz="6" w:space="0" w:color="000000"/>
              <w:left w:val="single" w:sz="6" w:space="0" w:color="000000"/>
              <w:bottom w:val="single" w:sz="6" w:space="0" w:color="000000"/>
              <w:right w:val="single" w:sz="6" w:space="0" w:color="000000"/>
            </w:tcBorders>
          </w:tcPr>
          <w:p>
            <w:pPr>
              <w:pStyle w:val="TableParagraph"/>
              <w:spacing w:before="136"/>
              <w:ind w:left="14" w:right="46"/>
              <w:jc w:val="center"/>
              <w:rPr>
                <w:sz w:val="19"/>
              </w:rPr>
            </w:pPr>
            <w:r>
              <w:rPr>
                <w:sz w:val="19"/>
              </w:rPr>
              <w:t>VC*IC</w:t>
            </w:r>
          </w:p>
        </w:tc>
        <w:tc>
          <w:tcPr>
            <w:tcW w:w="921" w:type="dxa"/>
            <w:tcBorders>
              <w:top w:val="single" w:sz="6" w:space="0" w:color="000000"/>
              <w:left w:val="single" w:sz="6" w:space="0" w:color="000000"/>
              <w:bottom w:val="single" w:sz="6" w:space="0" w:color="000000"/>
              <w:right w:val="single" w:sz="6" w:space="0" w:color="000000"/>
            </w:tcBorders>
          </w:tcPr>
          <w:p>
            <w:pPr>
              <w:pStyle w:val="TableParagraph"/>
              <w:spacing w:before="136"/>
              <w:ind w:left="199" w:right="241"/>
              <w:jc w:val="center"/>
              <w:rPr>
                <w:sz w:val="19"/>
              </w:rPr>
            </w:pPr>
            <w:r>
              <w:rPr>
                <w:sz w:val="19"/>
              </w:rPr>
              <w:t>IA</w:t>
            </w:r>
          </w:p>
        </w:tc>
        <w:tc>
          <w:tcPr>
            <w:tcW w:w="919" w:type="dxa"/>
            <w:tcBorders>
              <w:top w:val="single" w:sz="6" w:space="0" w:color="000000"/>
              <w:left w:val="single" w:sz="6" w:space="0" w:color="000000"/>
              <w:bottom w:val="single" w:sz="6" w:space="0" w:color="000000"/>
              <w:right w:val="single" w:sz="6" w:space="0" w:color="000000"/>
            </w:tcBorders>
          </w:tcPr>
          <w:p>
            <w:pPr>
              <w:pStyle w:val="TableParagraph"/>
              <w:spacing w:before="136"/>
              <w:ind w:left="194" w:right="233"/>
              <w:jc w:val="center"/>
              <w:rPr>
                <w:sz w:val="19"/>
              </w:rPr>
            </w:pPr>
            <w:r>
              <w:rPr>
                <w:sz w:val="19"/>
              </w:rPr>
              <w:t>IB</w:t>
            </w:r>
          </w:p>
        </w:tc>
        <w:tc>
          <w:tcPr>
            <w:tcW w:w="919" w:type="dxa"/>
            <w:tcBorders>
              <w:top w:val="single" w:sz="6" w:space="0" w:color="000000"/>
              <w:left w:val="single" w:sz="6" w:space="0" w:color="000000"/>
              <w:bottom w:val="single" w:sz="6" w:space="0" w:color="000000"/>
            </w:tcBorders>
          </w:tcPr>
          <w:p>
            <w:pPr>
              <w:pStyle w:val="TableParagraph"/>
              <w:spacing w:before="136"/>
              <w:ind w:left="318" w:right="358"/>
              <w:jc w:val="center"/>
              <w:rPr>
                <w:sz w:val="19"/>
              </w:rPr>
            </w:pPr>
            <w:r>
              <w:rPr>
                <w:sz w:val="19"/>
              </w:rPr>
              <w:t>IC</w:t>
            </w:r>
          </w:p>
        </w:tc>
      </w:tr>
      <w:tr>
        <w:trPr>
          <w:trHeight w:val="779" w:hRule="atLeast"/>
        </w:trPr>
        <w:tc>
          <w:tcPr>
            <w:tcW w:w="9339" w:type="dxa"/>
            <w:gridSpan w:val="8"/>
            <w:tcBorders>
              <w:top w:val="single" w:sz="6" w:space="0" w:color="000000"/>
            </w:tcBorders>
          </w:tcPr>
          <w:p>
            <w:pPr>
              <w:pStyle w:val="TableParagraph"/>
              <w:spacing w:before="18"/>
              <w:ind w:left="107"/>
              <w:rPr>
                <w:sz w:val="19"/>
              </w:rPr>
            </w:pPr>
            <w:r>
              <w:rPr>
                <w:sz w:val="19"/>
              </w:rPr>
              <w:t>Note:</w:t>
            </w:r>
          </w:p>
          <w:p>
            <w:pPr>
              <w:pStyle w:val="TableParagraph"/>
              <w:spacing w:before="55"/>
              <w:ind w:left="107" w:right="86"/>
              <w:rPr>
                <w:sz w:val="20"/>
              </w:rPr>
            </w:pPr>
            <w:r>
              <w:rPr>
                <w:sz w:val="20"/>
              </w:rPr>
              <w:t>* Only </w:t>
            </w:r>
            <w:r>
              <w:rPr>
                <w:rFonts w:ascii="Times New Roman"/>
                <w:i/>
                <w:sz w:val="20"/>
              </w:rPr>
              <w:t>EQU[2:0] </w:t>
            </w:r>
            <w:r>
              <w:rPr>
                <w:sz w:val="20"/>
              </w:rPr>
              <w:t>= 5 is supported by the currently available CE code versions for the 71M6543. Contact your local Maxim representative for CE codes that support equations 2, 3 and 4.</w:t>
            </w:r>
          </w:p>
        </w:tc>
      </w:tr>
    </w:tbl>
    <w:p>
      <w:pPr>
        <w:spacing w:after="0"/>
        <w:rPr>
          <w:sz w:val="20"/>
        </w:rPr>
        <w:sectPr>
          <w:pgSz w:w="12240" w:h="15840"/>
          <w:pgMar w:header="727" w:footer="819" w:top="1160" w:bottom="1000" w:left="960" w:right="940"/>
        </w:sectPr>
      </w:pPr>
    </w:p>
    <w:p>
      <w:pPr>
        <w:pStyle w:val="ListParagraph"/>
        <w:numPr>
          <w:ilvl w:val="2"/>
          <w:numId w:val="30"/>
        </w:numPr>
        <w:tabs>
          <w:tab w:pos="1199" w:val="left" w:leader="none"/>
          <w:tab w:pos="1200" w:val="left" w:leader="none"/>
        </w:tabs>
        <w:spacing w:line="240" w:lineRule="auto" w:before="88" w:after="0"/>
        <w:ind w:left="1199" w:right="0" w:hanging="720"/>
        <w:jc w:val="left"/>
        <w:rPr>
          <w:b/>
          <w:sz w:val="22"/>
        </w:rPr>
      </w:pPr>
      <w:bookmarkStart w:name="5.3.6 CE Front-End Data (Raw Data)" w:id="459"/>
      <w:bookmarkEnd w:id="459"/>
      <w:r>
        <w:rPr/>
      </w:r>
      <w:bookmarkStart w:name="_bookmark220" w:id="460"/>
      <w:bookmarkEnd w:id="460"/>
      <w:r>
        <w:rPr/>
      </w:r>
      <w:bookmarkStart w:name="_bookmark220" w:id="461"/>
      <w:bookmarkEnd w:id="461"/>
      <w:r>
        <w:rPr>
          <w:b/>
          <w:sz w:val="22"/>
        </w:rPr>
        <w:t>C</w:t>
      </w:r>
      <w:r>
        <w:rPr>
          <w:b/>
          <w:sz w:val="22"/>
        </w:rPr>
        <w:t>E Front-End Data (Raw</w:t>
      </w:r>
      <w:r>
        <w:rPr>
          <w:b/>
          <w:spacing w:val="-3"/>
          <w:sz w:val="22"/>
        </w:rPr>
        <w:t> </w:t>
      </w:r>
      <w:r>
        <w:rPr>
          <w:b/>
          <w:sz w:val="22"/>
        </w:rPr>
        <w:t>Data)</w:t>
      </w:r>
    </w:p>
    <w:p>
      <w:pPr>
        <w:pStyle w:val="BodyText"/>
        <w:spacing w:before="121"/>
        <w:ind w:left="480" w:right="491" w:hanging="1"/>
      </w:pPr>
      <w:r>
        <w:rPr>
          <w:spacing w:val="-3"/>
        </w:rPr>
        <w:t>Access </w:t>
      </w:r>
      <w:r>
        <w:rPr/>
        <w:t>to the raw </w:t>
      </w:r>
      <w:r>
        <w:rPr>
          <w:spacing w:val="-3"/>
        </w:rPr>
        <w:t>data provided </w:t>
      </w:r>
      <w:r>
        <w:rPr/>
        <w:t>by the </w:t>
      </w:r>
      <w:r>
        <w:rPr>
          <w:spacing w:val="-2"/>
        </w:rPr>
        <w:t>AFE </w:t>
      </w:r>
      <w:r>
        <w:rPr/>
        <w:t>is </w:t>
      </w:r>
      <w:r>
        <w:rPr>
          <w:spacing w:val="-3"/>
        </w:rPr>
        <w:t>possible </w:t>
      </w:r>
      <w:r>
        <w:rPr/>
        <w:t>by </w:t>
      </w:r>
      <w:r>
        <w:rPr>
          <w:spacing w:val="-3"/>
        </w:rPr>
        <w:t>reading </w:t>
      </w:r>
      <w:r>
        <w:rPr/>
        <w:t>CE </w:t>
      </w:r>
      <w:r>
        <w:rPr>
          <w:spacing w:val="-3"/>
        </w:rPr>
        <w:t>RAM addresses </w:t>
      </w:r>
      <w:r>
        <w:rPr/>
        <w:t>0 </w:t>
      </w:r>
      <w:r>
        <w:rPr>
          <w:spacing w:val="-3"/>
        </w:rPr>
        <w:t>through </w:t>
      </w:r>
      <w:r>
        <w:rPr/>
        <w:t>A, </w:t>
      </w:r>
      <w:r>
        <w:rPr>
          <w:spacing w:val="-3"/>
        </w:rPr>
        <w:t>as shown</w:t>
      </w:r>
      <w:r>
        <w:rPr>
          <w:spacing w:val="-9"/>
        </w:rPr>
        <w:t> </w:t>
      </w:r>
      <w:r>
        <w:rPr/>
        <w:t>in</w:t>
      </w:r>
      <w:r>
        <w:rPr>
          <w:spacing w:val="-8"/>
        </w:rPr>
        <w:t> </w:t>
      </w:r>
      <w:hyperlink w:history="true" w:anchor="_bookmark221">
        <w:r>
          <w:rPr>
            <w:color w:val="0000FF"/>
          </w:rPr>
          <w:t>Table</w:t>
        </w:r>
        <w:r>
          <w:rPr>
            <w:color w:val="0000FF"/>
            <w:spacing w:val="-9"/>
          </w:rPr>
          <w:t> </w:t>
        </w:r>
        <w:r>
          <w:rPr>
            <w:color w:val="0000FF"/>
          </w:rPr>
          <w:t>72</w:t>
        </w:r>
        <w:r>
          <w:rPr/>
          <w:t>.</w:t>
        </w:r>
        <w:r>
          <w:rPr>
            <w:spacing w:val="-8"/>
          </w:rPr>
          <w:t> </w:t>
        </w:r>
      </w:hyperlink>
      <w:r>
        <w:rPr>
          <w:spacing w:val="-3"/>
        </w:rPr>
        <w:t>In</w:t>
      </w:r>
      <w:r>
        <w:rPr>
          <w:spacing w:val="-10"/>
        </w:rPr>
        <w:t> </w:t>
      </w:r>
      <w:r>
        <w:rPr>
          <w:spacing w:val="-3"/>
        </w:rPr>
        <w:t>the</w:t>
      </w:r>
      <w:r>
        <w:rPr>
          <w:spacing w:val="-9"/>
        </w:rPr>
        <w:t> </w:t>
      </w:r>
      <w:r>
        <w:rPr>
          <w:spacing w:val="-4"/>
        </w:rPr>
        <w:t>expression</w:t>
      </w:r>
      <w:r>
        <w:rPr>
          <w:spacing w:val="-10"/>
        </w:rPr>
        <w:t> </w:t>
      </w:r>
      <w:r>
        <w:rPr>
          <w:rFonts w:ascii="Times New Roman" w:hAnsi="Times New Roman"/>
          <w:i/>
        </w:rPr>
        <w:t>MUXn_SEL[3:0]</w:t>
      </w:r>
      <w:r>
        <w:rPr>
          <w:rFonts w:ascii="Times New Roman" w:hAnsi="Times New Roman"/>
          <w:i/>
          <w:spacing w:val="3"/>
        </w:rPr>
        <w:t> </w:t>
      </w:r>
      <w:r>
        <w:rPr/>
        <w:t>=</w:t>
      </w:r>
      <w:r>
        <w:rPr>
          <w:spacing w:val="-11"/>
        </w:rPr>
        <w:t> </w:t>
      </w:r>
      <w:r>
        <w:rPr/>
        <w:t>x,</w:t>
      </w:r>
      <w:r>
        <w:rPr>
          <w:spacing w:val="-10"/>
        </w:rPr>
        <w:t> </w:t>
      </w:r>
      <w:r>
        <w:rPr>
          <w:spacing w:val="-4"/>
        </w:rPr>
        <w:t>‘n’</w:t>
      </w:r>
      <w:r>
        <w:rPr>
          <w:spacing w:val="-12"/>
        </w:rPr>
        <w:t> </w:t>
      </w:r>
      <w:r>
        <w:rPr>
          <w:spacing w:val="-4"/>
        </w:rPr>
        <w:t>refers</w:t>
      </w:r>
      <w:r>
        <w:rPr>
          <w:spacing w:val="-9"/>
        </w:rPr>
        <w:t> </w:t>
      </w:r>
      <w:r>
        <w:rPr/>
        <w:t>to</w:t>
      </w:r>
      <w:r>
        <w:rPr>
          <w:spacing w:val="-11"/>
        </w:rPr>
        <w:t> </w:t>
      </w:r>
      <w:r>
        <w:rPr>
          <w:spacing w:val="-3"/>
        </w:rPr>
        <w:t>the</w:t>
      </w:r>
      <w:r>
        <w:rPr>
          <w:spacing w:val="-14"/>
        </w:rPr>
        <w:t> </w:t>
      </w:r>
      <w:r>
        <w:rPr>
          <w:spacing w:val="-4"/>
        </w:rPr>
        <w:t>multiplexer</w:t>
      </w:r>
      <w:r>
        <w:rPr>
          <w:spacing w:val="-9"/>
        </w:rPr>
        <w:t> </w:t>
      </w:r>
      <w:r>
        <w:rPr>
          <w:spacing w:val="-3"/>
        </w:rPr>
        <w:t>frame</w:t>
      </w:r>
      <w:r>
        <w:rPr>
          <w:spacing w:val="-13"/>
        </w:rPr>
        <w:t> </w:t>
      </w:r>
      <w:r>
        <w:rPr>
          <w:spacing w:val="-3"/>
        </w:rPr>
        <w:t>time</w:t>
      </w:r>
      <w:r>
        <w:rPr>
          <w:spacing w:val="-13"/>
        </w:rPr>
        <w:t> </w:t>
      </w:r>
      <w:r>
        <w:rPr>
          <w:spacing w:val="-3"/>
        </w:rPr>
        <w:t>slot</w:t>
      </w:r>
      <w:r>
        <w:rPr>
          <w:spacing w:val="-11"/>
        </w:rPr>
        <w:t> </w:t>
      </w:r>
      <w:r>
        <w:rPr>
          <w:spacing w:val="-5"/>
        </w:rPr>
        <w:t>number </w:t>
      </w:r>
      <w:r>
        <w:rPr>
          <w:spacing w:val="-3"/>
        </w:rPr>
        <w:t>and ‘x’ </w:t>
      </w:r>
      <w:r>
        <w:rPr>
          <w:spacing w:val="-4"/>
        </w:rPr>
        <w:t>refers </w:t>
      </w:r>
      <w:r>
        <w:rPr>
          <w:spacing w:val="-3"/>
        </w:rPr>
        <w:t>to </w:t>
      </w:r>
      <w:r>
        <w:rPr/>
        <w:t>the </w:t>
      </w:r>
      <w:r>
        <w:rPr>
          <w:spacing w:val="-4"/>
        </w:rPr>
        <w:t>desired </w:t>
      </w:r>
      <w:r>
        <w:rPr>
          <w:spacing w:val="-3"/>
        </w:rPr>
        <w:t>ADC </w:t>
      </w:r>
      <w:r>
        <w:rPr>
          <w:spacing w:val="-4"/>
        </w:rPr>
        <w:t>input number </w:t>
      </w:r>
      <w:r>
        <w:rPr>
          <w:spacing w:val="-3"/>
        </w:rPr>
        <w:t>or ADC </w:t>
      </w:r>
      <w:r>
        <w:rPr>
          <w:spacing w:val="-4"/>
        </w:rPr>
        <w:t>handle (i.e., </w:t>
      </w:r>
      <w:r>
        <w:rPr>
          <w:spacing w:val="-3"/>
        </w:rPr>
        <w:t>IADC0 to </w:t>
      </w:r>
      <w:r>
        <w:rPr>
          <w:spacing w:val="-4"/>
        </w:rPr>
        <w:t>VADC10, </w:t>
      </w:r>
      <w:r>
        <w:rPr>
          <w:spacing w:val="-3"/>
        </w:rPr>
        <w:t>or simply </w:t>
      </w:r>
      <w:r>
        <w:rPr/>
        <w:t>0 to 10 </w:t>
      </w:r>
      <w:r>
        <w:rPr>
          <w:spacing w:val="-4"/>
        </w:rPr>
        <w:t>decimal).</w:t>
      </w:r>
    </w:p>
    <w:p>
      <w:pPr>
        <w:pStyle w:val="BodyText"/>
        <w:spacing w:before="80"/>
        <w:ind w:left="479" w:right="585" w:firstLine="1"/>
      </w:pPr>
      <w:r>
        <w:rPr/>
        <w:t>The 71M6543 can support up to eleven sensor inputs, when all the current sensors are configured as single-ended inputs. If all the current sensor inputs are configured as differential (recommended </w:t>
      </w:r>
      <w:r>
        <w:rPr>
          <w:spacing w:val="2"/>
        </w:rPr>
        <w:t>for   </w:t>
      </w:r>
      <w:r>
        <w:rPr/>
        <w:t>best performance), the number of input sensor channels is reduced to seven (i.e., IADC0-1, IADC2-3, IADC4-5, IADC6-7, VADC8, VADC9 and VADC10). The </w:t>
      </w:r>
      <w:r>
        <w:rPr>
          <w:rFonts w:ascii="Times New Roman"/>
          <w:i/>
        </w:rPr>
        <w:t>MUXn_SEL[3:0] </w:t>
      </w:r>
      <w:r>
        <w:rPr/>
        <w:t>column in </w:t>
      </w:r>
      <w:hyperlink w:history="true" w:anchor="_bookmark221">
        <w:r>
          <w:rPr>
            <w:color w:val="0000FF"/>
          </w:rPr>
          <w:t>Table 72 </w:t>
        </w:r>
      </w:hyperlink>
      <w:r>
        <w:rPr/>
        <w:t>shows the </w:t>
      </w:r>
      <w:r>
        <w:rPr>
          <w:rFonts w:ascii="Times New Roman"/>
          <w:i/>
        </w:rPr>
        <w:t>MUXn_SEL </w:t>
      </w:r>
      <w:r>
        <w:rPr/>
        <w:t>handles for the various sensor input pins. For example, </w:t>
      </w:r>
      <w:r>
        <w:rPr>
          <w:spacing w:val="-3"/>
        </w:rPr>
        <w:t>if differential </w:t>
      </w:r>
      <w:r>
        <w:rPr/>
        <w:t>mode is </w:t>
      </w:r>
      <w:r>
        <w:rPr>
          <w:spacing w:val="-3"/>
        </w:rPr>
        <w:t>enabled via control bit </w:t>
      </w:r>
      <w:r>
        <w:rPr>
          <w:rFonts w:ascii="Times New Roman"/>
          <w:i/>
        </w:rPr>
        <w:t>DIFF0_E </w:t>
      </w:r>
      <w:r>
        <w:rPr/>
        <w:t>= 1 (</w:t>
      </w:r>
      <w:r>
        <w:rPr>
          <w:rFonts w:ascii="Times New Roman"/>
          <w:i/>
        </w:rPr>
        <w:t>I/O RAM 0x210C[4]</w:t>
      </w:r>
      <w:r>
        <w:rPr/>
        <w:t>), </w:t>
      </w:r>
      <w:r>
        <w:rPr>
          <w:spacing w:val="-3"/>
        </w:rPr>
        <w:t>then </w:t>
      </w:r>
      <w:r>
        <w:rPr/>
        <w:t>the </w:t>
      </w:r>
      <w:r>
        <w:rPr>
          <w:spacing w:val="-3"/>
        </w:rPr>
        <w:t>IADC0-IADC1 input pins </w:t>
      </w:r>
      <w:r>
        <w:rPr/>
        <w:t>are </w:t>
      </w:r>
      <w:r>
        <w:rPr>
          <w:spacing w:val="-3"/>
        </w:rPr>
        <w:t>combined together </w:t>
      </w:r>
      <w:r>
        <w:rPr/>
        <w:t>to </w:t>
      </w:r>
      <w:r>
        <w:rPr>
          <w:spacing w:val="-3"/>
        </w:rPr>
        <w:t>form </w:t>
      </w:r>
      <w:r>
        <w:rPr/>
        <w:t>a </w:t>
      </w:r>
      <w:r>
        <w:rPr>
          <w:spacing w:val="-3"/>
        </w:rPr>
        <w:t>single differential input </w:t>
      </w:r>
      <w:r>
        <w:rPr/>
        <w:t>and the </w:t>
      </w:r>
      <w:r>
        <w:rPr>
          <w:spacing w:val="-3"/>
        </w:rPr>
        <w:t>corresponding </w:t>
      </w:r>
      <w:r>
        <w:rPr>
          <w:rFonts w:ascii="Times New Roman"/>
          <w:i/>
        </w:rPr>
        <w:t>MUXn_SEL </w:t>
      </w:r>
      <w:r>
        <w:rPr>
          <w:spacing w:val="-3"/>
        </w:rPr>
        <w:t>handle </w:t>
      </w:r>
      <w:r>
        <w:rPr/>
        <w:t>is 0 </w:t>
      </w:r>
      <w:r>
        <w:rPr>
          <w:spacing w:val="-3"/>
        </w:rPr>
        <w:t>(i.e., </w:t>
      </w:r>
      <w:r>
        <w:rPr>
          <w:spacing w:val="-4"/>
        </w:rPr>
        <w:t>handle </w:t>
      </w:r>
      <w:r>
        <w:rPr/>
        <w:t>1 is </w:t>
      </w:r>
      <w:r>
        <w:rPr>
          <w:spacing w:val="-3"/>
        </w:rPr>
        <w:t>then unused). Similarly,</w:t>
      </w:r>
      <w:r>
        <w:rPr>
          <w:spacing w:val="-8"/>
        </w:rPr>
        <w:t> </w:t>
      </w:r>
      <w:r>
        <w:rPr/>
        <w:t>the</w:t>
      </w:r>
      <w:r>
        <w:rPr>
          <w:spacing w:val="-8"/>
        </w:rPr>
        <w:t> </w:t>
      </w:r>
      <w:r>
        <w:rPr/>
        <w:t>CE</w:t>
      </w:r>
      <w:r>
        <w:rPr>
          <w:spacing w:val="-7"/>
        </w:rPr>
        <w:t> </w:t>
      </w:r>
      <w:r>
        <w:rPr>
          <w:spacing w:val="-3"/>
        </w:rPr>
        <w:t>RAM</w:t>
      </w:r>
      <w:r>
        <w:rPr>
          <w:spacing w:val="-8"/>
        </w:rPr>
        <w:t> </w:t>
      </w:r>
      <w:r>
        <w:rPr>
          <w:spacing w:val="-3"/>
        </w:rPr>
        <w:t>location</w:t>
      </w:r>
      <w:r>
        <w:rPr>
          <w:spacing w:val="-8"/>
        </w:rPr>
        <w:t> </w:t>
      </w:r>
      <w:r>
        <w:rPr>
          <w:spacing w:val="-3"/>
        </w:rPr>
        <w:t>column</w:t>
      </w:r>
      <w:r>
        <w:rPr>
          <w:spacing w:val="-7"/>
        </w:rPr>
        <w:t> </w:t>
      </w:r>
      <w:r>
        <w:rPr>
          <w:spacing w:val="-3"/>
        </w:rPr>
        <w:t>provides</w:t>
      </w:r>
      <w:r>
        <w:rPr>
          <w:spacing w:val="-6"/>
        </w:rPr>
        <w:t> </w:t>
      </w:r>
      <w:r>
        <w:rPr/>
        <w:t>the</w:t>
      </w:r>
      <w:r>
        <w:rPr>
          <w:spacing w:val="-8"/>
        </w:rPr>
        <w:t> </w:t>
      </w:r>
      <w:r>
        <w:rPr/>
        <w:t>CE</w:t>
      </w:r>
      <w:r>
        <w:rPr>
          <w:spacing w:val="-10"/>
        </w:rPr>
        <w:t> </w:t>
      </w:r>
      <w:r>
        <w:rPr>
          <w:spacing w:val="-3"/>
        </w:rPr>
        <w:t>RAM</w:t>
      </w:r>
      <w:r>
        <w:rPr>
          <w:spacing w:val="-8"/>
        </w:rPr>
        <w:t> </w:t>
      </w:r>
      <w:r>
        <w:rPr>
          <w:spacing w:val="-3"/>
        </w:rPr>
        <w:t>address</w:t>
      </w:r>
      <w:r>
        <w:rPr>
          <w:spacing w:val="-6"/>
        </w:rPr>
        <w:t> </w:t>
      </w:r>
      <w:r>
        <w:rPr>
          <w:spacing w:val="-3"/>
        </w:rPr>
        <w:t>where</w:t>
      </w:r>
      <w:r>
        <w:rPr>
          <w:spacing w:val="-7"/>
        </w:rPr>
        <w:t> </w:t>
      </w:r>
      <w:r>
        <w:rPr/>
        <w:t>the</w:t>
      </w:r>
      <w:r>
        <w:rPr>
          <w:spacing w:val="-8"/>
        </w:rPr>
        <w:t> </w:t>
      </w:r>
      <w:r>
        <w:rPr>
          <w:spacing w:val="-3"/>
        </w:rPr>
        <w:t>corresponding</w:t>
      </w:r>
      <w:r>
        <w:rPr>
          <w:spacing w:val="-7"/>
        </w:rPr>
        <w:t> </w:t>
      </w:r>
      <w:r>
        <w:rPr>
          <w:spacing w:val="-3"/>
        </w:rPr>
        <w:t>sample</w:t>
      </w:r>
      <w:r>
        <w:rPr>
          <w:spacing w:val="-7"/>
        </w:rPr>
        <w:t> </w:t>
      </w:r>
      <w:r>
        <w:rPr>
          <w:spacing w:val="-3"/>
        </w:rPr>
        <w:t>data </w:t>
      </w:r>
      <w:r>
        <w:rPr/>
        <w:t>is </w:t>
      </w:r>
      <w:r>
        <w:rPr>
          <w:spacing w:val="-3"/>
        </w:rPr>
        <w:t>stored. Continuing with </w:t>
      </w:r>
      <w:r>
        <w:rPr/>
        <w:t>the same </w:t>
      </w:r>
      <w:r>
        <w:rPr>
          <w:spacing w:val="-3"/>
        </w:rPr>
        <w:t>example, if </w:t>
      </w:r>
      <w:r>
        <w:rPr>
          <w:rFonts w:ascii="Times New Roman"/>
          <w:i/>
        </w:rPr>
        <w:t>DIFF0_E </w:t>
      </w:r>
      <w:r>
        <w:rPr/>
        <w:t>= 1, the </w:t>
      </w:r>
      <w:r>
        <w:rPr>
          <w:spacing w:val="-3"/>
        </w:rPr>
        <w:t>corresponding </w:t>
      </w:r>
      <w:r>
        <w:rPr>
          <w:rFonts w:ascii="Times New Roman"/>
          <w:i/>
        </w:rPr>
        <w:t>CE RAM </w:t>
      </w:r>
      <w:r>
        <w:rPr>
          <w:spacing w:val="-3"/>
        </w:rPr>
        <w:t>location where the samples </w:t>
      </w:r>
      <w:r>
        <w:rPr/>
        <w:t>for the </w:t>
      </w:r>
      <w:r>
        <w:rPr>
          <w:spacing w:val="-3"/>
        </w:rPr>
        <w:t>IADC0-IADC1 differential input </w:t>
      </w:r>
      <w:r>
        <w:rPr/>
        <w:t>are </w:t>
      </w:r>
      <w:r>
        <w:rPr>
          <w:spacing w:val="-3"/>
        </w:rPr>
        <w:t>stored </w:t>
      </w:r>
      <w:r>
        <w:rPr/>
        <w:t>is </w:t>
      </w:r>
      <w:r>
        <w:rPr>
          <w:rFonts w:ascii="Times New Roman"/>
          <w:i/>
        </w:rPr>
        <w:t>CE RAM</w:t>
      </w:r>
      <w:r>
        <w:rPr>
          <w:rFonts w:ascii="Times New Roman"/>
          <w:i/>
          <w:spacing w:val="10"/>
        </w:rPr>
        <w:t> </w:t>
      </w:r>
      <w:r>
        <w:rPr>
          <w:spacing w:val="-3"/>
        </w:rPr>
        <w:t>0.</w:t>
      </w:r>
    </w:p>
    <w:p>
      <w:pPr>
        <w:pStyle w:val="BodyText"/>
        <w:spacing w:before="81"/>
        <w:ind w:left="478" w:right="518" w:firstLine="1"/>
      </w:pPr>
      <w:r>
        <w:rPr/>
        <w:t>The </w:t>
      </w:r>
      <w:r>
        <w:rPr>
          <w:spacing w:val="-3"/>
        </w:rPr>
        <w:t>IADC2-3, IADC4-5 </w:t>
      </w:r>
      <w:r>
        <w:rPr/>
        <w:t>and </w:t>
      </w:r>
      <w:r>
        <w:rPr>
          <w:spacing w:val="-3"/>
        </w:rPr>
        <w:t>IADC6-7 inputs </w:t>
      </w:r>
      <w:r>
        <w:rPr/>
        <w:t>can be </w:t>
      </w:r>
      <w:r>
        <w:rPr>
          <w:spacing w:val="-3"/>
        </w:rPr>
        <w:t>configured </w:t>
      </w:r>
      <w:r>
        <w:rPr/>
        <w:t>as </w:t>
      </w:r>
      <w:r>
        <w:rPr>
          <w:spacing w:val="-3"/>
        </w:rPr>
        <w:t>direct-connected sensors (i.e., directly connected</w:t>
      </w:r>
      <w:r>
        <w:rPr>
          <w:spacing w:val="-8"/>
        </w:rPr>
        <w:t> </w:t>
      </w:r>
      <w:r>
        <w:rPr/>
        <w:t>to</w:t>
      </w:r>
      <w:r>
        <w:rPr>
          <w:spacing w:val="-7"/>
        </w:rPr>
        <w:t> </w:t>
      </w:r>
      <w:r>
        <w:rPr/>
        <w:t>the</w:t>
      </w:r>
      <w:r>
        <w:rPr>
          <w:spacing w:val="-8"/>
        </w:rPr>
        <w:t> </w:t>
      </w:r>
      <w:r>
        <w:rPr>
          <w:spacing w:val="-3"/>
        </w:rPr>
        <w:t>71M6543)</w:t>
      </w:r>
      <w:r>
        <w:rPr>
          <w:spacing w:val="-8"/>
        </w:rPr>
        <w:t> </w:t>
      </w:r>
      <w:r>
        <w:rPr/>
        <w:t>or</w:t>
      </w:r>
      <w:r>
        <w:rPr>
          <w:spacing w:val="-7"/>
        </w:rPr>
        <w:t> </w:t>
      </w:r>
      <w:r>
        <w:rPr/>
        <w:t>as</w:t>
      </w:r>
      <w:r>
        <w:rPr>
          <w:spacing w:val="-8"/>
        </w:rPr>
        <w:t> </w:t>
      </w:r>
      <w:r>
        <w:rPr>
          <w:spacing w:val="-2"/>
        </w:rPr>
        <w:t>remote</w:t>
      </w:r>
      <w:r>
        <w:rPr>
          <w:spacing w:val="-11"/>
        </w:rPr>
        <w:t> </w:t>
      </w:r>
      <w:r>
        <w:rPr>
          <w:spacing w:val="-3"/>
        </w:rPr>
        <w:t>sensors</w:t>
      </w:r>
      <w:r>
        <w:rPr>
          <w:spacing w:val="-8"/>
        </w:rPr>
        <w:t> </w:t>
      </w:r>
      <w:r>
        <w:rPr>
          <w:spacing w:val="-3"/>
        </w:rPr>
        <w:t>(i.e.,</w:t>
      </w:r>
      <w:r>
        <w:rPr>
          <w:spacing w:val="-7"/>
        </w:rPr>
        <w:t> </w:t>
      </w:r>
      <w:r>
        <w:rPr>
          <w:spacing w:val="-3"/>
        </w:rPr>
        <w:t>using</w:t>
      </w:r>
      <w:r>
        <w:rPr>
          <w:spacing w:val="-8"/>
        </w:rPr>
        <w:t> </w:t>
      </w:r>
      <w:r>
        <w:rPr/>
        <w:t>a</w:t>
      </w:r>
      <w:r>
        <w:rPr>
          <w:spacing w:val="-7"/>
        </w:rPr>
        <w:t> </w:t>
      </w:r>
      <w:r>
        <w:rPr>
          <w:spacing w:val="-3"/>
        </w:rPr>
        <w:t>71M6xx3</w:t>
      </w:r>
      <w:r>
        <w:rPr>
          <w:spacing w:val="-8"/>
        </w:rPr>
        <w:t> </w:t>
      </w:r>
      <w:r>
        <w:rPr>
          <w:spacing w:val="-3"/>
        </w:rPr>
        <w:t>Isolated</w:t>
      </w:r>
      <w:r>
        <w:rPr>
          <w:spacing w:val="-7"/>
        </w:rPr>
        <w:t> </w:t>
      </w:r>
      <w:r>
        <w:rPr>
          <w:spacing w:val="-3"/>
        </w:rPr>
        <w:t>Sensor).</w:t>
      </w:r>
      <w:r>
        <w:rPr>
          <w:spacing w:val="-10"/>
        </w:rPr>
        <w:t> </w:t>
      </w:r>
      <w:r>
        <w:rPr/>
        <w:t>For</w:t>
      </w:r>
      <w:r>
        <w:rPr>
          <w:spacing w:val="-6"/>
        </w:rPr>
        <w:t> </w:t>
      </w:r>
      <w:r>
        <w:rPr>
          <w:spacing w:val="-3"/>
        </w:rPr>
        <w:t>example,</w:t>
      </w:r>
      <w:r>
        <w:rPr>
          <w:spacing w:val="-7"/>
        </w:rPr>
        <w:t> </w:t>
      </w:r>
      <w:r>
        <w:rPr>
          <w:spacing w:val="-3"/>
        </w:rPr>
        <w:t>if</w:t>
      </w:r>
      <w:r>
        <w:rPr>
          <w:spacing w:val="-4"/>
        </w:rPr>
        <w:t> </w:t>
      </w:r>
      <w:r>
        <w:rPr>
          <w:spacing w:val="-3"/>
        </w:rPr>
        <w:t>the IADC2-3 </w:t>
      </w:r>
      <w:r>
        <w:rPr>
          <w:spacing w:val="-2"/>
        </w:rPr>
        <w:t>remote </w:t>
      </w:r>
      <w:r>
        <w:rPr>
          <w:spacing w:val="-3"/>
        </w:rPr>
        <w:t>sensor </w:t>
      </w:r>
      <w:r>
        <w:rPr/>
        <w:t>is </w:t>
      </w:r>
      <w:r>
        <w:rPr>
          <w:spacing w:val="-3"/>
        </w:rPr>
        <w:t>disabled </w:t>
      </w:r>
      <w:r>
        <w:rPr/>
        <w:t>by </w:t>
      </w:r>
      <w:r>
        <w:rPr>
          <w:rFonts w:ascii="Times New Roman" w:hAnsi="Times New Roman"/>
          <w:i/>
        </w:rPr>
        <w:t>RMT2_E </w:t>
      </w:r>
      <w:r>
        <w:rPr/>
        <w:t>= 0 (</w:t>
      </w:r>
      <w:r>
        <w:rPr>
          <w:rFonts w:ascii="Times New Roman" w:hAnsi="Times New Roman"/>
          <w:i/>
        </w:rPr>
        <w:t>I/O RAM 0x2007[3]</w:t>
      </w:r>
      <w:r>
        <w:rPr/>
        <w:t>) and </w:t>
      </w:r>
      <w:r>
        <w:rPr>
          <w:spacing w:val="-3"/>
        </w:rPr>
        <w:t>differential </w:t>
      </w:r>
      <w:r>
        <w:rPr/>
        <w:t>mode is </w:t>
      </w:r>
      <w:r>
        <w:rPr>
          <w:spacing w:val="-3"/>
        </w:rPr>
        <w:t>enabled </w:t>
      </w:r>
      <w:r>
        <w:rPr/>
        <w:t>by </w:t>
      </w:r>
      <w:r>
        <w:rPr>
          <w:rFonts w:ascii="Times New Roman" w:hAnsi="Times New Roman"/>
          <w:i/>
        </w:rPr>
        <w:t>DIFF2_E </w:t>
      </w:r>
      <w:r>
        <w:rPr/>
        <w:t>= 1 (</w:t>
      </w:r>
      <w:r>
        <w:rPr>
          <w:rFonts w:ascii="Times New Roman" w:hAnsi="Times New Roman"/>
          <w:i/>
        </w:rPr>
        <w:t>I/O RAM 0x210C[4]</w:t>
      </w:r>
      <w:r>
        <w:rPr/>
        <w:t>), </w:t>
      </w:r>
      <w:r>
        <w:rPr>
          <w:spacing w:val="-3"/>
        </w:rPr>
        <w:t>then IADC2-IADC3 form </w:t>
      </w:r>
      <w:r>
        <w:rPr/>
        <w:t>a </w:t>
      </w:r>
      <w:r>
        <w:rPr>
          <w:spacing w:val="-4"/>
        </w:rPr>
        <w:t>differential </w:t>
      </w:r>
      <w:r>
        <w:rPr>
          <w:spacing w:val="-3"/>
        </w:rPr>
        <w:t>input with </w:t>
      </w:r>
      <w:r>
        <w:rPr/>
        <w:t>a </w:t>
      </w:r>
      <w:r>
        <w:rPr>
          <w:rFonts w:ascii="Times New Roman" w:hAnsi="Times New Roman"/>
          <w:i/>
        </w:rPr>
        <w:t>MUXn_SEL </w:t>
      </w:r>
      <w:r>
        <w:rPr>
          <w:spacing w:val="-3"/>
        </w:rPr>
        <w:t>handle </w:t>
      </w:r>
      <w:r>
        <w:rPr/>
        <w:t>of 2 </w:t>
      </w:r>
      <w:r>
        <w:rPr>
          <w:spacing w:val="-3"/>
        </w:rPr>
        <w:t>(i.e., handle </w:t>
      </w:r>
      <w:r>
        <w:rPr/>
        <w:t>3 is </w:t>
      </w:r>
      <w:r>
        <w:rPr>
          <w:spacing w:val="-3"/>
        </w:rPr>
        <w:t>then unused), </w:t>
      </w:r>
      <w:r>
        <w:rPr/>
        <w:t>and the </w:t>
      </w:r>
      <w:r>
        <w:rPr>
          <w:spacing w:val="-3"/>
        </w:rPr>
        <w:t>corresponding samples </w:t>
      </w:r>
      <w:r>
        <w:rPr/>
        <w:t>are </w:t>
      </w:r>
      <w:r>
        <w:rPr>
          <w:spacing w:val="-3"/>
        </w:rPr>
        <w:t>stored </w:t>
      </w:r>
      <w:r>
        <w:rPr/>
        <w:t>in CE </w:t>
      </w:r>
      <w:r>
        <w:rPr>
          <w:spacing w:val="-3"/>
        </w:rPr>
        <w:t>RAM location </w:t>
      </w:r>
      <w:r>
        <w:rPr/>
        <w:t>2. If </w:t>
      </w:r>
      <w:r>
        <w:rPr>
          <w:spacing w:val="-3"/>
        </w:rPr>
        <w:t>the </w:t>
      </w:r>
      <w:r>
        <w:rPr>
          <w:spacing w:val="-2"/>
        </w:rPr>
        <w:t>remote </w:t>
      </w:r>
      <w:r>
        <w:rPr>
          <w:spacing w:val="-3"/>
        </w:rPr>
        <w:t>sensor enable bit </w:t>
      </w:r>
      <w:r>
        <w:rPr>
          <w:rFonts w:ascii="Times New Roman" w:hAnsi="Times New Roman"/>
          <w:i/>
        </w:rPr>
        <w:t>RMT2_E </w:t>
      </w:r>
      <w:r>
        <w:rPr/>
        <w:t>= 1, </w:t>
      </w:r>
      <w:r>
        <w:rPr>
          <w:rFonts w:ascii="Times New Roman" w:hAnsi="Times New Roman"/>
          <w:i/>
        </w:rPr>
        <w:t>DIFF2_E </w:t>
      </w:r>
      <w:r>
        <w:rPr/>
        <w:t>= x </w:t>
      </w:r>
      <w:r>
        <w:rPr>
          <w:spacing w:val="-3"/>
        </w:rPr>
        <w:t>(don’t </w:t>
      </w:r>
      <w:r>
        <w:rPr/>
        <w:t>care), </w:t>
      </w:r>
      <w:r>
        <w:rPr>
          <w:spacing w:val="-3"/>
        </w:rPr>
        <w:t>then </w:t>
      </w:r>
      <w:r>
        <w:rPr/>
        <w:t>the </w:t>
      </w:r>
      <w:r>
        <w:rPr>
          <w:rFonts w:ascii="Times New Roman" w:hAnsi="Times New Roman"/>
          <w:i/>
        </w:rPr>
        <w:t>MUXn_SEL </w:t>
      </w:r>
      <w:r>
        <w:rPr>
          <w:spacing w:val="-3"/>
        </w:rPr>
        <w:t>handle </w:t>
      </w:r>
      <w:r>
        <w:rPr/>
        <w:t>is not </w:t>
      </w:r>
      <w:r>
        <w:rPr>
          <w:spacing w:val="-3"/>
        </w:rPr>
        <w:t>required (i.e., </w:t>
      </w:r>
      <w:r>
        <w:rPr/>
        <w:t>the </w:t>
      </w:r>
      <w:r>
        <w:rPr>
          <w:spacing w:val="-3"/>
        </w:rPr>
        <w:t>sensor </w:t>
      </w:r>
      <w:r>
        <w:rPr/>
        <w:t>is not connected to the 71M6543 multiplexer, so </w:t>
      </w:r>
      <w:r>
        <w:rPr>
          <w:rFonts w:ascii="Times New Roman" w:hAnsi="Times New Roman"/>
          <w:i/>
        </w:rPr>
        <w:t>MUXn_SEL </w:t>
      </w:r>
      <w:r>
        <w:rPr/>
        <w:t>does not apply), and the samples corresponding to this remote </w:t>
      </w:r>
      <w:r>
        <w:rPr>
          <w:spacing w:val="-3"/>
        </w:rPr>
        <w:t>differential IADC2-IADC3 input </w:t>
      </w:r>
      <w:r>
        <w:rPr/>
        <w:t>are </w:t>
      </w:r>
      <w:r>
        <w:rPr>
          <w:spacing w:val="-3"/>
        </w:rPr>
        <w:t>stored </w:t>
      </w:r>
      <w:r>
        <w:rPr/>
        <w:t>in CE </w:t>
      </w:r>
      <w:r>
        <w:rPr>
          <w:spacing w:val="-3"/>
        </w:rPr>
        <w:t>RAM location </w:t>
      </w:r>
      <w:r>
        <w:rPr/>
        <w:t>2 </w:t>
      </w:r>
      <w:r>
        <w:rPr>
          <w:spacing w:val="-3"/>
        </w:rPr>
        <w:t>directly </w:t>
      </w:r>
      <w:r>
        <w:rPr/>
        <w:t>by the </w:t>
      </w:r>
      <w:r>
        <w:rPr>
          <w:spacing w:val="-3"/>
        </w:rPr>
        <w:t>digital isolation interface (see </w:t>
      </w:r>
      <w:hyperlink w:history="true" w:anchor="_bookmark5">
        <w:r>
          <w:rPr>
            <w:color w:val="0000FF"/>
          </w:rPr>
          <w:t>Figure</w:t>
        </w:r>
        <w:r>
          <w:rPr>
            <w:color w:val="0000FF"/>
            <w:spacing w:val="-37"/>
          </w:rPr>
          <w:t> </w:t>
        </w:r>
        <w:r>
          <w:rPr>
            <w:color w:val="0000FF"/>
          </w:rPr>
          <w:t>2</w:t>
        </w:r>
      </w:hyperlink>
      <w:r>
        <w:rPr/>
        <w:t>).</w:t>
      </w:r>
    </w:p>
    <w:p>
      <w:pPr>
        <w:pStyle w:val="BodyText"/>
        <w:spacing w:before="80"/>
        <w:ind w:left="477" w:right="491"/>
      </w:pPr>
      <w:r>
        <w:rPr/>
        <w:t>The voltage sensor inputs (VADC8, VADC9 and VADC10) are always single-ended inputs and cannot be configured as remotes, so they do not have any associated configuration bits. VADC8 (VA) has a </w:t>
      </w:r>
      <w:r>
        <w:rPr>
          <w:rFonts w:ascii="Times New Roman"/>
          <w:i/>
        </w:rPr>
        <w:t>MUXn_SEL </w:t>
      </w:r>
      <w:r>
        <w:rPr/>
        <w:t>handle value of 8, and its samples are stored in CE RAM location 8. VADC9 (VB) has a </w:t>
      </w:r>
      <w:r>
        <w:rPr>
          <w:rFonts w:ascii="Times New Roman"/>
          <w:i/>
        </w:rPr>
        <w:t>MUXn_SEL </w:t>
      </w:r>
      <w:r>
        <w:rPr/>
        <w:t>handle value of 9 and its samples are stored in CE RAM location 9. VADC10 (VC) has a </w:t>
      </w:r>
      <w:r>
        <w:rPr>
          <w:rFonts w:ascii="Times New Roman"/>
          <w:i/>
        </w:rPr>
        <w:t>MUXn_SEL </w:t>
      </w:r>
      <w:r>
        <w:rPr/>
        <w:t>handle value of 10 and its samples are stored in CE RAM location 10.</w:t>
      </w:r>
    </w:p>
    <w:p>
      <w:pPr>
        <w:pStyle w:val="Heading1"/>
        <w:spacing w:before="79"/>
        <w:ind w:left="3201"/>
        <w:jc w:val="left"/>
      </w:pPr>
      <w:bookmarkStart w:name="_bookmark221" w:id="462"/>
      <w:bookmarkEnd w:id="462"/>
      <w:r>
        <w:rPr>
          <w:b w:val="0"/>
        </w:rPr>
      </w:r>
      <w:r>
        <w:rPr/>
        <w:t>Table 72: CE Raw Data Access Locations</w:t>
      </w:r>
    </w:p>
    <w:p>
      <w:pPr>
        <w:pStyle w:val="BodyText"/>
        <w:spacing w:before="6"/>
        <w:rPr>
          <w:b/>
          <w:sz w:val="5"/>
        </w:rPr>
      </w:pPr>
    </w:p>
    <w:tbl>
      <w:tblPr>
        <w:tblW w:w="0" w:type="auto"/>
        <w:jc w:val="left"/>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60"/>
        <w:gridCol w:w="636"/>
        <w:gridCol w:w="629"/>
        <w:gridCol w:w="631"/>
        <w:gridCol w:w="629"/>
        <w:gridCol w:w="720"/>
        <w:gridCol w:w="631"/>
        <w:gridCol w:w="674"/>
        <w:gridCol w:w="585"/>
      </w:tblGrid>
      <w:tr>
        <w:trPr>
          <w:trHeight w:val="287" w:hRule="atLeast"/>
        </w:trPr>
        <w:tc>
          <w:tcPr>
            <w:tcW w:w="1860" w:type="dxa"/>
          </w:tcPr>
          <w:p>
            <w:pPr>
              <w:pStyle w:val="TableParagraph"/>
              <w:spacing w:before="32"/>
              <w:ind w:left="643" w:right="634"/>
              <w:jc w:val="center"/>
              <w:rPr>
                <w:b/>
                <w:sz w:val="18"/>
              </w:rPr>
            </w:pPr>
            <w:r>
              <w:rPr>
                <w:b/>
                <w:sz w:val="18"/>
              </w:rPr>
              <w:t>Pin</w:t>
            </w:r>
          </w:p>
        </w:tc>
        <w:tc>
          <w:tcPr>
            <w:tcW w:w="2525" w:type="dxa"/>
            <w:gridSpan w:val="4"/>
          </w:tcPr>
          <w:p>
            <w:pPr>
              <w:pStyle w:val="TableParagraph"/>
              <w:spacing w:before="32"/>
              <w:ind w:left="470"/>
              <w:rPr>
                <w:b/>
                <w:sz w:val="18"/>
              </w:rPr>
            </w:pPr>
            <w:r>
              <w:rPr>
                <w:rFonts w:ascii="Times New Roman"/>
                <w:b/>
                <w:i/>
                <w:sz w:val="18"/>
              </w:rPr>
              <w:t>MUXn_SEL </w:t>
            </w:r>
            <w:r>
              <w:rPr>
                <w:b/>
                <w:sz w:val="18"/>
              </w:rPr>
              <w:t>Handle</w:t>
            </w:r>
          </w:p>
        </w:tc>
        <w:tc>
          <w:tcPr>
            <w:tcW w:w="2610" w:type="dxa"/>
            <w:gridSpan w:val="4"/>
          </w:tcPr>
          <w:p>
            <w:pPr>
              <w:pStyle w:val="TableParagraph"/>
              <w:spacing w:before="32"/>
              <w:ind w:left="549"/>
              <w:rPr>
                <w:b/>
                <w:sz w:val="18"/>
              </w:rPr>
            </w:pPr>
            <w:r>
              <w:rPr>
                <w:b/>
                <w:sz w:val="18"/>
              </w:rPr>
              <w:t>CE RAM Location</w:t>
            </w:r>
          </w:p>
        </w:tc>
      </w:tr>
      <w:tr>
        <w:trPr>
          <w:trHeight w:val="246" w:hRule="atLeast"/>
        </w:trPr>
        <w:tc>
          <w:tcPr>
            <w:tcW w:w="1860" w:type="dxa"/>
            <w:shd w:val="clear" w:color="auto" w:fill="F3F3F3"/>
          </w:tcPr>
          <w:p>
            <w:pPr>
              <w:pStyle w:val="TableParagraph"/>
              <w:rPr>
                <w:rFonts w:ascii="Times New Roman"/>
                <w:sz w:val="16"/>
              </w:rPr>
            </w:pPr>
          </w:p>
        </w:tc>
        <w:tc>
          <w:tcPr>
            <w:tcW w:w="1265" w:type="dxa"/>
            <w:gridSpan w:val="2"/>
          </w:tcPr>
          <w:p>
            <w:pPr>
              <w:pStyle w:val="TableParagraph"/>
              <w:spacing w:before="14"/>
              <w:ind w:left="280"/>
              <w:rPr>
                <w:rFonts w:ascii="Times New Roman"/>
                <w:i/>
                <w:sz w:val="18"/>
              </w:rPr>
            </w:pPr>
            <w:r>
              <w:rPr>
                <w:rFonts w:ascii="Times New Roman"/>
                <w:i/>
                <w:sz w:val="18"/>
              </w:rPr>
              <w:t>DIFF0_E</w:t>
            </w:r>
          </w:p>
        </w:tc>
        <w:tc>
          <w:tcPr>
            <w:tcW w:w="1260" w:type="dxa"/>
            <w:gridSpan w:val="2"/>
            <w:shd w:val="clear" w:color="auto" w:fill="F3F3F3"/>
          </w:tcPr>
          <w:p>
            <w:pPr>
              <w:pStyle w:val="TableParagraph"/>
              <w:rPr>
                <w:rFonts w:ascii="Times New Roman"/>
                <w:sz w:val="16"/>
              </w:rPr>
            </w:pPr>
          </w:p>
        </w:tc>
        <w:tc>
          <w:tcPr>
            <w:tcW w:w="1351" w:type="dxa"/>
            <w:gridSpan w:val="2"/>
          </w:tcPr>
          <w:p>
            <w:pPr>
              <w:pStyle w:val="TableParagraph"/>
              <w:spacing w:before="14"/>
              <w:ind w:left="323"/>
              <w:rPr>
                <w:rFonts w:ascii="Times New Roman"/>
                <w:i/>
                <w:sz w:val="18"/>
              </w:rPr>
            </w:pPr>
            <w:r>
              <w:rPr>
                <w:rFonts w:ascii="Times New Roman"/>
                <w:i/>
                <w:sz w:val="18"/>
              </w:rPr>
              <w:t>DIFF0_E</w:t>
            </w:r>
          </w:p>
        </w:tc>
        <w:tc>
          <w:tcPr>
            <w:tcW w:w="1259" w:type="dxa"/>
            <w:gridSpan w:val="2"/>
            <w:shd w:val="clear" w:color="auto" w:fill="F3F3F3"/>
          </w:tcPr>
          <w:p>
            <w:pPr>
              <w:pStyle w:val="TableParagraph"/>
              <w:rPr>
                <w:rFonts w:ascii="Times New Roman"/>
                <w:sz w:val="16"/>
              </w:rPr>
            </w:pPr>
          </w:p>
        </w:tc>
      </w:tr>
      <w:tr>
        <w:trPr>
          <w:trHeight w:val="246" w:hRule="atLeast"/>
        </w:trPr>
        <w:tc>
          <w:tcPr>
            <w:tcW w:w="1860" w:type="dxa"/>
            <w:shd w:val="clear" w:color="auto" w:fill="F3F3F3"/>
          </w:tcPr>
          <w:p>
            <w:pPr>
              <w:pStyle w:val="TableParagraph"/>
              <w:rPr>
                <w:rFonts w:ascii="Times New Roman"/>
                <w:sz w:val="16"/>
              </w:rPr>
            </w:pPr>
          </w:p>
        </w:tc>
        <w:tc>
          <w:tcPr>
            <w:tcW w:w="636" w:type="dxa"/>
          </w:tcPr>
          <w:p>
            <w:pPr>
              <w:pStyle w:val="TableParagraph"/>
              <w:spacing w:before="18"/>
              <w:ind w:right="257"/>
              <w:jc w:val="right"/>
              <w:rPr>
                <w:sz w:val="18"/>
              </w:rPr>
            </w:pPr>
            <w:r>
              <w:rPr>
                <w:sz w:val="18"/>
              </w:rPr>
              <w:t>0</w:t>
            </w:r>
          </w:p>
        </w:tc>
        <w:tc>
          <w:tcPr>
            <w:tcW w:w="629" w:type="dxa"/>
          </w:tcPr>
          <w:p>
            <w:pPr>
              <w:pStyle w:val="TableParagraph"/>
              <w:spacing w:before="18"/>
              <w:ind w:right="255"/>
              <w:jc w:val="right"/>
              <w:rPr>
                <w:sz w:val="18"/>
              </w:rPr>
            </w:pPr>
            <w:r>
              <w:rPr>
                <w:sz w:val="18"/>
              </w:rPr>
              <w:t>1</w:t>
            </w:r>
          </w:p>
        </w:tc>
        <w:tc>
          <w:tcPr>
            <w:tcW w:w="1260" w:type="dxa"/>
            <w:gridSpan w:val="2"/>
            <w:vMerge w:val="restart"/>
            <w:shd w:val="clear" w:color="auto" w:fill="F3F3F3"/>
          </w:tcPr>
          <w:p>
            <w:pPr>
              <w:pStyle w:val="TableParagraph"/>
              <w:rPr>
                <w:rFonts w:ascii="Times New Roman"/>
                <w:sz w:val="18"/>
              </w:rPr>
            </w:pPr>
          </w:p>
        </w:tc>
        <w:tc>
          <w:tcPr>
            <w:tcW w:w="720" w:type="dxa"/>
            <w:shd w:val="clear" w:color="auto" w:fill="F3F3F3"/>
          </w:tcPr>
          <w:p>
            <w:pPr>
              <w:pStyle w:val="TableParagraph"/>
              <w:spacing w:before="18"/>
              <w:ind w:left="309"/>
              <w:rPr>
                <w:sz w:val="18"/>
              </w:rPr>
            </w:pPr>
            <w:r>
              <w:rPr>
                <w:sz w:val="18"/>
              </w:rPr>
              <w:t>0</w:t>
            </w:r>
          </w:p>
        </w:tc>
        <w:tc>
          <w:tcPr>
            <w:tcW w:w="631" w:type="dxa"/>
            <w:shd w:val="clear" w:color="auto" w:fill="F3F3F3"/>
          </w:tcPr>
          <w:p>
            <w:pPr>
              <w:pStyle w:val="TableParagraph"/>
              <w:spacing w:before="18"/>
              <w:ind w:left="6"/>
              <w:jc w:val="center"/>
              <w:rPr>
                <w:sz w:val="18"/>
              </w:rPr>
            </w:pPr>
            <w:r>
              <w:rPr>
                <w:sz w:val="18"/>
              </w:rPr>
              <w:t>1</w:t>
            </w:r>
          </w:p>
        </w:tc>
        <w:tc>
          <w:tcPr>
            <w:tcW w:w="1259" w:type="dxa"/>
            <w:gridSpan w:val="2"/>
            <w:vMerge w:val="restart"/>
            <w:shd w:val="clear" w:color="auto" w:fill="F3F3F3"/>
          </w:tcPr>
          <w:p>
            <w:pPr>
              <w:pStyle w:val="TableParagraph"/>
              <w:rPr>
                <w:rFonts w:ascii="Times New Roman"/>
                <w:sz w:val="18"/>
              </w:rPr>
            </w:pPr>
          </w:p>
        </w:tc>
      </w:tr>
      <w:tr>
        <w:trPr>
          <w:trHeight w:val="246" w:hRule="atLeast"/>
        </w:trPr>
        <w:tc>
          <w:tcPr>
            <w:tcW w:w="1860" w:type="dxa"/>
          </w:tcPr>
          <w:p>
            <w:pPr>
              <w:pStyle w:val="TableParagraph"/>
              <w:spacing w:before="18"/>
              <w:ind w:left="643" w:right="635"/>
              <w:jc w:val="center"/>
              <w:rPr>
                <w:sz w:val="18"/>
              </w:rPr>
            </w:pPr>
            <w:r>
              <w:rPr>
                <w:sz w:val="18"/>
              </w:rPr>
              <w:t>IADC0</w:t>
            </w:r>
          </w:p>
        </w:tc>
        <w:tc>
          <w:tcPr>
            <w:tcW w:w="636" w:type="dxa"/>
            <w:shd w:val="clear" w:color="auto" w:fill="F3F3F3"/>
          </w:tcPr>
          <w:p>
            <w:pPr>
              <w:pStyle w:val="TableParagraph"/>
              <w:spacing w:before="18"/>
              <w:ind w:right="257"/>
              <w:jc w:val="right"/>
              <w:rPr>
                <w:sz w:val="18"/>
              </w:rPr>
            </w:pPr>
            <w:r>
              <w:rPr>
                <w:sz w:val="18"/>
              </w:rPr>
              <w:t>0</w:t>
            </w:r>
          </w:p>
        </w:tc>
        <w:tc>
          <w:tcPr>
            <w:tcW w:w="629" w:type="dxa"/>
            <w:vMerge w:val="restart"/>
          </w:tcPr>
          <w:p>
            <w:pPr>
              <w:pStyle w:val="TableParagraph"/>
              <w:spacing w:before="147"/>
              <w:ind w:left="3"/>
              <w:jc w:val="center"/>
              <w:rPr>
                <w:sz w:val="18"/>
              </w:rPr>
            </w:pPr>
            <w:r>
              <w:rPr>
                <w:sz w:val="18"/>
              </w:rPr>
              <w:t>0</w:t>
            </w:r>
          </w:p>
        </w:tc>
        <w:tc>
          <w:tcPr>
            <w:tcW w:w="1260" w:type="dxa"/>
            <w:gridSpan w:val="2"/>
            <w:vMerge/>
            <w:tcBorders>
              <w:top w:val="nil"/>
            </w:tcBorders>
            <w:shd w:val="clear" w:color="auto" w:fill="F3F3F3"/>
          </w:tcPr>
          <w:p>
            <w:pPr>
              <w:rPr>
                <w:sz w:val="2"/>
                <w:szCs w:val="2"/>
              </w:rPr>
            </w:pPr>
          </w:p>
        </w:tc>
        <w:tc>
          <w:tcPr>
            <w:tcW w:w="720" w:type="dxa"/>
          </w:tcPr>
          <w:p>
            <w:pPr>
              <w:pStyle w:val="TableParagraph"/>
              <w:spacing w:before="18"/>
              <w:ind w:left="309"/>
              <w:rPr>
                <w:sz w:val="18"/>
              </w:rPr>
            </w:pPr>
            <w:r>
              <w:rPr>
                <w:sz w:val="18"/>
              </w:rPr>
              <w:t>0</w:t>
            </w:r>
          </w:p>
        </w:tc>
        <w:tc>
          <w:tcPr>
            <w:tcW w:w="631" w:type="dxa"/>
            <w:vMerge w:val="restart"/>
          </w:tcPr>
          <w:p>
            <w:pPr>
              <w:pStyle w:val="TableParagraph"/>
              <w:spacing w:before="147"/>
              <w:ind w:left="6"/>
              <w:jc w:val="center"/>
              <w:rPr>
                <w:sz w:val="18"/>
              </w:rPr>
            </w:pPr>
            <w:r>
              <w:rPr>
                <w:sz w:val="18"/>
              </w:rPr>
              <w:t>0</w:t>
            </w:r>
          </w:p>
        </w:tc>
        <w:tc>
          <w:tcPr>
            <w:tcW w:w="1259" w:type="dxa"/>
            <w:gridSpan w:val="2"/>
            <w:vMerge/>
            <w:tcBorders>
              <w:top w:val="nil"/>
            </w:tcBorders>
            <w:shd w:val="clear" w:color="auto" w:fill="F3F3F3"/>
          </w:tcPr>
          <w:p>
            <w:pPr>
              <w:rPr>
                <w:sz w:val="2"/>
                <w:szCs w:val="2"/>
              </w:rPr>
            </w:pPr>
          </w:p>
        </w:tc>
      </w:tr>
      <w:tr>
        <w:trPr>
          <w:trHeight w:val="246" w:hRule="atLeast"/>
        </w:trPr>
        <w:tc>
          <w:tcPr>
            <w:tcW w:w="1860" w:type="dxa"/>
          </w:tcPr>
          <w:p>
            <w:pPr>
              <w:pStyle w:val="TableParagraph"/>
              <w:spacing w:before="18"/>
              <w:ind w:left="643" w:right="635"/>
              <w:jc w:val="center"/>
              <w:rPr>
                <w:sz w:val="18"/>
              </w:rPr>
            </w:pPr>
            <w:r>
              <w:rPr>
                <w:sz w:val="18"/>
              </w:rPr>
              <w:t>IADC1</w:t>
            </w:r>
          </w:p>
        </w:tc>
        <w:tc>
          <w:tcPr>
            <w:tcW w:w="636" w:type="dxa"/>
            <w:shd w:val="clear" w:color="auto" w:fill="F3F3F3"/>
          </w:tcPr>
          <w:p>
            <w:pPr>
              <w:pStyle w:val="TableParagraph"/>
              <w:spacing w:before="18"/>
              <w:ind w:right="257"/>
              <w:jc w:val="right"/>
              <w:rPr>
                <w:sz w:val="18"/>
              </w:rPr>
            </w:pPr>
            <w:r>
              <w:rPr>
                <w:sz w:val="18"/>
              </w:rPr>
              <w:t>1</w:t>
            </w:r>
          </w:p>
        </w:tc>
        <w:tc>
          <w:tcPr>
            <w:tcW w:w="629" w:type="dxa"/>
            <w:vMerge/>
            <w:tcBorders>
              <w:top w:val="nil"/>
            </w:tcBorders>
          </w:tcPr>
          <w:p>
            <w:pPr>
              <w:rPr>
                <w:sz w:val="2"/>
                <w:szCs w:val="2"/>
              </w:rPr>
            </w:pPr>
          </w:p>
        </w:tc>
        <w:tc>
          <w:tcPr>
            <w:tcW w:w="1260" w:type="dxa"/>
            <w:gridSpan w:val="2"/>
            <w:vMerge/>
            <w:tcBorders>
              <w:top w:val="nil"/>
            </w:tcBorders>
            <w:shd w:val="clear" w:color="auto" w:fill="F3F3F3"/>
          </w:tcPr>
          <w:p>
            <w:pPr>
              <w:rPr>
                <w:sz w:val="2"/>
                <w:szCs w:val="2"/>
              </w:rPr>
            </w:pPr>
          </w:p>
        </w:tc>
        <w:tc>
          <w:tcPr>
            <w:tcW w:w="720" w:type="dxa"/>
          </w:tcPr>
          <w:p>
            <w:pPr>
              <w:pStyle w:val="TableParagraph"/>
              <w:spacing w:before="18"/>
              <w:ind w:left="309"/>
              <w:rPr>
                <w:sz w:val="18"/>
              </w:rPr>
            </w:pPr>
            <w:r>
              <w:rPr>
                <w:sz w:val="18"/>
              </w:rPr>
              <w:t>1</w:t>
            </w:r>
          </w:p>
        </w:tc>
        <w:tc>
          <w:tcPr>
            <w:tcW w:w="631" w:type="dxa"/>
            <w:vMerge/>
            <w:tcBorders>
              <w:top w:val="nil"/>
            </w:tcBorders>
          </w:tcPr>
          <w:p>
            <w:pPr>
              <w:rPr>
                <w:sz w:val="2"/>
                <w:szCs w:val="2"/>
              </w:rPr>
            </w:pPr>
          </w:p>
        </w:tc>
        <w:tc>
          <w:tcPr>
            <w:tcW w:w="1259" w:type="dxa"/>
            <w:gridSpan w:val="2"/>
            <w:vMerge/>
            <w:tcBorders>
              <w:top w:val="nil"/>
            </w:tcBorders>
            <w:shd w:val="clear" w:color="auto" w:fill="F3F3F3"/>
          </w:tcPr>
          <w:p>
            <w:pPr>
              <w:rPr>
                <w:sz w:val="2"/>
                <w:szCs w:val="2"/>
              </w:rPr>
            </w:pPr>
          </w:p>
        </w:tc>
      </w:tr>
      <w:tr>
        <w:trPr>
          <w:trHeight w:val="246" w:hRule="atLeast"/>
        </w:trPr>
        <w:tc>
          <w:tcPr>
            <w:tcW w:w="1860" w:type="dxa"/>
            <w:shd w:val="clear" w:color="auto" w:fill="F3F3F3"/>
          </w:tcPr>
          <w:p>
            <w:pPr>
              <w:pStyle w:val="TableParagraph"/>
              <w:rPr>
                <w:rFonts w:ascii="Times New Roman"/>
                <w:sz w:val="16"/>
              </w:rPr>
            </w:pPr>
          </w:p>
        </w:tc>
        <w:tc>
          <w:tcPr>
            <w:tcW w:w="2525" w:type="dxa"/>
            <w:gridSpan w:val="4"/>
          </w:tcPr>
          <w:p>
            <w:pPr>
              <w:pStyle w:val="TableParagraph"/>
              <w:spacing w:before="14"/>
              <w:ind w:left="542"/>
              <w:rPr>
                <w:rFonts w:ascii="Times New Roman"/>
                <w:i/>
                <w:sz w:val="18"/>
              </w:rPr>
            </w:pPr>
            <w:r>
              <w:rPr>
                <w:rFonts w:ascii="Times New Roman"/>
                <w:i/>
                <w:sz w:val="18"/>
              </w:rPr>
              <w:t>RMT2_E, DIFF2_E</w:t>
            </w:r>
          </w:p>
        </w:tc>
        <w:tc>
          <w:tcPr>
            <w:tcW w:w="2610" w:type="dxa"/>
            <w:gridSpan w:val="4"/>
          </w:tcPr>
          <w:p>
            <w:pPr>
              <w:pStyle w:val="TableParagraph"/>
              <w:spacing w:before="14"/>
              <w:ind w:left="582"/>
              <w:rPr>
                <w:rFonts w:ascii="Times New Roman"/>
                <w:i/>
                <w:sz w:val="18"/>
              </w:rPr>
            </w:pPr>
            <w:r>
              <w:rPr>
                <w:rFonts w:ascii="Times New Roman"/>
                <w:i/>
                <w:sz w:val="18"/>
              </w:rPr>
              <w:t>RMT2_E, DIFF2_E</w:t>
            </w:r>
          </w:p>
        </w:tc>
      </w:tr>
      <w:tr>
        <w:trPr>
          <w:trHeight w:val="246" w:hRule="atLeast"/>
        </w:trPr>
        <w:tc>
          <w:tcPr>
            <w:tcW w:w="1860" w:type="dxa"/>
            <w:shd w:val="clear" w:color="auto" w:fill="F3F3F3"/>
          </w:tcPr>
          <w:p>
            <w:pPr>
              <w:pStyle w:val="TableParagraph"/>
              <w:rPr>
                <w:rFonts w:ascii="Times New Roman"/>
                <w:sz w:val="16"/>
              </w:rPr>
            </w:pPr>
          </w:p>
        </w:tc>
        <w:tc>
          <w:tcPr>
            <w:tcW w:w="636" w:type="dxa"/>
          </w:tcPr>
          <w:p>
            <w:pPr>
              <w:pStyle w:val="TableParagraph"/>
              <w:spacing w:before="18"/>
              <w:ind w:right="180"/>
              <w:jc w:val="right"/>
              <w:rPr>
                <w:sz w:val="18"/>
              </w:rPr>
            </w:pPr>
            <w:r>
              <w:rPr>
                <w:sz w:val="18"/>
              </w:rPr>
              <w:t>0,0</w:t>
            </w:r>
          </w:p>
        </w:tc>
        <w:tc>
          <w:tcPr>
            <w:tcW w:w="629" w:type="dxa"/>
          </w:tcPr>
          <w:p>
            <w:pPr>
              <w:pStyle w:val="TableParagraph"/>
              <w:spacing w:before="18"/>
              <w:ind w:right="178"/>
              <w:jc w:val="right"/>
              <w:rPr>
                <w:sz w:val="18"/>
              </w:rPr>
            </w:pPr>
            <w:r>
              <w:rPr>
                <w:sz w:val="18"/>
              </w:rPr>
              <w:t>0,1</w:t>
            </w:r>
          </w:p>
        </w:tc>
        <w:tc>
          <w:tcPr>
            <w:tcW w:w="631" w:type="dxa"/>
          </w:tcPr>
          <w:p>
            <w:pPr>
              <w:pStyle w:val="TableParagraph"/>
              <w:spacing w:before="18"/>
              <w:ind w:left="189"/>
              <w:rPr>
                <w:sz w:val="18"/>
              </w:rPr>
            </w:pPr>
            <w:r>
              <w:rPr>
                <w:sz w:val="18"/>
              </w:rPr>
              <w:t>1,0</w:t>
            </w:r>
          </w:p>
        </w:tc>
        <w:tc>
          <w:tcPr>
            <w:tcW w:w="629" w:type="dxa"/>
          </w:tcPr>
          <w:p>
            <w:pPr>
              <w:pStyle w:val="TableParagraph"/>
              <w:spacing w:before="18"/>
              <w:ind w:left="187"/>
              <w:rPr>
                <w:sz w:val="18"/>
              </w:rPr>
            </w:pPr>
            <w:r>
              <w:rPr>
                <w:sz w:val="18"/>
              </w:rPr>
              <w:t>1,1</w:t>
            </w:r>
          </w:p>
        </w:tc>
        <w:tc>
          <w:tcPr>
            <w:tcW w:w="720" w:type="dxa"/>
          </w:tcPr>
          <w:p>
            <w:pPr>
              <w:pStyle w:val="TableParagraph"/>
              <w:spacing w:before="18"/>
              <w:ind w:left="234"/>
              <w:rPr>
                <w:sz w:val="18"/>
              </w:rPr>
            </w:pPr>
            <w:r>
              <w:rPr>
                <w:sz w:val="18"/>
              </w:rPr>
              <w:t>0,0</w:t>
            </w:r>
          </w:p>
        </w:tc>
        <w:tc>
          <w:tcPr>
            <w:tcW w:w="631" w:type="dxa"/>
          </w:tcPr>
          <w:p>
            <w:pPr>
              <w:pStyle w:val="TableParagraph"/>
              <w:spacing w:before="18"/>
              <w:ind w:left="169" w:right="160"/>
              <w:jc w:val="center"/>
              <w:rPr>
                <w:sz w:val="18"/>
              </w:rPr>
            </w:pPr>
            <w:r>
              <w:rPr>
                <w:sz w:val="18"/>
              </w:rPr>
              <w:t>0,1</w:t>
            </w:r>
          </w:p>
        </w:tc>
        <w:tc>
          <w:tcPr>
            <w:tcW w:w="674" w:type="dxa"/>
          </w:tcPr>
          <w:p>
            <w:pPr>
              <w:pStyle w:val="TableParagraph"/>
              <w:spacing w:before="18"/>
              <w:ind w:left="74" w:right="70"/>
              <w:jc w:val="center"/>
              <w:rPr>
                <w:sz w:val="18"/>
              </w:rPr>
            </w:pPr>
            <w:r>
              <w:rPr>
                <w:sz w:val="18"/>
              </w:rPr>
              <w:t>1,0</w:t>
            </w:r>
          </w:p>
        </w:tc>
        <w:tc>
          <w:tcPr>
            <w:tcW w:w="585" w:type="dxa"/>
          </w:tcPr>
          <w:p>
            <w:pPr>
              <w:pStyle w:val="TableParagraph"/>
              <w:spacing w:before="18"/>
              <w:ind w:left="148" w:right="135"/>
              <w:jc w:val="center"/>
              <w:rPr>
                <w:sz w:val="18"/>
              </w:rPr>
            </w:pPr>
            <w:r>
              <w:rPr>
                <w:sz w:val="18"/>
              </w:rPr>
              <w:t>1,1</w:t>
            </w:r>
          </w:p>
        </w:tc>
      </w:tr>
      <w:tr>
        <w:trPr>
          <w:trHeight w:val="246" w:hRule="atLeast"/>
        </w:trPr>
        <w:tc>
          <w:tcPr>
            <w:tcW w:w="1860" w:type="dxa"/>
          </w:tcPr>
          <w:p>
            <w:pPr>
              <w:pStyle w:val="TableParagraph"/>
              <w:spacing w:before="18"/>
              <w:ind w:left="643" w:right="635"/>
              <w:jc w:val="center"/>
              <w:rPr>
                <w:sz w:val="18"/>
              </w:rPr>
            </w:pPr>
            <w:r>
              <w:rPr>
                <w:sz w:val="18"/>
              </w:rPr>
              <w:t>IADC2</w:t>
            </w:r>
          </w:p>
        </w:tc>
        <w:tc>
          <w:tcPr>
            <w:tcW w:w="636" w:type="dxa"/>
            <w:shd w:val="clear" w:color="auto" w:fill="F3F3F3"/>
          </w:tcPr>
          <w:p>
            <w:pPr>
              <w:pStyle w:val="TableParagraph"/>
              <w:spacing w:before="18"/>
              <w:ind w:right="257"/>
              <w:jc w:val="right"/>
              <w:rPr>
                <w:sz w:val="18"/>
              </w:rPr>
            </w:pPr>
            <w:r>
              <w:rPr>
                <w:sz w:val="18"/>
              </w:rPr>
              <w:t>2</w:t>
            </w:r>
          </w:p>
        </w:tc>
        <w:tc>
          <w:tcPr>
            <w:tcW w:w="629" w:type="dxa"/>
            <w:vMerge w:val="restart"/>
          </w:tcPr>
          <w:p>
            <w:pPr>
              <w:pStyle w:val="TableParagraph"/>
              <w:spacing w:before="147"/>
              <w:ind w:left="3"/>
              <w:jc w:val="center"/>
              <w:rPr>
                <w:sz w:val="18"/>
              </w:rPr>
            </w:pPr>
            <w:r>
              <w:rPr>
                <w:sz w:val="18"/>
              </w:rPr>
              <w:t>2</w:t>
            </w:r>
          </w:p>
        </w:tc>
        <w:tc>
          <w:tcPr>
            <w:tcW w:w="631" w:type="dxa"/>
            <w:vMerge w:val="restart"/>
          </w:tcPr>
          <w:p>
            <w:pPr>
              <w:pStyle w:val="TableParagraph"/>
              <w:spacing w:before="147"/>
              <w:ind w:left="4"/>
              <w:jc w:val="center"/>
              <w:rPr>
                <w:sz w:val="18"/>
              </w:rPr>
            </w:pPr>
            <w:r>
              <w:rPr>
                <w:sz w:val="18"/>
              </w:rPr>
              <w:t>-</w:t>
            </w:r>
          </w:p>
        </w:tc>
        <w:tc>
          <w:tcPr>
            <w:tcW w:w="629" w:type="dxa"/>
            <w:vMerge w:val="restart"/>
          </w:tcPr>
          <w:p>
            <w:pPr>
              <w:pStyle w:val="TableParagraph"/>
              <w:spacing w:before="147"/>
              <w:ind w:left="1"/>
              <w:jc w:val="center"/>
              <w:rPr>
                <w:sz w:val="18"/>
              </w:rPr>
            </w:pPr>
            <w:r>
              <w:rPr>
                <w:sz w:val="18"/>
              </w:rPr>
              <w:t>-</w:t>
            </w:r>
          </w:p>
        </w:tc>
        <w:tc>
          <w:tcPr>
            <w:tcW w:w="720" w:type="dxa"/>
          </w:tcPr>
          <w:p>
            <w:pPr>
              <w:pStyle w:val="TableParagraph"/>
              <w:spacing w:before="18"/>
              <w:ind w:left="309"/>
              <w:rPr>
                <w:sz w:val="18"/>
              </w:rPr>
            </w:pPr>
            <w:r>
              <w:rPr>
                <w:sz w:val="18"/>
              </w:rPr>
              <w:t>2</w:t>
            </w:r>
          </w:p>
        </w:tc>
        <w:tc>
          <w:tcPr>
            <w:tcW w:w="631" w:type="dxa"/>
            <w:vMerge w:val="restart"/>
          </w:tcPr>
          <w:p>
            <w:pPr>
              <w:pStyle w:val="TableParagraph"/>
              <w:spacing w:before="147"/>
              <w:ind w:left="6"/>
              <w:jc w:val="center"/>
              <w:rPr>
                <w:sz w:val="18"/>
              </w:rPr>
            </w:pPr>
            <w:r>
              <w:rPr>
                <w:sz w:val="18"/>
              </w:rPr>
              <w:t>2</w:t>
            </w:r>
          </w:p>
        </w:tc>
        <w:tc>
          <w:tcPr>
            <w:tcW w:w="674" w:type="dxa"/>
            <w:vMerge w:val="restart"/>
          </w:tcPr>
          <w:p>
            <w:pPr>
              <w:pStyle w:val="TableParagraph"/>
              <w:spacing w:before="147"/>
              <w:ind w:left="76" w:right="70"/>
              <w:jc w:val="center"/>
              <w:rPr>
                <w:sz w:val="18"/>
              </w:rPr>
            </w:pPr>
            <w:r>
              <w:rPr>
                <w:sz w:val="18"/>
              </w:rPr>
              <w:t>2*</w:t>
            </w:r>
          </w:p>
        </w:tc>
        <w:tc>
          <w:tcPr>
            <w:tcW w:w="585" w:type="dxa"/>
            <w:vMerge w:val="restart"/>
          </w:tcPr>
          <w:p>
            <w:pPr>
              <w:pStyle w:val="TableParagraph"/>
              <w:spacing w:before="147"/>
              <w:ind w:left="144" w:right="135"/>
              <w:jc w:val="center"/>
              <w:rPr>
                <w:sz w:val="18"/>
              </w:rPr>
            </w:pPr>
            <w:r>
              <w:rPr>
                <w:sz w:val="18"/>
              </w:rPr>
              <w:t>2*</w:t>
            </w:r>
          </w:p>
        </w:tc>
      </w:tr>
      <w:tr>
        <w:trPr>
          <w:trHeight w:val="246" w:hRule="atLeast"/>
        </w:trPr>
        <w:tc>
          <w:tcPr>
            <w:tcW w:w="1860" w:type="dxa"/>
          </w:tcPr>
          <w:p>
            <w:pPr>
              <w:pStyle w:val="TableParagraph"/>
              <w:spacing w:before="18"/>
              <w:ind w:left="643" w:right="635"/>
              <w:jc w:val="center"/>
              <w:rPr>
                <w:sz w:val="18"/>
              </w:rPr>
            </w:pPr>
            <w:r>
              <w:rPr>
                <w:sz w:val="18"/>
              </w:rPr>
              <w:t>IADC3</w:t>
            </w:r>
          </w:p>
        </w:tc>
        <w:tc>
          <w:tcPr>
            <w:tcW w:w="636" w:type="dxa"/>
            <w:shd w:val="clear" w:color="auto" w:fill="F3F3F3"/>
          </w:tcPr>
          <w:p>
            <w:pPr>
              <w:pStyle w:val="TableParagraph"/>
              <w:spacing w:before="18"/>
              <w:ind w:right="257"/>
              <w:jc w:val="right"/>
              <w:rPr>
                <w:sz w:val="18"/>
              </w:rPr>
            </w:pPr>
            <w:r>
              <w:rPr>
                <w:sz w:val="18"/>
              </w:rPr>
              <w:t>3</w:t>
            </w:r>
          </w:p>
        </w:tc>
        <w:tc>
          <w:tcPr>
            <w:tcW w:w="629" w:type="dxa"/>
            <w:vMerge/>
            <w:tcBorders>
              <w:top w:val="nil"/>
            </w:tcBorders>
          </w:tcPr>
          <w:p>
            <w:pPr>
              <w:rPr>
                <w:sz w:val="2"/>
                <w:szCs w:val="2"/>
              </w:rPr>
            </w:pPr>
          </w:p>
        </w:tc>
        <w:tc>
          <w:tcPr>
            <w:tcW w:w="631" w:type="dxa"/>
            <w:vMerge/>
            <w:tcBorders>
              <w:top w:val="nil"/>
            </w:tcBorders>
          </w:tcPr>
          <w:p>
            <w:pPr>
              <w:rPr>
                <w:sz w:val="2"/>
                <w:szCs w:val="2"/>
              </w:rPr>
            </w:pPr>
          </w:p>
        </w:tc>
        <w:tc>
          <w:tcPr>
            <w:tcW w:w="629" w:type="dxa"/>
            <w:vMerge/>
            <w:tcBorders>
              <w:top w:val="nil"/>
            </w:tcBorders>
          </w:tcPr>
          <w:p>
            <w:pPr>
              <w:rPr>
                <w:sz w:val="2"/>
                <w:szCs w:val="2"/>
              </w:rPr>
            </w:pPr>
          </w:p>
        </w:tc>
        <w:tc>
          <w:tcPr>
            <w:tcW w:w="720" w:type="dxa"/>
          </w:tcPr>
          <w:p>
            <w:pPr>
              <w:pStyle w:val="TableParagraph"/>
              <w:spacing w:before="18"/>
              <w:ind w:left="309"/>
              <w:rPr>
                <w:sz w:val="18"/>
              </w:rPr>
            </w:pPr>
            <w:r>
              <w:rPr>
                <w:sz w:val="18"/>
              </w:rPr>
              <w:t>3</w:t>
            </w:r>
          </w:p>
        </w:tc>
        <w:tc>
          <w:tcPr>
            <w:tcW w:w="631" w:type="dxa"/>
            <w:vMerge/>
            <w:tcBorders>
              <w:top w:val="nil"/>
            </w:tcBorders>
          </w:tcPr>
          <w:p>
            <w:pPr>
              <w:rPr>
                <w:sz w:val="2"/>
                <w:szCs w:val="2"/>
              </w:rPr>
            </w:pPr>
          </w:p>
        </w:tc>
        <w:tc>
          <w:tcPr>
            <w:tcW w:w="674" w:type="dxa"/>
            <w:vMerge/>
            <w:tcBorders>
              <w:top w:val="nil"/>
            </w:tcBorders>
          </w:tcPr>
          <w:p>
            <w:pPr>
              <w:rPr>
                <w:sz w:val="2"/>
                <w:szCs w:val="2"/>
              </w:rPr>
            </w:pPr>
          </w:p>
        </w:tc>
        <w:tc>
          <w:tcPr>
            <w:tcW w:w="585" w:type="dxa"/>
            <w:vMerge/>
            <w:tcBorders>
              <w:top w:val="nil"/>
            </w:tcBorders>
          </w:tcPr>
          <w:p>
            <w:pPr>
              <w:rPr>
                <w:sz w:val="2"/>
                <w:szCs w:val="2"/>
              </w:rPr>
            </w:pPr>
          </w:p>
        </w:tc>
      </w:tr>
      <w:tr>
        <w:trPr>
          <w:trHeight w:val="246" w:hRule="atLeast"/>
        </w:trPr>
        <w:tc>
          <w:tcPr>
            <w:tcW w:w="1860" w:type="dxa"/>
            <w:shd w:val="clear" w:color="auto" w:fill="F3F3F3"/>
          </w:tcPr>
          <w:p>
            <w:pPr>
              <w:pStyle w:val="TableParagraph"/>
              <w:rPr>
                <w:rFonts w:ascii="Times New Roman"/>
                <w:sz w:val="16"/>
              </w:rPr>
            </w:pPr>
          </w:p>
        </w:tc>
        <w:tc>
          <w:tcPr>
            <w:tcW w:w="2525" w:type="dxa"/>
            <w:gridSpan w:val="4"/>
          </w:tcPr>
          <w:p>
            <w:pPr>
              <w:pStyle w:val="TableParagraph"/>
              <w:spacing w:before="16"/>
              <w:ind w:left="542"/>
              <w:rPr>
                <w:rFonts w:ascii="Times New Roman"/>
                <w:i/>
                <w:sz w:val="18"/>
              </w:rPr>
            </w:pPr>
            <w:r>
              <w:rPr>
                <w:rFonts w:ascii="Times New Roman"/>
                <w:i/>
                <w:sz w:val="18"/>
              </w:rPr>
              <w:t>RMT4_E, DIFF4_E</w:t>
            </w:r>
          </w:p>
        </w:tc>
        <w:tc>
          <w:tcPr>
            <w:tcW w:w="2610" w:type="dxa"/>
            <w:gridSpan w:val="4"/>
          </w:tcPr>
          <w:p>
            <w:pPr>
              <w:pStyle w:val="TableParagraph"/>
              <w:spacing w:before="16"/>
              <w:ind w:left="582"/>
              <w:rPr>
                <w:rFonts w:ascii="Times New Roman"/>
                <w:i/>
                <w:sz w:val="18"/>
              </w:rPr>
            </w:pPr>
            <w:r>
              <w:rPr>
                <w:rFonts w:ascii="Times New Roman"/>
                <w:i/>
                <w:sz w:val="18"/>
              </w:rPr>
              <w:t>RMT4_E, DIFF4_E</w:t>
            </w:r>
          </w:p>
        </w:tc>
      </w:tr>
      <w:tr>
        <w:trPr>
          <w:trHeight w:val="249" w:hRule="atLeast"/>
        </w:trPr>
        <w:tc>
          <w:tcPr>
            <w:tcW w:w="1860" w:type="dxa"/>
            <w:shd w:val="clear" w:color="auto" w:fill="F3F3F3"/>
          </w:tcPr>
          <w:p>
            <w:pPr>
              <w:pStyle w:val="TableParagraph"/>
              <w:rPr>
                <w:rFonts w:ascii="Times New Roman"/>
                <w:sz w:val="18"/>
              </w:rPr>
            </w:pPr>
          </w:p>
        </w:tc>
        <w:tc>
          <w:tcPr>
            <w:tcW w:w="636" w:type="dxa"/>
          </w:tcPr>
          <w:p>
            <w:pPr>
              <w:pStyle w:val="TableParagraph"/>
              <w:spacing w:before="20"/>
              <w:ind w:right="180"/>
              <w:jc w:val="right"/>
              <w:rPr>
                <w:sz w:val="18"/>
              </w:rPr>
            </w:pPr>
            <w:r>
              <w:rPr>
                <w:sz w:val="18"/>
              </w:rPr>
              <w:t>0,0</w:t>
            </w:r>
          </w:p>
        </w:tc>
        <w:tc>
          <w:tcPr>
            <w:tcW w:w="629" w:type="dxa"/>
          </w:tcPr>
          <w:p>
            <w:pPr>
              <w:pStyle w:val="TableParagraph"/>
              <w:spacing w:before="20"/>
              <w:ind w:right="178"/>
              <w:jc w:val="right"/>
              <w:rPr>
                <w:sz w:val="18"/>
              </w:rPr>
            </w:pPr>
            <w:r>
              <w:rPr>
                <w:sz w:val="18"/>
              </w:rPr>
              <w:t>0,1</w:t>
            </w:r>
          </w:p>
        </w:tc>
        <w:tc>
          <w:tcPr>
            <w:tcW w:w="631" w:type="dxa"/>
          </w:tcPr>
          <w:p>
            <w:pPr>
              <w:pStyle w:val="TableParagraph"/>
              <w:spacing w:before="20"/>
              <w:ind w:left="189"/>
              <w:rPr>
                <w:sz w:val="18"/>
              </w:rPr>
            </w:pPr>
            <w:r>
              <w:rPr>
                <w:sz w:val="18"/>
              </w:rPr>
              <w:t>1,0</w:t>
            </w:r>
          </w:p>
        </w:tc>
        <w:tc>
          <w:tcPr>
            <w:tcW w:w="629" w:type="dxa"/>
          </w:tcPr>
          <w:p>
            <w:pPr>
              <w:pStyle w:val="TableParagraph"/>
              <w:spacing w:before="20"/>
              <w:ind w:left="187"/>
              <w:rPr>
                <w:sz w:val="18"/>
              </w:rPr>
            </w:pPr>
            <w:r>
              <w:rPr>
                <w:sz w:val="18"/>
              </w:rPr>
              <w:t>1,1</w:t>
            </w:r>
          </w:p>
        </w:tc>
        <w:tc>
          <w:tcPr>
            <w:tcW w:w="720" w:type="dxa"/>
          </w:tcPr>
          <w:p>
            <w:pPr>
              <w:pStyle w:val="TableParagraph"/>
              <w:spacing w:before="20"/>
              <w:ind w:left="234"/>
              <w:rPr>
                <w:sz w:val="18"/>
              </w:rPr>
            </w:pPr>
            <w:r>
              <w:rPr>
                <w:sz w:val="18"/>
              </w:rPr>
              <w:t>0,0</w:t>
            </w:r>
          </w:p>
        </w:tc>
        <w:tc>
          <w:tcPr>
            <w:tcW w:w="631" w:type="dxa"/>
          </w:tcPr>
          <w:p>
            <w:pPr>
              <w:pStyle w:val="TableParagraph"/>
              <w:spacing w:before="20"/>
              <w:ind w:left="169" w:right="160"/>
              <w:jc w:val="center"/>
              <w:rPr>
                <w:sz w:val="18"/>
              </w:rPr>
            </w:pPr>
            <w:r>
              <w:rPr>
                <w:sz w:val="18"/>
              </w:rPr>
              <w:t>0,1</w:t>
            </w:r>
          </w:p>
        </w:tc>
        <w:tc>
          <w:tcPr>
            <w:tcW w:w="674" w:type="dxa"/>
          </w:tcPr>
          <w:p>
            <w:pPr>
              <w:pStyle w:val="TableParagraph"/>
              <w:spacing w:before="20"/>
              <w:ind w:left="74" w:right="70"/>
              <w:jc w:val="center"/>
              <w:rPr>
                <w:sz w:val="18"/>
              </w:rPr>
            </w:pPr>
            <w:r>
              <w:rPr>
                <w:sz w:val="18"/>
              </w:rPr>
              <w:t>1,0</w:t>
            </w:r>
          </w:p>
        </w:tc>
        <w:tc>
          <w:tcPr>
            <w:tcW w:w="585" w:type="dxa"/>
          </w:tcPr>
          <w:p>
            <w:pPr>
              <w:pStyle w:val="TableParagraph"/>
              <w:spacing w:before="20"/>
              <w:ind w:left="148" w:right="135"/>
              <w:jc w:val="center"/>
              <w:rPr>
                <w:sz w:val="18"/>
              </w:rPr>
            </w:pPr>
            <w:r>
              <w:rPr>
                <w:sz w:val="18"/>
              </w:rPr>
              <w:t>1,1</w:t>
            </w:r>
          </w:p>
        </w:tc>
      </w:tr>
      <w:tr>
        <w:trPr>
          <w:trHeight w:val="246" w:hRule="atLeast"/>
        </w:trPr>
        <w:tc>
          <w:tcPr>
            <w:tcW w:w="1860" w:type="dxa"/>
          </w:tcPr>
          <w:p>
            <w:pPr>
              <w:pStyle w:val="TableParagraph"/>
              <w:spacing w:before="18"/>
              <w:ind w:left="643" w:right="635"/>
              <w:jc w:val="center"/>
              <w:rPr>
                <w:sz w:val="18"/>
              </w:rPr>
            </w:pPr>
            <w:r>
              <w:rPr>
                <w:sz w:val="18"/>
              </w:rPr>
              <w:t>IADC4</w:t>
            </w:r>
          </w:p>
        </w:tc>
        <w:tc>
          <w:tcPr>
            <w:tcW w:w="636" w:type="dxa"/>
            <w:shd w:val="clear" w:color="auto" w:fill="F3F3F3"/>
          </w:tcPr>
          <w:p>
            <w:pPr>
              <w:pStyle w:val="TableParagraph"/>
              <w:spacing w:before="18"/>
              <w:ind w:right="257"/>
              <w:jc w:val="right"/>
              <w:rPr>
                <w:sz w:val="18"/>
              </w:rPr>
            </w:pPr>
            <w:r>
              <w:rPr>
                <w:sz w:val="18"/>
              </w:rPr>
              <w:t>4</w:t>
            </w:r>
          </w:p>
        </w:tc>
        <w:tc>
          <w:tcPr>
            <w:tcW w:w="629" w:type="dxa"/>
            <w:vMerge w:val="restart"/>
          </w:tcPr>
          <w:p>
            <w:pPr>
              <w:pStyle w:val="TableParagraph"/>
              <w:spacing w:before="7"/>
              <w:rPr>
                <w:b/>
                <w:sz w:val="22"/>
              </w:rPr>
            </w:pPr>
          </w:p>
          <w:p>
            <w:pPr>
              <w:pStyle w:val="TableParagraph"/>
              <w:ind w:left="3"/>
              <w:jc w:val="center"/>
              <w:rPr>
                <w:sz w:val="18"/>
              </w:rPr>
            </w:pPr>
            <w:r>
              <w:rPr>
                <w:sz w:val="18"/>
              </w:rPr>
              <w:t>4</w:t>
            </w:r>
          </w:p>
        </w:tc>
        <w:tc>
          <w:tcPr>
            <w:tcW w:w="631" w:type="dxa"/>
            <w:vMerge w:val="restart"/>
          </w:tcPr>
          <w:p>
            <w:pPr>
              <w:pStyle w:val="TableParagraph"/>
              <w:spacing w:before="7"/>
              <w:rPr>
                <w:b/>
                <w:sz w:val="22"/>
              </w:rPr>
            </w:pPr>
          </w:p>
          <w:p>
            <w:pPr>
              <w:pStyle w:val="TableParagraph"/>
              <w:ind w:left="4"/>
              <w:jc w:val="center"/>
              <w:rPr>
                <w:sz w:val="18"/>
              </w:rPr>
            </w:pPr>
            <w:r>
              <w:rPr>
                <w:sz w:val="18"/>
              </w:rPr>
              <w:t>-</w:t>
            </w:r>
          </w:p>
        </w:tc>
        <w:tc>
          <w:tcPr>
            <w:tcW w:w="629" w:type="dxa"/>
            <w:vMerge w:val="restart"/>
          </w:tcPr>
          <w:p>
            <w:pPr>
              <w:pStyle w:val="TableParagraph"/>
              <w:spacing w:before="7"/>
              <w:rPr>
                <w:b/>
                <w:sz w:val="22"/>
              </w:rPr>
            </w:pPr>
          </w:p>
          <w:p>
            <w:pPr>
              <w:pStyle w:val="TableParagraph"/>
              <w:ind w:left="1"/>
              <w:jc w:val="center"/>
              <w:rPr>
                <w:sz w:val="18"/>
              </w:rPr>
            </w:pPr>
            <w:r>
              <w:rPr>
                <w:sz w:val="18"/>
              </w:rPr>
              <w:t>-</w:t>
            </w:r>
          </w:p>
        </w:tc>
        <w:tc>
          <w:tcPr>
            <w:tcW w:w="720" w:type="dxa"/>
          </w:tcPr>
          <w:p>
            <w:pPr>
              <w:pStyle w:val="TableParagraph"/>
              <w:spacing w:before="18"/>
              <w:ind w:left="309"/>
              <w:rPr>
                <w:sz w:val="18"/>
              </w:rPr>
            </w:pPr>
            <w:r>
              <w:rPr>
                <w:sz w:val="18"/>
              </w:rPr>
              <w:t>4</w:t>
            </w:r>
          </w:p>
        </w:tc>
        <w:tc>
          <w:tcPr>
            <w:tcW w:w="631" w:type="dxa"/>
            <w:vMerge w:val="restart"/>
          </w:tcPr>
          <w:p>
            <w:pPr>
              <w:pStyle w:val="TableParagraph"/>
              <w:spacing w:before="7"/>
              <w:rPr>
                <w:b/>
                <w:sz w:val="22"/>
              </w:rPr>
            </w:pPr>
          </w:p>
          <w:p>
            <w:pPr>
              <w:pStyle w:val="TableParagraph"/>
              <w:ind w:left="6"/>
              <w:jc w:val="center"/>
              <w:rPr>
                <w:sz w:val="18"/>
              </w:rPr>
            </w:pPr>
            <w:r>
              <w:rPr>
                <w:sz w:val="18"/>
              </w:rPr>
              <w:t>4</w:t>
            </w:r>
          </w:p>
        </w:tc>
        <w:tc>
          <w:tcPr>
            <w:tcW w:w="674" w:type="dxa"/>
            <w:vMerge w:val="restart"/>
          </w:tcPr>
          <w:p>
            <w:pPr>
              <w:pStyle w:val="TableParagraph"/>
              <w:spacing w:before="7"/>
              <w:rPr>
                <w:b/>
                <w:sz w:val="22"/>
              </w:rPr>
            </w:pPr>
          </w:p>
          <w:p>
            <w:pPr>
              <w:pStyle w:val="TableParagraph"/>
              <w:ind w:left="76" w:right="70"/>
              <w:jc w:val="center"/>
              <w:rPr>
                <w:sz w:val="18"/>
              </w:rPr>
            </w:pPr>
            <w:r>
              <w:rPr>
                <w:sz w:val="18"/>
              </w:rPr>
              <w:t>4*</w:t>
            </w:r>
          </w:p>
        </w:tc>
        <w:tc>
          <w:tcPr>
            <w:tcW w:w="585" w:type="dxa"/>
            <w:vMerge w:val="restart"/>
          </w:tcPr>
          <w:p>
            <w:pPr>
              <w:pStyle w:val="TableParagraph"/>
              <w:spacing w:before="7"/>
              <w:rPr>
                <w:b/>
                <w:sz w:val="22"/>
              </w:rPr>
            </w:pPr>
          </w:p>
          <w:p>
            <w:pPr>
              <w:pStyle w:val="TableParagraph"/>
              <w:ind w:left="144" w:right="135"/>
              <w:jc w:val="center"/>
              <w:rPr>
                <w:sz w:val="18"/>
              </w:rPr>
            </w:pPr>
            <w:r>
              <w:rPr>
                <w:sz w:val="18"/>
              </w:rPr>
              <w:t>4*</w:t>
            </w:r>
          </w:p>
        </w:tc>
      </w:tr>
      <w:tr>
        <w:trPr>
          <w:trHeight w:val="472" w:hRule="atLeast"/>
        </w:trPr>
        <w:tc>
          <w:tcPr>
            <w:tcW w:w="1860" w:type="dxa"/>
          </w:tcPr>
          <w:p>
            <w:pPr>
              <w:pStyle w:val="TableParagraph"/>
              <w:spacing w:before="18"/>
              <w:ind w:left="643" w:right="635"/>
              <w:jc w:val="center"/>
              <w:rPr>
                <w:sz w:val="18"/>
              </w:rPr>
            </w:pPr>
            <w:r>
              <w:rPr>
                <w:sz w:val="18"/>
              </w:rPr>
              <w:t>IADC5</w:t>
            </w:r>
          </w:p>
        </w:tc>
        <w:tc>
          <w:tcPr>
            <w:tcW w:w="636" w:type="dxa"/>
            <w:shd w:val="clear" w:color="auto" w:fill="F3F3F3"/>
          </w:tcPr>
          <w:p>
            <w:pPr>
              <w:pStyle w:val="TableParagraph"/>
              <w:spacing w:before="18"/>
              <w:ind w:right="257"/>
              <w:jc w:val="right"/>
              <w:rPr>
                <w:sz w:val="18"/>
              </w:rPr>
            </w:pPr>
            <w:r>
              <w:rPr>
                <w:sz w:val="18"/>
              </w:rPr>
              <w:t>5</w:t>
            </w:r>
          </w:p>
        </w:tc>
        <w:tc>
          <w:tcPr>
            <w:tcW w:w="629" w:type="dxa"/>
            <w:vMerge/>
            <w:tcBorders>
              <w:top w:val="nil"/>
            </w:tcBorders>
          </w:tcPr>
          <w:p>
            <w:pPr>
              <w:rPr>
                <w:sz w:val="2"/>
                <w:szCs w:val="2"/>
              </w:rPr>
            </w:pPr>
          </w:p>
        </w:tc>
        <w:tc>
          <w:tcPr>
            <w:tcW w:w="631" w:type="dxa"/>
            <w:vMerge/>
            <w:tcBorders>
              <w:top w:val="nil"/>
            </w:tcBorders>
          </w:tcPr>
          <w:p>
            <w:pPr>
              <w:rPr>
                <w:sz w:val="2"/>
                <w:szCs w:val="2"/>
              </w:rPr>
            </w:pPr>
          </w:p>
        </w:tc>
        <w:tc>
          <w:tcPr>
            <w:tcW w:w="629" w:type="dxa"/>
            <w:vMerge/>
            <w:tcBorders>
              <w:top w:val="nil"/>
            </w:tcBorders>
          </w:tcPr>
          <w:p>
            <w:pPr>
              <w:rPr>
                <w:sz w:val="2"/>
                <w:szCs w:val="2"/>
              </w:rPr>
            </w:pPr>
          </w:p>
        </w:tc>
        <w:tc>
          <w:tcPr>
            <w:tcW w:w="720" w:type="dxa"/>
          </w:tcPr>
          <w:p>
            <w:pPr>
              <w:pStyle w:val="TableParagraph"/>
              <w:spacing w:before="18"/>
              <w:ind w:left="309"/>
              <w:rPr>
                <w:sz w:val="18"/>
              </w:rPr>
            </w:pPr>
            <w:r>
              <w:rPr>
                <w:sz w:val="18"/>
              </w:rPr>
              <w:t>5</w:t>
            </w:r>
          </w:p>
        </w:tc>
        <w:tc>
          <w:tcPr>
            <w:tcW w:w="631" w:type="dxa"/>
            <w:vMerge/>
            <w:tcBorders>
              <w:top w:val="nil"/>
            </w:tcBorders>
          </w:tcPr>
          <w:p>
            <w:pPr>
              <w:rPr>
                <w:sz w:val="2"/>
                <w:szCs w:val="2"/>
              </w:rPr>
            </w:pPr>
          </w:p>
        </w:tc>
        <w:tc>
          <w:tcPr>
            <w:tcW w:w="674" w:type="dxa"/>
            <w:vMerge/>
            <w:tcBorders>
              <w:top w:val="nil"/>
            </w:tcBorders>
          </w:tcPr>
          <w:p>
            <w:pPr>
              <w:rPr>
                <w:sz w:val="2"/>
                <w:szCs w:val="2"/>
              </w:rPr>
            </w:pPr>
          </w:p>
        </w:tc>
        <w:tc>
          <w:tcPr>
            <w:tcW w:w="585" w:type="dxa"/>
            <w:vMerge/>
            <w:tcBorders>
              <w:top w:val="nil"/>
            </w:tcBorders>
          </w:tcPr>
          <w:p>
            <w:pPr>
              <w:rPr>
                <w:sz w:val="2"/>
                <w:szCs w:val="2"/>
              </w:rPr>
            </w:pPr>
          </w:p>
        </w:tc>
      </w:tr>
      <w:tr>
        <w:trPr>
          <w:trHeight w:val="246" w:hRule="atLeast"/>
        </w:trPr>
        <w:tc>
          <w:tcPr>
            <w:tcW w:w="1860" w:type="dxa"/>
            <w:shd w:val="clear" w:color="auto" w:fill="F3F3F3"/>
          </w:tcPr>
          <w:p>
            <w:pPr>
              <w:pStyle w:val="TableParagraph"/>
              <w:rPr>
                <w:rFonts w:ascii="Times New Roman"/>
                <w:sz w:val="16"/>
              </w:rPr>
            </w:pPr>
          </w:p>
        </w:tc>
        <w:tc>
          <w:tcPr>
            <w:tcW w:w="2525" w:type="dxa"/>
            <w:gridSpan w:val="4"/>
          </w:tcPr>
          <w:p>
            <w:pPr>
              <w:pStyle w:val="TableParagraph"/>
              <w:spacing w:before="14"/>
              <w:ind w:left="542"/>
              <w:rPr>
                <w:rFonts w:ascii="Times New Roman"/>
                <w:i/>
                <w:sz w:val="18"/>
              </w:rPr>
            </w:pPr>
            <w:r>
              <w:rPr>
                <w:rFonts w:ascii="Times New Roman"/>
                <w:i/>
                <w:sz w:val="18"/>
              </w:rPr>
              <w:t>RMT6_E, DIFF6_E</w:t>
            </w:r>
          </w:p>
        </w:tc>
        <w:tc>
          <w:tcPr>
            <w:tcW w:w="2610" w:type="dxa"/>
            <w:gridSpan w:val="4"/>
          </w:tcPr>
          <w:p>
            <w:pPr>
              <w:pStyle w:val="TableParagraph"/>
              <w:spacing w:before="14"/>
              <w:ind w:left="582"/>
              <w:rPr>
                <w:rFonts w:ascii="Times New Roman"/>
                <w:i/>
                <w:sz w:val="18"/>
              </w:rPr>
            </w:pPr>
            <w:r>
              <w:rPr>
                <w:rFonts w:ascii="Times New Roman"/>
                <w:i/>
                <w:sz w:val="18"/>
              </w:rPr>
              <w:t>RMT6_E, DIFF6_E</w:t>
            </w:r>
          </w:p>
        </w:tc>
      </w:tr>
      <w:tr>
        <w:trPr>
          <w:trHeight w:val="246" w:hRule="atLeast"/>
        </w:trPr>
        <w:tc>
          <w:tcPr>
            <w:tcW w:w="1860" w:type="dxa"/>
            <w:shd w:val="clear" w:color="auto" w:fill="F3F3F3"/>
          </w:tcPr>
          <w:p>
            <w:pPr>
              <w:pStyle w:val="TableParagraph"/>
              <w:rPr>
                <w:rFonts w:ascii="Times New Roman"/>
                <w:sz w:val="16"/>
              </w:rPr>
            </w:pPr>
          </w:p>
        </w:tc>
        <w:tc>
          <w:tcPr>
            <w:tcW w:w="636" w:type="dxa"/>
          </w:tcPr>
          <w:p>
            <w:pPr>
              <w:pStyle w:val="TableParagraph"/>
              <w:spacing w:line="206" w:lineRule="exact" w:before="20"/>
              <w:ind w:right="180"/>
              <w:jc w:val="right"/>
              <w:rPr>
                <w:sz w:val="18"/>
              </w:rPr>
            </w:pPr>
            <w:r>
              <w:rPr>
                <w:sz w:val="18"/>
              </w:rPr>
              <w:t>0,0</w:t>
            </w:r>
          </w:p>
        </w:tc>
        <w:tc>
          <w:tcPr>
            <w:tcW w:w="629" w:type="dxa"/>
          </w:tcPr>
          <w:p>
            <w:pPr>
              <w:pStyle w:val="TableParagraph"/>
              <w:spacing w:line="206" w:lineRule="exact" w:before="20"/>
              <w:ind w:right="178"/>
              <w:jc w:val="right"/>
              <w:rPr>
                <w:sz w:val="18"/>
              </w:rPr>
            </w:pPr>
            <w:r>
              <w:rPr>
                <w:sz w:val="18"/>
              </w:rPr>
              <w:t>0,1</w:t>
            </w:r>
          </w:p>
        </w:tc>
        <w:tc>
          <w:tcPr>
            <w:tcW w:w="631" w:type="dxa"/>
          </w:tcPr>
          <w:p>
            <w:pPr>
              <w:pStyle w:val="TableParagraph"/>
              <w:spacing w:line="206" w:lineRule="exact" w:before="20"/>
              <w:ind w:left="189"/>
              <w:rPr>
                <w:sz w:val="18"/>
              </w:rPr>
            </w:pPr>
            <w:r>
              <w:rPr>
                <w:sz w:val="18"/>
              </w:rPr>
              <w:t>1,0</w:t>
            </w:r>
          </w:p>
        </w:tc>
        <w:tc>
          <w:tcPr>
            <w:tcW w:w="629" w:type="dxa"/>
          </w:tcPr>
          <w:p>
            <w:pPr>
              <w:pStyle w:val="TableParagraph"/>
              <w:spacing w:line="206" w:lineRule="exact" w:before="20"/>
              <w:ind w:left="187"/>
              <w:rPr>
                <w:sz w:val="18"/>
              </w:rPr>
            </w:pPr>
            <w:r>
              <w:rPr>
                <w:sz w:val="18"/>
              </w:rPr>
              <w:t>1,1</w:t>
            </w:r>
          </w:p>
        </w:tc>
        <w:tc>
          <w:tcPr>
            <w:tcW w:w="720" w:type="dxa"/>
          </w:tcPr>
          <w:p>
            <w:pPr>
              <w:pStyle w:val="TableParagraph"/>
              <w:spacing w:line="206" w:lineRule="exact" w:before="20"/>
              <w:ind w:left="234"/>
              <w:rPr>
                <w:sz w:val="18"/>
              </w:rPr>
            </w:pPr>
            <w:r>
              <w:rPr>
                <w:sz w:val="18"/>
              </w:rPr>
              <w:t>0,0</w:t>
            </w:r>
          </w:p>
        </w:tc>
        <w:tc>
          <w:tcPr>
            <w:tcW w:w="631" w:type="dxa"/>
          </w:tcPr>
          <w:p>
            <w:pPr>
              <w:pStyle w:val="TableParagraph"/>
              <w:spacing w:line="206" w:lineRule="exact" w:before="20"/>
              <w:ind w:left="169" w:right="160"/>
              <w:jc w:val="center"/>
              <w:rPr>
                <w:sz w:val="18"/>
              </w:rPr>
            </w:pPr>
            <w:r>
              <w:rPr>
                <w:sz w:val="18"/>
              </w:rPr>
              <w:t>0,1</w:t>
            </w:r>
          </w:p>
        </w:tc>
        <w:tc>
          <w:tcPr>
            <w:tcW w:w="674" w:type="dxa"/>
          </w:tcPr>
          <w:p>
            <w:pPr>
              <w:pStyle w:val="TableParagraph"/>
              <w:spacing w:line="206" w:lineRule="exact" w:before="20"/>
              <w:ind w:left="74" w:right="70"/>
              <w:jc w:val="center"/>
              <w:rPr>
                <w:sz w:val="18"/>
              </w:rPr>
            </w:pPr>
            <w:r>
              <w:rPr>
                <w:sz w:val="18"/>
              </w:rPr>
              <w:t>1,0</w:t>
            </w:r>
          </w:p>
        </w:tc>
        <w:tc>
          <w:tcPr>
            <w:tcW w:w="585" w:type="dxa"/>
          </w:tcPr>
          <w:p>
            <w:pPr>
              <w:pStyle w:val="TableParagraph"/>
              <w:spacing w:line="206" w:lineRule="exact" w:before="20"/>
              <w:ind w:left="148" w:right="135"/>
              <w:jc w:val="center"/>
              <w:rPr>
                <w:sz w:val="18"/>
              </w:rPr>
            </w:pPr>
            <w:r>
              <w:rPr>
                <w:sz w:val="18"/>
              </w:rPr>
              <w:t>1,1</w:t>
            </w:r>
          </w:p>
        </w:tc>
      </w:tr>
      <w:tr>
        <w:trPr>
          <w:trHeight w:val="249" w:hRule="atLeast"/>
        </w:trPr>
        <w:tc>
          <w:tcPr>
            <w:tcW w:w="1860" w:type="dxa"/>
          </w:tcPr>
          <w:p>
            <w:pPr>
              <w:pStyle w:val="TableParagraph"/>
              <w:spacing w:before="20"/>
              <w:ind w:left="643" w:right="635"/>
              <w:jc w:val="center"/>
              <w:rPr>
                <w:sz w:val="18"/>
              </w:rPr>
            </w:pPr>
            <w:r>
              <w:rPr>
                <w:sz w:val="18"/>
              </w:rPr>
              <w:t>IADC6</w:t>
            </w:r>
          </w:p>
        </w:tc>
        <w:tc>
          <w:tcPr>
            <w:tcW w:w="636" w:type="dxa"/>
            <w:shd w:val="clear" w:color="auto" w:fill="F3F3F3"/>
          </w:tcPr>
          <w:p>
            <w:pPr>
              <w:pStyle w:val="TableParagraph"/>
              <w:spacing w:before="20"/>
              <w:ind w:right="257"/>
              <w:jc w:val="right"/>
              <w:rPr>
                <w:sz w:val="18"/>
              </w:rPr>
            </w:pPr>
            <w:r>
              <w:rPr>
                <w:sz w:val="18"/>
              </w:rPr>
              <w:t>6</w:t>
            </w:r>
          </w:p>
        </w:tc>
        <w:tc>
          <w:tcPr>
            <w:tcW w:w="629" w:type="dxa"/>
            <w:vMerge w:val="restart"/>
          </w:tcPr>
          <w:p>
            <w:pPr>
              <w:pStyle w:val="TableParagraph"/>
              <w:spacing w:before="147"/>
              <w:ind w:left="3"/>
              <w:jc w:val="center"/>
              <w:rPr>
                <w:sz w:val="18"/>
              </w:rPr>
            </w:pPr>
            <w:r>
              <w:rPr>
                <w:sz w:val="18"/>
              </w:rPr>
              <w:t>6</w:t>
            </w:r>
          </w:p>
        </w:tc>
        <w:tc>
          <w:tcPr>
            <w:tcW w:w="631" w:type="dxa"/>
            <w:vMerge w:val="restart"/>
          </w:tcPr>
          <w:p>
            <w:pPr>
              <w:pStyle w:val="TableParagraph"/>
              <w:spacing w:before="147"/>
              <w:ind w:left="4"/>
              <w:jc w:val="center"/>
              <w:rPr>
                <w:sz w:val="18"/>
              </w:rPr>
            </w:pPr>
            <w:r>
              <w:rPr>
                <w:sz w:val="18"/>
              </w:rPr>
              <w:t>-</w:t>
            </w:r>
          </w:p>
        </w:tc>
        <w:tc>
          <w:tcPr>
            <w:tcW w:w="629" w:type="dxa"/>
            <w:vMerge w:val="restart"/>
          </w:tcPr>
          <w:p>
            <w:pPr>
              <w:pStyle w:val="TableParagraph"/>
              <w:spacing w:before="147"/>
              <w:ind w:left="1"/>
              <w:jc w:val="center"/>
              <w:rPr>
                <w:sz w:val="18"/>
              </w:rPr>
            </w:pPr>
            <w:r>
              <w:rPr>
                <w:sz w:val="18"/>
              </w:rPr>
              <w:t>-</w:t>
            </w:r>
          </w:p>
        </w:tc>
        <w:tc>
          <w:tcPr>
            <w:tcW w:w="720" w:type="dxa"/>
          </w:tcPr>
          <w:p>
            <w:pPr>
              <w:pStyle w:val="TableParagraph"/>
              <w:spacing w:before="20"/>
              <w:ind w:left="309"/>
              <w:rPr>
                <w:sz w:val="18"/>
              </w:rPr>
            </w:pPr>
            <w:r>
              <w:rPr>
                <w:sz w:val="18"/>
              </w:rPr>
              <w:t>6</w:t>
            </w:r>
          </w:p>
        </w:tc>
        <w:tc>
          <w:tcPr>
            <w:tcW w:w="631" w:type="dxa"/>
            <w:vMerge w:val="restart"/>
          </w:tcPr>
          <w:p>
            <w:pPr>
              <w:pStyle w:val="TableParagraph"/>
              <w:spacing w:before="147"/>
              <w:ind w:left="6"/>
              <w:jc w:val="center"/>
              <w:rPr>
                <w:sz w:val="18"/>
              </w:rPr>
            </w:pPr>
            <w:r>
              <w:rPr>
                <w:sz w:val="18"/>
              </w:rPr>
              <w:t>6</w:t>
            </w:r>
          </w:p>
        </w:tc>
        <w:tc>
          <w:tcPr>
            <w:tcW w:w="674" w:type="dxa"/>
            <w:vMerge w:val="restart"/>
          </w:tcPr>
          <w:p>
            <w:pPr>
              <w:pStyle w:val="TableParagraph"/>
              <w:spacing w:before="147"/>
              <w:ind w:left="76" w:right="70"/>
              <w:jc w:val="center"/>
              <w:rPr>
                <w:sz w:val="18"/>
              </w:rPr>
            </w:pPr>
            <w:r>
              <w:rPr>
                <w:sz w:val="18"/>
              </w:rPr>
              <w:t>6*</w:t>
            </w:r>
          </w:p>
        </w:tc>
        <w:tc>
          <w:tcPr>
            <w:tcW w:w="585" w:type="dxa"/>
            <w:vMerge w:val="restart"/>
          </w:tcPr>
          <w:p>
            <w:pPr>
              <w:pStyle w:val="TableParagraph"/>
              <w:spacing w:before="147"/>
              <w:ind w:left="144" w:right="135"/>
              <w:jc w:val="center"/>
              <w:rPr>
                <w:sz w:val="18"/>
              </w:rPr>
            </w:pPr>
            <w:r>
              <w:rPr>
                <w:sz w:val="18"/>
              </w:rPr>
              <w:t>6*</w:t>
            </w:r>
          </w:p>
        </w:tc>
      </w:tr>
      <w:tr>
        <w:trPr>
          <w:trHeight w:val="246" w:hRule="atLeast"/>
        </w:trPr>
        <w:tc>
          <w:tcPr>
            <w:tcW w:w="1860" w:type="dxa"/>
          </w:tcPr>
          <w:p>
            <w:pPr>
              <w:pStyle w:val="TableParagraph"/>
              <w:spacing w:before="18"/>
              <w:ind w:left="643" w:right="635"/>
              <w:jc w:val="center"/>
              <w:rPr>
                <w:sz w:val="18"/>
              </w:rPr>
            </w:pPr>
            <w:r>
              <w:rPr>
                <w:sz w:val="18"/>
              </w:rPr>
              <w:t>IADC7</w:t>
            </w:r>
          </w:p>
        </w:tc>
        <w:tc>
          <w:tcPr>
            <w:tcW w:w="636" w:type="dxa"/>
            <w:shd w:val="clear" w:color="auto" w:fill="F3F3F3"/>
          </w:tcPr>
          <w:p>
            <w:pPr>
              <w:pStyle w:val="TableParagraph"/>
              <w:spacing w:before="18"/>
              <w:ind w:right="257"/>
              <w:jc w:val="right"/>
              <w:rPr>
                <w:sz w:val="18"/>
              </w:rPr>
            </w:pPr>
            <w:r>
              <w:rPr>
                <w:sz w:val="18"/>
              </w:rPr>
              <w:t>7</w:t>
            </w:r>
          </w:p>
        </w:tc>
        <w:tc>
          <w:tcPr>
            <w:tcW w:w="629" w:type="dxa"/>
            <w:vMerge/>
            <w:tcBorders>
              <w:top w:val="nil"/>
            </w:tcBorders>
          </w:tcPr>
          <w:p>
            <w:pPr>
              <w:rPr>
                <w:sz w:val="2"/>
                <w:szCs w:val="2"/>
              </w:rPr>
            </w:pPr>
          </w:p>
        </w:tc>
        <w:tc>
          <w:tcPr>
            <w:tcW w:w="631" w:type="dxa"/>
            <w:vMerge/>
            <w:tcBorders>
              <w:top w:val="nil"/>
            </w:tcBorders>
          </w:tcPr>
          <w:p>
            <w:pPr>
              <w:rPr>
                <w:sz w:val="2"/>
                <w:szCs w:val="2"/>
              </w:rPr>
            </w:pPr>
          </w:p>
        </w:tc>
        <w:tc>
          <w:tcPr>
            <w:tcW w:w="629" w:type="dxa"/>
            <w:vMerge/>
            <w:tcBorders>
              <w:top w:val="nil"/>
            </w:tcBorders>
          </w:tcPr>
          <w:p>
            <w:pPr>
              <w:rPr>
                <w:sz w:val="2"/>
                <w:szCs w:val="2"/>
              </w:rPr>
            </w:pPr>
          </w:p>
        </w:tc>
        <w:tc>
          <w:tcPr>
            <w:tcW w:w="720" w:type="dxa"/>
          </w:tcPr>
          <w:p>
            <w:pPr>
              <w:pStyle w:val="TableParagraph"/>
              <w:spacing w:before="18"/>
              <w:ind w:left="309"/>
              <w:rPr>
                <w:sz w:val="18"/>
              </w:rPr>
            </w:pPr>
            <w:r>
              <w:rPr>
                <w:sz w:val="18"/>
              </w:rPr>
              <w:t>7</w:t>
            </w:r>
          </w:p>
        </w:tc>
        <w:tc>
          <w:tcPr>
            <w:tcW w:w="631" w:type="dxa"/>
            <w:vMerge/>
            <w:tcBorders>
              <w:top w:val="nil"/>
            </w:tcBorders>
          </w:tcPr>
          <w:p>
            <w:pPr>
              <w:rPr>
                <w:sz w:val="2"/>
                <w:szCs w:val="2"/>
              </w:rPr>
            </w:pPr>
          </w:p>
        </w:tc>
        <w:tc>
          <w:tcPr>
            <w:tcW w:w="674" w:type="dxa"/>
            <w:vMerge/>
            <w:tcBorders>
              <w:top w:val="nil"/>
            </w:tcBorders>
          </w:tcPr>
          <w:p>
            <w:pPr>
              <w:rPr>
                <w:sz w:val="2"/>
                <w:szCs w:val="2"/>
              </w:rPr>
            </w:pPr>
          </w:p>
        </w:tc>
        <w:tc>
          <w:tcPr>
            <w:tcW w:w="585" w:type="dxa"/>
            <w:vMerge/>
            <w:tcBorders>
              <w:top w:val="nil"/>
            </w:tcBorders>
          </w:tcPr>
          <w:p>
            <w:pPr>
              <w:rPr>
                <w:sz w:val="2"/>
                <w:szCs w:val="2"/>
              </w:rPr>
            </w:pPr>
          </w:p>
        </w:tc>
      </w:tr>
      <w:tr>
        <w:trPr>
          <w:trHeight w:val="246" w:hRule="atLeast"/>
        </w:trPr>
        <w:tc>
          <w:tcPr>
            <w:tcW w:w="1860" w:type="dxa"/>
            <w:shd w:val="clear" w:color="auto" w:fill="F3F3F3"/>
          </w:tcPr>
          <w:p>
            <w:pPr>
              <w:pStyle w:val="TableParagraph"/>
              <w:rPr>
                <w:rFonts w:ascii="Times New Roman"/>
                <w:sz w:val="16"/>
              </w:rPr>
            </w:pPr>
          </w:p>
        </w:tc>
        <w:tc>
          <w:tcPr>
            <w:tcW w:w="5135" w:type="dxa"/>
            <w:gridSpan w:val="8"/>
          </w:tcPr>
          <w:p>
            <w:pPr>
              <w:pStyle w:val="TableParagraph"/>
              <w:spacing w:before="18"/>
              <w:ind w:left="640"/>
              <w:rPr>
                <w:sz w:val="18"/>
              </w:rPr>
            </w:pPr>
            <w:r>
              <w:rPr>
                <w:sz w:val="18"/>
              </w:rPr>
              <w:t>There are no configuration bits for VADC8, 9, 10</w:t>
            </w:r>
          </w:p>
        </w:tc>
      </w:tr>
      <w:tr>
        <w:trPr>
          <w:trHeight w:val="246" w:hRule="atLeast"/>
        </w:trPr>
        <w:tc>
          <w:tcPr>
            <w:tcW w:w="1860" w:type="dxa"/>
          </w:tcPr>
          <w:p>
            <w:pPr>
              <w:pStyle w:val="TableParagraph"/>
              <w:spacing w:before="18"/>
              <w:ind w:right="413"/>
              <w:jc w:val="right"/>
              <w:rPr>
                <w:sz w:val="18"/>
              </w:rPr>
            </w:pPr>
            <w:r>
              <w:rPr>
                <w:sz w:val="18"/>
              </w:rPr>
              <w:t>VADC8 (VA)</w:t>
            </w:r>
          </w:p>
        </w:tc>
        <w:tc>
          <w:tcPr>
            <w:tcW w:w="636" w:type="dxa"/>
          </w:tcPr>
          <w:p>
            <w:pPr>
              <w:pStyle w:val="TableParagraph"/>
              <w:spacing w:before="18"/>
              <w:ind w:right="257"/>
              <w:jc w:val="right"/>
              <w:rPr>
                <w:sz w:val="18"/>
              </w:rPr>
            </w:pPr>
            <w:r>
              <w:rPr>
                <w:sz w:val="18"/>
              </w:rPr>
              <w:t>8</w:t>
            </w:r>
          </w:p>
        </w:tc>
        <w:tc>
          <w:tcPr>
            <w:tcW w:w="1889" w:type="dxa"/>
            <w:gridSpan w:val="3"/>
            <w:vMerge w:val="restart"/>
            <w:shd w:val="clear" w:color="auto" w:fill="F3F3F3"/>
          </w:tcPr>
          <w:p>
            <w:pPr>
              <w:pStyle w:val="TableParagraph"/>
              <w:rPr>
                <w:rFonts w:ascii="Times New Roman"/>
                <w:sz w:val="18"/>
              </w:rPr>
            </w:pPr>
          </w:p>
        </w:tc>
        <w:tc>
          <w:tcPr>
            <w:tcW w:w="720" w:type="dxa"/>
          </w:tcPr>
          <w:p>
            <w:pPr>
              <w:pStyle w:val="TableParagraph"/>
              <w:spacing w:before="18"/>
              <w:ind w:left="309"/>
              <w:rPr>
                <w:sz w:val="18"/>
              </w:rPr>
            </w:pPr>
            <w:r>
              <w:rPr>
                <w:sz w:val="18"/>
              </w:rPr>
              <w:t>8</w:t>
            </w:r>
          </w:p>
        </w:tc>
        <w:tc>
          <w:tcPr>
            <w:tcW w:w="1890" w:type="dxa"/>
            <w:gridSpan w:val="3"/>
            <w:vMerge w:val="restart"/>
            <w:shd w:val="clear" w:color="auto" w:fill="F3F3F3"/>
          </w:tcPr>
          <w:p>
            <w:pPr>
              <w:pStyle w:val="TableParagraph"/>
              <w:rPr>
                <w:rFonts w:ascii="Times New Roman"/>
                <w:sz w:val="18"/>
              </w:rPr>
            </w:pPr>
          </w:p>
        </w:tc>
      </w:tr>
      <w:tr>
        <w:trPr>
          <w:trHeight w:val="246" w:hRule="atLeast"/>
        </w:trPr>
        <w:tc>
          <w:tcPr>
            <w:tcW w:w="1860" w:type="dxa"/>
          </w:tcPr>
          <w:p>
            <w:pPr>
              <w:pStyle w:val="TableParagraph"/>
              <w:spacing w:before="18"/>
              <w:ind w:right="413"/>
              <w:jc w:val="right"/>
              <w:rPr>
                <w:sz w:val="18"/>
              </w:rPr>
            </w:pPr>
            <w:r>
              <w:rPr>
                <w:sz w:val="18"/>
              </w:rPr>
              <w:t>VADC9 (VB)</w:t>
            </w:r>
          </w:p>
        </w:tc>
        <w:tc>
          <w:tcPr>
            <w:tcW w:w="636" w:type="dxa"/>
          </w:tcPr>
          <w:p>
            <w:pPr>
              <w:pStyle w:val="TableParagraph"/>
              <w:spacing w:before="18"/>
              <w:ind w:right="257"/>
              <w:jc w:val="right"/>
              <w:rPr>
                <w:sz w:val="18"/>
              </w:rPr>
            </w:pPr>
            <w:r>
              <w:rPr>
                <w:sz w:val="18"/>
              </w:rPr>
              <w:t>9</w:t>
            </w:r>
          </w:p>
        </w:tc>
        <w:tc>
          <w:tcPr>
            <w:tcW w:w="1889" w:type="dxa"/>
            <w:gridSpan w:val="3"/>
            <w:vMerge/>
            <w:tcBorders>
              <w:top w:val="nil"/>
            </w:tcBorders>
            <w:shd w:val="clear" w:color="auto" w:fill="F3F3F3"/>
          </w:tcPr>
          <w:p>
            <w:pPr>
              <w:rPr>
                <w:sz w:val="2"/>
                <w:szCs w:val="2"/>
              </w:rPr>
            </w:pPr>
          </w:p>
        </w:tc>
        <w:tc>
          <w:tcPr>
            <w:tcW w:w="720" w:type="dxa"/>
          </w:tcPr>
          <w:p>
            <w:pPr>
              <w:pStyle w:val="TableParagraph"/>
              <w:spacing w:before="18"/>
              <w:ind w:left="309"/>
              <w:rPr>
                <w:sz w:val="18"/>
              </w:rPr>
            </w:pPr>
            <w:r>
              <w:rPr>
                <w:sz w:val="18"/>
              </w:rPr>
              <w:t>9</w:t>
            </w:r>
          </w:p>
        </w:tc>
        <w:tc>
          <w:tcPr>
            <w:tcW w:w="1890" w:type="dxa"/>
            <w:gridSpan w:val="3"/>
            <w:vMerge/>
            <w:tcBorders>
              <w:top w:val="nil"/>
            </w:tcBorders>
            <w:shd w:val="clear" w:color="auto" w:fill="F3F3F3"/>
          </w:tcPr>
          <w:p>
            <w:pPr>
              <w:rPr>
                <w:sz w:val="2"/>
                <w:szCs w:val="2"/>
              </w:rPr>
            </w:pPr>
          </w:p>
        </w:tc>
      </w:tr>
      <w:tr>
        <w:trPr>
          <w:trHeight w:val="246" w:hRule="atLeast"/>
        </w:trPr>
        <w:tc>
          <w:tcPr>
            <w:tcW w:w="1860" w:type="dxa"/>
          </w:tcPr>
          <w:p>
            <w:pPr>
              <w:pStyle w:val="TableParagraph"/>
              <w:spacing w:before="18"/>
              <w:ind w:right="357"/>
              <w:jc w:val="right"/>
              <w:rPr>
                <w:sz w:val="18"/>
              </w:rPr>
            </w:pPr>
            <w:r>
              <w:rPr>
                <w:sz w:val="18"/>
              </w:rPr>
              <w:t>VADC10 (VC)</w:t>
            </w:r>
          </w:p>
        </w:tc>
        <w:tc>
          <w:tcPr>
            <w:tcW w:w="636" w:type="dxa"/>
          </w:tcPr>
          <w:p>
            <w:pPr>
              <w:pStyle w:val="TableParagraph"/>
              <w:spacing w:before="18"/>
              <w:ind w:right="204"/>
              <w:jc w:val="right"/>
              <w:rPr>
                <w:sz w:val="18"/>
              </w:rPr>
            </w:pPr>
            <w:r>
              <w:rPr>
                <w:sz w:val="18"/>
              </w:rPr>
              <w:t>10</w:t>
            </w:r>
          </w:p>
        </w:tc>
        <w:tc>
          <w:tcPr>
            <w:tcW w:w="1889" w:type="dxa"/>
            <w:gridSpan w:val="3"/>
            <w:vMerge/>
            <w:tcBorders>
              <w:top w:val="nil"/>
            </w:tcBorders>
            <w:shd w:val="clear" w:color="auto" w:fill="F3F3F3"/>
          </w:tcPr>
          <w:p>
            <w:pPr>
              <w:rPr>
                <w:sz w:val="2"/>
                <w:szCs w:val="2"/>
              </w:rPr>
            </w:pPr>
          </w:p>
        </w:tc>
        <w:tc>
          <w:tcPr>
            <w:tcW w:w="720" w:type="dxa"/>
          </w:tcPr>
          <w:p>
            <w:pPr>
              <w:pStyle w:val="TableParagraph"/>
              <w:spacing w:before="18"/>
              <w:ind w:left="258"/>
              <w:rPr>
                <w:sz w:val="18"/>
              </w:rPr>
            </w:pPr>
            <w:r>
              <w:rPr>
                <w:sz w:val="18"/>
              </w:rPr>
              <w:t>10</w:t>
            </w:r>
          </w:p>
        </w:tc>
        <w:tc>
          <w:tcPr>
            <w:tcW w:w="1890" w:type="dxa"/>
            <w:gridSpan w:val="3"/>
            <w:vMerge/>
            <w:tcBorders>
              <w:top w:val="nil"/>
            </w:tcBorders>
            <w:shd w:val="clear" w:color="auto" w:fill="F3F3F3"/>
          </w:tcPr>
          <w:p>
            <w:pPr>
              <w:rPr>
                <w:sz w:val="2"/>
                <w:szCs w:val="2"/>
              </w:rPr>
            </w:pPr>
          </w:p>
        </w:tc>
      </w:tr>
    </w:tbl>
    <w:p>
      <w:pPr>
        <w:pStyle w:val="BodyText"/>
        <w:spacing w:before="38"/>
        <w:ind w:left="1473"/>
      </w:pPr>
      <w:r>
        <w:rPr/>
        <w:t>*Remote interface data</w:t>
      </w:r>
    </w:p>
    <w:p>
      <w:pPr>
        <w:spacing w:after="0"/>
        <w:sectPr>
          <w:pgSz w:w="12240" w:h="15840"/>
          <w:pgMar w:header="727" w:footer="819" w:top="1160" w:bottom="1000" w:left="960" w:right="940"/>
        </w:sectPr>
      </w:pPr>
    </w:p>
    <w:p>
      <w:pPr>
        <w:pStyle w:val="ListParagraph"/>
        <w:numPr>
          <w:ilvl w:val="2"/>
          <w:numId w:val="30"/>
        </w:numPr>
        <w:tabs>
          <w:tab w:pos="1199" w:val="left" w:leader="none"/>
          <w:tab w:pos="1200" w:val="left" w:leader="none"/>
        </w:tabs>
        <w:spacing w:line="240" w:lineRule="auto" w:before="88" w:after="0"/>
        <w:ind w:left="1199" w:right="0" w:hanging="720"/>
        <w:jc w:val="left"/>
        <w:rPr>
          <w:b/>
          <w:sz w:val="22"/>
        </w:rPr>
      </w:pPr>
      <w:bookmarkStart w:name="5.3.7 CE Status and Control" w:id="463"/>
      <w:bookmarkEnd w:id="463"/>
      <w:r>
        <w:rPr/>
      </w:r>
      <w:bookmarkStart w:name="_bookmark222" w:id="464"/>
      <w:bookmarkEnd w:id="464"/>
      <w:r>
        <w:rPr/>
      </w:r>
      <w:bookmarkStart w:name="_bookmark222" w:id="465"/>
      <w:bookmarkEnd w:id="465"/>
      <w:r>
        <w:rPr>
          <w:b/>
          <w:sz w:val="22"/>
        </w:rPr>
        <w:t>C</w:t>
      </w:r>
      <w:r>
        <w:rPr>
          <w:b/>
          <w:sz w:val="22"/>
        </w:rPr>
        <w:t>E Status and</w:t>
      </w:r>
      <w:r>
        <w:rPr>
          <w:b/>
          <w:spacing w:val="-3"/>
          <w:sz w:val="22"/>
        </w:rPr>
        <w:t> </w:t>
      </w:r>
      <w:r>
        <w:rPr>
          <w:b/>
          <w:sz w:val="22"/>
        </w:rPr>
        <w:t>Control</w:t>
      </w:r>
    </w:p>
    <w:p>
      <w:pPr>
        <w:pStyle w:val="BodyText"/>
        <w:spacing w:before="121"/>
        <w:ind w:left="479" w:right="491"/>
      </w:pPr>
      <w:r>
        <w:rPr>
          <w:spacing w:val="-3"/>
        </w:rPr>
        <w:t>The </w:t>
      </w:r>
      <w:r>
        <w:rPr/>
        <w:t>CE </w:t>
      </w:r>
      <w:r>
        <w:rPr>
          <w:spacing w:val="-4"/>
        </w:rPr>
        <w:t>Status </w:t>
      </w:r>
      <w:r>
        <w:rPr/>
        <w:t>Word </w:t>
      </w:r>
      <w:r>
        <w:rPr>
          <w:spacing w:val="-3"/>
        </w:rPr>
        <w:t>is </w:t>
      </w:r>
      <w:r>
        <w:rPr>
          <w:spacing w:val="-4"/>
        </w:rPr>
        <w:t>useful </w:t>
      </w:r>
      <w:r>
        <w:rPr>
          <w:spacing w:val="-3"/>
        </w:rPr>
        <w:t>for </w:t>
      </w:r>
      <w:r>
        <w:rPr>
          <w:spacing w:val="-4"/>
        </w:rPr>
        <w:t>generating </w:t>
      </w:r>
      <w:r>
        <w:rPr>
          <w:spacing w:val="-3"/>
        </w:rPr>
        <w:t>early </w:t>
      </w:r>
      <w:r>
        <w:rPr>
          <w:spacing w:val="-4"/>
        </w:rPr>
        <w:t>warnings </w:t>
      </w:r>
      <w:r>
        <w:rPr/>
        <w:t>to </w:t>
      </w:r>
      <w:r>
        <w:rPr>
          <w:spacing w:val="-3"/>
        </w:rPr>
        <w:t>the MPU </w:t>
      </w:r>
      <w:r>
        <w:rPr>
          <w:spacing w:val="-4"/>
        </w:rPr>
        <w:t>(</w:t>
      </w:r>
      <w:hyperlink w:history="true" w:anchor="_bookmark223">
        <w:r>
          <w:rPr>
            <w:color w:val="0000FF"/>
            <w:spacing w:val="-4"/>
          </w:rPr>
          <w:t>Table 73</w:t>
        </w:r>
      </w:hyperlink>
      <w:r>
        <w:rPr>
          <w:spacing w:val="-4"/>
        </w:rPr>
        <w:t>). </w:t>
      </w:r>
      <w:r>
        <w:rPr/>
        <w:t>It </w:t>
      </w:r>
      <w:r>
        <w:rPr>
          <w:spacing w:val="-4"/>
        </w:rPr>
        <w:t>contains </w:t>
      </w:r>
      <w:r>
        <w:rPr>
          <w:spacing w:val="-3"/>
        </w:rPr>
        <w:t>sag </w:t>
      </w:r>
      <w:r>
        <w:rPr>
          <w:spacing w:val="-5"/>
        </w:rPr>
        <w:t>warnings </w:t>
      </w:r>
      <w:r>
        <w:rPr/>
        <w:t>for phase A, B, and C, as well as </w:t>
      </w:r>
      <w:r>
        <w:rPr>
          <w:i/>
        </w:rPr>
        <w:t>F0</w:t>
      </w:r>
      <w:r>
        <w:rPr/>
        <w:t>, the derived clock operating at the fundamental input frequency. The MPU can read the CE status word at every CE_BUSY interrupt. Since the CE_BUSY interrupt occurs at the sample rate (i.e., 2520.6 Hz for </w:t>
      </w:r>
      <w:r>
        <w:rPr>
          <w:rFonts w:ascii="Times New Roman"/>
          <w:i/>
        </w:rPr>
        <w:t>MUX_DIV[3:0]</w:t>
      </w:r>
      <w:r>
        <w:rPr/>
        <w:t>=6 or 2184.5 Hz for </w:t>
      </w:r>
      <w:r>
        <w:rPr>
          <w:rFonts w:ascii="Times New Roman"/>
          <w:i/>
        </w:rPr>
        <w:t>MUX_DIV[3:0]</w:t>
      </w:r>
      <w:r>
        <w:rPr/>
        <w:t>=7), it is desirable to minimize the computation required in the interrupt handler of the MPU.</w:t>
      </w:r>
    </w:p>
    <w:p>
      <w:pPr>
        <w:pStyle w:val="BodyText"/>
        <w:spacing w:before="2"/>
      </w:pPr>
    </w:p>
    <w:p>
      <w:pPr>
        <w:spacing w:before="0"/>
        <w:ind w:left="773" w:right="797" w:firstLine="0"/>
        <w:jc w:val="center"/>
        <w:rPr>
          <w:b/>
          <w:sz w:val="20"/>
        </w:rPr>
      </w:pPr>
      <w:bookmarkStart w:name="_bookmark223" w:id="466"/>
      <w:bookmarkEnd w:id="466"/>
      <w:r>
        <w:rPr/>
      </w:r>
      <w:r>
        <w:rPr>
          <w:b/>
          <w:sz w:val="20"/>
        </w:rPr>
        <w:t>Table 73: </w:t>
      </w:r>
      <w:r>
        <w:rPr>
          <w:rFonts w:ascii="Times New Roman"/>
          <w:b/>
          <w:i/>
          <w:sz w:val="20"/>
        </w:rPr>
        <w:t>CESTATUS </w:t>
      </w:r>
      <w:r>
        <w:rPr>
          <w:b/>
          <w:sz w:val="20"/>
        </w:rPr>
        <w:t>Register</w:t>
      </w:r>
    </w:p>
    <w:p>
      <w:pPr>
        <w:pStyle w:val="BodyText"/>
        <w:spacing w:before="4"/>
        <w:rPr>
          <w:b/>
          <w:sz w:val="5"/>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6"/>
        <w:gridCol w:w="1680"/>
        <w:gridCol w:w="6194"/>
      </w:tblGrid>
      <w:tr>
        <w:trPr>
          <w:trHeight w:val="309" w:hRule="atLeast"/>
        </w:trPr>
        <w:tc>
          <w:tcPr>
            <w:tcW w:w="1486" w:type="dxa"/>
          </w:tcPr>
          <w:p>
            <w:pPr>
              <w:pStyle w:val="TableParagraph"/>
              <w:spacing w:before="36"/>
              <w:ind w:left="152" w:right="149"/>
              <w:jc w:val="center"/>
              <w:rPr>
                <w:b/>
                <w:sz w:val="20"/>
              </w:rPr>
            </w:pPr>
            <w:r>
              <w:rPr>
                <w:b/>
                <w:sz w:val="20"/>
              </w:rPr>
              <w:t>CE Address</w:t>
            </w:r>
          </w:p>
        </w:tc>
        <w:tc>
          <w:tcPr>
            <w:tcW w:w="1680" w:type="dxa"/>
          </w:tcPr>
          <w:p>
            <w:pPr>
              <w:pStyle w:val="TableParagraph"/>
              <w:spacing w:before="36"/>
              <w:ind w:right="559"/>
              <w:jc w:val="right"/>
              <w:rPr>
                <w:b/>
                <w:sz w:val="20"/>
              </w:rPr>
            </w:pPr>
            <w:r>
              <w:rPr>
                <w:b/>
                <w:sz w:val="20"/>
              </w:rPr>
              <w:t>Name</w:t>
            </w:r>
          </w:p>
        </w:tc>
        <w:tc>
          <w:tcPr>
            <w:tcW w:w="6194" w:type="dxa"/>
          </w:tcPr>
          <w:p>
            <w:pPr>
              <w:pStyle w:val="TableParagraph"/>
              <w:spacing w:before="36"/>
              <w:ind w:left="114"/>
              <w:rPr>
                <w:b/>
                <w:sz w:val="20"/>
              </w:rPr>
            </w:pPr>
            <w:r>
              <w:rPr>
                <w:b/>
                <w:sz w:val="20"/>
              </w:rPr>
              <w:t>Description</w:t>
            </w:r>
          </w:p>
        </w:tc>
      </w:tr>
      <w:tr>
        <w:trPr>
          <w:trHeight w:val="270" w:hRule="atLeast"/>
        </w:trPr>
        <w:tc>
          <w:tcPr>
            <w:tcW w:w="1486" w:type="dxa"/>
          </w:tcPr>
          <w:p>
            <w:pPr>
              <w:pStyle w:val="TableParagraph"/>
              <w:spacing w:before="21"/>
              <w:ind w:left="152" w:right="146"/>
              <w:jc w:val="center"/>
              <w:rPr>
                <w:sz w:val="20"/>
              </w:rPr>
            </w:pPr>
            <w:r>
              <w:rPr>
                <w:sz w:val="20"/>
              </w:rPr>
              <w:t>0x80</w:t>
            </w:r>
          </w:p>
        </w:tc>
        <w:tc>
          <w:tcPr>
            <w:tcW w:w="1680" w:type="dxa"/>
          </w:tcPr>
          <w:p>
            <w:pPr>
              <w:pStyle w:val="TableParagraph"/>
              <w:spacing w:before="17"/>
              <w:ind w:right="611"/>
              <w:jc w:val="right"/>
              <w:rPr>
                <w:rFonts w:ascii="Times New Roman"/>
                <w:i/>
                <w:sz w:val="20"/>
              </w:rPr>
            </w:pPr>
            <w:r>
              <w:rPr>
                <w:rFonts w:ascii="Times New Roman"/>
                <w:i/>
                <w:sz w:val="20"/>
              </w:rPr>
              <w:t>CESTATUS</w:t>
            </w:r>
          </w:p>
        </w:tc>
        <w:tc>
          <w:tcPr>
            <w:tcW w:w="6194" w:type="dxa"/>
          </w:tcPr>
          <w:p>
            <w:pPr>
              <w:pStyle w:val="TableParagraph"/>
              <w:spacing w:before="14"/>
              <w:ind w:left="114"/>
              <w:rPr>
                <w:sz w:val="20"/>
              </w:rPr>
            </w:pPr>
            <w:r>
              <w:rPr>
                <w:sz w:val="20"/>
              </w:rPr>
              <w:t>See description of </w:t>
            </w:r>
            <w:r>
              <w:rPr>
                <w:rFonts w:ascii="Times New Roman"/>
                <w:i/>
                <w:sz w:val="20"/>
              </w:rPr>
              <w:t>CESTATUS </w:t>
            </w:r>
            <w:r>
              <w:rPr>
                <w:sz w:val="20"/>
              </w:rPr>
              <w:t>bits in </w:t>
            </w:r>
            <w:hyperlink w:history="true" w:anchor="_bookmark224">
              <w:r>
                <w:rPr>
                  <w:color w:val="0000FF"/>
                  <w:sz w:val="20"/>
                </w:rPr>
                <w:t>Table 74</w:t>
              </w:r>
              <w:r>
                <w:rPr>
                  <w:sz w:val="20"/>
                </w:rPr>
                <w:t>.</w:t>
              </w:r>
            </w:hyperlink>
          </w:p>
        </w:tc>
      </w:tr>
    </w:tbl>
    <w:p>
      <w:pPr>
        <w:pStyle w:val="BodyText"/>
        <w:spacing w:before="7"/>
        <w:rPr>
          <w:b/>
          <w:sz w:val="19"/>
        </w:rPr>
      </w:pPr>
    </w:p>
    <w:p>
      <w:pPr>
        <w:pStyle w:val="BodyText"/>
        <w:ind w:left="480" w:right="491"/>
      </w:pPr>
      <w:r>
        <w:rPr>
          <w:rFonts w:ascii="Times New Roman"/>
          <w:i/>
          <w:spacing w:val="-3"/>
        </w:rPr>
        <w:t>CESTATUS</w:t>
      </w:r>
      <w:r>
        <w:rPr>
          <w:rFonts w:ascii="Times New Roman"/>
          <w:i/>
          <w:spacing w:val="-7"/>
        </w:rPr>
        <w:t> </w:t>
      </w:r>
      <w:r>
        <w:rPr>
          <w:spacing w:val="-2"/>
        </w:rPr>
        <w:t>provides</w:t>
      </w:r>
      <w:r>
        <w:rPr>
          <w:spacing w:val="-13"/>
        </w:rPr>
        <w:t> </w:t>
      </w:r>
      <w:r>
        <w:rPr/>
        <w:t>information</w:t>
      </w:r>
      <w:r>
        <w:rPr>
          <w:spacing w:val="-14"/>
        </w:rPr>
        <w:t> </w:t>
      </w:r>
      <w:r>
        <w:rPr/>
        <w:t>about</w:t>
      </w:r>
      <w:r>
        <w:rPr>
          <w:spacing w:val="-15"/>
        </w:rPr>
        <w:t> </w:t>
      </w:r>
      <w:r>
        <w:rPr/>
        <w:t>the</w:t>
      </w:r>
      <w:r>
        <w:rPr>
          <w:spacing w:val="-14"/>
        </w:rPr>
        <w:t> </w:t>
      </w:r>
      <w:r>
        <w:rPr/>
        <w:t>status</w:t>
      </w:r>
      <w:r>
        <w:rPr>
          <w:spacing w:val="-13"/>
        </w:rPr>
        <w:t> </w:t>
      </w:r>
      <w:r>
        <w:rPr/>
        <w:t>of</w:t>
      </w:r>
      <w:r>
        <w:rPr>
          <w:spacing w:val="-13"/>
        </w:rPr>
        <w:t> </w:t>
      </w:r>
      <w:r>
        <w:rPr/>
        <w:t>voltage</w:t>
      </w:r>
      <w:r>
        <w:rPr>
          <w:spacing w:val="-14"/>
        </w:rPr>
        <w:t> </w:t>
      </w:r>
      <w:r>
        <w:rPr/>
        <w:t>and</w:t>
      </w:r>
      <w:r>
        <w:rPr>
          <w:spacing w:val="-14"/>
        </w:rPr>
        <w:t> </w:t>
      </w:r>
      <w:r>
        <w:rPr/>
        <w:t>input</w:t>
      </w:r>
      <w:r>
        <w:rPr>
          <w:spacing w:val="-13"/>
        </w:rPr>
        <w:t> </w:t>
      </w:r>
      <w:r>
        <w:rPr/>
        <w:t>AC</w:t>
      </w:r>
      <w:r>
        <w:rPr>
          <w:spacing w:val="-14"/>
        </w:rPr>
        <w:t> </w:t>
      </w:r>
      <w:r>
        <w:rPr/>
        <w:t>signal</w:t>
      </w:r>
      <w:r>
        <w:rPr>
          <w:spacing w:val="-14"/>
        </w:rPr>
        <w:t> </w:t>
      </w:r>
      <w:r>
        <w:rPr/>
        <w:t>frequency,</w:t>
      </w:r>
      <w:r>
        <w:rPr>
          <w:spacing w:val="-12"/>
        </w:rPr>
        <w:t> </w:t>
      </w:r>
      <w:r>
        <w:rPr/>
        <w:t>which</w:t>
      </w:r>
      <w:r>
        <w:rPr>
          <w:spacing w:val="-14"/>
        </w:rPr>
        <w:t> </w:t>
      </w:r>
      <w:r>
        <w:rPr/>
        <w:t>are</w:t>
      </w:r>
      <w:r>
        <w:rPr>
          <w:spacing w:val="-14"/>
        </w:rPr>
        <w:t> </w:t>
      </w:r>
      <w:r>
        <w:rPr/>
        <w:t>useful for generating an early power fail warning to initiate necessary data storage. </w:t>
      </w:r>
      <w:r>
        <w:rPr>
          <w:rFonts w:ascii="Times New Roman"/>
          <w:i/>
        </w:rPr>
        <w:t>CESTATUS </w:t>
      </w:r>
      <w:r>
        <w:rPr/>
        <w:t>represents the status flags for the preceding CE code pass (CE_BUSY interrupt). The significance of the bits in </w:t>
      </w:r>
      <w:r>
        <w:rPr>
          <w:rFonts w:ascii="Times New Roman"/>
          <w:i/>
        </w:rPr>
        <w:t>CESTATUS </w:t>
      </w:r>
      <w:r>
        <w:rPr/>
        <w:t>is shown in </w:t>
      </w:r>
      <w:hyperlink w:history="true" w:anchor="_bookmark224">
        <w:r>
          <w:rPr>
            <w:color w:val="0000FF"/>
          </w:rPr>
          <w:t>Table</w:t>
        </w:r>
        <w:r>
          <w:rPr>
            <w:color w:val="0000FF"/>
            <w:spacing w:val="4"/>
          </w:rPr>
          <w:t> </w:t>
        </w:r>
        <w:r>
          <w:rPr>
            <w:color w:val="0000FF"/>
          </w:rPr>
          <w:t>74.</w:t>
        </w:r>
      </w:hyperlink>
    </w:p>
    <w:p>
      <w:pPr>
        <w:spacing w:before="4"/>
        <w:ind w:left="777" w:right="797" w:firstLine="0"/>
        <w:jc w:val="center"/>
        <w:rPr>
          <w:b/>
          <w:sz w:val="20"/>
        </w:rPr>
      </w:pPr>
      <w:bookmarkStart w:name="_bookmark224" w:id="467"/>
      <w:bookmarkEnd w:id="467"/>
      <w:r>
        <w:rPr/>
      </w:r>
      <w:r>
        <w:rPr>
          <w:b/>
          <w:sz w:val="20"/>
        </w:rPr>
        <w:t>Table 74: </w:t>
      </w:r>
      <w:r>
        <w:rPr>
          <w:rFonts w:ascii="Times New Roman"/>
          <w:b/>
          <w:i/>
          <w:sz w:val="20"/>
        </w:rPr>
        <w:t>CESTATUS </w:t>
      </w:r>
      <w:r>
        <w:rPr>
          <w:b/>
          <w:sz w:val="20"/>
        </w:rPr>
        <w:t>Bit Definitions</w:t>
      </w:r>
    </w:p>
    <w:p>
      <w:pPr>
        <w:pStyle w:val="BodyText"/>
        <w:spacing w:before="4"/>
        <w:rPr>
          <w:b/>
          <w:sz w:val="5"/>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0"/>
        <w:gridCol w:w="1296"/>
        <w:gridCol w:w="6754"/>
      </w:tblGrid>
      <w:tr>
        <w:trPr>
          <w:trHeight w:val="539" w:hRule="atLeast"/>
        </w:trPr>
        <w:tc>
          <w:tcPr>
            <w:tcW w:w="1310" w:type="dxa"/>
            <w:tcBorders>
              <w:bottom w:val="single" w:sz="6" w:space="0" w:color="000000"/>
              <w:right w:val="single" w:sz="6" w:space="0" w:color="000000"/>
            </w:tcBorders>
          </w:tcPr>
          <w:p>
            <w:pPr>
              <w:pStyle w:val="TableParagraph"/>
              <w:spacing w:line="227" w:lineRule="exact" w:before="38"/>
              <w:ind w:left="127" w:right="119"/>
              <w:jc w:val="center"/>
              <w:rPr>
                <w:rFonts w:ascii="Times New Roman"/>
                <w:b/>
                <w:i/>
                <w:sz w:val="20"/>
              </w:rPr>
            </w:pPr>
            <w:r>
              <w:rPr>
                <w:rFonts w:ascii="Times New Roman"/>
                <w:b/>
                <w:i/>
                <w:sz w:val="20"/>
              </w:rPr>
              <w:t>CESTATUS</w:t>
            </w:r>
          </w:p>
          <w:p>
            <w:pPr>
              <w:pStyle w:val="TableParagraph"/>
              <w:spacing w:line="227" w:lineRule="exact"/>
              <w:ind w:left="127" w:right="116"/>
              <w:jc w:val="center"/>
              <w:rPr>
                <w:b/>
                <w:sz w:val="20"/>
              </w:rPr>
            </w:pPr>
            <w:r>
              <w:rPr>
                <w:b/>
                <w:sz w:val="20"/>
              </w:rPr>
              <w:t>bit</w:t>
            </w:r>
          </w:p>
        </w:tc>
        <w:tc>
          <w:tcPr>
            <w:tcW w:w="1296" w:type="dxa"/>
            <w:tcBorders>
              <w:left w:val="single" w:sz="6" w:space="0" w:color="000000"/>
              <w:bottom w:val="single" w:sz="6" w:space="0" w:color="000000"/>
              <w:right w:val="single" w:sz="6" w:space="0" w:color="000000"/>
            </w:tcBorders>
          </w:tcPr>
          <w:p>
            <w:pPr>
              <w:pStyle w:val="TableParagraph"/>
              <w:spacing w:before="150"/>
              <w:ind w:left="206" w:right="200"/>
              <w:jc w:val="center"/>
              <w:rPr>
                <w:b/>
                <w:sz w:val="20"/>
              </w:rPr>
            </w:pPr>
            <w:r>
              <w:rPr>
                <w:b/>
                <w:sz w:val="20"/>
              </w:rPr>
              <w:t>Name</w:t>
            </w:r>
          </w:p>
        </w:tc>
        <w:tc>
          <w:tcPr>
            <w:tcW w:w="6754" w:type="dxa"/>
            <w:tcBorders>
              <w:left w:val="single" w:sz="6" w:space="0" w:color="000000"/>
              <w:bottom w:val="single" w:sz="6" w:space="0" w:color="000000"/>
            </w:tcBorders>
          </w:tcPr>
          <w:p>
            <w:pPr>
              <w:pStyle w:val="TableParagraph"/>
              <w:spacing w:before="150"/>
              <w:ind w:left="105"/>
              <w:rPr>
                <w:b/>
                <w:sz w:val="20"/>
              </w:rPr>
            </w:pPr>
            <w:r>
              <w:rPr>
                <w:b/>
                <w:sz w:val="20"/>
              </w:rPr>
              <w:t>Description</w:t>
            </w:r>
          </w:p>
        </w:tc>
      </w:tr>
      <w:tr>
        <w:trPr>
          <w:trHeight w:val="270" w:hRule="atLeast"/>
        </w:trPr>
        <w:tc>
          <w:tcPr>
            <w:tcW w:w="1310" w:type="dxa"/>
            <w:tcBorders>
              <w:top w:val="single" w:sz="6" w:space="0" w:color="000000"/>
              <w:bottom w:val="single" w:sz="6" w:space="0" w:color="000000"/>
              <w:right w:val="single" w:sz="6" w:space="0" w:color="000000"/>
            </w:tcBorders>
          </w:tcPr>
          <w:p>
            <w:pPr>
              <w:pStyle w:val="TableParagraph"/>
              <w:spacing w:before="18"/>
              <w:ind w:left="127" w:right="117"/>
              <w:jc w:val="center"/>
              <w:rPr>
                <w:sz w:val="20"/>
              </w:rPr>
            </w:pPr>
            <w:r>
              <w:rPr>
                <w:sz w:val="20"/>
              </w:rPr>
              <w:t>31:4</w:t>
            </w:r>
          </w:p>
        </w:tc>
        <w:tc>
          <w:tcPr>
            <w:tcW w:w="1296" w:type="dxa"/>
            <w:tcBorders>
              <w:top w:val="single" w:sz="6" w:space="0" w:color="000000"/>
              <w:left w:val="single" w:sz="6" w:space="0" w:color="000000"/>
              <w:bottom w:val="single" w:sz="6" w:space="0" w:color="000000"/>
              <w:right w:val="single" w:sz="6" w:space="0" w:color="000000"/>
            </w:tcBorders>
          </w:tcPr>
          <w:p>
            <w:pPr>
              <w:pStyle w:val="TableParagraph"/>
              <w:spacing w:before="18"/>
              <w:ind w:left="206" w:right="201"/>
              <w:jc w:val="center"/>
              <w:rPr>
                <w:sz w:val="20"/>
              </w:rPr>
            </w:pPr>
            <w:r>
              <w:rPr>
                <w:sz w:val="20"/>
              </w:rPr>
              <w:t>Not Used</w:t>
            </w:r>
          </w:p>
        </w:tc>
        <w:tc>
          <w:tcPr>
            <w:tcW w:w="6754" w:type="dxa"/>
            <w:tcBorders>
              <w:top w:val="single" w:sz="6" w:space="0" w:color="000000"/>
              <w:left w:val="single" w:sz="6" w:space="0" w:color="000000"/>
              <w:bottom w:val="single" w:sz="6" w:space="0" w:color="000000"/>
            </w:tcBorders>
          </w:tcPr>
          <w:p>
            <w:pPr>
              <w:pStyle w:val="TableParagraph"/>
              <w:spacing w:before="18"/>
              <w:ind w:left="105"/>
              <w:rPr>
                <w:sz w:val="20"/>
              </w:rPr>
            </w:pPr>
            <w:r>
              <w:rPr>
                <w:sz w:val="20"/>
              </w:rPr>
              <w:t>These unused bits are always zero.</w:t>
            </w:r>
          </w:p>
        </w:tc>
      </w:tr>
      <w:tr>
        <w:trPr>
          <w:trHeight w:val="270" w:hRule="atLeast"/>
        </w:trPr>
        <w:tc>
          <w:tcPr>
            <w:tcW w:w="1310" w:type="dxa"/>
            <w:tcBorders>
              <w:top w:val="single" w:sz="6" w:space="0" w:color="000000"/>
              <w:bottom w:val="single" w:sz="6" w:space="0" w:color="000000"/>
              <w:right w:val="single" w:sz="6" w:space="0" w:color="000000"/>
            </w:tcBorders>
          </w:tcPr>
          <w:p>
            <w:pPr>
              <w:pStyle w:val="TableParagraph"/>
              <w:spacing w:before="18"/>
              <w:ind w:left="12"/>
              <w:jc w:val="center"/>
              <w:rPr>
                <w:sz w:val="20"/>
              </w:rPr>
            </w:pPr>
            <w:r>
              <w:rPr>
                <w:w w:val="99"/>
                <w:sz w:val="20"/>
              </w:rPr>
              <w:t>3</w:t>
            </w:r>
          </w:p>
        </w:tc>
        <w:tc>
          <w:tcPr>
            <w:tcW w:w="1296" w:type="dxa"/>
            <w:tcBorders>
              <w:top w:val="single" w:sz="6" w:space="0" w:color="000000"/>
              <w:left w:val="single" w:sz="6" w:space="0" w:color="000000"/>
              <w:bottom w:val="single" w:sz="6" w:space="0" w:color="000000"/>
              <w:right w:val="single" w:sz="6" w:space="0" w:color="000000"/>
            </w:tcBorders>
          </w:tcPr>
          <w:p>
            <w:pPr>
              <w:pStyle w:val="TableParagraph"/>
              <w:spacing w:before="14"/>
              <w:ind w:left="206" w:right="200"/>
              <w:jc w:val="center"/>
              <w:rPr>
                <w:rFonts w:ascii="Times New Roman"/>
                <w:i/>
                <w:sz w:val="20"/>
              </w:rPr>
            </w:pPr>
            <w:r>
              <w:rPr>
                <w:rFonts w:ascii="Times New Roman"/>
                <w:i/>
                <w:sz w:val="20"/>
              </w:rPr>
              <w:t>F0</w:t>
            </w:r>
          </w:p>
        </w:tc>
        <w:tc>
          <w:tcPr>
            <w:tcW w:w="6754" w:type="dxa"/>
            <w:tcBorders>
              <w:top w:val="single" w:sz="6" w:space="0" w:color="000000"/>
              <w:left w:val="single" w:sz="6" w:space="0" w:color="000000"/>
              <w:bottom w:val="single" w:sz="6" w:space="0" w:color="000000"/>
            </w:tcBorders>
          </w:tcPr>
          <w:p>
            <w:pPr>
              <w:pStyle w:val="TableParagraph"/>
              <w:spacing w:before="13"/>
              <w:ind w:left="105"/>
              <w:rPr>
                <w:sz w:val="20"/>
              </w:rPr>
            </w:pPr>
            <w:r>
              <w:rPr>
                <w:rFonts w:ascii="Times New Roman"/>
                <w:i/>
                <w:sz w:val="20"/>
              </w:rPr>
              <w:t>F0 </w:t>
            </w:r>
            <w:r>
              <w:rPr>
                <w:sz w:val="20"/>
              </w:rPr>
              <w:t>is a square wave at the exact fundamental input frequency.</w:t>
            </w:r>
          </w:p>
        </w:tc>
      </w:tr>
      <w:tr>
        <w:trPr>
          <w:trHeight w:val="731" w:hRule="atLeast"/>
        </w:trPr>
        <w:tc>
          <w:tcPr>
            <w:tcW w:w="1310" w:type="dxa"/>
            <w:tcBorders>
              <w:top w:val="single" w:sz="6" w:space="0" w:color="000000"/>
              <w:bottom w:val="single" w:sz="6" w:space="0" w:color="000000"/>
              <w:right w:val="single" w:sz="6" w:space="0" w:color="000000"/>
            </w:tcBorders>
          </w:tcPr>
          <w:p>
            <w:pPr>
              <w:pStyle w:val="TableParagraph"/>
              <w:spacing w:before="7"/>
              <w:rPr>
                <w:b/>
                <w:sz w:val="21"/>
              </w:rPr>
            </w:pPr>
          </w:p>
          <w:p>
            <w:pPr>
              <w:pStyle w:val="TableParagraph"/>
              <w:ind w:left="12"/>
              <w:jc w:val="center"/>
              <w:rPr>
                <w:sz w:val="20"/>
              </w:rPr>
            </w:pPr>
            <w:r>
              <w:rPr>
                <w:w w:val="99"/>
                <w:sz w:val="20"/>
              </w:rPr>
              <w:t>2</w:t>
            </w:r>
          </w:p>
        </w:tc>
        <w:tc>
          <w:tcPr>
            <w:tcW w:w="1296" w:type="dxa"/>
            <w:tcBorders>
              <w:top w:val="single" w:sz="6" w:space="0" w:color="000000"/>
              <w:left w:val="single" w:sz="6" w:space="0" w:color="000000"/>
              <w:bottom w:val="single" w:sz="6" w:space="0" w:color="000000"/>
              <w:right w:val="single" w:sz="6" w:space="0" w:color="000000"/>
            </w:tcBorders>
          </w:tcPr>
          <w:p>
            <w:pPr>
              <w:pStyle w:val="TableParagraph"/>
              <w:spacing w:before="3"/>
              <w:rPr>
                <w:b/>
                <w:sz w:val="21"/>
              </w:rPr>
            </w:pPr>
          </w:p>
          <w:p>
            <w:pPr>
              <w:pStyle w:val="TableParagraph"/>
              <w:ind w:left="206" w:right="195"/>
              <w:jc w:val="center"/>
              <w:rPr>
                <w:rFonts w:ascii="Times New Roman"/>
                <w:i/>
                <w:sz w:val="20"/>
              </w:rPr>
            </w:pPr>
            <w:r>
              <w:rPr>
                <w:rFonts w:ascii="Times New Roman"/>
                <w:i/>
                <w:sz w:val="20"/>
              </w:rPr>
              <w:t>SAG_C</w:t>
            </w:r>
          </w:p>
        </w:tc>
        <w:tc>
          <w:tcPr>
            <w:tcW w:w="6754" w:type="dxa"/>
            <w:tcBorders>
              <w:top w:val="single" w:sz="6" w:space="0" w:color="000000"/>
              <w:left w:val="single" w:sz="6" w:space="0" w:color="000000"/>
              <w:bottom w:val="single" w:sz="6" w:space="0" w:color="000000"/>
            </w:tcBorders>
          </w:tcPr>
          <w:p>
            <w:pPr>
              <w:pStyle w:val="TableParagraph"/>
              <w:spacing w:before="13"/>
              <w:ind w:left="105"/>
              <w:rPr>
                <w:sz w:val="20"/>
              </w:rPr>
            </w:pPr>
            <w:r>
              <w:rPr>
                <w:spacing w:val="-4"/>
                <w:sz w:val="20"/>
              </w:rPr>
              <w:t>Normally zero. Becomes </w:t>
            </w:r>
            <w:r>
              <w:rPr>
                <w:spacing w:val="-3"/>
                <w:sz w:val="20"/>
              </w:rPr>
              <w:t>one when </w:t>
            </w:r>
            <w:r>
              <w:rPr>
                <w:spacing w:val="-4"/>
                <w:sz w:val="20"/>
              </w:rPr>
              <w:t>VADC10 </w:t>
            </w:r>
            <w:r>
              <w:rPr>
                <w:spacing w:val="-3"/>
                <w:sz w:val="20"/>
              </w:rPr>
              <w:t>(VC) </w:t>
            </w:r>
            <w:r>
              <w:rPr>
                <w:spacing w:val="-4"/>
                <w:sz w:val="20"/>
              </w:rPr>
              <w:t>remains below </w:t>
            </w:r>
            <w:r>
              <w:rPr>
                <w:rFonts w:ascii="Times New Roman"/>
                <w:i/>
                <w:spacing w:val="-5"/>
                <w:sz w:val="20"/>
              </w:rPr>
              <w:t>SAG_THR </w:t>
            </w:r>
            <w:r>
              <w:rPr>
                <w:rFonts w:ascii="Times New Roman"/>
                <w:i/>
                <w:spacing w:val="-4"/>
                <w:sz w:val="20"/>
              </w:rPr>
              <w:t>(CE </w:t>
            </w:r>
            <w:r>
              <w:rPr>
                <w:rFonts w:ascii="Times New Roman"/>
                <w:i/>
                <w:spacing w:val="-3"/>
                <w:sz w:val="20"/>
              </w:rPr>
              <w:t>RAM 0x24) </w:t>
            </w:r>
            <w:r>
              <w:rPr>
                <w:spacing w:val="-3"/>
                <w:sz w:val="20"/>
              </w:rPr>
              <w:t>for </w:t>
            </w:r>
            <w:r>
              <w:rPr>
                <w:rFonts w:ascii="Times New Roman"/>
                <w:i/>
                <w:spacing w:val="-3"/>
                <w:sz w:val="20"/>
              </w:rPr>
              <w:t>SAGCNT </w:t>
            </w:r>
            <w:r>
              <w:rPr>
                <w:spacing w:val="-4"/>
                <w:sz w:val="20"/>
              </w:rPr>
              <w:t>samples. Does </w:t>
            </w:r>
            <w:r>
              <w:rPr>
                <w:spacing w:val="-3"/>
                <w:sz w:val="20"/>
              </w:rPr>
              <w:t>not </w:t>
            </w:r>
            <w:r>
              <w:rPr>
                <w:spacing w:val="-4"/>
                <w:sz w:val="20"/>
              </w:rPr>
              <w:t>return </w:t>
            </w:r>
            <w:r>
              <w:rPr>
                <w:spacing w:val="-3"/>
                <w:sz w:val="20"/>
              </w:rPr>
              <w:t>to </w:t>
            </w:r>
            <w:r>
              <w:rPr>
                <w:spacing w:val="-4"/>
                <w:sz w:val="20"/>
              </w:rPr>
              <w:t>zero until VADC10 (VC) rises above </w:t>
            </w:r>
            <w:r>
              <w:rPr>
                <w:rFonts w:ascii="Times New Roman"/>
                <w:i/>
                <w:spacing w:val="-4"/>
                <w:sz w:val="20"/>
              </w:rPr>
              <w:t>SAG_THR</w:t>
            </w:r>
            <w:r>
              <w:rPr>
                <w:spacing w:val="-4"/>
                <w:sz w:val="20"/>
              </w:rPr>
              <w:t>.</w:t>
            </w:r>
          </w:p>
        </w:tc>
      </w:tr>
      <w:tr>
        <w:trPr>
          <w:trHeight w:val="733" w:hRule="atLeast"/>
        </w:trPr>
        <w:tc>
          <w:tcPr>
            <w:tcW w:w="1310" w:type="dxa"/>
            <w:tcBorders>
              <w:top w:val="single" w:sz="6" w:space="0" w:color="000000"/>
              <w:bottom w:val="single" w:sz="6" w:space="0" w:color="000000"/>
              <w:right w:val="single" w:sz="6" w:space="0" w:color="000000"/>
            </w:tcBorders>
          </w:tcPr>
          <w:p>
            <w:pPr>
              <w:pStyle w:val="TableParagraph"/>
              <w:spacing w:before="9"/>
              <w:rPr>
                <w:b/>
                <w:sz w:val="21"/>
              </w:rPr>
            </w:pPr>
          </w:p>
          <w:p>
            <w:pPr>
              <w:pStyle w:val="TableParagraph"/>
              <w:spacing w:before="1"/>
              <w:ind w:left="12"/>
              <w:jc w:val="center"/>
              <w:rPr>
                <w:sz w:val="20"/>
              </w:rPr>
            </w:pPr>
            <w:r>
              <w:rPr>
                <w:w w:val="99"/>
                <w:sz w:val="20"/>
              </w:rPr>
              <w:t>1</w:t>
            </w:r>
          </w:p>
        </w:tc>
        <w:tc>
          <w:tcPr>
            <w:tcW w:w="1296" w:type="dxa"/>
            <w:tcBorders>
              <w:top w:val="single" w:sz="6" w:space="0" w:color="000000"/>
              <w:left w:val="single" w:sz="6" w:space="0" w:color="000000"/>
              <w:bottom w:val="single" w:sz="6" w:space="0" w:color="000000"/>
              <w:right w:val="single" w:sz="6" w:space="0" w:color="000000"/>
            </w:tcBorders>
          </w:tcPr>
          <w:p>
            <w:pPr>
              <w:pStyle w:val="TableParagraph"/>
              <w:spacing w:before="5"/>
              <w:rPr>
                <w:b/>
                <w:sz w:val="21"/>
              </w:rPr>
            </w:pPr>
          </w:p>
          <w:p>
            <w:pPr>
              <w:pStyle w:val="TableParagraph"/>
              <w:spacing w:before="1"/>
              <w:ind w:left="206" w:right="196"/>
              <w:jc w:val="center"/>
              <w:rPr>
                <w:rFonts w:ascii="Times New Roman"/>
                <w:i/>
                <w:sz w:val="20"/>
              </w:rPr>
            </w:pPr>
            <w:r>
              <w:rPr>
                <w:rFonts w:ascii="Times New Roman"/>
                <w:i/>
                <w:sz w:val="20"/>
              </w:rPr>
              <w:t>SAG_B</w:t>
            </w:r>
          </w:p>
        </w:tc>
        <w:tc>
          <w:tcPr>
            <w:tcW w:w="6754" w:type="dxa"/>
            <w:tcBorders>
              <w:top w:val="single" w:sz="6" w:space="0" w:color="000000"/>
              <w:left w:val="single" w:sz="6" w:space="0" w:color="000000"/>
              <w:bottom w:val="single" w:sz="6" w:space="0" w:color="000000"/>
            </w:tcBorders>
          </w:tcPr>
          <w:p>
            <w:pPr>
              <w:pStyle w:val="TableParagraph"/>
              <w:spacing w:before="16"/>
              <w:ind w:left="105" w:right="103"/>
              <w:rPr>
                <w:sz w:val="20"/>
              </w:rPr>
            </w:pPr>
            <w:r>
              <w:rPr>
                <w:spacing w:val="-4"/>
                <w:sz w:val="20"/>
              </w:rPr>
              <w:t>Normally zero. Becomes </w:t>
            </w:r>
            <w:r>
              <w:rPr>
                <w:spacing w:val="-3"/>
                <w:sz w:val="20"/>
              </w:rPr>
              <w:t>one when </w:t>
            </w:r>
            <w:r>
              <w:rPr>
                <w:spacing w:val="-4"/>
                <w:sz w:val="20"/>
              </w:rPr>
              <w:t>VADC9 </w:t>
            </w:r>
            <w:r>
              <w:rPr>
                <w:spacing w:val="-3"/>
                <w:sz w:val="20"/>
              </w:rPr>
              <w:t>(VB) </w:t>
            </w:r>
            <w:r>
              <w:rPr>
                <w:spacing w:val="-4"/>
                <w:sz w:val="20"/>
              </w:rPr>
              <w:t>remains </w:t>
            </w:r>
            <w:r>
              <w:rPr>
                <w:spacing w:val="-3"/>
                <w:sz w:val="20"/>
              </w:rPr>
              <w:t>below </w:t>
            </w:r>
            <w:r>
              <w:rPr>
                <w:rFonts w:ascii="Times New Roman"/>
                <w:i/>
                <w:spacing w:val="-4"/>
                <w:sz w:val="20"/>
              </w:rPr>
              <w:t>SAG_THR </w:t>
            </w:r>
            <w:r>
              <w:rPr>
                <w:spacing w:val="-3"/>
                <w:sz w:val="20"/>
              </w:rPr>
              <w:t>for </w:t>
            </w:r>
            <w:r>
              <w:rPr>
                <w:rFonts w:ascii="Times New Roman"/>
                <w:i/>
                <w:spacing w:val="-4"/>
                <w:sz w:val="20"/>
              </w:rPr>
              <w:t>SAG_CNT </w:t>
            </w:r>
            <w:r>
              <w:rPr>
                <w:spacing w:val="-4"/>
                <w:sz w:val="20"/>
              </w:rPr>
              <w:t>samples. </w:t>
            </w:r>
            <w:r>
              <w:rPr>
                <w:spacing w:val="-3"/>
                <w:sz w:val="20"/>
              </w:rPr>
              <w:t>Does not </w:t>
            </w:r>
            <w:r>
              <w:rPr>
                <w:spacing w:val="-4"/>
                <w:sz w:val="20"/>
              </w:rPr>
              <w:t>return </w:t>
            </w:r>
            <w:r>
              <w:rPr>
                <w:spacing w:val="-3"/>
                <w:sz w:val="20"/>
              </w:rPr>
              <w:t>to </w:t>
            </w:r>
            <w:r>
              <w:rPr>
                <w:spacing w:val="-4"/>
                <w:sz w:val="20"/>
              </w:rPr>
              <w:t>zero until VADC9 </w:t>
            </w:r>
            <w:r>
              <w:rPr>
                <w:spacing w:val="-3"/>
                <w:sz w:val="20"/>
              </w:rPr>
              <w:t>(VB) </w:t>
            </w:r>
            <w:r>
              <w:rPr>
                <w:spacing w:val="-4"/>
                <w:sz w:val="20"/>
              </w:rPr>
              <w:t>rises above </w:t>
            </w:r>
            <w:r>
              <w:rPr>
                <w:rFonts w:ascii="Times New Roman"/>
                <w:i/>
                <w:spacing w:val="-4"/>
                <w:sz w:val="20"/>
              </w:rPr>
              <w:t>SAG_THR</w:t>
            </w:r>
            <w:r>
              <w:rPr>
                <w:spacing w:val="-4"/>
                <w:sz w:val="20"/>
              </w:rPr>
              <w:t>.</w:t>
            </w:r>
          </w:p>
        </w:tc>
      </w:tr>
      <w:tr>
        <w:trPr>
          <w:trHeight w:val="731" w:hRule="atLeast"/>
        </w:trPr>
        <w:tc>
          <w:tcPr>
            <w:tcW w:w="1310" w:type="dxa"/>
            <w:tcBorders>
              <w:top w:val="single" w:sz="6" w:space="0" w:color="000000"/>
              <w:right w:val="single" w:sz="6" w:space="0" w:color="000000"/>
            </w:tcBorders>
          </w:tcPr>
          <w:p>
            <w:pPr>
              <w:pStyle w:val="TableParagraph"/>
              <w:spacing w:before="7"/>
              <w:rPr>
                <w:b/>
                <w:sz w:val="21"/>
              </w:rPr>
            </w:pPr>
          </w:p>
          <w:p>
            <w:pPr>
              <w:pStyle w:val="TableParagraph"/>
              <w:ind w:left="12"/>
              <w:jc w:val="center"/>
              <w:rPr>
                <w:sz w:val="20"/>
              </w:rPr>
            </w:pPr>
            <w:r>
              <w:rPr>
                <w:w w:val="99"/>
                <w:sz w:val="20"/>
              </w:rPr>
              <w:t>0</w:t>
            </w:r>
          </w:p>
        </w:tc>
        <w:tc>
          <w:tcPr>
            <w:tcW w:w="1296" w:type="dxa"/>
            <w:tcBorders>
              <w:top w:val="single" w:sz="6" w:space="0" w:color="000000"/>
              <w:left w:val="single" w:sz="6" w:space="0" w:color="000000"/>
              <w:right w:val="single" w:sz="6" w:space="0" w:color="000000"/>
            </w:tcBorders>
          </w:tcPr>
          <w:p>
            <w:pPr>
              <w:pStyle w:val="TableParagraph"/>
              <w:spacing w:before="3"/>
              <w:rPr>
                <w:b/>
                <w:sz w:val="21"/>
              </w:rPr>
            </w:pPr>
          </w:p>
          <w:p>
            <w:pPr>
              <w:pStyle w:val="TableParagraph"/>
              <w:ind w:left="206" w:right="196"/>
              <w:jc w:val="center"/>
              <w:rPr>
                <w:rFonts w:ascii="Times New Roman"/>
                <w:i/>
                <w:sz w:val="20"/>
              </w:rPr>
            </w:pPr>
            <w:r>
              <w:rPr>
                <w:rFonts w:ascii="Times New Roman"/>
                <w:i/>
                <w:sz w:val="20"/>
              </w:rPr>
              <w:t>SAG_A</w:t>
            </w:r>
          </w:p>
        </w:tc>
        <w:tc>
          <w:tcPr>
            <w:tcW w:w="6754" w:type="dxa"/>
            <w:tcBorders>
              <w:top w:val="single" w:sz="6" w:space="0" w:color="000000"/>
              <w:left w:val="single" w:sz="6" w:space="0" w:color="000000"/>
            </w:tcBorders>
          </w:tcPr>
          <w:p>
            <w:pPr>
              <w:pStyle w:val="TableParagraph"/>
              <w:spacing w:before="13"/>
              <w:ind w:left="105" w:right="103"/>
              <w:rPr>
                <w:sz w:val="20"/>
              </w:rPr>
            </w:pPr>
            <w:r>
              <w:rPr>
                <w:spacing w:val="-4"/>
                <w:sz w:val="20"/>
              </w:rPr>
              <w:t>Normally zero. Becomes </w:t>
            </w:r>
            <w:r>
              <w:rPr>
                <w:spacing w:val="-3"/>
                <w:sz w:val="20"/>
              </w:rPr>
              <w:t>one when </w:t>
            </w:r>
            <w:r>
              <w:rPr>
                <w:spacing w:val="-4"/>
                <w:sz w:val="20"/>
              </w:rPr>
              <w:t>VADC8 </w:t>
            </w:r>
            <w:r>
              <w:rPr>
                <w:spacing w:val="-3"/>
                <w:sz w:val="20"/>
              </w:rPr>
              <w:t>(VA) </w:t>
            </w:r>
            <w:r>
              <w:rPr>
                <w:spacing w:val="-4"/>
                <w:sz w:val="20"/>
              </w:rPr>
              <w:t>remains </w:t>
            </w:r>
            <w:r>
              <w:rPr>
                <w:spacing w:val="-3"/>
                <w:sz w:val="20"/>
              </w:rPr>
              <w:t>below </w:t>
            </w:r>
            <w:r>
              <w:rPr>
                <w:rFonts w:ascii="Times New Roman"/>
                <w:i/>
                <w:spacing w:val="-4"/>
                <w:sz w:val="20"/>
              </w:rPr>
              <w:t>SAG_THR </w:t>
            </w:r>
            <w:r>
              <w:rPr>
                <w:spacing w:val="-3"/>
                <w:sz w:val="20"/>
              </w:rPr>
              <w:t>for </w:t>
            </w:r>
            <w:r>
              <w:rPr>
                <w:rFonts w:ascii="Times New Roman"/>
                <w:i/>
                <w:spacing w:val="-4"/>
                <w:sz w:val="20"/>
              </w:rPr>
              <w:t>SAG_CNT </w:t>
            </w:r>
            <w:r>
              <w:rPr>
                <w:spacing w:val="-4"/>
                <w:sz w:val="20"/>
              </w:rPr>
              <w:t>samples. </w:t>
            </w:r>
            <w:r>
              <w:rPr>
                <w:spacing w:val="-3"/>
                <w:sz w:val="20"/>
              </w:rPr>
              <w:t>Does not </w:t>
            </w:r>
            <w:r>
              <w:rPr>
                <w:spacing w:val="-4"/>
                <w:sz w:val="20"/>
              </w:rPr>
              <w:t>return </w:t>
            </w:r>
            <w:r>
              <w:rPr>
                <w:spacing w:val="-3"/>
                <w:sz w:val="20"/>
              </w:rPr>
              <w:t>to </w:t>
            </w:r>
            <w:r>
              <w:rPr>
                <w:spacing w:val="-4"/>
                <w:sz w:val="20"/>
              </w:rPr>
              <w:t>zero until VADC8 </w:t>
            </w:r>
            <w:r>
              <w:rPr>
                <w:spacing w:val="-3"/>
                <w:sz w:val="20"/>
              </w:rPr>
              <w:t>(VA) </w:t>
            </w:r>
            <w:r>
              <w:rPr>
                <w:spacing w:val="-4"/>
                <w:sz w:val="20"/>
              </w:rPr>
              <w:t>rises above </w:t>
            </w:r>
            <w:r>
              <w:rPr>
                <w:rFonts w:ascii="Times New Roman"/>
                <w:i/>
                <w:spacing w:val="-4"/>
                <w:sz w:val="20"/>
              </w:rPr>
              <w:t>SAG_THR</w:t>
            </w:r>
            <w:r>
              <w:rPr>
                <w:spacing w:val="-4"/>
                <w:sz w:val="20"/>
              </w:rPr>
              <w:t>.</w:t>
            </w:r>
          </w:p>
        </w:tc>
      </w:tr>
    </w:tbl>
    <w:p>
      <w:pPr>
        <w:pStyle w:val="BodyText"/>
        <w:spacing w:before="7"/>
        <w:rPr>
          <w:b/>
          <w:sz w:val="19"/>
        </w:rPr>
      </w:pPr>
    </w:p>
    <w:p>
      <w:pPr>
        <w:pStyle w:val="BodyText"/>
        <w:spacing w:line="231" w:lineRule="exact"/>
        <w:ind w:left="480"/>
      </w:pPr>
      <w:r>
        <w:rPr/>
        <w:t>The CE is initialized by the MPU using </w:t>
      </w:r>
      <w:r>
        <w:rPr>
          <w:rFonts w:ascii="Times New Roman"/>
          <w:i/>
        </w:rPr>
        <w:t>CECONFIG </w:t>
      </w:r>
      <w:r>
        <w:rPr/>
        <w:t>(</w:t>
      </w:r>
      <w:hyperlink w:history="true" w:anchor="_bookmark225">
        <w:r>
          <w:rPr>
            <w:color w:val="0000FF"/>
          </w:rPr>
          <w:t>Table 75</w:t>
        </w:r>
      </w:hyperlink>
      <w:r>
        <w:rPr/>
        <w:t>). This register contains in packed form</w:t>
      </w:r>
    </w:p>
    <w:p>
      <w:pPr>
        <w:spacing w:before="0"/>
        <w:ind w:left="479" w:right="0" w:firstLine="0"/>
        <w:jc w:val="left"/>
        <w:rPr>
          <w:sz w:val="20"/>
        </w:rPr>
      </w:pPr>
      <w:r>
        <w:rPr>
          <w:rFonts w:ascii="Times New Roman"/>
          <w:i/>
          <w:sz w:val="20"/>
        </w:rPr>
        <w:t>SAG_CNT, FREQSEL0, FREQSEL1, EXT_PULSE, PULSE_SLOW, </w:t>
      </w:r>
      <w:r>
        <w:rPr>
          <w:sz w:val="20"/>
        </w:rPr>
        <w:t>and </w:t>
      </w:r>
      <w:r>
        <w:rPr>
          <w:rFonts w:ascii="Times New Roman"/>
          <w:i/>
          <w:sz w:val="20"/>
        </w:rPr>
        <w:t>PULSE_FAST</w:t>
      </w:r>
      <w:r>
        <w:rPr>
          <w:sz w:val="20"/>
        </w:rPr>
        <w:t>. The </w:t>
      </w:r>
      <w:r>
        <w:rPr>
          <w:rFonts w:ascii="Times New Roman"/>
          <w:i/>
          <w:sz w:val="20"/>
        </w:rPr>
        <w:t>CECONFIG </w:t>
      </w:r>
      <w:r>
        <w:rPr>
          <w:sz w:val="20"/>
        </w:rPr>
        <w:t>bit</w:t>
      </w:r>
    </w:p>
    <w:p>
      <w:pPr>
        <w:pStyle w:val="BodyText"/>
        <w:spacing w:before="5"/>
        <w:ind w:left="479"/>
      </w:pPr>
      <w:r>
        <w:rPr/>
        <w:t>definitions are given in </w:t>
      </w:r>
      <w:hyperlink w:history="true" w:anchor="_bookmark226">
        <w:r>
          <w:rPr>
            <w:color w:val="0000FF"/>
          </w:rPr>
          <w:t>Table 76</w:t>
        </w:r>
        <w:r>
          <w:rPr/>
          <w:t>.</w:t>
        </w:r>
      </w:hyperlink>
    </w:p>
    <w:p>
      <w:pPr>
        <w:spacing w:before="118"/>
        <w:ind w:left="777" w:right="797" w:firstLine="0"/>
        <w:jc w:val="center"/>
        <w:rPr>
          <w:b/>
          <w:sz w:val="20"/>
        </w:rPr>
      </w:pPr>
      <w:bookmarkStart w:name="_bookmark225" w:id="468"/>
      <w:bookmarkEnd w:id="468"/>
      <w:r>
        <w:rPr/>
      </w:r>
      <w:r>
        <w:rPr>
          <w:b/>
          <w:sz w:val="20"/>
        </w:rPr>
        <w:t>Table 75: </w:t>
      </w:r>
      <w:r>
        <w:rPr>
          <w:rFonts w:ascii="Times New Roman"/>
          <w:b/>
          <w:i/>
          <w:sz w:val="20"/>
        </w:rPr>
        <w:t>CECONFIG </w:t>
      </w:r>
      <w:r>
        <w:rPr>
          <w:b/>
          <w:sz w:val="20"/>
        </w:rPr>
        <w:t>Register</w:t>
      </w:r>
    </w:p>
    <w:p>
      <w:pPr>
        <w:pStyle w:val="BodyText"/>
        <w:spacing w:before="6"/>
        <w:rPr>
          <w:b/>
          <w:sz w:val="5"/>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05"/>
        <w:gridCol w:w="1347"/>
        <w:gridCol w:w="1385"/>
        <w:gridCol w:w="5124"/>
      </w:tblGrid>
      <w:tr>
        <w:trPr>
          <w:trHeight w:val="309" w:hRule="atLeast"/>
        </w:trPr>
        <w:tc>
          <w:tcPr>
            <w:tcW w:w="1505" w:type="dxa"/>
            <w:tcBorders>
              <w:bottom w:val="single" w:sz="6" w:space="0" w:color="000000"/>
              <w:right w:val="single" w:sz="6" w:space="0" w:color="000000"/>
            </w:tcBorders>
          </w:tcPr>
          <w:p>
            <w:pPr>
              <w:pStyle w:val="TableParagraph"/>
              <w:spacing w:before="35"/>
              <w:ind w:left="162" w:right="156"/>
              <w:jc w:val="center"/>
              <w:rPr>
                <w:b/>
                <w:sz w:val="20"/>
              </w:rPr>
            </w:pPr>
            <w:r>
              <w:rPr>
                <w:b/>
                <w:sz w:val="20"/>
              </w:rPr>
              <w:t>CE Address</w:t>
            </w:r>
          </w:p>
        </w:tc>
        <w:tc>
          <w:tcPr>
            <w:tcW w:w="1347" w:type="dxa"/>
            <w:tcBorders>
              <w:left w:val="single" w:sz="6" w:space="0" w:color="000000"/>
              <w:bottom w:val="single" w:sz="6" w:space="0" w:color="000000"/>
              <w:right w:val="single" w:sz="6" w:space="0" w:color="000000"/>
            </w:tcBorders>
          </w:tcPr>
          <w:p>
            <w:pPr>
              <w:pStyle w:val="TableParagraph"/>
              <w:spacing w:before="35"/>
              <w:ind w:left="93" w:right="87"/>
              <w:jc w:val="center"/>
              <w:rPr>
                <w:b/>
                <w:sz w:val="20"/>
              </w:rPr>
            </w:pPr>
            <w:r>
              <w:rPr>
                <w:b/>
                <w:sz w:val="20"/>
              </w:rPr>
              <w:t>Name</w:t>
            </w:r>
          </w:p>
        </w:tc>
        <w:tc>
          <w:tcPr>
            <w:tcW w:w="1385" w:type="dxa"/>
            <w:tcBorders>
              <w:left w:val="single" w:sz="6" w:space="0" w:color="000000"/>
              <w:bottom w:val="single" w:sz="6" w:space="0" w:color="000000"/>
              <w:right w:val="single" w:sz="6" w:space="0" w:color="000000"/>
            </w:tcBorders>
          </w:tcPr>
          <w:p>
            <w:pPr>
              <w:pStyle w:val="TableParagraph"/>
              <w:spacing w:before="35"/>
              <w:ind w:left="85" w:right="85"/>
              <w:jc w:val="center"/>
              <w:rPr>
                <w:b/>
                <w:sz w:val="20"/>
              </w:rPr>
            </w:pPr>
            <w:r>
              <w:rPr>
                <w:b/>
                <w:sz w:val="20"/>
              </w:rPr>
              <w:t>Data</w:t>
            </w:r>
          </w:p>
        </w:tc>
        <w:tc>
          <w:tcPr>
            <w:tcW w:w="5124" w:type="dxa"/>
            <w:tcBorders>
              <w:left w:val="single" w:sz="6" w:space="0" w:color="000000"/>
              <w:bottom w:val="single" w:sz="6" w:space="0" w:color="000000"/>
            </w:tcBorders>
          </w:tcPr>
          <w:p>
            <w:pPr>
              <w:pStyle w:val="TableParagraph"/>
              <w:spacing w:before="35"/>
              <w:ind w:left="111"/>
              <w:rPr>
                <w:b/>
                <w:sz w:val="20"/>
              </w:rPr>
            </w:pPr>
            <w:r>
              <w:rPr>
                <w:b/>
                <w:sz w:val="20"/>
              </w:rPr>
              <w:t>Description</w:t>
            </w:r>
          </w:p>
        </w:tc>
      </w:tr>
      <w:tr>
        <w:trPr>
          <w:trHeight w:val="270" w:hRule="atLeast"/>
        </w:trPr>
        <w:tc>
          <w:tcPr>
            <w:tcW w:w="1505" w:type="dxa"/>
            <w:tcBorders>
              <w:top w:val="single" w:sz="6" w:space="0" w:color="000000"/>
              <w:right w:val="single" w:sz="6" w:space="0" w:color="000000"/>
            </w:tcBorders>
          </w:tcPr>
          <w:p>
            <w:pPr>
              <w:pStyle w:val="TableParagraph"/>
              <w:spacing w:before="18"/>
              <w:ind w:left="53" w:right="156"/>
              <w:jc w:val="center"/>
              <w:rPr>
                <w:sz w:val="20"/>
              </w:rPr>
            </w:pPr>
            <w:r>
              <w:rPr>
                <w:sz w:val="20"/>
              </w:rPr>
              <w:t>0x20</w:t>
            </w:r>
          </w:p>
        </w:tc>
        <w:tc>
          <w:tcPr>
            <w:tcW w:w="1347" w:type="dxa"/>
            <w:tcBorders>
              <w:top w:val="single" w:sz="6" w:space="0" w:color="000000"/>
              <w:left w:val="single" w:sz="6" w:space="0" w:color="000000"/>
              <w:right w:val="single" w:sz="6" w:space="0" w:color="000000"/>
            </w:tcBorders>
          </w:tcPr>
          <w:p>
            <w:pPr>
              <w:pStyle w:val="TableParagraph"/>
              <w:spacing w:before="14"/>
              <w:ind w:left="93" w:right="88"/>
              <w:jc w:val="center"/>
              <w:rPr>
                <w:rFonts w:ascii="Times New Roman"/>
                <w:i/>
                <w:sz w:val="20"/>
              </w:rPr>
            </w:pPr>
            <w:r>
              <w:rPr>
                <w:rFonts w:ascii="Times New Roman"/>
                <w:i/>
                <w:sz w:val="20"/>
              </w:rPr>
              <w:t>CECONFIG</w:t>
            </w:r>
          </w:p>
        </w:tc>
        <w:tc>
          <w:tcPr>
            <w:tcW w:w="1385" w:type="dxa"/>
            <w:tcBorders>
              <w:top w:val="single" w:sz="6" w:space="0" w:color="000000"/>
              <w:left w:val="single" w:sz="6" w:space="0" w:color="000000"/>
              <w:right w:val="single" w:sz="6" w:space="0" w:color="000000"/>
            </w:tcBorders>
          </w:tcPr>
          <w:p>
            <w:pPr>
              <w:pStyle w:val="TableParagraph"/>
              <w:spacing w:before="18"/>
              <w:ind w:left="87" w:right="85"/>
              <w:jc w:val="center"/>
              <w:rPr>
                <w:sz w:val="20"/>
              </w:rPr>
            </w:pPr>
            <w:r>
              <w:rPr>
                <w:sz w:val="20"/>
              </w:rPr>
              <w:t>0x0030DA20</w:t>
            </w:r>
          </w:p>
        </w:tc>
        <w:tc>
          <w:tcPr>
            <w:tcW w:w="5124" w:type="dxa"/>
            <w:tcBorders>
              <w:top w:val="single" w:sz="6" w:space="0" w:color="000000"/>
              <w:left w:val="single" w:sz="6" w:space="0" w:color="000000"/>
            </w:tcBorders>
          </w:tcPr>
          <w:p>
            <w:pPr>
              <w:pStyle w:val="TableParagraph"/>
              <w:spacing w:before="13"/>
              <w:ind w:left="111"/>
              <w:rPr>
                <w:sz w:val="20"/>
              </w:rPr>
            </w:pPr>
            <w:r>
              <w:rPr>
                <w:sz w:val="20"/>
              </w:rPr>
              <w:t>See description of the </w:t>
            </w:r>
            <w:r>
              <w:rPr>
                <w:rFonts w:ascii="Times New Roman"/>
                <w:i/>
                <w:sz w:val="20"/>
              </w:rPr>
              <w:t>CECONFIG </w:t>
            </w:r>
            <w:r>
              <w:rPr>
                <w:sz w:val="20"/>
              </w:rPr>
              <w:t>bits in </w:t>
            </w:r>
            <w:hyperlink w:history="true" w:anchor="_bookmark226">
              <w:r>
                <w:rPr>
                  <w:color w:val="0000FF"/>
                  <w:sz w:val="20"/>
                </w:rPr>
                <w:t>Table 76</w:t>
              </w:r>
              <w:r>
                <w:rPr>
                  <w:sz w:val="20"/>
                </w:rPr>
                <w:t>.</w:t>
              </w:r>
            </w:hyperlink>
          </w:p>
        </w:tc>
      </w:tr>
    </w:tbl>
    <w:p>
      <w:pPr>
        <w:pStyle w:val="BodyText"/>
        <w:spacing w:before="7"/>
        <w:rPr>
          <w:b/>
          <w:sz w:val="19"/>
        </w:rPr>
      </w:pPr>
    </w:p>
    <w:p>
      <w:pPr>
        <w:pStyle w:val="BodyText"/>
        <w:spacing w:line="242" w:lineRule="auto"/>
        <w:ind w:left="480" w:right="491"/>
      </w:pPr>
      <w:r>
        <w:rPr/>
        <w:t>The </w:t>
      </w:r>
      <w:r>
        <w:rPr>
          <w:rFonts w:ascii="Times New Roman"/>
          <w:i/>
        </w:rPr>
        <w:t>EXT_TEMP </w:t>
      </w:r>
      <w:r>
        <w:rPr/>
        <w:t>bit enables temperature compensation by the MPU, when set to 1. When 0, internal (CE) temperature compensation is enabled.</w:t>
      </w:r>
    </w:p>
    <w:p>
      <w:pPr>
        <w:spacing w:before="118"/>
        <w:ind w:left="479" w:right="448" w:firstLine="0"/>
        <w:jc w:val="left"/>
        <w:rPr>
          <w:rFonts w:ascii="Times New Roman"/>
          <w:i/>
          <w:sz w:val="20"/>
        </w:rPr>
      </w:pPr>
      <w:r>
        <w:rPr>
          <w:spacing w:val="-3"/>
          <w:sz w:val="20"/>
        </w:rPr>
        <w:t>The </w:t>
      </w:r>
      <w:r>
        <w:rPr>
          <w:sz w:val="20"/>
        </w:rPr>
        <w:t>CE </w:t>
      </w:r>
      <w:r>
        <w:rPr>
          <w:spacing w:val="-4"/>
          <w:sz w:val="20"/>
        </w:rPr>
        <w:t>pulse generator </w:t>
      </w:r>
      <w:r>
        <w:rPr>
          <w:spacing w:val="-3"/>
          <w:sz w:val="20"/>
        </w:rPr>
        <w:t>can be </w:t>
      </w:r>
      <w:r>
        <w:rPr>
          <w:spacing w:val="-4"/>
          <w:sz w:val="20"/>
        </w:rPr>
        <w:t>controlled </w:t>
      </w:r>
      <w:r>
        <w:rPr>
          <w:sz w:val="20"/>
        </w:rPr>
        <w:t>by </w:t>
      </w:r>
      <w:r>
        <w:rPr>
          <w:spacing w:val="-4"/>
          <w:sz w:val="20"/>
        </w:rPr>
        <w:t>either </w:t>
      </w:r>
      <w:r>
        <w:rPr>
          <w:spacing w:val="-3"/>
          <w:sz w:val="20"/>
        </w:rPr>
        <w:t>the MPU </w:t>
      </w:r>
      <w:r>
        <w:rPr>
          <w:spacing w:val="-4"/>
          <w:sz w:val="20"/>
        </w:rPr>
        <w:t>(external) </w:t>
      </w:r>
      <w:r>
        <w:rPr>
          <w:sz w:val="20"/>
        </w:rPr>
        <w:t>or </w:t>
      </w:r>
      <w:r>
        <w:rPr>
          <w:spacing w:val="-3"/>
          <w:sz w:val="20"/>
        </w:rPr>
        <w:t>CE </w:t>
      </w:r>
      <w:r>
        <w:rPr>
          <w:spacing w:val="-4"/>
          <w:sz w:val="20"/>
        </w:rPr>
        <w:t>(internal) variables. Control </w:t>
      </w:r>
      <w:r>
        <w:rPr>
          <w:spacing w:val="-3"/>
          <w:sz w:val="20"/>
        </w:rPr>
        <w:t>is </w:t>
      </w:r>
      <w:r>
        <w:rPr>
          <w:sz w:val="20"/>
        </w:rPr>
        <w:t>by </w:t>
      </w:r>
      <w:r>
        <w:rPr>
          <w:spacing w:val="-3"/>
          <w:sz w:val="20"/>
        </w:rPr>
        <w:t>the MPU if </w:t>
      </w:r>
      <w:r>
        <w:rPr>
          <w:rFonts w:ascii="Times New Roman"/>
          <w:i/>
          <w:spacing w:val="-4"/>
          <w:sz w:val="20"/>
        </w:rPr>
        <w:t>EXT</w:t>
      </w:r>
      <w:r>
        <w:rPr>
          <w:i/>
          <w:spacing w:val="-4"/>
          <w:sz w:val="20"/>
        </w:rPr>
        <w:t>_</w:t>
      </w:r>
      <w:r>
        <w:rPr>
          <w:rFonts w:ascii="Times New Roman"/>
          <w:i/>
          <w:spacing w:val="-4"/>
          <w:sz w:val="20"/>
        </w:rPr>
        <w:t>PULSE </w:t>
      </w:r>
      <w:r>
        <w:rPr>
          <w:sz w:val="20"/>
        </w:rPr>
        <w:t>= 1. </w:t>
      </w:r>
      <w:r>
        <w:rPr>
          <w:spacing w:val="-3"/>
          <w:sz w:val="20"/>
        </w:rPr>
        <w:t>In this </w:t>
      </w:r>
      <w:r>
        <w:rPr>
          <w:spacing w:val="-4"/>
          <w:sz w:val="20"/>
        </w:rPr>
        <w:t>case, </w:t>
      </w:r>
      <w:r>
        <w:rPr>
          <w:spacing w:val="-3"/>
          <w:sz w:val="20"/>
        </w:rPr>
        <w:t>the MPU </w:t>
      </w:r>
      <w:r>
        <w:rPr>
          <w:spacing w:val="-4"/>
          <w:sz w:val="20"/>
        </w:rPr>
        <w:t>controls </w:t>
      </w:r>
      <w:r>
        <w:rPr>
          <w:spacing w:val="-3"/>
          <w:sz w:val="20"/>
        </w:rPr>
        <w:t>the </w:t>
      </w:r>
      <w:r>
        <w:rPr>
          <w:spacing w:val="-4"/>
          <w:sz w:val="20"/>
        </w:rPr>
        <w:t>pulse </w:t>
      </w:r>
      <w:r>
        <w:rPr>
          <w:spacing w:val="-3"/>
          <w:sz w:val="20"/>
        </w:rPr>
        <w:t>rate </w:t>
      </w:r>
      <w:r>
        <w:rPr>
          <w:sz w:val="20"/>
        </w:rPr>
        <w:t>by </w:t>
      </w:r>
      <w:r>
        <w:rPr>
          <w:spacing w:val="-4"/>
          <w:sz w:val="20"/>
        </w:rPr>
        <w:t>placing values into </w:t>
      </w:r>
      <w:r>
        <w:rPr>
          <w:rFonts w:ascii="Times New Roman"/>
          <w:i/>
          <w:spacing w:val="-4"/>
          <w:sz w:val="20"/>
        </w:rPr>
        <w:t>APULSEW </w:t>
      </w:r>
      <w:r>
        <w:rPr>
          <w:spacing w:val="-3"/>
          <w:sz w:val="20"/>
        </w:rPr>
        <w:t>and </w:t>
      </w:r>
      <w:r>
        <w:rPr>
          <w:rFonts w:ascii="Times New Roman"/>
          <w:i/>
          <w:spacing w:val="-4"/>
          <w:sz w:val="20"/>
        </w:rPr>
        <w:t>APULSER </w:t>
      </w:r>
      <w:r>
        <w:rPr>
          <w:rFonts w:ascii="Times New Roman"/>
          <w:i/>
          <w:sz w:val="20"/>
        </w:rPr>
        <w:t>(CE RAM 0x45 and 0x49)</w:t>
      </w:r>
      <w:r>
        <w:rPr>
          <w:sz w:val="20"/>
        </w:rPr>
        <w:t>. By </w:t>
      </w:r>
      <w:r>
        <w:rPr>
          <w:spacing w:val="-4"/>
          <w:sz w:val="20"/>
        </w:rPr>
        <w:t>setting </w:t>
      </w:r>
      <w:r>
        <w:rPr>
          <w:rFonts w:ascii="Times New Roman"/>
          <w:i/>
          <w:spacing w:val="-4"/>
          <w:sz w:val="20"/>
        </w:rPr>
        <w:t>EXT</w:t>
      </w:r>
      <w:r>
        <w:rPr>
          <w:i/>
          <w:spacing w:val="-4"/>
          <w:sz w:val="20"/>
        </w:rPr>
        <w:t>_</w:t>
      </w:r>
      <w:r>
        <w:rPr>
          <w:rFonts w:ascii="Times New Roman"/>
          <w:i/>
          <w:spacing w:val="-4"/>
          <w:sz w:val="20"/>
        </w:rPr>
        <w:t>PULSE </w:t>
      </w:r>
      <w:r>
        <w:rPr>
          <w:sz w:val="20"/>
        </w:rPr>
        <w:t>= </w:t>
      </w:r>
      <w:r>
        <w:rPr>
          <w:spacing w:val="-3"/>
          <w:sz w:val="20"/>
        </w:rPr>
        <w:t>0, </w:t>
      </w:r>
      <w:r>
        <w:rPr>
          <w:sz w:val="20"/>
        </w:rPr>
        <w:t>the CE </w:t>
      </w:r>
      <w:r>
        <w:rPr>
          <w:spacing w:val="-4"/>
          <w:sz w:val="20"/>
        </w:rPr>
        <w:t>controls </w:t>
      </w:r>
      <w:r>
        <w:rPr>
          <w:spacing w:val="-3"/>
          <w:sz w:val="20"/>
        </w:rPr>
        <w:t>the </w:t>
      </w:r>
      <w:r>
        <w:rPr>
          <w:spacing w:val="-4"/>
          <w:sz w:val="20"/>
        </w:rPr>
        <w:t>pulse </w:t>
      </w:r>
      <w:r>
        <w:rPr>
          <w:spacing w:val="-3"/>
          <w:sz w:val="20"/>
        </w:rPr>
        <w:t>rate </w:t>
      </w:r>
      <w:r>
        <w:rPr>
          <w:spacing w:val="-4"/>
          <w:sz w:val="20"/>
        </w:rPr>
        <w:t>based </w:t>
      </w:r>
      <w:r>
        <w:rPr>
          <w:spacing w:val="-3"/>
          <w:sz w:val="20"/>
        </w:rPr>
        <w:t>on </w:t>
      </w:r>
      <w:r>
        <w:rPr>
          <w:rFonts w:ascii="Times New Roman"/>
          <w:i/>
          <w:sz w:val="20"/>
        </w:rPr>
        <w:t>WSUM_X (CE RAM 0x84) </w:t>
      </w:r>
      <w:r>
        <w:rPr>
          <w:sz w:val="20"/>
        </w:rPr>
        <w:t>and </w:t>
      </w:r>
      <w:r>
        <w:rPr>
          <w:rFonts w:ascii="Times New Roman"/>
          <w:i/>
          <w:sz w:val="20"/>
        </w:rPr>
        <w:t>VARSUM_X (CE RAM 0x88).</w:t>
      </w:r>
    </w:p>
    <w:p>
      <w:pPr>
        <w:pStyle w:val="BodyText"/>
        <w:rPr>
          <w:rFonts w:ascii="Times New Roman"/>
          <w:i/>
        </w:rPr>
      </w:pPr>
    </w:p>
    <w:p>
      <w:pPr>
        <w:pStyle w:val="BodyText"/>
        <w:ind w:left="1008"/>
      </w:pPr>
      <w:r>
        <w:rPr/>
        <w:drawing>
          <wp:anchor distT="0" distB="0" distL="0" distR="0" allowOverlap="1" layoutInCell="1" locked="0" behindDoc="0" simplePos="0" relativeHeight="15849472">
            <wp:simplePos x="0" y="0"/>
            <wp:positionH relativeFrom="page">
              <wp:posOffset>966453</wp:posOffset>
            </wp:positionH>
            <wp:positionV relativeFrom="paragraph">
              <wp:posOffset>-69921</wp:posOffset>
            </wp:positionV>
            <wp:extent cx="168291" cy="266063"/>
            <wp:effectExtent l="0" t="0" r="0" b="0"/>
            <wp:wrapNone/>
            <wp:docPr id="111" name="image64.png" descr="checkmark_-bottomheavy-60-blue"/>
            <wp:cNvGraphicFramePr>
              <a:graphicFrameLocks noChangeAspect="1"/>
            </wp:cNvGraphicFramePr>
            <a:graphic>
              <a:graphicData uri="http://schemas.openxmlformats.org/drawingml/2006/picture">
                <pic:pic>
                  <pic:nvPicPr>
                    <pic:cNvPr id="112" name="image64.png"/>
                    <pic:cNvPicPr/>
                  </pic:nvPicPr>
                  <pic:blipFill>
                    <a:blip r:embed="rId73" cstate="print"/>
                    <a:stretch>
                      <a:fillRect/>
                    </a:stretch>
                  </pic:blipFill>
                  <pic:spPr>
                    <a:xfrm>
                      <a:off x="0" y="0"/>
                      <a:ext cx="168291" cy="266063"/>
                    </a:xfrm>
                    <a:prstGeom prst="rect">
                      <a:avLst/>
                    </a:prstGeom>
                  </pic:spPr>
                </pic:pic>
              </a:graphicData>
            </a:graphic>
          </wp:anchor>
        </w:drawing>
      </w:r>
      <w:r>
        <w:rPr/>
        <w:t>The 71M6543 Demo Code creep function halts both internal and external pulse generation.</w:t>
      </w:r>
    </w:p>
    <w:p>
      <w:pPr>
        <w:spacing w:after="0"/>
        <w:sectPr>
          <w:pgSz w:w="12240" w:h="15840"/>
          <w:pgMar w:header="727" w:footer="819" w:top="1160" w:bottom="1000" w:left="960" w:right="940"/>
        </w:sectPr>
      </w:pPr>
    </w:p>
    <w:p>
      <w:pPr>
        <w:pStyle w:val="Heading1"/>
        <w:spacing w:before="90"/>
        <w:ind w:left="778" w:right="797"/>
      </w:pPr>
      <w:bookmarkStart w:name="_bookmark226" w:id="469"/>
      <w:bookmarkEnd w:id="469"/>
      <w:r>
        <w:rPr>
          <w:b w:val="0"/>
        </w:rPr>
      </w:r>
      <w:r>
        <w:rPr/>
        <w:t>Table 76: </w:t>
      </w:r>
      <w:r>
        <w:rPr>
          <w:rFonts w:ascii="Times New Roman"/>
          <w:i/>
        </w:rPr>
        <w:t>CECONFIG </w:t>
      </w:r>
      <w:r>
        <w:rPr/>
        <w:t>Bit Definitions (CE RAM 0x20)</w:t>
      </w:r>
    </w:p>
    <w:p>
      <w:pPr>
        <w:pStyle w:val="BodyText"/>
        <w:spacing w:before="4"/>
        <w:rPr>
          <w:b/>
          <w:sz w:val="5"/>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1298"/>
        <w:gridCol w:w="883"/>
        <w:gridCol w:w="116"/>
        <w:gridCol w:w="807"/>
        <w:gridCol w:w="628"/>
        <w:gridCol w:w="182"/>
        <w:gridCol w:w="1230"/>
        <w:gridCol w:w="1412"/>
        <w:gridCol w:w="636"/>
        <w:gridCol w:w="682"/>
        <w:gridCol w:w="212"/>
      </w:tblGrid>
      <w:tr>
        <w:trPr>
          <w:trHeight w:val="501" w:hRule="atLeast"/>
        </w:trPr>
        <w:tc>
          <w:tcPr>
            <w:tcW w:w="1272" w:type="dxa"/>
            <w:tcBorders>
              <w:bottom w:val="single" w:sz="6" w:space="0" w:color="000000"/>
              <w:right w:val="single" w:sz="6" w:space="0" w:color="000000"/>
            </w:tcBorders>
          </w:tcPr>
          <w:p>
            <w:pPr>
              <w:pStyle w:val="TableParagraph"/>
              <w:spacing w:line="229" w:lineRule="exact" w:before="19"/>
              <w:ind w:left="107" w:right="67"/>
              <w:jc w:val="center"/>
              <w:rPr>
                <w:rFonts w:ascii="Times New Roman"/>
                <w:b/>
                <w:i/>
                <w:sz w:val="20"/>
              </w:rPr>
            </w:pPr>
            <w:r>
              <w:rPr>
                <w:rFonts w:ascii="Times New Roman"/>
                <w:b/>
                <w:i/>
                <w:sz w:val="20"/>
              </w:rPr>
              <w:t>CECONFIG</w:t>
            </w:r>
          </w:p>
          <w:p>
            <w:pPr>
              <w:pStyle w:val="TableParagraph"/>
              <w:spacing w:line="229" w:lineRule="exact"/>
              <w:ind w:left="106" w:right="67"/>
              <w:jc w:val="center"/>
              <w:rPr>
                <w:b/>
                <w:sz w:val="20"/>
              </w:rPr>
            </w:pPr>
            <w:r>
              <w:rPr>
                <w:b/>
                <w:sz w:val="20"/>
              </w:rPr>
              <w:t>bit</w:t>
            </w:r>
          </w:p>
        </w:tc>
        <w:tc>
          <w:tcPr>
            <w:tcW w:w="1298" w:type="dxa"/>
            <w:tcBorders>
              <w:left w:val="single" w:sz="6" w:space="0" w:color="000000"/>
              <w:bottom w:val="single" w:sz="6" w:space="0" w:color="000000"/>
              <w:right w:val="single" w:sz="6" w:space="0" w:color="000000"/>
            </w:tcBorders>
          </w:tcPr>
          <w:p>
            <w:pPr>
              <w:pStyle w:val="TableParagraph"/>
              <w:spacing w:before="131"/>
              <w:ind w:left="45" w:right="37"/>
              <w:jc w:val="center"/>
              <w:rPr>
                <w:b/>
                <w:sz w:val="20"/>
              </w:rPr>
            </w:pPr>
            <w:r>
              <w:rPr>
                <w:b/>
                <w:sz w:val="20"/>
              </w:rPr>
              <w:t>Name</w:t>
            </w:r>
          </w:p>
        </w:tc>
        <w:tc>
          <w:tcPr>
            <w:tcW w:w="883" w:type="dxa"/>
            <w:tcBorders>
              <w:left w:val="single" w:sz="6" w:space="0" w:color="000000"/>
              <w:bottom w:val="single" w:sz="6" w:space="0" w:color="000000"/>
              <w:right w:val="single" w:sz="6" w:space="0" w:color="000000"/>
            </w:tcBorders>
          </w:tcPr>
          <w:p>
            <w:pPr>
              <w:pStyle w:val="TableParagraph"/>
              <w:spacing w:before="131"/>
              <w:ind w:left="79" w:right="70"/>
              <w:jc w:val="center"/>
              <w:rPr>
                <w:b/>
                <w:sz w:val="20"/>
              </w:rPr>
            </w:pPr>
            <w:r>
              <w:rPr>
                <w:b/>
                <w:sz w:val="20"/>
              </w:rPr>
              <w:t>Default</w:t>
            </w:r>
          </w:p>
        </w:tc>
        <w:tc>
          <w:tcPr>
            <w:tcW w:w="5905" w:type="dxa"/>
            <w:gridSpan w:val="9"/>
            <w:tcBorders>
              <w:left w:val="single" w:sz="6" w:space="0" w:color="000000"/>
              <w:bottom w:val="single" w:sz="6" w:space="0" w:color="000000"/>
            </w:tcBorders>
          </w:tcPr>
          <w:p>
            <w:pPr>
              <w:pStyle w:val="TableParagraph"/>
              <w:spacing w:before="131"/>
              <w:ind w:left="106"/>
              <w:rPr>
                <w:b/>
                <w:sz w:val="20"/>
              </w:rPr>
            </w:pPr>
            <w:r>
              <w:rPr>
                <w:b/>
                <w:sz w:val="20"/>
              </w:rPr>
              <w:t>Description</w:t>
            </w:r>
          </w:p>
        </w:tc>
      </w:tr>
      <w:tr>
        <w:trPr>
          <w:trHeight w:val="498" w:hRule="atLeast"/>
        </w:trPr>
        <w:tc>
          <w:tcPr>
            <w:tcW w:w="1272" w:type="dxa"/>
            <w:tcBorders>
              <w:top w:val="single" w:sz="6" w:space="0" w:color="000000"/>
              <w:bottom w:val="single" w:sz="6" w:space="0" w:color="000000"/>
              <w:right w:val="single" w:sz="6" w:space="0" w:color="000000"/>
            </w:tcBorders>
          </w:tcPr>
          <w:p>
            <w:pPr>
              <w:pStyle w:val="TableParagraph"/>
              <w:spacing w:before="133"/>
              <w:ind w:left="74" w:right="67"/>
              <w:jc w:val="center"/>
              <w:rPr>
                <w:sz w:val="20"/>
              </w:rPr>
            </w:pPr>
            <w:r>
              <w:rPr>
                <w:sz w:val="20"/>
              </w:rPr>
              <w:t>23</w:t>
            </w:r>
          </w:p>
        </w:tc>
        <w:tc>
          <w:tcPr>
            <w:tcW w:w="1298" w:type="dxa"/>
            <w:tcBorders>
              <w:top w:val="single" w:sz="6" w:space="0" w:color="000000"/>
              <w:left w:val="single" w:sz="6" w:space="0" w:color="000000"/>
              <w:bottom w:val="single" w:sz="6" w:space="0" w:color="000000"/>
              <w:right w:val="single" w:sz="6" w:space="0" w:color="000000"/>
            </w:tcBorders>
          </w:tcPr>
          <w:p>
            <w:pPr>
              <w:pStyle w:val="TableParagraph"/>
              <w:spacing w:before="130"/>
              <w:ind w:left="46" w:right="37"/>
              <w:jc w:val="center"/>
              <w:rPr>
                <w:rFonts w:ascii="Times New Roman"/>
                <w:i/>
                <w:sz w:val="20"/>
              </w:rPr>
            </w:pPr>
            <w:r>
              <w:rPr>
                <w:rFonts w:ascii="Times New Roman"/>
                <w:i/>
                <w:sz w:val="20"/>
              </w:rPr>
              <w:t>Reserved</w:t>
            </w:r>
          </w:p>
        </w:tc>
        <w:tc>
          <w:tcPr>
            <w:tcW w:w="883" w:type="dxa"/>
            <w:tcBorders>
              <w:top w:val="single" w:sz="6" w:space="0" w:color="000000"/>
              <w:left w:val="single" w:sz="6" w:space="0" w:color="000000"/>
              <w:bottom w:val="single" w:sz="6" w:space="0" w:color="000000"/>
              <w:right w:val="single" w:sz="6" w:space="0" w:color="000000"/>
            </w:tcBorders>
          </w:tcPr>
          <w:p>
            <w:pPr>
              <w:pStyle w:val="TableParagraph"/>
              <w:spacing w:before="133"/>
              <w:ind w:left="10"/>
              <w:jc w:val="center"/>
              <w:rPr>
                <w:sz w:val="20"/>
              </w:rPr>
            </w:pPr>
            <w:r>
              <w:rPr>
                <w:w w:val="99"/>
                <w:sz w:val="20"/>
              </w:rPr>
              <w:t>0</w:t>
            </w:r>
          </w:p>
        </w:tc>
        <w:tc>
          <w:tcPr>
            <w:tcW w:w="5905" w:type="dxa"/>
            <w:gridSpan w:val="9"/>
            <w:tcBorders>
              <w:top w:val="single" w:sz="6" w:space="0" w:color="000000"/>
              <w:left w:val="single" w:sz="6" w:space="0" w:color="000000"/>
              <w:bottom w:val="single" w:sz="6" w:space="0" w:color="000000"/>
            </w:tcBorders>
          </w:tcPr>
          <w:p>
            <w:pPr>
              <w:pStyle w:val="TableParagraph"/>
              <w:spacing w:before="18"/>
              <w:ind w:left="105" w:right="164"/>
              <w:rPr>
                <w:sz w:val="20"/>
              </w:rPr>
            </w:pPr>
            <w:r>
              <w:rPr>
                <w:sz w:val="20"/>
              </w:rPr>
              <w:t>Reserved (can be used by the MPU to indicate that the 71M6x03 is being used; CE does not use this).</w:t>
            </w:r>
          </w:p>
        </w:tc>
      </w:tr>
      <w:tr>
        <w:trPr>
          <w:trHeight w:val="500" w:hRule="atLeast"/>
        </w:trPr>
        <w:tc>
          <w:tcPr>
            <w:tcW w:w="1272" w:type="dxa"/>
            <w:tcBorders>
              <w:top w:val="single" w:sz="6" w:space="0" w:color="000000"/>
              <w:bottom w:val="single" w:sz="6" w:space="0" w:color="000000"/>
              <w:right w:val="single" w:sz="6" w:space="0" w:color="000000"/>
            </w:tcBorders>
          </w:tcPr>
          <w:p>
            <w:pPr>
              <w:pStyle w:val="TableParagraph"/>
              <w:spacing w:before="136"/>
              <w:ind w:left="74" w:right="67"/>
              <w:jc w:val="center"/>
              <w:rPr>
                <w:sz w:val="20"/>
              </w:rPr>
            </w:pPr>
            <w:r>
              <w:rPr>
                <w:sz w:val="20"/>
              </w:rPr>
              <w:t>22</w:t>
            </w:r>
          </w:p>
        </w:tc>
        <w:tc>
          <w:tcPr>
            <w:tcW w:w="1298" w:type="dxa"/>
            <w:tcBorders>
              <w:top w:val="single" w:sz="6" w:space="0" w:color="000000"/>
              <w:left w:val="single" w:sz="6" w:space="0" w:color="000000"/>
              <w:bottom w:val="single" w:sz="6" w:space="0" w:color="000000"/>
              <w:right w:val="single" w:sz="6" w:space="0" w:color="000000"/>
            </w:tcBorders>
          </w:tcPr>
          <w:p>
            <w:pPr>
              <w:pStyle w:val="TableParagraph"/>
              <w:spacing w:before="132"/>
              <w:ind w:left="45" w:right="37"/>
              <w:jc w:val="center"/>
              <w:rPr>
                <w:rFonts w:ascii="Times New Roman"/>
                <w:i/>
                <w:sz w:val="20"/>
              </w:rPr>
            </w:pPr>
            <w:r>
              <w:rPr>
                <w:rFonts w:ascii="Times New Roman"/>
                <w:i/>
                <w:sz w:val="20"/>
              </w:rPr>
              <w:t>EXT_TEMP</w:t>
            </w:r>
          </w:p>
        </w:tc>
        <w:tc>
          <w:tcPr>
            <w:tcW w:w="883" w:type="dxa"/>
            <w:tcBorders>
              <w:top w:val="single" w:sz="6" w:space="0" w:color="000000"/>
              <w:left w:val="single" w:sz="6" w:space="0" w:color="000000"/>
              <w:bottom w:val="single" w:sz="6" w:space="0" w:color="000000"/>
              <w:right w:val="single" w:sz="6" w:space="0" w:color="000000"/>
            </w:tcBorders>
          </w:tcPr>
          <w:p>
            <w:pPr>
              <w:pStyle w:val="TableParagraph"/>
              <w:spacing w:before="136"/>
              <w:ind w:left="11"/>
              <w:jc w:val="center"/>
              <w:rPr>
                <w:sz w:val="20"/>
              </w:rPr>
            </w:pPr>
            <w:r>
              <w:rPr>
                <w:w w:val="99"/>
                <w:sz w:val="20"/>
              </w:rPr>
              <w:t>0</w:t>
            </w:r>
          </w:p>
        </w:tc>
        <w:tc>
          <w:tcPr>
            <w:tcW w:w="5905" w:type="dxa"/>
            <w:gridSpan w:val="9"/>
            <w:tcBorders>
              <w:top w:val="single" w:sz="6" w:space="0" w:color="000000"/>
              <w:left w:val="single" w:sz="6" w:space="0" w:color="000000"/>
              <w:bottom w:val="single" w:sz="6" w:space="0" w:color="000000"/>
            </w:tcBorders>
          </w:tcPr>
          <w:p>
            <w:pPr>
              <w:pStyle w:val="TableParagraph"/>
              <w:spacing w:line="229" w:lineRule="exact" w:before="18"/>
              <w:ind w:left="105"/>
              <w:rPr>
                <w:sz w:val="20"/>
              </w:rPr>
            </w:pPr>
            <w:r>
              <w:rPr>
                <w:sz w:val="20"/>
              </w:rPr>
              <w:t>When 1, the MPU controls temperature compensation via</w:t>
            </w:r>
            <w:r>
              <w:rPr>
                <w:spacing w:val="-29"/>
                <w:sz w:val="20"/>
              </w:rPr>
              <w:t> </w:t>
            </w:r>
            <w:r>
              <w:rPr>
                <w:sz w:val="20"/>
              </w:rPr>
              <w:t>the</w:t>
            </w:r>
          </w:p>
          <w:p>
            <w:pPr>
              <w:pStyle w:val="TableParagraph"/>
              <w:spacing w:line="230" w:lineRule="exact"/>
              <w:ind w:left="105"/>
              <w:rPr>
                <w:sz w:val="20"/>
              </w:rPr>
            </w:pPr>
            <w:r>
              <w:rPr>
                <w:rFonts w:ascii="Times New Roman"/>
                <w:i/>
                <w:sz w:val="20"/>
              </w:rPr>
              <w:t>GAIN_ADJn </w:t>
            </w:r>
            <w:r>
              <w:rPr>
                <w:sz w:val="20"/>
              </w:rPr>
              <w:t>(</w:t>
            </w:r>
            <w:r>
              <w:rPr>
                <w:rFonts w:ascii="Times New Roman"/>
                <w:i/>
                <w:sz w:val="20"/>
              </w:rPr>
              <w:t>CE RAM 0x40-0x42</w:t>
            </w:r>
            <w:r>
              <w:rPr>
                <w:i/>
                <w:sz w:val="20"/>
              </w:rPr>
              <w:t>)</w:t>
            </w:r>
            <w:r>
              <w:rPr>
                <w:sz w:val="20"/>
              </w:rPr>
              <w:t>, when 0, the CE is in</w:t>
            </w:r>
            <w:r>
              <w:rPr>
                <w:spacing w:val="-22"/>
                <w:sz w:val="20"/>
              </w:rPr>
              <w:t> </w:t>
            </w:r>
            <w:r>
              <w:rPr>
                <w:sz w:val="20"/>
              </w:rPr>
              <w:t>control.</w:t>
            </w:r>
          </w:p>
        </w:tc>
      </w:tr>
      <w:tr>
        <w:trPr>
          <w:trHeight w:val="731" w:hRule="atLeast"/>
        </w:trPr>
        <w:tc>
          <w:tcPr>
            <w:tcW w:w="1272" w:type="dxa"/>
            <w:tcBorders>
              <w:top w:val="single" w:sz="6" w:space="0" w:color="000000"/>
              <w:bottom w:val="single" w:sz="6" w:space="0" w:color="000000"/>
              <w:right w:val="single" w:sz="6" w:space="0" w:color="000000"/>
            </w:tcBorders>
          </w:tcPr>
          <w:p>
            <w:pPr>
              <w:pStyle w:val="TableParagraph"/>
              <w:spacing w:before="7"/>
              <w:rPr>
                <w:b/>
                <w:sz w:val="21"/>
              </w:rPr>
            </w:pPr>
          </w:p>
          <w:p>
            <w:pPr>
              <w:pStyle w:val="TableParagraph"/>
              <w:ind w:left="74" w:right="67"/>
              <w:jc w:val="center"/>
              <w:rPr>
                <w:sz w:val="20"/>
              </w:rPr>
            </w:pPr>
            <w:r>
              <w:rPr>
                <w:sz w:val="20"/>
              </w:rPr>
              <w:t>21</w:t>
            </w:r>
          </w:p>
        </w:tc>
        <w:tc>
          <w:tcPr>
            <w:tcW w:w="1298" w:type="dxa"/>
            <w:tcBorders>
              <w:top w:val="single" w:sz="6" w:space="0" w:color="000000"/>
              <w:left w:val="single" w:sz="6" w:space="0" w:color="000000"/>
              <w:bottom w:val="single" w:sz="6" w:space="0" w:color="000000"/>
              <w:right w:val="single" w:sz="6" w:space="0" w:color="000000"/>
            </w:tcBorders>
          </w:tcPr>
          <w:p>
            <w:pPr>
              <w:pStyle w:val="TableParagraph"/>
              <w:spacing w:before="3"/>
              <w:rPr>
                <w:b/>
                <w:sz w:val="21"/>
              </w:rPr>
            </w:pPr>
          </w:p>
          <w:p>
            <w:pPr>
              <w:pStyle w:val="TableParagraph"/>
              <w:ind w:left="46" w:right="37"/>
              <w:jc w:val="center"/>
              <w:rPr>
                <w:rFonts w:ascii="Times New Roman"/>
                <w:i/>
                <w:sz w:val="20"/>
              </w:rPr>
            </w:pPr>
            <w:r>
              <w:rPr>
                <w:rFonts w:ascii="Times New Roman"/>
                <w:i/>
                <w:sz w:val="20"/>
              </w:rPr>
              <w:t>EDGE_INT</w:t>
            </w:r>
          </w:p>
        </w:tc>
        <w:tc>
          <w:tcPr>
            <w:tcW w:w="883" w:type="dxa"/>
            <w:tcBorders>
              <w:top w:val="single" w:sz="6" w:space="0" w:color="000000"/>
              <w:left w:val="single" w:sz="6" w:space="0" w:color="000000"/>
              <w:bottom w:val="single" w:sz="6" w:space="0" w:color="000000"/>
              <w:right w:val="single" w:sz="6" w:space="0" w:color="000000"/>
            </w:tcBorders>
          </w:tcPr>
          <w:p>
            <w:pPr>
              <w:pStyle w:val="TableParagraph"/>
              <w:spacing w:before="7"/>
              <w:rPr>
                <w:b/>
                <w:sz w:val="21"/>
              </w:rPr>
            </w:pPr>
          </w:p>
          <w:p>
            <w:pPr>
              <w:pStyle w:val="TableParagraph"/>
              <w:ind w:left="10"/>
              <w:jc w:val="center"/>
              <w:rPr>
                <w:sz w:val="20"/>
              </w:rPr>
            </w:pPr>
            <w:r>
              <w:rPr>
                <w:w w:val="99"/>
                <w:sz w:val="20"/>
              </w:rPr>
              <w:t>1</w:t>
            </w:r>
          </w:p>
        </w:tc>
        <w:tc>
          <w:tcPr>
            <w:tcW w:w="5905" w:type="dxa"/>
            <w:gridSpan w:val="9"/>
            <w:tcBorders>
              <w:top w:val="single" w:sz="6" w:space="0" w:color="000000"/>
              <w:left w:val="single" w:sz="6" w:space="0" w:color="000000"/>
              <w:bottom w:val="single" w:sz="6" w:space="0" w:color="000000"/>
            </w:tcBorders>
          </w:tcPr>
          <w:p>
            <w:pPr>
              <w:pStyle w:val="TableParagraph"/>
              <w:spacing w:before="18"/>
              <w:ind w:left="105" w:right="92"/>
              <w:rPr>
                <w:sz w:val="20"/>
              </w:rPr>
            </w:pPr>
            <w:r>
              <w:rPr>
                <w:sz w:val="20"/>
              </w:rPr>
              <w:t>When 1, XPULSE produces a pulse for each zero-crossing of the mains phase selected by </w:t>
            </w:r>
            <w:r>
              <w:rPr>
                <w:rFonts w:ascii="Times New Roman"/>
                <w:i/>
                <w:sz w:val="20"/>
              </w:rPr>
              <w:t>FREQSEL[1:0] </w:t>
            </w:r>
            <w:r>
              <w:rPr>
                <w:sz w:val="20"/>
              </w:rPr>
              <w:t>, which can be used</w:t>
            </w:r>
          </w:p>
          <w:p>
            <w:pPr>
              <w:pStyle w:val="TableParagraph"/>
              <w:spacing w:line="230" w:lineRule="exact" w:before="3"/>
              <w:ind w:left="105"/>
              <w:rPr>
                <w:sz w:val="20"/>
              </w:rPr>
            </w:pPr>
            <w:r>
              <w:rPr>
                <w:sz w:val="20"/>
              </w:rPr>
              <w:t>to interrupt the MPU.</w:t>
            </w:r>
          </w:p>
        </w:tc>
      </w:tr>
      <w:tr>
        <w:trPr>
          <w:trHeight w:val="731" w:hRule="atLeast"/>
        </w:trPr>
        <w:tc>
          <w:tcPr>
            <w:tcW w:w="1272" w:type="dxa"/>
            <w:tcBorders>
              <w:top w:val="single" w:sz="6" w:space="0" w:color="000000"/>
              <w:bottom w:val="single" w:sz="6" w:space="0" w:color="000000"/>
              <w:right w:val="single" w:sz="6" w:space="0" w:color="000000"/>
            </w:tcBorders>
          </w:tcPr>
          <w:p>
            <w:pPr>
              <w:pStyle w:val="TableParagraph"/>
              <w:spacing w:before="7"/>
              <w:rPr>
                <w:b/>
                <w:sz w:val="21"/>
              </w:rPr>
            </w:pPr>
          </w:p>
          <w:p>
            <w:pPr>
              <w:pStyle w:val="TableParagraph"/>
              <w:ind w:left="74" w:right="67"/>
              <w:jc w:val="center"/>
              <w:rPr>
                <w:sz w:val="20"/>
              </w:rPr>
            </w:pPr>
            <w:r>
              <w:rPr>
                <w:sz w:val="20"/>
              </w:rPr>
              <w:t>20</w:t>
            </w:r>
          </w:p>
        </w:tc>
        <w:tc>
          <w:tcPr>
            <w:tcW w:w="1298" w:type="dxa"/>
            <w:tcBorders>
              <w:top w:val="single" w:sz="6" w:space="0" w:color="000000"/>
              <w:left w:val="single" w:sz="6" w:space="0" w:color="000000"/>
              <w:bottom w:val="single" w:sz="6" w:space="0" w:color="000000"/>
              <w:right w:val="single" w:sz="6" w:space="0" w:color="000000"/>
            </w:tcBorders>
          </w:tcPr>
          <w:p>
            <w:pPr>
              <w:pStyle w:val="TableParagraph"/>
              <w:spacing w:before="3"/>
              <w:rPr>
                <w:b/>
                <w:sz w:val="21"/>
              </w:rPr>
            </w:pPr>
          </w:p>
          <w:p>
            <w:pPr>
              <w:pStyle w:val="TableParagraph"/>
              <w:ind w:left="49" w:right="37"/>
              <w:jc w:val="center"/>
              <w:rPr>
                <w:rFonts w:ascii="Times New Roman"/>
                <w:i/>
                <w:sz w:val="20"/>
              </w:rPr>
            </w:pPr>
            <w:r>
              <w:rPr>
                <w:rFonts w:ascii="Times New Roman"/>
                <w:i/>
                <w:sz w:val="20"/>
              </w:rPr>
              <w:t>SAG_INT</w:t>
            </w:r>
          </w:p>
        </w:tc>
        <w:tc>
          <w:tcPr>
            <w:tcW w:w="883" w:type="dxa"/>
            <w:tcBorders>
              <w:top w:val="single" w:sz="6" w:space="0" w:color="000000"/>
              <w:left w:val="single" w:sz="6" w:space="0" w:color="000000"/>
              <w:bottom w:val="single" w:sz="6" w:space="0" w:color="000000"/>
              <w:right w:val="single" w:sz="6" w:space="0" w:color="000000"/>
            </w:tcBorders>
          </w:tcPr>
          <w:p>
            <w:pPr>
              <w:pStyle w:val="TableParagraph"/>
              <w:spacing w:before="7"/>
              <w:rPr>
                <w:b/>
                <w:sz w:val="21"/>
              </w:rPr>
            </w:pPr>
          </w:p>
          <w:p>
            <w:pPr>
              <w:pStyle w:val="TableParagraph"/>
              <w:ind w:left="11"/>
              <w:jc w:val="center"/>
              <w:rPr>
                <w:sz w:val="20"/>
              </w:rPr>
            </w:pPr>
            <w:r>
              <w:rPr>
                <w:w w:val="99"/>
                <w:sz w:val="20"/>
              </w:rPr>
              <w:t>1</w:t>
            </w:r>
          </w:p>
        </w:tc>
        <w:tc>
          <w:tcPr>
            <w:tcW w:w="5905" w:type="dxa"/>
            <w:gridSpan w:val="9"/>
            <w:tcBorders>
              <w:top w:val="single" w:sz="6" w:space="0" w:color="000000"/>
              <w:left w:val="single" w:sz="6" w:space="0" w:color="000000"/>
              <w:bottom w:val="single" w:sz="6" w:space="0" w:color="000000"/>
            </w:tcBorders>
          </w:tcPr>
          <w:p>
            <w:pPr>
              <w:pStyle w:val="TableParagraph"/>
              <w:spacing w:line="237" w:lineRule="auto" w:before="20"/>
              <w:ind w:left="105" w:right="164"/>
              <w:rPr>
                <w:sz w:val="20"/>
              </w:rPr>
            </w:pPr>
            <w:r>
              <w:rPr>
                <w:sz w:val="20"/>
              </w:rPr>
              <w:t>When 1, activates the YPULSE/SEGDIO7 output when a sag is detected (see </w:t>
            </w:r>
            <w:hyperlink w:history="true" w:anchor="_bookmark117">
              <w:r>
                <w:rPr>
                  <w:color w:val="0000FF"/>
                  <w:sz w:val="20"/>
                </w:rPr>
                <w:t>2.5.10</w:t>
              </w:r>
            </w:hyperlink>
            <w:r>
              <w:rPr>
                <w:color w:val="0000FF"/>
                <w:sz w:val="20"/>
              </w:rPr>
              <w:t>) </w:t>
            </w:r>
            <w:r>
              <w:rPr>
                <w:sz w:val="20"/>
              </w:rPr>
              <w:t>on the phase selected with </w:t>
            </w:r>
            <w:r>
              <w:rPr>
                <w:rFonts w:ascii="Times New Roman"/>
                <w:i/>
                <w:sz w:val="20"/>
              </w:rPr>
              <w:t>FREQ- </w:t>
            </w:r>
            <w:r>
              <w:rPr>
                <w:rFonts w:ascii="Times New Roman"/>
                <w:i/>
                <w:sz w:val="20"/>
              </w:rPr>
              <w:t>SEL[1:0]</w:t>
            </w:r>
            <w:r>
              <w:rPr>
                <w:sz w:val="20"/>
              </w:rPr>
              <w:t>.</w:t>
            </w:r>
          </w:p>
        </w:tc>
      </w:tr>
      <w:tr>
        <w:trPr>
          <w:trHeight w:val="731" w:hRule="atLeast"/>
        </w:trPr>
        <w:tc>
          <w:tcPr>
            <w:tcW w:w="1272" w:type="dxa"/>
            <w:tcBorders>
              <w:top w:val="single" w:sz="6" w:space="0" w:color="000000"/>
              <w:bottom w:val="single" w:sz="6" w:space="0" w:color="000000"/>
              <w:right w:val="single" w:sz="6" w:space="0" w:color="000000"/>
            </w:tcBorders>
          </w:tcPr>
          <w:p>
            <w:pPr>
              <w:pStyle w:val="TableParagraph"/>
              <w:spacing w:before="7"/>
              <w:rPr>
                <w:b/>
                <w:sz w:val="21"/>
              </w:rPr>
            </w:pPr>
          </w:p>
          <w:p>
            <w:pPr>
              <w:pStyle w:val="TableParagraph"/>
              <w:ind w:left="77" w:right="67"/>
              <w:jc w:val="center"/>
              <w:rPr>
                <w:sz w:val="20"/>
              </w:rPr>
            </w:pPr>
            <w:r>
              <w:rPr>
                <w:sz w:val="20"/>
              </w:rPr>
              <w:t>19:8</w:t>
            </w:r>
          </w:p>
        </w:tc>
        <w:tc>
          <w:tcPr>
            <w:tcW w:w="1298" w:type="dxa"/>
            <w:tcBorders>
              <w:top w:val="single" w:sz="6" w:space="0" w:color="000000"/>
              <w:left w:val="single" w:sz="6" w:space="0" w:color="000000"/>
              <w:bottom w:val="single" w:sz="6" w:space="0" w:color="000000"/>
              <w:right w:val="single" w:sz="6" w:space="0" w:color="000000"/>
            </w:tcBorders>
          </w:tcPr>
          <w:p>
            <w:pPr>
              <w:pStyle w:val="TableParagraph"/>
              <w:spacing w:before="3"/>
              <w:rPr>
                <w:b/>
                <w:sz w:val="21"/>
              </w:rPr>
            </w:pPr>
          </w:p>
          <w:p>
            <w:pPr>
              <w:pStyle w:val="TableParagraph"/>
              <w:ind w:left="46" w:right="37"/>
              <w:jc w:val="center"/>
              <w:rPr>
                <w:rFonts w:ascii="Times New Roman"/>
                <w:i/>
                <w:sz w:val="20"/>
              </w:rPr>
            </w:pPr>
            <w:r>
              <w:rPr>
                <w:rFonts w:ascii="Times New Roman"/>
                <w:i/>
                <w:sz w:val="20"/>
              </w:rPr>
              <w:t>SAG_CNT</w:t>
            </w:r>
          </w:p>
        </w:tc>
        <w:tc>
          <w:tcPr>
            <w:tcW w:w="883" w:type="dxa"/>
            <w:tcBorders>
              <w:top w:val="single" w:sz="6" w:space="0" w:color="000000"/>
              <w:left w:val="single" w:sz="6" w:space="0" w:color="000000"/>
              <w:bottom w:val="single" w:sz="6" w:space="0" w:color="000000"/>
              <w:right w:val="single" w:sz="6" w:space="0" w:color="000000"/>
            </w:tcBorders>
          </w:tcPr>
          <w:p>
            <w:pPr>
              <w:pStyle w:val="TableParagraph"/>
              <w:spacing w:before="136"/>
              <w:ind w:left="127" w:firstLine="144"/>
              <w:rPr>
                <w:sz w:val="20"/>
              </w:rPr>
            </w:pPr>
            <w:r>
              <w:rPr>
                <w:sz w:val="20"/>
              </w:rPr>
              <w:t>218 </w:t>
            </w:r>
            <w:r>
              <w:rPr>
                <w:w w:val="95"/>
                <w:sz w:val="20"/>
              </w:rPr>
              <w:t>(0xDA)</w:t>
            </w:r>
          </w:p>
        </w:tc>
        <w:tc>
          <w:tcPr>
            <w:tcW w:w="5905" w:type="dxa"/>
            <w:gridSpan w:val="9"/>
            <w:tcBorders>
              <w:top w:val="single" w:sz="6" w:space="0" w:color="000000"/>
              <w:left w:val="single" w:sz="6" w:space="0" w:color="000000"/>
              <w:bottom w:val="single" w:sz="6" w:space="0" w:color="000000"/>
            </w:tcBorders>
          </w:tcPr>
          <w:p>
            <w:pPr>
              <w:pStyle w:val="TableParagraph"/>
              <w:spacing w:before="13"/>
              <w:ind w:left="105"/>
              <w:rPr>
                <w:rFonts w:ascii="Times New Roman"/>
                <w:i/>
                <w:sz w:val="20"/>
              </w:rPr>
            </w:pPr>
            <w:r>
              <w:rPr>
                <w:sz w:val="20"/>
              </w:rPr>
              <w:t>The number of consecutive voltage samples below </w:t>
            </w:r>
            <w:r>
              <w:rPr>
                <w:rFonts w:ascii="Times New Roman"/>
                <w:i/>
                <w:sz w:val="20"/>
              </w:rPr>
              <w:t>SAG_THR</w:t>
            </w:r>
          </w:p>
          <w:p>
            <w:pPr>
              <w:pStyle w:val="TableParagraph"/>
              <w:spacing w:line="236" w:lineRule="exact" w:before="1"/>
              <w:ind w:left="105" w:right="87"/>
              <w:rPr>
                <w:sz w:val="20"/>
              </w:rPr>
            </w:pPr>
            <w:r>
              <w:rPr>
                <w:sz w:val="20"/>
              </w:rPr>
              <w:t>(</w:t>
            </w:r>
            <w:r>
              <w:rPr>
                <w:rFonts w:ascii="Times New Roman"/>
                <w:i/>
                <w:sz w:val="20"/>
              </w:rPr>
              <w:t>CE RAM 0x24</w:t>
            </w:r>
            <w:r>
              <w:rPr>
                <w:sz w:val="20"/>
              </w:rPr>
              <w:t>) before a sag alarm is declared. The default value is equivalent to 100 ms.</w:t>
            </w:r>
          </w:p>
        </w:tc>
      </w:tr>
      <w:tr>
        <w:trPr>
          <w:trHeight w:val="750" w:hRule="atLeast"/>
        </w:trPr>
        <w:tc>
          <w:tcPr>
            <w:tcW w:w="1272" w:type="dxa"/>
            <w:vMerge w:val="restart"/>
            <w:tcBorders>
              <w:top w:val="single" w:sz="6" w:space="0" w:color="000000"/>
              <w:bottom w:val="single" w:sz="6" w:space="0" w:color="000000"/>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1"/>
              <w:rPr>
                <w:b/>
                <w:sz w:val="30"/>
              </w:rPr>
            </w:pPr>
          </w:p>
          <w:p>
            <w:pPr>
              <w:pStyle w:val="TableParagraph"/>
              <w:ind w:left="76" w:right="67"/>
              <w:jc w:val="center"/>
              <w:rPr>
                <w:sz w:val="20"/>
              </w:rPr>
            </w:pPr>
            <w:r>
              <w:rPr>
                <w:sz w:val="20"/>
              </w:rPr>
              <w:t>7:6</w:t>
            </w:r>
          </w:p>
        </w:tc>
        <w:tc>
          <w:tcPr>
            <w:tcW w:w="1298" w:type="dxa"/>
            <w:vMerge w:val="restart"/>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9"/>
              <w:rPr>
                <w:b/>
                <w:sz w:val="29"/>
              </w:rPr>
            </w:pPr>
          </w:p>
          <w:p>
            <w:pPr>
              <w:pStyle w:val="TableParagraph"/>
              <w:ind w:left="38"/>
              <w:rPr>
                <w:rFonts w:ascii="Times New Roman"/>
                <w:i/>
                <w:sz w:val="20"/>
              </w:rPr>
            </w:pPr>
            <w:r>
              <w:rPr>
                <w:rFonts w:ascii="Times New Roman"/>
                <w:i/>
                <w:spacing w:val="-5"/>
                <w:sz w:val="20"/>
              </w:rPr>
              <w:t>FREQSEL[1:0]</w:t>
            </w:r>
          </w:p>
        </w:tc>
        <w:tc>
          <w:tcPr>
            <w:tcW w:w="883" w:type="dxa"/>
            <w:vMerge w:val="restart"/>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1"/>
              <w:rPr>
                <w:b/>
                <w:sz w:val="30"/>
              </w:rPr>
            </w:pPr>
          </w:p>
          <w:p>
            <w:pPr>
              <w:pStyle w:val="TableParagraph"/>
              <w:ind w:left="10"/>
              <w:jc w:val="center"/>
              <w:rPr>
                <w:sz w:val="20"/>
              </w:rPr>
            </w:pPr>
            <w:r>
              <w:rPr>
                <w:w w:val="99"/>
                <w:sz w:val="20"/>
              </w:rPr>
              <w:t>0</w:t>
            </w:r>
          </w:p>
        </w:tc>
        <w:tc>
          <w:tcPr>
            <w:tcW w:w="5905" w:type="dxa"/>
            <w:gridSpan w:val="9"/>
            <w:tcBorders>
              <w:top w:val="single" w:sz="6" w:space="0" w:color="000000"/>
              <w:left w:val="single" w:sz="6" w:space="0" w:color="000000"/>
              <w:bottom w:val="nil"/>
            </w:tcBorders>
          </w:tcPr>
          <w:p>
            <w:pPr>
              <w:pStyle w:val="TableParagraph"/>
              <w:spacing w:before="13"/>
              <w:ind w:left="113" w:right="164"/>
              <w:rPr>
                <w:sz w:val="20"/>
              </w:rPr>
            </w:pPr>
            <w:r>
              <w:rPr>
                <w:rFonts w:ascii="Times New Roman"/>
                <w:i/>
                <w:sz w:val="20"/>
              </w:rPr>
              <w:t>FREQSEL[1:0] </w:t>
            </w:r>
            <w:r>
              <w:rPr>
                <w:sz w:val="20"/>
              </w:rPr>
              <w:t>selects the phase to be used for the frequency monitor, sag detection, the phase-to-phase lag calculation and for the zero crossing counter (</w:t>
            </w:r>
            <w:r>
              <w:rPr>
                <w:rFonts w:ascii="Times New Roman"/>
                <w:i/>
                <w:sz w:val="20"/>
              </w:rPr>
              <w:t>MAINEDGE_X, CE RAM 0x83</w:t>
            </w:r>
            <w:r>
              <w:rPr>
                <w:sz w:val="20"/>
              </w:rPr>
              <w:t>).</w:t>
            </w:r>
          </w:p>
        </w:tc>
      </w:tr>
      <w:tr>
        <w:trPr>
          <w:trHeight w:val="263" w:hRule="atLeast"/>
        </w:trPr>
        <w:tc>
          <w:tcPr>
            <w:tcW w:w="1272" w:type="dxa"/>
            <w:vMerge/>
            <w:tcBorders>
              <w:top w:val="nil"/>
              <w:bottom w:val="single" w:sz="6" w:space="0" w:color="000000"/>
              <w:right w:val="single" w:sz="6" w:space="0" w:color="000000"/>
            </w:tcBorders>
          </w:tcPr>
          <w:p>
            <w:pPr>
              <w:rPr>
                <w:sz w:val="2"/>
                <w:szCs w:val="2"/>
              </w:rPr>
            </w:pPr>
          </w:p>
        </w:tc>
        <w:tc>
          <w:tcPr>
            <w:tcW w:w="1298" w:type="dxa"/>
            <w:vMerge/>
            <w:tcBorders>
              <w:top w:val="nil"/>
              <w:left w:val="single" w:sz="6" w:space="0" w:color="000000"/>
              <w:bottom w:val="single" w:sz="6" w:space="0" w:color="000000"/>
              <w:right w:val="single" w:sz="6" w:space="0" w:color="000000"/>
            </w:tcBorders>
          </w:tcPr>
          <w:p>
            <w:pPr>
              <w:rPr>
                <w:sz w:val="2"/>
                <w:szCs w:val="2"/>
              </w:rPr>
            </w:pPr>
          </w:p>
        </w:tc>
        <w:tc>
          <w:tcPr>
            <w:tcW w:w="883" w:type="dxa"/>
            <w:vMerge/>
            <w:tcBorders>
              <w:top w:val="nil"/>
              <w:left w:val="single" w:sz="6" w:space="0" w:color="000000"/>
              <w:bottom w:val="single" w:sz="6" w:space="0" w:color="000000"/>
              <w:right w:val="single" w:sz="6" w:space="0" w:color="000000"/>
            </w:tcBorders>
          </w:tcPr>
          <w:p>
            <w:pPr>
              <w:rPr>
                <w:sz w:val="2"/>
                <w:szCs w:val="2"/>
              </w:rPr>
            </w:pPr>
          </w:p>
        </w:tc>
        <w:tc>
          <w:tcPr>
            <w:tcW w:w="116" w:type="dxa"/>
            <w:vMerge w:val="restart"/>
            <w:tcBorders>
              <w:top w:val="nil"/>
              <w:left w:val="single" w:sz="6" w:space="0" w:color="000000"/>
              <w:bottom w:val="single" w:sz="6" w:space="0" w:color="000000"/>
            </w:tcBorders>
          </w:tcPr>
          <w:p>
            <w:pPr>
              <w:pStyle w:val="TableParagraph"/>
              <w:rPr>
                <w:rFonts w:ascii="Times New Roman"/>
                <w:sz w:val="18"/>
              </w:rPr>
            </w:pPr>
          </w:p>
        </w:tc>
        <w:tc>
          <w:tcPr>
            <w:tcW w:w="1617" w:type="dxa"/>
            <w:gridSpan w:val="3"/>
            <w:vMerge w:val="restart"/>
          </w:tcPr>
          <w:p>
            <w:pPr>
              <w:pStyle w:val="TableParagraph"/>
              <w:spacing w:before="17"/>
              <w:ind w:left="145"/>
              <w:rPr>
                <w:rFonts w:ascii="Times New Roman"/>
                <w:b/>
                <w:i/>
                <w:sz w:val="20"/>
              </w:rPr>
            </w:pPr>
            <w:r>
              <w:rPr>
                <w:rFonts w:ascii="Times New Roman"/>
                <w:b/>
                <w:i/>
                <w:sz w:val="20"/>
              </w:rPr>
              <w:t>FREQ SEL[1:0]</w:t>
            </w:r>
          </w:p>
        </w:tc>
        <w:tc>
          <w:tcPr>
            <w:tcW w:w="1230" w:type="dxa"/>
            <w:vMerge w:val="restart"/>
          </w:tcPr>
          <w:p>
            <w:pPr>
              <w:pStyle w:val="TableParagraph"/>
              <w:spacing w:before="13"/>
              <w:ind w:left="189" w:firstLine="117"/>
              <w:rPr>
                <w:b/>
                <w:sz w:val="20"/>
              </w:rPr>
            </w:pPr>
            <w:r>
              <w:rPr>
                <w:b/>
                <w:sz w:val="20"/>
              </w:rPr>
              <w:t>Phase </w:t>
            </w:r>
            <w:r>
              <w:rPr>
                <w:b/>
                <w:w w:val="95"/>
                <w:sz w:val="20"/>
              </w:rPr>
              <w:t>Selected</w:t>
            </w:r>
          </w:p>
        </w:tc>
        <w:tc>
          <w:tcPr>
            <w:tcW w:w="2730" w:type="dxa"/>
            <w:gridSpan w:val="3"/>
          </w:tcPr>
          <w:p>
            <w:pPr>
              <w:pStyle w:val="TableParagraph"/>
              <w:spacing w:line="230" w:lineRule="exact" w:before="13"/>
              <w:ind w:left="560"/>
              <w:rPr>
                <w:b/>
                <w:sz w:val="20"/>
              </w:rPr>
            </w:pPr>
            <w:r>
              <w:rPr>
                <w:b/>
                <w:sz w:val="20"/>
              </w:rPr>
              <w:t>Phases Selected</w:t>
            </w:r>
          </w:p>
        </w:tc>
        <w:tc>
          <w:tcPr>
            <w:tcW w:w="212" w:type="dxa"/>
            <w:vMerge w:val="restart"/>
            <w:tcBorders>
              <w:top w:val="nil"/>
              <w:bottom w:val="single" w:sz="6" w:space="0" w:color="000000"/>
            </w:tcBorders>
          </w:tcPr>
          <w:p>
            <w:pPr>
              <w:pStyle w:val="TableParagraph"/>
              <w:rPr>
                <w:rFonts w:ascii="Times New Roman"/>
                <w:sz w:val="18"/>
              </w:rPr>
            </w:pPr>
          </w:p>
        </w:tc>
      </w:tr>
      <w:tr>
        <w:trPr>
          <w:trHeight w:val="265" w:hRule="atLeast"/>
        </w:trPr>
        <w:tc>
          <w:tcPr>
            <w:tcW w:w="1272" w:type="dxa"/>
            <w:vMerge/>
            <w:tcBorders>
              <w:top w:val="nil"/>
              <w:bottom w:val="single" w:sz="6" w:space="0" w:color="000000"/>
              <w:right w:val="single" w:sz="6" w:space="0" w:color="000000"/>
            </w:tcBorders>
          </w:tcPr>
          <w:p>
            <w:pPr>
              <w:rPr>
                <w:sz w:val="2"/>
                <w:szCs w:val="2"/>
              </w:rPr>
            </w:pPr>
          </w:p>
        </w:tc>
        <w:tc>
          <w:tcPr>
            <w:tcW w:w="1298" w:type="dxa"/>
            <w:vMerge/>
            <w:tcBorders>
              <w:top w:val="nil"/>
              <w:left w:val="single" w:sz="6" w:space="0" w:color="000000"/>
              <w:bottom w:val="single" w:sz="6" w:space="0" w:color="000000"/>
              <w:right w:val="single" w:sz="6" w:space="0" w:color="000000"/>
            </w:tcBorders>
          </w:tcPr>
          <w:p>
            <w:pPr>
              <w:rPr>
                <w:sz w:val="2"/>
                <w:szCs w:val="2"/>
              </w:rPr>
            </w:pPr>
          </w:p>
        </w:tc>
        <w:tc>
          <w:tcPr>
            <w:tcW w:w="883" w:type="dxa"/>
            <w:vMerge/>
            <w:tcBorders>
              <w:top w:val="nil"/>
              <w:left w:val="single" w:sz="6" w:space="0" w:color="000000"/>
              <w:bottom w:val="single" w:sz="6" w:space="0" w:color="000000"/>
              <w:right w:val="single" w:sz="6" w:space="0" w:color="000000"/>
            </w:tcBorders>
          </w:tcPr>
          <w:p>
            <w:pPr>
              <w:rPr>
                <w:sz w:val="2"/>
                <w:szCs w:val="2"/>
              </w:rPr>
            </w:pPr>
          </w:p>
        </w:tc>
        <w:tc>
          <w:tcPr>
            <w:tcW w:w="116" w:type="dxa"/>
            <w:vMerge/>
            <w:tcBorders>
              <w:top w:val="nil"/>
              <w:left w:val="single" w:sz="6" w:space="0" w:color="000000"/>
              <w:bottom w:val="single" w:sz="6" w:space="0" w:color="000000"/>
            </w:tcBorders>
          </w:tcPr>
          <w:p>
            <w:pPr>
              <w:rPr>
                <w:sz w:val="2"/>
                <w:szCs w:val="2"/>
              </w:rPr>
            </w:pPr>
          </w:p>
        </w:tc>
        <w:tc>
          <w:tcPr>
            <w:tcW w:w="1617" w:type="dxa"/>
            <w:gridSpan w:val="3"/>
            <w:vMerge/>
            <w:tcBorders>
              <w:top w:val="nil"/>
            </w:tcBorders>
          </w:tcPr>
          <w:p>
            <w:pPr>
              <w:rPr>
                <w:sz w:val="2"/>
                <w:szCs w:val="2"/>
              </w:rPr>
            </w:pPr>
          </w:p>
        </w:tc>
        <w:tc>
          <w:tcPr>
            <w:tcW w:w="1230" w:type="dxa"/>
            <w:vMerge/>
            <w:tcBorders>
              <w:top w:val="nil"/>
            </w:tcBorders>
          </w:tcPr>
          <w:p>
            <w:pPr>
              <w:rPr>
                <w:sz w:val="2"/>
                <w:szCs w:val="2"/>
              </w:rPr>
            </w:pPr>
          </w:p>
        </w:tc>
        <w:tc>
          <w:tcPr>
            <w:tcW w:w="1412" w:type="dxa"/>
          </w:tcPr>
          <w:p>
            <w:pPr>
              <w:pStyle w:val="TableParagraph"/>
              <w:spacing w:line="229" w:lineRule="exact" w:before="17"/>
              <w:ind w:left="155" w:right="172"/>
              <w:jc w:val="center"/>
              <w:rPr>
                <w:rFonts w:ascii="Times New Roman"/>
                <w:b/>
                <w:i/>
                <w:sz w:val="20"/>
              </w:rPr>
            </w:pPr>
            <w:r>
              <w:rPr>
                <w:rFonts w:ascii="Times New Roman"/>
                <w:b/>
                <w:i/>
                <w:sz w:val="20"/>
              </w:rPr>
              <w:t>PH_AtoB_X</w:t>
            </w:r>
          </w:p>
        </w:tc>
        <w:tc>
          <w:tcPr>
            <w:tcW w:w="1318" w:type="dxa"/>
            <w:gridSpan w:val="2"/>
          </w:tcPr>
          <w:p>
            <w:pPr>
              <w:pStyle w:val="TableParagraph"/>
              <w:spacing w:line="229" w:lineRule="exact" w:before="17"/>
              <w:ind w:left="142"/>
              <w:rPr>
                <w:rFonts w:ascii="Times New Roman"/>
                <w:b/>
                <w:i/>
                <w:sz w:val="20"/>
              </w:rPr>
            </w:pPr>
            <w:r>
              <w:rPr>
                <w:rFonts w:ascii="Times New Roman"/>
                <w:b/>
                <w:i/>
                <w:sz w:val="20"/>
              </w:rPr>
              <w:t>PH_AtoC_X</w:t>
            </w:r>
          </w:p>
        </w:tc>
        <w:tc>
          <w:tcPr>
            <w:tcW w:w="212" w:type="dxa"/>
            <w:vMerge/>
            <w:tcBorders>
              <w:top w:val="nil"/>
              <w:bottom w:val="single" w:sz="6" w:space="0" w:color="000000"/>
            </w:tcBorders>
          </w:tcPr>
          <w:p>
            <w:pPr>
              <w:rPr>
                <w:sz w:val="2"/>
                <w:szCs w:val="2"/>
              </w:rPr>
            </w:pPr>
          </w:p>
        </w:tc>
      </w:tr>
      <w:tr>
        <w:trPr>
          <w:trHeight w:val="265" w:hRule="atLeast"/>
        </w:trPr>
        <w:tc>
          <w:tcPr>
            <w:tcW w:w="1272" w:type="dxa"/>
            <w:vMerge/>
            <w:tcBorders>
              <w:top w:val="nil"/>
              <w:bottom w:val="single" w:sz="6" w:space="0" w:color="000000"/>
              <w:right w:val="single" w:sz="6" w:space="0" w:color="000000"/>
            </w:tcBorders>
          </w:tcPr>
          <w:p>
            <w:pPr>
              <w:rPr>
                <w:sz w:val="2"/>
                <w:szCs w:val="2"/>
              </w:rPr>
            </w:pPr>
          </w:p>
        </w:tc>
        <w:tc>
          <w:tcPr>
            <w:tcW w:w="1298" w:type="dxa"/>
            <w:vMerge/>
            <w:tcBorders>
              <w:top w:val="nil"/>
              <w:left w:val="single" w:sz="6" w:space="0" w:color="000000"/>
              <w:bottom w:val="single" w:sz="6" w:space="0" w:color="000000"/>
              <w:right w:val="single" w:sz="6" w:space="0" w:color="000000"/>
            </w:tcBorders>
          </w:tcPr>
          <w:p>
            <w:pPr>
              <w:rPr>
                <w:sz w:val="2"/>
                <w:szCs w:val="2"/>
              </w:rPr>
            </w:pPr>
          </w:p>
        </w:tc>
        <w:tc>
          <w:tcPr>
            <w:tcW w:w="883" w:type="dxa"/>
            <w:vMerge/>
            <w:tcBorders>
              <w:top w:val="nil"/>
              <w:left w:val="single" w:sz="6" w:space="0" w:color="000000"/>
              <w:bottom w:val="single" w:sz="6" w:space="0" w:color="000000"/>
              <w:right w:val="single" w:sz="6" w:space="0" w:color="000000"/>
            </w:tcBorders>
          </w:tcPr>
          <w:p>
            <w:pPr>
              <w:rPr>
                <w:sz w:val="2"/>
                <w:szCs w:val="2"/>
              </w:rPr>
            </w:pPr>
          </w:p>
        </w:tc>
        <w:tc>
          <w:tcPr>
            <w:tcW w:w="116" w:type="dxa"/>
            <w:vMerge/>
            <w:tcBorders>
              <w:top w:val="nil"/>
              <w:left w:val="single" w:sz="6" w:space="0" w:color="000000"/>
              <w:bottom w:val="single" w:sz="6" w:space="0" w:color="000000"/>
            </w:tcBorders>
          </w:tcPr>
          <w:p>
            <w:pPr>
              <w:rPr>
                <w:sz w:val="2"/>
                <w:szCs w:val="2"/>
              </w:rPr>
            </w:pPr>
          </w:p>
        </w:tc>
        <w:tc>
          <w:tcPr>
            <w:tcW w:w="807" w:type="dxa"/>
          </w:tcPr>
          <w:p>
            <w:pPr>
              <w:pStyle w:val="TableParagraph"/>
              <w:spacing w:line="230" w:lineRule="exact" w:before="16"/>
              <w:ind w:left="42"/>
              <w:jc w:val="center"/>
              <w:rPr>
                <w:sz w:val="20"/>
              </w:rPr>
            </w:pPr>
            <w:r>
              <w:rPr>
                <w:w w:val="99"/>
                <w:sz w:val="20"/>
              </w:rPr>
              <w:t>0</w:t>
            </w:r>
          </w:p>
        </w:tc>
        <w:tc>
          <w:tcPr>
            <w:tcW w:w="810" w:type="dxa"/>
            <w:gridSpan w:val="2"/>
          </w:tcPr>
          <w:p>
            <w:pPr>
              <w:pStyle w:val="TableParagraph"/>
              <w:spacing w:line="230" w:lineRule="exact" w:before="16"/>
              <w:ind w:left="9"/>
              <w:jc w:val="center"/>
              <w:rPr>
                <w:sz w:val="20"/>
              </w:rPr>
            </w:pPr>
            <w:r>
              <w:rPr>
                <w:w w:val="99"/>
                <w:sz w:val="20"/>
              </w:rPr>
              <w:t>0</w:t>
            </w:r>
          </w:p>
        </w:tc>
        <w:tc>
          <w:tcPr>
            <w:tcW w:w="1230" w:type="dxa"/>
          </w:tcPr>
          <w:p>
            <w:pPr>
              <w:pStyle w:val="TableParagraph"/>
              <w:spacing w:line="230" w:lineRule="exact" w:before="16"/>
              <w:ind w:left="532"/>
              <w:rPr>
                <w:sz w:val="20"/>
              </w:rPr>
            </w:pPr>
            <w:r>
              <w:rPr>
                <w:w w:val="99"/>
                <w:sz w:val="20"/>
              </w:rPr>
              <w:t>A</w:t>
            </w:r>
          </w:p>
        </w:tc>
        <w:tc>
          <w:tcPr>
            <w:tcW w:w="1412" w:type="dxa"/>
          </w:tcPr>
          <w:p>
            <w:pPr>
              <w:pStyle w:val="TableParagraph"/>
              <w:spacing w:line="230" w:lineRule="exact" w:before="16"/>
              <w:ind w:left="154" w:right="172"/>
              <w:jc w:val="center"/>
              <w:rPr>
                <w:sz w:val="20"/>
              </w:rPr>
            </w:pPr>
            <w:r>
              <w:rPr>
                <w:sz w:val="20"/>
              </w:rPr>
              <w:t>A-B</w:t>
            </w:r>
          </w:p>
        </w:tc>
        <w:tc>
          <w:tcPr>
            <w:tcW w:w="1318" w:type="dxa"/>
            <w:gridSpan w:val="2"/>
          </w:tcPr>
          <w:p>
            <w:pPr>
              <w:pStyle w:val="TableParagraph"/>
              <w:spacing w:line="230" w:lineRule="exact" w:before="16"/>
              <w:ind w:left="463" w:right="458"/>
              <w:jc w:val="center"/>
              <w:rPr>
                <w:sz w:val="20"/>
              </w:rPr>
            </w:pPr>
            <w:r>
              <w:rPr>
                <w:sz w:val="20"/>
              </w:rPr>
              <w:t>A-C</w:t>
            </w:r>
          </w:p>
        </w:tc>
        <w:tc>
          <w:tcPr>
            <w:tcW w:w="212" w:type="dxa"/>
            <w:vMerge/>
            <w:tcBorders>
              <w:top w:val="nil"/>
              <w:bottom w:val="single" w:sz="6" w:space="0" w:color="000000"/>
            </w:tcBorders>
          </w:tcPr>
          <w:p>
            <w:pPr>
              <w:rPr>
                <w:sz w:val="2"/>
                <w:szCs w:val="2"/>
              </w:rPr>
            </w:pPr>
          </w:p>
        </w:tc>
      </w:tr>
      <w:tr>
        <w:trPr>
          <w:trHeight w:val="263" w:hRule="atLeast"/>
        </w:trPr>
        <w:tc>
          <w:tcPr>
            <w:tcW w:w="1272" w:type="dxa"/>
            <w:vMerge/>
            <w:tcBorders>
              <w:top w:val="nil"/>
              <w:bottom w:val="single" w:sz="6" w:space="0" w:color="000000"/>
              <w:right w:val="single" w:sz="6" w:space="0" w:color="000000"/>
            </w:tcBorders>
          </w:tcPr>
          <w:p>
            <w:pPr>
              <w:rPr>
                <w:sz w:val="2"/>
                <w:szCs w:val="2"/>
              </w:rPr>
            </w:pPr>
          </w:p>
        </w:tc>
        <w:tc>
          <w:tcPr>
            <w:tcW w:w="1298" w:type="dxa"/>
            <w:vMerge/>
            <w:tcBorders>
              <w:top w:val="nil"/>
              <w:left w:val="single" w:sz="6" w:space="0" w:color="000000"/>
              <w:bottom w:val="single" w:sz="6" w:space="0" w:color="000000"/>
              <w:right w:val="single" w:sz="6" w:space="0" w:color="000000"/>
            </w:tcBorders>
          </w:tcPr>
          <w:p>
            <w:pPr>
              <w:rPr>
                <w:sz w:val="2"/>
                <w:szCs w:val="2"/>
              </w:rPr>
            </w:pPr>
          </w:p>
        </w:tc>
        <w:tc>
          <w:tcPr>
            <w:tcW w:w="883" w:type="dxa"/>
            <w:vMerge/>
            <w:tcBorders>
              <w:top w:val="nil"/>
              <w:left w:val="single" w:sz="6" w:space="0" w:color="000000"/>
              <w:bottom w:val="single" w:sz="6" w:space="0" w:color="000000"/>
              <w:right w:val="single" w:sz="6" w:space="0" w:color="000000"/>
            </w:tcBorders>
          </w:tcPr>
          <w:p>
            <w:pPr>
              <w:rPr>
                <w:sz w:val="2"/>
                <w:szCs w:val="2"/>
              </w:rPr>
            </w:pPr>
          </w:p>
        </w:tc>
        <w:tc>
          <w:tcPr>
            <w:tcW w:w="116" w:type="dxa"/>
            <w:vMerge/>
            <w:tcBorders>
              <w:top w:val="nil"/>
              <w:left w:val="single" w:sz="6" w:space="0" w:color="000000"/>
              <w:bottom w:val="single" w:sz="6" w:space="0" w:color="000000"/>
            </w:tcBorders>
          </w:tcPr>
          <w:p>
            <w:pPr>
              <w:rPr>
                <w:sz w:val="2"/>
                <w:szCs w:val="2"/>
              </w:rPr>
            </w:pPr>
          </w:p>
        </w:tc>
        <w:tc>
          <w:tcPr>
            <w:tcW w:w="807" w:type="dxa"/>
          </w:tcPr>
          <w:p>
            <w:pPr>
              <w:pStyle w:val="TableParagraph"/>
              <w:spacing w:line="227" w:lineRule="exact" w:before="16"/>
              <w:ind w:left="42"/>
              <w:jc w:val="center"/>
              <w:rPr>
                <w:sz w:val="20"/>
              </w:rPr>
            </w:pPr>
            <w:r>
              <w:rPr>
                <w:w w:val="99"/>
                <w:sz w:val="20"/>
              </w:rPr>
              <w:t>0</w:t>
            </w:r>
          </w:p>
        </w:tc>
        <w:tc>
          <w:tcPr>
            <w:tcW w:w="810" w:type="dxa"/>
            <w:gridSpan w:val="2"/>
          </w:tcPr>
          <w:p>
            <w:pPr>
              <w:pStyle w:val="TableParagraph"/>
              <w:spacing w:line="227" w:lineRule="exact" w:before="16"/>
              <w:ind w:left="9"/>
              <w:jc w:val="center"/>
              <w:rPr>
                <w:sz w:val="20"/>
              </w:rPr>
            </w:pPr>
            <w:r>
              <w:rPr>
                <w:w w:val="99"/>
                <w:sz w:val="20"/>
              </w:rPr>
              <w:t>1</w:t>
            </w:r>
          </w:p>
        </w:tc>
        <w:tc>
          <w:tcPr>
            <w:tcW w:w="1230" w:type="dxa"/>
          </w:tcPr>
          <w:p>
            <w:pPr>
              <w:pStyle w:val="TableParagraph"/>
              <w:spacing w:line="227" w:lineRule="exact" w:before="16"/>
              <w:ind w:left="532"/>
              <w:rPr>
                <w:sz w:val="20"/>
              </w:rPr>
            </w:pPr>
            <w:r>
              <w:rPr>
                <w:w w:val="99"/>
                <w:sz w:val="20"/>
              </w:rPr>
              <w:t>B</w:t>
            </w:r>
          </w:p>
        </w:tc>
        <w:tc>
          <w:tcPr>
            <w:tcW w:w="1412" w:type="dxa"/>
          </w:tcPr>
          <w:p>
            <w:pPr>
              <w:pStyle w:val="TableParagraph"/>
              <w:spacing w:line="227" w:lineRule="exact" w:before="16"/>
              <w:ind w:left="155" w:right="172"/>
              <w:jc w:val="center"/>
              <w:rPr>
                <w:sz w:val="20"/>
              </w:rPr>
            </w:pPr>
            <w:r>
              <w:rPr>
                <w:sz w:val="20"/>
              </w:rPr>
              <w:t>B-C</w:t>
            </w:r>
          </w:p>
        </w:tc>
        <w:tc>
          <w:tcPr>
            <w:tcW w:w="1318" w:type="dxa"/>
            <w:gridSpan w:val="2"/>
          </w:tcPr>
          <w:p>
            <w:pPr>
              <w:pStyle w:val="TableParagraph"/>
              <w:spacing w:line="227" w:lineRule="exact" w:before="16"/>
              <w:ind w:left="464" w:right="455"/>
              <w:jc w:val="center"/>
              <w:rPr>
                <w:sz w:val="20"/>
              </w:rPr>
            </w:pPr>
            <w:r>
              <w:rPr>
                <w:sz w:val="20"/>
              </w:rPr>
              <w:t>B-A</w:t>
            </w:r>
          </w:p>
        </w:tc>
        <w:tc>
          <w:tcPr>
            <w:tcW w:w="212" w:type="dxa"/>
            <w:vMerge/>
            <w:tcBorders>
              <w:top w:val="nil"/>
              <w:bottom w:val="single" w:sz="6" w:space="0" w:color="000000"/>
            </w:tcBorders>
          </w:tcPr>
          <w:p>
            <w:pPr>
              <w:rPr>
                <w:sz w:val="2"/>
                <w:szCs w:val="2"/>
              </w:rPr>
            </w:pPr>
          </w:p>
        </w:tc>
      </w:tr>
      <w:tr>
        <w:trPr>
          <w:trHeight w:val="265" w:hRule="atLeast"/>
        </w:trPr>
        <w:tc>
          <w:tcPr>
            <w:tcW w:w="1272" w:type="dxa"/>
            <w:vMerge/>
            <w:tcBorders>
              <w:top w:val="nil"/>
              <w:bottom w:val="single" w:sz="6" w:space="0" w:color="000000"/>
              <w:right w:val="single" w:sz="6" w:space="0" w:color="000000"/>
            </w:tcBorders>
          </w:tcPr>
          <w:p>
            <w:pPr>
              <w:rPr>
                <w:sz w:val="2"/>
                <w:szCs w:val="2"/>
              </w:rPr>
            </w:pPr>
          </w:p>
        </w:tc>
        <w:tc>
          <w:tcPr>
            <w:tcW w:w="1298" w:type="dxa"/>
            <w:vMerge/>
            <w:tcBorders>
              <w:top w:val="nil"/>
              <w:left w:val="single" w:sz="6" w:space="0" w:color="000000"/>
              <w:bottom w:val="single" w:sz="6" w:space="0" w:color="000000"/>
              <w:right w:val="single" w:sz="6" w:space="0" w:color="000000"/>
            </w:tcBorders>
          </w:tcPr>
          <w:p>
            <w:pPr>
              <w:rPr>
                <w:sz w:val="2"/>
                <w:szCs w:val="2"/>
              </w:rPr>
            </w:pPr>
          </w:p>
        </w:tc>
        <w:tc>
          <w:tcPr>
            <w:tcW w:w="883" w:type="dxa"/>
            <w:vMerge/>
            <w:tcBorders>
              <w:top w:val="nil"/>
              <w:left w:val="single" w:sz="6" w:space="0" w:color="000000"/>
              <w:bottom w:val="single" w:sz="6" w:space="0" w:color="000000"/>
              <w:right w:val="single" w:sz="6" w:space="0" w:color="000000"/>
            </w:tcBorders>
          </w:tcPr>
          <w:p>
            <w:pPr>
              <w:rPr>
                <w:sz w:val="2"/>
                <w:szCs w:val="2"/>
              </w:rPr>
            </w:pPr>
          </w:p>
        </w:tc>
        <w:tc>
          <w:tcPr>
            <w:tcW w:w="116" w:type="dxa"/>
            <w:vMerge/>
            <w:tcBorders>
              <w:top w:val="nil"/>
              <w:left w:val="single" w:sz="6" w:space="0" w:color="000000"/>
              <w:bottom w:val="single" w:sz="6" w:space="0" w:color="000000"/>
            </w:tcBorders>
          </w:tcPr>
          <w:p>
            <w:pPr>
              <w:rPr>
                <w:sz w:val="2"/>
                <w:szCs w:val="2"/>
              </w:rPr>
            </w:pPr>
          </w:p>
        </w:tc>
        <w:tc>
          <w:tcPr>
            <w:tcW w:w="807" w:type="dxa"/>
          </w:tcPr>
          <w:p>
            <w:pPr>
              <w:pStyle w:val="TableParagraph"/>
              <w:spacing w:line="230" w:lineRule="exact" w:before="16"/>
              <w:ind w:left="42"/>
              <w:jc w:val="center"/>
              <w:rPr>
                <w:sz w:val="20"/>
              </w:rPr>
            </w:pPr>
            <w:r>
              <w:rPr>
                <w:w w:val="99"/>
                <w:sz w:val="20"/>
              </w:rPr>
              <w:t>1</w:t>
            </w:r>
          </w:p>
        </w:tc>
        <w:tc>
          <w:tcPr>
            <w:tcW w:w="810" w:type="dxa"/>
            <w:gridSpan w:val="2"/>
          </w:tcPr>
          <w:p>
            <w:pPr>
              <w:pStyle w:val="TableParagraph"/>
              <w:spacing w:line="230" w:lineRule="exact" w:before="16"/>
              <w:ind w:left="9"/>
              <w:jc w:val="center"/>
              <w:rPr>
                <w:sz w:val="20"/>
              </w:rPr>
            </w:pPr>
            <w:r>
              <w:rPr>
                <w:w w:val="99"/>
                <w:sz w:val="20"/>
              </w:rPr>
              <w:t>0</w:t>
            </w:r>
          </w:p>
        </w:tc>
        <w:tc>
          <w:tcPr>
            <w:tcW w:w="1230" w:type="dxa"/>
          </w:tcPr>
          <w:p>
            <w:pPr>
              <w:pStyle w:val="TableParagraph"/>
              <w:spacing w:line="230" w:lineRule="exact" w:before="16"/>
              <w:ind w:left="528"/>
              <w:rPr>
                <w:sz w:val="20"/>
              </w:rPr>
            </w:pPr>
            <w:r>
              <w:rPr>
                <w:w w:val="99"/>
                <w:sz w:val="20"/>
              </w:rPr>
              <w:t>C</w:t>
            </w:r>
          </w:p>
        </w:tc>
        <w:tc>
          <w:tcPr>
            <w:tcW w:w="1412" w:type="dxa"/>
          </w:tcPr>
          <w:p>
            <w:pPr>
              <w:pStyle w:val="TableParagraph"/>
              <w:spacing w:line="230" w:lineRule="exact" w:before="16"/>
              <w:ind w:left="155" w:right="171"/>
              <w:jc w:val="center"/>
              <w:rPr>
                <w:sz w:val="20"/>
              </w:rPr>
            </w:pPr>
            <w:r>
              <w:rPr>
                <w:sz w:val="20"/>
              </w:rPr>
              <w:t>C-A</w:t>
            </w:r>
          </w:p>
        </w:tc>
        <w:tc>
          <w:tcPr>
            <w:tcW w:w="1318" w:type="dxa"/>
            <w:gridSpan w:val="2"/>
          </w:tcPr>
          <w:p>
            <w:pPr>
              <w:pStyle w:val="TableParagraph"/>
              <w:spacing w:line="230" w:lineRule="exact" w:before="16"/>
              <w:ind w:left="464" w:right="458"/>
              <w:jc w:val="center"/>
              <w:rPr>
                <w:sz w:val="20"/>
              </w:rPr>
            </w:pPr>
            <w:r>
              <w:rPr>
                <w:sz w:val="20"/>
              </w:rPr>
              <w:t>C-B</w:t>
            </w:r>
          </w:p>
        </w:tc>
        <w:tc>
          <w:tcPr>
            <w:tcW w:w="212" w:type="dxa"/>
            <w:vMerge/>
            <w:tcBorders>
              <w:top w:val="nil"/>
              <w:bottom w:val="single" w:sz="6" w:space="0" w:color="000000"/>
            </w:tcBorders>
          </w:tcPr>
          <w:p>
            <w:pPr>
              <w:rPr>
                <w:sz w:val="2"/>
                <w:szCs w:val="2"/>
              </w:rPr>
            </w:pPr>
          </w:p>
        </w:tc>
      </w:tr>
      <w:tr>
        <w:trPr>
          <w:trHeight w:val="293" w:hRule="atLeast"/>
        </w:trPr>
        <w:tc>
          <w:tcPr>
            <w:tcW w:w="1272" w:type="dxa"/>
            <w:vMerge/>
            <w:tcBorders>
              <w:top w:val="nil"/>
              <w:bottom w:val="single" w:sz="6" w:space="0" w:color="000000"/>
              <w:right w:val="single" w:sz="6" w:space="0" w:color="000000"/>
            </w:tcBorders>
          </w:tcPr>
          <w:p>
            <w:pPr>
              <w:rPr>
                <w:sz w:val="2"/>
                <w:szCs w:val="2"/>
              </w:rPr>
            </w:pPr>
          </w:p>
        </w:tc>
        <w:tc>
          <w:tcPr>
            <w:tcW w:w="1298" w:type="dxa"/>
            <w:vMerge/>
            <w:tcBorders>
              <w:top w:val="nil"/>
              <w:left w:val="single" w:sz="6" w:space="0" w:color="000000"/>
              <w:bottom w:val="single" w:sz="6" w:space="0" w:color="000000"/>
              <w:right w:val="single" w:sz="6" w:space="0" w:color="000000"/>
            </w:tcBorders>
          </w:tcPr>
          <w:p>
            <w:pPr>
              <w:rPr>
                <w:sz w:val="2"/>
                <w:szCs w:val="2"/>
              </w:rPr>
            </w:pPr>
          </w:p>
        </w:tc>
        <w:tc>
          <w:tcPr>
            <w:tcW w:w="883" w:type="dxa"/>
            <w:vMerge/>
            <w:tcBorders>
              <w:top w:val="nil"/>
              <w:left w:val="single" w:sz="6" w:space="0" w:color="000000"/>
              <w:bottom w:val="single" w:sz="6" w:space="0" w:color="000000"/>
              <w:right w:val="single" w:sz="6" w:space="0" w:color="000000"/>
            </w:tcBorders>
          </w:tcPr>
          <w:p>
            <w:pPr>
              <w:rPr>
                <w:sz w:val="2"/>
                <w:szCs w:val="2"/>
              </w:rPr>
            </w:pPr>
          </w:p>
        </w:tc>
        <w:tc>
          <w:tcPr>
            <w:tcW w:w="116" w:type="dxa"/>
            <w:vMerge/>
            <w:tcBorders>
              <w:top w:val="nil"/>
              <w:left w:val="single" w:sz="6" w:space="0" w:color="000000"/>
              <w:bottom w:val="single" w:sz="6" w:space="0" w:color="000000"/>
            </w:tcBorders>
          </w:tcPr>
          <w:p>
            <w:pPr>
              <w:rPr>
                <w:sz w:val="2"/>
                <w:szCs w:val="2"/>
              </w:rPr>
            </w:pPr>
          </w:p>
        </w:tc>
        <w:tc>
          <w:tcPr>
            <w:tcW w:w="807" w:type="dxa"/>
            <w:tcBorders>
              <w:bottom w:val="thickThinMediumGap" w:sz="3" w:space="0" w:color="000000"/>
            </w:tcBorders>
          </w:tcPr>
          <w:p>
            <w:pPr>
              <w:pStyle w:val="TableParagraph"/>
              <w:spacing w:before="16"/>
              <w:ind w:left="42"/>
              <w:jc w:val="center"/>
              <w:rPr>
                <w:sz w:val="20"/>
              </w:rPr>
            </w:pPr>
            <w:r>
              <w:rPr>
                <w:w w:val="99"/>
                <w:sz w:val="20"/>
              </w:rPr>
              <w:t>1</w:t>
            </w:r>
          </w:p>
        </w:tc>
        <w:tc>
          <w:tcPr>
            <w:tcW w:w="810" w:type="dxa"/>
            <w:gridSpan w:val="2"/>
            <w:tcBorders>
              <w:bottom w:val="thickThinMediumGap" w:sz="3" w:space="0" w:color="000000"/>
            </w:tcBorders>
          </w:tcPr>
          <w:p>
            <w:pPr>
              <w:pStyle w:val="TableParagraph"/>
              <w:spacing w:before="16"/>
              <w:ind w:left="9"/>
              <w:jc w:val="center"/>
              <w:rPr>
                <w:sz w:val="20"/>
              </w:rPr>
            </w:pPr>
            <w:r>
              <w:rPr>
                <w:w w:val="99"/>
                <w:sz w:val="20"/>
              </w:rPr>
              <w:t>1</w:t>
            </w:r>
          </w:p>
        </w:tc>
        <w:tc>
          <w:tcPr>
            <w:tcW w:w="3960" w:type="dxa"/>
            <w:gridSpan w:val="4"/>
            <w:tcBorders>
              <w:bottom w:val="thickThinMediumGap" w:sz="3" w:space="0" w:color="000000"/>
            </w:tcBorders>
          </w:tcPr>
          <w:p>
            <w:pPr>
              <w:pStyle w:val="TableParagraph"/>
              <w:spacing w:before="16"/>
              <w:ind w:left="1435" w:right="1430"/>
              <w:jc w:val="center"/>
              <w:rPr>
                <w:sz w:val="20"/>
              </w:rPr>
            </w:pPr>
            <w:r>
              <w:rPr>
                <w:sz w:val="20"/>
              </w:rPr>
              <w:t>Not allowed</w:t>
            </w:r>
          </w:p>
        </w:tc>
        <w:tc>
          <w:tcPr>
            <w:tcW w:w="212" w:type="dxa"/>
            <w:vMerge/>
            <w:tcBorders>
              <w:top w:val="nil"/>
              <w:bottom w:val="single" w:sz="6" w:space="0" w:color="000000"/>
            </w:tcBorders>
          </w:tcPr>
          <w:p>
            <w:pPr>
              <w:rPr>
                <w:sz w:val="2"/>
                <w:szCs w:val="2"/>
              </w:rPr>
            </w:pPr>
          </w:p>
        </w:tc>
      </w:tr>
      <w:tr>
        <w:trPr>
          <w:trHeight w:val="958" w:hRule="atLeast"/>
        </w:trPr>
        <w:tc>
          <w:tcPr>
            <w:tcW w:w="1272" w:type="dxa"/>
            <w:tcBorders>
              <w:top w:val="single" w:sz="6" w:space="0" w:color="000000"/>
              <w:bottom w:val="single" w:sz="6" w:space="0" w:color="000000"/>
              <w:right w:val="single" w:sz="6" w:space="0" w:color="000000"/>
            </w:tcBorders>
          </w:tcPr>
          <w:p>
            <w:pPr>
              <w:pStyle w:val="TableParagraph"/>
              <w:spacing w:before="6"/>
              <w:rPr>
                <w:b/>
                <w:sz w:val="31"/>
              </w:rPr>
            </w:pPr>
          </w:p>
          <w:p>
            <w:pPr>
              <w:pStyle w:val="TableParagraph"/>
              <w:ind w:left="12"/>
              <w:jc w:val="center"/>
              <w:rPr>
                <w:sz w:val="20"/>
              </w:rPr>
            </w:pPr>
            <w:r>
              <w:rPr>
                <w:w w:val="99"/>
                <w:sz w:val="20"/>
              </w:rPr>
              <w:t>5</w:t>
            </w:r>
          </w:p>
        </w:tc>
        <w:tc>
          <w:tcPr>
            <w:tcW w:w="1298" w:type="dxa"/>
            <w:tcBorders>
              <w:top w:val="single" w:sz="6" w:space="0" w:color="000000"/>
              <w:left w:val="single" w:sz="6" w:space="0" w:color="000000"/>
              <w:bottom w:val="single" w:sz="6" w:space="0" w:color="000000"/>
              <w:right w:val="single" w:sz="6" w:space="0" w:color="000000"/>
            </w:tcBorders>
          </w:tcPr>
          <w:p>
            <w:pPr>
              <w:pStyle w:val="TableParagraph"/>
              <w:spacing w:before="2"/>
              <w:rPr>
                <w:b/>
                <w:sz w:val="31"/>
              </w:rPr>
            </w:pPr>
          </w:p>
          <w:p>
            <w:pPr>
              <w:pStyle w:val="TableParagraph"/>
              <w:ind w:left="48" w:right="37"/>
              <w:jc w:val="center"/>
              <w:rPr>
                <w:rFonts w:ascii="Times New Roman"/>
                <w:i/>
                <w:sz w:val="20"/>
              </w:rPr>
            </w:pPr>
            <w:r>
              <w:rPr>
                <w:rFonts w:ascii="Times New Roman"/>
                <w:i/>
                <w:sz w:val="20"/>
              </w:rPr>
              <w:t>EXT_PULSE</w:t>
            </w:r>
          </w:p>
        </w:tc>
        <w:tc>
          <w:tcPr>
            <w:tcW w:w="883" w:type="dxa"/>
            <w:tcBorders>
              <w:top w:val="single" w:sz="6" w:space="0" w:color="000000"/>
              <w:left w:val="single" w:sz="6" w:space="0" w:color="000000"/>
              <w:bottom w:val="single" w:sz="6" w:space="0" w:color="000000"/>
              <w:right w:val="single" w:sz="6" w:space="0" w:color="000000"/>
            </w:tcBorders>
          </w:tcPr>
          <w:p>
            <w:pPr>
              <w:pStyle w:val="TableParagraph"/>
              <w:spacing w:before="6"/>
              <w:rPr>
                <w:b/>
                <w:sz w:val="31"/>
              </w:rPr>
            </w:pPr>
          </w:p>
          <w:p>
            <w:pPr>
              <w:pStyle w:val="TableParagraph"/>
              <w:ind w:left="10"/>
              <w:jc w:val="center"/>
              <w:rPr>
                <w:sz w:val="20"/>
              </w:rPr>
            </w:pPr>
            <w:r>
              <w:rPr>
                <w:w w:val="99"/>
                <w:sz w:val="20"/>
              </w:rPr>
              <w:t>1</w:t>
            </w:r>
          </w:p>
        </w:tc>
        <w:tc>
          <w:tcPr>
            <w:tcW w:w="5905" w:type="dxa"/>
            <w:gridSpan w:val="9"/>
            <w:tcBorders>
              <w:top w:val="nil"/>
              <w:left w:val="single" w:sz="6" w:space="0" w:color="000000"/>
              <w:bottom w:val="single" w:sz="6" w:space="0" w:color="000000"/>
            </w:tcBorders>
          </w:tcPr>
          <w:p>
            <w:pPr>
              <w:pStyle w:val="TableParagraph"/>
              <w:spacing w:line="235" w:lineRule="auto" w:before="18"/>
              <w:ind w:left="105"/>
              <w:rPr>
                <w:rFonts w:ascii="Times New Roman"/>
                <w:i/>
                <w:sz w:val="20"/>
              </w:rPr>
            </w:pPr>
            <w:r>
              <w:rPr>
                <w:sz w:val="20"/>
              </w:rPr>
              <w:t>When zero, causes the pulse generators to respond to internal </w:t>
            </w:r>
            <w:r>
              <w:rPr>
                <w:spacing w:val="-4"/>
                <w:sz w:val="20"/>
              </w:rPr>
              <w:t>data. </w:t>
            </w:r>
            <w:r>
              <w:rPr>
                <w:spacing w:val="-3"/>
                <w:sz w:val="20"/>
              </w:rPr>
              <w:t>WPULSE </w:t>
            </w:r>
            <w:r>
              <w:rPr>
                <w:sz w:val="20"/>
              </w:rPr>
              <w:t>= </w:t>
            </w:r>
            <w:r>
              <w:rPr>
                <w:rFonts w:ascii="Times New Roman"/>
                <w:i/>
                <w:spacing w:val="-4"/>
                <w:sz w:val="20"/>
              </w:rPr>
              <w:t>WSUM_X </w:t>
            </w:r>
            <w:r>
              <w:rPr>
                <w:spacing w:val="-3"/>
                <w:sz w:val="20"/>
              </w:rPr>
              <w:t>(</w:t>
            </w:r>
            <w:r>
              <w:rPr>
                <w:rFonts w:ascii="Times New Roman"/>
                <w:i/>
                <w:spacing w:val="-3"/>
                <w:sz w:val="20"/>
              </w:rPr>
              <w:t>CE RAM </w:t>
            </w:r>
            <w:r>
              <w:rPr>
                <w:rFonts w:ascii="Times New Roman"/>
                <w:i/>
                <w:spacing w:val="-4"/>
                <w:sz w:val="20"/>
              </w:rPr>
              <w:t>0x84)</w:t>
            </w:r>
            <w:r>
              <w:rPr>
                <w:spacing w:val="-4"/>
                <w:sz w:val="20"/>
              </w:rPr>
              <w:t>, VPULSE </w:t>
            </w:r>
            <w:r>
              <w:rPr>
                <w:sz w:val="20"/>
              </w:rPr>
              <w:t>=</w:t>
            </w:r>
            <w:r>
              <w:rPr>
                <w:spacing w:val="3"/>
                <w:sz w:val="20"/>
              </w:rPr>
              <w:t> </w:t>
            </w:r>
            <w:r>
              <w:rPr>
                <w:rFonts w:ascii="Times New Roman"/>
                <w:i/>
                <w:spacing w:val="-4"/>
                <w:sz w:val="20"/>
              </w:rPr>
              <w:t>VARSUM_X</w:t>
            </w:r>
          </w:p>
          <w:p>
            <w:pPr>
              <w:pStyle w:val="TableParagraph"/>
              <w:spacing w:before="3"/>
              <w:ind w:left="105"/>
              <w:rPr>
                <w:rFonts w:ascii="Times New Roman"/>
                <w:i/>
                <w:sz w:val="20"/>
              </w:rPr>
            </w:pPr>
            <w:r>
              <w:rPr>
                <w:rFonts w:ascii="Times New Roman"/>
                <w:i/>
                <w:spacing w:val="-3"/>
                <w:sz w:val="20"/>
              </w:rPr>
              <w:t>(CE </w:t>
            </w:r>
            <w:r>
              <w:rPr>
                <w:rFonts w:ascii="Times New Roman"/>
                <w:i/>
                <w:sz w:val="20"/>
              </w:rPr>
              <w:t>RAM </w:t>
            </w:r>
            <w:r>
              <w:rPr>
                <w:rFonts w:ascii="Times New Roman"/>
                <w:i/>
                <w:spacing w:val="-3"/>
                <w:sz w:val="20"/>
              </w:rPr>
              <w:t>0x88.) </w:t>
            </w:r>
            <w:r>
              <w:rPr>
                <w:sz w:val="20"/>
              </w:rPr>
              <w:t>Otherwise, the generators respond to values the MPU places in </w:t>
            </w:r>
            <w:r>
              <w:rPr>
                <w:rFonts w:ascii="Times New Roman"/>
                <w:i/>
                <w:sz w:val="20"/>
              </w:rPr>
              <w:t>APULSEW </w:t>
            </w:r>
            <w:r>
              <w:rPr>
                <w:sz w:val="20"/>
              </w:rPr>
              <w:t>and </w:t>
            </w:r>
            <w:r>
              <w:rPr>
                <w:rFonts w:ascii="Times New Roman"/>
                <w:i/>
                <w:sz w:val="20"/>
              </w:rPr>
              <w:t>APULSER (CE RAM 0x45 and</w:t>
            </w:r>
            <w:r>
              <w:rPr>
                <w:rFonts w:ascii="Times New Roman"/>
                <w:i/>
                <w:spacing w:val="-6"/>
                <w:sz w:val="20"/>
              </w:rPr>
              <w:t> </w:t>
            </w:r>
            <w:r>
              <w:rPr>
                <w:rFonts w:ascii="Times New Roman"/>
                <w:i/>
                <w:sz w:val="20"/>
              </w:rPr>
              <w:t>0x49)</w:t>
            </w:r>
          </w:p>
        </w:tc>
      </w:tr>
      <w:tr>
        <w:trPr>
          <w:trHeight w:val="270" w:hRule="atLeast"/>
        </w:trPr>
        <w:tc>
          <w:tcPr>
            <w:tcW w:w="1272" w:type="dxa"/>
            <w:tcBorders>
              <w:top w:val="single" w:sz="6" w:space="0" w:color="000000"/>
              <w:bottom w:val="single" w:sz="6" w:space="0" w:color="000000"/>
              <w:right w:val="single" w:sz="6" w:space="0" w:color="000000"/>
            </w:tcBorders>
          </w:tcPr>
          <w:p>
            <w:pPr>
              <w:pStyle w:val="TableParagraph"/>
              <w:spacing w:line="230" w:lineRule="exact" w:before="21"/>
              <w:ind w:left="76" w:right="67"/>
              <w:jc w:val="center"/>
              <w:rPr>
                <w:sz w:val="20"/>
              </w:rPr>
            </w:pPr>
            <w:r>
              <w:rPr>
                <w:sz w:val="20"/>
              </w:rPr>
              <w:t>4:2</w:t>
            </w:r>
          </w:p>
        </w:tc>
        <w:tc>
          <w:tcPr>
            <w:tcW w:w="1298" w:type="dxa"/>
            <w:tcBorders>
              <w:top w:val="single" w:sz="6" w:space="0" w:color="000000"/>
              <w:left w:val="single" w:sz="6" w:space="0" w:color="000000"/>
              <w:bottom w:val="single" w:sz="6" w:space="0" w:color="000000"/>
              <w:right w:val="single" w:sz="6" w:space="0" w:color="000000"/>
            </w:tcBorders>
          </w:tcPr>
          <w:p>
            <w:pPr>
              <w:pStyle w:val="TableParagraph"/>
              <w:spacing w:before="17"/>
              <w:ind w:left="46" w:right="37"/>
              <w:jc w:val="center"/>
              <w:rPr>
                <w:rFonts w:ascii="Times New Roman"/>
                <w:i/>
                <w:sz w:val="20"/>
              </w:rPr>
            </w:pPr>
            <w:r>
              <w:rPr>
                <w:rFonts w:ascii="Times New Roman"/>
                <w:i/>
                <w:sz w:val="20"/>
              </w:rPr>
              <w:t>Reserved</w:t>
            </w:r>
          </w:p>
        </w:tc>
        <w:tc>
          <w:tcPr>
            <w:tcW w:w="883"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10"/>
              <w:jc w:val="center"/>
              <w:rPr>
                <w:sz w:val="20"/>
              </w:rPr>
            </w:pPr>
            <w:r>
              <w:rPr>
                <w:w w:val="99"/>
                <w:sz w:val="20"/>
              </w:rPr>
              <w:t>0</w:t>
            </w:r>
          </w:p>
        </w:tc>
        <w:tc>
          <w:tcPr>
            <w:tcW w:w="5905" w:type="dxa"/>
            <w:gridSpan w:val="9"/>
            <w:tcBorders>
              <w:top w:val="single" w:sz="6" w:space="0" w:color="000000"/>
              <w:left w:val="single" w:sz="6" w:space="0" w:color="000000"/>
              <w:bottom w:val="single" w:sz="6" w:space="0" w:color="000000"/>
            </w:tcBorders>
          </w:tcPr>
          <w:p>
            <w:pPr>
              <w:pStyle w:val="TableParagraph"/>
              <w:spacing w:line="230" w:lineRule="exact" w:before="21"/>
              <w:ind w:left="105"/>
              <w:rPr>
                <w:sz w:val="20"/>
              </w:rPr>
            </w:pPr>
            <w:r>
              <w:rPr>
                <w:sz w:val="20"/>
              </w:rPr>
              <w:t>Reserved.</w:t>
            </w:r>
          </w:p>
        </w:tc>
      </w:tr>
      <w:tr>
        <w:trPr>
          <w:trHeight w:val="1203" w:hRule="atLeast"/>
        </w:trPr>
        <w:tc>
          <w:tcPr>
            <w:tcW w:w="1272" w:type="dxa"/>
            <w:tcBorders>
              <w:top w:val="single" w:sz="6" w:space="0" w:color="000000"/>
              <w:bottom w:val="single" w:sz="6" w:space="0" w:color="000000"/>
              <w:right w:val="single" w:sz="6" w:space="0" w:color="000000"/>
            </w:tcBorders>
          </w:tcPr>
          <w:p>
            <w:pPr>
              <w:pStyle w:val="TableParagraph"/>
              <w:rPr>
                <w:b/>
                <w:sz w:val="22"/>
              </w:rPr>
            </w:pPr>
          </w:p>
          <w:p>
            <w:pPr>
              <w:pStyle w:val="TableParagraph"/>
              <w:rPr>
                <w:b/>
                <w:sz w:val="19"/>
              </w:rPr>
            </w:pPr>
          </w:p>
          <w:p>
            <w:pPr>
              <w:pStyle w:val="TableParagraph"/>
              <w:ind w:left="12"/>
              <w:jc w:val="center"/>
              <w:rPr>
                <w:sz w:val="20"/>
              </w:rPr>
            </w:pPr>
            <w:r>
              <w:rPr>
                <w:w w:val="99"/>
                <w:sz w:val="20"/>
              </w:rPr>
              <w:t>1</w:t>
            </w:r>
          </w:p>
        </w:tc>
        <w:tc>
          <w:tcPr>
            <w:tcW w:w="129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8"/>
              <w:rPr>
                <w:b/>
                <w:sz w:val="18"/>
              </w:rPr>
            </w:pPr>
          </w:p>
          <w:p>
            <w:pPr>
              <w:pStyle w:val="TableParagraph"/>
              <w:ind w:left="49" w:right="37"/>
              <w:jc w:val="center"/>
              <w:rPr>
                <w:rFonts w:ascii="Times New Roman"/>
                <w:i/>
                <w:sz w:val="20"/>
              </w:rPr>
            </w:pPr>
            <w:r>
              <w:rPr>
                <w:rFonts w:ascii="Times New Roman"/>
                <w:i/>
                <w:sz w:val="20"/>
              </w:rPr>
              <w:t>PULSE_FAST</w:t>
            </w:r>
          </w:p>
        </w:tc>
        <w:tc>
          <w:tcPr>
            <w:tcW w:w="883"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rPr>
                <w:b/>
                <w:sz w:val="19"/>
              </w:rPr>
            </w:pPr>
          </w:p>
          <w:p>
            <w:pPr>
              <w:pStyle w:val="TableParagraph"/>
              <w:ind w:left="10"/>
              <w:jc w:val="center"/>
              <w:rPr>
                <w:sz w:val="20"/>
              </w:rPr>
            </w:pPr>
            <w:r>
              <w:rPr>
                <w:w w:val="99"/>
                <w:sz w:val="20"/>
              </w:rPr>
              <w:t>0</w:t>
            </w:r>
          </w:p>
        </w:tc>
        <w:tc>
          <w:tcPr>
            <w:tcW w:w="5905" w:type="dxa"/>
            <w:gridSpan w:val="9"/>
            <w:tcBorders>
              <w:top w:val="single" w:sz="6" w:space="0" w:color="000000"/>
              <w:left w:val="single" w:sz="6" w:space="0" w:color="000000"/>
              <w:bottom w:val="nil"/>
            </w:tcBorders>
          </w:tcPr>
          <w:p>
            <w:pPr>
              <w:pStyle w:val="TableParagraph"/>
              <w:spacing w:line="242" w:lineRule="auto" w:before="13"/>
              <w:ind w:left="105" w:right="164"/>
              <w:rPr>
                <w:sz w:val="20"/>
              </w:rPr>
            </w:pPr>
            <w:r>
              <w:rPr>
                <w:sz w:val="20"/>
              </w:rPr>
              <w:t>When </w:t>
            </w:r>
            <w:r>
              <w:rPr>
                <w:rFonts w:ascii="Times New Roman"/>
                <w:i/>
                <w:sz w:val="20"/>
              </w:rPr>
              <w:t>PULSE_FAST </w:t>
            </w:r>
            <w:r>
              <w:rPr>
                <w:sz w:val="20"/>
              </w:rPr>
              <w:t>= 1, the pulse generator input is increased 16x. When </w:t>
            </w:r>
            <w:r>
              <w:rPr>
                <w:rFonts w:ascii="Times New Roman"/>
                <w:i/>
                <w:sz w:val="20"/>
              </w:rPr>
              <w:t>PULSE_SLOW </w:t>
            </w:r>
            <w:r>
              <w:rPr>
                <w:sz w:val="20"/>
              </w:rPr>
              <w:t>= 1, the pulse generator input is reduced by a factor of 64. These two parameters control the pulse gain factor X (see table below). Allowed values are either 1 or 0. Default is 0 for both (X = 6).</w:t>
            </w:r>
          </w:p>
        </w:tc>
      </w:tr>
      <w:tr>
        <w:trPr>
          <w:trHeight w:val="315" w:hRule="atLeast"/>
        </w:trPr>
        <w:tc>
          <w:tcPr>
            <w:tcW w:w="1272" w:type="dxa"/>
            <w:vMerge w:val="restart"/>
            <w:tcBorders>
              <w:top w:val="single" w:sz="6" w:space="0" w:color="000000"/>
              <w:right w:val="single" w:sz="6" w:space="0" w:color="000000"/>
            </w:tcBorders>
          </w:tcPr>
          <w:p>
            <w:pPr>
              <w:pStyle w:val="TableParagraph"/>
              <w:rPr>
                <w:b/>
                <w:sz w:val="22"/>
              </w:rPr>
            </w:pPr>
          </w:p>
          <w:p>
            <w:pPr>
              <w:pStyle w:val="TableParagraph"/>
              <w:spacing w:before="4"/>
              <w:rPr>
                <w:b/>
                <w:sz w:val="30"/>
              </w:rPr>
            </w:pPr>
          </w:p>
          <w:p>
            <w:pPr>
              <w:pStyle w:val="TableParagraph"/>
              <w:spacing w:before="1"/>
              <w:ind w:left="12"/>
              <w:jc w:val="center"/>
              <w:rPr>
                <w:sz w:val="20"/>
              </w:rPr>
            </w:pPr>
            <w:r>
              <w:rPr>
                <w:w w:val="99"/>
                <w:sz w:val="20"/>
              </w:rPr>
              <w:t>0</w:t>
            </w:r>
          </w:p>
        </w:tc>
        <w:tc>
          <w:tcPr>
            <w:tcW w:w="1298" w:type="dxa"/>
            <w:vMerge w:val="restart"/>
            <w:tcBorders>
              <w:top w:val="single" w:sz="6" w:space="0" w:color="000000"/>
              <w:left w:val="single" w:sz="6" w:space="0" w:color="000000"/>
              <w:right w:val="single" w:sz="6" w:space="0" w:color="000000"/>
            </w:tcBorders>
          </w:tcPr>
          <w:p>
            <w:pPr>
              <w:pStyle w:val="TableParagraph"/>
              <w:rPr>
                <w:b/>
                <w:sz w:val="22"/>
              </w:rPr>
            </w:pPr>
          </w:p>
          <w:p>
            <w:pPr>
              <w:pStyle w:val="TableParagraph"/>
              <w:spacing w:before="1"/>
              <w:rPr>
                <w:b/>
                <w:sz w:val="30"/>
              </w:rPr>
            </w:pPr>
          </w:p>
          <w:p>
            <w:pPr>
              <w:pStyle w:val="TableParagraph"/>
              <w:ind w:left="54"/>
              <w:rPr>
                <w:rFonts w:ascii="Times New Roman"/>
                <w:i/>
                <w:sz w:val="20"/>
              </w:rPr>
            </w:pPr>
            <w:r>
              <w:rPr>
                <w:rFonts w:ascii="Times New Roman"/>
                <w:i/>
                <w:sz w:val="20"/>
              </w:rPr>
              <w:t>PULSE_SLOW</w:t>
            </w:r>
          </w:p>
        </w:tc>
        <w:tc>
          <w:tcPr>
            <w:tcW w:w="883" w:type="dxa"/>
            <w:vMerge w:val="restart"/>
            <w:tcBorders>
              <w:top w:val="single" w:sz="6" w:space="0" w:color="000000"/>
              <w:left w:val="single" w:sz="6" w:space="0" w:color="000000"/>
              <w:right w:val="single" w:sz="6" w:space="0" w:color="000000"/>
            </w:tcBorders>
          </w:tcPr>
          <w:p>
            <w:pPr>
              <w:pStyle w:val="TableParagraph"/>
              <w:rPr>
                <w:b/>
                <w:sz w:val="22"/>
              </w:rPr>
            </w:pPr>
          </w:p>
          <w:p>
            <w:pPr>
              <w:pStyle w:val="TableParagraph"/>
              <w:spacing w:before="4"/>
              <w:rPr>
                <w:b/>
                <w:sz w:val="30"/>
              </w:rPr>
            </w:pPr>
          </w:p>
          <w:p>
            <w:pPr>
              <w:pStyle w:val="TableParagraph"/>
              <w:spacing w:before="1"/>
              <w:ind w:left="10"/>
              <w:jc w:val="center"/>
              <w:rPr>
                <w:sz w:val="20"/>
              </w:rPr>
            </w:pPr>
            <w:r>
              <w:rPr>
                <w:w w:val="99"/>
                <w:sz w:val="20"/>
              </w:rPr>
              <w:t>0</w:t>
            </w:r>
          </w:p>
        </w:tc>
        <w:tc>
          <w:tcPr>
            <w:tcW w:w="116" w:type="dxa"/>
            <w:vMerge w:val="restart"/>
            <w:tcBorders>
              <w:top w:val="nil"/>
              <w:left w:val="single" w:sz="6" w:space="0" w:color="000000"/>
            </w:tcBorders>
          </w:tcPr>
          <w:p>
            <w:pPr>
              <w:pStyle w:val="TableParagraph"/>
              <w:rPr>
                <w:rFonts w:ascii="Times New Roman"/>
                <w:sz w:val="18"/>
              </w:rPr>
            </w:pPr>
          </w:p>
        </w:tc>
        <w:tc>
          <w:tcPr>
            <w:tcW w:w="1435" w:type="dxa"/>
            <w:gridSpan w:val="2"/>
          </w:tcPr>
          <w:p>
            <w:pPr>
              <w:pStyle w:val="TableParagraph"/>
              <w:spacing w:before="42"/>
              <w:ind w:left="114"/>
              <w:rPr>
                <w:rFonts w:ascii="Times New Roman"/>
                <w:b/>
                <w:i/>
                <w:sz w:val="20"/>
              </w:rPr>
            </w:pPr>
            <w:r>
              <w:rPr>
                <w:rFonts w:ascii="Times New Roman"/>
                <w:b/>
                <w:i/>
                <w:sz w:val="20"/>
              </w:rPr>
              <w:t>PULSE_FAST</w:t>
            </w:r>
          </w:p>
        </w:tc>
        <w:tc>
          <w:tcPr>
            <w:tcW w:w="1412" w:type="dxa"/>
            <w:gridSpan w:val="2"/>
          </w:tcPr>
          <w:p>
            <w:pPr>
              <w:pStyle w:val="TableParagraph"/>
              <w:spacing w:before="42"/>
              <w:ind w:left="91"/>
              <w:rPr>
                <w:rFonts w:ascii="Times New Roman"/>
                <w:b/>
                <w:i/>
                <w:sz w:val="20"/>
              </w:rPr>
            </w:pPr>
            <w:r>
              <w:rPr>
                <w:rFonts w:ascii="Times New Roman"/>
                <w:b/>
                <w:i/>
                <w:sz w:val="20"/>
              </w:rPr>
              <w:t>PULSE_SLOW</w:t>
            </w:r>
          </w:p>
        </w:tc>
        <w:tc>
          <w:tcPr>
            <w:tcW w:w="2048" w:type="dxa"/>
            <w:gridSpan w:val="2"/>
          </w:tcPr>
          <w:p>
            <w:pPr>
              <w:pStyle w:val="TableParagraph"/>
              <w:spacing w:before="42"/>
              <w:ind w:left="42"/>
              <w:jc w:val="center"/>
              <w:rPr>
                <w:rFonts w:ascii="Times New Roman"/>
                <w:b/>
                <w:i/>
                <w:sz w:val="20"/>
              </w:rPr>
            </w:pPr>
            <w:r>
              <w:rPr>
                <w:rFonts w:ascii="Times New Roman"/>
                <w:b/>
                <w:i/>
                <w:w w:val="99"/>
                <w:sz w:val="20"/>
              </w:rPr>
              <w:t>X</w:t>
            </w:r>
          </w:p>
        </w:tc>
        <w:tc>
          <w:tcPr>
            <w:tcW w:w="894" w:type="dxa"/>
            <w:gridSpan w:val="2"/>
            <w:vMerge w:val="restart"/>
            <w:tcBorders>
              <w:top w:val="nil"/>
            </w:tcBorders>
          </w:tcPr>
          <w:p>
            <w:pPr>
              <w:pStyle w:val="TableParagraph"/>
              <w:rPr>
                <w:rFonts w:ascii="Times New Roman"/>
                <w:sz w:val="18"/>
              </w:rPr>
            </w:pPr>
          </w:p>
        </w:tc>
      </w:tr>
      <w:tr>
        <w:trPr>
          <w:trHeight w:val="268" w:hRule="atLeast"/>
        </w:trPr>
        <w:tc>
          <w:tcPr>
            <w:tcW w:w="1272" w:type="dxa"/>
            <w:vMerge/>
            <w:tcBorders>
              <w:top w:val="nil"/>
              <w:right w:val="single" w:sz="6" w:space="0" w:color="000000"/>
            </w:tcBorders>
          </w:tcPr>
          <w:p>
            <w:pPr>
              <w:rPr>
                <w:sz w:val="2"/>
                <w:szCs w:val="2"/>
              </w:rPr>
            </w:pPr>
          </w:p>
        </w:tc>
        <w:tc>
          <w:tcPr>
            <w:tcW w:w="1298" w:type="dxa"/>
            <w:vMerge/>
            <w:tcBorders>
              <w:top w:val="nil"/>
              <w:left w:val="single" w:sz="6" w:space="0" w:color="000000"/>
              <w:right w:val="single" w:sz="6" w:space="0" w:color="000000"/>
            </w:tcBorders>
          </w:tcPr>
          <w:p>
            <w:pPr>
              <w:rPr>
                <w:sz w:val="2"/>
                <w:szCs w:val="2"/>
              </w:rPr>
            </w:pPr>
          </w:p>
        </w:tc>
        <w:tc>
          <w:tcPr>
            <w:tcW w:w="883" w:type="dxa"/>
            <w:vMerge/>
            <w:tcBorders>
              <w:top w:val="nil"/>
              <w:left w:val="single" w:sz="6" w:space="0" w:color="000000"/>
              <w:right w:val="single" w:sz="6" w:space="0" w:color="000000"/>
            </w:tcBorders>
          </w:tcPr>
          <w:p>
            <w:pPr>
              <w:rPr>
                <w:sz w:val="2"/>
                <w:szCs w:val="2"/>
              </w:rPr>
            </w:pPr>
          </w:p>
        </w:tc>
        <w:tc>
          <w:tcPr>
            <w:tcW w:w="116" w:type="dxa"/>
            <w:vMerge/>
            <w:tcBorders>
              <w:top w:val="nil"/>
              <w:left w:val="single" w:sz="6" w:space="0" w:color="000000"/>
            </w:tcBorders>
          </w:tcPr>
          <w:p>
            <w:pPr>
              <w:rPr>
                <w:sz w:val="2"/>
                <w:szCs w:val="2"/>
              </w:rPr>
            </w:pPr>
          </w:p>
        </w:tc>
        <w:tc>
          <w:tcPr>
            <w:tcW w:w="1435" w:type="dxa"/>
            <w:gridSpan w:val="2"/>
          </w:tcPr>
          <w:p>
            <w:pPr>
              <w:pStyle w:val="TableParagraph"/>
              <w:spacing w:before="18"/>
              <w:ind w:left="38"/>
              <w:jc w:val="center"/>
              <w:rPr>
                <w:sz w:val="20"/>
              </w:rPr>
            </w:pPr>
            <w:r>
              <w:rPr>
                <w:w w:val="99"/>
                <w:sz w:val="20"/>
              </w:rPr>
              <w:t>0</w:t>
            </w:r>
          </w:p>
        </w:tc>
        <w:tc>
          <w:tcPr>
            <w:tcW w:w="1412" w:type="dxa"/>
            <w:gridSpan w:val="2"/>
          </w:tcPr>
          <w:p>
            <w:pPr>
              <w:pStyle w:val="TableParagraph"/>
              <w:spacing w:before="18"/>
              <w:ind w:left="42"/>
              <w:jc w:val="center"/>
              <w:rPr>
                <w:sz w:val="20"/>
              </w:rPr>
            </w:pPr>
            <w:r>
              <w:rPr>
                <w:w w:val="99"/>
                <w:sz w:val="20"/>
              </w:rPr>
              <w:t>0</w:t>
            </w:r>
          </w:p>
        </w:tc>
        <w:tc>
          <w:tcPr>
            <w:tcW w:w="2048" w:type="dxa"/>
            <w:gridSpan w:val="2"/>
          </w:tcPr>
          <w:p>
            <w:pPr>
              <w:pStyle w:val="TableParagraph"/>
              <w:spacing w:before="18"/>
              <w:ind w:left="546"/>
              <w:rPr>
                <w:sz w:val="20"/>
              </w:rPr>
            </w:pPr>
            <w:r>
              <w:rPr>
                <w:sz w:val="20"/>
              </w:rPr>
              <w:t>1.5 * 2</w:t>
            </w:r>
            <w:r>
              <w:rPr>
                <w:sz w:val="20"/>
                <w:vertAlign w:val="superscript"/>
              </w:rPr>
              <w:t>2</w:t>
            </w:r>
            <w:r>
              <w:rPr>
                <w:sz w:val="20"/>
                <w:vertAlign w:val="baseline"/>
              </w:rPr>
              <w:t> = 6</w:t>
            </w:r>
          </w:p>
        </w:tc>
        <w:tc>
          <w:tcPr>
            <w:tcW w:w="894" w:type="dxa"/>
            <w:gridSpan w:val="2"/>
            <w:vMerge/>
            <w:tcBorders>
              <w:top w:val="nil"/>
            </w:tcBorders>
          </w:tcPr>
          <w:p>
            <w:pPr>
              <w:rPr>
                <w:sz w:val="2"/>
                <w:szCs w:val="2"/>
              </w:rPr>
            </w:pPr>
          </w:p>
        </w:tc>
      </w:tr>
      <w:tr>
        <w:trPr>
          <w:trHeight w:val="270" w:hRule="atLeast"/>
        </w:trPr>
        <w:tc>
          <w:tcPr>
            <w:tcW w:w="1272" w:type="dxa"/>
            <w:vMerge/>
            <w:tcBorders>
              <w:top w:val="nil"/>
              <w:right w:val="single" w:sz="6" w:space="0" w:color="000000"/>
            </w:tcBorders>
          </w:tcPr>
          <w:p>
            <w:pPr>
              <w:rPr>
                <w:sz w:val="2"/>
                <w:szCs w:val="2"/>
              </w:rPr>
            </w:pPr>
          </w:p>
        </w:tc>
        <w:tc>
          <w:tcPr>
            <w:tcW w:w="1298" w:type="dxa"/>
            <w:vMerge/>
            <w:tcBorders>
              <w:top w:val="nil"/>
              <w:left w:val="single" w:sz="6" w:space="0" w:color="000000"/>
              <w:right w:val="single" w:sz="6" w:space="0" w:color="000000"/>
            </w:tcBorders>
          </w:tcPr>
          <w:p>
            <w:pPr>
              <w:rPr>
                <w:sz w:val="2"/>
                <w:szCs w:val="2"/>
              </w:rPr>
            </w:pPr>
          </w:p>
        </w:tc>
        <w:tc>
          <w:tcPr>
            <w:tcW w:w="883" w:type="dxa"/>
            <w:vMerge/>
            <w:tcBorders>
              <w:top w:val="nil"/>
              <w:left w:val="single" w:sz="6" w:space="0" w:color="000000"/>
              <w:right w:val="single" w:sz="6" w:space="0" w:color="000000"/>
            </w:tcBorders>
          </w:tcPr>
          <w:p>
            <w:pPr>
              <w:rPr>
                <w:sz w:val="2"/>
                <w:szCs w:val="2"/>
              </w:rPr>
            </w:pPr>
          </w:p>
        </w:tc>
        <w:tc>
          <w:tcPr>
            <w:tcW w:w="116" w:type="dxa"/>
            <w:vMerge/>
            <w:tcBorders>
              <w:top w:val="nil"/>
              <w:left w:val="single" w:sz="6" w:space="0" w:color="000000"/>
            </w:tcBorders>
          </w:tcPr>
          <w:p>
            <w:pPr>
              <w:rPr>
                <w:sz w:val="2"/>
                <w:szCs w:val="2"/>
              </w:rPr>
            </w:pPr>
          </w:p>
        </w:tc>
        <w:tc>
          <w:tcPr>
            <w:tcW w:w="1435" w:type="dxa"/>
            <w:gridSpan w:val="2"/>
          </w:tcPr>
          <w:p>
            <w:pPr>
              <w:pStyle w:val="TableParagraph"/>
              <w:spacing w:before="18"/>
              <w:ind w:left="38"/>
              <w:jc w:val="center"/>
              <w:rPr>
                <w:sz w:val="20"/>
              </w:rPr>
            </w:pPr>
            <w:r>
              <w:rPr>
                <w:w w:val="99"/>
                <w:sz w:val="20"/>
              </w:rPr>
              <w:t>0</w:t>
            </w:r>
          </w:p>
        </w:tc>
        <w:tc>
          <w:tcPr>
            <w:tcW w:w="1412" w:type="dxa"/>
            <w:gridSpan w:val="2"/>
          </w:tcPr>
          <w:p>
            <w:pPr>
              <w:pStyle w:val="TableParagraph"/>
              <w:spacing w:before="18"/>
              <w:ind w:left="42"/>
              <w:jc w:val="center"/>
              <w:rPr>
                <w:sz w:val="20"/>
              </w:rPr>
            </w:pPr>
            <w:r>
              <w:rPr>
                <w:w w:val="99"/>
                <w:sz w:val="20"/>
              </w:rPr>
              <w:t>1</w:t>
            </w:r>
          </w:p>
        </w:tc>
        <w:tc>
          <w:tcPr>
            <w:tcW w:w="2048" w:type="dxa"/>
            <w:gridSpan w:val="2"/>
          </w:tcPr>
          <w:p>
            <w:pPr>
              <w:pStyle w:val="TableParagraph"/>
              <w:spacing w:before="18"/>
              <w:ind w:left="217"/>
              <w:rPr>
                <w:sz w:val="20"/>
              </w:rPr>
            </w:pPr>
            <w:r>
              <w:rPr>
                <w:sz w:val="20"/>
              </w:rPr>
              <w:t>1.5 * 2</w:t>
            </w:r>
            <w:r>
              <w:rPr>
                <w:sz w:val="20"/>
                <w:vertAlign w:val="superscript"/>
              </w:rPr>
              <w:t>-4</w:t>
            </w:r>
            <w:r>
              <w:rPr>
                <w:sz w:val="20"/>
                <w:vertAlign w:val="baseline"/>
              </w:rPr>
              <w:t> = 0.09375</w:t>
            </w:r>
          </w:p>
        </w:tc>
        <w:tc>
          <w:tcPr>
            <w:tcW w:w="894" w:type="dxa"/>
            <w:gridSpan w:val="2"/>
            <w:vMerge/>
            <w:tcBorders>
              <w:top w:val="nil"/>
            </w:tcBorders>
          </w:tcPr>
          <w:p>
            <w:pPr>
              <w:rPr>
                <w:sz w:val="2"/>
                <w:szCs w:val="2"/>
              </w:rPr>
            </w:pPr>
          </w:p>
        </w:tc>
      </w:tr>
      <w:tr>
        <w:trPr>
          <w:trHeight w:val="268" w:hRule="atLeast"/>
        </w:trPr>
        <w:tc>
          <w:tcPr>
            <w:tcW w:w="1272" w:type="dxa"/>
            <w:vMerge/>
            <w:tcBorders>
              <w:top w:val="nil"/>
              <w:right w:val="single" w:sz="6" w:space="0" w:color="000000"/>
            </w:tcBorders>
          </w:tcPr>
          <w:p>
            <w:pPr>
              <w:rPr>
                <w:sz w:val="2"/>
                <w:szCs w:val="2"/>
              </w:rPr>
            </w:pPr>
          </w:p>
        </w:tc>
        <w:tc>
          <w:tcPr>
            <w:tcW w:w="1298" w:type="dxa"/>
            <w:vMerge/>
            <w:tcBorders>
              <w:top w:val="nil"/>
              <w:left w:val="single" w:sz="6" w:space="0" w:color="000000"/>
              <w:right w:val="single" w:sz="6" w:space="0" w:color="000000"/>
            </w:tcBorders>
          </w:tcPr>
          <w:p>
            <w:pPr>
              <w:rPr>
                <w:sz w:val="2"/>
                <w:szCs w:val="2"/>
              </w:rPr>
            </w:pPr>
          </w:p>
        </w:tc>
        <w:tc>
          <w:tcPr>
            <w:tcW w:w="883" w:type="dxa"/>
            <w:vMerge/>
            <w:tcBorders>
              <w:top w:val="nil"/>
              <w:left w:val="single" w:sz="6" w:space="0" w:color="000000"/>
              <w:right w:val="single" w:sz="6" w:space="0" w:color="000000"/>
            </w:tcBorders>
          </w:tcPr>
          <w:p>
            <w:pPr>
              <w:rPr>
                <w:sz w:val="2"/>
                <w:szCs w:val="2"/>
              </w:rPr>
            </w:pPr>
          </w:p>
        </w:tc>
        <w:tc>
          <w:tcPr>
            <w:tcW w:w="116" w:type="dxa"/>
            <w:vMerge/>
            <w:tcBorders>
              <w:top w:val="nil"/>
              <w:left w:val="single" w:sz="6" w:space="0" w:color="000000"/>
            </w:tcBorders>
          </w:tcPr>
          <w:p>
            <w:pPr>
              <w:rPr>
                <w:sz w:val="2"/>
                <w:szCs w:val="2"/>
              </w:rPr>
            </w:pPr>
          </w:p>
        </w:tc>
        <w:tc>
          <w:tcPr>
            <w:tcW w:w="1435" w:type="dxa"/>
            <w:gridSpan w:val="2"/>
          </w:tcPr>
          <w:p>
            <w:pPr>
              <w:pStyle w:val="TableParagraph"/>
              <w:spacing w:before="18"/>
              <w:ind w:left="38"/>
              <w:jc w:val="center"/>
              <w:rPr>
                <w:sz w:val="20"/>
              </w:rPr>
            </w:pPr>
            <w:r>
              <w:rPr>
                <w:w w:val="99"/>
                <w:sz w:val="20"/>
              </w:rPr>
              <w:t>1</w:t>
            </w:r>
          </w:p>
        </w:tc>
        <w:tc>
          <w:tcPr>
            <w:tcW w:w="1412" w:type="dxa"/>
            <w:gridSpan w:val="2"/>
          </w:tcPr>
          <w:p>
            <w:pPr>
              <w:pStyle w:val="TableParagraph"/>
              <w:spacing w:before="18"/>
              <w:ind w:left="42"/>
              <w:jc w:val="center"/>
              <w:rPr>
                <w:sz w:val="20"/>
              </w:rPr>
            </w:pPr>
            <w:r>
              <w:rPr>
                <w:w w:val="99"/>
                <w:sz w:val="20"/>
              </w:rPr>
              <w:t>0</w:t>
            </w:r>
          </w:p>
        </w:tc>
        <w:tc>
          <w:tcPr>
            <w:tcW w:w="2048" w:type="dxa"/>
            <w:gridSpan w:val="2"/>
          </w:tcPr>
          <w:p>
            <w:pPr>
              <w:pStyle w:val="TableParagraph"/>
              <w:spacing w:before="18"/>
              <w:ind w:left="488"/>
              <w:rPr>
                <w:sz w:val="20"/>
              </w:rPr>
            </w:pPr>
            <w:r>
              <w:rPr>
                <w:sz w:val="20"/>
              </w:rPr>
              <w:t>1.5 * 2</w:t>
            </w:r>
            <w:r>
              <w:rPr>
                <w:sz w:val="20"/>
                <w:vertAlign w:val="superscript"/>
              </w:rPr>
              <w:t>6</w:t>
            </w:r>
            <w:r>
              <w:rPr>
                <w:sz w:val="20"/>
                <w:vertAlign w:val="baseline"/>
              </w:rPr>
              <w:t> = 96</w:t>
            </w:r>
          </w:p>
        </w:tc>
        <w:tc>
          <w:tcPr>
            <w:tcW w:w="894" w:type="dxa"/>
            <w:gridSpan w:val="2"/>
            <w:vMerge/>
            <w:tcBorders>
              <w:top w:val="nil"/>
            </w:tcBorders>
          </w:tcPr>
          <w:p>
            <w:pPr>
              <w:rPr>
                <w:sz w:val="2"/>
                <w:szCs w:val="2"/>
              </w:rPr>
            </w:pPr>
          </w:p>
        </w:tc>
      </w:tr>
      <w:tr>
        <w:trPr>
          <w:trHeight w:val="291" w:hRule="atLeast"/>
        </w:trPr>
        <w:tc>
          <w:tcPr>
            <w:tcW w:w="1272" w:type="dxa"/>
            <w:vMerge/>
            <w:tcBorders>
              <w:top w:val="nil"/>
              <w:right w:val="single" w:sz="6" w:space="0" w:color="000000"/>
            </w:tcBorders>
          </w:tcPr>
          <w:p>
            <w:pPr>
              <w:rPr>
                <w:sz w:val="2"/>
                <w:szCs w:val="2"/>
              </w:rPr>
            </w:pPr>
          </w:p>
        </w:tc>
        <w:tc>
          <w:tcPr>
            <w:tcW w:w="1298" w:type="dxa"/>
            <w:vMerge/>
            <w:tcBorders>
              <w:top w:val="nil"/>
              <w:left w:val="single" w:sz="6" w:space="0" w:color="000000"/>
              <w:right w:val="single" w:sz="6" w:space="0" w:color="000000"/>
            </w:tcBorders>
          </w:tcPr>
          <w:p>
            <w:pPr>
              <w:rPr>
                <w:sz w:val="2"/>
                <w:szCs w:val="2"/>
              </w:rPr>
            </w:pPr>
          </w:p>
        </w:tc>
        <w:tc>
          <w:tcPr>
            <w:tcW w:w="883" w:type="dxa"/>
            <w:vMerge/>
            <w:tcBorders>
              <w:top w:val="nil"/>
              <w:left w:val="single" w:sz="6" w:space="0" w:color="000000"/>
              <w:right w:val="single" w:sz="6" w:space="0" w:color="000000"/>
            </w:tcBorders>
          </w:tcPr>
          <w:p>
            <w:pPr>
              <w:rPr>
                <w:sz w:val="2"/>
                <w:szCs w:val="2"/>
              </w:rPr>
            </w:pPr>
          </w:p>
        </w:tc>
        <w:tc>
          <w:tcPr>
            <w:tcW w:w="116" w:type="dxa"/>
            <w:vMerge/>
            <w:tcBorders>
              <w:top w:val="nil"/>
              <w:left w:val="single" w:sz="6" w:space="0" w:color="000000"/>
            </w:tcBorders>
          </w:tcPr>
          <w:p>
            <w:pPr>
              <w:rPr>
                <w:sz w:val="2"/>
                <w:szCs w:val="2"/>
              </w:rPr>
            </w:pPr>
          </w:p>
        </w:tc>
        <w:tc>
          <w:tcPr>
            <w:tcW w:w="1435" w:type="dxa"/>
            <w:gridSpan w:val="2"/>
            <w:tcBorders>
              <w:bottom w:val="double" w:sz="1" w:space="0" w:color="000000"/>
            </w:tcBorders>
          </w:tcPr>
          <w:p>
            <w:pPr>
              <w:pStyle w:val="TableParagraph"/>
              <w:spacing w:before="21"/>
              <w:ind w:left="38"/>
              <w:jc w:val="center"/>
              <w:rPr>
                <w:sz w:val="20"/>
              </w:rPr>
            </w:pPr>
            <w:r>
              <w:rPr>
                <w:w w:val="99"/>
                <w:sz w:val="20"/>
              </w:rPr>
              <w:t>1</w:t>
            </w:r>
          </w:p>
        </w:tc>
        <w:tc>
          <w:tcPr>
            <w:tcW w:w="1412" w:type="dxa"/>
            <w:gridSpan w:val="2"/>
            <w:tcBorders>
              <w:bottom w:val="double" w:sz="1" w:space="0" w:color="000000"/>
            </w:tcBorders>
          </w:tcPr>
          <w:p>
            <w:pPr>
              <w:pStyle w:val="TableParagraph"/>
              <w:spacing w:before="21"/>
              <w:ind w:left="42"/>
              <w:jc w:val="center"/>
              <w:rPr>
                <w:sz w:val="20"/>
              </w:rPr>
            </w:pPr>
            <w:r>
              <w:rPr>
                <w:w w:val="99"/>
                <w:sz w:val="20"/>
              </w:rPr>
              <w:t>1</w:t>
            </w:r>
          </w:p>
        </w:tc>
        <w:tc>
          <w:tcPr>
            <w:tcW w:w="2048" w:type="dxa"/>
            <w:gridSpan w:val="2"/>
            <w:tcBorders>
              <w:bottom w:val="double" w:sz="1" w:space="0" w:color="000000"/>
            </w:tcBorders>
          </w:tcPr>
          <w:p>
            <w:pPr>
              <w:pStyle w:val="TableParagraph"/>
              <w:spacing w:before="21"/>
              <w:ind w:left="555"/>
              <w:rPr>
                <w:sz w:val="20"/>
              </w:rPr>
            </w:pPr>
            <w:r>
              <w:rPr>
                <w:sz w:val="20"/>
              </w:rPr>
              <w:t>Do not use</w:t>
            </w:r>
          </w:p>
        </w:tc>
        <w:tc>
          <w:tcPr>
            <w:tcW w:w="894" w:type="dxa"/>
            <w:gridSpan w:val="2"/>
            <w:vMerge/>
            <w:tcBorders>
              <w:top w:val="nil"/>
            </w:tcBorders>
          </w:tcPr>
          <w:p>
            <w:pPr>
              <w:rPr>
                <w:sz w:val="2"/>
                <w:szCs w:val="2"/>
              </w:rPr>
            </w:pPr>
          </w:p>
        </w:tc>
      </w:tr>
    </w:tbl>
    <w:p>
      <w:pPr>
        <w:pStyle w:val="BodyText"/>
        <w:spacing w:before="1"/>
        <w:rPr>
          <w:b/>
          <w:sz w:val="30"/>
        </w:rPr>
      </w:pPr>
    </w:p>
    <w:p>
      <w:pPr>
        <w:spacing w:line="230" w:lineRule="auto" w:before="0"/>
        <w:ind w:left="479" w:right="491" w:firstLine="0"/>
        <w:jc w:val="left"/>
        <w:rPr>
          <w:rFonts w:ascii="Times New Roman"/>
          <w:i/>
          <w:sz w:val="20"/>
        </w:rPr>
      </w:pPr>
      <w:r>
        <w:rPr>
          <w:rFonts w:ascii="Times New Roman"/>
          <w:i/>
          <w:sz w:val="20"/>
        </w:rPr>
        <w:t>The</w:t>
      </w:r>
      <w:r>
        <w:rPr>
          <w:rFonts w:ascii="Times New Roman"/>
          <w:i/>
          <w:spacing w:val="-9"/>
          <w:sz w:val="20"/>
        </w:rPr>
        <w:t> </w:t>
      </w:r>
      <w:r>
        <w:rPr>
          <w:rFonts w:ascii="Times New Roman"/>
          <w:i/>
          <w:spacing w:val="-3"/>
          <w:sz w:val="20"/>
        </w:rPr>
        <w:t>FREQSEL[1:0]</w:t>
      </w:r>
      <w:r>
        <w:rPr>
          <w:rFonts w:ascii="Times New Roman"/>
          <w:i/>
          <w:spacing w:val="1"/>
          <w:sz w:val="20"/>
        </w:rPr>
        <w:t> </w:t>
      </w:r>
      <w:r>
        <w:rPr>
          <w:spacing w:val="-3"/>
          <w:sz w:val="20"/>
        </w:rPr>
        <w:t>field</w:t>
      </w:r>
      <w:r>
        <w:rPr>
          <w:spacing w:val="-9"/>
          <w:sz w:val="20"/>
        </w:rPr>
        <w:t> </w:t>
      </w:r>
      <w:r>
        <w:rPr>
          <w:sz w:val="20"/>
        </w:rPr>
        <w:t>in</w:t>
      </w:r>
      <w:r>
        <w:rPr>
          <w:spacing w:val="-9"/>
          <w:sz w:val="20"/>
        </w:rPr>
        <w:t> </w:t>
      </w:r>
      <w:r>
        <w:rPr>
          <w:rFonts w:ascii="Times New Roman"/>
          <w:i/>
          <w:sz w:val="20"/>
        </w:rPr>
        <w:t>CECONFIG</w:t>
      </w:r>
      <w:r>
        <w:rPr>
          <w:rFonts w:ascii="Times New Roman"/>
          <w:i/>
          <w:spacing w:val="-3"/>
          <w:sz w:val="20"/>
        </w:rPr>
        <w:t> </w:t>
      </w:r>
      <w:r>
        <w:rPr>
          <w:spacing w:val="-2"/>
          <w:sz w:val="20"/>
        </w:rPr>
        <w:t>(</w:t>
      </w:r>
      <w:r>
        <w:rPr>
          <w:rFonts w:ascii="Times New Roman"/>
          <w:i/>
          <w:spacing w:val="-2"/>
          <w:sz w:val="20"/>
        </w:rPr>
        <w:t>CE</w:t>
      </w:r>
      <w:r>
        <w:rPr>
          <w:rFonts w:ascii="Times New Roman"/>
          <w:i/>
          <w:spacing w:val="-9"/>
          <w:sz w:val="20"/>
        </w:rPr>
        <w:t> </w:t>
      </w:r>
      <w:r>
        <w:rPr>
          <w:rFonts w:ascii="Times New Roman"/>
          <w:i/>
          <w:sz w:val="20"/>
        </w:rPr>
        <w:t>RAM</w:t>
      </w:r>
      <w:r>
        <w:rPr>
          <w:rFonts w:ascii="Times New Roman"/>
          <w:i/>
          <w:spacing w:val="-9"/>
          <w:sz w:val="20"/>
        </w:rPr>
        <w:t> </w:t>
      </w:r>
      <w:r>
        <w:rPr>
          <w:rFonts w:ascii="Times New Roman"/>
          <w:i/>
          <w:sz w:val="20"/>
        </w:rPr>
        <w:t>0x20[7:6]</w:t>
      </w:r>
      <w:r>
        <w:rPr>
          <w:sz w:val="20"/>
        </w:rPr>
        <w:t>)</w:t>
      </w:r>
      <w:r>
        <w:rPr>
          <w:spacing w:val="-12"/>
          <w:sz w:val="20"/>
        </w:rPr>
        <w:t> </w:t>
      </w:r>
      <w:r>
        <w:rPr>
          <w:spacing w:val="-3"/>
          <w:sz w:val="20"/>
        </w:rPr>
        <w:t>selects</w:t>
      </w:r>
      <w:r>
        <w:rPr>
          <w:spacing w:val="-9"/>
          <w:sz w:val="20"/>
        </w:rPr>
        <w:t> </w:t>
      </w:r>
      <w:r>
        <w:rPr>
          <w:sz w:val="20"/>
        </w:rPr>
        <w:t>the</w:t>
      </w:r>
      <w:r>
        <w:rPr>
          <w:spacing w:val="-9"/>
          <w:sz w:val="20"/>
        </w:rPr>
        <w:t> </w:t>
      </w:r>
      <w:r>
        <w:rPr>
          <w:sz w:val="20"/>
        </w:rPr>
        <w:t>phase</w:t>
      </w:r>
      <w:r>
        <w:rPr>
          <w:spacing w:val="-9"/>
          <w:sz w:val="20"/>
        </w:rPr>
        <w:t> </w:t>
      </w:r>
      <w:r>
        <w:rPr>
          <w:sz w:val="20"/>
        </w:rPr>
        <w:t>that</w:t>
      </w:r>
      <w:r>
        <w:rPr>
          <w:spacing w:val="-9"/>
          <w:sz w:val="20"/>
        </w:rPr>
        <w:t> </w:t>
      </w:r>
      <w:r>
        <w:rPr>
          <w:sz w:val="20"/>
        </w:rPr>
        <w:t>is</w:t>
      </w:r>
      <w:r>
        <w:rPr>
          <w:spacing w:val="-7"/>
          <w:sz w:val="20"/>
        </w:rPr>
        <w:t> </w:t>
      </w:r>
      <w:r>
        <w:rPr>
          <w:spacing w:val="-3"/>
          <w:sz w:val="20"/>
        </w:rPr>
        <w:t>utilized</w:t>
      </w:r>
      <w:r>
        <w:rPr>
          <w:spacing w:val="-9"/>
          <w:sz w:val="20"/>
        </w:rPr>
        <w:t> </w:t>
      </w:r>
      <w:r>
        <w:rPr>
          <w:sz w:val="20"/>
        </w:rPr>
        <w:t>to</w:t>
      </w:r>
      <w:r>
        <w:rPr>
          <w:spacing w:val="-9"/>
          <w:sz w:val="20"/>
        </w:rPr>
        <w:t> </w:t>
      </w:r>
      <w:r>
        <w:rPr>
          <w:sz w:val="20"/>
        </w:rPr>
        <w:t>generate</w:t>
      </w:r>
      <w:r>
        <w:rPr>
          <w:spacing w:val="-9"/>
          <w:sz w:val="20"/>
        </w:rPr>
        <w:t> </w:t>
      </w:r>
      <w:r>
        <w:rPr>
          <w:sz w:val="20"/>
        </w:rPr>
        <w:t>a</w:t>
      </w:r>
      <w:r>
        <w:rPr>
          <w:spacing w:val="-11"/>
          <w:sz w:val="20"/>
        </w:rPr>
        <w:t> </w:t>
      </w:r>
      <w:r>
        <w:rPr>
          <w:sz w:val="20"/>
        </w:rPr>
        <w:t>sag interrupt. Thus, a </w:t>
      </w:r>
      <w:r>
        <w:rPr>
          <w:rFonts w:ascii="Times New Roman"/>
          <w:i/>
          <w:sz w:val="20"/>
        </w:rPr>
        <w:t>SAG_INT </w:t>
      </w:r>
      <w:r>
        <w:rPr>
          <w:sz w:val="20"/>
        </w:rPr>
        <w:t>event occurs when the selected phase has satisfied the sag event criteria as set by the </w:t>
      </w:r>
      <w:r>
        <w:rPr>
          <w:rFonts w:ascii="Times New Roman"/>
          <w:i/>
          <w:sz w:val="20"/>
        </w:rPr>
        <w:t>SAG_THR </w:t>
      </w:r>
      <w:r>
        <w:rPr>
          <w:sz w:val="20"/>
        </w:rPr>
        <w:t>(</w:t>
      </w:r>
      <w:r>
        <w:rPr>
          <w:rFonts w:ascii="Times New Roman"/>
          <w:i/>
          <w:sz w:val="20"/>
        </w:rPr>
        <w:t>CE RAM 0x24</w:t>
      </w:r>
      <w:r>
        <w:rPr>
          <w:sz w:val="20"/>
        </w:rPr>
        <w:t>) register and the </w:t>
      </w:r>
      <w:r>
        <w:rPr>
          <w:rFonts w:ascii="Times New Roman"/>
          <w:i/>
          <w:sz w:val="20"/>
        </w:rPr>
        <w:t>SAG_CNT </w:t>
      </w:r>
      <w:r>
        <w:rPr>
          <w:sz w:val="20"/>
        </w:rPr>
        <w:t>field in </w:t>
      </w:r>
      <w:r>
        <w:rPr>
          <w:rFonts w:ascii="Times New Roman"/>
          <w:i/>
          <w:sz w:val="20"/>
        </w:rPr>
        <w:t>CECONFIG (CE RAM</w:t>
      </w:r>
      <w:r>
        <w:rPr>
          <w:rFonts w:ascii="Times New Roman"/>
          <w:i/>
          <w:spacing w:val="-12"/>
          <w:sz w:val="20"/>
        </w:rPr>
        <w:t> </w:t>
      </w:r>
      <w:r>
        <w:rPr>
          <w:rFonts w:ascii="Times New Roman"/>
          <w:i/>
          <w:sz w:val="20"/>
        </w:rPr>
        <w:t>0x20[19:8]).</w:t>
      </w:r>
    </w:p>
    <w:p>
      <w:pPr>
        <w:pStyle w:val="BodyText"/>
        <w:spacing w:line="230" w:lineRule="auto"/>
        <w:ind w:left="479" w:right="555"/>
        <w:rPr>
          <w:rFonts w:ascii="Times New Roman"/>
          <w:i/>
        </w:rPr>
      </w:pPr>
      <w:r>
        <w:rPr/>
        <w:t>When the </w:t>
      </w:r>
      <w:r>
        <w:rPr>
          <w:rFonts w:ascii="Times New Roman"/>
          <w:i/>
        </w:rPr>
        <w:t>SAG_INT </w:t>
      </w:r>
      <w:r>
        <w:rPr/>
        <w:t>bit (</w:t>
      </w:r>
      <w:r>
        <w:rPr>
          <w:rFonts w:ascii="Times New Roman"/>
          <w:i/>
        </w:rPr>
        <w:t>CE RAM 0x20[20]</w:t>
      </w:r>
      <w:r>
        <w:rPr/>
        <w:t>) is set to 1, a sag event generates a transition on the YPULSE output. After a sag interrupt, the MPU should change the </w:t>
      </w:r>
      <w:r>
        <w:rPr>
          <w:rFonts w:ascii="Times New Roman"/>
          <w:i/>
        </w:rPr>
        <w:t>FREQSEL[1:0] </w:t>
      </w:r>
      <w:r>
        <w:rPr/>
        <w:t>setting to select the other phase, if it is powered.  Even though a sag interrupt is only generated on the selected phase, all three phases are simultaneously checked for sag. The presence of power on a given phase can be sensed by directly checking the </w:t>
      </w:r>
      <w:r>
        <w:rPr>
          <w:rFonts w:ascii="Times New Roman"/>
          <w:i/>
        </w:rPr>
        <w:t>SAG_A</w:t>
      </w:r>
      <w:r>
        <w:rPr/>
        <w:t>, </w:t>
      </w:r>
      <w:r>
        <w:rPr>
          <w:rFonts w:ascii="Times New Roman"/>
          <w:i/>
        </w:rPr>
        <w:t>SAG_B </w:t>
      </w:r>
      <w:r>
        <w:rPr/>
        <w:t>and </w:t>
      </w:r>
      <w:r>
        <w:rPr>
          <w:rFonts w:ascii="Times New Roman"/>
          <w:i/>
        </w:rPr>
        <w:t>SAG_C </w:t>
      </w:r>
      <w:r>
        <w:rPr/>
        <w:t>bits in </w:t>
      </w:r>
      <w:r>
        <w:rPr>
          <w:rFonts w:ascii="Times New Roman"/>
          <w:i/>
        </w:rPr>
        <w:t>CESTATUS </w:t>
      </w:r>
      <w:r>
        <w:rPr/>
        <w:t>(</w:t>
      </w:r>
      <w:r>
        <w:rPr>
          <w:rFonts w:ascii="Times New Roman"/>
          <w:i/>
        </w:rPr>
        <w:t>CE RAM</w:t>
      </w:r>
      <w:r>
        <w:rPr>
          <w:rFonts w:ascii="Times New Roman"/>
          <w:i/>
          <w:spacing w:val="13"/>
        </w:rPr>
        <w:t> </w:t>
      </w:r>
      <w:r>
        <w:rPr>
          <w:rFonts w:ascii="Times New Roman"/>
          <w:i/>
        </w:rPr>
        <w:t>0x80[0:1]).</w:t>
      </w:r>
    </w:p>
    <w:p>
      <w:pPr>
        <w:pStyle w:val="BodyText"/>
        <w:spacing w:line="235" w:lineRule="auto" w:before="111"/>
        <w:ind w:left="479" w:right="491" w:hanging="1"/>
      </w:pPr>
      <w:r>
        <w:rPr/>
        <w:t>The </w:t>
      </w:r>
      <w:r>
        <w:rPr>
          <w:rFonts w:ascii="Times New Roman"/>
          <w:i/>
        </w:rPr>
        <w:t>EXT_TEMP </w:t>
      </w:r>
      <w:r>
        <w:rPr/>
        <w:t>bit enables temperature compensation by the MPU, when set to 1. When 0, internal (CE) temperature compensation is enabled.</w:t>
      </w:r>
    </w:p>
    <w:p>
      <w:pPr>
        <w:spacing w:after="0" w:line="235" w:lineRule="auto"/>
        <w:sectPr>
          <w:pgSz w:w="12240" w:h="15840"/>
          <w:pgMar w:header="727" w:footer="819" w:top="1160" w:bottom="1000" w:left="960" w:right="940"/>
        </w:sectPr>
      </w:pPr>
    </w:p>
    <w:p>
      <w:pPr>
        <w:spacing w:line="228" w:lineRule="auto" w:before="92"/>
        <w:ind w:left="479" w:right="448" w:firstLine="0"/>
        <w:jc w:val="left"/>
        <w:rPr>
          <w:rFonts w:ascii="Times New Roman"/>
          <w:i/>
          <w:sz w:val="20"/>
        </w:rPr>
      </w:pPr>
      <w:r>
        <w:rPr>
          <w:spacing w:val="-3"/>
          <w:sz w:val="20"/>
        </w:rPr>
        <w:t>The </w:t>
      </w:r>
      <w:r>
        <w:rPr>
          <w:sz w:val="20"/>
        </w:rPr>
        <w:t>CE </w:t>
      </w:r>
      <w:r>
        <w:rPr>
          <w:spacing w:val="-4"/>
          <w:sz w:val="20"/>
        </w:rPr>
        <w:t>pulse generator </w:t>
      </w:r>
      <w:r>
        <w:rPr>
          <w:spacing w:val="-3"/>
          <w:sz w:val="20"/>
        </w:rPr>
        <w:t>can be </w:t>
      </w:r>
      <w:r>
        <w:rPr>
          <w:spacing w:val="-4"/>
          <w:sz w:val="20"/>
        </w:rPr>
        <w:t>controlled </w:t>
      </w:r>
      <w:r>
        <w:rPr>
          <w:sz w:val="20"/>
        </w:rPr>
        <w:t>by </w:t>
      </w:r>
      <w:r>
        <w:rPr>
          <w:spacing w:val="-4"/>
          <w:sz w:val="20"/>
        </w:rPr>
        <w:t>either </w:t>
      </w:r>
      <w:r>
        <w:rPr>
          <w:spacing w:val="-3"/>
          <w:sz w:val="20"/>
        </w:rPr>
        <w:t>the MPU </w:t>
      </w:r>
      <w:r>
        <w:rPr>
          <w:spacing w:val="-4"/>
          <w:sz w:val="20"/>
        </w:rPr>
        <w:t>(external) </w:t>
      </w:r>
      <w:r>
        <w:rPr>
          <w:sz w:val="20"/>
        </w:rPr>
        <w:t>or </w:t>
      </w:r>
      <w:r>
        <w:rPr>
          <w:spacing w:val="-3"/>
          <w:sz w:val="20"/>
        </w:rPr>
        <w:t>CE </w:t>
      </w:r>
      <w:r>
        <w:rPr>
          <w:spacing w:val="-4"/>
          <w:sz w:val="20"/>
        </w:rPr>
        <w:t>(internal) variables. Control </w:t>
      </w:r>
      <w:r>
        <w:rPr>
          <w:spacing w:val="-3"/>
          <w:sz w:val="20"/>
        </w:rPr>
        <w:t>is </w:t>
      </w:r>
      <w:r>
        <w:rPr>
          <w:sz w:val="20"/>
        </w:rPr>
        <w:t>by </w:t>
      </w:r>
      <w:r>
        <w:rPr>
          <w:spacing w:val="-3"/>
          <w:sz w:val="20"/>
        </w:rPr>
        <w:t>the MPU if </w:t>
      </w:r>
      <w:r>
        <w:rPr>
          <w:sz w:val="20"/>
        </w:rPr>
        <w:t>the </w:t>
      </w:r>
      <w:r>
        <w:rPr>
          <w:rFonts w:ascii="Times New Roman"/>
          <w:i/>
          <w:spacing w:val="-4"/>
          <w:sz w:val="20"/>
        </w:rPr>
        <w:t>EXT</w:t>
      </w:r>
      <w:r>
        <w:rPr>
          <w:i/>
          <w:spacing w:val="-4"/>
          <w:sz w:val="20"/>
        </w:rPr>
        <w:t>_</w:t>
      </w:r>
      <w:r>
        <w:rPr>
          <w:rFonts w:ascii="Times New Roman"/>
          <w:i/>
          <w:spacing w:val="-4"/>
          <w:sz w:val="20"/>
        </w:rPr>
        <w:t>PULSE </w:t>
      </w:r>
      <w:r>
        <w:rPr>
          <w:spacing w:val="-3"/>
          <w:sz w:val="20"/>
        </w:rPr>
        <w:t>bit </w:t>
      </w:r>
      <w:r>
        <w:rPr>
          <w:sz w:val="20"/>
        </w:rPr>
        <w:t>= 1 (</w:t>
      </w:r>
      <w:r>
        <w:rPr>
          <w:rFonts w:ascii="Times New Roman"/>
          <w:i/>
          <w:sz w:val="20"/>
        </w:rPr>
        <w:t>CE RAM 0x20[5]</w:t>
      </w:r>
      <w:r>
        <w:rPr>
          <w:sz w:val="20"/>
        </w:rPr>
        <w:t>). </w:t>
      </w:r>
      <w:r>
        <w:rPr>
          <w:spacing w:val="-3"/>
          <w:sz w:val="20"/>
        </w:rPr>
        <w:t>In this case, the MPU </w:t>
      </w:r>
      <w:r>
        <w:rPr>
          <w:spacing w:val="-4"/>
          <w:sz w:val="20"/>
        </w:rPr>
        <w:t>controls </w:t>
      </w:r>
      <w:r>
        <w:rPr>
          <w:spacing w:val="-3"/>
          <w:sz w:val="20"/>
        </w:rPr>
        <w:t>the </w:t>
      </w:r>
      <w:r>
        <w:rPr>
          <w:spacing w:val="-4"/>
          <w:sz w:val="20"/>
        </w:rPr>
        <w:t>pulse </w:t>
      </w:r>
      <w:r>
        <w:rPr>
          <w:spacing w:val="-3"/>
          <w:sz w:val="20"/>
        </w:rPr>
        <w:t>rate </w:t>
      </w:r>
      <w:r>
        <w:rPr>
          <w:spacing w:val="-4"/>
          <w:sz w:val="20"/>
        </w:rPr>
        <w:t>(external </w:t>
      </w:r>
      <w:r>
        <w:rPr>
          <w:sz w:val="20"/>
        </w:rPr>
        <w:t>pulse generation) by placing values into </w:t>
      </w:r>
      <w:r>
        <w:rPr>
          <w:rFonts w:ascii="Times New Roman"/>
          <w:i/>
          <w:sz w:val="20"/>
        </w:rPr>
        <w:t>APULSEW </w:t>
      </w:r>
      <w:r>
        <w:rPr>
          <w:sz w:val="20"/>
        </w:rPr>
        <w:t>and </w:t>
      </w:r>
      <w:r>
        <w:rPr>
          <w:rFonts w:ascii="Times New Roman"/>
          <w:i/>
          <w:sz w:val="20"/>
        </w:rPr>
        <w:t>APULSER (CE RAM 0x45 and 0x49)</w:t>
      </w:r>
      <w:r>
        <w:rPr>
          <w:sz w:val="20"/>
        </w:rPr>
        <w:t>. By setting </w:t>
      </w:r>
      <w:r>
        <w:rPr>
          <w:rFonts w:ascii="Times New Roman"/>
          <w:i/>
          <w:sz w:val="20"/>
        </w:rPr>
        <w:t>EXT</w:t>
      </w:r>
      <w:r>
        <w:rPr>
          <w:i/>
          <w:sz w:val="20"/>
        </w:rPr>
        <w:t>_</w:t>
      </w:r>
      <w:r>
        <w:rPr>
          <w:rFonts w:ascii="Times New Roman"/>
          <w:i/>
          <w:sz w:val="20"/>
        </w:rPr>
        <w:t>PULSE </w:t>
      </w:r>
      <w:r>
        <w:rPr>
          <w:sz w:val="20"/>
        </w:rPr>
        <w:t>= 0, the CE controls the pulse rate based on </w:t>
      </w:r>
      <w:r>
        <w:rPr>
          <w:rFonts w:ascii="Times New Roman"/>
          <w:i/>
          <w:sz w:val="20"/>
        </w:rPr>
        <w:t>WSUM_X (CE RAM 0x84) </w:t>
      </w:r>
      <w:r>
        <w:rPr>
          <w:sz w:val="20"/>
        </w:rPr>
        <w:t>and </w:t>
      </w:r>
      <w:r>
        <w:rPr>
          <w:rFonts w:ascii="Times New Roman"/>
          <w:i/>
          <w:sz w:val="20"/>
        </w:rPr>
        <w:t>VARSUM_X (CE </w:t>
      </w:r>
      <w:r>
        <w:rPr>
          <w:rFonts w:ascii="Times New Roman"/>
          <w:i/>
          <w:sz w:val="20"/>
        </w:rPr>
        <w:t>RAM 0x88).</w:t>
      </w:r>
    </w:p>
    <w:p>
      <w:pPr>
        <w:pStyle w:val="BodyText"/>
        <w:spacing w:line="414" w:lineRule="exact" w:before="181"/>
        <w:ind w:left="562"/>
      </w:pPr>
      <w:r>
        <w:rPr>
          <w:position w:val="-21"/>
        </w:rPr>
        <w:drawing>
          <wp:inline distT="0" distB="0" distL="0" distR="0">
            <wp:extent cx="178190" cy="281302"/>
            <wp:effectExtent l="0" t="0" r="0" b="0"/>
            <wp:docPr id="113" name="image64.png" descr="checkmark_-bottomheavy-60-blue"/>
            <wp:cNvGraphicFramePr>
              <a:graphicFrameLocks noChangeAspect="1"/>
            </wp:cNvGraphicFramePr>
            <a:graphic>
              <a:graphicData uri="http://schemas.openxmlformats.org/drawingml/2006/picture">
                <pic:pic>
                  <pic:nvPicPr>
                    <pic:cNvPr id="114" name="image64.png"/>
                    <pic:cNvPicPr/>
                  </pic:nvPicPr>
                  <pic:blipFill>
                    <a:blip r:embed="rId73" cstate="print"/>
                    <a:stretch>
                      <a:fillRect/>
                    </a:stretch>
                  </pic:blipFill>
                  <pic:spPr>
                    <a:xfrm>
                      <a:off x="0" y="0"/>
                      <a:ext cx="178190" cy="281302"/>
                    </a:xfrm>
                    <a:prstGeom prst="rect">
                      <a:avLst/>
                    </a:prstGeom>
                  </pic:spPr>
                </pic:pic>
              </a:graphicData>
            </a:graphic>
          </wp:inline>
        </w:drawing>
      </w:r>
      <w:r>
        <w:rPr>
          <w:position w:val="-21"/>
        </w:rPr>
      </w:r>
      <w:r>
        <w:rPr>
          <w:rFonts w:ascii="Times New Roman"/>
        </w:rPr>
        <w:t>   </w:t>
      </w:r>
      <w:r>
        <w:rPr>
          <w:rFonts w:ascii="Times New Roman"/>
          <w:spacing w:val="-9"/>
        </w:rPr>
        <w:t> </w:t>
      </w:r>
      <w:r>
        <w:rPr/>
        <w:t>The 71M6543 Demo Code creep function halts both internal and external pulse</w:t>
      </w:r>
      <w:r>
        <w:rPr>
          <w:spacing w:val="-18"/>
        </w:rPr>
        <w:t> </w:t>
      </w:r>
      <w:r>
        <w:rPr/>
        <w:t>generation.</w:t>
      </w:r>
    </w:p>
    <w:p>
      <w:pPr>
        <w:pStyle w:val="Heading1"/>
        <w:spacing w:line="201" w:lineRule="exact"/>
        <w:ind w:left="2052"/>
        <w:jc w:val="left"/>
      </w:pPr>
      <w:bookmarkStart w:name="_bookmark227" w:id="470"/>
      <w:bookmarkEnd w:id="470"/>
      <w:r>
        <w:rPr>
          <w:b w:val="0"/>
        </w:rPr>
      </w:r>
      <w:r>
        <w:rPr/>
        <w:t>Table 77: Sag Threshold, Phase Measurement, and Gain Adjust Control</w:t>
      </w:r>
    </w:p>
    <w:p>
      <w:pPr>
        <w:pStyle w:val="BodyText"/>
        <w:spacing w:before="8"/>
        <w:rPr>
          <w:b/>
          <w:sz w:val="5"/>
        </w:rPr>
      </w:pPr>
    </w:p>
    <w:tbl>
      <w:tblPr>
        <w:tblW w:w="0" w:type="auto"/>
        <w:jc w:val="left"/>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6"/>
        <w:gridCol w:w="1349"/>
        <w:gridCol w:w="991"/>
        <w:gridCol w:w="5853"/>
      </w:tblGrid>
      <w:tr>
        <w:trPr>
          <w:trHeight w:val="498" w:hRule="atLeast"/>
        </w:trPr>
        <w:tc>
          <w:tcPr>
            <w:tcW w:w="1176" w:type="dxa"/>
            <w:tcBorders>
              <w:bottom w:val="single" w:sz="6" w:space="0" w:color="000000"/>
              <w:right w:val="single" w:sz="6" w:space="0" w:color="000000"/>
            </w:tcBorders>
          </w:tcPr>
          <w:p>
            <w:pPr>
              <w:pStyle w:val="TableParagraph"/>
              <w:spacing w:before="16"/>
              <w:ind w:left="180" w:right="141"/>
              <w:jc w:val="center"/>
              <w:rPr>
                <w:b/>
                <w:sz w:val="20"/>
              </w:rPr>
            </w:pPr>
            <w:r>
              <w:rPr>
                <w:b/>
                <w:sz w:val="20"/>
              </w:rPr>
              <w:t>CE</w:t>
            </w:r>
          </w:p>
          <w:p>
            <w:pPr>
              <w:pStyle w:val="TableParagraph"/>
              <w:ind w:left="181" w:right="141"/>
              <w:jc w:val="center"/>
              <w:rPr>
                <w:b/>
                <w:sz w:val="20"/>
              </w:rPr>
            </w:pPr>
            <w:r>
              <w:rPr>
                <w:b/>
                <w:sz w:val="20"/>
              </w:rPr>
              <w:t>Address</w:t>
            </w:r>
          </w:p>
        </w:tc>
        <w:tc>
          <w:tcPr>
            <w:tcW w:w="1349" w:type="dxa"/>
            <w:tcBorders>
              <w:left w:val="single" w:sz="6" w:space="0" w:color="000000"/>
              <w:bottom w:val="single" w:sz="6" w:space="0" w:color="000000"/>
              <w:right w:val="single" w:sz="6" w:space="0" w:color="000000"/>
            </w:tcBorders>
          </w:tcPr>
          <w:p>
            <w:pPr>
              <w:pStyle w:val="TableParagraph"/>
              <w:spacing w:before="131"/>
              <w:ind w:left="137" w:right="132"/>
              <w:jc w:val="center"/>
              <w:rPr>
                <w:b/>
                <w:sz w:val="20"/>
              </w:rPr>
            </w:pPr>
            <w:r>
              <w:rPr>
                <w:b/>
                <w:sz w:val="20"/>
              </w:rPr>
              <w:t>Name</w:t>
            </w:r>
          </w:p>
        </w:tc>
        <w:tc>
          <w:tcPr>
            <w:tcW w:w="991" w:type="dxa"/>
            <w:tcBorders>
              <w:left w:val="single" w:sz="6" w:space="0" w:color="000000"/>
              <w:bottom w:val="single" w:sz="6" w:space="0" w:color="000000"/>
              <w:right w:val="single" w:sz="6" w:space="0" w:color="000000"/>
            </w:tcBorders>
          </w:tcPr>
          <w:p>
            <w:pPr>
              <w:pStyle w:val="TableParagraph"/>
              <w:spacing w:before="131"/>
              <w:ind w:left="153"/>
              <w:rPr>
                <w:b/>
                <w:sz w:val="20"/>
              </w:rPr>
            </w:pPr>
            <w:r>
              <w:rPr>
                <w:b/>
                <w:sz w:val="20"/>
              </w:rPr>
              <w:t>Default</w:t>
            </w:r>
          </w:p>
        </w:tc>
        <w:tc>
          <w:tcPr>
            <w:tcW w:w="5853" w:type="dxa"/>
            <w:tcBorders>
              <w:left w:val="single" w:sz="6" w:space="0" w:color="000000"/>
              <w:bottom w:val="single" w:sz="6" w:space="0" w:color="000000"/>
            </w:tcBorders>
          </w:tcPr>
          <w:p>
            <w:pPr>
              <w:pStyle w:val="TableParagraph"/>
              <w:spacing w:before="131"/>
              <w:ind w:left="105"/>
              <w:rPr>
                <w:b/>
                <w:sz w:val="20"/>
              </w:rPr>
            </w:pPr>
            <w:r>
              <w:rPr>
                <w:b/>
                <w:sz w:val="20"/>
              </w:rPr>
              <w:t>Description</w:t>
            </w:r>
          </w:p>
        </w:tc>
      </w:tr>
      <w:tr>
        <w:trPr>
          <w:trHeight w:val="1751" w:hRule="atLeast"/>
        </w:trPr>
        <w:tc>
          <w:tcPr>
            <w:tcW w:w="1176" w:type="dxa"/>
            <w:tcBorders>
              <w:top w:val="single" w:sz="6" w:space="0" w:color="000000"/>
              <w:bottom w:val="single" w:sz="6" w:space="0" w:color="000000"/>
              <w:right w:val="single" w:sz="6" w:space="0" w:color="000000"/>
            </w:tcBorders>
          </w:tcPr>
          <w:p>
            <w:pPr>
              <w:pStyle w:val="TableParagraph"/>
              <w:rPr>
                <w:b/>
                <w:sz w:val="22"/>
              </w:rPr>
            </w:pPr>
          </w:p>
          <w:p>
            <w:pPr>
              <w:pStyle w:val="TableParagraph"/>
              <w:rPr>
                <w:b/>
                <w:sz w:val="22"/>
              </w:rPr>
            </w:pPr>
          </w:p>
          <w:p>
            <w:pPr>
              <w:pStyle w:val="TableParagraph"/>
              <w:spacing w:before="5"/>
              <w:rPr>
                <w:b/>
                <w:sz w:val="22"/>
              </w:rPr>
            </w:pPr>
          </w:p>
          <w:p>
            <w:pPr>
              <w:pStyle w:val="TableParagraph"/>
              <w:spacing w:before="1"/>
              <w:ind w:left="148" w:right="141"/>
              <w:jc w:val="center"/>
              <w:rPr>
                <w:sz w:val="20"/>
              </w:rPr>
            </w:pPr>
            <w:r>
              <w:rPr>
                <w:sz w:val="20"/>
              </w:rPr>
              <w:t>0x24</w:t>
            </w:r>
          </w:p>
        </w:tc>
        <w:tc>
          <w:tcPr>
            <w:tcW w:w="1349"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rPr>
                <w:b/>
                <w:sz w:val="22"/>
              </w:rPr>
            </w:pPr>
          </w:p>
          <w:p>
            <w:pPr>
              <w:pStyle w:val="TableParagraph"/>
              <w:spacing w:before="8"/>
              <w:rPr>
                <w:b/>
                <w:sz w:val="21"/>
              </w:rPr>
            </w:pPr>
          </w:p>
          <w:p>
            <w:pPr>
              <w:pStyle w:val="TableParagraph"/>
              <w:ind w:left="140" w:right="132"/>
              <w:jc w:val="center"/>
              <w:rPr>
                <w:rFonts w:ascii="Times New Roman"/>
                <w:i/>
                <w:sz w:val="20"/>
              </w:rPr>
            </w:pPr>
            <w:r>
              <w:rPr>
                <w:rFonts w:ascii="Times New Roman"/>
                <w:i/>
                <w:sz w:val="20"/>
              </w:rPr>
              <w:t>SAG_THR</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rPr>
                <w:b/>
                <w:sz w:val="26"/>
              </w:rPr>
            </w:pPr>
          </w:p>
          <w:p>
            <w:pPr>
              <w:pStyle w:val="TableParagraph"/>
              <w:rPr>
                <w:b/>
                <w:sz w:val="26"/>
              </w:rPr>
            </w:pPr>
          </w:p>
          <w:p>
            <w:pPr>
              <w:pStyle w:val="TableParagraph"/>
              <w:spacing w:before="167"/>
              <w:ind w:left="109"/>
              <w:rPr>
                <w:sz w:val="20"/>
              </w:rPr>
            </w:pPr>
            <w:r>
              <w:rPr>
                <w:sz w:val="20"/>
              </w:rPr>
              <w:t>2.39*10</w:t>
            </w:r>
            <w:r>
              <w:rPr>
                <w:sz w:val="20"/>
                <w:vertAlign w:val="superscript"/>
              </w:rPr>
              <w:t>7</w:t>
            </w:r>
          </w:p>
        </w:tc>
        <w:tc>
          <w:tcPr>
            <w:tcW w:w="5853" w:type="dxa"/>
            <w:tcBorders>
              <w:top w:val="single" w:sz="6" w:space="0" w:color="000000"/>
              <w:left w:val="single" w:sz="6" w:space="0" w:color="000000"/>
              <w:bottom w:val="single" w:sz="6" w:space="0" w:color="000000"/>
            </w:tcBorders>
          </w:tcPr>
          <w:p>
            <w:pPr>
              <w:pStyle w:val="TableParagraph"/>
              <w:spacing w:line="242" w:lineRule="auto" w:before="28"/>
              <w:ind w:left="105"/>
              <w:rPr>
                <w:sz w:val="20"/>
              </w:rPr>
            </w:pPr>
            <w:r>
              <w:rPr>
                <w:sz w:val="20"/>
              </w:rPr>
              <w:t>The voltage threshold for sag warnings. The default value is equivalent to 80VRMS if VMAX = 600V.</w:t>
            </w:r>
          </w:p>
          <w:p>
            <w:pPr>
              <w:pStyle w:val="TableParagraph"/>
              <w:spacing w:before="1"/>
              <w:rPr>
                <w:b/>
                <w:sz w:val="29"/>
              </w:rPr>
            </w:pPr>
          </w:p>
          <w:p>
            <w:pPr>
              <w:pStyle w:val="TableParagraph"/>
              <w:spacing w:line="20" w:lineRule="exact"/>
              <w:ind w:left="2584"/>
              <w:rPr>
                <w:sz w:val="2"/>
              </w:rPr>
            </w:pPr>
            <w:r>
              <w:rPr>
                <w:sz w:val="2"/>
              </w:rPr>
              <w:pict>
                <v:group style="width:6.6pt;height:.75pt;mso-position-horizontal-relative:char;mso-position-vertical-relative:line" coordorigin="0,0" coordsize="132,15">
                  <v:rect style="position:absolute;left:0;top:0;width:132;height:15" filled="true" fillcolor="#000000" stroked="false">
                    <v:fill type="solid"/>
                  </v:rect>
                </v:group>
              </w:pict>
            </w:r>
            <w:r>
              <w:rPr>
                <w:sz w:val="2"/>
              </w:rPr>
            </w:r>
          </w:p>
          <w:p>
            <w:pPr>
              <w:pStyle w:val="TableParagraph"/>
              <w:tabs>
                <w:tab w:pos="1763" w:val="left" w:leader="none"/>
              </w:tabs>
              <w:spacing w:line="223" w:lineRule="exact"/>
              <w:ind w:left="1178"/>
              <w:rPr>
                <w:rFonts w:ascii="Cambria Math" w:hAnsi="Cambria Math" w:eastAsia="Cambria Math"/>
                <w:sz w:val="23"/>
              </w:rPr>
            </w:pPr>
            <w:r>
              <w:rPr>
                <w:rFonts w:ascii="Times New Roman" w:hAnsi="Times New Roman" w:eastAsia="Times New Roman"/>
                <w:w w:val="99"/>
                <w:sz w:val="19"/>
                <w:u w:val="thick"/>
              </w:rPr>
              <w:t> </w:t>
            </w:r>
            <w:r>
              <w:rPr>
                <w:rFonts w:ascii="Times New Roman" w:hAnsi="Times New Roman" w:eastAsia="Times New Roman"/>
                <w:sz w:val="19"/>
                <w:u w:val="thick"/>
              </w:rPr>
              <w:tab/>
            </w:r>
            <w:r>
              <w:rPr>
                <w:rFonts w:ascii="Cambria Math" w:hAnsi="Cambria Math" w:eastAsia="Cambria Math"/>
                <w:spacing w:val="-9"/>
                <w:w w:val="110"/>
                <w:position w:val="5"/>
                <w:sz w:val="23"/>
              </w:rPr>
              <w:t>𝑉</w:t>
            </w:r>
            <w:r>
              <w:rPr>
                <w:rFonts w:ascii="Cambria Math" w:hAnsi="Cambria Math" w:eastAsia="Cambria Math"/>
                <w:spacing w:val="-9"/>
                <w:w w:val="110"/>
                <w:sz w:val="19"/>
                <w:u w:val="thick"/>
              </w:rPr>
              <w:t>𝑟𝑚𝑠</w:t>
            </w:r>
            <w:r>
              <w:rPr>
                <w:rFonts w:ascii="Cambria Math" w:hAnsi="Cambria Math" w:eastAsia="Cambria Math"/>
                <w:spacing w:val="3"/>
                <w:w w:val="110"/>
                <w:sz w:val="19"/>
                <w:u w:val="thick"/>
              </w:rPr>
              <w:t> </w:t>
            </w:r>
            <w:r>
              <w:rPr>
                <w:rFonts w:ascii="Cambria Math" w:hAnsi="Cambria Math" w:eastAsia="Cambria Math"/>
                <w:w w:val="110"/>
                <w:position w:val="5"/>
                <w:sz w:val="23"/>
              </w:rPr>
              <w:t>∗</w:t>
            </w:r>
            <w:r>
              <w:rPr>
                <w:rFonts w:ascii="Cambria Math" w:hAnsi="Cambria Math" w:eastAsia="Cambria Math"/>
                <w:w w:val="110"/>
                <w:position w:val="3"/>
                <w:sz w:val="23"/>
              </w:rPr>
              <w:t>√</w:t>
            </w:r>
            <w:r>
              <w:rPr>
                <w:rFonts w:ascii="Cambria Math" w:hAnsi="Cambria Math" w:eastAsia="Cambria Math"/>
                <w:w w:val="110"/>
                <w:position w:val="5"/>
                <w:sz w:val="23"/>
              </w:rPr>
              <w:t>2</w:t>
            </w:r>
          </w:p>
          <w:p>
            <w:pPr>
              <w:pStyle w:val="TableParagraph"/>
              <w:spacing w:line="355" w:lineRule="exact"/>
              <w:ind w:left="105"/>
              <w:rPr>
                <w:rFonts w:ascii="Cambria Math" w:hAnsi="Cambria Math" w:eastAsia="Cambria Math"/>
                <w:sz w:val="19"/>
              </w:rPr>
            </w:pPr>
            <w:r>
              <w:rPr>
                <w:rFonts w:ascii="Times New Roman" w:hAnsi="Times New Roman" w:eastAsia="Times New Roman"/>
                <w:i/>
                <w:position w:val="16"/>
                <w:sz w:val="20"/>
              </w:rPr>
              <w:t>SAG_THR </w:t>
            </w:r>
            <w:r>
              <w:rPr>
                <w:position w:val="16"/>
                <w:sz w:val="20"/>
              </w:rPr>
              <w:t>= </w:t>
            </w:r>
            <w:r>
              <w:rPr>
                <w:rFonts w:ascii="Cambria Math" w:hAnsi="Cambria Math" w:eastAsia="Cambria Math"/>
                <w:sz w:val="23"/>
              </w:rPr>
              <w:t>𝑉𝑀𝐴𝑋∗7.8798∗10</w:t>
            </w:r>
            <w:r>
              <w:rPr>
                <w:rFonts w:ascii="Cambria Math" w:hAnsi="Cambria Math" w:eastAsia="Cambria Math"/>
                <w:position w:val="7"/>
                <w:sz w:val="19"/>
              </w:rPr>
              <w:t>−9</w:t>
            </w:r>
          </w:p>
        </w:tc>
      </w:tr>
      <w:tr>
        <w:trPr>
          <w:trHeight w:val="280" w:hRule="atLeast"/>
        </w:trPr>
        <w:tc>
          <w:tcPr>
            <w:tcW w:w="1176" w:type="dxa"/>
            <w:tcBorders>
              <w:top w:val="single" w:sz="6" w:space="0" w:color="000000"/>
              <w:bottom w:val="single" w:sz="6" w:space="0" w:color="000000"/>
              <w:right w:val="single" w:sz="6" w:space="0" w:color="000000"/>
            </w:tcBorders>
          </w:tcPr>
          <w:p>
            <w:pPr>
              <w:pStyle w:val="TableParagraph"/>
              <w:spacing w:before="28"/>
              <w:ind w:left="148" w:right="141"/>
              <w:jc w:val="center"/>
              <w:rPr>
                <w:sz w:val="20"/>
              </w:rPr>
            </w:pPr>
            <w:r>
              <w:rPr>
                <w:sz w:val="20"/>
              </w:rPr>
              <w:t>0x40</w:t>
            </w:r>
          </w:p>
        </w:tc>
        <w:tc>
          <w:tcPr>
            <w:tcW w:w="1349" w:type="dxa"/>
            <w:tcBorders>
              <w:top w:val="single" w:sz="6" w:space="0" w:color="000000"/>
              <w:left w:val="single" w:sz="6" w:space="0" w:color="000000"/>
              <w:bottom w:val="single" w:sz="6" w:space="0" w:color="000000"/>
              <w:right w:val="single" w:sz="6" w:space="0" w:color="000000"/>
            </w:tcBorders>
          </w:tcPr>
          <w:p>
            <w:pPr>
              <w:pStyle w:val="TableParagraph"/>
              <w:spacing w:before="19"/>
              <w:ind w:left="140" w:right="132"/>
              <w:jc w:val="center"/>
              <w:rPr>
                <w:rFonts w:ascii="Times New Roman"/>
                <w:i/>
                <w:sz w:val="20"/>
              </w:rPr>
            </w:pPr>
            <w:r>
              <w:rPr>
                <w:rFonts w:ascii="Times New Roman"/>
                <w:i/>
                <w:sz w:val="20"/>
              </w:rPr>
              <w:t>GAIN_ADJ0</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28"/>
              <w:ind w:left="213"/>
              <w:rPr>
                <w:sz w:val="20"/>
              </w:rPr>
            </w:pPr>
            <w:r>
              <w:rPr>
                <w:sz w:val="20"/>
              </w:rPr>
              <w:t>16384</w:t>
            </w:r>
          </w:p>
        </w:tc>
        <w:tc>
          <w:tcPr>
            <w:tcW w:w="5853" w:type="dxa"/>
            <w:vMerge w:val="restart"/>
            <w:tcBorders>
              <w:top w:val="single" w:sz="6" w:space="0" w:color="000000"/>
              <w:left w:val="single" w:sz="6" w:space="0" w:color="000000"/>
            </w:tcBorders>
          </w:tcPr>
          <w:p>
            <w:pPr>
              <w:pStyle w:val="TableParagraph"/>
              <w:spacing w:line="247" w:lineRule="auto" w:before="28"/>
              <w:ind w:left="104" w:right="147"/>
              <w:rPr>
                <w:sz w:val="20"/>
              </w:rPr>
            </w:pPr>
            <w:r>
              <w:rPr>
                <w:sz w:val="20"/>
              </w:rPr>
              <w:t>The assignments of these gain adjustments depends on the meter design. See </w:t>
            </w:r>
            <w:hyperlink w:history="true" w:anchor="_bookmark186">
              <w:r>
                <w:rPr>
                  <w:color w:val="0000FF"/>
                  <w:sz w:val="20"/>
                </w:rPr>
                <w:t>4.5.4 </w:t>
              </w:r>
            </w:hyperlink>
            <w:hyperlink w:history="true" w:anchor="_bookmark186">
              <w:r>
                <w:rPr>
                  <w:color w:val="0000FF"/>
                  <w:sz w:val="20"/>
                </w:rPr>
                <w:t>Temperature Compensation for VREF</w:t>
              </w:r>
            </w:hyperlink>
            <w:r>
              <w:rPr>
                <w:color w:val="0000FF"/>
                <w:sz w:val="20"/>
              </w:rPr>
              <w:t> </w:t>
            </w:r>
            <w:hyperlink w:history="true" w:anchor="_bookmark186">
              <w:r>
                <w:rPr>
                  <w:color w:val="0000FF"/>
                  <w:sz w:val="20"/>
                </w:rPr>
                <w:t>and Shunt Sensors </w:t>
              </w:r>
            </w:hyperlink>
            <w:r>
              <w:rPr>
                <w:sz w:val="20"/>
              </w:rPr>
              <w:t>on page </w:t>
            </w:r>
            <w:hyperlink w:history="true" w:anchor="_bookmark186">
              <w:r>
                <w:rPr>
                  <w:color w:val="0000FF"/>
                  <w:sz w:val="20"/>
                </w:rPr>
                <w:t>89 </w:t>
              </w:r>
            </w:hyperlink>
            <w:r>
              <w:rPr>
                <w:sz w:val="20"/>
              </w:rPr>
              <w:t>or </w:t>
            </w:r>
            <w:hyperlink w:history="true" w:anchor="_bookmark188">
              <w:r>
                <w:rPr>
                  <w:color w:val="0000FF"/>
                  <w:sz w:val="20"/>
                </w:rPr>
                <w:t>4.5.5 </w:t>
              </w:r>
            </w:hyperlink>
            <w:hyperlink w:history="true" w:anchor="_bookmark188">
              <w:r>
                <w:rPr>
                  <w:color w:val="0000FF"/>
                  <w:sz w:val="20"/>
                </w:rPr>
                <w:t>Temperature</w:t>
              </w:r>
            </w:hyperlink>
            <w:r>
              <w:rPr>
                <w:color w:val="0000FF"/>
                <w:sz w:val="20"/>
              </w:rPr>
              <w:t> </w:t>
            </w:r>
            <w:hyperlink w:history="true" w:anchor="_bookmark188">
              <w:r>
                <w:rPr>
                  <w:color w:val="0000FF"/>
                  <w:sz w:val="20"/>
                </w:rPr>
                <w:t>Compensation of VREF and Current Transformers </w:t>
              </w:r>
            </w:hyperlink>
            <w:r>
              <w:rPr>
                <w:sz w:val="20"/>
              </w:rPr>
              <w:t>on page </w:t>
            </w:r>
            <w:hyperlink w:history="true" w:anchor="_bookmark188">
              <w:r>
                <w:rPr>
                  <w:color w:val="0000FF"/>
                  <w:sz w:val="20"/>
                </w:rPr>
                <w:t>90.</w:t>
              </w:r>
            </w:hyperlink>
            <w:r>
              <w:rPr>
                <w:color w:val="0000FF"/>
                <w:sz w:val="20"/>
              </w:rPr>
              <w:t> </w:t>
            </w:r>
            <w:r>
              <w:rPr>
                <w:sz w:val="20"/>
              </w:rPr>
              <w:t>The default value of 16384 corresponds to unity gain.</w:t>
            </w:r>
          </w:p>
        </w:tc>
      </w:tr>
      <w:tr>
        <w:trPr>
          <w:trHeight w:val="280" w:hRule="atLeast"/>
        </w:trPr>
        <w:tc>
          <w:tcPr>
            <w:tcW w:w="1176" w:type="dxa"/>
            <w:tcBorders>
              <w:top w:val="single" w:sz="6" w:space="0" w:color="000000"/>
              <w:bottom w:val="single" w:sz="6" w:space="0" w:color="000000"/>
              <w:right w:val="single" w:sz="6" w:space="0" w:color="000000"/>
            </w:tcBorders>
          </w:tcPr>
          <w:p>
            <w:pPr>
              <w:pStyle w:val="TableParagraph"/>
              <w:spacing w:before="28"/>
              <w:ind w:left="148" w:right="141"/>
              <w:jc w:val="center"/>
              <w:rPr>
                <w:sz w:val="20"/>
              </w:rPr>
            </w:pPr>
            <w:r>
              <w:rPr>
                <w:sz w:val="20"/>
              </w:rPr>
              <w:t>0x41</w:t>
            </w:r>
          </w:p>
        </w:tc>
        <w:tc>
          <w:tcPr>
            <w:tcW w:w="1349" w:type="dxa"/>
            <w:tcBorders>
              <w:top w:val="single" w:sz="6" w:space="0" w:color="000000"/>
              <w:left w:val="single" w:sz="6" w:space="0" w:color="000000"/>
              <w:bottom w:val="single" w:sz="6" w:space="0" w:color="000000"/>
              <w:right w:val="single" w:sz="6" w:space="0" w:color="000000"/>
            </w:tcBorders>
          </w:tcPr>
          <w:p>
            <w:pPr>
              <w:pStyle w:val="TableParagraph"/>
              <w:spacing w:before="19"/>
              <w:ind w:left="140" w:right="132"/>
              <w:jc w:val="center"/>
              <w:rPr>
                <w:rFonts w:ascii="Times New Roman"/>
                <w:i/>
                <w:sz w:val="20"/>
              </w:rPr>
            </w:pPr>
            <w:r>
              <w:rPr>
                <w:rFonts w:ascii="Times New Roman"/>
                <w:i/>
                <w:sz w:val="20"/>
              </w:rPr>
              <w:t>GAIN_ADJ1</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28"/>
              <w:ind w:left="213"/>
              <w:rPr>
                <w:sz w:val="20"/>
              </w:rPr>
            </w:pPr>
            <w:r>
              <w:rPr>
                <w:sz w:val="20"/>
              </w:rPr>
              <w:t>16384</w:t>
            </w:r>
          </w:p>
        </w:tc>
        <w:tc>
          <w:tcPr>
            <w:tcW w:w="5853" w:type="dxa"/>
            <w:vMerge/>
            <w:tcBorders>
              <w:top w:val="nil"/>
              <w:left w:val="single" w:sz="6" w:space="0" w:color="000000"/>
            </w:tcBorders>
          </w:tcPr>
          <w:p>
            <w:pPr>
              <w:rPr>
                <w:sz w:val="2"/>
                <w:szCs w:val="2"/>
              </w:rPr>
            </w:pPr>
          </w:p>
        </w:tc>
      </w:tr>
      <w:tr>
        <w:trPr>
          <w:trHeight w:val="280" w:hRule="atLeast"/>
        </w:trPr>
        <w:tc>
          <w:tcPr>
            <w:tcW w:w="1176" w:type="dxa"/>
            <w:tcBorders>
              <w:top w:val="single" w:sz="6" w:space="0" w:color="000000"/>
              <w:bottom w:val="single" w:sz="6" w:space="0" w:color="000000"/>
              <w:right w:val="single" w:sz="6" w:space="0" w:color="000000"/>
            </w:tcBorders>
          </w:tcPr>
          <w:p>
            <w:pPr>
              <w:pStyle w:val="TableParagraph"/>
              <w:spacing w:before="28"/>
              <w:ind w:left="148" w:right="141"/>
              <w:jc w:val="center"/>
              <w:rPr>
                <w:sz w:val="20"/>
              </w:rPr>
            </w:pPr>
            <w:r>
              <w:rPr>
                <w:sz w:val="20"/>
              </w:rPr>
              <w:t>0x42</w:t>
            </w:r>
          </w:p>
        </w:tc>
        <w:tc>
          <w:tcPr>
            <w:tcW w:w="1349" w:type="dxa"/>
            <w:tcBorders>
              <w:top w:val="single" w:sz="6" w:space="0" w:color="000000"/>
              <w:left w:val="single" w:sz="6" w:space="0" w:color="000000"/>
              <w:bottom w:val="single" w:sz="6" w:space="0" w:color="000000"/>
              <w:right w:val="single" w:sz="6" w:space="0" w:color="000000"/>
            </w:tcBorders>
          </w:tcPr>
          <w:p>
            <w:pPr>
              <w:pStyle w:val="TableParagraph"/>
              <w:spacing w:before="19"/>
              <w:ind w:left="140" w:right="132"/>
              <w:jc w:val="center"/>
              <w:rPr>
                <w:rFonts w:ascii="Times New Roman"/>
                <w:i/>
                <w:sz w:val="20"/>
              </w:rPr>
            </w:pPr>
            <w:r>
              <w:rPr>
                <w:rFonts w:ascii="Times New Roman"/>
                <w:i/>
                <w:sz w:val="20"/>
              </w:rPr>
              <w:t>GAIN_ADJ2</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28"/>
              <w:ind w:left="213"/>
              <w:rPr>
                <w:sz w:val="20"/>
              </w:rPr>
            </w:pPr>
            <w:r>
              <w:rPr>
                <w:sz w:val="20"/>
              </w:rPr>
              <w:t>16384</w:t>
            </w:r>
          </w:p>
        </w:tc>
        <w:tc>
          <w:tcPr>
            <w:tcW w:w="5853" w:type="dxa"/>
            <w:vMerge/>
            <w:tcBorders>
              <w:top w:val="nil"/>
              <w:left w:val="single" w:sz="6" w:space="0" w:color="000000"/>
            </w:tcBorders>
          </w:tcPr>
          <w:p>
            <w:pPr>
              <w:rPr>
                <w:sz w:val="2"/>
                <w:szCs w:val="2"/>
              </w:rPr>
            </w:pPr>
          </w:p>
        </w:tc>
      </w:tr>
      <w:tr>
        <w:trPr>
          <w:trHeight w:val="280" w:hRule="atLeast"/>
        </w:trPr>
        <w:tc>
          <w:tcPr>
            <w:tcW w:w="1176" w:type="dxa"/>
            <w:tcBorders>
              <w:top w:val="single" w:sz="6" w:space="0" w:color="000000"/>
              <w:bottom w:val="single" w:sz="6" w:space="0" w:color="000000"/>
              <w:right w:val="single" w:sz="6" w:space="0" w:color="000000"/>
            </w:tcBorders>
          </w:tcPr>
          <w:p>
            <w:pPr>
              <w:pStyle w:val="TableParagraph"/>
              <w:spacing w:before="28"/>
              <w:ind w:left="148" w:right="141"/>
              <w:jc w:val="center"/>
              <w:rPr>
                <w:sz w:val="20"/>
              </w:rPr>
            </w:pPr>
            <w:r>
              <w:rPr>
                <w:sz w:val="20"/>
              </w:rPr>
              <w:t>0x43</w:t>
            </w:r>
          </w:p>
        </w:tc>
        <w:tc>
          <w:tcPr>
            <w:tcW w:w="1349" w:type="dxa"/>
            <w:tcBorders>
              <w:top w:val="single" w:sz="6" w:space="0" w:color="000000"/>
              <w:left w:val="single" w:sz="6" w:space="0" w:color="000000"/>
              <w:bottom w:val="single" w:sz="6" w:space="0" w:color="000000"/>
              <w:right w:val="single" w:sz="6" w:space="0" w:color="000000"/>
            </w:tcBorders>
          </w:tcPr>
          <w:p>
            <w:pPr>
              <w:pStyle w:val="TableParagraph"/>
              <w:spacing w:before="19"/>
              <w:ind w:left="140" w:right="132"/>
              <w:jc w:val="center"/>
              <w:rPr>
                <w:rFonts w:ascii="Times New Roman"/>
                <w:i/>
                <w:sz w:val="20"/>
              </w:rPr>
            </w:pPr>
            <w:r>
              <w:rPr>
                <w:rFonts w:ascii="Times New Roman"/>
                <w:i/>
                <w:sz w:val="20"/>
              </w:rPr>
              <w:t>GAIN_ADJ3</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28"/>
              <w:ind w:left="213"/>
              <w:rPr>
                <w:sz w:val="20"/>
              </w:rPr>
            </w:pPr>
            <w:r>
              <w:rPr>
                <w:sz w:val="20"/>
              </w:rPr>
              <w:t>16384</w:t>
            </w:r>
          </w:p>
        </w:tc>
        <w:tc>
          <w:tcPr>
            <w:tcW w:w="5853" w:type="dxa"/>
            <w:vMerge/>
            <w:tcBorders>
              <w:top w:val="nil"/>
              <w:left w:val="single" w:sz="6" w:space="0" w:color="000000"/>
            </w:tcBorders>
          </w:tcPr>
          <w:p>
            <w:pPr>
              <w:rPr>
                <w:sz w:val="2"/>
                <w:szCs w:val="2"/>
              </w:rPr>
            </w:pPr>
          </w:p>
        </w:tc>
      </w:tr>
      <w:tr>
        <w:trPr>
          <w:trHeight w:val="309" w:hRule="atLeast"/>
        </w:trPr>
        <w:tc>
          <w:tcPr>
            <w:tcW w:w="1176" w:type="dxa"/>
            <w:tcBorders>
              <w:top w:val="single" w:sz="6" w:space="0" w:color="000000"/>
              <w:right w:val="single" w:sz="6" w:space="0" w:color="000000"/>
            </w:tcBorders>
          </w:tcPr>
          <w:p>
            <w:pPr>
              <w:pStyle w:val="TableParagraph"/>
              <w:spacing w:before="42"/>
              <w:ind w:left="148" w:right="141"/>
              <w:jc w:val="center"/>
              <w:rPr>
                <w:sz w:val="20"/>
              </w:rPr>
            </w:pPr>
            <w:r>
              <w:rPr>
                <w:sz w:val="20"/>
              </w:rPr>
              <w:t>0x44</w:t>
            </w:r>
          </w:p>
        </w:tc>
        <w:tc>
          <w:tcPr>
            <w:tcW w:w="1349" w:type="dxa"/>
            <w:tcBorders>
              <w:top w:val="single" w:sz="6" w:space="0" w:color="000000"/>
              <w:left w:val="single" w:sz="6" w:space="0" w:color="000000"/>
              <w:right w:val="single" w:sz="6" w:space="0" w:color="000000"/>
            </w:tcBorders>
          </w:tcPr>
          <w:p>
            <w:pPr>
              <w:pStyle w:val="TableParagraph"/>
              <w:spacing w:before="34"/>
              <w:ind w:left="140" w:right="132"/>
              <w:jc w:val="center"/>
              <w:rPr>
                <w:rFonts w:ascii="Times New Roman"/>
                <w:i/>
                <w:sz w:val="20"/>
              </w:rPr>
            </w:pPr>
            <w:r>
              <w:rPr>
                <w:rFonts w:ascii="Times New Roman"/>
                <w:i/>
                <w:sz w:val="20"/>
              </w:rPr>
              <w:t>GAIN_ADJ4</w:t>
            </w:r>
          </w:p>
        </w:tc>
        <w:tc>
          <w:tcPr>
            <w:tcW w:w="991" w:type="dxa"/>
            <w:tcBorders>
              <w:top w:val="single" w:sz="6" w:space="0" w:color="000000"/>
              <w:left w:val="single" w:sz="6" w:space="0" w:color="000000"/>
              <w:right w:val="single" w:sz="6" w:space="0" w:color="000000"/>
            </w:tcBorders>
          </w:tcPr>
          <w:p>
            <w:pPr>
              <w:pStyle w:val="TableParagraph"/>
              <w:spacing w:before="42"/>
              <w:ind w:left="213"/>
              <w:rPr>
                <w:sz w:val="20"/>
              </w:rPr>
            </w:pPr>
            <w:r>
              <w:rPr>
                <w:sz w:val="20"/>
              </w:rPr>
              <w:t>16384</w:t>
            </w:r>
          </w:p>
        </w:tc>
        <w:tc>
          <w:tcPr>
            <w:tcW w:w="5853" w:type="dxa"/>
            <w:vMerge/>
            <w:tcBorders>
              <w:top w:val="nil"/>
              <w:left w:val="single" w:sz="6" w:space="0" w:color="000000"/>
            </w:tcBorders>
          </w:tcPr>
          <w:p>
            <w:pPr>
              <w:rPr>
                <w:sz w:val="2"/>
                <w:szCs w:val="2"/>
              </w:rPr>
            </w:pPr>
          </w:p>
        </w:tc>
      </w:tr>
    </w:tbl>
    <w:p>
      <w:pPr>
        <w:pStyle w:val="BodyText"/>
        <w:spacing w:before="1"/>
        <w:rPr>
          <w:b/>
          <w:sz w:val="30"/>
        </w:rPr>
      </w:pPr>
    </w:p>
    <w:p>
      <w:pPr>
        <w:pStyle w:val="ListParagraph"/>
        <w:numPr>
          <w:ilvl w:val="2"/>
          <w:numId w:val="30"/>
        </w:numPr>
        <w:tabs>
          <w:tab w:pos="1199" w:val="left" w:leader="none"/>
          <w:tab w:pos="1200" w:val="left" w:leader="none"/>
        </w:tabs>
        <w:spacing w:line="240" w:lineRule="auto" w:before="0" w:after="0"/>
        <w:ind w:left="1199" w:right="0" w:hanging="720"/>
        <w:jc w:val="left"/>
        <w:rPr>
          <w:b/>
          <w:sz w:val="22"/>
        </w:rPr>
      </w:pPr>
      <w:bookmarkStart w:name="5.3.8 CE Transfer Variables" w:id="471"/>
      <w:bookmarkEnd w:id="471"/>
      <w:r>
        <w:rPr/>
      </w:r>
      <w:bookmarkStart w:name="_bookmark228" w:id="472"/>
      <w:bookmarkEnd w:id="472"/>
      <w:r>
        <w:rPr/>
      </w:r>
      <w:bookmarkStart w:name="_bookmark228" w:id="473"/>
      <w:bookmarkEnd w:id="473"/>
      <w:r>
        <w:rPr>
          <w:b/>
          <w:sz w:val="22"/>
        </w:rPr>
        <w:t>C</w:t>
      </w:r>
      <w:r>
        <w:rPr>
          <w:b/>
          <w:sz w:val="22"/>
        </w:rPr>
        <w:t>E Transfer</w:t>
      </w:r>
      <w:r>
        <w:rPr>
          <w:b/>
          <w:spacing w:val="1"/>
          <w:sz w:val="22"/>
        </w:rPr>
        <w:t> </w:t>
      </w:r>
      <w:r>
        <w:rPr>
          <w:b/>
          <w:sz w:val="22"/>
        </w:rPr>
        <w:t>Variables</w:t>
      </w:r>
    </w:p>
    <w:p>
      <w:pPr>
        <w:pStyle w:val="BodyText"/>
        <w:spacing w:before="121"/>
        <w:ind w:left="480" w:right="569"/>
      </w:pPr>
      <w:r>
        <w:rPr/>
        <w:t>When the MPU receives the XFER_BUSY interrupt, it knows that fresh data is available in the transfer variables. CE transfer variables are modified during the CE code pass that ends with an XFER_BUSY interrupt. They remain constant throughout each accumulation interval. In this data sheet, the names of CE transfer variables always end with _X. The transfer variables can be categorized as:</w:t>
      </w:r>
    </w:p>
    <w:p>
      <w:pPr>
        <w:pStyle w:val="ListParagraph"/>
        <w:numPr>
          <w:ilvl w:val="0"/>
          <w:numId w:val="31"/>
        </w:numPr>
        <w:tabs>
          <w:tab w:pos="839" w:val="left" w:leader="none"/>
          <w:tab w:pos="840" w:val="left" w:leader="none"/>
        </w:tabs>
        <w:spacing w:line="240" w:lineRule="auto" w:before="123" w:after="0"/>
        <w:ind w:left="839" w:right="0" w:hanging="360"/>
        <w:jc w:val="left"/>
        <w:rPr>
          <w:sz w:val="20"/>
        </w:rPr>
      </w:pPr>
      <w:r>
        <w:rPr>
          <w:sz w:val="20"/>
        </w:rPr>
        <w:t>Fundamental energy measurement</w:t>
      </w:r>
      <w:r>
        <w:rPr>
          <w:spacing w:val="-6"/>
          <w:sz w:val="20"/>
        </w:rPr>
        <w:t> </w:t>
      </w:r>
      <w:r>
        <w:rPr>
          <w:sz w:val="20"/>
        </w:rPr>
        <w:t>variables</w:t>
      </w:r>
    </w:p>
    <w:p>
      <w:pPr>
        <w:pStyle w:val="ListParagraph"/>
        <w:numPr>
          <w:ilvl w:val="0"/>
          <w:numId w:val="31"/>
        </w:numPr>
        <w:tabs>
          <w:tab w:pos="839" w:val="left" w:leader="none"/>
          <w:tab w:pos="840" w:val="left" w:leader="none"/>
        </w:tabs>
        <w:spacing w:line="240" w:lineRule="auto" w:before="38" w:after="0"/>
        <w:ind w:left="839" w:right="0" w:hanging="360"/>
        <w:jc w:val="left"/>
        <w:rPr>
          <w:sz w:val="20"/>
        </w:rPr>
      </w:pPr>
      <w:r>
        <w:rPr>
          <w:sz w:val="20"/>
        </w:rPr>
        <w:t>Instantaneous (RMS)</w:t>
      </w:r>
      <w:r>
        <w:rPr>
          <w:spacing w:val="-1"/>
          <w:sz w:val="20"/>
        </w:rPr>
        <w:t> </w:t>
      </w:r>
      <w:r>
        <w:rPr>
          <w:sz w:val="20"/>
        </w:rPr>
        <w:t>values</w:t>
      </w:r>
    </w:p>
    <w:p>
      <w:pPr>
        <w:pStyle w:val="ListParagraph"/>
        <w:numPr>
          <w:ilvl w:val="0"/>
          <w:numId w:val="31"/>
        </w:numPr>
        <w:tabs>
          <w:tab w:pos="839" w:val="left" w:leader="none"/>
          <w:tab w:pos="840" w:val="left" w:leader="none"/>
        </w:tabs>
        <w:spacing w:line="240" w:lineRule="auto" w:before="39" w:after="0"/>
        <w:ind w:left="839" w:right="0" w:hanging="360"/>
        <w:jc w:val="left"/>
        <w:rPr>
          <w:sz w:val="20"/>
        </w:rPr>
      </w:pPr>
      <w:r>
        <w:rPr>
          <w:sz w:val="20"/>
        </w:rPr>
        <w:t>Other measurement</w:t>
      </w:r>
      <w:r>
        <w:rPr>
          <w:spacing w:val="-2"/>
          <w:sz w:val="20"/>
        </w:rPr>
        <w:t> </w:t>
      </w:r>
      <w:r>
        <w:rPr>
          <w:sz w:val="20"/>
        </w:rPr>
        <w:t>parameters</w:t>
      </w:r>
    </w:p>
    <w:p>
      <w:pPr>
        <w:pStyle w:val="BodyText"/>
        <w:spacing w:before="8"/>
        <w:rPr>
          <w:sz w:val="19"/>
        </w:rPr>
      </w:pPr>
    </w:p>
    <w:p>
      <w:pPr>
        <w:spacing w:before="0"/>
        <w:ind w:left="480" w:right="0" w:firstLine="0"/>
        <w:jc w:val="left"/>
        <w:rPr>
          <w:b/>
          <w:sz w:val="20"/>
        </w:rPr>
      </w:pPr>
      <w:bookmarkStart w:name="Fundamental Energy Measurement Variables" w:id="474"/>
      <w:bookmarkEnd w:id="474"/>
      <w:r>
        <w:rPr/>
      </w:r>
      <w:r>
        <w:rPr>
          <w:b/>
          <w:sz w:val="20"/>
        </w:rPr>
        <w:t>Fundamental Energy Measurement Variables</w:t>
      </w:r>
    </w:p>
    <w:p>
      <w:pPr>
        <w:pStyle w:val="BodyText"/>
        <w:spacing w:before="80"/>
        <w:ind w:left="480" w:right="555"/>
      </w:pPr>
      <w:hyperlink w:history="true" w:anchor="_bookmark229">
        <w:r>
          <w:rPr>
            <w:color w:val="0000FF"/>
          </w:rPr>
          <w:t>Table 78 </w:t>
        </w:r>
      </w:hyperlink>
      <w:r>
        <w:rPr/>
        <w:t>describes each transfer variable for fundamental energy measurement. All variables are signed 32-bit integers. Accumulated variables such as WSUM are internally scaled so they have at least 2x margin</w:t>
      </w:r>
      <w:r>
        <w:rPr>
          <w:spacing w:val="-16"/>
        </w:rPr>
        <w:t> </w:t>
      </w:r>
      <w:r>
        <w:rPr/>
        <w:t>before</w:t>
      </w:r>
      <w:r>
        <w:rPr>
          <w:spacing w:val="-15"/>
        </w:rPr>
        <w:t> </w:t>
      </w:r>
      <w:r>
        <w:rPr/>
        <w:t>overflow</w:t>
      </w:r>
      <w:r>
        <w:rPr>
          <w:spacing w:val="-15"/>
        </w:rPr>
        <w:t> </w:t>
      </w:r>
      <w:r>
        <w:rPr/>
        <w:t>when</w:t>
      </w:r>
      <w:r>
        <w:rPr>
          <w:spacing w:val="-17"/>
        </w:rPr>
        <w:t> </w:t>
      </w:r>
      <w:r>
        <w:rPr/>
        <w:t>the</w:t>
      </w:r>
      <w:r>
        <w:rPr>
          <w:spacing w:val="-16"/>
        </w:rPr>
        <w:t> </w:t>
      </w:r>
      <w:r>
        <w:rPr/>
        <w:t>integration</w:t>
      </w:r>
      <w:r>
        <w:rPr>
          <w:spacing w:val="-17"/>
        </w:rPr>
        <w:t> </w:t>
      </w:r>
      <w:r>
        <w:rPr/>
        <w:t>time</w:t>
      </w:r>
      <w:r>
        <w:rPr>
          <w:spacing w:val="-17"/>
        </w:rPr>
        <w:t> </w:t>
      </w:r>
      <w:r>
        <w:rPr/>
        <w:t>is</w:t>
      </w:r>
      <w:r>
        <w:rPr>
          <w:spacing w:val="-13"/>
        </w:rPr>
        <w:t> </w:t>
      </w:r>
      <w:r>
        <w:rPr/>
        <w:t>one</w:t>
      </w:r>
      <w:r>
        <w:rPr>
          <w:spacing w:val="-14"/>
        </w:rPr>
        <w:t> </w:t>
      </w:r>
      <w:r>
        <w:rPr/>
        <w:t>second.</w:t>
      </w:r>
      <w:r>
        <w:rPr>
          <w:spacing w:val="26"/>
        </w:rPr>
        <w:t> </w:t>
      </w:r>
      <w:r>
        <w:rPr/>
        <w:t>Additionally,</w:t>
      </w:r>
      <w:r>
        <w:rPr>
          <w:spacing w:val="-15"/>
        </w:rPr>
        <w:t> </w:t>
      </w:r>
      <w:r>
        <w:rPr/>
        <w:t>the</w:t>
      </w:r>
      <w:r>
        <w:rPr>
          <w:spacing w:val="-15"/>
        </w:rPr>
        <w:t> </w:t>
      </w:r>
      <w:r>
        <w:rPr/>
        <w:t>hardware</w:t>
      </w:r>
      <w:r>
        <w:rPr>
          <w:spacing w:val="-15"/>
        </w:rPr>
        <w:t> </w:t>
      </w:r>
      <w:r>
        <w:rPr/>
        <w:t>does</w:t>
      </w:r>
      <w:r>
        <w:rPr>
          <w:spacing w:val="-15"/>
        </w:rPr>
        <w:t> </w:t>
      </w:r>
      <w:r>
        <w:rPr/>
        <w:t>not</w:t>
      </w:r>
      <w:r>
        <w:rPr>
          <w:spacing w:val="-15"/>
        </w:rPr>
        <w:t> </w:t>
      </w:r>
      <w:r>
        <w:rPr/>
        <w:t>permit output values to fold back upon</w:t>
      </w:r>
      <w:r>
        <w:rPr>
          <w:spacing w:val="4"/>
        </w:rPr>
        <w:t> </w:t>
      </w:r>
      <w:r>
        <w:rPr/>
        <w:t>overflow.</w:t>
      </w:r>
    </w:p>
    <w:p>
      <w:pPr>
        <w:pStyle w:val="Heading1"/>
        <w:spacing w:before="119"/>
        <w:ind w:left="829" w:right="797"/>
      </w:pPr>
      <w:bookmarkStart w:name="_bookmark229" w:id="475"/>
      <w:bookmarkEnd w:id="475"/>
      <w:r>
        <w:rPr>
          <w:b w:val="0"/>
        </w:rPr>
      </w:r>
      <w:r>
        <w:rPr/>
        <w:t>Table 78: CE Transfer Variables (with Shunts)</w:t>
      </w:r>
    </w:p>
    <w:p>
      <w:pPr>
        <w:pStyle w:val="BodyText"/>
        <w:spacing w:before="7"/>
        <w:rPr>
          <w:b/>
          <w:sz w:val="5"/>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7"/>
        <w:gridCol w:w="1486"/>
        <w:gridCol w:w="5064"/>
        <w:gridCol w:w="2004"/>
      </w:tblGrid>
      <w:tr>
        <w:trPr>
          <w:trHeight w:val="539" w:hRule="atLeast"/>
        </w:trPr>
        <w:tc>
          <w:tcPr>
            <w:tcW w:w="1037" w:type="dxa"/>
            <w:tcBorders>
              <w:bottom w:val="single" w:sz="6" w:space="0" w:color="000000"/>
              <w:right w:val="single" w:sz="6" w:space="0" w:color="000000"/>
            </w:tcBorders>
          </w:tcPr>
          <w:p>
            <w:pPr>
              <w:pStyle w:val="TableParagraph"/>
              <w:spacing w:line="229" w:lineRule="exact" w:before="36"/>
              <w:ind w:left="95" w:right="84"/>
              <w:jc w:val="center"/>
              <w:rPr>
                <w:b/>
                <w:sz w:val="20"/>
              </w:rPr>
            </w:pPr>
            <w:r>
              <w:rPr>
                <w:b/>
                <w:sz w:val="20"/>
              </w:rPr>
              <w:t>CE</w:t>
            </w:r>
          </w:p>
          <w:p>
            <w:pPr>
              <w:pStyle w:val="TableParagraph"/>
              <w:spacing w:line="229" w:lineRule="exact"/>
              <w:ind w:left="95" w:right="88"/>
              <w:jc w:val="center"/>
              <w:rPr>
                <w:b/>
                <w:sz w:val="20"/>
              </w:rPr>
            </w:pPr>
            <w:r>
              <w:rPr>
                <w:b/>
                <w:sz w:val="20"/>
              </w:rPr>
              <w:t>Address</w:t>
            </w:r>
          </w:p>
        </w:tc>
        <w:tc>
          <w:tcPr>
            <w:tcW w:w="1486" w:type="dxa"/>
            <w:tcBorders>
              <w:left w:val="single" w:sz="6" w:space="0" w:color="000000"/>
              <w:bottom w:val="single" w:sz="6" w:space="0" w:color="000000"/>
              <w:right w:val="single" w:sz="6" w:space="0" w:color="000000"/>
            </w:tcBorders>
          </w:tcPr>
          <w:p>
            <w:pPr>
              <w:pStyle w:val="TableParagraph"/>
              <w:spacing w:before="151"/>
              <w:ind w:left="468"/>
              <w:rPr>
                <w:b/>
                <w:sz w:val="20"/>
              </w:rPr>
            </w:pPr>
            <w:r>
              <w:rPr>
                <w:b/>
                <w:sz w:val="20"/>
              </w:rPr>
              <w:t>Name</w:t>
            </w:r>
          </w:p>
        </w:tc>
        <w:tc>
          <w:tcPr>
            <w:tcW w:w="5064" w:type="dxa"/>
            <w:tcBorders>
              <w:left w:val="single" w:sz="6" w:space="0" w:color="000000"/>
              <w:bottom w:val="single" w:sz="6" w:space="0" w:color="000000"/>
              <w:right w:val="single" w:sz="6" w:space="0" w:color="000000"/>
            </w:tcBorders>
          </w:tcPr>
          <w:p>
            <w:pPr>
              <w:pStyle w:val="TableParagraph"/>
              <w:spacing w:before="151"/>
              <w:ind w:left="1955" w:right="1952"/>
              <w:jc w:val="center"/>
              <w:rPr>
                <w:b/>
                <w:sz w:val="20"/>
              </w:rPr>
            </w:pPr>
            <w:r>
              <w:rPr>
                <w:b/>
                <w:sz w:val="20"/>
              </w:rPr>
              <w:t>Description</w:t>
            </w:r>
          </w:p>
        </w:tc>
        <w:tc>
          <w:tcPr>
            <w:tcW w:w="2004" w:type="dxa"/>
            <w:tcBorders>
              <w:left w:val="single" w:sz="6" w:space="0" w:color="000000"/>
              <w:bottom w:val="single" w:sz="6" w:space="0" w:color="000000"/>
            </w:tcBorders>
          </w:tcPr>
          <w:p>
            <w:pPr>
              <w:pStyle w:val="TableParagraph"/>
              <w:spacing w:before="151"/>
              <w:ind w:left="342"/>
              <w:rPr>
                <w:b/>
                <w:sz w:val="20"/>
              </w:rPr>
            </w:pPr>
            <w:r>
              <w:rPr>
                <w:b/>
                <w:sz w:val="20"/>
              </w:rPr>
              <w:t>Configuration</w:t>
            </w:r>
          </w:p>
        </w:tc>
      </w:tr>
      <w:tr>
        <w:trPr>
          <w:trHeight w:val="270" w:hRule="atLeast"/>
        </w:trPr>
        <w:tc>
          <w:tcPr>
            <w:tcW w:w="1037" w:type="dxa"/>
            <w:tcBorders>
              <w:top w:val="single" w:sz="6" w:space="0" w:color="000000"/>
              <w:bottom w:val="single" w:sz="6" w:space="0" w:color="000000"/>
              <w:right w:val="single" w:sz="6" w:space="0" w:color="000000"/>
            </w:tcBorders>
          </w:tcPr>
          <w:p>
            <w:pPr>
              <w:pStyle w:val="TableParagraph"/>
              <w:spacing w:before="18"/>
              <w:ind w:left="299"/>
              <w:rPr>
                <w:sz w:val="20"/>
              </w:rPr>
            </w:pPr>
            <w:r>
              <w:rPr>
                <w:sz w:val="20"/>
              </w:rPr>
              <w:t>0x84</w:t>
            </w:r>
          </w:p>
        </w:tc>
        <w:tc>
          <w:tcPr>
            <w:tcW w:w="1486" w:type="dxa"/>
            <w:tcBorders>
              <w:top w:val="single" w:sz="6" w:space="0" w:color="000000"/>
              <w:left w:val="single" w:sz="6" w:space="0" w:color="000000"/>
              <w:bottom w:val="single" w:sz="6" w:space="0" w:color="000000"/>
              <w:right w:val="single" w:sz="6" w:space="0" w:color="000000"/>
            </w:tcBorders>
          </w:tcPr>
          <w:p>
            <w:pPr>
              <w:pStyle w:val="TableParagraph"/>
              <w:spacing w:before="14"/>
              <w:ind w:left="340"/>
              <w:rPr>
                <w:rFonts w:ascii="Times New Roman"/>
                <w:i/>
                <w:sz w:val="20"/>
              </w:rPr>
            </w:pPr>
            <w:r>
              <w:rPr>
                <w:rFonts w:ascii="Times New Roman"/>
                <w:i/>
                <w:sz w:val="20"/>
              </w:rPr>
              <w:t>WSUM_X</w:t>
            </w:r>
          </w:p>
        </w:tc>
        <w:tc>
          <w:tcPr>
            <w:tcW w:w="5064" w:type="dxa"/>
            <w:tcBorders>
              <w:top w:val="single" w:sz="6" w:space="0" w:color="000000"/>
              <w:left w:val="single" w:sz="6" w:space="0" w:color="000000"/>
              <w:bottom w:val="single" w:sz="6" w:space="0" w:color="000000"/>
              <w:right w:val="single" w:sz="6" w:space="0" w:color="000000"/>
            </w:tcBorders>
          </w:tcPr>
          <w:p>
            <w:pPr>
              <w:pStyle w:val="TableParagraph"/>
              <w:spacing w:before="13"/>
              <w:ind w:left="111"/>
              <w:rPr>
                <w:sz w:val="20"/>
              </w:rPr>
            </w:pPr>
            <w:r>
              <w:rPr>
                <w:sz w:val="20"/>
              </w:rPr>
              <w:t>The signed sum: </w:t>
            </w:r>
            <w:r>
              <w:rPr>
                <w:rFonts w:ascii="Times New Roman"/>
                <w:i/>
                <w:sz w:val="20"/>
              </w:rPr>
              <w:t>W0SUM_X+W1SUM_X+W2SUM_X</w:t>
            </w:r>
            <w:r>
              <w:rPr>
                <w:sz w:val="20"/>
              </w:rPr>
              <w:t>.</w:t>
            </w:r>
          </w:p>
        </w:tc>
        <w:tc>
          <w:tcPr>
            <w:tcW w:w="2004" w:type="dxa"/>
            <w:vMerge w:val="restart"/>
            <w:tcBorders>
              <w:top w:val="single" w:sz="6" w:space="0" w:color="000000"/>
              <w:lef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5"/>
              <w:rPr>
                <w:b/>
                <w:sz w:val="32"/>
              </w:rPr>
            </w:pPr>
          </w:p>
          <w:p>
            <w:pPr>
              <w:pStyle w:val="TableParagraph"/>
              <w:ind w:left="119"/>
              <w:rPr>
                <w:sz w:val="20"/>
              </w:rPr>
            </w:pPr>
            <w:hyperlink w:history="true" w:anchor="_bookmark179">
              <w:r>
                <w:rPr>
                  <w:color w:val="0000FF"/>
                  <w:sz w:val="20"/>
                </w:rPr>
                <w:t>Figure 31 </w:t>
              </w:r>
            </w:hyperlink>
            <w:r>
              <w:rPr>
                <w:sz w:val="20"/>
              </w:rPr>
              <w:t>(page </w:t>
            </w:r>
            <w:hyperlink w:history="true" w:anchor="_bookmark179">
              <w:r>
                <w:rPr>
                  <w:color w:val="0000FF"/>
                  <w:sz w:val="20"/>
                </w:rPr>
                <w:t>86</w:t>
              </w:r>
            </w:hyperlink>
            <w:r>
              <w:rPr>
                <w:sz w:val="20"/>
              </w:rPr>
              <w:t>)</w:t>
            </w:r>
          </w:p>
        </w:tc>
      </w:tr>
      <w:tr>
        <w:trPr>
          <w:trHeight w:val="270" w:hRule="atLeast"/>
        </w:trPr>
        <w:tc>
          <w:tcPr>
            <w:tcW w:w="1037" w:type="dxa"/>
            <w:tcBorders>
              <w:top w:val="single" w:sz="6" w:space="0" w:color="000000"/>
              <w:bottom w:val="single" w:sz="6" w:space="0" w:color="000000"/>
              <w:right w:val="single" w:sz="6" w:space="0" w:color="000000"/>
            </w:tcBorders>
          </w:tcPr>
          <w:p>
            <w:pPr>
              <w:pStyle w:val="TableParagraph"/>
              <w:spacing w:before="18"/>
              <w:ind w:left="299"/>
              <w:rPr>
                <w:sz w:val="20"/>
              </w:rPr>
            </w:pPr>
            <w:r>
              <w:rPr>
                <w:sz w:val="20"/>
              </w:rPr>
              <w:t>0x85</w:t>
            </w:r>
          </w:p>
        </w:tc>
        <w:tc>
          <w:tcPr>
            <w:tcW w:w="1486" w:type="dxa"/>
            <w:tcBorders>
              <w:top w:val="single" w:sz="6" w:space="0" w:color="000000"/>
              <w:left w:val="single" w:sz="6" w:space="0" w:color="000000"/>
              <w:bottom w:val="single" w:sz="6" w:space="0" w:color="000000"/>
              <w:right w:val="single" w:sz="6" w:space="0" w:color="000000"/>
            </w:tcBorders>
          </w:tcPr>
          <w:p>
            <w:pPr>
              <w:pStyle w:val="TableParagraph"/>
              <w:spacing w:before="14"/>
              <w:ind w:left="289"/>
              <w:rPr>
                <w:rFonts w:ascii="Times New Roman"/>
                <w:i/>
                <w:sz w:val="20"/>
              </w:rPr>
            </w:pPr>
            <w:r>
              <w:rPr>
                <w:rFonts w:ascii="Times New Roman"/>
                <w:i/>
                <w:sz w:val="20"/>
              </w:rPr>
              <w:t>W0SUM_X</w:t>
            </w:r>
          </w:p>
        </w:tc>
        <w:tc>
          <w:tcPr>
            <w:tcW w:w="506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4"/>
              <w:ind w:left="111" w:right="883"/>
              <w:rPr>
                <w:sz w:val="20"/>
              </w:rPr>
            </w:pPr>
            <w:r>
              <w:rPr>
                <w:sz w:val="20"/>
              </w:rPr>
              <w:t>The sum of Wh samples from each wattmeter element.</w:t>
            </w:r>
          </w:p>
          <w:p>
            <w:pPr>
              <w:pStyle w:val="TableParagraph"/>
              <w:spacing w:before="20"/>
              <w:ind w:left="471"/>
              <w:rPr>
                <w:sz w:val="20"/>
              </w:rPr>
            </w:pPr>
            <w:r>
              <w:rPr>
                <w:sz w:val="20"/>
              </w:rPr>
              <w:t>LSB</w:t>
            </w:r>
            <w:r>
              <w:rPr>
                <w:sz w:val="20"/>
                <w:vertAlign w:val="subscript"/>
              </w:rPr>
              <w:t>W</w:t>
            </w:r>
            <w:r>
              <w:rPr>
                <w:sz w:val="20"/>
                <w:vertAlign w:val="baseline"/>
              </w:rPr>
              <w:t> = 7.7562*10</w:t>
            </w:r>
            <w:r>
              <w:rPr>
                <w:sz w:val="20"/>
                <w:vertAlign w:val="superscript"/>
              </w:rPr>
              <w:t>-13</w:t>
            </w:r>
            <w:r>
              <w:rPr>
                <w:sz w:val="20"/>
                <w:vertAlign w:val="baseline"/>
              </w:rPr>
              <w:t> VMAX * IMAX Wh.</w:t>
            </w:r>
          </w:p>
        </w:tc>
        <w:tc>
          <w:tcPr>
            <w:tcW w:w="2004" w:type="dxa"/>
            <w:vMerge/>
            <w:tcBorders>
              <w:top w:val="nil"/>
              <w:left w:val="single" w:sz="6" w:space="0" w:color="000000"/>
            </w:tcBorders>
          </w:tcPr>
          <w:p>
            <w:pPr>
              <w:rPr>
                <w:sz w:val="2"/>
                <w:szCs w:val="2"/>
              </w:rPr>
            </w:pPr>
          </w:p>
        </w:tc>
      </w:tr>
      <w:tr>
        <w:trPr>
          <w:trHeight w:val="268" w:hRule="atLeast"/>
        </w:trPr>
        <w:tc>
          <w:tcPr>
            <w:tcW w:w="1037" w:type="dxa"/>
            <w:tcBorders>
              <w:top w:val="single" w:sz="6" w:space="0" w:color="000000"/>
              <w:bottom w:val="single" w:sz="6" w:space="0" w:color="000000"/>
              <w:right w:val="single" w:sz="6" w:space="0" w:color="000000"/>
            </w:tcBorders>
          </w:tcPr>
          <w:p>
            <w:pPr>
              <w:pStyle w:val="TableParagraph"/>
              <w:spacing w:line="230" w:lineRule="exact" w:before="18"/>
              <w:ind w:left="299"/>
              <w:rPr>
                <w:sz w:val="20"/>
              </w:rPr>
            </w:pPr>
            <w:r>
              <w:rPr>
                <w:sz w:val="20"/>
              </w:rPr>
              <w:t>0x86</w:t>
            </w:r>
          </w:p>
        </w:tc>
        <w:tc>
          <w:tcPr>
            <w:tcW w:w="1486" w:type="dxa"/>
            <w:tcBorders>
              <w:top w:val="single" w:sz="6" w:space="0" w:color="000000"/>
              <w:left w:val="single" w:sz="6" w:space="0" w:color="000000"/>
              <w:bottom w:val="single" w:sz="6" w:space="0" w:color="000000"/>
              <w:right w:val="single" w:sz="6" w:space="0" w:color="000000"/>
            </w:tcBorders>
          </w:tcPr>
          <w:p>
            <w:pPr>
              <w:pStyle w:val="TableParagraph"/>
              <w:spacing w:before="14"/>
              <w:ind w:left="289"/>
              <w:rPr>
                <w:rFonts w:ascii="Times New Roman"/>
                <w:i/>
                <w:sz w:val="20"/>
              </w:rPr>
            </w:pPr>
            <w:r>
              <w:rPr>
                <w:rFonts w:ascii="Times New Roman"/>
                <w:i/>
                <w:sz w:val="20"/>
              </w:rPr>
              <w:t>W1SUM_X</w:t>
            </w:r>
          </w:p>
        </w:tc>
        <w:tc>
          <w:tcPr>
            <w:tcW w:w="5064" w:type="dxa"/>
            <w:vMerge/>
            <w:tcBorders>
              <w:top w:val="nil"/>
              <w:left w:val="single" w:sz="6" w:space="0" w:color="000000"/>
              <w:bottom w:val="single" w:sz="6" w:space="0" w:color="000000"/>
              <w:right w:val="single" w:sz="6" w:space="0" w:color="000000"/>
            </w:tcBorders>
          </w:tcPr>
          <w:p>
            <w:pPr>
              <w:rPr>
                <w:sz w:val="2"/>
                <w:szCs w:val="2"/>
              </w:rPr>
            </w:pPr>
          </w:p>
        </w:tc>
        <w:tc>
          <w:tcPr>
            <w:tcW w:w="2004" w:type="dxa"/>
            <w:vMerge/>
            <w:tcBorders>
              <w:top w:val="nil"/>
              <w:left w:val="single" w:sz="6" w:space="0" w:color="000000"/>
            </w:tcBorders>
          </w:tcPr>
          <w:p>
            <w:pPr>
              <w:rPr>
                <w:sz w:val="2"/>
                <w:szCs w:val="2"/>
              </w:rPr>
            </w:pPr>
          </w:p>
        </w:tc>
      </w:tr>
      <w:tr>
        <w:trPr>
          <w:trHeight w:val="270" w:hRule="atLeast"/>
        </w:trPr>
        <w:tc>
          <w:tcPr>
            <w:tcW w:w="1037" w:type="dxa"/>
            <w:tcBorders>
              <w:top w:val="single" w:sz="6" w:space="0" w:color="000000"/>
              <w:bottom w:val="single" w:sz="6" w:space="0" w:color="000000"/>
              <w:right w:val="single" w:sz="6" w:space="0" w:color="000000"/>
            </w:tcBorders>
          </w:tcPr>
          <w:p>
            <w:pPr>
              <w:pStyle w:val="TableParagraph"/>
              <w:spacing w:line="230" w:lineRule="exact" w:before="21"/>
              <w:ind w:left="299"/>
              <w:rPr>
                <w:sz w:val="20"/>
              </w:rPr>
            </w:pPr>
            <w:r>
              <w:rPr>
                <w:sz w:val="20"/>
              </w:rPr>
              <w:t>0x87</w:t>
            </w:r>
          </w:p>
        </w:tc>
        <w:tc>
          <w:tcPr>
            <w:tcW w:w="1486" w:type="dxa"/>
            <w:tcBorders>
              <w:top w:val="single" w:sz="6" w:space="0" w:color="000000"/>
              <w:left w:val="single" w:sz="6" w:space="0" w:color="000000"/>
              <w:bottom w:val="single" w:sz="6" w:space="0" w:color="000000"/>
              <w:right w:val="single" w:sz="6" w:space="0" w:color="000000"/>
            </w:tcBorders>
          </w:tcPr>
          <w:p>
            <w:pPr>
              <w:pStyle w:val="TableParagraph"/>
              <w:spacing w:before="17"/>
              <w:ind w:left="289"/>
              <w:rPr>
                <w:rFonts w:ascii="Times New Roman"/>
                <w:i/>
                <w:sz w:val="20"/>
              </w:rPr>
            </w:pPr>
            <w:r>
              <w:rPr>
                <w:rFonts w:ascii="Times New Roman"/>
                <w:i/>
                <w:sz w:val="20"/>
              </w:rPr>
              <w:t>W2SUM_X</w:t>
            </w:r>
          </w:p>
        </w:tc>
        <w:tc>
          <w:tcPr>
            <w:tcW w:w="5064" w:type="dxa"/>
            <w:vMerge/>
            <w:tcBorders>
              <w:top w:val="nil"/>
              <w:left w:val="single" w:sz="6" w:space="0" w:color="000000"/>
              <w:bottom w:val="single" w:sz="6" w:space="0" w:color="000000"/>
              <w:right w:val="single" w:sz="6" w:space="0" w:color="000000"/>
            </w:tcBorders>
          </w:tcPr>
          <w:p>
            <w:pPr>
              <w:rPr>
                <w:sz w:val="2"/>
                <w:szCs w:val="2"/>
              </w:rPr>
            </w:pPr>
          </w:p>
        </w:tc>
        <w:tc>
          <w:tcPr>
            <w:tcW w:w="2004" w:type="dxa"/>
            <w:vMerge/>
            <w:tcBorders>
              <w:top w:val="nil"/>
              <w:left w:val="single" w:sz="6" w:space="0" w:color="000000"/>
            </w:tcBorders>
          </w:tcPr>
          <w:p>
            <w:pPr>
              <w:rPr>
                <w:sz w:val="2"/>
                <w:szCs w:val="2"/>
              </w:rPr>
            </w:pPr>
          </w:p>
        </w:tc>
      </w:tr>
      <w:tr>
        <w:trPr>
          <w:trHeight w:val="500" w:hRule="atLeast"/>
        </w:trPr>
        <w:tc>
          <w:tcPr>
            <w:tcW w:w="1037" w:type="dxa"/>
            <w:tcBorders>
              <w:top w:val="single" w:sz="6" w:space="0" w:color="000000"/>
              <w:bottom w:val="single" w:sz="6" w:space="0" w:color="000000"/>
              <w:right w:val="single" w:sz="6" w:space="0" w:color="000000"/>
            </w:tcBorders>
          </w:tcPr>
          <w:p>
            <w:pPr>
              <w:pStyle w:val="TableParagraph"/>
              <w:spacing w:before="18"/>
              <w:ind w:left="299"/>
              <w:rPr>
                <w:sz w:val="20"/>
              </w:rPr>
            </w:pPr>
            <w:r>
              <w:rPr>
                <w:sz w:val="20"/>
              </w:rPr>
              <w:t>0x88</w:t>
            </w:r>
          </w:p>
        </w:tc>
        <w:tc>
          <w:tcPr>
            <w:tcW w:w="1486" w:type="dxa"/>
            <w:tcBorders>
              <w:top w:val="single" w:sz="6" w:space="0" w:color="000000"/>
              <w:left w:val="single" w:sz="6" w:space="0" w:color="000000"/>
              <w:bottom w:val="single" w:sz="6" w:space="0" w:color="000000"/>
              <w:right w:val="single" w:sz="6" w:space="0" w:color="000000"/>
            </w:tcBorders>
          </w:tcPr>
          <w:p>
            <w:pPr>
              <w:pStyle w:val="TableParagraph"/>
              <w:spacing w:before="14"/>
              <w:ind w:right="229"/>
              <w:jc w:val="right"/>
              <w:rPr>
                <w:rFonts w:ascii="Times New Roman"/>
                <w:i/>
                <w:sz w:val="20"/>
              </w:rPr>
            </w:pPr>
            <w:r>
              <w:rPr>
                <w:rFonts w:ascii="Times New Roman"/>
                <w:i/>
                <w:w w:val="95"/>
                <w:sz w:val="20"/>
              </w:rPr>
              <w:t>VARSUM_X</w:t>
            </w:r>
          </w:p>
        </w:tc>
        <w:tc>
          <w:tcPr>
            <w:tcW w:w="5064" w:type="dxa"/>
            <w:tcBorders>
              <w:top w:val="single" w:sz="6" w:space="0" w:color="000000"/>
              <w:left w:val="single" w:sz="6" w:space="0" w:color="000000"/>
              <w:bottom w:val="single" w:sz="6" w:space="0" w:color="000000"/>
              <w:right w:val="single" w:sz="6" w:space="0" w:color="000000"/>
            </w:tcBorders>
          </w:tcPr>
          <w:p>
            <w:pPr>
              <w:pStyle w:val="TableParagraph"/>
              <w:spacing w:line="228" w:lineRule="exact" w:before="18"/>
              <w:ind w:left="111"/>
              <w:rPr>
                <w:sz w:val="20"/>
              </w:rPr>
            </w:pPr>
            <w:r>
              <w:rPr>
                <w:sz w:val="20"/>
              </w:rPr>
              <w:t>The signed sum:</w:t>
            </w:r>
          </w:p>
          <w:p>
            <w:pPr>
              <w:pStyle w:val="TableParagraph"/>
              <w:spacing w:line="228" w:lineRule="exact"/>
              <w:ind w:left="111"/>
              <w:rPr>
                <w:rFonts w:ascii="Times New Roman"/>
                <w:i/>
                <w:sz w:val="20"/>
              </w:rPr>
            </w:pPr>
            <w:r>
              <w:rPr>
                <w:rFonts w:ascii="Times New Roman"/>
                <w:i/>
                <w:sz w:val="20"/>
              </w:rPr>
              <w:t>VAR0SUM_X+VAR1SUM_X+VAR2SUM_X.</w:t>
            </w:r>
          </w:p>
        </w:tc>
        <w:tc>
          <w:tcPr>
            <w:tcW w:w="2004" w:type="dxa"/>
            <w:vMerge/>
            <w:tcBorders>
              <w:top w:val="nil"/>
              <w:left w:val="single" w:sz="6" w:space="0" w:color="000000"/>
            </w:tcBorders>
          </w:tcPr>
          <w:p>
            <w:pPr>
              <w:rPr>
                <w:sz w:val="2"/>
                <w:szCs w:val="2"/>
              </w:rPr>
            </w:pPr>
          </w:p>
        </w:tc>
      </w:tr>
      <w:tr>
        <w:trPr>
          <w:trHeight w:val="268" w:hRule="atLeast"/>
        </w:trPr>
        <w:tc>
          <w:tcPr>
            <w:tcW w:w="1037" w:type="dxa"/>
            <w:tcBorders>
              <w:top w:val="single" w:sz="6" w:space="0" w:color="000000"/>
              <w:bottom w:val="single" w:sz="6" w:space="0" w:color="000000"/>
              <w:right w:val="single" w:sz="6" w:space="0" w:color="000000"/>
            </w:tcBorders>
          </w:tcPr>
          <w:p>
            <w:pPr>
              <w:pStyle w:val="TableParagraph"/>
              <w:spacing w:line="230" w:lineRule="exact" w:before="18"/>
              <w:ind w:left="299"/>
              <w:rPr>
                <w:sz w:val="20"/>
              </w:rPr>
            </w:pPr>
            <w:r>
              <w:rPr>
                <w:sz w:val="20"/>
              </w:rPr>
              <w:t>0x89</w:t>
            </w:r>
          </w:p>
        </w:tc>
        <w:tc>
          <w:tcPr>
            <w:tcW w:w="1486" w:type="dxa"/>
            <w:tcBorders>
              <w:top w:val="single" w:sz="6" w:space="0" w:color="000000"/>
              <w:left w:val="single" w:sz="6" w:space="0" w:color="000000"/>
              <w:bottom w:val="single" w:sz="6" w:space="0" w:color="000000"/>
              <w:right w:val="single" w:sz="6" w:space="0" w:color="000000"/>
            </w:tcBorders>
          </w:tcPr>
          <w:p>
            <w:pPr>
              <w:pStyle w:val="TableParagraph"/>
              <w:spacing w:before="14"/>
              <w:ind w:right="179"/>
              <w:jc w:val="right"/>
              <w:rPr>
                <w:rFonts w:ascii="Times New Roman"/>
                <w:i/>
                <w:sz w:val="20"/>
              </w:rPr>
            </w:pPr>
            <w:r>
              <w:rPr>
                <w:rFonts w:ascii="Times New Roman"/>
                <w:i/>
                <w:w w:val="95"/>
                <w:sz w:val="20"/>
              </w:rPr>
              <w:t>VAR0SUM_X</w:t>
            </w:r>
          </w:p>
        </w:tc>
        <w:tc>
          <w:tcPr>
            <w:tcW w:w="5064" w:type="dxa"/>
            <w:vMerge w:val="restart"/>
            <w:tcBorders>
              <w:top w:val="single" w:sz="6" w:space="0" w:color="000000"/>
              <w:left w:val="single" w:sz="6" w:space="0" w:color="000000"/>
              <w:right w:val="single" w:sz="6" w:space="0" w:color="000000"/>
            </w:tcBorders>
          </w:tcPr>
          <w:p>
            <w:pPr>
              <w:pStyle w:val="TableParagraph"/>
              <w:spacing w:before="64"/>
              <w:ind w:left="111" w:right="660"/>
              <w:rPr>
                <w:sz w:val="20"/>
              </w:rPr>
            </w:pPr>
            <w:r>
              <w:rPr>
                <w:sz w:val="20"/>
              </w:rPr>
              <w:t>The sum of VARh samples from each wattmeter element.</w:t>
            </w:r>
          </w:p>
          <w:p>
            <w:pPr>
              <w:pStyle w:val="TableParagraph"/>
              <w:spacing w:before="20"/>
              <w:ind w:left="471"/>
              <w:rPr>
                <w:sz w:val="20"/>
              </w:rPr>
            </w:pPr>
            <w:r>
              <w:rPr>
                <w:sz w:val="20"/>
              </w:rPr>
              <w:t>LSB</w:t>
            </w:r>
            <w:r>
              <w:rPr>
                <w:sz w:val="20"/>
                <w:vertAlign w:val="subscript"/>
              </w:rPr>
              <w:t>W</w:t>
            </w:r>
            <w:r>
              <w:rPr>
                <w:sz w:val="20"/>
                <w:vertAlign w:val="baseline"/>
              </w:rPr>
              <w:t> = 7.7562*10</w:t>
            </w:r>
            <w:r>
              <w:rPr>
                <w:sz w:val="20"/>
                <w:vertAlign w:val="superscript"/>
              </w:rPr>
              <w:t>-13</w:t>
            </w:r>
            <w:r>
              <w:rPr>
                <w:sz w:val="20"/>
                <w:vertAlign w:val="baseline"/>
              </w:rPr>
              <w:t> VMAX * IMAX VARh.</w:t>
            </w:r>
          </w:p>
        </w:tc>
        <w:tc>
          <w:tcPr>
            <w:tcW w:w="2004" w:type="dxa"/>
            <w:vMerge/>
            <w:tcBorders>
              <w:top w:val="nil"/>
              <w:left w:val="single" w:sz="6" w:space="0" w:color="000000"/>
            </w:tcBorders>
          </w:tcPr>
          <w:p>
            <w:pPr>
              <w:rPr>
                <w:sz w:val="2"/>
                <w:szCs w:val="2"/>
              </w:rPr>
            </w:pPr>
          </w:p>
        </w:tc>
      </w:tr>
      <w:tr>
        <w:trPr>
          <w:trHeight w:val="270" w:hRule="atLeast"/>
        </w:trPr>
        <w:tc>
          <w:tcPr>
            <w:tcW w:w="1037" w:type="dxa"/>
            <w:tcBorders>
              <w:top w:val="single" w:sz="6" w:space="0" w:color="000000"/>
              <w:bottom w:val="single" w:sz="6" w:space="0" w:color="000000"/>
              <w:right w:val="single" w:sz="6" w:space="0" w:color="000000"/>
            </w:tcBorders>
          </w:tcPr>
          <w:p>
            <w:pPr>
              <w:pStyle w:val="TableParagraph"/>
              <w:spacing w:line="230" w:lineRule="exact" w:before="21"/>
              <w:ind w:left="290"/>
              <w:rPr>
                <w:sz w:val="20"/>
              </w:rPr>
            </w:pPr>
            <w:r>
              <w:rPr>
                <w:sz w:val="20"/>
              </w:rPr>
              <w:t>0x8A</w:t>
            </w:r>
          </w:p>
        </w:tc>
        <w:tc>
          <w:tcPr>
            <w:tcW w:w="1486" w:type="dxa"/>
            <w:tcBorders>
              <w:top w:val="single" w:sz="6" w:space="0" w:color="000000"/>
              <w:left w:val="single" w:sz="6" w:space="0" w:color="000000"/>
              <w:bottom w:val="single" w:sz="6" w:space="0" w:color="000000"/>
              <w:right w:val="single" w:sz="6" w:space="0" w:color="000000"/>
            </w:tcBorders>
          </w:tcPr>
          <w:p>
            <w:pPr>
              <w:pStyle w:val="TableParagraph"/>
              <w:spacing w:before="17"/>
              <w:ind w:right="179"/>
              <w:jc w:val="right"/>
              <w:rPr>
                <w:rFonts w:ascii="Times New Roman"/>
                <w:i/>
                <w:sz w:val="20"/>
              </w:rPr>
            </w:pPr>
            <w:r>
              <w:rPr>
                <w:rFonts w:ascii="Times New Roman"/>
                <w:i/>
                <w:w w:val="95"/>
                <w:sz w:val="20"/>
              </w:rPr>
              <w:t>VAR1SUM_X</w:t>
            </w:r>
          </w:p>
        </w:tc>
        <w:tc>
          <w:tcPr>
            <w:tcW w:w="5064" w:type="dxa"/>
            <w:vMerge/>
            <w:tcBorders>
              <w:top w:val="nil"/>
              <w:left w:val="single" w:sz="6" w:space="0" w:color="000000"/>
              <w:right w:val="single" w:sz="6" w:space="0" w:color="000000"/>
            </w:tcBorders>
          </w:tcPr>
          <w:p>
            <w:pPr>
              <w:rPr>
                <w:sz w:val="2"/>
                <w:szCs w:val="2"/>
              </w:rPr>
            </w:pPr>
          </w:p>
        </w:tc>
        <w:tc>
          <w:tcPr>
            <w:tcW w:w="2004" w:type="dxa"/>
            <w:vMerge/>
            <w:tcBorders>
              <w:top w:val="nil"/>
              <w:left w:val="single" w:sz="6" w:space="0" w:color="000000"/>
            </w:tcBorders>
          </w:tcPr>
          <w:p>
            <w:pPr>
              <w:rPr>
                <w:sz w:val="2"/>
                <w:szCs w:val="2"/>
              </w:rPr>
            </w:pPr>
          </w:p>
        </w:tc>
      </w:tr>
      <w:tr>
        <w:trPr>
          <w:trHeight w:val="270" w:hRule="atLeast"/>
        </w:trPr>
        <w:tc>
          <w:tcPr>
            <w:tcW w:w="1037" w:type="dxa"/>
            <w:tcBorders>
              <w:top w:val="single" w:sz="6" w:space="0" w:color="000000"/>
              <w:right w:val="single" w:sz="6" w:space="0" w:color="000000"/>
            </w:tcBorders>
          </w:tcPr>
          <w:p>
            <w:pPr>
              <w:pStyle w:val="TableParagraph"/>
              <w:spacing w:before="18"/>
              <w:ind w:left="290"/>
              <w:rPr>
                <w:sz w:val="20"/>
              </w:rPr>
            </w:pPr>
            <w:r>
              <w:rPr>
                <w:sz w:val="20"/>
              </w:rPr>
              <w:t>0x8B</w:t>
            </w:r>
          </w:p>
        </w:tc>
        <w:tc>
          <w:tcPr>
            <w:tcW w:w="1486" w:type="dxa"/>
            <w:tcBorders>
              <w:top w:val="single" w:sz="6" w:space="0" w:color="000000"/>
              <w:left w:val="single" w:sz="6" w:space="0" w:color="000000"/>
              <w:right w:val="single" w:sz="6" w:space="0" w:color="000000"/>
            </w:tcBorders>
          </w:tcPr>
          <w:p>
            <w:pPr>
              <w:pStyle w:val="TableParagraph"/>
              <w:spacing w:before="14"/>
              <w:ind w:right="179"/>
              <w:jc w:val="right"/>
              <w:rPr>
                <w:rFonts w:ascii="Times New Roman"/>
                <w:i/>
                <w:sz w:val="20"/>
              </w:rPr>
            </w:pPr>
            <w:r>
              <w:rPr>
                <w:rFonts w:ascii="Times New Roman"/>
                <w:i/>
                <w:w w:val="95"/>
                <w:sz w:val="20"/>
              </w:rPr>
              <w:t>VAR2SUM_X</w:t>
            </w:r>
          </w:p>
        </w:tc>
        <w:tc>
          <w:tcPr>
            <w:tcW w:w="5064" w:type="dxa"/>
            <w:vMerge/>
            <w:tcBorders>
              <w:top w:val="nil"/>
              <w:left w:val="single" w:sz="6" w:space="0" w:color="000000"/>
              <w:right w:val="single" w:sz="6" w:space="0" w:color="000000"/>
            </w:tcBorders>
          </w:tcPr>
          <w:p>
            <w:pPr>
              <w:rPr>
                <w:sz w:val="2"/>
                <w:szCs w:val="2"/>
              </w:rPr>
            </w:pPr>
          </w:p>
        </w:tc>
        <w:tc>
          <w:tcPr>
            <w:tcW w:w="2004" w:type="dxa"/>
            <w:vMerge/>
            <w:tcBorders>
              <w:top w:val="nil"/>
              <w:left w:val="single" w:sz="6" w:space="0" w:color="000000"/>
            </w:tcBorders>
          </w:tcPr>
          <w:p>
            <w:pPr>
              <w:rPr>
                <w:sz w:val="2"/>
                <w:szCs w:val="2"/>
              </w:rPr>
            </w:pPr>
          </w:p>
        </w:tc>
      </w:tr>
    </w:tbl>
    <w:p>
      <w:pPr>
        <w:spacing w:after="0"/>
        <w:rPr>
          <w:sz w:val="2"/>
          <w:szCs w:val="2"/>
        </w:rPr>
        <w:sectPr>
          <w:pgSz w:w="12240" w:h="15840"/>
          <w:pgMar w:header="727" w:footer="819" w:top="1160" w:bottom="1000" w:left="960" w:right="940"/>
        </w:sectPr>
      </w:pPr>
    </w:p>
    <w:p>
      <w:pPr>
        <w:pStyle w:val="Heading1"/>
        <w:spacing w:before="87"/>
        <w:ind w:left="778" w:right="797"/>
      </w:pPr>
      <w:bookmarkStart w:name="_bookmark230" w:id="476"/>
      <w:bookmarkEnd w:id="476"/>
      <w:r>
        <w:rPr>
          <w:b w:val="0"/>
        </w:rPr>
      </w:r>
      <w:r>
        <w:rPr/>
        <w:t>Table 79: CE Transfer Variables (with CTs)</w:t>
      </w:r>
    </w:p>
    <w:p>
      <w:pPr>
        <w:pStyle w:val="BodyText"/>
        <w:spacing w:before="8"/>
        <w:rPr>
          <w:b/>
          <w:sz w:val="5"/>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7"/>
        <w:gridCol w:w="1486"/>
        <w:gridCol w:w="5064"/>
        <w:gridCol w:w="2004"/>
      </w:tblGrid>
      <w:tr>
        <w:trPr>
          <w:trHeight w:val="539" w:hRule="atLeast"/>
        </w:trPr>
        <w:tc>
          <w:tcPr>
            <w:tcW w:w="1037" w:type="dxa"/>
            <w:tcBorders>
              <w:bottom w:val="single" w:sz="6" w:space="0" w:color="000000"/>
              <w:right w:val="single" w:sz="6" w:space="0" w:color="000000"/>
            </w:tcBorders>
          </w:tcPr>
          <w:p>
            <w:pPr>
              <w:pStyle w:val="TableParagraph"/>
              <w:spacing w:line="229" w:lineRule="exact" w:before="35"/>
              <w:ind w:left="95" w:right="85"/>
              <w:jc w:val="center"/>
              <w:rPr>
                <w:b/>
                <w:sz w:val="20"/>
              </w:rPr>
            </w:pPr>
            <w:r>
              <w:rPr>
                <w:b/>
                <w:sz w:val="20"/>
              </w:rPr>
              <w:t>CE</w:t>
            </w:r>
          </w:p>
          <w:p>
            <w:pPr>
              <w:pStyle w:val="TableParagraph"/>
              <w:spacing w:line="229" w:lineRule="exact"/>
              <w:ind w:left="94" w:right="88"/>
              <w:jc w:val="center"/>
              <w:rPr>
                <w:b/>
                <w:sz w:val="20"/>
              </w:rPr>
            </w:pPr>
            <w:r>
              <w:rPr>
                <w:b/>
                <w:sz w:val="20"/>
              </w:rPr>
              <w:t>Address</w:t>
            </w:r>
          </w:p>
        </w:tc>
        <w:tc>
          <w:tcPr>
            <w:tcW w:w="1486" w:type="dxa"/>
            <w:tcBorders>
              <w:left w:val="single" w:sz="6" w:space="0" w:color="000000"/>
              <w:bottom w:val="single" w:sz="6" w:space="0" w:color="000000"/>
              <w:right w:val="single" w:sz="6" w:space="0" w:color="000000"/>
            </w:tcBorders>
          </w:tcPr>
          <w:p>
            <w:pPr>
              <w:pStyle w:val="TableParagraph"/>
              <w:spacing w:before="150"/>
              <w:ind w:left="467"/>
              <w:rPr>
                <w:b/>
                <w:sz w:val="20"/>
              </w:rPr>
            </w:pPr>
            <w:r>
              <w:rPr>
                <w:b/>
                <w:sz w:val="20"/>
              </w:rPr>
              <w:t>Name</w:t>
            </w:r>
          </w:p>
        </w:tc>
        <w:tc>
          <w:tcPr>
            <w:tcW w:w="5064" w:type="dxa"/>
            <w:tcBorders>
              <w:left w:val="single" w:sz="6" w:space="0" w:color="000000"/>
              <w:bottom w:val="single" w:sz="6" w:space="0" w:color="000000"/>
              <w:right w:val="single" w:sz="6" w:space="0" w:color="000000"/>
            </w:tcBorders>
          </w:tcPr>
          <w:p>
            <w:pPr>
              <w:pStyle w:val="TableParagraph"/>
              <w:spacing w:before="150"/>
              <w:ind w:left="1954" w:right="1952"/>
              <w:jc w:val="center"/>
              <w:rPr>
                <w:b/>
                <w:sz w:val="20"/>
              </w:rPr>
            </w:pPr>
            <w:r>
              <w:rPr>
                <w:b/>
                <w:sz w:val="20"/>
              </w:rPr>
              <w:t>Description</w:t>
            </w:r>
          </w:p>
        </w:tc>
        <w:tc>
          <w:tcPr>
            <w:tcW w:w="2004" w:type="dxa"/>
            <w:tcBorders>
              <w:left w:val="single" w:sz="6" w:space="0" w:color="000000"/>
              <w:bottom w:val="single" w:sz="6" w:space="0" w:color="000000"/>
            </w:tcBorders>
          </w:tcPr>
          <w:p>
            <w:pPr>
              <w:pStyle w:val="TableParagraph"/>
              <w:spacing w:before="35"/>
              <w:ind w:left="342"/>
              <w:rPr>
                <w:b/>
                <w:sz w:val="20"/>
              </w:rPr>
            </w:pPr>
            <w:r>
              <w:rPr>
                <w:b/>
                <w:sz w:val="20"/>
              </w:rPr>
              <w:t>Configuration</w:t>
            </w:r>
          </w:p>
        </w:tc>
      </w:tr>
      <w:tr>
        <w:trPr>
          <w:trHeight w:val="270" w:hRule="atLeast"/>
        </w:trPr>
        <w:tc>
          <w:tcPr>
            <w:tcW w:w="1037" w:type="dxa"/>
            <w:tcBorders>
              <w:top w:val="single" w:sz="6" w:space="0" w:color="000000"/>
              <w:bottom w:val="single" w:sz="6" w:space="0" w:color="000000"/>
              <w:right w:val="single" w:sz="6" w:space="0" w:color="000000"/>
            </w:tcBorders>
          </w:tcPr>
          <w:p>
            <w:pPr>
              <w:pStyle w:val="TableParagraph"/>
              <w:spacing w:before="18"/>
              <w:ind w:left="299"/>
              <w:rPr>
                <w:sz w:val="20"/>
              </w:rPr>
            </w:pPr>
            <w:r>
              <w:rPr>
                <w:sz w:val="20"/>
              </w:rPr>
              <w:t>0x84</w:t>
            </w:r>
          </w:p>
        </w:tc>
        <w:tc>
          <w:tcPr>
            <w:tcW w:w="1486" w:type="dxa"/>
            <w:tcBorders>
              <w:top w:val="single" w:sz="6" w:space="0" w:color="000000"/>
              <w:left w:val="single" w:sz="6" w:space="0" w:color="000000"/>
              <w:bottom w:val="single" w:sz="6" w:space="0" w:color="000000"/>
              <w:right w:val="single" w:sz="6" w:space="0" w:color="000000"/>
            </w:tcBorders>
          </w:tcPr>
          <w:p>
            <w:pPr>
              <w:pStyle w:val="TableParagraph"/>
              <w:spacing w:before="14"/>
              <w:ind w:left="340"/>
              <w:rPr>
                <w:rFonts w:ascii="Times New Roman"/>
                <w:i/>
                <w:sz w:val="20"/>
              </w:rPr>
            </w:pPr>
            <w:r>
              <w:rPr>
                <w:rFonts w:ascii="Times New Roman"/>
                <w:i/>
                <w:sz w:val="20"/>
              </w:rPr>
              <w:t>WSUM_X</w:t>
            </w:r>
          </w:p>
        </w:tc>
        <w:tc>
          <w:tcPr>
            <w:tcW w:w="5064" w:type="dxa"/>
            <w:tcBorders>
              <w:top w:val="single" w:sz="6" w:space="0" w:color="000000"/>
              <w:left w:val="single" w:sz="6" w:space="0" w:color="000000"/>
              <w:bottom w:val="single" w:sz="6" w:space="0" w:color="000000"/>
              <w:right w:val="single" w:sz="6" w:space="0" w:color="000000"/>
            </w:tcBorders>
          </w:tcPr>
          <w:p>
            <w:pPr>
              <w:pStyle w:val="TableParagraph"/>
              <w:spacing w:before="13"/>
              <w:ind w:left="111"/>
              <w:rPr>
                <w:sz w:val="20"/>
              </w:rPr>
            </w:pPr>
            <w:r>
              <w:rPr>
                <w:sz w:val="20"/>
              </w:rPr>
              <w:t>The signed sum: </w:t>
            </w:r>
            <w:r>
              <w:rPr>
                <w:rFonts w:ascii="Times New Roman"/>
                <w:i/>
                <w:sz w:val="20"/>
              </w:rPr>
              <w:t>W0SUM_X+W1SUM_X+W2SUM_X</w:t>
            </w:r>
            <w:r>
              <w:rPr>
                <w:sz w:val="20"/>
              </w:rPr>
              <w:t>.</w:t>
            </w:r>
          </w:p>
        </w:tc>
        <w:tc>
          <w:tcPr>
            <w:tcW w:w="2004" w:type="dxa"/>
            <w:vMerge w:val="restart"/>
            <w:tcBorders>
              <w:top w:val="single" w:sz="6" w:space="0" w:color="000000"/>
              <w:lef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5"/>
              <w:rPr>
                <w:b/>
                <w:sz w:val="32"/>
              </w:rPr>
            </w:pPr>
          </w:p>
          <w:p>
            <w:pPr>
              <w:pStyle w:val="TableParagraph"/>
              <w:ind w:left="119"/>
              <w:rPr>
                <w:sz w:val="20"/>
              </w:rPr>
            </w:pPr>
            <w:hyperlink w:history="true" w:anchor="_bookmark181">
              <w:r>
                <w:rPr>
                  <w:color w:val="0000FF"/>
                  <w:sz w:val="20"/>
                </w:rPr>
                <w:t>Figure 32 </w:t>
              </w:r>
            </w:hyperlink>
            <w:r>
              <w:rPr>
                <w:sz w:val="20"/>
              </w:rPr>
              <w:t>(page </w:t>
            </w:r>
            <w:hyperlink w:history="true" w:anchor="_bookmark181">
              <w:r>
                <w:rPr>
                  <w:color w:val="0000FF"/>
                  <w:sz w:val="20"/>
                </w:rPr>
                <w:t>87</w:t>
              </w:r>
            </w:hyperlink>
            <w:r>
              <w:rPr>
                <w:sz w:val="20"/>
              </w:rPr>
              <w:t>)</w:t>
            </w:r>
          </w:p>
        </w:tc>
      </w:tr>
      <w:tr>
        <w:trPr>
          <w:trHeight w:val="270" w:hRule="atLeast"/>
        </w:trPr>
        <w:tc>
          <w:tcPr>
            <w:tcW w:w="1037" w:type="dxa"/>
            <w:tcBorders>
              <w:top w:val="single" w:sz="6" w:space="0" w:color="000000"/>
              <w:bottom w:val="single" w:sz="6" w:space="0" w:color="000000"/>
              <w:right w:val="single" w:sz="6" w:space="0" w:color="000000"/>
            </w:tcBorders>
          </w:tcPr>
          <w:p>
            <w:pPr>
              <w:pStyle w:val="TableParagraph"/>
              <w:spacing w:before="18"/>
              <w:ind w:left="299"/>
              <w:rPr>
                <w:sz w:val="20"/>
              </w:rPr>
            </w:pPr>
            <w:r>
              <w:rPr>
                <w:sz w:val="20"/>
              </w:rPr>
              <w:t>0x85</w:t>
            </w:r>
          </w:p>
        </w:tc>
        <w:tc>
          <w:tcPr>
            <w:tcW w:w="1486" w:type="dxa"/>
            <w:tcBorders>
              <w:top w:val="single" w:sz="6" w:space="0" w:color="000000"/>
              <w:left w:val="single" w:sz="6" w:space="0" w:color="000000"/>
              <w:bottom w:val="single" w:sz="6" w:space="0" w:color="000000"/>
              <w:right w:val="single" w:sz="6" w:space="0" w:color="000000"/>
            </w:tcBorders>
          </w:tcPr>
          <w:p>
            <w:pPr>
              <w:pStyle w:val="TableParagraph"/>
              <w:spacing w:before="14"/>
              <w:ind w:left="289"/>
              <w:rPr>
                <w:rFonts w:ascii="Times New Roman"/>
                <w:i/>
                <w:sz w:val="20"/>
              </w:rPr>
            </w:pPr>
            <w:r>
              <w:rPr>
                <w:rFonts w:ascii="Times New Roman"/>
                <w:i/>
                <w:sz w:val="20"/>
              </w:rPr>
              <w:t>W0SUM_X</w:t>
            </w:r>
          </w:p>
        </w:tc>
        <w:tc>
          <w:tcPr>
            <w:tcW w:w="506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4"/>
              <w:ind w:left="111" w:right="883"/>
              <w:rPr>
                <w:sz w:val="20"/>
              </w:rPr>
            </w:pPr>
            <w:r>
              <w:rPr>
                <w:sz w:val="20"/>
              </w:rPr>
              <w:t>The sum of Wh samples from each wattmeter element.</w:t>
            </w:r>
          </w:p>
          <w:p>
            <w:pPr>
              <w:pStyle w:val="TableParagraph"/>
              <w:spacing w:before="20"/>
              <w:ind w:left="471"/>
              <w:rPr>
                <w:sz w:val="20"/>
              </w:rPr>
            </w:pPr>
            <w:r>
              <w:rPr>
                <w:sz w:val="20"/>
              </w:rPr>
              <w:t>LSB</w:t>
            </w:r>
            <w:r>
              <w:rPr>
                <w:sz w:val="20"/>
                <w:vertAlign w:val="subscript"/>
              </w:rPr>
              <w:t>W</w:t>
            </w:r>
            <w:r>
              <w:rPr>
                <w:sz w:val="20"/>
                <w:vertAlign w:val="baseline"/>
              </w:rPr>
              <w:t> = 1.0856*10</w:t>
            </w:r>
            <w:r>
              <w:rPr>
                <w:sz w:val="20"/>
                <w:vertAlign w:val="superscript"/>
              </w:rPr>
              <w:t>-12</w:t>
            </w:r>
            <w:r>
              <w:rPr>
                <w:sz w:val="20"/>
                <w:vertAlign w:val="baseline"/>
              </w:rPr>
              <w:t> VMAX IMAX</w:t>
            </w:r>
            <w:r>
              <w:rPr>
                <w:spacing w:val="54"/>
                <w:sz w:val="20"/>
                <w:vertAlign w:val="baseline"/>
              </w:rPr>
              <w:t> </w:t>
            </w:r>
            <w:r>
              <w:rPr>
                <w:spacing w:val="2"/>
                <w:sz w:val="20"/>
                <w:vertAlign w:val="baseline"/>
              </w:rPr>
              <w:t>Wh.</w:t>
            </w:r>
          </w:p>
        </w:tc>
        <w:tc>
          <w:tcPr>
            <w:tcW w:w="2004" w:type="dxa"/>
            <w:vMerge/>
            <w:tcBorders>
              <w:top w:val="nil"/>
              <w:left w:val="single" w:sz="6" w:space="0" w:color="000000"/>
            </w:tcBorders>
          </w:tcPr>
          <w:p>
            <w:pPr>
              <w:rPr>
                <w:sz w:val="2"/>
                <w:szCs w:val="2"/>
              </w:rPr>
            </w:pPr>
          </w:p>
        </w:tc>
      </w:tr>
      <w:tr>
        <w:trPr>
          <w:trHeight w:val="268" w:hRule="atLeast"/>
        </w:trPr>
        <w:tc>
          <w:tcPr>
            <w:tcW w:w="1037" w:type="dxa"/>
            <w:tcBorders>
              <w:top w:val="single" w:sz="6" w:space="0" w:color="000000"/>
              <w:bottom w:val="single" w:sz="6" w:space="0" w:color="000000"/>
              <w:right w:val="single" w:sz="6" w:space="0" w:color="000000"/>
            </w:tcBorders>
          </w:tcPr>
          <w:p>
            <w:pPr>
              <w:pStyle w:val="TableParagraph"/>
              <w:spacing w:line="230" w:lineRule="exact" w:before="18"/>
              <w:ind w:left="299"/>
              <w:rPr>
                <w:sz w:val="20"/>
              </w:rPr>
            </w:pPr>
            <w:r>
              <w:rPr>
                <w:sz w:val="20"/>
              </w:rPr>
              <w:t>0x86</w:t>
            </w:r>
          </w:p>
        </w:tc>
        <w:tc>
          <w:tcPr>
            <w:tcW w:w="1486" w:type="dxa"/>
            <w:tcBorders>
              <w:top w:val="single" w:sz="6" w:space="0" w:color="000000"/>
              <w:left w:val="single" w:sz="6" w:space="0" w:color="000000"/>
              <w:bottom w:val="single" w:sz="6" w:space="0" w:color="000000"/>
              <w:right w:val="single" w:sz="6" w:space="0" w:color="000000"/>
            </w:tcBorders>
          </w:tcPr>
          <w:p>
            <w:pPr>
              <w:pStyle w:val="TableParagraph"/>
              <w:spacing w:before="14"/>
              <w:ind w:left="289"/>
              <w:rPr>
                <w:rFonts w:ascii="Times New Roman"/>
                <w:i/>
                <w:sz w:val="20"/>
              </w:rPr>
            </w:pPr>
            <w:r>
              <w:rPr>
                <w:rFonts w:ascii="Times New Roman"/>
                <w:i/>
                <w:sz w:val="20"/>
              </w:rPr>
              <w:t>W1SUM_X</w:t>
            </w:r>
          </w:p>
        </w:tc>
        <w:tc>
          <w:tcPr>
            <w:tcW w:w="5064" w:type="dxa"/>
            <w:vMerge/>
            <w:tcBorders>
              <w:top w:val="nil"/>
              <w:left w:val="single" w:sz="6" w:space="0" w:color="000000"/>
              <w:bottom w:val="single" w:sz="6" w:space="0" w:color="000000"/>
              <w:right w:val="single" w:sz="6" w:space="0" w:color="000000"/>
            </w:tcBorders>
          </w:tcPr>
          <w:p>
            <w:pPr>
              <w:rPr>
                <w:sz w:val="2"/>
                <w:szCs w:val="2"/>
              </w:rPr>
            </w:pPr>
          </w:p>
        </w:tc>
        <w:tc>
          <w:tcPr>
            <w:tcW w:w="2004" w:type="dxa"/>
            <w:vMerge/>
            <w:tcBorders>
              <w:top w:val="nil"/>
              <w:left w:val="single" w:sz="6" w:space="0" w:color="000000"/>
            </w:tcBorders>
          </w:tcPr>
          <w:p>
            <w:pPr>
              <w:rPr>
                <w:sz w:val="2"/>
                <w:szCs w:val="2"/>
              </w:rPr>
            </w:pPr>
          </w:p>
        </w:tc>
      </w:tr>
      <w:tr>
        <w:trPr>
          <w:trHeight w:val="270" w:hRule="atLeast"/>
        </w:trPr>
        <w:tc>
          <w:tcPr>
            <w:tcW w:w="1037" w:type="dxa"/>
            <w:tcBorders>
              <w:top w:val="single" w:sz="6" w:space="0" w:color="000000"/>
              <w:bottom w:val="single" w:sz="6" w:space="0" w:color="000000"/>
              <w:right w:val="single" w:sz="6" w:space="0" w:color="000000"/>
            </w:tcBorders>
          </w:tcPr>
          <w:p>
            <w:pPr>
              <w:pStyle w:val="TableParagraph"/>
              <w:spacing w:line="230" w:lineRule="exact" w:before="21"/>
              <w:ind w:left="299"/>
              <w:rPr>
                <w:sz w:val="20"/>
              </w:rPr>
            </w:pPr>
            <w:r>
              <w:rPr>
                <w:sz w:val="20"/>
              </w:rPr>
              <w:t>0x87</w:t>
            </w:r>
          </w:p>
        </w:tc>
        <w:tc>
          <w:tcPr>
            <w:tcW w:w="1486" w:type="dxa"/>
            <w:tcBorders>
              <w:top w:val="single" w:sz="6" w:space="0" w:color="000000"/>
              <w:left w:val="single" w:sz="6" w:space="0" w:color="000000"/>
              <w:bottom w:val="single" w:sz="6" w:space="0" w:color="000000"/>
              <w:right w:val="single" w:sz="6" w:space="0" w:color="000000"/>
            </w:tcBorders>
          </w:tcPr>
          <w:p>
            <w:pPr>
              <w:pStyle w:val="TableParagraph"/>
              <w:spacing w:before="17"/>
              <w:ind w:left="289"/>
              <w:rPr>
                <w:rFonts w:ascii="Times New Roman"/>
                <w:i/>
                <w:sz w:val="20"/>
              </w:rPr>
            </w:pPr>
            <w:r>
              <w:rPr>
                <w:rFonts w:ascii="Times New Roman"/>
                <w:i/>
                <w:sz w:val="20"/>
              </w:rPr>
              <w:t>W2SUM_X</w:t>
            </w:r>
          </w:p>
        </w:tc>
        <w:tc>
          <w:tcPr>
            <w:tcW w:w="5064" w:type="dxa"/>
            <w:vMerge/>
            <w:tcBorders>
              <w:top w:val="nil"/>
              <w:left w:val="single" w:sz="6" w:space="0" w:color="000000"/>
              <w:bottom w:val="single" w:sz="6" w:space="0" w:color="000000"/>
              <w:right w:val="single" w:sz="6" w:space="0" w:color="000000"/>
            </w:tcBorders>
          </w:tcPr>
          <w:p>
            <w:pPr>
              <w:rPr>
                <w:sz w:val="2"/>
                <w:szCs w:val="2"/>
              </w:rPr>
            </w:pPr>
          </w:p>
        </w:tc>
        <w:tc>
          <w:tcPr>
            <w:tcW w:w="2004" w:type="dxa"/>
            <w:vMerge/>
            <w:tcBorders>
              <w:top w:val="nil"/>
              <w:left w:val="single" w:sz="6" w:space="0" w:color="000000"/>
            </w:tcBorders>
          </w:tcPr>
          <w:p>
            <w:pPr>
              <w:rPr>
                <w:sz w:val="2"/>
                <w:szCs w:val="2"/>
              </w:rPr>
            </w:pPr>
          </w:p>
        </w:tc>
      </w:tr>
      <w:tr>
        <w:trPr>
          <w:trHeight w:val="500" w:hRule="atLeast"/>
        </w:trPr>
        <w:tc>
          <w:tcPr>
            <w:tcW w:w="1037" w:type="dxa"/>
            <w:tcBorders>
              <w:top w:val="single" w:sz="6" w:space="0" w:color="000000"/>
              <w:bottom w:val="single" w:sz="6" w:space="0" w:color="000000"/>
              <w:right w:val="single" w:sz="6" w:space="0" w:color="000000"/>
            </w:tcBorders>
          </w:tcPr>
          <w:p>
            <w:pPr>
              <w:pStyle w:val="TableParagraph"/>
              <w:spacing w:before="18"/>
              <w:ind w:left="299"/>
              <w:rPr>
                <w:sz w:val="20"/>
              </w:rPr>
            </w:pPr>
            <w:r>
              <w:rPr>
                <w:sz w:val="20"/>
              </w:rPr>
              <w:t>0x88</w:t>
            </w:r>
          </w:p>
        </w:tc>
        <w:tc>
          <w:tcPr>
            <w:tcW w:w="1486" w:type="dxa"/>
            <w:tcBorders>
              <w:top w:val="single" w:sz="6" w:space="0" w:color="000000"/>
              <w:left w:val="single" w:sz="6" w:space="0" w:color="000000"/>
              <w:bottom w:val="single" w:sz="6" w:space="0" w:color="000000"/>
              <w:right w:val="single" w:sz="6" w:space="0" w:color="000000"/>
            </w:tcBorders>
          </w:tcPr>
          <w:p>
            <w:pPr>
              <w:pStyle w:val="TableParagraph"/>
              <w:spacing w:before="14"/>
              <w:ind w:right="229"/>
              <w:jc w:val="right"/>
              <w:rPr>
                <w:rFonts w:ascii="Times New Roman"/>
                <w:i/>
                <w:sz w:val="20"/>
              </w:rPr>
            </w:pPr>
            <w:r>
              <w:rPr>
                <w:rFonts w:ascii="Times New Roman"/>
                <w:i/>
                <w:w w:val="95"/>
                <w:sz w:val="20"/>
              </w:rPr>
              <w:t>VARSUM_X</w:t>
            </w:r>
          </w:p>
        </w:tc>
        <w:tc>
          <w:tcPr>
            <w:tcW w:w="5064"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before="18"/>
              <w:ind w:left="111"/>
              <w:rPr>
                <w:sz w:val="20"/>
              </w:rPr>
            </w:pPr>
            <w:r>
              <w:rPr>
                <w:sz w:val="20"/>
              </w:rPr>
              <w:t>The signed sum:</w:t>
            </w:r>
          </w:p>
          <w:p>
            <w:pPr>
              <w:pStyle w:val="TableParagraph"/>
              <w:spacing w:line="229" w:lineRule="exact"/>
              <w:ind w:left="111"/>
              <w:rPr>
                <w:rFonts w:ascii="Times New Roman"/>
                <w:i/>
                <w:sz w:val="20"/>
              </w:rPr>
            </w:pPr>
            <w:r>
              <w:rPr>
                <w:rFonts w:ascii="Times New Roman"/>
                <w:i/>
                <w:sz w:val="20"/>
              </w:rPr>
              <w:t>VAR0SUM_X+VAR1SUM_X+VAR2SUM_X.</w:t>
            </w:r>
          </w:p>
        </w:tc>
        <w:tc>
          <w:tcPr>
            <w:tcW w:w="2004" w:type="dxa"/>
            <w:vMerge/>
            <w:tcBorders>
              <w:top w:val="nil"/>
              <w:left w:val="single" w:sz="6" w:space="0" w:color="000000"/>
            </w:tcBorders>
          </w:tcPr>
          <w:p>
            <w:pPr>
              <w:rPr>
                <w:sz w:val="2"/>
                <w:szCs w:val="2"/>
              </w:rPr>
            </w:pPr>
          </w:p>
        </w:tc>
      </w:tr>
      <w:tr>
        <w:trPr>
          <w:trHeight w:val="270" w:hRule="atLeast"/>
        </w:trPr>
        <w:tc>
          <w:tcPr>
            <w:tcW w:w="1037" w:type="dxa"/>
            <w:tcBorders>
              <w:top w:val="single" w:sz="6" w:space="0" w:color="000000"/>
              <w:bottom w:val="single" w:sz="6" w:space="0" w:color="000000"/>
              <w:right w:val="single" w:sz="6" w:space="0" w:color="000000"/>
            </w:tcBorders>
          </w:tcPr>
          <w:p>
            <w:pPr>
              <w:pStyle w:val="TableParagraph"/>
              <w:spacing w:before="18"/>
              <w:ind w:left="299"/>
              <w:rPr>
                <w:sz w:val="20"/>
              </w:rPr>
            </w:pPr>
            <w:r>
              <w:rPr>
                <w:sz w:val="20"/>
              </w:rPr>
              <w:t>0x89</w:t>
            </w:r>
          </w:p>
        </w:tc>
        <w:tc>
          <w:tcPr>
            <w:tcW w:w="1486" w:type="dxa"/>
            <w:tcBorders>
              <w:top w:val="single" w:sz="6" w:space="0" w:color="000000"/>
              <w:left w:val="single" w:sz="6" w:space="0" w:color="000000"/>
              <w:bottom w:val="single" w:sz="6" w:space="0" w:color="000000"/>
              <w:right w:val="single" w:sz="6" w:space="0" w:color="000000"/>
            </w:tcBorders>
          </w:tcPr>
          <w:p>
            <w:pPr>
              <w:pStyle w:val="TableParagraph"/>
              <w:spacing w:before="14"/>
              <w:ind w:right="179"/>
              <w:jc w:val="right"/>
              <w:rPr>
                <w:rFonts w:ascii="Times New Roman"/>
                <w:i/>
                <w:sz w:val="20"/>
              </w:rPr>
            </w:pPr>
            <w:r>
              <w:rPr>
                <w:rFonts w:ascii="Times New Roman"/>
                <w:i/>
                <w:w w:val="95"/>
                <w:sz w:val="20"/>
              </w:rPr>
              <w:t>VAR0SUM_X</w:t>
            </w:r>
          </w:p>
        </w:tc>
        <w:tc>
          <w:tcPr>
            <w:tcW w:w="5064" w:type="dxa"/>
            <w:vMerge w:val="restart"/>
            <w:tcBorders>
              <w:top w:val="single" w:sz="6" w:space="0" w:color="000000"/>
              <w:left w:val="single" w:sz="6" w:space="0" w:color="000000"/>
              <w:right w:val="single" w:sz="6" w:space="0" w:color="000000"/>
            </w:tcBorders>
          </w:tcPr>
          <w:p>
            <w:pPr>
              <w:pStyle w:val="TableParagraph"/>
              <w:spacing w:before="64"/>
              <w:ind w:left="111" w:right="660"/>
              <w:rPr>
                <w:sz w:val="20"/>
              </w:rPr>
            </w:pPr>
            <w:r>
              <w:rPr>
                <w:sz w:val="20"/>
              </w:rPr>
              <w:t>The sum of VARh samples from each wattmeter element.</w:t>
            </w:r>
          </w:p>
          <w:p>
            <w:pPr>
              <w:pStyle w:val="TableParagraph"/>
              <w:spacing w:before="20"/>
              <w:ind w:left="471"/>
              <w:rPr>
                <w:sz w:val="20"/>
              </w:rPr>
            </w:pPr>
            <w:r>
              <w:rPr>
                <w:sz w:val="20"/>
              </w:rPr>
              <w:t>LSB</w:t>
            </w:r>
            <w:r>
              <w:rPr>
                <w:sz w:val="20"/>
                <w:vertAlign w:val="subscript"/>
              </w:rPr>
              <w:t>W</w:t>
            </w:r>
            <w:r>
              <w:rPr>
                <w:sz w:val="20"/>
                <w:vertAlign w:val="baseline"/>
              </w:rPr>
              <w:t> = 1.0856*10</w:t>
            </w:r>
            <w:r>
              <w:rPr>
                <w:sz w:val="20"/>
                <w:vertAlign w:val="superscript"/>
              </w:rPr>
              <w:t>-12</w:t>
            </w:r>
            <w:r>
              <w:rPr>
                <w:sz w:val="20"/>
                <w:vertAlign w:val="baseline"/>
              </w:rPr>
              <w:t> VMAX IMAX VARh.</w:t>
            </w:r>
          </w:p>
        </w:tc>
        <w:tc>
          <w:tcPr>
            <w:tcW w:w="2004" w:type="dxa"/>
            <w:vMerge/>
            <w:tcBorders>
              <w:top w:val="nil"/>
              <w:left w:val="single" w:sz="6" w:space="0" w:color="000000"/>
            </w:tcBorders>
          </w:tcPr>
          <w:p>
            <w:pPr>
              <w:rPr>
                <w:sz w:val="2"/>
                <w:szCs w:val="2"/>
              </w:rPr>
            </w:pPr>
          </w:p>
        </w:tc>
      </w:tr>
      <w:tr>
        <w:trPr>
          <w:trHeight w:val="268" w:hRule="atLeast"/>
        </w:trPr>
        <w:tc>
          <w:tcPr>
            <w:tcW w:w="1037" w:type="dxa"/>
            <w:tcBorders>
              <w:top w:val="single" w:sz="6" w:space="0" w:color="000000"/>
              <w:bottom w:val="single" w:sz="6" w:space="0" w:color="000000"/>
              <w:right w:val="single" w:sz="6" w:space="0" w:color="000000"/>
            </w:tcBorders>
          </w:tcPr>
          <w:p>
            <w:pPr>
              <w:pStyle w:val="TableParagraph"/>
              <w:spacing w:line="230" w:lineRule="exact" w:before="18"/>
              <w:ind w:left="290"/>
              <w:rPr>
                <w:sz w:val="20"/>
              </w:rPr>
            </w:pPr>
            <w:r>
              <w:rPr>
                <w:sz w:val="20"/>
              </w:rPr>
              <w:t>0x8A</w:t>
            </w:r>
          </w:p>
        </w:tc>
        <w:tc>
          <w:tcPr>
            <w:tcW w:w="1486" w:type="dxa"/>
            <w:tcBorders>
              <w:top w:val="single" w:sz="6" w:space="0" w:color="000000"/>
              <w:left w:val="single" w:sz="6" w:space="0" w:color="000000"/>
              <w:bottom w:val="single" w:sz="6" w:space="0" w:color="000000"/>
              <w:right w:val="single" w:sz="6" w:space="0" w:color="000000"/>
            </w:tcBorders>
          </w:tcPr>
          <w:p>
            <w:pPr>
              <w:pStyle w:val="TableParagraph"/>
              <w:spacing w:before="14"/>
              <w:ind w:right="179"/>
              <w:jc w:val="right"/>
              <w:rPr>
                <w:rFonts w:ascii="Times New Roman"/>
                <w:i/>
                <w:sz w:val="20"/>
              </w:rPr>
            </w:pPr>
            <w:r>
              <w:rPr>
                <w:rFonts w:ascii="Times New Roman"/>
                <w:i/>
                <w:w w:val="95"/>
                <w:sz w:val="20"/>
              </w:rPr>
              <w:t>VAR1SUM_X</w:t>
            </w:r>
          </w:p>
        </w:tc>
        <w:tc>
          <w:tcPr>
            <w:tcW w:w="5064" w:type="dxa"/>
            <w:vMerge/>
            <w:tcBorders>
              <w:top w:val="nil"/>
              <w:left w:val="single" w:sz="6" w:space="0" w:color="000000"/>
              <w:right w:val="single" w:sz="6" w:space="0" w:color="000000"/>
            </w:tcBorders>
          </w:tcPr>
          <w:p>
            <w:pPr>
              <w:rPr>
                <w:sz w:val="2"/>
                <w:szCs w:val="2"/>
              </w:rPr>
            </w:pPr>
          </w:p>
        </w:tc>
        <w:tc>
          <w:tcPr>
            <w:tcW w:w="2004" w:type="dxa"/>
            <w:vMerge/>
            <w:tcBorders>
              <w:top w:val="nil"/>
              <w:left w:val="single" w:sz="6" w:space="0" w:color="000000"/>
            </w:tcBorders>
          </w:tcPr>
          <w:p>
            <w:pPr>
              <w:rPr>
                <w:sz w:val="2"/>
                <w:szCs w:val="2"/>
              </w:rPr>
            </w:pPr>
          </w:p>
        </w:tc>
      </w:tr>
      <w:tr>
        <w:trPr>
          <w:trHeight w:val="270" w:hRule="atLeast"/>
        </w:trPr>
        <w:tc>
          <w:tcPr>
            <w:tcW w:w="1037" w:type="dxa"/>
            <w:tcBorders>
              <w:top w:val="single" w:sz="6" w:space="0" w:color="000000"/>
              <w:right w:val="single" w:sz="6" w:space="0" w:color="000000"/>
            </w:tcBorders>
          </w:tcPr>
          <w:p>
            <w:pPr>
              <w:pStyle w:val="TableParagraph"/>
              <w:spacing w:before="21"/>
              <w:ind w:left="290"/>
              <w:rPr>
                <w:sz w:val="20"/>
              </w:rPr>
            </w:pPr>
            <w:r>
              <w:rPr>
                <w:sz w:val="20"/>
              </w:rPr>
              <w:t>0x8B</w:t>
            </w:r>
          </w:p>
        </w:tc>
        <w:tc>
          <w:tcPr>
            <w:tcW w:w="1486" w:type="dxa"/>
            <w:tcBorders>
              <w:top w:val="single" w:sz="6" w:space="0" w:color="000000"/>
              <w:left w:val="single" w:sz="6" w:space="0" w:color="000000"/>
              <w:right w:val="single" w:sz="6" w:space="0" w:color="000000"/>
            </w:tcBorders>
          </w:tcPr>
          <w:p>
            <w:pPr>
              <w:pStyle w:val="TableParagraph"/>
              <w:spacing w:before="17"/>
              <w:ind w:right="179"/>
              <w:jc w:val="right"/>
              <w:rPr>
                <w:rFonts w:ascii="Times New Roman"/>
                <w:i/>
                <w:sz w:val="20"/>
              </w:rPr>
            </w:pPr>
            <w:r>
              <w:rPr>
                <w:rFonts w:ascii="Times New Roman"/>
                <w:i/>
                <w:w w:val="95"/>
                <w:sz w:val="20"/>
              </w:rPr>
              <w:t>VAR2SUM_X</w:t>
            </w:r>
          </w:p>
        </w:tc>
        <w:tc>
          <w:tcPr>
            <w:tcW w:w="5064" w:type="dxa"/>
            <w:vMerge/>
            <w:tcBorders>
              <w:top w:val="nil"/>
              <w:left w:val="single" w:sz="6" w:space="0" w:color="000000"/>
              <w:right w:val="single" w:sz="6" w:space="0" w:color="000000"/>
            </w:tcBorders>
          </w:tcPr>
          <w:p>
            <w:pPr>
              <w:rPr>
                <w:sz w:val="2"/>
                <w:szCs w:val="2"/>
              </w:rPr>
            </w:pPr>
          </w:p>
        </w:tc>
        <w:tc>
          <w:tcPr>
            <w:tcW w:w="2004" w:type="dxa"/>
            <w:vMerge/>
            <w:tcBorders>
              <w:top w:val="nil"/>
              <w:left w:val="single" w:sz="6" w:space="0" w:color="000000"/>
            </w:tcBorders>
          </w:tcPr>
          <w:p>
            <w:pPr>
              <w:rPr>
                <w:sz w:val="2"/>
                <w:szCs w:val="2"/>
              </w:rPr>
            </w:pPr>
          </w:p>
        </w:tc>
      </w:tr>
    </w:tbl>
    <w:p>
      <w:pPr>
        <w:pStyle w:val="BodyText"/>
        <w:spacing w:before="7"/>
        <w:rPr>
          <w:b/>
          <w:sz w:val="19"/>
        </w:rPr>
      </w:pPr>
    </w:p>
    <w:p>
      <w:pPr>
        <w:spacing w:before="0"/>
        <w:ind w:left="480" w:right="491" w:hanging="1"/>
        <w:jc w:val="left"/>
        <w:rPr>
          <w:sz w:val="20"/>
        </w:rPr>
      </w:pPr>
      <w:r>
        <w:rPr>
          <w:rFonts w:ascii="Times New Roman"/>
          <w:i/>
          <w:sz w:val="20"/>
        </w:rPr>
        <w:t>WSUM_X </w:t>
      </w:r>
      <w:r>
        <w:rPr>
          <w:sz w:val="20"/>
        </w:rPr>
        <w:t>and </w:t>
      </w:r>
      <w:r>
        <w:rPr>
          <w:rFonts w:ascii="Times New Roman"/>
          <w:i/>
          <w:sz w:val="20"/>
        </w:rPr>
        <w:t>VARSUM_X </w:t>
      </w:r>
      <w:r>
        <w:rPr>
          <w:sz w:val="20"/>
        </w:rPr>
        <w:t>are the signed sum of Phase-A, Phase-B and Phase-C Wh or VARh values according to the metering equation specified in the control field </w:t>
      </w:r>
      <w:r>
        <w:rPr>
          <w:rFonts w:ascii="Times New Roman"/>
          <w:i/>
          <w:sz w:val="20"/>
        </w:rPr>
        <w:t>EQU[2:0] (I/O RAM 0x2106[7:5])</w:t>
      </w:r>
      <w:r>
        <w:rPr>
          <w:sz w:val="20"/>
        </w:rPr>
        <w:t>.</w:t>
      </w:r>
    </w:p>
    <w:p>
      <w:pPr>
        <w:pStyle w:val="BodyText"/>
        <w:spacing w:line="244" w:lineRule="auto"/>
        <w:ind w:left="479" w:right="491"/>
      </w:pPr>
      <w:r>
        <w:rPr>
          <w:rFonts w:ascii="Times New Roman"/>
          <w:i/>
          <w:spacing w:val="-3"/>
        </w:rPr>
        <w:t>WnSUM_X</w:t>
      </w:r>
      <w:r>
        <w:rPr>
          <w:rFonts w:ascii="Times New Roman"/>
          <w:i/>
          <w:spacing w:val="-2"/>
        </w:rPr>
        <w:t> </w:t>
      </w:r>
      <w:r>
        <w:rPr/>
        <w:t>is</w:t>
      </w:r>
      <w:r>
        <w:rPr>
          <w:spacing w:val="-7"/>
        </w:rPr>
        <w:t> </w:t>
      </w:r>
      <w:r>
        <w:rPr/>
        <w:t>the</w:t>
      </w:r>
      <w:r>
        <w:rPr>
          <w:spacing w:val="-15"/>
        </w:rPr>
        <w:t> </w:t>
      </w:r>
      <w:r>
        <w:rPr>
          <w:spacing w:val="3"/>
        </w:rPr>
        <w:t>Wh</w:t>
      </w:r>
      <w:r>
        <w:rPr>
          <w:spacing w:val="-10"/>
        </w:rPr>
        <w:t> </w:t>
      </w:r>
      <w:r>
        <w:rPr>
          <w:spacing w:val="-3"/>
        </w:rPr>
        <w:t>value</w:t>
      </w:r>
      <w:r>
        <w:rPr>
          <w:spacing w:val="-9"/>
        </w:rPr>
        <w:t> </w:t>
      </w:r>
      <w:r>
        <w:rPr>
          <w:spacing w:val="-3"/>
        </w:rPr>
        <w:t>accumulated</w:t>
      </w:r>
      <w:r>
        <w:rPr>
          <w:spacing w:val="-11"/>
        </w:rPr>
        <w:t> </w:t>
      </w:r>
      <w:r>
        <w:rPr/>
        <w:t>for</w:t>
      </w:r>
      <w:r>
        <w:rPr>
          <w:spacing w:val="-7"/>
        </w:rPr>
        <w:t> </w:t>
      </w:r>
      <w:r>
        <w:rPr>
          <w:spacing w:val="-3"/>
        </w:rPr>
        <w:t>phase</w:t>
      </w:r>
      <w:r>
        <w:rPr>
          <w:spacing w:val="-9"/>
        </w:rPr>
        <w:t> </w:t>
      </w:r>
      <w:r>
        <w:rPr/>
        <w:t>n</w:t>
      </w:r>
      <w:r>
        <w:rPr>
          <w:spacing w:val="-8"/>
        </w:rPr>
        <w:t> </w:t>
      </w:r>
      <w:r>
        <w:rPr/>
        <w:t>in</w:t>
      </w:r>
      <w:r>
        <w:rPr>
          <w:spacing w:val="-8"/>
        </w:rPr>
        <w:t> </w:t>
      </w:r>
      <w:r>
        <w:rPr>
          <w:spacing w:val="-3"/>
        </w:rPr>
        <w:t>the</w:t>
      </w:r>
      <w:r>
        <w:rPr>
          <w:spacing w:val="-8"/>
        </w:rPr>
        <w:t> </w:t>
      </w:r>
      <w:r>
        <w:rPr>
          <w:spacing w:val="-3"/>
        </w:rPr>
        <w:t>last</w:t>
      </w:r>
      <w:r>
        <w:rPr>
          <w:spacing w:val="-9"/>
        </w:rPr>
        <w:t> </w:t>
      </w:r>
      <w:r>
        <w:rPr>
          <w:spacing w:val="-3"/>
        </w:rPr>
        <w:t>accumulation</w:t>
      </w:r>
      <w:r>
        <w:rPr>
          <w:spacing w:val="-8"/>
        </w:rPr>
        <w:t> </w:t>
      </w:r>
      <w:r>
        <w:rPr>
          <w:spacing w:val="-3"/>
        </w:rPr>
        <w:t>interval</w:t>
      </w:r>
      <w:r>
        <w:rPr>
          <w:spacing w:val="-10"/>
        </w:rPr>
        <w:t> </w:t>
      </w:r>
      <w:r>
        <w:rPr/>
        <w:t>and</w:t>
      </w:r>
      <w:r>
        <w:rPr>
          <w:spacing w:val="-8"/>
        </w:rPr>
        <w:t> </w:t>
      </w:r>
      <w:r>
        <w:rPr/>
        <w:t>can</w:t>
      </w:r>
      <w:r>
        <w:rPr>
          <w:spacing w:val="-9"/>
        </w:rPr>
        <w:t> </w:t>
      </w:r>
      <w:r>
        <w:rPr/>
        <w:t>be</w:t>
      </w:r>
      <w:r>
        <w:rPr>
          <w:spacing w:val="-8"/>
        </w:rPr>
        <w:t> </w:t>
      </w:r>
      <w:r>
        <w:rPr>
          <w:spacing w:val="-3"/>
        </w:rPr>
        <w:t>computed </w:t>
      </w:r>
      <w:r>
        <w:rPr/>
        <w:t>based on the specified LSB value.</w:t>
      </w:r>
    </w:p>
    <w:p>
      <w:pPr>
        <w:pStyle w:val="BodyText"/>
        <w:spacing w:before="110"/>
        <w:ind w:left="479"/>
      </w:pPr>
      <w:r>
        <w:rPr/>
        <w:t>For example, with VMAX = 600 V and IMAX = 208 A, the LSB for </w:t>
      </w:r>
      <w:r>
        <w:rPr>
          <w:rFonts w:ascii="Times New Roman" w:hAnsi="Times New Roman"/>
          <w:i/>
        </w:rPr>
        <w:t>WnSUM_X </w:t>
      </w:r>
      <w:r>
        <w:rPr/>
        <w:t>is 0.135 µWh.</w:t>
      </w:r>
    </w:p>
    <w:p>
      <w:pPr>
        <w:pStyle w:val="ListParagraph"/>
        <w:numPr>
          <w:ilvl w:val="3"/>
          <w:numId w:val="30"/>
        </w:numPr>
        <w:tabs>
          <w:tab w:pos="1200" w:val="left" w:leader="none"/>
        </w:tabs>
        <w:spacing w:line="240" w:lineRule="auto" w:before="124" w:after="0"/>
        <w:ind w:left="1199" w:right="0" w:hanging="721"/>
        <w:jc w:val="left"/>
        <w:rPr>
          <w:b/>
          <w:sz w:val="20"/>
        </w:rPr>
      </w:pPr>
      <w:bookmarkStart w:name="5.3.8.1 Instantaneous Energy Measurement" w:id="477"/>
      <w:bookmarkEnd w:id="477"/>
      <w:r>
        <w:rPr/>
      </w:r>
      <w:bookmarkStart w:name="5.3.8.1 Instantaneous Energy Measurement" w:id="478"/>
      <w:bookmarkEnd w:id="478"/>
      <w:r>
        <w:rPr>
          <w:b/>
          <w:sz w:val="20"/>
        </w:rPr>
        <w:t>I</w:t>
      </w:r>
      <w:r>
        <w:rPr>
          <w:b/>
          <w:sz w:val="20"/>
        </w:rPr>
        <w:t>nstantaneous Energy Measurement</w:t>
      </w:r>
      <w:r>
        <w:rPr>
          <w:b/>
          <w:spacing w:val="-1"/>
          <w:sz w:val="20"/>
        </w:rPr>
        <w:t> </w:t>
      </w:r>
      <w:r>
        <w:rPr>
          <w:b/>
          <w:sz w:val="20"/>
        </w:rPr>
        <w:t>Variables</w:t>
      </w:r>
    </w:p>
    <w:p>
      <w:pPr>
        <w:pStyle w:val="BodyText"/>
        <w:spacing w:before="78"/>
        <w:ind w:left="479" w:right="448"/>
      </w:pPr>
      <w:r>
        <w:rPr>
          <w:rFonts w:ascii="Times New Roman"/>
          <w:i/>
          <w:spacing w:val="-4"/>
        </w:rPr>
        <w:t>InSQSUM_X </w:t>
      </w:r>
      <w:r>
        <w:rPr/>
        <w:t>and </w:t>
      </w:r>
      <w:r>
        <w:rPr>
          <w:rFonts w:ascii="Times New Roman"/>
          <w:i/>
          <w:spacing w:val="-4"/>
        </w:rPr>
        <w:t>VnSQSUM </w:t>
      </w:r>
      <w:r>
        <w:rPr>
          <w:spacing w:val="-3"/>
        </w:rPr>
        <w:t>are the </w:t>
      </w:r>
      <w:r>
        <w:rPr>
          <w:spacing w:val="-4"/>
        </w:rPr>
        <w:t>squared current </w:t>
      </w:r>
      <w:r>
        <w:rPr/>
        <w:t>and </w:t>
      </w:r>
      <w:r>
        <w:rPr>
          <w:spacing w:val="-4"/>
        </w:rPr>
        <w:t>voltage samples acquired during </w:t>
      </w:r>
      <w:r>
        <w:rPr/>
        <w:t>the </w:t>
      </w:r>
      <w:r>
        <w:rPr>
          <w:spacing w:val="-4"/>
        </w:rPr>
        <w:t>last accumulation </w:t>
      </w:r>
      <w:r>
        <w:rPr/>
        <w:t>interval. </w:t>
      </w:r>
      <w:r>
        <w:rPr>
          <w:rFonts w:ascii="Times New Roman"/>
          <w:i/>
        </w:rPr>
        <w:t>INSQSUM_X </w:t>
      </w:r>
      <w:r>
        <w:rPr/>
        <w:t>can be used for computing the neutral current.</w:t>
      </w:r>
    </w:p>
    <w:p>
      <w:pPr>
        <w:pStyle w:val="BodyText"/>
        <w:spacing w:before="11"/>
        <w:rPr>
          <w:sz w:val="19"/>
        </w:rPr>
      </w:pPr>
    </w:p>
    <w:p>
      <w:pPr>
        <w:pStyle w:val="Heading1"/>
        <w:ind w:left="773" w:right="797"/>
      </w:pPr>
      <w:bookmarkStart w:name="_bookmark231" w:id="479"/>
      <w:bookmarkEnd w:id="479"/>
      <w:r>
        <w:rPr>
          <w:b w:val="0"/>
        </w:rPr>
      </w:r>
      <w:r>
        <w:rPr/>
        <w:t>Table 80: CE Energy Measurement Variables (with Shunts)</w:t>
      </w:r>
    </w:p>
    <w:p>
      <w:pPr>
        <w:pStyle w:val="BodyText"/>
        <w:spacing w:before="7"/>
        <w:rPr>
          <w:b/>
          <w:sz w:val="5"/>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4"/>
        <w:gridCol w:w="1551"/>
        <w:gridCol w:w="4803"/>
        <w:gridCol w:w="2185"/>
      </w:tblGrid>
      <w:tr>
        <w:trPr>
          <w:trHeight w:val="539" w:hRule="atLeast"/>
        </w:trPr>
        <w:tc>
          <w:tcPr>
            <w:tcW w:w="1054" w:type="dxa"/>
            <w:tcBorders>
              <w:bottom w:val="single" w:sz="6" w:space="0" w:color="000000"/>
              <w:right w:val="single" w:sz="6" w:space="0" w:color="000000"/>
            </w:tcBorders>
          </w:tcPr>
          <w:p>
            <w:pPr>
              <w:pStyle w:val="TableParagraph"/>
              <w:spacing w:line="229" w:lineRule="exact" w:before="36"/>
              <w:ind w:left="104" w:right="93"/>
              <w:jc w:val="center"/>
              <w:rPr>
                <w:b/>
                <w:sz w:val="20"/>
              </w:rPr>
            </w:pPr>
            <w:r>
              <w:rPr>
                <w:b/>
                <w:sz w:val="20"/>
              </w:rPr>
              <w:t>CE</w:t>
            </w:r>
          </w:p>
          <w:p>
            <w:pPr>
              <w:pStyle w:val="TableParagraph"/>
              <w:spacing w:line="229" w:lineRule="exact"/>
              <w:ind w:left="104" w:right="96"/>
              <w:jc w:val="center"/>
              <w:rPr>
                <w:b/>
                <w:sz w:val="20"/>
              </w:rPr>
            </w:pPr>
            <w:r>
              <w:rPr>
                <w:b/>
                <w:sz w:val="20"/>
              </w:rPr>
              <w:t>Address</w:t>
            </w:r>
          </w:p>
        </w:tc>
        <w:tc>
          <w:tcPr>
            <w:tcW w:w="1551" w:type="dxa"/>
            <w:tcBorders>
              <w:left w:val="single" w:sz="6" w:space="0" w:color="000000"/>
              <w:bottom w:val="single" w:sz="6" w:space="0" w:color="000000"/>
              <w:right w:val="single" w:sz="6" w:space="0" w:color="000000"/>
            </w:tcBorders>
          </w:tcPr>
          <w:p>
            <w:pPr>
              <w:pStyle w:val="TableParagraph"/>
              <w:spacing w:before="151"/>
              <w:ind w:left="195" w:right="192"/>
              <w:jc w:val="center"/>
              <w:rPr>
                <w:b/>
                <w:sz w:val="20"/>
              </w:rPr>
            </w:pPr>
            <w:r>
              <w:rPr>
                <w:b/>
                <w:sz w:val="20"/>
              </w:rPr>
              <w:t>Name</w:t>
            </w:r>
          </w:p>
        </w:tc>
        <w:tc>
          <w:tcPr>
            <w:tcW w:w="4803" w:type="dxa"/>
            <w:tcBorders>
              <w:left w:val="single" w:sz="6" w:space="0" w:color="000000"/>
              <w:bottom w:val="single" w:sz="6" w:space="0" w:color="000000"/>
              <w:right w:val="single" w:sz="6" w:space="0" w:color="000000"/>
            </w:tcBorders>
          </w:tcPr>
          <w:p>
            <w:pPr>
              <w:pStyle w:val="TableParagraph"/>
              <w:spacing w:before="151"/>
              <w:ind w:left="1825" w:right="1822"/>
              <w:jc w:val="center"/>
              <w:rPr>
                <w:b/>
                <w:sz w:val="20"/>
              </w:rPr>
            </w:pPr>
            <w:r>
              <w:rPr>
                <w:b/>
                <w:sz w:val="20"/>
              </w:rPr>
              <w:t>Description</w:t>
            </w:r>
          </w:p>
        </w:tc>
        <w:tc>
          <w:tcPr>
            <w:tcW w:w="2185" w:type="dxa"/>
            <w:tcBorders>
              <w:left w:val="single" w:sz="6" w:space="0" w:color="000000"/>
              <w:bottom w:val="single" w:sz="6" w:space="0" w:color="000000"/>
            </w:tcBorders>
          </w:tcPr>
          <w:p>
            <w:pPr>
              <w:pStyle w:val="TableParagraph"/>
              <w:spacing w:before="151"/>
              <w:ind w:left="429"/>
              <w:rPr>
                <w:b/>
                <w:sz w:val="20"/>
              </w:rPr>
            </w:pPr>
            <w:r>
              <w:rPr>
                <w:b/>
                <w:sz w:val="20"/>
              </w:rPr>
              <w:t>Configuration</w:t>
            </w:r>
          </w:p>
        </w:tc>
      </w:tr>
      <w:tr>
        <w:trPr>
          <w:trHeight w:val="772" w:hRule="atLeast"/>
        </w:trPr>
        <w:tc>
          <w:tcPr>
            <w:tcW w:w="1054" w:type="dxa"/>
            <w:tcBorders>
              <w:top w:val="single" w:sz="6" w:space="0" w:color="000000"/>
              <w:bottom w:val="single" w:sz="6" w:space="0" w:color="000000"/>
              <w:right w:val="single" w:sz="6" w:space="0" w:color="000000"/>
            </w:tcBorders>
          </w:tcPr>
          <w:p>
            <w:pPr>
              <w:pStyle w:val="TableParagraph"/>
              <w:spacing w:before="6"/>
              <w:rPr>
                <w:b/>
                <w:sz w:val="23"/>
              </w:rPr>
            </w:pPr>
          </w:p>
          <w:p>
            <w:pPr>
              <w:pStyle w:val="TableParagraph"/>
              <w:ind w:left="292"/>
              <w:rPr>
                <w:sz w:val="20"/>
              </w:rPr>
            </w:pPr>
            <w:r>
              <w:rPr>
                <w:sz w:val="20"/>
              </w:rPr>
              <w:t>0x8C</w:t>
            </w:r>
          </w:p>
        </w:tc>
        <w:tc>
          <w:tcPr>
            <w:tcW w:w="1551" w:type="dxa"/>
            <w:tcBorders>
              <w:top w:val="single" w:sz="6" w:space="0" w:color="000000"/>
              <w:left w:val="single" w:sz="6" w:space="0" w:color="000000"/>
              <w:bottom w:val="single" w:sz="6" w:space="0" w:color="000000"/>
              <w:right w:val="single" w:sz="6" w:space="0" w:color="000000"/>
            </w:tcBorders>
          </w:tcPr>
          <w:p>
            <w:pPr>
              <w:pStyle w:val="TableParagraph"/>
              <w:spacing w:before="2"/>
              <w:rPr>
                <w:b/>
                <w:sz w:val="23"/>
              </w:rPr>
            </w:pPr>
          </w:p>
          <w:p>
            <w:pPr>
              <w:pStyle w:val="TableParagraph"/>
              <w:ind w:left="200" w:right="192"/>
              <w:jc w:val="center"/>
              <w:rPr>
                <w:rFonts w:ascii="Times New Roman"/>
                <w:i/>
                <w:sz w:val="20"/>
              </w:rPr>
            </w:pPr>
            <w:r>
              <w:rPr>
                <w:rFonts w:ascii="Times New Roman"/>
                <w:i/>
                <w:sz w:val="20"/>
              </w:rPr>
              <w:t>I0SQSUM_X</w:t>
            </w:r>
          </w:p>
        </w:tc>
        <w:tc>
          <w:tcPr>
            <w:tcW w:w="4803" w:type="dxa"/>
            <w:tcBorders>
              <w:top w:val="single" w:sz="6" w:space="0" w:color="000000"/>
              <w:left w:val="single" w:sz="6" w:space="0" w:color="000000"/>
              <w:bottom w:val="single" w:sz="6" w:space="0" w:color="000000"/>
              <w:right w:val="single" w:sz="6" w:space="0" w:color="000000"/>
            </w:tcBorders>
          </w:tcPr>
          <w:p>
            <w:pPr>
              <w:pStyle w:val="TableParagraph"/>
              <w:spacing w:before="18"/>
              <w:ind w:left="111"/>
              <w:rPr>
                <w:sz w:val="20"/>
              </w:rPr>
            </w:pPr>
            <w:r>
              <w:rPr>
                <w:sz w:val="20"/>
              </w:rPr>
              <w:t>Neutral Current:</w:t>
            </w:r>
          </w:p>
          <w:p>
            <w:pPr>
              <w:pStyle w:val="TableParagraph"/>
              <w:spacing w:line="250" w:lineRule="exact" w:before="5"/>
              <w:ind w:left="442" w:right="53" w:firstLine="28"/>
              <w:rPr>
                <w:sz w:val="20"/>
              </w:rPr>
            </w:pPr>
            <w:r>
              <w:rPr>
                <w:sz w:val="20"/>
              </w:rPr>
              <w:t>LSB</w:t>
            </w:r>
            <w:r>
              <w:rPr>
                <w:sz w:val="20"/>
                <w:vertAlign w:val="subscript"/>
              </w:rPr>
              <w:t>I</w:t>
            </w:r>
            <w:r>
              <w:rPr>
                <w:sz w:val="20"/>
                <w:vertAlign w:val="baseline"/>
              </w:rPr>
              <w:t> = 9.9045*10</w:t>
            </w:r>
            <w:r>
              <w:rPr>
                <w:sz w:val="20"/>
                <w:vertAlign w:val="superscript"/>
              </w:rPr>
              <w:t>-13</w:t>
            </w:r>
            <w:r>
              <w:rPr>
                <w:sz w:val="20"/>
                <w:vertAlign w:val="baseline"/>
              </w:rPr>
              <w:t> * IMAX</w:t>
            </w:r>
            <w:r>
              <w:rPr>
                <w:sz w:val="20"/>
                <w:vertAlign w:val="superscript"/>
              </w:rPr>
              <w:t>2</w:t>
            </w:r>
            <w:r>
              <w:rPr>
                <w:sz w:val="20"/>
                <w:vertAlign w:val="baseline"/>
              </w:rPr>
              <w:t> A</w:t>
            </w:r>
            <w:r>
              <w:rPr>
                <w:sz w:val="20"/>
                <w:vertAlign w:val="superscript"/>
              </w:rPr>
              <w:t>2</w:t>
            </w:r>
            <w:r>
              <w:rPr>
                <w:sz w:val="20"/>
                <w:vertAlign w:val="baseline"/>
              </w:rPr>
              <w:t>h (</w:t>
            </w:r>
            <w:r>
              <w:rPr>
                <w:rFonts w:ascii="Times New Roman"/>
                <w:i/>
                <w:sz w:val="20"/>
                <w:vertAlign w:val="baseline"/>
              </w:rPr>
              <w:t>PRE_E</w:t>
            </w:r>
            <w:r>
              <w:rPr>
                <w:sz w:val="20"/>
                <w:vertAlign w:val="baseline"/>
              </w:rPr>
              <w:t>=0) LSB</w:t>
            </w:r>
            <w:r>
              <w:rPr>
                <w:sz w:val="20"/>
                <w:vertAlign w:val="subscript"/>
              </w:rPr>
              <w:t>I</w:t>
            </w:r>
            <w:r>
              <w:rPr>
                <w:sz w:val="20"/>
                <w:vertAlign w:val="baseline"/>
              </w:rPr>
              <w:t> = 6.1903125*10</w:t>
            </w:r>
            <w:r>
              <w:rPr>
                <w:sz w:val="20"/>
                <w:vertAlign w:val="superscript"/>
              </w:rPr>
              <w:t>-14</w:t>
            </w:r>
            <w:r>
              <w:rPr>
                <w:sz w:val="20"/>
                <w:vertAlign w:val="baseline"/>
              </w:rPr>
              <w:t> * IMAX</w:t>
            </w:r>
            <w:r>
              <w:rPr>
                <w:sz w:val="20"/>
                <w:vertAlign w:val="superscript"/>
              </w:rPr>
              <w:t>2</w:t>
            </w:r>
            <w:r>
              <w:rPr>
                <w:sz w:val="20"/>
                <w:vertAlign w:val="baseline"/>
              </w:rPr>
              <w:t> A</w:t>
            </w:r>
            <w:r>
              <w:rPr>
                <w:sz w:val="20"/>
                <w:vertAlign w:val="superscript"/>
              </w:rPr>
              <w:t>2</w:t>
            </w:r>
            <w:r>
              <w:rPr>
                <w:sz w:val="20"/>
                <w:vertAlign w:val="baseline"/>
              </w:rPr>
              <w:t>h (</w:t>
            </w:r>
            <w:r>
              <w:rPr>
                <w:rFonts w:ascii="Times New Roman"/>
                <w:i/>
                <w:sz w:val="20"/>
                <w:vertAlign w:val="baseline"/>
              </w:rPr>
              <w:t>PRE_E</w:t>
            </w:r>
            <w:r>
              <w:rPr>
                <w:sz w:val="20"/>
                <w:vertAlign w:val="baseline"/>
              </w:rPr>
              <w:t>=1)</w:t>
            </w:r>
          </w:p>
        </w:tc>
        <w:tc>
          <w:tcPr>
            <w:tcW w:w="2185" w:type="dxa"/>
            <w:vMerge w:val="restart"/>
            <w:tcBorders>
              <w:top w:val="single" w:sz="6" w:space="0" w:color="000000"/>
              <w:lef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8"/>
              <w:rPr>
                <w:b/>
                <w:sz w:val="21"/>
              </w:rPr>
            </w:pPr>
          </w:p>
          <w:p>
            <w:pPr>
              <w:pStyle w:val="TableParagraph"/>
              <w:ind w:left="206"/>
              <w:rPr>
                <w:sz w:val="20"/>
              </w:rPr>
            </w:pPr>
            <w:hyperlink w:history="true" w:anchor="_bookmark179">
              <w:r>
                <w:rPr>
                  <w:color w:val="0000FF"/>
                  <w:sz w:val="20"/>
                </w:rPr>
                <w:t>Figure 31 </w:t>
              </w:r>
            </w:hyperlink>
            <w:r>
              <w:rPr>
                <w:sz w:val="20"/>
              </w:rPr>
              <w:t>(page </w:t>
            </w:r>
            <w:hyperlink w:history="true" w:anchor="_bookmark179">
              <w:r>
                <w:rPr>
                  <w:color w:val="0000FF"/>
                  <w:sz w:val="20"/>
                </w:rPr>
                <w:t>86</w:t>
              </w:r>
              <w:r>
                <w:rPr>
                  <w:sz w:val="20"/>
                </w:rPr>
                <w:t>)</w:t>
              </w:r>
            </w:hyperlink>
          </w:p>
        </w:tc>
      </w:tr>
      <w:tr>
        <w:trPr>
          <w:trHeight w:val="337" w:hRule="atLeast"/>
        </w:trPr>
        <w:tc>
          <w:tcPr>
            <w:tcW w:w="1054" w:type="dxa"/>
            <w:tcBorders>
              <w:top w:val="single" w:sz="6" w:space="0" w:color="000000"/>
              <w:bottom w:val="single" w:sz="6" w:space="0" w:color="000000"/>
              <w:right w:val="single" w:sz="6" w:space="0" w:color="000000"/>
            </w:tcBorders>
          </w:tcPr>
          <w:p>
            <w:pPr>
              <w:pStyle w:val="TableParagraph"/>
              <w:spacing w:before="52"/>
              <w:ind w:left="292"/>
              <w:rPr>
                <w:sz w:val="20"/>
              </w:rPr>
            </w:pPr>
            <w:r>
              <w:rPr>
                <w:sz w:val="20"/>
              </w:rPr>
              <w:t>0x8D</w:t>
            </w:r>
          </w:p>
        </w:tc>
        <w:tc>
          <w:tcPr>
            <w:tcW w:w="1551" w:type="dxa"/>
            <w:tcBorders>
              <w:top w:val="single" w:sz="6" w:space="0" w:color="000000"/>
              <w:left w:val="single" w:sz="6" w:space="0" w:color="000000"/>
              <w:bottom w:val="single" w:sz="6" w:space="0" w:color="000000"/>
              <w:right w:val="single" w:sz="6" w:space="0" w:color="000000"/>
            </w:tcBorders>
          </w:tcPr>
          <w:p>
            <w:pPr>
              <w:pStyle w:val="TableParagraph"/>
              <w:spacing w:before="48"/>
              <w:ind w:left="200" w:right="192"/>
              <w:jc w:val="center"/>
              <w:rPr>
                <w:rFonts w:ascii="Times New Roman"/>
                <w:i/>
                <w:sz w:val="20"/>
              </w:rPr>
            </w:pPr>
            <w:r>
              <w:rPr>
                <w:rFonts w:ascii="Times New Roman"/>
                <w:i/>
                <w:sz w:val="20"/>
              </w:rPr>
              <w:t>I1SQSUM_X</w:t>
            </w:r>
          </w:p>
        </w:tc>
        <w:tc>
          <w:tcPr>
            <w:tcW w:w="480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
              <w:rPr>
                <w:b/>
                <w:sz w:val="32"/>
              </w:rPr>
            </w:pPr>
          </w:p>
          <w:p>
            <w:pPr>
              <w:pStyle w:val="TableParagraph"/>
              <w:ind w:left="896"/>
              <w:rPr>
                <w:sz w:val="20"/>
              </w:rPr>
            </w:pPr>
            <w:r>
              <w:rPr>
                <w:sz w:val="20"/>
              </w:rPr>
              <w:t>LSB</w:t>
            </w:r>
            <w:r>
              <w:rPr>
                <w:sz w:val="20"/>
                <w:vertAlign w:val="subscript"/>
              </w:rPr>
              <w:t>I</w:t>
            </w:r>
            <w:r>
              <w:rPr>
                <w:sz w:val="20"/>
                <w:vertAlign w:val="baseline"/>
              </w:rPr>
              <w:t> = 6.3968*10</w:t>
            </w:r>
            <w:r>
              <w:rPr>
                <w:sz w:val="20"/>
                <w:vertAlign w:val="superscript"/>
              </w:rPr>
              <w:t>-13</w:t>
            </w:r>
            <w:r>
              <w:rPr>
                <w:sz w:val="20"/>
                <w:vertAlign w:val="baseline"/>
              </w:rPr>
              <w:t> * (IMAX</w:t>
            </w:r>
            <w:r>
              <w:rPr>
                <w:sz w:val="20"/>
                <w:vertAlign w:val="superscript"/>
              </w:rPr>
              <w:t>2</w:t>
            </w:r>
            <w:r>
              <w:rPr>
                <w:sz w:val="20"/>
                <w:vertAlign w:val="baseline"/>
              </w:rPr>
              <w:t>) A</w:t>
            </w:r>
            <w:r>
              <w:rPr>
                <w:sz w:val="20"/>
                <w:vertAlign w:val="superscript"/>
              </w:rPr>
              <w:t>2</w:t>
            </w:r>
            <w:r>
              <w:rPr>
                <w:sz w:val="20"/>
                <w:vertAlign w:val="baseline"/>
              </w:rPr>
              <w:t>h</w:t>
            </w:r>
          </w:p>
        </w:tc>
        <w:tc>
          <w:tcPr>
            <w:tcW w:w="2185" w:type="dxa"/>
            <w:vMerge/>
            <w:tcBorders>
              <w:top w:val="nil"/>
              <w:left w:val="single" w:sz="6" w:space="0" w:color="000000"/>
            </w:tcBorders>
          </w:tcPr>
          <w:p>
            <w:pPr>
              <w:rPr>
                <w:sz w:val="2"/>
                <w:szCs w:val="2"/>
              </w:rPr>
            </w:pPr>
          </w:p>
        </w:tc>
      </w:tr>
      <w:tr>
        <w:trPr>
          <w:trHeight w:val="337" w:hRule="atLeast"/>
        </w:trPr>
        <w:tc>
          <w:tcPr>
            <w:tcW w:w="1054" w:type="dxa"/>
            <w:tcBorders>
              <w:top w:val="single" w:sz="6" w:space="0" w:color="000000"/>
              <w:bottom w:val="single" w:sz="6" w:space="0" w:color="000000"/>
              <w:right w:val="single" w:sz="6" w:space="0" w:color="000000"/>
            </w:tcBorders>
          </w:tcPr>
          <w:p>
            <w:pPr>
              <w:pStyle w:val="TableParagraph"/>
              <w:spacing w:before="52"/>
              <w:ind w:left="297"/>
              <w:rPr>
                <w:sz w:val="20"/>
              </w:rPr>
            </w:pPr>
            <w:r>
              <w:rPr>
                <w:sz w:val="20"/>
              </w:rPr>
              <w:t>0x8E</w:t>
            </w:r>
          </w:p>
        </w:tc>
        <w:tc>
          <w:tcPr>
            <w:tcW w:w="1551" w:type="dxa"/>
            <w:tcBorders>
              <w:top w:val="single" w:sz="6" w:space="0" w:color="000000"/>
              <w:left w:val="single" w:sz="6" w:space="0" w:color="000000"/>
              <w:bottom w:val="single" w:sz="6" w:space="0" w:color="000000"/>
              <w:right w:val="single" w:sz="6" w:space="0" w:color="000000"/>
            </w:tcBorders>
          </w:tcPr>
          <w:p>
            <w:pPr>
              <w:pStyle w:val="TableParagraph"/>
              <w:spacing w:before="48"/>
              <w:ind w:left="200" w:right="192"/>
              <w:jc w:val="center"/>
              <w:rPr>
                <w:rFonts w:ascii="Times New Roman"/>
                <w:i/>
                <w:sz w:val="20"/>
              </w:rPr>
            </w:pPr>
            <w:r>
              <w:rPr>
                <w:rFonts w:ascii="Times New Roman"/>
                <w:i/>
                <w:sz w:val="20"/>
              </w:rPr>
              <w:t>I2SQSUM_X</w:t>
            </w:r>
          </w:p>
        </w:tc>
        <w:tc>
          <w:tcPr>
            <w:tcW w:w="4803" w:type="dxa"/>
            <w:vMerge/>
            <w:tcBorders>
              <w:top w:val="nil"/>
              <w:left w:val="single" w:sz="6" w:space="0" w:color="000000"/>
              <w:bottom w:val="single" w:sz="6" w:space="0" w:color="000000"/>
              <w:right w:val="single" w:sz="6" w:space="0" w:color="000000"/>
            </w:tcBorders>
          </w:tcPr>
          <w:p>
            <w:pPr>
              <w:rPr>
                <w:sz w:val="2"/>
                <w:szCs w:val="2"/>
              </w:rPr>
            </w:pPr>
          </w:p>
        </w:tc>
        <w:tc>
          <w:tcPr>
            <w:tcW w:w="2185" w:type="dxa"/>
            <w:vMerge/>
            <w:tcBorders>
              <w:top w:val="nil"/>
              <w:left w:val="single" w:sz="6" w:space="0" w:color="000000"/>
            </w:tcBorders>
          </w:tcPr>
          <w:p>
            <w:pPr>
              <w:rPr>
                <w:sz w:val="2"/>
                <w:szCs w:val="2"/>
              </w:rPr>
            </w:pPr>
          </w:p>
        </w:tc>
      </w:tr>
      <w:tr>
        <w:trPr>
          <w:trHeight w:val="270" w:hRule="atLeast"/>
        </w:trPr>
        <w:tc>
          <w:tcPr>
            <w:tcW w:w="1054" w:type="dxa"/>
            <w:tcBorders>
              <w:top w:val="single" w:sz="6" w:space="0" w:color="000000"/>
              <w:bottom w:val="single" w:sz="6" w:space="0" w:color="000000"/>
              <w:right w:val="single" w:sz="6" w:space="0" w:color="000000"/>
            </w:tcBorders>
          </w:tcPr>
          <w:p>
            <w:pPr>
              <w:pStyle w:val="TableParagraph"/>
              <w:spacing w:before="18"/>
              <w:ind w:left="304"/>
              <w:rPr>
                <w:sz w:val="20"/>
              </w:rPr>
            </w:pPr>
            <w:r>
              <w:rPr>
                <w:sz w:val="20"/>
              </w:rPr>
              <w:t>0x8F</w:t>
            </w:r>
          </w:p>
        </w:tc>
        <w:tc>
          <w:tcPr>
            <w:tcW w:w="1551" w:type="dxa"/>
            <w:tcBorders>
              <w:top w:val="single" w:sz="6" w:space="0" w:color="000000"/>
              <w:left w:val="single" w:sz="6" w:space="0" w:color="000000"/>
              <w:bottom w:val="single" w:sz="6" w:space="0" w:color="000000"/>
              <w:right w:val="single" w:sz="6" w:space="0" w:color="000000"/>
            </w:tcBorders>
          </w:tcPr>
          <w:p>
            <w:pPr>
              <w:pStyle w:val="TableParagraph"/>
              <w:spacing w:before="14"/>
              <w:ind w:left="200" w:right="192"/>
              <w:jc w:val="center"/>
              <w:rPr>
                <w:rFonts w:ascii="Times New Roman"/>
                <w:i/>
                <w:sz w:val="20"/>
              </w:rPr>
            </w:pPr>
            <w:r>
              <w:rPr>
                <w:rFonts w:ascii="Times New Roman"/>
                <w:i/>
                <w:sz w:val="20"/>
              </w:rPr>
              <w:t>I3SQSUM_X</w:t>
            </w:r>
          </w:p>
        </w:tc>
        <w:tc>
          <w:tcPr>
            <w:tcW w:w="4803" w:type="dxa"/>
            <w:vMerge/>
            <w:tcBorders>
              <w:top w:val="nil"/>
              <w:left w:val="single" w:sz="6" w:space="0" w:color="000000"/>
              <w:bottom w:val="single" w:sz="6" w:space="0" w:color="000000"/>
              <w:right w:val="single" w:sz="6" w:space="0" w:color="000000"/>
            </w:tcBorders>
          </w:tcPr>
          <w:p>
            <w:pPr>
              <w:rPr>
                <w:sz w:val="2"/>
                <w:szCs w:val="2"/>
              </w:rPr>
            </w:pPr>
          </w:p>
        </w:tc>
        <w:tc>
          <w:tcPr>
            <w:tcW w:w="2185" w:type="dxa"/>
            <w:vMerge/>
            <w:tcBorders>
              <w:top w:val="nil"/>
              <w:left w:val="single" w:sz="6" w:space="0" w:color="000000"/>
            </w:tcBorders>
          </w:tcPr>
          <w:p>
            <w:pPr>
              <w:rPr>
                <w:sz w:val="2"/>
                <w:szCs w:val="2"/>
              </w:rPr>
            </w:pPr>
          </w:p>
        </w:tc>
      </w:tr>
      <w:tr>
        <w:trPr>
          <w:trHeight w:val="337" w:hRule="atLeast"/>
        </w:trPr>
        <w:tc>
          <w:tcPr>
            <w:tcW w:w="1054" w:type="dxa"/>
            <w:tcBorders>
              <w:top w:val="single" w:sz="6" w:space="0" w:color="000000"/>
              <w:bottom w:val="single" w:sz="6" w:space="0" w:color="000000"/>
              <w:right w:val="single" w:sz="6" w:space="0" w:color="000000"/>
            </w:tcBorders>
          </w:tcPr>
          <w:p>
            <w:pPr>
              <w:pStyle w:val="TableParagraph"/>
              <w:spacing w:before="52"/>
              <w:ind w:left="309"/>
              <w:rPr>
                <w:sz w:val="20"/>
              </w:rPr>
            </w:pPr>
            <w:r>
              <w:rPr>
                <w:sz w:val="20"/>
              </w:rPr>
              <w:t>0x90</w:t>
            </w:r>
          </w:p>
        </w:tc>
        <w:tc>
          <w:tcPr>
            <w:tcW w:w="1551" w:type="dxa"/>
            <w:tcBorders>
              <w:top w:val="single" w:sz="6" w:space="0" w:color="000000"/>
              <w:left w:val="single" w:sz="6" w:space="0" w:color="000000"/>
              <w:bottom w:val="single" w:sz="6" w:space="0" w:color="000000"/>
              <w:right w:val="single" w:sz="6" w:space="0" w:color="000000"/>
            </w:tcBorders>
          </w:tcPr>
          <w:p>
            <w:pPr>
              <w:pStyle w:val="TableParagraph"/>
              <w:spacing w:before="48"/>
              <w:ind w:left="203" w:right="192"/>
              <w:jc w:val="center"/>
              <w:rPr>
                <w:rFonts w:ascii="Times New Roman"/>
                <w:i/>
                <w:sz w:val="20"/>
              </w:rPr>
            </w:pPr>
            <w:r>
              <w:rPr>
                <w:rFonts w:ascii="Times New Roman"/>
                <w:i/>
                <w:sz w:val="20"/>
              </w:rPr>
              <w:t>V0SQSUM_X</w:t>
            </w:r>
          </w:p>
        </w:tc>
        <w:tc>
          <w:tcPr>
            <w:tcW w:w="4803" w:type="dxa"/>
            <w:vMerge w:val="restart"/>
            <w:tcBorders>
              <w:top w:val="single" w:sz="6" w:space="0" w:color="000000"/>
              <w:left w:val="single" w:sz="6" w:space="0" w:color="000000"/>
              <w:right w:val="single" w:sz="6" w:space="0" w:color="000000"/>
            </w:tcBorders>
          </w:tcPr>
          <w:p>
            <w:pPr>
              <w:pStyle w:val="TableParagraph"/>
              <w:spacing w:before="3"/>
              <w:rPr>
                <w:b/>
                <w:sz w:val="32"/>
              </w:rPr>
            </w:pPr>
          </w:p>
          <w:p>
            <w:pPr>
              <w:pStyle w:val="TableParagraph"/>
              <w:ind w:left="1121"/>
              <w:rPr>
                <w:sz w:val="20"/>
              </w:rPr>
            </w:pPr>
            <w:r>
              <w:rPr>
                <w:sz w:val="20"/>
              </w:rPr>
              <w:t>LSB</w:t>
            </w:r>
            <w:r>
              <w:rPr>
                <w:sz w:val="20"/>
                <w:vertAlign w:val="subscript"/>
              </w:rPr>
              <w:t>V</w:t>
            </w:r>
            <w:r>
              <w:rPr>
                <w:sz w:val="20"/>
                <w:vertAlign w:val="baseline"/>
              </w:rPr>
              <w:t> = 9.4045*10</w:t>
            </w:r>
            <w:r>
              <w:rPr>
                <w:sz w:val="20"/>
                <w:vertAlign w:val="superscript"/>
              </w:rPr>
              <w:t>-13</w:t>
            </w:r>
            <w:r>
              <w:rPr>
                <w:sz w:val="20"/>
                <w:vertAlign w:val="baseline"/>
              </w:rPr>
              <w:t>*VMAX</w:t>
            </w:r>
            <w:r>
              <w:rPr>
                <w:sz w:val="20"/>
                <w:vertAlign w:val="superscript"/>
              </w:rPr>
              <w:t>2</w:t>
            </w:r>
            <w:r>
              <w:rPr>
                <w:sz w:val="20"/>
                <w:vertAlign w:val="baseline"/>
              </w:rPr>
              <w:t> V</w:t>
            </w:r>
            <w:r>
              <w:rPr>
                <w:sz w:val="20"/>
                <w:vertAlign w:val="superscript"/>
              </w:rPr>
              <w:t>2</w:t>
            </w:r>
            <w:r>
              <w:rPr>
                <w:sz w:val="20"/>
                <w:vertAlign w:val="baseline"/>
              </w:rPr>
              <w:t>h</w:t>
            </w:r>
          </w:p>
        </w:tc>
        <w:tc>
          <w:tcPr>
            <w:tcW w:w="2185" w:type="dxa"/>
            <w:vMerge/>
            <w:tcBorders>
              <w:top w:val="nil"/>
              <w:left w:val="single" w:sz="6" w:space="0" w:color="000000"/>
            </w:tcBorders>
          </w:tcPr>
          <w:p>
            <w:pPr>
              <w:rPr>
                <w:sz w:val="2"/>
                <w:szCs w:val="2"/>
              </w:rPr>
            </w:pPr>
          </w:p>
        </w:tc>
      </w:tr>
      <w:tr>
        <w:trPr>
          <w:trHeight w:val="337" w:hRule="atLeast"/>
        </w:trPr>
        <w:tc>
          <w:tcPr>
            <w:tcW w:w="1054" w:type="dxa"/>
            <w:tcBorders>
              <w:top w:val="single" w:sz="6" w:space="0" w:color="000000"/>
              <w:bottom w:val="single" w:sz="6" w:space="0" w:color="000000"/>
              <w:right w:val="single" w:sz="6" w:space="0" w:color="000000"/>
            </w:tcBorders>
          </w:tcPr>
          <w:p>
            <w:pPr>
              <w:pStyle w:val="TableParagraph"/>
              <w:spacing w:before="52"/>
              <w:ind w:left="309"/>
              <w:rPr>
                <w:sz w:val="20"/>
              </w:rPr>
            </w:pPr>
            <w:r>
              <w:rPr>
                <w:sz w:val="20"/>
              </w:rPr>
              <w:t>0x91</w:t>
            </w:r>
          </w:p>
        </w:tc>
        <w:tc>
          <w:tcPr>
            <w:tcW w:w="1551" w:type="dxa"/>
            <w:tcBorders>
              <w:top w:val="single" w:sz="6" w:space="0" w:color="000000"/>
              <w:left w:val="single" w:sz="6" w:space="0" w:color="000000"/>
              <w:bottom w:val="single" w:sz="6" w:space="0" w:color="000000"/>
              <w:right w:val="single" w:sz="6" w:space="0" w:color="000000"/>
            </w:tcBorders>
          </w:tcPr>
          <w:p>
            <w:pPr>
              <w:pStyle w:val="TableParagraph"/>
              <w:spacing w:before="48"/>
              <w:ind w:left="203" w:right="192"/>
              <w:jc w:val="center"/>
              <w:rPr>
                <w:rFonts w:ascii="Times New Roman"/>
                <w:i/>
                <w:sz w:val="20"/>
              </w:rPr>
            </w:pPr>
            <w:r>
              <w:rPr>
                <w:rFonts w:ascii="Times New Roman"/>
                <w:i/>
                <w:sz w:val="20"/>
              </w:rPr>
              <w:t>V1SQSUM_X</w:t>
            </w:r>
          </w:p>
        </w:tc>
        <w:tc>
          <w:tcPr>
            <w:tcW w:w="4803" w:type="dxa"/>
            <w:vMerge/>
            <w:tcBorders>
              <w:top w:val="nil"/>
              <w:left w:val="single" w:sz="6" w:space="0" w:color="000000"/>
              <w:right w:val="single" w:sz="6" w:space="0" w:color="000000"/>
            </w:tcBorders>
          </w:tcPr>
          <w:p>
            <w:pPr>
              <w:rPr>
                <w:sz w:val="2"/>
                <w:szCs w:val="2"/>
              </w:rPr>
            </w:pPr>
          </w:p>
        </w:tc>
        <w:tc>
          <w:tcPr>
            <w:tcW w:w="2185" w:type="dxa"/>
            <w:vMerge/>
            <w:tcBorders>
              <w:top w:val="nil"/>
              <w:left w:val="single" w:sz="6" w:space="0" w:color="000000"/>
            </w:tcBorders>
          </w:tcPr>
          <w:p>
            <w:pPr>
              <w:rPr>
                <w:sz w:val="2"/>
                <w:szCs w:val="2"/>
              </w:rPr>
            </w:pPr>
          </w:p>
        </w:tc>
      </w:tr>
      <w:tr>
        <w:trPr>
          <w:trHeight w:val="270" w:hRule="atLeast"/>
        </w:trPr>
        <w:tc>
          <w:tcPr>
            <w:tcW w:w="1054" w:type="dxa"/>
            <w:tcBorders>
              <w:top w:val="single" w:sz="6" w:space="0" w:color="000000"/>
              <w:right w:val="single" w:sz="6" w:space="0" w:color="000000"/>
            </w:tcBorders>
          </w:tcPr>
          <w:p>
            <w:pPr>
              <w:pStyle w:val="TableParagraph"/>
              <w:spacing w:before="18"/>
              <w:ind w:left="309"/>
              <w:rPr>
                <w:sz w:val="20"/>
              </w:rPr>
            </w:pPr>
            <w:r>
              <w:rPr>
                <w:sz w:val="20"/>
              </w:rPr>
              <w:t>0x92</w:t>
            </w:r>
          </w:p>
        </w:tc>
        <w:tc>
          <w:tcPr>
            <w:tcW w:w="1551" w:type="dxa"/>
            <w:tcBorders>
              <w:top w:val="single" w:sz="6" w:space="0" w:color="000000"/>
              <w:left w:val="single" w:sz="6" w:space="0" w:color="000000"/>
              <w:right w:val="single" w:sz="6" w:space="0" w:color="000000"/>
            </w:tcBorders>
          </w:tcPr>
          <w:p>
            <w:pPr>
              <w:pStyle w:val="TableParagraph"/>
              <w:spacing w:before="14"/>
              <w:ind w:left="203" w:right="192"/>
              <w:jc w:val="center"/>
              <w:rPr>
                <w:rFonts w:ascii="Times New Roman"/>
                <w:i/>
                <w:sz w:val="20"/>
              </w:rPr>
            </w:pPr>
            <w:r>
              <w:rPr>
                <w:rFonts w:ascii="Times New Roman"/>
                <w:i/>
                <w:sz w:val="20"/>
              </w:rPr>
              <w:t>V2SQSUM_X</w:t>
            </w:r>
          </w:p>
        </w:tc>
        <w:tc>
          <w:tcPr>
            <w:tcW w:w="4803" w:type="dxa"/>
            <w:vMerge/>
            <w:tcBorders>
              <w:top w:val="nil"/>
              <w:left w:val="single" w:sz="6" w:space="0" w:color="000000"/>
              <w:right w:val="single" w:sz="6" w:space="0" w:color="000000"/>
            </w:tcBorders>
          </w:tcPr>
          <w:p>
            <w:pPr>
              <w:rPr>
                <w:sz w:val="2"/>
                <w:szCs w:val="2"/>
              </w:rPr>
            </w:pPr>
          </w:p>
        </w:tc>
        <w:tc>
          <w:tcPr>
            <w:tcW w:w="2185" w:type="dxa"/>
            <w:vMerge/>
            <w:tcBorders>
              <w:top w:val="nil"/>
              <w:left w:val="single" w:sz="6" w:space="0" w:color="000000"/>
            </w:tcBorders>
          </w:tcPr>
          <w:p>
            <w:pPr>
              <w:rPr>
                <w:sz w:val="2"/>
                <w:szCs w:val="2"/>
              </w:rPr>
            </w:pPr>
          </w:p>
        </w:tc>
      </w:tr>
    </w:tbl>
    <w:p>
      <w:pPr>
        <w:pStyle w:val="BodyText"/>
        <w:spacing w:before="7"/>
        <w:rPr>
          <w:b/>
          <w:sz w:val="19"/>
        </w:rPr>
      </w:pPr>
    </w:p>
    <w:p>
      <w:pPr>
        <w:pStyle w:val="Heading1"/>
        <w:ind w:left="780" w:right="797"/>
      </w:pPr>
      <w:bookmarkStart w:name="_bookmark232" w:id="480"/>
      <w:bookmarkEnd w:id="480"/>
      <w:r>
        <w:rPr>
          <w:b w:val="0"/>
        </w:rPr>
      </w:r>
      <w:r>
        <w:rPr/>
        <w:t>Table 81: CE Energy Measurement Variables (with CTs)</w:t>
      </w:r>
    </w:p>
    <w:p>
      <w:pPr>
        <w:pStyle w:val="BodyText"/>
        <w:spacing w:before="6"/>
        <w:rPr>
          <w:b/>
          <w:sz w:val="5"/>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4"/>
        <w:gridCol w:w="1551"/>
        <w:gridCol w:w="4803"/>
        <w:gridCol w:w="2185"/>
      </w:tblGrid>
      <w:tr>
        <w:trPr>
          <w:trHeight w:val="541" w:hRule="atLeast"/>
        </w:trPr>
        <w:tc>
          <w:tcPr>
            <w:tcW w:w="1054" w:type="dxa"/>
            <w:tcBorders>
              <w:bottom w:val="single" w:sz="6" w:space="0" w:color="000000"/>
              <w:right w:val="single" w:sz="6" w:space="0" w:color="000000"/>
            </w:tcBorders>
          </w:tcPr>
          <w:p>
            <w:pPr>
              <w:pStyle w:val="TableParagraph"/>
              <w:spacing w:line="229" w:lineRule="exact" w:before="38"/>
              <w:ind w:left="104" w:right="93"/>
              <w:jc w:val="center"/>
              <w:rPr>
                <w:b/>
                <w:sz w:val="20"/>
              </w:rPr>
            </w:pPr>
            <w:r>
              <w:rPr>
                <w:b/>
                <w:sz w:val="20"/>
              </w:rPr>
              <w:t>CE</w:t>
            </w:r>
          </w:p>
          <w:p>
            <w:pPr>
              <w:pStyle w:val="TableParagraph"/>
              <w:spacing w:line="229" w:lineRule="exact"/>
              <w:ind w:left="104" w:right="96"/>
              <w:jc w:val="center"/>
              <w:rPr>
                <w:b/>
                <w:sz w:val="20"/>
              </w:rPr>
            </w:pPr>
            <w:r>
              <w:rPr>
                <w:b/>
                <w:sz w:val="20"/>
              </w:rPr>
              <w:t>Address</w:t>
            </w:r>
          </w:p>
        </w:tc>
        <w:tc>
          <w:tcPr>
            <w:tcW w:w="1551" w:type="dxa"/>
            <w:tcBorders>
              <w:left w:val="single" w:sz="6" w:space="0" w:color="000000"/>
              <w:bottom w:val="single" w:sz="6" w:space="0" w:color="000000"/>
              <w:right w:val="single" w:sz="6" w:space="0" w:color="000000"/>
            </w:tcBorders>
          </w:tcPr>
          <w:p>
            <w:pPr>
              <w:pStyle w:val="TableParagraph"/>
              <w:spacing w:before="151"/>
              <w:ind w:left="195" w:right="192"/>
              <w:jc w:val="center"/>
              <w:rPr>
                <w:b/>
                <w:sz w:val="20"/>
              </w:rPr>
            </w:pPr>
            <w:r>
              <w:rPr>
                <w:b/>
                <w:sz w:val="20"/>
              </w:rPr>
              <w:t>Name</w:t>
            </w:r>
          </w:p>
        </w:tc>
        <w:tc>
          <w:tcPr>
            <w:tcW w:w="4803" w:type="dxa"/>
            <w:tcBorders>
              <w:left w:val="single" w:sz="6" w:space="0" w:color="000000"/>
              <w:bottom w:val="single" w:sz="6" w:space="0" w:color="000000"/>
              <w:right w:val="single" w:sz="6" w:space="0" w:color="000000"/>
            </w:tcBorders>
          </w:tcPr>
          <w:p>
            <w:pPr>
              <w:pStyle w:val="TableParagraph"/>
              <w:spacing w:before="151"/>
              <w:ind w:left="1825" w:right="1822"/>
              <w:jc w:val="center"/>
              <w:rPr>
                <w:b/>
                <w:sz w:val="20"/>
              </w:rPr>
            </w:pPr>
            <w:r>
              <w:rPr>
                <w:b/>
                <w:sz w:val="20"/>
              </w:rPr>
              <w:t>Description</w:t>
            </w:r>
          </w:p>
        </w:tc>
        <w:tc>
          <w:tcPr>
            <w:tcW w:w="2185" w:type="dxa"/>
            <w:tcBorders>
              <w:left w:val="single" w:sz="6" w:space="0" w:color="000000"/>
              <w:bottom w:val="single" w:sz="6" w:space="0" w:color="000000"/>
            </w:tcBorders>
          </w:tcPr>
          <w:p>
            <w:pPr>
              <w:pStyle w:val="TableParagraph"/>
              <w:spacing w:before="151"/>
              <w:ind w:left="429"/>
              <w:rPr>
                <w:b/>
                <w:sz w:val="20"/>
              </w:rPr>
            </w:pPr>
            <w:r>
              <w:rPr>
                <w:b/>
                <w:sz w:val="20"/>
              </w:rPr>
              <w:t>Configuration</w:t>
            </w:r>
          </w:p>
        </w:tc>
      </w:tr>
      <w:tr>
        <w:trPr>
          <w:trHeight w:val="390" w:hRule="atLeast"/>
        </w:trPr>
        <w:tc>
          <w:tcPr>
            <w:tcW w:w="1054" w:type="dxa"/>
            <w:tcBorders>
              <w:top w:val="single" w:sz="6" w:space="0" w:color="000000"/>
              <w:bottom w:val="single" w:sz="6" w:space="0" w:color="000000"/>
              <w:right w:val="single" w:sz="6" w:space="0" w:color="000000"/>
            </w:tcBorders>
          </w:tcPr>
          <w:p>
            <w:pPr>
              <w:pStyle w:val="TableParagraph"/>
              <w:spacing w:before="78"/>
              <w:ind w:left="292"/>
              <w:rPr>
                <w:sz w:val="20"/>
              </w:rPr>
            </w:pPr>
            <w:r>
              <w:rPr>
                <w:sz w:val="20"/>
              </w:rPr>
              <w:t>0x8C</w:t>
            </w:r>
          </w:p>
        </w:tc>
        <w:tc>
          <w:tcPr>
            <w:tcW w:w="1551" w:type="dxa"/>
            <w:tcBorders>
              <w:top w:val="single" w:sz="6" w:space="0" w:color="000000"/>
              <w:left w:val="single" w:sz="6" w:space="0" w:color="000000"/>
              <w:bottom w:val="single" w:sz="6" w:space="0" w:color="000000"/>
              <w:right w:val="single" w:sz="6" w:space="0" w:color="000000"/>
            </w:tcBorders>
          </w:tcPr>
          <w:p>
            <w:pPr>
              <w:pStyle w:val="TableParagraph"/>
              <w:spacing w:before="74"/>
              <w:ind w:left="200" w:right="192"/>
              <w:jc w:val="center"/>
              <w:rPr>
                <w:rFonts w:ascii="Times New Roman"/>
                <w:i/>
                <w:sz w:val="20"/>
              </w:rPr>
            </w:pPr>
            <w:r>
              <w:rPr>
                <w:rFonts w:ascii="Times New Roman"/>
                <w:i/>
                <w:sz w:val="20"/>
              </w:rPr>
              <w:t>I0SQSUM_X</w:t>
            </w:r>
          </w:p>
        </w:tc>
        <w:tc>
          <w:tcPr>
            <w:tcW w:w="4803" w:type="dxa"/>
            <w:vMerge w:val="restart"/>
            <w:tcBorders>
              <w:top w:val="single" w:sz="6" w:space="0" w:color="000000"/>
              <w:left w:val="single" w:sz="6" w:space="0" w:color="000000"/>
              <w:bottom w:val="single" w:sz="6" w:space="0" w:color="000000"/>
              <w:right w:val="single" w:sz="6" w:space="0" w:color="000000"/>
            </w:tcBorders>
          </w:tcPr>
          <w:p>
            <w:pPr>
              <w:pStyle w:val="TableParagraph"/>
              <w:rPr>
                <w:b/>
                <w:sz w:val="28"/>
              </w:rPr>
            </w:pPr>
          </w:p>
          <w:p>
            <w:pPr>
              <w:pStyle w:val="TableParagraph"/>
              <w:rPr>
                <w:b/>
                <w:sz w:val="22"/>
              </w:rPr>
            </w:pPr>
          </w:p>
          <w:p>
            <w:pPr>
              <w:pStyle w:val="TableParagraph"/>
              <w:ind w:left="896"/>
              <w:rPr>
                <w:sz w:val="20"/>
              </w:rPr>
            </w:pPr>
            <w:r>
              <w:rPr>
                <w:sz w:val="20"/>
              </w:rPr>
              <w:t>LSB</w:t>
            </w:r>
            <w:r>
              <w:rPr>
                <w:sz w:val="20"/>
                <w:vertAlign w:val="subscript"/>
              </w:rPr>
              <w:t>I</w:t>
            </w:r>
            <w:r>
              <w:rPr>
                <w:sz w:val="20"/>
                <w:vertAlign w:val="baseline"/>
              </w:rPr>
              <w:t> = 1.0856*10</w:t>
            </w:r>
            <w:r>
              <w:rPr>
                <w:sz w:val="20"/>
                <w:vertAlign w:val="superscript"/>
              </w:rPr>
              <w:t>-12</w:t>
            </w:r>
            <w:r>
              <w:rPr>
                <w:sz w:val="20"/>
                <w:vertAlign w:val="baseline"/>
              </w:rPr>
              <w:t> * (IMAX</w:t>
            </w:r>
            <w:r>
              <w:rPr>
                <w:sz w:val="20"/>
                <w:vertAlign w:val="superscript"/>
              </w:rPr>
              <w:t>2</w:t>
            </w:r>
            <w:r>
              <w:rPr>
                <w:sz w:val="20"/>
                <w:vertAlign w:val="baseline"/>
              </w:rPr>
              <w:t>) A</w:t>
            </w:r>
            <w:r>
              <w:rPr>
                <w:sz w:val="20"/>
                <w:vertAlign w:val="superscript"/>
              </w:rPr>
              <w:t>2</w:t>
            </w:r>
            <w:r>
              <w:rPr>
                <w:sz w:val="20"/>
                <w:vertAlign w:val="baseline"/>
              </w:rPr>
              <w:t>h</w:t>
            </w:r>
          </w:p>
        </w:tc>
        <w:tc>
          <w:tcPr>
            <w:tcW w:w="2185" w:type="dxa"/>
            <w:vMerge w:val="restart"/>
            <w:tcBorders>
              <w:top w:val="single" w:sz="6" w:space="0" w:color="000000"/>
              <w:lef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7"/>
              </w:rPr>
            </w:pPr>
          </w:p>
          <w:p>
            <w:pPr>
              <w:pStyle w:val="TableParagraph"/>
              <w:ind w:left="206"/>
              <w:rPr>
                <w:sz w:val="20"/>
              </w:rPr>
            </w:pPr>
            <w:hyperlink w:history="true" w:anchor="_bookmark181">
              <w:r>
                <w:rPr>
                  <w:color w:val="0000FF"/>
                  <w:sz w:val="20"/>
                </w:rPr>
                <w:t>Figure 32 </w:t>
              </w:r>
            </w:hyperlink>
            <w:r>
              <w:rPr>
                <w:sz w:val="20"/>
              </w:rPr>
              <w:t>(page </w:t>
            </w:r>
            <w:hyperlink w:history="true" w:anchor="_bookmark181">
              <w:r>
                <w:rPr>
                  <w:color w:val="0000FF"/>
                  <w:sz w:val="20"/>
                </w:rPr>
                <w:t>87</w:t>
              </w:r>
              <w:r>
                <w:rPr>
                  <w:sz w:val="20"/>
                </w:rPr>
                <w:t>)</w:t>
              </w:r>
            </w:hyperlink>
          </w:p>
        </w:tc>
      </w:tr>
      <w:tr>
        <w:trPr>
          <w:trHeight w:val="337" w:hRule="atLeast"/>
        </w:trPr>
        <w:tc>
          <w:tcPr>
            <w:tcW w:w="1054" w:type="dxa"/>
            <w:tcBorders>
              <w:top w:val="single" w:sz="6" w:space="0" w:color="000000"/>
              <w:bottom w:val="single" w:sz="6" w:space="0" w:color="000000"/>
              <w:right w:val="single" w:sz="6" w:space="0" w:color="000000"/>
            </w:tcBorders>
          </w:tcPr>
          <w:p>
            <w:pPr>
              <w:pStyle w:val="TableParagraph"/>
              <w:spacing w:before="54"/>
              <w:ind w:left="292"/>
              <w:rPr>
                <w:sz w:val="20"/>
              </w:rPr>
            </w:pPr>
            <w:r>
              <w:rPr>
                <w:sz w:val="20"/>
              </w:rPr>
              <w:t>0x8D</w:t>
            </w:r>
          </w:p>
        </w:tc>
        <w:tc>
          <w:tcPr>
            <w:tcW w:w="1551" w:type="dxa"/>
            <w:tcBorders>
              <w:top w:val="single" w:sz="6" w:space="0" w:color="000000"/>
              <w:left w:val="single" w:sz="6" w:space="0" w:color="000000"/>
              <w:bottom w:val="single" w:sz="6" w:space="0" w:color="000000"/>
              <w:right w:val="single" w:sz="6" w:space="0" w:color="000000"/>
            </w:tcBorders>
          </w:tcPr>
          <w:p>
            <w:pPr>
              <w:pStyle w:val="TableParagraph"/>
              <w:spacing w:before="50"/>
              <w:ind w:left="200" w:right="192"/>
              <w:jc w:val="center"/>
              <w:rPr>
                <w:rFonts w:ascii="Times New Roman"/>
                <w:i/>
                <w:sz w:val="20"/>
              </w:rPr>
            </w:pPr>
            <w:r>
              <w:rPr>
                <w:rFonts w:ascii="Times New Roman"/>
                <w:i/>
                <w:sz w:val="20"/>
              </w:rPr>
              <w:t>I1SQSUM_X</w:t>
            </w:r>
          </w:p>
        </w:tc>
        <w:tc>
          <w:tcPr>
            <w:tcW w:w="4803" w:type="dxa"/>
            <w:vMerge/>
            <w:tcBorders>
              <w:top w:val="nil"/>
              <w:left w:val="single" w:sz="6" w:space="0" w:color="000000"/>
              <w:bottom w:val="single" w:sz="6" w:space="0" w:color="000000"/>
              <w:right w:val="single" w:sz="6" w:space="0" w:color="000000"/>
            </w:tcBorders>
          </w:tcPr>
          <w:p>
            <w:pPr>
              <w:rPr>
                <w:sz w:val="2"/>
                <w:szCs w:val="2"/>
              </w:rPr>
            </w:pPr>
          </w:p>
        </w:tc>
        <w:tc>
          <w:tcPr>
            <w:tcW w:w="2185" w:type="dxa"/>
            <w:vMerge/>
            <w:tcBorders>
              <w:top w:val="nil"/>
              <w:left w:val="single" w:sz="6" w:space="0" w:color="000000"/>
            </w:tcBorders>
          </w:tcPr>
          <w:p>
            <w:pPr>
              <w:rPr>
                <w:sz w:val="2"/>
                <w:szCs w:val="2"/>
              </w:rPr>
            </w:pPr>
          </w:p>
        </w:tc>
      </w:tr>
      <w:tr>
        <w:trPr>
          <w:trHeight w:val="337" w:hRule="atLeast"/>
        </w:trPr>
        <w:tc>
          <w:tcPr>
            <w:tcW w:w="1054" w:type="dxa"/>
            <w:tcBorders>
              <w:top w:val="single" w:sz="6" w:space="0" w:color="000000"/>
              <w:bottom w:val="single" w:sz="6" w:space="0" w:color="000000"/>
              <w:right w:val="single" w:sz="6" w:space="0" w:color="000000"/>
            </w:tcBorders>
          </w:tcPr>
          <w:p>
            <w:pPr>
              <w:pStyle w:val="TableParagraph"/>
              <w:spacing w:before="54"/>
              <w:ind w:left="297"/>
              <w:rPr>
                <w:sz w:val="20"/>
              </w:rPr>
            </w:pPr>
            <w:r>
              <w:rPr>
                <w:sz w:val="20"/>
              </w:rPr>
              <w:t>0x8E</w:t>
            </w:r>
          </w:p>
        </w:tc>
        <w:tc>
          <w:tcPr>
            <w:tcW w:w="1551" w:type="dxa"/>
            <w:tcBorders>
              <w:top w:val="single" w:sz="6" w:space="0" w:color="000000"/>
              <w:left w:val="single" w:sz="6" w:space="0" w:color="000000"/>
              <w:bottom w:val="single" w:sz="6" w:space="0" w:color="000000"/>
              <w:right w:val="single" w:sz="6" w:space="0" w:color="000000"/>
            </w:tcBorders>
          </w:tcPr>
          <w:p>
            <w:pPr>
              <w:pStyle w:val="TableParagraph"/>
              <w:spacing w:before="50"/>
              <w:ind w:left="200" w:right="192"/>
              <w:jc w:val="center"/>
              <w:rPr>
                <w:rFonts w:ascii="Times New Roman"/>
                <w:i/>
                <w:sz w:val="20"/>
              </w:rPr>
            </w:pPr>
            <w:r>
              <w:rPr>
                <w:rFonts w:ascii="Times New Roman"/>
                <w:i/>
                <w:sz w:val="20"/>
              </w:rPr>
              <w:t>I2SQSUM_X</w:t>
            </w:r>
          </w:p>
        </w:tc>
        <w:tc>
          <w:tcPr>
            <w:tcW w:w="4803" w:type="dxa"/>
            <w:vMerge/>
            <w:tcBorders>
              <w:top w:val="nil"/>
              <w:left w:val="single" w:sz="6" w:space="0" w:color="000000"/>
              <w:bottom w:val="single" w:sz="6" w:space="0" w:color="000000"/>
              <w:right w:val="single" w:sz="6" w:space="0" w:color="000000"/>
            </w:tcBorders>
          </w:tcPr>
          <w:p>
            <w:pPr>
              <w:rPr>
                <w:sz w:val="2"/>
                <w:szCs w:val="2"/>
              </w:rPr>
            </w:pPr>
          </w:p>
        </w:tc>
        <w:tc>
          <w:tcPr>
            <w:tcW w:w="2185" w:type="dxa"/>
            <w:vMerge/>
            <w:tcBorders>
              <w:top w:val="nil"/>
              <w:left w:val="single" w:sz="6" w:space="0" w:color="000000"/>
            </w:tcBorders>
          </w:tcPr>
          <w:p>
            <w:pPr>
              <w:rPr>
                <w:sz w:val="2"/>
                <w:szCs w:val="2"/>
              </w:rPr>
            </w:pPr>
          </w:p>
        </w:tc>
      </w:tr>
      <w:tr>
        <w:trPr>
          <w:trHeight w:val="270" w:hRule="atLeast"/>
        </w:trPr>
        <w:tc>
          <w:tcPr>
            <w:tcW w:w="1054" w:type="dxa"/>
            <w:tcBorders>
              <w:top w:val="single" w:sz="6" w:space="0" w:color="000000"/>
              <w:bottom w:val="single" w:sz="6" w:space="0" w:color="000000"/>
              <w:right w:val="single" w:sz="6" w:space="0" w:color="000000"/>
            </w:tcBorders>
          </w:tcPr>
          <w:p>
            <w:pPr>
              <w:pStyle w:val="TableParagraph"/>
              <w:spacing w:line="230" w:lineRule="exact" w:before="21"/>
              <w:ind w:left="304"/>
              <w:rPr>
                <w:sz w:val="20"/>
              </w:rPr>
            </w:pPr>
            <w:r>
              <w:rPr>
                <w:sz w:val="20"/>
              </w:rPr>
              <w:t>0x8F</w:t>
            </w:r>
          </w:p>
        </w:tc>
        <w:tc>
          <w:tcPr>
            <w:tcW w:w="1551" w:type="dxa"/>
            <w:tcBorders>
              <w:top w:val="single" w:sz="6" w:space="0" w:color="000000"/>
              <w:left w:val="single" w:sz="6" w:space="0" w:color="000000"/>
              <w:bottom w:val="single" w:sz="6" w:space="0" w:color="000000"/>
              <w:right w:val="single" w:sz="6" w:space="0" w:color="000000"/>
            </w:tcBorders>
          </w:tcPr>
          <w:p>
            <w:pPr>
              <w:pStyle w:val="TableParagraph"/>
              <w:spacing w:before="17"/>
              <w:ind w:left="200" w:right="192"/>
              <w:jc w:val="center"/>
              <w:rPr>
                <w:rFonts w:ascii="Times New Roman"/>
                <w:i/>
                <w:sz w:val="20"/>
              </w:rPr>
            </w:pPr>
            <w:r>
              <w:rPr>
                <w:rFonts w:ascii="Times New Roman"/>
                <w:i/>
                <w:sz w:val="20"/>
              </w:rPr>
              <w:t>I3SQSUM_X</w:t>
            </w:r>
          </w:p>
        </w:tc>
        <w:tc>
          <w:tcPr>
            <w:tcW w:w="4803" w:type="dxa"/>
            <w:vMerge/>
            <w:tcBorders>
              <w:top w:val="nil"/>
              <w:left w:val="single" w:sz="6" w:space="0" w:color="000000"/>
              <w:bottom w:val="single" w:sz="6" w:space="0" w:color="000000"/>
              <w:right w:val="single" w:sz="6" w:space="0" w:color="000000"/>
            </w:tcBorders>
          </w:tcPr>
          <w:p>
            <w:pPr>
              <w:rPr>
                <w:sz w:val="2"/>
                <w:szCs w:val="2"/>
              </w:rPr>
            </w:pPr>
          </w:p>
        </w:tc>
        <w:tc>
          <w:tcPr>
            <w:tcW w:w="2185" w:type="dxa"/>
            <w:vMerge/>
            <w:tcBorders>
              <w:top w:val="nil"/>
              <w:left w:val="single" w:sz="6" w:space="0" w:color="000000"/>
            </w:tcBorders>
          </w:tcPr>
          <w:p>
            <w:pPr>
              <w:rPr>
                <w:sz w:val="2"/>
                <w:szCs w:val="2"/>
              </w:rPr>
            </w:pPr>
          </w:p>
        </w:tc>
      </w:tr>
      <w:tr>
        <w:trPr>
          <w:trHeight w:val="337" w:hRule="atLeast"/>
        </w:trPr>
        <w:tc>
          <w:tcPr>
            <w:tcW w:w="1054" w:type="dxa"/>
            <w:tcBorders>
              <w:top w:val="single" w:sz="6" w:space="0" w:color="000000"/>
              <w:bottom w:val="single" w:sz="6" w:space="0" w:color="000000"/>
              <w:right w:val="single" w:sz="6" w:space="0" w:color="000000"/>
            </w:tcBorders>
          </w:tcPr>
          <w:p>
            <w:pPr>
              <w:pStyle w:val="TableParagraph"/>
              <w:spacing w:before="52"/>
              <w:ind w:left="309"/>
              <w:rPr>
                <w:sz w:val="20"/>
              </w:rPr>
            </w:pPr>
            <w:r>
              <w:rPr>
                <w:sz w:val="20"/>
              </w:rPr>
              <w:t>0x90</w:t>
            </w:r>
          </w:p>
        </w:tc>
        <w:tc>
          <w:tcPr>
            <w:tcW w:w="1551" w:type="dxa"/>
            <w:tcBorders>
              <w:top w:val="single" w:sz="6" w:space="0" w:color="000000"/>
              <w:left w:val="single" w:sz="6" w:space="0" w:color="000000"/>
              <w:bottom w:val="single" w:sz="6" w:space="0" w:color="000000"/>
              <w:right w:val="single" w:sz="6" w:space="0" w:color="000000"/>
            </w:tcBorders>
          </w:tcPr>
          <w:p>
            <w:pPr>
              <w:pStyle w:val="TableParagraph"/>
              <w:spacing w:before="48"/>
              <w:ind w:left="203" w:right="192"/>
              <w:jc w:val="center"/>
              <w:rPr>
                <w:rFonts w:ascii="Times New Roman"/>
                <w:i/>
                <w:sz w:val="20"/>
              </w:rPr>
            </w:pPr>
            <w:r>
              <w:rPr>
                <w:rFonts w:ascii="Times New Roman"/>
                <w:i/>
                <w:sz w:val="20"/>
              </w:rPr>
              <w:t>V0SQSUM_X</w:t>
            </w:r>
          </w:p>
        </w:tc>
        <w:tc>
          <w:tcPr>
            <w:tcW w:w="4803" w:type="dxa"/>
            <w:vMerge w:val="restart"/>
            <w:tcBorders>
              <w:top w:val="single" w:sz="6" w:space="0" w:color="000000"/>
              <w:left w:val="single" w:sz="6" w:space="0" w:color="000000"/>
              <w:right w:val="single" w:sz="6" w:space="0" w:color="000000"/>
            </w:tcBorders>
          </w:tcPr>
          <w:p>
            <w:pPr>
              <w:pStyle w:val="TableParagraph"/>
              <w:spacing w:before="3"/>
              <w:rPr>
                <w:b/>
                <w:sz w:val="32"/>
              </w:rPr>
            </w:pPr>
          </w:p>
          <w:p>
            <w:pPr>
              <w:pStyle w:val="TableParagraph"/>
              <w:ind w:left="1057"/>
              <w:rPr>
                <w:sz w:val="20"/>
              </w:rPr>
            </w:pPr>
            <w:r>
              <w:rPr>
                <w:sz w:val="20"/>
              </w:rPr>
              <w:t>LSB</w:t>
            </w:r>
            <w:r>
              <w:rPr>
                <w:sz w:val="20"/>
                <w:vertAlign w:val="subscript"/>
              </w:rPr>
              <w:t>V</w:t>
            </w:r>
            <w:r>
              <w:rPr>
                <w:sz w:val="20"/>
                <w:vertAlign w:val="baseline"/>
              </w:rPr>
              <w:t> = 1.0856*10</w:t>
            </w:r>
            <w:r>
              <w:rPr>
                <w:sz w:val="20"/>
                <w:vertAlign w:val="superscript"/>
              </w:rPr>
              <w:t>-12</w:t>
            </w:r>
            <w:r>
              <w:rPr>
                <w:sz w:val="20"/>
                <w:vertAlign w:val="baseline"/>
              </w:rPr>
              <w:t> * VMAX</w:t>
            </w:r>
            <w:r>
              <w:rPr>
                <w:sz w:val="20"/>
                <w:vertAlign w:val="superscript"/>
              </w:rPr>
              <w:t>2</w:t>
            </w:r>
            <w:r>
              <w:rPr>
                <w:sz w:val="20"/>
                <w:vertAlign w:val="baseline"/>
              </w:rPr>
              <w:t> V</w:t>
            </w:r>
            <w:r>
              <w:rPr>
                <w:sz w:val="20"/>
                <w:vertAlign w:val="superscript"/>
              </w:rPr>
              <w:t>2</w:t>
            </w:r>
            <w:r>
              <w:rPr>
                <w:sz w:val="20"/>
                <w:vertAlign w:val="baseline"/>
              </w:rPr>
              <w:t>h</w:t>
            </w:r>
          </w:p>
        </w:tc>
        <w:tc>
          <w:tcPr>
            <w:tcW w:w="2185" w:type="dxa"/>
            <w:vMerge/>
            <w:tcBorders>
              <w:top w:val="nil"/>
              <w:left w:val="single" w:sz="6" w:space="0" w:color="000000"/>
            </w:tcBorders>
          </w:tcPr>
          <w:p>
            <w:pPr>
              <w:rPr>
                <w:sz w:val="2"/>
                <w:szCs w:val="2"/>
              </w:rPr>
            </w:pPr>
          </w:p>
        </w:tc>
      </w:tr>
      <w:tr>
        <w:trPr>
          <w:trHeight w:val="337" w:hRule="atLeast"/>
        </w:trPr>
        <w:tc>
          <w:tcPr>
            <w:tcW w:w="1054" w:type="dxa"/>
            <w:tcBorders>
              <w:top w:val="single" w:sz="6" w:space="0" w:color="000000"/>
              <w:bottom w:val="single" w:sz="6" w:space="0" w:color="000000"/>
              <w:right w:val="single" w:sz="6" w:space="0" w:color="000000"/>
            </w:tcBorders>
          </w:tcPr>
          <w:p>
            <w:pPr>
              <w:pStyle w:val="TableParagraph"/>
              <w:spacing w:before="54"/>
              <w:ind w:left="309"/>
              <w:rPr>
                <w:sz w:val="20"/>
              </w:rPr>
            </w:pPr>
            <w:r>
              <w:rPr>
                <w:sz w:val="20"/>
              </w:rPr>
              <w:t>0x91</w:t>
            </w:r>
          </w:p>
        </w:tc>
        <w:tc>
          <w:tcPr>
            <w:tcW w:w="1551" w:type="dxa"/>
            <w:tcBorders>
              <w:top w:val="single" w:sz="6" w:space="0" w:color="000000"/>
              <w:left w:val="single" w:sz="6" w:space="0" w:color="000000"/>
              <w:bottom w:val="single" w:sz="6" w:space="0" w:color="000000"/>
              <w:right w:val="single" w:sz="6" w:space="0" w:color="000000"/>
            </w:tcBorders>
          </w:tcPr>
          <w:p>
            <w:pPr>
              <w:pStyle w:val="TableParagraph"/>
              <w:spacing w:before="50"/>
              <w:ind w:left="203" w:right="192"/>
              <w:jc w:val="center"/>
              <w:rPr>
                <w:rFonts w:ascii="Times New Roman"/>
                <w:i/>
                <w:sz w:val="20"/>
              </w:rPr>
            </w:pPr>
            <w:r>
              <w:rPr>
                <w:rFonts w:ascii="Times New Roman"/>
                <w:i/>
                <w:sz w:val="20"/>
              </w:rPr>
              <w:t>V1SQSUM_X</w:t>
            </w:r>
          </w:p>
        </w:tc>
        <w:tc>
          <w:tcPr>
            <w:tcW w:w="4803" w:type="dxa"/>
            <w:vMerge/>
            <w:tcBorders>
              <w:top w:val="nil"/>
              <w:left w:val="single" w:sz="6" w:space="0" w:color="000000"/>
              <w:right w:val="single" w:sz="6" w:space="0" w:color="000000"/>
            </w:tcBorders>
          </w:tcPr>
          <w:p>
            <w:pPr>
              <w:rPr>
                <w:sz w:val="2"/>
                <w:szCs w:val="2"/>
              </w:rPr>
            </w:pPr>
          </w:p>
        </w:tc>
        <w:tc>
          <w:tcPr>
            <w:tcW w:w="2185" w:type="dxa"/>
            <w:vMerge/>
            <w:tcBorders>
              <w:top w:val="nil"/>
              <w:left w:val="single" w:sz="6" w:space="0" w:color="000000"/>
            </w:tcBorders>
          </w:tcPr>
          <w:p>
            <w:pPr>
              <w:rPr>
                <w:sz w:val="2"/>
                <w:szCs w:val="2"/>
              </w:rPr>
            </w:pPr>
          </w:p>
        </w:tc>
      </w:tr>
      <w:tr>
        <w:trPr>
          <w:trHeight w:val="270" w:hRule="atLeast"/>
        </w:trPr>
        <w:tc>
          <w:tcPr>
            <w:tcW w:w="1054" w:type="dxa"/>
            <w:tcBorders>
              <w:top w:val="single" w:sz="6" w:space="0" w:color="000000"/>
              <w:right w:val="single" w:sz="6" w:space="0" w:color="000000"/>
            </w:tcBorders>
          </w:tcPr>
          <w:p>
            <w:pPr>
              <w:pStyle w:val="TableParagraph"/>
              <w:spacing w:before="18"/>
              <w:ind w:left="309"/>
              <w:rPr>
                <w:sz w:val="20"/>
              </w:rPr>
            </w:pPr>
            <w:r>
              <w:rPr>
                <w:sz w:val="20"/>
              </w:rPr>
              <w:t>0x92</w:t>
            </w:r>
          </w:p>
        </w:tc>
        <w:tc>
          <w:tcPr>
            <w:tcW w:w="1551" w:type="dxa"/>
            <w:tcBorders>
              <w:top w:val="single" w:sz="6" w:space="0" w:color="000000"/>
              <w:left w:val="single" w:sz="6" w:space="0" w:color="000000"/>
              <w:right w:val="single" w:sz="6" w:space="0" w:color="000000"/>
            </w:tcBorders>
          </w:tcPr>
          <w:p>
            <w:pPr>
              <w:pStyle w:val="TableParagraph"/>
              <w:spacing w:before="14"/>
              <w:ind w:left="203" w:right="192"/>
              <w:jc w:val="center"/>
              <w:rPr>
                <w:rFonts w:ascii="Times New Roman"/>
                <w:i/>
                <w:sz w:val="20"/>
              </w:rPr>
            </w:pPr>
            <w:r>
              <w:rPr>
                <w:rFonts w:ascii="Times New Roman"/>
                <w:i/>
                <w:sz w:val="20"/>
              </w:rPr>
              <w:t>V2SQSUM_X</w:t>
            </w:r>
          </w:p>
        </w:tc>
        <w:tc>
          <w:tcPr>
            <w:tcW w:w="4803" w:type="dxa"/>
            <w:vMerge/>
            <w:tcBorders>
              <w:top w:val="nil"/>
              <w:left w:val="single" w:sz="6" w:space="0" w:color="000000"/>
              <w:right w:val="single" w:sz="6" w:space="0" w:color="000000"/>
            </w:tcBorders>
          </w:tcPr>
          <w:p>
            <w:pPr>
              <w:rPr>
                <w:sz w:val="2"/>
                <w:szCs w:val="2"/>
              </w:rPr>
            </w:pPr>
          </w:p>
        </w:tc>
        <w:tc>
          <w:tcPr>
            <w:tcW w:w="2185" w:type="dxa"/>
            <w:vMerge/>
            <w:tcBorders>
              <w:top w:val="nil"/>
              <w:left w:val="single" w:sz="6" w:space="0" w:color="000000"/>
            </w:tcBorders>
          </w:tcPr>
          <w:p>
            <w:pPr>
              <w:rPr>
                <w:sz w:val="2"/>
                <w:szCs w:val="2"/>
              </w:rPr>
            </w:pPr>
          </w:p>
        </w:tc>
      </w:tr>
    </w:tbl>
    <w:p>
      <w:pPr>
        <w:spacing w:after="0"/>
        <w:rPr>
          <w:sz w:val="2"/>
          <w:szCs w:val="2"/>
        </w:rPr>
        <w:sectPr>
          <w:pgSz w:w="12240" w:h="15840"/>
          <w:pgMar w:header="727" w:footer="819" w:top="1160" w:bottom="1000" w:left="960" w:right="940"/>
        </w:sectPr>
      </w:pPr>
    </w:p>
    <w:p>
      <w:pPr>
        <w:pStyle w:val="BodyText"/>
        <w:spacing w:before="90"/>
        <w:ind w:left="480"/>
      </w:pPr>
      <w:r>
        <w:rPr/>
        <w:t>The RMS values can be computed by the MPU from the squared current and voltage samples as follows:</w:t>
      </w:r>
    </w:p>
    <w:p>
      <w:pPr>
        <w:pStyle w:val="BodyText"/>
      </w:pPr>
    </w:p>
    <w:p>
      <w:pPr>
        <w:pStyle w:val="BodyText"/>
        <w:spacing w:before="5"/>
        <w:rPr>
          <w:sz w:val="16"/>
        </w:rPr>
      </w:pPr>
    </w:p>
    <w:p>
      <w:pPr>
        <w:spacing w:after="0"/>
        <w:rPr>
          <w:sz w:val="16"/>
        </w:rPr>
        <w:sectPr>
          <w:pgSz w:w="12240" w:h="15840"/>
          <w:pgMar w:header="727" w:footer="819" w:top="1160" w:bottom="1000" w:left="960" w:right="940"/>
        </w:sectPr>
      </w:pPr>
    </w:p>
    <w:p>
      <w:pPr>
        <w:spacing w:before="158"/>
        <w:ind w:left="590" w:right="0" w:firstLine="0"/>
        <w:jc w:val="left"/>
        <w:rPr>
          <w:rFonts w:ascii="Symbol" w:hAnsi="Symbol"/>
          <w:sz w:val="24"/>
        </w:rPr>
      </w:pPr>
      <w:r>
        <w:rPr/>
        <w:pict>
          <v:group style="position:absolute;margin-left:115.422493pt;margin-top:.088027pt;width:141.5pt;height:33.75pt;mso-position-horizontal-relative:page;mso-position-vertical-relative:paragraph;z-index:15852032" coordorigin="2308,2" coordsize="2830,675">
            <v:line style="position:absolute" from="2471,339" to="5118,339" stroked="true" strokeweight=".5pt" strokecolor="#000000">
              <v:stroke dashstyle="solid"/>
            </v:line>
            <v:line style="position:absolute" from="2313,431" to="2344,413" stroked="true" strokeweight=".5pt" strokecolor="#000000">
              <v:stroke dashstyle="solid"/>
            </v:line>
            <v:line style="position:absolute" from="2344,418" to="2388,658" stroked="true" strokeweight="1pt" strokecolor="#000000">
              <v:stroke dashstyle="solid"/>
            </v:line>
            <v:line style="position:absolute" from="2423,9" to="2423,663" stroked="true" strokeweight="3.4375pt" strokecolor="#000000">
              <v:stroke dashstyle="solid"/>
            </v:line>
            <v:line style="position:absolute" from="2452,14" to="5138,14" stroked="true" strokeweight=".5pt" strokecolor="#000000">
              <v:stroke dashstyle="solid"/>
            </v:line>
            <v:shape style="position:absolute;left:2308;top:1;width:2830;height:675" type="#_x0000_t202" filled="false" stroked="false">
              <v:textbox inset="0,0,0,0">
                <w:txbxContent>
                  <w:p>
                    <w:pPr>
                      <w:spacing w:before="0"/>
                      <w:ind w:left="144" w:right="32" w:firstLine="0"/>
                      <w:jc w:val="center"/>
                      <w:rPr>
                        <w:rFonts w:ascii="Times New Roman" w:hAnsi="Times New Roman"/>
                        <w:i/>
                        <w:sz w:val="14"/>
                      </w:rPr>
                    </w:pPr>
                    <w:r>
                      <w:rPr>
                        <w:rFonts w:ascii="Times New Roman" w:hAnsi="Times New Roman"/>
                        <w:i/>
                        <w:sz w:val="24"/>
                      </w:rPr>
                      <w:t>IxSQSUM </w:t>
                    </w:r>
                    <w:r>
                      <w:rPr>
                        <w:rFonts w:ascii="Symbol" w:hAnsi="Symbol"/>
                        <w:w w:val="95"/>
                        <w:sz w:val="24"/>
                      </w:rPr>
                      <w:t></w:t>
                    </w:r>
                    <w:r>
                      <w:rPr>
                        <w:rFonts w:ascii="Times New Roman" w:hAnsi="Times New Roman"/>
                        <w:w w:val="95"/>
                        <w:sz w:val="24"/>
                      </w:rPr>
                      <w:t> </w:t>
                    </w:r>
                    <w:r>
                      <w:rPr>
                        <w:rFonts w:ascii="Times New Roman" w:hAnsi="Times New Roman"/>
                        <w:i/>
                        <w:sz w:val="24"/>
                      </w:rPr>
                      <w:t>LSB</w:t>
                    </w:r>
                    <w:r>
                      <w:rPr>
                        <w:rFonts w:ascii="Times New Roman" w:hAnsi="Times New Roman"/>
                        <w:i/>
                        <w:position w:val="-5"/>
                        <w:sz w:val="14"/>
                      </w:rPr>
                      <w:t>I </w:t>
                    </w:r>
                    <w:r>
                      <w:rPr>
                        <w:rFonts w:ascii="Symbol" w:hAnsi="Symbol"/>
                        <w:w w:val="95"/>
                        <w:sz w:val="24"/>
                      </w:rPr>
                      <w:t></w:t>
                    </w:r>
                    <w:r>
                      <w:rPr>
                        <w:rFonts w:ascii="Times New Roman" w:hAnsi="Times New Roman"/>
                        <w:w w:val="95"/>
                        <w:sz w:val="24"/>
                      </w:rPr>
                      <w:t> </w:t>
                    </w:r>
                    <w:r>
                      <w:rPr>
                        <w:rFonts w:ascii="Times New Roman" w:hAnsi="Times New Roman"/>
                        <w:sz w:val="24"/>
                      </w:rPr>
                      <w:t>3600 </w:t>
                    </w:r>
                    <w:r>
                      <w:rPr>
                        <w:rFonts w:ascii="Symbol" w:hAnsi="Symbol"/>
                        <w:w w:val="95"/>
                        <w:sz w:val="24"/>
                      </w:rPr>
                      <w:t></w:t>
                    </w:r>
                    <w:r>
                      <w:rPr>
                        <w:rFonts w:ascii="Times New Roman" w:hAnsi="Times New Roman"/>
                        <w:w w:val="95"/>
                        <w:sz w:val="24"/>
                      </w:rPr>
                      <w:t> </w:t>
                    </w:r>
                    <w:r>
                      <w:rPr>
                        <w:rFonts w:ascii="Times New Roman" w:hAnsi="Times New Roman"/>
                        <w:i/>
                        <w:sz w:val="24"/>
                      </w:rPr>
                      <w:t>F</w:t>
                    </w:r>
                    <w:r>
                      <w:rPr>
                        <w:rFonts w:ascii="Times New Roman" w:hAnsi="Times New Roman"/>
                        <w:i/>
                        <w:position w:val="-5"/>
                        <w:sz w:val="14"/>
                      </w:rPr>
                      <w:t>S</w:t>
                    </w:r>
                  </w:p>
                  <w:p>
                    <w:pPr>
                      <w:spacing w:before="29"/>
                      <w:ind w:left="144" w:right="25" w:firstLine="0"/>
                      <w:jc w:val="center"/>
                      <w:rPr>
                        <w:rFonts w:ascii="Times New Roman"/>
                        <w:i/>
                        <w:sz w:val="14"/>
                      </w:rPr>
                    </w:pPr>
                    <w:r>
                      <w:rPr>
                        <w:rFonts w:ascii="Times New Roman"/>
                        <w:i/>
                        <w:position w:val="6"/>
                        <w:sz w:val="24"/>
                      </w:rPr>
                      <w:t>N</w:t>
                    </w:r>
                    <w:r>
                      <w:rPr>
                        <w:rFonts w:ascii="Times New Roman"/>
                        <w:i/>
                        <w:sz w:val="14"/>
                      </w:rPr>
                      <w:t>ACC</w:t>
                    </w:r>
                  </w:p>
                </w:txbxContent>
              </v:textbox>
              <w10:wrap type="none"/>
            </v:shape>
            <w10:wrap type="none"/>
          </v:group>
        </w:pict>
      </w:r>
      <w:r>
        <w:rPr>
          <w:rFonts w:ascii="Times New Roman" w:hAnsi="Times New Roman"/>
          <w:i/>
          <w:sz w:val="24"/>
        </w:rPr>
        <w:t>Ix</w:t>
      </w:r>
      <w:r>
        <w:rPr>
          <w:rFonts w:ascii="Times New Roman" w:hAnsi="Times New Roman"/>
          <w:i/>
          <w:position w:val="-5"/>
          <w:sz w:val="14"/>
        </w:rPr>
        <w:t>RMS </w:t>
      </w:r>
      <w:r>
        <w:rPr>
          <w:rFonts w:ascii="Symbol" w:hAnsi="Symbol"/>
          <w:sz w:val="24"/>
        </w:rPr>
        <w:t></w:t>
      </w:r>
    </w:p>
    <w:p>
      <w:pPr>
        <w:spacing w:before="100"/>
        <w:ind w:left="590" w:right="0" w:firstLine="0"/>
        <w:jc w:val="left"/>
        <w:rPr>
          <w:rFonts w:ascii="Symbol" w:hAnsi="Symbol"/>
          <w:sz w:val="24"/>
        </w:rPr>
      </w:pPr>
      <w:r>
        <w:rPr/>
        <w:br w:type="column"/>
      </w:r>
      <w:r>
        <w:rPr>
          <w:rFonts w:ascii="Times New Roman" w:hAnsi="Times New Roman"/>
          <w:i/>
          <w:sz w:val="24"/>
        </w:rPr>
        <w:t>Vx</w:t>
      </w:r>
      <w:r>
        <w:rPr>
          <w:rFonts w:ascii="Times New Roman" w:hAnsi="Times New Roman"/>
          <w:i/>
          <w:position w:val="-5"/>
          <w:sz w:val="14"/>
        </w:rPr>
        <w:t>RMS </w:t>
      </w:r>
      <w:r>
        <w:rPr>
          <w:rFonts w:ascii="Symbol" w:hAnsi="Symbol"/>
          <w:sz w:val="24"/>
        </w:rPr>
        <w:t></w:t>
      </w:r>
    </w:p>
    <w:p>
      <w:pPr>
        <w:spacing w:after="0"/>
        <w:jc w:val="left"/>
        <w:rPr>
          <w:rFonts w:ascii="Symbol" w:hAnsi="Symbol"/>
          <w:sz w:val="24"/>
        </w:rPr>
        <w:sectPr>
          <w:type w:val="continuous"/>
          <w:pgSz w:w="12240" w:h="15840"/>
          <w:pgMar w:top="940" w:bottom="280" w:left="960" w:right="940"/>
          <w:cols w:num="2" w:equalWidth="0">
            <w:col w:w="1328" w:space="3274"/>
            <w:col w:w="5738"/>
          </w:cols>
        </w:sectPr>
      </w:pPr>
    </w:p>
    <w:p>
      <w:pPr>
        <w:pStyle w:val="BodyText"/>
        <w:spacing w:before="8"/>
        <w:rPr>
          <w:rFonts w:ascii="Symbol" w:hAnsi="Symbol"/>
          <w:sz w:val="13"/>
        </w:rPr>
      </w:pPr>
    </w:p>
    <w:p>
      <w:pPr>
        <w:pStyle w:val="BodyText"/>
        <w:spacing w:before="93"/>
        <w:ind w:left="480" w:right="534" w:hanging="1"/>
        <w:jc w:val="both"/>
      </w:pPr>
      <w:r>
        <w:rPr/>
        <w:pict>
          <v:group style="position:absolute;margin-left:348.178711pt;margin-top:-35.55109pt;width:144.65pt;height:33.75pt;mso-position-horizontal-relative:page;mso-position-vertical-relative:paragraph;z-index:15852544" coordorigin="6964,-711" coordsize="2893,675">
            <v:line style="position:absolute" from="7126,-375" to="9836,-375" stroked="true" strokeweight=".5pt" strokecolor="#000000">
              <v:stroke dashstyle="solid"/>
            </v:line>
            <v:line style="position:absolute" from="6969,-282" to="6999,-300" stroked="true" strokeweight=".5pt" strokecolor="#000000">
              <v:stroke dashstyle="solid"/>
            </v:line>
            <v:line style="position:absolute" from="6999,-295" to="7044,-55" stroked="true" strokeweight="1pt" strokecolor="#000000">
              <v:stroke dashstyle="solid"/>
            </v:line>
            <v:line style="position:absolute" from="7078,-704" to="7078,-50" stroked="true" strokeweight="3.4375pt" strokecolor="#000000">
              <v:stroke dashstyle="solid"/>
            </v:line>
            <v:line style="position:absolute" from="7107,-699" to="9856,-699" stroked="true" strokeweight=".5pt" strokecolor="#000000">
              <v:stroke dashstyle="solid"/>
            </v:line>
            <v:shape style="position:absolute;left:6963;top:-712;width:2893;height:675" type="#_x0000_t202" filled="false" stroked="false">
              <v:textbox inset="0,0,0,0">
                <w:txbxContent>
                  <w:p>
                    <w:pPr>
                      <w:spacing w:line="264" w:lineRule="auto" w:before="0"/>
                      <w:ind w:left="1277" w:right="-1" w:hanging="1122"/>
                      <w:jc w:val="left"/>
                      <w:rPr>
                        <w:rFonts w:ascii="Times New Roman" w:hAnsi="Times New Roman"/>
                        <w:i/>
                        <w:sz w:val="14"/>
                      </w:rPr>
                    </w:pPr>
                    <w:r>
                      <w:rPr>
                        <w:rFonts w:ascii="Times New Roman" w:hAnsi="Times New Roman"/>
                        <w:i/>
                        <w:sz w:val="24"/>
                      </w:rPr>
                      <w:t>VxSQSUM </w:t>
                    </w:r>
                    <w:r>
                      <w:rPr>
                        <w:rFonts w:ascii="Symbol" w:hAnsi="Symbol"/>
                        <w:w w:val="95"/>
                        <w:sz w:val="24"/>
                      </w:rPr>
                      <w:t></w:t>
                    </w:r>
                    <w:r>
                      <w:rPr>
                        <w:rFonts w:ascii="Times New Roman" w:hAnsi="Times New Roman"/>
                        <w:w w:val="95"/>
                        <w:sz w:val="24"/>
                      </w:rPr>
                      <w:t> </w:t>
                    </w:r>
                    <w:r>
                      <w:rPr>
                        <w:rFonts w:ascii="Times New Roman" w:hAnsi="Times New Roman"/>
                        <w:i/>
                        <w:sz w:val="24"/>
                      </w:rPr>
                      <w:t>LSB</w:t>
                    </w:r>
                    <w:r>
                      <w:rPr>
                        <w:rFonts w:ascii="Times New Roman" w:hAnsi="Times New Roman"/>
                        <w:i/>
                        <w:position w:val="-5"/>
                        <w:sz w:val="14"/>
                      </w:rPr>
                      <w:t>V </w:t>
                    </w:r>
                    <w:r>
                      <w:rPr>
                        <w:rFonts w:ascii="Symbol" w:hAnsi="Symbol"/>
                        <w:w w:val="95"/>
                        <w:sz w:val="24"/>
                      </w:rPr>
                      <w:t></w:t>
                    </w:r>
                    <w:r>
                      <w:rPr>
                        <w:rFonts w:ascii="Times New Roman" w:hAnsi="Times New Roman"/>
                        <w:w w:val="95"/>
                        <w:sz w:val="24"/>
                      </w:rPr>
                      <w:t> </w:t>
                    </w:r>
                    <w:r>
                      <w:rPr>
                        <w:rFonts w:ascii="Times New Roman" w:hAnsi="Times New Roman"/>
                        <w:sz w:val="24"/>
                      </w:rPr>
                      <w:t>3600 </w:t>
                    </w:r>
                    <w:r>
                      <w:rPr>
                        <w:rFonts w:ascii="Symbol" w:hAnsi="Symbol"/>
                        <w:w w:val="95"/>
                        <w:sz w:val="24"/>
                      </w:rPr>
                      <w:t></w:t>
                    </w:r>
                    <w:r>
                      <w:rPr>
                        <w:rFonts w:ascii="Times New Roman" w:hAnsi="Times New Roman"/>
                        <w:w w:val="95"/>
                        <w:sz w:val="24"/>
                      </w:rPr>
                      <w:t> </w:t>
                    </w:r>
                    <w:r>
                      <w:rPr>
                        <w:rFonts w:ascii="Times New Roman" w:hAnsi="Times New Roman"/>
                        <w:i/>
                        <w:sz w:val="24"/>
                      </w:rPr>
                      <w:t>F</w:t>
                    </w:r>
                    <w:r>
                      <w:rPr>
                        <w:rFonts w:ascii="Times New Roman" w:hAnsi="Times New Roman"/>
                        <w:i/>
                        <w:position w:val="-5"/>
                        <w:sz w:val="14"/>
                      </w:rPr>
                      <w:t>S </w:t>
                    </w:r>
                    <w:r>
                      <w:rPr>
                        <w:rFonts w:ascii="Times New Roman" w:hAnsi="Times New Roman"/>
                        <w:i/>
                        <w:position w:val="6"/>
                        <w:sz w:val="24"/>
                      </w:rPr>
                      <w:t>N</w:t>
                    </w:r>
                    <w:r>
                      <w:rPr>
                        <w:rFonts w:ascii="Times New Roman" w:hAnsi="Times New Roman"/>
                        <w:i/>
                        <w:sz w:val="14"/>
                      </w:rPr>
                      <w:t>ACC</w:t>
                    </w:r>
                  </w:p>
                </w:txbxContent>
              </v:textbox>
              <w10:wrap type="none"/>
            </v:shape>
            <w10:wrap type="none"/>
          </v:group>
        </w:pict>
      </w:r>
      <w:r>
        <w:rPr>
          <w:spacing w:val="-3"/>
        </w:rPr>
        <w:t>Other</w:t>
      </w:r>
      <w:r>
        <w:rPr>
          <w:spacing w:val="-13"/>
        </w:rPr>
        <w:t> </w:t>
      </w:r>
      <w:r>
        <w:rPr/>
        <w:t>transfer</w:t>
      </w:r>
      <w:r>
        <w:rPr>
          <w:spacing w:val="-13"/>
        </w:rPr>
        <w:t> </w:t>
      </w:r>
      <w:r>
        <w:rPr>
          <w:spacing w:val="-3"/>
        </w:rPr>
        <w:t>variables</w:t>
      </w:r>
      <w:r>
        <w:rPr>
          <w:spacing w:val="-12"/>
        </w:rPr>
        <w:t> </w:t>
      </w:r>
      <w:r>
        <w:rPr/>
        <w:t>include</w:t>
      </w:r>
      <w:r>
        <w:rPr>
          <w:spacing w:val="-15"/>
        </w:rPr>
        <w:t> </w:t>
      </w:r>
      <w:r>
        <w:rPr/>
        <w:t>those</w:t>
      </w:r>
      <w:r>
        <w:rPr>
          <w:spacing w:val="-15"/>
        </w:rPr>
        <w:t> </w:t>
      </w:r>
      <w:r>
        <w:rPr>
          <w:spacing w:val="-2"/>
        </w:rPr>
        <w:t>available</w:t>
      </w:r>
      <w:r>
        <w:rPr>
          <w:spacing w:val="-14"/>
        </w:rPr>
        <w:t> </w:t>
      </w:r>
      <w:r>
        <w:rPr/>
        <w:t>for</w:t>
      </w:r>
      <w:r>
        <w:rPr>
          <w:spacing w:val="-15"/>
        </w:rPr>
        <w:t> </w:t>
      </w:r>
      <w:r>
        <w:rPr/>
        <w:t>frequency</w:t>
      </w:r>
      <w:r>
        <w:rPr>
          <w:spacing w:val="-16"/>
        </w:rPr>
        <w:t> </w:t>
      </w:r>
      <w:r>
        <w:rPr/>
        <w:t>and</w:t>
      </w:r>
      <w:r>
        <w:rPr>
          <w:spacing w:val="-14"/>
        </w:rPr>
        <w:t> </w:t>
      </w:r>
      <w:r>
        <w:rPr/>
        <w:t>phase</w:t>
      </w:r>
      <w:r>
        <w:rPr>
          <w:spacing w:val="-13"/>
        </w:rPr>
        <w:t> </w:t>
      </w:r>
      <w:r>
        <w:rPr/>
        <w:t>measurement,</w:t>
      </w:r>
      <w:r>
        <w:rPr>
          <w:spacing w:val="-16"/>
        </w:rPr>
        <w:t> </w:t>
      </w:r>
      <w:r>
        <w:rPr/>
        <w:t>and</w:t>
      </w:r>
      <w:r>
        <w:rPr>
          <w:spacing w:val="-14"/>
        </w:rPr>
        <w:t> </w:t>
      </w:r>
      <w:r>
        <w:rPr/>
        <w:t>those</w:t>
      </w:r>
      <w:r>
        <w:rPr>
          <w:spacing w:val="-15"/>
        </w:rPr>
        <w:t> </w:t>
      </w:r>
      <w:r>
        <w:rPr/>
        <w:t>reflecting the count of the zero-crossings of the mains voltage and the battery voltage. These transfer variables are listed in </w:t>
      </w:r>
      <w:hyperlink w:history="true" w:anchor="_bookmark233">
        <w:r>
          <w:rPr>
            <w:color w:val="0000FF"/>
          </w:rPr>
          <w:t>Table</w:t>
        </w:r>
        <w:r>
          <w:rPr>
            <w:color w:val="0000FF"/>
            <w:spacing w:val="-2"/>
          </w:rPr>
          <w:t> </w:t>
        </w:r>
        <w:r>
          <w:rPr>
            <w:color w:val="0000FF"/>
          </w:rPr>
          <w:t>82</w:t>
        </w:r>
        <w:r>
          <w:rPr/>
          <w:t>.</w:t>
        </w:r>
      </w:hyperlink>
    </w:p>
    <w:p>
      <w:pPr>
        <w:spacing w:before="119"/>
        <w:ind w:left="480" w:right="820" w:firstLine="0"/>
        <w:jc w:val="left"/>
        <w:rPr>
          <w:sz w:val="20"/>
        </w:rPr>
      </w:pPr>
      <w:r>
        <w:rPr>
          <w:rFonts w:ascii="Times New Roman"/>
          <w:i/>
          <w:spacing w:val="-3"/>
          <w:sz w:val="20"/>
        </w:rPr>
        <w:t>MAINEDGE_X </w:t>
      </w:r>
      <w:r>
        <w:rPr>
          <w:spacing w:val="-3"/>
          <w:sz w:val="20"/>
        </w:rPr>
        <w:t>reflects </w:t>
      </w:r>
      <w:r>
        <w:rPr>
          <w:sz w:val="20"/>
        </w:rPr>
        <w:t>the </w:t>
      </w:r>
      <w:r>
        <w:rPr>
          <w:spacing w:val="-3"/>
          <w:sz w:val="20"/>
        </w:rPr>
        <w:t>number of half-cycles accounted </w:t>
      </w:r>
      <w:r>
        <w:rPr>
          <w:sz w:val="20"/>
        </w:rPr>
        <w:t>for in the </w:t>
      </w:r>
      <w:r>
        <w:rPr>
          <w:spacing w:val="-3"/>
          <w:sz w:val="20"/>
        </w:rPr>
        <w:t>last accumulated interval </w:t>
      </w:r>
      <w:r>
        <w:rPr>
          <w:sz w:val="20"/>
        </w:rPr>
        <w:t>for the AC </w:t>
      </w:r>
      <w:r>
        <w:rPr>
          <w:spacing w:val="-3"/>
          <w:sz w:val="20"/>
        </w:rPr>
        <w:t>signal </w:t>
      </w:r>
      <w:r>
        <w:rPr>
          <w:sz w:val="20"/>
        </w:rPr>
        <w:t>of the </w:t>
      </w:r>
      <w:r>
        <w:rPr>
          <w:spacing w:val="-3"/>
          <w:sz w:val="20"/>
        </w:rPr>
        <w:t>phase specified </w:t>
      </w:r>
      <w:r>
        <w:rPr>
          <w:sz w:val="20"/>
        </w:rPr>
        <w:t>in the </w:t>
      </w:r>
      <w:r>
        <w:rPr>
          <w:rFonts w:ascii="Times New Roman"/>
          <w:i/>
          <w:spacing w:val="-3"/>
          <w:sz w:val="20"/>
        </w:rPr>
        <w:t>FREQSEL[1 </w:t>
      </w:r>
      <w:r>
        <w:rPr>
          <w:rFonts w:ascii="Times New Roman"/>
          <w:i/>
          <w:spacing w:val="-2"/>
          <w:sz w:val="20"/>
        </w:rPr>
        <w:t>:0] </w:t>
      </w:r>
      <w:r>
        <w:rPr>
          <w:spacing w:val="-3"/>
          <w:sz w:val="20"/>
        </w:rPr>
        <w:t>field of </w:t>
      </w:r>
      <w:r>
        <w:rPr>
          <w:sz w:val="20"/>
        </w:rPr>
        <w:t>the </w:t>
      </w:r>
      <w:r>
        <w:rPr>
          <w:rFonts w:ascii="Times New Roman"/>
          <w:i/>
          <w:spacing w:val="-3"/>
          <w:sz w:val="20"/>
        </w:rPr>
        <w:t>CECONFIG </w:t>
      </w:r>
      <w:r>
        <w:rPr>
          <w:spacing w:val="-3"/>
          <w:sz w:val="20"/>
        </w:rPr>
        <w:t>register (</w:t>
      </w:r>
      <w:r>
        <w:rPr>
          <w:rFonts w:ascii="Times New Roman"/>
          <w:i/>
          <w:spacing w:val="-3"/>
          <w:sz w:val="20"/>
        </w:rPr>
        <w:t>CE </w:t>
      </w:r>
      <w:r>
        <w:rPr>
          <w:rFonts w:ascii="Times New Roman"/>
          <w:i/>
          <w:sz w:val="20"/>
        </w:rPr>
        <w:t>RAM 0x20[7:6]) </w:t>
      </w:r>
      <w:r>
        <w:rPr>
          <w:sz w:val="20"/>
        </w:rPr>
        <w:t>. </w:t>
      </w:r>
      <w:r>
        <w:rPr>
          <w:rFonts w:ascii="Times New Roman"/>
          <w:i/>
          <w:spacing w:val="-3"/>
          <w:sz w:val="20"/>
        </w:rPr>
        <w:t>MAINEDGE_X </w:t>
      </w:r>
      <w:r>
        <w:rPr>
          <w:sz w:val="20"/>
        </w:rPr>
        <w:t>is </w:t>
      </w:r>
      <w:r>
        <w:rPr>
          <w:spacing w:val="-3"/>
          <w:sz w:val="20"/>
        </w:rPr>
        <w:t>useful </w:t>
      </w:r>
      <w:r>
        <w:rPr>
          <w:sz w:val="20"/>
        </w:rPr>
        <w:t>for </w:t>
      </w:r>
      <w:r>
        <w:rPr>
          <w:spacing w:val="-3"/>
          <w:sz w:val="20"/>
        </w:rPr>
        <w:t>implementing </w:t>
      </w:r>
      <w:r>
        <w:rPr>
          <w:sz w:val="20"/>
        </w:rPr>
        <w:t>a </w:t>
      </w:r>
      <w:r>
        <w:rPr>
          <w:spacing w:val="-3"/>
          <w:sz w:val="20"/>
        </w:rPr>
        <w:t>real-time </w:t>
      </w:r>
      <w:r>
        <w:rPr>
          <w:spacing w:val="-4"/>
          <w:sz w:val="20"/>
        </w:rPr>
        <w:t>clock </w:t>
      </w:r>
      <w:r>
        <w:rPr>
          <w:spacing w:val="-3"/>
          <w:sz w:val="20"/>
        </w:rPr>
        <w:t>based </w:t>
      </w:r>
      <w:r>
        <w:rPr>
          <w:sz w:val="20"/>
        </w:rPr>
        <w:t>on the </w:t>
      </w:r>
      <w:r>
        <w:rPr>
          <w:spacing w:val="-3"/>
          <w:sz w:val="20"/>
        </w:rPr>
        <w:t>input </w:t>
      </w:r>
      <w:r>
        <w:rPr>
          <w:sz w:val="20"/>
        </w:rPr>
        <w:t>AC </w:t>
      </w:r>
      <w:r>
        <w:rPr>
          <w:spacing w:val="-3"/>
          <w:sz w:val="20"/>
        </w:rPr>
        <w:t>signal.</w:t>
      </w:r>
    </w:p>
    <w:p>
      <w:pPr>
        <w:pStyle w:val="Heading1"/>
        <w:spacing w:before="119"/>
        <w:ind w:left="774" w:right="797"/>
      </w:pPr>
      <w:r>
        <w:rPr/>
        <w:pict>
          <v:line style="position:absolute;mso-position-horizontal-relative:page;mso-position-vertical-relative:paragraph;z-index:-38730240" from="354.735352pt,65.637070pt" to="393.537545pt,65.637070pt" stroked="true" strokeweight=".520966pt" strokecolor="#000000">
            <v:stroke dashstyle="solid"/>
            <w10:wrap type="none"/>
          </v:line>
        </w:pict>
      </w:r>
      <w:r>
        <w:rPr/>
        <w:pict>
          <v:line style="position:absolute;mso-position-horizontal-relative:page;mso-position-vertical-relative:paragraph;z-index:-38729728" from="354.50177pt,98.762009pt" to="393.171618pt,98.762009pt" stroked="true" strokeweight=".520160pt" strokecolor="#000000">
            <v:stroke dashstyle="solid"/>
            <w10:wrap type="none"/>
          </v:line>
        </w:pict>
      </w:r>
      <w:bookmarkStart w:name="_bookmark233" w:id="481"/>
      <w:bookmarkEnd w:id="481"/>
      <w:r>
        <w:rPr>
          <w:b w:val="0"/>
        </w:rPr>
      </w:r>
      <w:r>
        <w:rPr/>
        <w:t>Table 82: Other Transfer Variables</w:t>
      </w:r>
    </w:p>
    <w:p>
      <w:pPr>
        <w:pStyle w:val="BodyText"/>
        <w:spacing w:before="7"/>
        <w:rPr>
          <w:b/>
          <w:sz w:val="5"/>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2"/>
        <w:gridCol w:w="1519"/>
        <w:gridCol w:w="6749"/>
      </w:tblGrid>
      <w:tr>
        <w:trPr>
          <w:trHeight w:val="520" w:hRule="atLeast"/>
        </w:trPr>
        <w:tc>
          <w:tcPr>
            <w:tcW w:w="1092" w:type="dxa"/>
            <w:tcBorders>
              <w:bottom w:val="single" w:sz="6" w:space="0" w:color="000000"/>
              <w:right w:val="single" w:sz="6" w:space="0" w:color="000000"/>
            </w:tcBorders>
          </w:tcPr>
          <w:p>
            <w:pPr>
              <w:pStyle w:val="TableParagraph"/>
              <w:spacing w:before="26"/>
              <w:ind w:left="124" w:right="112"/>
              <w:jc w:val="center"/>
              <w:rPr>
                <w:b/>
                <w:sz w:val="20"/>
              </w:rPr>
            </w:pPr>
            <w:r>
              <w:rPr>
                <w:b/>
                <w:sz w:val="20"/>
              </w:rPr>
              <w:t>CE</w:t>
            </w:r>
          </w:p>
          <w:p>
            <w:pPr>
              <w:pStyle w:val="TableParagraph"/>
              <w:ind w:left="124" w:right="115"/>
              <w:jc w:val="center"/>
              <w:rPr>
                <w:b/>
                <w:sz w:val="20"/>
              </w:rPr>
            </w:pPr>
            <w:r>
              <w:rPr>
                <w:b/>
                <w:sz w:val="20"/>
              </w:rPr>
              <w:t>Address</w:t>
            </w:r>
          </w:p>
        </w:tc>
        <w:tc>
          <w:tcPr>
            <w:tcW w:w="1519" w:type="dxa"/>
            <w:tcBorders>
              <w:left w:val="single" w:sz="6" w:space="0" w:color="000000"/>
              <w:bottom w:val="single" w:sz="6" w:space="0" w:color="000000"/>
              <w:right w:val="single" w:sz="6" w:space="0" w:color="000000"/>
            </w:tcBorders>
          </w:tcPr>
          <w:p>
            <w:pPr>
              <w:pStyle w:val="TableParagraph"/>
              <w:spacing w:before="138"/>
              <w:ind w:left="109" w:right="106"/>
              <w:jc w:val="center"/>
              <w:rPr>
                <w:b/>
                <w:sz w:val="20"/>
              </w:rPr>
            </w:pPr>
            <w:r>
              <w:rPr>
                <w:b/>
                <w:sz w:val="20"/>
              </w:rPr>
              <w:t>Name</w:t>
            </w:r>
          </w:p>
        </w:tc>
        <w:tc>
          <w:tcPr>
            <w:tcW w:w="6749" w:type="dxa"/>
            <w:tcBorders>
              <w:left w:val="single" w:sz="6" w:space="0" w:color="000000"/>
              <w:bottom w:val="single" w:sz="6" w:space="0" w:color="000000"/>
            </w:tcBorders>
          </w:tcPr>
          <w:p>
            <w:pPr>
              <w:pStyle w:val="TableParagraph"/>
              <w:spacing w:before="138"/>
              <w:ind w:left="110"/>
              <w:rPr>
                <w:b/>
                <w:sz w:val="20"/>
              </w:rPr>
            </w:pPr>
            <w:r>
              <w:rPr>
                <w:b/>
                <w:sz w:val="20"/>
              </w:rPr>
              <w:t>Description</w:t>
            </w:r>
          </w:p>
        </w:tc>
      </w:tr>
      <w:tr>
        <w:trPr>
          <w:trHeight w:val="1338" w:hRule="atLeast"/>
        </w:trPr>
        <w:tc>
          <w:tcPr>
            <w:tcW w:w="1092" w:type="dxa"/>
            <w:tcBorders>
              <w:top w:val="single" w:sz="6" w:space="0" w:color="000000"/>
              <w:bottom w:val="single" w:sz="6" w:space="0" w:color="000000"/>
              <w:right w:val="single" w:sz="6" w:space="0" w:color="000000"/>
            </w:tcBorders>
          </w:tcPr>
          <w:p>
            <w:pPr>
              <w:pStyle w:val="TableParagraph"/>
              <w:rPr>
                <w:b/>
                <w:sz w:val="22"/>
              </w:rPr>
            </w:pPr>
          </w:p>
          <w:p>
            <w:pPr>
              <w:pStyle w:val="TableParagraph"/>
              <w:spacing w:before="6"/>
              <w:rPr>
                <w:b/>
                <w:sz w:val="26"/>
              </w:rPr>
            </w:pPr>
          </w:p>
          <w:p>
            <w:pPr>
              <w:pStyle w:val="TableParagraph"/>
              <w:ind w:left="124" w:right="115"/>
              <w:jc w:val="center"/>
              <w:rPr>
                <w:sz w:val="20"/>
              </w:rPr>
            </w:pPr>
            <w:r>
              <w:rPr>
                <w:sz w:val="20"/>
              </w:rPr>
              <w:t>0x82</w:t>
            </w:r>
          </w:p>
        </w:tc>
        <w:tc>
          <w:tcPr>
            <w:tcW w:w="1519"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2"/>
              <w:rPr>
                <w:b/>
                <w:sz w:val="26"/>
              </w:rPr>
            </w:pPr>
          </w:p>
          <w:p>
            <w:pPr>
              <w:pStyle w:val="TableParagraph"/>
              <w:ind w:left="112" w:right="106"/>
              <w:jc w:val="center"/>
              <w:rPr>
                <w:rFonts w:ascii="Times New Roman"/>
                <w:i/>
                <w:sz w:val="20"/>
              </w:rPr>
            </w:pPr>
            <w:r>
              <w:rPr>
                <w:rFonts w:ascii="Times New Roman"/>
                <w:i/>
                <w:sz w:val="20"/>
              </w:rPr>
              <w:t>FREQ_X</w:t>
            </w:r>
          </w:p>
        </w:tc>
        <w:tc>
          <w:tcPr>
            <w:tcW w:w="6749" w:type="dxa"/>
            <w:tcBorders>
              <w:top w:val="single" w:sz="6" w:space="0" w:color="000000"/>
              <w:left w:val="single" w:sz="6" w:space="0" w:color="000000"/>
              <w:bottom w:val="single" w:sz="6" w:space="0" w:color="000000"/>
            </w:tcBorders>
          </w:tcPr>
          <w:p>
            <w:pPr>
              <w:pStyle w:val="TableParagraph"/>
              <w:spacing w:line="392" w:lineRule="exact" w:before="31"/>
              <w:ind w:left="110"/>
              <w:rPr>
                <w:i/>
                <w:sz w:val="20"/>
              </w:rPr>
            </w:pPr>
            <w:r>
              <w:rPr>
                <w:sz w:val="20"/>
              </w:rPr>
              <w:t>Fundamental frequency: LSB </w:t>
            </w:r>
            <w:r>
              <w:rPr>
                <w:rFonts w:ascii="Symbol" w:hAnsi="Symbol"/>
                <w:position w:val="1"/>
                <w:sz w:val="25"/>
              </w:rPr>
              <w:t></w:t>
            </w:r>
            <w:r>
              <w:rPr>
                <w:rFonts w:ascii="Times New Roman" w:hAnsi="Times New Roman"/>
                <w:position w:val="1"/>
                <w:sz w:val="25"/>
              </w:rPr>
              <w:t> </w:t>
            </w:r>
            <w:r>
              <w:rPr>
                <w:rFonts w:ascii="Times New Roman" w:hAnsi="Times New Roman"/>
                <w:position w:val="16"/>
                <w:sz w:val="25"/>
              </w:rPr>
              <w:t>2184</w:t>
            </w:r>
            <w:r>
              <w:rPr>
                <w:rFonts w:ascii="Times New Roman" w:hAnsi="Times New Roman"/>
                <w:i/>
                <w:position w:val="16"/>
                <w:sz w:val="25"/>
              </w:rPr>
              <w:t>Hz </w:t>
            </w:r>
            <w:r>
              <w:rPr>
                <w:rFonts w:ascii="Symbol" w:hAnsi="Symbol"/>
                <w:position w:val="1"/>
                <w:sz w:val="25"/>
              </w:rPr>
              <w:t></w:t>
            </w:r>
            <w:r>
              <w:rPr>
                <w:rFonts w:ascii="Times New Roman" w:hAnsi="Times New Roman"/>
                <w:position w:val="1"/>
                <w:sz w:val="25"/>
              </w:rPr>
              <w:t> 0.509 </w:t>
            </w:r>
            <w:r>
              <w:rPr>
                <w:rFonts w:ascii="Symbol" w:hAnsi="Symbol"/>
                <w:position w:val="1"/>
                <w:sz w:val="25"/>
              </w:rPr>
              <w:t></w:t>
            </w:r>
            <w:r>
              <w:rPr>
                <w:rFonts w:ascii="Times New Roman" w:hAnsi="Times New Roman"/>
                <w:position w:val="1"/>
                <w:sz w:val="25"/>
              </w:rPr>
              <w:t>10</w:t>
            </w:r>
            <w:r>
              <w:rPr>
                <w:rFonts w:ascii="Symbol" w:hAnsi="Symbol"/>
                <w:position w:val="1"/>
                <w:sz w:val="25"/>
                <w:vertAlign w:val="superscript"/>
              </w:rPr>
              <w:t></w:t>
            </w:r>
            <w:r>
              <w:rPr>
                <w:rFonts w:ascii="Times New Roman" w:hAnsi="Times New Roman"/>
                <w:position w:val="1"/>
                <w:sz w:val="25"/>
                <w:vertAlign w:val="superscript"/>
              </w:rPr>
              <w:t>6</w:t>
            </w:r>
            <w:r>
              <w:rPr>
                <w:rFonts w:ascii="Times New Roman" w:hAnsi="Times New Roman"/>
                <w:position w:val="1"/>
                <w:sz w:val="25"/>
                <w:vertAlign w:val="baseline"/>
              </w:rPr>
              <w:t> </w:t>
            </w:r>
            <w:r>
              <w:rPr>
                <w:i/>
                <w:sz w:val="20"/>
                <w:vertAlign w:val="baseline"/>
              </w:rPr>
              <w:t>Hz(for CT)</w:t>
            </w:r>
          </w:p>
          <w:p>
            <w:pPr>
              <w:pStyle w:val="TableParagraph"/>
              <w:spacing w:line="74" w:lineRule="auto" w:before="27"/>
              <w:ind w:left="3259" w:right="3156"/>
              <w:jc w:val="center"/>
              <w:rPr>
                <w:rFonts w:ascii="Times New Roman"/>
                <w:sz w:val="14"/>
              </w:rPr>
            </w:pPr>
            <w:r>
              <w:rPr>
                <w:rFonts w:ascii="Times New Roman"/>
                <w:position w:val="-10"/>
                <w:sz w:val="25"/>
              </w:rPr>
              <w:t>2</w:t>
            </w:r>
            <w:r>
              <w:rPr>
                <w:rFonts w:ascii="Times New Roman"/>
                <w:sz w:val="14"/>
              </w:rPr>
              <w:t>32</w:t>
            </w:r>
          </w:p>
          <w:p>
            <w:pPr>
              <w:pStyle w:val="TableParagraph"/>
              <w:spacing w:line="393" w:lineRule="exact" w:before="144"/>
              <w:ind w:left="2380"/>
              <w:rPr>
                <w:i/>
                <w:sz w:val="20"/>
              </w:rPr>
            </w:pPr>
            <w:r>
              <w:rPr>
                <w:sz w:val="20"/>
              </w:rPr>
              <w:t>LSB </w:t>
            </w:r>
            <w:r>
              <w:rPr>
                <w:rFonts w:ascii="Symbol" w:hAnsi="Symbol"/>
                <w:position w:val="1"/>
                <w:sz w:val="25"/>
              </w:rPr>
              <w:t></w:t>
            </w:r>
            <w:r>
              <w:rPr>
                <w:rFonts w:ascii="Times New Roman" w:hAnsi="Times New Roman"/>
                <w:position w:val="1"/>
                <w:sz w:val="25"/>
              </w:rPr>
              <w:t> </w:t>
            </w:r>
            <w:r>
              <w:rPr>
                <w:rFonts w:ascii="Times New Roman" w:hAnsi="Times New Roman"/>
                <w:position w:val="16"/>
                <w:sz w:val="25"/>
              </w:rPr>
              <w:t>2520</w:t>
            </w:r>
            <w:r>
              <w:rPr>
                <w:rFonts w:ascii="Times New Roman" w:hAnsi="Times New Roman"/>
                <w:i/>
                <w:position w:val="16"/>
                <w:sz w:val="25"/>
              </w:rPr>
              <w:t>Hz </w:t>
            </w:r>
            <w:r>
              <w:rPr>
                <w:rFonts w:ascii="Symbol" w:hAnsi="Symbol"/>
                <w:position w:val="1"/>
                <w:sz w:val="25"/>
              </w:rPr>
              <w:t></w:t>
            </w:r>
            <w:r>
              <w:rPr>
                <w:rFonts w:ascii="Times New Roman" w:hAnsi="Times New Roman"/>
                <w:position w:val="1"/>
                <w:sz w:val="25"/>
              </w:rPr>
              <w:t> 0.587 </w:t>
            </w:r>
            <w:r>
              <w:rPr>
                <w:rFonts w:ascii="Symbol" w:hAnsi="Symbol"/>
                <w:position w:val="1"/>
                <w:sz w:val="25"/>
              </w:rPr>
              <w:t></w:t>
            </w:r>
            <w:r>
              <w:rPr>
                <w:rFonts w:ascii="Times New Roman" w:hAnsi="Times New Roman"/>
                <w:position w:val="1"/>
                <w:sz w:val="25"/>
              </w:rPr>
              <w:t>10</w:t>
            </w:r>
            <w:r>
              <w:rPr>
                <w:rFonts w:ascii="Symbol" w:hAnsi="Symbol"/>
                <w:position w:val="1"/>
                <w:sz w:val="25"/>
                <w:vertAlign w:val="superscript"/>
              </w:rPr>
              <w:t></w:t>
            </w:r>
            <w:r>
              <w:rPr>
                <w:rFonts w:ascii="Times New Roman" w:hAnsi="Times New Roman"/>
                <w:position w:val="1"/>
                <w:sz w:val="25"/>
                <w:vertAlign w:val="superscript"/>
              </w:rPr>
              <w:t>6</w:t>
            </w:r>
            <w:r>
              <w:rPr>
                <w:rFonts w:ascii="Times New Roman" w:hAnsi="Times New Roman"/>
                <w:position w:val="1"/>
                <w:sz w:val="25"/>
                <w:vertAlign w:val="baseline"/>
              </w:rPr>
              <w:t> </w:t>
            </w:r>
            <w:r>
              <w:rPr>
                <w:i/>
                <w:sz w:val="20"/>
                <w:vertAlign w:val="baseline"/>
              </w:rPr>
              <w:t>Hz(for Shunt)</w:t>
            </w:r>
          </w:p>
          <w:p>
            <w:pPr>
              <w:pStyle w:val="TableParagraph"/>
              <w:spacing w:line="76" w:lineRule="auto" w:before="28"/>
              <w:ind w:left="3251" w:right="3164"/>
              <w:jc w:val="center"/>
              <w:rPr>
                <w:rFonts w:ascii="Times New Roman"/>
                <w:sz w:val="14"/>
              </w:rPr>
            </w:pPr>
            <w:r>
              <w:rPr>
                <w:rFonts w:ascii="Times New Roman"/>
                <w:position w:val="-10"/>
                <w:sz w:val="25"/>
              </w:rPr>
              <w:t>2</w:t>
            </w:r>
            <w:r>
              <w:rPr>
                <w:rFonts w:ascii="Times New Roman"/>
                <w:sz w:val="14"/>
              </w:rPr>
              <w:t>32</w:t>
            </w:r>
          </w:p>
        </w:tc>
      </w:tr>
      <w:tr>
        <w:trPr>
          <w:trHeight w:val="721" w:hRule="atLeast"/>
        </w:trPr>
        <w:tc>
          <w:tcPr>
            <w:tcW w:w="1092" w:type="dxa"/>
            <w:tcBorders>
              <w:top w:val="single" w:sz="6" w:space="0" w:color="000000"/>
              <w:bottom w:val="single" w:sz="6" w:space="0" w:color="000000"/>
              <w:right w:val="single" w:sz="6" w:space="0" w:color="000000"/>
            </w:tcBorders>
          </w:tcPr>
          <w:p>
            <w:pPr>
              <w:pStyle w:val="TableParagraph"/>
              <w:spacing w:before="7"/>
              <w:rPr>
                <w:b/>
                <w:sz w:val="21"/>
              </w:rPr>
            </w:pPr>
          </w:p>
          <w:p>
            <w:pPr>
              <w:pStyle w:val="TableParagraph"/>
              <w:ind w:left="124" w:right="115"/>
              <w:jc w:val="center"/>
              <w:rPr>
                <w:sz w:val="20"/>
              </w:rPr>
            </w:pPr>
            <w:r>
              <w:rPr>
                <w:sz w:val="20"/>
              </w:rPr>
              <w:t>0x83</w:t>
            </w:r>
          </w:p>
        </w:tc>
        <w:tc>
          <w:tcPr>
            <w:tcW w:w="1519" w:type="dxa"/>
            <w:tcBorders>
              <w:top w:val="single" w:sz="6" w:space="0" w:color="000000"/>
              <w:left w:val="single" w:sz="6" w:space="0" w:color="000000"/>
              <w:bottom w:val="single" w:sz="6" w:space="0" w:color="000000"/>
              <w:right w:val="single" w:sz="6" w:space="0" w:color="000000"/>
            </w:tcBorders>
          </w:tcPr>
          <w:p>
            <w:pPr>
              <w:pStyle w:val="TableParagraph"/>
              <w:spacing w:before="3"/>
              <w:rPr>
                <w:b/>
                <w:sz w:val="21"/>
              </w:rPr>
            </w:pPr>
          </w:p>
          <w:p>
            <w:pPr>
              <w:pStyle w:val="TableParagraph"/>
              <w:ind w:left="112" w:right="106"/>
              <w:jc w:val="center"/>
              <w:rPr>
                <w:rFonts w:ascii="Times New Roman"/>
                <w:i/>
                <w:sz w:val="20"/>
              </w:rPr>
            </w:pPr>
            <w:r>
              <w:rPr>
                <w:rFonts w:ascii="Times New Roman"/>
                <w:i/>
                <w:sz w:val="20"/>
              </w:rPr>
              <w:t>MAINEDGE_X</w:t>
            </w:r>
          </w:p>
        </w:tc>
        <w:tc>
          <w:tcPr>
            <w:tcW w:w="6749" w:type="dxa"/>
            <w:tcBorders>
              <w:top w:val="single" w:sz="6" w:space="0" w:color="000000"/>
              <w:left w:val="single" w:sz="6" w:space="0" w:color="000000"/>
              <w:bottom w:val="single" w:sz="6" w:space="0" w:color="000000"/>
            </w:tcBorders>
          </w:tcPr>
          <w:p>
            <w:pPr>
              <w:pStyle w:val="TableParagraph"/>
              <w:spacing w:before="21"/>
              <w:ind w:left="105"/>
              <w:rPr>
                <w:sz w:val="20"/>
              </w:rPr>
            </w:pPr>
            <w:r>
              <w:rPr>
                <w:sz w:val="20"/>
              </w:rPr>
              <w:t>The number of edge crossings of the selected voltage in the previous accumulation interval. Edge crossings are either direction and are</w:t>
            </w:r>
          </w:p>
          <w:p>
            <w:pPr>
              <w:pStyle w:val="TableParagraph"/>
              <w:spacing w:line="221" w:lineRule="exact"/>
              <w:ind w:left="105"/>
              <w:rPr>
                <w:sz w:val="20"/>
              </w:rPr>
            </w:pPr>
            <w:r>
              <w:rPr>
                <w:sz w:val="20"/>
              </w:rPr>
              <w:t>debounced.</w:t>
            </w:r>
          </w:p>
        </w:tc>
      </w:tr>
      <w:tr>
        <w:trPr>
          <w:trHeight w:val="1785" w:hRule="atLeast"/>
        </w:trPr>
        <w:tc>
          <w:tcPr>
            <w:tcW w:w="1092" w:type="dxa"/>
            <w:tcBorders>
              <w:top w:val="single" w:sz="6" w:space="0" w:color="000000"/>
              <w:bottom w:val="single" w:sz="6" w:space="0" w:color="000000"/>
              <w:right w:val="single" w:sz="6" w:space="0" w:color="000000"/>
            </w:tcBorders>
          </w:tcPr>
          <w:p>
            <w:pPr>
              <w:pStyle w:val="TableParagraph"/>
              <w:rPr>
                <w:b/>
                <w:sz w:val="22"/>
              </w:rPr>
            </w:pPr>
          </w:p>
          <w:p>
            <w:pPr>
              <w:pStyle w:val="TableParagraph"/>
              <w:rPr>
                <w:b/>
                <w:sz w:val="22"/>
              </w:rPr>
            </w:pPr>
          </w:p>
          <w:p>
            <w:pPr>
              <w:pStyle w:val="TableParagraph"/>
              <w:spacing w:before="4"/>
              <w:rPr>
                <w:b/>
                <w:sz w:val="23"/>
              </w:rPr>
            </w:pPr>
          </w:p>
          <w:p>
            <w:pPr>
              <w:pStyle w:val="TableParagraph"/>
              <w:ind w:left="124" w:right="115"/>
              <w:jc w:val="center"/>
              <w:rPr>
                <w:sz w:val="20"/>
              </w:rPr>
            </w:pPr>
            <w:r>
              <w:rPr>
                <w:sz w:val="20"/>
              </w:rPr>
              <w:t>0x94</w:t>
            </w:r>
          </w:p>
        </w:tc>
        <w:tc>
          <w:tcPr>
            <w:tcW w:w="1519"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rPr>
                <w:b/>
                <w:sz w:val="22"/>
              </w:rPr>
            </w:pPr>
          </w:p>
          <w:p>
            <w:pPr>
              <w:pStyle w:val="TableParagraph"/>
              <w:rPr>
                <w:b/>
                <w:sz w:val="23"/>
              </w:rPr>
            </w:pPr>
          </w:p>
          <w:p>
            <w:pPr>
              <w:pStyle w:val="TableParagraph"/>
              <w:ind w:left="112" w:right="104"/>
              <w:jc w:val="center"/>
              <w:rPr>
                <w:rFonts w:ascii="Times New Roman"/>
                <w:i/>
                <w:sz w:val="20"/>
              </w:rPr>
            </w:pPr>
            <w:r>
              <w:rPr>
                <w:rFonts w:ascii="Times New Roman"/>
                <w:i/>
                <w:sz w:val="20"/>
              </w:rPr>
              <w:t>PH_AtoB_X</w:t>
            </w:r>
          </w:p>
        </w:tc>
        <w:tc>
          <w:tcPr>
            <w:tcW w:w="6749" w:type="dxa"/>
            <w:tcBorders>
              <w:top w:val="single" w:sz="6" w:space="0" w:color="000000"/>
              <w:left w:val="single" w:sz="6" w:space="0" w:color="000000"/>
              <w:bottom w:val="single" w:sz="6" w:space="0" w:color="000000"/>
            </w:tcBorders>
          </w:tcPr>
          <w:p>
            <w:pPr>
              <w:pStyle w:val="TableParagraph"/>
              <w:spacing w:line="227" w:lineRule="exact" w:before="18"/>
              <w:ind w:left="110"/>
              <w:jc w:val="both"/>
              <w:rPr>
                <w:sz w:val="20"/>
              </w:rPr>
            </w:pPr>
            <w:r>
              <w:rPr>
                <w:sz w:val="20"/>
              </w:rPr>
              <w:t>Voltage phase lag. The selection of the reference phase is based on</w:t>
            </w:r>
          </w:p>
          <w:p>
            <w:pPr>
              <w:pStyle w:val="TableParagraph"/>
              <w:spacing w:line="227" w:lineRule="exact"/>
              <w:ind w:left="110"/>
              <w:jc w:val="both"/>
              <w:rPr>
                <w:sz w:val="20"/>
              </w:rPr>
            </w:pPr>
            <w:r>
              <w:rPr>
                <w:rFonts w:ascii="Times New Roman"/>
                <w:i/>
                <w:sz w:val="20"/>
              </w:rPr>
              <w:t>FREQSEL[1:0] </w:t>
            </w:r>
            <w:r>
              <w:rPr>
                <w:sz w:val="20"/>
              </w:rPr>
              <w:t>in the </w:t>
            </w:r>
            <w:r>
              <w:rPr>
                <w:rFonts w:ascii="Times New Roman"/>
                <w:i/>
                <w:sz w:val="20"/>
              </w:rPr>
              <w:t>CECONFIG </w:t>
            </w:r>
            <w:r>
              <w:rPr>
                <w:sz w:val="20"/>
              </w:rPr>
              <w:t>register:</w:t>
            </w:r>
          </w:p>
          <w:p>
            <w:pPr>
              <w:pStyle w:val="TableParagraph"/>
              <w:spacing w:line="259" w:lineRule="auto" w:before="43"/>
              <w:ind w:left="110" w:right="1590"/>
              <w:jc w:val="both"/>
              <w:rPr>
                <w:sz w:val="20"/>
              </w:rPr>
            </w:pPr>
            <w:r>
              <w:rPr>
                <w:sz w:val="20"/>
              </w:rPr>
              <w:t>If </w:t>
            </w:r>
            <w:r>
              <w:rPr>
                <w:rFonts w:ascii="Times New Roman"/>
                <w:i/>
                <w:sz w:val="20"/>
              </w:rPr>
              <w:t>FREQSEL[1:0] </w:t>
            </w:r>
            <w:r>
              <w:rPr>
                <w:sz w:val="20"/>
              </w:rPr>
              <w:t>selects phase A: Phase lag from A to B. If </w:t>
            </w:r>
            <w:r>
              <w:rPr>
                <w:rFonts w:ascii="Times New Roman"/>
                <w:i/>
                <w:sz w:val="20"/>
              </w:rPr>
              <w:t>FREQSEL[1:0] </w:t>
            </w:r>
            <w:r>
              <w:rPr>
                <w:sz w:val="20"/>
              </w:rPr>
              <w:t>selects phase B: Phase lag from B to C. If </w:t>
            </w:r>
            <w:r>
              <w:rPr>
                <w:rFonts w:ascii="Times New Roman"/>
                <w:i/>
                <w:sz w:val="20"/>
              </w:rPr>
              <w:t>FREQSEL[1:0] </w:t>
            </w:r>
            <w:r>
              <w:rPr>
                <w:sz w:val="20"/>
              </w:rPr>
              <w:t>selects phase C: Phase lag from C to A.</w:t>
            </w:r>
          </w:p>
          <w:p>
            <w:pPr>
              <w:pStyle w:val="TableParagraph"/>
              <w:spacing w:line="250" w:lineRule="atLeast" w:before="6"/>
              <w:ind w:left="110" w:right="325" w:hanging="1"/>
              <w:jc w:val="both"/>
              <w:rPr>
                <w:sz w:val="20"/>
              </w:rPr>
            </w:pPr>
            <w:r>
              <w:rPr>
                <w:spacing w:val="-3"/>
                <w:sz w:val="20"/>
              </w:rPr>
              <w:t>Angle </w:t>
            </w:r>
            <w:r>
              <w:rPr>
                <w:sz w:val="20"/>
              </w:rPr>
              <w:t>in </w:t>
            </w:r>
            <w:r>
              <w:rPr>
                <w:spacing w:val="-4"/>
                <w:sz w:val="20"/>
              </w:rPr>
              <w:t>degrees </w:t>
            </w:r>
            <w:r>
              <w:rPr>
                <w:spacing w:val="-3"/>
                <w:sz w:val="20"/>
              </w:rPr>
              <w:t>is </w:t>
            </w:r>
            <w:r>
              <w:rPr>
                <w:sz w:val="20"/>
              </w:rPr>
              <w:t>(0 to </w:t>
            </w:r>
            <w:r>
              <w:rPr>
                <w:spacing w:val="-4"/>
                <w:sz w:val="20"/>
              </w:rPr>
              <w:t>360): </w:t>
            </w:r>
            <w:r>
              <w:rPr>
                <w:rFonts w:ascii="Times New Roman"/>
                <w:i/>
                <w:spacing w:val="-4"/>
                <w:sz w:val="20"/>
              </w:rPr>
              <w:t>PH_AtoB_X </w:t>
            </w:r>
            <w:r>
              <w:rPr>
                <w:sz w:val="20"/>
              </w:rPr>
              <w:t>* </w:t>
            </w:r>
            <w:r>
              <w:rPr>
                <w:spacing w:val="-4"/>
                <w:sz w:val="20"/>
              </w:rPr>
              <w:t>360/N</w:t>
            </w:r>
            <w:r>
              <w:rPr>
                <w:spacing w:val="-4"/>
                <w:sz w:val="20"/>
                <w:vertAlign w:val="subscript"/>
              </w:rPr>
              <w:t>ACC</w:t>
            </w:r>
            <w:r>
              <w:rPr>
                <w:spacing w:val="-4"/>
                <w:sz w:val="20"/>
                <w:vertAlign w:val="baseline"/>
              </w:rPr>
              <w:t> </w:t>
            </w:r>
            <w:r>
              <w:rPr>
                <w:sz w:val="20"/>
                <w:vertAlign w:val="baseline"/>
              </w:rPr>
              <w:t>+ </w:t>
            </w:r>
            <w:r>
              <w:rPr>
                <w:spacing w:val="-4"/>
                <w:sz w:val="20"/>
                <w:vertAlign w:val="baseline"/>
              </w:rPr>
              <w:t>2.4*15/13 (for</w:t>
            </w:r>
            <w:r>
              <w:rPr>
                <w:spacing w:val="-37"/>
                <w:sz w:val="20"/>
                <w:vertAlign w:val="baseline"/>
              </w:rPr>
              <w:t> </w:t>
            </w:r>
            <w:r>
              <w:rPr>
                <w:spacing w:val="-3"/>
                <w:sz w:val="20"/>
                <w:vertAlign w:val="baseline"/>
              </w:rPr>
              <w:t>CT) Angle </w:t>
            </w:r>
            <w:r>
              <w:rPr>
                <w:sz w:val="20"/>
                <w:vertAlign w:val="baseline"/>
              </w:rPr>
              <w:t>in </w:t>
            </w:r>
            <w:r>
              <w:rPr>
                <w:spacing w:val="-4"/>
                <w:sz w:val="20"/>
                <w:vertAlign w:val="baseline"/>
              </w:rPr>
              <w:t>degrees </w:t>
            </w:r>
            <w:r>
              <w:rPr>
                <w:spacing w:val="-3"/>
                <w:sz w:val="20"/>
                <w:vertAlign w:val="baseline"/>
              </w:rPr>
              <w:t>is </w:t>
            </w:r>
            <w:r>
              <w:rPr>
                <w:sz w:val="20"/>
                <w:vertAlign w:val="baseline"/>
              </w:rPr>
              <w:t>(0 to </w:t>
            </w:r>
            <w:r>
              <w:rPr>
                <w:spacing w:val="-4"/>
                <w:sz w:val="20"/>
                <w:vertAlign w:val="baseline"/>
              </w:rPr>
              <w:t>360): </w:t>
            </w:r>
            <w:r>
              <w:rPr>
                <w:rFonts w:ascii="Times New Roman"/>
                <w:i/>
                <w:spacing w:val="-4"/>
                <w:sz w:val="20"/>
                <w:vertAlign w:val="baseline"/>
              </w:rPr>
              <w:t>PH_AtoB_X </w:t>
            </w:r>
            <w:r>
              <w:rPr>
                <w:sz w:val="20"/>
                <w:vertAlign w:val="baseline"/>
              </w:rPr>
              <w:t>* </w:t>
            </w:r>
            <w:r>
              <w:rPr>
                <w:spacing w:val="-4"/>
                <w:sz w:val="20"/>
                <w:vertAlign w:val="baseline"/>
              </w:rPr>
              <w:t>360/N</w:t>
            </w:r>
            <w:r>
              <w:rPr>
                <w:spacing w:val="-4"/>
                <w:sz w:val="20"/>
                <w:vertAlign w:val="subscript"/>
              </w:rPr>
              <w:t>ACC</w:t>
            </w:r>
            <w:r>
              <w:rPr>
                <w:spacing w:val="-4"/>
                <w:sz w:val="20"/>
                <w:vertAlign w:val="baseline"/>
              </w:rPr>
              <w:t> </w:t>
            </w:r>
            <w:r>
              <w:rPr>
                <w:sz w:val="20"/>
                <w:vertAlign w:val="baseline"/>
              </w:rPr>
              <w:t>+ </w:t>
            </w:r>
            <w:r>
              <w:rPr>
                <w:spacing w:val="-3"/>
                <w:sz w:val="20"/>
                <w:vertAlign w:val="baseline"/>
              </w:rPr>
              <w:t>2.4 </w:t>
            </w:r>
            <w:r>
              <w:rPr>
                <w:spacing w:val="-4"/>
                <w:sz w:val="20"/>
                <w:vertAlign w:val="baseline"/>
              </w:rPr>
              <w:t>(for</w:t>
            </w:r>
            <w:r>
              <w:rPr>
                <w:spacing w:val="-34"/>
                <w:sz w:val="20"/>
                <w:vertAlign w:val="baseline"/>
              </w:rPr>
              <w:t> </w:t>
            </w:r>
            <w:r>
              <w:rPr>
                <w:spacing w:val="-4"/>
                <w:sz w:val="20"/>
                <w:vertAlign w:val="baseline"/>
              </w:rPr>
              <w:t>Shunt)</w:t>
            </w:r>
          </w:p>
        </w:tc>
      </w:tr>
      <w:tr>
        <w:trPr>
          <w:trHeight w:val="1283" w:hRule="atLeast"/>
        </w:trPr>
        <w:tc>
          <w:tcPr>
            <w:tcW w:w="1092" w:type="dxa"/>
            <w:tcBorders>
              <w:top w:val="single" w:sz="6" w:space="0" w:color="000000"/>
              <w:right w:val="single" w:sz="6" w:space="0" w:color="000000"/>
            </w:tcBorders>
          </w:tcPr>
          <w:p>
            <w:pPr>
              <w:pStyle w:val="TableParagraph"/>
              <w:rPr>
                <w:b/>
                <w:sz w:val="22"/>
              </w:rPr>
            </w:pPr>
          </w:p>
          <w:p>
            <w:pPr>
              <w:pStyle w:val="TableParagraph"/>
              <w:spacing w:before="7"/>
              <w:rPr>
                <w:b/>
                <w:sz w:val="23"/>
              </w:rPr>
            </w:pPr>
          </w:p>
          <w:p>
            <w:pPr>
              <w:pStyle w:val="TableParagraph"/>
              <w:ind w:left="124" w:right="115"/>
              <w:jc w:val="center"/>
              <w:rPr>
                <w:sz w:val="20"/>
              </w:rPr>
            </w:pPr>
            <w:r>
              <w:rPr>
                <w:sz w:val="20"/>
              </w:rPr>
              <w:t>0x95</w:t>
            </w:r>
          </w:p>
        </w:tc>
        <w:tc>
          <w:tcPr>
            <w:tcW w:w="1519" w:type="dxa"/>
            <w:tcBorders>
              <w:top w:val="single" w:sz="6" w:space="0" w:color="000000"/>
              <w:left w:val="single" w:sz="6" w:space="0" w:color="000000"/>
              <w:right w:val="single" w:sz="6" w:space="0" w:color="000000"/>
            </w:tcBorders>
          </w:tcPr>
          <w:p>
            <w:pPr>
              <w:pStyle w:val="TableParagraph"/>
              <w:rPr>
                <w:b/>
                <w:sz w:val="22"/>
              </w:rPr>
            </w:pPr>
          </w:p>
          <w:p>
            <w:pPr>
              <w:pStyle w:val="TableParagraph"/>
              <w:spacing w:before="3"/>
              <w:rPr>
                <w:b/>
                <w:sz w:val="23"/>
              </w:rPr>
            </w:pPr>
          </w:p>
          <w:p>
            <w:pPr>
              <w:pStyle w:val="TableParagraph"/>
              <w:ind w:left="111" w:right="106"/>
              <w:jc w:val="center"/>
              <w:rPr>
                <w:rFonts w:ascii="Times New Roman"/>
                <w:i/>
                <w:sz w:val="20"/>
              </w:rPr>
            </w:pPr>
            <w:r>
              <w:rPr>
                <w:rFonts w:ascii="Times New Roman"/>
                <w:i/>
                <w:sz w:val="20"/>
              </w:rPr>
              <w:t>PH_AtoC_X</w:t>
            </w:r>
          </w:p>
        </w:tc>
        <w:tc>
          <w:tcPr>
            <w:tcW w:w="6749" w:type="dxa"/>
            <w:tcBorders>
              <w:top w:val="single" w:sz="6" w:space="0" w:color="000000"/>
              <w:left w:val="single" w:sz="6" w:space="0" w:color="000000"/>
            </w:tcBorders>
          </w:tcPr>
          <w:p>
            <w:pPr>
              <w:pStyle w:val="TableParagraph"/>
              <w:spacing w:line="259" w:lineRule="auto" w:before="13"/>
              <w:ind w:left="110" w:right="1590"/>
              <w:jc w:val="both"/>
              <w:rPr>
                <w:sz w:val="20"/>
              </w:rPr>
            </w:pPr>
            <w:r>
              <w:rPr>
                <w:sz w:val="20"/>
              </w:rPr>
              <w:t>If </w:t>
            </w:r>
            <w:r>
              <w:rPr>
                <w:rFonts w:ascii="Times New Roman"/>
                <w:i/>
                <w:sz w:val="20"/>
              </w:rPr>
              <w:t>FREQSEL[1:0] </w:t>
            </w:r>
            <w:r>
              <w:rPr>
                <w:sz w:val="20"/>
              </w:rPr>
              <w:t>selects phase A: Phase lag from A to C. If </w:t>
            </w:r>
            <w:r>
              <w:rPr>
                <w:rFonts w:ascii="Times New Roman"/>
                <w:i/>
                <w:sz w:val="20"/>
              </w:rPr>
              <w:t>FREQSEL[1:0] </w:t>
            </w:r>
            <w:r>
              <w:rPr>
                <w:sz w:val="20"/>
              </w:rPr>
              <w:t>selects phase B: Phase lag from B to A. If </w:t>
            </w:r>
            <w:r>
              <w:rPr>
                <w:rFonts w:ascii="Times New Roman"/>
                <w:i/>
                <w:sz w:val="20"/>
              </w:rPr>
              <w:t>FREQSEL[1:0] </w:t>
            </w:r>
            <w:r>
              <w:rPr>
                <w:sz w:val="20"/>
              </w:rPr>
              <w:t>selects phase C: Phase lag from C to B.</w:t>
            </w:r>
          </w:p>
          <w:p>
            <w:pPr>
              <w:pStyle w:val="TableParagraph"/>
              <w:spacing w:line="250" w:lineRule="atLeast" w:before="6"/>
              <w:ind w:left="110" w:right="124" w:hanging="1"/>
              <w:jc w:val="both"/>
              <w:rPr>
                <w:sz w:val="20"/>
              </w:rPr>
            </w:pPr>
            <w:r>
              <w:rPr>
                <w:spacing w:val="-4"/>
                <w:sz w:val="20"/>
              </w:rPr>
              <w:t>Angle </w:t>
            </w:r>
            <w:r>
              <w:rPr>
                <w:sz w:val="20"/>
              </w:rPr>
              <w:t>in </w:t>
            </w:r>
            <w:r>
              <w:rPr>
                <w:spacing w:val="-4"/>
                <w:sz w:val="20"/>
              </w:rPr>
              <w:t>degrees </w:t>
            </w:r>
            <w:r>
              <w:rPr>
                <w:spacing w:val="-3"/>
                <w:sz w:val="20"/>
              </w:rPr>
              <w:t>is </w:t>
            </w:r>
            <w:r>
              <w:rPr>
                <w:sz w:val="20"/>
              </w:rPr>
              <w:t>(0 to </w:t>
            </w:r>
            <w:r>
              <w:rPr>
                <w:spacing w:val="-3"/>
                <w:sz w:val="20"/>
              </w:rPr>
              <w:t>360): </w:t>
            </w:r>
            <w:r>
              <w:rPr>
                <w:rFonts w:ascii="Times New Roman"/>
                <w:i/>
                <w:spacing w:val="-4"/>
                <w:sz w:val="20"/>
              </w:rPr>
              <w:t>PH_AtoC_X </w:t>
            </w:r>
            <w:r>
              <w:rPr>
                <w:sz w:val="20"/>
              </w:rPr>
              <w:t>* </w:t>
            </w:r>
            <w:r>
              <w:rPr>
                <w:spacing w:val="-4"/>
                <w:sz w:val="20"/>
              </w:rPr>
              <w:t>360/N</w:t>
            </w:r>
            <w:r>
              <w:rPr>
                <w:spacing w:val="-4"/>
                <w:sz w:val="20"/>
                <w:vertAlign w:val="subscript"/>
              </w:rPr>
              <w:t>ACC</w:t>
            </w:r>
            <w:r>
              <w:rPr>
                <w:spacing w:val="-4"/>
                <w:sz w:val="20"/>
                <w:vertAlign w:val="baseline"/>
              </w:rPr>
              <w:t> </w:t>
            </w:r>
            <w:r>
              <w:rPr>
                <w:sz w:val="20"/>
                <w:vertAlign w:val="baseline"/>
              </w:rPr>
              <w:t>+ </w:t>
            </w:r>
            <w:r>
              <w:rPr>
                <w:spacing w:val="-4"/>
                <w:sz w:val="20"/>
                <w:vertAlign w:val="baseline"/>
              </w:rPr>
              <w:t>4.8*15/13 </w:t>
            </w:r>
            <w:r>
              <w:rPr>
                <w:spacing w:val="-3"/>
                <w:sz w:val="20"/>
                <w:vertAlign w:val="baseline"/>
              </w:rPr>
              <w:t>(for CT) </w:t>
            </w:r>
            <w:r>
              <w:rPr>
                <w:spacing w:val="-4"/>
                <w:sz w:val="20"/>
                <w:vertAlign w:val="baseline"/>
              </w:rPr>
              <w:t>Angle</w:t>
            </w:r>
            <w:r>
              <w:rPr>
                <w:spacing w:val="-9"/>
                <w:sz w:val="20"/>
                <w:vertAlign w:val="baseline"/>
              </w:rPr>
              <w:t> </w:t>
            </w:r>
            <w:r>
              <w:rPr>
                <w:sz w:val="20"/>
                <w:vertAlign w:val="baseline"/>
              </w:rPr>
              <w:t>in</w:t>
            </w:r>
            <w:r>
              <w:rPr>
                <w:spacing w:val="-9"/>
                <w:sz w:val="20"/>
                <w:vertAlign w:val="baseline"/>
              </w:rPr>
              <w:t> </w:t>
            </w:r>
            <w:r>
              <w:rPr>
                <w:spacing w:val="-4"/>
                <w:sz w:val="20"/>
                <w:vertAlign w:val="baseline"/>
              </w:rPr>
              <w:t>degrees</w:t>
            </w:r>
            <w:r>
              <w:rPr>
                <w:spacing w:val="-8"/>
                <w:sz w:val="20"/>
                <w:vertAlign w:val="baseline"/>
              </w:rPr>
              <w:t> </w:t>
            </w:r>
            <w:r>
              <w:rPr>
                <w:spacing w:val="-3"/>
                <w:sz w:val="20"/>
                <w:vertAlign w:val="baseline"/>
              </w:rPr>
              <w:t>is</w:t>
            </w:r>
            <w:r>
              <w:rPr>
                <w:spacing w:val="-8"/>
                <w:sz w:val="20"/>
                <w:vertAlign w:val="baseline"/>
              </w:rPr>
              <w:t> </w:t>
            </w:r>
            <w:r>
              <w:rPr>
                <w:sz w:val="20"/>
                <w:vertAlign w:val="baseline"/>
              </w:rPr>
              <w:t>(0</w:t>
            </w:r>
            <w:r>
              <w:rPr>
                <w:spacing w:val="-10"/>
                <w:sz w:val="20"/>
                <w:vertAlign w:val="baseline"/>
              </w:rPr>
              <w:t> </w:t>
            </w:r>
            <w:r>
              <w:rPr>
                <w:sz w:val="20"/>
                <w:vertAlign w:val="baseline"/>
              </w:rPr>
              <w:t>to</w:t>
            </w:r>
            <w:r>
              <w:rPr>
                <w:spacing w:val="-10"/>
                <w:sz w:val="20"/>
                <w:vertAlign w:val="baseline"/>
              </w:rPr>
              <w:t> </w:t>
            </w:r>
            <w:r>
              <w:rPr>
                <w:spacing w:val="-3"/>
                <w:sz w:val="20"/>
                <w:vertAlign w:val="baseline"/>
              </w:rPr>
              <w:t>360):</w:t>
            </w:r>
            <w:r>
              <w:rPr>
                <w:spacing w:val="-11"/>
                <w:sz w:val="20"/>
                <w:vertAlign w:val="baseline"/>
              </w:rPr>
              <w:t> </w:t>
            </w:r>
            <w:r>
              <w:rPr>
                <w:rFonts w:ascii="Times New Roman"/>
                <w:i/>
                <w:spacing w:val="-4"/>
                <w:sz w:val="20"/>
                <w:vertAlign w:val="baseline"/>
              </w:rPr>
              <w:t>PH_AtoC_X</w:t>
            </w:r>
            <w:r>
              <w:rPr>
                <w:rFonts w:ascii="Times New Roman"/>
                <w:i/>
                <w:spacing w:val="-7"/>
                <w:sz w:val="20"/>
                <w:vertAlign w:val="baseline"/>
              </w:rPr>
              <w:t> </w:t>
            </w:r>
            <w:r>
              <w:rPr>
                <w:sz w:val="20"/>
                <w:vertAlign w:val="baseline"/>
              </w:rPr>
              <w:t>*</w:t>
            </w:r>
            <w:r>
              <w:rPr>
                <w:spacing w:val="-10"/>
                <w:sz w:val="20"/>
                <w:vertAlign w:val="baseline"/>
              </w:rPr>
              <w:t> </w:t>
            </w:r>
            <w:r>
              <w:rPr>
                <w:spacing w:val="-4"/>
                <w:sz w:val="20"/>
                <w:vertAlign w:val="baseline"/>
              </w:rPr>
              <w:t>360/N</w:t>
            </w:r>
            <w:r>
              <w:rPr>
                <w:spacing w:val="-4"/>
                <w:sz w:val="20"/>
                <w:vertAlign w:val="subscript"/>
              </w:rPr>
              <w:t>ACC</w:t>
            </w:r>
            <w:r>
              <w:rPr>
                <w:spacing w:val="-9"/>
                <w:sz w:val="20"/>
                <w:vertAlign w:val="baseline"/>
              </w:rPr>
              <w:t> </w:t>
            </w:r>
            <w:r>
              <w:rPr>
                <w:sz w:val="20"/>
                <w:vertAlign w:val="baseline"/>
              </w:rPr>
              <w:t>+</w:t>
            </w:r>
            <w:r>
              <w:rPr>
                <w:spacing w:val="-10"/>
                <w:sz w:val="20"/>
                <w:vertAlign w:val="baseline"/>
              </w:rPr>
              <w:t> </w:t>
            </w:r>
            <w:r>
              <w:rPr>
                <w:spacing w:val="-4"/>
                <w:sz w:val="20"/>
                <w:vertAlign w:val="baseline"/>
              </w:rPr>
              <w:t>4.8*15/13</w:t>
            </w:r>
            <w:r>
              <w:rPr>
                <w:spacing w:val="-12"/>
                <w:sz w:val="20"/>
                <w:vertAlign w:val="baseline"/>
              </w:rPr>
              <w:t> </w:t>
            </w:r>
            <w:r>
              <w:rPr>
                <w:spacing w:val="-3"/>
                <w:sz w:val="20"/>
                <w:vertAlign w:val="baseline"/>
              </w:rPr>
              <w:t>(for</w:t>
            </w:r>
            <w:r>
              <w:rPr>
                <w:spacing w:val="-8"/>
                <w:sz w:val="20"/>
                <w:vertAlign w:val="baseline"/>
              </w:rPr>
              <w:t> </w:t>
            </w:r>
            <w:r>
              <w:rPr>
                <w:spacing w:val="-4"/>
                <w:sz w:val="20"/>
                <w:vertAlign w:val="baseline"/>
              </w:rPr>
              <w:t>Shunt)</w:t>
            </w:r>
          </w:p>
        </w:tc>
      </w:tr>
    </w:tbl>
    <w:p>
      <w:pPr>
        <w:pStyle w:val="BodyText"/>
        <w:spacing w:before="7"/>
        <w:rPr>
          <w:b/>
          <w:sz w:val="19"/>
        </w:rPr>
      </w:pPr>
    </w:p>
    <w:p>
      <w:pPr>
        <w:pStyle w:val="BodyText"/>
        <w:ind w:left="1199" w:right="700"/>
      </w:pPr>
      <w:r>
        <w:rPr/>
        <w:drawing>
          <wp:anchor distT="0" distB="0" distL="0" distR="0" allowOverlap="1" layoutInCell="1" locked="0" behindDoc="0" simplePos="0" relativeHeight="15850496">
            <wp:simplePos x="0" y="0"/>
            <wp:positionH relativeFrom="page">
              <wp:posOffset>947371</wp:posOffset>
            </wp:positionH>
            <wp:positionV relativeFrom="paragraph">
              <wp:posOffset>9343</wp:posOffset>
            </wp:positionV>
            <wp:extent cx="167053" cy="266699"/>
            <wp:effectExtent l="0" t="0" r="0" b="0"/>
            <wp:wrapNone/>
            <wp:docPr id="115" name="image64.png"/>
            <wp:cNvGraphicFramePr>
              <a:graphicFrameLocks noChangeAspect="1"/>
            </wp:cNvGraphicFramePr>
            <a:graphic>
              <a:graphicData uri="http://schemas.openxmlformats.org/drawingml/2006/picture">
                <pic:pic>
                  <pic:nvPicPr>
                    <pic:cNvPr id="116" name="image64.png"/>
                    <pic:cNvPicPr/>
                  </pic:nvPicPr>
                  <pic:blipFill>
                    <a:blip r:embed="rId73" cstate="print"/>
                    <a:stretch>
                      <a:fillRect/>
                    </a:stretch>
                  </pic:blipFill>
                  <pic:spPr>
                    <a:xfrm>
                      <a:off x="0" y="0"/>
                      <a:ext cx="167053" cy="266699"/>
                    </a:xfrm>
                    <a:prstGeom prst="rect">
                      <a:avLst/>
                    </a:prstGeom>
                  </pic:spPr>
                </pic:pic>
              </a:graphicData>
            </a:graphic>
          </wp:anchor>
        </w:drawing>
      </w:r>
      <w:r>
        <w:rPr/>
        <w:t>Phase angle measurement accuracy can be increased by writing values &gt; 1 into </w:t>
      </w:r>
      <w:r>
        <w:rPr>
          <w:rFonts w:ascii="Times New Roman"/>
          <w:i/>
        </w:rPr>
        <w:t>V_ANG_CNT </w:t>
      </w:r>
      <w:r>
        <w:rPr/>
        <w:t>(</w:t>
      </w:r>
      <w:r>
        <w:rPr>
          <w:rFonts w:ascii="Times New Roman"/>
          <w:i/>
        </w:rPr>
        <w:t>V_ANG_CNT </w:t>
      </w:r>
      <w:r>
        <w:rPr/>
        <w:t>indicates how many accumulation periods to sum PH_AtoB_X and PH_AtoC_X over. The MPU then has to divide by that number. For standard CE codes that support shunts with remotes, </w:t>
      </w:r>
      <w:r>
        <w:rPr>
          <w:rFonts w:ascii="Times New Roman"/>
          <w:i/>
        </w:rPr>
        <w:t>V_ANG_CNT </w:t>
      </w:r>
      <w:r>
        <w:rPr/>
        <w:t>is at CE address 0x53. For standard CE codes that support shunts with CT, </w:t>
      </w:r>
      <w:r>
        <w:rPr>
          <w:rFonts w:ascii="Times New Roman"/>
          <w:i/>
        </w:rPr>
        <w:t>V_ANG_CNT </w:t>
      </w:r>
      <w:r>
        <w:rPr/>
        <w:t>is at CE address 0x55. For other than standard CE codes, please contact Maxim for information).</w:t>
      </w:r>
    </w:p>
    <w:p>
      <w:pPr>
        <w:pStyle w:val="BodyText"/>
      </w:pPr>
    </w:p>
    <w:p>
      <w:pPr>
        <w:pStyle w:val="ListParagraph"/>
        <w:numPr>
          <w:ilvl w:val="2"/>
          <w:numId w:val="30"/>
        </w:numPr>
        <w:tabs>
          <w:tab w:pos="1199" w:val="left" w:leader="none"/>
          <w:tab w:pos="1200" w:val="left" w:leader="none"/>
        </w:tabs>
        <w:spacing w:line="240" w:lineRule="auto" w:before="0" w:after="0"/>
        <w:ind w:left="1199" w:right="0" w:hanging="720"/>
        <w:jc w:val="left"/>
        <w:rPr>
          <w:b/>
          <w:sz w:val="22"/>
        </w:rPr>
      </w:pPr>
      <w:bookmarkStart w:name="5.3.9 Pulse Generation" w:id="482"/>
      <w:bookmarkEnd w:id="482"/>
      <w:r>
        <w:rPr/>
      </w:r>
      <w:bookmarkStart w:name="_bookmark234" w:id="483"/>
      <w:bookmarkEnd w:id="483"/>
      <w:r>
        <w:rPr/>
      </w:r>
      <w:bookmarkStart w:name="_bookmark234" w:id="484"/>
      <w:bookmarkEnd w:id="484"/>
      <w:r>
        <w:rPr>
          <w:b/>
          <w:sz w:val="22"/>
        </w:rPr>
        <w:t>Pu</w:t>
      </w:r>
      <w:r>
        <w:rPr>
          <w:b/>
          <w:sz w:val="22"/>
        </w:rPr>
        <w:t>lse</w:t>
      </w:r>
      <w:r>
        <w:rPr>
          <w:b/>
          <w:spacing w:val="-3"/>
          <w:sz w:val="22"/>
        </w:rPr>
        <w:t> </w:t>
      </w:r>
      <w:r>
        <w:rPr>
          <w:b/>
          <w:sz w:val="22"/>
        </w:rPr>
        <w:t>Generation</w:t>
      </w:r>
    </w:p>
    <w:p>
      <w:pPr>
        <w:pStyle w:val="BodyText"/>
        <w:spacing w:before="124"/>
        <w:ind w:left="480"/>
      </w:pPr>
      <w:hyperlink w:history="true" w:anchor="_bookmark235">
        <w:r>
          <w:rPr>
            <w:color w:val="0000FF"/>
          </w:rPr>
          <w:t>Table 83 </w:t>
        </w:r>
      </w:hyperlink>
      <w:r>
        <w:rPr/>
        <w:t>describes the CE pulse generation parameters.</w:t>
      </w:r>
    </w:p>
    <w:p>
      <w:pPr>
        <w:spacing w:line="242" w:lineRule="auto" w:before="115"/>
        <w:ind w:left="480" w:right="491" w:firstLine="0"/>
        <w:jc w:val="left"/>
        <w:rPr>
          <w:sz w:val="20"/>
        </w:rPr>
      </w:pPr>
      <w:r>
        <w:rPr>
          <w:sz w:val="20"/>
        </w:rPr>
        <w:t>The combination of the </w:t>
      </w:r>
      <w:r>
        <w:rPr>
          <w:rFonts w:ascii="Times New Roman"/>
          <w:i/>
          <w:sz w:val="20"/>
        </w:rPr>
        <w:t>CECONFIG PULSE_SLOW (CE RAM 0x20[0]</w:t>
      </w:r>
      <w:r>
        <w:rPr>
          <w:sz w:val="20"/>
        </w:rPr>
        <w:t>) and </w:t>
      </w:r>
      <w:r>
        <w:rPr>
          <w:rFonts w:ascii="Times New Roman"/>
          <w:i/>
          <w:sz w:val="20"/>
        </w:rPr>
        <w:t>PULSE_FAST (CE RAM 0x20[1]</w:t>
      </w:r>
      <w:r>
        <w:rPr>
          <w:sz w:val="20"/>
        </w:rPr>
        <w:t>) bits controls the speed of the pulse rate. The default values of 0 and 0 maintain the original pulse rate given by the Kh equation.</w:t>
      </w:r>
    </w:p>
    <w:p>
      <w:pPr>
        <w:pStyle w:val="BodyText"/>
        <w:spacing w:before="114"/>
        <w:ind w:left="479" w:right="491"/>
      </w:pPr>
      <w:r>
        <w:rPr>
          <w:rFonts w:ascii="Times New Roman"/>
          <w:i/>
        </w:rPr>
        <w:t>WRATE </w:t>
      </w:r>
      <w:r>
        <w:rPr/>
        <w:t>(</w:t>
      </w:r>
      <w:r>
        <w:rPr>
          <w:rFonts w:ascii="Times New Roman"/>
          <w:i/>
        </w:rPr>
        <w:t>CE RAM 0x21</w:t>
      </w:r>
      <w:r>
        <w:rPr/>
        <w:t>) controls the number of pulses that are generated per measured Wh and VARh quantities. The lower </w:t>
      </w:r>
      <w:r>
        <w:rPr>
          <w:rFonts w:ascii="Times New Roman"/>
          <w:i/>
        </w:rPr>
        <w:t>WRATE </w:t>
      </w:r>
      <w:r>
        <w:rPr/>
        <w:t>is the slower the pulse rate for measured energy quantity. The metering constant Kh is derived from </w:t>
      </w:r>
      <w:r>
        <w:rPr>
          <w:rFonts w:ascii="Times New Roman"/>
          <w:i/>
        </w:rPr>
        <w:t>WRATE </w:t>
      </w:r>
      <w:r>
        <w:rPr/>
        <w:t>as the amount of energy measured for each pulse. That is, if Kh =</w:t>
      </w:r>
    </w:p>
    <w:p>
      <w:pPr>
        <w:spacing w:after="0"/>
        <w:sectPr>
          <w:type w:val="continuous"/>
          <w:pgSz w:w="12240" w:h="15840"/>
          <w:pgMar w:top="940" w:bottom="280" w:left="960" w:right="940"/>
        </w:sectPr>
      </w:pPr>
    </w:p>
    <w:p>
      <w:pPr>
        <w:pStyle w:val="BodyText"/>
        <w:spacing w:before="90"/>
        <w:ind w:left="480" w:right="491"/>
      </w:pPr>
      <w:r>
        <w:rPr/>
        <w:t>1Wh/pulse, a power applied to the meter of 120 V and 30 A results in one pulse per second. If the load is 240 V at 150 A, ten pulses per second are generated.</w:t>
      </w:r>
    </w:p>
    <w:p>
      <w:pPr>
        <w:spacing w:line="240" w:lineRule="auto" w:before="118"/>
        <w:ind w:left="478" w:right="519" w:firstLine="1"/>
        <w:jc w:val="left"/>
        <w:rPr>
          <w:sz w:val="20"/>
        </w:rPr>
      </w:pPr>
      <w:r>
        <w:rPr>
          <w:sz w:val="20"/>
        </w:rPr>
        <w:t>Control is transferred to the MPU for pulse generation if </w:t>
      </w:r>
      <w:r>
        <w:rPr>
          <w:rFonts w:ascii="Times New Roman"/>
          <w:i/>
          <w:sz w:val="20"/>
        </w:rPr>
        <w:t>EXT_PULSE </w:t>
      </w:r>
      <w:r>
        <w:rPr>
          <w:sz w:val="20"/>
        </w:rPr>
        <w:t>= 1 </w:t>
      </w:r>
      <w:r>
        <w:rPr>
          <w:rFonts w:ascii="Times New Roman"/>
          <w:i/>
          <w:sz w:val="20"/>
        </w:rPr>
        <w:t>(CE RAM 0x20[5]). </w:t>
      </w:r>
      <w:r>
        <w:rPr>
          <w:sz w:val="20"/>
        </w:rPr>
        <w:t>In this case, the pulse rate is determined by </w:t>
      </w:r>
      <w:r>
        <w:rPr>
          <w:rFonts w:ascii="Times New Roman"/>
          <w:i/>
          <w:sz w:val="20"/>
        </w:rPr>
        <w:t>APULSEW </w:t>
      </w:r>
      <w:r>
        <w:rPr>
          <w:sz w:val="20"/>
        </w:rPr>
        <w:t>and </w:t>
      </w:r>
      <w:r>
        <w:rPr>
          <w:rFonts w:ascii="Times New Roman"/>
          <w:i/>
          <w:sz w:val="20"/>
        </w:rPr>
        <w:t>APULSER (CE RAM 0x45 and 0x49)</w:t>
      </w:r>
      <w:r>
        <w:rPr>
          <w:sz w:val="20"/>
        </w:rPr>
        <w:t>. The MPU has to load the source for pulse generation in </w:t>
      </w:r>
      <w:r>
        <w:rPr>
          <w:rFonts w:ascii="Times New Roman"/>
          <w:i/>
          <w:sz w:val="20"/>
        </w:rPr>
        <w:t>APULSEW </w:t>
      </w:r>
      <w:r>
        <w:rPr>
          <w:sz w:val="20"/>
        </w:rPr>
        <w:t>and </w:t>
      </w:r>
      <w:r>
        <w:rPr>
          <w:rFonts w:ascii="Times New Roman"/>
          <w:i/>
          <w:sz w:val="20"/>
        </w:rPr>
        <w:t>APULSER </w:t>
      </w:r>
      <w:r>
        <w:rPr>
          <w:sz w:val="20"/>
        </w:rPr>
        <w:t>to generate pulses. Irrespective of the </w:t>
      </w:r>
      <w:r>
        <w:rPr>
          <w:rFonts w:ascii="Times New Roman"/>
          <w:i/>
          <w:sz w:val="20"/>
        </w:rPr>
        <w:t>EXT_PULSE </w:t>
      </w:r>
      <w:r>
        <w:rPr>
          <w:sz w:val="20"/>
        </w:rPr>
        <w:t>status, the output pulse rate controlled by </w:t>
      </w:r>
      <w:r>
        <w:rPr>
          <w:rFonts w:ascii="Times New Roman"/>
          <w:i/>
          <w:sz w:val="20"/>
        </w:rPr>
        <w:t>APULSEW </w:t>
      </w:r>
      <w:r>
        <w:rPr>
          <w:sz w:val="20"/>
        </w:rPr>
        <w:t>and </w:t>
      </w:r>
      <w:r>
        <w:rPr>
          <w:rFonts w:ascii="Times New Roman"/>
          <w:i/>
          <w:sz w:val="20"/>
        </w:rPr>
        <w:t>APULSER </w:t>
      </w:r>
      <w:r>
        <w:rPr>
          <w:sz w:val="20"/>
        </w:rPr>
        <w:t>is implemented by the CE only. By setting </w:t>
      </w:r>
      <w:r>
        <w:rPr>
          <w:rFonts w:ascii="Times New Roman"/>
          <w:i/>
          <w:sz w:val="20"/>
        </w:rPr>
        <w:t>EXT_PULSE </w:t>
      </w:r>
      <w:r>
        <w:rPr>
          <w:sz w:val="20"/>
        </w:rPr>
        <w:t>= 1, the MPU is providing the source for pulse generation. If </w:t>
      </w:r>
      <w:r>
        <w:rPr>
          <w:rFonts w:ascii="Times New Roman"/>
          <w:i/>
          <w:sz w:val="20"/>
        </w:rPr>
        <w:t>EXT_PULSE </w:t>
      </w:r>
      <w:r>
        <w:rPr>
          <w:sz w:val="20"/>
        </w:rPr>
        <w:t>is 0, </w:t>
      </w:r>
      <w:r>
        <w:rPr>
          <w:rFonts w:ascii="Times New Roman"/>
          <w:i/>
          <w:sz w:val="20"/>
        </w:rPr>
        <w:t>W0SUM_X </w:t>
      </w:r>
      <w:r>
        <w:rPr>
          <w:sz w:val="20"/>
        </w:rPr>
        <w:t>and </w:t>
      </w:r>
      <w:r>
        <w:rPr>
          <w:rFonts w:ascii="Times New Roman"/>
          <w:i/>
          <w:sz w:val="20"/>
        </w:rPr>
        <w:t>VAR0SUM_X </w:t>
      </w:r>
      <w:r>
        <w:rPr>
          <w:sz w:val="20"/>
        </w:rPr>
        <w:t>are the default pulse generation sources. In this case, creep cannot be controlled since it is an MPU function.</w:t>
      </w:r>
    </w:p>
    <w:p>
      <w:pPr>
        <w:pStyle w:val="BodyText"/>
        <w:spacing w:before="121"/>
        <w:ind w:left="478"/>
      </w:pPr>
      <w:r>
        <w:rPr/>
        <w:t>The maximum pulse rate is 3*F</w:t>
      </w:r>
      <w:r>
        <w:rPr>
          <w:vertAlign w:val="subscript"/>
        </w:rPr>
        <w:t>S</w:t>
      </w:r>
      <w:r>
        <w:rPr>
          <w:vertAlign w:val="baseline"/>
        </w:rPr>
        <w:t> = 7.5 kHz.</w:t>
      </w:r>
    </w:p>
    <w:p>
      <w:pPr>
        <w:pStyle w:val="BodyText"/>
        <w:spacing w:before="115"/>
        <w:ind w:left="479"/>
      </w:pPr>
      <w:r>
        <w:rPr/>
        <w:t>See </w:t>
      </w:r>
      <w:hyperlink w:history="true" w:anchor="_bookmark35">
        <w:r>
          <w:rPr>
            <w:color w:val="0000FF"/>
          </w:rPr>
          <w:t>2.3.6.2 </w:t>
        </w:r>
      </w:hyperlink>
      <w:hyperlink w:history="true" w:anchor="_bookmark35">
        <w:r>
          <w:rPr>
            <w:color w:val="0000FF"/>
          </w:rPr>
          <w:t>VPULSE and WPULSE </w:t>
        </w:r>
      </w:hyperlink>
      <w:r>
        <w:rPr/>
        <w:t>(page </w:t>
      </w:r>
      <w:hyperlink w:history="true" w:anchor="_bookmark35">
        <w:r>
          <w:rPr>
            <w:color w:val="0000FF"/>
          </w:rPr>
          <w:t>27</w:t>
        </w:r>
      </w:hyperlink>
      <w:r>
        <w:rPr/>
        <w:t>) for details on how to adjust the timing of the output pulses.</w:t>
      </w:r>
    </w:p>
    <w:p>
      <w:pPr>
        <w:pStyle w:val="BodyText"/>
        <w:spacing w:line="232" w:lineRule="auto" w:before="121"/>
        <w:ind w:left="479" w:right="607"/>
      </w:pPr>
      <w:r>
        <w:rPr/>
        <w:t>The</w:t>
      </w:r>
      <w:r>
        <w:rPr>
          <w:spacing w:val="-7"/>
        </w:rPr>
        <w:t> </w:t>
      </w:r>
      <w:r>
        <w:rPr/>
        <w:t>maximum</w:t>
      </w:r>
      <w:r>
        <w:rPr>
          <w:spacing w:val="1"/>
        </w:rPr>
        <w:t> </w:t>
      </w:r>
      <w:r>
        <w:rPr/>
        <w:t>time</w:t>
      </w:r>
      <w:r>
        <w:rPr>
          <w:spacing w:val="-4"/>
        </w:rPr>
        <w:t> </w:t>
      </w:r>
      <w:r>
        <w:rPr/>
        <w:t>jitter</w:t>
      </w:r>
      <w:r>
        <w:rPr>
          <w:spacing w:val="-2"/>
        </w:rPr>
        <w:t> </w:t>
      </w:r>
      <w:r>
        <w:rPr/>
        <w:t>is</w:t>
      </w:r>
      <w:r>
        <w:rPr>
          <w:spacing w:val="1"/>
        </w:rPr>
        <w:t> </w:t>
      </w:r>
      <w:r>
        <w:rPr/>
        <w:t>1/6</w:t>
      </w:r>
      <w:r>
        <w:rPr>
          <w:spacing w:val="-4"/>
        </w:rPr>
        <w:t> </w:t>
      </w:r>
      <w:r>
        <w:rPr/>
        <w:t>of</w:t>
      </w:r>
      <w:r>
        <w:rPr>
          <w:spacing w:val="-1"/>
        </w:rPr>
        <w:t> </w:t>
      </w:r>
      <w:r>
        <w:rPr/>
        <w:t>the</w:t>
      </w:r>
      <w:r>
        <w:rPr>
          <w:spacing w:val="-4"/>
        </w:rPr>
        <w:t> </w:t>
      </w:r>
      <w:r>
        <w:rPr/>
        <w:t>multiplexer</w:t>
      </w:r>
      <w:r>
        <w:rPr>
          <w:spacing w:val="-2"/>
        </w:rPr>
        <w:t> </w:t>
      </w:r>
      <w:r>
        <w:rPr/>
        <w:t>cycle</w:t>
      </w:r>
      <w:r>
        <w:rPr>
          <w:spacing w:val="-2"/>
        </w:rPr>
        <w:t> </w:t>
      </w:r>
      <w:r>
        <w:rPr/>
        <w:t>period</w:t>
      </w:r>
      <w:r>
        <w:rPr>
          <w:spacing w:val="-3"/>
        </w:rPr>
        <w:t> </w:t>
      </w:r>
      <w:r>
        <w:rPr/>
        <w:t>(nominally</w:t>
      </w:r>
      <w:r>
        <w:rPr>
          <w:spacing w:val="-7"/>
        </w:rPr>
        <w:t> </w:t>
      </w:r>
      <w:r>
        <w:rPr/>
        <w:t>67</w:t>
      </w:r>
      <w:r>
        <w:rPr>
          <w:spacing w:val="-2"/>
        </w:rPr>
        <w:t> </w:t>
      </w:r>
      <w:r>
        <w:rPr/>
        <w:t>µs)</w:t>
      </w:r>
      <w:r>
        <w:rPr>
          <w:spacing w:val="-1"/>
        </w:rPr>
        <w:t> </w:t>
      </w:r>
      <w:r>
        <w:rPr/>
        <w:t>and</w:t>
      </w:r>
      <w:r>
        <w:rPr>
          <w:spacing w:val="-4"/>
        </w:rPr>
        <w:t> </w:t>
      </w:r>
      <w:r>
        <w:rPr/>
        <w:t>is</w:t>
      </w:r>
      <w:r>
        <w:rPr>
          <w:spacing w:val="-3"/>
        </w:rPr>
        <w:t> </w:t>
      </w:r>
      <w:r>
        <w:rPr/>
        <w:t>independent</w:t>
      </w:r>
      <w:r>
        <w:rPr>
          <w:spacing w:val="-3"/>
        </w:rPr>
        <w:t> </w:t>
      </w:r>
      <w:r>
        <w:rPr/>
        <w:t>of</w:t>
      </w:r>
      <w:r>
        <w:rPr>
          <w:spacing w:val="-2"/>
        </w:rPr>
        <w:t> </w:t>
      </w:r>
      <w:r>
        <w:rPr/>
        <w:t>the number of pulses measured. Thus, if the pulse generator is monitored for one second, the peak jitter is 67 ppm. After 10 seconds, the peak jitter is 6.7 ppm. The average jitter is always zero. If it is attempted to drive either pulse generator </w:t>
      </w:r>
      <w:r>
        <w:rPr>
          <w:spacing w:val="-2"/>
        </w:rPr>
        <w:t>faster </w:t>
      </w:r>
      <w:r>
        <w:rPr/>
        <w:t>than its maximum </w:t>
      </w:r>
      <w:r>
        <w:rPr>
          <w:spacing w:val="-3"/>
        </w:rPr>
        <w:t>rate, </w:t>
      </w:r>
      <w:r>
        <w:rPr/>
        <w:t>it simply outputs at its maximum rate </w:t>
      </w:r>
      <w:r>
        <w:rPr>
          <w:spacing w:val="-3"/>
        </w:rPr>
        <w:t>without </w:t>
      </w:r>
      <w:r>
        <w:rPr/>
        <w:t>exhibiting any rollover characteristics. The actual pulse rate, using </w:t>
      </w:r>
      <w:r>
        <w:rPr>
          <w:rFonts w:ascii="Times New Roman" w:hAnsi="Times New Roman"/>
          <w:i/>
        </w:rPr>
        <w:t>WSUM </w:t>
      </w:r>
      <w:r>
        <w:rPr/>
        <w:t>as an example,</w:t>
      </w:r>
      <w:r>
        <w:rPr>
          <w:spacing w:val="-18"/>
        </w:rPr>
        <w:t> </w:t>
      </w:r>
      <w:r>
        <w:rPr/>
        <w:t>is:</w:t>
      </w:r>
    </w:p>
    <w:p>
      <w:pPr>
        <w:pStyle w:val="BodyText"/>
        <w:spacing w:before="9"/>
        <w:rPr>
          <w:sz w:val="19"/>
        </w:rPr>
      </w:pPr>
    </w:p>
    <w:p>
      <w:pPr>
        <w:spacing w:line="180" w:lineRule="auto" w:before="0"/>
        <w:ind w:left="814" w:right="797" w:firstLine="0"/>
        <w:jc w:val="center"/>
        <w:rPr>
          <w:sz w:val="20"/>
        </w:rPr>
      </w:pPr>
      <w:r>
        <w:rPr/>
        <w:pict>
          <v:line style="position:absolute;mso-position-horizontal-relative:page;mso-position-vertical-relative:paragraph;z-index:-38728192" from="267.280609pt,13.858459pt" to="363.878565pt,13.858459pt" stroked="true" strokeweight=".435483pt" strokecolor="#000000">
            <v:stroke dashstyle="solid"/>
            <w10:wrap type="none"/>
          </v:line>
        </w:pict>
      </w:r>
      <w:r>
        <w:rPr>
          <w:rFonts w:ascii="Times New Roman" w:hAnsi="Times New Roman"/>
          <w:i/>
          <w:w w:val="95"/>
          <w:position w:val="-13"/>
          <w:sz w:val="21"/>
        </w:rPr>
        <w:t>RATE </w:t>
      </w:r>
      <w:r>
        <w:rPr>
          <w:rFonts w:ascii="Symbol" w:hAnsi="Symbol"/>
          <w:w w:val="95"/>
          <w:position w:val="-13"/>
          <w:sz w:val="21"/>
        </w:rPr>
        <w:t></w:t>
      </w:r>
      <w:r>
        <w:rPr>
          <w:rFonts w:ascii="Times New Roman" w:hAnsi="Times New Roman"/>
          <w:w w:val="95"/>
          <w:position w:val="-13"/>
          <w:sz w:val="21"/>
        </w:rPr>
        <w:t> </w:t>
      </w:r>
      <w:r>
        <w:rPr>
          <w:rFonts w:ascii="Times New Roman" w:hAnsi="Times New Roman"/>
          <w:i/>
          <w:w w:val="95"/>
          <w:sz w:val="21"/>
        </w:rPr>
        <w:t>WRATE </w:t>
      </w:r>
      <w:r>
        <w:rPr>
          <w:rFonts w:ascii="Symbol" w:hAnsi="Symbol"/>
          <w:w w:val="95"/>
          <w:sz w:val="21"/>
        </w:rPr>
        <w:t></w:t>
      </w:r>
      <w:r>
        <w:rPr>
          <w:rFonts w:ascii="Times New Roman" w:hAnsi="Times New Roman"/>
          <w:i/>
          <w:w w:val="95"/>
          <w:sz w:val="21"/>
        </w:rPr>
        <w:t>WSUM </w:t>
      </w:r>
      <w:r>
        <w:rPr>
          <w:rFonts w:ascii="Symbol" w:hAnsi="Symbol"/>
          <w:w w:val="90"/>
          <w:sz w:val="21"/>
        </w:rPr>
        <w:t></w:t>
      </w:r>
      <w:r>
        <w:rPr>
          <w:rFonts w:ascii="Times New Roman" w:hAnsi="Times New Roman"/>
          <w:w w:val="90"/>
          <w:sz w:val="21"/>
        </w:rPr>
        <w:t> </w:t>
      </w:r>
      <w:r>
        <w:rPr>
          <w:rFonts w:ascii="Times New Roman" w:hAnsi="Times New Roman"/>
          <w:i/>
          <w:w w:val="95"/>
          <w:sz w:val="21"/>
        </w:rPr>
        <w:t>F</w:t>
      </w:r>
      <w:r>
        <w:rPr>
          <w:rFonts w:ascii="Times New Roman" w:hAnsi="Times New Roman"/>
          <w:i/>
          <w:w w:val="95"/>
          <w:position w:val="-4"/>
          <w:sz w:val="12"/>
        </w:rPr>
        <w:t>S  </w:t>
      </w:r>
      <w:r>
        <w:rPr>
          <w:rFonts w:ascii="Symbol" w:hAnsi="Symbol"/>
          <w:w w:val="90"/>
          <w:sz w:val="21"/>
        </w:rPr>
        <w:t></w:t>
      </w:r>
      <w:r>
        <w:rPr>
          <w:rFonts w:ascii="Times New Roman" w:hAnsi="Times New Roman"/>
          <w:w w:val="90"/>
          <w:sz w:val="21"/>
        </w:rPr>
        <w:t> </w:t>
      </w:r>
      <w:r>
        <w:rPr>
          <w:rFonts w:ascii="Times New Roman" w:hAnsi="Times New Roman"/>
          <w:i/>
          <w:w w:val="95"/>
          <w:sz w:val="21"/>
        </w:rPr>
        <w:t>X </w:t>
      </w:r>
      <w:r>
        <w:rPr>
          <w:rFonts w:ascii="Times New Roman" w:hAnsi="Times New Roman"/>
          <w:i/>
          <w:w w:val="95"/>
          <w:position w:val="-13"/>
          <w:sz w:val="21"/>
        </w:rPr>
        <w:t>Hz </w:t>
      </w:r>
      <w:r>
        <w:rPr>
          <w:w w:val="95"/>
          <w:position w:val="-9"/>
          <w:sz w:val="20"/>
        </w:rPr>
        <w:t>,</w:t>
      </w:r>
    </w:p>
    <w:p>
      <w:pPr>
        <w:spacing w:line="81" w:lineRule="auto" w:before="25"/>
        <w:ind w:left="1105" w:right="762" w:firstLine="0"/>
        <w:jc w:val="center"/>
        <w:rPr>
          <w:rFonts w:ascii="Times New Roman"/>
          <w:sz w:val="12"/>
        </w:rPr>
      </w:pPr>
      <w:r>
        <w:rPr>
          <w:rFonts w:ascii="Times New Roman"/>
          <w:position w:val="-8"/>
          <w:sz w:val="21"/>
        </w:rPr>
        <w:t>2</w:t>
      </w:r>
      <w:r>
        <w:rPr>
          <w:rFonts w:ascii="Times New Roman"/>
          <w:sz w:val="12"/>
        </w:rPr>
        <w:t>46</w:t>
      </w:r>
    </w:p>
    <w:p>
      <w:pPr>
        <w:pStyle w:val="BodyText"/>
        <w:spacing w:line="224" w:lineRule="exact" w:before="199"/>
        <w:ind w:left="480"/>
      </w:pPr>
      <w:r>
        <w:rPr/>
        <w:t>where F</w:t>
      </w:r>
      <w:r>
        <w:rPr>
          <w:vertAlign w:val="subscript"/>
        </w:rPr>
        <w:t>S</w:t>
      </w:r>
      <w:r>
        <w:rPr>
          <w:vertAlign w:val="baseline"/>
        </w:rPr>
        <w:t> = sampling frequency (2184.53 Hz), X = Pulse speed factor derived from the CE variables</w:t>
      </w:r>
    </w:p>
    <w:p>
      <w:pPr>
        <w:spacing w:line="225" w:lineRule="exact" w:before="0"/>
        <w:ind w:left="480" w:right="0" w:firstLine="0"/>
        <w:jc w:val="left"/>
        <w:rPr>
          <w:sz w:val="20"/>
        </w:rPr>
      </w:pPr>
      <w:r>
        <w:rPr>
          <w:rFonts w:ascii="Times New Roman"/>
          <w:i/>
          <w:sz w:val="20"/>
        </w:rPr>
        <w:t>PULSE_SLOW (CE RAM 0x20[0]) </w:t>
      </w:r>
      <w:r>
        <w:rPr>
          <w:sz w:val="20"/>
        </w:rPr>
        <w:t>and </w:t>
      </w:r>
      <w:r>
        <w:rPr>
          <w:rFonts w:ascii="Times New Roman"/>
          <w:i/>
          <w:sz w:val="20"/>
        </w:rPr>
        <w:t>PULSE_FAST (CE RAM 0x20[1])</w:t>
      </w:r>
      <w:r>
        <w:rPr>
          <w:sz w:val="20"/>
        </w:rPr>
        <w:t>.</w:t>
      </w:r>
    </w:p>
    <w:p>
      <w:pPr>
        <w:spacing w:after="0" w:line="225" w:lineRule="exact"/>
        <w:jc w:val="left"/>
        <w:rPr>
          <w:sz w:val="20"/>
        </w:rPr>
        <w:sectPr>
          <w:pgSz w:w="12240" w:h="15840"/>
          <w:pgMar w:header="727" w:footer="819" w:top="1160" w:bottom="1000" w:left="960" w:right="940"/>
        </w:sectPr>
      </w:pPr>
    </w:p>
    <w:p>
      <w:pPr>
        <w:pStyle w:val="Heading1"/>
        <w:spacing w:before="87"/>
        <w:ind w:left="777" w:right="797"/>
      </w:pPr>
      <w:bookmarkStart w:name="_bookmark235" w:id="485"/>
      <w:bookmarkEnd w:id="485"/>
      <w:r>
        <w:rPr>
          <w:b w:val="0"/>
        </w:rPr>
      </w:r>
      <w:r>
        <w:rPr/>
        <w:t>Table 83: CE Pulse Generation Parameters</w:t>
      </w:r>
    </w:p>
    <w:p>
      <w:pPr>
        <w:pStyle w:val="BodyText"/>
        <w:spacing w:before="8"/>
        <w:rPr>
          <w:b/>
          <w:sz w:val="5"/>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1"/>
        <w:gridCol w:w="1541"/>
        <w:gridCol w:w="946"/>
        <w:gridCol w:w="5883"/>
      </w:tblGrid>
      <w:tr>
        <w:trPr>
          <w:trHeight w:val="525" w:hRule="atLeast"/>
        </w:trPr>
        <w:tc>
          <w:tcPr>
            <w:tcW w:w="991" w:type="dxa"/>
            <w:tcBorders>
              <w:bottom w:val="single" w:sz="6" w:space="0" w:color="000000"/>
              <w:right w:val="single" w:sz="6" w:space="0" w:color="000000"/>
            </w:tcBorders>
          </w:tcPr>
          <w:p>
            <w:pPr>
              <w:pStyle w:val="TableParagraph"/>
              <w:spacing w:line="227" w:lineRule="exact" w:before="30"/>
              <w:ind w:left="71" w:right="63"/>
              <w:jc w:val="center"/>
              <w:rPr>
                <w:b/>
                <w:sz w:val="20"/>
              </w:rPr>
            </w:pPr>
            <w:r>
              <w:rPr>
                <w:b/>
                <w:sz w:val="20"/>
              </w:rPr>
              <w:t>CE</w:t>
            </w:r>
          </w:p>
          <w:p>
            <w:pPr>
              <w:pStyle w:val="TableParagraph"/>
              <w:spacing w:line="227" w:lineRule="exact"/>
              <w:ind w:left="71" w:right="67"/>
              <w:jc w:val="center"/>
              <w:rPr>
                <w:b/>
                <w:sz w:val="20"/>
              </w:rPr>
            </w:pPr>
            <w:r>
              <w:rPr>
                <w:b/>
                <w:sz w:val="20"/>
              </w:rPr>
              <w:t>Address</w:t>
            </w:r>
          </w:p>
        </w:tc>
        <w:tc>
          <w:tcPr>
            <w:tcW w:w="1541" w:type="dxa"/>
            <w:tcBorders>
              <w:left w:val="single" w:sz="6" w:space="0" w:color="000000"/>
              <w:bottom w:val="single" w:sz="6" w:space="0" w:color="000000"/>
              <w:right w:val="single" w:sz="6" w:space="0" w:color="000000"/>
            </w:tcBorders>
          </w:tcPr>
          <w:p>
            <w:pPr>
              <w:pStyle w:val="TableParagraph"/>
              <w:spacing w:before="141"/>
              <w:ind w:left="494"/>
              <w:rPr>
                <w:b/>
                <w:sz w:val="20"/>
              </w:rPr>
            </w:pPr>
            <w:r>
              <w:rPr>
                <w:b/>
                <w:sz w:val="20"/>
              </w:rPr>
              <w:t>Name</w:t>
            </w:r>
          </w:p>
        </w:tc>
        <w:tc>
          <w:tcPr>
            <w:tcW w:w="946" w:type="dxa"/>
            <w:tcBorders>
              <w:left w:val="single" w:sz="6" w:space="0" w:color="000000"/>
              <w:bottom w:val="single" w:sz="6" w:space="0" w:color="000000"/>
              <w:right w:val="single" w:sz="6" w:space="0" w:color="000000"/>
            </w:tcBorders>
          </w:tcPr>
          <w:p>
            <w:pPr>
              <w:pStyle w:val="TableParagraph"/>
              <w:spacing w:before="141"/>
              <w:ind w:left="110" w:right="102"/>
              <w:jc w:val="center"/>
              <w:rPr>
                <w:b/>
                <w:sz w:val="20"/>
              </w:rPr>
            </w:pPr>
            <w:r>
              <w:rPr>
                <w:b/>
                <w:sz w:val="20"/>
              </w:rPr>
              <w:t>Default</w:t>
            </w:r>
          </w:p>
        </w:tc>
        <w:tc>
          <w:tcPr>
            <w:tcW w:w="5883" w:type="dxa"/>
            <w:tcBorders>
              <w:left w:val="single" w:sz="6" w:space="0" w:color="000000"/>
              <w:bottom w:val="single" w:sz="6" w:space="0" w:color="000000"/>
            </w:tcBorders>
          </w:tcPr>
          <w:p>
            <w:pPr>
              <w:pStyle w:val="TableParagraph"/>
              <w:spacing w:before="141"/>
              <w:ind w:left="2366" w:right="2364"/>
              <w:jc w:val="center"/>
              <w:rPr>
                <w:b/>
                <w:sz w:val="20"/>
              </w:rPr>
            </w:pPr>
            <w:r>
              <w:rPr>
                <w:b/>
                <w:sz w:val="20"/>
              </w:rPr>
              <w:t>Description</w:t>
            </w:r>
          </w:p>
        </w:tc>
      </w:tr>
      <w:tr>
        <w:trPr>
          <w:trHeight w:val="995" w:hRule="atLeast"/>
        </w:trPr>
        <w:tc>
          <w:tcPr>
            <w:tcW w:w="991" w:type="dxa"/>
            <w:tcBorders>
              <w:top w:val="single" w:sz="6" w:space="0" w:color="000000"/>
              <w:bottom w:val="single" w:sz="6" w:space="0" w:color="000000"/>
              <w:right w:val="single" w:sz="6" w:space="0" w:color="000000"/>
            </w:tcBorders>
          </w:tcPr>
          <w:p>
            <w:pPr>
              <w:pStyle w:val="TableParagraph"/>
              <w:rPr>
                <w:b/>
                <w:sz w:val="22"/>
              </w:rPr>
            </w:pPr>
          </w:p>
          <w:p>
            <w:pPr>
              <w:pStyle w:val="TableParagraph"/>
              <w:spacing w:before="128"/>
              <w:ind w:left="71" w:right="67"/>
              <w:jc w:val="center"/>
              <w:rPr>
                <w:sz w:val="20"/>
              </w:rPr>
            </w:pPr>
            <w:r>
              <w:rPr>
                <w:sz w:val="20"/>
              </w:rPr>
              <w:t>0x21</w:t>
            </w:r>
          </w:p>
        </w:tc>
        <w:tc>
          <w:tcPr>
            <w:tcW w:w="1541" w:type="dxa"/>
            <w:tcBorders>
              <w:top w:val="single" w:sz="6" w:space="0" w:color="000000"/>
              <w:left w:val="single" w:sz="6" w:space="0" w:color="000000"/>
              <w:bottom w:val="single" w:sz="6" w:space="0" w:color="000000"/>
              <w:right w:val="single" w:sz="6" w:space="0" w:color="000000"/>
            </w:tcBorders>
          </w:tcPr>
          <w:p>
            <w:pPr>
              <w:pStyle w:val="TableParagraph"/>
              <w:spacing w:before="9"/>
              <w:rPr>
                <w:b/>
                <w:sz w:val="32"/>
              </w:rPr>
            </w:pPr>
          </w:p>
          <w:p>
            <w:pPr>
              <w:pStyle w:val="TableParagraph"/>
              <w:ind w:left="446"/>
              <w:rPr>
                <w:rFonts w:ascii="Times New Roman"/>
                <w:i/>
                <w:sz w:val="20"/>
              </w:rPr>
            </w:pPr>
            <w:r>
              <w:rPr>
                <w:rFonts w:ascii="Times New Roman"/>
                <w:i/>
                <w:sz w:val="20"/>
              </w:rPr>
              <w:t>WRATE</w:t>
            </w:r>
          </w:p>
        </w:tc>
        <w:tc>
          <w:tcPr>
            <w:tcW w:w="94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128"/>
              <w:ind w:left="110" w:right="101"/>
              <w:jc w:val="center"/>
              <w:rPr>
                <w:sz w:val="20"/>
              </w:rPr>
            </w:pPr>
            <w:r>
              <w:rPr>
                <w:sz w:val="20"/>
              </w:rPr>
              <w:t>227</w:t>
            </w:r>
          </w:p>
        </w:tc>
        <w:tc>
          <w:tcPr>
            <w:tcW w:w="5883" w:type="dxa"/>
            <w:tcBorders>
              <w:top w:val="single" w:sz="6" w:space="0" w:color="000000"/>
              <w:left w:val="single" w:sz="6" w:space="0" w:color="000000"/>
              <w:bottom w:val="single" w:sz="6" w:space="0" w:color="000000"/>
            </w:tcBorders>
          </w:tcPr>
          <w:p>
            <w:pPr>
              <w:pStyle w:val="TableParagraph"/>
              <w:spacing w:line="256" w:lineRule="auto" w:before="13"/>
              <w:ind w:left="104" w:right="1387"/>
              <w:rPr>
                <w:sz w:val="20"/>
              </w:rPr>
            </w:pPr>
            <w:r>
              <w:rPr>
                <w:sz w:val="20"/>
              </w:rPr>
              <w:t>Kh = VMAX*IMAX*K </w:t>
            </w:r>
            <w:r>
              <w:rPr>
                <w:i/>
                <w:sz w:val="20"/>
              </w:rPr>
              <w:t>/ </w:t>
            </w:r>
            <w:r>
              <w:rPr>
                <w:sz w:val="20"/>
              </w:rPr>
              <w:t>(</w:t>
            </w:r>
            <w:r>
              <w:rPr>
                <w:rFonts w:ascii="Times New Roman"/>
                <w:i/>
                <w:sz w:val="20"/>
              </w:rPr>
              <w:t>WRATE</w:t>
            </w:r>
            <w:r>
              <w:rPr>
                <w:sz w:val="20"/>
              </w:rPr>
              <w:t>*N</w:t>
            </w:r>
            <w:r>
              <w:rPr>
                <w:sz w:val="20"/>
                <w:vertAlign w:val="subscript"/>
              </w:rPr>
              <w:t>ACC</w:t>
            </w:r>
            <w:r>
              <w:rPr>
                <w:sz w:val="20"/>
                <w:vertAlign w:val="baseline"/>
              </w:rPr>
              <w:t>*X) Wh/pulse where:</w:t>
            </w:r>
          </w:p>
          <w:p>
            <w:pPr>
              <w:pStyle w:val="TableParagraph"/>
              <w:spacing w:line="227" w:lineRule="exact"/>
              <w:ind w:left="104"/>
              <w:rPr>
                <w:sz w:val="20"/>
              </w:rPr>
            </w:pPr>
            <w:r>
              <w:rPr>
                <w:sz w:val="20"/>
              </w:rPr>
              <w:t>K = 76.3594 when used with local sensors (CT or shunt)</w:t>
            </w:r>
          </w:p>
          <w:p>
            <w:pPr>
              <w:pStyle w:val="TableParagraph"/>
              <w:spacing w:line="230" w:lineRule="exact" w:before="13"/>
              <w:ind w:left="104"/>
              <w:rPr>
                <w:sz w:val="20"/>
              </w:rPr>
            </w:pPr>
            <w:r>
              <w:rPr>
                <w:sz w:val="20"/>
              </w:rPr>
              <w:t>K = 54.5793 when used with 71M6xx3 remote sensors</w:t>
            </w:r>
          </w:p>
        </w:tc>
      </w:tr>
      <w:tr>
        <w:trPr>
          <w:trHeight w:val="263" w:hRule="atLeast"/>
        </w:trPr>
        <w:tc>
          <w:tcPr>
            <w:tcW w:w="991" w:type="dxa"/>
            <w:tcBorders>
              <w:top w:val="single" w:sz="6" w:space="0" w:color="000000"/>
              <w:bottom w:val="single" w:sz="6" w:space="0" w:color="000000"/>
              <w:right w:val="single" w:sz="6" w:space="0" w:color="000000"/>
            </w:tcBorders>
          </w:tcPr>
          <w:p>
            <w:pPr>
              <w:pStyle w:val="TableParagraph"/>
              <w:spacing w:line="230" w:lineRule="exact" w:before="13"/>
              <w:ind w:left="71" w:right="67"/>
              <w:jc w:val="center"/>
              <w:rPr>
                <w:sz w:val="20"/>
              </w:rPr>
            </w:pPr>
            <w:r>
              <w:rPr>
                <w:sz w:val="20"/>
              </w:rPr>
              <w:t>0x22</w:t>
            </w:r>
          </w:p>
        </w:tc>
        <w:tc>
          <w:tcPr>
            <w:tcW w:w="1541" w:type="dxa"/>
            <w:tcBorders>
              <w:top w:val="single" w:sz="6" w:space="0" w:color="000000"/>
              <w:left w:val="single" w:sz="6" w:space="0" w:color="000000"/>
              <w:bottom w:val="single" w:sz="6" w:space="0" w:color="000000"/>
              <w:right w:val="single" w:sz="6" w:space="0" w:color="000000"/>
            </w:tcBorders>
          </w:tcPr>
          <w:p>
            <w:pPr>
              <w:pStyle w:val="TableParagraph"/>
              <w:spacing w:before="9"/>
              <w:ind w:left="497" w:right="489"/>
              <w:jc w:val="center"/>
              <w:rPr>
                <w:rFonts w:ascii="Times New Roman"/>
                <w:i/>
                <w:sz w:val="20"/>
              </w:rPr>
            </w:pPr>
            <w:r>
              <w:rPr>
                <w:rFonts w:ascii="Times New Roman"/>
                <w:i/>
                <w:sz w:val="20"/>
              </w:rPr>
              <w:t>KVAR</w:t>
            </w:r>
          </w:p>
        </w:tc>
        <w:tc>
          <w:tcPr>
            <w:tcW w:w="946"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3"/>
              <w:ind w:left="110" w:right="101"/>
              <w:jc w:val="center"/>
              <w:rPr>
                <w:sz w:val="20"/>
              </w:rPr>
            </w:pPr>
            <w:r>
              <w:rPr>
                <w:sz w:val="20"/>
              </w:rPr>
              <w:t>6444</w:t>
            </w:r>
          </w:p>
        </w:tc>
        <w:tc>
          <w:tcPr>
            <w:tcW w:w="5883" w:type="dxa"/>
            <w:tcBorders>
              <w:top w:val="single" w:sz="6" w:space="0" w:color="000000"/>
              <w:left w:val="single" w:sz="6" w:space="0" w:color="000000"/>
              <w:bottom w:val="single" w:sz="6" w:space="0" w:color="000000"/>
            </w:tcBorders>
          </w:tcPr>
          <w:p>
            <w:pPr>
              <w:pStyle w:val="TableParagraph"/>
              <w:spacing w:line="230" w:lineRule="exact" w:before="13"/>
              <w:ind w:left="104"/>
              <w:rPr>
                <w:sz w:val="20"/>
              </w:rPr>
            </w:pPr>
            <w:r>
              <w:rPr>
                <w:sz w:val="20"/>
              </w:rPr>
              <w:t>Scale factor for VAR measurement.</w:t>
            </w:r>
          </w:p>
        </w:tc>
      </w:tr>
      <w:tr>
        <w:trPr>
          <w:trHeight w:val="486" w:hRule="atLeast"/>
        </w:trPr>
        <w:tc>
          <w:tcPr>
            <w:tcW w:w="991" w:type="dxa"/>
            <w:tcBorders>
              <w:top w:val="single" w:sz="6" w:space="0" w:color="000000"/>
              <w:bottom w:val="single" w:sz="6" w:space="0" w:color="000000"/>
              <w:right w:val="single" w:sz="6" w:space="0" w:color="000000"/>
            </w:tcBorders>
          </w:tcPr>
          <w:p>
            <w:pPr>
              <w:pStyle w:val="TableParagraph"/>
              <w:spacing w:before="126"/>
              <w:ind w:left="71" w:right="67"/>
              <w:jc w:val="center"/>
              <w:rPr>
                <w:sz w:val="20"/>
              </w:rPr>
            </w:pPr>
            <w:r>
              <w:rPr>
                <w:sz w:val="20"/>
              </w:rPr>
              <w:t>0x23</w:t>
            </w:r>
          </w:p>
        </w:tc>
        <w:tc>
          <w:tcPr>
            <w:tcW w:w="1541" w:type="dxa"/>
            <w:tcBorders>
              <w:top w:val="single" w:sz="6" w:space="0" w:color="000000"/>
              <w:left w:val="single" w:sz="6" w:space="0" w:color="000000"/>
              <w:bottom w:val="single" w:sz="6" w:space="0" w:color="000000"/>
              <w:right w:val="single" w:sz="6" w:space="0" w:color="000000"/>
            </w:tcBorders>
          </w:tcPr>
          <w:p>
            <w:pPr>
              <w:pStyle w:val="TableParagraph"/>
              <w:spacing w:before="122"/>
              <w:ind w:left="328"/>
              <w:rPr>
                <w:rFonts w:ascii="Times New Roman"/>
                <w:i/>
                <w:sz w:val="20"/>
              </w:rPr>
            </w:pPr>
            <w:r>
              <w:rPr>
                <w:rFonts w:ascii="Times New Roman"/>
                <w:i/>
                <w:sz w:val="20"/>
              </w:rPr>
              <w:t>SUM_PRE</w:t>
            </w:r>
          </w:p>
        </w:tc>
        <w:tc>
          <w:tcPr>
            <w:tcW w:w="946" w:type="dxa"/>
            <w:tcBorders>
              <w:top w:val="single" w:sz="6" w:space="0" w:color="000000"/>
              <w:left w:val="single" w:sz="6" w:space="0" w:color="000000"/>
              <w:bottom w:val="single" w:sz="6" w:space="0" w:color="000000"/>
              <w:right w:val="single" w:sz="6" w:space="0" w:color="000000"/>
            </w:tcBorders>
          </w:tcPr>
          <w:p>
            <w:pPr>
              <w:pStyle w:val="TableParagraph"/>
              <w:spacing w:before="126"/>
              <w:ind w:left="110" w:right="101"/>
              <w:jc w:val="center"/>
              <w:rPr>
                <w:sz w:val="20"/>
              </w:rPr>
            </w:pPr>
            <w:r>
              <w:rPr>
                <w:sz w:val="20"/>
              </w:rPr>
              <w:t>2184</w:t>
            </w:r>
          </w:p>
        </w:tc>
        <w:tc>
          <w:tcPr>
            <w:tcW w:w="5883" w:type="dxa"/>
            <w:tcBorders>
              <w:top w:val="single" w:sz="6" w:space="0" w:color="000000"/>
              <w:left w:val="single" w:sz="6" w:space="0" w:color="000000"/>
              <w:bottom w:val="single" w:sz="6" w:space="0" w:color="000000"/>
            </w:tcBorders>
          </w:tcPr>
          <w:p>
            <w:pPr>
              <w:pStyle w:val="TableParagraph"/>
              <w:spacing w:line="224" w:lineRule="exact" w:before="13"/>
              <w:ind w:left="104"/>
              <w:rPr>
                <w:sz w:val="20"/>
              </w:rPr>
            </w:pPr>
            <w:r>
              <w:rPr>
                <w:sz w:val="20"/>
              </w:rPr>
              <w:t>Number of samples per accumulation interval, as specified</w:t>
            </w:r>
            <w:r>
              <w:rPr>
                <w:spacing w:val="-33"/>
                <w:sz w:val="20"/>
              </w:rPr>
              <w:t> </w:t>
            </w:r>
            <w:r>
              <w:rPr>
                <w:sz w:val="20"/>
              </w:rPr>
              <w:t>in</w:t>
            </w:r>
          </w:p>
          <w:p>
            <w:pPr>
              <w:pStyle w:val="TableParagraph"/>
              <w:spacing w:line="225" w:lineRule="exact"/>
              <w:ind w:left="104"/>
              <w:rPr>
                <w:sz w:val="20"/>
              </w:rPr>
            </w:pPr>
            <w:r>
              <w:rPr>
                <w:rFonts w:ascii="Times New Roman"/>
                <w:i/>
                <w:sz w:val="20"/>
              </w:rPr>
              <w:t>SUM_SAMPS[12:0], I/O RAM 0x2107[4:0], 0x2108[7:0]</w:t>
            </w:r>
            <w:r>
              <w:rPr>
                <w:rFonts w:ascii="Times New Roman"/>
                <w:i/>
                <w:spacing w:val="31"/>
                <w:sz w:val="20"/>
              </w:rPr>
              <w:t> </w:t>
            </w:r>
            <w:r>
              <w:rPr>
                <w:sz w:val="20"/>
              </w:rPr>
              <w:t>(N</w:t>
            </w:r>
            <w:r>
              <w:rPr>
                <w:sz w:val="20"/>
                <w:vertAlign w:val="subscript"/>
              </w:rPr>
              <w:t>ACC</w:t>
            </w:r>
            <w:r>
              <w:rPr>
                <w:sz w:val="20"/>
                <w:vertAlign w:val="baseline"/>
              </w:rPr>
              <w:t>).</w:t>
            </w:r>
          </w:p>
        </w:tc>
      </w:tr>
      <w:tr>
        <w:trPr>
          <w:trHeight w:val="1460" w:hRule="atLeast"/>
        </w:trPr>
        <w:tc>
          <w:tcPr>
            <w:tcW w:w="991" w:type="dxa"/>
            <w:tcBorders>
              <w:top w:val="single" w:sz="6" w:space="0" w:color="000000"/>
              <w:bottom w:val="single" w:sz="6" w:space="0" w:color="000000"/>
              <w:right w:val="single" w:sz="6" w:space="0" w:color="000000"/>
            </w:tcBorders>
          </w:tcPr>
          <w:p>
            <w:pPr>
              <w:pStyle w:val="TableParagraph"/>
              <w:rPr>
                <w:b/>
                <w:sz w:val="22"/>
              </w:rPr>
            </w:pPr>
          </w:p>
          <w:p>
            <w:pPr>
              <w:pStyle w:val="TableParagraph"/>
              <w:spacing w:before="4"/>
              <w:rPr>
                <w:b/>
                <w:sz w:val="31"/>
              </w:rPr>
            </w:pPr>
          </w:p>
          <w:p>
            <w:pPr>
              <w:pStyle w:val="TableParagraph"/>
              <w:ind w:left="71" w:right="66"/>
              <w:jc w:val="center"/>
              <w:rPr>
                <w:sz w:val="20"/>
              </w:rPr>
            </w:pPr>
            <w:r>
              <w:rPr>
                <w:sz w:val="20"/>
              </w:rPr>
              <w:t>0x45</w:t>
            </w:r>
          </w:p>
        </w:tc>
        <w:tc>
          <w:tcPr>
            <w:tcW w:w="154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rPr>
                <w:b/>
                <w:sz w:val="31"/>
              </w:rPr>
            </w:pPr>
          </w:p>
          <w:p>
            <w:pPr>
              <w:pStyle w:val="TableParagraph"/>
              <w:ind w:left="323"/>
              <w:rPr>
                <w:rFonts w:ascii="Times New Roman"/>
                <w:i/>
                <w:sz w:val="20"/>
              </w:rPr>
            </w:pPr>
            <w:r>
              <w:rPr>
                <w:rFonts w:ascii="Times New Roman"/>
                <w:i/>
                <w:sz w:val="20"/>
              </w:rPr>
              <w:t>APULSEW</w:t>
            </w:r>
          </w:p>
        </w:tc>
        <w:tc>
          <w:tcPr>
            <w:tcW w:w="946"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spacing w:before="4"/>
              <w:rPr>
                <w:b/>
                <w:sz w:val="31"/>
              </w:rPr>
            </w:pPr>
          </w:p>
          <w:p>
            <w:pPr>
              <w:pStyle w:val="TableParagraph"/>
              <w:ind w:left="9"/>
              <w:jc w:val="center"/>
              <w:rPr>
                <w:sz w:val="20"/>
              </w:rPr>
            </w:pPr>
            <w:r>
              <w:rPr>
                <w:w w:val="99"/>
                <w:sz w:val="20"/>
              </w:rPr>
              <w:t>0</w:t>
            </w:r>
          </w:p>
        </w:tc>
        <w:tc>
          <w:tcPr>
            <w:tcW w:w="5883" w:type="dxa"/>
            <w:tcBorders>
              <w:top w:val="single" w:sz="6" w:space="0" w:color="000000"/>
              <w:left w:val="single" w:sz="6" w:space="0" w:color="000000"/>
              <w:bottom w:val="single" w:sz="6" w:space="0" w:color="000000"/>
            </w:tcBorders>
          </w:tcPr>
          <w:p>
            <w:pPr>
              <w:pStyle w:val="TableParagraph"/>
              <w:spacing w:line="252" w:lineRule="auto" w:before="13"/>
              <w:ind w:left="104" w:right="119"/>
              <w:jc w:val="both"/>
              <w:rPr>
                <w:sz w:val="20"/>
              </w:rPr>
            </w:pPr>
            <w:r>
              <w:rPr>
                <w:sz w:val="20"/>
              </w:rPr>
              <w:t>Wh pulse (WPULSE) generator input to be updated by the MPU when using external pulse generation. The output pulse rate is: </w:t>
            </w:r>
            <w:r>
              <w:rPr>
                <w:rFonts w:ascii="Times New Roman"/>
                <w:i/>
                <w:sz w:val="20"/>
              </w:rPr>
              <w:t>APULSEW </w:t>
            </w:r>
            <w:r>
              <w:rPr>
                <w:sz w:val="20"/>
              </w:rPr>
              <w:t>* F</w:t>
            </w:r>
            <w:r>
              <w:rPr>
                <w:sz w:val="20"/>
                <w:vertAlign w:val="subscript"/>
              </w:rPr>
              <w:t>S</w:t>
            </w:r>
            <w:r>
              <w:rPr>
                <w:sz w:val="20"/>
                <w:vertAlign w:val="baseline"/>
              </w:rPr>
              <w:t> * 2</w:t>
            </w:r>
            <w:r>
              <w:rPr>
                <w:sz w:val="20"/>
                <w:vertAlign w:val="superscript"/>
              </w:rPr>
              <w:t>-32</w:t>
            </w:r>
            <w:r>
              <w:rPr>
                <w:sz w:val="20"/>
                <w:vertAlign w:val="baseline"/>
              </w:rPr>
              <w:t> * </w:t>
            </w:r>
            <w:r>
              <w:rPr>
                <w:rFonts w:ascii="Times New Roman"/>
                <w:i/>
                <w:sz w:val="20"/>
                <w:vertAlign w:val="baseline"/>
              </w:rPr>
              <w:t>WRATE </w:t>
            </w:r>
            <w:r>
              <w:rPr>
                <w:i/>
                <w:sz w:val="20"/>
                <w:vertAlign w:val="baseline"/>
              </w:rPr>
              <w:t>* X </w:t>
            </w:r>
            <w:r>
              <w:rPr>
                <w:sz w:val="20"/>
                <w:vertAlign w:val="baseline"/>
              </w:rPr>
              <w:t>* 2</w:t>
            </w:r>
            <w:r>
              <w:rPr>
                <w:sz w:val="20"/>
                <w:vertAlign w:val="superscript"/>
              </w:rPr>
              <w:t>-14</w:t>
            </w:r>
            <w:r>
              <w:rPr>
                <w:sz w:val="20"/>
                <w:vertAlign w:val="baseline"/>
              </w:rPr>
              <w:t>.</w:t>
            </w:r>
          </w:p>
          <w:p>
            <w:pPr>
              <w:pStyle w:val="TableParagraph"/>
              <w:spacing w:line="232" w:lineRule="auto" w:before="32"/>
              <w:ind w:left="104" w:right="207"/>
              <w:jc w:val="both"/>
              <w:rPr>
                <w:sz w:val="20"/>
              </w:rPr>
            </w:pPr>
            <w:r>
              <w:rPr>
                <w:sz w:val="20"/>
              </w:rPr>
              <w:t>This input is buffered and can be updated by the MPU during</w:t>
            </w:r>
            <w:r>
              <w:rPr>
                <w:spacing w:val="-27"/>
                <w:sz w:val="20"/>
              </w:rPr>
              <w:t> </w:t>
            </w:r>
            <w:r>
              <w:rPr>
                <w:sz w:val="20"/>
              </w:rPr>
              <w:t>a conversion</w:t>
            </w:r>
            <w:r>
              <w:rPr>
                <w:spacing w:val="-12"/>
                <w:sz w:val="20"/>
              </w:rPr>
              <w:t> </w:t>
            </w:r>
            <w:r>
              <w:rPr>
                <w:spacing w:val="-3"/>
                <w:sz w:val="20"/>
              </w:rPr>
              <w:t>interval.</w:t>
            </w:r>
            <w:r>
              <w:rPr>
                <w:spacing w:val="34"/>
                <w:sz w:val="20"/>
              </w:rPr>
              <w:t> </w:t>
            </w:r>
            <w:r>
              <w:rPr>
                <w:sz w:val="20"/>
              </w:rPr>
              <w:t>The</w:t>
            </w:r>
            <w:r>
              <w:rPr>
                <w:spacing w:val="-14"/>
                <w:sz w:val="20"/>
              </w:rPr>
              <w:t> </w:t>
            </w:r>
            <w:r>
              <w:rPr>
                <w:sz w:val="20"/>
              </w:rPr>
              <w:t>change</w:t>
            </w:r>
            <w:r>
              <w:rPr>
                <w:spacing w:val="-12"/>
                <w:sz w:val="20"/>
              </w:rPr>
              <w:t> </w:t>
            </w:r>
            <w:r>
              <w:rPr>
                <w:sz w:val="20"/>
              </w:rPr>
              <w:t>takes</w:t>
            </w:r>
            <w:r>
              <w:rPr>
                <w:spacing w:val="-11"/>
                <w:sz w:val="20"/>
              </w:rPr>
              <w:t> </w:t>
            </w:r>
            <w:r>
              <w:rPr>
                <w:sz w:val="20"/>
              </w:rPr>
              <w:t>effect</w:t>
            </w:r>
            <w:r>
              <w:rPr>
                <w:spacing w:val="-14"/>
                <w:sz w:val="20"/>
              </w:rPr>
              <w:t> </w:t>
            </w:r>
            <w:r>
              <w:rPr>
                <w:sz w:val="20"/>
              </w:rPr>
              <w:t>at</w:t>
            </w:r>
            <w:r>
              <w:rPr>
                <w:spacing w:val="-13"/>
                <w:sz w:val="20"/>
              </w:rPr>
              <w:t> </w:t>
            </w:r>
            <w:r>
              <w:rPr>
                <w:sz w:val="20"/>
              </w:rPr>
              <w:t>the</w:t>
            </w:r>
            <w:r>
              <w:rPr>
                <w:spacing w:val="-12"/>
                <w:sz w:val="20"/>
              </w:rPr>
              <w:t> </w:t>
            </w:r>
            <w:r>
              <w:rPr>
                <w:sz w:val="20"/>
              </w:rPr>
              <w:t>beginning</w:t>
            </w:r>
            <w:r>
              <w:rPr>
                <w:spacing w:val="-14"/>
                <w:sz w:val="20"/>
              </w:rPr>
              <w:t> </w:t>
            </w:r>
            <w:r>
              <w:rPr>
                <w:sz w:val="20"/>
              </w:rPr>
              <w:t>of the next</w:t>
            </w:r>
            <w:r>
              <w:rPr>
                <w:spacing w:val="-3"/>
                <w:sz w:val="20"/>
              </w:rPr>
              <w:t> </w:t>
            </w:r>
            <w:r>
              <w:rPr>
                <w:sz w:val="20"/>
              </w:rPr>
              <w:t>interval.</w:t>
            </w:r>
          </w:p>
        </w:tc>
      </w:tr>
      <w:tr>
        <w:trPr>
          <w:trHeight w:val="263" w:hRule="atLeast"/>
        </w:trPr>
        <w:tc>
          <w:tcPr>
            <w:tcW w:w="991" w:type="dxa"/>
            <w:tcBorders>
              <w:top w:val="single" w:sz="6" w:space="0" w:color="000000"/>
              <w:bottom w:val="single" w:sz="6" w:space="0" w:color="000000"/>
              <w:right w:val="single" w:sz="6" w:space="0" w:color="000000"/>
            </w:tcBorders>
          </w:tcPr>
          <w:p>
            <w:pPr>
              <w:pStyle w:val="TableParagraph"/>
              <w:spacing w:line="230" w:lineRule="exact" w:before="13"/>
              <w:ind w:left="71" w:right="66"/>
              <w:jc w:val="center"/>
              <w:rPr>
                <w:sz w:val="20"/>
              </w:rPr>
            </w:pPr>
            <w:r>
              <w:rPr>
                <w:sz w:val="20"/>
              </w:rPr>
              <w:t>0x46</w:t>
            </w:r>
          </w:p>
        </w:tc>
        <w:tc>
          <w:tcPr>
            <w:tcW w:w="1541" w:type="dxa"/>
            <w:tcBorders>
              <w:top w:val="single" w:sz="6" w:space="0" w:color="000000"/>
              <w:left w:val="single" w:sz="6" w:space="0" w:color="000000"/>
              <w:bottom w:val="single" w:sz="6" w:space="0" w:color="000000"/>
              <w:right w:val="single" w:sz="6" w:space="0" w:color="000000"/>
            </w:tcBorders>
          </w:tcPr>
          <w:p>
            <w:pPr>
              <w:pStyle w:val="TableParagraph"/>
              <w:spacing w:before="9"/>
              <w:ind w:right="143"/>
              <w:jc w:val="right"/>
              <w:rPr>
                <w:rFonts w:ascii="Times New Roman"/>
                <w:i/>
                <w:sz w:val="20"/>
              </w:rPr>
            </w:pPr>
            <w:r>
              <w:rPr>
                <w:rFonts w:ascii="Times New Roman"/>
                <w:i/>
                <w:sz w:val="20"/>
              </w:rPr>
              <w:t>WPULSE_CTR</w:t>
            </w:r>
          </w:p>
        </w:tc>
        <w:tc>
          <w:tcPr>
            <w:tcW w:w="946"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3"/>
              <w:ind w:left="9"/>
              <w:jc w:val="center"/>
              <w:rPr>
                <w:sz w:val="20"/>
              </w:rPr>
            </w:pPr>
            <w:r>
              <w:rPr>
                <w:w w:val="99"/>
                <w:sz w:val="20"/>
              </w:rPr>
              <w:t>0</w:t>
            </w:r>
          </w:p>
        </w:tc>
        <w:tc>
          <w:tcPr>
            <w:tcW w:w="5883" w:type="dxa"/>
            <w:tcBorders>
              <w:top w:val="single" w:sz="6" w:space="0" w:color="000000"/>
              <w:left w:val="single" w:sz="6" w:space="0" w:color="000000"/>
              <w:bottom w:val="single" w:sz="6" w:space="0" w:color="000000"/>
            </w:tcBorders>
          </w:tcPr>
          <w:p>
            <w:pPr>
              <w:pStyle w:val="TableParagraph"/>
              <w:spacing w:line="230" w:lineRule="exact" w:before="13"/>
              <w:ind w:left="104"/>
              <w:rPr>
                <w:sz w:val="20"/>
              </w:rPr>
            </w:pPr>
            <w:r>
              <w:rPr>
                <w:sz w:val="20"/>
              </w:rPr>
              <w:t>Counter for WPULSE output.</w:t>
            </w:r>
          </w:p>
        </w:tc>
      </w:tr>
      <w:tr>
        <w:trPr>
          <w:trHeight w:val="488" w:hRule="atLeast"/>
        </w:trPr>
        <w:tc>
          <w:tcPr>
            <w:tcW w:w="991" w:type="dxa"/>
            <w:tcBorders>
              <w:top w:val="single" w:sz="6" w:space="0" w:color="000000"/>
              <w:bottom w:val="single" w:sz="6" w:space="0" w:color="000000"/>
              <w:right w:val="single" w:sz="6" w:space="0" w:color="000000"/>
            </w:tcBorders>
          </w:tcPr>
          <w:p>
            <w:pPr>
              <w:pStyle w:val="TableParagraph"/>
              <w:spacing w:before="126"/>
              <w:ind w:left="71" w:right="66"/>
              <w:jc w:val="center"/>
              <w:rPr>
                <w:sz w:val="20"/>
              </w:rPr>
            </w:pPr>
            <w:r>
              <w:rPr>
                <w:sz w:val="20"/>
              </w:rPr>
              <w:t>0x47</w:t>
            </w:r>
          </w:p>
        </w:tc>
        <w:tc>
          <w:tcPr>
            <w:tcW w:w="1541" w:type="dxa"/>
            <w:tcBorders>
              <w:top w:val="single" w:sz="6" w:space="0" w:color="000000"/>
              <w:left w:val="single" w:sz="6" w:space="0" w:color="000000"/>
              <w:bottom w:val="single" w:sz="6" w:space="0" w:color="000000"/>
              <w:right w:val="single" w:sz="6" w:space="0" w:color="000000"/>
            </w:tcBorders>
          </w:tcPr>
          <w:p>
            <w:pPr>
              <w:pStyle w:val="TableParagraph"/>
              <w:spacing w:before="122"/>
              <w:ind w:right="71"/>
              <w:jc w:val="right"/>
              <w:rPr>
                <w:rFonts w:ascii="Times New Roman"/>
                <w:i/>
                <w:sz w:val="20"/>
              </w:rPr>
            </w:pPr>
            <w:r>
              <w:rPr>
                <w:rFonts w:ascii="Times New Roman"/>
                <w:i/>
                <w:sz w:val="20"/>
              </w:rPr>
              <w:t>WPULSE_ FRAC</w:t>
            </w:r>
          </w:p>
        </w:tc>
        <w:tc>
          <w:tcPr>
            <w:tcW w:w="946" w:type="dxa"/>
            <w:tcBorders>
              <w:top w:val="single" w:sz="6" w:space="0" w:color="000000"/>
              <w:left w:val="single" w:sz="6" w:space="0" w:color="000000"/>
              <w:bottom w:val="single" w:sz="6" w:space="0" w:color="000000"/>
              <w:right w:val="single" w:sz="6" w:space="0" w:color="000000"/>
            </w:tcBorders>
          </w:tcPr>
          <w:p>
            <w:pPr>
              <w:pStyle w:val="TableParagraph"/>
              <w:spacing w:before="126"/>
              <w:ind w:left="9"/>
              <w:jc w:val="center"/>
              <w:rPr>
                <w:sz w:val="20"/>
              </w:rPr>
            </w:pPr>
            <w:r>
              <w:rPr>
                <w:w w:val="99"/>
                <w:sz w:val="20"/>
              </w:rPr>
              <w:t>0</w:t>
            </w:r>
          </w:p>
        </w:tc>
        <w:tc>
          <w:tcPr>
            <w:tcW w:w="5883" w:type="dxa"/>
            <w:tcBorders>
              <w:top w:val="single" w:sz="6" w:space="0" w:color="000000"/>
              <w:left w:val="single" w:sz="6" w:space="0" w:color="000000"/>
              <w:bottom w:val="single" w:sz="6" w:space="0" w:color="000000"/>
            </w:tcBorders>
          </w:tcPr>
          <w:p>
            <w:pPr>
              <w:pStyle w:val="TableParagraph"/>
              <w:spacing w:line="235" w:lineRule="auto" w:before="15"/>
              <w:ind w:left="104" w:right="5"/>
              <w:rPr>
                <w:sz w:val="20"/>
              </w:rPr>
            </w:pPr>
            <w:r>
              <w:rPr>
                <w:sz w:val="20"/>
              </w:rPr>
              <w:t>Unsigned numerator, containing a fraction of a pulse. The value in this register always counts up towards the next pulse.</w:t>
            </w:r>
          </w:p>
        </w:tc>
      </w:tr>
      <w:tr>
        <w:trPr>
          <w:trHeight w:val="263" w:hRule="atLeast"/>
        </w:trPr>
        <w:tc>
          <w:tcPr>
            <w:tcW w:w="991" w:type="dxa"/>
            <w:tcBorders>
              <w:top w:val="single" w:sz="6" w:space="0" w:color="000000"/>
              <w:bottom w:val="single" w:sz="6" w:space="0" w:color="000000"/>
              <w:right w:val="single" w:sz="6" w:space="0" w:color="000000"/>
            </w:tcBorders>
          </w:tcPr>
          <w:p>
            <w:pPr>
              <w:pStyle w:val="TableParagraph"/>
              <w:spacing w:line="230" w:lineRule="exact" w:before="13"/>
              <w:ind w:left="71" w:right="66"/>
              <w:jc w:val="center"/>
              <w:rPr>
                <w:sz w:val="20"/>
              </w:rPr>
            </w:pPr>
            <w:r>
              <w:rPr>
                <w:sz w:val="20"/>
              </w:rPr>
              <w:t>0x48</w:t>
            </w:r>
          </w:p>
        </w:tc>
        <w:tc>
          <w:tcPr>
            <w:tcW w:w="1541" w:type="dxa"/>
            <w:tcBorders>
              <w:top w:val="single" w:sz="6" w:space="0" w:color="000000"/>
              <w:left w:val="single" w:sz="6" w:space="0" w:color="000000"/>
              <w:bottom w:val="single" w:sz="6" w:space="0" w:color="000000"/>
              <w:right w:val="single" w:sz="6" w:space="0" w:color="000000"/>
            </w:tcBorders>
          </w:tcPr>
          <w:p>
            <w:pPr>
              <w:pStyle w:val="TableParagraph"/>
              <w:spacing w:before="9"/>
              <w:ind w:right="64"/>
              <w:jc w:val="right"/>
              <w:rPr>
                <w:rFonts w:ascii="Times New Roman"/>
                <w:i/>
                <w:sz w:val="20"/>
              </w:rPr>
            </w:pPr>
            <w:r>
              <w:rPr>
                <w:rFonts w:ascii="Times New Roman"/>
                <w:i/>
                <w:sz w:val="20"/>
              </w:rPr>
              <w:t>WSUM_ ACCUM</w:t>
            </w:r>
          </w:p>
        </w:tc>
        <w:tc>
          <w:tcPr>
            <w:tcW w:w="946"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3"/>
              <w:ind w:left="9"/>
              <w:jc w:val="center"/>
              <w:rPr>
                <w:sz w:val="20"/>
              </w:rPr>
            </w:pPr>
            <w:r>
              <w:rPr>
                <w:w w:val="99"/>
                <w:sz w:val="20"/>
              </w:rPr>
              <w:t>0</w:t>
            </w:r>
          </w:p>
        </w:tc>
        <w:tc>
          <w:tcPr>
            <w:tcW w:w="5883" w:type="dxa"/>
            <w:tcBorders>
              <w:top w:val="single" w:sz="6" w:space="0" w:color="000000"/>
              <w:left w:val="single" w:sz="6" w:space="0" w:color="000000"/>
              <w:bottom w:val="single" w:sz="6" w:space="0" w:color="000000"/>
            </w:tcBorders>
          </w:tcPr>
          <w:p>
            <w:pPr>
              <w:pStyle w:val="TableParagraph"/>
              <w:spacing w:line="230" w:lineRule="exact" w:before="13"/>
              <w:ind w:left="104"/>
              <w:rPr>
                <w:sz w:val="20"/>
              </w:rPr>
            </w:pPr>
            <w:r>
              <w:rPr>
                <w:sz w:val="20"/>
              </w:rPr>
              <w:t>Roll-over accumulator for WPULSE.</w:t>
            </w:r>
          </w:p>
        </w:tc>
      </w:tr>
      <w:tr>
        <w:trPr>
          <w:trHeight w:val="263" w:hRule="atLeast"/>
        </w:trPr>
        <w:tc>
          <w:tcPr>
            <w:tcW w:w="991" w:type="dxa"/>
            <w:tcBorders>
              <w:top w:val="single" w:sz="6" w:space="0" w:color="000000"/>
              <w:bottom w:val="single" w:sz="6" w:space="0" w:color="000000"/>
              <w:right w:val="single" w:sz="6" w:space="0" w:color="000000"/>
            </w:tcBorders>
          </w:tcPr>
          <w:p>
            <w:pPr>
              <w:pStyle w:val="TableParagraph"/>
              <w:spacing w:line="230" w:lineRule="exact" w:before="13"/>
              <w:ind w:left="71" w:right="66"/>
              <w:jc w:val="center"/>
              <w:rPr>
                <w:sz w:val="20"/>
              </w:rPr>
            </w:pPr>
            <w:r>
              <w:rPr>
                <w:sz w:val="20"/>
              </w:rPr>
              <w:t>0x49</w:t>
            </w:r>
          </w:p>
        </w:tc>
        <w:tc>
          <w:tcPr>
            <w:tcW w:w="1541" w:type="dxa"/>
            <w:tcBorders>
              <w:top w:val="single" w:sz="6" w:space="0" w:color="000000"/>
              <w:left w:val="single" w:sz="6" w:space="0" w:color="000000"/>
              <w:bottom w:val="single" w:sz="6" w:space="0" w:color="000000"/>
              <w:right w:val="single" w:sz="6" w:space="0" w:color="000000"/>
            </w:tcBorders>
          </w:tcPr>
          <w:p>
            <w:pPr>
              <w:pStyle w:val="TableParagraph"/>
              <w:spacing w:before="9"/>
              <w:ind w:left="345"/>
              <w:rPr>
                <w:rFonts w:ascii="Times New Roman"/>
                <w:i/>
                <w:sz w:val="20"/>
              </w:rPr>
            </w:pPr>
            <w:r>
              <w:rPr>
                <w:rFonts w:ascii="Times New Roman"/>
                <w:i/>
                <w:sz w:val="20"/>
              </w:rPr>
              <w:t>APULSER</w:t>
            </w:r>
          </w:p>
        </w:tc>
        <w:tc>
          <w:tcPr>
            <w:tcW w:w="946"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3"/>
              <w:ind w:left="9"/>
              <w:jc w:val="center"/>
              <w:rPr>
                <w:sz w:val="20"/>
              </w:rPr>
            </w:pPr>
            <w:r>
              <w:rPr>
                <w:w w:val="99"/>
                <w:sz w:val="20"/>
              </w:rPr>
              <w:t>0</w:t>
            </w:r>
          </w:p>
        </w:tc>
        <w:tc>
          <w:tcPr>
            <w:tcW w:w="5883" w:type="dxa"/>
            <w:tcBorders>
              <w:top w:val="single" w:sz="6" w:space="0" w:color="000000"/>
              <w:left w:val="single" w:sz="6" w:space="0" w:color="000000"/>
              <w:bottom w:val="single" w:sz="6" w:space="0" w:color="000000"/>
            </w:tcBorders>
          </w:tcPr>
          <w:p>
            <w:pPr>
              <w:pStyle w:val="TableParagraph"/>
              <w:spacing w:line="230" w:lineRule="exact" w:before="13"/>
              <w:ind w:left="104"/>
              <w:rPr>
                <w:sz w:val="20"/>
              </w:rPr>
            </w:pPr>
            <w:r>
              <w:rPr>
                <w:sz w:val="20"/>
              </w:rPr>
              <w:t>VARh (VPULSE) pulse generator input.</w:t>
            </w:r>
          </w:p>
        </w:tc>
      </w:tr>
      <w:tr>
        <w:trPr>
          <w:trHeight w:val="263" w:hRule="atLeast"/>
        </w:trPr>
        <w:tc>
          <w:tcPr>
            <w:tcW w:w="991" w:type="dxa"/>
            <w:tcBorders>
              <w:top w:val="single" w:sz="6" w:space="0" w:color="000000"/>
              <w:bottom w:val="single" w:sz="6" w:space="0" w:color="000000"/>
              <w:right w:val="single" w:sz="6" w:space="0" w:color="000000"/>
            </w:tcBorders>
          </w:tcPr>
          <w:p>
            <w:pPr>
              <w:pStyle w:val="TableParagraph"/>
              <w:spacing w:line="230" w:lineRule="exact" w:before="13"/>
              <w:ind w:left="71" w:right="63"/>
              <w:jc w:val="center"/>
              <w:rPr>
                <w:sz w:val="20"/>
              </w:rPr>
            </w:pPr>
            <w:r>
              <w:rPr>
                <w:sz w:val="20"/>
              </w:rPr>
              <w:t>0x4A</w:t>
            </w:r>
          </w:p>
        </w:tc>
        <w:tc>
          <w:tcPr>
            <w:tcW w:w="1541" w:type="dxa"/>
            <w:tcBorders>
              <w:top w:val="single" w:sz="6" w:space="0" w:color="000000"/>
              <w:left w:val="single" w:sz="6" w:space="0" w:color="000000"/>
              <w:bottom w:val="single" w:sz="6" w:space="0" w:color="000000"/>
              <w:right w:val="single" w:sz="6" w:space="0" w:color="000000"/>
            </w:tcBorders>
          </w:tcPr>
          <w:p>
            <w:pPr>
              <w:pStyle w:val="TableParagraph"/>
              <w:spacing w:before="9"/>
              <w:ind w:left="172"/>
              <w:rPr>
                <w:rFonts w:ascii="Times New Roman"/>
                <w:i/>
                <w:sz w:val="20"/>
              </w:rPr>
            </w:pPr>
            <w:r>
              <w:rPr>
                <w:rFonts w:ascii="Times New Roman"/>
                <w:i/>
                <w:sz w:val="20"/>
              </w:rPr>
              <w:t>VPULSE_CTR</w:t>
            </w:r>
          </w:p>
        </w:tc>
        <w:tc>
          <w:tcPr>
            <w:tcW w:w="946"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3"/>
              <w:ind w:left="9"/>
              <w:jc w:val="center"/>
              <w:rPr>
                <w:sz w:val="20"/>
              </w:rPr>
            </w:pPr>
            <w:r>
              <w:rPr>
                <w:w w:val="99"/>
                <w:sz w:val="20"/>
              </w:rPr>
              <w:t>0</w:t>
            </w:r>
          </w:p>
        </w:tc>
        <w:tc>
          <w:tcPr>
            <w:tcW w:w="5883" w:type="dxa"/>
            <w:tcBorders>
              <w:top w:val="single" w:sz="6" w:space="0" w:color="000000"/>
              <w:left w:val="single" w:sz="6" w:space="0" w:color="000000"/>
              <w:bottom w:val="single" w:sz="6" w:space="0" w:color="000000"/>
            </w:tcBorders>
          </w:tcPr>
          <w:p>
            <w:pPr>
              <w:pStyle w:val="TableParagraph"/>
              <w:spacing w:line="230" w:lineRule="exact" w:before="13"/>
              <w:ind w:left="104"/>
              <w:rPr>
                <w:sz w:val="20"/>
              </w:rPr>
            </w:pPr>
            <w:r>
              <w:rPr>
                <w:sz w:val="20"/>
              </w:rPr>
              <w:t>Counter for VPULSE output.</w:t>
            </w:r>
          </w:p>
        </w:tc>
      </w:tr>
      <w:tr>
        <w:trPr>
          <w:trHeight w:val="488" w:hRule="atLeast"/>
        </w:trPr>
        <w:tc>
          <w:tcPr>
            <w:tcW w:w="991" w:type="dxa"/>
            <w:tcBorders>
              <w:top w:val="single" w:sz="6" w:space="0" w:color="000000"/>
              <w:bottom w:val="single" w:sz="6" w:space="0" w:color="000000"/>
              <w:right w:val="single" w:sz="6" w:space="0" w:color="000000"/>
            </w:tcBorders>
          </w:tcPr>
          <w:p>
            <w:pPr>
              <w:pStyle w:val="TableParagraph"/>
              <w:spacing w:before="126"/>
              <w:ind w:left="71" w:right="63"/>
              <w:jc w:val="center"/>
              <w:rPr>
                <w:sz w:val="20"/>
              </w:rPr>
            </w:pPr>
            <w:r>
              <w:rPr>
                <w:sz w:val="20"/>
              </w:rPr>
              <w:t>0x4B</w:t>
            </w:r>
          </w:p>
        </w:tc>
        <w:tc>
          <w:tcPr>
            <w:tcW w:w="1541" w:type="dxa"/>
            <w:tcBorders>
              <w:top w:val="single" w:sz="6" w:space="0" w:color="000000"/>
              <w:left w:val="single" w:sz="6" w:space="0" w:color="000000"/>
              <w:bottom w:val="single" w:sz="6" w:space="0" w:color="000000"/>
              <w:right w:val="single" w:sz="6" w:space="0" w:color="000000"/>
            </w:tcBorders>
          </w:tcPr>
          <w:p>
            <w:pPr>
              <w:pStyle w:val="TableParagraph"/>
              <w:spacing w:before="122"/>
              <w:ind w:right="71"/>
              <w:jc w:val="right"/>
              <w:rPr>
                <w:rFonts w:ascii="Times New Roman"/>
                <w:i/>
                <w:sz w:val="20"/>
              </w:rPr>
            </w:pPr>
            <w:r>
              <w:rPr>
                <w:rFonts w:ascii="Times New Roman"/>
                <w:i/>
                <w:sz w:val="20"/>
              </w:rPr>
              <w:t>VPULSE_ FRAC</w:t>
            </w:r>
          </w:p>
        </w:tc>
        <w:tc>
          <w:tcPr>
            <w:tcW w:w="946" w:type="dxa"/>
            <w:tcBorders>
              <w:top w:val="single" w:sz="6" w:space="0" w:color="000000"/>
              <w:left w:val="single" w:sz="6" w:space="0" w:color="000000"/>
              <w:bottom w:val="single" w:sz="6" w:space="0" w:color="000000"/>
              <w:right w:val="single" w:sz="6" w:space="0" w:color="000000"/>
            </w:tcBorders>
          </w:tcPr>
          <w:p>
            <w:pPr>
              <w:pStyle w:val="TableParagraph"/>
              <w:spacing w:before="126"/>
              <w:ind w:left="9"/>
              <w:jc w:val="center"/>
              <w:rPr>
                <w:sz w:val="20"/>
              </w:rPr>
            </w:pPr>
            <w:r>
              <w:rPr>
                <w:w w:val="99"/>
                <w:sz w:val="20"/>
              </w:rPr>
              <w:t>0</w:t>
            </w:r>
          </w:p>
        </w:tc>
        <w:tc>
          <w:tcPr>
            <w:tcW w:w="5883" w:type="dxa"/>
            <w:tcBorders>
              <w:top w:val="single" w:sz="6" w:space="0" w:color="000000"/>
              <w:left w:val="single" w:sz="6" w:space="0" w:color="000000"/>
              <w:bottom w:val="single" w:sz="6" w:space="0" w:color="000000"/>
            </w:tcBorders>
          </w:tcPr>
          <w:p>
            <w:pPr>
              <w:pStyle w:val="TableParagraph"/>
              <w:spacing w:line="235" w:lineRule="auto" w:before="15"/>
              <w:ind w:left="104" w:right="120"/>
              <w:rPr>
                <w:sz w:val="20"/>
              </w:rPr>
            </w:pPr>
            <w:r>
              <w:rPr>
                <w:sz w:val="20"/>
              </w:rPr>
              <w:t>Unsigned numerator, containing a fraction of a pulse. The value in this register always counts up towards the next pulse.</w:t>
            </w:r>
          </w:p>
        </w:tc>
      </w:tr>
      <w:tr>
        <w:trPr>
          <w:trHeight w:val="263" w:hRule="atLeast"/>
        </w:trPr>
        <w:tc>
          <w:tcPr>
            <w:tcW w:w="991" w:type="dxa"/>
            <w:tcBorders>
              <w:top w:val="single" w:sz="6" w:space="0" w:color="000000"/>
              <w:right w:val="single" w:sz="6" w:space="0" w:color="000000"/>
            </w:tcBorders>
          </w:tcPr>
          <w:p>
            <w:pPr>
              <w:pStyle w:val="TableParagraph"/>
              <w:spacing w:before="13"/>
              <w:ind w:left="71" w:right="67"/>
              <w:jc w:val="center"/>
              <w:rPr>
                <w:sz w:val="20"/>
              </w:rPr>
            </w:pPr>
            <w:r>
              <w:rPr>
                <w:sz w:val="20"/>
              </w:rPr>
              <w:t>0x4C</w:t>
            </w:r>
          </w:p>
        </w:tc>
        <w:tc>
          <w:tcPr>
            <w:tcW w:w="1541" w:type="dxa"/>
            <w:tcBorders>
              <w:top w:val="single" w:sz="6" w:space="0" w:color="000000"/>
              <w:left w:val="single" w:sz="6" w:space="0" w:color="000000"/>
              <w:right w:val="single" w:sz="6" w:space="0" w:color="000000"/>
            </w:tcBorders>
          </w:tcPr>
          <w:p>
            <w:pPr>
              <w:pStyle w:val="TableParagraph"/>
              <w:spacing w:before="9"/>
              <w:ind w:right="88"/>
              <w:jc w:val="right"/>
              <w:rPr>
                <w:rFonts w:ascii="Times New Roman"/>
                <w:i/>
                <w:sz w:val="20"/>
              </w:rPr>
            </w:pPr>
            <w:r>
              <w:rPr>
                <w:rFonts w:ascii="Times New Roman"/>
                <w:i/>
                <w:w w:val="95"/>
                <w:sz w:val="20"/>
              </w:rPr>
              <w:t>VSUM_ACCUM</w:t>
            </w:r>
          </w:p>
        </w:tc>
        <w:tc>
          <w:tcPr>
            <w:tcW w:w="946" w:type="dxa"/>
            <w:tcBorders>
              <w:top w:val="single" w:sz="6" w:space="0" w:color="000000"/>
              <w:left w:val="single" w:sz="6" w:space="0" w:color="000000"/>
              <w:right w:val="single" w:sz="6" w:space="0" w:color="000000"/>
            </w:tcBorders>
          </w:tcPr>
          <w:p>
            <w:pPr>
              <w:pStyle w:val="TableParagraph"/>
              <w:spacing w:before="13"/>
              <w:ind w:left="9"/>
              <w:jc w:val="center"/>
              <w:rPr>
                <w:sz w:val="20"/>
              </w:rPr>
            </w:pPr>
            <w:r>
              <w:rPr>
                <w:w w:val="99"/>
                <w:sz w:val="20"/>
              </w:rPr>
              <w:t>0</w:t>
            </w:r>
          </w:p>
        </w:tc>
        <w:tc>
          <w:tcPr>
            <w:tcW w:w="5883" w:type="dxa"/>
            <w:tcBorders>
              <w:top w:val="single" w:sz="6" w:space="0" w:color="000000"/>
              <w:left w:val="single" w:sz="6" w:space="0" w:color="000000"/>
            </w:tcBorders>
          </w:tcPr>
          <w:p>
            <w:pPr>
              <w:pStyle w:val="TableParagraph"/>
              <w:spacing w:before="13"/>
              <w:ind w:left="104"/>
              <w:rPr>
                <w:sz w:val="20"/>
              </w:rPr>
            </w:pPr>
            <w:r>
              <w:rPr>
                <w:sz w:val="20"/>
              </w:rPr>
              <w:t>Roll-over accumulator for VPULSE.</w:t>
            </w:r>
          </w:p>
        </w:tc>
      </w:tr>
    </w:tbl>
    <w:p>
      <w:pPr>
        <w:pStyle w:val="BodyText"/>
        <w:spacing w:before="9"/>
        <w:rPr>
          <w:b/>
          <w:sz w:val="18"/>
        </w:rPr>
      </w:pPr>
    </w:p>
    <w:p>
      <w:pPr>
        <w:spacing w:before="0"/>
        <w:ind w:left="480" w:right="0" w:firstLine="0"/>
        <w:jc w:val="left"/>
        <w:rPr>
          <w:b/>
          <w:sz w:val="20"/>
        </w:rPr>
      </w:pPr>
      <w:bookmarkStart w:name="Other CE Parameters" w:id="486"/>
      <w:bookmarkEnd w:id="486"/>
      <w:r>
        <w:rPr/>
      </w:r>
      <w:r>
        <w:rPr>
          <w:b/>
          <w:sz w:val="20"/>
        </w:rPr>
        <w:t>Other CE Parameters</w:t>
      </w:r>
    </w:p>
    <w:p>
      <w:pPr>
        <w:pStyle w:val="BodyText"/>
        <w:spacing w:line="232" w:lineRule="auto" w:before="121"/>
        <w:ind w:left="479" w:right="491"/>
      </w:pPr>
      <w:hyperlink w:history="true" w:anchor="_bookmark236">
        <w:r>
          <w:rPr>
            <w:color w:val="0000FF"/>
          </w:rPr>
          <w:t>Table 84 </w:t>
        </w:r>
      </w:hyperlink>
      <w:r>
        <w:rPr/>
        <w:t>shows the QUANT CE parameters used for suppression of noise due to scaling and truncation effects. The equations for calculating the LSB weight of each QUANT parameter are provided at the bottom of </w:t>
      </w:r>
      <w:hyperlink w:history="true" w:anchor="_bookmark236">
        <w:r>
          <w:rPr>
            <w:color w:val="0000FF"/>
          </w:rPr>
          <w:t>Table 84</w:t>
        </w:r>
        <w:r>
          <w:rPr/>
          <w:t>.</w:t>
        </w:r>
      </w:hyperlink>
    </w:p>
    <w:p>
      <w:pPr>
        <w:spacing w:after="0" w:line="232" w:lineRule="auto"/>
        <w:sectPr>
          <w:pgSz w:w="12240" w:h="15840"/>
          <w:pgMar w:header="727" w:footer="819" w:top="1160" w:bottom="1000" w:left="960" w:right="940"/>
        </w:sectPr>
      </w:pPr>
    </w:p>
    <w:p>
      <w:pPr>
        <w:pStyle w:val="Heading1"/>
        <w:spacing w:before="85"/>
        <w:ind w:left="776" w:right="797"/>
      </w:pPr>
      <w:bookmarkStart w:name="_bookmark236" w:id="487"/>
      <w:bookmarkEnd w:id="487"/>
      <w:r>
        <w:rPr>
          <w:b w:val="0"/>
        </w:rPr>
      </w:r>
      <w:r>
        <w:rPr/>
        <w:t>Table 84: CE Parameters for Noise Suppression and Code Version</w:t>
      </w:r>
    </w:p>
    <w:p>
      <w:pPr>
        <w:pStyle w:val="BodyText"/>
        <w:spacing w:before="3"/>
        <w:rPr>
          <w:b/>
          <w:sz w:val="5"/>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5"/>
        <w:gridCol w:w="1495"/>
        <w:gridCol w:w="991"/>
        <w:gridCol w:w="5849"/>
      </w:tblGrid>
      <w:tr>
        <w:trPr>
          <w:trHeight w:val="527" w:hRule="atLeast"/>
        </w:trPr>
        <w:tc>
          <w:tcPr>
            <w:tcW w:w="1025" w:type="dxa"/>
            <w:tcBorders>
              <w:bottom w:val="single" w:sz="6" w:space="0" w:color="000000"/>
              <w:right w:val="single" w:sz="6" w:space="0" w:color="000000"/>
            </w:tcBorders>
          </w:tcPr>
          <w:p>
            <w:pPr>
              <w:pStyle w:val="TableParagraph"/>
              <w:spacing w:line="227" w:lineRule="exact" w:before="30"/>
              <w:ind w:left="90" w:right="78"/>
              <w:jc w:val="center"/>
              <w:rPr>
                <w:b/>
                <w:sz w:val="20"/>
              </w:rPr>
            </w:pPr>
            <w:r>
              <w:rPr>
                <w:b/>
                <w:sz w:val="20"/>
              </w:rPr>
              <w:t>CE</w:t>
            </w:r>
          </w:p>
          <w:p>
            <w:pPr>
              <w:pStyle w:val="TableParagraph"/>
              <w:spacing w:line="227" w:lineRule="exact"/>
              <w:ind w:left="90" w:right="81"/>
              <w:jc w:val="center"/>
              <w:rPr>
                <w:b/>
                <w:sz w:val="20"/>
              </w:rPr>
            </w:pPr>
            <w:r>
              <w:rPr>
                <w:b/>
                <w:sz w:val="20"/>
              </w:rPr>
              <w:t>Address</w:t>
            </w:r>
          </w:p>
        </w:tc>
        <w:tc>
          <w:tcPr>
            <w:tcW w:w="1495" w:type="dxa"/>
            <w:tcBorders>
              <w:left w:val="single" w:sz="6" w:space="0" w:color="000000"/>
              <w:bottom w:val="single" w:sz="6" w:space="0" w:color="000000"/>
              <w:right w:val="single" w:sz="6" w:space="0" w:color="000000"/>
            </w:tcBorders>
          </w:tcPr>
          <w:p>
            <w:pPr>
              <w:pStyle w:val="TableParagraph"/>
              <w:spacing w:before="143"/>
              <w:ind w:left="66" w:right="59"/>
              <w:jc w:val="center"/>
              <w:rPr>
                <w:b/>
                <w:sz w:val="20"/>
              </w:rPr>
            </w:pPr>
            <w:r>
              <w:rPr>
                <w:b/>
                <w:sz w:val="20"/>
              </w:rPr>
              <w:t>Name</w:t>
            </w:r>
          </w:p>
        </w:tc>
        <w:tc>
          <w:tcPr>
            <w:tcW w:w="991" w:type="dxa"/>
            <w:tcBorders>
              <w:left w:val="single" w:sz="6" w:space="0" w:color="000000"/>
              <w:bottom w:val="single" w:sz="6" w:space="0" w:color="000000"/>
              <w:right w:val="single" w:sz="6" w:space="0" w:color="000000"/>
            </w:tcBorders>
          </w:tcPr>
          <w:p>
            <w:pPr>
              <w:pStyle w:val="TableParagraph"/>
              <w:spacing w:before="143"/>
              <w:ind w:left="132" w:right="126"/>
              <w:jc w:val="center"/>
              <w:rPr>
                <w:b/>
                <w:sz w:val="20"/>
              </w:rPr>
            </w:pPr>
            <w:r>
              <w:rPr>
                <w:b/>
                <w:sz w:val="20"/>
              </w:rPr>
              <w:t>Default</w:t>
            </w:r>
          </w:p>
        </w:tc>
        <w:tc>
          <w:tcPr>
            <w:tcW w:w="5849" w:type="dxa"/>
            <w:tcBorders>
              <w:left w:val="single" w:sz="6" w:space="0" w:color="000000"/>
              <w:bottom w:val="single" w:sz="6" w:space="0" w:color="000000"/>
            </w:tcBorders>
          </w:tcPr>
          <w:p>
            <w:pPr>
              <w:pStyle w:val="TableParagraph"/>
              <w:spacing w:before="143"/>
              <w:ind w:left="2350" w:right="2346"/>
              <w:jc w:val="center"/>
              <w:rPr>
                <w:b/>
                <w:sz w:val="20"/>
              </w:rPr>
            </w:pPr>
            <w:r>
              <w:rPr>
                <w:b/>
                <w:sz w:val="20"/>
              </w:rPr>
              <w:t>Description</w:t>
            </w:r>
          </w:p>
        </w:tc>
      </w:tr>
      <w:tr>
        <w:trPr>
          <w:trHeight w:val="260" w:hRule="atLeast"/>
        </w:trPr>
        <w:tc>
          <w:tcPr>
            <w:tcW w:w="1025" w:type="dxa"/>
            <w:tcBorders>
              <w:top w:val="single" w:sz="6" w:space="0" w:color="000000"/>
              <w:bottom w:val="single" w:sz="6" w:space="0" w:color="000000"/>
              <w:right w:val="single" w:sz="6" w:space="0" w:color="000000"/>
            </w:tcBorders>
          </w:tcPr>
          <w:p>
            <w:pPr>
              <w:pStyle w:val="TableParagraph"/>
              <w:spacing w:line="227" w:lineRule="exact" w:before="13"/>
              <w:ind w:left="295"/>
              <w:rPr>
                <w:sz w:val="20"/>
              </w:rPr>
            </w:pPr>
            <w:r>
              <w:rPr>
                <w:sz w:val="20"/>
              </w:rPr>
              <w:t>0x26</w:t>
            </w:r>
          </w:p>
        </w:tc>
        <w:tc>
          <w:tcPr>
            <w:tcW w:w="1495" w:type="dxa"/>
            <w:tcBorders>
              <w:top w:val="single" w:sz="6" w:space="0" w:color="000000"/>
              <w:left w:val="single" w:sz="6" w:space="0" w:color="000000"/>
              <w:bottom w:val="single" w:sz="6" w:space="0" w:color="000000"/>
              <w:right w:val="single" w:sz="6" w:space="0" w:color="000000"/>
            </w:tcBorders>
          </w:tcPr>
          <w:p>
            <w:pPr>
              <w:pStyle w:val="TableParagraph"/>
              <w:spacing w:before="9"/>
              <w:ind w:left="63" w:right="59"/>
              <w:jc w:val="center"/>
              <w:rPr>
                <w:rFonts w:ascii="Times New Roman"/>
                <w:i/>
                <w:sz w:val="20"/>
              </w:rPr>
            </w:pPr>
            <w:r>
              <w:rPr>
                <w:rFonts w:ascii="Times New Roman"/>
                <w:i/>
                <w:sz w:val="20"/>
              </w:rPr>
              <w:t>QUANT_IA</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line="227" w:lineRule="exact" w:before="13"/>
              <w:ind w:left="7"/>
              <w:jc w:val="center"/>
              <w:rPr>
                <w:sz w:val="20"/>
              </w:rPr>
            </w:pPr>
            <w:r>
              <w:rPr>
                <w:w w:val="99"/>
                <w:sz w:val="20"/>
              </w:rPr>
              <w:t>0</w:t>
            </w:r>
          </w:p>
        </w:tc>
        <w:tc>
          <w:tcPr>
            <w:tcW w:w="5849" w:type="dxa"/>
            <w:vMerge w:val="restart"/>
            <w:tcBorders>
              <w:top w:val="single" w:sz="6" w:space="0" w:color="000000"/>
              <w:left w:val="single" w:sz="6" w:space="0" w:color="000000"/>
              <w:bottom w:val="single" w:sz="6" w:space="0" w:color="000000"/>
            </w:tcBorders>
          </w:tcPr>
          <w:p>
            <w:pPr>
              <w:pStyle w:val="TableParagraph"/>
              <w:spacing w:line="235" w:lineRule="auto" w:before="183"/>
              <w:ind w:left="105" w:right="442"/>
              <w:rPr>
                <w:sz w:val="20"/>
              </w:rPr>
            </w:pPr>
            <w:r>
              <w:rPr>
                <w:spacing w:val="-4"/>
                <w:sz w:val="20"/>
              </w:rPr>
              <w:t>Compensation factors </w:t>
            </w:r>
            <w:r>
              <w:rPr>
                <w:spacing w:val="-3"/>
                <w:sz w:val="20"/>
              </w:rPr>
              <w:t>for </w:t>
            </w:r>
            <w:r>
              <w:rPr>
                <w:spacing w:val="-4"/>
                <w:sz w:val="20"/>
              </w:rPr>
              <w:t>truncation </w:t>
            </w:r>
            <w:r>
              <w:rPr>
                <w:sz w:val="20"/>
              </w:rPr>
              <w:t>and </w:t>
            </w:r>
            <w:r>
              <w:rPr>
                <w:spacing w:val="-4"/>
                <w:sz w:val="20"/>
              </w:rPr>
              <w:t>noise </w:t>
            </w:r>
            <w:r>
              <w:rPr>
                <w:sz w:val="20"/>
              </w:rPr>
              <w:t>in </w:t>
            </w:r>
            <w:r>
              <w:rPr>
                <w:spacing w:val="-4"/>
                <w:sz w:val="20"/>
              </w:rPr>
              <w:t>current, </w:t>
            </w:r>
            <w:r>
              <w:rPr>
                <w:sz w:val="20"/>
              </w:rPr>
              <w:t>real energy and reactive energy for phase A.</w:t>
            </w:r>
          </w:p>
        </w:tc>
      </w:tr>
      <w:tr>
        <w:trPr>
          <w:trHeight w:val="263" w:hRule="atLeast"/>
        </w:trPr>
        <w:tc>
          <w:tcPr>
            <w:tcW w:w="1025" w:type="dxa"/>
            <w:tcBorders>
              <w:top w:val="single" w:sz="6" w:space="0" w:color="000000"/>
              <w:bottom w:val="single" w:sz="6" w:space="0" w:color="000000"/>
              <w:right w:val="single" w:sz="6" w:space="0" w:color="000000"/>
            </w:tcBorders>
          </w:tcPr>
          <w:p>
            <w:pPr>
              <w:pStyle w:val="TableParagraph"/>
              <w:spacing w:line="227" w:lineRule="exact" w:before="16"/>
              <w:ind w:left="295"/>
              <w:rPr>
                <w:sz w:val="20"/>
              </w:rPr>
            </w:pPr>
            <w:r>
              <w:rPr>
                <w:sz w:val="20"/>
              </w:rPr>
              <w:t>0x27</w:t>
            </w:r>
          </w:p>
        </w:tc>
        <w:tc>
          <w:tcPr>
            <w:tcW w:w="1495" w:type="dxa"/>
            <w:tcBorders>
              <w:top w:val="single" w:sz="6" w:space="0" w:color="000000"/>
              <w:left w:val="single" w:sz="6" w:space="0" w:color="000000"/>
              <w:bottom w:val="single" w:sz="6" w:space="0" w:color="000000"/>
              <w:right w:val="single" w:sz="6" w:space="0" w:color="000000"/>
            </w:tcBorders>
          </w:tcPr>
          <w:p>
            <w:pPr>
              <w:pStyle w:val="TableParagraph"/>
              <w:spacing w:before="12"/>
              <w:ind w:left="65" w:right="59"/>
              <w:jc w:val="center"/>
              <w:rPr>
                <w:rFonts w:ascii="Times New Roman"/>
                <w:i/>
                <w:sz w:val="20"/>
              </w:rPr>
            </w:pPr>
            <w:r>
              <w:rPr>
                <w:rFonts w:ascii="Times New Roman"/>
                <w:i/>
                <w:sz w:val="20"/>
              </w:rPr>
              <w:t>QUANT_WA</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line="227" w:lineRule="exact" w:before="16"/>
              <w:ind w:left="7"/>
              <w:jc w:val="center"/>
              <w:rPr>
                <w:sz w:val="20"/>
              </w:rPr>
            </w:pPr>
            <w:r>
              <w:rPr>
                <w:w w:val="99"/>
                <w:sz w:val="20"/>
              </w:rPr>
              <w:t>0</w:t>
            </w:r>
          </w:p>
        </w:tc>
        <w:tc>
          <w:tcPr>
            <w:tcW w:w="5849" w:type="dxa"/>
            <w:vMerge/>
            <w:tcBorders>
              <w:top w:val="nil"/>
              <w:left w:val="single" w:sz="6" w:space="0" w:color="000000"/>
              <w:bottom w:val="single" w:sz="6" w:space="0" w:color="000000"/>
            </w:tcBorders>
          </w:tcPr>
          <w:p>
            <w:pPr>
              <w:rPr>
                <w:sz w:val="2"/>
                <w:szCs w:val="2"/>
              </w:rPr>
            </w:pPr>
          </w:p>
        </w:tc>
      </w:tr>
      <w:tr>
        <w:trPr>
          <w:trHeight w:val="263" w:hRule="atLeast"/>
        </w:trPr>
        <w:tc>
          <w:tcPr>
            <w:tcW w:w="1025" w:type="dxa"/>
            <w:tcBorders>
              <w:top w:val="single" w:sz="6" w:space="0" w:color="000000"/>
              <w:bottom w:val="single" w:sz="6" w:space="0" w:color="000000"/>
              <w:right w:val="single" w:sz="6" w:space="0" w:color="000000"/>
            </w:tcBorders>
          </w:tcPr>
          <w:p>
            <w:pPr>
              <w:pStyle w:val="TableParagraph"/>
              <w:spacing w:line="227" w:lineRule="exact" w:before="16"/>
              <w:ind w:left="295"/>
              <w:rPr>
                <w:sz w:val="20"/>
              </w:rPr>
            </w:pPr>
            <w:r>
              <w:rPr>
                <w:sz w:val="20"/>
              </w:rPr>
              <w:t>0x28</w:t>
            </w:r>
          </w:p>
        </w:tc>
        <w:tc>
          <w:tcPr>
            <w:tcW w:w="1495" w:type="dxa"/>
            <w:tcBorders>
              <w:top w:val="single" w:sz="6" w:space="0" w:color="000000"/>
              <w:left w:val="single" w:sz="6" w:space="0" w:color="000000"/>
              <w:bottom w:val="single" w:sz="6" w:space="0" w:color="000000"/>
              <w:right w:val="single" w:sz="6" w:space="0" w:color="000000"/>
            </w:tcBorders>
          </w:tcPr>
          <w:p>
            <w:pPr>
              <w:pStyle w:val="TableParagraph"/>
              <w:spacing w:before="12"/>
              <w:ind w:left="65" w:right="59"/>
              <w:jc w:val="center"/>
              <w:rPr>
                <w:rFonts w:ascii="Times New Roman"/>
                <w:i/>
                <w:sz w:val="20"/>
              </w:rPr>
            </w:pPr>
            <w:r>
              <w:rPr>
                <w:rFonts w:ascii="Times New Roman"/>
                <w:i/>
                <w:sz w:val="20"/>
              </w:rPr>
              <w:t>QUANT_VARA</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line="227" w:lineRule="exact" w:before="16"/>
              <w:ind w:left="7"/>
              <w:jc w:val="center"/>
              <w:rPr>
                <w:sz w:val="20"/>
              </w:rPr>
            </w:pPr>
            <w:r>
              <w:rPr>
                <w:w w:val="99"/>
                <w:sz w:val="20"/>
              </w:rPr>
              <w:t>0</w:t>
            </w:r>
          </w:p>
        </w:tc>
        <w:tc>
          <w:tcPr>
            <w:tcW w:w="5849" w:type="dxa"/>
            <w:vMerge/>
            <w:tcBorders>
              <w:top w:val="nil"/>
              <w:left w:val="single" w:sz="6" w:space="0" w:color="000000"/>
              <w:bottom w:val="single" w:sz="6" w:space="0" w:color="000000"/>
            </w:tcBorders>
          </w:tcPr>
          <w:p>
            <w:pPr>
              <w:rPr>
                <w:sz w:val="2"/>
                <w:szCs w:val="2"/>
              </w:rPr>
            </w:pPr>
          </w:p>
        </w:tc>
      </w:tr>
      <w:tr>
        <w:trPr>
          <w:trHeight w:val="263" w:hRule="atLeast"/>
        </w:trPr>
        <w:tc>
          <w:tcPr>
            <w:tcW w:w="1025" w:type="dxa"/>
            <w:tcBorders>
              <w:top w:val="single" w:sz="6" w:space="0" w:color="000000"/>
              <w:bottom w:val="single" w:sz="6" w:space="0" w:color="000000"/>
              <w:right w:val="single" w:sz="6" w:space="0" w:color="000000"/>
            </w:tcBorders>
          </w:tcPr>
          <w:p>
            <w:pPr>
              <w:pStyle w:val="TableParagraph"/>
              <w:spacing w:line="227" w:lineRule="exact" w:before="16"/>
              <w:ind w:left="282"/>
              <w:rPr>
                <w:sz w:val="20"/>
              </w:rPr>
            </w:pPr>
            <w:r>
              <w:rPr>
                <w:sz w:val="20"/>
              </w:rPr>
              <w:t>0x2A</w:t>
            </w:r>
          </w:p>
        </w:tc>
        <w:tc>
          <w:tcPr>
            <w:tcW w:w="1495" w:type="dxa"/>
            <w:tcBorders>
              <w:top w:val="single" w:sz="6" w:space="0" w:color="000000"/>
              <w:left w:val="single" w:sz="6" w:space="0" w:color="000000"/>
              <w:bottom w:val="single" w:sz="6" w:space="0" w:color="000000"/>
              <w:right w:val="single" w:sz="6" w:space="0" w:color="000000"/>
            </w:tcBorders>
          </w:tcPr>
          <w:p>
            <w:pPr>
              <w:pStyle w:val="TableParagraph"/>
              <w:spacing w:before="12"/>
              <w:ind w:left="100" w:right="38"/>
              <w:jc w:val="center"/>
              <w:rPr>
                <w:rFonts w:ascii="Times New Roman"/>
                <w:i/>
                <w:sz w:val="20"/>
              </w:rPr>
            </w:pPr>
            <w:r>
              <w:rPr>
                <w:rFonts w:ascii="Times New Roman"/>
                <w:i/>
                <w:sz w:val="20"/>
              </w:rPr>
              <w:t>QUANT_IB</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line="227" w:lineRule="exact" w:before="16"/>
              <w:ind w:left="7"/>
              <w:jc w:val="center"/>
              <w:rPr>
                <w:sz w:val="20"/>
              </w:rPr>
            </w:pPr>
            <w:r>
              <w:rPr>
                <w:w w:val="99"/>
                <w:sz w:val="20"/>
              </w:rPr>
              <w:t>0</w:t>
            </w:r>
          </w:p>
        </w:tc>
        <w:tc>
          <w:tcPr>
            <w:tcW w:w="5849" w:type="dxa"/>
            <w:vMerge w:val="restart"/>
            <w:tcBorders>
              <w:top w:val="single" w:sz="6" w:space="0" w:color="000000"/>
              <w:left w:val="single" w:sz="6" w:space="0" w:color="000000"/>
              <w:bottom w:val="single" w:sz="6" w:space="0" w:color="000000"/>
            </w:tcBorders>
          </w:tcPr>
          <w:p>
            <w:pPr>
              <w:pStyle w:val="TableParagraph"/>
              <w:spacing w:line="232" w:lineRule="auto" w:before="194"/>
              <w:ind w:left="105" w:right="442"/>
              <w:rPr>
                <w:sz w:val="20"/>
              </w:rPr>
            </w:pPr>
            <w:r>
              <w:rPr>
                <w:spacing w:val="-4"/>
                <w:sz w:val="20"/>
              </w:rPr>
              <w:t>Compensation factors </w:t>
            </w:r>
            <w:r>
              <w:rPr>
                <w:spacing w:val="-3"/>
                <w:sz w:val="20"/>
              </w:rPr>
              <w:t>for </w:t>
            </w:r>
            <w:r>
              <w:rPr>
                <w:spacing w:val="-4"/>
                <w:sz w:val="20"/>
              </w:rPr>
              <w:t>truncation </w:t>
            </w:r>
            <w:r>
              <w:rPr>
                <w:sz w:val="20"/>
              </w:rPr>
              <w:t>and </w:t>
            </w:r>
            <w:r>
              <w:rPr>
                <w:spacing w:val="-4"/>
                <w:sz w:val="20"/>
              </w:rPr>
              <w:t>noise </w:t>
            </w:r>
            <w:r>
              <w:rPr>
                <w:sz w:val="20"/>
              </w:rPr>
              <w:t>in </w:t>
            </w:r>
            <w:r>
              <w:rPr>
                <w:spacing w:val="-4"/>
                <w:sz w:val="20"/>
              </w:rPr>
              <w:t>current, </w:t>
            </w:r>
            <w:r>
              <w:rPr>
                <w:sz w:val="20"/>
              </w:rPr>
              <w:t>real energy and reactive energy for phase B.</w:t>
            </w:r>
          </w:p>
        </w:tc>
      </w:tr>
      <w:tr>
        <w:trPr>
          <w:trHeight w:val="270" w:hRule="atLeast"/>
        </w:trPr>
        <w:tc>
          <w:tcPr>
            <w:tcW w:w="1025" w:type="dxa"/>
            <w:tcBorders>
              <w:top w:val="single" w:sz="6" w:space="0" w:color="000000"/>
              <w:bottom w:val="single" w:sz="6" w:space="0" w:color="000000"/>
              <w:right w:val="single" w:sz="6" w:space="0" w:color="000000"/>
            </w:tcBorders>
          </w:tcPr>
          <w:p>
            <w:pPr>
              <w:pStyle w:val="TableParagraph"/>
              <w:spacing w:line="230" w:lineRule="exact" w:before="21"/>
              <w:ind w:left="282"/>
              <w:rPr>
                <w:sz w:val="20"/>
              </w:rPr>
            </w:pPr>
            <w:r>
              <w:rPr>
                <w:sz w:val="20"/>
              </w:rPr>
              <w:t>0x2B</w:t>
            </w:r>
          </w:p>
        </w:tc>
        <w:tc>
          <w:tcPr>
            <w:tcW w:w="1495" w:type="dxa"/>
            <w:tcBorders>
              <w:top w:val="single" w:sz="6" w:space="0" w:color="000000"/>
              <w:left w:val="single" w:sz="6" w:space="0" w:color="000000"/>
              <w:bottom w:val="single" w:sz="6" w:space="0" w:color="000000"/>
              <w:right w:val="single" w:sz="6" w:space="0" w:color="000000"/>
            </w:tcBorders>
          </w:tcPr>
          <w:p>
            <w:pPr>
              <w:pStyle w:val="TableParagraph"/>
              <w:spacing w:before="17"/>
              <w:ind w:left="100" w:right="37"/>
              <w:jc w:val="center"/>
              <w:rPr>
                <w:rFonts w:ascii="Times New Roman"/>
                <w:i/>
                <w:sz w:val="20"/>
              </w:rPr>
            </w:pPr>
            <w:r>
              <w:rPr>
                <w:rFonts w:ascii="Times New Roman"/>
                <w:i/>
                <w:sz w:val="20"/>
              </w:rPr>
              <w:t>QUANT_WB</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7"/>
              <w:jc w:val="center"/>
              <w:rPr>
                <w:sz w:val="20"/>
              </w:rPr>
            </w:pPr>
            <w:r>
              <w:rPr>
                <w:w w:val="99"/>
                <w:sz w:val="20"/>
              </w:rPr>
              <w:t>0</w:t>
            </w:r>
          </w:p>
        </w:tc>
        <w:tc>
          <w:tcPr>
            <w:tcW w:w="5849" w:type="dxa"/>
            <w:vMerge/>
            <w:tcBorders>
              <w:top w:val="nil"/>
              <w:left w:val="single" w:sz="6" w:space="0" w:color="000000"/>
              <w:bottom w:val="single" w:sz="6" w:space="0" w:color="000000"/>
            </w:tcBorders>
          </w:tcPr>
          <w:p>
            <w:pPr>
              <w:rPr>
                <w:sz w:val="2"/>
                <w:szCs w:val="2"/>
              </w:rPr>
            </w:pPr>
          </w:p>
        </w:tc>
      </w:tr>
      <w:tr>
        <w:trPr>
          <w:trHeight w:val="270" w:hRule="atLeast"/>
        </w:trPr>
        <w:tc>
          <w:tcPr>
            <w:tcW w:w="1025" w:type="dxa"/>
            <w:tcBorders>
              <w:top w:val="single" w:sz="6" w:space="0" w:color="000000"/>
              <w:bottom w:val="single" w:sz="6" w:space="0" w:color="000000"/>
              <w:right w:val="single" w:sz="6" w:space="0" w:color="000000"/>
            </w:tcBorders>
          </w:tcPr>
          <w:p>
            <w:pPr>
              <w:pStyle w:val="TableParagraph"/>
              <w:spacing w:before="18"/>
              <w:ind w:left="278"/>
              <w:rPr>
                <w:sz w:val="20"/>
              </w:rPr>
            </w:pPr>
            <w:r>
              <w:rPr>
                <w:sz w:val="20"/>
              </w:rPr>
              <w:t>0x2C</w:t>
            </w:r>
          </w:p>
        </w:tc>
        <w:tc>
          <w:tcPr>
            <w:tcW w:w="1495" w:type="dxa"/>
            <w:tcBorders>
              <w:top w:val="single" w:sz="6" w:space="0" w:color="000000"/>
              <w:left w:val="single" w:sz="6" w:space="0" w:color="000000"/>
              <w:bottom w:val="single" w:sz="6" w:space="0" w:color="000000"/>
              <w:right w:val="single" w:sz="6" w:space="0" w:color="000000"/>
            </w:tcBorders>
          </w:tcPr>
          <w:p>
            <w:pPr>
              <w:pStyle w:val="TableParagraph"/>
              <w:spacing w:before="14"/>
              <w:ind w:left="100" w:right="37"/>
              <w:jc w:val="center"/>
              <w:rPr>
                <w:rFonts w:ascii="Times New Roman"/>
                <w:i/>
                <w:sz w:val="20"/>
              </w:rPr>
            </w:pPr>
            <w:r>
              <w:rPr>
                <w:rFonts w:ascii="Times New Roman"/>
                <w:i/>
                <w:sz w:val="20"/>
              </w:rPr>
              <w:t>QUANT_VARB</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8"/>
              <w:ind w:left="7"/>
              <w:jc w:val="center"/>
              <w:rPr>
                <w:sz w:val="20"/>
              </w:rPr>
            </w:pPr>
            <w:r>
              <w:rPr>
                <w:w w:val="99"/>
                <w:sz w:val="20"/>
              </w:rPr>
              <w:t>0</w:t>
            </w:r>
          </w:p>
        </w:tc>
        <w:tc>
          <w:tcPr>
            <w:tcW w:w="5849" w:type="dxa"/>
            <w:vMerge/>
            <w:tcBorders>
              <w:top w:val="nil"/>
              <w:left w:val="single" w:sz="6" w:space="0" w:color="000000"/>
              <w:bottom w:val="single" w:sz="6" w:space="0" w:color="000000"/>
            </w:tcBorders>
          </w:tcPr>
          <w:p>
            <w:pPr>
              <w:rPr>
                <w:sz w:val="2"/>
                <w:szCs w:val="2"/>
              </w:rPr>
            </w:pPr>
          </w:p>
        </w:tc>
      </w:tr>
      <w:tr>
        <w:trPr>
          <w:trHeight w:val="270" w:hRule="atLeast"/>
        </w:trPr>
        <w:tc>
          <w:tcPr>
            <w:tcW w:w="1025" w:type="dxa"/>
            <w:tcBorders>
              <w:top w:val="single" w:sz="6" w:space="0" w:color="000000"/>
              <w:bottom w:val="single" w:sz="6" w:space="0" w:color="000000"/>
              <w:right w:val="single" w:sz="6" w:space="0" w:color="000000"/>
            </w:tcBorders>
          </w:tcPr>
          <w:p>
            <w:pPr>
              <w:pStyle w:val="TableParagraph"/>
              <w:spacing w:before="18"/>
              <w:ind w:left="282"/>
              <w:rPr>
                <w:sz w:val="20"/>
              </w:rPr>
            </w:pPr>
            <w:r>
              <w:rPr>
                <w:sz w:val="20"/>
              </w:rPr>
              <w:t>0x2E</w:t>
            </w:r>
          </w:p>
        </w:tc>
        <w:tc>
          <w:tcPr>
            <w:tcW w:w="1495" w:type="dxa"/>
            <w:tcBorders>
              <w:top w:val="single" w:sz="6" w:space="0" w:color="000000"/>
              <w:left w:val="single" w:sz="6" w:space="0" w:color="000000"/>
              <w:bottom w:val="single" w:sz="6" w:space="0" w:color="000000"/>
              <w:right w:val="single" w:sz="6" w:space="0" w:color="000000"/>
            </w:tcBorders>
          </w:tcPr>
          <w:p>
            <w:pPr>
              <w:pStyle w:val="TableParagraph"/>
              <w:spacing w:before="14"/>
              <w:ind w:left="100" w:right="37"/>
              <w:jc w:val="center"/>
              <w:rPr>
                <w:rFonts w:ascii="Times New Roman"/>
                <w:i/>
                <w:sz w:val="20"/>
              </w:rPr>
            </w:pPr>
            <w:r>
              <w:rPr>
                <w:rFonts w:ascii="Times New Roman"/>
                <w:i/>
                <w:sz w:val="20"/>
              </w:rPr>
              <w:t>QUANT_IC</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8"/>
              <w:ind w:left="7"/>
              <w:jc w:val="center"/>
              <w:rPr>
                <w:sz w:val="20"/>
              </w:rPr>
            </w:pPr>
            <w:r>
              <w:rPr>
                <w:w w:val="99"/>
                <w:sz w:val="20"/>
              </w:rPr>
              <w:t>0</w:t>
            </w:r>
          </w:p>
        </w:tc>
        <w:tc>
          <w:tcPr>
            <w:tcW w:w="5849" w:type="dxa"/>
            <w:vMerge w:val="restart"/>
            <w:tcBorders>
              <w:top w:val="single" w:sz="6" w:space="0" w:color="000000"/>
              <w:left w:val="single" w:sz="6" w:space="0" w:color="000000"/>
              <w:bottom w:val="single" w:sz="6" w:space="0" w:color="000000"/>
            </w:tcBorders>
          </w:tcPr>
          <w:p>
            <w:pPr>
              <w:pStyle w:val="TableParagraph"/>
              <w:spacing w:before="189"/>
              <w:ind w:left="105" w:right="442"/>
              <w:rPr>
                <w:sz w:val="20"/>
              </w:rPr>
            </w:pPr>
            <w:r>
              <w:rPr>
                <w:spacing w:val="-4"/>
                <w:sz w:val="20"/>
              </w:rPr>
              <w:t>Compensation factors </w:t>
            </w:r>
            <w:r>
              <w:rPr>
                <w:spacing w:val="-3"/>
                <w:sz w:val="20"/>
              </w:rPr>
              <w:t>for </w:t>
            </w:r>
            <w:r>
              <w:rPr>
                <w:spacing w:val="-4"/>
                <w:sz w:val="20"/>
              </w:rPr>
              <w:t>truncation </w:t>
            </w:r>
            <w:r>
              <w:rPr>
                <w:sz w:val="20"/>
              </w:rPr>
              <w:t>and </w:t>
            </w:r>
            <w:r>
              <w:rPr>
                <w:spacing w:val="-4"/>
                <w:sz w:val="20"/>
              </w:rPr>
              <w:t>noise </w:t>
            </w:r>
            <w:r>
              <w:rPr>
                <w:sz w:val="20"/>
              </w:rPr>
              <w:t>in </w:t>
            </w:r>
            <w:r>
              <w:rPr>
                <w:spacing w:val="-4"/>
                <w:sz w:val="20"/>
              </w:rPr>
              <w:t>current, </w:t>
            </w:r>
            <w:r>
              <w:rPr>
                <w:sz w:val="20"/>
              </w:rPr>
              <w:t>real energy and reactive energy for phase C.</w:t>
            </w:r>
          </w:p>
        </w:tc>
      </w:tr>
      <w:tr>
        <w:trPr>
          <w:trHeight w:val="268" w:hRule="atLeast"/>
        </w:trPr>
        <w:tc>
          <w:tcPr>
            <w:tcW w:w="1025" w:type="dxa"/>
            <w:tcBorders>
              <w:top w:val="single" w:sz="6" w:space="0" w:color="000000"/>
              <w:bottom w:val="single" w:sz="6" w:space="0" w:color="000000"/>
              <w:right w:val="single" w:sz="6" w:space="0" w:color="000000"/>
            </w:tcBorders>
          </w:tcPr>
          <w:p>
            <w:pPr>
              <w:pStyle w:val="TableParagraph"/>
              <w:spacing w:line="230" w:lineRule="exact" w:before="18"/>
              <w:ind w:left="290"/>
              <w:rPr>
                <w:sz w:val="20"/>
              </w:rPr>
            </w:pPr>
            <w:r>
              <w:rPr>
                <w:sz w:val="20"/>
              </w:rPr>
              <w:t>0x2F</w:t>
            </w:r>
          </w:p>
        </w:tc>
        <w:tc>
          <w:tcPr>
            <w:tcW w:w="1495" w:type="dxa"/>
            <w:tcBorders>
              <w:top w:val="single" w:sz="6" w:space="0" w:color="000000"/>
              <w:left w:val="single" w:sz="6" w:space="0" w:color="000000"/>
              <w:bottom w:val="single" w:sz="6" w:space="0" w:color="000000"/>
              <w:right w:val="single" w:sz="6" w:space="0" w:color="000000"/>
            </w:tcBorders>
          </w:tcPr>
          <w:p>
            <w:pPr>
              <w:pStyle w:val="TableParagraph"/>
              <w:spacing w:before="14"/>
              <w:ind w:left="100" w:right="38"/>
              <w:jc w:val="center"/>
              <w:rPr>
                <w:rFonts w:ascii="Times New Roman"/>
                <w:i/>
                <w:sz w:val="20"/>
              </w:rPr>
            </w:pPr>
            <w:r>
              <w:rPr>
                <w:rFonts w:ascii="Times New Roman"/>
                <w:i/>
                <w:sz w:val="20"/>
              </w:rPr>
              <w:t>QUANT_WC</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7"/>
              <w:jc w:val="center"/>
              <w:rPr>
                <w:sz w:val="20"/>
              </w:rPr>
            </w:pPr>
            <w:r>
              <w:rPr>
                <w:w w:val="99"/>
                <w:sz w:val="20"/>
              </w:rPr>
              <w:t>0</w:t>
            </w:r>
          </w:p>
        </w:tc>
        <w:tc>
          <w:tcPr>
            <w:tcW w:w="5849" w:type="dxa"/>
            <w:vMerge/>
            <w:tcBorders>
              <w:top w:val="nil"/>
              <w:left w:val="single" w:sz="6" w:space="0" w:color="000000"/>
              <w:bottom w:val="single" w:sz="6" w:space="0" w:color="000000"/>
            </w:tcBorders>
          </w:tcPr>
          <w:p>
            <w:pPr>
              <w:rPr>
                <w:sz w:val="2"/>
                <w:szCs w:val="2"/>
              </w:rPr>
            </w:pPr>
          </w:p>
        </w:tc>
      </w:tr>
      <w:tr>
        <w:trPr>
          <w:trHeight w:val="270" w:hRule="atLeast"/>
        </w:trPr>
        <w:tc>
          <w:tcPr>
            <w:tcW w:w="1025" w:type="dxa"/>
            <w:tcBorders>
              <w:top w:val="single" w:sz="6" w:space="0" w:color="000000"/>
              <w:bottom w:val="single" w:sz="6" w:space="0" w:color="000000"/>
              <w:right w:val="single" w:sz="6" w:space="0" w:color="000000"/>
            </w:tcBorders>
          </w:tcPr>
          <w:p>
            <w:pPr>
              <w:pStyle w:val="TableParagraph"/>
              <w:spacing w:line="230" w:lineRule="exact" w:before="21"/>
              <w:ind w:left="295"/>
              <w:rPr>
                <w:sz w:val="20"/>
              </w:rPr>
            </w:pPr>
            <w:r>
              <w:rPr>
                <w:sz w:val="20"/>
              </w:rPr>
              <w:t>0x30</w:t>
            </w:r>
          </w:p>
        </w:tc>
        <w:tc>
          <w:tcPr>
            <w:tcW w:w="1495" w:type="dxa"/>
            <w:tcBorders>
              <w:top w:val="single" w:sz="6" w:space="0" w:color="000000"/>
              <w:left w:val="single" w:sz="6" w:space="0" w:color="000000"/>
              <w:bottom w:val="single" w:sz="6" w:space="0" w:color="000000"/>
              <w:right w:val="single" w:sz="6" w:space="0" w:color="000000"/>
            </w:tcBorders>
          </w:tcPr>
          <w:p>
            <w:pPr>
              <w:pStyle w:val="TableParagraph"/>
              <w:spacing w:before="17"/>
              <w:ind w:left="100" w:right="35"/>
              <w:jc w:val="center"/>
              <w:rPr>
                <w:rFonts w:ascii="Times New Roman"/>
                <w:i/>
                <w:sz w:val="20"/>
              </w:rPr>
            </w:pPr>
            <w:r>
              <w:rPr>
                <w:rFonts w:ascii="Times New Roman"/>
                <w:i/>
                <w:sz w:val="20"/>
              </w:rPr>
              <w:t>QUANT_VARC</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21"/>
              <w:ind w:left="7"/>
              <w:jc w:val="center"/>
              <w:rPr>
                <w:sz w:val="20"/>
              </w:rPr>
            </w:pPr>
            <w:r>
              <w:rPr>
                <w:w w:val="99"/>
                <w:sz w:val="20"/>
              </w:rPr>
              <w:t>0</w:t>
            </w:r>
          </w:p>
        </w:tc>
        <w:tc>
          <w:tcPr>
            <w:tcW w:w="5849" w:type="dxa"/>
            <w:vMerge/>
            <w:tcBorders>
              <w:top w:val="nil"/>
              <w:left w:val="single" w:sz="6" w:space="0" w:color="000000"/>
              <w:bottom w:val="single" w:sz="6" w:space="0" w:color="000000"/>
            </w:tcBorders>
          </w:tcPr>
          <w:p>
            <w:pPr>
              <w:rPr>
                <w:sz w:val="2"/>
                <w:szCs w:val="2"/>
              </w:rPr>
            </w:pPr>
          </w:p>
        </w:tc>
      </w:tr>
      <w:tr>
        <w:trPr>
          <w:trHeight w:val="500" w:hRule="atLeast"/>
        </w:trPr>
        <w:tc>
          <w:tcPr>
            <w:tcW w:w="1025" w:type="dxa"/>
            <w:tcBorders>
              <w:top w:val="single" w:sz="6" w:space="0" w:color="000000"/>
              <w:bottom w:val="single" w:sz="6" w:space="0" w:color="000000"/>
              <w:right w:val="single" w:sz="6" w:space="0" w:color="000000"/>
            </w:tcBorders>
          </w:tcPr>
          <w:p>
            <w:pPr>
              <w:pStyle w:val="TableParagraph"/>
              <w:spacing w:before="133"/>
              <w:ind w:left="295"/>
              <w:rPr>
                <w:sz w:val="20"/>
              </w:rPr>
            </w:pPr>
            <w:r>
              <w:rPr>
                <w:sz w:val="20"/>
              </w:rPr>
              <w:t>0x31</w:t>
            </w:r>
          </w:p>
        </w:tc>
        <w:tc>
          <w:tcPr>
            <w:tcW w:w="1495" w:type="dxa"/>
            <w:tcBorders>
              <w:top w:val="single" w:sz="6" w:space="0" w:color="000000"/>
              <w:left w:val="single" w:sz="6" w:space="0" w:color="000000"/>
              <w:bottom w:val="single" w:sz="6" w:space="0" w:color="000000"/>
              <w:right w:val="single" w:sz="6" w:space="0" w:color="000000"/>
            </w:tcBorders>
          </w:tcPr>
          <w:p>
            <w:pPr>
              <w:pStyle w:val="TableParagraph"/>
              <w:spacing w:before="130"/>
              <w:ind w:left="100" w:right="36"/>
              <w:jc w:val="center"/>
              <w:rPr>
                <w:rFonts w:ascii="Times New Roman"/>
                <w:i/>
                <w:sz w:val="20"/>
              </w:rPr>
            </w:pPr>
            <w:r>
              <w:rPr>
                <w:rFonts w:ascii="Times New Roman"/>
                <w:i/>
                <w:sz w:val="20"/>
              </w:rPr>
              <w:t>QUANT_ID</w:t>
            </w:r>
          </w:p>
        </w:tc>
        <w:tc>
          <w:tcPr>
            <w:tcW w:w="991" w:type="dxa"/>
            <w:tcBorders>
              <w:top w:val="single" w:sz="6" w:space="0" w:color="000000"/>
              <w:left w:val="single" w:sz="6" w:space="0" w:color="000000"/>
              <w:bottom w:val="single" w:sz="6" w:space="0" w:color="000000"/>
              <w:right w:val="single" w:sz="6" w:space="0" w:color="000000"/>
            </w:tcBorders>
          </w:tcPr>
          <w:p>
            <w:pPr>
              <w:pStyle w:val="TableParagraph"/>
              <w:spacing w:before="133"/>
              <w:ind w:left="7"/>
              <w:jc w:val="center"/>
              <w:rPr>
                <w:sz w:val="20"/>
              </w:rPr>
            </w:pPr>
            <w:r>
              <w:rPr>
                <w:w w:val="99"/>
                <w:sz w:val="20"/>
              </w:rPr>
              <w:t>0</w:t>
            </w:r>
          </w:p>
        </w:tc>
        <w:tc>
          <w:tcPr>
            <w:tcW w:w="5849" w:type="dxa"/>
            <w:tcBorders>
              <w:top w:val="single" w:sz="6" w:space="0" w:color="000000"/>
              <w:left w:val="single" w:sz="6" w:space="0" w:color="000000"/>
              <w:bottom w:val="single" w:sz="6" w:space="0" w:color="000000"/>
            </w:tcBorders>
          </w:tcPr>
          <w:p>
            <w:pPr>
              <w:pStyle w:val="TableParagraph"/>
              <w:spacing w:before="18"/>
              <w:ind w:left="105" w:right="442"/>
              <w:rPr>
                <w:sz w:val="20"/>
              </w:rPr>
            </w:pPr>
            <w:r>
              <w:rPr>
                <w:sz w:val="20"/>
              </w:rPr>
              <w:t>Compensation factors for truncation and noise in current for phase D.</w:t>
            </w:r>
          </w:p>
        </w:tc>
      </w:tr>
      <w:tr>
        <w:trPr>
          <w:trHeight w:val="3669" w:hRule="atLeast"/>
        </w:trPr>
        <w:tc>
          <w:tcPr>
            <w:tcW w:w="9360" w:type="dxa"/>
            <w:gridSpan w:val="4"/>
            <w:tcBorders>
              <w:top w:val="single" w:sz="6" w:space="0" w:color="000000"/>
            </w:tcBorders>
          </w:tcPr>
          <w:p>
            <w:pPr>
              <w:pStyle w:val="TableParagraph"/>
              <w:spacing w:line="227" w:lineRule="exact"/>
              <w:ind w:left="107"/>
              <w:rPr>
                <w:sz w:val="20"/>
              </w:rPr>
            </w:pPr>
            <w:r>
              <w:rPr>
                <w:sz w:val="20"/>
              </w:rPr>
              <w:t>LSB weights for use with the 71M6xx3 isolated sensors:</w:t>
            </w:r>
          </w:p>
          <w:p>
            <w:pPr>
              <w:pStyle w:val="TableParagraph"/>
              <w:spacing w:line="386" w:lineRule="auto" w:before="143"/>
              <w:ind w:left="857" w:right="2122"/>
              <w:rPr>
                <w:rFonts w:ascii="Times New Roman" w:hAnsi="Times New Roman"/>
                <w:sz w:val="25"/>
              </w:rPr>
            </w:pPr>
            <w:r>
              <w:rPr>
                <w:rFonts w:ascii="Times New Roman" w:hAnsi="Times New Roman"/>
                <w:i/>
                <w:sz w:val="25"/>
              </w:rPr>
              <w:t>QUANT </w:t>
            </w:r>
            <w:r>
              <w:rPr>
                <w:rFonts w:ascii="Times New Roman" w:hAnsi="Times New Roman"/>
                <w:sz w:val="25"/>
              </w:rPr>
              <w:t>_ </w:t>
            </w:r>
            <w:r>
              <w:rPr>
                <w:rFonts w:ascii="Times New Roman" w:hAnsi="Times New Roman"/>
                <w:i/>
                <w:sz w:val="25"/>
              </w:rPr>
              <w:t>Ix </w:t>
            </w:r>
            <w:r>
              <w:rPr>
                <w:rFonts w:ascii="Times New Roman" w:hAnsi="Times New Roman"/>
                <w:sz w:val="25"/>
              </w:rPr>
              <w:t>_ </w:t>
            </w:r>
            <w:r>
              <w:rPr>
                <w:rFonts w:ascii="Times New Roman" w:hAnsi="Times New Roman"/>
                <w:i/>
                <w:sz w:val="25"/>
              </w:rPr>
              <w:t>LSB </w:t>
            </w:r>
            <w:r>
              <w:rPr>
                <w:rFonts w:ascii="Symbol" w:hAnsi="Symbol"/>
                <w:sz w:val="25"/>
              </w:rPr>
              <w:t></w:t>
            </w:r>
            <w:r>
              <w:rPr>
                <w:rFonts w:ascii="Times New Roman" w:hAnsi="Times New Roman"/>
                <w:sz w:val="25"/>
              </w:rPr>
              <w:t> 5.20864 </w:t>
            </w:r>
            <w:r>
              <w:rPr>
                <w:rFonts w:ascii="Symbol" w:hAnsi="Symbol"/>
                <w:spacing w:val="3"/>
                <w:sz w:val="25"/>
              </w:rPr>
              <w:t></w:t>
            </w:r>
            <w:r>
              <w:rPr>
                <w:rFonts w:ascii="Times New Roman" w:hAnsi="Times New Roman"/>
                <w:spacing w:val="3"/>
                <w:sz w:val="25"/>
              </w:rPr>
              <w:t>10</w:t>
            </w:r>
            <w:r>
              <w:rPr>
                <w:rFonts w:ascii="Symbol" w:hAnsi="Symbol"/>
                <w:spacing w:val="3"/>
                <w:sz w:val="25"/>
                <w:vertAlign w:val="superscript"/>
              </w:rPr>
              <w:t></w:t>
            </w:r>
            <w:r>
              <w:rPr>
                <w:rFonts w:ascii="Times New Roman" w:hAnsi="Times New Roman"/>
                <w:spacing w:val="3"/>
                <w:sz w:val="25"/>
                <w:vertAlign w:val="superscript"/>
              </w:rPr>
              <w:t>10</w:t>
            </w:r>
            <w:r>
              <w:rPr>
                <w:rFonts w:ascii="Times New Roman" w:hAnsi="Times New Roman"/>
                <w:spacing w:val="3"/>
                <w:sz w:val="25"/>
                <w:vertAlign w:val="baseline"/>
              </w:rPr>
              <w:t> </w:t>
            </w:r>
            <w:r>
              <w:rPr>
                <w:rFonts w:ascii="Symbol" w:hAnsi="Symbol"/>
                <w:w w:val="90"/>
                <w:sz w:val="25"/>
                <w:vertAlign w:val="baseline"/>
              </w:rPr>
              <w:t></w:t>
            </w:r>
            <w:r>
              <w:rPr>
                <w:rFonts w:ascii="Times New Roman" w:hAnsi="Times New Roman"/>
                <w:w w:val="90"/>
                <w:sz w:val="25"/>
                <w:vertAlign w:val="baseline"/>
              </w:rPr>
              <w:t> </w:t>
            </w:r>
            <w:r>
              <w:rPr>
                <w:rFonts w:ascii="Times New Roman" w:hAnsi="Times New Roman"/>
                <w:i/>
                <w:sz w:val="25"/>
                <w:vertAlign w:val="baseline"/>
              </w:rPr>
              <w:t>IMAX </w:t>
            </w:r>
            <w:r>
              <w:rPr>
                <w:rFonts w:ascii="Times New Roman" w:hAnsi="Times New Roman"/>
                <w:sz w:val="25"/>
                <w:vertAlign w:val="superscript"/>
              </w:rPr>
              <w:t>2</w:t>
            </w:r>
            <w:r>
              <w:rPr>
                <w:rFonts w:ascii="Times New Roman" w:hAnsi="Times New Roman"/>
                <w:sz w:val="25"/>
                <w:vertAlign w:val="baseline"/>
              </w:rPr>
              <w:t> ( </w:t>
            </w:r>
            <w:r>
              <w:rPr>
                <w:rFonts w:ascii="Times New Roman" w:hAnsi="Times New Roman"/>
                <w:i/>
                <w:spacing w:val="3"/>
                <w:sz w:val="25"/>
                <w:vertAlign w:val="baseline"/>
              </w:rPr>
              <w:t>Amps</w:t>
            </w:r>
            <w:r>
              <w:rPr>
                <w:rFonts w:ascii="Times New Roman" w:hAnsi="Times New Roman"/>
                <w:spacing w:val="3"/>
                <w:sz w:val="25"/>
                <w:vertAlign w:val="superscript"/>
              </w:rPr>
              <w:t>2</w:t>
            </w:r>
            <w:r>
              <w:rPr>
                <w:rFonts w:ascii="Times New Roman" w:hAnsi="Times New Roman"/>
                <w:spacing w:val="3"/>
                <w:sz w:val="25"/>
                <w:vertAlign w:val="baseline"/>
              </w:rPr>
              <w:t> </w:t>
            </w:r>
            <w:r>
              <w:rPr>
                <w:rFonts w:ascii="Times New Roman" w:hAnsi="Times New Roman"/>
                <w:sz w:val="25"/>
                <w:vertAlign w:val="baseline"/>
              </w:rPr>
              <w:t>) </w:t>
            </w:r>
            <w:r>
              <w:rPr>
                <w:rFonts w:ascii="Times New Roman" w:hAnsi="Times New Roman"/>
                <w:i/>
                <w:sz w:val="25"/>
                <w:vertAlign w:val="baseline"/>
              </w:rPr>
              <w:t>QUANT</w:t>
            </w:r>
            <w:r>
              <w:rPr>
                <w:rFonts w:ascii="Times New Roman" w:hAnsi="Times New Roman"/>
                <w:i/>
                <w:spacing w:val="-26"/>
                <w:sz w:val="25"/>
                <w:vertAlign w:val="baseline"/>
              </w:rPr>
              <w:t> </w:t>
            </w:r>
            <w:r>
              <w:rPr>
                <w:rFonts w:ascii="Times New Roman" w:hAnsi="Times New Roman"/>
                <w:spacing w:val="5"/>
                <w:sz w:val="25"/>
                <w:vertAlign w:val="baseline"/>
              </w:rPr>
              <w:t>_</w:t>
            </w:r>
            <w:r>
              <w:rPr>
                <w:rFonts w:ascii="Times New Roman" w:hAnsi="Times New Roman"/>
                <w:i/>
                <w:spacing w:val="5"/>
                <w:sz w:val="25"/>
                <w:vertAlign w:val="baseline"/>
              </w:rPr>
              <w:t>Wx</w:t>
            </w:r>
            <w:r>
              <w:rPr>
                <w:rFonts w:ascii="Times New Roman" w:hAnsi="Times New Roman"/>
                <w:i/>
                <w:spacing w:val="-41"/>
                <w:sz w:val="25"/>
                <w:vertAlign w:val="baseline"/>
              </w:rPr>
              <w:t> </w:t>
            </w:r>
            <w:r>
              <w:rPr>
                <w:rFonts w:ascii="Times New Roman" w:hAnsi="Times New Roman"/>
                <w:sz w:val="25"/>
                <w:vertAlign w:val="baseline"/>
              </w:rPr>
              <w:t>_</w:t>
            </w:r>
            <w:r>
              <w:rPr>
                <w:rFonts w:ascii="Times New Roman" w:hAnsi="Times New Roman"/>
                <w:spacing w:val="-36"/>
                <w:sz w:val="25"/>
                <w:vertAlign w:val="baseline"/>
              </w:rPr>
              <w:t> </w:t>
            </w:r>
            <w:r>
              <w:rPr>
                <w:rFonts w:ascii="Times New Roman" w:hAnsi="Times New Roman"/>
                <w:i/>
                <w:sz w:val="25"/>
                <w:vertAlign w:val="baseline"/>
              </w:rPr>
              <w:t>LSB</w:t>
            </w:r>
            <w:r>
              <w:rPr>
                <w:rFonts w:ascii="Times New Roman" w:hAnsi="Times New Roman"/>
                <w:i/>
                <w:spacing w:val="-29"/>
                <w:sz w:val="25"/>
                <w:vertAlign w:val="baseline"/>
              </w:rPr>
              <w:t> </w:t>
            </w:r>
            <w:r>
              <w:rPr>
                <w:rFonts w:ascii="Symbol" w:hAnsi="Symbol"/>
                <w:sz w:val="25"/>
                <w:vertAlign w:val="baseline"/>
              </w:rPr>
              <w:t></w:t>
            </w:r>
            <w:r>
              <w:rPr>
                <w:rFonts w:ascii="Times New Roman" w:hAnsi="Times New Roman"/>
                <w:spacing w:val="-38"/>
                <w:sz w:val="25"/>
                <w:vertAlign w:val="baseline"/>
              </w:rPr>
              <w:t> </w:t>
            </w:r>
            <w:r>
              <w:rPr>
                <w:rFonts w:ascii="Times New Roman" w:hAnsi="Times New Roman"/>
                <w:sz w:val="25"/>
                <w:vertAlign w:val="baseline"/>
              </w:rPr>
              <w:t>8.59147</w:t>
            </w:r>
            <w:r>
              <w:rPr>
                <w:rFonts w:ascii="Times New Roman" w:hAnsi="Times New Roman"/>
                <w:spacing w:val="-43"/>
                <w:sz w:val="25"/>
                <w:vertAlign w:val="baseline"/>
              </w:rPr>
              <w:t> </w:t>
            </w:r>
            <w:r>
              <w:rPr>
                <w:rFonts w:ascii="Symbol" w:hAnsi="Symbol"/>
                <w:spacing w:val="2"/>
                <w:sz w:val="25"/>
                <w:vertAlign w:val="baseline"/>
              </w:rPr>
              <w:t></w:t>
            </w:r>
            <w:r>
              <w:rPr>
                <w:rFonts w:ascii="Times New Roman" w:hAnsi="Times New Roman"/>
                <w:spacing w:val="2"/>
                <w:sz w:val="25"/>
                <w:vertAlign w:val="baseline"/>
              </w:rPr>
              <w:t>10</w:t>
            </w:r>
            <w:r>
              <w:rPr>
                <w:rFonts w:ascii="Symbol" w:hAnsi="Symbol"/>
                <w:spacing w:val="2"/>
                <w:sz w:val="25"/>
                <w:vertAlign w:val="superscript"/>
              </w:rPr>
              <w:t></w:t>
            </w:r>
            <w:r>
              <w:rPr>
                <w:rFonts w:ascii="Times New Roman" w:hAnsi="Times New Roman"/>
                <w:spacing w:val="2"/>
                <w:sz w:val="25"/>
                <w:vertAlign w:val="superscript"/>
              </w:rPr>
              <w:t>10</w:t>
            </w:r>
            <w:r>
              <w:rPr>
                <w:rFonts w:ascii="Times New Roman" w:hAnsi="Times New Roman"/>
                <w:spacing w:val="-29"/>
                <w:sz w:val="25"/>
                <w:vertAlign w:val="baseline"/>
              </w:rPr>
              <w:t> </w:t>
            </w:r>
            <w:r>
              <w:rPr>
                <w:rFonts w:ascii="Symbol" w:hAnsi="Symbol"/>
                <w:sz w:val="25"/>
                <w:vertAlign w:val="baseline"/>
              </w:rPr>
              <w:t></w:t>
            </w:r>
            <w:r>
              <w:rPr>
                <w:rFonts w:ascii="Times New Roman" w:hAnsi="Times New Roman"/>
                <w:i/>
                <w:sz w:val="25"/>
                <w:vertAlign w:val="baseline"/>
              </w:rPr>
              <w:t>VMAX</w:t>
            </w:r>
            <w:r>
              <w:rPr>
                <w:rFonts w:ascii="Times New Roman" w:hAnsi="Times New Roman"/>
                <w:i/>
                <w:spacing w:val="-22"/>
                <w:sz w:val="25"/>
                <w:vertAlign w:val="baseline"/>
              </w:rPr>
              <w:t> </w:t>
            </w:r>
            <w:r>
              <w:rPr>
                <w:rFonts w:ascii="Symbol" w:hAnsi="Symbol"/>
                <w:w w:val="90"/>
                <w:sz w:val="25"/>
                <w:vertAlign w:val="baseline"/>
              </w:rPr>
              <w:t></w:t>
            </w:r>
            <w:r>
              <w:rPr>
                <w:rFonts w:ascii="Times New Roman" w:hAnsi="Times New Roman"/>
                <w:spacing w:val="-32"/>
                <w:w w:val="90"/>
                <w:sz w:val="25"/>
                <w:vertAlign w:val="baseline"/>
              </w:rPr>
              <w:t> </w:t>
            </w:r>
            <w:r>
              <w:rPr>
                <w:rFonts w:ascii="Times New Roman" w:hAnsi="Times New Roman"/>
                <w:i/>
                <w:sz w:val="25"/>
                <w:vertAlign w:val="baseline"/>
              </w:rPr>
              <w:t>IMAX</w:t>
            </w:r>
            <w:r>
              <w:rPr>
                <w:rFonts w:ascii="Times New Roman" w:hAnsi="Times New Roman"/>
                <w:i/>
                <w:spacing w:val="-41"/>
                <w:sz w:val="25"/>
                <w:vertAlign w:val="baseline"/>
              </w:rPr>
              <w:t> </w:t>
            </w:r>
            <w:r>
              <w:rPr>
                <w:rFonts w:ascii="Times New Roman" w:hAnsi="Times New Roman"/>
                <w:sz w:val="25"/>
                <w:vertAlign w:val="baseline"/>
              </w:rPr>
              <w:t>(</w:t>
            </w:r>
            <w:r>
              <w:rPr>
                <w:rFonts w:ascii="Times New Roman" w:hAnsi="Times New Roman"/>
                <w:i/>
                <w:sz w:val="25"/>
                <w:vertAlign w:val="baseline"/>
              </w:rPr>
              <w:t>Watts</w:t>
            </w:r>
            <w:r>
              <w:rPr>
                <w:rFonts w:ascii="Times New Roman" w:hAnsi="Times New Roman"/>
                <w:sz w:val="25"/>
                <w:vertAlign w:val="baseline"/>
              </w:rPr>
              <w:t>) </w:t>
            </w:r>
            <w:r>
              <w:rPr>
                <w:rFonts w:ascii="Times New Roman" w:hAnsi="Times New Roman"/>
                <w:i/>
                <w:sz w:val="25"/>
                <w:vertAlign w:val="baseline"/>
              </w:rPr>
              <w:t>QUANT</w:t>
            </w:r>
            <w:r>
              <w:rPr>
                <w:rFonts w:ascii="Times New Roman" w:hAnsi="Times New Roman"/>
                <w:i/>
                <w:spacing w:val="-35"/>
                <w:sz w:val="25"/>
                <w:vertAlign w:val="baseline"/>
              </w:rPr>
              <w:t> </w:t>
            </w:r>
            <w:r>
              <w:rPr>
                <w:rFonts w:ascii="Times New Roman" w:hAnsi="Times New Roman"/>
                <w:spacing w:val="3"/>
                <w:sz w:val="25"/>
                <w:vertAlign w:val="baseline"/>
              </w:rPr>
              <w:t>_</w:t>
            </w:r>
            <w:r>
              <w:rPr>
                <w:rFonts w:ascii="Times New Roman" w:hAnsi="Times New Roman"/>
                <w:i/>
                <w:spacing w:val="3"/>
                <w:sz w:val="25"/>
                <w:vertAlign w:val="baseline"/>
              </w:rPr>
              <w:t>VARx</w:t>
            </w:r>
            <w:r>
              <w:rPr>
                <w:rFonts w:ascii="Times New Roman" w:hAnsi="Times New Roman"/>
                <w:i/>
                <w:spacing w:val="-46"/>
                <w:sz w:val="25"/>
                <w:vertAlign w:val="baseline"/>
              </w:rPr>
              <w:t> </w:t>
            </w:r>
            <w:r>
              <w:rPr>
                <w:rFonts w:ascii="Times New Roman" w:hAnsi="Times New Roman"/>
                <w:sz w:val="25"/>
                <w:vertAlign w:val="baseline"/>
              </w:rPr>
              <w:t>_</w:t>
            </w:r>
            <w:r>
              <w:rPr>
                <w:rFonts w:ascii="Times New Roman" w:hAnsi="Times New Roman"/>
                <w:spacing w:val="-42"/>
                <w:sz w:val="25"/>
                <w:vertAlign w:val="baseline"/>
              </w:rPr>
              <w:t> </w:t>
            </w:r>
            <w:r>
              <w:rPr>
                <w:rFonts w:ascii="Times New Roman" w:hAnsi="Times New Roman"/>
                <w:i/>
                <w:sz w:val="25"/>
                <w:vertAlign w:val="baseline"/>
              </w:rPr>
              <w:t>LSB</w:t>
            </w:r>
            <w:r>
              <w:rPr>
                <w:rFonts w:ascii="Times New Roman" w:hAnsi="Times New Roman"/>
                <w:i/>
                <w:spacing w:val="-37"/>
                <w:sz w:val="25"/>
                <w:vertAlign w:val="baseline"/>
              </w:rPr>
              <w:t> </w:t>
            </w:r>
            <w:r>
              <w:rPr>
                <w:rFonts w:ascii="Symbol" w:hAnsi="Symbol"/>
                <w:sz w:val="25"/>
                <w:vertAlign w:val="baseline"/>
              </w:rPr>
              <w:t></w:t>
            </w:r>
            <w:r>
              <w:rPr>
                <w:rFonts w:ascii="Times New Roman" w:hAnsi="Times New Roman"/>
                <w:spacing w:val="-45"/>
                <w:sz w:val="25"/>
                <w:vertAlign w:val="baseline"/>
              </w:rPr>
              <w:t> </w:t>
            </w:r>
            <w:r>
              <w:rPr>
                <w:rFonts w:ascii="Times New Roman" w:hAnsi="Times New Roman"/>
                <w:sz w:val="25"/>
                <w:vertAlign w:val="baseline"/>
              </w:rPr>
              <w:t>8.59147</w:t>
            </w:r>
            <w:r>
              <w:rPr>
                <w:rFonts w:ascii="Times New Roman" w:hAnsi="Times New Roman"/>
                <w:spacing w:val="-48"/>
                <w:sz w:val="25"/>
                <w:vertAlign w:val="baseline"/>
              </w:rPr>
              <w:t> </w:t>
            </w:r>
            <w:r>
              <w:rPr>
                <w:rFonts w:ascii="Symbol" w:hAnsi="Symbol"/>
                <w:spacing w:val="2"/>
                <w:sz w:val="25"/>
                <w:vertAlign w:val="baseline"/>
              </w:rPr>
              <w:t></w:t>
            </w:r>
            <w:r>
              <w:rPr>
                <w:rFonts w:ascii="Times New Roman" w:hAnsi="Times New Roman"/>
                <w:spacing w:val="2"/>
                <w:sz w:val="25"/>
                <w:vertAlign w:val="baseline"/>
              </w:rPr>
              <w:t>10</w:t>
            </w:r>
            <w:r>
              <w:rPr>
                <w:rFonts w:ascii="Symbol" w:hAnsi="Symbol"/>
                <w:spacing w:val="2"/>
                <w:sz w:val="25"/>
                <w:vertAlign w:val="superscript"/>
              </w:rPr>
              <w:t></w:t>
            </w:r>
            <w:r>
              <w:rPr>
                <w:rFonts w:ascii="Times New Roman" w:hAnsi="Times New Roman"/>
                <w:spacing w:val="2"/>
                <w:sz w:val="25"/>
                <w:vertAlign w:val="superscript"/>
              </w:rPr>
              <w:t>10</w:t>
            </w:r>
            <w:r>
              <w:rPr>
                <w:rFonts w:ascii="Times New Roman" w:hAnsi="Times New Roman"/>
                <w:spacing w:val="-37"/>
                <w:sz w:val="25"/>
                <w:vertAlign w:val="baseline"/>
              </w:rPr>
              <w:t> </w:t>
            </w:r>
            <w:r>
              <w:rPr>
                <w:rFonts w:ascii="Symbol" w:hAnsi="Symbol"/>
                <w:sz w:val="25"/>
                <w:vertAlign w:val="baseline"/>
              </w:rPr>
              <w:t></w:t>
            </w:r>
            <w:r>
              <w:rPr>
                <w:rFonts w:ascii="Times New Roman" w:hAnsi="Times New Roman"/>
                <w:i/>
                <w:sz w:val="25"/>
                <w:vertAlign w:val="baseline"/>
              </w:rPr>
              <w:t>VMAX</w:t>
            </w:r>
            <w:r>
              <w:rPr>
                <w:rFonts w:ascii="Times New Roman" w:hAnsi="Times New Roman"/>
                <w:i/>
                <w:spacing w:val="-32"/>
                <w:sz w:val="25"/>
                <w:vertAlign w:val="baseline"/>
              </w:rPr>
              <w:t> </w:t>
            </w:r>
            <w:r>
              <w:rPr>
                <w:rFonts w:ascii="Symbol" w:hAnsi="Symbol"/>
                <w:w w:val="90"/>
                <w:sz w:val="25"/>
                <w:vertAlign w:val="baseline"/>
              </w:rPr>
              <w:t></w:t>
            </w:r>
            <w:r>
              <w:rPr>
                <w:rFonts w:ascii="Times New Roman" w:hAnsi="Times New Roman"/>
                <w:spacing w:val="-38"/>
                <w:w w:val="90"/>
                <w:sz w:val="25"/>
                <w:vertAlign w:val="baseline"/>
              </w:rPr>
              <w:t> </w:t>
            </w:r>
            <w:r>
              <w:rPr>
                <w:rFonts w:ascii="Times New Roman" w:hAnsi="Times New Roman"/>
                <w:i/>
                <w:sz w:val="25"/>
                <w:vertAlign w:val="baseline"/>
              </w:rPr>
              <w:t>IMAX</w:t>
            </w:r>
            <w:r>
              <w:rPr>
                <w:rFonts w:ascii="Times New Roman" w:hAnsi="Times New Roman"/>
                <w:i/>
                <w:spacing w:val="-46"/>
                <w:sz w:val="25"/>
                <w:vertAlign w:val="baseline"/>
              </w:rPr>
              <w:t> </w:t>
            </w:r>
            <w:r>
              <w:rPr>
                <w:rFonts w:ascii="Times New Roman" w:hAnsi="Times New Roman"/>
                <w:sz w:val="25"/>
                <w:vertAlign w:val="baseline"/>
              </w:rPr>
              <w:t>(</w:t>
            </w:r>
            <w:r>
              <w:rPr>
                <w:rFonts w:ascii="Times New Roman" w:hAnsi="Times New Roman"/>
                <w:i/>
                <w:sz w:val="25"/>
                <w:vertAlign w:val="baseline"/>
              </w:rPr>
              <w:t>Vars</w:t>
            </w:r>
            <w:r>
              <w:rPr>
                <w:rFonts w:ascii="Times New Roman" w:hAnsi="Times New Roman"/>
                <w:sz w:val="25"/>
                <w:vertAlign w:val="baseline"/>
              </w:rPr>
              <w:t>)</w:t>
            </w:r>
          </w:p>
          <w:p>
            <w:pPr>
              <w:pStyle w:val="TableParagraph"/>
              <w:spacing w:line="213" w:lineRule="exact"/>
              <w:ind w:left="107"/>
              <w:rPr>
                <w:sz w:val="20"/>
              </w:rPr>
            </w:pPr>
            <w:r>
              <w:rPr>
                <w:sz w:val="20"/>
              </w:rPr>
              <w:t>LSB weights for use with Current Transformers (CTs):</w:t>
            </w:r>
          </w:p>
          <w:p>
            <w:pPr>
              <w:pStyle w:val="TableParagraph"/>
              <w:spacing w:before="142"/>
              <w:ind w:left="858"/>
              <w:rPr>
                <w:rFonts w:ascii="Times New Roman" w:hAnsi="Times New Roman"/>
                <w:sz w:val="25"/>
              </w:rPr>
            </w:pPr>
            <w:r>
              <w:rPr>
                <w:rFonts w:ascii="Times New Roman" w:hAnsi="Times New Roman"/>
                <w:i/>
                <w:sz w:val="25"/>
              </w:rPr>
              <w:t>QUANT </w:t>
            </w:r>
            <w:r>
              <w:rPr>
                <w:rFonts w:ascii="Times New Roman" w:hAnsi="Times New Roman"/>
                <w:sz w:val="25"/>
              </w:rPr>
              <w:t>_ </w:t>
            </w:r>
            <w:r>
              <w:rPr>
                <w:rFonts w:ascii="Times New Roman" w:hAnsi="Times New Roman"/>
                <w:i/>
                <w:sz w:val="25"/>
              </w:rPr>
              <w:t>Ix </w:t>
            </w:r>
            <w:r>
              <w:rPr>
                <w:rFonts w:ascii="Times New Roman" w:hAnsi="Times New Roman"/>
                <w:sz w:val="25"/>
              </w:rPr>
              <w:t>_ </w:t>
            </w:r>
            <w:r>
              <w:rPr>
                <w:rFonts w:ascii="Times New Roman" w:hAnsi="Times New Roman"/>
                <w:i/>
                <w:sz w:val="25"/>
              </w:rPr>
              <w:t>LSB </w:t>
            </w:r>
            <w:r>
              <w:rPr>
                <w:rFonts w:ascii="Symbol" w:hAnsi="Symbol"/>
                <w:sz w:val="25"/>
              </w:rPr>
              <w:t></w:t>
            </w:r>
            <w:r>
              <w:rPr>
                <w:rFonts w:ascii="Times New Roman" w:hAnsi="Times New Roman"/>
                <w:sz w:val="25"/>
              </w:rPr>
              <w:t> 5.08656 </w:t>
            </w:r>
            <w:r>
              <w:rPr>
                <w:rFonts w:ascii="Symbol" w:hAnsi="Symbol"/>
                <w:sz w:val="25"/>
              </w:rPr>
              <w:t></w:t>
            </w:r>
            <w:r>
              <w:rPr>
                <w:rFonts w:ascii="Times New Roman" w:hAnsi="Times New Roman"/>
                <w:sz w:val="25"/>
              </w:rPr>
              <w:t>10</w:t>
            </w:r>
            <w:r>
              <w:rPr>
                <w:rFonts w:ascii="Symbol" w:hAnsi="Symbol"/>
                <w:sz w:val="25"/>
                <w:vertAlign w:val="superscript"/>
              </w:rPr>
              <w:t></w:t>
            </w:r>
            <w:r>
              <w:rPr>
                <w:rFonts w:ascii="Times New Roman" w:hAnsi="Times New Roman"/>
                <w:sz w:val="25"/>
                <w:vertAlign w:val="superscript"/>
              </w:rPr>
              <w:t>13</w:t>
            </w:r>
            <w:r>
              <w:rPr>
                <w:rFonts w:ascii="Times New Roman" w:hAnsi="Times New Roman"/>
                <w:sz w:val="25"/>
                <w:vertAlign w:val="baseline"/>
              </w:rPr>
              <w:t> </w:t>
            </w:r>
            <w:r>
              <w:rPr>
                <w:rFonts w:ascii="Symbol" w:hAnsi="Symbol"/>
                <w:w w:val="90"/>
                <w:sz w:val="25"/>
                <w:vertAlign w:val="baseline"/>
              </w:rPr>
              <w:t></w:t>
            </w:r>
            <w:r>
              <w:rPr>
                <w:rFonts w:ascii="Times New Roman" w:hAnsi="Times New Roman"/>
                <w:w w:val="90"/>
                <w:sz w:val="25"/>
                <w:vertAlign w:val="baseline"/>
              </w:rPr>
              <w:t> </w:t>
            </w:r>
            <w:r>
              <w:rPr>
                <w:rFonts w:ascii="Times New Roman" w:hAnsi="Times New Roman"/>
                <w:i/>
                <w:sz w:val="25"/>
                <w:vertAlign w:val="baseline"/>
              </w:rPr>
              <w:t>IMAX </w:t>
            </w:r>
            <w:r>
              <w:rPr>
                <w:rFonts w:ascii="Times New Roman" w:hAnsi="Times New Roman"/>
                <w:sz w:val="25"/>
                <w:vertAlign w:val="superscript"/>
              </w:rPr>
              <w:t>2</w:t>
            </w:r>
            <w:r>
              <w:rPr>
                <w:rFonts w:ascii="Times New Roman" w:hAnsi="Times New Roman"/>
                <w:sz w:val="25"/>
                <w:vertAlign w:val="baseline"/>
              </w:rPr>
              <w:t> ( </w:t>
            </w:r>
            <w:r>
              <w:rPr>
                <w:rFonts w:ascii="Times New Roman" w:hAnsi="Times New Roman"/>
                <w:i/>
                <w:sz w:val="25"/>
                <w:vertAlign w:val="baseline"/>
              </w:rPr>
              <w:t>Amps</w:t>
            </w:r>
            <w:r>
              <w:rPr>
                <w:rFonts w:ascii="Times New Roman" w:hAnsi="Times New Roman"/>
                <w:sz w:val="25"/>
                <w:vertAlign w:val="superscript"/>
              </w:rPr>
              <w:t>2</w:t>
            </w:r>
            <w:r>
              <w:rPr>
                <w:rFonts w:ascii="Times New Roman" w:hAnsi="Times New Roman"/>
                <w:sz w:val="25"/>
                <w:vertAlign w:val="baseline"/>
              </w:rPr>
              <w:t> )</w:t>
            </w:r>
          </w:p>
          <w:p>
            <w:pPr>
              <w:pStyle w:val="TableParagraph"/>
              <w:spacing w:before="190"/>
              <w:ind w:left="857"/>
              <w:rPr>
                <w:rFonts w:ascii="Times New Roman" w:hAnsi="Times New Roman"/>
                <w:sz w:val="25"/>
              </w:rPr>
            </w:pPr>
            <w:r>
              <w:rPr>
                <w:rFonts w:ascii="Times New Roman" w:hAnsi="Times New Roman"/>
                <w:i/>
                <w:sz w:val="25"/>
              </w:rPr>
              <w:t>QUANT </w:t>
            </w:r>
            <w:r>
              <w:rPr>
                <w:rFonts w:ascii="Times New Roman" w:hAnsi="Times New Roman"/>
                <w:sz w:val="25"/>
              </w:rPr>
              <w:t>_</w:t>
            </w:r>
            <w:r>
              <w:rPr>
                <w:rFonts w:ascii="Times New Roman" w:hAnsi="Times New Roman"/>
                <w:i/>
                <w:sz w:val="25"/>
              </w:rPr>
              <w:t>Wx </w:t>
            </w:r>
            <w:r>
              <w:rPr>
                <w:rFonts w:ascii="Times New Roman" w:hAnsi="Times New Roman"/>
                <w:sz w:val="25"/>
              </w:rPr>
              <w:t>_ </w:t>
            </w:r>
            <w:r>
              <w:rPr>
                <w:rFonts w:ascii="Times New Roman" w:hAnsi="Times New Roman"/>
                <w:i/>
                <w:sz w:val="25"/>
              </w:rPr>
              <w:t>LSB </w:t>
            </w:r>
            <w:r>
              <w:rPr>
                <w:rFonts w:ascii="Symbol" w:hAnsi="Symbol"/>
                <w:sz w:val="25"/>
              </w:rPr>
              <w:t></w:t>
            </w:r>
            <w:r>
              <w:rPr>
                <w:rFonts w:ascii="Times New Roman" w:hAnsi="Times New Roman"/>
                <w:sz w:val="25"/>
              </w:rPr>
              <w:t> 1.04173 </w:t>
            </w:r>
            <w:r>
              <w:rPr>
                <w:rFonts w:ascii="Symbol" w:hAnsi="Symbol"/>
                <w:sz w:val="25"/>
              </w:rPr>
              <w:t></w:t>
            </w:r>
            <w:r>
              <w:rPr>
                <w:rFonts w:ascii="Times New Roman" w:hAnsi="Times New Roman"/>
                <w:sz w:val="25"/>
              </w:rPr>
              <w:t>10</w:t>
            </w:r>
            <w:r>
              <w:rPr>
                <w:rFonts w:ascii="Symbol" w:hAnsi="Symbol"/>
                <w:sz w:val="25"/>
                <w:vertAlign w:val="superscript"/>
              </w:rPr>
              <w:t></w:t>
            </w:r>
            <w:r>
              <w:rPr>
                <w:rFonts w:ascii="Times New Roman" w:hAnsi="Times New Roman"/>
                <w:sz w:val="25"/>
                <w:vertAlign w:val="superscript"/>
              </w:rPr>
              <w:t>9</w:t>
            </w:r>
            <w:r>
              <w:rPr>
                <w:rFonts w:ascii="Times New Roman" w:hAnsi="Times New Roman"/>
                <w:sz w:val="25"/>
                <w:vertAlign w:val="baseline"/>
              </w:rPr>
              <w:t> </w:t>
            </w:r>
            <w:r>
              <w:rPr>
                <w:rFonts w:ascii="Symbol" w:hAnsi="Symbol"/>
                <w:sz w:val="25"/>
                <w:vertAlign w:val="baseline"/>
              </w:rPr>
              <w:t></w:t>
            </w:r>
            <w:r>
              <w:rPr>
                <w:rFonts w:ascii="Times New Roman" w:hAnsi="Times New Roman"/>
                <w:i/>
                <w:sz w:val="25"/>
                <w:vertAlign w:val="baseline"/>
              </w:rPr>
              <w:t>VMAX </w:t>
            </w:r>
            <w:r>
              <w:rPr>
                <w:rFonts w:ascii="Symbol" w:hAnsi="Symbol"/>
                <w:w w:val="90"/>
                <w:sz w:val="25"/>
                <w:vertAlign w:val="baseline"/>
              </w:rPr>
              <w:t></w:t>
            </w:r>
            <w:r>
              <w:rPr>
                <w:rFonts w:ascii="Times New Roman" w:hAnsi="Times New Roman"/>
                <w:w w:val="90"/>
                <w:sz w:val="25"/>
                <w:vertAlign w:val="baseline"/>
              </w:rPr>
              <w:t> </w:t>
            </w:r>
            <w:r>
              <w:rPr>
                <w:rFonts w:ascii="Times New Roman" w:hAnsi="Times New Roman"/>
                <w:i/>
                <w:sz w:val="25"/>
                <w:vertAlign w:val="baseline"/>
              </w:rPr>
              <w:t>IMAX </w:t>
            </w:r>
            <w:r>
              <w:rPr>
                <w:rFonts w:ascii="Times New Roman" w:hAnsi="Times New Roman"/>
                <w:sz w:val="25"/>
                <w:vertAlign w:val="baseline"/>
              </w:rPr>
              <w:t>(</w:t>
            </w:r>
            <w:r>
              <w:rPr>
                <w:rFonts w:ascii="Times New Roman" w:hAnsi="Times New Roman"/>
                <w:i/>
                <w:sz w:val="25"/>
                <w:vertAlign w:val="baseline"/>
              </w:rPr>
              <w:t>Watts</w:t>
            </w:r>
            <w:r>
              <w:rPr>
                <w:rFonts w:ascii="Times New Roman" w:hAnsi="Times New Roman"/>
                <w:sz w:val="25"/>
                <w:vertAlign w:val="baseline"/>
              </w:rPr>
              <w:t>)</w:t>
            </w:r>
          </w:p>
          <w:p>
            <w:pPr>
              <w:pStyle w:val="TableParagraph"/>
              <w:spacing w:before="188"/>
              <w:ind w:left="857"/>
              <w:rPr>
                <w:rFonts w:ascii="Times New Roman" w:hAnsi="Times New Roman"/>
                <w:sz w:val="25"/>
              </w:rPr>
            </w:pPr>
            <w:r>
              <w:rPr>
                <w:rFonts w:ascii="Times New Roman" w:hAnsi="Times New Roman"/>
                <w:i/>
                <w:sz w:val="25"/>
              </w:rPr>
              <w:t>QUANT </w:t>
            </w:r>
            <w:r>
              <w:rPr>
                <w:rFonts w:ascii="Times New Roman" w:hAnsi="Times New Roman"/>
                <w:sz w:val="25"/>
              </w:rPr>
              <w:t>_</w:t>
            </w:r>
            <w:r>
              <w:rPr>
                <w:rFonts w:ascii="Times New Roman" w:hAnsi="Times New Roman"/>
                <w:i/>
                <w:sz w:val="25"/>
              </w:rPr>
              <w:t>VARx </w:t>
            </w:r>
            <w:r>
              <w:rPr>
                <w:rFonts w:ascii="Times New Roman" w:hAnsi="Times New Roman"/>
                <w:sz w:val="25"/>
              </w:rPr>
              <w:t>_ </w:t>
            </w:r>
            <w:r>
              <w:rPr>
                <w:rFonts w:ascii="Times New Roman" w:hAnsi="Times New Roman"/>
                <w:i/>
                <w:sz w:val="25"/>
              </w:rPr>
              <w:t>LSB </w:t>
            </w:r>
            <w:r>
              <w:rPr>
                <w:rFonts w:ascii="Symbol" w:hAnsi="Symbol"/>
                <w:sz w:val="25"/>
              </w:rPr>
              <w:t></w:t>
            </w:r>
            <w:r>
              <w:rPr>
                <w:rFonts w:ascii="Times New Roman" w:hAnsi="Times New Roman"/>
                <w:sz w:val="25"/>
              </w:rPr>
              <w:t> 1.04173 </w:t>
            </w:r>
            <w:r>
              <w:rPr>
                <w:rFonts w:ascii="Symbol" w:hAnsi="Symbol"/>
                <w:sz w:val="25"/>
              </w:rPr>
              <w:t></w:t>
            </w:r>
            <w:r>
              <w:rPr>
                <w:rFonts w:ascii="Times New Roman" w:hAnsi="Times New Roman"/>
                <w:sz w:val="25"/>
              </w:rPr>
              <w:t>10</w:t>
            </w:r>
            <w:r>
              <w:rPr>
                <w:rFonts w:ascii="Symbol" w:hAnsi="Symbol"/>
                <w:sz w:val="25"/>
                <w:vertAlign w:val="superscript"/>
              </w:rPr>
              <w:t></w:t>
            </w:r>
            <w:r>
              <w:rPr>
                <w:rFonts w:ascii="Times New Roman" w:hAnsi="Times New Roman"/>
                <w:sz w:val="25"/>
                <w:vertAlign w:val="superscript"/>
              </w:rPr>
              <w:t>9</w:t>
            </w:r>
            <w:r>
              <w:rPr>
                <w:rFonts w:ascii="Times New Roman" w:hAnsi="Times New Roman"/>
                <w:sz w:val="25"/>
                <w:vertAlign w:val="baseline"/>
              </w:rPr>
              <w:t> </w:t>
            </w:r>
            <w:r>
              <w:rPr>
                <w:rFonts w:ascii="Symbol" w:hAnsi="Symbol"/>
                <w:sz w:val="25"/>
                <w:vertAlign w:val="baseline"/>
              </w:rPr>
              <w:t></w:t>
            </w:r>
            <w:r>
              <w:rPr>
                <w:rFonts w:ascii="Times New Roman" w:hAnsi="Times New Roman"/>
                <w:i/>
                <w:sz w:val="25"/>
                <w:vertAlign w:val="baseline"/>
              </w:rPr>
              <w:t>VMAX </w:t>
            </w:r>
            <w:r>
              <w:rPr>
                <w:rFonts w:ascii="Symbol" w:hAnsi="Symbol"/>
                <w:w w:val="90"/>
                <w:sz w:val="25"/>
                <w:vertAlign w:val="baseline"/>
              </w:rPr>
              <w:t></w:t>
            </w:r>
            <w:r>
              <w:rPr>
                <w:rFonts w:ascii="Times New Roman" w:hAnsi="Times New Roman"/>
                <w:w w:val="90"/>
                <w:sz w:val="25"/>
                <w:vertAlign w:val="baseline"/>
              </w:rPr>
              <w:t> </w:t>
            </w:r>
            <w:r>
              <w:rPr>
                <w:rFonts w:ascii="Times New Roman" w:hAnsi="Times New Roman"/>
                <w:i/>
                <w:sz w:val="25"/>
                <w:vertAlign w:val="baseline"/>
              </w:rPr>
              <w:t>IMAX </w:t>
            </w:r>
            <w:r>
              <w:rPr>
                <w:rFonts w:ascii="Times New Roman" w:hAnsi="Times New Roman"/>
                <w:sz w:val="25"/>
                <w:vertAlign w:val="baseline"/>
              </w:rPr>
              <w:t>(</w:t>
            </w:r>
            <w:r>
              <w:rPr>
                <w:rFonts w:ascii="Times New Roman" w:hAnsi="Times New Roman"/>
                <w:i/>
                <w:sz w:val="25"/>
                <w:vertAlign w:val="baseline"/>
              </w:rPr>
              <w:t>Vars</w:t>
            </w:r>
            <w:r>
              <w:rPr>
                <w:rFonts w:ascii="Times New Roman" w:hAnsi="Times New Roman"/>
                <w:sz w:val="25"/>
                <w:vertAlign w:val="baseline"/>
              </w:rPr>
              <w:t>)</w:t>
            </w:r>
          </w:p>
        </w:tc>
      </w:tr>
    </w:tbl>
    <w:p>
      <w:pPr>
        <w:spacing w:after="0"/>
        <w:rPr>
          <w:rFonts w:ascii="Times New Roman" w:hAnsi="Times New Roman"/>
          <w:sz w:val="25"/>
        </w:rPr>
        <w:sectPr>
          <w:pgSz w:w="12240" w:h="15840"/>
          <w:pgMar w:header="727" w:footer="819" w:top="1160" w:bottom="1000" w:left="960" w:right="940"/>
        </w:sectPr>
      </w:pPr>
    </w:p>
    <w:p>
      <w:pPr>
        <w:pStyle w:val="ListParagraph"/>
        <w:numPr>
          <w:ilvl w:val="2"/>
          <w:numId w:val="30"/>
        </w:numPr>
        <w:tabs>
          <w:tab w:pos="1201" w:val="left" w:leader="none"/>
        </w:tabs>
        <w:spacing w:line="240" w:lineRule="auto" w:before="88" w:after="0"/>
        <w:ind w:left="1200" w:right="0" w:hanging="721"/>
        <w:jc w:val="left"/>
        <w:rPr>
          <w:b/>
          <w:sz w:val="22"/>
        </w:rPr>
      </w:pPr>
      <w:r>
        <w:rPr/>
        <w:pict>
          <v:line style="position:absolute;mso-position-horizontal-relative:page;mso-position-vertical-relative:page;z-index:-38727680" from="327.07373pt,307.145355pt" to="428.152658pt,307.145355pt" stroked="true" strokeweight=".435483pt" strokecolor="#000000">
            <v:stroke dashstyle="solid"/>
            <w10:wrap type="none"/>
          </v:line>
        </w:pict>
      </w:r>
      <w:r>
        <w:rPr/>
        <w:pict>
          <v:line style="position:absolute;mso-position-horizontal-relative:page;mso-position-vertical-relative:page;z-index:-38727168" from="322.993378pt,338.095367pt" to="423.74278pt,338.095367pt" stroked="true" strokeweight=".435483pt" strokecolor="#000000">
            <v:stroke dashstyle="solid"/>
            <w10:wrap type="none"/>
          </v:line>
        </w:pict>
      </w:r>
      <w:r>
        <w:rPr/>
        <w:pict>
          <v:group style="position:absolute;margin-left:387.648621pt;margin-top:408.461914pt;width:143.6pt;height:.4pt;mso-position-horizontal-relative:page;mso-position-vertical-relative:page;z-index:-38726656" coordorigin="7753,8169" coordsize="2872,8">
            <v:line style="position:absolute" from="7753,8173" to="8050,8173" stroked="true" strokeweight=".395946pt" strokecolor="#000000">
              <v:stroke dashstyle="solid"/>
            </v:line>
            <v:line style="position:absolute" from="8085,8173" to="10625,8173" stroked="true" strokeweight=".395946pt" strokecolor="#000000">
              <v:stroke dashstyle="solid"/>
            </v:line>
            <w10:wrap type="none"/>
          </v:group>
        </w:pict>
      </w:r>
      <w:r>
        <w:rPr/>
        <w:pict>
          <v:line style="position:absolute;mso-position-horizontal-relative:page;mso-position-vertical-relative:page;z-index:-38726144" from="436.67038pt,394.579041pt" to="451.79934pt,394.579041pt" stroked="true" strokeweight=".197973pt" strokecolor="#000000">
            <v:stroke dashstyle="solid"/>
            <w10:wrap type="none"/>
          </v:line>
        </w:pict>
      </w:r>
      <w:r>
        <w:rPr/>
        <w:pict>
          <v:line style="position:absolute;mso-position-horizontal-relative:page;mso-position-vertical-relative:page;z-index:-38725632" from="497.923035pt,394.579041pt" to="513.051995pt,394.579041pt" stroked="true" strokeweight=".197973pt" strokecolor="#000000">
            <v:stroke dashstyle="solid"/>
            <w10:wrap type="none"/>
          </v:line>
        </w:pict>
      </w:r>
      <w:r>
        <w:rPr/>
        <w:pict>
          <v:line style="position:absolute;mso-position-horizontal-relative:page;mso-position-vertical-relative:page;z-index:-38725120" from="468.573853pt,422.740692pt" to="483.702813pt,422.740692pt" stroked="true" strokeweight=".197973pt" strokecolor="#000000">
            <v:stroke dashstyle="solid"/>
            <w10:wrap type="none"/>
          </v:line>
        </w:pict>
      </w:r>
      <w:r>
        <w:rPr/>
        <w:pict>
          <v:rect style="position:absolute;margin-left:404.519989pt;margin-top:512.400024pt;width:17.28pt;height:.6pt;mso-position-horizontal-relative:page;mso-position-vertical-relative:page;z-index:-38724608" filled="true" fillcolor="#000000" stroked="false">
            <v:fill type="solid"/>
            <w10:wrap type="none"/>
          </v:rect>
        </w:pict>
      </w:r>
      <w:bookmarkStart w:name="5.3.10 CE Calibration Parameters" w:id="488"/>
      <w:bookmarkEnd w:id="488"/>
      <w:r>
        <w:rPr/>
      </w:r>
      <w:bookmarkStart w:name="_bookmark237" w:id="489"/>
      <w:bookmarkEnd w:id="489"/>
      <w:r>
        <w:rPr/>
      </w:r>
      <w:bookmarkStart w:name="_bookmark237" w:id="490"/>
      <w:bookmarkEnd w:id="490"/>
      <w:r>
        <w:rPr>
          <w:b/>
          <w:sz w:val="22"/>
        </w:rPr>
        <w:t>C</w:t>
      </w:r>
      <w:r>
        <w:rPr>
          <w:b/>
          <w:sz w:val="22"/>
        </w:rPr>
        <w:t>E Calibration</w:t>
      </w:r>
      <w:r>
        <w:rPr>
          <w:b/>
          <w:spacing w:val="-3"/>
          <w:sz w:val="22"/>
        </w:rPr>
        <w:t> </w:t>
      </w:r>
      <w:r>
        <w:rPr>
          <w:b/>
          <w:sz w:val="22"/>
        </w:rPr>
        <w:t>Parameters</w:t>
      </w:r>
    </w:p>
    <w:p>
      <w:pPr>
        <w:pStyle w:val="BodyText"/>
        <w:spacing w:before="121"/>
        <w:ind w:left="480"/>
      </w:pPr>
      <w:hyperlink w:history="true" w:anchor="_bookmark238">
        <w:r>
          <w:rPr>
            <w:color w:val="0000FF"/>
          </w:rPr>
          <w:t>Table 85 </w:t>
        </w:r>
      </w:hyperlink>
      <w:r>
        <w:rPr/>
        <w:t>lists the parameters that are typically entered to effect calibration of meter accuracy.</w:t>
      </w:r>
    </w:p>
    <w:p>
      <w:pPr>
        <w:pStyle w:val="Heading1"/>
        <w:spacing w:before="118"/>
        <w:ind w:left="777" w:right="797"/>
      </w:pPr>
      <w:bookmarkStart w:name="_bookmark238" w:id="491"/>
      <w:bookmarkEnd w:id="491"/>
      <w:r>
        <w:rPr>
          <w:b w:val="0"/>
        </w:rPr>
      </w:r>
      <w:r>
        <w:rPr/>
        <w:t>Table 85: CE Calibration Parameters</w:t>
      </w:r>
    </w:p>
    <w:p>
      <w:pPr>
        <w:pStyle w:val="BodyText"/>
        <w:spacing w:before="8"/>
        <w:rPr>
          <w:b/>
          <w:sz w:val="5"/>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1"/>
        <w:gridCol w:w="1191"/>
        <w:gridCol w:w="898"/>
        <w:gridCol w:w="1364"/>
        <w:gridCol w:w="1746"/>
        <w:gridCol w:w="1741"/>
        <w:gridCol w:w="1364"/>
      </w:tblGrid>
      <w:tr>
        <w:trPr>
          <w:trHeight w:val="539" w:hRule="atLeast"/>
        </w:trPr>
        <w:tc>
          <w:tcPr>
            <w:tcW w:w="1061" w:type="dxa"/>
            <w:tcBorders>
              <w:bottom w:val="single" w:sz="6" w:space="0" w:color="000000"/>
              <w:right w:val="single" w:sz="6" w:space="0" w:color="000000"/>
            </w:tcBorders>
          </w:tcPr>
          <w:p>
            <w:pPr>
              <w:pStyle w:val="TableParagraph"/>
              <w:spacing w:before="35"/>
              <w:ind w:left="107" w:right="97"/>
              <w:jc w:val="center"/>
              <w:rPr>
                <w:b/>
                <w:sz w:val="20"/>
              </w:rPr>
            </w:pPr>
            <w:r>
              <w:rPr>
                <w:b/>
                <w:sz w:val="20"/>
              </w:rPr>
              <w:t>CE</w:t>
            </w:r>
          </w:p>
          <w:p>
            <w:pPr>
              <w:pStyle w:val="TableParagraph"/>
              <w:spacing w:before="1"/>
              <w:ind w:left="107" w:right="100"/>
              <w:jc w:val="center"/>
              <w:rPr>
                <w:b/>
                <w:sz w:val="20"/>
              </w:rPr>
            </w:pPr>
            <w:r>
              <w:rPr>
                <w:b/>
                <w:sz w:val="20"/>
              </w:rPr>
              <w:t>Address</w:t>
            </w:r>
          </w:p>
        </w:tc>
        <w:tc>
          <w:tcPr>
            <w:tcW w:w="1191" w:type="dxa"/>
            <w:tcBorders>
              <w:left w:val="single" w:sz="6" w:space="0" w:color="000000"/>
              <w:bottom w:val="single" w:sz="6" w:space="0" w:color="000000"/>
              <w:right w:val="single" w:sz="6" w:space="0" w:color="000000"/>
            </w:tcBorders>
          </w:tcPr>
          <w:p>
            <w:pPr>
              <w:pStyle w:val="TableParagraph"/>
              <w:spacing w:before="150"/>
              <w:ind w:left="95" w:right="91"/>
              <w:jc w:val="center"/>
              <w:rPr>
                <w:b/>
                <w:sz w:val="20"/>
              </w:rPr>
            </w:pPr>
            <w:r>
              <w:rPr>
                <w:b/>
                <w:sz w:val="20"/>
              </w:rPr>
              <w:t>Name</w:t>
            </w:r>
          </w:p>
        </w:tc>
        <w:tc>
          <w:tcPr>
            <w:tcW w:w="898" w:type="dxa"/>
            <w:tcBorders>
              <w:left w:val="single" w:sz="6" w:space="0" w:color="000000"/>
              <w:bottom w:val="single" w:sz="6" w:space="0" w:color="000000"/>
              <w:right w:val="single" w:sz="6" w:space="0" w:color="000000"/>
            </w:tcBorders>
          </w:tcPr>
          <w:p>
            <w:pPr>
              <w:pStyle w:val="TableParagraph"/>
              <w:spacing w:before="150"/>
              <w:ind w:left="86" w:right="79"/>
              <w:jc w:val="center"/>
              <w:rPr>
                <w:b/>
                <w:sz w:val="20"/>
              </w:rPr>
            </w:pPr>
            <w:r>
              <w:rPr>
                <w:b/>
                <w:sz w:val="20"/>
              </w:rPr>
              <w:t>Default</w:t>
            </w:r>
          </w:p>
        </w:tc>
        <w:tc>
          <w:tcPr>
            <w:tcW w:w="6215" w:type="dxa"/>
            <w:gridSpan w:val="4"/>
            <w:tcBorders>
              <w:left w:val="single" w:sz="6" w:space="0" w:color="000000"/>
              <w:bottom w:val="single" w:sz="6" w:space="0" w:color="000000"/>
            </w:tcBorders>
          </w:tcPr>
          <w:p>
            <w:pPr>
              <w:pStyle w:val="TableParagraph"/>
              <w:spacing w:before="150"/>
              <w:jc w:val="center"/>
              <w:rPr>
                <w:b/>
                <w:sz w:val="20"/>
              </w:rPr>
            </w:pPr>
            <w:r>
              <w:rPr>
                <w:b/>
                <w:sz w:val="20"/>
              </w:rPr>
              <w:t>Description</w:t>
            </w:r>
          </w:p>
        </w:tc>
      </w:tr>
      <w:tr>
        <w:trPr>
          <w:trHeight w:val="270" w:hRule="atLeast"/>
        </w:trPr>
        <w:tc>
          <w:tcPr>
            <w:tcW w:w="1061" w:type="dxa"/>
            <w:tcBorders>
              <w:top w:val="single" w:sz="6" w:space="0" w:color="000000"/>
              <w:bottom w:val="single" w:sz="6" w:space="0" w:color="000000"/>
              <w:right w:val="single" w:sz="6" w:space="0" w:color="000000"/>
            </w:tcBorders>
          </w:tcPr>
          <w:p>
            <w:pPr>
              <w:pStyle w:val="TableParagraph"/>
              <w:spacing w:before="18"/>
              <w:ind w:left="106" w:right="100"/>
              <w:jc w:val="center"/>
              <w:rPr>
                <w:sz w:val="20"/>
              </w:rPr>
            </w:pPr>
            <w:r>
              <w:rPr>
                <w:sz w:val="20"/>
              </w:rPr>
              <w:t>0x10</w:t>
            </w:r>
          </w:p>
        </w:tc>
        <w:tc>
          <w:tcPr>
            <w:tcW w:w="1191" w:type="dxa"/>
            <w:tcBorders>
              <w:top w:val="single" w:sz="6" w:space="0" w:color="000000"/>
              <w:left w:val="single" w:sz="6" w:space="0" w:color="000000"/>
              <w:bottom w:val="single" w:sz="6" w:space="0" w:color="000000"/>
              <w:right w:val="single" w:sz="6" w:space="0" w:color="000000"/>
            </w:tcBorders>
          </w:tcPr>
          <w:p>
            <w:pPr>
              <w:pStyle w:val="TableParagraph"/>
              <w:spacing w:before="14"/>
              <w:ind w:left="95" w:right="89"/>
              <w:jc w:val="center"/>
              <w:rPr>
                <w:rFonts w:ascii="Times New Roman"/>
                <w:i/>
                <w:sz w:val="20"/>
              </w:rPr>
            </w:pPr>
            <w:r>
              <w:rPr>
                <w:rFonts w:ascii="Times New Roman"/>
                <w:i/>
                <w:sz w:val="20"/>
              </w:rPr>
              <w:t>CAL_IA</w:t>
            </w:r>
          </w:p>
        </w:tc>
        <w:tc>
          <w:tcPr>
            <w:tcW w:w="898" w:type="dxa"/>
            <w:tcBorders>
              <w:top w:val="single" w:sz="6" w:space="0" w:color="000000"/>
              <w:left w:val="single" w:sz="6" w:space="0" w:color="000000"/>
              <w:bottom w:val="single" w:sz="6" w:space="0" w:color="000000"/>
              <w:right w:val="single" w:sz="6" w:space="0" w:color="000000"/>
            </w:tcBorders>
          </w:tcPr>
          <w:p>
            <w:pPr>
              <w:pStyle w:val="TableParagraph"/>
              <w:spacing w:before="18"/>
              <w:ind w:left="84" w:right="79"/>
              <w:jc w:val="center"/>
              <w:rPr>
                <w:sz w:val="20"/>
              </w:rPr>
            </w:pPr>
            <w:r>
              <w:rPr>
                <w:sz w:val="20"/>
              </w:rPr>
              <w:t>16384</w:t>
            </w:r>
          </w:p>
        </w:tc>
        <w:tc>
          <w:tcPr>
            <w:tcW w:w="6215" w:type="dxa"/>
            <w:gridSpan w:val="4"/>
            <w:vMerge w:val="restart"/>
            <w:tcBorders>
              <w:top w:val="single" w:sz="6" w:space="0" w:color="000000"/>
              <w:left w:val="single" w:sz="6" w:space="0" w:color="000000"/>
              <w:bottom w:val="single" w:sz="6" w:space="0" w:color="000000"/>
            </w:tcBorders>
          </w:tcPr>
          <w:p>
            <w:pPr>
              <w:pStyle w:val="TableParagraph"/>
              <w:rPr>
                <w:b/>
                <w:sz w:val="22"/>
              </w:rPr>
            </w:pPr>
          </w:p>
          <w:p>
            <w:pPr>
              <w:pStyle w:val="TableParagraph"/>
              <w:spacing w:before="5"/>
              <w:rPr>
                <w:b/>
                <w:sz w:val="24"/>
              </w:rPr>
            </w:pPr>
          </w:p>
          <w:p>
            <w:pPr>
              <w:pStyle w:val="TableParagraph"/>
              <w:ind w:left="104" w:right="166"/>
              <w:rPr>
                <w:sz w:val="20"/>
              </w:rPr>
            </w:pPr>
            <w:r>
              <w:rPr>
                <w:sz w:val="20"/>
              </w:rPr>
              <w:t>These constants control the gain of their respective channels. The nominal value for each parameter is 2</w:t>
            </w:r>
            <w:r>
              <w:rPr>
                <w:sz w:val="20"/>
                <w:vertAlign w:val="superscript"/>
              </w:rPr>
              <w:t>14</w:t>
            </w:r>
            <w:r>
              <w:rPr>
                <w:sz w:val="20"/>
                <w:vertAlign w:val="baseline"/>
              </w:rPr>
              <w:t> = 16384. The gain of each channel is directly proportional to its CAL parameter. Thus, if the gain of a channel is 1% low, CAL should be increased by 1%.</w:t>
            </w:r>
          </w:p>
        </w:tc>
      </w:tr>
      <w:tr>
        <w:trPr>
          <w:trHeight w:val="270" w:hRule="atLeast"/>
        </w:trPr>
        <w:tc>
          <w:tcPr>
            <w:tcW w:w="1061" w:type="dxa"/>
            <w:tcBorders>
              <w:top w:val="single" w:sz="6" w:space="0" w:color="000000"/>
              <w:bottom w:val="single" w:sz="6" w:space="0" w:color="000000"/>
              <w:right w:val="single" w:sz="6" w:space="0" w:color="000000"/>
            </w:tcBorders>
          </w:tcPr>
          <w:p>
            <w:pPr>
              <w:pStyle w:val="TableParagraph"/>
              <w:spacing w:before="18"/>
              <w:ind w:left="106" w:right="100"/>
              <w:jc w:val="center"/>
              <w:rPr>
                <w:sz w:val="20"/>
              </w:rPr>
            </w:pPr>
            <w:r>
              <w:rPr>
                <w:sz w:val="20"/>
              </w:rPr>
              <w:t>0x11</w:t>
            </w:r>
          </w:p>
        </w:tc>
        <w:tc>
          <w:tcPr>
            <w:tcW w:w="1191" w:type="dxa"/>
            <w:tcBorders>
              <w:top w:val="single" w:sz="6" w:space="0" w:color="000000"/>
              <w:left w:val="single" w:sz="6" w:space="0" w:color="000000"/>
              <w:bottom w:val="single" w:sz="6" w:space="0" w:color="000000"/>
              <w:right w:val="single" w:sz="6" w:space="0" w:color="000000"/>
            </w:tcBorders>
          </w:tcPr>
          <w:p>
            <w:pPr>
              <w:pStyle w:val="TableParagraph"/>
              <w:spacing w:before="14"/>
              <w:ind w:left="95" w:right="93"/>
              <w:jc w:val="center"/>
              <w:rPr>
                <w:rFonts w:ascii="Times New Roman"/>
                <w:i/>
                <w:sz w:val="20"/>
              </w:rPr>
            </w:pPr>
            <w:r>
              <w:rPr>
                <w:rFonts w:ascii="Times New Roman"/>
                <w:i/>
                <w:sz w:val="20"/>
              </w:rPr>
              <w:t>CAL_VA</w:t>
            </w:r>
          </w:p>
        </w:tc>
        <w:tc>
          <w:tcPr>
            <w:tcW w:w="898" w:type="dxa"/>
            <w:tcBorders>
              <w:top w:val="single" w:sz="6" w:space="0" w:color="000000"/>
              <w:left w:val="single" w:sz="6" w:space="0" w:color="000000"/>
              <w:bottom w:val="single" w:sz="6" w:space="0" w:color="000000"/>
              <w:right w:val="single" w:sz="6" w:space="0" w:color="000000"/>
            </w:tcBorders>
          </w:tcPr>
          <w:p>
            <w:pPr>
              <w:pStyle w:val="TableParagraph"/>
              <w:spacing w:before="18"/>
              <w:ind w:left="84" w:right="79"/>
              <w:jc w:val="center"/>
              <w:rPr>
                <w:sz w:val="20"/>
              </w:rPr>
            </w:pPr>
            <w:r>
              <w:rPr>
                <w:sz w:val="20"/>
              </w:rPr>
              <w:t>16384</w:t>
            </w:r>
          </w:p>
        </w:tc>
        <w:tc>
          <w:tcPr>
            <w:tcW w:w="6215" w:type="dxa"/>
            <w:gridSpan w:val="4"/>
            <w:vMerge/>
            <w:tcBorders>
              <w:top w:val="nil"/>
              <w:left w:val="single" w:sz="6" w:space="0" w:color="000000"/>
              <w:bottom w:val="single" w:sz="6" w:space="0" w:color="000000"/>
            </w:tcBorders>
          </w:tcPr>
          <w:p>
            <w:pPr>
              <w:rPr>
                <w:sz w:val="2"/>
                <w:szCs w:val="2"/>
              </w:rPr>
            </w:pPr>
          </w:p>
        </w:tc>
      </w:tr>
      <w:tr>
        <w:trPr>
          <w:trHeight w:val="268" w:hRule="atLeast"/>
        </w:trPr>
        <w:tc>
          <w:tcPr>
            <w:tcW w:w="1061" w:type="dxa"/>
            <w:tcBorders>
              <w:top w:val="single" w:sz="6" w:space="0" w:color="000000"/>
              <w:bottom w:val="single" w:sz="6" w:space="0" w:color="000000"/>
              <w:right w:val="single" w:sz="6" w:space="0" w:color="000000"/>
            </w:tcBorders>
          </w:tcPr>
          <w:p>
            <w:pPr>
              <w:pStyle w:val="TableParagraph"/>
              <w:spacing w:line="230" w:lineRule="exact" w:before="18"/>
              <w:ind w:left="106" w:right="100"/>
              <w:jc w:val="center"/>
              <w:rPr>
                <w:sz w:val="20"/>
              </w:rPr>
            </w:pPr>
            <w:r>
              <w:rPr>
                <w:sz w:val="20"/>
              </w:rPr>
              <w:t>0x13</w:t>
            </w:r>
          </w:p>
        </w:tc>
        <w:tc>
          <w:tcPr>
            <w:tcW w:w="1191" w:type="dxa"/>
            <w:tcBorders>
              <w:top w:val="single" w:sz="6" w:space="0" w:color="000000"/>
              <w:left w:val="single" w:sz="6" w:space="0" w:color="000000"/>
              <w:bottom w:val="single" w:sz="6" w:space="0" w:color="000000"/>
              <w:right w:val="single" w:sz="6" w:space="0" w:color="000000"/>
            </w:tcBorders>
          </w:tcPr>
          <w:p>
            <w:pPr>
              <w:pStyle w:val="TableParagraph"/>
              <w:spacing w:before="14"/>
              <w:ind w:left="95" w:right="89"/>
              <w:jc w:val="center"/>
              <w:rPr>
                <w:rFonts w:ascii="Times New Roman"/>
                <w:i/>
                <w:sz w:val="20"/>
              </w:rPr>
            </w:pPr>
            <w:r>
              <w:rPr>
                <w:rFonts w:ascii="Times New Roman"/>
                <w:i/>
                <w:sz w:val="20"/>
              </w:rPr>
              <w:t>CAL_IB</w:t>
            </w:r>
          </w:p>
        </w:tc>
        <w:tc>
          <w:tcPr>
            <w:tcW w:w="898" w:type="dxa"/>
            <w:tcBorders>
              <w:top w:val="single" w:sz="6" w:space="0" w:color="000000"/>
              <w:left w:val="single" w:sz="6" w:space="0" w:color="000000"/>
              <w:bottom w:val="single" w:sz="6" w:space="0" w:color="000000"/>
              <w:right w:val="single" w:sz="6" w:space="0" w:color="000000"/>
            </w:tcBorders>
          </w:tcPr>
          <w:p>
            <w:pPr>
              <w:pStyle w:val="TableParagraph"/>
              <w:spacing w:line="230" w:lineRule="exact" w:before="18"/>
              <w:ind w:left="84" w:right="79"/>
              <w:jc w:val="center"/>
              <w:rPr>
                <w:sz w:val="20"/>
              </w:rPr>
            </w:pPr>
            <w:r>
              <w:rPr>
                <w:sz w:val="20"/>
              </w:rPr>
              <w:t>16384</w:t>
            </w:r>
          </w:p>
        </w:tc>
        <w:tc>
          <w:tcPr>
            <w:tcW w:w="6215" w:type="dxa"/>
            <w:gridSpan w:val="4"/>
            <w:vMerge/>
            <w:tcBorders>
              <w:top w:val="nil"/>
              <w:left w:val="single" w:sz="6" w:space="0" w:color="000000"/>
              <w:bottom w:val="single" w:sz="6" w:space="0" w:color="000000"/>
            </w:tcBorders>
          </w:tcPr>
          <w:p>
            <w:pPr>
              <w:rPr>
                <w:sz w:val="2"/>
                <w:szCs w:val="2"/>
              </w:rPr>
            </w:pPr>
          </w:p>
        </w:tc>
      </w:tr>
      <w:tr>
        <w:trPr>
          <w:trHeight w:val="273" w:hRule="atLeast"/>
        </w:trPr>
        <w:tc>
          <w:tcPr>
            <w:tcW w:w="1061" w:type="dxa"/>
            <w:tcBorders>
              <w:top w:val="single" w:sz="6" w:space="0" w:color="000000"/>
              <w:bottom w:val="single" w:sz="6" w:space="0" w:color="000000"/>
              <w:right w:val="single" w:sz="6" w:space="0" w:color="000000"/>
            </w:tcBorders>
          </w:tcPr>
          <w:p>
            <w:pPr>
              <w:pStyle w:val="TableParagraph"/>
              <w:spacing w:before="21"/>
              <w:ind w:left="106" w:right="100"/>
              <w:jc w:val="center"/>
              <w:rPr>
                <w:sz w:val="20"/>
              </w:rPr>
            </w:pPr>
            <w:r>
              <w:rPr>
                <w:sz w:val="20"/>
              </w:rPr>
              <w:t>0x14</w:t>
            </w:r>
          </w:p>
        </w:tc>
        <w:tc>
          <w:tcPr>
            <w:tcW w:w="1191" w:type="dxa"/>
            <w:tcBorders>
              <w:top w:val="single" w:sz="6" w:space="0" w:color="000000"/>
              <w:left w:val="single" w:sz="6" w:space="0" w:color="000000"/>
              <w:bottom w:val="single" w:sz="6" w:space="0" w:color="000000"/>
              <w:right w:val="single" w:sz="6" w:space="0" w:color="000000"/>
            </w:tcBorders>
          </w:tcPr>
          <w:p>
            <w:pPr>
              <w:pStyle w:val="TableParagraph"/>
              <w:spacing w:before="17"/>
              <w:ind w:left="95" w:right="93"/>
              <w:jc w:val="center"/>
              <w:rPr>
                <w:rFonts w:ascii="Times New Roman"/>
                <w:i/>
                <w:sz w:val="20"/>
              </w:rPr>
            </w:pPr>
            <w:r>
              <w:rPr>
                <w:rFonts w:ascii="Times New Roman"/>
                <w:i/>
                <w:sz w:val="20"/>
              </w:rPr>
              <w:t>CAL_VB</w:t>
            </w:r>
          </w:p>
        </w:tc>
        <w:tc>
          <w:tcPr>
            <w:tcW w:w="898" w:type="dxa"/>
            <w:tcBorders>
              <w:top w:val="single" w:sz="6" w:space="0" w:color="000000"/>
              <w:left w:val="single" w:sz="6" w:space="0" w:color="000000"/>
              <w:bottom w:val="single" w:sz="6" w:space="0" w:color="000000"/>
              <w:right w:val="single" w:sz="6" w:space="0" w:color="000000"/>
            </w:tcBorders>
          </w:tcPr>
          <w:p>
            <w:pPr>
              <w:pStyle w:val="TableParagraph"/>
              <w:spacing w:before="21"/>
              <w:ind w:left="84" w:right="79"/>
              <w:jc w:val="center"/>
              <w:rPr>
                <w:sz w:val="20"/>
              </w:rPr>
            </w:pPr>
            <w:r>
              <w:rPr>
                <w:sz w:val="20"/>
              </w:rPr>
              <w:t>16384</w:t>
            </w:r>
          </w:p>
        </w:tc>
        <w:tc>
          <w:tcPr>
            <w:tcW w:w="6215" w:type="dxa"/>
            <w:gridSpan w:val="4"/>
            <w:vMerge/>
            <w:tcBorders>
              <w:top w:val="nil"/>
              <w:left w:val="single" w:sz="6" w:space="0" w:color="000000"/>
              <w:bottom w:val="single" w:sz="6" w:space="0" w:color="000000"/>
            </w:tcBorders>
          </w:tcPr>
          <w:p>
            <w:pPr>
              <w:rPr>
                <w:sz w:val="2"/>
                <w:szCs w:val="2"/>
              </w:rPr>
            </w:pPr>
          </w:p>
        </w:tc>
      </w:tr>
      <w:tr>
        <w:trPr>
          <w:trHeight w:val="272" w:hRule="atLeast"/>
        </w:trPr>
        <w:tc>
          <w:tcPr>
            <w:tcW w:w="1061" w:type="dxa"/>
            <w:tcBorders>
              <w:top w:val="single" w:sz="6" w:space="0" w:color="000000"/>
              <w:bottom w:val="single" w:sz="6" w:space="0" w:color="000000"/>
              <w:right w:val="single" w:sz="6" w:space="0" w:color="000000"/>
            </w:tcBorders>
          </w:tcPr>
          <w:p>
            <w:pPr>
              <w:pStyle w:val="TableParagraph"/>
              <w:spacing w:before="21"/>
              <w:ind w:left="106" w:right="100"/>
              <w:jc w:val="center"/>
              <w:rPr>
                <w:sz w:val="20"/>
              </w:rPr>
            </w:pPr>
            <w:r>
              <w:rPr>
                <w:sz w:val="20"/>
              </w:rPr>
              <w:t>0x16</w:t>
            </w:r>
          </w:p>
        </w:tc>
        <w:tc>
          <w:tcPr>
            <w:tcW w:w="1191" w:type="dxa"/>
            <w:tcBorders>
              <w:top w:val="single" w:sz="6" w:space="0" w:color="000000"/>
              <w:left w:val="single" w:sz="6" w:space="0" w:color="000000"/>
              <w:bottom w:val="single" w:sz="6" w:space="0" w:color="000000"/>
              <w:right w:val="single" w:sz="6" w:space="0" w:color="000000"/>
            </w:tcBorders>
          </w:tcPr>
          <w:p>
            <w:pPr>
              <w:pStyle w:val="TableParagraph"/>
              <w:spacing w:before="17"/>
              <w:ind w:left="95" w:right="93"/>
              <w:jc w:val="center"/>
              <w:rPr>
                <w:rFonts w:ascii="Times New Roman"/>
                <w:i/>
                <w:sz w:val="20"/>
              </w:rPr>
            </w:pPr>
            <w:r>
              <w:rPr>
                <w:rFonts w:ascii="Times New Roman"/>
                <w:i/>
                <w:sz w:val="20"/>
              </w:rPr>
              <w:t>CAL_IC</w:t>
            </w:r>
          </w:p>
        </w:tc>
        <w:tc>
          <w:tcPr>
            <w:tcW w:w="898" w:type="dxa"/>
            <w:tcBorders>
              <w:top w:val="single" w:sz="6" w:space="0" w:color="000000"/>
              <w:left w:val="single" w:sz="6" w:space="0" w:color="000000"/>
              <w:bottom w:val="single" w:sz="6" w:space="0" w:color="000000"/>
              <w:right w:val="single" w:sz="6" w:space="0" w:color="000000"/>
            </w:tcBorders>
          </w:tcPr>
          <w:p>
            <w:pPr>
              <w:pStyle w:val="TableParagraph"/>
              <w:spacing w:before="21"/>
              <w:ind w:left="84" w:right="79"/>
              <w:jc w:val="center"/>
              <w:rPr>
                <w:sz w:val="20"/>
              </w:rPr>
            </w:pPr>
            <w:r>
              <w:rPr>
                <w:sz w:val="20"/>
              </w:rPr>
              <w:t>16384</w:t>
            </w:r>
          </w:p>
        </w:tc>
        <w:tc>
          <w:tcPr>
            <w:tcW w:w="6215" w:type="dxa"/>
            <w:gridSpan w:val="4"/>
            <w:vMerge/>
            <w:tcBorders>
              <w:top w:val="nil"/>
              <w:left w:val="single" w:sz="6" w:space="0" w:color="000000"/>
              <w:bottom w:val="single" w:sz="6" w:space="0" w:color="000000"/>
            </w:tcBorders>
          </w:tcPr>
          <w:p>
            <w:pPr>
              <w:rPr>
                <w:sz w:val="2"/>
                <w:szCs w:val="2"/>
              </w:rPr>
            </w:pPr>
          </w:p>
        </w:tc>
      </w:tr>
      <w:tr>
        <w:trPr>
          <w:trHeight w:val="272" w:hRule="atLeast"/>
        </w:trPr>
        <w:tc>
          <w:tcPr>
            <w:tcW w:w="1061" w:type="dxa"/>
            <w:tcBorders>
              <w:top w:val="single" w:sz="6" w:space="0" w:color="000000"/>
              <w:bottom w:val="single" w:sz="6" w:space="0" w:color="000000"/>
              <w:right w:val="single" w:sz="6" w:space="0" w:color="000000"/>
            </w:tcBorders>
          </w:tcPr>
          <w:p>
            <w:pPr>
              <w:pStyle w:val="TableParagraph"/>
              <w:spacing w:before="21"/>
              <w:ind w:left="106" w:right="100"/>
              <w:jc w:val="center"/>
              <w:rPr>
                <w:sz w:val="20"/>
              </w:rPr>
            </w:pPr>
            <w:r>
              <w:rPr>
                <w:sz w:val="20"/>
              </w:rPr>
              <w:t>0x17</w:t>
            </w:r>
          </w:p>
        </w:tc>
        <w:tc>
          <w:tcPr>
            <w:tcW w:w="1191" w:type="dxa"/>
            <w:tcBorders>
              <w:top w:val="single" w:sz="6" w:space="0" w:color="000000"/>
              <w:left w:val="single" w:sz="6" w:space="0" w:color="000000"/>
              <w:bottom w:val="single" w:sz="6" w:space="0" w:color="000000"/>
              <w:right w:val="single" w:sz="6" w:space="0" w:color="000000"/>
            </w:tcBorders>
          </w:tcPr>
          <w:p>
            <w:pPr>
              <w:pStyle w:val="TableParagraph"/>
              <w:spacing w:before="17"/>
              <w:ind w:left="95" w:right="91"/>
              <w:jc w:val="center"/>
              <w:rPr>
                <w:rFonts w:ascii="Times New Roman"/>
                <w:i/>
                <w:sz w:val="20"/>
              </w:rPr>
            </w:pPr>
            <w:r>
              <w:rPr>
                <w:rFonts w:ascii="Times New Roman"/>
                <w:i/>
                <w:sz w:val="20"/>
              </w:rPr>
              <w:t>CAL_VC</w:t>
            </w:r>
          </w:p>
        </w:tc>
        <w:tc>
          <w:tcPr>
            <w:tcW w:w="898" w:type="dxa"/>
            <w:tcBorders>
              <w:top w:val="single" w:sz="6" w:space="0" w:color="000000"/>
              <w:left w:val="single" w:sz="6" w:space="0" w:color="000000"/>
              <w:bottom w:val="single" w:sz="6" w:space="0" w:color="000000"/>
              <w:right w:val="single" w:sz="6" w:space="0" w:color="000000"/>
            </w:tcBorders>
          </w:tcPr>
          <w:p>
            <w:pPr>
              <w:pStyle w:val="TableParagraph"/>
              <w:spacing w:before="21"/>
              <w:ind w:left="84" w:right="79"/>
              <w:jc w:val="center"/>
              <w:rPr>
                <w:sz w:val="20"/>
              </w:rPr>
            </w:pPr>
            <w:r>
              <w:rPr>
                <w:sz w:val="20"/>
              </w:rPr>
              <w:t>16384</w:t>
            </w:r>
          </w:p>
        </w:tc>
        <w:tc>
          <w:tcPr>
            <w:tcW w:w="6215" w:type="dxa"/>
            <w:gridSpan w:val="4"/>
            <w:vMerge/>
            <w:tcBorders>
              <w:top w:val="nil"/>
              <w:left w:val="single" w:sz="6" w:space="0" w:color="000000"/>
              <w:bottom w:val="single" w:sz="6" w:space="0" w:color="000000"/>
            </w:tcBorders>
          </w:tcPr>
          <w:p>
            <w:pPr>
              <w:rPr>
                <w:sz w:val="2"/>
                <w:szCs w:val="2"/>
              </w:rPr>
            </w:pPr>
          </w:p>
        </w:tc>
      </w:tr>
      <w:tr>
        <w:trPr>
          <w:trHeight w:val="272" w:hRule="atLeast"/>
        </w:trPr>
        <w:tc>
          <w:tcPr>
            <w:tcW w:w="1061" w:type="dxa"/>
            <w:tcBorders>
              <w:top w:val="single" w:sz="6" w:space="0" w:color="000000"/>
              <w:bottom w:val="single" w:sz="6" w:space="0" w:color="000000"/>
              <w:right w:val="single" w:sz="6" w:space="0" w:color="000000"/>
            </w:tcBorders>
          </w:tcPr>
          <w:p>
            <w:pPr>
              <w:pStyle w:val="TableParagraph"/>
              <w:spacing w:before="21"/>
              <w:ind w:left="106" w:right="100"/>
              <w:jc w:val="center"/>
              <w:rPr>
                <w:sz w:val="20"/>
              </w:rPr>
            </w:pPr>
            <w:r>
              <w:rPr>
                <w:sz w:val="20"/>
              </w:rPr>
              <w:t>0x19</w:t>
            </w:r>
          </w:p>
        </w:tc>
        <w:tc>
          <w:tcPr>
            <w:tcW w:w="1191" w:type="dxa"/>
            <w:tcBorders>
              <w:top w:val="single" w:sz="6" w:space="0" w:color="000000"/>
              <w:left w:val="single" w:sz="6" w:space="0" w:color="000000"/>
              <w:bottom w:val="single" w:sz="6" w:space="0" w:color="000000"/>
              <w:right w:val="single" w:sz="6" w:space="0" w:color="000000"/>
            </w:tcBorders>
          </w:tcPr>
          <w:p>
            <w:pPr>
              <w:pStyle w:val="TableParagraph"/>
              <w:spacing w:before="17"/>
              <w:ind w:left="95" w:right="92"/>
              <w:jc w:val="center"/>
              <w:rPr>
                <w:rFonts w:ascii="Times New Roman"/>
                <w:i/>
                <w:sz w:val="20"/>
              </w:rPr>
            </w:pPr>
            <w:r>
              <w:rPr>
                <w:rFonts w:ascii="Times New Roman"/>
                <w:i/>
                <w:sz w:val="20"/>
              </w:rPr>
              <w:t>CAL_ID</w:t>
            </w:r>
          </w:p>
        </w:tc>
        <w:tc>
          <w:tcPr>
            <w:tcW w:w="898" w:type="dxa"/>
            <w:tcBorders>
              <w:top w:val="single" w:sz="6" w:space="0" w:color="000000"/>
              <w:left w:val="single" w:sz="6" w:space="0" w:color="000000"/>
              <w:bottom w:val="single" w:sz="6" w:space="0" w:color="000000"/>
              <w:right w:val="single" w:sz="6" w:space="0" w:color="000000"/>
            </w:tcBorders>
          </w:tcPr>
          <w:p>
            <w:pPr>
              <w:pStyle w:val="TableParagraph"/>
              <w:spacing w:before="21"/>
              <w:ind w:left="84" w:right="79"/>
              <w:jc w:val="center"/>
              <w:rPr>
                <w:sz w:val="20"/>
              </w:rPr>
            </w:pPr>
            <w:r>
              <w:rPr>
                <w:sz w:val="20"/>
              </w:rPr>
              <w:t>16384</w:t>
            </w:r>
          </w:p>
        </w:tc>
        <w:tc>
          <w:tcPr>
            <w:tcW w:w="6215" w:type="dxa"/>
            <w:gridSpan w:val="4"/>
            <w:vMerge/>
            <w:tcBorders>
              <w:top w:val="nil"/>
              <w:left w:val="single" w:sz="6" w:space="0" w:color="000000"/>
              <w:bottom w:val="single" w:sz="6" w:space="0" w:color="000000"/>
            </w:tcBorders>
          </w:tcPr>
          <w:p>
            <w:pPr>
              <w:rPr>
                <w:sz w:val="2"/>
                <w:szCs w:val="2"/>
              </w:rPr>
            </w:pPr>
          </w:p>
        </w:tc>
      </w:tr>
      <w:tr>
        <w:trPr>
          <w:trHeight w:val="731" w:hRule="atLeast"/>
        </w:trPr>
        <w:tc>
          <w:tcPr>
            <w:tcW w:w="1061" w:type="dxa"/>
            <w:tcBorders>
              <w:top w:val="single" w:sz="6" w:space="0" w:color="000000"/>
              <w:bottom w:val="single" w:sz="6" w:space="0" w:color="000000"/>
              <w:right w:val="single" w:sz="6" w:space="0" w:color="000000"/>
            </w:tcBorders>
          </w:tcPr>
          <w:p>
            <w:pPr>
              <w:pStyle w:val="TableParagraph"/>
              <w:spacing w:before="7"/>
              <w:rPr>
                <w:b/>
                <w:sz w:val="21"/>
              </w:rPr>
            </w:pPr>
          </w:p>
          <w:p>
            <w:pPr>
              <w:pStyle w:val="TableParagraph"/>
              <w:ind w:left="107" w:right="100"/>
              <w:jc w:val="center"/>
              <w:rPr>
                <w:sz w:val="20"/>
              </w:rPr>
            </w:pPr>
            <w:r>
              <w:rPr>
                <w:sz w:val="20"/>
              </w:rPr>
              <w:t>0x12</w:t>
            </w:r>
          </w:p>
        </w:tc>
        <w:tc>
          <w:tcPr>
            <w:tcW w:w="1191" w:type="dxa"/>
            <w:tcBorders>
              <w:top w:val="single" w:sz="6" w:space="0" w:color="000000"/>
              <w:left w:val="single" w:sz="6" w:space="0" w:color="000000"/>
              <w:bottom w:val="single" w:sz="6" w:space="0" w:color="000000"/>
              <w:right w:val="single" w:sz="6" w:space="0" w:color="000000"/>
            </w:tcBorders>
          </w:tcPr>
          <w:p>
            <w:pPr>
              <w:pStyle w:val="TableParagraph"/>
              <w:spacing w:before="3"/>
              <w:rPr>
                <w:b/>
                <w:sz w:val="21"/>
              </w:rPr>
            </w:pPr>
          </w:p>
          <w:p>
            <w:pPr>
              <w:pStyle w:val="TableParagraph"/>
              <w:ind w:left="95" w:right="92"/>
              <w:jc w:val="center"/>
              <w:rPr>
                <w:rFonts w:ascii="Times New Roman"/>
                <w:i/>
                <w:sz w:val="20"/>
              </w:rPr>
            </w:pPr>
            <w:r>
              <w:rPr>
                <w:rFonts w:ascii="Times New Roman"/>
                <w:i/>
                <w:sz w:val="20"/>
              </w:rPr>
              <w:t>PHADJ_A</w:t>
            </w:r>
          </w:p>
        </w:tc>
        <w:tc>
          <w:tcPr>
            <w:tcW w:w="898" w:type="dxa"/>
            <w:tcBorders>
              <w:top w:val="single" w:sz="6" w:space="0" w:color="000000"/>
              <w:left w:val="single" w:sz="6" w:space="0" w:color="000000"/>
              <w:bottom w:val="single" w:sz="6" w:space="0" w:color="000000"/>
              <w:right w:val="single" w:sz="6" w:space="0" w:color="000000"/>
            </w:tcBorders>
          </w:tcPr>
          <w:p>
            <w:pPr>
              <w:pStyle w:val="TableParagraph"/>
              <w:spacing w:before="7"/>
              <w:rPr>
                <w:b/>
                <w:sz w:val="21"/>
              </w:rPr>
            </w:pPr>
          </w:p>
          <w:p>
            <w:pPr>
              <w:pStyle w:val="TableParagraph"/>
              <w:ind w:left="8"/>
              <w:jc w:val="center"/>
              <w:rPr>
                <w:sz w:val="20"/>
              </w:rPr>
            </w:pPr>
            <w:r>
              <w:rPr>
                <w:w w:val="99"/>
                <w:sz w:val="20"/>
              </w:rPr>
              <w:t>0</w:t>
            </w:r>
          </w:p>
        </w:tc>
        <w:tc>
          <w:tcPr>
            <w:tcW w:w="6215" w:type="dxa"/>
            <w:gridSpan w:val="4"/>
            <w:vMerge w:val="restart"/>
            <w:tcBorders>
              <w:top w:val="single" w:sz="6" w:space="0" w:color="000000"/>
              <w:left w:val="single" w:sz="6" w:space="0" w:color="000000"/>
              <w:bottom w:val="single" w:sz="6" w:space="0" w:color="000000"/>
            </w:tcBorders>
          </w:tcPr>
          <w:p>
            <w:pPr>
              <w:pStyle w:val="TableParagraph"/>
              <w:spacing w:before="21"/>
              <w:ind w:left="104" w:right="166"/>
              <w:rPr>
                <w:sz w:val="20"/>
              </w:rPr>
            </w:pPr>
            <w:r>
              <w:rPr>
                <w:sz w:val="20"/>
              </w:rPr>
              <w:t>These constants control the CT phase compensation. No </w:t>
            </w:r>
            <w:r>
              <w:rPr>
                <w:spacing w:val="-4"/>
                <w:sz w:val="20"/>
              </w:rPr>
              <w:t>compensation occurs </w:t>
            </w:r>
            <w:r>
              <w:rPr>
                <w:spacing w:val="-3"/>
                <w:sz w:val="20"/>
              </w:rPr>
              <w:t>when </w:t>
            </w:r>
            <w:r>
              <w:rPr>
                <w:rFonts w:ascii="Times New Roman" w:hAnsi="Times New Roman"/>
                <w:i/>
                <w:spacing w:val="-4"/>
                <w:sz w:val="20"/>
              </w:rPr>
              <w:t>PHADJ_X </w:t>
            </w:r>
            <w:r>
              <w:rPr>
                <w:sz w:val="20"/>
              </w:rPr>
              <w:t>= 0. </w:t>
            </w:r>
            <w:r>
              <w:rPr>
                <w:spacing w:val="-3"/>
                <w:sz w:val="20"/>
              </w:rPr>
              <w:t>As </w:t>
            </w:r>
            <w:r>
              <w:rPr>
                <w:rFonts w:ascii="Times New Roman" w:hAnsi="Times New Roman"/>
                <w:i/>
                <w:spacing w:val="-4"/>
                <w:sz w:val="20"/>
              </w:rPr>
              <w:t>PHADJ_X </w:t>
            </w:r>
            <w:r>
              <w:rPr>
                <w:spacing w:val="-3"/>
                <w:sz w:val="20"/>
              </w:rPr>
              <w:t>is </w:t>
            </w:r>
            <w:r>
              <w:rPr>
                <w:spacing w:val="-5"/>
                <w:sz w:val="20"/>
              </w:rPr>
              <w:t>increased, </w:t>
            </w:r>
            <w:r>
              <w:rPr>
                <w:sz w:val="20"/>
              </w:rPr>
              <w:t>more compensation (lag) is introduced. The range is </w:t>
            </w:r>
            <w:r>
              <w:rPr>
                <w:rFonts w:ascii="Symbol" w:hAnsi="Symbol"/>
                <w:sz w:val="20"/>
              </w:rPr>
              <w:t></w:t>
            </w:r>
            <w:r>
              <w:rPr>
                <w:rFonts w:ascii="Times New Roman" w:hAnsi="Times New Roman"/>
                <w:sz w:val="20"/>
              </w:rPr>
              <w:t> </w:t>
            </w:r>
            <w:r>
              <w:rPr>
                <w:sz w:val="20"/>
              </w:rPr>
              <w:t>2</w:t>
            </w:r>
            <w:r>
              <w:rPr>
                <w:sz w:val="20"/>
                <w:vertAlign w:val="superscript"/>
              </w:rPr>
              <w:t>15</w:t>
            </w:r>
            <w:r>
              <w:rPr>
                <w:sz w:val="20"/>
                <w:vertAlign w:val="baseline"/>
              </w:rPr>
              <w:t> – 1. If it is desired to delay the current by the angle </w:t>
            </w:r>
            <w:r>
              <w:rPr>
                <w:rFonts w:ascii="Symbol" w:hAnsi="Symbol"/>
                <w:sz w:val="20"/>
                <w:vertAlign w:val="baseline"/>
              </w:rPr>
              <w:t></w:t>
            </w:r>
            <w:r>
              <w:rPr>
                <w:sz w:val="20"/>
                <w:vertAlign w:val="baseline"/>
              </w:rPr>
              <w:t>, the equations are:</w:t>
            </w:r>
          </w:p>
          <w:p>
            <w:pPr>
              <w:pStyle w:val="TableParagraph"/>
              <w:tabs>
                <w:tab w:pos="2302" w:val="left" w:leader="none"/>
                <w:tab w:pos="4063" w:val="left" w:leader="none"/>
              </w:tabs>
              <w:spacing w:line="177" w:lineRule="auto" w:before="50"/>
              <w:ind w:left="402"/>
              <w:rPr>
                <w:sz w:val="20"/>
              </w:rPr>
            </w:pPr>
            <w:r>
              <w:rPr>
                <w:rFonts w:ascii="Times New Roman" w:hAnsi="Times New Roman"/>
                <w:i/>
                <w:position w:val="-12"/>
                <w:sz w:val="21"/>
              </w:rPr>
              <w:t>PHADJ </w:t>
            </w:r>
            <w:r>
              <w:rPr>
                <w:rFonts w:ascii="Times New Roman" w:hAnsi="Times New Roman"/>
                <w:position w:val="-12"/>
                <w:sz w:val="21"/>
              </w:rPr>
              <w:t>_ </w:t>
            </w:r>
            <w:r>
              <w:rPr>
                <w:rFonts w:ascii="Times New Roman" w:hAnsi="Times New Roman"/>
                <w:i/>
                <w:position w:val="-12"/>
                <w:sz w:val="21"/>
              </w:rPr>
              <w:t>X</w:t>
            </w:r>
            <w:r>
              <w:rPr>
                <w:rFonts w:ascii="Times New Roman" w:hAnsi="Times New Roman"/>
                <w:i/>
                <w:spacing w:val="36"/>
                <w:position w:val="-12"/>
                <w:sz w:val="21"/>
              </w:rPr>
              <w:t> </w:t>
            </w:r>
            <w:r>
              <w:rPr>
                <w:rFonts w:ascii="Symbol" w:hAnsi="Symbol"/>
                <w:position w:val="-12"/>
                <w:sz w:val="21"/>
              </w:rPr>
              <w:t></w:t>
            </w:r>
            <w:r>
              <w:rPr>
                <w:rFonts w:ascii="Times New Roman" w:hAnsi="Times New Roman"/>
                <w:spacing w:val="-7"/>
                <w:position w:val="-12"/>
                <w:sz w:val="21"/>
              </w:rPr>
              <w:t> </w:t>
            </w:r>
            <w:r>
              <w:rPr>
                <w:rFonts w:ascii="Times New Roman" w:hAnsi="Times New Roman"/>
                <w:spacing w:val="5"/>
                <w:position w:val="-12"/>
                <w:sz w:val="21"/>
              </w:rPr>
              <w:t>2</w:t>
            </w:r>
            <w:r>
              <w:rPr>
                <w:rFonts w:ascii="Times New Roman" w:hAnsi="Times New Roman"/>
                <w:spacing w:val="5"/>
                <w:position w:val="-3"/>
                <w:sz w:val="12"/>
              </w:rPr>
              <w:t>20</w:t>
              <w:tab/>
            </w:r>
            <w:r>
              <w:rPr>
                <w:rFonts w:ascii="Times New Roman" w:hAnsi="Times New Roman"/>
                <w:sz w:val="21"/>
              </w:rPr>
              <w:t>0.029615</w:t>
            </w:r>
            <w:r>
              <w:rPr>
                <w:rFonts w:ascii="Times New Roman" w:hAnsi="Times New Roman"/>
                <w:i/>
                <w:sz w:val="21"/>
              </w:rPr>
              <w:t>TAN</w:t>
            </w:r>
            <w:r>
              <w:rPr>
                <w:rFonts w:ascii="Symbol" w:hAnsi="Symbol"/>
                <w:sz w:val="21"/>
              </w:rPr>
              <w:t></w:t>
            </w:r>
            <w:r>
              <w:rPr>
                <w:rFonts w:ascii="Times New Roman" w:hAnsi="Times New Roman"/>
                <w:sz w:val="21"/>
              </w:rPr>
              <w:tab/>
            </w:r>
            <w:r>
              <w:rPr>
                <w:position w:val="-9"/>
                <w:sz w:val="20"/>
              </w:rPr>
              <w:t>at</w:t>
            </w:r>
            <w:r>
              <w:rPr>
                <w:spacing w:val="-1"/>
                <w:position w:val="-9"/>
                <w:sz w:val="20"/>
              </w:rPr>
              <w:t> </w:t>
            </w:r>
            <w:r>
              <w:rPr>
                <w:position w:val="-9"/>
                <w:sz w:val="20"/>
              </w:rPr>
              <w:t>60Hz</w:t>
            </w:r>
          </w:p>
          <w:p>
            <w:pPr>
              <w:pStyle w:val="TableParagraph"/>
              <w:spacing w:line="212" w:lineRule="exact"/>
              <w:ind w:left="1959"/>
              <w:rPr>
                <w:rFonts w:ascii="Symbol" w:hAnsi="Symbol"/>
                <w:sz w:val="21"/>
              </w:rPr>
            </w:pPr>
            <w:r>
              <w:rPr>
                <w:rFonts w:ascii="Times New Roman" w:hAnsi="Times New Roman"/>
                <w:sz w:val="21"/>
              </w:rPr>
              <w:t>0.1714 </w:t>
            </w:r>
            <w:r>
              <w:rPr>
                <w:rFonts w:ascii="Symbol" w:hAnsi="Symbol"/>
                <w:sz w:val="21"/>
              </w:rPr>
              <w:t></w:t>
            </w:r>
            <w:r>
              <w:rPr>
                <w:rFonts w:ascii="Times New Roman" w:hAnsi="Times New Roman"/>
                <w:sz w:val="21"/>
              </w:rPr>
              <w:t> 0.0168 </w:t>
            </w:r>
            <w:r>
              <w:rPr>
                <w:rFonts w:ascii="Symbol" w:hAnsi="Symbol"/>
                <w:w w:val="95"/>
                <w:sz w:val="21"/>
              </w:rPr>
              <w:t></w:t>
            </w:r>
            <w:r>
              <w:rPr>
                <w:rFonts w:ascii="Times New Roman" w:hAnsi="Times New Roman"/>
                <w:w w:val="95"/>
                <w:sz w:val="21"/>
              </w:rPr>
              <w:t> </w:t>
            </w:r>
            <w:r>
              <w:rPr>
                <w:rFonts w:ascii="Times New Roman" w:hAnsi="Times New Roman"/>
                <w:i/>
                <w:sz w:val="21"/>
              </w:rPr>
              <w:t>TAN</w:t>
            </w:r>
            <w:r>
              <w:rPr>
                <w:rFonts w:ascii="Symbol" w:hAnsi="Symbol"/>
                <w:sz w:val="21"/>
              </w:rPr>
              <w:t></w:t>
            </w:r>
          </w:p>
          <w:p>
            <w:pPr>
              <w:pStyle w:val="TableParagraph"/>
              <w:tabs>
                <w:tab w:pos="2292" w:val="left" w:leader="none"/>
                <w:tab w:pos="3972" w:val="left" w:leader="none"/>
              </w:tabs>
              <w:spacing w:line="177" w:lineRule="auto" w:before="87"/>
              <w:ind w:left="400"/>
              <w:rPr>
                <w:sz w:val="20"/>
              </w:rPr>
            </w:pPr>
            <w:r>
              <w:rPr>
                <w:rFonts w:ascii="Times New Roman" w:hAnsi="Times New Roman"/>
                <w:i/>
                <w:position w:val="-12"/>
                <w:sz w:val="21"/>
              </w:rPr>
              <w:t>PHADJ </w:t>
            </w:r>
            <w:r>
              <w:rPr>
                <w:rFonts w:ascii="Times New Roman" w:hAnsi="Times New Roman"/>
                <w:position w:val="-12"/>
                <w:sz w:val="21"/>
              </w:rPr>
              <w:t>_ </w:t>
            </w:r>
            <w:r>
              <w:rPr>
                <w:rFonts w:ascii="Times New Roman" w:hAnsi="Times New Roman"/>
                <w:i/>
                <w:position w:val="-12"/>
                <w:sz w:val="21"/>
              </w:rPr>
              <w:t>X</w:t>
            </w:r>
            <w:r>
              <w:rPr>
                <w:rFonts w:ascii="Times New Roman" w:hAnsi="Times New Roman"/>
                <w:i/>
                <w:spacing w:val="-3"/>
                <w:position w:val="-12"/>
                <w:sz w:val="21"/>
              </w:rPr>
              <w:t> </w:t>
            </w:r>
            <w:r>
              <w:rPr>
                <w:rFonts w:ascii="Symbol" w:hAnsi="Symbol"/>
                <w:position w:val="-12"/>
                <w:sz w:val="21"/>
              </w:rPr>
              <w:t></w:t>
            </w:r>
            <w:r>
              <w:rPr>
                <w:rFonts w:ascii="Times New Roman" w:hAnsi="Times New Roman"/>
                <w:spacing w:val="-16"/>
                <w:position w:val="-12"/>
                <w:sz w:val="21"/>
              </w:rPr>
              <w:t> </w:t>
            </w:r>
            <w:r>
              <w:rPr>
                <w:rFonts w:ascii="Times New Roman" w:hAnsi="Times New Roman"/>
                <w:spacing w:val="5"/>
                <w:position w:val="-12"/>
                <w:sz w:val="21"/>
              </w:rPr>
              <w:t>2</w:t>
            </w:r>
            <w:r>
              <w:rPr>
                <w:rFonts w:ascii="Times New Roman" w:hAnsi="Times New Roman"/>
                <w:spacing w:val="5"/>
                <w:position w:val="-3"/>
                <w:sz w:val="12"/>
              </w:rPr>
              <w:t>20</w:t>
              <w:tab/>
            </w:r>
            <w:r>
              <w:rPr>
                <w:rFonts w:ascii="Times New Roman" w:hAnsi="Times New Roman"/>
                <w:sz w:val="21"/>
              </w:rPr>
              <w:t>0.0206</w:t>
            </w:r>
            <w:r>
              <w:rPr>
                <w:rFonts w:ascii="Times New Roman" w:hAnsi="Times New Roman"/>
                <w:spacing w:val="-31"/>
                <w:sz w:val="21"/>
              </w:rPr>
              <w:t> </w:t>
            </w:r>
            <w:r>
              <w:rPr>
                <w:rFonts w:ascii="Symbol" w:hAnsi="Symbol"/>
                <w:w w:val="90"/>
                <w:sz w:val="21"/>
              </w:rPr>
              <w:t></w:t>
            </w:r>
            <w:r>
              <w:rPr>
                <w:rFonts w:ascii="Times New Roman" w:hAnsi="Times New Roman"/>
                <w:spacing w:val="-32"/>
                <w:w w:val="90"/>
                <w:sz w:val="21"/>
              </w:rPr>
              <w:t> </w:t>
            </w:r>
            <w:r>
              <w:rPr>
                <w:rFonts w:ascii="Times New Roman" w:hAnsi="Times New Roman"/>
                <w:i/>
                <w:sz w:val="21"/>
              </w:rPr>
              <w:t>TAN</w:t>
            </w:r>
            <w:r>
              <w:rPr>
                <w:rFonts w:ascii="Symbol" w:hAnsi="Symbol"/>
                <w:sz w:val="21"/>
              </w:rPr>
              <w:t></w:t>
            </w:r>
            <w:r>
              <w:rPr>
                <w:rFonts w:ascii="Times New Roman" w:hAnsi="Times New Roman"/>
                <w:sz w:val="21"/>
              </w:rPr>
              <w:tab/>
            </w:r>
            <w:r>
              <w:rPr>
                <w:position w:val="-9"/>
                <w:sz w:val="20"/>
              </w:rPr>
              <w:t>at</w:t>
            </w:r>
            <w:r>
              <w:rPr>
                <w:spacing w:val="-1"/>
                <w:position w:val="-9"/>
                <w:sz w:val="20"/>
              </w:rPr>
              <w:t> </w:t>
            </w:r>
            <w:r>
              <w:rPr>
                <w:position w:val="-9"/>
                <w:sz w:val="20"/>
              </w:rPr>
              <w:t>50Hz</w:t>
            </w:r>
          </w:p>
          <w:p>
            <w:pPr>
              <w:pStyle w:val="TableParagraph"/>
              <w:spacing w:line="212" w:lineRule="exact"/>
              <w:ind w:left="1877"/>
              <w:rPr>
                <w:rFonts w:ascii="Symbol" w:hAnsi="Symbol"/>
                <w:sz w:val="21"/>
              </w:rPr>
            </w:pPr>
            <w:r>
              <w:rPr>
                <w:rFonts w:ascii="Times New Roman" w:hAnsi="Times New Roman"/>
                <w:sz w:val="21"/>
              </w:rPr>
              <w:t>0.1430 </w:t>
            </w:r>
            <w:r>
              <w:rPr>
                <w:rFonts w:ascii="Symbol" w:hAnsi="Symbol"/>
                <w:sz w:val="21"/>
              </w:rPr>
              <w:t></w:t>
            </w:r>
            <w:r>
              <w:rPr>
                <w:rFonts w:ascii="Times New Roman" w:hAnsi="Times New Roman"/>
                <w:sz w:val="21"/>
              </w:rPr>
              <w:t> 0.01226 </w:t>
            </w:r>
            <w:r>
              <w:rPr>
                <w:rFonts w:ascii="Symbol" w:hAnsi="Symbol"/>
                <w:w w:val="90"/>
                <w:sz w:val="21"/>
              </w:rPr>
              <w:t></w:t>
            </w:r>
            <w:r>
              <w:rPr>
                <w:rFonts w:ascii="Times New Roman" w:hAnsi="Times New Roman"/>
                <w:w w:val="90"/>
                <w:sz w:val="21"/>
              </w:rPr>
              <w:t> </w:t>
            </w:r>
            <w:r>
              <w:rPr>
                <w:rFonts w:ascii="Times New Roman" w:hAnsi="Times New Roman"/>
                <w:i/>
                <w:sz w:val="21"/>
              </w:rPr>
              <w:t>TAN</w:t>
            </w:r>
            <w:r>
              <w:rPr>
                <w:rFonts w:ascii="Symbol" w:hAnsi="Symbol"/>
                <w:sz w:val="21"/>
              </w:rPr>
              <w:t></w:t>
            </w:r>
          </w:p>
        </w:tc>
      </w:tr>
      <w:tr>
        <w:trPr>
          <w:trHeight w:val="728" w:hRule="atLeast"/>
        </w:trPr>
        <w:tc>
          <w:tcPr>
            <w:tcW w:w="1061" w:type="dxa"/>
            <w:tcBorders>
              <w:top w:val="single" w:sz="6" w:space="0" w:color="000000"/>
              <w:bottom w:val="single" w:sz="6" w:space="0" w:color="000000"/>
              <w:right w:val="single" w:sz="6" w:space="0" w:color="000000"/>
            </w:tcBorders>
          </w:tcPr>
          <w:p>
            <w:pPr>
              <w:pStyle w:val="TableParagraph"/>
              <w:spacing w:before="7"/>
              <w:rPr>
                <w:b/>
                <w:sz w:val="21"/>
              </w:rPr>
            </w:pPr>
          </w:p>
          <w:p>
            <w:pPr>
              <w:pStyle w:val="TableParagraph"/>
              <w:ind w:left="107" w:right="100"/>
              <w:jc w:val="center"/>
              <w:rPr>
                <w:sz w:val="20"/>
              </w:rPr>
            </w:pPr>
            <w:r>
              <w:rPr>
                <w:sz w:val="20"/>
              </w:rPr>
              <w:t>0x15</w:t>
            </w:r>
          </w:p>
        </w:tc>
        <w:tc>
          <w:tcPr>
            <w:tcW w:w="1191" w:type="dxa"/>
            <w:tcBorders>
              <w:top w:val="single" w:sz="6" w:space="0" w:color="000000"/>
              <w:left w:val="single" w:sz="6" w:space="0" w:color="000000"/>
              <w:bottom w:val="single" w:sz="6" w:space="0" w:color="000000"/>
              <w:right w:val="single" w:sz="6" w:space="0" w:color="000000"/>
            </w:tcBorders>
          </w:tcPr>
          <w:p>
            <w:pPr>
              <w:pStyle w:val="TableParagraph"/>
              <w:spacing w:before="3"/>
              <w:rPr>
                <w:b/>
                <w:sz w:val="21"/>
              </w:rPr>
            </w:pPr>
          </w:p>
          <w:p>
            <w:pPr>
              <w:pStyle w:val="TableParagraph"/>
              <w:ind w:left="95" w:right="92"/>
              <w:jc w:val="center"/>
              <w:rPr>
                <w:rFonts w:ascii="Times New Roman"/>
                <w:i/>
                <w:sz w:val="20"/>
              </w:rPr>
            </w:pPr>
            <w:r>
              <w:rPr>
                <w:rFonts w:ascii="Times New Roman"/>
                <w:i/>
                <w:sz w:val="20"/>
              </w:rPr>
              <w:t>PHADJ_B</w:t>
            </w:r>
          </w:p>
        </w:tc>
        <w:tc>
          <w:tcPr>
            <w:tcW w:w="898" w:type="dxa"/>
            <w:tcBorders>
              <w:top w:val="single" w:sz="6" w:space="0" w:color="000000"/>
              <w:left w:val="single" w:sz="6" w:space="0" w:color="000000"/>
              <w:bottom w:val="single" w:sz="6" w:space="0" w:color="000000"/>
              <w:right w:val="single" w:sz="6" w:space="0" w:color="000000"/>
            </w:tcBorders>
          </w:tcPr>
          <w:p>
            <w:pPr>
              <w:pStyle w:val="TableParagraph"/>
              <w:spacing w:before="7"/>
              <w:rPr>
                <w:b/>
                <w:sz w:val="21"/>
              </w:rPr>
            </w:pPr>
          </w:p>
          <w:p>
            <w:pPr>
              <w:pStyle w:val="TableParagraph"/>
              <w:ind w:left="8"/>
              <w:jc w:val="center"/>
              <w:rPr>
                <w:sz w:val="20"/>
              </w:rPr>
            </w:pPr>
            <w:r>
              <w:rPr>
                <w:w w:val="99"/>
                <w:sz w:val="20"/>
              </w:rPr>
              <w:t>0</w:t>
            </w:r>
          </w:p>
        </w:tc>
        <w:tc>
          <w:tcPr>
            <w:tcW w:w="6215" w:type="dxa"/>
            <w:gridSpan w:val="4"/>
            <w:vMerge/>
            <w:tcBorders>
              <w:top w:val="nil"/>
              <w:left w:val="single" w:sz="6" w:space="0" w:color="000000"/>
              <w:bottom w:val="single" w:sz="6" w:space="0" w:color="000000"/>
            </w:tcBorders>
          </w:tcPr>
          <w:p>
            <w:pPr>
              <w:rPr>
                <w:sz w:val="2"/>
                <w:szCs w:val="2"/>
              </w:rPr>
            </w:pPr>
          </w:p>
        </w:tc>
      </w:tr>
      <w:tr>
        <w:trPr>
          <w:trHeight w:val="731" w:hRule="atLeast"/>
        </w:trPr>
        <w:tc>
          <w:tcPr>
            <w:tcW w:w="1061" w:type="dxa"/>
            <w:tcBorders>
              <w:top w:val="single" w:sz="6" w:space="0" w:color="000000"/>
              <w:bottom w:val="single" w:sz="6" w:space="0" w:color="000000"/>
              <w:right w:val="single" w:sz="6" w:space="0" w:color="000000"/>
            </w:tcBorders>
          </w:tcPr>
          <w:p>
            <w:pPr>
              <w:pStyle w:val="TableParagraph"/>
              <w:spacing w:before="7"/>
              <w:rPr>
                <w:b/>
                <w:sz w:val="21"/>
              </w:rPr>
            </w:pPr>
          </w:p>
          <w:p>
            <w:pPr>
              <w:pStyle w:val="TableParagraph"/>
              <w:ind w:left="107" w:right="100"/>
              <w:jc w:val="center"/>
              <w:rPr>
                <w:sz w:val="20"/>
              </w:rPr>
            </w:pPr>
            <w:r>
              <w:rPr>
                <w:sz w:val="20"/>
              </w:rPr>
              <w:t>0x18</w:t>
            </w:r>
          </w:p>
        </w:tc>
        <w:tc>
          <w:tcPr>
            <w:tcW w:w="1191" w:type="dxa"/>
            <w:tcBorders>
              <w:top w:val="single" w:sz="6" w:space="0" w:color="000000"/>
              <w:left w:val="single" w:sz="6" w:space="0" w:color="000000"/>
              <w:bottom w:val="single" w:sz="6" w:space="0" w:color="000000"/>
              <w:right w:val="single" w:sz="6" w:space="0" w:color="000000"/>
            </w:tcBorders>
          </w:tcPr>
          <w:p>
            <w:pPr>
              <w:pStyle w:val="TableParagraph"/>
              <w:spacing w:before="3"/>
              <w:rPr>
                <w:b/>
                <w:sz w:val="21"/>
              </w:rPr>
            </w:pPr>
          </w:p>
          <w:p>
            <w:pPr>
              <w:pStyle w:val="TableParagraph"/>
              <w:ind w:left="95" w:right="91"/>
              <w:jc w:val="center"/>
              <w:rPr>
                <w:rFonts w:ascii="Times New Roman"/>
                <w:i/>
                <w:sz w:val="20"/>
              </w:rPr>
            </w:pPr>
            <w:r>
              <w:rPr>
                <w:rFonts w:ascii="Times New Roman"/>
                <w:i/>
                <w:sz w:val="20"/>
              </w:rPr>
              <w:t>PHADJ_C</w:t>
            </w:r>
          </w:p>
        </w:tc>
        <w:tc>
          <w:tcPr>
            <w:tcW w:w="898" w:type="dxa"/>
            <w:tcBorders>
              <w:top w:val="single" w:sz="6" w:space="0" w:color="000000"/>
              <w:left w:val="single" w:sz="6" w:space="0" w:color="000000"/>
              <w:bottom w:val="single" w:sz="6" w:space="0" w:color="000000"/>
              <w:right w:val="single" w:sz="6" w:space="0" w:color="000000"/>
            </w:tcBorders>
          </w:tcPr>
          <w:p>
            <w:pPr>
              <w:pStyle w:val="TableParagraph"/>
              <w:spacing w:before="7"/>
              <w:rPr>
                <w:b/>
                <w:sz w:val="21"/>
              </w:rPr>
            </w:pPr>
          </w:p>
          <w:p>
            <w:pPr>
              <w:pStyle w:val="TableParagraph"/>
              <w:ind w:left="8"/>
              <w:jc w:val="center"/>
              <w:rPr>
                <w:sz w:val="20"/>
              </w:rPr>
            </w:pPr>
            <w:r>
              <w:rPr>
                <w:w w:val="99"/>
                <w:sz w:val="20"/>
              </w:rPr>
              <w:t>0</w:t>
            </w:r>
          </w:p>
        </w:tc>
        <w:tc>
          <w:tcPr>
            <w:tcW w:w="6215" w:type="dxa"/>
            <w:gridSpan w:val="4"/>
            <w:vMerge/>
            <w:tcBorders>
              <w:top w:val="nil"/>
              <w:left w:val="single" w:sz="6" w:space="0" w:color="000000"/>
              <w:bottom w:val="single" w:sz="6" w:space="0" w:color="000000"/>
            </w:tcBorders>
          </w:tcPr>
          <w:p>
            <w:pPr>
              <w:rPr>
                <w:sz w:val="2"/>
                <w:szCs w:val="2"/>
              </w:rPr>
            </w:pPr>
          </w:p>
        </w:tc>
      </w:tr>
      <w:tr>
        <w:trPr>
          <w:trHeight w:val="1660" w:hRule="atLeast"/>
        </w:trPr>
        <w:tc>
          <w:tcPr>
            <w:tcW w:w="1061" w:type="dxa"/>
            <w:tcBorders>
              <w:top w:val="single" w:sz="6" w:space="0" w:color="000000"/>
              <w:bottom w:val="single" w:sz="6" w:space="0" w:color="000000"/>
              <w:right w:val="single" w:sz="6" w:space="0" w:color="000000"/>
            </w:tcBorders>
          </w:tcPr>
          <w:p>
            <w:pPr>
              <w:pStyle w:val="TableParagraph"/>
              <w:rPr>
                <w:b/>
                <w:sz w:val="22"/>
              </w:rPr>
            </w:pPr>
          </w:p>
          <w:p>
            <w:pPr>
              <w:pStyle w:val="TableParagraph"/>
              <w:rPr>
                <w:b/>
                <w:sz w:val="22"/>
              </w:rPr>
            </w:pPr>
          </w:p>
          <w:p>
            <w:pPr>
              <w:pStyle w:val="TableParagraph"/>
              <w:spacing w:before="1"/>
              <w:rPr>
                <w:b/>
                <w:sz w:val="18"/>
              </w:rPr>
            </w:pPr>
          </w:p>
          <w:p>
            <w:pPr>
              <w:pStyle w:val="TableParagraph"/>
              <w:ind w:left="106" w:right="100"/>
              <w:jc w:val="center"/>
              <w:rPr>
                <w:sz w:val="20"/>
              </w:rPr>
            </w:pPr>
            <w:r>
              <w:rPr>
                <w:sz w:val="20"/>
              </w:rPr>
              <w:t>0x12</w:t>
            </w:r>
          </w:p>
        </w:tc>
        <w:tc>
          <w:tcPr>
            <w:tcW w:w="119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rPr>
                <w:b/>
                <w:sz w:val="22"/>
              </w:rPr>
            </w:pPr>
          </w:p>
          <w:p>
            <w:pPr>
              <w:pStyle w:val="TableParagraph"/>
              <w:spacing w:before="9"/>
              <w:rPr>
                <w:b/>
                <w:sz w:val="17"/>
              </w:rPr>
            </w:pPr>
          </w:p>
          <w:p>
            <w:pPr>
              <w:pStyle w:val="TableParagraph"/>
              <w:ind w:left="95" w:right="95"/>
              <w:jc w:val="center"/>
              <w:rPr>
                <w:rFonts w:ascii="Times New Roman"/>
                <w:i/>
                <w:sz w:val="20"/>
              </w:rPr>
            </w:pPr>
            <w:r>
              <w:rPr>
                <w:rFonts w:ascii="Times New Roman"/>
                <w:i/>
                <w:sz w:val="20"/>
              </w:rPr>
              <w:t>DLYADJ_A</w:t>
            </w:r>
          </w:p>
        </w:tc>
        <w:tc>
          <w:tcPr>
            <w:tcW w:w="89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rPr>
                <w:b/>
                <w:sz w:val="22"/>
              </w:rPr>
            </w:pPr>
          </w:p>
          <w:p>
            <w:pPr>
              <w:pStyle w:val="TableParagraph"/>
              <w:spacing w:before="1"/>
              <w:rPr>
                <w:b/>
                <w:sz w:val="18"/>
              </w:rPr>
            </w:pPr>
          </w:p>
          <w:p>
            <w:pPr>
              <w:pStyle w:val="TableParagraph"/>
              <w:ind w:left="8"/>
              <w:jc w:val="center"/>
              <w:rPr>
                <w:sz w:val="20"/>
              </w:rPr>
            </w:pPr>
            <w:r>
              <w:rPr>
                <w:w w:val="99"/>
                <w:sz w:val="20"/>
              </w:rPr>
              <w:t>0</w:t>
            </w:r>
          </w:p>
        </w:tc>
        <w:tc>
          <w:tcPr>
            <w:tcW w:w="6215" w:type="dxa"/>
            <w:gridSpan w:val="4"/>
            <w:vMerge w:val="restart"/>
            <w:tcBorders>
              <w:top w:val="single" w:sz="6" w:space="0" w:color="000000"/>
              <w:left w:val="single" w:sz="6" w:space="0" w:color="000000"/>
              <w:bottom w:val="nil"/>
            </w:tcBorders>
          </w:tcPr>
          <w:p>
            <w:pPr>
              <w:pStyle w:val="TableParagraph"/>
              <w:spacing w:before="18"/>
              <w:ind w:left="104" w:right="166"/>
              <w:rPr>
                <w:sz w:val="20"/>
              </w:rPr>
            </w:pPr>
            <w:r>
              <w:rPr>
                <w:sz w:val="20"/>
              </w:rPr>
              <w:t>The shunt delay compensation is obtained using the equation provided below:</w:t>
            </w:r>
          </w:p>
          <w:p>
            <w:pPr>
              <w:pStyle w:val="TableParagraph"/>
              <w:spacing w:line="241" w:lineRule="exact" w:before="53"/>
              <w:ind w:left="3324"/>
              <w:jc w:val="center"/>
              <w:rPr>
                <w:rFonts w:ascii="Times New Roman" w:hAnsi="Times New Roman"/>
                <w:i/>
                <w:sz w:val="19"/>
              </w:rPr>
            </w:pPr>
            <w:r>
              <w:rPr>
                <w:rFonts w:ascii="Times New Roman" w:hAnsi="Times New Roman"/>
                <w:i/>
                <w:sz w:val="19"/>
              </w:rPr>
              <w:t>a</w:t>
            </w:r>
            <w:r>
              <w:rPr>
                <w:rFonts w:ascii="Times New Roman" w:hAnsi="Times New Roman"/>
                <w:sz w:val="19"/>
                <w:vertAlign w:val="superscript"/>
              </w:rPr>
              <w:t>2</w:t>
            </w:r>
            <w:r>
              <w:rPr>
                <w:rFonts w:ascii="Times New Roman" w:hAnsi="Times New Roman"/>
                <w:sz w:val="19"/>
                <w:vertAlign w:val="baseline"/>
              </w:rPr>
              <w:t> cos</w:t>
            </w:r>
            <w:r>
              <w:rPr>
                <w:rFonts w:ascii="Times New Roman" w:hAnsi="Times New Roman"/>
                <w:sz w:val="19"/>
                <w:vertAlign w:val="superscript"/>
              </w:rPr>
              <w:t>2</w:t>
            </w:r>
            <w:r>
              <w:rPr>
                <w:rFonts w:ascii="Times New Roman" w:hAnsi="Times New Roman"/>
                <w:sz w:val="19"/>
                <w:vertAlign w:val="baseline"/>
              </w:rPr>
              <w:t> </w:t>
            </w:r>
            <w:r>
              <w:rPr>
                <w:rFonts w:ascii="Symbol" w:hAnsi="Symbol"/>
                <w:position w:val="13"/>
                <w:sz w:val="19"/>
                <w:vertAlign w:val="baseline"/>
              </w:rPr>
              <w:t></w:t>
            </w:r>
            <w:r>
              <w:rPr>
                <w:rFonts w:ascii="Times New Roman" w:hAnsi="Times New Roman"/>
                <w:position w:val="13"/>
                <w:sz w:val="19"/>
                <w:vertAlign w:val="baseline"/>
              </w:rPr>
              <w:t> </w:t>
            </w:r>
            <w:r>
              <w:rPr>
                <w:rFonts w:ascii="Times New Roman" w:hAnsi="Times New Roman"/>
                <w:position w:val="12"/>
                <w:sz w:val="19"/>
                <w:vertAlign w:val="baseline"/>
              </w:rPr>
              <w:t>2</w:t>
            </w:r>
            <w:r>
              <w:rPr>
                <w:rFonts w:ascii="Symbol" w:hAnsi="Symbol"/>
                <w:i/>
                <w:position w:val="12"/>
                <w:sz w:val="20"/>
                <w:vertAlign w:val="baseline"/>
              </w:rPr>
              <w:t></w:t>
            </w:r>
            <w:r>
              <w:rPr>
                <w:rFonts w:ascii="Times New Roman" w:hAnsi="Times New Roman"/>
                <w:i/>
                <w:position w:val="12"/>
                <w:sz w:val="19"/>
                <w:vertAlign w:val="baseline"/>
              </w:rPr>
              <w:t>f </w:t>
            </w:r>
            <w:r>
              <w:rPr>
                <w:rFonts w:ascii="Symbol" w:hAnsi="Symbol"/>
                <w:position w:val="13"/>
                <w:sz w:val="19"/>
                <w:vertAlign w:val="baseline"/>
              </w:rPr>
              <w:t></w:t>
            </w:r>
            <w:r>
              <w:rPr>
                <w:rFonts w:ascii="Times New Roman" w:hAnsi="Times New Roman"/>
                <w:position w:val="13"/>
                <w:sz w:val="19"/>
                <w:vertAlign w:val="baseline"/>
              </w:rPr>
              <w:t> </w:t>
            </w:r>
            <w:r>
              <w:rPr>
                <w:rFonts w:ascii="Symbol" w:hAnsi="Symbol"/>
                <w:sz w:val="19"/>
                <w:vertAlign w:val="baseline"/>
              </w:rPr>
              <w:t></w:t>
            </w:r>
            <w:r>
              <w:rPr>
                <w:rFonts w:ascii="Times New Roman" w:hAnsi="Times New Roman"/>
                <w:sz w:val="19"/>
                <w:vertAlign w:val="baseline"/>
              </w:rPr>
              <w:t> 2</w:t>
            </w:r>
            <w:r>
              <w:rPr>
                <w:rFonts w:ascii="Times New Roman" w:hAnsi="Times New Roman"/>
                <w:i/>
                <w:sz w:val="19"/>
                <w:vertAlign w:val="baseline"/>
              </w:rPr>
              <w:t>ab </w:t>
            </w:r>
            <w:r>
              <w:rPr>
                <w:rFonts w:ascii="Times New Roman" w:hAnsi="Times New Roman"/>
                <w:sz w:val="19"/>
                <w:vertAlign w:val="baseline"/>
              </w:rPr>
              <w:t>co </w:t>
            </w:r>
            <w:r>
              <w:rPr>
                <w:rFonts w:ascii="Symbol" w:hAnsi="Symbol"/>
                <w:position w:val="13"/>
                <w:sz w:val="19"/>
                <w:vertAlign w:val="baseline"/>
              </w:rPr>
              <w:t></w:t>
            </w:r>
            <w:r>
              <w:rPr>
                <w:rFonts w:ascii="Times New Roman" w:hAnsi="Times New Roman"/>
                <w:position w:val="13"/>
                <w:sz w:val="19"/>
                <w:vertAlign w:val="baseline"/>
              </w:rPr>
              <w:t> </w:t>
            </w:r>
            <w:r>
              <w:rPr>
                <w:rFonts w:ascii="Times New Roman" w:hAnsi="Times New Roman"/>
                <w:position w:val="12"/>
                <w:sz w:val="19"/>
                <w:vertAlign w:val="baseline"/>
              </w:rPr>
              <w:t>2</w:t>
            </w:r>
            <w:r>
              <w:rPr>
                <w:rFonts w:ascii="Symbol" w:hAnsi="Symbol"/>
                <w:i/>
                <w:position w:val="12"/>
                <w:sz w:val="20"/>
                <w:vertAlign w:val="baseline"/>
              </w:rPr>
              <w:t></w:t>
            </w:r>
            <w:r>
              <w:rPr>
                <w:rFonts w:ascii="Times New Roman" w:hAnsi="Times New Roman"/>
                <w:i/>
                <w:position w:val="12"/>
                <w:sz w:val="19"/>
                <w:vertAlign w:val="baseline"/>
              </w:rPr>
              <w:t>f </w:t>
            </w:r>
            <w:r>
              <w:rPr>
                <w:rFonts w:ascii="Symbol" w:hAnsi="Symbol"/>
                <w:position w:val="13"/>
                <w:sz w:val="19"/>
                <w:vertAlign w:val="baseline"/>
              </w:rPr>
              <w:t></w:t>
            </w:r>
            <w:r>
              <w:rPr>
                <w:rFonts w:ascii="Times New Roman" w:hAnsi="Times New Roman"/>
                <w:position w:val="13"/>
                <w:sz w:val="19"/>
                <w:vertAlign w:val="baseline"/>
              </w:rPr>
              <w:t> </w:t>
            </w:r>
            <w:r>
              <w:rPr>
                <w:rFonts w:ascii="Symbol" w:hAnsi="Symbol"/>
                <w:sz w:val="19"/>
                <w:vertAlign w:val="baseline"/>
              </w:rPr>
              <w:t></w:t>
            </w:r>
            <w:r>
              <w:rPr>
                <w:rFonts w:ascii="Times New Roman" w:hAnsi="Times New Roman"/>
                <w:sz w:val="19"/>
                <w:vertAlign w:val="baseline"/>
              </w:rPr>
              <w:t> </w:t>
            </w:r>
            <w:r>
              <w:rPr>
                <w:rFonts w:ascii="Times New Roman" w:hAnsi="Times New Roman"/>
                <w:i/>
                <w:sz w:val="19"/>
                <w:vertAlign w:val="baseline"/>
              </w:rPr>
              <w:t>b</w:t>
            </w:r>
          </w:p>
          <w:p>
            <w:pPr>
              <w:pStyle w:val="TableParagraph"/>
              <w:tabs>
                <w:tab w:pos="4028" w:val="left" w:leader="none"/>
                <w:tab w:pos="4757" w:val="left" w:leader="none"/>
                <w:tab w:pos="5253" w:val="left" w:leader="none"/>
              </w:tabs>
              <w:spacing w:line="81" w:lineRule="exact"/>
              <w:ind w:left="3605"/>
              <w:jc w:val="center"/>
              <w:rPr>
                <w:rFonts w:ascii="Symbol" w:hAnsi="Symbol"/>
                <w:sz w:val="19"/>
              </w:rPr>
            </w:pPr>
            <w:r>
              <w:rPr>
                <w:rFonts w:ascii="Symbol" w:hAnsi="Symbol"/>
                <w:position w:val="1"/>
                <w:sz w:val="19"/>
              </w:rPr>
              <w:t></w:t>
            </w:r>
            <w:r>
              <w:rPr>
                <w:rFonts w:ascii="Times New Roman" w:hAnsi="Times New Roman"/>
                <w:position w:val="1"/>
                <w:sz w:val="19"/>
              </w:rPr>
              <w:tab/>
            </w:r>
            <w:r>
              <w:rPr>
                <w:rFonts w:ascii="Symbol" w:hAnsi="Symbol"/>
                <w:position w:val="1"/>
                <w:sz w:val="19"/>
              </w:rPr>
              <w:t></w:t>
            </w:r>
            <w:r>
              <w:rPr>
                <w:rFonts w:ascii="Times New Roman" w:hAnsi="Times New Roman"/>
                <w:position w:val="1"/>
                <w:sz w:val="19"/>
              </w:rPr>
              <w:tab/>
            </w:r>
            <w:r>
              <w:rPr>
                <w:rFonts w:ascii="Times New Roman" w:hAnsi="Times New Roman"/>
                <w:sz w:val="19"/>
              </w:rPr>
              <w:t>s</w:t>
            </w:r>
            <w:r>
              <w:rPr>
                <w:rFonts w:ascii="Symbol" w:hAnsi="Symbol"/>
                <w:position w:val="1"/>
                <w:sz w:val="19"/>
              </w:rPr>
              <w:t></w:t>
            </w:r>
            <w:r>
              <w:rPr>
                <w:rFonts w:ascii="Times New Roman" w:hAnsi="Times New Roman"/>
                <w:position w:val="1"/>
                <w:sz w:val="19"/>
              </w:rPr>
              <w:tab/>
            </w:r>
            <w:r>
              <w:rPr>
                <w:rFonts w:ascii="Symbol" w:hAnsi="Symbol"/>
                <w:position w:val="1"/>
                <w:sz w:val="19"/>
              </w:rPr>
              <w:t></w:t>
            </w:r>
          </w:p>
          <w:p>
            <w:pPr>
              <w:pStyle w:val="TableParagraph"/>
              <w:tabs>
                <w:tab w:pos="1857" w:val="left" w:leader="none"/>
                <w:tab w:pos="2867" w:val="left" w:leader="none"/>
                <w:tab w:pos="4043" w:val="left" w:leader="none"/>
                <w:tab w:pos="5268" w:val="left" w:leader="none"/>
              </w:tabs>
              <w:spacing w:line="285" w:lineRule="exact"/>
              <w:ind w:left="139"/>
              <w:rPr>
                <w:rFonts w:ascii="Symbol" w:hAnsi="Symbol"/>
                <w:sz w:val="19"/>
              </w:rPr>
            </w:pPr>
            <w:r>
              <w:rPr>
                <w:rFonts w:ascii="Times New Roman" w:hAnsi="Times New Roman"/>
                <w:i/>
                <w:sz w:val="19"/>
              </w:rPr>
              <w:t>DLYADJ </w:t>
            </w:r>
            <w:r>
              <w:rPr>
                <w:rFonts w:ascii="Times New Roman" w:hAnsi="Times New Roman"/>
                <w:sz w:val="19"/>
              </w:rPr>
              <w:t>_ </w:t>
            </w:r>
            <w:r>
              <w:rPr>
                <w:rFonts w:ascii="Times New Roman" w:hAnsi="Times New Roman"/>
                <w:i/>
                <w:sz w:val="19"/>
              </w:rPr>
              <w:t>X</w:t>
            </w:r>
            <w:r>
              <w:rPr>
                <w:rFonts w:ascii="Times New Roman" w:hAnsi="Times New Roman"/>
                <w:i/>
                <w:spacing w:val="24"/>
                <w:sz w:val="19"/>
              </w:rPr>
              <w:t> </w:t>
            </w:r>
            <w:r>
              <w:rPr>
                <w:rFonts w:ascii="Symbol" w:hAnsi="Symbol"/>
                <w:sz w:val="19"/>
              </w:rPr>
              <w:t></w:t>
            </w:r>
            <w:r>
              <w:rPr>
                <w:rFonts w:ascii="Times New Roman" w:hAnsi="Times New Roman"/>
                <w:spacing w:val="-5"/>
                <w:sz w:val="19"/>
              </w:rPr>
              <w:t> </w:t>
            </w:r>
            <w:r>
              <w:rPr>
                <w:rFonts w:ascii="Symbol" w:hAnsi="Symbol"/>
                <w:sz w:val="19"/>
              </w:rPr>
              <w:t></w:t>
            </w:r>
            <w:r>
              <w:rPr>
                <w:rFonts w:ascii="Times New Roman" w:hAnsi="Times New Roman"/>
                <w:sz w:val="19"/>
              </w:rPr>
              <w:tab/>
            </w:r>
            <w:r>
              <w:rPr>
                <w:rFonts w:ascii="Symbol" w:hAnsi="Symbol"/>
                <w:spacing w:val="-6"/>
                <w:sz w:val="29"/>
              </w:rPr>
              <w:t></w:t>
            </w:r>
            <w:r>
              <w:rPr>
                <w:rFonts w:ascii="Times New Roman" w:hAnsi="Times New Roman"/>
                <w:spacing w:val="-6"/>
                <w:sz w:val="19"/>
              </w:rPr>
              <w:t>1</w:t>
            </w:r>
            <w:r>
              <w:rPr>
                <w:rFonts w:ascii="Symbol" w:hAnsi="Symbol"/>
                <w:spacing w:val="-6"/>
                <w:sz w:val="19"/>
              </w:rPr>
              <w:t></w:t>
            </w:r>
            <w:r>
              <w:rPr>
                <w:rFonts w:ascii="Times New Roman" w:hAnsi="Times New Roman"/>
                <w:spacing w:val="-22"/>
                <w:sz w:val="19"/>
              </w:rPr>
              <w:t> </w:t>
            </w:r>
            <w:r>
              <w:rPr>
                <w:rFonts w:ascii="Times New Roman" w:hAnsi="Times New Roman"/>
                <w:spacing w:val="-3"/>
                <w:sz w:val="19"/>
              </w:rPr>
              <w:t>0.1</w:t>
            </w:r>
            <w:r>
              <w:rPr>
                <w:rFonts w:ascii="Symbol" w:hAnsi="Symbol"/>
                <w:spacing w:val="-3"/>
                <w:sz w:val="19"/>
              </w:rPr>
              <w:t></w:t>
            </w:r>
            <w:r>
              <w:rPr>
                <w:rFonts w:ascii="Times New Roman" w:hAnsi="Times New Roman"/>
                <w:spacing w:val="-3"/>
                <w:sz w:val="19"/>
              </w:rPr>
              <w:tab/>
            </w:r>
            <w:r>
              <w:rPr>
                <w:rFonts w:ascii="Symbol" w:hAnsi="Symbol"/>
                <w:spacing w:val="-6"/>
                <w:sz w:val="29"/>
              </w:rPr>
              <w:t></w:t>
            </w:r>
            <w:r>
              <w:rPr>
                <w:rFonts w:ascii="Times New Roman" w:hAnsi="Times New Roman"/>
                <w:spacing w:val="-6"/>
                <w:sz w:val="19"/>
              </w:rPr>
              <w:t>2</w:t>
            </w:r>
            <w:r>
              <w:rPr>
                <w:rFonts w:ascii="Times New Roman" w:hAnsi="Times New Roman"/>
                <w:spacing w:val="-6"/>
                <w:sz w:val="19"/>
                <w:vertAlign w:val="superscript"/>
              </w:rPr>
              <w:t>14</w:t>
            </w:r>
            <w:r>
              <w:rPr>
                <w:rFonts w:ascii="Times New Roman" w:hAnsi="Times New Roman"/>
                <w:spacing w:val="27"/>
                <w:sz w:val="19"/>
                <w:vertAlign w:val="baseline"/>
              </w:rPr>
              <w:t> </w:t>
            </w:r>
            <w:r>
              <w:rPr>
                <w:rFonts w:ascii="Times New Roman" w:hAnsi="Times New Roman"/>
                <w:spacing w:val="-5"/>
                <w:position w:val="12"/>
                <w:sz w:val="19"/>
                <w:vertAlign w:val="baseline"/>
              </w:rPr>
              <w:t>2</w:t>
            </w:r>
            <w:r>
              <w:rPr>
                <w:rFonts w:ascii="Symbol" w:hAnsi="Symbol"/>
                <w:i/>
                <w:spacing w:val="-5"/>
                <w:position w:val="12"/>
                <w:sz w:val="20"/>
                <w:vertAlign w:val="baseline"/>
              </w:rPr>
              <w:t></w:t>
            </w:r>
            <w:r>
              <w:rPr>
                <w:rFonts w:ascii="Times New Roman" w:hAnsi="Times New Roman"/>
                <w:spacing w:val="-5"/>
                <w:position w:val="12"/>
                <w:sz w:val="20"/>
                <w:vertAlign w:val="baseline"/>
              </w:rPr>
              <w:tab/>
            </w:r>
            <w:r>
              <w:rPr>
                <w:rFonts w:ascii="Symbol" w:hAnsi="Symbol"/>
                <w:position w:val="9"/>
                <w:sz w:val="19"/>
                <w:vertAlign w:val="baseline"/>
              </w:rPr>
              <w:t></w:t>
            </w:r>
            <w:r>
              <w:rPr>
                <w:rFonts w:ascii="Times New Roman" w:hAnsi="Times New Roman"/>
                <w:position w:val="9"/>
                <w:sz w:val="19"/>
                <w:vertAlign w:val="baseline"/>
              </w:rPr>
              <w:t> </w:t>
            </w:r>
            <w:r>
              <w:rPr>
                <w:rFonts w:ascii="Times New Roman" w:hAnsi="Times New Roman"/>
                <w:spacing w:val="34"/>
                <w:position w:val="9"/>
                <w:sz w:val="19"/>
                <w:vertAlign w:val="baseline"/>
              </w:rPr>
              <w:t> </w:t>
            </w:r>
            <w:r>
              <w:rPr>
                <w:rFonts w:ascii="Times New Roman" w:hAnsi="Times New Roman"/>
                <w:i/>
                <w:spacing w:val="6"/>
                <w:position w:val="14"/>
                <w:sz w:val="19"/>
                <w:vertAlign w:val="baseline"/>
              </w:rPr>
              <w:t>f</w:t>
            </w:r>
            <w:r>
              <w:rPr>
                <w:rFonts w:ascii="Times New Roman" w:hAnsi="Times New Roman"/>
                <w:i/>
                <w:spacing w:val="6"/>
                <w:position w:val="9"/>
                <w:sz w:val="11"/>
                <w:vertAlign w:val="baseline"/>
              </w:rPr>
              <w:t>s  </w:t>
            </w:r>
            <w:r>
              <w:rPr>
                <w:rFonts w:ascii="Times New Roman" w:hAnsi="Times New Roman"/>
                <w:i/>
                <w:spacing w:val="17"/>
                <w:position w:val="9"/>
                <w:sz w:val="11"/>
                <w:vertAlign w:val="baseline"/>
              </w:rPr>
              <w:t> </w:t>
            </w:r>
            <w:r>
              <w:rPr>
                <w:rFonts w:ascii="Symbol" w:hAnsi="Symbol"/>
                <w:position w:val="9"/>
                <w:sz w:val="19"/>
                <w:vertAlign w:val="baseline"/>
              </w:rPr>
              <w:t></w:t>
            </w:r>
            <w:r>
              <w:rPr>
                <w:rFonts w:ascii="Times New Roman" w:hAnsi="Times New Roman"/>
                <w:position w:val="9"/>
                <w:sz w:val="19"/>
                <w:vertAlign w:val="baseline"/>
              </w:rPr>
              <w:tab/>
            </w:r>
            <w:r>
              <w:rPr>
                <w:rFonts w:ascii="Symbol" w:hAnsi="Symbol"/>
                <w:position w:val="9"/>
                <w:sz w:val="19"/>
                <w:vertAlign w:val="baseline"/>
              </w:rPr>
              <w:t></w:t>
            </w:r>
            <w:r>
              <w:rPr>
                <w:rFonts w:ascii="Times New Roman" w:hAnsi="Times New Roman"/>
                <w:position w:val="9"/>
                <w:sz w:val="19"/>
                <w:vertAlign w:val="baseline"/>
              </w:rPr>
              <w:t>   </w:t>
            </w:r>
            <w:r>
              <w:rPr>
                <w:rFonts w:ascii="Times New Roman" w:hAnsi="Times New Roman"/>
                <w:i/>
                <w:spacing w:val="6"/>
                <w:position w:val="14"/>
                <w:sz w:val="19"/>
                <w:vertAlign w:val="baseline"/>
              </w:rPr>
              <w:t>f</w:t>
            </w:r>
            <w:r>
              <w:rPr>
                <w:rFonts w:ascii="Times New Roman" w:hAnsi="Times New Roman"/>
                <w:i/>
                <w:spacing w:val="6"/>
                <w:position w:val="9"/>
                <w:sz w:val="11"/>
                <w:vertAlign w:val="baseline"/>
              </w:rPr>
              <w:t>s </w:t>
            </w:r>
            <w:r>
              <w:rPr>
                <w:rFonts w:ascii="Times New Roman" w:hAnsi="Times New Roman"/>
                <w:i/>
                <w:spacing w:val="38"/>
                <w:position w:val="9"/>
                <w:sz w:val="11"/>
                <w:vertAlign w:val="baseline"/>
              </w:rPr>
              <w:t> </w:t>
            </w:r>
            <w:r>
              <w:rPr>
                <w:rFonts w:ascii="Symbol" w:hAnsi="Symbol"/>
                <w:position w:val="9"/>
                <w:sz w:val="19"/>
                <w:vertAlign w:val="baseline"/>
              </w:rPr>
              <w:t></w:t>
            </w:r>
          </w:p>
          <w:p>
            <w:pPr>
              <w:pStyle w:val="TableParagraph"/>
              <w:tabs>
                <w:tab w:pos="2482" w:val="left" w:leader="none"/>
                <w:tab w:pos="3167" w:val="left" w:leader="none"/>
                <w:tab w:pos="4681" w:val="left" w:leader="none"/>
              </w:tabs>
              <w:spacing w:line="50" w:lineRule="auto" w:before="4"/>
              <w:ind w:left="1477"/>
              <w:rPr>
                <w:rFonts w:ascii="Symbol" w:hAnsi="Symbol"/>
                <w:sz w:val="19"/>
              </w:rPr>
            </w:pPr>
            <w:r>
              <w:rPr>
                <w:rFonts w:ascii="Times New Roman" w:hAnsi="Times New Roman"/>
                <w:sz w:val="11"/>
              </w:rPr>
              <w:t>deg</w:t>
            </w:r>
            <w:r>
              <w:rPr>
                <w:rFonts w:ascii="Times New Roman" w:hAnsi="Times New Roman"/>
                <w:spacing w:val="-15"/>
                <w:sz w:val="11"/>
              </w:rPr>
              <w:t> </w:t>
            </w:r>
            <w:r>
              <w:rPr>
                <w:rFonts w:ascii="Times New Roman" w:hAnsi="Times New Roman"/>
                <w:i/>
                <w:sz w:val="11"/>
              </w:rPr>
              <w:t>rees</w:t>
              <w:tab/>
            </w:r>
            <w:r>
              <w:rPr>
                <w:rFonts w:ascii="Times New Roman" w:hAnsi="Times New Roman"/>
                <w:sz w:val="11"/>
              </w:rPr>
              <w:t>deg</w:t>
            </w:r>
            <w:r>
              <w:rPr>
                <w:rFonts w:ascii="Times New Roman" w:hAnsi="Times New Roman"/>
                <w:spacing w:val="-14"/>
                <w:sz w:val="11"/>
              </w:rPr>
              <w:t> </w:t>
            </w:r>
            <w:r>
              <w:rPr>
                <w:rFonts w:ascii="Times New Roman" w:hAnsi="Times New Roman"/>
                <w:i/>
                <w:sz w:val="11"/>
              </w:rPr>
              <w:t>rees</w:t>
              <w:tab/>
            </w:r>
            <w:r>
              <w:rPr>
                <w:rFonts w:ascii="Times New Roman" w:hAnsi="Times New Roman"/>
                <w:position w:val="-9"/>
                <w:sz w:val="19"/>
              </w:rPr>
              <w:t>360</w:t>
              <w:tab/>
            </w:r>
            <w:r>
              <w:rPr>
                <w:rFonts w:ascii="Symbol" w:hAnsi="Symbol"/>
                <w:position w:val="-9"/>
                <w:sz w:val="19"/>
              </w:rPr>
              <w:t></w:t>
            </w:r>
            <w:r>
              <w:rPr>
                <w:rFonts w:ascii="Times New Roman" w:hAnsi="Times New Roman"/>
                <w:position w:val="-9"/>
                <w:sz w:val="19"/>
              </w:rPr>
              <w:t> </w:t>
            </w:r>
            <w:r>
              <w:rPr>
                <w:rFonts w:ascii="Times New Roman" w:hAnsi="Times New Roman"/>
                <w:spacing w:val="-5"/>
                <w:position w:val="-11"/>
                <w:sz w:val="19"/>
              </w:rPr>
              <w:t>2</w:t>
            </w:r>
            <w:r>
              <w:rPr>
                <w:rFonts w:ascii="Symbol" w:hAnsi="Symbol"/>
                <w:i/>
                <w:spacing w:val="-5"/>
                <w:position w:val="-11"/>
                <w:sz w:val="20"/>
              </w:rPr>
              <w:t></w:t>
            </w:r>
            <w:r>
              <w:rPr>
                <w:rFonts w:ascii="Times New Roman" w:hAnsi="Times New Roman"/>
                <w:i/>
                <w:spacing w:val="-5"/>
                <w:position w:val="-11"/>
                <w:sz w:val="19"/>
              </w:rPr>
              <w:t>f</w:t>
            </w:r>
            <w:r>
              <w:rPr>
                <w:rFonts w:ascii="Times New Roman" w:hAnsi="Times New Roman"/>
                <w:i/>
                <w:spacing w:val="11"/>
                <w:position w:val="-11"/>
                <w:sz w:val="19"/>
              </w:rPr>
              <w:t> </w:t>
            </w:r>
            <w:r>
              <w:rPr>
                <w:rFonts w:ascii="Symbol" w:hAnsi="Symbol"/>
                <w:position w:val="-9"/>
                <w:sz w:val="19"/>
              </w:rPr>
              <w:t></w:t>
            </w:r>
          </w:p>
          <w:p>
            <w:pPr>
              <w:pStyle w:val="TableParagraph"/>
              <w:tabs>
                <w:tab w:pos="4079" w:val="left" w:leader="none"/>
              </w:tabs>
              <w:spacing w:line="204" w:lineRule="exact"/>
              <w:ind w:left="3323"/>
              <w:jc w:val="center"/>
              <w:rPr>
                <w:rFonts w:ascii="Symbol" w:hAnsi="Symbol"/>
                <w:sz w:val="19"/>
              </w:rPr>
            </w:pPr>
            <w:r>
              <w:rPr>
                <w:rFonts w:ascii="Times New Roman" w:hAnsi="Times New Roman"/>
                <w:i/>
                <w:sz w:val="19"/>
              </w:rPr>
              <w:t>c</w:t>
            </w:r>
            <w:r>
              <w:rPr>
                <w:rFonts w:ascii="Times New Roman" w:hAnsi="Times New Roman"/>
                <w:i/>
                <w:spacing w:val="-26"/>
                <w:sz w:val="19"/>
              </w:rPr>
              <w:t> </w:t>
            </w:r>
            <w:r>
              <w:rPr>
                <w:rFonts w:ascii="Times New Roman" w:hAnsi="Times New Roman"/>
                <w:sz w:val="19"/>
              </w:rPr>
              <w:t>sin</w:t>
            </w:r>
            <w:r>
              <w:rPr>
                <w:rFonts w:ascii="Symbol" w:hAnsi="Symbol"/>
                <w:position w:val="1"/>
                <w:sz w:val="19"/>
              </w:rPr>
              <w:t></w:t>
            </w:r>
            <w:r>
              <w:rPr>
                <w:rFonts w:ascii="Times New Roman" w:hAnsi="Times New Roman"/>
                <w:position w:val="1"/>
                <w:sz w:val="19"/>
              </w:rPr>
              <w:tab/>
            </w:r>
            <w:r>
              <w:rPr>
                <w:rFonts w:ascii="Symbol" w:hAnsi="Symbol"/>
                <w:position w:val="1"/>
                <w:sz w:val="19"/>
              </w:rPr>
              <w:t></w:t>
            </w:r>
          </w:p>
          <w:p>
            <w:pPr>
              <w:pStyle w:val="TableParagraph"/>
              <w:spacing w:line="233" w:lineRule="exact"/>
              <w:ind w:left="3656"/>
              <w:jc w:val="center"/>
              <w:rPr>
                <w:rFonts w:ascii="Symbol" w:hAnsi="Symbol"/>
                <w:sz w:val="19"/>
              </w:rPr>
            </w:pPr>
            <w:r>
              <w:rPr>
                <w:rFonts w:ascii="Symbol" w:hAnsi="Symbol"/>
                <w:sz w:val="19"/>
              </w:rPr>
              <w:t></w:t>
            </w:r>
            <w:r>
              <w:rPr>
                <w:rFonts w:ascii="Times New Roman" w:hAnsi="Times New Roman"/>
                <w:sz w:val="19"/>
              </w:rPr>
              <w:t>   </w:t>
            </w:r>
            <w:r>
              <w:rPr>
                <w:rFonts w:ascii="Times New Roman" w:hAnsi="Times New Roman"/>
                <w:i/>
                <w:spacing w:val="6"/>
                <w:position w:val="5"/>
                <w:sz w:val="19"/>
              </w:rPr>
              <w:t>f</w:t>
            </w:r>
            <w:r>
              <w:rPr>
                <w:rFonts w:ascii="Times New Roman" w:hAnsi="Times New Roman"/>
                <w:i/>
                <w:spacing w:val="6"/>
                <w:sz w:val="11"/>
              </w:rPr>
              <w:t>s </w:t>
            </w:r>
            <w:r>
              <w:rPr>
                <w:rFonts w:ascii="Times New Roman" w:hAnsi="Times New Roman"/>
                <w:i/>
                <w:spacing w:val="37"/>
                <w:sz w:val="11"/>
              </w:rPr>
              <w:t> </w:t>
            </w:r>
            <w:r>
              <w:rPr>
                <w:rFonts w:ascii="Symbol" w:hAnsi="Symbol"/>
                <w:sz w:val="19"/>
              </w:rPr>
              <w:t></w:t>
            </w:r>
          </w:p>
          <w:p>
            <w:pPr>
              <w:pStyle w:val="TableParagraph"/>
              <w:spacing w:before="37"/>
              <w:ind w:left="104"/>
              <w:rPr>
                <w:sz w:val="20"/>
              </w:rPr>
            </w:pPr>
            <w:r>
              <w:rPr>
                <w:sz w:val="20"/>
              </w:rPr>
              <w:t>where:</w:t>
            </w:r>
          </w:p>
          <w:p>
            <w:pPr>
              <w:pStyle w:val="TableParagraph"/>
              <w:spacing w:before="91"/>
              <w:ind w:left="14"/>
              <w:jc w:val="center"/>
              <w:rPr>
                <w:rFonts w:ascii="Times New Roman" w:hAnsi="Times New Roman"/>
                <w:i/>
                <w:sz w:val="23"/>
              </w:rPr>
            </w:pPr>
            <w:r>
              <w:rPr>
                <w:rFonts w:ascii="Times New Roman" w:hAnsi="Times New Roman"/>
                <w:i/>
                <w:w w:val="110"/>
                <w:sz w:val="23"/>
              </w:rPr>
              <w:t>a </w:t>
            </w:r>
            <w:r>
              <w:rPr>
                <w:rFonts w:ascii="Symbol" w:hAnsi="Symbol"/>
                <w:w w:val="110"/>
                <w:sz w:val="23"/>
              </w:rPr>
              <w:t></w:t>
            </w:r>
            <w:r>
              <w:rPr>
                <w:rFonts w:ascii="Times New Roman" w:hAnsi="Times New Roman"/>
                <w:w w:val="110"/>
                <w:sz w:val="23"/>
              </w:rPr>
              <w:t> 2 </w:t>
            </w:r>
            <w:r>
              <w:rPr>
                <w:rFonts w:ascii="Times New Roman" w:hAnsi="Times New Roman"/>
                <w:i/>
                <w:w w:val="110"/>
                <w:sz w:val="23"/>
              </w:rPr>
              <w:t>A</w:t>
            </w:r>
          </w:p>
          <w:p>
            <w:pPr>
              <w:pStyle w:val="TableParagraph"/>
              <w:spacing w:before="78"/>
              <w:ind w:left="18"/>
              <w:jc w:val="center"/>
              <w:rPr>
                <w:rFonts w:ascii="Times New Roman" w:hAnsi="Times New Roman"/>
                <w:sz w:val="26"/>
              </w:rPr>
            </w:pPr>
            <w:r>
              <w:rPr>
                <w:rFonts w:ascii="Times New Roman" w:hAnsi="Times New Roman"/>
                <w:i/>
                <w:sz w:val="26"/>
              </w:rPr>
              <w:t>b </w:t>
            </w:r>
            <w:r>
              <w:rPr>
                <w:rFonts w:ascii="Symbol" w:hAnsi="Symbol"/>
                <w:sz w:val="26"/>
              </w:rPr>
              <w:t></w:t>
            </w:r>
            <w:r>
              <w:rPr>
                <w:rFonts w:ascii="Times New Roman" w:hAnsi="Times New Roman"/>
                <w:sz w:val="26"/>
              </w:rPr>
              <w:t> </w:t>
            </w:r>
            <w:r>
              <w:rPr>
                <w:rFonts w:ascii="Times New Roman" w:hAnsi="Times New Roman"/>
                <w:i/>
                <w:sz w:val="26"/>
              </w:rPr>
              <w:t>A</w:t>
            </w:r>
            <w:r>
              <w:rPr>
                <w:rFonts w:ascii="Times New Roman" w:hAnsi="Times New Roman"/>
                <w:sz w:val="26"/>
                <w:vertAlign w:val="superscript"/>
              </w:rPr>
              <w:t>2</w:t>
            </w:r>
            <w:r>
              <w:rPr>
                <w:rFonts w:ascii="Times New Roman" w:hAnsi="Times New Roman"/>
                <w:sz w:val="26"/>
                <w:vertAlign w:val="baseline"/>
              </w:rPr>
              <w:t> </w:t>
            </w:r>
            <w:r>
              <w:rPr>
                <w:rFonts w:ascii="Symbol" w:hAnsi="Symbol"/>
                <w:sz w:val="26"/>
                <w:vertAlign w:val="baseline"/>
              </w:rPr>
              <w:t></w:t>
            </w:r>
            <w:r>
              <w:rPr>
                <w:rFonts w:ascii="Times New Roman" w:hAnsi="Times New Roman"/>
                <w:sz w:val="26"/>
                <w:vertAlign w:val="baseline"/>
              </w:rPr>
              <w:t>1</w:t>
            </w:r>
          </w:p>
          <w:p>
            <w:pPr>
              <w:pStyle w:val="TableParagraph"/>
              <w:spacing w:line="267" w:lineRule="exact" w:before="195"/>
              <w:jc w:val="center"/>
              <w:rPr>
                <w:rFonts w:ascii="Cambria Math" w:hAnsi="Cambria Math" w:cs="Cambria Math" w:eastAsia="Cambria Math"/>
                <w:sz w:val="20"/>
                <w:szCs w:val="20"/>
              </w:rPr>
            </w:pPr>
            <w:r>
              <w:rPr>
                <w:rFonts w:ascii="Cambria Math" w:hAnsi="Cambria Math" w:cs="Cambria Math" w:eastAsia="Cambria Math"/>
                <w:sz w:val="20"/>
                <w:szCs w:val="20"/>
              </w:rPr>
              <w:t>𝑐 = 2𝐴</w:t>
            </w:r>
            <w:r>
              <w:rPr>
                <w:rFonts w:ascii="Cambria Math" w:hAnsi="Cambria Math" w:cs="Cambria Math" w:eastAsia="Cambria Math"/>
                <w:sz w:val="20"/>
                <w:szCs w:val="20"/>
                <w:vertAlign w:val="superscript"/>
              </w:rPr>
              <w:t>2</w:t>
            </w:r>
            <w:r>
              <w:rPr>
                <w:rFonts w:ascii="Cambria Math" w:hAnsi="Cambria Math" w:cs="Cambria Math" w:eastAsia="Cambria Math"/>
                <w:sz w:val="20"/>
                <w:szCs w:val="20"/>
                <w:vertAlign w:val="baseline"/>
              </w:rPr>
              <w:t> + 4𝐴𝑐𝑜𝑠 </w:t>
            </w:r>
            <w:r>
              <w:rPr>
                <w:rFonts w:ascii="Cambria Math" w:hAnsi="Cambria Math" w:cs="Cambria Math" w:eastAsia="Cambria Math"/>
                <w:position w:val="15"/>
                <w:sz w:val="20"/>
                <w:szCs w:val="20"/>
                <w:vertAlign w:val="baseline"/>
              </w:rPr>
              <w:t>2𝜋𝑓</w:t>
            </w:r>
            <w:r>
              <w:rPr>
                <w:rFonts w:ascii="Cambria Math" w:hAnsi="Cambria Math" w:cs="Cambria Math" w:eastAsia="Cambria Math"/>
                <w:sz w:val="20"/>
                <w:szCs w:val="20"/>
                <w:vertAlign w:val="baseline"/>
              </w:rPr>
              <w:t>� + 2</w:t>
            </w:r>
          </w:p>
          <w:p>
            <w:pPr>
              <w:pStyle w:val="TableParagraph"/>
              <w:spacing w:line="91" w:lineRule="auto"/>
              <w:ind w:left="932"/>
              <w:jc w:val="center"/>
              <w:rPr>
                <w:rFonts w:ascii="Cambria Math" w:hAnsi="Cambria Math" w:cs="Cambria Math" w:eastAsia="Cambria Math"/>
                <w:sz w:val="14"/>
                <w:szCs w:val="14"/>
              </w:rPr>
            </w:pPr>
            <w:r>
              <w:rPr>
                <w:rFonts w:ascii="Cambria Math" w:hAnsi="Cambria Math" w:cs="Cambria Math" w:eastAsia="Cambria Math"/>
                <w:sz w:val="20"/>
                <w:szCs w:val="20"/>
              </w:rPr>
              <w:t>�  </w:t>
            </w:r>
            <w:r>
              <w:rPr>
                <w:rFonts w:ascii="Cambria Math" w:hAnsi="Cambria Math" w:cs="Cambria Math" w:eastAsia="Cambria Math"/>
                <w:position w:val="-12"/>
                <w:sz w:val="20"/>
                <w:szCs w:val="20"/>
              </w:rPr>
              <w:t>𝑓</w:t>
            </w:r>
            <w:r>
              <w:rPr>
                <w:rFonts w:ascii="Cambria Math" w:hAnsi="Cambria Math" w:cs="Cambria Math" w:eastAsia="Cambria Math"/>
                <w:position w:val="-17"/>
                <w:sz w:val="14"/>
                <w:szCs w:val="14"/>
              </w:rPr>
              <w:t>𝑠</w:t>
            </w:r>
          </w:p>
          <w:p>
            <w:pPr>
              <w:pStyle w:val="TableParagraph"/>
              <w:spacing w:line="261" w:lineRule="auto" w:before="15"/>
              <w:ind w:left="1879" w:right="1876" w:firstLine="165"/>
              <w:rPr>
                <w:sz w:val="20"/>
              </w:rPr>
            </w:pPr>
            <w:r>
              <w:rPr>
                <w:sz w:val="20"/>
              </w:rPr>
              <w:t>f is the mains frequency f</w:t>
            </w:r>
            <w:r>
              <w:rPr>
                <w:sz w:val="20"/>
                <w:vertAlign w:val="subscript"/>
              </w:rPr>
              <w:t>s</w:t>
            </w:r>
            <w:r>
              <w:rPr>
                <w:sz w:val="20"/>
                <w:vertAlign w:val="baseline"/>
              </w:rPr>
              <w:t> is the sampling</w:t>
            </w:r>
            <w:r>
              <w:rPr>
                <w:spacing w:val="-14"/>
                <w:sz w:val="20"/>
                <w:vertAlign w:val="baseline"/>
              </w:rPr>
              <w:t> </w:t>
            </w:r>
            <w:r>
              <w:rPr>
                <w:sz w:val="20"/>
                <w:vertAlign w:val="baseline"/>
              </w:rPr>
              <w:t>frequency</w:t>
            </w:r>
          </w:p>
          <w:p>
            <w:pPr>
              <w:pStyle w:val="TableParagraph"/>
              <w:spacing w:before="6"/>
              <w:rPr>
                <w:b/>
                <w:sz w:val="21"/>
              </w:rPr>
            </w:pPr>
          </w:p>
          <w:p>
            <w:pPr>
              <w:pStyle w:val="TableParagraph"/>
              <w:spacing w:line="230" w:lineRule="exact"/>
              <w:ind w:left="103"/>
              <w:rPr>
                <w:sz w:val="20"/>
              </w:rPr>
            </w:pPr>
            <w:r>
              <w:rPr>
                <w:sz w:val="20"/>
              </w:rPr>
              <w:t>The table below provides the value of A for each channel:</w:t>
            </w:r>
          </w:p>
        </w:tc>
      </w:tr>
      <w:tr>
        <w:trPr>
          <w:trHeight w:val="1868" w:hRule="atLeast"/>
        </w:trPr>
        <w:tc>
          <w:tcPr>
            <w:tcW w:w="1061" w:type="dxa"/>
            <w:tcBorders>
              <w:top w:val="single" w:sz="6" w:space="0" w:color="000000"/>
              <w:bottom w:val="single" w:sz="6" w:space="0" w:color="000000"/>
              <w:right w:val="single" w:sz="6" w:space="0" w:color="000000"/>
            </w:tcBorders>
          </w:tcPr>
          <w:p>
            <w:pPr>
              <w:pStyle w:val="TableParagraph"/>
              <w:rPr>
                <w:b/>
                <w:sz w:val="22"/>
              </w:rPr>
            </w:pPr>
          </w:p>
          <w:p>
            <w:pPr>
              <w:pStyle w:val="TableParagraph"/>
              <w:rPr>
                <w:b/>
                <w:sz w:val="22"/>
              </w:rPr>
            </w:pPr>
          </w:p>
          <w:p>
            <w:pPr>
              <w:pStyle w:val="TableParagraph"/>
              <w:spacing w:before="1"/>
              <w:rPr>
                <w:b/>
                <w:sz w:val="27"/>
              </w:rPr>
            </w:pPr>
          </w:p>
          <w:p>
            <w:pPr>
              <w:pStyle w:val="TableParagraph"/>
              <w:ind w:left="106" w:right="100"/>
              <w:jc w:val="center"/>
              <w:rPr>
                <w:sz w:val="20"/>
              </w:rPr>
            </w:pPr>
            <w:r>
              <w:rPr>
                <w:sz w:val="20"/>
              </w:rPr>
              <w:t>0x15</w:t>
            </w:r>
          </w:p>
        </w:tc>
        <w:tc>
          <w:tcPr>
            <w:tcW w:w="1191"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rPr>
                <w:b/>
                <w:sz w:val="22"/>
              </w:rPr>
            </w:pPr>
          </w:p>
          <w:p>
            <w:pPr>
              <w:pStyle w:val="TableParagraph"/>
              <w:spacing w:before="8"/>
              <w:rPr>
                <w:b/>
                <w:sz w:val="26"/>
              </w:rPr>
            </w:pPr>
          </w:p>
          <w:p>
            <w:pPr>
              <w:pStyle w:val="TableParagraph"/>
              <w:spacing w:before="1"/>
              <w:ind w:left="95" w:right="95"/>
              <w:jc w:val="center"/>
              <w:rPr>
                <w:rFonts w:ascii="Times New Roman"/>
                <w:i/>
                <w:sz w:val="20"/>
              </w:rPr>
            </w:pPr>
            <w:r>
              <w:rPr>
                <w:rFonts w:ascii="Times New Roman"/>
                <w:i/>
                <w:sz w:val="20"/>
              </w:rPr>
              <w:t>DLYADJ_B</w:t>
            </w:r>
          </w:p>
        </w:tc>
        <w:tc>
          <w:tcPr>
            <w:tcW w:w="898" w:type="dxa"/>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rPr>
                <w:b/>
                <w:sz w:val="22"/>
              </w:rPr>
            </w:pPr>
          </w:p>
          <w:p>
            <w:pPr>
              <w:pStyle w:val="TableParagraph"/>
              <w:spacing w:before="1"/>
              <w:rPr>
                <w:b/>
                <w:sz w:val="27"/>
              </w:rPr>
            </w:pPr>
          </w:p>
          <w:p>
            <w:pPr>
              <w:pStyle w:val="TableParagraph"/>
              <w:ind w:left="8"/>
              <w:jc w:val="center"/>
              <w:rPr>
                <w:sz w:val="20"/>
              </w:rPr>
            </w:pPr>
            <w:r>
              <w:rPr>
                <w:w w:val="99"/>
                <w:sz w:val="20"/>
              </w:rPr>
              <w:t>0</w:t>
            </w:r>
          </w:p>
        </w:tc>
        <w:tc>
          <w:tcPr>
            <w:tcW w:w="6215" w:type="dxa"/>
            <w:gridSpan w:val="4"/>
            <w:vMerge/>
            <w:tcBorders>
              <w:top w:val="nil"/>
              <w:left w:val="single" w:sz="6" w:space="0" w:color="000000"/>
              <w:bottom w:val="nil"/>
            </w:tcBorders>
          </w:tcPr>
          <w:p>
            <w:pPr>
              <w:rPr>
                <w:sz w:val="2"/>
                <w:szCs w:val="2"/>
              </w:rPr>
            </w:pPr>
          </w:p>
        </w:tc>
      </w:tr>
      <w:tr>
        <w:trPr>
          <w:trHeight w:val="861" w:hRule="atLeast"/>
        </w:trPr>
        <w:tc>
          <w:tcPr>
            <w:tcW w:w="1061" w:type="dxa"/>
            <w:vMerge w:val="restart"/>
            <w:tcBorders>
              <w:top w:val="single" w:sz="6" w:space="0" w:color="000000"/>
              <w:bottom w:val="single" w:sz="6" w:space="0" w:color="000000"/>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4"/>
              <w:rPr>
                <w:b/>
                <w:sz w:val="21"/>
              </w:rPr>
            </w:pPr>
          </w:p>
          <w:p>
            <w:pPr>
              <w:pStyle w:val="TableParagraph"/>
              <w:ind w:left="311"/>
              <w:rPr>
                <w:sz w:val="20"/>
              </w:rPr>
            </w:pPr>
            <w:r>
              <w:rPr>
                <w:sz w:val="20"/>
              </w:rPr>
              <w:t>0x18</w:t>
            </w:r>
          </w:p>
        </w:tc>
        <w:tc>
          <w:tcPr>
            <w:tcW w:w="1191" w:type="dxa"/>
            <w:vMerge w:val="restart"/>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1"/>
              </w:rPr>
            </w:pPr>
          </w:p>
          <w:p>
            <w:pPr>
              <w:pStyle w:val="TableParagraph"/>
              <w:ind w:left="112"/>
              <w:rPr>
                <w:rFonts w:ascii="Times New Roman"/>
                <w:i/>
                <w:sz w:val="20"/>
              </w:rPr>
            </w:pPr>
            <w:r>
              <w:rPr>
                <w:rFonts w:ascii="Times New Roman"/>
                <w:i/>
                <w:sz w:val="20"/>
              </w:rPr>
              <w:t>DLYADJ_C</w:t>
            </w:r>
          </w:p>
        </w:tc>
        <w:tc>
          <w:tcPr>
            <w:tcW w:w="898" w:type="dxa"/>
            <w:vMerge w:val="restart"/>
            <w:tcBorders>
              <w:top w:val="single" w:sz="6" w:space="0" w:color="000000"/>
              <w:left w:val="single" w:sz="6" w:space="0" w:color="000000"/>
              <w:bottom w:val="single" w:sz="6" w:space="0" w:color="000000"/>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4"/>
              <w:rPr>
                <w:b/>
                <w:sz w:val="21"/>
              </w:rPr>
            </w:pPr>
          </w:p>
          <w:p>
            <w:pPr>
              <w:pStyle w:val="TableParagraph"/>
              <w:ind w:left="8"/>
              <w:jc w:val="center"/>
              <w:rPr>
                <w:sz w:val="20"/>
              </w:rPr>
            </w:pPr>
            <w:r>
              <w:rPr>
                <w:w w:val="99"/>
                <w:sz w:val="20"/>
              </w:rPr>
              <w:t>0</w:t>
            </w:r>
          </w:p>
        </w:tc>
        <w:tc>
          <w:tcPr>
            <w:tcW w:w="6215" w:type="dxa"/>
            <w:gridSpan w:val="4"/>
            <w:vMerge/>
            <w:tcBorders>
              <w:top w:val="nil"/>
              <w:left w:val="single" w:sz="6" w:space="0" w:color="000000"/>
              <w:bottom w:val="nil"/>
            </w:tcBorders>
          </w:tcPr>
          <w:p>
            <w:pPr>
              <w:rPr>
                <w:sz w:val="2"/>
                <w:szCs w:val="2"/>
              </w:rPr>
            </w:pPr>
          </w:p>
        </w:tc>
      </w:tr>
      <w:tr>
        <w:trPr>
          <w:trHeight w:val="513" w:hRule="atLeast"/>
        </w:trPr>
        <w:tc>
          <w:tcPr>
            <w:tcW w:w="1061" w:type="dxa"/>
            <w:vMerge/>
            <w:tcBorders>
              <w:top w:val="nil"/>
              <w:bottom w:val="single" w:sz="6" w:space="0" w:color="000000"/>
              <w:right w:val="single" w:sz="6" w:space="0" w:color="000000"/>
            </w:tcBorders>
          </w:tcPr>
          <w:p>
            <w:pPr>
              <w:rPr>
                <w:sz w:val="2"/>
                <w:szCs w:val="2"/>
              </w:rPr>
            </w:pPr>
          </w:p>
        </w:tc>
        <w:tc>
          <w:tcPr>
            <w:tcW w:w="1191" w:type="dxa"/>
            <w:vMerge/>
            <w:tcBorders>
              <w:top w:val="nil"/>
              <w:left w:val="single" w:sz="6" w:space="0" w:color="000000"/>
              <w:bottom w:val="single" w:sz="6" w:space="0" w:color="000000"/>
              <w:right w:val="single" w:sz="6" w:space="0" w:color="000000"/>
            </w:tcBorders>
          </w:tcPr>
          <w:p>
            <w:pPr>
              <w:rPr>
                <w:sz w:val="2"/>
                <w:szCs w:val="2"/>
              </w:rPr>
            </w:pPr>
          </w:p>
        </w:tc>
        <w:tc>
          <w:tcPr>
            <w:tcW w:w="898" w:type="dxa"/>
            <w:vMerge/>
            <w:tcBorders>
              <w:top w:val="nil"/>
              <w:left w:val="single" w:sz="6" w:space="0" w:color="000000"/>
              <w:bottom w:val="single" w:sz="6" w:space="0" w:color="000000"/>
              <w:right w:val="single" w:sz="6" w:space="0" w:color="000000"/>
            </w:tcBorders>
          </w:tcPr>
          <w:p>
            <w:pPr>
              <w:rPr>
                <w:sz w:val="2"/>
                <w:szCs w:val="2"/>
              </w:rPr>
            </w:pPr>
          </w:p>
        </w:tc>
        <w:tc>
          <w:tcPr>
            <w:tcW w:w="1364" w:type="dxa"/>
            <w:vMerge w:val="restart"/>
            <w:tcBorders>
              <w:top w:val="nil"/>
              <w:left w:val="single" w:sz="6" w:space="0" w:color="000000"/>
              <w:bottom w:val="single" w:sz="6" w:space="0" w:color="000000"/>
            </w:tcBorders>
          </w:tcPr>
          <w:p>
            <w:pPr>
              <w:pStyle w:val="TableParagraph"/>
              <w:rPr>
                <w:rFonts w:ascii="Times New Roman"/>
                <w:sz w:val="18"/>
              </w:rPr>
            </w:pPr>
          </w:p>
        </w:tc>
        <w:tc>
          <w:tcPr>
            <w:tcW w:w="1746" w:type="dxa"/>
          </w:tcPr>
          <w:p>
            <w:pPr>
              <w:pStyle w:val="TableParagraph"/>
              <w:spacing w:before="141"/>
              <w:ind w:left="370" w:right="370"/>
              <w:jc w:val="center"/>
              <w:rPr>
                <w:sz w:val="20"/>
              </w:rPr>
            </w:pPr>
            <w:r>
              <w:rPr>
                <w:sz w:val="20"/>
              </w:rPr>
              <w:t>Channel</w:t>
            </w:r>
          </w:p>
        </w:tc>
        <w:tc>
          <w:tcPr>
            <w:tcW w:w="1741" w:type="dxa"/>
          </w:tcPr>
          <w:p>
            <w:pPr>
              <w:pStyle w:val="TableParagraph"/>
              <w:spacing w:line="250" w:lineRule="exact" w:before="3"/>
              <w:ind w:left="454" w:right="385" w:hanging="51"/>
              <w:rPr>
                <w:sz w:val="20"/>
              </w:rPr>
            </w:pPr>
            <w:r>
              <w:rPr>
                <w:sz w:val="20"/>
              </w:rPr>
              <w:t>Value of A (decimal)</w:t>
            </w:r>
          </w:p>
        </w:tc>
        <w:tc>
          <w:tcPr>
            <w:tcW w:w="1364" w:type="dxa"/>
            <w:vMerge w:val="restart"/>
            <w:tcBorders>
              <w:top w:val="nil"/>
              <w:bottom w:val="single" w:sz="6" w:space="0" w:color="000000"/>
            </w:tcBorders>
          </w:tcPr>
          <w:p>
            <w:pPr>
              <w:pStyle w:val="TableParagraph"/>
              <w:rPr>
                <w:rFonts w:ascii="Times New Roman"/>
                <w:sz w:val="18"/>
              </w:rPr>
            </w:pPr>
          </w:p>
        </w:tc>
      </w:tr>
      <w:tr>
        <w:trPr>
          <w:trHeight w:val="265" w:hRule="atLeast"/>
        </w:trPr>
        <w:tc>
          <w:tcPr>
            <w:tcW w:w="1061" w:type="dxa"/>
            <w:vMerge/>
            <w:tcBorders>
              <w:top w:val="nil"/>
              <w:bottom w:val="single" w:sz="6" w:space="0" w:color="000000"/>
              <w:right w:val="single" w:sz="6" w:space="0" w:color="000000"/>
            </w:tcBorders>
          </w:tcPr>
          <w:p>
            <w:pPr>
              <w:rPr>
                <w:sz w:val="2"/>
                <w:szCs w:val="2"/>
              </w:rPr>
            </w:pPr>
          </w:p>
        </w:tc>
        <w:tc>
          <w:tcPr>
            <w:tcW w:w="1191" w:type="dxa"/>
            <w:vMerge/>
            <w:tcBorders>
              <w:top w:val="nil"/>
              <w:left w:val="single" w:sz="6" w:space="0" w:color="000000"/>
              <w:bottom w:val="single" w:sz="6" w:space="0" w:color="000000"/>
              <w:right w:val="single" w:sz="6" w:space="0" w:color="000000"/>
            </w:tcBorders>
          </w:tcPr>
          <w:p>
            <w:pPr>
              <w:rPr>
                <w:sz w:val="2"/>
                <w:szCs w:val="2"/>
              </w:rPr>
            </w:pPr>
          </w:p>
        </w:tc>
        <w:tc>
          <w:tcPr>
            <w:tcW w:w="898" w:type="dxa"/>
            <w:vMerge/>
            <w:tcBorders>
              <w:top w:val="nil"/>
              <w:left w:val="single" w:sz="6" w:space="0" w:color="000000"/>
              <w:bottom w:val="single" w:sz="6" w:space="0" w:color="000000"/>
              <w:right w:val="single" w:sz="6" w:space="0" w:color="000000"/>
            </w:tcBorders>
          </w:tcPr>
          <w:p>
            <w:pPr>
              <w:rPr>
                <w:sz w:val="2"/>
                <w:szCs w:val="2"/>
              </w:rPr>
            </w:pPr>
          </w:p>
        </w:tc>
        <w:tc>
          <w:tcPr>
            <w:tcW w:w="1364" w:type="dxa"/>
            <w:vMerge/>
            <w:tcBorders>
              <w:top w:val="nil"/>
              <w:left w:val="single" w:sz="6" w:space="0" w:color="000000"/>
              <w:bottom w:val="single" w:sz="6" w:space="0" w:color="000000"/>
            </w:tcBorders>
          </w:tcPr>
          <w:p>
            <w:pPr>
              <w:rPr>
                <w:sz w:val="2"/>
                <w:szCs w:val="2"/>
              </w:rPr>
            </w:pPr>
          </w:p>
        </w:tc>
        <w:tc>
          <w:tcPr>
            <w:tcW w:w="1746" w:type="dxa"/>
          </w:tcPr>
          <w:p>
            <w:pPr>
              <w:pStyle w:val="TableParagraph"/>
              <w:spacing w:before="14"/>
              <w:ind w:left="370" w:right="369"/>
              <w:jc w:val="center"/>
              <w:rPr>
                <w:rFonts w:ascii="Times New Roman"/>
                <w:i/>
                <w:sz w:val="20"/>
              </w:rPr>
            </w:pPr>
            <w:r>
              <w:rPr>
                <w:rFonts w:ascii="Times New Roman"/>
                <w:i/>
                <w:sz w:val="20"/>
              </w:rPr>
              <w:t>D YADJ_A</w:t>
            </w:r>
          </w:p>
        </w:tc>
        <w:tc>
          <w:tcPr>
            <w:tcW w:w="1741" w:type="dxa"/>
          </w:tcPr>
          <w:p>
            <w:pPr>
              <w:pStyle w:val="TableParagraph"/>
              <w:spacing w:line="227" w:lineRule="exact" w:before="18"/>
              <w:ind w:left="589"/>
              <w:rPr>
                <w:sz w:val="20"/>
              </w:rPr>
            </w:pPr>
            <w:r>
              <w:rPr>
                <w:sz w:val="20"/>
              </w:rPr>
              <w:t>13840</w:t>
            </w:r>
          </w:p>
        </w:tc>
        <w:tc>
          <w:tcPr>
            <w:tcW w:w="1364" w:type="dxa"/>
            <w:vMerge/>
            <w:tcBorders>
              <w:top w:val="nil"/>
              <w:bottom w:val="single" w:sz="6" w:space="0" w:color="000000"/>
            </w:tcBorders>
          </w:tcPr>
          <w:p>
            <w:pPr>
              <w:rPr>
                <w:sz w:val="2"/>
                <w:szCs w:val="2"/>
              </w:rPr>
            </w:pPr>
          </w:p>
        </w:tc>
      </w:tr>
      <w:tr>
        <w:trPr>
          <w:trHeight w:val="265" w:hRule="atLeast"/>
        </w:trPr>
        <w:tc>
          <w:tcPr>
            <w:tcW w:w="1061" w:type="dxa"/>
            <w:vMerge/>
            <w:tcBorders>
              <w:top w:val="nil"/>
              <w:bottom w:val="single" w:sz="6" w:space="0" w:color="000000"/>
              <w:right w:val="single" w:sz="6" w:space="0" w:color="000000"/>
            </w:tcBorders>
          </w:tcPr>
          <w:p>
            <w:pPr>
              <w:rPr>
                <w:sz w:val="2"/>
                <w:szCs w:val="2"/>
              </w:rPr>
            </w:pPr>
          </w:p>
        </w:tc>
        <w:tc>
          <w:tcPr>
            <w:tcW w:w="1191" w:type="dxa"/>
            <w:vMerge/>
            <w:tcBorders>
              <w:top w:val="nil"/>
              <w:left w:val="single" w:sz="6" w:space="0" w:color="000000"/>
              <w:bottom w:val="single" w:sz="6" w:space="0" w:color="000000"/>
              <w:right w:val="single" w:sz="6" w:space="0" w:color="000000"/>
            </w:tcBorders>
          </w:tcPr>
          <w:p>
            <w:pPr>
              <w:rPr>
                <w:sz w:val="2"/>
                <w:szCs w:val="2"/>
              </w:rPr>
            </w:pPr>
          </w:p>
        </w:tc>
        <w:tc>
          <w:tcPr>
            <w:tcW w:w="898" w:type="dxa"/>
            <w:vMerge/>
            <w:tcBorders>
              <w:top w:val="nil"/>
              <w:left w:val="single" w:sz="6" w:space="0" w:color="000000"/>
              <w:bottom w:val="single" w:sz="6" w:space="0" w:color="000000"/>
              <w:right w:val="single" w:sz="6" w:space="0" w:color="000000"/>
            </w:tcBorders>
          </w:tcPr>
          <w:p>
            <w:pPr>
              <w:rPr>
                <w:sz w:val="2"/>
                <w:szCs w:val="2"/>
              </w:rPr>
            </w:pPr>
          </w:p>
        </w:tc>
        <w:tc>
          <w:tcPr>
            <w:tcW w:w="1364" w:type="dxa"/>
            <w:vMerge/>
            <w:tcBorders>
              <w:top w:val="nil"/>
              <w:left w:val="single" w:sz="6" w:space="0" w:color="000000"/>
              <w:bottom w:val="single" w:sz="6" w:space="0" w:color="000000"/>
            </w:tcBorders>
          </w:tcPr>
          <w:p>
            <w:pPr>
              <w:rPr>
                <w:sz w:val="2"/>
                <w:szCs w:val="2"/>
              </w:rPr>
            </w:pPr>
          </w:p>
        </w:tc>
        <w:tc>
          <w:tcPr>
            <w:tcW w:w="1746" w:type="dxa"/>
          </w:tcPr>
          <w:p>
            <w:pPr>
              <w:pStyle w:val="TableParagraph"/>
              <w:spacing w:before="12"/>
              <w:ind w:left="369" w:right="370"/>
              <w:jc w:val="center"/>
              <w:rPr>
                <w:rFonts w:ascii="Times New Roman"/>
                <w:i/>
                <w:sz w:val="20"/>
              </w:rPr>
            </w:pPr>
            <w:r>
              <w:rPr>
                <w:rFonts w:ascii="Times New Roman"/>
                <w:i/>
                <w:sz w:val="20"/>
              </w:rPr>
              <w:t>DLYADJ_B</w:t>
            </w:r>
          </w:p>
        </w:tc>
        <w:tc>
          <w:tcPr>
            <w:tcW w:w="1741" w:type="dxa"/>
          </w:tcPr>
          <w:p>
            <w:pPr>
              <w:pStyle w:val="TableParagraph"/>
              <w:spacing w:line="230" w:lineRule="exact" w:before="16"/>
              <w:ind w:left="589"/>
              <w:rPr>
                <w:sz w:val="20"/>
              </w:rPr>
            </w:pPr>
            <w:r>
              <w:rPr>
                <w:sz w:val="20"/>
              </w:rPr>
              <w:t>11693</w:t>
            </w:r>
          </w:p>
        </w:tc>
        <w:tc>
          <w:tcPr>
            <w:tcW w:w="1364" w:type="dxa"/>
            <w:vMerge/>
            <w:tcBorders>
              <w:top w:val="nil"/>
              <w:bottom w:val="single" w:sz="6" w:space="0" w:color="000000"/>
            </w:tcBorders>
          </w:tcPr>
          <w:p>
            <w:pPr>
              <w:rPr>
                <w:sz w:val="2"/>
                <w:szCs w:val="2"/>
              </w:rPr>
            </w:pPr>
          </w:p>
        </w:tc>
      </w:tr>
      <w:tr>
        <w:trPr>
          <w:trHeight w:val="270" w:hRule="atLeast"/>
        </w:trPr>
        <w:tc>
          <w:tcPr>
            <w:tcW w:w="1061" w:type="dxa"/>
            <w:vMerge/>
            <w:tcBorders>
              <w:top w:val="nil"/>
              <w:bottom w:val="single" w:sz="6" w:space="0" w:color="000000"/>
              <w:right w:val="single" w:sz="6" w:space="0" w:color="000000"/>
            </w:tcBorders>
          </w:tcPr>
          <w:p>
            <w:pPr>
              <w:rPr>
                <w:sz w:val="2"/>
                <w:szCs w:val="2"/>
              </w:rPr>
            </w:pPr>
          </w:p>
        </w:tc>
        <w:tc>
          <w:tcPr>
            <w:tcW w:w="1191" w:type="dxa"/>
            <w:vMerge/>
            <w:tcBorders>
              <w:top w:val="nil"/>
              <w:left w:val="single" w:sz="6" w:space="0" w:color="000000"/>
              <w:bottom w:val="single" w:sz="6" w:space="0" w:color="000000"/>
              <w:right w:val="single" w:sz="6" w:space="0" w:color="000000"/>
            </w:tcBorders>
          </w:tcPr>
          <w:p>
            <w:pPr>
              <w:rPr>
                <w:sz w:val="2"/>
                <w:szCs w:val="2"/>
              </w:rPr>
            </w:pPr>
          </w:p>
        </w:tc>
        <w:tc>
          <w:tcPr>
            <w:tcW w:w="898" w:type="dxa"/>
            <w:vMerge/>
            <w:tcBorders>
              <w:top w:val="nil"/>
              <w:left w:val="single" w:sz="6" w:space="0" w:color="000000"/>
              <w:bottom w:val="single" w:sz="6" w:space="0" w:color="000000"/>
              <w:right w:val="single" w:sz="6" w:space="0" w:color="000000"/>
            </w:tcBorders>
          </w:tcPr>
          <w:p>
            <w:pPr>
              <w:rPr>
                <w:sz w:val="2"/>
                <w:szCs w:val="2"/>
              </w:rPr>
            </w:pPr>
          </w:p>
        </w:tc>
        <w:tc>
          <w:tcPr>
            <w:tcW w:w="1364" w:type="dxa"/>
            <w:vMerge/>
            <w:tcBorders>
              <w:top w:val="nil"/>
              <w:left w:val="single" w:sz="6" w:space="0" w:color="000000"/>
              <w:bottom w:val="single" w:sz="6" w:space="0" w:color="000000"/>
            </w:tcBorders>
          </w:tcPr>
          <w:p>
            <w:pPr>
              <w:rPr>
                <w:sz w:val="2"/>
                <w:szCs w:val="2"/>
              </w:rPr>
            </w:pPr>
          </w:p>
        </w:tc>
        <w:tc>
          <w:tcPr>
            <w:tcW w:w="1746" w:type="dxa"/>
            <w:tcBorders>
              <w:bottom w:val="single" w:sz="12" w:space="0" w:color="000000"/>
            </w:tcBorders>
          </w:tcPr>
          <w:p>
            <w:pPr>
              <w:pStyle w:val="TableParagraph"/>
              <w:spacing w:before="12"/>
              <w:ind w:left="370" w:right="370"/>
              <w:jc w:val="center"/>
              <w:rPr>
                <w:rFonts w:ascii="Times New Roman"/>
                <w:i/>
                <w:sz w:val="20"/>
              </w:rPr>
            </w:pPr>
            <w:r>
              <w:rPr>
                <w:rFonts w:ascii="Times New Roman"/>
                <w:i/>
                <w:sz w:val="20"/>
              </w:rPr>
              <w:t>DLYADJ_C</w:t>
            </w:r>
          </w:p>
        </w:tc>
        <w:tc>
          <w:tcPr>
            <w:tcW w:w="1741" w:type="dxa"/>
            <w:tcBorders>
              <w:bottom w:val="single" w:sz="12" w:space="0" w:color="000000"/>
            </w:tcBorders>
          </w:tcPr>
          <w:p>
            <w:pPr>
              <w:pStyle w:val="TableParagraph"/>
              <w:spacing w:before="16"/>
              <w:ind w:left="644"/>
              <w:rPr>
                <w:sz w:val="20"/>
              </w:rPr>
            </w:pPr>
            <w:r>
              <w:rPr>
                <w:sz w:val="20"/>
              </w:rPr>
              <w:t>9359</w:t>
            </w:r>
          </w:p>
        </w:tc>
        <w:tc>
          <w:tcPr>
            <w:tcW w:w="1364" w:type="dxa"/>
            <w:vMerge/>
            <w:tcBorders>
              <w:top w:val="nil"/>
              <w:bottom w:val="single" w:sz="6" w:space="0" w:color="000000"/>
            </w:tcBorders>
          </w:tcPr>
          <w:p>
            <w:pPr>
              <w:rPr>
                <w:sz w:val="2"/>
                <w:szCs w:val="2"/>
              </w:rPr>
            </w:pPr>
          </w:p>
        </w:tc>
      </w:tr>
      <w:tr>
        <w:trPr>
          <w:trHeight w:val="1681" w:hRule="atLeast"/>
        </w:trPr>
        <w:tc>
          <w:tcPr>
            <w:tcW w:w="9365" w:type="dxa"/>
            <w:gridSpan w:val="7"/>
            <w:tcBorders>
              <w:top w:val="single" w:sz="12" w:space="0" w:color="000000"/>
            </w:tcBorders>
          </w:tcPr>
          <w:p>
            <w:pPr>
              <w:pStyle w:val="TableParagraph"/>
              <w:spacing w:before="8"/>
              <w:ind w:left="107"/>
              <w:rPr>
                <w:b/>
                <w:sz w:val="20"/>
              </w:rPr>
            </w:pPr>
            <w:r>
              <w:rPr>
                <w:b/>
                <w:sz w:val="20"/>
              </w:rPr>
              <w:t>Note:</w:t>
            </w:r>
          </w:p>
          <w:p>
            <w:pPr>
              <w:pStyle w:val="TableParagraph"/>
              <w:spacing w:before="20"/>
              <w:ind w:left="107" w:right="168"/>
              <w:rPr>
                <w:sz w:val="20"/>
              </w:rPr>
            </w:pPr>
            <w:r>
              <w:rPr>
                <w:sz w:val="20"/>
              </w:rPr>
              <w:t>The current sensor inputs are not assigned to the A, B and C phases in a fixed manner. The assignments of phases A, B and C depends on how the IADC0-1, IADC2-3, IADC4-5, IADC6-7 current sensing inputs are connected in the meter design. The CE code must be aware of these connections. See </w:t>
            </w:r>
            <w:hyperlink w:history="true" w:anchor="_bookmark179">
              <w:r>
                <w:rPr>
                  <w:color w:val="0000FF"/>
                  <w:sz w:val="20"/>
                </w:rPr>
                <w:t>Figure 31 </w:t>
              </w:r>
            </w:hyperlink>
            <w:r>
              <w:rPr>
                <w:sz w:val="20"/>
              </w:rPr>
              <w:t>and </w:t>
            </w:r>
            <w:hyperlink w:history="true" w:anchor="_bookmark181">
              <w:r>
                <w:rPr>
                  <w:color w:val="0000FF"/>
                  <w:sz w:val="20"/>
                </w:rPr>
                <w:t>Figure 32 </w:t>
              </w:r>
            </w:hyperlink>
            <w:r>
              <w:rPr>
                <w:sz w:val="20"/>
              </w:rPr>
              <w:t>for typical meter configurations. VADC8, VADC9 and VADC10 are assigned to voltage phases VA, VB and VC in a fixed manner, respectively.</w:t>
            </w:r>
          </w:p>
          <w:p>
            <w:pPr>
              <w:pStyle w:val="TableParagraph"/>
              <w:spacing w:before="24"/>
              <w:ind w:left="107"/>
              <w:rPr>
                <w:sz w:val="20"/>
              </w:rPr>
            </w:pPr>
            <w:r>
              <w:rPr>
                <w:sz w:val="20"/>
              </w:rPr>
              <w:t>The CE addresses listed in this table are assigned to phases A, B and C as indicated by their names.</w:t>
            </w:r>
          </w:p>
        </w:tc>
      </w:tr>
    </w:tbl>
    <w:p>
      <w:pPr>
        <w:spacing w:after="0"/>
        <w:rPr>
          <w:sz w:val="20"/>
        </w:rPr>
        <w:sectPr>
          <w:pgSz w:w="12240" w:h="15840"/>
          <w:pgMar w:header="727" w:footer="819" w:top="1160" w:bottom="1000" w:left="960" w:right="940"/>
        </w:sectPr>
      </w:pPr>
    </w:p>
    <w:p>
      <w:pPr>
        <w:pStyle w:val="ListParagraph"/>
        <w:numPr>
          <w:ilvl w:val="2"/>
          <w:numId w:val="30"/>
        </w:numPr>
        <w:tabs>
          <w:tab w:pos="1201" w:val="left" w:leader="none"/>
        </w:tabs>
        <w:spacing w:line="240" w:lineRule="auto" w:before="88" w:after="0"/>
        <w:ind w:left="1200" w:right="0" w:hanging="721"/>
        <w:jc w:val="left"/>
        <w:rPr>
          <w:b/>
          <w:sz w:val="22"/>
        </w:rPr>
      </w:pPr>
      <w:bookmarkStart w:name="5.3.11 CE Flow Diagrams" w:id="492"/>
      <w:bookmarkEnd w:id="492"/>
      <w:r>
        <w:rPr/>
      </w:r>
      <w:bookmarkStart w:name="_bookmark239" w:id="493"/>
      <w:bookmarkEnd w:id="493"/>
      <w:r>
        <w:rPr/>
      </w:r>
      <w:bookmarkStart w:name="_bookmark239" w:id="494"/>
      <w:bookmarkEnd w:id="494"/>
      <w:r>
        <w:rPr>
          <w:b/>
          <w:sz w:val="22"/>
        </w:rPr>
        <w:t>C</w:t>
      </w:r>
      <w:r>
        <w:rPr>
          <w:b/>
          <w:sz w:val="22"/>
        </w:rPr>
        <w:t>E Flow</w:t>
      </w:r>
      <w:r>
        <w:rPr>
          <w:b/>
          <w:spacing w:val="1"/>
          <w:sz w:val="22"/>
        </w:rPr>
        <w:t> </w:t>
      </w:r>
      <w:r>
        <w:rPr>
          <w:b/>
          <w:sz w:val="22"/>
        </w:rPr>
        <w:t>Diagrams</w:t>
      </w:r>
    </w:p>
    <w:p>
      <w:pPr>
        <w:pStyle w:val="BodyText"/>
        <w:spacing w:before="121"/>
        <w:ind w:left="479" w:right="491"/>
      </w:pPr>
      <w:hyperlink w:history="true" w:anchor="_bookmark240">
        <w:r>
          <w:rPr/>
          <w:t>Figure 38 </w:t>
        </w:r>
      </w:hyperlink>
      <w:r>
        <w:rPr/>
        <w:t>through </w:t>
      </w:r>
      <w:hyperlink w:history="true" w:anchor="_bookmark242">
        <w:r>
          <w:rPr>
            <w:color w:val="0000FF"/>
          </w:rPr>
          <w:t>Figure 40 </w:t>
        </w:r>
      </w:hyperlink>
      <w:r>
        <w:rPr/>
        <w:t>show the data flow through the CE in simplified form. Functions not shown include delay compensation, sample interpolation, scaling and the processing of meter equations.</w:t>
      </w:r>
    </w:p>
    <w:p>
      <w:pPr>
        <w:pStyle w:val="BodyText"/>
      </w:pPr>
    </w:p>
    <w:p>
      <w:pPr>
        <w:pStyle w:val="BodyText"/>
        <w:spacing w:before="8"/>
        <w:rPr>
          <w:sz w:val="21"/>
        </w:rPr>
      </w:pPr>
    </w:p>
    <w:p>
      <w:pPr>
        <w:spacing w:after="0"/>
        <w:rPr>
          <w:sz w:val="21"/>
        </w:rPr>
        <w:sectPr>
          <w:pgSz w:w="12240" w:h="15840"/>
          <w:pgMar w:header="727" w:footer="819" w:top="1160" w:bottom="1000" w:left="960" w:right="940"/>
        </w:sectPr>
      </w:pPr>
    </w:p>
    <w:p>
      <w:pPr>
        <w:spacing w:before="93"/>
        <w:ind w:left="2112" w:right="0" w:firstLine="0"/>
        <w:jc w:val="left"/>
        <w:rPr>
          <w:sz w:val="23"/>
        </w:rPr>
      </w:pPr>
      <w:r>
        <w:rPr/>
        <w:pict>
          <v:group style="position:absolute;margin-left:123.189507pt;margin-top:19.786875pt;width:329.25pt;height:117.2pt;mso-position-horizontal-relative:page;mso-position-vertical-relative:paragraph;z-index:-38723584" coordorigin="2464,396" coordsize="6585,2344">
            <v:shape style="position:absolute;left:2463;top:395;width:6585;height:2344" type="#_x0000_t75" stroked="false">
              <v:imagedata r:id="rId221" o:title=""/>
            </v:shape>
            <v:shape style="position:absolute;left:5016;top:1335;width:469;height:547" type="#_x0000_t202" filled="false" stroked="false">
              <v:textbox inset="0,0,0,0">
                <w:txbxContent>
                  <w:p>
                    <w:pPr>
                      <w:spacing w:line="238" w:lineRule="exact" w:before="0"/>
                      <w:ind w:left="76" w:right="0" w:firstLine="0"/>
                      <w:jc w:val="left"/>
                      <w:rPr>
                        <w:rFonts w:ascii="Lucida Console" w:hAnsi="Lucida Console"/>
                        <w:sz w:val="19"/>
                      </w:rPr>
                    </w:pPr>
                    <w:r>
                      <w:rPr>
                        <w:rFonts w:ascii="Lucida Console" w:hAnsi="Lucida Console"/>
                        <w:position w:val="-3"/>
                        <w:sz w:val="23"/>
                      </w:rPr>
                      <w:t>∆</w:t>
                    </w:r>
                    <w:r>
                      <w:rPr>
                        <w:rFonts w:ascii="Lucida Console" w:hAnsi="Lucida Console"/>
                        <w:sz w:val="19"/>
                      </w:rPr>
                      <w:t>∑</w:t>
                    </w:r>
                  </w:p>
                  <w:p>
                    <w:pPr>
                      <w:spacing w:before="43"/>
                      <w:ind w:left="0" w:right="0" w:firstLine="0"/>
                      <w:jc w:val="left"/>
                      <w:rPr>
                        <w:sz w:val="23"/>
                      </w:rPr>
                    </w:pPr>
                    <w:r>
                      <w:rPr>
                        <w:sz w:val="23"/>
                      </w:rPr>
                      <w:t>mod</w:t>
                    </w:r>
                  </w:p>
                </w:txbxContent>
              </v:textbox>
              <w10:wrap type="none"/>
            </v:shape>
            <v:shape style="position:absolute;left:6031;top:1312;width:610;height:539" type="#_x0000_t202" filled="false" stroked="false">
              <v:textbox inset="0,0,0,0">
                <w:txbxContent>
                  <w:p>
                    <w:pPr>
                      <w:spacing w:line="254" w:lineRule="auto" w:before="0"/>
                      <w:ind w:left="0" w:right="2" w:firstLine="0"/>
                      <w:jc w:val="left"/>
                      <w:rPr>
                        <w:sz w:val="23"/>
                      </w:rPr>
                    </w:pPr>
                    <w:r>
                      <w:rPr>
                        <w:sz w:val="23"/>
                      </w:rPr>
                      <w:t>Deci- mator</w:t>
                    </w:r>
                  </w:p>
                </w:txbxContent>
              </v:textbox>
              <w10:wrap type="none"/>
            </v:shape>
            <w10:wrap type="none"/>
          </v:group>
        </w:pict>
      </w:r>
      <w:r>
        <w:rPr>
          <w:spacing w:val="-1"/>
          <w:sz w:val="23"/>
        </w:rPr>
        <w:t>multiplexer</w:t>
      </w:r>
    </w:p>
    <w:p>
      <w:pPr>
        <w:pStyle w:val="BodyText"/>
        <w:rPr>
          <w:sz w:val="21"/>
        </w:rPr>
      </w:pPr>
    </w:p>
    <w:p>
      <w:pPr>
        <w:spacing w:line="242" w:lineRule="auto" w:before="0"/>
        <w:ind w:left="1084" w:right="1809" w:firstLine="0"/>
        <w:jc w:val="left"/>
        <w:rPr>
          <w:sz w:val="23"/>
        </w:rPr>
      </w:pPr>
      <w:r>
        <w:rPr>
          <w:sz w:val="23"/>
        </w:rPr>
        <w:t>IA VA IB VB</w:t>
      </w:r>
    </w:p>
    <w:p>
      <w:pPr>
        <w:spacing w:line="254" w:lineRule="auto" w:before="57"/>
        <w:ind w:left="1084" w:right="1796" w:firstLine="0"/>
        <w:jc w:val="left"/>
        <w:rPr>
          <w:sz w:val="23"/>
        </w:rPr>
      </w:pPr>
      <w:r>
        <w:rPr>
          <w:sz w:val="23"/>
        </w:rPr>
        <w:t>IC VC</w:t>
      </w:r>
    </w:p>
    <w:p>
      <w:pPr>
        <w:spacing w:before="93"/>
        <w:ind w:left="520" w:right="0" w:firstLine="0"/>
        <w:jc w:val="left"/>
        <w:rPr>
          <w:sz w:val="23"/>
        </w:rPr>
      </w:pPr>
      <w:r>
        <w:rPr/>
        <w:br w:type="column"/>
      </w:r>
      <w:r>
        <w:rPr>
          <w:sz w:val="23"/>
        </w:rPr>
        <w:t>VREF</w:t>
      </w:r>
    </w:p>
    <w:p>
      <w:pPr>
        <w:spacing w:before="93"/>
        <w:ind w:left="1084" w:right="0" w:firstLine="0"/>
        <w:jc w:val="left"/>
        <w:rPr>
          <w:sz w:val="23"/>
        </w:rPr>
      </w:pPr>
      <w:r>
        <w:rPr/>
        <w:br w:type="column"/>
      </w:r>
      <w:r>
        <w:rPr>
          <w:spacing w:val="-2"/>
          <w:sz w:val="23"/>
        </w:rPr>
        <w:t>de-multiplexer</w:t>
      </w:r>
    </w:p>
    <w:p>
      <w:pPr>
        <w:pStyle w:val="BodyText"/>
        <w:rPr>
          <w:sz w:val="26"/>
        </w:rPr>
      </w:pPr>
      <w:r>
        <w:rPr/>
        <w:br w:type="column"/>
      </w:r>
      <w:r>
        <w:rPr>
          <w:sz w:val="26"/>
        </w:rPr>
      </w:r>
    </w:p>
    <w:p>
      <w:pPr>
        <w:pStyle w:val="BodyText"/>
        <w:spacing w:before="2"/>
        <w:rPr>
          <w:sz w:val="22"/>
        </w:rPr>
      </w:pPr>
    </w:p>
    <w:p>
      <w:pPr>
        <w:spacing w:line="264" w:lineRule="auto" w:before="0"/>
        <w:ind w:left="292" w:right="346" w:firstLine="0"/>
        <w:jc w:val="left"/>
        <w:rPr>
          <w:sz w:val="23"/>
        </w:rPr>
      </w:pPr>
      <w:r>
        <w:rPr>
          <w:sz w:val="23"/>
        </w:rPr>
        <w:t>IA_RAW VA_RAW IB_RAW VB_RAW IC_RAW VC_RAW</w:t>
      </w:r>
    </w:p>
    <w:p>
      <w:pPr>
        <w:spacing w:after="0" w:line="264" w:lineRule="auto"/>
        <w:jc w:val="left"/>
        <w:rPr>
          <w:sz w:val="23"/>
        </w:rPr>
        <w:sectPr>
          <w:type w:val="continuous"/>
          <w:pgSz w:w="12240" w:h="15840"/>
          <w:pgMar w:top="940" w:bottom="280" w:left="960" w:right="940"/>
          <w:cols w:num="4" w:equalWidth="0">
            <w:col w:w="3220" w:space="40"/>
            <w:col w:w="1174" w:space="879"/>
            <w:col w:w="2515" w:space="40"/>
            <w:col w:w="2472"/>
          </w:cols>
        </w:sectPr>
      </w:pPr>
    </w:p>
    <w:p>
      <w:pPr>
        <w:tabs>
          <w:tab w:pos="8159" w:val="left" w:leader="none"/>
        </w:tabs>
        <w:spacing w:line="177" w:lineRule="auto" w:before="0"/>
        <w:ind w:left="1082" w:right="0" w:firstLine="0"/>
        <w:jc w:val="left"/>
        <w:rPr>
          <w:sz w:val="23"/>
        </w:rPr>
      </w:pPr>
      <w:r>
        <w:rPr>
          <w:position w:val="-11"/>
          <w:sz w:val="23"/>
        </w:rPr>
        <w:t>ID</w:t>
        <w:tab/>
      </w:r>
      <w:r>
        <w:rPr>
          <w:spacing w:val="-3"/>
          <w:sz w:val="23"/>
        </w:rPr>
        <w:t>ID_RAW</w:t>
      </w:r>
    </w:p>
    <w:p>
      <w:pPr>
        <w:pStyle w:val="BodyText"/>
        <w:spacing w:before="8"/>
        <w:rPr>
          <w:sz w:val="9"/>
        </w:rPr>
      </w:pPr>
    </w:p>
    <w:p>
      <w:pPr>
        <w:spacing w:after="0"/>
        <w:rPr>
          <w:sz w:val="9"/>
        </w:rPr>
        <w:sectPr>
          <w:type w:val="continuous"/>
          <w:pgSz w:w="12240" w:h="15840"/>
          <w:pgMar w:top="940" w:bottom="280" w:left="960" w:right="940"/>
        </w:sectPr>
      </w:pPr>
    </w:p>
    <w:p>
      <w:pPr>
        <w:spacing w:before="106"/>
        <w:ind w:left="2107" w:right="0" w:firstLine="0"/>
        <w:jc w:val="left"/>
        <w:rPr>
          <w:sz w:val="23"/>
        </w:rPr>
      </w:pPr>
      <w:r>
        <w:rPr>
          <w:position w:val="2"/>
          <w:sz w:val="23"/>
        </w:rPr>
        <w:t>F</w:t>
      </w:r>
      <w:r>
        <w:rPr>
          <w:sz w:val="15"/>
        </w:rPr>
        <w:t>S</w:t>
      </w:r>
      <w:r>
        <w:rPr>
          <w:position w:val="2"/>
          <w:sz w:val="23"/>
        </w:rPr>
        <w:t>= 2184 Hz</w:t>
      </w:r>
    </w:p>
    <w:p>
      <w:pPr>
        <w:spacing w:before="93"/>
        <w:ind w:left="2082" w:right="2803" w:firstLine="0"/>
        <w:jc w:val="center"/>
        <w:rPr>
          <w:sz w:val="23"/>
        </w:rPr>
      </w:pPr>
      <w:r>
        <w:rPr/>
        <w:br w:type="column"/>
      </w:r>
      <w:r>
        <w:rPr>
          <w:sz w:val="23"/>
        </w:rPr>
        <w:t>F</w:t>
      </w:r>
      <w:r>
        <w:rPr>
          <w:sz w:val="23"/>
          <w:vertAlign w:val="subscript"/>
        </w:rPr>
        <w:t>S</w:t>
      </w:r>
      <w:r>
        <w:rPr>
          <w:sz w:val="23"/>
          <w:vertAlign w:val="baseline"/>
        </w:rPr>
        <w:t>= 2184 Hz</w:t>
      </w:r>
    </w:p>
    <w:p>
      <w:pPr>
        <w:spacing w:after="0"/>
        <w:jc w:val="center"/>
        <w:rPr>
          <w:sz w:val="23"/>
        </w:rPr>
        <w:sectPr>
          <w:type w:val="continuous"/>
          <w:pgSz w:w="12240" w:h="15840"/>
          <w:pgMar w:top="940" w:bottom="280" w:left="960" w:right="940"/>
          <w:cols w:num="2" w:equalWidth="0">
            <w:col w:w="3429" w:space="689"/>
            <w:col w:w="6222"/>
          </w:cols>
        </w:sectPr>
      </w:pPr>
    </w:p>
    <w:p>
      <w:pPr>
        <w:pStyle w:val="BodyText"/>
        <w:spacing w:before="6"/>
        <w:rPr>
          <w:sz w:val="27"/>
        </w:rPr>
      </w:pPr>
    </w:p>
    <w:p>
      <w:pPr>
        <w:spacing w:before="93"/>
        <w:ind w:left="775" w:right="797" w:firstLine="0"/>
        <w:jc w:val="center"/>
        <w:rPr>
          <w:b/>
          <w:sz w:val="20"/>
        </w:rPr>
      </w:pPr>
      <w:bookmarkStart w:name="_bookmark240" w:id="495"/>
      <w:bookmarkEnd w:id="495"/>
      <w:r>
        <w:rPr/>
      </w:r>
      <w:r>
        <w:rPr>
          <w:b/>
          <w:sz w:val="20"/>
        </w:rPr>
        <w:t>Figure 38: CE Data Flow: Multiplexer and ADC</w:t>
      </w:r>
    </w:p>
    <w:p>
      <w:pPr>
        <w:pStyle w:val="BodyText"/>
        <w:rPr>
          <w:b/>
        </w:rPr>
      </w:pPr>
    </w:p>
    <w:p>
      <w:pPr>
        <w:pStyle w:val="BodyText"/>
        <w:spacing w:before="9"/>
        <w:rPr>
          <w:b/>
          <w:sz w:val="12"/>
        </w:rPr>
      </w:pPr>
      <w:r>
        <w:rPr/>
        <w:drawing>
          <wp:anchor distT="0" distB="0" distL="0" distR="0" allowOverlap="1" layoutInCell="1" locked="0" behindDoc="0" simplePos="0" relativeHeight="251">
            <wp:simplePos x="0" y="0"/>
            <wp:positionH relativeFrom="page">
              <wp:posOffset>914400</wp:posOffset>
            </wp:positionH>
            <wp:positionV relativeFrom="paragraph">
              <wp:posOffset>118403</wp:posOffset>
            </wp:positionV>
            <wp:extent cx="5945873" cy="3188208"/>
            <wp:effectExtent l="0" t="0" r="0" b="0"/>
            <wp:wrapTopAndBottom/>
            <wp:docPr id="117" name="image182.png"/>
            <wp:cNvGraphicFramePr>
              <a:graphicFrameLocks noChangeAspect="1"/>
            </wp:cNvGraphicFramePr>
            <a:graphic>
              <a:graphicData uri="http://schemas.openxmlformats.org/drawingml/2006/picture">
                <pic:pic>
                  <pic:nvPicPr>
                    <pic:cNvPr id="118" name="image182.png"/>
                    <pic:cNvPicPr/>
                  </pic:nvPicPr>
                  <pic:blipFill>
                    <a:blip r:embed="rId222" cstate="print"/>
                    <a:stretch>
                      <a:fillRect/>
                    </a:stretch>
                  </pic:blipFill>
                  <pic:spPr>
                    <a:xfrm>
                      <a:off x="0" y="0"/>
                      <a:ext cx="5945873" cy="3188208"/>
                    </a:xfrm>
                    <a:prstGeom prst="rect">
                      <a:avLst/>
                    </a:prstGeom>
                  </pic:spPr>
                </pic:pic>
              </a:graphicData>
            </a:graphic>
          </wp:anchor>
        </w:drawing>
      </w:r>
    </w:p>
    <w:p>
      <w:pPr>
        <w:spacing w:before="83"/>
        <w:ind w:left="776" w:right="797" w:firstLine="0"/>
        <w:jc w:val="center"/>
        <w:rPr>
          <w:b/>
          <w:sz w:val="20"/>
        </w:rPr>
      </w:pPr>
      <w:bookmarkStart w:name="_bookmark241" w:id="496"/>
      <w:bookmarkEnd w:id="496"/>
      <w:r>
        <w:rPr/>
      </w:r>
      <w:r>
        <w:rPr>
          <w:b/>
          <w:sz w:val="20"/>
        </w:rPr>
        <w:t>Figure 39: CE Data Flow: Scaling, Gain Control, Intermediate Variables for one Phase</w:t>
      </w:r>
    </w:p>
    <w:p>
      <w:pPr>
        <w:spacing w:after="0"/>
        <w:jc w:val="center"/>
        <w:rPr>
          <w:sz w:val="20"/>
        </w:rPr>
        <w:sectPr>
          <w:type w:val="continuous"/>
          <w:pgSz w:w="12240" w:h="15840"/>
          <w:pgMar w:top="940" w:bottom="280" w:left="960" w:right="940"/>
        </w:sectPr>
      </w:pPr>
    </w:p>
    <w:p>
      <w:pPr>
        <w:pStyle w:val="BodyText"/>
        <w:spacing w:before="11"/>
        <w:rPr>
          <w:b/>
          <w:sz w:val="15"/>
        </w:rPr>
      </w:pPr>
    </w:p>
    <w:p>
      <w:pPr>
        <w:pStyle w:val="BodyText"/>
        <w:ind w:left="1118"/>
      </w:pPr>
      <w:r>
        <w:rPr/>
        <w:pict>
          <v:group style="width:405.1pt;height:244.15pt;mso-position-horizontal-relative:char;mso-position-vertical-relative:line" coordorigin="0,0" coordsize="8102,4883">
            <v:line style="position:absolute" from="4767,3454" to="7021,3454" stroked="true" strokeweight="1.31811pt" strokecolor="#33cc33">
              <v:stroke dashstyle="solid"/>
            </v:line>
            <v:shape style="position:absolute;left:7007;top:3414;width:80;height:80" coordorigin="7008,3415" coordsize="80,80" path="m7008,3494l7008,3415,7087,3454,7008,3494xe" filled="true" fillcolor="#33cc33" stroked="false">
              <v:path arrowok="t"/>
              <v:fill type="solid"/>
            </v:shape>
            <v:line style="position:absolute" from="4767,3709" to="7021,3709" stroked="true" strokeweight="1.31811pt" strokecolor="#33cc33">
              <v:stroke dashstyle="solid"/>
            </v:line>
            <v:shape style="position:absolute;left:7007;top:3669;width:80;height:80" coordorigin="7008,3670" coordsize="80,80" path="m7008,3749l7008,3670,7087,3709,7008,3749xe" filled="true" fillcolor="#33cc33" stroked="false">
              <v:path arrowok="t"/>
              <v:fill type="solid"/>
            </v:shape>
            <v:line style="position:absolute" from="4767,3964" to="7021,3964" stroked="true" strokeweight="1.31811pt" strokecolor="#33cc33">
              <v:stroke dashstyle="solid"/>
            </v:line>
            <v:shape style="position:absolute;left:7007;top:3924;width:80;height:80" coordorigin="7008,3924" coordsize="80,80" path="m7008,4003l7008,3924,7087,3964,7008,4003xe" filled="true" fillcolor="#33cc33" stroked="false">
              <v:path arrowok="t"/>
              <v:fill type="solid"/>
            </v:shape>
            <v:rect style="position:absolute;left:7109;top:145;width:985;height:4728" filled="true" fillcolor="#dadada" stroked="false">
              <v:fill type="solid"/>
            </v:rect>
            <v:rect style="position:absolute;left:7109;top:145;width:985;height:4728" filled="false" stroked="true" strokeweight=".87874pt" strokecolor="#000000">
              <v:stroke dashstyle="solid"/>
            </v:rect>
            <v:line style="position:absolute" from="4794,291" to="7047,291" stroked="true" strokeweight="1.31811pt" strokecolor="#000000">
              <v:stroke dashstyle="solid"/>
            </v:line>
            <v:shape style="position:absolute;left:7034;top:251;width:80;height:80" coordorigin="7034,251" coordsize="80,80" path="m7034,330l7034,251,7113,291,7034,330xe" filled="true" fillcolor="#000000" stroked="false">
              <v:path arrowok="t"/>
              <v:fill type="solid"/>
            </v:shape>
            <v:rect style="position:absolute;left:8;top:14;width:1406;height:4860" filled="true" fillcolor="#dadada" stroked="false">
              <v:fill type="solid"/>
            </v:rect>
            <v:rect style="position:absolute;left:8;top:14;width:1406;height:4860" filled="false" stroked="true" strokeweight=".87874pt" strokecolor="#000000">
              <v:stroke dashstyle="solid"/>
            </v:rect>
            <v:line style="position:absolute" from="1279,291" to="3533,291" stroked="true" strokeweight="1.31811pt" strokecolor="#000000">
              <v:stroke dashstyle="solid"/>
            </v:line>
            <v:shape style="position:absolute;left:3519;top:251;width:80;height:80" coordorigin="3519,251" coordsize="80,80" path="m3519,330l3519,251,3598,291,3519,330xe" filled="true" fillcolor="#000000" stroked="false">
              <v:path arrowok="t"/>
              <v:fill type="solid"/>
            </v:shape>
            <v:line style="position:absolute" from="2895,2690" to="3533,2690" stroked="true" strokeweight="1.31811pt" strokecolor="#33cc33">
              <v:stroke dashstyle="solid"/>
            </v:line>
            <v:shape style="position:absolute;left:3519;top:2650;width:80;height:80" coordorigin="3519,2650" coordsize="80,80" path="m3519,2729l3519,2650,3598,2690,3519,2729xe" filled="true" fillcolor="#33cc33" stroked="false">
              <v:path arrowok="t"/>
              <v:fill type="solid"/>
            </v:shape>
            <v:rect style="position:absolute;left:1695;top:2492;width:1196;height:1846" filled="true" fillcolor="#ffffcc" stroked="false">
              <v:fill type="solid"/>
            </v:rect>
            <v:rect style="position:absolute;left:1695;top:2492;width:1196;height:1846" filled="false" stroked="true" strokeweight=".87874pt" strokecolor="#000000">
              <v:stroke dashstyle="solid"/>
            </v:rect>
            <v:line style="position:absolute" from="1279,2725" to="1634,2725" stroked="true" strokeweight="1.31811pt" strokecolor="#33cc33">
              <v:stroke dashstyle="solid"/>
            </v:line>
            <v:shape style="position:absolute;left:1621;top:2685;width:80;height:80" coordorigin="1621,2685" coordsize="80,80" path="m1621,2764l1621,2685,1700,2725,1621,2764xe" filled="true" fillcolor="#33cc33" stroked="false">
              <v:path arrowok="t"/>
              <v:fill type="solid"/>
            </v:shape>
            <v:line style="position:absolute" from="1279,2980" to="1634,2980" stroked="true" strokeweight="1.31811pt" strokecolor="#33cc33">
              <v:stroke dashstyle="solid"/>
            </v:line>
            <v:shape style="position:absolute;left:1621;top:2940;width:80;height:80" coordorigin="1621,2940" coordsize="80,80" path="m1621,3019l1621,2940,1700,2980,1621,3019xe" filled="true" fillcolor="#33cc33" stroked="false">
              <v:path arrowok="t"/>
              <v:fill type="solid"/>
            </v:shape>
            <v:line style="position:absolute" from="1279,3235" to="1634,3235" stroked="true" strokeweight="1.31811pt" strokecolor="#33cc33">
              <v:stroke dashstyle="solid"/>
            </v:line>
            <v:shape style="position:absolute;left:1621;top:3195;width:80;height:80" coordorigin="1621,3195" coordsize="80,80" path="m1621,3274l1621,3195,1700,3235,1621,3274xe" filled="true" fillcolor="#33cc33" stroked="false">
              <v:path arrowok="t"/>
              <v:fill type="solid"/>
            </v:shape>
            <v:line style="position:absolute" from="2895,2945" to="3533,2945" stroked="true" strokeweight="1.31811pt" strokecolor="#33cc33">
              <v:stroke dashstyle="solid"/>
            </v:line>
            <v:shape style="position:absolute;left:3519;top:2905;width:80;height:80" coordorigin="3519,2905" coordsize="80,80" path="m3519,2984l3519,2905,3598,2945,3519,2984xe" filled="true" fillcolor="#33cc33" stroked="false">
              <v:path arrowok="t"/>
              <v:fill type="solid"/>
            </v:shape>
            <v:line style="position:absolute" from="2895,3199" to="3533,3199" stroked="true" strokeweight="1.31811pt" strokecolor="#33cc33">
              <v:stroke dashstyle="solid"/>
            </v:line>
            <v:shape style="position:absolute;left:3519;top:3159;width:80;height:80" coordorigin="3519,3160" coordsize="80,80" path="m3519,3239l3519,3160,3598,3199,3519,3239xe" filled="true" fillcolor="#33cc33" stroked="false">
              <v:path arrowok="t"/>
              <v:fill type="solid"/>
            </v:shape>
            <v:rect style="position:absolute;left:3594;top:2492;width:1196;height:1846" filled="true" fillcolor="#ffffcc" stroked="false">
              <v:fill type="solid"/>
            </v:rect>
            <v:rect style="position:absolute;left:3594;top:2492;width:1196;height:1846" filled="false" stroked="true" strokeweight=".87874pt" strokecolor="#000000">
              <v:stroke dashstyle="solid"/>
            </v:rect>
            <v:line style="position:absolute" from="4794,2690" to="7047,2690" stroked="true" strokeweight="1.31811pt" strokecolor="#33cc33">
              <v:stroke dashstyle="solid"/>
            </v:line>
            <v:shape style="position:absolute;left:7034;top:2650;width:80;height:80" coordorigin="7034,2650" coordsize="80,80" path="m7034,2729l7034,2650,7113,2690,7034,2729xe" filled="true" fillcolor="#33cc33" stroked="false">
              <v:path arrowok="t"/>
              <v:fill type="solid"/>
            </v:shape>
            <v:line style="position:absolute" from="4794,2945" to="7047,2945" stroked="true" strokeweight="1.31811pt" strokecolor="#33cc33">
              <v:stroke dashstyle="solid"/>
            </v:line>
            <v:shape style="position:absolute;left:7034;top:2905;width:80;height:80" coordorigin="7034,2905" coordsize="80,80" path="m7034,2984l7034,2905,7113,2945,7034,2984xe" filled="true" fillcolor="#33cc33" stroked="false">
              <v:path arrowok="t"/>
              <v:fill type="solid"/>
            </v:shape>
            <v:line style="position:absolute" from="4794,3199" to="7047,3199" stroked="true" strokeweight="1.31811pt" strokecolor="#33cc33">
              <v:stroke dashstyle="solid"/>
            </v:line>
            <v:shape style="position:absolute;left:7034;top:3159;width:80;height:80" coordorigin="7034,3160" coordsize="80,80" path="m7034,3239l7034,3160,7113,3199,7034,3239xe" filled="true" fillcolor="#33cc33" stroked="false">
              <v:path arrowok="t"/>
              <v:fill type="solid"/>
            </v:shape>
            <v:rect style="position:absolute;left:3594;top:14;width:1196;height:1890" filled="true" fillcolor="#ffffcc" stroked="false">
              <v:fill type="solid"/>
            </v:rect>
            <v:rect style="position:absolute;left:3594;top:14;width:1196;height:1890" filled="false" stroked="true" strokeweight=".87874pt" strokecolor="#000000">
              <v:stroke dashstyle="solid"/>
            </v:rect>
            <v:line style="position:absolute" from="1279,1055" to="3533,1055" stroked="true" strokeweight="1.31811pt" strokecolor="#3333cc">
              <v:stroke dashstyle="solid"/>
            </v:line>
            <v:shape style="position:absolute;left:3519;top:1015;width:80;height:80" coordorigin="3519,1016" coordsize="80,80" path="m3519,1095l3519,1016,3598,1055,3519,1095xe" filled="true" fillcolor="#3333cc" stroked="false">
              <v:path arrowok="t"/>
              <v:fill type="solid"/>
            </v:shape>
            <v:line style="position:absolute" from="1279,1310" to="3533,1310" stroked="true" strokeweight="1.31811pt" strokecolor="#3333cc">
              <v:stroke dashstyle="solid"/>
            </v:line>
            <v:shape style="position:absolute;left:3519;top:1270;width:80;height:80" coordorigin="3519,1271" coordsize="80,80" path="m3519,1350l3519,1271,3598,1310,3519,1350xe" filled="true" fillcolor="#3333cc" stroked="false">
              <v:path arrowok="t"/>
              <v:fill type="solid"/>
            </v:shape>
            <v:line style="position:absolute" from="4794,546" to="7047,546" stroked="true" strokeweight="1.31811pt" strokecolor="#000000">
              <v:stroke dashstyle="solid"/>
            </v:line>
            <v:shape style="position:absolute;left:7034;top:506;width:80;height:80" coordorigin="7034,506" coordsize="80,80" path="m7034,585l7034,506,7113,546,7034,585xe" filled="true" fillcolor="#000000" stroked="false">
              <v:path arrowok="t"/>
              <v:fill type="solid"/>
            </v:shape>
            <v:line style="position:absolute" from="4794,1055" to="7047,1055" stroked="true" strokeweight="1.31811pt" strokecolor="#3333cc">
              <v:stroke dashstyle="solid"/>
            </v:line>
            <v:shape style="position:absolute;left:7034;top:1015;width:80;height:80" coordorigin="7034,1016" coordsize="80,80" path="m7034,1095l7034,1016,7113,1055,7034,1095xe" filled="true" fillcolor="#3333cc" stroked="false">
              <v:path arrowok="t"/>
              <v:fill type="solid"/>
            </v:shape>
            <v:line style="position:absolute" from="4794,1310" to="7047,1310" stroked="true" strokeweight="1.31811pt" strokecolor="#3333cc">
              <v:stroke dashstyle="solid"/>
            </v:line>
            <v:shape style="position:absolute;left:7034;top:1270;width:80;height:80" coordorigin="7034,1271" coordsize="80,80" path="m7034,1350l7034,1271,7113,1310,7034,1350xe" filled="true" fillcolor="#3333cc" stroked="false">
              <v:path arrowok="t"/>
              <v:fill type="solid"/>
            </v:shape>
            <v:rect style="position:absolute;left:3945;top:1393;width:493;height:422" filled="true" fillcolor="#ebebeb" stroked="false">
              <v:fill type="solid"/>
            </v:rect>
            <v:rect style="position:absolute;left:3945;top:1393;width:493;height:422" filled="false" stroked="true" strokeweight=".87874pt" strokecolor="#000000">
              <v:stroke dashstyle="solid"/>
            </v:rect>
            <v:rect style="position:absolute;left:3945;top:242;width:493;height:422" filled="true" fillcolor="#ebebeb" stroked="false">
              <v:fill type="solid"/>
            </v:rect>
            <v:rect style="position:absolute;left:3945;top:242;width:493;height:422" filled="false" stroked="true" strokeweight=".87874pt" strokecolor="#000000">
              <v:stroke dashstyle="solid"/>
            </v:rect>
            <v:rect style="position:absolute;left:2047;top:3098;width:493;height:422" filled="true" fillcolor="#ebebeb" stroked="false">
              <v:fill type="solid"/>
            </v:rect>
            <v:rect style="position:absolute;left:2047;top:3098;width:493;height:422" filled="false" stroked="true" strokeweight=".87874pt" strokecolor="#000000">
              <v:stroke dashstyle="solid"/>
            </v:rect>
            <v:rect style="position:absolute;left:2047;top:3590;width:493;height:422" filled="true" fillcolor="#ebebeb" stroked="false">
              <v:fill type="solid"/>
            </v:rect>
            <v:rect style="position:absolute;left:2047;top:3590;width:493;height:422" filled="false" stroked="true" strokeweight=".87874pt" strokecolor="#000000">
              <v:stroke dashstyle="solid"/>
            </v:rect>
            <v:line style="position:absolute" from="1287,546" to="3541,546" stroked="true" strokeweight="1.31811pt" strokecolor="#000000">
              <v:stroke dashstyle="solid"/>
            </v:line>
            <v:shape style="position:absolute;left:3528;top:506;width:80;height:80" coordorigin="3528,506" coordsize="80,80" path="m3528,585l3528,506,3607,546,3528,585xe" filled="true" fillcolor="#000000" stroked="false">
              <v:path arrowok="t"/>
              <v:fill type="solid"/>
            </v:shape>
            <v:line style="position:absolute" from="1287,800" to="3541,800" stroked="true" strokeweight="1.31811pt" strokecolor="#000000">
              <v:stroke dashstyle="solid"/>
            </v:line>
            <v:shape style="position:absolute;left:3528;top:760;width:80;height:80" coordorigin="3528,761" coordsize="80,80" path="m3528,840l3528,761,3607,800,3528,840xe" filled="true" fillcolor="#000000" stroked="false">
              <v:path arrowok="t"/>
              <v:fill type="solid"/>
            </v:shape>
            <v:line style="position:absolute" from="1287,1565" to="3541,1565" stroked="true" strokeweight="1.31811pt" strokecolor="#3333cc">
              <v:stroke dashstyle="solid"/>
            </v:line>
            <v:shape style="position:absolute;left:3528;top:1525;width:80;height:80" coordorigin="3528,1525" coordsize="80,80" path="m3528,1605l3528,1525,3607,1565,3528,1605xe" filled="true" fillcolor="#3333cc" stroked="false">
              <v:path arrowok="t"/>
              <v:fill type="solid"/>
            </v:shape>
            <v:line style="position:absolute" from="4794,800" to="7047,800" stroked="true" strokeweight="1.31811pt" strokecolor="#000000">
              <v:stroke dashstyle="solid"/>
            </v:line>
            <v:shape style="position:absolute;left:7034;top:760;width:80;height:80" coordorigin="7034,761" coordsize="80,80" path="m7034,840l7034,761,7113,800,7034,840xe" filled="true" fillcolor="#000000" stroked="false">
              <v:path arrowok="t"/>
              <v:fill type="solid"/>
            </v:shape>
            <v:line style="position:absolute" from="4794,1565" to="7047,1565" stroked="true" strokeweight="1.31811pt" strokecolor="#3333cc">
              <v:stroke dashstyle="solid"/>
            </v:line>
            <v:shape style="position:absolute;left:7034;top:1525;width:80;height:80" coordorigin="7034,1525" coordsize="80,80" path="m7034,1605l7034,1525,7113,1565,7034,1605xe" filled="true" fillcolor="#3333cc" stroked="false">
              <v:path arrowok="t"/>
              <v:fill type="solid"/>
            </v:shape>
            <v:line style="position:absolute" from="1287,3489" to="1643,3489" stroked="true" strokeweight="1.31811pt" strokecolor="#33cc33">
              <v:stroke dashstyle="solid"/>
            </v:line>
            <v:shape style="position:absolute;left:1630;top:3449;width:80;height:80" coordorigin="1630,3450" coordsize="80,80" path="m1630,3529l1630,3450,1709,3489,1630,3529xe" filled="true" fillcolor="#33cc33" stroked="false">
              <v:path arrowok="t"/>
              <v:fill type="solid"/>
            </v:shape>
            <v:line style="position:absolute" from="1287,3744" to="1643,3744" stroked="true" strokeweight="1.31811pt" strokecolor="#33cc33">
              <v:stroke dashstyle="solid"/>
            </v:line>
            <v:shape style="position:absolute;left:1630;top:3704;width:80;height:80" coordorigin="1630,3705" coordsize="80,80" path="m1630,3784l1630,3705,1709,3744,1630,3784xe" filled="true" fillcolor="#33cc33" stroked="false">
              <v:path arrowok="t"/>
              <v:fill type="solid"/>
            </v:shape>
            <v:line style="position:absolute" from="1287,3999" to="1643,3999" stroked="true" strokeweight="1.31811pt" strokecolor="#33cc33">
              <v:stroke dashstyle="solid"/>
            </v:line>
            <v:shape style="position:absolute;left:1630;top:3414;width:1978;height:624" coordorigin="1630,3415" coordsize="1978,624" path="m1709,3999l1630,3960,1630,4039,1709,3999xm3607,3964l3528,3924,3528,4003,3607,3964xm3607,3709l3528,3670,3528,3749,3607,3709xm3607,3454l3528,3415,3528,3494,3607,3454xe" filled="true" fillcolor="#33cc33" stroked="false">
              <v:path arrowok="t"/>
              <v:fill type="solid"/>
            </v:shape>
            <v:line style="position:absolute" from="4197,1974" to="4196,2432" stroked="true" strokeweight="1.31811pt" strokecolor="#000000">
              <v:stroke dashstyle="solid"/>
            </v:line>
            <v:shape style="position:absolute;left:4156;top:1907;width:81;height:591" coordorigin="4157,1908" coordsize="81,591" path="m4236,2419l4157,2419,4196,2498,4236,2419xm4237,1987l4197,1908,4158,1987,4237,1987xe" filled="true" fillcolor="#000000" stroked="false">
              <v:path arrowok="t"/>
              <v:fill type="solid"/>
            </v:shape>
            <v:shape style="position:absolute;left:4077;top:2122;width:809;height:255" type="#_x0000_t75" stroked="false">
              <v:imagedata r:id="rId223" o:title=""/>
            </v:shape>
            <v:line style="position:absolute" from="4863,2252" to="4222,2250" stroked="true" strokeweight="1.31811pt" strokecolor="#000000">
              <v:stroke dashstyle="solid"/>
            </v:line>
            <v:shape style="position:absolute;left:4222;top:2204;width:80;height:93" coordorigin="4222,2204" coordsize="80,93" path="m4301,2297l4222,2250,4301,2204e" filled="false" stroked="true" strokeweight="1.31811pt" strokecolor="#000000">
              <v:path arrowok="t"/>
              <v:stroke dashstyle="solid"/>
            </v:shape>
            <v:shape style="position:absolute;left:1423;top:4495;width:2312;height:255" type="#_x0000_t75" stroked="false">
              <v:imagedata r:id="rId224" o:title=""/>
            </v:shape>
            <v:line style="position:absolute" from="1419,4625" to="3572,4623" stroked="true" strokeweight="1.31811pt" strokecolor="#000000">
              <v:stroke dashstyle="solid"/>
            </v:line>
            <v:shape style="position:absolute;left:3493;top:4576;width:80;height:93" coordorigin="3493,4577" coordsize="80,93" path="m3493,4577l3572,4623,3493,4669e" filled="false" stroked="true" strokeweight="1.31811pt" strokecolor="#000000">
              <v:path arrowok="t"/>
              <v:stroke dashstyle="solid"/>
            </v:shape>
            <v:rect style="position:absolute;left:3602;top:4398;width:1196;height:475" filled="true" fillcolor="#ffffcc" stroked="false">
              <v:fill type="solid"/>
            </v:rect>
            <v:rect style="position:absolute;left:3602;top:4398;width:1196;height:475" filled="false" stroked="true" strokeweight=".87874pt" strokecolor="#000000">
              <v:stroke dashstyle="solid"/>
            </v:rect>
            <v:shape style="position:absolute;left:4806;top:4513;width:2452;height:255" type="#_x0000_t75" stroked="false">
              <v:imagedata r:id="rId225" o:title=""/>
            </v:shape>
            <v:line style="position:absolute" from="4802,4641" to="7090,4642" stroked="true" strokeweight="1.31811pt" strokecolor="#000000">
              <v:stroke dashstyle="solid"/>
            </v:line>
            <v:shape style="position:absolute;left:7011;top:4595;width:80;height:93" coordorigin="7011,4596" coordsize="80,93" path="m7011,4596l7090,4642,7011,4688e" filled="false" stroked="true" strokeweight="1.31811pt" strokecolor="#000000">
              <v:path arrowok="t"/>
              <v:stroke dashstyle="solid"/>
            </v:shape>
            <v:line style="position:absolute" from="4196,1311" to="4197,800" stroked="true" strokeweight="1.31811pt" strokecolor="#000000">
              <v:stroke dashstyle="longdash"/>
            </v:line>
            <v:line style="position:absolute" from="4196,3666" to="4197,3156" stroked="true" strokeweight="1.31811pt" strokecolor="#000000">
              <v:stroke dashstyle="longdash"/>
            </v:line>
            <v:rect style="position:absolute;left:3945;top:3775;width:493;height:422" filled="true" fillcolor="#ebebeb" stroked="false">
              <v:fill type="solid"/>
            </v:rect>
            <v:rect style="position:absolute;left:3945;top:3775;width:493;height:422" filled="false" stroked="true" strokeweight=".87874pt" strokecolor="#000000">
              <v:stroke dashstyle="solid"/>
            </v:rect>
            <v:line style="position:absolute" from="1287,4236" to="1643,4236" stroked="true" strokeweight="1.31811pt" strokecolor="#33cc33">
              <v:stroke dashstyle="solid"/>
            </v:line>
            <v:shape style="position:absolute;left:1630;top:4196;width:80;height:80" coordorigin="1630,4197" coordsize="80,80" path="m1630,4276l1630,4197,1709,4236,1630,4276xe" filled="true" fillcolor="#33cc33" stroked="false">
              <v:path arrowok="t"/>
              <v:fill type="solid"/>
            </v:shape>
            <v:line style="position:absolute" from="2878,4245" to="3515,4245" stroked="true" strokeweight="1.31811pt" strokecolor="#33cc33">
              <v:stroke dashstyle="solid"/>
            </v:line>
            <v:shape style="position:absolute;left:3501;top:4205;width:80;height:80" coordorigin="3502,4206" coordsize="80,80" path="m3502,4285l3502,4206,3581,4245,3502,4285xe" filled="true" fillcolor="#33cc33" stroked="false">
              <v:path arrowok="t"/>
              <v:fill type="solid"/>
            </v:shape>
            <v:line style="position:absolute" from="4785,4245" to="7039,4245" stroked="true" strokeweight="1.31811pt" strokecolor="#33cc33">
              <v:stroke dashstyle="solid"/>
            </v:line>
            <v:shape style="position:absolute;left:7025;top:4205;width:80;height:80" coordorigin="7026,4206" coordsize="80,80" path="m7026,4285l7026,4206,7105,4245,7026,4285xe" filled="true" fillcolor="#33cc33" stroked="false">
              <v:path arrowok="t"/>
              <v:fill type="solid"/>
            </v:shape>
            <v:shape style="position:absolute;left:585;top:142;width:621;height:1510" type="#_x0000_t202" filled="false" stroked="false">
              <v:textbox inset="0,0,0,0">
                <w:txbxContent>
                  <w:p>
                    <w:pPr>
                      <w:spacing w:line="254" w:lineRule="auto" w:before="0"/>
                      <w:ind w:left="0" w:right="18" w:firstLine="219"/>
                      <w:jc w:val="right"/>
                      <w:rPr>
                        <w:sz w:val="21"/>
                      </w:rPr>
                    </w:pPr>
                    <w:r>
                      <w:rPr>
                        <w:sz w:val="21"/>
                      </w:rPr>
                      <w:t>WA</w:t>
                    </w:r>
                    <w:r>
                      <w:rPr>
                        <w:w w:val="100"/>
                        <w:sz w:val="21"/>
                      </w:rPr>
                      <w:t> </w:t>
                    </w:r>
                    <w:r>
                      <w:rPr>
                        <w:sz w:val="21"/>
                      </w:rPr>
                      <w:t>WB WC </w:t>
                    </w:r>
                    <w:r>
                      <w:rPr>
                        <w:color w:val="3333CC"/>
                        <w:sz w:val="21"/>
                      </w:rPr>
                      <w:t>VARA VARB VARC</w:t>
                    </w:r>
                  </w:p>
                </w:txbxContent>
              </v:textbox>
              <w10:wrap type="none"/>
            </v:shape>
            <v:shape style="position:absolute;left:3933;top:0;width:483;height:573" type="#_x0000_t202" filled="false" stroked="false">
              <v:textbox inset="0,0,0,0">
                <w:txbxContent>
                  <w:p>
                    <w:pPr>
                      <w:spacing w:line="235" w:lineRule="exact" w:before="0"/>
                      <w:ind w:left="-1" w:right="18" w:firstLine="0"/>
                      <w:jc w:val="center"/>
                      <w:rPr>
                        <w:sz w:val="21"/>
                      </w:rPr>
                    </w:pPr>
                    <w:r>
                      <w:rPr>
                        <w:spacing w:val="-2"/>
                        <w:sz w:val="21"/>
                      </w:rPr>
                      <w:t>SUM</w:t>
                    </w:r>
                  </w:p>
                  <w:p>
                    <w:pPr>
                      <w:spacing w:before="95"/>
                      <w:ind w:left="34" w:right="0" w:firstLine="0"/>
                      <w:jc w:val="center"/>
                      <w:rPr>
                        <w:sz w:val="21"/>
                      </w:rPr>
                    </w:pPr>
                    <w:r>
                      <w:rPr>
                        <w:w w:val="100"/>
                        <w:sz w:val="21"/>
                      </w:rPr>
                      <w:t>Σ</w:t>
                    </w:r>
                  </w:p>
                </w:txbxContent>
              </v:textbox>
              <w10:wrap type="none"/>
            </v:shape>
            <v:shape style="position:absolute;left:5257;top:8;width:1219;height:1529" type="#_x0000_t202" filled="false" stroked="false">
              <v:textbox inset="0,0,0,0">
                <w:txbxContent>
                  <w:p>
                    <w:pPr>
                      <w:spacing w:line="259" w:lineRule="auto" w:before="0"/>
                      <w:ind w:left="0" w:right="21" w:firstLine="38"/>
                      <w:jc w:val="left"/>
                      <w:rPr>
                        <w:rFonts w:ascii="Times New Roman"/>
                        <w:i/>
                        <w:sz w:val="21"/>
                      </w:rPr>
                    </w:pPr>
                    <w:r>
                      <w:rPr>
                        <w:rFonts w:ascii="Times New Roman"/>
                        <w:i/>
                        <w:spacing w:val="-3"/>
                        <w:sz w:val="21"/>
                      </w:rPr>
                      <w:t>WASUM_X </w:t>
                    </w:r>
                    <w:r>
                      <w:rPr>
                        <w:rFonts w:ascii="Times New Roman"/>
                        <w:i/>
                        <w:sz w:val="21"/>
                      </w:rPr>
                      <w:t>WBSUM_X WCSUM_X </w:t>
                    </w:r>
                    <w:r>
                      <w:rPr>
                        <w:rFonts w:ascii="Times New Roman"/>
                        <w:i/>
                        <w:color w:val="3333CC"/>
                        <w:sz w:val="21"/>
                      </w:rPr>
                      <w:t>VARASUM_X</w:t>
                    </w:r>
                  </w:p>
                  <w:p>
                    <w:pPr>
                      <w:spacing w:line="232" w:lineRule="auto" w:before="16"/>
                      <w:ind w:left="14" w:right="4" w:hanging="1"/>
                      <w:jc w:val="left"/>
                      <w:rPr>
                        <w:rFonts w:ascii="Times New Roman"/>
                        <w:i/>
                        <w:sz w:val="21"/>
                      </w:rPr>
                    </w:pPr>
                    <w:r>
                      <w:rPr>
                        <w:rFonts w:ascii="Times New Roman"/>
                        <w:i/>
                        <w:color w:val="3333CC"/>
                        <w:sz w:val="21"/>
                      </w:rPr>
                      <w:t>VARBSUM_X </w:t>
                    </w:r>
                    <w:r>
                      <w:rPr>
                        <w:rFonts w:ascii="Times New Roman"/>
                        <w:i/>
                        <w:color w:val="3333CC"/>
                        <w:spacing w:val="-1"/>
                        <w:sz w:val="21"/>
                      </w:rPr>
                      <w:t>VARCSUM_X</w:t>
                    </w:r>
                  </w:p>
                </w:txbxContent>
              </v:textbox>
              <w10:wrap type="none"/>
            </v:shape>
            <v:shape style="position:absolute;left:7369;top:208;width:489;height:236" type="#_x0000_t202" filled="false" stroked="false">
              <v:textbox inset="0,0,0,0">
                <w:txbxContent>
                  <w:p>
                    <w:pPr>
                      <w:spacing w:line="235" w:lineRule="exact" w:before="0"/>
                      <w:ind w:left="0" w:right="0" w:firstLine="0"/>
                      <w:jc w:val="left"/>
                      <w:rPr>
                        <w:sz w:val="21"/>
                      </w:rPr>
                    </w:pPr>
                    <w:r>
                      <w:rPr>
                        <w:sz w:val="21"/>
                      </w:rPr>
                      <w:t>MPU</w:t>
                    </w:r>
                  </w:p>
                </w:txbxContent>
              </v:textbox>
              <w10:wrap type="none"/>
            </v:shape>
            <v:shape style="position:absolute;left:4127;top:1477;width:151;height:236" type="#_x0000_t202" filled="false" stroked="false">
              <v:textbox inset="0,0,0,0">
                <w:txbxContent>
                  <w:p>
                    <w:pPr>
                      <w:spacing w:line="235" w:lineRule="exact" w:before="0"/>
                      <w:ind w:left="0" w:right="0" w:firstLine="0"/>
                      <w:jc w:val="left"/>
                      <w:rPr>
                        <w:sz w:val="21"/>
                      </w:rPr>
                    </w:pPr>
                    <w:r>
                      <w:rPr>
                        <w:w w:val="100"/>
                        <w:sz w:val="21"/>
                      </w:rPr>
                      <w:t>Σ</w:t>
                    </w:r>
                  </w:p>
                </w:txbxContent>
              </v:textbox>
              <w10:wrap type="none"/>
            </v:shape>
            <v:shape style="position:absolute;left:866;top:2574;width:438;height:2127" type="#_x0000_t202" filled="false" stroked="false">
              <v:textbox inset="0,0,0,0">
                <w:txbxContent>
                  <w:p>
                    <w:pPr>
                      <w:spacing w:line="249" w:lineRule="auto" w:before="0"/>
                      <w:ind w:left="0" w:right="118" w:firstLine="70"/>
                      <w:jc w:val="both"/>
                      <w:rPr>
                        <w:sz w:val="21"/>
                      </w:rPr>
                    </w:pPr>
                    <w:r>
                      <w:rPr>
                        <w:color w:val="33CC33"/>
                        <w:sz w:val="21"/>
                      </w:rPr>
                      <w:t>IA IB IC VA VB VC ID</w:t>
                    </w:r>
                  </w:p>
                  <w:p>
                    <w:pPr>
                      <w:spacing w:before="127"/>
                      <w:ind w:left="165" w:right="0" w:firstLine="0"/>
                      <w:jc w:val="left"/>
                      <w:rPr>
                        <w:sz w:val="21"/>
                      </w:rPr>
                    </w:pPr>
                    <w:r>
                      <w:rPr>
                        <w:sz w:val="21"/>
                      </w:rPr>
                      <w:t>F0</w:t>
                    </w:r>
                  </w:p>
                </w:txbxContent>
              </v:textbox>
              <w10:wrap type="none"/>
            </v:shape>
            <v:shape style="position:absolute;left:1871;top:2485;width:905;height:236" type="#_x0000_t202" filled="false" stroked="false">
              <v:textbox inset="0,0,0,0">
                <w:txbxContent>
                  <w:p>
                    <w:pPr>
                      <w:spacing w:line="235" w:lineRule="exact" w:before="0"/>
                      <w:ind w:left="0" w:right="0" w:firstLine="0"/>
                      <w:jc w:val="left"/>
                      <w:rPr>
                        <w:sz w:val="21"/>
                      </w:rPr>
                    </w:pPr>
                    <w:r>
                      <w:rPr>
                        <w:sz w:val="21"/>
                      </w:rPr>
                      <w:t>SQUARE</w:t>
                    </w:r>
                  </w:p>
                </w:txbxContent>
              </v:textbox>
              <w10:wrap type="none"/>
            </v:shape>
            <v:shape style="position:absolute;left:2185;top:3222;width:239;height:728" type="#_x0000_t202" filled="false" stroked="false">
              <v:textbox inset="0,0,0,0">
                <w:txbxContent>
                  <w:p>
                    <w:pPr>
                      <w:spacing w:line="233" w:lineRule="exact" w:before="0"/>
                      <w:ind w:left="35" w:right="0" w:firstLine="0"/>
                      <w:jc w:val="left"/>
                      <w:rPr>
                        <w:sz w:val="14"/>
                      </w:rPr>
                    </w:pPr>
                    <w:r>
                      <w:rPr>
                        <w:position w:val="-4"/>
                        <w:sz w:val="21"/>
                      </w:rPr>
                      <w:t>I</w:t>
                    </w:r>
                    <w:r>
                      <w:rPr>
                        <w:sz w:val="14"/>
                      </w:rPr>
                      <w:t>2</w:t>
                    </w:r>
                  </w:p>
                  <w:p>
                    <w:pPr>
                      <w:spacing w:line="240" w:lineRule="auto" w:before="9"/>
                      <w:rPr>
                        <w:sz w:val="21"/>
                      </w:rPr>
                    </w:pPr>
                  </w:p>
                  <w:p>
                    <w:pPr>
                      <w:spacing w:before="0"/>
                      <w:ind w:left="0" w:right="0" w:firstLine="0"/>
                      <w:jc w:val="left"/>
                      <w:rPr>
                        <w:sz w:val="14"/>
                      </w:rPr>
                    </w:pPr>
                    <w:r>
                      <w:rPr>
                        <w:position w:val="-4"/>
                        <w:sz w:val="21"/>
                      </w:rPr>
                      <w:t>V</w:t>
                    </w:r>
                    <w:r>
                      <w:rPr>
                        <w:sz w:val="14"/>
                      </w:rPr>
                      <w:t>2</w:t>
                    </w:r>
                  </w:p>
                </w:txbxContent>
              </v:textbox>
              <w10:wrap type="none"/>
            </v:shape>
            <v:shape style="position:absolute;left:2938;top:2404;width:637;height:1850" type="#_x0000_t202" filled="false" stroked="false">
              <v:textbox inset="0,0,0,0">
                <w:txbxContent>
                  <w:p>
                    <w:pPr>
                      <w:spacing w:line="266" w:lineRule="auto" w:before="0"/>
                      <w:ind w:left="21" w:right="44" w:firstLine="14"/>
                      <w:jc w:val="both"/>
                      <w:rPr>
                        <w:sz w:val="21"/>
                      </w:rPr>
                    </w:pPr>
                    <w:r>
                      <w:rPr>
                        <w:color w:val="33CC33"/>
                        <w:sz w:val="21"/>
                      </w:rPr>
                      <w:t>IASQ IBSQ ICSQ </w:t>
                    </w:r>
                    <w:r>
                      <w:rPr>
                        <w:color w:val="33CC33"/>
                        <w:spacing w:val="-5"/>
                        <w:sz w:val="21"/>
                        <w:u w:val="thick" w:color="33CC33"/>
                      </w:rPr>
                      <w:t>VASQ</w:t>
                    </w:r>
                  </w:p>
                  <w:p>
                    <w:pPr>
                      <w:spacing w:line="209" w:lineRule="exact" w:before="0"/>
                      <w:ind w:left="21" w:right="0" w:firstLine="0"/>
                      <w:jc w:val="left"/>
                      <w:rPr>
                        <w:sz w:val="21"/>
                      </w:rPr>
                    </w:pPr>
                    <w:r>
                      <w:rPr>
                        <w:color w:val="33CC33"/>
                        <w:sz w:val="21"/>
                        <w:u w:val="thick" w:color="33CC33"/>
                      </w:rPr>
                      <w:t>VBSQ</w:t>
                    </w:r>
                  </w:p>
                  <w:p>
                    <w:pPr>
                      <w:spacing w:before="9"/>
                      <w:ind w:left="21" w:right="0" w:firstLine="0"/>
                      <w:jc w:val="left"/>
                      <w:rPr>
                        <w:sz w:val="21"/>
                      </w:rPr>
                    </w:pPr>
                    <w:r>
                      <w:rPr>
                        <w:color w:val="33CC33"/>
                        <w:sz w:val="21"/>
                        <w:u w:val="thick" w:color="33CC33"/>
                      </w:rPr>
                      <w:t>VCSQ</w:t>
                    </w:r>
                  </w:p>
                  <w:p>
                    <w:pPr>
                      <w:spacing w:before="76"/>
                      <w:ind w:left="0" w:right="0" w:firstLine="0"/>
                      <w:jc w:val="left"/>
                      <w:rPr>
                        <w:sz w:val="21"/>
                      </w:rPr>
                    </w:pPr>
                    <w:r>
                      <w:rPr>
                        <w:color w:val="33CC33"/>
                        <w:sz w:val="21"/>
                      </w:rPr>
                      <w:t>IDSQ</w:t>
                    </w:r>
                  </w:p>
                </w:txbxContent>
              </v:textbox>
              <w10:wrap type="none"/>
            </v:shape>
            <v:shape style="position:absolute;left:4115;top:3911;width:151;height:236" type="#_x0000_t202" filled="false" stroked="false">
              <v:textbox inset="0,0,0,0">
                <w:txbxContent>
                  <w:p>
                    <w:pPr>
                      <w:spacing w:line="235" w:lineRule="exact" w:before="0"/>
                      <w:ind w:left="0" w:right="0" w:firstLine="0"/>
                      <w:jc w:val="left"/>
                      <w:rPr>
                        <w:sz w:val="21"/>
                      </w:rPr>
                    </w:pPr>
                    <w:r>
                      <w:rPr>
                        <w:w w:val="100"/>
                        <w:sz w:val="21"/>
                      </w:rPr>
                      <w:t>Σ</w:t>
                    </w:r>
                  </w:p>
                </w:txbxContent>
              </v:textbox>
              <w10:wrap type="none"/>
            </v:shape>
            <v:shape style="position:absolute;left:4943;top:2128;width:1892;height:2450" type="#_x0000_t202" filled="false" stroked="false">
              <v:textbox inset="0,0,0,0">
                <w:txbxContent>
                  <w:p>
                    <w:pPr>
                      <w:spacing w:line="273" w:lineRule="auto" w:before="0"/>
                      <w:ind w:left="313" w:right="-6" w:hanging="314"/>
                      <w:jc w:val="left"/>
                      <w:rPr>
                        <w:rFonts w:ascii="Times New Roman"/>
                        <w:i/>
                        <w:sz w:val="21"/>
                      </w:rPr>
                    </w:pPr>
                    <w:r>
                      <w:rPr>
                        <w:rFonts w:ascii="Times New Roman"/>
                        <w:i/>
                        <w:sz w:val="21"/>
                      </w:rPr>
                      <w:t>SUM_SAMPS </w:t>
                    </w:r>
                    <w:r>
                      <w:rPr>
                        <w:sz w:val="21"/>
                      </w:rPr>
                      <w:t>= 2184 </w:t>
                    </w:r>
                    <w:r>
                      <w:rPr>
                        <w:rFonts w:ascii="Times New Roman"/>
                        <w:i/>
                        <w:color w:val="33CC33"/>
                        <w:sz w:val="21"/>
                      </w:rPr>
                      <w:t>IASQSUM_X </w:t>
                    </w:r>
                    <w:r>
                      <w:rPr>
                        <w:rFonts w:ascii="Times New Roman"/>
                        <w:i/>
                        <w:color w:val="33CC33"/>
                        <w:sz w:val="21"/>
                      </w:rPr>
                      <w:t>IBSQSUM_X ICSQSUM_X</w:t>
                    </w:r>
                  </w:p>
                  <w:p>
                    <w:pPr>
                      <w:spacing w:line="232" w:lineRule="auto" w:before="0"/>
                      <w:ind w:left="330" w:right="363" w:firstLine="0"/>
                      <w:jc w:val="left"/>
                      <w:rPr>
                        <w:rFonts w:ascii="Times New Roman"/>
                        <w:i/>
                        <w:sz w:val="21"/>
                      </w:rPr>
                    </w:pPr>
                    <w:r>
                      <w:rPr>
                        <w:rFonts w:ascii="Times New Roman"/>
                        <w:i/>
                        <w:color w:val="33CC33"/>
                        <w:sz w:val="21"/>
                      </w:rPr>
                      <w:t>VASQSUM_X </w:t>
                    </w:r>
                    <w:r>
                      <w:rPr>
                        <w:rFonts w:ascii="Times New Roman"/>
                        <w:i/>
                        <w:color w:val="33CC33"/>
                        <w:sz w:val="21"/>
                      </w:rPr>
                      <w:t>VBSQSUM_X</w:t>
                    </w:r>
                  </w:p>
                  <w:p>
                    <w:pPr>
                      <w:spacing w:line="292" w:lineRule="auto" w:before="0"/>
                      <w:ind w:left="330" w:right="353" w:hanging="1"/>
                      <w:jc w:val="left"/>
                      <w:rPr>
                        <w:rFonts w:ascii="Times New Roman"/>
                        <w:i/>
                        <w:sz w:val="21"/>
                      </w:rPr>
                    </w:pPr>
                    <w:r>
                      <w:rPr>
                        <w:rFonts w:ascii="Times New Roman"/>
                        <w:i/>
                        <w:color w:val="33CC33"/>
                        <w:sz w:val="21"/>
                      </w:rPr>
                      <w:t>VCSQSUM_X </w:t>
                    </w:r>
                    <w:r>
                      <w:rPr>
                        <w:rFonts w:ascii="Times New Roman"/>
                        <w:i/>
                        <w:color w:val="33CC33"/>
                        <w:sz w:val="21"/>
                      </w:rPr>
                      <w:t>IDSQSUM_X</w:t>
                    </w:r>
                  </w:p>
                  <w:p>
                    <w:pPr>
                      <w:spacing w:before="48"/>
                      <w:ind w:left="585" w:right="0" w:firstLine="0"/>
                      <w:jc w:val="left"/>
                      <w:rPr>
                        <w:rFonts w:ascii="Times New Roman"/>
                        <w:i/>
                        <w:sz w:val="21"/>
                      </w:rPr>
                    </w:pPr>
                    <w:r>
                      <w:rPr>
                        <w:rFonts w:ascii="Times New Roman"/>
                        <w:i/>
                        <w:sz w:val="21"/>
                      </w:rPr>
                      <w:t>F0</w:t>
                    </w:r>
                  </w:p>
                </w:txbxContent>
              </v:textbox>
              <w10:wrap type="none"/>
            </v:shape>
            <v:shape style="position:absolute;left:3945;top:2676;width:493;height:422" type="#_x0000_t202" filled="true" fillcolor="#ebebeb" stroked="true" strokeweight=".87874pt" strokecolor="#000000">
              <v:textbox inset="0,0,0,0">
                <w:txbxContent>
                  <w:p>
                    <w:pPr>
                      <w:spacing w:before="84"/>
                      <w:ind w:left="0" w:right="1" w:firstLine="0"/>
                      <w:jc w:val="center"/>
                      <w:rPr>
                        <w:sz w:val="21"/>
                      </w:rPr>
                    </w:pPr>
                    <w:r>
                      <w:rPr>
                        <w:w w:val="100"/>
                        <w:sz w:val="21"/>
                      </w:rPr>
                      <w:t>Σ</w:t>
                    </w:r>
                  </w:p>
                </w:txbxContent>
              </v:textbox>
              <v:fill type="solid"/>
              <v:stroke dashstyle="solid"/>
              <w10:wrap type="none"/>
            </v:shape>
          </v:group>
        </w:pict>
      </w:r>
      <w:r>
        <w:rPr/>
      </w:r>
    </w:p>
    <w:p>
      <w:pPr>
        <w:spacing w:before="101"/>
        <w:ind w:left="776" w:right="797" w:firstLine="0"/>
        <w:jc w:val="center"/>
        <w:rPr>
          <w:b/>
          <w:sz w:val="20"/>
        </w:rPr>
      </w:pPr>
      <w:r>
        <w:rPr/>
        <w:pict>
          <v:shape style="position:absolute;margin-left:301.987823pt;margin-top:-120.90374pt;width:40.25pt;height:72.7pt;mso-position-horizontal-relative:page;mso-position-vertical-relative:paragraph;z-index:-38722560" type="#_x0000_t202" filled="false" stroked="false">
            <v:textbox inset="0,0,0,0">
              <w:txbxContent>
                <w:p>
                  <w:pPr>
                    <w:spacing w:line="235" w:lineRule="exact" w:before="0"/>
                    <w:ind w:left="0" w:right="0" w:firstLine="0"/>
                    <w:jc w:val="left"/>
                    <w:rPr>
                      <w:sz w:val="21"/>
                    </w:rPr>
                  </w:pPr>
                  <w:r>
                    <w:rPr>
                      <w:sz w:val="21"/>
                    </w:rPr>
                    <w:t>SUM</w:t>
                  </w:r>
                </w:p>
                <w:p>
                  <w:pPr>
                    <w:pStyle w:val="BodyText"/>
                    <w:rPr>
                      <w:sz w:val="24"/>
                    </w:rPr>
                  </w:pPr>
                </w:p>
                <w:p>
                  <w:pPr>
                    <w:pStyle w:val="BodyText"/>
                    <w:rPr>
                      <w:sz w:val="24"/>
                    </w:rPr>
                  </w:pPr>
                </w:p>
                <w:p>
                  <w:pPr>
                    <w:spacing w:before="154"/>
                    <w:ind w:left="0" w:right="0" w:firstLine="0"/>
                    <w:jc w:val="right"/>
                    <w:rPr>
                      <w:rFonts w:ascii="Times New Roman"/>
                      <w:i/>
                      <w:sz w:val="28"/>
                    </w:rPr>
                  </w:pPr>
                  <w:r>
                    <w:rPr>
                      <w:rFonts w:ascii="Times New Roman"/>
                      <w:i/>
                      <w:w w:val="113"/>
                      <w:sz w:val="28"/>
                    </w:rPr>
                    <w:t>v</w:t>
                  </w:r>
                </w:p>
              </w:txbxContent>
            </v:textbox>
            <w10:wrap type="none"/>
          </v:shape>
        </w:pict>
      </w:r>
      <w:bookmarkStart w:name="_bookmark242" w:id="497"/>
      <w:bookmarkEnd w:id="497"/>
      <w:r>
        <w:rPr/>
      </w:r>
      <w:r>
        <w:rPr>
          <w:b/>
          <w:sz w:val="20"/>
        </w:rPr>
        <w:t>Figure 40: CE Data Flow: Squaring and Summation Stages</w:t>
      </w:r>
    </w:p>
    <w:p>
      <w:pPr>
        <w:spacing w:after="0"/>
        <w:jc w:val="center"/>
        <w:rPr>
          <w:sz w:val="20"/>
        </w:rPr>
        <w:sectPr>
          <w:pgSz w:w="12240" w:h="15840"/>
          <w:pgMar w:header="727" w:footer="819" w:top="1160" w:bottom="1000" w:left="960" w:right="940"/>
        </w:sectPr>
      </w:pPr>
    </w:p>
    <w:p>
      <w:pPr>
        <w:pStyle w:val="ListParagraph"/>
        <w:numPr>
          <w:ilvl w:val="0"/>
          <w:numId w:val="22"/>
        </w:numPr>
        <w:tabs>
          <w:tab w:pos="1199" w:val="left" w:leader="none"/>
          <w:tab w:pos="1200" w:val="left" w:leader="none"/>
        </w:tabs>
        <w:spacing w:line="240" w:lineRule="auto" w:before="89" w:after="0"/>
        <w:ind w:left="1199" w:right="0" w:hanging="720"/>
        <w:jc w:val="left"/>
        <w:rPr>
          <w:b/>
          <w:sz w:val="28"/>
        </w:rPr>
      </w:pPr>
      <w:bookmarkStart w:name="6 71M6543 Specifications" w:id="498"/>
      <w:bookmarkEnd w:id="498"/>
      <w:r>
        <w:rPr/>
      </w:r>
      <w:bookmarkStart w:name="_bookmark243" w:id="499"/>
      <w:bookmarkEnd w:id="499"/>
      <w:r>
        <w:rPr/>
      </w:r>
      <w:bookmarkStart w:name="_bookmark243" w:id="500"/>
      <w:bookmarkEnd w:id="500"/>
      <w:r>
        <w:rPr>
          <w:b/>
          <w:sz w:val="28"/>
        </w:rPr>
        <w:t>7</w:t>
      </w:r>
      <w:r>
        <w:rPr>
          <w:b/>
          <w:sz w:val="28"/>
        </w:rPr>
        <w:t>1M6543</w:t>
      </w:r>
      <w:r>
        <w:rPr>
          <w:b/>
          <w:spacing w:val="-3"/>
          <w:sz w:val="28"/>
        </w:rPr>
        <w:t> </w:t>
      </w:r>
      <w:r>
        <w:rPr>
          <w:b/>
          <w:sz w:val="28"/>
        </w:rPr>
        <w:t>Specifications</w:t>
      </w:r>
    </w:p>
    <w:p>
      <w:pPr>
        <w:pStyle w:val="BodyText"/>
        <w:spacing w:before="120"/>
        <w:ind w:left="480" w:right="491"/>
      </w:pPr>
      <w:r>
        <w:rPr/>
        <w:t>This section provides the electrical specifications for the 71M6543. Please refer to the 71M6xxx Data Sheet for the 71M6xx3 electrical specifications, pin-out and package mechanical data.</w:t>
      </w:r>
    </w:p>
    <w:p>
      <w:pPr>
        <w:pStyle w:val="ListParagraph"/>
        <w:numPr>
          <w:ilvl w:val="1"/>
          <w:numId w:val="22"/>
        </w:numPr>
        <w:tabs>
          <w:tab w:pos="1199" w:val="left" w:leader="none"/>
          <w:tab w:pos="1200" w:val="left" w:leader="none"/>
        </w:tabs>
        <w:spacing w:line="240" w:lineRule="auto" w:before="120" w:after="0"/>
        <w:ind w:left="1200" w:right="0" w:hanging="720"/>
        <w:jc w:val="left"/>
        <w:rPr>
          <w:b/>
          <w:sz w:val="24"/>
        </w:rPr>
      </w:pPr>
      <w:bookmarkStart w:name="6.1 Absolute Maximum Ratings" w:id="501"/>
      <w:bookmarkEnd w:id="501"/>
      <w:r>
        <w:rPr/>
      </w:r>
      <w:bookmarkStart w:name="_bookmark244" w:id="502"/>
      <w:bookmarkEnd w:id="502"/>
      <w:r>
        <w:rPr/>
      </w:r>
      <w:bookmarkStart w:name="_bookmark244" w:id="503"/>
      <w:bookmarkEnd w:id="503"/>
      <w:r>
        <w:rPr>
          <w:b/>
          <w:sz w:val="24"/>
        </w:rPr>
        <w:t>A</w:t>
      </w:r>
      <w:r>
        <w:rPr>
          <w:b/>
          <w:sz w:val="24"/>
        </w:rPr>
        <w:t>bsolute Maximum Ratings</w:t>
      </w:r>
    </w:p>
    <w:p>
      <w:pPr>
        <w:pStyle w:val="BodyText"/>
        <w:spacing w:before="121"/>
        <w:ind w:left="479" w:right="468"/>
      </w:pPr>
      <w:hyperlink w:history="true" w:anchor="_bookmark245">
        <w:r>
          <w:rPr>
            <w:color w:val="0000FF"/>
          </w:rPr>
          <w:t>Table 86 </w:t>
        </w:r>
      </w:hyperlink>
      <w:r>
        <w:rPr/>
        <w:t>shows the absolute maximum </w:t>
      </w:r>
      <w:r>
        <w:rPr>
          <w:spacing w:val="-3"/>
        </w:rPr>
        <w:t>ratings </w:t>
      </w:r>
      <w:r>
        <w:rPr/>
        <w:t>for the device. </w:t>
      </w:r>
      <w:r>
        <w:rPr>
          <w:spacing w:val="-3"/>
        </w:rPr>
        <w:t>Stresses </w:t>
      </w:r>
      <w:r>
        <w:rPr/>
        <w:t>beyond </w:t>
      </w:r>
      <w:r>
        <w:rPr>
          <w:spacing w:val="-3"/>
        </w:rPr>
        <w:t>Absolute </w:t>
      </w:r>
      <w:r>
        <w:rPr/>
        <w:t>Maximum </w:t>
      </w:r>
      <w:r>
        <w:rPr>
          <w:spacing w:val="-3"/>
        </w:rPr>
        <w:t>Ratings </w:t>
      </w:r>
      <w:r>
        <w:rPr/>
        <w:t>may cause permanent damage to the device. These are stress ratings only and functional operation at these or any other conditions beyond those indicated under recommended operating conditions (See </w:t>
      </w:r>
      <w:hyperlink w:history="true" w:anchor="_bookmark248">
        <w:r>
          <w:rPr>
            <w:color w:val="0000FF"/>
          </w:rPr>
          <w:t>6.3</w:t>
        </w:r>
      </w:hyperlink>
      <w:r>
        <w:rPr/>
        <w:t>) is not implied. Exposure to absolute-maximum-rated conditions for extended periods may affect device reliability. All voltages are with respect to GNDA.</w:t>
      </w:r>
    </w:p>
    <w:p>
      <w:pPr>
        <w:pStyle w:val="Heading1"/>
        <w:spacing w:before="118"/>
        <w:ind w:left="773" w:right="797"/>
      </w:pPr>
      <w:bookmarkStart w:name="_bookmark245" w:id="504"/>
      <w:bookmarkEnd w:id="504"/>
      <w:r>
        <w:rPr>
          <w:b w:val="0"/>
        </w:rPr>
      </w:r>
      <w:r>
        <w:rPr/>
        <w:t>Table 86: Absolute Maximum Ratings</w:t>
      </w:r>
    </w:p>
    <w:p>
      <w:pPr>
        <w:pStyle w:val="BodyText"/>
        <w:spacing w:before="7"/>
        <w:rPr>
          <w:b/>
          <w:sz w:val="5"/>
        </w:rPr>
      </w:pPr>
    </w:p>
    <w:tbl>
      <w:tblPr>
        <w:tblW w:w="0" w:type="auto"/>
        <w:jc w:val="left"/>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931"/>
        <w:gridCol w:w="2429"/>
      </w:tblGrid>
      <w:tr>
        <w:trPr>
          <w:trHeight w:val="308" w:hRule="atLeast"/>
        </w:trPr>
        <w:tc>
          <w:tcPr>
            <w:tcW w:w="9360" w:type="dxa"/>
            <w:gridSpan w:val="2"/>
          </w:tcPr>
          <w:p>
            <w:pPr>
              <w:pStyle w:val="TableParagraph"/>
              <w:spacing w:before="35"/>
              <w:ind w:left="3702" w:right="3685"/>
              <w:jc w:val="center"/>
              <w:rPr>
                <w:b/>
                <w:sz w:val="20"/>
              </w:rPr>
            </w:pPr>
            <w:r>
              <w:rPr>
                <w:b/>
                <w:sz w:val="20"/>
              </w:rPr>
              <w:t>Voltage and Current</w:t>
            </w:r>
          </w:p>
        </w:tc>
      </w:tr>
      <w:tr>
        <w:trPr>
          <w:trHeight w:val="270" w:hRule="atLeast"/>
        </w:trPr>
        <w:tc>
          <w:tcPr>
            <w:tcW w:w="9360" w:type="dxa"/>
            <w:gridSpan w:val="2"/>
          </w:tcPr>
          <w:p>
            <w:pPr>
              <w:pStyle w:val="TableParagraph"/>
              <w:spacing w:before="16"/>
              <w:ind w:left="107"/>
              <w:rPr>
                <w:b/>
                <w:sz w:val="20"/>
              </w:rPr>
            </w:pPr>
            <w:r>
              <w:rPr>
                <w:b/>
                <w:sz w:val="20"/>
              </w:rPr>
              <w:t>Supplies and Ground Pins</w:t>
            </w:r>
          </w:p>
        </w:tc>
      </w:tr>
      <w:tr>
        <w:trPr>
          <w:trHeight w:val="284" w:hRule="atLeast"/>
        </w:trPr>
        <w:tc>
          <w:tcPr>
            <w:tcW w:w="6931" w:type="dxa"/>
          </w:tcPr>
          <w:p>
            <w:pPr>
              <w:pStyle w:val="TableParagraph"/>
              <w:spacing w:before="25"/>
              <w:ind w:left="162"/>
              <w:rPr>
                <w:sz w:val="20"/>
              </w:rPr>
            </w:pPr>
            <w:r>
              <w:rPr>
                <w:sz w:val="20"/>
              </w:rPr>
              <w:t>V3P3SYS, V3P3A</w:t>
            </w:r>
          </w:p>
        </w:tc>
        <w:tc>
          <w:tcPr>
            <w:tcW w:w="2429" w:type="dxa"/>
          </w:tcPr>
          <w:p>
            <w:pPr>
              <w:pStyle w:val="TableParagraph"/>
              <w:spacing w:before="19"/>
              <w:ind w:left="105"/>
              <w:rPr>
                <w:sz w:val="20"/>
              </w:rPr>
            </w:pPr>
            <w:r>
              <w:rPr>
                <w:rFonts w:ascii="Symbol" w:hAnsi="Symbol"/>
                <w:sz w:val="20"/>
              </w:rPr>
              <w:t></w:t>
            </w:r>
            <w:r>
              <w:rPr>
                <w:sz w:val="20"/>
              </w:rPr>
              <w:t>0.5 V to +4.6 V</w:t>
            </w:r>
          </w:p>
        </w:tc>
      </w:tr>
      <w:tr>
        <w:trPr>
          <w:trHeight w:val="270" w:hRule="atLeast"/>
        </w:trPr>
        <w:tc>
          <w:tcPr>
            <w:tcW w:w="6931" w:type="dxa"/>
          </w:tcPr>
          <w:p>
            <w:pPr>
              <w:pStyle w:val="TableParagraph"/>
              <w:spacing w:before="18"/>
              <w:ind w:left="162"/>
              <w:rPr>
                <w:sz w:val="20"/>
              </w:rPr>
            </w:pPr>
            <w:r>
              <w:rPr>
                <w:sz w:val="20"/>
              </w:rPr>
              <w:t>VBAT, VBAT_RTC</w:t>
            </w:r>
          </w:p>
        </w:tc>
        <w:tc>
          <w:tcPr>
            <w:tcW w:w="2429" w:type="dxa"/>
          </w:tcPr>
          <w:p>
            <w:pPr>
              <w:pStyle w:val="TableParagraph"/>
              <w:spacing w:before="18"/>
              <w:ind w:left="105"/>
              <w:rPr>
                <w:sz w:val="20"/>
              </w:rPr>
            </w:pPr>
            <w:r>
              <w:rPr>
                <w:sz w:val="20"/>
              </w:rPr>
              <w:t>-0.5 V to +4.6 V</w:t>
            </w:r>
          </w:p>
        </w:tc>
      </w:tr>
      <w:tr>
        <w:trPr>
          <w:trHeight w:val="270" w:hRule="atLeast"/>
        </w:trPr>
        <w:tc>
          <w:tcPr>
            <w:tcW w:w="6931" w:type="dxa"/>
          </w:tcPr>
          <w:p>
            <w:pPr>
              <w:pStyle w:val="TableParagraph"/>
              <w:spacing w:before="18"/>
              <w:ind w:left="162"/>
              <w:rPr>
                <w:sz w:val="20"/>
              </w:rPr>
            </w:pPr>
            <w:r>
              <w:rPr>
                <w:sz w:val="20"/>
              </w:rPr>
              <w:t>GNDD</w:t>
            </w:r>
          </w:p>
        </w:tc>
        <w:tc>
          <w:tcPr>
            <w:tcW w:w="2429" w:type="dxa"/>
          </w:tcPr>
          <w:p>
            <w:pPr>
              <w:pStyle w:val="TableParagraph"/>
              <w:spacing w:before="18"/>
              <w:ind w:left="105"/>
              <w:rPr>
                <w:sz w:val="20"/>
              </w:rPr>
            </w:pPr>
            <w:r>
              <w:rPr>
                <w:sz w:val="20"/>
              </w:rPr>
              <w:t>-0.1 V to +0.1 V</w:t>
            </w:r>
          </w:p>
        </w:tc>
      </w:tr>
      <w:tr>
        <w:trPr>
          <w:trHeight w:val="270" w:hRule="atLeast"/>
        </w:trPr>
        <w:tc>
          <w:tcPr>
            <w:tcW w:w="9360" w:type="dxa"/>
            <w:gridSpan w:val="2"/>
          </w:tcPr>
          <w:p>
            <w:pPr>
              <w:pStyle w:val="TableParagraph"/>
              <w:spacing w:before="16"/>
              <w:ind w:left="107"/>
              <w:rPr>
                <w:b/>
                <w:sz w:val="20"/>
              </w:rPr>
            </w:pPr>
            <w:r>
              <w:rPr>
                <w:b/>
                <w:sz w:val="20"/>
              </w:rPr>
              <w:t>Analog Output Pins</w:t>
            </w:r>
          </w:p>
        </w:tc>
      </w:tr>
      <w:tr>
        <w:trPr>
          <w:trHeight w:val="498" w:hRule="atLeast"/>
        </w:trPr>
        <w:tc>
          <w:tcPr>
            <w:tcW w:w="6931" w:type="dxa"/>
          </w:tcPr>
          <w:p>
            <w:pPr>
              <w:pStyle w:val="TableParagraph"/>
              <w:spacing w:before="133"/>
              <w:ind w:left="162"/>
              <w:rPr>
                <w:sz w:val="20"/>
              </w:rPr>
            </w:pPr>
            <w:r>
              <w:rPr>
                <w:sz w:val="20"/>
              </w:rPr>
              <w:t>VREF</w:t>
            </w:r>
          </w:p>
        </w:tc>
        <w:tc>
          <w:tcPr>
            <w:tcW w:w="2429" w:type="dxa"/>
          </w:tcPr>
          <w:p>
            <w:pPr>
              <w:pStyle w:val="TableParagraph"/>
              <w:spacing w:before="18"/>
              <w:ind w:left="105"/>
              <w:rPr>
                <w:sz w:val="20"/>
              </w:rPr>
            </w:pPr>
            <w:r>
              <w:rPr>
                <w:sz w:val="20"/>
              </w:rPr>
              <w:t>-10 mA to +10 mA,</w:t>
            </w:r>
          </w:p>
          <w:p>
            <w:pPr>
              <w:pStyle w:val="TableParagraph"/>
              <w:spacing w:line="230" w:lineRule="exact" w:before="1"/>
              <w:ind w:left="105"/>
              <w:rPr>
                <w:sz w:val="20"/>
              </w:rPr>
            </w:pPr>
            <w:r>
              <w:rPr>
                <w:sz w:val="20"/>
              </w:rPr>
              <w:t>-0.5 V to V3P3A+0.5 V</w:t>
            </w:r>
          </w:p>
        </w:tc>
      </w:tr>
      <w:tr>
        <w:trPr>
          <w:trHeight w:val="522" w:hRule="atLeast"/>
        </w:trPr>
        <w:tc>
          <w:tcPr>
            <w:tcW w:w="6931" w:type="dxa"/>
          </w:tcPr>
          <w:p>
            <w:pPr>
              <w:pStyle w:val="TableParagraph"/>
              <w:spacing w:before="145"/>
              <w:ind w:left="162"/>
              <w:rPr>
                <w:sz w:val="20"/>
              </w:rPr>
            </w:pPr>
            <w:r>
              <w:rPr>
                <w:sz w:val="20"/>
              </w:rPr>
              <w:t>VDD</w:t>
            </w:r>
          </w:p>
        </w:tc>
        <w:tc>
          <w:tcPr>
            <w:tcW w:w="2429" w:type="dxa"/>
          </w:tcPr>
          <w:p>
            <w:pPr>
              <w:pStyle w:val="TableParagraph"/>
              <w:spacing w:before="11"/>
              <w:ind w:left="105"/>
              <w:rPr>
                <w:rFonts w:ascii="Trebuchet MS"/>
                <w:sz w:val="20"/>
              </w:rPr>
            </w:pPr>
            <w:r>
              <w:rPr>
                <w:rFonts w:ascii="Trebuchet MS"/>
                <w:sz w:val="20"/>
              </w:rPr>
              <w:t>-10 mA to +10 mA,</w:t>
            </w:r>
          </w:p>
          <w:p>
            <w:pPr>
              <w:pStyle w:val="TableParagraph"/>
              <w:spacing w:line="230" w:lineRule="exact" w:before="29"/>
              <w:ind w:left="105"/>
              <w:rPr>
                <w:sz w:val="20"/>
              </w:rPr>
            </w:pPr>
            <w:r>
              <w:rPr>
                <w:sz w:val="20"/>
              </w:rPr>
              <w:t>-0.5 to +3.0 V</w:t>
            </w:r>
          </w:p>
        </w:tc>
      </w:tr>
      <w:tr>
        <w:trPr>
          <w:trHeight w:val="500" w:hRule="atLeast"/>
        </w:trPr>
        <w:tc>
          <w:tcPr>
            <w:tcW w:w="6931" w:type="dxa"/>
          </w:tcPr>
          <w:p>
            <w:pPr>
              <w:pStyle w:val="TableParagraph"/>
              <w:spacing w:before="133"/>
              <w:ind w:left="162"/>
              <w:rPr>
                <w:sz w:val="20"/>
              </w:rPr>
            </w:pPr>
            <w:r>
              <w:rPr>
                <w:sz w:val="20"/>
              </w:rPr>
              <w:t>V3P3D</w:t>
            </w:r>
          </w:p>
        </w:tc>
        <w:tc>
          <w:tcPr>
            <w:tcW w:w="2429" w:type="dxa"/>
          </w:tcPr>
          <w:p>
            <w:pPr>
              <w:pStyle w:val="TableParagraph"/>
              <w:spacing w:before="18"/>
              <w:ind w:left="105"/>
              <w:rPr>
                <w:sz w:val="20"/>
              </w:rPr>
            </w:pPr>
            <w:r>
              <w:rPr>
                <w:sz w:val="20"/>
              </w:rPr>
              <w:t>-10 mA to +10 mA,</w:t>
            </w:r>
          </w:p>
          <w:p>
            <w:pPr>
              <w:pStyle w:val="TableParagraph"/>
              <w:spacing w:line="230" w:lineRule="exact" w:before="3"/>
              <w:ind w:left="105"/>
              <w:rPr>
                <w:sz w:val="20"/>
              </w:rPr>
            </w:pPr>
            <w:r>
              <w:rPr>
                <w:sz w:val="20"/>
              </w:rPr>
              <w:t>-0.5 V to 4.6 V</w:t>
            </w:r>
          </w:p>
        </w:tc>
      </w:tr>
      <w:tr>
        <w:trPr>
          <w:trHeight w:val="522" w:hRule="atLeast"/>
        </w:trPr>
        <w:tc>
          <w:tcPr>
            <w:tcW w:w="6931" w:type="dxa"/>
          </w:tcPr>
          <w:p>
            <w:pPr>
              <w:pStyle w:val="TableParagraph"/>
              <w:spacing w:before="145"/>
              <w:ind w:left="162"/>
              <w:rPr>
                <w:sz w:val="20"/>
              </w:rPr>
            </w:pPr>
            <w:r>
              <w:rPr>
                <w:sz w:val="20"/>
              </w:rPr>
              <w:t>VLCD</w:t>
            </w:r>
          </w:p>
        </w:tc>
        <w:tc>
          <w:tcPr>
            <w:tcW w:w="2429" w:type="dxa"/>
          </w:tcPr>
          <w:p>
            <w:pPr>
              <w:pStyle w:val="TableParagraph"/>
              <w:spacing w:before="8"/>
              <w:ind w:left="105"/>
              <w:rPr>
                <w:rFonts w:ascii="Trebuchet MS"/>
                <w:sz w:val="20"/>
              </w:rPr>
            </w:pPr>
            <w:r>
              <w:rPr>
                <w:rFonts w:ascii="Trebuchet MS"/>
                <w:sz w:val="20"/>
              </w:rPr>
              <w:t>-10 mA to +10 mA,</w:t>
            </w:r>
          </w:p>
          <w:p>
            <w:pPr>
              <w:pStyle w:val="TableParagraph"/>
              <w:spacing w:line="230" w:lineRule="exact" w:before="32"/>
              <w:ind w:left="105"/>
              <w:rPr>
                <w:sz w:val="20"/>
              </w:rPr>
            </w:pPr>
            <w:r>
              <w:rPr>
                <w:sz w:val="20"/>
              </w:rPr>
              <w:t>-0.5 V to +6 V</w:t>
            </w:r>
          </w:p>
        </w:tc>
      </w:tr>
      <w:tr>
        <w:trPr>
          <w:trHeight w:val="270" w:hRule="atLeast"/>
        </w:trPr>
        <w:tc>
          <w:tcPr>
            <w:tcW w:w="9360" w:type="dxa"/>
            <w:gridSpan w:val="2"/>
          </w:tcPr>
          <w:p>
            <w:pPr>
              <w:pStyle w:val="TableParagraph"/>
              <w:spacing w:before="16"/>
              <w:ind w:left="107"/>
              <w:rPr>
                <w:b/>
                <w:sz w:val="20"/>
              </w:rPr>
            </w:pPr>
            <w:r>
              <w:rPr>
                <w:b/>
                <w:sz w:val="20"/>
              </w:rPr>
              <w:t>Analog Input Pins</w:t>
            </w:r>
          </w:p>
        </w:tc>
      </w:tr>
      <w:tr>
        <w:trPr>
          <w:trHeight w:val="517" w:hRule="atLeast"/>
        </w:trPr>
        <w:tc>
          <w:tcPr>
            <w:tcW w:w="6931" w:type="dxa"/>
          </w:tcPr>
          <w:p>
            <w:pPr>
              <w:pStyle w:val="TableParagraph"/>
              <w:spacing w:line="250" w:lineRule="exact" w:before="6"/>
              <w:ind w:left="107" w:right="1238"/>
              <w:rPr>
                <w:sz w:val="20"/>
              </w:rPr>
            </w:pPr>
            <w:r>
              <w:rPr>
                <w:sz w:val="20"/>
              </w:rPr>
              <w:t>IADC0, IADC1, IADC2, IADC3, IADC4, IADC5, IADC6, IADC7, VADC8, VADC9 and VADC10</w:t>
            </w:r>
          </w:p>
        </w:tc>
        <w:tc>
          <w:tcPr>
            <w:tcW w:w="2429" w:type="dxa"/>
          </w:tcPr>
          <w:p>
            <w:pPr>
              <w:pStyle w:val="TableParagraph"/>
              <w:spacing w:before="18"/>
              <w:ind w:left="105"/>
              <w:rPr>
                <w:sz w:val="20"/>
              </w:rPr>
            </w:pPr>
            <w:r>
              <w:rPr>
                <w:sz w:val="20"/>
              </w:rPr>
              <w:t>-10 mA to +10 mA</w:t>
            </w:r>
          </w:p>
          <w:p>
            <w:pPr>
              <w:pStyle w:val="TableParagraph"/>
              <w:spacing w:before="1"/>
              <w:ind w:left="105"/>
              <w:rPr>
                <w:sz w:val="20"/>
              </w:rPr>
            </w:pPr>
            <w:r>
              <w:rPr>
                <w:sz w:val="20"/>
              </w:rPr>
              <w:t>-0.5 V to V3P3A+0.5 V</w:t>
            </w:r>
          </w:p>
        </w:tc>
      </w:tr>
      <w:tr>
        <w:trPr>
          <w:trHeight w:val="500" w:hRule="atLeast"/>
        </w:trPr>
        <w:tc>
          <w:tcPr>
            <w:tcW w:w="6931" w:type="dxa"/>
          </w:tcPr>
          <w:p>
            <w:pPr>
              <w:pStyle w:val="TableParagraph"/>
              <w:spacing w:before="136"/>
              <w:ind w:left="162"/>
              <w:rPr>
                <w:sz w:val="20"/>
              </w:rPr>
            </w:pPr>
            <w:r>
              <w:rPr>
                <w:sz w:val="20"/>
              </w:rPr>
              <w:t>XIN, XOUT</w:t>
            </w:r>
          </w:p>
        </w:tc>
        <w:tc>
          <w:tcPr>
            <w:tcW w:w="2429" w:type="dxa"/>
          </w:tcPr>
          <w:p>
            <w:pPr>
              <w:pStyle w:val="TableParagraph"/>
              <w:spacing w:before="21"/>
              <w:ind w:left="105"/>
              <w:rPr>
                <w:sz w:val="20"/>
              </w:rPr>
            </w:pPr>
            <w:r>
              <w:rPr>
                <w:sz w:val="20"/>
              </w:rPr>
              <w:t>-10 mA to +10 mA</w:t>
            </w:r>
          </w:p>
          <w:p>
            <w:pPr>
              <w:pStyle w:val="TableParagraph"/>
              <w:spacing w:line="230" w:lineRule="exact"/>
              <w:ind w:left="105"/>
              <w:rPr>
                <w:sz w:val="20"/>
              </w:rPr>
            </w:pPr>
            <w:r>
              <w:rPr>
                <w:sz w:val="20"/>
              </w:rPr>
              <w:t>-0.5 V to +3.0 V</w:t>
            </w:r>
          </w:p>
        </w:tc>
      </w:tr>
      <w:tr>
        <w:trPr>
          <w:trHeight w:val="270" w:hRule="atLeast"/>
        </w:trPr>
        <w:tc>
          <w:tcPr>
            <w:tcW w:w="9360" w:type="dxa"/>
            <w:gridSpan w:val="2"/>
          </w:tcPr>
          <w:p>
            <w:pPr>
              <w:pStyle w:val="TableParagraph"/>
              <w:spacing w:before="16"/>
              <w:ind w:left="107"/>
              <w:rPr>
                <w:b/>
                <w:sz w:val="20"/>
              </w:rPr>
            </w:pPr>
            <w:r>
              <w:rPr>
                <w:b/>
                <w:sz w:val="20"/>
              </w:rPr>
              <w:t>SEG and SEGDIO Pins</w:t>
            </w:r>
          </w:p>
        </w:tc>
      </w:tr>
      <w:tr>
        <w:trPr>
          <w:trHeight w:val="520" w:hRule="atLeast"/>
        </w:trPr>
        <w:tc>
          <w:tcPr>
            <w:tcW w:w="6931" w:type="dxa"/>
          </w:tcPr>
          <w:p>
            <w:pPr>
              <w:pStyle w:val="TableParagraph"/>
              <w:spacing w:before="143"/>
              <w:ind w:left="217"/>
              <w:rPr>
                <w:sz w:val="20"/>
              </w:rPr>
            </w:pPr>
            <w:r>
              <w:rPr>
                <w:sz w:val="20"/>
              </w:rPr>
              <w:t>Configured as SEG or COM drivers</w:t>
            </w:r>
          </w:p>
        </w:tc>
        <w:tc>
          <w:tcPr>
            <w:tcW w:w="2429" w:type="dxa"/>
          </w:tcPr>
          <w:p>
            <w:pPr>
              <w:pStyle w:val="TableParagraph"/>
              <w:spacing w:before="18"/>
              <w:ind w:left="105"/>
              <w:rPr>
                <w:sz w:val="20"/>
              </w:rPr>
            </w:pPr>
            <w:r>
              <w:rPr>
                <w:sz w:val="20"/>
              </w:rPr>
              <w:t>-1 mA to +1 mA,</w:t>
            </w:r>
          </w:p>
          <w:p>
            <w:pPr>
              <w:pStyle w:val="TableParagraph"/>
              <w:spacing w:line="230" w:lineRule="exact" w:before="22"/>
              <w:ind w:left="105"/>
              <w:rPr>
                <w:sz w:val="20"/>
              </w:rPr>
            </w:pPr>
            <w:r>
              <w:rPr>
                <w:sz w:val="20"/>
              </w:rPr>
              <w:t>-0.5 V to VLCD+0.5 V</w:t>
            </w:r>
          </w:p>
        </w:tc>
      </w:tr>
      <w:tr>
        <w:trPr>
          <w:trHeight w:val="519" w:hRule="atLeast"/>
        </w:trPr>
        <w:tc>
          <w:tcPr>
            <w:tcW w:w="6931" w:type="dxa"/>
          </w:tcPr>
          <w:p>
            <w:pPr>
              <w:pStyle w:val="TableParagraph"/>
              <w:spacing w:before="143"/>
              <w:ind w:left="217"/>
              <w:rPr>
                <w:sz w:val="20"/>
              </w:rPr>
            </w:pPr>
            <w:r>
              <w:rPr>
                <w:sz w:val="20"/>
              </w:rPr>
              <w:t>Configured as Digital Inputs</w:t>
            </w:r>
          </w:p>
        </w:tc>
        <w:tc>
          <w:tcPr>
            <w:tcW w:w="2429" w:type="dxa"/>
          </w:tcPr>
          <w:p>
            <w:pPr>
              <w:pStyle w:val="TableParagraph"/>
              <w:spacing w:before="18"/>
              <w:ind w:left="105"/>
              <w:rPr>
                <w:sz w:val="20"/>
              </w:rPr>
            </w:pPr>
            <w:r>
              <w:rPr>
                <w:sz w:val="20"/>
              </w:rPr>
              <w:t>-10 mA to +10 mA,</w:t>
            </w:r>
          </w:p>
          <w:p>
            <w:pPr>
              <w:pStyle w:val="TableParagraph"/>
              <w:spacing w:line="230" w:lineRule="exact" w:before="22"/>
              <w:ind w:left="105"/>
              <w:rPr>
                <w:sz w:val="20"/>
              </w:rPr>
            </w:pPr>
            <w:r>
              <w:rPr>
                <w:sz w:val="20"/>
              </w:rPr>
              <w:t>-0.5 V to +6 V</w:t>
            </w:r>
          </w:p>
        </w:tc>
      </w:tr>
      <w:tr>
        <w:trPr>
          <w:trHeight w:val="520" w:hRule="atLeast"/>
        </w:trPr>
        <w:tc>
          <w:tcPr>
            <w:tcW w:w="6931" w:type="dxa"/>
          </w:tcPr>
          <w:p>
            <w:pPr>
              <w:pStyle w:val="TableParagraph"/>
              <w:spacing w:before="143"/>
              <w:ind w:left="217"/>
              <w:rPr>
                <w:sz w:val="20"/>
              </w:rPr>
            </w:pPr>
            <w:r>
              <w:rPr>
                <w:sz w:val="20"/>
              </w:rPr>
              <w:t>Configured as Digital Outputs</w:t>
            </w:r>
          </w:p>
        </w:tc>
        <w:tc>
          <w:tcPr>
            <w:tcW w:w="2429" w:type="dxa"/>
          </w:tcPr>
          <w:p>
            <w:pPr>
              <w:pStyle w:val="TableParagraph"/>
              <w:spacing w:before="18"/>
              <w:ind w:left="105"/>
              <w:rPr>
                <w:sz w:val="20"/>
              </w:rPr>
            </w:pPr>
            <w:r>
              <w:rPr>
                <w:sz w:val="20"/>
              </w:rPr>
              <w:t>-10 mA to +10 mA,</w:t>
            </w:r>
          </w:p>
          <w:p>
            <w:pPr>
              <w:pStyle w:val="TableParagraph"/>
              <w:spacing w:line="230" w:lineRule="exact" w:before="22"/>
              <w:ind w:left="105"/>
              <w:rPr>
                <w:sz w:val="20"/>
              </w:rPr>
            </w:pPr>
            <w:r>
              <w:rPr>
                <w:sz w:val="20"/>
              </w:rPr>
              <w:t>-0.5 V to V3P3D+0.5 V</w:t>
            </w:r>
          </w:p>
        </w:tc>
      </w:tr>
      <w:tr>
        <w:trPr>
          <w:trHeight w:val="270" w:hRule="atLeast"/>
        </w:trPr>
        <w:tc>
          <w:tcPr>
            <w:tcW w:w="9360" w:type="dxa"/>
            <w:gridSpan w:val="2"/>
          </w:tcPr>
          <w:p>
            <w:pPr>
              <w:pStyle w:val="TableParagraph"/>
              <w:spacing w:before="16"/>
              <w:ind w:left="107"/>
              <w:rPr>
                <w:b/>
                <w:sz w:val="20"/>
              </w:rPr>
            </w:pPr>
            <w:r>
              <w:rPr>
                <w:b/>
                <w:sz w:val="20"/>
              </w:rPr>
              <w:t>Digital Pins</w:t>
            </w:r>
          </w:p>
        </w:tc>
      </w:tr>
      <w:tr>
        <w:trPr>
          <w:trHeight w:val="520" w:hRule="atLeast"/>
        </w:trPr>
        <w:tc>
          <w:tcPr>
            <w:tcW w:w="6931" w:type="dxa"/>
          </w:tcPr>
          <w:p>
            <w:pPr>
              <w:pStyle w:val="TableParagraph"/>
              <w:spacing w:before="143"/>
              <w:ind w:left="217"/>
              <w:rPr>
                <w:sz w:val="20"/>
              </w:rPr>
            </w:pPr>
            <w:r>
              <w:rPr>
                <w:sz w:val="20"/>
              </w:rPr>
              <w:t>Inputs (PB, RESET, RX, ICE_E, TEST)</w:t>
            </w:r>
          </w:p>
        </w:tc>
        <w:tc>
          <w:tcPr>
            <w:tcW w:w="2429" w:type="dxa"/>
          </w:tcPr>
          <w:p>
            <w:pPr>
              <w:pStyle w:val="TableParagraph"/>
              <w:spacing w:before="18"/>
              <w:ind w:left="105"/>
              <w:rPr>
                <w:sz w:val="20"/>
              </w:rPr>
            </w:pPr>
            <w:r>
              <w:rPr>
                <w:sz w:val="20"/>
              </w:rPr>
              <w:t>-10 mA to +10 mA,</w:t>
            </w:r>
          </w:p>
          <w:p>
            <w:pPr>
              <w:pStyle w:val="TableParagraph"/>
              <w:spacing w:line="230" w:lineRule="exact" w:before="22"/>
              <w:ind w:left="105"/>
              <w:rPr>
                <w:sz w:val="20"/>
              </w:rPr>
            </w:pPr>
            <w:r>
              <w:rPr>
                <w:sz w:val="20"/>
              </w:rPr>
              <w:t>-0.5 to 6 V</w:t>
            </w:r>
          </w:p>
        </w:tc>
      </w:tr>
      <w:tr>
        <w:trPr>
          <w:trHeight w:val="520" w:hRule="atLeast"/>
        </w:trPr>
        <w:tc>
          <w:tcPr>
            <w:tcW w:w="6931" w:type="dxa"/>
          </w:tcPr>
          <w:p>
            <w:pPr>
              <w:pStyle w:val="TableParagraph"/>
              <w:spacing w:before="143"/>
              <w:ind w:left="217"/>
              <w:rPr>
                <w:sz w:val="20"/>
              </w:rPr>
            </w:pPr>
            <w:r>
              <w:rPr>
                <w:sz w:val="20"/>
              </w:rPr>
              <w:t>Outputs (TX)</w:t>
            </w:r>
          </w:p>
        </w:tc>
        <w:tc>
          <w:tcPr>
            <w:tcW w:w="2429" w:type="dxa"/>
          </w:tcPr>
          <w:p>
            <w:pPr>
              <w:pStyle w:val="TableParagraph"/>
              <w:spacing w:before="18"/>
              <w:ind w:left="105"/>
              <w:rPr>
                <w:sz w:val="20"/>
              </w:rPr>
            </w:pPr>
            <w:r>
              <w:rPr>
                <w:sz w:val="20"/>
              </w:rPr>
              <w:t>-10 mA to +10 mA,</w:t>
            </w:r>
          </w:p>
          <w:p>
            <w:pPr>
              <w:pStyle w:val="TableParagraph"/>
              <w:spacing w:line="230" w:lineRule="exact" w:before="22"/>
              <w:ind w:left="105"/>
              <w:rPr>
                <w:sz w:val="20"/>
              </w:rPr>
            </w:pPr>
            <w:r>
              <w:rPr>
                <w:sz w:val="20"/>
              </w:rPr>
              <w:t>-0.5 V to V3P3D+0.5 V</w:t>
            </w:r>
          </w:p>
        </w:tc>
      </w:tr>
      <w:tr>
        <w:trPr>
          <w:trHeight w:val="270" w:hRule="atLeast"/>
        </w:trPr>
        <w:tc>
          <w:tcPr>
            <w:tcW w:w="9360" w:type="dxa"/>
            <w:gridSpan w:val="2"/>
          </w:tcPr>
          <w:p>
            <w:pPr>
              <w:pStyle w:val="TableParagraph"/>
              <w:spacing w:before="16"/>
              <w:ind w:left="3702" w:right="3683"/>
              <w:jc w:val="center"/>
              <w:rPr>
                <w:b/>
                <w:sz w:val="20"/>
              </w:rPr>
            </w:pPr>
            <w:r>
              <w:rPr>
                <w:b/>
                <w:sz w:val="20"/>
              </w:rPr>
              <w:t>Temperature</w:t>
            </w:r>
          </w:p>
        </w:tc>
      </w:tr>
      <w:tr>
        <w:trPr>
          <w:trHeight w:val="268" w:hRule="atLeast"/>
        </w:trPr>
        <w:tc>
          <w:tcPr>
            <w:tcW w:w="6931" w:type="dxa"/>
          </w:tcPr>
          <w:p>
            <w:pPr>
              <w:pStyle w:val="TableParagraph"/>
              <w:spacing w:line="230" w:lineRule="exact" w:before="18"/>
              <w:ind w:left="107"/>
              <w:rPr>
                <w:sz w:val="20"/>
              </w:rPr>
            </w:pPr>
            <w:r>
              <w:rPr>
                <w:sz w:val="20"/>
              </w:rPr>
              <w:t>Operating junction temperature (peak, 100ms)</w:t>
            </w:r>
          </w:p>
        </w:tc>
        <w:tc>
          <w:tcPr>
            <w:tcW w:w="2429" w:type="dxa"/>
          </w:tcPr>
          <w:p>
            <w:pPr>
              <w:pStyle w:val="TableParagraph"/>
              <w:spacing w:line="230" w:lineRule="exact" w:before="18"/>
              <w:ind w:left="105"/>
              <w:rPr>
                <w:sz w:val="20"/>
              </w:rPr>
            </w:pPr>
            <w:r>
              <w:rPr>
                <w:sz w:val="20"/>
              </w:rPr>
              <w:t>140 °C</w:t>
            </w:r>
          </w:p>
        </w:tc>
      </w:tr>
      <w:tr>
        <w:trPr>
          <w:trHeight w:val="270" w:hRule="atLeast"/>
        </w:trPr>
        <w:tc>
          <w:tcPr>
            <w:tcW w:w="6931" w:type="dxa"/>
          </w:tcPr>
          <w:p>
            <w:pPr>
              <w:pStyle w:val="TableParagraph"/>
              <w:spacing w:line="230" w:lineRule="exact" w:before="21"/>
              <w:ind w:left="107"/>
              <w:rPr>
                <w:sz w:val="20"/>
              </w:rPr>
            </w:pPr>
            <w:r>
              <w:rPr>
                <w:sz w:val="20"/>
              </w:rPr>
              <w:t>Operating junction temperature (continuous)</w:t>
            </w:r>
          </w:p>
        </w:tc>
        <w:tc>
          <w:tcPr>
            <w:tcW w:w="2429" w:type="dxa"/>
          </w:tcPr>
          <w:p>
            <w:pPr>
              <w:pStyle w:val="TableParagraph"/>
              <w:spacing w:line="230" w:lineRule="exact" w:before="21"/>
              <w:ind w:left="105"/>
              <w:rPr>
                <w:sz w:val="20"/>
              </w:rPr>
            </w:pPr>
            <w:r>
              <w:rPr>
                <w:sz w:val="20"/>
              </w:rPr>
              <w:t>125 °C</w:t>
            </w:r>
          </w:p>
        </w:tc>
      </w:tr>
      <w:tr>
        <w:trPr>
          <w:trHeight w:val="284" w:hRule="atLeast"/>
        </w:trPr>
        <w:tc>
          <w:tcPr>
            <w:tcW w:w="6931" w:type="dxa"/>
          </w:tcPr>
          <w:p>
            <w:pPr>
              <w:pStyle w:val="TableParagraph"/>
              <w:spacing w:before="20"/>
              <w:ind w:left="107"/>
              <w:rPr>
                <w:sz w:val="20"/>
              </w:rPr>
            </w:pPr>
            <w:r>
              <w:rPr>
                <w:sz w:val="20"/>
              </w:rPr>
              <w:t>Storage temperature</w:t>
            </w:r>
          </w:p>
        </w:tc>
        <w:tc>
          <w:tcPr>
            <w:tcW w:w="2429" w:type="dxa"/>
          </w:tcPr>
          <w:p>
            <w:pPr>
              <w:pStyle w:val="TableParagraph"/>
              <w:spacing w:line="243" w:lineRule="exact" w:before="21"/>
              <w:ind w:left="105"/>
              <w:rPr>
                <w:sz w:val="20"/>
              </w:rPr>
            </w:pPr>
            <w:r>
              <w:rPr>
                <w:rFonts w:ascii="Symbol" w:hAnsi="Symbol"/>
                <w:sz w:val="20"/>
              </w:rPr>
              <w:t></w:t>
            </w:r>
            <w:r>
              <w:rPr>
                <w:sz w:val="20"/>
              </w:rPr>
              <w:t>45 °C to +165 °C</w:t>
            </w:r>
          </w:p>
        </w:tc>
      </w:tr>
      <w:tr>
        <w:trPr>
          <w:trHeight w:val="270" w:hRule="atLeast"/>
        </w:trPr>
        <w:tc>
          <w:tcPr>
            <w:tcW w:w="6931" w:type="dxa"/>
          </w:tcPr>
          <w:p>
            <w:pPr>
              <w:pStyle w:val="TableParagraph"/>
              <w:spacing w:line="230" w:lineRule="exact" w:before="21"/>
              <w:ind w:left="107"/>
              <w:rPr>
                <w:sz w:val="20"/>
              </w:rPr>
            </w:pPr>
            <w:r>
              <w:rPr>
                <w:sz w:val="20"/>
              </w:rPr>
              <w:t>Soldering temperature – 10 second duration</w:t>
            </w:r>
          </w:p>
        </w:tc>
        <w:tc>
          <w:tcPr>
            <w:tcW w:w="2429" w:type="dxa"/>
          </w:tcPr>
          <w:p>
            <w:pPr>
              <w:pStyle w:val="TableParagraph"/>
              <w:spacing w:line="230" w:lineRule="exact" w:before="21"/>
              <w:ind w:left="105"/>
              <w:rPr>
                <w:sz w:val="20"/>
              </w:rPr>
            </w:pPr>
            <w:r>
              <w:rPr>
                <w:sz w:val="20"/>
              </w:rPr>
              <w:t>250 °C</w:t>
            </w:r>
          </w:p>
        </w:tc>
      </w:tr>
    </w:tbl>
    <w:p>
      <w:pPr>
        <w:spacing w:after="0" w:line="230" w:lineRule="exact"/>
        <w:rPr>
          <w:sz w:val="20"/>
        </w:rPr>
        <w:sectPr>
          <w:pgSz w:w="12240" w:h="15840"/>
          <w:pgMar w:header="727" w:footer="819" w:top="1160" w:bottom="1000" w:left="960" w:right="940"/>
        </w:sectPr>
      </w:pPr>
    </w:p>
    <w:p>
      <w:pPr>
        <w:pStyle w:val="ListParagraph"/>
        <w:numPr>
          <w:ilvl w:val="1"/>
          <w:numId w:val="22"/>
        </w:numPr>
        <w:tabs>
          <w:tab w:pos="1199" w:val="left" w:leader="none"/>
          <w:tab w:pos="1200" w:val="left" w:leader="none"/>
        </w:tabs>
        <w:spacing w:line="240" w:lineRule="auto" w:before="88" w:after="0"/>
        <w:ind w:left="1200" w:right="0" w:hanging="720"/>
        <w:jc w:val="left"/>
        <w:rPr>
          <w:b/>
          <w:sz w:val="24"/>
        </w:rPr>
      </w:pPr>
      <w:bookmarkStart w:name="6.2  Recommended External Components" w:id="505"/>
      <w:bookmarkEnd w:id="505"/>
      <w:r>
        <w:rPr/>
      </w:r>
      <w:bookmarkStart w:name="_bookmark246" w:id="506"/>
      <w:bookmarkEnd w:id="506"/>
      <w:r>
        <w:rPr/>
      </w:r>
      <w:bookmarkStart w:name="_bookmark246" w:id="507"/>
      <w:bookmarkEnd w:id="507"/>
      <w:r>
        <w:rPr>
          <w:b/>
          <w:sz w:val="24"/>
        </w:rPr>
        <w:t>R</w:t>
      </w:r>
      <w:r>
        <w:rPr>
          <w:b/>
          <w:sz w:val="24"/>
        </w:rPr>
        <w:t>ecommended External</w:t>
      </w:r>
      <w:r>
        <w:rPr>
          <w:b/>
          <w:spacing w:val="-3"/>
          <w:sz w:val="24"/>
        </w:rPr>
        <w:t> </w:t>
      </w:r>
      <w:r>
        <w:rPr>
          <w:b/>
          <w:sz w:val="24"/>
        </w:rPr>
        <w:t>Components</w:t>
      </w:r>
    </w:p>
    <w:p>
      <w:pPr>
        <w:pStyle w:val="Heading1"/>
        <w:spacing w:before="119"/>
        <w:ind w:left="777" w:right="797"/>
      </w:pPr>
      <w:bookmarkStart w:name="_bookmark247" w:id="508"/>
      <w:bookmarkEnd w:id="508"/>
      <w:r>
        <w:rPr>
          <w:b w:val="0"/>
        </w:rPr>
      </w:r>
      <w:r>
        <w:rPr/>
        <w:t>Table 87: Recommended External Components</w:t>
      </w:r>
    </w:p>
    <w:p>
      <w:pPr>
        <w:pStyle w:val="BodyText"/>
        <w:spacing w:before="8"/>
        <w:rPr>
          <w:b/>
          <w:sz w:val="5"/>
        </w:rPr>
      </w:pPr>
    </w:p>
    <w:tbl>
      <w:tblPr>
        <w:tblW w:w="0" w:type="auto"/>
        <w:jc w:val="left"/>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20"/>
        <w:gridCol w:w="1166"/>
        <w:gridCol w:w="1164"/>
        <w:gridCol w:w="3917"/>
        <w:gridCol w:w="1366"/>
        <w:gridCol w:w="728"/>
      </w:tblGrid>
      <w:tr>
        <w:trPr>
          <w:trHeight w:val="308" w:hRule="atLeast"/>
        </w:trPr>
        <w:tc>
          <w:tcPr>
            <w:tcW w:w="1020" w:type="dxa"/>
          </w:tcPr>
          <w:p>
            <w:pPr>
              <w:pStyle w:val="TableParagraph"/>
              <w:spacing w:before="35"/>
              <w:ind w:left="148" w:right="131"/>
              <w:jc w:val="center"/>
              <w:rPr>
                <w:b/>
                <w:sz w:val="20"/>
              </w:rPr>
            </w:pPr>
            <w:r>
              <w:rPr>
                <w:b/>
                <w:sz w:val="20"/>
              </w:rPr>
              <w:t>Name</w:t>
            </w:r>
          </w:p>
        </w:tc>
        <w:tc>
          <w:tcPr>
            <w:tcW w:w="1166" w:type="dxa"/>
          </w:tcPr>
          <w:p>
            <w:pPr>
              <w:pStyle w:val="TableParagraph"/>
              <w:spacing w:before="35"/>
              <w:ind w:left="83" w:right="70"/>
              <w:jc w:val="center"/>
              <w:rPr>
                <w:b/>
                <w:sz w:val="20"/>
              </w:rPr>
            </w:pPr>
            <w:r>
              <w:rPr>
                <w:b/>
                <w:sz w:val="20"/>
              </w:rPr>
              <w:t>From</w:t>
            </w:r>
          </w:p>
        </w:tc>
        <w:tc>
          <w:tcPr>
            <w:tcW w:w="1164" w:type="dxa"/>
          </w:tcPr>
          <w:p>
            <w:pPr>
              <w:pStyle w:val="TableParagraph"/>
              <w:spacing w:before="35"/>
              <w:ind w:left="266" w:right="247"/>
              <w:jc w:val="center"/>
              <w:rPr>
                <w:b/>
                <w:sz w:val="20"/>
              </w:rPr>
            </w:pPr>
            <w:r>
              <w:rPr>
                <w:b/>
                <w:sz w:val="20"/>
              </w:rPr>
              <w:t>To</w:t>
            </w:r>
          </w:p>
        </w:tc>
        <w:tc>
          <w:tcPr>
            <w:tcW w:w="3917" w:type="dxa"/>
          </w:tcPr>
          <w:p>
            <w:pPr>
              <w:pStyle w:val="TableParagraph"/>
              <w:spacing w:before="35"/>
              <w:ind w:left="107"/>
              <w:rPr>
                <w:b/>
                <w:sz w:val="20"/>
              </w:rPr>
            </w:pPr>
            <w:r>
              <w:rPr>
                <w:b/>
                <w:sz w:val="20"/>
              </w:rPr>
              <w:t>Function</w:t>
            </w:r>
          </w:p>
        </w:tc>
        <w:tc>
          <w:tcPr>
            <w:tcW w:w="1366" w:type="dxa"/>
          </w:tcPr>
          <w:p>
            <w:pPr>
              <w:pStyle w:val="TableParagraph"/>
              <w:spacing w:before="35"/>
              <w:ind w:left="412"/>
              <w:rPr>
                <w:b/>
                <w:sz w:val="20"/>
              </w:rPr>
            </w:pPr>
            <w:r>
              <w:rPr>
                <w:b/>
                <w:sz w:val="20"/>
              </w:rPr>
              <w:t>Value</w:t>
            </w:r>
          </w:p>
        </w:tc>
        <w:tc>
          <w:tcPr>
            <w:tcW w:w="728" w:type="dxa"/>
          </w:tcPr>
          <w:p>
            <w:pPr>
              <w:pStyle w:val="TableParagraph"/>
              <w:spacing w:before="35"/>
              <w:ind w:left="146" w:right="132"/>
              <w:jc w:val="center"/>
              <w:rPr>
                <w:b/>
                <w:sz w:val="20"/>
              </w:rPr>
            </w:pPr>
            <w:r>
              <w:rPr>
                <w:b/>
                <w:sz w:val="20"/>
              </w:rPr>
              <w:t>Unit</w:t>
            </w:r>
          </w:p>
        </w:tc>
      </w:tr>
      <w:tr>
        <w:trPr>
          <w:trHeight w:val="284" w:hRule="atLeast"/>
        </w:trPr>
        <w:tc>
          <w:tcPr>
            <w:tcW w:w="1020" w:type="dxa"/>
          </w:tcPr>
          <w:p>
            <w:pPr>
              <w:pStyle w:val="TableParagraph"/>
              <w:spacing w:before="28"/>
              <w:ind w:left="148" w:right="131"/>
              <w:jc w:val="center"/>
              <w:rPr>
                <w:sz w:val="20"/>
              </w:rPr>
            </w:pPr>
            <w:r>
              <w:rPr>
                <w:sz w:val="20"/>
              </w:rPr>
              <w:t>C1</w:t>
            </w:r>
          </w:p>
        </w:tc>
        <w:tc>
          <w:tcPr>
            <w:tcW w:w="1166" w:type="dxa"/>
          </w:tcPr>
          <w:p>
            <w:pPr>
              <w:pStyle w:val="TableParagraph"/>
              <w:spacing w:before="28"/>
              <w:ind w:left="83" w:right="68"/>
              <w:jc w:val="center"/>
              <w:rPr>
                <w:sz w:val="20"/>
              </w:rPr>
            </w:pPr>
            <w:r>
              <w:rPr>
                <w:sz w:val="20"/>
              </w:rPr>
              <w:t>V3P3A</w:t>
            </w:r>
          </w:p>
        </w:tc>
        <w:tc>
          <w:tcPr>
            <w:tcW w:w="1164" w:type="dxa"/>
          </w:tcPr>
          <w:p>
            <w:pPr>
              <w:pStyle w:val="TableParagraph"/>
              <w:spacing w:before="28"/>
              <w:ind w:left="265" w:right="247"/>
              <w:jc w:val="center"/>
              <w:rPr>
                <w:sz w:val="20"/>
              </w:rPr>
            </w:pPr>
            <w:r>
              <w:rPr>
                <w:sz w:val="20"/>
              </w:rPr>
              <w:t>GNDA</w:t>
            </w:r>
          </w:p>
        </w:tc>
        <w:tc>
          <w:tcPr>
            <w:tcW w:w="3917" w:type="dxa"/>
          </w:tcPr>
          <w:p>
            <w:pPr>
              <w:pStyle w:val="TableParagraph"/>
              <w:spacing w:before="21"/>
              <w:ind w:left="108"/>
              <w:rPr>
                <w:sz w:val="20"/>
              </w:rPr>
            </w:pPr>
            <w:r>
              <w:rPr>
                <w:sz w:val="20"/>
              </w:rPr>
              <w:t>Bypass capacitor for 3.3 V supply</w:t>
            </w:r>
          </w:p>
        </w:tc>
        <w:tc>
          <w:tcPr>
            <w:tcW w:w="1366" w:type="dxa"/>
          </w:tcPr>
          <w:p>
            <w:pPr>
              <w:pStyle w:val="TableParagraph"/>
              <w:spacing w:line="243" w:lineRule="exact" w:before="21"/>
              <w:ind w:right="190"/>
              <w:jc w:val="right"/>
              <w:rPr>
                <w:sz w:val="20"/>
              </w:rPr>
            </w:pPr>
            <w:r>
              <w:rPr>
                <w:rFonts w:ascii="Symbol" w:hAnsi="Symbol"/>
                <w:sz w:val="20"/>
              </w:rPr>
              <w:t></w:t>
            </w:r>
            <w:r>
              <w:rPr>
                <w:sz w:val="20"/>
              </w:rPr>
              <w:t>0.1 </w:t>
            </w:r>
            <w:r>
              <w:rPr>
                <w:rFonts w:ascii="Symbol" w:hAnsi="Symbol"/>
                <w:sz w:val="20"/>
              </w:rPr>
              <w:t></w:t>
            </w:r>
            <w:r>
              <w:rPr>
                <w:sz w:val="20"/>
              </w:rPr>
              <w:t>20%</w:t>
            </w:r>
          </w:p>
        </w:tc>
        <w:tc>
          <w:tcPr>
            <w:tcW w:w="728" w:type="dxa"/>
          </w:tcPr>
          <w:p>
            <w:pPr>
              <w:pStyle w:val="TableParagraph"/>
              <w:spacing w:line="243" w:lineRule="exact" w:before="21"/>
              <w:ind w:left="146" w:right="129"/>
              <w:jc w:val="center"/>
              <w:rPr>
                <w:sz w:val="20"/>
              </w:rPr>
            </w:pPr>
            <w:r>
              <w:rPr>
                <w:rFonts w:ascii="Symbol" w:hAnsi="Symbol"/>
                <w:sz w:val="20"/>
              </w:rPr>
              <w:t></w:t>
            </w:r>
            <w:r>
              <w:rPr>
                <w:sz w:val="20"/>
              </w:rPr>
              <w:t>F</w:t>
            </w:r>
          </w:p>
        </w:tc>
      </w:tr>
      <w:tr>
        <w:trPr>
          <w:trHeight w:val="284" w:hRule="atLeast"/>
        </w:trPr>
        <w:tc>
          <w:tcPr>
            <w:tcW w:w="1020" w:type="dxa"/>
          </w:tcPr>
          <w:p>
            <w:pPr>
              <w:pStyle w:val="TableParagraph"/>
              <w:spacing w:before="28"/>
              <w:ind w:left="148" w:right="131"/>
              <w:jc w:val="center"/>
              <w:rPr>
                <w:sz w:val="20"/>
              </w:rPr>
            </w:pPr>
            <w:r>
              <w:rPr>
                <w:sz w:val="20"/>
              </w:rPr>
              <w:t>C2</w:t>
            </w:r>
          </w:p>
        </w:tc>
        <w:tc>
          <w:tcPr>
            <w:tcW w:w="1166" w:type="dxa"/>
          </w:tcPr>
          <w:p>
            <w:pPr>
              <w:pStyle w:val="TableParagraph"/>
              <w:spacing w:before="28"/>
              <w:ind w:left="83" w:right="71"/>
              <w:jc w:val="center"/>
              <w:rPr>
                <w:sz w:val="20"/>
              </w:rPr>
            </w:pPr>
            <w:r>
              <w:rPr>
                <w:sz w:val="20"/>
              </w:rPr>
              <w:t>V3P3D</w:t>
            </w:r>
          </w:p>
        </w:tc>
        <w:tc>
          <w:tcPr>
            <w:tcW w:w="1164" w:type="dxa"/>
          </w:tcPr>
          <w:p>
            <w:pPr>
              <w:pStyle w:val="TableParagraph"/>
              <w:spacing w:before="28"/>
              <w:ind w:left="267" w:right="247"/>
              <w:jc w:val="center"/>
              <w:rPr>
                <w:sz w:val="20"/>
              </w:rPr>
            </w:pPr>
            <w:r>
              <w:rPr>
                <w:sz w:val="20"/>
              </w:rPr>
              <w:t>GNDD</w:t>
            </w:r>
          </w:p>
        </w:tc>
        <w:tc>
          <w:tcPr>
            <w:tcW w:w="3917" w:type="dxa"/>
          </w:tcPr>
          <w:p>
            <w:pPr>
              <w:pStyle w:val="TableParagraph"/>
              <w:spacing w:before="21"/>
              <w:ind w:left="108"/>
              <w:rPr>
                <w:sz w:val="20"/>
              </w:rPr>
            </w:pPr>
            <w:r>
              <w:rPr>
                <w:sz w:val="20"/>
              </w:rPr>
              <w:t>Bypass capacitor for 3.3 V output</w:t>
            </w:r>
          </w:p>
        </w:tc>
        <w:tc>
          <w:tcPr>
            <w:tcW w:w="1366" w:type="dxa"/>
          </w:tcPr>
          <w:p>
            <w:pPr>
              <w:pStyle w:val="TableParagraph"/>
              <w:spacing w:line="243" w:lineRule="exact" w:before="21"/>
              <w:ind w:right="245"/>
              <w:jc w:val="right"/>
              <w:rPr>
                <w:sz w:val="20"/>
              </w:rPr>
            </w:pPr>
            <w:r>
              <w:rPr>
                <w:sz w:val="20"/>
              </w:rPr>
              <w:t>0.1 </w:t>
            </w:r>
            <w:r>
              <w:rPr>
                <w:rFonts w:ascii="Symbol" w:hAnsi="Symbol"/>
                <w:sz w:val="20"/>
              </w:rPr>
              <w:t></w:t>
            </w:r>
            <w:r>
              <w:rPr>
                <w:sz w:val="20"/>
              </w:rPr>
              <w:t>20%</w:t>
            </w:r>
          </w:p>
        </w:tc>
        <w:tc>
          <w:tcPr>
            <w:tcW w:w="728" w:type="dxa"/>
          </w:tcPr>
          <w:p>
            <w:pPr>
              <w:pStyle w:val="TableParagraph"/>
              <w:spacing w:line="243" w:lineRule="exact" w:before="21"/>
              <w:ind w:left="146" w:right="129"/>
              <w:jc w:val="center"/>
              <w:rPr>
                <w:sz w:val="20"/>
              </w:rPr>
            </w:pPr>
            <w:r>
              <w:rPr>
                <w:rFonts w:ascii="Symbol" w:hAnsi="Symbol"/>
                <w:sz w:val="20"/>
              </w:rPr>
              <w:t></w:t>
            </w:r>
            <w:r>
              <w:rPr>
                <w:sz w:val="20"/>
              </w:rPr>
              <w:t>F</w:t>
            </w:r>
          </w:p>
        </w:tc>
      </w:tr>
      <w:tr>
        <w:trPr>
          <w:trHeight w:val="284" w:hRule="atLeast"/>
        </w:trPr>
        <w:tc>
          <w:tcPr>
            <w:tcW w:w="1020" w:type="dxa"/>
          </w:tcPr>
          <w:p>
            <w:pPr>
              <w:pStyle w:val="TableParagraph"/>
              <w:spacing w:before="28"/>
              <w:ind w:left="148" w:right="131"/>
              <w:jc w:val="center"/>
              <w:rPr>
                <w:sz w:val="20"/>
              </w:rPr>
            </w:pPr>
            <w:r>
              <w:rPr>
                <w:sz w:val="20"/>
              </w:rPr>
              <w:t>CSYS</w:t>
            </w:r>
          </w:p>
        </w:tc>
        <w:tc>
          <w:tcPr>
            <w:tcW w:w="1166" w:type="dxa"/>
          </w:tcPr>
          <w:p>
            <w:pPr>
              <w:pStyle w:val="TableParagraph"/>
              <w:spacing w:before="28"/>
              <w:ind w:left="83" w:right="71"/>
              <w:jc w:val="center"/>
              <w:rPr>
                <w:sz w:val="20"/>
              </w:rPr>
            </w:pPr>
            <w:r>
              <w:rPr>
                <w:sz w:val="20"/>
              </w:rPr>
              <w:t>V3P3SYS</w:t>
            </w:r>
          </w:p>
        </w:tc>
        <w:tc>
          <w:tcPr>
            <w:tcW w:w="1164" w:type="dxa"/>
          </w:tcPr>
          <w:p>
            <w:pPr>
              <w:pStyle w:val="TableParagraph"/>
              <w:spacing w:before="28"/>
              <w:ind w:left="267" w:right="247"/>
              <w:jc w:val="center"/>
              <w:rPr>
                <w:sz w:val="20"/>
              </w:rPr>
            </w:pPr>
            <w:r>
              <w:rPr>
                <w:sz w:val="20"/>
              </w:rPr>
              <w:t>GNDD</w:t>
            </w:r>
          </w:p>
        </w:tc>
        <w:tc>
          <w:tcPr>
            <w:tcW w:w="3917" w:type="dxa"/>
          </w:tcPr>
          <w:p>
            <w:pPr>
              <w:pStyle w:val="TableParagraph"/>
              <w:spacing w:before="20"/>
              <w:ind w:left="108"/>
              <w:rPr>
                <w:sz w:val="20"/>
              </w:rPr>
            </w:pPr>
            <w:r>
              <w:rPr>
                <w:sz w:val="20"/>
              </w:rPr>
              <w:t>Bypass capacitor for V3P3SYS</w:t>
            </w:r>
          </w:p>
        </w:tc>
        <w:tc>
          <w:tcPr>
            <w:tcW w:w="1366" w:type="dxa"/>
          </w:tcPr>
          <w:p>
            <w:pPr>
              <w:pStyle w:val="TableParagraph"/>
              <w:spacing w:line="243" w:lineRule="exact" w:before="21"/>
              <w:ind w:right="190"/>
              <w:jc w:val="right"/>
              <w:rPr>
                <w:sz w:val="20"/>
              </w:rPr>
            </w:pPr>
            <w:r>
              <w:rPr>
                <w:rFonts w:ascii="Symbol" w:hAnsi="Symbol"/>
                <w:sz w:val="20"/>
              </w:rPr>
              <w:t></w:t>
            </w:r>
            <w:r>
              <w:rPr>
                <w:sz w:val="20"/>
              </w:rPr>
              <w:t>1.0 </w:t>
            </w:r>
            <w:r>
              <w:rPr>
                <w:rFonts w:ascii="Symbol" w:hAnsi="Symbol"/>
                <w:sz w:val="20"/>
              </w:rPr>
              <w:t></w:t>
            </w:r>
            <w:r>
              <w:rPr>
                <w:sz w:val="20"/>
              </w:rPr>
              <w:t>30%</w:t>
            </w:r>
          </w:p>
        </w:tc>
        <w:tc>
          <w:tcPr>
            <w:tcW w:w="728" w:type="dxa"/>
          </w:tcPr>
          <w:p>
            <w:pPr>
              <w:pStyle w:val="TableParagraph"/>
              <w:spacing w:line="243" w:lineRule="exact" w:before="21"/>
              <w:ind w:left="146" w:right="129"/>
              <w:jc w:val="center"/>
              <w:rPr>
                <w:sz w:val="20"/>
              </w:rPr>
            </w:pPr>
            <w:r>
              <w:rPr>
                <w:rFonts w:ascii="Symbol" w:hAnsi="Symbol"/>
                <w:sz w:val="20"/>
              </w:rPr>
              <w:t></w:t>
            </w:r>
            <w:r>
              <w:rPr>
                <w:sz w:val="20"/>
              </w:rPr>
              <w:t>F</w:t>
            </w:r>
          </w:p>
        </w:tc>
      </w:tr>
      <w:tr>
        <w:trPr>
          <w:trHeight w:val="287" w:hRule="atLeast"/>
        </w:trPr>
        <w:tc>
          <w:tcPr>
            <w:tcW w:w="1020" w:type="dxa"/>
          </w:tcPr>
          <w:p>
            <w:pPr>
              <w:pStyle w:val="TableParagraph"/>
              <w:spacing w:before="28"/>
              <w:ind w:left="148" w:right="134"/>
              <w:jc w:val="center"/>
              <w:rPr>
                <w:sz w:val="20"/>
              </w:rPr>
            </w:pPr>
            <w:r>
              <w:rPr>
                <w:sz w:val="20"/>
              </w:rPr>
              <w:t>CVDD</w:t>
            </w:r>
          </w:p>
        </w:tc>
        <w:tc>
          <w:tcPr>
            <w:tcW w:w="1166" w:type="dxa"/>
          </w:tcPr>
          <w:p>
            <w:pPr>
              <w:pStyle w:val="TableParagraph"/>
              <w:spacing w:before="28"/>
              <w:ind w:left="83" w:right="71"/>
              <w:jc w:val="center"/>
              <w:rPr>
                <w:sz w:val="20"/>
              </w:rPr>
            </w:pPr>
            <w:r>
              <w:rPr>
                <w:sz w:val="20"/>
              </w:rPr>
              <w:t>VDD</w:t>
            </w:r>
          </w:p>
        </w:tc>
        <w:tc>
          <w:tcPr>
            <w:tcW w:w="1164" w:type="dxa"/>
          </w:tcPr>
          <w:p>
            <w:pPr>
              <w:pStyle w:val="TableParagraph"/>
              <w:spacing w:before="28"/>
              <w:ind w:left="266" w:right="247"/>
              <w:jc w:val="center"/>
              <w:rPr>
                <w:sz w:val="20"/>
              </w:rPr>
            </w:pPr>
            <w:r>
              <w:rPr>
                <w:sz w:val="20"/>
              </w:rPr>
              <w:t>GNDD</w:t>
            </w:r>
          </w:p>
        </w:tc>
        <w:tc>
          <w:tcPr>
            <w:tcW w:w="3917" w:type="dxa"/>
          </w:tcPr>
          <w:p>
            <w:pPr>
              <w:pStyle w:val="TableParagraph"/>
              <w:spacing w:before="21"/>
              <w:ind w:left="107"/>
              <w:rPr>
                <w:sz w:val="20"/>
              </w:rPr>
            </w:pPr>
            <w:r>
              <w:rPr>
                <w:sz w:val="20"/>
              </w:rPr>
              <w:t>Bypass capacitor for VDD</w:t>
            </w:r>
          </w:p>
        </w:tc>
        <w:tc>
          <w:tcPr>
            <w:tcW w:w="1366" w:type="dxa"/>
          </w:tcPr>
          <w:p>
            <w:pPr>
              <w:pStyle w:val="TableParagraph"/>
              <w:spacing w:before="21"/>
              <w:ind w:right="245"/>
              <w:jc w:val="right"/>
              <w:rPr>
                <w:sz w:val="20"/>
              </w:rPr>
            </w:pPr>
            <w:r>
              <w:rPr>
                <w:sz w:val="20"/>
              </w:rPr>
              <w:t>0.1 </w:t>
            </w:r>
            <w:r>
              <w:rPr>
                <w:rFonts w:ascii="Symbol" w:hAnsi="Symbol"/>
                <w:sz w:val="20"/>
              </w:rPr>
              <w:t></w:t>
            </w:r>
            <w:r>
              <w:rPr>
                <w:sz w:val="20"/>
              </w:rPr>
              <w:t>20%</w:t>
            </w:r>
          </w:p>
        </w:tc>
        <w:tc>
          <w:tcPr>
            <w:tcW w:w="728" w:type="dxa"/>
          </w:tcPr>
          <w:p>
            <w:pPr>
              <w:pStyle w:val="TableParagraph"/>
              <w:spacing w:before="21"/>
              <w:ind w:left="146" w:right="129"/>
              <w:jc w:val="center"/>
              <w:rPr>
                <w:sz w:val="20"/>
              </w:rPr>
            </w:pPr>
            <w:r>
              <w:rPr>
                <w:rFonts w:ascii="Symbol" w:hAnsi="Symbol"/>
                <w:sz w:val="20"/>
              </w:rPr>
              <w:t></w:t>
            </w:r>
            <w:r>
              <w:rPr>
                <w:sz w:val="20"/>
              </w:rPr>
              <w:t>F</w:t>
            </w:r>
          </w:p>
        </w:tc>
      </w:tr>
      <w:tr>
        <w:trPr>
          <w:trHeight w:val="284" w:hRule="atLeast"/>
        </w:trPr>
        <w:tc>
          <w:tcPr>
            <w:tcW w:w="1020" w:type="dxa"/>
          </w:tcPr>
          <w:p>
            <w:pPr>
              <w:pStyle w:val="TableParagraph"/>
              <w:spacing w:before="25"/>
              <w:ind w:left="148" w:right="134"/>
              <w:jc w:val="center"/>
              <w:rPr>
                <w:sz w:val="20"/>
              </w:rPr>
            </w:pPr>
            <w:r>
              <w:rPr>
                <w:sz w:val="20"/>
              </w:rPr>
              <w:t>CVLCD</w:t>
            </w:r>
          </w:p>
        </w:tc>
        <w:tc>
          <w:tcPr>
            <w:tcW w:w="1166" w:type="dxa"/>
          </w:tcPr>
          <w:p>
            <w:pPr>
              <w:pStyle w:val="TableParagraph"/>
              <w:spacing w:before="25"/>
              <w:ind w:left="83" w:right="71"/>
              <w:jc w:val="center"/>
              <w:rPr>
                <w:sz w:val="20"/>
              </w:rPr>
            </w:pPr>
            <w:r>
              <w:rPr>
                <w:sz w:val="20"/>
              </w:rPr>
              <w:t>VLCD</w:t>
            </w:r>
          </w:p>
        </w:tc>
        <w:tc>
          <w:tcPr>
            <w:tcW w:w="1164" w:type="dxa"/>
          </w:tcPr>
          <w:p>
            <w:pPr>
              <w:pStyle w:val="TableParagraph"/>
              <w:spacing w:before="25"/>
              <w:ind w:left="267" w:right="247"/>
              <w:jc w:val="center"/>
              <w:rPr>
                <w:sz w:val="20"/>
              </w:rPr>
            </w:pPr>
            <w:r>
              <w:rPr>
                <w:sz w:val="20"/>
              </w:rPr>
              <w:t>GNDD</w:t>
            </w:r>
          </w:p>
        </w:tc>
        <w:tc>
          <w:tcPr>
            <w:tcW w:w="3917" w:type="dxa"/>
          </w:tcPr>
          <w:p>
            <w:pPr>
              <w:pStyle w:val="TableParagraph"/>
              <w:spacing w:before="18"/>
              <w:ind w:left="108"/>
              <w:rPr>
                <w:sz w:val="20"/>
              </w:rPr>
            </w:pPr>
            <w:r>
              <w:rPr>
                <w:sz w:val="20"/>
              </w:rPr>
              <w:t>Bypass capacitor for VLCD pin</w:t>
            </w:r>
          </w:p>
        </w:tc>
        <w:tc>
          <w:tcPr>
            <w:tcW w:w="1366" w:type="dxa"/>
          </w:tcPr>
          <w:p>
            <w:pPr>
              <w:pStyle w:val="TableParagraph"/>
              <w:spacing w:before="19"/>
              <w:ind w:right="190"/>
              <w:jc w:val="right"/>
              <w:rPr>
                <w:sz w:val="20"/>
              </w:rPr>
            </w:pPr>
            <w:r>
              <w:rPr>
                <w:rFonts w:ascii="Symbol" w:hAnsi="Symbol"/>
                <w:sz w:val="20"/>
              </w:rPr>
              <w:t></w:t>
            </w:r>
            <w:r>
              <w:rPr>
                <w:sz w:val="20"/>
              </w:rPr>
              <w:t>0.1 </w:t>
            </w:r>
            <w:r>
              <w:rPr>
                <w:rFonts w:ascii="Symbol" w:hAnsi="Symbol"/>
                <w:sz w:val="20"/>
              </w:rPr>
              <w:t></w:t>
            </w:r>
            <w:r>
              <w:rPr>
                <w:sz w:val="20"/>
              </w:rPr>
              <w:t>20%</w:t>
            </w:r>
          </w:p>
        </w:tc>
        <w:tc>
          <w:tcPr>
            <w:tcW w:w="728" w:type="dxa"/>
          </w:tcPr>
          <w:p>
            <w:pPr>
              <w:pStyle w:val="TableParagraph"/>
              <w:spacing w:before="19"/>
              <w:ind w:left="146" w:right="129"/>
              <w:jc w:val="center"/>
              <w:rPr>
                <w:sz w:val="20"/>
              </w:rPr>
            </w:pPr>
            <w:r>
              <w:rPr>
                <w:rFonts w:ascii="Symbol" w:hAnsi="Symbol"/>
                <w:sz w:val="20"/>
              </w:rPr>
              <w:t></w:t>
            </w:r>
            <w:r>
              <w:rPr>
                <w:sz w:val="20"/>
              </w:rPr>
              <w:t>F</w:t>
            </w:r>
          </w:p>
        </w:tc>
      </w:tr>
      <w:tr>
        <w:trPr>
          <w:trHeight w:val="728" w:hRule="atLeast"/>
        </w:trPr>
        <w:tc>
          <w:tcPr>
            <w:tcW w:w="1020" w:type="dxa"/>
          </w:tcPr>
          <w:p>
            <w:pPr>
              <w:pStyle w:val="TableParagraph"/>
              <w:spacing w:before="7"/>
              <w:rPr>
                <w:b/>
                <w:sz w:val="21"/>
              </w:rPr>
            </w:pPr>
          </w:p>
          <w:p>
            <w:pPr>
              <w:pStyle w:val="TableParagraph"/>
              <w:ind w:left="148" w:right="132"/>
              <w:jc w:val="center"/>
              <w:rPr>
                <w:sz w:val="20"/>
              </w:rPr>
            </w:pPr>
            <w:r>
              <w:rPr>
                <w:sz w:val="20"/>
              </w:rPr>
              <w:t>XTAL</w:t>
            </w:r>
          </w:p>
        </w:tc>
        <w:tc>
          <w:tcPr>
            <w:tcW w:w="1166" w:type="dxa"/>
          </w:tcPr>
          <w:p>
            <w:pPr>
              <w:pStyle w:val="TableParagraph"/>
              <w:spacing w:before="7"/>
              <w:rPr>
                <w:b/>
                <w:sz w:val="21"/>
              </w:rPr>
            </w:pPr>
          </w:p>
          <w:p>
            <w:pPr>
              <w:pStyle w:val="TableParagraph"/>
              <w:ind w:left="83" w:right="66"/>
              <w:jc w:val="center"/>
              <w:rPr>
                <w:sz w:val="20"/>
              </w:rPr>
            </w:pPr>
            <w:r>
              <w:rPr>
                <w:sz w:val="20"/>
              </w:rPr>
              <w:t>XIN</w:t>
            </w:r>
          </w:p>
        </w:tc>
        <w:tc>
          <w:tcPr>
            <w:tcW w:w="1164" w:type="dxa"/>
          </w:tcPr>
          <w:p>
            <w:pPr>
              <w:pStyle w:val="TableParagraph"/>
              <w:spacing w:before="7"/>
              <w:rPr>
                <w:b/>
                <w:sz w:val="21"/>
              </w:rPr>
            </w:pPr>
          </w:p>
          <w:p>
            <w:pPr>
              <w:pStyle w:val="TableParagraph"/>
              <w:ind w:left="264" w:right="247"/>
              <w:jc w:val="center"/>
              <w:rPr>
                <w:sz w:val="20"/>
              </w:rPr>
            </w:pPr>
            <w:r>
              <w:rPr>
                <w:sz w:val="20"/>
              </w:rPr>
              <w:t>XOUT</w:t>
            </w:r>
          </w:p>
        </w:tc>
        <w:tc>
          <w:tcPr>
            <w:tcW w:w="3917" w:type="dxa"/>
          </w:tcPr>
          <w:p>
            <w:pPr>
              <w:pStyle w:val="TableParagraph"/>
              <w:spacing w:before="18"/>
              <w:ind w:left="108" w:right="96"/>
              <w:rPr>
                <w:sz w:val="20"/>
              </w:rPr>
            </w:pPr>
            <w:r>
              <w:rPr>
                <w:sz w:val="20"/>
              </w:rPr>
              <w:t>32.768 kHz crystal – electrically equivalent to ECS .327-12.5-17X or Vishay XT26T, load capacitance 12.5 pF</w:t>
            </w:r>
          </w:p>
        </w:tc>
        <w:tc>
          <w:tcPr>
            <w:tcW w:w="1366" w:type="dxa"/>
          </w:tcPr>
          <w:p>
            <w:pPr>
              <w:pStyle w:val="TableParagraph"/>
              <w:spacing w:before="7"/>
              <w:rPr>
                <w:b/>
                <w:sz w:val="21"/>
              </w:rPr>
            </w:pPr>
          </w:p>
          <w:p>
            <w:pPr>
              <w:pStyle w:val="TableParagraph"/>
              <w:ind w:left="374"/>
              <w:rPr>
                <w:sz w:val="20"/>
              </w:rPr>
            </w:pPr>
            <w:r>
              <w:rPr>
                <w:sz w:val="20"/>
              </w:rPr>
              <w:t>32.768</w:t>
            </w:r>
          </w:p>
        </w:tc>
        <w:tc>
          <w:tcPr>
            <w:tcW w:w="728" w:type="dxa"/>
          </w:tcPr>
          <w:p>
            <w:pPr>
              <w:pStyle w:val="TableParagraph"/>
              <w:spacing w:before="7"/>
              <w:rPr>
                <w:b/>
                <w:sz w:val="21"/>
              </w:rPr>
            </w:pPr>
          </w:p>
          <w:p>
            <w:pPr>
              <w:pStyle w:val="TableParagraph"/>
              <w:ind w:left="146" w:right="130"/>
              <w:jc w:val="center"/>
              <w:rPr>
                <w:sz w:val="20"/>
              </w:rPr>
            </w:pPr>
            <w:r>
              <w:rPr>
                <w:sz w:val="20"/>
              </w:rPr>
              <w:t>kHz</w:t>
            </w:r>
          </w:p>
        </w:tc>
      </w:tr>
      <w:tr>
        <w:trPr>
          <w:trHeight w:val="284" w:hRule="atLeast"/>
        </w:trPr>
        <w:tc>
          <w:tcPr>
            <w:tcW w:w="1020" w:type="dxa"/>
          </w:tcPr>
          <w:p>
            <w:pPr>
              <w:pStyle w:val="TableParagraph"/>
              <w:spacing w:before="28"/>
              <w:ind w:left="148" w:right="128"/>
              <w:jc w:val="center"/>
              <w:rPr>
                <w:sz w:val="20"/>
              </w:rPr>
            </w:pPr>
            <w:r>
              <w:rPr>
                <w:sz w:val="20"/>
              </w:rPr>
              <w:t>CXS</w:t>
            </w:r>
          </w:p>
        </w:tc>
        <w:tc>
          <w:tcPr>
            <w:tcW w:w="1166" w:type="dxa"/>
          </w:tcPr>
          <w:p>
            <w:pPr>
              <w:pStyle w:val="TableParagraph"/>
              <w:spacing w:before="28"/>
              <w:ind w:left="83" w:right="67"/>
              <w:jc w:val="center"/>
              <w:rPr>
                <w:sz w:val="20"/>
              </w:rPr>
            </w:pPr>
            <w:r>
              <w:rPr>
                <w:sz w:val="20"/>
              </w:rPr>
              <w:t>XIN</w:t>
            </w:r>
          </w:p>
        </w:tc>
        <w:tc>
          <w:tcPr>
            <w:tcW w:w="1164" w:type="dxa"/>
          </w:tcPr>
          <w:p>
            <w:pPr>
              <w:pStyle w:val="TableParagraph"/>
              <w:spacing w:before="28"/>
              <w:ind w:left="265" w:right="247"/>
              <w:jc w:val="center"/>
              <w:rPr>
                <w:sz w:val="20"/>
              </w:rPr>
            </w:pPr>
            <w:r>
              <w:rPr>
                <w:sz w:val="20"/>
              </w:rPr>
              <w:t>GNDA</w:t>
            </w:r>
          </w:p>
        </w:tc>
        <w:tc>
          <w:tcPr>
            <w:tcW w:w="3917" w:type="dxa"/>
            <w:vMerge w:val="restart"/>
          </w:tcPr>
          <w:p>
            <w:pPr>
              <w:pStyle w:val="TableParagraph"/>
              <w:spacing w:before="18"/>
              <w:ind w:left="107" w:right="152"/>
              <w:rPr>
                <w:sz w:val="20"/>
              </w:rPr>
            </w:pPr>
            <w:r>
              <w:rPr>
                <w:sz w:val="20"/>
              </w:rPr>
              <w:t>Load capacitor values for crystal depend on crystal specifications and board parasitics. Nominal values are based on 4 pF board capacitance and include an allowance for chip capacitance.</w:t>
            </w:r>
          </w:p>
        </w:tc>
        <w:tc>
          <w:tcPr>
            <w:tcW w:w="1366" w:type="dxa"/>
          </w:tcPr>
          <w:p>
            <w:pPr>
              <w:pStyle w:val="TableParagraph"/>
              <w:spacing w:before="19"/>
              <w:ind w:left="285"/>
              <w:rPr>
                <w:sz w:val="20"/>
              </w:rPr>
            </w:pPr>
            <w:r>
              <w:rPr>
                <w:sz w:val="20"/>
              </w:rPr>
              <w:t>15 </w:t>
            </w:r>
            <w:r>
              <w:rPr>
                <w:rFonts w:ascii="Symbol" w:hAnsi="Symbol"/>
                <w:sz w:val="20"/>
              </w:rPr>
              <w:t></w:t>
            </w:r>
            <w:r>
              <w:rPr>
                <w:sz w:val="20"/>
              </w:rPr>
              <w:t>10%</w:t>
            </w:r>
          </w:p>
        </w:tc>
        <w:tc>
          <w:tcPr>
            <w:tcW w:w="728" w:type="dxa"/>
          </w:tcPr>
          <w:p>
            <w:pPr>
              <w:pStyle w:val="TableParagraph"/>
              <w:spacing w:before="28"/>
              <w:ind w:left="146" w:right="130"/>
              <w:jc w:val="center"/>
              <w:rPr>
                <w:sz w:val="20"/>
              </w:rPr>
            </w:pPr>
            <w:r>
              <w:rPr>
                <w:sz w:val="20"/>
              </w:rPr>
              <w:t>pF</w:t>
            </w:r>
          </w:p>
        </w:tc>
      </w:tr>
      <w:tr>
        <w:trPr>
          <w:trHeight w:val="887" w:hRule="atLeast"/>
        </w:trPr>
        <w:tc>
          <w:tcPr>
            <w:tcW w:w="1020" w:type="dxa"/>
          </w:tcPr>
          <w:p>
            <w:pPr>
              <w:pStyle w:val="TableParagraph"/>
              <w:spacing w:before="6"/>
              <w:rPr>
                <w:b/>
                <w:sz w:val="28"/>
              </w:rPr>
            </w:pPr>
          </w:p>
          <w:p>
            <w:pPr>
              <w:pStyle w:val="TableParagraph"/>
              <w:ind w:left="148" w:right="131"/>
              <w:jc w:val="center"/>
              <w:rPr>
                <w:sz w:val="20"/>
              </w:rPr>
            </w:pPr>
            <w:r>
              <w:rPr>
                <w:sz w:val="20"/>
              </w:rPr>
              <w:t>CXL</w:t>
            </w:r>
          </w:p>
        </w:tc>
        <w:tc>
          <w:tcPr>
            <w:tcW w:w="1166" w:type="dxa"/>
          </w:tcPr>
          <w:p>
            <w:pPr>
              <w:pStyle w:val="TableParagraph"/>
              <w:spacing w:before="6"/>
              <w:rPr>
                <w:b/>
                <w:sz w:val="28"/>
              </w:rPr>
            </w:pPr>
          </w:p>
          <w:p>
            <w:pPr>
              <w:pStyle w:val="TableParagraph"/>
              <w:ind w:left="83" w:right="69"/>
              <w:jc w:val="center"/>
              <w:rPr>
                <w:sz w:val="20"/>
              </w:rPr>
            </w:pPr>
            <w:r>
              <w:rPr>
                <w:sz w:val="20"/>
              </w:rPr>
              <w:t>XOUT</w:t>
            </w:r>
          </w:p>
        </w:tc>
        <w:tc>
          <w:tcPr>
            <w:tcW w:w="1164" w:type="dxa"/>
          </w:tcPr>
          <w:p>
            <w:pPr>
              <w:pStyle w:val="TableParagraph"/>
              <w:spacing w:before="6"/>
              <w:rPr>
                <w:b/>
                <w:sz w:val="28"/>
              </w:rPr>
            </w:pPr>
          </w:p>
          <w:p>
            <w:pPr>
              <w:pStyle w:val="TableParagraph"/>
              <w:ind w:left="265" w:right="247"/>
              <w:jc w:val="center"/>
              <w:rPr>
                <w:sz w:val="20"/>
              </w:rPr>
            </w:pPr>
            <w:r>
              <w:rPr>
                <w:sz w:val="20"/>
              </w:rPr>
              <w:t>GNDA</w:t>
            </w:r>
          </w:p>
        </w:tc>
        <w:tc>
          <w:tcPr>
            <w:tcW w:w="3917" w:type="dxa"/>
            <w:vMerge/>
            <w:tcBorders>
              <w:top w:val="nil"/>
            </w:tcBorders>
          </w:tcPr>
          <w:p>
            <w:pPr>
              <w:rPr>
                <w:sz w:val="2"/>
                <w:szCs w:val="2"/>
              </w:rPr>
            </w:pPr>
          </w:p>
        </w:tc>
        <w:tc>
          <w:tcPr>
            <w:tcW w:w="1366" w:type="dxa"/>
          </w:tcPr>
          <w:p>
            <w:pPr>
              <w:pStyle w:val="TableParagraph"/>
              <w:spacing w:before="11"/>
              <w:rPr>
                <w:b/>
                <w:sz w:val="27"/>
              </w:rPr>
            </w:pPr>
          </w:p>
          <w:p>
            <w:pPr>
              <w:pStyle w:val="TableParagraph"/>
              <w:ind w:left="285"/>
              <w:rPr>
                <w:sz w:val="20"/>
              </w:rPr>
            </w:pPr>
            <w:r>
              <w:rPr>
                <w:sz w:val="20"/>
              </w:rPr>
              <w:t>10 </w:t>
            </w:r>
            <w:r>
              <w:rPr>
                <w:rFonts w:ascii="Symbol" w:hAnsi="Symbol"/>
                <w:sz w:val="20"/>
              </w:rPr>
              <w:t></w:t>
            </w:r>
            <w:r>
              <w:rPr>
                <w:sz w:val="20"/>
              </w:rPr>
              <w:t>10%</w:t>
            </w:r>
          </w:p>
        </w:tc>
        <w:tc>
          <w:tcPr>
            <w:tcW w:w="728" w:type="dxa"/>
          </w:tcPr>
          <w:p>
            <w:pPr>
              <w:pStyle w:val="TableParagraph"/>
              <w:spacing w:before="6"/>
              <w:rPr>
                <w:b/>
                <w:sz w:val="28"/>
              </w:rPr>
            </w:pPr>
          </w:p>
          <w:p>
            <w:pPr>
              <w:pStyle w:val="TableParagraph"/>
              <w:ind w:left="146" w:right="130"/>
              <w:jc w:val="center"/>
              <w:rPr>
                <w:sz w:val="20"/>
              </w:rPr>
            </w:pPr>
            <w:r>
              <w:rPr>
                <w:sz w:val="20"/>
              </w:rPr>
              <w:t>pF</w:t>
            </w:r>
          </w:p>
        </w:tc>
      </w:tr>
    </w:tbl>
    <w:p>
      <w:pPr>
        <w:pStyle w:val="BodyText"/>
        <w:spacing w:before="5"/>
        <w:rPr>
          <w:b/>
          <w:sz w:val="19"/>
        </w:rPr>
      </w:pPr>
    </w:p>
    <w:p>
      <w:pPr>
        <w:pStyle w:val="ListParagraph"/>
        <w:numPr>
          <w:ilvl w:val="1"/>
          <w:numId w:val="22"/>
        </w:numPr>
        <w:tabs>
          <w:tab w:pos="1199" w:val="left" w:leader="none"/>
          <w:tab w:pos="1200" w:val="left" w:leader="none"/>
        </w:tabs>
        <w:spacing w:line="240" w:lineRule="auto" w:before="1" w:after="0"/>
        <w:ind w:left="1200" w:right="0" w:hanging="720"/>
        <w:jc w:val="left"/>
        <w:rPr>
          <w:b/>
          <w:sz w:val="24"/>
        </w:rPr>
      </w:pPr>
      <w:bookmarkStart w:name="6.3 Recommended Operating Conditions" w:id="509"/>
      <w:bookmarkEnd w:id="509"/>
      <w:r>
        <w:rPr/>
      </w:r>
      <w:bookmarkStart w:name="_bookmark248" w:id="510"/>
      <w:bookmarkEnd w:id="510"/>
      <w:r>
        <w:rPr/>
      </w:r>
      <w:bookmarkStart w:name="_bookmark248" w:id="511"/>
      <w:bookmarkEnd w:id="511"/>
      <w:r>
        <w:rPr>
          <w:b/>
          <w:sz w:val="24"/>
        </w:rPr>
        <w:t>R</w:t>
      </w:r>
      <w:r>
        <w:rPr>
          <w:b/>
          <w:sz w:val="24"/>
        </w:rPr>
        <w:t>ecommended Operating</w:t>
      </w:r>
      <w:r>
        <w:rPr>
          <w:b/>
          <w:spacing w:val="-3"/>
          <w:sz w:val="24"/>
        </w:rPr>
        <w:t> </w:t>
      </w:r>
      <w:r>
        <w:rPr>
          <w:b/>
          <w:sz w:val="24"/>
        </w:rPr>
        <w:t>Conditions</w:t>
      </w:r>
    </w:p>
    <w:p>
      <w:pPr>
        <w:pStyle w:val="BodyText"/>
        <w:spacing w:before="121"/>
        <w:ind w:left="480" w:right="803" w:hanging="1"/>
      </w:pPr>
      <w:r>
        <w:rPr/>
        <w:t>Unless otherwise specified, all parameters listed under </w:t>
      </w:r>
      <w:hyperlink w:history="true" w:anchor="_bookmark250">
        <w:r>
          <w:rPr>
            <w:color w:val="0000FF"/>
          </w:rPr>
          <w:t>6.4 </w:t>
        </w:r>
      </w:hyperlink>
      <w:hyperlink w:history="true" w:anchor="_bookmark250">
        <w:r>
          <w:rPr>
            <w:color w:val="0000FF"/>
          </w:rPr>
          <w:t>Performance Specifications </w:t>
        </w:r>
      </w:hyperlink>
      <w:r>
        <w:rPr/>
        <w:t>and </w:t>
      </w:r>
      <w:hyperlink w:history="true" w:anchor="_bookmark283">
        <w:r>
          <w:rPr>
            <w:color w:val="0000FF"/>
          </w:rPr>
          <w:t>6.5 </w:t>
        </w:r>
      </w:hyperlink>
      <w:hyperlink w:history="true" w:anchor="_bookmark283">
        <w:r>
          <w:rPr>
            <w:color w:val="0000FF"/>
          </w:rPr>
          <w:t>Timing</w:t>
        </w:r>
      </w:hyperlink>
      <w:r>
        <w:rPr>
          <w:color w:val="0000FF"/>
        </w:rPr>
        <w:t> </w:t>
      </w:r>
      <w:hyperlink w:history="true" w:anchor="_bookmark283">
        <w:r>
          <w:rPr>
            <w:color w:val="0000FF"/>
          </w:rPr>
          <w:t>Specifications </w:t>
        </w:r>
      </w:hyperlink>
      <w:r>
        <w:rPr/>
        <w:t>are valid over the Recommended Operating Conditions provided in </w:t>
      </w:r>
      <w:hyperlink w:history="true" w:anchor="_bookmark249">
        <w:r>
          <w:rPr>
            <w:color w:val="0000FF"/>
          </w:rPr>
          <w:t>Table 88 </w:t>
        </w:r>
      </w:hyperlink>
      <w:r>
        <w:rPr/>
        <w:t>below.</w:t>
      </w:r>
    </w:p>
    <w:p>
      <w:pPr>
        <w:pStyle w:val="Heading1"/>
        <w:spacing w:before="119"/>
        <w:ind w:left="774" w:right="797"/>
      </w:pPr>
      <w:bookmarkStart w:name="_bookmark249" w:id="512"/>
      <w:bookmarkEnd w:id="512"/>
      <w:r>
        <w:rPr>
          <w:b w:val="0"/>
        </w:rPr>
      </w:r>
      <w:r>
        <w:rPr/>
        <w:t>Table 88: Recommended Operating Conditions</w:t>
      </w:r>
    </w:p>
    <w:p>
      <w:pPr>
        <w:pStyle w:val="BodyText"/>
        <w:spacing w:before="8"/>
        <w:rPr>
          <w:b/>
          <w:sz w:val="5"/>
        </w:rPr>
      </w:pPr>
    </w:p>
    <w:tbl>
      <w:tblPr>
        <w:tblW w:w="0" w:type="auto"/>
        <w:jc w:val="left"/>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642"/>
        <w:gridCol w:w="2043"/>
        <w:gridCol w:w="670"/>
        <w:gridCol w:w="670"/>
        <w:gridCol w:w="668"/>
        <w:gridCol w:w="670"/>
      </w:tblGrid>
      <w:tr>
        <w:trPr>
          <w:trHeight w:val="308" w:hRule="atLeast"/>
        </w:trPr>
        <w:tc>
          <w:tcPr>
            <w:tcW w:w="4642" w:type="dxa"/>
          </w:tcPr>
          <w:p>
            <w:pPr>
              <w:pStyle w:val="TableParagraph"/>
              <w:spacing w:before="35"/>
              <w:ind w:left="107"/>
              <w:rPr>
                <w:b/>
                <w:sz w:val="20"/>
              </w:rPr>
            </w:pPr>
            <w:r>
              <w:rPr>
                <w:b/>
                <w:sz w:val="20"/>
              </w:rPr>
              <w:t>Parameter</w:t>
            </w:r>
          </w:p>
        </w:tc>
        <w:tc>
          <w:tcPr>
            <w:tcW w:w="2043" w:type="dxa"/>
          </w:tcPr>
          <w:p>
            <w:pPr>
              <w:pStyle w:val="TableParagraph"/>
              <w:spacing w:before="35"/>
              <w:ind w:left="107"/>
              <w:rPr>
                <w:b/>
                <w:sz w:val="20"/>
              </w:rPr>
            </w:pPr>
            <w:r>
              <w:rPr>
                <w:b/>
                <w:sz w:val="20"/>
              </w:rPr>
              <w:t>Condition</w:t>
            </w:r>
          </w:p>
        </w:tc>
        <w:tc>
          <w:tcPr>
            <w:tcW w:w="670" w:type="dxa"/>
          </w:tcPr>
          <w:p>
            <w:pPr>
              <w:pStyle w:val="TableParagraph"/>
              <w:spacing w:before="35"/>
              <w:ind w:left="161"/>
              <w:rPr>
                <w:b/>
                <w:sz w:val="20"/>
              </w:rPr>
            </w:pPr>
            <w:r>
              <w:rPr>
                <w:b/>
                <w:sz w:val="20"/>
              </w:rPr>
              <w:t>Min</w:t>
            </w:r>
          </w:p>
        </w:tc>
        <w:tc>
          <w:tcPr>
            <w:tcW w:w="670" w:type="dxa"/>
          </w:tcPr>
          <w:p>
            <w:pPr>
              <w:pStyle w:val="TableParagraph"/>
              <w:spacing w:before="35"/>
              <w:ind w:left="154"/>
              <w:rPr>
                <w:b/>
                <w:sz w:val="20"/>
              </w:rPr>
            </w:pPr>
            <w:r>
              <w:rPr>
                <w:b/>
                <w:sz w:val="20"/>
              </w:rPr>
              <w:t>Typ</w:t>
            </w:r>
          </w:p>
        </w:tc>
        <w:tc>
          <w:tcPr>
            <w:tcW w:w="668" w:type="dxa"/>
          </w:tcPr>
          <w:p>
            <w:pPr>
              <w:pStyle w:val="TableParagraph"/>
              <w:spacing w:before="35"/>
              <w:ind w:left="137"/>
              <w:rPr>
                <w:b/>
                <w:sz w:val="20"/>
              </w:rPr>
            </w:pPr>
            <w:r>
              <w:rPr>
                <w:b/>
                <w:sz w:val="20"/>
              </w:rPr>
              <w:t>Max</w:t>
            </w:r>
          </w:p>
        </w:tc>
        <w:tc>
          <w:tcPr>
            <w:tcW w:w="670" w:type="dxa"/>
          </w:tcPr>
          <w:p>
            <w:pPr>
              <w:pStyle w:val="TableParagraph"/>
              <w:spacing w:before="35"/>
              <w:ind w:left="115" w:right="105"/>
              <w:jc w:val="center"/>
              <w:rPr>
                <w:b/>
                <w:sz w:val="20"/>
              </w:rPr>
            </w:pPr>
            <w:r>
              <w:rPr>
                <w:b/>
                <w:sz w:val="20"/>
              </w:rPr>
              <w:t>Unit</w:t>
            </w:r>
          </w:p>
        </w:tc>
      </w:tr>
      <w:tr>
        <w:trPr>
          <w:trHeight w:val="750" w:hRule="atLeast"/>
        </w:trPr>
        <w:tc>
          <w:tcPr>
            <w:tcW w:w="4642" w:type="dxa"/>
          </w:tcPr>
          <w:p>
            <w:pPr>
              <w:pStyle w:val="TableParagraph"/>
              <w:spacing w:before="21"/>
              <w:ind w:left="107" w:right="35"/>
              <w:rPr>
                <w:sz w:val="20"/>
              </w:rPr>
            </w:pPr>
            <w:r>
              <w:rPr>
                <w:spacing w:val="-2"/>
                <w:sz w:val="20"/>
              </w:rPr>
              <w:t>V3P3SYS </w:t>
            </w:r>
            <w:r>
              <w:rPr>
                <w:sz w:val="20"/>
              </w:rPr>
              <w:t>and V3P3A Supply Voltage for </w:t>
            </w:r>
            <w:r>
              <w:rPr>
                <w:spacing w:val="-3"/>
                <w:sz w:val="20"/>
              </w:rPr>
              <w:t>precision </w:t>
            </w:r>
            <w:r>
              <w:rPr>
                <w:sz w:val="20"/>
              </w:rPr>
              <w:t>metering operation (MSN mode). Voltages at VBAT and VBAT_RTC need not be present.</w:t>
            </w:r>
          </w:p>
        </w:tc>
        <w:tc>
          <w:tcPr>
            <w:tcW w:w="2043" w:type="dxa"/>
          </w:tcPr>
          <w:p>
            <w:pPr>
              <w:pStyle w:val="TableParagraph"/>
              <w:spacing w:line="256" w:lineRule="auto" w:before="21"/>
              <w:ind w:left="107" w:right="156" w:hanging="1"/>
              <w:rPr>
                <w:sz w:val="20"/>
              </w:rPr>
            </w:pPr>
            <w:r>
              <w:rPr>
                <w:sz w:val="20"/>
              </w:rPr>
              <w:t>VBAT=0 V to 3.8 V VBAT_RTC =0 V to</w:t>
            </w:r>
          </w:p>
          <w:p>
            <w:pPr>
              <w:pStyle w:val="TableParagraph"/>
              <w:spacing w:line="217" w:lineRule="exact"/>
              <w:ind w:left="107"/>
              <w:rPr>
                <w:sz w:val="20"/>
              </w:rPr>
            </w:pPr>
            <w:r>
              <w:rPr>
                <w:sz w:val="20"/>
              </w:rPr>
              <w:t>3.8 V</w:t>
            </w:r>
          </w:p>
        </w:tc>
        <w:tc>
          <w:tcPr>
            <w:tcW w:w="670" w:type="dxa"/>
          </w:tcPr>
          <w:p>
            <w:pPr>
              <w:pStyle w:val="TableParagraph"/>
              <w:spacing w:before="7"/>
              <w:rPr>
                <w:b/>
                <w:sz w:val="22"/>
              </w:rPr>
            </w:pPr>
          </w:p>
          <w:p>
            <w:pPr>
              <w:pStyle w:val="TableParagraph"/>
              <w:spacing w:before="1"/>
              <w:ind w:left="193"/>
              <w:rPr>
                <w:sz w:val="20"/>
              </w:rPr>
            </w:pPr>
            <w:r>
              <w:rPr>
                <w:sz w:val="20"/>
              </w:rPr>
              <w:t>3.0</w:t>
            </w:r>
          </w:p>
        </w:tc>
        <w:tc>
          <w:tcPr>
            <w:tcW w:w="670" w:type="dxa"/>
          </w:tcPr>
          <w:p>
            <w:pPr>
              <w:pStyle w:val="TableParagraph"/>
              <w:rPr>
                <w:rFonts w:ascii="Times New Roman"/>
                <w:sz w:val="20"/>
              </w:rPr>
            </w:pPr>
          </w:p>
        </w:tc>
        <w:tc>
          <w:tcPr>
            <w:tcW w:w="668" w:type="dxa"/>
          </w:tcPr>
          <w:p>
            <w:pPr>
              <w:pStyle w:val="TableParagraph"/>
              <w:spacing w:before="7"/>
              <w:rPr>
                <w:b/>
                <w:sz w:val="22"/>
              </w:rPr>
            </w:pPr>
          </w:p>
          <w:p>
            <w:pPr>
              <w:pStyle w:val="TableParagraph"/>
              <w:spacing w:before="1"/>
              <w:ind w:left="192"/>
              <w:rPr>
                <w:sz w:val="20"/>
              </w:rPr>
            </w:pPr>
            <w:r>
              <w:rPr>
                <w:sz w:val="20"/>
              </w:rPr>
              <w:t>3.6</w:t>
            </w:r>
          </w:p>
        </w:tc>
        <w:tc>
          <w:tcPr>
            <w:tcW w:w="670" w:type="dxa"/>
          </w:tcPr>
          <w:p>
            <w:pPr>
              <w:pStyle w:val="TableParagraph"/>
              <w:spacing w:before="7"/>
              <w:rPr>
                <w:b/>
                <w:sz w:val="22"/>
              </w:rPr>
            </w:pPr>
          </w:p>
          <w:p>
            <w:pPr>
              <w:pStyle w:val="TableParagraph"/>
              <w:spacing w:before="1"/>
              <w:ind w:left="10"/>
              <w:jc w:val="center"/>
              <w:rPr>
                <w:sz w:val="20"/>
              </w:rPr>
            </w:pPr>
            <w:r>
              <w:rPr>
                <w:w w:val="99"/>
                <w:sz w:val="20"/>
              </w:rPr>
              <w:t>V</w:t>
            </w:r>
          </w:p>
        </w:tc>
      </w:tr>
      <w:tr>
        <w:trPr>
          <w:trHeight w:val="980" w:hRule="atLeast"/>
        </w:trPr>
        <w:tc>
          <w:tcPr>
            <w:tcW w:w="4642" w:type="dxa"/>
          </w:tcPr>
          <w:p>
            <w:pPr>
              <w:pStyle w:val="TableParagraph"/>
              <w:spacing w:before="21"/>
              <w:ind w:left="107" w:right="81"/>
              <w:rPr>
                <w:sz w:val="20"/>
              </w:rPr>
            </w:pPr>
            <w:r>
              <w:rPr>
                <w:sz w:val="20"/>
              </w:rPr>
              <w:t>VBAT Voltage (BRN mode). V3P3SYS is below the 2.8 V comparator threshold. Either V3P3SYS or VBAT_RTC must be high enough to power the RTC module.</w:t>
            </w:r>
          </w:p>
        </w:tc>
        <w:tc>
          <w:tcPr>
            <w:tcW w:w="2043" w:type="dxa"/>
          </w:tcPr>
          <w:p>
            <w:pPr>
              <w:pStyle w:val="TableParagraph"/>
              <w:spacing w:before="21"/>
              <w:ind w:left="107"/>
              <w:rPr>
                <w:sz w:val="20"/>
              </w:rPr>
            </w:pPr>
            <w:r>
              <w:rPr>
                <w:sz w:val="20"/>
              </w:rPr>
              <w:t>V3P3SYS &lt; 2.8 V</w:t>
            </w:r>
          </w:p>
          <w:p>
            <w:pPr>
              <w:pStyle w:val="TableParagraph"/>
              <w:ind w:left="107"/>
              <w:rPr>
                <w:sz w:val="20"/>
              </w:rPr>
            </w:pPr>
            <w:r>
              <w:rPr>
                <w:sz w:val="20"/>
              </w:rPr>
              <w:t>and</w:t>
            </w:r>
          </w:p>
          <w:p>
            <w:pPr>
              <w:pStyle w:val="TableParagraph"/>
              <w:spacing w:line="230" w:lineRule="atLeast" w:before="17"/>
              <w:ind w:left="107" w:right="245"/>
              <w:rPr>
                <w:sz w:val="20"/>
              </w:rPr>
            </w:pPr>
            <w:r>
              <w:rPr>
                <w:sz w:val="20"/>
              </w:rPr>
              <w:t>Max(VBAT_RTC, V3P3SYS) &gt; 2.0 V</w:t>
            </w:r>
          </w:p>
        </w:tc>
        <w:tc>
          <w:tcPr>
            <w:tcW w:w="670" w:type="dxa"/>
          </w:tcPr>
          <w:p>
            <w:pPr>
              <w:pStyle w:val="TableParagraph"/>
              <w:spacing w:before="5"/>
              <w:rPr>
                <w:b/>
                <w:sz w:val="32"/>
              </w:rPr>
            </w:pPr>
          </w:p>
          <w:p>
            <w:pPr>
              <w:pStyle w:val="TableParagraph"/>
              <w:ind w:left="193"/>
              <w:rPr>
                <w:sz w:val="20"/>
              </w:rPr>
            </w:pPr>
            <w:r>
              <w:rPr>
                <w:sz w:val="20"/>
              </w:rPr>
              <w:t>2.5</w:t>
            </w:r>
          </w:p>
        </w:tc>
        <w:tc>
          <w:tcPr>
            <w:tcW w:w="670" w:type="dxa"/>
          </w:tcPr>
          <w:p>
            <w:pPr>
              <w:pStyle w:val="TableParagraph"/>
              <w:rPr>
                <w:rFonts w:ascii="Times New Roman"/>
                <w:sz w:val="20"/>
              </w:rPr>
            </w:pPr>
          </w:p>
        </w:tc>
        <w:tc>
          <w:tcPr>
            <w:tcW w:w="668" w:type="dxa"/>
          </w:tcPr>
          <w:p>
            <w:pPr>
              <w:pStyle w:val="TableParagraph"/>
              <w:spacing w:before="5"/>
              <w:rPr>
                <w:b/>
                <w:sz w:val="32"/>
              </w:rPr>
            </w:pPr>
          </w:p>
          <w:p>
            <w:pPr>
              <w:pStyle w:val="TableParagraph"/>
              <w:ind w:left="192"/>
              <w:rPr>
                <w:sz w:val="20"/>
              </w:rPr>
            </w:pPr>
            <w:r>
              <w:rPr>
                <w:sz w:val="20"/>
              </w:rPr>
              <w:t>3.8</w:t>
            </w:r>
          </w:p>
        </w:tc>
        <w:tc>
          <w:tcPr>
            <w:tcW w:w="670" w:type="dxa"/>
          </w:tcPr>
          <w:p>
            <w:pPr>
              <w:pStyle w:val="TableParagraph"/>
              <w:spacing w:before="5"/>
              <w:rPr>
                <w:b/>
                <w:sz w:val="32"/>
              </w:rPr>
            </w:pPr>
          </w:p>
          <w:p>
            <w:pPr>
              <w:pStyle w:val="TableParagraph"/>
              <w:ind w:left="10"/>
              <w:jc w:val="center"/>
              <w:rPr>
                <w:sz w:val="20"/>
              </w:rPr>
            </w:pPr>
            <w:r>
              <w:rPr>
                <w:w w:val="99"/>
                <w:sz w:val="20"/>
              </w:rPr>
              <w:t>V</w:t>
            </w:r>
          </w:p>
        </w:tc>
      </w:tr>
      <w:tr>
        <w:trPr>
          <w:trHeight w:val="728" w:hRule="atLeast"/>
        </w:trPr>
        <w:tc>
          <w:tcPr>
            <w:tcW w:w="4642" w:type="dxa"/>
          </w:tcPr>
          <w:p>
            <w:pPr>
              <w:pStyle w:val="TableParagraph"/>
              <w:spacing w:before="18"/>
              <w:ind w:left="107" w:right="81"/>
              <w:rPr>
                <w:sz w:val="20"/>
              </w:rPr>
            </w:pPr>
            <w:r>
              <w:rPr>
                <w:sz w:val="20"/>
              </w:rPr>
              <w:t>VBAT_RTC Voltage. VBAT_RTC is not needed to support the RTC and non-volatile memory unless V3P3SYS&lt;2.0 V</w:t>
            </w:r>
          </w:p>
        </w:tc>
        <w:tc>
          <w:tcPr>
            <w:tcW w:w="2043" w:type="dxa"/>
          </w:tcPr>
          <w:p>
            <w:pPr>
              <w:pStyle w:val="TableParagraph"/>
              <w:spacing w:before="7"/>
              <w:rPr>
                <w:b/>
                <w:sz w:val="21"/>
              </w:rPr>
            </w:pPr>
          </w:p>
          <w:p>
            <w:pPr>
              <w:pStyle w:val="TableParagraph"/>
              <w:ind w:left="107"/>
              <w:rPr>
                <w:sz w:val="20"/>
              </w:rPr>
            </w:pPr>
            <w:r>
              <w:rPr>
                <w:sz w:val="20"/>
              </w:rPr>
              <w:t>V3P3SYS&lt;2.0 V</w:t>
            </w:r>
          </w:p>
        </w:tc>
        <w:tc>
          <w:tcPr>
            <w:tcW w:w="670" w:type="dxa"/>
          </w:tcPr>
          <w:p>
            <w:pPr>
              <w:pStyle w:val="TableParagraph"/>
              <w:spacing w:before="7"/>
              <w:rPr>
                <w:b/>
                <w:sz w:val="21"/>
              </w:rPr>
            </w:pPr>
          </w:p>
          <w:p>
            <w:pPr>
              <w:pStyle w:val="TableParagraph"/>
              <w:ind w:left="193"/>
              <w:rPr>
                <w:sz w:val="20"/>
              </w:rPr>
            </w:pPr>
            <w:r>
              <w:rPr>
                <w:sz w:val="20"/>
              </w:rPr>
              <w:t>2.0</w:t>
            </w:r>
          </w:p>
        </w:tc>
        <w:tc>
          <w:tcPr>
            <w:tcW w:w="670" w:type="dxa"/>
          </w:tcPr>
          <w:p>
            <w:pPr>
              <w:pStyle w:val="TableParagraph"/>
              <w:rPr>
                <w:rFonts w:ascii="Times New Roman"/>
                <w:sz w:val="20"/>
              </w:rPr>
            </w:pPr>
          </w:p>
        </w:tc>
        <w:tc>
          <w:tcPr>
            <w:tcW w:w="668" w:type="dxa"/>
          </w:tcPr>
          <w:p>
            <w:pPr>
              <w:pStyle w:val="TableParagraph"/>
              <w:spacing w:before="7"/>
              <w:rPr>
                <w:b/>
                <w:sz w:val="21"/>
              </w:rPr>
            </w:pPr>
          </w:p>
          <w:p>
            <w:pPr>
              <w:pStyle w:val="TableParagraph"/>
              <w:ind w:left="192"/>
              <w:rPr>
                <w:sz w:val="20"/>
              </w:rPr>
            </w:pPr>
            <w:r>
              <w:rPr>
                <w:sz w:val="20"/>
              </w:rPr>
              <w:t>3.8</w:t>
            </w:r>
          </w:p>
        </w:tc>
        <w:tc>
          <w:tcPr>
            <w:tcW w:w="670" w:type="dxa"/>
          </w:tcPr>
          <w:p>
            <w:pPr>
              <w:pStyle w:val="TableParagraph"/>
              <w:spacing w:before="7"/>
              <w:rPr>
                <w:b/>
                <w:sz w:val="21"/>
              </w:rPr>
            </w:pPr>
          </w:p>
          <w:p>
            <w:pPr>
              <w:pStyle w:val="TableParagraph"/>
              <w:ind w:left="10"/>
              <w:jc w:val="center"/>
              <w:rPr>
                <w:sz w:val="20"/>
              </w:rPr>
            </w:pPr>
            <w:r>
              <w:rPr>
                <w:w w:val="99"/>
                <w:sz w:val="20"/>
              </w:rPr>
              <w:t>V</w:t>
            </w:r>
          </w:p>
        </w:tc>
      </w:tr>
      <w:tr>
        <w:trPr>
          <w:trHeight w:val="270" w:hRule="atLeast"/>
        </w:trPr>
        <w:tc>
          <w:tcPr>
            <w:tcW w:w="4642" w:type="dxa"/>
          </w:tcPr>
          <w:p>
            <w:pPr>
              <w:pStyle w:val="TableParagraph"/>
              <w:spacing w:line="230" w:lineRule="exact" w:before="21"/>
              <w:ind w:left="107"/>
              <w:rPr>
                <w:sz w:val="20"/>
              </w:rPr>
            </w:pPr>
            <w:r>
              <w:rPr>
                <w:sz w:val="20"/>
              </w:rPr>
              <w:t>Operating Temperature</w:t>
            </w:r>
          </w:p>
        </w:tc>
        <w:tc>
          <w:tcPr>
            <w:tcW w:w="2043" w:type="dxa"/>
          </w:tcPr>
          <w:p>
            <w:pPr>
              <w:pStyle w:val="TableParagraph"/>
              <w:rPr>
                <w:rFonts w:ascii="Times New Roman"/>
                <w:sz w:val="20"/>
              </w:rPr>
            </w:pPr>
          </w:p>
        </w:tc>
        <w:tc>
          <w:tcPr>
            <w:tcW w:w="670" w:type="dxa"/>
          </w:tcPr>
          <w:p>
            <w:pPr>
              <w:pStyle w:val="TableParagraph"/>
              <w:spacing w:line="230" w:lineRule="exact" w:before="21"/>
              <w:ind w:left="188"/>
              <w:rPr>
                <w:sz w:val="20"/>
              </w:rPr>
            </w:pPr>
            <w:r>
              <w:rPr>
                <w:sz w:val="20"/>
              </w:rPr>
              <w:t>-40</w:t>
            </w:r>
          </w:p>
        </w:tc>
        <w:tc>
          <w:tcPr>
            <w:tcW w:w="670" w:type="dxa"/>
          </w:tcPr>
          <w:p>
            <w:pPr>
              <w:pStyle w:val="TableParagraph"/>
              <w:rPr>
                <w:rFonts w:ascii="Times New Roman"/>
                <w:sz w:val="20"/>
              </w:rPr>
            </w:pPr>
          </w:p>
        </w:tc>
        <w:tc>
          <w:tcPr>
            <w:tcW w:w="668" w:type="dxa"/>
          </w:tcPr>
          <w:p>
            <w:pPr>
              <w:pStyle w:val="TableParagraph"/>
              <w:spacing w:line="230" w:lineRule="exact" w:before="21"/>
              <w:ind w:left="163"/>
              <w:rPr>
                <w:sz w:val="20"/>
              </w:rPr>
            </w:pPr>
            <w:r>
              <w:rPr>
                <w:sz w:val="20"/>
              </w:rPr>
              <w:t>+85</w:t>
            </w:r>
          </w:p>
        </w:tc>
        <w:tc>
          <w:tcPr>
            <w:tcW w:w="670" w:type="dxa"/>
          </w:tcPr>
          <w:p>
            <w:pPr>
              <w:pStyle w:val="TableParagraph"/>
              <w:spacing w:line="230" w:lineRule="exact" w:before="21"/>
              <w:ind w:left="115" w:right="104"/>
              <w:jc w:val="center"/>
              <w:rPr>
                <w:sz w:val="20"/>
              </w:rPr>
            </w:pPr>
            <w:r>
              <w:rPr>
                <w:sz w:val="20"/>
              </w:rPr>
              <w:t>ºC</w:t>
            </w:r>
          </w:p>
        </w:tc>
      </w:tr>
      <w:tr>
        <w:trPr>
          <w:trHeight w:val="772" w:hRule="atLeast"/>
        </w:trPr>
        <w:tc>
          <w:tcPr>
            <w:tcW w:w="9363" w:type="dxa"/>
            <w:gridSpan w:val="6"/>
          </w:tcPr>
          <w:p>
            <w:pPr>
              <w:pStyle w:val="TableParagraph"/>
              <w:spacing w:before="35"/>
              <w:ind w:left="107"/>
              <w:rPr>
                <w:b/>
                <w:sz w:val="20"/>
              </w:rPr>
            </w:pPr>
            <w:r>
              <w:rPr>
                <w:b/>
                <w:sz w:val="20"/>
              </w:rPr>
              <w:t>Notes:</w:t>
            </w:r>
          </w:p>
          <w:p>
            <w:pPr>
              <w:pStyle w:val="TableParagraph"/>
              <w:numPr>
                <w:ilvl w:val="0"/>
                <w:numId w:val="32"/>
              </w:numPr>
              <w:tabs>
                <w:tab w:pos="828" w:val="left" w:leader="none"/>
              </w:tabs>
              <w:spacing w:line="229" w:lineRule="exact" w:before="43" w:after="0"/>
              <w:ind w:left="827" w:right="0" w:hanging="361"/>
              <w:jc w:val="left"/>
              <w:rPr>
                <w:sz w:val="20"/>
              </w:rPr>
            </w:pPr>
            <w:r>
              <w:rPr>
                <w:sz w:val="20"/>
              </w:rPr>
              <w:t>GNDA and GNDD must be connected</w:t>
            </w:r>
            <w:r>
              <w:rPr>
                <w:spacing w:val="-8"/>
                <w:sz w:val="20"/>
              </w:rPr>
              <w:t> </w:t>
            </w:r>
            <w:r>
              <w:rPr>
                <w:sz w:val="20"/>
              </w:rPr>
              <w:t>together.</w:t>
            </w:r>
          </w:p>
          <w:p>
            <w:pPr>
              <w:pStyle w:val="TableParagraph"/>
              <w:numPr>
                <w:ilvl w:val="0"/>
                <w:numId w:val="32"/>
              </w:numPr>
              <w:tabs>
                <w:tab w:pos="828" w:val="left" w:leader="none"/>
              </w:tabs>
              <w:spacing w:line="214" w:lineRule="exact" w:before="0" w:after="0"/>
              <w:ind w:left="827" w:right="0" w:hanging="361"/>
              <w:jc w:val="left"/>
              <w:rPr>
                <w:sz w:val="20"/>
              </w:rPr>
            </w:pPr>
            <w:r>
              <w:rPr>
                <w:sz w:val="20"/>
              </w:rPr>
              <w:t>V3P3SYS and V3P3A must be connected</w:t>
            </w:r>
            <w:r>
              <w:rPr>
                <w:spacing w:val="-4"/>
                <w:sz w:val="20"/>
              </w:rPr>
              <w:t> </w:t>
            </w:r>
            <w:r>
              <w:rPr>
                <w:sz w:val="20"/>
              </w:rPr>
              <w:t>together.</w:t>
            </w:r>
          </w:p>
        </w:tc>
      </w:tr>
    </w:tbl>
    <w:p>
      <w:pPr>
        <w:spacing w:after="0" w:line="214" w:lineRule="exact"/>
        <w:jc w:val="left"/>
        <w:rPr>
          <w:sz w:val="20"/>
        </w:rPr>
        <w:sectPr>
          <w:pgSz w:w="12240" w:h="15840"/>
          <w:pgMar w:header="727" w:footer="819" w:top="1160" w:bottom="1000" w:left="960" w:right="940"/>
        </w:sectPr>
      </w:pPr>
    </w:p>
    <w:p>
      <w:pPr>
        <w:pStyle w:val="ListParagraph"/>
        <w:numPr>
          <w:ilvl w:val="1"/>
          <w:numId w:val="22"/>
        </w:numPr>
        <w:tabs>
          <w:tab w:pos="1199" w:val="left" w:leader="none"/>
          <w:tab w:pos="1200" w:val="left" w:leader="none"/>
        </w:tabs>
        <w:spacing w:line="240" w:lineRule="auto" w:before="91" w:after="0"/>
        <w:ind w:left="1200" w:right="0" w:hanging="720"/>
        <w:jc w:val="left"/>
        <w:rPr>
          <w:b/>
          <w:sz w:val="24"/>
        </w:rPr>
      </w:pPr>
      <w:bookmarkStart w:name="6.4  Performance Specifications" w:id="513"/>
      <w:bookmarkEnd w:id="513"/>
      <w:r>
        <w:rPr/>
      </w:r>
      <w:bookmarkStart w:name="_bookmark250" w:id="514"/>
      <w:bookmarkEnd w:id="514"/>
      <w:r>
        <w:rPr/>
      </w:r>
      <w:bookmarkStart w:name="_bookmark250" w:id="515"/>
      <w:bookmarkEnd w:id="515"/>
      <w:r>
        <w:rPr>
          <w:b/>
          <w:sz w:val="24"/>
        </w:rPr>
        <w:t>Per</w:t>
      </w:r>
      <w:r>
        <w:rPr>
          <w:b/>
          <w:sz w:val="24"/>
        </w:rPr>
        <w:t>formance Specifications</w:t>
      </w:r>
    </w:p>
    <w:p>
      <w:pPr>
        <w:pStyle w:val="ListParagraph"/>
        <w:numPr>
          <w:ilvl w:val="2"/>
          <w:numId w:val="33"/>
        </w:numPr>
        <w:tabs>
          <w:tab w:pos="1199" w:val="left" w:leader="none"/>
          <w:tab w:pos="1200" w:val="left" w:leader="none"/>
        </w:tabs>
        <w:spacing w:line="240" w:lineRule="auto" w:before="76" w:after="0"/>
        <w:ind w:left="1199" w:right="0" w:hanging="720"/>
        <w:jc w:val="left"/>
        <w:rPr>
          <w:b/>
          <w:sz w:val="22"/>
        </w:rPr>
      </w:pPr>
      <w:bookmarkStart w:name="6.4.1 Input Logic Levels" w:id="516"/>
      <w:bookmarkEnd w:id="516"/>
      <w:r>
        <w:rPr/>
      </w:r>
      <w:bookmarkStart w:name="_bookmark251" w:id="517"/>
      <w:bookmarkEnd w:id="517"/>
      <w:r>
        <w:rPr/>
      </w:r>
      <w:bookmarkStart w:name="_bookmark251" w:id="518"/>
      <w:bookmarkEnd w:id="518"/>
      <w:r>
        <w:rPr>
          <w:b/>
          <w:sz w:val="22"/>
        </w:rPr>
        <w:t>I</w:t>
      </w:r>
      <w:r>
        <w:rPr>
          <w:b/>
          <w:sz w:val="22"/>
        </w:rPr>
        <w:t>nput Logic</w:t>
      </w:r>
      <w:r>
        <w:rPr>
          <w:b/>
          <w:spacing w:val="-4"/>
          <w:sz w:val="22"/>
        </w:rPr>
        <w:t> </w:t>
      </w:r>
      <w:r>
        <w:rPr>
          <w:b/>
          <w:sz w:val="22"/>
        </w:rPr>
        <w:t>Levels</w:t>
      </w:r>
    </w:p>
    <w:p>
      <w:pPr>
        <w:pStyle w:val="Heading1"/>
        <w:spacing w:before="121"/>
        <w:ind w:left="777" w:right="797"/>
      </w:pPr>
      <w:bookmarkStart w:name="_bookmark252" w:id="519"/>
      <w:bookmarkEnd w:id="519"/>
      <w:r>
        <w:rPr>
          <w:b w:val="0"/>
        </w:rPr>
      </w:r>
      <w:r>
        <w:rPr/>
        <w:t>Table 89: Input Logic Levels</w:t>
      </w:r>
    </w:p>
    <w:p>
      <w:pPr>
        <w:pStyle w:val="BodyText"/>
        <w:spacing w:before="5"/>
        <w:rPr>
          <w:b/>
          <w:sz w:val="5"/>
        </w:rPr>
      </w:pPr>
    </w:p>
    <w:tbl>
      <w:tblPr>
        <w:tblW w:w="0" w:type="auto"/>
        <w:jc w:val="left"/>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82"/>
        <w:gridCol w:w="1941"/>
        <w:gridCol w:w="959"/>
        <w:gridCol w:w="961"/>
        <w:gridCol w:w="961"/>
        <w:gridCol w:w="1050"/>
      </w:tblGrid>
      <w:tr>
        <w:trPr>
          <w:trHeight w:val="311" w:hRule="atLeast"/>
        </w:trPr>
        <w:tc>
          <w:tcPr>
            <w:tcW w:w="3482" w:type="dxa"/>
          </w:tcPr>
          <w:p>
            <w:pPr>
              <w:pStyle w:val="TableParagraph"/>
              <w:spacing w:before="37"/>
              <w:ind w:left="107"/>
              <w:rPr>
                <w:b/>
                <w:sz w:val="20"/>
              </w:rPr>
            </w:pPr>
            <w:r>
              <w:rPr>
                <w:b/>
                <w:sz w:val="20"/>
              </w:rPr>
              <w:t>Parameter</w:t>
            </w:r>
          </w:p>
        </w:tc>
        <w:tc>
          <w:tcPr>
            <w:tcW w:w="1941" w:type="dxa"/>
          </w:tcPr>
          <w:p>
            <w:pPr>
              <w:pStyle w:val="TableParagraph"/>
              <w:spacing w:before="37"/>
              <w:ind w:left="108"/>
              <w:rPr>
                <w:b/>
                <w:sz w:val="20"/>
              </w:rPr>
            </w:pPr>
            <w:r>
              <w:rPr>
                <w:b/>
                <w:sz w:val="20"/>
              </w:rPr>
              <w:t>Condition</w:t>
            </w:r>
          </w:p>
        </w:tc>
        <w:tc>
          <w:tcPr>
            <w:tcW w:w="959" w:type="dxa"/>
          </w:tcPr>
          <w:p>
            <w:pPr>
              <w:pStyle w:val="TableParagraph"/>
              <w:spacing w:before="37"/>
              <w:ind w:left="288" w:right="265"/>
              <w:jc w:val="center"/>
              <w:rPr>
                <w:b/>
                <w:sz w:val="20"/>
              </w:rPr>
            </w:pPr>
            <w:r>
              <w:rPr>
                <w:b/>
                <w:sz w:val="20"/>
              </w:rPr>
              <w:t>Min</w:t>
            </w:r>
          </w:p>
        </w:tc>
        <w:tc>
          <w:tcPr>
            <w:tcW w:w="961" w:type="dxa"/>
          </w:tcPr>
          <w:p>
            <w:pPr>
              <w:pStyle w:val="TableParagraph"/>
              <w:spacing w:before="37"/>
              <w:ind w:left="281" w:right="263"/>
              <w:jc w:val="center"/>
              <w:rPr>
                <w:b/>
                <w:sz w:val="20"/>
              </w:rPr>
            </w:pPr>
            <w:r>
              <w:rPr>
                <w:b/>
                <w:sz w:val="20"/>
              </w:rPr>
              <w:t>Typ</w:t>
            </w:r>
          </w:p>
        </w:tc>
        <w:tc>
          <w:tcPr>
            <w:tcW w:w="961" w:type="dxa"/>
          </w:tcPr>
          <w:p>
            <w:pPr>
              <w:pStyle w:val="TableParagraph"/>
              <w:spacing w:before="37"/>
              <w:ind w:right="259"/>
              <w:jc w:val="right"/>
              <w:rPr>
                <w:b/>
                <w:sz w:val="20"/>
              </w:rPr>
            </w:pPr>
            <w:r>
              <w:rPr>
                <w:b/>
                <w:sz w:val="20"/>
              </w:rPr>
              <w:t>Max</w:t>
            </w:r>
          </w:p>
        </w:tc>
        <w:tc>
          <w:tcPr>
            <w:tcW w:w="1050" w:type="dxa"/>
          </w:tcPr>
          <w:p>
            <w:pPr>
              <w:pStyle w:val="TableParagraph"/>
              <w:spacing w:before="37"/>
              <w:ind w:left="314" w:right="286"/>
              <w:jc w:val="center"/>
              <w:rPr>
                <w:b/>
                <w:sz w:val="20"/>
              </w:rPr>
            </w:pPr>
            <w:r>
              <w:rPr>
                <w:b/>
                <w:sz w:val="20"/>
              </w:rPr>
              <w:t>Unit</w:t>
            </w:r>
          </w:p>
        </w:tc>
      </w:tr>
      <w:tr>
        <w:trPr>
          <w:trHeight w:val="270" w:hRule="atLeast"/>
        </w:trPr>
        <w:tc>
          <w:tcPr>
            <w:tcW w:w="3482" w:type="dxa"/>
          </w:tcPr>
          <w:p>
            <w:pPr>
              <w:pStyle w:val="TableParagraph"/>
              <w:spacing w:before="18"/>
              <w:ind w:left="107"/>
              <w:rPr>
                <w:sz w:val="20"/>
              </w:rPr>
            </w:pPr>
            <w:r>
              <w:rPr>
                <w:sz w:val="20"/>
              </w:rPr>
              <w:t>Digital high-level input voltage</w:t>
            </w:r>
            <w:r>
              <w:rPr>
                <w:sz w:val="20"/>
                <w:vertAlign w:val="superscript"/>
              </w:rPr>
              <w:t>1</w:t>
            </w:r>
            <w:r>
              <w:rPr>
                <w:sz w:val="20"/>
                <w:vertAlign w:val="baseline"/>
              </w:rPr>
              <w:t>, V</w:t>
            </w:r>
            <w:r>
              <w:rPr>
                <w:sz w:val="20"/>
                <w:vertAlign w:val="subscript"/>
              </w:rPr>
              <w:t>IH</w:t>
            </w:r>
          </w:p>
        </w:tc>
        <w:tc>
          <w:tcPr>
            <w:tcW w:w="1941" w:type="dxa"/>
          </w:tcPr>
          <w:p>
            <w:pPr>
              <w:pStyle w:val="TableParagraph"/>
              <w:rPr>
                <w:rFonts w:ascii="Times New Roman"/>
                <w:sz w:val="18"/>
              </w:rPr>
            </w:pPr>
          </w:p>
        </w:tc>
        <w:tc>
          <w:tcPr>
            <w:tcW w:w="959" w:type="dxa"/>
          </w:tcPr>
          <w:p>
            <w:pPr>
              <w:pStyle w:val="TableParagraph"/>
              <w:spacing w:before="18"/>
              <w:ind w:left="22"/>
              <w:jc w:val="center"/>
              <w:rPr>
                <w:sz w:val="20"/>
              </w:rPr>
            </w:pPr>
            <w:r>
              <w:rPr>
                <w:w w:val="99"/>
                <w:sz w:val="20"/>
              </w:rPr>
              <w:t>2</w:t>
            </w:r>
          </w:p>
        </w:tc>
        <w:tc>
          <w:tcPr>
            <w:tcW w:w="961" w:type="dxa"/>
          </w:tcPr>
          <w:p>
            <w:pPr>
              <w:pStyle w:val="TableParagraph"/>
              <w:rPr>
                <w:rFonts w:ascii="Times New Roman"/>
                <w:sz w:val="18"/>
              </w:rPr>
            </w:pPr>
          </w:p>
        </w:tc>
        <w:tc>
          <w:tcPr>
            <w:tcW w:w="961" w:type="dxa"/>
          </w:tcPr>
          <w:p>
            <w:pPr>
              <w:pStyle w:val="TableParagraph"/>
              <w:rPr>
                <w:rFonts w:ascii="Times New Roman"/>
                <w:sz w:val="18"/>
              </w:rPr>
            </w:pPr>
          </w:p>
        </w:tc>
        <w:tc>
          <w:tcPr>
            <w:tcW w:w="1050" w:type="dxa"/>
          </w:tcPr>
          <w:p>
            <w:pPr>
              <w:pStyle w:val="TableParagraph"/>
              <w:spacing w:before="18"/>
              <w:ind w:left="28"/>
              <w:jc w:val="center"/>
              <w:rPr>
                <w:sz w:val="20"/>
              </w:rPr>
            </w:pPr>
            <w:r>
              <w:rPr>
                <w:w w:val="99"/>
                <w:sz w:val="20"/>
              </w:rPr>
              <w:t>V</w:t>
            </w:r>
          </w:p>
        </w:tc>
      </w:tr>
      <w:tr>
        <w:trPr>
          <w:trHeight w:val="270" w:hRule="atLeast"/>
        </w:trPr>
        <w:tc>
          <w:tcPr>
            <w:tcW w:w="3482" w:type="dxa"/>
          </w:tcPr>
          <w:p>
            <w:pPr>
              <w:pStyle w:val="TableParagraph"/>
              <w:spacing w:before="18"/>
              <w:ind w:left="107"/>
              <w:rPr>
                <w:sz w:val="20"/>
              </w:rPr>
            </w:pPr>
            <w:r>
              <w:rPr>
                <w:sz w:val="20"/>
              </w:rPr>
              <w:t>Digital low-level input voltage</w:t>
            </w:r>
            <w:r>
              <w:rPr>
                <w:sz w:val="20"/>
                <w:vertAlign w:val="superscript"/>
              </w:rPr>
              <w:t>1</w:t>
            </w:r>
            <w:r>
              <w:rPr>
                <w:sz w:val="20"/>
                <w:vertAlign w:val="baseline"/>
              </w:rPr>
              <w:t>, V</w:t>
            </w:r>
            <w:r>
              <w:rPr>
                <w:sz w:val="20"/>
                <w:vertAlign w:val="subscript"/>
              </w:rPr>
              <w:t>IL</w:t>
            </w:r>
          </w:p>
        </w:tc>
        <w:tc>
          <w:tcPr>
            <w:tcW w:w="1941" w:type="dxa"/>
          </w:tcPr>
          <w:p>
            <w:pPr>
              <w:pStyle w:val="TableParagraph"/>
              <w:rPr>
                <w:rFonts w:ascii="Times New Roman"/>
                <w:sz w:val="18"/>
              </w:rPr>
            </w:pPr>
          </w:p>
        </w:tc>
        <w:tc>
          <w:tcPr>
            <w:tcW w:w="959" w:type="dxa"/>
          </w:tcPr>
          <w:p>
            <w:pPr>
              <w:pStyle w:val="TableParagraph"/>
              <w:rPr>
                <w:rFonts w:ascii="Times New Roman"/>
                <w:sz w:val="18"/>
              </w:rPr>
            </w:pPr>
          </w:p>
        </w:tc>
        <w:tc>
          <w:tcPr>
            <w:tcW w:w="961" w:type="dxa"/>
          </w:tcPr>
          <w:p>
            <w:pPr>
              <w:pStyle w:val="TableParagraph"/>
              <w:rPr>
                <w:rFonts w:ascii="Times New Roman"/>
                <w:sz w:val="18"/>
              </w:rPr>
            </w:pPr>
          </w:p>
        </w:tc>
        <w:tc>
          <w:tcPr>
            <w:tcW w:w="961" w:type="dxa"/>
          </w:tcPr>
          <w:p>
            <w:pPr>
              <w:pStyle w:val="TableParagraph"/>
              <w:spacing w:before="18"/>
              <w:ind w:right="318"/>
              <w:jc w:val="right"/>
              <w:rPr>
                <w:sz w:val="20"/>
              </w:rPr>
            </w:pPr>
            <w:r>
              <w:rPr>
                <w:w w:val="95"/>
                <w:sz w:val="20"/>
              </w:rPr>
              <w:t>0.8</w:t>
            </w:r>
          </w:p>
        </w:tc>
        <w:tc>
          <w:tcPr>
            <w:tcW w:w="1050" w:type="dxa"/>
          </w:tcPr>
          <w:p>
            <w:pPr>
              <w:pStyle w:val="TableParagraph"/>
              <w:spacing w:before="18"/>
              <w:ind w:left="28"/>
              <w:jc w:val="center"/>
              <w:rPr>
                <w:sz w:val="20"/>
              </w:rPr>
            </w:pPr>
            <w:r>
              <w:rPr>
                <w:w w:val="99"/>
                <w:sz w:val="20"/>
              </w:rPr>
              <w:t>V</w:t>
            </w:r>
          </w:p>
        </w:tc>
      </w:tr>
      <w:tr>
        <w:trPr>
          <w:trHeight w:val="249" w:hRule="atLeast"/>
        </w:trPr>
        <w:tc>
          <w:tcPr>
            <w:tcW w:w="3482" w:type="dxa"/>
            <w:tcBorders>
              <w:bottom w:val="nil"/>
            </w:tcBorders>
          </w:tcPr>
          <w:p>
            <w:pPr>
              <w:pStyle w:val="TableParagraph"/>
              <w:spacing w:line="214" w:lineRule="exact" w:before="16"/>
              <w:ind w:left="107"/>
              <w:rPr>
                <w:sz w:val="16"/>
              </w:rPr>
            </w:pPr>
            <w:r>
              <w:rPr>
                <w:sz w:val="20"/>
              </w:rPr>
              <w:t>Input pullup current, I</w:t>
            </w:r>
            <w:r>
              <w:rPr>
                <w:sz w:val="16"/>
              </w:rPr>
              <w:t>IL</w:t>
            </w:r>
          </w:p>
        </w:tc>
        <w:tc>
          <w:tcPr>
            <w:tcW w:w="1941" w:type="dxa"/>
            <w:tcBorders>
              <w:bottom w:val="nil"/>
            </w:tcBorders>
          </w:tcPr>
          <w:p>
            <w:pPr>
              <w:pStyle w:val="TableParagraph"/>
              <w:rPr>
                <w:rFonts w:ascii="Times New Roman"/>
                <w:sz w:val="18"/>
              </w:rPr>
            </w:pPr>
          </w:p>
        </w:tc>
        <w:tc>
          <w:tcPr>
            <w:tcW w:w="959" w:type="dxa"/>
            <w:tcBorders>
              <w:bottom w:val="nil"/>
            </w:tcBorders>
          </w:tcPr>
          <w:p>
            <w:pPr>
              <w:pStyle w:val="TableParagraph"/>
              <w:rPr>
                <w:rFonts w:ascii="Times New Roman"/>
                <w:sz w:val="18"/>
              </w:rPr>
            </w:pPr>
          </w:p>
        </w:tc>
        <w:tc>
          <w:tcPr>
            <w:tcW w:w="961" w:type="dxa"/>
            <w:tcBorders>
              <w:bottom w:val="nil"/>
            </w:tcBorders>
          </w:tcPr>
          <w:p>
            <w:pPr>
              <w:pStyle w:val="TableParagraph"/>
              <w:rPr>
                <w:rFonts w:ascii="Times New Roman"/>
                <w:sz w:val="18"/>
              </w:rPr>
            </w:pPr>
          </w:p>
        </w:tc>
        <w:tc>
          <w:tcPr>
            <w:tcW w:w="961" w:type="dxa"/>
            <w:tcBorders>
              <w:bottom w:val="nil"/>
            </w:tcBorders>
          </w:tcPr>
          <w:p>
            <w:pPr>
              <w:pStyle w:val="TableParagraph"/>
              <w:rPr>
                <w:rFonts w:ascii="Times New Roman"/>
                <w:sz w:val="18"/>
              </w:rPr>
            </w:pPr>
          </w:p>
        </w:tc>
        <w:tc>
          <w:tcPr>
            <w:tcW w:w="1050" w:type="dxa"/>
            <w:tcBorders>
              <w:bottom w:val="nil"/>
            </w:tcBorders>
          </w:tcPr>
          <w:p>
            <w:pPr>
              <w:pStyle w:val="TableParagraph"/>
              <w:rPr>
                <w:rFonts w:ascii="Times New Roman"/>
                <w:sz w:val="18"/>
              </w:rPr>
            </w:pPr>
          </w:p>
        </w:tc>
      </w:tr>
      <w:tr>
        <w:trPr>
          <w:trHeight w:val="218" w:hRule="atLeast"/>
        </w:trPr>
        <w:tc>
          <w:tcPr>
            <w:tcW w:w="3482" w:type="dxa"/>
            <w:tcBorders>
              <w:top w:val="nil"/>
              <w:bottom w:val="nil"/>
            </w:tcBorders>
          </w:tcPr>
          <w:p>
            <w:pPr>
              <w:pStyle w:val="TableParagraph"/>
              <w:spacing w:line="199" w:lineRule="exact"/>
              <w:ind w:left="827"/>
              <w:rPr>
                <w:sz w:val="18"/>
              </w:rPr>
            </w:pPr>
            <w:r>
              <w:rPr>
                <w:sz w:val="18"/>
              </w:rPr>
              <w:t>E_RXTX, E_RST, E_TCLK</w:t>
            </w:r>
          </w:p>
        </w:tc>
        <w:tc>
          <w:tcPr>
            <w:tcW w:w="1941" w:type="dxa"/>
            <w:tcBorders>
              <w:top w:val="nil"/>
              <w:bottom w:val="nil"/>
            </w:tcBorders>
          </w:tcPr>
          <w:p>
            <w:pPr>
              <w:pStyle w:val="TableParagraph"/>
              <w:spacing w:line="199" w:lineRule="exact"/>
              <w:ind w:left="115"/>
              <w:rPr>
                <w:sz w:val="20"/>
              </w:rPr>
            </w:pPr>
            <w:r>
              <w:rPr>
                <w:sz w:val="20"/>
              </w:rPr>
              <w:t>VIN=0 V,</w:t>
            </w:r>
          </w:p>
        </w:tc>
        <w:tc>
          <w:tcPr>
            <w:tcW w:w="959" w:type="dxa"/>
            <w:tcBorders>
              <w:top w:val="nil"/>
              <w:bottom w:val="nil"/>
            </w:tcBorders>
          </w:tcPr>
          <w:p>
            <w:pPr>
              <w:pStyle w:val="TableParagraph"/>
              <w:spacing w:line="199" w:lineRule="exact"/>
              <w:ind w:left="287" w:right="265"/>
              <w:jc w:val="center"/>
              <w:rPr>
                <w:sz w:val="20"/>
              </w:rPr>
            </w:pPr>
            <w:r>
              <w:rPr>
                <w:sz w:val="20"/>
              </w:rPr>
              <w:t>10</w:t>
            </w:r>
          </w:p>
        </w:tc>
        <w:tc>
          <w:tcPr>
            <w:tcW w:w="961" w:type="dxa"/>
            <w:tcBorders>
              <w:top w:val="nil"/>
              <w:bottom w:val="nil"/>
            </w:tcBorders>
          </w:tcPr>
          <w:p>
            <w:pPr>
              <w:pStyle w:val="TableParagraph"/>
              <w:rPr>
                <w:rFonts w:ascii="Times New Roman"/>
                <w:sz w:val="14"/>
              </w:rPr>
            </w:pPr>
          </w:p>
        </w:tc>
        <w:tc>
          <w:tcPr>
            <w:tcW w:w="961" w:type="dxa"/>
            <w:tcBorders>
              <w:top w:val="nil"/>
              <w:bottom w:val="nil"/>
            </w:tcBorders>
          </w:tcPr>
          <w:p>
            <w:pPr>
              <w:pStyle w:val="TableParagraph"/>
              <w:spacing w:line="199" w:lineRule="exact"/>
              <w:ind w:right="290"/>
              <w:jc w:val="right"/>
              <w:rPr>
                <w:sz w:val="20"/>
              </w:rPr>
            </w:pPr>
            <w:r>
              <w:rPr>
                <w:w w:val="95"/>
                <w:sz w:val="20"/>
              </w:rPr>
              <w:t>100</w:t>
            </w:r>
          </w:p>
        </w:tc>
        <w:tc>
          <w:tcPr>
            <w:tcW w:w="1050" w:type="dxa"/>
            <w:tcBorders>
              <w:top w:val="nil"/>
              <w:bottom w:val="nil"/>
            </w:tcBorders>
          </w:tcPr>
          <w:p>
            <w:pPr>
              <w:pStyle w:val="TableParagraph"/>
              <w:spacing w:line="199" w:lineRule="exact"/>
              <w:ind w:left="314" w:right="286"/>
              <w:jc w:val="center"/>
              <w:rPr>
                <w:sz w:val="20"/>
              </w:rPr>
            </w:pPr>
            <w:r>
              <w:rPr>
                <w:sz w:val="20"/>
              </w:rPr>
              <w:t>µA</w:t>
            </w:r>
          </w:p>
        </w:tc>
      </w:tr>
      <w:tr>
        <w:trPr>
          <w:trHeight w:val="721" w:hRule="atLeast"/>
        </w:trPr>
        <w:tc>
          <w:tcPr>
            <w:tcW w:w="3482" w:type="dxa"/>
            <w:tcBorders>
              <w:top w:val="nil"/>
            </w:tcBorders>
          </w:tcPr>
          <w:p>
            <w:pPr>
              <w:pStyle w:val="TableParagraph"/>
              <w:spacing w:line="193" w:lineRule="exact"/>
              <w:ind w:left="827"/>
              <w:rPr>
                <w:sz w:val="18"/>
              </w:rPr>
            </w:pPr>
            <w:r>
              <w:rPr>
                <w:sz w:val="18"/>
              </w:rPr>
              <w:t>OPT_RX, OPT_TX</w:t>
            </w:r>
          </w:p>
          <w:p>
            <w:pPr>
              <w:pStyle w:val="TableParagraph"/>
              <w:spacing w:line="229" w:lineRule="exact"/>
              <w:ind w:left="827"/>
              <w:rPr>
                <w:sz w:val="20"/>
              </w:rPr>
            </w:pPr>
            <w:r>
              <w:rPr>
                <w:sz w:val="20"/>
              </w:rPr>
              <w:t>SPI_CSZ (SEGDIO36)</w:t>
            </w:r>
          </w:p>
          <w:p>
            <w:pPr>
              <w:pStyle w:val="TableParagraph"/>
              <w:spacing w:line="229" w:lineRule="exact"/>
              <w:ind w:left="827"/>
              <w:rPr>
                <w:sz w:val="20"/>
              </w:rPr>
            </w:pPr>
            <w:r>
              <w:rPr>
                <w:sz w:val="20"/>
              </w:rPr>
              <w:t>Other digital inputs</w:t>
            </w:r>
          </w:p>
        </w:tc>
        <w:tc>
          <w:tcPr>
            <w:tcW w:w="1941" w:type="dxa"/>
            <w:tcBorders>
              <w:top w:val="nil"/>
            </w:tcBorders>
          </w:tcPr>
          <w:p>
            <w:pPr>
              <w:pStyle w:val="TableParagraph"/>
              <w:spacing w:before="8"/>
              <w:ind w:left="115"/>
              <w:rPr>
                <w:sz w:val="20"/>
              </w:rPr>
            </w:pPr>
            <w:r>
              <w:rPr>
                <w:sz w:val="20"/>
              </w:rPr>
              <w:t>ICE_E=3.3 V</w:t>
            </w:r>
          </w:p>
        </w:tc>
        <w:tc>
          <w:tcPr>
            <w:tcW w:w="959" w:type="dxa"/>
            <w:tcBorders>
              <w:top w:val="nil"/>
            </w:tcBorders>
          </w:tcPr>
          <w:p>
            <w:pPr>
              <w:pStyle w:val="TableParagraph"/>
              <w:spacing w:before="8"/>
              <w:ind w:left="287" w:right="265"/>
              <w:jc w:val="center"/>
              <w:rPr>
                <w:sz w:val="20"/>
              </w:rPr>
            </w:pPr>
            <w:r>
              <w:rPr>
                <w:sz w:val="20"/>
              </w:rPr>
              <w:t>10</w:t>
            </w:r>
          </w:p>
          <w:p>
            <w:pPr>
              <w:pStyle w:val="TableParagraph"/>
              <w:spacing w:before="1"/>
              <w:ind w:left="287" w:right="265"/>
              <w:jc w:val="center"/>
              <w:rPr>
                <w:sz w:val="20"/>
              </w:rPr>
            </w:pPr>
            <w:r>
              <w:rPr>
                <w:sz w:val="20"/>
              </w:rPr>
              <w:t>10</w:t>
            </w:r>
          </w:p>
          <w:p>
            <w:pPr>
              <w:pStyle w:val="TableParagraph"/>
              <w:ind w:left="287" w:right="265"/>
              <w:jc w:val="center"/>
              <w:rPr>
                <w:sz w:val="20"/>
              </w:rPr>
            </w:pPr>
            <w:r>
              <w:rPr>
                <w:sz w:val="20"/>
              </w:rPr>
              <w:t>-1</w:t>
            </w:r>
          </w:p>
        </w:tc>
        <w:tc>
          <w:tcPr>
            <w:tcW w:w="961" w:type="dxa"/>
            <w:tcBorders>
              <w:top w:val="nil"/>
            </w:tcBorders>
          </w:tcPr>
          <w:p>
            <w:pPr>
              <w:pStyle w:val="TableParagraph"/>
              <w:rPr>
                <w:b/>
                <w:sz w:val="22"/>
              </w:rPr>
            </w:pPr>
          </w:p>
          <w:p>
            <w:pPr>
              <w:pStyle w:val="TableParagraph"/>
              <w:spacing w:before="9"/>
              <w:rPr>
                <w:b/>
                <w:sz w:val="18"/>
              </w:rPr>
            </w:pPr>
          </w:p>
          <w:p>
            <w:pPr>
              <w:pStyle w:val="TableParagraph"/>
              <w:ind w:left="22"/>
              <w:jc w:val="center"/>
              <w:rPr>
                <w:sz w:val="20"/>
              </w:rPr>
            </w:pPr>
            <w:r>
              <w:rPr>
                <w:w w:val="99"/>
                <w:sz w:val="20"/>
              </w:rPr>
              <w:t>0</w:t>
            </w:r>
          </w:p>
        </w:tc>
        <w:tc>
          <w:tcPr>
            <w:tcW w:w="961" w:type="dxa"/>
            <w:tcBorders>
              <w:top w:val="nil"/>
            </w:tcBorders>
          </w:tcPr>
          <w:p>
            <w:pPr>
              <w:pStyle w:val="TableParagraph"/>
              <w:spacing w:before="8"/>
              <w:ind w:left="281" w:right="257"/>
              <w:jc w:val="center"/>
              <w:rPr>
                <w:sz w:val="20"/>
              </w:rPr>
            </w:pPr>
            <w:r>
              <w:rPr>
                <w:sz w:val="20"/>
              </w:rPr>
              <w:t>100</w:t>
            </w:r>
          </w:p>
          <w:p>
            <w:pPr>
              <w:pStyle w:val="TableParagraph"/>
              <w:spacing w:before="1"/>
              <w:ind w:left="281" w:right="256"/>
              <w:jc w:val="center"/>
              <w:rPr>
                <w:sz w:val="20"/>
              </w:rPr>
            </w:pPr>
            <w:r>
              <w:rPr>
                <w:sz w:val="20"/>
              </w:rPr>
              <w:t>100</w:t>
            </w:r>
          </w:p>
          <w:p>
            <w:pPr>
              <w:pStyle w:val="TableParagraph"/>
              <w:ind w:left="25"/>
              <w:jc w:val="center"/>
              <w:rPr>
                <w:sz w:val="20"/>
              </w:rPr>
            </w:pPr>
            <w:r>
              <w:rPr>
                <w:w w:val="99"/>
                <w:sz w:val="20"/>
              </w:rPr>
              <w:t>1</w:t>
            </w:r>
          </w:p>
        </w:tc>
        <w:tc>
          <w:tcPr>
            <w:tcW w:w="1050" w:type="dxa"/>
            <w:tcBorders>
              <w:top w:val="nil"/>
            </w:tcBorders>
          </w:tcPr>
          <w:p>
            <w:pPr>
              <w:pStyle w:val="TableParagraph"/>
              <w:spacing w:before="8"/>
              <w:ind w:left="405" w:right="374"/>
              <w:jc w:val="both"/>
              <w:rPr>
                <w:sz w:val="20"/>
              </w:rPr>
            </w:pPr>
            <w:r>
              <w:rPr>
                <w:sz w:val="20"/>
              </w:rPr>
              <w:t>µA µA µA</w:t>
            </w:r>
          </w:p>
        </w:tc>
      </w:tr>
      <w:tr>
        <w:trPr>
          <w:trHeight w:val="249" w:hRule="atLeast"/>
        </w:trPr>
        <w:tc>
          <w:tcPr>
            <w:tcW w:w="3482" w:type="dxa"/>
            <w:tcBorders>
              <w:bottom w:val="nil"/>
            </w:tcBorders>
          </w:tcPr>
          <w:p>
            <w:pPr>
              <w:pStyle w:val="TableParagraph"/>
              <w:spacing w:line="214" w:lineRule="exact" w:before="16"/>
              <w:ind w:left="107"/>
              <w:rPr>
                <w:sz w:val="16"/>
              </w:rPr>
            </w:pPr>
            <w:r>
              <w:rPr>
                <w:sz w:val="20"/>
              </w:rPr>
              <w:t>Input pull down current, I</w:t>
            </w:r>
            <w:r>
              <w:rPr>
                <w:sz w:val="16"/>
              </w:rPr>
              <w:t>IH</w:t>
            </w:r>
          </w:p>
        </w:tc>
        <w:tc>
          <w:tcPr>
            <w:tcW w:w="1941" w:type="dxa"/>
            <w:tcBorders>
              <w:bottom w:val="nil"/>
            </w:tcBorders>
          </w:tcPr>
          <w:p>
            <w:pPr>
              <w:pStyle w:val="TableParagraph"/>
              <w:spacing w:line="214" w:lineRule="exact" w:before="16"/>
              <w:ind w:left="108"/>
              <w:rPr>
                <w:sz w:val="20"/>
              </w:rPr>
            </w:pPr>
            <w:r>
              <w:rPr>
                <w:sz w:val="20"/>
              </w:rPr>
              <w:t>VIN=V3P3D</w:t>
            </w:r>
          </w:p>
        </w:tc>
        <w:tc>
          <w:tcPr>
            <w:tcW w:w="959" w:type="dxa"/>
            <w:tcBorders>
              <w:bottom w:val="nil"/>
            </w:tcBorders>
          </w:tcPr>
          <w:p>
            <w:pPr>
              <w:pStyle w:val="TableParagraph"/>
              <w:rPr>
                <w:rFonts w:ascii="Times New Roman"/>
                <w:sz w:val="18"/>
              </w:rPr>
            </w:pPr>
          </w:p>
        </w:tc>
        <w:tc>
          <w:tcPr>
            <w:tcW w:w="961" w:type="dxa"/>
            <w:tcBorders>
              <w:bottom w:val="nil"/>
            </w:tcBorders>
          </w:tcPr>
          <w:p>
            <w:pPr>
              <w:pStyle w:val="TableParagraph"/>
              <w:rPr>
                <w:rFonts w:ascii="Times New Roman"/>
                <w:sz w:val="18"/>
              </w:rPr>
            </w:pPr>
          </w:p>
        </w:tc>
        <w:tc>
          <w:tcPr>
            <w:tcW w:w="961" w:type="dxa"/>
            <w:tcBorders>
              <w:bottom w:val="nil"/>
            </w:tcBorders>
          </w:tcPr>
          <w:p>
            <w:pPr>
              <w:pStyle w:val="TableParagraph"/>
              <w:rPr>
                <w:rFonts w:ascii="Times New Roman"/>
                <w:sz w:val="18"/>
              </w:rPr>
            </w:pPr>
          </w:p>
        </w:tc>
        <w:tc>
          <w:tcPr>
            <w:tcW w:w="1050" w:type="dxa"/>
            <w:tcBorders>
              <w:bottom w:val="nil"/>
            </w:tcBorders>
          </w:tcPr>
          <w:p>
            <w:pPr>
              <w:pStyle w:val="TableParagraph"/>
              <w:rPr>
                <w:rFonts w:ascii="Times New Roman"/>
                <w:sz w:val="18"/>
              </w:rPr>
            </w:pPr>
          </w:p>
        </w:tc>
      </w:tr>
      <w:tr>
        <w:trPr>
          <w:trHeight w:val="230" w:hRule="atLeast"/>
        </w:trPr>
        <w:tc>
          <w:tcPr>
            <w:tcW w:w="3482" w:type="dxa"/>
            <w:tcBorders>
              <w:top w:val="nil"/>
              <w:bottom w:val="nil"/>
            </w:tcBorders>
          </w:tcPr>
          <w:p>
            <w:pPr>
              <w:pStyle w:val="TableParagraph"/>
              <w:spacing w:line="210" w:lineRule="exact"/>
              <w:ind w:left="827"/>
              <w:rPr>
                <w:sz w:val="20"/>
              </w:rPr>
            </w:pPr>
            <w:r>
              <w:rPr>
                <w:sz w:val="20"/>
              </w:rPr>
              <w:t>ICE_E, RESET, TEST</w:t>
            </w:r>
          </w:p>
        </w:tc>
        <w:tc>
          <w:tcPr>
            <w:tcW w:w="1941" w:type="dxa"/>
            <w:tcBorders>
              <w:top w:val="nil"/>
              <w:bottom w:val="nil"/>
            </w:tcBorders>
          </w:tcPr>
          <w:p>
            <w:pPr>
              <w:pStyle w:val="TableParagraph"/>
              <w:rPr>
                <w:rFonts w:ascii="Times New Roman"/>
                <w:sz w:val="16"/>
              </w:rPr>
            </w:pPr>
          </w:p>
        </w:tc>
        <w:tc>
          <w:tcPr>
            <w:tcW w:w="959" w:type="dxa"/>
            <w:tcBorders>
              <w:top w:val="nil"/>
              <w:bottom w:val="nil"/>
            </w:tcBorders>
          </w:tcPr>
          <w:p>
            <w:pPr>
              <w:pStyle w:val="TableParagraph"/>
              <w:spacing w:line="210" w:lineRule="exact"/>
              <w:ind w:left="287" w:right="265"/>
              <w:jc w:val="center"/>
              <w:rPr>
                <w:sz w:val="20"/>
              </w:rPr>
            </w:pPr>
            <w:r>
              <w:rPr>
                <w:sz w:val="20"/>
              </w:rPr>
              <w:t>10</w:t>
            </w:r>
          </w:p>
        </w:tc>
        <w:tc>
          <w:tcPr>
            <w:tcW w:w="961" w:type="dxa"/>
            <w:tcBorders>
              <w:top w:val="nil"/>
              <w:bottom w:val="nil"/>
            </w:tcBorders>
          </w:tcPr>
          <w:p>
            <w:pPr>
              <w:pStyle w:val="TableParagraph"/>
              <w:rPr>
                <w:rFonts w:ascii="Times New Roman"/>
                <w:sz w:val="16"/>
              </w:rPr>
            </w:pPr>
          </w:p>
        </w:tc>
        <w:tc>
          <w:tcPr>
            <w:tcW w:w="961" w:type="dxa"/>
            <w:tcBorders>
              <w:top w:val="nil"/>
              <w:bottom w:val="nil"/>
            </w:tcBorders>
          </w:tcPr>
          <w:p>
            <w:pPr>
              <w:pStyle w:val="TableParagraph"/>
              <w:spacing w:line="210" w:lineRule="exact"/>
              <w:ind w:right="290"/>
              <w:jc w:val="right"/>
              <w:rPr>
                <w:sz w:val="20"/>
              </w:rPr>
            </w:pPr>
            <w:r>
              <w:rPr>
                <w:w w:val="95"/>
                <w:sz w:val="20"/>
              </w:rPr>
              <w:t>100</w:t>
            </w:r>
          </w:p>
        </w:tc>
        <w:tc>
          <w:tcPr>
            <w:tcW w:w="1050" w:type="dxa"/>
            <w:tcBorders>
              <w:top w:val="nil"/>
              <w:bottom w:val="nil"/>
            </w:tcBorders>
          </w:tcPr>
          <w:p>
            <w:pPr>
              <w:pStyle w:val="TableParagraph"/>
              <w:spacing w:line="210" w:lineRule="exact"/>
              <w:ind w:left="314" w:right="286"/>
              <w:jc w:val="center"/>
              <w:rPr>
                <w:sz w:val="20"/>
              </w:rPr>
            </w:pPr>
            <w:r>
              <w:rPr>
                <w:sz w:val="20"/>
              </w:rPr>
              <w:t>µA</w:t>
            </w:r>
          </w:p>
        </w:tc>
      </w:tr>
      <w:tr>
        <w:trPr>
          <w:trHeight w:val="248" w:hRule="atLeast"/>
        </w:trPr>
        <w:tc>
          <w:tcPr>
            <w:tcW w:w="3482" w:type="dxa"/>
            <w:tcBorders>
              <w:top w:val="nil"/>
            </w:tcBorders>
          </w:tcPr>
          <w:p>
            <w:pPr>
              <w:pStyle w:val="TableParagraph"/>
              <w:spacing w:line="227" w:lineRule="exact"/>
              <w:ind w:left="827"/>
              <w:rPr>
                <w:sz w:val="20"/>
              </w:rPr>
            </w:pPr>
            <w:r>
              <w:rPr>
                <w:sz w:val="20"/>
              </w:rPr>
              <w:t>Other digital inputs</w:t>
            </w:r>
          </w:p>
        </w:tc>
        <w:tc>
          <w:tcPr>
            <w:tcW w:w="1941" w:type="dxa"/>
            <w:tcBorders>
              <w:top w:val="nil"/>
            </w:tcBorders>
          </w:tcPr>
          <w:p>
            <w:pPr>
              <w:pStyle w:val="TableParagraph"/>
              <w:rPr>
                <w:rFonts w:ascii="Times New Roman"/>
                <w:sz w:val="18"/>
              </w:rPr>
            </w:pPr>
          </w:p>
        </w:tc>
        <w:tc>
          <w:tcPr>
            <w:tcW w:w="959" w:type="dxa"/>
            <w:tcBorders>
              <w:top w:val="nil"/>
            </w:tcBorders>
          </w:tcPr>
          <w:p>
            <w:pPr>
              <w:pStyle w:val="TableParagraph"/>
              <w:spacing w:line="227" w:lineRule="exact"/>
              <w:ind w:left="287" w:right="265"/>
              <w:jc w:val="center"/>
              <w:rPr>
                <w:sz w:val="20"/>
              </w:rPr>
            </w:pPr>
            <w:r>
              <w:rPr>
                <w:sz w:val="20"/>
              </w:rPr>
              <w:t>-1</w:t>
            </w:r>
          </w:p>
        </w:tc>
        <w:tc>
          <w:tcPr>
            <w:tcW w:w="961" w:type="dxa"/>
            <w:tcBorders>
              <w:top w:val="nil"/>
            </w:tcBorders>
          </w:tcPr>
          <w:p>
            <w:pPr>
              <w:pStyle w:val="TableParagraph"/>
              <w:spacing w:line="227" w:lineRule="exact"/>
              <w:ind w:left="22"/>
              <w:jc w:val="center"/>
              <w:rPr>
                <w:sz w:val="20"/>
              </w:rPr>
            </w:pPr>
            <w:r>
              <w:rPr>
                <w:w w:val="99"/>
                <w:sz w:val="20"/>
              </w:rPr>
              <w:t>0</w:t>
            </w:r>
          </w:p>
        </w:tc>
        <w:tc>
          <w:tcPr>
            <w:tcW w:w="961" w:type="dxa"/>
            <w:tcBorders>
              <w:top w:val="nil"/>
            </w:tcBorders>
          </w:tcPr>
          <w:p>
            <w:pPr>
              <w:pStyle w:val="TableParagraph"/>
              <w:spacing w:line="227" w:lineRule="exact"/>
              <w:ind w:left="25"/>
              <w:jc w:val="center"/>
              <w:rPr>
                <w:sz w:val="20"/>
              </w:rPr>
            </w:pPr>
            <w:r>
              <w:rPr>
                <w:w w:val="99"/>
                <w:sz w:val="20"/>
              </w:rPr>
              <w:t>1</w:t>
            </w:r>
          </w:p>
        </w:tc>
        <w:tc>
          <w:tcPr>
            <w:tcW w:w="1050" w:type="dxa"/>
            <w:tcBorders>
              <w:top w:val="nil"/>
            </w:tcBorders>
          </w:tcPr>
          <w:p>
            <w:pPr>
              <w:pStyle w:val="TableParagraph"/>
              <w:spacing w:line="227" w:lineRule="exact"/>
              <w:ind w:left="314" w:right="286"/>
              <w:jc w:val="center"/>
              <w:rPr>
                <w:sz w:val="20"/>
              </w:rPr>
            </w:pPr>
            <w:r>
              <w:rPr>
                <w:sz w:val="20"/>
              </w:rPr>
              <w:t>µA</w:t>
            </w:r>
          </w:p>
        </w:tc>
      </w:tr>
      <w:tr>
        <w:trPr>
          <w:trHeight w:val="1031" w:hRule="atLeast"/>
        </w:trPr>
        <w:tc>
          <w:tcPr>
            <w:tcW w:w="9354" w:type="dxa"/>
            <w:gridSpan w:val="6"/>
          </w:tcPr>
          <w:p>
            <w:pPr>
              <w:pStyle w:val="TableParagraph"/>
              <w:spacing w:before="76"/>
              <w:ind w:left="107"/>
              <w:rPr>
                <w:b/>
                <w:sz w:val="20"/>
              </w:rPr>
            </w:pPr>
            <w:r>
              <w:rPr>
                <w:b/>
                <w:sz w:val="20"/>
              </w:rPr>
              <w:t>Note:</w:t>
            </w:r>
          </w:p>
          <w:p>
            <w:pPr>
              <w:pStyle w:val="TableParagraph"/>
              <w:spacing w:before="123"/>
              <w:ind w:left="827" w:hanging="361"/>
              <w:rPr>
                <w:sz w:val="20"/>
              </w:rPr>
            </w:pPr>
            <w:r>
              <w:rPr>
                <w:sz w:val="20"/>
              </w:rPr>
              <w:t>1. In battery powered modes, digital inputs should be below 0.1 V or above VBAT – 0.1 V to minimize battery current.</w:t>
            </w:r>
          </w:p>
        </w:tc>
      </w:tr>
    </w:tbl>
    <w:p>
      <w:pPr>
        <w:pStyle w:val="BodyText"/>
        <w:rPr>
          <w:b/>
          <w:sz w:val="22"/>
        </w:rPr>
      </w:pPr>
    </w:p>
    <w:p>
      <w:pPr>
        <w:spacing w:after="0"/>
        <w:rPr>
          <w:sz w:val="22"/>
        </w:rPr>
        <w:sectPr>
          <w:pgSz w:w="12240" w:h="15840"/>
          <w:pgMar w:header="727" w:footer="819" w:top="1160" w:bottom="1000" w:left="960" w:right="940"/>
        </w:sectPr>
      </w:pPr>
    </w:p>
    <w:p>
      <w:pPr>
        <w:pStyle w:val="ListParagraph"/>
        <w:numPr>
          <w:ilvl w:val="2"/>
          <w:numId w:val="33"/>
        </w:numPr>
        <w:tabs>
          <w:tab w:pos="1199" w:val="left" w:leader="none"/>
          <w:tab w:pos="1200" w:val="left" w:leader="none"/>
        </w:tabs>
        <w:spacing w:line="240" w:lineRule="auto" w:before="93" w:after="0"/>
        <w:ind w:left="1199" w:right="0" w:hanging="720"/>
        <w:jc w:val="left"/>
        <w:rPr>
          <w:b/>
          <w:sz w:val="22"/>
        </w:rPr>
      </w:pPr>
      <w:bookmarkStart w:name="6.4.2 Output Logic Levels" w:id="520"/>
      <w:bookmarkEnd w:id="520"/>
      <w:r>
        <w:rPr/>
      </w:r>
      <w:bookmarkStart w:name="_bookmark253" w:id="521"/>
      <w:bookmarkEnd w:id="521"/>
      <w:r>
        <w:rPr/>
      </w:r>
      <w:bookmarkStart w:name="_bookmark253" w:id="522"/>
      <w:bookmarkEnd w:id="522"/>
      <w:r>
        <w:rPr>
          <w:b/>
          <w:sz w:val="22"/>
        </w:rPr>
        <w:t>O</w:t>
      </w:r>
      <w:r>
        <w:rPr>
          <w:b/>
          <w:sz w:val="22"/>
        </w:rPr>
        <w:t>utput Logic</w:t>
      </w:r>
      <w:r>
        <w:rPr>
          <w:b/>
          <w:spacing w:val="7"/>
          <w:sz w:val="22"/>
        </w:rPr>
        <w:t> </w:t>
      </w:r>
      <w:r>
        <w:rPr>
          <w:b/>
          <w:spacing w:val="-4"/>
          <w:sz w:val="22"/>
        </w:rPr>
        <w:t>Levels</w:t>
      </w:r>
    </w:p>
    <w:p>
      <w:pPr>
        <w:pStyle w:val="BodyText"/>
        <w:rPr>
          <w:b/>
          <w:sz w:val="22"/>
        </w:rPr>
      </w:pPr>
      <w:r>
        <w:rPr/>
        <w:br w:type="column"/>
      </w:r>
      <w:r>
        <w:rPr>
          <w:b/>
          <w:sz w:val="22"/>
        </w:rPr>
      </w:r>
    </w:p>
    <w:p>
      <w:pPr>
        <w:pStyle w:val="BodyText"/>
        <w:spacing w:before="5"/>
        <w:rPr>
          <w:b/>
          <w:sz w:val="18"/>
        </w:rPr>
      </w:pPr>
    </w:p>
    <w:p>
      <w:pPr>
        <w:pStyle w:val="Heading1"/>
        <w:ind w:left="379"/>
        <w:jc w:val="left"/>
      </w:pPr>
      <w:bookmarkStart w:name="_bookmark254" w:id="523"/>
      <w:bookmarkEnd w:id="523"/>
      <w:r>
        <w:rPr>
          <w:b w:val="0"/>
        </w:rPr>
      </w:r>
      <w:r>
        <w:rPr/>
        <w:t>Table 90: Output Logic Levels</w:t>
      </w:r>
    </w:p>
    <w:p>
      <w:pPr>
        <w:spacing w:after="0"/>
        <w:jc w:val="left"/>
        <w:sectPr>
          <w:type w:val="continuous"/>
          <w:pgSz w:w="12240" w:h="15840"/>
          <w:pgMar w:top="940" w:bottom="280" w:left="960" w:right="940"/>
          <w:cols w:num="2" w:equalWidth="0">
            <w:col w:w="3318" w:space="40"/>
            <w:col w:w="6982"/>
          </w:cols>
        </w:sectPr>
      </w:pPr>
    </w:p>
    <w:p>
      <w:pPr>
        <w:pStyle w:val="BodyText"/>
        <w:spacing w:before="8"/>
        <w:rPr>
          <w:b/>
          <w:sz w:val="5"/>
        </w:rPr>
      </w:pPr>
    </w:p>
    <w:tbl>
      <w:tblPr>
        <w:tblW w:w="0" w:type="auto"/>
        <w:jc w:val="left"/>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40"/>
        <w:gridCol w:w="1906"/>
        <w:gridCol w:w="1251"/>
        <w:gridCol w:w="961"/>
        <w:gridCol w:w="959"/>
        <w:gridCol w:w="1048"/>
      </w:tblGrid>
      <w:tr>
        <w:trPr>
          <w:trHeight w:val="311" w:hRule="atLeast"/>
        </w:trPr>
        <w:tc>
          <w:tcPr>
            <w:tcW w:w="3240" w:type="dxa"/>
          </w:tcPr>
          <w:p>
            <w:pPr>
              <w:pStyle w:val="TableParagraph"/>
              <w:spacing w:before="35"/>
              <w:ind w:left="107"/>
              <w:rPr>
                <w:b/>
                <w:sz w:val="20"/>
              </w:rPr>
            </w:pPr>
            <w:r>
              <w:rPr>
                <w:b/>
                <w:sz w:val="20"/>
              </w:rPr>
              <w:t>Parameter</w:t>
            </w:r>
          </w:p>
        </w:tc>
        <w:tc>
          <w:tcPr>
            <w:tcW w:w="1906" w:type="dxa"/>
          </w:tcPr>
          <w:p>
            <w:pPr>
              <w:pStyle w:val="TableParagraph"/>
              <w:spacing w:before="35"/>
              <w:ind w:left="107"/>
              <w:rPr>
                <w:b/>
                <w:sz w:val="20"/>
              </w:rPr>
            </w:pPr>
            <w:r>
              <w:rPr>
                <w:b/>
                <w:sz w:val="20"/>
              </w:rPr>
              <w:t>Condition</w:t>
            </w:r>
          </w:p>
        </w:tc>
        <w:tc>
          <w:tcPr>
            <w:tcW w:w="1251" w:type="dxa"/>
          </w:tcPr>
          <w:p>
            <w:pPr>
              <w:pStyle w:val="TableParagraph"/>
              <w:spacing w:before="35"/>
              <w:ind w:left="43" w:right="26"/>
              <w:jc w:val="center"/>
              <w:rPr>
                <w:b/>
                <w:sz w:val="20"/>
              </w:rPr>
            </w:pPr>
            <w:r>
              <w:rPr>
                <w:b/>
                <w:sz w:val="20"/>
              </w:rPr>
              <w:t>Min</w:t>
            </w:r>
          </w:p>
        </w:tc>
        <w:tc>
          <w:tcPr>
            <w:tcW w:w="961" w:type="dxa"/>
          </w:tcPr>
          <w:p>
            <w:pPr>
              <w:pStyle w:val="TableParagraph"/>
              <w:spacing w:before="35"/>
              <w:ind w:left="298"/>
              <w:rPr>
                <w:b/>
                <w:sz w:val="20"/>
              </w:rPr>
            </w:pPr>
            <w:r>
              <w:rPr>
                <w:b/>
                <w:sz w:val="20"/>
              </w:rPr>
              <w:t>Typ</w:t>
            </w:r>
          </w:p>
        </w:tc>
        <w:tc>
          <w:tcPr>
            <w:tcW w:w="959" w:type="dxa"/>
          </w:tcPr>
          <w:p>
            <w:pPr>
              <w:pStyle w:val="TableParagraph"/>
              <w:spacing w:before="35"/>
              <w:ind w:right="264"/>
              <w:jc w:val="right"/>
              <w:rPr>
                <w:b/>
                <w:sz w:val="20"/>
              </w:rPr>
            </w:pPr>
            <w:r>
              <w:rPr>
                <w:b/>
                <w:sz w:val="20"/>
              </w:rPr>
              <w:t>Max</w:t>
            </w:r>
          </w:p>
        </w:tc>
        <w:tc>
          <w:tcPr>
            <w:tcW w:w="1048" w:type="dxa"/>
          </w:tcPr>
          <w:p>
            <w:pPr>
              <w:pStyle w:val="TableParagraph"/>
              <w:spacing w:before="35"/>
              <w:ind w:left="304" w:right="295"/>
              <w:jc w:val="center"/>
              <w:rPr>
                <w:b/>
                <w:sz w:val="20"/>
              </w:rPr>
            </w:pPr>
            <w:r>
              <w:rPr>
                <w:b/>
                <w:sz w:val="20"/>
              </w:rPr>
              <w:t>Unit</w:t>
            </w:r>
          </w:p>
        </w:tc>
      </w:tr>
      <w:tr>
        <w:trPr>
          <w:trHeight w:val="258" w:hRule="atLeast"/>
        </w:trPr>
        <w:tc>
          <w:tcPr>
            <w:tcW w:w="3240" w:type="dxa"/>
            <w:vMerge w:val="restart"/>
          </w:tcPr>
          <w:p>
            <w:pPr>
              <w:pStyle w:val="TableParagraph"/>
              <w:spacing w:before="167"/>
              <w:ind w:left="107" w:right="25"/>
              <w:rPr>
                <w:sz w:val="13"/>
              </w:rPr>
            </w:pPr>
            <w:r>
              <w:rPr>
                <w:sz w:val="20"/>
              </w:rPr>
              <w:t>Digital high-level output voltage </w:t>
            </w:r>
            <w:r>
              <w:rPr>
                <w:position w:val="3"/>
                <w:sz w:val="20"/>
              </w:rPr>
              <w:t>V</w:t>
            </w:r>
            <w:r>
              <w:rPr>
                <w:sz w:val="13"/>
              </w:rPr>
              <w:t>OH</w:t>
            </w:r>
          </w:p>
        </w:tc>
        <w:tc>
          <w:tcPr>
            <w:tcW w:w="1906" w:type="dxa"/>
          </w:tcPr>
          <w:p>
            <w:pPr>
              <w:pStyle w:val="TableParagraph"/>
              <w:spacing w:line="220" w:lineRule="exact" w:before="18"/>
              <w:ind w:left="107"/>
              <w:rPr>
                <w:sz w:val="20"/>
              </w:rPr>
            </w:pPr>
            <w:r>
              <w:rPr>
                <w:sz w:val="20"/>
              </w:rPr>
              <w:t>I</w:t>
            </w:r>
            <w:r>
              <w:rPr>
                <w:sz w:val="20"/>
                <w:vertAlign w:val="subscript"/>
              </w:rPr>
              <w:t>LOAD</w:t>
            </w:r>
            <w:r>
              <w:rPr>
                <w:sz w:val="20"/>
                <w:vertAlign w:val="baseline"/>
              </w:rPr>
              <w:t> = 1 mA</w:t>
            </w:r>
          </w:p>
        </w:tc>
        <w:tc>
          <w:tcPr>
            <w:tcW w:w="1251" w:type="dxa"/>
          </w:tcPr>
          <w:p>
            <w:pPr>
              <w:pStyle w:val="TableParagraph"/>
              <w:spacing w:line="220" w:lineRule="exact" w:before="18"/>
              <w:ind w:left="43" w:right="30"/>
              <w:jc w:val="center"/>
              <w:rPr>
                <w:sz w:val="20"/>
              </w:rPr>
            </w:pPr>
            <w:r>
              <w:rPr>
                <w:sz w:val="20"/>
              </w:rPr>
              <w:t>V3P3D–0.4</w:t>
            </w:r>
          </w:p>
        </w:tc>
        <w:tc>
          <w:tcPr>
            <w:tcW w:w="961" w:type="dxa"/>
          </w:tcPr>
          <w:p>
            <w:pPr>
              <w:pStyle w:val="TableParagraph"/>
              <w:rPr>
                <w:rFonts w:ascii="Times New Roman"/>
                <w:sz w:val="18"/>
              </w:rPr>
            </w:pPr>
          </w:p>
        </w:tc>
        <w:tc>
          <w:tcPr>
            <w:tcW w:w="959" w:type="dxa"/>
          </w:tcPr>
          <w:p>
            <w:pPr>
              <w:pStyle w:val="TableParagraph"/>
              <w:rPr>
                <w:rFonts w:ascii="Times New Roman"/>
                <w:sz w:val="18"/>
              </w:rPr>
            </w:pPr>
          </w:p>
        </w:tc>
        <w:tc>
          <w:tcPr>
            <w:tcW w:w="1048" w:type="dxa"/>
          </w:tcPr>
          <w:p>
            <w:pPr>
              <w:pStyle w:val="TableParagraph"/>
              <w:spacing w:line="220" w:lineRule="exact" w:before="18"/>
              <w:ind w:left="9"/>
              <w:jc w:val="center"/>
              <w:rPr>
                <w:sz w:val="20"/>
              </w:rPr>
            </w:pPr>
            <w:r>
              <w:rPr>
                <w:w w:val="99"/>
                <w:sz w:val="20"/>
              </w:rPr>
              <w:t>V</w:t>
            </w:r>
          </w:p>
        </w:tc>
      </w:tr>
      <w:tr>
        <w:trPr>
          <w:trHeight w:val="510" w:hRule="atLeast"/>
        </w:trPr>
        <w:tc>
          <w:tcPr>
            <w:tcW w:w="3240" w:type="dxa"/>
            <w:vMerge/>
            <w:tcBorders>
              <w:top w:val="nil"/>
            </w:tcBorders>
          </w:tcPr>
          <w:p>
            <w:pPr>
              <w:rPr>
                <w:sz w:val="2"/>
                <w:szCs w:val="2"/>
              </w:rPr>
            </w:pPr>
          </w:p>
        </w:tc>
        <w:tc>
          <w:tcPr>
            <w:tcW w:w="1906" w:type="dxa"/>
          </w:tcPr>
          <w:p>
            <w:pPr>
              <w:pStyle w:val="TableParagraph"/>
              <w:spacing w:before="21"/>
              <w:ind w:left="107"/>
              <w:rPr>
                <w:sz w:val="20"/>
              </w:rPr>
            </w:pPr>
            <w:r>
              <w:rPr>
                <w:sz w:val="20"/>
              </w:rPr>
              <w:t>I</w:t>
            </w:r>
            <w:r>
              <w:rPr>
                <w:sz w:val="20"/>
                <w:vertAlign w:val="subscript"/>
              </w:rPr>
              <w:t>LOAD</w:t>
            </w:r>
            <w:r>
              <w:rPr>
                <w:sz w:val="20"/>
                <w:vertAlign w:val="baseline"/>
              </w:rPr>
              <w:t> = 15 mA</w:t>
            </w:r>
          </w:p>
          <w:p>
            <w:pPr>
              <w:pStyle w:val="TableParagraph"/>
              <w:spacing w:line="220" w:lineRule="exact" w:before="19"/>
              <w:ind w:left="107"/>
              <w:rPr>
                <w:sz w:val="20"/>
              </w:rPr>
            </w:pPr>
            <w:r>
              <w:rPr>
                <w:sz w:val="20"/>
              </w:rPr>
              <w:t>(see notes 1, 2)</w:t>
            </w:r>
          </w:p>
        </w:tc>
        <w:tc>
          <w:tcPr>
            <w:tcW w:w="1251" w:type="dxa"/>
          </w:tcPr>
          <w:p>
            <w:pPr>
              <w:pStyle w:val="TableParagraph"/>
              <w:spacing w:before="21"/>
              <w:ind w:left="43" w:right="30"/>
              <w:jc w:val="center"/>
              <w:rPr>
                <w:sz w:val="20"/>
              </w:rPr>
            </w:pPr>
            <w:r>
              <w:rPr>
                <w:sz w:val="20"/>
              </w:rPr>
              <w:t>V3P3D-0.6</w:t>
            </w:r>
          </w:p>
        </w:tc>
        <w:tc>
          <w:tcPr>
            <w:tcW w:w="961" w:type="dxa"/>
          </w:tcPr>
          <w:p>
            <w:pPr>
              <w:pStyle w:val="TableParagraph"/>
              <w:rPr>
                <w:rFonts w:ascii="Times New Roman"/>
                <w:sz w:val="18"/>
              </w:rPr>
            </w:pPr>
          </w:p>
        </w:tc>
        <w:tc>
          <w:tcPr>
            <w:tcW w:w="959" w:type="dxa"/>
          </w:tcPr>
          <w:p>
            <w:pPr>
              <w:pStyle w:val="TableParagraph"/>
              <w:rPr>
                <w:rFonts w:ascii="Times New Roman"/>
                <w:sz w:val="18"/>
              </w:rPr>
            </w:pPr>
          </w:p>
        </w:tc>
        <w:tc>
          <w:tcPr>
            <w:tcW w:w="1048" w:type="dxa"/>
          </w:tcPr>
          <w:p>
            <w:pPr>
              <w:pStyle w:val="TableParagraph"/>
              <w:spacing w:before="21"/>
              <w:ind w:left="9"/>
              <w:jc w:val="center"/>
              <w:rPr>
                <w:sz w:val="20"/>
              </w:rPr>
            </w:pPr>
            <w:r>
              <w:rPr>
                <w:w w:val="99"/>
                <w:sz w:val="20"/>
              </w:rPr>
              <w:t>V</w:t>
            </w:r>
          </w:p>
        </w:tc>
      </w:tr>
      <w:tr>
        <w:trPr>
          <w:trHeight w:val="260" w:hRule="atLeast"/>
        </w:trPr>
        <w:tc>
          <w:tcPr>
            <w:tcW w:w="3240" w:type="dxa"/>
            <w:vMerge w:val="restart"/>
          </w:tcPr>
          <w:p>
            <w:pPr>
              <w:pStyle w:val="TableParagraph"/>
              <w:spacing w:before="169"/>
              <w:ind w:left="107" w:right="391"/>
              <w:rPr>
                <w:sz w:val="13"/>
              </w:rPr>
            </w:pPr>
            <w:r>
              <w:rPr>
                <w:sz w:val="20"/>
              </w:rPr>
              <w:t>Digital low-level output voltage </w:t>
            </w:r>
            <w:r>
              <w:rPr>
                <w:position w:val="3"/>
                <w:sz w:val="20"/>
              </w:rPr>
              <w:t>V</w:t>
            </w:r>
            <w:r>
              <w:rPr>
                <w:sz w:val="13"/>
              </w:rPr>
              <w:t>OL</w:t>
            </w:r>
          </w:p>
        </w:tc>
        <w:tc>
          <w:tcPr>
            <w:tcW w:w="1906" w:type="dxa"/>
          </w:tcPr>
          <w:p>
            <w:pPr>
              <w:pStyle w:val="TableParagraph"/>
              <w:spacing w:line="222" w:lineRule="exact" w:before="18"/>
              <w:ind w:left="107"/>
              <w:rPr>
                <w:sz w:val="20"/>
              </w:rPr>
            </w:pPr>
            <w:r>
              <w:rPr>
                <w:sz w:val="20"/>
              </w:rPr>
              <w:t>I</w:t>
            </w:r>
            <w:r>
              <w:rPr>
                <w:sz w:val="20"/>
                <w:vertAlign w:val="subscript"/>
              </w:rPr>
              <w:t>LOAD</w:t>
            </w:r>
            <w:r>
              <w:rPr>
                <w:sz w:val="20"/>
                <w:vertAlign w:val="baseline"/>
              </w:rPr>
              <w:t> = 1 mA</w:t>
            </w:r>
          </w:p>
        </w:tc>
        <w:tc>
          <w:tcPr>
            <w:tcW w:w="1251" w:type="dxa"/>
          </w:tcPr>
          <w:p>
            <w:pPr>
              <w:pStyle w:val="TableParagraph"/>
              <w:spacing w:line="222" w:lineRule="exact" w:before="18"/>
              <w:ind w:left="15"/>
              <w:jc w:val="center"/>
              <w:rPr>
                <w:sz w:val="20"/>
              </w:rPr>
            </w:pPr>
            <w:r>
              <w:rPr>
                <w:w w:val="99"/>
                <w:sz w:val="20"/>
              </w:rPr>
              <w:t>0</w:t>
            </w:r>
          </w:p>
        </w:tc>
        <w:tc>
          <w:tcPr>
            <w:tcW w:w="961" w:type="dxa"/>
          </w:tcPr>
          <w:p>
            <w:pPr>
              <w:pStyle w:val="TableParagraph"/>
              <w:rPr>
                <w:rFonts w:ascii="Times New Roman"/>
                <w:sz w:val="18"/>
              </w:rPr>
            </w:pPr>
          </w:p>
        </w:tc>
        <w:tc>
          <w:tcPr>
            <w:tcW w:w="959" w:type="dxa"/>
          </w:tcPr>
          <w:p>
            <w:pPr>
              <w:pStyle w:val="TableParagraph"/>
              <w:spacing w:line="222" w:lineRule="exact" w:before="18"/>
              <w:ind w:right="324"/>
              <w:jc w:val="right"/>
              <w:rPr>
                <w:sz w:val="20"/>
              </w:rPr>
            </w:pPr>
            <w:r>
              <w:rPr>
                <w:w w:val="95"/>
                <w:sz w:val="20"/>
              </w:rPr>
              <w:t>0.4</w:t>
            </w:r>
          </w:p>
        </w:tc>
        <w:tc>
          <w:tcPr>
            <w:tcW w:w="1048" w:type="dxa"/>
          </w:tcPr>
          <w:p>
            <w:pPr>
              <w:pStyle w:val="TableParagraph"/>
              <w:spacing w:line="222" w:lineRule="exact" w:before="18"/>
              <w:ind w:left="9"/>
              <w:jc w:val="center"/>
              <w:rPr>
                <w:sz w:val="20"/>
              </w:rPr>
            </w:pPr>
            <w:r>
              <w:rPr>
                <w:w w:val="99"/>
                <w:sz w:val="20"/>
              </w:rPr>
              <w:t>V</w:t>
            </w:r>
          </w:p>
        </w:tc>
      </w:tr>
      <w:tr>
        <w:trPr>
          <w:trHeight w:val="510" w:hRule="atLeast"/>
        </w:trPr>
        <w:tc>
          <w:tcPr>
            <w:tcW w:w="3240" w:type="dxa"/>
            <w:vMerge/>
            <w:tcBorders>
              <w:top w:val="nil"/>
            </w:tcBorders>
          </w:tcPr>
          <w:p>
            <w:pPr>
              <w:rPr>
                <w:sz w:val="2"/>
                <w:szCs w:val="2"/>
              </w:rPr>
            </w:pPr>
          </w:p>
        </w:tc>
        <w:tc>
          <w:tcPr>
            <w:tcW w:w="1906" w:type="dxa"/>
          </w:tcPr>
          <w:p>
            <w:pPr>
              <w:pStyle w:val="TableParagraph"/>
              <w:spacing w:before="18"/>
              <w:ind w:left="107"/>
              <w:rPr>
                <w:sz w:val="20"/>
              </w:rPr>
            </w:pPr>
            <w:r>
              <w:rPr>
                <w:sz w:val="20"/>
              </w:rPr>
              <w:t>I</w:t>
            </w:r>
            <w:r>
              <w:rPr>
                <w:sz w:val="20"/>
                <w:vertAlign w:val="subscript"/>
              </w:rPr>
              <w:t>LOAD</w:t>
            </w:r>
            <w:r>
              <w:rPr>
                <w:sz w:val="20"/>
                <w:vertAlign w:val="baseline"/>
              </w:rPr>
              <w:t> = 15 mA</w:t>
            </w:r>
          </w:p>
          <w:p>
            <w:pPr>
              <w:pStyle w:val="TableParagraph"/>
              <w:spacing w:line="222" w:lineRule="exact" w:before="20"/>
              <w:ind w:left="107"/>
              <w:rPr>
                <w:sz w:val="20"/>
              </w:rPr>
            </w:pPr>
            <w:r>
              <w:rPr>
                <w:sz w:val="20"/>
              </w:rPr>
              <w:t>(see note 1)</w:t>
            </w:r>
          </w:p>
        </w:tc>
        <w:tc>
          <w:tcPr>
            <w:tcW w:w="1251" w:type="dxa"/>
          </w:tcPr>
          <w:p>
            <w:pPr>
              <w:pStyle w:val="TableParagraph"/>
              <w:spacing w:before="18"/>
              <w:ind w:left="15"/>
              <w:jc w:val="center"/>
              <w:rPr>
                <w:sz w:val="20"/>
              </w:rPr>
            </w:pPr>
            <w:r>
              <w:rPr>
                <w:w w:val="99"/>
                <w:sz w:val="20"/>
              </w:rPr>
              <w:t>0</w:t>
            </w:r>
          </w:p>
        </w:tc>
        <w:tc>
          <w:tcPr>
            <w:tcW w:w="961" w:type="dxa"/>
          </w:tcPr>
          <w:p>
            <w:pPr>
              <w:pStyle w:val="TableParagraph"/>
              <w:rPr>
                <w:rFonts w:ascii="Times New Roman"/>
                <w:sz w:val="18"/>
              </w:rPr>
            </w:pPr>
          </w:p>
        </w:tc>
        <w:tc>
          <w:tcPr>
            <w:tcW w:w="959" w:type="dxa"/>
          </w:tcPr>
          <w:p>
            <w:pPr>
              <w:pStyle w:val="TableParagraph"/>
              <w:spacing w:before="18"/>
              <w:ind w:right="324"/>
              <w:jc w:val="right"/>
              <w:rPr>
                <w:sz w:val="20"/>
              </w:rPr>
            </w:pPr>
            <w:r>
              <w:rPr>
                <w:w w:val="95"/>
                <w:sz w:val="20"/>
              </w:rPr>
              <w:t>0.8</w:t>
            </w:r>
          </w:p>
        </w:tc>
        <w:tc>
          <w:tcPr>
            <w:tcW w:w="1048" w:type="dxa"/>
          </w:tcPr>
          <w:p>
            <w:pPr>
              <w:pStyle w:val="TableParagraph"/>
              <w:spacing w:before="18"/>
              <w:ind w:left="9"/>
              <w:jc w:val="center"/>
              <w:rPr>
                <w:sz w:val="20"/>
              </w:rPr>
            </w:pPr>
            <w:r>
              <w:rPr>
                <w:w w:val="99"/>
                <w:sz w:val="20"/>
              </w:rPr>
              <w:t>V</w:t>
            </w:r>
          </w:p>
        </w:tc>
      </w:tr>
      <w:tr>
        <w:trPr>
          <w:trHeight w:val="995" w:hRule="atLeast"/>
        </w:trPr>
        <w:tc>
          <w:tcPr>
            <w:tcW w:w="9365" w:type="dxa"/>
            <w:gridSpan w:val="6"/>
          </w:tcPr>
          <w:p>
            <w:pPr>
              <w:pStyle w:val="TableParagraph"/>
              <w:spacing w:before="35"/>
              <w:ind w:left="107"/>
              <w:rPr>
                <w:b/>
                <w:sz w:val="20"/>
              </w:rPr>
            </w:pPr>
            <w:r>
              <w:rPr>
                <w:b/>
                <w:sz w:val="20"/>
              </w:rPr>
              <w:t>Note:</w:t>
            </w:r>
          </w:p>
          <w:p>
            <w:pPr>
              <w:pStyle w:val="TableParagraph"/>
              <w:numPr>
                <w:ilvl w:val="0"/>
                <w:numId w:val="34"/>
              </w:numPr>
              <w:tabs>
                <w:tab w:pos="828" w:val="left" w:leader="none"/>
              </w:tabs>
              <w:spacing w:line="227" w:lineRule="exact" w:before="41" w:after="0"/>
              <w:ind w:left="827" w:right="0" w:hanging="361"/>
              <w:jc w:val="left"/>
              <w:rPr>
                <w:sz w:val="18"/>
              </w:rPr>
            </w:pPr>
            <w:r>
              <w:rPr>
                <w:sz w:val="18"/>
              </w:rPr>
              <w:t>Guaranteed by design; not production</w:t>
            </w:r>
            <w:r>
              <w:rPr>
                <w:spacing w:val="-2"/>
                <w:sz w:val="18"/>
              </w:rPr>
              <w:t> </w:t>
            </w:r>
            <w:r>
              <w:rPr>
                <w:sz w:val="18"/>
              </w:rPr>
              <w:t>tested.</w:t>
            </w:r>
          </w:p>
          <w:p>
            <w:pPr>
              <w:pStyle w:val="TableParagraph"/>
              <w:numPr>
                <w:ilvl w:val="0"/>
                <w:numId w:val="34"/>
              </w:numPr>
              <w:tabs>
                <w:tab w:pos="828" w:val="left" w:leader="none"/>
              </w:tabs>
              <w:spacing w:line="227" w:lineRule="exact" w:before="0" w:after="0"/>
              <w:ind w:left="827" w:right="0" w:hanging="361"/>
              <w:jc w:val="left"/>
              <w:rPr>
                <w:sz w:val="20"/>
              </w:rPr>
            </w:pPr>
            <w:r>
              <w:rPr>
                <w:b/>
                <w:sz w:val="20"/>
              </w:rPr>
              <w:t>Caution: </w:t>
            </w:r>
            <w:r>
              <w:rPr>
                <w:sz w:val="20"/>
              </w:rPr>
              <w:t>The sum of all pull up currents must be compatible with the on-resistance of</w:t>
            </w:r>
            <w:r>
              <w:rPr>
                <w:spacing w:val="-27"/>
                <w:sz w:val="20"/>
              </w:rPr>
              <w:t> </w:t>
            </w:r>
            <w:r>
              <w:rPr>
                <w:sz w:val="20"/>
              </w:rPr>
              <w:t>the</w:t>
            </w:r>
          </w:p>
          <w:p>
            <w:pPr>
              <w:pStyle w:val="TableParagraph"/>
              <w:spacing w:line="213" w:lineRule="exact" w:before="3"/>
              <w:ind w:left="827"/>
              <w:rPr>
                <w:sz w:val="20"/>
              </w:rPr>
            </w:pPr>
            <w:r>
              <w:rPr>
                <w:sz w:val="20"/>
              </w:rPr>
              <w:t>internal V3P3D switch. See </w:t>
            </w:r>
            <w:hyperlink w:history="true" w:anchor="_bookmark261">
              <w:r>
                <w:rPr>
                  <w:color w:val="0000FF"/>
                  <w:sz w:val="20"/>
                </w:rPr>
                <w:t>6.4.6 </w:t>
              </w:r>
            </w:hyperlink>
            <w:hyperlink w:history="true" w:anchor="_bookmark261">
              <w:r>
                <w:rPr>
                  <w:color w:val="0000FF"/>
                  <w:sz w:val="20"/>
                </w:rPr>
                <w:t>V3P3D Switch </w:t>
              </w:r>
            </w:hyperlink>
            <w:r>
              <w:rPr>
                <w:sz w:val="20"/>
              </w:rPr>
              <w:t>on page </w:t>
            </w:r>
            <w:hyperlink w:history="true" w:anchor="_bookmark261">
              <w:r>
                <w:rPr>
                  <w:color w:val="0000FF"/>
                  <w:sz w:val="20"/>
                </w:rPr>
                <w:t>136</w:t>
              </w:r>
              <w:r>
                <w:rPr>
                  <w:sz w:val="20"/>
                </w:rPr>
                <w:t>.</w:t>
              </w:r>
            </w:hyperlink>
          </w:p>
        </w:tc>
      </w:tr>
    </w:tbl>
    <w:p>
      <w:pPr>
        <w:spacing w:after="0" w:line="213" w:lineRule="exact"/>
        <w:rPr>
          <w:sz w:val="20"/>
        </w:rPr>
        <w:sectPr>
          <w:type w:val="continuous"/>
          <w:pgSz w:w="12240" w:h="15840"/>
          <w:pgMar w:top="940" w:bottom="280" w:left="960" w:right="940"/>
        </w:sectPr>
      </w:pPr>
    </w:p>
    <w:p>
      <w:pPr>
        <w:pStyle w:val="ListParagraph"/>
        <w:numPr>
          <w:ilvl w:val="2"/>
          <w:numId w:val="33"/>
        </w:numPr>
        <w:tabs>
          <w:tab w:pos="1199" w:val="left" w:leader="none"/>
          <w:tab w:pos="1200" w:val="left" w:leader="none"/>
        </w:tabs>
        <w:spacing w:line="240" w:lineRule="auto" w:before="88" w:after="0"/>
        <w:ind w:left="1199" w:right="0" w:hanging="720"/>
        <w:jc w:val="left"/>
        <w:rPr>
          <w:b/>
          <w:sz w:val="22"/>
        </w:rPr>
      </w:pPr>
      <w:bookmarkStart w:name="6.4.3 Battery Monitor" w:id="524"/>
      <w:bookmarkEnd w:id="524"/>
      <w:r>
        <w:rPr/>
      </w:r>
      <w:bookmarkStart w:name="_bookmark255" w:id="525"/>
      <w:bookmarkEnd w:id="525"/>
      <w:r>
        <w:rPr/>
      </w:r>
      <w:bookmarkStart w:name="_bookmark255" w:id="526"/>
      <w:bookmarkEnd w:id="526"/>
      <w:r>
        <w:rPr>
          <w:b/>
          <w:sz w:val="22"/>
        </w:rPr>
        <w:t>B</w:t>
      </w:r>
      <w:r>
        <w:rPr>
          <w:b/>
          <w:sz w:val="22"/>
        </w:rPr>
        <w:t>attery</w:t>
      </w:r>
      <w:r>
        <w:rPr>
          <w:b/>
          <w:spacing w:val="-5"/>
          <w:sz w:val="22"/>
        </w:rPr>
        <w:t> </w:t>
      </w:r>
      <w:r>
        <w:rPr>
          <w:b/>
          <w:sz w:val="22"/>
        </w:rPr>
        <w:t>Monitor</w:t>
      </w:r>
    </w:p>
    <w:p>
      <w:pPr>
        <w:pStyle w:val="Heading1"/>
        <w:spacing w:before="121"/>
        <w:ind w:left="1831"/>
        <w:jc w:val="left"/>
      </w:pPr>
      <w:bookmarkStart w:name="_bookmark256" w:id="527"/>
      <w:bookmarkEnd w:id="527"/>
      <w:r>
        <w:rPr>
          <w:b w:val="0"/>
        </w:rPr>
      </w:r>
      <w:r>
        <w:rPr/>
        <w:t>Table 91: Battery Monitor Performance Specifications (</w:t>
      </w:r>
      <w:r>
        <w:rPr>
          <w:rFonts w:ascii="Times New Roman"/>
          <w:i/>
        </w:rPr>
        <w:t>TEMP_BAT </w:t>
      </w:r>
      <w:r>
        <w:rPr/>
        <w:t>= 1)</w:t>
      </w:r>
    </w:p>
    <w:p>
      <w:pPr>
        <w:pStyle w:val="BodyText"/>
        <w:spacing w:before="7"/>
        <w:rPr>
          <w:b/>
          <w:sz w:val="5"/>
        </w:rPr>
      </w:pPr>
    </w:p>
    <w:tbl>
      <w:tblPr>
        <w:tblW w:w="0" w:type="auto"/>
        <w:jc w:val="left"/>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18"/>
        <w:gridCol w:w="1954"/>
        <w:gridCol w:w="1688"/>
        <w:gridCol w:w="1018"/>
        <w:gridCol w:w="1280"/>
        <w:gridCol w:w="606"/>
      </w:tblGrid>
      <w:tr>
        <w:trPr>
          <w:trHeight w:val="308" w:hRule="atLeast"/>
        </w:trPr>
        <w:tc>
          <w:tcPr>
            <w:tcW w:w="2818" w:type="dxa"/>
          </w:tcPr>
          <w:p>
            <w:pPr>
              <w:pStyle w:val="TableParagraph"/>
              <w:spacing w:before="35"/>
              <w:ind w:left="107"/>
              <w:rPr>
                <w:b/>
                <w:sz w:val="20"/>
              </w:rPr>
            </w:pPr>
            <w:r>
              <w:rPr>
                <w:b/>
                <w:sz w:val="20"/>
              </w:rPr>
              <w:t>Parameter</w:t>
            </w:r>
          </w:p>
        </w:tc>
        <w:tc>
          <w:tcPr>
            <w:tcW w:w="1954" w:type="dxa"/>
          </w:tcPr>
          <w:p>
            <w:pPr>
              <w:pStyle w:val="TableParagraph"/>
              <w:spacing w:before="35"/>
              <w:ind w:left="59"/>
              <w:rPr>
                <w:b/>
                <w:sz w:val="20"/>
              </w:rPr>
            </w:pPr>
            <w:r>
              <w:rPr>
                <w:b/>
                <w:sz w:val="20"/>
              </w:rPr>
              <w:t>Condition</w:t>
            </w:r>
          </w:p>
        </w:tc>
        <w:tc>
          <w:tcPr>
            <w:tcW w:w="1688" w:type="dxa"/>
          </w:tcPr>
          <w:p>
            <w:pPr>
              <w:pStyle w:val="TableParagraph"/>
              <w:spacing w:before="35"/>
              <w:ind w:right="655"/>
              <w:jc w:val="right"/>
              <w:rPr>
                <w:b/>
                <w:sz w:val="20"/>
              </w:rPr>
            </w:pPr>
            <w:r>
              <w:rPr>
                <w:b/>
                <w:w w:val="95"/>
                <w:sz w:val="20"/>
              </w:rPr>
              <w:t>Min</w:t>
            </w:r>
          </w:p>
        </w:tc>
        <w:tc>
          <w:tcPr>
            <w:tcW w:w="1018" w:type="dxa"/>
          </w:tcPr>
          <w:p>
            <w:pPr>
              <w:pStyle w:val="TableParagraph"/>
              <w:spacing w:before="35"/>
              <w:ind w:left="60" w:right="49"/>
              <w:jc w:val="center"/>
              <w:rPr>
                <w:b/>
                <w:sz w:val="20"/>
              </w:rPr>
            </w:pPr>
            <w:r>
              <w:rPr>
                <w:b/>
                <w:sz w:val="20"/>
              </w:rPr>
              <w:t>Typ</w:t>
            </w:r>
          </w:p>
        </w:tc>
        <w:tc>
          <w:tcPr>
            <w:tcW w:w="1280" w:type="dxa"/>
          </w:tcPr>
          <w:p>
            <w:pPr>
              <w:pStyle w:val="TableParagraph"/>
              <w:spacing w:before="35"/>
              <w:ind w:right="425"/>
              <w:jc w:val="right"/>
              <w:rPr>
                <w:b/>
                <w:sz w:val="20"/>
              </w:rPr>
            </w:pPr>
            <w:r>
              <w:rPr>
                <w:b/>
                <w:sz w:val="20"/>
              </w:rPr>
              <w:t>Max</w:t>
            </w:r>
          </w:p>
        </w:tc>
        <w:tc>
          <w:tcPr>
            <w:tcW w:w="606" w:type="dxa"/>
          </w:tcPr>
          <w:p>
            <w:pPr>
              <w:pStyle w:val="TableParagraph"/>
              <w:spacing w:before="35"/>
              <w:ind w:left="84" w:right="73"/>
              <w:jc w:val="center"/>
              <w:rPr>
                <w:b/>
                <w:sz w:val="20"/>
              </w:rPr>
            </w:pPr>
            <w:r>
              <w:rPr>
                <w:b/>
                <w:sz w:val="20"/>
              </w:rPr>
              <w:t>Unit</w:t>
            </w:r>
          </w:p>
        </w:tc>
      </w:tr>
      <w:tr>
        <w:trPr>
          <w:trHeight w:val="1151" w:hRule="atLeast"/>
        </w:trPr>
        <w:tc>
          <w:tcPr>
            <w:tcW w:w="2818" w:type="dxa"/>
          </w:tcPr>
          <w:p>
            <w:pPr>
              <w:pStyle w:val="TableParagraph"/>
              <w:spacing w:before="8"/>
              <w:rPr>
                <w:b/>
                <w:sz w:val="29"/>
              </w:rPr>
            </w:pPr>
          </w:p>
          <w:p>
            <w:pPr>
              <w:pStyle w:val="TableParagraph"/>
              <w:spacing w:before="1"/>
              <w:ind w:left="107" w:right="31"/>
              <w:rPr>
                <w:sz w:val="20"/>
              </w:rPr>
            </w:pPr>
            <w:r>
              <w:rPr>
                <w:sz w:val="20"/>
              </w:rPr>
              <w:t>BV: Battery Voltage (definition)</w:t>
            </w:r>
          </w:p>
        </w:tc>
        <w:tc>
          <w:tcPr>
            <w:tcW w:w="1954" w:type="dxa"/>
          </w:tcPr>
          <w:p>
            <w:pPr>
              <w:pStyle w:val="TableParagraph"/>
              <w:spacing w:before="8"/>
              <w:rPr>
                <w:b/>
                <w:sz w:val="21"/>
              </w:rPr>
            </w:pPr>
          </w:p>
          <w:p>
            <w:pPr>
              <w:pStyle w:val="TableParagraph"/>
              <w:ind w:left="59"/>
              <w:rPr>
                <w:sz w:val="14"/>
              </w:rPr>
            </w:pPr>
            <w:r>
              <w:rPr>
                <w:sz w:val="14"/>
              </w:rPr>
              <w:t>MSN mode, </w:t>
            </w:r>
            <w:r>
              <w:rPr>
                <w:rFonts w:ascii="Times New Roman"/>
                <w:i/>
                <w:sz w:val="14"/>
              </w:rPr>
              <w:t>TEMP_PWR </w:t>
            </w:r>
            <w:r>
              <w:rPr>
                <w:sz w:val="14"/>
              </w:rPr>
              <w:t>= 1</w:t>
            </w:r>
          </w:p>
          <w:p>
            <w:pPr>
              <w:pStyle w:val="TableParagraph"/>
              <w:spacing w:before="1"/>
              <w:rPr>
                <w:b/>
                <w:sz w:val="14"/>
              </w:rPr>
            </w:pPr>
          </w:p>
          <w:p>
            <w:pPr>
              <w:pStyle w:val="TableParagraph"/>
              <w:spacing w:line="160" w:lineRule="exact"/>
              <w:ind w:left="59"/>
              <w:rPr>
                <w:sz w:val="14"/>
              </w:rPr>
            </w:pPr>
            <w:r>
              <w:rPr>
                <w:sz w:val="14"/>
              </w:rPr>
              <w:t>BRN mode,</w:t>
            </w:r>
          </w:p>
          <w:p>
            <w:pPr>
              <w:pStyle w:val="TableParagraph"/>
              <w:spacing w:line="160" w:lineRule="exact"/>
              <w:ind w:left="59"/>
              <w:rPr>
                <w:rFonts w:ascii="Times New Roman"/>
                <w:i/>
                <w:sz w:val="14"/>
              </w:rPr>
            </w:pPr>
            <w:r>
              <w:rPr>
                <w:rFonts w:ascii="Times New Roman"/>
                <w:i/>
                <w:sz w:val="14"/>
              </w:rPr>
              <w:t>TEMP_PWR</w:t>
            </w:r>
            <w:r>
              <w:rPr>
                <w:sz w:val="14"/>
              </w:rPr>
              <w:t>=</w:t>
            </w:r>
            <w:r>
              <w:rPr>
                <w:rFonts w:ascii="Times New Roman"/>
                <w:i/>
                <w:sz w:val="14"/>
              </w:rPr>
              <w:t>TEMP_BSEL</w:t>
            </w:r>
          </w:p>
        </w:tc>
        <w:tc>
          <w:tcPr>
            <w:tcW w:w="3986" w:type="dxa"/>
            <w:gridSpan w:val="3"/>
          </w:tcPr>
          <w:p>
            <w:pPr>
              <w:pStyle w:val="TableParagraph"/>
              <w:spacing w:before="10"/>
              <w:rPr>
                <w:b/>
                <w:sz w:val="20"/>
              </w:rPr>
            </w:pPr>
          </w:p>
          <w:p>
            <w:pPr>
              <w:pStyle w:val="TableParagraph"/>
              <w:ind w:left="200"/>
              <w:rPr>
                <w:rFonts w:ascii="Cambria Math" w:hAnsi="Cambria Math" w:eastAsia="Cambria Math"/>
                <w:sz w:val="14"/>
              </w:rPr>
            </w:pPr>
            <w:r>
              <w:rPr>
                <w:rFonts w:ascii="Cambria Math" w:hAnsi="Cambria Math" w:eastAsia="Cambria Math"/>
                <w:sz w:val="14"/>
              </w:rPr>
              <w:t>𝐵𝑉 = 3.3𝑉 + </w:t>
            </w:r>
            <w:r>
              <w:rPr>
                <w:rFonts w:ascii="Cambria Math" w:hAnsi="Cambria Math" w:eastAsia="Cambria Math"/>
                <w:position w:val="1"/>
                <w:sz w:val="14"/>
              </w:rPr>
              <w:t>(</w:t>
            </w:r>
            <w:r>
              <w:rPr>
                <w:rFonts w:ascii="Cambria Math" w:hAnsi="Cambria Math" w:eastAsia="Cambria Math"/>
                <w:sz w:val="14"/>
              </w:rPr>
              <w:t>𝐵𝑆𝐸𝑁𝑆𝐸 − 142</w:t>
            </w:r>
            <w:r>
              <w:rPr>
                <w:rFonts w:ascii="Cambria Math" w:hAnsi="Cambria Math" w:eastAsia="Cambria Math"/>
                <w:position w:val="1"/>
                <w:sz w:val="14"/>
              </w:rPr>
              <w:t>) </w:t>
            </w:r>
            <w:r>
              <w:rPr>
                <w:rFonts w:ascii="Cambria Math" w:hAnsi="Cambria Math" w:eastAsia="Cambria Math"/>
                <w:sz w:val="14"/>
              </w:rPr>
              <w:t>∙ 0.0246𝑉 + 𝑆𝑇𝐸𝑀𝑃 ∙ 297𝜇𝑉</w:t>
            </w:r>
          </w:p>
          <w:p>
            <w:pPr>
              <w:pStyle w:val="TableParagraph"/>
              <w:rPr>
                <w:b/>
                <w:sz w:val="13"/>
              </w:rPr>
            </w:pPr>
          </w:p>
          <w:p>
            <w:pPr>
              <w:pStyle w:val="TableParagraph"/>
              <w:spacing w:before="1"/>
              <w:ind w:left="123"/>
              <w:rPr>
                <w:rFonts w:ascii="Cambria Math" w:hAnsi="Cambria Math" w:eastAsia="Cambria Math"/>
                <w:sz w:val="14"/>
              </w:rPr>
            </w:pPr>
            <w:r>
              <w:rPr>
                <w:rFonts w:ascii="Cambria Math" w:hAnsi="Cambria Math" w:eastAsia="Cambria Math"/>
                <w:sz w:val="14"/>
              </w:rPr>
              <w:t>𝐵𝑉 = 3.291𝑉 + </w:t>
            </w:r>
            <w:r>
              <w:rPr>
                <w:rFonts w:ascii="Cambria Math" w:hAnsi="Cambria Math" w:eastAsia="Cambria Math"/>
                <w:position w:val="1"/>
                <w:sz w:val="14"/>
              </w:rPr>
              <w:t>(</w:t>
            </w:r>
            <w:r>
              <w:rPr>
                <w:rFonts w:ascii="Cambria Math" w:hAnsi="Cambria Math" w:eastAsia="Cambria Math"/>
                <w:sz w:val="14"/>
              </w:rPr>
              <w:t>𝐵𝑆𝐸𝑁𝑆𝐸 − 142</w:t>
            </w:r>
            <w:r>
              <w:rPr>
                <w:rFonts w:ascii="Cambria Math" w:hAnsi="Cambria Math" w:eastAsia="Cambria Math"/>
                <w:position w:val="1"/>
                <w:sz w:val="14"/>
              </w:rPr>
              <w:t>) </w:t>
            </w:r>
            <w:r>
              <w:rPr>
                <w:rFonts w:ascii="Cambria Math" w:hAnsi="Cambria Math" w:eastAsia="Cambria Math"/>
                <w:sz w:val="14"/>
              </w:rPr>
              <w:t>∙ 0.0255𝑉 + 𝑆𝑇𝐸𝑀𝑃 ∙ 328𝜇𝑉</w:t>
            </w:r>
          </w:p>
        </w:tc>
        <w:tc>
          <w:tcPr>
            <w:tcW w:w="606" w:type="dxa"/>
          </w:tcPr>
          <w:p>
            <w:pPr>
              <w:pStyle w:val="TableParagraph"/>
              <w:rPr>
                <w:b/>
                <w:sz w:val="22"/>
              </w:rPr>
            </w:pPr>
          </w:p>
          <w:p>
            <w:pPr>
              <w:pStyle w:val="TableParagraph"/>
              <w:spacing w:before="9"/>
              <w:rPr>
                <w:b/>
                <w:sz w:val="17"/>
              </w:rPr>
            </w:pPr>
          </w:p>
          <w:p>
            <w:pPr>
              <w:pStyle w:val="TableParagraph"/>
              <w:ind w:left="10"/>
              <w:jc w:val="center"/>
              <w:rPr>
                <w:sz w:val="20"/>
              </w:rPr>
            </w:pPr>
            <w:r>
              <w:rPr>
                <w:w w:val="99"/>
                <w:sz w:val="20"/>
              </w:rPr>
              <w:t>V</w:t>
            </w:r>
          </w:p>
        </w:tc>
      </w:tr>
      <w:tr>
        <w:trPr>
          <w:trHeight w:val="217" w:hRule="atLeast"/>
        </w:trPr>
        <w:tc>
          <w:tcPr>
            <w:tcW w:w="2818" w:type="dxa"/>
            <w:vMerge w:val="restart"/>
          </w:tcPr>
          <w:p>
            <w:pPr>
              <w:pStyle w:val="TableParagraph"/>
              <w:spacing w:before="88"/>
              <w:ind w:left="107"/>
              <w:rPr>
                <w:sz w:val="20"/>
              </w:rPr>
            </w:pPr>
            <w:r>
              <w:rPr>
                <w:sz w:val="20"/>
              </w:rPr>
              <w:t>Measurement Error</w:t>
            </w:r>
          </w:p>
          <w:p>
            <w:pPr>
              <w:pStyle w:val="TableParagraph"/>
              <w:tabs>
                <w:tab w:pos="1838" w:val="left" w:leader="none"/>
              </w:tabs>
              <w:spacing w:line="296" w:lineRule="exact" w:before="29" w:after="20"/>
              <w:ind w:left="579"/>
              <w:rPr>
                <w:rFonts w:ascii="Symbol" w:hAnsi="Symbol"/>
                <w:sz w:val="24"/>
              </w:rPr>
            </w:pPr>
            <w:r>
              <w:rPr>
                <w:rFonts w:ascii="Times New Roman" w:hAnsi="Times New Roman"/>
                <w:sz w:val="24"/>
              </w:rPr>
              <w:t>100</w:t>
            </w:r>
            <w:r>
              <w:rPr>
                <w:rFonts w:ascii="Times New Roman" w:hAnsi="Times New Roman"/>
                <w:spacing w:val="-32"/>
                <w:sz w:val="24"/>
              </w:rPr>
              <w:t> </w:t>
            </w:r>
            <w:r>
              <w:rPr>
                <w:rFonts w:ascii="Symbol" w:hAnsi="Symbol"/>
                <w:w w:val="95"/>
                <w:sz w:val="24"/>
              </w:rPr>
              <w:t></w:t>
            </w:r>
            <w:r>
              <w:rPr>
                <w:rFonts w:ascii="Times New Roman" w:hAnsi="Times New Roman"/>
                <w:spacing w:val="-33"/>
                <w:w w:val="95"/>
                <w:sz w:val="24"/>
              </w:rPr>
              <w:t> </w:t>
            </w:r>
            <w:r>
              <w:rPr>
                <w:rFonts w:ascii="Symbol" w:hAnsi="Symbol"/>
                <w:position w:val="14"/>
                <w:sz w:val="24"/>
              </w:rPr>
              <w:t></w:t>
            </w:r>
            <w:r>
              <w:rPr>
                <w:rFonts w:ascii="Times New Roman" w:hAnsi="Times New Roman"/>
                <w:position w:val="14"/>
                <w:sz w:val="24"/>
              </w:rPr>
              <w:t> </w:t>
            </w:r>
            <w:r>
              <w:rPr>
                <w:rFonts w:ascii="Times New Roman" w:hAnsi="Times New Roman"/>
                <w:spacing w:val="47"/>
                <w:position w:val="14"/>
                <w:sz w:val="24"/>
              </w:rPr>
              <w:t> </w:t>
            </w:r>
            <w:r>
              <w:rPr>
                <w:rFonts w:ascii="Times New Roman" w:hAnsi="Times New Roman"/>
                <w:i/>
                <w:position w:val="15"/>
                <w:sz w:val="24"/>
              </w:rPr>
              <w:t>BV</w:t>
              <w:tab/>
            </w:r>
            <w:r>
              <w:rPr>
                <w:rFonts w:ascii="Symbol" w:hAnsi="Symbol"/>
                <w:sz w:val="24"/>
              </w:rPr>
              <w:t></w:t>
            </w:r>
            <w:r>
              <w:rPr>
                <w:rFonts w:ascii="Times New Roman" w:hAnsi="Times New Roman"/>
                <w:sz w:val="24"/>
              </w:rPr>
              <w:t> </w:t>
            </w:r>
            <w:r>
              <w:rPr>
                <w:rFonts w:ascii="Times New Roman" w:hAnsi="Times New Roman"/>
                <w:spacing w:val="19"/>
                <w:sz w:val="24"/>
              </w:rPr>
              <w:t> </w:t>
            </w:r>
            <w:r>
              <w:rPr>
                <w:rFonts w:ascii="Symbol" w:hAnsi="Symbol"/>
                <w:position w:val="14"/>
                <w:sz w:val="24"/>
              </w:rPr>
              <w:t></w:t>
            </w:r>
          </w:p>
          <w:p>
            <w:pPr>
              <w:pStyle w:val="TableParagraph"/>
              <w:spacing w:line="20" w:lineRule="exact"/>
              <w:ind w:left="1175"/>
              <w:rPr>
                <w:sz w:val="2"/>
              </w:rPr>
            </w:pPr>
            <w:r>
              <w:rPr>
                <w:sz w:val="2"/>
              </w:rPr>
              <w:pict>
                <v:group style="width:30.25pt;height:.550pt;mso-position-horizontal-relative:char;mso-position-vertical-relative:line" coordorigin="0,0" coordsize="605,11">
                  <v:line style="position:absolute" from="0,5" to="604,5" stroked="true" strokeweight=".508088pt" strokecolor="#000000">
                    <v:stroke dashstyle="solid"/>
                  </v:line>
                </v:group>
              </w:pict>
            </w:r>
            <w:r>
              <w:rPr>
                <w:sz w:val="2"/>
              </w:rPr>
            </w:r>
          </w:p>
          <w:p>
            <w:pPr>
              <w:pStyle w:val="TableParagraph"/>
              <w:tabs>
                <w:tab w:pos="1989" w:val="left" w:leader="none"/>
              </w:tabs>
              <w:spacing w:line="67" w:lineRule="exact"/>
              <w:ind w:left="1057"/>
              <w:rPr>
                <w:rFonts w:ascii="Symbol" w:hAnsi="Symbol"/>
                <w:sz w:val="24"/>
              </w:rPr>
            </w:pPr>
            <w:r>
              <w:rPr>
                <w:rFonts w:ascii="Symbol" w:hAnsi="Symbol"/>
                <w:sz w:val="24"/>
              </w:rPr>
              <w:t></w:t>
            </w:r>
            <w:r>
              <w:rPr>
                <w:rFonts w:ascii="Times New Roman" w:hAnsi="Times New Roman"/>
                <w:sz w:val="24"/>
              </w:rPr>
              <w:tab/>
            </w:r>
            <w:r>
              <w:rPr>
                <w:rFonts w:ascii="Times New Roman" w:hAnsi="Times New Roman"/>
                <w:position w:val="2"/>
                <w:sz w:val="24"/>
              </w:rPr>
              <w:t>1</w:t>
            </w:r>
            <w:r>
              <w:rPr>
                <w:rFonts w:ascii="Symbol" w:hAnsi="Symbol"/>
                <w:sz w:val="24"/>
              </w:rPr>
              <w:t></w:t>
            </w:r>
          </w:p>
          <w:p>
            <w:pPr>
              <w:pStyle w:val="TableParagraph"/>
              <w:tabs>
                <w:tab w:pos="2109" w:val="left" w:leader="none"/>
              </w:tabs>
              <w:spacing w:line="254" w:lineRule="exact"/>
              <w:ind w:left="1057"/>
              <w:rPr>
                <w:rFonts w:ascii="Symbol" w:hAnsi="Symbol"/>
                <w:sz w:val="24"/>
              </w:rPr>
            </w:pPr>
            <w:r>
              <w:rPr>
                <w:rFonts w:ascii="Symbol" w:hAnsi="Symbol"/>
                <w:position w:val="-2"/>
                <w:sz w:val="24"/>
              </w:rPr>
              <w:t></w:t>
            </w:r>
            <w:r>
              <w:rPr>
                <w:rFonts w:ascii="Times New Roman" w:hAnsi="Times New Roman"/>
                <w:spacing w:val="-36"/>
                <w:position w:val="-2"/>
                <w:sz w:val="24"/>
              </w:rPr>
              <w:t> </w:t>
            </w:r>
            <w:r>
              <w:rPr>
                <w:rFonts w:ascii="Times New Roman" w:hAnsi="Times New Roman"/>
                <w:i/>
                <w:sz w:val="24"/>
              </w:rPr>
              <w:t>VBAT</w:t>
              <w:tab/>
            </w:r>
            <w:r>
              <w:rPr>
                <w:rFonts w:ascii="Symbol" w:hAnsi="Symbol"/>
                <w:position w:val="-2"/>
                <w:sz w:val="24"/>
              </w:rPr>
              <w:t></w:t>
            </w:r>
          </w:p>
        </w:tc>
        <w:tc>
          <w:tcPr>
            <w:tcW w:w="1954" w:type="dxa"/>
            <w:tcBorders>
              <w:bottom w:val="nil"/>
            </w:tcBorders>
          </w:tcPr>
          <w:p>
            <w:pPr>
              <w:pStyle w:val="TableParagraph"/>
              <w:spacing w:line="180" w:lineRule="exact" w:before="18"/>
              <w:ind w:left="169"/>
              <w:rPr>
                <w:sz w:val="18"/>
              </w:rPr>
            </w:pPr>
            <w:r>
              <w:rPr>
                <w:sz w:val="18"/>
              </w:rPr>
              <w:t>VBAT =</w:t>
            </w:r>
          </w:p>
        </w:tc>
        <w:tc>
          <w:tcPr>
            <w:tcW w:w="1688" w:type="dxa"/>
            <w:vMerge w:val="restart"/>
          </w:tcPr>
          <w:p>
            <w:pPr>
              <w:pStyle w:val="TableParagraph"/>
              <w:spacing w:before="88"/>
              <w:ind w:left="568" w:right="556"/>
              <w:jc w:val="center"/>
              <w:rPr>
                <w:sz w:val="20"/>
              </w:rPr>
            </w:pPr>
            <w:r>
              <w:rPr>
                <w:sz w:val="20"/>
              </w:rPr>
              <w:t>-7.5</w:t>
            </w:r>
          </w:p>
          <w:p>
            <w:pPr>
              <w:pStyle w:val="TableParagraph"/>
              <w:ind w:left="568" w:right="554"/>
              <w:jc w:val="center"/>
              <w:rPr>
                <w:sz w:val="20"/>
              </w:rPr>
            </w:pPr>
            <w:r>
              <w:rPr>
                <w:sz w:val="20"/>
              </w:rPr>
              <w:t>-5</w:t>
            </w:r>
          </w:p>
          <w:p>
            <w:pPr>
              <w:pStyle w:val="TableParagraph"/>
              <w:spacing w:before="1"/>
              <w:ind w:left="568" w:right="554"/>
              <w:jc w:val="center"/>
              <w:rPr>
                <w:sz w:val="20"/>
              </w:rPr>
            </w:pPr>
            <w:r>
              <w:rPr>
                <w:sz w:val="20"/>
              </w:rPr>
              <w:t>-3</w:t>
            </w:r>
          </w:p>
          <w:p>
            <w:pPr>
              <w:pStyle w:val="TableParagraph"/>
              <w:ind w:left="568" w:right="554"/>
              <w:jc w:val="center"/>
              <w:rPr>
                <w:sz w:val="20"/>
              </w:rPr>
            </w:pPr>
            <w:r>
              <w:rPr>
                <w:sz w:val="20"/>
              </w:rPr>
              <w:t>-3</w:t>
            </w:r>
          </w:p>
        </w:tc>
        <w:tc>
          <w:tcPr>
            <w:tcW w:w="1018" w:type="dxa"/>
            <w:vMerge w:val="restart"/>
          </w:tcPr>
          <w:p>
            <w:pPr>
              <w:pStyle w:val="TableParagraph"/>
              <w:rPr>
                <w:rFonts w:ascii="Times New Roman"/>
                <w:sz w:val="18"/>
              </w:rPr>
            </w:pPr>
          </w:p>
        </w:tc>
        <w:tc>
          <w:tcPr>
            <w:tcW w:w="1280" w:type="dxa"/>
            <w:vMerge w:val="restart"/>
          </w:tcPr>
          <w:p>
            <w:pPr>
              <w:pStyle w:val="TableParagraph"/>
              <w:spacing w:before="74"/>
              <w:ind w:left="474" w:right="466"/>
              <w:jc w:val="center"/>
              <w:rPr>
                <w:sz w:val="20"/>
              </w:rPr>
            </w:pPr>
            <w:r>
              <w:rPr>
                <w:sz w:val="20"/>
              </w:rPr>
              <w:t>7.5</w:t>
            </w:r>
          </w:p>
          <w:p>
            <w:pPr>
              <w:pStyle w:val="TableParagraph"/>
              <w:spacing w:before="10"/>
              <w:ind w:left="11"/>
              <w:jc w:val="center"/>
              <w:rPr>
                <w:sz w:val="20"/>
              </w:rPr>
            </w:pPr>
            <w:r>
              <w:rPr>
                <w:w w:val="99"/>
                <w:sz w:val="20"/>
              </w:rPr>
              <w:t>5</w:t>
            </w:r>
          </w:p>
          <w:p>
            <w:pPr>
              <w:pStyle w:val="TableParagraph"/>
              <w:spacing w:before="10"/>
              <w:ind w:left="11"/>
              <w:jc w:val="center"/>
              <w:rPr>
                <w:sz w:val="20"/>
              </w:rPr>
            </w:pPr>
            <w:r>
              <w:rPr>
                <w:w w:val="99"/>
                <w:sz w:val="20"/>
              </w:rPr>
              <w:t>3</w:t>
            </w:r>
          </w:p>
          <w:p>
            <w:pPr>
              <w:pStyle w:val="TableParagraph"/>
              <w:spacing w:before="10"/>
              <w:ind w:left="11"/>
              <w:jc w:val="center"/>
              <w:rPr>
                <w:sz w:val="20"/>
              </w:rPr>
            </w:pPr>
            <w:r>
              <w:rPr>
                <w:w w:val="99"/>
                <w:sz w:val="20"/>
              </w:rPr>
              <w:t>5</w:t>
            </w:r>
          </w:p>
        </w:tc>
        <w:tc>
          <w:tcPr>
            <w:tcW w:w="606" w:type="dxa"/>
            <w:vMerge w:val="restart"/>
          </w:tcPr>
          <w:p>
            <w:pPr>
              <w:pStyle w:val="TableParagraph"/>
              <w:spacing w:before="74"/>
              <w:ind w:left="10"/>
              <w:jc w:val="center"/>
              <w:rPr>
                <w:sz w:val="20"/>
              </w:rPr>
            </w:pPr>
            <w:r>
              <w:rPr>
                <w:w w:val="99"/>
                <w:sz w:val="20"/>
              </w:rPr>
              <w:t>%</w:t>
            </w:r>
          </w:p>
          <w:p>
            <w:pPr>
              <w:pStyle w:val="TableParagraph"/>
              <w:spacing w:before="10"/>
              <w:ind w:left="10"/>
              <w:jc w:val="center"/>
              <w:rPr>
                <w:sz w:val="20"/>
              </w:rPr>
            </w:pPr>
            <w:r>
              <w:rPr>
                <w:w w:val="99"/>
                <w:sz w:val="20"/>
              </w:rPr>
              <w:t>%</w:t>
            </w:r>
          </w:p>
          <w:p>
            <w:pPr>
              <w:pStyle w:val="TableParagraph"/>
              <w:spacing w:before="10"/>
              <w:ind w:left="10"/>
              <w:jc w:val="center"/>
              <w:rPr>
                <w:sz w:val="20"/>
              </w:rPr>
            </w:pPr>
            <w:r>
              <w:rPr>
                <w:w w:val="99"/>
                <w:sz w:val="20"/>
              </w:rPr>
              <w:t>%</w:t>
            </w:r>
          </w:p>
          <w:p>
            <w:pPr>
              <w:pStyle w:val="TableParagraph"/>
              <w:spacing w:before="10"/>
              <w:ind w:left="10"/>
              <w:jc w:val="center"/>
              <w:rPr>
                <w:sz w:val="20"/>
              </w:rPr>
            </w:pPr>
            <w:r>
              <w:rPr>
                <w:w w:val="99"/>
                <w:sz w:val="20"/>
              </w:rPr>
              <w:t>%</w:t>
            </w:r>
          </w:p>
        </w:tc>
      </w:tr>
      <w:tr>
        <w:trPr>
          <w:trHeight w:val="192" w:hRule="atLeast"/>
        </w:trPr>
        <w:tc>
          <w:tcPr>
            <w:tcW w:w="2818" w:type="dxa"/>
            <w:vMerge/>
            <w:tcBorders>
              <w:top w:val="nil"/>
            </w:tcBorders>
          </w:tcPr>
          <w:p>
            <w:pPr>
              <w:rPr>
                <w:sz w:val="2"/>
                <w:szCs w:val="2"/>
              </w:rPr>
            </w:pPr>
          </w:p>
        </w:tc>
        <w:tc>
          <w:tcPr>
            <w:tcW w:w="1954" w:type="dxa"/>
            <w:tcBorders>
              <w:top w:val="nil"/>
              <w:bottom w:val="nil"/>
            </w:tcBorders>
          </w:tcPr>
          <w:p>
            <w:pPr>
              <w:pStyle w:val="TableParagraph"/>
              <w:spacing w:line="172" w:lineRule="exact"/>
              <w:ind w:left="246"/>
              <w:rPr>
                <w:sz w:val="18"/>
              </w:rPr>
            </w:pPr>
            <w:r>
              <w:rPr>
                <w:sz w:val="18"/>
              </w:rPr>
              <w:t>2.0 V</w:t>
            </w:r>
          </w:p>
        </w:tc>
        <w:tc>
          <w:tcPr>
            <w:tcW w:w="1688" w:type="dxa"/>
            <w:vMerge/>
            <w:tcBorders>
              <w:top w:val="nil"/>
            </w:tcBorders>
          </w:tcPr>
          <w:p>
            <w:pPr>
              <w:rPr>
                <w:sz w:val="2"/>
                <w:szCs w:val="2"/>
              </w:rPr>
            </w:pPr>
          </w:p>
        </w:tc>
        <w:tc>
          <w:tcPr>
            <w:tcW w:w="1018" w:type="dxa"/>
            <w:vMerge/>
            <w:tcBorders>
              <w:top w:val="nil"/>
            </w:tcBorders>
          </w:tcPr>
          <w:p>
            <w:pPr>
              <w:rPr>
                <w:sz w:val="2"/>
                <w:szCs w:val="2"/>
              </w:rPr>
            </w:pPr>
          </w:p>
        </w:tc>
        <w:tc>
          <w:tcPr>
            <w:tcW w:w="1280" w:type="dxa"/>
            <w:vMerge/>
            <w:tcBorders>
              <w:top w:val="nil"/>
            </w:tcBorders>
          </w:tcPr>
          <w:p>
            <w:pPr>
              <w:rPr>
                <w:sz w:val="2"/>
                <w:szCs w:val="2"/>
              </w:rPr>
            </w:pPr>
          </w:p>
        </w:tc>
        <w:tc>
          <w:tcPr>
            <w:tcW w:w="606" w:type="dxa"/>
            <w:vMerge/>
            <w:tcBorders>
              <w:top w:val="nil"/>
            </w:tcBorders>
          </w:tcPr>
          <w:p>
            <w:pPr>
              <w:rPr>
                <w:sz w:val="2"/>
                <w:szCs w:val="2"/>
              </w:rPr>
            </w:pPr>
          </w:p>
        </w:tc>
      </w:tr>
      <w:tr>
        <w:trPr>
          <w:trHeight w:val="197" w:hRule="atLeast"/>
        </w:trPr>
        <w:tc>
          <w:tcPr>
            <w:tcW w:w="2818" w:type="dxa"/>
            <w:vMerge/>
            <w:tcBorders>
              <w:top w:val="nil"/>
            </w:tcBorders>
          </w:tcPr>
          <w:p>
            <w:pPr>
              <w:rPr>
                <w:sz w:val="2"/>
                <w:szCs w:val="2"/>
              </w:rPr>
            </w:pPr>
          </w:p>
        </w:tc>
        <w:tc>
          <w:tcPr>
            <w:tcW w:w="1954" w:type="dxa"/>
            <w:tcBorders>
              <w:top w:val="nil"/>
              <w:bottom w:val="nil"/>
            </w:tcBorders>
          </w:tcPr>
          <w:p>
            <w:pPr>
              <w:pStyle w:val="TableParagraph"/>
              <w:spacing w:line="177" w:lineRule="exact"/>
              <w:ind w:left="246"/>
              <w:rPr>
                <w:sz w:val="18"/>
              </w:rPr>
            </w:pPr>
            <w:r>
              <w:rPr>
                <w:sz w:val="18"/>
              </w:rPr>
              <w:t>2.5 V</w:t>
            </w:r>
          </w:p>
        </w:tc>
        <w:tc>
          <w:tcPr>
            <w:tcW w:w="1688" w:type="dxa"/>
            <w:vMerge/>
            <w:tcBorders>
              <w:top w:val="nil"/>
            </w:tcBorders>
          </w:tcPr>
          <w:p>
            <w:pPr>
              <w:rPr>
                <w:sz w:val="2"/>
                <w:szCs w:val="2"/>
              </w:rPr>
            </w:pPr>
          </w:p>
        </w:tc>
        <w:tc>
          <w:tcPr>
            <w:tcW w:w="1018" w:type="dxa"/>
            <w:vMerge/>
            <w:tcBorders>
              <w:top w:val="nil"/>
            </w:tcBorders>
          </w:tcPr>
          <w:p>
            <w:pPr>
              <w:rPr>
                <w:sz w:val="2"/>
                <w:szCs w:val="2"/>
              </w:rPr>
            </w:pPr>
          </w:p>
        </w:tc>
        <w:tc>
          <w:tcPr>
            <w:tcW w:w="1280" w:type="dxa"/>
            <w:vMerge/>
            <w:tcBorders>
              <w:top w:val="nil"/>
            </w:tcBorders>
          </w:tcPr>
          <w:p>
            <w:pPr>
              <w:rPr>
                <w:sz w:val="2"/>
                <w:szCs w:val="2"/>
              </w:rPr>
            </w:pPr>
          </w:p>
        </w:tc>
        <w:tc>
          <w:tcPr>
            <w:tcW w:w="606" w:type="dxa"/>
            <w:vMerge/>
            <w:tcBorders>
              <w:top w:val="nil"/>
            </w:tcBorders>
          </w:tcPr>
          <w:p>
            <w:pPr>
              <w:rPr>
                <w:sz w:val="2"/>
                <w:szCs w:val="2"/>
              </w:rPr>
            </w:pPr>
          </w:p>
        </w:tc>
      </w:tr>
      <w:tr>
        <w:trPr>
          <w:trHeight w:val="197" w:hRule="atLeast"/>
        </w:trPr>
        <w:tc>
          <w:tcPr>
            <w:tcW w:w="2818" w:type="dxa"/>
            <w:vMerge/>
            <w:tcBorders>
              <w:top w:val="nil"/>
            </w:tcBorders>
          </w:tcPr>
          <w:p>
            <w:pPr>
              <w:rPr>
                <w:sz w:val="2"/>
                <w:szCs w:val="2"/>
              </w:rPr>
            </w:pPr>
          </w:p>
        </w:tc>
        <w:tc>
          <w:tcPr>
            <w:tcW w:w="1954" w:type="dxa"/>
            <w:tcBorders>
              <w:top w:val="nil"/>
              <w:bottom w:val="nil"/>
            </w:tcBorders>
          </w:tcPr>
          <w:p>
            <w:pPr>
              <w:pStyle w:val="TableParagraph"/>
              <w:spacing w:line="177" w:lineRule="exact"/>
              <w:ind w:left="246"/>
              <w:rPr>
                <w:sz w:val="18"/>
              </w:rPr>
            </w:pPr>
            <w:r>
              <w:rPr>
                <w:sz w:val="18"/>
              </w:rPr>
              <w:t>3.0 V</w:t>
            </w:r>
          </w:p>
        </w:tc>
        <w:tc>
          <w:tcPr>
            <w:tcW w:w="1688" w:type="dxa"/>
            <w:vMerge/>
            <w:tcBorders>
              <w:top w:val="nil"/>
            </w:tcBorders>
          </w:tcPr>
          <w:p>
            <w:pPr>
              <w:rPr>
                <w:sz w:val="2"/>
                <w:szCs w:val="2"/>
              </w:rPr>
            </w:pPr>
          </w:p>
        </w:tc>
        <w:tc>
          <w:tcPr>
            <w:tcW w:w="1018" w:type="dxa"/>
            <w:vMerge/>
            <w:tcBorders>
              <w:top w:val="nil"/>
            </w:tcBorders>
          </w:tcPr>
          <w:p>
            <w:pPr>
              <w:rPr>
                <w:sz w:val="2"/>
                <w:szCs w:val="2"/>
              </w:rPr>
            </w:pPr>
          </w:p>
        </w:tc>
        <w:tc>
          <w:tcPr>
            <w:tcW w:w="1280" w:type="dxa"/>
            <w:vMerge/>
            <w:tcBorders>
              <w:top w:val="nil"/>
            </w:tcBorders>
          </w:tcPr>
          <w:p>
            <w:pPr>
              <w:rPr>
                <w:sz w:val="2"/>
                <w:szCs w:val="2"/>
              </w:rPr>
            </w:pPr>
          </w:p>
        </w:tc>
        <w:tc>
          <w:tcPr>
            <w:tcW w:w="606" w:type="dxa"/>
            <w:vMerge/>
            <w:tcBorders>
              <w:top w:val="nil"/>
            </w:tcBorders>
          </w:tcPr>
          <w:p>
            <w:pPr>
              <w:rPr>
                <w:sz w:val="2"/>
                <w:szCs w:val="2"/>
              </w:rPr>
            </w:pPr>
          </w:p>
        </w:tc>
      </w:tr>
      <w:tr>
        <w:trPr>
          <w:trHeight w:val="218" w:hRule="atLeast"/>
        </w:trPr>
        <w:tc>
          <w:tcPr>
            <w:tcW w:w="2818" w:type="dxa"/>
            <w:vMerge/>
            <w:tcBorders>
              <w:top w:val="nil"/>
            </w:tcBorders>
          </w:tcPr>
          <w:p>
            <w:pPr>
              <w:rPr>
                <w:sz w:val="2"/>
                <w:szCs w:val="2"/>
              </w:rPr>
            </w:pPr>
          </w:p>
        </w:tc>
        <w:tc>
          <w:tcPr>
            <w:tcW w:w="1954" w:type="dxa"/>
            <w:tcBorders>
              <w:top w:val="nil"/>
            </w:tcBorders>
          </w:tcPr>
          <w:p>
            <w:pPr>
              <w:pStyle w:val="TableParagraph"/>
              <w:spacing w:line="199" w:lineRule="exact"/>
              <w:ind w:left="239"/>
              <w:rPr>
                <w:sz w:val="18"/>
              </w:rPr>
            </w:pPr>
            <w:r>
              <w:rPr>
                <w:sz w:val="18"/>
              </w:rPr>
              <w:t>4.0 V</w:t>
            </w:r>
          </w:p>
        </w:tc>
        <w:tc>
          <w:tcPr>
            <w:tcW w:w="1688" w:type="dxa"/>
            <w:vMerge/>
            <w:tcBorders>
              <w:top w:val="nil"/>
            </w:tcBorders>
          </w:tcPr>
          <w:p>
            <w:pPr>
              <w:rPr>
                <w:sz w:val="2"/>
                <w:szCs w:val="2"/>
              </w:rPr>
            </w:pPr>
          </w:p>
        </w:tc>
        <w:tc>
          <w:tcPr>
            <w:tcW w:w="1018" w:type="dxa"/>
            <w:vMerge/>
            <w:tcBorders>
              <w:top w:val="nil"/>
            </w:tcBorders>
          </w:tcPr>
          <w:p>
            <w:pPr>
              <w:rPr>
                <w:sz w:val="2"/>
                <w:szCs w:val="2"/>
              </w:rPr>
            </w:pPr>
          </w:p>
        </w:tc>
        <w:tc>
          <w:tcPr>
            <w:tcW w:w="1280" w:type="dxa"/>
            <w:vMerge/>
            <w:tcBorders>
              <w:top w:val="nil"/>
            </w:tcBorders>
          </w:tcPr>
          <w:p>
            <w:pPr>
              <w:rPr>
                <w:sz w:val="2"/>
                <w:szCs w:val="2"/>
              </w:rPr>
            </w:pPr>
          </w:p>
        </w:tc>
        <w:tc>
          <w:tcPr>
            <w:tcW w:w="606" w:type="dxa"/>
            <w:vMerge/>
            <w:tcBorders>
              <w:top w:val="nil"/>
            </w:tcBorders>
          </w:tcPr>
          <w:p>
            <w:pPr>
              <w:rPr>
                <w:sz w:val="2"/>
                <w:szCs w:val="2"/>
              </w:rPr>
            </w:pPr>
          </w:p>
        </w:tc>
      </w:tr>
      <w:tr>
        <w:trPr>
          <w:trHeight w:val="254" w:hRule="atLeast"/>
        </w:trPr>
        <w:tc>
          <w:tcPr>
            <w:tcW w:w="2818" w:type="dxa"/>
            <w:tcBorders>
              <w:bottom w:val="nil"/>
            </w:tcBorders>
          </w:tcPr>
          <w:p>
            <w:pPr>
              <w:pStyle w:val="TableParagraph"/>
              <w:spacing w:line="216" w:lineRule="exact" w:before="18"/>
              <w:ind w:left="107"/>
              <w:rPr>
                <w:sz w:val="20"/>
              </w:rPr>
            </w:pPr>
            <w:r>
              <w:rPr>
                <w:sz w:val="20"/>
              </w:rPr>
              <w:t>Input impedance in</w:t>
            </w:r>
          </w:p>
        </w:tc>
        <w:tc>
          <w:tcPr>
            <w:tcW w:w="1954" w:type="dxa"/>
            <w:tcBorders>
              <w:bottom w:val="nil"/>
            </w:tcBorders>
          </w:tcPr>
          <w:p>
            <w:pPr>
              <w:pStyle w:val="TableParagraph"/>
              <w:spacing w:line="169" w:lineRule="exact" w:before="66"/>
              <w:ind w:left="59"/>
              <w:rPr>
                <w:sz w:val="18"/>
              </w:rPr>
            </w:pPr>
            <w:r>
              <w:rPr>
                <w:sz w:val="18"/>
              </w:rPr>
              <w:t>V3P3 = 3.3 V,</w:t>
            </w:r>
          </w:p>
        </w:tc>
        <w:tc>
          <w:tcPr>
            <w:tcW w:w="1688" w:type="dxa"/>
            <w:tcBorders>
              <w:bottom w:val="nil"/>
            </w:tcBorders>
          </w:tcPr>
          <w:p>
            <w:pPr>
              <w:pStyle w:val="TableParagraph"/>
              <w:rPr>
                <w:rFonts w:ascii="Times New Roman"/>
                <w:sz w:val="18"/>
              </w:rPr>
            </w:pPr>
          </w:p>
        </w:tc>
        <w:tc>
          <w:tcPr>
            <w:tcW w:w="1018" w:type="dxa"/>
            <w:vMerge w:val="restart"/>
          </w:tcPr>
          <w:p>
            <w:pPr>
              <w:pStyle w:val="TableParagraph"/>
              <w:rPr>
                <w:rFonts w:ascii="Times New Roman"/>
                <w:sz w:val="18"/>
              </w:rPr>
            </w:pPr>
          </w:p>
        </w:tc>
        <w:tc>
          <w:tcPr>
            <w:tcW w:w="1280" w:type="dxa"/>
            <w:vMerge w:val="restart"/>
          </w:tcPr>
          <w:p>
            <w:pPr>
              <w:pStyle w:val="TableParagraph"/>
              <w:rPr>
                <w:rFonts w:ascii="Times New Roman"/>
                <w:sz w:val="18"/>
              </w:rPr>
            </w:pPr>
          </w:p>
        </w:tc>
        <w:tc>
          <w:tcPr>
            <w:tcW w:w="606" w:type="dxa"/>
            <w:tcBorders>
              <w:bottom w:val="nil"/>
            </w:tcBorders>
          </w:tcPr>
          <w:p>
            <w:pPr>
              <w:pStyle w:val="TableParagraph"/>
              <w:rPr>
                <w:rFonts w:ascii="Times New Roman"/>
                <w:sz w:val="18"/>
              </w:rPr>
            </w:pPr>
          </w:p>
        </w:tc>
      </w:tr>
      <w:tr>
        <w:trPr>
          <w:trHeight w:val="416" w:hRule="atLeast"/>
        </w:trPr>
        <w:tc>
          <w:tcPr>
            <w:tcW w:w="2818" w:type="dxa"/>
            <w:tcBorders>
              <w:top w:val="nil"/>
              <w:bottom w:val="nil"/>
            </w:tcBorders>
          </w:tcPr>
          <w:p>
            <w:pPr>
              <w:pStyle w:val="TableParagraph"/>
              <w:spacing w:line="204" w:lineRule="exact"/>
              <w:ind w:left="107"/>
              <w:rPr>
                <w:sz w:val="20"/>
              </w:rPr>
            </w:pPr>
            <w:r>
              <w:rPr>
                <w:sz w:val="20"/>
              </w:rPr>
              <w:t>continuous measurement,</w:t>
            </w:r>
          </w:p>
          <w:p>
            <w:pPr>
              <w:pStyle w:val="TableParagraph"/>
              <w:spacing w:line="192" w:lineRule="exact"/>
              <w:ind w:left="107"/>
              <w:rPr>
                <w:sz w:val="20"/>
              </w:rPr>
            </w:pPr>
            <w:r>
              <w:rPr>
                <w:sz w:val="20"/>
              </w:rPr>
              <w:t>MSN mode.</w:t>
            </w:r>
          </w:p>
        </w:tc>
        <w:tc>
          <w:tcPr>
            <w:tcW w:w="1954" w:type="dxa"/>
            <w:tcBorders>
              <w:top w:val="nil"/>
              <w:bottom w:val="nil"/>
            </w:tcBorders>
          </w:tcPr>
          <w:p>
            <w:pPr>
              <w:pStyle w:val="TableParagraph"/>
              <w:spacing w:line="201" w:lineRule="exact"/>
              <w:ind w:left="59"/>
              <w:rPr>
                <w:sz w:val="18"/>
              </w:rPr>
            </w:pPr>
            <w:r>
              <w:rPr>
                <w:rFonts w:ascii="Times New Roman"/>
                <w:i/>
                <w:sz w:val="18"/>
              </w:rPr>
              <w:t>TEMP_BSEL </w:t>
            </w:r>
            <w:r>
              <w:rPr>
                <w:sz w:val="18"/>
              </w:rPr>
              <w:t>= 0,</w:t>
            </w:r>
          </w:p>
          <w:p>
            <w:pPr>
              <w:pStyle w:val="TableParagraph"/>
              <w:spacing w:line="195" w:lineRule="exact" w:before="1"/>
              <w:ind w:left="59"/>
              <w:rPr>
                <w:sz w:val="18"/>
              </w:rPr>
            </w:pPr>
            <w:r>
              <w:rPr>
                <w:rFonts w:ascii="Times New Roman"/>
                <w:i/>
                <w:sz w:val="18"/>
              </w:rPr>
              <w:t>TEMP_PER </w:t>
            </w:r>
            <w:r>
              <w:rPr>
                <w:sz w:val="18"/>
              </w:rPr>
              <w:t>= 111,</w:t>
            </w:r>
          </w:p>
        </w:tc>
        <w:tc>
          <w:tcPr>
            <w:tcW w:w="1688" w:type="dxa"/>
            <w:tcBorders>
              <w:top w:val="nil"/>
              <w:bottom w:val="nil"/>
            </w:tcBorders>
          </w:tcPr>
          <w:p>
            <w:pPr>
              <w:pStyle w:val="TableParagraph"/>
              <w:spacing w:before="89"/>
              <w:ind w:left="14"/>
              <w:jc w:val="center"/>
              <w:rPr>
                <w:sz w:val="20"/>
              </w:rPr>
            </w:pPr>
            <w:r>
              <w:rPr>
                <w:w w:val="99"/>
                <w:sz w:val="20"/>
              </w:rPr>
              <w:t>1</w:t>
            </w:r>
          </w:p>
        </w:tc>
        <w:tc>
          <w:tcPr>
            <w:tcW w:w="1018" w:type="dxa"/>
            <w:vMerge/>
            <w:tcBorders>
              <w:top w:val="nil"/>
            </w:tcBorders>
          </w:tcPr>
          <w:p>
            <w:pPr>
              <w:rPr>
                <w:sz w:val="2"/>
                <w:szCs w:val="2"/>
              </w:rPr>
            </w:pPr>
          </w:p>
        </w:tc>
        <w:tc>
          <w:tcPr>
            <w:tcW w:w="1280" w:type="dxa"/>
            <w:vMerge/>
            <w:tcBorders>
              <w:top w:val="nil"/>
            </w:tcBorders>
          </w:tcPr>
          <w:p>
            <w:pPr>
              <w:rPr>
                <w:sz w:val="2"/>
                <w:szCs w:val="2"/>
              </w:rPr>
            </w:pPr>
          </w:p>
        </w:tc>
        <w:tc>
          <w:tcPr>
            <w:tcW w:w="606" w:type="dxa"/>
            <w:tcBorders>
              <w:top w:val="nil"/>
              <w:bottom w:val="nil"/>
            </w:tcBorders>
          </w:tcPr>
          <w:p>
            <w:pPr>
              <w:pStyle w:val="TableParagraph"/>
              <w:spacing w:before="89"/>
              <w:ind w:left="82" w:right="73"/>
              <w:jc w:val="center"/>
              <w:rPr>
                <w:sz w:val="20"/>
              </w:rPr>
            </w:pPr>
            <w:r>
              <w:rPr>
                <w:sz w:val="20"/>
              </w:rPr>
              <w:t>MΩ</w:t>
            </w:r>
          </w:p>
        </w:tc>
      </w:tr>
      <w:tr>
        <w:trPr>
          <w:trHeight w:val="250" w:hRule="atLeast"/>
        </w:trPr>
        <w:tc>
          <w:tcPr>
            <w:tcW w:w="2818" w:type="dxa"/>
            <w:tcBorders>
              <w:top w:val="nil"/>
            </w:tcBorders>
          </w:tcPr>
          <w:p>
            <w:pPr>
              <w:pStyle w:val="TableParagraph"/>
              <w:spacing w:line="226" w:lineRule="exact"/>
              <w:ind w:left="107"/>
              <w:rPr>
                <w:sz w:val="20"/>
              </w:rPr>
            </w:pPr>
            <w:r>
              <w:rPr>
                <w:sz w:val="20"/>
              </w:rPr>
              <w:t>V(VBAT_RTC)/I(VBAT_RTC)</w:t>
            </w:r>
          </w:p>
        </w:tc>
        <w:tc>
          <w:tcPr>
            <w:tcW w:w="1954" w:type="dxa"/>
            <w:tcBorders>
              <w:top w:val="nil"/>
            </w:tcBorders>
          </w:tcPr>
          <w:p>
            <w:pPr>
              <w:pStyle w:val="TableParagraph"/>
              <w:spacing w:line="183" w:lineRule="exact"/>
              <w:ind w:left="59"/>
              <w:rPr>
                <w:sz w:val="18"/>
              </w:rPr>
            </w:pPr>
            <w:r>
              <w:rPr>
                <w:sz w:val="18"/>
              </w:rPr>
              <w:t>VBAT_RTC = 3.6 V,</w:t>
            </w:r>
          </w:p>
        </w:tc>
        <w:tc>
          <w:tcPr>
            <w:tcW w:w="1688" w:type="dxa"/>
            <w:tcBorders>
              <w:top w:val="nil"/>
            </w:tcBorders>
          </w:tcPr>
          <w:p>
            <w:pPr>
              <w:pStyle w:val="TableParagraph"/>
              <w:rPr>
                <w:rFonts w:ascii="Times New Roman"/>
                <w:sz w:val="18"/>
              </w:rPr>
            </w:pPr>
          </w:p>
        </w:tc>
        <w:tc>
          <w:tcPr>
            <w:tcW w:w="1018" w:type="dxa"/>
            <w:vMerge/>
            <w:tcBorders>
              <w:top w:val="nil"/>
            </w:tcBorders>
          </w:tcPr>
          <w:p>
            <w:pPr>
              <w:rPr>
                <w:sz w:val="2"/>
                <w:szCs w:val="2"/>
              </w:rPr>
            </w:pPr>
          </w:p>
        </w:tc>
        <w:tc>
          <w:tcPr>
            <w:tcW w:w="1280" w:type="dxa"/>
            <w:vMerge/>
            <w:tcBorders>
              <w:top w:val="nil"/>
            </w:tcBorders>
          </w:tcPr>
          <w:p>
            <w:pPr>
              <w:rPr>
                <w:sz w:val="2"/>
                <w:szCs w:val="2"/>
              </w:rPr>
            </w:pPr>
          </w:p>
        </w:tc>
        <w:tc>
          <w:tcPr>
            <w:tcW w:w="606" w:type="dxa"/>
            <w:tcBorders>
              <w:top w:val="nil"/>
            </w:tcBorders>
          </w:tcPr>
          <w:p>
            <w:pPr>
              <w:pStyle w:val="TableParagraph"/>
              <w:rPr>
                <w:rFonts w:ascii="Times New Roman"/>
                <w:sz w:val="18"/>
              </w:rPr>
            </w:pPr>
          </w:p>
        </w:tc>
      </w:tr>
      <w:tr>
        <w:trPr>
          <w:trHeight w:val="455" w:hRule="atLeast"/>
        </w:trPr>
        <w:tc>
          <w:tcPr>
            <w:tcW w:w="2818" w:type="dxa"/>
          </w:tcPr>
          <w:p>
            <w:pPr>
              <w:pStyle w:val="TableParagraph"/>
              <w:spacing w:line="230" w:lineRule="exact" w:before="13"/>
              <w:ind w:left="107"/>
              <w:rPr>
                <w:rFonts w:ascii="Times New Roman"/>
                <w:i/>
                <w:sz w:val="20"/>
              </w:rPr>
            </w:pPr>
            <w:r>
              <w:rPr>
                <w:sz w:val="20"/>
              </w:rPr>
              <w:t>Load applied with </w:t>
            </w:r>
            <w:r>
              <w:rPr>
                <w:rFonts w:ascii="Times New Roman"/>
                <w:i/>
                <w:sz w:val="20"/>
              </w:rPr>
              <w:t>BCURR</w:t>
            </w:r>
          </w:p>
          <w:p>
            <w:pPr>
              <w:pStyle w:val="TableParagraph"/>
              <w:spacing w:line="184" w:lineRule="exact"/>
              <w:ind w:left="107"/>
              <w:rPr>
                <w:sz w:val="16"/>
              </w:rPr>
            </w:pPr>
            <w:r>
              <w:rPr>
                <w:sz w:val="16"/>
              </w:rPr>
              <w:t>IBAT(</w:t>
            </w:r>
            <w:r>
              <w:rPr>
                <w:rFonts w:ascii="Times New Roman"/>
                <w:i/>
                <w:sz w:val="16"/>
              </w:rPr>
              <w:t>BCURR</w:t>
            </w:r>
            <w:r>
              <w:rPr>
                <w:sz w:val="16"/>
              </w:rPr>
              <w:t>=1) - IBAT(</w:t>
            </w:r>
            <w:r>
              <w:rPr>
                <w:rFonts w:ascii="Times New Roman"/>
                <w:i/>
                <w:sz w:val="16"/>
              </w:rPr>
              <w:t>BCURR</w:t>
            </w:r>
            <w:r>
              <w:rPr>
                <w:sz w:val="16"/>
              </w:rPr>
              <w:t>=0)</w:t>
            </w:r>
          </w:p>
        </w:tc>
        <w:tc>
          <w:tcPr>
            <w:tcW w:w="1954" w:type="dxa"/>
          </w:tcPr>
          <w:p>
            <w:pPr>
              <w:pStyle w:val="TableParagraph"/>
              <w:spacing w:before="123"/>
              <w:ind w:left="59"/>
              <w:rPr>
                <w:sz w:val="18"/>
              </w:rPr>
            </w:pPr>
            <w:r>
              <w:rPr>
                <w:sz w:val="18"/>
              </w:rPr>
              <w:t>V3P3 = 3.3 V</w:t>
            </w:r>
          </w:p>
        </w:tc>
        <w:tc>
          <w:tcPr>
            <w:tcW w:w="1688" w:type="dxa"/>
          </w:tcPr>
          <w:p>
            <w:pPr>
              <w:pStyle w:val="TableParagraph"/>
              <w:spacing w:before="109"/>
              <w:ind w:right="714"/>
              <w:jc w:val="right"/>
              <w:rPr>
                <w:sz w:val="20"/>
              </w:rPr>
            </w:pPr>
            <w:r>
              <w:rPr>
                <w:sz w:val="20"/>
              </w:rPr>
              <w:t>50</w:t>
            </w:r>
          </w:p>
        </w:tc>
        <w:tc>
          <w:tcPr>
            <w:tcW w:w="1018" w:type="dxa"/>
          </w:tcPr>
          <w:p>
            <w:pPr>
              <w:pStyle w:val="TableParagraph"/>
              <w:spacing w:before="109"/>
              <w:ind w:left="59" w:right="49"/>
              <w:jc w:val="center"/>
              <w:rPr>
                <w:sz w:val="20"/>
              </w:rPr>
            </w:pPr>
            <w:r>
              <w:rPr>
                <w:sz w:val="20"/>
              </w:rPr>
              <w:t>100</w:t>
            </w:r>
          </w:p>
        </w:tc>
        <w:tc>
          <w:tcPr>
            <w:tcW w:w="1280" w:type="dxa"/>
          </w:tcPr>
          <w:p>
            <w:pPr>
              <w:pStyle w:val="TableParagraph"/>
              <w:spacing w:before="109"/>
              <w:ind w:right="456"/>
              <w:jc w:val="right"/>
              <w:rPr>
                <w:sz w:val="20"/>
              </w:rPr>
            </w:pPr>
            <w:r>
              <w:rPr>
                <w:w w:val="95"/>
                <w:sz w:val="20"/>
              </w:rPr>
              <w:t>140</w:t>
            </w:r>
          </w:p>
        </w:tc>
        <w:tc>
          <w:tcPr>
            <w:tcW w:w="606" w:type="dxa"/>
          </w:tcPr>
          <w:p>
            <w:pPr>
              <w:pStyle w:val="TableParagraph"/>
              <w:spacing w:before="109"/>
              <w:ind w:left="83" w:right="73"/>
              <w:jc w:val="center"/>
              <w:rPr>
                <w:sz w:val="20"/>
              </w:rPr>
            </w:pPr>
            <w:r>
              <w:rPr>
                <w:sz w:val="20"/>
              </w:rPr>
              <w:t>µA</w:t>
            </w:r>
          </w:p>
        </w:tc>
      </w:tr>
    </w:tbl>
    <w:p>
      <w:pPr>
        <w:spacing w:after="0"/>
        <w:jc w:val="center"/>
        <w:rPr>
          <w:sz w:val="20"/>
        </w:rPr>
        <w:sectPr>
          <w:pgSz w:w="12240" w:h="15840"/>
          <w:pgMar w:header="727" w:footer="819" w:top="1160" w:bottom="1000" w:left="960" w:right="940"/>
        </w:sectPr>
      </w:pPr>
    </w:p>
    <w:p>
      <w:pPr>
        <w:pStyle w:val="ListParagraph"/>
        <w:numPr>
          <w:ilvl w:val="2"/>
          <w:numId w:val="33"/>
        </w:numPr>
        <w:tabs>
          <w:tab w:pos="1199" w:val="left" w:leader="none"/>
          <w:tab w:pos="1200" w:val="left" w:leader="none"/>
        </w:tabs>
        <w:spacing w:line="240" w:lineRule="auto" w:before="88" w:after="0"/>
        <w:ind w:left="1199" w:right="0" w:hanging="720"/>
        <w:jc w:val="left"/>
        <w:rPr>
          <w:b/>
          <w:sz w:val="22"/>
        </w:rPr>
      </w:pPr>
      <w:bookmarkStart w:name="6.4.4 Temperature Monitor" w:id="528"/>
      <w:bookmarkEnd w:id="528"/>
      <w:r>
        <w:rPr/>
      </w:r>
      <w:bookmarkStart w:name="_bookmark257" w:id="529"/>
      <w:bookmarkEnd w:id="529"/>
      <w:r>
        <w:rPr/>
      </w:r>
      <w:bookmarkStart w:name="_bookmark257" w:id="530"/>
      <w:bookmarkEnd w:id="530"/>
      <w:r>
        <w:rPr>
          <w:b/>
          <w:sz w:val="22"/>
        </w:rPr>
        <w:t>T</w:t>
      </w:r>
      <w:r>
        <w:rPr>
          <w:b/>
          <w:sz w:val="22"/>
        </w:rPr>
        <w:t>emperature</w:t>
      </w:r>
      <w:r>
        <w:rPr>
          <w:b/>
          <w:spacing w:val="-8"/>
          <w:sz w:val="22"/>
        </w:rPr>
        <w:t> </w:t>
      </w:r>
      <w:r>
        <w:rPr>
          <w:b/>
          <w:sz w:val="22"/>
        </w:rPr>
        <w:t>Monitor</w:t>
      </w:r>
    </w:p>
    <w:p>
      <w:pPr>
        <w:pStyle w:val="BodyText"/>
        <w:rPr>
          <w:b/>
          <w:sz w:val="22"/>
        </w:rPr>
      </w:pPr>
      <w:r>
        <w:rPr/>
        <w:br w:type="column"/>
      </w:r>
      <w:r>
        <w:rPr>
          <w:b/>
          <w:sz w:val="22"/>
        </w:rPr>
      </w:r>
    </w:p>
    <w:p>
      <w:pPr>
        <w:pStyle w:val="BodyText"/>
        <w:spacing w:before="11"/>
        <w:rPr>
          <w:b/>
          <w:sz w:val="17"/>
        </w:rPr>
      </w:pPr>
    </w:p>
    <w:p>
      <w:pPr>
        <w:pStyle w:val="Heading1"/>
        <w:ind w:left="256"/>
        <w:jc w:val="left"/>
      </w:pPr>
      <w:bookmarkStart w:name="_bookmark258" w:id="531"/>
      <w:bookmarkEnd w:id="531"/>
      <w:r>
        <w:rPr>
          <w:b w:val="0"/>
        </w:rPr>
      </w:r>
      <w:r>
        <w:rPr/>
        <w:t>Table 92: Temperature Monitor</w:t>
      </w:r>
    </w:p>
    <w:p>
      <w:pPr>
        <w:spacing w:after="0"/>
        <w:jc w:val="left"/>
        <w:sectPr>
          <w:pgSz w:w="12240" w:h="15840"/>
          <w:pgMar w:header="727" w:footer="819" w:top="1160" w:bottom="1000" w:left="960" w:right="940"/>
          <w:cols w:num="2" w:equalWidth="0">
            <w:col w:w="3403" w:space="40"/>
            <w:col w:w="6897"/>
          </w:cols>
        </w:sectPr>
      </w:pPr>
    </w:p>
    <w:p>
      <w:pPr>
        <w:pStyle w:val="BodyText"/>
        <w:spacing w:before="8"/>
        <w:rPr>
          <w:b/>
          <w:sz w:val="5"/>
        </w:rPr>
      </w:pPr>
    </w:p>
    <w:tbl>
      <w:tblPr>
        <w:tblW w:w="0" w:type="auto"/>
        <w:jc w:val="left"/>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331"/>
        <w:gridCol w:w="2160"/>
        <w:gridCol w:w="893"/>
        <w:gridCol w:w="963"/>
        <w:gridCol w:w="963"/>
        <w:gridCol w:w="1052"/>
      </w:tblGrid>
      <w:tr>
        <w:trPr>
          <w:trHeight w:val="311" w:hRule="atLeast"/>
        </w:trPr>
        <w:tc>
          <w:tcPr>
            <w:tcW w:w="3331" w:type="dxa"/>
          </w:tcPr>
          <w:p>
            <w:pPr>
              <w:pStyle w:val="TableParagraph"/>
              <w:spacing w:before="35"/>
              <w:ind w:left="107"/>
              <w:rPr>
                <w:b/>
                <w:sz w:val="20"/>
              </w:rPr>
            </w:pPr>
            <w:r>
              <w:rPr>
                <w:b/>
                <w:sz w:val="20"/>
              </w:rPr>
              <w:t>Parameter</w:t>
            </w:r>
          </w:p>
        </w:tc>
        <w:tc>
          <w:tcPr>
            <w:tcW w:w="2160" w:type="dxa"/>
          </w:tcPr>
          <w:p>
            <w:pPr>
              <w:pStyle w:val="TableParagraph"/>
              <w:spacing w:before="35"/>
              <w:ind w:left="105"/>
              <w:rPr>
                <w:b/>
                <w:sz w:val="20"/>
              </w:rPr>
            </w:pPr>
            <w:r>
              <w:rPr>
                <w:b/>
                <w:sz w:val="20"/>
              </w:rPr>
              <w:t>Condition</w:t>
            </w:r>
          </w:p>
        </w:tc>
        <w:tc>
          <w:tcPr>
            <w:tcW w:w="893" w:type="dxa"/>
          </w:tcPr>
          <w:p>
            <w:pPr>
              <w:pStyle w:val="TableParagraph"/>
              <w:spacing w:before="35"/>
              <w:ind w:left="105" w:right="89"/>
              <w:jc w:val="center"/>
              <w:rPr>
                <w:b/>
                <w:sz w:val="20"/>
              </w:rPr>
            </w:pPr>
            <w:r>
              <w:rPr>
                <w:b/>
                <w:sz w:val="20"/>
              </w:rPr>
              <w:t>Min</w:t>
            </w:r>
          </w:p>
        </w:tc>
        <w:tc>
          <w:tcPr>
            <w:tcW w:w="963" w:type="dxa"/>
          </w:tcPr>
          <w:p>
            <w:pPr>
              <w:pStyle w:val="TableParagraph"/>
              <w:spacing w:before="35"/>
              <w:ind w:left="302"/>
              <w:rPr>
                <w:b/>
                <w:sz w:val="20"/>
              </w:rPr>
            </w:pPr>
            <w:r>
              <w:rPr>
                <w:b/>
                <w:sz w:val="20"/>
              </w:rPr>
              <w:t>Typ</w:t>
            </w:r>
          </w:p>
        </w:tc>
        <w:tc>
          <w:tcPr>
            <w:tcW w:w="963" w:type="dxa"/>
          </w:tcPr>
          <w:p>
            <w:pPr>
              <w:pStyle w:val="TableParagraph"/>
              <w:spacing w:before="35"/>
              <w:ind w:left="265" w:right="248"/>
              <w:jc w:val="center"/>
              <w:rPr>
                <w:b/>
                <w:sz w:val="20"/>
              </w:rPr>
            </w:pPr>
            <w:r>
              <w:rPr>
                <w:b/>
                <w:sz w:val="20"/>
              </w:rPr>
              <w:t>Max</w:t>
            </w:r>
          </w:p>
        </w:tc>
        <w:tc>
          <w:tcPr>
            <w:tcW w:w="1052" w:type="dxa"/>
          </w:tcPr>
          <w:p>
            <w:pPr>
              <w:pStyle w:val="TableParagraph"/>
              <w:spacing w:before="35"/>
              <w:ind w:right="312"/>
              <w:jc w:val="right"/>
              <w:rPr>
                <w:b/>
                <w:sz w:val="20"/>
              </w:rPr>
            </w:pPr>
            <w:r>
              <w:rPr>
                <w:b/>
                <w:sz w:val="20"/>
              </w:rPr>
              <w:t>Unit</w:t>
            </w:r>
          </w:p>
        </w:tc>
      </w:tr>
      <w:tr>
        <w:trPr>
          <w:trHeight w:val="260" w:hRule="atLeast"/>
        </w:trPr>
        <w:tc>
          <w:tcPr>
            <w:tcW w:w="3331" w:type="dxa"/>
            <w:tcBorders>
              <w:bottom w:val="nil"/>
            </w:tcBorders>
          </w:tcPr>
          <w:p>
            <w:pPr>
              <w:pStyle w:val="TableParagraph"/>
              <w:spacing w:line="222" w:lineRule="exact" w:before="18"/>
              <w:ind w:left="107"/>
              <w:rPr>
                <w:sz w:val="20"/>
              </w:rPr>
            </w:pPr>
            <w:r>
              <w:rPr>
                <w:sz w:val="20"/>
              </w:rPr>
              <w:t>Temperature Measurement</w:t>
            </w:r>
          </w:p>
        </w:tc>
        <w:tc>
          <w:tcPr>
            <w:tcW w:w="4979" w:type="dxa"/>
            <w:gridSpan w:val="4"/>
            <w:tcBorders>
              <w:bottom w:val="nil"/>
            </w:tcBorders>
          </w:tcPr>
          <w:p>
            <w:pPr>
              <w:pStyle w:val="TableParagraph"/>
              <w:spacing w:line="178" w:lineRule="exact"/>
              <w:ind w:left="105"/>
              <w:rPr>
                <w:sz w:val="16"/>
              </w:rPr>
            </w:pPr>
            <w:r>
              <w:rPr>
                <w:sz w:val="16"/>
              </w:rPr>
              <w:t>In MSN, </w:t>
            </w:r>
            <w:r>
              <w:rPr>
                <w:rFonts w:ascii="Times New Roman"/>
                <w:i/>
                <w:sz w:val="16"/>
              </w:rPr>
              <w:t>TEMP_PWR</w:t>
            </w:r>
            <w:r>
              <w:rPr>
                <w:sz w:val="16"/>
              </w:rPr>
              <w:t>=1:</w:t>
            </w:r>
          </w:p>
        </w:tc>
        <w:tc>
          <w:tcPr>
            <w:tcW w:w="1052" w:type="dxa"/>
            <w:tcBorders>
              <w:bottom w:val="nil"/>
            </w:tcBorders>
          </w:tcPr>
          <w:p>
            <w:pPr>
              <w:pStyle w:val="TableParagraph"/>
              <w:rPr>
                <w:rFonts w:ascii="Times New Roman"/>
                <w:sz w:val="18"/>
              </w:rPr>
            </w:pPr>
          </w:p>
        </w:tc>
      </w:tr>
      <w:tr>
        <w:trPr>
          <w:trHeight w:val="842" w:hRule="atLeast"/>
        </w:trPr>
        <w:tc>
          <w:tcPr>
            <w:tcW w:w="3331" w:type="dxa"/>
            <w:tcBorders>
              <w:top w:val="nil"/>
            </w:tcBorders>
          </w:tcPr>
          <w:p>
            <w:pPr>
              <w:pStyle w:val="TableParagraph"/>
              <w:spacing w:line="242" w:lineRule="auto" w:before="5"/>
              <w:ind w:left="107" w:right="704"/>
              <w:rPr>
                <w:sz w:val="20"/>
              </w:rPr>
            </w:pPr>
            <w:r>
              <w:rPr>
                <w:sz w:val="20"/>
              </w:rPr>
              <w:t>Equation for 71M6543F and 71M6543G</w:t>
            </w:r>
          </w:p>
          <w:p>
            <w:pPr>
              <w:pStyle w:val="TableParagraph"/>
              <w:spacing w:before="18"/>
              <w:ind w:left="107"/>
              <w:rPr>
                <w:sz w:val="20"/>
              </w:rPr>
            </w:pPr>
            <w:r>
              <w:rPr>
                <w:sz w:val="20"/>
              </w:rPr>
              <w:t>(see notes 2 and 3)</w:t>
            </w:r>
          </w:p>
        </w:tc>
        <w:tc>
          <w:tcPr>
            <w:tcW w:w="4979" w:type="dxa"/>
            <w:gridSpan w:val="4"/>
            <w:tcBorders>
              <w:top w:val="nil"/>
            </w:tcBorders>
          </w:tcPr>
          <w:p>
            <w:pPr>
              <w:pStyle w:val="TableParagraph"/>
              <w:spacing w:before="43"/>
              <w:ind w:left="330" w:right="315"/>
              <w:jc w:val="center"/>
              <w:rPr>
                <w:rFonts w:ascii="Cambria Math" w:hAnsi="Cambria Math" w:eastAsia="Cambria Math"/>
                <w:sz w:val="16"/>
              </w:rPr>
            </w:pPr>
            <w:r>
              <w:rPr>
                <w:rFonts w:ascii="Cambria Math" w:hAnsi="Cambria Math" w:eastAsia="Cambria Math"/>
                <w:sz w:val="16"/>
              </w:rPr>
              <w:t>𝑇𝑒𝑚𝑝 = 0.325 ∙ 𝑆𝑇𝐸𝑀𝑃 + 22</w:t>
            </w:r>
          </w:p>
          <w:p>
            <w:pPr>
              <w:pStyle w:val="TableParagraph"/>
              <w:spacing w:before="114"/>
              <w:ind w:left="105"/>
              <w:rPr>
                <w:rFonts w:ascii="Times New Roman"/>
                <w:sz w:val="16"/>
              </w:rPr>
            </w:pPr>
            <w:r>
              <w:rPr>
                <w:sz w:val="16"/>
              </w:rPr>
              <w:t>In BRN, </w:t>
            </w:r>
            <w:r>
              <w:rPr>
                <w:rFonts w:ascii="Times New Roman"/>
                <w:i/>
                <w:sz w:val="16"/>
              </w:rPr>
              <w:t>TEMP_PWR </w:t>
            </w:r>
            <w:r>
              <w:rPr>
                <w:sz w:val="14"/>
              </w:rPr>
              <w:t>= </w:t>
            </w:r>
            <w:r>
              <w:rPr>
                <w:rFonts w:ascii="Times New Roman"/>
                <w:i/>
                <w:sz w:val="16"/>
              </w:rPr>
              <w:t>TEMP_BSEL</w:t>
            </w:r>
            <w:r>
              <w:rPr>
                <w:rFonts w:ascii="Times New Roman"/>
                <w:sz w:val="16"/>
              </w:rPr>
              <w:t>:</w:t>
            </w:r>
          </w:p>
          <w:p>
            <w:pPr>
              <w:pStyle w:val="TableParagraph"/>
              <w:spacing w:before="128"/>
              <w:ind w:left="330" w:right="317"/>
              <w:jc w:val="center"/>
              <w:rPr>
                <w:rFonts w:ascii="Cambria Math" w:hAnsi="Cambria Math" w:eastAsia="Cambria Math"/>
                <w:sz w:val="14"/>
              </w:rPr>
            </w:pPr>
            <w:r>
              <w:rPr>
                <w:rFonts w:ascii="Cambria Math" w:hAnsi="Cambria Math" w:eastAsia="Cambria Math"/>
                <w:sz w:val="14"/>
              </w:rPr>
              <w:t>𝑇𝑒𝑚𝑝 = 0.325 ∙ 𝑆𝑇𝐸𝑀𝑃 + 0.00218 ∙ 𝐵𝑆𝐸𝑁𝑆𝐸</w:t>
            </w:r>
            <w:r>
              <w:rPr>
                <w:rFonts w:ascii="Cambria Math" w:hAnsi="Cambria Math" w:eastAsia="Cambria Math"/>
                <w:sz w:val="14"/>
                <w:vertAlign w:val="superscript"/>
              </w:rPr>
              <w:t>2</w:t>
            </w:r>
            <w:r>
              <w:rPr>
                <w:rFonts w:ascii="Cambria Math" w:hAnsi="Cambria Math" w:eastAsia="Cambria Math"/>
                <w:sz w:val="14"/>
                <w:vertAlign w:val="baseline"/>
              </w:rPr>
              <w:t> − 0.609 ∙ 𝐵𝑆𝐸𝑁𝑆𝐸 + 64.4</w:t>
            </w:r>
          </w:p>
        </w:tc>
        <w:tc>
          <w:tcPr>
            <w:tcW w:w="1052" w:type="dxa"/>
            <w:tcBorders>
              <w:top w:val="nil"/>
            </w:tcBorders>
          </w:tcPr>
          <w:p>
            <w:pPr>
              <w:pStyle w:val="TableParagraph"/>
              <w:spacing w:before="175"/>
              <w:ind w:right="395"/>
              <w:jc w:val="right"/>
              <w:rPr>
                <w:sz w:val="20"/>
              </w:rPr>
            </w:pPr>
            <w:r>
              <w:rPr>
                <w:sz w:val="20"/>
              </w:rPr>
              <w:t>°C</w:t>
            </w:r>
          </w:p>
        </w:tc>
      </w:tr>
      <w:tr>
        <w:trPr>
          <w:trHeight w:val="520" w:hRule="atLeast"/>
        </w:trPr>
        <w:tc>
          <w:tcPr>
            <w:tcW w:w="3331" w:type="dxa"/>
          </w:tcPr>
          <w:p>
            <w:pPr>
              <w:pStyle w:val="TableParagraph"/>
              <w:spacing w:line="250" w:lineRule="exact" w:before="6"/>
              <w:ind w:left="107" w:right="167"/>
              <w:rPr>
                <w:sz w:val="20"/>
              </w:rPr>
            </w:pPr>
            <w:r>
              <w:rPr>
                <w:sz w:val="20"/>
              </w:rPr>
              <w:t>Temperature Error (71M6543) (see note 1)</w:t>
            </w:r>
          </w:p>
        </w:tc>
        <w:tc>
          <w:tcPr>
            <w:tcW w:w="2160" w:type="dxa"/>
          </w:tcPr>
          <w:p>
            <w:pPr>
              <w:pStyle w:val="TableParagraph"/>
              <w:spacing w:before="4"/>
              <w:rPr>
                <w:b/>
                <w:sz w:val="15"/>
              </w:rPr>
            </w:pPr>
          </w:p>
          <w:p>
            <w:pPr>
              <w:pStyle w:val="TableParagraph"/>
              <w:spacing w:before="1"/>
              <w:ind w:left="105"/>
              <w:rPr>
                <w:sz w:val="12"/>
              </w:rPr>
            </w:pPr>
            <w:r>
              <w:rPr>
                <w:position w:val="2"/>
                <w:sz w:val="12"/>
              </w:rPr>
              <w:t>T</w:t>
            </w:r>
            <w:r>
              <w:rPr>
                <w:sz w:val="8"/>
              </w:rPr>
              <w:t>A </w:t>
            </w:r>
            <w:r>
              <w:rPr>
                <w:position w:val="2"/>
                <w:sz w:val="12"/>
              </w:rPr>
              <w:t>= 22</w:t>
            </w:r>
            <w:r>
              <w:rPr>
                <w:rFonts w:ascii="Calibri" w:hAnsi="Calibri"/>
                <w:position w:val="2"/>
                <w:sz w:val="12"/>
              </w:rPr>
              <w:t>⁰</w:t>
            </w:r>
            <w:r>
              <w:rPr>
                <w:position w:val="2"/>
                <w:sz w:val="12"/>
              </w:rPr>
              <w:t>C</w:t>
            </w:r>
          </w:p>
        </w:tc>
        <w:tc>
          <w:tcPr>
            <w:tcW w:w="893" w:type="dxa"/>
          </w:tcPr>
          <w:p>
            <w:pPr>
              <w:pStyle w:val="TableParagraph"/>
              <w:rPr>
                <w:b/>
                <w:sz w:val="19"/>
              </w:rPr>
            </w:pPr>
          </w:p>
          <w:p>
            <w:pPr>
              <w:pStyle w:val="TableParagraph"/>
              <w:ind w:left="105" w:right="88"/>
              <w:jc w:val="center"/>
              <w:rPr>
                <w:sz w:val="16"/>
              </w:rPr>
            </w:pPr>
            <w:r>
              <w:rPr>
                <w:sz w:val="16"/>
              </w:rPr>
              <w:t>-2</w:t>
            </w:r>
          </w:p>
        </w:tc>
        <w:tc>
          <w:tcPr>
            <w:tcW w:w="963" w:type="dxa"/>
          </w:tcPr>
          <w:p>
            <w:pPr>
              <w:pStyle w:val="TableParagraph"/>
              <w:rPr>
                <w:rFonts w:ascii="Times New Roman"/>
                <w:sz w:val="18"/>
              </w:rPr>
            </w:pPr>
          </w:p>
        </w:tc>
        <w:tc>
          <w:tcPr>
            <w:tcW w:w="963" w:type="dxa"/>
          </w:tcPr>
          <w:p>
            <w:pPr>
              <w:pStyle w:val="TableParagraph"/>
              <w:rPr>
                <w:b/>
                <w:sz w:val="19"/>
              </w:rPr>
            </w:pPr>
          </w:p>
          <w:p>
            <w:pPr>
              <w:pStyle w:val="TableParagraph"/>
              <w:ind w:left="18"/>
              <w:jc w:val="center"/>
              <w:rPr>
                <w:sz w:val="16"/>
              </w:rPr>
            </w:pPr>
            <w:r>
              <w:rPr>
                <w:w w:val="100"/>
                <w:sz w:val="16"/>
              </w:rPr>
              <w:t>2</w:t>
            </w:r>
          </w:p>
        </w:tc>
        <w:tc>
          <w:tcPr>
            <w:tcW w:w="1052" w:type="dxa"/>
          </w:tcPr>
          <w:p>
            <w:pPr>
              <w:pStyle w:val="TableParagraph"/>
              <w:spacing w:before="143"/>
              <w:ind w:right="395"/>
              <w:jc w:val="right"/>
              <w:rPr>
                <w:sz w:val="20"/>
              </w:rPr>
            </w:pPr>
            <w:r>
              <w:rPr>
                <w:sz w:val="20"/>
              </w:rPr>
              <w:t>°C</w:t>
            </w:r>
          </w:p>
        </w:tc>
      </w:tr>
      <w:tr>
        <w:trPr>
          <w:trHeight w:val="544" w:hRule="atLeast"/>
        </w:trPr>
        <w:tc>
          <w:tcPr>
            <w:tcW w:w="3331" w:type="dxa"/>
            <w:tcBorders>
              <w:bottom w:val="nil"/>
            </w:tcBorders>
          </w:tcPr>
          <w:p>
            <w:pPr>
              <w:pStyle w:val="TableParagraph"/>
              <w:spacing w:before="18"/>
              <w:ind w:left="107"/>
              <w:rPr>
                <w:sz w:val="20"/>
              </w:rPr>
            </w:pPr>
            <w:r>
              <w:rPr>
                <w:sz w:val="20"/>
              </w:rPr>
              <w:t>VBAT_RTC charge per measurement</w:t>
            </w:r>
          </w:p>
        </w:tc>
        <w:tc>
          <w:tcPr>
            <w:tcW w:w="2160" w:type="dxa"/>
            <w:tcBorders>
              <w:bottom w:val="nil"/>
            </w:tcBorders>
          </w:tcPr>
          <w:p>
            <w:pPr>
              <w:pStyle w:val="TableParagraph"/>
              <w:spacing w:before="17"/>
              <w:ind w:left="105"/>
              <w:rPr>
                <w:sz w:val="14"/>
              </w:rPr>
            </w:pPr>
            <w:r>
              <w:rPr>
                <w:rFonts w:ascii="Times New Roman"/>
                <w:i/>
                <w:sz w:val="14"/>
              </w:rPr>
              <w:t>TEMP_BSEL </w:t>
            </w:r>
            <w:r>
              <w:rPr>
                <w:sz w:val="14"/>
              </w:rPr>
              <w:t>= 0,</w:t>
            </w:r>
          </w:p>
          <w:p>
            <w:pPr>
              <w:pStyle w:val="TableParagraph"/>
              <w:spacing w:before="18"/>
              <w:ind w:left="105"/>
              <w:rPr>
                <w:sz w:val="14"/>
              </w:rPr>
            </w:pPr>
            <w:r>
              <w:rPr>
                <w:rFonts w:ascii="Times New Roman"/>
                <w:i/>
                <w:sz w:val="14"/>
              </w:rPr>
              <w:t>TEMP_PWR</w:t>
            </w:r>
            <w:r>
              <w:rPr>
                <w:sz w:val="14"/>
              </w:rPr>
              <w:t>=0,</w:t>
            </w:r>
          </w:p>
          <w:p>
            <w:pPr>
              <w:pStyle w:val="TableParagraph"/>
              <w:spacing w:line="143" w:lineRule="exact" w:before="23"/>
              <w:ind w:left="105"/>
              <w:rPr>
                <w:sz w:val="14"/>
              </w:rPr>
            </w:pPr>
            <w:r>
              <w:rPr>
                <w:sz w:val="14"/>
              </w:rPr>
              <w:t>SLP Mode,</w:t>
            </w:r>
          </w:p>
        </w:tc>
        <w:tc>
          <w:tcPr>
            <w:tcW w:w="893" w:type="dxa"/>
            <w:vMerge w:val="restart"/>
          </w:tcPr>
          <w:p>
            <w:pPr>
              <w:pStyle w:val="TableParagraph"/>
              <w:rPr>
                <w:rFonts w:ascii="Times New Roman"/>
                <w:sz w:val="18"/>
              </w:rPr>
            </w:pPr>
          </w:p>
        </w:tc>
        <w:tc>
          <w:tcPr>
            <w:tcW w:w="963" w:type="dxa"/>
            <w:tcBorders>
              <w:bottom w:val="nil"/>
            </w:tcBorders>
          </w:tcPr>
          <w:p>
            <w:pPr>
              <w:pStyle w:val="TableParagraph"/>
              <w:spacing w:before="3"/>
              <w:rPr>
                <w:b/>
                <w:sz w:val="22"/>
              </w:rPr>
            </w:pPr>
          </w:p>
          <w:p>
            <w:pPr>
              <w:pStyle w:val="TableParagraph"/>
              <w:ind w:left="369"/>
              <w:rPr>
                <w:sz w:val="20"/>
              </w:rPr>
            </w:pPr>
            <w:r>
              <w:rPr>
                <w:sz w:val="20"/>
              </w:rPr>
              <w:t>16</w:t>
            </w:r>
          </w:p>
        </w:tc>
        <w:tc>
          <w:tcPr>
            <w:tcW w:w="963" w:type="dxa"/>
            <w:vMerge w:val="restart"/>
          </w:tcPr>
          <w:p>
            <w:pPr>
              <w:pStyle w:val="TableParagraph"/>
              <w:rPr>
                <w:rFonts w:ascii="Times New Roman"/>
                <w:sz w:val="18"/>
              </w:rPr>
            </w:pPr>
          </w:p>
        </w:tc>
        <w:tc>
          <w:tcPr>
            <w:tcW w:w="1052" w:type="dxa"/>
            <w:tcBorders>
              <w:bottom w:val="nil"/>
            </w:tcBorders>
          </w:tcPr>
          <w:p>
            <w:pPr>
              <w:pStyle w:val="TableParagraph"/>
              <w:spacing w:before="3"/>
              <w:rPr>
                <w:b/>
                <w:sz w:val="22"/>
              </w:rPr>
            </w:pPr>
          </w:p>
          <w:p>
            <w:pPr>
              <w:pStyle w:val="TableParagraph"/>
              <w:ind w:right="376"/>
              <w:jc w:val="right"/>
              <w:rPr>
                <w:sz w:val="20"/>
              </w:rPr>
            </w:pPr>
            <w:r>
              <w:rPr>
                <w:w w:val="95"/>
                <w:sz w:val="20"/>
              </w:rPr>
              <w:t>µC</w:t>
            </w:r>
          </w:p>
        </w:tc>
      </w:tr>
      <w:tr>
        <w:trPr>
          <w:trHeight w:val="178" w:hRule="atLeast"/>
        </w:trPr>
        <w:tc>
          <w:tcPr>
            <w:tcW w:w="3331" w:type="dxa"/>
            <w:tcBorders>
              <w:top w:val="nil"/>
            </w:tcBorders>
          </w:tcPr>
          <w:p>
            <w:pPr>
              <w:pStyle w:val="TableParagraph"/>
              <w:rPr>
                <w:rFonts w:ascii="Times New Roman"/>
                <w:sz w:val="12"/>
              </w:rPr>
            </w:pPr>
          </w:p>
        </w:tc>
        <w:tc>
          <w:tcPr>
            <w:tcW w:w="2160" w:type="dxa"/>
            <w:tcBorders>
              <w:top w:val="nil"/>
            </w:tcBorders>
          </w:tcPr>
          <w:p>
            <w:pPr>
              <w:pStyle w:val="TableParagraph"/>
              <w:spacing w:line="158" w:lineRule="exact"/>
              <w:ind w:left="105"/>
              <w:rPr>
                <w:sz w:val="14"/>
              </w:rPr>
            </w:pPr>
            <w:r>
              <w:rPr>
                <w:sz w:val="14"/>
              </w:rPr>
              <w:t>VBAT_RTC = 3.6 V</w:t>
            </w:r>
          </w:p>
        </w:tc>
        <w:tc>
          <w:tcPr>
            <w:tcW w:w="893" w:type="dxa"/>
            <w:vMerge/>
            <w:tcBorders>
              <w:top w:val="nil"/>
            </w:tcBorders>
          </w:tcPr>
          <w:p>
            <w:pPr>
              <w:rPr>
                <w:sz w:val="2"/>
                <w:szCs w:val="2"/>
              </w:rPr>
            </w:pPr>
          </w:p>
        </w:tc>
        <w:tc>
          <w:tcPr>
            <w:tcW w:w="963" w:type="dxa"/>
            <w:tcBorders>
              <w:top w:val="nil"/>
            </w:tcBorders>
          </w:tcPr>
          <w:p>
            <w:pPr>
              <w:pStyle w:val="TableParagraph"/>
              <w:rPr>
                <w:rFonts w:ascii="Times New Roman"/>
                <w:sz w:val="12"/>
              </w:rPr>
            </w:pPr>
          </w:p>
        </w:tc>
        <w:tc>
          <w:tcPr>
            <w:tcW w:w="963" w:type="dxa"/>
            <w:vMerge/>
            <w:tcBorders>
              <w:top w:val="nil"/>
            </w:tcBorders>
          </w:tcPr>
          <w:p>
            <w:pPr>
              <w:rPr>
                <w:sz w:val="2"/>
                <w:szCs w:val="2"/>
              </w:rPr>
            </w:pPr>
          </w:p>
        </w:tc>
        <w:tc>
          <w:tcPr>
            <w:tcW w:w="1052" w:type="dxa"/>
            <w:tcBorders>
              <w:top w:val="nil"/>
            </w:tcBorders>
          </w:tcPr>
          <w:p>
            <w:pPr>
              <w:pStyle w:val="TableParagraph"/>
              <w:rPr>
                <w:rFonts w:ascii="Times New Roman"/>
                <w:sz w:val="12"/>
              </w:rPr>
            </w:pPr>
          </w:p>
        </w:tc>
      </w:tr>
      <w:tr>
        <w:trPr>
          <w:trHeight w:val="980" w:hRule="atLeast"/>
        </w:trPr>
        <w:tc>
          <w:tcPr>
            <w:tcW w:w="3331" w:type="dxa"/>
          </w:tcPr>
          <w:p>
            <w:pPr>
              <w:pStyle w:val="TableParagraph"/>
              <w:spacing w:before="21"/>
              <w:ind w:left="107"/>
              <w:rPr>
                <w:rFonts w:ascii="Times New Roman"/>
                <w:i/>
                <w:sz w:val="20"/>
              </w:rPr>
            </w:pPr>
            <w:r>
              <w:rPr>
                <w:sz w:val="20"/>
              </w:rPr>
              <w:t>Duration of temperature measurement after setting </w:t>
            </w:r>
            <w:r>
              <w:rPr>
                <w:rFonts w:ascii="Times New Roman"/>
                <w:i/>
                <w:sz w:val="20"/>
              </w:rPr>
              <w:t>TEMP_START</w:t>
            </w:r>
          </w:p>
          <w:p>
            <w:pPr>
              <w:pStyle w:val="TableParagraph"/>
              <w:spacing w:line="230" w:lineRule="exact" w:before="20"/>
              <w:ind w:left="107"/>
              <w:rPr>
                <w:sz w:val="20"/>
              </w:rPr>
            </w:pPr>
            <w:r>
              <w:rPr>
                <w:sz w:val="20"/>
              </w:rPr>
              <w:t>(see note 1)</w:t>
            </w:r>
          </w:p>
        </w:tc>
        <w:tc>
          <w:tcPr>
            <w:tcW w:w="2160" w:type="dxa"/>
          </w:tcPr>
          <w:p>
            <w:pPr>
              <w:pStyle w:val="TableParagraph"/>
              <w:rPr>
                <w:rFonts w:ascii="Times New Roman"/>
                <w:sz w:val="18"/>
              </w:rPr>
            </w:pPr>
          </w:p>
        </w:tc>
        <w:tc>
          <w:tcPr>
            <w:tcW w:w="893" w:type="dxa"/>
          </w:tcPr>
          <w:p>
            <w:pPr>
              <w:pStyle w:val="TableParagraph"/>
              <w:rPr>
                <w:rFonts w:ascii="Times New Roman"/>
                <w:sz w:val="18"/>
              </w:rPr>
            </w:pPr>
          </w:p>
        </w:tc>
        <w:tc>
          <w:tcPr>
            <w:tcW w:w="963" w:type="dxa"/>
          </w:tcPr>
          <w:p>
            <w:pPr>
              <w:pStyle w:val="TableParagraph"/>
              <w:spacing w:before="8"/>
              <w:rPr>
                <w:b/>
                <w:sz w:val="32"/>
              </w:rPr>
            </w:pPr>
          </w:p>
          <w:p>
            <w:pPr>
              <w:pStyle w:val="TableParagraph"/>
              <w:ind w:left="369"/>
              <w:rPr>
                <w:sz w:val="20"/>
              </w:rPr>
            </w:pPr>
            <w:r>
              <w:rPr>
                <w:sz w:val="20"/>
              </w:rPr>
              <w:t>15</w:t>
            </w:r>
          </w:p>
        </w:tc>
        <w:tc>
          <w:tcPr>
            <w:tcW w:w="963" w:type="dxa"/>
          </w:tcPr>
          <w:p>
            <w:pPr>
              <w:pStyle w:val="TableParagraph"/>
              <w:spacing w:before="8"/>
              <w:rPr>
                <w:b/>
                <w:sz w:val="32"/>
              </w:rPr>
            </w:pPr>
          </w:p>
          <w:p>
            <w:pPr>
              <w:pStyle w:val="TableParagraph"/>
              <w:ind w:left="262" w:right="248"/>
              <w:jc w:val="center"/>
              <w:rPr>
                <w:sz w:val="20"/>
              </w:rPr>
            </w:pPr>
            <w:r>
              <w:rPr>
                <w:sz w:val="20"/>
              </w:rPr>
              <w:t>60</w:t>
            </w:r>
          </w:p>
        </w:tc>
        <w:tc>
          <w:tcPr>
            <w:tcW w:w="1052" w:type="dxa"/>
          </w:tcPr>
          <w:p>
            <w:pPr>
              <w:pStyle w:val="TableParagraph"/>
              <w:spacing w:before="8"/>
              <w:rPr>
                <w:b/>
                <w:sz w:val="32"/>
              </w:rPr>
            </w:pPr>
          </w:p>
          <w:p>
            <w:pPr>
              <w:pStyle w:val="TableParagraph"/>
              <w:ind w:right="371"/>
              <w:jc w:val="right"/>
              <w:rPr>
                <w:sz w:val="20"/>
              </w:rPr>
            </w:pPr>
            <w:r>
              <w:rPr>
                <w:sz w:val="20"/>
              </w:rPr>
              <w:t>ms</w:t>
            </w:r>
          </w:p>
        </w:tc>
      </w:tr>
      <w:tr>
        <w:trPr>
          <w:trHeight w:val="1038" w:hRule="atLeast"/>
        </w:trPr>
        <w:tc>
          <w:tcPr>
            <w:tcW w:w="9362" w:type="dxa"/>
            <w:gridSpan w:val="6"/>
          </w:tcPr>
          <w:p>
            <w:pPr>
              <w:pStyle w:val="TableParagraph"/>
              <w:spacing w:before="16"/>
              <w:ind w:left="107"/>
              <w:rPr>
                <w:b/>
                <w:sz w:val="20"/>
              </w:rPr>
            </w:pPr>
            <w:r>
              <w:rPr>
                <w:b/>
                <w:sz w:val="20"/>
              </w:rPr>
              <w:t>Notes:</w:t>
            </w:r>
          </w:p>
          <w:p>
            <w:pPr>
              <w:pStyle w:val="TableParagraph"/>
              <w:numPr>
                <w:ilvl w:val="0"/>
                <w:numId w:val="35"/>
              </w:numPr>
              <w:tabs>
                <w:tab w:pos="828" w:val="left" w:leader="none"/>
              </w:tabs>
              <w:spacing w:line="240" w:lineRule="auto" w:before="43" w:after="0"/>
              <w:ind w:left="827" w:right="0" w:hanging="361"/>
              <w:jc w:val="left"/>
              <w:rPr>
                <w:sz w:val="18"/>
              </w:rPr>
            </w:pPr>
            <w:r>
              <w:rPr>
                <w:sz w:val="18"/>
              </w:rPr>
              <w:t>Guaranteed by design; not production</w:t>
            </w:r>
            <w:r>
              <w:rPr>
                <w:spacing w:val="-2"/>
                <w:sz w:val="18"/>
              </w:rPr>
              <w:t> </w:t>
            </w:r>
            <w:r>
              <w:rPr>
                <w:sz w:val="18"/>
              </w:rPr>
              <w:t>tested.</w:t>
            </w:r>
          </w:p>
          <w:p>
            <w:pPr>
              <w:pStyle w:val="TableParagraph"/>
              <w:numPr>
                <w:ilvl w:val="0"/>
                <w:numId w:val="35"/>
              </w:numPr>
              <w:tabs>
                <w:tab w:pos="828" w:val="left" w:leader="none"/>
              </w:tabs>
              <w:spacing w:line="240" w:lineRule="auto" w:before="10" w:after="0"/>
              <w:ind w:left="827" w:right="0" w:hanging="361"/>
              <w:jc w:val="left"/>
              <w:rPr>
                <w:sz w:val="20"/>
              </w:rPr>
            </w:pPr>
            <w:r>
              <w:rPr>
                <w:sz w:val="20"/>
              </w:rPr>
              <w:t>For the 71M6543F and 71M6543G, </w:t>
            </w:r>
            <w:r>
              <w:rPr>
                <w:rFonts w:ascii="Times New Roman"/>
                <w:i/>
                <w:sz w:val="20"/>
              </w:rPr>
              <w:t>TEMP_85 </w:t>
            </w:r>
            <w:r>
              <w:rPr>
                <w:sz w:val="20"/>
              </w:rPr>
              <w:t>fuses read</w:t>
            </w:r>
            <w:r>
              <w:rPr>
                <w:spacing w:val="4"/>
                <w:sz w:val="20"/>
              </w:rPr>
              <w:t> </w:t>
            </w:r>
            <w:r>
              <w:rPr>
                <w:sz w:val="20"/>
              </w:rPr>
              <w:t>0.</w:t>
            </w:r>
          </w:p>
          <w:p>
            <w:pPr>
              <w:pStyle w:val="TableParagraph"/>
              <w:numPr>
                <w:ilvl w:val="0"/>
                <w:numId w:val="35"/>
              </w:numPr>
              <w:tabs>
                <w:tab w:pos="828" w:val="left" w:leader="none"/>
              </w:tabs>
              <w:spacing w:line="240" w:lineRule="auto" w:before="26" w:after="0"/>
              <w:ind w:left="827" w:right="0" w:hanging="361"/>
              <w:jc w:val="left"/>
              <w:rPr>
                <w:sz w:val="20"/>
              </w:rPr>
            </w:pPr>
            <w:r>
              <w:rPr>
                <w:sz w:val="20"/>
              </w:rPr>
              <w:t>The coefficients provided in these equations are</w:t>
            </w:r>
            <w:r>
              <w:rPr>
                <w:spacing w:val="-2"/>
                <w:sz w:val="20"/>
              </w:rPr>
              <w:t> </w:t>
            </w:r>
            <w:r>
              <w:rPr>
                <w:sz w:val="20"/>
              </w:rPr>
              <w:t>typical.</w:t>
            </w:r>
          </w:p>
        </w:tc>
      </w:tr>
    </w:tbl>
    <w:p>
      <w:pPr>
        <w:spacing w:after="0" w:line="240" w:lineRule="auto"/>
        <w:jc w:val="left"/>
        <w:rPr>
          <w:sz w:val="20"/>
        </w:rPr>
        <w:sectPr>
          <w:type w:val="continuous"/>
          <w:pgSz w:w="12240" w:h="15840"/>
          <w:pgMar w:top="940" w:bottom="280" w:left="960" w:right="940"/>
        </w:sectPr>
      </w:pPr>
    </w:p>
    <w:p>
      <w:pPr>
        <w:pStyle w:val="ListParagraph"/>
        <w:numPr>
          <w:ilvl w:val="2"/>
          <w:numId w:val="33"/>
        </w:numPr>
        <w:tabs>
          <w:tab w:pos="1199" w:val="left" w:leader="none"/>
          <w:tab w:pos="1200" w:val="left" w:leader="none"/>
        </w:tabs>
        <w:spacing w:line="240" w:lineRule="auto" w:before="88" w:after="0"/>
        <w:ind w:left="1199" w:right="0" w:hanging="720"/>
        <w:jc w:val="left"/>
        <w:rPr>
          <w:b/>
          <w:sz w:val="22"/>
        </w:rPr>
      </w:pPr>
      <w:r>
        <w:rPr/>
        <w:pict>
          <v:line style="position:absolute;mso-position-horizontal-relative:page;mso-position-vertical-relative:page;z-index:-38721536" from="183.602814pt,484.286957pt" to="298.626084pt,484.286957pt" stroked="true" strokeweight=".567424pt" strokecolor="#000000">
            <v:stroke dashstyle="solid"/>
            <w10:wrap type="none"/>
          </v:line>
        </w:pict>
      </w:r>
      <w:bookmarkStart w:name="6.4.5 Supply Current" w:id="532"/>
      <w:bookmarkEnd w:id="532"/>
      <w:r>
        <w:rPr/>
      </w:r>
      <w:bookmarkStart w:name="_bookmark259" w:id="533"/>
      <w:bookmarkEnd w:id="533"/>
      <w:r>
        <w:rPr/>
      </w:r>
      <w:bookmarkStart w:name="_bookmark259" w:id="534"/>
      <w:bookmarkEnd w:id="534"/>
      <w:r>
        <w:rPr>
          <w:b/>
          <w:sz w:val="22"/>
        </w:rPr>
        <w:t>Supp</w:t>
      </w:r>
      <w:r>
        <w:rPr>
          <w:b/>
          <w:sz w:val="22"/>
        </w:rPr>
        <w:t>ly</w:t>
      </w:r>
      <w:r>
        <w:rPr>
          <w:b/>
          <w:spacing w:val="-5"/>
          <w:sz w:val="22"/>
        </w:rPr>
        <w:t> </w:t>
      </w:r>
      <w:r>
        <w:rPr>
          <w:b/>
          <w:sz w:val="22"/>
        </w:rPr>
        <w:t>Current</w:t>
      </w:r>
    </w:p>
    <w:p>
      <w:pPr>
        <w:pStyle w:val="BodyText"/>
        <w:spacing w:before="121"/>
        <w:ind w:left="480" w:right="569"/>
      </w:pPr>
      <w:r>
        <w:rPr/>
        <w:t>The supply currents provided in </w:t>
      </w:r>
      <w:hyperlink w:history="true" w:anchor="_bookmark260">
        <w:r>
          <w:rPr>
            <w:color w:val="0000FF"/>
          </w:rPr>
          <w:t>Table 93 </w:t>
        </w:r>
      </w:hyperlink>
      <w:r>
        <w:rPr/>
        <w:t>below include only the current consumed by the 71M6543. Refer to the </w:t>
      </w:r>
      <w:r>
        <w:rPr>
          <w:i/>
        </w:rPr>
        <w:t>71M6xxx Data Sheet </w:t>
      </w:r>
      <w:r>
        <w:rPr/>
        <w:t>for additional current required when using a 71M6x03 remote sensor.</w:t>
      </w:r>
    </w:p>
    <w:p>
      <w:pPr>
        <w:pStyle w:val="Heading1"/>
        <w:spacing w:before="118"/>
        <w:ind w:left="777" w:right="797"/>
      </w:pPr>
      <w:bookmarkStart w:name="_bookmark260" w:id="535"/>
      <w:bookmarkEnd w:id="535"/>
      <w:r>
        <w:rPr>
          <w:b w:val="0"/>
        </w:rPr>
      </w:r>
      <w:r>
        <w:rPr/>
        <w:t>Table 93: Supply Current Performance Specifications</w:t>
      </w:r>
    </w:p>
    <w:p>
      <w:pPr>
        <w:pStyle w:val="BodyText"/>
        <w:spacing w:before="8"/>
        <w:rPr>
          <w:b/>
          <w:sz w:val="5"/>
        </w:rPr>
      </w:pPr>
    </w:p>
    <w:tbl>
      <w:tblPr>
        <w:tblW w:w="0" w:type="auto"/>
        <w:jc w:val="left"/>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77"/>
        <w:gridCol w:w="3547"/>
        <w:gridCol w:w="1293"/>
        <w:gridCol w:w="609"/>
        <w:gridCol w:w="609"/>
        <w:gridCol w:w="635"/>
        <w:gridCol w:w="625"/>
      </w:tblGrid>
      <w:tr>
        <w:trPr>
          <w:trHeight w:val="263" w:hRule="atLeast"/>
        </w:trPr>
        <w:tc>
          <w:tcPr>
            <w:tcW w:w="2177" w:type="dxa"/>
          </w:tcPr>
          <w:p>
            <w:pPr>
              <w:pStyle w:val="TableParagraph"/>
              <w:spacing w:before="32"/>
              <w:ind w:left="78"/>
              <w:rPr>
                <w:b/>
                <w:sz w:val="16"/>
              </w:rPr>
            </w:pPr>
            <w:r>
              <w:rPr>
                <w:b/>
                <w:sz w:val="16"/>
              </w:rPr>
              <w:t>Parameter</w:t>
            </w:r>
          </w:p>
        </w:tc>
        <w:tc>
          <w:tcPr>
            <w:tcW w:w="3547" w:type="dxa"/>
          </w:tcPr>
          <w:p>
            <w:pPr>
              <w:pStyle w:val="TableParagraph"/>
              <w:spacing w:before="32"/>
              <w:ind w:left="78"/>
              <w:rPr>
                <w:b/>
                <w:sz w:val="16"/>
              </w:rPr>
            </w:pPr>
            <w:r>
              <w:rPr>
                <w:b/>
                <w:sz w:val="16"/>
              </w:rPr>
              <w:t>Condition</w:t>
            </w:r>
          </w:p>
        </w:tc>
        <w:tc>
          <w:tcPr>
            <w:tcW w:w="1293" w:type="dxa"/>
          </w:tcPr>
          <w:p>
            <w:pPr>
              <w:pStyle w:val="TableParagraph"/>
              <w:spacing w:before="32"/>
              <w:ind w:left="38" w:right="19"/>
              <w:jc w:val="center"/>
              <w:rPr>
                <w:b/>
                <w:sz w:val="16"/>
              </w:rPr>
            </w:pPr>
            <w:r>
              <w:rPr>
                <w:b/>
                <w:sz w:val="16"/>
              </w:rPr>
              <w:t>Device</w:t>
            </w:r>
          </w:p>
        </w:tc>
        <w:tc>
          <w:tcPr>
            <w:tcW w:w="609" w:type="dxa"/>
          </w:tcPr>
          <w:p>
            <w:pPr>
              <w:pStyle w:val="TableParagraph"/>
              <w:spacing w:before="32"/>
              <w:ind w:right="133"/>
              <w:jc w:val="right"/>
              <w:rPr>
                <w:b/>
                <w:sz w:val="16"/>
              </w:rPr>
            </w:pPr>
            <w:r>
              <w:rPr>
                <w:b/>
                <w:sz w:val="16"/>
              </w:rPr>
              <w:t>Min</w:t>
            </w:r>
          </w:p>
        </w:tc>
        <w:tc>
          <w:tcPr>
            <w:tcW w:w="609" w:type="dxa"/>
          </w:tcPr>
          <w:p>
            <w:pPr>
              <w:pStyle w:val="TableParagraph"/>
              <w:spacing w:before="32"/>
              <w:ind w:left="171"/>
              <w:rPr>
                <w:b/>
                <w:sz w:val="16"/>
              </w:rPr>
            </w:pPr>
            <w:r>
              <w:rPr>
                <w:b/>
                <w:sz w:val="16"/>
              </w:rPr>
              <w:t>Typ</w:t>
            </w:r>
          </w:p>
        </w:tc>
        <w:tc>
          <w:tcPr>
            <w:tcW w:w="635" w:type="dxa"/>
          </w:tcPr>
          <w:p>
            <w:pPr>
              <w:pStyle w:val="TableParagraph"/>
              <w:spacing w:before="32"/>
              <w:ind w:left="153" w:right="106"/>
              <w:jc w:val="center"/>
              <w:rPr>
                <w:b/>
                <w:sz w:val="16"/>
              </w:rPr>
            </w:pPr>
            <w:r>
              <w:rPr>
                <w:b/>
                <w:sz w:val="16"/>
              </w:rPr>
              <w:t>Max</w:t>
            </w:r>
          </w:p>
        </w:tc>
        <w:tc>
          <w:tcPr>
            <w:tcW w:w="625" w:type="dxa"/>
          </w:tcPr>
          <w:p>
            <w:pPr>
              <w:pStyle w:val="TableParagraph"/>
              <w:spacing w:before="32"/>
              <w:ind w:left="151" w:right="103"/>
              <w:jc w:val="center"/>
              <w:rPr>
                <w:b/>
                <w:sz w:val="16"/>
              </w:rPr>
            </w:pPr>
            <w:r>
              <w:rPr>
                <w:b/>
                <w:sz w:val="16"/>
              </w:rPr>
              <w:t>Unit</w:t>
            </w:r>
          </w:p>
        </w:tc>
      </w:tr>
      <w:tr>
        <w:trPr>
          <w:trHeight w:val="191" w:hRule="atLeast"/>
        </w:trPr>
        <w:tc>
          <w:tcPr>
            <w:tcW w:w="2177" w:type="dxa"/>
            <w:tcBorders>
              <w:bottom w:val="nil"/>
            </w:tcBorders>
          </w:tcPr>
          <w:p>
            <w:pPr>
              <w:pStyle w:val="TableParagraph"/>
              <w:rPr>
                <w:rFonts w:ascii="Times New Roman"/>
                <w:sz w:val="12"/>
              </w:rPr>
            </w:pPr>
          </w:p>
        </w:tc>
        <w:tc>
          <w:tcPr>
            <w:tcW w:w="3547" w:type="dxa"/>
            <w:tcBorders>
              <w:bottom w:val="nil"/>
            </w:tcBorders>
          </w:tcPr>
          <w:p>
            <w:pPr>
              <w:pStyle w:val="TableParagraph"/>
              <w:spacing w:line="157" w:lineRule="exact" w:before="15"/>
              <w:ind w:left="78"/>
              <w:rPr>
                <w:b/>
                <w:sz w:val="16"/>
              </w:rPr>
            </w:pPr>
            <w:r>
              <w:rPr>
                <w:b/>
                <w:sz w:val="16"/>
              </w:rPr>
              <w:t>Polyphase: 4 Currents, 3 Voltages</w:t>
            </w:r>
          </w:p>
        </w:tc>
        <w:tc>
          <w:tcPr>
            <w:tcW w:w="1293" w:type="dxa"/>
            <w:tcBorders>
              <w:bottom w:val="nil"/>
            </w:tcBorders>
          </w:tcPr>
          <w:p>
            <w:pPr>
              <w:pStyle w:val="TableParagraph"/>
              <w:rPr>
                <w:rFonts w:ascii="Times New Roman"/>
                <w:sz w:val="12"/>
              </w:rPr>
            </w:pPr>
          </w:p>
        </w:tc>
        <w:tc>
          <w:tcPr>
            <w:tcW w:w="609" w:type="dxa"/>
            <w:vMerge w:val="restart"/>
          </w:tcPr>
          <w:p>
            <w:pPr>
              <w:pStyle w:val="TableParagraph"/>
              <w:rPr>
                <w:rFonts w:ascii="Times New Roman"/>
                <w:sz w:val="16"/>
              </w:rPr>
            </w:pPr>
          </w:p>
        </w:tc>
        <w:tc>
          <w:tcPr>
            <w:tcW w:w="609" w:type="dxa"/>
            <w:tcBorders>
              <w:bottom w:val="nil"/>
            </w:tcBorders>
          </w:tcPr>
          <w:p>
            <w:pPr>
              <w:pStyle w:val="TableParagraph"/>
              <w:rPr>
                <w:rFonts w:ascii="Times New Roman"/>
                <w:sz w:val="12"/>
              </w:rPr>
            </w:pPr>
          </w:p>
        </w:tc>
        <w:tc>
          <w:tcPr>
            <w:tcW w:w="635" w:type="dxa"/>
            <w:tcBorders>
              <w:bottom w:val="nil"/>
            </w:tcBorders>
          </w:tcPr>
          <w:p>
            <w:pPr>
              <w:pStyle w:val="TableParagraph"/>
              <w:rPr>
                <w:rFonts w:ascii="Times New Roman"/>
                <w:sz w:val="12"/>
              </w:rPr>
            </w:pPr>
          </w:p>
        </w:tc>
        <w:tc>
          <w:tcPr>
            <w:tcW w:w="625" w:type="dxa"/>
            <w:tcBorders>
              <w:bottom w:val="nil"/>
            </w:tcBorders>
          </w:tcPr>
          <w:p>
            <w:pPr>
              <w:pStyle w:val="TableParagraph"/>
              <w:rPr>
                <w:rFonts w:ascii="Times New Roman"/>
                <w:sz w:val="12"/>
              </w:rPr>
            </w:pPr>
          </w:p>
        </w:tc>
      </w:tr>
      <w:tr>
        <w:trPr>
          <w:trHeight w:val="348" w:hRule="atLeast"/>
        </w:trPr>
        <w:tc>
          <w:tcPr>
            <w:tcW w:w="2177" w:type="dxa"/>
            <w:tcBorders>
              <w:top w:val="nil"/>
              <w:bottom w:val="nil"/>
            </w:tcBorders>
          </w:tcPr>
          <w:p>
            <w:pPr>
              <w:pStyle w:val="TableParagraph"/>
              <w:rPr>
                <w:b/>
                <w:sz w:val="15"/>
              </w:rPr>
            </w:pPr>
          </w:p>
          <w:p>
            <w:pPr>
              <w:pStyle w:val="TableParagraph"/>
              <w:spacing w:line="156" w:lineRule="exact"/>
              <w:ind w:left="78"/>
              <w:rPr>
                <w:b/>
                <w:sz w:val="16"/>
              </w:rPr>
            </w:pPr>
            <w:r>
              <w:rPr>
                <w:b/>
                <w:sz w:val="16"/>
              </w:rPr>
              <w:t>I1:</w:t>
            </w:r>
          </w:p>
        </w:tc>
        <w:tc>
          <w:tcPr>
            <w:tcW w:w="3547" w:type="dxa"/>
            <w:tcBorders>
              <w:top w:val="nil"/>
              <w:bottom w:val="nil"/>
            </w:tcBorders>
          </w:tcPr>
          <w:p>
            <w:pPr>
              <w:pStyle w:val="TableParagraph"/>
              <w:spacing w:line="171" w:lineRule="exact"/>
              <w:ind w:left="78"/>
              <w:rPr>
                <w:sz w:val="16"/>
              </w:rPr>
            </w:pPr>
            <w:r>
              <w:rPr>
                <w:b/>
                <w:sz w:val="16"/>
              </w:rPr>
              <w:t>V3P3A = V3P3SYS </w:t>
            </w:r>
            <w:r>
              <w:rPr>
                <w:sz w:val="16"/>
              </w:rPr>
              <w:t>= 3.3 V,</w:t>
            </w:r>
          </w:p>
          <w:p>
            <w:pPr>
              <w:pStyle w:val="TableParagraph"/>
              <w:spacing w:line="157" w:lineRule="exact"/>
              <w:ind w:left="78"/>
              <w:rPr>
                <w:sz w:val="16"/>
              </w:rPr>
            </w:pPr>
            <w:r>
              <w:rPr>
                <w:rFonts w:ascii="Times New Roman"/>
                <w:i/>
                <w:sz w:val="16"/>
              </w:rPr>
              <w:t>MPU_DIV [2:0]</w:t>
            </w:r>
            <w:r>
              <w:rPr>
                <w:sz w:val="16"/>
              </w:rPr>
              <w:t>= 3 (614 kHz MPU clock),</w:t>
            </w:r>
          </w:p>
        </w:tc>
        <w:tc>
          <w:tcPr>
            <w:tcW w:w="1293" w:type="dxa"/>
            <w:tcBorders>
              <w:top w:val="nil"/>
              <w:bottom w:val="nil"/>
            </w:tcBorders>
          </w:tcPr>
          <w:p>
            <w:pPr>
              <w:pStyle w:val="TableParagraph"/>
              <w:spacing w:before="21"/>
              <w:ind w:left="38" w:right="22"/>
              <w:jc w:val="center"/>
              <w:rPr>
                <w:sz w:val="16"/>
              </w:rPr>
            </w:pPr>
            <w:r>
              <w:rPr>
                <w:sz w:val="16"/>
              </w:rPr>
              <w:t>71M6543F</w:t>
            </w:r>
          </w:p>
        </w:tc>
        <w:tc>
          <w:tcPr>
            <w:tcW w:w="609" w:type="dxa"/>
            <w:vMerge/>
            <w:tcBorders>
              <w:top w:val="nil"/>
            </w:tcBorders>
          </w:tcPr>
          <w:p>
            <w:pPr>
              <w:rPr>
                <w:sz w:val="2"/>
                <w:szCs w:val="2"/>
              </w:rPr>
            </w:pPr>
          </w:p>
        </w:tc>
        <w:tc>
          <w:tcPr>
            <w:tcW w:w="609" w:type="dxa"/>
            <w:tcBorders>
              <w:top w:val="nil"/>
              <w:bottom w:val="nil"/>
            </w:tcBorders>
          </w:tcPr>
          <w:p>
            <w:pPr>
              <w:pStyle w:val="TableParagraph"/>
              <w:spacing w:before="21"/>
              <w:ind w:left="202"/>
              <w:rPr>
                <w:sz w:val="16"/>
              </w:rPr>
            </w:pPr>
            <w:r>
              <w:rPr>
                <w:sz w:val="16"/>
              </w:rPr>
              <w:t>7.2</w:t>
            </w:r>
          </w:p>
        </w:tc>
        <w:tc>
          <w:tcPr>
            <w:tcW w:w="635" w:type="dxa"/>
            <w:tcBorders>
              <w:top w:val="nil"/>
              <w:bottom w:val="nil"/>
            </w:tcBorders>
          </w:tcPr>
          <w:p>
            <w:pPr>
              <w:pStyle w:val="TableParagraph"/>
              <w:spacing w:before="21"/>
              <w:ind w:left="153" w:right="105"/>
              <w:jc w:val="center"/>
              <w:rPr>
                <w:sz w:val="16"/>
              </w:rPr>
            </w:pPr>
            <w:r>
              <w:rPr>
                <w:sz w:val="16"/>
              </w:rPr>
              <w:t>8.5</w:t>
            </w:r>
          </w:p>
        </w:tc>
        <w:tc>
          <w:tcPr>
            <w:tcW w:w="625" w:type="dxa"/>
            <w:tcBorders>
              <w:top w:val="nil"/>
              <w:bottom w:val="nil"/>
            </w:tcBorders>
          </w:tcPr>
          <w:p>
            <w:pPr>
              <w:pStyle w:val="TableParagraph"/>
              <w:rPr>
                <w:rFonts w:ascii="Times New Roman"/>
                <w:sz w:val="16"/>
              </w:rPr>
            </w:pPr>
          </w:p>
        </w:tc>
      </w:tr>
      <w:tr>
        <w:trPr>
          <w:trHeight w:val="74" w:hRule="atLeast"/>
        </w:trPr>
        <w:tc>
          <w:tcPr>
            <w:tcW w:w="2177" w:type="dxa"/>
            <w:vMerge w:val="restart"/>
            <w:tcBorders>
              <w:top w:val="nil"/>
              <w:bottom w:val="nil"/>
            </w:tcBorders>
          </w:tcPr>
          <w:p>
            <w:pPr>
              <w:pStyle w:val="TableParagraph"/>
              <w:spacing w:line="145" w:lineRule="exact"/>
              <w:ind w:left="78"/>
              <w:rPr>
                <w:sz w:val="16"/>
              </w:rPr>
            </w:pPr>
            <w:r>
              <w:rPr>
                <w:b/>
                <w:sz w:val="16"/>
              </w:rPr>
              <w:t>V3P3A + V3P3SYS </w:t>
            </w:r>
            <w:r>
              <w:rPr>
                <w:sz w:val="16"/>
              </w:rPr>
              <w:t>current,</w:t>
            </w:r>
          </w:p>
        </w:tc>
        <w:tc>
          <w:tcPr>
            <w:tcW w:w="3547" w:type="dxa"/>
            <w:vMerge w:val="restart"/>
            <w:tcBorders>
              <w:top w:val="nil"/>
              <w:bottom w:val="nil"/>
            </w:tcBorders>
          </w:tcPr>
          <w:p>
            <w:pPr>
              <w:pStyle w:val="TableParagraph"/>
              <w:spacing w:line="145" w:lineRule="exact"/>
              <w:ind w:left="78"/>
              <w:rPr>
                <w:sz w:val="16"/>
              </w:rPr>
            </w:pPr>
            <w:r>
              <w:rPr>
                <w:sz w:val="16"/>
              </w:rPr>
              <w:t>No Flash memory write,</w:t>
            </w:r>
          </w:p>
        </w:tc>
        <w:tc>
          <w:tcPr>
            <w:tcW w:w="1293" w:type="dxa"/>
            <w:tcBorders>
              <w:top w:val="nil"/>
            </w:tcBorders>
          </w:tcPr>
          <w:p>
            <w:pPr>
              <w:pStyle w:val="TableParagraph"/>
              <w:rPr>
                <w:rFonts w:ascii="Times New Roman"/>
                <w:sz w:val="2"/>
              </w:rPr>
            </w:pPr>
          </w:p>
        </w:tc>
        <w:tc>
          <w:tcPr>
            <w:tcW w:w="609" w:type="dxa"/>
            <w:vMerge/>
            <w:tcBorders>
              <w:top w:val="nil"/>
            </w:tcBorders>
          </w:tcPr>
          <w:p>
            <w:pPr>
              <w:rPr>
                <w:sz w:val="2"/>
                <w:szCs w:val="2"/>
              </w:rPr>
            </w:pPr>
          </w:p>
        </w:tc>
        <w:tc>
          <w:tcPr>
            <w:tcW w:w="609" w:type="dxa"/>
            <w:tcBorders>
              <w:top w:val="nil"/>
            </w:tcBorders>
          </w:tcPr>
          <w:p>
            <w:pPr>
              <w:pStyle w:val="TableParagraph"/>
              <w:rPr>
                <w:rFonts w:ascii="Times New Roman"/>
                <w:sz w:val="2"/>
              </w:rPr>
            </w:pPr>
          </w:p>
        </w:tc>
        <w:tc>
          <w:tcPr>
            <w:tcW w:w="635" w:type="dxa"/>
            <w:tcBorders>
              <w:top w:val="nil"/>
            </w:tcBorders>
          </w:tcPr>
          <w:p>
            <w:pPr>
              <w:pStyle w:val="TableParagraph"/>
              <w:rPr>
                <w:rFonts w:ascii="Times New Roman"/>
                <w:sz w:val="2"/>
              </w:rPr>
            </w:pPr>
          </w:p>
        </w:tc>
        <w:tc>
          <w:tcPr>
            <w:tcW w:w="625" w:type="dxa"/>
            <w:vMerge w:val="restart"/>
            <w:tcBorders>
              <w:top w:val="nil"/>
              <w:bottom w:val="nil"/>
            </w:tcBorders>
          </w:tcPr>
          <w:p>
            <w:pPr>
              <w:pStyle w:val="TableParagraph"/>
              <w:spacing w:line="145" w:lineRule="exact"/>
              <w:ind w:left="206"/>
              <w:rPr>
                <w:sz w:val="16"/>
              </w:rPr>
            </w:pPr>
            <w:r>
              <w:rPr>
                <w:sz w:val="16"/>
              </w:rPr>
              <w:t>mA</w:t>
            </w:r>
          </w:p>
        </w:tc>
      </w:tr>
      <w:tr>
        <w:trPr>
          <w:trHeight w:val="70" w:hRule="atLeast"/>
        </w:trPr>
        <w:tc>
          <w:tcPr>
            <w:tcW w:w="2177" w:type="dxa"/>
            <w:vMerge/>
            <w:tcBorders>
              <w:top w:val="nil"/>
              <w:bottom w:val="nil"/>
            </w:tcBorders>
          </w:tcPr>
          <w:p>
            <w:pPr>
              <w:rPr>
                <w:sz w:val="2"/>
                <w:szCs w:val="2"/>
              </w:rPr>
            </w:pPr>
          </w:p>
        </w:tc>
        <w:tc>
          <w:tcPr>
            <w:tcW w:w="3547" w:type="dxa"/>
            <w:vMerge/>
            <w:tcBorders>
              <w:top w:val="nil"/>
              <w:bottom w:val="nil"/>
            </w:tcBorders>
          </w:tcPr>
          <w:p>
            <w:pPr>
              <w:rPr>
                <w:sz w:val="2"/>
                <w:szCs w:val="2"/>
              </w:rPr>
            </w:pPr>
          </w:p>
        </w:tc>
        <w:tc>
          <w:tcPr>
            <w:tcW w:w="1293" w:type="dxa"/>
            <w:tcBorders>
              <w:bottom w:val="nil"/>
            </w:tcBorders>
          </w:tcPr>
          <w:p>
            <w:pPr>
              <w:pStyle w:val="TableParagraph"/>
              <w:rPr>
                <w:rFonts w:ascii="Times New Roman"/>
                <w:sz w:val="2"/>
              </w:rPr>
            </w:pPr>
          </w:p>
        </w:tc>
        <w:tc>
          <w:tcPr>
            <w:tcW w:w="609" w:type="dxa"/>
            <w:vMerge w:val="restart"/>
          </w:tcPr>
          <w:p>
            <w:pPr>
              <w:pStyle w:val="TableParagraph"/>
              <w:rPr>
                <w:rFonts w:ascii="Times New Roman"/>
                <w:sz w:val="16"/>
              </w:rPr>
            </w:pPr>
          </w:p>
        </w:tc>
        <w:tc>
          <w:tcPr>
            <w:tcW w:w="609" w:type="dxa"/>
            <w:tcBorders>
              <w:bottom w:val="nil"/>
            </w:tcBorders>
          </w:tcPr>
          <w:p>
            <w:pPr>
              <w:pStyle w:val="TableParagraph"/>
              <w:rPr>
                <w:rFonts w:ascii="Times New Roman"/>
                <w:sz w:val="2"/>
              </w:rPr>
            </w:pPr>
          </w:p>
        </w:tc>
        <w:tc>
          <w:tcPr>
            <w:tcW w:w="635" w:type="dxa"/>
            <w:tcBorders>
              <w:bottom w:val="nil"/>
            </w:tcBorders>
          </w:tcPr>
          <w:p>
            <w:pPr>
              <w:pStyle w:val="TableParagraph"/>
              <w:rPr>
                <w:rFonts w:ascii="Times New Roman"/>
                <w:sz w:val="2"/>
              </w:rPr>
            </w:pPr>
          </w:p>
        </w:tc>
        <w:tc>
          <w:tcPr>
            <w:tcW w:w="625" w:type="dxa"/>
            <w:vMerge/>
            <w:tcBorders>
              <w:top w:val="nil"/>
              <w:bottom w:val="nil"/>
            </w:tcBorders>
          </w:tcPr>
          <w:p>
            <w:pPr>
              <w:rPr>
                <w:sz w:val="2"/>
                <w:szCs w:val="2"/>
              </w:rPr>
            </w:pPr>
          </w:p>
        </w:tc>
      </w:tr>
      <w:tr>
        <w:trPr>
          <w:trHeight w:val="348" w:hRule="atLeast"/>
        </w:trPr>
        <w:tc>
          <w:tcPr>
            <w:tcW w:w="2177" w:type="dxa"/>
            <w:tcBorders>
              <w:top w:val="nil"/>
              <w:bottom w:val="nil"/>
            </w:tcBorders>
          </w:tcPr>
          <w:p>
            <w:pPr>
              <w:pStyle w:val="TableParagraph"/>
              <w:spacing w:line="173" w:lineRule="exact"/>
              <w:ind w:left="78"/>
              <w:rPr>
                <w:sz w:val="16"/>
              </w:rPr>
            </w:pPr>
            <w:r>
              <w:rPr>
                <w:sz w:val="16"/>
              </w:rPr>
              <w:t>Normal Operation</w:t>
            </w:r>
          </w:p>
        </w:tc>
        <w:tc>
          <w:tcPr>
            <w:tcW w:w="3547" w:type="dxa"/>
            <w:tcBorders>
              <w:top w:val="nil"/>
              <w:bottom w:val="nil"/>
            </w:tcBorders>
          </w:tcPr>
          <w:p>
            <w:pPr>
              <w:pStyle w:val="TableParagraph"/>
              <w:spacing w:line="172" w:lineRule="exact"/>
              <w:ind w:left="78"/>
              <w:rPr>
                <w:sz w:val="16"/>
              </w:rPr>
            </w:pPr>
            <w:r>
              <w:rPr>
                <w:rFonts w:ascii="Times New Roman"/>
                <w:i/>
                <w:sz w:val="16"/>
              </w:rPr>
              <w:t>RTM_E</w:t>
            </w:r>
            <w:r>
              <w:rPr>
                <w:sz w:val="16"/>
              </w:rPr>
              <w:t>=0, </w:t>
            </w:r>
            <w:r>
              <w:rPr>
                <w:rFonts w:ascii="Times New Roman"/>
                <w:i/>
                <w:sz w:val="16"/>
              </w:rPr>
              <w:t>PRE_E</w:t>
            </w:r>
            <w:r>
              <w:rPr>
                <w:sz w:val="16"/>
              </w:rPr>
              <w:t>=0, </w:t>
            </w:r>
            <w:r>
              <w:rPr>
                <w:rFonts w:ascii="Times New Roman"/>
                <w:i/>
                <w:sz w:val="16"/>
              </w:rPr>
              <w:t>CE_E</w:t>
            </w:r>
            <w:r>
              <w:rPr>
                <w:sz w:val="16"/>
              </w:rPr>
              <w:t>=1, </w:t>
            </w:r>
            <w:r>
              <w:rPr>
                <w:rFonts w:ascii="Times New Roman"/>
                <w:i/>
                <w:sz w:val="16"/>
              </w:rPr>
              <w:t>ADC_E</w:t>
            </w:r>
            <w:r>
              <w:rPr>
                <w:sz w:val="16"/>
              </w:rPr>
              <w:t>=1,</w:t>
            </w:r>
          </w:p>
          <w:p>
            <w:pPr>
              <w:pStyle w:val="TableParagraph"/>
              <w:spacing w:line="157" w:lineRule="exact"/>
              <w:ind w:left="78"/>
              <w:rPr>
                <w:sz w:val="16"/>
              </w:rPr>
            </w:pPr>
            <w:r>
              <w:rPr>
                <w:rFonts w:ascii="Times New Roman"/>
                <w:i/>
                <w:sz w:val="16"/>
              </w:rPr>
              <w:t>ADC_DIV</w:t>
            </w:r>
            <w:r>
              <w:rPr>
                <w:sz w:val="16"/>
              </w:rPr>
              <w:t>=0, </w:t>
            </w:r>
            <w:r>
              <w:rPr>
                <w:rFonts w:ascii="Times New Roman"/>
                <w:i/>
                <w:sz w:val="16"/>
              </w:rPr>
              <w:t>MUX_DIV[3:0]</w:t>
            </w:r>
            <w:r>
              <w:rPr>
                <w:sz w:val="16"/>
              </w:rPr>
              <w:t>=7,</w:t>
            </w:r>
          </w:p>
        </w:tc>
        <w:tc>
          <w:tcPr>
            <w:tcW w:w="1293" w:type="dxa"/>
            <w:tcBorders>
              <w:top w:val="nil"/>
              <w:bottom w:val="nil"/>
            </w:tcBorders>
          </w:tcPr>
          <w:p>
            <w:pPr>
              <w:pStyle w:val="TableParagraph"/>
              <w:spacing w:before="143"/>
              <w:ind w:left="38" w:right="24"/>
              <w:jc w:val="center"/>
              <w:rPr>
                <w:sz w:val="16"/>
              </w:rPr>
            </w:pPr>
            <w:r>
              <w:rPr>
                <w:sz w:val="16"/>
              </w:rPr>
              <w:t>71M6543G</w:t>
            </w:r>
          </w:p>
        </w:tc>
        <w:tc>
          <w:tcPr>
            <w:tcW w:w="609" w:type="dxa"/>
            <w:vMerge/>
            <w:tcBorders>
              <w:top w:val="nil"/>
            </w:tcBorders>
          </w:tcPr>
          <w:p>
            <w:pPr>
              <w:rPr>
                <w:sz w:val="2"/>
                <w:szCs w:val="2"/>
              </w:rPr>
            </w:pPr>
          </w:p>
        </w:tc>
        <w:tc>
          <w:tcPr>
            <w:tcW w:w="609" w:type="dxa"/>
            <w:tcBorders>
              <w:top w:val="nil"/>
              <w:bottom w:val="nil"/>
            </w:tcBorders>
          </w:tcPr>
          <w:p>
            <w:pPr>
              <w:pStyle w:val="TableParagraph"/>
              <w:spacing w:before="143"/>
              <w:ind w:left="202"/>
              <w:rPr>
                <w:sz w:val="16"/>
              </w:rPr>
            </w:pPr>
            <w:r>
              <w:rPr>
                <w:sz w:val="16"/>
              </w:rPr>
              <w:t>7.5</w:t>
            </w:r>
          </w:p>
        </w:tc>
        <w:tc>
          <w:tcPr>
            <w:tcW w:w="635" w:type="dxa"/>
            <w:tcBorders>
              <w:top w:val="nil"/>
              <w:bottom w:val="nil"/>
            </w:tcBorders>
          </w:tcPr>
          <w:p>
            <w:pPr>
              <w:pStyle w:val="TableParagraph"/>
              <w:spacing w:before="143"/>
              <w:ind w:left="153" w:right="105"/>
              <w:jc w:val="center"/>
              <w:rPr>
                <w:sz w:val="16"/>
              </w:rPr>
            </w:pPr>
            <w:r>
              <w:rPr>
                <w:sz w:val="16"/>
              </w:rPr>
              <w:t>8.8</w:t>
            </w:r>
          </w:p>
        </w:tc>
        <w:tc>
          <w:tcPr>
            <w:tcW w:w="625" w:type="dxa"/>
            <w:tcBorders>
              <w:top w:val="nil"/>
              <w:bottom w:val="nil"/>
            </w:tcBorders>
          </w:tcPr>
          <w:p>
            <w:pPr>
              <w:pStyle w:val="TableParagraph"/>
              <w:rPr>
                <w:rFonts w:ascii="Times New Roman"/>
                <w:sz w:val="16"/>
              </w:rPr>
            </w:pPr>
          </w:p>
        </w:tc>
      </w:tr>
      <w:tr>
        <w:trPr>
          <w:trHeight w:val="197" w:hRule="atLeast"/>
        </w:trPr>
        <w:tc>
          <w:tcPr>
            <w:tcW w:w="2177" w:type="dxa"/>
            <w:tcBorders>
              <w:top w:val="nil"/>
            </w:tcBorders>
          </w:tcPr>
          <w:p>
            <w:pPr>
              <w:pStyle w:val="TableParagraph"/>
              <w:rPr>
                <w:rFonts w:ascii="Times New Roman"/>
                <w:sz w:val="12"/>
              </w:rPr>
            </w:pPr>
          </w:p>
        </w:tc>
        <w:tc>
          <w:tcPr>
            <w:tcW w:w="3547" w:type="dxa"/>
            <w:tcBorders>
              <w:top w:val="nil"/>
            </w:tcBorders>
          </w:tcPr>
          <w:p>
            <w:pPr>
              <w:pStyle w:val="TableParagraph"/>
              <w:spacing w:line="172" w:lineRule="exact"/>
              <w:ind w:left="78"/>
              <w:rPr>
                <w:sz w:val="16"/>
              </w:rPr>
            </w:pPr>
            <w:r>
              <w:rPr>
                <w:rFonts w:ascii="Times New Roman"/>
                <w:i/>
                <w:sz w:val="16"/>
              </w:rPr>
              <w:t>FIR_LEN[1:0]</w:t>
            </w:r>
            <w:r>
              <w:rPr>
                <w:sz w:val="16"/>
              </w:rPr>
              <w:t>=1, </w:t>
            </w:r>
            <w:r>
              <w:rPr>
                <w:rFonts w:ascii="Times New Roman"/>
                <w:i/>
                <w:sz w:val="16"/>
              </w:rPr>
              <w:t>PLL_FAST</w:t>
            </w:r>
            <w:r>
              <w:rPr>
                <w:sz w:val="16"/>
              </w:rPr>
              <w:t>=1</w:t>
            </w:r>
          </w:p>
        </w:tc>
        <w:tc>
          <w:tcPr>
            <w:tcW w:w="1293" w:type="dxa"/>
            <w:tcBorders>
              <w:top w:val="nil"/>
            </w:tcBorders>
          </w:tcPr>
          <w:p>
            <w:pPr>
              <w:pStyle w:val="TableParagraph"/>
              <w:rPr>
                <w:rFonts w:ascii="Times New Roman"/>
                <w:sz w:val="12"/>
              </w:rPr>
            </w:pPr>
          </w:p>
        </w:tc>
        <w:tc>
          <w:tcPr>
            <w:tcW w:w="609" w:type="dxa"/>
            <w:vMerge/>
            <w:tcBorders>
              <w:top w:val="nil"/>
            </w:tcBorders>
          </w:tcPr>
          <w:p>
            <w:pPr>
              <w:rPr>
                <w:sz w:val="2"/>
                <w:szCs w:val="2"/>
              </w:rPr>
            </w:pPr>
          </w:p>
        </w:tc>
        <w:tc>
          <w:tcPr>
            <w:tcW w:w="609" w:type="dxa"/>
            <w:tcBorders>
              <w:top w:val="nil"/>
            </w:tcBorders>
          </w:tcPr>
          <w:p>
            <w:pPr>
              <w:pStyle w:val="TableParagraph"/>
              <w:rPr>
                <w:rFonts w:ascii="Times New Roman"/>
                <w:sz w:val="12"/>
              </w:rPr>
            </w:pPr>
          </w:p>
        </w:tc>
        <w:tc>
          <w:tcPr>
            <w:tcW w:w="635" w:type="dxa"/>
            <w:tcBorders>
              <w:top w:val="nil"/>
            </w:tcBorders>
          </w:tcPr>
          <w:p>
            <w:pPr>
              <w:pStyle w:val="TableParagraph"/>
              <w:rPr>
                <w:rFonts w:ascii="Times New Roman"/>
                <w:sz w:val="12"/>
              </w:rPr>
            </w:pPr>
          </w:p>
        </w:tc>
        <w:tc>
          <w:tcPr>
            <w:tcW w:w="625" w:type="dxa"/>
            <w:tcBorders>
              <w:top w:val="nil"/>
            </w:tcBorders>
          </w:tcPr>
          <w:p>
            <w:pPr>
              <w:pStyle w:val="TableParagraph"/>
              <w:rPr>
                <w:rFonts w:ascii="Times New Roman"/>
                <w:sz w:val="12"/>
              </w:rPr>
            </w:pPr>
          </w:p>
        </w:tc>
      </w:tr>
      <w:tr>
        <w:trPr>
          <w:trHeight w:val="378" w:hRule="atLeast"/>
        </w:trPr>
        <w:tc>
          <w:tcPr>
            <w:tcW w:w="2177" w:type="dxa"/>
            <w:vMerge w:val="restart"/>
          </w:tcPr>
          <w:p>
            <w:pPr>
              <w:pStyle w:val="TableParagraph"/>
              <w:spacing w:line="183" w:lineRule="exact" w:before="15"/>
              <w:ind w:left="78"/>
              <w:rPr>
                <w:b/>
                <w:sz w:val="16"/>
              </w:rPr>
            </w:pPr>
            <w:r>
              <w:rPr>
                <w:b/>
                <w:sz w:val="16"/>
              </w:rPr>
              <w:t>I1a:</w:t>
            </w:r>
          </w:p>
          <w:p>
            <w:pPr>
              <w:pStyle w:val="TableParagraph"/>
              <w:ind w:left="78" w:right="71"/>
              <w:rPr>
                <w:sz w:val="16"/>
              </w:rPr>
            </w:pPr>
            <w:r>
              <w:rPr>
                <w:b/>
                <w:sz w:val="16"/>
              </w:rPr>
              <w:t>V3P3A + V3P3SYS </w:t>
            </w:r>
            <w:r>
              <w:rPr>
                <w:sz w:val="16"/>
              </w:rPr>
              <w:t>current, ADC Half Rate (</w:t>
            </w:r>
            <w:r>
              <w:rPr>
                <w:rFonts w:ascii="Times New Roman"/>
                <w:i/>
                <w:sz w:val="16"/>
              </w:rPr>
              <w:t>ADC_DIV=1</w:t>
            </w:r>
            <w:r>
              <w:rPr>
                <w:sz w:val="16"/>
              </w:rPr>
              <w:t>)</w:t>
            </w:r>
          </w:p>
        </w:tc>
        <w:tc>
          <w:tcPr>
            <w:tcW w:w="3547" w:type="dxa"/>
            <w:vMerge w:val="restart"/>
          </w:tcPr>
          <w:p>
            <w:pPr>
              <w:pStyle w:val="TableParagraph"/>
              <w:spacing w:before="2"/>
              <w:rPr>
                <w:b/>
                <w:sz w:val="17"/>
              </w:rPr>
            </w:pPr>
          </w:p>
          <w:p>
            <w:pPr>
              <w:pStyle w:val="TableParagraph"/>
              <w:ind w:left="78"/>
              <w:rPr>
                <w:sz w:val="16"/>
              </w:rPr>
            </w:pPr>
            <w:r>
              <w:rPr>
                <w:sz w:val="16"/>
              </w:rPr>
              <w:t>Same as I1, except </w:t>
            </w:r>
            <w:r>
              <w:rPr>
                <w:rFonts w:ascii="Times New Roman"/>
                <w:i/>
                <w:sz w:val="16"/>
              </w:rPr>
              <w:t>ADC_DIV</w:t>
            </w:r>
            <w:r>
              <w:rPr>
                <w:sz w:val="16"/>
              </w:rPr>
              <w:t>=1, </w:t>
            </w:r>
            <w:r>
              <w:rPr>
                <w:rFonts w:ascii="Times New Roman"/>
                <w:i/>
                <w:sz w:val="16"/>
              </w:rPr>
              <w:t>FIR_LEN</w:t>
            </w:r>
            <w:r>
              <w:rPr>
                <w:sz w:val="16"/>
              </w:rPr>
              <w:t>=0</w:t>
            </w:r>
          </w:p>
        </w:tc>
        <w:tc>
          <w:tcPr>
            <w:tcW w:w="1293" w:type="dxa"/>
          </w:tcPr>
          <w:p>
            <w:pPr>
              <w:pStyle w:val="TableParagraph"/>
              <w:spacing w:before="94"/>
              <w:ind w:left="38" w:right="22"/>
              <w:jc w:val="center"/>
              <w:rPr>
                <w:sz w:val="16"/>
              </w:rPr>
            </w:pPr>
            <w:r>
              <w:rPr>
                <w:sz w:val="16"/>
              </w:rPr>
              <w:t>71M6543F</w:t>
            </w:r>
          </w:p>
        </w:tc>
        <w:tc>
          <w:tcPr>
            <w:tcW w:w="609" w:type="dxa"/>
          </w:tcPr>
          <w:p>
            <w:pPr>
              <w:pStyle w:val="TableParagraph"/>
              <w:rPr>
                <w:rFonts w:ascii="Times New Roman"/>
                <w:sz w:val="16"/>
              </w:rPr>
            </w:pPr>
          </w:p>
        </w:tc>
        <w:tc>
          <w:tcPr>
            <w:tcW w:w="609" w:type="dxa"/>
          </w:tcPr>
          <w:p>
            <w:pPr>
              <w:pStyle w:val="TableParagraph"/>
              <w:spacing w:before="94"/>
              <w:ind w:left="202"/>
              <w:rPr>
                <w:sz w:val="16"/>
              </w:rPr>
            </w:pPr>
            <w:r>
              <w:rPr>
                <w:sz w:val="16"/>
              </w:rPr>
              <w:t>6.4</w:t>
            </w:r>
          </w:p>
        </w:tc>
        <w:tc>
          <w:tcPr>
            <w:tcW w:w="635" w:type="dxa"/>
          </w:tcPr>
          <w:p>
            <w:pPr>
              <w:pStyle w:val="TableParagraph"/>
              <w:spacing w:before="94"/>
              <w:ind w:left="153" w:right="105"/>
              <w:jc w:val="center"/>
              <w:rPr>
                <w:sz w:val="16"/>
              </w:rPr>
            </w:pPr>
            <w:r>
              <w:rPr>
                <w:sz w:val="16"/>
              </w:rPr>
              <w:t>7.3</w:t>
            </w:r>
          </w:p>
        </w:tc>
        <w:tc>
          <w:tcPr>
            <w:tcW w:w="625" w:type="dxa"/>
            <w:vMerge w:val="restart"/>
          </w:tcPr>
          <w:p>
            <w:pPr>
              <w:pStyle w:val="TableParagraph"/>
              <w:spacing w:before="6"/>
              <w:rPr>
                <w:b/>
                <w:sz w:val="25"/>
              </w:rPr>
            </w:pPr>
          </w:p>
          <w:p>
            <w:pPr>
              <w:pStyle w:val="TableParagraph"/>
              <w:ind w:left="206"/>
              <w:rPr>
                <w:sz w:val="16"/>
              </w:rPr>
            </w:pPr>
            <w:r>
              <w:rPr>
                <w:sz w:val="16"/>
              </w:rPr>
              <w:t>mA</w:t>
            </w:r>
          </w:p>
        </w:tc>
      </w:tr>
      <w:tr>
        <w:trPr>
          <w:trHeight w:val="378" w:hRule="atLeast"/>
        </w:trPr>
        <w:tc>
          <w:tcPr>
            <w:tcW w:w="2177" w:type="dxa"/>
            <w:vMerge/>
            <w:tcBorders>
              <w:top w:val="nil"/>
            </w:tcBorders>
          </w:tcPr>
          <w:p>
            <w:pPr>
              <w:rPr>
                <w:sz w:val="2"/>
                <w:szCs w:val="2"/>
              </w:rPr>
            </w:pPr>
          </w:p>
        </w:tc>
        <w:tc>
          <w:tcPr>
            <w:tcW w:w="3547" w:type="dxa"/>
            <w:vMerge/>
            <w:tcBorders>
              <w:top w:val="nil"/>
            </w:tcBorders>
          </w:tcPr>
          <w:p>
            <w:pPr>
              <w:rPr>
                <w:sz w:val="2"/>
                <w:szCs w:val="2"/>
              </w:rPr>
            </w:pPr>
          </w:p>
        </w:tc>
        <w:tc>
          <w:tcPr>
            <w:tcW w:w="1293" w:type="dxa"/>
          </w:tcPr>
          <w:p>
            <w:pPr>
              <w:pStyle w:val="TableParagraph"/>
              <w:spacing w:before="94"/>
              <w:ind w:left="38" w:right="24"/>
              <w:jc w:val="center"/>
              <w:rPr>
                <w:sz w:val="16"/>
              </w:rPr>
            </w:pPr>
            <w:r>
              <w:rPr>
                <w:sz w:val="16"/>
              </w:rPr>
              <w:t>71M6543G</w:t>
            </w:r>
          </w:p>
        </w:tc>
        <w:tc>
          <w:tcPr>
            <w:tcW w:w="609" w:type="dxa"/>
          </w:tcPr>
          <w:p>
            <w:pPr>
              <w:pStyle w:val="TableParagraph"/>
              <w:rPr>
                <w:rFonts w:ascii="Times New Roman"/>
                <w:sz w:val="16"/>
              </w:rPr>
            </w:pPr>
          </w:p>
        </w:tc>
        <w:tc>
          <w:tcPr>
            <w:tcW w:w="609" w:type="dxa"/>
          </w:tcPr>
          <w:p>
            <w:pPr>
              <w:pStyle w:val="TableParagraph"/>
              <w:spacing w:before="94"/>
              <w:ind w:left="202"/>
              <w:rPr>
                <w:sz w:val="16"/>
              </w:rPr>
            </w:pPr>
            <w:r>
              <w:rPr>
                <w:sz w:val="16"/>
              </w:rPr>
              <w:t>6.7</w:t>
            </w:r>
          </w:p>
        </w:tc>
        <w:tc>
          <w:tcPr>
            <w:tcW w:w="635" w:type="dxa"/>
          </w:tcPr>
          <w:p>
            <w:pPr>
              <w:pStyle w:val="TableParagraph"/>
              <w:spacing w:before="94"/>
              <w:ind w:left="153" w:right="105"/>
              <w:jc w:val="center"/>
              <w:rPr>
                <w:sz w:val="16"/>
              </w:rPr>
            </w:pPr>
            <w:r>
              <w:rPr>
                <w:sz w:val="16"/>
              </w:rPr>
              <w:t>7.7</w:t>
            </w:r>
          </w:p>
        </w:tc>
        <w:tc>
          <w:tcPr>
            <w:tcW w:w="625" w:type="dxa"/>
            <w:vMerge/>
            <w:tcBorders>
              <w:top w:val="nil"/>
            </w:tcBorders>
          </w:tcPr>
          <w:p>
            <w:pPr>
              <w:rPr>
                <w:sz w:val="2"/>
                <w:szCs w:val="2"/>
              </w:rPr>
            </w:pPr>
          </w:p>
        </w:tc>
      </w:tr>
      <w:tr>
        <w:trPr>
          <w:trHeight w:val="469" w:hRule="atLeast"/>
        </w:trPr>
        <w:tc>
          <w:tcPr>
            <w:tcW w:w="2177" w:type="dxa"/>
            <w:vMerge w:val="restart"/>
          </w:tcPr>
          <w:p>
            <w:pPr>
              <w:pStyle w:val="TableParagraph"/>
              <w:spacing w:before="15"/>
              <w:ind w:left="78"/>
              <w:rPr>
                <w:b/>
                <w:sz w:val="16"/>
              </w:rPr>
            </w:pPr>
            <w:r>
              <w:rPr>
                <w:b/>
                <w:sz w:val="16"/>
              </w:rPr>
              <w:t>I1b:</w:t>
            </w:r>
          </w:p>
          <w:p>
            <w:pPr>
              <w:pStyle w:val="TableParagraph"/>
              <w:spacing w:before="1"/>
              <w:ind w:left="78" w:right="71"/>
              <w:rPr>
                <w:sz w:val="16"/>
              </w:rPr>
            </w:pPr>
            <w:r>
              <w:rPr>
                <w:b/>
                <w:sz w:val="16"/>
              </w:rPr>
              <w:t>V3P3A + V3P3SYS </w:t>
            </w:r>
            <w:r>
              <w:rPr>
                <w:sz w:val="16"/>
              </w:rPr>
              <w:t>current, Normal Operation </w:t>
            </w:r>
            <w:r>
              <w:rPr>
                <w:rFonts w:ascii="Times New Roman"/>
                <w:i/>
                <w:sz w:val="16"/>
              </w:rPr>
              <w:t>PLL_FAST</w:t>
            </w:r>
            <w:r>
              <w:rPr>
                <w:sz w:val="16"/>
              </w:rPr>
              <w:t>=0</w:t>
            </w:r>
          </w:p>
        </w:tc>
        <w:tc>
          <w:tcPr>
            <w:tcW w:w="3547" w:type="dxa"/>
            <w:vMerge w:val="restart"/>
          </w:tcPr>
          <w:p>
            <w:pPr>
              <w:pStyle w:val="TableParagraph"/>
              <w:rPr>
                <w:b/>
                <w:sz w:val="18"/>
              </w:rPr>
            </w:pPr>
          </w:p>
          <w:p>
            <w:pPr>
              <w:pStyle w:val="TableParagraph"/>
              <w:spacing w:before="2"/>
              <w:rPr>
                <w:b/>
                <w:sz w:val="15"/>
              </w:rPr>
            </w:pPr>
          </w:p>
          <w:p>
            <w:pPr>
              <w:pStyle w:val="TableParagraph"/>
              <w:spacing w:before="1"/>
              <w:ind w:left="78"/>
              <w:rPr>
                <w:sz w:val="16"/>
              </w:rPr>
            </w:pPr>
            <w:r>
              <w:rPr>
                <w:sz w:val="16"/>
              </w:rPr>
              <w:t>Same as I1, except </w:t>
            </w:r>
            <w:r>
              <w:rPr>
                <w:rFonts w:ascii="Times New Roman"/>
                <w:i/>
                <w:sz w:val="16"/>
              </w:rPr>
              <w:t>PLL_FAST</w:t>
            </w:r>
            <w:r>
              <w:rPr>
                <w:sz w:val="16"/>
              </w:rPr>
              <w:t>=0</w:t>
            </w:r>
          </w:p>
        </w:tc>
        <w:tc>
          <w:tcPr>
            <w:tcW w:w="1293" w:type="dxa"/>
          </w:tcPr>
          <w:p>
            <w:pPr>
              <w:pStyle w:val="TableParagraph"/>
              <w:spacing w:before="140"/>
              <w:ind w:left="38" w:right="22"/>
              <w:jc w:val="center"/>
              <w:rPr>
                <w:sz w:val="16"/>
              </w:rPr>
            </w:pPr>
            <w:r>
              <w:rPr>
                <w:sz w:val="16"/>
              </w:rPr>
              <w:t>71M6543F</w:t>
            </w:r>
          </w:p>
        </w:tc>
        <w:tc>
          <w:tcPr>
            <w:tcW w:w="609" w:type="dxa"/>
          </w:tcPr>
          <w:p>
            <w:pPr>
              <w:pStyle w:val="TableParagraph"/>
              <w:rPr>
                <w:rFonts w:ascii="Times New Roman"/>
                <w:sz w:val="16"/>
              </w:rPr>
            </w:pPr>
          </w:p>
        </w:tc>
        <w:tc>
          <w:tcPr>
            <w:tcW w:w="609" w:type="dxa"/>
          </w:tcPr>
          <w:p>
            <w:pPr>
              <w:pStyle w:val="TableParagraph"/>
              <w:spacing w:before="140"/>
              <w:ind w:left="202"/>
              <w:rPr>
                <w:sz w:val="16"/>
              </w:rPr>
            </w:pPr>
            <w:r>
              <w:rPr>
                <w:sz w:val="16"/>
              </w:rPr>
              <w:t>2.9</w:t>
            </w:r>
          </w:p>
        </w:tc>
        <w:tc>
          <w:tcPr>
            <w:tcW w:w="635" w:type="dxa"/>
          </w:tcPr>
          <w:p>
            <w:pPr>
              <w:pStyle w:val="TableParagraph"/>
              <w:spacing w:before="140"/>
              <w:ind w:left="153" w:right="105"/>
              <w:jc w:val="center"/>
              <w:rPr>
                <w:sz w:val="16"/>
              </w:rPr>
            </w:pPr>
            <w:r>
              <w:rPr>
                <w:sz w:val="16"/>
              </w:rPr>
              <w:t>3.8</w:t>
            </w:r>
          </w:p>
        </w:tc>
        <w:tc>
          <w:tcPr>
            <w:tcW w:w="625" w:type="dxa"/>
            <w:vMerge w:val="restart"/>
          </w:tcPr>
          <w:p>
            <w:pPr>
              <w:pStyle w:val="TableParagraph"/>
              <w:rPr>
                <w:b/>
                <w:sz w:val="18"/>
              </w:rPr>
            </w:pPr>
          </w:p>
          <w:p>
            <w:pPr>
              <w:pStyle w:val="TableParagraph"/>
              <w:spacing w:before="5"/>
              <w:rPr>
                <w:b/>
                <w:sz w:val="15"/>
              </w:rPr>
            </w:pPr>
          </w:p>
          <w:p>
            <w:pPr>
              <w:pStyle w:val="TableParagraph"/>
              <w:ind w:left="206"/>
              <w:rPr>
                <w:sz w:val="16"/>
              </w:rPr>
            </w:pPr>
            <w:r>
              <w:rPr>
                <w:sz w:val="16"/>
              </w:rPr>
              <w:t>mA</w:t>
            </w:r>
          </w:p>
        </w:tc>
      </w:tr>
      <w:tr>
        <w:trPr>
          <w:trHeight w:val="472" w:hRule="atLeast"/>
        </w:trPr>
        <w:tc>
          <w:tcPr>
            <w:tcW w:w="2177" w:type="dxa"/>
            <w:vMerge/>
            <w:tcBorders>
              <w:top w:val="nil"/>
            </w:tcBorders>
          </w:tcPr>
          <w:p>
            <w:pPr>
              <w:rPr>
                <w:sz w:val="2"/>
                <w:szCs w:val="2"/>
              </w:rPr>
            </w:pPr>
          </w:p>
        </w:tc>
        <w:tc>
          <w:tcPr>
            <w:tcW w:w="3547" w:type="dxa"/>
            <w:vMerge/>
            <w:tcBorders>
              <w:top w:val="nil"/>
            </w:tcBorders>
          </w:tcPr>
          <w:p>
            <w:pPr>
              <w:rPr>
                <w:sz w:val="2"/>
                <w:szCs w:val="2"/>
              </w:rPr>
            </w:pPr>
          </w:p>
        </w:tc>
        <w:tc>
          <w:tcPr>
            <w:tcW w:w="1293" w:type="dxa"/>
          </w:tcPr>
          <w:p>
            <w:pPr>
              <w:pStyle w:val="TableParagraph"/>
              <w:spacing w:before="140"/>
              <w:ind w:left="38" w:right="24"/>
              <w:jc w:val="center"/>
              <w:rPr>
                <w:sz w:val="16"/>
              </w:rPr>
            </w:pPr>
            <w:r>
              <w:rPr>
                <w:sz w:val="16"/>
              </w:rPr>
              <w:t>71M6543G</w:t>
            </w:r>
          </w:p>
        </w:tc>
        <w:tc>
          <w:tcPr>
            <w:tcW w:w="609" w:type="dxa"/>
          </w:tcPr>
          <w:p>
            <w:pPr>
              <w:pStyle w:val="TableParagraph"/>
              <w:rPr>
                <w:rFonts w:ascii="Times New Roman"/>
                <w:sz w:val="16"/>
              </w:rPr>
            </w:pPr>
          </w:p>
        </w:tc>
        <w:tc>
          <w:tcPr>
            <w:tcW w:w="609" w:type="dxa"/>
          </w:tcPr>
          <w:p>
            <w:pPr>
              <w:pStyle w:val="TableParagraph"/>
              <w:spacing w:before="140"/>
              <w:ind w:left="202"/>
              <w:rPr>
                <w:sz w:val="16"/>
              </w:rPr>
            </w:pPr>
            <w:r>
              <w:rPr>
                <w:sz w:val="16"/>
              </w:rPr>
              <w:t>3.0</w:t>
            </w:r>
          </w:p>
        </w:tc>
        <w:tc>
          <w:tcPr>
            <w:tcW w:w="635" w:type="dxa"/>
          </w:tcPr>
          <w:p>
            <w:pPr>
              <w:pStyle w:val="TableParagraph"/>
              <w:spacing w:before="140"/>
              <w:ind w:left="153" w:right="105"/>
              <w:jc w:val="center"/>
              <w:rPr>
                <w:sz w:val="16"/>
              </w:rPr>
            </w:pPr>
            <w:r>
              <w:rPr>
                <w:sz w:val="16"/>
              </w:rPr>
              <w:t>3.9</w:t>
            </w:r>
          </w:p>
        </w:tc>
        <w:tc>
          <w:tcPr>
            <w:tcW w:w="625" w:type="dxa"/>
            <w:vMerge/>
            <w:tcBorders>
              <w:top w:val="nil"/>
            </w:tcBorders>
          </w:tcPr>
          <w:p>
            <w:pPr>
              <w:rPr>
                <w:sz w:val="2"/>
                <w:szCs w:val="2"/>
              </w:rPr>
            </w:pPr>
          </w:p>
        </w:tc>
      </w:tr>
      <w:tr>
        <w:trPr>
          <w:trHeight w:val="378" w:hRule="atLeast"/>
        </w:trPr>
        <w:tc>
          <w:tcPr>
            <w:tcW w:w="2177" w:type="dxa"/>
            <w:vMerge w:val="restart"/>
          </w:tcPr>
          <w:p>
            <w:pPr>
              <w:pStyle w:val="TableParagraph"/>
              <w:spacing w:line="183" w:lineRule="exact" w:before="15"/>
              <w:ind w:left="78"/>
              <w:rPr>
                <w:b/>
                <w:sz w:val="16"/>
              </w:rPr>
            </w:pPr>
            <w:r>
              <w:rPr>
                <w:b/>
                <w:sz w:val="16"/>
              </w:rPr>
              <w:t>I1c:</w:t>
            </w:r>
          </w:p>
          <w:p>
            <w:pPr>
              <w:pStyle w:val="TableParagraph"/>
              <w:spacing w:line="244" w:lineRule="auto"/>
              <w:ind w:left="78" w:right="71"/>
              <w:rPr>
                <w:sz w:val="16"/>
              </w:rPr>
            </w:pPr>
            <w:r>
              <w:rPr>
                <w:b/>
                <w:sz w:val="16"/>
              </w:rPr>
              <w:t>V3P3A + V3P3SYS </w:t>
            </w:r>
            <w:r>
              <w:rPr>
                <w:sz w:val="16"/>
              </w:rPr>
              <w:t>current, Normal Operation</w:t>
            </w:r>
          </w:p>
          <w:p>
            <w:pPr>
              <w:pStyle w:val="TableParagraph"/>
              <w:spacing w:line="179" w:lineRule="exact"/>
              <w:ind w:left="78"/>
              <w:rPr>
                <w:sz w:val="16"/>
              </w:rPr>
            </w:pPr>
            <w:r>
              <w:rPr>
                <w:rFonts w:ascii="Times New Roman"/>
                <w:i/>
                <w:sz w:val="16"/>
              </w:rPr>
              <w:t>PRE_E</w:t>
            </w:r>
            <w:r>
              <w:rPr>
                <w:sz w:val="16"/>
              </w:rPr>
              <w:t>=1</w:t>
            </w:r>
          </w:p>
        </w:tc>
        <w:tc>
          <w:tcPr>
            <w:tcW w:w="3547" w:type="dxa"/>
            <w:vMerge w:val="restart"/>
          </w:tcPr>
          <w:p>
            <w:pPr>
              <w:pStyle w:val="TableParagraph"/>
              <w:spacing w:before="3"/>
              <w:rPr>
                <w:b/>
                <w:sz w:val="25"/>
              </w:rPr>
            </w:pPr>
          </w:p>
          <w:p>
            <w:pPr>
              <w:pStyle w:val="TableParagraph"/>
              <w:ind w:left="78"/>
              <w:rPr>
                <w:sz w:val="16"/>
              </w:rPr>
            </w:pPr>
            <w:r>
              <w:rPr>
                <w:sz w:val="16"/>
              </w:rPr>
              <w:t>Same as I1, except </w:t>
            </w:r>
            <w:r>
              <w:rPr>
                <w:rFonts w:ascii="Times New Roman"/>
                <w:i/>
                <w:sz w:val="16"/>
              </w:rPr>
              <w:t>PRE_E</w:t>
            </w:r>
            <w:r>
              <w:rPr>
                <w:sz w:val="16"/>
              </w:rPr>
              <w:t>=1</w:t>
            </w:r>
          </w:p>
        </w:tc>
        <w:tc>
          <w:tcPr>
            <w:tcW w:w="1293" w:type="dxa"/>
          </w:tcPr>
          <w:p>
            <w:pPr>
              <w:pStyle w:val="TableParagraph"/>
              <w:spacing w:before="94"/>
              <w:ind w:left="38" w:right="22"/>
              <w:jc w:val="center"/>
              <w:rPr>
                <w:sz w:val="16"/>
              </w:rPr>
            </w:pPr>
            <w:r>
              <w:rPr>
                <w:sz w:val="16"/>
              </w:rPr>
              <w:t>71M6543F</w:t>
            </w:r>
          </w:p>
        </w:tc>
        <w:tc>
          <w:tcPr>
            <w:tcW w:w="609" w:type="dxa"/>
          </w:tcPr>
          <w:p>
            <w:pPr>
              <w:pStyle w:val="TableParagraph"/>
              <w:rPr>
                <w:rFonts w:ascii="Times New Roman"/>
                <w:sz w:val="16"/>
              </w:rPr>
            </w:pPr>
          </w:p>
        </w:tc>
        <w:tc>
          <w:tcPr>
            <w:tcW w:w="609" w:type="dxa"/>
          </w:tcPr>
          <w:p>
            <w:pPr>
              <w:pStyle w:val="TableParagraph"/>
              <w:spacing w:before="94"/>
              <w:ind w:left="202"/>
              <w:rPr>
                <w:sz w:val="16"/>
              </w:rPr>
            </w:pPr>
            <w:r>
              <w:rPr>
                <w:sz w:val="16"/>
              </w:rPr>
              <w:t>7.3</w:t>
            </w:r>
          </w:p>
        </w:tc>
        <w:tc>
          <w:tcPr>
            <w:tcW w:w="635" w:type="dxa"/>
          </w:tcPr>
          <w:p>
            <w:pPr>
              <w:pStyle w:val="TableParagraph"/>
              <w:spacing w:before="94"/>
              <w:ind w:left="153" w:right="105"/>
              <w:jc w:val="center"/>
              <w:rPr>
                <w:sz w:val="16"/>
              </w:rPr>
            </w:pPr>
            <w:r>
              <w:rPr>
                <w:sz w:val="16"/>
              </w:rPr>
              <w:t>8.7</w:t>
            </w:r>
          </w:p>
        </w:tc>
        <w:tc>
          <w:tcPr>
            <w:tcW w:w="625" w:type="dxa"/>
            <w:vMerge w:val="restart"/>
          </w:tcPr>
          <w:p>
            <w:pPr>
              <w:pStyle w:val="TableParagraph"/>
              <w:spacing w:before="6"/>
              <w:rPr>
                <w:b/>
                <w:sz w:val="25"/>
              </w:rPr>
            </w:pPr>
          </w:p>
          <w:p>
            <w:pPr>
              <w:pStyle w:val="TableParagraph"/>
              <w:ind w:left="206"/>
              <w:rPr>
                <w:sz w:val="16"/>
              </w:rPr>
            </w:pPr>
            <w:r>
              <w:rPr>
                <w:sz w:val="16"/>
              </w:rPr>
              <w:t>mA</w:t>
            </w:r>
          </w:p>
        </w:tc>
      </w:tr>
      <w:tr>
        <w:trPr>
          <w:trHeight w:val="378" w:hRule="atLeast"/>
        </w:trPr>
        <w:tc>
          <w:tcPr>
            <w:tcW w:w="2177" w:type="dxa"/>
            <w:vMerge/>
            <w:tcBorders>
              <w:top w:val="nil"/>
            </w:tcBorders>
          </w:tcPr>
          <w:p>
            <w:pPr>
              <w:rPr>
                <w:sz w:val="2"/>
                <w:szCs w:val="2"/>
              </w:rPr>
            </w:pPr>
          </w:p>
        </w:tc>
        <w:tc>
          <w:tcPr>
            <w:tcW w:w="3547" w:type="dxa"/>
            <w:vMerge/>
            <w:tcBorders>
              <w:top w:val="nil"/>
            </w:tcBorders>
          </w:tcPr>
          <w:p>
            <w:pPr>
              <w:rPr>
                <w:sz w:val="2"/>
                <w:szCs w:val="2"/>
              </w:rPr>
            </w:pPr>
          </w:p>
        </w:tc>
        <w:tc>
          <w:tcPr>
            <w:tcW w:w="1293" w:type="dxa"/>
          </w:tcPr>
          <w:p>
            <w:pPr>
              <w:pStyle w:val="TableParagraph"/>
              <w:spacing w:before="94"/>
              <w:ind w:left="38" w:right="24"/>
              <w:jc w:val="center"/>
              <w:rPr>
                <w:sz w:val="16"/>
              </w:rPr>
            </w:pPr>
            <w:r>
              <w:rPr>
                <w:sz w:val="16"/>
              </w:rPr>
              <w:t>71M6543G</w:t>
            </w:r>
          </w:p>
        </w:tc>
        <w:tc>
          <w:tcPr>
            <w:tcW w:w="609" w:type="dxa"/>
          </w:tcPr>
          <w:p>
            <w:pPr>
              <w:pStyle w:val="TableParagraph"/>
              <w:rPr>
                <w:rFonts w:ascii="Times New Roman"/>
                <w:sz w:val="16"/>
              </w:rPr>
            </w:pPr>
          </w:p>
        </w:tc>
        <w:tc>
          <w:tcPr>
            <w:tcW w:w="609" w:type="dxa"/>
          </w:tcPr>
          <w:p>
            <w:pPr>
              <w:pStyle w:val="TableParagraph"/>
              <w:spacing w:before="94"/>
              <w:ind w:left="202"/>
              <w:rPr>
                <w:sz w:val="16"/>
              </w:rPr>
            </w:pPr>
            <w:r>
              <w:rPr>
                <w:sz w:val="16"/>
              </w:rPr>
              <w:t>7.7</w:t>
            </w:r>
          </w:p>
        </w:tc>
        <w:tc>
          <w:tcPr>
            <w:tcW w:w="635" w:type="dxa"/>
          </w:tcPr>
          <w:p>
            <w:pPr>
              <w:pStyle w:val="TableParagraph"/>
              <w:spacing w:before="94"/>
              <w:ind w:left="153" w:right="105"/>
              <w:jc w:val="center"/>
              <w:rPr>
                <w:sz w:val="16"/>
              </w:rPr>
            </w:pPr>
            <w:r>
              <w:rPr>
                <w:sz w:val="16"/>
              </w:rPr>
              <w:t>9.1</w:t>
            </w:r>
          </w:p>
        </w:tc>
        <w:tc>
          <w:tcPr>
            <w:tcW w:w="625" w:type="dxa"/>
            <w:vMerge/>
            <w:tcBorders>
              <w:top w:val="nil"/>
            </w:tcBorders>
          </w:tcPr>
          <w:p>
            <w:pPr>
              <w:rPr>
                <w:sz w:val="2"/>
                <w:szCs w:val="2"/>
              </w:rPr>
            </w:pPr>
          </w:p>
        </w:tc>
      </w:tr>
      <w:tr>
        <w:trPr>
          <w:trHeight w:val="374" w:hRule="atLeast"/>
        </w:trPr>
        <w:tc>
          <w:tcPr>
            <w:tcW w:w="2177" w:type="dxa"/>
            <w:tcBorders>
              <w:bottom w:val="nil"/>
            </w:tcBorders>
          </w:tcPr>
          <w:p>
            <w:pPr>
              <w:pStyle w:val="TableParagraph"/>
              <w:spacing w:line="183" w:lineRule="exact" w:before="15"/>
              <w:ind w:left="78"/>
              <w:rPr>
                <w:b/>
                <w:sz w:val="16"/>
              </w:rPr>
            </w:pPr>
            <w:r>
              <w:rPr>
                <w:b/>
                <w:sz w:val="16"/>
              </w:rPr>
              <w:t>I1d:</w:t>
            </w:r>
          </w:p>
          <w:p>
            <w:pPr>
              <w:pStyle w:val="TableParagraph"/>
              <w:spacing w:line="156" w:lineRule="exact"/>
              <w:ind w:left="78"/>
              <w:rPr>
                <w:sz w:val="16"/>
              </w:rPr>
            </w:pPr>
            <w:r>
              <w:rPr>
                <w:b/>
                <w:sz w:val="16"/>
              </w:rPr>
              <w:t>V3P3A + V3P3SYS </w:t>
            </w:r>
            <w:r>
              <w:rPr>
                <w:sz w:val="16"/>
              </w:rPr>
              <w:t>current,</w:t>
            </w:r>
          </w:p>
        </w:tc>
        <w:tc>
          <w:tcPr>
            <w:tcW w:w="3547" w:type="dxa"/>
            <w:tcBorders>
              <w:bottom w:val="nil"/>
            </w:tcBorders>
          </w:tcPr>
          <w:p>
            <w:pPr>
              <w:pStyle w:val="TableParagraph"/>
              <w:rPr>
                <w:rFonts w:ascii="Times New Roman"/>
                <w:sz w:val="16"/>
              </w:rPr>
            </w:pPr>
          </w:p>
        </w:tc>
        <w:tc>
          <w:tcPr>
            <w:tcW w:w="1293" w:type="dxa"/>
            <w:tcBorders>
              <w:bottom w:val="nil"/>
            </w:tcBorders>
          </w:tcPr>
          <w:p>
            <w:pPr>
              <w:pStyle w:val="TableParagraph"/>
              <w:spacing w:before="1"/>
              <w:rPr>
                <w:b/>
                <w:sz w:val="16"/>
              </w:rPr>
            </w:pPr>
          </w:p>
          <w:p>
            <w:pPr>
              <w:pStyle w:val="TableParagraph"/>
              <w:spacing w:line="169" w:lineRule="exact"/>
              <w:ind w:left="38" w:right="22"/>
              <w:jc w:val="center"/>
              <w:rPr>
                <w:sz w:val="16"/>
              </w:rPr>
            </w:pPr>
            <w:r>
              <w:rPr>
                <w:sz w:val="16"/>
              </w:rPr>
              <w:t>71M6543F</w:t>
            </w:r>
          </w:p>
        </w:tc>
        <w:tc>
          <w:tcPr>
            <w:tcW w:w="609" w:type="dxa"/>
            <w:vMerge w:val="restart"/>
          </w:tcPr>
          <w:p>
            <w:pPr>
              <w:pStyle w:val="TableParagraph"/>
              <w:rPr>
                <w:rFonts w:ascii="Times New Roman"/>
                <w:sz w:val="16"/>
              </w:rPr>
            </w:pPr>
          </w:p>
        </w:tc>
        <w:tc>
          <w:tcPr>
            <w:tcW w:w="609" w:type="dxa"/>
            <w:tcBorders>
              <w:bottom w:val="nil"/>
            </w:tcBorders>
          </w:tcPr>
          <w:p>
            <w:pPr>
              <w:pStyle w:val="TableParagraph"/>
              <w:spacing w:before="1"/>
              <w:rPr>
                <w:b/>
                <w:sz w:val="16"/>
              </w:rPr>
            </w:pPr>
          </w:p>
          <w:p>
            <w:pPr>
              <w:pStyle w:val="TableParagraph"/>
              <w:spacing w:line="169" w:lineRule="exact"/>
              <w:ind w:left="202"/>
              <w:rPr>
                <w:sz w:val="16"/>
              </w:rPr>
            </w:pPr>
            <w:r>
              <w:rPr>
                <w:sz w:val="16"/>
              </w:rPr>
              <w:t>6.5</w:t>
            </w:r>
          </w:p>
        </w:tc>
        <w:tc>
          <w:tcPr>
            <w:tcW w:w="635" w:type="dxa"/>
            <w:tcBorders>
              <w:bottom w:val="nil"/>
            </w:tcBorders>
          </w:tcPr>
          <w:p>
            <w:pPr>
              <w:pStyle w:val="TableParagraph"/>
              <w:spacing w:before="1"/>
              <w:rPr>
                <w:b/>
                <w:sz w:val="16"/>
              </w:rPr>
            </w:pPr>
          </w:p>
          <w:p>
            <w:pPr>
              <w:pStyle w:val="TableParagraph"/>
              <w:spacing w:line="169" w:lineRule="exact"/>
              <w:ind w:left="153" w:right="105"/>
              <w:jc w:val="center"/>
              <w:rPr>
                <w:sz w:val="16"/>
              </w:rPr>
            </w:pPr>
            <w:r>
              <w:rPr>
                <w:sz w:val="16"/>
              </w:rPr>
              <w:t>7.5</w:t>
            </w:r>
          </w:p>
        </w:tc>
        <w:tc>
          <w:tcPr>
            <w:tcW w:w="625" w:type="dxa"/>
            <w:tcBorders>
              <w:bottom w:val="nil"/>
            </w:tcBorders>
          </w:tcPr>
          <w:p>
            <w:pPr>
              <w:pStyle w:val="TableParagraph"/>
              <w:rPr>
                <w:rFonts w:ascii="Times New Roman"/>
                <w:sz w:val="16"/>
              </w:rPr>
            </w:pPr>
          </w:p>
        </w:tc>
      </w:tr>
      <w:tr>
        <w:trPr>
          <w:trHeight w:val="166" w:hRule="atLeast"/>
        </w:trPr>
        <w:tc>
          <w:tcPr>
            <w:tcW w:w="2177" w:type="dxa"/>
            <w:vMerge w:val="restart"/>
            <w:tcBorders>
              <w:top w:val="nil"/>
              <w:bottom w:val="nil"/>
            </w:tcBorders>
          </w:tcPr>
          <w:p>
            <w:pPr>
              <w:pStyle w:val="TableParagraph"/>
              <w:spacing w:line="174" w:lineRule="exact"/>
              <w:ind w:left="78"/>
              <w:rPr>
                <w:sz w:val="16"/>
              </w:rPr>
            </w:pPr>
            <w:r>
              <w:rPr>
                <w:sz w:val="16"/>
              </w:rPr>
              <w:t>Normal Operation</w:t>
            </w:r>
          </w:p>
          <w:p>
            <w:pPr>
              <w:pStyle w:val="TableParagraph"/>
              <w:spacing w:line="156" w:lineRule="exact"/>
              <w:ind w:left="78"/>
              <w:rPr>
                <w:sz w:val="16"/>
              </w:rPr>
            </w:pPr>
            <w:r>
              <w:rPr>
                <w:rFonts w:ascii="Times New Roman"/>
                <w:i/>
                <w:sz w:val="16"/>
              </w:rPr>
              <w:t>PRE_E</w:t>
            </w:r>
            <w:r>
              <w:rPr>
                <w:sz w:val="16"/>
              </w:rPr>
              <w:t>=1, </w:t>
            </w:r>
            <w:r>
              <w:rPr>
                <w:rFonts w:ascii="Times New Roman"/>
                <w:i/>
                <w:sz w:val="16"/>
              </w:rPr>
              <w:t>ADC_DIV</w:t>
            </w:r>
            <w:r>
              <w:rPr>
                <w:sz w:val="16"/>
              </w:rPr>
              <w:t>=1,</w:t>
            </w:r>
          </w:p>
        </w:tc>
        <w:tc>
          <w:tcPr>
            <w:tcW w:w="3547" w:type="dxa"/>
            <w:vMerge w:val="restart"/>
            <w:tcBorders>
              <w:top w:val="nil"/>
              <w:bottom w:val="nil"/>
            </w:tcBorders>
          </w:tcPr>
          <w:p>
            <w:pPr>
              <w:pStyle w:val="TableParagraph"/>
              <w:spacing w:line="173" w:lineRule="exact"/>
              <w:ind w:left="78"/>
              <w:rPr>
                <w:sz w:val="16"/>
              </w:rPr>
            </w:pPr>
            <w:r>
              <w:rPr>
                <w:sz w:val="16"/>
              </w:rPr>
              <w:t>Same as I1, except </w:t>
            </w:r>
            <w:r>
              <w:rPr>
                <w:rFonts w:ascii="Times New Roman"/>
                <w:i/>
                <w:sz w:val="16"/>
              </w:rPr>
              <w:t>PRE_E</w:t>
            </w:r>
            <w:r>
              <w:rPr>
                <w:sz w:val="16"/>
              </w:rPr>
              <w:t>=1, </w:t>
            </w:r>
            <w:r>
              <w:rPr>
                <w:rFonts w:ascii="Times New Roman"/>
                <w:i/>
                <w:sz w:val="16"/>
              </w:rPr>
              <w:t>ADC_DIV</w:t>
            </w:r>
            <w:r>
              <w:rPr>
                <w:sz w:val="16"/>
              </w:rPr>
              <w:t>=1,</w:t>
            </w:r>
          </w:p>
          <w:p>
            <w:pPr>
              <w:pStyle w:val="TableParagraph"/>
              <w:spacing w:line="157" w:lineRule="exact"/>
              <w:ind w:left="78"/>
              <w:rPr>
                <w:sz w:val="16"/>
              </w:rPr>
            </w:pPr>
            <w:r>
              <w:rPr>
                <w:rFonts w:ascii="Times New Roman"/>
                <w:i/>
                <w:sz w:val="16"/>
              </w:rPr>
              <w:t>FIR_LEN</w:t>
            </w:r>
            <w:r>
              <w:rPr>
                <w:sz w:val="16"/>
              </w:rPr>
              <w:t>=0.</w:t>
            </w:r>
          </w:p>
        </w:tc>
        <w:tc>
          <w:tcPr>
            <w:tcW w:w="1293" w:type="dxa"/>
            <w:tcBorders>
              <w:top w:val="nil"/>
            </w:tcBorders>
          </w:tcPr>
          <w:p>
            <w:pPr>
              <w:pStyle w:val="TableParagraph"/>
              <w:rPr>
                <w:rFonts w:ascii="Times New Roman"/>
                <w:sz w:val="10"/>
              </w:rPr>
            </w:pPr>
          </w:p>
        </w:tc>
        <w:tc>
          <w:tcPr>
            <w:tcW w:w="609" w:type="dxa"/>
            <w:vMerge/>
            <w:tcBorders>
              <w:top w:val="nil"/>
            </w:tcBorders>
          </w:tcPr>
          <w:p>
            <w:pPr>
              <w:rPr>
                <w:sz w:val="2"/>
                <w:szCs w:val="2"/>
              </w:rPr>
            </w:pPr>
          </w:p>
        </w:tc>
        <w:tc>
          <w:tcPr>
            <w:tcW w:w="609" w:type="dxa"/>
            <w:tcBorders>
              <w:top w:val="nil"/>
            </w:tcBorders>
          </w:tcPr>
          <w:p>
            <w:pPr>
              <w:pStyle w:val="TableParagraph"/>
              <w:rPr>
                <w:rFonts w:ascii="Times New Roman"/>
                <w:sz w:val="10"/>
              </w:rPr>
            </w:pPr>
          </w:p>
        </w:tc>
        <w:tc>
          <w:tcPr>
            <w:tcW w:w="635" w:type="dxa"/>
            <w:tcBorders>
              <w:top w:val="nil"/>
            </w:tcBorders>
          </w:tcPr>
          <w:p>
            <w:pPr>
              <w:pStyle w:val="TableParagraph"/>
              <w:rPr>
                <w:rFonts w:ascii="Times New Roman"/>
                <w:sz w:val="10"/>
              </w:rPr>
            </w:pPr>
          </w:p>
        </w:tc>
        <w:tc>
          <w:tcPr>
            <w:tcW w:w="625" w:type="dxa"/>
            <w:vMerge w:val="restart"/>
            <w:tcBorders>
              <w:top w:val="nil"/>
              <w:bottom w:val="nil"/>
            </w:tcBorders>
          </w:tcPr>
          <w:p>
            <w:pPr>
              <w:pStyle w:val="TableParagraph"/>
              <w:spacing w:before="84"/>
              <w:ind w:left="206"/>
              <w:rPr>
                <w:sz w:val="16"/>
              </w:rPr>
            </w:pPr>
            <w:r>
              <w:rPr>
                <w:sz w:val="16"/>
              </w:rPr>
              <w:t>mA</w:t>
            </w:r>
          </w:p>
        </w:tc>
      </w:tr>
      <w:tr>
        <w:trPr>
          <w:trHeight w:val="163" w:hRule="atLeast"/>
        </w:trPr>
        <w:tc>
          <w:tcPr>
            <w:tcW w:w="2177" w:type="dxa"/>
            <w:vMerge/>
            <w:tcBorders>
              <w:top w:val="nil"/>
              <w:bottom w:val="nil"/>
            </w:tcBorders>
          </w:tcPr>
          <w:p>
            <w:pPr>
              <w:rPr>
                <w:sz w:val="2"/>
                <w:szCs w:val="2"/>
              </w:rPr>
            </w:pPr>
          </w:p>
        </w:tc>
        <w:tc>
          <w:tcPr>
            <w:tcW w:w="3547" w:type="dxa"/>
            <w:vMerge/>
            <w:tcBorders>
              <w:top w:val="nil"/>
              <w:bottom w:val="nil"/>
            </w:tcBorders>
          </w:tcPr>
          <w:p>
            <w:pPr>
              <w:rPr>
                <w:sz w:val="2"/>
                <w:szCs w:val="2"/>
              </w:rPr>
            </w:pPr>
          </w:p>
        </w:tc>
        <w:tc>
          <w:tcPr>
            <w:tcW w:w="1293" w:type="dxa"/>
            <w:tcBorders>
              <w:bottom w:val="nil"/>
            </w:tcBorders>
          </w:tcPr>
          <w:p>
            <w:pPr>
              <w:pStyle w:val="TableParagraph"/>
              <w:rPr>
                <w:rFonts w:ascii="Times New Roman"/>
                <w:sz w:val="10"/>
              </w:rPr>
            </w:pPr>
          </w:p>
        </w:tc>
        <w:tc>
          <w:tcPr>
            <w:tcW w:w="609" w:type="dxa"/>
            <w:vMerge w:val="restart"/>
          </w:tcPr>
          <w:p>
            <w:pPr>
              <w:pStyle w:val="TableParagraph"/>
              <w:rPr>
                <w:rFonts w:ascii="Times New Roman"/>
                <w:sz w:val="16"/>
              </w:rPr>
            </w:pPr>
          </w:p>
        </w:tc>
        <w:tc>
          <w:tcPr>
            <w:tcW w:w="609" w:type="dxa"/>
            <w:tcBorders>
              <w:bottom w:val="nil"/>
            </w:tcBorders>
          </w:tcPr>
          <w:p>
            <w:pPr>
              <w:pStyle w:val="TableParagraph"/>
              <w:rPr>
                <w:rFonts w:ascii="Times New Roman"/>
                <w:sz w:val="10"/>
              </w:rPr>
            </w:pPr>
          </w:p>
        </w:tc>
        <w:tc>
          <w:tcPr>
            <w:tcW w:w="635" w:type="dxa"/>
            <w:tcBorders>
              <w:bottom w:val="nil"/>
            </w:tcBorders>
          </w:tcPr>
          <w:p>
            <w:pPr>
              <w:pStyle w:val="TableParagraph"/>
              <w:rPr>
                <w:rFonts w:ascii="Times New Roman"/>
                <w:sz w:val="10"/>
              </w:rPr>
            </w:pPr>
          </w:p>
        </w:tc>
        <w:tc>
          <w:tcPr>
            <w:tcW w:w="625" w:type="dxa"/>
            <w:vMerge/>
            <w:tcBorders>
              <w:top w:val="nil"/>
              <w:bottom w:val="nil"/>
            </w:tcBorders>
          </w:tcPr>
          <w:p>
            <w:pPr>
              <w:rPr>
                <w:sz w:val="2"/>
                <w:szCs w:val="2"/>
              </w:rPr>
            </w:pPr>
          </w:p>
        </w:tc>
      </w:tr>
      <w:tr>
        <w:trPr>
          <w:trHeight w:val="382" w:hRule="atLeast"/>
        </w:trPr>
        <w:tc>
          <w:tcPr>
            <w:tcW w:w="2177" w:type="dxa"/>
            <w:tcBorders>
              <w:top w:val="nil"/>
            </w:tcBorders>
          </w:tcPr>
          <w:p>
            <w:pPr>
              <w:pStyle w:val="TableParagraph"/>
              <w:spacing w:line="172" w:lineRule="exact"/>
              <w:ind w:left="78"/>
              <w:rPr>
                <w:sz w:val="16"/>
              </w:rPr>
            </w:pPr>
            <w:r>
              <w:rPr>
                <w:rFonts w:ascii="Times New Roman"/>
                <w:i/>
                <w:sz w:val="16"/>
              </w:rPr>
              <w:t>FIR_LEN</w:t>
            </w:r>
            <w:r>
              <w:rPr>
                <w:sz w:val="16"/>
              </w:rPr>
              <w:t>=0.</w:t>
            </w:r>
          </w:p>
          <w:p>
            <w:pPr>
              <w:pStyle w:val="TableParagraph"/>
              <w:spacing w:before="2"/>
              <w:ind w:left="78"/>
              <w:rPr>
                <w:sz w:val="16"/>
              </w:rPr>
            </w:pPr>
            <w:r>
              <w:rPr>
                <w:sz w:val="16"/>
              </w:rPr>
              <w:t>(see note</w:t>
            </w:r>
            <w:r>
              <w:rPr>
                <w:spacing w:val="-2"/>
                <w:sz w:val="16"/>
              </w:rPr>
              <w:t> </w:t>
            </w:r>
            <w:r>
              <w:rPr>
                <w:sz w:val="16"/>
              </w:rPr>
              <w:t>1)</w:t>
            </w:r>
          </w:p>
        </w:tc>
        <w:tc>
          <w:tcPr>
            <w:tcW w:w="3547" w:type="dxa"/>
            <w:tcBorders>
              <w:top w:val="nil"/>
            </w:tcBorders>
          </w:tcPr>
          <w:p>
            <w:pPr>
              <w:pStyle w:val="TableParagraph"/>
              <w:rPr>
                <w:rFonts w:ascii="Times New Roman"/>
                <w:sz w:val="16"/>
              </w:rPr>
            </w:pPr>
          </w:p>
        </w:tc>
        <w:tc>
          <w:tcPr>
            <w:tcW w:w="1293" w:type="dxa"/>
            <w:tcBorders>
              <w:top w:val="nil"/>
            </w:tcBorders>
          </w:tcPr>
          <w:p>
            <w:pPr>
              <w:pStyle w:val="TableParagraph"/>
              <w:spacing w:before="4"/>
              <w:ind w:left="38" w:right="24"/>
              <w:jc w:val="center"/>
              <w:rPr>
                <w:sz w:val="16"/>
              </w:rPr>
            </w:pPr>
            <w:r>
              <w:rPr>
                <w:sz w:val="16"/>
              </w:rPr>
              <w:t>71M6543G</w:t>
            </w:r>
          </w:p>
        </w:tc>
        <w:tc>
          <w:tcPr>
            <w:tcW w:w="609" w:type="dxa"/>
            <w:vMerge/>
            <w:tcBorders>
              <w:top w:val="nil"/>
            </w:tcBorders>
          </w:tcPr>
          <w:p>
            <w:pPr>
              <w:rPr>
                <w:sz w:val="2"/>
                <w:szCs w:val="2"/>
              </w:rPr>
            </w:pPr>
          </w:p>
        </w:tc>
        <w:tc>
          <w:tcPr>
            <w:tcW w:w="609" w:type="dxa"/>
            <w:tcBorders>
              <w:top w:val="nil"/>
            </w:tcBorders>
          </w:tcPr>
          <w:p>
            <w:pPr>
              <w:pStyle w:val="TableParagraph"/>
              <w:spacing w:before="4"/>
              <w:ind w:left="202"/>
              <w:rPr>
                <w:sz w:val="16"/>
              </w:rPr>
            </w:pPr>
            <w:r>
              <w:rPr>
                <w:sz w:val="16"/>
              </w:rPr>
              <w:t>6.9</w:t>
            </w:r>
          </w:p>
        </w:tc>
        <w:tc>
          <w:tcPr>
            <w:tcW w:w="635" w:type="dxa"/>
            <w:tcBorders>
              <w:top w:val="nil"/>
            </w:tcBorders>
          </w:tcPr>
          <w:p>
            <w:pPr>
              <w:pStyle w:val="TableParagraph"/>
              <w:spacing w:before="4"/>
              <w:ind w:left="153" w:right="105"/>
              <w:jc w:val="center"/>
              <w:rPr>
                <w:sz w:val="16"/>
              </w:rPr>
            </w:pPr>
            <w:r>
              <w:rPr>
                <w:sz w:val="16"/>
              </w:rPr>
              <w:t>7.9</w:t>
            </w:r>
          </w:p>
        </w:tc>
        <w:tc>
          <w:tcPr>
            <w:tcW w:w="625" w:type="dxa"/>
            <w:tcBorders>
              <w:top w:val="nil"/>
            </w:tcBorders>
          </w:tcPr>
          <w:p>
            <w:pPr>
              <w:pStyle w:val="TableParagraph"/>
              <w:rPr>
                <w:rFonts w:ascii="Times New Roman"/>
                <w:sz w:val="16"/>
              </w:rPr>
            </w:pPr>
          </w:p>
        </w:tc>
      </w:tr>
      <w:tr>
        <w:trPr>
          <w:trHeight w:val="469" w:hRule="atLeast"/>
        </w:trPr>
        <w:tc>
          <w:tcPr>
            <w:tcW w:w="2177" w:type="dxa"/>
            <w:vMerge w:val="restart"/>
          </w:tcPr>
          <w:p>
            <w:pPr>
              <w:pStyle w:val="TableParagraph"/>
              <w:spacing w:before="12"/>
              <w:ind w:left="78"/>
              <w:rPr>
                <w:b/>
                <w:sz w:val="16"/>
              </w:rPr>
            </w:pPr>
            <w:r>
              <w:rPr>
                <w:b/>
                <w:sz w:val="16"/>
              </w:rPr>
              <w:t>I1e:</w:t>
            </w:r>
          </w:p>
          <w:p>
            <w:pPr>
              <w:pStyle w:val="TableParagraph"/>
              <w:spacing w:before="1"/>
              <w:ind w:left="78" w:right="71"/>
              <w:rPr>
                <w:sz w:val="16"/>
              </w:rPr>
            </w:pPr>
            <w:r>
              <w:rPr>
                <w:b/>
                <w:sz w:val="16"/>
              </w:rPr>
              <w:t>V3P3A + V3P3SYS </w:t>
            </w:r>
            <w:r>
              <w:rPr>
                <w:sz w:val="16"/>
              </w:rPr>
              <w:t>current, Normal Operation </w:t>
            </w:r>
            <w:r>
              <w:rPr>
                <w:rFonts w:ascii="Times New Roman"/>
                <w:i/>
                <w:sz w:val="16"/>
              </w:rPr>
              <w:t>PLL_FAST</w:t>
            </w:r>
            <w:r>
              <w:rPr>
                <w:sz w:val="16"/>
              </w:rPr>
              <w:t>=0, </w:t>
            </w:r>
            <w:r>
              <w:rPr>
                <w:rFonts w:ascii="Times New Roman"/>
                <w:i/>
                <w:sz w:val="16"/>
              </w:rPr>
              <w:t>PRE_E</w:t>
            </w:r>
            <w:r>
              <w:rPr>
                <w:sz w:val="16"/>
              </w:rPr>
              <w:t>=1.</w:t>
            </w:r>
          </w:p>
          <w:p>
            <w:pPr>
              <w:pStyle w:val="TableParagraph"/>
              <w:spacing w:before="2"/>
              <w:ind w:left="78"/>
              <w:rPr>
                <w:sz w:val="16"/>
              </w:rPr>
            </w:pPr>
            <w:r>
              <w:rPr>
                <w:sz w:val="16"/>
              </w:rPr>
              <w:t>(see note 1)</w:t>
            </w:r>
          </w:p>
        </w:tc>
        <w:tc>
          <w:tcPr>
            <w:tcW w:w="3547" w:type="dxa"/>
            <w:vMerge w:val="restart"/>
          </w:tcPr>
          <w:p>
            <w:pPr>
              <w:pStyle w:val="TableParagraph"/>
              <w:rPr>
                <w:b/>
                <w:sz w:val="18"/>
              </w:rPr>
            </w:pPr>
          </w:p>
          <w:p>
            <w:pPr>
              <w:pStyle w:val="TableParagraph"/>
              <w:spacing w:before="2"/>
              <w:rPr>
                <w:b/>
                <w:sz w:val="15"/>
              </w:rPr>
            </w:pPr>
          </w:p>
          <w:p>
            <w:pPr>
              <w:pStyle w:val="TableParagraph"/>
              <w:spacing w:before="1"/>
              <w:ind w:left="78"/>
              <w:rPr>
                <w:sz w:val="16"/>
              </w:rPr>
            </w:pPr>
            <w:r>
              <w:rPr>
                <w:sz w:val="16"/>
              </w:rPr>
              <w:t>Same as I1, except </w:t>
            </w:r>
            <w:r>
              <w:rPr>
                <w:rFonts w:ascii="Times New Roman"/>
                <w:i/>
                <w:sz w:val="16"/>
              </w:rPr>
              <w:t>PRE_E</w:t>
            </w:r>
            <w:r>
              <w:rPr>
                <w:sz w:val="16"/>
              </w:rPr>
              <w:t>=1, </w:t>
            </w:r>
            <w:r>
              <w:rPr>
                <w:rFonts w:ascii="Times New Roman"/>
                <w:i/>
                <w:sz w:val="16"/>
              </w:rPr>
              <w:t>PLL_FAST</w:t>
            </w:r>
            <w:r>
              <w:rPr>
                <w:sz w:val="16"/>
              </w:rPr>
              <w:t>=0.</w:t>
            </w:r>
          </w:p>
        </w:tc>
        <w:tc>
          <w:tcPr>
            <w:tcW w:w="1293" w:type="dxa"/>
          </w:tcPr>
          <w:p>
            <w:pPr>
              <w:pStyle w:val="TableParagraph"/>
              <w:spacing w:before="137"/>
              <w:ind w:left="38" w:right="22"/>
              <w:jc w:val="center"/>
              <w:rPr>
                <w:sz w:val="16"/>
              </w:rPr>
            </w:pPr>
            <w:r>
              <w:rPr>
                <w:sz w:val="16"/>
              </w:rPr>
              <w:t>71M6543F</w:t>
            </w:r>
          </w:p>
        </w:tc>
        <w:tc>
          <w:tcPr>
            <w:tcW w:w="609" w:type="dxa"/>
          </w:tcPr>
          <w:p>
            <w:pPr>
              <w:pStyle w:val="TableParagraph"/>
              <w:rPr>
                <w:rFonts w:ascii="Times New Roman"/>
                <w:sz w:val="16"/>
              </w:rPr>
            </w:pPr>
          </w:p>
        </w:tc>
        <w:tc>
          <w:tcPr>
            <w:tcW w:w="609" w:type="dxa"/>
          </w:tcPr>
          <w:p>
            <w:pPr>
              <w:pStyle w:val="TableParagraph"/>
              <w:spacing w:before="137"/>
              <w:ind w:left="202"/>
              <w:rPr>
                <w:sz w:val="16"/>
              </w:rPr>
            </w:pPr>
            <w:r>
              <w:rPr>
                <w:sz w:val="16"/>
              </w:rPr>
              <w:t>3.0</w:t>
            </w:r>
          </w:p>
        </w:tc>
        <w:tc>
          <w:tcPr>
            <w:tcW w:w="635" w:type="dxa"/>
          </w:tcPr>
          <w:p>
            <w:pPr>
              <w:pStyle w:val="TableParagraph"/>
              <w:spacing w:before="137"/>
              <w:ind w:left="153" w:right="105"/>
              <w:jc w:val="center"/>
              <w:rPr>
                <w:sz w:val="16"/>
              </w:rPr>
            </w:pPr>
            <w:r>
              <w:rPr>
                <w:sz w:val="16"/>
              </w:rPr>
              <w:t>3.9</w:t>
            </w:r>
          </w:p>
        </w:tc>
        <w:tc>
          <w:tcPr>
            <w:tcW w:w="625" w:type="dxa"/>
            <w:vMerge w:val="restart"/>
          </w:tcPr>
          <w:p>
            <w:pPr>
              <w:pStyle w:val="TableParagraph"/>
              <w:rPr>
                <w:b/>
                <w:sz w:val="18"/>
              </w:rPr>
            </w:pPr>
          </w:p>
          <w:p>
            <w:pPr>
              <w:pStyle w:val="TableParagraph"/>
              <w:spacing w:before="5"/>
              <w:rPr>
                <w:b/>
                <w:sz w:val="15"/>
              </w:rPr>
            </w:pPr>
          </w:p>
          <w:p>
            <w:pPr>
              <w:pStyle w:val="TableParagraph"/>
              <w:ind w:left="206"/>
              <w:rPr>
                <w:sz w:val="16"/>
              </w:rPr>
            </w:pPr>
            <w:r>
              <w:rPr>
                <w:sz w:val="16"/>
              </w:rPr>
              <w:t>mA</w:t>
            </w:r>
          </w:p>
        </w:tc>
      </w:tr>
      <w:tr>
        <w:trPr>
          <w:trHeight w:val="469" w:hRule="atLeast"/>
        </w:trPr>
        <w:tc>
          <w:tcPr>
            <w:tcW w:w="2177" w:type="dxa"/>
            <w:vMerge/>
            <w:tcBorders>
              <w:top w:val="nil"/>
            </w:tcBorders>
          </w:tcPr>
          <w:p>
            <w:pPr>
              <w:rPr>
                <w:sz w:val="2"/>
                <w:szCs w:val="2"/>
              </w:rPr>
            </w:pPr>
          </w:p>
        </w:tc>
        <w:tc>
          <w:tcPr>
            <w:tcW w:w="3547" w:type="dxa"/>
            <w:vMerge/>
            <w:tcBorders>
              <w:top w:val="nil"/>
            </w:tcBorders>
          </w:tcPr>
          <w:p>
            <w:pPr>
              <w:rPr>
                <w:sz w:val="2"/>
                <w:szCs w:val="2"/>
              </w:rPr>
            </w:pPr>
          </w:p>
        </w:tc>
        <w:tc>
          <w:tcPr>
            <w:tcW w:w="1293" w:type="dxa"/>
          </w:tcPr>
          <w:p>
            <w:pPr>
              <w:pStyle w:val="TableParagraph"/>
              <w:spacing w:before="140"/>
              <w:ind w:left="38" w:right="24"/>
              <w:jc w:val="center"/>
              <w:rPr>
                <w:sz w:val="16"/>
              </w:rPr>
            </w:pPr>
            <w:r>
              <w:rPr>
                <w:sz w:val="16"/>
              </w:rPr>
              <w:t>71M6543G</w:t>
            </w:r>
          </w:p>
        </w:tc>
        <w:tc>
          <w:tcPr>
            <w:tcW w:w="609" w:type="dxa"/>
          </w:tcPr>
          <w:p>
            <w:pPr>
              <w:pStyle w:val="TableParagraph"/>
              <w:rPr>
                <w:rFonts w:ascii="Times New Roman"/>
                <w:sz w:val="16"/>
              </w:rPr>
            </w:pPr>
          </w:p>
        </w:tc>
        <w:tc>
          <w:tcPr>
            <w:tcW w:w="609" w:type="dxa"/>
          </w:tcPr>
          <w:p>
            <w:pPr>
              <w:pStyle w:val="TableParagraph"/>
              <w:spacing w:before="140"/>
              <w:ind w:left="202"/>
              <w:rPr>
                <w:sz w:val="16"/>
              </w:rPr>
            </w:pPr>
            <w:r>
              <w:rPr>
                <w:sz w:val="16"/>
              </w:rPr>
              <w:t>3.1</w:t>
            </w:r>
          </w:p>
        </w:tc>
        <w:tc>
          <w:tcPr>
            <w:tcW w:w="635" w:type="dxa"/>
          </w:tcPr>
          <w:p>
            <w:pPr>
              <w:pStyle w:val="TableParagraph"/>
              <w:spacing w:before="140"/>
              <w:ind w:left="153" w:right="105"/>
              <w:jc w:val="center"/>
              <w:rPr>
                <w:sz w:val="16"/>
              </w:rPr>
            </w:pPr>
            <w:r>
              <w:rPr>
                <w:sz w:val="16"/>
              </w:rPr>
              <w:t>3.9</w:t>
            </w:r>
          </w:p>
        </w:tc>
        <w:tc>
          <w:tcPr>
            <w:tcW w:w="625" w:type="dxa"/>
            <w:vMerge/>
            <w:tcBorders>
              <w:top w:val="nil"/>
            </w:tcBorders>
          </w:tcPr>
          <w:p>
            <w:pPr>
              <w:rPr>
                <w:sz w:val="2"/>
                <w:szCs w:val="2"/>
              </w:rPr>
            </w:pPr>
          </w:p>
        </w:tc>
      </w:tr>
      <w:tr>
        <w:trPr>
          <w:trHeight w:val="570" w:hRule="atLeast"/>
        </w:trPr>
        <w:tc>
          <w:tcPr>
            <w:tcW w:w="2177" w:type="dxa"/>
            <w:vMerge w:val="restart"/>
          </w:tcPr>
          <w:p>
            <w:pPr>
              <w:pStyle w:val="TableParagraph"/>
              <w:spacing w:before="10"/>
              <w:rPr>
                <w:b/>
                <w:sz w:val="25"/>
              </w:rPr>
            </w:pPr>
          </w:p>
          <w:p>
            <w:pPr>
              <w:pStyle w:val="TableParagraph"/>
              <w:spacing w:before="1"/>
              <w:ind w:left="78"/>
              <w:rPr>
                <w:b/>
                <w:sz w:val="16"/>
              </w:rPr>
            </w:pPr>
            <w:r>
              <w:rPr>
                <w:b/>
                <w:sz w:val="16"/>
              </w:rPr>
              <w:t>I2:</w:t>
            </w:r>
          </w:p>
          <w:p>
            <w:pPr>
              <w:pStyle w:val="TableParagraph"/>
              <w:ind w:left="78" w:right="109"/>
              <w:rPr>
                <w:sz w:val="16"/>
              </w:rPr>
            </w:pPr>
            <w:r>
              <w:rPr>
                <w:b/>
                <w:spacing w:val="-4"/>
                <w:sz w:val="16"/>
              </w:rPr>
              <w:t>V3P3A </w:t>
            </w:r>
            <w:r>
              <w:rPr>
                <w:b/>
                <w:sz w:val="16"/>
              </w:rPr>
              <w:t>+ </w:t>
            </w:r>
            <w:r>
              <w:rPr>
                <w:b/>
                <w:spacing w:val="-5"/>
                <w:sz w:val="16"/>
              </w:rPr>
              <w:t>V3P3SYS </w:t>
            </w:r>
            <w:r>
              <w:rPr>
                <w:spacing w:val="-4"/>
                <w:sz w:val="16"/>
              </w:rPr>
              <w:t>dynamic </w:t>
            </w:r>
            <w:r>
              <w:rPr>
                <w:sz w:val="16"/>
              </w:rPr>
              <w:t>current</w:t>
            </w:r>
          </w:p>
        </w:tc>
        <w:tc>
          <w:tcPr>
            <w:tcW w:w="3547" w:type="dxa"/>
            <w:vMerge w:val="restart"/>
          </w:tcPr>
          <w:p>
            <w:pPr>
              <w:pStyle w:val="TableParagraph"/>
              <w:spacing w:line="183" w:lineRule="exact" w:before="17"/>
              <w:ind w:left="78"/>
              <w:rPr>
                <w:sz w:val="16"/>
              </w:rPr>
            </w:pPr>
            <w:r>
              <w:rPr>
                <w:sz w:val="16"/>
              </w:rPr>
              <w:t>Same as I1, except with variation of</w:t>
            </w:r>
          </w:p>
          <w:p>
            <w:pPr>
              <w:pStyle w:val="TableParagraph"/>
              <w:spacing w:line="184" w:lineRule="exact"/>
              <w:ind w:left="78"/>
              <w:rPr>
                <w:sz w:val="16"/>
              </w:rPr>
            </w:pPr>
            <w:r>
              <w:rPr>
                <w:rFonts w:ascii="Times New Roman"/>
                <w:i/>
                <w:sz w:val="16"/>
              </w:rPr>
              <w:t>MPU_DIV[2:0]</w:t>
            </w:r>
            <w:r>
              <w:rPr>
                <w:sz w:val="16"/>
              </w:rPr>
              <w:t>.</w:t>
            </w:r>
          </w:p>
          <w:p>
            <w:pPr>
              <w:pStyle w:val="TableParagraph"/>
              <w:spacing w:line="362" w:lineRule="exact" w:before="51"/>
              <w:ind w:left="1114" w:right="853" w:hanging="973"/>
              <w:rPr>
                <w:rFonts w:ascii="Times New Roman" w:hAnsi="Times New Roman"/>
                <w:sz w:val="27"/>
              </w:rPr>
            </w:pPr>
            <w:r>
              <w:rPr>
                <w:rFonts w:ascii="Times New Roman" w:hAnsi="Times New Roman"/>
                <w:position w:val="7"/>
                <w:sz w:val="27"/>
              </w:rPr>
              <w:t>I</w:t>
            </w:r>
            <w:r>
              <w:rPr>
                <w:rFonts w:ascii="Times New Roman" w:hAnsi="Times New Roman"/>
                <w:sz w:val="16"/>
              </w:rPr>
              <w:t>MPU_DIV</w:t>
            </w:r>
            <w:r>
              <w:rPr>
                <w:rFonts w:ascii="Symbol" w:hAnsi="Symbol"/>
                <w:sz w:val="16"/>
              </w:rPr>
              <w:t></w:t>
            </w:r>
            <w:r>
              <w:rPr>
                <w:rFonts w:ascii="Times New Roman" w:hAnsi="Times New Roman"/>
                <w:sz w:val="16"/>
              </w:rPr>
              <w:t> 0 </w:t>
            </w:r>
            <w:r>
              <w:rPr>
                <w:rFonts w:ascii="Times New Roman" w:hAnsi="Times New Roman"/>
                <w:position w:val="7"/>
                <w:sz w:val="27"/>
              </w:rPr>
              <w:t>- I</w:t>
            </w:r>
            <w:r>
              <w:rPr>
                <w:rFonts w:ascii="Times New Roman" w:hAnsi="Times New Roman"/>
                <w:sz w:val="16"/>
              </w:rPr>
              <w:t>MPU_DIV</w:t>
            </w:r>
            <w:r>
              <w:rPr>
                <w:rFonts w:ascii="Symbol" w:hAnsi="Symbol"/>
                <w:sz w:val="16"/>
              </w:rPr>
              <w:t></w:t>
            </w:r>
            <w:r>
              <w:rPr>
                <w:rFonts w:ascii="Times New Roman" w:hAnsi="Times New Roman"/>
                <w:sz w:val="16"/>
              </w:rPr>
              <w:t> 3 </w:t>
            </w:r>
            <w:r>
              <w:rPr>
                <w:rFonts w:ascii="Times New Roman" w:hAnsi="Times New Roman"/>
                <w:sz w:val="27"/>
              </w:rPr>
              <w:t>4.3</w:t>
            </w:r>
          </w:p>
        </w:tc>
        <w:tc>
          <w:tcPr>
            <w:tcW w:w="1293" w:type="dxa"/>
          </w:tcPr>
          <w:p>
            <w:pPr>
              <w:pStyle w:val="TableParagraph"/>
              <w:spacing w:before="6"/>
              <w:rPr>
                <w:b/>
                <w:sz w:val="16"/>
              </w:rPr>
            </w:pPr>
          </w:p>
          <w:p>
            <w:pPr>
              <w:pStyle w:val="TableParagraph"/>
              <w:ind w:left="38" w:right="22"/>
              <w:jc w:val="center"/>
              <w:rPr>
                <w:sz w:val="16"/>
              </w:rPr>
            </w:pPr>
            <w:r>
              <w:rPr>
                <w:sz w:val="16"/>
              </w:rPr>
              <w:t>71M6543F</w:t>
            </w:r>
          </w:p>
        </w:tc>
        <w:tc>
          <w:tcPr>
            <w:tcW w:w="609" w:type="dxa"/>
          </w:tcPr>
          <w:p>
            <w:pPr>
              <w:pStyle w:val="TableParagraph"/>
              <w:rPr>
                <w:rFonts w:ascii="Times New Roman"/>
                <w:sz w:val="16"/>
              </w:rPr>
            </w:pPr>
          </w:p>
        </w:tc>
        <w:tc>
          <w:tcPr>
            <w:tcW w:w="609" w:type="dxa"/>
          </w:tcPr>
          <w:p>
            <w:pPr>
              <w:pStyle w:val="TableParagraph"/>
              <w:spacing w:before="6"/>
              <w:rPr>
                <w:b/>
                <w:sz w:val="16"/>
              </w:rPr>
            </w:pPr>
          </w:p>
          <w:p>
            <w:pPr>
              <w:pStyle w:val="TableParagraph"/>
              <w:ind w:left="202"/>
              <w:rPr>
                <w:sz w:val="16"/>
              </w:rPr>
            </w:pPr>
            <w:r>
              <w:rPr>
                <w:sz w:val="16"/>
              </w:rPr>
              <w:t>0.4</w:t>
            </w:r>
          </w:p>
        </w:tc>
        <w:tc>
          <w:tcPr>
            <w:tcW w:w="635" w:type="dxa"/>
          </w:tcPr>
          <w:p>
            <w:pPr>
              <w:pStyle w:val="TableParagraph"/>
              <w:spacing w:before="6"/>
              <w:rPr>
                <w:b/>
                <w:sz w:val="16"/>
              </w:rPr>
            </w:pPr>
          </w:p>
          <w:p>
            <w:pPr>
              <w:pStyle w:val="TableParagraph"/>
              <w:ind w:left="153" w:right="105"/>
              <w:jc w:val="center"/>
              <w:rPr>
                <w:sz w:val="16"/>
              </w:rPr>
            </w:pPr>
            <w:r>
              <w:rPr>
                <w:sz w:val="16"/>
              </w:rPr>
              <w:t>0.6</w:t>
            </w:r>
          </w:p>
        </w:tc>
        <w:tc>
          <w:tcPr>
            <w:tcW w:w="625" w:type="dxa"/>
            <w:vMerge w:val="restart"/>
          </w:tcPr>
          <w:p>
            <w:pPr>
              <w:pStyle w:val="TableParagraph"/>
              <w:rPr>
                <w:b/>
                <w:sz w:val="18"/>
              </w:rPr>
            </w:pPr>
          </w:p>
          <w:p>
            <w:pPr>
              <w:pStyle w:val="TableParagraph"/>
              <w:rPr>
                <w:b/>
                <w:sz w:val="16"/>
              </w:rPr>
            </w:pPr>
          </w:p>
          <w:p>
            <w:pPr>
              <w:pStyle w:val="TableParagraph"/>
              <w:spacing w:before="1"/>
              <w:ind w:left="163" w:right="93" w:firstLine="21"/>
              <w:rPr>
                <w:sz w:val="16"/>
              </w:rPr>
            </w:pPr>
            <w:r>
              <w:rPr>
                <w:sz w:val="16"/>
              </w:rPr>
              <w:t>mA/ MHz</w:t>
            </w:r>
          </w:p>
        </w:tc>
      </w:tr>
      <w:tr>
        <w:trPr>
          <w:trHeight w:val="568" w:hRule="atLeast"/>
        </w:trPr>
        <w:tc>
          <w:tcPr>
            <w:tcW w:w="2177" w:type="dxa"/>
            <w:vMerge/>
            <w:tcBorders>
              <w:top w:val="nil"/>
            </w:tcBorders>
          </w:tcPr>
          <w:p>
            <w:pPr>
              <w:rPr>
                <w:sz w:val="2"/>
                <w:szCs w:val="2"/>
              </w:rPr>
            </w:pPr>
          </w:p>
        </w:tc>
        <w:tc>
          <w:tcPr>
            <w:tcW w:w="3547" w:type="dxa"/>
            <w:vMerge/>
            <w:tcBorders>
              <w:top w:val="nil"/>
            </w:tcBorders>
          </w:tcPr>
          <w:p>
            <w:pPr>
              <w:rPr>
                <w:sz w:val="2"/>
                <w:szCs w:val="2"/>
              </w:rPr>
            </w:pPr>
          </w:p>
        </w:tc>
        <w:tc>
          <w:tcPr>
            <w:tcW w:w="1293" w:type="dxa"/>
          </w:tcPr>
          <w:p>
            <w:pPr>
              <w:pStyle w:val="TableParagraph"/>
              <w:spacing w:before="3"/>
              <w:rPr>
                <w:b/>
                <w:sz w:val="16"/>
              </w:rPr>
            </w:pPr>
          </w:p>
          <w:p>
            <w:pPr>
              <w:pStyle w:val="TableParagraph"/>
              <w:spacing w:before="1"/>
              <w:ind w:left="38" w:right="24"/>
              <w:jc w:val="center"/>
              <w:rPr>
                <w:sz w:val="16"/>
              </w:rPr>
            </w:pPr>
            <w:r>
              <w:rPr>
                <w:sz w:val="16"/>
              </w:rPr>
              <w:t>71M6543G</w:t>
            </w:r>
          </w:p>
        </w:tc>
        <w:tc>
          <w:tcPr>
            <w:tcW w:w="609" w:type="dxa"/>
          </w:tcPr>
          <w:p>
            <w:pPr>
              <w:pStyle w:val="TableParagraph"/>
              <w:rPr>
                <w:rFonts w:ascii="Times New Roman"/>
                <w:sz w:val="16"/>
              </w:rPr>
            </w:pPr>
          </w:p>
        </w:tc>
        <w:tc>
          <w:tcPr>
            <w:tcW w:w="609" w:type="dxa"/>
          </w:tcPr>
          <w:p>
            <w:pPr>
              <w:pStyle w:val="TableParagraph"/>
              <w:spacing w:before="3"/>
              <w:rPr>
                <w:b/>
                <w:sz w:val="16"/>
              </w:rPr>
            </w:pPr>
          </w:p>
          <w:p>
            <w:pPr>
              <w:pStyle w:val="TableParagraph"/>
              <w:spacing w:before="1"/>
              <w:ind w:left="202"/>
              <w:rPr>
                <w:sz w:val="16"/>
              </w:rPr>
            </w:pPr>
            <w:r>
              <w:rPr>
                <w:sz w:val="16"/>
              </w:rPr>
              <w:t>0.5</w:t>
            </w:r>
          </w:p>
        </w:tc>
        <w:tc>
          <w:tcPr>
            <w:tcW w:w="635" w:type="dxa"/>
          </w:tcPr>
          <w:p>
            <w:pPr>
              <w:pStyle w:val="TableParagraph"/>
              <w:spacing w:before="3"/>
              <w:rPr>
                <w:b/>
                <w:sz w:val="16"/>
              </w:rPr>
            </w:pPr>
          </w:p>
          <w:p>
            <w:pPr>
              <w:pStyle w:val="TableParagraph"/>
              <w:spacing w:before="1"/>
              <w:ind w:left="152" w:right="108"/>
              <w:jc w:val="center"/>
              <w:rPr>
                <w:sz w:val="16"/>
              </w:rPr>
            </w:pPr>
            <w:r>
              <w:rPr>
                <w:sz w:val="16"/>
              </w:rPr>
              <w:t>0.65</w:t>
            </w:r>
          </w:p>
        </w:tc>
        <w:tc>
          <w:tcPr>
            <w:tcW w:w="625" w:type="dxa"/>
            <w:vMerge/>
            <w:tcBorders>
              <w:top w:val="nil"/>
            </w:tcBorders>
          </w:tcPr>
          <w:p>
            <w:pPr>
              <w:rPr>
                <w:sz w:val="2"/>
                <w:szCs w:val="2"/>
              </w:rPr>
            </w:pPr>
          </w:p>
        </w:tc>
      </w:tr>
      <w:tr>
        <w:trPr>
          <w:trHeight w:val="190" w:hRule="atLeast"/>
        </w:trPr>
        <w:tc>
          <w:tcPr>
            <w:tcW w:w="2177" w:type="dxa"/>
            <w:tcBorders>
              <w:bottom w:val="nil"/>
            </w:tcBorders>
          </w:tcPr>
          <w:p>
            <w:pPr>
              <w:pStyle w:val="TableParagraph"/>
              <w:spacing w:line="157" w:lineRule="exact" w:before="14"/>
              <w:ind w:left="78"/>
              <w:rPr>
                <w:b/>
                <w:sz w:val="16"/>
              </w:rPr>
            </w:pPr>
            <w:r>
              <w:rPr>
                <w:b/>
                <w:sz w:val="16"/>
              </w:rPr>
              <w:t>VBAT current</w:t>
            </w:r>
          </w:p>
        </w:tc>
        <w:tc>
          <w:tcPr>
            <w:tcW w:w="3547" w:type="dxa"/>
            <w:tcBorders>
              <w:bottom w:val="nil"/>
            </w:tcBorders>
          </w:tcPr>
          <w:p>
            <w:pPr>
              <w:pStyle w:val="TableParagraph"/>
              <w:rPr>
                <w:rFonts w:ascii="Times New Roman"/>
                <w:sz w:val="12"/>
              </w:rPr>
            </w:pPr>
          </w:p>
        </w:tc>
        <w:tc>
          <w:tcPr>
            <w:tcW w:w="1293" w:type="dxa"/>
            <w:vMerge w:val="restart"/>
          </w:tcPr>
          <w:p>
            <w:pPr>
              <w:pStyle w:val="TableParagraph"/>
              <w:spacing w:before="6"/>
              <w:rPr>
                <w:b/>
                <w:sz w:val="17"/>
              </w:rPr>
            </w:pPr>
          </w:p>
          <w:p>
            <w:pPr>
              <w:pStyle w:val="TableParagraph"/>
              <w:spacing w:line="183" w:lineRule="exact"/>
              <w:ind w:left="311"/>
              <w:rPr>
                <w:sz w:val="16"/>
              </w:rPr>
            </w:pPr>
            <w:r>
              <w:rPr>
                <w:sz w:val="16"/>
              </w:rPr>
              <w:t>71M6543</w:t>
            </w:r>
          </w:p>
          <w:p>
            <w:pPr>
              <w:pStyle w:val="TableParagraph"/>
              <w:spacing w:line="183" w:lineRule="exact"/>
              <w:ind w:left="263"/>
              <w:rPr>
                <w:sz w:val="16"/>
              </w:rPr>
            </w:pPr>
            <w:r>
              <w:rPr>
                <w:sz w:val="16"/>
              </w:rPr>
              <w:t>71M6543F</w:t>
            </w:r>
          </w:p>
          <w:p>
            <w:pPr>
              <w:pStyle w:val="TableParagraph"/>
              <w:spacing w:before="1"/>
              <w:ind w:left="249"/>
              <w:rPr>
                <w:sz w:val="16"/>
              </w:rPr>
            </w:pPr>
            <w:r>
              <w:rPr>
                <w:sz w:val="16"/>
              </w:rPr>
              <w:t>71M6543G</w:t>
            </w:r>
          </w:p>
          <w:p>
            <w:pPr>
              <w:pStyle w:val="TableParagraph"/>
              <w:spacing w:line="183" w:lineRule="exact"/>
              <w:ind w:left="311"/>
              <w:rPr>
                <w:sz w:val="16"/>
              </w:rPr>
            </w:pPr>
            <w:r>
              <w:rPr>
                <w:sz w:val="16"/>
              </w:rPr>
              <w:t>71M6543</w:t>
            </w:r>
          </w:p>
          <w:p>
            <w:pPr>
              <w:pStyle w:val="TableParagraph"/>
              <w:spacing w:line="183" w:lineRule="exact"/>
              <w:ind w:left="311"/>
              <w:rPr>
                <w:sz w:val="16"/>
              </w:rPr>
            </w:pPr>
            <w:r>
              <w:rPr>
                <w:sz w:val="16"/>
              </w:rPr>
              <w:t>71M6543</w:t>
            </w:r>
          </w:p>
          <w:p>
            <w:pPr>
              <w:pStyle w:val="TableParagraph"/>
              <w:spacing w:before="1"/>
              <w:ind w:left="311"/>
              <w:rPr>
                <w:sz w:val="16"/>
              </w:rPr>
            </w:pPr>
            <w:r>
              <w:rPr>
                <w:sz w:val="16"/>
              </w:rPr>
              <w:t>71M6543</w:t>
            </w:r>
          </w:p>
          <w:p>
            <w:pPr>
              <w:pStyle w:val="TableParagraph"/>
              <w:spacing w:line="183" w:lineRule="exact" w:before="1"/>
              <w:ind w:left="311"/>
              <w:rPr>
                <w:sz w:val="16"/>
              </w:rPr>
            </w:pPr>
            <w:r>
              <w:rPr>
                <w:sz w:val="16"/>
              </w:rPr>
              <w:t>71M6543</w:t>
            </w:r>
          </w:p>
          <w:p>
            <w:pPr>
              <w:pStyle w:val="TableParagraph"/>
              <w:spacing w:line="183" w:lineRule="exact"/>
              <w:ind w:left="311"/>
              <w:rPr>
                <w:sz w:val="16"/>
              </w:rPr>
            </w:pPr>
            <w:r>
              <w:rPr>
                <w:sz w:val="16"/>
              </w:rPr>
              <w:t>71M6543</w:t>
            </w:r>
          </w:p>
        </w:tc>
        <w:tc>
          <w:tcPr>
            <w:tcW w:w="609" w:type="dxa"/>
            <w:tcBorders>
              <w:bottom w:val="nil"/>
            </w:tcBorders>
          </w:tcPr>
          <w:p>
            <w:pPr>
              <w:pStyle w:val="TableParagraph"/>
              <w:rPr>
                <w:rFonts w:ascii="Times New Roman"/>
                <w:sz w:val="12"/>
              </w:rPr>
            </w:pPr>
          </w:p>
        </w:tc>
        <w:tc>
          <w:tcPr>
            <w:tcW w:w="609" w:type="dxa"/>
            <w:tcBorders>
              <w:bottom w:val="nil"/>
            </w:tcBorders>
          </w:tcPr>
          <w:p>
            <w:pPr>
              <w:pStyle w:val="TableParagraph"/>
              <w:rPr>
                <w:rFonts w:ascii="Times New Roman"/>
                <w:sz w:val="12"/>
              </w:rPr>
            </w:pPr>
          </w:p>
        </w:tc>
        <w:tc>
          <w:tcPr>
            <w:tcW w:w="635" w:type="dxa"/>
            <w:tcBorders>
              <w:bottom w:val="nil"/>
            </w:tcBorders>
          </w:tcPr>
          <w:p>
            <w:pPr>
              <w:pStyle w:val="TableParagraph"/>
              <w:rPr>
                <w:rFonts w:ascii="Times New Roman"/>
                <w:sz w:val="12"/>
              </w:rPr>
            </w:pPr>
          </w:p>
        </w:tc>
        <w:tc>
          <w:tcPr>
            <w:tcW w:w="625" w:type="dxa"/>
            <w:tcBorders>
              <w:bottom w:val="nil"/>
            </w:tcBorders>
          </w:tcPr>
          <w:p>
            <w:pPr>
              <w:pStyle w:val="TableParagraph"/>
              <w:rPr>
                <w:rFonts w:ascii="Times New Roman"/>
                <w:sz w:val="12"/>
              </w:rPr>
            </w:pPr>
          </w:p>
        </w:tc>
      </w:tr>
      <w:tr>
        <w:trPr>
          <w:trHeight w:val="174" w:hRule="atLeast"/>
        </w:trPr>
        <w:tc>
          <w:tcPr>
            <w:tcW w:w="2177" w:type="dxa"/>
            <w:tcBorders>
              <w:top w:val="nil"/>
              <w:bottom w:val="nil"/>
            </w:tcBorders>
          </w:tcPr>
          <w:p>
            <w:pPr>
              <w:pStyle w:val="TableParagraph"/>
              <w:spacing w:line="154" w:lineRule="exact"/>
              <w:ind w:left="78"/>
              <w:rPr>
                <w:sz w:val="16"/>
              </w:rPr>
            </w:pPr>
            <w:r>
              <w:rPr>
                <w:b/>
                <w:sz w:val="16"/>
              </w:rPr>
              <w:t>I3: </w:t>
            </w:r>
            <w:r>
              <w:rPr>
                <w:sz w:val="16"/>
              </w:rPr>
              <w:t>MSN Mode</w:t>
            </w:r>
          </w:p>
        </w:tc>
        <w:tc>
          <w:tcPr>
            <w:tcW w:w="3547" w:type="dxa"/>
            <w:tcBorders>
              <w:top w:val="nil"/>
              <w:bottom w:val="nil"/>
            </w:tcBorders>
          </w:tcPr>
          <w:p>
            <w:pPr>
              <w:pStyle w:val="TableParagraph"/>
              <w:rPr>
                <w:rFonts w:ascii="Times New Roman"/>
                <w:sz w:val="10"/>
              </w:rPr>
            </w:pPr>
          </w:p>
        </w:tc>
        <w:tc>
          <w:tcPr>
            <w:tcW w:w="1293" w:type="dxa"/>
            <w:vMerge/>
            <w:tcBorders>
              <w:top w:val="nil"/>
            </w:tcBorders>
          </w:tcPr>
          <w:p>
            <w:pPr>
              <w:rPr>
                <w:sz w:val="2"/>
                <w:szCs w:val="2"/>
              </w:rPr>
            </w:pPr>
          </w:p>
        </w:tc>
        <w:tc>
          <w:tcPr>
            <w:tcW w:w="609" w:type="dxa"/>
            <w:tcBorders>
              <w:top w:val="nil"/>
              <w:bottom w:val="nil"/>
            </w:tcBorders>
          </w:tcPr>
          <w:p>
            <w:pPr>
              <w:pStyle w:val="TableParagraph"/>
              <w:spacing w:line="154" w:lineRule="exact"/>
              <w:ind w:right="114"/>
              <w:jc w:val="right"/>
              <w:rPr>
                <w:sz w:val="16"/>
              </w:rPr>
            </w:pPr>
            <w:r>
              <w:rPr>
                <w:sz w:val="16"/>
              </w:rPr>
              <w:t>-300</w:t>
            </w:r>
          </w:p>
        </w:tc>
        <w:tc>
          <w:tcPr>
            <w:tcW w:w="609" w:type="dxa"/>
            <w:tcBorders>
              <w:top w:val="nil"/>
              <w:bottom w:val="nil"/>
            </w:tcBorders>
          </w:tcPr>
          <w:p>
            <w:pPr>
              <w:pStyle w:val="TableParagraph"/>
              <w:spacing w:line="154" w:lineRule="exact"/>
              <w:ind w:left="269"/>
              <w:rPr>
                <w:sz w:val="16"/>
              </w:rPr>
            </w:pPr>
            <w:r>
              <w:rPr>
                <w:w w:val="100"/>
                <w:sz w:val="16"/>
              </w:rPr>
              <w:t>0</w:t>
            </w:r>
          </w:p>
        </w:tc>
        <w:tc>
          <w:tcPr>
            <w:tcW w:w="635" w:type="dxa"/>
            <w:tcBorders>
              <w:top w:val="nil"/>
              <w:bottom w:val="nil"/>
            </w:tcBorders>
          </w:tcPr>
          <w:p>
            <w:pPr>
              <w:pStyle w:val="TableParagraph"/>
              <w:spacing w:line="154" w:lineRule="exact"/>
              <w:ind w:left="153" w:right="106"/>
              <w:jc w:val="center"/>
              <w:rPr>
                <w:sz w:val="16"/>
              </w:rPr>
            </w:pPr>
            <w:r>
              <w:rPr>
                <w:sz w:val="16"/>
              </w:rPr>
              <w:t>300</w:t>
            </w:r>
          </w:p>
        </w:tc>
        <w:tc>
          <w:tcPr>
            <w:tcW w:w="625" w:type="dxa"/>
            <w:tcBorders>
              <w:top w:val="nil"/>
              <w:bottom w:val="nil"/>
            </w:tcBorders>
          </w:tcPr>
          <w:p>
            <w:pPr>
              <w:pStyle w:val="TableParagraph"/>
              <w:spacing w:line="154" w:lineRule="exact"/>
              <w:ind w:left="149" w:right="103"/>
              <w:jc w:val="center"/>
              <w:rPr>
                <w:sz w:val="16"/>
              </w:rPr>
            </w:pPr>
            <w:r>
              <w:rPr>
                <w:sz w:val="16"/>
              </w:rPr>
              <w:t>nA</w:t>
            </w:r>
          </w:p>
        </w:tc>
      </w:tr>
      <w:tr>
        <w:trPr>
          <w:trHeight w:val="180" w:hRule="atLeast"/>
        </w:trPr>
        <w:tc>
          <w:tcPr>
            <w:tcW w:w="2177" w:type="dxa"/>
            <w:tcBorders>
              <w:top w:val="nil"/>
              <w:bottom w:val="nil"/>
            </w:tcBorders>
          </w:tcPr>
          <w:p>
            <w:pPr>
              <w:pStyle w:val="TableParagraph"/>
              <w:spacing w:line="161" w:lineRule="exact"/>
              <w:ind w:left="78"/>
              <w:rPr>
                <w:sz w:val="16"/>
              </w:rPr>
            </w:pPr>
            <w:r>
              <w:rPr>
                <w:b/>
                <w:sz w:val="16"/>
              </w:rPr>
              <w:t>I4: </w:t>
            </w:r>
            <w:r>
              <w:rPr>
                <w:sz w:val="16"/>
              </w:rPr>
              <w:t>BRN Mode</w:t>
            </w:r>
          </w:p>
        </w:tc>
        <w:tc>
          <w:tcPr>
            <w:tcW w:w="3547" w:type="dxa"/>
            <w:tcBorders>
              <w:top w:val="nil"/>
              <w:bottom w:val="nil"/>
            </w:tcBorders>
          </w:tcPr>
          <w:p>
            <w:pPr>
              <w:pStyle w:val="TableParagraph"/>
              <w:spacing w:line="161" w:lineRule="exact"/>
              <w:ind w:left="78"/>
              <w:rPr>
                <w:sz w:val="16"/>
              </w:rPr>
            </w:pPr>
            <w:r>
              <w:rPr>
                <w:rFonts w:ascii="Times New Roman"/>
                <w:i/>
                <w:sz w:val="16"/>
              </w:rPr>
              <w:t>CE_E</w:t>
            </w:r>
            <w:r>
              <w:rPr>
                <w:sz w:val="16"/>
              </w:rPr>
              <w:t>=0</w:t>
            </w:r>
          </w:p>
        </w:tc>
        <w:tc>
          <w:tcPr>
            <w:tcW w:w="1293" w:type="dxa"/>
            <w:vMerge/>
            <w:tcBorders>
              <w:top w:val="nil"/>
            </w:tcBorders>
          </w:tcPr>
          <w:p>
            <w:pPr>
              <w:rPr>
                <w:sz w:val="2"/>
                <w:szCs w:val="2"/>
              </w:rPr>
            </w:pPr>
          </w:p>
        </w:tc>
        <w:tc>
          <w:tcPr>
            <w:tcW w:w="609" w:type="dxa"/>
            <w:tcBorders>
              <w:top w:val="nil"/>
              <w:bottom w:val="nil"/>
            </w:tcBorders>
          </w:tcPr>
          <w:p>
            <w:pPr>
              <w:pStyle w:val="TableParagraph"/>
              <w:rPr>
                <w:rFonts w:ascii="Times New Roman"/>
                <w:sz w:val="12"/>
              </w:rPr>
            </w:pPr>
          </w:p>
        </w:tc>
        <w:tc>
          <w:tcPr>
            <w:tcW w:w="609" w:type="dxa"/>
            <w:tcBorders>
              <w:top w:val="nil"/>
              <w:bottom w:val="nil"/>
            </w:tcBorders>
          </w:tcPr>
          <w:p>
            <w:pPr>
              <w:pStyle w:val="TableParagraph"/>
              <w:spacing w:line="161" w:lineRule="exact"/>
              <w:ind w:left="202"/>
              <w:rPr>
                <w:sz w:val="16"/>
              </w:rPr>
            </w:pPr>
            <w:r>
              <w:rPr>
                <w:sz w:val="16"/>
              </w:rPr>
              <w:t>2.4</w:t>
            </w:r>
          </w:p>
        </w:tc>
        <w:tc>
          <w:tcPr>
            <w:tcW w:w="635" w:type="dxa"/>
            <w:tcBorders>
              <w:top w:val="nil"/>
              <w:bottom w:val="nil"/>
            </w:tcBorders>
          </w:tcPr>
          <w:p>
            <w:pPr>
              <w:pStyle w:val="TableParagraph"/>
              <w:spacing w:line="161" w:lineRule="exact"/>
              <w:ind w:left="153" w:right="105"/>
              <w:jc w:val="center"/>
              <w:rPr>
                <w:sz w:val="16"/>
              </w:rPr>
            </w:pPr>
            <w:r>
              <w:rPr>
                <w:sz w:val="16"/>
              </w:rPr>
              <w:t>3.2</w:t>
            </w:r>
          </w:p>
        </w:tc>
        <w:tc>
          <w:tcPr>
            <w:tcW w:w="625" w:type="dxa"/>
            <w:tcBorders>
              <w:top w:val="nil"/>
              <w:bottom w:val="nil"/>
            </w:tcBorders>
          </w:tcPr>
          <w:p>
            <w:pPr>
              <w:pStyle w:val="TableParagraph"/>
              <w:spacing w:line="161" w:lineRule="exact"/>
              <w:ind w:left="151" w:right="101"/>
              <w:jc w:val="center"/>
              <w:rPr>
                <w:sz w:val="16"/>
              </w:rPr>
            </w:pPr>
            <w:r>
              <w:rPr>
                <w:sz w:val="16"/>
              </w:rPr>
              <w:t>mA</w:t>
            </w:r>
          </w:p>
        </w:tc>
      </w:tr>
      <w:tr>
        <w:trPr>
          <w:trHeight w:val="166" w:hRule="atLeast"/>
        </w:trPr>
        <w:tc>
          <w:tcPr>
            <w:tcW w:w="2177" w:type="dxa"/>
            <w:tcBorders>
              <w:top w:val="nil"/>
              <w:bottom w:val="nil"/>
            </w:tcBorders>
          </w:tcPr>
          <w:p>
            <w:pPr>
              <w:pStyle w:val="TableParagraph"/>
              <w:rPr>
                <w:rFonts w:ascii="Times New Roman"/>
                <w:sz w:val="10"/>
              </w:rPr>
            </w:pPr>
          </w:p>
        </w:tc>
        <w:tc>
          <w:tcPr>
            <w:tcW w:w="3547" w:type="dxa"/>
            <w:tcBorders>
              <w:top w:val="nil"/>
              <w:bottom w:val="nil"/>
            </w:tcBorders>
          </w:tcPr>
          <w:p>
            <w:pPr>
              <w:pStyle w:val="TableParagraph"/>
              <w:rPr>
                <w:rFonts w:ascii="Times New Roman"/>
                <w:sz w:val="10"/>
              </w:rPr>
            </w:pPr>
          </w:p>
        </w:tc>
        <w:tc>
          <w:tcPr>
            <w:tcW w:w="1293" w:type="dxa"/>
            <w:vMerge/>
            <w:tcBorders>
              <w:top w:val="nil"/>
            </w:tcBorders>
          </w:tcPr>
          <w:p>
            <w:pPr>
              <w:rPr>
                <w:sz w:val="2"/>
                <w:szCs w:val="2"/>
              </w:rPr>
            </w:pPr>
          </w:p>
        </w:tc>
        <w:tc>
          <w:tcPr>
            <w:tcW w:w="609" w:type="dxa"/>
            <w:tcBorders>
              <w:top w:val="nil"/>
              <w:bottom w:val="nil"/>
            </w:tcBorders>
          </w:tcPr>
          <w:p>
            <w:pPr>
              <w:pStyle w:val="TableParagraph"/>
              <w:rPr>
                <w:rFonts w:ascii="Times New Roman"/>
                <w:sz w:val="10"/>
              </w:rPr>
            </w:pPr>
          </w:p>
        </w:tc>
        <w:tc>
          <w:tcPr>
            <w:tcW w:w="609" w:type="dxa"/>
            <w:tcBorders>
              <w:top w:val="nil"/>
              <w:bottom w:val="nil"/>
            </w:tcBorders>
          </w:tcPr>
          <w:p>
            <w:pPr>
              <w:pStyle w:val="TableParagraph"/>
              <w:spacing w:line="147" w:lineRule="exact"/>
              <w:ind w:left="202"/>
              <w:rPr>
                <w:sz w:val="16"/>
              </w:rPr>
            </w:pPr>
            <w:r>
              <w:rPr>
                <w:sz w:val="16"/>
              </w:rPr>
              <w:t>2.6</w:t>
            </w:r>
          </w:p>
        </w:tc>
        <w:tc>
          <w:tcPr>
            <w:tcW w:w="635" w:type="dxa"/>
            <w:tcBorders>
              <w:top w:val="nil"/>
              <w:bottom w:val="nil"/>
            </w:tcBorders>
          </w:tcPr>
          <w:p>
            <w:pPr>
              <w:pStyle w:val="TableParagraph"/>
              <w:spacing w:line="147" w:lineRule="exact"/>
              <w:ind w:left="153" w:right="105"/>
              <w:jc w:val="center"/>
              <w:rPr>
                <w:sz w:val="16"/>
              </w:rPr>
            </w:pPr>
            <w:r>
              <w:rPr>
                <w:sz w:val="16"/>
              </w:rPr>
              <w:t>3.5</w:t>
            </w:r>
          </w:p>
        </w:tc>
        <w:tc>
          <w:tcPr>
            <w:tcW w:w="625" w:type="dxa"/>
            <w:tcBorders>
              <w:top w:val="nil"/>
              <w:bottom w:val="nil"/>
            </w:tcBorders>
          </w:tcPr>
          <w:p>
            <w:pPr>
              <w:pStyle w:val="TableParagraph"/>
              <w:spacing w:line="147" w:lineRule="exact"/>
              <w:ind w:left="151" w:right="101"/>
              <w:jc w:val="center"/>
              <w:rPr>
                <w:sz w:val="16"/>
              </w:rPr>
            </w:pPr>
            <w:r>
              <w:rPr>
                <w:sz w:val="16"/>
              </w:rPr>
              <w:t>mA</w:t>
            </w:r>
          </w:p>
        </w:tc>
      </w:tr>
      <w:tr>
        <w:trPr>
          <w:trHeight w:val="175" w:hRule="atLeast"/>
        </w:trPr>
        <w:tc>
          <w:tcPr>
            <w:tcW w:w="2177" w:type="dxa"/>
            <w:tcBorders>
              <w:top w:val="nil"/>
              <w:bottom w:val="nil"/>
            </w:tcBorders>
          </w:tcPr>
          <w:p>
            <w:pPr>
              <w:pStyle w:val="TableParagraph"/>
              <w:spacing w:line="156" w:lineRule="exact"/>
              <w:ind w:left="78"/>
              <w:rPr>
                <w:sz w:val="16"/>
              </w:rPr>
            </w:pPr>
            <w:r>
              <w:rPr>
                <w:b/>
                <w:sz w:val="16"/>
              </w:rPr>
              <w:t>I5: </w:t>
            </w:r>
            <w:r>
              <w:rPr>
                <w:sz w:val="16"/>
              </w:rPr>
              <w:t>LCD Mode (ext. VLCD)</w:t>
            </w:r>
          </w:p>
        </w:tc>
        <w:tc>
          <w:tcPr>
            <w:tcW w:w="3547" w:type="dxa"/>
            <w:tcBorders>
              <w:top w:val="nil"/>
              <w:bottom w:val="nil"/>
            </w:tcBorders>
          </w:tcPr>
          <w:p>
            <w:pPr>
              <w:pStyle w:val="TableParagraph"/>
              <w:spacing w:line="155" w:lineRule="exact" w:before="1"/>
              <w:ind w:left="78"/>
              <w:rPr>
                <w:sz w:val="16"/>
              </w:rPr>
            </w:pPr>
            <w:r>
              <w:rPr>
                <w:rFonts w:ascii="Times New Roman"/>
                <w:i/>
                <w:sz w:val="16"/>
              </w:rPr>
              <w:t>LCD_VMODE[1:0]</w:t>
            </w:r>
            <w:r>
              <w:rPr>
                <w:sz w:val="16"/>
              </w:rPr>
              <w:t>=3, also see note 3</w:t>
            </w:r>
          </w:p>
        </w:tc>
        <w:tc>
          <w:tcPr>
            <w:tcW w:w="1293" w:type="dxa"/>
            <w:vMerge/>
            <w:tcBorders>
              <w:top w:val="nil"/>
            </w:tcBorders>
          </w:tcPr>
          <w:p>
            <w:pPr>
              <w:rPr>
                <w:sz w:val="2"/>
                <w:szCs w:val="2"/>
              </w:rPr>
            </w:pPr>
          </w:p>
        </w:tc>
        <w:tc>
          <w:tcPr>
            <w:tcW w:w="609" w:type="dxa"/>
            <w:tcBorders>
              <w:top w:val="nil"/>
              <w:bottom w:val="nil"/>
            </w:tcBorders>
          </w:tcPr>
          <w:p>
            <w:pPr>
              <w:pStyle w:val="TableParagraph"/>
              <w:rPr>
                <w:rFonts w:ascii="Times New Roman"/>
                <w:sz w:val="10"/>
              </w:rPr>
            </w:pPr>
          </w:p>
        </w:tc>
        <w:tc>
          <w:tcPr>
            <w:tcW w:w="609" w:type="dxa"/>
            <w:tcBorders>
              <w:top w:val="nil"/>
              <w:bottom w:val="nil"/>
            </w:tcBorders>
          </w:tcPr>
          <w:p>
            <w:pPr>
              <w:pStyle w:val="TableParagraph"/>
              <w:spacing w:line="156" w:lineRule="exact"/>
              <w:ind w:left="202"/>
              <w:rPr>
                <w:sz w:val="16"/>
              </w:rPr>
            </w:pPr>
            <w:r>
              <w:rPr>
                <w:sz w:val="16"/>
              </w:rPr>
              <w:t>0.4</w:t>
            </w:r>
          </w:p>
        </w:tc>
        <w:tc>
          <w:tcPr>
            <w:tcW w:w="635" w:type="dxa"/>
            <w:tcBorders>
              <w:top w:val="nil"/>
              <w:bottom w:val="nil"/>
            </w:tcBorders>
          </w:tcPr>
          <w:p>
            <w:pPr>
              <w:pStyle w:val="TableParagraph"/>
              <w:spacing w:line="156" w:lineRule="exact"/>
              <w:ind w:left="153" w:right="106"/>
              <w:jc w:val="center"/>
              <w:rPr>
                <w:sz w:val="16"/>
              </w:rPr>
            </w:pPr>
            <w:r>
              <w:rPr>
                <w:sz w:val="16"/>
              </w:rPr>
              <w:t>108</w:t>
            </w:r>
          </w:p>
        </w:tc>
        <w:tc>
          <w:tcPr>
            <w:tcW w:w="625" w:type="dxa"/>
            <w:tcBorders>
              <w:top w:val="nil"/>
              <w:bottom w:val="nil"/>
            </w:tcBorders>
          </w:tcPr>
          <w:p>
            <w:pPr>
              <w:pStyle w:val="TableParagraph"/>
              <w:spacing w:line="156" w:lineRule="exact"/>
              <w:ind w:left="149" w:right="103"/>
              <w:jc w:val="center"/>
              <w:rPr>
                <w:sz w:val="16"/>
              </w:rPr>
            </w:pPr>
            <w:r>
              <w:rPr>
                <w:sz w:val="16"/>
              </w:rPr>
              <w:t>nA</w:t>
            </w:r>
          </w:p>
        </w:tc>
      </w:tr>
      <w:tr>
        <w:trPr>
          <w:trHeight w:val="174" w:hRule="atLeast"/>
        </w:trPr>
        <w:tc>
          <w:tcPr>
            <w:tcW w:w="2177" w:type="dxa"/>
            <w:tcBorders>
              <w:top w:val="nil"/>
              <w:bottom w:val="nil"/>
            </w:tcBorders>
          </w:tcPr>
          <w:p>
            <w:pPr>
              <w:pStyle w:val="TableParagraph"/>
              <w:spacing w:line="154" w:lineRule="exact"/>
              <w:ind w:left="78"/>
              <w:rPr>
                <w:sz w:val="16"/>
              </w:rPr>
            </w:pPr>
            <w:r>
              <w:rPr>
                <w:b/>
                <w:sz w:val="16"/>
              </w:rPr>
              <w:t>I6: </w:t>
            </w:r>
            <w:r>
              <w:rPr>
                <w:sz w:val="16"/>
              </w:rPr>
              <w:t>LCD Mode (boost, DAC)</w:t>
            </w:r>
          </w:p>
        </w:tc>
        <w:tc>
          <w:tcPr>
            <w:tcW w:w="3547" w:type="dxa"/>
            <w:tcBorders>
              <w:top w:val="nil"/>
              <w:bottom w:val="nil"/>
            </w:tcBorders>
          </w:tcPr>
          <w:p>
            <w:pPr>
              <w:pStyle w:val="TableParagraph"/>
              <w:spacing w:line="154" w:lineRule="exact"/>
              <w:ind w:left="78"/>
              <w:rPr>
                <w:sz w:val="16"/>
              </w:rPr>
            </w:pPr>
            <w:r>
              <w:rPr>
                <w:rFonts w:ascii="Times New Roman"/>
                <w:i/>
                <w:sz w:val="16"/>
              </w:rPr>
              <w:t>LCD_VMODE[1:0]</w:t>
            </w:r>
            <w:r>
              <w:rPr>
                <w:sz w:val="16"/>
              </w:rPr>
              <w:t>=2, also see notes 1, 2</w:t>
            </w:r>
          </w:p>
        </w:tc>
        <w:tc>
          <w:tcPr>
            <w:tcW w:w="1293" w:type="dxa"/>
            <w:vMerge/>
            <w:tcBorders>
              <w:top w:val="nil"/>
            </w:tcBorders>
          </w:tcPr>
          <w:p>
            <w:pPr>
              <w:rPr>
                <w:sz w:val="2"/>
                <w:szCs w:val="2"/>
              </w:rPr>
            </w:pPr>
          </w:p>
        </w:tc>
        <w:tc>
          <w:tcPr>
            <w:tcW w:w="609" w:type="dxa"/>
            <w:tcBorders>
              <w:top w:val="nil"/>
              <w:bottom w:val="nil"/>
            </w:tcBorders>
          </w:tcPr>
          <w:p>
            <w:pPr>
              <w:pStyle w:val="TableParagraph"/>
              <w:rPr>
                <w:rFonts w:ascii="Times New Roman"/>
                <w:sz w:val="10"/>
              </w:rPr>
            </w:pPr>
          </w:p>
        </w:tc>
        <w:tc>
          <w:tcPr>
            <w:tcW w:w="609" w:type="dxa"/>
            <w:tcBorders>
              <w:top w:val="nil"/>
              <w:bottom w:val="nil"/>
            </w:tcBorders>
          </w:tcPr>
          <w:p>
            <w:pPr>
              <w:pStyle w:val="TableParagraph"/>
              <w:spacing w:line="154" w:lineRule="exact"/>
              <w:ind w:left="226"/>
              <w:rPr>
                <w:sz w:val="16"/>
              </w:rPr>
            </w:pPr>
            <w:r>
              <w:rPr>
                <w:sz w:val="16"/>
              </w:rPr>
              <w:t>24</w:t>
            </w:r>
          </w:p>
        </w:tc>
        <w:tc>
          <w:tcPr>
            <w:tcW w:w="635" w:type="dxa"/>
            <w:tcBorders>
              <w:top w:val="nil"/>
              <w:bottom w:val="nil"/>
            </w:tcBorders>
          </w:tcPr>
          <w:p>
            <w:pPr>
              <w:pStyle w:val="TableParagraph"/>
              <w:spacing w:line="154" w:lineRule="exact"/>
              <w:ind w:left="153" w:right="108"/>
              <w:jc w:val="center"/>
              <w:rPr>
                <w:sz w:val="16"/>
              </w:rPr>
            </w:pPr>
            <w:r>
              <w:rPr>
                <w:sz w:val="16"/>
              </w:rPr>
              <w:t>36</w:t>
            </w:r>
          </w:p>
        </w:tc>
        <w:tc>
          <w:tcPr>
            <w:tcW w:w="625" w:type="dxa"/>
            <w:tcBorders>
              <w:top w:val="nil"/>
              <w:bottom w:val="nil"/>
            </w:tcBorders>
          </w:tcPr>
          <w:p>
            <w:pPr>
              <w:pStyle w:val="TableParagraph"/>
              <w:spacing w:line="154" w:lineRule="exact"/>
              <w:ind w:left="151" w:right="98"/>
              <w:jc w:val="center"/>
              <w:rPr>
                <w:sz w:val="16"/>
              </w:rPr>
            </w:pPr>
            <w:r>
              <w:rPr>
                <w:sz w:val="16"/>
              </w:rPr>
              <w:t>µA</w:t>
            </w:r>
          </w:p>
        </w:tc>
      </w:tr>
      <w:tr>
        <w:trPr>
          <w:trHeight w:val="595" w:hRule="atLeast"/>
        </w:trPr>
        <w:tc>
          <w:tcPr>
            <w:tcW w:w="2177" w:type="dxa"/>
            <w:tcBorders>
              <w:top w:val="nil"/>
            </w:tcBorders>
          </w:tcPr>
          <w:p>
            <w:pPr>
              <w:pStyle w:val="TableParagraph"/>
              <w:spacing w:line="169" w:lineRule="exact"/>
              <w:ind w:left="78"/>
              <w:rPr>
                <w:sz w:val="16"/>
              </w:rPr>
            </w:pPr>
            <w:r>
              <w:rPr>
                <w:b/>
                <w:sz w:val="16"/>
              </w:rPr>
              <w:t>I7: </w:t>
            </w:r>
            <w:r>
              <w:rPr>
                <w:sz w:val="16"/>
              </w:rPr>
              <w:t>LCD Mode (DAC)</w:t>
            </w:r>
          </w:p>
          <w:p>
            <w:pPr>
              <w:pStyle w:val="TableParagraph"/>
              <w:spacing w:before="10"/>
              <w:ind w:left="78"/>
              <w:rPr>
                <w:sz w:val="16"/>
              </w:rPr>
            </w:pPr>
            <w:r>
              <w:rPr>
                <w:b/>
                <w:sz w:val="16"/>
              </w:rPr>
              <w:t>I8: </w:t>
            </w:r>
            <w:r>
              <w:rPr>
                <w:sz w:val="16"/>
              </w:rPr>
              <w:t>LCD Mode (VBAT)</w:t>
            </w:r>
          </w:p>
          <w:p>
            <w:pPr>
              <w:pStyle w:val="TableParagraph"/>
              <w:spacing w:before="8"/>
              <w:ind w:left="78"/>
              <w:rPr>
                <w:sz w:val="16"/>
              </w:rPr>
            </w:pPr>
            <w:r>
              <w:rPr>
                <w:b/>
                <w:sz w:val="16"/>
              </w:rPr>
              <w:t>I9: </w:t>
            </w:r>
            <w:r>
              <w:rPr>
                <w:sz w:val="16"/>
              </w:rPr>
              <w:t>SLP Mode</w:t>
            </w:r>
          </w:p>
        </w:tc>
        <w:tc>
          <w:tcPr>
            <w:tcW w:w="3547" w:type="dxa"/>
            <w:tcBorders>
              <w:top w:val="nil"/>
            </w:tcBorders>
          </w:tcPr>
          <w:p>
            <w:pPr>
              <w:pStyle w:val="TableParagraph"/>
              <w:spacing w:line="184" w:lineRule="exact"/>
              <w:ind w:left="78"/>
              <w:rPr>
                <w:sz w:val="16"/>
              </w:rPr>
            </w:pPr>
            <w:r>
              <w:rPr>
                <w:rFonts w:ascii="Times New Roman"/>
                <w:i/>
                <w:sz w:val="16"/>
              </w:rPr>
              <w:t>LCD_VMODE[1:0]</w:t>
            </w:r>
            <w:r>
              <w:rPr>
                <w:sz w:val="16"/>
              </w:rPr>
              <w:t>=1, also see notes 1, 2</w:t>
            </w:r>
          </w:p>
          <w:p>
            <w:pPr>
              <w:pStyle w:val="TableParagraph"/>
              <w:spacing w:line="190" w:lineRule="atLeast" w:before="4"/>
              <w:ind w:left="78" w:right="525"/>
              <w:rPr>
                <w:sz w:val="16"/>
              </w:rPr>
            </w:pPr>
            <w:r>
              <w:rPr>
                <w:rFonts w:ascii="Times New Roman"/>
                <w:i/>
                <w:sz w:val="16"/>
              </w:rPr>
              <w:t>LCD_VMODE[1:0]</w:t>
            </w:r>
            <w:r>
              <w:rPr>
                <w:sz w:val="16"/>
              </w:rPr>
              <w:t>=0, also see notes 1, 2 SLP Mode</w:t>
            </w:r>
          </w:p>
        </w:tc>
        <w:tc>
          <w:tcPr>
            <w:tcW w:w="1293" w:type="dxa"/>
            <w:vMerge/>
            <w:tcBorders>
              <w:top w:val="nil"/>
            </w:tcBorders>
          </w:tcPr>
          <w:p>
            <w:pPr>
              <w:rPr>
                <w:sz w:val="2"/>
                <w:szCs w:val="2"/>
              </w:rPr>
            </w:pPr>
          </w:p>
        </w:tc>
        <w:tc>
          <w:tcPr>
            <w:tcW w:w="609" w:type="dxa"/>
            <w:tcBorders>
              <w:top w:val="nil"/>
            </w:tcBorders>
          </w:tcPr>
          <w:p>
            <w:pPr>
              <w:pStyle w:val="TableParagraph"/>
              <w:spacing w:before="5"/>
              <w:rPr>
                <w:b/>
                <w:sz w:val="26"/>
              </w:rPr>
            </w:pPr>
          </w:p>
          <w:p>
            <w:pPr>
              <w:pStyle w:val="TableParagraph"/>
              <w:ind w:right="114"/>
              <w:jc w:val="right"/>
              <w:rPr>
                <w:sz w:val="16"/>
              </w:rPr>
            </w:pPr>
            <w:r>
              <w:rPr>
                <w:sz w:val="16"/>
              </w:rPr>
              <w:t>-300</w:t>
            </w:r>
          </w:p>
        </w:tc>
        <w:tc>
          <w:tcPr>
            <w:tcW w:w="609" w:type="dxa"/>
            <w:tcBorders>
              <w:top w:val="nil"/>
            </w:tcBorders>
          </w:tcPr>
          <w:p>
            <w:pPr>
              <w:pStyle w:val="TableParagraph"/>
              <w:spacing w:line="161" w:lineRule="exact"/>
              <w:ind w:left="160" w:right="121"/>
              <w:jc w:val="center"/>
              <w:rPr>
                <w:sz w:val="16"/>
              </w:rPr>
            </w:pPr>
            <w:r>
              <w:rPr>
                <w:sz w:val="16"/>
              </w:rPr>
              <w:t>3.0</w:t>
            </w:r>
          </w:p>
          <w:p>
            <w:pPr>
              <w:pStyle w:val="TableParagraph"/>
              <w:spacing w:line="183" w:lineRule="exact"/>
              <w:ind w:left="160" w:right="121"/>
              <w:jc w:val="center"/>
              <w:rPr>
                <w:sz w:val="16"/>
              </w:rPr>
            </w:pPr>
            <w:r>
              <w:rPr>
                <w:sz w:val="16"/>
              </w:rPr>
              <w:t>1.1</w:t>
            </w:r>
          </w:p>
          <w:p>
            <w:pPr>
              <w:pStyle w:val="TableParagraph"/>
              <w:ind w:left="39"/>
              <w:jc w:val="center"/>
              <w:rPr>
                <w:sz w:val="16"/>
              </w:rPr>
            </w:pPr>
            <w:r>
              <w:rPr>
                <w:w w:val="100"/>
                <w:sz w:val="16"/>
              </w:rPr>
              <w:t>0</w:t>
            </w:r>
          </w:p>
        </w:tc>
        <w:tc>
          <w:tcPr>
            <w:tcW w:w="635" w:type="dxa"/>
            <w:tcBorders>
              <w:top w:val="nil"/>
            </w:tcBorders>
          </w:tcPr>
          <w:p>
            <w:pPr>
              <w:pStyle w:val="TableParagraph"/>
              <w:spacing w:line="181" w:lineRule="exact"/>
              <w:ind w:left="241"/>
              <w:rPr>
                <w:sz w:val="16"/>
              </w:rPr>
            </w:pPr>
            <w:r>
              <w:rPr>
                <w:sz w:val="16"/>
              </w:rPr>
              <w:t>11</w:t>
            </w:r>
          </w:p>
          <w:p>
            <w:pPr>
              <w:pStyle w:val="TableParagraph"/>
              <w:spacing w:before="10"/>
              <w:ind w:left="219"/>
              <w:rPr>
                <w:sz w:val="16"/>
              </w:rPr>
            </w:pPr>
            <w:r>
              <w:rPr>
                <w:sz w:val="16"/>
              </w:rPr>
              <w:t>3.4</w:t>
            </w:r>
          </w:p>
          <w:p>
            <w:pPr>
              <w:pStyle w:val="TableParagraph"/>
              <w:spacing w:before="11"/>
              <w:ind w:left="150"/>
              <w:rPr>
                <w:sz w:val="16"/>
              </w:rPr>
            </w:pPr>
            <w:r>
              <w:rPr>
                <w:sz w:val="16"/>
              </w:rPr>
              <w:t>+300</w:t>
            </w:r>
          </w:p>
        </w:tc>
        <w:tc>
          <w:tcPr>
            <w:tcW w:w="625" w:type="dxa"/>
            <w:tcBorders>
              <w:top w:val="nil"/>
            </w:tcBorders>
          </w:tcPr>
          <w:p>
            <w:pPr>
              <w:pStyle w:val="TableParagraph"/>
              <w:spacing w:line="181" w:lineRule="exact"/>
              <w:ind w:left="228"/>
              <w:rPr>
                <w:sz w:val="16"/>
              </w:rPr>
            </w:pPr>
            <w:r>
              <w:rPr>
                <w:sz w:val="16"/>
              </w:rPr>
              <w:t>µA</w:t>
            </w:r>
          </w:p>
          <w:p>
            <w:pPr>
              <w:pStyle w:val="TableParagraph"/>
              <w:spacing w:line="190" w:lineRule="atLeast" w:before="4"/>
              <w:ind w:left="228" w:right="158"/>
              <w:rPr>
                <w:sz w:val="16"/>
              </w:rPr>
            </w:pPr>
            <w:r>
              <w:rPr>
                <w:sz w:val="16"/>
              </w:rPr>
              <w:t>µA nA</w:t>
            </w:r>
          </w:p>
        </w:tc>
      </w:tr>
      <w:tr>
        <w:trPr>
          <w:trHeight w:val="1398" w:hRule="atLeast"/>
        </w:trPr>
        <w:tc>
          <w:tcPr>
            <w:tcW w:w="2177" w:type="dxa"/>
          </w:tcPr>
          <w:p>
            <w:pPr>
              <w:pStyle w:val="TableParagraph"/>
              <w:spacing w:before="15"/>
              <w:ind w:left="78" w:right="395"/>
              <w:rPr>
                <w:sz w:val="16"/>
              </w:rPr>
            </w:pPr>
            <w:r>
              <w:rPr>
                <w:b/>
                <w:sz w:val="16"/>
              </w:rPr>
              <w:t>VBAT_RTC </w:t>
            </w:r>
            <w:r>
              <w:rPr>
                <w:b/>
                <w:spacing w:val="-3"/>
                <w:sz w:val="16"/>
              </w:rPr>
              <w:t>current </w:t>
            </w:r>
            <w:r>
              <w:rPr>
                <w:b/>
                <w:sz w:val="16"/>
              </w:rPr>
              <w:t>I10: </w:t>
            </w:r>
            <w:r>
              <w:rPr>
                <w:sz w:val="16"/>
              </w:rPr>
              <w:t>MSN</w:t>
            </w:r>
          </w:p>
          <w:p>
            <w:pPr>
              <w:pStyle w:val="TableParagraph"/>
              <w:spacing w:line="183" w:lineRule="exact"/>
              <w:ind w:left="78"/>
              <w:rPr>
                <w:sz w:val="16"/>
              </w:rPr>
            </w:pPr>
            <w:r>
              <w:rPr>
                <w:b/>
                <w:sz w:val="16"/>
              </w:rPr>
              <w:t>I11: </w:t>
            </w:r>
            <w:r>
              <w:rPr>
                <w:sz w:val="16"/>
              </w:rPr>
              <w:t>BRN</w:t>
            </w:r>
          </w:p>
          <w:p>
            <w:pPr>
              <w:pStyle w:val="TableParagraph"/>
              <w:spacing w:before="10"/>
              <w:rPr>
                <w:b/>
                <w:sz w:val="15"/>
              </w:rPr>
            </w:pPr>
          </w:p>
          <w:p>
            <w:pPr>
              <w:pStyle w:val="TableParagraph"/>
              <w:ind w:left="78"/>
              <w:rPr>
                <w:sz w:val="16"/>
              </w:rPr>
            </w:pPr>
            <w:r>
              <w:rPr>
                <w:b/>
                <w:sz w:val="16"/>
              </w:rPr>
              <w:t>I12: </w:t>
            </w:r>
            <w:r>
              <w:rPr>
                <w:sz w:val="16"/>
              </w:rPr>
              <w:t>LCD</w:t>
            </w:r>
            <w:r>
              <w:rPr>
                <w:spacing w:val="-4"/>
                <w:sz w:val="16"/>
              </w:rPr>
              <w:t> </w:t>
            </w:r>
            <w:r>
              <w:rPr>
                <w:sz w:val="16"/>
              </w:rPr>
              <w:t>Mode</w:t>
            </w:r>
          </w:p>
          <w:p>
            <w:pPr>
              <w:pStyle w:val="TableParagraph"/>
              <w:spacing w:before="1"/>
              <w:ind w:left="78"/>
              <w:rPr>
                <w:sz w:val="16"/>
              </w:rPr>
            </w:pPr>
            <w:r>
              <w:rPr>
                <w:b/>
                <w:sz w:val="16"/>
              </w:rPr>
              <w:t>I13: </w:t>
            </w:r>
            <w:r>
              <w:rPr>
                <w:sz w:val="16"/>
              </w:rPr>
              <w:t>SLP</w:t>
            </w:r>
            <w:r>
              <w:rPr>
                <w:spacing w:val="-4"/>
                <w:sz w:val="16"/>
              </w:rPr>
              <w:t> </w:t>
            </w:r>
            <w:r>
              <w:rPr>
                <w:sz w:val="16"/>
              </w:rPr>
              <w:t>Mode</w:t>
            </w:r>
          </w:p>
          <w:p>
            <w:pPr>
              <w:pStyle w:val="TableParagraph"/>
              <w:spacing w:before="1"/>
              <w:ind w:left="78"/>
              <w:rPr>
                <w:sz w:val="16"/>
              </w:rPr>
            </w:pPr>
            <w:r>
              <w:rPr>
                <w:b/>
                <w:sz w:val="16"/>
              </w:rPr>
              <w:t>I14: </w:t>
            </w:r>
            <w:r>
              <w:rPr>
                <w:sz w:val="16"/>
              </w:rPr>
              <w:t>SLP Mode (see note 1)</w:t>
            </w:r>
          </w:p>
        </w:tc>
        <w:tc>
          <w:tcPr>
            <w:tcW w:w="3547" w:type="dxa"/>
          </w:tcPr>
          <w:p>
            <w:pPr>
              <w:pStyle w:val="TableParagraph"/>
              <w:rPr>
                <w:b/>
                <w:sz w:val="18"/>
              </w:rPr>
            </w:pPr>
          </w:p>
          <w:p>
            <w:pPr>
              <w:pStyle w:val="TableParagraph"/>
              <w:rPr>
                <w:b/>
                <w:sz w:val="18"/>
              </w:rPr>
            </w:pPr>
          </w:p>
          <w:p>
            <w:pPr>
              <w:pStyle w:val="TableParagraph"/>
              <w:rPr>
                <w:b/>
                <w:sz w:val="18"/>
              </w:rPr>
            </w:pPr>
          </w:p>
          <w:p>
            <w:pPr>
              <w:pStyle w:val="TableParagraph"/>
              <w:spacing w:before="10"/>
              <w:rPr>
                <w:b/>
                <w:sz w:val="14"/>
              </w:rPr>
            </w:pPr>
          </w:p>
          <w:p>
            <w:pPr>
              <w:pStyle w:val="TableParagraph"/>
              <w:spacing w:line="252" w:lineRule="auto"/>
              <w:ind w:left="78" w:right="783"/>
              <w:rPr>
                <w:sz w:val="16"/>
              </w:rPr>
            </w:pPr>
            <w:r>
              <w:rPr>
                <w:rFonts w:ascii="Times New Roman" w:hAnsi="Times New Roman"/>
                <w:i/>
                <w:sz w:val="16"/>
              </w:rPr>
              <w:t>LCD_VMODE[1:0]</w:t>
            </w:r>
            <w:r>
              <w:rPr>
                <w:sz w:val="16"/>
              </w:rPr>
              <w:t>=2, also see note 3 </w:t>
            </w:r>
            <w:r>
              <w:rPr>
                <w:position w:val="2"/>
                <w:sz w:val="16"/>
              </w:rPr>
              <w:t>T</w:t>
            </w:r>
            <w:r>
              <w:rPr>
                <w:sz w:val="10"/>
              </w:rPr>
              <w:t>A </w:t>
            </w:r>
            <w:r>
              <w:rPr>
                <w:position w:val="2"/>
                <w:sz w:val="16"/>
              </w:rPr>
              <w:t>≤ 25</w:t>
            </w:r>
            <w:r>
              <w:rPr>
                <w:spacing w:val="-11"/>
                <w:position w:val="2"/>
                <w:sz w:val="16"/>
              </w:rPr>
              <w:t> </w:t>
            </w:r>
            <w:r>
              <w:rPr>
                <w:position w:val="2"/>
                <w:sz w:val="16"/>
              </w:rPr>
              <w:t>°C</w:t>
            </w:r>
          </w:p>
          <w:p>
            <w:pPr>
              <w:pStyle w:val="TableParagraph"/>
              <w:spacing w:line="175" w:lineRule="exact"/>
              <w:ind w:left="78"/>
              <w:rPr>
                <w:sz w:val="16"/>
              </w:rPr>
            </w:pPr>
            <w:r>
              <w:rPr>
                <w:position w:val="2"/>
                <w:sz w:val="16"/>
              </w:rPr>
              <w:t>T</w:t>
            </w:r>
            <w:r>
              <w:rPr>
                <w:sz w:val="10"/>
              </w:rPr>
              <w:t>A  </w:t>
            </w:r>
            <w:r>
              <w:rPr>
                <w:position w:val="2"/>
                <w:sz w:val="16"/>
              </w:rPr>
              <w:t>= 85</w:t>
            </w:r>
            <w:r>
              <w:rPr>
                <w:spacing w:val="-10"/>
                <w:position w:val="2"/>
                <w:sz w:val="16"/>
              </w:rPr>
              <w:t> </w:t>
            </w:r>
            <w:r>
              <w:rPr>
                <w:position w:val="2"/>
                <w:sz w:val="16"/>
              </w:rPr>
              <w:t>°C</w:t>
            </w:r>
          </w:p>
        </w:tc>
        <w:tc>
          <w:tcPr>
            <w:tcW w:w="1293" w:type="dxa"/>
          </w:tcPr>
          <w:p>
            <w:pPr>
              <w:pStyle w:val="TableParagraph"/>
              <w:spacing w:before="4"/>
              <w:rPr>
                <w:b/>
                <w:sz w:val="17"/>
              </w:rPr>
            </w:pPr>
          </w:p>
          <w:p>
            <w:pPr>
              <w:pStyle w:val="TableParagraph"/>
              <w:ind w:left="38" w:right="24"/>
              <w:jc w:val="center"/>
              <w:rPr>
                <w:sz w:val="16"/>
              </w:rPr>
            </w:pPr>
            <w:r>
              <w:rPr>
                <w:sz w:val="16"/>
              </w:rPr>
              <w:t>71M6543</w:t>
            </w:r>
          </w:p>
          <w:p>
            <w:pPr>
              <w:pStyle w:val="TableParagraph"/>
              <w:spacing w:before="1"/>
              <w:ind w:left="38" w:right="17"/>
              <w:jc w:val="center"/>
              <w:rPr>
                <w:sz w:val="16"/>
              </w:rPr>
            </w:pPr>
            <w:r>
              <w:rPr>
                <w:sz w:val="16"/>
              </w:rPr>
              <w:t>71M6543F/G</w:t>
            </w:r>
          </w:p>
          <w:p>
            <w:pPr>
              <w:pStyle w:val="TableParagraph"/>
              <w:spacing w:line="183" w:lineRule="exact" w:before="1"/>
              <w:ind w:left="38" w:right="24"/>
              <w:jc w:val="center"/>
              <w:rPr>
                <w:sz w:val="16"/>
              </w:rPr>
            </w:pPr>
            <w:r>
              <w:rPr>
                <w:sz w:val="16"/>
              </w:rPr>
              <w:t>71M6543G</w:t>
            </w:r>
          </w:p>
          <w:p>
            <w:pPr>
              <w:pStyle w:val="TableParagraph"/>
              <w:spacing w:line="183" w:lineRule="exact"/>
              <w:ind w:left="38" w:right="24"/>
              <w:jc w:val="center"/>
              <w:rPr>
                <w:sz w:val="16"/>
              </w:rPr>
            </w:pPr>
            <w:r>
              <w:rPr>
                <w:sz w:val="16"/>
              </w:rPr>
              <w:t>71M6543</w:t>
            </w:r>
          </w:p>
          <w:p>
            <w:pPr>
              <w:pStyle w:val="TableParagraph"/>
              <w:ind w:left="38" w:right="24"/>
              <w:jc w:val="center"/>
              <w:rPr>
                <w:sz w:val="16"/>
              </w:rPr>
            </w:pPr>
            <w:r>
              <w:rPr>
                <w:sz w:val="16"/>
              </w:rPr>
              <w:t>71M6543</w:t>
            </w:r>
          </w:p>
          <w:p>
            <w:pPr>
              <w:pStyle w:val="TableParagraph"/>
              <w:spacing w:before="1"/>
              <w:ind w:left="38" w:right="24"/>
              <w:jc w:val="center"/>
              <w:rPr>
                <w:sz w:val="16"/>
              </w:rPr>
            </w:pPr>
            <w:r>
              <w:rPr>
                <w:sz w:val="16"/>
              </w:rPr>
              <w:t>71M6543</w:t>
            </w:r>
          </w:p>
        </w:tc>
        <w:tc>
          <w:tcPr>
            <w:tcW w:w="609" w:type="dxa"/>
          </w:tcPr>
          <w:p>
            <w:pPr>
              <w:pStyle w:val="TableParagraph"/>
              <w:spacing w:before="4"/>
              <w:rPr>
                <w:b/>
                <w:sz w:val="17"/>
              </w:rPr>
            </w:pPr>
          </w:p>
          <w:p>
            <w:pPr>
              <w:pStyle w:val="TableParagraph"/>
              <w:ind w:right="114"/>
              <w:jc w:val="right"/>
              <w:rPr>
                <w:sz w:val="16"/>
              </w:rPr>
            </w:pPr>
            <w:r>
              <w:rPr>
                <w:sz w:val="16"/>
              </w:rPr>
              <w:t>-300</w:t>
            </w:r>
          </w:p>
        </w:tc>
        <w:tc>
          <w:tcPr>
            <w:tcW w:w="609" w:type="dxa"/>
          </w:tcPr>
          <w:p>
            <w:pPr>
              <w:pStyle w:val="TableParagraph"/>
              <w:spacing w:before="4"/>
              <w:rPr>
                <w:b/>
                <w:sz w:val="18"/>
              </w:rPr>
            </w:pPr>
          </w:p>
          <w:p>
            <w:pPr>
              <w:pStyle w:val="TableParagraph"/>
              <w:spacing w:before="1"/>
              <w:ind w:left="39"/>
              <w:jc w:val="center"/>
              <w:rPr>
                <w:sz w:val="16"/>
              </w:rPr>
            </w:pPr>
            <w:r>
              <w:rPr>
                <w:w w:val="100"/>
                <w:sz w:val="16"/>
              </w:rPr>
              <w:t>0</w:t>
            </w:r>
          </w:p>
          <w:p>
            <w:pPr>
              <w:pStyle w:val="TableParagraph"/>
              <w:spacing w:before="8"/>
              <w:ind w:left="160" w:right="122"/>
              <w:jc w:val="center"/>
              <w:rPr>
                <w:sz w:val="16"/>
              </w:rPr>
            </w:pPr>
            <w:r>
              <w:rPr>
                <w:sz w:val="16"/>
              </w:rPr>
              <w:t>240</w:t>
            </w:r>
          </w:p>
          <w:p>
            <w:pPr>
              <w:pStyle w:val="TableParagraph"/>
              <w:spacing w:before="10"/>
              <w:ind w:left="160" w:right="122"/>
              <w:jc w:val="center"/>
              <w:rPr>
                <w:sz w:val="16"/>
              </w:rPr>
            </w:pPr>
            <w:r>
              <w:rPr>
                <w:sz w:val="16"/>
              </w:rPr>
              <w:t>260</w:t>
            </w:r>
          </w:p>
          <w:p>
            <w:pPr>
              <w:pStyle w:val="TableParagraph"/>
              <w:spacing w:before="10"/>
              <w:ind w:left="160" w:right="121"/>
              <w:jc w:val="center"/>
              <w:rPr>
                <w:sz w:val="16"/>
              </w:rPr>
            </w:pPr>
            <w:r>
              <w:rPr>
                <w:sz w:val="16"/>
              </w:rPr>
              <w:t>1.8</w:t>
            </w:r>
          </w:p>
          <w:p>
            <w:pPr>
              <w:pStyle w:val="TableParagraph"/>
              <w:spacing w:line="183" w:lineRule="exact" w:before="1"/>
              <w:ind w:left="160" w:right="121"/>
              <w:jc w:val="center"/>
              <w:rPr>
                <w:sz w:val="16"/>
              </w:rPr>
            </w:pPr>
            <w:r>
              <w:rPr>
                <w:sz w:val="16"/>
              </w:rPr>
              <w:t>0.7</w:t>
            </w:r>
          </w:p>
          <w:p>
            <w:pPr>
              <w:pStyle w:val="TableParagraph"/>
              <w:spacing w:line="183" w:lineRule="exact"/>
              <w:ind w:left="160" w:right="121"/>
              <w:jc w:val="center"/>
              <w:rPr>
                <w:sz w:val="16"/>
              </w:rPr>
            </w:pPr>
            <w:r>
              <w:rPr>
                <w:sz w:val="16"/>
              </w:rPr>
              <w:t>1.5</w:t>
            </w:r>
          </w:p>
        </w:tc>
        <w:tc>
          <w:tcPr>
            <w:tcW w:w="635" w:type="dxa"/>
          </w:tcPr>
          <w:p>
            <w:pPr>
              <w:pStyle w:val="TableParagraph"/>
              <w:spacing w:before="4"/>
              <w:rPr>
                <w:b/>
                <w:sz w:val="18"/>
              </w:rPr>
            </w:pPr>
          </w:p>
          <w:p>
            <w:pPr>
              <w:pStyle w:val="TableParagraph"/>
              <w:spacing w:before="1"/>
              <w:ind w:left="198"/>
              <w:rPr>
                <w:sz w:val="16"/>
              </w:rPr>
            </w:pPr>
            <w:r>
              <w:rPr>
                <w:sz w:val="16"/>
              </w:rPr>
              <w:t>300</w:t>
            </w:r>
          </w:p>
          <w:p>
            <w:pPr>
              <w:pStyle w:val="TableParagraph"/>
              <w:spacing w:before="8"/>
              <w:ind w:left="198"/>
              <w:rPr>
                <w:sz w:val="16"/>
              </w:rPr>
            </w:pPr>
            <w:r>
              <w:rPr>
                <w:sz w:val="16"/>
              </w:rPr>
              <w:t>410</w:t>
            </w:r>
          </w:p>
          <w:p>
            <w:pPr>
              <w:pStyle w:val="TableParagraph"/>
              <w:spacing w:before="10"/>
              <w:ind w:left="198"/>
              <w:rPr>
                <w:sz w:val="16"/>
              </w:rPr>
            </w:pPr>
            <w:r>
              <w:rPr>
                <w:sz w:val="16"/>
              </w:rPr>
              <w:t>420</w:t>
            </w:r>
          </w:p>
          <w:p>
            <w:pPr>
              <w:pStyle w:val="TableParagraph"/>
              <w:spacing w:before="10"/>
              <w:ind w:left="219"/>
              <w:rPr>
                <w:sz w:val="16"/>
              </w:rPr>
            </w:pPr>
            <w:r>
              <w:rPr>
                <w:sz w:val="16"/>
              </w:rPr>
              <w:t>4.1</w:t>
            </w:r>
          </w:p>
          <w:p>
            <w:pPr>
              <w:pStyle w:val="TableParagraph"/>
              <w:spacing w:before="11"/>
              <w:ind w:left="219"/>
              <w:rPr>
                <w:sz w:val="16"/>
              </w:rPr>
            </w:pPr>
            <w:r>
              <w:rPr>
                <w:sz w:val="16"/>
              </w:rPr>
              <w:t>1.7</w:t>
            </w:r>
          </w:p>
          <w:p>
            <w:pPr>
              <w:pStyle w:val="TableParagraph"/>
              <w:spacing w:before="10"/>
              <w:ind w:left="219"/>
              <w:rPr>
                <w:sz w:val="16"/>
              </w:rPr>
            </w:pPr>
            <w:r>
              <w:rPr>
                <w:sz w:val="16"/>
              </w:rPr>
              <w:t>3.2</w:t>
            </w:r>
          </w:p>
        </w:tc>
        <w:tc>
          <w:tcPr>
            <w:tcW w:w="625" w:type="dxa"/>
          </w:tcPr>
          <w:p>
            <w:pPr>
              <w:pStyle w:val="TableParagraph"/>
              <w:spacing w:before="4"/>
              <w:rPr>
                <w:b/>
                <w:sz w:val="18"/>
              </w:rPr>
            </w:pPr>
          </w:p>
          <w:p>
            <w:pPr>
              <w:pStyle w:val="TableParagraph"/>
              <w:spacing w:line="252" w:lineRule="auto" w:before="1"/>
              <w:ind w:left="228" w:right="173"/>
              <w:jc w:val="both"/>
              <w:rPr>
                <w:sz w:val="16"/>
              </w:rPr>
            </w:pPr>
            <w:r>
              <w:rPr>
                <w:sz w:val="16"/>
              </w:rPr>
              <w:t>nA nA nA µA µA µA</w:t>
            </w:r>
          </w:p>
        </w:tc>
      </w:tr>
      <w:tr>
        <w:trPr>
          <w:trHeight w:val="284" w:hRule="atLeast"/>
        </w:trPr>
        <w:tc>
          <w:tcPr>
            <w:tcW w:w="2177" w:type="dxa"/>
            <w:vMerge w:val="restart"/>
          </w:tcPr>
          <w:p>
            <w:pPr>
              <w:pStyle w:val="TableParagraph"/>
              <w:spacing w:before="12"/>
              <w:ind w:left="78"/>
              <w:rPr>
                <w:b/>
                <w:sz w:val="16"/>
              </w:rPr>
            </w:pPr>
            <w:r>
              <w:rPr>
                <w:b/>
                <w:sz w:val="16"/>
              </w:rPr>
              <w:t>I15:</w:t>
            </w:r>
          </w:p>
          <w:p>
            <w:pPr>
              <w:pStyle w:val="TableParagraph"/>
              <w:spacing w:line="188" w:lineRule="exact" w:before="1"/>
              <w:ind w:left="78" w:right="71"/>
              <w:rPr>
                <w:sz w:val="16"/>
              </w:rPr>
            </w:pPr>
            <w:r>
              <w:rPr>
                <w:b/>
                <w:sz w:val="16"/>
              </w:rPr>
              <w:t>V3P3A + V3P3SYS </w:t>
            </w:r>
            <w:r>
              <w:rPr>
                <w:sz w:val="16"/>
              </w:rPr>
              <w:t>current, Write Flash with ICE</w:t>
            </w:r>
          </w:p>
        </w:tc>
        <w:tc>
          <w:tcPr>
            <w:tcW w:w="3547" w:type="dxa"/>
            <w:vMerge w:val="restart"/>
          </w:tcPr>
          <w:p>
            <w:pPr>
              <w:pStyle w:val="TableParagraph"/>
              <w:spacing w:line="182" w:lineRule="exact" w:before="108"/>
              <w:ind w:left="78"/>
              <w:rPr>
                <w:sz w:val="16"/>
              </w:rPr>
            </w:pPr>
            <w:r>
              <w:rPr>
                <w:sz w:val="16"/>
              </w:rPr>
              <w:t>Same as I1, except write </w:t>
            </w:r>
            <w:r>
              <w:rPr>
                <w:spacing w:val="-4"/>
                <w:sz w:val="16"/>
              </w:rPr>
              <w:t>Flash </w:t>
            </w:r>
            <w:r>
              <w:rPr>
                <w:spacing w:val="-3"/>
                <w:sz w:val="16"/>
              </w:rPr>
              <w:t>at </w:t>
            </w:r>
            <w:r>
              <w:rPr>
                <w:spacing w:val="-5"/>
                <w:sz w:val="16"/>
              </w:rPr>
              <w:t>maximum </w:t>
            </w:r>
            <w:r>
              <w:rPr>
                <w:spacing w:val="-6"/>
                <w:sz w:val="16"/>
              </w:rPr>
              <w:t>rate,</w:t>
            </w:r>
          </w:p>
          <w:p>
            <w:pPr>
              <w:pStyle w:val="TableParagraph"/>
              <w:spacing w:line="183" w:lineRule="exact"/>
              <w:ind w:left="78"/>
              <w:rPr>
                <w:sz w:val="16"/>
              </w:rPr>
            </w:pPr>
            <w:r>
              <w:rPr>
                <w:rFonts w:ascii="Times New Roman"/>
                <w:i/>
                <w:sz w:val="16"/>
              </w:rPr>
              <w:t>CE_E</w:t>
            </w:r>
            <w:r>
              <w:rPr>
                <w:sz w:val="16"/>
              </w:rPr>
              <w:t>=0, </w:t>
            </w:r>
            <w:r>
              <w:rPr>
                <w:rFonts w:ascii="Times New Roman"/>
                <w:i/>
                <w:sz w:val="16"/>
              </w:rPr>
              <w:t>ADC_E</w:t>
            </w:r>
            <w:r>
              <w:rPr>
                <w:sz w:val="16"/>
              </w:rPr>
              <w:t>=0.</w:t>
            </w:r>
          </w:p>
        </w:tc>
        <w:tc>
          <w:tcPr>
            <w:tcW w:w="1293" w:type="dxa"/>
          </w:tcPr>
          <w:p>
            <w:pPr>
              <w:pStyle w:val="TableParagraph"/>
              <w:spacing w:before="46"/>
              <w:ind w:left="38" w:right="19"/>
              <w:jc w:val="center"/>
              <w:rPr>
                <w:sz w:val="16"/>
              </w:rPr>
            </w:pPr>
            <w:r>
              <w:rPr>
                <w:sz w:val="16"/>
              </w:rPr>
              <w:t>71M6543F/G</w:t>
            </w:r>
          </w:p>
        </w:tc>
        <w:tc>
          <w:tcPr>
            <w:tcW w:w="609" w:type="dxa"/>
          </w:tcPr>
          <w:p>
            <w:pPr>
              <w:pStyle w:val="TableParagraph"/>
              <w:rPr>
                <w:rFonts w:ascii="Times New Roman"/>
                <w:sz w:val="16"/>
              </w:rPr>
            </w:pPr>
          </w:p>
        </w:tc>
        <w:tc>
          <w:tcPr>
            <w:tcW w:w="609" w:type="dxa"/>
          </w:tcPr>
          <w:p>
            <w:pPr>
              <w:pStyle w:val="TableParagraph"/>
              <w:spacing w:before="46"/>
              <w:ind w:left="202"/>
              <w:rPr>
                <w:sz w:val="16"/>
              </w:rPr>
            </w:pPr>
            <w:r>
              <w:rPr>
                <w:sz w:val="16"/>
              </w:rPr>
              <w:t>7.1</w:t>
            </w:r>
          </w:p>
        </w:tc>
        <w:tc>
          <w:tcPr>
            <w:tcW w:w="635" w:type="dxa"/>
          </w:tcPr>
          <w:p>
            <w:pPr>
              <w:pStyle w:val="TableParagraph"/>
              <w:spacing w:before="46"/>
              <w:ind w:left="153" w:right="105"/>
              <w:jc w:val="center"/>
              <w:rPr>
                <w:sz w:val="16"/>
              </w:rPr>
            </w:pPr>
            <w:r>
              <w:rPr>
                <w:sz w:val="16"/>
              </w:rPr>
              <w:t>8.7</w:t>
            </w:r>
          </w:p>
        </w:tc>
        <w:tc>
          <w:tcPr>
            <w:tcW w:w="625" w:type="dxa"/>
            <w:vMerge w:val="restart"/>
          </w:tcPr>
          <w:p>
            <w:pPr>
              <w:pStyle w:val="TableParagraph"/>
              <w:spacing w:before="4"/>
              <w:rPr>
                <w:b/>
                <w:sz w:val="17"/>
              </w:rPr>
            </w:pPr>
          </w:p>
          <w:p>
            <w:pPr>
              <w:pStyle w:val="TableParagraph"/>
              <w:ind w:left="206"/>
              <w:rPr>
                <w:sz w:val="16"/>
              </w:rPr>
            </w:pPr>
            <w:r>
              <w:rPr>
                <w:sz w:val="16"/>
              </w:rPr>
              <w:t>mA</w:t>
            </w:r>
          </w:p>
        </w:tc>
      </w:tr>
      <w:tr>
        <w:trPr>
          <w:trHeight w:val="287" w:hRule="atLeast"/>
        </w:trPr>
        <w:tc>
          <w:tcPr>
            <w:tcW w:w="2177" w:type="dxa"/>
            <w:vMerge/>
            <w:tcBorders>
              <w:top w:val="nil"/>
            </w:tcBorders>
          </w:tcPr>
          <w:p>
            <w:pPr>
              <w:rPr>
                <w:sz w:val="2"/>
                <w:szCs w:val="2"/>
              </w:rPr>
            </w:pPr>
          </w:p>
        </w:tc>
        <w:tc>
          <w:tcPr>
            <w:tcW w:w="3547" w:type="dxa"/>
            <w:vMerge/>
            <w:tcBorders>
              <w:top w:val="nil"/>
            </w:tcBorders>
          </w:tcPr>
          <w:p>
            <w:pPr>
              <w:rPr>
                <w:sz w:val="2"/>
                <w:szCs w:val="2"/>
              </w:rPr>
            </w:pPr>
          </w:p>
        </w:tc>
        <w:tc>
          <w:tcPr>
            <w:tcW w:w="1293" w:type="dxa"/>
          </w:tcPr>
          <w:p>
            <w:pPr>
              <w:pStyle w:val="TableParagraph"/>
              <w:spacing w:before="48"/>
              <w:ind w:left="38" w:right="24"/>
              <w:jc w:val="center"/>
              <w:rPr>
                <w:sz w:val="16"/>
              </w:rPr>
            </w:pPr>
            <w:r>
              <w:rPr>
                <w:sz w:val="16"/>
              </w:rPr>
              <w:t>71M6543G</w:t>
            </w:r>
          </w:p>
        </w:tc>
        <w:tc>
          <w:tcPr>
            <w:tcW w:w="609" w:type="dxa"/>
          </w:tcPr>
          <w:p>
            <w:pPr>
              <w:pStyle w:val="TableParagraph"/>
              <w:rPr>
                <w:rFonts w:ascii="Times New Roman"/>
                <w:sz w:val="16"/>
              </w:rPr>
            </w:pPr>
          </w:p>
        </w:tc>
        <w:tc>
          <w:tcPr>
            <w:tcW w:w="609" w:type="dxa"/>
          </w:tcPr>
          <w:p>
            <w:pPr>
              <w:pStyle w:val="TableParagraph"/>
              <w:spacing w:before="48"/>
              <w:ind w:left="202"/>
              <w:rPr>
                <w:sz w:val="16"/>
              </w:rPr>
            </w:pPr>
            <w:r>
              <w:rPr>
                <w:sz w:val="16"/>
              </w:rPr>
              <w:t>7.3</w:t>
            </w:r>
          </w:p>
        </w:tc>
        <w:tc>
          <w:tcPr>
            <w:tcW w:w="635" w:type="dxa"/>
          </w:tcPr>
          <w:p>
            <w:pPr>
              <w:pStyle w:val="TableParagraph"/>
              <w:spacing w:before="48"/>
              <w:ind w:left="153" w:right="105"/>
              <w:jc w:val="center"/>
              <w:rPr>
                <w:sz w:val="16"/>
              </w:rPr>
            </w:pPr>
            <w:r>
              <w:rPr>
                <w:sz w:val="16"/>
              </w:rPr>
              <w:t>8.7</w:t>
            </w:r>
          </w:p>
        </w:tc>
        <w:tc>
          <w:tcPr>
            <w:tcW w:w="625" w:type="dxa"/>
            <w:vMerge/>
            <w:tcBorders>
              <w:top w:val="nil"/>
            </w:tcBorders>
          </w:tcPr>
          <w:p>
            <w:pPr>
              <w:rPr>
                <w:sz w:val="2"/>
                <w:szCs w:val="2"/>
              </w:rPr>
            </w:pPr>
          </w:p>
        </w:tc>
      </w:tr>
      <w:tr>
        <w:trPr>
          <w:trHeight w:val="687" w:hRule="atLeast"/>
        </w:trPr>
        <w:tc>
          <w:tcPr>
            <w:tcW w:w="9495" w:type="dxa"/>
            <w:gridSpan w:val="7"/>
          </w:tcPr>
          <w:p>
            <w:pPr>
              <w:pStyle w:val="TableParagraph"/>
              <w:spacing w:line="178" w:lineRule="exact"/>
              <w:ind w:left="107"/>
              <w:rPr>
                <w:b/>
                <w:sz w:val="16"/>
              </w:rPr>
            </w:pPr>
            <w:r>
              <w:rPr>
                <w:b/>
                <w:sz w:val="16"/>
              </w:rPr>
              <w:t>Notes:</w:t>
            </w:r>
          </w:p>
          <w:p>
            <w:pPr>
              <w:pStyle w:val="TableParagraph"/>
              <w:tabs>
                <w:tab w:pos="827" w:val="left" w:leader="none"/>
              </w:tabs>
              <w:spacing w:line="160" w:lineRule="exact" w:before="5"/>
              <w:ind w:left="467"/>
              <w:rPr>
                <w:sz w:val="14"/>
              </w:rPr>
            </w:pPr>
            <w:r>
              <w:rPr>
                <w:sz w:val="14"/>
              </w:rPr>
              <w:t>1.</w:t>
              <w:tab/>
              <w:t>Guaranteed by design; not production tested.</w:t>
            </w:r>
          </w:p>
          <w:p>
            <w:pPr>
              <w:pStyle w:val="TableParagraph"/>
              <w:tabs>
                <w:tab w:pos="827" w:val="left" w:leader="none"/>
              </w:tabs>
              <w:spacing w:line="160" w:lineRule="exact"/>
              <w:ind w:left="467"/>
              <w:rPr>
                <w:sz w:val="14"/>
              </w:rPr>
            </w:pPr>
            <w:r>
              <w:rPr>
                <w:sz w:val="14"/>
              </w:rPr>
              <w:t>2.</w:t>
              <w:tab/>
            </w:r>
            <w:r>
              <w:rPr>
                <w:rFonts w:ascii="Times New Roman"/>
                <w:i/>
                <w:sz w:val="14"/>
              </w:rPr>
              <w:t>LCD_DAC[4:0]</w:t>
            </w:r>
            <w:r>
              <w:rPr>
                <w:sz w:val="14"/>
              </w:rPr>
              <w:t>=5 (2.9V), </w:t>
            </w:r>
            <w:r>
              <w:rPr>
                <w:rFonts w:ascii="Times New Roman"/>
                <w:i/>
                <w:sz w:val="14"/>
              </w:rPr>
              <w:t>LCD_CLK[1:0]</w:t>
            </w:r>
            <w:r>
              <w:rPr>
                <w:sz w:val="14"/>
              </w:rPr>
              <w:t>=2, </w:t>
            </w:r>
            <w:r>
              <w:rPr>
                <w:rFonts w:ascii="Times New Roman"/>
                <w:i/>
                <w:sz w:val="14"/>
              </w:rPr>
              <w:t>LCD_MODE[2:0]</w:t>
            </w:r>
            <w:r>
              <w:rPr>
                <w:sz w:val="14"/>
              </w:rPr>
              <w:t>=6, all </w:t>
            </w:r>
            <w:r>
              <w:rPr>
                <w:rFonts w:ascii="Times New Roman"/>
                <w:i/>
                <w:sz w:val="14"/>
              </w:rPr>
              <w:t>LCD_MAPn </w:t>
            </w:r>
            <w:r>
              <w:rPr>
                <w:sz w:val="14"/>
              </w:rPr>
              <w:t>bits =</w:t>
            </w:r>
            <w:r>
              <w:rPr>
                <w:spacing w:val="5"/>
                <w:sz w:val="14"/>
              </w:rPr>
              <w:t> </w:t>
            </w:r>
            <w:r>
              <w:rPr>
                <w:sz w:val="14"/>
              </w:rPr>
              <w:t>0.</w:t>
            </w:r>
          </w:p>
          <w:p>
            <w:pPr>
              <w:pStyle w:val="TableParagraph"/>
              <w:tabs>
                <w:tab w:pos="827" w:val="left" w:leader="none"/>
              </w:tabs>
              <w:spacing w:line="165" w:lineRule="exact"/>
              <w:ind w:left="467"/>
              <w:rPr>
                <w:sz w:val="14"/>
              </w:rPr>
            </w:pPr>
            <w:r>
              <w:rPr>
                <w:sz w:val="16"/>
              </w:rPr>
              <w:t>3.</w:t>
              <w:tab/>
            </w:r>
            <w:r>
              <w:rPr>
                <w:rFonts w:ascii="Times New Roman"/>
                <w:i/>
                <w:sz w:val="14"/>
              </w:rPr>
              <w:t>LCD_DAC[4:0]</w:t>
            </w:r>
            <w:r>
              <w:rPr>
                <w:sz w:val="14"/>
              </w:rPr>
              <w:t>=5</w:t>
            </w:r>
            <w:r>
              <w:rPr>
                <w:spacing w:val="-2"/>
                <w:sz w:val="14"/>
              </w:rPr>
              <w:t> </w:t>
            </w:r>
            <w:r>
              <w:rPr>
                <w:sz w:val="14"/>
              </w:rPr>
              <w:t>(2.9V),</w:t>
            </w:r>
            <w:r>
              <w:rPr>
                <w:spacing w:val="-2"/>
                <w:sz w:val="14"/>
              </w:rPr>
              <w:t> </w:t>
            </w:r>
            <w:r>
              <w:rPr>
                <w:rFonts w:ascii="Times New Roman"/>
                <w:i/>
                <w:sz w:val="14"/>
              </w:rPr>
              <w:t>LCD_CLK[1:0]</w:t>
            </w:r>
            <w:r>
              <w:rPr>
                <w:sz w:val="14"/>
              </w:rPr>
              <w:t>=2,</w:t>
            </w:r>
            <w:r>
              <w:rPr>
                <w:spacing w:val="-3"/>
                <w:sz w:val="14"/>
              </w:rPr>
              <w:t> </w:t>
            </w:r>
            <w:r>
              <w:rPr>
                <w:rFonts w:ascii="Times New Roman"/>
                <w:i/>
                <w:sz w:val="14"/>
              </w:rPr>
              <w:t>LCD_MODE[2:0]</w:t>
            </w:r>
            <w:r>
              <w:rPr>
                <w:sz w:val="14"/>
              </w:rPr>
              <w:t>=6,</w:t>
            </w:r>
            <w:r>
              <w:rPr>
                <w:spacing w:val="-4"/>
                <w:sz w:val="14"/>
              </w:rPr>
              <w:t> </w:t>
            </w:r>
            <w:r>
              <w:rPr>
                <w:rFonts w:ascii="Times New Roman"/>
                <w:i/>
                <w:sz w:val="14"/>
              </w:rPr>
              <w:t>LCD_BLANK</w:t>
            </w:r>
            <w:r>
              <w:rPr>
                <w:sz w:val="14"/>
              </w:rPr>
              <w:t>=0,</w:t>
            </w:r>
            <w:r>
              <w:rPr>
                <w:spacing w:val="-3"/>
                <w:sz w:val="14"/>
              </w:rPr>
              <w:t> </w:t>
            </w:r>
            <w:r>
              <w:rPr>
                <w:rFonts w:ascii="Times New Roman"/>
                <w:i/>
                <w:sz w:val="14"/>
              </w:rPr>
              <w:t>LCD_ON</w:t>
            </w:r>
            <w:r>
              <w:rPr>
                <w:sz w:val="14"/>
              </w:rPr>
              <w:t>=1,</w:t>
            </w:r>
            <w:r>
              <w:rPr>
                <w:spacing w:val="-2"/>
                <w:sz w:val="14"/>
              </w:rPr>
              <w:t> </w:t>
            </w:r>
            <w:r>
              <w:rPr>
                <w:sz w:val="14"/>
              </w:rPr>
              <w:t>all </w:t>
            </w:r>
            <w:r>
              <w:rPr>
                <w:rFonts w:ascii="Times New Roman"/>
                <w:i/>
                <w:sz w:val="14"/>
              </w:rPr>
              <w:t>LCD_MAPn </w:t>
            </w:r>
            <w:r>
              <w:rPr>
                <w:sz w:val="14"/>
              </w:rPr>
              <w:t>bits</w:t>
            </w:r>
            <w:r>
              <w:rPr>
                <w:spacing w:val="-3"/>
                <w:sz w:val="14"/>
              </w:rPr>
              <w:t> </w:t>
            </w:r>
            <w:r>
              <w:rPr>
                <w:sz w:val="14"/>
              </w:rPr>
              <w:t>=</w:t>
            </w:r>
            <w:r>
              <w:rPr>
                <w:spacing w:val="-1"/>
                <w:sz w:val="14"/>
              </w:rPr>
              <w:t> </w:t>
            </w:r>
            <w:r>
              <w:rPr>
                <w:sz w:val="14"/>
              </w:rPr>
              <w:t>1</w:t>
            </w:r>
            <w:r>
              <w:rPr>
                <w:spacing w:val="-5"/>
                <w:sz w:val="14"/>
              </w:rPr>
              <w:t> </w:t>
            </w:r>
            <w:r>
              <w:rPr>
                <w:sz w:val="14"/>
              </w:rPr>
              <w:t>and</w:t>
            </w:r>
            <w:r>
              <w:rPr>
                <w:spacing w:val="-4"/>
                <w:sz w:val="14"/>
              </w:rPr>
              <w:t> </w:t>
            </w:r>
            <w:r>
              <w:rPr>
                <w:sz w:val="14"/>
              </w:rPr>
              <w:t>VLCD</w:t>
            </w:r>
            <w:r>
              <w:rPr>
                <w:spacing w:val="-3"/>
                <w:sz w:val="14"/>
              </w:rPr>
              <w:t> </w:t>
            </w:r>
            <w:r>
              <w:rPr>
                <w:sz w:val="14"/>
              </w:rPr>
              <w:t>pin</w:t>
            </w:r>
            <w:r>
              <w:rPr>
                <w:spacing w:val="-5"/>
                <w:sz w:val="14"/>
              </w:rPr>
              <w:t> </w:t>
            </w:r>
            <w:r>
              <w:rPr>
                <w:sz w:val="14"/>
              </w:rPr>
              <w:t>=</w:t>
            </w:r>
            <w:r>
              <w:rPr>
                <w:spacing w:val="-1"/>
                <w:sz w:val="14"/>
              </w:rPr>
              <w:t> </w:t>
            </w:r>
            <w:r>
              <w:rPr>
                <w:sz w:val="14"/>
              </w:rPr>
              <w:t>3.3V.</w:t>
            </w:r>
          </w:p>
        </w:tc>
      </w:tr>
    </w:tbl>
    <w:p>
      <w:pPr>
        <w:spacing w:after="0" w:line="165" w:lineRule="exact"/>
        <w:rPr>
          <w:sz w:val="14"/>
        </w:rPr>
        <w:sectPr>
          <w:pgSz w:w="12240" w:h="15840"/>
          <w:pgMar w:header="727" w:footer="819" w:top="1160" w:bottom="1000" w:left="960" w:right="940"/>
        </w:sectPr>
      </w:pPr>
    </w:p>
    <w:p>
      <w:pPr>
        <w:pStyle w:val="BodyText"/>
        <w:rPr>
          <w:b/>
        </w:rPr>
      </w:pPr>
    </w:p>
    <w:p>
      <w:pPr>
        <w:pStyle w:val="BodyText"/>
        <w:spacing w:before="6"/>
        <w:rPr>
          <w:b/>
          <w:sz w:val="19"/>
        </w:rPr>
      </w:pPr>
    </w:p>
    <w:p>
      <w:pPr>
        <w:spacing w:after="0"/>
        <w:rPr>
          <w:sz w:val="19"/>
        </w:rPr>
        <w:sectPr>
          <w:pgSz w:w="12240" w:h="15840"/>
          <w:pgMar w:header="727" w:footer="819" w:top="1160" w:bottom="1000" w:left="960" w:right="940"/>
        </w:sectPr>
      </w:pPr>
    </w:p>
    <w:p>
      <w:pPr>
        <w:pStyle w:val="ListParagraph"/>
        <w:numPr>
          <w:ilvl w:val="2"/>
          <w:numId w:val="33"/>
        </w:numPr>
        <w:tabs>
          <w:tab w:pos="1199" w:val="left" w:leader="none"/>
          <w:tab w:pos="1200" w:val="left" w:leader="none"/>
        </w:tabs>
        <w:spacing w:line="240" w:lineRule="auto" w:before="94" w:after="0"/>
        <w:ind w:left="1199" w:right="0" w:hanging="720"/>
        <w:jc w:val="left"/>
        <w:rPr>
          <w:b/>
          <w:sz w:val="22"/>
        </w:rPr>
      </w:pPr>
      <w:bookmarkStart w:name="6.4.6 V3P3D Switch" w:id="536"/>
      <w:bookmarkEnd w:id="536"/>
      <w:r>
        <w:rPr/>
      </w:r>
      <w:bookmarkStart w:name="_bookmark261" w:id="537"/>
      <w:bookmarkEnd w:id="537"/>
      <w:r>
        <w:rPr/>
      </w:r>
      <w:bookmarkStart w:name="_bookmark261" w:id="538"/>
      <w:bookmarkEnd w:id="538"/>
      <w:r>
        <w:rPr>
          <w:b/>
          <w:sz w:val="22"/>
        </w:rPr>
        <w:t>V3P3</w:t>
      </w:r>
      <w:r>
        <w:rPr>
          <w:b/>
          <w:sz w:val="22"/>
        </w:rPr>
        <w:t>D</w:t>
      </w:r>
      <w:r>
        <w:rPr>
          <w:b/>
          <w:spacing w:val="5"/>
          <w:sz w:val="22"/>
        </w:rPr>
        <w:t> </w:t>
      </w:r>
      <w:r>
        <w:rPr>
          <w:b/>
          <w:spacing w:val="-4"/>
          <w:sz w:val="22"/>
        </w:rPr>
        <w:t>Switch</w:t>
      </w:r>
    </w:p>
    <w:p>
      <w:pPr>
        <w:pStyle w:val="BodyText"/>
        <w:rPr>
          <w:b/>
          <w:sz w:val="22"/>
        </w:rPr>
      </w:pPr>
      <w:r>
        <w:rPr/>
        <w:br w:type="column"/>
      </w:r>
      <w:r>
        <w:rPr>
          <w:b/>
          <w:sz w:val="22"/>
        </w:rPr>
      </w:r>
    </w:p>
    <w:p>
      <w:pPr>
        <w:pStyle w:val="BodyText"/>
        <w:spacing w:before="5"/>
        <w:rPr>
          <w:b/>
          <w:sz w:val="18"/>
        </w:rPr>
      </w:pPr>
    </w:p>
    <w:p>
      <w:pPr>
        <w:pStyle w:val="Heading1"/>
        <w:spacing w:before="1"/>
        <w:ind w:left="-24"/>
        <w:jc w:val="left"/>
      </w:pPr>
      <w:bookmarkStart w:name="_bookmark262" w:id="539"/>
      <w:bookmarkEnd w:id="539"/>
      <w:r>
        <w:rPr>
          <w:b w:val="0"/>
        </w:rPr>
      </w:r>
      <w:r>
        <w:rPr/>
        <w:t>Table 94: V3P3D Switch Performance Specifications</w:t>
      </w:r>
    </w:p>
    <w:p>
      <w:pPr>
        <w:spacing w:after="0"/>
        <w:jc w:val="left"/>
        <w:sectPr>
          <w:type w:val="continuous"/>
          <w:pgSz w:w="12240" w:h="15840"/>
          <w:pgMar w:top="940" w:bottom="280" w:left="960" w:right="940"/>
          <w:cols w:num="2" w:equalWidth="0">
            <w:col w:w="2670" w:space="40"/>
            <w:col w:w="7630"/>
          </w:cols>
        </w:sectPr>
      </w:pPr>
    </w:p>
    <w:p>
      <w:pPr>
        <w:pStyle w:val="BodyText"/>
        <w:spacing w:before="8"/>
        <w:rPr>
          <w:b/>
          <w:sz w:val="5"/>
        </w:rPr>
      </w:pPr>
    </w:p>
    <w:tbl>
      <w:tblPr>
        <w:tblW w:w="0" w:type="auto"/>
        <w:jc w:val="left"/>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562"/>
        <w:gridCol w:w="2316"/>
        <w:gridCol w:w="893"/>
        <w:gridCol w:w="804"/>
        <w:gridCol w:w="893"/>
        <w:gridCol w:w="893"/>
      </w:tblGrid>
      <w:tr>
        <w:trPr>
          <w:trHeight w:val="308" w:hRule="atLeast"/>
        </w:trPr>
        <w:tc>
          <w:tcPr>
            <w:tcW w:w="3562" w:type="dxa"/>
          </w:tcPr>
          <w:p>
            <w:pPr>
              <w:pStyle w:val="TableParagraph"/>
              <w:spacing w:before="35"/>
              <w:ind w:left="107"/>
              <w:rPr>
                <w:b/>
                <w:sz w:val="20"/>
              </w:rPr>
            </w:pPr>
            <w:r>
              <w:rPr>
                <w:b/>
                <w:sz w:val="20"/>
              </w:rPr>
              <w:t>Parameter</w:t>
            </w:r>
          </w:p>
        </w:tc>
        <w:tc>
          <w:tcPr>
            <w:tcW w:w="2316" w:type="dxa"/>
          </w:tcPr>
          <w:p>
            <w:pPr>
              <w:pStyle w:val="TableParagraph"/>
              <w:spacing w:before="35"/>
              <w:ind w:left="107"/>
              <w:rPr>
                <w:b/>
                <w:sz w:val="20"/>
              </w:rPr>
            </w:pPr>
            <w:r>
              <w:rPr>
                <w:b/>
                <w:sz w:val="20"/>
              </w:rPr>
              <w:t>Condition</w:t>
            </w:r>
          </w:p>
        </w:tc>
        <w:tc>
          <w:tcPr>
            <w:tcW w:w="893" w:type="dxa"/>
          </w:tcPr>
          <w:p>
            <w:pPr>
              <w:pStyle w:val="TableParagraph"/>
              <w:spacing w:before="35"/>
              <w:ind w:left="105" w:right="91"/>
              <w:jc w:val="center"/>
              <w:rPr>
                <w:b/>
                <w:sz w:val="20"/>
              </w:rPr>
            </w:pPr>
            <w:r>
              <w:rPr>
                <w:b/>
                <w:sz w:val="20"/>
              </w:rPr>
              <w:t>Min</w:t>
            </w:r>
          </w:p>
        </w:tc>
        <w:tc>
          <w:tcPr>
            <w:tcW w:w="804" w:type="dxa"/>
          </w:tcPr>
          <w:p>
            <w:pPr>
              <w:pStyle w:val="TableParagraph"/>
              <w:spacing w:before="35"/>
              <w:ind w:left="222"/>
              <w:rPr>
                <w:b/>
                <w:sz w:val="20"/>
              </w:rPr>
            </w:pPr>
            <w:r>
              <w:rPr>
                <w:b/>
                <w:sz w:val="20"/>
              </w:rPr>
              <w:t>Typ</w:t>
            </w:r>
          </w:p>
        </w:tc>
        <w:tc>
          <w:tcPr>
            <w:tcW w:w="893" w:type="dxa"/>
          </w:tcPr>
          <w:p>
            <w:pPr>
              <w:pStyle w:val="TableParagraph"/>
              <w:spacing w:before="35"/>
              <w:ind w:left="105" w:right="85"/>
              <w:jc w:val="center"/>
              <w:rPr>
                <w:b/>
                <w:sz w:val="20"/>
              </w:rPr>
            </w:pPr>
            <w:r>
              <w:rPr>
                <w:b/>
                <w:sz w:val="20"/>
              </w:rPr>
              <w:t>Max</w:t>
            </w:r>
          </w:p>
        </w:tc>
        <w:tc>
          <w:tcPr>
            <w:tcW w:w="893" w:type="dxa"/>
          </w:tcPr>
          <w:p>
            <w:pPr>
              <w:pStyle w:val="TableParagraph"/>
              <w:spacing w:before="35"/>
              <w:ind w:right="232"/>
              <w:jc w:val="right"/>
              <w:rPr>
                <w:b/>
                <w:sz w:val="20"/>
              </w:rPr>
            </w:pPr>
            <w:r>
              <w:rPr>
                <w:b/>
                <w:sz w:val="20"/>
              </w:rPr>
              <w:t>Unit</w:t>
            </w:r>
          </w:p>
        </w:tc>
      </w:tr>
      <w:tr>
        <w:trPr>
          <w:trHeight w:val="270" w:hRule="atLeast"/>
        </w:trPr>
        <w:tc>
          <w:tcPr>
            <w:tcW w:w="3562" w:type="dxa"/>
          </w:tcPr>
          <w:p>
            <w:pPr>
              <w:pStyle w:val="TableParagraph"/>
              <w:spacing w:line="230" w:lineRule="exact" w:before="20"/>
              <w:ind w:left="107"/>
              <w:rPr>
                <w:sz w:val="20"/>
              </w:rPr>
            </w:pPr>
            <w:r>
              <w:rPr>
                <w:sz w:val="20"/>
              </w:rPr>
              <w:t>On resistance – V3P3SYS to V3P3D</w:t>
            </w:r>
          </w:p>
        </w:tc>
        <w:tc>
          <w:tcPr>
            <w:tcW w:w="2316" w:type="dxa"/>
          </w:tcPr>
          <w:p>
            <w:pPr>
              <w:pStyle w:val="TableParagraph"/>
              <w:spacing w:line="230" w:lineRule="exact" w:before="20"/>
              <w:ind w:left="107"/>
              <w:rPr>
                <w:sz w:val="20"/>
              </w:rPr>
            </w:pPr>
            <w:r>
              <w:rPr>
                <w:sz w:val="20"/>
              </w:rPr>
              <w:t>| I</w:t>
            </w:r>
            <w:r>
              <w:rPr>
                <w:sz w:val="20"/>
                <w:vertAlign w:val="subscript"/>
              </w:rPr>
              <w:t>V3P3D</w:t>
            </w:r>
            <w:r>
              <w:rPr>
                <w:sz w:val="20"/>
                <w:vertAlign w:val="baseline"/>
              </w:rPr>
              <w:t> | ≤ 1 mA</w:t>
            </w:r>
          </w:p>
        </w:tc>
        <w:tc>
          <w:tcPr>
            <w:tcW w:w="893" w:type="dxa"/>
          </w:tcPr>
          <w:p>
            <w:pPr>
              <w:pStyle w:val="TableParagraph"/>
              <w:rPr>
                <w:rFonts w:ascii="Times New Roman"/>
                <w:sz w:val="18"/>
              </w:rPr>
            </w:pPr>
          </w:p>
        </w:tc>
        <w:tc>
          <w:tcPr>
            <w:tcW w:w="804" w:type="dxa"/>
          </w:tcPr>
          <w:p>
            <w:pPr>
              <w:pStyle w:val="TableParagraph"/>
              <w:rPr>
                <w:rFonts w:ascii="Times New Roman"/>
                <w:sz w:val="18"/>
              </w:rPr>
            </w:pPr>
          </w:p>
        </w:tc>
        <w:tc>
          <w:tcPr>
            <w:tcW w:w="893" w:type="dxa"/>
          </w:tcPr>
          <w:p>
            <w:pPr>
              <w:pStyle w:val="TableParagraph"/>
              <w:spacing w:line="230" w:lineRule="exact" w:before="20"/>
              <w:ind w:left="105" w:right="93"/>
              <w:jc w:val="center"/>
              <w:rPr>
                <w:sz w:val="20"/>
              </w:rPr>
            </w:pPr>
            <w:r>
              <w:rPr>
                <w:sz w:val="20"/>
              </w:rPr>
              <w:t>10</w:t>
            </w:r>
          </w:p>
        </w:tc>
        <w:tc>
          <w:tcPr>
            <w:tcW w:w="893" w:type="dxa"/>
          </w:tcPr>
          <w:p>
            <w:pPr>
              <w:pStyle w:val="TableParagraph"/>
              <w:spacing w:line="230" w:lineRule="exact" w:before="20"/>
              <w:ind w:left="17"/>
              <w:jc w:val="center"/>
              <w:rPr>
                <w:sz w:val="20"/>
              </w:rPr>
            </w:pPr>
            <w:r>
              <w:rPr>
                <w:w w:val="99"/>
                <w:sz w:val="20"/>
              </w:rPr>
              <w:t>Ω</w:t>
            </w:r>
          </w:p>
        </w:tc>
      </w:tr>
      <w:tr>
        <w:trPr>
          <w:trHeight w:val="500" w:hRule="atLeast"/>
        </w:trPr>
        <w:tc>
          <w:tcPr>
            <w:tcW w:w="3562" w:type="dxa"/>
          </w:tcPr>
          <w:p>
            <w:pPr>
              <w:pStyle w:val="TableParagraph"/>
              <w:spacing w:before="18"/>
              <w:ind w:left="107"/>
              <w:rPr>
                <w:sz w:val="20"/>
              </w:rPr>
            </w:pPr>
            <w:r>
              <w:rPr>
                <w:sz w:val="20"/>
              </w:rPr>
              <w:t>On resistance – VBAT to V3P3D</w:t>
            </w:r>
          </w:p>
        </w:tc>
        <w:tc>
          <w:tcPr>
            <w:tcW w:w="2316" w:type="dxa"/>
          </w:tcPr>
          <w:p>
            <w:pPr>
              <w:pStyle w:val="TableParagraph"/>
              <w:spacing w:line="230" w:lineRule="atLeast" w:before="18"/>
              <w:ind w:left="107"/>
              <w:rPr>
                <w:sz w:val="20"/>
              </w:rPr>
            </w:pPr>
            <w:r>
              <w:rPr>
                <w:sz w:val="20"/>
              </w:rPr>
              <w:t>| I</w:t>
            </w:r>
            <w:r>
              <w:rPr>
                <w:sz w:val="20"/>
                <w:vertAlign w:val="subscript"/>
              </w:rPr>
              <w:t>V3P3D</w:t>
            </w:r>
            <w:r>
              <w:rPr>
                <w:sz w:val="20"/>
                <w:vertAlign w:val="baseline"/>
              </w:rPr>
              <w:t> | ≤ 1 mA, VBAT&gt;2.5V</w:t>
            </w:r>
          </w:p>
        </w:tc>
        <w:tc>
          <w:tcPr>
            <w:tcW w:w="893" w:type="dxa"/>
          </w:tcPr>
          <w:p>
            <w:pPr>
              <w:pStyle w:val="TableParagraph"/>
              <w:rPr>
                <w:rFonts w:ascii="Times New Roman"/>
                <w:sz w:val="18"/>
              </w:rPr>
            </w:pPr>
          </w:p>
        </w:tc>
        <w:tc>
          <w:tcPr>
            <w:tcW w:w="804" w:type="dxa"/>
          </w:tcPr>
          <w:p>
            <w:pPr>
              <w:pStyle w:val="TableParagraph"/>
              <w:rPr>
                <w:rFonts w:ascii="Times New Roman"/>
                <w:sz w:val="18"/>
              </w:rPr>
            </w:pPr>
          </w:p>
        </w:tc>
        <w:tc>
          <w:tcPr>
            <w:tcW w:w="893" w:type="dxa"/>
          </w:tcPr>
          <w:p>
            <w:pPr>
              <w:pStyle w:val="TableParagraph"/>
              <w:spacing w:before="133"/>
              <w:ind w:left="105" w:right="93"/>
              <w:jc w:val="center"/>
              <w:rPr>
                <w:sz w:val="20"/>
              </w:rPr>
            </w:pPr>
            <w:r>
              <w:rPr>
                <w:sz w:val="20"/>
              </w:rPr>
              <w:t>10</w:t>
            </w:r>
          </w:p>
        </w:tc>
        <w:tc>
          <w:tcPr>
            <w:tcW w:w="893" w:type="dxa"/>
          </w:tcPr>
          <w:p>
            <w:pPr>
              <w:pStyle w:val="TableParagraph"/>
              <w:spacing w:before="133"/>
              <w:ind w:left="17"/>
              <w:jc w:val="center"/>
              <w:rPr>
                <w:sz w:val="20"/>
              </w:rPr>
            </w:pPr>
            <w:r>
              <w:rPr>
                <w:w w:val="99"/>
                <w:sz w:val="20"/>
              </w:rPr>
              <w:t>Ω</w:t>
            </w:r>
          </w:p>
        </w:tc>
      </w:tr>
      <w:tr>
        <w:trPr>
          <w:trHeight w:val="520" w:hRule="atLeast"/>
        </w:trPr>
        <w:tc>
          <w:tcPr>
            <w:tcW w:w="3562" w:type="dxa"/>
          </w:tcPr>
          <w:p>
            <w:pPr>
              <w:pStyle w:val="TableParagraph"/>
              <w:spacing w:before="18"/>
              <w:ind w:left="107"/>
              <w:rPr>
                <w:sz w:val="20"/>
              </w:rPr>
            </w:pPr>
            <w:r>
              <w:rPr>
                <w:sz w:val="20"/>
              </w:rPr>
              <w:t>V3P3D I</w:t>
            </w:r>
            <w:r>
              <w:rPr>
                <w:sz w:val="20"/>
                <w:vertAlign w:val="subscript"/>
              </w:rPr>
              <w:t>OH</w:t>
            </w:r>
            <w:r>
              <w:rPr>
                <w:sz w:val="20"/>
                <w:vertAlign w:val="baseline"/>
              </w:rPr>
              <w:t>, MSN</w:t>
            </w:r>
          </w:p>
        </w:tc>
        <w:tc>
          <w:tcPr>
            <w:tcW w:w="2316" w:type="dxa"/>
          </w:tcPr>
          <w:p>
            <w:pPr>
              <w:pStyle w:val="TableParagraph"/>
              <w:spacing w:line="252" w:lineRule="exact" w:before="4"/>
              <w:ind w:left="107" w:right="806"/>
              <w:rPr>
                <w:sz w:val="20"/>
              </w:rPr>
            </w:pPr>
            <w:r>
              <w:rPr>
                <w:sz w:val="20"/>
              </w:rPr>
              <w:t>V3P3SYS = 3V V3P3D = 2.9V</w:t>
            </w:r>
          </w:p>
        </w:tc>
        <w:tc>
          <w:tcPr>
            <w:tcW w:w="893" w:type="dxa"/>
          </w:tcPr>
          <w:p>
            <w:pPr>
              <w:pStyle w:val="TableParagraph"/>
              <w:spacing w:before="143"/>
              <w:ind w:left="105" w:right="92"/>
              <w:jc w:val="center"/>
              <w:rPr>
                <w:sz w:val="20"/>
              </w:rPr>
            </w:pPr>
            <w:r>
              <w:rPr>
                <w:sz w:val="20"/>
              </w:rPr>
              <w:t>10</w:t>
            </w:r>
          </w:p>
        </w:tc>
        <w:tc>
          <w:tcPr>
            <w:tcW w:w="804" w:type="dxa"/>
          </w:tcPr>
          <w:p>
            <w:pPr>
              <w:pStyle w:val="TableParagraph"/>
              <w:rPr>
                <w:rFonts w:ascii="Times New Roman"/>
                <w:sz w:val="18"/>
              </w:rPr>
            </w:pPr>
          </w:p>
        </w:tc>
        <w:tc>
          <w:tcPr>
            <w:tcW w:w="893" w:type="dxa"/>
          </w:tcPr>
          <w:p>
            <w:pPr>
              <w:pStyle w:val="TableParagraph"/>
              <w:rPr>
                <w:rFonts w:ascii="Times New Roman"/>
                <w:sz w:val="18"/>
              </w:rPr>
            </w:pPr>
          </w:p>
        </w:tc>
        <w:tc>
          <w:tcPr>
            <w:tcW w:w="893" w:type="dxa"/>
          </w:tcPr>
          <w:p>
            <w:pPr>
              <w:pStyle w:val="TableParagraph"/>
              <w:spacing w:before="143"/>
              <w:ind w:right="269"/>
              <w:jc w:val="right"/>
              <w:rPr>
                <w:sz w:val="20"/>
              </w:rPr>
            </w:pPr>
            <w:r>
              <w:rPr>
                <w:w w:val="95"/>
                <w:sz w:val="20"/>
              </w:rPr>
              <w:t>mA</w:t>
            </w:r>
          </w:p>
        </w:tc>
      </w:tr>
      <w:tr>
        <w:trPr>
          <w:trHeight w:val="520" w:hRule="atLeast"/>
        </w:trPr>
        <w:tc>
          <w:tcPr>
            <w:tcW w:w="3562" w:type="dxa"/>
          </w:tcPr>
          <w:p>
            <w:pPr>
              <w:pStyle w:val="TableParagraph"/>
              <w:spacing w:before="18"/>
              <w:ind w:left="107"/>
              <w:rPr>
                <w:sz w:val="20"/>
              </w:rPr>
            </w:pPr>
            <w:r>
              <w:rPr>
                <w:sz w:val="20"/>
              </w:rPr>
              <w:t>V3P3D I</w:t>
            </w:r>
            <w:r>
              <w:rPr>
                <w:sz w:val="20"/>
                <w:vertAlign w:val="subscript"/>
              </w:rPr>
              <w:t>OH</w:t>
            </w:r>
            <w:r>
              <w:rPr>
                <w:sz w:val="20"/>
                <w:vertAlign w:val="baseline"/>
              </w:rPr>
              <w:t>, BRN</w:t>
            </w:r>
          </w:p>
        </w:tc>
        <w:tc>
          <w:tcPr>
            <w:tcW w:w="2316" w:type="dxa"/>
          </w:tcPr>
          <w:p>
            <w:pPr>
              <w:pStyle w:val="TableParagraph"/>
              <w:spacing w:line="252" w:lineRule="exact" w:before="4"/>
              <w:ind w:left="107" w:right="806"/>
              <w:rPr>
                <w:sz w:val="20"/>
              </w:rPr>
            </w:pPr>
            <w:r>
              <w:rPr>
                <w:sz w:val="20"/>
              </w:rPr>
              <w:t>VBAT = 2.6V V3P3D = 2.5V</w:t>
            </w:r>
          </w:p>
        </w:tc>
        <w:tc>
          <w:tcPr>
            <w:tcW w:w="893" w:type="dxa"/>
          </w:tcPr>
          <w:p>
            <w:pPr>
              <w:pStyle w:val="TableParagraph"/>
              <w:spacing w:before="143"/>
              <w:ind w:left="105" w:right="92"/>
              <w:jc w:val="center"/>
              <w:rPr>
                <w:sz w:val="20"/>
              </w:rPr>
            </w:pPr>
            <w:r>
              <w:rPr>
                <w:sz w:val="20"/>
              </w:rPr>
              <w:t>10</w:t>
            </w:r>
          </w:p>
        </w:tc>
        <w:tc>
          <w:tcPr>
            <w:tcW w:w="804" w:type="dxa"/>
          </w:tcPr>
          <w:p>
            <w:pPr>
              <w:pStyle w:val="TableParagraph"/>
              <w:rPr>
                <w:rFonts w:ascii="Times New Roman"/>
                <w:sz w:val="18"/>
              </w:rPr>
            </w:pPr>
          </w:p>
        </w:tc>
        <w:tc>
          <w:tcPr>
            <w:tcW w:w="893" w:type="dxa"/>
          </w:tcPr>
          <w:p>
            <w:pPr>
              <w:pStyle w:val="TableParagraph"/>
              <w:rPr>
                <w:rFonts w:ascii="Times New Roman"/>
                <w:sz w:val="18"/>
              </w:rPr>
            </w:pPr>
          </w:p>
        </w:tc>
        <w:tc>
          <w:tcPr>
            <w:tcW w:w="893" w:type="dxa"/>
          </w:tcPr>
          <w:p>
            <w:pPr>
              <w:pStyle w:val="TableParagraph"/>
              <w:spacing w:before="143"/>
              <w:ind w:right="269"/>
              <w:jc w:val="right"/>
              <w:rPr>
                <w:sz w:val="20"/>
              </w:rPr>
            </w:pPr>
            <w:r>
              <w:rPr>
                <w:w w:val="95"/>
                <w:sz w:val="20"/>
              </w:rPr>
              <w:t>mA</w:t>
            </w:r>
          </w:p>
        </w:tc>
      </w:tr>
    </w:tbl>
    <w:p>
      <w:pPr>
        <w:pStyle w:val="BodyText"/>
        <w:spacing w:before="10"/>
        <w:rPr>
          <w:b/>
          <w:sz w:val="21"/>
        </w:rPr>
      </w:pPr>
    </w:p>
    <w:p>
      <w:pPr>
        <w:pStyle w:val="ListParagraph"/>
        <w:numPr>
          <w:ilvl w:val="2"/>
          <w:numId w:val="33"/>
        </w:numPr>
        <w:tabs>
          <w:tab w:pos="1199" w:val="left" w:leader="none"/>
          <w:tab w:pos="1200" w:val="left" w:leader="none"/>
        </w:tabs>
        <w:spacing w:line="240" w:lineRule="auto" w:before="94" w:after="0"/>
        <w:ind w:left="1199" w:right="0" w:hanging="720"/>
        <w:jc w:val="left"/>
        <w:rPr>
          <w:b/>
          <w:sz w:val="22"/>
        </w:rPr>
      </w:pPr>
      <w:bookmarkStart w:name="6.4.7 Internal Power Fault Comparators" w:id="540"/>
      <w:bookmarkEnd w:id="540"/>
      <w:r>
        <w:rPr/>
      </w:r>
      <w:bookmarkStart w:name="_bookmark263" w:id="541"/>
      <w:bookmarkEnd w:id="541"/>
      <w:r>
        <w:rPr/>
      </w:r>
      <w:bookmarkStart w:name="_bookmark263" w:id="542"/>
      <w:bookmarkEnd w:id="542"/>
      <w:r>
        <w:rPr>
          <w:b/>
          <w:sz w:val="22"/>
        </w:rPr>
        <w:t>I</w:t>
      </w:r>
      <w:r>
        <w:rPr>
          <w:b/>
          <w:sz w:val="22"/>
        </w:rPr>
        <w:t>nternal Power Fault</w:t>
      </w:r>
      <w:r>
        <w:rPr>
          <w:b/>
          <w:spacing w:val="2"/>
          <w:sz w:val="22"/>
        </w:rPr>
        <w:t> </w:t>
      </w:r>
      <w:r>
        <w:rPr>
          <w:b/>
          <w:sz w:val="22"/>
        </w:rPr>
        <w:t>Comparators</w:t>
      </w:r>
    </w:p>
    <w:p>
      <w:pPr>
        <w:pStyle w:val="Heading1"/>
        <w:spacing w:before="118"/>
        <w:ind w:left="1747"/>
        <w:jc w:val="left"/>
      </w:pPr>
      <w:bookmarkStart w:name="_bookmark264" w:id="543"/>
      <w:bookmarkEnd w:id="543"/>
      <w:r>
        <w:rPr>
          <w:b w:val="0"/>
        </w:rPr>
      </w:r>
      <w:r>
        <w:rPr/>
        <w:t>Table 95: Internal Power Fault Comparators Performance Specifications</w:t>
      </w:r>
    </w:p>
    <w:p>
      <w:pPr>
        <w:pStyle w:val="BodyText"/>
        <w:spacing w:before="8"/>
        <w:rPr>
          <w:b/>
          <w:sz w:val="5"/>
        </w:rPr>
      </w:pPr>
    </w:p>
    <w:tbl>
      <w:tblPr>
        <w:tblW w:w="0" w:type="auto"/>
        <w:jc w:val="left"/>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330"/>
        <w:gridCol w:w="2403"/>
        <w:gridCol w:w="593"/>
        <w:gridCol w:w="593"/>
        <w:gridCol w:w="646"/>
        <w:gridCol w:w="797"/>
      </w:tblGrid>
      <w:tr>
        <w:trPr>
          <w:trHeight w:val="311" w:hRule="atLeast"/>
        </w:trPr>
        <w:tc>
          <w:tcPr>
            <w:tcW w:w="4330" w:type="dxa"/>
          </w:tcPr>
          <w:p>
            <w:pPr>
              <w:pStyle w:val="TableParagraph"/>
              <w:spacing w:before="35"/>
              <w:ind w:left="78"/>
              <w:rPr>
                <w:b/>
                <w:sz w:val="20"/>
              </w:rPr>
            </w:pPr>
            <w:r>
              <w:rPr>
                <w:b/>
                <w:sz w:val="20"/>
              </w:rPr>
              <w:t>Parameter</w:t>
            </w:r>
          </w:p>
        </w:tc>
        <w:tc>
          <w:tcPr>
            <w:tcW w:w="2403" w:type="dxa"/>
          </w:tcPr>
          <w:p>
            <w:pPr>
              <w:pStyle w:val="TableParagraph"/>
              <w:spacing w:before="35"/>
              <w:ind w:left="78"/>
              <w:rPr>
                <w:b/>
                <w:sz w:val="20"/>
              </w:rPr>
            </w:pPr>
            <w:r>
              <w:rPr>
                <w:b/>
                <w:sz w:val="20"/>
              </w:rPr>
              <w:t>Condition</w:t>
            </w:r>
          </w:p>
        </w:tc>
        <w:tc>
          <w:tcPr>
            <w:tcW w:w="593" w:type="dxa"/>
          </w:tcPr>
          <w:p>
            <w:pPr>
              <w:pStyle w:val="TableParagraph"/>
              <w:spacing w:before="35"/>
              <w:ind w:left="88" w:right="53"/>
              <w:jc w:val="center"/>
              <w:rPr>
                <w:b/>
                <w:sz w:val="20"/>
              </w:rPr>
            </w:pPr>
            <w:r>
              <w:rPr>
                <w:b/>
                <w:sz w:val="20"/>
              </w:rPr>
              <w:t>Min</w:t>
            </w:r>
          </w:p>
        </w:tc>
        <w:tc>
          <w:tcPr>
            <w:tcW w:w="593" w:type="dxa"/>
          </w:tcPr>
          <w:p>
            <w:pPr>
              <w:pStyle w:val="TableParagraph"/>
              <w:spacing w:before="35"/>
              <w:ind w:left="125"/>
              <w:rPr>
                <w:b/>
                <w:sz w:val="20"/>
              </w:rPr>
            </w:pPr>
            <w:r>
              <w:rPr>
                <w:b/>
                <w:sz w:val="20"/>
              </w:rPr>
              <w:t>Typ</w:t>
            </w:r>
          </w:p>
        </w:tc>
        <w:tc>
          <w:tcPr>
            <w:tcW w:w="646" w:type="dxa"/>
          </w:tcPr>
          <w:p>
            <w:pPr>
              <w:pStyle w:val="TableParagraph"/>
              <w:spacing w:before="35"/>
              <w:ind w:left="112" w:right="77"/>
              <w:jc w:val="center"/>
              <w:rPr>
                <w:b/>
                <w:sz w:val="20"/>
              </w:rPr>
            </w:pPr>
            <w:r>
              <w:rPr>
                <w:b/>
                <w:sz w:val="20"/>
              </w:rPr>
              <w:t>Max</w:t>
            </w:r>
          </w:p>
        </w:tc>
        <w:tc>
          <w:tcPr>
            <w:tcW w:w="797" w:type="dxa"/>
          </w:tcPr>
          <w:p>
            <w:pPr>
              <w:pStyle w:val="TableParagraph"/>
              <w:spacing w:before="35"/>
              <w:ind w:left="191" w:right="157"/>
              <w:jc w:val="center"/>
              <w:rPr>
                <w:b/>
                <w:sz w:val="20"/>
              </w:rPr>
            </w:pPr>
            <w:r>
              <w:rPr>
                <w:b/>
                <w:sz w:val="20"/>
              </w:rPr>
              <w:t>Unit</w:t>
            </w:r>
          </w:p>
        </w:tc>
      </w:tr>
      <w:tr>
        <w:trPr>
          <w:trHeight w:val="529" w:hRule="atLeast"/>
        </w:trPr>
        <w:tc>
          <w:tcPr>
            <w:tcW w:w="4330" w:type="dxa"/>
          </w:tcPr>
          <w:p>
            <w:pPr>
              <w:pStyle w:val="TableParagraph"/>
              <w:spacing w:before="145"/>
              <w:ind w:left="78"/>
              <w:rPr>
                <w:sz w:val="20"/>
              </w:rPr>
            </w:pPr>
            <w:r>
              <w:rPr>
                <w:sz w:val="20"/>
              </w:rPr>
              <w:t>Overall response time</w:t>
            </w:r>
          </w:p>
        </w:tc>
        <w:tc>
          <w:tcPr>
            <w:tcW w:w="2403" w:type="dxa"/>
          </w:tcPr>
          <w:p>
            <w:pPr>
              <w:pStyle w:val="TableParagraph"/>
              <w:spacing w:before="32"/>
              <w:ind w:left="78"/>
              <w:rPr>
                <w:sz w:val="20"/>
              </w:rPr>
            </w:pPr>
            <w:r>
              <w:rPr>
                <w:sz w:val="20"/>
              </w:rPr>
              <w:t>100mV overdrive, falling 100mV overdrive, rising</w:t>
            </w:r>
          </w:p>
        </w:tc>
        <w:tc>
          <w:tcPr>
            <w:tcW w:w="593" w:type="dxa"/>
          </w:tcPr>
          <w:p>
            <w:pPr>
              <w:pStyle w:val="TableParagraph"/>
              <w:spacing w:before="32"/>
              <w:ind w:left="86" w:right="53"/>
              <w:jc w:val="center"/>
              <w:rPr>
                <w:sz w:val="20"/>
              </w:rPr>
            </w:pPr>
            <w:r>
              <w:rPr>
                <w:sz w:val="20"/>
              </w:rPr>
              <w:t>20</w:t>
            </w:r>
          </w:p>
        </w:tc>
        <w:tc>
          <w:tcPr>
            <w:tcW w:w="593" w:type="dxa"/>
          </w:tcPr>
          <w:p>
            <w:pPr>
              <w:pStyle w:val="TableParagraph"/>
              <w:rPr>
                <w:rFonts w:ascii="Times New Roman"/>
                <w:sz w:val="18"/>
              </w:rPr>
            </w:pPr>
          </w:p>
        </w:tc>
        <w:tc>
          <w:tcPr>
            <w:tcW w:w="646" w:type="dxa"/>
          </w:tcPr>
          <w:p>
            <w:pPr>
              <w:pStyle w:val="TableParagraph"/>
              <w:spacing w:line="229" w:lineRule="exact" w:before="32"/>
              <w:ind w:left="163"/>
              <w:rPr>
                <w:sz w:val="20"/>
              </w:rPr>
            </w:pPr>
            <w:r>
              <w:rPr>
                <w:sz w:val="20"/>
              </w:rPr>
              <w:t>200</w:t>
            </w:r>
          </w:p>
          <w:p>
            <w:pPr>
              <w:pStyle w:val="TableParagraph"/>
              <w:spacing w:line="229" w:lineRule="exact"/>
              <w:ind w:left="163"/>
              <w:rPr>
                <w:sz w:val="20"/>
              </w:rPr>
            </w:pPr>
            <w:r>
              <w:rPr>
                <w:sz w:val="20"/>
              </w:rPr>
              <w:t>200</w:t>
            </w:r>
          </w:p>
        </w:tc>
        <w:tc>
          <w:tcPr>
            <w:tcW w:w="797" w:type="dxa"/>
          </w:tcPr>
          <w:p>
            <w:pPr>
              <w:pStyle w:val="TableParagraph"/>
              <w:spacing w:line="245" w:lineRule="exact" w:before="19"/>
              <w:ind w:left="188" w:right="157"/>
              <w:jc w:val="center"/>
              <w:rPr>
                <w:sz w:val="20"/>
              </w:rPr>
            </w:pPr>
            <w:r>
              <w:rPr>
                <w:rFonts w:ascii="Symbol" w:hAnsi="Symbol"/>
                <w:sz w:val="20"/>
              </w:rPr>
              <w:t></w:t>
            </w:r>
            <w:r>
              <w:rPr>
                <w:sz w:val="20"/>
              </w:rPr>
              <w:t>s</w:t>
            </w:r>
          </w:p>
          <w:p>
            <w:pPr>
              <w:pStyle w:val="TableParagraph"/>
              <w:ind w:left="188" w:right="157"/>
              <w:jc w:val="center"/>
              <w:rPr>
                <w:sz w:val="20"/>
              </w:rPr>
            </w:pPr>
            <w:r>
              <w:rPr>
                <w:rFonts w:ascii="Symbol" w:hAnsi="Symbol"/>
                <w:sz w:val="20"/>
              </w:rPr>
              <w:t></w:t>
            </w:r>
            <w:r>
              <w:rPr>
                <w:sz w:val="20"/>
              </w:rPr>
              <w:t>s</w:t>
            </w:r>
          </w:p>
        </w:tc>
      </w:tr>
      <w:tr>
        <w:trPr>
          <w:trHeight w:val="249" w:hRule="atLeast"/>
        </w:trPr>
        <w:tc>
          <w:tcPr>
            <w:tcW w:w="4330" w:type="dxa"/>
            <w:tcBorders>
              <w:bottom w:val="nil"/>
            </w:tcBorders>
          </w:tcPr>
          <w:p>
            <w:pPr>
              <w:pStyle w:val="TableParagraph"/>
              <w:spacing w:line="214" w:lineRule="exact" w:before="16"/>
              <w:ind w:left="78"/>
              <w:rPr>
                <w:sz w:val="20"/>
              </w:rPr>
            </w:pPr>
            <w:r>
              <w:rPr>
                <w:sz w:val="20"/>
              </w:rPr>
              <w:t>Falling Threshold</w:t>
            </w:r>
          </w:p>
        </w:tc>
        <w:tc>
          <w:tcPr>
            <w:tcW w:w="2403" w:type="dxa"/>
            <w:tcBorders>
              <w:bottom w:val="nil"/>
            </w:tcBorders>
          </w:tcPr>
          <w:p>
            <w:pPr>
              <w:pStyle w:val="TableParagraph"/>
              <w:rPr>
                <w:rFonts w:ascii="Times New Roman"/>
                <w:sz w:val="18"/>
              </w:rPr>
            </w:pPr>
          </w:p>
        </w:tc>
        <w:tc>
          <w:tcPr>
            <w:tcW w:w="593" w:type="dxa"/>
            <w:tcBorders>
              <w:bottom w:val="nil"/>
            </w:tcBorders>
          </w:tcPr>
          <w:p>
            <w:pPr>
              <w:pStyle w:val="TableParagraph"/>
              <w:rPr>
                <w:rFonts w:ascii="Times New Roman"/>
                <w:sz w:val="18"/>
              </w:rPr>
            </w:pPr>
          </w:p>
        </w:tc>
        <w:tc>
          <w:tcPr>
            <w:tcW w:w="593" w:type="dxa"/>
            <w:tcBorders>
              <w:bottom w:val="nil"/>
            </w:tcBorders>
          </w:tcPr>
          <w:p>
            <w:pPr>
              <w:pStyle w:val="TableParagraph"/>
              <w:rPr>
                <w:rFonts w:ascii="Times New Roman"/>
                <w:sz w:val="18"/>
              </w:rPr>
            </w:pPr>
          </w:p>
        </w:tc>
        <w:tc>
          <w:tcPr>
            <w:tcW w:w="646" w:type="dxa"/>
            <w:tcBorders>
              <w:bottom w:val="nil"/>
            </w:tcBorders>
          </w:tcPr>
          <w:p>
            <w:pPr>
              <w:pStyle w:val="TableParagraph"/>
              <w:rPr>
                <w:rFonts w:ascii="Times New Roman"/>
                <w:sz w:val="18"/>
              </w:rPr>
            </w:pPr>
          </w:p>
        </w:tc>
        <w:tc>
          <w:tcPr>
            <w:tcW w:w="797" w:type="dxa"/>
            <w:tcBorders>
              <w:bottom w:val="nil"/>
            </w:tcBorders>
          </w:tcPr>
          <w:p>
            <w:pPr>
              <w:pStyle w:val="TableParagraph"/>
              <w:rPr>
                <w:rFonts w:ascii="Times New Roman"/>
                <w:sz w:val="18"/>
              </w:rPr>
            </w:pPr>
          </w:p>
        </w:tc>
      </w:tr>
      <w:tr>
        <w:trPr>
          <w:trHeight w:val="460" w:hRule="atLeast"/>
        </w:trPr>
        <w:tc>
          <w:tcPr>
            <w:tcW w:w="4330" w:type="dxa"/>
            <w:tcBorders>
              <w:top w:val="nil"/>
              <w:bottom w:val="nil"/>
            </w:tcBorders>
          </w:tcPr>
          <w:p>
            <w:pPr>
              <w:pStyle w:val="TableParagraph"/>
              <w:spacing w:line="227" w:lineRule="exact"/>
              <w:ind w:left="189"/>
              <w:rPr>
                <w:sz w:val="20"/>
              </w:rPr>
            </w:pPr>
            <w:r>
              <w:rPr>
                <w:sz w:val="20"/>
              </w:rPr>
              <w:t>3.0 V</w:t>
            </w:r>
            <w:r>
              <w:rPr>
                <w:spacing w:val="-10"/>
                <w:sz w:val="20"/>
              </w:rPr>
              <w:t> </w:t>
            </w:r>
            <w:r>
              <w:rPr>
                <w:sz w:val="20"/>
              </w:rPr>
              <w:t>Comparator</w:t>
            </w:r>
          </w:p>
          <w:p>
            <w:pPr>
              <w:pStyle w:val="TableParagraph"/>
              <w:spacing w:line="214" w:lineRule="exact"/>
              <w:ind w:left="189"/>
              <w:rPr>
                <w:sz w:val="20"/>
              </w:rPr>
            </w:pPr>
            <w:r>
              <w:rPr>
                <w:sz w:val="20"/>
              </w:rPr>
              <w:t>2.8 V</w:t>
            </w:r>
            <w:r>
              <w:rPr>
                <w:spacing w:val="-9"/>
                <w:sz w:val="20"/>
              </w:rPr>
              <w:t> </w:t>
            </w:r>
            <w:r>
              <w:rPr>
                <w:sz w:val="20"/>
              </w:rPr>
              <w:t>Comparator</w:t>
            </w:r>
          </w:p>
        </w:tc>
        <w:tc>
          <w:tcPr>
            <w:tcW w:w="2403" w:type="dxa"/>
            <w:tcBorders>
              <w:top w:val="nil"/>
              <w:bottom w:val="nil"/>
            </w:tcBorders>
          </w:tcPr>
          <w:p>
            <w:pPr>
              <w:pStyle w:val="TableParagraph"/>
              <w:spacing w:before="112"/>
              <w:ind w:left="78"/>
              <w:rPr>
                <w:sz w:val="20"/>
              </w:rPr>
            </w:pPr>
            <w:r>
              <w:rPr>
                <w:sz w:val="20"/>
              </w:rPr>
              <w:t>V3P3 falling</w:t>
            </w:r>
          </w:p>
        </w:tc>
        <w:tc>
          <w:tcPr>
            <w:tcW w:w="593" w:type="dxa"/>
            <w:tcBorders>
              <w:top w:val="nil"/>
              <w:bottom w:val="nil"/>
            </w:tcBorders>
          </w:tcPr>
          <w:p>
            <w:pPr>
              <w:pStyle w:val="TableParagraph"/>
              <w:spacing w:line="227" w:lineRule="exact"/>
              <w:ind w:left="111"/>
              <w:rPr>
                <w:sz w:val="20"/>
              </w:rPr>
            </w:pPr>
            <w:r>
              <w:rPr>
                <w:sz w:val="20"/>
              </w:rPr>
              <w:t>2.83</w:t>
            </w:r>
          </w:p>
          <w:p>
            <w:pPr>
              <w:pStyle w:val="TableParagraph"/>
              <w:spacing w:line="214" w:lineRule="exact"/>
              <w:ind w:left="111"/>
              <w:rPr>
                <w:sz w:val="20"/>
              </w:rPr>
            </w:pPr>
            <w:r>
              <w:rPr>
                <w:sz w:val="20"/>
              </w:rPr>
              <w:t>2.75</w:t>
            </w:r>
          </w:p>
        </w:tc>
        <w:tc>
          <w:tcPr>
            <w:tcW w:w="593" w:type="dxa"/>
            <w:tcBorders>
              <w:top w:val="nil"/>
              <w:bottom w:val="nil"/>
            </w:tcBorders>
          </w:tcPr>
          <w:p>
            <w:pPr>
              <w:pStyle w:val="TableParagraph"/>
              <w:spacing w:line="227" w:lineRule="exact"/>
              <w:ind w:left="108"/>
              <w:rPr>
                <w:sz w:val="20"/>
              </w:rPr>
            </w:pPr>
            <w:r>
              <w:rPr>
                <w:sz w:val="20"/>
              </w:rPr>
              <w:t>2.93</w:t>
            </w:r>
          </w:p>
          <w:p>
            <w:pPr>
              <w:pStyle w:val="TableParagraph"/>
              <w:spacing w:line="214" w:lineRule="exact"/>
              <w:ind w:left="108"/>
              <w:rPr>
                <w:sz w:val="20"/>
              </w:rPr>
            </w:pPr>
            <w:r>
              <w:rPr>
                <w:sz w:val="20"/>
              </w:rPr>
              <w:t>2.81</w:t>
            </w:r>
          </w:p>
        </w:tc>
        <w:tc>
          <w:tcPr>
            <w:tcW w:w="646" w:type="dxa"/>
            <w:tcBorders>
              <w:top w:val="nil"/>
              <w:bottom w:val="nil"/>
            </w:tcBorders>
          </w:tcPr>
          <w:p>
            <w:pPr>
              <w:pStyle w:val="TableParagraph"/>
              <w:spacing w:line="227" w:lineRule="exact"/>
              <w:ind w:left="135"/>
              <w:rPr>
                <w:sz w:val="20"/>
              </w:rPr>
            </w:pPr>
            <w:r>
              <w:rPr>
                <w:sz w:val="20"/>
              </w:rPr>
              <w:t>3.03</w:t>
            </w:r>
          </w:p>
          <w:p>
            <w:pPr>
              <w:pStyle w:val="TableParagraph"/>
              <w:spacing w:line="214" w:lineRule="exact"/>
              <w:ind w:left="135"/>
              <w:rPr>
                <w:sz w:val="20"/>
              </w:rPr>
            </w:pPr>
            <w:r>
              <w:rPr>
                <w:sz w:val="20"/>
              </w:rPr>
              <w:t>2.87</w:t>
            </w:r>
          </w:p>
        </w:tc>
        <w:tc>
          <w:tcPr>
            <w:tcW w:w="797" w:type="dxa"/>
            <w:tcBorders>
              <w:top w:val="nil"/>
              <w:bottom w:val="nil"/>
            </w:tcBorders>
          </w:tcPr>
          <w:p>
            <w:pPr>
              <w:pStyle w:val="TableParagraph"/>
              <w:spacing w:line="230" w:lineRule="exact"/>
              <w:ind w:left="338" w:right="303"/>
              <w:jc w:val="center"/>
              <w:rPr>
                <w:sz w:val="20"/>
              </w:rPr>
            </w:pPr>
            <w:r>
              <w:rPr>
                <w:sz w:val="20"/>
              </w:rPr>
              <w:t>V</w:t>
            </w:r>
            <w:r>
              <w:rPr>
                <w:w w:val="99"/>
                <w:sz w:val="20"/>
              </w:rPr>
              <w:t> </w:t>
            </w:r>
            <w:r>
              <w:rPr>
                <w:sz w:val="20"/>
              </w:rPr>
              <w:t>V</w:t>
            </w:r>
          </w:p>
        </w:tc>
      </w:tr>
      <w:tr>
        <w:trPr>
          <w:trHeight w:val="248" w:hRule="atLeast"/>
        </w:trPr>
        <w:tc>
          <w:tcPr>
            <w:tcW w:w="4330" w:type="dxa"/>
            <w:tcBorders>
              <w:top w:val="nil"/>
            </w:tcBorders>
          </w:tcPr>
          <w:p>
            <w:pPr>
              <w:pStyle w:val="TableParagraph"/>
              <w:spacing w:line="227" w:lineRule="exact"/>
              <w:ind w:left="189"/>
              <w:rPr>
                <w:sz w:val="20"/>
              </w:rPr>
            </w:pPr>
            <w:r>
              <w:rPr>
                <w:sz w:val="20"/>
              </w:rPr>
              <w:t>Difference 3.0V and 2.8V Comparators</w:t>
            </w:r>
          </w:p>
        </w:tc>
        <w:tc>
          <w:tcPr>
            <w:tcW w:w="2403" w:type="dxa"/>
            <w:tcBorders>
              <w:top w:val="nil"/>
            </w:tcBorders>
          </w:tcPr>
          <w:p>
            <w:pPr>
              <w:pStyle w:val="TableParagraph"/>
              <w:rPr>
                <w:rFonts w:ascii="Times New Roman"/>
                <w:sz w:val="18"/>
              </w:rPr>
            </w:pPr>
          </w:p>
        </w:tc>
        <w:tc>
          <w:tcPr>
            <w:tcW w:w="593" w:type="dxa"/>
            <w:tcBorders>
              <w:top w:val="nil"/>
            </w:tcBorders>
          </w:tcPr>
          <w:p>
            <w:pPr>
              <w:pStyle w:val="TableParagraph"/>
              <w:spacing w:line="227" w:lineRule="exact"/>
              <w:ind w:left="87" w:right="53"/>
              <w:jc w:val="center"/>
              <w:rPr>
                <w:sz w:val="20"/>
              </w:rPr>
            </w:pPr>
            <w:r>
              <w:rPr>
                <w:sz w:val="20"/>
              </w:rPr>
              <w:t>50</w:t>
            </w:r>
          </w:p>
        </w:tc>
        <w:tc>
          <w:tcPr>
            <w:tcW w:w="593" w:type="dxa"/>
            <w:tcBorders>
              <w:top w:val="nil"/>
            </w:tcBorders>
          </w:tcPr>
          <w:p>
            <w:pPr>
              <w:pStyle w:val="TableParagraph"/>
              <w:spacing w:line="227" w:lineRule="exact"/>
              <w:ind w:left="135"/>
              <w:rPr>
                <w:sz w:val="20"/>
              </w:rPr>
            </w:pPr>
            <w:r>
              <w:rPr>
                <w:sz w:val="20"/>
              </w:rPr>
              <w:t>136</w:t>
            </w:r>
          </w:p>
        </w:tc>
        <w:tc>
          <w:tcPr>
            <w:tcW w:w="646" w:type="dxa"/>
            <w:tcBorders>
              <w:top w:val="nil"/>
            </w:tcBorders>
          </w:tcPr>
          <w:p>
            <w:pPr>
              <w:pStyle w:val="TableParagraph"/>
              <w:spacing w:line="227" w:lineRule="exact"/>
              <w:ind w:left="112" w:right="80"/>
              <w:jc w:val="center"/>
              <w:rPr>
                <w:sz w:val="20"/>
              </w:rPr>
            </w:pPr>
            <w:r>
              <w:rPr>
                <w:sz w:val="20"/>
              </w:rPr>
              <w:t>220</w:t>
            </w:r>
          </w:p>
        </w:tc>
        <w:tc>
          <w:tcPr>
            <w:tcW w:w="797" w:type="dxa"/>
            <w:tcBorders>
              <w:top w:val="nil"/>
            </w:tcBorders>
          </w:tcPr>
          <w:p>
            <w:pPr>
              <w:pStyle w:val="TableParagraph"/>
              <w:spacing w:line="227" w:lineRule="exact"/>
              <w:ind w:left="191" w:right="152"/>
              <w:jc w:val="center"/>
              <w:rPr>
                <w:sz w:val="20"/>
              </w:rPr>
            </w:pPr>
            <w:r>
              <w:rPr>
                <w:sz w:val="20"/>
              </w:rPr>
              <w:t>mV</w:t>
            </w:r>
          </w:p>
        </w:tc>
      </w:tr>
      <w:tr>
        <w:trPr>
          <w:trHeight w:val="252" w:hRule="atLeast"/>
        </w:trPr>
        <w:tc>
          <w:tcPr>
            <w:tcW w:w="4330" w:type="dxa"/>
            <w:tcBorders>
              <w:bottom w:val="nil"/>
            </w:tcBorders>
          </w:tcPr>
          <w:p>
            <w:pPr>
              <w:pStyle w:val="TableParagraph"/>
              <w:spacing w:line="214" w:lineRule="exact" w:before="18"/>
              <w:ind w:left="78"/>
              <w:rPr>
                <w:sz w:val="20"/>
              </w:rPr>
            </w:pPr>
            <w:r>
              <w:rPr>
                <w:sz w:val="20"/>
              </w:rPr>
              <w:t>Falling Threshold</w:t>
            </w:r>
          </w:p>
        </w:tc>
        <w:tc>
          <w:tcPr>
            <w:tcW w:w="2403" w:type="dxa"/>
            <w:tcBorders>
              <w:bottom w:val="nil"/>
            </w:tcBorders>
          </w:tcPr>
          <w:p>
            <w:pPr>
              <w:pStyle w:val="TableParagraph"/>
              <w:rPr>
                <w:rFonts w:ascii="Times New Roman"/>
                <w:sz w:val="18"/>
              </w:rPr>
            </w:pPr>
          </w:p>
        </w:tc>
        <w:tc>
          <w:tcPr>
            <w:tcW w:w="593" w:type="dxa"/>
            <w:tcBorders>
              <w:bottom w:val="nil"/>
            </w:tcBorders>
          </w:tcPr>
          <w:p>
            <w:pPr>
              <w:pStyle w:val="TableParagraph"/>
              <w:rPr>
                <w:rFonts w:ascii="Times New Roman"/>
                <w:sz w:val="18"/>
              </w:rPr>
            </w:pPr>
          </w:p>
        </w:tc>
        <w:tc>
          <w:tcPr>
            <w:tcW w:w="593" w:type="dxa"/>
            <w:tcBorders>
              <w:bottom w:val="nil"/>
            </w:tcBorders>
          </w:tcPr>
          <w:p>
            <w:pPr>
              <w:pStyle w:val="TableParagraph"/>
              <w:rPr>
                <w:rFonts w:ascii="Times New Roman"/>
                <w:sz w:val="18"/>
              </w:rPr>
            </w:pPr>
          </w:p>
        </w:tc>
        <w:tc>
          <w:tcPr>
            <w:tcW w:w="646" w:type="dxa"/>
            <w:tcBorders>
              <w:bottom w:val="nil"/>
            </w:tcBorders>
          </w:tcPr>
          <w:p>
            <w:pPr>
              <w:pStyle w:val="TableParagraph"/>
              <w:rPr>
                <w:rFonts w:ascii="Times New Roman"/>
                <w:sz w:val="18"/>
              </w:rPr>
            </w:pPr>
          </w:p>
        </w:tc>
        <w:tc>
          <w:tcPr>
            <w:tcW w:w="797" w:type="dxa"/>
            <w:tcBorders>
              <w:bottom w:val="nil"/>
            </w:tcBorders>
          </w:tcPr>
          <w:p>
            <w:pPr>
              <w:pStyle w:val="TableParagraph"/>
              <w:rPr>
                <w:rFonts w:ascii="Times New Roman"/>
                <w:sz w:val="18"/>
              </w:rPr>
            </w:pPr>
          </w:p>
        </w:tc>
      </w:tr>
      <w:tr>
        <w:trPr>
          <w:trHeight w:val="229" w:hRule="atLeast"/>
        </w:trPr>
        <w:tc>
          <w:tcPr>
            <w:tcW w:w="4330" w:type="dxa"/>
            <w:tcBorders>
              <w:top w:val="nil"/>
              <w:bottom w:val="nil"/>
            </w:tcBorders>
          </w:tcPr>
          <w:p>
            <w:pPr>
              <w:pStyle w:val="TableParagraph"/>
              <w:spacing w:line="209" w:lineRule="exact"/>
              <w:ind w:left="189"/>
              <w:rPr>
                <w:sz w:val="20"/>
              </w:rPr>
            </w:pPr>
            <w:r>
              <w:rPr>
                <w:sz w:val="20"/>
              </w:rPr>
              <w:t>2.25 V Comparator</w:t>
            </w:r>
          </w:p>
        </w:tc>
        <w:tc>
          <w:tcPr>
            <w:tcW w:w="2403" w:type="dxa"/>
            <w:tcBorders>
              <w:top w:val="nil"/>
              <w:bottom w:val="nil"/>
            </w:tcBorders>
          </w:tcPr>
          <w:p>
            <w:pPr>
              <w:pStyle w:val="TableParagraph"/>
              <w:rPr>
                <w:rFonts w:ascii="Times New Roman"/>
                <w:sz w:val="16"/>
              </w:rPr>
            </w:pPr>
          </w:p>
        </w:tc>
        <w:tc>
          <w:tcPr>
            <w:tcW w:w="593" w:type="dxa"/>
            <w:tcBorders>
              <w:top w:val="nil"/>
              <w:bottom w:val="nil"/>
            </w:tcBorders>
          </w:tcPr>
          <w:p>
            <w:pPr>
              <w:pStyle w:val="TableParagraph"/>
              <w:spacing w:line="209" w:lineRule="exact"/>
              <w:ind w:left="89" w:right="53"/>
              <w:jc w:val="center"/>
              <w:rPr>
                <w:sz w:val="20"/>
              </w:rPr>
            </w:pPr>
            <w:r>
              <w:rPr>
                <w:sz w:val="20"/>
              </w:rPr>
              <w:t>2.2</w:t>
            </w:r>
          </w:p>
        </w:tc>
        <w:tc>
          <w:tcPr>
            <w:tcW w:w="593" w:type="dxa"/>
            <w:tcBorders>
              <w:top w:val="nil"/>
              <w:bottom w:val="nil"/>
            </w:tcBorders>
          </w:tcPr>
          <w:p>
            <w:pPr>
              <w:pStyle w:val="TableParagraph"/>
              <w:spacing w:line="209" w:lineRule="exact"/>
              <w:ind w:left="108"/>
              <w:rPr>
                <w:sz w:val="20"/>
              </w:rPr>
            </w:pPr>
            <w:r>
              <w:rPr>
                <w:sz w:val="20"/>
              </w:rPr>
              <w:t>2.25</w:t>
            </w:r>
          </w:p>
        </w:tc>
        <w:tc>
          <w:tcPr>
            <w:tcW w:w="646" w:type="dxa"/>
            <w:tcBorders>
              <w:top w:val="nil"/>
              <w:bottom w:val="nil"/>
            </w:tcBorders>
          </w:tcPr>
          <w:p>
            <w:pPr>
              <w:pStyle w:val="TableParagraph"/>
              <w:spacing w:line="209" w:lineRule="exact"/>
              <w:ind w:left="110" w:right="80"/>
              <w:jc w:val="center"/>
              <w:rPr>
                <w:sz w:val="20"/>
              </w:rPr>
            </w:pPr>
            <w:r>
              <w:rPr>
                <w:sz w:val="20"/>
              </w:rPr>
              <w:t>2.5</w:t>
            </w:r>
          </w:p>
        </w:tc>
        <w:tc>
          <w:tcPr>
            <w:tcW w:w="797" w:type="dxa"/>
            <w:tcBorders>
              <w:top w:val="nil"/>
              <w:bottom w:val="nil"/>
            </w:tcBorders>
          </w:tcPr>
          <w:p>
            <w:pPr>
              <w:pStyle w:val="TableParagraph"/>
              <w:spacing w:line="209" w:lineRule="exact"/>
              <w:ind w:left="33"/>
              <w:jc w:val="center"/>
              <w:rPr>
                <w:sz w:val="20"/>
              </w:rPr>
            </w:pPr>
            <w:r>
              <w:rPr>
                <w:w w:val="99"/>
                <w:sz w:val="20"/>
              </w:rPr>
              <w:t>V</w:t>
            </w:r>
          </w:p>
        </w:tc>
      </w:tr>
      <w:tr>
        <w:trPr>
          <w:trHeight w:val="229" w:hRule="atLeast"/>
        </w:trPr>
        <w:tc>
          <w:tcPr>
            <w:tcW w:w="4330" w:type="dxa"/>
            <w:tcBorders>
              <w:top w:val="nil"/>
              <w:bottom w:val="nil"/>
            </w:tcBorders>
          </w:tcPr>
          <w:p>
            <w:pPr>
              <w:pStyle w:val="TableParagraph"/>
              <w:spacing w:line="209" w:lineRule="exact"/>
              <w:ind w:left="189"/>
              <w:rPr>
                <w:sz w:val="20"/>
              </w:rPr>
            </w:pPr>
            <w:r>
              <w:rPr>
                <w:sz w:val="20"/>
              </w:rPr>
              <w:t>2.0 V Comparator</w:t>
            </w:r>
          </w:p>
        </w:tc>
        <w:tc>
          <w:tcPr>
            <w:tcW w:w="2403" w:type="dxa"/>
            <w:tcBorders>
              <w:top w:val="nil"/>
              <w:bottom w:val="nil"/>
            </w:tcBorders>
          </w:tcPr>
          <w:p>
            <w:pPr>
              <w:pStyle w:val="TableParagraph"/>
              <w:spacing w:line="209" w:lineRule="exact"/>
              <w:ind w:left="78"/>
              <w:rPr>
                <w:sz w:val="20"/>
              </w:rPr>
            </w:pPr>
            <w:r>
              <w:rPr>
                <w:sz w:val="20"/>
              </w:rPr>
              <w:t>VDD falling</w:t>
            </w:r>
          </w:p>
        </w:tc>
        <w:tc>
          <w:tcPr>
            <w:tcW w:w="593" w:type="dxa"/>
            <w:tcBorders>
              <w:top w:val="nil"/>
              <w:bottom w:val="nil"/>
            </w:tcBorders>
          </w:tcPr>
          <w:p>
            <w:pPr>
              <w:pStyle w:val="TableParagraph"/>
              <w:spacing w:line="209" w:lineRule="exact"/>
              <w:ind w:left="89" w:right="53"/>
              <w:jc w:val="center"/>
              <w:rPr>
                <w:sz w:val="20"/>
              </w:rPr>
            </w:pPr>
            <w:r>
              <w:rPr>
                <w:sz w:val="20"/>
              </w:rPr>
              <w:t>1.90</w:t>
            </w:r>
          </w:p>
        </w:tc>
        <w:tc>
          <w:tcPr>
            <w:tcW w:w="593" w:type="dxa"/>
            <w:tcBorders>
              <w:top w:val="nil"/>
              <w:bottom w:val="nil"/>
            </w:tcBorders>
          </w:tcPr>
          <w:p>
            <w:pPr>
              <w:pStyle w:val="TableParagraph"/>
              <w:spacing w:line="209" w:lineRule="exact"/>
              <w:ind w:left="108"/>
              <w:rPr>
                <w:sz w:val="20"/>
              </w:rPr>
            </w:pPr>
            <w:r>
              <w:rPr>
                <w:sz w:val="20"/>
              </w:rPr>
              <w:t>2.00</w:t>
            </w:r>
          </w:p>
        </w:tc>
        <w:tc>
          <w:tcPr>
            <w:tcW w:w="646" w:type="dxa"/>
            <w:tcBorders>
              <w:top w:val="nil"/>
              <w:bottom w:val="nil"/>
            </w:tcBorders>
          </w:tcPr>
          <w:p>
            <w:pPr>
              <w:pStyle w:val="TableParagraph"/>
              <w:spacing w:line="209" w:lineRule="exact"/>
              <w:ind w:left="110" w:right="80"/>
              <w:jc w:val="center"/>
              <w:rPr>
                <w:sz w:val="20"/>
              </w:rPr>
            </w:pPr>
            <w:r>
              <w:rPr>
                <w:sz w:val="20"/>
              </w:rPr>
              <w:t>2.20</w:t>
            </w:r>
          </w:p>
        </w:tc>
        <w:tc>
          <w:tcPr>
            <w:tcW w:w="797" w:type="dxa"/>
            <w:tcBorders>
              <w:top w:val="nil"/>
              <w:bottom w:val="nil"/>
            </w:tcBorders>
          </w:tcPr>
          <w:p>
            <w:pPr>
              <w:pStyle w:val="TableParagraph"/>
              <w:spacing w:line="209" w:lineRule="exact"/>
              <w:ind w:left="33"/>
              <w:jc w:val="center"/>
              <w:rPr>
                <w:sz w:val="20"/>
              </w:rPr>
            </w:pPr>
            <w:r>
              <w:rPr>
                <w:w w:val="99"/>
                <w:sz w:val="20"/>
              </w:rPr>
              <w:t>V</w:t>
            </w:r>
          </w:p>
        </w:tc>
      </w:tr>
      <w:tr>
        <w:trPr>
          <w:trHeight w:val="230" w:hRule="atLeast"/>
        </w:trPr>
        <w:tc>
          <w:tcPr>
            <w:tcW w:w="4330" w:type="dxa"/>
            <w:tcBorders>
              <w:top w:val="nil"/>
              <w:bottom w:val="nil"/>
            </w:tcBorders>
          </w:tcPr>
          <w:p>
            <w:pPr>
              <w:pStyle w:val="TableParagraph"/>
              <w:spacing w:line="210" w:lineRule="exact"/>
              <w:ind w:left="189"/>
              <w:rPr>
                <w:sz w:val="20"/>
              </w:rPr>
            </w:pPr>
            <w:r>
              <w:rPr>
                <w:sz w:val="20"/>
              </w:rPr>
              <w:t>VDD (@VBAT=3.0V) – 2.25V Comparator</w:t>
            </w:r>
          </w:p>
        </w:tc>
        <w:tc>
          <w:tcPr>
            <w:tcW w:w="2403" w:type="dxa"/>
            <w:tcBorders>
              <w:top w:val="nil"/>
              <w:bottom w:val="nil"/>
            </w:tcBorders>
          </w:tcPr>
          <w:p>
            <w:pPr>
              <w:pStyle w:val="TableParagraph"/>
              <w:rPr>
                <w:rFonts w:ascii="Times New Roman"/>
                <w:sz w:val="16"/>
              </w:rPr>
            </w:pPr>
          </w:p>
        </w:tc>
        <w:tc>
          <w:tcPr>
            <w:tcW w:w="593" w:type="dxa"/>
            <w:tcBorders>
              <w:top w:val="nil"/>
              <w:bottom w:val="nil"/>
            </w:tcBorders>
          </w:tcPr>
          <w:p>
            <w:pPr>
              <w:pStyle w:val="TableParagraph"/>
              <w:spacing w:line="210" w:lineRule="exact"/>
              <w:ind w:left="88" w:right="53"/>
              <w:jc w:val="center"/>
              <w:rPr>
                <w:sz w:val="20"/>
              </w:rPr>
            </w:pPr>
            <w:r>
              <w:rPr>
                <w:sz w:val="20"/>
              </w:rPr>
              <w:t>0.25</w:t>
            </w:r>
          </w:p>
        </w:tc>
        <w:tc>
          <w:tcPr>
            <w:tcW w:w="593" w:type="dxa"/>
            <w:tcBorders>
              <w:top w:val="nil"/>
              <w:bottom w:val="nil"/>
            </w:tcBorders>
          </w:tcPr>
          <w:p>
            <w:pPr>
              <w:pStyle w:val="TableParagraph"/>
              <w:spacing w:line="210" w:lineRule="exact"/>
              <w:ind w:left="108"/>
              <w:rPr>
                <w:sz w:val="20"/>
              </w:rPr>
            </w:pPr>
            <w:r>
              <w:rPr>
                <w:sz w:val="20"/>
              </w:rPr>
              <w:t>0.35</w:t>
            </w:r>
          </w:p>
        </w:tc>
        <w:tc>
          <w:tcPr>
            <w:tcW w:w="646" w:type="dxa"/>
            <w:tcBorders>
              <w:top w:val="nil"/>
              <w:bottom w:val="nil"/>
            </w:tcBorders>
          </w:tcPr>
          <w:p>
            <w:pPr>
              <w:pStyle w:val="TableParagraph"/>
              <w:spacing w:line="210" w:lineRule="exact"/>
              <w:ind w:left="109" w:right="80"/>
              <w:jc w:val="center"/>
              <w:rPr>
                <w:sz w:val="20"/>
              </w:rPr>
            </w:pPr>
            <w:r>
              <w:rPr>
                <w:sz w:val="20"/>
              </w:rPr>
              <w:t>0.45</w:t>
            </w:r>
          </w:p>
        </w:tc>
        <w:tc>
          <w:tcPr>
            <w:tcW w:w="797" w:type="dxa"/>
            <w:tcBorders>
              <w:top w:val="nil"/>
              <w:bottom w:val="nil"/>
            </w:tcBorders>
          </w:tcPr>
          <w:p>
            <w:pPr>
              <w:pStyle w:val="TableParagraph"/>
              <w:spacing w:line="210" w:lineRule="exact"/>
              <w:ind w:left="33"/>
              <w:jc w:val="center"/>
              <w:rPr>
                <w:sz w:val="20"/>
              </w:rPr>
            </w:pPr>
            <w:r>
              <w:rPr>
                <w:w w:val="99"/>
                <w:sz w:val="20"/>
              </w:rPr>
              <w:t>V</w:t>
            </w:r>
          </w:p>
        </w:tc>
      </w:tr>
      <w:tr>
        <w:trPr>
          <w:trHeight w:val="248" w:hRule="atLeast"/>
        </w:trPr>
        <w:tc>
          <w:tcPr>
            <w:tcW w:w="4330" w:type="dxa"/>
            <w:tcBorders>
              <w:top w:val="nil"/>
            </w:tcBorders>
          </w:tcPr>
          <w:p>
            <w:pPr>
              <w:pStyle w:val="TableParagraph"/>
              <w:spacing w:line="227" w:lineRule="exact"/>
              <w:ind w:left="189"/>
              <w:rPr>
                <w:sz w:val="20"/>
              </w:rPr>
            </w:pPr>
            <w:r>
              <w:rPr>
                <w:sz w:val="20"/>
              </w:rPr>
              <w:t>Difference 2.25V and 2.0V Comparators</w:t>
            </w:r>
          </w:p>
        </w:tc>
        <w:tc>
          <w:tcPr>
            <w:tcW w:w="2403" w:type="dxa"/>
            <w:tcBorders>
              <w:top w:val="nil"/>
            </w:tcBorders>
          </w:tcPr>
          <w:p>
            <w:pPr>
              <w:pStyle w:val="TableParagraph"/>
              <w:rPr>
                <w:rFonts w:ascii="Times New Roman"/>
                <w:sz w:val="18"/>
              </w:rPr>
            </w:pPr>
          </w:p>
        </w:tc>
        <w:tc>
          <w:tcPr>
            <w:tcW w:w="593" w:type="dxa"/>
            <w:tcBorders>
              <w:top w:val="nil"/>
            </w:tcBorders>
          </w:tcPr>
          <w:p>
            <w:pPr>
              <w:pStyle w:val="TableParagraph"/>
              <w:spacing w:line="227" w:lineRule="exact"/>
              <w:ind w:left="88" w:right="53"/>
              <w:jc w:val="center"/>
              <w:rPr>
                <w:sz w:val="20"/>
              </w:rPr>
            </w:pPr>
            <w:r>
              <w:rPr>
                <w:sz w:val="20"/>
              </w:rPr>
              <w:t>0.15</w:t>
            </w:r>
          </w:p>
        </w:tc>
        <w:tc>
          <w:tcPr>
            <w:tcW w:w="593" w:type="dxa"/>
            <w:tcBorders>
              <w:top w:val="nil"/>
            </w:tcBorders>
          </w:tcPr>
          <w:p>
            <w:pPr>
              <w:pStyle w:val="TableParagraph"/>
              <w:spacing w:line="227" w:lineRule="exact"/>
              <w:ind w:left="108"/>
              <w:rPr>
                <w:sz w:val="20"/>
              </w:rPr>
            </w:pPr>
            <w:r>
              <w:rPr>
                <w:sz w:val="20"/>
              </w:rPr>
              <w:t>0.25</w:t>
            </w:r>
          </w:p>
        </w:tc>
        <w:tc>
          <w:tcPr>
            <w:tcW w:w="646" w:type="dxa"/>
            <w:tcBorders>
              <w:top w:val="nil"/>
            </w:tcBorders>
          </w:tcPr>
          <w:p>
            <w:pPr>
              <w:pStyle w:val="TableParagraph"/>
              <w:spacing w:line="227" w:lineRule="exact"/>
              <w:ind w:left="110" w:right="80"/>
              <w:jc w:val="center"/>
              <w:rPr>
                <w:sz w:val="20"/>
              </w:rPr>
            </w:pPr>
            <w:r>
              <w:rPr>
                <w:sz w:val="20"/>
              </w:rPr>
              <w:t>0.35</w:t>
            </w:r>
          </w:p>
        </w:tc>
        <w:tc>
          <w:tcPr>
            <w:tcW w:w="797" w:type="dxa"/>
            <w:tcBorders>
              <w:top w:val="nil"/>
            </w:tcBorders>
          </w:tcPr>
          <w:p>
            <w:pPr>
              <w:pStyle w:val="TableParagraph"/>
              <w:spacing w:line="227" w:lineRule="exact"/>
              <w:ind w:left="33"/>
              <w:jc w:val="center"/>
              <w:rPr>
                <w:sz w:val="20"/>
              </w:rPr>
            </w:pPr>
            <w:r>
              <w:rPr>
                <w:w w:val="99"/>
                <w:sz w:val="20"/>
              </w:rPr>
              <w:t>V</w:t>
            </w:r>
          </w:p>
        </w:tc>
      </w:tr>
      <w:tr>
        <w:trPr>
          <w:trHeight w:val="252" w:hRule="atLeast"/>
        </w:trPr>
        <w:tc>
          <w:tcPr>
            <w:tcW w:w="4330" w:type="dxa"/>
            <w:tcBorders>
              <w:bottom w:val="nil"/>
            </w:tcBorders>
          </w:tcPr>
          <w:p>
            <w:pPr>
              <w:pStyle w:val="TableParagraph"/>
              <w:spacing w:line="214" w:lineRule="exact" w:before="18"/>
              <w:ind w:left="78"/>
              <w:rPr>
                <w:sz w:val="20"/>
              </w:rPr>
            </w:pPr>
            <w:r>
              <w:rPr>
                <w:sz w:val="20"/>
              </w:rPr>
              <w:t>Hysteresis,</w:t>
            </w:r>
          </w:p>
        </w:tc>
        <w:tc>
          <w:tcPr>
            <w:tcW w:w="2403" w:type="dxa"/>
            <w:tcBorders>
              <w:bottom w:val="nil"/>
            </w:tcBorders>
          </w:tcPr>
          <w:p>
            <w:pPr>
              <w:pStyle w:val="TableParagraph"/>
              <w:rPr>
                <w:rFonts w:ascii="Times New Roman"/>
                <w:sz w:val="18"/>
              </w:rPr>
            </w:pPr>
          </w:p>
        </w:tc>
        <w:tc>
          <w:tcPr>
            <w:tcW w:w="593" w:type="dxa"/>
            <w:tcBorders>
              <w:bottom w:val="nil"/>
            </w:tcBorders>
          </w:tcPr>
          <w:p>
            <w:pPr>
              <w:pStyle w:val="TableParagraph"/>
              <w:rPr>
                <w:rFonts w:ascii="Times New Roman"/>
                <w:sz w:val="18"/>
              </w:rPr>
            </w:pPr>
          </w:p>
        </w:tc>
        <w:tc>
          <w:tcPr>
            <w:tcW w:w="593" w:type="dxa"/>
            <w:tcBorders>
              <w:bottom w:val="nil"/>
            </w:tcBorders>
          </w:tcPr>
          <w:p>
            <w:pPr>
              <w:pStyle w:val="TableParagraph"/>
              <w:rPr>
                <w:rFonts w:ascii="Times New Roman"/>
                <w:sz w:val="18"/>
              </w:rPr>
            </w:pPr>
          </w:p>
        </w:tc>
        <w:tc>
          <w:tcPr>
            <w:tcW w:w="646" w:type="dxa"/>
            <w:tcBorders>
              <w:bottom w:val="nil"/>
            </w:tcBorders>
          </w:tcPr>
          <w:p>
            <w:pPr>
              <w:pStyle w:val="TableParagraph"/>
              <w:rPr>
                <w:rFonts w:ascii="Times New Roman"/>
                <w:sz w:val="18"/>
              </w:rPr>
            </w:pPr>
          </w:p>
        </w:tc>
        <w:tc>
          <w:tcPr>
            <w:tcW w:w="797" w:type="dxa"/>
            <w:tcBorders>
              <w:bottom w:val="nil"/>
            </w:tcBorders>
          </w:tcPr>
          <w:p>
            <w:pPr>
              <w:pStyle w:val="TableParagraph"/>
              <w:rPr>
                <w:rFonts w:ascii="Times New Roman"/>
                <w:sz w:val="18"/>
              </w:rPr>
            </w:pPr>
          </w:p>
        </w:tc>
      </w:tr>
      <w:tr>
        <w:trPr>
          <w:trHeight w:val="230" w:hRule="atLeast"/>
        </w:trPr>
        <w:tc>
          <w:tcPr>
            <w:tcW w:w="4330" w:type="dxa"/>
            <w:tcBorders>
              <w:top w:val="nil"/>
              <w:bottom w:val="nil"/>
            </w:tcBorders>
          </w:tcPr>
          <w:p>
            <w:pPr>
              <w:pStyle w:val="TableParagraph"/>
              <w:spacing w:line="210" w:lineRule="exact"/>
              <w:ind w:left="78"/>
              <w:rPr>
                <w:sz w:val="20"/>
              </w:rPr>
            </w:pPr>
            <w:r>
              <w:rPr>
                <w:sz w:val="20"/>
              </w:rPr>
              <w:t>(Rising Threshold - Falling Threshold)</w:t>
            </w:r>
          </w:p>
        </w:tc>
        <w:tc>
          <w:tcPr>
            <w:tcW w:w="2403" w:type="dxa"/>
            <w:tcBorders>
              <w:top w:val="nil"/>
              <w:bottom w:val="nil"/>
            </w:tcBorders>
          </w:tcPr>
          <w:p>
            <w:pPr>
              <w:pStyle w:val="TableParagraph"/>
              <w:rPr>
                <w:rFonts w:ascii="Times New Roman"/>
                <w:sz w:val="16"/>
              </w:rPr>
            </w:pPr>
          </w:p>
        </w:tc>
        <w:tc>
          <w:tcPr>
            <w:tcW w:w="593" w:type="dxa"/>
            <w:tcBorders>
              <w:top w:val="nil"/>
              <w:bottom w:val="nil"/>
            </w:tcBorders>
          </w:tcPr>
          <w:p>
            <w:pPr>
              <w:pStyle w:val="TableParagraph"/>
              <w:rPr>
                <w:rFonts w:ascii="Times New Roman"/>
                <w:sz w:val="16"/>
              </w:rPr>
            </w:pPr>
          </w:p>
        </w:tc>
        <w:tc>
          <w:tcPr>
            <w:tcW w:w="593" w:type="dxa"/>
            <w:tcBorders>
              <w:top w:val="nil"/>
              <w:bottom w:val="nil"/>
            </w:tcBorders>
          </w:tcPr>
          <w:p>
            <w:pPr>
              <w:pStyle w:val="TableParagraph"/>
              <w:rPr>
                <w:rFonts w:ascii="Times New Roman"/>
                <w:sz w:val="16"/>
              </w:rPr>
            </w:pPr>
          </w:p>
        </w:tc>
        <w:tc>
          <w:tcPr>
            <w:tcW w:w="646" w:type="dxa"/>
            <w:tcBorders>
              <w:top w:val="nil"/>
              <w:bottom w:val="nil"/>
            </w:tcBorders>
          </w:tcPr>
          <w:p>
            <w:pPr>
              <w:pStyle w:val="TableParagraph"/>
              <w:rPr>
                <w:rFonts w:ascii="Times New Roman"/>
                <w:sz w:val="16"/>
              </w:rPr>
            </w:pPr>
          </w:p>
        </w:tc>
        <w:tc>
          <w:tcPr>
            <w:tcW w:w="797" w:type="dxa"/>
            <w:tcBorders>
              <w:top w:val="nil"/>
              <w:bottom w:val="nil"/>
            </w:tcBorders>
          </w:tcPr>
          <w:p>
            <w:pPr>
              <w:pStyle w:val="TableParagraph"/>
              <w:rPr>
                <w:rFonts w:ascii="Times New Roman"/>
                <w:sz w:val="16"/>
              </w:rPr>
            </w:pPr>
          </w:p>
        </w:tc>
      </w:tr>
      <w:tr>
        <w:trPr>
          <w:trHeight w:val="458" w:hRule="atLeast"/>
        </w:trPr>
        <w:tc>
          <w:tcPr>
            <w:tcW w:w="4330" w:type="dxa"/>
            <w:tcBorders>
              <w:top w:val="nil"/>
              <w:bottom w:val="nil"/>
            </w:tcBorders>
          </w:tcPr>
          <w:p>
            <w:pPr>
              <w:pStyle w:val="TableParagraph"/>
              <w:spacing w:line="226" w:lineRule="exact"/>
              <w:ind w:left="188"/>
              <w:rPr>
                <w:sz w:val="20"/>
              </w:rPr>
            </w:pPr>
            <w:r>
              <w:rPr>
                <w:sz w:val="20"/>
              </w:rPr>
              <w:t>3.0 V</w:t>
            </w:r>
            <w:r>
              <w:rPr>
                <w:spacing w:val="-10"/>
                <w:sz w:val="20"/>
              </w:rPr>
              <w:t> </w:t>
            </w:r>
            <w:r>
              <w:rPr>
                <w:sz w:val="20"/>
              </w:rPr>
              <w:t>Comparator</w:t>
            </w:r>
          </w:p>
          <w:p>
            <w:pPr>
              <w:pStyle w:val="TableParagraph"/>
              <w:spacing w:line="213" w:lineRule="exact"/>
              <w:ind w:left="188"/>
              <w:rPr>
                <w:sz w:val="20"/>
              </w:rPr>
            </w:pPr>
            <w:r>
              <w:rPr>
                <w:sz w:val="20"/>
              </w:rPr>
              <w:t>2.8 V</w:t>
            </w:r>
            <w:r>
              <w:rPr>
                <w:spacing w:val="-10"/>
                <w:sz w:val="20"/>
              </w:rPr>
              <w:t> </w:t>
            </w:r>
            <w:r>
              <w:rPr>
                <w:sz w:val="20"/>
              </w:rPr>
              <w:t>Comparator</w:t>
            </w:r>
          </w:p>
        </w:tc>
        <w:tc>
          <w:tcPr>
            <w:tcW w:w="2403" w:type="dxa"/>
            <w:tcBorders>
              <w:top w:val="nil"/>
              <w:bottom w:val="nil"/>
            </w:tcBorders>
          </w:tcPr>
          <w:p>
            <w:pPr>
              <w:pStyle w:val="TableParagraph"/>
              <w:spacing w:before="109"/>
              <w:ind w:left="78"/>
              <w:rPr>
                <w:sz w:val="20"/>
              </w:rPr>
            </w:pPr>
            <w:r>
              <w:rPr>
                <w:sz w:val="20"/>
              </w:rPr>
              <w:t>T</w:t>
            </w:r>
            <w:r>
              <w:rPr>
                <w:sz w:val="20"/>
                <w:vertAlign w:val="subscript"/>
              </w:rPr>
              <w:t>A</w:t>
            </w:r>
            <w:r>
              <w:rPr>
                <w:sz w:val="20"/>
                <w:vertAlign w:val="baseline"/>
              </w:rPr>
              <w:t> = 22 °C</w:t>
            </w:r>
          </w:p>
        </w:tc>
        <w:tc>
          <w:tcPr>
            <w:tcW w:w="593" w:type="dxa"/>
            <w:tcBorders>
              <w:top w:val="nil"/>
              <w:bottom w:val="nil"/>
            </w:tcBorders>
          </w:tcPr>
          <w:p>
            <w:pPr>
              <w:pStyle w:val="TableParagraph"/>
              <w:spacing w:line="226" w:lineRule="exact"/>
              <w:ind w:left="193"/>
              <w:rPr>
                <w:sz w:val="20"/>
              </w:rPr>
            </w:pPr>
            <w:r>
              <w:rPr>
                <w:sz w:val="20"/>
              </w:rPr>
              <w:t>22</w:t>
            </w:r>
          </w:p>
          <w:p>
            <w:pPr>
              <w:pStyle w:val="TableParagraph"/>
              <w:spacing w:line="213" w:lineRule="exact"/>
              <w:ind w:left="193"/>
              <w:rPr>
                <w:sz w:val="20"/>
              </w:rPr>
            </w:pPr>
            <w:r>
              <w:rPr>
                <w:sz w:val="20"/>
              </w:rPr>
              <w:t>25</w:t>
            </w:r>
          </w:p>
        </w:tc>
        <w:tc>
          <w:tcPr>
            <w:tcW w:w="593" w:type="dxa"/>
            <w:tcBorders>
              <w:top w:val="nil"/>
              <w:bottom w:val="nil"/>
            </w:tcBorders>
          </w:tcPr>
          <w:p>
            <w:pPr>
              <w:pStyle w:val="TableParagraph"/>
              <w:spacing w:line="226" w:lineRule="exact"/>
              <w:ind w:left="190"/>
              <w:rPr>
                <w:sz w:val="20"/>
              </w:rPr>
            </w:pPr>
            <w:r>
              <w:rPr>
                <w:sz w:val="20"/>
              </w:rPr>
              <w:t>45</w:t>
            </w:r>
          </w:p>
          <w:p>
            <w:pPr>
              <w:pStyle w:val="TableParagraph"/>
              <w:spacing w:line="213" w:lineRule="exact"/>
              <w:ind w:left="190"/>
              <w:rPr>
                <w:sz w:val="20"/>
              </w:rPr>
            </w:pPr>
            <w:r>
              <w:rPr>
                <w:sz w:val="20"/>
              </w:rPr>
              <w:t>42</w:t>
            </w:r>
          </w:p>
        </w:tc>
        <w:tc>
          <w:tcPr>
            <w:tcW w:w="646" w:type="dxa"/>
            <w:tcBorders>
              <w:top w:val="nil"/>
              <w:bottom w:val="nil"/>
            </w:tcBorders>
          </w:tcPr>
          <w:p>
            <w:pPr>
              <w:pStyle w:val="TableParagraph"/>
              <w:spacing w:line="226" w:lineRule="exact"/>
              <w:ind w:left="219"/>
              <w:rPr>
                <w:sz w:val="20"/>
              </w:rPr>
            </w:pPr>
            <w:r>
              <w:rPr>
                <w:sz w:val="20"/>
              </w:rPr>
              <w:t>65</w:t>
            </w:r>
          </w:p>
          <w:p>
            <w:pPr>
              <w:pStyle w:val="TableParagraph"/>
              <w:spacing w:line="213" w:lineRule="exact"/>
              <w:ind w:left="219"/>
              <w:rPr>
                <w:sz w:val="20"/>
              </w:rPr>
            </w:pPr>
            <w:r>
              <w:rPr>
                <w:sz w:val="20"/>
              </w:rPr>
              <w:t>60</w:t>
            </w:r>
          </w:p>
        </w:tc>
        <w:tc>
          <w:tcPr>
            <w:tcW w:w="797" w:type="dxa"/>
            <w:tcBorders>
              <w:top w:val="nil"/>
              <w:bottom w:val="nil"/>
            </w:tcBorders>
          </w:tcPr>
          <w:p>
            <w:pPr>
              <w:pStyle w:val="TableParagraph"/>
              <w:spacing w:line="228" w:lineRule="exact" w:before="2"/>
              <w:ind w:left="254" w:right="203"/>
              <w:rPr>
                <w:sz w:val="20"/>
              </w:rPr>
            </w:pPr>
            <w:r>
              <w:rPr>
                <w:sz w:val="20"/>
              </w:rPr>
              <w:t>mV mV</w:t>
            </w:r>
          </w:p>
        </w:tc>
      </w:tr>
      <w:tr>
        <w:trPr>
          <w:trHeight w:val="230" w:hRule="atLeast"/>
        </w:trPr>
        <w:tc>
          <w:tcPr>
            <w:tcW w:w="4330" w:type="dxa"/>
            <w:tcBorders>
              <w:top w:val="nil"/>
              <w:bottom w:val="nil"/>
            </w:tcBorders>
          </w:tcPr>
          <w:p>
            <w:pPr>
              <w:pStyle w:val="TableParagraph"/>
              <w:spacing w:line="210" w:lineRule="exact"/>
              <w:ind w:left="188"/>
              <w:rPr>
                <w:sz w:val="20"/>
              </w:rPr>
            </w:pPr>
            <w:r>
              <w:rPr>
                <w:sz w:val="20"/>
              </w:rPr>
              <w:t>2.25 V Comparator</w:t>
            </w:r>
          </w:p>
        </w:tc>
        <w:tc>
          <w:tcPr>
            <w:tcW w:w="2403" w:type="dxa"/>
            <w:tcBorders>
              <w:top w:val="nil"/>
              <w:bottom w:val="nil"/>
            </w:tcBorders>
          </w:tcPr>
          <w:p>
            <w:pPr>
              <w:pStyle w:val="TableParagraph"/>
              <w:rPr>
                <w:rFonts w:ascii="Times New Roman"/>
                <w:sz w:val="16"/>
              </w:rPr>
            </w:pPr>
          </w:p>
        </w:tc>
        <w:tc>
          <w:tcPr>
            <w:tcW w:w="593" w:type="dxa"/>
            <w:tcBorders>
              <w:top w:val="nil"/>
              <w:bottom w:val="nil"/>
            </w:tcBorders>
          </w:tcPr>
          <w:p>
            <w:pPr>
              <w:pStyle w:val="TableParagraph"/>
              <w:spacing w:line="210" w:lineRule="exact"/>
              <w:ind w:left="86" w:right="53"/>
              <w:jc w:val="center"/>
              <w:rPr>
                <w:sz w:val="20"/>
              </w:rPr>
            </w:pPr>
            <w:r>
              <w:rPr>
                <w:sz w:val="20"/>
              </w:rPr>
              <w:t>10</w:t>
            </w:r>
          </w:p>
        </w:tc>
        <w:tc>
          <w:tcPr>
            <w:tcW w:w="593" w:type="dxa"/>
            <w:tcBorders>
              <w:top w:val="nil"/>
              <w:bottom w:val="nil"/>
            </w:tcBorders>
          </w:tcPr>
          <w:p>
            <w:pPr>
              <w:pStyle w:val="TableParagraph"/>
              <w:spacing w:line="210" w:lineRule="exact"/>
              <w:ind w:left="190"/>
              <w:rPr>
                <w:sz w:val="20"/>
              </w:rPr>
            </w:pPr>
            <w:r>
              <w:rPr>
                <w:sz w:val="20"/>
              </w:rPr>
              <w:t>33</w:t>
            </w:r>
          </w:p>
        </w:tc>
        <w:tc>
          <w:tcPr>
            <w:tcW w:w="646" w:type="dxa"/>
            <w:tcBorders>
              <w:top w:val="nil"/>
              <w:bottom w:val="nil"/>
            </w:tcBorders>
          </w:tcPr>
          <w:p>
            <w:pPr>
              <w:pStyle w:val="TableParagraph"/>
              <w:spacing w:line="210" w:lineRule="exact"/>
              <w:ind w:left="112" w:right="80"/>
              <w:jc w:val="center"/>
              <w:rPr>
                <w:sz w:val="20"/>
              </w:rPr>
            </w:pPr>
            <w:r>
              <w:rPr>
                <w:sz w:val="20"/>
              </w:rPr>
              <w:t>60</w:t>
            </w:r>
          </w:p>
        </w:tc>
        <w:tc>
          <w:tcPr>
            <w:tcW w:w="797" w:type="dxa"/>
            <w:tcBorders>
              <w:top w:val="nil"/>
              <w:bottom w:val="nil"/>
            </w:tcBorders>
          </w:tcPr>
          <w:p>
            <w:pPr>
              <w:pStyle w:val="TableParagraph"/>
              <w:spacing w:line="210" w:lineRule="exact"/>
              <w:ind w:left="191" w:right="152"/>
              <w:jc w:val="center"/>
              <w:rPr>
                <w:sz w:val="20"/>
              </w:rPr>
            </w:pPr>
            <w:r>
              <w:rPr>
                <w:sz w:val="20"/>
              </w:rPr>
              <w:t>mV</w:t>
            </w:r>
          </w:p>
        </w:tc>
      </w:tr>
      <w:tr>
        <w:trPr>
          <w:trHeight w:val="250" w:hRule="atLeast"/>
        </w:trPr>
        <w:tc>
          <w:tcPr>
            <w:tcW w:w="4330" w:type="dxa"/>
            <w:tcBorders>
              <w:top w:val="nil"/>
            </w:tcBorders>
          </w:tcPr>
          <w:p>
            <w:pPr>
              <w:pStyle w:val="TableParagraph"/>
              <w:spacing w:line="227" w:lineRule="exact"/>
              <w:ind w:left="189"/>
              <w:rPr>
                <w:sz w:val="20"/>
              </w:rPr>
            </w:pPr>
            <w:r>
              <w:rPr>
                <w:sz w:val="20"/>
              </w:rPr>
              <w:t>2.0 V Comparator</w:t>
            </w:r>
          </w:p>
        </w:tc>
        <w:tc>
          <w:tcPr>
            <w:tcW w:w="2403" w:type="dxa"/>
            <w:tcBorders>
              <w:top w:val="nil"/>
            </w:tcBorders>
          </w:tcPr>
          <w:p>
            <w:pPr>
              <w:pStyle w:val="TableParagraph"/>
              <w:rPr>
                <w:rFonts w:ascii="Times New Roman"/>
                <w:sz w:val="18"/>
              </w:rPr>
            </w:pPr>
          </w:p>
        </w:tc>
        <w:tc>
          <w:tcPr>
            <w:tcW w:w="593" w:type="dxa"/>
            <w:tcBorders>
              <w:top w:val="nil"/>
            </w:tcBorders>
          </w:tcPr>
          <w:p>
            <w:pPr>
              <w:pStyle w:val="TableParagraph"/>
              <w:spacing w:line="227" w:lineRule="exact"/>
              <w:ind w:left="86" w:right="53"/>
              <w:jc w:val="center"/>
              <w:rPr>
                <w:sz w:val="20"/>
              </w:rPr>
            </w:pPr>
            <w:r>
              <w:rPr>
                <w:sz w:val="20"/>
              </w:rPr>
              <w:t>10</w:t>
            </w:r>
          </w:p>
        </w:tc>
        <w:tc>
          <w:tcPr>
            <w:tcW w:w="593" w:type="dxa"/>
            <w:tcBorders>
              <w:top w:val="nil"/>
            </w:tcBorders>
          </w:tcPr>
          <w:p>
            <w:pPr>
              <w:pStyle w:val="TableParagraph"/>
              <w:spacing w:line="227" w:lineRule="exact"/>
              <w:ind w:left="190"/>
              <w:rPr>
                <w:sz w:val="20"/>
              </w:rPr>
            </w:pPr>
            <w:r>
              <w:rPr>
                <w:sz w:val="20"/>
              </w:rPr>
              <w:t>28</w:t>
            </w:r>
          </w:p>
        </w:tc>
        <w:tc>
          <w:tcPr>
            <w:tcW w:w="646" w:type="dxa"/>
            <w:tcBorders>
              <w:top w:val="nil"/>
            </w:tcBorders>
          </w:tcPr>
          <w:p>
            <w:pPr>
              <w:pStyle w:val="TableParagraph"/>
              <w:spacing w:line="227" w:lineRule="exact"/>
              <w:ind w:left="112" w:right="80"/>
              <w:jc w:val="center"/>
              <w:rPr>
                <w:sz w:val="20"/>
              </w:rPr>
            </w:pPr>
            <w:r>
              <w:rPr>
                <w:sz w:val="20"/>
              </w:rPr>
              <w:t>60</w:t>
            </w:r>
          </w:p>
        </w:tc>
        <w:tc>
          <w:tcPr>
            <w:tcW w:w="797" w:type="dxa"/>
            <w:tcBorders>
              <w:top w:val="nil"/>
            </w:tcBorders>
          </w:tcPr>
          <w:p>
            <w:pPr>
              <w:pStyle w:val="TableParagraph"/>
              <w:spacing w:line="227" w:lineRule="exact"/>
              <w:ind w:left="191" w:right="152"/>
              <w:jc w:val="center"/>
              <w:rPr>
                <w:sz w:val="20"/>
              </w:rPr>
            </w:pPr>
            <w:r>
              <w:rPr>
                <w:sz w:val="20"/>
              </w:rPr>
              <w:t>mV</w:t>
            </w:r>
          </w:p>
        </w:tc>
      </w:tr>
    </w:tbl>
    <w:p>
      <w:pPr>
        <w:pStyle w:val="BodyText"/>
        <w:spacing w:before="5"/>
        <w:rPr>
          <w:b/>
          <w:sz w:val="19"/>
        </w:rPr>
      </w:pPr>
    </w:p>
    <w:p>
      <w:pPr>
        <w:pStyle w:val="ListParagraph"/>
        <w:numPr>
          <w:ilvl w:val="2"/>
          <w:numId w:val="33"/>
        </w:numPr>
        <w:tabs>
          <w:tab w:pos="1199" w:val="left" w:leader="none"/>
          <w:tab w:pos="1200" w:val="left" w:leader="none"/>
        </w:tabs>
        <w:spacing w:line="240" w:lineRule="auto" w:before="0" w:after="0"/>
        <w:ind w:left="1199" w:right="0" w:hanging="720"/>
        <w:jc w:val="left"/>
        <w:rPr>
          <w:b/>
          <w:sz w:val="22"/>
        </w:rPr>
      </w:pPr>
      <w:bookmarkStart w:name="6.4.8 2.5 V Voltage Regulator – System P" w:id="544"/>
      <w:bookmarkEnd w:id="544"/>
      <w:r>
        <w:rPr/>
      </w:r>
      <w:bookmarkStart w:name="_bookmark265" w:id="545"/>
      <w:bookmarkEnd w:id="545"/>
      <w:r>
        <w:rPr/>
      </w:r>
      <w:bookmarkStart w:name="_bookmark265" w:id="546"/>
      <w:bookmarkEnd w:id="546"/>
      <w:r>
        <w:rPr>
          <w:b/>
          <w:sz w:val="22"/>
        </w:rPr>
        <w:t>2</w:t>
      </w:r>
      <w:r>
        <w:rPr>
          <w:b/>
          <w:sz w:val="22"/>
        </w:rPr>
        <w:t>.5 V Voltage Regulator – System</w:t>
      </w:r>
      <w:r>
        <w:rPr>
          <w:b/>
          <w:spacing w:val="-2"/>
          <w:sz w:val="22"/>
        </w:rPr>
        <w:t> </w:t>
      </w:r>
      <w:r>
        <w:rPr>
          <w:b/>
          <w:sz w:val="22"/>
        </w:rPr>
        <w:t>Power</w:t>
      </w:r>
    </w:p>
    <w:p>
      <w:pPr>
        <w:pStyle w:val="Heading1"/>
        <w:spacing w:before="121"/>
        <w:ind w:left="2234"/>
        <w:jc w:val="left"/>
      </w:pPr>
      <w:bookmarkStart w:name="_bookmark266" w:id="547"/>
      <w:bookmarkEnd w:id="547"/>
      <w:r>
        <w:rPr>
          <w:b w:val="0"/>
        </w:rPr>
      </w:r>
      <w:r>
        <w:rPr/>
        <w:t>Table 96: 2.5 V Voltage Regulator Performance Specifications</w:t>
      </w:r>
    </w:p>
    <w:p>
      <w:pPr>
        <w:pStyle w:val="BodyText"/>
        <w:spacing w:before="8"/>
        <w:rPr>
          <w:b/>
          <w:sz w:val="5"/>
        </w:rPr>
      </w:pPr>
    </w:p>
    <w:tbl>
      <w:tblPr>
        <w:tblW w:w="0" w:type="auto"/>
        <w:jc w:val="left"/>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95"/>
        <w:gridCol w:w="2676"/>
        <w:gridCol w:w="826"/>
        <w:gridCol w:w="824"/>
        <w:gridCol w:w="826"/>
        <w:gridCol w:w="915"/>
      </w:tblGrid>
      <w:tr>
        <w:trPr>
          <w:trHeight w:val="308" w:hRule="atLeast"/>
        </w:trPr>
        <w:tc>
          <w:tcPr>
            <w:tcW w:w="3295" w:type="dxa"/>
          </w:tcPr>
          <w:p>
            <w:pPr>
              <w:pStyle w:val="TableParagraph"/>
              <w:spacing w:before="35"/>
              <w:ind w:left="107"/>
              <w:rPr>
                <w:b/>
                <w:sz w:val="20"/>
              </w:rPr>
            </w:pPr>
            <w:r>
              <w:rPr>
                <w:b/>
                <w:sz w:val="20"/>
              </w:rPr>
              <w:t>Parameter</w:t>
            </w:r>
          </w:p>
        </w:tc>
        <w:tc>
          <w:tcPr>
            <w:tcW w:w="2676" w:type="dxa"/>
          </w:tcPr>
          <w:p>
            <w:pPr>
              <w:pStyle w:val="TableParagraph"/>
              <w:spacing w:before="35"/>
              <w:ind w:left="105"/>
              <w:rPr>
                <w:b/>
                <w:sz w:val="20"/>
              </w:rPr>
            </w:pPr>
            <w:r>
              <w:rPr>
                <w:b/>
                <w:sz w:val="20"/>
              </w:rPr>
              <w:t>Condition</w:t>
            </w:r>
          </w:p>
        </w:tc>
        <w:tc>
          <w:tcPr>
            <w:tcW w:w="826" w:type="dxa"/>
          </w:tcPr>
          <w:p>
            <w:pPr>
              <w:pStyle w:val="TableParagraph"/>
              <w:spacing w:before="35"/>
              <w:ind w:left="239"/>
              <w:rPr>
                <w:b/>
                <w:sz w:val="20"/>
              </w:rPr>
            </w:pPr>
            <w:r>
              <w:rPr>
                <w:b/>
                <w:sz w:val="20"/>
              </w:rPr>
              <w:t>Min</w:t>
            </w:r>
          </w:p>
        </w:tc>
        <w:tc>
          <w:tcPr>
            <w:tcW w:w="824" w:type="dxa"/>
          </w:tcPr>
          <w:p>
            <w:pPr>
              <w:pStyle w:val="TableParagraph"/>
              <w:spacing w:before="35"/>
              <w:ind w:left="194" w:right="178"/>
              <w:jc w:val="center"/>
              <w:rPr>
                <w:b/>
                <w:sz w:val="20"/>
              </w:rPr>
            </w:pPr>
            <w:r>
              <w:rPr>
                <w:b/>
                <w:sz w:val="20"/>
              </w:rPr>
              <w:t>Typ</w:t>
            </w:r>
          </w:p>
        </w:tc>
        <w:tc>
          <w:tcPr>
            <w:tcW w:w="826" w:type="dxa"/>
          </w:tcPr>
          <w:p>
            <w:pPr>
              <w:pStyle w:val="TableParagraph"/>
              <w:spacing w:before="35"/>
              <w:ind w:right="195"/>
              <w:jc w:val="right"/>
              <w:rPr>
                <w:b/>
                <w:sz w:val="20"/>
              </w:rPr>
            </w:pPr>
            <w:r>
              <w:rPr>
                <w:b/>
                <w:sz w:val="20"/>
              </w:rPr>
              <w:t>Max</w:t>
            </w:r>
          </w:p>
        </w:tc>
        <w:tc>
          <w:tcPr>
            <w:tcW w:w="915" w:type="dxa"/>
          </w:tcPr>
          <w:p>
            <w:pPr>
              <w:pStyle w:val="TableParagraph"/>
              <w:spacing w:before="35"/>
              <w:ind w:left="239" w:right="227"/>
              <w:jc w:val="center"/>
              <w:rPr>
                <w:b/>
                <w:sz w:val="20"/>
              </w:rPr>
            </w:pPr>
            <w:r>
              <w:rPr>
                <w:b/>
                <w:sz w:val="20"/>
              </w:rPr>
              <w:t>Unit</w:t>
            </w:r>
          </w:p>
        </w:tc>
      </w:tr>
      <w:tr>
        <w:trPr>
          <w:trHeight w:val="500" w:hRule="atLeast"/>
        </w:trPr>
        <w:tc>
          <w:tcPr>
            <w:tcW w:w="3295" w:type="dxa"/>
          </w:tcPr>
          <w:p>
            <w:pPr>
              <w:pStyle w:val="TableParagraph"/>
              <w:spacing w:before="133"/>
              <w:ind w:left="107"/>
              <w:rPr>
                <w:sz w:val="20"/>
              </w:rPr>
            </w:pPr>
            <w:r>
              <w:rPr>
                <w:sz w:val="20"/>
              </w:rPr>
              <w:t>V2P5</w:t>
            </w:r>
          </w:p>
        </w:tc>
        <w:tc>
          <w:tcPr>
            <w:tcW w:w="2676" w:type="dxa"/>
          </w:tcPr>
          <w:p>
            <w:pPr>
              <w:pStyle w:val="TableParagraph"/>
              <w:spacing w:before="18"/>
              <w:ind w:left="105" w:right="702"/>
              <w:rPr>
                <w:sz w:val="20"/>
              </w:rPr>
            </w:pPr>
            <w:r>
              <w:rPr>
                <w:sz w:val="20"/>
              </w:rPr>
              <w:t>V3P3 = 3.0 V - 3.8 V I</w:t>
            </w:r>
            <w:r>
              <w:rPr>
                <w:sz w:val="16"/>
              </w:rPr>
              <w:t>LOAD </w:t>
            </w:r>
            <w:r>
              <w:rPr>
                <w:sz w:val="20"/>
              </w:rPr>
              <w:t>= 0 mA</w:t>
            </w:r>
          </w:p>
        </w:tc>
        <w:tc>
          <w:tcPr>
            <w:tcW w:w="826" w:type="dxa"/>
          </w:tcPr>
          <w:p>
            <w:pPr>
              <w:pStyle w:val="TableParagraph"/>
              <w:spacing w:before="133"/>
              <w:ind w:left="218"/>
              <w:rPr>
                <w:sz w:val="20"/>
              </w:rPr>
            </w:pPr>
            <w:r>
              <w:rPr>
                <w:sz w:val="20"/>
              </w:rPr>
              <w:t>2.55</w:t>
            </w:r>
          </w:p>
        </w:tc>
        <w:tc>
          <w:tcPr>
            <w:tcW w:w="824" w:type="dxa"/>
          </w:tcPr>
          <w:p>
            <w:pPr>
              <w:pStyle w:val="TableParagraph"/>
              <w:spacing w:before="133"/>
              <w:ind w:left="196" w:right="178"/>
              <w:jc w:val="center"/>
              <w:rPr>
                <w:sz w:val="20"/>
              </w:rPr>
            </w:pPr>
            <w:r>
              <w:rPr>
                <w:sz w:val="20"/>
              </w:rPr>
              <w:t>2.65</w:t>
            </w:r>
          </w:p>
        </w:tc>
        <w:tc>
          <w:tcPr>
            <w:tcW w:w="826" w:type="dxa"/>
          </w:tcPr>
          <w:p>
            <w:pPr>
              <w:pStyle w:val="TableParagraph"/>
              <w:spacing w:before="133"/>
              <w:ind w:right="200"/>
              <w:jc w:val="right"/>
              <w:rPr>
                <w:sz w:val="20"/>
              </w:rPr>
            </w:pPr>
            <w:r>
              <w:rPr>
                <w:w w:val="95"/>
                <w:sz w:val="20"/>
              </w:rPr>
              <w:t>2.75</w:t>
            </w:r>
          </w:p>
        </w:tc>
        <w:tc>
          <w:tcPr>
            <w:tcW w:w="915" w:type="dxa"/>
          </w:tcPr>
          <w:p>
            <w:pPr>
              <w:pStyle w:val="TableParagraph"/>
              <w:spacing w:before="133"/>
              <w:ind w:left="11"/>
              <w:jc w:val="center"/>
              <w:rPr>
                <w:sz w:val="20"/>
              </w:rPr>
            </w:pPr>
            <w:r>
              <w:rPr>
                <w:w w:val="99"/>
                <w:sz w:val="20"/>
              </w:rPr>
              <w:t>V</w:t>
            </w:r>
          </w:p>
        </w:tc>
      </w:tr>
      <w:tr>
        <w:trPr>
          <w:trHeight w:val="498" w:hRule="atLeast"/>
        </w:trPr>
        <w:tc>
          <w:tcPr>
            <w:tcW w:w="3295" w:type="dxa"/>
          </w:tcPr>
          <w:p>
            <w:pPr>
              <w:pStyle w:val="TableParagraph"/>
              <w:spacing w:before="131"/>
              <w:ind w:left="107"/>
              <w:rPr>
                <w:sz w:val="20"/>
              </w:rPr>
            </w:pPr>
            <w:r>
              <w:rPr>
                <w:sz w:val="20"/>
              </w:rPr>
              <w:t>V2P5 load regulation</w:t>
            </w:r>
          </w:p>
        </w:tc>
        <w:tc>
          <w:tcPr>
            <w:tcW w:w="2676" w:type="dxa"/>
          </w:tcPr>
          <w:p>
            <w:pPr>
              <w:pStyle w:val="TableParagraph"/>
              <w:spacing w:before="16"/>
              <w:ind w:left="105"/>
              <w:rPr>
                <w:sz w:val="20"/>
              </w:rPr>
            </w:pPr>
            <w:r>
              <w:rPr>
                <w:sz w:val="20"/>
              </w:rPr>
              <w:t>V3P3 = 3.3 V</w:t>
            </w:r>
          </w:p>
          <w:p>
            <w:pPr>
              <w:pStyle w:val="TableParagraph"/>
              <w:ind w:left="105"/>
              <w:rPr>
                <w:sz w:val="20"/>
              </w:rPr>
            </w:pPr>
            <w:r>
              <w:rPr>
                <w:sz w:val="20"/>
              </w:rPr>
              <w:t>I</w:t>
            </w:r>
            <w:r>
              <w:rPr>
                <w:sz w:val="16"/>
              </w:rPr>
              <w:t>LOAD </w:t>
            </w:r>
            <w:r>
              <w:rPr>
                <w:sz w:val="20"/>
              </w:rPr>
              <w:t>= 0 mA to 5 mA</w:t>
            </w:r>
          </w:p>
        </w:tc>
        <w:tc>
          <w:tcPr>
            <w:tcW w:w="826" w:type="dxa"/>
          </w:tcPr>
          <w:p>
            <w:pPr>
              <w:pStyle w:val="TableParagraph"/>
              <w:rPr>
                <w:rFonts w:ascii="Times New Roman"/>
                <w:sz w:val="18"/>
              </w:rPr>
            </w:pPr>
          </w:p>
        </w:tc>
        <w:tc>
          <w:tcPr>
            <w:tcW w:w="824" w:type="dxa"/>
          </w:tcPr>
          <w:p>
            <w:pPr>
              <w:pStyle w:val="TableParagraph"/>
              <w:rPr>
                <w:rFonts w:ascii="Times New Roman"/>
                <w:sz w:val="18"/>
              </w:rPr>
            </w:pPr>
          </w:p>
        </w:tc>
        <w:tc>
          <w:tcPr>
            <w:tcW w:w="826" w:type="dxa"/>
          </w:tcPr>
          <w:p>
            <w:pPr>
              <w:pStyle w:val="TableParagraph"/>
              <w:spacing w:before="131"/>
              <w:ind w:right="284"/>
              <w:jc w:val="right"/>
              <w:rPr>
                <w:sz w:val="20"/>
              </w:rPr>
            </w:pPr>
            <w:r>
              <w:rPr>
                <w:w w:val="95"/>
                <w:sz w:val="20"/>
              </w:rPr>
              <w:t>40</w:t>
            </w:r>
          </w:p>
        </w:tc>
        <w:tc>
          <w:tcPr>
            <w:tcW w:w="915" w:type="dxa"/>
          </w:tcPr>
          <w:p>
            <w:pPr>
              <w:pStyle w:val="TableParagraph"/>
              <w:spacing w:before="131"/>
              <w:ind w:left="239" w:right="216"/>
              <w:jc w:val="center"/>
              <w:rPr>
                <w:sz w:val="20"/>
              </w:rPr>
            </w:pPr>
            <w:r>
              <w:rPr>
                <w:sz w:val="20"/>
              </w:rPr>
              <w:t>mV</w:t>
            </w:r>
          </w:p>
        </w:tc>
      </w:tr>
      <w:tr>
        <w:trPr>
          <w:trHeight w:val="731" w:hRule="atLeast"/>
        </w:trPr>
        <w:tc>
          <w:tcPr>
            <w:tcW w:w="3295" w:type="dxa"/>
          </w:tcPr>
          <w:p>
            <w:pPr>
              <w:pStyle w:val="TableParagraph"/>
              <w:spacing w:before="7"/>
              <w:rPr>
                <w:b/>
                <w:sz w:val="21"/>
              </w:rPr>
            </w:pPr>
          </w:p>
          <w:p>
            <w:pPr>
              <w:pStyle w:val="TableParagraph"/>
              <w:ind w:left="107"/>
              <w:rPr>
                <w:sz w:val="20"/>
              </w:rPr>
            </w:pPr>
            <w:r>
              <w:rPr>
                <w:sz w:val="20"/>
              </w:rPr>
              <w:t>Voltage overhead V3P3SYS-V2P5</w:t>
            </w:r>
          </w:p>
        </w:tc>
        <w:tc>
          <w:tcPr>
            <w:tcW w:w="2676" w:type="dxa"/>
          </w:tcPr>
          <w:p>
            <w:pPr>
              <w:pStyle w:val="TableParagraph"/>
              <w:spacing w:before="18"/>
              <w:ind w:left="105"/>
              <w:rPr>
                <w:sz w:val="20"/>
              </w:rPr>
            </w:pPr>
            <w:r>
              <w:rPr>
                <w:sz w:val="20"/>
              </w:rPr>
              <w:t>I</w:t>
            </w:r>
            <w:r>
              <w:rPr>
                <w:sz w:val="16"/>
              </w:rPr>
              <w:t>LOAD </w:t>
            </w:r>
            <w:r>
              <w:rPr>
                <w:sz w:val="20"/>
              </w:rPr>
              <w:t>= 5</w:t>
            </w:r>
            <w:r>
              <w:rPr>
                <w:spacing w:val="-18"/>
                <w:sz w:val="20"/>
              </w:rPr>
              <w:t> </w:t>
            </w:r>
            <w:r>
              <w:rPr>
                <w:sz w:val="20"/>
              </w:rPr>
              <w:t>mA,</w:t>
            </w:r>
          </w:p>
          <w:p>
            <w:pPr>
              <w:pStyle w:val="TableParagraph"/>
              <w:spacing w:before="1"/>
              <w:ind w:left="105"/>
              <w:rPr>
                <w:sz w:val="20"/>
              </w:rPr>
            </w:pPr>
            <w:r>
              <w:rPr>
                <w:sz w:val="20"/>
              </w:rPr>
              <w:t>Reduce V3P3D until V2P5 drops 200</w:t>
            </w:r>
            <w:r>
              <w:rPr>
                <w:spacing w:val="-2"/>
                <w:sz w:val="20"/>
              </w:rPr>
              <w:t> </w:t>
            </w:r>
            <w:r>
              <w:rPr>
                <w:sz w:val="20"/>
              </w:rPr>
              <w:t>mV</w:t>
            </w:r>
          </w:p>
        </w:tc>
        <w:tc>
          <w:tcPr>
            <w:tcW w:w="826" w:type="dxa"/>
          </w:tcPr>
          <w:p>
            <w:pPr>
              <w:pStyle w:val="TableParagraph"/>
              <w:rPr>
                <w:rFonts w:ascii="Times New Roman"/>
                <w:sz w:val="18"/>
              </w:rPr>
            </w:pPr>
          </w:p>
        </w:tc>
        <w:tc>
          <w:tcPr>
            <w:tcW w:w="824" w:type="dxa"/>
          </w:tcPr>
          <w:p>
            <w:pPr>
              <w:pStyle w:val="TableParagraph"/>
              <w:rPr>
                <w:rFonts w:ascii="Times New Roman"/>
                <w:sz w:val="18"/>
              </w:rPr>
            </w:pPr>
          </w:p>
        </w:tc>
        <w:tc>
          <w:tcPr>
            <w:tcW w:w="826" w:type="dxa"/>
          </w:tcPr>
          <w:p>
            <w:pPr>
              <w:pStyle w:val="TableParagraph"/>
              <w:spacing w:before="7"/>
              <w:rPr>
                <w:b/>
                <w:sz w:val="21"/>
              </w:rPr>
            </w:pPr>
          </w:p>
          <w:p>
            <w:pPr>
              <w:pStyle w:val="TableParagraph"/>
              <w:ind w:right="229"/>
              <w:jc w:val="right"/>
              <w:rPr>
                <w:sz w:val="20"/>
              </w:rPr>
            </w:pPr>
            <w:r>
              <w:rPr>
                <w:w w:val="95"/>
                <w:sz w:val="20"/>
              </w:rPr>
              <w:t>440</w:t>
            </w:r>
          </w:p>
        </w:tc>
        <w:tc>
          <w:tcPr>
            <w:tcW w:w="915" w:type="dxa"/>
          </w:tcPr>
          <w:p>
            <w:pPr>
              <w:pStyle w:val="TableParagraph"/>
              <w:spacing w:before="7"/>
              <w:rPr>
                <w:b/>
                <w:sz w:val="21"/>
              </w:rPr>
            </w:pPr>
          </w:p>
          <w:p>
            <w:pPr>
              <w:pStyle w:val="TableParagraph"/>
              <w:ind w:left="239" w:right="216"/>
              <w:jc w:val="center"/>
              <w:rPr>
                <w:sz w:val="20"/>
              </w:rPr>
            </w:pPr>
            <w:r>
              <w:rPr>
                <w:sz w:val="20"/>
              </w:rPr>
              <w:t>mV</w:t>
            </w:r>
          </w:p>
        </w:tc>
      </w:tr>
    </w:tbl>
    <w:p>
      <w:pPr>
        <w:spacing w:after="0"/>
        <w:jc w:val="center"/>
        <w:rPr>
          <w:sz w:val="20"/>
        </w:rPr>
        <w:sectPr>
          <w:type w:val="continuous"/>
          <w:pgSz w:w="12240" w:h="15840"/>
          <w:pgMar w:top="940" w:bottom="280" w:left="960" w:right="940"/>
        </w:sectPr>
      </w:pPr>
    </w:p>
    <w:p>
      <w:pPr>
        <w:pStyle w:val="ListParagraph"/>
        <w:numPr>
          <w:ilvl w:val="2"/>
          <w:numId w:val="33"/>
        </w:numPr>
        <w:tabs>
          <w:tab w:pos="1199" w:val="left" w:leader="none"/>
          <w:tab w:pos="1200" w:val="left" w:leader="none"/>
        </w:tabs>
        <w:spacing w:line="240" w:lineRule="auto" w:before="88" w:after="0"/>
        <w:ind w:left="1199" w:right="0" w:hanging="720"/>
        <w:jc w:val="left"/>
        <w:rPr>
          <w:b/>
          <w:sz w:val="22"/>
        </w:rPr>
      </w:pPr>
      <w:bookmarkStart w:name="6.4.9 2.5 V Voltage Regulator – Battery " w:id="548"/>
      <w:bookmarkEnd w:id="548"/>
      <w:r>
        <w:rPr/>
      </w:r>
      <w:bookmarkStart w:name="_bookmark267" w:id="549"/>
      <w:bookmarkEnd w:id="549"/>
      <w:r>
        <w:rPr/>
      </w:r>
      <w:bookmarkStart w:name="_bookmark267" w:id="550"/>
      <w:bookmarkEnd w:id="550"/>
      <w:r>
        <w:rPr>
          <w:b/>
          <w:sz w:val="22"/>
        </w:rPr>
        <w:t>2</w:t>
      </w:r>
      <w:r>
        <w:rPr>
          <w:b/>
          <w:sz w:val="22"/>
        </w:rPr>
        <w:t>.5 V Voltage Regulator – Battery</w:t>
      </w:r>
      <w:r>
        <w:rPr>
          <w:b/>
          <w:spacing w:val="-6"/>
          <w:sz w:val="22"/>
        </w:rPr>
        <w:t> </w:t>
      </w:r>
      <w:r>
        <w:rPr>
          <w:b/>
          <w:sz w:val="22"/>
        </w:rPr>
        <w:t>Power</w:t>
      </w:r>
    </w:p>
    <w:p>
      <w:pPr>
        <w:pStyle w:val="Heading1"/>
        <w:spacing w:before="118"/>
        <w:ind w:left="1936"/>
        <w:jc w:val="left"/>
      </w:pPr>
      <w:bookmarkStart w:name="_bookmark268" w:id="551"/>
      <w:bookmarkEnd w:id="551"/>
      <w:r>
        <w:rPr>
          <w:b w:val="0"/>
        </w:rPr>
      </w:r>
      <w:r>
        <w:rPr/>
        <w:t>Table 97: Low-Power Voltage Regulator Performance Specifications</w:t>
      </w:r>
    </w:p>
    <w:p>
      <w:pPr>
        <w:pStyle w:val="BodyText"/>
        <w:spacing w:before="8"/>
        <w:rPr>
          <w:b/>
          <w:sz w:val="5"/>
        </w:rPr>
      </w:pPr>
    </w:p>
    <w:tbl>
      <w:tblPr>
        <w:tblW w:w="0" w:type="auto"/>
        <w:jc w:val="left"/>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384"/>
        <w:gridCol w:w="2760"/>
        <w:gridCol w:w="780"/>
        <w:gridCol w:w="782"/>
        <w:gridCol w:w="782"/>
        <w:gridCol w:w="871"/>
      </w:tblGrid>
      <w:tr>
        <w:trPr>
          <w:trHeight w:val="311" w:hRule="atLeast"/>
        </w:trPr>
        <w:tc>
          <w:tcPr>
            <w:tcW w:w="3384" w:type="dxa"/>
          </w:tcPr>
          <w:p>
            <w:pPr>
              <w:pStyle w:val="TableParagraph"/>
              <w:spacing w:before="35"/>
              <w:ind w:left="107"/>
              <w:rPr>
                <w:b/>
                <w:sz w:val="20"/>
              </w:rPr>
            </w:pPr>
            <w:r>
              <w:rPr>
                <w:b/>
                <w:sz w:val="20"/>
              </w:rPr>
              <w:t>Parameter</w:t>
            </w:r>
          </w:p>
        </w:tc>
        <w:tc>
          <w:tcPr>
            <w:tcW w:w="2760" w:type="dxa"/>
          </w:tcPr>
          <w:p>
            <w:pPr>
              <w:pStyle w:val="TableParagraph"/>
              <w:spacing w:before="35"/>
              <w:ind w:left="107"/>
              <w:rPr>
                <w:b/>
                <w:sz w:val="20"/>
              </w:rPr>
            </w:pPr>
            <w:r>
              <w:rPr>
                <w:b/>
                <w:sz w:val="20"/>
              </w:rPr>
              <w:t>Condition</w:t>
            </w:r>
          </w:p>
        </w:tc>
        <w:tc>
          <w:tcPr>
            <w:tcW w:w="780" w:type="dxa"/>
          </w:tcPr>
          <w:p>
            <w:pPr>
              <w:pStyle w:val="TableParagraph"/>
              <w:spacing w:before="35"/>
              <w:ind w:left="217"/>
              <w:rPr>
                <w:b/>
                <w:sz w:val="20"/>
              </w:rPr>
            </w:pPr>
            <w:r>
              <w:rPr>
                <w:b/>
                <w:sz w:val="20"/>
              </w:rPr>
              <w:t>Min</w:t>
            </w:r>
          </w:p>
        </w:tc>
        <w:tc>
          <w:tcPr>
            <w:tcW w:w="782" w:type="dxa"/>
          </w:tcPr>
          <w:p>
            <w:pPr>
              <w:pStyle w:val="TableParagraph"/>
              <w:spacing w:before="35"/>
              <w:ind w:left="170" w:right="155"/>
              <w:jc w:val="center"/>
              <w:rPr>
                <w:b/>
                <w:sz w:val="20"/>
              </w:rPr>
            </w:pPr>
            <w:r>
              <w:rPr>
                <w:b/>
                <w:sz w:val="20"/>
              </w:rPr>
              <w:t>Typ</w:t>
            </w:r>
          </w:p>
        </w:tc>
        <w:tc>
          <w:tcPr>
            <w:tcW w:w="782" w:type="dxa"/>
          </w:tcPr>
          <w:p>
            <w:pPr>
              <w:pStyle w:val="TableParagraph"/>
              <w:spacing w:before="35"/>
              <w:ind w:left="174" w:right="152"/>
              <w:jc w:val="center"/>
              <w:rPr>
                <w:b/>
                <w:sz w:val="20"/>
              </w:rPr>
            </w:pPr>
            <w:r>
              <w:rPr>
                <w:b/>
                <w:sz w:val="20"/>
              </w:rPr>
              <w:t>Max</w:t>
            </w:r>
          </w:p>
        </w:tc>
        <w:tc>
          <w:tcPr>
            <w:tcW w:w="871" w:type="dxa"/>
          </w:tcPr>
          <w:p>
            <w:pPr>
              <w:pStyle w:val="TableParagraph"/>
              <w:spacing w:before="35"/>
              <w:ind w:left="219" w:right="202"/>
              <w:jc w:val="center"/>
              <w:rPr>
                <w:b/>
                <w:sz w:val="20"/>
              </w:rPr>
            </w:pPr>
            <w:r>
              <w:rPr>
                <w:b/>
                <w:sz w:val="20"/>
              </w:rPr>
              <w:t>Unit</w:t>
            </w:r>
          </w:p>
        </w:tc>
      </w:tr>
      <w:tr>
        <w:trPr>
          <w:trHeight w:val="486" w:hRule="atLeast"/>
        </w:trPr>
        <w:tc>
          <w:tcPr>
            <w:tcW w:w="3384" w:type="dxa"/>
          </w:tcPr>
          <w:p>
            <w:pPr>
              <w:pStyle w:val="TableParagraph"/>
              <w:spacing w:before="126"/>
              <w:ind w:left="107"/>
              <w:rPr>
                <w:sz w:val="20"/>
              </w:rPr>
            </w:pPr>
            <w:r>
              <w:rPr>
                <w:sz w:val="20"/>
              </w:rPr>
              <w:t>V2P5</w:t>
            </w:r>
          </w:p>
        </w:tc>
        <w:tc>
          <w:tcPr>
            <w:tcW w:w="2760" w:type="dxa"/>
          </w:tcPr>
          <w:p>
            <w:pPr>
              <w:pStyle w:val="TableParagraph"/>
              <w:spacing w:line="230" w:lineRule="atLeast" w:before="11"/>
              <w:ind w:left="107" w:right="246"/>
              <w:rPr>
                <w:sz w:val="20"/>
              </w:rPr>
            </w:pPr>
            <w:r>
              <w:rPr>
                <w:sz w:val="20"/>
              </w:rPr>
              <w:t>VBAT = 3.0 V - 3.8 V, V3P3 = 0 V, I</w:t>
            </w:r>
            <w:r>
              <w:rPr>
                <w:sz w:val="16"/>
              </w:rPr>
              <w:t>LOAD </w:t>
            </w:r>
            <w:r>
              <w:rPr>
                <w:sz w:val="20"/>
              </w:rPr>
              <w:t>= 0 mA</w:t>
            </w:r>
          </w:p>
        </w:tc>
        <w:tc>
          <w:tcPr>
            <w:tcW w:w="780" w:type="dxa"/>
          </w:tcPr>
          <w:p>
            <w:pPr>
              <w:pStyle w:val="TableParagraph"/>
              <w:spacing w:before="126"/>
              <w:ind w:left="196"/>
              <w:rPr>
                <w:sz w:val="20"/>
              </w:rPr>
            </w:pPr>
            <w:r>
              <w:rPr>
                <w:sz w:val="20"/>
              </w:rPr>
              <w:t>2.55</w:t>
            </w:r>
          </w:p>
        </w:tc>
        <w:tc>
          <w:tcPr>
            <w:tcW w:w="782" w:type="dxa"/>
          </w:tcPr>
          <w:p>
            <w:pPr>
              <w:pStyle w:val="TableParagraph"/>
              <w:spacing w:before="126"/>
              <w:ind w:left="174" w:right="153"/>
              <w:jc w:val="center"/>
              <w:rPr>
                <w:sz w:val="20"/>
              </w:rPr>
            </w:pPr>
            <w:r>
              <w:rPr>
                <w:sz w:val="20"/>
              </w:rPr>
              <w:t>2.65</w:t>
            </w:r>
          </w:p>
        </w:tc>
        <w:tc>
          <w:tcPr>
            <w:tcW w:w="782" w:type="dxa"/>
          </w:tcPr>
          <w:p>
            <w:pPr>
              <w:pStyle w:val="TableParagraph"/>
              <w:spacing w:before="126"/>
              <w:ind w:left="172" w:right="155"/>
              <w:jc w:val="center"/>
              <w:rPr>
                <w:sz w:val="20"/>
              </w:rPr>
            </w:pPr>
            <w:r>
              <w:rPr>
                <w:sz w:val="20"/>
              </w:rPr>
              <w:t>2.75</w:t>
            </w:r>
          </w:p>
        </w:tc>
        <w:tc>
          <w:tcPr>
            <w:tcW w:w="871" w:type="dxa"/>
          </w:tcPr>
          <w:p>
            <w:pPr>
              <w:pStyle w:val="TableParagraph"/>
              <w:spacing w:before="126"/>
              <w:ind w:left="16"/>
              <w:jc w:val="center"/>
              <w:rPr>
                <w:sz w:val="20"/>
              </w:rPr>
            </w:pPr>
            <w:r>
              <w:rPr>
                <w:w w:val="99"/>
                <w:sz w:val="20"/>
              </w:rPr>
              <w:t>V</w:t>
            </w:r>
          </w:p>
        </w:tc>
      </w:tr>
      <w:tr>
        <w:trPr>
          <w:trHeight w:val="488" w:hRule="atLeast"/>
        </w:trPr>
        <w:tc>
          <w:tcPr>
            <w:tcW w:w="3384" w:type="dxa"/>
          </w:tcPr>
          <w:p>
            <w:pPr>
              <w:pStyle w:val="TableParagraph"/>
              <w:spacing w:before="126"/>
              <w:ind w:left="107"/>
              <w:rPr>
                <w:sz w:val="20"/>
              </w:rPr>
            </w:pPr>
            <w:r>
              <w:rPr>
                <w:sz w:val="20"/>
              </w:rPr>
              <w:t>V2P5 load regulation</w:t>
            </w:r>
          </w:p>
        </w:tc>
        <w:tc>
          <w:tcPr>
            <w:tcW w:w="2760" w:type="dxa"/>
          </w:tcPr>
          <w:p>
            <w:pPr>
              <w:pStyle w:val="TableParagraph"/>
              <w:spacing w:line="230" w:lineRule="atLeast" w:before="11"/>
              <w:ind w:left="107" w:right="211"/>
              <w:rPr>
                <w:sz w:val="20"/>
              </w:rPr>
            </w:pPr>
            <w:r>
              <w:rPr>
                <w:sz w:val="20"/>
              </w:rPr>
              <w:t>VBAT = 3.3 V, V3P3 = 0 V, I</w:t>
            </w:r>
            <w:r>
              <w:rPr>
                <w:sz w:val="16"/>
              </w:rPr>
              <w:t>LOAD </w:t>
            </w:r>
            <w:r>
              <w:rPr>
                <w:sz w:val="20"/>
              </w:rPr>
              <w:t>= 0 mA to 1 mA</w:t>
            </w:r>
          </w:p>
        </w:tc>
        <w:tc>
          <w:tcPr>
            <w:tcW w:w="780" w:type="dxa"/>
          </w:tcPr>
          <w:p>
            <w:pPr>
              <w:pStyle w:val="TableParagraph"/>
              <w:rPr>
                <w:rFonts w:ascii="Times New Roman"/>
                <w:sz w:val="20"/>
              </w:rPr>
            </w:pPr>
          </w:p>
        </w:tc>
        <w:tc>
          <w:tcPr>
            <w:tcW w:w="782" w:type="dxa"/>
          </w:tcPr>
          <w:p>
            <w:pPr>
              <w:pStyle w:val="TableParagraph"/>
              <w:rPr>
                <w:rFonts w:ascii="Times New Roman"/>
                <w:sz w:val="20"/>
              </w:rPr>
            </w:pPr>
          </w:p>
        </w:tc>
        <w:tc>
          <w:tcPr>
            <w:tcW w:w="782" w:type="dxa"/>
          </w:tcPr>
          <w:p>
            <w:pPr>
              <w:pStyle w:val="TableParagraph"/>
              <w:spacing w:before="126"/>
              <w:ind w:left="170" w:right="155"/>
              <w:jc w:val="center"/>
              <w:rPr>
                <w:sz w:val="20"/>
              </w:rPr>
            </w:pPr>
            <w:r>
              <w:rPr>
                <w:sz w:val="20"/>
              </w:rPr>
              <w:t>40</w:t>
            </w:r>
          </w:p>
        </w:tc>
        <w:tc>
          <w:tcPr>
            <w:tcW w:w="871" w:type="dxa"/>
          </w:tcPr>
          <w:p>
            <w:pPr>
              <w:pStyle w:val="TableParagraph"/>
              <w:spacing w:before="126"/>
              <w:ind w:left="219" w:right="191"/>
              <w:jc w:val="center"/>
              <w:rPr>
                <w:sz w:val="20"/>
              </w:rPr>
            </w:pPr>
            <w:r>
              <w:rPr>
                <w:sz w:val="20"/>
              </w:rPr>
              <w:t>mV</w:t>
            </w:r>
          </w:p>
        </w:tc>
      </w:tr>
      <w:tr>
        <w:trPr>
          <w:trHeight w:val="488" w:hRule="atLeast"/>
        </w:trPr>
        <w:tc>
          <w:tcPr>
            <w:tcW w:w="3384" w:type="dxa"/>
          </w:tcPr>
          <w:p>
            <w:pPr>
              <w:pStyle w:val="TableParagraph"/>
              <w:spacing w:before="126"/>
              <w:ind w:left="107"/>
              <w:rPr>
                <w:sz w:val="20"/>
              </w:rPr>
            </w:pPr>
            <w:r>
              <w:rPr>
                <w:sz w:val="20"/>
              </w:rPr>
              <w:t>Voltage Overhead 2V − VBAT-VDD</w:t>
            </w:r>
          </w:p>
        </w:tc>
        <w:tc>
          <w:tcPr>
            <w:tcW w:w="2760" w:type="dxa"/>
          </w:tcPr>
          <w:p>
            <w:pPr>
              <w:pStyle w:val="TableParagraph"/>
              <w:spacing w:line="230" w:lineRule="atLeast" w:before="11"/>
              <w:ind w:left="107"/>
              <w:rPr>
                <w:sz w:val="20"/>
              </w:rPr>
            </w:pPr>
            <w:r>
              <w:rPr>
                <w:sz w:val="20"/>
              </w:rPr>
              <w:t>I</w:t>
            </w:r>
            <w:r>
              <w:rPr>
                <w:sz w:val="16"/>
              </w:rPr>
              <w:t>LOAD </w:t>
            </w:r>
            <w:r>
              <w:rPr>
                <w:sz w:val="20"/>
              </w:rPr>
              <w:t>= 0ma, VBAT = 2.0 V, V3P3 = 0 V.</w:t>
            </w:r>
          </w:p>
        </w:tc>
        <w:tc>
          <w:tcPr>
            <w:tcW w:w="780" w:type="dxa"/>
          </w:tcPr>
          <w:p>
            <w:pPr>
              <w:pStyle w:val="TableParagraph"/>
              <w:rPr>
                <w:rFonts w:ascii="Times New Roman"/>
                <w:sz w:val="20"/>
              </w:rPr>
            </w:pPr>
          </w:p>
        </w:tc>
        <w:tc>
          <w:tcPr>
            <w:tcW w:w="782" w:type="dxa"/>
          </w:tcPr>
          <w:p>
            <w:pPr>
              <w:pStyle w:val="TableParagraph"/>
              <w:rPr>
                <w:rFonts w:ascii="Times New Roman"/>
                <w:sz w:val="20"/>
              </w:rPr>
            </w:pPr>
          </w:p>
        </w:tc>
        <w:tc>
          <w:tcPr>
            <w:tcW w:w="782" w:type="dxa"/>
          </w:tcPr>
          <w:p>
            <w:pPr>
              <w:pStyle w:val="TableParagraph"/>
              <w:spacing w:before="126"/>
              <w:ind w:left="170" w:right="155"/>
              <w:jc w:val="center"/>
              <w:rPr>
                <w:sz w:val="20"/>
              </w:rPr>
            </w:pPr>
            <w:r>
              <w:rPr>
                <w:sz w:val="20"/>
              </w:rPr>
              <w:t>200</w:t>
            </w:r>
          </w:p>
        </w:tc>
        <w:tc>
          <w:tcPr>
            <w:tcW w:w="871" w:type="dxa"/>
          </w:tcPr>
          <w:p>
            <w:pPr>
              <w:pStyle w:val="TableParagraph"/>
              <w:spacing w:before="126"/>
              <w:ind w:left="219" w:right="195"/>
              <w:jc w:val="center"/>
              <w:rPr>
                <w:sz w:val="20"/>
              </w:rPr>
            </w:pPr>
            <w:r>
              <w:rPr>
                <w:sz w:val="20"/>
              </w:rPr>
              <w:t>mV</w:t>
            </w:r>
          </w:p>
        </w:tc>
      </w:tr>
    </w:tbl>
    <w:p>
      <w:pPr>
        <w:pStyle w:val="BodyText"/>
        <w:spacing w:before="1"/>
        <w:rPr>
          <w:b/>
          <w:sz w:val="30"/>
        </w:rPr>
      </w:pPr>
    </w:p>
    <w:p>
      <w:pPr>
        <w:pStyle w:val="ListParagraph"/>
        <w:numPr>
          <w:ilvl w:val="2"/>
          <w:numId w:val="33"/>
        </w:numPr>
        <w:tabs>
          <w:tab w:pos="1201" w:val="left" w:leader="none"/>
        </w:tabs>
        <w:spacing w:line="240" w:lineRule="auto" w:before="0" w:after="0"/>
        <w:ind w:left="1200" w:right="0" w:hanging="721"/>
        <w:jc w:val="left"/>
        <w:rPr>
          <w:b/>
          <w:sz w:val="22"/>
        </w:rPr>
      </w:pPr>
      <w:bookmarkStart w:name="6.4.10 Crystal Oscillator" w:id="552"/>
      <w:bookmarkEnd w:id="552"/>
      <w:r>
        <w:rPr/>
      </w:r>
      <w:bookmarkStart w:name="_bookmark269" w:id="553"/>
      <w:bookmarkEnd w:id="553"/>
      <w:r>
        <w:rPr/>
      </w:r>
      <w:bookmarkStart w:name="_bookmark269" w:id="554"/>
      <w:bookmarkEnd w:id="554"/>
      <w:r>
        <w:rPr>
          <w:b/>
          <w:sz w:val="22"/>
        </w:rPr>
        <w:t>C</w:t>
      </w:r>
      <w:r>
        <w:rPr>
          <w:b/>
          <w:sz w:val="22"/>
        </w:rPr>
        <w:t>rystal</w:t>
      </w:r>
      <w:r>
        <w:rPr>
          <w:b/>
          <w:spacing w:val="1"/>
          <w:sz w:val="22"/>
        </w:rPr>
        <w:t> </w:t>
      </w:r>
      <w:r>
        <w:rPr>
          <w:b/>
          <w:sz w:val="22"/>
        </w:rPr>
        <w:t>Oscillator</w:t>
      </w:r>
    </w:p>
    <w:p>
      <w:pPr>
        <w:pStyle w:val="Heading1"/>
        <w:spacing w:before="119"/>
        <w:ind w:left="2524"/>
        <w:jc w:val="left"/>
      </w:pPr>
      <w:bookmarkStart w:name="_bookmark270" w:id="555"/>
      <w:bookmarkEnd w:id="555"/>
      <w:r>
        <w:rPr>
          <w:b w:val="0"/>
        </w:rPr>
      </w:r>
      <w:r>
        <w:rPr/>
        <w:t>Table 98: Crystal Oscillator Performance Specifications</w:t>
      </w:r>
    </w:p>
    <w:p>
      <w:pPr>
        <w:pStyle w:val="BodyText"/>
        <w:spacing w:before="8"/>
        <w:rPr>
          <w:b/>
          <w:sz w:val="5"/>
        </w:rPr>
      </w:pPr>
    </w:p>
    <w:tbl>
      <w:tblPr>
        <w:tblW w:w="0" w:type="auto"/>
        <w:jc w:val="left"/>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40"/>
        <w:gridCol w:w="2904"/>
        <w:gridCol w:w="780"/>
        <w:gridCol w:w="782"/>
        <w:gridCol w:w="782"/>
        <w:gridCol w:w="871"/>
      </w:tblGrid>
      <w:tr>
        <w:trPr>
          <w:trHeight w:val="308" w:hRule="atLeast"/>
        </w:trPr>
        <w:tc>
          <w:tcPr>
            <w:tcW w:w="3240" w:type="dxa"/>
          </w:tcPr>
          <w:p>
            <w:pPr>
              <w:pStyle w:val="TableParagraph"/>
              <w:spacing w:before="35"/>
              <w:ind w:left="107"/>
              <w:rPr>
                <w:b/>
                <w:sz w:val="20"/>
              </w:rPr>
            </w:pPr>
            <w:r>
              <w:rPr>
                <w:b/>
                <w:sz w:val="20"/>
              </w:rPr>
              <w:t>Parameter</w:t>
            </w:r>
          </w:p>
        </w:tc>
        <w:tc>
          <w:tcPr>
            <w:tcW w:w="2904" w:type="dxa"/>
          </w:tcPr>
          <w:p>
            <w:pPr>
              <w:pStyle w:val="TableParagraph"/>
              <w:spacing w:before="35"/>
              <w:ind w:left="107"/>
              <w:rPr>
                <w:b/>
                <w:sz w:val="20"/>
              </w:rPr>
            </w:pPr>
            <w:r>
              <w:rPr>
                <w:b/>
                <w:sz w:val="20"/>
              </w:rPr>
              <w:t>Condition</w:t>
            </w:r>
          </w:p>
        </w:tc>
        <w:tc>
          <w:tcPr>
            <w:tcW w:w="780" w:type="dxa"/>
          </w:tcPr>
          <w:p>
            <w:pPr>
              <w:pStyle w:val="TableParagraph"/>
              <w:spacing w:before="35"/>
              <w:ind w:left="218"/>
              <w:rPr>
                <w:b/>
                <w:sz w:val="20"/>
              </w:rPr>
            </w:pPr>
            <w:r>
              <w:rPr>
                <w:b/>
                <w:sz w:val="20"/>
              </w:rPr>
              <w:t>Min</w:t>
            </w:r>
          </w:p>
        </w:tc>
        <w:tc>
          <w:tcPr>
            <w:tcW w:w="782" w:type="dxa"/>
          </w:tcPr>
          <w:p>
            <w:pPr>
              <w:pStyle w:val="TableParagraph"/>
              <w:spacing w:before="35"/>
              <w:ind w:left="170" w:right="155"/>
              <w:jc w:val="center"/>
              <w:rPr>
                <w:b/>
                <w:sz w:val="20"/>
              </w:rPr>
            </w:pPr>
            <w:r>
              <w:rPr>
                <w:b/>
                <w:sz w:val="20"/>
              </w:rPr>
              <w:t>Typ</w:t>
            </w:r>
          </w:p>
        </w:tc>
        <w:tc>
          <w:tcPr>
            <w:tcW w:w="782" w:type="dxa"/>
          </w:tcPr>
          <w:p>
            <w:pPr>
              <w:pStyle w:val="TableParagraph"/>
              <w:spacing w:before="35"/>
              <w:ind w:left="174" w:right="152"/>
              <w:jc w:val="center"/>
              <w:rPr>
                <w:b/>
                <w:sz w:val="20"/>
              </w:rPr>
            </w:pPr>
            <w:r>
              <w:rPr>
                <w:b/>
                <w:sz w:val="20"/>
              </w:rPr>
              <w:t>Max</w:t>
            </w:r>
          </w:p>
        </w:tc>
        <w:tc>
          <w:tcPr>
            <w:tcW w:w="871" w:type="dxa"/>
          </w:tcPr>
          <w:p>
            <w:pPr>
              <w:pStyle w:val="TableParagraph"/>
              <w:spacing w:before="35"/>
              <w:ind w:right="220"/>
              <w:jc w:val="right"/>
              <w:rPr>
                <w:b/>
                <w:sz w:val="20"/>
              </w:rPr>
            </w:pPr>
            <w:r>
              <w:rPr>
                <w:b/>
                <w:sz w:val="20"/>
              </w:rPr>
              <w:t>Unit</w:t>
            </w:r>
          </w:p>
        </w:tc>
      </w:tr>
      <w:tr>
        <w:trPr>
          <w:trHeight w:val="258" w:hRule="atLeast"/>
        </w:trPr>
        <w:tc>
          <w:tcPr>
            <w:tcW w:w="3240" w:type="dxa"/>
          </w:tcPr>
          <w:p>
            <w:pPr>
              <w:pStyle w:val="TableParagraph"/>
              <w:spacing w:line="225" w:lineRule="exact" w:before="13"/>
              <w:ind w:left="107"/>
              <w:rPr>
                <w:sz w:val="20"/>
              </w:rPr>
            </w:pPr>
            <w:r>
              <w:rPr>
                <w:sz w:val="20"/>
              </w:rPr>
              <w:t>Maximum Output Power to Crystal</w:t>
            </w:r>
          </w:p>
        </w:tc>
        <w:tc>
          <w:tcPr>
            <w:tcW w:w="2904" w:type="dxa"/>
          </w:tcPr>
          <w:p>
            <w:pPr>
              <w:pStyle w:val="TableParagraph"/>
              <w:spacing w:line="225" w:lineRule="exact" w:before="13"/>
              <w:ind w:left="107"/>
              <w:rPr>
                <w:sz w:val="20"/>
              </w:rPr>
            </w:pPr>
            <w:r>
              <w:rPr>
                <w:sz w:val="20"/>
              </w:rPr>
              <w:t>Crystal connected, see note 1</w:t>
            </w:r>
          </w:p>
        </w:tc>
        <w:tc>
          <w:tcPr>
            <w:tcW w:w="780" w:type="dxa"/>
          </w:tcPr>
          <w:p>
            <w:pPr>
              <w:pStyle w:val="TableParagraph"/>
              <w:rPr>
                <w:rFonts w:ascii="Times New Roman"/>
                <w:sz w:val="18"/>
              </w:rPr>
            </w:pPr>
          </w:p>
        </w:tc>
        <w:tc>
          <w:tcPr>
            <w:tcW w:w="782" w:type="dxa"/>
          </w:tcPr>
          <w:p>
            <w:pPr>
              <w:pStyle w:val="TableParagraph"/>
              <w:rPr>
                <w:rFonts w:ascii="Times New Roman"/>
                <w:sz w:val="18"/>
              </w:rPr>
            </w:pPr>
          </w:p>
        </w:tc>
        <w:tc>
          <w:tcPr>
            <w:tcW w:w="782" w:type="dxa"/>
          </w:tcPr>
          <w:p>
            <w:pPr>
              <w:pStyle w:val="TableParagraph"/>
              <w:spacing w:line="225" w:lineRule="exact" w:before="13"/>
              <w:ind w:left="20"/>
              <w:jc w:val="center"/>
              <w:rPr>
                <w:sz w:val="20"/>
              </w:rPr>
            </w:pPr>
            <w:r>
              <w:rPr>
                <w:w w:val="99"/>
                <w:sz w:val="20"/>
              </w:rPr>
              <w:t>1</w:t>
            </w:r>
          </w:p>
        </w:tc>
        <w:tc>
          <w:tcPr>
            <w:tcW w:w="871" w:type="dxa"/>
          </w:tcPr>
          <w:p>
            <w:pPr>
              <w:pStyle w:val="TableParagraph"/>
              <w:spacing w:line="225" w:lineRule="exact" w:before="13"/>
              <w:ind w:right="271"/>
              <w:jc w:val="right"/>
              <w:rPr>
                <w:sz w:val="20"/>
              </w:rPr>
            </w:pPr>
            <w:r>
              <w:rPr>
                <w:w w:val="95"/>
                <w:sz w:val="20"/>
              </w:rPr>
              <w:t>μW</w:t>
            </w:r>
          </w:p>
        </w:tc>
      </w:tr>
      <w:tr>
        <w:trPr>
          <w:trHeight w:val="488" w:hRule="atLeast"/>
        </w:trPr>
        <w:tc>
          <w:tcPr>
            <w:tcW w:w="3240" w:type="dxa"/>
          </w:tcPr>
          <w:p>
            <w:pPr>
              <w:pStyle w:val="TableParagraph"/>
              <w:spacing w:line="230" w:lineRule="atLeast" w:before="11"/>
              <w:ind w:left="107" w:right="758"/>
              <w:rPr>
                <w:sz w:val="20"/>
              </w:rPr>
            </w:pPr>
            <w:r>
              <w:rPr>
                <w:sz w:val="20"/>
              </w:rPr>
              <w:t>XIN to XOUT Capacitance (see note 1)</w:t>
            </w:r>
          </w:p>
        </w:tc>
        <w:tc>
          <w:tcPr>
            <w:tcW w:w="2904" w:type="dxa"/>
          </w:tcPr>
          <w:p>
            <w:pPr>
              <w:pStyle w:val="TableParagraph"/>
              <w:rPr>
                <w:rFonts w:ascii="Times New Roman"/>
                <w:sz w:val="20"/>
              </w:rPr>
            </w:pPr>
          </w:p>
        </w:tc>
        <w:tc>
          <w:tcPr>
            <w:tcW w:w="780" w:type="dxa"/>
          </w:tcPr>
          <w:p>
            <w:pPr>
              <w:pStyle w:val="TableParagraph"/>
              <w:rPr>
                <w:rFonts w:ascii="Times New Roman"/>
                <w:sz w:val="20"/>
              </w:rPr>
            </w:pPr>
          </w:p>
        </w:tc>
        <w:tc>
          <w:tcPr>
            <w:tcW w:w="782" w:type="dxa"/>
          </w:tcPr>
          <w:p>
            <w:pPr>
              <w:pStyle w:val="TableParagraph"/>
              <w:rPr>
                <w:rFonts w:ascii="Times New Roman"/>
                <w:sz w:val="20"/>
              </w:rPr>
            </w:pPr>
          </w:p>
        </w:tc>
        <w:tc>
          <w:tcPr>
            <w:tcW w:w="782" w:type="dxa"/>
          </w:tcPr>
          <w:p>
            <w:pPr>
              <w:pStyle w:val="TableParagraph"/>
              <w:spacing w:before="126"/>
              <w:ind w:left="21"/>
              <w:jc w:val="center"/>
              <w:rPr>
                <w:sz w:val="20"/>
              </w:rPr>
            </w:pPr>
            <w:r>
              <w:rPr>
                <w:w w:val="99"/>
                <w:sz w:val="20"/>
              </w:rPr>
              <w:t>3</w:t>
            </w:r>
          </w:p>
        </w:tc>
        <w:tc>
          <w:tcPr>
            <w:tcW w:w="871" w:type="dxa"/>
          </w:tcPr>
          <w:p>
            <w:pPr>
              <w:pStyle w:val="TableParagraph"/>
              <w:spacing w:before="126"/>
              <w:ind w:right="297"/>
              <w:jc w:val="right"/>
              <w:rPr>
                <w:sz w:val="20"/>
              </w:rPr>
            </w:pPr>
            <w:r>
              <w:rPr>
                <w:w w:val="95"/>
                <w:sz w:val="20"/>
              </w:rPr>
              <w:t>pF</w:t>
            </w:r>
          </w:p>
        </w:tc>
      </w:tr>
      <w:tr>
        <w:trPr>
          <w:trHeight w:val="719" w:hRule="atLeast"/>
        </w:trPr>
        <w:tc>
          <w:tcPr>
            <w:tcW w:w="3240" w:type="dxa"/>
          </w:tcPr>
          <w:p>
            <w:pPr>
              <w:pStyle w:val="TableParagraph"/>
              <w:rPr>
                <w:b/>
                <w:sz w:val="21"/>
              </w:rPr>
            </w:pPr>
          </w:p>
          <w:p>
            <w:pPr>
              <w:pStyle w:val="TableParagraph"/>
              <w:ind w:left="107"/>
              <w:rPr>
                <w:sz w:val="20"/>
              </w:rPr>
            </w:pPr>
            <w:r>
              <w:rPr>
                <w:sz w:val="20"/>
              </w:rPr>
              <w:t>Capacitance change on XOUT</w:t>
            </w:r>
          </w:p>
        </w:tc>
        <w:tc>
          <w:tcPr>
            <w:tcW w:w="2904" w:type="dxa"/>
          </w:tcPr>
          <w:p>
            <w:pPr>
              <w:pStyle w:val="TableParagraph"/>
              <w:spacing w:before="9"/>
              <w:ind w:left="107"/>
              <w:rPr>
                <w:sz w:val="20"/>
              </w:rPr>
            </w:pPr>
            <w:r>
              <w:rPr>
                <w:rFonts w:ascii="Times New Roman"/>
                <w:i/>
                <w:sz w:val="20"/>
              </w:rPr>
              <w:t>RTCA_ADJ </w:t>
            </w:r>
            <w:r>
              <w:rPr>
                <w:sz w:val="20"/>
              </w:rPr>
              <w:t>= 7F to 0,</w:t>
            </w:r>
          </w:p>
          <w:p>
            <w:pPr>
              <w:pStyle w:val="TableParagraph"/>
              <w:spacing w:line="230" w:lineRule="atLeast" w:before="1"/>
              <w:ind w:left="107" w:right="311"/>
              <w:rPr>
                <w:sz w:val="20"/>
              </w:rPr>
            </w:pPr>
            <w:r>
              <w:rPr>
                <w:sz w:val="20"/>
              </w:rPr>
              <w:t>Bias voltage = unbiased Vpp = 0.1 V</w:t>
            </w:r>
          </w:p>
        </w:tc>
        <w:tc>
          <w:tcPr>
            <w:tcW w:w="780" w:type="dxa"/>
          </w:tcPr>
          <w:p>
            <w:pPr>
              <w:pStyle w:val="TableParagraph"/>
              <w:rPr>
                <w:rFonts w:ascii="Times New Roman"/>
                <w:sz w:val="20"/>
              </w:rPr>
            </w:pPr>
          </w:p>
        </w:tc>
        <w:tc>
          <w:tcPr>
            <w:tcW w:w="782" w:type="dxa"/>
          </w:tcPr>
          <w:p>
            <w:pPr>
              <w:pStyle w:val="TableParagraph"/>
              <w:rPr>
                <w:b/>
                <w:sz w:val="21"/>
              </w:rPr>
            </w:pPr>
          </w:p>
          <w:p>
            <w:pPr>
              <w:pStyle w:val="TableParagraph"/>
              <w:ind w:left="174" w:right="155"/>
              <w:jc w:val="center"/>
              <w:rPr>
                <w:sz w:val="20"/>
              </w:rPr>
            </w:pPr>
            <w:r>
              <w:rPr>
                <w:sz w:val="20"/>
              </w:rPr>
              <w:t>15</w:t>
            </w:r>
          </w:p>
        </w:tc>
        <w:tc>
          <w:tcPr>
            <w:tcW w:w="782" w:type="dxa"/>
          </w:tcPr>
          <w:p>
            <w:pPr>
              <w:pStyle w:val="TableParagraph"/>
              <w:rPr>
                <w:rFonts w:ascii="Times New Roman"/>
                <w:sz w:val="20"/>
              </w:rPr>
            </w:pPr>
          </w:p>
        </w:tc>
        <w:tc>
          <w:tcPr>
            <w:tcW w:w="871" w:type="dxa"/>
          </w:tcPr>
          <w:p>
            <w:pPr>
              <w:pStyle w:val="TableParagraph"/>
              <w:rPr>
                <w:b/>
                <w:sz w:val="21"/>
              </w:rPr>
            </w:pPr>
          </w:p>
          <w:p>
            <w:pPr>
              <w:pStyle w:val="TableParagraph"/>
              <w:ind w:right="298"/>
              <w:jc w:val="right"/>
              <w:rPr>
                <w:sz w:val="20"/>
              </w:rPr>
            </w:pPr>
            <w:r>
              <w:rPr>
                <w:w w:val="95"/>
                <w:sz w:val="20"/>
              </w:rPr>
              <w:t>pF</w:t>
            </w:r>
          </w:p>
        </w:tc>
      </w:tr>
      <w:tr>
        <w:trPr>
          <w:trHeight w:val="488" w:hRule="atLeast"/>
        </w:trPr>
        <w:tc>
          <w:tcPr>
            <w:tcW w:w="9359" w:type="dxa"/>
            <w:gridSpan w:val="6"/>
          </w:tcPr>
          <w:p>
            <w:pPr>
              <w:pStyle w:val="TableParagraph"/>
              <w:spacing w:before="8"/>
              <w:ind w:left="107"/>
              <w:rPr>
                <w:b/>
                <w:sz w:val="20"/>
              </w:rPr>
            </w:pPr>
            <w:r>
              <w:rPr>
                <w:b/>
                <w:sz w:val="20"/>
              </w:rPr>
              <w:t>Note:</w:t>
            </w:r>
          </w:p>
          <w:p>
            <w:pPr>
              <w:pStyle w:val="TableParagraph"/>
              <w:spacing w:line="227" w:lineRule="exact" w:before="3"/>
              <w:ind w:left="467"/>
              <w:rPr>
                <w:sz w:val="20"/>
              </w:rPr>
            </w:pPr>
            <w:r>
              <w:rPr>
                <w:sz w:val="20"/>
              </w:rPr>
              <w:t>1. Guaranteed by design; not production tested.</w:t>
            </w:r>
          </w:p>
        </w:tc>
      </w:tr>
    </w:tbl>
    <w:p>
      <w:pPr>
        <w:pStyle w:val="BodyText"/>
        <w:spacing w:before="11"/>
        <w:rPr>
          <w:b/>
          <w:sz w:val="22"/>
        </w:rPr>
      </w:pPr>
    </w:p>
    <w:p>
      <w:pPr>
        <w:pStyle w:val="ListParagraph"/>
        <w:numPr>
          <w:ilvl w:val="2"/>
          <w:numId w:val="33"/>
        </w:numPr>
        <w:tabs>
          <w:tab w:pos="1263" w:val="left" w:leader="none"/>
        </w:tabs>
        <w:spacing w:line="240" w:lineRule="auto" w:before="0" w:after="0"/>
        <w:ind w:left="1262" w:right="0" w:hanging="783"/>
        <w:jc w:val="left"/>
        <w:rPr>
          <w:b/>
          <w:sz w:val="22"/>
        </w:rPr>
      </w:pPr>
      <w:bookmarkStart w:name="6.4.11  Phase-Locked Loop (PLL)" w:id="556"/>
      <w:bookmarkEnd w:id="556"/>
      <w:r>
        <w:rPr/>
      </w:r>
      <w:bookmarkStart w:name="_bookmark271" w:id="557"/>
      <w:bookmarkEnd w:id="557"/>
      <w:r>
        <w:rPr>
          <w:b/>
          <w:sz w:val="22"/>
        </w:rPr>
        <w:t>Phase</w:t>
      </w:r>
      <w:r>
        <w:rPr>
          <w:b/>
          <w:sz w:val="22"/>
        </w:rPr>
        <w:t>-Locked Loop</w:t>
      </w:r>
      <w:r>
        <w:rPr>
          <w:b/>
          <w:spacing w:val="-2"/>
          <w:sz w:val="22"/>
        </w:rPr>
        <w:t> </w:t>
      </w:r>
      <w:r>
        <w:rPr>
          <w:b/>
          <w:sz w:val="22"/>
        </w:rPr>
        <w:t>(PLL)</w:t>
      </w:r>
    </w:p>
    <w:p>
      <w:pPr>
        <w:pStyle w:val="Heading1"/>
        <w:spacing w:before="121"/>
        <w:ind w:left="3163"/>
        <w:jc w:val="left"/>
      </w:pPr>
      <w:bookmarkStart w:name="_bookmark272" w:id="558"/>
      <w:bookmarkEnd w:id="558"/>
      <w:r>
        <w:rPr>
          <w:b w:val="0"/>
        </w:rPr>
      </w:r>
      <w:r>
        <w:rPr/>
        <w:t>Table 99: PLL Performance Specifications</w:t>
      </w:r>
    </w:p>
    <w:p>
      <w:pPr>
        <w:pStyle w:val="BodyText"/>
        <w:spacing w:before="5"/>
        <w:rPr>
          <w:b/>
          <w:sz w:val="5"/>
        </w:rPr>
      </w:pPr>
    </w:p>
    <w:tbl>
      <w:tblPr>
        <w:tblW w:w="0" w:type="auto"/>
        <w:jc w:val="left"/>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91"/>
        <w:gridCol w:w="3235"/>
        <w:gridCol w:w="583"/>
        <w:gridCol w:w="607"/>
        <w:gridCol w:w="660"/>
        <w:gridCol w:w="684"/>
      </w:tblGrid>
      <w:tr>
        <w:trPr>
          <w:trHeight w:val="232" w:hRule="atLeast"/>
        </w:trPr>
        <w:tc>
          <w:tcPr>
            <w:tcW w:w="3091" w:type="dxa"/>
          </w:tcPr>
          <w:p>
            <w:pPr>
              <w:pStyle w:val="TableParagraph"/>
              <w:spacing w:line="212" w:lineRule="exact"/>
              <w:ind w:left="107"/>
              <w:rPr>
                <w:b/>
                <w:sz w:val="20"/>
              </w:rPr>
            </w:pPr>
            <w:r>
              <w:rPr>
                <w:b/>
                <w:sz w:val="20"/>
              </w:rPr>
              <w:t>PARAMETER</w:t>
            </w:r>
          </w:p>
        </w:tc>
        <w:tc>
          <w:tcPr>
            <w:tcW w:w="3235" w:type="dxa"/>
          </w:tcPr>
          <w:p>
            <w:pPr>
              <w:pStyle w:val="TableParagraph"/>
              <w:spacing w:line="212" w:lineRule="exact"/>
              <w:ind w:left="1055"/>
              <w:rPr>
                <w:b/>
                <w:sz w:val="20"/>
              </w:rPr>
            </w:pPr>
            <w:r>
              <w:rPr>
                <w:b/>
                <w:sz w:val="20"/>
              </w:rPr>
              <w:t>CONDITION</w:t>
            </w:r>
          </w:p>
        </w:tc>
        <w:tc>
          <w:tcPr>
            <w:tcW w:w="583" w:type="dxa"/>
          </w:tcPr>
          <w:p>
            <w:pPr>
              <w:pStyle w:val="TableParagraph"/>
              <w:spacing w:line="212" w:lineRule="exact"/>
              <w:ind w:left="107"/>
              <w:rPr>
                <w:b/>
                <w:sz w:val="20"/>
              </w:rPr>
            </w:pPr>
            <w:r>
              <w:rPr>
                <w:b/>
                <w:sz w:val="20"/>
              </w:rPr>
              <w:t>MIN</w:t>
            </w:r>
          </w:p>
        </w:tc>
        <w:tc>
          <w:tcPr>
            <w:tcW w:w="607" w:type="dxa"/>
          </w:tcPr>
          <w:p>
            <w:pPr>
              <w:pStyle w:val="TableParagraph"/>
              <w:spacing w:line="212" w:lineRule="exact"/>
              <w:ind w:left="88" w:right="69"/>
              <w:jc w:val="center"/>
              <w:rPr>
                <w:b/>
                <w:sz w:val="20"/>
              </w:rPr>
            </w:pPr>
            <w:r>
              <w:rPr>
                <w:b/>
                <w:sz w:val="20"/>
              </w:rPr>
              <w:t>TYP</w:t>
            </w:r>
          </w:p>
        </w:tc>
        <w:tc>
          <w:tcPr>
            <w:tcW w:w="660" w:type="dxa"/>
          </w:tcPr>
          <w:p>
            <w:pPr>
              <w:pStyle w:val="TableParagraph"/>
              <w:spacing w:line="212" w:lineRule="exact"/>
              <w:ind w:left="108"/>
              <w:rPr>
                <w:b/>
                <w:sz w:val="20"/>
              </w:rPr>
            </w:pPr>
            <w:r>
              <w:rPr>
                <w:b/>
                <w:sz w:val="20"/>
              </w:rPr>
              <w:t>MAX</w:t>
            </w:r>
          </w:p>
        </w:tc>
        <w:tc>
          <w:tcPr>
            <w:tcW w:w="684" w:type="dxa"/>
          </w:tcPr>
          <w:p>
            <w:pPr>
              <w:pStyle w:val="TableParagraph"/>
              <w:spacing w:line="212" w:lineRule="exact"/>
              <w:ind w:left="87" w:right="70"/>
              <w:jc w:val="center"/>
              <w:rPr>
                <w:b/>
                <w:sz w:val="20"/>
              </w:rPr>
            </w:pPr>
            <w:r>
              <w:rPr>
                <w:b/>
                <w:sz w:val="20"/>
              </w:rPr>
              <w:t>UNIT</w:t>
            </w:r>
          </w:p>
        </w:tc>
      </w:tr>
      <w:tr>
        <w:trPr>
          <w:trHeight w:val="920" w:hRule="atLeast"/>
        </w:trPr>
        <w:tc>
          <w:tcPr>
            <w:tcW w:w="3091" w:type="dxa"/>
          </w:tcPr>
          <w:p>
            <w:pPr>
              <w:pStyle w:val="TableParagraph"/>
              <w:spacing w:before="8"/>
              <w:rPr>
                <w:b/>
                <w:sz w:val="29"/>
              </w:rPr>
            </w:pPr>
          </w:p>
          <w:p>
            <w:pPr>
              <w:pStyle w:val="TableParagraph"/>
              <w:spacing w:before="1"/>
              <w:ind w:left="107"/>
              <w:rPr>
                <w:sz w:val="20"/>
              </w:rPr>
            </w:pPr>
            <w:r>
              <w:rPr>
                <w:sz w:val="20"/>
              </w:rPr>
              <w:t>PLL Power-up Settling Time</w:t>
            </w:r>
          </w:p>
        </w:tc>
        <w:tc>
          <w:tcPr>
            <w:tcW w:w="3235" w:type="dxa"/>
          </w:tcPr>
          <w:p>
            <w:pPr>
              <w:pStyle w:val="TableParagraph"/>
              <w:spacing w:line="225" w:lineRule="exact"/>
              <w:ind w:left="107"/>
              <w:rPr>
                <w:sz w:val="20"/>
              </w:rPr>
            </w:pPr>
            <w:r>
              <w:rPr>
                <w:rFonts w:ascii="Times New Roman"/>
                <w:i/>
                <w:sz w:val="20"/>
              </w:rPr>
              <w:t>PLL_FAST </w:t>
            </w:r>
            <w:r>
              <w:rPr>
                <w:sz w:val="20"/>
              </w:rPr>
              <w:t>=0,</w:t>
            </w:r>
          </w:p>
          <w:p>
            <w:pPr>
              <w:pStyle w:val="TableParagraph"/>
              <w:spacing w:line="230" w:lineRule="atLeast" w:before="2"/>
              <w:ind w:left="107" w:right="163"/>
              <w:rPr>
                <w:sz w:val="20"/>
              </w:rPr>
            </w:pPr>
            <w:r>
              <w:rPr>
                <w:sz w:val="20"/>
              </w:rPr>
              <w:t>V3P3 = 0 to 3.3 V step Measured from first edge of</w:t>
            </w:r>
            <w:r>
              <w:rPr>
                <w:spacing w:val="-15"/>
                <w:sz w:val="20"/>
              </w:rPr>
              <w:t> </w:t>
            </w:r>
            <w:r>
              <w:rPr>
                <w:sz w:val="20"/>
              </w:rPr>
              <w:t>MCK (TMUX2OUT</w:t>
            </w:r>
            <w:r>
              <w:rPr>
                <w:spacing w:val="1"/>
                <w:sz w:val="20"/>
              </w:rPr>
              <w:t> </w:t>
            </w:r>
            <w:r>
              <w:rPr>
                <w:sz w:val="20"/>
              </w:rPr>
              <w:t>pin)</w:t>
            </w:r>
          </w:p>
        </w:tc>
        <w:tc>
          <w:tcPr>
            <w:tcW w:w="583" w:type="dxa"/>
          </w:tcPr>
          <w:p>
            <w:pPr>
              <w:pStyle w:val="TableParagraph"/>
              <w:rPr>
                <w:rFonts w:ascii="Times New Roman"/>
                <w:sz w:val="20"/>
              </w:rPr>
            </w:pPr>
          </w:p>
        </w:tc>
        <w:tc>
          <w:tcPr>
            <w:tcW w:w="607" w:type="dxa"/>
          </w:tcPr>
          <w:p>
            <w:pPr>
              <w:pStyle w:val="TableParagraph"/>
              <w:spacing w:before="8"/>
              <w:rPr>
                <w:b/>
                <w:sz w:val="29"/>
              </w:rPr>
            </w:pPr>
          </w:p>
          <w:p>
            <w:pPr>
              <w:pStyle w:val="TableParagraph"/>
              <w:spacing w:before="1"/>
              <w:ind w:left="18"/>
              <w:jc w:val="center"/>
              <w:rPr>
                <w:sz w:val="20"/>
              </w:rPr>
            </w:pPr>
            <w:r>
              <w:rPr>
                <w:w w:val="99"/>
                <w:sz w:val="20"/>
              </w:rPr>
              <w:t>3</w:t>
            </w:r>
          </w:p>
        </w:tc>
        <w:tc>
          <w:tcPr>
            <w:tcW w:w="660" w:type="dxa"/>
          </w:tcPr>
          <w:p>
            <w:pPr>
              <w:pStyle w:val="TableParagraph"/>
              <w:rPr>
                <w:rFonts w:ascii="Times New Roman"/>
                <w:sz w:val="20"/>
              </w:rPr>
            </w:pPr>
          </w:p>
        </w:tc>
        <w:tc>
          <w:tcPr>
            <w:tcW w:w="684" w:type="dxa"/>
          </w:tcPr>
          <w:p>
            <w:pPr>
              <w:pStyle w:val="TableParagraph"/>
              <w:spacing w:before="8"/>
              <w:rPr>
                <w:b/>
                <w:sz w:val="29"/>
              </w:rPr>
            </w:pPr>
          </w:p>
          <w:p>
            <w:pPr>
              <w:pStyle w:val="TableParagraph"/>
              <w:spacing w:before="1"/>
              <w:ind w:left="87" w:right="63"/>
              <w:jc w:val="center"/>
              <w:rPr>
                <w:sz w:val="20"/>
              </w:rPr>
            </w:pPr>
            <w:r>
              <w:rPr>
                <w:sz w:val="20"/>
              </w:rPr>
              <w:t>ms</w:t>
            </w:r>
          </w:p>
        </w:tc>
      </w:tr>
      <w:tr>
        <w:trPr>
          <w:trHeight w:val="687" w:hRule="atLeast"/>
        </w:trPr>
        <w:tc>
          <w:tcPr>
            <w:tcW w:w="3091" w:type="dxa"/>
          </w:tcPr>
          <w:p>
            <w:pPr>
              <w:pStyle w:val="TableParagraph"/>
              <w:spacing w:line="227" w:lineRule="exact"/>
              <w:ind w:left="107"/>
              <w:rPr>
                <w:sz w:val="20"/>
              </w:rPr>
            </w:pPr>
            <w:r>
              <w:rPr>
                <w:sz w:val="20"/>
              </w:rPr>
              <w:t>PLL_FAST settling time</w:t>
            </w:r>
          </w:p>
          <w:p>
            <w:pPr>
              <w:pStyle w:val="TableParagraph"/>
              <w:spacing w:line="230" w:lineRule="atLeast"/>
              <w:ind w:left="827" w:right="868" w:hanging="1"/>
              <w:rPr>
                <w:sz w:val="20"/>
              </w:rPr>
            </w:pPr>
            <w:r>
              <w:rPr>
                <w:sz w:val="20"/>
              </w:rPr>
              <w:t>PLL_FAST rise PLL_FAST fall</w:t>
            </w:r>
          </w:p>
        </w:tc>
        <w:tc>
          <w:tcPr>
            <w:tcW w:w="3235" w:type="dxa"/>
          </w:tcPr>
          <w:p>
            <w:pPr>
              <w:pStyle w:val="TableParagraph"/>
              <w:spacing w:line="227" w:lineRule="exact"/>
              <w:ind w:left="107"/>
              <w:rPr>
                <w:sz w:val="20"/>
              </w:rPr>
            </w:pPr>
            <w:r>
              <w:rPr>
                <w:sz w:val="20"/>
              </w:rPr>
              <w:t>V3P3=0, VBAT=3.8 to 2.0 V</w:t>
            </w:r>
          </w:p>
        </w:tc>
        <w:tc>
          <w:tcPr>
            <w:tcW w:w="583" w:type="dxa"/>
          </w:tcPr>
          <w:p>
            <w:pPr>
              <w:pStyle w:val="TableParagraph"/>
              <w:rPr>
                <w:rFonts w:ascii="Times New Roman"/>
                <w:sz w:val="20"/>
              </w:rPr>
            </w:pPr>
          </w:p>
        </w:tc>
        <w:tc>
          <w:tcPr>
            <w:tcW w:w="607" w:type="dxa"/>
          </w:tcPr>
          <w:p>
            <w:pPr>
              <w:pStyle w:val="TableParagraph"/>
              <w:spacing w:before="8"/>
              <w:rPr>
                <w:b/>
                <w:sz w:val="19"/>
              </w:rPr>
            </w:pPr>
          </w:p>
          <w:p>
            <w:pPr>
              <w:pStyle w:val="TableParagraph"/>
              <w:ind w:left="18"/>
              <w:jc w:val="center"/>
              <w:rPr>
                <w:sz w:val="20"/>
              </w:rPr>
            </w:pPr>
            <w:r>
              <w:rPr>
                <w:w w:val="99"/>
                <w:sz w:val="20"/>
              </w:rPr>
              <w:t>3</w:t>
            </w:r>
          </w:p>
          <w:p>
            <w:pPr>
              <w:pStyle w:val="TableParagraph"/>
              <w:spacing w:line="210" w:lineRule="exact" w:before="1"/>
              <w:ind w:left="18"/>
              <w:jc w:val="center"/>
              <w:rPr>
                <w:sz w:val="20"/>
              </w:rPr>
            </w:pPr>
            <w:r>
              <w:rPr>
                <w:w w:val="99"/>
                <w:sz w:val="20"/>
              </w:rPr>
              <w:t>3</w:t>
            </w:r>
          </w:p>
        </w:tc>
        <w:tc>
          <w:tcPr>
            <w:tcW w:w="660" w:type="dxa"/>
          </w:tcPr>
          <w:p>
            <w:pPr>
              <w:pStyle w:val="TableParagraph"/>
              <w:rPr>
                <w:rFonts w:ascii="Times New Roman"/>
                <w:sz w:val="20"/>
              </w:rPr>
            </w:pPr>
          </w:p>
        </w:tc>
        <w:tc>
          <w:tcPr>
            <w:tcW w:w="684" w:type="dxa"/>
          </w:tcPr>
          <w:p>
            <w:pPr>
              <w:pStyle w:val="TableParagraph"/>
              <w:spacing w:before="8"/>
              <w:rPr>
                <w:b/>
                <w:sz w:val="19"/>
              </w:rPr>
            </w:pPr>
          </w:p>
          <w:p>
            <w:pPr>
              <w:pStyle w:val="TableParagraph"/>
              <w:spacing w:line="230" w:lineRule="atLeast"/>
              <w:ind w:left="209" w:right="168"/>
              <w:rPr>
                <w:sz w:val="20"/>
              </w:rPr>
            </w:pPr>
            <w:r>
              <w:rPr>
                <w:sz w:val="20"/>
              </w:rPr>
              <w:t>ms ms</w:t>
            </w:r>
          </w:p>
        </w:tc>
      </w:tr>
      <w:tr>
        <w:trPr>
          <w:trHeight w:val="232" w:hRule="atLeast"/>
        </w:trPr>
        <w:tc>
          <w:tcPr>
            <w:tcW w:w="3091" w:type="dxa"/>
          </w:tcPr>
          <w:p>
            <w:pPr>
              <w:pStyle w:val="TableParagraph"/>
              <w:spacing w:line="212" w:lineRule="exact"/>
              <w:ind w:left="107"/>
              <w:rPr>
                <w:sz w:val="20"/>
              </w:rPr>
            </w:pPr>
            <w:r>
              <w:rPr>
                <w:sz w:val="20"/>
              </w:rPr>
              <w:t>PLL SLP to MSN Settling Time</w:t>
            </w:r>
          </w:p>
        </w:tc>
        <w:tc>
          <w:tcPr>
            <w:tcW w:w="3235" w:type="dxa"/>
          </w:tcPr>
          <w:p>
            <w:pPr>
              <w:pStyle w:val="TableParagraph"/>
              <w:spacing w:line="212" w:lineRule="exact"/>
              <w:ind w:left="107"/>
              <w:rPr>
                <w:sz w:val="20"/>
              </w:rPr>
            </w:pPr>
            <w:r>
              <w:rPr>
                <w:i/>
                <w:sz w:val="20"/>
              </w:rPr>
              <w:t>PLL_FAST </w:t>
            </w:r>
            <w:r>
              <w:rPr>
                <w:sz w:val="20"/>
              </w:rPr>
              <w:t>=0</w:t>
            </w:r>
          </w:p>
        </w:tc>
        <w:tc>
          <w:tcPr>
            <w:tcW w:w="583" w:type="dxa"/>
          </w:tcPr>
          <w:p>
            <w:pPr>
              <w:pStyle w:val="TableParagraph"/>
              <w:rPr>
                <w:rFonts w:ascii="Times New Roman"/>
                <w:sz w:val="16"/>
              </w:rPr>
            </w:pPr>
          </w:p>
        </w:tc>
        <w:tc>
          <w:tcPr>
            <w:tcW w:w="607" w:type="dxa"/>
          </w:tcPr>
          <w:p>
            <w:pPr>
              <w:pStyle w:val="TableParagraph"/>
              <w:spacing w:line="212" w:lineRule="exact"/>
              <w:ind w:left="18"/>
              <w:jc w:val="center"/>
              <w:rPr>
                <w:sz w:val="20"/>
              </w:rPr>
            </w:pPr>
            <w:r>
              <w:rPr>
                <w:w w:val="99"/>
                <w:sz w:val="20"/>
              </w:rPr>
              <w:t>3</w:t>
            </w:r>
          </w:p>
        </w:tc>
        <w:tc>
          <w:tcPr>
            <w:tcW w:w="660" w:type="dxa"/>
          </w:tcPr>
          <w:p>
            <w:pPr>
              <w:pStyle w:val="TableParagraph"/>
              <w:rPr>
                <w:rFonts w:ascii="Times New Roman"/>
                <w:sz w:val="16"/>
              </w:rPr>
            </w:pPr>
          </w:p>
        </w:tc>
        <w:tc>
          <w:tcPr>
            <w:tcW w:w="684" w:type="dxa"/>
          </w:tcPr>
          <w:p>
            <w:pPr>
              <w:pStyle w:val="TableParagraph"/>
              <w:spacing w:line="212" w:lineRule="exact"/>
              <w:ind w:left="87" w:right="64"/>
              <w:jc w:val="center"/>
              <w:rPr>
                <w:sz w:val="20"/>
              </w:rPr>
            </w:pPr>
            <w:r>
              <w:rPr>
                <w:sz w:val="20"/>
              </w:rPr>
              <w:t>ms</w:t>
            </w:r>
          </w:p>
        </w:tc>
      </w:tr>
    </w:tbl>
    <w:p>
      <w:pPr>
        <w:pStyle w:val="BodyText"/>
        <w:spacing w:before="11"/>
        <w:rPr>
          <w:b/>
          <w:sz w:val="21"/>
        </w:rPr>
      </w:pPr>
    </w:p>
    <w:p>
      <w:pPr>
        <w:spacing w:after="0"/>
        <w:rPr>
          <w:sz w:val="21"/>
        </w:rPr>
        <w:sectPr>
          <w:pgSz w:w="12240" w:h="15840"/>
          <w:pgMar w:header="727" w:footer="819" w:top="1160" w:bottom="1000" w:left="960" w:right="940"/>
        </w:sectPr>
      </w:pPr>
    </w:p>
    <w:p>
      <w:pPr>
        <w:pStyle w:val="ListParagraph"/>
        <w:numPr>
          <w:ilvl w:val="2"/>
          <w:numId w:val="33"/>
        </w:numPr>
        <w:tabs>
          <w:tab w:pos="1201" w:val="left" w:leader="none"/>
        </w:tabs>
        <w:spacing w:line="240" w:lineRule="auto" w:before="94" w:after="0"/>
        <w:ind w:left="1200" w:right="0" w:hanging="721"/>
        <w:jc w:val="left"/>
        <w:rPr>
          <w:b/>
          <w:sz w:val="22"/>
        </w:rPr>
      </w:pPr>
      <w:bookmarkStart w:name="6.4.12 LCD Drivers" w:id="559"/>
      <w:bookmarkEnd w:id="559"/>
      <w:r>
        <w:rPr/>
      </w:r>
      <w:bookmarkStart w:name="_bookmark273" w:id="560"/>
      <w:bookmarkEnd w:id="560"/>
      <w:r>
        <w:rPr/>
      </w:r>
      <w:bookmarkStart w:name="_bookmark273" w:id="561"/>
      <w:bookmarkEnd w:id="561"/>
      <w:r>
        <w:rPr>
          <w:b/>
          <w:sz w:val="22"/>
        </w:rPr>
        <w:t>L</w:t>
      </w:r>
      <w:r>
        <w:rPr>
          <w:b/>
          <w:sz w:val="22"/>
        </w:rPr>
        <w:t>CD</w:t>
      </w:r>
      <w:r>
        <w:rPr>
          <w:b/>
          <w:spacing w:val="2"/>
          <w:sz w:val="22"/>
        </w:rPr>
        <w:t> </w:t>
      </w:r>
      <w:r>
        <w:rPr>
          <w:b/>
          <w:spacing w:val="-3"/>
          <w:sz w:val="22"/>
        </w:rPr>
        <w:t>Drivers</w:t>
      </w:r>
    </w:p>
    <w:p>
      <w:pPr>
        <w:pStyle w:val="BodyText"/>
        <w:rPr>
          <w:b/>
          <w:sz w:val="22"/>
        </w:rPr>
      </w:pPr>
      <w:r>
        <w:rPr/>
        <w:br w:type="column"/>
      </w:r>
      <w:r>
        <w:rPr>
          <w:b/>
          <w:sz w:val="22"/>
        </w:rPr>
      </w:r>
    </w:p>
    <w:p>
      <w:pPr>
        <w:pStyle w:val="BodyText"/>
        <w:spacing w:before="5"/>
        <w:rPr>
          <w:b/>
          <w:sz w:val="18"/>
        </w:rPr>
      </w:pPr>
    </w:p>
    <w:p>
      <w:pPr>
        <w:pStyle w:val="Heading1"/>
        <w:ind w:left="206"/>
        <w:jc w:val="left"/>
      </w:pPr>
      <w:bookmarkStart w:name="_bookmark274" w:id="562"/>
      <w:bookmarkEnd w:id="562"/>
      <w:r>
        <w:rPr>
          <w:b w:val="0"/>
        </w:rPr>
      </w:r>
      <w:r>
        <w:rPr/>
        <w:t>Table 100: LCD Drivers Performance Specifications</w:t>
      </w:r>
    </w:p>
    <w:p>
      <w:pPr>
        <w:spacing w:after="0"/>
        <w:jc w:val="left"/>
        <w:sectPr>
          <w:type w:val="continuous"/>
          <w:pgSz w:w="12240" w:h="15840"/>
          <w:pgMar w:top="940" w:bottom="280" w:left="960" w:right="940"/>
          <w:cols w:num="2" w:equalWidth="0">
            <w:col w:w="2473" w:space="40"/>
            <w:col w:w="7827"/>
          </w:cols>
        </w:sectPr>
      </w:pPr>
    </w:p>
    <w:p>
      <w:pPr>
        <w:pStyle w:val="BodyText"/>
        <w:spacing w:before="8"/>
        <w:rPr>
          <w:b/>
          <w:sz w:val="5"/>
        </w:rPr>
      </w:pPr>
    </w:p>
    <w:tbl>
      <w:tblPr>
        <w:tblW w:w="0" w:type="auto"/>
        <w:jc w:val="left"/>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94"/>
        <w:gridCol w:w="4174"/>
        <w:gridCol w:w="584"/>
        <w:gridCol w:w="608"/>
        <w:gridCol w:w="663"/>
        <w:gridCol w:w="903"/>
      </w:tblGrid>
      <w:tr>
        <w:trPr>
          <w:trHeight w:val="229" w:hRule="atLeast"/>
        </w:trPr>
        <w:tc>
          <w:tcPr>
            <w:tcW w:w="1894" w:type="dxa"/>
          </w:tcPr>
          <w:p>
            <w:pPr>
              <w:pStyle w:val="TableParagraph"/>
              <w:spacing w:line="210" w:lineRule="exact"/>
              <w:ind w:left="107"/>
              <w:rPr>
                <w:b/>
                <w:sz w:val="20"/>
              </w:rPr>
            </w:pPr>
            <w:r>
              <w:rPr>
                <w:b/>
                <w:sz w:val="20"/>
              </w:rPr>
              <w:t>PARAMETER</w:t>
            </w:r>
          </w:p>
        </w:tc>
        <w:tc>
          <w:tcPr>
            <w:tcW w:w="4174" w:type="dxa"/>
          </w:tcPr>
          <w:p>
            <w:pPr>
              <w:pStyle w:val="TableParagraph"/>
              <w:spacing w:line="210" w:lineRule="exact"/>
              <w:ind w:left="1505" w:right="1486"/>
              <w:jc w:val="center"/>
              <w:rPr>
                <w:sz w:val="20"/>
              </w:rPr>
            </w:pPr>
            <w:r>
              <w:rPr>
                <w:sz w:val="20"/>
              </w:rPr>
              <w:t>CONDITION</w:t>
            </w:r>
          </w:p>
        </w:tc>
        <w:tc>
          <w:tcPr>
            <w:tcW w:w="584" w:type="dxa"/>
          </w:tcPr>
          <w:p>
            <w:pPr>
              <w:pStyle w:val="TableParagraph"/>
              <w:spacing w:line="210" w:lineRule="exact"/>
              <w:ind w:left="106"/>
              <w:rPr>
                <w:b/>
                <w:sz w:val="20"/>
              </w:rPr>
            </w:pPr>
            <w:r>
              <w:rPr>
                <w:b/>
                <w:sz w:val="20"/>
              </w:rPr>
              <w:t>MIN</w:t>
            </w:r>
          </w:p>
        </w:tc>
        <w:tc>
          <w:tcPr>
            <w:tcW w:w="608" w:type="dxa"/>
          </w:tcPr>
          <w:p>
            <w:pPr>
              <w:pStyle w:val="TableParagraph"/>
              <w:spacing w:line="210" w:lineRule="exact"/>
              <w:ind w:left="106"/>
              <w:rPr>
                <w:b/>
                <w:sz w:val="20"/>
              </w:rPr>
            </w:pPr>
            <w:r>
              <w:rPr>
                <w:b/>
                <w:sz w:val="20"/>
              </w:rPr>
              <w:t>TYP</w:t>
            </w:r>
          </w:p>
        </w:tc>
        <w:tc>
          <w:tcPr>
            <w:tcW w:w="663" w:type="dxa"/>
          </w:tcPr>
          <w:p>
            <w:pPr>
              <w:pStyle w:val="TableParagraph"/>
              <w:spacing w:line="210" w:lineRule="exact"/>
              <w:ind w:left="105"/>
              <w:rPr>
                <w:b/>
                <w:sz w:val="20"/>
              </w:rPr>
            </w:pPr>
            <w:r>
              <w:rPr>
                <w:b/>
                <w:sz w:val="20"/>
              </w:rPr>
              <w:t>MAX</w:t>
            </w:r>
          </w:p>
        </w:tc>
        <w:tc>
          <w:tcPr>
            <w:tcW w:w="903" w:type="dxa"/>
          </w:tcPr>
          <w:p>
            <w:pPr>
              <w:pStyle w:val="TableParagraph"/>
              <w:spacing w:line="210" w:lineRule="exact"/>
              <w:ind w:left="215"/>
              <w:rPr>
                <w:b/>
                <w:sz w:val="20"/>
              </w:rPr>
            </w:pPr>
            <w:r>
              <w:rPr>
                <w:b/>
                <w:sz w:val="20"/>
              </w:rPr>
              <w:t>UNIT</w:t>
            </w:r>
          </w:p>
        </w:tc>
      </w:tr>
      <w:tr>
        <w:trPr>
          <w:trHeight w:val="460" w:hRule="atLeast"/>
        </w:trPr>
        <w:tc>
          <w:tcPr>
            <w:tcW w:w="1894" w:type="dxa"/>
          </w:tcPr>
          <w:p>
            <w:pPr>
              <w:pStyle w:val="TableParagraph"/>
              <w:spacing w:line="229" w:lineRule="exact"/>
              <w:ind w:left="107"/>
              <w:rPr>
                <w:sz w:val="20"/>
              </w:rPr>
            </w:pPr>
            <w:r>
              <w:rPr>
                <w:sz w:val="20"/>
              </w:rPr>
              <w:t>VLCD Current</w:t>
            </w:r>
          </w:p>
        </w:tc>
        <w:tc>
          <w:tcPr>
            <w:tcW w:w="4174" w:type="dxa"/>
          </w:tcPr>
          <w:p>
            <w:pPr>
              <w:pStyle w:val="TableParagraph"/>
              <w:spacing w:before="1"/>
              <w:ind w:left="107" w:right="1565"/>
              <w:rPr>
                <w:sz w:val="18"/>
              </w:rPr>
            </w:pPr>
            <w:r>
              <w:rPr>
                <w:sz w:val="18"/>
              </w:rPr>
              <w:t>VLCD=3.3, all LCD map bits=0 VLCD=5.0, all LCD map bits=0</w:t>
            </w:r>
          </w:p>
        </w:tc>
        <w:tc>
          <w:tcPr>
            <w:tcW w:w="584" w:type="dxa"/>
          </w:tcPr>
          <w:p>
            <w:pPr>
              <w:pStyle w:val="TableParagraph"/>
              <w:rPr>
                <w:rFonts w:ascii="Times New Roman"/>
                <w:sz w:val="20"/>
              </w:rPr>
            </w:pPr>
          </w:p>
        </w:tc>
        <w:tc>
          <w:tcPr>
            <w:tcW w:w="608" w:type="dxa"/>
          </w:tcPr>
          <w:p>
            <w:pPr>
              <w:pStyle w:val="TableParagraph"/>
              <w:rPr>
                <w:rFonts w:ascii="Times New Roman"/>
                <w:sz w:val="20"/>
              </w:rPr>
            </w:pPr>
          </w:p>
        </w:tc>
        <w:tc>
          <w:tcPr>
            <w:tcW w:w="663" w:type="dxa"/>
          </w:tcPr>
          <w:p>
            <w:pPr>
              <w:pStyle w:val="TableParagraph"/>
              <w:spacing w:line="228" w:lineRule="exact"/>
              <w:ind w:left="14"/>
              <w:jc w:val="center"/>
              <w:rPr>
                <w:sz w:val="20"/>
              </w:rPr>
            </w:pPr>
            <w:r>
              <w:rPr>
                <w:w w:val="99"/>
                <w:sz w:val="20"/>
              </w:rPr>
              <w:t>2</w:t>
            </w:r>
          </w:p>
          <w:p>
            <w:pPr>
              <w:pStyle w:val="TableParagraph"/>
              <w:spacing w:line="212" w:lineRule="exact"/>
              <w:ind w:left="14"/>
              <w:jc w:val="center"/>
              <w:rPr>
                <w:sz w:val="20"/>
              </w:rPr>
            </w:pPr>
            <w:r>
              <w:rPr>
                <w:w w:val="99"/>
                <w:sz w:val="20"/>
              </w:rPr>
              <w:t>3</w:t>
            </w:r>
          </w:p>
        </w:tc>
        <w:tc>
          <w:tcPr>
            <w:tcW w:w="903" w:type="dxa"/>
          </w:tcPr>
          <w:p>
            <w:pPr>
              <w:pStyle w:val="TableParagraph"/>
              <w:spacing w:line="228" w:lineRule="exact" w:before="4"/>
              <w:ind w:left="325" w:right="312"/>
              <w:jc w:val="center"/>
              <w:rPr>
                <w:sz w:val="20"/>
              </w:rPr>
            </w:pPr>
            <w:r>
              <w:rPr>
                <w:sz w:val="20"/>
              </w:rPr>
              <w:t>uA</w:t>
            </w:r>
            <w:r>
              <w:rPr>
                <w:w w:val="99"/>
                <w:sz w:val="20"/>
              </w:rPr>
              <w:t> </w:t>
            </w:r>
            <w:r>
              <w:rPr>
                <w:sz w:val="20"/>
              </w:rPr>
              <w:t>uA</w:t>
            </w:r>
          </w:p>
        </w:tc>
      </w:tr>
      <w:tr>
        <w:trPr>
          <w:trHeight w:val="920" w:hRule="atLeast"/>
        </w:trPr>
        <w:tc>
          <w:tcPr>
            <w:tcW w:w="8826" w:type="dxa"/>
            <w:gridSpan w:val="6"/>
          </w:tcPr>
          <w:p>
            <w:pPr>
              <w:pStyle w:val="TableParagraph"/>
              <w:spacing w:line="224" w:lineRule="exact"/>
              <w:ind w:left="107"/>
              <w:rPr>
                <w:b/>
                <w:sz w:val="20"/>
              </w:rPr>
            </w:pPr>
            <w:r>
              <w:rPr>
                <w:b/>
                <w:sz w:val="20"/>
              </w:rPr>
              <w:t>Note:</w:t>
            </w:r>
          </w:p>
          <w:p>
            <w:pPr>
              <w:pStyle w:val="TableParagraph"/>
              <w:spacing w:line="229" w:lineRule="exact" w:before="3"/>
              <w:ind w:left="467"/>
              <w:rPr>
                <w:sz w:val="20"/>
              </w:rPr>
            </w:pPr>
            <w:r>
              <w:rPr>
                <w:sz w:val="20"/>
              </w:rPr>
              <w:t>1. These specifications apply to all COM and SEG pins.</w:t>
            </w:r>
          </w:p>
          <w:p>
            <w:pPr>
              <w:pStyle w:val="TableParagraph"/>
              <w:numPr>
                <w:ilvl w:val="0"/>
                <w:numId w:val="36"/>
              </w:numPr>
              <w:tabs>
                <w:tab w:pos="828" w:val="left" w:leader="none"/>
              </w:tabs>
              <w:spacing w:line="230" w:lineRule="exact" w:before="0" w:after="0"/>
              <w:ind w:left="827" w:right="0" w:hanging="361"/>
              <w:jc w:val="left"/>
              <w:rPr>
                <w:sz w:val="20"/>
              </w:rPr>
            </w:pPr>
            <w:r>
              <w:rPr>
                <w:rFonts w:ascii="Times New Roman"/>
                <w:i/>
                <w:sz w:val="20"/>
              </w:rPr>
              <w:t>LCD_VMODE</w:t>
            </w:r>
            <w:r>
              <w:rPr>
                <w:sz w:val="20"/>
              </w:rPr>
              <w:t>=3, </w:t>
            </w:r>
            <w:r>
              <w:rPr>
                <w:rFonts w:ascii="Times New Roman"/>
                <w:i/>
                <w:sz w:val="20"/>
              </w:rPr>
              <w:t>LCD_ON</w:t>
            </w:r>
            <w:r>
              <w:rPr>
                <w:sz w:val="20"/>
              </w:rPr>
              <w:t>=1, </w:t>
            </w:r>
            <w:r>
              <w:rPr>
                <w:rFonts w:ascii="Times New Roman"/>
                <w:i/>
                <w:sz w:val="20"/>
              </w:rPr>
              <w:t>LCD_BLANK</w:t>
            </w:r>
            <w:r>
              <w:rPr>
                <w:sz w:val="20"/>
              </w:rPr>
              <w:t>=0, </w:t>
            </w:r>
            <w:r>
              <w:rPr>
                <w:rFonts w:ascii="Times New Roman"/>
                <w:i/>
                <w:sz w:val="20"/>
              </w:rPr>
              <w:t>LCD_MODE</w:t>
            </w:r>
            <w:r>
              <w:rPr>
                <w:sz w:val="20"/>
              </w:rPr>
              <w:t>=6,</w:t>
            </w:r>
            <w:r>
              <w:rPr>
                <w:spacing w:val="-4"/>
                <w:sz w:val="20"/>
              </w:rPr>
              <w:t> </w:t>
            </w:r>
            <w:r>
              <w:rPr>
                <w:rFonts w:ascii="Times New Roman"/>
                <w:i/>
                <w:sz w:val="20"/>
              </w:rPr>
              <w:t>LCD_CLK</w:t>
            </w:r>
            <w:r>
              <w:rPr>
                <w:sz w:val="20"/>
              </w:rPr>
              <w:t>=2.</w:t>
            </w:r>
          </w:p>
          <w:p>
            <w:pPr>
              <w:pStyle w:val="TableParagraph"/>
              <w:numPr>
                <w:ilvl w:val="0"/>
                <w:numId w:val="36"/>
              </w:numPr>
              <w:tabs>
                <w:tab w:pos="828" w:val="left" w:leader="none"/>
              </w:tabs>
              <w:spacing w:line="213" w:lineRule="exact" w:before="1" w:after="0"/>
              <w:ind w:left="827" w:right="0" w:hanging="361"/>
              <w:jc w:val="left"/>
              <w:rPr>
                <w:sz w:val="20"/>
              </w:rPr>
            </w:pPr>
            <w:r>
              <w:rPr>
                <w:sz w:val="20"/>
              </w:rPr>
              <w:t>Output load is 74 pF per SEG and COM</w:t>
            </w:r>
            <w:r>
              <w:rPr>
                <w:spacing w:val="2"/>
                <w:sz w:val="20"/>
              </w:rPr>
              <w:t> </w:t>
            </w:r>
            <w:r>
              <w:rPr>
                <w:sz w:val="20"/>
              </w:rPr>
              <w:t>pin.</w:t>
            </w:r>
          </w:p>
        </w:tc>
      </w:tr>
    </w:tbl>
    <w:p>
      <w:pPr>
        <w:spacing w:after="0" w:line="213" w:lineRule="exact"/>
        <w:jc w:val="left"/>
        <w:rPr>
          <w:sz w:val="20"/>
        </w:rPr>
        <w:sectPr>
          <w:type w:val="continuous"/>
          <w:pgSz w:w="12240" w:h="15840"/>
          <w:pgMar w:top="940" w:bottom="280" w:left="960" w:right="940"/>
        </w:sectPr>
      </w:pPr>
    </w:p>
    <w:p>
      <w:pPr>
        <w:pStyle w:val="ListParagraph"/>
        <w:numPr>
          <w:ilvl w:val="2"/>
          <w:numId w:val="33"/>
        </w:numPr>
        <w:tabs>
          <w:tab w:pos="1201" w:val="left" w:leader="none"/>
        </w:tabs>
        <w:spacing w:line="240" w:lineRule="auto" w:before="88" w:after="0"/>
        <w:ind w:left="1200" w:right="0" w:hanging="721"/>
        <w:jc w:val="left"/>
        <w:rPr>
          <w:b/>
          <w:sz w:val="22"/>
        </w:rPr>
      </w:pPr>
      <w:bookmarkStart w:name="6.4.13 VLCD Generator" w:id="563"/>
      <w:bookmarkEnd w:id="563"/>
      <w:r>
        <w:rPr/>
      </w:r>
      <w:bookmarkStart w:name="_bookmark275" w:id="564"/>
      <w:bookmarkEnd w:id="564"/>
      <w:r>
        <w:rPr/>
      </w:r>
      <w:bookmarkStart w:name="_bookmark275" w:id="565"/>
      <w:bookmarkEnd w:id="565"/>
      <w:r>
        <w:rPr>
          <w:b/>
          <w:sz w:val="22"/>
        </w:rPr>
        <w:t>VL</w:t>
      </w:r>
      <w:r>
        <w:rPr>
          <w:b/>
          <w:sz w:val="22"/>
        </w:rPr>
        <w:t>CD</w:t>
      </w:r>
      <w:r>
        <w:rPr>
          <w:b/>
          <w:spacing w:val="7"/>
          <w:sz w:val="22"/>
        </w:rPr>
        <w:t> </w:t>
      </w:r>
      <w:r>
        <w:rPr>
          <w:b/>
          <w:spacing w:val="-3"/>
          <w:sz w:val="22"/>
        </w:rPr>
        <w:t>Generator</w:t>
      </w:r>
    </w:p>
    <w:p>
      <w:pPr>
        <w:pStyle w:val="BodyText"/>
        <w:rPr>
          <w:b/>
          <w:sz w:val="22"/>
        </w:rPr>
      </w:pPr>
      <w:r>
        <w:rPr/>
        <w:br w:type="column"/>
      </w:r>
      <w:r>
        <w:rPr>
          <w:b/>
          <w:sz w:val="22"/>
        </w:rPr>
      </w:r>
    </w:p>
    <w:p>
      <w:pPr>
        <w:pStyle w:val="BodyText"/>
        <w:spacing w:before="11"/>
        <w:rPr>
          <w:b/>
          <w:sz w:val="17"/>
        </w:rPr>
      </w:pPr>
    </w:p>
    <w:p>
      <w:pPr>
        <w:pStyle w:val="Heading1"/>
        <w:ind w:left="205"/>
        <w:jc w:val="left"/>
      </w:pPr>
      <w:bookmarkStart w:name="_bookmark276" w:id="566"/>
      <w:bookmarkEnd w:id="566"/>
      <w:r>
        <w:rPr>
          <w:b w:val="0"/>
        </w:rPr>
      </w:r>
      <w:r>
        <w:rPr/>
        <w:t>Table 101: VLCD Generator Specifications</w:t>
      </w:r>
    </w:p>
    <w:p>
      <w:pPr>
        <w:spacing w:after="0"/>
        <w:jc w:val="left"/>
        <w:sectPr>
          <w:pgSz w:w="12240" w:h="15840"/>
          <w:pgMar w:header="727" w:footer="819" w:top="1160" w:bottom="1000" w:left="960" w:right="940"/>
          <w:cols w:num="2" w:equalWidth="0">
            <w:col w:w="2913" w:space="40"/>
            <w:col w:w="7387"/>
          </w:cols>
        </w:sectPr>
      </w:pPr>
    </w:p>
    <w:p>
      <w:pPr>
        <w:pStyle w:val="BodyText"/>
        <w:spacing w:before="8"/>
        <w:rPr>
          <w:b/>
          <w:sz w:val="5"/>
        </w:rPr>
      </w:pPr>
      <w:r>
        <w:rPr/>
        <w:pict>
          <v:rect style="position:absolute;margin-left:321.959991pt;margin-top:327.480988pt;width:99.121pt;height:.599pt;mso-position-horizontal-relative:page;mso-position-vertical-relative:page;z-index:-38721024" filled="true" fillcolor="#000000" stroked="false">
            <v:fill type="solid"/>
            <w10:wrap type="none"/>
          </v:rect>
        </w:pict>
      </w:r>
      <w:r>
        <w:rPr/>
        <w:pict>
          <v:rect style="position:absolute;margin-left:315.239990pt;margin-top:350.399994pt;width:41.88pt;height:.6pt;mso-position-horizontal-relative:page;mso-position-vertical-relative:page;z-index:-38720512" filled="true" fillcolor="#000000" stroked="false">
            <v:fill type="solid"/>
            <w10:wrap type="none"/>
          </v:rect>
        </w:pict>
      </w:r>
    </w:p>
    <w:tbl>
      <w:tblPr>
        <w:tblW w:w="0" w:type="auto"/>
        <w:jc w:val="left"/>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346"/>
        <w:gridCol w:w="3044"/>
        <w:gridCol w:w="742"/>
        <w:gridCol w:w="744"/>
        <w:gridCol w:w="742"/>
        <w:gridCol w:w="744"/>
      </w:tblGrid>
      <w:tr>
        <w:trPr>
          <w:trHeight w:val="287" w:hRule="atLeast"/>
        </w:trPr>
        <w:tc>
          <w:tcPr>
            <w:tcW w:w="3346" w:type="dxa"/>
          </w:tcPr>
          <w:p>
            <w:pPr>
              <w:pStyle w:val="TableParagraph"/>
              <w:spacing w:before="32"/>
              <w:ind w:left="78"/>
              <w:rPr>
                <w:b/>
                <w:sz w:val="18"/>
              </w:rPr>
            </w:pPr>
            <w:r>
              <w:rPr>
                <w:b/>
                <w:sz w:val="18"/>
              </w:rPr>
              <w:t>Parameter</w:t>
            </w:r>
          </w:p>
        </w:tc>
        <w:tc>
          <w:tcPr>
            <w:tcW w:w="3044" w:type="dxa"/>
          </w:tcPr>
          <w:p>
            <w:pPr>
              <w:pStyle w:val="TableParagraph"/>
              <w:spacing w:before="32"/>
              <w:ind w:left="78"/>
              <w:rPr>
                <w:b/>
                <w:sz w:val="18"/>
              </w:rPr>
            </w:pPr>
            <w:r>
              <w:rPr>
                <w:b/>
                <w:sz w:val="18"/>
              </w:rPr>
              <w:t>Condition</w:t>
            </w:r>
          </w:p>
        </w:tc>
        <w:tc>
          <w:tcPr>
            <w:tcW w:w="742" w:type="dxa"/>
          </w:tcPr>
          <w:p>
            <w:pPr>
              <w:pStyle w:val="TableParagraph"/>
              <w:spacing w:before="32"/>
              <w:ind w:left="223"/>
              <w:rPr>
                <w:b/>
                <w:sz w:val="18"/>
              </w:rPr>
            </w:pPr>
            <w:r>
              <w:rPr>
                <w:b/>
                <w:sz w:val="18"/>
              </w:rPr>
              <w:t>Min</w:t>
            </w:r>
          </w:p>
        </w:tc>
        <w:tc>
          <w:tcPr>
            <w:tcW w:w="744" w:type="dxa"/>
          </w:tcPr>
          <w:p>
            <w:pPr>
              <w:pStyle w:val="TableParagraph"/>
              <w:spacing w:before="32"/>
              <w:ind w:left="221"/>
              <w:rPr>
                <w:b/>
                <w:sz w:val="18"/>
              </w:rPr>
            </w:pPr>
            <w:r>
              <w:rPr>
                <w:b/>
                <w:sz w:val="18"/>
              </w:rPr>
              <w:t>Typ</w:t>
            </w:r>
          </w:p>
        </w:tc>
        <w:tc>
          <w:tcPr>
            <w:tcW w:w="742" w:type="dxa"/>
          </w:tcPr>
          <w:p>
            <w:pPr>
              <w:pStyle w:val="TableParagraph"/>
              <w:spacing w:before="32"/>
              <w:ind w:left="149" w:right="115"/>
              <w:jc w:val="center"/>
              <w:rPr>
                <w:b/>
                <w:sz w:val="18"/>
              </w:rPr>
            </w:pPr>
            <w:r>
              <w:rPr>
                <w:b/>
                <w:sz w:val="18"/>
              </w:rPr>
              <w:t>Max</w:t>
            </w:r>
          </w:p>
        </w:tc>
        <w:tc>
          <w:tcPr>
            <w:tcW w:w="744" w:type="dxa"/>
          </w:tcPr>
          <w:p>
            <w:pPr>
              <w:pStyle w:val="TableParagraph"/>
              <w:spacing w:before="32"/>
              <w:ind w:left="184" w:right="150"/>
              <w:jc w:val="center"/>
              <w:rPr>
                <w:b/>
                <w:sz w:val="18"/>
              </w:rPr>
            </w:pPr>
            <w:r>
              <w:rPr>
                <w:b/>
                <w:sz w:val="18"/>
              </w:rPr>
              <w:t>Unit</w:t>
            </w:r>
          </w:p>
        </w:tc>
      </w:tr>
      <w:tr>
        <w:trPr>
          <w:trHeight w:val="829" w:hRule="atLeast"/>
        </w:trPr>
        <w:tc>
          <w:tcPr>
            <w:tcW w:w="3346" w:type="dxa"/>
          </w:tcPr>
          <w:p>
            <w:pPr>
              <w:pStyle w:val="TableParagraph"/>
              <w:rPr>
                <w:b/>
                <w:sz w:val="27"/>
              </w:rPr>
            </w:pPr>
          </w:p>
          <w:p>
            <w:pPr>
              <w:pStyle w:val="TableParagraph"/>
              <w:ind w:left="78"/>
              <w:rPr>
                <w:sz w:val="18"/>
              </w:rPr>
            </w:pPr>
            <w:r>
              <w:rPr>
                <w:sz w:val="18"/>
              </w:rPr>
              <w:t>VSYS to VLCD switch impedance</w:t>
            </w:r>
          </w:p>
        </w:tc>
        <w:tc>
          <w:tcPr>
            <w:tcW w:w="3044" w:type="dxa"/>
          </w:tcPr>
          <w:p>
            <w:pPr>
              <w:pStyle w:val="TableParagraph"/>
              <w:spacing w:line="204" w:lineRule="exact"/>
              <w:ind w:left="78"/>
              <w:rPr>
                <w:sz w:val="18"/>
              </w:rPr>
            </w:pPr>
            <w:r>
              <w:rPr>
                <w:sz w:val="18"/>
              </w:rPr>
              <w:t>V3P3 = 3.3 V,</w:t>
            </w:r>
          </w:p>
          <w:p>
            <w:pPr>
              <w:pStyle w:val="TableParagraph"/>
              <w:ind w:left="78" w:right="396" w:hanging="1"/>
              <w:rPr>
                <w:sz w:val="18"/>
              </w:rPr>
            </w:pPr>
            <w:r>
              <w:rPr>
                <w:sz w:val="18"/>
              </w:rPr>
              <w:t>RVLCD=removed, </w:t>
            </w:r>
            <w:r>
              <w:rPr>
                <w:rFonts w:ascii="Times New Roman"/>
                <w:i/>
                <w:sz w:val="18"/>
              </w:rPr>
              <w:t>LCD_BAT</w:t>
            </w:r>
            <w:r>
              <w:rPr>
                <w:sz w:val="18"/>
              </w:rPr>
              <w:t>=0, </w:t>
            </w:r>
            <w:r>
              <w:rPr>
                <w:rFonts w:ascii="Times New Roman"/>
                <w:i/>
                <w:sz w:val="18"/>
              </w:rPr>
              <w:t>LCD_VMODE[1:0]</w:t>
            </w:r>
            <w:r>
              <w:rPr>
                <w:sz w:val="18"/>
              </w:rPr>
              <w:t>=0,</w:t>
            </w:r>
          </w:p>
          <w:p>
            <w:pPr>
              <w:pStyle w:val="TableParagraph"/>
              <w:spacing w:line="187" w:lineRule="exact" w:before="3"/>
              <w:ind w:left="78"/>
              <w:rPr>
                <w:sz w:val="18"/>
              </w:rPr>
            </w:pPr>
            <w:r>
              <w:rPr>
                <w:sz w:val="18"/>
              </w:rPr>
              <w:t>∆ILCD=10 µA</w:t>
            </w:r>
          </w:p>
        </w:tc>
        <w:tc>
          <w:tcPr>
            <w:tcW w:w="742" w:type="dxa"/>
          </w:tcPr>
          <w:p>
            <w:pPr>
              <w:pStyle w:val="TableParagraph"/>
              <w:rPr>
                <w:rFonts w:ascii="Times New Roman"/>
                <w:sz w:val="18"/>
              </w:rPr>
            </w:pPr>
          </w:p>
        </w:tc>
        <w:tc>
          <w:tcPr>
            <w:tcW w:w="744" w:type="dxa"/>
          </w:tcPr>
          <w:p>
            <w:pPr>
              <w:pStyle w:val="TableParagraph"/>
              <w:rPr>
                <w:rFonts w:ascii="Times New Roman"/>
                <w:sz w:val="18"/>
              </w:rPr>
            </w:pPr>
          </w:p>
        </w:tc>
        <w:tc>
          <w:tcPr>
            <w:tcW w:w="742" w:type="dxa"/>
          </w:tcPr>
          <w:p>
            <w:pPr>
              <w:pStyle w:val="TableParagraph"/>
              <w:rPr>
                <w:b/>
                <w:sz w:val="27"/>
              </w:rPr>
            </w:pPr>
          </w:p>
          <w:p>
            <w:pPr>
              <w:pStyle w:val="TableParagraph"/>
              <w:ind w:left="149" w:right="113"/>
              <w:jc w:val="center"/>
              <w:rPr>
                <w:sz w:val="18"/>
              </w:rPr>
            </w:pPr>
            <w:r>
              <w:rPr>
                <w:sz w:val="18"/>
              </w:rPr>
              <w:t>750</w:t>
            </w:r>
          </w:p>
        </w:tc>
        <w:tc>
          <w:tcPr>
            <w:tcW w:w="744" w:type="dxa"/>
          </w:tcPr>
          <w:p>
            <w:pPr>
              <w:pStyle w:val="TableParagraph"/>
              <w:rPr>
                <w:b/>
                <w:sz w:val="27"/>
              </w:rPr>
            </w:pPr>
          </w:p>
          <w:p>
            <w:pPr>
              <w:pStyle w:val="TableParagraph"/>
              <w:ind w:left="33"/>
              <w:jc w:val="center"/>
              <w:rPr>
                <w:sz w:val="18"/>
              </w:rPr>
            </w:pPr>
            <w:r>
              <w:rPr>
                <w:sz w:val="18"/>
              </w:rPr>
              <w:t>Ω</w:t>
            </w:r>
          </w:p>
        </w:tc>
      </w:tr>
      <w:tr>
        <w:trPr>
          <w:trHeight w:val="829" w:hRule="atLeast"/>
        </w:trPr>
        <w:tc>
          <w:tcPr>
            <w:tcW w:w="3346" w:type="dxa"/>
          </w:tcPr>
          <w:p>
            <w:pPr>
              <w:pStyle w:val="TableParagraph"/>
              <w:rPr>
                <w:b/>
                <w:sz w:val="27"/>
              </w:rPr>
            </w:pPr>
          </w:p>
          <w:p>
            <w:pPr>
              <w:pStyle w:val="TableParagraph"/>
              <w:ind w:left="78"/>
              <w:rPr>
                <w:sz w:val="18"/>
              </w:rPr>
            </w:pPr>
            <w:r>
              <w:rPr>
                <w:sz w:val="18"/>
              </w:rPr>
              <w:t>VBAT to VLCD switch impedance</w:t>
            </w:r>
          </w:p>
        </w:tc>
        <w:tc>
          <w:tcPr>
            <w:tcW w:w="3044" w:type="dxa"/>
          </w:tcPr>
          <w:p>
            <w:pPr>
              <w:pStyle w:val="TableParagraph"/>
              <w:spacing w:line="204" w:lineRule="exact"/>
              <w:ind w:left="78"/>
              <w:rPr>
                <w:sz w:val="18"/>
              </w:rPr>
            </w:pPr>
            <w:r>
              <w:rPr>
                <w:sz w:val="18"/>
              </w:rPr>
              <w:t>V3P3 = 0 V, VBAT = 2.5 V,</w:t>
            </w:r>
          </w:p>
          <w:p>
            <w:pPr>
              <w:pStyle w:val="TableParagraph"/>
              <w:spacing w:line="206" w:lineRule="exact"/>
              <w:ind w:left="78"/>
              <w:rPr>
                <w:sz w:val="18"/>
              </w:rPr>
            </w:pPr>
            <w:r>
              <w:rPr>
                <w:sz w:val="18"/>
              </w:rPr>
              <w:t>RVLCD =removed, </w:t>
            </w:r>
            <w:r>
              <w:rPr>
                <w:rFonts w:ascii="Times New Roman"/>
                <w:i/>
                <w:sz w:val="18"/>
              </w:rPr>
              <w:t>LCD_BAT </w:t>
            </w:r>
            <w:r>
              <w:rPr>
                <w:sz w:val="18"/>
              </w:rPr>
              <w:t>=1,</w:t>
            </w:r>
          </w:p>
          <w:p>
            <w:pPr>
              <w:pStyle w:val="TableParagraph"/>
              <w:spacing w:line="207" w:lineRule="exact"/>
              <w:ind w:left="78"/>
              <w:rPr>
                <w:sz w:val="18"/>
              </w:rPr>
            </w:pPr>
            <w:r>
              <w:rPr>
                <w:rFonts w:ascii="Times New Roman"/>
                <w:i/>
                <w:sz w:val="18"/>
              </w:rPr>
              <w:t>LCD_VMODE[1:0]</w:t>
            </w:r>
            <w:r>
              <w:rPr>
                <w:sz w:val="18"/>
              </w:rPr>
              <w:t>=0,</w:t>
            </w:r>
          </w:p>
          <w:p>
            <w:pPr>
              <w:pStyle w:val="TableParagraph"/>
              <w:spacing w:line="187" w:lineRule="exact" w:before="5"/>
              <w:ind w:left="78"/>
              <w:rPr>
                <w:sz w:val="18"/>
              </w:rPr>
            </w:pPr>
            <w:r>
              <w:rPr>
                <w:sz w:val="18"/>
              </w:rPr>
              <w:t>∆ILCD=10 µA</w:t>
            </w:r>
          </w:p>
        </w:tc>
        <w:tc>
          <w:tcPr>
            <w:tcW w:w="742" w:type="dxa"/>
          </w:tcPr>
          <w:p>
            <w:pPr>
              <w:pStyle w:val="TableParagraph"/>
              <w:rPr>
                <w:rFonts w:ascii="Times New Roman"/>
                <w:sz w:val="18"/>
              </w:rPr>
            </w:pPr>
          </w:p>
        </w:tc>
        <w:tc>
          <w:tcPr>
            <w:tcW w:w="744" w:type="dxa"/>
          </w:tcPr>
          <w:p>
            <w:pPr>
              <w:pStyle w:val="TableParagraph"/>
              <w:rPr>
                <w:rFonts w:ascii="Times New Roman"/>
                <w:sz w:val="18"/>
              </w:rPr>
            </w:pPr>
          </w:p>
        </w:tc>
        <w:tc>
          <w:tcPr>
            <w:tcW w:w="742" w:type="dxa"/>
          </w:tcPr>
          <w:p>
            <w:pPr>
              <w:pStyle w:val="TableParagraph"/>
              <w:rPr>
                <w:b/>
                <w:sz w:val="27"/>
              </w:rPr>
            </w:pPr>
          </w:p>
          <w:p>
            <w:pPr>
              <w:pStyle w:val="TableParagraph"/>
              <w:ind w:left="149" w:right="113"/>
              <w:jc w:val="center"/>
              <w:rPr>
                <w:sz w:val="18"/>
              </w:rPr>
            </w:pPr>
            <w:r>
              <w:rPr>
                <w:sz w:val="18"/>
              </w:rPr>
              <w:t>700</w:t>
            </w:r>
          </w:p>
        </w:tc>
        <w:tc>
          <w:tcPr>
            <w:tcW w:w="744" w:type="dxa"/>
          </w:tcPr>
          <w:p>
            <w:pPr>
              <w:pStyle w:val="TableParagraph"/>
              <w:rPr>
                <w:b/>
                <w:sz w:val="27"/>
              </w:rPr>
            </w:pPr>
          </w:p>
          <w:p>
            <w:pPr>
              <w:pStyle w:val="TableParagraph"/>
              <w:ind w:left="33"/>
              <w:jc w:val="center"/>
              <w:rPr>
                <w:sz w:val="18"/>
              </w:rPr>
            </w:pPr>
            <w:r>
              <w:rPr>
                <w:sz w:val="18"/>
              </w:rPr>
              <w:t>Ω</w:t>
            </w:r>
          </w:p>
        </w:tc>
      </w:tr>
      <w:tr>
        <w:trPr>
          <w:trHeight w:val="1038" w:hRule="atLeast"/>
        </w:trPr>
        <w:tc>
          <w:tcPr>
            <w:tcW w:w="3346" w:type="dxa"/>
          </w:tcPr>
          <w:p>
            <w:pPr>
              <w:pStyle w:val="TableParagraph"/>
              <w:rPr>
                <w:b/>
                <w:sz w:val="20"/>
              </w:rPr>
            </w:pPr>
          </w:p>
          <w:p>
            <w:pPr>
              <w:pStyle w:val="TableParagraph"/>
              <w:spacing w:before="11"/>
              <w:rPr>
                <w:b/>
                <w:sz w:val="15"/>
              </w:rPr>
            </w:pPr>
          </w:p>
          <w:p>
            <w:pPr>
              <w:pStyle w:val="TableParagraph"/>
              <w:ind w:left="78"/>
              <w:rPr>
                <w:sz w:val="18"/>
              </w:rPr>
            </w:pPr>
            <w:r>
              <w:rPr>
                <w:sz w:val="18"/>
              </w:rPr>
              <w:t>LCD Boost Frequency</w:t>
            </w:r>
          </w:p>
        </w:tc>
        <w:tc>
          <w:tcPr>
            <w:tcW w:w="3044" w:type="dxa"/>
          </w:tcPr>
          <w:p>
            <w:pPr>
              <w:pStyle w:val="TableParagraph"/>
              <w:spacing w:line="202" w:lineRule="exact"/>
              <w:ind w:left="78"/>
              <w:rPr>
                <w:sz w:val="18"/>
              </w:rPr>
            </w:pPr>
            <w:r>
              <w:rPr>
                <w:rFonts w:ascii="Times New Roman"/>
                <w:i/>
                <w:sz w:val="18"/>
              </w:rPr>
              <w:t>LCD_VMODE[1:0] </w:t>
            </w:r>
            <w:r>
              <w:rPr>
                <w:sz w:val="18"/>
              </w:rPr>
              <w:t>= 2,</w:t>
            </w:r>
          </w:p>
          <w:p>
            <w:pPr>
              <w:pStyle w:val="TableParagraph"/>
              <w:spacing w:line="237" w:lineRule="auto" w:before="7"/>
              <w:ind w:left="78" w:right="1376" w:hanging="1"/>
              <w:jc w:val="both"/>
              <w:rPr>
                <w:sz w:val="18"/>
              </w:rPr>
            </w:pPr>
            <w:r>
              <w:rPr>
                <w:sz w:val="18"/>
              </w:rPr>
              <w:t>RVLCD = removed, CVLCD = removed </w:t>
            </w:r>
            <w:r>
              <w:rPr>
                <w:rFonts w:ascii="Times New Roman"/>
                <w:i/>
                <w:sz w:val="18"/>
              </w:rPr>
              <w:t>PLL_FAST</w:t>
            </w:r>
            <w:r>
              <w:rPr>
                <w:sz w:val="18"/>
              </w:rPr>
              <w:t>=1</w:t>
            </w:r>
          </w:p>
          <w:p>
            <w:pPr>
              <w:pStyle w:val="TableParagraph"/>
              <w:spacing w:line="194" w:lineRule="exact"/>
              <w:ind w:left="169"/>
              <w:rPr>
                <w:sz w:val="18"/>
              </w:rPr>
            </w:pPr>
            <w:r>
              <w:rPr>
                <w:rFonts w:ascii="Times New Roman"/>
                <w:i/>
                <w:sz w:val="18"/>
              </w:rPr>
              <w:t>PLL_FAST</w:t>
            </w:r>
            <w:r>
              <w:rPr>
                <w:sz w:val="18"/>
              </w:rPr>
              <w:t>=0</w:t>
            </w:r>
          </w:p>
        </w:tc>
        <w:tc>
          <w:tcPr>
            <w:tcW w:w="742" w:type="dxa"/>
          </w:tcPr>
          <w:p>
            <w:pPr>
              <w:pStyle w:val="TableParagraph"/>
              <w:rPr>
                <w:rFonts w:ascii="Times New Roman"/>
                <w:sz w:val="18"/>
              </w:rPr>
            </w:pPr>
          </w:p>
        </w:tc>
        <w:tc>
          <w:tcPr>
            <w:tcW w:w="744" w:type="dxa"/>
          </w:tcPr>
          <w:p>
            <w:pPr>
              <w:pStyle w:val="TableParagraph"/>
              <w:rPr>
                <w:b/>
                <w:sz w:val="20"/>
              </w:rPr>
            </w:pPr>
          </w:p>
          <w:p>
            <w:pPr>
              <w:pStyle w:val="TableParagraph"/>
              <w:rPr>
                <w:b/>
                <w:sz w:val="20"/>
              </w:rPr>
            </w:pPr>
          </w:p>
          <w:p>
            <w:pPr>
              <w:pStyle w:val="TableParagraph"/>
              <w:spacing w:line="207" w:lineRule="exact" w:before="160"/>
              <w:ind w:left="230"/>
              <w:rPr>
                <w:sz w:val="18"/>
              </w:rPr>
            </w:pPr>
            <w:r>
              <w:rPr>
                <w:sz w:val="18"/>
              </w:rPr>
              <w:t>820</w:t>
            </w:r>
          </w:p>
          <w:p>
            <w:pPr>
              <w:pStyle w:val="TableParagraph"/>
              <w:spacing w:line="191" w:lineRule="exact"/>
              <w:ind w:left="230"/>
              <w:rPr>
                <w:sz w:val="18"/>
              </w:rPr>
            </w:pPr>
            <w:r>
              <w:rPr>
                <w:sz w:val="18"/>
              </w:rPr>
              <w:t>786</w:t>
            </w:r>
          </w:p>
        </w:tc>
        <w:tc>
          <w:tcPr>
            <w:tcW w:w="742" w:type="dxa"/>
          </w:tcPr>
          <w:p>
            <w:pPr>
              <w:pStyle w:val="TableParagraph"/>
              <w:rPr>
                <w:rFonts w:ascii="Times New Roman"/>
                <w:sz w:val="18"/>
              </w:rPr>
            </w:pPr>
          </w:p>
        </w:tc>
        <w:tc>
          <w:tcPr>
            <w:tcW w:w="744" w:type="dxa"/>
          </w:tcPr>
          <w:p>
            <w:pPr>
              <w:pStyle w:val="TableParagraph"/>
              <w:rPr>
                <w:b/>
                <w:sz w:val="20"/>
              </w:rPr>
            </w:pPr>
          </w:p>
          <w:p>
            <w:pPr>
              <w:pStyle w:val="TableParagraph"/>
              <w:rPr>
                <w:b/>
                <w:sz w:val="20"/>
              </w:rPr>
            </w:pPr>
          </w:p>
          <w:p>
            <w:pPr>
              <w:pStyle w:val="TableParagraph"/>
              <w:spacing w:line="206" w:lineRule="exact" w:before="164"/>
              <w:ind w:left="225" w:right="169"/>
              <w:rPr>
                <w:sz w:val="18"/>
              </w:rPr>
            </w:pPr>
            <w:r>
              <w:rPr>
                <w:sz w:val="18"/>
              </w:rPr>
              <w:t>kHz kHz</w:t>
            </w:r>
          </w:p>
        </w:tc>
      </w:tr>
      <w:tr>
        <w:trPr>
          <w:trHeight w:val="1035" w:hRule="atLeast"/>
        </w:trPr>
        <w:tc>
          <w:tcPr>
            <w:tcW w:w="3346" w:type="dxa"/>
          </w:tcPr>
          <w:p>
            <w:pPr>
              <w:pStyle w:val="TableParagraph"/>
              <w:rPr>
                <w:b/>
                <w:sz w:val="27"/>
              </w:rPr>
            </w:pPr>
          </w:p>
          <w:p>
            <w:pPr>
              <w:pStyle w:val="TableParagraph"/>
              <w:spacing w:line="207" w:lineRule="exact"/>
              <w:ind w:left="78"/>
              <w:rPr>
                <w:sz w:val="18"/>
              </w:rPr>
            </w:pPr>
            <w:r>
              <w:rPr>
                <w:sz w:val="18"/>
              </w:rPr>
              <w:t>VLCD IOH current</w:t>
            </w:r>
          </w:p>
          <w:p>
            <w:pPr>
              <w:pStyle w:val="TableParagraph"/>
              <w:spacing w:line="207" w:lineRule="exact"/>
              <w:ind w:left="179"/>
              <w:rPr>
                <w:sz w:val="18"/>
              </w:rPr>
            </w:pPr>
            <w:r>
              <w:rPr>
                <w:sz w:val="18"/>
              </w:rPr>
              <w:t>(VLCD(0)-VLCD(IOH)&lt;0.25)</w:t>
            </w:r>
          </w:p>
        </w:tc>
        <w:tc>
          <w:tcPr>
            <w:tcW w:w="3044" w:type="dxa"/>
          </w:tcPr>
          <w:p>
            <w:pPr>
              <w:pStyle w:val="TableParagraph"/>
              <w:spacing w:line="201" w:lineRule="exact"/>
              <w:ind w:left="78"/>
              <w:rPr>
                <w:sz w:val="18"/>
              </w:rPr>
            </w:pPr>
            <w:r>
              <w:rPr>
                <w:rFonts w:ascii="Times New Roman"/>
                <w:i/>
                <w:sz w:val="18"/>
              </w:rPr>
              <w:t>LCD_VMODE[1:0] </w:t>
            </w:r>
            <w:r>
              <w:rPr>
                <w:sz w:val="18"/>
              </w:rPr>
              <w:t>= 2,</w:t>
            </w:r>
          </w:p>
          <w:p>
            <w:pPr>
              <w:pStyle w:val="TableParagraph"/>
              <w:spacing w:line="207" w:lineRule="exact"/>
              <w:ind w:left="78"/>
              <w:rPr>
                <w:sz w:val="18"/>
              </w:rPr>
            </w:pPr>
            <w:r>
              <w:rPr>
                <w:rFonts w:ascii="Times New Roman"/>
                <w:i/>
                <w:sz w:val="18"/>
              </w:rPr>
              <w:t>LCD_CLK[1:0] </w:t>
            </w:r>
            <w:r>
              <w:rPr>
                <w:sz w:val="18"/>
              </w:rPr>
              <w:t>= 2,</w:t>
            </w:r>
          </w:p>
          <w:p>
            <w:pPr>
              <w:pStyle w:val="TableParagraph"/>
              <w:spacing w:before="6"/>
              <w:ind w:left="78" w:right="1360"/>
              <w:rPr>
                <w:sz w:val="18"/>
              </w:rPr>
            </w:pPr>
            <w:r>
              <w:rPr>
                <w:sz w:val="18"/>
              </w:rPr>
              <w:t>RVLCD = removed, V3P3 = 3.3V,</w:t>
            </w:r>
          </w:p>
          <w:p>
            <w:pPr>
              <w:pStyle w:val="TableParagraph"/>
              <w:spacing w:line="188" w:lineRule="exact"/>
              <w:ind w:left="78"/>
              <w:rPr>
                <w:sz w:val="18"/>
              </w:rPr>
            </w:pPr>
            <w:r>
              <w:rPr>
                <w:rFonts w:ascii="Times New Roman"/>
                <w:i/>
                <w:sz w:val="18"/>
              </w:rPr>
              <w:t>LCD_DAC[4:0] </w:t>
            </w:r>
            <w:r>
              <w:rPr>
                <w:sz w:val="18"/>
              </w:rPr>
              <w:t>= 1F</w:t>
            </w:r>
          </w:p>
        </w:tc>
        <w:tc>
          <w:tcPr>
            <w:tcW w:w="742" w:type="dxa"/>
          </w:tcPr>
          <w:p>
            <w:pPr>
              <w:pStyle w:val="TableParagraph"/>
              <w:rPr>
                <w:b/>
                <w:sz w:val="20"/>
              </w:rPr>
            </w:pPr>
          </w:p>
          <w:p>
            <w:pPr>
              <w:pStyle w:val="TableParagraph"/>
              <w:spacing w:before="11"/>
              <w:rPr>
                <w:b/>
                <w:sz w:val="15"/>
              </w:rPr>
            </w:pPr>
          </w:p>
          <w:p>
            <w:pPr>
              <w:pStyle w:val="TableParagraph"/>
              <w:ind w:left="279"/>
              <w:rPr>
                <w:sz w:val="18"/>
              </w:rPr>
            </w:pPr>
            <w:r>
              <w:rPr>
                <w:sz w:val="18"/>
              </w:rPr>
              <w:t>10</w:t>
            </w:r>
          </w:p>
        </w:tc>
        <w:tc>
          <w:tcPr>
            <w:tcW w:w="744" w:type="dxa"/>
          </w:tcPr>
          <w:p>
            <w:pPr>
              <w:pStyle w:val="TableParagraph"/>
              <w:rPr>
                <w:rFonts w:ascii="Times New Roman"/>
                <w:sz w:val="18"/>
              </w:rPr>
            </w:pPr>
          </w:p>
        </w:tc>
        <w:tc>
          <w:tcPr>
            <w:tcW w:w="742" w:type="dxa"/>
          </w:tcPr>
          <w:p>
            <w:pPr>
              <w:pStyle w:val="TableParagraph"/>
              <w:rPr>
                <w:rFonts w:ascii="Times New Roman"/>
                <w:sz w:val="18"/>
              </w:rPr>
            </w:pPr>
          </w:p>
        </w:tc>
        <w:tc>
          <w:tcPr>
            <w:tcW w:w="744" w:type="dxa"/>
          </w:tcPr>
          <w:p>
            <w:pPr>
              <w:pStyle w:val="TableParagraph"/>
              <w:rPr>
                <w:b/>
                <w:sz w:val="20"/>
              </w:rPr>
            </w:pPr>
          </w:p>
          <w:p>
            <w:pPr>
              <w:pStyle w:val="TableParagraph"/>
              <w:spacing w:before="11"/>
              <w:rPr>
                <w:b/>
                <w:sz w:val="15"/>
              </w:rPr>
            </w:pPr>
          </w:p>
          <w:p>
            <w:pPr>
              <w:pStyle w:val="TableParagraph"/>
              <w:ind w:left="184" w:right="148"/>
              <w:jc w:val="center"/>
              <w:rPr>
                <w:sz w:val="18"/>
              </w:rPr>
            </w:pPr>
            <w:r>
              <w:rPr>
                <w:sz w:val="18"/>
              </w:rPr>
              <w:t>µA</w:t>
            </w:r>
          </w:p>
        </w:tc>
      </w:tr>
      <w:tr>
        <w:trPr>
          <w:trHeight w:val="2058" w:hRule="atLeast"/>
        </w:trPr>
        <w:tc>
          <w:tcPr>
            <w:tcW w:w="9362" w:type="dxa"/>
            <w:gridSpan w:val="6"/>
          </w:tcPr>
          <w:p>
            <w:pPr>
              <w:pStyle w:val="TableParagraph"/>
              <w:spacing w:line="213" w:lineRule="exact"/>
              <w:ind w:left="78"/>
              <w:rPr>
                <w:sz w:val="20"/>
              </w:rPr>
            </w:pPr>
            <w:r>
              <w:rPr>
                <w:sz w:val="20"/>
              </w:rPr>
              <w:t>From </w:t>
            </w:r>
            <w:r>
              <w:rPr>
                <w:i/>
                <w:sz w:val="20"/>
              </w:rPr>
              <w:t>LCDADJ0 </w:t>
            </w:r>
            <w:r>
              <w:rPr>
                <w:sz w:val="20"/>
              </w:rPr>
              <w:t>and </w:t>
            </w:r>
            <w:r>
              <w:rPr>
                <w:i/>
                <w:sz w:val="20"/>
              </w:rPr>
              <w:t>LCDADJ12 </w:t>
            </w:r>
            <w:r>
              <w:rPr>
                <w:sz w:val="20"/>
              </w:rPr>
              <w:t>fuses:</w:t>
            </w:r>
          </w:p>
          <w:p>
            <w:pPr>
              <w:pStyle w:val="TableParagraph"/>
              <w:spacing w:line="323" w:lineRule="exact"/>
              <w:ind w:left="37"/>
              <w:jc w:val="center"/>
              <w:rPr>
                <w:rFonts w:ascii="Cambria Math" w:hAnsi="Cambria Math" w:cs="Cambria Math" w:eastAsia="Cambria Math"/>
                <w:sz w:val="20"/>
                <w:szCs w:val="20"/>
              </w:rPr>
            </w:pPr>
            <w:r>
              <w:rPr>
                <w:rFonts w:ascii="Cambria Math" w:hAnsi="Cambria Math" w:cs="Cambria Math" w:eastAsia="Cambria Math"/>
                <w:sz w:val="20"/>
                <w:szCs w:val="20"/>
              </w:rPr>
              <w:t>𝐿𝐶𝐷𝐴𝐷𝐽</w:t>
            </w:r>
            <w:r>
              <w:rPr>
                <w:rFonts w:ascii="Cambria Math" w:hAnsi="Cambria Math" w:cs="Cambria Math" w:eastAsia="Cambria Math"/>
                <w:position w:val="1"/>
                <w:sz w:val="20"/>
                <w:szCs w:val="20"/>
              </w:rPr>
              <w:t>(</w:t>
            </w:r>
            <w:r>
              <w:rPr>
                <w:rFonts w:ascii="Cambria Math" w:hAnsi="Cambria Math" w:cs="Cambria Math" w:eastAsia="Cambria Math"/>
                <w:sz w:val="20"/>
                <w:szCs w:val="20"/>
              </w:rPr>
              <w:t>𝐿𝐶𝐷_𝐷𝐴𝐶</w:t>
            </w:r>
            <w:r>
              <w:rPr>
                <w:rFonts w:ascii="Cambria Math" w:hAnsi="Cambria Math" w:cs="Cambria Math" w:eastAsia="Cambria Math"/>
                <w:position w:val="1"/>
                <w:sz w:val="20"/>
                <w:szCs w:val="20"/>
              </w:rPr>
              <w:t>) </w:t>
            </w:r>
            <w:r>
              <w:rPr>
                <w:rFonts w:ascii="Cambria Math" w:hAnsi="Cambria Math" w:cs="Cambria Math" w:eastAsia="Cambria Math"/>
                <w:sz w:val="20"/>
                <w:szCs w:val="20"/>
              </w:rPr>
              <w:t>= 5𝑚𝑉 �𝐿𝐶𝐷𝐴𝐷𝐽0 + </w:t>
            </w:r>
            <w:r>
              <w:rPr>
                <w:rFonts w:ascii="Cambria Math" w:hAnsi="Cambria Math" w:cs="Cambria Math" w:eastAsia="Cambria Math"/>
                <w:position w:val="15"/>
                <w:sz w:val="20"/>
                <w:szCs w:val="20"/>
              </w:rPr>
              <w:t>𝐿𝐶𝐷𝐴𝐷𝐽12 − 𝐿𝐶𝐷𝐴𝐷𝐽0 </w:t>
            </w:r>
            <w:r>
              <w:rPr>
                <w:rFonts w:ascii="Cambria Math" w:hAnsi="Cambria Math" w:cs="Cambria Math" w:eastAsia="Cambria Math"/>
                <w:sz w:val="20"/>
                <w:szCs w:val="20"/>
              </w:rPr>
              <w:t>𝐿𝐶𝐷_𝐷𝐴𝐶�</w:t>
            </w:r>
          </w:p>
          <w:p>
            <w:pPr>
              <w:pStyle w:val="TableParagraph"/>
              <w:spacing w:line="154" w:lineRule="exact"/>
              <w:ind w:left="2637"/>
              <w:jc w:val="center"/>
              <w:rPr>
                <w:rFonts w:ascii="Cambria Math"/>
                <w:sz w:val="20"/>
              </w:rPr>
            </w:pPr>
            <w:r>
              <w:rPr>
                <w:rFonts w:ascii="Cambria Math"/>
                <w:sz w:val="20"/>
              </w:rPr>
              <w:t>12</w:t>
            </w:r>
          </w:p>
          <w:p>
            <w:pPr>
              <w:pStyle w:val="TableParagraph"/>
              <w:tabs>
                <w:tab w:pos="850" w:val="left" w:leader="none"/>
              </w:tabs>
              <w:spacing w:line="286" w:lineRule="exact"/>
              <w:ind w:left="34"/>
              <w:jc w:val="center"/>
              <w:rPr>
                <w:rFonts w:ascii="Cambria Math" w:eastAsia="Cambria Math"/>
                <w:sz w:val="20"/>
              </w:rPr>
            </w:pPr>
            <w:r>
              <w:rPr>
                <w:rFonts w:ascii="Cambria Math" w:eastAsia="Cambria Math"/>
                <w:sz w:val="20"/>
              </w:rPr>
              <w:t>𝑉𝐿𝐶𝐷</w:t>
              <w:tab/>
            </w:r>
            <w:r>
              <w:rPr>
                <w:rFonts w:ascii="Cambria Math" w:eastAsia="Cambria Math"/>
                <w:position w:val="1"/>
                <w:sz w:val="20"/>
              </w:rPr>
              <w:t>(</w:t>
            </w:r>
            <w:r>
              <w:rPr>
                <w:rFonts w:ascii="Cambria Math" w:eastAsia="Cambria Math"/>
                <w:sz w:val="20"/>
              </w:rPr>
              <w:t>𝐿𝐶𝐷_𝐷𝐴𝐶</w:t>
            </w:r>
            <w:r>
              <w:rPr>
                <w:rFonts w:ascii="Cambria Math" w:eastAsia="Cambria Math"/>
                <w:position w:val="1"/>
                <w:sz w:val="20"/>
              </w:rPr>
              <w:t>) </w:t>
            </w:r>
            <w:r>
              <w:rPr>
                <w:rFonts w:ascii="Cambria Math" w:eastAsia="Cambria Math"/>
                <w:sz w:val="20"/>
              </w:rPr>
              <w:t>= 2.65 + 2.65 </w:t>
            </w:r>
            <w:r>
              <w:rPr>
                <w:rFonts w:ascii="Cambria Math" w:eastAsia="Cambria Math"/>
                <w:position w:val="15"/>
                <w:sz w:val="20"/>
              </w:rPr>
              <w:t>𝐿𝐶𝐷_𝐷𝐴𝐶 </w:t>
            </w:r>
            <w:r>
              <w:rPr>
                <w:rFonts w:ascii="Cambria Math" w:eastAsia="Cambria Math"/>
                <w:sz w:val="20"/>
              </w:rPr>
              <w:t>+</w:t>
            </w:r>
            <w:r>
              <w:rPr>
                <w:rFonts w:ascii="Cambria Math" w:eastAsia="Cambria Math"/>
                <w:spacing w:val="27"/>
                <w:sz w:val="20"/>
              </w:rPr>
              <w:t> </w:t>
            </w:r>
            <w:r>
              <w:rPr>
                <w:rFonts w:ascii="Cambria Math" w:eastAsia="Cambria Math"/>
                <w:sz w:val="20"/>
              </w:rPr>
              <w:t>𝐿𝐶𝐷𝐴𝐷𝐽</w:t>
            </w:r>
            <w:r>
              <w:rPr>
                <w:rFonts w:ascii="Cambria Math" w:eastAsia="Cambria Math"/>
                <w:position w:val="1"/>
                <w:sz w:val="20"/>
              </w:rPr>
              <w:t>(</w:t>
            </w:r>
            <w:r>
              <w:rPr>
                <w:rFonts w:ascii="Cambria Math" w:eastAsia="Cambria Math"/>
                <w:sz w:val="20"/>
              </w:rPr>
              <w:t>𝐿𝐶𝐷_𝐷𝐴𝐶</w:t>
            </w:r>
            <w:r>
              <w:rPr>
                <w:rFonts w:ascii="Cambria Math" w:eastAsia="Cambria Math"/>
                <w:position w:val="1"/>
                <w:sz w:val="20"/>
              </w:rPr>
              <w:t>)</w:t>
            </w:r>
          </w:p>
          <w:p>
            <w:pPr>
              <w:pStyle w:val="TableParagraph"/>
              <w:tabs>
                <w:tab w:pos="5171" w:val="left" w:leader="none"/>
              </w:tabs>
              <w:spacing w:line="81" w:lineRule="auto"/>
              <w:ind w:left="2197"/>
              <w:rPr>
                <w:rFonts w:ascii="Cambria Math" w:eastAsia="Cambria Math"/>
                <w:sz w:val="20"/>
              </w:rPr>
            </w:pPr>
            <w:r>
              <w:rPr>
                <w:rFonts w:ascii="Cambria Math" w:eastAsia="Cambria Math"/>
                <w:sz w:val="14"/>
              </w:rPr>
              <w:t>𝑁𝑂𝑀</w:t>
              <w:tab/>
            </w:r>
            <w:r>
              <w:rPr>
                <w:rFonts w:ascii="Cambria Math" w:eastAsia="Cambria Math"/>
                <w:position w:val="-8"/>
                <w:sz w:val="20"/>
              </w:rPr>
              <w:t>31</w:t>
            </w:r>
          </w:p>
          <w:p>
            <w:pPr>
              <w:pStyle w:val="TableParagraph"/>
              <w:spacing w:before="47"/>
              <w:ind w:left="78"/>
              <w:rPr>
                <w:sz w:val="20"/>
              </w:rPr>
            </w:pPr>
            <w:r>
              <w:rPr>
                <w:sz w:val="20"/>
              </w:rPr>
              <w:t>The above equations describe the nominal value of VLCD for a specific LCD_DAC value. The specifications below list the maximum deviation between actual VLCD and VLCDnom. Note that when VCC and boost are insufficient, the LCD DAC will not reach its target value and a large negative error</w:t>
            </w:r>
          </w:p>
          <w:p>
            <w:pPr>
              <w:pStyle w:val="TableParagraph"/>
              <w:spacing w:line="212" w:lineRule="exact"/>
              <w:ind w:left="78"/>
              <w:rPr>
                <w:sz w:val="20"/>
              </w:rPr>
            </w:pPr>
            <w:r>
              <w:rPr>
                <w:sz w:val="20"/>
              </w:rPr>
              <w:t>will occur.</w:t>
            </w:r>
          </w:p>
        </w:tc>
      </w:tr>
      <w:tr>
        <w:trPr>
          <w:trHeight w:val="1280" w:hRule="atLeast"/>
        </w:trPr>
        <w:tc>
          <w:tcPr>
            <w:tcW w:w="3346" w:type="dxa"/>
          </w:tcPr>
          <w:p>
            <w:pPr>
              <w:pStyle w:val="TableParagraph"/>
              <w:spacing w:line="247" w:lineRule="auto"/>
              <w:ind w:left="78" w:right="304"/>
              <w:rPr>
                <w:sz w:val="18"/>
              </w:rPr>
            </w:pPr>
            <w:r>
              <w:rPr>
                <w:rFonts w:ascii="Times New Roman"/>
                <w:i/>
                <w:sz w:val="18"/>
              </w:rPr>
              <w:t>LCD_DAC </w:t>
            </w:r>
            <w:r>
              <w:rPr>
                <w:sz w:val="18"/>
              </w:rPr>
              <w:t>Error. VLCD-VLCDnom Full Scale, with Boost</w:t>
            </w:r>
          </w:p>
          <w:p>
            <w:pPr>
              <w:pStyle w:val="TableParagraph"/>
              <w:spacing w:line="200" w:lineRule="exact"/>
              <w:ind w:left="179"/>
              <w:rPr>
                <w:sz w:val="18"/>
              </w:rPr>
            </w:pPr>
            <w:r>
              <w:rPr>
                <w:sz w:val="18"/>
              </w:rPr>
              <w:t>V3P3 =3.6</w:t>
            </w:r>
            <w:r>
              <w:rPr>
                <w:spacing w:val="-2"/>
                <w:sz w:val="18"/>
              </w:rPr>
              <w:t> </w:t>
            </w:r>
            <w:r>
              <w:rPr>
                <w:sz w:val="18"/>
              </w:rPr>
              <w:t>V</w:t>
            </w:r>
          </w:p>
          <w:p>
            <w:pPr>
              <w:pStyle w:val="TableParagraph"/>
              <w:spacing w:before="7"/>
              <w:ind w:left="179"/>
              <w:rPr>
                <w:sz w:val="18"/>
              </w:rPr>
            </w:pPr>
            <w:r>
              <w:rPr>
                <w:sz w:val="18"/>
              </w:rPr>
              <w:t>V3P3 =3.0</w:t>
            </w:r>
            <w:r>
              <w:rPr>
                <w:spacing w:val="-2"/>
                <w:sz w:val="18"/>
              </w:rPr>
              <w:t> </w:t>
            </w:r>
            <w:r>
              <w:rPr>
                <w:sz w:val="18"/>
              </w:rPr>
              <w:t>V</w:t>
            </w:r>
          </w:p>
          <w:p>
            <w:pPr>
              <w:pStyle w:val="TableParagraph"/>
              <w:spacing w:line="210" w:lineRule="atLeast" w:before="9"/>
              <w:ind w:left="170" w:right="523" w:hanging="1"/>
              <w:rPr>
                <w:sz w:val="18"/>
              </w:rPr>
            </w:pPr>
            <w:r>
              <w:rPr>
                <w:spacing w:val="-4"/>
                <w:sz w:val="18"/>
              </w:rPr>
              <w:t>VBAT=4.0 </w:t>
            </w:r>
            <w:r>
              <w:rPr>
                <w:spacing w:val="-3"/>
                <w:sz w:val="18"/>
              </w:rPr>
              <w:t>V, </w:t>
            </w:r>
            <w:r>
              <w:rPr>
                <w:spacing w:val="-4"/>
                <w:sz w:val="18"/>
              </w:rPr>
              <w:t>V3P3=0, </w:t>
            </w:r>
            <w:r>
              <w:rPr>
                <w:spacing w:val="-3"/>
                <w:sz w:val="18"/>
              </w:rPr>
              <w:t>BRN </w:t>
            </w:r>
            <w:r>
              <w:rPr>
                <w:spacing w:val="-5"/>
                <w:sz w:val="18"/>
              </w:rPr>
              <w:t>Mode </w:t>
            </w:r>
            <w:r>
              <w:rPr>
                <w:spacing w:val="-4"/>
                <w:sz w:val="18"/>
              </w:rPr>
              <w:t>VBAT=2.5 </w:t>
            </w:r>
            <w:r>
              <w:rPr>
                <w:spacing w:val="-3"/>
                <w:sz w:val="18"/>
              </w:rPr>
              <w:t>V, </w:t>
            </w:r>
            <w:r>
              <w:rPr>
                <w:spacing w:val="-4"/>
                <w:sz w:val="18"/>
              </w:rPr>
              <w:t>V3P3=0, </w:t>
            </w:r>
            <w:r>
              <w:rPr>
                <w:spacing w:val="-3"/>
                <w:sz w:val="18"/>
              </w:rPr>
              <w:t>BRN </w:t>
            </w:r>
            <w:r>
              <w:rPr>
                <w:spacing w:val="-5"/>
                <w:sz w:val="18"/>
              </w:rPr>
              <w:t>Mode</w:t>
            </w:r>
          </w:p>
        </w:tc>
        <w:tc>
          <w:tcPr>
            <w:tcW w:w="3044" w:type="dxa"/>
          </w:tcPr>
          <w:p>
            <w:pPr>
              <w:pStyle w:val="TableParagraph"/>
              <w:ind w:left="78" w:right="1285"/>
              <w:rPr>
                <w:sz w:val="18"/>
              </w:rPr>
            </w:pPr>
            <w:r>
              <w:rPr>
                <w:rFonts w:ascii="Times New Roman"/>
                <w:i/>
                <w:sz w:val="18"/>
              </w:rPr>
              <w:t>LCD_VMODE </w:t>
            </w:r>
            <w:r>
              <w:rPr>
                <w:sz w:val="18"/>
              </w:rPr>
              <w:t>= 10, </w:t>
            </w:r>
            <w:r>
              <w:rPr>
                <w:rFonts w:ascii="Times New Roman"/>
                <w:i/>
                <w:sz w:val="18"/>
              </w:rPr>
              <w:t>LCD_DAC[4:0] </w:t>
            </w:r>
            <w:r>
              <w:rPr>
                <w:sz w:val="18"/>
              </w:rPr>
              <w:t>= 1F, </w:t>
            </w:r>
            <w:r>
              <w:rPr>
                <w:rFonts w:ascii="Times New Roman"/>
                <w:i/>
                <w:sz w:val="18"/>
              </w:rPr>
              <w:t>LCD_CLK[1:0]</w:t>
            </w:r>
            <w:r>
              <w:rPr>
                <w:sz w:val="18"/>
              </w:rPr>
              <w:t>=2, </w:t>
            </w:r>
            <w:r>
              <w:rPr>
                <w:rFonts w:ascii="Times New Roman"/>
                <w:i/>
                <w:sz w:val="18"/>
              </w:rPr>
              <w:t>LCD_MODE[2:0]</w:t>
            </w:r>
            <w:r>
              <w:rPr>
                <w:sz w:val="18"/>
              </w:rPr>
              <w:t>=6</w:t>
            </w:r>
          </w:p>
        </w:tc>
        <w:tc>
          <w:tcPr>
            <w:tcW w:w="742" w:type="dxa"/>
          </w:tcPr>
          <w:p>
            <w:pPr>
              <w:pStyle w:val="TableParagraph"/>
              <w:rPr>
                <w:b/>
                <w:sz w:val="20"/>
              </w:rPr>
            </w:pPr>
          </w:p>
          <w:p>
            <w:pPr>
              <w:pStyle w:val="TableParagraph"/>
              <w:spacing w:before="1"/>
              <w:rPr>
                <w:b/>
                <w:sz w:val="18"/>
              </w:rPr>
            </w:pPr>
          </w:p>
          <w:p>
            <w:pPr>
              <w:pStyle w:val="TableParagraph"/>
              <w:spacing w:line="207" w:lineRule="exact"/>
              <w:ind w:left="173"/>
              <w:rPr>
                <w:sz w:val="18"/>
              </w:rPr>
            </w:pPr>
            <w:r>
              <w:rPr>
                <w:sz w:val="18"/>
              </w:rPr>
              <w:t>-0.15</w:t>
            </w:r>
          </w:p>
          <w:p>
            <w:pPr>
              <w:pStyle w:val="TableParagraph"/>
              <w:spacing w:line="207" w:lineRule="exact"/>
              <w:ind w:left="224"/>
              <w:rPr>
                <w:sz w:val="18"/>
              </w:rPr>
            </w:pPr>
            <w:r>
              <w:rPr>
                <w:sz w:val="18"/>
              </w:rPr>
              <w:t>-0.4</w:t>
            </w:r>
          </w:p>
          <w:p>
            <w:pPr>
              <w:pStyle w:val="TableParagraph"/>
              <w:spacing w:line="207" w:lineRule="exact" w:before="2"/>
              <w:ind w:left="173"/>
              <w:rPr>
                <w:sz w:val="18"/>
              </w:rPr>
            </w:pPr>
            <w:r>
              <w:rPr>
                <w:sz w:val="18"/>
              </w:rPr>
              <w:t>-0.15</w:t>
            </w:r>
          </w:p>
          <w:p>
            <w:pPr>
              <w:pStyle w:val="TableParagraph"/>
              <w:spacing w:line="201" w:lineRule="exact"/>
              <w:ind w:left="224"/>
              <w:rPr>
                <w:sz w:val="18"/>
              </w:rPr>
            </w:pPr>
            <w:r>
              <w:rPr>
                <w:sz w:val="18"/>
              </w:rPr>
              <w:t>-1.3</w:t>
            </w:r>
          </w:p>
        </w:tc>
        <w:tc>
          <w:tcPr>
            <w:tcW w:w="744" w:type="dxa"/>
          </w:tcPr>
          <w:p>
            <w:pPr>
              <w:pStyle w:val="TableParagraph"/>
              <w:rPr>
                <w:rFonts w:ascii="Times New Roman"/>
                <w:sz w:val="18"/>
              </w:rPr>
            </w:pPr>
          </w:p>
        </w:tc>
        <w:tc>
          <w:tcPr>
            <w:tcW w:w="742" w:type="dxa"/>
          </w:tcPr>
          <w:p>
            <w:pPr>
              <w:pStyle w:val="TableParagraph"/>
              <w:rPr>
                <w:b/>
                <w:sz w:val="20"/>
              </w:rPr>
            </w:pPr>
          </w:p>
          <w:p>
            <w:pPr>
              <w:pStyle w:val="TableParagraph"/>
              <w:spacing w:before="9"/>
              <w:rPr>
                <w:b/>
                <w:sz w:val="16"/>
              </w:rPr>
            </w:pPr>
          </w:p>
          <w:p>
            <w:pPr>
              <w:pStyle w:val="TableParagraph"/>
              <w:ind w:left="202"/>
              <w:rPr>
                <w:sz w:val="18"/>
              </w:rPr>
            </w:pPr>
            <w:r>
              <w:rPr>
                <w:sz w:val="18"/>
              </w:rPr>
              <w:t>0.15</w:t>
            </w:r>
          </w:p>
          <w:p>
            <w:pPr>
              <w:pStyle w:val="TableParagraph"/>
              <w:spacing w:before="9"/>
              <w:ind w:left="202"/>
              <w:rPr>
                <w:sz w:val="18"/>
              </w:rPr>
            </w:pPr>
            <w:r>
              <w:rPr>
                <w:sz w:val="18"/>
              </w:rPr>
              <w:t>0.15</w:t>
            </w:r>
          </w:p>
          <w:p>
            <w:pPr>
              <w:pStyle w:val="TableParagraph"/>
              <w:spacing w:before="12"/>
              <w:ind w:left="202"/>
              <w:rPr>
                <w:sz w:val="18"/>
              </w:rPr>
            </w:pPr>
            <w:r>
              <w:rPr>
                <w:sz w:val="18"/>
              </w:rPr>
              <w:t>0.15</w:t>
            </w:r>
          </w:p>
        </w:tc>
        <w:tc>
          <w:tcPr>
            <w:tcW w:w="744" w:type="dxa"/>
          </w:tcPr>
          <w:p>
            <w:pPr>
              <w:pStyle w:val="TableParagraph"/>
              <w:rPr>
                <w:b/>
                <w:sz w:val="20"/>
              </w:rPr>
            </w:pPr>
          </w:p>
          <w:p>
            <w:pPr>
              <w:pStyle w:val="TableParagraph"/>
              <w:spacing w:before="9"/>
              <w:rPr>
                <w:b/>
                <w:sz w:val="16"/>
              </w:rPr>
            </w:pPr>
          </w:p>
          <w:p>
            <w:pPr>
              <w:pStyle w:val="TableParagraph"/>
              <w:spacing w:line="252" w:lineRule="auto"/>
              <w:ind w:left="319" w:right="282"/>
              <w:jc w:val="both"/>
              <w:rPr>
                <w:sz w:val="18"/>
              </w:rPr>
            </w:pPr>
            <w:r>
              <w:rPr>
                <w:sz w:val="18"/>
              </w:rPr>
              <w:t>V V V</w:t>
            </w:r>
          </w:p>
          <w:p>
            <w:pPr>
              <w:pStyle w:val="TableParagraph"/>
              <w:spacing w:line="185" w:lineRule="exact"/>
              <w:ind w:left="34"/>
              <w:jc w:val="center"/>
              <w:rPr>
                <w:sz w:val="18"/>
              </w:rPr>
            </w:pPr>
            <w:r>
              <w:rPr>
                <w:sz w:val="18"/>
              </w:rPr>
              <w:t>V</w:t>
            </w:r>
          </w:p>
        </w:tc>
      </w:tr>
      <w:tr>
        <w:trPr>
          <w:trHeight w:val="1095" w:hRule="atLeast"/>
        </w:trPr>
        <w:tc>
          <w:tcPr>
            <w:tcW w:w="3346" w:type="dxa"/>
          </w:tcPr>
          <w:p>
            <w:pPr>
              <w:pStyle w:val="TableParagraph"/>
              <w:spacing w:line="247" w:lineRule="auto" w:before="15"/>
              <w:ind w:left="85"/>
              <w:rPr>
                <w:sz w:val="18"/>
              </w:rPr>
            </w:pPr>
            <w:r>
              <w:rPr>
                <w:rFonts w:ascii="Times New Roman"/>
                <w:i/>
                <w:sz w:val="18"/>
              </w:rPr>
              <w:t>LCD_DAC </w:t>
            </w:r>
            <w:r>
              <w:rPr>
                <w:sz w:val="18"/>
              </w:rPr>
              <w:t>Error. VLCD-VLCDnom DAC=12, with Boost</w:t>
            </w:r>
          </w:p>
          <w:p>
            <w:pPr>
              <w:pStyle w:val="TableParagraph"/>
              <w:spacing w:line="249" w:lineRule="auto"/>
              <w:ind w:left="186" w:right="2054"/>
              <w:rPr>
                <w:sz w:val="18"/>
              </w:rPr>
            </w:pPr>
            <w:r>
              <w:rPr>
                <w:sz w:val="18"/>
              </w:rPr>
              <w:t>V3P3 = 3.6 V V3P3 = 3.0 V</w:t>
            </w:r>
          </w:p>
          <w:p>
            <w:pPr>
              <w:pStyle w:val="TableParagraph"/>
              <w:spacing w:line="206" w:lineRule="exact"/>
              <w:ind w:left="186"/>
              <w:rPr>
                <w:sz w:val="18"/>
              </w:rPr>
            </w:pPr>
            <w:r>
              <w:rPr>
                <w:sz w:val="18"/>
              </w:rPr>
              <w:t>VBAT = 2.5 V, V3P3 = 0 V, BRN Mode</w:t>
            </w:r>
          </w:p>
        </w:tc>
        <w:tc>
          <w:tcPr>
            <w:tcW w:w="3044" w:type="dxa"/>
          </w:tcPr>
          <w:p>
            <w:pPr>
              <w:pStyle w:val="TableParagraph"/>
              <w:spacing w:before="15"/>
              <w:ind w:left="85" w:right="1358"/>
              <w:rPr>
                <w:sz w:val="18"/>
              </w:rPr>
            </w:pPr>
            <w:r>
              <w:rPr>
                <w:rFonts w:ascii="Times New Roman"/>
                <w:i/>
                <w:sz w:val="18"/>
              </w:rPr>
              <w:t>LCD_VMODE </w:t>
            </w:r>
            <w:r>
              <w:rPr>
                <w:sz w:val="18"/>
              </w:rPr>
              <w:t>= 10, </w:t>
            </w:r>
            <w:r>
              <w:rPr>
                <w:rFonts w:ascii="Times New Roman"/>
                <w:i/>
                <w:sz w:val="18"/>
              </w:rPr>
              <w:t>LCD_DAC[4:0] </w:t>
            </w:r>
            <w:r>
              <w:rPr>
                <w:sz w:val="18"/>
              </w:rPr>
              <w:t>= C, </w:t>
            </w:r>
            <w:r>
              <w:rPr>
                <w:rFonts w:ascii="Times New Roman"/>
                <w:i/>
                <w:sz w:val="18"/>
              </w:rPr>
              <w:t>LCD_CLK[1:0]</w:t>
            </w:r>
            <w:r>
              <w:rPr>
                <w:sz w:val="18"/>
              </w:rPr>
              <w:t>=2, </w:t>
            </w:r>
            <w:r>
              <w:rPr>
                <w:rFonts w:ascii="Times New Roman"/>
                <w:i/>
                <w:sz w:val="18"/>
              </w:rPr>
              <w:t>LCD_MODE[2:0]</w:t>
            </w:r>
            <w:r>
              <w:rPr>
                <w:sz w:val="18"/>
              </w:rPr>
              <w:t>=6</w:t>
            </w:r>
          </w:p>
        </w:tc>
        <w:tc>
          <w:tcPr>
            <w:tcW w:w="742" w:type="dxa"/>
          </w:tcPr>
          <w:p>
            <w:pPr>
              <w:pStyle w:val="TableParagraph"/>
              <w:rPr>
                <w:b/>
                <w:sz w:val="20"/>
              </w:rPr>
            </w:pPr>
          </w:p>
          <w:p>
            <w:pPr>
              <w:pStyle w:val="TableParagraph"/>
              <w:spacing w:before="10"/>
              <w:rPr>
                <w:b/>
                <w:sz w:val="17"/>
              </w:rPr>
            </w:pPr>
          </w:p>
          <w:p>
            <w:pPr>
              <w:pStyle w:val="TableParagraph"/>
              <w:spacing w:line="207" w:lineRule="exact"/>
              <w:ind w:left="176"/>
              <w:rPr>
                <w:sz w:val="18"/>
              </w:rPr>
            </w:pPr>
            <w:r>
              <w:rPr>
                <w:sz w:val="18"/>
              </w:rPr>
              <w:t>-0.15</w:t>
            </w:r>
          </w:p>
          <w:p>
            <w:pPr>
              <w:pStyle w:val="TableParagraph"/>
              <w:spacing w:line="206" w:lineRule="exact"/>
              <w:ind w:left="176"/>
              <w:rPr>
                <w:sz w:val="18"/>
              </w:rPr>
            </w:pPr>
            <w:r>
              <w:rPr>
                <w:sz w:val="18"/>
              </w:rPr>
              <w:t>-0.15</w:t>
            </w:r>
          </w:p>
          <w:p>
            <w:pPr>
              <w:pStyle w:val="TableParagraph"/>
              <w:spacing w:line="207" w:lineRule="exact"/>
              <w:ind w:left="176"/>
              <w:rPr>
                <w:sz w:val="18"/>
              </w:rPr>
            </w:pPr>
            <w:r>
              <w:rPr>
                <w:sz w:val="18"/>
              </w:rPr>
              <w:t>-0.15</w:t>
            </w:r>
          </w:p>
        </w:tc>
        <w:tc>
          <w:tcPr>
            <w:tcW w:w="744" w:type="dxa"/>
          </w:tcPr>
          <w:p>
            <w:pPr>
              <w:pStyle w:val="TableParagraph"/>
              <w:rPr>
                <w:rFonts w:ascii="Times New Roman"/>
                <w:sz w:val="18"/>
              </w:rPr>
            </w:pPr>
          </w:p>
        </w:tc>
        <w:tc>
          <w:tcPr>
            <w:tcW w:w="742" w:type="dxa"/>
          </w:tcPr>
          <w:p>
            <w:pPr>
              <w:pStyle w:val="TableParagraph"/>
              <w:rPr>
                <w:b/>
                <w:sz w:val="20"/>
              </w:rPr>
            </w:pPr>
          </w:p>
          <w:p>
            <w:pPr>
              <w:pStyle w:val="TableParagraph"/>
              <w:spacing w:before="10"/>
              <w:rPr>
                <w:b/>
                <w:sz w:val="17"/>
              </w:rPr>
            </w:pPr>
          </w:p>
          <w:p>
            <w:pPr>
              <w:pStyle w:val="TableParagraph"/>
              <w:spacing w:line="207" w:lineRule="exact"/>
              <w:ind w:left="206"/>
              <w:rPr>
                <w:sz w:val="18"/>
              </w:rPr>
            </w:pPr>
            <w:r>
              <w:rPr>
                <w:sz w:val="18"/>
              </w:rPr>
              <w:t>0.15</w:t>
            </w:r>
          </w:p>
          <w:p>
            <w:pPr>
              <w:pStyle w:val="TableParagraph"/>
              <w:spacing w:line="206" w:lineRule="exact"/>
              <w:ind w:left="206"/>
              <w:rPr>
                <w:sz w:val="18"/>
              </w:rPr>
            </w:pPr>
            <w:r>
              <w:rPr>
                <w:sz w:val="18"/>
              </w:rPr>
              <w:t>0.15</w:t>
            </w:r>
          </w:p>
          <w:p>
            <w:pPr>
              <w:pStyle w:val="TableParagraph"/>
              <w:spacing w:line="207" w:lineRule="exact"/>
              <w:ind w:left="206"/>
              <w:rPr>
                <w:sz w:val="18"/>
              </w:rPr>
            </w:pPr>
            <w:r>
              <w:rPr>
                <w:sz w:val="18"/>
              </w:rPr>
              <w:t>0.15</w:t>
            </w:r>
          </w:p>
        </w:tc>
        <w:tc>
          <w:tcPr>
            <w:tcW w:w="744" w:type="dxa"/>
          </w:tcPr>
          <w:p>
            <w:pPr>
              <w:pStyle w:val="TableParagraph"/>
              <w:rPr>
                <w:b/>
                <w:sz w:val="20"/>
              </w:rPr>
            </w:pPr>
          </w:p>
          <w:p>
            <w:pPr>
              <w:pStyle w:val="TableParagraph"/>
              <w:spacing w:before="7"/>
              <w:rPr>
                <w:b/>
                <w:sz w:val="17"/>
              </w:rPr>
            </w:pPr>
          </w:p>
          <w:p>
            <w:pPr>
              <w:pStyle w:val="TableParagraph"/>
              <w:spacing w:line="210" w:lineRule="atLeast"/>
              <w:ind w:left="321" w:right="280"/>
              <w:jc w:val="both"/>
              <w:rPr>
                <w:sz w:val="18"/>
              </w:rPr>
            </w:pPr>
            <w:r>
              <w:rPr>
                <w:sz w:val="18"/>
              </w:rPr>
              <w:t>V V V</w:t>
            </w:r>
          </w:p>
        </w:tc>
      </w:tr>
      <w:tr>
        <w:trPr>
          <w:trHeight w:val="1273" w:hRule="atLeast"/>
        </w:trPr>
        <w:tc>
          <w:tcPr>
            <w:tcW w:w="3346" w:type="dxa"/>
          </w:tcPr>
          <w:p>
            <w:pPr>
              <w:pStyle w:val="TableParagraph"/>
              <w:spacing w:line="244" w:lineRule="auto"/>
              <w:ind w:left="78" w:right="304"/>
              <w:rPr>
                <w:sz w:val="18"/>
              </w:rPr>
            </w:pPr>
            <w:r>
              <w:rPr>
                <w:rFonts w:ascii="Times New Roman"/>
                <w:i/>
                <w:sz w:val="18"/>
              </w:rPr>
              <w:t>LCD_DAC </w:t>
            </w:r>
            <w:r>
              <w:rPr>
                <w:sz w:val="18"/>
              </w:rPr>
              <w:t>Error. VLCD-VLCDnom Zero Scale, with Boost</w:t>
            </w:r>
          </w:p>
          <w:p>
            <w:pPr>
              <w:pStyle w:val="TableParagraph"/>
              <w:spacing w:line="252" w:lineRule="auto"/>
              <w:ind w:left="179" w:right="2061"/>
              <w:rPr>
                <w:sz w:val="18"/>
              </w:rPr>
            </w:pPr>
            <w:r>
              <w:rPr>
                <w:sz w:val="18"/>
              </w:rPr>
              <w:t>V3P3 = 3.6 V V3P3 = 3.0 V</w:t>
            </w:r>
          </w:p>
          <w:p>
            <w:pPr>
              <w:pStyle w:val="TableParagraph"/>
              <w:spacing w:line="207" w:lineRule="exact"/>
              <w:ind w:left="179"/>
              <w:rPr>
                <w:sz w:val="18"/>
              </w:rPr>
            </w:pPr>
            <w:r>
              <w:rPr>
                <w:sz w:val="18"/>
              </w:rPr>
              <w:t>VBAT = 4.0 V, V3P3 = 0 V, BRN</w:t>
            </w:r>
            <w:r>
              <w:rPr>
                <w:spacing w:val="-11"/>
                <w:sz w:val="18"/>
              </w:rPr>
              <w:t> </w:t>
            </w:r>
            <w:r>
              <w:rPr>
                <w:sz w:val="18"/>
              </w:rPr>
              <w:t>Mode</w:t>
            </w:r>
          </w:p>
          <w:p>
            <w:pPr>
              <w:pStyle w:val="TableParagraph"/>
              <w:spacing w:line="187" w:lineRule="exact" w:before="2"/>
              <w:ind w:left="179"/>
              <w:rPr>
                <w:sz w:val="18"/>
              </w:rPr>
            </w:pPr>
            <w:r>
              <w:rPr>
                <w:sz w:val="18"/>
              </w:rPr>
              <w:t>VBAT = 2.5 V, V3P3 = 0 V, BRN</w:t>
            </w:r>
            <w:r>
              <w:rPr>
                <w:spacing w:val="-13"/>
                <w:sz w:val="18"/>
              </w:rPr>
              <w:t> </w:t>
            </w:r>
            <w:r>
              <w:rPr>
                <w:sz w:val="18"/>
              </w:rPr>
              <w:t>Mode</w:t>
            </w:r>
          </w:p>
        </w:tc>
        <w:tc>
          <w:tcPr>
            <w:tcW w:w="3044" w:type="dxa"/>
          </w:tcPr>
          <w:p>
            <w:pPr>
              <w:pStyle w:val="TableParagraph"/>
              <w:spacing w:line="203" w:lineRule="exact"/>
              <w:ind w:left="78"/>
              <w:rPr>
                <w:sz w:val="18"/>
              </w:rPr>
            </w:pPr>
            <w:r>
              <w:rPr>
                <w:rFonts w:ascii="Times New Roman"/>
                <w:i/>
                <w:sz w:val="18"/>
              </w:rPr>
              <w:t>LCD_VMODE </w:t>
            </w:r>
            <w:r>
              <w:rPr>
                <w:sz w:val="18"/>
              </w:rPr>
              <w:t>= 2,</w:t>
            </w:r>
          </w:p>
          <w:p>
            <w:pPr>
              <w:pStyle w:val="TableParagraph"/>
              <w:ind w:left="78" w:right="1380"/>
              <w:rPr>
                <w:sz w:val="18"/>
              </w:rPr>
            </w:pPr>
            <w:r>
              <w:rPr>
                <w:rFonts w:ascii="Times New Roman"/>
                <w:i/>
                <w:sz w:val="18"/>
              </w:rPr>
              <w:t>LCD_DAC[4:0] </w:t>
            </w:r>
            <w:r>
              <w:rPr>
                <w:sz w:val="18"/>
              </w:rPr>
              <w:t>=0, </w:t>
            </w:r>
            <w:r>
              <w:rPr>
                <w:rFonts w:ascii="Times New Roman"/>
                <w:i/>
                <w:sz w:val="18"/>
              </w:rPr>
              <w:t>LCD_CLK[1:0]</w:t>
            </w:r>
            <w:r>
              <w:rPr>
                <w:sz w:val="18"/>
              </w:rPr>
              <w:t>=2, </w:t>
            </w:r>
            <w:r>
              <w:rPr>
                <w:rFonts w:ascii="Times New Roman"/>
                <w:i/>
                <w:sz w:val="18"/>
              </w:rPr>
              <w:t>LCD_MODE[2:0]</w:t>
            </w:r>
            <w:r>
              <w:rPr>
                <w:sz w:val="18"/>
              </w:rPr>
              <w:t>=6</w:t>
            </w:r>
          </w:p>
        </w:tc>
        <w:tc>
          <w:tcPr>
            <w:tcW w:w="742" w:type="dxa"/>
          </w:tcPr>
          <w:p>
            <w:pPr>
              <w:pStyle w:val="TableParagraph"/>
              <w:rPr>
                <w:b/>
                <w:sz w:val="20"/>
              </w:rPr>
            </w:pPr>
          </w:p>
          <w:p>
            <w:pPr>
              <w:pStyle w:val="TableParagraph"/>
              <w:rPr>
                <w:b/>
                <w:sz w:val="16"/>
              </w:rPr>
            </w:pPr>
          </w:p>
          <w:p>
            <w:pPr>
              <w:pStyle w:val="TableParagraph"/>
              <w:spacing w:line="207" w:lineRule="exact"/>
              <w:ind w:left="173"/>
              <w:rPr>
                <w:sz w:val="18"/>
              </w:rPr>
            </w:pPr>
            <w:r>
              <w:rPr>
                <w:sz w:val="18"/>
              </w:rPr>
              <w:t>-0.15</w:t>
            </w:r>
          </w:p>
          <w:p>
            <w:pPr>
              <w:pStyle w:val="TableParagraph"/>
              <w:spacing w:line="207" w:lineRule="exact"/>
              <w:ind w:left="173"/>
              <w:rPr>
                <w:sz w:val="18"/>
              </w:rPr>
            </w:pPr>
            <w:r>
              <w:rPr>
                <w:sz w:val="18"/>
              </w:rPr>
              <w:t>-0.15</w:t>
            </w:r>
          </w:p>
          <w:p>
            <w:pPr>
              <w:pStyle w:val="TableParagraph"/>
              <w:spacing w:line="207" w:lineRule="exact" w:before="2"/>
              <w:ind w:left="173"/>
              <w:rPr>
                <w:sz w:val="18"/>
              </w:rPr>
            </w:pPr>
            <w:r>
              <w:rPr>
                <w:sz w:val="18"/>
              </w:rPr>
              <w:t>-0.15</w:t>
            </w:r>
          </w:p>
          <w:p>
            <w:pPr>
              <w:pStyle w:val="TableParagraph"/>
              <w:spacing w:line="207" w:lineRule="exact"/>
              <w:ind w:left="173"/>
              <w:rPr>
                <w:sz w:val="18"/>
              </w:rPr>
            </w:pPr>
            <w:r>
              <w:rPr>
                <w:sz w:val="18"/>
              </w:rPr>
              <w:t>-0.15</w:t>
            </w:r>
          </w:p>
        </w:tc>
        <w:tc>
          <w:tcPr>
            <w:tcW w:w="744" w:type="dxa"/>
          </w:tcPr>
          <w:p>
            <w:pPr>
              <w:pStyle w:val="TableParagraph"/>
              <w:rPr>
                <w:rFonts w:ascii="Times New Roman"/>
                <w:sz w:val="18"/>
              </w:rPr>
            </w:pPr>
          </w:p>
        </w:tc>
        <w:tc>
          <w:tcPr>
            <w:tcW w:w="742" w:type="dxa"/>
          </w:tcPr>
          <w:p>
            <w:pPr>
              <w:pStyle w:val="TableParagraph"/>
              <w:rPr>
                <w:b/>
                <w:sz w:val="20"/>
              </w:rPr>
            </w:pPr>
          </w:p>
          <w:p>
            <w:pPr>
              <w:pStyle w:val="TableParagraph"/>
              <w:rPr>
                <w:b/>
                <w:sz w:val="16"/>
              </w:rPr>
            </w:pPr>
          </w:p>
          <w:p>
            <w:pPr>
              <w:pStyle w:val="TableParagraph"/>
              <w:spacing w:line="207" w:lineRule="exact"/>
              <w:ind w:left="202"/>
              <w:rPr>
                <w:sz w:val="18"/>
              </w:rPr>
            </w:pPr>
            <w:r>
              <w:rPr>
                <w:sz w:val="18"/>
              </w:rPr>
              <w:t>0.15</w:t>
            </w:r>
          </w:p>
          <w:p>
            <w:pPr>
              <w:pStyle w:val="TableParagraph"/>
              <w:spacing w:line="207" w:lineRule="exact"/>
              <w:ind w:left="202"/>
              <w:rPr>
                <w:sz w:val="18"/>
              </w:rPr>
            </w:pPr>
            <w:r>
              <w:rPr>
                <w:sz w:val="18"/>
              </w:rPr>
              <w:t>0.15</w:t>
            </w:r>
          </w:p>
          <w:p>
            <w:pPr>
              <w:pStyle w:val="TableParagraph"/>
              <w:spacing w:line="207" w:lineRule="exact" w:before="2"/>
              <w:ind w:left="202"/>
              <w:rPr>
                <w:sz w:val="18"/>
              </w:rPr>
            </w:pPr>
            <w:r>
              <w:rPr>
                <w:sz w:val="18"/>
              </w:rPr>
              <w:t>0.15</w:t>
            </w:r>
          </w:p>
          <w:p>
            <w:pPr>
              <w:pStyle w:val="TableParagraph"/>
              <w:spacing w:line="207" w:lineRule="exact"/>
              <w:ind w:left="202"/>
              <w:rPr>
                <w:sz w:val="18"/>
              </w:rPr>
            </w:pPr>
            <w:r>
              <w:rPr>
                <w:sz w:val="18"/>
              </w:rPr>
              <w:t>0.15</w:t>
            </w:r>
          </w:p>
        </w:tc>
        <w:tc>
          <w:tcPr>
            <w:tcW w:w="744" w:type="dxa"/>
          </w:tcPr>
          <w:p>
            <w:pPr>
              <w:pStyle w:val="TableParagraph"/>
              <w:rPr>
                <w:b/>
                <w:sz w:val="20"/>
              </w:rPr>
            </w:pPr>
          </w:p>
          <w:p>
            <w:pPr>
              <w:pStyle w:val="TableParagraph"/>
              <w:rPr>
                <w:b/>
                <w:sz w:val="16"/>
              </w:rPr>
            </w:pPr>
          </w:p>
          <w:p>
            <w:pPr>
              <w:pStyle w:val="TableParagraph"/>
              <w:spacing w:line="252" w:lineRule="auto"/>
              <w:ind w:left="319" w:right="282"/>
              <w:jc w:val="both"/>
              <w:rPr>
                <w:sz w:val="18"/>
              </w:rPr>
            </w:pPr>
            <w:r>
              <w:rPr>
                <w:sz w:val="18"/>
              </w:rPr>
              <w:t>V V V</w:t>
            </w:r>
          </w:p>
          <w:p>
            <w:pPr>
              <w:pStyle w:val="TableParagraph"/>
              <w:spacing w:line="188" w:lineRule="exact"/>
              <w:ind w:left="34"/>
              <w:jc w:val="center"/>
              <w:rPr>
                <w:sz w:val="18"/>
              </w:rPr>
            </w:pPr>
            <w:r>
              <w:rPr>
                <w:sz w:val="18"/>
              </w:rPr>
              <w:t>V</w:t>
            </w:r>
          </w:p>
        </w:tc>
      </w:tr>
      <w:tr>
        <w:trPr>
          <w:trHeight w:val="1292" w:hRule="atLeast"/>
        </w:trPr>
        <w:tc>
          <w:tcPr>
            <w:tcW w:w="3346" w:type="dxa"/>
          </w:tcPr>
          <w:p>
            <w:pPr>
              <w:pStyle w:val="TableParagraph"/>
              <w:spacing w:line="256" w:lineRule="auto"/>
              <w:ind w:left="78" w:right="304"/>
              <w:rPr>
                <w:sz w:val="18"/>
              </w:rPr>
            </w:pPr>
            <w:r>
              <w:rPr>
                <w:rFonts w:ascii="Times New Roman"/>
                <w:i/>
                <w:sz w:val="18"/>
              </w:rPr>
              <w:t>LCD_DAC </w:t>
            </w:r>
            <w:r>
              <w:rPr>
                <w:sz w:val="18"/>
              </w:rPr>
              <w:t>Error. VLCD-VLCDnom Full Scale, no Boost</w:t>
            </w:r>
          </w:p>
          <w:p>
            <w:pPr>
              <w:pStyle w:val="TableParagraph"/>
              <w:spacing w:line="252" w:lineRule="auto"/>
              <w:ind w:left="179" w:right="1050" w:hanging="1"/>
              <w:rPr>
                <w:sz w:val="18"/>
              </w:rPr>
            </w:pPr>
            <w:r>
              <w:rPr>
                <w:sz w:val="18"/>
              </w:rPr>
              <w:t>V3P3 = 3.6 V (see note 1) V3P3 = 3.0 V (see note 1)</w:t>
            </w:r>
          </w:p>
          <w:p>
            <w:pPr>
              <w:pStyle w:val="TableParagraph"/>
              <w:spacing w:line="207" w:lineRule="exact"/>
              <w:ind w:left="179"/>
              <w:rPr>
                <w:sz w:val="18"/>
              </w:rPr>
            </w:pPr>
            <w:r>
              <w:rPr>
                <w:sz w:val="18"/>
              </w:rPr>
              <w:t>VBAT = 4.0 V, V3P3 = 0 V, BRN</w:t>
            </w:r>
            <w:r>
              <w:rPr>
                <w:spacing w:val="-11"/>
                <w:sz w:val="18"/>
              </w:rPr>
              <w:t> </w:t>
            </w:r>
            <w:r>
              <w:rPr>
                <w:sz w:val="18"/>
              </w:rPr>
              <w:t>Mode</w:t>
            </w:r>
          </w:p>
          <w:p>
            <w:pPr>
              <w:pStyle w:val="TableParagraph"/>
              <w:spacing w:line="187" w:lineRule="exact" w:before="1"/>
              <w:ind w:left="179"/>
              <w:rPr>
                <w:sz w:val="18"/>
              </w:rPr>
            </w:pPr>
            <w:r>
              <w:rPr>
                <w:sz w:val="18"/>
              </w:rPr>
              <w:t>VBAT = 2.5 V, V3P3 = 0 V, BRN</w:t>
            </w:r>
            <w:r>
              <w:rPr>
                <w:spacing w:val="-13"/>
                <w:sz w:val="18"/>
              </w:rPr>
              <w:t> </w:t>
            </w:r>
            <w:r>
              <w:rPr>
                <w:sz w:val="18"/>
              </w:rPr>
              <w:t>Mode</w:t>
            </w:r>
          </w:p>
        </w:tc>
        <w:tc>
          <w:tcPr>
            <w:tcW w:w="3044" w:type="dxa"/>
          </w:tcPr>
          <w:p>
            <w:pPr>
              <w:pStyle w:val="TableParagraph"/>
              <w:ind w:left="78" w:right="1285"/>
              <w:rPr>
                <w:sz w:val="18"/>
              </w:rPr>
            </w:pPr>
            <w:r>
              <w:rPr>
                <w:rFonts w:ascii="Times New Roman"/>
                <w:i/>
                <w:sz w:val="18"/>
              </w:rPr>
              <w:t>LCD_VMODE </w:t>
            </w:r>
            <w:r>
              <w:rPr>
                <w:sz w:val="18"/>
              </w:rPr>
              <w:t>= 1, </w:t>
            </w:r>
            <w:r>
              <w:rPr>
                <w:rFonts w:ascii="Times New Roman"/>
                <w:i/>
                <w:sz w:val="18"/>
              </w:rPr>
              <w:t>LCD_DAC[4:0] </w:t>
            </w:r>
            <w:r>
              <w:rPr>
                <w:sz w:val="18"/>
              </w:rPr>
              <w:t>= 1F, </w:t>
            </w:r>
            <w:r>
              <w:rPr>
                <w:rFonts w:ascii="Times New Roman"/>
                <w:i/>
                <w:sz w:val="18"/>
              </w:rPr>
              <w:t>LCD_CLK[1:0]</w:t>
            </w:r>
            <w:r>
              <w:rPr>
                <w:sz w:val="18"/>
              </w:rPr>
              <w:t>=2, </w:t>
            </w:r>
            <w:r>
              <w:rPr>
                <w:rFonts w:ascii="Times New Roman"/>
                <w:i/>
                <w:sz w:val="18"/>
              </w:rPr>
              <w:t>LCD_MODE[2:0]</w:t>
            </w:r>
            <w:r>
              <w:rPr>
                <w:sz w:val="18"/>
              </w:rPr>
              <w:t>=6</w:t>
            </w:r>
          </w:p>
        </w:tc>
        <w:tc>
          <w:tcPr>
            <w:tcW w:w="742" w:type="dxa"/>
          </w:tcPr>
          <w:p>
            <w:pPr>
              <w:pStyle w:val="TableParagraph"/>
              <w:rPr>
                <w:b/>
                <w:sz w:val="20"/>
              </w:rPr>
            </w:pPr>
          </w:p>
          <w:p>
            <w:pPr>
              <w:pStyle w:val="TableParagraph"/>
              <w:spacing w:before="11"/>
              <w:rPr>
                <w:b/>
                <w:sz w:val="15"/>
              </w:rPr>
            </w:pPr>
          </w:p>
          <w:p>
            <w:pPr>
              <w:pStyle w:val="TableParagraph"/>
              <w:spacing w:line="207" w:lineRule="exact"/>
              <w:ind w:left="224"/>
              <w:rPr>
                <w:sz w:val="18"/>
              </w:rPr>
            </w:pPr>
            <w:r>
              <w:rPr>
                <w:sz w:val="18"/>
              </w:rPr>
              <w:t>-2.1</w:t>
            </w:r>
          </w:p>
          <w:p>
            <w:pPr>
              <w:pStyle w:val="TableParagraph"/>
              <w:spacing w:line="206" w:lineRule="exact"/>
              <w:ind w:left="224"/>
              <w:rPr>
                <w:sz w:val="18"/>
              </w:rPr>
            </w:pPr>
            <w:r>
              <w:rPr>
                <w:sz w:val="18"/>
              </w:rPr>
              <w:t>-2.8</w:t>
            </w:r>
          </w:p>
          <w:p>
            <w:pPr>
              <w:pStyle w:val="TableParagraph"/>
              <w:spacing w:line="206" w:lineRule="exact"/>
              <w:ind w:left="224"/>
              <w:rPr>
                <w:sz w:val="18"/>
              </w:rPr>
            </w:pPr>
            <w:r>
              <w:rPr>
                <w:sz w:val="18"/>
              </w:rPr>
              <w:t>-1.8</w:t>
            </w:r>
          </w:p>
          <w:p>
            <w:pPr>
              <w:pStyle w:val="TableParagraph"/>
              <w:spacing w:line="207" w:lineRule="exact"/>
              <w:ind w:left="224"/>
              <w:rPr>
                <w:sz w:val="18"/>
              </w:rPr>
            </w:pPr>
            <w:r>
              <w:rPr>
                <w:sz w:val="18"/>
              </w:rPr>
              <w:t>-3.2</w:t>
            </w:r>
          </w:p>
        </w:tc>
        <w:tc>
          <w:tcPr>
            <w:tcW w:w="744" w:type="dxa"/>
          </w:tcPr>
          <w:p>
            <w:pPr>
              <w:pStyle w:val="TableParagraph"/>
              <w:rPr>
                <w:rFonts w:ascii="Times New Roman"/>
                <w:sz w:val="18"/>
              </w:rPr>
            </w:pPr>
          </w:p>
        </w:tc>
        <w:tc>
          <w:tcPr>
            <w:tcW w:w="742" w:type="dxa"/>
          </w:tcPr>
          <w:p>
            <w:pPr>
              <w:pStyle w:val="TableParagraph"/>
              <w:rPr>
                <w:rFonts w:ascii="Times New Roman"/>
                <w:sz w:val="18"/>
              </w:rPr>
            </w:pPr>
          </w:p>
        </w:tc>
        <w:tc>
          <w:tcPr>
            <w:tcW w:w="744" w:type="dxa"/>
          </w:tcPr>
          <w:p>
            <w:pPr>
              <w:pStyle w:val="TableParagraph"/>
              <w:rPr>
                <w:b/>
                <w:sz w:val="20"/>
              </w:rPr>
            </w:pPr>
          </w:p>
          <w:p>
            <w:pPr>
              <w:pStyle w:val="TableParagraph"/>
              <w:spacing w:before="11"/>
              <w:rPr>
                <w:b/>
                <w:sz w:val="15"/>
              </w:rPr>
            </w:pPr>
          </w:p>
          <w:p>
            <w:pPr>
              <w:pStyle w:val="TableParagraph"/>
              <w:spacing w:line="252" w:lineRule="auto"/>
              <w:ind w:left="319" w:right="282"/>
              <w:jc w:val="both"/>
              <w:rPr>
                <w:sz w:val="18"/>
              </w:rPr>
            </w:pPr>
            <w:r>
              <w:rPr>
                <w:sz w:val="18"/>
              </w:rPr>
              <w:t>V V V</w:t>
            </w:r>
          </w:p>
          <w:p>
            <w:pPr>
              <w:pStyle w:val="TableParagraph"/>
              <w:spacing w:line="205" w:lineRule="exact"/>
              <w:ind w:left="34"/>
              <w:jc w:val="center"/>
              <w:rPr>
                <w:sz w:val="18"/>
              </w:rPr>
            </w:pPr>
            <w:r>
              <w:rPr>
                <w:sz w:val="18"/>
              </w:rPr>
              <w:t>V</w:t>
            </w:r>
          </w:p>
        </w:tc>
      </w:tr>
      <w:tr>
        <w:trPr>
          <w:trHeight w:val="1292" w:hRule="atLeast"/>
        </w:trPr>
        <w:tc>
          <w:tcPr>
            <w:tcW w:w="3346" w:type="dxa"/>
          </w:tcPr>
          <w:p>
            <w:pPr>
              <w:pStyle w:val="TableParagraph"/>
              <w:spacing w:line="256" w:lineRule="auto"/>
              <w:ind w:left="78"/>
              <w:rPr>
                <w:sz w:val="18"/>
              </w:rPr>
            </w:pPr>
            <w:r>
              <w:rPr>
                <w:rFonts w:ascii="Times New Roman"/>
                <w:i/>
                <w:sz w:val="18"/>
              </w:rPr>
              <w:t>LCD_DAC </w:t>
            </w:r>
            <w:r>
              <w:rPr>
                <w:sz w:val="18"/>
              </w:rPr>
              <w:t>Error. VLCD-VLCDnom DAC=12, no Boost</w:t>
            </w:r>
          </w:p>
          <w:p>
            <w:pPr>
              <w:pStyle w:val="TableParagraph"/>
              <w:spacing w:line="252" w:lineRule="auto"/>
              <w:ind w:left="179" w:right="2061"/>
              <w:rPr>
                <w:sz w:val="18"/>
              </w:rPr>
            </w:pPr>
            <w:r>
              <w:rPr>
                <w:sz w:val="18"/>
              </w:rPr>
              <w:t>V3P3 = 3.6 V V3P3 = 3.0 V</w:t>
            </w:r>
          </w:p>
          <w:p>
            <w:pPr>
              <w:pStyle w:val="TableParagraph"/>
              <w:spacing w:line="207" w:lineRule="exact"/>
              <w:ind w:left="179"/>
              <w:rPr>
                <w:sz w:val="18"/>
              </w:rPr>
            </w:pPr>
            <w:r>
              <w:rPr>
                <w:sz w:val="18"/>
              </w:rPr>
              <w:t>VBAT = 4.0 V, V3P3 = 0 V, BRN</w:t>
            </w:r>
            <w:r>
              <w:rPr>
                <w:spacing w:val="-11"/>
                <w:sz w:val="18"/>
              </w:rPr>
              <w:t> </w:t>
            </w:r>
            <w:r>
              <w:rPr>
                <w:sz w:val="18"/>
              </w:rPr>
              <w:t>Mode</w:t>
            </w:r>
          </w:p>
          <w:p>
            <w:pPr>
              <w:pStyle w:val="TableParagraph"/>
              <w:spacing w:line="187" w:lineRule="exact" w:before="1"/>
              <w:ind w:left="179"/>
              <w:rPr>
                <w:sz w:val="18"/>
              </w:rPr>
            </w:pPr>
            <w:r>
              <w:rPr>
                <w:sz w:val="18"/>
              </w:rPr>
              <w:t>VBAT = 2.5 V, V3P3 = 0 V, BRN</w:t>
            </w:r>
            <w:r>
              <w:rPr>
                <w:spacing w:val="-13"/>
                <w:sz w:val="18"/>
              </w:rPr>
              <w:t> </w:t>
            </w:r>
            <w:r>
              <w:rPr>
                <w:sz w:val="18"/>
              </w:rPr>
              <w:t>Mode</w:t>
            </w:r>
          </w:p>
        </w:tc>
        <w:tc>
          <w:tcPr>
            <w:tcW w:w="3044" w:type="dxa"/>
          </w:tcPr>
          <w:p>
            <w:pPr>
              <w:pStyle w:val="TableParagraph"/>
              <w:ind w:left="78" w:right="1365"/>
              <w:rPr>
                <w:sz w:val="18"/>
              </w:rPr>
            </w:pPr>
            <w:r>
              <w:rPr>
                <w:rFonts w:ascii="Times New Roman"/>
                <w:i/>
                <w:sz w:val="18"/>
              </w:rPr>
              <w:t>LCD_VMODE </w:t>
            </w:r>
            <w:r>
              <w:rPr>
                <w:sz w:val="18"/>
              </w:rPr>
              <w:t>= 1, </w:t>
            </w:r>
            <w:r>
              <w:rPr>
                <w:rFonts w:ascii="Times New Roman"/>
                <w:i/>
                <w:sz w:val="18"/>
              </w:rPr>
              <w:t>LCD_DAC[4:0] </w:t>
            </w:r>
            <w:r>
              <w:rPr>
                <w:sz w:val="18"/>
              </w:rPr>
              <w:t>= C, </w:t>
            </w:r>
            <w:r>
              <w:rPr>
                <w:rFonts w:ascii="Times New Roman"/>
                <w:i/>
                <w:sz w:val="18"/>
              </w:rPr>
              <w:t>LCD_CLK[1:0]</w:t>
            </w:r>
            <w:r>
              <w:rPr>
                <w:sz w:val="18"/>
              </w:rPr>
              <w:t>=2, </w:t>
            </w:r>
            <w:r>
              <w:rPr>
                <w:rFonts w:ascii="Times New Roman"/>
                <w:i/>
                <w:sz w:val="18"/>
              </w:rPr>
              <w:t>LCD_MODE[2:0]</w:t>
            </w:r>
            <w:r>
              <w:rPr>
                <w:sz w:val="18"/>
              </w:rPr>
              <w:t>=6</w:t>
            </w:r>
          </w:p>
        </w:tc>
        <w:tc>
          <w:tcPr>
            <w:tcW w:w="742" w:type="dxa"/>
          </w:tcPr>
          <w:p>
            <w:pPr>
              <w:pStyle w:val="TableParagraph"/>
              <w:rPr>
                <w:b/>
                <w:sz w:val="20"/>
              </w:rPr>
            </w:pPr>
          </w:p>
          <w:p>
            <w:pPr>
              <w:pStyle w:val="TableParagraph"/>
              <w:spacing w:before="11"/>
              <w:rPr>
                <w:b/>
                <w:sz w:val="15"/>
              </w:rPr>
            </w:pPr>
          </w:p>
          <w:p>
            <w:pPr>
              <w:pStyle w:val="TableParagraph"/>
              <w:spacing w:line="207" w:lineRule="exact"/>
              <w:ind w:left="224"/>
              <w:rPr>
                <w:sz w:val="18"/>
              </w:rPr>
            </w:pPr>
            <w:r>
              <w:rPr>
                <w:sz w:val="18"/>
              </w:rPr>
              <w:t>-0.5</w:t>
            </w:r>
          </w:p>
          <w:p>
            <w:pPr>
              <w:pStyle w:val="TableParagraph"/>
              <w:spacing w:line="206" w:lineRule="exact"/>
              <w:ind w:left="224"/>
              <w:rPr>
                <w:sz w:val="18"/>
              </w:rPr>
            </w:pPr>
            <w:r>
              <w:rPr>
                <w:sz w:val="18"/>
              </w:rPr>
              <w:t>-1.1</w:t>
            </w:r>
          </w:p>
          <w:p>
            <w:pPr>
              <w:pStyle w:val="TableParagraph"/>
              <w:spacing w:line="206" w:lineRule="exact"/>
              <w:ind w:left="139"/>
              <w:rPr>
                <w:sz w:val="18"/>
              </w:rPr>
            </w:pPr>
            <w:r>
              <w:rPr>
                <w:sz w:val="18"/>
              </w:rPr>
              <w:t>-0.15</w:t>
            </w:r>
            <w:r>
              <w:rPr>
                <w:sz w:val="18"/>
                <w:vertAlign w:val="superscript"/>
              </w:rPr>
              <w:t>1</w:t>
            </w:r>
          </w:p>
          <w:p>
            <w:pPr>
              <w:pStyle w:val="TableParagraph"/>
              <w:spacing w:line="207" w:lineRule="exact"/>
              <w:ind w:left="190"/>
              <w:rPr>
                <w:sz w:val="18"/>
              </w:rPr>
            </w:pPr>
            <w:r>
              <w:rPr>
                <w:sz w:val="18"/>
              </w:rPr>
              <w:t>-1.5</w:t>
            </w:r>
            <w:r>
              <w:rPr>
                <w:sz w:val="18"/>
                <w:vertAlign w:val="superscript"/>
              </w:rPr>
              <w:t>1</w:t>
            </w:r>
          </w:p>
        </w:tc>
        <w:tc>
          <w:tcPr>
            <w:tcW w:w="744" w:type="dxa"/>
          </w:tcPr>
          <w:p>
            <w:pPr>
              <w:pStyle w:val="TableParagraph"/>
              <w:rPr>
                <w:rFonts w:ascii="Times New Roman"/>
                <w:sz w:val="18"/>
              </w:rPr>
            </w:pPr>
          </w:p>
        </w:tc>
        <w:tc>
          <w:tcPr>
            <w:tcW w:w="742" w:type="dxa"/>
          </w:tcPr>
          <w:p>
            <w:pPr>
              <w:pStyle w:val="TableParagraph"/>
              <w:rPr>
                <w:b/>
                <w:sz w:val="24"/>
              </w:rPr>
            </w:pPr>
          </w:p>
          <w:p>
            <w:pPr>
              <w:pStyle w:val="TableParagraph"/>
              <w:rPr>
                <w:b/>
                <w:sz w:val="24"/>
              </w:rPr>
            </w:pPr>
          </w:p>
          <w:p>
            <w:pPr>
              <w:pStyle w:val="TableParagraph"/>
              <w:spacing w:before="10"/>
              <w:rPr>
                <w:b/>
                <w:sz w:val="23"/>
              </w:rPr>
            </w:pPr>
          </w:p>
          <w:p>
            <w:pPr>
              <w:pStyle w:val="TableParagraph"/>
              <w:ind w:left="149" w:right="115"/>
              <w:jc w:val="center"/>
              <w:rPr>
                <w:sz w:val="18"/>
              </w:rPr>
            </w:pPr>
            <w:r>
              <w:rPr>
                <w:sz w:val="18"/>
              </w:rPr>
              <w:t>0.15</w:t>
            </w:r>
            <w:r>
              <w:rPr>
                <w:sz w:val="18"/>
                <w:vertAlign w:val="superscript"/>
              </w:rPr>
              <w:t>1</w:t>
            </w:r>
          </w:p>
        </w:tc>
        <w:tc>
          <w:tcPr>
            <w:tcW w:w="744" w:type="dxa"/>
          </w:tcPr>
          <w:p>
            <w:pPr>
              <w:pStyle w:val="TableParagraph"/>
              <w:rPr>
                <w:b/>
                <w:sz w:val="20"/>
              </w:rPr>
            </w:pPr>
          </w:p>
          <w:p>
            <w:pPr>
              <w:pStyle w:val="TableParagraph"/>
              <w:spacing w:before="11"/>
              <w:rPr>
                <w:b/>
                <w:sz w:val="15"/>
              </w:rPr>
            </w:pPr>
          </w:p>
          <w:p>
            <w:pPr>
              <w:pStyle w:val="TableParagraph"/>
              <w:spacing w:line="249" w:lineRule="auto"/>
              <w:ind w:left="319" w:right="282"/>
              <w:jc w:val="both"/>
              <w:rPr>
                <w:sz w:val="18"/>
              </w:rPr>
            </w:pPr>
            <w:r>
              <w:rPr>
                <w:sz w:val="18"/>
              </w:rPr>
              <w:t>V V V</w:t>
            </w:r>
          </w:p>
          <w:p>
            <w:pPr>
              <w:pStyle w:val="TableParagraph"/>
              <w:spacing w:before="5"/>
              <w:ind w:left="34"/>
              <w:jc w:val="center"/>
              <w:rPr>
                <w:sz w:val="18"/>
              </w:rPr>
            </w:pPr>
            <w:r>
              <w:rPr>
                <w:sz w:val="18"/>
              </w:rPr>
              <w:t>V</w:t>
            </w:r>
          </w:p>
        </w:tc>
      </w:tr>
    </w:tbl>
    <w:p>
      <w:pPr>
        <w:spacing w:after="0"/>
        <w:jc w:val="center"/>
        <w:rPr>
          <w:sz w:val="18"/>
        </w:rPr>
        <w:sectPr>
          <w:type w:val="continuous"/>
          <w:pgSz w:w="12240" w:h="15840"/>
          <w:pgMar w:top="940" w:bottom="280" w:left="960" w:right="940"/>
        </w:sectPr>
      </w:pPr>
    </w:p>
    <w:p>
      <w:pPr>
        <w:pStyle w:val="BodyText"/>
        <w:rPr>
          <w:b/>
          <w:sz w:val="8"/>
        </w:rPr>
      </w:pPr>
    </w:p>
    <w:tbl>
      <w:tblPr>
        <w:tblW w:w="0" w:type="auto"/>
        <w:jc w:val="left"/>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346"/>
        <w:gridCol w:w="3044"/>
        <w:gridCol w:w="742"/>
        <w:gridCol w:w="744"/>
        <w:gridCol w:w="742"/>
        <w:gridCol w:w="744"/>
      </w:tblGrid>
      <w:tr>
        <w:trPr>
          <w:trHeight w:val="287" w:hRule="atLeast"/>
        </w:trPr>
        <w:tc>
          <w:tcPr>
            <w:tcW w:w="3346" w:type="dxa"/>
          </w:tcPr>
          <w:p>
            <w:pPr>
              <w:pStyle w:val="TableParagraph"/>
              <w:spacing w:before="32"/>
              <w:ind w:left="78"/>
              <w:rPr>
                <w:b/>
                <w:sz w:val="18"/>
              </w:rPr>
            </w:pPr>
            <w:r>
              <w:rPr>
                <w:b/>
                <w:sz w:val="18"/>
              </w:rPr>
              <w:t>Parameter</w:t>
            </w:r>
          </w:p>
        </w:tc>
        <w:tc>
          <w:tcPr>
            <w:tcW w:w="3044" w:type="dxa"/>
          </w:tcPr>
          <w:p>
            <w:pPr>
              <w:pStyle w:val="TableParagraph"/>
              <w:spacing w:before="32"/>
              <w:ind w:left="78"/>
              <w:rPr>
                <w:b/>
                <w:sz w:val="18"/>
              </w:rPr>
            </w:pPr>
            <w:r>
              <w:rPr>
                <w:b/>
                <w:sz w:val="18"/>
              </w:rPr>
              <w:t>Condition</w:t>
            </w:r>
          </w:p>
        </w:tc>
        <w:tc>
          <w:tcPr>
            <w:tcW w:w="742" w:type="dxa"/>
          </w:tcPr>
          <w:p>
            <w:pPr>
              <w:pStyle w:val="TableParagraph"/>
              <w:spacing w:before="32"/>
              <w:ind w:left="223"/>
              <w:rPr>
                <w:b/>
                <w:sz w:val="18"/>
              </w:rPr>
            </w:pPr>
            <w:r>
              <w:rPr>
                <w:b/>
                <w:sz w:val="18"/>
              </w:rPr>
              <w:t>Min</w:t>
            </w:r>
          </w:p>
        </w:tc>
        <w:tc>
          <w:tcPr>
            <w:tcW w:w="744" w:type="dxa"/>
          </w:tcPr>
          <w:p>
            <w:pPr>
              <w:pStyle w:val="TableParagraph"/>
              <w:spacing w:before="32"/>
              <w:ind w:left="221"/>
              <w:rPr>
                <w:b/>
                <w:sz w:val="18"/>
              </w:rPr>
            </w:pPr>
            <w:r>
              <w:rPr>
                <w:b/>
                <w:sz w:val="18"/>
              </w:rPr>
              <w:t>Typ</w:t>
            </w:r>
          </w:p>
        </w:tc>
        <w:tc>
          <w:tcPr>
            <w:tcW w:w="742" w:type="dxa"/>
          </w:tcPr>
          <w:p>
            <w:pPr>
              <w:pStyle w:val="TableParagraph"/>
              <w:spacing w:before="32"/>
              <w:ind w:left="149" w:right="115"/>
              <w:jc w:val="center"/>
              <w:rPr>
                <w:b/>
                <w:sz w:val="18"/>
              </w:rPr>
            </w:pPr>
            <w:r>
              <w:rPr>
                <w:b/>
                <w:sz w:val="18"/>
              </w:rPr>
              <w:t>Max</w:t>
            </w:r>
          </w:p>
        </w:tc>
        <w:tc>
          <w:tcPr>
            <w:tcW w:w="744" w:type="dxa"/>
          </w:tcPr>
          <w:p>
            <w:pPr>
              <w:pStyle w:val="TableParagraph"/>
              <w:spacing w:before="32"/>
              <w:ind w:left="203"/>
              <w:rPr>
                <w:b/>
                <w:sz w:val="18"/>
              </w:rPr>
            </w:pPr>
            <w:r>
              <w:rPr>
                <w:b/>
                <w:sz w:val="18"/>
              </w:rPr>
              <w:t>Unit</w:t>
            </w:r>
          </w:p>
        </w:tc>
      </w:tr>
      <w:tr>
        <w:trPr>
          <w:trHeight w:val="1292" w:hRule="atLeast"/>
        </w:trPr>
        <w:tc>
          <w:tcPr>
            <w:tcW w:w="3346" w:type="dxa"/>
          </w:tcPr>
          <w:p>
            <w:pPr>
              <w:pStyle w:val="TableParagraph"/>
              <w:spacing w:line="256" w:lineRule="auto"/>
              <w:ind w:left="78" w:right="304"/>
              <w:rPr>
                <w:sz w:val="18"/>
              </w:rPr>
            </w:pPr>
            <w:r>
              <w:rPr>
                <w:rFonts w:ascii="Times New Roman"/>
                <w:i/>
                <w:sz w:val="18"/>
              </w:rPr>
              <w:t>LCD_DAC </w:t>
            </w:r>
            <w:r>
              <w:rPr>
                <w:sz w:val="18"/>
              </w:rPr>
              <w:t>Error. VLCD-VLCDnom Zero Scale, no Boost</w:t>
            </w:r>
          </w:p>
          <w:p>
            <w:pPr>
              <w:pStyle w:val="TableParagraph"/>
              <w:spacing w:line="252" w:lineRule="auto"/>
              <w:ind w:left="179" w:right="2061"/>
              <w:rPr>
                <w:sz w:val="18"/>
              </w:rPr>
            </w:pPr>
            <w:r>
              <w:rPr>
                <w:sz w:val="18"/>
              </w:rPr>
              <w:t>V3P3 = 3.6 V V3P3 = 3.0 V</w:t>
            </w:r>
          </w:p>
          <w:p>
            <w:pPr>
              <w:pStyle w:val="TableParagraph"/>
              <w:spacing w:line="207" w:lineRule="exact"/>
              <w:ind w:left="179"/>
              <w:rPr>
                <w:sz w:val="18"/>
              </w:rPr>
            </w:pPr>
            <w:r>
              <w:rPr>
                <w:sz w:val="18"/>
              </w:rPr>
              <w:t>VBAT = 4.0 V, V3P3 = 0 V, BRN</w:t>
            </w:r>
            <w:r>
              <w:rPr>
                <w:spacing w:val="-11"/>
                <w:sz w:val="18"/>
              </w:rPr>
              <w:t> </w:t>
            </w:r>
            <w:r>
              <w:rPr>
                <w:sz w:val="18"/>
              </w:rPr>
              <w:t>Mode</w:t>
            </w:r>
          </w:p>
          <w:p>
            <w:pPr>
              <w:pStyle w:val="TableParagraph"/>
              <w:spacing w:line="187" w:lineRule="exact" w:before="1"/>
              <w:ind w:left="179"/>
              <w:rPr>
                <w:sz w:val="18"/>
              </w:rPr>
            </w:pPr>
            <w:r>
              <w:rPr>
                <w:sz w:val="18"/>
              </w:rPr>
              <w:t>VBAT = 2.5 V, V3P3 = 0 V, BRN</w:t>
            </w:r>
            <w:r>
              <w:rPr>
                <w:spacing w:val="-13"/>
                <w:sz w:val="18"/>
              </w:rPr>
              <w:t> </w:t>
            </w:r>
            <w:r>
              <w:rPr>
                <w:sz w:val="18"/>
              </w:rPr>
              <w:t>Mode</w:t>
            </w:r>
          </w:p>
        </w:tc>
        <w:tc>
          <w:tcPr>
            <w:tcW w:w="3044" w:type="dxa"/>
          </w:tcPr>
          <w:p>
            <w:pPr>
              <w:pStyle w:val="TableParagraph"/>
              <w:spacing w:line="202" w:lineRule="exact"/>
              <w:ind w:left="78"/>
              <w:rPr>
                <w:sz w:val="18"/>
              </w:rPr>
            </w:pPr>
            <w:r>
              <w:rPr>
                <w:rFonts w:ascii="Times New Roman"/>
                <w:i/>
                <w:sz w:val="18"/>
              </w:rPr>
              <w:t>LCD_VMODE </w:t>
            </w:r>
            <w:r>
              <w:rPr>
                <w:sz w:val="18"/>
              </w:rPr>
              <w:t>=</w:t>
            </w:r>
            <w:r>
              <w:rPr>
                <w:spacing w:val="-4"/>
                <w:sz w:val="18"/>
              </w:rPr>
              <w:t> </w:t>
            </w:r>
            <w:r>
              <w:rPr>
                <w:sz w:val="18"/>
              </w:rPr>
              <w:t>01,</w:t>
            </w:r>
          </w:p>
          <w:p>
            <w:pPr>
              <w:pStyle w:val="TableParagraph"/>
              <w:spacing w:before="1"/>
              <w:ind w:left="78" w:right="1380"/>
              <w:rPr>
                <w:sz w:val="18"/>
              </w:rPr>
            </w:pPr>
            <w:r>
              <w:rPr>
                <w:rFonts w:ascii="Times New Roman"/>
                <w:i/>
                <w:sz w:val="18"/>
              </w:rPr>
              <w:t>LCD_DAC[4:0] </w:t>
            </w:r>
            <w:r>
              <w:rPr>
                <w:sz w:val="18"/>
              </w:rPr>
              <w:t>= 0, </w:t>
            </w:r>
            <w:r>
              <w:rPr>
                <w:rFonts w:ascii="Times New Roman"/>
                <w:i/>
                <w:sz w:val="18"/>
              </w:rPr>
              <w:t>LCD_CLK[1:0]</w:t>
            </w:r>
            <w:r>
              <w:rPr>
                <w:sz w:val="18"/>
              </w:rPr>
              <w:t>=2, </w:t>
            </w:r>
            <w:r>
              <w:rPr>
                <w:rFonts w:ascii="Times New Roman"/>
                <w:i/>
                <w:sz w:val="18"/>
              </w:rPr>
              <w:t>LCD_MODE[2:0]</w:t>
            </w:r>
            <w:r>
              <w:rPr>
                <w:sz w:val="18"/>
              </w:rPr>
              <w:t>=6</w:t>
            </w:r>
          </w:p>
        </w:tc>
        <w:tc>
          <w:tcPr>
            <w:tcW w:w="742" w:type="dxa"/>
          </w:tcPr>
          <w:p>
            <w:pPr>
              <w:pStyle w:val="TableParagraph"/>
              <w:rPr>
                <w:b/>
                <w:sz w:val="20"/>
              </w:rPr>
            </w:pPr>
          </w:p>
          <w:p>
            <w:pPr>
              <w:pStyle w:val="TableParagraph"/>
              <w:spacing w:before="11"/>
              <w:rPr>
                <w:b/>
                <w:sz w:val="15"/>
              </w:rPr>
            </w:pPr>
          </w:p>
          <w:p>
            <w:pPr>
              <w:pStyle w:val="TableParagraph"/>
              <w:spacing w:line="207" w:lineRule="exact"/>
              <w:ind w:left="173"/>
              <w:rPr>
                <w:sz w:val="18"/>
              </w:rPr>
            </w:pPr>
            <w:r>
              <w:rPr>
                <w:sz w:val="18"/>
              </w:rPr>
              <w:t>-0.15</w:t>
            </w:r>
          </w:p>
          <w:p>
            <w:pPr>
              <w:pStyle w:val="TableParagraph"/>
              <w:spacing w:line="206" w:lineRule="exact"/>
              <w:ind w:left="173"/>
              <w:rPr>
                <w:sz w:val="18"/>
              </w:rPr>
            </w:pPr>
            <w:r>
              <w:rPr>
                <w:sz w:val="18"/>
              </w:rPr>
              <w:t>-0.15</w:t>
            </w:r>
          </w:p>
          <w:p>
            <w:pPr>
              <w:pStyle w:val="TableParagraph"/>
              <w:spacing w:line="206" w:lineRule="exact"/>
              <w:ind w:left="173"/>
              <w:rPr>
                <w:sz w:val="18"/>
              </w:rPr>
            </w:pPr>
            <w:r>
              <w:rPr>
                <w:sz w:val="18"/>
              </w:rPr>
              <w:t>-0.15</w:t>
            </w:r>
          </w:p>
          <w:p>
            <w:pPr>
              <w:pStyle w:val="TableParagraph"/>
              <w:spacing w:line="207" w:lineRule="exact"/>
              <w:ind w:left="173"/>
              <w:rPr>
                <w:sz w:val="18"/>
              </w:rPr>
            </w:pPr>
            <w:r>
              <w:rPr>
                <w:sz w:val="18"/>
              </w:rPr>
              <w:t>-0.45</w:t>
            </w:r>
          </w:p>
        </w:tc>
        <w:tc>
          <w:tcPr>
            <w:tcW w:w="744" w:type="dxa"/>
          </w:tcPr>
          <w:p>
            <w:pPr>
              <w:pStyle w:val="TableParagraph"/>
              <w:rPr>
                <w:rFonts w:ascii="Times New Roman"/>
                <w:sz w:val="18"/>
              </w:rPr>
            </w:pPr>
          </w:p>
        </w:tc>
        <w:tc>
          <w:tcPr>
            <w:tcW w:w="742" w:type="dxa"/>
          </w:tcPr>
          <w:p>
            <w:pPr>
              <w:pStyle w:val="TableParagraph"/>
              <w:rPr>
                <w:b/>
                <w:sz w:val="20"/>
              </w:rPr>
            </w:pPr>
          </w:p>
          <w:p>
            <w:pPr>
              <w:pStyle w:val="TableParagraph"/>
              <w:spacing w:before="11"/>
              <w:rPr>
                <w:b/>
                <w:sz w:val="15"/>
              </w:rPr>
            </w:pPr>
          </w:p>
          <w:p>
            <w:pPr>
              <w:pStyle w:val="TableParagraph"/>
              <w:spacing w:line="207" w:lineRule="exact"/>
              <w:ind w:left="202"/>
              <w:rPr>
                <w:sz w:val="18"/>
              </w:rPr>
            </w:pPr>
            <w:r>
              <w:rPr>
                <w:sz w:val="18"/>
              </w:rPr>
              <w:t>0.15</w:t>
            </w:r>
          </w:p>
          <w:p>
            <w:pPr>
              <w:pStyle w:val="TableParagraph"/>
              <w:spacing w:line="206" w:lineRule="exact"/>
              <w:ind w:left="202"/>
              <w:rPr>
                <w:sz w:val="18"/>
              </w:rPr>
            </w:pPr>
            <w:r>
              <w:rPr>
                <w:sz w:val="18"/>
              </w:rPr>
              <w:t>0.15</w:t>
            </w:r>
          </w:p>
          <w:p>
            <w:pPr>
              <w:pStyle w:val="TableParagraph"/>
              <w:spacing w:line="206" w:lineRule="exact"/>
              <w:ind w:left="202"/>
              <w:rPr>
                <w:sz w:val="18"/>
              </w:rPr>
            </w:pPr>
            <w:r>
              <w:rPr>
                <w:sz w:val="18"/>
              </w:rPr>
              <w:t>0.15</w:t>
            </w:r>
          </w:p>
          <w:p>
            <w:pPr>
              <w:pStyle w:val="TableParagraph"/>
              <w:spacing w:line="207" w:lineRule="exact"/>
              <w:ind w:left="202"/>
              <w:rPr>
                <w:sz w:val="18"/>
              </w:rPr>
            </w:pPr>
            <w:r>
              <w:rPr>
                <w:sz w:val="18"/>
              </w:rPr>
              <w:t>0.15</w:t>
            </w:r>
          </w:p>
        </w:tc>
        <w:tc>
          <w:tcPr>
            <w:tcW w:w="744" w:type="dxa"/>
          </w:tcPr>
          <w:p>
            <w:pPr>
              <w:pStyle w:val="TableParagraph"/>
              <w:rPr>
                <w:b/>
                <w:sz w:val="20"/>
              </w:rPr>
            </w:pPr>
          </w:p>
          <w:p>
            <w:pPr>
              <w:pStyle w:val="TableParagraph"/>
              <w:spacing w:before="11"/>
              <w:rPr>
                <w:b/>
                <w:sz w:val="15"/>
              </w:rPr>
            </w:pPr>
          </w:p>
          <w:p>
            <w:pPr>
              <w:pStyle w:val="TableParagraph"/>
              <w:spacing w:line="249" w:lineRule="auto"/>
              <w:ind w:left="319" w:right="282"/>
              <w:jc w:val="both"/>
              <w:rPr>
                <w:sz w:val="18"/>
              </w:rPr>
            </w:pPr>
            <w:r>
              <w:rPr>
                <w:sz w:val="18"/>
              </w:rPr>
              <w:t>V V V</w:t>
            </w:r>
          </w:p>
          <w:p>
            <w:pPr>
              <w:pStyle w:val="TableParagraph"/>
              <w:spacing w:before="5"/>
              <w:ind w:left="34"/>
              <w:jc w:val="center"/>
              <w:rPr>
                <w:sz w:val="18"/>
              </w:rPr>
            </w:pPr>
            <w:r>
              <w:rPr>
                <w:sz w:val="18"/>
              </w:rPr>
              <w:t>V</w:t>
            </w:r>
          </w:p>
        </w:tc>
      </w:tr>
      <w:tr>
        <w:trPr>
          <w:trHeight w:val="858" w:hRule="atLeast"/>
        </w:trPr>
        <w:tc>
          <w:tcPr>
            <w:tcW w:w="3346" w:type="dxa"/>
          </w:tcPr>
          <w:p>
            <w:pPr>
              <w:pStyle w:val="TableParagraph"/>
              <w:spacing w:line="254" w:lineRule="auto"/>
              <w:ind w:left="78" w:right="304"/>
              <w:rPr>
                <w:sz w:val="18"/>
              </w:rPr>
            </w:pPr>
            <w:r>
              <w:rPr>
                <w:rFonts w:ascii="Times New Roman"/>
                <w:i/>
                <w:sz w:val="18"/>
              </w:rPr>
              <w:t>LCD_DAC </w:t>
            </w:r>
            <w:r>
              <w:rPr>
                <w:sz w:val="18"/>
              </w:rPr>
              <w:t>Error. VLCD-VLCDnom Full Scale, with Boost, LCD mode VBAT = 4.0 V, V3P3 = 0 V</w:t>
            </w:r>
          </w:p>
          <w:p>
            <w:pPr>
              <w:pStyle w:val="TableParagraph"/>
              <w:spacing w:line="185" w:lineRule="exact"/>
              <w:ind w:left="179"/>
              <w:rPr>
                <w:sz w:val="18"/>
              </w:rPr>
            </w:pPr>
            <w:r>
              <w:rPr>
                <w:sz w:val="18"/>
              </w:rPr>
              <w:t>VBAT = 2.5 V, V3P3 = 0 V</w:t>
            </w:r>
          </w:p>
        </w:tc>
        <w:tc>
          <w:tcPr>
            <w:tcW w:w="3044" w:type="dxa"/>
          </w:tcPr>
          <w:p>
            <w:pPr>
              <w:pStyle w:val="TableParagraph"/>
              <w:ind w:left="78" w:right="1285"/>
              <w:rPr>
                <w:sz w:val="18"/>
              </w:rPr>
            </w:pPr>
            <w:r>
              <w:rPr>
                <w:rFonts w:ascii="Times New Roman"/>
                <w:i/>
                <w:sz w:val="18"/>
              </w:rPr>
              <w:t>LCD_VMODE </w:t>
            </w:r>
            <w:r>
              <w:rPr>
                <w:sz w:val="18"/>
              </w:rPr>
              <w:t>= 1, </w:t>
            </w:r>
            <w:r>
              <w:rPr>
                <w:rFonts w:ascii="Times New Roman"/>
                <w:i/>
                <w:sz w:val="18"/>
              </w:rPr>
              <w:t>LCD_DAC[4:0] </w:t>
            </w:r>
            <w:r>
              <w:rPr>
                <w:sz w:val="18"/>
              </w:rPr>
              <w:t>= 1F, </w:t>
            </w:r>
            <w:r>
              <w:rPr>
                <w:rFonts w:ascii="Times New Roman"/>
                <w:i/>
                <w:sz w:val="18"/>
              </w:rPr>
              <w:t>LCD_CLK[1:0]</w:t>
            </w:r>
            <w:r>
              <w:rPr>
                <w:sz w:val="18"/>
              </w:rPr>
              <w:t>=2, </w:t>
            </w:r>
            <w:r>
              <w:rPr>
                <w:rFonts w:ascii="Times New Roman"/>
                <w:i/>
                <w:sz w:val="18"/>
              </w:rPr>
              <w:t>LCD_MODE[2:0]</w:t>
            </w:r>
            <w:r>
              <w:rPr>
                <w:sz w:val="18"/>
              </w:rPr>
              <w:t>=6</w:t>
            </w:r>
          </w:p>
        </w:tc>
        <w:tc>
          <w:tcPr>
            <w:tcW w:w="742" w:type="dxa"/>
          </w:tcPr>
          <w:p>
            <w:pPr>
              <w:pStyle w:val="TableParagraph"/>
              <w:rPr>
                <w:b/>
                <w:sz w:val="20"/>
              </w:rPr>
            </w:pPr>
          </w:p>
          <w:p>
            <w:pPr>
              <w:pStyle w:val="TableParagraph"/>
              <w:spacing w:before="11"/>
              <w:rPr>
                <w:b/>
                <w:sz w:val="15"/>
              </w:rPr>
            </w:pPr>
          </w:p>
          <w:p>
            <w:pPr>
              <w:pStyle w:val="TableParagraph"/>
              <w:spacing w:line="207" w:lineRule="exact"/>
              <w:ind w:left="173"/>
              <w:rPr>
                <w:sz w:val="18"/>
              </w:rPr>
            </w:pPr>
            <w:r>
              <w:rPr>
                <w:sz w:val="18"/>
              </w:rPr>
              <w:t>-0.15</w:t>
            </w:r>
          </w:p>
          <w:p>
            <w:pPr>
              <w:pStyle w:val="TableParagraph"/>
              <w:spacing w:line="207" w:lineRule="exact"/>
              <w:ind w:left="224"/>
              <w:rPr>
                <w:sz w:val="18"/>
              </w:rPr>
            </w:pPr>
            <w:r>
              <w:rPr>
                <w:sz w:val="18"/>
              </w:rPr>
              <w:t>-1.3</w:t>
            </w:r>
          </w:p>
        </w:tc>
        <w:tc>
          <w:tcPr>
            <w:tcW w:w="744" w:type="dxa"/>
          </w:tcPr>
          <w:p>
            <w:pPr>
              <w:pStyle w:val="TableParagraph"/>
              <w:rPr>
                <w:rFonts w:ascii="Times New Roman"/>
                <w:sz w:val="18"/>
              </w:rPr>
            </w:pPr>
          </w:p>
        </w:tc>
        <w:tc>
          <w:tcPr>
            <w:tcW w:w="742" w:type="dxa"/>
          </w:tcPr>
          <w:p>
            <w:pPr>
              <w:pStyle w:val="TableParagraph"/>
              <w:rPr>
                <w:b/>
                <w:sz w:val="20"/>
              </w:rPr>
            </w:pPr>
          </w:p>
          <w:p>
            <w:pPr>
              <w:pStyle w:val="TableParagraph"/>
              <w:spacing w:before="11"/>
              <w:rPr>
                <w:b/>
                <w:sz w:val="15"/>
              </w:rPr>
            </w:pPr>
          </w:p>
          <w:p>
            <w:pPr>
              <w:pStyle w:val="TableParagraph"/>
              <w:ind w:left="149" w:right="115"/>
              <w:jc w:val="center"/>
              <w:rPr>
                <w:sz w:val="18"/>
              </w:rPr>
            </w:pPr>
            <w:r>
              <w:rPr>
                <w:sz w:val="18"/>
              </w:rPr>
              <w:t>0.15</w:t>
            </w:r>
          </w:p>
        </w:tc>
        <w:tc>
          <w:tcPr>
            <w:tcW w:w="744" w:type="dxa"/>
          </w:tcPr>
          <w:p>
            <w:pPr>
              <w:pStyle w:val="TableParagraph"/>
              <w:rPr>
                <w:b/>
                <w:sz w:val="20"/>
              </w:rPr>
            </w:pPr>
          </w:p>
          <w:p>
            <w:pPr>
              <w:pStyle w:val="TableParagraph"/>
              <w:spacing w:before="8"/>
              <w:rPr>
                <w:b/>
                <w:sz w:val="15"/>
              </w:rPr>
            </w:pPr>
          </w:p>
          <w:p>
            <w:pPr>
              <w:pStyle w:val="TableParagraph"/>
              <w:spacing w:line="210" w:lineRule="atLeast"/>
              <w:ind w:left="319" w:right="282"/>
              <w:jc w:val="center"/>
              <w:rPr>
                <w:sz w:val="18"/>
              </w:rPr>
            </w:pPr>
            <w:r>
              <w:rPr>
                <w:sz w:val="18"/>
              </w:rPr>
              <w:t>V V</w:t>
            </w:r>
          </w:p>
        </w:tc>
      </w:tr>
      <w:tr>
        <w:trPr>
          <w:trHeight w:val="887" w:hRule="atLeast"/>
        </w:trPr>
        <w:tc>
          <w:tcPr>
            <w:tcW w:w="9362" w:type="dxa"/>
            <w:gridSpan w:val="6"/>
          </w:tcPr>
          <w:p>
            <w:pPr>
              <w:pStyle w:val="TableParagraph"/>
              <w:spacing w:line="201" w:lineRule="exact"/>
              <w:ind w:left="78"/>
              <w:rPr>
                <w:b/>
                <w:sz w:val="18"/>
              </w:rPr>
            </w:pPr>
            <w:r>
              <w:rPr>
                <w:b/>
                <w:sz w:val="18"/>
              </w:rPr>
              <w:t>Note:</w:t>
            </w:r>
          </w:p>
          <w:p>
            <w:pPr>
              <w:pStyle w:val="TableParagraph"/>
              <w:numPr>
                <w:ilvl w:val="0"/>
                <w:numId w:val="37"/>
              </w:numPr>
              <w:tabs>
                <w:tab w:pos="798" w:val="left" w:leader="none"/>
                <w:tab w:pos="799" w:val="left" w:leader="none"/>
              </w:tabs>
              <w:spacing w:line="240" w:lineRule="auto" w:before="4" w:after="0"/>
              <w:ind w:left="798" w:right="0" w:hanging="361"/>
              <w:jc w:val="left"/>
              <w:rPr>
                <w:sz w:val="18"/>
              </w:rPr>
            </w:pPr>
            <w:r>
              <w:rPr>
                <w:sz w:val="18"/>
              </w:rPr>
              <w:t>Guaranteed by design; not production</w:t>
            </w:r>
            <w:r>
              <w:rPr>
                <w:spacing w:val="-2"/>
                <w:sz w:val="18"/>
              </w:rPr>
              <w:t> </w:t>
            </w:r>
            <w:r>
              <w:rPr>
                <w:sz w:val="18"/>
              </w:rPr>
              <w:t>tested.</w:t>
            </w:r>
          </w:p>
          <w:p>
            <w:pPr>
              <w:pStyle w:val="TableParagraph"/>
              <w:numPr>
                <w:ilvl w:val="0"/>
                <w:numId w:val="37"/>
              </w:numPr>
              <w:tabs>
                <w:tab w:pos="799" w:val="left" w:leader="none"/>
              </w:tabs>
              <w:spacing w:line="226" w:lineRule="exact" w:before="2" w:after="0"/>
              <w:ind w:left="798" w:right="0" w:hanging="361"/>
              <w:jc w:val="left"/>
              <w:rPr>
                <w:sz w:val="20"/>
              </w:rPr>
            </w:pPr>
            <w:r>
              <w:rPr>
                <w:sz w:val="18"/>
              </w:rPr>
              <w:t>The</w:t>
            </w:r>
            <w:r>
              <w:rPr>
                <w:spacing w:val="-2"/>
                <w:sz w:val="18"/>
              </w:rPr>
              <w:t> </w:t>
            </w:r>
            <w:r>
              <w:rPr>
                <w:sz w:val="18"/>
              </w:rPr>
              <w:t>following</w:t>
            </w:r>
            <w:r>
              <w:rPr>
                <w:spacing w:val="-1"/>
                <w:sz w:val="18"/>
              </w:rPr>
              <w:t> </w:t>
            </w:r>
            <w:r>
              <w:rPr>
                <w:sz w:val="18"/>
              </w:rPr>
              <w:t>test</w:t>
            </w:r>
            <w:r>
              <w:rPr>
                <w:spacing w:val="-4"/>
                <w:sz w:val="18"/>
              </w:rPr>
              <w:t> </w:t>
            </w:r>
            <w:r>
              <w:rPr>
                <w:sz w:val="18"/>
              </w:rPr>
              <w:t>conditions</w:t>
            </w:r>
            <w:r>
              <w:rPr>
                <w:spacing w:val="-1"/>
                <w:sz w:val="18"/>
              </w:rPr>
              <w:t> </w:t>
            </w:r>
            <w:r>
              <w:rPr>
                <w:sz w:val="18"/>
              </w:rPr>
              <w:t>also</w:t>
            </w:r>
            <w:r>
              <w:rPr>
                <w:spacing w:val="-2"/>
                <w:sz w:val="18"/>
              </w:rPr>
              <w:t> </w:t>
            </w:r>
            <w:r>
              <w:rPr>
                <w:sz w:val="18"/>
              </w:rPr>
              <w:t>apply</w:t>
            </w:r>
            <w:r>
              <w:rPr>
                <w:spacing w:val="-4"/>
                <w:sz w:val="18"/>
              </w:rPr>
              <w:t> </w:t>
            </w:r>
            <w:r>
              <w:rPr>
                <w:sz w:val="18"/>
              </w:rPr>
              <w:t>to</w:t>
            </w:r>
            <w:r>
              <w:rPr>
                <w:spacing w:val="-4"/>
                <w:sz w:val="18"/>
              </w:rPr>
              <w:t> </w:t>
            </w:r>
            <w:r>
              <w:rPr>
                <w:sz w:val="18"/>
              </w:rPr>
              <w:t>all</w:t>
            </w:r>
            <w:r>
              <w:rPr>
                <w:spacing w:val="-4"/>
                <w:sz w:val="18"/>
              </w:rPr>
              <w:t> </w:t>
            </w:r>
            <w:r>
              <w:rPr>
                <w:sz w:val="18"/>
              </w:rPr>
              <w:t>parameters</w:t>
            </w:r>
            <w:r>
              <w:rPr>
                <w:spacing w:val="-3"/>
                <w:sz w:val="18"/>
              </w:rPr>
              <w:t> </w:t>
            </w:r>
            <w:r>
              <w:rPr>
                <w:sz w:val="18"/>
              </w:rPr>
              <w:t>provided</w:t>
            </w:r>
            <w:r>
              <w:rPr>
                <w:spacing w:val="-2"/>
                <w:sz w:val="18"/>
              </w:rPr>
              <w:t> </w:t>
            </w:r>
            <w:r>
              <w:rPr>
                <w:sz w:val="18"/>
              </w:rPr>
              <w:t>in</w:t>
            </w:r>
            <w:r>
              <w:rPr>
                <w:spacing w:val="-4"/>
                <w:sz w:val="18"/>
              </w:rPr>
              <w:t> </w:t>
            </w:r>
            <w:r>
              <w:rPr>
                <w:sz w:val="18"/>
              </w:rPr>
              <w:t>this</w:t>
            </w:r>
            <w:r>
              <w:rPr>
                <w:spacing w:val="-2"/>
                <w:sz w:val="18"/>
              </w:rPr>
              <w:t> </w:t>
            </w:r>
            <w:r>
              <w:rPr>
                <w:sz w:val="18"/>
              </w:rPr>
              <w:t>table:</w:t>
            </w:r>
            <w:r>
              <w:rPr>
                <w:spacing w:val="-2"/>
                <w:sz w:val="18"/>
              </w:rPr>
              <w:t> </w:t>
            </w:r>
            <w:r>
              <w:rPr>
                <w:sz w:val="18"/>
              </w:rPr>
              <w:t>bypass</w:t>
            </w:r>
            <w:r>
              <w:rPr>
                <w:spacing w:val="-3"/>
                <w:sz w:val="18"/>
              </w:rPr>
              <w:t> </w:t>
            </w:r>
            <w:r>
              <w:rPr>
                <w:sz w:val="18"/>
              </w:rPr>
              <w:t>capacitor</w:t>
            </w:r>
            <w:r>
              <w:rPr>
                <w:spacing w:val="-2"/>
                <w:sz w:val="18"/>
              </w:rPr>
              <w:t> </w:t>
            </w:r>
            <w:r>
              <w:rPr>
                <w:sz w:val="18"/>
              </w:rPr>
              <w:t>CVLCD</w:t>
            </w:r>
            <w:r>
              <w:rPr>
                <w:spacing w:val="-2"/>
                <w:sz w:val="18"/>
              </w:rPr>
              <w:t> </w:t>
            </w:r>
            <w:r>
              <w:rPr>
                <w:sz w:val="18"/>
              </w:rPr>
              <w:t>≥</w:t>
            </w:r>
          </w:p>
          <w:p>
            <w:pPr>
              <w:pStyle w:val="TableParagraph"/>
              <w:spacing w:line="203" w:lineRule="exact"/>
              <w:ind w:left="798"/>
              <w:rPr>
                <w:sz w:val="18"/>
              </w:rPr>
            </w:pPr>
            <w:r>
              <w:rPr>
                <w:sz w:val="18"/>
              </w:rPr>
              <w:t>0.1 µF, test load RVLCD = 500 kΩ, no display, all SEGDIO pins configured as DIO.</w:t>
            </w:r>
          </w:p>
        </w:tc>
      </w:tr>
    </w:tbl>
    <w:p>
      <w:pPr>
        <w:spacing w:after="0" w:line="203" w:lineRule="exact"/>
        <w:rPr>
          <w:sz w:val="18"/>
        </w:rPr>
        <w:sectPr>
          <w:pgSz w:w="12240" w:h="15840"/>
          <w:pgMar w:header="727" w:footer="819" w:top="1160" w:bottom="1000" w:left="960" w:right="940"/>
        </w:sectPr>
      </w:pPr>
    </w:p>
    <w:p>
      <w:pPr>
        <w:spacing w:before="88"/>
        <w:ind w:left="480" w:right="0" w:firstLine="0"/>
        <w:jc w:val="left"/>
        <w:rPr>
          <w:b/>
          <w:sz w:val="22"/>
        </w:rPr>
      </w:pPr>
      <w:r>
        <w:rPr/>
        <w:pict>
          <v:group style="position:absolute;margin-left:79.074379pt;margin-top:418.762787pt;width:102.95pt;height:.45pt;mso-position-horizontal-relative:page;mso-position-vertical-relative:page;z-index:-38720000" coordorigin="1581,8375" coordsize="2059,9">
            <v:line style="position:absolute" from="1581,8379" to="3335,8379" stroked="true" strokeweight=".405714pt" strokecolor="#000000">
              <v:stroke dashstyle="solid"/>
            </v:line>
            <v:line style="position:absolute" from="3367,8379" to="3640,8379" stroked="true" strokeweight=".405714pt" strokecolor="#000000">
              <v:stroke dashstyle="solid"/>
            </v:line>
            <w10:wrap type="none"/>
          </v:group>
        </w:pict>
      </w:r>
      <w:bookmarkStart w:name="6.4.14 71M6543 VREF" w:id="567"/>
      <w:bookmarkEnd w:id="567"/>
      <w:r>
        <w:rPr/>
      </w:r>
      <w:bookmarkStart w:name="_bookmark277" w:id="568"/>
      <w:bookmarkEnd w:id="568"/>
      <w:r>
        <w:rPr/>
      </w:r>
      <w:r>
        <w:rPr>
          <w:b/>
          <w:sz w:val="22"/>
        </w:rPr>
        <w:t>6.4.14 71M6543 VREF</w:t>
      </w:r>
    </w:p>
    <w:p>
      <w:pPr>
        <w:pStyle w:val="BodyText"/>
        <w:spacing w:before="121"/>
        <w:ind w:left="480"/>
      </w:pPr>
      <w:hyperlink w:history="true" w:anchor="_bookmark278">
        <w:r>
          <w:rPr>
            <w:color w:val="0000FF"/>
          </w:rPr>
          <w:t>Table 102 </w:t>
        </w:r>
      </w:hyperlink>
      <w:r>
        <w:rPr/>
        <w:t>shows the performance specifications for the 71M6543 ADC reference voltage (VREF).</w:t>
      </w:r>
    </w:p>
    <w:p>
      <w:pPr>
        <w:pStyle w:val="Heading1"/>
        <w:spacing w:before="118"/>
        <w:ind w:left="779" w:right="797"/>
      </w:pPr>
      <w:bookmarkStart w:name="_bookmark278" w:id="569"/>
      <w:bookmarkEnd w:id="569"/>
      <w:r>
        <w:rPr>
          <w:b w:val="0"/>
        </w:rPr>
      </w:r>
      <w:r>
        <w:rPr/>
        <w:t>Table 102: 71M6543 VREF Performance Specifications</w:t>
      </w:r>
    </w:p>
    <w:p>
      <w:pPr>
        <w:pStyle w:val="BodyText"/>
        <w:spacing w:before="8"/>
        <w:rPr>
          <w:b/>
          <w:sz w:val="5"/>
        </w:rPr>
      </w:pPr>
    </w:p>
    <w:tbl>
      <w:tblPr>
        <w:tblW w:w="0" w:type="auto"/>
        <w:jc w:val="left"/>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60"/>
        <w:gridCol w:w="2818"/>
        <w:gridCol w:w="893"/>
        <w:gridCol w:w="804"/>
        <w:gridCol w:w="886"/>
        <w:gridCol w:w="900"/>
      </w:tblGrid>
      <w:tr>
        <w:trPr>
          <w:trHeight w:val="308" w:hRule="atLeast"/>
        </w:trPr>
        <w:tc>
          <w:tcPr>
            <w:tcW w:w="3060" w:type="dxa"/>
          </w:tcPr>
          <w:p>
            <w:pPr>
              <w:pStyle w:val="TableParagraph"/>
              <w:spacing w:before="35"/>
              <w:ind w:left="107"/>
              <w:rPr>
                <w:b/>
                <w:sz w:val="20"/>
              </w:rPr>
            </w:pPr>
            <w:r>
              <w:rPr>
                <w:b/>
                <w:sz w:val="20"/>
              </w:rPr>
              <w:t>Parameter</w:t>
            </w:r>
          </w:p>
        </w:tc>
        <w:tc>
          <w:tcPr>
            <w:tcW w:w="2818" w:type="dxa"/>
          </w:tcPr>
          <w:p>
            <w:pPr>
              <w:pStyle w:val="TableParagraph"/>
              <w:spacing w:before="35"/>
              <w:ind w:left="940"/>
              <w:rPr>
                <w:b/>
                <w:sz w:val="20"/>
              </w:rPr>
            </w:pPr>
            <w:r>
              <w:rPr>
                <w:b/>
                <w:sz w:val="20"/>
              </w:rPr>
              <w:t>Condition</w:t>
            </w:r>
          </w:p>
        </w:tc>
        <w:tc>
          <w:tcPr>
            <w:tcW w:w="893" w:type="dxa"/>
          </w:tcPr>
          <w:p>
            <w:pPr>
              <w:pStyle w:val="TableParagraph"/>
              <w:spacing w:before="35"/>
              <w:ind w:left="105" w:right="90"/>
              <w:jc w:val="center"/>
              <w:rPr>
                <w:b/>
                <w:sz w:val="20"/>
              </w:rPr>
            </w:pPr>
            <w:r>
              <w:rPr>
                <w:b/>
                <w:sz w:val="20"/>
              </w:rPr>
              <w:t>Min</w:t>
            </w:r>
          </w:p>
        </w:tc>
        <w:tc>
          <w:tcPr>
            <w:tcW w:w="804" w:type="dxa"/>
          </w:tcPr>
          <w:p>
            <w:pPr>
              <w:pStyle w:val="TableParagraph"/>
              <w:spacing w:before="35"/>
              <w:ind w:left="125" w:right="114"/>
              <w:jc w:val="center"/>
              <w:rPr>
                <w:b/>
                <w:sz w:val="20"/>
              </w:rPr>
            </w:pPr>
            <w:r>
              <w:rPr>
                <w:b/>
                <w:sz w:val="20"/>
              </w:rPr>
              <w:t>Typ</w:t>
            </w:r>
          </w:p>
        </w:tc>
        <w:tc>
          <w:tcPr>
            <w:tcW w:w="886" w:type="dxa"/>
          </w:tcPr>
          <w:p>
            <w:pPr>
              <w:pStyle w:val="TableParagraph"/>
              <w:spacing w:before="35"/>
              <w:ind w:right="226"/>
              <w:jc w:val="right"/>
              <w:rPr>
                <w:b/>
                <w:sz w:val="20"/>
              </w:rPr>
            </w:pPr>
            <w:r>
              <w:rPr>
                <w:b/>
                <w:sz w:val="20"/>
              </w:rPr>
              <w:t>Max</w:t>
            </w:r>
          </w:p>
        </w:tc>
        <w:tc>
          <w:tcPr>
            <w:tcW w:w="900" w:type="dxa"/>
          </w:tcPr>
          <w:p>
            <w:pPr>
              <w:pStyle w:val="TableParagraph"/>
              <w:spacing w:before="35"/>
              <w:ind w:left="89" w:right="76"/>
              <w:jc w:val="center"/>
              <w:rPr>
                <w:b/>
                <w:sz w:val="20"/>
              </w:rPr>
            </w:pPr>
            <w:r>
              <w:rPr>
                <w:b/>
                <w:sz w:val="20"/>
              </w:rPr>
              <w:t>Unit</w:t>
            </w:r>
          </w:p>
        </w:tc>
      </w:tr>
      <w:tr>
        <w:trPr>
          <w:trHeight w:val="500" w:hRule="atLeast"/>
        </w:trPr>
        <w:tc>
          <w:tcPr>
            <w:tcW w:w="3060" w:type="dxa"/>
          </w:tcPr>
          <w:p>
            <w:pPr>
              <w:pStyle w:val="TableParagraph"/>
              <w:spacing w:before="18"/>
              <w:ind w:left="107" w:right="223"/>
              <w:rPr>
                <w:sz w:val="20"/>
              </w:rPr>
            </w:pPr>
            <w:r>
              <w:rPr>
                <w:sz w:val="20"/>
              </w:rPr>
              <w:t>VREF output voltage, VREF(22)</w:t>
            </w:r>
          </w:p>
        </w:tc>
        <w:tc>
          <w:tcPr>
            <w:tcW w:w="2818" w:type="dxa"/>
          </w:tcPr>
          <w:p>
            <w:pPr>
              <w:pStyle w:val="TableParagraph"/>
              <w:spacing w:before="18"/>
              <w:ind w:left="107"/>
              <w:rPr>
                <w:sz w:val="20"/>
              </w:rPr>
            </w:pPr>
            <w:r>
              <w:rPr>
                <w:sz w:val="20"/>
              </w:rPr>
              <w:t>T</w:t>
            </w:r>
            <w:r>
              <w:rPr>
                <w:sz w:val="20"/>
                <w:vertAlign w:val="subscript"/>
              </w:rPr>
              <w:t>A</w:t>
            </w:r>
            <w:r>
              <w:rPr>
                <w:sz w:val="20"/>
                <w:vertAlign w:val="baseline"/>
              </w:rPr>
              <w:t> = 22 ºC</w:t>
            </w:r>
          </w:p>
        </w:tc>
        <w:tc>
          <w:tcPr>
            <w:tcW w:w="893" w:type="dxa"/>
          </w:tcPr>
          <w:p>
            <w:pPr>
              <w:pStyle w:val="TableParagraph"/>
              <w:spacing w:before="133"/>
              <w:ind w:left="105" w:right="92"/>
              <w:jc w:val="center"/>
              <w:rPr>
                <w:sz w:val="20"/>
              </w:rPr>
            </w:pPr>
            <w:r>
              <w:rPr>
                <w:sz w:val="20"/>
              </w:rPr>
              <w:t>1.193</w:t>
            </w:r>
          </w:p>
        </w:tc>
        <w:tc>
          <w:tcPr>
            <w:tcW w:w="804" w:type="dxa"/>
          </w:tcPr>
          <w:p>
            <w:pPr>
              <w:pStyle w:val="TableParagraph"/>
              <w:spacing w:before="133"/>
              <w:ind w:left="129" w:right="114"/>
              <w:jc w:val="center"/>
              <w:rPr>
                <w:sz w:val="20"/>
              </w:rPr>
            </w:pPr>
            <w:r>
              <w:rPr>
                <w:sz w:val="20"/>
              </w:rPr>
              <w:t>1.195</w:t>
            </w:r>
          </w:p>
        </w:tc>
        <w:tc>
          <w:tcPr>
            <w:tcW w:w="886" w:type="dxa"/>
          </w:tcPr>
          <w:p>
            <w:pPr>
              <w:pStyle w:val="TableParagraph"/>
              <w:spacing w:before="133"/>
              <w:ind w:right="173"/>
              <w:jc w:val="right"/>
              <w:rPr>
                <w:sz w:val="20"/>
              </w:rPr>
            </w:pPr>
            <w:r>
              <w:rPr>
                <w:sz w:val="20"/>
              </w:rPr>
              <w:t>1.197</w:t>
            </w:r>
          </w:p>
        </w:tc>
        <w:tc>
          <w:tcPr>
            <w:tcW w:w="900" w:type="dxa"/>
          </w:tcPr>
          <w:p>
            <w:pPr>
              <w:pStyle w:val="TableParagraph"/>
              <w:spacing w:before="133"/>
              <w:ind w:left="13"/>
              <w:jc w:val="center"/>
              <w:rPr>
                <w:sz w:val="20"/>
              </w:rPr>
            </w:pPr>
            <w:r>
              <w:rPr>
                <w:w w:val="99"/>
                <w:sz w:val="20"/>
              </w:rPr>
              <w:t>V</w:t>
            </w:r>
          </w:p>
        </w:tc>
      </w:tr>
      <w:tr>
        <w:trPr>
          <w:trHeight w:val="500" w:hRule="atLeast"/>
        </w:trPr>
        <w:tc>
          <w:tcPr>
            <w:tcW w:w="3060" w:type="dxa"/>
          </w:tcPr>
          <w:p>
            <w:pPr>
              <w:pStyle w:val="TableParagraph"/>
              <w:spacing w:before="18"/>
              <w:ind w:left="107" w:right="223"/>
              <w:rPr>
                <w:sz w:val="20"/>
              </w:rPr>
            </w:pPr>
            <w:r>
              <w:rPr>
                <w:sz w:val="20"/>
              </w:rPr>
              <w:t>VREF output voltage, VREF(22)</w:t>
            </w:r>
          </w:p>
        </w:tc>
        <w:tc>
          <w:tcPr>
            <w:tcW w:w="2818" w:type="dxa"/>
          </w:tcPr>
          <w:p>
            <w:pPr>
              <w:pStyle w:val="TableParagraph"/>
              <w:spacing w:before="16"/>
              <w:ind w:left="107"/>
              <w:rPr>
                <w:sz w:val="20"/>
              </w:rPr>
            </w:pPr>
            <w:r>
              <w:rPr>
                <w:rFonts w:ascii="Times New Roman"/>
                <w:i/>
                <w:sz w:val="20"/>
              </w:rPr>
              <w:t>PLL_FAST</w:t>
            </w:r>
            <w:r>
              <w:rPr>
                <w:sz w:val="20"/>
              </w:rPr>
              <w:t>=0</w:t>
            </w:r>
          </w:p>
        </w:tc>
        <w:tc>
          <w:tcPr>
            <w:tcW w:w="893" w:type="dxa"/>
          </w:tcPr>
          <w:p>
            <w:pPr>
              <w:pStyle w:val="TableParagraph"/>
              <w:rPr>
                <w:rFonts w:ascii="Times New Roman"/>
                <w:sz w:val="20"/>
              </w:rPr>
            </w:pPr>
          </w:p>
        </w:tc>
        <w:tc>
          <w:tcPr>
            <w:tcW w:w="804" w:type="dxa"/>
          </w:tcPr>
          <w:p>
            <w:pPr>
              <w:pStyle w:val="TableParagraph"/>
              <w:spacing w:before="133"/>
              <w:ind w:left="129" w:right="114"/>
              <w:jc w:val="center"/>
              <w:rPr>
                <w:sz w:val="20"/>
              </w:rPr>
            </w:pPr>
            <w:r>
              <w:rPr>
                <w:sz w:val="20"/>
              </w:rPr>
              <w:t>1.195</w:t>
            </w:r>
          </w:p>
        </w:tc>
        <w:tc>
          <w:tcPr>
            <w:tcW w:w="886" w:type="dxa"/>
          </w:tcPr>
          <w:p>
            <w:pPr>
              <w:pStyle w:val="TableParagraph"/>
              <w:rPr>
                <w:rFonts w:ascii="Times New Roman"/>
                <w:sz w:val="20"/>
              </w:rPr>
            </w:pPr>
          </w:p>
        </w:tc>
        <w:tc>
          <w:tcPr>
            <w:tcW w:w="900" w:type="dxa"/>
          </w:tcPr>
          <w:p>
            <w:pPr>
              <w:pStyle w:val="TableParagraph"/>
              <w:spacing w:before="133"/>
              <w:ind w:left="13"/>
              <w:jc w:val="center"/>
              <w:rPr>
                <w:sz w:val="20"/>
              </w:rPr>
            </w:pPr>
            <w:r>
              <w:rPr>
                <w:w w:val="99"/>
                <w:sz w:val="20"/>
              </w:rPr>
              <w:t>V</w:t>
            </w:r>
          </w:p>
        </w:tc>
      </w:tr>
      <w:tr>
        <w:trPr>
          <w:trHeight w:val="498" w:hRule="atLeast"/>
        </w:trPr>
        <w:tc>
          <w:tcPr>
            <w:tcW w:w="3060" w:type="dxa"/>
          </w:tcPr>
          <w:p>
            <w:pPr>
              <w:pStyle w:val="TableParagraph"/>
              <w:spacing w:before="131"/>
              <w:ind w:left="107"/>
              <w:rPr>
                <w:sz w:val="20"/>
              </w:rPr>
            </w:pPr>
            <w:r>
              <w:rPr>
                <w:sz w:val="20"/>
              </w:rPr>
              <w:t>VREF chop step, trimmed</w:t>
            </w:r>
          </w:p>
        </w:tc>
        <w:tc>
          <w:tcPr>
            <w:tcW w:w="2818" w:type="dxa"/>
          </w:tcPr>
          <w:p>
            <w:pPr>
              <w:pStyle w:val="TableParagraph"/>
              <w:spacing w:before="16"/>
              <w:ind w:left="107" w:right="914"/>
              <w:rPr>
                <w:sz w:val="20"/>
              </w:rPr>
            </w:pPr>
            <w:r>
              <w:rPr>
                <w:sz w:val="20"/>
              </w:rPr>
              <w:t>VREF(CHOP=01) − VREF(CHOP=10)</w:t>
            </w:r>
          </w:p>
        </w:tc>
        <w:tc>
          <w:tcPr>
            <w:tcW w:w="893" w:type="dxa"/>
          </w:tcPr>
          <w:p>
            <w:pPr>
              <w:pStyle w:val="TableParagraph"/>
              <w:spacing w:before="131"/>
              <w:ind w:left="105" w:right="87"/>
              <w:jc w:val="center"/>
              <w:rPr>
                <w:sz w:val="20"/>
              </w:rPr>
            </w:pPr>
            <w:r>
              <w:rPr>
                <w:sz w:val="20"/>
              </w:rPr>
              <w:t>-10</w:t>
            </w:r>
          </w:p>
        </w:tc>
        <w:tc>
          <w:tcPr>
            <w:tcW w:w="804" w:type="dxa"/>
          </w:tcPr>
          <w:p>
            <w:pPr>
              <w:pStyle w:val="TableParagraph"/>
              <w:rPr>
                <w:rFonts w:ascii="Times New Roman"/>
                <w:sz w:val="20"/>
              </w:rPr>
            </w:pPr>
          </w:p>
        </w:tc>
        <w:tc>
          <w:tcPr>
            <w:tcW w:w="886" w:type="dxa"/>
          </w:tcPr>
          <w:p>
            <w:pPr>
              <w:pStyle w:val="TableParagraph"/>
              <w:spacing w:before="131"/>
              <w:ind w:left="309" w:right="294"/>
              <w:jc w:val="center"/>
              <w:rPr>
                <w:sz w:val="20"/>
              </w:rPr>
            </w:pPr>
            <w:r>
              <w:rPr>
                <w:sz w:val="20"/>
              </w:rPr>
              <w:t>10</w:t>
            </w:r>
          </w:p>
        </w:tc>
        <w:tc>
          <w:tcPr>
            <w:tcW w:w="900" w:type="dxa"/>
          </w:tcPr>
          <w:p>
            <w:pPr>
              <w:pStyle w:val="TableParagraph"/>
              <w:spacing w:before="131"/>
              <w:ind w:left="93" w:right="69"/>
              <w:jc w:val="center"/>
              <w:rPr>
                <w:sz w:val="20"/>
              </w:rPr>
            </w:pPr>
            <w:r>
              <w:rPr>
                <w:sz w:val="20"/>
              </w:rPr>
              <w:t>mV</w:t>
            </w:r>
          </w:p>
        </w:tc>
      </w:tr>
      <w:tr>
        <w:trPr>
          <w:trHeight w:val="500" w:hRule="atLeast"/>
        </w:trPr>
        <w:tc>
          <w:tcPr>
            <w:tcW w:w="3060" w:type="dxa"/>
          </w:tcPr>
          <w:p>
            <w:pPr>
              <w:pStyle w:val="TableParagraph"/>
              <w:spacing w:before="18"/>
              <w:ind w:left="496" w:right="223" w:hanging="389"/>
              <w:rPr>
                <w:sz w:val="20"/>
              </w:rPr>
            </w:pPr>
            <w:r>
              <w:rPr>
                <w:sz w:val="20"/>
              </w:rPr>
              <w:t>VREF power supply sensitivity ΔVREF / ΔV3P3A</w:t>
            </w:r>
          </w:p>
        </w:tc>
        <w:tc>
          <w:tcPr>
            <w:tcW w:w="2818" w:type="dxa"/>
          </w:tcPr>
          <w:p>
            <w:pPr>
              <w:pStyle w:val="TableParagraph"/>
              <w:spacing w:before="133"/>
              <w:ind w:left="107"/>
              <w:rPr>
                <w:sz w:val="20"/>
              </w:rPr>
            </w:pPr>
            <w:r>
              <w:rPr>
                <w:sz w:val="20"/>
              </w:rPr>
              <w:t>V3P3A = 3.0 to 3.6 V</w:t>
            </w:r>
          </w:p>
        </w:tc>
        <w:tc>
          <w:tcPr>
            <w:tcW w:w="893" w:type="dxa"/>
          </w:tcPr>
          <w:p>
            <w:pPr>
              <w:pStyle w:val="TableParagraph"/>
              <w:spacing w:before="133"/>
              <w:ind w:left="105" w:right="90"/>
              <w:jc w:val="center"/>
              <w:rPr>
                <w:sz w:val="20"/>
              </w:rPr>
            </w:pPr>
            <w:r>
              <w:rPr>
                <w:sz w:val="20"/>
              </w:rPr>
              <w:t>-1.5</w:t>
            </w:r>
          </w:p>
        </w:tc>
        <w:tc>
          <w:tcPr>
            <w:tcW w:w="804" w:type="dxa"/>
          </w:tcPr>
          <w:p>
            <w:pPr>
              <w:pStyle w:val="TableParagraph"/>
              <w:rPr>
                <w:rFonts w:ascii="Times New Roman"/>
                <w:sz w:val="20"/>
              </w:rPr>
            </w:pPr>
          </w:p>
        </w:tc>
        <w:tc>
          <w:tcPr>
            <w:tcW w:w="886" w:type="dxa"/>
          </w:tcPr>
          <w:p>
            <w:pPr>
              <w:pStyle w:val="TableParagraph"/>
              <w:spacing w:before="133"/>
              <w:ind w:left="301"/>
              <w:rPr>
                <w:sz w:val="20"/>
              </w:rPr>
            </w:pPr>
            <w:r>
              <w:rPr>
                <w:sz w:val="20"/>
              </w:rPr>
              <w:t>1.5</w:t>
            </w:r>
          </w:p>
        </w:tc>
        <w:tc>
          <w:tcPr>
            <w:tcW w:w="900" w:type="dxa"/>
          </w:tcPr>
          <w:p>
            <w:pPr>
              <w:pStyle w:val="TableParagraph"/>
              <w:spacing w:before="133"/>
              <w:ind w:left="91" w:right="76"/>
              <w:jc w:val="center"/>
              <w:rPr>
                <w:sz w:val="20"/>
              </w:rPr>
            </w:pPr>
            <w:r>
              <w:rPr>
                <w:sz w:val="20"/>
              </w:rPr>
              <w:t>mV/V</w:t>
            </w:r>
          </w:p>
        </w:tc>
      </w:tr>
      <w:tr>
        <w:trPr>
          <w:trHeight w:val="500" w:hRule="atLeast"/>
        </w:trPr>
        <w:tc>
          <w:tcPr>
            <w:tcW w:w="3060" w:type="dxa"/>
          </w:tcPr>
          <w:p>
            <w:pPr>
              <w:pStyle w:val="TableParagraph"/>
              <w:spacing w:before="133"/>
              <w:ind w:left="107"/>
              <w:rPr>
                <w:sz w:val="20"/>
              </w:rPr>
            </w:pPr>
            <w:r>
              <w:rPr>
                <w:sz w:val="20"/>
              </w:rPr>
              <w:t>VREF input impedance</w:t>
            </w:r>
          </w:p>
        </w:tc>
        <w:tc>
          <w:tcPr>
            <w:tcW w:w="2818" w:type="dxa"/>
          </w:tcPr>
          <w:p>
            <w:pPr>
              <w:pStyle w:val="TableParagraph"/>
              <w:spacing w:before="16"/>
              <w:ind w:left="107"/>
              <w:rPr>
                <w:sz w:val="20"/>
              </w:rPr>
            </w:pPr>
            <w:r>
              <w:rPr>
                <w:rFonts w:ascii="Times New Roman"/>
                <w:i/>
                <w:sz w:val="20"/>
              </w:rPr>
              <w:t>VREF_DIS </w:t>
            </w:r>
            <w:r>
              <w:rPr>
                <w:sz w:val="20"/>
              </w:rPr>
              <w:t>= 1,</w:t>
            </w:r>
          </w:p>
          <w:p>
            <w:pPr>
              <w:pStyle w:val="TableParagraph"/>
              <w:spacing w:before="2"/>
              <w:ind w:left="107"/>
              <w:rPr>
                <w:sz w:val="20"/>
              </w:rPr>
            </w:pPr>
            <w:r>
              <w:rPr>
                <w:sz w:val="20"/>
              </w:rPr>
              <w:t>VREF = 1.3 V to 1.7 V</w:t>
            </w:r>
          </w:p>
        </w:tc>
        <w:tc>
          <w:tcPr>
            <w:tcW w:w="893" w:type="dxa"/>
          </w:tcPr>
          <w:p>
            <w:pPr>
              <w:pStyle w:val="TableParagraph"/>
              <w:spacing w:before="133"/>
              <w:ind w:left="105" w:right="92"/>
              <w:jc w:val="center"/>
              <w:rPr>
                <w:sz w:val="20"/>
              </w:rPr>
            </w:pPr>
            <w:r>
              <w:rPr>
                <w:sz w:val="20"/>
              </w:rPr>
              <w:t>100</w:t>
            </w:r>
          </w:p>
        </w:tc>
        <w:tc>
          <w:tcPr>
            <w:tcW w:w="804" w:type="dxa"/>
          </w:tcPr>
          <w:p>
            <w:pPr>
              <w:pStyle w:val="TableParagraph"/>
              <w:rPr>
                <w:rFonts w:ascii="Times New Roman"/>
                <w:sz w:val="20"/>
              </w:rPr>
            </w:pPr>
          </w:p>
        </w:tc>
        <w:tc>
          <w:tcPr>
            <w:tcW w:w="886" w:type="dxa"/>
          </w:tcPr>
          <w:p>
            <w:pPr>
              <w:pStyle w:val="TableParagraph"/>
              <w:rPr>
                <w:rFonts w:ascii="Times New Roman"/>
                <w:sz w:val="20"/>
              </w:rPr>
            </w:pPr>
          </w:p>
        </w:tc>
        <w:tc>
          <w:tcPr>
            <w:tcW w:w="900" w:type="dxa"/>
          </w:tcPr>
          <w:p>
            <w:pPr>
              <w:pStyle w:val="TableParagraph"/>
              <w:spacing w:before="133"/>
              <w:ind w:left="93" w:right="73"/>
              <w:jc w:val="center"/>
              <w:rPr>
                <w:sz w:val="20"/>
              </w:rPr>
            </w:pPr>
            <w:r>
              <w:rPr>
                <w:sz w:val="20"/>
              </w:rPr>
              <w:t>kΩ</w:t>
            </w:r>
          </w:p>
        </w:tc>
      </w:tr>
      <w:tr>
        <w:trPr>
          <w:trHeight w:val="500" w:hRule="atLeast"/>
        </w:trPr>
        <w:tc>
          <w:tcPr>
            <w:tcW w:w="3060" w:type="dxa"/>
          </w:tcPr>
          <w:p>
            <w:pPr>
              <w:pStyle w:val="TableParagraph"/>
              <w:spacing w:before="133"/>
              <w:ind w:left="107"/>
              <w:rPr>
                <w:sz w:val="20"/>
              </w:rPr>
            </w:pPr>
            <w:r>
              <w:rPr>
                <w:sz w:val="20"/>
              </w:rPr>
              <w:t>VREF output impedance</w:t>
            </w:r>
          </w:p>
        </w:tc>
        <w:tc>
          <w:tcPr>
            <w:tcW w:w="2818" w:type="dxa"/>
          </w:tcPr>
          <w:p>
            <w:pPr>
              <w:pStyle w:val="TableParagraph"/>
              <w:spacing w:before="16"/>
              <w:ind w:left="107"/>
              <w:rPr>
                <w:sz w:val="20"/>
              </w:rPr>
            </w:pPr>
            <w:r>
              <w:rPr>
                <w:rFonts w:ascii="Times New Roman"/>
                <w:i/>
                <w:sz w:val="20"/>
              </w:rPr>
              <w:t>VREF_CAL </w:t>
            </w:r>
            <w:r>
              <w:rPr>
                <w:sz w:val="20"/>
              </w:rPr>
              <w:t>= 1,</w:t>
            </w:r>
          </w:p>
          <w:p>
            <w:pPr>
              <w:pStyle w:val="TableParagraph"/>
              <w:spacing w:before="2"/>
              <w:ind w:left="107"/>
              <w:rPr>
                <w:sz w:val="20"/>
              </w:rPr>
            </w:pPr>
            <w:r>
              <w:rPr>
                <w:sz w:val="20"/>
              </w:rPr>
              <w:t>I</w:t>
            </w:r>
            <w:r>
              <w:rPr>
                <w:sz w:val="16"/>
              </w:rPr>
              <w:t>LOAD </w:t>
            </w:r>
            <w:r>
              <w:rPr>
                <w:sz w:val="20"/>
              </w:rPr>
              <w:t>= 10 µA, -10 µA</w:t>
            </w:r>
          </w:p>
        </w:tc>
        <w:tc>
          <w:tcPr>
            <w:tcW w:w="893" w:type="dxa"/>
          </w:tcPr>
          <w:p>
            <w:pPr>
              <w:pStyle w:val="TableParagraph"/>
              <w:rPr>
                <w:rFonts w:ascii="Times New Roman"/>
                <w:sz w:val="20"/>
              </w:rPr>
            </w:pPr>
          </w:p>
        </w:tc>
        <w:tc>
          <w:tcPr>
            <w:tcW w:w="804" w:type="dxa"/>
          </w:tcPr>
          <w:p>
            <w:pPr>
              <w:pStyle w:val="TableParagraph"/>
              <w:rPr>
                <w:rFonts w:ascii="Times New Roman"/>
                <w:sz w:val="20"/>
              </w:rPr>
            </w:pPr>
          </w:p>
        </w:tc>
        <w:tc>
          <w:tcPr>
            <w:tcW w:w="886" w:type="dxa"/>
          </w:tcPr>
          <w:p>
            <w:pPr>
              <w:pStyle w:val="TableParagraph"/>
              <w:spacing w:before="133"/>
              <w:ind w:left="301"/>
              <w:rPr>
                <w:sz w:val="20"/>
              </w:rPr>
            </w:pPr>
            <w:r>
              <w:rPr>
                <w:sz w:val="20"/>
              </w:rPr>
              <w:t>3.2</w:t>
            </w:r>
          </w:p>
        </w:tc>
        <w:tc>
          <w:tcPr>
            <w:tcW w:w="900" w:type="dxa"/>
          </w:tcPr>
          <w:p>
            <w:pPr>
              <w:pStyle w:val="TableParagraph"/>
              <w:spacing w:before="133"/>
              <w:ind w:left="93" w:right="72"/>
              <w:jc w:val="center"/>
              <w:rPr>
                <w:sz w:val="20"/>
              </w:rPr>
            </w:pPr>
            <w:r>
              <w:rPr>
                <w:sz w:val="20"/>
              </w:rPr>
              <w:t>kΩ</w:t>
            </w:r>
          </w:p>
        </w:tc>
      </w:tr>
      <w:tr>
        <w:trPr>
          <w:trHeight w:val="385" w:hRule="atLeast"/>
        </w:trPr>
        <w:tc>
          <w:tcPr>
            <w:tcW w:w="3060" w:type="dxa"/>
          </w:tcPr>
          <w:p>
            <w:pPr>
              <w:pStyle w:val="TableParagraph"/>
              <w:spacing w:before="76"/>
              <w:ind w:left="107"/>
              <w:rPr>
                <w:sz w:val="20"/>
              </w:rPr>
            </w:pPr>
            <w:r>
              <w:rPr>
                <w:sz w:val="20"/>
              </w:rPr>
              <w:t>VNOM definition (see note 2)</w:t>
            </w:r>
          </w:p>
        </w:tc>
        <w:tc>
          <w:tcPr>
            <w:tcW w:w="5401" w:type="dxa"/>
            <w:gridSpan w:val="4"/>
          </w:tcPr>
          <w:p>
            <w:pPr>
              <w:pStyle w:val="TableParagraph"/>
              <w:spacing w:before="38"/>
              <w:ind w:left="121"/>
              <w:rPr>
                <w:rFonts w:ascii="Times New Roman" w:hAnsi="Times New Roman"/>
                <w:sz w:val="23"/>
              </w:rPr>
            </w:pPr>
            <w:r>
              <w:rPr>
                <w:rFonts w:ascii="Times New Roman" w:hAnsi="Times New Roman"/>
                <w:i/>
                <w:sz w:val="23"/>
              </w:rPr>
              <w:t>VNOM </w:t>
            </w:r>
            <w:r>
              <w:rPr>
                <w:rFonts w:ascii="Times New Roman" w:hAnsi="Times New Roman"/>
                <w:spacing w:val="-5"/>
                <w:sz w:val="23"/>
              </w:rPr>
              <w:t>(</w:t>
            </w:r>
            <w:r>
              <w:rPr>
                <w:rFonts w:ascii="Times New Roman" w:hAnsi="Times New Roman"/>
                <w:i/>
                <w:spacing w:val="-5"/>
                <w:sz w:val="23"/>
              </w:rPr>
              <w:t>T </w:t>
            </w:r>
            <w:r>
              <w:rPr>
                <w:rFonts w:ascii="Times New Roman" w:hAnsi="Times New Roman"/>
                <w:sz w:val="23"/>
              </w:rPr>
              <w:t>) </w:t>
            </w:r>
            <w:r>
              <w:rPr>
                <w:rFonts w:ascii="Symbol" w:hAnsi="Symbol"/>
                <w:sz w:val="23"/>
              </w:rPr>
              <w:t></w:t>
            </w:r>
            <w:r>
              <w:rPr>
                <w:rFonts w:ascii="Times New Roman" w:hAnsi="Times New Roman"/>
                <w:sz w:val="23"/>
              </w:rPr>
              <w:t> </w:t>
            </w:r>
            <w:r>
              <w:rPr>
                <w:rFonts w:ascii="Times New Roman" w:hAnsi="Times New Roman"/>
                <w:i/>
                <w:sz w:val="23"/>
              </w:rPr>
              <w:t>VREF </w:t>
            </w:r>
            <w:r>
              <w:rPr>
                <w:rFonts w:ascii="Times New Roman" w:hAnsi="Times New Roman"/>
                <w:sz w:val="23"/>
              </w:rPr>
              <w:t>(22) </w:t>
            </w:r>
            <w:r>
              <w:rPr>
                <w:rFonts w:ascii="Symbol" w:hAnsi="Symbol"/>
                <w:sz w:val="23"/>
              </w:rPr>
              <w:t></w:t>
            </w:r>
            <w:r>
              <w:rPr>
                <w:rFonts w:ascii="Times New Roman" w:hAnsi="Times New Roman"/>
                <w:sz w:val="23"/>
              </w:rPr>
              <w:t> </w:t>
            </w:r>
            <w:r>
              <w:rPr>
                <w:rFonts w:ascii="Times New Roman" w:hAnsi="Times New Roman"/>
                <w:spacing w:val="-5"/>
                <w:sz w:val="23"/>
              </w:rPr>
              <w:t>(</w:t>
            </w:r>
            <w:r>
              <w:rPr>
                <w:rFonts w:ascii="Times New Roman" w:hAnsi="Times New Roman"/>
                <w:i/>
                <w:spacing w:val="-5"/>
                <w:sz w:val="23"/>
              </w:rPr>
              <w:t>T </w:t>
            </w:r>
            <w:r>
              <w:rPr>
                <w:rFonts w:ascii="Symbol" w:hAnsi="Symbol"/>
                <w:sz w:val="23"/>
              </w:rPr>
              <w:t></w:t>
            </w:r>
            <w:r>
              <w:rPr>
                <w:rFonts w:ascii="Times New Roman" w:hAnsi="Times New Roman"/>
                <w:sz w:val="23"/>
              </w:rPr>
              <w:t> 22)</w:t>
            </w:r>
            <w:r>
              <w:rPr>
                <w:rFonts w:ascii="Times New Roman" w:hAnsi="Times New Roman"/>
                <w:i/>
                <w:sz w:val="23"/>
              </w:rPr>
              <w:t>TC</w:t>
            </w:r>
            <w:r>
              <w:rPr>
                <w:rFonts w:ascii="Times New Roman" w:hAnsi="Times New Roman"/>
                <w:sz w:val="23"/>
              </w:rPr>
              <w:t>1</w:t>
            </w:r>
            <w:r>
              <w:rPr>
                <w:rFonts w:ascii="Symbol" w:hAnsi="Symbol"/>
                <w:sz w:val="23"/>
              </w:rPr>
              <w:t></w:t>
            </w:r>
            <w:r>
              <w:rPr>
                <w:rFonts w:ascii="Times New Roman" w:hAnsi="Times New Roman"/>
                <w:sz w:val="23"/>
              </w:rPr>
              <w:t> </w:t>
            </w:r>
            <w:r>
              <w:rPr>
                <w:rFonts w:ascii="Times New Roman" w:hAnsi="Times New Roman"/>
                <w:spacing w:val="-5"/>
                <w:sz w:val="23"/>
              </w:rPr>
              <w:t>(</w:t>
            </w:r>
            <w:r>
              <w:rPr>
                <w:rFonts w:ascii="Times New Roman" w:hAnsi="Times New Roman"/>
                <w:i/>
                <w:spacing w:val="-5"/>
                <w:sz w:val="23"/>
              </w:rPr>
              <w:t>T </w:t>
            </w:r>
            <w:r>
              <w:rPr>
                <w:rFonts w:ascii="Symbol" w:hAnsi="Symbol"/>
                <w:sz w:val="23"/>
              </w:rPr>
              <w:t></w:t>
            </w:r>
            <w:r>
              <w:rPr>
                <w:rFonts w:ascii="Times New Roman" w:hAnsi="Times New Roman"/>
                <w:sz w:val="23"/>
              </w:rPr>
              <w:t> 22) </w:t>
            </w:r>
            <w:r>
              <w:rPr>
                <w:rFonts w:ascii="Times New Roman" w:hAnsi="Times New Roman"/>
                <w:sz w:val="23"/>
                <w:vertAlign w:val="superscript"/>
              </w:rPr>
              <w:t>2</w:t>
            </w:r>
            <w:r>
              <w:rPr>
                <w:rFonts w:ascii="Times New Roman" w:hAnsi="Times New Roman"/>
                <w:sz w:val="23"/>
                <w:vertAlign w:val="baseline"/>
              </w:rPr>
              <w:t> </w:t>
            </w:r>
            <w:r>
              <w:rPr>
                <w:rFonts w:ascii="Times New Roman" w:hAnsi="Times New Roman"/>
                <w:i/>
                <w:sz w:val="23"/>
                <w:vertAlign w:val="baseline"/>
              </w:rPr>
              <w:t>TC </w:t>
            </w:r>
            <w:r>
              <w:rPr>
                <w:rFonts w:ascii="Times New Roman" w:hAnsi="Times New Roman"/>
                <w:sz w:val="23"/>
                <w:vertAlign w:val="baseline"/>
              </w:rPr>
              <w:t>2</w:t>
            </w:r>
          </w:p>
        </w:tc>
        <w:tc>
          <w:tcPr>
            <w:tcW w:w="900" w:type="dxa"/>
          </w:tcPr>
          <w:p>
            <w:pPr>
              <w:pStyle w:val="TableParagraph"/>
              <w:spacing w:before="18"/>
              <w:ind w:left="13"/>
              <w:jc w:val="center"/>
              <w:rPr>
                <w:sz w:val="20"/>
              </w:rPr>
            </w:pPr>
            <w:r>
              <w:rPr>
                <w:w w:val="99"/>
                <w:sz w:val="20"/>
              </w:rPr>
              <w:t>V</w:t>
            </w:r>
          </w:p>
        </w:tc>
      </w:tr>
      <w:tr>
        <w:trPr>
          <w:trHeight w:val="270" w:hRule="atLeast"/>
        </w:trPr>
        <w:tc>
          <w:tcPr>
            <w:tcW w:w="9361" w:type="dxa"/>
            <w:gridSpan w:val="6"/>
          </w:tcPr>
          <w:p>
            <w:pPr>
              <w:pStyle w:val="TableParagraph"/>
              <w:spacing w:before="16"/>
              <w:ind w:left="628"/>
              <w:rPr>
                <w:sz w:val="20"/>
              </w:rPr>
            </w:pPr>
            <w:r>
              <w:rPr>
                <w:sz w:val="20"/>
              </w:rPr>
              <w:t>If temperature characterization trim information is not available (71M6543F and 71M6543G)</w:t>
            </w:r>
          </w:p>
        </w:tc>
      </w:tr>
      <w:tr>
        <w:trPr>
          <w:trHeight w:val="1098" w:hRule="atLeast"/>
        </w:trPr>
        <w:tc>
          <w:tcPr>
            <w:tcW w:w="3060" w:type="dxa"/>
          </w:tcPr>
          <w:p>
            <w:pPr>
              <w:pStyle w:val="TableParagraph"/>
              <w:spacing w:before="16"/>
              <w:ind w:left="107" w:right="1179"/>
              <w:rPr>
                <w:sz w:val="20"/>
              </w:rPr>
            </w:pPr>
            <w:r>
              <w:rPr>
                <w:sz w:val="20"/>
              </w:rPr>
              <w:t>VNOM temperature coefficients:</w:t>
            </w:r>
          </w:p>
          <w:p>
            <w:pPr>
              <w:pStyle w:val="TableParagraph"/>
              <w:spacing w:line="249" w:lineRule="auto" w:before="1"/>
              <w:ind w:left="539" w:right="1930"/>
              <w:rPr>
                <w:sz w:val="20"/>
              </w:rPr>
            </w:pPr>
            <w:r>
              <w:rPr>
                <w:sz w:val="20"/>
              </w:rPr>
              <w:t>TC1 = TC2 =</w:t>
            </w:r>
          </w:p>
        </w:tc>
        <w:tc>
          <w:tcPr>
            <w:tcW w:w="5401" w:type="dxa"/>
            <w:gridSpan w:val="4"/>
          </w:tcPr>
          <w:p>
            <w:pPr>
              <w:pStyle w:val="TableParagraph"/>
              <w:rPr>
                <w:b/>
                <w:sz w:val="40"/>
              </w:rPr>
            </w:pPr>
          </w:p>
          <w:p>
            <w:pPr>
              <w:pStyle w:val="TableParagraph"/>
              <w:spacing w:line="274" w:lineRule="exact"/>
              <w:ind w:left="1245" w:right="1256"/>
              <w:jc w:val="center"/>
              <w:rPr>
                <w:rFonts w:ascii="Times New Roman" w:hAnsi="Times New Roman"/>
                <w:i/>
                <w:sz w:val="23"/>
              </w:rPr>
            </w:pPr>
            <w:r>
              <w:rPr>
                <w:rFonts w:ascii="Times New Roman" w:hAnsi="Times New Roman"/>
                <w:w w:val="105"/>
                <w:sz w:val="23"/>
              </w:rPr>
              <w:t>275 </w:t>
            </w:r>
            <w:r>
              <w:rPr>
                <w:rFonts w:ascii="Symbol" w:hAnsi="Symbol"/>
                <w:w w:val="105"/>
                <w:sz w:val="23"/>
              </w:rPr>
              <w:t></w:t>
            </w:r>
            <w:r>
              <w:rPr>
                <w:rFonts w:ascii="Times New Roman" w:hAnsi="Times New Roman"/>
                <w:w w:val="105"/>
                <w:sz w:val="23"/>
              </w:rPr>
              <w:t> 4.95 </w:t>
            </w:r>
            <w:r>
              <w:rPr>
                <w:rFonts w:ascii="Symbol" w:hAnsi="Symbol"/>
                <w:w w:val="105"/>
                <w:sz w:val="23"/>
              </w:rPr>
              <w:t></w:t>
            </w:r>
            <w:r>
              <w:rPr>
                <w:rFonts w:ascii="Times New Roman" w:hAnsi="Times New Roman"/>
                <w:i/>
                <w:w w:val="105"/>
                <w:sz w:val="23"/>
              </w:rPr>
              <w:t>TRIMT</w:t>
            </w:r>
          </w:p>
          <w:p>
            <w:pPr>
              <w:pStyle w:val="TableParagraph"/>
              <w:spacing w:line="323" w:lineRule="exact"/>
              <w:ind w:left="1245" w:right="1264"/>
              <w:jc w:val="center"/>
              <w:rPr>
                <w:rFonts w:ascii="Times New Roman" w:hAnsi="Times New Roman"/>
                <w:i/>
                <w:sz w:val="27"/>
              </w:rPr>
            </w:pPr>
            <w:r>
              <w:rPr>
                <w:rFonts w:ascii="Symbol" w:hAnsi="Symbol"/>
                <w:sz w:val="27"/>
              </w:rPr>
              <w:t></w:t>
            </w:r>
            <w:r>
              <w:rPr>
                <w:rFonts w:ascii="Times New Roman" w:hAnsi="Times New Roman"/>
                <w:sz w:val="27"/>
              </w:rPr>
              <w:t>0.557 </w:t>
            </w:r>
            <w:r>
              <w:rPr>
                <w:rFonts w:ascii="Symbol" w:hAnsi="Symbol"/>
                <w:sz w:val="27"/>
              </w:rPr>
              <w:t></w:t>
            </w:r>
            <w:r>
              <w:rPr>
                <w:rFonts w:ascii="Times New Roman" w:hAnsi="Times New Roman"/>
                <w:sz w:val="27"/>
              </w:rPr>
              <w:t> 0.00028 </w:t>
            </w:r>
            <w:r>
              <w:rPr>
                <w:rFonts w:ascii="Symbol" w:hAnsi="Symbol"/>
                <w:sz w:val="27"/>
              </w:rPr>
              <w:t></w:t>
            </w:r>
            <w:r>
              <w:rPr>
                <w:rFonts w:ascii="Times New Roman" w:hAnsi="Times New Roman"/>
                <w:i/>
                <w:sz w:val="27"/>
              </w:rPr>
              <w:t>TRIMT</w:t>
            </w:r>
          </w:p>
        </w:tc>
        <w:tc>
          <w:tcPr>
            <w:tcW w:w="900" w:type="dxa"/>
          </w:tcPr>
          <w:p>
            <w:pPr>
              <w:pStyle w:val="TableParagraph"/>
              <w:rPr>
                <w:b/>
                <w:sz w:val="26"/>
              </w:rPr>
            </w:pPr>
          </w:p>
          <w:p>
            <w:pPr>
              <w:pStyle w:val="TableParagraph"/>
              <w:spacing w:line="249" w:lineRule="auto" w:before="197"/>
              <w:ind w:left="147" w:firstLine="35"/>
              <w:rPr>
                <w:sz w:val="20"/>
              </w:rPr>
            </w:pPr>
            <w:r>
              <w:rPr>
                <w:sz w:val="20"/>
              </w:rPr>
              <w:t>µV/°C </w:t>
            </w:r>
            <w:r>
              <w:rPr>
                <w:w w:val="95"/>
                <w:sz w:val="20"/>
              </w:rPr>
              <w:t>µV/°C</w:t>
            </w:r>
            <w:r>
              <w:rPr>
                <w:w w:val="95"/>
                <w:sz w:val="20"/>
                <w:vertAlign w:val="superscript"/>
              </w:rPr>
              <w:t>2</w:t>
            </w:r>
          </w:p>
        </w:tc>
      </w:tr>
      <w:tr>
        <w:trPr>
          <w:trHeight w:val="1110" w:hRule="atLeast"/>
        </w:trPr>
        <w:tc>
          <w:tcPr>
            <w:tcW w:w="3060" w:type="dxa"/>
          </w:tcPr>
          <w:p>
            <w:pPr>
              <w:pStyle w:val="TableParagraph"/>
              <w:spacing w:before="18"/>
              <w:ind w:left="107" w:right="824"/>
              <w:rPr>
                <w:sz w:val="20"/>
              </w:rPr>
            </w:pPr>
            <w:r>
              <w:rPr>
                <w:sz w:val="20"/>
              </w:rPr>
              <w:t>VREF(T) deviation</w:t>
            </w:r>
            <w:r>
              <w:rPr>
                <w:spacing w:val="-12"/>
                <w:sz w:val="20"/>
              </w:rPr>
              <w:t> </w:t>
            </w:r>
            <w:r>
              <w:rPr>
                <w:sz w:val="20"/>
              </w:rPr>
              <w:t>from VNOM(T) (see note</w:t>
            </w:r>
            <w:r>
              <w:rPr>
                <w:spacing w:val="-6"/>
                <w:sz w:val="20"/>
              </w:rPr>
              <w:t> </w:t>
            </w:r>
            <w:r>
              <w:rPr>
                <w:sz w:val="20"/>
              </w:rPr>
              <w:t>1):</w:t>
            </w:r>
          </w:p>
          <w:p>
            <w:pPr>
              <w:pStyle w:val="TableParagraph"/>
              <w:spacing w:before="73"/>
              <w:ind w:left="136"/>
              <w:rPr>
                <w:rFonts w:ascii="Times New Roman" w:hAnsi="Times New Roman"/>
                <w:sz w:val="19"/>
              </w:rPr>
            </w:pPr>
            <w:r>
              <w:rPr>
                <w:rFonts w:ascii="Times New Roman" w:hAnsi="Times New Roman"/>
                <w:i/>
                <w:sz w:val="19"/>
              </w:rPr>
              <w:t>VREF</w:t>
            </w:r>
            <w:r>
              <w:rPr>
                <w:rFonts w:ascii="Times New Roman" w:hAnsi="Times New Roman"/>
                <w:i/>
                <w:spacing w:val="-24"/>
                <w:sz w:val="19"/>
              </w:rPr>
              <w:t> </w:t>
            </w:r>
            <w:r>
              <w:rPr>
                <w:rFonts w:ascii="Times New Roman" w:hAnsi="Times New Roman"/>
                <w:spacing w:val="-4"/>
                <w:sz w:val="19"/>
              </w:rPr>
              <w:t>(</w:t>
            </w:r>
            <w:r>
              <w:rPr>
                <w:rFonts w:ascii="Times New Roman" w:hAnsi="Times New Roman"/>
                <w:i/>
                <w:spacing w:val="-4"/>
                <w:sz w:val="19"/>
              </w:rPr>
              <w:t>T</w:t>
            </w:r>
            <w:r>
              <w:rPr>
                <w:rFonts w:ascii="Times New Roman" w:hAnsi="Times New Roman"/>
                <w:i/>
                <w:spacing w:val="-19"/>
                <w:sz w:val="19"/>
              </w:rPr>
              <w:t> </w:t>
            </w:r>
            <w:r>
              <w:rPr>
                <w:rFonts w:ascii="Times New Roman" w:hAnsi="Times New Roman"/>
                <w:sz w:val="19"/>
              </w:rPr>
              <w:t>)</w:t>
            </w:r>
            <w:r>
              <w:rPr>
                <w:rFonts w:ascii="Times New Roman" w:hAnsi="Times New Roman"/>
                <w:spacing w:val="-3"/>
                <w:sz w:val="19"/>
              </w:rPr>
              <w:t> </w:t>
            </w:r>
            <w:r>
              <w:rPr>
                <w:rFonts w:ascii="Symbol" w:hAnsi="Symbol"/>
                <w:sz w:val="19"/>
              </w:rPr>
              <w:t></w:t>
            </w:r>
            <w:r>
              <w:rPr>
                <w:rFonts w:ascii="Times New Roman" w:hAnsi="Times New Roman"/>
                <w:spacing w:val="-23"/>
                <w:sz w:val="19"/>
              </w:rPr>
              <w:t> </w:t>
            </w:r>
            <w:r>
              <w:rPr>
                <w:rFonts w:ascii="Times New Roman" w:hAnsi="Times New Roman"/>
                <w:i/>
                <w:sz w:val="19"/>
              </w:rPr>
              <w:t>VNOM</w:t>
            </w:r>
            <w:r>
              <w:rPr>
                <w:rFonts w:ascii="Times New Roman" w:hAnsi="Times New Roman"/>
                <w:i/>
                <w:spacing w:val="-11"/>
                <w:sz w:val="19"/>
              </w:rPr>
              <w:t> </w:t>
            </w:r>
            <w:r>
              <w:rPr>
                <w:rFonts w:ascii="Times New Roman" w:hAnsi="Times New Roman"/>
                <w:spacing w:val="-4"/>
                <w:sz w:val="19"/>
              </w:rPr>
              <w:t>(</w:t>
            </w:r>
            <w:r>
              <w:rPr>
                <w:rFonts w:ascii="Times New Roman" w:hAnsi="Times New Roman"/>
                <w:i/>
                <w:spacing w:val="-4"/>
                <w:sz w:val="19"/>
              </w:rPr>
              <w:t>T</w:t>
            </w:r>
            <w:r>
              <w:rPr>
                <w:rFonts w:ascii="Times New Roman" w:hAnsi="Times New Roman"/>
                <w:i/>
                <w:spacing w:val="-19"/>
                <w:sz w:val="19"/>
              </w:rPr>
              <w:t> </w:t>
            </w:r>
            <w:r>
              <w:rPr>
                <w:rFonts w:ascii="Times New Roman" w:hAnsi="Times New Roman"/>
                <w:sz w:val="19"/>
              </w:rPr>
              <w:t>)</w:t>
            </w:r>
            <w:r>
              <w:rPr>
                <w:rFonts w:ascii="Times New Roman" w:hAnsi="Times New Roman"/>
                <w:spacing w:val="-10"/>
                <w:sz w:val="19"/>
              </w:rPr>
              <w:t> </w:t>
            </w:r>
            <w:r>
              <w:rPr>
                <w:rFonts w:ascii="Times New Roman" w:hAnsi="Times New Roman"/>
                <w:sz w:val="19"/>
              </w:rPr>
              <w:t>10</w:t>
            </w:r>
            <w:r>
              <w:rPr>
                <w:rFonts w:ascii="Times New Roman" w:hAnsi="Times New Roman"/>
                <w:sz w:val="19"/>
                <w:vertAlign w:val="superscript"/>
              </w:rPr>
              <w:t>6</w:t>
            </w:r>
          </w:p>
          <w:p>
            <w:pPr>
              <w:pStyle w:val="TableParagraph"/>
              <w:tabs>
                <w:tab w:pos="2161" w:val="right" w:leader="none"/>
              </w:tabs>
              <w:spacing w:before="51"/>
              <w:ind w:left="593"/>
              <w:rPr>
                <w:rFonts w:ascii="Times New Roman"/>
                <w:sz w:val="19"/>
              </w:rPr>
            </w:pPr>
            <w:r>
              <w:rPr>
                <w:rFonts w:ascii="Times New Roman"/>
                <w:i/>
                <w:sz w:val="19"/>
              </w:rPr>
              <w:t>VNOM</w:t>
            </w:r>
            <w:r>
              <w:rPr>
                <w:rFonts w:ascii="Times New Roman"/>
                <w:i/>
                <w:spacing w:val="-16"/>
                <w:sz w:val="19"/>
              </w:rPr>
              <w:t> </w:t>
            </w:r>
            <w:r>
              <w:rPr>
                <w:rFonts w:ascii="Times New Roman"/>
                <w:spacing w:val="-4"/>
                <w:sz w:val="19"/>
              </w:rPr>
              <w:t>(</w:t>
            </w:r>
            <w:r>
              <w:rPr>
                <w:rFonts w:ascii="Times New Roman"/>
                <w:i/>
                <w:spacing w:val="-4"/>
                <w:sz w:val="19"/>
              </w:rPr>
              <w:t>T</w:t>
            </w:r>
            <w:r>
              <w:rPr>
                <w:rFonts w:ascii="Times New Roman"/>
                <w:i/>
                <w:spacing w:val="-22"/>
                <w:sz w:val="19"/>
              </w:rPr>
              <w:t> </w:t>
            </w:r>
            <w:r>
              <w:rPr>
                <w:rFonts w:ascii="Times New Roman"/>
                <w:sz w:val="19"/>
              </w:rPr>
              <w:t>)</w:t>
              <w:tab/>
              <w:t>62</w:t>
            </w:r>
          </w:p>
        </w:tc>
        <w:tc>
          <w:tcPr>
            <w:tcW w:w="2818" w:type="dxa"/>
          </w:tcPr>
          <w:p>
            <w:pPr>
              <w:pStyle w:val="TableParagraph"/>
              <w:rPr>
                <w:rFonts w:ascii="Times New Roman"/>
                <w:sz w:val="20"/>
              </w:rPr>
            </w:pPr>
          </w:p>
        </w:tc>
        <w:tc>
          <w:tcPr>
            <w:tcW w:w="893" w:type="dxa"/>
          </w:tcPr>
          <w:p>
            <w:pPr>
              <w:pStyle w:val="TableParagraph"/>
              <w:rPr>
                <w:b/>
                <w:sz w:val="22"/>
              </w:rPr>
            </w:pPr>
          </w:p>
          <w:p>
            <w:pPr>
              <w:pStyle w:val="TableParagraph"/>
              <w:spacing w:before="185"/>
              <w:ind w:left="105" w:right="87"/>
              <w:jc w:val="center"/>
              <w:rPr>
                <w:sz w:val="20"/>
              </w:rPr>
            </w:pPr>
            <w:r>
              <w:rPr>
                <w:sz w:val="20"/>
              </w:rPr>
              <w:t>-40</w:t>
            </w:r>
          </w:p>
        </w:tc>
        <w:tc>
          <w:tcPr>
            <w:tcW w:w="804" w:type="dxa"/>
          </w:tcPr>
          <w:p>
            <w:pPr>
              <w:pStyle w:val="TableParagraph"/>
              <w:rPr>
                <w:rFonts w:ascii="Times New Roman"/>
                <w:sz w:val="20"/>
              </w:rPr>
            </w:pPr>
          </w:p>
        </w:tc>
        <w:tc>
          <w:tcPr>
            <w:tcW w:w="886" w:type="dxa"/>
          </w:tcPr>
          <w:p>
            <w:pPr>
              <w:pStyle w:val="TableParagraph"/>
              <w:rPr>
                <w:b/>
                <w:sz w:val="22"/>
              </w:rPr>
            </w:pPr>
          </w:p>
          <w:p>
            <w:pPr>
              <w:pStyle w:val="TableParagraph"/>
              <w:spacing w:before="185"/>
              <w:ind w:left="272"/>
              <w:rPr>
                <w:sz w:val="20"/>
              </w:rPr>
            </w:pPr>
            <w:r>
              <w:rPr>
                <w:sz w:val="20"/>
              </w:rPr>
              <w:t>+40</w:t>
            </w:r>
          </w:p>
        </w:tc>
        <w:tc>
          <w:tcPr>
            <w:tcW w:w="900" w:type="dxa"/>
          </w:tcPr>
          <w:p>
            <w:pPr>
              <w:pStyle w:val="TableParagraph"/>
              <w:rPr>
                <w:b/>
                <w:sz w:val="22"/>
              </w:rPr>
            </w:pPr>
          </w:p>
          <w:p>
            <w:pPr>
              <w:pStyle w:val="TableParagraph"/>
              <w:spacing w:before="185"/>
              <w:ind w:left="93" w:right="76"/>
              <w:jc w:val="center"/>
              <w:rPr>
                <w:sz w:val="20"/>
              </w:rPr>
            </w:pPr>
            <w:r>
              <w:rPr>
                <w:sz w:val="20"/>
              </w:rPr>
              <w:t>ppm/°C</w:t>
            </w:r>
          </w:p>
        </w:tc>
      </w:tr>
      <w:tr>
        <w:trPr>
          <w:trHeight w:val="500" w:hRule="atLeast"/>
        </w:trPr>
        <w:tc>
          <w:tcPr>
            <w:tcW w:w="3060" w:type="dxa"/>
          </w:tcPr>
          <w:p>
            <w:pPr>
              <w:pStyle w:val="TableParagraph"/>
              <w:spacing w:before="133"/>
              <w:ind w:left="107"/>
              <w:rPr>
                <w:sz w:val="20"/>
              </w:rPr>
            </w:pPr>
            <w:r>
              <w:rPr>
                <w:sz w:val="20"/>
              </w:rPr>
              <w:t>VREF aging</w:t>
            </w:r>
          </w:p>
        </w:tc>
        <w:tc>
          <w:tcPr>
            <w:tcW w:w="2818" w:type="dxa"/>
          </w:tcPr>
          <w:p>
            <w:pPr>
              <w:pStyle w:val="TableParagraph"/>
              <w:rPr>
                <w:rFonts w:ascii="Times New Roman"/>
                <w:sz w:val="20"/>
              </w:rPr>
            </w:pPr>
          </w:p>
        </w:tc>
        <w:tc>
          <w:tcPr>
            <w:tcW w:w="893" w:type="dxa"/>
          </w:tcPr>
          <w:p>
            <w:pPr>
              <w:pStyle w:val="TableParagraph"/>
              <w:rPr>
                <w:rFonts w:ascii="Times New Roman"/>
                <w:sz w:val="20"/>
              </w:rPr>
            </w:pPr>
          </w:p>
        </w:tc>
        <w:tc>
          <w:tcPr>
            <w:tcW w:w="804" w:type="dxa"/>
          </w:tcPr>
          <w:p>
            <w:pPr>
              <w:pStyle w:val="TableParagraph"/>
              <w:spacing w:before="127"/>
              <w:ind w:left="129" w:right="114"/>
              <w:jc w:val="center"/>
              <w:rPr>
                <w:sz w:val="20"/>
              </w:rPr>
            </w:pPr>
            <w:r>
              <w:rPr>
                <w:rFonts w:ascii="Symbol" w:hAnsi="Symbol"/>
                <w:sz w:val="20"/>
              </w:rPr>
              <w:t></w:t>
            </w:r>
            <w:r>
              <w:rPr>
                <w:sz w:val="20"/>
              </w:rPr>
              <w:t>25</w:t>
            </w:r>
          </w:p>
        </w:tc>
        <w:tc>
          <w:tcPr>
            <w:tcW w:w="886" w:type="dxa"/>
          </w:tcPr>
          <w:p>
            <w:pPr>
              <w:pStyle w:val="TableParagraph"/>
              <w:rPr>
                <w:rFonts w:ascii="Times New Roman"/>
                <w:sz w:val="20"/>
              </w:rPr>
            </w:pPr>
          </w:p>
        </w:tc>
        <w:tc>
          <w:tcPr>
            <w:tcW w:w="900" w:type="dxa"/>
          </w:tcPr>
          <w:p>
            <w:pPr>
              <w:pStyle w:val="TableParagraph"/>
              <w:spacing w:before="18"/>
              <w:ind w:left="253" w:right="191" w:hanging="29"/>
              <w:rPr>
                <w:sz w:val="20"/>
              </w:rPr>
            </w:pPr>
            <w:r>
              <w:rPr>
                <w:sz w:val="20"/>
              </w:rPr>
              <w:t>ppm/ year</w:t>
            </w:r>
          </w:p>
        </w:tc>
      </w:tr>
      <w:tr>
        <w:trPr>
          <w:trHeight w:val="1350" w:hRule="atLeast"/>
        </w:trPr>
        <w:tc>
          <w:tcPr>
            <w:tcW w:w="9361" w:type="dxa"/>
            <w:gridSpan w:val="6"/>
          </w:tcPr>
          <w:p>
            <w:pPr>
              <w:pStyle w:val="TableParagraph"/>
              <w:spacing w:before="13"/>
              <w:ind w:left="107"/>
              <w:rPr>
                <w:b/>
                <w:sz w:val="20"/>
              </w:rPr>
            </w:pPr>
            <w:r>
              <w:rPr>
                <w:b/>
                <w:sz w:val="20"/>
              </w:rPr>
              <w:t>Notes:</w:t>
            </w:r>
          </w:p>
          <w:p>
            <w:pPr>
              <w:pStyle w:val="TableParagraph"/>
              <w:numPr>
                <w:ilvl w:val="0"/>
                <w:numId w:val="38"/>
              </w:numPr>
              <w:tabs>
                <w:tab w:pos="828" w:val="left" w:leader="none"/>
              </w:tabs>
              <w:spacing w:line="240" w:lineRule="auto" w:before="44" w:after="0"/>
              <w:ind w:left="827" w:right="0" w:hanging="361"/>
              <w:jc w:val="left"/>
              <w:rPr>
                <w:sz w:val="20"/>
              </w:rPr>
            </w:pPr>
            <w:r>
              <w:rPr>
                <w:sz w:val="20"/>
              </w:rPr>
              <w:t>Guaranteed by design; not production</w:t>
            </w:r>
            <w:r>
              <w:rPr>
                <w:spacing w:val="-2"/>
                <w:sz w:val="20"/>
              </w:rPr>
              <w:t> </w:t>
            </w:r>
            <w:r>
              <w:rPr>
                <w:sz w:val="20"/>
              </w:rPr>
              <w:t>tested.</w:t>
            </w:r>
          </w:p>
          <w:p>
            <w:pPr>
              <w:pStyle w:val="TableParagraph"/>
              <w:numPr>
                <w:ilvl w:val="0"/>
                <w:numId w:val="38"/>
              </w:numPr>
              <w:tabs>
                <w:tab w:pos="828" w:val="left" w:leader="none"/>
              </w:tabs>
              <w:spacing w:line="240" w:lineRule="auto" w:before="0" w:after="0"/>
              <w:ind w:left="827" w:right="865" w:hanging="360"/>
              <w:jc w:val="left"/>
              <w:rPr>
                <w:sz w:val="20"/>
              </w:rPr>
            </w:pPr>
            <w:r>
              <w:rPr>
                <w:sz w:val="20"/>
              </w:rPr>
              <w:t>This</w:t>
            </w:r>
            <w:r>
              <w:rPr>
                <w:spacing w:val="-4"/>
                <w:sz w:val="20"/>
              </w:rPr>
              <w:t> </w:t>
            </w:r>
            <w:r>
              <w:rPr>
                <w:sz w:val="20"/>
              </w:rPr>
              <w:t>relationship</w:t>
            </w:r>
            <w:r>
              <w:rPr>
                <w:spacing w:val="-5"/>
                <w:sz w:val="20"/>
              </w:rPr>
              <w:t> </w:t>
            </w:r>
            <w:r>
              <w:rPr>
                <w:sz w:val="20"/>
              </w:rPr>
              <w:t>describes</w:t>
            </w:r>
            <w:r>
              <w:rPr>
                <w:spacing w:val="-1"/>
                <w:sz w:val="20"/>
              </w:rPr>
              <w:t> </w:t>
            </w:r>
            <w:r>
              <w:rPr>
                <w:sz w:val="20"/>
              </w:rPr>
              <w:t>the</w:t>
            </w:r>
            <w:r>
              <w:rPr>
                <w:spacing w:val="-5"/>
                <w:sz w:val="20"/>
              </w:rPr>
              <w:t> </w:t>
            </w:r>
            <w:r>
              <w:rPr>
                <w:sz w:val="20"/>
              </w:rPr>
              <w:t>nominal</w:t>
            </w:r>
            <w:r>
              <w:rPr>
                <w:spacing w:val="-6"/>
                <w:sz w:val="20"/>
              </w:rPr>
              <w:t> </w:t>
            </w:r>
            <w:r>
              <w:rPr>
                <w:sz w:val="20"/>
              </w:rPr>
              <w:t>behavior</w:t>
            </w:r>
            <w:r>
              <w:rPr>
                <w:spacing w:val="-4"/>
                <w:sz w:val="20"/>
              </w:rPr>
              <w:t> </w:t>
            </w:r>
            <w:r>
              <w:rPr>
                <w:sz w:val="20"/>
              </w:rPr>
              <w:t>of</w:t>
            </w:r>
            <w:r>
              <w:rPr>
                <w:spacing w:val="-1"/>
                <w:sz w:val="20"/>
              </w:rPr>
              <w:t> </w:t>
            </w:r>
            <w:r>
              <w:rPr>
                <w:sz w:val="20"/>
              </w:rPr>
              <w:t>VREF</w:t>
            </w:r>
            <w:r>
              <w:rPr>
                <w:spacing w:val="-4"/>
                <w:sz w:val="20"/>
              </w:rPr>
              <w:t> </w:t>
            </w:r>
            <w:r>
              <w:rPr>
                <w:sz w:val="20"/>
              </w:rPr>
              <w:t>at</w:t>
            </w:r>
            <w:r>
              <w:rPr>
                <w:spacing w:val="-3"/>
                <w:sz w:val="20"/>
              </w:rPr>
              <w:t> </w:t>
            </w:r>
            <w:r>
              <w:rPr>
                <w:sz w:val="20"/>
              </w:rPr>
              <w:t>different</w:t>
            </w:r>
            <w:r>
              <w:rPr>
                <w:spacing w:val="-5"/>
                <w:sz w:val="20"/>
              </w:rPr>
              <w:t> </w:t>
            </w:r>
            <w:r>
              <w:rPr>
                <w:sz w:val="20"/>
              </w:rPr>
              <w:t>temperatures,</w:t>
            </w:r>
            <w:r>
              <w:rPr>
                <w:spacing w:val="-4"/>
                <w:sz w:val="20"/>
              </w:rPr>
              <w:t> </w:t>
            </w:r>
            <w:r>
              <w:rPr>
                <w:sz w:val="20"/>
              </w:rPr>
              <w:t>as governed by a second order polynomial of 1</w:t>
            </w:r>
            <w:r>
              <w:rPr>
                <w:sz w:val="20"/>
                <w:vertAlign w:val="superscript"/>
              </w:rPr>
              <w:t>st</w:t>
            </w:r>
            <w:r>
              <w:rPr>
                <w:sz w:val="20"/>
                <w:vertAlign w:val="baseline"/>
              </w:rPr>
              <w:t> and 2</w:t>
            </w:r>
            <w:r>
              <w:rPr>
                <w:sz w:val="20"/>
                <w:vertAlign w:val="superscript"/>
              </w:rPr>
              <w:t>nd</w:t>
            </w:r>
            <w:r>
              <w:rPr>
                <w:sz w:val="20"/>
                <w:vertAlign w:val="baseline"/>
              </w:rPr>
              <w:t> order coefficients TC1 and</w:t>
            </w:r>
            <w:r>
              <w:rPr>
                <w:spacing w:val="-37"/>
                <w:sz w:val="20"/>
                <w:vertAlign w:val="baseline"/>
              </w:rPr>
              <w:t> </w:t>
            </w:r>
            <w:r>
              <w:rPr>
                <w:sz w:val="20"/>
                <w:vertAlign w:val="baseline"/>
              </w:rPr>
              <w:t>TC2.</w:t>
            </w:r>
          </w:p>
          <w:p>
            <w:pPr>
              <w:pStyle w:val="TableParagraph"/>
              <w:numPr>
                <w:ilvl w:val="0"/>
                <w:numId w:val="38"/>
              </w:numPr>
              <w:tabs>
                <w:tab w:pos="828" w:val="left" w:leader="none"/>
              </w:tabs>
              <w:spacing w:line="227" w:lineRule="exact" w:before="0" w:after="0"/>
              <w:ind w:left="827" w:right="0" w:hanging="361"/>
              <w:jc w:val="left"/>
              <w:rPr>
                <w:sz w:val="20"/>
              </w:rPr>
            </w:pPr>
            <w:r>
              <w:rPr>
                <w:sz w:val="20"/>
              </w:rPr>
              <w:t>For the parameters in this table, unless otherwise specified, </w:t>
            </w:r>
            <w:r>
              <w:rPr>
                <w:rFonts w:ascii="Times New Roman"/>
                <w:i/>
                <w:sz w:val="20"/>
              </w:rPr>
              <w:t>VREF_DIS </w:t>
            </w:r>
            <w:r>
              <w:rPr>
                <w:sz w:val="20"/>
              </w:rPr>
              <w:t>= 0,</w:t>
            </w:r>
            <w:r>
              <w:rPr>
                <w:spacing w:val="-25"/>
                <w:sz w:val="20"/>
              </w:rPr>
              <w:t> </w:t>
            </w:r>
            <w:r>
              <w:rPr>
                <w:rFonts w:ascii="Times New Roman"/>
                <w:i/>
                <w:sz w:val="20"/>
              </w:rPr>
              <w:t>PLL_FAST</w:t>
            </w:r>
            <w:r>
              <w:rPr>
                <w:sz w:val="20"/>
              </w:rPr>
              <w:t>=1</w:t>
            </w:r>
          </w:p>
        </w:tc>
      </w:tr>
    </w:tbl>
    <w:p>
      <w:pPr>
        <w:spacing w:after="0" w:line="227" w:lineRule="exact"/>
        <w:jc w:val="left"/>
        <w:rPr>
          <w:sz w:val="20"/>
        </w:rPr>
        <w:sectPr>
          <w:pgSz w:w="12240" w:h="15840"/>
          <w:pgMar w:header="727" w:footer="819" w:top="1160" w:bottom="1000" w:left="960" w:right="940"/>
        </w:sectPr>
      </w:pPr>
    </w:p>
    <w:p>
      <w:pPr>
        <w:pStyle w:val="ListParagraph"/>
        <w:numPr>
          <w:ilvl w:val="2"/>
          <w:numId w:val="39"/>
        </w:numPr>
        <w:tabs>
          <w:tab w:pos="1201" w:val="left" w:leader="none"/>
        </w:tabs>
        <w:spacing w:line="240" w:lineRule="auto" w:before="88" w:after="0"/>
        <w:ind w:left="1200" w:right="0" w:hanging="721"/>
        <w:jc w:val="left"/>
        <w:rPr>
          <w:b/>
          <w:sz w:val="22"/>
        </w:rPr>
      </w:pPr>
      <w:bookmarkStart w:name="6.4.15 ADC Converter" w:id="570"/>
      <w:bookmarkEnd w:id="570"/>
      <w:r>
        <w:rPr/>
      </w:r>
      <w:bookmarkStart w:name="_bookmark279" w:id="571"/>
      <w:bookmarkEnd w:id="571"/>
      <w:r>
        <w:rPr/>
      </w:r>
      <w:bookmarkStart w:name="_bookmark279" w:id="572"/>
      <w:bookmarkEnd w:id="572"/>
      <w:r>
        <w:rPr>
          <w:b/>
          <w:sz w:val="22"/>
        </w:rPr>
        <w:t>A</w:t>
      </w:r>
      <w:r>
        <w:rPr>
          <w:b/>
          <w:sz w:val="22"/>
        </w:rPr>
        <w:t>DC</w:t>
      </w:r>
      <w:r>
        <w:rPr>
          <w:b/>
          <w:spacing w:val="-1"/>
          <w:sz w:val="22"/>
        </w:rPr>
        <w:t> </w:t>
      </w:r>
      <w:r>
        <w:rPr>
          <w:b/>
          <w:sz w:val="22"/>
        </w:rPr>
        <w:t>Converter</w:t>
      </w:r>
    </w:p>
    <w:p>
      <w:pPr>
        <w:pStyle w:val="Heading1"/>
        <w:spacing w:before="118"/>
        <w:ind w:left="2580"/>
        <w:jc w:val="left"/>
      </w:pPr>
      <w:bookmarkStart w:name="_bookmark280" w:id="573"/>
      <w:bookmarkEnd w:id="573"/>
      <w:r>
        <w:rPr>
          <w:b w:val="0"/>
        </w:rPr>
      </w:r>
      <w:r>
        <w:rPr/>
        <w:t>Table 103: ADC Converter Performance Specifications</w:t>
      </w:r>
    </w:p>
    <w:p>
      <w:pPr>
        <w:tabs>
          <w:tab w:pos="4058" w:val="left" w:leader="none"/>
          <w:tab w:pos="6650" w:val="left" w:leader="none"/>
          <w:tab w:pos="7542" w:val="left" w:leader="none"/>
          <w:tab w:pos="8428" w:val="left" w:leader="none"/>
          <w:tab w:pos="9237" w:val="left" w:leader="none"/>
        </w:tabs>
        <w:spacing w:before="121"/>
        <w:ind w:left="587" w:right="0" w:firstLine="0"/>
        <w:jc w:val="left"/>
        <w:rPr>
          <w:b/>
          <w:sz w:val="20"/>
        </w:rPr>
      </w:pPr>
      <w:r>
        <w:rPr>
          <w:b/>
          <w:sz w:val="20"/>
        </w:rPr>
        <w:t>Parameter</w:t>
        <w:tab/>
        <w:t>Condition</w:t>
        <w:tab/>
        <w:t>Min</w:t>
        <w:tab/>
        <w:t>Typ</w:t>
        <w:tab/>
        <w:t>Max</w:t>
        <w:tab/>
        <w:t>Unit</w:t>
      </w:r>
    </w:p>
    <w:p>
      <w:pPr>
        <w:spacing w:after="0"/>
        <w:jc w:val="left"/>
        <w:rPr>
          <w:sz w:val="20"/>
        </w:rPr>
        <w:sectPr>
          <w:pgSz w:w="12240" w:h="15840"/>
          <w:pgMar w:header="727" w:footer="819" w:top="1160" w:bottom="1000" w:left="960" w:right="940"/>
        </w:sectPr>
      </w:pPr>
    </w:p>
    <w:p>
      <w:pPr>
        <w:pStyle w:val="BodyText"/>
        <w:spacing w:before="82"/>
        <w:ind w:left="588" w:right="624"/>
      </w:pPr>
      <w:r>
        <w:rPr/>
        <w:t>Recommended Input Range (Vin - V3P3A)</w:t>
      </w:r>
    </w:p>
    <w:p>
      <w:pPr>
        <w:pStyle w:val="BodyText"/>
        <w:spacing w:before="61"/>
        <w:ind w:left="588"/>
      </w:pPr>
      <w:r>
        <w:rPr/>
        <w:t>Voltage to Current Crosstalk</w:t>
      </w:r>
    </w:p>
    <w:p>
      <w:pPr>
        <w:spacing w:line="201" w:lineRule="exact" w:before="76"/>
        <w:ind w:left="612" w:right="0" w:firstLine="0"/>
        <w:jc w:val="left"/>
        <w:rPr>
          <w:rFonts w:ascii="Times New Roman"/>
          <w:i/>
          <w:sz w:val="22"/>
        </w:rPr>
      </w:pPr>
      <w:r>
        <w:rPr/>
        <w:pict>
          <v:shape style="position:absolute;margin-left:156.172012pt;margin-top:10.252076pt;width:35.35pt;height:13.4pt;mso-position-horizontal-relative:page;mso-position-vertical-relative:paragraph;z-index:-38717952" type="#_x0000_t202" filled="false" stroked="false">
            <v:textbox inset="0,0,0,0">
              <w:txbxContent>
                <w:p>
                  <w:pPr>
                    <w:tabs>
                      <w:tab w:pos="432" w:val="left" w:leader="none"/>
                    </w:tabs>
                    <w:spacing w:line="267" w:lineRule="exact" w:before="0"/>
                    <w:ind w:left="0" w:right="0" w:firstLine="0"/>
                    <w:jc w:val="left"/>
                    <w:rPr>
                      <w:rFonts w:ascii="Symbol" w:hAnsi="Symbol"/>
                      <w:sz w:val="22"/>
                    </w:rPr>
                  </w:pPr>
                  <w:r>
                    <w:rPr>
                      <w:rFonts w:ascii="Symbol" w:hAnsi="Symbol"/>
                      <w:w w:val="95"/>
                      <w:sz w:val="22"/>
                    </w:rPr>
                    <w:t></w:t>
                  </w:r>
                  <w:r>
                    <w:rPr>
                      <w:rFonts w:ascii="Times New Roman" w:hAnsi="Times New Roman"/>
                      <w:w w:val="95"/>
                      <w:sz w:val="22"/>
                    </w:rPr>
                    <w:tab/>
                  </w:r>
                  <w:r>
                    <w:rPr>
                      <w:rFonts w:ascii="Symbol" w:hAnsi="Symbol"/>
                      <w:w w:val="95"/>
                      <w:sz w:val="22"/>
                    </w:rPr>
                    <w:t></w:t>
                  </w:r>
                  <w:r>
                    <w:rPr>
                      <w:rFonts w:ascii="Times New Roman" w:hAnsi="Times New Roman"/>
                      <w:spacing w:val="-42"/>
                      <w:w w:val="95"/>
                      <w:sz w:val="22"/>
                    </w:rPr>
                    <w:t> </w:t>
                  </w:r>
                  <w:r>
                    <w:rPr>
                      <w:rFonts w:ascii="Symbol" w:hAnsi="Symbol"/>
                      <w:spacing w:val="-19"/>
                      <w:w w:val="95"/>
                      <w:sz w:val="22"/>
                    </w:rPr>
                    <w:t></w:t>
                  </w:r>
                </w:p>
              </w:txbxContent>
            </v:textbox>
            <w10:wrap type="none"/>
          </v:shape>
        </w:pict>
      </w:r>
      <w:r>
        <w:rPr>
          <w:rFonts w:ascii="Times New Roman"/>
          <w:w w:val="95"/>
          <w:sz w:val="22"/>
        </w:rPr>
        <w:t>10</w:t>
      </w:r>
      <w:r>
        <w:rPr>
          <w:rFonts w:ascii="Times New Roman"/>
          <w:w w:val="95"/>
          <w:position w:val="10"/>
          <w:sz w:val="12"/>
        </w:rPr>
        <w:t>6 </w:t>
      </w:r>
      <w:r>
        <w:rPr>
          <w:rFonts w:ascii="Times New Roman"/>
          <w:w w:val="95"/>
          <w:sz w:val="22"/>
        </w:rPr>
        <w:t>*</w:t>
      </w:r>
      <w:r>
        <w:rPr>
          <w:rFonts w:ascii="Times New Roman"/>
          <w:i/>
          <w:w w:val="95"/>
          <w:sz w:val="22"/>
        </w:rPr>
        <w:t>Vcrosstalk</w:t>
      </w:r>
    </w:p>
    <w:p>
      <w:pPr>
        <w:tabs>
          <w:tab w:pos="2869" w:val="left" w:leader="none"/>
        </w:tabs>
        <w:spacing w:line="153" w:lineRule="exact" w:before="0"/>
        <w:ind w:left="1852" w:right="0" w:firstLine="0"/>
        <w:jc w:val="left"/>
        <w:rPr>
          <w:rFonts w:ascii="Times New Roman"/>
          <w:sz w:val="22"/>
        </w:rPr>
      </w:pPr>
      <w:r>
        <w:rPr>
          <w:rFonts w:ascii="Times New Roman"/>
          <w:w w:val="95"/>
          <w:sz w:val="22"/>
        </w:rPr>
        <w:t>cos(</w:t>
      </w:r>
      <w:r>
        <w:rPr>
          <w:rFonts w:ascii="Times New Roman"/>
          <w:spacing w:val="51"/>
          <w:w w:val="95"/>
          <w:sz w:val="22"/>
        </w:rPr>
        <w:t> </w:t>
      </w:r>
      <w:r>
        <w:rPr>
          <w:rFonts w:ascii="Times New Roman"/>
          <w:i/>
          <w:w w:val="95"/>
          <w:sz w:val="22"/>
        </w:rPr>
        <w:t>Vin</w:t>
        <w:tab/>
      </w:r>
      <w:r>
        <w:rPr>
          <w:rFonts w:ascii="Times New Roman"/>
          <w:i/>
          <w:w w:val="85"/>
          <w:sz w:val="22"/>
        </w:rPr>
        <w:t>Vcrosstalk</w:t>
      </w:r>
      <w:r>
        <w:rPr>
          <w:rFonts w:ascii="Times New Roman"/>
          <w:i/>
          <w:spacing w:val="-33"/>
          <w:w w:val="85"/>
          <w:sz w:val="22"/>
        </w:rPr>
        <w:t> </w:t>
      </w:r>
      <w:r>
        <w:rPr>
          <w:rFonts w:ascii="Times New Roman"/>
          <w:spacing w:val="-15"/>
          <w:w w:val="85"/>
          <w:sz w:val="22"/>
        </w:rPr>
        <w:t>)</w:t>
      </w:r>
    </w:p>
    <w:p>
      <w:pPr>
        <w:spacing w:line="211" w:lineRule="exact" w:before="0"/>
        <w:ind w:left="1077" w:right="0" w:firstLine="0"/>
        <w:jc w:val="left"/>
        <w:rPr>
          <w:rFonts w:ascii="Times New Roman"/>
          <w:i/>
          <w:sz w:val="22"/>
        </w:rPr>
      </w:pPr>
      <w:r>
        <w:rPr>
          <w:rFonts w:ascii="Times New Roman"/>
          <w:i/>
          <w:w w:val="95"/>
          <w:sz w:val="22"/>
        </w:rPr>
        <w:t>Vin</w:t>
      </w:r>
    </w:p>
    <w:p>
      <w:pPr>
        <w:pStyle w:val="BodyText"/>
        <w:spacing w:before="4"/>
        <w:rPr>
          <w:rFonts w:ascii="Times New Roman"/>
          <w:i/>
          <w:sz w:val="30"/>
        </w:rPr>
      </w:pPr>
    </w:p>
    <w:p>
      <w:pPr>
        <w:spacing w:before="0"/>
        <w:ind w:left="587" w:right="0" w:firstLine="0"/>
        <w:jc w:val="left"/>
        <w:rPr>
          <w:sz w:val="18"/>
        </w:rPr>
      </w:pPr>
      <w:r>
        <w:rPr>
          <w:sz w:val="18"/>
        </w:rPr>
        <w:t>(see note 1)</w:t>
      </w:r>
    </w:p>
    <w:p>
      <w:pPr>
        <w:pStyle w:val="BodyText"/>
      </w:pPr>
    </w:p>
    <w:p>
      <w:pPr>
        <w:pStyle w:val="BodyText"/>
        <w:spacing w:before="1"/>
        <w:rPr>
          <w:sz w:val="21"/>
        </w:rPr>
      </w:pPr>
    </w:p>
    <w:p>
      <w:pPr>
        <w:pStyle w:val="BodyText"/>
        <w:ind w:left="588"/>
      </w:pPr>
      <w:r>
        <w:rPr/>
        <w:t>Input Impedance, no pre-amp</w:t>
      </w:r>
    </w:p>
    <w:p>
      <w:pPr>
        <w:pStyle w:val="BodyText"/>
        <w:spacing w:before="60"/>
        <w:ind w:left="595" w:right="9"/>
      </w:pPr>
      <w:r>
        <w:rPr/>
        <w:pict>
          <v:shape style="position:absolute;margin-left:115.053864pt;margin-top:27.120829pt;width:41.15pt;height:12.9pt;mso-position-horizontal-relative:page;mso-position-vertical-relative:paragraph;z-index:-38717440" type="#_x0000_t202" filled="false" stroked="false">
            <v:textbox inset="0,0,0,0">
              <w:txbxContent>
                <w:p>
                  <w:pPr>
                    <w:spacing w:before="0"/>
                    <w:ind w:left="0" w:right="0" w:firstLine="0"/>
                    <w:jc w:val="left"/>
                    <w:rPr>
                      <w:rFonts w:ascii="Times New Roman" w:hAnsi="Times New Roman"/>
                      <w:i/>
                      <w:sz w:val="21"/>
                    </w:rPr>
                  </w:pPr>
                  <w:r>
                    <w:rPr>
                      <w:rFonts w:ascii="Times New Roman" w:hAnsi="Times New Roman"/>
                      <w:spacing w:val="3"/>
                      <w:w w:val="95"/>
                      <w:sz w:val="21"/>
                    </w:rPr>
                    <w:t>10</w:t>
                  </w:r>
                  <w:r>
                    <w:rPr>
                      <w:rFonts w:ascii="Times New Roman" w:hAnsi="Times New Roman"/>
                      <w:spacing w:val="3"/>
                      <w:w w:val="95"/>
                      <w:sz w:val="21"/>
                      <w:vertAlign w:val="superscript"/>
                    </w:rPr>
                    <w:t>6</w:t>
                  </w:r>
                  <w:r>
                    <w:rPr>
                      <w:rFonts w:ascii="Times New Roman" w:hAnsi="Times New Roman"/>
                      <w:spacing w:val="3"/>
                      <w:w w:val="95"/>
                      <w:sz w:val="21"/>
                      <w:vertAlign w:val="baseline"/>
                    </w:rPr>
                    <w:t> </w:t>
                  </w:r>
                  <w:r>
                    <w:rPr>
                      <w:rFonts w:ascii="Symbol" w:hAnsi="Symbol"/>
                      <w:spacing w:val="-5"/>
                      <w:w w:val="95"/>
                      <w:sz w:val="21"/>
                      <w:vertAlign w:val="baseline"/>
                    </w:rPr>
                    <w:t></w:t>
                  </w:r>
                  <w:r>
                    <w:rPr>
                      <w:rFonts w:ascii="Times New Roman" w:hAnsi="Times New Roman"/>
                      <w:i/>
                      <w:spacing w:val="-5"/>
                      <w:w w:val="95"/>
                      <w:sz w:val="21"/>
                      <w:vertAlign w:val="baseline"/>
                    </w:rPr>
                    <w:t>Nout</w:t>
                  </w:r>
                </w:p>
              </w:txbxContent>
            </v:textbox>
            <w10:wrap type="none"/>
          </v:shape>
        </w:pict>
      </w:r>
      <w:r>
        <w:rPr/>
        <w:pict>
          <v:shape style="position:absolute;margin-left:167.118546pt;margin-top:28.322344pt;width:38.550pt;height:11.65pt;mso-position-horizontal-relative:page;mso-position-vertical-relative:paragraph;z-index:-38716928" type="#_x0000_t202" filled="false" stroked="false">
            <v:textbox inset="0,0,0,0">
              <w:txbxContent>
                <w:p>
                  <w:pPr>
                    <w:spacing w:line="233" w:lineRule="exact" w:before="0"/>
                    <w:ind w:left="0" w:right="0" w:firstLine="0"/>
                    <w:jc w:val="left"/>
                    <w:rPr>
                      <w:rFonts w:ascii="Times New Roman"/>
                      <w:i/>
                      <w:sz w:val="21"/>
                    </w:rPr>
                  </w:pPr>
                  <w:r>
                    <w:rPr>
                      <w:rFonts w:ascii="Times New Roman"/>
                      <w:sz w:val="21"/>
                    </w:rPr>
                    <w:t>357</w:t>
                  </w:r>
                  <w:r>
                    <w:rPr>
                      <w:rFonts w:ascii="Times New Roman"/>
                      <w:i/>
                      <w:sz w:val="21"/>
                    </w:rPr>
                    <w:t>nV</w:t>
                  </w:r>
                  <w:r>
                    <w:rPr>
                      <w:rFonts w:ascii="Times New Roman"/>
                      <w:i/>
                      <w:spacing w:val="-21"/>
                      <w:sz w:val="21"/>
                    </w:rPr>
                    <w:t> </w:t>
                  </w:r>
                  <w:r>
                    <w:rPr>
                      <w:rFonts w:ascii="Times New Roman"/>
                      <w:spacing w:val="-4"/>
                      <w:sz w:val="21"/>
                    </w:rPr>
                    <w:t>/</w:t>
                  </w:r>
                  <w:r>
                    <w:rPr>
                      <w:rFonts w:ascii="Times New Roman"/>
                      <w:i/>
                      <w:spacing w:val="-4"/>
                      <w:sz w:val="21"/>
                    </w:rPr>
                    <w:t>V</w:t>
                  </w:r>
                </w:p>
              </w:txbxContent>
            </v:textbox>
            <w10:wrap type="none"/>
          </v:shape>
        </w:pict>
      </w:r>
      <w:r>
        <w:rPr>
          <w:sz w:val="18"/>
        </w:rPr>
        <w:t>A</w:t>
      </w:r>
      <w:r>
        <w:rPr/>
        <w:t>DC Gain Error vs %Power Supply Variation</w:t>
      </w:r>
    </w:p>
    <w:p>
      <w:pPr>
        <w:tabs>
          <w:tab w:pos="2179" w:val="left" w:leader="none"/>
          <w:tab w:pos="3156" w:val="left" w:leader="none"/>
        </w:tabs>
        <w:spacing w:before="175"/>
        <w:ind w:left="1349" w:right="0" w:firstLine="0"/>
        <w:jc w:val="left"/>
        <w:rPr>
          <w:rFonts w:ascii="Times New Roman"/>
          <w:i/>
          <w:sz w:val="12"/>
        </w:rPr>
      </w:pPr>
      <w:r>
        <w:rPr>
          <w:rFonts w:ascii="Times New Roman"/>
          <w:w w:val="96"/>
          <w:sz w:val="12"/>
          <w:u w:val="single"/>
        </w:rPr>
        <w:t> </w:t>
      </w:r>
      <w:r>
        <w:rPr>
          <w:rFonts w:ascii="Times New Roman"/>
          <w:sz w:val="12"/>
          <w:u w:val="single"/>
        </w:rPr>
        <w:tab/>
      </w:r>
      <w:r>
        <w:rPr>
          <w:rFonts w:ascii="Times New Roman"/>
          <w:i/>
          <w:sz w:val="12"/>
          <w:u w:val="single"/>
        </w:rPr>
        <w:t>PK</w:t>
        <w:tab/>
        <w:t>IN</w:t>
      </w:r>
    </w:p>
    <w:p>
      <w:pPr>
        <w:pStyle w:val="BodyText"/>
        <w:rPr>
          <w:rFonts w:ascii="Times New Roman"/>
          <w:i/>
          <w:sz w:val="22"/>
        </w:rPr>
      </w:pPr>
      <w:r>
        <w:rPr/>
        <w:br w:type="column"/>
      </w:r>
      <w:r>
        <w:rPr>
          <w:rFonts w:ascii="Times New Roman"/>
          <w:i/>
          <w:sz w:val="22"/>
        </w:rPr>
      </w:r>
    </w:p>
    <w:p>
      <w:pPr>
        <w:pStyle w:val="BodyText"/>
        <w:spacing w:before="2"/>
        <w:rPr>
          <w:rFonts w:ascii="Times New Roman"/>
          <w:i/>
          <w:sz w:val="30"/>
        </w:rPr>
      </w:pPr>
    </w:p>
    <w:p>
      <w:pPr>
        <w:spacing w:before="0"/>
        <w:ind w:left="263" w:right="0" w:firstLine="0"/>
        <w:jc w:val="left"/>
        <w:rPr>
          <w:sz w:val="20"/>
        </w:rPr>
      </w:pPr>
      <w:r>
        <w:rPr>
          <w:rFonts w:ascii="Times New Roman"/>
          <w:i/>
          <w:sz w:val="20"/>
        </w:rPr>
        <w:t>Vin </w:t>
      </w:r>
      <w:r>
        <w:rPr>
          <w:sz w:val="20"/>
        </w:rPr>
        <w:t>= 200 mV peak,</w:t>
      </w:r>
    </w:p>
    <w:p>
      <w:pPr>
        <w:pStyle w:val="BodyText"/>
        <w:spacing w:before="2"/>
        <w:ind w:left="263" w:right="-9"/>
      </w:pPr>
      <w:r>
        <w:rPr/>
        <w:t>65 Hz, on VADC8 (VA) </w:t>
      </w:r>
      <w:r>
        <w:rPr>
          <w:spacing w:val="-7"/>
        </w:rPr>
        <w:t>or </w:t>
      </w:r>
      <w:r>
        <w:rPr/>
        <w:t>VADC9 (VB) or VADC10 (VC).</w:t>
      </w:r>
    </w:p>
    <w:p>
      <w:pPr>
        <w:pStyle w:val="BodyText"/>
        <w:ind w:left="263" w:right="8"/>
      </w:pPr>
      <w:r>
        <w:rPr>
          <w:rFonts w:ascii="Times New Roman"/>
          <w:i/>
        </w:rPr>
        <w:t>Vcrosstalk </w:t>
      </w:r>
      <w:r>
        <w:rPr/>
        <w:t>= </w:t>
      </w:r>
      <w:r>
        <w:rPr>
          <w:spacing w:val="-4"/>
        </w:rPr>
        <w:t>largest measurement </w:t>
      </w:r>
      <w:r>
        <w:rPr/>
        <w:t>on </w:t>
      </w:r>
      <w:r>
        <w:rPr>
          <w:spacing w:val="-4"/>
        </w:rPr>
        <w:t>IADC0-1 </w:t>
      </w:r>
      <w:r>
        <w:rPr>
          <w:spacing w:val="-3"/>
        </w:rPr>
        <w:t>or </w:t>
      </w:r>
      <w:r>
        <w:rPr>
          <w:spacing w:val="-4"/>
        </w:rPr>
        <w:t>IADC2-3 </w:t>
      </w:r>
      <w:r>
        <w:rPr>
          <w:spacing w:val="-3"/>
        </w:rPr>
        <w:t>or </w:t>
      </w:r>
      <w:r>
        <w:rPr>
          <w:spacing w:val="-4"/>
        </w:rPr>
        <w:t>IADC4-5 </w:t>
      </w:r>
      <w:r>
        <w:rPr>
          <w:spacing w:val="-6"/>
        </w:rPr>
        <w:t>or </w:t>
      </w:r>
      <w:r>
        <w:rPr>
          <w:spacing w:val="-4"/>
        </w:rPr>
        <w:t>IADC6-7</w:t>
      </w:r>
    </w:p>
    <w:p>
      <w:pPr>
        <w:pStyle w:val="BodyText"/>
        <w:spacing w:before="60"/>
        <w:ind w:left="263"/>
      </w:pPr>
      <w:r>
        <w:rPr/>
        <w:t>Vin=65 Hz</w:t>
      </w:r>
    </w:p>
    <w:p>
      <w:pPr>
        <w:pStyle w:val="BodyText"/>
        <w:spacing w:before="6"/>
        <w:rPr>
          <w:sz w:val="32"/>
        </w:rPr>
      </w:pPr>
    </w:p>
    <w:p>
      <w:pPr>
        <w:pStyle w:val="BodyText"/>
        <w:spacing w:before="1"/>
        <w:ind w:left="263" w:right="249"/>
      </w:pPr>
      <w:r>
        <w:rPr/>
        <w:t>Vin=200 mV pk, 65 Hz V3P3A=3.0 V, 3.6 V</w:t>
      </w:r>
    </w:p>
    <w:p>
      <w:pPr>
        <w:pStyle w:val="BodyText"/>
        <w:spacing w:before="82"/>
        <w:ind w:left="280"/>
      </w:pPr>
      <w:r>
        <w:rPr/>
        <w:br w:type="column"/>
      </w:r>
      <w:r>
        <w:rPr/>
        <w:t>-250</w:t>
      </w:r>
    </w:p>
    <w:p>
      <w:pPr>
        <w:pStyle w:val="BodyText"/>
        <w:rPr>
          <w:sz w:val="22"/>
        </w:rPr>
      </w:pPr>
    </w:p>
    <w:p>
      <w:pPr>
        <w:pStyle w:val="BodyText"/>
        <w:rPr>
          <w:sz w:val="22"/>
        </w:rPr>
      </w:pPr>
    </w:p>
    <w:p>
      <w:pPr>
        <w:pStyle w:val="BodyText"/>
        <w:rPr>
          <w:sz w:val="22"/>
        </w:rPr>
      </w:pPr>
    </w:p>
    <w:p>
      <w:pPr>
        <w:pStyle w:val="BodyText"/>
        <w:spacing w:before="4"/>
        <w:rPr>
          <w:sz w:val="29"/>
        </w:rPr>
      </w:pPr>
    </w:p>
    <w:p>
      <w:pPr>
        <w:pStyle w:val="BodyText"/>
        <w:spacing w:before="1"/>
        <w:ind w:left="335"/>
      </w:pPr>
      <w:r>
        <w:rPr/>
        <w:t>-10</w:t>
      </w:r>
    </w:p>
    <w:p>
      <w:pPr>
        <w:pStyle w:val="BodyText"/>
        <w:rPr>
          <w:sz w:val="22"/>
        </w:rPr>
      </w:pPr>
    </w:p>
    <w:p>
      <w:pPr>
        <w:pStyle w:val="BodyText"/>
        <w:rPr>
          <w:sz w:val="22"/>
        </w:rPr>
      </w:pPr>
    </w:p>
    <w:p>
      <w:pPr>
        <w:pStyle w:val="BodyText"/>
        <w:spacing w:before="1"/>
        <w:rPr>
          <w:sz w:val="31"/>
        </w:rPr>
      </w:pPr>
    </w:p>
    <w:p>
      <w:pPr>
        <w:pStyle w:val="BodyText"/>
        <w:ind w:left="369"/>
      </w:pPr>
      <w:r>
        <w:rPr/>
        <w:t>40</w:t>
      </w:r>
    </w:p>
    <w:p>
      <w:pPr>
        <w:spacing w:before="82"/>
        <w:ind w:left="0" w:right="0" w:firstLine="0"/>
        <w:jc w:val="right"/>
        <w:rPr>
          <w:sz w:val="20"/>
        </w:rPr>
      </w:pPr>
      <w:r>
        <w:rPr/>
        <w:br w:type="column"/>
      </w:r>
      <w:r>
        <w:rPr>
          <w:spacing w:val="-2"/>
          <w:sz w:val="20"/>
        </w:rPr>
        <w:t>250</w:t>
      </w:r>
    </w:p>
    <w:p>
      <w:pPr>
        <w:pStyle w:val="BodyText"/>
        <w:rPr>
          <w:sz w:val="22"/>
        </w:rPr>
      </w:pPr>
    </w:p>
    <w:p>
      <w:pPr>
        <w:pStyle w:val="BodyText"/>
        <w:rPr>
          <w:sz w:val="22"/>
        </w:rPr>
      </w:pPr>
    </w:p>
    <w:p>
      <w:pPr>
        <w:pStyle w:val="BodyText"/>
        <w:rPr>
          <w:sz w:val="22"/>
        </w:rPr>
      </w:pPr>
    </w:p>
    <w:p>
      <w:pPr>
        <w:pStyle w:val="BodyText"/>
        <w:spacing w:before="4"/>
        <w:rPr>
          <w:sz w:val="29"/>
        </w:rPr>
      </w:pPr>
    </w:p>
    <w:p>
      <w:pPr>
        <w:pStyle w:val="BodyText"/>
        <w:spacing w:before="1"/>
        <w:ind w:right="62"/>
        <w:jc w:val="right"/>
      </w:pPr>
      <w:r>
        <w:rPr>
          <w:spacing w:val="-1"/>
          <w:w w:val="95"/>
        </w:rPr>
        <w:t>10</w:t>
      </w:r>
    </w:p>
    <w:p>
      <w:pPr>
        <w:pStyle w:val="BodyText"/>
        <w:rPr>
          <w:sz w:val="22"/>
        </w:rPr>
      </w:pPr>
    </w:p>
    <w:p>
      <w:pPr>
        <w:pStyle w:val="BodyText"/>
        <w:rPr>
          <w:sz w:val="22"/>
        </w:rPr>
      </w:pPr>
    </w:p>
    <w:p>
      <w:pPr>
        <w:pStyle w:val="BodyText"/>
        <w:spacing w:before="1"/>
        <w:rPr>
          <w:sz w:val="31"/>
        </w:rPr>
      </w:pPr>
    </w:p>
    <w:p>
      <w:pPr>
        <w:pStyle w:val="BodyText"/>
        <w:ind w:right="62"/>
        <w:jc w:val="right"/>
      </w:pPr>
      <w:r>
        <w:rPr>
          <w:spacing w:val="-1"/>
          <w:w w:val="95"/>
        </w:rPr>
        <w:t>90</w:t>
      </w:r>
    </w:p>
    <w:p>
      <w:pPr>
        <w:pStyle w:val="BodyText"/>
        <w:rPr>
          <w:sz w:val="22"/>
        </w:rPr>
      </w:pPr>
    </w:p>
    <w:p>
      <w:pPr>
        <w:pStyle w:val="BodyText"/>
        <w:spacing w:before="7"/>
      </w:pPr>
    </w:p>
    <w:p>
      <w:pPr>
        <w:pStyle w:val="BodyText"/>
        <w:spacing w:before="1"/>
        <w:ind w:right="50"/>
        <w:jc w:val="right"/>
      </w:pPr>
      <w:r>
        <w:rPr>
          <w:spacing w:val="-1"/>
          <w:w w:val="95"/>
        </w:rPr>
        <w:t>50</w:t>
      </w:r>
    </w:p>
    <w:p>
      <w:pPr>
        <w:pStyle w:val="BodyText"/>
        <w:spacing w:before="82"/>
        <w:ind w:left="404" w:right="677" w:firstLine="7"/>
        <w:jc w:val="center"/>
      </w:pPr>
      <w:r>
        <w:rPr/>
        <w:br w:type="column"/>
      </w:r>
      <w:r>
        <w:rPr/>
        <w:t>mV </w:t>
      </w:r>
      <w:r>
        <w:rPr>
          <w:spacing w:val="-1"/>
          <w:w w:val="95"/>
        </w:rPr>
        <w:t>peak</w:t>
      </w:r>
    </w:p>
    <w:p>
      <w:pPr>
        <w:pStyle w:val="BodyText"/>
        <w:rPr>
          <w:sz w:val="22"/>
        </w:rPr>
      </w:pPr>
    </w:p>
    <w:p>
      <w:pPr>
        <w:pStyle w:val="BodyText"/>
        <w:rPr>
          <w:sz w:val="22"/>
        </w:rPr>
      </w:pPr>
    </w:p>
    <w:p>
      <w:pPr>
        <w:pStyle w:val="BodyText"/>
        <w:spacing w:before="4"/>
        <w:rPr>
          <w:sz w:val="31"/>
        </w:rPr>
      </w:pPr>
    </w:p>
    <w:p>
      <w:pPr>
        <w:pStyle w:val="BodyText"/>
        <w:spacing w:before="1"/>
        <w:ind w:left="222" w:right="490"/>
        <w:jc w:val="center"/>
      </w:pPr>
      <w:r>
        <w:rPr/>
        <w:t>μV/V</w:t>
      </w:r>
    </w:p>
    <w:p>
      <w:pPr>
        <w:pStyle w:val="BodyText"/>
        <w:rPr>
          <w:sz w:val="22"/>
        </w:rPr>
      </w:pPr>
    </w:p>
    <w:p>
      <w:pPr>
        <w:pStyle w:val="BodyText"/>
        <w:rPr>
          <w:sz w:val="22"/>
        </w:rPr>
      </w:pPr>
    </w:p>
    <w:p>
      <w:pPr>
        <w:pStyle w:val="BodyText"/>
        <w:spacing w:before="1"/>
        <w:rPr>
          <w:sz w:val="31"/>
        </w:rPr>
      </w:pPr>
    </w:p>
    <w:p>
      <w:pPr>
        <w:pStyle w:val="BodyText"/>
        <w:ind w:left="222" w:right="482"/>
        <w:jc w:val="center"/>
      </w:pPr>
      <w:r>
        <w:rPr/>
        <w:t>kΩ</w:t>
      </w:r>
    </w:p>
    <w:p>
      <w:pPr>
        <w:pStyle w:val="BodyText"/>
        <w:rPr>
          <w:sz w:val="22"/>
        </w:rPr>
      </w:pPr>
    </w:p>
    <w:p>
      <w:pPr>
        <w:pStyle w:val="BodyText"/>
        <w:spacing w:before="7"/>
      </w:pPr>
    </w:p>
    <w:p>
      <w:pPr>
        <w:pStyle w:val="BodyText"/>
        <w:spacing w:before="1"/>
        <w:ind w:left="222" w:right="517"/>
        <w:jc w:val="center"/>
      </w:pPr>
      <w:r>
        <w:rPr/>
        <w:t>ppm / %</w:t>
      </w:r>
    </w:p>
    <w:p>
      <w:pPr>
        <w:spacing w:after="0"/>
        <w:jc w:val="center"/>
        <w:sectPr>
          <w:type w:val="continuous"/>
          <w:pgSz w:w="12240" w:h="15840"/>
          <w:pgMar w:top="940" w:bottom="280" w:left="960" w:right="940"/>
          <w:cols w:num="5" w:equalWidth="0">
            <w:col w:w="3734" w:space="40"/>
            <w:col w:w="2528" w:space="39"/>
            <w:col w:w="719" w:space="807"/>
            <w:col w:w="920" w:space="40"/>
            <w:col w:w="1513"/>
          </w:cols>
        </w:sectPr>
      </w:pPr>
    </w:p>
    <w:p>
      <w:pPr>
        <w:spacing w:before="9"/>
        <w:ind w:left="1628" w:right="0" w:firstLine="0"/>
        <w:jc w:val="left"/>
        <w:rPr>
          <w:rFonts w:ascii="Times New Roman" w:hAnsi="Times New Roman"/>
          <w:sz w:val="21"/>
        </w:rPr>
      </w:pPr>
      <w:r>
        <w:rPr/>
        <w:pict>
          <v:shape style="position:absolute;margin-left:71.999496pt;margin-top:17.453503pt;width:458.8pt;height:50.4pt;mso-position-horizontal-relative:page;mso-position-vertical-relative:paragraph;z-index:1586534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70"/>
                    <w:gridCol w:w="2467"/>
                    <w:gridCol w:w="809"/>
                    <w:gridCol w:w="991"/>
                    <w:gridCol w:w="813"/>
                    <w:gridCol w:w="623"/>
                  </w:tblGrid>
                  <w:tr>
                    <w:trPr>
                      <w:trHeight w:val="488" w:hRule="atLeast"/>
                    </w:trPr>
                    <w:tc>
                      <w:tcPr>
                        <w:tcW w:w="3470" w:type="dxa"/>
                      </w:tcPr>
                      <w:p>
                        <w:pPr>
                          <w:pStyle w:val="TableParagraph"/>
                          <w:spacing w:line="230" w:lineRule="atLeast" w:before="26"/>
                          <w:ind w:left="108" w:right="415"/>
                          <w:rPr>
                            <w:sz w:val="20"/>
                          </w:rPr>
                        </w:pPr>
                        <w:r>
                          <w:rPr>
                            <w:sz w:val="20"/>
                          </w:rPr>
                          <w:t>Input Offset </w:t>
                        </w:r>
                        <w:r>
                          <w:rPr>
                            <w:w w:val="95"/>
                            <w:sz w:val="20"/>
                          </w:rPr>
                          <w:t>IADC0=IADC1=V3P3A</w:t>
                        </w:r>
                      </w:p>
                    </w:tc>
                    <w:tc>
                      <w:tcPr>
                        <w:tcW w:w="2467" w:type="dxa"/>
                      </w:tcPr>
                      <w:p>
                        <w:pPr>
                          <w:pStyle w:val="TableParagraph"/>
                          <w:spacing w:before="1"/>
                          <w:rPr>
                            <w:sz w:val="22"/>
                          </w:rPr>
                        </w:pPr>
                      </w:p>
                      <w:p>
                        <w:pPr>
                          <w:pStyle w:val="TableParagraph"/>
                          <w:spacing w:line="215" w:lineRule="exact"/>
                          <w:ind w:left="108"/>
                          <w:rPr>
                            <w:sz w:val="20"/>
                          </w:rPr>
                        </w:pPr>
                        <w:r>
                          <w:rPr>
                            <w:rFonts w:ascii="Times New Roman"/>
                            <w:i/>
                            <w:sz w:val="20"/>
                          </w:rPr>
                          <w:t>DIFF0_E</w:t>
                        </w:r>
                        <w:r>
                          <w:rPr>
                            <w:sz w:val="20"/>
                          </w:rPr>
                          <w:t>=1, </w:t>
                        </w:r>
                        <w:r>
                          <w:rPr>
                            <w:rFonts w:ascii="Times New Roman"/>
                            <w:i/>
                            <w:sz w:val="20"/>
                          </w:rPr>
                          <w:t>PRE_E</w:t>
                        </w:r>
                        <w:r>
                          <w:rPr>
                            <w:sz w:val="20"/>
                          </w:rPr>
                          <w:t>=0</w:t>
                        </w:r>
                      </w:p>
                    </w:tc>
                    <w:tc>
                      <w:tcPr>
                        <w:tcW w:w="809" w:type="dxa"/>
                      </w:tcPr>
                      <w:p>
                        <w:pPr>
                          <w:pStyle w:val="TableParagraph"/>
                          <w:spacing w:before="3"/>
                          <w:rPr>
                            <w:sz w:val="22"/>
                          </w:rPr>
                        </w:pPr>
                      </w:p>
                      <w:p>
                        <w:pPr>
                          <w:pStyle w:val="TableParagraph"/>
                          <w:spacing w:line="213" w:lineRule="exact"/>
                          <w:ind w:left="239" w:right="240"/>
                          <w:jc w:val="center"/>
                          <w:rPr>
                            <w:sz w:val="20"/>
                          </w:rPr>
                        </w:pPr>
                        <w:r>
                          <w:rPr>
                            <w:sz w:val="20"/>
                          </w:rPr>
                          <w:t>-10</w:t>
                        </w:r>
                      </w:p>
                    </w:tc>
                    <w:tc>
                      <w:tcPr>
                        <w:tcW w:w="991" w:type="dxa"/>
                      </w:tcPr>
                      <w:p>
                        <w:pPr>
                          <w:pStyle w:val="TableParagraph"/>
                          <w:rPr>
                            <w:rFonts w:ascii="Times New Roman"/>
                            <w:sz w:val="14"/>
                          </w:rPr>
                        </w:pPr>
                      </w:p>
                    </w:tc>
                    <w:tc>
                      <w:tcPr>
                        <w:tcW w:w="813" w:type="dxa"/>
                      </w:tcPr>
                      <w:p>
                        <w:pPr>
                          <w:pStyle w:val="TableParagraph"/>
                          <w:spacing w:before="3"/>
                          <w:rPr>
                            <w:sz w:val="22"/>
                          </w:rPr>
                        </w:pPr>
                      </w:p>
                      <w:p>
                        <w:pPr>
                          <w:pStyle w:val="TableParagraph"/>
                          <w:spacing w:line="213" w:lineRule="exact"/>
                          <w:ind w:left="293"/>
                          <w:rPr>
                            <w:sz w:val="20"/>
                          </w:rPr>
                        </w:pPr>
                        <w:r>
                          <w:rPr>
                            <w:sz w:val="20"/>
                          </w:rPr>
                          <w:t>10</w:t>
                        </w:r>
                      </w:p>
                    </w:tc>
                    <w:tc>
                      <w:tcPr>
                        <w:tcW w:w="623" w:type="dxa"/>
                      </w:tcPr>
                      <w:p>
                        <w:pPr>
                          <w:pStyle w:val="TableParagraph"/>
                          <w:spacing w:before="3"/>
                          <w:rPr>
                            <w:sz w:val="22"/>
                          </w:rPr>
                        </w:pPr>
                      </w:p>
                      <w:p>
                        <w:pPr>
                          <w:pStyle w:val="TableParagraph"/>
                          <w:spacing w:line="213" w:lineRule="exact"/>
                          <w:ind w:right="45"/>
                          <w:jc w:val="right"/>
                          <w:rPr>
                            <w:sz w:val="20"/>
                          </w:rPr>
                        </w:pPr>
                        <w:r>
                          <w:rPr>
                            <w:w w:val="95"/>
                            <w:sz w:val="20"/>
                          </w:rPr>
                          <w:t>mV</w:t>
                        </w:r>
                      </w:p>
                    </w:tc>
                  </w:tr>
                  <w:tr>
                    <w:trPr>
                      <w:trHeight w:val="262" w:hRule="atLeast"/>
                    </w:trPr>
                    <w:tc>
                      <w:tcPr>
                        <w:tcW w:w="3470" w:type="dxa"/>
                      </w:tcPr>
                      <w:p>
                        <w:pPr>
                          <w:pStyle w:val="TableParagraph"/>
                          <w:spacing w:line="228" w:lineRule="exact"/>
                          <w:ind w:left="108"/>
                          <w:rPr>
                            <w:sz w:val="20"/>
                          </w:rPr>
                        </w:pPr>
                        <w:r>
                          <w:rPr>
                            <w:sz w:val="20"/>
                          </w:rPr>
                          <w:t>IADC0=V3P3A</w:t>
                        </w:r>
                      </w:p>
                    </w:tc>
                    <w:tc>
                      <w:tcPr>
                        <w:tcW w:w="2467" w:type="dxa"/>
                      </w:tcPr>
                      <w:p>
                        <w:pPr>
                          <w:pStyle w:val="TableParagraph"/>
                          <w:spacing w:line="226" w:lineRule="exact"/>
                          <w:ind w:left="108"/>
                          <w:rPr>
                            <w:sz w:val="20"/>
                          </w:rPr>
                        </w:pPr>
                        <w:r>
                          <w:rPr>
                            <w:rFonts w:ascii="Times New Roman"/>
                            <w:i/>
                            <w:sz w:val="20"/>
                          </w:rPr>
                          <w:t>DIFF0_E</w:t>
                        </w:r>
                        <w:r>
                          <w:rPr>
                            <w:sz w:val="20"/>
                          </w:rPr>
                          <w:t>=0, </w:t>
                        </w:r>
                        <w:r>
                          <w:rPr>
                            <w:rFonts w:ascii="Times New Roman"/>
                            <w:i/>
                            <w:sz w:val="20"/>
                          </w:rPr>
                          <w:t>PRE_E</w:t>
                        </w:r>
                        <w:r>
                          <w:rPr>
                            <w:sz w:val="20"/>
                          </w:rPr>
                          <w:t>=0</w:t>
                        </w:r>
                      </w:p>
                    </w:tc>
                    <w:tc>
                      <w:tcPr>
                        <w:tcW w:w="809" w:type="dxa"/>
                      </w:tcPr>
                      <w:p>
                        <w:pPr>
                          <w:pStyle w:val="TableParagraph"/>
                          <w:spacing w:line="228" w:lineRule="exact"/>
                          <w:ind w:left="239" w:right="240"/>
                          <w:jc w:val="center"/>
                          <w:rPr>
                            <w:sz w:val="20"/>
                          </w:rPr>
                        </w:pPr>
                        <w:r>
                          <w:rPr>
                            <w:sz w:val="20"/>
                          </w:rPr>
                          <w:t>-10</w:t>
                        </w:r>
                      </w:p>
                    </w:tc>
                    <w:tc>
                      <w:tcPr>
                        <w:tcW w:w="991" w:type="dxa"/>
                      </w:tcPr>
                      <w:p>
                        <w:pPr>
                          <w:pStyle w:val="TableParagraph"/>
                          <w:rPr>
                            <w:rFonts w:ascii="Times New Roman"/>
                            <w:sz w:val="14"/>
                          </w:rPr>
                        </w:pPr>
                      </w:p>
                    </w:tc>
                    <w:tc>
                      <w:tcPr>
                        <w:tcW w:w="813" w:type="dxa"/>
                      </w:tcPr>
                      <w:p>
                        <w:pPr>
                          <w:pStyle w:val="TableParagraph"/>
                          <w:spacing w:line="228" w:lineRule="exact"/>
                          <w:ind w:left="293"/>
                          <w:rPr>
                            <w:sz w:val="20"/>
                          </w:rPr>
                        </w:pPr>
                        <w:r>
                          <w:rPr>
                            <w:sz w:val="20"/>
                          </w:rPr>
                          <w:t>10</w:t>
                        </w:r>
                      </w:p>
                    </w:tc>
                    <w:tc>
                      <w:tcPr>
                        <w:tcW w:w="623" w:type="dxa"/>
                      </w:tcPr>
                      <w:p>
                        <w:pPr>
                          <w:pStyle w:val="TableParagraph"/>
                          <w:spacing w:line="228" w:lineRule="exact"/>
                          <w:ind w:right="45"/>
                          <w:jc w:val="right"/>
                          <w:rPr>
                            <w:sz w:val="20"/>
                          </w:rPr>
                        </w:pPr>
                        <w:r>
                          <w:rPr>
                            <w:w w:val="95"/>
                            <w:sz w:val="20"/>
                          </w:rPr>
                          <w:t>mV</w:t>
                        </w:r>
                      </w:p>
                    </w:tc>
                  </w:tr>
                  <w:tr>
                    <w:trPr>
                      <w:trHeight w:val="255" w:hRule="atLeast"/>
                    </w:trPr>
                    <w:tc>
                      <w:tcPr>
                        <w:tcW w:w="3470" w:type="dxa"/>
                      </w:tcPr>
                      <w:p>
                        <w:pPr>
                          <w:pStyle w:val="TableParagraph"/>
                          <w:spacing w:line="210" w:lineRule="exact" w:before="26"/>
                          <w:ind w:left="108"/>
                          <w:rPr>
                            <w:sz w:val="20"/>
                          </w:rPr>
                        </w:pPr>
                        <w:r>
                          <w:rPr>
                            <w:sz w:val="20"/>
                          </w:rPr>
                          <w:t>THD @ 250mVpk</w:t>
                        </w:r>
                      </w:p>
                    </w:tc>
                    <w:tc>
                      <w:tcPr>
                        <w:tcW w:w="2467" w:type="dxa"/>
                      </w:tcPr>
                      <w:p>
                        <w:pPr>
                          <w:pStyle w:val="TableParagraph"/>
                          <w:spacing w:before="24"/>
                          <w:ind w:left="108"/>
                          <w:rPr>
                            <w:sz w:val="16"/>
                          </w:rPr>
                        </w:pPr>
                        <w:r>
                          <w:rPr>
                            <w:position w:val="2"/>
                            <w:sz w:val="16"/>
                          </w:rPr>
                          <w:t>V</w:t>
                        </w:r>
                        <w:r>
                          <w:rPr>
                            <w:sz w:val="10"/>
                          </w:rPr>
                          <w:t>IN </w:t>
                        </w:r>
                        <w:r>
                          <w:rPr>
                            <w:position w:val="2"/>
                            <w:sz w:val="16"/>
                          </w:rPr>
                          <w:t>= 65Hz, 250mVpk,</w:t>
                        </w:r>
                      </w:p>
                    </w:tc>
                    <w:tc>
                      <w:tcPr>
                        <w:tcW w:w="809" w:type="dxa"/>
                      </w:tcPr>
                      <w:p>
                        <w:pPr>
                          <w:pStyle w:val="TableParagraph"/>
                          <w:rPr>
                            <w:rFonts w:ascii="Times New Roman"/>
                            <w:sz w:val="14"/>
                          </w:rPr>
                        </w:pPr>
                      </w:p>
                    </w:tc>
                    <w:tc>
                      <w:tcPr>
                        <w:tcW w:w="991" w:type="dxa"/>
                      </w:tcPr>
                      <w:p>
                        <w:pPr>
                          <w:pStyle w:val="TableParagraph"/>
                          <w:rPr>
                            <w:rFonts w:ascii="Times New Roman"/>
                            <w:sz w:val="14"/>
                          </w:rPr>
                        </w:pPr>
                      </w:p>
                    </w:tc>
                    <w:tc>
                      <w:tcPr>
                        <w:tcW w:w="813" w:type="dxa"/>
                      </w:tcPr>
                      <w:p>
                        <w:pPr>
                          <w:pStyle w:val="TableParagraph"/>
                          <w:rPr>
                            <w:rFonts w:ascii="Times New Roman"/>
                            <w:sz w:val="14"/>
                          </w:rPr>
                        </w:pPr>
                      </w:p>
                    </w:tc>
                    <w:tc>
                      <w:tcPr>
                        <w:tcW w:w="623" w:type="dxa"/>
                      </w:tcPr>
                      <w:p>
                        <w:pPr>
                          <w:pStyle w:val="TableParagraph"/>
                          <w:rPr>
                            <w:rFonts w:ascii="Times New Roman"/>
                            <w:sz w:val="14"/>
                          </w:rPr>
                        </w:pPr>
                      </w:p>
                    </w:tc>
                  </w:tr>
                </w:tbl>
                <w:p>
                  <w:pPr>
                    <w:pStyle w:val="BodyText"/>
                  </w:pPr>
                </w:p>
              </w:txbxContent>
            </v:textbox>
            <w10:wrap type="none"/>
          </v:shape>
        </w:pict>
      </w:r>
      <w:r>
        <w:rPr>
          <w:rFonts w:ascii="Times New Roman" w:hAnsi="Times New Roman"/>
          <w:sz w:val="21"/>
        </w:rPr>
        <w:t>100 </w:t>
      </w:r>
      <w:r>
        <w:rPr>
          <w:rFonts w:ascii="Symbol" w:hAnsi="Symbol"/>
          <w:sz w:val="21"/>
        </w:rPr>
        <w:t></w:t>
      </w:r>
      <w:r>
        <w:rPr>
          <w:rFonts w:ascii="Times New Roman" w:hAnsi="Times New Roman"/>
          <w:i/>
          <w:sz w:val="21"/>
        </w:rPr>
        <w:t>V </w:t>
      </w:r>
      <w:r>
        <w:rPr>
          <w:rFonts w:ascii="Times New Roman" w:hAnsi="Times New Roman"/>
          <w:sz w:val="21"/>
        </w:rPr>
        <w:t>3</w:t>
      </w:r>
      <w:r>
        <w:rPr>
          <w:rFonts w:ascii="Times New Roman" w:hAnsi="Times New Roman"/>
          <w:i/>
          <w:sz w:val="21"/>
        </w:rPr>
        <w:t>P</w:t>
      </w:r>
      <w:r>
        <w:rPr>
          <w:rFonts w:ascii="Times New Roman" w:hAnsi="Times New Roman"/>
          <w:sz w:val="21"/>
        </w:rPr>
        <w:t>3</w:t>
      </w:r>
      <w:r>
        <w:rPr>
          <w:rFonts w:ascii="Times New Roman" w:hAnsi="Times New Roman"/>
          <w:i/>
          <w:sz w:val="21"/>
        </w:rPr>
        <w:t>A </w:t>
      </w:r>
      <w:r>
        <w:rPr>
          <w:rFonts w:ascii="Times New Roman" w:hAnsi="Times New Roman"/>
          <w:sz w:val="21"/>
        </w:rPr>
        <w:t>/ 3.3</w:t>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8"/>
        <w:rPr>
          <w:rFonts w:ascii="Times New Roman"/>
          <w:sz w:val="21"/>
        </w:rPr>
      </w:pPr>
    </w:p>
    <w:p>
      <w:pPr>
        <w:spacing w:after="0"/>
        <w:rPr>
          <w:rFonts w:ascii="Times New Roman"/>
          <w:sz w:val="21"/>
        </w:rPr>
        <w:sectPr>
          <w:type w:val="continuous"/>
          <w:pgSz w:w="12240" w:h="15840"/>
          <w:pgMar w:top="940" w:bottom="280" w:left="960" w:right="940"/>
        </w:sectPr>
      </w:pPr>
    </w:p>
    <w:p>
      <w:pPr>
        <w:pStyle w:val="BodyText"/>
        <w:rPr>
          <w:rFonts w:ascii="Times New Roman"/>
          <w:sz w:val="8"/>
        </w:rPr>
      </w:pPr>
    </w:p>
    <w:p>
      <w:pPr>
        <w:spacing w:before="71"/>
        <w:ind w:left="0" w:right="0" w:firstLine="0"/>
        <w:jc w:val="right"/>
        <w:rPr>
          <w:b/>
          <w:sz w:val="8"/>
        </w:rPr>
      </w:pPr>
      <w:r>
        <w:rPr>
          <w:b/>
          <w:w w:val="95"/>
          <w:sz w:val="8"/>
        </w:rPr>
        <w:t>Name</w:t>
      </w:r>
    </w:p>
    <w:p>
      <w:pPr>
        <w:spacing w:line="261" w:lineRule="auto" w:before="9"/>
        <w:ind w:left="811" w:right="66" w:firstLine="4"/>
        <w:jc w:val="both"/>
        <w:rPr>
          <w:sz w:val="10"/>
        </w:rPr>
      </w:pPr>
      <w:r>
        <w:rPr>
          <w:sz w:val="10"/>
        </w:rPr>
        <w:t>A B C D E F G H J</w:t>
      </w:r>
    </w:p>
    <w:p>
      <w:pPr>
        <w:pStyle w:val="BodyText"/>
        <w:rPr>
          <w:sz w:val="8"/>
        </w:rPr>
      </w:pPr>
      <w:r>
        <w:rPr/>
        <w:br w:type="column"/>
      </w:r>
      <w:r>
        <w:rPr>
          <w:sz w:val="8"/>
        </w:rPr>
      </w:r>
    </w:p>
    <w:p>
      <w:pPr>
        <w:spacing w:before="71"/>
        <w:ind w:left="218" w:right="0" w:firstLine="0"/>
        <w:jc w:val="left"/>
        <w:rPr>
          <w:rFonts w:ascii="Times New Roman"/>
          <w:b/>
          <w:i/>
          <w:sz w:val="8"/>
        </w:rPr>
      </w:pPr>
      <w:r>
        <w:rPr>
          <w:rFonts w:ascii="Times New Roman"/>
          <w:b/>
          <w:i/>
          <w:w w:val="95"/>
          <w:sz w:val="8"/>
        </w:rPr>
        <w:t>FIR_LEN</w:t>
      </w:r>
    </w:p>
    <w:p>
      <w:pPr>
        <w:spacing w:before="9"/>
        <w:ind w:left="0" w:right="99" w:firstLine="0"/>
        <w:jc w:val="right"/>
        <w:rPr>
          <w:sz w:val="10"/>
        </w:rPr>
      </w:pPr>
      <w:r>
        <w:rPr>
          <w:w w:val="100"/>
          <w:sz w:val="10"/>
        </w:rPr>
        <w:t>0</w:t>
      </w:r>
    </w:p>
    <w:p>
      <w:pPr>
        <w:spacing w:before="10"/>
        <w:ind w:left="0" w:right="99" w:firstLine="0"/>
        <w:jc w:val="right"/>
        <w:rPr>
          <w:sz w:val="10"/>
        </w:rPr>
      </w:pPr>
      <w:r>
        <w:rPr>
          <w:w w:val="100"/>
          <w:sz w:val="10"/>
        </w:rPr>
        <w:t>1</w:t>
      </w:r>
    </w:p>
    <w:p>
      <w:pPr>
        <w:spacing w:before="9"/>
        <w:ind w:left="0" w:right="99" w:firstLine="0"/>
        <w:jc w:val="right"/>
        <w:rPr>
          <w:sz w:val="10"/>
        </w:rPr>
      </w:pPr>
      <w:r>
        <w:rPr>
          <w:w w:val="100"/>
          <w:sz w:val="10"/>
        </w:rPr>
        <w:t>0</w:t>
      </w:r>
    </w:p>
    <w:p>
      <w:pPr>
        <w:spacing w:before="10"/>
        <w:ind w:left="0" w:right="99" w:firstLine="0"/>
        <w:jc w:val="right"/>
        <w:rPr>
          <w:sz w:val="10"/>
        </w:rPr>
      </w:pPr>
      <w:r>
        <w:rPr>
          <w:w w:val="100"/>
          <w:sz w:val="10"/>
        </w:rPr>
        <w:t>1</w:t>
      </w:r>
    </w:p>
    <w:p>
      <w:pPr>
        <w:spacing w:before="10"/>
        <w:ind w:left="0" w:right="99" w:firstLine="0"/>
        <w:jc w:val="right"/>
        <w:rPr>
          <w:sz w:val="10"/>
        </w:rPr>
      </w:pPr>
      <w:r>
        <w:rPr>
          <w:w w:val="100"/>
          <w:sz w:val="10"/>
        </w:rPr>
        <w:t>2</w:t>
      </w:r>
    </w:p>
    <w:p>
      <w:pPr>
        <w:spacing w:before="10"/>
        <w:ind w:left="0" w:right="99" w:firstLine="0"/>
        <w:jc w:val="right"/>
        <w:rPr>
          <w:sz w:val="10"/>
        </w:rPr>
      </w:pPr>
      <w:r>
        <w:rPr>
          <w:w w:val="100"/>
          <w:sz w:val="10"/>
        </w:rPr>
        <w:t>0</w:t>
      </w:r>
    </w:p>
    <w:p>
      <w:pPr>
        <w:spacing w:before="10"/>
        <w:ind w:left="0" w:right="99" w:firstLine="0"/>
        <w:jc w:val="right"/>
        <w:rPr>
          <w:sz w:val="10"/>
        </w:rPr>
      </w:pPr>
      <w:r>
        <w:rPr>
          <w:w w:val="100"/>
          <w:sz w:val="10"/>
        </w:rPr>
        <w:t>0</w:t>
      </w:r>
    </w:p>
    <w:p>
      <w:pPr>
        <w:spacing w:before="12"/>
        <w:ind w:left="0" w:right="99" w:firstLine="0"/>
        <w:jc w:val="right"/>
        <w:rPr>
          <w:sz w:val="10"/>
        </w:rPr>
      </w:pPr>
      <w:r>
        <w:rPr>
          <w:w w:val="100"/>
          <w:sz w:val="10"/>
        </w:rPr>
        <w:t>1</w:t>
      </w:r>
    </w:p>
    <w:p>
      <w:pPr>
        <w:spacing w:before="10"/>
        <w:ind w:left="0" w:right="99" w:firstLine="0"/>
        <w:jc w:val="right"/>
        <w:rPr>
          <w:sz w:val="10"/>
        </w:rPr>
      </w:pPr>
      <w:r>
        <w:rPr>
          <w:w w:val="100"/>
          <w:sz w:val="10"/>
        </w:rPr>
        <w:t>2</w:t>
      </w:r>
    </w:p>
    <w:p>
      <w:pPr>
        <w:pStyle w:val="BodyText"/>
        <w:rPr>
          <w:sz w:val="8"/>
        </w:rPr>
      </w:pPr>
      <w:r>
        <w:rPr/>
        <w:br w:type="column"/>
      </w:r>
      <w:r>
        <w:rPr>
          <w:sz w:val="8"/>
        </w:rPr>
      </w:r>
    </w:p>
    <w:p>
      <w:pPr>
        <w:spacing w:before="71"/>
        <w:ind w:left="255" w:right="0" w:firstLine="0"/>
        <w:jc w:val="left"/>
        <w:rPr>
          <w:rFonts w:ascii="Times New Roman"/>
          <w:b/>
          <w:i/>
          <w:sz w:val="8"/>
        </w:rPr>
      </w:pPr>
      <w:r>
        <w:rPr>
          <w:rFonts w:ascii="Times New Roman"/>
          <w:b/>
          <w:i/>
          <w:w w:val="95"/>
          <w:sz w:val="8"/>
        </w:rPr>
        <w:t>ADC_DIV</w:t>
      </w:r>
    </w:p>
    <w:p>
      <w:pPr>
        <w:spacing w:before="9"/>
        <w:ind w:left="0" w:right="110" w:firstLine="0"/>
        <w:jc w:val="right"/>
        <w:rPr>
          <w:sz w:val="10"/>
        </w:rPr>
      </w:pPr>
      <w:r>
        <w:rPr>
          <w:w w:val="100"/>
          <w:sz w:val="10"/>
        </w:rPr>
        <w:t>0</w:t>
      </w:r>
    </w:p>
    <w:p>
      <w:pPr>
        <w:spacing w:before="10"/>
        <w:ind w:left="0" w:right="110" w:firstLine="0"/>
        <w:jc w:val="right"/>
        <w:rPr>
          <w:sz w:val="10"/>
        </w:rPr>
      </w:pPr>
      <w:r>
        <w:rPr>
          <w:w w:val="100"/>
          <w:sz w:val="10"/>
        </w:rPr>
        <w:t>0</w:t>
      </w:r>
    </w:p>
    <w:p>
      <w:pPr>
        <w:spacing w:before="9"/>
        <w:ind w:left="0" w:right="110" w:firstLine="0"/>
        <w:jc w:val="right"/>
        <w:rPr>
          <w:sz w:val="10"/>
        </w:rPr>
      </w:pPr>
      <w:r>
        <w:rPr>
          <w:w w:val="100"/>
          <w:sz w:val="10"/>
        </w:rPr>
        <w:t>0</w:t>
      </w:r>
    </w:p>
    <w:p>
      <w:pPr>
        <w:spacing w:before="10"/>
        <w:ind w:left="0" w:right="110" w:firstLine="0"/>
        <w:jc w:val="right"/>
        <w:rPr>
          <w:sz w:val="10"/>
        </w:rPr>
      </w:pPr>
      <w:r>
        <w:rPr>
          <w:w w:val="100"/>
          <w:sz w:val="10"/>
        </w:rPr>
        <w:t>0</w:t>
      </w:r>
    </w:p>
    <w:p>
      <w:pPr>
        <w:spacing w:before="10"/>
        <w:ind w:left="0" w:right="110" w:firstLine="0"/>
        <w:jc w:val="right"/>
        <w:rPr>
          <w:sz w:val="10"/>
        </w:rPr>
      </w:pPr>
      <w:r>
        <w:rPr>
          <w:w w:val="100"/>
          <w:sz w:val="10"/>
        </w:rPr>
        <w:t>0</w:t>
      </w:r>
    </w:p>
    <w:p>
      <w:pPr>
        <w:spacing w:before="10"/>
        <w:ind w:left="0" w:right="110" w:firstLine="0"/>
        <w:jc w:val="right"/>
        <w:rPr>
          <w:sz w:val="10"/>
        </w:rPr>
      </w:pPr>
      <w:r>
        <w:rPr>
          <w:w w:val="100"/>
          <w:sz w:val="10"/>
        </w:rPr>
        <w:t>1</w:t>
      </w:r>
    </w:p>
    <w:p>
      <w:pPr>
        <w:spacing w:before="10"/>
        <w:ind w:left="0" w:right="110" w:firstLine="0"/>
        <w:jc w:val="right"/>
        <w:rPr>
          <w:sz w:val="10"/>
        </w:rPr>
      </w:pPr>
      <w:r>
        <w:rPr>
          <w:w w:val="100"/>
          <w:sz w:val="10"/>
        </w:rPr>
        <w:t>1</w:t>
      </w:r>
    </w:p>
    <w:p>
      <w:pPr>
        <w:spacing w:before="12"/>
        <w:ind w:left="0" w:right="110" w:firstLine="0"/>
        <w:jc w:val="right"/>
        <w:rPr>
          <w:sz w:val="10"/>
        </w:rPr>
      </w:pPr>
      <w:r>
        <w:rPr>
          <w:w w:val="100"/>
          <w:sz w:val="10"/>
        </w:rPr>
        <w:t>1</w:t>
      </w:r>
    </w:p>
    <w:p>
      <w:pPr>
        <w:spacing w:before="10"/>
        <w:ind w:left="0" w:right="110" w:firstLine="0"/>
        <w:jc w:val="right"/>
        <w:rPr>
          <w:sz w:val="10"/>
        </w:rPr>
      </w:pPr>
      <w:r>
        <w:rPr>
          <w:w w:val="100"/>
          <w:sz w:val="10"/>
        </w:rPr>
        <w:t>1</w:t>
      </w:r>
    </w:p>
    <w:p>
      <w:pPr>
        <w:pStyle w:val="BodyText"/>
        <w:rPr>
          <w:sz w:val="8"/>
        </w:rPr>
      </w:pPr>
      <w:r>
        <w:rPr/>
        <w:br w:type="column"/>
      </w:r>
      <w:r>
        <w:rPr>
          <w:sz w:val="8"/>
        </w:rPr>
      </w:r>
    </w:p>
    <w:p>
      <w:pPr>
        <w:spacing w:before="71"/>
        <w:ind w:left="242" w:right="0" w:firstLine="0"/>
        <w:jc w:val="left"/>
        <w:rPr>
          <w:rFonts w:ascii="Times New Roman"/>
          <w:b/>
          <w:i/>
          <w:sz w:val="8"/>
        </w:rPr>
      </w:pPr>
      <w:r>
        <w:rPr>
          <w:rFonts w:ascii="Times New Roman"/>
          <w:b/>
          <w:i/>
          <w:w w:val="95"/>
          <w:sz w:val="8"/>
        </w:rPr>
        <w:t>PLL_FAST</w:t>
      </w:r>
    </w:p>
    <w:p>
      <w:pPr>
        <w:spacing w:before="9"/>
        <w:ind w:left="0" w:right="57" w:firstLine="0"/>
        <w:jc w:val="right"/>
        <w:rPr>
          <w:sz w:val="10"/>
        </w:rPr>
      </w:pPr>
      <w:r>
        <w:rPr>
          <w:w w:val="100"/>
          <w:sz w:val="10"/>
        </w:rPr>
        <w:t>0</w:t>
      </w:r>
    </w:p>
    <w:p>
      <w:pPr>
        <w:spacing w:before="10"/>
        <w:ind w:left="0" w:right="57" w:firstLine="0"/>
        <w:jc w:val="right"/>
        <w:rPr>
          <w:sz w:val="10"/>
        </w:rPr>
      </w:pPr>
      <w:r>
        <w:rPr>
          <w:w w:val="100"/>
          <w:sz w:val="10"/>
        </w:rPr>
        <w:t>0</w:t>
      </w:r>
    </w:p>
    <w:p>
      <w:pPr>
        <w:spacing w:before="9"/>
        <w:ind w:left="0" w:right="57" w:firstLine="0"/>
        <w:jc w:val="right"/>
        <w:rPr>
          <w:sz w:val="10"/>
        </w:rPr>
      </w:pPr>
      <w:r>
        <w:rPr>
          <w:w w:val="100"/>
          <w:sz w:val="10"/>
        </w:rPr>
        <w:t>1</w:t>
      </w:r>
    </w:p>
    <w:p>
      <w:pPr>
        <w:spacing w:before="10"/>
        <w:ind w:left="0" w:right="57" w:firstLine="0"/>
        <w:jc w:val="right"/>
        <w:rPr>
          <w:sz w:val="10"/>
        </w:rPr>
      </w:pPr>
      <w:r>
        <w:rPr>
          <w:w w:val="100"/>
          <w:sz w:val="10"/>
        </w:rPr>
        <w:t>1</w:t>
      </w:r>
    </w:p>
    <w:p>
      <w:pPr>
        <w:spacing w:before="10"/>
        <w:ind w:left="0" w:right="57" w:firstLine="0"/>
        <w:jc w:val="right"/>
        <w:rPr>
          <w:sz w:val="10"/>
        </w:rPr>
      </w:pPr>
      <w:r>
        <w:rPr>
          <w:w w:val="100"/>
          <w:sz w:val="10"/>
        </w:rPr>
        <w:t>1</w:t>
      </w:r>
    </w:p>
    <w:p>
      <w:pPr>
        <w:spacing w:before="10"/>
        <w:ind w:left="0" w:right="57" w:firstLine="0"/>
        <w:jc w:val="right"/>
        <w:rPr>
          <w:sz w:val="10"/>
        </w:rPr>
      </w:pPr>
      <w:r>
        <w:rPr>
          <w:w w:val="100"/>
          <w:sz w:val="10"/>
        </w:rPr>
        <w:t>0</w:t>
      </w:r>
    </w:p>
    <w:p>
      <w:pPr>
        <w:spacing w:before="10"/>
        <w:ind w:left="0" w:right="57" w:firstLine="0"/>
        <w:jc w:val="right"/>
        <w:rPr>
          <w:sz w:val="10"/>
        </w:rPr>
      </w:pPr>
      <w:r>
        <w:rPr>
          <w:w w:val="100"/>
          <w:sz w:val="10"/>
        </w:rPr>
        <w:t>1</w:t>
      </w:r>
    </w:p>
    <w:p>
      <w:pPr>
        <w:spacing w:before="12"/>
        <w:ind w:left="0" w:right="57" w:firstLine="0"/>
        <w:jc w:val="right"/>
        <w:rPr>
          <w:sz w:val="10"/>
        </w:rPr>
      </w:pPr>
      <w:r>
        <w:rPr>
          <w:w w:val="100"/>
          <w:sz w:val="10"/>
        </w:rPr>
        <w:t>1</w:t>
      </w:r>
    </w:p>
    <w:p>
      <w:pPr>
        <w:spacing w:before="10"/>
        <w:ind w:left="0" w:right="57" w:firstLine="0"/>
        <w:jc w:val="right"/>
        <w:rPr>
          <w:sz w:val="10"/>
        </w:rPr>
      </w:pPr>
      <w:r>
        <w:rPr>
          <w:w w:val="100"/>
          <w:sz w:val="10"/>
        </w:rPr>
        <w:t>1</w:t>
      </w:r>
    </w:p>
    <w:p>
      <w:pPr>
        <w:pStyle w:val="BodyText"/>
        <w:rPr>
          <w:sz w:val="8"/>
        </w:rPr>
      </w:pPr>
      <w:r>
        <w:rPr/>
        <w:br w:type="column"/>
      </w:r>
      <w:r>
        <w:rPr>
          <w:sz w:val="8"/>
        </w:rPr>
      </w:r>
    </w:p>
    <w:p>
      <w:pPr>
        <w:spacing w:before="71"/>
        <w:ind w:left="386" w:right="0" w:firstLine="0"/>
        <w:jc w:val="left"/>
        <w:rPr>
          <w:rFonts w:ascii="Times New Roman"/>
          <w:b/>
          <w:i/>
          <w:sz w:val="8"/>
        </w:rPr>
      </w:pPr>
      <w:r>
        <w:rPr>
          <w:rFonts w:ascii="Times New Roman"/>
          <w:b/>
          <w:i/>
          <w:sz w:val="8"/>
        </w:rPr>
        <w:t>MUX_DIV</w:t>
      </w:r>
    </w:p>
    <w:p>
      <w:pPr>
        <w:spacing w:before="9"/>
        <w:ind w:left="0" w:right="117" w:firstLine="0"/>
        <w:jc w:val="right"/>
        <w:rPr>
          <w:sz w:val="10"/>
        </w:rPr>
      </w:pPr>
      <w:r>
        <w:rPr>
          <w:w w:val="100"/>
          <w:sz w:val="10"/>
        </w:rPr>
        <w:t>3</w:t>
      </w:r>
    </w:p>
    <w:p>
      <w:pPr>
        <w:spacing w:before="10"/>
        <w:ind w:left="0" w:right="117" w:firstLine="0"/>
        <w:jc w:val="right"/>
        <w:rPr>
          <w:sz w:val="10"/>
        </w:rPr>
      </w:pPr>
      <w:r>
        <w:rPr>
          <w:w w:val="100"/>
          <w:sz w:val="10"/>
        </w:rPr>
        <w:t>2</w:t>
      </w:r>
    </w:p>
    <w:p>
      <w:pPr>
        <w:spacing w:before="9"/>
        <w:ind w:left="0" w:right="89" w:firstLine="0"/>
        <w:jc w:val="right"/>
        <w:rPr>
          <w:sz w:val="10"/>
        </w:rPr>
      </w:pPr>
      <w:r>
        <w:rPr>
          <w:sz w:val="10"/>
        </w:rPr>
        <w:t>11</w:t>
      </w:r>
    </w:p>
    <w:p>
      <w:pPr>
        <w:spacing w:before="10"/>
        <w:ind w:left="0" w:right="117" w:firstLine="0"/>
        <w:jc w:val="right"/>
        <w:rPr>
          <w:sz w:val="10"/>
        </w:rPr>
      </w:pPr>
      <w:r>
        <w:rPr>
          <w:w w:val="100"/>
          <w:sz w:val="10"/>
        </w:rPr>
        <w:t>6</w:t>
      </w:r>
    </w:p>
    <w:p>
      <w:pPr>
        <w:spacing w:before="10"/>
        <w:ind w:left="0" w:right="117" w:firstLine="0"/>
        <w:jc w:val="right"/>
        <w:rPr>
          <w:sz w:val="10"/>
        </w:rPr>
      </w:pPr>
      <w:r>
        <w:rPr>
          <w:w w:val="100"/>
          <w:sz w:val="10"/>
        </w:rPr>
        <w:t>4</w:t>
      </w:r>
    </w:p>
    <w:p>
      <w:pPr>
        <w:spacing w:before="10"/>
        <w:ind w:left="0" w:right="117" w:firstLine="0"/>
        <w:jc w:val="right"/>
        <w:rPr>
          <w:sz w:val="10"/>
        </w:rPr>
      </w:pPr>
      <w:r>
        <w:rPr>
          <w:w w:val="100"/>
          <w:sz w:val="10"/>
        </w:rPr>
        <w:t>2</w:t>
      </w:r>
    </w:p>
    <w:p>
      <w:pPr>
        <w:spacing w:before="10"/>
        <w:ind w:left="0" w:right="117" w:firstLine="0"/>
        <w:jc w:val="right"/>
        <w:rPr>
          <w:sz w:val="10"/>
        </w:rPr>
      </w:pPr>
      <w:r>
        <w:rPr>
          <w:w w:val="100"/>
          <w:sz w:val="10"/>
        </w:rPr>
        <w:t>6</w:t>
      </w:r>
    </w:p>
    <w:p>
      <w:pPr>
        <w:spacing w:before="12"/>
        <w:ind w:left="0" w:right="117" w:firstLine="0"/>
        <w:jc w:val="right"/>
        <w:rPr>
          <w:sz w:val="10"/>
        </w:rPr>
      </w:pPr>
      <w:r>
        <w:rPr>
          <w:w w:val="100"/>
          <w:sz w:val="10"/>
        </w:rPr>
        <w:t>3</w:t>
      </w:r>
    </w:p>
    <w:p>
      <w:pPr>
        <w:spacing w:before="10"/>
        <w:ind w:left="0" w:right="117" w:firstLine="0"/>
        <w:jc w:val="right"/>
        <w:rPr>
          <w:sz w:val="10"/>
        </w:rPr>
      </w:pPr>
      <w:r>
        <w:rPr>
          <w:w w:val="100"/>
          <w:sz w:val="10"/>
        </w:rPr>
        <w:t>2</w:t>
      </w:r>
    </w:p>
    <w:p>
      <w:pPr>
        <w:spacing w:before="104"/>
        <w:ind w:left="365" w:right="21" w:firstLine="0"/>
        <w:jc w:val="left"/>
        <w:rPr>
          <w:sz w:val="16"/>
        </w:rPr>
      </w:pPr>
      <w:r>
        <w:rPr/>
        <w:br w:type="column"/>
      </w:r>
      <w:r>
        <w:rPr>
          <w:sz w:val="16"/>
        </w:rPr>
        <w:t>64kpts FFT, Blackman Harris Window.</w:t>
      </w:r>
    </w:p>
    <w:p>
      <w:pPr>
        <w:pStyle w:val="BodyText"/>
        <w:spacing w:before="6"/>
        <w:rPr>
          <w:sz w:val="8"/>
        </w:rPr>
      </w:pPr>
      <w:r>
        <w:rPr/>
        <w:br w:type="column"/>
      </w:r>
      <w:r>
        <w:rPr>
          <w:sz w:val="8"/>
        </w:rPr>
      </w:r>
    </w:p>
    <w:p>
      <w:pPr>
        <w:tabs>
          <w:tab w:pos="1053" w:val="left" w:leader="none"/>
        </w:tabs>
        <w:spacing w:before="0"/>
        <w:ind w:left="741" w:right="0" w:firstLine="0"/>
        <w:jc w:val="left"/>
        <w:rPr>
          <w:sz w:val="10"/>
        </w:rPr>
      </w:pPr>
      <w:r>
        <w:rPr>
          <w:sz w:val="10"/>
        </w:rPr>
        <w:t>A</w:t>
        <w:tab/>
        <w:t>-75</w:t>
      </w:r>
    </w:p>
    <w:p>
      <w:pPr>
        <w:tabs>
          <w:tab w:pos="1053" w:val="left" w:leader="none"/>
        </w:tabs>
        <w:spacing w:before="10"/>
        <w:ind w:left="741" w:right="0" w:firstLine="0"/>
        <w:jc w:val="left"/>
        <w:rPr>
          <w:sz w:val="10"/>
        </w:rPr>
      </w:pPr>
      <w:r>
        <w:rPr/>
        <w:pict>
          <v:shape style="position:absolute;margin-left:414.23999pt;margin-top:-6.091057pt;width:36.75pt;height:56.8pt;mso-position-horizontal-relative:page;mso-position-vertical-relative:paragraph;z-index:1586483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
                    <w:gridCol w:w="451"/>
                  </w:tblGrid>
                  <w:tr>
                    <w:trPr>
                      <w:trHeight w:val="114" w:hRule="atLeast"/>
                    </w:trPr>
                    <w:tc>
                      <w:tcPr>
                        <w:tcW w:w="269" w:type="dxa"/>
                      </w:tcPr>
                      <w:p>
                        <w:pPr>
                          <w:pStyle w:val="TableParagraph"/>
                          <w:spacing w:line="95" w:lineRule="exact"/>
                          <w:ind w:left="23"/>
                          <w:jc w:val="center"/>
                          <w:rPr>
                            <w:sz w:val="10"/>
                          </w:rPr>
                        </w:pPr>
                        <w:r>
                          <w:rPr>
                            <w:w w:val="100"/>
                            <w:sz w:val="10"/>
                          </w:rPr>
                          <w:t>A</w:t>
                        </w:r>
                      </w:p>
                    </w:tc>
                    <w:tc>
                      <w:tcPr>
                        <w:tcW w:w="451" w:type="dxa"/>
                      </w:tcPr>
                      <w:p>
                        <w:pPr>
                          <w:pStyle w:val="TableParagraph"/>
                          <w:rPr>
                            <w:rFonts w:ascii="Times New Roman"/>
                            <w:sz w:val="6"/>
                          </w:rPr>
                        </w:pPr>
                      </w:p>
                    </w:tc>
                  </w:tr>
                  <w:tr>
                    <w:trPr>
                      <w:trHeight w:val="114" w:hRule="atLeast"/>
                    </w:trPr>
                    <w:tc>
                      <w:tcPr>
                        <w:tcW w:w="269" w:type="dxa"/>
                      </w:tcPr>
                      <w:p>
                        <w:pPr>
                          <w:pStyle w:val="TableParagraph"/>
                          <w:spacing w:line="95" w:lineRule="exact"/>
                          <w:ind w:left="23"/>
                          <w:jc w:val="center"/>
                          <w:rPr>
                            <w:sz w:val="10"/>
                          </w:rPr>
                        </w:pPr>
                        <w:r>
                          <w:rPr>
                            <w:w w:val="100"/>
                            <w:sz w:val="10"/>
                          </w:rPr>
                          <w:t>B</w:t>
                        </w:r>
                      </w:p>
                    </w:tc>
                    <w:tc>
                      <w:tcPr>
                        <w:tcW w:w="451" w:type="dxa"/>
                      </w:tcPr>
                      <w:p>
                        <w:pPr>
                          <w:pStyle w:val="TableParagraph"/>
                          <w:spacing w:line="95" w:lineRule="exact"/>
                          <w:ind w:left="132" w:right="123"/>
                          <w:jc w:val="center"/>
                          <w:rPr>
                            <w:sz w:val="10"/>
                          </w:rPr>
                        </w:pPr>
                        <w:r>
                          <w:rPr>
                            <w:sz w:val="10"/>
                          </w:rPr>
                          <w:t>-82</w:t>
                        </w:r>
                      </w:p>
                    </w:tc>
                  </w:tr>
                  <w:tr>
                    <w:trPr>
                      <w:trHeight w:val="114" w:hRule="atLeast"/>
                    </w:trPr>
                    <w:tc>
                      <w:tcPr>
                        <w:tcW w:w="269" w:type="dxa"/>
                      </w:tcPr>
                      <w:p>
                        <w:pPr>
                          <w:pStyle w:val="TableParagraph"/>
                          <w:spacing w:line="95" w:lineRule="exact"/>
                          <w:ind w:left="29"/>
                          <w:jc w:val="center"/>
                          <w:rPr>
                            <w:sz w:val="10"/>
                          </w:rPr>
                        </w:pPr>
                        <w:r>
                          <w:rPr>
                            <w:w w:val="100"/>
                            <w:sz w:val="10"/>
                          </w:rPr>
                          <w:t>C</w:t>
                        </w:r>
                      </w:p>
                    </w:tc>
                    <w:tc>
                      <w:tcPr>
                        <w:tcW w:w="451" w:type="dxa"/>
                      </w:tcPr>
                      <w:p>
                        <w:pPr>
                          <w:pStyle w:val="TableParagraph"/>
                          <w:rPr>
                            <w:rFonts w:ascii="Times New Roman"/>
                            <w:sz w:val="6"/>
                          </w:rPr>
                        </w:pPr>
                      </w:p>
                    </w:tc>
                  </w:tr>
                  <w:tr>
                    <w:trPr>
                      <w:trHeight w:val="114" w:hRule="atLeast"/>
                    </w:trPr>
                    <w:tc>
                      <w:tcPr>
                        <w:tcW w:w="269" w:type="dxa"/>
                      </w:tcPr>
                      <w:p>
                        <w:pPr>
                          <w:pStyle w:val="TableParagraph"/>
                          <w:spacing w:line="95" w:lineRule="exact"/>
                          <w:ind w:left="29"/>
                          <w:jc w:val="center"/>
                          <w:rPr>
                            <w:sz w:val="10"/>
                          </w:rPr>
                        </w:pPr>
                        <w:r>
                          <w:rPr>
                            <w:w w:val="100"/>
                            <w:sz w:val="10"/>
                          </w:rPr>
                          <w:t>D</w:t>
                        </w:r>
                      </w:p>
                    </w:tc>
                    <w:tc>
                      <w:tcPr>
                        <w:tcW w:w="451" w:type="dxa"/>
                      </w:tcPr>
                      <w:p>
                        <w:pPr>
                          <w:pStyle w:val="TableParagraph"/>
                          <w:spacing w:line="95" w:lineRule="exact"/>
                          <w:ind w:left="132" w:right="123"/>
                          <w:jc w:val="center"/>
                          <w:rPr>
                            <w:sz w:val="10"/>
                          </w:rPr>
                        </w:pPr>
                        <w:r>
                          <w:rPr>
                            <w:sz w:val="10"/>
                          </w:rPr>
                          <w:t>-84</w:t>
                        </w:r>
                      </w:p>
                    </w:tc>
                  </w:tr>
                  <w:tr>
                    <w:trPr>
                      <w:trHeight w:val="114" w:hRule="atLeast"/>
                    </w:trPr>
                    <w:tc>
                      <w:tcPr>
                        <w:tcW w:w="269" w:type="dxa"/>
                      </w:tcPr>
                      <w:p>
                        <w:pPr>
                          <w:pStyle w:val="TableParagraph"/>
                          <w:spacing w:line="95" w:lineRule="exact"/>
                          <w:ind w:left="23"/>
                          <w:jc w:val="center"/>
                          <w:rPr>
                            <w:sz w:val="10"/>
                          </w:rPr>
                        </w:pPr>
                        <w:r>
                          <w:rPr>
                            <w:w w:val="100"/>
                            <w:sz w:val="10"/>
                          </w:rPr>
                          <w:t>E</w:t>
                        </w:r>
                      </w:p>
                    </w:tc>
                    <w:tc>
                      <w:tcPr>
                        <w:tcW w:w="451" w:type="dxa"/>
                      </w:tcPr>
                      <w:p>
                        <w:pPr>
                          <w:pStyle w:val="TableParagraph"/>
                          <w:rPr>
                            <w:rFonts w:ascii="Times New Roman"/>
                            <w:sz w:val="6"/>
                          </w:rPr>
                        </w:pPr>
                      </w:p>
                    </w:tc>
                  </w:tr>
                  <w:tr>
                    <w:trPr>
                      <w:trHeight w:val="114" w:hRule="atLeast"/>
                    </w:trPr>
                    <w:tc>
                      <w:tcPr>
                        <w:tcW w:w="269" w:type="dxa"/>
                      </w:tcPr>
                      <w:p>
                        <w:pPr>
                          <w:pStyle w:val="TableParagraph"/>
                          <w:spacing w:line="95" w:lineRule="exact"/>
                          <w:ind w:left="18"/>
                          <w:jc w:val="center"/>
                          <w:rPr>
                            <w:sz w:val="10"/>
                          </w:rPr>
                        </w:pPr>
                        <w:r>
                          <w:rPr>
                            <w:w w:val="100"/>
                            <w:sz w:val="10"/>
                          </w:rPr>
                          <w:t>F</w:t>
                        </w:r>
                      </w:p>
                    </w:tc>
                    <w:tc>
                      <w:tcPr>
                        <w:tcW w:w="451" w:type="dxa"/>
                      </w:tcPr>
                      <w:p>
                        <w:pPr>
                          <w:pStyle w:val="TableParagraph"/>
                          <w:spacing w:line="95" w:lineRule="exact"/>
                          <w:ind w:left="132" w:right="123"/>
                          <w:jc w:val="center"/>
                          <w:rPr>
                            <w:sz w:val="10"/>
                          </w:rPr>
                        </w:pPr>
                        <w:r>
                          <w:rPr>
                            <w:sz w:val="10"/>
                          </w:rPr>
                          <w:t>-83</w:t>
                        </w:r>
                      </w:p>
                    </w:tc>
                  </w:tr>
                  <w:tr>
                    <w:trPr>
                      <w:trHeight w:val="114" w:hRule="atLeast"/>
                    </w:trPr>
                    <w:tc>
                      <w:tcPr>
                        <w:tcW w:w="269" w:type="dxa"/>
                      </w:tcPr>
                      <w:p>
                        <w:pPr>
                          <w:pStyle w:val="TableParagraph"/>
                          <w:spacing w:line="95" w:lineRule="exact"/>
                          <w:ind w:left="35"/>
                          <w:jc w:val="center"/>
                          <w:rPr>
                            <w:sz w:val="10"/>
                          </w:rPr>
                        </w:pPr>
                        <w:r>
                          <w:rPr>
                            <w:w w:val="100"/>
                            <w:sz w:val="10"/>
                          </w:rPr>
                          <w:t>G</w:t>
                        </w:r>
                      </w:p>
                    </w:tc>
                    <w:tc>
                      <w:tcPr>
                        <w:tcW w:w="451" w:type="dxa"/>
                      </w:tcPr>
                      <w:p>
                        <w:pPr>
                          <w:pStyle w:val="TableParagraph"/>
                          <w:rPr>
                            <w:rFonts w:ascii="Times New Roman"/>
                            <w:sz w:val="6"/>
                          </w:rPr>
                        </w:pPr>
                      </w:p>
                    </w:tc>
                  </w:tr>
                  <w:tr>
                    <w:trPr>
                      <w:trHeight w:val="114" w:hRule="atLeast"/>
                    </w:trPr>
                    <w:tc>
                      <w:tcPr>
                        <w:tcW w:w="269" w:type="dxa"/>
                      </w:tcPr>
                      <w:p>
                        <w:pPr>
                          <w:pStyle w:val="TableParagraph"/>
                          <w:spacing w:line="95" w:lineRule="exact"/>
                          <w:ind w:left="29"/>
                          <w:jc w:val="center"/>
                          <w:rPr>
                            <w:sz w:val="10"/>
                          </w:rPr>
                        </w:pPr>
                        <w:r>
                          <w:rPr>
                            <w:w w:val="100"/>
                            <w:sz w:val="10"/>
                          </w:rPr>
                          <w:t>H</w:t>
                        </w:r>
                      </w:p>
                    </w:tc>
                    <w:tc>
                      <w:tcPr>
                        <w:tcW w:w="451" w:type="dxa"/>
                      </w:tcPr>
                      <w:p>
                        <w:pPr>
                          <w:pStyle w:val="TableParagraph"/>
                          <w:spacing w:line="95" w:lineRule="exact"/>
                          <w:ind w:left="132" w:right="123"/>
                          <w:jc w:val="center"/>
                          <w:rPr>
                            <w:sz w:val="10"/>
                          </w:rPr>
                        </w:pPr>
                        <w:r>
                          <w:rPr>
                            <w:sz w:val="10"/>
                          </w:rPr>
                          <w:t>-86</w:t>
                        </w:r>
                      </w:p>
                    </w:tc>
                  </w:tr>
                  <w:tr>
                    <w:trPr>
                      <w:trHeight w:val="117" w:hRule="atLeast"/>
                    </w:trPr>
                    <w:tc>
                      <w:tcPr>
                        <w:tcW w:w="269" w:type="dxa"/>
                      </w:tcPr>
                      <w:p>
                        <w:pPr>
                          <w:pStyle w:val="TableParagraph"/>
                          <w:spacing w:line="97" w:lineRule="exact"/>
                          <w:ind w:left="7"/>
                          <w:jc w:val="center"/>
                          <w:rPr>
                            <w:sz w:val="10"/>
                          </w:rPr>
                        </w:pPr>
                        <w:r>
                          <w:rPr>
                            <w:w w:val="100"/>
                            <w:sz w:val="10"/>
                          </w:rPr>
                          <w:t>J</w:t>
                        </w:r>
                      </w:p>
                    </w:tc>
                    <w:tc>
                      <w:tcPr>
                        <w:tcW w:w="451" w:type="dxa"/>
                      </w:tcPr>
                      <w:p>
                        <w:pPr>
                          <w:pStyle w:val="TableParagraph"/>
                          <w:rPr>
                            <w:rFonts w:ascii="Times New Roman"/>
                            <w:sz w:val="6"/>
                          </w:rPr>
                        </w:pPr>
                      </w:p>
                    </w:tc>
                  </w:tr>
                </w:tbl>
                <w:p>
                  <w:pPr>
                    <w:pStyle w:val="BodyText"/>
                  </w:pPr>
                </w:p>
              </w:txbxContent>
            </v:textbox>
            <w10:wrap type="none"/>
          </v:shape>
        </w:pict>
      </w:r>
      <w:r>
        <w:rPr>
          <w:sz w:val="10"/>
        </w:rPr>
        <w:t>B</w:t>
        <w:tab/>
        <w:t>-75</w:t>
      </w:r>
    </w:p>
    <w:p>
      <w:pPr>
        <w:tabs>
          <w:tab w:pos="1053" w:val="left" w:leader="none"/>
        </w:tabs>
        <w:spacing w:before="10"/>
        <w:ind w:left="741" w:right="0" w:firstLine="0"/>
        <w:jc w:val="left"/>
        <w:rPr>
          <w:sz w:val="10"/>
        </w:rPr>
      </w:pPr>
      <w:r>
        <w:rPr>
          <w:sz w:val="10"/>
        </w:rPr>
        <w:t>C</w:t>
        <w:tab/>
        <w:t>-75</w:t>
      </w:r>
    </w:p>
    <w:p>
      <w:pPr>
        <w:tabs>
          <w:tab w:pos="1053" w:val="left" w:leader="none"/>
        </w:tabs>
        <w:spacing w:line="102" w:lineRule="exact" w:before="10"/>
        <w:ind w:left="741" w:right="0" w:firstLine="0"/>
        <w:jc w:val="left"/>
        <w:rPr>
          <w:sz w:val="10"/>
        </w:rPr>
      </w:pPr>
      <w:r>
        <w:rPr>
          <w:sz w:val="10"/>
        </w:rPr>
        <w:t>D</w:t>
        <w:tab/>
        <w:t>-75</w:t>
      </w:r>
    </w:p>
    <w:p>
      <w:pPr>
        <w:tabs>
          <w:tab w:pos="1053" w:val="left" w:leader="none"/>
          <w:tab w:pos="1663" w:val="left" w:leader="none"/>
        </w:tabs>
        <w:spacing w:line="159" w:lineRule="exact" w:before="0"/>
        <w:ind w:left="741" w:right="0" w:firstLine="0"/>
        <w:jc w:val="left"/>
        <w:rPr>
          <w:sz w:val="16"/>
        </w:rPr>
      </w:pPr>
      <w:r>
        <w:rPr>
          <w:sz w:val="10"/>
        </w:rPr>
        <w:t>E</w:t>
        <w:tab/>
        <w:t>-75</w:t>
        <w:tab/>
      </w:r>
      <w:r>
        <w:rPr>
          <w:position w:val="-1"/>
          <w:sz w:val="16"/>
        </w:rPr>
        <w:t>dB</w:t>
      </w:r>
    </w:p>
    <w:p>
      <w:pPr>
        <w:tabs>
          <w:tab w:pos="1053" w:val="left" w:leader="none"/>
        </w:tabs>
        <w:spacing w:line="104" w:lineRule="exact" w:before="0"/>
        <w:ind w:left="741" w:right="0" w:firstLine="0"/>
        <w:jc w:val="left"/>
        <w:rPr>
          <w:sz w:val="10"/>
        </w:rPr>
      </w:pPr>
      <w:r>
        <w:rPr>
          <w:sz w:val="10"/>
        </w:rPr>
        <w:t>F</w:t>
        <w:tab/>
        <w:t>-75</w:t>
      </w:r>
    </w:p>
    <w:p>
      <w:pPr>
        <w:tabs>
          <w:tab w:pos="1053" w:val="left" w:leader="none"/>
        </w:tabs>
        <w:spacing w:before="9"/>
        <w:ind w:left="741" w:right="0" w:firstLine="0"/>
        <w:jc w:val="left"/>
        <w:rPr>
          <w:sz w:val="10"/>
        </w:rPr>
      </w:pPr>
      <w:r>
        <w:rPr>
          <w:sz w:val="10"/>
        </w:rPr>
        <w:t>G</w:t>
        <w:tab/>
        <w:t>-75</w:t>
      </w:r>
    </w:p>
    <w:p>
      <w:pPr>
        <w:tabs>
          <w:tab w:pos="1053" w:val="left" w:leader="none"/>
        </w:tabs>
        <w:spacing w:before="10"/>
        <w:ind w:left="741" w:right="0" w:firstLine="0"/>
        <w:jc w:val="left"/>
        <w:rPr>
          <w:sz w:val="10"/>
        </w:rPr>
      </w:pPr>
      <w:r>
        <w:rPr>
          <w:sz w:val="10"/>
        </w:rPr>
        <w:t>H</w:t>
        <w:tab/>
        <w:t>-75</w:t>
      </w:r>
    </w:p>
    <w:p>
      <w:pPr>
        <w:tabs>
          <w:tab w:pos="1053" w:val="left" w:leader="none"/>
        </w:tabs>
        <w:spacing w:before="10"/>
        <w:ind w:left="741" w:right="0" w:firstLine="0"/>
        <w:jc w:val="left"/>
        <w:rPr>
          <w:sz w:val="10"/>
        </w:rPr>
      </w:pPr>
      <w:r>
        <w:rPr>
          <w:sz w:val="10"/>
        </w:rPr>
        <w:t>J</w:t>
        <w:tab/>
        <w:t>-75</w:t>
      </w:r>
    </w:p>
    <w:p>
      <w:pPr>
        <w:spacing w:after="0"/>
        <w:jc w:val="left"/>
        <w:rPr>
          <w:sz w:val="10"/>
        </w:rPr>
        <w:sectPr>
          <w:type w:val="continuous"/>
          <w:pgSz w:w="12240" w:h="15840"/>
          <w:pgMar w:top="940" w:bottom="280" w:left="960" w:right="940"/>
          <w:cols w:num="7" w:equalWidth="0">
            <w:col w:w="959" w:space="40"/>
            <w:col w:w="555" w:space="39"/>
            <w:col w:w="602" w:space="39"/>
            <w:col w:w="628" w:space="39"/>
            <w:col w:w="752" w:space="40"/>
            <w:col w:w="2478" w:space="1516"/>
            <w:col w:w="2653"/>
          </w:cols>
        </w:sectPr>
      </w:pPr>
    </w:p>
    <w:p>
      <w:pPr>
        <w:pStyle w:val="BodyText"/>
        <w:spacing w:before="57"/>
        <w:ind w:left="588"/>
      </w:pPr>
      <w:r>
        <w:rPr/>
        <w:pict>
          <v:group style="position:absolute;margin-left:71.519997pt;margin-top:96.480003pt;width:469pt;height:597.25pt;mso-position-horizontal-relative:page;mso-position-vertical-relative:page;z-index:-38719488" coordorigin="1430,1930" coordsize="9380,11945">
            <v:shape style="position:absolute;left:1430;top:1929;width:9380;height:11945" type="#_x0000_t75" stroked="false">
              <v:imagedata r:id="rId226" o:title=""/>
            </v:shape>
            <v:line style="position:absolute" from="1580,3417" to="2767,3417" stroked="true" strokeweight=".454546pt" strokecolor="#000000">
              <v:stroke dashstyle="solid"/>
            </v:line>
            <w10:wrap type="none"/>
          </v:group>
        </w:pict>
      </w:r>
      <w:r>
        <w:rPr/>
        <w:pict>
          <v:shape style="position:absolute;margin-left:77.400002pt;margin-top:14.749384pt;width:155.75pt;height:63.05pt;mso-position-horizontal-relative:page;mso-position-vertical-relative:paragraph;z-index:15865856" type="#_x0000_t202" filled="false" stroked="false">
            <v:textbox inset="0,0,0,0">
              <w:txbxContent>
                <w:tbl>
                  <w:tblPr>
                    <w:tblW w:w="0" w:type="auto"/>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8"/>
                    <w:gridCol w:w="628"/>
                    <w:gridCol w:w="630"/>
                    <w:gridCol w:w="808"/>
                    <w:gridCol w:w="522"/>
                  </w:tblGrid>
                  <w:tr>
                    <w:trPr>
                      <w:trHeight w:val="100" w:hRule="atLeast"/>
                    </w:trPr>
                    <w:tc>
                      <w:tcPr>
                        <w:tcW w:w="518" w:type="dxa"/>
                        <w:tcBorders>
                          <w:left w:val="single" w:sz="4" w:space="0" w:color="000000"/>
                          <w:right w:val="single" w:sz="4" w:space="0" w:color="000000"/>
                        </w:tcBorders>
                      </w:tcPr>
                      <w:p>
                        <w:pPr>
                          <w:pStyle w:val="TableParagraph"/>
                          <w:spacing w:line="77" w:lineRule="exact" w:before="4"/>
                          <w:ind w:right="140"/>
                          <w:jc w:val="right"/>
                          <w:rPr>
                            <w:b/>
                            <w:sz w:val="8"/>
                          </w:rPr>
                        </w:pPr>
                        <w:r>
                          <w:rPr>
                            <w:b/>
                            <w:w w:val="95"/>
                            <w:sz w:val="8"/>
                          </w:rPr>
                          <w:t>Name</w:t>
                        </w:r>
                      </w:p>
                    </w:tc>
                    <w:tc>
                      <w:tcPr>
                        <w:tcW w:w="628" w:type="dxa"/>
                        <w:tcBorders>
                          <w:left w:val="single" w:sz="4" w:space="0" w:color="000000"/>
                          <w:right w:val="single" w:sz="4" w:space="0" w:color="000000"/>
                        </w:tcBorders>
                      </w:tcPr>
                      <w:p>
                        <w:pPr>
                          <w:pStyle w:val="TableParagraph"/>
                          <w:spacing w:line="76" w:lineRule="exact" w:before="4"/>
                          <w:ind w:left="86" w:right="154"/>
                          <w:jc w:val="center"/>
                          <w:rPr>
                            <w:rFonts w:ascii="Times New Roman"/>
                            <w:b/>
                            <w:i/>
                            <w:sz w:val="8"/>
                          </w:rPr>
                        </w:pPr>
                        <w:r>
                          <w:rPr>
                            <w:rFonts w:ascii="Times New Roman"/>
                            <w:b/>
                            <w:i/>
                            <w:sz w:val="8"/>
                          </w:rPr>
                          <w:t>FIR_LEN</w:t>
                        </w:r>
                      </w:p>
                    </w:tc>
                    <w:tc>
                      <w:tcPr>
                        <w:tcW w:w="630" w:type="dxa"/>
                        <w:tcBorders>
                          <w:left w:val="single" w:sz="4" w:space="0" w:color="000000"/>
                          <w:right w:val="single" w:sz="4" w:space="0" w:color="000000"/>
                        </w:tcBorders>
                      </w:tcPr>
                      <w:p>
                        <w:pPr>
                          <w:pStyle w:val="TableParagraph"/>
                          <w:spacing w:line="76" w:lineRule="exact" w:before="4"/>
                          <w:ind w:left="89" w:right="143"/>
                          <w:jc w:val="center"/>
                          <w:rPr>
                            <w:rFonts w:ascii="Times New Roman"/>
                            <w:b/>
                            <w:i/>
                            <w:sz w:val="8"/>
                          </w:rPr>
                        </w:pPr>
                        <w:r>
                          <w:rPr>
                            <w:rFonts w:ascii="Times New Roman"/>
                            <w:b/>
                            <w:i/>
                            <w:sz w:val="8"/>
                          </w:rPr>
                          <w:t>ADC_DIV</w:t>
                        </w:r>
                      </w:p>
                    </w:tc>
                    <w:tc>
                      <w:tcPr>
                        <w:tcW w:w="808" w:type="dxa"/>
                        <w:tcBorders>
                          <w:left w:val="single" w:sz="4" w:space="0" w:color="000000"/>
                          <w:right w:val="single" w:sz="4" w:space="0" w:color="000000"/>
                        </w:tcBorders>
                      </w:tcPr>
                      <w:p>
                        <w:pPr>
                          <w:pStyle w:val="TableParagraph"/>
                          <w:spacing w:line="76" w:lineRule="exact" w:before="4"/>
                          <w:ind w:right="303"/>
                          <w:jc w:val="right"/>
                          <w:rPr>
                            <w:rFonts w:ascii="Times New Roman"/>
                            <w:b/>
                            <w:i/>
                            <w:sz w:val="8"/>
                          </w:rPr>
                        </w:pPr>
                        <w:r>
                          <w:rPr>
                            <w:rFonts w:ascii="Times New Roman"/>
                            <w:b/>
                            <w:i/>
                            <w:sz w:val="8"/>
                          </w:rPr>
                          <w:t>PLL_FAST</w:t>
                        </w:r>
                      </w:p>
                    </w:tc>
                    <w:tc>
                      <w:tcPr>
                        <w:tcW w:w="522" w:type="dxa"/>
                        <w:tcBorders>
                          <w:left w:val="single" w:sz="4" w:space="0" w:color="000000"/>
                        </w:tcBorders>
                      </w:tcPr>
                      <w:p>
                        <w:pPr>
                          <w:pStyle w:val="TableParagraph"/>
                          <w:spacing w:line="76" w:lineRule="exact" w:before="4"/>
                          <w:ind w:left="90" w:right="21"/>
                          <w:jc w:val="center"/>
                          <w:rPr>
                            <w:rFonts w:ascii="Times New Roman"/>
                            <w:b/>
                            <w:i/>
                            <w:sz w:val="8"/>
                          </w:rPr>
                        </w:pPr>
                        <w:r>
                          <w:rPr>
                            <w:rFonts w:ascii="Times New Roman"/>
                            <w:b/>
                            <w:i/>
                            <w:sz w:val="8"/>
                          </w:rPr>
                          <w:t>MUX_DIV</w:t>
                        </w:r>
                      </w:p>
                    </w:tc>
                  </w:tr>
                  <w:tr>
                    <w:trPr>
                      <w:trHeight w:val="124" w:hRule="atLeast"/>
                    </w:trPr>
                    <w:tc>
                      <w:tcPr>
                        <w:tcW w:w="518" w:type="dxa"/>
                        <w:tcBorders>
                          <w:left w:val="single" w:sz="4" w:space="0" w:color="000000"/>
                          <w:right w:val="single" w:sz="4" w:space="0" w:color="000000"/>
                        </w:tcBorders>
                      </w:tcPr>
                      <w:p>
                        <w:pPr>
                          <w:pStyle w:val="TableParagraph"/>
                          <w:spacing w:line="103" w:lineRule="exact" w:before="2"/>
                          <w:ind w:right="215"/>
                          <w:jc w:val="right"/>
                          <w:rPr>
                            <w:sz w:val="10"/>
                          </w:rPr>
                        </w:pPr>
                        <w:r>
                          <w:rPr>
                            <w:w w:val="100"/>
                            <w:sz w:val="10"/>
                          </w:rPr>
                          <w:t>A</w:t>
                        </w:r>
                      </w:p>
                    </w:tc>
                    <w:tc>
                      <w:tcPr>
                        <w:tcW w:w="628" w:type="dxa"/>
                        <w:tcBorders>
                          <w:left w:val="single" w:sz="4" w:space="0" w:color="000000"/>
                          <w:right w:val="single" w:sz="4" w:space="0" w:color="000000"/>
                        </w:tcBorders>
                      </w:tcPr>
                      <w:p>
                        <w:pPr>
                          <w:pStyle w:val="TableParagraph"/>
                          <w:spacing w:line="103" w:lineRule="exact" w:before="2"/>
                          <w:ind w:left="4"/>
                          <w:jc w:val="center"/>
                          <w:rPr>
                            <w:sz w:val="10"/>
                          </w:rPr>
                        </w:pPr>
                        <w:r>
                          <w:rPr>
                            <w:w w:val="100"/>
                            <w:sz w:val="10"/>
                          </w:rPr>
                          <w:t>0</w:t>
                        </w:r>
                      </w:p>
                    </w:tc>
                    <w:tc>
                      <w:tcPr>
                        <w:tcW w:w="630" w:type="dxa"/>
                        <w:tcBorders>
                          <w:left w:val="single" w:sz="4" w:space="0" w:color="000000"/>
                          <w:right w:val="single" w:sz="4" w:space="0" w:color="000000"/>
                        </w:tcBorders>
                      </w:tcPr>
                      <w:p>
                        <w:pPr>
                          <w:pStyle w:val="TableParagraph"/>
                          <w:spacing w:line="103" w:lineRule="exact" w:before="2"/>
                          <w:ind w:left="9"/>
                          <w:jc w:val="center"/>
                          <w:rPr>
                            <w:sz w:val="10"/>
                          </w:rPr>
                        </w:pPr>
                        <w:r>
                          <w:rPr>
                            <w:w w:val="100"/>
                            <w:sz w:val="10"/>
                          </w:rPr>
                          <w:t>0</w:t>
                        </w:r>
                      </w:p>
                    </w:tc>
                    <w:tc>
                      <w:tcPr>
                        <w:tcW w:w="808" w:type="dxa"/>
                        <w:tcBorders>
                          <w:left w:val="single" w:sz="4" w:space="0" w:color="000000"/>
                          <w:right w:val="single" w:sz="4" w:space="0" w:color="000000"/>
                        </w:tcBorders>
                      </w:tcPr>
                      <w:p>
                        <w:pPr>
                          <w:pStyle w:val="TableParagraph"/>
                          <w:spacing w:line="103" w:lineRule="exact" w:before="2"/>
                          <w:ind w:right="363"/>
                          <w:jc w:val="right"/>
                          <w:rPr>
                            <w:sz w:val="10"/>
                          </w:rPr>
                        </w:pPr>
                        <w:r>
                          <w:rPr>
                            <w:w w:val="100"/>
                            <w:sz w:val="10"/>
                          </w:rPr>
                          <w:t>0</w:t>
                        </w:r>
                      </w:p>
                    </w:tc>
                    <w:tc>
                      <w:tcPr>
                        <w:tcW w:w="522" w:type="dxa"/>
                        <w:tcBorders>
                          <w:left w:val="single" w:sz="4" w:space="0" w:color="000000"/>
                        </w:tcBorders>
                      </w:tcPr>
                      <w:p>
                        <w:pPr>
                          <w:pStyle w:val="TableParagraph"/>
                          <w:spacing w:line="103" w:lineRule="exact" w:before="2"/>
                          <w:ind w:left="140"/>
                          <w:jc w:val="center"/>
                          <w:rPr>
                            <w:sz w:val="10"/>
                          </w:rPr>
                        </w:pPr>
                        <w:r>
                          <w:rPr>
                            <w:w w:val="100"/>
                            <w:sz w:val="10"/>
                          </w:rPr>
                          <w:t>3</w:t>
                        </w:r>
                      </w:p>
                    </w:tc>
                  </w:tr>
                  <w:tr>
                    <w:trPr>
                      <w:trHeight w:val="124" w:hRule="atLeast"/>
                    </w:trPr>
                    <w:tc>
                      <w:tcPr>
                        <w:tcW w:w="518" w:type="dxa"/>
                        <w:tcBorders>
                          <w:left w:val="single" w:sz="4" w:space="0" w:color="000000"/>
                          <w:right w:val="single" w:sz="4" w:space="0" w:color="000000"/>
                        </w:tcBorders>
                      </w:tcPr>
                      <w:p>
                        <w:pPr>
                          <w:pStyle w:val="TableParagraph"/>
                          <w:spacing w:line="103" w:lineRule="exact" w:before="2"/>
                          <w:ind w:right="215"/>
                          <w:jc w:val="right"/>
                          <w:rPr>
                            <w:sz w:val="10"/>
                          </w:rPr>
                        </w:pPr>
                        <w:r>
                          <w:rPr>
                            <w:w w:val="100"/>
                            <w:sz w:val="10"/>
                          </w:rPr>
                          <w:t>B</w:t>
                        </w:r>
                      </w:p>
                    </w:tc>
                    <w:tc>
                      <w:tcPr>
                        <w:tcW w:w="628" w:type="dxa"/>
                        <w:tcBorders>
                          <w:left w:val="single" w:sz="4" w:space="0" w:color="000000"/>
                          <w:right w:val="single" w:sz="4" w:space="0" w:color="000000"/>
                        </w:tcBorders>
                      </w:tcPr>
                      <w:p>
                        <w:pPr>
                          <w:pStyle w:val="TableParagraph"/>
                          <w:spacing w:line="103" w:lineRule="exact" w:before="2"/>
                          <w:ind w:left="4"/>
                          <w:jc w:val="center"/>
                          <w:rPr>
                            <w:sz w:val="10"/>
                          </w:rPr>
                        </w:pPr>
                        <w:r>
                          <w:rPr>
                            <w:w w:val="100"/>
                            <w:sz w:val="10"/>
                          </w:rPr>
                          <w:t>1</w:t>
                        </w:r>
                      </w:p>
                    </w:tc>
                    <w:tc>
                      <w:tcPr>
                        <w:tcW w:w="630" w:type="dxa"/>
                        <w:tcBorders>
                          <w:left w:val="single" w:sz="4" w:space="0" w:color="000000"/>
                          <w:right w:val="single" w:sz="4" w:space="0" w:color="000000"/>
                        </w:tcBorders>
                      </w:tcPr>
                      <w:p>
                        <w:pPr>
                          <w:pStyle w:val="TableParagraph"/>
                          <w:spacing w:line="103" w:lineRule="exact" w:before="2"/>
                          <w:ind w:left="9"/>
                          <w:jc w:val="center"/>
                          <w:rPr>
                            <w:sz w:val="10"/>
                          </w:rPr>
                        </w:pPr>
                        <w:r>
                          <w:rPr>
                            <w:w w:val="100"/>
                            <w:sz w:val="10"/>
                          </w:rPr>
                          <w:t>0</w:t>
                        </w:r>
                      </w:p>
                    </w:tc>
                    <w:tc>
                      <w:tcPr>
                        <w:tcW w:w="808" w:type="dxa"/>
                        <w:tcBorders>
                          <w:left w:val="single" w:sz="4" w:space="0" w:color="000000"/>
                          <w:right w:val="single" w:sz="4" w:space="0" w:color="000000"/>
                        </w:tcBorders>
                      </w:tcPr>
                      <w:p>
                        <w:pPr>
                          <w:pStyle w:val="TableParagraph"/>
                          <w:spacing w:line="103" w:lineRule="exact" w:before="2"/>
                          <w:ind w:right="363"/>
                          <w:jc w:val="right"/>
                          <w:rPr>
                            <w:sz w:val="10"/>
                          </w:rPr>
                        </w:pPr>
                        <w:r>
                          <w:rPr>
                            <w:w w:val="100"/>
                            <w:sz w:val="10"/>
                          </w:rPr>
                          <w:t>0</w:t>
                        </w:r>
                      </w:p>
                    </w:tc>
                    <w:tc>
                      <w:tcPr>
                        <w:tcW w:w="522" w:type="dxa"/>
                        <w:tcBorders>
                          <w:left w:val="single" w:sz="4" w:space="0" w:color="000000"/>
                        </w:tcBorders>
                      </w:tcPr>
                      <w:p>
                        <w:pPr>
                          <w:pStyle w:val="TableParagraph"/>
                          <w:spacing w:line="103" w:lineRule="exact" w:before="2"/>
                          <w:ind w:left="140"/>
                          <w:jc w:val="center"/>
                          <w:rPr>
                            <w:sz w:val="10"/>
                          </w:rPr>
                        </w:pPr>
                        <w:r>
                          <w:rPr>
                            <w:w w:val="100"/>
                            <w:sz w:val="10"/>
                          </w:rPr>
                          <w:t>2</w:t>
                        </w:r>
                      </w:p>
                    </w:tc>
                  </w:tr>
                  <w:tr>
                    <w:trPr>
                      <w:trHeight w:val="124" w:hRule="atLeast"/>
                    </w:trPr>
                    <w:tc>
                      <w:tcPr>
                        <w:tcW w:w="518" w:type="dxa"/>
                        <w:tcBorders>
                          <w:left w:val="single" w:sz="4" w:space="0" w:color="000000"/>
                          <w:right w:val="single" w:sz="4" w:space="0" w:color="000000"/>
                        </w:tcBorders>
                      </w:tcPr>
                      <w:p>
                        <w:pPr>
                          <w:pStyle w:val="TableParagraph"/>
                          <w:spacing w:line="103" w:lineRule="exact" w:before="2"/>
                          <w:ind w:right="212"/>
                          <w:jc w:val="right"/>
                          <w:rPr>
                            <w:sz w:val="10"/>
                          </w:rPr>
                        </w:pPr>
                        <w:r>
                          <w:rPr>
                            <w:w w:val="100"/>
                            <w:sz w:val="10"/>
                          </w:rPr>
                          <w:t>C</w:t>
                        </w:r>
                      </w:p>
                    </w:tc>
                    <w:tc>
                      <w:tcPr>
                        <w:tcW w:w="628" w:type="dxa"/>
                        <w:tcBorders>
                          <w:left w:val="single" w:sz="4" w:space="0" w:color="000000"/>
                          <w:right w:val="single" w:sz="4" w:space="0" w:color="000000"/>
                        </w:tcBorders>
                      </w:tcPr>
                      <w:p>
                        <w:pPr>
                          <w:pStyle w:val="TableParagraph"/>
                          <w:spacing w:line="103" w:lineRule="exact" w:before="2"/>
                          <w:ind w:left="4"/>
                          <w:jc w:val="center"/>
                          <w:rPr>
                            <w:sz w:val="10"/>
                          </w:rPr>
                        </w:pPr>
                        <w:r>
                          <w:rPr>
                            <w:w w:val="100"/>
                            <w:sz w:val="10"/>
                          </w:rPr>
                          <w:t>0</w:t>
                        </w:r>
                      </w:p>
                    </w:tc>
                    <w:tc>
                      <w:tcPr>
                        <w:tcW w:w="630" w:type="dxa"/>
                        <w:tcBorders>
                          <w:left w:val="single" w:sz="4" w:space="0" w:color="000000"/>
                          <w:right w:val="single" w:sz="4" w:space="0" w:color="000000"/>
                        </w:tcBorders>
                      </w:tcPr>
                      <w:p>
                        <w:pPr>
                          <w:pStyle w:val="TableParagraph"/>
                          <w:spacing w:line="103" w:lineRule="exact" w:before="2"/>
                          <w:ind w:left="9"/>
                          <w:jc w:val="center"/>
                          <w:rPr>
                            <w:sz w:val="10"/>
                          </w:rPr>
                        </w:pPr>
                        <w:r>
                          <w:rPr>
                            <w:w w:val="100"/>
                            <w:sz w:val="10"/>
                          </w:rPr>
                          <w:t>0</w:t>
                        </w:r>
                      </w:p>
                    </w:tc>
                    <w:tc>
                      <w:tcPr>
                        <w:tcW w:w="808" w:type="dxa"/>
                        <w:tcBorders>
                          <w:left w:val="single" w:sz="4" w:space="0" w:color="000000"/>
                          <w:right w:val="single" w:sz="4" w:space="0" w:color="000000"/>
                        </w:tcBorders>
                      </w:tcPr>
                      <w:p>
                        <w:pPr>
                          <w:pStyle w:val="TableParagraph"/>
                          <w:spacing w:line="103" w:lineRule="exact" w:before="2"/>
                          <w:ind w:right="363"/>
                          <w:jc w:val="right"/>
                          <w:rPr>
                            <w:sz w:val="10"/>
                          </w:rPr>
                        </w:pPr>
                        <w:r>
                          <w:rPr>
                            <w:w w:val="100"/>
                            <w:sz w:val="10"/>
                          </w:rPr>
                          <w:t>1</w:t>
                        </w:r>
                      </w:p>
                    </w:tc>
                    <w:tc>
                      <w:tcPr>
                        <w:tcW w:w="522" w:type="dxa"/>
                        <w:tcBorders>
                          <w:left w:val="single" w:sz="4" w:space="0" w:color="000000"/>
                        </w:tcBorders>
                      </w:tcPr>
                      <w:p>
                        <w:pPr>
                          <w:pStyle w:val="TableParagraph"/>
                          <w:spacing w:line="103" w:lineRule="exact" w:before="2"/>
                          <w:ind w:left="162" w:right="21"/>
                          <w:jc w:val="center"/>
                          <w:rPr>
                            <w:sz w:val="10"/>
                          </w:rPr>
                        </w:pPr>
                        <w:r>
                          <w:rPr>
                            <w:sz w:val="10"/>
                          </w:rPr>
                          <w:t>11</w:t>
                        </w:r>
                      </w:p>
                    </w:tc>
                  </w:tr>
                  <w:tr>
                    <w:trPr>
                      <w:trHeight w:val="124" w:hRule="atLeast"/>
                    </w:trPr>
                    <w:tc>
                      <w:tcPr>
                        <w:tcW w:w="518" w:type="dxa"/>
                        <w:tcBorders>
                          <w:left w:val="single" w:sz="4" w:space="0" w:color="000000"/>
                          <w:right w:val="single" w:sz="4" w:space="0" w:color="000000"/>
                        </w:tcBorders>
                      </w:tcPr>
                      <w:p>
                        <w:pPr>
                          <w:pStyle w:val="TableParagraph"/>
                          <w:spacing w:line="103" w:lineRule="exact" w:before="2"/>
                          <w:ind w:right="212"/>
                          <w:jc w:val="right"/>
                          <w:rPr>
                            <w:sz w:val="10"/>
                          </w:rPr>
                        </w:pPr>
                        <w:r>
                          <w:rPr>
                            <w:w w:val="100"/>
                            <w:sz w:val="10"/>
                          </w:rPr>
                          <w:t>D</w:t>
                        </w:r>
                      </w:p>
                    </w:tc>
                    <w:tc>
                      <w:tcPr>
                        <w:tcW w:w="628" w:type="dxa"/>
                        <w:tcBorders>
                          <w:left w:val="single" w:sz="4" w:space="0" w:color="000000"/>
                          <w:right w:val="single" w:sz="4" w:space="0" w:color="000000"/>
                        </w:tcBorders>
                      </w:tcPr>
                      <w:p>
                        <w:pPr>
                          <w:pStyle w:val="TableParagraph"/>
                          <w:spacing w:line="103" w:lineRule="exact" w:before="2"/>
                          <w:ind w:left="4"/>
                          <w:jc w:val="center"/>
                          <w:rPr>
                            <w:sz w:val="10"/>
                          </w:rPr>
                        </w:pPr>
                        <w:r>
                          <w:rPr>
                            <w:w w:val="100"/>
                            <w:sz w:val="10"/>
                          </w:rPr>
                          <w:t>1</w:t>
                        </w:r>
                      </w:p>
                    </w:tc>
                    <w:tc>
                      <w:tcPr>
                        <w:tcW w:w="630" w:type="dxa"/>
                        <w:tcBorders>
                          <w:left w:val="single" w:sz="4" w:space="0" w:color="000000"/>
                          <w:right w:val="single" w:sz="4" w:space="0" w:color="000000"/>
                        </w:tcBorders>
                      </w:tcPr>
                      <w:p>
                        <w:pPr>
                          <w:pStyle w:val="TableParagraph"/>
                          <w:spacing w:line="103" w:lineRule="exact" w:before="2"/>
                          <w:ind w:left="9"/>
                          <w:jc w:val="center"/>
                          <w:rPr>
                            <w:sz w:val="10"/>
                          </w:rPr>
                        </w:pPr>
                        <w:r>
                          <w:rPr>
                            <w:w w:val="100"/>
                            <w:sz w:val="10"/>
                          </w:rPr>
                          <w:t>0</w:t>
                        </w:r>
                      </w:p>
                    </w:tc>
                    <w:tc>
                      <w:tcPr>
                        <w:tcW w:w="808" w:type="dxa"/>
                        <w:tcBorders>
                          <w:left w:val="single" w:sz="4" w:space="0" w:color="000000"/>
                          <w:right w:val="single" w:sz="4" w:space="0" w:color="000000"/>
                        </w:tcBorders>
                      </w:tcPr>
                      <w:p>
                        <w:pPr>
                          <w:pStyle w:val="TableParagraph"/>
                          <w:spacing w:line="103" w:lineRule="exact" w:before="2"/>
                          <w:ind w:right="363"/>
                          <w:jc w:val="right"/>
                          <w:rPr>
                            <w:sz w:val="10"/>
                          </w:rPr>
                        </w:pPr>
                        <w:r>
                          <w:rPr>
                            <w:w w:val="100"/>
                            <w:sz w:val="10"/>
                          </w:rPr>
                          <w:t>1</w:t>
                        </w:r>
                      </w:p>
                    </w:tc>
                    <w:tc>
                      <w:tcPr>
                        <w:tcW w:w="522" w:type="dxa"/>
                        <w:tcBorders>
                          <w:left w:val="single" w:sz="4" w:space="0" w:color="000000"/>
                        </w:tcBorders>
                      </w:tcPr>
                      <w:p>
                        <w:pPr>
                          <w:pStyle w:val="TableParagraph"/>
                          <w:spacing w:line="103" w:lineRule="exact" w:before="2"/>
                          <w:ind w:left="140"/>
                          <w:jc w:val="center"/>
                          <w:rPr>
                            <w:sz w:val="10"/>
                          </w:rPr>
                        </w:pPr>
                        <w:r>
                          <w:rPr>
                            <w:w w:val="100"/>
                            <w:sz w:val="10"/>
                          </w:rPr>
                          <w:t>6</w:t>
                        </w:r>
                      </w:p>
                    </w:tc>
                  </w:tr>
                  <w:tr>
                    <w:trPr>
                      <w:trHeight w:val="124" w:hRule="atLeast"/>
                    </w:trPr>
                    <w:tc>
                      <w:tcPr>
                        <w:tcW w:w="518" w:type="dxa"/>
                        <w:tcBorders>
                          <w:left w:val="single" w:sz="4" w:space="0" w:color="000000"/>
                          <w:right w:val="single" w:sz="4" w:space="0" w:color="000000"/>
                        </w:tcBorders>
                      </w:tcPr>
                      <w:p>
                        <w:pPr>
                          <w:pStyle w:val="TableParagraph"/>
                          <w:spacing w:line="103" w:lineRule="exact" w:before="2"/>
                          <w:ind w:right="215"/>
                          <w:jc w:val="right"/>
                          <w:rPr>
                            <w:sz w:val="10"/>
                          </w:rPr>
                        </w:pPr>
                        <w:r>
                          <w:rPr>
                            <w:w w:val="100"/>
                            <w:sz w:val="10"/>
                          </w:rPr>
                          <w:t>E</w:t>
                        </w:r>
                      </w:p>
                    </w:tc>
                    <w:tc>
                      <w:tcPr>
                        <w:tcW w:w="628" w:type="dxa"/>
                        <w:tcBorders>
                          <w:left w:val="single" w:sz="4" w:space="0" w:color="000000"/>
                          <w:right w:val="single" w:sz="4" w:space="0" w:color="000000"/>
                        </w:tcBorders>
                      </w:tcPr>
                      <w:p>
                        <w:pPr>
                          <w:pStyle w:val="TableParagraph"/>
                          <w:spacing w:line="103" w:lineRule="exact" w:before="2"/>
                          <w:ind w:left="4"/>
                          <w:jc w:val="center"/>
                          <w:rPr>
                            <w:sz w:val="10"/>
                          </w:rPr>
                        </w:pPr>
                        <w:r>
                          <w:rPr>
                            <w:w w:val="100"/>
                            <w:sz w:val="10"/>
                          </w:rPr>
                          <w:t>2</w:t>
                        </w:r>
                      </w:p>
                    </w:tc>
                    <w:tc>
                      <w:tcPr>
                        <w:tcW w:w="630" w:type="dxa"/>
                        <w:tcBorders>
                          <w:left w:val="single" w:sz="4" w:space="0" w:color="000000"/>
                          <w:right w:val="single" w:sz="4" w:space="0" w:color="000000"/>
                        </w:tcBorders>
                      </w:tcPr>
                      <w:p>
                        <w:pPr>
                          <w:pStyle w:val="TableParagraph"/>
                          <w:spacing w:line="103" w:lineRule="exact" w:before="2"/>
                          <w:ind w:left="9"/>
                          <w:jc w:val="center"/>
                          <w:rPr>
                            <w:sz w:val="10"/>
                          </w:rPr>
                        </w:pPr>
                        <w:r>
                          <w:rPr>
                            <w:w w:val="100"/>
                            <w:sz w:val="10"/>
                          </w:rPr>
                          <w:t>0</w:t>
                        </w:r>
                      </w:p>
                    </w:tc>
                    <w:tc>
                      <w:tcPr>
                        <w:tcW w:w="808" w:type="dxa"/>
                        <w:tcBorders>
                          <w:left w:val="single" w:sz="4" w:space="0" w:color="000000"/>
                          <w:right w:val="single" w:sz="4" w:space="0" w:color="000000"/>
                        </w:tcBorders>
                      </w:tcPr>
                      <w:p>
                        <w:pPr>
                          <w:pStyle w:val="TableParagraph"/>
                          <w:spacing w:line="103" w:lineRule="exact" w:before="2"/>
                          <w:ind w:right="363"/>
                          <w:jc w:val="right"/>
                          <w:rPr>
                            <w:sz w:val="10"/>
                          </w:rPr>
                        </w:pPr>
                        <w:r>
                          <w:rPr>
                            <w:w w:val="100"/>
                            <w:sz w:val="10"/>
                          </w:rPr>
                          <w:t>1</w:t>
                        </w:r>
                      </w:p>
                    </w:tc>
                    <w:tc>
                      <w:tcPr>
                        <w:tcW w:w="522" w:type="dxa"/>
                        <w:tcBorders>
                          <w:left w:val="single" w:sz="4" w:space="0" w:color="000000"/>
                        </w:tcBorders>
                      </w:tcPr>
                      <w:p>
                        <w:pPr>
                          <w:pStyle w:val="TableParagraph"/>
                          <w:spacing w:line="103" w:lineRule="exact" w:before="2"/>
                          <w:ind w:left="140"/>
                          <w:jc w:val="center"/>
                          <w:rPr>
                            <w:sz w:val="10"/>
                          </w:rPr>
                        </w:pPr>
                        <w:r>
                          <w:rPr>
                            <w:w w:val="100"/>
                            <w:sz w:val="10"/>
                          </w:rPr>
                          <w:t>4</w:t>
                        </w:r>
                      </w:p>
                    </w:tc>
                  </w:tr>
                  <w:tr>
                    <w:trPr>
                      <w:trHeight w:val="124" w:hRule="atLeast"/>
                    </w:trPr>
                    <w:tc>
                      <w:tcPr>
                        <w:tcW w:w="518" w:type="dxa"/>
                        <w:tcBorders>
                          <w:left w:val="single" w:sz="4" w:space="0" w:color="000000"/>
                          <w:right w:val="single" w:sz="4" w:space="0" w:color="000000"/>
                        </w:tcBorders>
                      </w:tcPr>
                      <w:p>
                        <w:pPr>
                          <w:pStyle w:val="TableParagraph"/>
                          <w:spacing w:line="100" w:lineRule="exact" w:before="4"/>
                          <w:ind w:right="216"/>
                          <w:jc w:val="right"/>
                          <w:rPr>
                            <w:sz w:val="10"/>
                          </w:rPr>
                        </w:pPr>
                        <w:r>
                          <w:rPr>
                            <w:w w:val="100"/>
                            <w:sz w:val="10"/>
                          </w:rPr>
                          <w:t>F</w:t>
                        </w:r>
                      </w:p>
                    </w:tc>
                    <w:tc>
                      <w:tcPr>
                        <w:tcW w:w="628" w:type="dxa"/>
                        <w:tcBorders>
                          <w:left w:val="single" w:sz="4" w:space="0" w:color="000000"/>
                          <w:right w:val="single" w:sz="4" w:space="0" w:color="000000"/>
                        </w:tcBorders>
                      </w:tcPr>
                      <w:p>
                        <w:pPr>
                          <w:pStyle w:val="TableParagraph"/>
                          <w:spacing w:line="100" w:lineRule="exact" w:before="4"/>
                          <w:ind w:left="4"/>
                          <w:jc w:val="center"/>
                          <w:rPr>
                            <w:sz w:val="10"/>
                          </w:rPr>
                        </w:pPr>
                        <w:r>
                          <w:rPr>
                            <w:w w:val="100"/>
                            <w:sz w:val="10"/>
                          </w:rPr>
                          <w:t>0</w:t>
                        </w:r>
                      </w:p>
                    </w:tc>
                    <w:tc>
                      <w:tcPr>
                        <w:tcW w:w="630" w:type="dxa"/>
                        <w:tcBorders>
                          <w:left w:val="single" w:sz="4" w:space="0" w:color="000000"/>
                          <w:right w:val="single" w:sz="4" w:space="0" w:color="000000"/>
                        </w:tcBorders>
                      </w:tcPr>
                      <w:p>
                        <w:pPr>
                          <w:pStyle w:val="TableParagraph"/>
                          <w:spacing w:line="100" w:lineRule="exact" w:before="4"/>
                          <w:ind w:left="9"/>
                          <w:jc w:val="center"/>
                          <w:rPr>
                            <w:sz w:val="10"/>
                          </w:rPr>
                        </w:pPr>
                        <w:r>
                          <w:rPr>
                            <w:w w:val="100"/>
                            <w:sz w:val="10"/>
                          </w:rPr>
                          <w:t>1</w:t>
                        </w:r>
                      </w:p>
                    </w:tc>
                    <w:tc>
                      <w:tcPr>
                        <w:tcW w:w="808" w:type="dxa"/>
                        <w:tcBorders>
                          <w:left w:val="single" w:sz="4" w:space="0" w:color="000000"/>
                          <w:right w:val="single" w:sz="4" w:space="0" w:color="000000"/>
                        </w:tcBorders>
                      </w:tcPr>
                      <w:p>
                        <w:pPr>
                          <w:pStyle w:val="TableParagraph"/>
                          <w:spacing w:line="100" w:lineRule="exact" w:before="4"/>
                          <w:ind w:right="363"/>
                          <w:jc w:val="right"/>
                          <w:rPr>
                            <w:sz w:val="10"/>
                          </w:rPr>
                        </w:pPr>
                        <w:r>
                          <w:rPr>
                            <w:w w:val="100"/>
                            <w:sz w:val="10"/>
                          </w:rPr>
                          <w:t>0</w:t>
                        </w:r>
                      </w:p>
                    </w:tc>
                    <w:tc>
                      <w:tcPr>
                        <w:tcW w:w="522" w:type="dxa"/>
                        <w:tcBorders>
                          <w:left w:val="single" w:sz="4" w:space="0" w:color="000000"/>
                        </w:tcBorders>
                      </w:tcPr>
                      <w:p>
                        <w:pPr>
                          <w:pStyle w:val="TableParagraph"/>
                          <w:spacing w:line="100" w:lineRule="exact" w:before="4"/>
                          <w:ind w:left="140"/>
                          <w:jc w:val="center"/>
                          <w:rPr>
                            <w:sz w:val="10"/>
                          </w:rPr>
                        </w:pPr>
                        <w:r>
                          <w:rPr>
                            <w:w w:val="100"/>
                            <w:sz w:val="10"/>
                          </w:rPr>
                          <w:t>2</w:t>
                        </w:r>
                      </w:p>
                    </w:tc>
                  </w:tr>
                  <w:tr>
                    <w:trPr>
                      <w:trHeight w:val="127" w:hRule="atLeast"/>
                    </w:trPr>
                    <w:tc>
                      <w:tcPr>
                        <w:tcW w:w="518" w:type="dxa"/>
                        <w:tcBorders>
                          <w:left w:val="single" w:sz="4" w:space="0" w:color="000000"/>
                          <w:right w:val="single" w:sz="4" w:space="0" w:color="000000"/>
                        </w:tcBorders>
                      </w:tcPr>
                      <w:p>
                        <w:pPr>
                          <w:pStyle w:val="TableParagraph"/>
                          <w:spacing w:line="103" w:lineRule="exact" w:before="4"/>
                          <w:ind w:right="209"/>
                          <w:jc w:val="right"/>
                          <w:rPr>
                            <w:sz w:val="10"/>
                          </w:rPr>
                        </w:pPr>
                        <w:r>
                          <w:rPr>
                            <w:w w:val="100"/>
                            <w:sz w:val="10"/>
                          </w:rPr>
                          <w:t>G</w:t>
                        </w:r>
                      </w:p>
                    </w:tc>
                    <w:tc>
                      <w:tcPr>
                        <w:tcW w:w="628" w:type="dxa"/>
                        <w:tcBorders>
                          <w:left w:val="single" w:sz="4" w:space="0" w:color="000000"/>
                          <w:right w:val="single" w:sz="4" w:space="0" w:color="000000"/>
                        </w:tcBorders>
                      </w:tcPr>
                      <w:p>
                        <w:pPr>
                          <w:pStyle w:val="TableParagraph"/>
                          <w:spacing w:line="103" w:lineRule="exact" w:before="4"/>
                          <w:ind w:left="4"/>
                          <w:jc w:val="center"/>
                          <w:rPr>
                            <w:sz w:val="10"/>
                          </w:rPr>
                        </w:pPr>
                        <w:r>
                          <w:rPr>
                            <w:w w:val="100"/>
                            <w:sz w:val="10"/>
                          </w:rPr>
                          <w:t>0</w:t>
                        </w:r>
                      </w:p>
                    </w:tc>
                    <w:tc>
                      <w:tcPr>
                        <w:tcW w:w="630" w:type="dxa"/>
                        <w:tcBorders>
                          <w:left w:val="single" w:sz="4" w:space="0" w:color="000000"/>
                          <w:right w:val="single" w:sz="4" w:space="0" w:color="000000"/>
                        </w:tcBorders>
                      </w:tcPr>
                      <w:p>
                        <w:pPr>
                          <w:pStyle w:val="TableParagraph"/>
                          <w:spacing w:line="103" w:lineRule="exact" w:before="4"/>
                          <w:ind w:left="9"/>
                          <w:jc w:val="center"/>
                          <w:rPr>
                            <w:sz w:val="10"/>
                          </w:rPr>
                        </w:pPr>
                        <w:r>
                          <w:rPr>
                            <w:w w:val="100"/>
                            <w:sz w:val="10"/>
                          </w:rPr>
                          <w:t>1</w:t>
                        </w:r>
                      </w:p>
                    </w:tc>
                    <w:tc>
                      <w:tcPr>
                        <w:tcW w:w="808" w:type="dxa"/>
                        <w:tcBorders>
                          <w:left w:val="single" w:sz="4" w:space="0" w:color="000000"/>
                          <w:right w:val="single" w:sz="4" w:space="0" w:color="000000"/>
                        </w:tcBorders>
                      </w:tcPr>
                      <w:p>
                        <w:pPr>
                          <w:pStyle w:val="TableParagraph"/>
                          <w:spacing w:line="103" w:lineRule="exact" w:before="4"/>
                          <w:ind w:right="363"/>
                          <w:jc w:val="right"/>
                          <w:rPr>
                            <w:sz w:val="10"/>
                          </w:rPr>
                        </w:pPr>
                        <w:r>
                          <w:rPr>
                            <w:w w:val="100"/>
                            <w:sz w:val="10"/>
                          </w:rPr>
                          <w:t>1</w:t>
                        </w:r>
                      </w:p>
                    </w:tc>
                    <w:tc>
                      <w:tcPr>
                        <w:tcW w:w="522" w:type="dxa"/>
                        <w:tcBorders>
                          <w:left w:val="single" w:sz="4" w:space="0" w:color="000000"/>
                        </w:tcBorders>
                      </w:tcPr>
                      <w:p>
                        <w:pPr>
                          <w:pStyle w:val="TableParagraph"/>
                          <w:spacing w:line="103" w:lineRule="exact" w:before="4"/>
                          <w:ind w:left="140"/>
                          <w:jc w:val="center"/>
                          <w:rPr>
                            <w:sz w:val="10"/>
                          </w:rPr>
                        </w:pPr>
                        <w:r>
                          <w:rPr>
                            <w:w w:val="100"/>
                            <w:sz w:val="10"/>
                          </w:rPr>
                          <w:t>6</w:t>
                        </w:r>
                      </w:p>
                    </w:tc>
                  </w:tr>
                  <w:tr>
                    <w:trPr>
                      <w:trHeight w:val="124" w:hRule="atLeast"/>
                    </w:trPr>
                    <w:tc>
                      <w:tcPr>
                        <w:tcW w:w="518" w:type="dxa"/>
                        <w:tcBorders>
                          <w:left w:val="single" w:sz="4" w:space="0" w:color="000000"/>
                          <w:right w:val="single" w:sz="4" w:space="0" w:color="000000"/>
                        </w:tcBorders>
                      </w:tcPr>
                      <w:p>
                        <w:pPr>
                          <w:pStyle w:val="TableParagraph"/>
                          <w:spacing w:line="103" w:lineRule="exact" w:before="2"/>
                          <w:ind w:right="212"/>
                          <w:jc w:val="right"/>
                          <w:rPr>
                            <w:sz w:val="10"/>
                          </w:rPr>
                        </w:pPr>
                        <w:r>
                          <w:rPr>
                            <w:w w:val="100"/>
                            <w:sz w:val="10"/>
                          </w:rPr>
                          <w:t>H</w:t>
                        </w:r>
                      </w:p>
                    </w:tc>
                    <w:tc>
                      <w:tcPr>
                        <w:tcW w:w="628" w:type="dxa"/>
                        <w:tcBorders>
                          <w:left w:val="single" w:sz="4" w:space="0" w:color="000000"/>
                          <w:right w:val="single" w:sz="4" w:space="0" w:color="000000"/>
                        </w:tcBorders>
                      </w:tcPr>
                      <w:p>
                        <w:pPr>
                          <w:pStyle w:val="TableParagraph"/>
                          <w:spacing w:line="103" w:lineRule="exact" w:before="2"/>
                          <w:ind w:left="4"/>
                          <w:jc w:val="center"/>
                          <w:rPr>
                            <w:sz w:val="10"/>
                          </w:rPr>
                        </w:pPr>
                        <w:r>
                          <w:rPr>
                            <w:w w:val="100"/>
                            <w:sz w:val="10"/>
                          </w:rPr>
                          <w:t>1</w:t>
                        </w:r>
                      </w:p>
                    </w:tc>
                    <w:tc>
                      <w:tcPr>
                        <w:tcW w:w="630" w:type="dxa"/>
                        <w:tcBorders>
                          <w:left w:val="single" w:sz="4" w:space="0" w:color="000000"/>
                          <w:right w:val="single" w:sz="4" w:space="0" w:color="000000"/>
                        </w:tcBorders>
                      </w:tcPr>
                      <w:p>
                        <w:pPr>
                          <w:pStyle w:val="TableParagraph"/>
                          <w:spacing w:line="103" w:lineRule="exact" w:before="2"/>
                          <w:ind w:left="9"/>
                          <w:jc w:val="center"/>
                          <w:rPr>
                            <w:sz w:val="10"/>
                          </w:rPr>
                        </w:pPr>
                        <w:r>
                          <w:rPr>
                            <w:w w:val="100"/>
                            <w:sz w:val="10"/>
                          </w:rPr>
                          <w:t>1</w:t>
                        </w:r>
                      </w:p>
                    </w:tc>
                    <w:tc>
                      <w:tcPr>
                        <w:tcW w:w="808" w:type="dxa"/>
                        <w:tcBorders>
                          <w:left w:val="single" w:sz="4" w:space="0" w:color="000000"/>
                          <w:right w:val="single" w:sz="4" w:space="0" w:color="000000"/>
                        </w:tcBorders>
                      </w:tcPr>
                      <w:p>
                        <w:pPr>
                          <w:pStyle w:val="TableParagraph"/>
                          <w:spacing w:line="103" w:lineRule="exact" w:before="2"/>
                          <w:ind w:right="363"/>
                          <w:jc w:val="right"/>
                          <w:rPr>
                            <w:sz w:val="10"/>
                          </w:rPr>
                        </w:pPr>
                        <w:r>
                          <w:rPr>
                            <w:w w:val="100"/>
                            <w:sz w:val="10"/>
                          </w:rPr>
                          <w:t>1</w:t>
                        </w:r>
                      </w:p>
                    </w:tc>
                    <w:tc>
                      <w:tcPr>
                        <w:tcW w:w="522" w:type="dxa"/>
                        <w:tcBorders>
                          <w:left w:val="single" w:sz="4" w:space="0" w:color="000000"/>
                        </w:tcBorders>
                      </w:tcPr>
                      <w:p>
                        <w:pPr>
                          <w:pStyle w:val="TableParagraph"/>
                          <w:spacing w:line="103" w:lineRule="exact" w:before="2"/>
                          <w:ind w:left="140"/>
                          <w:jc w:val="center"/>
                          <w:rPr>
                            <w:sz w:val="10"/>
                          </w:rPr>
                        </w:pPr>
                        <w:r>
                          <w:rPr>
                            <w:w w:val="100"/>
                            <w:sz w:val="10"/>
                          </w:rPr>
                          <w:t>3</w:t>
                        </w:r>
                      </w:p>
                    </w:tc>
                  </w:tr>
                  <w:tr>
                    <w:trPr>
                      <w:trHeight w:val="158" w:hRule="atLeast"/>
                    </w:trPr>
                    <w:tc>
                      <w:tcPr>
                        <w:tcW w:w="518" w:type="dxa"/>
                        <w:tcBorders>
                          <w:left w:val="single" w:sz="4" w:space="0" w:color="000000"/>
                          <w:right w:val="single" w:sz="4" w:space="0" w:color="000000"/>
                        </w:tcBorders>
                      </w:tcPr>
                      <w:p>
                        <w:pPr>
                          <w:pStyle w:val="TableParagraph"/>
                          <w:spacing w:before="2"/>
                          <w:ind w:right="224"/>
                          <w:jc w:val="right"/>
                          <w:rPr>
                            <w:sz w:val="10"/>
                          </w:rPr>
                        </w:pPr>
                        <w:r>
                          <w:rPr>
                            <w:w w:val="100"/>
                            <w:sz w:val="10"/>
                          </w:rPr>
                          <w:t>J</w:t>
                        </w:r>
                      </w:p>
                    </w:tc>
                    <w:tc>
                      <w:tcPr>
                        <w:tcW w:w="628" w:type="dxa"/>
                        <w:tcBorders>
                          <w:left w:val="single" w:sz="4" w:space="0" w:color="000000"/>
                          <w:right w:val="single" w:sz="4" w:space="0" w:color="000000"/>
                        </w:tcBorders>
                      </w:tcPr>
                      <w:p>
                        <w:pPr>
                          <w:pStyle w:val="TableParagraph"/>
                          <w:spacing w:before="2"/>
                          <w:ind w:left="4"/>
                          <w:jc w:val="center"/>
                          <w:rPr>
                            <w:sz w:val="10"/>
                          </w:rPr>
                        </w:pPr>
                        <w:r>
                          <w:rPr>
                            <w:w w:val="100"/>
                            <w:sz w:val="10"/>
                          </w:rPr>
                          <w:t>2</w:t>
                        </w:r>
                      </w:p>
                    </w:tc>
                    <w:tc>
                      <w:tcPr>
                        <w:tcW w:w="630" w:type="dxa"/>
                        <w:tcBorders>
                          <w:left w:val="single" w:sz="4" w:space="0" w:color="000000"/>
                          <w:right w:val="single" w:sz="4" w:space="0" w:color="000000"/>
                        </w:tcBorders>
                      </w:tcPr>
                      <w:p>
                        <w:pPr>
                          <w:pStyle w:val="TableParagraph"/>
                          <w:spacing w:before="2"/>
                          <w:ind w:left="9"/>
                          <w:jc w:val="center"/>
                          <w:rPr>
                            <w:sz w:val="10"/>
                          </w:rPr>
                        </w:pPr>
                        <w:r>
                          <w:rPr>
                            <w:w w:val="100"/>
                            <w:sz w:val="10"/>
                          </w:rPr>
                          <w:t>1</w:t>
                        </w:r>
                      </w:p>
                    </w:tc>
                    <w:tc>
                      <w:tcPr>
                        <w:tcW w:w="808" w:type="dxa"/>
                        <w:tcBorders>
                          <w:left w:val="single" w:sz="4" w:space="0" w:color="000000"/>
                          <w:right w:val="single" w:sz="4" w:space="0" w:color="000000"/>
                        </w:tcBorders>
                      </w:tcPr>
                      <w:p>
                        <w:pPr>
                          <w:pStyle w:val="TableParagraph"/>
                          <w:spacing w:before="2"/>
                          <w:ind w:right="363"/>
                          <w:jc w:val="right"/>
                          <w:rPr>
                            <w:sz w:val="10"/>
                          </w:rPr>
                        </w:pPr>
                        <w:r>
                          <w:rPr>
                            <w:w w:val="100"/>
                            <w:sz w:val="10"/>
                          </w:rPr>
                          <w:t>1</w:t>
                        </w:r>
                      </w:p>
                    </w:tc>
                    <w:tc>
                      <w:tcPr>
                        <w:tcW w:w="522" w:type="dxa"/>
                        <w:tcBorders>
                          <w:left w:val="single" w:sz="4" w:space="0" w:color="000000"/>
                        </w:tcBorders>
                      </w:tcPr>
                      <w:p>
                        <w:pPr>
                          <w:pStyle w:val="TableParagraph"/>
                          <w:spacing w:before="2"/>
                          <w:ind w:left="140"/>
                          <w:jc w:val="center"/>
                          <w:rPr>
                            <w:sz w:val="10"/>
                          </w:rPr>
                        </w:pPr>
                        <w:r>
                          <w:rPr>
                            <w:w w:val="100"/>
                            <w:sz w:val="10"/>
                          </w:rPr>
                          <w:t>2</w:t>
                        </w:r>
                      </w:p>
                    </w:tc>
                  </w:tr>
                </w:tbl>
                <w:p>
                  <w:pPr>
                    <w:pStyle w:val="BodyText"/>
                  </w:pPr>
                </w:p>
              </w:txbxContent>
            </v:textbox>
            <w10:wrap type="none"/>
          </v:shape>
        </w:pict>
      </w:r>
      <w:r>
        <w:rPr/>
        <w:t>THD @ 20mVpk</w:t>
      </w:r>
    </w:p>
    <w:p>
      <w:pPr>
        <w:pStyle w:val="BodyText"/>
      </w:pPr>
    </w:p>
    <w:p>
      <w:pPr>
        <w:pStyle w:val="BodyText"/>
      </w:pPr>
    </w:p>
    <w:p>
      <w:pPr>
        <w:pStyle w:val="BodyText"/>
      </w:pPr>
    </w:p>
    <w:p>
      <w:pPr>
        <w:pStyle w:val="BodyText"/>
      </w:pPr>
    </w:p>
    <w:p>
      <w:pPr>
        <w:pStyle w:val="BodyText"/>
      </w:pPr>
    </w:p>
    <w:p>
      <w:pPr>
        <w:pStyle w:val="BodyText"/>
        <w:spacing w:before="3"/>
        <w:rPr>
          <w:sz w:val="10"/>
        </w:rPr>
      </w:pPr>
    </w:p>
    <w:tbl>
      <w:tblPr>
        <w:tblW w:w="0" w:type="auto"/>
        <w:jc w:val="left"/>
        <w:tblInd w:w="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8"/>
        <w:gridCol w:w="628"/>
        <w:gridCol w:w="630"/>
        <w:gridCol w:w="808"/>
        <w:gridCol w:w="652"/>
      </w:tblGrid>
      <w:tr>
        <w:trPr>
          <w:trHeight w:val="357" w:hRule="atLeast"/>
        </w:trPr>
        <w:tc>
          <w:tcPr>
            <w:tcW w:w="518" w:type="dxa"/>
          </w:tcPr>
          <w:p>
            <w:pPr>
              <w:pStyle w:val="TableParagraph"/>
              <w:spacing w:before="30"/>
              <w:ind w:left="-5" w:right="-29"/>
              <w:jc w:val="center"/>
              <w:rPr>
                <w:sz w:val="18"/>
              </w:rPr>
            </w:pPr>
            <w:r>
              <w:rPr>
                <w:sz w:val="18"/>
              </w:rPr>
              <w:t>LSB</w:t>
            </w:r>
            <w:r>
              <w:rPr>
                <w:spacing w:val="1"/>
                <w:sz w:val="18"/>
              </w:rPr>
              <w:t> </w:t>
            </w:r>
            <w:r>
              <w:rPr>
                <w:spacing w:val="-10"/>
                <w:sz w:val="18"/>
              </w:rPr>
              <w:t>Si</w:t>
            </w:r>
          </w:p>
        </w:tc>
        <w:tc>
          <w:tcPr>
            <w:tcW w:w="628" w:type="dxa"/>
          </w:tcPr>
          <w:p>
            <w:pPr>
              <w:pStyle w:val="TableParagraph"/>
              <w:spacing w:before="30"/>
              <w:ind w:left="29"/>
              <w:rPr>
                <w:sz w:val="18"/>
              </w:rPr>
            </w:pPr>
            <w:r>
              <w:rPr>
                <w:sz w:val="18"/>
              </w:rPr>
              <w:t>ze:</w:t>
            </w:r>
          </w:p>
        </w:tc>
        <w:tc>
          <w:tcPr>
            <w:tcW w:w="630" w:type="dxa"/>
          </w:tcPr>
          <w:p>
            <w:pPr>
              <w:pStyle w:val="TableParagraph"/>
              <w:rPr>
                <w:rFonts w:ascii="Times New Roman"/>
                <w:sz w:val="14"/>
              </w:rPr>
            </w:pPr>
          </w:p>
        </w:tc>
        <w:tc>
          <w:tcPr>
            <w:tcW w:w="808" w:type="dxa"/>
          </w:tcPr>
          <w:p>
            <w:pPr>
              <w:pStyle w:val="TableParagraph"/>
              <w:rPr>
                <w:rFonts w:ascii="Times New Roman"/>
                <w:sz w:val="14"/>
              </w:rPr>
            </w:pPr>
          </w:p>
        </w:tc>
        <w:tc>
          <w:tcPr>
            <w:tcW w:w="652" w:type="dxa"/>
          </w:tcPr>
          <w:p>
            <w:pPr>
              <w:pStyle w:val="TableParagraph"/>
              <w:rPr>
                <w:rFonts w:ascii="Times New Roman"/>
                <w:sz w:val="14"/>
              </w:rPr>
            </w:pPr>
          </w:p>
        </w:tc>
      </w:tr>
      <w:tr>
        <w:trPr>
          <w:trHeight w:val="103" w:hRule="atLeast"/>
        </w:trPr>
        <w:tc>
          <w:tcPr>
            <w:tcW w:w="518" w:type="dxa"/>
          </w:tcPr>
          <w:p>
            <w:pPr>
              <w:pStyle w:val="TableParagraph"/>
              <w:spacing w:line="79" w:lineRule="exact" w:before="4"/>
              <w:ind w:left="18" w:right="19"/>
              <w:jc w:val="center"/>
              <w:rPr>
                <w:b/>
                <w:sz w:val="8"/>
              </w:rPr>
            </w:pPr>
            <w:r>
              <w:rPr>
                <w:b/>
                <w:sz w:val="8"/>
              </w:rPr>
              <w:t>Name</w:t>
            </w:r>
          </w:p>
        </w:tc>
        <w:tc>
          <w:tcPr>
            <w:tcW w:w="628" w:type="dxa"/>
          </w:tcPr>
          <w:p>
            <w:pPr>
              <w:pStyle w:val="TableParagraph"/>
              <w:spacing w:line="79" w:lineRule="exact" w:before="4"/>
              <w:ind w:left="105"/>
              <w:rPr>
                <w:rFonts w:ascii="Times New Roman"/>
                <w:b/>
                <w:i/>
                <w:sz w:val="8"/>
              </w:rPr>
            </w:pPr>
            <w:r>
              <w:rPr>
                <w:rFonts w:ascii="Times New Roman"/>
                <w:b/>
                <w:i/>
                <w:sz w:val="8"/>
              </w:rPr>
              <w:t>FIR_LEN</w:t>
            </w:r>
          </w:p>
        </w:tc>
        <w:tc>
          <w:tcPr>
            <w:tcW w:w="630" w:type="dxa"/>
          </w:tcPr>
          <w:p>
            <w:pPr>
              <w:pStyle w:val="TableParagraph"/>
              <w:spacing w:line="79" w:lineRule="exact" w:before="4"/>
              <w:ind w:left="39" w:right="102"/>
              <w:jc w:val="center"/>
              <w:rPr>
                <w:rFonts w:ascii="Times New Roman"/>
                <w:b/>
                <w:i/>
                <w:sz w:val="8"/>
              </w:rPr>
            </w:pPr>
            <w:r>
              <w:rPr>
                <w:rFonts w:ascii="Times New Roman"/>
                <w:b/>
                <w:i/>
                <w:sz w:val="8"/>
              </w:rPr>
              <w:t>ADC_DIV</w:t>
            </w:r>
          </w:p>
        </w:tc>
        <w:tc>
          <w:tcPr>
            <w:tcW w:w="808" w:type="dxa"/>
          </w:tcPr>
          <w:p>
            <w:pPr>
              <w:pStyle w:val="TableParagraph"/>
              <w:spacing w:line="79" w:lineRule="exact" w:before="4"/>
              <w:ind w:right="313"/>
              <w:jc w:val="right"/>
              <w:rPr>
                <w:rFonts w:ascii="Times New Roman"/>
                <w:b/>
                <w:i/>
                <w:sz w:val="8"/>
              </w:rPr>
            </w:pPr>
            <w:r>
              <w:rPr>
                <w:rFonts w:ascii="Times New Roman"/>
                <w:b/>
                <w:i/>
                <w:sz w:val="8"/>
              </w:rPr>
              <w:t>PLL_FAST</w:t>
            </w:r>
          </w:p>
        </w:tc>
        <w:tc>
          <w:tcPr>
            <w:tcW w:w="652" w:type="dxa"/>
          </w:tcPr>
          <w:p>
            <w:pPr>
              <w:pStyle w:val="TableParagraph"/>
              <w:spacing w:line="79" w:lineRule="exact" w:before="4"/>
              <w:ind w:left="92" w:right="154"/>
              <w:jc w:val="center"/>
              <w:rPr>
                <w:rFonts w:ascii="Times New Roman"/>
                <w:b/>
                <w:i/>
                <w:sz w:val="8"/>
              </w:rPr>
            </w:pPr>
            <w:r>
              <w:rPr>
                <w:rFonts w:ascii="Times New Roman"/>
                <w:b/>
                <w:i/>
                <w:sz w:val="8"/>
              </w:rPr>
              <w:t>MUX_DIV</w:t>
            </w:r>
          </w:p>
        </w:tc>
      </w:tr>
      <w:tr>
        <w:trPr>
          <w:trHeight w:val="124" w:hRule="atLeast"/>
        </w:trPr>
        <w:tc>
          <w:tcPr>
            <w:tcW w:w="518" w:type="dxa"/>
          </w:tcPr>
          <w:p>
            <w:pPr>
              <w:pStyle w:val="TableParagraph"/>
              <w:spacing w:line="103" w:lineRule="exact" w:before="2"/>
              <w:ind w:right="2"/>
              <w:jc w:val="center"/>
              <w:rPr>
                <w:sz w:val="10"/>
              </w:rPr>
            </w:pPr>
            <w:r>
              <w:rPr>
                <w:w w:val="100"/>
                <w:sz w:val="10"/>
              </w:rPr>
              <w:t>A</w:t>
            </w:r>
          </w:p>
        </w:tc>
        <w:tc>
          <w:tcPr>
            <w:tcW w:w="628" w:type="dxa"/>
          </w:tcPr>
          <w:p>
            <w:pPr>
              <w:pStyle w:val="TableParagraph"/>
              <w:spacing w:line="103" w:lineRule="exact" w:before="2"/>
              <w:ind w:right="2"/>
              <w:jc w:val="center"/>
              <w:rPr>
                <w:sz w:val="10"/>
              </w:rPr>
            </w:pPr>
            <w:r>
              <w:rPr>
                <w:w w:val="100"/>
                <w:sz w:val="10"/>
              </w:rPr>
              <w:t>0</w:t>
            </w:r>
          </w:p>
        </w:tc>
        <w:tc>
          <w:tcPr>
            <w:tcW w:w="630" w:type="dxa"/>
          </w:tcPr>
          <w:p>
            <w:pPr>
              <w:pStyle w:val="TableParagraph"/>
              <w:spacing w:line="103" w:lineRule="exact" w:before="2"/>
              <w:jc w:val="center"/>
              <w:rPr>
                <w:sz w:val="10"/>
              </w:rPr>
            </w:pPr>
            <w:r>
              <w:rPr>
                <w:w w:val="100"/>
                <w:sz w:val="10"/>
              </w:rPr>
              <w:t>0</w:t>
            </w:r>
          </w:p>
        </w:tc>
        <w:tc>
          <w:tcPr>
            <w:tcW w:w="808" w:type="dxa"/>
          </w:tcPr>
          <w:p>
            <w:pPr>
              <w:pStyle w:val="TableParagraph"/>
              <w:spacing w:line="103" w:lineRule="exact" w:before="2"/>
              <w:ind w:right="373"/>
              <w:jc w:val="right"/>
              <w:rPr>
                <w:sz w:val="10"/>
              </w:rPr>
            </w:pPr>
            <w:r>
              <w:rPr>
                <w:w w:val="100"/>
                <w:sz w:val="10"/>
              </w:rPr>
              <w:t>0</w:t>
            </w:r>
          </w:p>
        </w:tc>
        <w:tc>
          <w:tcPr>
            <w:tcW w:w="652" w:type="dxa"/>
          </w:tcPr>
          <w:p>
            <w:pPr>
              <w:pStyle w:val="TableParagraph"/>
              <w:spacing w:line="103" w:lineRule="exact" w:before="2"/>
              <w:ind w:left="5"/>
              <w:jc w:val="center"/>
              <w:rPr>
                <w:sz w:val="10"/>
              </w:rPr>
            </w:pPr>
            <w:r>
              <w:rPr>
                <w:w w:val="100"/>
                <w:sz w:val="10"/>
              </w:rPr>
              <w:t>3</w:t>
            </w:r>
          </w:p>
        </w:tc>
      </w:tr>
      <w:tr>
        <w:trPr>
          <w:trHeight w:val="124" w:hRule="atLeast"/>
        </w:trPr>
        <w:tc>
          <w:tcPr>
            <w:tcW w:w="518" w:type="dxa"/>
          </w:tcPr>
          <w:p>
            <w:pPr>
              <w:pStyle w:val="TableParagraph"/>
              <w:spacing w:line="103" w:lineRule="exact" w:before="2"/>
              <w:ind w:right="2"/>
              <w:jc w:val="center"/>
              <w:rPr>
                <w:sz w:val="10"/>
              </w:rPr>
            </w:pPr>
            <w:r>
              <w:rPr>
                <w:w w:val="100"/>
                <w:sz w:val="10"/>
              </w:rPr>
              <w:t>B</w:t>
            </w:r>
          </w:p>
        </w:tc>
        <w:tc>
          <w:tcPr>
            <w:tcW w:w="628" w:type="dxa"/>
          </w:tcPr>
          <w:p>
            <w:pPr>
              <w:pStyle w:val="TableParagraph"/>
              <w:spacing w:line="103" w:lineRule="exact" w:before="2"/>
              <w:ind w:right="2"/>
              <w:jc w:val="center"/>
              <w:rPr>
                <w:sz w:val="10"/>
              </w:rPr>
            </w:pPr>
            <w:r>
              <w:rPr>
                <w:w w:val="100"/>
                <w:sz w:val="10"/>
              </w:rPr>
              <w:t>1</w:t>
            </w:r>
          </w:p>
        </w:tc>
        <w:tc>
          <w:tcPr>
            <w:tcW w:w="630" w:type="dxa"/>
          </w:tcPr>
          <w:p>
            <w:pPr>
              <w:pStyle w:val="TableParagraph"/>
              <w:spacing w:line="103" w:lineRule="exact" w:before="2"/>
              <w:jc w:val="center"/>
              <w:rPr>
                <w:sz w:val="10"/>
              </w:rPr>
            </w:pPr>
            <w:r>
              <w:rPr>
                <w:w w:val="100"/>
                <w:sz w:val="10"/>
              </w:rPr>
              <w:t>0</w:t>
            </w:r>
          </w:p>
        </w:tc>
        <w:tc>
          <w:tcPr>
            <w:tcW w:w="808" w:type="dxa"/>
          </w:tcPr>
          <w:p>
            <w:pPr>
              <w:pStyle w:val="TableParagraph"/>
              <w:spacing w:line="103" w:lineRule="exact" w:before="2"/>
              <w:ind w:right="373"/>
              <w:jc w:val="right"/>
              <w:rPr>
                <w:sz w:val="10"/>
              </w:rPr>
            </w:pPr>
            <w:r>
              <w:rPr>
                <w:w w:val="100"/>
                <w:sz w:val="10"/>
              </w:rPr>
              <w:t>0</w:t>
            </w:r>
          </w:p>
        </w:tc>
        <w:tc>
          <w:tcPr>
            <w:tcW w:w="652" w:type="dxa"/>
          </w:tcPr>
          <w:p>
            <w:pPr>
              <w:pStyle w:val="TableParagraph"/>
              <w:spacing w:line="103" w:lineRule="exact" w:before="2"/>
              <w:ind w:left="5"/>
              <w:jc w:val="center"/>
              <w:rPr>
                <w:sz w:val="10"/>
              </w:rPr>
            </w:pPr>
            <w:r>
              <w:rPr>
                <w:w w:val="100"/>
                <w:sz w:val="10"/>
              </w:rPr>
              <w:t>2</w:t>
            </w:r>
          </w:p>
        </w:tc>
      </w:tr>
      <w:tr>
        <w:trPr>
          <w:trHeight w:val="124" w:hRule="atLeast"/>
        </w:trPr>
        <w:tc>
          <w:tcPr>
            <w:tcW w:w="518" w:type="dxa"/>
          </w:tcPr>
          <w:p>
            <w:pPr>
              <w:pStyle w:val="TableParagraph"/>
              <w:spacing w:line="103" w:lineRule="exact" w:before="2"/>
              <w:ind w:right="1"/>
              <w:jc w:val="center"/>
              <w:rPr>
                <w:sz w:val="10"/>
              </w:rPr>
            </w:pPr>
            <w:r>
              <w:rPr>
                <w:w w:val="100"/>
                <w:sz w:val="10"/>
              </w:rPr>
              <w:t>C</w:t>
            </w:r>
          </w:p>
        </w:tc>
        <w:tc>
          <w:tcPr>
            <w:tcW w:w="628" w:type="dxa"/>
          </w:tcPr>
          <w:p>
            <w:pPr>
              <w:pStyle w:val="TableParagraph"/>
              <w:spacing w:line="103" w:lineRule="exact" w:before="2"/>
              <w:ind w:right="2"/>
              <w:jc w:val="center"/>
              <w:rPr>
                <w:sz w:val="10"/>
              </w:rPr>
            </w:pPr>
            <w:r>
              <w:rPr>
                <w:w w:val="100"/>
                <w:sz w:val="10"/>
              </w:rPr>
              <w:t>0</w:t>
            </w:r>
          </w:p>
        </w:tc>
        <w:tc>
          <w:tcPr>
            <w:tcW w:w="630" w:type="dxa"/>
          </w:tcPr>
          <w:p>
            <w:pPr>
              <w:pStyle w:val="TableParagraph"/>
              <w:spacing w:line="103" w:lineRule="exact" w:before="2"/>
              <w:jc w:val="center"/>
              <w:rPr>
                <w:sz w:val="10"/>
              </w:rPr>
            </w:pPr>
            <w:r>
              <w:rPr>
                <w:w w:val="100"/>
                <w:sz w:val="10"/>
              </w:rPr>
              <w:t>0</w:t>
            </w:r>
          </w:p>
        </w:tc>
        <w:tc>
          <w:tcPr>
            <w:tcW w:w="808" w:type="dxa"/>
          </w:tcPr>
          <w:p>
            <w:pPr>
              <w:pStyle w:val="TableParagraph"/>
              <w:spacing w:line="103" w:lineRule="exact" w:before="2"/>
              <w:ind w:right="373"/>
              <w:jc w:val="right"/>
              <w:rPr>
                <w:sz w:val="10"/>
              </w:rPr>
            </w:pPr>
            <w:r>
              <w:rPr>
                <w:w w:val="100"/>
                <w:sz w:val="10"/>
              </w:rPr>
              <w:t>1</w:t>
            </w:r>
          </w:p>
        </w:tc>
        <w:tc>
          <w:tcPr>
            <w:tcW w:w="652" w:type="dxa"/>
          </w:tcPr>
          <w:p>
            <w:pPr>
              <w:pStyle w:val="TableParagraph"/>
              <w:spacing w:line="103" w:lineRule="exact" w:before="2"/>
              <w:ind w:left="92" w:right="85"/>
              <w:jc w:val="center"/>
              <w:rPr>
                <w:sz w:val="10"/>
              </w:rPr>
            </w:pPr>
            <w:r>
              <w:rPr>
                <w:sz w:val="10"/>
              </w:rPr>
              <w:t>11</w:t>
            </w:r>
          </w:p>
        </w:tc>
      </w:tr>
      <w:tr>
        <w:trPr>
          <w:trHeight w:val="124" w:hRule="atLeast"/>
        </w:trPr>
        <w:tc>
          <w:tcPr>
            <w:tcW w:w="518" w:type="dxa"/>
          </w:tcPr>
          <w:p>
            <w:pPr>
              <w:pStyle w:val="TableParagraph"/>
              <w:spacing w:line="103" w:lineRule="exact" w:before="2"/>
              <w:ind w:right="1"/>
              <w:jc w:val="center"/>
              <w:rPr>
                <w:sz w:val="10"/>
              </w:rPr>
            </w:pPr>
            <w:r>
              <w:rPr>
                <w:w w:val="100"/>
                <w:sz w:val="10"/>
              </w:rPr>
              <w:t>D</w:t>
            </w:r>
          </w:p>
        </w:tc>
        <w:tc>
          <w:tcPr>
            <w:tcW w:w="628" w:type="dxa"/>
          </w:tcPr>
          <w:p>
            <w:pPr>
              <w:pStyle w:val="TableParagraph"/>
              <w:spacing w:line="103" w:lineRule="exact" w:before="2"/>
              <w:ind w:right="2"/>
              <w:jc w:val="center"/>
              <w:rPr>
                <w:sz w:val="10"/>
              </w:rPr>
            </w:pPr>
            <w:r>
              <w:rPr>
                <w:w w:val="100"/>
                <w:sz w:val="10"/>
              </w:rPr>
              <w:t>1</w:t>
            </w:r>
          </w:p>
        </w:tc>
        <w:tc>
          <w:tcPr>
            <w:tcW w:w="630" w:type="dxa"/>
          </w:tcPr>
          <w:p>
            <w:pPr>
              <w:pStyle w:val="TableParagraph"/>
              <w:spacing w:line="103" w:lineRule="exact" w:before="2"/>
              <w:jc w:val="center"/>
              <w:rPr>
                <w:sz w:val="10"/>
              </w:rPr>
            </w:pPr>
            <w:r>
              <w:rPr>
                <w:w w:val="100"/>
                <w:sz w:val="10"/>
              </w:rPr>
              <w:t>0</w:t>
            </w:r>
          </w:p>
        </w:tc>
        <w:tc>
          <w:tcPr>
            <w:tcW w:w="808" w:type="dxa"/>
          </w:tcPr>
          <w:p>
            <w:pPr>
              <w:pStyle w:val="TableParagraph"/>
              <w:spacing w:line="103" w:lineRule="exact" w:before="2"/>
              <w:ind w:right="373"/>
              <w:jc w:val="right"/>
              <w:rPr>
                <w:sz w:val="10"/>
              </w:rPr>
            </w:pPr>
            <w:r>
              <w:rPr>
                <w:w w:val="100"/>
                <w:sz w:val="10"/>
              </w:rPr>
              <w:t>1</w:t>
            </w:r>
          </w:p>
        </w:tc>
        <w:tc>
          <w:tcPr>
            <w:tcW w:w="652" w:type="dxa"/>
          </w:tcPr>
          <w:p>
            <w:pPr>
              <w:pStyle w:val="TableParagraph"/>
              <w:spacing w:line="103" w:lineRule="exact" w:before="2"/>
              <w:ind w:left="5"/>
              <w:jc w:val="center"/>
              <w:rPr>
                <w:sz w:val="10"/>
              </w:rPr>
            </w:pPr>
            <w:r>
              <w:rPr>
                <w:w w:val="100"/>
                <w:sz w:val="10"/>
              </w:rPr>
              <w:t>6</w:t>
            </w:r>
          </w:p>
        </w:tc>
      </w:tr>
      <w:tr>
        <w:trPr>
          <w:trHeight w:val="124" w:hRule="atLeast"/>
        </w:trPr>
        <w:tc>
          <w:tcPr>
            <w:tcW w:w="518" w:type="dxa"/>
          </w:tcPr>
          <w:p>
            <w:pPr>
              <w:pStyle w:val="TableParagraph"/>
              <w:spacing w:line="103" w:lineRule="exact" w:before="2"/>
              <w:ind w:right="2"/>
              <w:jc w:val="center"/>
              <w:rPr>
                <w:sz w:val="10"/>
              </w:rPr>
            </w:pPr>
            <w:r>
              <w:rPr>
                <w:w w:val="100"/>
                <w:sz w:val="10"/>
              </w:rPr>
              <w:t>E</w:t>
            </w:r>
          </w:p>
        </w:tc>
        <w:tc>
          <w:tcPr>
            <w:tcW w:w="628" w:type="dxa"/>
          </w:tcPr>
          <w:p>
            <w:pPr>
              <w:pStyle w:val="TableParagraph"/>
              <w:spacing w:line="103" w:lineRule="exact" w:before="2"/>
              <w:ind w:right="2"/>
              <w:jc w:val="center"/>
              <w:rPr>
                <w:sz w:val="10"/>
              </w:rPr>
            </w:pPr>
            <w:r>
              <w:rPr>
                <w:w w:val="100"/>
                <w:sz w:val="10"/>
              </w:rPr>
              <w:t>2</w:t>
            </w:r>
          </w:p>
        </w:tc>
        <w:tc>
          <w:tcPr>
            <w:tcW w:w="630" w:type="dxa"/>
          </w:tcPr>
          <w:p>
            <w:pPr>
              <w:pStyle w:val="TableParagraph"/>
              <w:spacing w:line="103" w:lineRule="exact" w:before="2"/>
              <w:jc w:val="center"/>
              <w:rPr>
                <w:sz w:val="10"/>
              </w:rPr>
            </w:pPr>
            <w:r>
              <w:rPr>
                <w:w w:val="100"/>
                <w:sz w:val="10"/>
              </w:rPr>
              <w:t>0</w:t>
            </w:r>
          </w:p>
        </w:tc>
        <w:tc>
          <w:tcPr>
            <w:tcW w:w="808" w:type="dxa"/>
          </w:tcPr>
          <w:p>
            <w:pPr>
              <w:pStyle w:val="TableParagraph"/>
              <w:spacing w:line="103" w:lineRule="exact" w:before="2"/>
              <w:ind w:right="373"/>
              <w:jc w:val="right"/>
              <w:rPr>
                <w:sz w:val="10"/>
              </w:rPr>
            </w:pPr>
            <w:r>
              <w:rPr>
                <w:w w:val="100"/>
                <w:sz w:val="10"/>
              </w:rPr>
              <w:t>1</w:t>
            </w:r>
          </w:p>
        </w:tc>
        <w:tc>
          <w:tcPr>
            <w:tcW w:w="652" w:type="dxa"/>
          </w:tcPr>
          <w:p>
            <w:pPr>
              <w:pStyle w:val="TableParagraph"/>
              <w:spacing w:line="103" w:lineRule="exact" w:before="2"/>
              <w:ind w:left="5"/>
              <w:jc w:val="center"/>
              <w:rPr>
                <w:sz w:val="10"/>
              </w:rPr>
            </w:pPr>
            <w:r>
              <w:rPr>
                <w:w w:val="100"/>
                <w:sz w:val="10"/>
              </w:rPr>
              <w:t>4</w:t>
            </w:r>
          </w:p>
        </w:tc>
      </w:tr>
      <w:tr>
        <w:trPr>
          <w:trHeight w:val="124" w:hRule="atLeast"/>
        </w:trPr>
        <w:tc>
          <w:tcPr>
            <w:tcW w:w="518" w:type="dxa"/>
          </w:tcPr>
          <w:p>
            <w:pPr>
              <w:pStyle w:val="TableParagraph"/>
              <w:spacing w:line="103" w:lineRule="exact" w:before="2"/>
              <w:jc w:val="center"/>
              <w:rPr>
                <w:sz w:val="10"/>
              </w:rPr>
            </w:pPr>
            <w:r>
              <w:rPr>
                <w:w w:val="100"/>
                <w:sz w:val="10"/>
              </w:rPr>
              <w:t>F</w:t>
            </w:r>
          </w:p>
        </w:tc>
        <w:tc>
          <w:tcPr>
            <w:tcW w:w="628" w:type="dxa"/>
          </w:tcPr>
          <w:p>
            <w:pPr>
              <w:pStyle w:val="TableParagraph"/>
              <w:spacing w:line="103" w:lineRule="exact" w:before="2"/>
              <w:ind w:right="2"/>
              <w:jc w:val="center"/>
              <w:rPr>
                <w:sz w:val="10"/>
              </w:rPr>
            </w:pPr>
            <w:r>
              <w:rPr>
                <w:w w:val="100"/>
                <w:sz w:val="10"/>
              </w:rPr>
              <w:t>0</w:t>
            </w:r>
          </w:p>
        </w:tc>
        <w:tc>
          <w:tcPr>
            <w:tcW w:w="630" w:type="dxa"/>
          </w:tcPr>
          <w:p>
            <w:pPr>
              <w:pStyle w:val="TableParagraph"/>
              <w:spacing w:line="103" w:lineRule="exact" w:before="2"/>
              <w:jc w:val="center"/>
              <w:rPr>
                <w:sz w:val="10"/>
              </w:rPr>
            </w:pPr>
            <w:r>
              <w:rPr>
                <w:w w:val="100"/>
                <w:sz w:val="10"/>
              </w:rPr>
              <w:t>1</w:t>
            </w:r>
          </w:p>
        </w:tc>
        <w:tc>
          <w:tcPr>
            <w:tcW w:w="808" w:type="dxa"/>
          </w:tcPr>
          <w:p>
            <w:pPr>
              <w:pStyle w:val="TableParagraph"/>
              <w:spacing w:line="103" w:lineRule="exact" w:before="2"/>
              <w:ind w:right="373"/>
              <w:jc w:val="right"/>
              <w:rPr>
                <w:sz w:val="10"/>
              </w:rPr>
            </w:pPr>
            <w:r>
              <w:rPr>
                <w:w w:val="100"/>
                <w:sz w:val="10"/>
              </w:rPr>
              <w:t>0</w:t>
            </w:r>
          </w:p>
        </w:tc>
        <w:tc>
          <w:tcPr>
            <w:tcW w:w="652" w:type="dxa"/>
          </w:tcPr>
          <w:p>
            <w:pPr>
              <w:pStyle w:val="TableParagraph"/>
              <w:spacing w:line="103" w:lineRule="exact" w:before="2"/>
              <w:ind w:left="5"/>
              <w:jc w:val="center"/>
              <w:rPr>
                <w:sz w:val="10"/>
              </w:rPr>
            </w:pPr>
            <w:r>
              <w:rPr>
                <w:w w:val="100"/>
                <w:sz w:val="10"/>
              </w:rPr>
              <w:t>2</w:t>
            </w:r>
          </w:p>
        </w:tc>
      </w:tr>
      <w:tr>
        <w:trPr>
          <w:trHeight w:val="124" w:hRule="atLeast"/>
        </w:trPr>
        <w:tc>
          <w:tcPr>
            <w:tcW w:w="518" w:type="dxa"/>
          </w:tcPr>
          <w:p>
            <w:pPr>
              <w:pStyle w:val="TableParagraph"/>
              <w:spacing w:line="103" w:lineRule="exact" w:before="2"/>
              <w:jc w:val="center"/>
              <w:rPr>
                <w:sz w:val="10"/>
              </w:rPr>
            </w:pPr>
            <w:r>
              <w:rPr>
                <w:w w:val="100"/>
                <w:sz w:val="10"/>
              </w:rPr>
              <w:t>G</w:t>
            </w:r>
          </w:p>
        </w:tc>
        <w:tc>
          <w:tcPr>
            <w:tcW w:w="628" w:type="dxa"/>
          </w:tcPr>
          <w:p>
            <w:pPr>
              <w:pStyle w:val="TableParagraph"/>
              <w:spacing w:line="103" w:lineRule="exact" w:before="2"/>
              <w:ind w:right="2"/>
              <w:jc w:val="center"/>
              <w:rPr>
                <w:sz w:val="10"/>
              </w:rPr>
            </w:pPr>
            <w:r>
              <w:rPr>
                <w:w w:val="100"/>
                <w:sz w:val="10"/>
              </w:rPr>
              <w:t>0</w:t>
            </w:r>
          </w:p>
        </w:tc>
        <w:tc>
          <w:tcPr>
            <w:tcW w:w="630" w:type="dxa"/>
          </w:tcPr>
          <w:p>
            <w:pPr>
              <w:pStyle w:val="TableParagraph"/>
              <w:spacing w:line="103" w:lineRule="exact" w:before="2"/>
              <w:jc w:val="center"/>
              <w:rPr>
                <w:sz w:val="10"/>
              </w:rPr>
            </w:pPr>
            <w:r>
              <w:rPr>
                <w:w w:val="100"/>
                <w:sz w:val="10"/>
              </w:rPr>
              <w:t>1</w:t>
            </w:r>
          </w:p>
        </w:tc>
        <w:tc>
          <w:tcPr>
            <w:tcW w:w="808" w:type="dxa"/>
          </w:tcPr>
          <w:p>
            <w:pPr>
              <w:pStyle w:val="TableParagraph"/>
              <w:spacing w:line="103" w:lineRule="exact" w:before="2"/>
              <w:ind w:right="373"/>
              <w:jc w:val="right"/>
              <w:rPr>
                <w:sz w:val="10"/>
              </w:rPr>
            </w:pPr>
            <w:r>
              <w:rPr>
                <w:w w:val="100"/>
                <w:sz w:val="10"/>
              </w:rPr>
              <w:t>1</w:t>
            </w:r>
          </w:p>
        </w:tc>
        <w:tc>
          <w:tcPr>
            <w:tcW w:w="652" w:type="dxa"/>
          </w:tcPr>
          <w:p>
            <w:pPr>
              <w:pStyle w:val="TableParagraph"/>
              <w:spacing w:line="103" w:lineRule="exact" w:before="2"/>
              <w:ind w:left="5"/>
              <w:jc w:val="center"/>
              <w:rPr>
                <w:sz w:val="10"/>
              </w:rPr>
            </w:pPr>
            <w:r>
              <w:rPr>
                <w:w w:val="100"/>
                <w:sz w:val="10"/>
              </w:rPr>
              <w:t>6</w:t>
            </w:r>
          </w:p>
        </w:tc>
      </w:tr>
      <w:tr>
        <w:trPr>
          <w:trHeight w:val="124" w:hRule="atLeast"/>
        </w:trPr>
        <w:tc>
          <w:tcPr>
            <w:tcW w:w="518" w:type="dxa"/>
          </w:tcPr>
          <w:p>
            <w:pPr>
              <w:pStyle w:val="TableParagraph"/>
              <w:spacing w:line="103" w:lineRule="exact" w:before="2"/>
              <w:ind w:right="1"/>
              <w:jc w:val="center"/>
              <w:rPr>
                <w:sz w:val="10"/>
              </w:rPr>
            </w:pPr>
            <w:r>
              <w:rPr>
                <w:w w:val="100"/>
                <w:sz w:val="10"/>
              </w:rPr>
              <w:t>H</w:t>
            </w:r>
          </w:p>
        </w:tc>
        <w:tc>
          <w:tcPr>
            <w:tcW w:w="628" w:type="dxa"/>
          </w:tcPr>
          <w:p>
            <w:pPr>
              <w:pStyle w:val="TableParagraph"/>
              <w:spacing w:line="103" w:lineRule="exact" w:before="2"/>
              <w:ind w:right="2"/>
              <w:jc w:val="center"/>
              <w:rPr>
                <w:sz w:val="10"/>
              </w:rPr>
            </w:pPr>
            <w:r>
              <w:rPr>
                <w:w w:val="100"/>
                <w:sz w:val="10"/>
              </w:rPr>
              <w:t>1</w:t>
            </w:r>
          </w:p>
        </w:tc>
        <w:tc>
          <w:tcPr>
            <w:tcW w:w="630" w:type="dxa"/>
          </w:tcPr>
          <w:p>
            <w:pPr>
              <w:pStyle w:val="TableParagraph"/>
              <w:spacing w:line="103" w:lineRule="exact" w:before="2"/>
              <w:jc w:val="center"/>
              <w:rPr>
                <w:sz w:val="10"/>
              </w:rPr>
            </w:pPr>
            <w:r>
              <w:rPr>
                <w:w w:val="100"/>
                <w:sz w:val="10"/>
              </w:rPr>
              <w:t>1</w:t>
            </w:r>
          </w:p>
        </w:tc>
        <w:tc>
          <w:tcPr>
            <w:tcW w:w="808" w:type="dxa"/>
          </w:tcPr>
          <w:p>
            <w:pPr>
              <w:pStyle w:val="TableParagraph"/>
              <w:spacing w:line="103" w:lineRule="exact" w:before="2"/>
              <w:ind w:right="373"/>
              <w:jc w:val="right"/>
              <w:rPr>
                <w:sz w:val="10"/>
              </w:rPr>
            </w:pPr>
            <w:r>
              <w:rPr>
                <w:w w:val="100"/>
                <w:sz w:val="10"/>
              </w:rPr>
              <w:t>1</w:t>
            </w:r>
          </w:p>
        </w:tc>
        <w:tc>
          <w:tcPr>
            <w:tcW w:w="652" w:type="dxa"/>
          </w:tcPr>
          <w:p>
            <w:pPr>
              <w:pStyle w:val="TableParagraph"/>
              <w:spacing w:line="103" w:lineRule="exact" w:before="2"/>
              <w:ind w:left="5"/>
              <w:jc w:val="center"/>
              <w:rPr>
                <w:sz w:val="10"/>
              </w:rPr>
            </w:pPr>
            <w:r>
              <w:rPr>
                <w:w w:val="100"/>
                <w:sz w:val="10"/>
              </w:rPr>
              <w:t>3</w:t>
            </w:r>
          </w:p>
        </w:tc>
      </w:tr>
      <w:tr>
        <w:trPr>
          <w:trHeight w:val="124" w:hRule="atLeast"/>
        </w:trPr>
        <w:tc>
          <w:tcPr>
            <w:tcW w:w="518" w:type="dxa"/>
          </w:tcPr>
          <w:p>
            <w:pPr>
              <w:pStyle w:val="TableParagraph"/>
              <w:spacing w:line="103" w:lineRule="exact" w:before="2"/>
              <w:ind w:right="1"/>
              <w:jc w:val="center"/>
              <w:rPr>
                <w:sz w:val="10"/>
              </w:rPr>
            </w:pPr>
            <w:r>
              <w:rPr>
                <w:w w:val="100"/>
                <w:sz w:val="10"/>
              </w:rPr>
              <w:t>J</w:t>
            </w:r>
          </w:p>
        </w:tc>
        <w:tc>
          <w:tcPr>
            <w:tcW w:w="628" w:type="dxa"/>
          </w:tcPr>
          <w:p>
            <w:pPr>
              <w:pStyle w:val="TableParagraph"/>
              <w:spacing w:line="103" w:lineRule="exact" w:before="2"/>
              <w:ind w:right="2"/>
              <w:jc w:val="center"/>
              <w:rPr>
                <w:sz w:val="10"/>
              </w:rPr>
            </w:pPr>
            <w:r>
              <w:rPr>
                <w:w w:val="100"/>
                <w:sz w:val="10"/>
              </w:rPr>
              <w:t>2</w:t>
            </w:r>
          </w:p>
        </w:tc>
        <w:tc>
          <w:tcPr>
            <w:tcW w:w="630" w:type="dxa"/>
          </w:tcPr>
          <w:p>
            <w:pPr>
              <w:pStyle w:val="TableParagraph"/>
              <w:spacing w:line="103" w:lineRule="exact" w:before="2"/>
              <w:jc w:val="center"/>
              <w:rPr>
                <w:sz w:val="10"/>
              </w:rPr>
            </w:pPr>
            <w:r>
              <w:rPr>
                <w:w w:val="100"/>
                <w:sz w:val="10"/>
              </w:rPr>
              <w:t>1</w:t>
            </w:r>
          </w:p>
        </w:tc>
        <w:tc>
          <w:tcPr>
            <w:tcW w:w="808" w:type="dxa"/>
          </w:tcPr>
          <w:p>
            <w:pPr>
              <w:pStyle w:val="TableParagraph"/>
              <w:spacing w:line="103" w:lineRule="exact" w:before="2"/>
              <w:ind w:right="373"/>
              <w:jc w:val="right"/>
              <w:rPr>
                <w:sz w:val="10"/>
              </w:rPr>
            </w:pPr>
            <w:r>
              <w:rPr>
                <w:w w:val="100"/>
                <w:sz w:val="10"/>
              </w:rPr>
              <w:t>1</w:t>
            </w:r>
          </w:p>
        </w:tc>
        <w:tc>
          <w:tcPr>
            <w:tcW w:w="652" w:type="dxa"/>
          </w:tcPr>
          <w:p>
            <w:pPr>
              <w:pStyle w:val="TableParagraph"/>
              <w:spacing w:line="103" w:lineRule="exact" w:before="2"/>
              <w:ind w:left="5"/>
              <w:jc w:val="center"/>
              <w:rPr>
                <w:sz w:val="10"/>
              </w:rPr>
            </w:pPr>
            <w:r>
              <w:rPr>
                <w:w w:val="100"/>
                <w:sz w:val="10"/>
              </w:rPr>
              <w:t>2</w:t>
            </w:r>
          </w:p>
        </w:tc>
      </w:tr>
    </w:tbl>
    <w:p>
      <w:pPr>
        <w:pStyle w:val="BodyText"/>
      </w:pPr>
    </w:p>
    <w:p>
      <w:pPr>
        <w:pStyle w:val="BodyText"/>
        <w:spacing w:before="11"/>
        <w:rPr>
          <w:sz w:val="12"/>
        </w:rPr>
      </w:pPr>
    </w:p>
    <w:tbl>
      <w:tblPr>
        <w:tblW w:w="0" w:type="auto"/>
        <w:jc w:val="left"/>
        <w:tblInd w:w="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8"/>
        <w:gridCol w:w="628"/>
        <w:gridCol w:w="630"/>
        <w:gridCol w:w="808"/>
        <w:gridCol w:w="652"/>
      </w:tblGrid>
      <w:tr>
        <w:trPr>
          <w:trHeight w:val="357" w:hRule="atLeast"/>
        </w:trPr>
        <w:tc>
          <w:tcPr>
            <w:tcW w:w="518" w:type="dxa"/>
          </w:tcPr>
          <w:p>
            <w:pPr>
              <w:pStyle w:val="TableParagraph"/>
              <w:spacing w:before="30"/>
              <w:ind w:left="-5" w:right="19"/>
              <w:jc w:val="center"/>
              <w:rPr>
                <w:sz w:val="18"/>
              </w:rPr>
            </w:pPr>
            <w:r>
              <w:rPr>
                <w:spacing w:val="-1"/>
                <w:sz w:val="18"/>
              </w:rPr>
              <w:t>Digital</w:t>
            </w:r>
          </w:p>
        </w:tc>
        <w:tc>
          <w:tcPr>
            <w:tcW w:w="628" w:type="dxa"/>
          </w:tcPr>
          <w:p>
            <w:pPr>
              <w:pStyle w:val="TableParagraph"/>
              <w:spacing w:before="30"/>
              <w:ind w:left="9" w:right="17"/>
              <w:jc w:val="center"/>
              <w:rPr>
                <w:sz w:val="18"/>
              </w:rPr>
            </w:pPr>
            <w:r>
              <w:rPr>
                <w:sz w:val="18"/>
              </w:rPr>
              <w:t>Full-Sc</w:t>
            </w:r>
          </w:p>
        </w:tc>
        <w:tc>
          <w:tcPr>
            <w:tcW w:w="630" w:type="dxa"/>
          </w:tcPr>
          <w:p>
            <w:pPr>
              <w:pStyle w:val="TableParagraph"/>
              <w:spacing w:before="30"/>
              <w:ind w:left="-40"/>
              <w:rPr>
                <w:sz w:val="18"/>
              </w:rPr>
            </w:pPr>
            <w:r>
              <w:rPr>
                <w:sz w:val="18"/>
              </w:rPr>
              <w:t>ale:</w:t>
            </w:r>
          </w:p>
        </w:tc>
        <w:tc>
          <w:tcPr>
            <w:tcW w:w="808" w:type="dxa"/>
          </w:tcPr>
          <w:p>
            <w:pPr>
              <w:pStyle w:val="TableParagraph"/>
              <w:rPr>
                <w:rFonts w:ascii="Times New Roman"/>
                <w:sz w:val="14"/>
              </w:rPr>
            </w:pPr>
          </w:p>
        </w:tc>
        <w:tc>
          <w:tcPr>
            <w:tcW w:w="652" w:type="dxa"/>
          </w:tcPr>
          <w:p>
            <w:pPr>
              <w:pStyle w:val="TableParagraph"/>
              <w:rPr>
                <w:rFonts w:ascii="Times New Roman"/>
                <w:sz w:val="14"/>
              </w:rPr>
            </w:pPr>
          </w:p>
        </w:tc>
      </w:tr>
      <w:tr>
        <w:trPr>
          <w:trHeight w:val="103" w:hRule="atLeast"/>
        </w:trPr>
        <w:tc>
          <w:tcPr>
            <w:tcW w:w="518" w:type="dxa"/>
          </w:tcPr>
          <w:p>
            <w:pPr>
              <w:pStyle w:val="TableParagraph"/>
              <w:spacing w:line="79" w:lineRule="exact" w:before="4"/>
              <w:ind w:left="18" w:right="19"/>
              <w:jc w:val="center"/>
              <w:rPr>
                <w:b/>
                <w:sz w:val="8"/>
              </w:rPr>
            </w:pPr>
            <w:r>
              <w:rPr>
                <w:b/>
                <w:sz w:val="8"/>
              </w:rPr>
              <w:t>Name</w:t>
            </w:r>
          </w:p>
        </w:tc>
        <w:tc>
          <w:tcPr>
            <w:tcW w:w="628" w:type="dxa"/>
          </w:tcPr>
          <w:p>
            <w:pPr>
              <w:pStyle w:val="TableParagraph"/>
              <w:spacing w:line="79" w:lineRule="exact" w:before="4"/>
              <w:ind w:left="9" w:right="87"/>
              <w:jc w:val="center"/>
              <w:rPr>
                <w:rFonts w:ascii="Times New Roman"/>
                <w:b/>
                <w:i/>
                <w:sz w:val="8"/>
              </w:rPr>
            </w:pPr>
            <w:r>
              <w:rPr>
                <w:rFonts w:ascii="Times New Roman"/>
                <w:b/>
                <w:i/>
                <w:sz w:val="8"/>
              </w:rPr>
              <w:t>FIR_LEN</w:t>
            </w:r>
          </w:p>
        </w:tc>
        <w:tc>
          <w:tcPr>
            <w:tcW w:w="630" w:type="dxa"/>
          </w:tcPr>
          <w:p>
            <w:pPr>
              <w:pStyle w:val="TableParagraph"/>
              <w:spacing w:line="79" w:lineRule="exact" w:before="4"/>
              <w:ind w:left="109"/>
              <w:rPr>
                <w:rFonts w:ascii="Times New Roman"/>
                <w:b/>
                <w:i/>
                <w:sz w:val="8"/>
              </w:rPr>
            </w:pPr>
            <w:r>
              <w:rPr>
                <w:rFonts w:ascii="Times New Roman"/>
                <w:b/>
                <w:i/>
                <w:sz w:val="8"/>
              </w:rPr>
              <w:t>ADC_DIV</w:t>
            </w:r>
          </w:p>
        </w:tc>
        <w:tc>
          <w:tcPr>
            <w:tcW w:w="808" w:type="dxa"/>
          </w:tcPr>
          <w:p>
            <w:pPr>
              <w:pStyle w:val="TableParagraph"/>
              <w:spacing w:line="79" w:lineRule="exact" w:before="4"/>
              <w:ind w:right="313"/>
              <w:jc w:val="right"/>
              <w:rPr>
                <w:rFonts w:ascii="Times New Roman"/>
                <w:b/>
                <w:i/>
                <w:sz w:val="8"/>
              </w:rPr>
            </w:pPr>
            <w:r>
              <w:rPr>
                <w:rFonts w:ascii="Times New Roman"/>
                <w:b/>
                <w:i/>
                <w:sz w:val="8"/>
              </w:rPr>
              <w:t>PLL_FAST</w:t>
            </w:r>
          </w:p>
        </w:tc>
        <w:tc>
          <w:tcPr>
            <w:tcW w:w="652" w:type="dxa"/>
          </w:tcPr>
          <w:p>
            <w:pPr>
              <w:pStyle w:val="TableParagraph"/>
              <w:spacing w:line="79" w:lineRule="exact" w:before="4"/>
              <w:ind w:left="92" w:right="154"/>
              <w:jc w:val="center"/>
              <w:rPr>
                <w:rFonts w:ascii="Times New Roman"/>
                <w:b/>
                <w:i/>
                <w:sz w:val="8"/>
              </w:rPr>
            </w:pPr>
            <w:r>
              <w:rPr>
                <w:rFonts w:ascii="Times New Roman"/>
                <w:b/>
                <w:i/>
                <w:sz w:val="8"/>
              </w:rPr>
              <w:t>MUX_DIV</w:t>
            </w:r>
          </w:p>
        </w:tc>
      </w:tr>
      <w:tr>
        <w:trPr>
          <w:trHeight w:val="124" w:hRule="atLeast"/>
        </w:trPr>
        <w:tc>
          <w:tcPr>
            <w:tcW w:w="518" w:type="dxa"/>
          </w:tcPr>
          <w:p>
            <w:pPr>
              <w:pStyle w:val="TableParagraph"/>
              <w:spacing w:line="103" w:lineRule="exact" w:before="2"/>
              <w:ind w:right="2"/>
              <w:jc w:val="center"/>
              <w:rPr>
                <w:sz w:val="10"/>
              </w:rPr>
            </w:pPr>
            <w:r>
              <w:rPr>
                <w:w w:val="100"/>
                <w:sz w:val="10"/>
              </w:rPr>
              <w:t>A</w:t>
            </w:r>
          </w:p>
        </w:tc>
        <w:tc>
          <w:tcPr>
            <w:tcW w:w="628" w:type="dxa"/>
          </w:tcPr>
          <w:p>
            <w:pPr>
              <w:pStyle w:val="TableParagraph"/>
              <w:spacing w:line="103" w:lineRule="exact" w:before="2"/>
              <w:ind w:right="2"/>
              <w:jc w:val="center"/>
              <w:rPr>
                <w:sz w:val="10"/>
              </w:rPr>
            </w:pPr>
            <w:r>
              <w:rPr>
                <w:w w:val="100"/>
                <w:sz w:val="10"/>
              </w:rPr>
              <w:t>0</w:t>
            </w:r>
          </w:p>
        </w:tc>
        <w:tc>
          <w:tcPr>
            <w:tcW w:w="630" w:type="dxa"/>
          </w:tcPr>
          <w:p>
            <w:pPr>
              <w:pStyle w:val="TableParagraph"/>
              <w:spacing w:line="103" w:lineRule="exact" w:before="2"/>
              <w:jc w:val="center"/>
              <w:rPr>
                <w:sz w:val="10"/>
              </w:rPr>
            </w:pPr>
            <w:r>
              <w:rPr>
                <w:w w:val="100"/>
                <w:sz w:val="10"/>
              </w:rPr>
              <w:t>0</w:t>
            </w:r>
          </w:p>
        </w:tc>
        <w:tc>
          <w:tcPr>
            <w:tcW w:w="808" w:type="dxa"/>
          </w:tcPr>
          <w:p>
            <w:pPr>
              <w:pStyle w:val="TableParagraph"/>
              <w:spacing w:line="103" w:lineRule="exact" w:before="2"/>
              <w:ind w:right="373"/>
              <w:jc w:val="right"/>
              <w:rPr>
                <w:sz w:val="10"/>
              </w:rPr>
            </w:pPr>
            <w:r>
              <w:rPr>
                <w:w w:val="100"/>
                <w:sz w:val="10"/>
              </w:rPr>
              <w:t>0</w:t>
            </w:r>
          </w:p>
        </w:tc>
        <w:tc>
          <w:tcPr>
            <w:tcW w:w="652" w:type="dxa"/>
          </w:tcPr>
          <w:p>
            <w:pPr>
              <w:pStyle w:val="TableParagraph"/>
              <w:spacing w:line="103" w:lineRule="exact" w:before="2"/>
              <w:ind w:left="5"/>
              <w:jc w:val="center"/>
              <w:rPr>
                <w:sz w:val="10"/>
              </w:rPr>
            </w:pPr>
            <w:r>
              <w:rPr>
                <w:w w:val="100"/>
                <w:sz w:val="10"/>
              </w:rPr>
              <w:t>3</w:t>
            </w:r>
          </w:p>
        </w:tc>
      </w:tr>
      <w:tr>
        <w:trPr>
          <w:trHeight w:val="124" w:hRule="atLeast"/>
        </w:trPr>
        <w:tc>
          <w:tcPr>
            <w:tcW w:w="518" w:type="dxa"/>
          </w:tcPr>
          <w:p>
            <w:pPr>
              <w:pStyle w:val="TableParagraph"/>
              <w:spacing w:line="103" w:lineRule="exact" w:before="2"/>
              <w:ind w:right="2"/>
              <w:jc w:val="center"/>
              <w:rPr>
                <w:sz w:val="10"/>
              </w:rPr>
            </w:pPr>
            <w:r>
              <w:rPr>
                <w:w w:val="100"/>
                <w:sz w:val="10"/>
              </w:rPr>
              <w:t>B</w:t>
            </w:r>
          </w:p>
        </w:tc>
        <w:tc>
          <w:tcPr>
            <w:tcW w:w="628" w:type="dxa"/>
          </w:tcPr>
          <w:p>
            <w:pPr>
              <w:pStyle w:val="TableParagraph"/>
              <w:spacing w:line="103" w:lineRule="exact" w:before="2"/>
              <w:ind w:right="2"/>
              <w:jc w:val="center"/>
              <w:rPr>
                <w:sz w:val="10"/>
              </w:rPr>
            </w:pPr>
            <w:r>
              <w:rPr>
                <w:w w:val="100"/>
                <w:sz w:val="10"/>
              </w:rPr>
              <w:t>1</w:t>
            </w:r>
          </w:p>
        </w:tc>
        <w:tc>
          <w:tcPr>
            <w:tcW w:w="630" w:type="dxa"/>
          </w:tcPr>
          <w:p>
            <w:pPr>
              <w:pStyle w:val="TableParagraph"/>
              <w:spacing w:line="103" w:lineRule="exact" w:before="2"/>
              <w:jc w:val="center"/>
              <w:rPr>
                <w:sz w:val="10"/>
              </w:rPr>
            </w:pPr>
            <w:r>
              <w:rPr>
                <w:w w:val="100"/>
                <w:sz w:val="10"/>
              </w:rPr>
              <w:t>0</w:t>
            </w:r>
          </w:p>
        </w:tc>
        <w:tc>
          <w:tcPr>
            <w:tcW w:w="808" w:type="dxa"/>
          </w:tcPr>
          <w:p>
            <w:pPr>
              <w:pStyle w:val="TableParagraph"/>
              <w:spacing w:line="103" w:lineRule="exact" w:before="2"/>
              <w:ind w:right="373"/>
              <w:jc w:val="right"/>
              <w:rPr>
                <w:sz w:val="10"/>
              </w:rPr>
            </w:pPr>
            <w:r>
              <w:rPr>
                <w:w w:val="100"/>
                <w:sz w:val="10"/>
              </w:rPr>
              <w:t>0</w:t>
            </w:r>
          </w:p>
        </w:tc>
        <w:tc>
          <w:tcPr>
            <w:tcW w:w="652" w:type="dxa"/>
          </w:tcPr>
          <w:p>
            <w:pPr>
              <w:pStyle w:val="TableParagraph"/>
              <w:spacing w:line="103" w:lineRule="exact" w:before="2"/>
              <w:ind w:left="5"/>
              <w:jc w:val="center"/>
              <w:rPr>
                <w:sz w:val="10"/>
              </w:rPr>
            </w:pPr>
            <w:r>
              <w:rPr>
                <w:w w:val="100"/>
                <w:sz w:val="10"/>
              </w:rPr>
              <w:t>2</w:t>
            </w:r>
          </w:p>
        </w:tc>
      </w:tr>
      <w:tr>
        <w:trPr>
          <w:trHeight w:val="124" w:hRule="atLeast"/>
        </w:trPr>
        <w:tc>
          <w:tcPr>
            <w:tcW w:w="518" w:type="dxa"/>
          </w:tcPr>
          <w:p>
            <w:pPr>
              <w:pStyle w:val="TableParagraph"/>
              <w:spacing w:line="103" w:lineRule="exact" w:before="2"/>
              <w:ind w:right="1"/>
              <w:jc w:val="center"/>
              <w:rPr>
                <w:sz w:val="10"/>
              </w:rPr>
            </w:pPr>
            <w:r>
              <w:rPr>
                <w:w w:val="100"/>
                <w:sz w:val="10"/>
              </w:rPr>
              <w:t>C</w:t>
            </w:r>
          </w:p>
        </w:tc>
        <w:tc>
          <w:tcPr>
            <w:tcW w:w="628" w:type="dxa"/>
          </w:tcPr>
          <w:p>
            <w:pPr>
              <w:pStyle w:val="TableParagraph"/>
              <w:spacing w:line="103" w:lineRule="exact" w:before="2"/>
              <w:ind w:right="2"/>
              <w:jc w:val="center"/>
              <w:rPr>
                <w:sz w:val="10"/>
              </w:rPr>
            </w:pPr>
            <w:r>
              <w:rPr>
                <w:w w:val="100"/>
                <w:sz w:val="10"/>
              </w:rPr>
              <w:t>0</w:t>
            </w:r>
          </w:p>
        </w:tc>
        <w:tc>
          <w:tcPr>
            <w:tcW w:w="630" w:type="dxa"/>
          </w:tcPr>
          <w:p>
            <w:pPr>
              <w:pStyle w:val="TableParagraph"/>
              <w:spacing w:line="103" w:lineRule="exact" w:before="2"/>
              <w:jc w:val="center"/>
              <w:rPr>
                <w:sz w:val="10"/>
              </w:rPr>
            </w:pPr>
            <w:r>
              <w:rPr>
                <w:w w:val="100"/>
                <w:sz w:val="10"/>
              </w:rPr>
              <w:t>0</w:t>
            </w:r>
          </w:p>
        </w:tc>
        <w:tc>
          <w:tcPr>
            <w:tcW w:w="808" w:type="dxa"/>
          </w:tcPr>
          <w:p>
            <w:pPr>
              <w:pStyle w:val="TableParagraph"/>
              <w:spacing w:line="103" w:lineRule="exact" w:before="2"/>
              <w:ind w:right="373"/>
              <w:jc w:val="right"/>
              <w:rPr>
                <w:sz w:val="10"/>
              </w:rPr>
            </w:pPr>
            <w:r>
              <w:rPr>
                <w:w w:val="100"/>
                <w:sz w:val="10"/>
              </w:rPr>
              <w:t>1</w:t>
            </w:r>
          </w:p>
        </w:tc>
        <w:tc>
          <w:tcPr>
            <w:tcW w:w="652" w:type="dxa"/>
          </w:tcPr>
          <w:p>
            <w:pPr>
              <w:pStyle w:val="TableParagraph"/>
              <w:spacing w:line="103" w:lineRule="exact" w:before="2"/>
              <w:ind w:left="92" w:right="85"/>
              <w:jc w:val="center"/>
              <w:rPr>
                <w:sz w:val="10"/>
              </w:rPr>
            </w:pPr>
            <w:r>
              <w:rPr>
                <w:sz w:val="10"/>
              </w:rPr>
              <w:t>11</w:t>
            </w:r>
          </w:p>
        </w:tc>
      </w:tr>
      <w:tr>
        <w:trPr>
          <w:trHeight w:val="124" w:hRule="atLeast"/>
        </w:trPr>
        <w:tc>
          <w:tcPr>
            <w:tcW w:w="518" w:type="dxa"/>
          </w:tcPr>
          <w:p>
            <w:pPr>
              <w:pStyle w:val="TableParagraph"/>
              <w:spacing w:line="103" w:lineRule="exact" w:before="2"/>
              <w:ind w:right="1"/>
              <w:jc w:val="center"/>
              <w:rPr>
                <w:sz w:val="10"/>
              </w:rPr>
            </w:pPr>
            <w:r>
              <w:rPr>
                <w:w w:val="100"/>
                <w:sz w:val="10"/>
              </w:rPr>
              <w:t>D</w:t>
            </w:r>
          </w:p>
        </w:tc>
        <w:tc>
          <w:tcPr>
            <w:tcW w:w="628" w:type="dxa"/>
          </w:tcPr>
          <w:p>
            <w:pPr>
              <w:pStyle w:val="TableParagraph"/>
              <w:spacing w:line="103" w:lineRule="exact" w:before="2"/>
              <w:ind w:right="2"/>
              <w:jc w:val="center"/>
              <w:rPr>
                <w:sz w:val="10"/>
              </w:rPr>
            </w:pPr>
            <w:r>
              <w:rPr>
                <w:w w:val="100"/>
                <w:sz w:val="10"/>
              </w:rPr>
              <w:t>1</w:t>
            </w:r>
          </w:p>
        </w:tc>
        <w:tc>
          <w:tcPr>
            <w:tcW w:w="630" w:type="dxa"/>
          </w:tcPr>
          <w:p>
            <w:pPr>
              <w:pStyle w:val="TableParagraph"/>
              <w:spacing w:line="103" w:lineRule="exact" w:before="2"/>
              <w:jc w:val="center"/>
              <w:rPr>
                <w:sz w:val="10"/>
              </w:rPr>
            </w:pPr>
            <w:r>
              <w:rPr>
                <w:w w:val="100"/>
                <w:sz w:val="10"/>
              </w:rPr>
              <w:t>0</w:t>
            </w:r>
          </w:p>
        </w:tc>
        <w:tc>
          <w:tcPr>
            <w:tcW w:w="808" w:type="dxa"/>
          </w:tcPr>
          <w:p>
            <w:pPr>
              <w:pStyle w:val="TableParagraph"/>
              <w:spacing w:line="103" w:lineRule="exact" w:before="2"/>
              <w:ind w:right="373"/>
              <w:jc w:val="right"/>
              <w:rPr>
                <w:sz w:val="10"/>
              </w:rPr>
            </w:pPr>
            <w:r>
              <w:rPr>
                <w:w w:val="100"/>
                <w:sz w:val="10"/>
              </w:rPr>
              <w:t>1</w:t>
            </w:r>
          </w:p>
        </w:tc>
        <w:tc>
          <w:tcPr>
            <w:tcW w:w="652" w:type="dxa"/>
          </w:tcPr>
          <w:p>
            <w:pPr>
              <w:pStyle w:val="TableParagraph"/>
              <w:spacing w:line="103" w:lineRule="exact" w:before="2"/>
              <w:ind w:left="5"/>
              <w:jc w:val="center"/>
              <w:rPr>
                <w:sz w:val="10"/>
              </w:rPr>
            </w:pPr>
            <w:r>
              <w:rPr>
                <w:w w:val="100"/>
                <w:sz w:val="10"/>
              </w:rPr>
              <w:t>6</w:t>
            </w:r>
          </w:p>
        </w:tc>
      </w:tr>
      <w:tr>
        <w:trPr>
          <w:trHeight w:val="124" w:hRule="atLeast"/>
        </w:trPr>
        <w:tc>
          <w:tcPr>
            <w:tcW w:w="518" w:type="dxa"/>
          </w:tcPr>
          <w:p>
            <w:pPr>
              <w:pStyle w:val="TableParagraph"/>
              <w:spacing w:line="103" w:lineRule="exact" w:before="2"/>
              <w:ind w:right="2"/>
              <w:jc w:val="center"/>
              <w:rPr>
                <w:sz w:val="10"/>
              </w:rPr>
            </w:pPr>
            <w:r>
              <w:rPr>
                <w:w w:val="100"/>
                <w:sz w:val="10"/>
              </w:rPr>
              <w:t>E</w:t>
            </w:r>
          </w:p>
        </w:tc>
        <w:tc>
          <w:tcPr>
            <w:tcW w:w="628" w:type="dxa"/>
          </w:tcPr>
          <w:p>
            <w:pPr>
              <w:pStyle w:val="TableParagraph"/>
              <w:spacing w:line="103" w:lineRule="exact" w:before="2"/>
              <w:ind w:right="2"/>
              <w:jc w:val="center"/>
              <w:rPr>
                <w:sz w:val="10"/>
              </w:rPr>
            </w:pPr>
            <w:r>
              <w:rPr>
                <w:w w:val="100"/>
                <w:sz w:val="10"/>
              </w:rPr>
              <w:t>2</w:t>
            </w:r>
          </w:p>
        </w:tc>
        <w:tc>
          <w:tcPr>
            <w:tcW w:w="630" w:type="dxa"/>
          </w:tcPr>
          <w:p>
            <w:pPr>
              <w:pStyle w:val="TableParagraph"/>
              <w:spacing w:line="103" w:lineRule="exact" w:before="2"/>
              <w:jc w:val="center"/>
              <w:rPr>
                <w:sz w:val="10"/>
              </w:rPr>
            </w:pPr>
            <w:r>
              <w:rPr>
                <w:w w:val="100"/>
                <w:sz w:val="10"/>
              </w:rPr>
              <w:t>0</w:t>
            </w:r>
          </w:p>
        </w:tc>
        <w:tc>
          <w:tcPr>
            <w:tcW w:w="808" w:type="dxa"/>
          </w:tcPr>
          <w:p>
            <w:pPr>
              <w:pStyle w:val="TableParagraph"/>
              <w:spacing w:line="103" w:lineRule="exact" w:before="2"/>
              <w:ind w:right="373"/>
              <w:jc w:val="right"/>
              <w:rPr>
                <w:sz w:val="10"/>
              </w:rPr>
            </w:pPr>
            <w:r>
              <w:rPr>
                <w:w w:val="100"/>
                <w:sz w:val="10"/>
              </w:rPr>
              <w:t>1</w:t>
            </w:r>
          </w:p>
        </w:tc>
        <w:tc>
          <w:tcPr>
            <w:tcW w:w="652" w:type="dxa"/>
          </w:tcPr>
          <w:p>
            <w:pPr>
              <w:pStyle w:val="TableParagraph"/>
              <w:spacing w:line="103" w:lineRule="exact" w:before="2"/>
              <w:ind w:left="5"/>
              <w:jc w:val="center"/>
              <w:rPr>
                <w:sz w:val="10"/>
              </w:rPr>
            </w:pPr>
            <w:r>
              <w:rPr>
                <w:w w:val="100"/>
                <w:sz w:val="10"/>
              </w:rPr>
              <w:t>4</w:t>
            </w:r>
          </w:p>
        </w:tc>
      </w:tr>
      <w:tr>
        <w:trPr>
          <w:trHeight w:val="124" w:hRule="atLeast"/>
        </w:trPr>
        <w:tc>
          <w:tcPr>
            <w:tcW w:w="518" w:type="dxa"/>
          </w:tcPr>
          <w:p>
            <w:pPr>
              <w:pStyle w:val="TableParagraph"/>
              <w:spacing w:line="103" w:lineRule="exact" w:before="2"/>
              <w:jc w:val="center"/>
              <w:rPr>
                <w:sz w:val="10"/>
              </w:rPr>
            </w:pPr>
            <w:r>
              <w:rPr>
                <w:w w:val="100"/>
                <w:sz w:val="10"/>
              </w:rPr>
              <w:t>F</w:t>
            </w:r>
          </w:p>
        </w:tc>
        <w:tc>
          <w:tcPr>
            <w:tcW w:w="628" w:type="dxa"/>
          </w:tcPr>
          <w:p>
            <w:pPr>
              <w:pStyle w:val="TableParagraph"/>
              <w:spacing w:line="103" w:lineRule="exact" w:before="2"/>
              <w:ind w:right="2"/>
              <w:jc w:val="center"/>
              <w:rPr>
                <w:sz w:val="10"/>
              </w:rPr>
            </w:pPr>
            <w:r>
              <w:rPr>
                <w:w w:val="100"/>
                <w:sz w:val="10"/>
              </w:rPr>
              <w:t>0</w:t>
            </w:r>
          </w:p>
        </w:tc>
        <w:tc>
          <w:tcPr>
            <w:tcW w:w="630" w:type="dxa"/>
          </w:tcPr>
          <w:p>
            <w:pPr>
              <w:pStyle w:val="TableParagraph"/>
              <w:spacing w:line="103" w:lineRule="exact" w:before="2"/>
              <w:jc w:val="center"/>
              <w:rPr>
                <w:sz w:val="10"/>
              </w:rPr>
            </w:pPr>
            <w:r>
              <w:rPr>
                <w:w w:val="100"/>
                <w:sz w:val="10"/>
              </w:rPr>
              <w:t>1</w:t>
            </w:r>
          </w:p>
        </w:tc>
        <w:tc>
          <w:tcPr>
            <w:tcW w:w="808" w:type="dxa"/>
          </w:tcPr>
          <w:p>
            <w:pPr>
              <w:pStyle w:val="TableParagraph"/>
              <w:spacing w:line="103" w:lineRule="exact" w:before="2"/>
              <w:ind w:right="373"/>
              <w:jc w:val="right"/>
              <w:rPr>
                <w:sz w:val="10"/>
              </w:rPr>
            </w:pPr>
            <w:r>
              <w:rPr>
                <w:w w:val="100"/>
                <w:sz w:val="10"/>
              </w:rPr>
              <w:t>0</w:t>
            </w:r>
          </w:p>
        </w:tc>
        <w:tc>
          <w:tcPr>
            <w:tcW w:w="652" w:type="dxa"/>
          </w:tcPr>
          <w:p>
            <w:pPr>
              <w:pStyle w:val="TableParagraph"/>
              <w:spacing w:line="103" w:lineRule="exact" w:before="2"/>
              <w:ind w:left="5"/>
              <w:jc w:val="center"/>
              <w:rPr>
                <w:sz w:val="10"/>
              </w:rPr>
            </w:pPr>
            <w:r>
              <w:rPr>
                <w:w w:val="100"/>
                <w:sz w:val="10"/>
              </w:rPr>
              <w:t>2</w:t>
            </w:r>
          </w:p>
        </w:tc>
      </w:tr>
      <w:tr>
        <w:trPr>
          <w:trHeight w:val="124" w:hRule="atLeast"/>
        </w:trPr>
        <w:tc>
          <w:tcPr>
            <w:tcW w:w="518" w:type="dxa"/>
          </w:tcPr>
          <w:p>
            <w:pPr>
              <w:pStyle w:val="TableParagraph"/>
              <w:spacing w:line="103" w:lineRule="exact" w:before="2"/>
              <w:jc w:val="center"/>
              <w:rPr>
                <w:sz w:val="10"/>
              </w:rPr>
            </w:pPr>
            <w:r>
              <w:rPr>
                <w:w w:val="100"/>
                <w:sz w:val="10"/>
              </w:rPr>
              <w:t>G</w:t>
            </w:r>
          </w:p>
        </w:tc>
        <w:tc>
          <w:tcPr>
            <w:tcW w:w="628" w:type="dxa"/>
          </w:tcPr>
          <w:p>
            <w:pPr>
              <w:pStyle w:val="TableParagraph"/>
              <w:spacing w:line="103" w:lineRule="exact" w:before="2"/>
              <w:ind w:right="2"/>
              <w:jc w:val="center"/>
              <w:rPr>
                <w:sz w:val="10"/>
              </w:rPr>
            </w:pPr>
            <w:r>
              <w:rPr>
                <w:w w:val="100"/>
                <w:sz w:val="10"/>
              </w:rPr>
              <w:t>0</w:t>
            </w:r>
          </w:p>
        </w:tc>
        <w:tc>
          <w:tcPr>
            <w:tcW w:w="630" w:type="dxa"/>
          </w:tcPr>
          <w:p>
            <w:pPr>
              <w:pStyle w:val="TableParagraph"/>
              <w:spacing w:line="103" w:lineRule="exact" w:before="2"/>
              <w:jc w:val="center"/>
              <w:rPr>
                <w:sz w:val="10"/>
              </w:rPr>
            </w:pPr>
            <w:r>
              <w:rPr>
                <w:w w:val="100"/>
                <w:sz w:val="10"/>
              </w:rPr>
              <w:t>1</w:t>
            </w:r>
          </w:p>
        </w:tc>
        <w:tc>
          <w:tcPr>
            <w:tcW w:w="808" w:type="dxa"/>
          </w:tcPr>
          <w:p>
            <w:pPr>
              <w:pStyle w:val="TableParagraph"/>
              <w:spacing w:line="103" w:lineRule="exact" w:before="2"/>
              <w:ind w:right="373"/>
              <w:jc w:val="right"/>
              <w:rPr>
                <w:sz w:val="10"/>
              </w:rPr>
            </w:pPr>
            <w:r>
              <w:rPr>
                <w:w w:val="100"/>
                <w:sz w:val="10"/>
              </w:rPr>
              <w:t>1</w:t>
            </w:r>
          </w:p>
        </w:tc>
        <w:tc>
          <w:tcPr>
            <w:tcW w:w="652" w:type="dxa"/>
          </w:tcPr>
          <w:p>
            <w:pPr>
              <w:pStyle w:val="TableParagraph"/>
              <w:spacing w:line="103" w:lineRule="exact" w:before="2"/>
              <w:ind w:left="5"/>
              <w:jc w:val="center"/>
              <w:rPr>
                <w:sz w:val="10"/>
              </w:rPr>
            </w:pPr>
            <w:r>
              <w:rPr>
                <w:w w:val="100"/>
                <w:sz w:val="10"/>
              </w:rPr>
              <w:t>6</w:t>
            </w:r>
          </w:p>
        </w:tc>
      </w:tr>
      <w:tr>
        <w:trPr>
          <w:trHeight w:val="124" w:hRule="atLeast"/>
        </w:trPr>
        <w:tc>
          <w:tcPr>
            <w:tcW w:w="518" w:type="dxa"/>
          </w:tcPr>
          <w:p>
            <w:pPr>
              <w:pStyle w:val="TableParagraph"/>
              <w:spacing w:line="100" w:lineRule="exact" w:before="4"/>
              <w:ind w:right="1"/>
              <w:jc w:val="center"/>
              <w:rPr>
                <w:sz w:val="10"/>
              </w:rPr>
            </w:pPr>
            <w:r>
              <w:rPr>
                <w:w w:val="100"/>
                <w:sz w:val="10"/>
              </w:rPr>
              <w:t>H</w:t>
            </w:r>
          </w:p>
        </w:tc>
        <w:tc>
          <w:tcPr>
            <w:tcW w:w="628" w:type="dxa"/>
          </w:tcPr>
          <w:p>
            <w:pPr>
              <w:pStyle w:val="TableParagraph"/>
              <w:spacing w:line="100" w:lineRule="exact" w:before="4"/>
              <w:ind w:right="2"/>
              <w:jc w:val="center"/>
              <w:rPr>
                <w:sz w:val="10"/>
              </w:rPr>
            </w:pPr>
            <w:r>
              <w:rPr>
                <w:w w:val="100"/>
                <w:sz w:val="10"/>
              </w:rPr>
              <w:t>1</w:t>
            </w:r>
          </w:p>
        </w:tc>
        <w:tc>
          <w:tcPr>
            <w:tcW w:w="630" w:type="dxa"/>
          </w:tcPr>
          <w:p>
            <w:pPr>
              <w:pStyle w:val="TableParagraph"/>
              <w:spacing w:line="100" w:lineRule="exact" w:before="4"/>
              <w:jc w:val="center"/>
              <w:rPr>
                <w:sz w:val="10"/>
              </w:rPr>
            </w:pPr>
            <w:r>
              <w:rPr>
                <w:w w:val="100"/>
                <w:sz w:val="10"/>
              </w:rPr>
              <w:t>1</w:t>
            </w:r>
          </w:p>
        </w:tc>
        <w:tc>
          <w:tcPr>
            <w:tcW w:w="808" w:type="dxa"/>
          </w:tcPr>
          <w:p>
            <w:pPr>
              <w:pStyle w:val="TableParagraph"/>
              <w:spacing w:line="100" w:lineRule="exact" w:before="4"/>
              <w:ind w:right="373"/>
              <w:jc w:val="right"/>
              <w:rPr>
                <w:sz w:val="10"/>
              </w:rPr>
            </w:pPr>
            <w:r>
              <w:rPr>
                <w:w w:val="100"/>
                <w:sz w:val="10"/>
              </w:rPr>
              <w:t>1</w:t>
            </w:r>
          </w:p>
        </w:tc>
        <w:tc>
          <w:tcPr>
            <w:tcW w:w="652" w:type="dxa"/>
          </w:tcPr>
          <w:p>
            <w:pPr>
              <w:pStyle w:val="TableParagraph"/>
              <w:spacing w:line="100" w:lineRule="exact" w:before="4"/>
              <w:ind w:left="5"/>
              <w:jc w:val="center"/>
              <w:rPr>
                <w:sz w:val="10"/>
              </w:rPr>
            </w:pPr>
            <w:r>
              <w:rPr>
                <w:w w:val="100"/>
                <w:sz w:val="10"/>
              </w:rPr>
              <w:t>3</w:t>
            </w:r>
          </w:p>
        </w:tc>
      </w:tr>
      <w:tr>
        <w:trPr>
          <w:trHeight w:val="127" w:hRule="atLeast"/>
        </w:trPr>
        <w:tc>
          <w:tcPr>
            <w:tcW w:w="518" w:type="dxa"/>
          </w:tcPr>
          <w:p>
            <w:pPr>
              <w:pStyle w:val="TableParagraph"/>
              <w:spacing w:line="103" w:lineRule="exact" w:before="4"/>
              <w:ind w:right="1"/>
              <w:jc w:val="center"/>
              <w:rPr>
                <w:sz w:val="10"/>
              </w:rPr>
            </w:pPr>
            <w:r>
              <w:rPr>
                <w:w w:val="100"/>
                <w:sz w:val="10"/>
              </w:rPr>
              <w:t>J</w:t>
            </w:r>
          </w:p>
        </w:tc>
        <w:tc>
          <w:tcPr>
            <w:tcW w:w="628" w:type="dxa"/>
          </w:tcPr>
          <w:p>
            <w:pPr>
              <w:pStyle w:val="TableParagraph"/>
              <w:spacing w:line="103" w:lineRule="exact" w:before="4"/>
              <w:ind w:right="2"/>
              <w:jc w:val="center"/>
              <w:rPr>
                <w:sz w:val="10"/>
              </w:rPr>
            </w:pPr>
            <w:r>
              <w:rPr>
                <w:w w:val="100"/>
                <w:sz w:val="10"/>
              </w:rPr>
              <w:t>2</w:t>
            </w:r>
          </w:p>
        </w:tc>
        <w:tc>
          <w:tcPr>
            <w:tcW w:w="630" w:type="dxa"/>
          </w:tcPr>
          <w:p>
            <w:pPr>
              <w:pStyle w:val="TableParagraph"/>
              <w:spacing w:line="103" w:lineRule="exact" w:before="4"/>
              <w:jc w:val="center"/>
              <w:rPr>
                <w:sz w:val="10"/>
              </w:rPr>
            </w:pPr>
            <w:r>
              <w:rPr>
                <w:w w:val="100"/>
                <w:sz w:val="10"/>
              </w:rPr>
              <w:t>1</w:t>
            </w:r>
          </w:p>
        </w:tc>
        <w:tc>
          <w:tcPr>
            <w:tcW w:w="808" w:type="dxa"/>
          </w:tcPr>
          <w:p>
            <w:pPr>
              <w:pStyle w:val="TableParagraph"/>
              <w:spacing w:line="103" w:lineRule="exact" w:before="4"/>
              <w:ind w:right="373"/>
              <w:jc w:val="right"/>
              <w:rPr>
                <w:sz w:val="10"/>
              </w:rPr>
            </w:pPr>
            <w:r>
              <w:rPr>
                <w:w w:val="100"/>
                <w:sz w:val="10"/>
              </w:rPr>
              <w:t>1</w:t>
            </w:r>
          </w:p>
        </w:tc>
        <w:tc>
          <w:tcPr>
            <w:tcW w:w="652" w:type="dxa"/>
          </w:tcPr>
          <w:p>
            <w:pPr>
              <w:pStyle w:val="TableParagraph"/>
              <w:spacing w:line="103" w:lineRule="exact" w:before="4"/>
              <w:ind w:left="5"/>
              <w:jc w:val="center"/>
              <w:rPr>
                <w:sz w:val="10"/>
              </w:rPr>
            </w:pPr>
            <w:r>
              <w:rPr>
                <w:w w:val="100"/>
                <w:sz w:val="10"/>
              </w:rPr>
              <w:t>2</w:t>
            </w:r>
          </w:p>
        </w:tc>
      </w:tr>
    </w:tbl>
    <w:p>
      <w:pPr>
        <w:spacing w:line="187" w:lineRule="exact" w:before="55"/>
        <w:ind w:left="180" w:right="0" w:firstLine="0"/>
        <w:jc w:val="left"/>
        <w:rPr>
          <w:sz w:val="16"/>
        </w:rPr>
      </w:pPr>
      <w:r>
        <w:rPr/>
        <w:br w:type="column"/>
      </w:r>
      <w:r>
        <w:rPr>
          <w:position w:val="2"/>
          <w:sz w:val="16"/>
        </w:rPr>
        <w:t>V</w:t>
      </w:r>
      <w:r>
        <w:rPr>
          <w:sz w:val="10"/>
        </w:rPr>
        <w:t>IN </w:t>
      </w:r>
      <w:r>
        <w:rPr>
          <w:position w:val="2"/>
          <w:sz w:val="16"/>
        </w:rPr>
        <w:t>= 65Hz, 20mVpk,</w:t>
      </w:r>
    </w:p>
    <w:p>
      <w:pPr>
        <w:spacing w:line="240" w:lineRule="auto" w:before="0"/>
        <w:ind w:left="180" w:right="21" w:firstLine="0"/>
        <w:jc w:val="left"/>
        <w:rPr>
          <w:sz w:val="16"/>
        </w:rPr>
      </w:pPr>
      <w:r>
        <w:rPr>
          <w:sz w:val="16"/>
        </w:rPr>
        <w:t>64kpts FFT, Blackman Harris Window.</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32"/>
        <w:ind w:left="180" w:right="25"/>
      </w:pPr>
      <w:r>
        <w:rPr/>
        <w:drawing>
          <wp:anchor distT="0" distB="0" distL="0" distR="0" allowOverlap="1" layoutInCell="1" locked="0" behindDoc="1" simplePos="0" relativeHeight="464597504">
            <wp:simplePos x="0" y="0"/>
            <wp:positionH relativeFrom="page">
              <wp:posOffset>982980</wp:posOffset>
            </wp:positionH>
            <wp:positionV relativeFrom="paragraph">
              <wp:posOffset>-95759</wp:posOffset>
            </wp:positionV>
            <wp:extent cx="2066000" cy="785812"/>
            <wp:effectExtent l="0" t="0" r="0" b="0"/>
            <wp:wrapNone/>
            <wp:docPr id="119" name="image187.png"/>
            <wp:cNvGraphicFramePr>
              <a:graphicFrameLocks noChangeAspect="1"/>
            </wp:cNvGraphicFramePr>
            <a:graphic>
              <a:graphicData uri="http://schemas.openxmlformats.org/drawingml/2006/picture">
                <pic:pic>
                  <pic:nvPicPr>
                    <pic:cNvPr id="120" name="image187.png"/>
                    <pic:cNvPicPr/>
                  </pic:nvPicPr>
                  <pic:blipFill>
                    <a:blip r:embed="rId227" cstate="print"/>
                    <a:stretch>
                      <a:fillRect/>
                    </a:stretch>
                  </pic:blipFill>
                  <pic:spPr>
                    <a:xfrm>
                      <a:off x="0" y="0"/>
                      <a:ext cx="2066000" cy="785812"/>
                    </a:xfrm>
                    <a:prstGeom prst="rect">
                      <a:avLst/>
                    </a:prstGeom>
                  </pic:spPr>
                </pic:pic>
              </a:graphicData>
            </a:graphic>
          </wp:anchor>
        </w:drawing>
      </w:r>
      <w:r>
        <w:rPr/>
        <w:drawing>
          <wp:anchor distT="0" distB="0" distL="0" distR="0" allowOverlap="1" layoutInCell="1" locked="0" behindDoc="1" simplePos="0" relativeHeight="464598016">
            <wp:simplePos x="0" y="0"/>
            <wp:positionH relativeFrom="page">
              <wp:posOffset>982980</wp:posOffset>
            </wp:positionH>
            <wp:positionV relativeFrom="paragraph">
              <wp:posOffset>1150872</wp:posOffset>
            </wp:positionV>
            <wp:extent cx="2061996" cy="785812"/>
            <wp:effectExtent l="0" t="0" r="0" b="0"/>
            <wp:wrapNone/>
            <wp:docPr id="121" name="image188.png"/>
            <wp:cNvGraphicFramePr>
              <a:graphicFrameLocks noChangeAspect="1"/>
            </wp:cNvGraphicFramePr>
            <a:graphic>
              <a:graphicData uri="http://schemas.openxmlformats.org/drawingml/2006/picture">
                <pic:pic>
                  <pic:nvPicPr>
                    <pic:cNvPr id="122" name="image188.png"/>
                    <pic:cNvPicPr/>
                  </pic:nvPicPr>
                  <pic:blipFill>
                    <a:blip r:embed="rId228" cstate="print"/>
                    <a:stretch>
                      <a:fillRect/>
                    </a:stretch>
                  </pic:blipFill>
                  <pic:spPr>
                    <a:xfrm>
                      <a:off x="0" y="0"/>
                      <a:ext cx="2061996" cy="785812"/>
                    </a:xfrm>
                    <a:prstGeom prst="rect">
                      <a:avLst/>
                    </a:prstGeom>
                  </pic:spPr>
                </pic:pic>
              </a:graphicData>
            </a:graphic>
          </wp:anchor>
        </w:drawing>
      </w:r>
      <w:r>
        <w:rPr/>
        <w:t>Vin=65Hz, 20mVpk, 64kpts FFT, Blackman- Harris window</w:t>
      </w:r>
    </w:p>
    <w:p>
      <w:pPr>
        <w:pStyle w:val="BodyText"/>
        <w:spacing w:before="6"/>
        <w:rPr>
          <w:sz w:val="2"/>
        </w:rPr>
      </w:pPr>
      <w:r>
        <w:rPr/>
        <w:br w:type="column"/>
      </w:r>
      <w:r>
        <w:rPr>
          <w:sz w:val="2"/>
        </w:rPr>
      </w:r>
    </w:p>
    <w:tbl>
      <w:tblPr>
        <w:tblW w:w="0" w:type="auto"/>
        <w:jc w:val="left"/>
        <w:tblInd w:w="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9"/>
        <w:gridCol w:w="540"/>
      </w:tblGrid>
      <w:tr>
        <w:trPr>
          <w:trHeight w:val="201" w:hRule="atLeast"/>
        </w:trPr>
        <w:tc>
          <w:tcPr>
            <w:tcW w:w="269" w:type="dxa"/>
          </w:tcPr>
          <w:p>
            <w:pPr>
              <w:pStyle w:val="TableParagraph"/>
              <w:rPr>
                <w:rFonts w:ascii="Times New Roman"/>
                <w:sz w:val="14"/>
              </w:rPr>
            </w:pPr>
          </w:p>
        </w:tc>
        <w:tc>
          <w:tcPr>
            <w:tcW w:w="540" w:type="dxa"/>
          </w:tcPr>
          <w:p>
            <w:pPr>
              <w:pStyle w:val="TableParagraph"/>
              <w:rPr>
                <w:rFonts w:ascii="Times New Roman"/>
                <w:sz w:val="14"/>
              </w:rPr>
            </w:pPr>
          </w:p>
        </w:tc>
      </w:tr>
      <w:tr>
        <w:trPr>
          <w:trHeight w:val="124" w:hRule="atLeast"/>
        </w:trPr>
        <w:tc>
          <w:tcPr>
            <w:tcW w:w="269" w:type="dxa"/>
          </w:tcPr>
          <w:p>
            <w:pPr>
              <w:pStyle w:val="TableParagraph"/>
              <w:spacing w:line="103" w:lineRule="exact" w:before="2"/>
              <w:ind w:left="14"/>
              <w:jc w:val="center"/>
              <w:rPr>
                <w:sz w:val="10"/>
              </w:rPr>
            </w:pPr>
            <w:r>
              <w:rPr>
                <w:w w:val="100"/>
                <w:sz w:val="10"/>
              </w:rPr>
              <w:t>A</w:t>
            </w:r>
          </w:p>
        </w:tc>
        <w:tc>
          <w:tcPr>
            <w:tcW w:w="540" w:type="dxa"/>
          </w:tcPr>
          <w:p>
            <w:pPr>
              <w:pStyle w:val="TableParagraph"/>
              <w:spacing w:line="103" w:lineRule="exact" w:before="2"/>
              <w:ind w:left="198"/>
              <w:rPr>
                <w:sz w:val="10"/>
              </w:rPr>
            </w:pPr>
            <w:r>
              <w:rPr>
                <w:sz w:val="10"/>
              </w:rPr>
              <w:t>-85</w:t>
            </w:r>
          </w:p>
        </w:tc>
      </w:tr>
      <w:tr>
        <w:trPr>
          <w:trHeight w:val="124" w:hRule="atLeast"/>
        </w:trPr>
        <w:tc>
          <w:tcPr>
            <w:tcW w:w="269" w:type="dxa"/>
          </w:tcPr>
          <w:p>
            <w:pPr>
              <w:pStyle w:val="TableParagraph"/>
              <w:spacing w:line="103" w:lineRule="exact" w:before="2"/>
              <w:ind w:left="14"/>
              <w:jc w:val="center"/>
              <w:rPr>
                <w:sz w:val="10"/>
              </w:rPr>
            </w:pPr>
            <w:r>
              <w:rPr>
                <w:w w:val="100"/>
                <w:sz w:val="10"/>
              </w:rPr>
              <w:t>B</w:t>
            </w:r>
          </w:p>
        </w:tc>
        <w:tc>
          <w:tcPr>
            <w:tcW w:w="540" w:type="dxa"/>
          </w:tcPr>
          <w:p>
            <w:pPr>
              <w:pStyle w:val="TableParagraph"/>
              <w:spacing w:line="103" w:lineRule="exact" w:before="2"/>
              <w:ind w:left="198"/>
              <w:rPr>
                <w:sz w:val="10"/>
              </w:rPr>
            </w:pPr>
            <w:r>
              <w:rPr>
                <w:sz w:val="10"/>
              </w:rPr>
              <w:t>-91</w:t>
            </w:r>
          </w:p>
        </w:tc>
      </w:tr>
      <w:tr>
        <w:trPr>
          <w:trHeight w:val="124" w:hRule="atLeast"/>
        </w:trPr>
        <w:tc>
          <w:tcPr>
            <w:tcW w:w="269" w:type="dxa"/>
          </w:tcPr>
          <w:p>
            <w:pPr>
              <w:pStyle w:val="TableParagraph"/>
              <w:spacing w:line="103" w:lineRule="exact" w:before="2"/>
              <w:ind w:left="19"/>
              <w:jc w:val="center"/>
              <w:rPr>
                <w:sz w:val="10"/>
              </w:rPr>
            </w:pPr>
            <w:r>
              <w:rPr>
                <w:w w:val="100"/>
                <w:sz w:val="10"/>
              </w:rPr>
              <w:t>C</w:t>
            </w:r>
          </w:p>
        </w:tc>
        <w:tc>
          <w:tcPr>
            <w:tcW w:w="540" w:type="dxa"/>
          </w:tcPr>
          <w:p>
            <w:pPr>
              <w:pStyle w:val="TableParagraph"/>
              <w:spacing w:line="103" w:lineRule="exact" w:before="2"/>
              <w:ind w:left="198"/>
              <w:rPr>
                <w:sz w:val="10"/>
              </w:rPr>
            </w:pPr>
            <w:r>
              <w:rPr>
                <w:sz w:val="10"/>
              </w:rPr>
              <w:t>-85</w:t>
            </w:r>
          </w:p>
        </w:tc>
      </w:tr>
      <w:tr>
        <w:trPr>
          <w:trHeight w:val="124" w:hRule="atLeast"/>
        </w:trPr>
        <w:tc>
          <w:tcPr>
            <w:tcW w:w="269" w:type="dxa"/>
          </w:tcPr>
          <w:p>
            <w:pPr>
              <w:pStyle w:val="TableParagraph"/>
              <w:spacing w:line="103" w:lineRule="exact" w:before="2"/>
              <w:ind w:left="19"/>
              <w:jc w:val="center"/>
              <w:rPr>
                <w:sz w:val="10"/>
              </w:rPr>
            </w:pPr>
            <w:r>
              <w:rPr>
                <w:w w:val="100"/>
                <w:sz w:val="10"/>
              </w:rPr>
              <w:t>D</w:t>
            </w:r>
          </w:p>
        </w:tc>
        <w:tc>
          <w:tcPr>
            <w:tcW w:w="540" w:type="dxa"/>
          </w:tcPr>
          <w:p>
            <w:pPr>
              <w:pStyle w:val="TableParagraph"/>
              <w:spacing w:line="103" w:lineRule="exact" w:before="2"/>
              <w:ind w:left="198"/>
              <w:rPr>
                <w:sz w:val="10"/>
              </w:rPr>
            </w:pPr>
            <w:r>
              <w:rPr>
                <w:sz w:val="10"/>
              </w:rPr>
              <w:t>-91</w:t>
            </w:r>
          </w:p>
        </w:tc>
      </w:tr>
      <w:tr>
        <w:trPr>
          <w:trHeight w:val="124" w:hRule="atLeast"/>
        </w:trPr>
        <w:tc>
          <w:tcPr>
            <w:tcW w:w="269" w:type="dxa"/>
          </w:tcPr>
          <w:p>
            <w:pPr>
              <w:pStyle w:val="TableParagraph"/>
              <w:spacing w:line="103" w:lineRule="exact" w:before="2"/>
              <w:ind w:left="14"/>
              <w:jc w:val="center"/>
              <w:rPr>
                <w:sz w:val="10"/>
              </w:rPr>
            </w:pPr>
            <w:r>
              <w:rPr>
                <w:w w:val="100"/>
                <w:sz w:val="10"/>
              </w:rPr>
              <w:t>E</w:t>
            </w:r>
          </w:p>
        </w:tc>
        <w:tc>
          <w:tcPr>
            <w:tcW w:w="540" w:type="dxa"/>
          </w:tcPr>
          <w:p>
            <w:pPr>
              <w:pStyle w:val="TableParagraph"/>
              <w:spacing w:line="103" w:lineRule="exact" w:before="2"/>
              <w:ind w:left="198"/>
              <w:rPr>
                <w:sz w:val="10"/>
              </w:rPr>
            </w:pPr>
            <w:r>
              <w:rPr>
                <w:sz w:val="10"/>
              </w:rPr>
              <w:t>-93</w:t>
            </w:r>
          </w:p>
        </w:tc>
      </w:tr>
      <w:tr>
        <w:trPr>
          <w:trHeight w:val="124" w:hRule="atLeast"/>
        </w:trPr>
        <w:tc>
          <w:tcPr>
            <w:tcW w:w="269" w:type="dxa"/>
          </w:tcPr>
          <w:p>
            <w:pPr>
              <w:pStyle w:val="TableParagraph"/>
              <w:spacing w:line="103" w:lineRule="exact" w:before="2"/>
              <w:ind w:left="8"/>
              <w:jc w:val="center"/>
              <w:rPr>
                <w:sz w:val="10"/>
              </w:rPr>
            </w:pPr>
            <w:r>
              <w:rPr>
                <w:w w:val="100"/>
                <w:sz w:val="10"/>
              </w:rPr>
              <w:t>F</w:t>
            </w:r>
          </w:p>
        </w:tc>
        <w:tc>
          <w:tcPr>
            <w:tcW w:w="540" w:type="dxa"/>
          </w:tcPr>
          <w:p>
            <w:pPr>
              <w:pStyle w:val="TableParagraph"/>
              <w:spacing w:line="103" w:lineRule="exact" w:before="2"/>
              <w:ind w:left="198"/>
              <w:rPr>
                <w:sz w:val="10"/>
              </w:rPr>
            </w:pPr>
            <w:r>
              <w:rPr>
                <w:sz w:val="10"/>
              </w:rPr>
              <w:t>-85</w:t>
            </w:r>
          </w:p>
        </w:tc>
      </w:tr>
      <w:tr>
        <w:trPr>
          <w:trHeight w:val="124" w:hRule="atLeast"/>
        </w:trPr>
        <w:tc>
          <w:tcPr>
            <w:tcW w:w="269" w:type="dxa"/>
          </w:tcPr>
          <w:p>
            <w:pPr>
              <w:pStyle w:val="TableParagraph"/>
              <w:spacing w:line="103" w:lineRule="exact" w:before="2"/>
              <w:ind w:left="25"/>
              <w:jc w:val="center"/>
              <w:rPr>
                <w:sz w:val="10"/>
              </w:rPr>
            </w:pPr>
            <w:r>
              <w:rPr>
                <w:w w:val="100"/>
                <w:sz w:val="10"/>
              </w:rPr>
              <w:t>G</w:t>
            </w:r>
          </w:p>
        </w:tc>
        <w:tc>
          <w:tcPr>
            <w:tcW w:w="540" w:type="dxa"/>
          </w:tcPr>
          <w:p>
            <w:pPr>
              <w:pStyle w:val="TableParagraph"/>
              <w:spacing w:line="103" w:lineRule="exact" w:before="2"/>
              <w:ind w:left="198"/>
              <w:rPr>
                <w:sz w:val="10"/>
              </w:rPr>
            </w:pPr>
            <w:r>
              <w:rPr>
                <w:sz w:val="10"/>
              </w:rPr>
              <w:t>-85</w:t>
            </w:r>
          </w:p>
        </w:tc>
      </w:tr>
      <w:tr>
        <w:trPr>
          <w:trHeight w:val="124" w:hRule="atLeast"/>
        </w:trPr>
        <w:tc>
          <w:tcPr>
            <w:tcW w:w="269" w:type="dxa"/>
          </w:tcPr>
          <w:p>
            <w:pPr>
              <w:pStyle w:val="TableParagraph"/>
              <w:spacing w:line="100" w:lineRule="exact" w:before="4"/>
              <w:ind w:left="19"/>
              <w:jc w:val="center"/>
              <w:rPr>
                <w:sz w:val="10"/>
              </w:rPr>
            </w:pPr>
            <w:r>
              <w:rPr>
                <w:w w:val="100"/>
                <w:sz w:val="10"/>
              </w:rPr>
              <w:t>H</w:t>
            </w:r>
          </w:p>
        </w:tc>
        <w:tc>
          <w:tcPr>
            <w:tcW w:w="540" w:type="dxa"/>
          </w:tcPr>
          <w:p>
            <w:pPr>
              <w:pStyle w:val="TableParagraph"/>
              <w:spacing w:line="100" w:lineRule="exact" w:before="4"/>
              <w:ind w:left="198"/>
              <w:rPr>
                <w:sz w:val="10"/>
              </w:rPr>
            </w:pPr>
            <w:r>
              <w:rPr>
                <w:sz w:val="10"/>
              </w:rPr>
              <w:t>-91</w:t>
            </w:r>
          </w:p>
        </w:tc>
      </w:tr>
      <w:tr>
        <w:trPr>
          <w:trHeight w:val="127" w:hRule="atLeast"/>
        </w:trPr>
        <w:tc>
          <w:tcPr>
            <w:tcW w:w="269" w:type="dxa"/>
          </w:tcPr>
          <w:p>
            <w:pPr>
              <w:pStyle w:val="TableParagraph"/>
              <w:spacing w:line="103" w:lineRule="exact" w:before="4"/>
              <w:jc w:val="center"/>
              <w:rPr>
                <w:sz w:val="10"/>
              </w:rPr>
            </w:pPr>
            <w:r>
              <w:rPr>
                <w:w w:val="100"/>
                <w:sz w:val="10"/>
              </w:rPr>
              <w:t>J</w:t>
            </w:r>
          </w:p>
        </w:tc>
        <w:tc>
          <w:tcPr>
            <w:tcW w:w="540" w:type="dxa"/>
          </w:tcPr>
          <w:p>
            <w:pPr>
              <w:pStyle w:val="TableParagraph"/>
              <w:spacing w:line="103" w:lineRule="exact" w:before="4"/>
              <w:ind w:left="198"/>
              <w:rPr>
                <w:sz w:val="10"/>
              </w:rPr>
            </w:pPr>
            <w:r>
              <w:rPr>
                <w:sz w:val="10"/>
              </w:rPr>
              <w:t>-93</w:t>
            </w:r>
          </w:p>
        </w:tc>
      </w:tr>
    </w:tbl>
    <w:p>
      <w:pPr>
        <w:pStyle w:val="BodyText"/>
        <w:spacing w:before="3"/>
        <w:rPr>
          <w:sz w:val="17"/>
        </w:rPr>
      </w:pPr>
    </w:p>
    <w:tbl>
      <w:tblPr>
        <w:tblW w:w="0" w:type="auto"/>
        <w:jc w:val="left"/>
        <w:tblInd w:w="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9"/>
        <w:gridCol w:w="540"/>
      </w:tblGrid>
      <w:tr>
        <w:trPr>
          <w:trHeight w:val="213" w:hRule="atLeast"/>
        </w:trPr>
        <w:tc>
          <w:tcPr>
            <w:tcW w:w="269" w:type="dxa"/>
          </w:tcPr>
          <w:p>
            <w:pPr>
              <w:pStyle w:val="TableParagraph"/>
              <w:rPr>
                <w:rFonts w:ascii="Times New Roman"/>
                <w:sz w:val="14"/>
              </w:rPr>
            </w:pPr>
          </w:p>
        </w:tc>
        <w:tc>
          <w:tcPr>
            <w:tcW w:w="540" w:type="dxa"/>
          </w:tcPr>
          <w:p>
            <w:pPr>
              <w:pStyle w:val="TableParagraph"/>
              <w:rPr>
                <w:rFonts w:ascii="Times New Roman"/>
                <w:sz w:val="14"/>
              </w:rPr>
            </w:pPr>
          </w:p>
        </w:tc>
      </w:tr>
      <w:tr>
        <w:trPr>
          <w:trHeight w:val="170" w:hRule="atLeast"/>
        </w:trPr>
        <w:tc>
          <w:tcPr>
            <w:tcW w:w="269" w:type="dxa"/>
          </w:tcPr>
          <w:p>
            <w:pPr>
              <w:pStyle w:val="TableParagraph"/>
              <w:spacing w:line="147" w:lineRule="exact" w:before="3"/>
              <w:ind w:left="39"/>
              <w:jc w:val="center"/>
              <w:rPr>
                <w:sz w:val="14"/>
              </w:rPr>
            </w:pPr>
            <w:r>
              <w:rPr>
                <w:w w:val="99"/>
                <w:sz w:val="14"/>
              </w:rPr>
              <w:t>A</w:t>
            </w:r>
          </w:p>
        </w:tc>
        <w:tc>
          <w:tcPr>
            <w:tcW w:w="540" w:type="dxa"/>
          </w:tcPr>
          <w:p>
            <w:pPr>
              <w:pStyle w:val="TableParagraph"/>
              <w:spacing w:line="147" w:lineRule="exact" w:before="3"/>
              <w:ind w:left="115"/>
              <w:rPr>
                <w:sz w:val="14"/>
              </w:rPr>
            </w:pPr>
            <w:r>
              <w:rPr>
                <w:sz w:val="14"/>
              </w:rPr>
              <w:t>3470</w:t>
            </w:r>
          </w:p>
        </w:tc>
      </w:tr>
      <w:tr>
        <w:trPr>
          <w:trHeight w:val="170" w:hRule="atLeast"/>
        </w:trPr>
        <w:tc>
          <w:tcPr>
            <w:tcW w:w="269" w:type="dxa"/>
          </w:tcPr>
          <w:p>
            <w:pPr>
              <w:pStyle w:val="TableParagraph"/>
              <w:spacing w:line="147" w:lineRule="exact" w:before="3"/>
              <w:ind w:left="39"/>
              <w:jc w:val="center"/>
              <w:rPr>
                <w:sz w:val="14"/>
              </w:rPr>
            </w:pPr>
            <w:r>
              <w:rPr>
                <w:w w:val="99"/>
                <w:sz w:val="14"/>
              </w:rPr>
              <w:t>B</w:t>
            </w:r>
          </w:p>
        </w:tc>
        <w:tc>
          <w:tcPr>
            <w:tcW w:w="540" w:type="dxa"/>
          </w:tcPr>
          <w:p>
            <w:pPr>
              <w:pStyle w:val="TableParagraph"/>
              <w:spacing w:line="147" w:lineRule="exact" w:before="3"/>
              <w:ind w:left="155"/>
              <w:rPr>
                <w:sz w:val="14"/>
              </w:rPr>
            </w:pPr>
            <w:r>
              <w:rPr>
                <w:sz w:val="14"/>
              </w:rPr>
              <w:t>406</w:t>
            </w:r>
          </w:p>
        </w:tc>
      </w:tr>
      <w:tr>
        <w:trPr>
          <w:trHeight w:val="172" w:hRule="atLeast"/>
        </w:trPr>
        <w:tc>
          <w:tcPr>
            <w:tcW w:w="269" w:type="dxa"/>
          </w:tcPr>
          <w:p>
            <w:pPr>
              <w:pStyle w:val="TableParagraph"/>
              <w:spacing w:line="150" w:lineRule="exact" w:before="3"/>
              <w:ind w:left="47"/>
              <w:jc w:val="center"/>
              <w:rPr>
                <w:sz w:val="14"/>
              </w:rPr>
            </w:pPr>
            <w:r>
              <w:rPr>
                <w:w w:val="99"/>
                <w:sz w:val="14"/>
              </w:rPr>
              <w:t>C</w:t>
            </w:r>
          </w:p>
        </w:tc>
        <w:tc>
          <w:tcPr>
            <w:tcW w:w="540" w:type="dxa"/>
          </w:tcPr>
          <w:p>
            <w:pPr>
              <w:pStyle w:val="TableParagraph"/>
              <w:spacing w:line="150" w:lineRule="exact" w:before="3"/>
              <w:ind w:left="115"/>
              <w:rPr>
                <w:sz w:val="14"/>
              </w:rPr>
            </w:pPr>
            <w:r>
              <w:rPr>
                <w:sz w:val="14"/>
              </w:rPr>
              <w:t>3040</w:t>
            </w:r>
          </w:p>
        </w:tc>
      </w:tr>
      <w:tr>
        <w:trPr>
          <w:trHeight w:val="170" w:hRule="atLeast"/>
        </w:trPr>
        <w:tc>
          <w:tcPr>
            <w:tcW w:w="269" w:type="dxa"/>
          </w:tcPr>
          <w:p>
            <w:pPr>
              <w:pStyle w:val="TableParagraph"/>
              <w:spacing w:line="147" w:lineRule="exact" w:before="3"/>
              <w:ind w:left="47"/>
              <w:jc w:val="center"/>
              <w:rPr>
                <w:sz w:val="14"/>
              </w:rPr>
            </w:pPr>
            <w:r>
              <w:rPr>
                <w:w w:val="99"/>
                <w:sz w:val="14"/>
              </w:rPr>
              <w:t>D</w:t>
            </w:r>
          </w:p>
        </w:tc>
        <w:tc>
          <w:tcPr>
            <w:tcW w:w="540" w:type="dxa"/>
          </w:tcPr>
          <w:p>
            <w:pPr>
              <w:pStyle w:val="TableParagraph"/>
              <w:spacing w:line="147" w:lineRule="exact" w:before="3"/>
              <w:ind w:left="155"/>
              <w:rPr>
                <w:sz w:val="14"/>
              </w:rPr>
            </w:pPr>
            <w:r>
              <w:rPr>
                <w:sz w:val="14"/>
              </w:rPr>
              <w:t>357</w:t>
            </w:r>
          </w:p>
        </w:tc>
      </w:tr>
      <w:tr>
        <w:trPr>
          <w:trHeight w:val="170" w:hRule="atLeast"/>
        </w:trPr>
        <w:tc>
          <w:tcPr>
            <w:tcW w:w="269" w:type="dxa"/>
          </w:tcPr>
          <w:p>
            <w:pPr>
              <w:pStyle w:val="TableParagraph"/>
              <w:spacing w:line="147" w:lineRule="exact" w:before="3"/>
              <w:ind w:left="39"/>
              <w:jc w:val="center"/>
              <w:rPr>
                <w:sz w:val="14"/>
              </w:rPr>
            </w:pPr>
            <w:r>
              <w:rPr>
                <w:w w:val="99"/>
                <w:sz w:val="14"/>
              </w:rPr>
              <w:t>E</w:t>
            </w:r>
          </w:p>
        </w:tc>
        <w:tc>
          <w:tcPr>
            <w:tcW w:w="540" w:type="dxa"/>
          </w:tcPr>
          <w:p>
            <w:pPr>
              <w:pStyle w:val="TableParagraph"/>
              <w:spacing w:line="147" w:lineRule="exact" w:before="3"/>
              <w:ind w:left="155"/>
              <w:rPr>
                <w:sz w:val="14"/>
              </w:rPr>
            </w:pPr>
            <w:r>
              <w:rPr>
                <w:sz w:val="14"/>
              </w:rPr>
              <w:t>151</w:t>
            </w:r>
          </w:p>
        </w:tc>
      </w:tr>
      <w:tr>
        <w:trPr>
          <w:trHeight w:val="170" w:hRule="atLeast"/>
        </w:trPr>
        <w:tc>
          <w:tcPr>
            <w:tcW w:w="269" w:type="dxa"/>
          </w:tcPr>
          <w:p>
            <w:pPr>
              <w:pStyle w:val="TableParagraph"/>
              <w:spacing w:line="147" w:lineRule="exact" w:before="3"/>
              <w:ind w:left="32"/>
              <w:jc w:val="center"/>
              <w:rPr>
                <w:sz w:val="14"/>
              </w:rPr>
            </w:pPr>
            <w:r>
              <w:rPr>
                <w:w w:val="99"/>
                <w:sz w:val="14"/>
              </w:rPr>
              <w:t>F</w:t>
            </w:r>
          </w:p>
        </w:tc>
        <w:tc>
          <w:tcPr>
            <w:tcW w:w="540" w:type="dxa"/>
          </w:tcPr>
          <w:p>
            <w:pPr>
              <w:pStyle w:val="TableParagraph"/>
              <w:spacing w:line="147" w:lineRule="exact" w:before="3"/>
              <w:ind w:left="115"/>
              <w:rPr>
                <w:sz w:val="14"/>
              </w:rPr>
            </w:pPr>
            <w:r>
              <w:rPr>
                <w:sz w:val="14"/>
              </w:rPr>
              <w:t>3470</w:t>
            </w:r>
          </w:p>
        </w:tc>
      </w:tr>
      <w:tr>
        <w:trPr>
          <w:trHeight w:val="172" w:hRule="atLeast"/>
        </w:trPr>
        <w:tc>
          <w:tcPr>
            <w:tcW w:w="269" w:type="dxa"/>
          </w:tcPr>
          <w:p>
            <w:pPr>
              <w:pStyle w:val="TableParagraph"/>
              <w:spacing w:line="150" w:lineRule="exact" w:before="3"/>
              <w:ind w:left="55"/>
              <w:jc w:val="center"/>
              <w:rPr>
                <w:sz w:val="14"/>
              </w:rPr>
            </w:pPr>
            <w:r>
              <w:rPr>
                <w:w w:val="99"/>
                <w:sz w:val="14"/>
              </w:rPr>
              <w:t>G</w:t>
            </w:r>
          </w:p>
        </w:tc>
        <w:tc>
          <w:tcPr>
            <w:tcW w:w="540" w:type="dxa"/>
          </w:tcPr>
          <w:p>
            <w:pPr>
              <w:pStyle w:val="TableParagraph"/>
              <w:spacing w:line="150" w:lineRule="exact" w:before="3"/>
              <w:ind w:left="115"/>
              <w:rPr>
                <w:sz w:val="14"/>
              </w:rPr>
            </w:pPr>
            <w:r>
              <w:rPr>
                <w:sz w:val="14"/>
              </w:rPr>
              <w:t>3040</w:t>
            </w:r>
          </w:p>
        </w:tc>
      </w:tr>
      <w:tr>
        <w:trPr>
          <w:trHeight w:val="170" w:hRule="atLeast"/>
        </w:trPr>
        <w:tc>
          <w:tcPr>
            <w:tcW w:w="269" w:type="dxa"/>
          </w:tcPr>
          <w:p>
            <w:pPr>
              <w:pStyle w:val="TableParagraph"/>
              <w:spacing w:line="147" w:lineRule="exact" w:before="3"/>
              <w:ind w:left="47"/>
              <w:jc w:val="center"/>
              <w:rPr>
                <w:sz w:val="14"/>
              </w:rPr>
            </w:pPr>
            <w:r>
              <w:rPr>
                <w:w w:val="99"/>
                <w:sz w:val="14"/>
              </w:rPr>
              <w:t>H</w:t>
            </w:r>
          </w:p>
        </w:tc>
        <w:tc>
          <w:tcPr>
            <w:tcW w:w="540" w:type="dxa"/>
          </w:tcPr>
          <w:p>
            <w:pPr>
              <w:pStyle w:val="TableParagraph"/>
              <w:spacing w:line="147" w:lineRule="exact" w:before="3"/>
              <w:ind w:left="155"/>
              <w:rPr>
                <w:sz w:val="14"/>
              </w:rPr>
            </w:pPr>
            <w:r>
              <w:rPr>
                <w:sz w:val="14"/>
              </w:rPr>
              <w:t>357</w:t>
            </w:r>
          </w:p>
        </w:tc>
      </w:tr>
      <w:tr>
        <w:trPr>
          <w:trHeight w:val="170" w:hRule="atLeast"/>
        </w:trPr>
        <w:tc>
          <w:tcPr>
            <w:tcW w:w="269" w:type="dxa"/>
          </w:tcPr>
          <w:p>
            <w:pPr>
              <w:pStyle w:val="TableParagraph"/>
              <w:spacing w:line="147" w:lineRule="exact" w:before="3"/>
              <w:ind w:left="16"/>
              <w:jc w:val="center"/>
              <w:rPr>
                <w:sz w:val="14"/>
              </w:rPr>
            </w:pPr>
            <w:r>
              <w:rPr>
                <w:w w:val="99"/>
                <w:sz w:val="14"/>
              </w:rPr>
              <w:t>J</w:t>
            </w:r>
          </w:p>
        </w:tc>
        <w:tc>
          <w:tcPr>
            <w:tcW w:w="540" w:type="dxa"/>
          </w:tcPr>
          <w:p>
            <w:pPr>
              <w:pStyle w:val="TableParagraph"/>
              <w:spacing w:line="147" w:lineRule="exact" w:before="3"/>
              <w:ind w:left="155"/>
              <w:rPr>
                <w:sz w:val="14"/>
              </w:rPr>
            </w:pPr>
            <w:r>
              <w:rPr>
                <w:sz w:val="14"/>
              </w:rPr>
              <w:t>151</w:t>
            </w:r>
          </w:p>
        </w:tc>
      </w:tr>
    </w:tbl>
    <w:p>
      <w:pPr>
        <w:pStyle w:val="BodyText"/>
        <w:spacing w:before="6"/>
        <w:rPr>
          <w:sz w:val="21"/>
        </w:rPr>
      </w:pPr>
    </w:p>
    <w:p>
      <w:pPr>
        <w:spacing w:before="1"/>
        <w:ind w:left="588" w:right="0" w:firstLine="0"/>
        <w:jc w:val="left"/>
        <w:rPr>
          <w:sz w:val="16"/>
        </w:rPr>
      </w:pPr>
      <w:r>
        <w:rPr>
          <w:sz w:val="16"/>
        </w:rPr>
        <w:t>A: ±91125</w:t>
      </w:r>
    </w:p>
    <w:p>
      <w:pPr>
        <w:spacing w:line="183" w:lineRule="exact" w:before="0"/>
        <w:ind w:left="588" w:right="0" w:firstLine="0"/>
        <w:jc w:val="left"/>
        <w:rPr>
          <w:sz w:val="16"/>
        </w:rPr>
      </w:pPr>
      <w:r>
        <w:rPr>
          <w:sz w:val="16"/>
        </w:rPr>
        <w:t>B:</w:t>
      </w:r>
      <w:r>
        <w:rPr>
          <w:spacing w:val="-4"/>
          <w:sz w:val="16"/>
        </w:rPr>
        <w:t> </w:t>
      </w:r>
      <w:r>
        <w:rPr>
          <w:sz w:val="16"/>
        </w:rPr>
        <w:t>±778688</w:t>
      </w:r>
    </w:p>
    <w:p>
      <w:pPr>
        <w:spacing w:line="183" w:lineRule="exact" w:before="0"/>
        <w:ind w:left="588" w:right="0" w:firstLine="0"/>
        <w:jc w:val="left"/>
        <w:rPr>
          <w:sz w:val="16"/>
        </w:rPr>
      </w:pPr>
      <w:r>
        <w:rPr>
          <w:sz w:val="16"/>
        </w:rPr>
        <w:t>C:</w:t>
      </w:r>
      <w:r>
        <w:rPr>
          <w:spacing w:val="-2"/>
          <w:sz w:val="16"/>
        </w:rPr>
        <w:t> </w:t>
      </w:r>
      <w:r>
        <w:rPr>
          <w:sz w:val="16"/>
        </w:rPr>
        <w:t>±103823</w:t>
      </w:r>
    </w:p>
    <w:p>
      <w:pPr>
        <w:spacing w:before="1"/>
        <w:ind w:left="588" w:right="0" w:firstLine="0"/>
        <w:jc w:val="left"/>
        <w:rPr>
          <w:sz w:val="16"/>
        </w:rPr>
      </w:pPr>
      <w:r>
        <w:rPr>
          <w:sz w:val="16"/>
        </w:rPr>
        <w:t>D:</w:t>
      </w:r>
      <w:r>
        <w:rPr>
          <w:spacing w:val="-2"/>
          <w:sz w:val="16"/>
        </w:rPr>
        <w:t> </w:t>
      </w:r>
      <w:r>
        <w:rPr>
          <w:sz w:val="16"/>
        </w:rPr>
        <w:t>±884736</w:t>
      </w:r>
    </w:p>
    <w:p>
      <w:pPr>
        <w:spacing w:line="183" w:lineRule="exact" w:before="1"/>
        <w:ind w:left="588" w:right="0" w:firstLine="0"/>
        <w:jc w:val="left"/>
        <w:rPr>
          <w:sz w:val="16"/>
        </w:rPr>
      </w:pPr>
      <w:r>
        <w:rPr>
          <w:sz w:val="16"/>
        </w:rPr>
        <w:t>E: ±2097152</w:t>
      </w:r>
    </w:p>
    <w:p>
      <w:pPr>
        <w:spacing w:line="183" w:lineRule="exact" w:before="0"/>
        <w:ind w:left="588" w:right="0" w:firstLine="0"/>
        <w:jc w:val="left"/>
        <w:rPr>
          <w:sz w:val="16"/>
        </w:rPr>
      </w:pPr>
      <w:r>
        <w:rPr>
          <w:sz w:val="16"/>
        </w:rPr>
        <w:t>F: ±91125</w:t>
      </w:r>
    </w:p>
    <w:p>
      <w:pPr>
        <w:spacing w:before="1"/>
        <w:ind w:left="588" w:right="0" w:firstLine="0"/>
        <w:jc w:val="left"/>
        <w:rPr>
          <w:sz w:val="16"/>
        </w:rPr>
      </w:pPr>
      <w:r>
        <w:rPr>
          <w:sz w:val="16"/>
        </w:rPr>
        <w:t>G:</w:t>
      </w:r>
      <w:r>
        <w:rPr>
          <w:spacing w:val="-5"/>
          <w:sz w:val="16"/>
        </w:rPr>
        <w:t> </w:t>
      </w:r>
      <w:r>
        <w:rPr>
          <w:sz w:val="16"/>
        </w:rPr>
        <w:t>±103823</w:t>
      </w:r>
    </w:p>
    <w:p>
      <w:pPr>
        <w:spacing w:line="183" w:lineRule="exact" w:before="1"/>
        <w:ind w:left="588" w:right="0" w:firstLine="0"/>
        <w:jc w:val="left"/>
        <w:rPr>
          <w:sz w:val="16"/>
        </w:rPr>
      </w:pPr>
      <w:r>
        <w:rPr>
          <w:sz w:val="16"/>
        </w:rPr>
        <w:t>H:</w:t>
      </w:r>
      <w:r>
        <w:rPr>
          <w:spacing w:val="-2"/>
          <w:sz w:val="16"/>
        </w:rPr>
        <w:t> </w:t>
      </w:r>
      <w:r>
        <w:rPr>
          <w:sz w:val="16"/>
        </w:rPr>
        <w:t>±884736</w:t>
      </w:r>
    </w:p>
    <w:p>
      <w:pPr>
        <w:spacing w:line="183" w:lineRule="exact" w:before="0"/>
        <w:ind w:left="588" w:right="0" w:firstLine="0"/>
        <w:jc w:val="left"/>
        <w:rPr>
          <w:sz w:val="16"/>
        </w:rPr>
      </w:pPr>
      <w:r>
        <w:rPr>
          <w:sz w:val="16"/>
        </w:rPr>
        <w:t>J: ±2097152</w:t>
      </w:r>
    </w:p>
    <w:p>
      <w:pPr>
        <w:pStyle w:val="BodyText"/>
        <w:rPr>
          <w:sz w:val="18"/>
        </w:rPr>
      </w:pPr>
      <w:r>
        <w:rPr/>
        <w:br w:type="column"/>
      </w:r>
      <w:r>
        <w:rPr>
          <w:sz w:val="18"/>
        </w:rPr>
      </w:r>
    </w:p>
    <w:p>
      <w:pPr>
        <w:pStyle w:val="BodyText"/>
        <w:rPr>
          <w:sz w:val="18"/>
        </w:rPr>
      </w:pPr>
    </w:p>
    <w:p>
      <w:pPr>
        <w:pStyle w:val="BodyText"/>
        <w:spacing w:before="7"/>
        <w:rPr>
          <w:sz w:val="24"/>
        </w:rPr>
      </w:pPr>
    </w:p>
    <w:p>
      <w:pPr>
        <w:spacing w:before="0"/>
        <w:ind w:left="522" w:right="635" w:firstLine="0"/>
        <w:jc w:val="center"/>
        <w:rPr>
          <w:sz w:val="16"/>
        </w:rPr>
      </w:pPr>
      <w:r>
        <w:rPr>
          <w:sz w:val="16"/>
        </w:rPr>
        <w:t>dB</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1"/>
        <w:rPr>
          <w:sz w:val="25"/>
        </w:rPr>
      </w:pPr>
    </w:p>
    <w:p>
      <w:pPr>
        <w:pStyle w:val="BodyText"/>
        <w:ind w:left="522" w:right="635"/>
        <w:jc w:val="center"/>
      </w:pPr>
      <w:r>
        <w:rPr/>
        <w:t>nV</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79"/>
        <w:ind w:left="522" w:right="635"/>
        <w:jc w:val="center"/>
      </w:pPr>
      <w:r>
        <w:rPr/>
        <w:t>LSB</w:t>
      </w:r>
    </w:p>
    <w:p>
      <w:pPr>
        <w:spacing w:after="0"/>
        <w:jc w:val="center"/>
        <w:sectPr>
          <w:type w:val="continuous"/>
          <w:pgSz w:w="12240" w:h="15840"/>
          <w:pgMar w:top="940" w:bottom="280" w:left="960" w:right="940"/>
          <w:cols w:num="4" w:equalWidth="0">
            <w:col w:w="3838" w:space="40"/>
            <w:col w:w="2293" w:space="477"/>
            <w:col w:w="1536" w:space="488"/>
            <w:col w:w="1668"/>
          </w:cols>
        </w:sectPr>
      </w:pPr>
    </w:p>
    <w:p>
      <w:pPr>
        <w:pStyle w:val="BodyText"/>
        <w:rPr>
          <w:sz w:val="8"/>
        </w:rPr>
      </w:pPr>
    </w:p>
    <w:tbl>
      <w:tblPr>
        <w:tblW w:w="0" w:type="auto"/>
        <w:jc w:val="left"/>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70"/>
        <w:gridCol w:w="2467"/>
        <w:gridCol w:w="809"/>
        <w:gridCol w:w="991"/>
        <w:gridCol w:w="813"/>
        <w:gridCol w:w="808"/>
      </w:tblGrid>
      <w:tr>
        <w:trPr>
          <w:trHeight w:val="308" w:hRule="atLeast"/>
        </w:trPr>
        <w:tc>
          <w:tcPr>
            <w:tcW w:w="3470" w:type="dxa"/>
          </w:tcPr>
          <w:p>
            <w:pPr>
              <w:pStyle w:val="TableParagraph"/>
              <w:spacing w:before="35"/>
              <w:ind w:left="107"/>
              <w:rPr>
                <w:b/>
                <w:sz w:val="20"/>
              </w:rPr>
            </w:pPr>
            <w:r>
              <w:rPr>
                <w:b/>
                <w:sz w:val="20"/>
              </w:rPr>
              <w:t>Parameter</w:t>
            </w:r>
          </w:p>
        </w:tc>
        <w:tc>
          <w:tcPr>
            <w:tcW w:w="2467" w:type="dxa"/>
          </w:tcPr>
          <w:p>
            <w:pPr>
              <w:pStyle w:val="TableParagraph"/>
              <w:spacing w:before="35"/>
              <w:ind w:left="108"/>
              <w:rPr>
                <w:b/>
                <w:sz w:val="20"/>
              </w:rPr>
            </w:pPr>
            <w:r>
              <w:rPr>
                <w:b/>
                <w:sz w:val="20"/>
              </w:rPr>
              <w:t>Condition</w:t>
            </w:r>
          </w:p>
        </w:tc>
        <w:tc>
          <w:tcPr>
            <w:tcW w:w="809" w:type="dxa"/>
          </w:tcPr>
          <w:p>
            <w:pPr>
              <w:pStyle w:val="TableParagraph"/>
              <w:spacing w:before="35"/>
              <w:ind w:left="232"/>
              <w:rPr>
                <w:b/>
                <w:sz w:val="20"/>
              </w:rPr>
            </w:pPr>
            <w:r>
              <w:rPr>
                <w:b/>
                <w:sz w:val="20"/>
              </w:rPr>
              <w:t>Min</w:t>
            </w:r>
          </w:p>
        </w:tc>
        <w:tc>
          <w:tcPr>
            <w:tcW w:w="991" w:type="dxa"/>
          </w:tcPr>
          <w:p>
            <w:pPr>
              <w:pStyle w:val="TableParagraph"/>
              <w:spacing w:before="35"/>
              <w:ind w:left="316"/>
              <w:rPr>
                <w:b/>
                <w:sz w:val="20"/>
              </w:rPr>
            </w:pPr>
            <w:r>
              <w:rPr>
                <w:b/>
                <w:sz w:val="20"/>
              </w:rPr>
              <w:t>Typ</w:t>
            </w:r>
          </w:p>
        </w:tc>
        <w:tc>
          <w:tcPr>
            <w:tcW w:w="813" w:type="dxa"/>
          </w:tcPr>
          <w:p>
            <w:pPr>
              <w:pStyle w:val="TableParagraph"/>
              <w:spacing w:before="35"/>
              <w:ind w:left="211"/>
              <w:rPr>
                <w:b/>
                <w:sz w:val="20"/>
              </w:rPr>
            </w:pPr>
            <w:r>
              <w:rPr>
                <w:b/>
                <w:sz w:val="20"/>
              </w:rPr>
              <w:t>Max</w:t>
            </w:r>
          </w:p>
        </w:tc>
        <w:tc>
          <w:tcPr>
            <w:tcW w:w="808" w:type="dxa"/>
          </w:tcPr>
          <w:p>
            <w:pPr>
              <w:pStyle w:val="TableParagraph"/>
              <w:spacing w:before="35"/>
              <w:ind w:left="207"/>
              <w:rPr>
                <w:b/>
                <w:sz w:val="20"/>
              </w:rPr>
            </w:pPr>
            <w:r>
              <w:rPr>
                <w:b/>
                <w:sz w:val="20"/>
              </w:rPr>
              <w:t>Unit</w:t>
            </w:r>
          </w:p>
        </w:tc>
      </w:tr>
      <w:tr>
        <w:trPr>
          <w:trHeight w:val="1191" w:hRule="atLeast"/>
        </w:trPr>
        <w:tc>
          <w:tcPr>
            <w:tcW w:w="9358" w:type="dxa"/>
            <w:gridSpan w:val="6"/>
          </w:tcPr>
          <w:p>
            <w:pPr>
              <w:pStyle w:val="TableParagraph"/>
              <w:spacing w:before="16"/>
              <w:ind w:left="107"/>
              <w:rPr>
                <w:b/>
                <w:sz w:val="20"/>
              </w:rPr>
            </w:pPr>
            <w:r>
              <w:rPr>
                <w:b/>
                <w:sz w:val="20"/>
              </w:rPr>
              <w:t>Note:</w:t>
            </w:r>
          </w:p>
          <w:p>
            <w:pPr>
              <w:pStyle w:val="TableParagraph"/>
              <w:numPr>
                <w:ilvl w:val="0"/>
                <w:numId w:val="40"/>
              </w:numPr>
              <w:tabs>
                <w:tab w:pos="828" w:val="left" w:leader="none"/>
              </w:tabs>
              <w:spacing w:line="240" w:lineRule="auto" w:before="3" w:after="0"/>
              <w:ind w:left="827" w:right="0" w:hanging="361"/>
              <w:jc w:val="left"/>
              <w:rPr>
                <w:sz w:val="20"/>
              </w:rPr>
            </w:pPr>
            <w:r>
              <w:rPr>
                <w:sz w:val="20"/>
              </w:rPr>
              <w:t>Guaranteed by design; not production</w:t>
            </w:r>
            <w:r>
              <w:rPr>
                <w:spacing w:val="-2"/>
                <w:sz w:val="20"/>
              </w:rPr>
              <w:t> </w:t>
            </w:r>
            <w:r>
              <w:rPr>
                <w:sz w:val="20"/>
              </w:rPr>
              <w:t>tested.</w:t>
            </w:r>
          </w:p>
          <w:p>
            <w:pPr>
              <w:pStyle w:val="TableParagraph"/>
              <w:numPr>
                <w:ilvl w:val="0"/>
                <w:numId w:val="40"/>
              </w:numPr>
              <w:tabs>
                <w:tab w:pos="828" w:val="left" w:leader="none"/>
              </w:tabs>
              <w:spacing w:line="240" w:lineRule="auto" w:before="0" w:after="0"/>
              <w:ind w:left="827" w:right="191" w:hanging="360"/>
              <w:jc w:val="left"/>
              <w:rPr>
                <w:sz w:val="20"/>
              </w:rPr>
            </w:pPr>
            <w:r>
              <w:rPr>
                <w:sz w:val="20"/>
              </w:rPr>
              <w:t>Unless stated otherwise, the following test conditions apply to all the parameters provided in this table: </w:t>
            </w:r>
            <w:r>
              <w:rPr>
                <w:rFonts w:ascii="Times New Roman"/>
                <w:i/>
                <w:sz w:val="20"/>
              </w:rPr>
              <w:t>FIR_LEN[1:0]</w:t>
            </w:r>
            <w:r>
              <w:rPr>
                <w:sz w:val="20"/>
              </w:rPr>
              <w:t>=1, </w:t>
            </w:r>
            <w:r>
              <w:rPr>
                <w:rFonts w:ascii="Times New Roman"/>
                <w:i/>
                <w:sz w:val="20"/>
              </w:rPr>
              <w:t>VREF_DIS</w:t>
            </w:r>
            <w:r>
              <w:rPr>
                <w:sz w:val="20"/>
              </w:rPr>
              <w:t>=0, </w:t>
            </w:r>
            <w:r>
              <w:rPr>
                <w:rFonts w:ascii="Times New Roman"/>
                <w:i/>
                <w:sz w:val="20"/>
              </w:rPr>
              <w:t>PLL_FAST</w:t>
            </w:r>
            <w:r>
              <w:rPr>
                <w:sz w:val="20"/>
              </w:rPr>
              <w:t>=1, </w:t>
            </w:r>
            <w:r>
              <w:rPr>
                <w:rFonts w:ascii="Times New Roman"/>
                <w:i/>
                <w:sz w:val="20"/>
              </w:rPr>
              <w:t>ADC_DIV</w:t>
            </w:r>
            <w:r>
              <w:rPr>
                <w:sz w:val="20"/>
              </w:rPr>
              <w:t>=0, </w:t>
            </w:r>
            <w:r>
              <w:rPr>
                <w:rFonts w:ascii="Times New Roman"/>
                <w:i/>
                <w:sz w:val="20"/>
              </w:rPr>
              <w:t>MUX_DIV</w:t>
            </w:r>
            <w:r>
              <w:rPr>
                <w:sz w:val="20"/>
              </w:rPr>
              <w:t>=6, LSB</w:t>
            </w:r>
            <w:r>
              <w:rPr>
                <w:spacing w:val="-37"/>
                <w:sz w:val="20"/>
              </w:rPr>
              <w:t> </w:t>
            </w:r>
            <w:r>
              <w:rPr>
                <w:sz w:val="20"/>
              </w:rPr>
              <w:t>values do not include the 9-bit left shift at CE</w:t>
            </w:r>
            <w:r>
              <w:rPr>
                <w:spacing w:val="-6"/>
                <w:sz w:val="20"/>
              </w:rPr>
              <w:t> </w:t>
            </w:r>
            <w:r>
              <w:rPr>
                <w:sz w:val="20"/>
              </w:rPr>
              <w:t>input.</w:t>
            </w:r>
          </w:p>
        </w:tc>
      </w:tr>
    </w:tbl>
    <w:p>
      <w:pPr>
        <w:pStyle w:val="BodyText"/>
        <w:spacing w:before="11"/>
        <w:rPr>
          <w:sz w:val="21"/>
        </w:rPr>
      </w:pPr>
    </w:p>
    <w:p>
      <w:pPr>
        <w:pStyle w:val="ListParagraph"/>
        <w:numPr>
          <w:ilvl w:val="2"/>
          <w:numId w:val="39"/>
        </w:numPr>
        <w:tabs>
          <w:tab w:pos="1201" w:val="left" w:leader="none"/>
        </w:tabs>
        <w:spacing w:line="240" w:lineRule="auto" w:before="94" w:after="0"/>
        <w:ind w:left="1200" w:right="0" w:hanging="721"/>
        <w:jc w:val="left"/>
        <w:rPr>
          <w:b/>
          <w:sz w:val="22"/>
        </w:rPr>
      </w:pPr>
      <w:bookmarkStart w:name="6.4.16 Pre-Amplifier for IADC0-IADC1" w:id="574"/>
      <w:bookmarkEnd w:id="574"/>
      <w:r>
        <w:rPr/>
      </w:r>
      <w:bookmarkStart w:name="_bookmark281" w:id="575"/>
      <w:bookmarkEnd w:id="575"/>
      <w:r>
        <w:rPr/>
      </w:r>
      <w:bookmarkStart w:name="_bookmark281" w:id="576"/>
      <w:bookmarkEnd w:id="576"/>
      <w:r>
        <w:rPr>
          <w:b/>
          <w:sz w:val="22"/>
        </w:rPr>
        <w:t>P</w:t>
      </w:r>
      <w:r>
        <w:rPr>
          <w:b/>
          <w:sz w:val="22"/>
        </w:rPr>
        <w:t>re-Amplifier for</w:t>
      </w:r>
      <w:r>
        <w:rPr>
          <w:b/>
          <w:spacing w:val="-3"/>
          <w:sz w:val="22"/>
        </w:rPr>
        <w:t> </w:t>
      </w:r>
      <w:r>
        <w:rPr>
          <w:b/>
          <w:sz w:val="22"/>
        </w:rPr>
        <w:t>IADC0-IADC1</w:t>
      </w:r>
    </w:p>
    <w:p>
      <w:pPr>
        <w:pStyle w:val="Heading1"/>
        <w:spacing w:before="118"/>
        <w:ind w:left="779" w:right="797"/>
      </w:pPr>
      <w:bookmarkStart w:name="_bookmark282" w:id="577"/>
      <w:bookmarkEnd w:id="577"/>
      <w:r>
        <w:rPr>
          <w:b w:val="0"/>
        </w:rPr>
      </w:r>
      <w:r>
        <w:rPr/>
        <w:t>Table 104: Pre-Amplifier Performance Specifications</w:t>
      </w:r>
    </w:p>
    <w:p>
      <w:pPr>
        <w:pStyle w:val="BodyText"/>
        <w:spacing w:before="8"/>
        <w:rPr>
          <w:b/>
          <w:sz w:val="5"/>
        </w:rPr>
      </w:pPr>
    </w:p>
    <w:tbl>
      <w:tblPr>
        <w:tblW w:w="0" w:type="auto"/>
        <w:jc w:val="left"/>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984"/>
        <w:gridCol w:w="2119"/>
        <w:gridCol w:w="583"/>
        <w:gridCol w:w="605"/>
        <w:gridCol w:w="663"/>
        <w:gridCol w:w="908"/>
      </w:tblGrid>
      <w:tr>
        <w:trPr>
          <w:trHeight w:val="229" w:hRule="atLeast"/>
        </w:trPr>
        <w:tc>
          <w:tcPr>
            <w:tcW w:w="3984" w:type="dxa"/>
          </w:tcPr>
          <w:p>
            <w:pPr>
              <w:pStyle w:val="TableParagraph"/>
              <w:spacing w:line="210" w:lineRule="exact"/>
              <w:ind w:left="107"/>
              <w:rPr>
                <w:b/>
                <w:sz w:val="20"/>
              </w:rPr>
            </w:pPr>
            <w:r>
              <w:rPr>
                <w:b/>
                <w:sz w:val="20"/>
              </w:rPr>
              <w:t>PARAMETER</w:t>
            </w:r>
          </w:p>
        </w:tc>
        <w:tc>
          <w:tcPr>
            <w:tcW w:w="2119" w:type="dxa"/>
          </w:tcPr>
          <w:p>
            <w:pPr>
              <w:pStyle w:val="TableParagraph"/>
              <w:spacing w:line="210" w:lineRule="exact"/>
              <w:ind w:left="107"/>
              <w:rPr>
                <w:b/>
                <w:sz w:val="20"/>
              </w:rPr>
            </w:pPr>
            <w:r>
              <w:rPr>
                <w:b/>
                <w:sz w:val="20"/>
              </w:rPr>
              <w:t>CONDITION</w:t>
            </w:r>
          </w:p>
        </w:tc>
        <w:tc>
          <w:tcPr>
            <w:tcW w:w="583" w:type="dxa"/>
          </w:tcPr>
          <w:p>
            <w:pPr>
              <w:pStyle w:val="TableParagraph"/>
              <w:spacing w:line="210" w:lineRule="exact"/>
              <w:ind w:left="88" w:right="67"/>
              <w:jc w:val="center"/>
              <w:rPr>
                <w:b/>
                <w:sz w:val="20"/>
              </w:rPr>
            </w:pPr>
            <w:r>
              <w:rPr>
                <w:b/>
                <w:sz w:val="20"/>
              </w:rPr>
              <w:t>MIN</w:t>
            </w:r>
          </w:p>
        </w:tc>
        <w:tc>
          <w:tcPr>
            <w:tcW w:w="605" w:type="dxa"/>
          </w:tcPr>
          <w:p>
            <w:pPr>
              <w:pStyle w:val="TableParagraph"/>
              <w:spacing w:line="210" w:lineRule="exact"/>
              <w:ind w:right="85"/>
              <w:jc w:val="right"/>
              <w:rPr>
                <w:b/>
                <w:sz w:val="20"/>
              </w:rPr>
            </w:pPr>
            <w:r>
              <w:rPr>
                <w:b/>
                <w:w w:val="95"/>
                <w:sz w:val="20"/>
              </w:rPr>
              <w:t>TYP</w:t>
            </w:r>
          </w:p>
        </w:tc>
        <w:tc>
          <w:tcPr>
            <w:tcW w:w="663" w:type="dxa"/>
          </w:tcPr>
          <w:p>
            <w:pPr>
              <w:pStyle w:val="TableParagraph"/>
              <w:spacing w:line="210" w:lineRule="exact"/>
              <w:ind w:left="83" w:right="75"/>
              <w:jc w:val="center"/>
              <w:rPr>
                <w:b/>
                <w:sz w:val="20"/>
              </w:rPr>
            </w:pPr>
            <w:r>
              <w:rPr>
                <w:b/>
                <w:sz w:val="20"/>
              </w:rPr>
              <w:t>MAX</w:t>
            </w:r>
          </w:p>
        </w:tc>
        <w:tc>
          <w:tcPr>
            <w:tcW w:w="908" w:type="dxa"/>
          </w:tcPr>
          <w:p>
            <w:pPr>
              <w:pStyle w:val="TableParagraph"/>
              <w:spacing w:line="210" w:lineRule="exact"/>
              <w:ind w:left="120" w:right="104"/>
              <w:jc w:val="center"/>
              <w:rPr>
                <w:b/>
                <w:sz w:val="20"/>
              </w:rPr>
            </w:pPr>
            <w:r>
              <w:rPr>
                <w:b/>
                <w:sz w:val="20"/>
              </w:rPr>
              <w:t>UNIT</w:t>
            </w:r>
          </w:p>
        </w:tc>
      </w:tr>
      <w:tr>
        <w:trPr>
          <w:trHeight w:val="250" w:hRule="atLeast"/>
        </w:trPr>
        <w:tc>
          <w:tcPr>
            <w:tcW w:w="3984" w:type="dxa"/>
            <w:tcBorders>
              <w:bottom w:val="nil"/>
            </w:tcBorders>
          </w:tcPr>
          <w:p>
            <w:pPr>
              <w:pStyle w:val="TableParagraph"/>
              <w:rPr>
                <w:rFonts w:ascii="Times New Roman"/>
                <w:sz w:val="18"/>
              </w:rPr>
            </w:pPr>
          </w:p>
        </w:tc>
        <w:tc>
          <w:tcPr>
            <w:tcW w:w="2119" w:type="dxa"/>
            <w:tcBorders>
              <w:bottom w:val="nil"/>
            </w:tcBorders>
          </w:tcPr>
          <w:p>
            <w:pPr>
              <w:pStyle w:val="TableParagraph"/>
              <w:spacing w:line="230" w:lineRule="exact" w:before="1"/>
              <w:ind w:left="107"/>
              <w:rPr>
                <w:sz w:val="20"/>
              </w:rPr>
            </w:pPr>
            <w:r>
              <w:rPr>
                <w:sz w:val="20"/>
              </w:rPr>
              <w:t>T</w:t>
            </w:r>
            <w:r>
              <w:rPr>
                <w:sz w:val="20"/>
                <w:vertAlign w:val="subscript"/>
              </w:rPr>
              <w:t>A</w:t>
            </w:r>
            <w:r>
              <w:rPr>
                <w:sz w:val="20"/>
                <w:vertAlign w:val="baseline"/>
              </w:rPr>
              <w:t>= 5</w:t>
            </w:r>
            <w:r>
              <w:rPr>
                <w:rFonts w:ascii="Calibri" w:hAnsi="Calibri"/>
                <w:sz w:val="20"/>
                <w:vertAlign w:val="baseline"/>
              </w:rPr>
              <w:t>⁰</w:t>
            </w:r>
            <w:r>
              <w:rPr>
                <w:sz w:val="20"/>
                <w:vertAlign w:val="baseline"/>
              </w:rPr>
              <w:t>C,</w:t>
            </w:r>
          </w:p>
        </w:tc>
        <w:tc>
          <w:tcPr>
            <w:tcW w:w="583" w:type="dxa"/>
            <w:tcBorders>
              <w:bottom w:val="nil"/>
            </w:tcBorders>
          </w:tcPr>
          <w:p>
            <w:pPr>
              <w:pStyle w:val="TableParagraph"/>
              <w:rPr>
                <w:rFonts w:ascii="Times New Roman"/>
                <w:sz w:val="18"/>
              </w:rPr>
            </w:pPr>
          </w:p>
        </w:tc>
        <w:tc>
          <w:tcPr>
            <w:tcW w:w="605" w:type="dxa"/>
            <w:tcBorders>
              <w:bottom w:val="nil"/>
            </w:tcBorders>
          </w:tcPr>
          <w:p>
            <w:pPr>
              <w:pStyle w:val="TableParagraph"/>
              <w:rPr>
                <w:rFonts w:ascii="Times New Roman"/>
                <w:sz w:val="18"/>
              </w:rPr>
            </w:pPr>
          </w:p>
        </w:tc>
        <w:tc>
          <w:tcPr>
            <w:tcW w:w="663" w:type="dxa"/>
            <w:tcBorders>
              <w:bottom w:val="nil"/>
            </w:tcBorders>
          </w:tcPr>
          <w:p>
            <w:pPr>
              <w:pStyle w:val="TableParagraph"/>
              <w:rPr>
                <w:rFonts w:ascii="Times New Roman"/>
                <w:sz w:val="18"/>
              </w:rPr>
            </w:pPr>
          </w:p>
        </w:tc>
        <w:tc>
          <w:tcPr>
            <w:tcW w:w="908" w:type="dxa"/>
            <w:tcBorders>
              <w:bottom w:val="nil"/>
            </w:tcBorders>
          </w:tcPr>
          <w:p>
            <w:pPr>
              <w:pStyle w:val="TableParagraph"/>
              <w:rPr>
                <w:rFonts w:ascii="Times New Roman"/>
                <w:sz w:val="18"/>
              </w:rPr>
            </w:pPr>
          </w:p>
        </w:tc>
      </w:tr>
      <w:tr>
        <w:trPr>
          <w:trHeight w:val="917" w:hRule="atLeast"/>
        </w:trPr>
        <w:tc>
          <w:tcPr>
            <w:tcW w:w="3984" w:type="dxa"/>
            <w:tcBorders>
              <w:top w:val="nil"/>
              <w:bottom w:val="nil"/>
            </w:tcBorders>
          </w:tcPr>
          <w:p>
            <w:pPr>
              <w:pStyle w:val="TableParagraph"/>
              <w:spacing w:before="101"/>
              <w:ind w:left="107" w:right="1514"/>
              <w:rPr>
                <w:sz w:val="20"/>
              </w:rPr>
            </w:pPr>
            <w:r>
              <w:rPr>
                <w:sz w:val="20"/>
              </w:rPr>
              <w:t>Differential Gain Vin=30mV differential</w:t>
            </w:r>
          </w:p>
          <w:p>
            <w:pPr>
              <w:pStyle w:val="TableParagraph"/>
              <w:spacing w:before="1"/>
              <w:ind w:left="107"/>
              <w:rPr>
                <w:sz w:val="20"/>
              </w:rPr>
            </w:pPr>
            <w:r>
              <w:rPr>
                <w:sz w:val="20"/>
              </w:rPr>
              <w:t>Vin=15mV differential (see note 1)</w:t>
            </w:r>
          </w:p>
        </w:tc>
        <w:tc>
          <w:tcPr>
            <w:tcW w:w="2119" w:type="dxa"/>
            <w:tcBorders>
              <w:top w:val="nil"/>
              <w:bottom w:val="nil"/>
            </w:tcBorders>
          </w:tcPr>
          <w:p>
            <w:pPr>
              <w:pStyle w:val="TableParagraph"/>
              <w:ind w:left="107" w:right="859"/>
              <w:rPr>
                <w:sz w:val="20"/>
              </w:rPr>
            </w:pPr>
            <w:r>
              <w:rPr>
                <w:sz w:val="20"/>
              </w:rPr>
              <w:t>V3P3=3.3 </w:t>
            </w:r>
            <w:r>
              <w:rPr>
                <w:spacing w:val="-8"/>
                <w:sz w:val="20"/>
              </w:rPr>
              <w:t>V, </w:t>
            </w:r>
            <w:r>
              <w:rPr>
                <w:rFonts w:ascii="Times New Roman"/>
                <w:i/>
                <w:sz w:val="20"/>
              </w:rPr>
              <w:t>PRE_E</w:t>
            </w:r>
            <w:r>
              <w:rPr>
                <w:sz w:val="20"/>
              </w:rPr>
              <w:t>=1, </w:t>
            </w:r>
            <w:r>
              <w:rPr>
                <w:rFonts w:ascii="Times New Roman"/>
                <w:i/>
                <w:sz w:val="20"/>
              </w:rPr>
              <w:t>FIR_LEN</w:t>
            </w:r>
            <w:r>
              <w:rPr>
                <w:sz w:val="20"/>
              </w:rPr>
              <w:t>=2,</w:t>
            </w:r>
          </w:p>
          <w:p>
            <w:pPr>
              <w:pStyle w:val="TableParagraph"/>
              <w:spacing w:line="213" w:lineRule="exact"/>
              <w:ind w:left="107"/>
              <w:rPr>
                <w:sz w:val="20"/>
              </w:rPr>
            </w:pPr>
            <w:r>
              <w:rPr>
                <w:rFonts w:ascii="Times New Roman"/>
                <w:i/>
                <w:sz w:val="20"/>
              </w:rPr>
              <w:t>DIFF0_E</w:t>
            </w:r>
            <w:r>
              <w:rPr>
                <w:sz w:val="20"/>
              </w:rPr>
              <w:t>=1,</w:t>
            </w:r>
          </w:p>
        </w:tc>
        <w:tc>
          <w:tcPr>
            <w:tcW w:w="583" w:type="dxa"/>
            <w:tcBorders>
              <w:top w:val="nil"/>
              <w:bottom w:val="nil"/>
            </w:tcBorders>
          </w:tcPr>
          <w:p>
            <w:pPr>
              <w:pStyle w:val="TableParagraph"/>
              <w:spacing w:before="9"/>
              <w:rPr>
                <w:b/>
                <w:sz w:val="28"/>
              </w:rPr>
            </w:pPr>
          </w:p>
          <w:p>
            <w:pPr>
              <w:pStyle w:val="TableParagraph"/>
              <w:ind w:left="150"/>
              <w:rPr>
                <w:sz w:val="20"/>
              </w:rPr>
            </w:pPr>
            <w:r>
              <w:rPr>
                <w:sz w:val="20"/>
              </w:rPr>
              <w:t>7.8</w:t>
            </w:r>
          </w:p>
          <w:p>
            <w:pPr>
              <w:pStyle w:val="TableParagraph"/>
              <w:spacing w:before="1"/>
              <w:ind w:left="150"/>
              <w:rPr>
                <w:sz w:val="20"/>
              </w:rPr>
            </w:pPr>
            <w:r>
              <w:rPr>
                <w:sz w:val="20"/>
              </w:rPr>
              <w:t>7.8</w:t>
            </w:r>
          </w:p>
        </w:tc>
        <w:tc>
          <w:tcPr>
            <w:tcW w:w="605" w:type="dxa"/>
            <w:tcBorders>
              <w:top w:val="nil"/>
              <w:bottom w:val="nil"/>
            </w:tcBorders>
          </w:tcPr>
          <w:p>
            <w:pPr>
              <w:pStyle w:val="TableParagraph"/>
              <w:spacing w:before="9"/>
              <w:rPr>
                <w:b/>
                <w:sz w:val="28"/>
              </w:rPr>
            </w:pPr>
          </w:p>
          <w:p>
            <w:pPr>
              <w:pStyle w:val="TableParagraph"/>
              <w:spacing w:before="1"/>
              <w:ind w:left="107"/>
              <w:rPr>
                <w:sz w:val="20"/>
              </w:rPr>
            </w:pPr>
            <w:r>
              <w:rPr>
                <w:sz w:val="20"/>
              </w:rPr>
              <w:t>7.92</w:t>
            </w:r>
          </w:p>
          <w:p>
            <w:pPr>
              <w:pStyle w:val="TableParagraph"/>
              <w:ind w:left="107"/>
              <w:rPr>
                <w:sz w:val="20"/>
              </w:rPr>
            </w:pPr>
            <w:r>
              <w:rPr>
                <w:sz w:val="20"/>
              </w:rPr>
              <w:t>7.92</w:t>
            </w:r>
          </w:p>
        </w:tc>
        <w:tc>
          <w:tcPr>
            <w:tcW w:w="663" w:type="dxa"/>
            <w:tcBorders>
              <w:top w:val="nil"/>
              <w:bottom w:val="nil"/>
            </w:tcBorders>
          </w:tcPr>
          <w:p>
            <w:pPr>
              <w:pStyle w:val="TableParagraph"/>
              <w:spacing w:before="10"/>
              <w:rPr>
                <w:b/>
                <w:sz w:val="28"/>
              </w:rPr>
            </w:pPr>
          </w:p>
          <w:p>
            <w:pPr>
              <w:pStyle w:val="TableParagraph"/>
              <w:ind w:left="189"/>
              <w:rPr>
                <w:sz w:val="20"/>
              </w:rPr>
            </w:pPr>
            <w:r>
              <w:rPr>
                <w:sz w:val="20"/>
              </w:rPr>
              <w:t>8.0</w:t>
            </w:r>
          </w:p>
          <w:p>
            <w:pPr>
              <w:pStyle w:val="TableParagraph"/>
              <w:ind w:left="189"/>
              <w:rPr>
                <w:sz w:val="20"/>
              </w:rPr>
            </w:pPr>
            <w:r>
              <w:rPr>
                <w:sz w:val="20"/>
              </w:rPr>
              <w:t>8.0</w:t>
            </w:r>
          </w:p>
        </w:tc>
        <w:tc>
          <w:tcPr>
            <w:tcW w:w="908" w:type="dxa"/>
            <w:tcBorders>
              <w:top w:val="nil"/>
              <w:bottom w:val="nil"/>
            </w:tcBorders>
          </w:tcPr>
          <w:p>
            <w:pPr>
              <w:pStyle w:val="TableParagraph"/>
              <w:spacing w:before="10"/>
              <w:rPr>
                <w:b/>
                <w:sz w:val="28"/>
              </w:rPr>
            </w:pPr>
          </w:p>
          <w:p>
            <w:pPr>
              <w:pStyle w:val="TableParagraph"/>
              <w:ind w:left="292" w:right="269"/>
              <w:rPr>
                <w:sz w:val="20"/>
              </w:rPr>
            </w:pPr>
            <w:r>
              <w:rPr>
                <w:w w:val="95"/>
                <w:sz w:val="20"/>
              </w:rPr>
              <w:t>V/V V/V</w:t>
            </w:r>
          </w:p>
        </w:tc>
      </w:tr>
      <w:tr>
        <w:trPr>
          <w:trHeight w:val="230" w:hRule="atLeast"/>
        </w:trPr>
        <w:tc>
          <w:tcPr>
            <w:tcW w:w="3984" w:type="dxa"/>
            <w:tcBorders>
              <w:top w:val="nil"/>
            </w:tcBorders>
          </w:tcPr>
          <w:p>
            <w:pPr>
              <w:pStyle w:val="TableParagraph"/>
              <w:rPr>
                <w:rFonts w:ascii="Times New Roman"/>
                <w:sz w:val="16"/>
              </w:rPr>
            </w:pPr>
          </w:p>
        </w:tc>
        <w:tc>
          <w:tcPr>
            <w:tcW w:w="2119" w:type="dxa"/>
            <w:tcBorders>
              <w:top w:val="nil"/>
            </w:tcBorders>
          </w:tcPr>
          <w:p>
            <w:pPr>
              <w:pStyle w:val="TableParagraph"/>
              <w:spacing w:line="210" w:lineRule="exact"/>
              <w:ind w:left="107"/>
              <w:rPr>
                <w:sz w:val="20"/>
              </w:rPr>
            </w:pPr>
            <w:r>
              <w:rPr>
                <w:sz w:val="20"/>
              </w:rPr>
              <w:t>2520Hz sample rate</w:t>
            </w:r>
          </w:p>
        </w:tc>
        <w:tc>
          <w:tcPr>
            <w:tcW w:w="583" w:type="dxa"/>
            <w:tcBorders>
              <w:top w:val="nil"/>
            </w:tcBorders>
          </w:tcPr>
          <w:p>
            <w:pPr>
              <w:pStyle w:val="TableParagraph"/>
              <w:rPr>
                <w:rFonts w:ascii="Times New Roman"/>
                <w:sz w:val="16"/>
              </w:rPr>
            </w:pPr>
          </w:p>
        </w:tc>
        <w:tc>
          <w:tcPr>
            <w:tcW w:w="605" w:type="dxa"/>
            <w:tcBorders>
              <w:top w:val="nil"/>
            </w:tcBorders>
          </w:tcPr>
          <w:p>
            <w:pPr>
              <w:pStyle w:val="TableParagraph"/>
              <w:rPr>
                <w:rFonts w:ascii="Times New Roman"/>
                <w:sz w:val="16"/>
              </w:rPr>
            </w:pPr>
          </w:p>
        </w:tc>
        <w:tc>
          <w:tcPr>
            <w:tcW w:w="663" w:type="dxa"/>
            <w:tcBorders>
              <w:top w:val="nil"/>
            </w:tcBorders>
          </w:tcPr>
          <w:p>
            <w:pPr>
              <w:pStyle w:val="TableParagraph"/>
              <w:rPr>
                <w:rFonts w:ascii="Times New Roman"/>
                <w:sz w:val="16"/>
              </w:rPr>
            </w:pPr>
          </w:p>
        </w:tc>
        <w:tc>
          <w:tcPr>
            <w:tcW w:w="908" w:type="dxa"/>
            <w:tcBorders>
              <w:top w:val="nil"/>
            </w:tcBorders>
          </w:tcPr>
          <w:p>
            <w:pPr>
              <w:pStyle w:val="TableParagraph"/>
              <w:rPr>
                <w:rFonts w:ascii="Times New Roman"/>
                <w:sz w:val="16"/>
              </w:rPr>
            </w:pPr>
          </w:p>
        </w:tc>
      </w:tr>
      <w:tr>
        <w:trPr>
          <w:trHeight w:val="460" w:hRule="atLeast"/>
        </w:trPr>
        <w:tc>
          <w:tcPr>
            <w:tcW w:w="3984" w:type="dxa"/>
          </w:tcPr>
          <w:p>
            <w:pPr>
              <w:pStyle w:val="TableParagraph"/>
              <w:spacing w:line="230" w:lineRule="exact"/>
              <w:ind w:left="107" w:right="827"/>
              <w:rPr>
                <w:sz w:val="20"/>
              </w:rPr>
            </w:pPr>
            <w:r>
              <w:rPr>
                <w:sz w:val="20"/>
              </w:rPr>
              <w:t>Gain Variation vs V3P3 Vin=30mV differential (see note</w:t>
            </w:r>
            <w:r>
              <w:rPr>
                <w:spacing w:val="-20"/>
                <w:sz w:val="20"/>
              </w:rPr>
              <w:t> </w:t>
            </w:r>
            <w:r>
              <w:rPr>
                <w:sz w:val="20"/>
              </w:rPr>
              <w:t>1)</w:t>
            </w:r>
          </w:p>
        </w:tc>
        <w:tc>
          <w:tcPr>
            <w:tcW w:w="2119" w:type="dxa"/>
          </w:tcPr>
          <w:p>
            <w:pPr>
              <w:pStyle w:val="TableParagraph"/>
              <w:spacing w:line="227" w:lineRule="exact"/>
              <w:ind w:left="107"/>
              <w:rPr>
                <w:sz w:val="20"/>
              </w:rPr>
            </w:pPr>
            <w:r>
              <w:rPr>
                <w:sz w:val="20"/>
              </w:rPr>
              <w:t>V3P3 =</w:t>
            </w:r>
          </w:p>
          <w:p>
            <w:pPr>
              <w:pStyle w:val="TableParagraph"/>
              <w:spacing w:line="213" w:lineRule="exact"/>
              <w:ind w:left="107"/>
              <w:rPr>
                <w:sz w:val="20"/>
              </w:rPr>
            </w:pPr>
            <w:r>
              <w:rPr>
                <w:sz w:val="20"/>
              </w:rPr>
              <w:t>2.97 V, 3.63 V</w:t>
            </w:r>
          </w:p>
        </w:tc>
        <w:tc>
          <w:tcPr>
            <w:tcW w:w="583" w:type="dxa"/>
          </w:tcPr>
          <w:p>
            <w:pPr>
              <w:pStyle w:val="TableParagraph"/>
              <w:spacing w:before="126"/>
              <w:ind w:left="86" w:right="67"/>
              <w:jc w:val="center"/>
              <w:rPr>
                <w:sz w:val="18"/>
              </w:rPr>
            </w:pPr>
            <w:r>
              <w:rPr>
                <w:sz w:val="18"/>
              </w:rPr>
              <w:t>-100</w:t>
            </w:r>
          </w:p>
        </w:tc>
        <w:tc>
          <w:tcPr>
            <w:tcW w:w="605" w:type="dxa"/>
          </w:tcPr>
          <w:p>
            <w:pPr>
              <w:pStyle w:val="TableParagraph"/>
              <w:rPr>
                <w:rFonts w:ascii="Times New Roman"/>
                <w:sz w:val="18"/>
              </w:rPr>
            </w:pPr>
          </w:p>
        </w:tc>
        <w:tc>
          <w:tcPr>
            <w:tcW w:w="663" w:type="dxa"/>
          </w:tcPr>
          <w:p>
            <w:pPr>
              <w:pStyle w:val="TableParagraph"/>
              <w:spacing w:before="126"/>
              <w:ind w:left="83" w:right="64"/>
              <w:jc w:val="center"/>
              <w:rPr>
                <w:sz w:val="18"/>
              </w:rPr>
            </w:pPr>
            <w:r>
              <w:rPr>
                <w:sz w:val="18"/>
              </w:rPr>
              <w:t>100</w:t>
            </w:r>
          </w:p>
        </w:tc>
        <w:tc>
          <w:tcPr>
            <w:tcW w:w="908" w:type="dxa"/>
          </w:tcPr>
          <w:p>
            <w:pPr>
              <w:pStyle w:val="TableParagraph"/>
              <w:spacing w:before="112"/>
              <w:ind w:left="120" w:right="104"/>
              <w:jc w:val="center"/>
              <w:rPr>
                <w:sz w:val="20"/>
              </w:rPr>
            </w:pPr>
            <w:r>
              <w:rPr>
                <w:sz w:val="20"/>
              </w:rPr>
              <w:t>ppm/%</w:t>
            </w:r>
          </w:p>
        </w:tc>
      </w:tr>
      <w:tr>
        <w:trPr>
          <w:trHeight w:val="459" w:hRule="atLeast"/>
        </w:trPr>
        <w:tc>
          <w:tcPr>
            <w:tcW w:w="3984" w:type="dxa"/>
          </w:tcPr>
          <w:p>
            <w:pPr>
              <w:pStyle w:val="TableParagraph"/>
              <w:spacing w:line="230" w:lineRule="exact"/>
              <w:ind w:left="107" w:right="827"/>
              <w:rPr>
                <w:sz w:val="20"/>
              </w:rPr>
            </w:pPr>
            <w:r>
              <w:rPr>
                <w:sz w:val="20"/>
              </w:rPr>
              <w:t>Gain Variation vs Temp Vin=30mV differential (see note</w:t>
            </w:r>
            <w:r>
              <w:rPr>
                <w:spacing w:val="-20"/>
                <w:sz w:val="20"/>
              </w:rPr>
              <w:t> </w:t>
            </w:r>
            <w:r>
              <w:rPr>
                <w:sz w:val="20"/>
              </w:rPr>
              <w:t>1)</w:t>
            </w:r>
          </w:p>
        </w:tc>
        <w:tc>
          <w:tcPr>
            <w:tcW w:w="2119" w:type="dxa"/>
          </w:tcPr>
          <w:p>
            <w:pPr>
              <w:pStyle w:val="TableParagraph"/>
              <w:spacing w:before="106"/>
              <w:ind w:left="107"/>
              <w:rPr>
                <w:sz w:val="20"/>
              </w:rPr>
            </w:pPr>
            <w:r>
              <w:rPr>
                <w:sz w:val="20"/>
              </w:rPr>
              <w:t>T</w:t>
            </w:r>
            <w:r>
              <w:rPr>
                <w:sz w:val="20"/>
                <w:vertAlign w:val="subscript"/>
              </w:rPr>
              <w:t>A</w:t>
            </w:r>
            <w:r>
              <w:rPr>
                <w:sz w:val="20"/>
                <w:vertAlign w:val="baseline"/>
              </w:rPr>
              <w:t> = -40</w:t>
            </w:r>
            <w:r>
              <w:rPr>
                <w:rFonts w:ascii="Calibri" w:hAnsi="Calibri"/>
                <w:sz w:val="20"/>
                <w:vertAlign w:val="baseline"/>
              </w:rPr>
              <w:t>⁰</w:t>
            </w:r>
            <w:r>
              <w:rPr>
                <w:sz w:val="20"/>
                <w:vertAlign w:val="baseline"/>
              </w:rPr>
              <w:t>C, 85</w:t>
            </w:r>
            <w:r>
              <w:rPr>
                <w:rFonts w:ascii="Calibri" w:hAnsi="Calibri"/>
                <w:sz w:val="20"/>
                <w:vertAlign w:val="baseline"/>
              </w:rPr>
              <w:t>⁰</w:t>
            </w:r>
            <w:r>
              <w:rPr>
                <w:sz w:val="20"/>
                <w:vertAlign w:val="baseline"/>
              </w:rPr>
              <w:t>C</w:t>
            </w:r>
          </w:p>
        </w:tc>
        <w:tc>
          <w:tcPr>
            <w:tcW w:w="583" w:type="dxa"/>
          </w:tcPr>
          <w:p>
            <w:pPr>
              <w:pStyle w:val="TableParagraph"/>
              <w:spacing w:before="112"/>
              <w:ind w:left="84" w:right="67"/>
              <w:jc w:val="center"/>
              <w:rPr>
                <w:sz w:val="20"/>
              </w:rPr>
            </w:pPr>
            <w:r>
              <w:rPr>
                <w:sz w:val="20"/>
              </w:rPr>
              <w:t>10</w:t>
            </w:r>
          </w:p>
        </w:tc>
        <w:tc>
          <w:tcPr>
            <w:tcW w:w="605" w:type="dxa"/>
          </w:tcPr>
          <w:p>
            <w:pPr>
              <w:pStyle w:val="TableParagraph"/>
              <w:spacing w:before="112"/>
              <w:ind w:right="136"/>
              <w:jc w:val="right"/>
              <w:rPr>
                <w:sz w:val="20"/>
              </w:rPr>
            </w:pPr>
            <w:r>
              <w:rPr>
                <w:w w:val="95"/>
                <w:sz w:val="20"/>
              </w:rPr>
              <w:t>-25</w:t>
            </w:r>
          </w:p>
        </w:tc>
        <w:tc>
          <w:tcPr>
            <w:tcW w:w="663" w:type="dxa"/>
          </w:tcPr>
          <w:p>
            <w:pPr>
              <w:pStyle w:val="TableParagraph"/>
              <w:spacing w:before="112"/>
              <w:ind w:left="83" w:right="70"/>
              <w:jc w:val="center"/>
              <w:rPr>
                <w:sz w:val="20"/>
              </w:rPr>
            </w:pPr>
            <w:r>
              <w:rPr>
                <w:sz w:val="20"/>
              </w:rPr>
              <w:t>-80</w:t>
            </w:r>
          </w:p>
        </w:tc>
        <w:tc>
          <w:tcPr>
            <w:tcW w:w="908" w:type="dxa"/>
          </w:tcPr>
          <w:p>
            <w:pPr>
              <w:pStyle w:val="TableParagraph"/>
              <w:spacing w:before="112"/>
              <w:ind w:left="120" w:right="104"/>
              <w:jc w:val="center"/>
              <w:rPr>
                <w:sz w:val="20"/>
              </w:rPr>
            </w:pPr>
            <w:r>
              <w:rPr>
                <w:sz w:val="20"/>
              </w:rPr>
              <w:t>ppm/C</w:t>
            </w:r>
          </w:p>
        </w:tc>
      </w:tr>
      <w:tr>
        <w:trPr>
          <w:trHeight w:val="474" w:hRule="atLeast"/>
        </w:trPr>
        <w:tc>
          <w:tcPr>
            <w:tcW w:w="3984" w:type="dxa"/>
          </w:tcPr>
          <w:p>
            <w:pPr>
              <w:pStyle w:val="TableParagraph"/>
              <w:spacing w:before="4"/>
              <w:ind w:left="107"/>
              <w:rPr>
                <w:sz w:val="20"/>
              </w:rPr>
            </w:pPr>
            <w:r>
              <w:rPr>
                <w:sz w:val="20"/>
              </w:rPr>
              <w:t>Phase Shift,</w:t>
            </w:r>
          </w:p>
          <w:p>
            <w:pPr>
              <w:pStyle w:val="TableParagraph"/>
              <w:spacing w:line="220" w:lineRule="exact"/>
              <w:ind w:left="107"/>
              <w:rPr>
                <w:sz w:val="20"/>
              </w:rPr>
            </w:pPr>
            <w:r>
              <w:rPr>
                <w:sz w:val="20"/>
              </w:rPr>
              <w:t>Vin=30mV differential (see note 1)</w:t>
            </w:r>
          </w:p>
        </w:tc>
        <w:tc>
          <w:tcPr>
            <w:tcW w:w="2119" w:type="dxa"/>
          </w:tcPr>
          <w:p>
            <w:pPr>
              <w:pStyle w:val="TableParagraph"/>
              <w:spacing w:line="242" w:lineRule="exact"/>
              <w:ind w:left="107"/>
              <w:rPr>
                <w:sz w:val="20"/>
              </w:rPr>
            </w:pPr>
            <w:r>
              <w:rPr>
                <w:sz w:val="20"/>
              </w:rPr>
              <w:t>T</w:t>
            </w:r>
            <w:r>
              <w:rPr>
                <w:sz w:val="20"/>
                <w:vertAlign w:val="subscript"/>
              </w:rPr>
              <w:t>A</w:t>
            </w:r>
            <w:r>
              <w:rPr>
                <w:sz w:val="20"/>
                <w:vertAlign w:val="baseline"/>
              </w:rPr>
              <w:t>=25</w:t>
            </w:r>
            <w:r>
              <w:rPr>
                <w:rFonts w:ascii="Calibri" w:hAnsi="Calibri"/>
                <w:sz w:val="20"/>
                <w:vertAlign w:val="baseline"/>
              </w:rPr>
              <w:t>⁰</w:t>
            </w:r>
            <w:r>
              <w:rPr>
                <w:sz w:val="20"/>
                <w:vertAlign w:val="baseline"/>
              </w:rPr>
              <w:t>C,</w:t>
            </w:r>
          </w:p>
          <w:p>
            <w:pPr>
              <w:pStyle w:val="TableParagraph"/>
              <w:spacing w:line="212" w:lineRule="exact"/>
              <w:ind w:left="107"/>
              <w:rPr>
                <w:sz w:val="20"/>
              </w:rPr>
            </w:pPr>
            <w:r>
              <w:rPr>
                <w:sz w:val="20"/>
              </w:rPr>
              <w:t>V3P3=3.3 V</w:t>
            </w:r>
          </w:p>
        </w:tc>
        <w:tc>
          <w:tcPr>
            <w:tcW w:w="583" w:type="dxa"/>
          </w:tcPr>
          <w:p>
            <w:pPr>
              <w:pStyle w:val="TableParagraph"/>
              <w:spacing w:before="119"/>
              <w:ind w:left="84" w:right="67"/>
              <w:jc w:val="center"/>
              <w:rPr>
                <w:sz w:val="20"/>
              </w:rPr>
            </w:pPr>
            <w:r>
              <w:rPr>
                <w:sz w:val="20"/>
              </w:rPr>
              <w:t>-6</w:t>
            </w:r>
          </w:p>
        </w:tc>
        <w:tc>
          <w:tcPr>
            <w:tcW w:w="605" w:type="dxa"/>
          </w:tcPr>
          <w:p>
            <w:pPr>
              <w:pStyle w:val="TableParagraph"/>
              <w:rPr>
                <w:rFonts w:ascii="Times New Roman"/>
                <w:sz w:val="18"/>
              </w:rPr>
            </w:pPr>
          </w:p>
        </w:tc>
        <w:tc>
          <w:tcPr>
            <w:tcW w:w="663" w:type="dxa"/>
          </w:tcPr>
          <w:p>
            <w:pPr>
              <w:pStyle w:val="TableParagraph"/>
              <w:spacing w:before="119"/>
              <w:ind w:left="14"/>
              <w:jc w:val="center"/>
              <w:rPr>
                <w:sz w:val="20"/>
              </w:rPr>
            </w:pPr>
            <w:r>
              <w:rPr>
                <w:w w:val="99"/>
                <w:sz w:val="20"/>
              </w:rPr>
              <w:t>6</w:t>
            </w:r>
          </w:p>
        </w:tc>
        <w:tc>
          <w:tcPr>
            <w:tcW w:w="908" w:type="dxa"/>
          </w:tcPr>
          <w:p>
            <w:pPr>
              <w:pStyle w:val="TableParagraph"/>
              <w:spacing w:before="119"/>
              <w:ind w:left="120" w:right="96"/>
              <w:jc w:val="center"/>
              <w:rPr>
                <w:sz w:val="20"/>
              </w:rPr>
            </w:pPr>
            <w:r>
              <w:rPr>
                <w:sz w:val="20"/>
              </w:rPr>
              <w:t>mº</w:t>
            </w:r>
          </w:p>
        </w:tc>
      </w:tr>
      <w:tr>
        <w:trPr>
          <w:trHeight w:val="228" w:hRule="atLeast"/>
        </w:trPr>
        <w:tc>
          <w:tcPr>
            <w:tcW w:w="3984" w:type="dxa"/>
            <w:tcBorders>
              <w:bottom w:val="nil"/>
            </w:tcBorders>
          </w:tcPr>
          <w:p>
            <w:pPr>
              <w:pStyle w:val="TableParagraph"/>
              <w:rPr>
                <w:rFonts w:ascii="Times New Roman"/>
                <w:sz w:val="16"/>
              </w:rPr>
            </w:pPr>
          </w:p>
        </w:tc>
        <w:tc>
          <w:tcPr>
            <w:tcW w:w="2119" w:type="dxa"/>
            <w:tcBorders>
              <w:bottom w:val="nil"/>
            </w:tcBorders>
          </w:tcPr>
          <w:p>
            <w:pPr>
              <w:pStyle w:val="TableParagraph"/>
              <w:spacing w:line="209" w:lineRule="exact"/>
              <w:ind w:left="107"/>
              <w:rPr>
                <w:sz w:val="20"/>
              </w:rPr>
            </w:pPr>
            <w:r>
              <w:rPr>
                <w:rFonts w:ascii="Times New Roman"/>
                <w:i/>
                <w:sz w:val="20"/>
              </w:rPr>
              <w:t>PRE_E</w:t>
            </w:r>
            <w:r>
              <w:rPr>
                <w:sz w:val="20"/>
              </w:rPr>
              <w:t>=1,</w:t>
            </w:r>
          </w:p>
        </w:tc>
        <w:tc>
          <w:tcPr>
            <w:tcW w:w="583" w:type="dxa"/>
            <w:tcBorders>
              <w:bottom w:val="nil"/>
            </w:tcBorders>
          </w:tcPr>
          <w:p>
            <w:pPr>
              <w:pStyle w:val="TableParagraph"/>
              <w:rPr>
                <w:rFonts w:ascii="Times New Roman"/>
                <w:sz w:val="16"/>
              </w:rPr>
            </w:pPr>
          </w:p>
        </w:tc>
        <w:tc>
          <w:tcPr>
            <w:tcW w:w="605" w:type="dxa"/>
            <w:tcBorders>
              <w:bottom w:val="nil"/>
            </w:tcBorders>
          </w:tcPr>
          <w:p>
            <w:pPr>
              <w:pStyle w:val="TableParagraph"/>
              <w:rPr>
                <w:rFonts w:ascii="Times New Roman"/>
                <w:sz w:val="16"/>
              </w:rPr>
            </w:pPr>
          </w:p>
        </w:tc>
        <w:tc>
          <w:tcPr>
            <w:tcW w:w="663" w:type="dxa"/>
            <w:tcBorders>
              <w:bottom w:val="nil"/>
            </w:tcBorders>
          </w:tcPr>
          <w:p>
            <w:pPr>
              <w:pStyle w:val="TableParagraph"/>
              <w:rPr>
                <w:rFonts w:ascii="Times New Roman"/>
                <w:sz w:val="16"/>
              </w:rPr>
            </w:pPr>
          </w:p>
        </w:tc>
        <w:tc>
          <w:tcPr>
            <w:tcW w:w="908" w:type="dxa"/>
            <w:tcBorders>
              <w:bottom w:val="nil"/>
            </w:tcBorders>
          </w:tcPr>
          <w:p>
            <w:pPr>
              <w:pStyle w:val="TableParagraph"/>
              <w:rPr>
                <w:rFonts w:ascii="Times New Roman"/>
                <w:sz w:val="16"/>
              </w:rPr>
            </w:pPr>
          </w:p>
        </w:tc>
      </w:tr>
      <w:tr>
        <w:trPr>
          <w:trHeight w:val="231" w:hRule="atLeast"/>
        </w:trPr>
        <w:tc>
          <w:tcPr>
            <w:tcW w:w="3984" w:type="dxa"/>
            <w:tcBorders>
              <w:top w:val="nil"/>
              <w:bottom w:val="nil"/>
            </w:tcBorders>
          </w:tcPr>
          <w:p>
            <w:pPr>
              <w:pStyle w:val="TableParagraph"/>
              <w:spacing w:line="211" w:lineRule="exact"/>
              <w:ind w:left="107"/>
              <w:rPr>
                <w:sz w:val="20"/>
              </w:rPr>
            </w:pPr>
            <w:r>
              <w:rPr>
                <w:sz w:val="20"/>
              </w:rPr>
              <w:t>Preamp input current</w:t>
            </w:r>
          </w:p>
        </w:tc>
        <w:tc>
          <w:tcPr>
            <w:tcW w:w="2119" w:type="dxa"/>
            <w:tcBorders>
              <w:top w:val="nil"/>
              <w:bottom w:val="nil"/>
            </w:tcBorders>
          </w:tcPr>
          <w:p>
            <w:pPr>
              <w:pStyle w:val="TableParagraph"/>
              <w:spacing w:line="211" w:lineRule="exact"/>
              <w:ind w:left="107"/>
              <w:rPr>
                <w:sz w:val="20"/>
              </w:rPr>
            </w:pPr>
            <w:r>
              <w:rPr>
                <w:rFonts w:ascii="Times New Roman"/>
                <w:i/>
                <w:sz w:val="20"/>
              </w:rPr>
              <w:t>FIR_LEN</w:t>
            </w:r>
            <w:r>
              <w:rPr>
                <w:sz w:val="20"/>
              </w:rPr>
              <w:t>=10,</w:t>
            </w:r>
          </w:p>
        </w:tc>
        <w:tc>
          <w:tcPr>
            <w:tcW w:w="583" w:type="dxa"/>
            <w:tcBorders>
              <w:top w:val="nil"/>
              <w:bottom w:val="nil"/>
            </w:tcBorders>
          </w:tcPr>
          <w:p>
            <w:pPr>
              <w:pStyle w:val="TableParagraph"/>
              <w:rPr>
                <w:rFonts w:ascii="Times New Roman"/>
                <w:sz w:val="16"/>
              </w:rPr>
            </w:pPr>
          </w:p>
        </w:tc>
        <w:tc>
          <w:tcPr>
            <w:tcW w:w="605" w:type="dxa"/>
            <w:tcBorders>
              <w:top w:val="nil"/>
              <w:bottom w:val="nil"/>
            </w:tcBorders>
          </w:tcPr>
          <w:p>
            <w:pPr>
              <w:pStyle w:val="TableParagraph"/>
              <w:rPr>
                <w:rFonts w:ascii="Times New Roman"/>
                <w:sz w:val="16"/>
              </w:rPr>
            </w:pPr>
          </w:p>
        </w:tc>
        <w:tc>
          <w:tcPr>
            <w:tcW w:w="663" w:type="dxa"/>
            <w:tcBorders>
              <w:top w:val="nil"/>
              <w:bottom w:val="nil"/>
            </w:tcBorders>
          </w:tcPr>
          <w:p>
            <w:pPr>
              <w:pStyle w:val="TableParagraph"/>
              <w:rPr>
                <w:rFonts w:ascii="Times New Roman"/>
                <w:sz w:val="16"/>
              </w:rPr>
            </w:pPr>
          </w:p>
        </w:tc>
        <w:tc>
          <w:tcPr>
            <w:tcW w:w="908" w:type="dxa"/>
            <w:tcBorders>
              <w:top w:val="nil"/>
              <w:bottom w:val="nil"/>
            </w:tcBorders>
          </w:tcPr>
          <w:p>
            <w:pPr>
              <w:pStyle w:val="TableParagraph"/>
              <w:rPr>
                <w:rFonts w:ascii="Times New Roman"/>
                <w:sz w:val="16"/>
              </w:rPr>
            </w:pPr>
          </w:p>
        </w:tc>
      </w:tr>
      <w:tr>
        <w:trPr>
          <w:trHeight w:val="231" w:hRule="atLeast"/>
        </w:trPr>
        <w:tc>
          <w:tcPr>
            <w:tcW w:w="3984" w:type="dxa"/>
            <w:tcBorders>
              <w:top w:val="nil"/>
              <w:bottom w:val="nil"/>
            </w:tcBorders>
          </w:tcPr>
          <w:p>
            <w:pPr>
              <w:pStyle w:val="TableParagraph"/>
              <w:spacing w:line="212" w:lineRule="exact"/>
              <w:ind w:left="107"/>
              <w:rPr>
                <w:sz w:val="20"/>
              </w:rPr>
            </w:pPr>
            <w:r>
              <w:rPr>
                <w:sz w:val="20"/>
              </w:rPr>
              <w:t>IADC0</w:t>
            </w:r>
          </w:p>
        </w:tc>
        <w:tc>
          <w:tcPr>
            <w:tcW w:w="2119" w:type="dxa"/>
            <w:tcBorders>
              <w:top w:val="nil"/>
              <w:bottom w:val="nil"/>
            </w:tcBorders>
          </w:tcPr>
          <w:p>
            <w:pPr>
              <w:pStyle w:val="TableParagraph"/>
              <w:spacing w:line="212" w:lineRule="exact"/>
              <w:ind w:left="107"/>
              <w:rPr>
                <w:sz w:val="20"/>
              </w:rPr>
            </w:pPr>
            <w:r>
              <w:rPr>
                <w:rFonts w:ascii="Times New Roman"/>
                <w:i/>
                <w:sz w:val="20"/>
              </w:rPr>
              <w:t>DIFF0_E</w:t>
            </w:r>
            <w:r>
              <w:rPr>
                <w:sz w:val="20"/>
              </w:rPr>
              <w:t>=1</w:t>
            </w:r>
          </w:p>
        </w:tc>
        <w:tc>
          <w:tcPr>
            <w:tcW w:w="583" w:type="dxa"/>
            <w:tcBorders>
              <w:top w:val="nil"/>
              <w:bottom w:val="nil"/>
            </w:tcBorders>
          </w:tcPr>
          <w:p>
            <w:pPr>
              <w:pStyle w:val="TableParagraph"/>
              <w:spacing w:line="212" w:lineRule="exact"/>
              <w:ind w:left="17"/>
              <w:jc w:val="center"/>
              <w:rPr>
                <w:sz w:val="20"/>
              </w:rPr>
            </w:pPr>
            <w:r>
              <w:rPr>
                <w:w w:val="99"/>
                <w:sz w:val="20"/>
              </w:rPr>
              <w:t>4</w:t>
            </w:r>
          </w:p>
        </w:tc>
        <w:tc>
          <w:tcPr>
            <w:tcW w:w="605" w:type="dxa"/>
            <w:tcBorders>
              <w:top w:val="nil"/>
              <w:bottom w:val="nil"/>
            </w:tcBorders>
          </w:tcPr>
          <w:p>
            <w:pPr>
              <w:pStyle w:val="TableParagraph"/>
              <w:spacing w:line="212" w:lineRule="exact"/>
              <w:ind w:left="20"/>
              <w:jc w:val="center"/>
              <w:rPr>
                <w:sz w:val="20"/>
              </w:rPr>
            </w:pPr>
            <w:r>
              <w:rPr>
                <w:w w:val="99"/>
                <w:sz w:val="20"/>
              </w:rPr>
              <w:t>9</w:t>
            </w:r>
          </w:p>
        </w:tc>
        <w:tc>
          <w:tcPr>
            <w:tcW w:w="663" w:type="dxa"/>
            <w:tcBorders>
              <w:top w:val="nil"/>
              <w:bottom w:val="nil"/>
            </w:tcBorders>
          </w:tcPr>
          <w:p>
            <w:pPr>
              <w:pStyle w:val="TableParagraph"/>
              <w:spacing w:line="212" w:lineRule="exact"/>
              <w:ind w:left="83" w:right="69"/>
              <w:jc w:val="center"/>
              <w:rPr>
                <w:sz w:val="20"/>
              </w:rPr>
            </w:pPr>
            <w:r>
              <w:rPr>
                <w:sz w:val="20"/>
              </w:rPr>
              <w:t>16</w:t>
            </w:r>
          </w:p>
        </w:tc>
        <w:tc>
          <w:tcPr>
            <w:tcW w:w="908" w:type="dxa"/>
            <w:tcBorders>
              <w:top w:val="nil"/>
              <w:bottom w:val="nil"/>
            </w:tcBorders>
          </w:tcPr>
          <w:p>
            <w:pPr>
              <w:pStyle w:val="TableParagraph"/>
              <w:spacing w:line="212" w:lineRule="exact"/>
              <w:ind w:left="120" w:right="104"/>
              <w:jc w:val="center"/>
              <w:rPr>
                <w:sz w:val="20"/>
              </w:rPr>
            </w:pPr>
            <w:r>
              <w:rPr>
                <w:sz w:val="20"/>
              </w:rPr>
              <w:t>uA</w:t>
            </w:r>
          </w:p>
        </w:tc>
      </w:tr>
      <w:tr>
        <w:trPr>
          <w:trHeight w:val="230" w:hRule="atLeast"/>
        </w:trPr>
        <w:tc>
          <w:tcPr>
            <w:tcW w:w="3984" w:type="dxa"/>
            <w:tcBorders>
              <w:top w:val="nil"/>
              <w:bottom w:val="nil"/>
            </w:tcBorders>
          </w:tcPr>
          <w:p>
            <w:pPr>
              <w:pStyle w:val="TableParagraph"/>
              <w:spacing w:line="210" w:lineRule="exact"/>
              <w:ind w:left="107"/>
              <w:rPr>
                <w:sz w:val="20"/>
              </w:rPr>
            </w:pPr>
            <w:r>
              <w:rPr>
                <w:sz w:val="20"/>
              </w:rPr>
              <w:t>IADC1</w:t>
            </w:r>
          </w:p>
        </w:tc>
        <w:tc>
          <w:tcPr>
            <w:tcW w:w="2119" w:type="dxa"/>
            <w:tcBorders>
              <w:top w:val="nil"/>
              <w:bottom w:val="nil"/>
            </w:tcBorders>
          </w:tcPr>
          <w:p>
            <w:pPr>
              <w:pStyle w:val="TableParagraph"/>
              <w:spacing w:line="210" w:lineRule="exact"/>
              <w:ind w:left="107"/>
              <w:rPr>
                <w:sz w:val="20"/>
              </w:rPr>
            </w:pPr>
            <w:r>
              <w:rPr>
                <w:sz w:val="20"/>
              </w:rPr>
              <w:t>2520Hz sample rate,</w:t>
            </w:r>
          </w:p>
        </w:tc>
        <w:tc>
          <w:tcPr>
            <w:tcW w:w="583" w:type="dxa"/>
            <w:tcBorders>
              <w:top w:val="nil"/>
              <w:bottom w:val="nil"/>
            </w:tcBorders>
          </w:tcPr>
          <w:p>
            <w:pPr>
              <w:pStyle w:val="TableParagraph"/>
              <w:spacing w:line="210" w:lineRule="exact"/>
              <w:ind w:left="17"/>
              <w:jc w:val="center"/>
              <w:rPr>
                <w:sz w:val="20"/>
              </w:rPr>
            </w:pPr>
            <w:r>
              <w:rPr>
                <w:w w:val="99"/>
                <w:sz w:val="20"/>
              </w:rPr>
              <w:t>4</w:t>
            </w:r>
          </w:p>
        </w:tc>
        <w:tc>
          <w:tcPr>
            <w:tcW w:w="605" w:type="dxa"/>
            <w:tcBorders>
              <w:top w:val="nil"/>
              <w:bottom w:val="nil"/>
            </w:tcBorders>
          </w:tcPr>
          <w:p>
            <w:pPr>
              <w:pStyle w:val="TableParagraph"/>
              <w:spacing w:line="210" w:lineRule="exact"/>
              <w:ind w:left="20"/>
              <w:jc w:val="center"/>
              <w:rPr>
                <w:sz w:val="20"/>
              </w:rPr>
            </w:pPr>
            <w:r>
              <w:rPr>
                <w:w w:val="99"/>
                <w:sz w:val="20"/>
              </w:rPr>
              <w:t>9</w:t>
            </w:r>
          </w:p>
        </w:tc>
        <w:tc>
          <w:tcPr>
            <w:tcW w:w="663" w:type="dxa"/>
            <w:tcBorders>
              <w:top w:val="nil"/>
              <w:bottom w:val="nil"/>
            </w:tcBorders>
          </w:tcPr>
          <w:p>
            <w:pPr>
              <w:pStyle w:val="TableParagraph"/>
              <w:spacing w:line="210" w:lineRule="exact"/>
              <w:ind w:left="83" w:right="69"/>
              <w:jc w:val="center"/>
              <w:rPr>
                <w:sz w:val="20"/>
              </w:rPr>
            </w:pPr>
            <w:r>
              <w:rPr>
                <w:sz w:val="20"/>
              </w:rPr>
              <w:t>16</w:t>
            </w:r>
          </w:p>
        </w:tc>
        <w:tc>
          <w:tcPr>
            <w:tcW w:w="908" w:type="dxa"/>
            <w:tcBorders>
              <w:top w:val="nil"/>
              <w:bottom w:val="nil"/>
            </w:tcBorders>
          </w:tcPr>
          <w:p>
            <w:pPr>
              <w:pStyle w:val="TableParagraph"/>
              <w:spacing w:line="210" w:lineRule="exact"/>
              <w:ind w:left="120" w:right="104"/>
              <w:jc w:val="center"/>
              <w:rPr>
                <w:sz w:val="20"/>
              </w:rPr>
            </w:pPr>
            <w:r>
              <w:rPr>
                <w:sz w:val="20"/>
              </w:rPr>
              <w:t>uA</w:t>
            </w:r>
          </w:p>
        </w:tc>
      </w:tr>
      <w:tr>
        <w:trPr>
          <w:trHeight w:val="229" w:hRule="atLeast"/>
        </w:trPr>
        <w:tc>
          <w:tcPr>
            <w:tcW w:w="3984" w:type="dxa"/>
            <w:tcBorders>
              <w:top w:val="nil"/>
            </w:tcBorders>
          </w:tcPr>
          <w:p>
            <w:pPr>
              <w:pStyle w:val="TableParagraph"/>
              <w:rPr>
                <w:rFonts w:ascii="Times New Roman"/>
                <w:sz w:val="16"/>
              </w:rPr>
            </w:pPr>
          </w:p>
        </w:tc>
        <w:tc>
          <w:tcPr>
            <w:tcW w:w="2119" w:type="dxa"/>
            <w:tcBorders>
              <w:top w:val="nil"/>
            </w:tcBorders>
          </w:tcPr>
          <w:p>
            <w:pPr>
              <w:pStyle w:val="TableParagraph"/>
              <w:spacing w:line="209" w:lineRule="exact"/>
              <w:ind w:left="107"/>
              <w:rPr>
                <w:sz w:val="20"/>
              </w:rPr>
            </w:pPr>
            <w:r>
              <w:rPr>
                <w:sz w:val="20"/>
              </w:rPr>
              <w:t>IADC0=IADC1=V3P3</w:t>
            </w:r>
          </w:p>
        </w:tc>
        <w:tc>
          <w:tcPr>
            <w:tcW w:w="583" w:type="dxa"/>
            <w:tcBorders>
              <w:top w:val="nil"/>
            </w:tcBorders>
          </w:tcPr>
          <w:p>
            <w:pPr>
              <w:pStyle w:val="TableParagraph"/>
              <w:rPr>
                <w:rFonts w:ascii="Times New Roman"/>
                <w:sz w:val="16"/>
              </w:rPr>
            </w:pPr>
          </w:p>
        </w:tc>
        <w:tc>
          <w:tcPr>
            <w:tcW w:w="605" w:type="dxa"/>
            <w:tcBorders>
              <w:top w:val="nil"/>
            </w:tcBorders>
          </w:tcPr>
          <w:p>
            <w:pPr>
              <w:pStyle w:val="TableParagraph"/>
              <w:rPr>
                <w:rFonts w:ascii="Times New Roman"/>
                <w:sz w:val="16"/>
              </w:rPr>
            </w:pPr>
          </w:p>
        </w:tc>
        <w:tc>
          <w:tcPr>
            <w:tcW w:w="663" w:type="dxa"/>
            <w:tcBorders>
              <w:top w:val="nil"/>
            </w:tcBorders>
          </w:tcPr>
          <w:p>
            <w:pPr>
              <w:pStyle w:val="TableParagraph"/>
              <w:rPr>
                <w:rFonts w:ascii="Times New Roman"/>
                <w:sz w:val="16"/>
              </w:rPr>
            </w:pPr>
          </w:p>
        </w:tc>
        <w:tc>
          <w:tcPr>
            <w:tcW w:w="908" w:type="dxa"/>
            <w:tcBorders>
              <w:top w:val="nil"/>
            </w:tcBorders>
          </w:tcPr>
          <w:p>
            <w:pPr>
              <w:pStyle w:val="TableParagraph"/>
              <w:rPr>
                <w:rFonts w:ascii="Times New Roman"/>
                <w:sz w:val="16"/>
              </w:rPr>
            </w:pPr>
          </w:p>
        </w:tc>
      </w:tr>
      <w:tr>
        <w:trPr>
          <w:trHeight w:val="238" w:hRule="atLeast"/>
        </w:trPr>
        <w:tc>
          <w:tcPr>
            <w:tcW w:w="3984" w:type="dxa"/>
            <w:tcBorders>
              <w:bottom w:val="nil"/>
            </w:tcBorders>
          </w:tcPr>
          <w:p>
            <w:pPr>
              <w:pStyle w:val="TableParagraph"/>
              <w:rPr>
                <w:rFonts w:ascii="Times New Roman"/>
                <w:sz w:val="16"/>
              </w:rPr>
            </w:pPr>
          </w:p>
        </w:tc>
        <w:tc>
          <w:tcPr>
            <w:tcW w:w="2119" w:type="dxa"/>
            <w:tcBorders>
              <w:bottom w:val="nil"/>
            </w:tcBorders>
          </w:tcPr>
          <w:p>
            <w:pPr>
              <w:pStyle w:val="TableParagraph"/>
              <w:spacing w:line="218" w:lineRule="exact"/>
              <w:ind w:left="107"/>
              <w:rPr>
                <w:sz w:val="20"/>
              </w:rPr>
            </w:pPr>
            <w:r>
              <w:rPr>
                <w:sz w:val="20"/>
              </w:rPr>
              <w:t>T</w:t>
            </w:r>
            <w:r>
              <w:rPr>
                <w:sz w:val="20"/>
                <w:vertAlign w:val="subscript"/>
              </w:rPr>
              <w:t>A</w:t>
            </w:r>
            <w:r>
              <w:rPr>
                <w:sz w:val="20"/>
                <w:vertAlign w:val="baseline"/>
              </w:rPr>
              <w:t>=25</w:t>
            </w:r>
            <w:r>
              <w:rPr>
                <w:rFonts w:ascii="Calibri" w:hAnsi="Calibri"/>
                <w:sz w:val="20"/>
                <w:vertAlign w:val="baseline"/>
              </w:rPr>
              <w:t>⁰</w:t>
            </w:r>
            <w:r>
              <w:rPr>
                <w:sz w:val="20"/>
                <w:vertAlign w:val="baseline"/>
              </w:rPr>
              <w:t>C,</w:t>
            </w:r>
          </w:p>
        </w:tc>
        <w:tc>
          <w:tcPr>
            <w:tcW w:w="583" w:type="dxa"/>
            <w:vMerge w:val="restart"/>
          </w:tcPr>
          <w:p>
            <w:pPr>
              <w:pStyle w:val="TableParagraph"/>
              <w:rPr>
                <w:rFonts w:ascii="Times New Roman"/>
                <w:sz w:val="18"/>
              </w:rPr>
            </w:pPr>
          </w:p>
        </w:tc>
        <w:tc>
          <w:tcPr>
            <w:tcW w:w="605" w:type="dxa"/>
            <w:tcBorders>
              <w:bottom w:val="nil"/>
            </w:tcBorders>
          </w:tcPr>
          <w:p>
            <w:pPr>
              <w:pStyle w:val="TableParagraph"/>
              <w:rPr>
                <w:rFonts w:ascii="Times New Roman"/>
                <w:sz w:val="16"/>
              </w:rPr>
            </w:pPr>
          </w:p>
        </w:tc>
        <w:tc>
          <w:tcPr>
            <w:tcW w:w="663" w:type="dxa"/>
            <w:vMerge w:val="restart"/>
          </w:tcPr>
          <w:p>
            <w:pPr>
              <w:pStyle w:val="TableParagraph"/>
              <w:rPr>
                <w:rFonts w:ascii="Times New Roman"/>
                <w:sz w:val="18"/>
              </w:rPr>
            </w:pPr>
          </w:p>
        </w:tc>
        <w:tc>
          <w:tcPr>
            <w:tcW w:w="908" w:type="dxa"/>
            <w:tcBorders>
              <w:bottom w:val="nil"/>
            </w:tcBorders>
          </w:tcPr>
          <w:p>
            <w:pPr>
              <w:pStyle w:val="TableParagraph"/>
              <w:rPr>
                <w:rFonts w:ascii="Times New Roman"/>
                <w:sz w:val="16"/>
              </w:rPr>
            </w:pPr>
          </w:p>
        </w:tc>
      </w:tr>
      <w:tr>
        <w:trPr>
          <w:trHeight w:val="898" w:hRule="atLeast"/>
        </w:trPr>
        <w:tc>
          <w:tcPr>
            <w:tcW w:w="3984" w:type="dxa"/>
            <w:tcBorders>
              <w:top w:val="nil"/>
              <w:bottom w:val="nil"/>
            </w:tcBorders>
          </w:tcPr>
          <w:p>
            <w:pPr>
              <w:pStyle w:val="TableParagraph"/>
              <w:spacing w:before="93"/>
              <w:ind w:left="107" w:right="1514"/>
              <w:rPr>
                <w:sz w:val="20"/>
              </w:rPr>
            </w:pPr>
            <w:r>
              <w:rPr>
                <w:sz w:val="20"/>
              </w:rPr>
              <w:t>Preamp+ADC THD Vin=30mV differential Vin=15mV differential</w:t>
            </w:r>
          </w:p>
        </w:tc>
        <w:tc>
          <w:tcPr>
            <w:tcW w:w="2119" w:type="dxa"/>
            <w:tcBorders>
              <w:top w:val="nil"/>
              <w:bottom w:val="nil"/>
            </w:tcBorders>
          </w:tcPr>
          <w:p>
            <w:pPr>
              <w:pStyle w:val="TableParagraph"/>
              <w:spacing w:line="212" w:lineRule="exact"/>
              <w:ind w:left="107"/>
              <w:rPr>
                <w:sz w:val="20"/>
              </w:rPr>
            </w:pPr>
            <w:r>
              <w:rPr>
                <w:sz w:val="20"/>
              </w:rPr>
              <w:t>V3P3=3.3 V,</w:t>
            </w:r>
          </w:p>
          <w:p>
            <w:pPr>
              <w:pStyle w:val="TableParagraph"/>
              <w:spacing w:line="230" w:lineRule="exact" w:before="2"/>
              <w:ind w:left="107" w:right="910"/>
              <w:rPr>
                <w:sz w:val="20"/>
              </w:rPr>
            </w:pPr>
            <w:r>
              <w:rPr>
                <w:rFonts w:ascii="Times New Roman"/>
                <w:i/>
                <w:sz w:val="20"/>
              </w:rPr>
              <w:t>PRE_E</w:t>
            </w:r>
            <w:r>
              <w:rPr>
                <w:sz w:val="20"/>
              </w:rPr>
              <w:t>=1, </w:t>
            </w:r>
            <w:r>
              <w:rPr>
                <w:rFonts w:ascii="Times New Roman"/>
                <w:i/>
                <w:w w:val="95"/>
                <w:sz w:val="20"/>
              </w:rPr>
              <w:t>FIR_LEN</w:t>
            </w:r>
            <w:r>
              <w:rPr>
                <w:w w:val="95"/>
                <w:sz w:val="20"/>
              </w:rPr>
              <w:t>=2, </w:t>
            </w:r>
            <w:r>
              <w:rPr>
                <w:rFonts w:ascii="Times New Roman"/>
                <w:i/>
                <w:sz w:val="20"/>
              </w:rPr>
              <w:t>DIFF0_E</w:t>
            </w:r>
            <w:r>
              <w:rPr>
                <w:sz w:val="20"/>
              </w:rPr>
              <w:t>=1,</w:t>
            </w:r>
          </w:p>
        </w:tc>
        <w:tc>
          <w:tcPr>
            <w:tcW w:w="583" w:type="dxa"/>
            <w:vMerge/>
            <w:tcBorders>
              <w:top w:val="nil"/>
            </w:tcBorders>
          </w:tcPr>
          <w:p>
            <w:pPr>
              <w:rPr>
                <w:sz w:val="2"/>
                <w:szCs w:val="2"/>
              </w:rPr>
            </w:pPr>
          </w:p>
        </w:tc>
        <w:tc>
          <w:tcPr>
            <w:tcW w:w="605" w:type="dxa"/>
            <w:tcBorders>
              <w:top w:val="nil"/>
              <w:bottom w:val="nil"/>
            </w:tcBorders>
          </w:tcPr>
          <w:p>
            <w:pPr>
              <w:pStyle w:val="TableParagraph"/>
              <w:spacing w:before="2"/>
              <w:rPr>
                <w:b/>
                <w:sz w:val="28"/>
              </w:rPr>
            </w:pPr>
          </w:p>
          <w:p>
            <w:pPr>
              <w:pStyle w:val="TableParagraph"/>
              <w:spacing w:line="229" w:lineRule="exact"/>
              <w:ind w:left="158"/>
              <w:rPr>
                <w:sz w:val="20"/>
              </w:rPr>
            </w:pPr>
            <w:r>
              <w:rPr>
                <w:sz w:val="20"/>
              </w:rPr>
              <w:t>-82</w:t>
            </w:r>
          </w:p>
          <w:p>
            <w:pPr>
              <w:pStyle w:val="TableParagraph"/>
              <w:spacing w:line="229" w:lineRule="exact"/>
              <w:ind w:left="158"/>
              <w:rPr>
                <w:sz w:val="20"/>
              </w:rPr>
            </w:pPr>
            <w:r>
              <w:rPr>
                <w:sz w:val="20"/>
              </w:rPr>
              <w:t>-86</w:t>
            </w:r>
          </w:p>
        </w:tc>
        <w:tc>
          <w:tcPr>
            <w:tcW w:w="663" w:type="dxa"/>
            <w:vMerge/>
            <w:tcBorders>
              <w:top w:val="nil"/>
            </w:tcBorders>
          </w:tcPr>
          <w:p>
            <w:pPr>
              <w:rPr>
                <w:sz w:val="2"/>
                <w:szCs w:val="2"/>
              </w:rPr>
            </w:pPr>
          </w:p>
        </w:tc>
        <w:tc>
          <w:tcPr>
            <w:tcW w:w="908" w:type="dxa"/>
            <w:tcBorders>
              <w:top w:val="nil"/>
              <w:bottom w:val="nil"/>
            </w:tcBorders>
          </w:tcPr>
          <w:p>
            <w:pPr>
              <w:pStyle w:val="TableParagraph"/>
              <w:spacing w:before="2"/>
              <w:rPr>
                <w:b/>
                <w:sz w:val="28"/>
              </w:rPr>
            </w:pPr>
          </w:p>
          <w:p>
            <w:pPr>
              <w:pStyle w:val="TableParagraph"/>
              <w:ind w:left="330" w:right="312"/>
              <w:jc w:val="center"/>
              <w:rPr>
                <w:sz w:val="20"/>
              </w:rPr>
            </w:pPr>
            <w:r>
              <w:rPr>
                <w:sz w:val="20"/>
              </w:rPr>
              <w:t>dB</w:t>
            </w:r>
            <w:r>
              <w:rPr>
                <w:w w:val="99"/>
                <w:sz w:val="20"/>
              </w:rPr>
              <w:t> </w:t>
            </w:r>
            <w:r>
              <w:rPr>
                <w:sz w:val="20"/>
              </w:rPr>
              <w:t>dB</w:t>
            </w:r>
          </w:p>
        </w:tc>
      </w:tr>
      <w:tr>
        <w:trPr>
          <w:trHeight w:val="212" w:hRule="atLeast"/>
        </w:trPr>
        <w:tc>
          <w:tcPr>
            <w:tcW w:w="3984" w:type="dxa"/>
            <w:tcBorders>
              <w:top w:val="nil"/>
            </w:tcBorders>
          </w:tcPr>
          <w:p>
            <w:pPr>
              <w:pStyle w:val="TableParagraph"/>
              <w:rPr>
                <w:rFonts w:ascii="Times New Roman"/>
                <w:sz w:val="14"/>
              </w:rPr>
            </w:pPr>
          </w:p>
        </w:tc>
        <w:tc>
          <w:tcPr>
            <w:tcW w:w="2119" w:type="dxa"/>
            <w:tcBorders>
              <w:top w:val="nil"/>
            </w:tcBorders>
          </w:tcPr>
          <w:p>
            <w:pPr>
              <w:pStyle w:val="TableParagraph"/>
              <w:spacing w:line="193" w:lineRule="exact"/>
              <w:ind w:left="107"/>
              <w:rPr>
                <w:sz w:val="20"/>
              </w:rPr>
            </w:pPr>
            <w:r>
              <w:rPr>
                <w:sz w:val="20"/>
              </w:rPr>
              <w:t>2520Hz sample rate.</w:t>
            </w:r>
          </w:p>
        </w:tc>
        <w:tc>
          <w:tcPr>
            <w:tcW w:w="583" w:type="dxa"/>
            <w:vMerge/>
            <w:tcBorders>
              <w:top w:val="nil"/>
            </w:tcBorders>
          </w:tcPr>
          <w:p>
            <w:pPr>
              <w:rPr>
                <w:sz w:val="2"/>
                <w:szCs w:val="2"/>
              </w:rPr>
            </w:pPr>
          </w:p>
        </w:tc>
        <w:tc>
          <w:tcPr>
            <w:tcW w:w="605" w:type="dxa"/>
            <w:tcBorders>
              <w:top w:val="nil"/>
            </w:tcBorders>
          </w:tcPr>
          <w:p>
            <w:pPr>
              <w:pStyle w:val="TableParagraph"/>
              <w:rPr>
                <w:rFonts w:ascii="Times New Roman"/>
                <w:sz w:val="14"/>
              </w:rPr>
            </w:pPr>
          </w:p>
        </w:tc>
        <w:tc>
          <w:tcPr>
            <w:tcW w:w="663" w:type="dxa"/>
            <w:vMerge/>
            <w:tcBorders>
              <w:top w:val="nil"/>
            </w:tcBorders>
          </w:tcPr>
          <w:p>
            <w:pPr>
              <w:rPr>
                <w:sz w:val="2"/>
                <w:szCs w:val="2"/>
              </w:rPr>
            </w:pPr>
          </w:p>
        </w:tc>
        <w:tc>
          <w:tcPr>
            <w:tcW w:w="908" w:type="dxa"/>
            <w:tcBorders>
              <w:top w:val="nil"/>
            </w:tcBorders>
          </w:tcPr>
          <w:p>
            <w:pPr>
              <w:pStyle w:val="TableParagraph"/>
              <w:rPr>
                <w:rFonts w:ascii="Times New Roman"/>
                <w:sz w:val="14"/>
              </w:rPr>
            </w:pPr>
          </w:p>
        </w:tc>
      </w:tr>
      <w:tr>
        <w:trPr>
          <w:trHeight w:val="235" w:hRule="atLeast"/>
        </w:trPr>
        <w:tc>
          <w:tcPr>
            <w:tcW w:w="3984" w:type="dxa"/>
            <w:tcBorders>
              <w:bottom w:val="nil"/>
            </w:tcBorders>
          </w:tcPr>
          <w:p>
            <w:pPr>
              <w:pStyle w:val="TableParagraph"/>
              <w:spacing w:line="209" w:lineRule="exact" w:before="6"/>
              <w:ind w:left="107"/>
              <w:rPr>
                <w:sz w:val="20"/>
              </w:rPr>
            </w:pPr>
            <w:r>
              <w:rPr>
                <w:sz w:val="20"/>
              </w:rPr>
              <w:t>Preamp Offset</w:t>
            </w:r>
          </w:p>
        </w:tc>
        <w:tc>
          <w:tcPr>
            <w:tcW w:w="2119" w:type="dxa"/>
            <w:tcBorders>
              <w:bottom w:val="nil"/>
            </w:tcBorders>
          </w:tcPr>
          <w:p>
            <w:pPr>
              <w:pStyle w:val="TableParagraph"/>
              <w:spacing w:line="215" w:lineRule="exact" w:before="1"/>
              <w:ind w:left="107"/>
              <w:rPr>
                <w:sz w:val="20"/>
              </w:rPr>
            </w:pPr>
            <w:r>
              <w:rPr>
                <w:sz w:val="20"/>
              </w:rPr>
              <w:t>T</w:t>
            </w:r>
            <w:r>
              <w:rPr>
                <w:sz w:val="20"/>
                <w:vertAlign w:val="subscript"/>
              </w:rPr>
              <w:t>A</w:t>
            </w:r>
            <w:r>
              <w:rPr>
                <w:sz w:val="20"/>
                <w:vertAlign w:val="baseline"/>
              </w:rPr>
              <w:t>=25</w:t>
            </w:r>
            <w:r>
              <w:rPr>
                <w:rFonts w:ascii="Calibri" w:hAnsi="Calibri"/>
                <w:sz w:val="20"/>
                <w:vertAlign w:val="baseline"/>
              </w:rPr>
              <w:t>⁰</w:t>
            </w:r>
            <w:r>
              <w:rPr>
                <w:sz w:val="20"/>
                <w:vertAlign w:val="baseline"/>
              </w:rPr>
              <w:t>C,</w:t>
            </w:r>
          </w:p>
        </w:tc>
        <w:tc>
          <w:tcPr>
            <w:tcW w:w="583" w:type="dxa"/>
            <w:vMerge w:val="restart"/>
          </w:tcPr>
          <w:p>
            <w:pPr>
              <w:pStyle w:val="TableParagraph"/>
              <w:rPr>
                <w:rFonts w:ascii="Times New Roman"/>
                <w:sz w:val="18"/>
              </w:rPr>
            </w:pPr>
          </w:p>
        </w:tc>
        <w:tc>
          <w:tcPr>
            <w:tcW w:w="605" w:type="dxa"/>
            <w:tcBorders>
              <w:bottom w:val="nil"/>
            </w:tcBorders>
          </w:tcPr>
          <w:p>
            <w:pPr>
              <w:pStyle w:val="TableParagraph"/>
              <w:rPr>
                <w:rFonts w:ascii="Times New Roman"/>
                <w:sz w:val="16"/>
              </w:rPr>
            </w:pPr>
          </w:p>
        </w:tc>
        <w:tc>
          <w:tcPr>
            <w:tcW w:w="663" w:type="dxa"/>
            <w:vMerge w:val="restart"/>
          </w:tcPr>
          <w:p>
            <w:pPr>
              <w:pStyle w:val="TableParagraph"/>
              <w:rPr>
                <w:rFonts w:ascii="Times New Roman"/>
                <w:sz w:val="18"/>
              </w:rPr>
            </w:pPr>
          </w:p>
        </w:tc>
        <w:tc>
          <w:tcPr>
            <w:tcW w:w="908" w:type="dxa"/>
            <w:tcBorders>
              <w:bottom w:val="nil"/>
            </w:tcBorders>
          </w:tcPr>
          <w:p>
            <w:pPr>
              <w:pStyle w:val="TableParagraph"/>
              <w:rPr>
                <w:rFonts w:ascii="Times New Roman"/>
                <w:sz w:val="16"/>
              </w:rPr>
            </w:pPr>
          </w:p>
        </w:tc>
      </w:tr>
      <w:tr>
        <w:trPr>
          <w:trHeight w:val="207" w:hRule="atLeast"/>
        </w:trPr>
        <w:tc>
          <w:tcPr>
            <w:tcW w:w="3984" w:type="dxa"/>
            <w:tcBorders>
              <w:top w:val="nil"/>
              <w:bottom w:val="nil"/>
            </w:tcBorders>
          </w:tcPr>
          <w:p>
            <w:pPr>
              <w:pStyle w:val="TableParagraph"/>
              <w:spacing w:line="187" w:lineRule="exact"/>
              <w:ind w:left="107"/>
              <w:rPr>
                <w:sz w:val="20"/>
              </w:rPr>
            </w:pPr>
            <w:r>
              <w:rPr>
                <w:sz w:val="20"/>
              </w:rPr>
              <w:t>IADC0=IADC1=V3P3+30mV</w:t>
            </w:r>
          </w:p>
        </w:tc>
        <w:tc>
          <w:tcPr>
            <w:tcW w:w="2119" w:type="dxa"/>
            <w:tcBorders>
              <w:top w:val="nil"/>
              <w:bottom w:val="nil"/>
            </w:tcBorders>
          </w:tcPr>
          <w:p>
            <w:pPr>
              <w:pStyle w:val="TableParagraph"/>
              <w:spacing w:line="187" w:lineRule="exact"/>
              <w:ind w:left="107"/>
              <w:rPr>
                <w:sz w:val="20"/>
              </w:rPr>
            </w:pPr>
            <w:r>
              <w:rPr>
                <w:sz w:val="20"/>
              </w:rPr>
              <w:t>V3P3=3.3 V,</w:t>
            </w:r>
          </w:p>
        </w:tc>
        <w:tc>
          <w:tcPr>
            <w:tcW w:w="583" w:type="dxa"/>
            <w:vMerge/>
            <w:tcBorders>
              <w:top w:val="nil"/>
            </w:tcBorders>
          </w:tcPr>
          <w:p>
            <w:pPr>
              <w:rPr>
                <w:sz w:val="2"/>
                <w:szCs w:val="2"/>
              </w:rPr>
            </w:pPr>
          </w:p>
        </w:tc>
        <w:tc>
          <w:tcPr>
            <w:tcW w:w="605" w:type="dxa"/>
            <w:tcBorders>
              <w:top w:val="nil"/>
              <w:bottom w:val="nil"/>
            </w:tcBorders>
          </w:tcPr>
          <w:p>
            <w:pPr>
              <w:pStyle w:val="TableParagraph"/>
              <w:spacing w:line="187" w:lineRule="exact"/>
              <w:ind w:right="55"/>
              <w:jc w:val="right"/>
              <w:rPr>
                <w:sz w:val="20"/>
              </w:rPr>
            </w:pPr>
            <w:r>
              <w:rPr>
                <w:w w:val="95"/>
                <w:sz w:val="20"/>
              </w:rPr>
              <w:t>-0.63</w:t>
            </w:r>
          </w:p>
        </w:tc>
        <w:tc>
          <w:tcPr>
            <w:tcW w:w="663" w:type="dxa"/>
            <w:vMerge/>
            <w:tcBorders>
              <w:top w:val="nil"/>
            </w:tcBorders>
          </w:tcPr>
          <w:p>
            <w:pPr>
              <w:rPr>
                <w:sz w:val="2"/>
                <w:szCs w:val="2"/>
              </w:rPr>
            </w:pPr>
          </w:p>
        </w:tc>
        <w:tc>
          <w:tcPr>
            <w:tcW w:w="908" w:type="dxa"/>
            <w:tcBorders>
              <w:top w:val="nil"/>
              <w:bottom w:val="nil"/>
            </w:tcBorders>
          </w:tcPr>
          <w:p>
            <w:pPr>
              <w:pStyle w:val="TableParagraph"/>
              <w:spacing w:line="187" w:lineRule="exact"/>
              <w:ind w:left="120" w:right="98"/>
              <w:jc w:val="center"/>
              <w:rPr>
                <w:sz w:val="20"/>
              </w:rPr>
            </w:pPr>
            <w:r>
              <w:rPr>
                <w:sz w:val="20"/>
              </w:rPr>
              <w:t>mV</w:t>
            </w:r>
          </w:p>
        </w:tc>
      </w:tr>
      <w:tr>
        <w:trPr>
          <w:trHeight w:val="209" w:hRule="atLeast"/>
        </w:trPr>
        <w:tc>
          <w:tcPr>
            <w:tcW w:w="3984" w:type="dxa"/>
            <w:tcBorders>
              <w:top w:val="nil"/>
              <w:bottom w:val="nil"/>
            </w:tcBorders>
          </w:tcPr>
          <w:p>
            <w:pPr>
              <w:pStyle w:val="TableParagraph"/>
              <w:spacing w:line="190" w:lineRule="exact"/>
              <w:ind w:left="107"/>
              <w:rPr>
                <w:sz w:val="20"/>
              </w:rPr>
            </w:pPr>
            <w:r>
              <w:rPr>
                <w:sz w:val="20"/>
              </w:rPr>
              <w:t>IADC0=IADC1= V3P3+15mV</w:t>
            </w:r>
          </w:p>
        </w:tc>
        <w:tc>
          <w:tcPr>
            <w:tcW w:w="2119" w:type="dxa"/>
            <w:tcBorders>
              <w:top w:val="nil"/>
              <w:bottom w:val="nil"/>
            </w:tcBorders>
          </w:tcPr>
          <w:p>
            <w:pPr>
              <w:pStyle w:val="TableParagraph"/>
              <w:spacing w:line="190" w:lineRule="exact"/>
              <w:ind w:left="107"/>
              <w:rPr>
                <w:sz w:val="20"/>
              </w:rPr>
            </w:pPr>
            <w:r>
              <w:rPr>
                <w:rFonts w:ascii="Times New Roman"/>
                <w:i/>
                <w:sz w:val="20"/>
              </w:rPr>
              <w:t>PRE_E</w:t>
            </w:r>
            <w:r>
              <w:rPr>
                <w:sz w:val="20"/>
              </w:rPr>
              <w:t>=1,</w:t>
            </w:r>
          </w:p>
        </w:tc>
        <w:tc>
          <w:tcPr>
            <w:tcW w:w="583" w:type="dxa"/>
            <w:vMerge/>
            <w:tcBorders>
              <w:top w:val="nil"/>
            </w:tcBorders>
          </w:tcPr>
          <w:p>
            <w:pPr>
              <w:rPr>
                <w:sz w:val="2"/>
                <w:szCs w:val="2"/>
              </w:rPr>
            </w:pPr>
          </w:p>
        </w:tc>
        <w:tc>
          <w:tcPr>
            <w:tcW w:w="605" w:type="dxa"/>
            <w:tcBorders>
              <w:top w:val="nil"/>
              <w:bottom w:val="nil"/>
            </w:tcBorders>
          </w:tcPr>
          <w:p>
            <w:pPr>
              <w:pStyle w:val="TableParagraph"/>
              <w:spacing w:line="190" w:lineRule="exact"/>
              <w:ind w:right="55"/>
              <w:jc w:val="right"/>
              <w:rPr>
                <w:sz w:val="20"/>
              </w:rPr>
            </w:pPr>
            <w:r>
              <w:rPr>
                <w:w w:val="95"/>
                <w:sz w:val="20"/>
              </w:rPr>
              <w:t>-0.57</w:t>
            </w:r>
          </w:p>
        </w:tc>
        <w:tc>
          <w:tcPr>
            <w:tcW w:w="663" w:type="dxa"/>
            <w:vMerge/>
            <w:tcBorders>
              <w:top w:val="nil"/>
            </w:tcBorders>
          </w:tcPr>
          <w:p>
            <w:pPr>
              <w:rPr>
                <w:sz w:val="2"/>
                <w:szCs w:val="2"/>
              </w:rPr>
            </w:pPr>
          </w:p>
        </w:tc>
        <w:tc>
          <w:tcPr>
            <w:tcW w:w="908" w:type="dxa"/>
            <w:tcBorders>
              <w:top w:val="nil"/>
              <w:bottom w:val="nil"/>
            </w:tcBorders>
          </w:tcPr>
          <w:p>
            <w:pPr>
              <w:pStyle w:val="TableParagraph"/>
              <w:spacing w:line="190" w:lineRule="exact"/>
              <w:ind w:left="120" w:right="98"/>
              <w:jc w:val="center"/>
              <w:rPr>
                <w:sz w:val="20"/>
              </w:rPr>
            </w:pPr>
            <w:r>
              <w:rPr>
                <w:sz w:val="20"/>
              </w:rPr>
              <w:t>mV</w:t>
            </w:r>
          </w:p>
        </w:tc>
      </w:tr>
      <w:tr>
        <w:trPr>
          <w:trHeight w:val="211" w:hRule="atLeast"/>
        </w:trPr>
        <w:tc>
          <w:tcPr>
            <w:tcW w:w="3984" w:type="dxa"/>
            <w:tcBorders>
              <w:top w:val="nil"/>
              <w:bottom w:val="nil"/>
            </w:tcBorders>
          </w:tcPr>
          <w:p>
            <w:pPr>
              <w:pStyle w:val="TableParagraph"/>
              <w:spacing w:line="192" w:lineRule="exact"/>
              <w:ind w:left="107"/>
              <w:rPr>
                <w:sz w:val="20"/>
              </w:rPr>
            </w:pPr>
            <w:r>
              <w:rPr>
                <w:sz w:val="20"/>
              </w:rPr>
              <w:t>IADC0=IADC1= V3P3</w:t>
            </w:r>
          </w:p>
        </w:tc>
        <w:tc>
          <w:tcPr>
            <w:tcW w:w="2119" w:type="dxa"/>
            <w:tcBorders>
              <w:top w:val="nil"/>
              <w:bottom w:val="nil"/>
            </w:tcBorders>
          </w:tcPr>
          <w:p>
            <w:pPr>
              <w:pStyle w:val="TableParagraph"/>
              <w:spacing w:line="192" w:lineRule="exact"/>
              <w:ind w:left="107"/>
              <w:rPr>
                <w:sz w:val="20"/>
              </w:rPr>
            </w:pPr>
            <w:r>
              <w:rPr>
                <w:rFonts w:ascii="Times New Roman"/>
                <w:i/>
                <w:sz w:val="20"/>
              </w:rPr>
              <w:t>FIR_LEN</w:t>
            </w:r>
            <w:r>
              <w:rPr>
                <w:sz w:val="20"/>
              </w:rPr>
              <w:t>=10,</w:t>
            </w:r>
          </w:p>
        </w:tc>
        <w:tc>
          <w:tcPr>
            <w:tcW w:w="583" w:type="dxa"/>
            <w:vMerge/>
            <w:tcBorders>
              <w:top w:val="nil"/>
            </w:tcBorders>
          </w:tcPr>
          <w:p>
            <w:pPr>
              <w:rPr>
                <w:sz w:val="2"/>
                <w:szCs w:val="2"/>
              </w:rPr>
            </w:pPr>
          </w:p>
        </w:tc>
        <w:tc>
          <w:tcPr>
            <w:tcW w:w="605" w:type="dxa"/>
            <w:tcBorders>
              <w:top w:val="nil"/>
              <w:bottom w:val="nil"/>
            </w:tcBorders>
          </w:tcPr>
          <w:p>
            <w:pPr>
              <w:pStyle w:val="TableParagraph"/>
              <w:spacing w:line="192" w:lineRule="exact"/>
              <w:ind w:right="55"/>
              <w:jc w:val="right"/>
              <w:rPr>
                <w:sz w:val="20"/>
              </w:rPr>
            </w:pPr>
            <w:r>
              <w:rPr>
                <w:w w:val="95"/>
                <w:sz w:val="20"/>
              </w:rPr>
              <w:t>-0.56</w:t>
            </w:r>
          </w:p>
        </w:tc>
        <w:tc>
          <w:tcPr>
            <w:tcW w:w="663" w:type="dxa"/>
            <w:vMerge/>
            <w:tcBorders>
              <w:top w:val="nil"/>
            </w:tcBorders>
          </w:tcPr>
          <w:p>
            <w:pPr>
              <w:rPr>
                <w:sz w:val="2"/>
                <w:szCs w:val="2"/>
              </w:rPr>
            </w:pPr>
          </w:p>
        </w:tc>
        <w:tc>
          <w:tcPr>
            <w:tcW w:w="908" w:type="dxa"/>
            <w:tcBorders>
              <w:top w:val="nil"/>
              <w:bottom w:val="nil"/>
            </w:tcBorders>
          </w:tcPr>
          <w:p>
            <w:pPr>
              <w:pStyle w:val="TableParagraph"/>
              <w:spacing w:line="192" w:lineRule="exact"/>
              <w:ind w:left="120" w:right="98"/>
              <w:jc w:val="center"/>
              <w:rPr>
                <w:sz w:val="20"/>
              </w:rPr>
            </w:pPr>
            <w:r>
              <w:rPr>
                <w:sz w:val="20"/>
              </w:rPr>
              <w:t>mV</w:t>
            </w:r>
          </w:p>
        </w:tc>
      </w:tr>
      <w:tr>
        <w:trPr>
          <w:trHeight w:val="209" w:hRule="atLeast"/>
        </w:trPr>
        <w:tc>
          <w:tcPr>
            <w:tcW w:w="3984" w:type="dxa"/>
            <w:tcBorders>
              <w:top w:val="nil"/>
              <w:bottom w:val="nil"/>
            </w:tcBorders>
          </w:tcPr>
          <w:p>
            <w:pPr>
              <w:pStyle w:val="TableParagraph"/>
              <w:spacing w:line="189" w:lineRule="exact"/>
              <w:ind w:left="107"/>
              <w:rPr>
                <w:sz w:val="20"/>
              </w:rPr>
            </w:pPr>
            <w:r>
              <w:rPr>
                <w:sz w:val="20"/>
              </w:rPr>
              <w:t>IADC0=IADC1= V3P3-15mV</w:t>
            </w:r>
          </w:p>
        </w:tc>
        <w:tc>
          <w:tcPr>
            <w:tcW w:w="2119" w:type="dxa"/>
            <w:tcBorders>
              <w:top w:val="nil"/>
              <w:bottom w:val="nil"/>
            </w:tcBorders>
          </w:tcPr>
          <w:p>
            <w:pPr>
              <w:pStyle w:val="TableParagraph"/>
              <w:spacing w:line="189" w:lineRule="exact"/>
              <w:ind w:left="107"/>
              <w:rPr>
                <w:sz w:val="20"/>
              </w:rPr>
            </w:pPr>
            <w:r>
              <w:rPr>
                <w:rFonts w:ascii="Times New Roman"/>
                <w:i/>
                <w:sz w:val="20"/>
              </w:rPr>
              <w:t>DIFF0_E</w:t>
            </w:r>
            <w:r>
              <w:rPr>
                <w:sz w:val="20"/>
              </w:rPr>
              <w:t>=1,</w:t>
            </w:r>
          </w:p>
        </w:tc>
        <w:tc>
          <w:tcPr>
            <w:tcW w:w="583" w:type="dxa"/>
            <w:vMerge/>
            <w:tcBorders>
              <w:top w:val="nil"/>
            </w:tcBorders>
          </w:tcPr>
          <w:p>
            <w:pPr>
              <w:rPr>
                <w:sz w:val="2"/>
                <w:szCs w:val="2"/>
              </w:rPr>
            </w:pPr>
          </w:p>
        </w:tc>
        <w:tc>
          <w:tcPr>
            <w:tcW w:w="605" w:type="dxa"/>
            <w:tcBorders>
              <w:top w:val="nil"/>
              <w:bottom w:val="nil"/>
            </w:tcBorders>
          </w:tcPr>
          <w:p>
            <w:pPr>
              <w:pStyle w:val="TableParagraph"/>
              <w:spacing w:line="189" w:lineRule="exact"/>
              <w:ind w:right="55"/>
              <w:jc w:val="right"/>
              <w:rPr>
                <w:sz w:val="20"/>
              </w:rPr>
            </w:pPr>
            <w:r>
              <w:rPr>
                <w:w w:val="95"/>
                <w:sz w:val="20"/>
              </w:rPr>
              <w:t>-0.56</w:t>
            </w:r>
          </w:p>
        </w:tc>
        <w:tc>
          <w:tcPr>
            <w:tcW w:w="663" w:type="dxa"/>
            <w:vMerge/>
            <w:tcBorders>
              <w:top w:val="nil"/>
            </w:tcBorders>
          </w:tcPr>
          <w:p>
            <w:pPr>
              <w:rPr>
                <w:sz w:val="2"/>
                <w:szCs w:val="2"/>
              </w:rPr>
            </w:pPr>
          </w:p>
        </w:tc>
        <w:tc>
          <w:tcPr>
            <w:tcW w:w="908" w:type="dxa"/>
            <w:tcBorders>
              <w:top w:val="nil"/>
              <w:bottom w:val="nil"/>
            </w:tcBorders>
          </w:tcPr>
          <w:p>
            <w:pPr>
              <w:pStyle w:val="TableParagraph"/>
              <w:spacing w:line="189" w:lineRule="exact"/>
              <w:ind w:left="120" w:right="98"/>
              <w:jc w:val="center"/>
              <w:rPr>
                <w:sz w:val="20"/>
              </w:rPr>
            </w:pPr>
            <w:r>
              <w:rPr>
                <w:sz w:val="20"/>
              </w:rPr>
              <w:t>mV</w:t>
            </w:r>
          </w:p>
        </w:tc>
      </w:tr>
      <w:tr>
        <w:trPr>
          <w:trHeight w:val="224" w:hRule="atLeast"/>
        </w:trPr>
        <w:tc>
          <w:tcPr>
            <w:tcW w:w="3984" w:type="dxa"/>
            <w:tcBorders>
              <w:top w:val="nil"/>
            </w:tcBorders>
          </w:tcPr>
          <w:p>
            <w:pPr>
              <w:pStyle w:val="TableParagraph"/>
              <w:spacing w:line="205" w:lineRule="exact"/>
              <w:ind w:left="107"/>
              <w:rPr>
                <w:sz w:val="20"/>
              </w:rPr>
            </w:pPr>
            <w:r>
              <w:rPr>
                <w:sz w:val="20"/>
              </w:rPr>
              <w:t>IADC0=IADC1= V3P3-30mV</w:t>
            </w:r>
          </w:p>
        </w:tc>
        <w:tc>
          <w:tcPr>
            <w:tcW w:w="2119" w:type="dxa"/>
            <w:tcBorders>
              <w:top w:val="nil"/>
            </w:tcBorders>
          </w:tcPr>
          <w:p>
            <w:pPr>
              <w:pStyle w:val="TableParagraph"/>
              <w:spacing w:line="205" w:lineRule="exact"/>
              <w:ind w:left="107"/>
              <w:rPr>
                <w:sz w:val="20"/>
              </w:rPr>
            </w:pPr>
            <w:r>
              <w:rPr>
                <w:sz w:val="20"/>
              </w:rPr>
              <w:t>2520Hz sample rate</w:t>
            </w:r>
          </w:p>
        </w:tc>
        <w:tc>
          <w:tcPr>
            <w:tcW w:w="583" w:type="dxa"/>
            <w:vMerge/>
            <w:tcBorders>
              <w:top w:val="nil"/>
            </w:tcBorders>
          </w:tcPr>
          <w:p>
            <w:pPr>
              <w:rPr>
                <w:sz w:val="2"/>
                <w:szCs w:val="2"/>
              </w:rPr>
            </w:pPr>
          </w:p>
        </w:tc>
        <w:tc>
          <w:tcPr>
            <w:tcW w:w="605" w:type="dxa"/>
            <w:tcBorders>
              <w:top w:val="nil"/>
            </w:tcBorders>
          </w:tcPr>
          <w:p>
            <w:pPr>
              <w:pStyle w:val="TableParagraph"/>
              <w:spacing w:line="205" w:lineRule="exact"/>
              <w:ind w:right="55"/>
              <w:jc w:val="right"/>
              <w:rPr>
                <w:sz w:val="20"/>
              </w:rPr>
            </w:pPr>
            <w:r>
              <w:rPr>
                <w:w w:val="95"/>
                <w:sz w:val="20"/>
              </w:rPr>
              <w:t>-0.55</w:t>
            </w:r>
          </w:p>
        </w:tc>
        <w:tc>
          <w:tcPr>
            <w:tcW w:w="663" w:type="dxa"/>
            <w:vMerge/>
            <w:tcBorders>
              <w:top w:val="nil"/>
            </w:tcBorders>
          </w:tcPr>
          <w:p>
            <w:pPr>
              <w:rPr>
                <w:sz w:val="2"/>
                <w:szCs w:val="2"/>
              </w:rPr>
            </w:pPr>
          </w:p>
        </w:tc>
        <w:tc>
          <w:tcPr>
            <w:tcW w:w="908" w:type="dxa"/>
            <w:tcBorders>
              <w:top w:val="nil"/>
            </w:tcBorders>
          </w:tcPr>
          <w:p>
            <w:pPr>
              <w:pStyle w:val="TableParagraph"/>
              <w:spacing w:line="205" w:lineRule="exact"/>
              <w:ind w:left="120" w:right="98"/>
              <w:jc w:val="center"/>
              <w:rPr>
                <w:sz w:val="20"/>
              </w:rPr>
            </w:pPr>
            <w:r>
              <w:rPr>
                <w:sz w:val="20"/>
              </w:rPr>
              <w:t>mV</w:t>
            </w:r>
          </w:p>
        </w:tc>
      </w:tr>
      <w:tr>
        <w:trPr>
          <w:trHeight w:val="460" w:hRule="atLeast"/>
        </w:trPr>
        <w:tc>
          <w:tcPr>
            <w:tcW w:w="8862" w:type="dxa"/>
            <w:gridSpan w:val="6"/>
          </w:tcPr>
          <w:p>
            <w:pPr>
              <w:pStyle w:val="TableParagraph"/>
              <w:spacing w:line="224" w:lineRule="exact"/>
              <w:ind w:left="107"/>
              <w:rPr>
                <w:b/>
                <w:sz w:val="20"/>
              </w:rPr>
            </w:pPr>
            <w:r>
              <w:rPr>
                <w:b/>
                <w:sz w:val="20"/>
              </w:rPr>
              <w:t>Note:</w:t>
            </w:r>
          </w:p>
          <w:p>
            <w:pPr>
              <w:pStyle w:val="TableParagraph"/>
              <w:spacing w:line="213" w:lineRule="exact" w:before="3"/>
              <w:ind w:left="467"/>
              <w:rPr>
                <w:sz w:val="20"/>
              </w:rPr>
            </w:pPr>
            <w:r>
              <w:rPr>
                <w:sz w:val="20"/>
              </w:rPr>
              <w:t>1. Guaranteed by design; not production tested.</w:t>
            </w:r>
          </w:p>
        </w:tc>
      </w:tr>
    </w:tbl>
    <w:p>
      <w:pPr>
        <w:spacing w:after="0" w:line="213" w:lineRule="exact"/>
        <w:rPr>
          <w:sz w:val="20"/>
        </w:rPr>
        <w:sectPr>
          <w:pgSz w:w="12240" w:h="15840"/>
          <w:pgMar w:header="727" w:footer="819" w:top="1160" w:bottom="1000" w:left="960" w:right="940"/>
        </w:sectPr>
      </w:pPr>
    </w:p>
    <w:p>
      <w:pPr>
        <w:pStyle w:val="ListParagraph"/>
        <w:numPr>
          <w:ilvl w:val="1"/>
          <w:numId w:val="22"/>
        </w:numPr>
        <w:tabs>
          <w:tab w:pos="1199" w:val="left" w:leader="none"/>
          <w:tab w:pos="1200" w:val="left" w:leader="none"/>
        </w:tabs>
        <w:spacing w:line="240" w:lineRule="auto" w:before="88" w:after="0"/>
        <w:ind w:left="1200" w:right="0" w:hanging="720"/>
        <w:jc w:val="left"/>
        <w:rPr>
          <w:b/>
          <w:sz w:val="24"/>
        </w:rPr>
      </w:pPr>
      <w:bookmarkStart w:name="6.5 Timing Specifications" w:id="578"/>
      <w:bookmarkEnd w:id="578"/>
      <w:r>
        <w:rPr/>
      </w:r>
      <w:bookmarkStart w:name="_bookmark283" w:id="579"/>
      <w:bookmarkEnd w:id="579"/>
      <w:r>
        <w:rPr/>
      </w:r>
      <w:bookmarkStart w:name="_bookmark283" w:id="580"/>
      <w:bookmarkEnd w:id="580"/>
      <w:r>
        <w:rPr>
          <w:b/>
          <w:sz w:val="24"/>
        </w:rPr>
        <w:t>T</w:t>
      </w:r>
      <w:r>
        <w:rPr>
          <w:b/>
          <w:sz w:val="24"/>
        </w:rPr>
        <w:t>iming</w:t>
      </w:r>
      <w:r>
        <w:rPr>
          <w:b/>
          <w:spacing w:val="-1"/>
          <w:sz w:val="24"/>
        </w:rPr>
        <w:t> </w:t>
      </w:r>
      <w:r>
        <w:rPr>
          <w:b/>
          <w:sz w:val="24"/>
        </w:rPr>
        <w:t>Specifications</w:t>
      </w:r>
    </w:p>
    <w:p>
      <w:pPr>
        <w:pStyle w:val="ListParagraph"/>
        <w:numPr>
          <w:ilvl w:val="2"/>
          <w:numId w:val="41"/>
        </w:numPr>
        <w:tabs>
          <w:tab w:pos="1199" w:val="left" w:leader="none"/>
          <w:tab w:pos="1200" w:val="left" w:leader="none"/>
        </w:tabs>
        <w:spacing w:line="240" w:lineRule="auto" w:before="120" w:after="0"/>
        <w:ind w:left="1199" w:right="0" w:hanging="720"/>
        <w:jc w:val="left"/>
        <w:rPr>
          <w:b/>
          <w:sz w:val="22"/>
        </w:rPr>
      </w:pPr>
      <w:bookmarkStart w:name="6.5.1 Flash Memory" w:id="581"/>
      <w:bookmarkEnd w:id="581"/>
      <w:r>
        <w:rPr/>
      </w:r>
      <w:bookmarkStart w:name="_bookmark284" w:id="582"/>
      <w:bookmarkEnd w:id="582"/>
      <w:r>
        <w:rPr/>
      </w:r>
      <w:bookmarkStart w:name="_bookmark284" w:id="583"/>
      <w:bookmarkEnd w:id="583"/>
      <w:r>
        <w:rPr>
          <w:b/>
          <w:sz w:val="22"/>
        </w:rPr>
        <w:t>F</w:t>
      </w:r>
      <w:r>
        <w:rPr>
          <w:b/>
          <w:sz w:val="22"/>
        </w:rPr>
        <w:t>lash</w:t>
      </w:r>
      <w:r>
        <w:rPr>
          <w:b/>
          <w:spacing w:val="-2"/>
          <w:sz w:val="22"/>
        </w:rPr>
        <w:t> </w:t>
      </w:r>
      <w:r>
        <w:rPr>
          <w:b/>
          <w:sz w:val="22"/>
        </w:rPr>
        <w:t>Memory</w:t>
      </w:r>
    </w:p>
    <w:p>
      <w:pPr>
        <w:pStyle w:val="Heading1"/>
        <w:spacing w:before="118"/>
        <w:ind w:left="774" w:right="797"/>
      </w:pPr>
      <w:bookmarkStart w:name="_bookmark285" w:id="584"/>
      <w:bookmarkEnd w:id="584"/>
      <w:r>
        <w:rPr>
          <w:b w:val="0"/>
        </w:rPr>
      </w:r>
      <w:r>
        <w:rPr/>
        <w:t>Table 105: Flash Memory Timing Specifications</w:t>
      </w:r>
    </w:p>
    <w:p>
      <w:pPr>
        <w:pStyle w:val="BodyText"/>
        <w:spacing w:before="8"/>
        <w:rPr>
          <w:b/>
          <w:sz w:val="5"/>
        </w:rPr>
      </w:pPr>
    </w:p>
    <w:tbl>
      <w:tblPr>
        <w:tblW w:w="0" w:type="auto"/>
        <w:jc w:val="left"/>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00"/>
        <w:gridCol w:w="2340"/>
        <w:gridCol w:w="900"/>
        <w:gridCol w:w="811"/>
        <w:gridCol w:w="900"/>
        <w:gridCol w:w="809"/>
      </w:tblGrid>
      <w:tr>
        <w:trPr>
          <w:trHeight w:val="311" w:hRule="atLeast"/>
        </w:trPr>
        <w:tc>
          <w:tcPr>
            <w:tcW w:w="3600" w:type="dxa"/>
          </w:tcPr>
          <w:p>
            <w:pPr>
              <w:pStyle w:val="TableParagraph"/>
              <w:spacing w:before="35"/>
              <w:ind w:left="107"/>
              <w:rPr>
                <w:b/>
                <w:sz w:val="20"/>
              </w:rPr>
            </w:pPr>
            <w:r>
              <w:rPr>
                <w:b/>
                <w:sz w:val="20"/>
              </w:rPr>
              <w:t>Parameter</w:t>
            </w:r>
          </w:p>
        </w:tc>
        <w:tc>
          <w:tcPr>
            <w:tcW w:w="2340" w:type="dxa"/>
          </w:tcPr>
          <w:p>
            <w:pPr>
              <w:pStyle w:val="TableParagraph"/>
              <w:spacing w:before="35"/>
              <w:ind w:left="107"/>
              <w:rPr>
                <w:b/>
                <w:sz w:val="20"/>
              </w:rPr>
            </w:pPr>
            <w:r>
              <w:rPr>
                <w:b/>
                <w:sz w:val="20"/>
              </w:rPr>
              <w:t>Condition</w:t>
            </w:r>
          </w:p>
        </w:tc>
        <w:tc>
          <w:tcPr>
            <w:tcW w:w="900" w:type="dxa"/>
          </w:tcPr>
          <w:p>
            <w:pPr>
              <w:pStyle w:val="TableParagraph"/>
              <w:spacing w:before="35"/>
              <w:ind w:left="93" w:right="75"/>
              <w:jc w:val="center"/>
              <w:rPr>
                <w:b/>
                <w:sz w:val="20"/>
              </w:rPr>
            </w:pPr>
            <w:r>
              <w:rPr>
                <w:b/>
                <w:sz w:val="20"/>
              </w:rPr>
              <w:t>Min</w:t>
            </w:r>
          </w:p>
        </w:tc>
        <w:tc>
          <w:tcPr>
            <w:tcW w:w="811" w:type="dxa"/>
          </w:tcPr>
          <w:p>
            <w:pPr>
              <w:pStyle w:val="TableParagraph"/>
              <w:spacing w:before="35"/>
              <w:ind w:left="225"/>
              <w:rPr>
                <w:b/>
                <w:sz w:val="20"/>
              </w:rPr>
            </w:pPr>
            <w:r>
              <w:rPr>
                <w:b/>
                <w:sz w:val="20"/>
              </w:rPr>
              <w:t>Typ</w:t>
            </w:r>
          </w:p>
        </w:tc>
        <w:tc>
          <w:tcPr>
            <w:tcW w:w="900" w:type="dxa"/>
          </w:tcPr>
          <w:p>
            <w:pPr>
              <w:pStyle w:val="TableParagraph"/>
              <w:spacing w:before="35"/>
              <w:ind w:left="90" w:right="76"/>
              <w:jc w:val="center"/>
              <w:rPr>
                <w:b/>
                <w:sz w:val="20"/>
              </w:rPr>
            </w:pPr>
            <w:r>
              <w:rPr>
                <w:b/>
                <w:sz w:val="20"/>
              </w:rPr>
              <w:t>Max</w:t>
            </w:r>
          </w:p>
        </w:tc>
        <w:tc>
          <w:tcPr>
            <w:tcW w:w="809" w:type="dxa"/>
          </w:tcPr>
          <w:p>
            <w:pPr>
              <w:pStyle w:val="TableParagraph"/>
              <w:spacing w:before="35"/>
              <w:ind w:left="76" w:right="65"/>
              <w:jc w:val="center"/>
              <w:rPr>
                <w:b/>
                <w:sz w:val="20"/>
              </w:rPr>
            </w:pPr>
            <w:r>
              <w:rPr>
                <w:b/>
                <w:sz w:val="20"/>
              </w:rPr>
              <w:t>Unit</w:t>
            </w:r>
          </w:p>
        </w:tc>
      </w:tr>
      <w:tr>
        <w:trPr>
          <w:trHeight w:val="268" w:hRule="atLeast"/>
        </w:trPr>
        <w:tc>
          <w:tcPr>
            <w:tcW w:w="3600" w:type="dxa"/>
          </w:tcPr>
          <w:p>
            <w:pPr>
              <w:pStyle w:val="TableParagraph"/>
              <w:spacing w:before="16"/>
              <w:ind w:left="114"/>
              <w:rPr>
                <w:sz w:val="20"/>
              </w:rPr>
            </w:pPr>
            <w:r>
              <w:rPr>
                <w:sz w:val="20"/>
              </w:rPr>
              <w:t>Flash write cycles</w:t>
            </w:r>
          </w:p>
        </w:tc>
        <w:tc>
          <w:tcPr>
            <w:tcW w:w="2340" w:type="dxa"/>
          </w:tcPr>
          <w:p>
            <w:pPr>
              <w:pStyle w:val="TableParagraph"/>
              <w:spacing w:before="16"/>
              <w:ind w:left="114"/>
              <w:rPr>
                <w:sz w:val="20"/>
              </w:rPr>
            </w:pPr>
            <w:r>
              <w:rPr>
                <w:sz w:val="20"/>
              </w:rPr>
              <w:t>-40 °C to +85 °C</w:t>
            </w:r>
          </w:p>
        </w:tc>
        <w:tc>
          <w:tcPr>
            <w:tcW w:w="900" w:type="dxa"/>
          </w:tcPr>
          <w:p>
            <w:pPr>
              <w:pStyle w:val="TableParagraph"/>
              <w:spacing w:before="16"/>
              <w:ind w:left="92" w:right="76"/>
              <w:jc w:val="center"/>
              <w:rPr>
                <w:sz w:val="20"/>
              </w:rPr>
            </w:pPr>
            <w:r>
              <w:rPr>
                <w:sz w:val="20"/>
              </w:rPr>
              <w:t>20,000</w:t>
            </w:r>
          </w:p>
        </w:tc>
        <w:tc>
          <w:tcPr>
            <w:tcW w:w="811" w:type="dxa"/>
          </w:tcPr>
          <w:p>
            <w:pPr>
              <w:pStyle w:val="TableParagraph"/>
              <w:rPr>
                <w:rFonts w:ascii="Times New Roman"/>
                <w:sz w:val="18"/>
              </w:rPr>
            </w:pPr>
          </w:p>
        </w:tc>
        <w:tc>
          <w:tcPr>
            <w:tcW w:w="900" w:type="dxa"/>
          </w:tcPr>
          <w:p>
            <w:pPr>
              <w:pStyle w:val="TableParagraph"/>
              <w:rPr>
                <w:rFonts w:ascii="Times New Roman"/>
                <w:sz w:val="18"/>
              </w:rPr>
            </w:pPr>
          </w:p>
        </w:tc>
        <w:tc>
          <w:tcPr>
            <w:tcW w:w="809" w:type="dxa"/>
          </w:tcPr>
          <w:p>
            <w:pPr>
              <w:pStyle w:val="TableParagraph"/>
              <w:spacing w:before="16"/>
              <w:ind w:left="83" w:right="65"/>
              <w:jc w:val="center"/>
              <w:rPr>
                <w:sz w:val="20"/>
              </w:rPr>
            </w:pPr>
            <w:r>
              <w:rPr>
                <w:sz w:val="20"/>
              </w:rPr>
              <w:t>Cycles</w:t>
            </w:r>
          </w:p>
        </w:tc>
      </w:tr>
      <w:tr>
        <w:trPr>
          <w:trHeight w:val="500" w:hRule="atLeast"/>
        </w:trPr>
        <w:tc>
          <w:tcPr>
            <w:tcW w:w="3600" w:type="dxa"/>
          </w:tcPr>
          <w:p>
            <w:pPr>
              <w:pStyle w:val="TableParagraph"/>
              <w:spacing w:before="18"/>
              <w:ind w:left="114"/>
              <w:rPr>
                <w:sz w:val="20"/>
              </w:rPr>
            </w:pPr>
            <w:r>
              <w:rPr>
                <w:sz w:val="20"/>
              </w:rPr>
              <w:t>Flash data retention</w:t>
            </w:r>
          </w:p>
        </w:tc>
        <w:tc>
          <w:tcPr>
            <w:tcW w:w="2340" w:type="dxa"/>
          </w:tcPr>
          <w:p>
            <w:pPr>
              <w:pStyle w:val="TableParagraph"/>
              <w:spacing w:before="18"/>
              <w:ind w:left="114"/>
              <w:rPr>
                <w:sz w:val="20"/>
              </w:rPr>
            </w:pPr>
            <w:r>
              <w:rPr>
                <w:sz w:val="20"/>
              </w:rPr>
              <w:t>25</w:t>
            </w:r>
            <w:r>
              <w:rPr>
                <w:spacing w:val="-6"/>
                <w:sz w:val="20"/>
              </w:rPr>
              <w:t> </w:t>
            </w:r>
            <w:r>
              <w:rPr>
                <w:sz w:val="20"/>
              </w:rPr>
              <w:t>°C</w:t>
            </w:r>
          </w:p>
          <w:p>
            <w:pPr>
              <w:pStyle w:val="TableParagraph"/>
              <w:spacing w:before="1"/>
              <w:ind w:left="114"/>
              <w:rPr>
                <w:sz w:val="20"/>
              </w:rPr>
            </w:pPr>
            <w:r>
              <w:rPr>
                <w:sz w:val="20"/>
              </w:rPr>
              <w:t>85</w:t>
            </w:r>
            <w:r>
              <w:rPr>
                <w:spacing w:val="-6"/>
                <w:sz w:val="20"/>
              </w:rPr>
              <w:t> </w:t>
            </w:r>
            <w:r>
              <w:rPr>
                <w:sz w:val="20"/>
              </w:rPr>
              <w:t>°C</w:t>
            </w:r>
          </w:p>
        </w:tc>
        <w:tc>
          <w:tcPr>
            <w:tcW w:w="900" w:type="dxa"/>
          </w:tcPr>
          <w:p>
            <w:pPr>
              <w:pStyle w:val="TableParagraph"/>
              <w:spacing w:before="18"/>
              <w:ind w:left="92" w:right="76"/>
              <w:jc w:val="center"/>
              <w:rPr>
                <w:sz w:val="20"/>
              </w:rPr>
            </w:pPr>
            <w:r>
              <w:rPr>
                <w:sz w:val="20"/>
              </w:rPr>
              <w:t>100</w:t>
            </w:r>
          </w:p>
          <w:p>
            <w:pPr>
              <w:pStyle w:val="TableParagraph"/>
              <w:spacing w:before="1"/>
              <w:ind w:left="92" w:right="76"/>
              <w:jc w:val="center"/>
              <w:rPr>
                <w:sz w:val="20"/>
              </w:rPr>
            </w:pPr>
            <w:r>
              <w:rPr>
                <w:sz w:val="20"/>
              </w:rPr>
              <w:t>10</w:t>
            </w:r>
          </w:p>
        </w:tc>
        <w:tc>
          <w:tcPr>
            <w:tcW w:w="811" w:type="dxa"/>
          </w:tcPr>
          <w:p>
            <w:pPr>
              <w:pStyle w:val="TableParagraph"/>
              <w:rPr>
                <w:rFonts w:ascii="Times New Roman"/>
                <w:sz w:val="20"/>
              </w:rPr>
            </w:pPr>
          </w:p>
        </w:tc>
        <w:tc>
          <w:tcPr>
            <w:tcW w:w="900" w:type="dxa"/>
          </w:tcPr>
          <w:p>
            <w:pPr>
              <w:pStyle w:val="TableParagraph"/>
              <w:rPr>
                <w:rFonts w:ascii="Times New Roman"/>
                <w:sz w:val="20"/>
              </w:rPr>
            </w:pPr>
          </w:p>
        </w:tc>
        <w:tc>
          <w:tcPr>
            <w:tcW w:w="809" w:type="dxa"/>
          </w:tcPr>
          <w:p>
            <w:pPr>
              <w:pStyle w:val="TableParagraph"/>
              <w:spacing w:before="133"/>
              <w:ind w:left="78" w:right="65"/>
              <w:jc w:val="center"/>
              <w:rPr>
                <w:sz w:val="20"/>
              </w:rPr>
            </w:pPr>
            <w:r>
              <w:rPr>
                <w:sz w:val="20"/>
              </w:rPr>
              <w:t>Years</w:t>
            </w:r>
          </w:p>
        </w:tc>
      </w:tr>
      <w:tr>
        <w:trPr>
          <w:trHeight w:val="500" w:hRule="atLeast"/>
        </w:trPr>
        <w:tc>
          <w:tcPr>
            <w:tcW w:w="3600" w:type="dxa"/>
          </w:tcPr>
          <w:p>
            <w:pPr>
              <w:pStyle w:val="TableParagraph"/>
              <w:spacing w:before="18"/>
              <w:ind w:left="114"/>
              <w:rPr>
                <w:sz w:val="20"/>
              </w:rPr>
            </w:pPr>
            <w:r>
              <w:rPr>
                <w:sz w:val="20"/>
              </w:rPr>
              <w:t>Flash byte writes between page or mass erase operations</w:t>
            </w:r>
          </w:p>
        </w:tc>
        <w:tc>
          <w:tcPr>
            <w:tcW w:w="2340" w:type="dxa"/>
          </w:tcPr>
          <w:p>
            <w:pPr>
              <w:pStyle w:val="TableParagraph"/>
              <w:rPr>
                <w:rFonts w:ascii="Times New Roman"/>
                <w:sz w:val="20"/>
              </w:rPr>
            </w:pPr>
          </w:p>
        </w:tc>
        <w:tc>
          <w:tcPr>
            <w:tcW w:w="900" w:type="dxa"/>
          </w:tcPr>
          <w:p>
            <w:pPr>
              <w:pStyle w:val="TableParagraph"/>
              <w:rPr>
                <w:rFonts w:ascii="Times New Roman"/>
                <w:sz w:val="20"/>
              </w:rPr>
            </w:pPr>
          </w:p>
        </w:tc>
        <w:tc>
          <w:tcPr>
            <w:tcW w:w="811" w:type="dxa"/>
          </w:tcPr>
          <w:p>
            <w:pPr>
              <w:pStyle w:val="TableParagraph"/>
              <w:rPr>
                <w:rFonts w:ascii="Times New Roman"/>
                <w:sz w:val="20"/>
              </w:rPr>
            </w:pPr>
          </w:p>
        </w:tc>
        <w:tc>
          <w:tcPr>
            <w:tcW w:w="900" w:type="dxa"/>
          </w:tcPr>
          <w:p>
            <w:pPr>
              <w:pStyle w:val="TableParagraph"/>
              <w:spacing w:before="133"/>
              <w:ind w:left="12"/>
              <w:jc w:val="center"/>
              <w:rPr>
                <w:sz w:val="20"/>
              </w:rPr>
            </w:pPr>
            <w:r>
              <w:rPr>
                <w:w w:val="99"/>
                <w:sz w:val="20"/>
              </w:rPr>
              <w:t>2</w:t>
            </w:r>
          </w:p>
        </w:tc>
        <w:tc>
          <w:tcPr>
            <w:tcW w:w="809" w:type="dxa"/>
          </w:tcPr>
          <w:p>
            <w:pPr>
              <w:pStyle w:val="TableParagraph"/>
              <w:spacing w:before="133"/>
              <w:ind w:left="83" w:right="65"/>
              <w:jc w:val="center"/>
              <w:rPr>
                <w:sz w:val="20"/>
              </w:rPr>
            </w:pPr>
            <w:r>
              <w:rPr>
                <w:sz w:val="20"/>
              </w:rPr>
              <w:t>Cycles</w:t>
            </w:r>
          </w:p>
        </w:tc>
      </w:tr>
      <w:tr>
        <w:trPr>
          <w:trHeight w:val="270" w:hRule="atLeast"/>
        </w:trPr>
        <w:tc>
          <w:tcPr>
            <w:tcW w:w="3600" w:type="dxa"/>
          </w:tcPr>
          <w:p>
            <w:pPr>
              <w:pStyle w:val="TableParagraph"/>
              <w:spacing w:before="16"/>
              <w:ind w:left="114"/>
              <w:rPr>
                <w:sz w:val="20"/>
              </w:rPr>
            </w:pPr>
            <w:r>
              <w:rPr>
                <w:sz w:val="20"/>
              </w:rPr>
              <w:t>Write Time per Byte</w:t>
            </w:r>
          </w:p>
        </w:tc>
        <w:tc>
          <w:tcPr>
            <w:tcW w:w="2340" w:type="dxa"/>
          </w:tcPr>
          <w:p>
            <w:pPr>
              <w:pStyle w:val="TableParagraph"/>
              <w:rPr>
                <w:rFonts w:ascii="Times New Roman"/>
                <w:sz w:val="20"/>
              </w:rPr>
            </w:pPr>
          </w:p>
        </w:tc>
        <w:tc>
          <w:tcPr>
            <w:tcW w:w="900" w:type="dxa"/>
          </w:tcPr>
          <w:p>
            <w:pPr>
              <w:pStyle w:val="TableParagraph"/>
              <w:rPr>
                <w:rFonts w:ascii="Times New Roman"/>
                <w:sz w:val="20"/>
              </w:rPr>
            </w:pPr>
          </w:p>
        </w:tc>
        <w:tc>
          <w:tcPr>
            <w:tcW w:w="811" w:type="dxa"/>
          </w:tcPr>
          <w:p>
            <w:pPr>
              <w:pStyle w:val="TableParagraph"/>
              <w:rPr>
                <w:rFonts w:ascii="Times New Roman"/>
                <w:sz w:val="20"/>
              </w:rPr>
            </w:pPr>
          </w:p>
        </w:tc>
        <w:tc>
          <w:tcPr>
            <w:tcW w:w="900" w:type="dxa"/>
          </w:tcPr>
          <w:p>
            <w:pPr>
              <w:pStyle w:val="TableParagraph"/>
              <w:spacing w:before="16"/>
              <w:ind w:left="88" w:right="76"/>
              <w:jc w:val="center"/>
              <w:rPr>
                <w:sz w:val="20"/>
              </w:rPr>
            </w:pPr>
            <w:r>
              <w:rPr>
                <w:sz w:val="20"/>
              </w:rPr>
              <w:t>21</w:t>
            </w:r>
          </w:p>
        </w:tc>
        <w:tc>
          <w:tcPr>
            <w:tcW w:w="809" w:type="dxa"/>
          </w:tcPr>
          <w:p>
            <w:pPr>
              <w:pStyle w:val="TableParagraph"/>
              <w:spacing w:before="16"/>
              <w:ind w:left="81" w:right="65"/>
              <w:jc w:val="center"/>
              <w:rPr>
                <w:sz w:val="20"/>
              </w:rPr>
            </w:pPr>
            <w:r>
              <w:rPr>
                <w:sz w:val="20"/>
              </w:rPr>
              <w:t>µs</w:t>
            </w:r>
          </w:p>
        </w:tc>
      </w:tr>
      <w:tr>
        <w:trPr>
          <w:trHeight w:val="268" w:hRule="atLeast"/>
        </w:trPr>
        <w:tc>
          <w:tcPr>
            <w:tcW w:w="3600" w:type="dxa"/>
          </w:tcPr>
          <w:p>
            <w:pPr>
              <w:pStyle w:val="TableParagraph"/>
              <w:spacing w:before="16"/>
              <w:ind w:left="114"/>
              <w:rPr>
                <w:sz w:val="20"/>
              </w:rPr>
            </w:pPr>
            <w:r>
              <w:rPr>
                <w:sz w:val="20"/>
              </w:rPr>
              <w:t>Page Erase (1024 bytes)</w:t>
            </w:r>
          </w:p>
        </w:tc>
        <w:tc>
          <w:tcPr>
            <w:tcW w:w="2340" w:type="dxa"/>
          </w:tcPr>
          <w:p>
            <w:pPr>
              <w:pStyle w:val="TableParagraph"/>
              <w:rPr>
                <w:rFonts w:ascii="Times New Roman"/>
                <w:sz w:val="18"/>
              </w:rPr>
            </w:pPr>
          </w:p>
        </w:tc>
        <w:tc>
          <w:tcPr>
            <w:tcW w:w="900" w:type="dxa"/>
          </w:tcPr>
          <w:p>
            <w:pPr>
              <w:pStyle w:val="TableParagraph"/>
              <w:rPr>
                <w:rFonts w:ascii="Times New Roman"/>
                <w:sz w:val="18"/>
              </w:rPr>
            </w:pPr>
          </w:p>
        </w:tc>
        <w:tc>
          <w:tcPr>
            <w:tcW w:w="811" w:type="dxa"/>
          </w:tcPr>
          <w:p>
            <w:pPr>
              <w:pStyle w:val="TableParagraph"/>
              <w:rPr>
                <w:rFonts w:ascii="Times New Roman"/>
                <w:sz w:val="18"/>
              </w:rPr>
            </w:pPr>
          </w:p>
        </w:tc>
        <w:tc>
          <w:tcPr>
            <w:tcW w:w="900" w:type="dxa"/>
          </w:tcPr>
          <w:p>
            <w:pPr>
              <w:pStyle w:val="TableParagraph"/>
              <w:spacing w:before="16"/>
              <w:ind w:left="88" w:right="76"/>
              <w:jc w:val="center"/>
              <w:rPr>
                <w:sz w:val="20"/>
              </w:rPr>
            </w:pPr>
            <w:r>
              <w:rPr>
                <w:sz w:val="20"/>
              </w:rPr>
              <w:t>21</w:t>
            </w:r>
          </w:p>
        </w:tc>
        <w:tc>
          <w:tcPr>
            <w:tcW w:w="809" w:type="dxa"/>
          </w:tcPr>
          <w:p>
            <w:pPr>
              <w:pStyle w:val="TableParagraph"/>
              <w:spacing w:before="16"/>
              <w:ind w:left="82" w:right="65"/>
              <w:jc w:val="center"/>
              <w:rPr>
                <w:sz w:val="20"/>
              </w:rPr>
            </w:pPr>
            <w:r>
              <w:rPr>
                <w:sz w:val="20"/>
              </w:rPr>
              <w:t>ms</w:t>
            </w:r>
          </w:p>
        </w:tc>
      </w:tr>
      <w:tr>
        <w:trPr>
          <w:trHeight w:val="272" w:hRule="atLeast"/>
        </w:trPr>
        <w:tc>
          <w:tcPr>
            <w:tcW w:w="3600" w:type="dxa"/>
          </w:tcPr>
          <w:p>
            <w:pPr>
              <w:pStyle w:val="TableParagraph"/>
              <w:spacing w:before="18"/>
              <w:ind w:left="114"/>
              <w:rPr>
                <w:sz w:val="20"/>
              </w:rPr>
            </w:pPr>
            <w:r>
              <w:rPr>
                <w:sz w:val="20"/>
              </w:rPr>
              <w:t>Mass Erase</w:t>
            </w:r>
          </w:p>
        </w:tc>
        <w:tc>
          <w:tcPr>
            <w:tcW w:w="2340" w:type="dxa"/>
          </w:tcPr>
          <w:p>
            <w:pPr>
              <w:pStyle w:val="TableParagraph"/>
              <w:rPr>
                <w:rFonts w:ascii="Times New Roman"/>
                <w:sz w:val="20"/>
              </w:rPr>
            </w:pPr>
          </w:p>
        </w:tc>
        <w:tc>
          <w:tcPr>
            <w:tcW w:w="900" w:type="dxa"/>
          </w:tcPr>
          <w:p>
            <w:pPr>
              <w:pStyle w:val="TableParagraph"/>
              <w:rPr>
                <w:rFonts w:ascii="Times New Roman"/>
                <w:sz w:val="20"/>
              </w:rPr>
            </w:pPr>
          </w:p>
        </w:tc>
        <w:tc>
          <w:tcPr>
            <w:tcW w:w="811" w:type="dxa"/>
          </w:tcPr>
          <w:p>
            <w:pPr>
              <w:pStyle w:val="TableParagraph"/>
              <w:rPr>
                <w:rFonts w:ascii="Times New Roman"/>
                <w:sz w:val="20"/>
              </w:rPr>
            </w:pPr>
          </w:p>
        </w:tc>
        <w:tc>
          <w:tcPr>
            <w:tcW w:w="900" w:type="dxa"/>
          </w:tcPr>
          <w:p>
            <w:pPr>
              <w:pStyle w:val="TableParagraph"/>
              <w:spacing w:before="18"/>
              <w:ind w:left="88" w:right="76"/>
              <w:jc w:val="center"/>
              <w:rPr>
                <w:sz w:val="20"/>
              </w:rPr>
            </w:pPr>
            <w:r>
              <w:rPr>
                <w:sz w:val="20"/>
              </w:rPr>
              <w:t>21</w:t>
            </w:r>
          </w:p>
        </w:tc>
        <w:tc>
          <w:tcPr>
            <w:tcW w:w="809" w:type="dxa"/>
          </w:tcPr>
          <w:p>
            <w:pPr>
              <w:pStyle w:val="TableParagraph"/>
              <w:spacing w:before="18"/>
              <w:ind w:left="82" w:right="65"/>
              <w:jc w:val="center"/>
              <w:rPr>
                <w:sz w:val="20"/>
              </w:rPr>
            </w:pPr>
            <w:r>
              <w:rPr>
                <w:sz w:val="20"/>
              </w:rPr>
              <w:t>ms</w:t>
            </w:r>
          </w:p>
        </w:tc>
      </w:tr>
    </w:tbl>
    <w:p>
      <w:pPr>
        <w:pStyle w:val="BodyText"/>
        <w:spacing w:before="8"/>
        <w:rPr>
          <w:b/>
          <w:sz w:val="21"/>
        </w:rPr>
      </w:pPr>
    </w:p>
    <w:p>
      <w:pPr>
        <w:spacing w:after="0"/>
        <w:rPr>
          <w:sz w:val="21"/>
        </w:rPr>
        <w:sectPr>
          <w:pgSz w:w="12240" w:h="15840"/>
          <w:pgMar w:header="727" w:footer="819" w:top="1160" w:bottom="1000" w:left="960" w:right="940"/>
        </w:sectPr>
      </w:pPr>
    </w:p>
    <w:p>
      <w:pPr>
        <w:pStyle w:val="ListParagraph"/>
        <w:numPr>
          <w:ilvl w:val="2"/>
          <w:numId w:val="41"/>
        </w:numPr>
        <w:tabs>
          <w:tab w:pos="1199" w:val="left" w:leader="none"/>
          <w:tab w:pos="1200" w:val="left" w:leader="none"/>
        </w:tabs>
        <w:spacing w:line="240" w:lineRule="auto" w:before="94" w:after="0"/>
        <w:ind w:left="1199" w:right="0" w:hanging="720"/>
        <w:jc w:val="left"/>
        <w:rPr>
          <w:b/>
          <w:sz w:val="22"/>
        </w:rPr>
      </w:pPr>
      <w:bookmarkStart w:name="6.5.2 SPI Slave" w:id="585"/>
      <w:bookmarkEnd w:id="585"/>
      <w:r>
        <w:rPr/>
      </w:r>
      <w:bookmarkStart w:name="_bookmark286" w:id="586"/>
      <w:bookmarkEnd w:id="586"/>
      <w:r>
        <w:rPr/>
      </w:r>
      <w:bookmarkStart w:name="_bookmark286" w:id="587"/>
      <w:bookmarkEnd w:id="587"/>
      <w:r>
        <w:rPr>
          <w:b/>
          <w:sz w:val="22"/>
        </w:rPr>
        <w:t>SP</w:t>
      </w:r>
      <w:r>
        <w:rPr>
          <w:b/>
          <w:sz w:val="22"/>
        </w:rPr>
        <w:t>I Slave</w:t>
      </w:r>
    </w:p>
    <w:p>
      <w:pPr>
        <w:pStyle w:val="BodyText"/>
        <w:rPr>
          <w:b/>
          <w:sz w:val="22"/>
        </w:rPr>
      </w:pPr>
      <w:r>
        <w:rPr/>
        <w:br w:type="column"/>
      </w:r>
      <w:r>
        <w:rPr>
          <w:b/>
          <w:sz w:val="22"/>
        </w:rPr>
      </w:r>
    </w:p>
    <w:p>
      <w:pPr>
        <w:pStyle w:val="BodyText"/>
        <w:spacing w:before="8"/>
        <w:rPr>
          <w:b/>
          <w:sz w:val="18"/>
        </w:rPr>
      </w:pPr>
    </w:p>
    <w:p>
      <w:pPr>
        <w:pStyle w:val="Heading1"/>
        <w:ind w:left="480"/>
        <w:jc w:val="left"/>
      </w:pPr>
      <w:bookmarkStart w:name="_bookmark287" w:id="588"/>
      <w:bookmarkEnd w:id="588"/>
      <w:r>
        <w:rPr>
          <w:b w:val="0"/>
        </w:rPr>
      </w:r>
      <w:r>
        <w:rPr/>
        <w:t>Table 106. SPI Slave Timing Specifications</w:t>
      </w:r>
    </w:p>
    <w:p>
      <w:pPr>
        <w:spacing w:after="0"/>
        <w:jc w:val="left"/>
        <w:sectPr>
          <w:type w:val="continuous"/>
          <w:pgSz w:w="12240" w:h="15840"/>
          <w:pgMar w:top="940" w:bottom="280" w:left="960" w:right="940"/>
          <w:cols w:num="2" w:equalWidth="0">
            <w:col w:w="2232" w:space="425"/>
            <w:col w:w="7683"/>
          </w:cols>
        </w:sectPr>
      </w:pPr>
    </w:p>
    <w:p>
      <w:pPr>
        <w:pStyle w:val="BodyText"/>
        <w:spacing w:before="8"/>
        <w:rPr>
          <w:b/>
          <w:sz w:val="5"/>
        </w:rPr>
      </w:pPr>
    </w:p>
    <w:tbl>
      <w:tblPr>
        <w:tblW w:w="0" w:type="auto"/>
        <w:jc w:val="left"/>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20"/>
        <w:gridCol w:w="2880"/>
        <w:gridCol w:w="900"/>
        <w:gridCol w:w="811"/>
        <w:gridCol w:w="900"/>
        <w:gridCol w:w="1457"/>
      </w:tblGrid>
      <w:tr>
        <w:trPr>
          <w:trHeight w:val="229" w:hRule="atLeast"/>
        </w:trPr>
        <w:tc>
          <w:tcPr>
            <w:tcW w:w="2520" w:type="dxa"/>
          </w:tcPr>
          <w:p>
            <w:pPr>
              <w:pStyle w:val="TableParagraph"/>
              <w:spacing w:line="210" w:lineRule="exact"/>
              <w:ind w:left="107"/>
              <w:rPr>
                <w:b/>
                <w:sz w:val="20"/>
              </w:rPr>
            </w:pPr>
            <w:r>
              <w:rPr>
                <w:b/>
                <w:sz w:val="20"/>
              </w:rPr>
              <w:t>Parameter</w:t>
            </w:r>
          </w:p>
        </w:tc>
        <w:tc>
          <w:tcPr>
            <w:tcW w:w="2880" w:type="dxa"/>
          </w:tcPr>
          <w:p>
            <w:pPr>
              <w:pStyle w:val="TableParagraph"/>
              <w:spacing w:line="210" w:lineRule="exact"/>
              <w:ind w:left="951" w:right="936"/>
              <w:jc w:val="center"/>
              <w:rPr>
                <w:b/>
                <w:sz w:val="20"/>
              </w:rPr>
            </w:pPr>
            <w:r>
              <w:rPr>
                <w:b/>
                <w:sz w:val="20"/>
              </w:rPr>
              <w:t>Condition</w:t>
            </w:r>
          </w:p>
        </w:tc>
        <w:tc>
          <w:tcPr>
            <w:tcW w:w="900" w:type="dxa"/>
          </w:tcPr>
          <w:p>
            <w:pPr>
              <w:pStyle w:val="TableParagraph"/>
              <w:spacing w:line="210" w:lineRule="exact"/>
              <w:ind w:left="93" w:right="75"/>
              <w:jc w:val="center"/>
              <w:rPr>
                <w:b/>
                <w:sz w:val="20"/>
              </w:rPr>
            </w:pPr>
            <w:r>
              <w:rPr>
                <w:b/>
                <w:sz w:val="20"/>
              </w:rPr>
              <w:t>Min</w:t>
            </w:r>
          </w:p>
        </w:tc>
        <w:tc>
          <w:tcPr>
            <w:tcW w:w="811" w:type="dxa"/>
          </w:tcPr>
          <w:p>
            <w:pPr>
              <w:pStyle w:val="TableParagraph"/>
              <w:spacing w:line="210" w:lineRule="exact"/>
              <w:ind w:left="225"/>
              <w:rPr>
                <w:b/>
                <w:sz w:val="20"/>
              </w:rPr>
            </w:pPr>
            <w:r>
              <w:rPr>
                <w:b/>
                <w:sz w:val="20"/>
              </w:rPr>
              <w:t>Typ</w:t>
            </w:r>
          </w:p>
        </w:tc>
        <w:tc>
          <w:tcPr>
            <w:tcW w:w="900" w:type="dxa"/>
          </w:tcPr>
          <w:p>
            <w:pPr>
              <w:pStyle w:val="TableParagraph"/>
              <w:spacing w:line="210" w:lineRule="exact"/>
              <w:ind w:right="235"/>
              <w:jc w:val="right"/>
              <w:rPr>
                <w:b/>
                <w:sz w:val="20"/>
              </w:rPr>
            </w:pPr>
            <w:r>
              <w:rPr>
                <w:b/>
                <w:sz w:val="20"/>
              </w:rPr>
              <w:t>Max</w:t>
            </w:r>
          </w:p>
        </w:tc>
        <w:tc>
          <w:tcPr>
            <w:tcW w:w="1457" w:type="dxa"/>
          </w:tcPr>
          <w:p>
            <w:pPr>
              <w:pStyle w:val="TableParagraph"/>
              <w:spacing w:line="210" w:lineRule="exact"/>
              <w:ind w:left="155" w:right="140"/>
              <w:jc w:val="center"/>
              <w:rPr>
                <w:b/>
                <w:sz w:val="20"/>
              </w:rPr>
            </w:pPr>
            <w:r>
              <w:rPr>
                <w:b/>
                <w:sz w:val="20"/>
              </w:rPr>
              <w:t>Unit</w:t>
            </w:r>
          </w:p>
        </w:tc>
      </w:tr>
      <w:tr>
        <w:trPr>
          <w:trHeight w:val="229" w:hRule="atLeast"/>
        </w:trPr>
        <w:tc>
          <w:tcPr>
            <w:tcW w:w="2520" w:type="dxa"/>
          </w:tcPr>
          <w:p>
            <w:pPr>
              <w:pStyle w:val="TableParagraph"/>
              <w:spacing w:line="210" w:lineRule="exact"/>
              <w:ind w:left="107"/>
              <w:rPr>
                <w:sz w:val="20"/>
              </w:rPr>
            </w:pPr>
            <w:r>
              <w:rPr>
                <w:sz w:val="20"/>
              </w:rPr>
              <w:t>SPI Setup Time</w:t>
            </w:r>
          </w:p>
        </w:tc>
        <w:tc>
          <w:tcPr>
            <w:tcW w:w="2880" w:type="dxa"/>
          </w:tcPr>
          <w:p>
            <w:pPr>
              <w:pStyle w:val="TableParagraph"/>
              <w:spacing w:line="210" w:lineRule="exact"/>
              <w:ind w:left="107"/>
              <w:rPr>
                <w:sz w:val="20"/>
              </w:rPr>
            </w:pPr>
            <w:r>
              <w:rPr>
                <w:sz w:val="20"/>
              </w:rPr>
              <w:t>SPI_DI to SPI_CK rise</w:t>
            </w:r>
          </w:p>
        </w:tc>
        <w:tc>
          <w:tcPr>
            <w:tcW w:w="900" w:type="dxa"/>
          </w:tcPr>
          <w:p>
            <w:pPr>
              <w:pStyle w:val="TableParagraph"/>
              <w:spacing w:line="210" w:lineRule="exact"/>
              <w:ind w:left="92" w:right="76"/>
              <w:jc w:val="center"/>
              <w:rPr>
                <w:sz w:val="20"/>
              </w:rPr>
            </w:pPr>
            <w:r>
              <w:rPr>
                <w:sz w:val="20"/>
              </w:rPr>
              <w:t>10</w:t>
            </w:r>
          </w:p>
        </w:tc>
        <w:tc>
          <w:tcPr>
            <w:tcW w:w="811" w:type="dxa"/>
          </w:tcPr>
          <w:p>
            <w:pPr>
              <w:pStyle w:val="TableParagraph"/>
              <w:rPr>
                <w:rFonts w:ascii="Times New Roman"/>
                <w:sz w:val="16"/>
              </w:rPr>
            </w:pPr>
          </w:p>
        </w:tc>
        <w:tc>
          <w:tcPr>
            <w:tcW w:w="900" w:type="dxa"/>
          </w:tcPr>
          <w:p>
            <w:pPr>
              <w:pStyle w:val="TableParagraph"/>
              <w:rPr>
                <w:rFonts w:ascii="Times New Roman"/>
                <w:sz w:val="16"/>
              </w:rPr>
            </w:pPr>
          </w:p>
        </w:tc>
        <w:tc>
          <w:tcPr>
            <w:tcW w:w="1457" w:type="dxa"/>
          </w:tcPr>
          <w:p>
            <w:pPr>
              <w:pStyle w:val="TableParagraph"/>
              <w:spacing w:line="210" w:lineRule="exact"/>
              <w:ind w:left="155" w:right="140"/>
              <w:jc w:val="center"/>
              <w:rPr>
                <w:sz w:val="20"/>
              </w:rPr>
            </w:pPr>
            <w:r>
              <w:rPr>
                <w:sz w:val="20"/>
              </w:rPr>
              <w:t>ns</w:t>
            </w:r>
          </w:p>
        </w:tc>
      </w:tr>
      <w:tr>
        <w:trPr>
          <w:trHeight w:val="229" w:hRule="atLeast"/>
        </w:trPr>
        <w:tc>
          <w:tcPr>
            <w:tcW w:w="2520" w:type="dxa"/>
          </w:tcPr>
          <w:p>
            <w:pPr>
              <w:pStyle w:val="TableParagraph"/>
              <w:spacing w:line="210" w:lineRule="exact"/>
              <w:ind w:left="107"/>
              <w:rPr>
                <w:sz w:val="20"/>
              </w:rPr>
            </w:pPr>
            <w:r>
              <w:rPr>
                <w:sz w:val="20"/>
              </w:rPr>
              <w:t>SPI Hold Time</w:t>
            </w:r>
          </w:p>
        </w:tc>
        <w:tc>
          <w:tcPr>
            <w:tcW w:w="2880" w:type="dxa"/>
          </w:tcPr>
          <w:p>
            <w:pPr>
              <w:pStyle w:val="TableParagraph"/>
              <w:spacing w:line="210" w:lineRule="exact"/>
              <w:ind w:left="107"/>
              <w:rPr>
                <w:sz w:val="20"/>
              </w:rPr>
            </w:pPr>
            <w:r>
              <w:rPr>
                <w:sz w:val="20"/>
              </w:rPr>
              <w:t>SPI_CK rise to SPI_DI</w:t>
            </w:r>
          </w:p>
        </w:tc>
        <w:tc>
          <w:tcPr>
            <w:tcW w:w="900" w:type="dxa"/>
          </w:tcPr>
          <w:p>
            <w:pPr>
              <w:pStyle w:val="TableParagraph"/>
              <w:spacing w:line="210" w:lineRule="exact"/>
              <w:ind w:left="92" w:right="76"/>
              <w:jc w:val="center"/>
              <w:rPr>
                <w:sz w:val="20"/>
              </w:rPr>
            </w:pPr>
            <w:r>
              <w:rPr>
                <w:sz w:val="20"/>
              </w:rPr>
              <w:t>10</w:t>
            </w:r>
          </w:p>
        </w:tc>
        <w:tc>
          <w:tcPr>
            <w:tcW w:w="811" w:type="dxa"/>
          </w:tcPr>
          <w:p>
            <w:pPr>
              <w:pStyle w:val="TableParagraph"/>
              <w:rPr>
                <w:rFonts w:ascii="Times New Roman"/>
                <w:sz w:val="16"/>
              </w:rPr>
            </w:pPr>
          </w:p>
        </w:tc>
        <w:tc>
          <w:tcPr>
            <w:tcW w:w="900" w:type="dxa"/>
          </w:tcPr>
          <w:p>
            <w:pPr>
              <w:pStyle w:val="TableParagraph"/>
              <w:rPr>
                <w:rFonts w:ascii="Times New Roman"/>
                <w:sz w:val="16"/>
              </w:rPr>
            </w:pPr>
          </w:p>
        </w:tc>
        <w:tc>
          <w:tcPr>
            <w:tcW w:w="1457" w:type="dxa"/>
          </w:tcPr>
          <w:p>
            <w:pPr>
              <w:pStyle w:val="TableParagraph"/>
              <w:spacing w:line="210" w:lineRule="exact"/>
              <w:ind w:left="155" w:right="140"/>
              <w:jc w:val="center"/>
              <w:rPr>
                <w:sz w:val="20"/>
              </w:rPr>
            </w:pPr>
            <w:r>
              <w:rPr>
                <w:sz w:val="20"/>
              </w:rPr>
              <w:t>ns</w:t>
            </w:r>
          </w:p>
        </w:tc>
      </w:tr>
      <w:tr>
        <w:trPr>
          <w:trHeight w:val="229" w:hRule="atLeast"/>
        </w:trPr>
        <w:tc>
          <w:tcPr>
            <w:tcW w:w="2520" w:type="dxa"/>
          </w:tcPr>
          <w:p>
            <w:pPr>
              <w:pStyle w:val="TableParagraph"/>
              <w:spacing w:line="210" w:lineRule="exact"/>
              <w:ind w:left="107"/>
              <w:rPr>
                <w:sz w:val="20"/>
              </w:rPr>
            </w:pPr>
            <w:r>
              <w:rPr>
                <w:sz w:val="20"/>
              </w:rPr>
              <w:t>SPI Output Delay</w:t>
            </w:r>
          </w:p>
        </w:tc>
        <w:tc>
          <w:tcPr>
            <w:tcW w:w="2880" w:type="dxa"/>
          </w:tcPr>
          <w:p>
            <w:pPr>
              <w:pStyle w:val="TableParagraph"/>
              <w:spacing w:line="210" w:lineRule="exact"/>
              <w:ind w:left="107"/>
              <w:rPr>
                <w:sz w:val="20"/>
              </w:rPr>
            </w:pPr>
            <w:r>
              <w:rPr>
                <w:sz w:val="20"/>
              </w:rPr>
              <w:t>SPI_CK fall to SPI_D0</w:t>
            </w:r>
          </w:p>
        </w:tc>
        <w:tc>
          <w:tcPr>
            <w:tcW w:w="900" w:type="dxa"/>
          </w:tcPr>
          <w:p>
            <w:pPr>
              <w:pStyle w:val="TableParagraph"/>
              <w:rPr>
                <w:rFonts w:ascii="Times New Roman"/>
                <w:sz w:val="16"/>
              </w:rPr>
            </w:pPr>
          </w:p>
        </w:tc>
        <w:tc>
          <w:tcPr>
            <w:tcW w:w="811" w:type="dxa"/>
          </w:tcPr>
          <w:p>
            <w:pPr>
              <w:pStyle w:val="TableParagraph"/>
              <w:rPr>
                <w:rFonts w:ascii="Times New Roman"/>
                <w:sz w:val="16"/>
              </w:rPr>
            </w:pPr>
          </w:p>
        </w:tc>
        <w:tc>
          <w:tcPr>
            <w:tcW w:w="900" w:type="dxa"/>
          </w:tcPr>
          <w:p>
            <w:pPr>
              <w:pStyle w:val="TableParagraph"/>
              <w:spacing w:line="210" w:lineRule="exact"/>
              <w:ind w:right="321"/>
              <w:jc w:val="right"/>
              <w:rPr>
                <w:sz w:val="20"/>
              </w:rPr>
            </w:pPr>
            <w:r>
              <w:rPr>
                <w:w w:val="95"/>
                <w:sz w:val="20"/>
              </w:rPr>
              <w:t>40</w:t>
            </w:r>
          </w:p>
        </w:tc>
        <w:tc>
          <w:tcPr>
            <w:tcW w:w="1457" w:type="dxa"/>
          </w:tcPr>
          <w:p>
            <w:pPr>
              <w:pStyle w:val="TableParagraph"/>
              <w:spacing w:line="210" w:lineRule="exact"/>
              <w:ind w:left="155" w:right="140"/>
              <w:jc w:val="center"/>
              <w:rPr>
                <w:sz w:val="20"/>
              </w:rPr>
            </w:pPr>
            <w:r>
              <w:rPr>
                <w:sz w:val="20"/>
              </w:rPr>
              <w:t>ns</w:t>
            </w:r>
          </w:p>
        </w:tc>
      </w:tr>
      <w:tr>
        <w:trPr>
          <w:trHeight w:val="229" w:hRule="atLeast"/>
        </w:trPr>
        <w:tc>
          <w:tcPr>
            <w:tcW w:w="2520" w:type="dxa"/>
          </w:tcPr>
          <w:p>
            <w:pPr>
              <w:pStyle w:val="TableParagraph"/>
              <w:spacing w:line="210" w:lineRule="exact"/>
              <w:ind w:left="107"/>
              <w:rPr>
                <w:sz w:val="20"/>
              </w:rPr>
            </w:pPr>
            <w:r>
              <w:rPr>
                <w:sz w:val="20"/>
              </w:rPr>
              <w:t>SPI Recovery Time</w:t>
            </w:r>
          </w:p>
        </w:tc>
        <w:tc>
          <w:tcPr>
            <w:tcW w:w="2880" w:type="dxa"/>
          </w:tcPr>
          <w:p>
            <w:pPr>
              <w:pStyle w:val="TableParagraph"/>
              <w:spacing w:line="210" w:lineRule="exact"/>
              <w:ind w:left="107"/>
              <w:rPr>
                <w:sz w:val="20"/>
              </w:rPr>
            </w:pPr>
            <w:r>
              <w:rPr>
                <w:sz w:val="20"/>
              </w:rPr>
              <w:t>SPI_CSZ fall to SPI_CK</w:t>
            </w:r>
          </w:p>
        </w:tc>
        <w:tc>
          <w:tcPr>
            <w:tcW w:w="900" w:type="dxa"/>
          </w:tcPr>
          <w:p>
            <w:pPr>
              <w:pStyle w:val="TableParagraph"/>
              <w:spacing w:line="210" w:lineRule="exact"/>
              <w:ind w:left="92" w:right="76"/>
              <w:jc w:val="center"/>
              <w:rPr>
                <w:sz w:val="20"/>
              </w:rPr>
            </w:pPr>
            <w:r>
              <w:rPr>
                <w:sz w:val="20"/>
              </w:rPr>
              <w:t>10</w:t>
            </w:r>
          </w:p>
        </w:tc>
        <w:tc>
          <w:tcPr>
            <w:tcW w:w="811" w:type="dxa"/>
          </w:tcPr>
          <w:p>
            <w:pPr>
              <w:pStyle w:val="TableParagraph"/>
              <w:rPr>
                <w:rFonts w:ascii="Times New Roman"/>
                <w:sz w:val="16"/>
              </w:rPr>
            </w:pPr>
          </w:p>
        </w:tc>
        <w:tc>
          <w:tcPr>
            <w:tcW w:w="900" w:type="dxa"/>
          </w:tcPr>
          <w:p>
            <w:pPr>
              <w:pStyle w:val="TableParagraph"/>
              <w:rPr>
                <w:rFonts w:ascii="Times New Roman"/>
                <w:sz w:val="16"/>
              </w:rPr>
            </w:pPr>
          </w:p>
        </w:tc>
        <w:tc>
          <w:tcPr>
            <w:tcW w:w="1457" w:type="dxa"/>
          </w:tcPr>
          <w:p>
            <w:pPr>
              <w:pStyle w:val="TableParagraph"/>
              <w:spacing w:line="210" w:lineRule="exact"/>
              <w:ind w:left="155" w:right="140"/>
              <w:jc w:val="center"/>
              <w:rPr>
                <w:sz w:val="20"/>
              </w:rPr>
            </w:pPr>
            <w:r>
              <w:rPr>
                <w:sz w:val="20"/>
              </w:rPr>
              <w:t>ns</w:t>
            </w:r>
          </w:p>
        </w:tc>
      </w:tr>
      <w:tr>
        <w:trPr>
          <w:trHeight w:val="232" w:hRule="atLeast"/>
        </w:trPr>
        <w:tc>
          <w:tcPr>
            <w:tcW w:w="2520" w:type="dxa"/>
          </w:tcPr>
          <w:p>
            <w:pPr>
              <w:pStyle w:val="TableParagraph"/>
              <w:spacing w:line="212" w:lineRule="exact"/>
              <w:ind w:left="107"/>
              <w:rPr>
                <w:sz w:val="20"/>
              </w:rPr>
            </w:pPr>
            <w:r>
              <w:rPr>
                <w:sz w:val="20"/>
              </w:rPr>
              <w:t>SPI Removal Time</w:t>
            </w:r>
          </w:p>
        </w:tc>
        <w:tc>
          <w:tcPr>
            <w:tcW w:w="2880" w:type="dxa"/>
          </w:tcPr>
          <w:p>
            <w:pPr>
              <w:pStyle w:val="TableParagraph"/>
              <w:spacing w:line="212" w:lineRule="exact"/>
              <w:ind w:left="107"/>
              <w:rPr>
                <w:sz w:val="20"/>
              </w:rPr>
            </w:pPr>
            <w:r>
              <w:rPr>
                <w:sz w:val="20"/>
              </w:rPr>
              <w:t>SPI_CK to SPI_CSZ rise</w:t>
            </w:r>
          </w:p>
        </w:tc>
        <w:tc>
          <w:tcPr>
            <w:tcW w:w="900" w:type="dxa"/>
          </w:tcPr>
          <w:p>
            <w:pPr>
              <w:pStyle w:val="TableParagraph"/>
              <w:spacing w:line="212" w:lineRule="exact"/>
              <w:ind w:left="92" w:right="76"/>
              <w:jc w:val="center"/>
              <w:rPr>
                <w:sz w:val="20"/>
              </w:rPr>
            </w:pPr>
            <w:r>
              <w:rPr>
                <w:sz w:val="20"/>
              </w:rPr>
              <w:t>15</w:t>
            </w:r>
          </w:p>
        </w:tc>
        <w:tc>
          <w:tcPr>
            <w:tcW w:w="811" w:type="dxa"/>
          </w:tcPr>
          <w:p>
            <w:pPr>
              <w:pStyle w:val="TableParagraph"/>
              <w:rPr>
                <w:rFonts w:ascii="Times New Roman"/>
                <w:sz w:val="16"/>
              </w:rPr>
            </w:pPr>
          </w:p>
        </w:tc>
        <w:tc>
          <w:tcPr>
            <w:tcW w:w="900" w:type="dxa"/>
          </w:tcPr>
          <w:p>
            <w:pPr>
              <w:pStyle w:val="TableParagraph"/>
              <w:rPr>
                <w:rFonts w:ascii="Times New Roman"/>
                <w:sz w:val="16"/>
              </w:rPr>
            </w:pPr>
          </w:p>
        </w:tc>
        <w:tc>
          <w:tcPr>
            <w:tcW w:w="1457" w:type="dxa"/>
          </w:tcPr>
          <w:p>
            <w:pPr>
              <w:pStyle w:val="TableParagraph"/>
              <w:spacing w:line="212" w:lineRule="exact"/>
              <w:ind w:left="155" w:right="140"/>
              <w:jc w:val="center"/>
              <w:rPr>
                <w:sz w:val="20"/>
              </w:rPr>
            </w:pPr>
            <w:r>
              <w:rPr>
                <w:sz w:val="20"/>
              </w:rPr>
              <w:t>ns</w:t>
            </w:r>
          </w:p>
        </w:tc>
      </w:tr>
      <w:tr>
        <w:trPr>
          <w:trHeight w:val="229" w:hRule="atLeast"/>
        </w:trPr>
        <w:tc>
          <w:tcPr>
            <w:tcW w:w="2520" w:type="dxa"/>
          </w:tcPr>
          <w:p>
            <w:pPr>
              <w:pStyle w:val="TableParagraph"/>
              <w:spacing w:line="210" w:lineRule="exact"/>
              <w:ind w:left="107"/>
              <w:rPr>
                <w:sz w:val="20"/>
              </w:rPr>
            </w:pPr>
            <w:r>
              <w:rPr>
                <w:sz w:val="20"/>
              </w:rPr>
              <w:t>SPI Clock High</w:t>
            </w:r>
          </w:p>
        </w:tc>
        <w:tc>
          <w:tcPr>
            <w:tcW w:w="2880" w:type="dxa"/>
          </w:tcPr>
          <w:p>
            <w:pPr>
              <w:pStyle w:val="TableParagraph"/>
              <w:rPr>
                <w:rFonts w:ascii="Times New Roman"/>
                <w:sz w:val="16"/>
              </w:rPr>
            </w:pPr>
          </w:p>
        </w:tc>
        <w:tc>
          <w:tcPr>
            <w:tcW w:w="900" w:type="dxa"/>
          </w:tcPr>
          <w:p>
            <w:pPr>
              <w:pStyle w:val="TableParagraph"/>
              <w:spacing w:line="210" w:lineRule="exact"/>
              <w:ind w:left="92" w:right="76"/>
              <w:jc w:val="center"/>
              <w:rPr>
                <w:sz w:val="20"/>
              </w:rPr>
            </w:pPr>
            <w:r>
              <w:rPr>
                <w:sz w:val="20"/>
              </w:rPr>
              <w:t>40</w:t>
            </w:r>
          </w:p>
        </w:tc>
        <w:tc>
          <w:tcPr>
            <w:tcW w:w="811" w:type="dxa"/>
          </w:tcPr>
          <w:p>
            <w:pPr>
              <w:pStyle w:val="TableParagraph"/>
              <w:rPr>
                <w:rFonts w:ascii="Times New Roman"/>
                <w:sz w:val="16"/>
              </w:rPr>
            </w:pPr>
          </w:p>
        </w:tc>
        <w:tc>
          <w:tcPr>
            <w:tcW w:w="900" w:type="dxa"/>
          </w:tcPr>
          <w:p>
            <w:pPr>
              <w:pStyle w:val="TableParagraph"/>
              <w:rPr>
                <w:rFonts w:ascii="Times New Roman"/>
                <w:sz w:val="16"/>
              </w:rPr>
            </w:pPr>
          </w:p>
        </w:tc>
        <w:tc>
          <w:tcPr>
            <w:tcW w:w="1457" w:type="dxa"/>
          </w:tcPr>
          <w:p>
            <w:pPr>
              <w:pStyle w:val="TableParagraph"/>
              <w:spacing w:line="210" w:lineRule="exact"/>
              <w:ind w:left="155" w:right="140"/>
              <w:jc w:val="center"/>
              <w:rPr>
                <w:sz w:val="20"/>
              </w:rPr>
            </w:pPr>
            <w:r>
              <w:rPr>
                <w:sz w:val="20"/>
              </w:rPr>
              <w:t>ns</w:t>
            </w:r>
          </w:p>
        </w:tc>
      </w:tr>
      <w:tr>
        <w:trPr>
          <w:trHeight w:val="229" w:hRule="atLeast"/>
        </w:trPr>
        <w:tc>
          <w:tcPr>
            <w:tcW w:w="2520" w:type="dxa"/>
          </w:tcPr>
          <w:p>
            <w:pPr>
              <w:pStyle w:val="TableParagraph"/>
              <w:spacing w:line="210" w:lineRule="exact"/>
              <w:ind w:left="107"/>
              <w:rPr>
                <w:sz w:val="20"/>
              </w:rPr>
            </w:pPr>
            <w:r>
              <w:rPr>
                <w:sz w:val="20"/>
              </w:rPr>
              <w:t>SPI Clock Low</w:t>
            </w:r>
          </w:p>
        </w:tc>
        <w:tc>
          <w:tcPr>
            <w:tcW w:w="2880" w:type="dxa"/>
          </w:tcPr>
          <w:p>
            <w:pPr>
              <w:pStyle w:val="TableParagraph"/>
              <w:rPr>
                <w:rFonts w:ascii="Times New Roman"/>
                <w:sz w:val="16"/>
              </w:rPr>
            </w:pPr>
          </w:p>
        </w:tc>
        <w:tc>
          <w:tcPr>
            <w:tcW w:w="900" w:type="dxa"/>
          </w:tcPr>
          <w:p>
            <w:pPr>
              <w:pStyle w:val="TableParagraph"/>
              <w:spacing w:line="210" w:lineRule="exact"/>
              <w:ind w:left="92" w:right="76"/>
              <w:jc w:val="center"/>
              <w:rPr>
                <w:sz w:val="20"/>
              </w:rPr>
            </w:pPr>
            <w:r>
              <w:rPr>
                <w:sz w:val="20"/>
              </w:rPr>
              <w:t>40</w:t>
            </w:r>
          </w:p>
        </w:tc>
        <w:tc>
          <w:tcPr>
            <w:tcW w:w="811" w:type="dxa"/>
          </w:tcPr>
          <w:p>
            <w:pPr>
              <w:pStyle w:val="TableParagraph"/>
              <w:rPr>
                <w:rFonts w:ascii="Times New Roman"/>
                <w:sz w:val="16"/>
              </w:rPr>
            </w:pPr>
          </w:p>
        </w:tc>
        <w:tc>
          <w:tcPr>
            <w:tcW w:w="900" w:type="dxa"/>
          </w:tcPr>
          <w:p>
            <w:pPr>
              <w:pStyle w:val="TableParagraph"/>
              <w:rPr>
                <w:rFonts w:ascii="Times New Roman"/>
                <w:sz w:val="16"/>
              </w:rPr>
            </w:pPr>
          </w:p>
        </w:tc>
        <w:tc>
          <w:tcPr>
            <w:tcW w:w="1457" w:type="dxa"/>
          </w:tcPr>
          <w:p>
            <w:pPr>
              <w:pStyle w:val="TableParagraph"/>
              <w:spacing w:line="210" w:lineRule="exact"/>
              <w:ind w:left="155" w:right="140"/>
              <w:jc w:val="center"/>
              <w:rPr>
                <w:sz w:val="20"/>
              </w:rPr>
            </w:pPr>
            <w:r>
              <w:rPr>
                <w:sz w:val="20"/>
              </w:rPr>
              <w:t>ns</w:t>
            </w:r>
          </w:p>
        </w:tc>
      </w:tr>
      <w:tr>
        <w:trPr>
          <w:trHeight w:val="229" w:hRule="atLeast"/>
        </w:trPr>
        <w:tc>
          <w:tcPr>
            <w:tcW w:w="2520" w:type="dxa"/>
          </w:tcPr>
          <w:p>
            <w:pPr>
              <w:pStyle w:val="TableParagraph"/>
              <w:spacing w:line="210" w:lineRule="exact"/>
              <w:ind w:left="107"/>
              <w:rPr>
                <w:sz w:val="20"/>
              </w:rPr>
            </w:pPr>
            <w:r>
              <w:rPr>
                <w:sz w:val="20"/>
              </w:rPr>
              <w:t>SPI Clock Freq</w:t>
            </w:r>
          </w:p>
        </w:tc>
        <w:tc>
          <w:tcPr>
            <w:tcW w:w="2880" w:type="dxa"/>
          </w:tcPr>
          <w:p>
            <w:pPr>
              <w:pStyle w:val="TableParagraph"/>
              <w:spacing w:line="210" w:lineRule="exact"/>
              <w:ind w:left="107"/>
              <w:rPr>
                <w:sz w:val="20"/>
              </w:rPr>
            </w:pPr>
            <w:r>
              <w:rPr>
                <w:sz w:val="20"/>
              </w:rPr>
              <w:t>SPI Freq/MPU Freq</w:t>
            </w:r>
          </w:p>
        </w:tc>
        <w:tc>
          <w:tcPr>
            <w:tcW w:w="900" w:type="dxa"/>
          </w:tcPr>
          <w:p>
            <w:pPr>
              <w:pStyle w:val="TableParagraph"/>
              <w:rPr>
                <w:rFonts w:ascii="Times New Roman"/>
                <w:sz w:val="16"/>
              </w:rPr>
            </w:pPr>
          </w:p>
        </w:tc>
        <w:tc>
          <w:tcPr>
            <w:tcW w:w="811" w:type="dxa"/>
          </w:tcPr>
          <w:p>
            <w:pPr>
              <w:pStyle w:val="TableParagraph"/>
              <w:rPr>
                <w:rFonts w:ascii="Times New Roman"/>
                <w:sz w:val="16"/>
              </w:rPr>
            </w:pPr>
          </w:p>
        </w:tc>
        <w:tc>
          <w:tcPr>
            <w:tcW w:w="900" w:type="dxa"/>
          </w:tcPr>
          <w:p>
            <w:pPr>
              <w:pStyle w:val="TableParagraph"/>
              <w:spacing w:line="210" w:lineRule="exact"/>
              <w:ind w:right="294"/>
              <w:jc w:val="right"/>
              <w:rPr>
                <w:sz w:val="20"/>
              </w:rPr>
            </w:pPr>
            <w:r>
              <w:rPr>
                <w:w w:val="95"/>
                <w:sz w:val="20"/>
              </w:rPr>
              <w:t>2.0</w:t>
            </w:r>
          </w:p>
        </w:tc>
        <w:tc>
          <w:tcPr>
            <w:tcW w:w="1457" w:type="dxa"/>
          </w:tcPr>
          <w:p>
            <w:pPr>
              <w:pStyle w:val="TableParagraph"/>
              <w:spacing w:line="210" w:lineRule="exact"/>
              <w:ind w:left="155" w:right="140"/>
              <w:jc w:val="center"/>
              <w:rPr>
                <w:sz w:val="20"/>
              </w:rPr>
            </w:pPr>
            <w:r>
              <w:rPr>
                <w:sz w:val="20"/>
              </w:rPr>
              <w:t>MHz/MHz</w:t>
            </w:r>
          </w:p>
        </w:tc>
      </w:tr>
      <w:tr>
        <w:trPr>
          <w:trHeight w:val="232" w:hRule="atLeast"/>
        </w:trPr>
        <w:tc>
          <w:tcPr>
            <w:tcW w:w="2520" w:type="dxa"/>
          </w:tcPr>
          <w:p>
            <w:pPr>
              <w:pStyle w:val="TableParagraph"/>
              <w:spacing w:line="212" w:lineRule="exact"/>
              <w:ind w:left="107"/>
              <w:rPr>
                <w:sz w:val="20"/>
              </w:rPr>
            </w:pPr>
            <w:r>
              <w:rPr>
                <w:sz w:val="20"/>
              </w:rPr>
              <w:t>SPI Transaction Space</w:t>
            </w:r>
          </w:p>
        </w:tc>
        <w:tc>
          <w:tcPr>
            <w:tcW w:w="2880" w:type="dxa"/>
          </w:tcPr>
          <w:p>
            <w:pPr>
              <w:pStyle w:val="TableParagraph"/>
              <w:spacing w:line="212" w:lineRule="exact"/>
              <w:ind w:left="107"/>
              <w:rPr>
                <w:sz w:val="20"/>
              </w:rPr>
            </w:pPr>
            <w:r>
              <w:rPr>
                <w:sz w:val="20"/>
              </w:rPr>
              <w:t>SPI_CSZ rise to SPI_CSZ fall</w:t>
            </w:r>
          </w:p>
        </w:tc>
        <w:tc>
          <w:tcPr>
            <w:tcW w:w="900" w:type="dxa"/>
          </w:tcPr>
          <w:p>
            <w:pPr>
              <w:pStyle w:val="TableParagraph"/>
              <w:spacing w:line="212" w:lineRule="exact"/>
              <w:ind w:left="90" w:right="76"/>
              <w:jc w:val="center"/>
              <w:rPr>
                <w:sz w:val="20"/>
              </w:rPr>
            </w:pPr>
            <w:r>
              <w:rPr>
                <w:sz w:val="20"/>
              </w:rPr>
              <w:t>4.5</w:t>
            </w:r>
          </w:p>
        </w:tc>
        <w:tc>
          <w:tcPr>
            <w:tcW w:w="811" w:type="dxa"/>
          </w:tcPr>
          <w:p>
            <w:pPr>
              <w:pStyle w:val="TableParagraph"/>
              <w:rPr>
                <w:rFonts w:ascii="Times New Roman"/>
                <w:sz w:val="16"/>
              </w:rPr>
            </w:pPr>
          </w:p>
        </w:tc>
        <w:tc>
          <w:tcPr>
            <w:tcW w:w="900" w:type="dxa"/>
          </w:tcPr>
          <w:p>
            <w:pPr>
              <w:pStyle w:val="TableParagraph"/>
              <w:rPr>
                <w:rFonts w:ascii="Times New Roman"/>
                <w:sz w:val="16"/>
              </w:rPr>
            </w:pPr>
          </w:p>
        </w:tc>
        <w:tc>
          <w:tcPr>
            <w:tcW w:w="1457" w:type="dxa"/>
          </w:tcPr>
          <w:p>
            <w:pPr>
              <w:pStyle w:val="TableParagraph"/>
              <w:spacing w:line="212" w:lineRule="exact"/>
              <w:ind w:left="155" w:right="140"/>
              <w:jc w:val="center"/>
              <w:rPr>
                <w:sz w:val="20"/>
              </w:rPr>
            </w:pPr>
            <w:r>
              <w:rPr>
                <w:sz w:val="20"/>
              </w:rPr>
              <w:t>MPU Cycles</w:t>
            </w:r>
          </w:p>
        </w:tc>
      </w:tr>
    </w:tbl>
    <w:p>
      <w:pPr>
        <w:pStyle w:val="BodyText"/>
        <w:spacing w:before="8"/>
        <w:rPr>
          <w:b/>
          <w:sz w:val="21"/>
        </w:rPr>
      </w:pPr>
    </w:p>
    <w:p>
      <w:pPr>
        <w:spacing w:after="0"/>
        <w:rPr>
          <w:sz w:val="21"/>
        </w:rPr>
        <w:sectPr>
          <w:type w:val="continuous"/>
          <w:pgSz w:w="12240" w:h="15840"/>
          <w:pgMar w:top="940" w:bottom="280" w:left="960" w:right="940"/>
        </w:sectPr>
      </w:pPr>
    </w:p>
    <w:p>
      <w:pPr>
        <w:pStyle w:val="ListParagraph"/>
        <w:numPr>
          <w:ilvl w:val="2"/>
          <w:numId w:val="41"/>
        </w:numPr>
        <w:tabs>
          <w:tab w:pos="1199" w:val="left" w:leader="none"/>
          <w:tab w:pos="1200" w:val="left" w:leader="none"/>
        </w:tabs>
        <w:spacing w:line="240" w:lineRule="auto" w:before="94" w:after="0"/>
        <w:ind w:left="1199" w:right="0" w:hanging="720"/>
        <w:jc w:val="left"/>
        <w:rPr>
          <w:b/>
          <w:sz w:val="22"/>
        </w:rPr>
      </w:pPr>
      <w:bookmarkStart w:name="6.5.3 EEPROM Interface" w:id="589"/>
      <w:bookmarkEnd w:id="589"/>
      <w:r>
        <w:rPr/>
      </w:r>
      <w:bookmarkStart w:name="_bookmark288" w:id="590"/>
      <w:bookmarkEnd w:id="590"/>
      <w:r>
        <w:rPr/>
      </w:r>
      <w:bookmarkStart w:name="_bookmark288" w:id="591"/>
      <w:bookmarkEnd w:id="591"/>
      <w:r>
        <w:rPr>
          <w:b/>
          <w:sz w:val="22"/>
        </w:rPr>
        <w:t>EEP</w:t>
      </w:r>
      <w:r>
        <w:rPr>
          <w:b/>
          <w:sz w:val="22"/>
        </w:rPr>
        <w:t>ROM</w:t>
      </w:r>
      <w:r>
        <w:rPr>
          <w:b/>
          <w:spacing w:val="7"/>
          <w:sz w:val="22"/>
        </w:rPr>
        <w:t> </w:t>
      </w:r>
      <w:r>
        <w:rPr>
          <w:b/>
          <w:spacing w:val="-3"/>
          <w:sz w:val="22"/>
        </w:rPr>
        <w:t>Interface</w:t>
      </w:r>
    </w:p>
    <w:p>
      <w:pPr>
        <w:pStyle w:val="BodyText"/>
        <w:rPr>
          <w:b/>
          <w:sz w:val="22"/>
        </w:rPr>
      </w:pPr>
      <w:r>
        <w:rPr/>
        <w:br w:type="column"/>
      </w:r>
      <w:r>
        <w:rPr>
          <w:b/>
          <w:sz w:val="22"/>
        </w:rPr>
      </w:r>
    </w:p>
    <w:p>
      <w:pPr>
        <w:pStyle w:val="BodyText"/>
        <w:spacing w:before="8"/>
        <w:rPr>
          <w:b/>
          <w:sz w:val="18"/>
        </w:rPr>
      </w:pPr>
    </w:p>
    <w:p>
      <w:pPr>
        <w:pStyle w:val="Heading1"/>
        <w:ind w:left="236"/>
        <w:jc w:val="left"/>
      </w:pPr>
      <w:bookmarkStart w:name="_bookmark289" w:id="592"/>
      <w:bookmarkEnd w:id="592"/>
      <w:r>
        <w:rPr>
          <w:b w:val="0"/>
        </w:rPr>
      </w:r>
      <w:r>
        <w:rPr/>
        <w:t>Table 107: EEPROM Interface Timing</w:t>
      </w:r>
    </w:p>
    <w:p>
      <w:pPr>
        <w:spacing w:after="0"/>
        <w:jc w:val="left"/>
        <w:sectPr>
          <w:type w:val="continuous"/>
          <w:pgSz w:w="12240" w:h="15840"/>
          <w:pgMar w:top="940" w:bottom="280" w:left="960" w:right="940"/>
          <w:cols w:num="2" w:equalWidth="0">
            <w:col w:w="3134" w:space="40"/>
            <w:col w:w="7166"/>
          </w:cols>
        </w:sectPr>
      </w:pPr>
    </w:p>
    <w:p>
      <w:pPr>
        <w:pStyle w:val="BodyText"/>
        <w:spacing w:before="8"/>
        <w:rPr>
          <w:b/>
          <w:sz w:val="5"/>
        </w:rPr>
      </w:pPr>
    </w:p>
    <w:tbl>
      <w:tblPr>
        <w:tblW w:w="0" w:type="auto"/>
        <w:jc w:val="left"/>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00"/>
        <w:gridCol w:w="2340"/>
        <w:gridCol w:w="900"/>
        <w:gridCol w:w="811"/>
        <w:gridCol w:w="900"/>
        <w:gridCol w:w="809"/>
      </w:tblGrid>
      <w:tr>
        <w:trPr>
          <w:trHeight w:val="308" w:hRule="atLeast"/>
        </w:trPr>
        <w:tc>
          <w:tcPr>
            <w:tcW w:w="3600" w:type="dxa"/>
          </w:tcPr>
          <w:p>
            <w:pPr>
              <w:pStyle w:val="TableParagraph"/>
              <w:spacing w:before="35"/>
              <w:ind w:left="107"/>
              <w:rPr>
                <w:b/>
                <w:sz w:val="20"/>
              </w:rPr>
            </w:pPr>
            <w:r>
              <w:rPr>
                <w:b/>
                <w:sz w:val="20"/>
              </w:rPr>
              <w:t>Parameter</w:t>
            </w:r>
          </w:p>
        </w:tc>
        <w:tc>
          <w:tcPr>
            <w:tcW w:w="2340" w:type="dxa"/>
          </w:tcPr>
          <w:p>
            <w:pPr>
              <w:pStyle w:val="TableParagraph"/>
              <w:spacing w:before="35"/>
              <w:ind w:left="107"/>
              <w:rPr>
                <w:b/>
                <w:sz w:val="20"/>
              </w:rPr>
            </w:pPr>
            <w:r>
              <w:rPr>
                <w:b/>
                <w:sz w:val="20"/>
              </w:rPr>
              <w:t>Condition</w:t>
            </w:r>
          </w:p>
        </w:tc>
        <w:tc>
          <w:tcPr>
            <w:tcW w:w="900" w:type="dxa"/>
          </w:tcPr>
          <w:p>
            <w:pPr>
              <w:pStyle w:val="TableParagraph"/>
              <w:spacing w:before="35"/>
              <w:ind w:left="278"/>
              <w:rPr>
                <w:b/>
                <w:sz w:val="20"/>
              </w:rPr>
            </w:pPr>
            <w:r>
              <w:rPr>
                <w:b/>
                <w:sz w:val="20"/>
              </w:rPr>
              <w:t>Min</w:t>
            </w:r>
          </w:p>
        </w:tc>
        <w:tc>
          <w:tcPr>
            <w:tcW w:w="811" w:type="dxa"/>
          </w:tcPr>
          <w:p>
            <w:pPr>
              <w:pStyle w:val="TableParagraph"/>
              <w:spacing w:before="35"/>
              <w:ind w:left="203" w:right="192"/>
              <w:jc w:val="center"/>
              <w:rPr>
                <w:b/>
                <w:sz w:val="20"/>
              </w:rPr>
            </w:pPr>
            <w:r>
              <w:rPr>
                <w:b/>
                <w:sz w:val="20"/>
              </w:rPr>
              <w:t>Typ</w:t>
            </w:r>
          </w:p>
        </w:tc>
        <w:tc>
          <w:tcPr>
            <w:tcW w:w="900" w:type="dxa"/>
          </w:tcPr>
          <w:p>
            <w:pPr>
              <w:pStyle w:val="TableParagraph"/>
              <w:spacing w:before="35"/>
              <w:ind w:left="252"/>
              <w:rPr>
                <w:b/>
                <w:sz w:val="20"/>
              </w:rPr>
            </w:pPr>
            <w:r>
              <w:rPr>
                <w:b/>
                <w:sz w:val="20"/>
              </w:rPr>
              <w:t>Max</w:t>
            </w:r>
          </w:p>
        </w:tc>
        <w:tc>
          <w:tcPr>
            <w:tcW w:w="809" w:type="dxa"/>
          </w:tcPr>
          <w:p>
            <w:pPr>
              <w:pStyle w:val="TableParagraph"/>
              <w:spacing w:before="35"/>
              <w:ind w:left="206"/>
              <w:rPr>
                <w:b/>
                <w:sz w:val="20"/>
              </w:rPr>
            </w:pPr>
            <w:r>
              <w:rPr>
                <w:b/>
                <w:sz w:val="20"/>
              </w:rPr>
              <w:t>Unit</w:t>
            </w:r>
          </w:p>
        </w:tc>
      </w:tr>
      <w:tr>
        <w:trPr>
          <w:trHeight w:val="500" w:hRule="atLeast"/>
        </w:trPr>
        <w:tc>
          <w:tcPr>
            <w:tcW w:w="3600" w:type="dxa"/>
            <w:vMerge w:val="restart"/>
          </w:tcPr>
          <w:p>
            <w:pPr>
              <w:pStyle w:val="TableParagraph"/>
              <w:rPr>
                <w:b/>
                <w:sz w:val="26"/>
              </w:rPr>
            </w:pPr>
          </w:p>
          <w:p>
            <w:pPr>
              <w:pStyle w:val="TableParagraph"/>
              <w:spacing w:before="209"/>
              <w:ind w:left="107"/>
              <w:rPr>
                <w:sz w:val="20"/>
              </w:rPr>
            </w:pPr>
            <w:r>
              <w:rPr>
                <w:sz w:val="20"/>
              </w:rPr>
              <w:t>Write Clock frequency (I</w:t>
            </w:r>
            <w:r>
              <w:rPr>
                <w:sz w:val="20"/>
                <w:vertAlign w:val="superscript"/>
              </w:rPr>
              <w:t>2</w:t>
            </w:r>
            <w:r>
              <w:rPr>
                <w:sz w:val="20"/>
                <w:vertAlign w:val="baseline"/>
              </w:rPr>
              <w:t>C)</w:t>
            </w:r>
          </w:p>
        </w:tc>
        <w:tc>
          <w:tcPr>
            <w:tcW w:w="2340" w:type="dxa"/>
          </w:tcPr>
          <w:p>
            <w:pPr>
              <w:pStyle w:val="TableParagraph"/>
              <w:spacing w:before="18"/>
              <w:ind w:left="107"/>
              <w:rPr>
                <w:sz w:val="20"/>
              </w:rPr>
            </w:pPr>
            <w:r>
              <w:rPr>
                <w:sz w:val="20"/>
              </w:rPr>
              <w:t>CKMPU = 4.9 MHz,</w:t>
            </w:r>
          </w:p>
          <w:p>
            <w:pPr>
              <w:pStyle w:val="TableParagraph"/>
              <w:spacing w:before="1"/>
              <w:ind w:left="107"/>
              <w:rPr>
                <w:sz w:val="20"/>
              </w:rPr>
            </w:pPr>
            <w:r>
              <w:rPr>
                <w:sz w:val="20"/>
              </w:rPr>
              <w:t>Using interrupts</w:t>
            </w:r>
          </w:p>
        </w:tc>
        <w:tc>
          <w:tcPr>
            <w:tcW w:w="900" w:type="dxa"/>
          </w:tcPr>
          <w:p>
            <w:pPr>
              <w:pStyle w:val="TableParagraph"/>
              <w:rPr>
                <w:rFonts w:ascii="Times New Roman"/>
                <w:sz w:val="20"/>
              </w:rPr>
            </w:pPr>
          </w:p>
        </w:tc>
        <w:tc>
          <w:tcPr>
            <w:tcW w:w="811" w:type="dxa"/>
          </w:tcPr>
          <w:p>
            <w:pPr>
              <w:pStyle w:val="TableParagraph"/>
              <w:spacing w:before="133"/>
              <w:ind w:left="203" w:right="189"/>
              <w:jc w:val="center"/>
              <w:rPr>
                <w:sz w:val="20"/>
              </w:rPr>
            </w:pPr>
            <w:r>
              <w:rPr>
                <w:sz w:val="20"/>
              </w:rPr>
              <w:t>310</w:t>
            </w:r>
          </w:p>
        </w:tc>
        <w:tc>
          <w:tcPr>
            <w:tcW w:w="900" w:type="dxa"/>
          </w:tcPr>
          <w:p>
            <w:pPr>
              <w:pStyle w:val="TableParagraph"/>
              <w:rPr>
                <w:rFonts w:ascii="Times New Roman"/>
                <w:sz w:val="20"/>
              </w:rPr>
            </w:pPr>
          </w:p>
        </w:tc>
        <w:tc>
          <w:tcPr>
            <w:tcW w:w="809" w:type="dxa"/>
          </w:tcPr>
          <w:p>
            <w:pPr>
              <w:pStyle w:val="TableParagraph"/>
              <w:spacing w:before="133"/>
              <w:ind w:left="227"/>
              <w:rPr>
                <w:sz w:val="20"/>
              </w:rPr>
            </w:pPr>
            <w:r>
              <w:rPr>
                <w:sz w:val="20"/>
              </w:rPr>
              <w:t>kHz</w:t>
            </w:r>
          </w:p>
        </w:tc>
      </w:tr>
      <w:tr>
        <w:trPr>
          <w:trHeight w:val="731" w:hRule="atLeast"/>
        </w:trPr>
        <w:tc>
          <w:tcPr>
            <w:tcW w:w="3600" w:type="dxa"/>
            <w:vMerge/>
            <w:tcBorders>
              <w:top w:val="nil"/>
            </w:tcBorders>
          </w:tcPr>
          <w:p>
            <w:pPr>
              <w:rPr>
                <w:sz w:val="2"/>
                <w:szCs w:val="2"/>
              </w:rPr>
            </w:pPr>
          </w:p>
        </w:tc>
        <w:tc>
          <w:tcPr>
            <w:tcW w:w="2340" w:type="dxa"/>
          </w:tcPr>
          <w:p>
            <w:pPr>
              <w:pStyle w:val="TableParagraph"/>
              <w:spacing w:before="16"/>
              <w:ind w:left="107"/>
              <w:rPr>
                <w:sz w:val="20"/>
              </w:rPr>
            </w:pPr>
            <w:r>
              <w:rPr>
                <w:sz w:val="20"/>
              </w:rPr>
              <w:t>CKMPU = 4.9 MHz,</w:t>
            </w:r>
          </w:p>
          <w:p>
            <w:pPr>
              <w:pStyle w:val="TableParagraph"/>
              <w:spacing w:line="229" w:lineRule="exact"/>
              <w:ind w:left="107"/>
              <w:rPr>
                <w:sz w:val="20"/>
              </w:rPr>
            </w:pPr>
            <w:r>
              <w:rPr>
                <w:sz w:val="20"/>
              </w:rPr>
              <w:t>bit-banging DIO2/3</w:t>
            </w:r>
          </w:p>
          <w:p>
            <w:pPr>
              <w:pStyle w:val="TableParagraph"/>
              <w:spacing w:line="230" w:lineRule="exact"/>
              <w:ind w:left="107"/>
              <w:rPr>
                <w:sz w:val="20"/>
              </w:rPr>
            </w:pPr>
            <w:r>
              <w:rPr>
                <w:rFonts w:ascii="Times New Roman"/>
                <w:i/>
                <w:sz w:val="20"/>
              </w:rPr>
              <w:t>PLL_FAST </w:t>
            </w:r>
            <w:r>
              <w:rPr>
                <w:sz w:val="20"/>
              </w:rPr>
              <w:t>= 0</w:t>
            </w:r>
          </w:p>
        </w:tc>
        <w:tc>
          <w:tcPr>
            <w:tcW w:w="900" w:type="dxa"/>
          </w:tcPr>
          <w:p>
            <w:pPr>
              <w:pStyle w:val="TableParagraph"/>
              <w:rPr>
                <w:rFonts w:ascii="Times New Roman"/>
                <w:sz w:val="20"/>
              </w:rPr>
            </w:pPr>
          </w:p>
        </w:tc>
        <w:tc>
          <w:tcPr>
            <w:tcW w:w="811" w:type="dxa"/>
          </w:tcPr>
          <w:p>
            <w:pPr>
              <w:pStyle w:val="TableParagraph"/>
              <w:spacing w:before="4"/>
              <w:rPr>
                <w:b/>
                <w:sz w:val="21"/>
              </w:rPr>
            </w:pPr>
          </w:p>
          <w:p>
            <w:pPr>
              <w:pStyle w:val="TableParagraph"/>
              <w:spacing w:before="1"/>
              <w:ind w:left="203" w:right="189"/>
              <w:jc w:val="center"/>
              <w:rPr>
                <w:sz w:val="20"/>
              </w:rPr>
            </w:pPr>
            <w:r>
              <w:rPr>
                <w:sz w:val="20"/>
              </w:rPr>
              <w:t>100</w:t>
            </w:r>
          </w:p>
        </w:tc>
        <w:tc>
          <w:tcPr>
            <w:tcW w:w="900" w:type="dxa"/>
          </w:tcPr>
          <w:p>
            <w:pPr>
              <w:pStyle w:val="TableParagraph"/>
              <w:rPr>
                <w:rFonts w:ascii="Times New Roman"/>
                <w:sz w:val="20"/>
              </w:rPr>
            </w:pPr>
          </w:p>
        </w:tc>
        <w:tc>
          <w:tcPr>
            <w:tcW w:w="809" w:type="dxa"/>
          </w:tcPr>
          <w:p>
            <w:pPr>
              <w:pStyle w:val="TableParagraph"/>
              <w:spacing w:before="4"/>
              <w:rPr>
                <w:b/>
                <w:sz w:val="21"/>
              </w:rPr>
            </w:pPr>
          </w:p>
          <w:p>
            <w:pPr>
              <w:pStyle w:val="TableParagraph"/>
              <w:spacing w:before="1"/>
              <w:ind w:left="227"/>
              <w:rPr>
                <w:sz w:val="20"/>
              </w:rPr>
            </w:pPr>
            <w:r>
              <w:rPr>
                <w:sz w:val="20"/>
              </w:rPr>
              <w:t>kHz</w:t>
            </w:r>
          </w:p>
        </w:tc>
      </w:tr>
      <w:tr>
        <w:trPr>
          <w:trHeight w:val="731" w:hRule="atLeast"/>
        </w:trPr>
        <w:tc>
          <w:tcPr>
            <w:tcW w:w="3600" w:type="dxa"/>
          </w:tcPr>
          <w:p>
            <w:pPr>
              <w:pStyle w:val="TableParagraph"/>
              <w:spacing w:before="16"/>
              <w:ind w:left="107"/>
              <w:rPr>
                <w:sz w:val="20"/>
              </w:rPr>
            </w:pPr>
            <w:r>
              <w:rPr>
                <w:sz w:val="20"/>
              </w:rPr>
              <w:t>Write Clock frequency (3-wire)</w:t>
            </w:r>
          </w:p>
        </w:tc>
        <w:tc>
          <w:tcPr>
            <w:tcW w:w="2340" w:type="dxa"/>
          </w:tcPr>
          <w:p>
            <w:pPr>
              <w:pStyle w:val="TableParagraph"/>
              <w:spacing w:line="229" w:lineRule="exact" w:before="16"/>
              <w:ind w:left="107"/>
              <w:rPr>
                <w:sz w:val="20"/>
              </w:rPr>
            </w:pPr>
            <w:r>
              <w:rPr>
                <w:sz w:val="20"/>
              </w:rPr>
              <w:t>CKMPU = 4.9 MHz</w:t>
            </w:r>
          </w:p>
          <w:p>
            <w:pPr>
              <w:pStyle w:val="TableParagraph"/>
              <w:spacing w:line="230" w:lineRule="exact"/>
              <w:ind w:left="107"/>
              <w:rPr>
                <w:sz w:val="20"/>
              </w:rPr>
            </w:pPr>
            <w:r>
              <w:rPr>
                <w:rFonts w:ascii="Times New Roman"/>
                <w:i/>
                <w:sz w:val="20"/>
              </w:rPr>
              <w:t>PLL_FAST </w:t>
            </w:r>
            <w:r>
              <w:rPr>
                <w:sz w:val="20"/>
              </w:rPr>
              <w:t>=</w:t>
            </w:r>
            <w:r>
              <w:rPr>
                <w:spacing w:val="-7"/>
                <w:sz w:val="20"/>
              </w:rPr>
              <w:t> </w:t>
            </w:r>
            <w:r>
              <w:rPr>
                <w:sz w:val="20"/>
              </w:rPr>
              <w:t>0</w:t>
            </w:r>
          </w:p>
          <w:p>
            <w:pPr>
              <w:pStyle w:val="TableParagraph"/>
              <w:spacing w:line="231" w:lineRule="exact"/>
              <w:ind w:left="107"/>
              <w:rPr>
                <w:sz w:val="20"/>
              </w:rPr>
            </w:pPr>
            <w:r>
              <w:rPr>
                <w:rFonts w:ascii="Times New Roman"/>
                <w:i/>
                <w:sz w:val="20"/>
              </w:rPr>
              <w:t>PLL_FAST </w:t>
            </w:r>
            <w:r>
              <w:rPr>
                <w:sz w:val="20"/>
              </w:rPr>
              <w:t>=</w:t>
            </w:r>
            <w:r>
              <w:rPr>
                <w:spacing w:val="-7"/>
                <w:sz w:val="20"/>
              </w:rPr>
              <w:t> </w:t>
            </w:r>
            <w:r>
              <w:rPr>
                <w:sz w:val="20"/>
              </w:rPr>
              <w:t>1</w:t>
            </w:r>
          </w:p>
        </w:tc>
        <w:tc>
          <w:tcPr>
            <w:tcW w:w="900" w:type="dxa"/>
          </w:tcPr>
          <w:p>
            <w:pPr>
              <w:pStyle w:val="TableParagraph"/>
              <w:rPr>
                <w:rFonts w:ascii="Times New Roman"/>
                <w:sz w:val="20"/>
              </w:rPr>
            </w:pPr>
          </w:p>
        </w:tc>
        <w:tc>
          <w:tcPr>
            <w:tcW w:w="811" w:type="dxa"/>
          </w:tcPr>
          <w:p>
            <w:pPr>
              <w:pStyle w:val="TableParagraph"/>
              <w:spacing w:before="4"/>
              <w:rPr>
                <w:b/>
                <w:sz w:val="21"/>
              </w:rPr>
            </w:pPr>
          </w:p>
          <w:p>
            <w:pPr>
              <w:pStyle w:val="TableParagraph"/>
              <w:spacing w:before="1"/>
              <w:ind w:left="237"/>
              <w:rPr>
                <w:sz w:val="20"/>
              </w:rPr>
            </w:pPr>
            <w:r>
              <w:rPr>
                <w:sz w:val="20"/>
              </w:rPr>
              <w:t>160</w:t>
            </w:r>
          </w:p>
          <w:p>
            <w:pPr>
              <w:pStyle w:val="TableParagraph"/>
              <w:ind w:left="237"/>
              <w:rPr>
                <w:sz w:val="20"/>
              </w:rPr>
            </w:pPr>
            <w:r>
              <w:rPr>
                <w:sz w:val="20"/>
              </w:rPr>
              <w:t>500</w:t>
            </w:r>
          </w:p>
        </w:tc>
        <w:tc>
          <w:tcPr>
            <w:tcW w:w="900" w:type="dxa"/>
          </w:tcPr>
          <w:p>
            <w:pPr>
              <w:pStyle w:val="TableParagraph"/>
              <w:rPr>
                <w:rFonts w:ascii="Times New Roman"/>
                <w:sz w:val="20"/>
              </w:rPr>
            </w:pPr>
          </w:p>
        </w:tc>
        <w:tc>
          <w:tcPr>
            <w:tcW w:w="809" w:type="dxa"/>
          </w:tcPr>
          <w:p>
            <w:pPr>
              <w:pStyle w:val="TableParagraph"/>
              <w:spacing w:before="4"/>
              <w:rPr>
                <w:b/>
                <w:sz w:val="21"/>
              </w:rPr>
            </w:pPr>
          </w:p>
          <w:p>
            <w:pPr>
              <w:pStyle w:val="TableParagraph"/>
              <w:spacing w:before="1"/>
              <w:ind w:left="227"/>
              <w:rPr>
                <w:sz w:val="20"/>
              </w:rPr>
            </w:pPr>
            <w:r>
              <w:rPr>
                <w:sz w:val="20"/>
              </w:rPr>
              <w:t>kHz</w:t>
            </w:r>
          </w:p>
        </w:tc>
      </w:tr>
    </w:tbl>
    <w:p>
      <w:pPr>
        <w:spacing w:after="0"/>
        <w:rPr>
          <w:sz w:val="20"/>
        </w:rPr>
        <w:sectPr>
          <w:type w:val="continuous"/>
          <w:pgSz w:w="12240" w:h="15840"/>
          <w:pgMar w:top="940" w:bottom="280" w:left="960" w:right="940"/>
        </w:sectPr>
      </w:pPr>
    </w:p>
    <w:p>
      <w:pPr>
        <w:pStyle w:val="ListParagraph"/>
        <w:numPr>
          <w:ilvl w:val="2"/>
          <w:numId w:val="41"/>
        </w:numPr>
        <w:tabs>
          <w:tab w:pos="1199" w:val="left" w:leader="none"/>
          <w:tab w:pos="1200" w:val="left" w:leader="none"/>
        </w:tabs>
        <w:spacing w:line="240" w:lineRule="auto" w:before="88" w:after="0"/>
        <w:ind w:left="1199" w:right="0" w:hanging="720"/>
        <w:jc w:val="left"/>
        <w:rPr>
          <w:b/>
          <w:sz w:val="22"/>
        </w:rPr>
      </w:pPr>
      <w:bookmarkStart w:name="6.5.4 RESET Pin" w:id="593"/>
      <w:bookmarkEnd w:id="593"/>
      <w:r>
        <w:rPr/>
      </w:r>
      <w:bookmarkStart w:name="_bookmark290" w:id="594"/>
      <w:bookmarkEnd w:id="594"/>
      <w:r>
        <w:rPr/>
      </w:r>
      <w:bookmarkStart w:name="_bookmark290" w:id="595"/>
      <w:bookmarkEnd w:id="595"/>
      <w:r>
        <w:rPr>
          <w:b/>
          <w:sz w:val="22"/>
        </w:rPr>
        <w:t>R</w:t>
      </w:r>
      <w:r>
        <w:rPr>
          <w:b/>
          <w:sz w:val="22"/>
        </w:rPr>
        <w:t>ESET</w:t>
      </w:r>
      <w:r>
        <w:rPr>
          <w:b/>
          <w:spacing w:val="-2"/>
          <w:sz w:val="22"/>
        </w:rPr>
        <w:t> </w:t>
      </w:r>
      <w:r>
        <w:rPr>
          <w:b/>
          <w:sz w:val="22"/>
        </w:rPr>
        <w:t>Pin</w:t>
      </w:r>
    </w:p>
    <w:p>
      <w:pPr>
        <w:pStyle w:val="BodyText"/>
        <w:rPr>
          <w:b/>
          <w:sz w:val="22"/>
        </w:rPr>
      </w:pPr>
      <w:r>
        <w:rPr/>
        <w:br w:type="column"/>
      </w:r>
      <w:r>
        <w:rPr>
          <w:b/>
          <w:sz w:val="22"/>
        </w:rPr>
      </w:r>
    </w:p>
    <w:p>
      <w:pPr>
        <w:pStyle w:val="BodyText"/>
        <w:spacing w:before="11"/>
        <w:rPr>
          <w:b/>
          <w:sz w:val="17"/>
        </w:rPr>
      </w:pPr>
    </w:p>
    <w:p>
      <w:pPr>
        <w:pStyle w:val="Heading1"/>
        <w:ind w:left="480"/>
        <w:jc w:val="left"/>
      </w:pPr>
      <w:bookmarkStart w:name="_bookmark291" w:id="596"/>
      <w:bookmarkEnd w:id="596"/>
      <w:r>
        <w:rPr>
          <w:b w:val="0"/>
        </w:rPr>
      </w:r>
      <w:r>
        <w:rPr/>
        <w:t>Table 108: RESET Pin Timing</w:t>
      </w:r>
    </w:p>
    <w:p>
      <w:pPr>
        <w:spacing w:after="0"/>
        <w:jc w:val="left"/>
        <w:sectPr>
          <w:pgSz w:w="12240" w:h="15840"/>
          <w:pgMar w:header="727" w:footer="819" w:top="1160" w:bottom="1000" w:left="960" w:right="940"/>
          <w:cols w:num="2" w:equalWidth="0">
            <w:col w:w="2378" w:space="912"/>
            <w:col w:w="7050"/>
          </w:cols>
        </w:sectPr>
      </w:pPr>
    </w:p>
    <w:p>
      <w:pPr>
        <w:pStyle w:val="BodyText"/>
        <w:spacing w:before="8"/>
        <w:rPr>
          <w:b/>
          <w:sz w:val="5"/>
        </w:rPr>
      </w:pPr>
    </w:p>
    <w:tbl>
      <w:tblPr>
        <w:tblW w:w="0" w:type="auto"/>
        <w:jc w:val="left"/>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708"/>
        <w:gridCol w:w="2340"/>
        <w:gridCol w:w="900"/>
        <w:gridCol w:w="811"/>
        <w:gridCol w:w="900"/>
        <w:gridCol w:w="701"/>
      </w:tblGrid>
      <w:tr>
        <w:trPr>
          <w:trHeight w:val="311" w:hRule="atLeast"/>
        </w:trPr>
        <w:tc>
          <w:tcPr>
            <w:tcW w:w="3708" w:type="dxa"/>
          </w:tcPr>
          <w:p>
            <w:pPr>
              <w:pStyle w:val="TableParagraph"/>
              <w:spacing w:before="35"/>
              <w:ind w:left="107"/>
              <w:rPr>
                <w:b/>
                <w:sz w:val="20"/>
              </w:rPr>
            </w:pPr>
            <w:r>
              <w:rPr>
                <w:b/>
                <w:sz w:val="20"/>
              </w:rPr>
              <w:t>Parameter</w:t>
            </w:r>
          </w:p>
        </w:tc>
        <w:tc>
          <w:tcPr>
            <w:tcW w:w="2340" w:type="dxa"/>
          </w:tcPr>
          <w:p>
            <w:pPr>
              <w:pStyle w:val="TableParagraph"/>
              <w:spacing w:before="35"/>
              <w:ind w:left="107"/>
              <w:rPr>
                <w:b/>
                <w:sz w:val="20"/>
              </w:rPr>
            </w:pPr>
            <w:r>
              <w:rPr>
                <w:b/>
                <w:sz w:val="20"/>
              </w:rPr>
              <w:t>Condition</w:t>
            </w:r>
          </w:p>
        </w:tc>
        <w:tc>
          <w:tcPr>
            <w:tcW w:w="900" w:type="dxa"/>
          </w:tcPr>
          <w:p>
            <w:pPr>
              <w:pStyle w:val="TableParagraph"/>
              <w:spacing w:before="35"/>
              <w:ind w:left="93" w:right="75"/>
              <w:jc w:val="center"/>
              <w:rPr>
                <w:b/>
                <w:sz w:val="20"/>
              </w:rPr>
            </w:pPr>
            <w:r>
              <w:rPr>
                <w:b/>
                <w:sz w:val="20"/>
              </w:rPr>
              <w:t>Min</w:t>
            </w:r>
          </w:p>
        </w:tc>
        <w:tc>
          <w:tcPr>
            <w:tcW w:w="811" w:type="dxa"/>
          </w:tcPr>
          <w:p>
            <w:pPr>
              <w:pStyle w:val="TableParagraph"/>
              <w:spacing w:before="35"/>
              <w:ind w:left="225"/>
              <w:rPr>
                <w:b/>
                <w:sz w:val="20"/>
              </w:rPr>
            </w:pPr>
            <w:r>
              <w:rPr>
                <w:b/>
                <w:sz w:val="20"/>
              </w:rPr>
              <w:t>Typ</w:t>
            </w:r>
          </w:p>
        </w:tc>
        <w:tc>
          <w:tcPr>
            <w:tcW w:w="900" w:type="dxa"/>
          </w:tcPr>
          <w:p>
            <w:pPr>
              <w:pStyle w:val="TableParagraph"/>
              <w:spacing w:before="35"/>
              <w:ind w:left="90" w:right="76"/>
              <w:jc w:val="center"/>
              <w:rPr>
                <w:b/>
                <w:sz w:val="20"/>
              </w:rPr>
            </w:pPr>
            <w:r>
              <w:rPr>
                <w:b/>
                <w:sz w:val="20"/>
              </w:rPr>
              <w:t>Max</w:t>
            </w:r>
          </w:p>
        </w:tc>
        <w:tc>
          <w:tcPr>
            <w:tcW w:w="701" w:type="dxa"/>
          </w:tcPr>
          <w:p>
            <w:pPr>
              <w:pStyle w:val="TableParagraph"/>
              <w:spacing w:before="35"/>
              <w:ind w:left="132" w:right="119"/>
              <w:jc w:val="center"/>
              <w:rPr>
                <w:b/>
                <w:sz w:val="20"/>
              </w:rPr>
            </w:pPr>
            <w:r>
              <w:rPr>
                <w:b/>
                <w:sz w:val="20"/>
              </w:rPr>
              <w:t>Unit</w:t>
            </w:r>
          </w:p>
        </w:tc>
      </w:tr>
      <w:tr>
        <w:trPr>
          <w:trHeight w:val="267" w:hRule="atLeast"/>
        </w:trPr>
        <w:tc>
          <w:tcPr>
            <w:tcW w:w="3708" w:type="dxa"/>
          </w:tcPr>
          <w:p>
            <w:pPr>
              <w:pStyle w:val="TableParagraph"/>
              <w:spacing w:before="16"/>
              <w:ind w:left="107"/>
              <w:rPr>
                <w:sz w:val="20"/>
              </w:rPr>
            </w:pPr>
            <w:r>
              <w:rPr>
                <w:sz w:val="20"/>
              </w:rPr>
              <w:t>Reset pulse width</w:t>
            </w:r>
          </w:p>
        </w:tc>
        <w:tc>
          <w:tcPr>
            <w:tcW w:w="2340" w:type="dxa"/>
          </w:tcPr>
          <w:p>
            <w:pPr>
              <w:pStyle w:val="TableParagraph"/>
              <w:rPr>
                <w:rFonts w:ascii="Times New Roman"/>
                <w:sz w:val="18"/>
              </w:rPr>
            </w:pPr>
          </w:p>
        </w:tc>
        <w:tc>
          <w:tcPr>
            <w:tcW w:w="900" w:type="dxa"/>
          </w:tcPr>
          <w:p>
            <w:pPr>
              <w:pStyle w:val="TableParagraph"/>
              <w:spacing w:before="16"/>
              <w:ind w:left="17"/>
              <w:jc w:val="center"/>
              <w:rPr>
                <w:sz w:val="20"/>
              </w:rPr>
            </w:pPr>
            <w:r>
              <w:rPr>
                <w:w w:val="99"/>
                <w:sz w:val="20"/>
              </w:rPr>
              <w:t>5</w:t>
            </w:r>
          </w:p>
        </w:tc>
        <w:tc>
          <w:tcPr>
            <w:tcW w:w="811" w:type="dxa"/>
          </w:tcPr>
          <w:p>
            <w:pPr>
              <w:pStyle w:val="TableParagraph"/>
              <w:rPr>
                <w:rFonts w:ascii="Times New Roman"/>
                <w:sz w:val="18"/>
              </w:rPr>
            </w:pPr>
          </w:p>
        </w:tc>
        <w:tc>
          <w:tcPr>
            <w:tcW w:w="900" w:type="dxa"/>
          </w:tcPr>
          <w:p>
            <w:pPr>
              <w:pStyle w:val="TableParagraph"/>
              <w:rPr>
                <w:rFonts w:ascii="Times New Roman"/>
                <w:sz w:val="18"/>
              </w:rPr>
            </w:pPr>
          </w:p>
        </w:tc>
        <w:tc>
          <w:tcPr>
            <w:tcW w:w="701" w:type="dxa"/>
          </w:tcPr>
          <w:p>
            <w:pPr>
              <w:pStyle w:val="TableParagraph"/>
              <w:spacing w:before="16"/>
              <w:ind w:left="132" w:right="119"/>
              <w:jc w:val="center"/>
              <w:rPr>
                <w:sz w:val="20"/>
              </w:rPr>
            </w:pPr>
            <w:r>
              <w:rPr>
                <w:sz w:val="20"/>
              </w:rPr>
              <w:t>µs</w:t>
            </w:r>
          </w:p>
        </w:tc>
      </w:tr>
      <w:tr>
        <w:trPr>
          <w:trHeight w:val="270" w:hRule="atLeast"/>
        </w:trPr>
        <w:tc>
          <w:tcPr>
            <w:tcW w:w="3708" w:type="dxa"/>
          </w:tcPr>
          <w:p>
            <w:pPr>
              <w:pStyle w:val="TableParagraph"/>
              <w:spacing w:before="18"/>
              <w:ind w:left="107"/>
              <w:rPr>
                <w:sz w:val="20"/>
              </w:rPr>
            </w:pPr>
            <w:r>
              <w:rPr>
                <w:sz w:val="20"/>
              </w:rPr>
              <w:t>Reset pulse fall time (see note 1)</w:t>
            </w:r>
          </w:p>
        </w:tc>
        <w:tc>
          <w:tcPr>
            <w:tcW w:w="2340" w:type="dxa"/>
          </w:tcPr>
          <w:p>
            <w:pPr>
              <w:pStyle w:val="TableParagraph"/>
              <w:rPr>
                <w:rFonts w:ascii="Times New Roman"/>
                <w:sz w:val="20"/>
              </w:rPr>
            </w:pPr>
          </w:p>
        </w:tc>
        <w:tc>
          <w:tcPr>
            <w:tcW w:w="900" w:type="dxa"/>
          </w:tcPr>
          <w:p>
            <w:pPr>
              <w:pStyle w:val="TableParagraph"/>
              <w:rPr>
                <w:rFonts w:ascii="Times New Roman"/>
                <w:sz w:val="20"/>
              </w:rPr>
            </w:pPr>
          </w:p>
        </w:tc>
        <w:tc>
          <w:tcPr>
            <w:tcW w:w="811" w:type="dxa"/>
          </w:tcPr>
          <w:p>
            <w:pPr>
              <w:pStyle w:val="TableParagraph"/>
              <w:rPr>
                <w:rFonts w:ascii="Times New Roman"/>
                <w:sz w:val="20"/>
              </w:rPr>
            </w:pPr>
          </w:p>
        </w:tc>
        <w:tc>
          <w:tcPr>
            <w:tcW w:w="900" w:type="dxa"/>
          </w:tcPr>
          <w:p>
            <w:pPr>
              <w:pStyle w:val="TableParagraph"/>
              <w:spacing w:before="18"/>
              <w:ind w:left="12"/>
              <w:jc w:val="center"/>
              <w:rPr>
                <w:sz w:val="20"/>
              </w:rPr>
            </w:pPr>
            <w:r>
              <w:rPr>
                <w:w w:val="99"/>
                <w:sz w:val="20"/>
              </w:rPr>
              <w:t>1</w:t>
            </w:r>
          </w:p>
        </w:tc>
        <w:tc>
          <w:tcPr>
            <w:tcW w:w="701" w:type="dxa"/>
          </w:tcPr>
          <w:p>
            <w:pPr>
              <w:pStyle w:val="TableParagraph"/>
              <w:spacing w:before="18"/>
              <w:ind w:left="132" w:right="119"/>
              <w:jc w:val="center"/>
              <w:rPr>
                <w:sz w:val="20"/>
              </w:rPr>
            </w:pPr>
            <w:r>
              <w:rPr>
                <w:sz w:val="20"/>
              </w:rPr>
              <w:t>µs</w:t>
            </w:r>
          </w:p>
        </w:tc>
      </w:tr>
      <w:tr>
        <w:trPr>
          <w:trHeight w:val="500" w:hRule="atLeast"/>
        </w:trPr>
        <w:tc>
          <w:tcPr>
            <w:tcW w:w="9360" w:type="dxa"/>
            <w:gridSpan w:val="6"/>
          </w:tcPr>
          <w:p>
            <w:pPr>
              <w:pStyle w:val="TableParagraph"/>
              <w:spacing w:before="16"/>
              <w:ind w:left="107"/>
              <w:rPr>
                <w:b/>
                <w:sz w:val="20"/>
              </w:rPr>
            </w:pPr>
            <w:r>
              <w:rPr>
                <w:b/>
                <w:sz w:val="20"/>
              </w:rPr>
              <w:t>Note:</w:t>
            </w:r>
          </w:p>
          <w:p>
            <w:pPr>
              <w:pStyle w:val="TableParagraph"/>
              <w:spacing w:before="3"/>
              <w:ind w:left="467"/>
              <w:rPr>
                <w:sz w:val="20"/>
              </w:rPr>
            </w:pPr>
            <w:r>
              <w:rPr>
                <w:sz w:val="20"/>
              </w:rPr>
              <w:t>1. Guaranteed by design; not production tested.</w:t>
            </w:r>
          </w:p>
        </w:tc>
      </w:tr>
    </w:tbl>
    <w:p>
      <w:pPr>
        <w:pStyle w:val="BodyText"/>
        <w:spacing w:before="9"/>
        <w:rPr>
          <w:b/>
          <w:sz w:val="8"/>
        </w:rPr>
      </w:pPr>
    </w:p>
    <w:p>
      <w:pPr>
        <w:spacing w:after="0"/>
        <w:rPr>
          <w:sz w:val="8"/>
        </w:rPr>
        <w:sectPr>
          <w:type w:val="continuous"/>
          <w:pgSz w:w="12240" w:h="15840"/>
          <w:pgMar w:top="940" w:bottom="280" w:left="960" w:right="940"/>
        </w:sectPr>
      </w:pPr>
    </w:p>
    <w:p>
      <w:pPr>
        <w:pStyle w:val="ListParagraph"/>
        <w:numPr>
          <w:ilvl w:val="2"/>
          <w:numId w:val="41"/>
        </w:numPr>
        <w:tabs>
          <w:tab w:pos="1199" w:val="left" w:leader="none"/>
          <w:tab w:pos="1200" w:val="left" w:leader="none"/>
        </w:tabs>
        <w:spacing w:line="240" w:lineRule="auto" w:before="93" w:after="0"/>
        <w:ind w:left="1199" w:right="0" w:hanging="720"/>
        <w:jc w:val="left"/>
        <w:rPr>
          <w:b/>
          <w:sz w:val="22"/>
        </w:rPr>
      </w:pPr>
      <w:bookmarkStart w:name="6.5.5 Real-Time Clock (RTC)" w:id="597"/>
      <w:bookmarkEnd w:id="597"/>
      <w:r>
        <w:rPr/>
      </w:r>
      <w:bookmarkStart w:name="_bookmark292" w:id="598"/>
      <w:bookmarkEnd w:id="598"/>
      <w:r>
        <w:rPr/>
      </w:r>
      <w:bookmarkStart w:name="_bookmark292" w:id="599"/>
      <w:bookmarkEnd w:id="599"/>
      <w:r>
        <w:rPr>
          <w:b/>
          <w:sz w:val="22"/>
        </w:rPr>
        <w:t>R</w:t>
      </w:r>
      <w:r>
        <w:rPr>
          <w:b/>
          <w:sz w:val="22"/>
        </w:rPr>
        <w:t>eal-Time Clock</w:t>
      </w:r>
      <w:r>
        <w:rPr>
          <w:b/>
          <w:spacing w:val="-11"/>
          <w:sz w:val="22"/>
        </w:rPr>
        <w:t> </w:t>
      </w:r>
      <w:r>
        <w:rPr>
          <w:b/>
          <w:sz w:val="22"/>
        </w:rPr>
        <w:t>(RTC)</w:t>
      </w:r>
    </w:p>
    <w:p>
      <w:pPr>
        <w:pStyle w:val="BodyText"/>
        <w:rPr>
          <w:b/>
          <w:sz w:val="22"/>
        </w:rPr>
      </w:pPr>
      <w:r>
        <w:rPr/>
        <w:br w:type="column"/>
      </w:r>
      <w:r>
        <w:rPr>
          <w:b/>
          <w:sz w:val="22"/>
        </w:rPr>
      </w:r>
    </w:p>
    <w:p>
      <w:pPr>
        <w:pStyle w:val="BodyText"/>
        <w:spacing w:before="7"/>
        <w:rPr>
          <w:b/>
          <w:sz w:val="18"/>
        </w:rPr>
      </w:pPr>
    </w:p>
    <w:p>
      <w:pPr>
        <w:pStyle w:val="Heading1"/>
        <w:ind w:left="88"/>
        <w:jc w:val="left"/>
      </w:pPr>
      <w:bookmarkStart w:name="_bookmark293" w:id="600"/>
      <w:bookmarkEnd w:id="600"/>
      <w:r>
        <w:rPr>
          <w:b w:val="0"/>
        </w:rPr>
      </w:r>
      <w:r>
        <w:rPr/>
        <w:t>Table 109: RTC Range for Date</w:t>
      </w:r>
    </w:p>
    <w:p>
      <w:pPr>
        <w:spacing w:after="0"/>
        <w:jc w:val="left"/>
        <w:sectPr>
          <w:type w:val="continuous"/>
          <w:pgSz w:w="12240" w:h="15840"/>
          <w:pgMar w:top="940" w:bottom="280" w:left="960" w:right="940"/>
          <w:cols w:num="2" w:equalWidth="0">
            <w:col w:w="3571" w:space="40"/>
            <w:col w:w="6729"/>
          </w:cols>
        </w:sectPr>
      </w:pPr>
    </w:p>
    <w:p>
      <w:pPr>
        <w:pStyle w:val="BodyText"/>
        <w:spacing w:before="8"/>
        <w:rPr>
          <w:b/>
          <w:sz w:val="5"/>
        </w:rPr>
      </w:pPr>
    </w:p>
    <w:tbl>
      <w:tblPr>
        <w:tblW w:w="0" w:type="auto"/>
        <w:jc w:val="left"/>
        <w:tblInd w:w="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00"/>
        <w:gridCol w:w="2340"/>
        <w:gridCol w:w="900"/>
        <w:gridCol w:w="811"/>
        <w:gridCol w:w="900"/>
        <w:gridCol w:w="809"/>
      </w:tblGrid>
      <w:tr>
        <w:trPr>
          <w:trHeight w:val="308" w:hRule="atLeast"/>
        </w:trPr>
        <w:tc>
          <w:tcPr>
            <w:tcW w:w="3600" w:type="dxa"/>
          </w:tcPr>
          <w:p>
            <w:pPr>
              <w:pStyle w:val="TableParagraph"/>
              <w:spacing w:before="35"/>
              <w:ind w:left="107"/>
              <w:rPr>
                <w:b/>
                <w:sz w:val="20"/>
              </w:rPr>
            </w:pPr>
            <w:r>
              <w:rPr>
                <w:b/>
                <w:sz w:val="20"/>
              </w:rPr>
              <w:t>Parameter</w:t>
            </w:r>
          </w:p>
        </w:tc>
        <w:tc>
          <w:tcPr>
            <w:tcW w:w="2340" w:type="dxa"/>
          </w:tcPr>
          <w:p>
            <w:pPr>
              <w:pStyle w:val="TableParagraph"/>
              <w:spacing w:before="35"/>
              <w:ind w:left="107"/>
              <w:rPr>
                <w:b/>
                <w:sz w:val="20"/>
              </w:rPr>
            </w:pPr>
            <w:r>
              <w:rPr>
                <w:b/>
                <w:sz w:val="20"/>
              </w:rPr>
              <w:t>Condition</w:t>
            </w:r>
          </w:p>
        </w:tc>
        <w:tc>
          <w:tcPr>
            <w:tcW w:w="900" w:type="dxa"/>
          </w:tcPr>
          <w:p>
            <w:pPr>
              <w:pStyle w:val="TableParagraph"/>
              <w:spacing w:before="35"/>
              <w:ind w:left="93" w:right="75"/>
              <w:jc w:val="center"/>
              <w:rPr>
                <w:b/>
                <w:sz w:val="20"/>
              </w:rPr>
            </w:pPr>
            <w:r>
              <w:rPr>
                <w:b/>
                <w:sz w:val="20"/>
              </w:rPr>
              <w:t>Min</w:t>
            </w:r>
          </w:p>
        </w:tc>
        <w:tc>
          <w:tcPr>
            <w:tcW w:w="811" w:type="dxa"/>
          </w:tcPr>
          <w:p>
            <w:pPr>
              <w:pStyle w:val="TableParagraph"/>
              <w:spacing w:before="35"/>
              <w:ind w:left="203" w:right="192"/>
              <w:jc w:val="center"/>
              <w:rPr>
                <w:b/>
                <w:sz w:val="20"/>
              </w:rPr>
            </w:pPr>
            <w:r>
              <w:rPr>
                <w:b/>
                <w:sz w:val="20"/>
              </w:rPr>
              <w:t>Typ</w:t>
            </w:r>
          </w:p>
        </w:tc>
        <w:tc>
          <w:tcPr>
            <w:tcW w:w="900" w:type="dxa"/>
          </w:tcPr>
          <w:p>
            <w:pPr>
              <w:pStyle w:val="TableParagraph"/>
              <w:spacing w:before="35"/>
              <w:ind w:left="251"/>
              <w:rPr>
                <w:b/>
                <w:sz w:val="20"/>
              </w:rPr>
            </w:pPr>
            <w:r>
              <w:rPr>
                <w:b/>
                <w:sz w:val="20"/>
              </w:rPr>
              <w:t>Max</w:t>
            </w:r>
          </w:p>
        </w:tc>
        <w:tc>
          <w:tcPr>
            <w:tcW w:w="809" w:type="dxa"/>
          </w:tcPr>
          <w:p>
            <w:pPr>
              <w:pStyle w:val="TableParagraph"/>
              <w:spacing w:before="35"/>
              <w:ind w:left="206"/>
              <w:rPr>
                <w:b/>
                <w:sz w:val="20"/>
              </w:rPr>
            </w:pPr>
            <w:r>
              <w:rPr>
                <w:b/>
                <w:sz w:val="20"/>
              </w:rPr>
              <w:t>Unit</w:t>
            </w:r>
          </w:p>
        </w:tc>
      </w:tr>
      <w:tr>
        <w:trPr>
          <w:trHeight w:val="270" w:hRule="atLeast"/>
        </w:trPr>
        <w:tc>
          <w:tcPr>
            <w:tcW w:w="3600" w:type="dxa"/>
          </w:tcPr>
          <w:p>
            <w:pPr>
              <w:pStyle w:val="TableParagraph"/>
              <w:spacing w:before="18"/>
              <w:ind w:left="107"/>
              <w:rPr>
                <w:sz w:val="20"/>
              </w:rPr>
            </w:pPr>
            <w:r>
              <w:rPr>
                <w:sz w:val="20"/>
              </w:rPr>
              <w:t>Range for date</w:t>
            </w:r>
          </w:p>
        </w:tc>
        <w:tc>
          <w:tcPr>
            <w:tcW w:w="2340" w:type="dxa"/>
          </w:tcPr>
          <w:p>
            <w:pPr>
              <w:pStyle w:val="TableParagraph"/>
              <w:rPr>
                <w:rFonts w:ascii="Times New Roman"/>
                <w:sz w:val="20"/>
              </w:rPr>
            </w:pPr>
          </w:p>
        </w:tc>
        <w:tc>
          <w:tcPr>
            <w:tcW w:w="900" w:type="dxa"/>
          </w:tcPr>
          <w:p>
            <w:pPr>
              <w:pStyle w:val="TableParagraph"/>
              <w:spacing w:before="18"/>
              <w:ind w:left="92" w:right="76"/>
              <w:jc w:val="center"/>
              <w:rPr>
                <w:sz w:val="20"/>
              </w:rPr>
            </w:pPr>
            <w:r>
              <w:rPr>
                <w:sz w:val="20"/>
              </w:rPr>
              <w:t>2000</w:t>
            </w:r>
          </w:p>
        </w:tc>
        <w:tc>
          <w:tcPr>
            <w:tcW w:w="811" w:type="dxa"/>
          </w:tcPr>
          <w:p>
            <w:pPr>
              <w:pStyle w:val="TableParagraph"/>
              <w:spacing w:before="18"/>
              <w:ind w:left="15"/>
              <w:jc w:val="center"/>
              <w:rPr>
                <w:sz w:val="20"/>
              </w:rPr>
            </w:pPr>
            <w:r>
              <w:rPr>
                <w:w w:val="99"/>
                <w:sz w:val="20"/>
              </w:rPr>
              <w:t>−</w:t>
            </w:r>
          </w:p>
        </w:tc>
        <w:tc>
          <w:tcPr>
            <w:tcW w:w="900" w:type="dxa"/>
          </w:tcPr>
          <w:p>
            <w:pPr>
              <w:pStyle w:val="TableParagraph"/>
              <w:spacing w:before="18"/>
              <w:ind w:left="227"/>
              <w:rPr>
                <w:sz w:val="20"/>
              </w:rPr>
            </w:pPr>
            <w:r>
              <w:rPr>
                <w:sz w:val="20"/>
              </w:rPr>
              <w:t>2255</w:t>
            </w:r>
          </w:p>
        </w:tc>
        <w:tc>
          <w:tcPr>
            <w:tcW w:w="809" w:type="dxa"/>
          </w:tcPr>
          <w:p>
            <w:pPr>
              <w:pStyle w:val="TableParagraph"/>
              <w:spacing w:before="18"/>
              <w:ind w:left="208"/>
              <w:rPr>
                <w:sz w:val="20"/>
              </w:rPr>
            </w:pPr>
            <w:r>
              <w:rPr>
                <w:sz w:val="20"/>
              </w:rPr>
              <w:t>year</w:t>
            </w:r>
          </w:p>
        </w:tc>
      </w:tr>
    </w:tbl>
    <w:p>
      <w:pPr>
        <w:spacing w:after="0"/>
        <w:rPr>
          <w:sz w:val="20"/>
        </w:rPr>
        <w:sectPr>
          <w:type w:val="continuous"/>
          <w:pgSz w:w="12240" w:h="15840"/>
          <w:pgMar w:top="940" w:bottom="280" w:left="960" w:right="940"/>
        </w:sectPr>
      </w:pPr>
    </w:p>
    <w:p>
      <w:pPr>
        <w:pStyle w:val="ListParagraph"/>
        <w:numPr>
          <w:ilvl w:val="1"/>
          <w:numId w:val="22"/>
        </w:numPr>
        <w:tabs>
          <w:tab w:pos="1199" w:val="left" w:leader="none"/>
          <w:tab w:pos="1200" w:val="left" w:leader="none"/>
        </w:tabs>
        <w:spacing w:line="240" w:lineRule="auto" w:before="88" w:after="0"/>
        <w:ind w:left="1200" w:right="0" w:hanging="720"/>
        <w:jc w:val="left"/>
        <w:rPr>
          <w:b/>
          <w:sz w:val="24"/>
        </w:rPr>
      </w:pPr>
      <w:bookmarkStart w:name="6.6 100-Pin LQFP Package Outline Drawing" w:id="601"/>
      <w:bookmarkEnd w:id="601"/>
      <w:r>
        <w:rPr/>
      </w:r>
      <w:bookmarkStart w:name="_bookmark294" w:id="602"/>
      <w:bookmarkEnd w:id="602"/>
      <w:r>
        <w:rPr/>
      </w:r>
      <w:bookmarkStart w:name="_bookmark294" w:id="603"/>
      <w:bookmarkEnd w:id="603"/>
      <w:r>
        <w:rPr>
          <w:b/>
          <w:sz w:val="24"/>
        </w:rPr>
        <w:t>100</w:t>
      </w:r>
      <w:r>
        <w:rPr>
          <w:b/>
          <w:sz w:val="24"/>
        </w:rPr>
        <w:t>-Pin LQFP Package Outline</w:t>
      </w:r>
      <w:r>
        <w:rPr>
          <w:b/>
          <w:spacing w:val="1"/>
          <w:sz w:val="24"/>
        </w:rPr>
        <w:t> </w:t>
      </w:r>
      <w:r>
        <w:rPr>
          <w:b/>
          <w:sz w:val="24"/>
        </w:rPr>
        <w:t>Drawing</w:t>
      </w:r>
    </w:p>
    <w:p>
      <w:pPr>
        <w:pStyle w:val="BodyText"/>
        <w:spacing w:before="122"/>
        <w:ind w:left="480"/>
      </w:pPr>
      <w:r>
        <w:rPr/>
        <w:t>Controlling dimensions are in mm.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8"/>
        </w:rPr>
      </w:pPr>
    </w:p>
    <w:p>
      <w:pPr>
        <w:spacing w:before="95"/>
        <w:ind w:left="2542" w:right="0" w:firstLine="0"/>
        <w:jc w:val="left"/>
        <w:rPr>
          <w:b/>
          <w:sz w:val="16"/>
        </w:rPr>
      </w:pPr>
      <w:r>
        <w:rPr/>
        <w:pict>
          <v:group style="position:absolute;margin-left:181.793823pt;margin-top:-89.366455pt;width:255.65pt;height:247.95pt;mso-position-horizontal-relative:page;mso-position-vertical-relative:paragraph;z-index:15866368" coordorigin="3636,-1787" coordsize="5113,4959">
            <v:shape style="position:absolute;left:3635;top:-1788;width:5113;height:4959" type="#_x0000_t75" stroked="false">
              <v:imagedata r:id="rId229" o:title=""/>
            </v:shape>
            <v:shape style="position:absolute;left:4932;top:-1676;width:836;height:516" type="#_x0000_t202" filled="false" stroked="false">
              <v:textbox inset="0,0,0,0">
                <w:txbxContent>
                  <w:p>
                    <w:pPr>
                      <w:spacing w:line="178" w:lineRule="exact" w:before="0"/>
                      <w:ind w:left="0" w:right="0" w:firstLine="0"/>
                      <w:jc w:val="left"/>
                      <w:rPr>
                        <w:sz w:val="16"/>
                      </w:rPr>
                    </w:pPr>
                    <w:r>
                      <w:rPr>
                        <w:sz w:val="16"/>
                      </w:rPr>
                      <w:t>15.7(0.618)</w:t>
                    </w:r>
                  </w:p>
                  <w:p>
                    <w:pPr>
                      <w:spacing w:before="153"/>
                      <w:ind w:left="0" w:right="0" w:firstLine="0"/>
                      <w:jc w:val="left"/>
                      <w:rPr>
                        <w:sz w:val="16"/>
                      </w:rPr>
                    </w:pPr>
                    <w:r>
                      <w:rPr>
                        <w:sz w:val="16"/>
                      </w:rPr>
                      <w:t>16.3(0.641)</w:t>
                    </w:r>
                  </w:p>
                </w:txbxContent>
              </v:textbox>
              <w10:wrap type="none"/>
            </v:shape>
            <w10:wrap type="none"/>
          </v:group>
        </w:pict>
      </w:r>
      <w:r>
        <w:rPr/>
        <w:pict>
          <v:shape style="position:absolute;margin-left:412.167419pt;margin-top:46.772083pt;width:22.15pt;height:42.85pt;mso-position-horizontal-relative:page;mso-position-vertical-relative:paragraph;z-index:15867904" type="#_x0000_t202" filled="false" stroked="false">
            <v:textbox inset="0,0,0,0" style="layout-flow:vertical">
              <w:txbxContent>
                <w:p>
                  <w:pPr>
                    <w:spacing w:before="14"/>
                    <w:ind w:left="20" w:right="0" w:firstLine="0"/>
                    <w:jc w:val="left"/>
                    <w:rPr>
                      <w:sz w:val="16"/>
                    </w:rPr>
                  </w:pPr>
                  <w:r>
                    <w:rPr>
                      <w:sz w:val="16"/>
                    </w:rPr>
                    <w:t>1</w:t>
                  </w:r>
                  <w:r>
                    <w:rPr>
                      <w:sz w:val="16"/>
                      <w:u w:val="single"/>
                    </w:rPr>
                    <w:t>5.7(0.618)</w:t>
                  </w:r>
                </w:p>
                <w:p>
                  <w:pPr>
                    <w:spacing w:before="40"/>
                    <w:ind w:left="20" w:right="0" w:firstLine="0"/>
                    <w:jc w:val="left"/>
                    <w:rPr>
                      <w:sz w:val="16"/>
                    </w:rPr>
                  </w:pPr>
                  <w:r>
                    <w:rPr>
                      <w:sz w:val="16"/>
                    </w:rPr>
                    <w:t>16.3(0.641)</w:t>
                  </w:r>
                </w:p>
              </w:txbxContent>
            </v:textbox>
            <w10:wrap type="none"/>
          </v:shape>
        </w:pict>
      </w:r>
      <w:r>
        <w:rPr>
          <w:b/>
          <w:w w:val="99"/>
          <w:sz w:val="16"/>
        </w:rPr>
        <w:t>1</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
        <w:rPr>
          <w:b/>
          <w:sz w:val="18"/>
        </w:rPr>
      </w:pPr>
    </w:p>
    <w:p>
      <w:pPr>
        <w:pStyle w:val="BodyText"/>
        <w:spacing w:before="93"/>
        <w:ind w:left="1105" w:right="2860"/>
        <w:jc w:val="center"/>
      </w:pPr>
      <w:r>
        <w:rPr/>
        <w:t>Top View</w:t>
      </w:r>
    </w:p>
    <w:p>
      <w:pPr>
        <w:pStyle w:val="BodyText"/>
      </w:pPr>
    </w:p>
    <w:p>
      <w:pPr>
        <w:pStyle w:val="BodyText"/>
      </w:pPr>
    </w:p>
    <w:p>
      <w:pPr>
        <w:pStyle w:val="BodyText"/>
        <w:spacing w:before="2"/>
        <w:rPr>
          <w:sz w:val="16"/>
        </w:rPr>
      </w:pPr>
    </w:p>
    <w:p>
      <w:pPr>
        <w:spacing w:after="0"/>
        <w:rPr>
          <w:sz w:val="16"/>
        </w:rPr>
        <w:sectPr>
          <w:pgSz w:w="12240" w:h="15840"/>
          <w:pgMar w:header="727" w:footer="819" w:top="1160" w:bottom="1000" w:left="960" w:right="940"/>
        </w:sectPr>
      </w:pPr>
    </w:p>
    <w:p>
      <w:pPr>
        <w:tabs>
          <w:tab w:pos="2426" w:val="left" w:leader="none"/>
          <w:tab w:pos="4351" w:val="left" w:leader="none"/>
        </w:tabs>
        <w:spacing w:before="97"/>
        <w:ind w:left="1598" w:right="0" w:firstLine="0"/>
        <w:jc w:val="left"/>
        <w:rPr>
          <w:sz w:val="15"/>
        </w:rPr>
      </w:pPr>
      <w:r>
        <w:rPr/>
        <w:pict>
          <v:group style="position:absolute;margin-left:114.988922pt;margin-top:4.956457pt;width:179.4pt;height:77.95pt;mso-position-horizontal-relative:page;mso-position-vertical-relative:paragraph;z-index:-38714368" coordorigin="2300,99" coordsize="3588,1559">
            <v:shape style="position:absolute;left:5689;top:834;width:95;height:315" type="#_x0000_t75" stroked="false">
              <v:imagedata r:id="rId230" o:title=""/>
            </v:shape>
            <v:shape style="position:absolute;left:2299;top:99;width:3588;height:1559" type="#_x0000_t75" stroked="false">
              <v:imagedata r:id="rId231" o:title=""/>
            </v:shape>
            <w10:wrap type="none"/>
          </v:group>
        </w:pict>
      </w:r>
      <w:r>
        <w:rPr>
          <w:rFonts w:ascii="Times New Roman"/>
          <w:w w:val="98"/>
          <w:sz w:val="15"/>
          <w:u w:val="single"/>
        </w:rPr>
        <w:t> </w:t>
      </w:r>
      <w:r>
        <w:rPr>
          <w:rFonts w:ascii="Times New Roman"/>
          <w:sz w:val="15"/>
          <w:u w:val="single"/>
        </w:rPr>
        <w:tab/>
      </w:r>
      <w:r>
        <w:rPr>
          <w:sz w:val="15"/>
          <w:u w:val="single"/>
        </w:rPr>
        <w:t>14.000 +/-</w:t>
      </w:r>
      <w:r>
        <w:rPr>
          <w:spacing w:val="-3"/>
          <w:sz w:val="15"/>
          <w:u w:val="single"/>
        </w:rPr>
        <w:t> </w:t>
      </w:r>
      <w:r>
        <w:rPr>
          <w:sz w:val="15"/>
          <w:u w:val="single"/>
        </w:rPr>
        <w:t>0.200</w:t>
        <w:tab/>
      </w:r>
    </w:p>
    <w:p>
      <w:pPr>
        <w:pStyle w:val="BodyText"/>
        <w:spacing w:before="10"/>
        <w:rPr>
          <w:sz w:val="12"/>
        </w:rPr>
      </w:pPr>
      <w:r>
        <w:rPr/>
        <w:br w:type="column"/>
      </w:r>
      <w:r>
        <w:rPr>
          <w:sz w:val="12"/>
        </w:rPr>
      </w:r>
    </w:p>
    <w:p>
      <w:pPr>
        <w:spacing w:before="1"/>
        <w:ind w:left="337" w:right="0" w:firstLine="0"/>
        <w:jc w:val="left"/>
        <w:rPr>
          <w:sz w:val="15"/>
        </w:rPr>
      </w:pPr>
      <w:r>
        <w:rPr>
          <w:sz w:val="15"/>
        </w:rPr>
        <w:t>MAX. 1.600</w:t>
      </w:r>
    </w:p>
    <w:p>
      <w:pPr>
        <w:spacing w:after="0"/>
        <w:jc w:val="left"/>
        <w:rPr>
          <w:sz w:val="15"/>
        </w:rPr>
        <w:sectPr>
          <w:type w:val="continuous"/>
          <w:pgSz w:w="12240" w:h="15840"/>
          <w:pgMar w:top="940" w:bottom="280" w:left="960" w:right="940"/>
          <w:cols w:num="2" w:equalWidth="0">
            <w:col w:w="4352" w:space="40"/>
            <w:col w:w="5948"/>
          </w:cols>
        </w:sectPr>
      </w:pPr>
    </w:p>
    <w:p>
      <w:pPr>
        <w:pStyle w:val="BodyText"/>
        <w:spacing w:before="6"/>
        <w:rPr>
          <w:sz w:val="26"/>
        </w:rPr>
      </w:pPr>
    </w:p>
    <w:p>
      <w:pPr>
        <w:tabs>
          <w:tab w:pos="296" w:val="left" w:leader="none"/>
        </w:tabs>
        <w:spacing w:before="96"/>
        <w:ind w:left="0" w:right="797" w:firstLine="0"/>
        <w:jc w:val="center"/>
        <w:rPr>
          <w:rFonts w:ascii="Times New Roman"/>
          <w:sz w:val="15"/>
        </w:rPr>
      </w:pPr>
      <w:r>
        <w:rPr/>
        <w:pict>
          <v:group style="position:absolute;margin-left:322.49881pt;margin-top:-13.754938pt;width:158.25pt;height:89.2pt;mso-position-horizontal-relative:page;mso-position-vertical-relative:paragraph;z-index:15867392" coordorigin="6450,-275" coordsize="3165,1784">
            <v:shape style="position:absolute;left:6710;top:-276;width:2905;height:1784" type="#_x0000_t75" stroked="false">
              <v:imagedata r:id="rId232" o:title=""/>
            </v:shape>
            <v:shape style="position:absolute;left:6449;top:97;width:2661;height:172" type="#_x0000_t202" filled="false" stroked="false">
              <v:textbox inset="0,0,0,0">
                <w:txbxContent>
                  <w:p>
                    <w:pPr>
                      <w:tabs>
                        <w:tab w:pos="1219" w:val="left" w:leader="none"/>
                        <w:tab w:pos="1556" w:val="left" w:leader="none"/>
                        <w:tab w:pos="2640" w:val="left" w:leader="none"/>
                      </w:tabs>
                      <w:spacing w:line="170" w:lineRule="exact" w:before="0"/>
                      <w:ind w:left="0" w:right="0" w:firstLine="0"/>
                      <w:jc w:val="left"/>
                      <w:rPr>
                        <w:rFonts w:ascii="Times New Roman"/>
                        <w:sz w:val="15"/>
                      </w:rPr>
                    </w:pPr>
                    <w:r>
                      <w:rPr>
                        <w:sz w:val="15"/>
                      </w:rPr>
                      <w:t>1.50 +/-</w:t>
                    </w:r>
                    <w:r>
                      <w:rPr>
                        <w:spacing w:val="1"/>
                        <w:sz w:val="15"/>
                      </w:rPr>
                      <w:t> </w:t>
                    </w:r>
                    <w:r>
                      <w:rPr>
                        <w:sz w:val="15"/>
                      </w:rPr>
                      <w:t>0.10</w:t>
                      <w:tab/>
                    </w:r>
                    <w:r>
                      <w:rPr>
                        <w:rFonts w:ascii="Times New Roman"/>
                        <w:w w:val="98"/>
                        <w:sz w:val="15"/>
                        <w:u w:val="single"/>
                      </w:rPr>
                      <w:t> </w:t>
                    </w:r>
                    <w:r>
                      <w:rPr>
                        <w:rFonts w:ascii="Times New Roman"/>
                        <w:sz w:val="15"/>
                        <w:u w:val="single"/>
                      </w:rPr>
                      <w:tab/>
                    </w:r>
                    <w:r>
                      <w:rPr>
                        <w:rFonts w:ascii="Times New Roman"/>
                        <w:sz w:val="15"/>
                      </w:rPr>
                      <w:t> </w:t>
                    </w:r>
                    <w:r>
                      <w:rPr>
                        <w:rFonts w:ascii="Times New Roman"/>
                        <w:spacing w:val="-13"/>
                        <w:sz w:val="15"/>
                      </w:rPr>
                      <w:t> </w:t>
                    </w:r>
                    <w:r>
                      <w:rPr>
                        <w:rFonts w:ascii="Times New Roman"/>
                        <w:w w:val="98"/>
                        <w:sz w:val="15"/>
                        <w:u w:val="single"/>
                      </w:rPr>
                      <w:t> </w:t>
                    </w:r>
                    <w:r>
                      <w:rPr>
                        <w:rFonts w:ascii="Times New Roman"/>
                        <w:sz w:val="15"/>
                        <w:u w:val="single"/>
                      </w:rPr>
                      <w:tab/>
                    </w:r>
                  </w:p>
                </w:txbxContent>
              </v:textbox>
              <w10:wrap type="none"/>
            </v:shape>
            <v:shape style="position:absolute;left:7286;top:1036;width:870;height:171" type="#_x0000_t202" filled="false" stroked="false">
              <v:textbox inset="0,0,0,0">
                <w:txbxContent>
                  <w:p>
                    <w:pPr>
                      <w:spacing w:line="170" w:lineRule="exact" w:before="0"/>
                      <w:ind w:left="0" w:right="0" w:firstLine="0"/>
                      <w:jc w:val="left"/>
                      <w:rPr>
                        <w:sz w:val="15"/>
                      </w:rPr>
                    </w:pPr>
                    <w:r>
                      <w:rPr>
                        <w:sz w:val="15"/>
                      </w:rPr>
                      <w:t>0.10 +/- 0.10</w:t>
                    </w:r>
                  </w:p>
                </w:txbxContent>
              </v:textbox>
              <w10:wrap type="none"/>
            </v:shape>
            <w10:wrap type="none"/>
          </v:group>
        </w:pict>
      </w:r>
      <w:r>
        <w:rPr>
          <w:rFonts w:ascii="Times New Roman"/>
          <w:w w:val="98"/>
          <w:sz w:val="15"/>
          <w:u w:val="single"/>
        </w:rPr>
        <w:t> </w:t>
      </w:r>
      <w:r>
        <w:rPr>
          <w:rFonts w:ascii="Times New Roman"/>
          <w:sz w:val="15"/>
          <w:u w:val="single"/>
        </w:rPr>
        <w:tab/>
      </w:r>
    </w:p>
    <w:p>
      <w:pPr>
        <w:pStyle w:val="BodyText"/>
        <w:spacing w:before="3"/>
        <w:rPr>
          <w:rFonts w:ascii="Times New Roman"/>
          <w:sz w:val="14"/>
        </w:rPr>
      </w:pPr>
    </w:p>
    <w:p>
      <w:pPr>
        <w:spacing w:before="98"/>
        <w:ind w:left="1067" w:right="0" w:firstLine="0"/>
        <w:jc w:val="left"/>
        <w:rPr>
          <w:sz w:val="15"/>
        </w:rPr>
      </w:pPr>
      <w:r>
        <w:rPr>
          <w:sz w:val="15"/>
        </w:rPr>
        <w:t>0.225 +/- 0.045</w:t>
      </w:r>
    </w:p>
    <w:p>
      <w:pPr>
        <w:pStyle w:val="BodyText"/>
        <w:spacing w:before="8"/>
        <w:rPr>
          <w:sz w:val="8"/>
        </w:rPr>
      </w:pPr>
    </w:p>
    <w:p>
      <w:pPr>
        <w:spacing w:before="97"/>
        <w:ind w:left="4576" w:right="0" w:firstLine="0"/>
        <w:jc w:val="left"/>
        <w:rPr>
          <w:sz w:val="15"/>
        </w:rPr>
      </w:pPr>
      <w:r>
        <w:rPr>
          <w:sz w:val="15"/>
        </w:rPr>
        <w:t>0.50 TYP.</w:t>
      </w:r>
    </w:p>
    <w:p>
      <w:pPr>
        <w:pStyle w:val="BodyText"/>
      </w:pPr>
    </w:p>
    <w:p>
      <w:pPr>
        <w:pStyle w:val="BodyText"/>
        <w:spacing w:before="8"/>
        <w:rPr>
          <w:sz w:val="21"/>
        </w:rPr>
      </w:pPr>
    </w:p>
    <w:p>
      <w:pPr>
        <w:spacing w:line="166" w:lineRule="exact" w:before="1"/>
        <w:ind w:left="0" w:right="1369" w:firstLine="0"/>
        <w:jc w:val="right"/>
        <w:rPr>
          <w:sz w:val="15"/>
        </w:rPr>
      </w:pPr>
      <w:r>
        <w:rPr>
          <w:sz w:val="15"/>
        </w:rPr>
        <w:t>0.60 TYP&gt;</w:t>
      </w:r>
    </w:p>
    <w:p>
      <w:pPr>
        <w:spacing w:line="258" w:lineRule="exact" w:before="0"/>
        <w:ind w:left="409" w:right="797" w:firstLine="0"/>
        <w:jc w:val="center"/>
        <w:rPr>
          <w:b/>
          <w:sz w:val="23"/>
        </w:rPr>
      </w:pPr>
      <w:r>
        <w:rPr>
          <w:b/>
          <w:sz w:val="23"/>
          <w:u w:val="thick"/>
        </w:rPr>
        <w:t>Side View</w:t>
      </w:r>
    </w:p>
    <w:p>
      <w:pPr>
        <w:spacing w:before="178"/>
        <w:ind w:left="777" w:right="797" w:firstLine="0"/>
        <w:jc w:val="center"/>
        <w:rPr>
          <w:b/>
          <w:sz w:val="20"/>
        </w:rPr>
      </w:pPr>
      <w:bookmarkStart w:name="_bookmark295" w:id="604"/>
      <w:bookmarkEnd w:id="604"/>
      <w:r>
        <w:rPr/>
      </w:r>
      <w:r>
        <w:rPr>
          <w:b/>
          <w:sz w:val="20"/>
        </w:rPr>
        <w:t>Figure 41: 100-pin LQFP Package Outline</w:t>
      </w:r>
    </w:p>
    <w:p>
      <w:pPr>
        <w:spacing w:after="0"/>
        <w:jc w:val="center"/>
        <w:rPr>
          <w:sz w:val="20"/>
        </w:rPr>
        <w:sectPr>
          <w:type w:val="continuous"/>
          <w:pgSz w:w="12240" w:h="15840"/>
          <w:pgMar w:top="940" w:bottom="280" w:left="960" w:right="940"/>
        </w:sectPr>
      </w:pPr>
    </w:p>
    <w:p>
      <w:pPr>
        <w:pStyle w:val="ListParagraph"/>
        <w:numPr>
          <w:ilvl w:val="1"/>
          <w:numId w:val="22"/>
        </w:numPr>
        <w:tabs>
          <w:tab w:pos="1199" w:val="left" w:leader="none"/>
          <w:tab w:pos="1200" w:val="left" w:leader="none"/>
        </w:tabs>
        <w:spacing w:line="240" w:lineRule="auto" w:before="88" w:after="0"/>
        <w:ind w:left="1200" w:right="0" w:hanging="720"/>
        <w:jc w:val="left"/>
        <w:rPr>
          <w:b/>
          <w:sz w:val="24"/>
        </w:rPr>
      </w:pPr>
      <w:bookmarkStart w:name="6.7 71M6543 Pinout" w:id="605"/>
      <w:bookmarkEnd w:id="605"/>
      <w:r>
        <w:rPr/>
      </w:r>
      <w:bookmarkStart w:name="_bookmark296" w:id="606"/>
      <w:bookmarkEnd w:id="606"/>
      <w:r>
        <w:rPr/>
      </w:r>
      <w:bookmarkStart w:name="_bookmark296" w:id="607"/>
      <w:bookmarkEnd w:id="607"/>
      <w:r>
        <w:rPr>
          <w:b/>
          <w:sz w:val="24"/>
        </w:rPr>
        <w:t>71</w:t>
      </w:r>
      <w:r>
        <w:rPr>
          <w:b/>
          <w:sz w:val="24"/>
        </w:rPr>
        <w:t>M6543 Pinout</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after="0"/>
        <w:sectPr>
          <w:pgSz w:w="12240" w:h="15840"/>
          <w:pgMar w:header="727" w:footer="819" w:top="1160" w:bottom="1000" w:left="960" w:right="940"/>
        </w:sectPr>
      </w:pPr>
    </w:p>
    <w:p>
      <w:pPr>
        <w:pStyle w:val="BodyText"/>
        <w:spacing w:before="3"/>
        <w:rPr>
          <w:b/>
          <w:sz w:val="22"/>
        </w:rPr>
      </w:pPr>
    </w:p>
    <w:p>
      <w:pPr>
        <w:spacing w:line="225" w:lineRule="auto" w:before="1"/>
        <w:ind w:left="513" w:right="38" w:firstLine="171"/>
        <w:jc w:val="both"/>
        <w:rPr>
          <w:sz w:val="17"/>
        </w:rPr>
      </w:pPr>
      <w:r>
        <w:rPr/>
        <w:pict>
          <v:group style="position:absolute;margin-left:156.211258pt;margin-top:-23.667742pt;width:287pt;height:286.6pt;mso-position-horizontal-relative:page;mso-position-vertical-relative:paragraph;z-index:15868416" coordorigin="3124,-473" coordsize="5740,5732">
            <v:rect style="position:absolute;left:3130;top:35;width:194;height:78" filled="true" fillcolor="#000000" stroked="false">
              <v:fill type="solid"/>
            </v:rect>
            <v:rect style="position:absolute;left:3130;top:35;width:194;height:78" filled="false" stroked="true" strokeweight=".644137pt" strokecolor="#000000">
              <v:stroke dashstyle="solid"/>
            </v:rect>
            <v:shape style="position:absolute;left:3639;top:84;width:229;height:229" type="#_x0000_t75" stroked="false">
              <v:imagedata r:id="rId233" o:title=""/>
            </v:shape>
            <v:shape style="position:absolute;left:3324;top:-274;width:5340;height:5333" coordorigin="3324,-274" coordsize="5340,5333" path="m3466,-274l8663,-274,8663,5059,3324,5059,3324,-132,3466,-274e" filled="false" stroked="true" strokeweight=".644430pt" strokecolor="#000000">
              <v:path arrowok="t"/>
              <v:stroke dashstyle="solid"/>
            </v:shape>
            <v:rect style="position:absolute;left:3130;top:228;width:194;height:78" filled="true" fillcolor="#000000" stroked="false">
              <v:fill type="solid"/>
            </v:rect>
            <v:rect style="position:absolute;left:3130;top:228;width:194;height:78" filled="false" stroked="true" strokeweight=".644137pt" strokecolor="#000000">
              <v:stroke dashstyle="solid"/>
            </v:rect>
            <v:rect style="position:absolute;left:3130;top:421;width:194;height:78" filled="true" fillcolor="#000000" stroked="false">
              <v:fill type="solid"/>
            </v:rect>
            <v:rect style="position:absolute;left:3130;top:421;width:194;height:78" filled="false" stroked="true" strokeweight=".644137pt" strokecolor="#000000">
              <v:stroke dashstyle="solid"/>
            </v:rect>
            <v:rect style="position:absolute;left:3130;top:615;width:194;height:78" filled="true" fillcolor="#000000" stroked="false">
              <v:fill type="solid"/>
            </v:rect>
            <v:rect style="position:absolute;left:3130;top:615;width:194;height:78" filled="false" stroked="true" strokeweight=".644137pt" strokecolor="#000000">
              <v:stroke dashstyle="solid"/>
            </v:rect>
            <v:rect style="position:absolute;left:3130;top:808;width:194;height:78" filled="true" fillcolor="#000000" stroked="false">
              <v:fill type="solid"/>
            </v:rect>
            <v:rect style="position:absolute;left:3130;top:808;width:194;height:78" filled="false" stroked="true" strokeweight=".644137pt" strokecolor="#000000">
              <v:stroke dashstyle="solid"/>
            </v:rect>
            <v:rect style="position:absolute;left:3130;top:1001;width:194;height:78" filled="true" fillcolor="#000000" stroked="false">
              <v:fill type="solid"/>
            </v:rect>
            <v:rect style="position:absolute;left:3130;top:1001;width:194;height:78" filled="false" stroked="true" strokeweight=".644137pt" strokecolor="#000000">
              <v:stroke dashstyle="solid"/>
            </v:rect>
            <v:rect style="position:absolute;left:3130;top:1194;width:194;height:78" filled="true" fillcolor="#000000" stroked="false">
              <v:fill type="solid"/>
            </v:rect>
            <v:rect style="position:absolute;left:3130;top:1194;width:194;height:78" filled="false" stroked="true" strokeweight=".644137pt" strokecolor="#000000">
              <v:stroke dashstyle="solid"/>
            </v:rect>
            <v:rect style="position:absolute;left:3130;top:1387;width:194;height:78" filled="true" fillcolor="#000000" stroked="false">
              <v:fill type="solid"/>
            </v:rect>
            <v:rect style="position:absolute;left:3130;top:1387;width:194;height:78" filled="false" stroked="true" strokeweight=".644137pt" strokecolor="#000000">
              <v:stroke dashstyle="solid"/>
            </v:rect>
            <v:rect style="position:absolute;left:3130;top:1581;width:194;height:78" filled="true" fillcolor="#000000" stroked="false">
              <v:fill type="solid"/>
            </v:rect>
            <v:rect style="position:absolute;left:3130;top:1581;width:194;height:78" filled="false" stroked="true" strokeweight=".644137pt" strokecolor="#000000">
              <v:stroke dashstyle="solid"/>
            </v:rect>
            <v:rect style="position:absolute;left:3130;top:1774;width:194;height:78" filled="true" fillcolor="#000000" stroked="false">
              <v:fill type="solid"/>
            </v:rect>
            <v:rect style="position:absolute;left:3130;top:1774;width:194;height:78" filled="false" stroked="true" strokeweight=".644137pt" strokecolor="#000000">
              <v:stroke dashstyle="solid"/>
            </v:rect>
            <v:rect style="position:absolute;left:3130;top:1967;width:194;height:78" filled="true" fillcolor="#000000" stroked="false">
              <v:fill type="solid"/>
            </v:rect>
            <v:rect style="position:absolute;left:3130;top:1967;width:194;height:78" filled="false" stroked="true" strokeweight=".644137pt" strokecolor="#000000">
              <v:stroke dashstyle="solid"/>
            </v:rect>
            <v:rect style="position:absolute;left:3130;top:2160;width:194;height:78" filled="true" fillcolor="#000000" stroked="false">
              <v:fill type="solid"/>
            </v:rect>
            <v:rect style="position:absolute;left:3130;top:2160;width:194;height:78" filled="false" stroked="true" strokeweight=".644137pt" strokecolor="#000000">
              <v:stroke dashstyle="solid"/>
            </v:rect>
            <v:rect style="position:absolute;left:3130;top:2353;width:194;height:78" filled="true" fillcolor="#000000" stroked="false">
              <v:fill type="solid"/>
            </v:rect>
            <v:rect style="position:absolute;left:3130;top:2353;width:194;height:78" filled="false" stroked="true" strokeweight=".644137pt" strokecolor="#000000">
              <v:stroke dashstyle="solid"/>
            </v:rect>
            <v:rect style="position:absolute;left:3130;top:2547;width:194;height:78" filled="true" fillcolor="#000000" stroked="false">
              <v:fill type="solid"/>
            </v:rect>
            <v:rect style="position:absolute;left:3130;top:2547;width:194;height:78" filled="false" stroked="true" strokeweight=".644137pt" strokecolor="#000000">
              <v:stroke dashstyle="solid"/>
            </v:rect>
            <v:rect style="position:absolute;left:3130;top:2740;width:194;height:78" filled="true" fillcolor="#000000" stroked="false">
              <v:fill type="solid"/>
            </v:rect>
            <v:rect style="position:absolute;left:3130;top:2740;width:194;height:78" filled="false" stroked="true" strokeweight=".644137pt" strokecolor="#000000">
              <v:stroke dashstyle="solid"/>
            </v:rect>
            <v:rect style="position:absolute;left:3130;top:2933;width:194;height:78" filled="true" fillcolor="#000000" stroked="false">
              <v:fill type="solid"/>
            </v:rect>
            <v:rect style="position:absolute;left:3130;top:2933;width:194;height:78" filled="false" stroked="true" strokeweight=".644137pt" strokecolor="#000000">
              <v:stroke dashstyle="solid"/>
            </v:rect>
            <v:rect style="position:absolute;left:3130;top:3126;width:194;height:78" filled="true" fillcolor="#000000" stroked="false">
              <v:fill type="solid"/>
            </v:rect>
            <v:rect style="position:absolute;left:3130;top:3126;width:194;height:78" filled="false" stroked="true" strokeweight=".644137pt" strokecolor="#000000">
              <v:stroke dashstyle="solid"/>
            </v:rect>
            <v:rect style="position:absolute;left:3130;top:3319;width:194;height:78" filled="true" fillcolor="#000000" stroked="false">
              <v:fill type="solid"/>
            </v:rect>
            <v:rect style="position:absolute;left:3130;top:3319;width:194;height:78" filled="false" stroked="true" strokeweight=".644137pt" strokecolor="#000000">
              <v:stroke dashstyle="solid"/>
            </v:rect>
            <v:rect style="position:absolute;left:3130;top:3513;width:194;height:78" filled="true" fillcolor="#000000" stroked="false">
              <v:fill type="solid"/>
            </v:rect>
            <v:rect style="position:absolute;left:3130;top:3513;width:194;height:78" filled="false" stroked="true" strokeweight=".644137pt" strokecolor="#000000">
              <v:stroke dashstyle="solid"/>
            </v:rect>
            <v:rect style="position:absolute;left:3130;top:3706;width:194;height:78" filled="true" fillcolor="#000000" stroked="false">
              <v:fill type="solid"/>
            </v:rect>
            <v:rect style="position:absolute;left:3130;top:3706;width:194;height:78" filled="false" stroked="true" strokeweight=".644137pt" strokecolor="#000000">
              <v:stroke dashstyle="solid"/>
            </v:rect>
            <v:rect style="position:absolute;left:3130;top:3899;width:194;height:78" filled="true" fillcolor="#000000" stroked="false">
              <v:fill type="solid"/>
            </v:rect>
            <v:rect style="position:absolute;left:3130;top:3899;width:194;height:78" filled="false" stroked="true" strokeweight=".644137pt" strokecolor="#000000">
              <v:stroke dashstyle="solid"/>
            </v:rect>
            <v:rect style="position:absolute;left:3130;top:4092;width:194;height:78" filled="true" fillcolor="#000000" stroked="false">
              <v:fill type="solid"/>
            </v:rect>
            <v:rect style="position:absolute;left:3130;top:4092;width:194;height:78" filled="false" stroked="true" strokeweight=".644137pt" strokecolor="#000000">
              <v:stroke dashstyle="solid"/>
            </v:rect>
            <v:rect style="position:absolute;left:3130;top:4285;width:194;height:78" filled="true" fillcolor="#000000" stroked="false">
              <v:fill type="solid"/>
            </v:rect>
            <v:rect style="position:absolute;left:3130;top:4285;width:194;height:78" filled="false" stroked="true" strokeweight=".644137pt" strokecolor="#000000">
              <v:stroke dashstyle="solid"/>
            </v:rect>
            <v:rect style="position:absolute;left:3130;top:4479;width:194;height:78" filled="true" fillcolor="#000000" stroked="false">
              <v:fill type="solid"/>
            </v:rect>
            <v:rect style="position:absolute;left:3130;top:4479;width:194;height:78" filled="false" stroked="true" strokeweight=".644137pt" strokecolor="#000000">
              <v:stroke dashstyle="solid"/>
            </v:rect>
            <v:rect style="position:absolute;left:3130;top:4672;width:194;height:78" filled="true" fillcolor="#000000" stroked="false">
              <v:fill type="solid"/>
            </v:rect>
            <v:rect style="position:absolute;left:3130;top:4672;width:194;height:78" filled="false" stroked="true" strokeweight=".644137pt" strokecolor="#000000">
              <v:stroke dashstyle="solid"/>
            </v:rect>
            <v:rect style="position:absolute;left:4600;top:5058;width:78;height:194" filled="true" fillcolor="#000000" stroked="false">
              <v:fill type="solid"/>
            </v:rect>
            <v:rect style="position:absolute;left:4600;top:5058;width:78;height:194" filled="false" stroked="true" strokeweight=".644724pt" strokecolor="#000000">
              <v:stroke dashstyle="solid"/>
            </v:rect>
            <v:rect style="position:absolute;left:4794;top:5058;width:78;height:194" filled="true" fillcolor="#000000" stroked="false">
              <v:fill type="solid"/>
            </v:rect>
            <v:rect style="position:absolute;left:4794;top:5058;width:78;height:194" filled="false" stroked="true" strokeweight=".644724pt" strokecolor="#000000">
              <v:stroke dashstyle="solid"/>
            </v:rect>
            <v:rect style="position:absolute;left:4987;top:5058;width:78;height:194" filled="true" fillcolor="#000000" stroked="false">
              <v:fill type="solid"/>
            </v:rect>
            <v:rect style="position:absolute;left:4987;top:5058;width:78;height:194" filled="false" stroked="true" strokeweight=".644724pt" strokecolor="#000000">
              <v:stroke dashstyle="solid"/>
            </v:rect>
            <v:rect style="position:absolute;left:5181;top:5058;width:78;height:194" filled="true" fillcolor="#000000" stroked="false">
              <v:fill type="solid"/>
            </v:rect>
            <v:rect style="position:absolute;left:5181;top:5058;width:78;height:194" filled="false" stroked="true" strokeweight=".644724pt" strokecolor="#000000">
              <v:stroke dashstyle="solid"/>
            </v:rect>
            <v:rect style="position:absolute;left:5374;top:5058;width:78;height:194" filled="true" fillcolor="#000000" stroked="false">
              <v:fill type="solid"/>
            </v:rect>
            <v:rect style="position:absolute;left:5374;top:5058;width:78;height:194" filled="false" stroked="true" strokeweight=".644724pt" strokecolor="#000000">
              <v:stroke dashstyle="solid"/>
            </v:rect>
            <v:rect style="position:absolute;left:5568;top:5058;width:78;height:194" filled="true" fillcolor="#000000" stroked="false">
              <v:fill type="solid"/>
            </v:rect>
            <v:rect style="position:absolute;left:5568;top:5058;width:78;height:194" filled="false" stroked="true" strokeweight=".644724pt" strokecolor="#000000">
              <v:stroke dashstyle="solid"/>
            </v:rect>
            <v:rect style="position:absolute;left:5761;top:5058;width:78;height:194" filled="true" fillcolor="#000000" stroked="false">
              <v:fill type="solid"/>
            </v:rect>
            <v:rect style="position:absolute;left:5761;top:5058;width:78;height:194" filled="false" stroked="true" strokeweight=".644724pt" strokecolor="#000000">
              <v:stroke dashstyle="solid"/>
            </v:rect>
            <v:rect style="position:absolute;left:5955;top:5058;width:78;height:194" filled="true" fillcolor="#000000" stroked="false">
              <v:fill type="solid"/>
            </v:rect>
            <v:rect style="position:absolute;left:5955;top:5058;width:78;height:194" filled="false" stroked="true" strokeweight=".644724pt" strokecolor="#000000">
              <v:stroke dashstyle="solid"/>
            </v:rect>
            <v:rect style="position:absolute;left:6148;top:5058;width:78;height:194" filled="true" fillcolor="#000000" stroked="false">
              <v:fill type="solid"/>
            </v:rect>
            <v:rect style="position:absolute;left:6148;top:5058;width:78;height:194" filled="false" stroked="true" strokeweight=".644724pt" strokecolor="#000000">
              <v:stroke dashstyle="solid"/>
            </v:rect>
            <v:rect style="position:absolute;left:6341;top:5058;width:78;height:194" filled="true" fillcolor="#000000" stroked="false">
              <v:fill type="solid"/>
            </v:rect>
            <v:rect style="position:absolute;left:6341;top:5058;width:78;height:194" filled="false" stroked="true" strokeweight=".644724pt" strokecolor="#000000">
              <v:stroke dashstyle="solid"/>
            </v:rect>
            <v:rect style="position:absolute;left:6535;top:5058;width:78;height:194" filled="true" fillcolor="#000000" stroked="false">
              <v:fill type="solid"/>
            </v:rect>
            <v:rect style="position:absolute;left:6535;top:5058;width:78;height:194" filled="false" stroked="true" strokeweight=".644724pt" strokecolor="#000000">
              <v:stroke dashstyle="solid"/>
            </v:rect>
            <v:rect style="position:absolute;left:6728;top:5058;width:78;height:194" filled="true" fillcolor="#000000" stroked="false">
              <v:fill type="solid"/>
            </v:rect>
            <v:rect style="position:absolute;left:6728;top:5058;width:78;height:194" filled="false" stroked="true" strokeweight=".644724pt" strokecolor="#000000">
              <v:stroke dashstyle="solid"/>
            </v:rect>
            <v:rect style="position:absolute;left:6922;top:5058;width:78;height:194" filled="true" fillcolor="#000000" stroked="false">
              <v:fill type="solid"/>
            </v:rect>
            <v:rect style="position:absolute;left:6922;top:5058;width:78;height:194" filled="false" stroked="true" strokeweight=".644724pt" strokecolor="#000000">
              <v:stroke dashstyle="solid"/>
            </v:rect>
            <v:rect style="position:absolute;left:7115;top:5058;width:78;height:194" filled="true" fillcolor="#000000" stroked="false">
              <v:fill type="solid"/>
            </v:rect>
            <v:rect style="position:absolute;left:7115;top:5058;width:78;height:194" filled="false" stroked="true" strokeweight=".644724pt" strokecolor="#000000">
              <v:stroke dashstyle="solid"/>
            </v:rect>
            <v:rect style="position:absolute;left:7309;top:5058;width:78;height:194" filled="true" fillcolor="#000000" stroked="false">
              <v:fill type="solid"/>
            </v:rect>
            <v:rect style="position:absolute;left:7309;top:5058;width:78;height:194" filled="false" stroked="true" strokeweight=".644724pt" strokecolor="#000000">
              <v:stroke dashstyle="solid"/>
            </v:rect>
            <v:rect style="position:absolute;left:7502;top:5058;width:78;height:194" filled="true" fillcolor="#000000" stroked="false">
              <v:fill type="solid"/>
            </v:rect>
            <v:rect style="position:absolute;left:7502;top:5058;width:78;height:194" filled="false" stroked="true" strokeweight=".644724pt" strokecolor="#000000">
              <v:stroke dashstyle="solid"/>
            </v:rect>
            <v:rect style="position:absolute;left:7696;top:5058;width:78;height:194" filled="true" fillcolor="#000000" stroked="false">
              <v:fill type="solid"/>
            </v:rect>
            <v:rect style="position:absolute;left:7696;top:5058;width:78;height:194" filled="false" stroked="true" strokeweight=".644724pt" strokecolor="#000000">
              <v:stroke dashstyle="solid"/>
            </v:rect>
            <v:rect style="position:absolute;left:7889;top:5058;width:78;height:194" filled="true" fillcolor="#000000" stroked="false">
              <v:fill type="solid"/>
            </v:rect>
            <v:rect style="position:absolute;left:7889;top:5058;width:78;height:194" filled="false" stroked="true" strokeweight=".644724pt" strokecolor="#000000">
              <v:stroke dashstyle="solid"/>
            </v:rect>
            <v:rect style="position:absolute;left:8083;top:5058;width:78;height:194" filled="true" fillcolor="#000000" stroked="false">
              <v:fill type="solid"/>
            </v:rect>
            <v:rect style="position:absolute;left:8083;top:5058;width:78;height:194" filled="false" stroked="true" strokeweight=".644724pt" strokecolor="#000000">
              <v:stroke dashstyle="solid"/>
            </v:rect>
            <v:rect style="position:absolute;left:8276;top:5058;width:78;height:194" filled="true" fillcolor="#000000" stroked="false">
              <v:fill type="solid"/>
            </v:rect>
            <v:rect style="position:absolute;left:8276;top:5058;width:78;height:194" filled="false" stroked="true" strokeweight=".644724pt" strokecolor="#000000">
              <v:stroke dashstyle="solid"/>
            </v:rect>
            <v:rect style="position:absolute;left:8663;top:35;width:194;height:78" filled="true" fillcolor="#000000" stroked="false">
              <v:fill type="solid"/>
            </v:rect>
            <v:rect style="position:absolute;left:8663;top:35;width:194;height:78" filled="false" stroked="true" strokeweight=".644137pt" strokecolor="#000000">
              <v:stroke dashstyle="solid"/>
            </v:rect>
            <v:rect style="position:absolute;left:8663;top:228;width:194;height:78" filled="true" fillcolor="#000000" stroked="false">
              <v:fill type="solid"/>
            </v:rect>
            <v:rect style="position:absolute;left:8663;top:228;width:194;height:78" filled="false" stroked="true" strokeweight=".644137pt" strokecolor="#000000">
              <v:stroke dashstyle="solid"/>
            </v:rect>
            <v:rect style="position:absolute;left:8663;top:421;width:194;height:78" filled="true" fillcolor="#000000" stroked="false">
              <v:fill type="solid"/>
            </v:rect>
            <v:rect style="position:absolute;left:8663;top:421;width:194;height:78" filled="false" stroked="true" strokeweight=".644137pt" strokecolor="#000000">
              <v:stroke dashstyle="solid"/>
            </v:rect>
            <v:rect style="position:absolute;left:8663;top:615;width:194;height:78" filled="true" fillcolor="#000000" stroked="false">
              <v:fill type="solid"/>
            </v:rect>
            <v:rect style="position:absolute;left:8663;top:615;width:194;height:78" filled="false" stroked="true" strokeweight=".644137pt" strokecolor="#000000">
              <v:stroke dashstyle="solid"/>
            </v:rect>
            <v:rect style="position:absolute;left:8663;top:808;width:194;height:78" filled="true" fillcolor="#000000" stroked="false">
              <v:fill type="solid"/>
            </v:rect>
            <v:rect style="position:absolute;left:8663;top:808;width:194;height:78" filled="false" stroked="true" strokeweight=".644137pt" strokecolor="#000000">
              <v:stroke dashstyle="solid"/>
            </v:rect>
            <v:rect style="position:absolute;left:8663;top:1001;width:194;height:78" filled="true" fillcolor="#000000" stroked="false">
              <v:fill type="solid"/>
            </v:rect>
            <v:rect style="position:absolute;left:8663;top:1001;width:194;height:78" filled="false" stroked="true" strokeweight=".644137pt" strokecolor="#000000">
              <v:stroke dashstyle="solid"/>
            </v:rect>
            <v:rect style="position:absolute;left:8663;top:1194;width:194;height:78" filled="true" fillcolor="#000000" stroked="false">
              <v:fill type="solid"/>
            </v:rect>
            <v:rect style="position:absolute;left:8663;top:1194;width:194;height:78" filled="false" stroked="true" strokeweight=".644137pt" strokecolor="#000000">
              <v:stroke dashstyle="solid"/>
            </v:rect>
            <v:rect style="position:absolute;left:8663;top:1387;width:194;height:78" filled="true" fillcolor="#000000" stroked="false">
              <v:fill type="solid"/>
            </v:rect>
            <v:rect style="position:absolute;left:8663;top:1387;width:194;height:78" filled="false" stroked="true" strokeweight=".644137pt" strokecolor="#000000">
              <v:stroke dashstyle="solid"/>
            </v:rect>
            <v:rect style="position:absolute;left:8663;top:1581;width:194;height:78" filled="true" fillcolor="#000000" stroked="false">
              <v:fill type="solid"/>
            </v:rect>
            <v:rect style="position:absolute;left:8663;top:1581;width:194;height:78" filled="false" stroked="true" strokeweight=".644137pt" strokecolor="#000000">
              <v:stroke dashstyle="solid"/>
            </v:rect>
            <v:rect style="position:absolute;left:8663;top:1774;width:194;height:78" filled="true" fillcolor="#000000" stroked="false">
              <v:fill type="solid"/>
            </v:rect>
            <v:rect style="position:absolute;left:8663;top:1774;width:194;height:78" filled="false" stroked="true" strokeweight=".644137pt" strokecolor="#000000">
              <v:stroke dashstyle="solid"/>
            </v:rect>
            <v:rect style="position:absolute;left:8663;top:1967;width:194;height:78" filled="true" fillcolor="#000000" stroked="false">
              <v:fill type="solid"/>
            </v:rect>
            <v:rect style="position:absolute;left:8663;top:1967;width:194;height:78" filled="false" stroked="true" strokeweight=".644137pt" strokecolor="#000000">
              <v:stroke dashstyle="solid"/>
            </v:rect>
            <v:rect style="position:absolute;left:8663;top:2160;width:194;height:78" filled="true" fillcolor="#000000" stroked="false">
              <v:fill type="solid"/>
            </v:rect>
            <v:rect style="position:absolute;left:8663;top:2160;width:194;height:78" filled="false" stroked="true" strokeweight=".644137pt" strokecolor="#000000">
              <v:stroke dashstyle="solid"/>
            </v:rect>
            <v:rect style="position:absolute;left:8663;top:2353;width:194;height:78" filled="true" fillcolor="#000000" stroked="false">
              <v:fill type="solid"/>
            </v:rect>
            <v:rect style="position:absolute;left:8663;top:2353;width:194;height:78" filled="false" stroked="true" strokeweight=".644137pt" strokecolor="#000000">
              <v:stroke dashstyle="solid"/>
            </v:rect>
            <v:rect style="position:absolute;left:8663;top:2547;width:194;height:78" filled="true" fillcolor="#000000" stroked="false">
              <v:fill type="solid"/>
            </v:rect>
            <v:rect style="position:absolute;left:8663;top:2547;width:194;height:78" filled="false" stroked="true" strokeweight=".644137pt" strokecolor="#000000">
              <v:stroke dashstyle="solid"/>
            </v:rect>
            <v:rect style="position:absolute;left:8663;top:2740;width:194;height:78" filled="true" fillcolor="#000000" stroked="false">
              <v:fill type="solid"/>
            </v:rect>
            <v:rect style="position:absolute;left:8663;top:2740;width:194;height:78" filled="false" stroked="true" strokeweight=".644137pt" strokecolor="#000000">
              <v:stroke dashstyle="solid"/>
            </v:rect>
            <v:rect style="position:absolute;left:5374;top:-467;width:78;height:194" filled="true" fillcolor="#000000" stroked="false">
              <v:fill type="solid"/>
            </v:rect>
            <v:rect style="position:absolute;left:5374;top:-467;width:78;height:194" filled="false" stroked="true" strokeweight=".644724pt" strokecolor="#000000">
              <v:stroke dashstyle="solid"/>
            </v:rect>
            <v:rect style="position:absolute;left:5181;top:-467;width:78;height:194" filled="true" fillcolor="#000000" stroked="false">
              <v:fill type="solid"/>
            </v:rect>
            <v:rect style="position:absolute;left:5181;top:-467;width:78;height:194" filled="false" stroked="true" strokeweight=".644724pt" strokecolor="#000000">
              <v:stroke dashstyle="solid"/>
            </v:rect>
            <v:rect style="position:absolute;left:4987;top:-467;width:78;height:194" filled="true" fillcolor="#000000" stroked="false">
              <v:fill type="solid"/>
            </v:rect>
            <v:rect style="position:absolute;left:4987;top:-467;width:78;height:194" filled="false" stroked="true" strokeweight=".644724pt" strokecolor="#000000">
              <v:stroke dashstyle="solid"/>
            </v:rect>
            <v:rect style="position:absolute;left:4794;top:-467;width:78;height:194" filled="true" fillcolor="#000000" stroked="false">
              <v:fill type="solid"/>
            </v:rect>
            <v:rect style="position:absolute;left:4794;top:-467;width:78;height:194" filled="false" stroked="true" strokeweight=".644724pt" strokecolor="#000000">
              <v:stroke dashstyle="solid"/>
            </v:rect>
            <v:rect style="position:absolute;left:4600;top:-467;width:78;height:194" filled="true" fillcolor="#000000" stroked="false">
              <v:fill type="solid"/>
            </v:rect>
            <v:rect style="position:absolute;left:4600;top:-467;width:78;height:194" filled="false" stroked="true" strokeweight=".644724pt" strokecolor="#000000">
              <v:stroke dashstyle="solid"/>
            </v:rect>
            <v:rect style="position:absolute;left:4407;top:-467;width:78;height:194" filled="true" fillcolor="#000000" stroked="false">
              <v:fill type="solid"/>
            </v:rect>
            <v:rect style="position:absolute;left:4407;top:-467;width:78;height:194" filled="false" stroked="true" strokeweight=".644724pt" strokecolor="#000000">
              <v:stroke dashstyle="solid"/>
            </v:rect>
            <v:rect style="position:absolute;left:4213;top:-467;width:78;height:194" filled="true" fillcolor="#000000" stroked="false">
              <v:fill type="solid"/>
            </v:rect>
            <v:rect style="position:absolute;left:4213;top:-467;width:78;height:194" filled="false" stroked="true" strokeweight=".644724pt" strokecolor="#000000">
              <v:stroke dashstyle="solid"/>
            </v:rect>
            <v:rect style="position:absolute;left:4020;top:-467;width:78;height:194" filled="true" fillcolor="#000000" stroked="false">
              <v:fill type="solid"/>
            </v:rect>
            <v:rect style="position:absolute;left:4020;top:-467;width:78;height:194" filled="false" stroked="true" strokeweight=".644724pt" strokecolor="#000000">
              <v:stroke dashstyle="solid"/>
            </v:rect>
            <v:rect style="position:absolute;left:3827;top:-467;width:78;height:194" filled="true" fillcolor="#000000" stroked="false">
              <v:fill type="solid"/>
            </v:rect>
            <v:rect style="position:absolute;left:3827;top:-467;width:78;height:194" filled="false" stroked="true" strokeweight=".644724pt" strokecolor="#000000">
              <v:stroke dashstyle="solid"/>
            </v:rect>
            <v:rect style="position:absolute;left:3633;top:-467;width:78;height:194" filled="true" fillcolor="#000000" stroked="false">
              <v:fill type="solid"/>
            </v:rect>
            <v:rect style="position:absolute;left:3633;top:-467;width:78;height:194" filled="false" stroked="true" strokeweight=".644724pt" strokecolor="#000000">
              <v:stroke dashstyle="solid"/>
            </v:rect>
            <v:rect style="position:absolute;left:3633;top:5058;width:78;height:194" filled="true" fillcolor="#000000" stroked="false">
              <v:fill type="solid"/>
            </v:rect>
            <v:rect style="position:absolute;left:3633;top:5058;width:78;height:194" filled="false" stroked="true" strokeweight=".644724pt" strokecolor="#000000">
              <v:stroke dashstyle="solid"/>
            </v:rect>
            <v:rect style="position:absolute;left:3827;top:5058;width:78;height:194" filled="true" fillcolor="#000000" stroked="false">
              <v:fill type="solid"/>
            </v:rect>
            <v:rect style="position:absolute;left:3827;top:5058;width:78;height:194" filled="false" stroked="true" strokeweight=".644724pt" strokecolor="#000000">
              <v:stroke dashstyle="solid"/>
            </v:rect>
            <v:rect style="position:absolute;left:4020;top:5058;width:78;height:194" filled="true" fillcolor="#000000" stroked="false">
              <v:fill type="solid"/>
            </v:rect>
            <v:rect style="position:absolute;left:4020;top:5058;width:78;height:194" filled="false" stroked="true" strokeweight=".644724pt" strokecolor="#000000">
              <v:stroke dashstyle="solid"/>
            </v:rect>
            <v:rect style="position:absolute;left:4213;top:5058;width:78;height:194" filled="true" fillcolor="#000000" stroked="false">
              <v:fill type="solid"/>
            </v:rect>
            <v:rect style="position:absolute;left:4213;top:5058;width:78;height:194" filled="false" stroked="true" strokeweight=".644724pt" strokecolor="#000000">
              <v:stroke dashstyle="solid"/>
            </v:rect>
            <v:rect style="position:absolute;left:4407;top:5058;width:78;height:194" filled="true" fillcolor="#000000" stroked="false">
              <v:fill type="solid"/>
            </v:rect>
            <v:rect style="position:absolute;left:4407;top:5058;width:78;height:194" filled="false" stroked="true" strokeweight=".644724pt" strokecolor="#000000">
              <v:stroke dashstyle="solid"/>
            </v:rect>
            <v:rect style="position:absolute;left:8663;top:4672;width:194;height:78" filled="true" fillcolor="#000000" stroked="false">
              <v:fill type="solid"/>
            </v:rect>
            <v:rect style="position:absolute;left:8663;top:4672;width:194;height:78" filled="false" stroked="true" strokeweight=".644137pt" strokecolor="#000000">
              <v:stroke dashstyle="solid"/>
            </v:rect>
            <v:rect style="position:absolute;left:8663;top:4479;width:194;height:78" filled="true" fillcolor="#000000" stroked="false">
              <v:fill type="solid"/>
            </v:rect>
            <v:rect style="position:absolute;left:8663;top:4479;width:194;height:78" filled="false" stroked="true" strokeweight=".644137pt" strokecolor="#000000">
              <v:stroke dashstyle="solid"/>
            </v:rect>
            <v:rect style="position:absolute;left:8663;top:4286;width:194;height:78" filled="true" fillcolor="#000000" stroked="false">
              <v:fill type="solid"/>
            </v:rect>
            <v:rect style="position:absolute;left:8663;top:4286;width:194;height:78" filled="false" stroked="true" strokeweight=".644137pt" strokecolor="#000000">
              <v:stroke dashstyle="solid"/>
            </v:rect>
            <v:rect style="position:absolute;left:8663;top:4092;width:194;height:78" filled="true" fillcolor="#000000" stroked="false">
              <v:fill type="solid"/>
            </v:rect>
            <v:rect style="position:absolute;left:8663;top:4092;width:194;height:78" filled="false" stroked="true" strokeweight=".644137pt" strokecolor="#000000">
              <v:stroke dashstyle="solid"/>
            </v:rect>
            <v:rect style="position:absolute;left:8663;top:3899;width:194;height:78" filled="true" fillcolor="#000000" stroked="false">
              <v:fill type="solid"/>
            </v:rect>
            <v:rect style="position:absolute;left:8663;top:3899;width:194;height:78" filled="false" stroked="true" strokeweight=".644137pt" strokecolor="#000000">
              <v:stroke dashstyle="solid"/>
            </v:rect>
            <v:rect style="position:absolute;left:8663;top:3706;width:194;height:78" filled="true" fillcolor="#000000" stroked="false">
              <v:fill type="solid"/>
            </v:rect>
            <v:rect style="position:absolute;left:8663;top:3706;width:194;height:78" filled="false" stroked="true" strokeweight=".644137pt" strokecolor="#000000">
              <v:stroke dashstyle="solid"/>
            </v:rect>
            <v:rect style="position:absolute;left:8663;top:3513;width:194;height:78" filled="true" fillcolor="#000000" stroked="false">
              <v:fill type="solid"/>
            </v:rect>
            <v:rect style="position:absolute;left:8663;top:3513;width:194;height:78" filled="false" stroked="true" strokeweight=".644137pt" strokecolor="#000000">
              <v:stroke dashstyle="solid"/>
            </v:rect>
            <v:rect style="position:absolute;left:8663;top:3319;width:194;height:78" filled="true" fillcolor="#000000" stroked="false">
              <v:fill type="solid"/>
            </v:rect>
            <v:rect style="position:absolute;left:8663;top:3319;width:194;height:78" filled="false" stroked="true" strokeweight=".644137pt" strokecolor="#000000">
              <v:stroke dashstyle="solid"/>
            </v:rect>
            <v:rect style="position:absolute;left:8663;top:3126;width:194;height:78" filled="true" fillcolor="#000000" stroked="false">
              <v:fill type="solid"/>
            </v:rect>
            <v:rect style="position:absolute;left:8663;top:3126;width:194;height:78" filled="false" stroked="true" strokeweight=".644137pt" strokecolor="#000000">
              <v:stroke dashstyle="solid"/>
            </v:rect>
            <v:rect style="position:absolute;left:8663;top:2933;width:194;height:78" filled="true" fillcolor="#000000" stroked="false">
              <v:fill type="solid"/>
            </v:rect>
            <v:rect style="position:absolute;left:8663;top:2933;width:194;height:78" filled="false" stroked="true" strokeweight=".644137pt" strokecolor="#000000">
              <v:stroke dashstyle="solid"/>
            </v:rect>
            <v:rect style="position:absolute;left:5568;top:-467;width:78;height:194" filled="true" fillcolor="#000000" stroked="false">
              <v:fill type="solid"/>
            </v:rect>
            <v:rect style="position:absolute;left:5568;top:-467;width:78;height:194" filled="false" stroked="true" strokeweight=".644724pt" strokecolor="#000000">
              <v:stroke dashstyle="solid"/>
            </v:rect>
            <v:rect style="position:absolute;left:5761;top:-467;width:78;height:194" filled="true" fillcolor="#000000" stroked="false">
              <v:fill type="solid"/>
            </v:rect>
            <v:rect style="position:absolute;left:5761;top:-467;width:78;height:194" filled="false" stroked="true" strokeweight=".644724pt" strokecolor="#000000">
              <v:stroke dashstyle="solid"/>
            </v:rect>
            <v:rect style="position:absolute;left:5955;top:-467;width:78;height:194" filled="true" fillcolor="#000000" stroked="false">
              <v:fill type="solid"/>
            </v:rect>
            <v:rect style="position:absolute;left:5955;top:-467;width:78;height:194" filled="false" stroked="true" strokeweight=".644724pt" strokecolor="#000000">
              <v:stroke dashstyle="solid"/>
            </v:rect>
            <v:rect style="position:absolute;left:6148;top:-467;width:78;height:194" filled="true" fillcolor="#000000" stroked="false">
              <v:fill type="solid"/>
            </v:rect>
            <v:rect style="position:absolute;left:6148;top:-467;width:78;height:194" filled="false" stroked="true" strokeweight=".644724pt" strokecolor="#000000">
              <v:stroke dashstyle="solid"/>
            </v:rect>
            <v:rect style="position:absolute;left:6341;top:-467;width:78;height:194" filled="true" fillcolor="#000000" stroked="false">
              <v:fill type="solid"/>
            </v:rect>
            <v:rect style="position:absolute;left:6341;top:-467;width:78;height:194" filled="false" stroked="true" strokeweight=".644724pt" strokecolor="#000000">
              <v:stroke dashstyle="solid"/>
            </v:rect>
            <v:rect style="position:absolute;left:6535;top:-467;width:78;height:194" filled="true" fillcolor="#000000" stroked="false">
              <v:fill type="solid"/>
            </v:rect>
            <v:rect style="position:absolute;left:6535;top:-467;width:78;height:194" filled="false" stroked="true" strokeweight=".644724pt" strokecolor="#000000">
              <v:stroke dashstyle="solid"/>
            </v:rect>
            <v:rect style="position:absolute;left:6728;top:-467;width:78;height:194" filled="true" fillcolor="#000000" stroked="false">
              <v:fill type="solid"/>
            </v:rect>
            <v:rect style="position:absolute;left:6728;top:-467;width:78;height:194" filled="false" stroked="true" strokeweight=".644724pt" strokecolor="#000000">
              <v:stroke dashstyle="solid"/>
            </v:rect>
            <v:rect style="position:absolute;left:6922;top:-467;width:78;height:194" filled="true" fillcolor="#000000" stroked="false">
              <v:fill type="solid"/>
            </v:rect>
            <v:rect style="position:absolute;left:6922;top:-467;width:78;height:194" filled="false" stroked="true" strokeweight=".644724pt" strokecolor="#000000">
              <v:stroke dashstyle="solid"/>
            </v:rect>
            <v:rect style="position:absolute;left:7115;top:-467;width:78;height:194" filled="true" fillcolor="#000000" stroked="false">
              <v:fill type="solid"/>
            </v:rect>
            <v:rect style="position:absolute;left:7115;top:-467;width:78;height:194" filled="false" stroked="true" strokeweight=".644724pt" strokecolor="#000000">
              <v:stroke dashstyle="solid"/>
            </v:rect>
            <v:rect style="position:absolute;left:7309;top:-467;width:78;height:194" filled="true" fillcolor="#000000" stroked="false">
              <v:fill type="solid"/>
            </v:rect>
            <v:rect style="position:absolute;left:7309;top:-467;width:78;height:194" filled="false" stroked="true" strokeweight=".644724pt" strokecolor="#000000">
              <v:stroke dashstyle="solid"/>
            </v:rect>
            <v:rect style="position:absolute;left:7502;top:-467;width:78;height:194" filled="true" fillcolor="#000000" stroked="false">
              <v:fill type="solid"/>
            </v:rect>
            <v:rect style="position:absolute;left:7502;top:-467;width:78;height:194" filled="false" stroked="true" strokeweight=".644724pt" strokecolor="#000000">
              <v:stroke dashstyle="solid"/>
            </v:rect>
            <v:rect style="position:absolute;left:7696;top:-467;width:78;height:194" filled="true" fillcolor="#000000" stroked="false">
              <v:fill type="solid"/>
            </v:rect>
            <v:rect style="position:absolute;left:7696;top:-467;width:78;height:194" filled="false" stroked="true" strokeweight=".644724pt" strokecolor="#000000">
              <v:stroke dashstyle="solid"/>
            </v:rect>
            <v:rect style="position:absolute;left:7889;top:-467;width:78;height:194" filled="true" fillcolor="#000000" stroked="false">
              <v:fill type="solid"/>
            </v:rect>
            <v:rect style="position:absolute;left:7889;top:-467;width:78;height:194" filled="false" stroked="true" strokeweight=".644724pt" strokecolor="#000000">
              <v:stroke dashstyle="solid"/>
            </v:rect>
            <v:rect style="position:absolute;left:8083;top:-467;width:78;height:194" filled="true" fillcolor="#000000" stroked="false">
              <v:fill type="solid"/>
            </v:rect>
            <v:rect style="position:absolute;left:8083;top:-467;width:78;height:194" filled="false" stroked="true" strokeweight=".644724pt" strokecolor="#000000">
              <v:stroke dashstyle="solid"/>
            </v:rect>
            <v:rect style="position:absolute;left:8276;top:-467;width:78;height:194" filled="true" fillcolor="#000000" stroked="false">
              <v:fill type="solid"/>
            </v:rect>
            <v:rect style="position:absolute;left:8276;top:-467;width:78;height:194" filled="false" stroked="true" strokeweight=".644724pt" strokecolor="#000000">
              <v:stroke dashstyle="solid"/>
            </v:rect>
            <v:shape style="position:absolute;left:3368;top:-6;width:178;height:4796" type="#_x0000_t202" filled="false" stroked="false">
              <v:textbox inset="0,0,0,0">
                <w:txbxContent>
                  <w:p>
                    <w:pPr>
                      <w:spacing w:line="158" w:lineRule="exact" w:before="0"/>
                      <w:ind w:left="0" w:right="0" w:firstLine="0"/>
                      <w:jc w:val="left"/>
                      <w:rPr>
                        <w:sz w:val="14"/>
                      </w:rPr>
                    </w:pPr>
                    <w:r>
                      <w:rPr>
                        <w:w w:val="101"/>
                        <w:sz w:val="14"/>
                      </w:rPr>
                      <w:t>1</w:t>
                    </w:r>
                  </w:p>
                  <w:p>
                    <w:pPr>
                      <w:spacing w:before="32"/>
                      <w:ind w:left="0" w:right="0" w:firstLine="0"/>
                      <w:jc w:val="left"/>
                      <w:rPr>
                        <w:sz w:val="14"/>
                      </w:rPr>
                    </w:pPr>
                    <w:r>
                      <w:rPr>
                        <w:w w:val="101"/>
                        <w:sz w:val="14"/>
                      </w:rPr>
                      <w:t>2</w:t>
                    </w:r>
                  </w:p>
                  <w:p>
                    <w:pPr>
                      <w:spacing w:before="32"/>
                      <w:ind w:left="0" w:right="0" w:firstLine="0"/>
                      <w:jc w:val="left"/>
                      <w:rPr>
                        <w:sz w:val="14"/>
                      </w:rPr>
                    </w:pPr>
                    <w:r>
                      <w:rPr>
                        <w:w w:val="101"/>
                        <w:sz w:val="14"/>
                      </w:rPr>
                      <w:t>3</w:t>
                    </w:r>
                  </w:p>
                  <w:p>
                    <w:pPr>
                      <w:spacing w:before="32"/>
                      <w:ind w:left="0" w:right="0" w:firstLine="0"/>
                      <w:jc w:val="left"/>
                      <w:rPr>
                        <w:sz w:val="14"/>
                      </w:rPr>
                    </w:pPr>
                    <w:r>
                      <w:rPr>
                        <w:w w:val="101"/>
                        <w:sz w:val="14"/>
                      </w:rPr>
                      <w:t>4</w:t>
                    </w:r>
                  </w:p>
                  <w:p>
                    <w:pPr>
                      <w:spacing w:before="33"/>
                      <w:ind w:left="0" w:right="0" w:firstLine="0"/>
                      <w:jc w:val="left"/>
                      <w:rPr>
                        <w:sz w:val="14"/>
                      </w:rPr>
                    </w:pPr>
                    <w:r>
                      <w:rPr>
                        <w:w w:val="101"/>
                        <w:sz w:val="14"/>
                      </w:rPr>
                      <w:t>5</w:t>
                    </w:r>
                  </w:p>
                  <w:p>
                    <w:pPr>
                      <w:spacing w:before="32"/>
                      <w:ind w:left="0" w:right="0" w:firstLine="0"/>
                      <w:jc w:val="left"/>
                      <w:rPr>
                        <w:sz w:val="14"/>
                      </w:rPr>
                    </w:pPr>
                    <w:r>
                      <w:rPr>
                        <w:w w:val="101"/>
                        <w:sz w:val="14"/>
                      </w:rPr>
                      <w:t>6</w:t>
                    </w:r>
                  </w:p>
                  <w:p>
                    <w:pPr>
                      <w:spacing w:before="32"/>
                      <w:ind w:left="0" w:right="0" w:firstLine="0"/>
                      <w:jc w:val="left"/>
                      <w:rPr>
                        <w:sz w:val="14"/>
                      </w:rPr>
                    </w:pPr>
                    <w:r>
                      <w:rPr>
                        <w:w w:val="101"/>
                        <w:sz w:val="14"/>
                      </w:rPr>
                      <w:t>7</w:t>
                    </w:r>
                  </w:p>
                  <w:p>
                    <w:pPr>
                      <w:spacing w:before="32"/>
                      <w:ind w:left="0" w:right="0" w:firstLine="0"/>
                      <w:jc w:val="left"/>
                      <w:rPr>
                        <w:sz w:val="14"/>
                      </w:rPr>
                    </w:pPr>
                    <w:r>
                      <w:rPr>
                        <w:w w:val="101"/>
                        <w:sz w:val="14"/>
                      </w:rPr>
                      <w:t>8</w:t>
                    </w:r>
                  </w:p>
                  <w:p>
                    <w:pPr>
                      <w:spacing w:before="32"/>
                      <w:ind w:left="0" w:right="0" w:firstLine="0"/>
                      <w:jc w:val="left"/>
                      <w:rPr>
                        <w:sz w:val="14"/>
                      </w:rPr>
                    </w:pPr>
                    <w:r>
                      <w:rPr>
                        <w:w w:val="101"/>
                        <w:sz w:val="14"/>
                      </w:rPr>
                      <w:t>9</w:t>
                    </w:r>
                  </w:p>
                  <w:p>
                    <w:pPr>
                      <w:spacing w:before="33"/>
                      <w:ind w:left="0" w:right="0" w:firstLine="0"/>
                      <w:jc w:val="left"/>
                      <w:rPr>
                        <w:sz w:val="14"/>
                      </w:rPr>
                    </w:pPr>
                    <w:r>
                      <w:rPr>
                        <w:sz w:val="14"/>
                      </w:rPr>
                      <w:t>10</w:t>
                    </w:r>
                  </w:p>
                  <w:p>
                    <w:pPr>
                      <w:spacing w:before="32"/>
                      <w:ind w:left="0" w:right="0" w:firstLine="0"/>
                      <w:jc w:val="left"/>
                      <w:rPr>
                        <w:sz w:val="14"/>
                      </w:rPr>
                    </w:pPr>
                    <w:r>
                      <w:rPr>
                        <w:sz w:val="14"/>
                      </w:rPr>
                      <w:t>11</w:t>
                    </w:r>
                  </w:p>
                  <w:p>
                    <w:pPr>
                      <w:spacing w:before="32"/>
                      <w:ind w:left="0" w:right="0" w:firstLine="0"/>
                      <w:jc w:val="left"/>
                      <w:rPr>
                        <w:sz w:val="14"/>
                      </w:rPr>
                    </w:pPr>
                    <w:r>
                      <w:rPr>
                        <w:sz w:val="14"/>
                      </w:rPr>
                      <w:t>12</w:t>
                    </w:r>
                  </w:p>
                  <w:p>
                    <w:pPr>
                      <w:spacing w:before="32"/>
                      <w:ind w:left="0" w:right="0" w:firstLine="0"/>
                      <w:jc w:val="left"/>
                      <w:rPr>
                        <w:sz w:val="14"/>
                      </w:rPr>
                    </w:pPr>
                    <w:r>
                      <w:rPr>
                        <w:sz w:val="14"/>
                      </w:rPr>
                      <w:t>13</w:t>
                    </w:r>
                  </w:p>
                  <w:p>
                    <w:pPr>
                      <w:spacing w:before="33"/>
                      <w:ind w:left="0" w:right="0" w:firstLine="0"/>
                      <w:jc w:val="left"/>
                      <w:rPr>
                        <w:sz w:val="14"/>
                      </w:rPr>
                    </w:pPr>
                    <w:r>
                      <w:rPr>
                        <w:sz w:val="14"/>
                      </w:rPr>
                      <w:t>14</w:t>
                    </w:r>
                  </w:p>
                  <w:p>
                    <w:pPr>
                      <w:spacing w:before="32"/>
                      <w:ind w:left="0" w:right="0" w:firstLine="0"/>
                      <w:jc w:val="left"/>
                      <w:rPr>
                        <w:sz w:val="14"/>
                      </w:rPr>
                    </w:pPr>
                    <w:r>
                      <w:rPr>
                        <w:sz w:val="14"/>
                      </w:rPr>
                      <w:t>15</w:t>
                    </w:r>
                  </w:p>
                  <w:p>
                    <w:pPr>
                      <w:spacing w:before="32"/>
                      <w:ind w:left="0" w:right="0" w:firstLine="0"/>
                      <w:jc w:val="left"/>
                      <w:rPr>
                        <w:sz w:val="14"/>
                      </w:rPr>
                    </w:pPr>
                    <w:r>
                      <w:rPr>
                        <w:sz w:val="14"/>
                      </w:rPr>
                      <w:t>16</w:t>
                    </w:r>
                  </w:p>
                  <w:p>
                    <w:pPr>
                      <w:spacing w:before="32"/>
                      <w:ind w:left="0" w:right="0" w:firstLine="0"/>
                      <w:jc w:val="left"/>
                      <w:rPr>
                        <w:sz w:val="14"/>
                      </w:rPr>
                    </w:pPr>
                    <w:r>
                      <w:rPr>
                        <w:sz w:val="14"/>
                      </w:rPr>
                      <w:t>17</w:t>
                    </w:r>
                  </w:p>
                  <w:p>
                    <w:pPr>
                      <w:spacing w:before="32"/>
                      <w:ind w:left="0" w:right="0" w:firstLine="0"/>
                      <w:jc w:val="left"/>
                      <w:rPr>
                        <w:sz w:val="14"/>
                      </w:rPr>
                    </w:pPr>
                    <w:r>
                      <w:rPr>
                        <w:sz w:val="14"/>
                      </w:rPr>
                      <w:t>18</w:t>
                    </w:r>
                  </w:p>
                  <w:p>
                    <w:pPr>
                      <w:spacing w:before="33"/>
                      <w:ind w:left="0" w:right="0" w:firstLine="0"/>
                      <w:jc w:val="left"/>
                      <w:rPr>
                        <w:sz w:val="14"/>
                      </w:rPr>
                    </w:pPr>
                    <w:r>
                      <w:rPr>
                        <w:sz w:val="14"/>
                      </w:rPr>
                      <w:t>19</w:t>
                    </w:r>
                  </w:p>
                  <w:p>
                    <w:pPr>
                      <w:spacing w:before="32"/>
                      <w:ind w:left="0" w:right="0" w:firstLine="0"/>
                      <w:jc w:val="left"/>
                      <w:rPr>
                        <w:sz w:val="14"/>
                      </w:rPr>
                    </w:pPr>
                    <w:r>
                      <w:rPr>
                        <w:sz w:val="14"/>
                      </w:rPr>
                      <w:t>20</w:t>
                    </w:r>
                  </w:p>
                  <w:p>
                    <w:pPr>
                      <w:spacing w:before="32"/>
                      <w:ind w:left="0" w:right="0" w:firstLine="0"/>
                      <w:jc w:val="left"/>
                      <w:rPr>
                        <w:sz w:val="14"/>
                      </w:rPr>
                    </w:pPr>
                    <w:r>
                      <w:rPr>
                        <w:sz w:val="14"/>
                      </w:rPr>
                      <w:t>21</w:t>
                    </w:r>
                  </w:p>
                  <w:p>
                    <w:pPr>
                      <w:spacing w:before="32"/>
                      <w:ind w:left="0" w:right="0" w:firstLine="0"/>
                      <w:jc w:val="left"/>
                      <w:rPr>
                        <w:sz w:val="14"/>
                      </w:rPr>
                    </w:pPr>
                    <w:r>
                      <w:rPr>
                        <w:sz w:val="14"/>
                      </w:rPr>
                      <w:t>22</w:t>
                    </w:r>
                  </w:p>
                  <w:p>
                    <w:pPr>
                      <w:spacing w:before="33"/>
                      <w:ind w:left="0" w:right="0" w:firstLine="0"/>
                      <w:jc w:val="left"/>
                      <w:rPr>
                        <w:sz w:val="14"/>
                      </w:rPr>
                    </w:pPr>
                    <w:r>
                      <w:rPr>
                        <w:sz w:val="14"/>
                      </w:rPr>
                      <w:t>23</w:t>
                    </w:r>
                  </w:p>
                  <w:p>
                    <w:pPr>
                      <w:spacing w:before="32"/>
                      <w:ind w:left="0" w:right="0" w:firstLine="0"/>
                      <w:jc w:val="left"/>
                      <w:rPr>
                        <w:sz w:val="14"/>
                      </w:rPr>
                    </w:pPr>
                    <w:r>
                      <w:rPr>
                        <w:sz w:val="14"/>
                      </w:rPr>
                      <w:t>24</w:t>
                    </w:r>
                  </w:p>
                  <w:p>
                    <w:pPr>
                      <w:spacing w:before="32"/>
                      <w:ind w:left="0" w:right="0" w:firstLine="0"/>
                      <w:jc w:val="left"/>
                      <w:rPr>
                        <w:sz w:val="14"/>
                      </w:rPr>
                    </w:pPr>
                    <w:r>
                      <w:rPr>
                        <w:sz w:val="14"/>
                      </w:rPr>
                      <w:t>25</w:t>
                    </w:r>
                  </w:p>
                </w:txbxContent>
              </v:textbox>
              <w10:wrap type="none"/>
            </v:shape>
            <v:shape style="position:absolute;left:4978;top:1901;width:2062;height:956" type="#_x0000_t202" filled="false" stroked="false">
              <v:textbox inset="0,0,0,0">
                <w:txbxContent>
                  <w:p>
                    <w:pPr>
                      <w:spacing w:line="460" w:lineRule="exact" w:before="0"/>
                      <w:ind w:left="34" w:right="0" w:firstLine="0"/>
                      <w:jc w:val="left"/>
                      <w:rPr>
                        <w:b/>
                        <w:sz w:val="41"/>
                      </w:rPr>
                    </w:pPr>
                    <w:r>
                      <w:rPr>
                        <w:b/>
                        <w:sz w:val="41"/>
                      </w:rPr>
                      <w:t>71M6543F</w:t>
                    </w:r>
                  </w:p>
                  <w:p>
                    <w:pPr>
                      <w:spacing w:before="23"/>
                      <w:ind w:left="0" w:right="0" w:firstLine="0"/>
                      <w:jc w:val="left"/>
                      <w:rPr>
                        <w:b/>
                        <w:sz w:val="41"/>
                      </w:rPr>
                    </w:pPr>
                    <w:r>
                      <w:rPr>
                        <w:b/>
                        <w:sz w:val="41"/>
                      </w:rPr>
                      <w:t>71M6543G</w:t>
                    </w:r>
                  </w:p>
                </w:txbxContent>
              </v:textbox>
              <w10:wrap type="none"/>
            </v:shape>
            <v:shape style="position:absolute;left:8472;top:-6;width:178;height:4796" type="#_x0000_t202" filled="false" stroked="false">
              <v:textbox inset="0,0,0,0">
                <w:txbxContent>
                  <w:p>
                    <w:pPr>
                      <w:spacing w:line="158" w:lineRule="exact" w:before="0"/>
                      <w:ind w:left="0" w:right="0" w:firstLine="0"/>
                      <w:jc w:val="left"/>
                      <w:rPr>
                        <w:sz w:val="14"/>
                      </w:rPr>
                    </w:pPr>
                    <w:r>
                      <w:rPr>
                        <w:sz w:val="14"/>
                      </w:rPr>
                      <w:t>75</w:t>
                    </w:r>
                  </w:p>
                  <w:p>
                    <w:pPr>
                      <w:spacing w:before="32"/>
                      <w:ind w:left="0" w:right="0" w:firstLine="0"/>
                      <w:jc w:val="left"/>
                      <w:rPr>
                        <w:sz w:val="14"/>
                      </w:rPr>
                    </w:pPr>
                    <w:r>
                      <w:rPr>
                        <w:sz w:val="14"/>
                      </w:rPr>
                      <w:t>74</w:t>
                    </w:r>
                  </w:p>
                  <w:p>
                    <w:pPr>
                      <w:spacing w:before="32"/>
                      <w:ind w:left="0" w:right="0" w:firstLine="0"/>
                      <w:jc w:val="left"/>
                      <w:rPr>
                        <w:sz w:val="14"/>
                      </w:rPr>
                    </w:pPr>
                    <w:r>
                      <w:rPr>
                        <w:sz w:val="14"/>
                      </w:rPr>
                      <w:t>73</w:t>
                    </w:r>
                  </w:p>
                  <w:p>
                    <w:pPr>
                      <w:spacing w:before="32"/>
                      <w:ind w:left="0" w:right="0" w:firstLine="0"/>
                      <w:jc w:val="left"/>
                      <w:rPr>
                        <w:sz w:val="14"/>
                      </w:rPr>
                    </w:pPr>
                    <w:r>
                      <w:rPr>
                        <w:sz w:val="14"/>
                      </w:rPr>
                      <w:t>72</w:t>
                    </w:r>
                  </w:p>
                  <w:p>
                    <w:pPr>
                      <w:spacing w:before="33"/>
                      <w:ind w:left="0" w:right="0" w:firstLine="0"/>
                      <w:jc w:val="left"/>
                      <w:rPr>
                        <w:sz w:val="14"/>
                      </w:rPr>
                    </w:pPr>
                    <w:r>
                      <w:rPr>
                        <w:sz w:val="14"/>
                      </w:rPr>
                      <w:t>71</w:t>
                    </w:r>
                  </w:p>
                  <w:p>
                    <w:pPr>
                      <w:spacing w:before="32"/>
                      <w:ind w:left="0" w:right="0" w:firstLine="0"/>
                      <w:jc w:val="left"/>
                      <w:rPr>
                        <w:sz w:val="14"/>
                      </w:rPr>
                    </w:pPr>
                    <w:r>
                      <w:rPr>
                        <w:sz w:val="14"/>
                      </w:rPr>
                      <w:t>70</w:t>
                    </w:r>
                  </w:p>
                  <w:p>
                    <w:pPr>
                      <w:spacing w:before="32"/>
                      <w:ind w:left="0" w:right="0" w:firstLine="0"/>
                      <w:jc w:val="left"/>
                      <w:rPr>
                        <w:sz w:val="14"/>
                      </w:rPr>
                    </w:pPr>
                    <w:r>
                      <w:rPr>
                        <w:sz w:val="14"/>
                      </w:rPr>
                      <w:t>69</w:t>
                    </w:r>
                  </w:p>
                  <w:p>
                    <w:pPr>
                      <w:spacing w:before="32"/>
                      <w:ind w:left="0" w:right="0" w:firstLine="0"/>
                      <w:jc w:val="left"/>
                      <w:rPr>
                        <w:sz w:val="14"/>
                      </w:rPr>
                    </w:pPr>
                    <w:r>
                      <w:rPr>
                        <w:sz w:val="14"/>
                      </w:rPr>
                      <w:t>68</w:t>
                    </w:r>
                  </w:p>
                  <w:p>
                    <w:pPr>
                      <w:spacing w:before="32"/>
                      <w:ind w:left="0" w:right="0" w:firstLine="0"/>
                      <w:jc w:val="left"/>
                      <w:rPr>
                        <w:sz w:val="14"/>
                      </w:rPr>
                    </w:pPr>
                    <w:r>
                      <w:rPr>
                        <w:sz w:val="14"/>
                      </w:rPr>
                      <w:t>67</w:t>
                    </w:r>
                  </w:p>
                  <w:p>
                    <w:pPr>
                      <w:spacing w:before="33"/>
                      <w:ind w:left="0" w:right="0" w:firstLine="0"/>
                      <w:jc w:val="left"/>
                      <w:rPr>
                        <w:sz w:val="14"/>
                      </w:rPr>
                    </w:pPr>
                    <w:r>
                      <w:rPr>
                        <w:sz w:val="14"/>
                      </w:rPr>
                      <w:t>66</w:t>
                    </w:r>
                  </w:p>
                  <w:p>
                    <w:pPr>
                      <w:spacing w:before="32"/>
                      <w:ind w:left="0" w:right="0" w:firstLine="0"/>
                      <w:jc w:val="left"/>
                      <w:rPr>
                        <w:sz w:val="14"/>
                      </w:rPr>
                    </w:pPr>
                    <w:r>
                      <w:rPr>
                        <w:sz w:val="14"/>
                      </w:rPr>
                      <w:t>65</w:t>
                    </w:r>
                  </w:p>
                  <w:p>
                    <w:pPr>
                      <w:spacing w:before="32"/>
                      <w:ind w:left="0" w:right="0" w:firstLine="0"/>
                      <w:jc w:val="left"/>
                      <w:rPr>
                        <w:sz w:val="14"/>
                      </w:rPr>
                    </w:pPr>
                    <w:r>
                      <w:rPr>
                        <w:sz w:val="14"/>
                      </w:rPr>
                      <w:t>64</w:t>
                    </w:r>
                  </w:p>
                  <w:p>
                    <w:pPr>
                      <w:spacing w:before="32"/>
                      <w:ind w:left="0" w:right="0" w:firstLine="0"/>
                      <w:jc w:val="left"/>
                      <w:rPr>
                        <w:sz w:val="14"/>
                      </w:rPr>
                    </w:pPr>
                    <w:r>
                      <w:rPr>
                        <w:sz w:val="14"/>
                      </w:rPr>
                      <w:t>63</w:t>
                    </w:r>
                  </w:p>
                  <w:p>
                    <w:pPr>
                      <w:spacing w:before="33"/>
                      <w:ind w:left="0" w:right="0" w:firstLine="0"/>
                      <w:jc w:val="left"/>
                      <w:rPr>
                        <w:sz w:val="14"/>
                      </w:rPr>
                    </w:pPr>
                    <w:r>
                      <w:rPr>
                        <w:sz w:val="14"/>
                      </w:rPr>
                      <w:t>62</w:t>
                    </w:r>
                  </w:p>
                  <w:p>
                    <w:pPr>
                      <w:spacing w:before="32"/>
                      <w:ind w:left="0" w:right="0" w:firstLine="0"/>
                      <w:jc w:val="left"/>
                      <w:rPr>
                        <w:sz w:val="14"/>
                      </w:rPr>
                    </w:pPr>
                    <w:r>
                      <w:rPr>
                        <w:sz w:val="14"/>
                      </w:rPr>
                      <w:t>61</w:t>
                    </w:r>
                  </w:p>
                  <w:p>
                    <w:pPr>
                      <w:spacing w:before="32"/>
                      <w:ind w:left="0" w:right="0" w:firstLine="0"/>
                      <w:jc w:val="left"/>
                      <w:rPr>
                        <w:sz w:val="14"/>
                      </w:rPr>
                    </w:pPr>
                    <w:r>
                      <w:rPr>
                        <w:sz w:val="14"/>
                      </w:rPr>
                      <w:t>60</w:t>
                    </w:r>
                  </w:p>
                  <w:p>
                    <w:pPr>
                      <w:spacing w:before="32"/>
                      <w:ind w:left="0" w:right="0" w:firstLine="0"/>
                      <w:jc w:val="left"/>
                      <w:rPr>
                        <w:sz w:val="14"/>
                      </w:rPr>
                    </w:pPr>
                    <w:r>
                      <w:rPr>
                        <w:sz w:val="14"/>
                      </w:rPr>
                      <w:t>59</w:t>
                    </w:r>
                  </w:p>
                  <w:p>
                    <w:pPr>
                      <w:spacing w:before="32"/>
                      <w:ind w:left="0" w:right="0" w:firstLine="0"/>
                      <w:jc w:val="left"/>
                      <w:rPr>
                        <w:sz w:val="14"/>
                      </w:rPr>
                    </w:pPr>
                    <w:r>
                      <w:rPr>
                        <w:sz w:val="14"/>
                      </w:rPr>
                      <w:t>58</w:t>
                    </w:r>
                  </w:p>
                  <w:p>
                    <w:pPr>
                      <w:spacing w:before="33"/>
                      <w:ind w:left="0" w:right="0" w:firstLine="0"/>
                      <w:jc w:val="left"/>
                      <w:rPr>
                        <w:sz w:val="14"/>
                      </w:rPr>
                    </w:pPr>
                    <w:r>
                      <w:rPr>
                        <w:sz w:val="14"/>
                      </w:rPr>
                      <w:t>57</w:t>
                    </w:r>
                  </w:p>
                  <w:p>
                    <w:pPr>
                      <w:spacing w:before="32"/>
                      <w:ind w:left="0" w:right="0" w:firstLine="0"/>
                      <w:jc w:val="left"/>
                      <w:rPr>
                        <w:sz w:val="14"/>
                      </w:rPr>
                    </w:pPr>
                    <w:r>
                      <w:rPr>
                        <w:sz w:val="14"/>
                      </w:rPr>
                      <w:t>56</w:t>
                    </w:r>
                  </w:p>
                  <w:p>
                    <w:pPr>
                      <w:spacing w:before="32"/>
                      <w:ind w:left="0" w:right="0" w:firstLine="0"/>
                      <w:jc w:val="left"/>
                      <w:rPr>
                        <w:sz w:val="14"/>
                      </w:rPr>
                    </w:pPr>
                    <w:r>
                      <w:rPr>
                        <w:sz w:val="14"/>
                      </w:rPr>
                      <w:t>55</w:t>
                    </w:r>
                  </w:p>
                  <w:p>
                    <w:pPr>
                      <w:spacing w:before="32"/>
                      <w:ind w:left="0" w:right="0" w:firstLine="0"/>
                      <w:jc w:val="left"/>
                      <w:rPr>
                        <w:sz w:val="14"/>
                      </w:rPr>
                    </w:pPr>
                    <w:r>
                      <w:rPr>
                        <w:sz w:val="14"/>
                      </w:rPr>
                      <w:t>54</w:t>
                    </w:r>
                  </w:p>
                  <w:p>
                    <w:pPr>
                      <w:spacing w:before="33"/>
                      <w:ind w:left="0" w:right="0" w:firstLine="0"/>
                      <w:jc w:val="left"/>
                      <w:rPr>
                        <w:sz w:val="14"/>
                      </w:rPr>
                    </w:pPr>
                    <w:r>
                      <w:rPr>
                        <w:sz w:val="14"/>
                      </w:rPr>
                      <w:t>53</w:t>
                    </w:r>
                  </w:p>
                  <w:p>
                    <w:pPr>
                      <w:spacing w:before="32"/>
                      <w:ind w:left="0" w:right="0" w:firstLine="0"/>
                      <w:jc w:val="left"/>
                      <w:rPr>
                        <w:sz w:val="14"/>
                      </w:rPr>
                    </w:pPr>
                    <w:r>
                      <w:rPr>
                        <w:sz w:val="14"/>
                      </w:rPr>
                      <w:t>52</w:t>
                    </w:r>
                  </w:p>
                  <w:p>
                    <w:pPr>
                      <w:spacing w:before="32"/>
                      <w:ind w:left="0" w:right="0" w:firstLine="0"/>
                      <w:jc w:val="left"/>
                      <w:rPr>
                        <w:sz w:val="14"/>
                      </w:rPr>
                    </w:pPr>
                    <w:r>
                      <w:rPr>
                        <w:sz w:val="14"/>
                      </w:rPr>
                      <w:t>51</w:t>
                    </w:r>
                  </w:p>
                </w:txbxContent>
              </v:textbox>
              <w10:wrap type="none"/>
            </v:shape>
            <w10:wrap type="none"/>
          </v:group>
        </w:pict>
      </w:r>
      <w:r>
        <w:rPr>
          <w:color w:val="0000CC"/>
          <w:sz w:val="17"/>
        </w:rPr>
        <w:t>SPI_DI</w:t>
      </w:r>
      <w:r>
        <w:rPr>
          <w:sz w:val="17"/>
        </w:rPr>
        <w:t>/SEGDIO38 </w:t>
      </w:r>
      <w:r>
        <w:rPr>
          <w:color w:val="0000CC"/>
          <w:sz w:val="17"/>
        </w:rPr>
        <w:t>SPI_DO</w:t>
      </w:r>
      <w:r>
        <w:rPr>
          <w:sz w:val="17"/>
        </w:rPr>
        <w:t>/SEGDIO37 </w:t>
      </w:r>
      <w:r>
        <w:rPr>
          <w:color w:val="0000CC"/>
          <w:sz w:val="17"/>
        </w:rPr>
        <w:t>SPI_CSZ/</w:t>
      </w:r>
      <w:r>
        <w:rPr>
          <w:sz w:val="17"/>
        </w:rPr>
        <w:t>SEGDIO36</w:t>
      </w:r>
    </w:p>
    <w:p>
      <w:pPr>
        <w:spacing w:line="237" w:lineRule="auto" w:before="1"/>
        <w:ind w:left="1277" w:right="38" w:firstLine="0"/>
        <w:jc w:val="both"/>
        <w:rPr>
          <w:sz w:val="17"/>
        </w:rPr>
      </w:pPr>
      <w:r>
        <w:rPr>
          <w:sz w:val="17"/>
        </w:rPr>
        <w:t>SEGDIO35 SEGDIO34 SEGDIO33 SEGDIO32 SEGDIO31 SEGDIO30 SEGDIO29 SEGDIO28</w:t>
      </w:r>
    </w:p>
    <w:p>
      <w:pPr>
        <w:spacing w:line="237" w:lineRule="auto" w:before="0"/>
        <w:ind w:left="1641" w:right="38" w:firstLine="0"/>
        <w:jc w:val="both"/>
        <w:rPr>
          <w:sz w:val="17"/>
        </w:rPr>
      </w:pPr>
      <w:r>
        <w:rPr>
          <w:sz w:val="17"/>
        </w:rPr>
        <w:t>COM0 COM1 COM2 COM3</w:t>
      </w:r>
    </w:p>
    <w:p>
      <w:pPr>
        <w:spacing w:line="237" w:lineRule="auto" w:before="0"/>
        <w:ind w:left="733" w:right="37" w:firstLine="0"/>
        <w:jc w:val="left"/>
        <w:rPr>
          <w:sz w:val="17"/>
        </w:rPr>
      </w:pPr>
      <w:r>
        <w:rPr>
          <w:sz w:val="17"/>
        </w:rPr>
        <w:t>SEGDIO27/COM4 SEGDIO26/COM5</w:t>
      </w:r>
    </w:p>
    <w:p>
      <w:pPr>
        <w:spacing w:line="237" w:lineRule="auto" w:before="0"/>
        <w:ind w:left="1277" w:right="38" w:firstLine="0"/>
        <w:jc w:val="both"/>
        <w:rPr>
          <w:sz w:val="17"/>
        </w:rPr>
      </w:pPr>
      <w:r>
        <w:rPr>
          <w:sz w:val="17"/>
        </w:rPr>
        <w:t>SEGDIO25 SEGDIO24 SEGDIO23 SEGDIO22 SEGDIO21 SEGDIO20 SEGDIO19 SEGDIO18</w:t>
      </w:r>
    </w:p>
    <w:p>
      <w:pPr>
        <w:pStyle w:val="BodyText"/>
        <w:spacing w:before="11"/>
        <w:rPr>
          <w:sz w:val="19"/>
        </w:rPr>
      </w:pPr>
      <w:r>
        <w:rPr/>
        <w:br w:type="column"/>
      </w:r>
      <w:r>
        <w:rPr>
          <w:sz w:val="19"/>
        </w:rPr>
      </w:r>
    </w:p>
    <w:p>
      <w:pPr>
        <w:spacing w:line="237" w:lineRule="auto" w:before="0"/>
        <w:ind w:left="513" w:right="1899" w:firstLine="0"/>
        <w:jc w:val="left"/>
        <w:rPr>
          <w:sz w:val="17"/>
        </w:rPr>
      </w:pPr>
      <w:r>
        <w:rPr/>
        <w:pict>
          <v:shape style="position:absolute;margin-left:177.707916pt;margin-top:-105.818436pt;width:244.75pt;height:83.2pt;mso-position-horizontal-relative:page;mso-position-vertical-relative:paragraph;z-index:15869440" type="#_x0000_t202" filled="false" stroked="false">
            <v:textbox inset="0,0,0,0" style="layout-flow:vertical;mso-layout-flow-alt:bottom-to-top">
              <w:txbxContent>
                <w:p>
                  <w:pPr>
                    <w:spacing w:line="237" w:lineRule="auto" w:before="18"/>
                    <w:ind w:left="20" w:right="17" w:firstLine="57"/>
                    <w:jc w:val="left"/>
                    <w:rPr>
                      <w:sz w:val="17"/>
                    </w:rPr>
                  </w:pPr>
                  <w:r>
                    <w:rPr>
                      <w:color w:val="0000CC"/>
                      <w:sz w:val="17"/>
                    </w:rPr>
                    <w:t>SPI_CKI</w:t>
                  </w:r>
                  <w:r>
                    <w:rPr>
                      <w:sz w:val="17"/>
                    </w:rPr>
                    <w:t>/SEGDIO39 SEGDIO40 SEGDIO41 SEGDIO42 SEGDIO43 SEGDIO44 SEGDIO45 TMUX2OUT/SEG46 TMUXOUT/SEG47 RESET</w:t>
                  </w:r>
                </w:p>
                <w:p>
                  <w:pPr>
                    <w:spacing w:line="237" w:lineRule="auto" w:before="0"/>
                    <w:ind w:left="20" w:right="963" w:firstLine="0"/>
                    <w:jc w:val="left"/>
                    <w:rPr>
                      <w:sz w:val="17"/>
                    </w:rPr>
                  </w:pPr>
                  <w:r>
                    <w:rPr>
                      <w:sz w:val="17"/>
                    </w:rPr>
                    <w:t>PB VLCD VREF IADC0 IADC1 V3P3A VADC8 VADC9 VADC10 TEST GNDA NC</w:t>
                  </w:r>
                </w:p>
                <w:p>
                  <w:pPr>
                    <w:spacing w:line="237" w:lineRule="auto" w:before="17"/>
                    <w:ind w:left="20" w:right="1151" w:firstLine="19"/>
                    <w:jc w:val="left"/>
                    <w:rPr>
                      <w:sz w:val="17"/>
                    </w:rPr>
                  </w:pPr>
                  <w:r>
                    <w:rPr>
                      <w:sz w:val="17"/>
                    </w:rPr>
                    <w:t>NC NC XOUT</w:t>
                  </w:r>
                </w:p>
              </w:txbxContent>
            </v:textbox>
            <w10:wrap type="none"/>
          </v:shape>
        </w:pict>
      </w:r>
      <w:r>
        <w:rPr>
          <w:sz w:val="17"/>
        </w:rPr>
        <w:t>XIN NC NC GNDA</w:t>
      </w:r>
    </w:p>
    <w:p>
      <w:pPr>
        <w:spacing w:line="237" w:lineRule="auto" w:before="0"/>
        <w:ind w:left="513" w:right="1491" w:firstLine="0"/>
        <w:jc w:val="left"/>
        <w:rPr>
          <w:sz w:val="17"/>
        </w:rPr>
      </w:pPr>
      <w:r>
        <w:rPr/>
        <w:pict>
          <v:shape style="position:absolute;margin-left:178.617859pt;margin-top:-49.784508pt;width:242.1pt;height:13.85pt;mso-position-horizontal-relative:page;mso-position-vertical-relative:paragraph;z-index:15870464" type="#_x0000_t202" filled="false" stroked="false">
            <v:textbox inset="0,0,0,0" style="layout-flow:vertical;mso-layout-flow-alt:bottom-to-top">
              <w:txbxContent>
                <w:p>
                  <w:pPr>
                    <w:spacing w:before="17"/>
                    <w:ind w:left="20" w:right="0" w:firstLine="0"/>
                    <w:jc w:val="left"/>
                    <w:rPr>
                      <w:sz w:val="14"/>
                    </w:rPr>
                  </w:pPr>
                  <w:r>
                    <w:rPr>
                      <w:sz w:val="14"/>
                    </w:rPr>
                    <w:t>100</w:t>
                  </w:r>
                </w:p>
                <w:p>
                  <w:pPr>
                    <w:spacing w:before="32"/>
                    <w:ind w:left="98" w:right="0" w:firstLine="0"/>
                    <w:jc w:val="left"/>
                    <w:rPr>
                      <w:sz w:val="14"/>
                    </w:rPr>
                  </w:pPr>
                  <w:r>
                    <w:rPr>
                      <w:sz w:val="14"/>
                    </w:rPr>
                    <w:t>99</w:t>
                  </w:r>
                </w:p>
                <w:p>
                  <w:pPr>
                    <w:spacing w:before="33"/>
                    <w:ind w:left="98" w:right="0" w:firstLine="0"/>
                    <w:jc w:val="left"/>
                    <w:rPr>
                      <w:sz w:val="14"/>
                    </w:rPr>
                  </w:pPr>
                  <w:r>
                    <w:rPr>
                      <w:sz w:val="14"/>
                    </w:rPr>
                    <w:t>98</w:t>
                  </w:r>
                </w:p>
                <w:p>
                  <w:pPr>
                    <w:spacing w:before="32"/>
                    <w:ind w:left="98" w:right="0" w:firstLine="0"/>
                    <w:jc w:val="left"/>
                    <w:rPr>
                      <w:sz w:val="14"/>
                    </w:rPr>
                  </w:pPr>
                  <w:r>
                    <w:rPr>
                      <w:sz w:val="14"/>
                    </w:rPr>
                    <w:t>97</w:t>
                  </w:r>
                </w:p>
                <w:p>
                  <w:pPr>
                    <w:spacing w:before="33"/>
                    <w:ind w:left="98" w:right="0" w:firstLine="0"/>
                    <w:jc w:val="left"/>
                    <w:rPr>
                      <w:sz w:val="14"/>
                    </w:rPr>
                  </w:pPr>
                  <w:r>
                    <w:rPr>
                      <w:sz w:val="14"/>
                    </w:rPr>
                    <w:t>96</w:t>
                  </w:r>
                </w:p>
                <w:p>
                  <w:pPr>
                    <w:spacing w:before="32"/>
                    <w:ind w:left="98" w:right="0" w:firstLine="0"/>
                    <w:jc w:val="left"/>
                    <w:rPr>
                      <w:sz w:val="14"/>
                    </w:rPr>
                  </w:pPr>
                  <w:r>
                    <w:rPr>
                      <w:sz w:val="14"/>
                    </w:rPr>
                    <w:t>95</w:t>
                  </w:r>
                </w:p>
                <w:p>
                  <w:pPr>
                    <w:spacing w:before="33"/>
                    <w:ind w:left="98" w:right="0" w:firstLine="0"/>
                    <w:jc w:val="left"/>
                    <w:rPr>
                      <w:sz w:val="14"/>
                    </w:rPr>
                  </w:pPr>
                  <w:r>
                    <w:rPr>
                      <w:sz w:val="14"/>
                    </w:rPr>
                    <w:t>94</w:t>
                  </w:r>
                </w:p>
                <w:p>
                  <w:pPr>
                    <w:spacing w:before="32"/>
                    <w:ind w:left="98" w:right="0" w:firstLine="0"/>
                    <w:jc w:val="left"/>
                    <w:rPr>
                      <w:sz w:val="14"/>
                    </w:rPr>
                  </w:pPr>
                  <w:r>
                    <w:rPr>
                      <w:sz w:val="14"/>
                    </w:rPr>
                    <w:t>93</w:t>
                  </w:r>
                </w:p>
                <w:p>
                  <w:pPr>
                    <w:spacing w:before="33"/>
                    <w:ind w:left="98" w:right="0" w:firstLine="0"/>
                    <w:jc w:val="left"/>
                    <w:rPr>
                      <w:sz w:val="14"/>
                    </w:rPr>
                  </w:pPr>
                  <w:r>
                    <w:rPr>
                      <w:sz w:val="14"/>
                    </w:rPr>
                    <w:t>92</w:t>
                  </w:r>
                </w:p>
                <w:p>
                  <w:pPr>
                    <w:spacing w:before="32"/>
                    <w:ind w:left="98" w:right="0" w:firstLine="0"/>
                    <w:jc w:val="left"/>
                    <w:rPr>
                      <w:sz w:val="14"/>
                    </w:rPr>
                  </w:pPr>
                  <w:r>
                    <w:rPr>
                      <w:sz w:val="14"/>
                    </w:rPr>
                    <w:t>91</w:t>
                  </w:r>
                </w:p>
                <w:p>
                  <w:pPr>
                    <w:spacing w:before="32"/>
                    <w:ind w:left="98" w:right="0" w:firstLine="0"/>
                    <w:jc w:val="left"/>
                    <w:rPr>
                      <w:sz w:val="14"/>
                    </w:rPr>
                  </w:pPr>
                  <w:r>
                    <w:rPr>
                      <w:sz w:val="14"/>
                    </w:rPr>
                    <w:t>90</w:t>
                  </w:r>
                </w:p>
                <w:p>
                  <w:pPr>
                    <w:spacing w:before="33"/>
                    <w:ind w:left="98" w:right="0" w:firstLine="0"/>
                    <w:jc w:val="left"/>
                    <w:rPr>
                      <w:sz w:val="14"/>
                    </w:rPr>
                  </w:pPr>
                  <w:r>
                    <w:rPr>
                      <w:sz w:val="14"/>
                    </w:rPr>
                    <w:t>89</w:t>
                  </w:r>
                </w:p>
                <w:p>
                  <w:pPr>
                    <w:spacing w:before="32"/>
                    <w:ind w:left="98" w:right="0" w:firstLine="0"/>
                    <w:jc w:val="left"/>
                    <w:rPr>
                      <w:sz w:val="14"/>
                    </w:rPr>
                  </w:pPr>
                  <w:r>
                    <w:rPr>
                      <w:sz w:val="14"/>
                    </w:rPr>
                    <w:t>88</w:t>
                  </w:r>
                </w:p>
                <w:p>
                  <w:pPr>
                    <w:spacing w:before="33"/>
                    <w:ind w:left="98" w:right="0" w:firstLine="0"/>
                    <w:jc w:val="left"/>
                    <w:rPr>
                      <w:sz w:val="14"/>
                    </w:rPr>
                  </w:pPr>
                  <w:r>
                    <w:rPr>
                      <w:sz w:val="14"/>
                    </w:rPr>
                    <w:t>87</w:t>
                  </w:r>
                </w:p>
                <w:p>
                  <w:pPr>
                    <w:spacing w:before="32"/>
                    <w:ind w:left="98" w:right="0" w:firstLine="0"/>
                    <w:jc w:val="left"/>
                    <w:rPr>
                      <w:sz w:val="14"/>
                    </w:rPr>
                  </w:pPr>
                  <w:r>
                    <w:rPr>
                      <w:sz w:val="14"/>
                    </w:rPr>
                    <w:t>86</w:t>
                  </w:r>
                </w:p>
                <w:p>
                  <w:pPr>
                    <w:spacing w:before="33"/>
                    <w:ind w:left="98" w:right="0" w:firstLine="0"/>
                    <w:jc w:val="left"/>
                    <w:rPr>
                      <w:sz w:val="14"/>
                    </w:rPr>
                  </w:pPr>
                  <w:r>
                    <w:rPr>
                      <w:sz w:val="14"/>
                    </w:rPr>
                    <w:t>85</w:t>
                  </w:r>
                </w:p>
                <w:p>
                  <w:pPr>
                    <w:spacing w:before="32"/>
                    <w:ind w:left="98" w:right="0" w:firstLine="0"/>
                    <w:jc w:val="left"/>
                    <w:rPr>
                      <w:sz w:val="14"/>
                    </w:rPr>
                  </w:pPr>
                  <w:r>
                    <w:rPr>
                      <w:sz w:val="14"/>
                    </w:rPr>
                    <w:t>84</w:t>
                  </w:r>
                </w:p>
                <w:p>
                  <w:pPr>
                    <w:spacing w:before="33"/>
                    <w:ind w:left="98" w:right="0" w:firstLine="0"/>
                    <w:jc w:val="left"/>
                    <w:rPr>
                      <w:sz w:val="14"/>
                    </w:rPr>
                  </w:pPr>
                  <w:r>
                    <w:rPr>
                      <w:sz w:val="14"/>
                    </w:rPr>
                    <w:t>83</w:t>
                  </w:r>
                </w:p>
                <w:p>
                  <w:pPr>
                    <w:spacing w:before="32"/>
                    <w:ind w:left="98" w:right="0" w:firstLine="0"/>
                    <w:jc w:val="left"/>
                    <w:rPr>
                      <w:sz w:val="14"/>
                    </w:rPr>
                  </w:pPr>
                  <w:r>
                    <w:rPr>
                      <w:sz w:val="14"/>
                    </w:rPr>
                    <w:t>82</w:t>
                  </w:r>
                </w:p>
                <w:p>
                  <w:pPr>
                    <w:spacing w:before="33"/>
                    <w:ind w:left="98" w:right="0" w:firstLine="0"/>
                    <w:jc w:val="left"/>
                    <w:rPr>
                      <w:sz w:val="14"/>
                    </w:rPr>
                  </w:pPr>
                  <w:r>
                    <w:rPr>
                      <w:sz w:val="14"/>
                    </w:rPr>
                    <w:t>81</w:t>
                  </w:r>
                </w:p>
                <w:p>
                  <w:pPr>
                    <w:spacing w:before="32"/>
                    <w:ind w:left="98" w:right="0" w:firstLine="0"/>
                    <w:jc w:val="left"/>
                    <w:rPr>
                      <w:sz w:val="14"/>
                    </w:rPr>
                  </w:pPr>
                  <w:r>
                    <w:rPr>
                      <w:sz w:val="14"/>
                    </w:rPr>
                    <w:t>80</w:t>
                  </w:r>
                </w:p>
                <w:p>
                  <w:pPr>
                    <w:spacing w:before="33"/>
                    <w:ind w:left="98" w:right="0" w:firstLine="0"/>
                    <w:jc w:val="left"/>
                    <w:rPr>
                      <w:sz w:val="14"/>
                    </w:rPr>
                  </w:pPr>
                  <w:r>
                    <w:rPr>
                      <w:sz w:val="14"/>
                    </w:rPr>
                    <w:t>79</w:t>
                  </w:r>
                </w:p>
                <w:p>
                  <w:pPr>
                    <w:spacing w:before="32"/>
                    <w:ind w:left="98" w:right="0" w:firstLine="0"/>
                    <w:jc w:val="left"/>
                    <w:rPr>
                      <w:sz w:val="14"/>
                    </w:rPr>
                  </w:pPr>
                  <w:r>
                    <w:rPr>
                      <w:sz w:val="14"/>
                    </w:rPr>
                    <w:t>78</w:t>
                  </w:r>
                </w:p>
                <w:p>
                  <w:pPr>
                    <w:spacing w:before="33"/>
                    <w:ind w:left="98" w:right="0" w:firstLine="0"/>
                    <w:jc w:val="left"/>
                    <w:rPr>
                      <w:sz w:val="14"/>
                    </w:rPr>
                  </w:pPr>
                  <w:r>
                    <w:rPr>
                      <w:sz w:val="14"/>
                    </w:rPr>
                    <w:t>77</w:t>
                  </w:r>
                </w:p>
                <w:p>
                  <w:pPr>
                    <w:spacing w:before="32"/>
                    <w:ind w:left="98" w:right="0" w:firstLine="0"/>
                    <w:jc w:val="left"/>
                    <w:rPr>
                      <w:sz w:val="14"/>
                    </w:rPr>
                  </w:pPr>
                  <w:r>
                    <w:rPr>
                      <w:sz w:val="14"/>
                    </w:rPr>
                    <w:t>76</w:t>
                  </w:r>
                </w:p>
              </w:txbxContent>
            </v:textbox>
            <w10:wrap type="none"/>
          </v:shape>
        </w:pict>
      </w:r>
      <w:r>
        <w:rPr>
          <w:sz w:val="17"/>
        </w:rPr>
        <w:t>VBAT_RTC VBAT V3P3SYS IADC2 IADC3 IADC4 IADC5 IADC6</w:t>
      </w:r>
    </w:p>
    <w:p>
      <w:pPr>
        <w:spacing w:line="230" w:lineRule="auto" w:before="20"/>
        <w:ind w:left="513" w:right="1840" w:firstLine="0"/>
        <w:jc w:val="left"/>
        <w:rPr>
          <w:sz w:val="17"/>
        </w:rPr>
      </w:pPr>
      <w:r>
        <w:rPr>
          <w:sz w:val="17"/>
        </w:rPr>
        <w:t>IADC7 GNDD V3P3D VDD ICE_E</w:t>
      </w:r>
    </w:p>
    <w:p>
      <w:pPr>
        <w:spacing w:line="237" w:lineRule="auto" w:before="4"/>
        <w:ind w:left="513" w:right="1122" w:firstLine="0"/>
        <w:jc w:val="left"/>
        <w:rPr>
          <w:sz w:val="17"/>
        </w:rPr>
      </w:pPr>
      <w:r>
        <w:rPr>
          <w:color w:val="0000FF"/>
          <w:sz w:val="17"/>
        </w:rPr>
        <w:t>E_RXTX</w:t>
      </w:r>
      <w:r>
        <w:rPr>
          <w:sz w:val="17"/>
        </w:rPr>
        <w:t>/SEG48 </w:t>
      </w:r>
      <w:r>
        <w:rPr>
          <w:color w:val="0000FF"/>
          <w:sz w:val="17"/>
        </w:rPr>
        <w:t>E_TCLK</w:t>
      </w:r>
      <w:r>
        <w:rPr>
          <w:sz w:val="17"/>
        </w:rPr>
        <w:t>/SEG49 </w:t>
      </w:r>
      <w:r>
        <w:rPr>
          <w:color w:val="0000FF"/>
          <w:sz w:val="17"/>
        </w:rPr>
        <w:t>E_RST</w:t>
      </w:r>
      <w:r>
        <w:rPr>
          <w:sz w:val="17"/>
        </w:rPr>
        <w:t>/SEG50 RX</w:t>
      </w:r>
    </w:p>
    <w:p>
      <w:pPr>
        <w:spacing w:line="244" w:lineRule="auto" w:before="0"/>
        <w:ind w:left="513" w:right="718" w:firstLine="0"/>
        <w:jc w:val="left"/>
        <w:rPr>
          <w:sz w:val="17"/>
        </w:rPr>
      </w:pPr>
      <w:r>
        <w:rPr/>
        <w:pict>
          <v:shape style="position:absolute;margin-left:177.708694pt;margin-top:62.336418pt;width:244.75pt;height:81.75pt;mso-position-horizontal-relative:page;mso-position-vertical-relative:paragraph;z-index:15868928" type="#_x0000_t202" filled="false" stroked="false">
            <v:textbox inset="0,0,0,0" style="layout-flow:vertical;mso-layout-flow-alt:bottom-to-top">
              <w:txbxContent>
                <w:p>
                  <w:pPr>
                    <w:spacing w:line="240" w:lineRule="auto" w:before="16"/>
                    <w:ind w:left="124" w:right="18" w:firstLine="1221"/>
                    <w:jc w:val="right"/>
                    <w:rPr>
                      <w:sz w:val="17"/>
                    </w:rPr>
                  </w:pPr>
                  <w:r>
                    <w:rPr>
                      <w:spacing w:val="-1"/>
                      <w:sz w:val="17"/>
                    </w:rPr>
                    <w:t>NC </w:t>
                  </w:r>
                  <w:r>
                    <w:rPr>
                      <w:sz w:val="17"/>
                    </w:rPr>
                    <w:t>SEGDIO17 SEGDIO16 SEGDIO15 SEGDIO14 SEGDIO13 SEGDIO12 SEGDIO11 SEGDIO10 SEGDIO9 </w:t>
                  </w:r>
                  <w:r>
                    <w:rPr>
                      <w:spacing w:val="-1"/>
                      <w:sz w:val="17"/>
                    </w:rPr>
                    <w:t>SEGDIO8/</w:t>
                  </w:r>
                  <w:r>
                    <w:rPr>
                      <w:color w:val="0000CC"/>
                      <w:spacing w:val="-1"/>
                      <w:sz w:val="17"/>
                    </w:rPr>
                    <w:t>DI </w:t>
                  </w:r>
                  <w:r>
                    <w:rPr>
                      <w:sz w:val="17"/>
                    </w:rPr>
                    <w:t>SEGDIO7/</w:t>
                  </w:r>
                  <w:r>
                    <w:rPr>
                      <w:color w:val="0000CC"/>
                      <w:sz w:val="17"/>
                    </w:rPr>
                    <w:t>YPULSE </w:t>
                  </w:r>
                  <w:r>
                    <w:rPr>
                      <w:sz w:val="17"/>
                    </w:rPr>
                    <w:t>SEGDIO6/</w:t>
                  </w:r>
                  <w:r>
                    <w:rPr>
                      <w:color w:val="0000CC"/>
                      <w:sz w:val="17"/>
                    </w:rPr>
                    <w:t>XPULSE</w:t>
                  </w:r>
                </w:p>
                <w:p>
                  <w:pPr>
                    <w:spacing w:line="187" w:lineRule="exact" w:before="0"/>
                    <w:ind w:left="0" w:right="18" w:firstLine="0"/>
                    <w:jc w:val="right"/>
                    <w:rPr>
                      <w:sz w:val="17"/>
                    </w:rPr>
                  </w:pPr>
                  <w:r>
                    <w:rPr>
                      <w:spacing w:val="-1"/>
                      <w:sz w:val="17"/>
                    </w:rPr>
                    <w:t>SEGDIO5</w:t>
                  </w:r>
                </w:p>
                <w:p>
                  <w:pPr>
                    <w:spacing w:line="237" w:lineRule="auto" w:before="0"/>
                    <w:ind w:left="230" w:right="18" w:firstLine="1116"/>
                    <w:jc w:val="right"/>
                    <w:rPr>
                      <w:sz w:val="17"/>
                    </w:rPr>
                  </w:pPr>
                  <w:r>
                    <w:rPr>
                      <w:spacing w:val="-1"/>
                      <w:sz w:val="17"/>
                    </w:rPr>
                    <w:t>NC </w:t>
                  </w:r>
                  <w:r>
                    <w:rPr>
                      <w:sz w:val="17"/>
                    </w:rPr>
                    <w:t>SEGDIO4 </w:t>
                  </w:r>
                  <w:r>
                    <w:rPr>
                      <w:spacing w:val="-1"/>
                      <w:sz w:val="17"/>
                    </w:rPr>
                    <w:t>SEGDIO3</w:t>
                  </w:r>
                  <w:r>
                    <w:rPr>
                      <w:color w:val="0000FF"/>
                      <w:spacing w:val="-1"/>
                      <w:sz w:val="17"/>
                    </w:rPr>
                    <w:t>/SDATA</w:t>
                  </w:r>
                </w:p>
                <w:p>
                  <w:pPr>
                    <w:spacing w:line="230" w:lineRule="auto" w:before="5"/>
                    <w:ind w:left="20" w:right="18" w:firstLine="305"/>
                    <w:jc w:val="both"/>
                    <w:rPr>
                      <w:sz w:val="17"/>
                    </w:rPr>
                  </w:pPr>
                  <w:r>
                    <w:rPr>
                      <w:sz w:val="17"/>
                    </w:rPr>
                    <w:t>SEGDIO2</w:t>
                  </w:r>
                  <w:r>
                    <w:rPr>
                      <w:color w:val="0000FF"/>
                      <w:sz w:val="17"/>
                    </w:rPr>
                    <w:t>/SDCK </w:t>
                  </w:r>
                  <w:r>
                    <w:rPr>
                      <w:sz w:val="17"/>
                    </w:rPr>
                    <w:t>SEGDIO1</w:t>
                  </w:r>
                  <w:r>
                    <w:rPr>
                      <w:color w:val="0000FF"/>
                      <w:sz w:val="17"/>
                    </w:rPr>
                    <w:t>/VPULSE </w:t>
                  </w:r>
                  <w:r>
                    <w:rPr>
                      <w:sz w:val="17"/>
                    </w:rPr>
                    <w:t>SEGDIO0</w:t>
                  </w:r>
                  <w:r>
                    <w:rPr>
                      <w:color w:val="0000FF"/>
                      <w:sz w:val="17"/>
                    </w:rPr>
                    <w:t>/WPULSE </w:t>
                  </w:r>
                  <w:r>
                    <w:rPr>
                      <w:sz w:val="17"/>
                    </w:rPr>
                    <w:t>OPT_RX/SEGDIO55</w:t>
                  </w:r>
                </w:p>
                <w:p>
                  <w:pPr>
                    <w:spacing w:line="193" w:lineRule="exact" w:before="0"/>
                    <w:ind w:left="0" w:right="18" w:firstLine="0"/>
                    <w:jc w:val="right"/>
                    <w:rPr>
                      <w:sz w:val="17"/>
                    </w:rPr>
                  </w:pPr>
                  <w:r>
                    <w:rPr>
                      <w:sz w:val="17"/>
                    </w:rPr>
                    <w:t>SEGDIO54</w:t>
                  </w:r>
                </w:p>
                <w:p>
                  <w:pPr>
                    <w:spacing w:line="237" w:lineRule="auto" w:before="19"/>
                    <w:ind w:left="1346" w:right="37" w:firstLine="0"/>
                    <w:jc w:val="both"/>
                    <w:rPr>
                      <w:sz w:val="17"/>
                    </w:rPr>
                  </w:pPr>
                  <w:r>
                    <w:rPr>
                      <w:sz w:val="17"/>
                    </w:rPr>
                    <w:t>NC NC NC</w:t>
                  </w:r>
                </w:p>
              </w:txbxContent>
            </v:textbox>
            <w10:wrap type="none"/>
          </v:shape>
        </w:pict>
      </w:r>
      <w:r>
        <w:rPr/>
        <w:pict>
          <v:shape style="position:absolute;margin-left:178.617859pt;margin-top:40.945736pt;width:242.1pt;height:9.9pt;mso-position-horizontal-relative:page;mso-position-vertical-relative:paragraph;z-index:15869952" type="#_x0000_t202" filled="false" stroked="false">
            <v:textbox inset="0,0,0,0" style="layout-flow:vertical;mso-layout-flow-alt:bottom-to-top">
              <w:txbxContent>
                <w:p>
                  <w:pPr>
                    <w:spacing w:before="17"/>
                    <w:ind w:left="20" w:right="0" w:firstLine="0"/>
                    <w:jc w:val="left"/>
                    <w:rPr>
                      <w:sz w:val="14"/>
                    </w:rPr>
                  </w:pPr>
                  <w:r>
                    <w:rPr>
                      <w:sz w:val="14"/>
                    </w:rPr>
                    <w:t>26</w:t>
                  </w:r>
                </w:p>
                <w:p>
                  <w:pPr>
                    <w:spacing w:before="32"/>
                    <w:ind w:left="20" w:right="0" w:firstLine="0"/>
                    <w:jc w:val="left"/>
                    <w:rPr>
                      <w:sz w:val="14"/>
                    </w:rPr>
                  </w:pPr>
                  <w:r>
                    <w:rPr>
                      <w:sz w:val="14"/>
                    </w:rPr>
                    <w:t>27</w:t>
                  </w:r>
                </w:p>
                <w:p>
                  <w:pPr>
                    <w:spacing w:before="33"/>
                    <w:ind w:left="20" w:right="0" w:firstLine="0"/>
                    <w:jc w:val="left"/>
                    <w:rPr>
                      <w:sz w:val="14"/>
                    </w:rPr>
                  </w:pPr>
                  <w:r>
                    <w:rPr>
                      <w:sz w:val="14"/>
                    </w:rPr>
                    <w:t>28</w:t>
                  </w:r>
                </w:p>
                <w:p>
                  <w:pPr>
                    <w:spacing w:before="32"/>
                    <w:ind w:left="20" w:right="0" w:firstLine="0"/>
                    <w:jc w:val="left"/>
                    <w:rPr>
                      <w:sz w:val="14"/>
                    </w:rPr>
                  </w:pPr>
                  <w:r>
                    <w:rPr>
                      <w:sz w:val="14"/>
                    </w:rPr>
                    <w:t>29</w:t>
                  </w:r>
                </w:p>
                <w:p>
                  <w:pPr>
                    <w:spacing w:before="33"/>
                    <w:ind w:left="20" w:right="0" w:firstLine="0"/>
                    <w:jc w:val="left"/>
                    <w:rPr>
                      <w:sz w:val="14"/>
                    </w:rPr>
                  </w:pPr>
                  <w:r>
                    <w:rPr>
                      <w:sz w:val="14"/>
                    </w:rPr>
                    <w:t>30</w:t>
                  </w:r>
                </w:p>
                <w:p>
                  <w:pPr>
                    <w:spacing w:before="32"/>
                    <w:ind w:left="20" w:right="0" w:firstLine="0"/>
                    <w:jc w:val="left"/>
                    <w:rPr>
                      <w:sz w:val="14"/>
                    </w:rPr>
                  </w:pPr>
                  <w:r>
                    <w:rPr>
                      <w:sz w:val="14"/>
                    </w:rPr>
                    <w:t>31</w:t>
                  </w:r>
                </w:p>
                <w:p>
                  <w:pPr>
                    <w:spacing w:before="33"/>
                    <w:ind w:left="20" w:right="0" w:firstLine="0"/>
                    <w:jc w:val="left"/>
                    <w:rPr>
                      <w:sz w:val="14"/>
                    </w:rPr>
                  </w:pPr>
                  <w:r>
                    <w:rPr>
                      <w:sz w:val="14"/>
                    </w:rPr>
                    <w:t>32</w:t>
                  </w:r>
                </w:p>
                <w:p>
                  <w:pPr>
                    <w:spacing w:before="32"/>
                    <w:ind w:left="20" w:right="0" w:firstLine="0"/>
                    <w:jc w:val="left"/>
                    <w:rPr>
                      <w:sz w:val="14"/>
                    </w:rPr>
                  </w:pPr>
                  <w:r>
                    <w:rPr>
                      <w:sz w:val="14"/>
                    </w:rPr>
                    <w:t>33</w:t>
                  </w:r>
                </w:p>
                <w:p>
                  <w:pPr>
                    <w:spacing w:before="33"/>
                    <w:ind w:left="20" w:right="0" w:firstLine="0"/>
                    <w:jc w:val="left"/>
                    <w:rPr>
                      <w:sz w:val="14"/>
                    </w:rPr>
                  </w:pPr>
                  <w:r>
                    <w:rPr>
                      <w:sz w:val="14"/>
                    </w:rPr>
                    <w:t>34</w:t>
                  </w:r>
                </w:p>
                <w:p>
                  <w:pPr>
                    <w:spacing w:before="32"/>
                    <w:ind w:left="20" w:right="0" w:firstLine="0"/>
                    <w:jc w:val="left"/>
                    <w:rPr>
                      <w:sz w:val="14"/>
                    </w:rPr>
                  </w:pPr>
                  <w:r>
                    <w:rPr>
                      <w:sz w:val="14"/>
                    </w:rPr>
                    <w:t>35</w:t>
                  </w:r>
                </w:p>
                <w:p>
                  <w:pPr>
                    <w:spacing w:before="33"/>
                    <w:ind w:left="20" w:right="0" w:firstLine="0"/>
                    <w:jc w:val="left"/>
                    <w:rPr>
                      <w:sz w:val="14"/>
                    </w:rPr>
                  </w:pPr>
                  <w:r>
                    <w:rPr>
                      <w:sz w:val="14"/>
                    </w:rPr>
                    <w:t>36</w:t>
                  </w:r>
                </w:p>
                <w:p>
                  <w:pPr>
                    <w:spacing w:before="32"/>
                    <w:ind w:left="20" w:right="0" w:firstLine="0"/>
                    <w:jc w:val="left"/>
                    <w:rPr>
                      <w:sz w:val="14"/>
                    </w:rPr>
                  </w:pPr>
                  <w:r>
                    <w:rPr>
                      <w:sz w:val="14"/>
                    </w:rPr>
                    <w:t>37</w:t>
                  </w:r>
                </w:p>
                <w:p>
                  <w:pPr>
                    <w:spacing w:before="32"/>
                    <w:ind w:left="20" w:right="0" w:firstLine="0"/>
                    <w:jc w:val="left"/>
                    <w:rPr>
                      <w:sz w:val="14"/>
                    </w:rPr>
                  </w:pPr>
                  <w:r>
                    <w:rPr>
                      <w:sz w:val="14"/>
                    </w:rPr>
                    <w:t>38</w:t>
                  </w:r>
                </w:p>
                <w:p>
                  <w:pPr>
                    <w:spacing w:before="33"/>
                    <w:ind w:left="20" w:right="0" w:firstLine="0"/>
                    <w:jc w:val="left"/>
                    <w:rPr>
                      <w:sz w:val="14"/>
                    </w:rPr>
                  </w:pPr>
                  <w:r>
                    <w:rPr>
                      <w:sz w:val="14"/>
                    </w:rPr>
                    <w:t>39</w:t>
                  </w:r>
                </w:p>
                <w:p>
                  <w:pPr>
                    <w:spacing w:before="32"/>
                    <w:ind w:left="20" w:right="0" w:firstLine="0"/>
                    <w:jc w:val="left"/>
                    <w:rPr>
                      <w:sz w:val="14"/>
                    </w:rPr>
                  </w:pPr>
                  <w:r>
                    <w:rPr>
                      <w:sz w:val="14"/>
                    </w:rPr>
                    <w:t>40</w:t>
                  </w:r>
                </w:p>
                <w:p>
                  <w:pPr>
                    <w:spacing w:before="33"/>
                    <w:ind w:left="20" w:right="0" w:firstLine="0"/>
                    <w:jc w:val="left"/>
                    <w:rPr>
                      <w:sz w:val="14"/>
                    </w:rPr>
                  </w:pPr>
                  <w:r>
                    <w:rPr>
                      <w:sz w:val="14"/>
                    </w:rPr>
                    <w:t>41</w:t>
                  </w:r>
                </w:p>
                <w:p>
                  <w:pPr>
                    <w:spacing w:before="32"/>
                    <w:ind w:left="20" w:right="0" w:firstLine="0"/>
                    <w:jc w:val="left"/>
                    <w:rPr>
                      <w:sz w:val="14"/>
                    </w:rPr>
                  </w:pPr>
                  <w:r>
                    <w:rPr>
                      <w:sz w:val="14"/>
                    </w:rPr>
                    <w:t>42</w:t>
                  </w:r>
                </w:p>
                <w:p>
                  <w:pPr>
                    <w:spacing w:before="33"/>
                    <w:ind w:left="20" w:right="0" w:firstLine="0"/>
                    <w:jc w:val="left"/>
                    <w:rPr>
                      <w:sz w:val="14"/>
                    </w:rPr>
                  </w:pPr>
                  <w:r>
                    <w:rPr>
                      <w:sz w:val="14"/>
                    </w:rPr>
                    <w:t>43</w:t>
                  </w:r>
                </w:p>
                <w:p>
                  <w:pPr>
                    <w:spacing w:before="32"/>
                    <w:ind w:left="20" w:right="0" w:firstLine="0"/>
                    <w:jc w:val="left"/>
                    <w:rPr>
                      <w:sz w:val="14"/>
                    </w:rPr>
                  </w:pPr>
                  <w:r>
                    <w:rPr>
                      <w:sz w:val="14"/>
                    </w:rPr>
                    <w:t>44</w:t>
                  </w:r>
                </w:p>
                <w:p>
                  <w:pPr>
                    <w:spacing w:before="33"/>
                    <w:ind w:left="20" w:right="0" w:firstLine="0"/>
                    <w:jc w:val="left"/>
                    <w:rPr>
                      <w:sz w:val="14"/>
                    </w:rPr>
                  </w:pPr>
                  <w:r>
                    <w:rPr>
                      <w:sz w:val="14"/>
                    </w:rPr>
                    <w:t>45</w:t>
                  </w:r>
                </w:p>
                <w:p>
                  <w:pPr>
                    <w:spacing w:before="32"/>
                    <w:ind w:left="20" w:right="0" w:firstLine="0"/>
                    <w:jc w:val="left"/>
                    <w:rPr>
                      <w:sz w:val="14"/>
                    </w:rPr>
                  </w:pPr>
                  <w:r>
                    <w:rPr>
                      <w:sz w:val="14"/>
                    </w:rPr>
                    <w:t>46</w:t>
                  </w:r>
                </w:p>
                <w:p>
                  <w:pPr>
                    <w:spacing w:before="33"/>
                    <w:ind w:left="20" w:right="0" w:firstLine="0"/>
                    <w:jc w:val="left"/>
                    <w:rPr>
                      <w:sz w:val="14"/>
                    </w:rPr>
                  </w:pPr>
                  <w:r>
                    <w:rPr>
                      <w:sz w:val="14"/>
                    </w:rPr>
                    <w:t>47</w:t>
                  </w:r>
                </w:p>
                <w:p>
                  <w:pPr>
                    <w:spacing w:before="32"/>
                    <w:ind w:left="20" w:right="0" w:firstLine="0"/>
                    <w:jc w:val="left"/>
                    <w:rPr>
                      <w:sz w:val="14"/>
                    </w:rPr>
                  </w:pPr>
                  <w:r>
                    <w:rPr>
                      <w:sz w:val="14"/>
                    </w:rPr>
                    <w:t>48</w:t>
                  </w:r>
                </w:p>
                <w:p>
                  <w:pPr>
                    <w:spacing w:before="33"/>
                    <w:ind w:left="20" w:right="0" w:firstLine="0"/>
                    <w:jc w:val="left"/>
                    <w:rPr>
                      <w:sz w:val="14"/>
                    </w:rPr>
                  </w:pPr>
                  <w:r>
                    <w:rPr>
                      <w:sz w:val="14"/>
                    </w:rPr>
                    <w:t>49</w:t>
                  </w:r>
                </w:p>
                <w:p>
                  <w:pPr>
                    <w:spacing w:before="32"/>
                    <w:ind w:left="20" w:right="0" w:firstLine="0"/>
                    <w:jc w:val="left"/>
                    <w:rPr>
                      <w:sz w:val="14"/>
                    </w:rPr>
                  </w:pPr>
                  <w:r>
                    <w:rPr>
                      <w:sz w:val="14"/>
                    </w:rPr>
                    <w:t>50</w:t>
                  </w:r>
                </w:p>
              </w:txbxContent>
            </v:textbox>
            <w10:wrap type="none"/>
          </v:shape>
        </w:pict>
      </w:r>
      <w:r>
        <w:rPr>
          <w:sz w:val="17"/>
        </w:rPr>
        <w:t>TX OPT_TX/SEGDIO51 SEGDIO52 SEGDIO53</w:t>
      </w:r>
    </w:p>
    <w:p>
      <w:pPr>
        <w:spacing w:after="0" w:line="244" w:lineRule="auto"/>
        <w:jc w:val="left"/>
        <w:rPr>
          <w:sz w:val="17"/>
        </w:rPr>
        <w:sectPr>
          <w:type w:val="continuous"/>
          <w:pgSz w:w="12240" w:h="15840"/>
          <w:pgMar w:top="940" w:bottom="280" w:left="960" w:right="940"/>
          <w:cols w:num="2" w:equalWidth="0">
            <w:col w:w="2179" w:space="5249"/>
            <w:col w:w="2912"/>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9"/>
        </w:rPr>
      </w:pPr>
    </w:p>
    <w:p>
      <w:pPr>
        <w:spacing w:before="93"/>
        <w:ind w:left="777" w:right="797" w:firstLine="0"/>
        <w:jc w:val="center"/>
        <w:rPr>
          <w:b/>
          <w:sz w:val="20"/>
        </w:rPr>
      </w:pPr>
      <w:bookmarkStart w:name="_bookmark297" w:id="608"/>
      <w:bookmarkEnd w:id="608"/>
      <w:r>
        <w:rPr/>
      </w:r>
      <w:r>
        <w:rPr>
          <w:b/>
          <w:sz w:val="20"/>
        </w:rPr>
        <w:t>Figure 42: Pinout for the LQFP-100 Package</w:t>
      </w:r>
    </w:p>
    <w:p>
      <w:pPr>
        <w:spacing w:after="0"/>
        <w:jc w:val="center"/>
        <w:rPr>
          <w:sz w:val="20"/>
        </w:rPr>
        <w:sectPr>
          <w:type w:val="continuous"/>
          <w:pgSz w:w="12240" w:h="15840"/>
          <w:pgMar w:top="940" w:bottom="280" w:left="960" w:right="940"/>
        </w:sectPr>
      </w:pPr>
    </w:p>
    <w:p>
      <w:pPr>
        <w:pStyle w:val="ListParagraph"/>
        <w:numPr>
          <w:ilvl w:val="1"/>
          <w:numId w:val="22"/>
        </w:numPr>
        <w:tabs>
          <w:tab w:pos="1199" w:val="left" w:leader="none"/>
          <w:tab w:pos="1200" w:val="left" w:leader="none"/>
        </w:tabs>
        <w:spacing w:line="240" w:lineRule="auto" w:before="88" w:after="0"/>
        <w:ind w:left="1200" w:right="0" w:hanging="720"/>
        <w:jc w:val="left"/>
        <w:rPr>
          <w:b/>
          <w:sz w:val="24"/>
        </w:rPr>
      </w:pPr>
      <w:bookmarkStart w:name="6.8 71M6543 Pin Descriptions" w:id="609"/>
      <w:bookmarkEnd w:id="609"/>
      <w:r>
        <w:rPr/>
      </w:r>
      <w:bookmarkStart w:name="_bookmark298" w:id="610"/>
      <w:bookmarkEnd w:id="610"/>
      <w:r>
        <w:rPr/>
      </w:r>
      <w:bookmarkStart w:name="_bookmark298" w:id="611"/>
      <w:bookmarkEnd w:id="611"/>
      <w:r>
        <w:rPr>
          <w:b/>
          <w:sz w:val="24"/>
        </w:rPr>
        <w:t>71</w:t>
      </w:r>
      <w:r>
        <w:rPr>
          <w:b/>
          <w:sz w:val="24"/>
        </w:rPr>
        <w:t>M6543 Pin Descriptions</w:t>
      </w:r>
    </w:p>
    <w:p>
      <w:pPr>
        <w:pStyle w:val="ListParagraph"/>
        <w:numPr>
          <w:ilvl w:val="2"/>
          <w:numId w:val="42"/>
        </w:numPr>
        <w:tabs>
          <w:tab w:pos="1199" w:val="left" w:leader="none"/>
          <w:tab w:pos="1200" w:val="left" w:leader="none"/>
        </w:tabs>
        <w:spacing w:line="240" w:lineRule="auto" w:before="120" w:after="0"/>
        <w:ind w:left="1199" w:right="0" w:hanging="720"/>
        <w:jc w:val="left"/>
        <w:rPr>
          <w:b/>
          <w:sz w:val="22"/>
        </w:rPr>
      </w:pPr>
      <w:bookmarkStart w:name="6.8.1 71M6543 Power and Ground Pins" w:id="612"/>
      <w:bookmarkEnd w:id="612"/>
      <w:r>
        <w:rPr/>
      </w:r>
      <w:bookmarkStart w:name="_bookmark299" w:id="613"/>
      <w:bookmarkEnd w:id="613"/>
      <w:r>
        <w:rPr/>
      </w:r>
      <w:bookmarkStart w:name="_bookmark299" w:id="614"/>
      <w:bookmarkEnd w:id="614"/>
      <w:r>
        <w:rPr>
          <w:b/>
          <w:sz w:val="22"/>
        </w:rPr>
        <w:t>71</w:t>
      </w:r>
      <w:r>
        <w:rPr>
          <w:b/>
          <w:sz w:val="22"/>
        </w:rPr>
        <w:t>M6543 Power and Ground</w:t>
      </w:r>
      <w:r>
        <w:rPr>
          <w:b/>
          <w:spacing w:val="-9"/>
          <w:sz w:val="22"/>
        </w:rPr>
        <w:t> </w:t>
      </w:r>
      <w:r>
        <w:rPr>
          <w:b/>
          <w:sz w:val="22"/>
        </w:rPr>
        <w:t>Pins</w:t>
      </w:r>
    </w:p>
    <w:p>
      <w:pPr>
        <w:pStyle w:val="BodyText"/>
        <w:spacing w:before="121"/>
        <w:ind w:left="480" w:right="491"/>
      </w:pPr>
      <w:r>
        <w:rPr/>
        <w:t>Pin types: P = Power, O = Output, I = Input, I/O = Input/Output. The </w:t>
      </w:r>
      <w:r>
        <w:rPr>
          <w:spacing w:val="-3"/>
        </w:rPr>
        <w:t>circuit </w:t>
      </w:r>
      <w:r>
        <w:rPr/>
        <w:t>number denotes the </w:t>
      </w:r>
      <w:r>
        <w:rPr>
          <w:spacing w:val="-3"/>
        </w:rPr>
        <w:t>equivalent circuit, </w:t>
      </w:r>
      <w:r>
        <w:rPr/>
        <w:t>as specified under Section </w:t>
      </w:r>
      <w:hyperlink w:history="true" w:anchor="_bookmark305">
        <w:r>
          <w:rPr>
            <w:color w:val="0000FF"/>
          </w:rPr>
          <w:t>6.8.4 </w:t>
        </w:r>
      </w:hyperlink>
      <w:hyperlink w:history="true" w:anchor="_bookmark305">
        <w:r>
          <w:rPr>
            <w:color w:val="0000FF"/>
          </w:rPr>
          <w:t>I/O </w:t>
        </w:r>
        <w:r>
          <w:rPr>
            <w:color w:val="0000FF"/>
            <w:spacing w:val="-3"/>
          </w:rPr>
          <w:t>Equivalent</w:t>
        </w:r>
        <w:r>
          <w:rPr>
            <w:color w:val="0000FF"/>
            <w:spacing w:val="-30"/>
          </w:rPr>
          <w:t> </w:t>
        </w:r>
        <w:r>
          <w:rPr>
            <w:color w:val="0000FF"/>
            <w:spacing w:val="-3"/>
          </w:rPr>
          <w:t>Circuits.</w:t>
        </w:r>
      </w:hyperlink>
    </w:p>
    <w:p>
      <w:pPr>
        <w:pStyle w:val="Heading1"/>
        <w:spacing w:before="118"/>
        <w:ind w:left="777" w:right="797"/>
      </w:pPr>
      <w:bookmarkStart w:name="_bookmark300" w:id="615"/>
      <w:bookmarkEnd w:id="615"/>
      <w:r>
        <w:rPr>
          <w:b w:val="0"/>
        </w:rPr>
      </w:r>
      <w:r>
        <w:rPr/>
        <w:t>Table 110: 71M6543 Power and Ground Pins</w:t>
      </w:r>
    </w:p>
    <w:p>
      <w:pPr>
        <w:pStyle w:val="BodyText"/>
        <w:spacing w:before="8"/>
        <w:rPr>
          <w:b/>
          <w:sz w:val="5"/>
        </w:rPr>
      </w:pPr>
    </w:p>
    <w:tbl>
      <w:tblPr>
        <w:tblW w:w="0" w:type="auto"/>
        <w:jc w:val="left"/>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1"/>
        <w:gridCol w:w="1263"/>
        <w:gridCol w:w="685"/>
        <w:gridCol w:w="851"/>
        <w:gridCol w:w="5781"/>
      </w:tblGrid>
      <w:tr>
        <w:trPr>
          <w:trHeight w:val="309" w:hRule="atLeast"/>
        </w:trPr>
        <w:tc>
          <w:tcPr>
            <w:tcW w:w="1001" w:type="dxa"/>
          </w:tcPr>
          <w:p>
            <w:pPr>
              <w:pStyle w:val="TableParagraph"/>
              <w:spacing w:before="35"/>
              <w:ind w:left="199" w:right="195"/>
              <w:jc w:val="center"/>
              <w:rPr>
                <w:b/>
                <w:sz w:val="20"/>
              </w:rPr>
            </w:pPr>
            <w:r>
              <w:rPr>
                <w:b/>
                <w:sz w:val="20"/>
              </w:rPr>
              <w:t>Pin</w:t>
            </w:r>
          </w:p>
        </w:tc>
        <w:tc>
          <w:tcPr>
            <w:tcW w:w="1263" w:type="dxa"/>
          </w:tcPr>
          <w:p>
            <w:pPr>
              <w:pStyle w:val="TableParagraph"/>
              <w:spacing w:before="35"/>
              <w:ind w:left="357"/>
              <w:rPr>
                <w:b/>
                <w:sz w:val="20"/>
              </w:rPr>
            </w:pPr>
            <w:r>
              <w:rPr>
                <w:b/>
                <w:sz w:val="20"/>
              </w:rPr>
              <w:t>Name</w:t>
            </w:r>
          </w:p>
        </w:tc>
        <w:tc>
          <w:tcPr>
            <w:tcW w:w="685" w:type="dxa"/>
          </w:tcPr>
          <w:p>
            <w:pPr>
              <w:pStyle w:val="TableParagraph"/>
              <w:spacing w:before="35"/>
              <w:ind w:left="84" w:right="84"/>
              <w:jc w:val="center"/>
              <w:rPr>
                <w:b/>
                <w:sz w:val="20"/>
              </w:rPr>
            </w:pPr>
            <w:r>
              <w:rPr>
                <w:b/>
                <w:sz w:val="20"/>
              </w:rPr>
              <w:t>Type</w:t>
            </w:r>
          </w:p>
        </w:tc>
        <w:tc>
          <w:tcPr>
            <w:tcW w:w="851" w:type="dxa"/>
          </w:tcPr>
          <w:p>
            <w:pPr>
              <w:pStyle w:val="TableParagraph"/>
              <w:spacing w:before="35"/>
              <w:ind w:left="83" w:right="84"/>
              <w:jc w:val="center"/>
              <w:rPr>
                <w:b/>
                <w:sz w:val="20"/>
              </w:rPr>
            </w:pPr>
            <w:r>
              <w:rPr>
                <w:b/>
                <w:sz w:val="20"/>
              </w:rPr>
              <w:t>Circuit</w:t>
            </w:r>
          </w:p>
        </w:tc>
        <w:tc>
          <w:tcPr>
            <w:tcW w:w="5781" w:type="dxa"/>
          </w:tcPr>
          <w:p>
            <w:pPr>
              <w:pStyle w:val="TableParagraph"/>
              <w:spacing w:before="35"/>
              <w:ind w:left="2443" w:right="2443"/>
              <w:jc w:val="center"/>
              <w:rPr>
                <w:b/>
                <w:sz w:val="20"/>
              </w:rPr>
            </w:pPr>
            <w:r>
              <w:rPr>
                <w:b/>
                <w:sz w:val="20"/>
              </w:rPr>
              <w:t>Function</w:t>
            </w:r>
          </w:p>
        </w:tc>
      </w:tr>
      <w:tr>
        <w:trPr>
          <w:trHeight w:val="501" w:hRule="atLeast"/>
        </w:trPr>
        <w:tc>
          <w:tcPr>
            <w:tcW w:w="1001" w:type="dxa"/>
          </w:tcPr>
          <w:p>
            <w:pPr>
              <w:pStyle w:val="TableParagraph"/>
              <w:spacing w:before="134"/>
              <w:ind w:left="199" w:right="195"/>
              <w:jc w:val="center"/>
              <w:rPr>
                <w:sz w:val="20"/>
              </w:rPr>
            </w:pPr>
            <w:r>
              <w:rPr>
                <w:sz w:val="20"/>
              </w:rPr>
              <w:t>72, 80</w:t>
            </w:r>
          </w:p>
        </w:tc>
        <w:tc>
          <w:tcPr>
            <w:tcW w:w="1263" w:type="dxa"/>
          </w:tcPr>
          <w:p>
            <w:pPr>
              <w:pStyle w:val="TableParagraph"/>
              <w:spacing w:before="134"/>
              <w:ind w:left="340"/>
              <w:rPr>
                <w:sz w:val="20"/>
              </w:rPr>
            </w:pPr>
            <w:r>
              <w:rPr>
                <w:sz w:val="20"/>
              </w:rPr>
              <w:t>GNDA</w:t>
            </w:r>
          </w:p>
        </w:tc>
        <w:tc>
          <w:tcPr>
            <w:tcW w:w="685" w:type="dxa"/>
          </w:tcPr>
          <w:p>
            <w:pPr>
              <w:pStyle w:val="TableParagraph"/>
              <w:spacing w:before="134"/>
              <w:ind w:right="1"/>
              <w:jc w:val="center"/>
              <w:rPr>
                <w:sz w:val="20"/>
              </w:rPr>
            </w:pPr>
            <w:r>
              <w:rPr>
                <w:w w:val="99"/>
                <w:sz w:val="20"/>
              </w:rPr>
              <w:t>P</w:t>
            </w:r>
          </w:p>
        </w:tc>
        <w:tc>
          <w:tcPr>
            <w:tcW w:w="851" w:type="dxa"/>
          </w:tcPr>
          <w:p>
            <w:pPr>
              <w:pStyle w:val="TableParagraph"/>
              <w:spacing w:before="134"/>
              <w:jc w:val="center"/>
              <w:rPr>
                <w:sz w:val="20"/>
              </w:rPr>
            </w:pPr>
            <w:r>
              <w:rPr>
                <w:w w:val="99"/>
                <w:sz w:val="20"/>
              </w:rPr>
              <w:t>—</w:t>
            </w:r>
          </w:p>
        </w:tc>
        <w:tc>
          <w:tcPr>
            <w:tcW w:w="5781" w:type="dxa"/>
          </w:tcPr>
          <w:p>
            <w:pPr>
              <w:pStyle w:val="TableParagraph"/>
              <w:spacing w:before="18"/>
              <w:ind w:left="104" w:right="346"/>
              <w:rPr>
                <w:sz w:val="20"/>
              </w:rPr>
            </w:pPr>
            <w:r>
              <w:rPr>
                <w:spacing w:val="-4"/>
                <w:sz w:val="20"/>
              </w:rPr>
              <w:t>Analog Ground. </w:t>
            </w:r>
            <w:r>
              <w:rPr>
                <w:spacing w:val="-3"/>
                <w:sz w:val="20"/>
              </w:rPr>
              <w:t>This pin </w:t>
            </w:r>
            <w:r>
              <w:rPr>
                <w:spacing w:val="-4"/>
                <w:sz w:val="20"/>
              </w:rPr>
              <w:t>should </w:t>
            </w:r>
            <w:r>
              <w:rPr>
                <w:sz w:val="20"/>
              </w:rPr>
              <w:t>be </w:t>
            </w:r>
            <w:r>
              <w:rPr>
                <w:spacing w:val="-4"/>
                <w:sz w:val="20"/>
              </w:rPr>
              <w:t>connected directly </w:t>
            </w:r>
            <w:r>
              <w:rPr>
                <w:sz w:val="20"/>
              </w:rPr>
              <w:t>to </w:t>
            </w:r>
            <w:r>
              <w:rPr>
                <w:spacing w:val="-3"/>
                <w:sz w:val="20"/>
              </w:rPr>
              <w:t>the </w:t>
            </w:r>
            <w:r>
              <w:rPr>
                <w:spacing w:val="-4"/>
                <w:sz w:val="20"/>
              </w:rPr>
              <w:t>ground plane.</w:t>
            </w:r>
          </w:p>
        </w:tc>
      </w:tr>
      <w:tr>
        <w:trPr>
          <w:trHeight w:val="498" w:hRule="atLeast"/>
        </w:trPr>
        <w:tc>
          <w:tcPr>
            <w:tcW w:w="1001" w:type="dxa"/>
          </w:tcPr>
          <w:p>
            <w:pPr>
              <w:pStyle w:val="TableParagraph"/>
              <w:spacing w:before="134"/>
              <w:ind w:left="199" w:right="193"/>
              <w:jc w:val="center"/>
              <w:rPr>
                <w:sz w:val="20"/>
              </w:rPr>
            </w:pPr>
            <w:r>
              <w:rPr>
                <w:sz w:val="20"/>
              </w:rPr>
              <w:t>62</w:t>
            </w:r>
          </w:p>
        </w:tc>
        <w:tc>
          <w:tcPr>
            <w:tcW w:w="1263" w:type="dxa"/>
          </w:tcPr>
          <w:p>
            <w:pPr>
              <w:pStyle w:val="TableParagraph"/>
              <w:spacing w:before="134"/>
              <w:ind w:left="335"/>
              <w:rPr>
                <w:sz w:val="20"/>
              </w:rPr>
            </w:pPr>
            <w:r>
              <w:rPr>
                <w:sz w:val="20"/>
              </w:rPr>
              <w:t>GNDD</w:t>
            </w:r>
          </w:p>
        </w:tc>
        <w:tc>
          <w:tcPr>
            <w:tcW w:w="685" w:type="dxa"/>
          </w:tcPr>
          <w:p>
            <w:pPr>
              <w:pStyle w:val="TableParagraph"/>
              <w:spacing w:before="134"/>
              <w:ind w:right="1"/>
              <w:jc w:val="center"/>
              <w:rPr>
                <w:sz w:val="20"/>
              </w:rPr>
            </w:pPr>
            <w:r>
              <w:rPr>
                <w:w w:val="99"/>
                <w:sz w:val="20"/>
              </w:rPr>
              <w:t>P</w:t>
            </w:r>
          </w:p>
        </w:tc>
        <w:tc>
          <w:tcPr>
            <w:tcW w:w="851" w:type="dxa"/>
          </w:tcPr>
          <w:p>
            <w:pPr>
              <w:pStyle w:val="TableParagraph"/>
              <w:spacing w:before="134"/>
              <w:jc w:val="center"/>
              <w:rPr>
                <w:sz w:val="20"/>
              </w:rPr>
            </w:pPr>
            <w:r>
              <w:rPr>
                <w:w w:val="99"/>
                <w:sz w:val="20"/>
              </w:rPr>
              <w:t>—</w:t>
            </w:r>
          </w:p>
        </w:tc>
        <w:tc>
          <w:tcPr>
            <w:tcW w:w="5781" w:type="dxa"/>
          </w:tcPr>
          <w:p>
            <w:pPr>
              <w:pStyle w:val="TableParagraph"/>
              <w:spacing w:before="18"/>
              <w:ind w:left="104" w:right="346"/>
              <w:rPr>
                <w:sz w:val="20"/>
              </w:rPr>
            </w:pPr>
            <w:r>
              <w:rPr>
                <w:sz w:val="20"/>
              </w:rPr>
              <w:t>Digital Ground. This pin should be connected directly to the ground plane.</w:t>
            </w:r>
          </w:p>
        </w:tc>
      </w:tr>
      <w:tr>
        <w:trPr>
          <w:trHeight w:val="729" w:hRule="atLeast"/>
        </w:trPr>
        <w:tc>
          <w:tcPr>
            <w:tcW w:w="1001" w:type="dxa"/>
          </w:tcPr>
          <w:p>
            <w:pPr>
              <w:pStyle w:val="TableParagraph"/>
              <w:spacing w:before="7"/>
              <w:rPr>
                <w:b/>
                <w:sz w:val="21"/>
              </w:rPr>
            </w:pPr>
          </w:p>
          <w:p>
            <w:pPr>
              <w:pStyle w:val="TableParagraph"/>
              <w:ind w:left="199" w:right="193"/>
              <w:jc w:val="center"/>
              <w:rPr>
                <w:sz w:val="20"/>
              </w:rPr>
            </w:pPr>
            <w:r>
              <w:rPr>
                <w:sz w:val="20"/>
              </w:rPr>
              <w:t>85</w:t>
            </w:r>
          </w:p>
        </w:tc>
        <w:tc>
          <w:tcPr>
            <w:tcW w:w="1263" w:type="dxa"/>
          </w:tcPr>
          <w:p>
            <w:pPr>
              <w:pStyle w:val="TableParagraph"/>
              <w:spacing w:before="7"/>
              <w:rPr>
                <w:b/>
                <w:sz w:val="21"/>
              </w:rPr>
            </w:pPr>
          </w:p>
          <w:p>
            <w:pPr>
              <w:pStyle w:val="TableParagraph"/>
              <w:ind w:left="318"/>
              <w:rPr>
                <w:sz w:val="20"/>
              </w:rPr>
            </w:pPr>
            <w:r>
              <w:rPr>
                <w:sz w:val="20"/>
              </w:rPr>
              <w:t>V3P3A</w:t>
            </w:r>
          </w:p>
        </w:tc>
        <w:tc>
          <w:tcPr>
            <w:tcW w:w="685" w:type="dxa"/>
          </w:tcPr>
          <w:p>
            <w:pPr>
              <w:pStyle w:val="TableParagraph"/>
              <w:spacing w:before="7"/>
              <w:rPr>
                <w:b/>
                <w:sz w:val="21"/>
              </w:rPr>
            </w:pPr>
          </w:p>
          <w:p>
            <w:pPr>
              <w:pStyle w:val="TableParagraph"/>
              <w:jc w:val="center"/>
              <w:rPr>
                <w:sz w:val="20"/>
              </w:rPr>
            </w:pPr>
            <w:r>
              <w:rPr>
                <w:w w:val="99"/>
                <w:sz w:val="20"/>
              </w:rPr>
              <w:t>P</w:t>
            </w:r>
          </w:p>
        </w:tc>
        <w:tc>
          <w:tcPr>
            <w:tcW w:w="851" w:type="dxa"/>
          </w:tcPr>
          <w:p>
            <w:pPr>
              <w:pStyle w:val="TableParagraph"/>
              <w:spacing w:before="7"/>
              <w:rPr>
                <w:b/>
                <w:sz w:val="21"/>
              </w:rPr>
            </w:pPr>
          </w:p>
          <w:p>
            <w:pPr>
              <w:pStyle w:val="TableParagraph"/>
              <w:jc w:val="center"/>
              <w:rPr>
                <w:sz w:val="20"/>
              </w:rPr>
            </w:pPr>
            <w:r>
              <w:rPr>
                <w:w w:val="99"/>
                <w:sz w:val="20"/>
              </w:rPr>
              <w:t>—</w:t>
            </w:r>
          </w:p>
        </w:tc>
        <w:tc>
          <w:tcPr>
            <w:tcW w:w="5781" w:type="dxa"/>
          </w:tcPr>
          <w:p>
            <w:pPr>
              <w:pStyle w:val="TableParagraph"/>
              <w:spacing w:before="18"/>
              <w:ind w:left="104" w:right="466"/>
              <w:rPr>
                <w:sz w:val="20"/>
              </w:rPr>
            </w:pPr>
            <w:r>
              <w:rPr>
                <w:sz w:val="20"/>
              </w:rPr>
              <w:t>Analog Power Supply. A 3.3 V power supply should be connected to this pin. V3P3A must be the same voltage as V3P3SYS.</w:t>
            </w:r>
          </w:p>
        </w:tc>
      </w:tr>
      <w:tr>
        <w:trPr>
          <w:trHeight w:val="501" w:hRule="atLeast"/>
        </w:trPr>
        <w:tc>
          <w:tcPr>
            <w:tcW w:w="1001" w:type="dxa"/>
          </w:tcPr>
          <w:p>
            <w:pPr>
              <w:pStyle w:val="TableParagraph"/>
              <w:spacing w:before="134"/>
              <w:ind w:left="199" w:right="193"/>
              <w:jc w:val="center"/>
              <w:rPr>
                <w:sz w:val="20"/>
              </w:rPr>
            </w:pPr>
            <w:r>
              <w:rPr>
                <w:sz w:val="20"/>
              </w:rPr>
              <w:t>69</w:t>
            </w:r>
          </w:p>
        </w:tc>
        <w:tc>
          <w:tcPr>
            <w:tcW w:w="1263" w:type="dxa"/>
          </w:tcPr>
          <w:p>
            <w:pPr>
              <w:pStyle w:val="TableParagraph"/>
              <w:spacing w:before="134"/>
              <w:ind w:left="184"/>
              <w:rPr>
                <w:sz w:val="20"/>
              </w:rPr>
            </w:pPr>
            <w:r>
              <w:rPr>
                <w:sz w:val="20"/>
              </w:rPr>
              <w:t>V3P3SYS</w:t>
            </w:r>
          </w:p>
        </w:tc>
        <w:tc>
          <w:tcPr>
            <w:tcW w:w="685" w:type="dxa"/>
          </w:tcPr>
          <w:p>
            <w:pPr>
              <w:pStyle w:val="TableParagraph"/>
              <w:spacing w:before="134"/>
              <w:ind w:right="1"/>
              <w:jc w:val="center"/>
              <w:rPr>
                <w:sz w:val="20"/>
              </w:rPr>
            </w:pPr>
            <w:r>
              <w:rPr>
                <w:w w:val="99"/>
                <w:sz w:val="20"/>
              </w:rPr>
              <w:t>P</w:t>
            </w:r>
          </w:p>
        </w:tc>
        <w:tc>
          <w:tcPr>
            <w:tcW w:w="851" w:type="dxa"/>
          </w:tcPr>
          <w:p>
            <w:pPr>
              <w:pStyle w:val="TableParagraph"/>
              <w:spacing w:before="134"/>
              <w:jc w:val="center"/>
              <w:rPr>
                <w:sz w:val="20"/>
              </w:rPr>
            </w:pPr>
            <w:r>
              <w:rPr>
                <w:w w:val="99"/>
                <w:sz w:val="20"/>
              </w:rPr>
              <w:t>—</w:t>
            </w:r>
          </w:p>
        </w:tc>
        <w:tc>
          <w:tcPr>
            <w:tcW w:w="5781" w:type="dxa"/>
          </w:tcPr>
          <w:p>
            <w:pPr>
              <w:pStyle w:val="TableParagraph"/>
              <w:spacing w:before="21"/>
              <w:ind w:left="104" w:right="346"/>
              <w:rPr>
                <w:sz w:val="20"/>
              </w:rPr>
            </w:pPr>
            <w:r>
              <w:rPr>
                <w:spacing w:val="-4"/>
                <w:sz w:val="20"/>
              </w:rPr>
              <w:t>System </w:t>
            </w:r>
            <w:r>
              <w:rPr>
                <w:spacing w:val="-3"/>
                <w:sz w:val="20"/>
              </w:rPr>
              <w:t>3.3 </w:t>
            </w:r>
            <w:r>
              <w:rPr>
                <w:sz w:val="20"/>
              </w:rPr>
              <w:t>V </w:t>
            </w:r>
            <w:r>
              <w:rPr>
                <w:spacing w:val="-4"/>
                <w:sz w:val="20"/>
              </w:rPr>
              <w:t>Supply. </w:t>
            </w:r>
            <w:r>
              <w:rPr>
                <w:spacing w:val="-3"/>
                <w:sz w:val="20"/>
              </w:rPr>
              <w:t>This pin should </w:t>
            </w:r>
            <w:r>
              <w:rPr>
                <w:sz w:val="20"/>
              </w:rPr>
              <w:t>be </w:t>
            </w:r>
            <w:r>
              <w:rPr>
                <w:spacing w:val="-4"/>
                <w:sz w:val="20"/>
              </w:rPr>
              <w:t>connected </w:t>
            </w:r>
            <w:r>
              <w:rPr>
                <w:spacing w:val="-3"/>
                <w:sz w:val="20"/>
              </w:rPr>
              <w:t>to </w:t>
            </w:r>
            <w:r>
              <w:rPr>
                <w:sz w:val="20"/>
              </w:rPr>
              <w:t>a </w:t>
            </w:r>
            <w:r>
              <w:rPr>
                <w:spacing w:val="-3"/>
                <w:sz w:val="20"/>
              </w:rPr>
              <w:t>3.3 </w:t>
            </w:r>
            <w:r>
              <w:rPr>
                <w:sz w:val="20"/>
              </w:rPr>
              <w:t>V </w:t>
            </w:r>
            <w:r>
              <w:rPr>
                <w:spacing w:val="-4"/>
                <w:sz w:val="20"/>
              </w:rPr>
              <w:t>power supply.</w:t>
            </w:r>
          </w:p>
        </w:tc>
      </w:tr>
      <w:tr>
        <w:trPr>
          <w:trHeight w:val="1190" w:hRule="atLeast"/>
        </w:trPr>
        <w:tc>
          <w:tcPr>
            <w:tcW w:w="1001" w:type="dxa"/>
          </w:tcPr>
          <w:p>
            <w:pPr>
              <w:pStyle w:val="TableParagraph"/>
              <w:rPr>
                <w:b/>
                <w:sz w:val="22"/>
              </w:rPr>
            </w:pPr>
          </w:p>
          <w:p>
            <w:pPr>
              <w:pStyle w:val="TableParagraph"/>
              <w:spacing w:before="7"/>
              <w:rPr>
                <w:b/>
                <w:sz w:val="19"/>
              </w:rPr>
            </w:pPr>
          </w:p>
          <w:p>
            <w:pPr>
              <w:pStyle w:val="TableParagraph"/>
              <w:spacing w:before="1"/>
              <w:ind w:left="199" w:right="193"/>
              <w:jc w:val="center"/>
              <w:rPr>
                <w:sz w:val="20"/>
              </w:rPr>
            </w:pPr>
            <w:r>
              <w:rPr>
                <w:sz w:val="20"/>
              </w:rPr>
              <w:t>61</w:t>
            </w:r>
          </w:p>
        </w:tc>
        <w:tc>
          <w:tcPr>
            <w:tcW w:w="1263" w:type="dxa"/>
          </w:tcPr>
          <w:p>
            <w:pPr>
              <w:pStyle w:val="TableParagraph"/>
              <w:rPr>
                <w:b/>
                <w:sz w:val="22"/>
              </w:rPr>
            </w:pPr>
          </w:p>
          <w:p>
            <w:pPr>
              <w:pStyle w:val="TableParagraph"/>
              <w:spacing w:before="7"/>
              <w:rPr>
                <w:b/>
                <w:sz w:val="19"/>
              </w:rPr>
            </w:pPr>
          </w:p>
          <w:p>
            <w:pPr>
              <w:pStyle w:val="TableParagraph"/>
              <w:spacing w:before="1"/>
              <w:ind w:left="311"/>
              <w:rPr>
                <w:sz w:val="20"/>
              </w:rPr>
            </w:pPr>
            <w:r>
              <w:rPr>
                <w:sz w:val="20"/>
              </w:rPr>
              <w:t>V3P3D</w:t>
            </w:r>
          </w:p>
        </w:tc>
        <w:tc>
          <w:tcPr>
            <w:tcW w:w="685" w:type="dxa"/>
          </w:tcPr>
          <w:p>
            <w:pPr>
              <w:pStyle w:val="TableParagraph"/>
              <w:rPr>
                <w:b/>
                <w:sz w:val="22"/>
              </w:rPr>
            </w:pPr>
          </w:p>
          <w:p>
            <w:pPr>
              <w:pStyle w:val="TableParagraph"/>
              <w:spacing w:before="7"/>
              <w:rPr>
                <w:b/>
                <w:sz w:val="19"/>
              </w:rPr>
            </w:pPr>
          </w:p>
          <w:p>
            <w:pPr>
              <w:pStyle w:val="TableParagraph"/>
              <w:spacing w:before="1"/>
              <w:ind w:left="1"/>
              <w:jc w:val="center"/>
              <w:rPr>
                <w:sz w:val="20"/>
              </w:rPr>
            </w:pPr>
            <w:r>
              <w:rPr>
                <w:w w:val="99"/>
                <w:sz w:val="20"/>
              </w:rPr>
              <w:t>O</w:t>
            </w:r>
          </w:p>
        </w:tc>
        <w:tc>
          <w:tcPr>
            <w:tcW w:w="851" w:type="dxa"/>
          </w:tcPr>
          <w:p>
            <w:pPr>
              <w:pStyle w:val="TableParagraph"/>
              <w:rPr>
                <w:b/>
                <w:sz w:val="22"/>
              </w:rPr>
            </w:pPr>
          </w:p>
          <w:p>
            <w:pPr>
              <w:pStyle w:val="TableParagraph"/>
              <w:spacing w:before="7"/>
              <w:rPr>
                <w:b/>
                <w:sz w:val="19"/>
              </w:rPr>
            </w:pPr>
          </w:p>
          <w:p>
            <w:pPr>
              <w:pStyle w:val="TableParagraph"/>
              <w:spacing w:before="1"/>
              <w:ind w:left="82" w:right="84"/>
              <w:jc w:val="center"/>
              <w:rPr>
                <w:sz w:val="20"/>
              </w:rPr>
            </w:pPr>
            <w:r>
              <w:rPr>
                <w:sz w:val="20"/>
              </w:rPr>
              <w:t>13</w:t>
            </w:r>
          </w:p>
        </w:tc>
        <w:tc>
          <w:tcPr>
            <w:tcW w:w="5781" w:type="dxa"/>
          </w:tcPr>
          <w:p>
            <w:pPr>
              <w:pStyle w:val="TableParagraph"/>
              <w:spacing w:before="18"/>
              <w:ind w:left="104" w:right="177"/>
              <w:rPr>
                <w:sz w:val="20"/>
              </w:rPr>
            </w:pPr>
            <w:r>
              <w:rPr>
                <w:sz w:val="20"/>
              </w:rPr>
              <w:t>Auxiliary Voltage Output of the Chip. In </w:t>
            </w:r>
            <w:r>
              <w:rPr>
                <w:spacing w:val="2"/>
                <w:sz w:val="20"/>
              </w:rPr>
              <w:t>mission </w:t>
            </w:r>
            <w:r>
              <w:rPr>
                <w:sz w:val="20"/>
              </w:rPr>
              <w:t>mode, this pin is connected to V3P3SYS by the internal selection switch. In BRN mode, it is internally connected to VBAT. V3P3D is floating in LCD and sleep mode. A bypass capacitor to</w:t>
            </w:r>
            <w:r>
              <w:rPr>
                <w:spacing w:val="-32"/>
                <w:sz w:val="20"/>
              </w:rPr>
              <w:t> </w:t>
            </w:r>
            <w:r>
              <w:rPr>
                <w:sz w:val="20"/>
              </w:rPr>
              <w:t>ground should not exceed 0.1</w:t>
            </w:r>
            <w:r>
              <w:rPr>
                <w:spacing w:val="-1"/>
                <w:sz w:val="20"/>
              </w:rPr>
              <w:t> </w:t>
            </w:r>
            <w:r>
              <w:rPr>
                <w:sz w:val="20"/>
              </w:rPr>
              <w:t>µF.</w:t>
            </w:r>
          </w:p>
        </w:tc>
      </w:tr>
      <w:tr>
        <w:trPr>
          <w:trHeight w:val="729" w:hRule="atLeast"/>
        </w:trPr>
        <w:tc>
          <w:tcPr>
            <w:tcW w:w="1001" w:type="dxa"/>
          </w:tcPr>
          <w:p>
            <w:pPr>
              <w:pStyle w:val="TableParagraph"/>
              <w:spacing w:before="7"/>
              <w:rPr>
                <w:b/>
                <w:sz w:val="21"/>
              </w:rPr>
            </w:pPr>
          </w:p>
          <w:p>
            <w:pPr>
              <w:pStyle w:val="TableParagraph"/>
              <w:ind w:left="199" w:right="193"/>
              <w:jc w:val="center"/>
              <w:rPr>
                <w:sz w:val="20"/>
              </w:rPr>
            </w:pPr>
            <w:r>
              <w:rPr>
                <w:sz w:val="20"/>
              </w:rPr>
              <w:t>60</w:t>
            </w:r>
          </w:p>
        </w:tc>
        <w:tc>
          <w:tcPr>
            <w:tcW w:w="1263" w:type="dxa"/>
          </w:tcPr>
          <w:p>
            <w:pPr>
              <w:pStyle w:val="TableParagraph"/>
              <w:spacing w:before="7"/>
              <w:rPr>
                <w:b/>
                <w:sz w:val="21"/>
              </w:rPr>
            </w:pPr>
          </w:p>
          <w:p>
            <w:pPr>
              <w:pStyle w:val="TableParagraph"/>
              <w:ind w:left="417"/>
              <w:rPr>
                <w:sz w:val="20"/>
              </w:rPr>
            </w:pPr>
            <w:r>
              <w:rPr>
                <w:sz w:val="20"/>
              </w:rPr>
              <w:t>VDD</w:t>
            </w:r>
          </w:p>
        </w:tc>
        <w:tc>
          <w:tcPr>
            <w:tcW w:w="685" w:type="dxa"/>
          </w:tcPr>
          <w:p>
            <w:pPr>
              <w:pStyle w:val="TableParagraph"/>
              <w:spacing w:before="7"/>
              <w:rPr>
                <w:b/>
                <w:sz w:val="21"/>
              </w:rPr>
            </w:pPr>
          </w:p>
          <w:p>
            <w:pPr>
              <w:pStyle w:val="TableParagraph"/>
              <w:jc w:val="center"/>
              <w:rPr>
                <w:sz w:val="20"/>
              </w:rPr>
            </w:pPr>
            <w:r>
              <w:rPr>
                <w:w w:val="99"/>
                <w:sz w:val="20"/>
              </w:rPr>
              <w:t>O</w:t>
            </w:r>
          </w:p>
        </w:tc>
        <w:tc>
          <w:tcPr>
            <w:tcW w:w="851" w:type="dxa"/>
          </w:tcPr>
          <w:p>
            <w:pPr>
              <w:pStyle w:val="TableParagraph"/>
              <w:spacing w:before="7"/>
              <w:rPr>
                <w:b/>
                <w:sz w:val="21"/>
              </w:rPr>
            </w:pPr>
          </w:p>
          <w:p>
            <w:pPr>
              <w:pStyle w:val="TableParagraph"/>
              <w:jc w:val="center"/>
              <w:rPr>
                <w:sz w:val="20"/>
              </w:rPr>
            </w:pPr>
            <w:r>
              <w:rPr>
                <w:w w:val="99"/>
                <w:sz w:val="20"/>
              </w:rPr>
              <w:t>—</w:t>
            </w:r>
          </w:p>
        </w:tc>
        <w:tc>
          <w:tcPr>
            <w:tcW w:w="5781" w:type="dxa"/>
          </w:tcPr>
          <w:p>
            <w:pPr>
              <w:pStyle w:val="TableParagraph"/>
              <w:spacing w:before="18"/>
              <w:ind w:left="104"/>
              <w:rPr>
                <w:sz w:val="20"/>
              </w:rPr>
            </w:pPr>
            <w:r>
              <w:rPr>
                <w:sz w:val="20"/>
              </w:rPr>
              <w:t>Output of the 2.5 V Regulator. This pin is powered in MSN and BRN modes. A 0.1 µF bypass capacitor to ground should be connected to this pin.</w:t>
            </w:r>
          </w:p>
        </w:tc>
      </w:tr>
      <w:tr>
        <w:trPr>
          <w:trHeight w:val="501" w:hRule="atLeast"/>
        </w:trPr>
        <w:tc>
          <w:tcPr>
            <w:tcW w:w="1001" w:type="dxa"/>
          </w:tcPr>
          <w:p>
            <w:pPr>
              <w:pStyle w:val="TableParagraph"/>
              <w:spacing w:before="134"/>
              <w:ind w:left="199" w:right="193"/>
              <w:jc w:val="center"/>
              <w:rPr>
                <w:sz w:val="20"/>
              </w:rPr>
            </w:pPr>
            <w:r>
              <w:rPr>
                <w:sz w:val="20"/>
              </w:rPr>
              <w:t>89</w:t>
            </w:r>
          </w:p>
        </w:tc>
        <w:tc>
          <w:tcPr>
            <w:tcW w:w="1263" w:type="dxa"/>
          </w:tcPr>
          <w:p>
            <w:pPr>
              <w:pStyle w:val="TableParagraph"/>
              <w:spacing w:before="134"/>
              <w:ind w:left="361"/>
              <w:rPr>
                <w:sz w:val="20"/>
              </w:rPr>
            </w:pPr>
            <w:r>
              <w:rPr>
                <w:sz w:val="20"/>
              </w:rPr>
              <w:t>VLCD</w:t>
            </w:r>
          </w:p>
        </w:tc>
        <w:tc>
          <w:tcPr>
            <w:tcW w:w="685" w:type="dxa"/>
          </w:tcPr>
          <w:p>
            <w:pPr>
              <w:pStyle w:val="TableParagraph"/>
              <w:spacing w:before="134"/>
              <w:ind w:left="1"/>
              <w:jc w:val="center"/>
              <w:rPr>
                <w:sz w:val="20"/>
              </w:rPr>
            </w:pPr>
            <w:r>
              <w:rPr>
                <w:w w:val="99"/>
                <w:sz w:val="20"/>
              </w:rPr>
              <w:t>O</w:t>
            </w:r>
          </w:p>
        </w:tc>
        <w:tc>
          <w:tcPr>
            <w:tcW w:w="851" w:type="dxa"/>
          </w:tcPr>
          <w:p>
            <w:pPr>
              <w:pStyle w:val="TableParagraph"/>
              <w:spacing w:before="134"/>
              <w:jc w:val="center"/>
              <w:rPr>
                <w:sz w:val="20"/>
              </w:rPr>
            </w:pPr>
            <w:r>
              <w:rPr>
                <w:w w:val="99"/>
                <w:sz w:val="20"/>
              </w:rPr>
              <w:t>—</w:t>
            </w:r>
          </w:p>
        </w:tc>
        <w:tc>
          <w:tcPr>
            <w:tcW w:w="5781" w:type="dxa"/>
          </w:tcPr>
          <w:p>
            <w:pPr>
              <w:pStyle w:val="TableParagraph"/>
              <w:spacing w:before="18"/>
              <w:ind w:left="104" w:right="229"/>
              <w:rPr>
                <w:sz w:val="20"/>
              </w:rPr>
            </w:pPr>
            <w:r>
              <w:rPr>
                <w:sz w:val="20"/>
              </w:rPr>
              <w:t>Output of the LCD DAC. A 0.1 µF bypass capacitor to ground should be connected to this pin.</w:t>
            </w:r>
          </w:p>
        </w:tc>
      </w:tr>
      <w:tr>
        <w:trPr>
          <w:trHeight w:val="729" w:hRule="atLeast"/>
        </w:trPr>
        <w:tc>
          <w:tcPr>
            <w:tcW w:w="1001" w:type="dxa"/>
          </w:tcPr>
          <w:p>
            <w:pPr>
              <w:pStyle w:val="TableParagraph"/>
              <w:spacing w:before="7"/>
              <w:rPr>
                <w:b/>
                <w:sz w:val="21"/>
              </w:rPr>
            </w:pPr>
          </w:p>
          <w:p>
            <w:pPr>
              <w:pStyle w:val="TableParagraph"/>
              <w:ind w:left="199" w:right="193"/>
              <w:jc w:val="center"/>
              <w:rPr>
                <w:sz w:val="20"/>
              </w:rPr>
            </w:pPr>
            <w:r>
              <w:rPr>
                <w:sz w:val="20"/>
              </w:rPr>
              <w:t>70</w:t>
            </w:r>
          </w:p>
        </w:tc>
        <w:tc>
          <w:tcPr>
            <w:tcW w:w="1263" w:type="dxa"/>
          </w:tcPr>
          <w:p>
            <w:pPr>
              <w:pStyle w:val="TableParagraph"/>
              <w:spacing w:before="7"/>
              <w:rPr>
                <w:b/>
                <w:sz w:val="21"/>
              </w:rPr>
            </w:pPr>
          </w:p>
          <w:p>
            <w:pPr>
              <w:pStyle w:val="TableParagraph"/>
              <w:ind w:left="366"/>
              <w:rPr>
                <w:sz w:val="20"/>
              </w:rPr>
            </w:pPr>
            <w:r>
              <w:rPr>
                <w:sz w:val="20"/>
              </w:rPr>
              <w:t>VBAT</w:t>
            </w:r>
          </w:p>
        </w:tc>
        <w:tc>
          <w:tcPr>
            <w:tcW w:w="685" w:type="dxa"/>
          </w:tcPr>
          <w:p>
            <w:pPr>
              <w:pStyle w:val="TableParagraph"/>
              <w:spacing w:before="7"/>
              <w:rPr>
                <w:b/>
                <w:sz w:val="21"/>
              </w:rPr>
            </w:pPr>
          </w:p>
          <w:p>
            <w:pPr>
              <w:pStyle w:val="TableParagraph"/>
              <w:ind w:right="1"/>
              <w:jc w:val="center"/>
              <w:rPr>
                <w:sz w:val="20"/>
              </w:rPr>
            </w:pPr>
            <w:r>
              <w:rPr>
                <w:w w:val="99"/>
                <w:sz w:val="20"/>
              </w:rPr>
              <w:t>P</w:t>
            </w:r>
          </w:p>
        </w:tc>
        <w:tc>
          <w:tcPr>
            <w:tcW w:w="851" w:type="dxa"/>
          </w:tcPr>
          <w:p>
            <w:pPr>
              <w:pStyle w:val="TableParagraph"/>
              <w:spacing w:before="7"/>
              <w:rPr>
                <w:b/>
                <w:sz w:val="21"/>
              </w:rPr>
            </w:pPr>
          </w:p>
          <w:p>
            <w:pPr>
              <w:pStyle w:val="TableParagraph"/>
              <w:ind w:left="82" w:right="84"/>
              <w:jc w:val="center"/>
              <w:rPr>
                <w:sz w:val="20"/>
              </w:rPr>
            </w:pPr>
            <w:r>
              <w:rPr>
                <w:sz w:val="20"/>
              </w:rPr>
              <w:t>12</w:t>
            </w:r>
          </w:p>
        </w:tc>
        <w:tc>
          <w:tcPr>
            <w:tcW w:w="5781" w:type="dxa"/>
          </w:tcPr>
          <w:p>
            <w:pPr>
              <w:pStyle w:val="TableParagraph"/>
              <w:spacing w:before="18"/>
              <w:ind w:left="104" w:right="133"/>
              <w:jc w:val="both"/>
              <w:rPr>
                <w:sz w:val="20"/>
              </w:rPr>
            </w:pPr>
            <w:r>
              <w:rPr>
                <w:sz w:val="20"/>
              </w:rPr>
              <w:t>Battery Backup Pin to Support the Battery Modes (BRN,</w:t>
            </w:r>
            <w:r>
              <w:rPr>
                <w:spacing w:val="-28"/>
                <w:sz w:val="20"/>
              </w:rPr>
              <w:t> </w:t>
            </w:r>
            <w:r>
              <w:rPr>
                <w:sz w:val="20"/>
              </w:rPr>
              <w:t>LCD). A battery or super capacitor is to be connected between VBAT and GNDD. If no battery is used, connect VBAT to</w:t>
            </w:r>
            <w:r>
              <w:rPr>
                <w:spacing w:val="-22"/>
                <w:sz w:val="20"/>
              </w:rPr>
              <w:t> </w:t>
            </w:r>
            <w:r>
              <w:rPr>
                <w:sz w:val="20"/>
              </w:rPr>
              <w:t>V3P3SYS.</w:t>
            </w:r>
          </w:p>
        </w:tc>
      </w:tr>
      <w:tr>
        <w:trPr>
          <w:trHeight w:val="729" w:hRule="atLeast"/>
        </w:trPr>
        <w:tc>
          <w:tcPr>
            <w:tcW w:w="1001" w:type="dxa"/>
          </w:tcPr>
          <w:p>
            <w:pPr>
              <w:pStyle w:val="TableParagraph"/>
              <w:spacing w:before="7"/>
              <w:rPr>
                <w:b/>
                <w:sz w:val="21"/>
              </w:rPr>
            </w:pPr>
          </w:p>
          <w:p>
            <w:pPr>
              <w:pStyle w:val="TableParagraph"/>
              <w:ind w:left="199" w:right="193"/>
              <w:jc w:val="center"/>
              <w:rPr>
                <w:sz w:val="20"/>
              </w:rPr>
            </w:pPr>
            <w:r>
              <w:rPr>
                <w:sz w:val="20"/>
              </w:rPr>
              <w:t>71</w:t>
            </w:r>
          </w:p>
        </w:tc>
        <w:tc>
          <w:tcPr>
            <w:tcW w:w="1263" w:type="dxa"/>
          </w:tcPr>
          <w:p>
            <w:pPr>
              <w:pStyle w:val="TableParagraph"/>
              <w:spacing w:before="7"/>
              <w:rPr>
                <w:b/>
                <w:sz w:val="21"/>
              </w:rPr>
            </w:pPr>
          </w:p>
          <w:p>
            <w:pPr>
              <w:pStyle w:val="TableParagraph"/>
              <w:ind w:left="107"/>
              <w:rPr>
                <w:sz w:val="20"/>
              </w:rPr>
            </w:pPr>
            <w:r>
              <w:rPr>
                <w:sz w:val="20"/>
              </w:rPr>
              <w:t>VBAT_RTC</w:t>
            </w:r>
          </w:p>
        </w:tc>
        <w:tc>
          <w:tcPr>
            <w:tcW w:w="685" w:type="dxa"/>
          </w:tcPr>
          <w:p>
            <w:pPr>
              <w:pStyle w:val="TableParagraph"/>
              <w:spacing w:before="7"/>
              <w:rPr>
                <w:b/>
                <w:sz w:val="21"/>
              </w:rPr>
            </w:pPr>
          </w:p>
          <w:p>
            <w:pPr>
              <w:pStyle w:val="TableParagraph"/>
              <w:ind w:right="1"/>
              <w:jc w:val="center"/>
              <w:rPr>
                <w:sz w:val="20"/>
              </w:rPr>
            </w:pPr>
            <w:r>
              <w:rPr>
                <w:w w:val="99"/>
                <w:sz w:val="20"/>
              </w:rPr>
              <w:t>P</w:t>
            </w:r>
          </w:p>
        </w:tc>
        <w:tc>
          <w:tcPr>
            <w:tcW w:w="851" w:type="dxa"/>
          </w:tcPr>
          <w:p>
            <w:pPr>
              <w:pStyle w:val="TableParagraph"/>
              <w:spacing w:before="7"/>
              <w:rPr>
                <w:b/>
                <w:sz w:val="21"/>
              </w:rPr>
            </w:pPr>
          </w:p>
          <w:p>
            <w:pPr>
              <w:pStyle w:val="TableParagraph"/>
              <w:ind w:left="82" w:right="84"/>
              <w:jc w:val="center"/>
              <w:rPr>
                <w:sz w:val="20"/>
              </w:rPr>
            </w:pPr>
            <w:r>
              <w:rPr>
                <w:sz w:val="20"/>
              </w:rPr>
              <w:t>12</w:t>
            </w:r>
          </w:p>
        </w:tc>
        <w:tc>
          <w:tcPr>
            <w:tcW w:w="5781" w:type="dxa"/>
          </w:tcPr>
          <w:p>
            <w:pPr>
              <w:pStyle w:val="TableParagraph"/>
              <w:spacing w:before="18"/>
              <w:ind w:left="104"/>
              <w:rPr>
                <w:sz w:val="20"/>
              </w:rPr>
            </w:pPr>
            <w:r>
              <w:rPr>
                <w:sz w:val="20"/>
              </w:rPr>
              <w:t>RTC and Oscillator Power Supply. A battery or super-capacitor is to be connected between VBAT and GNDD. If no battery is used, connect VBAT_RTC to V3P3SYS.</w:t>
            </w:r>
          </w:p>
        </w:tc>
      </w:tr>
    </w:tbl>
    <w:p>
      <w:pPr>
        <w:spacing w:after="0"/>
        <w:rPr>
          <w:sz w:val="20"/>
        </w:rPr>
        <w:sectPr>
          <w:pgSz w:w="12240" w:h="15840"/>
          <w:pgMar w:header="727" w:footer="819" w:top="1160" w:bottom="1000" w:left="960" w:right="940"/>
        </w:sectPr>
      </w:pPr>
    </w:p>
    <w:p>
      <w:pPr>
        <w:pStyle w:val="ListParagraph"/>
        <w:numPr>
          <w:ilvl w:val="2"/>
          <w:numId w:val="42"/>
        </w:numPr>
        <w:tabs>
          <w:tab w:pos="1199" w:val="left" w:leader="none"/>
          <w:tab w:pos="1200" w:val="left" w:leader="none"/>
        </w:tabs>
        <w:spacing w:line="240" w:lineRule="auto" w:before="88" w:after="0"/>
        <w:ind w:left="1199" w:right="0" w:hanging="720"/>
        <w:jc w:val="left"/>
        <w:rPr>
          <w:b/>
          <w:sz w:val="22"/>
        </w:rPr>
      </w:pPr>
      <w:bookmarkStart w:name="6.8.2 71M6543 Analog Pins" w:id="616"/>
      <w:bookmarkEnd w:id="616"/>
      <w:r>
        <w:rPr/>
      </w:r>
      <w:bookmarkStart w:name="_bookmark301" w:id="617"/>
      <w:bookmarkEnd w:id="617"/>
      <w:r>
        <w:rPr/>
      </w:r>
      <w:bookmarkStart w:name="_bookmark301" w:id="618"/>
      <w:bookmarkEnd w:id="618"/>
      <w:r>
        <w:rPr>
          <w:b/>
          <w:sz w:val="22"/>
        </w:rPr>
        <w:t>71</w:t>
      </w:r>
      <w:r>
        <w:rPr>
          <w:b/>
          <w:sz w:val="22"/>
        </w:rPr>
        <w:t>M6543 Analog</w:t>
      </w:r>
      <w:r>
        <w:rPr>
          <w:b/>
          <w:spacing w:val="3"/>
          <w:sz w:val="22"/>
        </w:rPr>
        <w:t> </w:t>
      </w:r>
      <w:r>
        <w:rPr>
          <w:b/>
          <w:sz w:val="22"/>
        </w:rPr>
        <w:t>Pins</w:t>
      </w:r>
    </w:p>
    <w:p>
      <w:pPr>
        <w:pStyle w:val="BodyText"/>
        <w:spacing w:before="121"/>
        <w:ind w:left="479" w:right="491"/>
        <w:rPr>
          <w:b/>
        </w:rPr>
      </w:pPr>
      <w:r>
        <w:rPr/>
        <w:t>Pin types: P = Power, O = Output, I = Input, I/O = Input/Output. The circuit number denotes the equivalent circuit, as specified in Section </w:t>
      </w:r>
      <w:hyperlink w:history="true" w:anchor="_bookmark305">
        <w:r>
          <w:rPr>
            <w:color w:val="0000FF"/>
          </w:rPr>
          <w:t>6.8.4</w:t>
        </w:r>
        <w:r>
          <w:rPr>
            <w:b/>
          </w:rPr>
          <w:t>.</w:t>
        </w:r>
      </w:hyperlink>
    </w:p>
    <w:p>
      <w:pPr>
        <w:pStyle w:val="Heading1"/>
        <w:spacing w:before="58"/>
        <w:ind w:left="3618"/>
        <w:jc w:val="left"/>
      </w:pPr>
      <w:bookmarkStart w:name="_bookmark302" w:id="619"/>
      <w:bookmarkEnd w:id="619"/>
      <w:r>
        <w:rPr>
          <w:b w:val="0"/>
        </w:rPr>
      </w:r>
      <w:r>
        <w:rPr/>
        <w:t>Table 111: 71M6543 Analog Pins</w:t>
      </w:r>
    </w:p>
    <w:p>
      <w:pPr>
        <w:pStyle w:val="BodyText"/>
        <w:spacing w:before="8"/>
        <w:rPr>
          <w:b/>
          <w:sz w:val="5"/>
        </w:rPr>
      </w:pPr>
    </w:p>
    <w:tbl>
      <w:tblPr>
        <w:tblW w:w="0" w:type="auto"/>
        <w:jc w:val="left"/>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9"/>
        <w:gridCol w:w="1639"/>
        <w:gridCol w:w="684"/>
        <w:gridCol w:w="850"/>
        <w:gridCol w:w="5484"/>
      </w:tblGrid>
      <w:tr>
        <w:trPr>
          <w:trHeight w:val="309" w:hRule="atLeast"/>
        </w:trPr>
        <w:tc>
          <w:tcPr>
            <w:tcW w:w="919" w:type="dxa"/>
          </w:tcPr>
          <w:p>
            <w:pPr>
              <w:pStyle w:val="TableParagraph"/>
              <w:spacing w:before="35"/>
              <w:ind w:right="296"/>
              <w:jc w:val="right"/>
              <w:rPr>
                <w:b/>
                <w:sz w:val="20"/>
              </w:rPr>
            </w:pPr>
            <w:r>
              <w:rPr>
                <w:b/>
                <w:w w:val="95"/>
                <w:sz w:val="20"/>
              </w:rPr>
              <w:t>Pin</w:t>
            </w:r>
          </w:p>
        </w:tc>
        <w:tc>
          <w:tcPr>
            <w:tcW w:w="1639" w:type="dxa"/>
          </w:tcPr>
          <w:p>
            <w:pPr>
              <w:pStyle w:val="TableParagraph"/>
              <w:spacing w:before="35"/>
              <w:ind w:left="173" w:right="171"/>
              <w:jc w:val="center"/>
              <w:rPr>
                <w:b/>
                <w:sz w:val="20"/>
              </w:rPr>
            </w:pPr>
            <w:r>
              <w:rPr>
                <w:b/>
                <w:sz w:val="20"/>
              </w:rPr>
              <w:t>Name</w:t>
            </w:r>
          </w:p>
        </w:tc>
        <w:tc>
          <w:tcPr>
            <w:tcW w:w="684" w:type="dxa"/>
          </w:tcPr>
          <w:p>
            <w:pPr>
              <w:pStyle w:val="TableParagraph"/>
              <w:spacing w:before="35"/>
              <w:ind w:left="87" w:right="80"/>
              <w:jc w:val="center"/>
              <w:rPr>
                <w:b/>
                <w:sz w:val="20"/>
              </w:rPr>
            </w:pPr>
            <w:r>
              <w:rPr>
                <w:b/>
                <w:sz w:val="20"/>
              </w:rPr>
              <w:t>Type</w:t>
            </w:r>
          </w:p>
        </w:tc>
        <w:tc>
          <w:tcPr>
            <w:tcW w:w="850" w:type="dxa"/>
          </w:tcPr>
          <w:p>
            <w:pPr>
              <w:pStyle w:val="TableParagraph"/>
              <w:spacing w:before="35"/>
              <w:ind w:left="85" w:right="80"/>
              <w:jc w:val="center"/>
              <w:rPr>
                <w:b/>
                <w:sz w:val="20"/>
              </w:rPr>
            </w:pPr>
            <w:r>
              <w:rPr>
                <w:b/>
                <w:sz w:val="20"/>
              </w:rPr>
              <w:t>Circuit</w:t>
            </w:r>
          </w:p>
        </w:tc>
        <w:tc>
          <w:tcPr>
            <w:tcW w:w="5484" w:type="dxa"/>
          </w:tcPr>
          <w:p>
            <w:pPr>
              <w:pStyle w:val="TableParagraph"/>
              <w:spacing w:before="35"/>
              <w:ind w:left="2297" w:right="2292"/>
              <w:jc w:val="center"/>
              <w:rPr>
                <w:b/>
                <w:sz w:val="20"/>
              </w:rPr>
            </w:pPr>
            <w:r>
              <w:rPr>
                <w:b/>
                <w:sz w:val="20"/>
              </w:rPr>
              <w:t>Function</w:t>
            </w:r>
          </w:p>
        </w:tc>
      </w:tr>
      <w:tr>
        <w:trPr>
          <w:trHeight w:val="1093" w:hRule="atLeast"/>
        </w:trPr>
        <w:tc>
          <w:tcPr>
            <w:tcW w:w="919" w:type="dxa"/>
          </w:tcPr>
          <w:p>
            <w:pPr>
              <w:pStyle w:val="TableParagraph"/>
              <w:spacing w:before="3"/>
              <w:rPr>
                <w:b/>
                <w:sz w:val="27"/>
              </w:rPr>
            </w:pPr>
          </w:p>
          <w:p>
            <w:pPr>
              <w:pStyle w:val="TableParagraph"/>
              <w:ind w:left="326" w:right="319"/>
              <w:jc w:val="center"/>
              <w:rPr>
                <w:sz w:val="20"/>
              </w:rPr>
            </w:pPr>
            <w:r>
              <w:rPr>
                <w:sz w:val="20"/>
              </w:rPr>
              <w:t>87</w:t>
            </w:r>
          </w:p>
          <w:p>
            <w:pPr>
              <w:pStyle w:val="TableParagraph"/>
              <w:spacing w:before="1"/>
              <w:ind w:left="326" w:right="319"/>
              <w:jc w:val="center"/>
              <w:rPr>
                <w:sz w:val="20"/>
              </w:rPr>
            </w:pPr>
            <w:r>
              <w:rPr>
                <w:sz w:val="20"/>
              </w:rPr>
              <w:t>86</w:t>
            </w:r>
          </w:p>
        </w:tc>
        <w:tc>
          <w:tcPr>
            <w:tcW w:w="1639" w:type="dxa"/>
          </w:tcPr>
          <w:p>
            <w:pPr>
              <w:pStyle w:val="TableParagraph"/>
              <w:spacing w:before="3"/>
              <w:rPr>
                <w:b/>
                <w:sz w:val="27"/>
              </w:rPr>
            </w:pPr>
          </w:p>
          <w:p>
            <w:pPr>
              <w:pStyle w:val="TableParagraph"/>
              <w:ind w:left="523" w:right="6"/>
              <w:rPr>
                <w:sz w:val="20"/>
              </w:rPr>
            </w:pPr>
            <w:r>
              <w:rPr>
                <w:w w:val="95"/>
                <w:sz w:val="20"/>
              </w:rPr>
              <w:t>IADC0 IADC1</w:t>
            </w:r>
          </w:p>
        </w:tc>
        <w:tc>
          <w:tcPr>
            <w:tcW w:w="684" w:type="dxa"/>
            <w:vMerge w:val="restart"/>
            <w:tcBorders>
              <w:bottom w:val="nil"/>
            </w:tcBorders>
          </w:tcPr>
          <w:p>
            <w:pPr>
              <w:pStyle w:val="TableParagraph"/>
              <w:rPr>
                <w:rFonts w:ascii="Times New Roman"/>
                <w:sz w:val="18"/>
              </w:rPr>
            </w:pPr>
          </w:p>
        </w:tc>
        <w:tc>
          <w:tcPr>
            <w:tcW w:w="850" w:type="dxa"/>
            <w:vMerge w:val="restart"/>
            <w:tcBorders>
              <w:bottom w:val="nil"/>
            </w:tcBorders>
          </w:tcPr>
          <w:p>
            <w:pPr>
              <w:pStyle w:val="TableParagraph"/>
              <w:rPr>
                <w:rFonts w:ascii="Times New Roman"/>
                <w:sz w:val="18"/>
              </w:rPr>
            </w:pPr>
          </w:p>
        </w:tc>
        <w:tc>
          <w:tcPr>
            <w:tcW w:w="5484" w:type="dxa"/>
            <w:vMerge w:val="restart"/>
            <w:tcBorders>
              <w:bottom w:val="nil"/>
            </w:tcBorders>
          </w:tcPr>
          <w:p>
            <w:pPr>
              <w:pStyle w:val="TableParagraph"/>
              <w:spacing w:before="129"/>
              <w:ind w:left="114" w:right="192"/>
              <w:rPr>
                <w:sz w:val="20"/>
              </w:rPr>
            </w:pPr>
            <w:r>
              <w:rPr>
                <w:sz w:val="20"/>
              </w:rPr>
              <w:t>Differential or Single-Ended Analog Line Current Sense Inputs. These pins are voltage inputs to the internal A/D converter. Typically, they are connected to the outputs of current sensors. </w:t>
            </w:r>
            <w:r>
              <w:rPr>
                <w:b/>
                <w:sz w:val="20"/>
              </w:rPr>
              <w:t>Unused pins must be connected to V3P3A</w:t>
            </w:r>
            <w:r>
              <w:rPr>
                <w:sz w:val="20"/>
              </w:rPr>
              <w:t>.</w:t>
            </w:r>
          </w:p>
        </w:tc>
      </w:tr>
      <w:tr>
        <w:trPr>
          <w:trHeight w:val="247" w:hRule="atLeast"/>
        </w:trPr>
        <w:tc>
          <w:tcPr>
            <w:tcW w:w="919" w:type="dxa"/>
            <w:tcBorders>
              <w:bottom w:val="nil"/>
            </w:tcBorders>
          </w:tcPr>
          <w:p>
            <w:pPr>
              <w:pStyle w:val="TableParagraph"/>
              <w:rPr>
                <w:rFonts w:ascii="Times New Roman"/>
                <w:sz w:val="18"/>
              </w:rPr>
            </w:pPr>
          </w:p>
        </w:tc>
        <w:tc>
          <w:tcPr>
            <w:tcW w:w="1639" w:type="dxa"/>
            <w:tcBorders>
              <w:bottom w:val="nil"/>
            </w:tcBorders>
          </w:tcPr>
          <w:p>
            <w:pPr>
              <w:pStyle w:val="TableParagraph"/>
              <w:rPr>
                <w:rFonts w:ascii="Times New Roman"/>
                <w:sz w:val="18"/>
              </w:rPr>
            </w:pPr>
          </w:p>
        </w:tc>
        <w:tc>
          <w:tcPr>
            <w:tcW w:w="684" w:type="dxa"/>
            <w:vMerge/>
            <w:tcBorders>
              <w:top w:val="nil"/>
              <w:bottom w:val="nil"/>
            </w:tcBorders>
          </w:tcPr>
          <w:p>
            <w:pPr>
              <w:rPr>
                <w:sz w:val="2"/>
                <w:szCs w:val="2"/>
              </w:rPr>
            </w:pPr>
          </w:p>
        </w:tc>
        <w:tc>
          <w:tcPr>
            <w:tcW w:w="850" w:type="dxa"/>
            <w:vMerge/>
            <w:tcBorders>
              <w:top w:val="nil"/>
              <w:bottom w:val="nil"/>
            </w:tcBorders>
          </w:tcPr>
          <w:p>
            <w:pPr>
              <w:rPr>
                <w:sz w:val="2"/>
                <w:szCs w:val="2"/>
              </w:rPr>
            </w:pPr>
          </w:p>
        </w:tc>
        <w:tc>
          <w:tcPr>
            <w:tcW w:w="5484" w:type="dxa"/>
            <w:vMerge/>
            <w:tcBorders>
              <w:top w:val="nil"/>
              <w:bottom w:val="nil"/>
            </w:tcBorders>
          </w:tcPr>
          <w:p>
            <w:pPr>
              <w:rPr>
                <w:sz w:val="2"/>
                <w:szCs w:val="2"/>
              </w:rPr>
            </w:pPr>
          </w:p>
        </w:tc>
      </w:tr>
      <w:tr>
        <w:trPr>
          <w:trHeight w:val="846" w:hRule="atLeast"/>
        </w:trPr>
        <w:tc>
          <w:tcPr>
            <w:tcW w:w="919" w:type="dxa"/>
            <w:tcBorders>
              <w:top w:val="nil"/>
            </w:tcBorders>
          </w:tcPr>
          <w:p>
            <w:pPr>
              <w:pStyle w:val="TableParagraph"/>
              <w:spacing w:before="66"/>
              <w:ind w:left="326" w:right="319"/>
              <w:jc w:val="center"/>
              <w:rPr>
                <w:sz w:val="20"/>
              </w:rPr>
            </w:pPr>
            <w:r>
              <w:rPr>
                <w:sz w:val="20"/>
              </w:rPr>
              <w:t>68</w:t>
            </w:r>
          </w:p>
          <w:p>
            <w:pPr>
              <w:pStyle w:val="TableParagraph"/>
              <w:ind w:left="326" w:right="319"/>
              <w:jc w:val="center"/>
              <w:rPr>
                <w:sz w:val="20"/>
              </w:rPr>
            </w:pPr>
            <w:r>
              <w:rPr>
                <w:sz w:val="20"/>
              </w:rPr>
              <w:t>67</w:t>
            </w:r>
          </w:p>
        </w:tc>
        <w:tc>
          <w:tcPr>
            <w:tcW w:w="1639" w:type="dxa"/>
            <w:tcBorders>
              <w:top w:val="nil"/>
            </w:tcBorders>
          </w:tcPr>
          <w:p>
            <w:pPr>
              <w:pStyle w:val="TableParagraph"/>
              <w:spacing w:before="66"/>
              <w:ind w:left="523" w:right="6"/>
              <w:rPr>
                <w:sz w:val="20"/>
              </w:rPr>
            </w:pPr>
            <w:r>
              <w:rPr>
                <w:w w:val="95"/>
                <w:sz w:val="20"/>
              </w:rPr>
              <w:t>IADC2 IADC3</w:t>
            </w:r>
          </w:p>
        </w:tc>
        <w:tc>
          <w:tcPr>
            <w:tcW w:w="684" w:type="dxa"/>
            <w:vMerge w:val="restart"/>
            <w:tcBorders>
              <w:top w:val="nil"/>
              <w:bottom w:val="nil"/>
            </w:tcBorders>
          </w:tcPr>
          <w:p>
            <w:pPr>
              <w:pStyle w:val="TableParagraph"/>
              <w:rPr>
                <w:b/>
                <w:sz w:val="22"/>
              </w:rPr>
            </w:pPr>
          </w:p>
          <w:p>
            <w:pPr>
              <w:pStyle w:val="TableParagraph"/>
              <w:rPr>
                <w:b/>
                <w:sz w:val="22"/>
              </w:rPr>
            </w:pPr>
          </w:p>
          <w:p>
            <w:pPr>
              <w:pStyle w:val="TableParagraph"/>
              <w:spacing w:before="8"/>
              <w:rPr>
                <w:b/>
                <w:sz w:val="19"/>
              </w:rPr>
            </w:pPr>
          </w:p>
          <w:p>
            <w:pPr>
              <w:pStyle w:val="TableParagraph"/>
              <w:spacing w:before="1"/>
              <w:ind w:left="10"/>
              <w:jc w:val="center"/>
              <w:rPr>
                <w:sz w:val="20"/>
              </w:rPr>
            </w:pPr>
            <w:r>
              <w:rPr>
                <w:w w:val="99"/>
                <w:sz w:val="20"/>
              </w:rPr>
              <w:t>I</w:t>
            </w:r>
          </w:p>
        </w:tc>
        <w:tc>
          <w:tcPr>
            <w:tcW w:w="850" w:type="dxa"/>
            <w:vMerge w:val="restart"/>
            <w:tcBorders>
              <w:top w:val="nil"/>
              <w:bottom w:val="nil"/>
            </w:tcBorders>
          </w:tcPr>
          <w:p>
            <w:pPr>
              <w:pStyle w:val="TableParagraph"/>
              <w:rPr>
                <w:b/>
                <w:sz w:val="22"/>
              </w:rPr>
            </w:pPr>
          </w:p>
          <w:p>
            <w:pPr>
              <w:pStyle w:val="TableParagraph"/>
              <w:rPr>
                <w:b/>
                <w:sz w:val="22"/>
              </w:rPr>
            </w:pPr>
          </w:p>
          <w:p>
            <w:pPr>
              <w:pStyle w:val="TableParagraph"/>
              <w:spacing w:before="8"/>
              <w:rPr>
                <w:b/>
                <w:sz w:val="19"/>
              </w:rPr>
            </w:pPr>
          </w:p>
          <w:p>
            <w:pPr>
              <w:pStyle w:val="TableParagraph"/>
              <w:spacing w:before="1"/>
              <w:ind w:left="10"/>
              <w:jc w:val="center"/>
              <w:rPr>
                <w:sz w:val="20"/>
              </w:rPr>
            </w:pPr>
            <w:r>
              <w:rPr>
                <w:w w:val="99"/>
                <w:sz w:val="20"/>
              </w:rPr>
              <w:t>6</w:t>
            </w:r>
          </w:p>
        </w:tc>
        <w:tc>
          <w:tcPr>
            <w:tcW w:w="5484" w:type="dxa"/>
            <w:vMerge w:val="restart"/>
            <w:tcBorders>
              <w:top w:val="nil"/>
              <w:bottom w:val="nil"/>
            </w:tcBorders>
          </w:tcPr>
          <w:p>
            <w:pPr>
              <w:pStyle w:val="TableParagraph"/>
              <w:spacing w:before="158"/>
              <w:ind w:left="114" w:right="192"/>
              <w:rPr>
                <w:sz w:val="20"/>
              </w:rPr>
            </w:pPr>
            <w:r>
              <w:rPr>
                <w:sz w:val="20"/>
              </w:rPr>
              <w:t>When configured as differential inputs (i.e., by setting the </w:t>
            </w:r>
            <w:r>
              <w:rPr>
                <w:rFonts w:ascii="Times New Roman"/>
                <w:i/>
                <w:sz w:val="20"/>
              </w:rPr>
              <w:t>DIFFx_E</w:t>
            </w:r>
            <w:r>
              <w:rPr>
                <w:rFonts w:ascii="Times New Roman"/>
                <w:i/>
                <w:spacing w:val="-3"/>
                <w:sz w:val="20"/>
              </w:rPr>
              <w:t> </w:t>
            </w:r>
            <w:r>
              <w:rPr>
                <w:sz w:val="20"/>
              </w:rPr>
              <w:t>control</w:t>
            </w:r>
            <w:r>
              <w:rPr>
                <w:spacing w:val="-10"/>
                <w:sz w:val="20"/>
              </w:rPr>
              <w:t> </w:t>
            </w:r>
            <w:r>
              <w:rPr>
                <w:sz w:val="20"/>
              </w:rPr>
              <w:t>bits,</w:t>
            </w:r>
            <w:r>
              <w:rPr>
                <w:spacing w:val="-9"/>
                <w:sz w:val="20"/>
              </w:rPr>
              <w:t> </w:t>
            </w:r>
            <w:r>
              <w:rPr>
                <w:sz w:val="20"/>
              </w:rPr>
              <w:t>where</w:t>
            </w:r>
            <w:r>
              <w:rPr>
                <w:spacing w:val="-10"/>
                <w:sz w:val="20"/>
              </w:rPr>
              <w:t> </w:t>
            </w:r>
            <w:r>
              <w:rPr>
                <w:sz w:val="20"/>
              </w:rPr>
              <w:t>x</w:t>
            </w:r>
            <w:r>
              <w:rPr>
                <w:spacing w:val="-10"/>
                <w:sz w:val="20"/>
              </w:rPr>
              <w:t> </w:t>
            </w:r>
            <w:r>
              <w:rPr>
                <w:sz w:val="20"/>
              </w:rPr>
              <w:t>=</w:t>
            </w:r>
            <w:r>
              <w:rPr>
                <w:spacing w:val="-10"/>
                <w:sz w:val="20"/>
              </w:rPr>
              <w:t> </w:t>
            </w:r>
            <w:r>
              <w:rPr>
                <w:sz w:val="20"/>
              </w:rPr>
              <w:t>0,</w:t>
            </w:r>
            <w:r>
              <w:rPr>
                <w:spacing w:val="-9"/>
                <w:sz w:val="20"/>
              </w:rPr>
              <w:t> </w:t>
            </w:r>
            <w:r>
              <w:rPr>
                <w:sz w:val="20"/>
              </w:rPr>
              <w:t>2,</w:t>
            </w:r>
            <w:r>
              <w:rPr>
                <w:spacing w:val="-11"/>
                <w:sz w:val="20"/>
              </w:rPr>
              <w:t> </w:t>
            </w:r>
            <w:r>
              <w:rPr>
                <w:sz w:val="20"/>
              </w:rPr>
              <w:t>4,</w:t>
            </w:r>
            <w:r>
              <w:rPr>
                <w:spacing w:val="-9"/>
                <w:sz w:val="20"/>
              </w:rPr>
              <w:t> </w:t>
            </w:r>
            <w:r>
              <w:rPr>
                <w:sz w:val="20"/>
              </w:rPr>
              <w:t>6)</w:t>
            </w:r>
            <w:r>
              <w:rPr>
                <w:spacing w:val="-11"/>
                <w:sz w:val="20"/>
              </w:rPr>
              <w:t> </w:t>
            </w:r>
            <w:r>
              <w:rPr>
                <w:sz w:val="20"/>
              </w:rPr>
              <w:t>pins</w:t>
            </w:r>
            <w:r>
              <w:rPr>
                <w:spacing w:val="-10"/>
                <w:sz w:val="20"/>
              </w:rPr>
              <w:t> </w:t>
            </w:r>
            <w:r>
              <w:rPr>
                <w:sz w:val="20"/>
              </w:rPr>
              <w:t>are</w:t>
            </w:r>
            <w:r>
              <w:rPr>
                <w:spacing w:val="-9"/>
                <w:sz w:val="20"/>
              </w:rPr>
              <w:t> </w:t>
            </w:r>
            <w:r>
              <w:rPr>
                <w:sz w:val="20"/>
              </w:rPr>
              <w:t>paired</w:t>
            </w:r>
            <w:r>
              <w:rPr>
                <w:spacing w:val="-12"/>
                <w:sz w:val="20"/>
              </w:rPr>
              <w:t> </w:t>
            </w:r>
            <w:r>
              <w:rPr>
                <w:sz w:val="20"/>
              </w:rPr>
              <w:t>to </w:t>
            </w:r>
            <w:r>
              <w:rPr>
                <w:spacing w:val="-3"/>
                <w:sz w:val="20"/>
              </w:rPr>
              <w:t>form differential </w:t>
            </w:r>
            <w:r>
              <w:rPr>
                <w:sz w:val="20"/>
              </w:rPr>
              <w:t>inputs </w:t>
            </w:r>
            <w:r>
              <w:rPr>
                <w:spacing w:val="-2"/>
                <w:sz w:val="20"/>
              </w:rPr>
              <w:t>pairs: </w:t>
            </w:r>
            <w:r>
              <w:rPr>
                <w:sz w:val="20"/>
              </w:rPr>
              <w:t>IADC0-IADC1, </w:t>
            </w:r>
            <w:r>
              <w:rPr>
                <w:spacing w:val="-2"/>
                <w:sz w:val="20"/>
              </w:rPr>
              <w:t>IADC2-IADC3, </w:t>
            </w:r>
            <w:r>
              <w:rPr>
                <w:sz w:val="20"/>
              </w:rPr>
              <w:t>IADC4-IADC5, and</w:t>
            </w:r>
            <w:r>
              <w:rPr>
                <w:spacing w:val="-12"/>
                <w:sz w:val="20"/>
              </w:rPr>
              <w:t> </w:t>
            </w:r>
            <w:r>
              <w:rPr>
                <w:sz w:val="20"/>
              </w:rPr>
              <w:t>IADC6-IADC7.</w:t>
            </w:r>
          </w:p>
        </w:tc>
      </w:tr>
      <w:tr>
        <w:trPr>
          <w:trHeight w:val="262" w:hRule="atLeast"/>
        </w:trPr>
        <w:tc>
          <w:tcPr>
            <w:tcW w:w="919" w:type="dxa"/>
            <w:tcBorders>
              <w:bottom w:val="nil"/>
            </w:tcBorders>
          </w:tcPr>
          <w:p>
            <w:pPr>
              <w:pStyle w:val="TableParagraph"/>
              <w:rPr>
                <w:rFonts w:ascii="Times New Roman"/>
                <w:sz w:val="18"/>
              </w:rPr>
            </w:pPr>
          </w:p>
        </w:tc>
        <w:tc>
          <w:tcPr>
            <w:tcW w:w="1639" w:type="dxa"/>
            <w:tcBorders>
              <w:bottom w:val="nil"/>
            </w:tcBorders>
          </w:tcPr>
          <w:p>
            <w:pPr>
              <w:pStyle w:val="TableParagraph"/>
              <w:rPr>
                <w:rFonts w:ascii="Times New Roman"/>
                <w:sz w:val="18"/>
              </w:rPr>
            </w:pPr>
          </w:p>
        </w:tc>
        <w:tc>
          <w:tcPr>
            <w:tcW w:w="684" w:type="dxa"/>
            <w:vMerge/>
            <w:tcBorders>
              <w:top w:val="nil"/>
              <w:bottom w:val="nil"/>
            </w:tcBorders>
          </w:tcPr>
          <w:p>
            <w:pPr>
              <w:rPr>
                <w:sz w:val="2"/>
                <w:szCs w:val="2"/>
              </w:rPr>
            </w:pPr>
          </w:p>
        </w:tc>
        <w:tc>
          <w:tcPr>
            <w:tcW w:w="850" w:type="dxa"/>
            <w:vMerge/>
            <w:tcBorders>
              <w:top w:val="nil"/>
              <w:bottom w:val="nil"/>
            </w:tcBorders>
          </w:tcPr>
          <w:p>
            <w:pPr>
              <w:rPr>
                <w:sz w:val="2"/>
                <w:szCs w:val="2"/>
              </w:rPr>
            </w:pPr>
          </w:p>
        </w:tc>
        <w:tc>
          <w:tcPr>
            <w:tcW w:w="5484" w:type="dxa"/>
            <w:vMerge/>
            <w:tcBorders>
              <w:top w:val="nil"/>
              <w:bottom w:val="nil"/>
            </w:tcBorders>
          </w:tcPr>
          <w:p>
            <w:pPr>
              <w:rPr>
                <w:sz w:val="2"/>
                <w:szCs w:val="2"/>
              </w:rPr>
            </w:pPr>
          </w:p>
        </w:tc>
      </w:tr>
      <w:tr>
        <w:trPr>
          <w:trHeight w:val="831" w:hRule="atLeast"/>
        </w:trPr>
        <w:tc>
          <w:tcPr>
            <w:tcW w:w="919" w:type="dxa"/>
            <w:tcBorders>
              <w:top w:val="nil"/>
            </w:tcBorders>
          </w:tcPr>
          <w:p>
            <w:pPr>
              <w:pStyle w:val="TableParagraph"/>
              <w:spacing w:before="51"/>
              <w:ind w:left="326" w:right="319"/>
              <w:jc w:val="center"/>
              <w:rPr>
                <w:sz w:val="20"/>
              </w:rPr>
            </w:pPr>
            <w:r>
              <w:rPr>
                <w:sz w:val="20"/>
              </w:rPr>
              <w:t>66</w:t>
            </w:r>
          </w:p>
          <w:p>
            <w:pPr>
              <w:pStyle w:val="TableParagraph"/>
              <w:spacing w:before="1"/>
              <w:ind w:left="326" w:right="319"/>
              <w:jc w:val="center"/>
              <w:rPr>
                <w:sz w:val="20"/>
              </w:rPr>
            </w:pPr>
            <w:r>
              <w:rPr>
                <w:sz w:val="20"/>
              </w:rPr>
              <w:t>65</w:t>
            </w:r>
          </w:p>
        </w:tc>
        <w:tc>
          <w:tcPr>
            <w:tcW w:w="1639" w:type="dxa"/>
            <w:tcBorders>
              <w:top w:val="nil"/>
            </w:tcBorders>
          </w:tcPr>
          <w:p>
            <w:pPr>
              <w:pStyle w:val="TableParagraph"/>
              <w:spacing w:line="264" w:lineRule="auto" w:before="32"/>
              <w:ind w:left="523" w:right="6"/>
              <w:rPr>
                <w:sz w:val="20"/>
              </w:rPr>
            </w:pPr>
            <w:r>
              <w:rPr>
                <w:w w:val="95"/>
                <w:sz w:val="20"/>
              </w:rPr>
              <w:t>IADC4 IADC5</w:t>
            </w:r>
          </w:p>
        </w:tc>
        <w:tc>
          <w:tcPr>
            <w:tcW w:w="684" w:type="dxa"/>
            <w:vMerge w:val="restart"/>
            <w:tcBorders>
              <w:top w:val="nil"/>
            </w:tcBorders>
          </w:tcPr>
          <w:p>
            <w:pPr>
              <w:pStyle w:val="TableParagraph"/>
              <w:rPr>
                <w:rFonts w:ascii="Times New Roman"/>
                <w:sz w:val="18"/>
              </w:rPr>
            </w:pPr>
          </w:p>
        </w:tc>
        <w:tc>
          <w:tcPr>
            <w:tcW w:w="850" w:type="dxa"/>
            <w:vMerge w:val="restart"/>
            <w:tcBorders>
              <w:top w:val="nil"/>
            </w:tcBorders>
          </w:tcPr>
          <w:p>
            <w:pPr>
              <w:pStyle w:val="TableParagraph"/>
              <w:rPr>
                <w:rFonts w:ascii="Times New Roman"/>
                <w:sz w:val="18"/>
              </w:rPr>
            </w:pPr>
          </w:p>
        </w:tc>
        <w:tc>
          <w:tcPr>
            <w:tcW w:w="5484" w:type="dxa"/>
            <w:vMerge w:val="restart"/>
            <w:tcBorders>
              <w:top w:val="nil"/>
            </w:tcBorders>
          </w:tcPr>
          <w:p>
            <w:pPr>
              <w:pStyle w:val="TableParagraph"/>
              <w:spacing w:before="191"/>
              <w:ind w:left="115"/>
              <w:rPr>
                <w:sz w:val="20"/>
              </w:rPr>
            </w:pPr>
            <w:r>
              <w:rPr>
                <w:sz w:val="20"/>
              </w:rPr>
              <w:t>IADC2-IADC3, IADC4-IADC5, and IADC6-IADC7 can be</w:t>
            </w:r>
          </w:p>
          <w:p>
            <w:pPr>
              <w:pStyle w:val="TableParagraph"/>
              <w:spacing w:before="1"/>
              <w:ind w:left="114" w:right="133"/>
              <w:rPr>
                <w:sz w:val="20"/>
              </w:rPr>
            </w:pPr>
            <w:r>
              <w:rPr>
                <w:sz w:val="20"/>
              </w:rPr>
              <w:t>configured for communication with the 71M6xx3 remote isolated sensor interface (i.e., by setting the </w:t>
            </w:r>
            <w:r>
              <w:rPr>
                <w:rFonts w:ascii="Times New Roman"/>
                <w:i/>
                <w:sz w:val="20"/>
              </w:rPr>
              <w:t>RMTx_E </w:t>
            </w:r>
            <w:r>
              <w:rPr>
                <w:sz w:val="20"/>
              </w:rPr>
              <w:t>control bits, where x = 2, 4, 6). When configured as remote sensor interfaces, these pins form balanced digital pairs for bidirectional digital communications with a 71M6xx3 remote isolated</w:t>
            </w:r>
            <w:r>
              <w:rPr>
                <w:spacing w:val="-3"/>
                <w:sz w:val="20"/>
              </w:rPr>
              <w:t> </w:t>
            </w:r>
            <w:r>
              <w:rPr>
                <w:sz w:val="20"/>
              </w:rPr>
              <w:t>sensor.</w:t>
            </w:r>
          </w:p>
        </w:tc>
      </w:tr>
      <w:tr>
        <w:trPr>
          <w:trHeight w:val="1093" w:hRule="atLeast"/>
        </w:trPr>
        <w:tc>
          <w:tcPr>
            <w:tcW w:w="919" w:type="dxa"/>
          </w:tcPr>
          <w:p>
            <w:pPr>
              <w:pStyle w:val="TableParagraph"/>
              <w:spacing w:before="3"/>
              <w:rPr>
                <w:b/>
                <w:sz w:val="27"/>
              </w:rPr>
            </w:pPr>
          </w:p>
          <w:p>
            <w:pPr>
              <w:pStyle w:val="TableParagraph"/>
              <w:ind w:left="326" w:right="319"/>
              <w:jc w:val="center"/>
              <w:rPr>
                <w:sz w:val="20"/>
              </w:rPr>
            </w:pPr>
            <w:r>
              <w:rPr>
                <w:sz w:val="20"/>
              </w:rPr>
              <w:t>64</w:t>
            </w:r>
          </w:p>
          <w:p>
            <w:pPr>
              <w:pStyle w:val="TableParagraph"/>
              <w:spacing w:before="1"/>
              <w:ind w:left="326" w:right="319"/>
              <w:jc w:val="center"/>
              <w:rPr>
                <w:sz w:val="20"/>
              </w:rPr>
            </w:pPr>
            <w:r>
              <w:rPr>
                <w:sz w:val="20"/>
              </w:rPr>
              <w:t>63</w:t>
            </w:r>
          </w:p>
        </w:tc>
        <w:tc>
          <w:tcPr>
            <w:tcW w:w="1639" w:type="dxa"/>
          </w:tcPr>
          <w:p>
            <w:pPr>
              <w:pStyle w:val="TableParagraph"/>
              <w:spacing w:before="7"/>
              <w:rPr>
                <w:b/>
                <w:sz w:val="25"/>
              </w:rPr>
            </w:pPr>
          </w:p>
          <w:p>
            <w:pPr>
              <w:pStyle w:val="TableParagraph"/>
              <w:spacing w:line="264" w:lineRule="auto"/>
              <w:ind w:left="523" w:right="6"/>
              <w:rPr>
                <w:sz w:val="20"/>
              </w:rPr>
            </w:pPr>
            <w:r>
              <w:rPr>
                <w:w w:val="95"/>
                <w:sz w:val="20"/>
              </w:rPr>
              <w:t>IADC6 IADC7</w:t>
            </w:r>
          </w:p>
        </w:tc>
        <w:tc>
          <w:tcPr>
            <w:tcW w:w="684" w:type="dxa"/>
            <w:vMerge/>
            <w:tcBorders>
              <w:top w:val="nil"/>
            </w:tcBorders>
          </w:tcPr>
          <w:p>
            <w:pPr>
              <w:rPr>
                <w:sz w:val="2"/>
                <w:szCs w:val="2"/>
              </w:rPr>
            </w:pPr>
          </w:p>
        </w:tc>
        <w:tc>
          <w:tcPr>
            <w:tcW w:w="850" w:type="dxa"/>
            <w:vMerge/>
            <w:tcBorders>
              <w:top w:val="nil"/>
            </w:tcBorders>
          </w:tcPr>
          <w:p>
            <w:pPr>
              <w:rPr>
                <w:sz w:val="2"/>
                <w:szCs w:val="2"/>
              </w:rPr>
            </w:pPr>
          </w:p>
        </w:tc>
        <w:tc>
          <w:tcPr>
            <w:tcW w:w="5484" w:type="dxa"/>
            <w:vMerge/>
            <w:tcBorders>
              <w:top w:val="nil"/>
            </w:tcBorders>
          </w:tcPr>
          <w:p>
            <w:pPr>
              <w:rPr>
                <w:sz w:val="2"/>
                <w:szCs w:val="2"/>
              </w:rPr>
            </w:pPr>
          </w:p>
        </w:tc>
      </w:tr>
      <w:tr>
        <w:trPr>
          <w:trHeight w:val="381" w:hRule="atLeast"/>
        </w:trPr>
        <w:tc>
          <w:tcPr>
            <w:tcW w:w="919" w:type="dxa"/>
          </w:tcPr>
          <w:p>
            <w:pPr>
              <w:pStyle w:val="TableParagraph"/>
              <w:spacing w:before="74"/>
              <w:ind w:right="338"/>
              <w:jc w:val="right"/>
              <w:rPr>
                <w:sz w:val="20"/>
              </w:rPr>
            </w:pPr>
            <w:r>
              <w:rPr>
                <w:w w:val="95"/>
                <w:sz w:val="20"/>
              </w:rPr>
              <w:t>84</w:t>
            </w:r>
          </w:p>
        </w:tc>
        <w:tc>
          <w:tcPr>
            <w:tcW w:w="1639" w:type="dxa"/>
          </w:tcPr>
          <w:p>
            <w:pPr>
              <w:pStyle w:val="TableParagraph"/>
              <w:spacing w:before="74"/>
              <w:ind w:left="173" w:right="170"/>
              <w:jc w:val="center"/>
              <w:rPr>
                <w:sz w:val="20"/>
              </w:rPr>
            </w:pPr>
            <w:r>
              <w:rPr>
                <w:sz w:val="20"/>
              </w:rPr>
              <w:t>VADC8 (VA)</w:t>
            </w:r>
          </w:p>
        </w:tc>
        <w:tc>
          <w:tcPr>
            <w:tcW w:w="684" w:type="dxa"/>
            <w:vMerge w:val="restart"/>
          </w:tcPr>
          <w:p>
            <w:pPr>
              <w:pStyle w:val="TableParagraph"/>
              <w:rPr>
                <w:b/>
                <w:sz w:val="22"/>
              </w:rPr>
            </w:pPr>
          </w:p>
          <w:p>
            <w:pPr>
              <w:pStyle w:val="TableParagraph"/>
              <w:spacing w:before="5"/>
              <w:rPr>
                <w:b/>
                <w:sz w:val="18"/>
              </w:rPr>
            </w:pPr>
          </w:p>
          <w:p>
            <w:pPr>
              <w:pStyle w:val="TableParagraph"/>
              <w:ind w:left="10"/>
              <w:jc w:val="center"/>
              <w:rPr>
                <w:sz w:val="20"/>
              </w:rPr>
            </w:pPr>
            <w:r>
              <w:rPr>
                <w:w w:val="99"/>
                <w:sz w:val="20"/>
              </w:rPr>
              <w:t>I</w:t>
            </w:r>
          </w:p>
        </w:tc>
        <w:tc>
          <w:tcPr>
            <w:tcW w:w="850" w:type="dxa"/>
            <w:vMerge w:val="restart"/>
          </w:tcPr>
          <w:p>
            <w:pPr>
              <w:pStyle w:val="TableParagraph"/>
              <w:rPr>
                <w:b/>
                <w:sz w:val="22"/>
              </w:rPr>
            </w:pPr>
          </w:p>
          <w:p>
            <w:pPr>
              <w:pStyle w:val="TableParagraph"/>
              <w:spacing w:before="5"/>
              <w:rPr>
                <w:b/>
                <w:sz w:val="18"/>
              </w:rPr>
            </w:pPr>
          </w:p>
          <w:p>
            <w:pPr>
              <w:pStyle w:val="TableParagraph"/>
              <w:ind w:left="10"/>
              <w:jc w:val="center"/>
              <w:rPr>
                <w:sz w:val="20"/>
              </w:rPr>
            </w:pPr>
            <w:r>
              <w:rPr>
                <w:w w:val="99"/>
                <w:sz w:val="20"/>
              </w:rPr>
              <w:t>6</w:t>
            </w:r>
          </w:p>
        </w:tc>
        <w:tc>
          <w:tcPr>
            <w:tcW w:w="5484" w:type="dxa"/>
            <w:vMerge w:val="restart"/>
          </w:tcPr>
          <w:p>
            <w:pPr>
              <w:pStyle w:val="TableParagraph"/>
              <w:spacing w:before="119"/>
              <w:ind w:left="114" w:right="148"/>
              <w:rPr>
                <w:b/>
                <w:sz w:val="20"/>
              </w:rPr>
            </w:pPr>
            <w:r>
              <w:rPr>
                <w:sz w:val="20"/>
              </w:rPr>
              <w:t>Line Voltage Sense Inputs. These pins are voltage inputs to the internal A/D converter. Typically, they are connected to the outputs of resistor dividers. </w:t>
            </w:r>
            <w:r>
              <w:rPr>
                <w:b/>
                <w:sz w:val="20"/>
              </w:rPr>
              <w:t>Unused pins must be connected to V3P3A.</w:t>
            </w:r>
          </w:p>
        </w:tc>
      </w:tr>
      <w:tr>
        <w:trPr>
          <w:trHeight w:val="381" w:hRule="atLeast"/>
        </w:trPr>
        <w:tc>
          <w:tcPr>
            <w:tcW w:w="919" w:type="dxa"/>
          </w:tcPr>
          <w:p>
            <w:pPr>
              <w:pStyle w:val="TableParagraph"/>
              <w:spacing w:before="74"/>
              <w:ind w:right="338"/>
              <w:jc w:val="right"/>
              <w:rPr>
                <w:sz w:val="20"/>
              </w:rPr>
            </w:pPr>
            <w:r>
              <w:rPr>
                <w:w w:val="95"/>
                <w:sz w:val="20"/>
              </w:rPr>
              <w:t>83</w:t>
            </w:r>
          </w:p>
        </w:tc>
        <w:tc>
          <w:tcPr>
            <w:tcW w:w="1639" w:type="dxa"/>
          </w:tcPr>
          <w:p>
            <w:pPr>
              <w:pStyle w:val="TableParagraph"/>
              <w:spacing w:before="74"/>
              <w:ind w:left="173" w:right="169"/>
              <w:jc w:val="center"/>
              <w:rPr>
                <w:sz w:val="20"/>
              </w:rPr>
            </w:pPr>
            <w:r>
              <w:rPr>
                <w:sz w:val="20"/>
              </w:rPr>
              <w:t>VADC9 (VB)</w:t>
            </w:r>
          </w:p>
        </w:tc>
        <w:tc>
          <w:tcPr>
            <w:tcW w:w="684" w:type="dxa"/>
            <w:vMerge/>
            <w:tcBorders>
              <w:top w:val="nil"/>
            </w:tcBorders>
          </w:tcPr>
          <w:p>
            <w:pPr>
              <w:rPr>
                <w:sz w:val="2"/>
                <w:szCs w:val="2"/>
              </w:rPr>
            </w:pPr>
          </w:p>
        </w:tc>
        <w:tc>
          <w:tcPr>
            <w:tcW w:w="850" w:type="dxa"/>
            <w:vMerge/>
            <w:tcBorders>
              <w:top w:val="nil"/>
            </w:tcBorders>
          </w:tcPr>
          <w:p>
            <w:pPr>
              <w:rPr>
                <w:sz w:val="2"/>
                <w:szCs w:val="2"/>
              </w:rPr>
            </w:pPr>
          </w:p>
        </w:tc>
        <w:tc>
          <w:tcPr>
            <w:tcW w:w="5484" w:type="dxa"/>
            <w:vMerge/>
            <w:tcBorders>
              <w:top w:val="nil"/>
            </w:tcBorders>
          </w:tcPr>
          <w:p>
            <w:pPr>
              <w:rPr>
                <w:sz w:val="2"/>
                <w:szCs w:val="2"/>
              </w:rPr>
            </w:pPr>
          </w:p>
        </w:tc>
      </w:tr>
      <w:tr>
        <w:trPr>
          <w:trHeight w:val="381" w:hRule="atLeast"/>
        </w:trPr>
        <w:tc>
          <w:tcPr>
            <w:tcW w:w="919" w:type="dxa"/>
          </w:tcPr>
          <w:p>
            <w:pPr>
              <w:pStyle w:val="TableParagraph"/>
              <w:spacing w:before="74"/>
              <w:ind w:right="338"/>
              <w:jc w:val="right"/>
              <w:rPr>
                <w:sz w:val="20"/>
              </w:rPr>
            </w:pPr>
            <w:r>
              <w:rPr>
                <w:w w:val="95"/>
                <w:sz w:val="20"/>
              </w:rPr>
              <w:t>82</w:t>
            </w:r>
          </w:p>
        </w:tc>
        <w:tc>
          <w:tcPr>
            <w:tcW w:w="1639" w:type="dxa"/>
          </w:tcPr>
          <w:p>
            <w:pPr>
              <w:pStyle w:val="TableParagraph"/>
              <w:spacing w:before="74"/>
              <w:ind w:left="173" w:right="171"/>
              <w:jc w:val="center"/>
              <w:rPr>
                <w:sz w:val="20"/>
              </w:rPr>
            </w:pPr>
            <w:r>
              <w:rPr>
                <w:sz w:val="20"/>
              </w:rPr>
              <w:t>VADC10 (VC)</w:t>
            </w:r>
          </w:p>
        </w:tc>
        <w:tc>
          <w:tcPr>
            <w:tcW w:w="684" w:type="dxa"/>
            <w:vMerge/>
            <w:tcBorders>
              <w:top w:val="nil"/>
            </w:tcBorders>
          </w:tcPr>
          <w:p>
            <w:pPr>
              <w:rPr>
                <w:sz w:val="2"/>
                <w:szCs w:val="2"/>
              </w:rPr>
            </w:pPr>
          </w:p>
        </w:tc>
        <w:tc>
          <w:tcPr>
            <w:tcW w:w="850" w:type="dxa"/>
            <w:vMerge/>
            <w:tcBorders>
              <w:top w:val="nil"/>
            </w:tcBorders>
          </w:tcPr>
          <w:p>
            <w:pPr>
              <w:rPr>
                <w:sz w:val="2"/>
                <w:szCs w:val="2"/>
              </w:rPr>
            </w:pPr>
          </w:p>
        </w:tc>
        <w:tc>
          <w:tcPr>
            <w:tcW w:w="5484" w:type="dxa"/>
            <w:vMerge/>
            <w:tcBorders>
              <w:top w:val="nil"/>
            </w:tcBorders>
          </w:tcPr>
          <w:p>
            <w:pPr>
              <w:rPr>
                <w:sz w:val="2"/>
                <w:szCs w:val="2"/>
              </w:rPr>
            </w:pPr>
          </w:p>
        </w:tc>
      </w:tr>
      <w:tr>
        <w:trPr>
          <w:trHeight w:val="606" w:hRule="atLeast"/>
        </w:trPr>
        <w:tc>
          <w:tcPr>
            <w:tcW w:w="919" w:type="dxa"/>
          </w:tcPr>
          <w:p>
            <w:pPr>
              <w:pStyle w:val="TableParagraph"/>
              <w:spacing w:before="184"/>
              <w:ind w:right="338"/>
              <w:jc w:val="right"/>
              <w:rPr>
                <w:sz w:val="20"/>
              </w:rPr>
            </w:pPr>
            <w:r>
              <w:rPr>
                <w:w w:val="95"/>
                <w:sz w:val="20"/>
              </w:rPr>
              <w:t>88</w:t>
            </w:r>
          </w:p>
        </w:tc>
        <w:tc>
          <w:tcPr>
            <w:tcW w:w="1639" w:type="dxa"/>
          </w:tcPr>
          <w:p>
            <w:pPr>
              <w:pStyle w:val="TableParagraph"/>
              <w:spacing w:before="184"/>
              <w:ind w:left="173" w:right="170"/>
              <w:jc w:val="center"/>
              <w:rPr>
                <w:sz w:val="20"/>
              </w:rPr>
            </w:pPr>
            <w:r>
              <w:rPr>
                <w:sz w:val="20"/>
              </w:rPr>
              <w:t>VREF</w:t>
            </w:r>
          </w:p>
        </w:tc>
        <w:tc>
          <w:tcPr>
            <w:tcW w:w="684" w:type="dxa"/>
          </w:tcPr>
          <w:p>
            <w:pPr>
              <w:pStyle w:val="TableParagraph"/>
              <w:spacing w:before="184"/>
              <w:ind w:left="9"/>
              <w:jc w:val="center"/>
              <w:rPr>
                <w:sz w:val="20"/>
              </w:rPr>
            </w:pPr>
            <w:r>
              <w:rPr>
                <w:w w:val="99"/>
                <w:sz w:val="20"/>
              </w:rPr>
              <w:t>O</w:t>
            </w:r>
          </w:p>
        </w:tc>
        <w:tc>
          <w:tcPr>
            <w:tcW w:w="850" w:type="dxa"/>
          </w:tcPr>
          <w:p>
            <w:pPr>
              <w:pStyle w:val="TableParagraph"/>
              <w:spacing w:before="184"/>
              <w:ind w:left="10"/>
              <w:jc w:val="center"/>
              <w:rPr>
                <w:sz w:val="20"/>
              </w:rPr>
            </w:pPr>
            <w:r>
              <w:rPr>
                <w:w w:val="99"/>
                <w:sz w:val="20"/>
              </w:rPr>
              <w:t>9</w:t>
            </w:r>
          </w:p>
        </w:tc>
        <w:tc>
          <w:tcPr>
            <w:tcW w:w="5484" w:type="dxa"/>
          </w:tcPr>
          <w:p>
            <w:pPr>
              <w:pStyle w:val="TableParagraph"/>
              <w:spacing w:before="69"/>
              <w:ind w:left="114" w:right="526"/>
              <w:rPr>
                <w:sz w:val="20"/>
              </w:rPr>
            </w:pPr>
            <w:r>
              <w:rPr>
                <w:sz w:val="20"/>
              </w:rPr>
              <w:t>Voltage Reference for the ADC. This pin should be left unconnected (floating).</w:t>
            </w:r>
          </w:p>
        </w:tc>
      </w:tr>
      <w:tr>
        <w:trPr>
          <w:trHeight w:val="947" w:hRule="atLeast"/>
        </w:trPr>
        <w:tc>
          <w:tcPr>
            <w:tcW w:w="919" w:type="dxa"/>
          </w:tcPr>
          <w:p>
            <w:pPr>
              <w:pStyle w:val="TableParagraph"/>
              <w:spacing w:before="9"/>
              <w:rPr>
                <w:b/>
                <w:sz w:val="30"/>
              </w:rPr>
            </w:pPr>
          </w:p>
          <w:p>
            <w:pPr>
              <w:pStyle w:val="TableParagraph"/>
              <w:ind w:right="338"/>
              <w:jc w:val="right"/>
              <w:rPr>
                <w:sz w:val="20"/>
              </w:rPr>
            </w:pPr>
            <w:r>
              <w:rPr>
                <w:w w:val="95"/>
                <w:sz w:val="20"/>
              </w:rPr>
              <w:t>75</w:t>
            </w:r>
          </w:p>
        </w:tc>
        <w:tc>
          <w:tcPr>
            <w:tcW w:w="1639" w:type="dxa"/>
          </w:tcPr>
          <w:p>
            <w:pPr>
              <w:pStyle w:val="TableParagraph"/>
              <w:spacing w:before="9"/>
              <w:rPr>
                <w:b/>
                <w:sz w:val="30"/>
              </w:rPr>
            </w:pPr>
          </w:p>
          <w:p>
            <w:pPr>
              <w:pStyle w:val="TableParagraph"/>
              <w:ind w:left="173" w:right="169"/>
              <w:jc w:val="center"/>
              <w:rPr>
                <w:sz w:val="20"/>
              </w:rPr>
            </w:pPr>
            <w:r>
              <w:rPr>
                <w:sz w:val="20"/>
              </w:rPr>
              <w:t>XIN</w:t>
            </w:r>
          </w:p>
        </w:tc>
        <w:tc>
          <w:tcPr>
            <w:tcW w:w="684" w:type="dxa"/>
          </w:tcPr>
          <w:p>
            <w:pPr>
              <w:pStyle w:val="TableParagraph"/>
              <w:spacing w:before="9"/>
              <w:rPr>
                <w:b/>
                <w:sz w:val="30"/>
              </w:rPr>
            </w:pPr>
          </w:p>
          <w:p>
            <w:pPr>
              <w:pStyle w:val="TableParagraph"/>
              <w:ind w:left="10"/>
              <w:jc w:val="center"/>
              <w:rPr>
                <w:sz w:val="20"/>
              </w:rPr>
            </w:pPr>
            <w:r>
              <w:rPr>
                <w:w w:val="99"/>
                <w:sz w:val="20"/>
              </w:rPr>
              <w:t>I</w:t>
            </w:r>
          </w:p>
        </w:tc>
        <w:tc>
          <w:tcPr>
            <w:tcW w:w="850" w:type="dxa"/>
            <w:vMerge w:val="restart"/>
          </w:tcPr>
          <w:p>
            <w:pPr>
              <w:pStyle w:val="TableParagraph"/>
              <w:rPr>
                <w:b/>
                <w:sz w:val="22"/>
              </w:rPr>
            </w:pPr>
          </w:p>
          <w:p>
            <w:pPr>
              <w:pStyle w:val="TableParagraph"/>
              <w:rPr>
                <w:b/>
                <w:sz w:val="22"/>
              </w:rPr>
            </w:pPr>
          </w:p>
          <w:p>
            <w:pPr>
              <w:pStyle w:val="TableParagraph"/>
              <w:spacing w:before="4"/>
              <w:rPr>
                <w:b/>
                <w:sz w:val="29"/>
              </w:rPr>
            </w:pPr>
          </w:p>
          <w:p>
            <w:pPr>
              <w:pStyle w:val="TableParagraph"/>
              <w:spacing w:before="1"/>
              <w:ind w:left="10"/>
              <w:jc w:val="center"/>
              <w:rPr>
                <w:sz w:val="20"/>
              </w:rPr>
            </w:pPr>
            <w:r>
              <w:rPr>
                <w:w w:val="99"/>
                <w:sz w:val="20"/>
              </w:rPr>
              <w:t>8</w:t>
            </w:r>
          </w:p>
        </w:tc>
        <w:tc>
          <w:tcPr>
            <w:tcW w:w="5484" w:type="dxa"/>
            <w:vMerge w:val="restart"/>
          </w:tcPr>
          <w:p>
            <w:pPr>
              <w:pStyle w:val="TableParagraph"/>
              <w:spacing w:before="38"/>
              <w:ind w:left="114" w:right="348"/>
              <w:rPr>
                <w:sz w:val="20"/>
              </w:rPr>
            </w:pPr>
            <w:r>
              <w:rPr>
                <w:sz w:val="20"/>
              </w:rPr>
              <w:t>Crystal Inputs. A 32 kHz crystal should be connected across these pins. Typically, a 15 pF capacitor is also connected from XIN to GNDA and a 10 pF capacitor is connected from XOUT to GNDA. It is important to minimize the capacitance between these pins. See the crystal manufacturer data sheet for details. If an external clock is used, a 150 mV (p-p) clock signal should be applied to XIN, and XOUT should be left unconnected.</w:t>
            </w:r>
          </w:p>
        </w:tc>
      </w:tr>
      <w:tr>
        <w:trPr>
          <w:trHeight w:val="966" w:hRule="atLeast"/>
        </w:trPr>
        <w:tc>
          <w:tcPr>
            <w:tcW w:w="919" w:type="dxa"/>
          </w:tcPr>
          <w:p>
            <w:pPr>
              <w:pStyle w:val="TableParagraph"/>
              <w:spacing w:before="7"/>
              <w:rPr>
                <w:b/>
                <w:sz w:val="31"/>
              </w:rPr>
            </w:pPr>
          </w:p>
          <w:p>
            <w:pPr>
              <w:pStyle w:val="TableParagraph"/>
              <w:ind w:right="338"/>
              <w:jc w:val="right"/>
              <w:rPr>
                <w:sz w:val="20"/>
              </w:rPr>
            </w:pPr>
            <w:r>
              <w:rPr>
                <w:w w:val="95"/>
                <w:sz w:val="20"/>
              </w:rPr>
              <w:t>76</w:t>
            </w:r>
          </w:p>
        </w:tc>
        <w:tc>
          <w:tcPr>
            <w:tcW w:w="1639" w:type="dxa"/>
          </w:tcPr>
          <w:p>
            <w:pPr>
              <w:pStyle w:val="TableParagraph"/>
              <w:spacing w:before="10"/>
              <w:rPr>
                <w:b/>
                <w:sz w:val="31"/>
              </w:rPr>
            </w:pPr>
          </w:p>
          <w:p>
            <w:pPr>
              <w:pStyle w:val="TableParagraph"/>
              <w:ind w:left="173" w:right="166"/>
              <w:jc w:val="center"/>
              <w:rPr>
                <w:sz w:val="20"/>
              </w:rPr>
            </w:pPr>
            <w:r>
              <w:rPr>
                <w:sz w:val="20"/>
              </w:rPr>
              <w:t>XOUT</w:t>
            </w:r>
          </w:p>
        </w:tc>
        <w:tc>
          <w:tcPr>
            <w:tcW w:w="684" w:type="dxa"/>
          </w:tcPr>
          <w:p>
            <w:pPr>
              <w:pStyle w:val="TableParagraph"/>
              <w:spacing w:before="10"/>
              <w:rPr>
                <w:b/>
                <w:sz w:val="31"/>
              </w:rPr>
            </w:pPr>
          </w:p>
          <w:p>
            <w:pPr>
              <w:pStyle w:val="TableParagraph"/>
              <w:ind w:left="9"/>
              <w:jc w:val="center"/>
              <w:rPr>
                <w:sz w:val="20"/>
              </w:rPr>
            </w:pPr>
            <w:r>
              <w:rPr>
                <w:w w:val="99"/>
                <w:sz w:val="20"/>
              </w:rPr>
              <w:t>O</w:t>
            </w:r>
          </w:p>
        </w:tc>
        <w:tc>
          <w:tcPr>
            <w:tcW w:w="850" w:type="dxa"/>
            <w:vMerge/>
            <w:tcBorders>
              <w:top w:val="nil"/>
            </w:tcBorders>
          </w:tcPr>
          <w:p>
            <w:pPr>
              <w:rPr>
                <w:sz w:val="2"/>
                <w:szCs w:val="2"/>
              </w:rPr>
            </w:pPr>
          </w:p>
        </w:tc>
        <w:tc>
          <w:tcPr>
            <w:tcW w:w="5484" w:type="dxa"/>
            <w:vMerge/>
            <w:tcBorders>
              <w:top w:val="nil"/>
            </w:tcBorders>
          </w:tcPr>
          <w:p>
            <w:pPr>
              <w:rPr>
                <w:sz w:val="2"/>
                <w:szCs w:val="2"/>
              </w:rPr>
            </w:pPr>
          </w:p>
        </w:tc>
      </w:tr>
    </w:tbl>
    <w:p>
      <w:pPr>
        <w:spacing w:after="0"/>
        <w:rPr>
          <w:sz w:val="2"/>
          <w:szCs w:val="2"/>
        </w:rPr>
        <w:sectPr>
          <w:pgSz w:w="12240" w:h="15840"/>
          <w:pgMar w:header="727" w:footer="819" w:top="1160" w:bottom="1000" w:left="960" w:right="940"/>
        </w:sectPr>
      </w:pPr>
    </w:p>
    <w:p>
      <w:pPr>
        <w:pStyle w:val="ListParagraph"/>
        <w:numPr>
          <w:ilvl w:val="2"/>
          <w:numId w:val="42"/>
        </w:numPr>
        <w:tabs>
          <w:tab w:pos="1199" w:val="left" w:leader="none"/>
          <w:tab w:pos="1200" w:val="left" w:leader="none"/>
        </w:tabs>
        <w:spacing w:line="240" w:lineRule="auto" w:before="88" w:after="0"/>
        <w:ind w:left="1199" w:right="0" w:hanging="720"/>
        <w:jc w:val="left"/>
        <w:rPr>
          <w:b/>
          <w:sz w:val="22"/>
        </w:rPr>
      </w:pPr>
      <w:bookmarkStart w:name="6.8.3 71M6543 Digital Pins" w:id="620"/>
      <w:bookmarkEnd w:id="620"/>
      <w:r>
        <w:rPr/>
      </w:r>
      <w:bookmarkStart w:name="_bookmark303" w:id="621"/>
      <w:bookmarkEnd w:id="621"/>
      <w:r>
        <w:rPr/>
      </w:r>
      <w:bookmarkStart w:name="_bookmark303" w:id="622"/>
      <w:bookmarkEnd w:id="622"/>
      <w:r>
        <w:rPr>
          <w:b/>
          <w:sz w:val="22"/>
        </w:rPr>
        <w:t>71</w:t>
      </w:r>
      <w:r>
        <w:rPr>
          <w:b/>
          <w:sz w:val="22"/>
        </w:rPr>
        <w:t>M6543 Digital Pins</w:t>
      </w:r>
    </w:p>
    <w:p>
      <w:pPr>
        <w:pStyle w:val="BodyText"/>
        <w:spacing w:before="82"/>
        <w:ind w:left="480" w:right="491"/>
      </w:pPr>
      <w:r>
        <w:rPr/>
        <w:t>Pin types: P = Power, O = Output, I = Input, I/O = Input/Output, N/C = no connect. The circuit number denotes the equivalent circuit, as specified in Section </w:t>
      </w:r>
      <w:hyperlink w:history="true" w:anchor="_bookmark305">
        <w:r>
          <w:rPr>
            <w:color w:val="0000FF"/>
          </w:rPr>
          <w:t>6.8.4</w:t>
        </w:r>
        <w:r>
          <w:rPr/>
          <w:t>.</w:t>
        </w:r>
      </w:hyperlink>
    </w:p>
    <w:p>
      <w:pPr>
        <w:pStyle w:val="Heading1"/>
        <w:spacing w:before="116"/>
        <w:ind w:left="777" w:right="797"/>
      </w:pPr>
      <w:bookmarkStart w:name="_bookmark304" w:id="623"/>
      <w:bookmarkEnd w:id="623"/>
      <w:r>
        <w:rPr>
          <w:b w:val="0"/>
        </w:rPr>
      </w:r>
      <w:r>
        <w:rPr/>
        <w:t>Table 112: 71M6543 Digital Pins</w:t>
      </w:r>
    </w:p>
    <w:p>
      <w:pPr>
        <w:pStyle w:val="BodyText"/>
        <w:spacing w:before="8"/>
        <w:rPr>
          <w:b/>
          <w:sz w:val="5"/>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2069"/>
        <w:gridCol w:w="720"/>
        <w:gridCol w:w="811"/>
        <w:gridCol w:w="5429"/>
      </w:tblGrid>
      <w:tr>
        <w:trPr>
          <w:trHeight w:val="309" w:hRule="atLeast"/>
        </w:trPr>
        <w:tc>
          <w:tcPr>
            <w:tcW w:w="1080" w:type="dxa"/>
          </w:tcPr>
          <w:p>
            <w:pPr>
              <w:pStyle w:val="TableParagraph"/>
              <w:spacing w:before="35"/>
              <w:ind w:left="65" w:right="59"/>
              <w:jc w:val="center"/>
              <w:rPr>
                <w:b/>
                <w:sz w:val="20"/>
              </w:rPr>
            </w:pPr>
            <w:r>
              <w:rPr>
                <w:b/>
                <w:sz w:val="20"/>
              </w:rPr>
              <w:t>Pin</w:t>
            </w:r>
          </w:p>
        </w:tc>
        <w:tc>
          <w:tcPr>
            <w:tcW w:w="2069" w:type="dxa"/>
          </w:tcPr>
          <w:p>
            <w:pPr>
              <w:pStyle w:val="TableParagraph"/>
              <w:spacing w:before="35"/>
              <w:ind w:left="66" w:right="62"/>
              <w:jc w:val="center"/>
              <w:rPr>
                <w:b/>
                <w:sz w:val="20"/>
              </w:rPr>
            </w:pPr>
            <w:r>
              <w:rPr>
                <w:b/>
                <w:sz w:val="20"/>
              </w:rPr>
              <w:t>Name</w:t>
            </w:r>
          </w:p>
        </w:tc>
        <w:tc>
          <w:tcPr>
            <w:tcW w:w="720" w:type="dxa"/>
          </w:tcPr>
          <w:p>
            <w:pPr>
              <w:pStyle w:val="TableParagraph"/>
              <w:spacing w:before="35"/>
              <w:ind w:left="128" w:right="74"/>
              <w:jc w:val="center"/>
              <w:rPr>
                <w:b/>
                <w:sz w:val="20"/>
              </w:rPr>
            </w:pPr>
            <w:r>
              <w:rPr>
                <w:b/>
                <w:sz w:val="20"/>
              </w:rPr>
              <w:t>Type</w:t>
            </w:r>
          </w:p>
        </w:tc>
        <w:tc>
          <w:tcPr>
            <w:tcW w:w="811" w:type="dxa"/>
          </w:tcPr>
          <w:p>
            <w:pPr>
              <w:pStyle w:val="TableParagraph"/>
              <w:spacing w:before="35"/>
              <w:ind w:left="75" w:right="51"/>
              <w:jc w:val="center"/>
              <w:rPr>
                <w:b/>
                <w:sz w:val="20"/>
              </w:rPr>
            </w:pPr>
            <w:r>
              <w:rPr>
                <w:b/>
                <w:sz w:val="20"/>
              </w:rPr>
              <w:t>Circuit</w:t>
            </w:r>
          </w:p>
        </w:tc>
        <w:tc>
          <w:tcPr>
            <w:tcW w:w="5429" w:type="dxa"/>
          </w:tcPr>
          <w:p>
            <w:pPr>
              <w:pStyle w:val="TableParagraph"/>
              <w:spacing w:before="35"/>
              <w:ind w:left="2273" w:right="2261"/>
              <w:jc w:val="center"/>
              <w:rPr>
                <w:b/>
                <w:sz w:val="20"/>
              </w:rPr>
            </w:pPr>
            <w:r>
              <w:rPr>
                <w:b/>
                <w:sz w:val="20"/>
              </w:rPr>
              <w:t>Function</w:t>
            </w:r>
          </w:p>
        </w:tc>
      </w:tr>
      <w:tr>
        <w:trPr>
          <w:trHeight w:val="482" w:hRule="atLeast"/>
        </w:trPr>
        <w:tc>
          <w:tcPr>
            <w:tcW w:w="1080" w:type="dxa"/>
          </w:tcPr>
          <w:p>
            <w:pPr>
              <w:pStyle w:val="TableParagraph"/>
              <w:spacing w:before="122"/>
              <w:ind w:left="65" w:right="56"/>
              <w:jc w:val="center"/>
              <w:rPr>
                <w:sz w:val="20"/>
              </w:rPr>
            </w:pPr>
            <w:r>
              <w:rPr>
                <w:sz w:val="20"/>
              </w:rPr>
              <w:t>12–15</w:t>
            </w:r>
          </w:p>
        </w:tc>
        <w:tc>
          <w:tcPr>
            <w:tcW w:w="2069" w:type="dxa"/>
          </w:tcPr>
          <w:p>
            <w:pPr>
              <w:pStyle w:val="TableParagraph"/>
              <w:spacing w:before="122"/>
              <w:ind w:left="64" w:right="62"/>
              <w:jc w:val="center"/>
              <w:rPr>
                <w:sz w:val="20"/>
              </w:rPr>
            </w:pPr>
            <w:r>
              <w:rPr>
                <w:sz w:val="20"/>
              </w:rPr>
              <w:t>COM0–COM3</w:t>
            </w:r>
          </w:p>
        </w:tc>
        <w:tc>
          <w:tcPr>
            <w:tcW w:w="720" w:type="dxa"/>
          </w:tcPr>
          <w:p>
            <w:pPr>
              <w:pStyle w:val="TableParagraph"/>
              <w:spacing w:before="122"/>
              <w:ind w:left="5"/>
              <w:jc w:val="center"/>
              <w:rPr>
                <w:sz w:val="20"/>
              </w:rPr>
            </w:pPr>
            <w:r>
              <w:rPr>
                <w:w w:val="99"/>
                <w:sz w:val="20"/>
              </w:rPr>
              <w:t>O</w:t>
            </w:r>
          </w:p>
        </w:tc>
        <w:tc>
          <w:tcPr>
            <w:tcW w:w="811" w:type="dxa"/>
          </w:tcPr>
          <w:p>
            <w:pPr>
              <w:pStyle w:val="TableParagraph"/>
              <w:spacing w:before="122"/>
              <w:ind w:left="4"/>
              <w:jc w:val="center"/>
              <w:rPr>
                <w:sz w:val="20"/>
              </w:rPr>
            </w:pPr>
            <w:r>
              <w:rPr>
                <w:w w:val="99"/>
                <w:sz w:val="20"/>
              </w:rPr>
              <w:t>5</w:t>
            </w:r>
          </w:p>
        </w:tc>
        <w:tc>
          <w:tcPr>
            <w:tcW w:w="5429" w:type="dxa"/>
          </w:tcPr>
          <w:p>
            <w:pPr>
              <w:pStyle w:val="TableParagraph"/>
              <w:spacing w:line="230" w:lineRule="auto" w:before="19"/>
              <w:ind w:left="86" w:right="177"/>
              <w:rPr>
                <w:sz w:val="20"/>
              </w:rPr>
            </w:pPr>
            <w:r>
              <w:rPr>
                <w:sz w:val="20"/>
              </w:rPr>
              <w:t>LCD Common Outputs. These four pins provide the select signals for the LCD display.</w:t>
            </w:r>
          </w:p>
        </w:tc>
      </w:tr>
      <w:tr>
        <w:trPr>
          <w:trHeight w:val="354" w:hRule="atLeast"/>
        </w:trPr>
        <w:tc>
          <w:tcPr>
            <w:tcW w:w="1080" w:type="dxa"/>
          </w:tcPr>
          <w:p>
            <w:pPr>
              <w:pStyle w:val="TableParagraph"/>
              <w:spacing w:before="62"/>
              <w:ind w:left="65" w:right="61"/>
              <w:jc w:val="center"/>
              <w:rPr>
                <w:sz w:val="20"/>
              </w:rPr>
            </w:pPr>
            <w:r>
              <w:rPr>
                <w:sz w:val="20"/>
              </w:rPr>
              <w:t>45</w:t>
            </w:r>
          </w:p>
        </w:tc>
        <w:tc>
          <w:tcPr>
            <w:tcW w:w="2069" w:type="dxa"/>
          </w:tcPr>
          <w:p>
            <w:pPr>
              <w:pStyle w:val="TableParagraph"/>
              <w:spacing w:before="59"/>
              <w:ind w:left="66" w:right="59"/>
              <w:jc w:val="center"/>
              <w:rPr>
                <w:sz w:val="20"/>
              </w:rPr>
            </w:pPr>
            <w:r>
              <w:rPr>
                <w:sz w:val="20"/>
              </w:rPr>
              <w:t>SEGDIO0/WPULSE</w:t>
            </w:r>
          </w:p>
        </w:tc>
        <w:tc>
          <w:tcPr>
            <w:tcW w:w="72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2"/>
              </w:rPr>
            </w:pPr>
          </w:p>
          <w:p>
            <w:pPr>
              <w:pStyle w:val="TableParagraph"/>
              <w:ind w:left="225"/>
              <w:rPr>
                <w:sz w:val="20"/>
              </w:rPr>
            </w:pPr>
            <w:r>
              <w:rPr>
                <w:sz w:val="20"/>
              </w:rPr>
              <w:t>I/O</w:t>
            </w:r>
          </w:p>
        </w:tc>
        <w:tc>
          <w:tcPr>
            <w:tcW w:w="811"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2"/>
              </w:rPr>
            </w:pPr>
          </w:p>
          <w:p>
            <w:pPr>
              <w:pStyle w:val="TableParagraph"/>
              <w:ind w:left="124"/>
              <w:rPr>
                <w:sz w:val="20"/>
              </w:rPr>
            </w:pPr>
            <w:r>
              <w:rPr>
                <w:sz w:val="20"/>
              </w:rPr>
              <w:t>3, 4, 5</w:t>
            </w:r>
          </w:p>
        </w:tc>
        <w:tc>
          <w:tcPr>
            <w:tcW w:w="5429"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45"/>
              <w:ind w:left="85" w:right="145"/>
              <w:rPr>
                <w:sz w:val="20"/>
              </w:rPr>
            </w:pPr>
            <w:r>
              <w:rPr>
                <w:sz w:val="20"/>
              </w:rPr>
              <w:t>Multiple-Use Pins. Configurable as either LCD segment driver or DIO. Alternative functions with proper selection of associated I/O RAM registers are:</w:t>
            </w:r>
          </w:p>
          <w:p>
            <w:pPr>
              <w:pStyle w:val="TableParagraph"/>
              <w:ind w:left="85" w:right="2941"/>
              <w:rPr>
                <w:sz w:val="20"/>
              </w:rPr>
            </w:pPr>
            <w:r>
              <w:rPr>
                <w:sz w:val="20"/>
              </w:rPr>
              <w:t>SEGDIO0 = WPULSE (45) SEGDIO1 = VPULSE (44) SEGDIO2 = SDCK (43) SEGDIO3 = SDATA (42) SEGDIO6 = XPULSE (38) SEGDIO7 = YPULSE (37) SEGDIO8 = DI (36)</w:t>
            </w:r>
          </w:p>
          <w:p>
            <w:pPr>
              <w:pStyle w:val="TableParagraph"/>
              <w:spacing w:before="10"/>
              <w:rPr>
                <w:b/>
                <w:sz w:val="19"/>
              </w:rPr>
            </w:pPr>
          </w:p>
          <w:p>
            <w:pPr>
              <w:pStyle w:val="TableParagraph"/>
              <w:ind w:left="85" w:right="177"/>
              <w:rPr>
                <w:b/>
                <w:sz w:val="20"/>
              </w:rPr>
            </w:pPr>
            <w:r>
              <w:rPr>
                <w:b/>
                <w:sz w:val="20"/>
              </w:rPr>
              <w:t>Unused pins must be configured as outputs or terminated to V3P3/GNDD.</w:t>
            </w:r>
          </w:p>
        </w:tc>
      </w:tr>
      <w:tr>
        <w:trPr>
          <w:trHeight w:val="352" w:hRule="atLeast"/>
        </w:trPr>
        <w:tc>
          <w:tcPr>
            <w:tcW w:w="1080" w:type="dxa"/>
          </w:tcPr>
          <w:p>
            <w:pPr>
              <w:pStyle w:val="TableParagraph"/>
              <w:spacing w:before="59"/>
              <w:ind w:left="65" w:right="61"/>
              <w:jc w:val="center"/>
              <w:rPr>
                <w:sz w:val="20"/>
              </w:rPr>
            </w:pPr>
            <w:r>
              <w:rPr>
                <w:sz w:val="20"/>
              </w:rPr>
              <w:t>44</w:t>
            </w:r>
          </w:p>
        </w:tc>
        <w:tc>
          <w:tcPr>
            <w:tcW w:w="2069" w:type="dxa"/>
          </w:tcPr>
          <w:p>
            <w:pPr>
              <w:pStyle w:val="TableParagraph"/>
              <w:spacing w:before="59"/>
              <w:ind w:left="66" w:right="59"/>
              <w:jc w:val="center"/>
              <w:rPr>
                <w:sz w:val="20"/>
              </w:rPr>
            </w:pPr>
            <w:r>
              <w:rPr>
                <w:sz w:val="20"/>
              </w:rPr>
              <w:t>SEGDIO1/VPULSE</w:t>
            </w:r>
          </w:p>
        </w:tc>
        <w:tc>
          <w:tcPr>
            <w:tcW w:w="720" w:type="dxa"/>
            <w:vMerge/>
            <w:tcBorders>
              <w:top w:val="nil"/>
            </w:tcBorders>
          </w:tcPr>
          <w:p>
            <w:pPr>
              <w:rPr>
                <w:sz w:val="2"/>
                <w:szCs w:val="2"/>
              </w:rPr>
            </w:pPr>
          </w:p>
        </w:tc>
        <w:tc>
          <w:tcPr>
            <w:tcW w:w="811" w:type="dxa"/>
            <w:vMerge/>
            <w:tcBorders>
              <w:top w:val="nil"/>
            </w:tcBorders>
          </w:tcPr>
          <w:p>
            <w:pPr>
              <w:rPr>
                <w:sz w:val="2"/>
                <w:szCs w:val="2"/>
              </w:rPr>
            </w:pPr>
          </w:p>
        </w:tc>
        <w:tc>
          <w:tcPr>
            <w:tcW w:w="5429" w:type="dxa"/>
            <w:vMerge/>
            <w:tcBorders>
              <w:top w:val="nil"/>
            </w:tcBorders>
          </w:tcPr>
          <w:p>
            <w:pPr>
              <w:rPr>
                <w:sz w:val="2"/>
                <w:szCs w:val="2"/>
              </w:rPr>
            </w:pPr>
          </w:p>
        </w:tc>
      </w:tr>
      <w:tr>
        <w:trPr>
          <w:trHeight w:val="354" w:hRule="atLeast"/>
        </w:trPr>
        <w:tc>
          <w:tcPr>
            <w:tcW w:w="1080" w:type="dxa"/>
          </w:tcPr>
          <w:p>
            <w:pPr>
              <w:pStyle w:val="TableParagraph"/>
              <w:spacing w:before="59"/>
              <w:ind w:left="65" w:right="61"/>
              <w:jc w:val="center"/>
              <w:rPr>
                <w:sz w:val="20"/>
              </w:rPr>
            </w:pPr>
            <w:r>
              <w:rPr>
                <w:sz w:val="20"/>
              </w:rPr>
              <w:t>43</w:t>
            </w:r>
          </w:p>
        </w:tc>
        <w:tc>
          <w:tcPr>
            <w:tcW w:w="2069" w:type="dxa"/>
          </w:tcPr>
          <w:p>
            <w:pPr>
              <w:pStyle w:val="TableParagraph"/>
              <w:spacing w:before="61"/>
              <w:ind w:left="66" w:right="56"/>
              <w:jc w:val="center"/>
              <w:rPr>
                <w:sz w:val="20"/>
              </w:rPr>
            </w:pPr>
            <w:r>
              <w:rPr>
                <w:sz w:val="20"/>
              </w:rPr>
              <w:t>SEGDIO2/SDCK</w:t>
            </w:r>
          </w:p>
        </w:tc>
        <w:tc>
          <w:tcPr>
            <w:tcW w:w="720" w:type="dxa"/>
            <w:vMerge/>
            <w:tcBorders>
              <w:top w:val="nil"/>
            </w:tcBorders>
          </w:tcPr>
          <w:p>
            <w:pPr>
              <w:rPr>
                <w:sz w:val="2"/>
                <w:szCs w:val="2"/>
              </w:rPr>
            </w:pPr>
          </w:p>
        </w:tc>
        <w:tc>
          <w:tcPr>
            <w:tcW w:w="811" w:type="dxa"/>
            <w:vMerge/>
            <w:tcBorders>
              <w:top w:val="nil"/>
            </w:tcBorders>
          </w:tcPr>
          <w:p>
            <w:pPr>
              <w:rPr>
                <w:sz w:val="2"/>
                <w:szCs w:val="2"/>
              </w:rPr>
            </w:pPr>
          </w:p>
        </w:tc>
        <w:tc>
          <w:tcPr>
            <w:tcW w:w="5429" w:type="dxa"/>
            <w:vMerge/>
            <w:tcBorders>
              <w:top w:val="nil"/>
            </w:tcBorders>
          </w:tcPr>
          <w:p>
            <w:pPr>
              <w:rPr>
                <w:sz w:val="2"/>
                <w:szCs w:val="2"/>
              </w:rPr>
            </w:pPr>
          </w:p>
        </w:tc>
      </w:tr>
      <w:tr>
        <w:trPr>
          <w:trHeight w:val="354" w:hRule="atLeast"/>
        </w:trPr>
        <w:tc>
          <w:tcPr>
            <w:tcW w:w="1080" w:type="dxa"/>
          </w:tcPr>
          <w:p>
            <w:pPr>
              <w:pStyle w:val="TableParagraph"/>
              <w:spacing w:before="59"/>
              <w:ind w:left="65" w:right="61"/>
              <w:jc w:val="center"/>
              <w:rPr>
                <w:sz w:val="20"/>
              </w:rPr>
            </w:pPr>
            <w:r>
              <w:rPr>
                <w:sz w:val="20"/>
              </w:rPr>
              <w:t>42</w:t>
            </w:r>
          </w:p>
        </w:tc>
        <w:tc>
          <w:tcPr>
            <w:tcW w:w="2069" w:type="dxa"/>
          </w:tcPr>
          <w:p>
            <w:pPr>
              <w:pStyle w:val="TableParagraph"/>
              <w:spacing w:before="62"/>
              <w:ind w:left="66" w:right="59"/>
              <w:jc w:val="center"/>
              <w:rPr>
                <w:sz w:val="20"/>
              </w:rPr>
            </w:pPr>
            <w:r>
              <w:rPr>
                <w:sz w:val="20"/>
              </w:rPr>
              <w:t>SEGDIO3/SDATA</w:t>
            </w:r>
          </w:p>
        </w:tc>
        <w:tc>
          <w:tcPr>
            <w:tcW w:w="720" w:type="dxa"/>
            <w:vMerge/>
            <w:tcBorders>
              <w:top w:val="nil"/>
            </w:tcBorders>
          </w:tcPr>
          <w:p>
            <w:pPr>
              <w:rPr>
                <w:sz w:val="2"/>
                <w:szCs w:val="2"/>
              </w:rPr>
            </w:pPr>
          </w:p>
        </w:tc>
        <w:tc>
          <w:tcPr>
            <w:tcW w:w="811" w:type="dxa"/>
            <w:vMerge/>
            <w:tcBorders>
              <w:top w:val="nil"/>
            </w:tcBorders>
          </w:tcPr>
          <w:p>
            <w:pPr>
              <w:rPr>
                <w:sz w:val="2"/>
                <w:szCs w:val="2"/>
              </w:rPr>
            </w:pPr>
          </w:p>
        </w:tc>
        <w:tc>
          <w:tcPr>
            <w:tcW w:w="5429" w:type="dxa"/>
            <w:vMerge/>
            <w:tcBorders>
              <w:top w:val="nil"/>
            </w:tcBorders>
          </w:tcPr>
          <w:p>
            <w:pPr>
              <w:rPr>
                <w:sz w:val="2"/>
                <w:szCs w:val="2"/>
              </w:rPr>
            </w:pPr>
          </w:p>
        </w:tc>
      </w:tr>
      <w:tr>
        <w:trPr>
          <w:trHeight w:val="352" w:hRule="atLeast"/>
        </w:trPr>
        <w:tc>
          <w:tcPr>
            <w:tcW w:w="1080" w:type="dxa"/>
          </w:tcPr>
          <w:p>
            <w:pPr>
              <w:pStyle w:val="TableParagraph"/>
              <w:spacing w:before="59"/>
              <w:ind w:left="65" w:right="61"/>
              <w:jc w:val="center"/>
              <w:rPr>
                <w:sz w:val="20"/>
              </w:rPr>
            </w:pPr>
            <w:r>
              <w:rPr>
                <w:sz w:val="20"/>
              </w:rPr>
              <w:t>41</w:t>
            </w:r>
          </w:p>
        </w:tc>
        <w:tc>
          <w:tcPr>
            <w:tcW w:w="2069" w:type="dxa"/>
          </w:tcPr>
          <w:p>
            <w:pPr>
              <w:pStyle w:val="TableParagraph"/>
              <w:spacing w:before="59"/>
              <w:ind w:left="66" w:right="58"/>
              <w:jc w:val="center"/>
              <w:rPr>
                <w:sz w:val="20"/>
              </w:rPr>
            </w:pPr>
            <w:r>
              <w:rPr>
                <w:sz w:val="20"/>
              </w:rPr>
              <w:t>SEGDIO4</w:t>
            </w:r>
          </w:p>
        </w:tc>
        <w:tc>
          <w:tcPr>
            <w:tcW w:w="720" w:type="dxa"/>
            <w:vMerge/>
            <w:tcBorders>
              <w:top w:val="nil"/>
            </w:tcBorders>
          </w:tcPr>
          <w:p>
            <w:pPr>
              <w:rPr>
                <w:sz w:val="2"/>
                <w:szCs w:val="2"/>
              </w:rPr>
            </w:pPr>
          </w:p>
        </w:tc>
        <w:tc>
          <w:tcPr>
            <w:tcW w:w="811" w:type="dxa"/>
            <w:vMerge/>
            <w:tcBorders>
              <w:top w:val="nil"/>
            </w:tcBorders>
          </w:tcPr>
          <w:p>
            <w:pPr>
              <w:rPr>
                <w:sz w:val="2"/>
                <w:szCs w:val="2"/>
              </w:rPr>
            </w:pPr>
          </w:p>
        </w:tc>
        <w:tc>
          <w:tcPr>
            <w:tcW w:w="5429" w:type="dxa"/>
            <w:vMerge/>
            <w:tcBorders>
              <w:top w:val="nil"/>
            </w:tcBorders>
          </w:tcPr>
          <w:p>
            <w:pPr>
              <w:rPr>
                <w:sz w:val="2"/>
                <w:szCs w:val="2"/>
              </w:rPr>
            </w:pPr>
          </w:p>
        </w:tc>
      </w:tr>
      <w:tr>
        <w:trPr>
          <w:trHeight w:val="354" w:hRule="atLeast"/>
        </w:trPr>
        <w:tc>
          <w:tcPr>
            <w:tcW w:w="1080" w:type="dxa"/>
          </w:tcPr>
          <w:p>
            <w:pPr>
              <w:pStyle w:val="TableParagraph"/>
              <w:spacing w:before="59"/>
              <w:ind w:left="65" w:right="61"/>
              <w:jc w:val="center"/>
              <w:rPr>
                <w:sz w:val="20"/>
              </w:rPr>
            </w:pPr>
            <w:r>
              <w:rPr>
                <w:sz w:val="20"/>
              </w:rPr>
              <w:t>39</w:t>
            </w:r>
          </w:p>
        </w:tc>
        <w:tc>
          <w:tcPr>
            <w:tcW w:w="2069" w:type="dxa"/>
          </w:tcPr>
          <w:p>
            <w:pPr>
              <w:pStyle w:val="TableParagraph"/>
              <w:spacing w:before="62"/>
              <w:ind w:left="66" w:right="58"/>
              <w:jc w:val="center"/>
              <w:rPr>
                <w:sz w:val="20"/>
              </w:rPr>
            </w:pPr>
            <w:r>
              <w:rPr>
                <w:sz w:val="20"/>
              </w:rPr>
              <w:t>SEGDIO5</w:t>
            </w:r>
          </w:p>
        </w:tc>
        <w:tc>
          <w:tcPr>
            <w:tcW w:w="720" w:type="dxa"/>
            <w:vMerge/>
            <w:tcBorders>
              <w:top w:val="nil"/>
            </w:tcBorders>
          </w:tcPr>
          <w:p>
            <w:pPr>
              <w:rPr>
                <w:sz w:val="2"/>
                <w:szCs w:val="2"/>
              </w:rPr>
            </w:pPr>
          </w:p>
        </w:tc>
        <w:tc>
          <w:tcPr>
            <w:tcW w:w="811" w:type="dxa"/>
            <w:vMerge/>
            <w:tcBorders>
              <w:top w:val="nil"/>
            </w:tcBorders>
          </w:tcPr>
          <w:p>
            <w:pPr>
              <w:rPr>
                <w:sz w:val="2"/>
                <w:szCs w:val="2"/>
              </w:rPr>
            </w:pPr>
          </w:p>
        </w:tc>
        <w:tc>
          <w:tcPr>
            <w:tcW w:w="5429" w:type="dxa"/>
            <w:vMerge/>
            <w:tcBorders>
              <w:top w:val="nil"/>
            </w:tcBorders>
          </w:tcPr>
          <w:p>
            <w:pPr>
              <w:rPr>
                <w:sz w:val="2"/>
                <w:szCs w:val="2"/>
              </w:rPr>
            </w:pPr>
          </w:p>
        </w:tc>
      </w:tr>
      <w:tr>
        <w:trPr>
          <w:trHeight w:val="354" w:hRule="atLeast"/>
        </w:trPr>
        <w:tc>
          <w:tcPr>
            <w:tcW w:w="1080" w:type="dxa"/>
          </w:tcPr>
          <w:p>
            <w:pPr>
              <w:pStyle w:val="TableParagraph"/>
              <w:spacing w:before="59"/>
              <w:ind w:left="65" w:right="61"/>
              <w:jc w:val="center"/>
              <w:rPr>
                <w:sz w:val="20"/>
              </w:rPr>
            </w:pPr>
            <w:r>
              <w:rPr>
                <w:sz w:val="20"/>
              </w:rPr>
              <w:t>38</w:t>
            </w:r>
          </w:p>
        </w:tc>
        <w:tc>
          <w:tcPr>
            <w:tcW w:w="2069" w:type="dxa"/>
          </w:tcPr>
          <w:p>
            <w:pPr>
              <w:pStyle w:val="TableParagraph"/>
              <w:spacing w:before="61"/>
              <w:ind w:left="66" w:right="59"/>
              <w:jc w:val="center"/>
              <w:rPr>
                <w:sz w:val="20"/>
              </w:rPr>
            </w:pPr>
            <w:r>
              <w:rPr>
                <w:sz w:val="20"/>
              </w:rPr>
              <w:t>SEGDIO6/XPULSE</w:t>
            </w:r>
          </w:p>
        </w:tc>
        <w:tc>
          <w:tcPr>
            <w:tcW w:w="720" w:type="dxa"/>
            <w:vMerge/>
            <w:tcBorders>
              <w:top w:val="nil"/>
            </w:tcBorders>
          </w:tcPr>
          <w:p>
            <w:pPr>
              <w:rPr>
                <w:sz w:val="2"/>
                <w:szCs w:val="2"/>
              </w:rPr>
            </w:pPr>
          </w:p>
        </w:tc>
        <w:tc>
          <w:tcPr>
            <w:tcW w:w="811" w:type="dxa"/>
            <w:vMerge/>
            <w:tcBorders>
              <w:top w:val="nil"/>
            </w:tcBorders>
          </w:tcPr>
          <w:p>
            <w:pPr>
              <w:rPr>
                <w:sz w:val="2"/>
                <w:szCs w:val="2"/>
              </w:rPr>
            </w:pPr>
          </w:p>
        </w:tc>
        <w:tc>
          <w:tcPr>
            <w:tcW w:w="5429" w:type="dxa"/>
            <w:vMerge/>
            <w:tcBorders>
              <w:top w:val="nil"/>
            </w:tcBorders>
          </w:tcPr>
          <w:p>
            <w:pPr>
              <w:rPr>
                <w:sz w:val="2"/>
                <w:szCs w:val="2"/>
              </w:rPr>
            </w:pPr>
          </w:p>
        </w:tc>
      </w:tr>
      <w:tr>
        <w:trPr>
          <w:trHeight w:val="352" w:hRule="atLeast"/>
        </w:trPr>
        <w:tc>
          <w:tcPr>
            <w:tcW w:w="1080" w:type="dxa"/>
          </w:tcPr>
          <w:p>
            <w:pPr>
              <w:pStyle w:val="TableParagraph"/>
              <w:spacing w:before="59"/>
              <w:ind w:left="65" w:right="61"/>
              <w:jc w:val="center"/>
              <w:rPr>
                <w:sz w:val="20"/>
              </w:rPr>
            </w:pPr>
            <w:r>
              <w:rPr>
                <w:sz w:val="20"/>
              </w:rPr>
              <w:t>37</w:t>
            </w:r>
          </w:p>
        </w:tc>
        <w:tc>
          <w:tcPr>
            <w:tcW w:w="2069" w:type="dxa"/>
          </w:tcPr>
          <w:p>
            <w:pPr>
              <w:pStyle w:val="TableParagraph"/>
              <w:spacing w:before="59"/>
              <w:ind w:left="66" w:right="59"/>
              <w:jc w:val="center"/>
              <w:rPr>
                <w:sz w:val="20"/>
              </w:rPr>
            </w:pPr>
            <w:r>
              <w:rPr>
                <w:sz w:val="20"/>
              </w:rPr>
              <w:t>SEGDIO7/YPULSE</w:t>
            </w:r>
          </w:p>
        </w:tc>
        <w:tc>
          <w:tcPr>
            <w:tcW w:w="720" w:type="dxa"/>
            <w:vMerge/>
            <w:tcBorders>
              <w:top w:val="nil"/>
            </w:tcBorders>
          </w:tcPr>
          <w:p>
            <w:pPr>
              <w:rPr>
                <w:sz w:val="2"/>
                <w:szCs w:val="2"/>
              </w:rPr>
            </w:pPr>
          </w:p>
        </w:tc>
        <w:tc>
          <w:tcPr>
            <w:tcW w:w="811" w:type="dxa"/>
            <w:vMerge/>
            <w:tcBorders>
              <w:top w:val="nil"/>
            </w:tcBorders>
          </w:tcPr>
          <w:p>
            <w:pPr>
              <w:rPr>
                <w:sz w:val="2"/>
                <w:szCs w:val="2"/>
              </w:rPr>
            </w:pPr>
          </w:p>
        </w:tc>
        <w:tc>
          <w:tcPr>
            <w:tcW w:w="5429" w:type="dxa"/>
            <w:vMerge/>
            <w:tcBorders>
              <w:top w:val="nil"/>
            </w:tcBorders>
          </w:tcPr>
          <w:p>
            <w:pPr>
              <w:rPr>
                <w:sz w:val="2"/>
                <w:szCs w:val="2"/>
              </w:rPr>
            </w:pPr>
          </w:p>
        </w:tc>
      </w:tr>
      <w:tr>
        <w:trPr>
          <w:trHeight w:val="354" w:hRule="atLeast"/>
        </w:trPr>
        <w:tc>
          <w:tcPr>
            <w:tcW w:w="1080" w:type="dxa"/>
          </w:tcPr>
          <w:p>
            <w:pPr>
              <w:pStyle w:val="TableParagraph"/>
              <w:spacing w:before="59"/>
              <w:ind w:left="65" w:right="61"/>
              <w:jc w:val="center"/>
              <w:rPr>
                <w:sz w:val="20"/>
              </w:rPr>
            </w:pPr>
            <w:r>
              <w:rPr>
                <w:sz w:val="20"/>
              </w:rPr>
              <w:t>36</w:t>
            </w:r>
          </w:p>
        </w:tc>
        <w:tc>
          <w:tcPr>
            <w:tcW w:w="2069" w:type="dxa"/>
          </w:tcPr>
          <w:p>
            <w:pPr>
              <w:pStyle w:val="TableParagraph"/>
              <w:spacing w:before="61"/>
              <w:ind w:left="64" w:right="62"/>
              <w:jc w:val="center"/>
              <w:rPr>
                <w:sz w:val="20"/>
              </w:rPr>
            </w:pPr>
            <w:r>
              <w:rPr>
                <w:sz w:val="20"/>
              </w:rPr>
              <w:t>SEGDIO8/DI</w:t>
            </w:r>
          </w:p>
        </w:tc>
        <w:tc>
          <w:tcPr>
            <w:tcW w:w="720" w:type="dxa"/>
            <w:vMerge/>
            <w:tcBorders>
              <w:top w:val="nil"/>
            </w:tcBorders>
          </w:tcPr>
          <w:p>
            <w:pPr>
              <w:rPr>
                <w:sz w:val="2"/>
                <w:szCs w:val="2"/>
              </w:rPr>
            </w:pPr>
          </w:p>
        </w:tc>
        <w:tc>
          <w:tcPr>
            <w:tcW w:w="811" w:type="dxa"/>
            <w:vMerge/>
            <w:tcBorders>
              <w:top w:val="nil"/>
            </w:tcBorders>
          </w:tcPr>
          <w:p>
            <w:pPr>
              <w:rPr>
                <w:sz w:val="2"/>
                <w:szCs w:val="2"/>
              </w:rPr>
            </w:pPr>
          </w:p>
        </w:tc>
        <w:tc>
          <w:tcPr>
            <w:tcW w:w="5429" w:type="dxa"/>
            <w:vMerge/>
            <w:tcBorders>
              <w:top w:val="nil"/>
            </w:tcBorders>
          </w:tcPr>
          <w:p>
            <w:pPr>
              <w:rPr>
                <w:sz w:val="2"/>
                <w:szCs w:val="2"/>
              </w:rPr>
            </w:pPr>
          </w:p>
        </w:tc>
      </w:tr>
      <w:tr>
        <w:trPr>
          <w:trHeight w:val="354" w:hRule="atLeast"/>
        </w:trPr>
        <w:tc>
          <w:tcPr>
            <w:tcW w:w="1080" w:type="dxa"/>
          </w:tcPr>
          <w:p>
            <w:pPr>
              <w:pStyle w:val="TableParagraph"/>
              <w:spacing w:before="59"/>
              <w:ind w:left="65" w:right="56"/>
              <w:jc w:val="center"/>
              <w:rPr>
                <w:sz w:val="20"/>
              </w:rPr>
            </w:pPr>
            <w:r>
              <w:rPr>
                <w:sz w:val="20"/>
              </w:rPr>
              <w:t>35–27</w:t>
            </w:r>
          </w:p>
        </w:tc>
        <w:tc>
          <w:tcPr>
            <w:tcW w:w="2069" w:type="dxa"/>
          </w:tcPr>
          <w:p>
            <w:pPr>
              <w:pStyle w:val="TableParagraph"/>
              <w:spacing w:before="62"/>
              <w:ind w:left="66" w:right="57"/>
              <w:jc w:val="center"/>
              <w:rPr>
                <w:sz w:val="20"/>
              </w:rPr>
            </w:pPr>
            <w:r>
              <w:rPr>
                <w:sz w:val="20"/>
              </w:rPr>
              <w:t>SEGDIO[9:17]</w:t>
            </w:r>
          </w:p>
        </w:tc>
        <w:tc>
          <w:tcPr>
            <w:tcW w:w="720" w:type="dxa"/>
            <w:vMerge/>
            <w:tcBorders>
              <w:top w:val="nil"/>
            </w:tcBorders>
          </w:tcPr>
          <w:p>
            <w:pPr>
              <w:rPr>
                <w:sz w:val="2"/>
                <w:szCs w:val="2"/>
              </w:rPr>
            </w:pPr>
          </w:p>
        </w:tc>
        <w:tc>
          <w:tcPr>
            <w:tcW w:w="811" w:type="dxa"/>
            <w:vMerge/>
            <w:tcBorders>
              <w:top w:val="nil"/>
            </w:tcBorders>
          </w:tcPr>
          <w:p>
            <w:pPr>
              <w:rPr>
                <w:sz w:val="2"/>
                <w:szCs w:val="2"/>
              </w:rPr>
            </w:pPr>
          </w:p>
        </w:tc>
        <w:tc>
          <w:tcPr>
            <w:tcW w:w="5429" w:type="dxa"/>
            <w:vMerge/>
            <w:tcBorders>
              <w:top w:val="nil"/>
            </w:tcBorders>
          </w:tcPr>
          <w:p>
            <w:pPr>
              <w:rPr>
                <w:sz w:val="2"/>
                <w:szCs w:val="2"/>
              </w:rPr>
            </w:pPr>
          </w:p>
        </w:tc>
      </w:tr>
      <w:tr>
        <w:trPr>
          <w:trHeight w:val="352" w:hRule="atLeast"/>
        </w:trPr>
        <w:tc>
          <w:tcPr>
            <w:tcW w:w="1080" w:type="dxa"/>
          </w:tcPr>
          <w:p>
            <w:pPr>
              <w:pStyle w:val="TableParagraph"/>
              <w:spacing w:before="59"/>
              <w:ind w:left="65" w:right="56"/>
              <w:jc w:val="center"/>
              <w:rPr>
                <w:sz w:val="20"/>
              </w:rPr>
            </w:pPr>
            <w:r>
              <w:rPr>
                <w:sz w:val="20"/>
              </w:rPr>
              <w:t>25–18</w:t>
            </w:r>
          </w:p>
        </w:tc>
        <w:tc>
          <w:tcPr>
            <w:tcW w:w="2069" w:type="dxa"/>
          </w:tcPr>
          <w:p>
            <w:pPr>
              <w:pStyle w:val="TableParagraph"/>
              <w:spacing w:before="59"/>
              <w:ind w:left="63" w:right="62"/>
              <w:jc w:val="center"/>
              <w:rPr>
                <w:sz w:val="20"/>
              </w:rPr>
            </w:pPr>
            <w:r>
              <w:rPr>
                <w:sz w:val="20"/>
              </w:rPr>
              <w:t>SEGDIO[18:25]</w:t>
            </w:r>
          </w:p>
        </w:tc>
        <w:tc>
          <w:tcPr>
            <w:tcW w:w="720" w:type="dxa"/>
            <w:vMerge/>
            <w:tcBorders>
              <w:top w:val="nil"/>
            </w:tcBorders>
          </w:tcPr>
          <w:p>
            <w:pPr>
              <w:rPr>
                <w:sz w:val="2"/>
                <w:szCs w:val="2"/>
              </w:rPr>
            </w:pPr>
          </w:p>
        </w:tc>
        <w:tc>
          <w:tcPr>
            <w:tcW w:w="811" w:type="dxa"/>
            <w:vMerge/>
            <w:tcBorders>
              <w:top w:val="nil"/>
            </w:tcBorders>
          </w:tcPr>
          <w:p>
            <w:pPr>
              <w:rPr>
                <w:sz w:val="2"/>
                <w:szCs w:val="2"/>
              </w:rPr>
            </w:pPr>
          </w:p>
        </w:tc>
        <w:tc>
          <w:tcPr>
            <w:tcW w:w="5429" w:type="dxa"/>
            <w:vMerge/>
            <w:tcBorders>
              <w:top w:val="nil"/>
            </w:tcBorders>
          </w:tcPr>
          <w:p>
            <w:pPr>
              <w:rPr>
                <w:sz w:val="2"/>
                <w:szCs w:val="2"/>
              </w:rPr>
            </w:pPr>
          </w:p>
        </w:tc>
      </w:tr>
      <w:tr>
        <w:trPr>
          <w:trHeight w:val="354" w:hRule="atLeast"/>
        </w:trPr>
        <w:tc>
          <w:tcPr>
            <w:tcW w:w="1080" w:type="dxa"/>
          </w:tcPr>
          <w:p>
            <w:pPr>
              <w:pStyle w:val="TableParagraph"/>
              <w:spacing w:before="59"/>
              <w:ind w:left="65" w:right="56"/>
              <w:jc w:val="center"/>
              <w:rPr>
                <w:sz w:val="20"/>
              </w:rPr>
            </w:pPr>
            <w:r>
              <w:rPr>
                <w:sz w:val="20"/>
              </w:rPr>
              <w:t>11–4</w:t>
            </w:r>
          </w:p>
        </w:tc>
        <w:tc>
          <w:tcPr>
            <w:tcW w:w="2069" w:type="dxa"/>
          </w:tcPr>
          <w:p>
            <w:pPr>
              <w:pStyle w:val="TableParagraph"/>
              <w:spacing w:before="61"/>
              <w:ind w:left="63" w:right="62"/>
              <w:jc w:val="center"/>
              <w:rPr>
                <w:sz w:val="20"/>
              </w:rPr>
            </w:pPr>
            <w:r>
              <w:rPr>
                <w:sz w:val="20"/>
              </w:rPr>
              <w:t>SEGDIO[28:35]</w:t>
            </w:r>
          </w:p>
        </w:tc>
        <w:tc>
          <w:tcPr>
            <w:tcW w:w="720" w:type="dxa"/>
            <w:vMerge/>
            <w:tcBorders>
              <w:top w:val="nil"/>
            </w:tcBorders>
          </w:tcPr>
          <w:p>
            <w:pPr>
              <w:rPr>
                <w:sz w:val="2"/>
                <w:szCs w:val="2"/>
              </w:rPr>
            </w:pPr>
          </w:p>
        </w:tc>
        <w:tc>
          <w:tcPr>
            <w:tcW w:w="811" w:type="dxa"/>
            <w:vMerge/>
            <w:tcBorders>
              <w:top w:val="nil"/>
            </w:tcBorders>
          </w:tcPr>
          <w:p>
            <w:pPr>
              <w:rPr>
                <w:sz w:val="2"/>
                <w:szCs w:val="2"/>
              </w:rPr>
            </w:pPr>
          </w:p>
        </w:tc>
        <w:tc>
          <w:tcPr>
            <w:tcW w:w="5429" w:type="dxa"/>
            <w:vMerge/>
            <w:tcBorders>
              <w:top w:val="nil"/>
            </w:tcBorders>
          </w:tcPr>
          <w:p>
            <w:pPr>
              <w:rPr>
                <w:sz w:val="2"/>
                <w:szCs w:val="2"/>
              </w:rPr>
            </w:pPr>
          </w:p>
        </w:tc>
      </w:tr>
      <w:tr>
        <w:trPr>
          <w:trHeight w:val="354" w:hRule="atLeast"/>
        </w:trPr>
        <w:tc>
          <w:tcPr>
            <w:tcW w:w="1080" w:type="dxa"/>
          </w:tcPr>
          <w:p>
            <w:pPr>
              <w:pStyle w:val="TableParagraph"/>
              <w:spacing w:before="59"/>
              <w:ind w:left="65" w:right="56"/>
              <w:jc w:val="center"/>
              <w:rPr>
                <w:sz w:val="20"/>
              </w:rPr>
            </w:pPr>
            <w:r>
              <w:rPr>
                <w:sz w:val="20"/>
              </w:rPr>
              <w:t>99–94</w:t>
            </w:r>
          </w:p>
        </w:tc>
        <w:tc>
          <w:tcPr>
            <w:tcW w:w="2069" w:type="dxa"/>
          </w:tcPr>
          <w:p>
            <w:pPr>
              <w:pStyle w:val="TableParagraph"/>
              <w:spacing w:before="62"/>
              <w:ind w:left="63" w:right="62"/>
              <w:jc w:val="center"/>
              <w:rPr>
                <w:sz w:val="20"/>
              </w:rPr>
            </w:pPr>
            <w:r>
              <w:rPr>
                <w:sz w:val="20"/>
              </w:rPr>
              <w:t>SEGDIO[40:45]</w:t>
            </w:r>
          </w:p>
        </w:tc>
        <w:tc>
          <w:tcPr>
            <w:tcW w:w="720" w:type="dxa"/>
            <w:vMerge/>
            <w:tcBorders>
              <w:top w:val="nil"/>
            </w:tcBorders>
          </w:tcPr>
          <w:p>
            <w:pPr>
              <w:rPr>
                <w:sz w:val="2"/>
                <w:szCs w:val="2"/>
              </w:rPr>
            </w:pPr>
          </w:p>
        </w:tc>
        <w:tc>
          <w:tcPr>
            <w:tcW w:w="811" w:type="dxa"/>
            <w:vMerge/>
            <w:tcBorders>
              <w:top w:val="nil"/>
            </w:tcBorders>
          </w:tcPr>
          <w:p>
            <w:pPr>
              <w:rPr>
                <w:sz w:val="2"/>
                <w:szCs w:val="2"/>
              </w:rPr>
            </w:pPr>
          </w:p>
        </w:tc>
        <w:tc>
          <w:tcPr>
            <w:tcW w:w="5429" w:type="dxa"/>
            <w:vMerge/>
            <w:tcBorders>
              <w:top w:val="nil"/>
            </w:tcBorders>
          </w:tcPr>
          <w:p>
            <w:pPr>
              <w:rPr>
                <w:sz w:val="2"/>
                <w:szCs w:val="2"/>
              </w:rPr>
            </w:pPr>
          </w:p>
        </w:tc>
      </w:tr>
      <w:tr>
        <w:trPr>
          <w:trHeight w:val="352" w:hRule="atLeast"/>
        </w:trPr>
        <w:tc>
          <w:tcPr>
            <w:tcW w:w="1080" w:type="dxa"/>
          </w:tcPr>
          <w:p>
            <w:pPr>
              <w:pStyle w:val="TableParagraph"/>
              <w:spacing w:before="59"/>
              <w:ind w:left="65" w:right="61"/>
              <w:jc w:val="center"/>
              <w:rPr>
                <w:sz w:val="20"/>
              </w:rPr>
            </w:pPr>
            <w:r>
              <w:rPr>
                <w:sz w:val="20"/>
              </w:rPr>
              <w:t>52</w:t>
            </w:r>
          </w:p>
        </w:tc>
        <w:tc>
          <w:tcPr>
            <w:tcW w:w="2069" w:type="dxa"/>
          </w:tcPr>
          <w:p>
            <w:pPr>
              <w:pStyle w:val="TableParagraph"/>
              <w:spacing w:before="59"/>
              <w:ind w:left="66" w:right="61"/>
              <w:jc w:val="center"/>
              <w:rPr>
                <w:sz w:val="20"/>
              </w:rPr>
            </w:pPr>
            <w:r>
              <w:rPr>
                <w:sz w:val="20"/>
              </w:rPr>
              <w:t>SEGDIO52</w:t>
            </w:r>
          </w:p>
        </w:tc>
        <w:tc>
          <w:tcPr>
            <w:tcW w:w="720" w:type="dxa"/>
            <w:vMerge/>
            <w:tcBorders>
              <w:top w:val="nil"/>
            </w:tcBorders>
          </w:tcPr>
          <w:p>
            <w:pPr>
              <w:rPr>
                <w:sz w:val="2"/>
                <w:szCs w:val="2"/>
              </w:rPr>
            </w:pPr>
          </w:p>
        </w:tc>
        <w:tc>
          <w:tcPr>
            <w:tcW w:w="811" w:type="dxa"/>
            <w:vMerge/>
            <w:tcBorders>
              <w:top w:val="nil"/>
            </w:tcBorders>
          </w:tcPr>
          <w:p>
            <w:pPr>
              <w:rPr>
                <w:sz w:val="2"/>
                <w:szCs w:val="2"/>
              </w:rPr>
            </w:pPr>
          </w:p>
        </w:tc>
        <w:tc>
          <w:tcPr>
            <w:tcW w:w="5429" w:type="dxa"/>
            <w:vMerge/>
            <w:tcBorders>
              <w:top w:val="nil"/>
            </w:tcBorders>
          </w:tcPr>
          <w:p>
            <w:pPr>
              <w:rPr>
                <w:sz w:val="2"/>
                <w:szCs w:val="2"/>
              </w:rPr>
            </w:pPr>
          </w:p>
        </w:tc>
      </w:tr>
      <w:tr>
        <w:trPr>
          <w:trHeight w:val="354" w:hRule="atLeast"/>
        </w:trPr>
        <w:tc>
          <w:tcPr>
            <w:tcW w:w="1080" w:type="dxa"/>
          </w:tcPr>
          <w:p>
            <w:pPr>
              <w:pStyle w:val="TableParagraph"/>
              <w:spacing w:before="59"/>
              <w:ind w:left="65" w:right="61"/>
              <w:jc w:val="center"/>
              <w:rPr>
                <w:sz w:val="20"/>
              </w:rPr>
            </w:pPr>
            <w:r>
              <w:rPr>
                <w:sz w:val="20"/>
              </w:rPr>
              <w:t>51</w:t>
            </w:r>
          </w:p>
        </w:tc>
        <w:tc>
          <w:tcPr>
            <w:tcW w:w="2069" w:type="dxa"/>
          </w:tcPr>
          <w:p>
            <w:pPr>
              <w:pStyle w:val="TableParagraph"/>
              <w:spacing w:before="62"/>
              <w:ind w:left="66" w:right="61"/>
              <w:jc w:val="center"/>
              <w:rPr>
                <w:sz w:val="20"/>
              </w:rPr>
            </w:pPr>
            <w:r>
              <w:rPr>
                <w:sz w:val="20"/>
              </w:rPr>
              <w:t>SEGDIO53</w:t>
            </w:r>
          </w:p>
        </w:tc>
        <w:tc>
          <w:tcPr>
            <w:tcW w:w="720" w:type="dxa"/>
            <w:vMerge/>
            <w:tcBorders>
              <w:top w:val="nil"/>
            </w:tcBorders>
          </w:tcPr>
          <w:p>
            <w:pPr>
              <w:rPr>
                <w:sz w:val="2"/>
                <w:szCs w:val="2"/>
              </w:rPr>
            </w:pPr>
          </w:p>
        </w:tc>
        <w:tc>
          <w:tcPr>
            <w:tcW w:w="811" w:type="dxa"/>
            <w:vMerge/>
            <w:tcBorders>
              <w:top w:val="nil"/>
            </w:tcBorders>
          </w:tcPr>
          <w:p>
            <w:pPr>
              <w:rPr>
                <w:sz w:val="2"/>
                <w:szCs w:val="2"/>
              </w:rPr>
            </w:pPr>
          </w:p>
        </w:tc>
        <w:tc>
          <w:tcPr>
            <w:tcW w:w="5429" w:type="dxa"/>
            <w:vMerge/>
            <w:tcBorders>
              <w:top w:val="nil"/>
            </w:tcBorders>
          </w:tcPr>
          <w:p>
            <w:pPr>
              <w:rPr>
                <w:sz w:val="2"/>
                <w:szCs w:val="2"/>
              </w:rPr>
            </w:pPr>
          </w:p>
        </w:tc>
      </w:tr>
      <w:tr>
        <w:trPr>
          <w:trHeight w:val="354" w:hRule="atLeast"/>
        </w:trPr>
        <w:tc>
          <w:tcPr>
            <w:tcW w:w="1080" w:type="dxa"/>
          </w:tcPr>
          <w:p>
            <w:pPr>
              <w:pStyle w:val="TableParagraph"/>
              <w:spacing w:before="59"/>
              <w:ind w:left="65" w:right="61"/>
              <w:jc w:val="center"/>
              <w:rPr>
                <w:sz w:val="20"/>
              </w:rPr>
            </w:pPr>
            <w:r>
              <w:rPr>
                <w:sz w:val="20"/>
              </w:rPr>
              <w:t>47</w:t>
            </w:r>
          </w:p>
        </w:tc>
        <w:tc>
          <w:tcPr>
            <w:tcW w:w="2069" w:type="dxa"/>
          </w:tcPr>
          <w:p>
            <w:pPr>
              <w:pStyle w:val="TableParagraph"/>
              <w:spacing w:before="61"/>
              <w:ind w:left="66" w:right="61"/>
              <w:jc w:val="center"/>
              <w:rPr>
                <w:sz w:val="20"/>
              </w:rPr>
            </w:pPr>
            <w:r>
              <w:rPr>
                <w:sz w:val="20"/>
              </w:rPr>
              <w:t>SEGDIO54</w:t>
            </w:r>
          </w:p>
        </w:tc>
        <w:tc>
          <w:tcPr>
            <w:tcW w:w="720" w:type="dxa"/>
            <w:vMerge/>
            <w:tcBorders>
              <w:top w:val="nil"/>
            </w:tcBorders>
          </w:tcPr>
          <w:p>
            <w:pPr>
              <w:rPr>
                <w:sz w:val="2"/>
                <w:szCs w:val="2"/>
              </w:rPr>
            </w:pPr>
          </w:p>
        </w:tc>
        <w:tc>
          <w:tcPr>
            <w:tcW w:w="811" w:type="dxa"/>
            <w:vMerge/>
            <w:tcBorders>
              <w:top w:val="nil"/>
            </w:tcBorders>
          </w:tcPr>
          <w:p>
            <w:pPr>
              <w:rPr>
                <w:sz w:val="2"/>
                <w:szCs w:val="2"/>
              </w:rPr>
            </w:pPr>
          </w:p>
        </w:tc>
        <w:tc>
          <w:tcPr>
            <w:tcW w:w="5429" w:type="dxa"/>
            <w:vMerge/>
            <w:tcBorders>
              <w:top w:val="nil"/>
            </w:tcBorders>
          </w:tcPr>
          <w:p>
            <w:pPr>
              <w:rPr>
                <w:sz w:val="2"/>
                <w:szCs w:val="2"/>
              </w:rPr>
            </w:pPr>
          </w:p>
        </w:tc>
      </w:tr>
      <w:tr>
        <w:trPr>
          <w:trHeight w:val="359" w:hRule="atLeast"/>
        </w:trPr>
        <w:tc>
          <w:tcPr>
            <w:tcW w:w="1080" w:type="dxa"/>
          </w:tcPr>
          <w:p>
            <w:pPr>
              <w:pStyle w:val="TableParagraph"/>
              <w:spacing w:before="62"/>
              <w:ind w:left="65" w:right="61"/>
              <w:jc w:val="center"/>
              <w:rPr>
                <w:sz w:val="20"/>
              </w:rPr>
            </w:pPr>
            <w:r>
              <w:rPr>
                <w:sz w:val="20"/>
              </w:rPr>
              <w:t>17</w:t>
            </w:r>
          </w:p>
        </w:tc>
        <w:tc>
          <w:tcPr>
            <w:tcW w:w="2069" w:type="dxa"/>
          </w:tcPr>
          <w:p>
            <w:pPr>
              <w:pStyle w:val="TableParagraph"/>
              <w:spacing w:before="64"/>
              <w:ind w:left="66" w:right="62"/>
              <w:jc w:val="center"/>
              <w:rPr>
                <w:sz w:val="20"/>
              </w:rPr>
            </w:pPr>
            <w:r>
              <w:rPr>
                <w:sz w:val="20"/>
              </w:rPr>
              <w:t>SEGDIO26/COM5</w:t>
            </w:r>
          </w:p>
        </w:tc>
        <w:tc>
          <w:tcPr>
            <w:tcW w:w="720" w:type="dxa"/>
            <w:vMerge w:val="restart"/>
          </w:tcPr>
          <w:p>
            <w:pPr>
              <w:pStyle w:val="TableParagraph"/>
              <w:spacing w:before="5"/>
              <w:rPr>
                <w:b/>
                <w:sz w:val="21"/>
              </w:rPr>
            </w:pPr>
          </w:p>
          <w:p>
            <w:pPr>
              <w:pStyle w:val="TableParagraph"/>
              <w:ind w:left="225"/>
              <w:rPr>
                <w:sz w:val="20"/>
              </w:rPr>
            </w:pPr>
            <w:r>
              <w:rPr>
                <w:sz w:val="20"/>
              </w:rPr>
              <w:t>I/O</w:t>
            </w:r>
          </w:p>
        </w:tc>
        <w:tc>
          <w:tcPr>
            <w:tcW w:w="811" w:type="dxa"/>
            <w:vMerge w:val="restart"/>
          </w:tcPr>
          <w:p>
            <w:pPr>
              <w:pStyle w:val="TableParagraph"/>
              <w:spacing w:before="5"/>
              <w:rPr>
                <w:b/>
                <w:sz w:val="21"/>
              </w:rPr>
            </w:pPr>
          </w:p>
          <w:p>
            <w:pPr>
              <w:pStyle w:val="TableParagraph"/>
              <w:ind w:left="124"/>
              <w:rPr>
                <w:sz w:val="20"/>
              </w:rPr>
            </w:pPr>
            <w:r>
              <w:rPr>
                <w:sz w:val="20"/>
              </w:rPr>
              <w:t>3, 4, 5</w:t>
            </w:r>
          </w:p>
        </w:tc>
        <w:tc>
          <w:tcPr>
            <w:tcW w:w="5429" w:type="dxa"/>
            <w:vMerge w:val="restart"/>
          </w:tcPr>
          <w:p>
            <w:pPr>
              <w:pStyle w:val="TableParagraph"/>
              <w:spacing w:before="16"/>
              <w:ind w:left="86" w:right="410"/>
              <w:rPr>
                <w:sz w:val="20"/>
              </w:rPr>
            </w:pPr>
            <w:r>
              <w:rPr>
                <w:sz w:val="20"/>
              </w:rPr>
              <w:t>Multiple-Use Pins. Configurable as either LCD segment driver or DIO with alternative function (LCD common drivers).</w:t>
            </w:r>
          </w:p>
        </w:tc>
      </w:tr>
      <w:tr>
        <w:trPr>
          <w:trHeight w:val="359" w:hRule="atLeast"/>
        </w:trPr>
        <w:tc>
          <w:tcPr>
            <w:tcW w:w="1080" w:type="dxa"/>
          </w:tcPr>
          <w:p>
            <w:pPr>
              <w:pStyle w:val="TableParagraph"/>
              <w:spacing w:before="62"/>
              <w:ind w:left="65" w:right="61"/>
              <w:jc w:val="center"/>
              <w:rPr>
                <w:sz w:val="20"/>
              </w:rPr>
            </w:pPr>
            <w:r>
              <w:rPr>
                <w:sz w:val="20"/>
              </w:rPr>
              <w:t>16</w:t>
            </w:r>
          </w:p>
        </w:tc>
        <w:tc>
          <w:tcPr>
            <w:tcW w:w="2069" w:type="dxa"/>
          </w:tcPr>
          <w:p>
            <w:pPr>
              <w:pStyle w:val="TableParagraph"/>
              <w:spacing w:before="64"/>
              <w:ind w:left="66" w:right="62"/>
              <w:jc w:val="center"/>
              <w:rPr>
                <w:sz w:val="20"/>
              </w:rPr>
            </w:pPr>
            <w:r>
              <w:rPr>
                <w:sz w:val="20"/>
              </w:rPr>
              <w:t>SEGDIO27/COM4</w:t>
            </w:r>
          </w:p>
        </w:tc>
        <w:tc>
          <w:tcPr>
            <w:tcW w:w="720" w:type="dxa"/>
            <w:vMerge/>
            <w:tcBorders>
              <w:top w:val="nil"/>
            </w:tcBorders>
          </w:tcPr>
          <w:p>
            <w:pPr>
              <w:rPr>
                <w:sz w:val="2"/>
                <w:szCs w:val="2"/>
              </w:rPr>
            </w:pPr>
          </w:p>
        </w:tc>
        <w:tc>
          <w:tcPr>
            <w:tcW w:w="811" w:type="dxa"/>
            <w:vMerge/>
            <w:tcBorders>
              <w:top w:val="nil"/>
            </w:tcBorders>
          </w:tcPr>
          <w:p>
            <w:pPr>
              <w:rPr>
                <w:sz w:val="2"/>
                <w:szCs w:val="2"/>
              </w:rPr>
            </w:pPr>
          </w:p>
        </w:tc>
        <w:tc>
          <w:tcPr>
            <w:tcW w:w="5429" w:type="dxa"/>
            <w:vMerge/>
            <w:tcBorders>
              <w:top w:val="nil"/>
            </w:tcBorders>
          </w:tcPr>
          <w:p>
            <w:pPr>
              <w:rPr>
                <w:sz w:val="2"/>
                <w:szCs w:val="2"/>
              </w:rPr>
            </w:pPr>
          </w:p>
        </w:tc>
      </w:tr>
      <w:tr>
        <w:trPr>
          <w:trHeight w:val="318" w:hRule="atLeast"/>
        </w:trPr>
        <w:tc>
          <w:tcPr>
            <w:tcW w:w="1080" w:type="dxa"/>
          </w:tcPr>
          <w:p>
            <w:pPr>
              <w:pStyle w:val="TableParagraph"/>
              <w:spacing w:before="40"/>
              <w:ind w:left="9"/>
              <w:jc w:val="center"/>
              <w:rPr>
                <w:sz w:val="20"/>
              </w:rPr>
            </w:pPr>
            <w:r>
              <w:rPr>
                <w:w w:val="99"/>
                <w:sz w:val="20"/>
              </w:rPr>
              <w:t>3</w:t>
            </w:r>
          </w:p>
        </w:tc>
        <w:tc>
          <w:tcPr>
            <w:tcW w:w="2069" w:type="dxa"/>
          </w:tcPr>
          <w:p>
            <w:pPr>
              <w:pStyle w:val="TableParagraph"/>
              <w:spacing w:before="42"/>
              <w:ind w:left="66" w:right="62"/>
              <w:jc w:val="center"/>
              <w:rPr>
                <w:sz w:val="20"/>
              </w:rPr>
            </w:pPr>
            <w:r>
              <w:rPr>
                <w:sz w:val="20"/>
              </w:rPr>
              <w:t>SPI_CSZ/SEGDIO36</w:t>
            </w:r>
          </w:p>
        </w:tc>
        <w:tc>
          <w:tcPr>
            <w:tcW w:w="720" w:type="dxa"/>
            <w:vMerge w:val="restart"/>
          </w:tcPr>
          <w:p>
            <w:pPr>
              <w:pStyle w:val="TableParagraph"/>
              <w:rPr>
                <w:b/>
                <w:sz w:val="22"/>
              </w:rPr>
            </w:pPr>
          </w:p>
          <w:p>
            <w:pPr>
              <w:pStyle w:val="TableParagraph"/>
              <w:spacing w:before="3"/>
              <w:rPr>
                <w:b/>
                <w:sz w:val="24"/>
              </w:rPr>
            </w:pPr>
          </w:p>
          <w:p>
            <w:pPr>
              <w:pStyle w:val="TableParagraph"/>
              <w:ind w:left="225"/>
              <w:rPr>
                <w:sz w:val="20"/>
              </w:rPr>
            </w:pPr>
            <w:r>
              <w:rPr>
                <w:sz w:val="20"/>
              </w:rPr>
              <w:t>I/O</w:t>
            </w:r>
          </w:p>
        </w:tc>
        <w:tc>
          <w:tcPr>
            <w:tcW w:w="811" w:type="dxa"/>
            <w:vMerge w:val="restart"/>
          </w:tcPr>
          <w:p>
            <w:pPr>
              <w:pStyle w:val="TableParagraph"/>
              <w:rPr>
                <w:b/>
                <w:sz w:val="22"/>
              </w:rPr>
            </w:pPr>
          </w:p>
          <w:p>
            <w:pPr>
              <w:pStyle w:val="TableParagraph"/>
              <w:spacing w:before="3"/>
              <w:rPr>
                <w:b/>
                <w:sz w:val="24"/>
              </w:rPr>
            </w:pPr>
          </w:p>
          <w:p>
            <w:pPr>
              <w:pStyle w:val="TableParagraph"/>
              <w:ind w:left="124"/>
              <w:rPr>
                <w:sz w:val="20"/>
              </w:rPr>
            </w:pPr>
            <w:r>
              <w:rPr>
                <w:sz w:val="20"/>
              </w:rPr>
              <w:t>3, 4, 5</w:t>
            </w:r>
          </w:p>
        </w:tc>
        <w:tc>
          <w:tcPr>
            <w:tcW w:w="5429" w:type="dxa"/>
            <w:vMerge w:val="restart"/>
          </w:tcPr>
          <w:p>
            <w:pPr>
              <w:pStyle w:val="TableParagraph"/>
              <w:rPr>
                <w:b/>
                <w:sz w:val="22"/>
              </w:rPr>
            </w:pPr>
          </w:p>
          <w:p>
            <w:pPr>
              <w:pStyle w:val="TableParagraph"/>
              <w:spacing w:before="166"/>
              <w:ind w:left="86" w:right="410"/>
              <w:rPr>
                <w:sz w:val="20"/>
              </w:rPr>
            </w:pPr>
            <w:r>
              <w:rPr>
                <w:sz w:val="20"/>
              </w:rPr>
              <w:t>Multiple-Use Pins. Configurable as either LCD segment driver or DIO with alternative function (SPI interface).</w:t>
            </w:r>
          </w:p>
        </w:tc>
      </w:tr>
      <w:tr>
        <w:trPr>
          <w:trHeight w:val="316" w:hRule="atLeast"/>
        </w:trPr>
        <w:tc>
          <w:tcPr>
            <w:tcW w:w="1080" w:type="dxa"/>
          </w:tcPr>
          <w:p>
            <w:pPr>
              <w:pStyle w:val="TableParagraph"/>
              <w:spacing w:before="40"/>
              <w:ind w:left="9"/>
              <w:jc w:val="center"/>
              <w:rPr>
                <w:sz w:val="20"/>
              </w:rPr>
            </w:pPr>
            <w:r>
              <w:rPr>
                <w:w w:val="99"/>
                <w:sz w:val="20"/>
              </w:rPr>
              <w:t>2</w:t>
            </w:r>
          </w:p>
        </w:tc>
        <w:tc>
          <w:tcPr>
            <w:tcW w:w="2069" w:type="dxa"/>
          </w:tcPr>
          <w:p>
            <w:pPr>
              <w:pStyle w:val="TableParagraph"/>
              <w:spacing w:before="42"/>
              <w:ind w:left="64" w:right="62"/>
              <w:jc w:val="center"/>
              <w:rPr>
                <w:sz w:val="20"/>
              </w:rPr>
            </w:pPr>
            <w:r>
              <w:rPr>
                <w:sz w:val="20"/>
              </w:rPr>
              <w:t>SPI_DO/SEGDIO37</w:t>
            </w:r>
          </w:p>
        </w:tc>
        <w:tc>
          <w:tcPr>
            <w:tcW w:w="720" w:type="dxa"/>
            <w:vMerge/>
            <w:tcBorders>
              <w:top w:val="nil"/>
            </w:tcBorders>
          </w:tcPr>
          <w:p>
            <w:pPr>
              <w:rPr>
                <w:sz w:val="2"/>
                <w:szCs w:val="2"/>
              </w:rPr>
            </w:pPr>
          </w:p>
        </w:tc>
        <w:tc>
          <w:tcPr>
            <w:tcW w:w="811" w:type="dxa"/>
            <w:vMerge/>
            <w:tcBorders>
              <w:top w:val="nil"/>
            </w:tcBorders>
          </w:tcPr>
          <w:p>
            <w:pPr>
              <w:rPr>
                <w:sz w:val="2"/>
                <w:szCs w:val="2"/>
              </w:rPr>
            </w:pPr>
          </w:p>
        </w:tc>
        <w:tc>
          <w:tcPr>
            <w:tcW w:w="5429" w:type="dxa"/>
            <w:vMerge/>
            <w:tcBorders>
              <w:top w:val="nil"/>
            </w:tcBorders>
          </w:tcPr>
          <w:p>
            <w:pPr>
              <w:rPr>
                <w:sz w:val="2"/>
                <w:szCs w:val="2"/>
              </w:rPr>
            </w:pPr>
          </w:p>
        </w:tc>
      </w:tr>
      <w:tr>
        <w:trPr>
          <w:trHeight w:val="318" w:hRule="atLeast"/>
        </w:trPr>
        <w:tc>
          <w:tcPr>
            <w:tcW w:w="1080" w:type="dxa"/>
          </w:tcPr>
          <w:p>
            <w:pPr>
              <w:pStyle w:val="TableParagraph"/>
              <w:spacing w:before="42"/>
              <w:ind w:left="9"/>
              <w:jc w:val="center"/>
              <w:rPr>
                <w:sz w:val="20"/>
              </w:rPr>
            </w:pPr>
            <w:r>
              <w:rPr>
                <w:w w:val="99"/>
                <w:sz w:val="20"/>
              </w:rPr>
              <w:t>1</w:t>
            </w:r>
          </w:p>
        </w:tc>
        <w:tc>
          <w:tcPr>
            <w:tcW w:w="2069" w:type="dxa"/>
          </w:tcPr>
          <w:p>
            <w:pPr>
              <w:pStyle w:val="TableParagraph"/>
              <w:spacing w:before="42"/>
              <w:ind w:left="64" w:right="62"/>
              <w:jc w:val="center"/>
              <w:rPr>
                <w:sz w:val="20"/>
              </w:rPr>
            </w:pPr>
            <w:r>
              <w:rPr>
                <w:sz w:val="20"/>
              </w:rPr>
              <w:t>SPI_DI/SEGDIO38</w:t>
            </w:r>
          </w:p>
        </w:tc>
        <w:tc>
          <w:tcPr>
            <w:tcW w:w="720" w:type="dxa"/>
            <w:vMerge/>
            <w:tcBorders>
              <w:top w:val="nil"/>
            </w:tcBorders>
          </w:tcPr>
          <w:p>
            <w:pPr>
              <w:rPr>
                <w:sz w:val="2"/>
                <w:szCs w:val="2"/>
              </w:rPr>
            </w:pPr>
          </w:p>
        </w:tc>
        <w:tc>
          <w:tcPr>
            <w:tcW w:w="811" w:type="dxa"/>
            <w:vMerge/>
            <w:tcBorders>
              <w:top w:val="nil"/>
            </w:tcBorders>
          </w:tcPr>
          <w:p>
            <w:pPr>
              <w:rPr>
                <w:sz w:val="2"/>
                <w:szCs w:val="2"/>
              </w:rPr>
            </w:pPr>
          </w:p>
        </w:tc>
        <w:tc>
          <w:tcPr>
            <w:tcW w:w="5429" w:type="dxa"/>
            <w:vMerge/>
            <w:tcBorders>
              <w:top w:val="nil"/>
            </w:tcBorders>
          </w:tcPr>
          <w:p>
            <w:pPr>
              <w:rPr>
                <w:sz w:val="2"/>
                <w:szCs w:val="2"/>
              </w:rPr>
            </w:pPr>
          </w:p>
        </w:tc>
      </w:tr>
      <w:tr>
        <w:trPr>
          <w:trHeight w:val="318" w:hRule="atLeast"/>
        </w:trPr>
        <w:tc>
          <w:tcPr>
            <w:tcW w:w="1080" w:type="dxa"/>
          </w:tcPr>
          <w:p>
            <w:pPr>
              <w:pStyle w:val="TableParagraph"/>
              <w:spacing w:before="40"/>
              <w:ind w:left="65" w:right="61"/>
              <w:jc w:val="center"/>
              <w:rPr>
                <w:sz w:val="20"/>
              </w:rPr>
            </w:pPr>
            <w:r>
              <w:rPr>
                <w:sz w:val="20"/>
              </w:rPr>
              <w:t>100</w:t>
            </w:r>
          </w:p>
        </w:tc>
        <w:tc>
          <w:tcPr>
            <w:tcW w:w="2069" w:type="dxa"/>
          </w:tcPr>
          <w:p>
            <w:pPr>
              <w:pStyle w:val="TableParagraph"/>
              <w:spacing w:before="42"/>
              <w:ind w:left="64" w:right="62"/>
              <w:jc w:val="center"/>
              <w:rPr>
                <w:sz w:val="20"/>
              </w:rPr>
            </w:pPr>
            <w:r>
              <w:rPr>
                <w:sz w:val="20"/>
              </w:rPr>
              <w:t>SPI_CKI/SEGDIO39</w:t>
            </w:r>
          </w:p>
        </w:tc>
        <w:tc>
          <w:tcPr>
            <w:tcW w:w="720" w:type="dxa"/>
            <w:vMerge/>
            <w:tcBorders>
              <w:top w:val="nil"/>
            </w:tcBorders>
          </w:tcPr>
          <w:p>
            <w:pPr>
              <w:rPr>
                <w:sz w:val="2"/>
                <w:szCs w:val="2"/>
              </w:rPr>
            </w:pPr>
          </w:p>
        </w:tc>
        <w:tc>
          <w:tcPr>
            <w:tcW w:w="811" w:type="dxa"/>
            <w:vMerge/>
            <w:tcBorders>
              <w:top w:val="nil"/>
            </w:tcBorders>
          </w:tcPr>
          <w:p>
            <w:pPr>
              <w:rPr>
                <w:sz w:val="2"/>
                <w:szCs w:val="2"/>
              </w:rPr>
            </w:pPr>
          </w:p>
        </w:tc>
        <w:tc>
          <w:tcPr>
            <w:tcW w:w="5429" w:type="dxa"/>
            <w:vMerge/>
            <w:tcBorders>
              <w:top w:val="nil"/>
            </w:tcBorders>
          </w:tcPr>
          <w:p>
            <w:pPr>
              <w:rPr>
                <w:sz w:val="2"/>
                <w:szCs w:val="2"/>
              </w:rPr>
            </w:pPr>
          </w:p>
        </w:tc>
      </w:tr>
      <w:tr>
        <w:trPr>
          <w:trHeight w:val="318" w:hRule="atLeast"/>
        </w:trPr>
        <w:tc>
          <w:tcPr>
            <w:tcW w:w="1080" w:type="dxa"/>
          </w:tcPr>
          <w:p>
            <w:pPr>
              <w:pStyle w:val="TableParagraph"/>
              <w:spacing w:before="42"/>
              <w:ind w:left="65" w:right="61"/>
              <w:jc w:val="center"/>
              <w:rPr>
                <w:sz w:val="20"/>
              </w:rPr>
            </w:pPr>
            <w:r>
              <w:rPr>
                <w:sz w:val="20"/>
              </w:rPr>
              <w:t>53</w:t>
            </w:r>
          </w:p>
        </w:tc>
        <w:tc>
          <w:tcPr>
            <w:tcW w:w="2069" w:type="dxa"/>
          </w:tcPr>
          <w:p>
            <w:pPr>
              <w:pStyle w:val="TableParagraph"/>
              <w:spacing w:before="42"/>
              <w:ind w:left="64" w:right="62"/>
              <w:jc w:val="center"/>
              <w:rPr>
                <w:sz w:val="20"/>
              </w:rPr>
            </w:pPr>
            <w:r>
              <w:rPr>
                <w:sz w:val="20"/>
              </w:rPr>
              <w:t>OPT_TX/SEGDIO51</w:t>
            </w:r>
          </w:p>
        </w:tc>
        <w:tc>
          <w:tcPr>
            <w:tcW w:w="720" w:type="dxa"/>
            <w:vMerge w:val="restart"/>
          </w:tcPr>
          <w:p>
            <w:pPr>
              <w:pStyle w:val="TableParagraph"/>
              <w:spacing w:before="10"/>
              <w:rPr>
                <w:b/>
                <w:sz w:val="17"/>
              </w:rPr>
            </w:pPr>
          </w:p>
          <w:p>
            <w:pPr>
              <w:pStyle w:val="TableParagraph"/>
              <w:ind w:left="225"/>
              <w:rPr>
                <w:sz w:val="20"/>
              </w:rPr>
            </w:pPr>
            <w:r>
              <w:rPr>
                <w:sz w:val="20"/>
              </w:rPr>
              <w:t>I/O</w:t>
            </w:r>
          </w:p>
        </w:tc>
        <w:tc>
          <w:tcPr>
            <w:tcW w:w="811" w:type="dxa"/>
            <w:vMerge w:val="restart"/>
          </w:tcPr>
          <w:p>
            <w:pPr>
              <w:pStyle w:val="TableParagraph"/>
              <w:spacing w:before="10"/>
              <w:rPr>
                <w:b/>
                <w:sz w:val="17"/>
              </w:rPr>
            </w:pPr>
          </w:p>
          <w:p>
            <w:pPr>
              <w:pStyle w:val="TableParagraph"/>
              <w:ind w:left="124"/>
              <w:rPr>
                <w:sz w:val="20"/>
              </w:rPr>
            </w:pPr>
            <w:r>
              <w:rPr>
                <w:sz w:val="20"/>
              </w:rPr>
              <w:t>3, 4, 5</w:t>
            </w:r>
          </w:p>
        </w:tc>
        <w:tc>
          <w:tcPr>
            <w:tcW w:w="5429" w:type="dxa"/>
            <w:vMerge w:val="restart"/>
          </w:tcPr>
          <w:p>
            <w:pPr>
              <w:pStyle w:val="TableParagraph"/>
              <w:spacing w:before="90"/>
              <w:ind w:left="86" w:right="144"/>
              <w:rPr>
                <w:sz w:val="20"/>
              </w:rPr>
            </w:pPr>
            <w:r>
              <w:rPr>
                <w:sz w:val="20"/>
              </w:rPr>
              <w:t>Multiple-Use Pins, configurable as either LCD segment driver or DIO with alternative function (optical port/UART1)</w:t>
            </w:r>
          </w:p>
        </w:tc>
      </w:tr>
      <w:tr>
        <w:trPr>
          <w:trHeight w:val="321" w:hRule="atLeast"/>
        </w:trPr>
        <w:tc>
          <w:tcPr>
            <w:tcW w:w="1080" w:type="dxa"/>
          </w:tcPr>
          <w:p>
            <w:pPr>
              <w:pStyle w:val="TableParagraph"/>
              <w:spacing w:before="42"/>
              <w:ind w:left="65" w:right="61"/>
              <w:jc w:val="center"/>
              <w:rPr>
                <w:sz w:val="20"/>
              </w:rPr>
            </w:pPr>
            <w:r>
              <w:rPr>
                <w:sz w:val="20"/>
              </w:rPr>
              <w:t>46</w:t>
            </w:r>
          </w:p>
        </w:tc>
        <w:tc>
          <w:tcPr>
            <w:tcW w:w="2069" w:type="dxa"/>
          </w:tcPr>
          <w:p>
            <w:pPr>
              <w:pStyle w:val="TableParagraph"/>
              <w:spacing w:before="45"/>
              <w:ind w:left="66" w:right="62"/>
              <w:jc w:val="center"/>
              <w:rPr>
                <w:sz w:val="20"/>
              </w:rPr>
            </w:pPr>
            <w:r>
              <w:rPr>
                <w:sz w:val="20"/>
              </w:rPr>
              <w:t>OPT_RX/SEGDIO55</w:t>
            </w:r>
          </w:p>
        </w:tc>
        <w:tc>
          <w:tcPr>
            <w:tcW w:w="720" w:type="dxa"/>
            <w:vMerge/>
            <w:tcBorders>
              <w:top w:val="nil"/>
            </w:tcBorders>
          </w:tcPr>
          <w:p>
            <w:pPr>
              <w:rPr>
                <w:sz w:val="2"/>
                <w:szCs w:val="2"/>
              </w:rPr>
            </w:pPr>
          </w:p>
        </w:tc>
        <w:tc>
          <w:tcPr>
            <w:tcW w:w="811" w:type="dxa"/>
            <w:vMerge/>
            <w:tcBorders>
              <w:top w:val="nil"/>
            </w:tcBorders>
          </w:tcPr>
          <w:p>
            <w:pPr>
              <w:rPr>
                <w:sz w:val="2"/>
                <w:szCs w:val="2"/>
              </w:rPr>
            </w:pPr>
          </w:p>
        </w:tc>
        <w:tc>
          <w:tcPr>
            <w:tcW w:w="5429" w:type="dxa"/>
            <w:vMerge/>
            <w:tcBorders>
              <w:top w:val="nil"/>
            </w:tcBorders>
          </w:tcPr>
          <w:p>
            <w:pPr>
              <w:rPr>
                <w:sz w:val="2"/>
                <w:szCs w:val="2"/>
              </w:rPr>
            </w:pPr>
          </w:p>
        </w:tc>
      </w:tr>
      <w:tr>
        <w:trPr>
          <w:trHeight w:val="268" w:hRule="atLeast"/>
        </w:trPr>
        <w:tc>
          <w:tcPr>
            <w:tcW w:w="1080" w:type="dxa"/>
          </w:tcPr>
          <w:p>
            <w:pPr>
              <w:pStyle w:val="TableParagraph"/>
              <w:spacing w:before="16"/>
              <w:ind w:left="65" w:right="61"/>
              <w:jc w:val="center"/>
              <w:rPr>
                <w:sz w:val="20"/>
              </w:rPr>
            </w:pPr>
            <w:r>
              <w:rPr>
                <w:sz w:val="20"/>
              </w:rPr>
              <w:t>58</w:t>
            </w:r>
          </w:p>
        </w:tc>
        <w:tc>
          <w:tcPr>
            <w:tcW w:w="2069" w:type="dxa"/>
          </w:tcPr>
          <w:p>
            <w:pPr>
              <w:pStyle w:val="TableParagraph"/>
              <w:spacing w:before="16"/>
              <w:ind w:left="64" w:right="62"/>
              <w:jc w:val="center"/>
              <w:rPr>
                <w:sz w:val="20"/>
              </w:rPr>
            </w:pPr>
            <w:r>
              <w:rPr>
                <w:sz w:val="20"/>
              </w:rPr>
              <w:t>E_RXTX/SEG48</w:t>
            </w:r>
          </w:p>
        </w:tc>
        <w:tc>
          <w:tcPr>
            <w:tcW w:w="720" w:type="dxa"/>
            <w:vMerge w:val="restart"/>
          </w:tcPr>
          <w:p>
            <w:pPr>
              <w:pStyle w:val="TableParagraph"/>
              <w:spacing w:before="155"/>
              <w:ind w:left="225"/>
              <w:rPr>
                <w:sz w:val="20"/>
              </w:rPr>
            </w:pPr>
            <w:r>
              <w:rPr>
                <w:sz w:val="20"/>
              </w:rPr>
              <w:t>I/O</w:t>
            </w:r>
          </w:p>
        </w:tc>
        <w:tc>
          <w:tcPr>
            <w:tcW w:w="811" w:type="dxa"/>
            <w:vMerge w:val="restart"/>
          </w:tcPr>
          <w:p>
            <w:pPr>
              <w:pStyle w:val="TableParagraph"/>
              <w:spacing w:before="155"/>
              <w:ind w:left="124"/>
              <w:rPr>
                <w:sz w:val="20"/>
              </w:rPr>
            </w:pPr>
            <w:r>
              <w:rPr>
                <w:sz w:val="20"/>
              </w:rPr>
              <w:t>1, 4, 5</w:t>
            </w:r>
          </w:p>
        </w:tc>
        <w:tc>
          <w:tcPr>
            <w:tcW w:w="5429" w:type="dxa"/>
            <w:vMerge w:val="restart"/>
          </w:tcPr>
          <w:p>
            <w:pPr>
              <w:pStyle w:val="TableParagraph"/>
              <w:spacing w:before="66"/>
              <w:ind w:left="86" w:right="277"/>
              <w:rPr>
                <w:sz w:val="20"/>
              </w:rPr>
            </w:pPr>
            <w:r>
              <w:rPr>
                <w:sz w:val="20"/>
              </w:rPr>
              <w:t>Multiuse Pins. Configurable as either emulator port pins (when ICE_E pulled high) or LCD segment drivers (when ICE_E tied to GND).</w:t>
            </w:r>
          </w:p>
        </w:tc>
      </w:tr>
      <w:tr>
        <w:trPr>
          <w:trHeight w:val="270" w:hRule="atLeast"/>
        </w:trPr>
        <w:tc>
          <w:tcPr>
            <w:tcW w:w="1080" w:type="dxa"/>
          </w:tcPr>
          <w:p>
            <w:pPr>
              <w:pStyle w:val="TableParagraph"/>
              <w:spacing w:before="18"/>
              <w:ind w:left="65" w:right="61"/>
              <w:jc w:val="center"/>
              <w:rPr>
                <w:sz w:val="20"/>
              </w:rPr>
            </w:pPr>
            <w:r>
              <w:rPr>
                <w:sz w:val="20"/>
              </w:rPr>
              <w:t>56</w:t>
            </w:r>
          </w:p>
        </w:tc>
        <w:tc>
          <w:tcPr>
            <w:tcW w:w="2069" w:type="dxa"/>
          </w:tcPr>
          <w:p>
            <w:pPr>
              <w:pStyle w:val="TableParagraph"/>
              <w:spacing w:before="18"/>
              <w:ind w:left="64" w:right="62"/>
              <w:jc w:val="center"/>
              <w:rPr>
                <w:sz w:val="20"/>
              </w:rPr>
            </w:pPr>
            <w:r>
              <w:rPr>
                <w:sz w:val="20"/>
              </w:rPr>
              <w:t>E_RST/SEG50</w:t>
            </w:r>
          </w:p>
        </w:tc>
        <w:tc>
          <w:tcPr>
            <w:tcW w:w="720" w:type="dxa"/>
            <w:vMerge/>
            <w:tcBorders>
              <w:top w:val="nil"/>
            </w:tcBorders>
          </w:tcPr>
          <w:p>
            <w:pPr>
              <w:rPr>
                <w:sz w:val="2"/>
                <w:szCs w:val="2"/>
              </w:rPr>
            </w:pPr>
          </w:p>
        </w:tc>
        <w:tc>
          <w:tcPr>
            <w:tcW w:w="811" w:type="dxa"/>
            <w:vMerge/>
            <w:tcBorders>
              <w:top w:val="nil"/>
            </w:tcBorders>
          </w:tcPr>
          <w:p>
            <w:pPr>
              <w:rPr>
                <w:sz w:val="2"/>
                <w:szCs w:val="2"/>
              </w:rPr>
            </w:pPr>
          </w:p>
        </w:tc>
        <w:tc>
          <w:tcPr>
            <w:tcW w:w="5429" w:type="dxa"/>
            <w:vMerge/>
            <w:tcBorders>
              <w:top w:val="nil"/>
            </w:tcBorders>
          </w:tcPr>
          <w:p>
            <w:pPr>
              <w:rPr>
                <w:sz w:val="2"/>
                <w:szCs w:val="2"/>
              </w:rPr>
            </w:pPr>
          </w:p>
        </w:tc>
      </w:tr>
      <w:tr>
        <w:trPr>
          <w:trHeight w:val="270" w:hRule="atLeast"/>
        </w:trPr>
        <w:tc>
          <w:tcPr>
            <w:tcW w:w="1080" w:type="dxa"/>
          </w:tcPr>
          <w:p>
            <w:pPr>
              <w:pStyle w:val="TableParagraph"/>
              <w:spacing w:before="16"/>
              <w:ind w:left="65" w:right="61"/>
              <w:jc w:val="center"/>
              <w:rPr>
                <w:sz w:val="20"/>
              </w:rPr>
            </w:pPr>
            <w:r>
              <w:rPr>
                <w:sz w:val="20"/>
              </w:rPr>
              <w:t>57</w:t>
            </w:r>
          </w:p>
        </w:tc>
        <w:tc>
          <w:tcPr>
            <w:tcW w:w="2069" w:type="dxa"/>
          </w:tcPr>
          <w:p>
            <w:pPr>
              <w:pStyle w:val="TableParagraph"/>
              <w:spacing w:before="16"/>
              <w:ind w:left="66" w:right="57"/>
              <w:jc w:val="center"/>
              <w:rPr>
                <w:sz w:val="20"/>
              </w:rPr>
            </w:pPr>
            <w:r>
              <w:rPr>
                <w:sz w:val="20"/>
              </w:rPr>
              <w:t>E_TCLK/SEG49</w:t>
            </w:r>
          </w:p>
        </w:tc>
        <w:tc>
          <w:tcPr>
            <w:tcW w:w="720" w:type="dxa"/>
          </w:tcPr>
          <w:p>
            <w:pPr>
              <w:pStyle w:val="TableParagraph"/>
              <w:spacing w:before="16"/>
              <w:ind w:left="5"/>
              <w:jc w:val="center"/>
              <w:rPr>
                <w:sz w:val="20"/>
              </w:rPr>
            </w:pPr>
            <w:r>
              <w:rPr>
                <w:w w:val="99"/>
                <w:sz w:val="20"/>
              </w:rPr>
              <w:t>O</w:t>
            </w:r>
          </w:p>
        </w:tc>
        <w:tc>
          <w:tcPr>
            <w:tcW w:w="811" w:type="dxa"/>
          </w:tcPr>
          <w:p>
            <w:pPr>
              <w:pStyle w:val="TableParagraph"/>
              <w:spacing w:before="16"/>
              <w:ind w:left="55" w:right="51"/>
              <w:jc w:val="center"/>
              <w:rPr>
                <w:sz w:val="20"/>
              </w:rPr>
            </w:pPr>
            <w:r>
              <w:rPr>
                <w:sz w:val="20"/>
              </w:rPr>
              <w:t>4, 5</w:t>
            </w:r>
          </w:p>
        </w:tc>
        <w:tc>
          <w:tcPr>
            <w:tcW w:w="5429" w:type="dxa"/>
            <w:vMerge/>
            <w:tcBorders>
              <w:top w:val="nil"/>
            </w:tcBorders>
          </w:tcPr>
          <w:p>
            <w:pPr>
              <w:rPr>
                <w:sz w:val="2"/>
                <w:szCs w:val="2"/>
              </w:rPr>
            </w:pPr>
          </w:p>
        </w:tc>
      </w:tr>
      <w:tr>
        <w:trPr>
          <w:trHeight w:val="959" w:hRule="atLeast"/>
        </w:trPr>
        <w:tc>
          <w:tcPr>
            <w:tcW w:w="1080" w:type="dxa"/>
          </w:tcPr>
          <w:p>
            <w:pPr>
              <w:pStyle w:val="TableParagraph"/>
              <w:spacing w:before="5"/>
              <w:rPr>
                <w:b/>
                <w:sz w:val="31"/>
              </w:rPr>
            </w:pPr>
          </w:p>
          <w:p>
            <w:pPr>
              <w:pStyle w:val="TableParagraph"/>
              <w:ind w:left="65" w:right="61"/>
              <w:jc w:val="center"/>
              <w:rPr>
                <w:sz w:val="20"/>
              </w:rPr>
            </w:pPr>
            <w:r>
              <w:rPr>
                <w:sz w:val="20"/>
              </w:rPr>
              <w:t>59</w:t>
            </w:r>
          </w:p>
        </w:tc>
        <w:tc>
          <w:tcPr>
            <w:tcW w:w="2069" w:type="dxa"/>
          </w:tcPr>
          <w:p>
            <w:pPr>
              <w:pStyle w:val="TableParagraph"/>
              <w:spacing w:before="5"/>
              <w:rPr>
                <w:b/>
                <w:sz w:val="31"/>
              </w:rPr>
            </w:pPr>
          </w:p>
          <w:p>
            <w:pPr>
              <w:pStyle w:val="TableParagraph"/>
              <w:ind w:left="66" w:right="61"/>
              <w:jc w:val="center"/>
              <w:rPr>
                <w:sz w:val="20"/>
              </w:rPr>
            </w:pPr>
            <w:r>
              <w:rPr>
                <w:sz w:val="20"/>
              </w:rPr>
              <w:t>ICE_E</w:t>
            </w:r>
          </w:p>
        </w:tc>
        <w:tc>
          <w:tcPr>
            <w:tcW w:w="720" w:type="dxa"/>
          </w:tcPr>
          <w:p>
            <w:pPr>
              <w:pStyle w:val="TableParagraph"/>
              <w:spacing w:before="5"/>
              <w:rPr>
                <w:b/>
                <w:sz w:val="31"/>
              </w:rPr>
            </w:pPr>
          </w:p>
          <w:p>
            <w:pPr>
              <w:pStyle w:val="TableParagraph"/>
              <w:ind w:left="7"/>
              <w:jc w:val="center"/>
              <w:rPr>
                <w:sz w:val="20"/>
              </w:rPr>
            </w:pPr>
            <w:r>
              <w:rPr>
                <w:w w:val="99"/>
                <w:sz w:val="20"/>
              </w:rPr>
              <w:t>I</w:t>
            </w:r>
          </w:p>
        </w:tc>
        <w:tc>
          <w:tcPr>
            <w:tcW w:w="811" w:type="dxa"/>
          </w:tcPr>
          <w:p>
            <w:pPr>
              <w:pStyle w:val="TableParagraph"/>
              <w:spacing w:before="5"/>
              <w:rPr>
                <w:b/>
                <w:sz w:val="31"/>
              </w:rPr>
            </w:pPr>
          </w:p>
          <w:p>
            <w:pPr>
              <w:pStyle w:val="TableParagraph"/>
              <w:ind w:left="5"/>
              <w:jc w:val="center"/>
              <w:rPr>
                <w:sz w:val="20"/>
              </w:rPr>
            </w:pPr>
            <w:r>
              <w:rPr>
                <w:w w:val="99"/>
                <w:sz w:val="20"/>
              </w:rPr>
              <w:t>2</w:t>
            </w:r>
          </w:p>
        </w:tc>
        <w:tc>
          <w:tcPr>
            <w:tcW w:w="5429" w:type="dxa"/>
          </w:tcPr>
          <w:p>
            <w:pPr>
              <w:pStyle w:val="TableParagraph"/>
              <w:spacing w:before="16"/>
              <w:ind w:left="86" w:right="145"/>
              <w:rPr>
                <w:sz w:val="20"/>
              </w:rPr>
            </w:pPr>
            <w:r>
              <w:rPr>
                <w:spacing w:val="-3"/>
                <w:sz w:val="20"/>
              </w:rPr>
              <w:t>ICE </w:t>
            </w:r>
            <w:r>
              <w:rPr>
                <w:spacing w:val="-4"/>
                <w:sz w:val="20"/>
              </w:rPr>
              <w:t>Enable. </w:t>
            </w:r>
            <w:r>
              <w:rPr>
                <w:sz w:val="20"/>
              </w:rPr>
              <w:t>When </w:t>
            </w:r>
            <w:r>
              <w:rPr>
                <w:spacing w:val="-4"/>
                <w:sz w:val="20"/>
              </w:rPr>
              <w:t>zero, E_RST, E_TCLK, </w:t>
            </w:r>
            <w:r>
              <w:rPr>
                <w:sz w:val="20"/>
              </w:rPr>
              <w:t>and </w:t>
            </w:r>
            <w:r>
              <w:rPr>
                <w:spacing w:val="-4"/>
                <w:sz w:val="20"/>
              </w:rPr>
              <w:t>E_RXTX become </w:t>
            </w:r>
            <w:r>
              <w:rPr>
                <w:spacing w:val="-3"/>
                <w:sz w:val="20"/>
              </w:rPr>
              <w:t>SEG50, SEG49, </w:t>
            </w:r>
            <w:r>
              <w:rPr>
                <w:sz w:val="20"/>
              </w:rPr>
              <w:t>and </w:t>
            </w:r>
            <w:r>
              <w:rPr>
                <w:spacing w:val="-3"/>
                <w:sz w:val="20"/>
              </w:rPr>
              <w:t>SEG48 </w:t>
            </w:r>
            <w:r>
              <w:rPr>
                <w:spacing w:val="-4"/>
                <w:sz w:val="20"/>
              </w:rPr>
              <w:t>respectively. </w:t>
            </w:r>
            <w:r>
              <w:rPr>
                <w:sz w:val="20"/>
              </w:rPr>
              <w:t>For </w:t>
            </w:r>
            <w:r>
              <w:rPr>
                <w:spacing w:val="-3"/>
                <w:sz w:val="20"/>
              </w:rPr>
              <w:t>production units, this pin should </w:t>
            </w:r>
            <w:r>
              <w:rPr>
                <w:sz w:val="20"/>
              </w:rPr>
              <w:t>be </w:t>
            </w:r>
            <w:r>
              <w:rPr>
                <w:spacing w:val="-3"/>
                <w:sz w:val="20"/>
              </w:rPr>
              <w:t>pulled </w:t>
            </w:r>
            <w:r>
              <w:rPr>
                <w:sz w:val="20"/>
              </w:rPr>
              <w:t>to GND to </w:t>
            </w:r>
            <w:r>
              <w:rPr>
                <w:spacing w:val="-3"/>
                <w:sz w:val="20"/>
              </w:rPr>
              <w:t>disable </w:t>
            </w:r>
            <w:r>
              <w:rPr>
                <w:sz w:val="20"/>
              </w:rPr>
              <w:t>the </w:t>
            </w:r>
            <w:r>
              <w:rPr>
                <w:spacing w:val="-3"/>
                <w:sz w:val="20"/>
              </w:rPr>
              <w:t>emulator port.</w:t>
            </w:r>
          </w:p>
        </w:tc>
      </w:tr>
      <w:tr>
        <w:trPr>
          <w:trHeight w:val="309" w:hRule="atLeast"/>
        </w:trPr>
        <w:tc>
          <w:tcPr>
            <w:tcW w:w="1080" w:type="dxa"/>
          </w:tcPr>
          <w:p>
            <w:pPr>
              <w:pStyle w:val="TableParagraph"/>
              <w:spacing w:before="38"/>
              <w:ind w:left="65" w:right="61"/>
              <w:jc w:val="center"/>
              <w:rPr>
                <w:sz w:val="20"/>
              </w:rPr>
            </w:pPr>
            <w:r>
              <w:rPr>
                <w:sz w:val="20"/>
              </w:rPr>
              <w:t>92</w:t>
            </w:r>
          </w:p>
        </w:tc>
        <w:tc>
          <w:tcPr>
            <w:tcW w:w="2069" w:type="dxa"/>
          </w:tcPr>
          <w:p>
            <w:pPr>
              <w:pStyle w:val="TableParagraph"/>
              <w:spacing w:before="38"/>
              <w:ind w:left="64" w:right="62"/>
              <w:jc w:val="center"/>
              <w:rPr>
                <w:sz w:val="20"/>
              </w:rPr>
            </w:pPr>
            <w:r>
              <w:rPr>
                <w:sz w:val="20"/>
              </w:rPr>
              <w:t>TMUXOUT/SEG47</w:t>
            </w:r>
          </w:p>
        </w:tc>
        <w:tc>
          <w:tcPr>
            <w:tcW w:w="720" w:type="dxa"/>
            <w:vMerge w:val="restart"/>
          </w:tcPr>
          <w:p>
            <w:pPr>
              <w:pStyle w:val="TableParagraph"/>
              <w:spacing w:before="196"/>
              <w:ind w:left="5"/>
              <w:jc w:val="center"/>
              <w:rPr>
                <w:sz w:val="20"/>
              </w:rPr>
            </w:pPr>
            <w:r>
              <w:rPr>
                <w:w w:val="99"/>
                <w:sz w:val="20"/>
              </w:rPr>
              <w:t>O</w:t>
            </w:r>
          </w:p>
        </w:tc>
        <w:tc>
          <w:tcPr>
            <w:tcW w:w="811" w:type="dxa"/>
            <w:vMerge w:val="restart"/>
          </w:tcPr>
          <w:p>
            <w:pPr>
              <w:pStyle w:val="TableParagraph"/>
              <w:spacing w:before="196"/>
              <w:ind w:left="237"/>
              <w:rPr>
                <w:sz w:val="20"/>
              </w:rPr>
            </w:pPr>
            <w:r>
              <w:rPr>
                <w:sz w:val="20"/>
              </w:rPr>
              <w:t>4, 5</w:t>
            </w:r>
          </w:p>
        </w:tc>
        <w:tc>
          <w:tcPr>
            <w:tcW w:w="5429" w:type="dxa"/>
            <w:vMerge w:val="restart"/>
          </w:tcPr>
          <w:p>
            <w:pPr>
              <w:pStyle w:val="TableParagraph"/>
              <w:spacing w:before="81"/>
              <w:ind w:left="85" w:right="128"/>
              <w:rPr>
                <w:rFonts w:ascii="Times New Roman"/>
                <w:i/>
                <w:sz w:val="20"/>
              </w:rPr>
            </w:pPr>
            <w:r>
              <w:rPr>
                <w:sz w:val="20"/>
              </w:rPr>
              <w:t>Multiple-Use Pins. Configurable as either multiplexer/clock output or LCD segment driver using the I/O RAM registers</w:t>
            </w:r>
            <w:r>
              <w:rPr>
                <w:rFonts w:ascii="Times New Roman"/>
                <w:i/>
                <w:sz w:val="20"/>
              </w:rPr>
              <w:t>.</w:t>
            </w:r>
          </w:p>
        </w:tc>
      </w:tr>
      <w:tr>
        <w:trPr>
          <w:trHeight w:val="311" w:hRule="atLeast"/>
        </w:trPr>
        <w:tc>
          <w:tcPr>
            <w:tcW w:w="1080" w:type="dxa"/>
          </w:tcPr>
          <w:p>
            <w:pPr>
              <w:pStyle w:val="TableParagraph"/>
              <w:spacing w:before="38"/>
              <w:ind w:left="65" w:right="61"/>
              <w:jc w:val="center"/>
              <w:rPr>
                <w:sz w:val="20"/>
              </w:rPr>
            </w:pPr>
            <w:r>
              <w:rPr>
                <w:sz w:val="20"/>
              </w:rPr>
              <w:t>93</w:t>
            </w:r>
          </w:p>
        </w:tc>
        <w:tc>
          <w:tcPr>
            <w:tcW w:w="2069" w:type="dxa"/>
          </w:tcPr>
          <w:p>
            <w:pPr>
              <w:pStyle w:val="TableParagraph"/>
              <w:spacing w:before="40"/>
              <w:ind w:left="66" w:right="57"/>
              <w:jc w:val="center"/>
              <w:rPr>
                <w:sz w:val="20"/>
              </w:rPr>
            </w:pPr>
            <w:r>
              <w:rPr>
                <w:sz w:val="20"/>
              </w:rPr>
              <w:t>TMUX2OUT/SEG46</w:t>
            </w:r>
          </w:p>
        </w:tc>
        <w:tc>
          <w:tcPr>
            <w:tcW w:w="720" w:type="dxa"/>
            <w:vMerge/>
            <w:tcBorders>
              <w:top w:val="nil"/>
            </w:tcBorders>
          </w:tcPr>
          <w:p>
            <w:pPr>
              <w:rPr>
                <w:sz w:val="2"/>
                <w:szCs w:val="2"/>
              </w:rPr>
            </w:pPr>
          </w:p>
        </w:tc>
        <w:tc>
          <w:tcPr>
            <w:tcW w:w="811" w:type="dxa"/>
            <w:vMerge/>
            <w:tcBorders>
              <w:top w:val="nil"/>
            </w:tcBorders>
          </w:tcPr>
          <w:p>
            <w:pPr>
              <w:rPr>
                <w:sz w:val="2"/>
                <w:szCs w:val="2"/>
              </w:rPr>
            </w:pPr>
          </w:p>
        </w:tc>
        <w:tc>
          <w:tcPr>
            <w:tcW w:w="5429" w:type="dxa"/>
            <w:vMerge/>
            <w:tcBorders>
              <w:top w:val="nil"/>
            </w:tcBorders>
          </w:tcPr>
          <w:p>
            <w:pPr>
              <w:rPr>
                <w:sz w:val="2"/>
                <w:szCs w:val="2"/>
              </w:rPr>
            </w:pPr>
          </w:p>
        </w:tc>
      </w:tr>
    </w:tbl>
    <w:p>
      <w:pPr>
        <w:spacing w:after="0"/>
        <w:rPr>
          <w:sz w:val="2"/>
          <w:szCs w:val="2"/>
        </w:rPr>
        <w:sectPr>
          <w:pgSz w:w="12240" w:h="15840"/>
          <w:pgMar w:header="727" w:footer="819" w:top="1160" w:bottom="1000" w:left="960" w:right="940"/>
        </w:sectPr>
      </w:pPr>
    </w:p>
    <w:p>
      <w:pPr>
        <w:pStyle w:val="BodyText"/>
        <w:rPr>
          <w:b/>
          <w:sz w:val="8"/>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2069"/>
        <w:gridCol w:w="720"/>
        <w:gridCol w:w="811"/>
        <w:gridCol w:w="5429"/>
      </w:tblGrid>
      <w:tr>
        <w:trPr>
          <w:trHeight w:val="309" w:hRule="atLeast"/>
        </w:trPr>
        <w:tc>
          <w:tcPr>
            <w:tcW w:w="1080" w:type="dxa"/>
          </w:tcPr>
          <w:p>
            <w:pPr>
              <w:pStyle w:val="TableParagraph"/>
              <w:spacing w:before="35"/>
              <w:ind w:left="383"/>
              <w:rPr>
                <w:b/>
                <w:sz w:val="20"/>
              </w:rPr>
            </w:pPr>
            <w:r>
              <w:rPr>
                <w:b/>
                <w:sz w:val="20"/>
              </w:rPr>
              <w:t>Pin</w:t>
            </w:r>
          </w:p>
        </w:tc>
        <w:tc>
          <w:tcPr>
            <w:tcW w:w="2069" w:type="dxa"/>
          </w:tcPr>
          <w:p>
            <w:pPr>
              <w:pStyle w:val="TableParagraph"/>
              <w:spacing w:before="35"/>
              <w:ind w:left="66" w:right="62"/>
              <w:jc w:val="center"/>
              <w:rPr>
                <w:b/>
                <w:sz w:val="20"/>
              </w:rPr>
            </w:pPr>
            <w:r>
              <w:rPr>
                <w:b/>
                <w:sz w:val="20"/>
              </w:rPr>
              <w:t>Name</w:t>
            </w:r>
          </w:p>
        </w:tc>
        <w:tc>
          <w:tcPr>
            <w:tcW w:w="720" w:type="dxa"/>
          </w:tcPr>
          <w:p>
            <w:pPr>
              <w:pStyle w:val="TableParagraph"/>
              <w:spacing w:before="35"/>
              <w:ind w:left="128" w:right="74"/>
              <w:jc w:val="center"/>
              <w:rPr>
                <w:b/>
                <w:sz w:val="20"/>
              </w:rPr>
            </w:pPr>
            <w:r>
              <w:rPr>
                <w:b/>
                <w:sz w:val="20"/>
              </w:rPr>
              <w:t>Type</w:t>
            </w:r>
          </w:p>
        </w:tc>
        <w:tc>
          <w:tcPr>
            <w:tcW w:w="811" w:type="dxa"/>
          </w:tcPr>
          <w:p>
            <w:pPr>
              <w:pStyle w:val="TableParagraph"/>
              <w:spacing w:before="35"/>
              <w:ind w:left="75" w:right="51"/>
              <w:jc w:val="center"/>
              <w:rPr>
                <w:b/>
                <w:sz w:val="20"/>
              </w:rPr>
            </w:pPr>
            <w:r>
              <w:rPr>
                <w:b/>
                <w:sz w:val="20"/>
              </w:rPr>
              <w:t>Circuit</w:t>
            </w:r>
          </w:p>
        </w:tc>
        <w:tc>
          <w:tcPr>
            <w:tcW w:w="5429" w:type="dxa"/>
          </w:tcPr>
          <w:p>
            <w:pPr>
              <w:pStyle w:val="TableParagraph"/>
              <w:spacing w:before="35"/>
              <w:ind w:left="2273" w:right="2261"/>
              <w:jc w:val="center"/>
              <w:rPr>
                <w:b/>
                <w:sz w:val="20"/>
              </w:rPr>
            </w:pPr>
            <w:r>
              <w:rPr>
                <w:b/>
                <w:sz w:val="20"/>
              </w:rPr>
              <w:t>Function</w:t>
            </w:r>
          </w:p>
        </w:tc>
      </w:tr>
      <w:tr>
        <w:trPr>
          <w:trHeight w:val="1190" w:hRule="atLeast"/>
        </w:trPr>
        <w:tc>
          <w:tcPr>
            <w:tcW w:w="1080" w:type="dxa"/>
          </w:tcPr>
          <w:p>
            <w:pPr>
              <w:pStyle w:val="TableParagraph"/>
              <w:rPr>
                <w:b/>
                <w:sz w:val="22"/>
              </w:rPr>
            </w:pPr>
          </w:p>
          <w:p>
            <w:pPr>
              <w:pStyle w:val="TableParagraph"/>
              <w:spacing w:before="5"/>
              <w:rPr>
                <w:b/>
                <w:sz w:val="19"/>
              </w:rPr>
            </w:pPr>
          </w:p>
          <w:p>
            <w:pPr>
              <w:pStyle w:val="TableParagraph"/>
              <w:ind w:left="426"/>
              <w:rPr>
                <w:sz w:val="20"/>
              </w:rPr>
            </w:pPr>
            <w:r>
              <w:rPr>
                <w:sz w:val="20"/>
              </w:rPr>
              <w:t>91</w:t>
            </w:r>
          </w:p>
        </w:tc>
        <w:tc>
          <w:tcPr>
            <w:tcW w:w="2069" w:type="dxa"/>
          </w:tcPr>
          <w:p>
            <w:pPr>
              <w:pStyle w:val="TableParagraph"/>
              <w:rPr>
                <w:b/>
                <w:sz w:val="22"/>
              </w:rPr>
            </w:pPr>
          </w:p>
          <w:p>
            <w:pPr>
              <w:pStyle w:val="TableParagraph"/>
              <w:spacing w:before="5"/>
              <w:rPr>
                <w:b/>
                <w:sz w:val="19"/>
              </w:rPr>
            </w:pPr>
          </w:p>
          <w:p>
            <w:pPr>
              <w:pStyle w:val="TableParagraph"/>
              <w:ind w:left="62" w:right="62"/>
              <w:jc w:val="center"/>
              <w:rPr>
                <w:sz w:val="20"/>
              </w:rPr>
            </w:pPr>
            <w:r>
              <w:rPr>
                <w:sz w:val="20"/>
              </w:rPr>
              <w:t>RESET</w:t>
            </w:r>
          </w:p>
        </w:tc>
        <w:tc>
          <w:tcPr>
            <w:tcW w:w="720" w:type="dxa"/>
          </w:tcPr>
          <w:p>
            <w:pPr>
              <w:pStyle w:val="TableParagraph"/>
              <w:rPr>
                <w:b/>
                <w:sz w:val="22"/>
              </w:rPr>
            </w:pPr>
          </w:p>
          <w:p>
            <w:pPr>
              <w:pStyle w:val="TableParagraph"/>
              <w:spacing w:before="5"/>
              <w:rPr>
                <w:b/>
                <w:sz w:val="19"/>
              </w:rPr>
            </w:pPr>
          </w:p>
          <w:p>
            <w:pPr>
              <w:pStyle w:val="TableParagraph"/>
              <w:ind w:left="6"/>
              <w:jc w:val="center"/>
              <w:rPr>
                <w:sz w:val="20"/>
              </w:rPr>
            </w:pPr>
            <w:r>
              <w:rPr>
                <w:w w:val="99"/>
                <w:sz w:val="20"/>
              </w:rPr>
              <w:t>I</w:t>
            </w:r>
          </w:p>
        </w:tc>
        <w:tc>
          <w:tcPr>
            <w:tcW w:w="811" w:type="dxa"/>
          </w:tcPr>
          <w:p>
            <w:pPr>
              <w:pStyle w:val="TableParagraph"/>
              <w:rPr>
                <w:b/>
                <w:sz w:val="22"/>
              </w:rPr>
            </w:pPr>
          </w:p>
          <w:p>
            <w:pPr>
              <w:pStyle w:val="TableParagraph"/>
              <w:spacing w:before="5"/>
              <w:rPr>
                <w:b/>
                <w:sz w:val="19"/>
              </w:rPr>
            </w:pPr>
          </w:p>
          <w:p>
            <w:pPr>
              <w:pStyle w:val="TableParagraph"/>
              <w:ind w:left="4"/>
              <w:jc w:val="center"/>
              <w:rPr>
                <w:sz w:val="20"/>
              </w:rPr>
            </w:pPr>
            <w:r>
              <w:rPr>
                <w:w w:val="99"/>
                <w:sz w:val="20"/>
              </w:rPr>
              <w:t>2</w:t>
            </w:r>
          </w:p>
        </w:tc>
        <w:tc>
          <w:tcPr>
            <w:tcW w:w="5429" w:type="dxa"/>
          </w:tcPr>
          <w:p>
            <w:pPr>
              <w:pStyle w:val="TableParagraph"/>
              <w:spacing w:before="18"/>
              <w:ind w:left="86" w:right="76"/>
              <w:rPr>
                <w:sz w:val="20"/>
              </w:rPr>
            </w:pPr>
            <w:r>
              <w:rPr>
                <w:sz w:val="20"/>
              </w:rPr>
              <w:t>Chip Reset. This input pin is used to reset the chip into a known state. For normal </w:t>
            </w:r>
            <w:r>
              <w:rPr>
                <w:spacing w:val="-3"/>
                <w:sz w:val="20"/>
              </w:rPr>
              <w:t>operation, </w:t>
            </w:r>
            <w:r>
              <w:rPr>
                <w:sz w:val="20"/>
              </w:rPr>
              <w:t>this pin is pulled low. To reset the chip, this pin should be pulled high. This pin has an internal 30 μA (nominal) current source pulldown. No external reset circuitry is necessary.</w:t>
            </w:r>
          </w:p>
        </w:tc>
      </w:tr>
      <w:tr>
        <w:trPr>
          <w:trHeight w:val="501" w:hRule="atLeast"/>
        </w:trPr>
        <w:tc>
          <w:tcPr>
            <w:tcW w:w="1080" w:type="dxa"/>
          </w:tcPr>
          <w:p>
            <w:pPr>
              <w:pStyle w:val="TableParagraph"/>
              <w:spacing w:before="134"/>
              <w:ind w:left="426"/>
              <w:rPr>
                <w:sz w:val="20"/>
              </w:rPr>
            </w:pPr>
            <w:r>
              <w:rPr>
                <w:sz w:val="20"/>
              </w:rPr>
              <w:t>55</w:t>
            </w:r>
          </w:p>
        </w:tc>
        <w:tc>
          <w:tcPr>
            <w:tcW w:w="2069" w:type="dxa"/>
          </w:tcPr>
          <w:p>
            <w:pPr>
              <w:pStyle w:val="TableParagraph"/>
              <w:spacing w:before="134"/>
              <w:ind w:left="65" w:right="62"/>
              <w:jc w:val="center"/>
              <w:rPr>
                <w:sz w:val="20"/>
              </w:rPr>
            </w:pPr>
            <w:r>
              <w:rPr>
                <w:sz w:val="20"/>
              </w:rPr>
              <w:t>RX</w:t>
            </w:r>
          </w:p>
        </w:tc>
        <w:tc>
          <w:tcPr>
            <w:tcW w:w="720" w:type="dxa"/>
          </w:tcPr>
          <w:p>
            <w:pPr>
              <w:pStyle w:val="TableParagraph"/>
              <w:spacing w:before="134"/>
              <w:ind w:left="7"/>
              <w:jc w:val="center"/>
              <w:rPr>
                <w:sz w:val="20"/>
              </w:rPr>
            </w:pPr>
            <w:r>
              <w:rPr>
                <w:w w:val="99"/>
                <w:sz w:val="20"/>
              </w:rPr>
              <w:t>I</w:t>
            </w:r>
          </w:p>
        </w:tc>
        <w:tc>
          <w:tcPr>
            <w:tcW w:w="811" w:type="dxa"/>
          </w:tcPr>
          <w:p>
            <w:pPr>
              <w:pStyle w:val="TableParagraph"/>
              <w:spacing w:before="134"/>
              <w:ind w:left="5"/>
              <w:jc w:val="center"/>
              <w:rPr>
                <w:sz w:val="20"/>
              </w:rPr>
            </w:pPr>
            <w:r>
              <w:rPr>
                <w:w w:val="99"/>
                <w:sz w:val="20"/>
              </w:rPr>
              <w:t>3</w:t>
            </w:r>
          </w:p>
        </w:tc>
        <w:tc>
          <w:tcPr>
            <w:tcW w:w="5429" w:type="dxa"/>
          </w:tcPr>
          <w:p>
            <w:pPr>
              <w:pStyle w:val="TableParagraph"/>
              <w:spacing w:before="16"/>
              <w:ind w:left="86"/>
              <w:rPr>
                <w:b/>
                <w:sz w:val="20"/>
              </w:rPr>
            </w:pPr>
            <w:r>
              <w:rPr>
                <w:sz w:val="20"/>
              </w:rPr>
              <w:t>UART0 Input. </w:t>
            </w:r>
            <w:r>
              <w:rPr>
                <w:b/>
                <w:sz w:val="20"/>
              </w:rPr>
              <w:t>If this pin is unused it must be terminated to V3P3D or GNDD.</w:t>
            </w:r>
          </w:p>
        </w:tc>
      </w:tr>
      <w:tr>
        <w:trPr>
          <w:trHeight w:val="268" w:hRule="atLeast"/>
        </w:trPr>
        <w:tc>
          <w:tcPr>
            <w:tcW w:w="1080" w:type="dxa"/>
          </w:tcPr>
          <w:p>
            <w:pPr>
              <w:pStyle w:val="TableParagraph"/>
              <w:spacing w:before="16"/>
              <w:ind w:left="426"/>
              <w:rPr>
                <w:sz w:val="20"/>
              </w:rPr>
            </w:pPr>
            <w:r>
              <w:rPr>
                <w:sz w:val="20"/>
              </w:rPr>
              <w:t>54</w:t>
            </w:r>
          </w:p>
        </w:tc>
        <w:tc>
          <w:tcPr>
            <w:tcW w:w="2069" w:type="dxa"/>
          </w:tcPr>
          <w:p>
            <w:pPr>
              <w:pStyle w:val="TableParagraph"/>
              <w:spacing w:before="16"/>
              <w:ind w:left="66" w:right="61"/>
              <w:jc w:val="center"/>
              <w:rPr>
                <w:sz w:val="20"/>
              </w:rPr>
            </w:pPr>
            <w:r>
              <w:rPr>
                <w:sz w:val="20"/>
              </w:rPr>
              <w:t>TX</w:t>
            </w:r>
          </w:p>
        </w:tc>
        <w:tc>
          <w:tcPr>
            <w:tcW w:w="720" w:type="dxa"/>
          </w:tcPr>
          <w:p>
            <w:pPr>
              <w:pStyle w:val="TableParagraph"/>
              <w:spacing w:before="16"/>
              <w:ind w:left="5"/>
              <w:jc w:val="center"/>
              <w:rPr>
                <w:sz w:val="20"/>
              </w:rPr>
            </w:pPr>
            <w:r>
              <w:rPr>
                <w:w w:val="99"/>
                <w:sz w:val="20"/>
              </w:rPr>
              <w:t>O</w:t>
            </w:r>
          </w:p>
        </w:tc>
        <w:tc>
          <w:tcPr>
            <w:tcW w:w="811" w:type="dxa"/>
          </w:tcPr>
          <w:p>
            <w:pPr>
              <w:pStyle w:val="TableParagraph"/>
              <w:spacing w:before="16"/>
              <w:ind w:left="4"/>
              <w:jc w:val="center"/>
              <w:rPr>
                <w:sz w:val="20"/>
              </w:rPr>
            </w:pPr>
            <w:r>
              <w:rPr>
                <w:w w:val="99"/>
                <w:sz w:val="20"/>
              </w:rPr>
              <w:t>4</w:t>
            </w:r>
          </w:p>
        </w:tc>
        <w:tc>
          <w:tcPr>
            <w:tcW w:w="5429" w:type="dxa"/>
          </w:tcPr>
          <w:p>
            <w:pPr>
              <w:pStyle w:val="TableParagraph"/>
              <w:spacing w:before="16"/>
              <w:ind w:left="86"/>
              <w:rPr>
                <w:sz w:val="20"/>
              </w:rPr>
            </w:pPr>
            <w:r>
              <w:rPr>
                <w:sz w:val="20"/>
              </w:rPr>
              <w:t>UART0 Output</w:t>
            </w:r>
          </w:p>
        </w:tc>
      </w:tr>
      <w:tr>
        <w:trPr>
          <w:trHeight w:val="482" w:hRule="atLeast"/>
        </w:trPr>
        <w:tc>
          <w:tcPr>
            <w:tcW w:w="1080" w:type="dxa"/>
          </w:tcPr>
          <w:p>
            <w:pPr>
              <w:pStyle w:val="TableParagraph"/>
              <w:spacing w:before="122"/>
              <w:ind w:left="426"/>
              <w:rPr>
                <w:sz w:val="20"/>
              </w:rPr>
            </w:pPr>
            <w:r>
              <w:rPr>
                <w:sz w:val="20"/>
              </w:rPr>
              <w:t>81</w:t>
            </w:r>
          </w:p>
        </w:tc>
        <w:tc>
          <w:tcPr>
            <w:tcW w:w="2069" w:type="dxa"/>
          </w:tcPr>
          <w:p>
            <w:pPr>
              <w:pStyle w:val="TableParagraph"/>
              <w:spacing w:before="122"/>
              <w:ind w:left="66" w:right="61"/>
              <w:jc w:val="center"/>
              <w:rPr>
                <w:sz w:val="20"/>
              </w:rPr>
            </w:pPr>
            <w:r>
              <w:rPr>
                <w:sz w:val="20"/>
              </w:rPr>
              <w:t>TEST</w:t>
            </w:r>
          </w:p>
        </w:tc>
        <w:tc>
          <w:tcPr>
            <w:tcW w:w="720" w:type="dxa"/>
          </w:tcPr>
          <w:p>
            <w:pPr>
              <w:pStyle w:val="TableParagraph"/>
              <w:spacing w:before="122"/>
              <w:ind w:left="6"/>
              <w:jc w:val="center"/>
              <w:rPr>
                <w:sz w:val="20"/>
              </w:rPr>
            </w:pPr>
            <w:r>
              <w:rPr>
                <w:w w:val="99"/>
                <w:sz w:val="20"/>
              </w:rPr>
              <w:t>I</w:t>
            </w:r>
          </w:p>
        </w:tc>
        <w:tc>
          <w:tcPr>
            <w:tcW w:w="811" w:type="dxa"/>
          </w:tcPr>
          <w:p>
            <w:pPr>
              <w:pStyle w:val="TableParagraph"/>
              <w:spacing w:before="122"/>
              <w:ind w:left="4"/>
              <w:jc w:val="center"/>
              <w:rPr>
                <w:sz w:val="20"/>
              </w:rPr>
            </w:pPr>
            <w:r>
              <w:rPr>
                <w:w w:val="99"/>
                <w:sz w:val="20"/>
              </w:rPr>
              <w:t>7</w:t>
            </w:r>
          </w:p>
        </w:tc>
        <w:tc>
          <w:tcPr>
            <w:tcW w:w="5429" w:type="dxa"/>
          </w:tcPr>
          <w:p>
            <w:pPr>
              <w:pStyle w:val="TableParagraph"/>
              <w:spacing w:line="230" w:lineRule="auto" w:before="16"/>
              <w:ind w:left="86" w:right="222"/>
              <w:rPr>
                <w:b/>
                <w:sz w:val="20"/>
              </w:rPr>
            </w:pPr>
            <w:r>
              <w:rPr>
                <w:sz w:val="20"/>
              </w:rPr>
              <w:t>Enables Production Test. </w:t>
            </w:r>
            <w:r>
              <w:rPr>
                <w:b/>
                <w:sz w:val="20"/>
              </w:rPr>
              <w:t>This pin must be grounded in normal operation.</w:t>
            </w:r>
          </w:p>
        </w:tc>
      </w:tr>
      <w:tr>
        <w:trPr>
          <w:trHeight w:val="959" w:hRule="atLeast"/>
        </w:trPr>
        <w:tc>
          <w:tcPr>
            <w:tcW w:w="1080" w:type="dxa"/>
          </w:tcPr>
          <w:p>
            <w:pPr>
              <w:pStyle w:val="TableParagraph"/>
              <w:spacing w:before="5"/>
              <w:rPr>
                <w:b/>
                <w:sz w:val="31"/>
              </w:rPr>
            </w:pPr>
          </w:p>
          <w:p>
            <w:pPr>
              <w:pStyle w:val="TableParagraph"/>
              <w:ind w:left="426"/>
              <w:rPr>
                <w:sz w:val="20"/>
              </w:rPr>
            </w:pPr>
            <w:r>
              <w:rPr>
                <w:sz w:val="20"/>
              </w:rPr>
              <w:t>90</w:t>
            </w:r>
          </w:p>
        </w:tc>
        <w:tc>
          <w:tcPr>
            <w:tcW w:w="2069" w:type="dxa"/>
          </w:tcPr>
          <w:p>
            <w:pPr>
              <w:pStyle w:val="TableParagraph"/>
              <w:spacing w:before="5"/>
              <w:rPr>
                <w:b/>
                <w:sz w:val="31"/>
              </w:rPr>
            </w:pPr>
          </w:p>
          <w:p>
            <w:pPr>
              <w:pStyle w:val="TableParagraph"/>
              <w:ind w:left="66" w:right="62"/>
              <w:jc w:val="center"/>
              <w:rPr>
                <w:sz w:val="20"/>
              </w:rPr>
            </w:pPr>
            <w:r>
              <w:rPr>
                <w:sz w:val="20"/>
              </w:rPr>
              <w:t>PB</w:t>
            </w:r>
          </w:p>
        </w:tc>
        <w:tc>
          <w:tcPr>
            <w:tcW w:w="720" w:type="dxa"/>
          </w:tcPr>
          <w:p>
            <w:pPr>
              <w:pStyle w:val="TableParagraph"/>
              <w:spacing w:before="5"/>
              <w:rPr>
                <w:b/>
                <w:sz w:val="31"/>
              </w:rPr>
            </w:pPr>
          </w:p>
          <w:p>
            <w:pPr>
              <w:pStyle w:val="TableParagraph"/>
              <w:ind w:left="6"/>
              <w:jc w:val="center"/>
              <w:rPr>
                <w:sz w:val="20"/>
              </w:rPr>
            </w:pPr>
            <w:r>
              <w:rPr>
                <w:w w:val="99"/>
                <w:sz w:val="20"/>
              </w:rPr>
              <w:t>I</w:t>
            </w:r>
          </w:p>
        </w:tc>
        <w:tc>
          <w:tcPr>
            <w:tcW w:w="811" w:type="dxa"/>
          </w:tcPr>
          <w:p>
            <w:pPr>
              <w:pStyle w:val="TableParagraph"/>
              <w:spacing w:before="5"/>
              <w:rPr>
                <w:b/>
                <w:sz w:val="31"/>
              </w:rPr>
            </w:pPr>
          </w:p>
          <w:p>
            <w:pPr>
              <w:pStyle w:val="TableParagraph"/>
              <w:ind w:left="4"/>
              <w:jc w:val="center"/>
              <w:rPr>
                <w:sz w:val="20"/>
              </w:rPr>
            </w:pPr>
            <w:r>
              <w:rPr>
                <w:w w:val="99"/>
                <w:sz w:val="20"/>
              </w:rPr>
              <w:t>3</w:t>
            </w:r>
          </w:p>
        </w:tc>
        <w:tc>
          <w:tcPr>
            <w:tcW w:w="5429" w:type="dxa"/>
          </w:tcPr>
          <w:p>
            <w:pPr>
              <w:pStyle w:val="TableParagraph"/>
              <w:spacing w:before="16"/>
              <w:ind w:left="86" w:right="90"/>
              <w:rPr>
                <w:sz w:val="20"/>
              </w:rPr>
            </w:pPr>
            <w:r>
              <w:rPr>
                <w:spacing w:val="-4"/>
                <w:sz w:val="20"/>
              </w:rPr>
              <w:t>Pushbutton Input. </w:t>
            </w:r>
            <w:r>
              <w:rPr>
                <w:spacing w:val="-3"/>
                <w:sz w:val="20"/>
              </w:rPr>
              <w:t>This pin must </w:t>
            </w:r>
            <w:r>
              <w:rPr>
                <w:sz w:val="20"/>
              </w:rPr>
              <w:t>be at </w:t>
            </w:r>
            <w:r>
              <w:rPr>
                <w:spacing w:val="-3"/>
                <w:sz w:val="20"/>
              </w:rPr>
              <w:t>GNDD when not </w:t>
            </w:r>
            <w:r>
              <w:rPr>
                <w:spacing w:val="-4"/>
                <w:sz w:val="20"/>
              </w:rPr>
              <w:t>active </w:t>
            </w:r>
            <w:r>
              <w:rPr>
                <w:spacing w:val="-3"/>
                <w:sz w:val="20"/>
              </w:rPr>
              <w:t>or </w:t>
            </w:r>
            <w:r>
              <w:rPr>
                <w:sz w:val="20"/>
              </w:rPr>
              <w:t>unused. A rising edge sets the </w:t>
            </w:r>
            <w:r>
              <w:rPr>
                <w:rFonts w:ascii="Times New Roman"/>
                <w:i/>
                <w:sz w:val="20"/>
              </w:rPr>
              <w:t>WF_PB </w:t>
            </w:r>
            <w:r>
              <w:rPr>
                <w:sz w:val="20"/>
              </w:rPr>
              <w:t>flag. It also causes the part to wake up if it is in SLP or LCD mode. PB does not have an internal </w:t>
            </w:r>
            <w:r>
              <w:rPr>
                <w:spacing w:val="-4"/>
                <w:sz w:val="20"/>
              </w:rPr>
              <w:t>pullup </w:t>
            </w:r>
            <w:r>
              <w:rPr>
                <w:spacing w:val="-3"/>
                <w:sz w:val="20"/>
              </w:rPr>
              <w:t>or </w:t>
            </w:r>
            <w:r>
              <w:rPr>
                <w:spacing w:val="-4"/>
                <w:sz w:val="20"/>
              </w:rPr>
              <w:t>pulldown resistor.</w:t>
            </w:r>
          </w:p>
        </w:tc>
      </w:tr>
      <w:tr>
        <w:trPr>
          <w:trHeight w:val="1189" w:hRule="atLeast"/>
        </w:trPr>
        <w:tc>
          <w:tcPr>
            <w:tcW w:w="1080" w:type="dxa"/>
          </w:tcPr>
          <w:p>
            <w:pPr>
              <w:pStyle w:val="TableParagraph"/>
              <w:spacing w:before="18"/>
              <w:ind w:left="235"/>
              <w:rPr>
                <w:sz w:val="20"/>
              </w:rPr>
            </w:pPr>
            <w:r>
              <w:rPr>
                <w:sz w:val="20"/>
              </w:rPr>
              <w:t>26,</w:t>
            </w:r>
            <w:r>
              <w:rPr>
                <w:spacing w:val="-7"/>
                <w:sz w:val="20"/>
              </w:rPr>
              <w:t> </w:t>
            </w:r>
            <w:r>
              <w:rPr>
                <w:sz w:val="20"/>
              </w:rPr>
              <w:t>40,</w:t>
            </w:r>
          </w:p>
          <w:p>
            <w:pPr>
              <w:pStyle w:val="TableParagraph"/>
              <w:spacing w:line="229" w:lineRule="exact" w:before="1"/>
              <w:ind w:left="235"/>
              <w:rPr>
                <w:sz w:val="20"/>
              </w:rPr>
            </w:pPr>
            <w:r>
              <w:rPr>
                <w:sz w:val="20"/>
              </w:rPr>
              <w:t>48,</w:t>
            </w:r>
            <w:r>
              <w:rPr>
                <w:spacing w:val="-7"/>
                <w:sz w:val="20"/>
              </w:rPr>
              <w:t> </w:t>
            </w:r>
            <w:r>
              <w:rPr>
                <w:sz w:val="20"/>
              </w:rPr>
              <w:t>49,</w:t>
            </w:r>
          </w:p>
          <w:p>
            <w:pPr>
              <w:pStyle w:val="TableParagraph"/>
              <w:spacing w:line="229" w:lineRule="exact"/>
              <w:ind w:left="235"/>
              <w:rPr>
                <w:sz w:val="20"/>
              </w:rPr>
            </w:pPr>
            <w:r>
              <w:rPr>
                <w:sz w:val="20"/>
              </w:rPr>
              <w:t>50,</w:t>
            </w:r>
            <w:r>
              <w:rPr>
                <w:spacing w:val="-7"/>
                <w:sz w:val="20"/>
              </w:rPr>
              <w:t> </w:t>
            </w:r>
            <w:r>
              <w:rPr>
                <w:sz w:val="20"/>
              </w:rPr>
              <w:t>73,</w:t>
            </w:r>
          </w:p>
          <w:p>
            <w:pPr>
              <w:pStyle w:val="TableParagraph"/>
              <w:ind w:left="235"/>
              <w:rPr>
                <w:sz w:val="20"/>
              </w:rPr>
            </w:pPr>
            <w:r>
              <w:rPr>
                <w:sz w:val="20"/>
              </w:rPr>
              <w:t>74,</w:t>
            </w:r>
            <w:r>
              <w:rPr>
                <w:spacing w:val="-7"/>
                <w:sz w:val="20"/>
              </w:rPr>
              <w:t> </w:t>
            </w:r>
            <w:r>
              <w:rPr>
                <w:sz w:val="20"/>
              </w:rPr>
              <w:t>77,</w:t>
            </w:r>
          </w:p>
          <w:p>
            <w:pPr>
              <w:pStyle w:val="TableParagraph"/>
              <w:ind w:left="261"/>
              <w:rPr>
                <w:sz w:val="20"/>
              </w:rPr>
            </w:pPr>
            <w:r>
              <w:rPr>
                <w:sz w:val="20"/>
              </w:rPr>
              <w:t>78,</w:t>
            </w:r>
            <w:r>
              <w:rPr>
                <w:spacing w:val="-4"/>
                <w:sz w:val="20"/>
              </w:rPr>
              <w:t> </w:t>
            </w:r>
            <w:r>
              <w:rPr>
                <w:sz w:val="20"/>
              </w:rPr>
              <w:t>79</w:t>
            </w:r>
          </w:p>
        </w:tc>
        <w:tc>
          <w:tcPr>
            <w:tcW w:w="2069" w:type="dxa"/>
          </w:tcPr>
          <w:p>
            <w:pPr>
              <w:pStyle w:val="TableParagraph"/>
              <w:rPr>
                <w:b/>
                <w:sz w:val="22"/>
              </w:rPr>
            </w:pPr>
          </w:p>
          <w:p>
            <w:pPr>
              <w:pStyle w:val="TableParagraph"/>
              <w:spacing w:before="5"/>
              <w:rPr>
                <w:b/>
                <w:sz w:val="19"/>
              </w:rPr>
            </w:pPr>
          </w:p>
          <w:p>
            <w:pPr>
              <w:pStyle w:val="TableParagraph"/>
              <w:ind w:left="66" w:right="62"/>
              <w:jc w:val="center"/>
              <w:rPr>
                <w:sz w:val="20"/>
              </w:rPr>
            </w:pPr>
            <w:r>
              <w:rPr>
                <w:sz w:val="20"/>
              </w:rPr>
              <w:t>NC</w:t>
            </w:r>
          </w:p>
        </w:tc>
        <w:tc>
          <w:tcPr>
            <w:tcW w:w="720" w:type="dxa"/>
          </w:tcPr>
          <w:p>
            <w:pPr>
              <w:pStyle w:val="TableParagraph"/>
              <w:rPr>
                <w:b/>
                <w:sz w:val="22"/>
              </w:rPr>
            </w:pPr>
          </w:p>
          <w:p>
            <w:pPr>
              <w:pStyle w:val="TableParagraph"/>
              <w:spacing w:before="5"/>
              <w:rPr>
                <w:b/>
                <w:sz w:val="19"/>
              </w:rPr>
            </w:pPr>
          </w:p>
          <w:p>
            <w:pPr>
              <w:pStyle w:val="TableParagraph"/>
              <w:ind w:left="80" w:right="74"/>
              <w:jc w:val="center"/>
              <w:rPr>
                <w:sz w:val="20"/>
              </w:rPr>
            </w:pPr>
            <w:r>
              <w:rPr>
                <w:sz w:val="20"/>
              </w:rPr>
              <w:t>N/C</w:t>
            </w:r>
          </w:p>
        </w:tc>
        <w:tc>
          <w:tcPr>
            <w:tcW w:w="811" w:type="dxa"/>
          </w:tcPr>
          <w:p>
            <w:pPr>
              <w:pStyle w:val="TableParagraph"/>
              <w:rPr>
                <w:b/>
                <w:sz w:val="22"/>
              </w:rPr>
            </w:pPr>
          </w:p>
          <w:p>
            <w:pPr>
              <w:pStyle w:val="TableParagraph"/>
              <w:spacing w:before="5"/>
              <w:rPr>
                <w:b/>
                <w:sz w:val="19"/>
              </w:rPr>
            </w:pPr>
          </w:p>
          <w:p>
            <w:pPr>
              <w:pStyle w:val="TableParagraph"/>
              <w:ind w:left="6"/>
              <w:jc w:val="center"/>
              <w:rPr>
                <w:sz w:val="20"/>
              </w:rPr>
            </w:pPr>
            <w:r>
              <w:rPr>
                <w:w w:val="99"/>
                <w:sz w:val="20"/>
              </w:rPr>
              <w:t>—</w:t>
            </w:r>
          </w:p>
        </w:tc>
        <w:tc>
          <w:tcPr>
            <w:tcW w:w="5429" w:type="dxa"/>
          </w:tcPr>
          <w:p>
            <w:pPr>
              <w:pStyle w:val="TableParagraph"/>
              <w:rPr>
                <w:b/>
                <w:sz w:val="22"/>
              </w:rPr>
            </w:pPr>
          </w:p>
          <w:p>
            <w:pPr>
              <w:pStyle w:val="TableParagraph"/>
              <w:spacing w:before="5"/>
              <w:rPr>
                <w:b/>
                <w:sz w:val="19"/>
              </w:rPr>
            </w:pPr>
          </w:p>
          <w:p>
            <w:pPr>
              <w:pStyle w:val="TableParagraph"/>
              <w:ind w:left="86"/>
              <w:rPr>
                <w:sz w:val="20"/>
              </w:rPr>
            </w:pPr>
            <w:r>
              <w:rPr>
                <w:sz w:val="20"/>
              </w:rPr>
              <w:t>No Connection. Do not connect this pin.</w:t>
            </w:r>
          </w:p>
        </w:tc>
      </w:tr>
    </w:tbl>
    <w:p>
      <w:pPr>
        <w:spacing w:after="0"/>
        <w:rPr>
          <w:sz w:val="20"/>
        </w:rPr>
        <w:sectPr>
          <w:pgSz w:w="12240" w:h="15840"/>
          <w:pgMar w:header="727" w:footer="819" w:top="1160" w:bottom="1000" w:left="960" w:right="940"/>
        </w:sectPr>
      </w:pPr>
    </w:p>
    <w:p>
      <w:pPr>
        <w:pStyle w:val="ListParagraph"/>
        <w:numPr>
          <w:ilvl w:val="2"/>
          <w:numId w:val="42"/>
        </w:numPr>
        <w:tabs>
          <w:tab w:pos="1199" w:val="left" w:leader="none"/>
          <w:tab w:pos="1200" w:val="left" w:leader="none"/>
        </w:tabs>
        <w:spacing w:line="240" w:lineRule="auto" w:before="88" w:after="0"/>
        <w:ind w:left="1199" w:right="0" w:hanging="720"/>
        <w:jc w:val="left"/>
        <w:rPr>
          <w:b/>
          <w:sz w:val="22"/>
        </w:rPr>
      </w:pPr>
      <w:bookmarkStart w:name="6.8.4 I/O Equivalent Circuits" w:id="624"/>
      <w:bookmarkEnd w:id="624"/>
      <w:r>
        <w:rPr/>
      </w:r>
      <w:bookmarkStart w:name="_bookmark305" w:id="625"/>
      <w:bookmarkEnd w:id="625"/>
      <w:r>
        <w:rPr/>
      </w:r>
      <w:bookmarkStart w:name="_bookmark305" w:id="626"/>
      <w:bookmarkEnd w:id="626"/>
      <w:r>
        <w:rPr>
          <w:b/>
          <w:sz w:val="22"/>
        </w:rPr>
        <w:t>I</w:t>
      </w:r>
      <w:r>
        <w:rPr>
          <w:b/>
          <w:sz w:val="22"/>
        </w:rPr>
        <w:t>/O Equivalent</w:t>
      </w:r>
      <w:r>
        <w:rPr>
          <w:b/>
          <w:spacing w:val="-4"/>
          <w:sz w:val="22"/>
        </w:rPr>
        <w:t> </w:t>
      </w:r>
      <w:r>
        <w:rPr>
          <w:b/>
          <w:sz w:val="22"/>
        </w:rPr>
        <w:t>Circuits</w:t>
      </w:r>
    </w:p>
    <w:p>
      <w:pPr>
        <w:spacing w:before="167"/>
        <w:ind w:left="0" w:right="593" w:firstLine="0"/>
        <w:jc w:val="right"/>
        <w:rPr>
          <w:sz w:val="14"/>
        </w:rPr>
      </w:pPr>
      <w:r>
        <w:rPr>
          <w:w w:val="95"/>
          <w:sz w:val="14"/>
        </w:rPr>
        <w:t>V3P3D</w:t>
      </w:r>
    </w:p>
    <w:p>
      <w:pPr>
        <w:pStyle w:val="BodyText"/>
        <w:rPr>
          <w:sz w:val="16"/>
        </w:rPr>
      </w:pPr>
      <w:r>
        <w:rPr/>
        <w:br w:type="column"/>
      </w:r>
      <w:r>
        <w:rPr>
          <w:sz w:val="16"/>
        </w:rPr>
      </w:r>
    </w:p>
    <w:p>
      <w:pPr>
        <w:pStyle w:val="BodyText"/>
        <w:rPr>
          <w:sz w:val="16"/>
        </w:rPr>
      </w:pPr>
    </w:p>
    <w:p>
      <w:pPr>
        <w:pStyle w:val="BodyText"/>
        <w:spacing w:before="11"/>
      </w:pPr>
    </w:p>
    <w:p>
      <w:pPr>
        <w:spacing w:before="0"/>
        <w:ind w:left="480" w:right="0" w:firstLine="0"/>
        <w:jc w:val="left"/>
        <w:rPr>
          <w:sz w:val="14"/>
        </w:rPr>
      </w:pPr>
      <w:r>
        <w:rPr>
          <w:sz w:val="14"/>
        </w:rPr>
        <w:t>V3P3A</w:t>
      </w:r>
    </w:p>
    <w:p>
      <w:pPr>
        <w:spacing w:after="0"/>
        <w:jc w:val="left"/>
        <w:rPr>
          <w:sz w:val="14"/>
        </w:rPr>
        <w:sectPr>
          <w:pgSz w:w="12240" w:h="15840"/>
          <w:pgMar w:header="727" w:footer="819" w:top="1160" w:bottom="1000" w:left="960" w:right="940"/>
          <w:cols w:num="2" w:equalWidth="0">
            <w:col w:w="3590" w:space="4402"/>
            <w:col w:w="2348"/>
          </w:cols>
        </w:sectPr>
      </w:pPr>
    </w:p>
    <w:p>
      <w:pPr>
        <w:pStyle w:val="BodyText"/>
        <w:spacing w:before="2"/>
        <w:rPr>
          <w:sz w:val="25"/>
        </w:rPr>
      </w:pPr>
    </w:p>
    <w:p>
      <w:pPr>
        <w:spacing w:after="0"/>
        <w:rPr>
          <w:sz w:val="25"/>
        </w:rPr>
        <w:sectPr>
          <w:type w:val="continuous"/>
          <w:pgSz w:w="12240" w:h="15840"/>
          <w:pgMar w:top="940" w:bottom="280" w:left="960" w:right="940"/>
        </w:sectPr>
      </w:pPr>
    </w:p>
    <w:p>
      <w:pPr>
        <w:pStyle w:val="BodyText"/>
        <w:spacing w:before="5"/>
        <w:rPr>
          <w:sz w:val="19"/>
        </w:rPr>
      </w:pPr>
    </w:p>
    <w:p>
      <w:pPr>
        <w:spacing w:line="242" w:lineRule="auto" w:before="1"/>
        <w:ind w:left="767" w:right="18" w:firstLine="0"/>
        <w:jc w:val="center"/>
        <w:rPr>
          <w:sz w:val="14"/>
        </w:rPr>
      </w:pPr>
      <w:r>
        <w:rPr>
          <w:sz w:val="14"/>
        </w:rPr>
        <w:t>Digital Input Pin</w:t>
      </w:r>
    </w:p>
    <w:p>
      <w:pPr>
        <w:pStyle w:val="BodyText"/>
        <w:rPr>
          <w:sz w:val="16"/>
        </w:rPr>
      </w:pPr>
      <w:r>
        <w:rPr/>
        <w:br w:type="column"/>
      </w:r>
      <w:r>
        <w:rPr>
          <w:sz w:val="16"/>
        </w:rPr>
      </w:r>
    </w:p>
    <w:p>
      <w:pPr>
        <w:spacing w:before="122"/>
        <w:ind w:left="787" w:right="0" w:firstLine="0"/>
        <w:jc w:val="left"/>
        <w:rPr>
          <w:sz w:val="14"/>
        </w:rPr>
      </w:pPr>
      <w:r>
        <w:rPr/>
        <w:pict>
          <v:group style="position:absolute;margin-left:109.199997pt;margin-top:-28.194103pt;width:81.55pt;height:88.8pt;mso-position-horizontal-relative:page;mso-position-vertical-relative:paragraph;z-index:15871488" coordorigin="2184,-564" coordsize="1631,1776">
            <v:line style="position:absolute" from="2266,289" to="3266,289" stroked="true" strokeweight=".65pt" strokecolor="#000000">
              <v:stroke dashstyle="solid"/>
            </v:line>
            <v:shape style="position:absolute;left:2451;top:282;width:165;height:624" type="#_x0000_t75" stroked="false">
              <v:imagedata r:id="rId234" o:title=""/>
            </v:shape>
            <v:rect style="position:absolute;left:2190;top:250;width:76;height:77" filled="false" stroked="true" strokeweight=".6pt" strokecolor="#000000">
              <v:stroke dashstyle="solid"/>
            </v:rect>
            <v:shape style="position:absolute;left:2457;top:-323;width:153;height:611" coordorigin="2457,-323" coordsize="153,611" path="m2533,288l2533,84,2457,58,2610,7,2457,-44,2610,-95,2533,-119,2533,-323e" filled="false" stroked="true" strokeweight=".6pt" strokecolor="#000000">
              <v:path arrowok="t"/>
              <v:stroke dashstyle="solid"/>
            </v:shape>
            <v:shape style="position:absolute;left:2457;top:900;width:153;height:76" coordorigin="2457,900" coordsize="153,76" path="m2610,900l2457,900,2533,976,2610,900xe" filled="true" fillcolor="#ffffff" stroked="false">
              <v:path arrowok="t"/>
              <v:fill type="solid"/>
            </v:shape>
            <v:shape style="position:absolute;left:2457;top:900;width:153;height:76" coordorigin="2457,900" coordsize="153,76" path="m2457,900l2610,900,2533,976,2457,900xe" filled="false" stroked="true" strokeweight=".6pt" strokecolor="#000000">
              <v:path arrowok="t"/>
              <v:stroke dashstyle="solid"/>
            </v:shape>
            <v:line style="position:absolute" from="3264,-95" to="3427,-94" stroked="true" strokeweight=".6pt" strokecolor="#000000">
              <v:stroke dashstyle="solid"/>
            </v:line>
            <v:line style="position:absolute" from="3275,676" to="3427,677" stroked="true" strokeweight=".6pt" strokecolor="#000000">
              <v:stroke dashstyle="solid"/>
            </v:line>
            <v:line style="position:absolute" from="3733,-301" to="3734,-558" stroked="true" strokeweight=".6pt" strokecolor="#000000">
              <v:stroke dashstyle="solid"/>
            </v:line>
            <v:line style="position:absolute" from="3733,-401" to="3734,-248" stroked="true" strokeweight=".6pt" strokecolor="#000000">
              <v:stroke dashstyle="solid"/>
            </v:line>
            <v:line style="position:absolute" from="3542,-248" to="3733,-247" stroked="true" strokeweight=".6pt" strokecolor="#000000">
              <v:stroke dashstyle="solid"/>
            </v:line>
            <v:line style="position:absolute" from="3542,-323" to="3543,135" stroked="true" strokeweight=".6pt" strokecolor="#000000">
              <v:stroke dashstyle="solid"/>
            </v:line>
            <v:line style="position:absolute" from="3733,207" to="3734,370" stroked="true" strokeweight=".6pt" strokecolor="#000000">
              <v:stroke dashstyle="solid"/>
            </v:line>
            <v:shape style="position:absolute;left:3421;top:-254;width:319;height:471" type="#_x0000_t75" stroked="false">
              <v:imagedata r:id="rId235" o:title=""/>
            </v:shape>
            <v:line style="position:absolute" from="3733,370" to="3734,523" stroked="true" strokeweight=".6pt" strokecolor="#000000">
              <v:stroke dashstyle="solid"/>
            </v:line>
            <v:line style="position:absolute" from="3542,523" to="3733,524" stroked="true" strokeweight=".6pt" strokecolor="#000000">
              <v:stroke dashstyle="solid"/>
            </v:line>
            <v:line style="position:absolute" from="3542,445" to="3543,904" stroked="true" strokeweight=".6pt" strokecolor="#000000">
              <v:stroke dashstyle="solid"/>
            </v:line>
            <v:shape style="position:absolute;left:3733;top:676;width:2;height:452" coordorigin="3733,676" coordsize="1,452" path="m3733,982l3734,676m3733,982l3734,1128e" filled="false" stroked="true" strokeweight=".6pt" strokecolor="#000000">
              <v:path arrowok="t"/>
              <v:stroke dashstyle="solid"/>
            </v:shape>
            <v:shape style="position:absolute;left:3546;top:829;width:188;height:153" coordorigin="3546,829" coordsize="188,153" path="m3733,829l3734,982m3733,829l3546,830e" filled="false" stroked="true" strokeweight=".6pt" strokecolor="#000000">
              <v:path arrowok="t"/>
              <v:stroke dashstyle="solid"/>
            </v:shape>
            <v:line style="position:absolute" from="3619,677" to="3739,677" stroked="true" strokeweight=".65pt" strokecolor="#000000">
              <v:stroke dashstyle="solid"/>
            </v:line>
            <v:shape style="position:absolute;left:3542;top:621;width:110;height:110" coordorigin="3542,621" coordsize="110,110" path="m3652,621l3542,676,3652,731,3650,725,3646,719,3644,713,3642,704,3642,698,3639,692,3639,657,3642,651,3642,645,3646,633,3650,627,3652,621xe" filled="true" fillcolor="#000000" stroked="false">
              <v:path arrowok="t"/>
              <v:fill type="solid"/>
            </v:shape>
            <v:line style="position:absolute" from="3503,523" to="3504,829" stroked="true" strokeweight=".6pt" strokecolor="#000000">
              <v:stroke dashstyle="solid"/>
            </v:line>
            <v:line style="position:absolute" from="3421,677" to="3509,677" stroked="true" strokeweight=".65pt" strokecolor="#000000">
              <v:stroke dashstyle="solid"/>
            </v:line>
            <v:shape style="position:absolute;left:3656;top:1128;width:153;height:78" coordorigin="3656,1128" coordsize="153,78" path="m3809,1128l3656,1128,3733,1206,3809,1128xe" filled="true" fillcolor="#ffffff" stroked="false">
              <v:path arrowok="t"/>
              <v:fill type="solid"/>
            </v:shape>
            <v:shape style="position:absolute;left:3656;top:1128;width:153;height:78" coordorigin="3656,1128" coordsize="153,78" path="m3656,1128l3809,1128,3733,1206,3656,1128xe" filled="false" stroked="true" strokeweight=".6pt" strokecolor="#000000">
              <v:path arrowok="t"/>
              <v:stroke dashstyle="solid"/>
            </v:shape>
            <v:line style="position:absolute" from="3733,-401" to="3734,-95" stroked="true" strokeweight=".6pt" strokecolor="#000000">
              <v:stroke dashstyle="solid"/>
            </v:line>
            <v:shape style="position:absolute;left:2514;top:270;width:39;height:37" coordorigin="2514,270" coordsize="39,37" path="m2539,270l2529,270,2518,276,2514,288,2518,299,2529,307,2539,307,2549,299,2553,288,2549,276,2539,270xe" filled="true" fillcolor="#000000" stroked="false">
              <v:path arrowok="t"/>
              <v:fill type="solid"/>
            </v:shape>
            <v:shape style="position:absolute;left:2514;top:270;width:39;height:37" coordorigin="2514,270" coordsize="39,37" path="m2553,288l2549,276,2539,270,2529,270,2518,276,2514,288,2518,299,2529,307,2539,307,2549,299,2553,288xe" filled="false" stroked="true" strokeweight=".6pt" strokecolor="#000000">
              <v:path arrowok="t"/>
              <v:stroke dashstyle="solid"/>
            </v:shape>
            <v:line style="position:absolute" from="3264,-97" to="3265,674" stroked="true" strokeweight=".6pt" strokecolor="#000000">
              <v:stroke dashstyle="solid"/>
            </v:line>
            <v:shape style="position:absolute;left:2359;top:-478;width:660;height:518" type="#_x0000_t202" filled="false" stroked="false">
              <v:textbox inset="0,0,0,0">
                <w:txbxContent>
                  <w:p>
                    <w:pPr>
                      <w:spacing w:line="156" w:lineRule="exact" w:before="0"/>
                      <w:ind w:left="0" w:right="0" w:firstLine="0"/>
                      <w:jc w:val="left"/>
                      <w:rPr>
                        <w:sz w:val="14"/>
                      </w:rPr>
                    </w:pPr>
                    <w:r>
                      <w:rPr>
                        <w:sz w:val="14"/>
                      </w:rPr>
                      <w:t>V3P3D</w:t>
                    </w:r>
                  </w:p>
                  <w:p>
                    <w:pPr>
                      <w:spacing w:line="240" w:lineRule="auto" w:before="5"/>
                      <w:rPr>
                        <w:sz w:val="17"/>
                      </w:rPr>
                    </w:pPr>
                  </w:p>
                  <w:p>
                    <w:pPr>
                      <w:spacing w:before="1"/>
                      <w:ind w:left="316" w:right="0" w:firstLine="0"/>
                      <w:jc w:val="left"/>
                      <w:rPr>
                        <w:sz w:val="14"/>
                      </w:rPr>
                    </w:pPr>
                    <w:r>
                      <w:rPr>
                        <w:sz w:val="14"/>
                      </w:rPr>
                      <w:t>110K</w:t>
                    </w:r>
                  </w:p>
                </w:txbxContent>
              </v:textbox>
              <w10:wrap type="none"/>
            </v:shape>
            <v:shape style="position:absolute;left:2613;top:744;width:431;height:156" type="#_x0000_t202" filled="false" stroked="false">
              <v:textbox inset="0,0,0,0">
                <w:txbxContent>
                  <w:p>
                    <w:pPr>
                      <w:spacing w:line="156" w:lineRule="exact" w:before="0"/>
                      <w:ind w:left="0" w:right="0" w:firstLine="0"/>
                      <w:jc w:val="left"/>
                      <w:rPr>
                        <w:sz w:val="14"/>
                      </w:rPr>
                    </w:pPr>
                    <w:r>
                      <w:rPr>
                        <w:sz w:val="14"/>
                      </w:rPr>
                      <w:t>GNDD</w:t>
                    </w:r>
                  </w:p>
                </w:txbxContent>
              </v:textbox>
              <w10:wrap type="none"/>
            </v:shape>
            <w10:wrap type="none"/>
          </v:group>
        </w:pict>
      </w:r>
      <w:r>
        <w:rPr>
          <w:sz w:val="14"/>
        </w:rPr>
        <w:t>CMOS</w:t>
      </w:r>
    </w:p>
    <w:p>
      <w:pPr>
        <w:spacing w:before="2"/>
        <w:ind w:left="832" w:right="0" w:firstLine="0"/>
        <w:jc w:val="left"/>
        <w:rPr>
          <w:sz w:val="14"/>
        </w:rPr>
      </w:pPr>
      <w:r>
        <w:rPr>
          <w:sz w:val="14"/>
        </w:rPr>
        <w:t>Input</w:t>
      </w:r>
    </w:p>
    <w:p>
      <w:pPr>
        <w:pStyle w:val="BodyText"/>
        <w:spacing w:before="3"/>
        <w:rPr>
          <w:sz w:val="15"/>
        </w:rPr>
      </w:pPr>
      <w:r>
        <w:rPr/>
        <w:br w:type="column"/>
      </w:r>
      <w:r>
        <w:rPr>
          <w:sz w:val="15"/>
        </w:rPr>
      </w:r>
    </w:p>
    <w:p>
      <w:pPr>
        <w:spacing w:before="1"/>
        <w:ind w:left="844" w:right="0" w:firstLine="0"/>
        <w:jc w:val="left"/>
        <w:rPr>
          <w:sz w:val="14"/>
        </w:rPr>
      </w:pPr>
      <w:r>
        <w:rPr>
          <w:sz w:val="14"/>
        </w:rPr>
        <w:t>LCD</w:t>
      </w:r>
    </w:p>
    <w:p>
      <w:pPr>
        <w:spacing w:before="0"/>
        <w:ind w:left="787" w:right="0" w:firstLine="0"/>
        <w:jc w:val="left"/>
        <w:rPr>
          <w:sz w:val="14"/>
        </w:rPr>
      </w:pPr>
      <w:r>
        <w:rPr>
          <w:sz w:val="14"/>
        </w:rPr>
        <w:t>Driver</w:t>
      </w:r>
    </w:p>
    <w:p>
      <w:pPr>
        <w:spacing w:before="133"/>
        <w:ind w:left="766" w:right="19" w:firstLine="0"/>
        <w:jc w:val="center"/>
        <w:rPr>
          <w:sz w:val="14"/>
        </w:rPr>
      </w:pPr>
      <w:r>
        <w:rPr/>
        <w:br w:type="column"/>
      </w:r>
      <w:r>
        <w:rPr>
          <w:sz w:val="14"/>
        </w:rPr>
        <w:t>LCD SEG</w:t>
      </w:r>
    </w:p>
    <w:p>
      <w:pPr>
        <w:spacing w:line="242" w:lineRule="auto" w:before="2"/>
        <w:ind w:left="863" w:right="155" w:firstLine="0"/>
        <w:jc w:val="center"/>
        <w:rPr>
          <w:sz w:val="14"/>
        </w:rPr>
      </w:pPr>
      <w:r>
        <w:rPr/>
        <w:pict>
          <v:group style="position:absolute;margin-left:289.200012pt;margin-top:-9.564087pt;width:64pt;height:46.5pt;mso-position-horizontal-relative:page;mso-position-vertical-relative:paragraph;z-index:15875072" coordorigin="5784,-191" coordsize="1280,930">
            <v:line style="position:absolute" from="6249,46" to="6899,46" stroked="true" strokeweight=".65pt" strokecolor="#000000">
              <v:stroke dashstyle="solid"/>
            </v:line>
            <v:line style="position:absolute" from="6554,658" to="6555,390" stroked="true" strokeweight=".6pt" strokecolor="#000000">
              <v:stroke dashstyle="solid"/>
            </v:line>
            <v:line style="position:absolute" from="6477,390" to="6630,391" stroked="true" strokeweight=".6pt" strokecolor="#000000">
              <v:stroke dashstyle="solid"/>
            </v:line>
            <v:shape style="position:absolute;left:6477;top:312;width:153;height:77" coordorigin="6477,313" coordsize="153,77" path="m6630,390l6554,313,6477,390e" filled="false" stroked="true" strokeweight=".6pt" strokecolor="#000000">
              <v:path arrowok="t"/>
              <v:stroke dashstyle="solid"/>
            </v:shape>
            <v:line style="position:absolute" from="6554,46" to="6555,313" stroked="true" strokeweight=".6pt" strokecolor="#000000">
              <v:stroke dashstyle="solid"/>
            </v:line>
            <v:rect style="position:absolute;left:6899;top:6;width:75;height:78" filled="false" stroked="true" strokeweight=".6pt" strokecolor="#000000">
              <v:stroke dashstyle="solid"/>
            </v:rect>
            <v:shape style="position:absolute;left:6477;top:657;width:153;height:75" coordorigin="6477,658" coordsize="153,75" path="m6630,658l6477,658,6554,733,6630,658xe" filled="true" fillcolor="#ffffff" stroked="false">
              <v:path arrowok="t"/>
              <v:fill type="solid"/>
            </v:shape>
            <v:shape style="position:absolute;left:6477;top:657;width:153;height:75" coordorigin="6477,658" coordsize="153,75" path="m6477,658l6630,658,6554,733,6477,658xe" filled="false" stroked="true" strokeweight=".6pt" strokecolor="#000000">
              <v:path arrowok="t"/>
              <v:stroke dashstyle="solid"/>
            </v:shape>
            <v:shape style="position:absolute;left:5790;top:-186;width:459;height:459" coordorigin="5790,-185" coordsize="459,459" path="m6249,46l5790,274,5790,-185,6249,46xe" filled="false" stroked="true" strokeweight=".6pt" strokecolor="#000000">
              <v:path arrowok="t"/>
              <v:stroke dashstyle="solid"/>
            </v:shape>
            <v:shape style="position:absolute;left:6471;top:172;width:185;height:155" type="#_x0000_t202" filled="false" stroked="false">
              <v:textbox inset="0,0,0,0">
                <w:txbxContent>
                  <w:p>
                    <w:pPr>
                      <w:spacing w:line="154" w:lineRule="exact" w:before="0"/>
                      <w:ind w:left="0" w:right="0" w:firstLine="0"/>
                      <w:jc w:val="left"/>
                      <w:rPr>
                        <w:rFonts w:ascii="Times New Roman"/>
                        <w:sz w:val="14"/>
                      </w:rPr>
                    </w:pPr>
                    <w:r>
                      <w:rPr>
                        <w:rFonts w:ascii="Times New Roman"/>
                        <w:w w:val="99"/>
                        <w:sz w:val="14"/>
                        <w:u w:val="single"/>
                      </w:rPr>
                      <w:t> </w:t>
                    </w:r>
                    <w:r>
                      <w:rPr>
                        <w:rFonts w:ascii="Times New Roman"/>
                        <w:spacing w:val="-10"/>
                        <w:sz w:val="14"/>
                        <w:u w:val="single"/>
                      </w:rPr>
                      <w:t> </w:t>
                    </w:r>
                  </w:p>
                </w:txbxContent>
              </v:textbox>
              <w10:wrap type="none"/>
            </v:shape>
            <v:shape style="position:absolute;left:6633;top:501;width:431;height:156" type="#_x0000_t202" filled="false" stroked="false">
              <v:textbox inset="0,0,0,0">
                <w:txbxContent>
                  <w:p>
                    <w:pPr>
                      <w:spacing w:line="156" w:lineRule="exact" w:before="0"/>
                      <w:ind w:left="0" w:right="0" w:firstLine="0"/>
                      <w:jc w:val="left"/>
                      <w:rPr>
                        <w:sz w:val="14"/>
                      </w:rPr>
                    </w:pPr>
                    <w:r>
                      <w:rPr>
                        <w:sz w:val="14"/>
                      </w:rPr>
                      <w:t>GNDD</w:t>
                    </w:r>
                  </w:p>
                </w:txbxContent>
              </v:textbox>
              <w10:wrap type="none"/>
            </v:shape>
            <w10:wrap type="none"/>
          </v:group>
        </w:pict>
      </w:r>
      <w:r>
        <w:rPr>
          <w:sz w:val="14"/>
        </w:rPr>
        <w:t>Output Pin</w:t>
      </w:r>
    </w:p>
    <w:p>
      <w:pPr>
        <w:spacing w:line="242" w:lineRule="auto" w:before="95"/>
        <w:ind w:left="787" w:right="38" w:firstLine="14"/>
        <w:jc w:val="center"/>
        <w:rPr>
          <w:sz w:val="14"/>
        </w:rPr>
      </w:pPr>
      <w:r>
        <w:rPr/>
        <w:br w:type="column"/>
      </w:r>
      <w:r>
        <w:rPr>
          <w:sz w:val="14"/>
        </w:rPr>
        <w:t>from internal </w:t>
      </w:r>
      <w:r>
        <w:rPr>
          <w:spacing w:val="-1"/>
          <w:sz w:val="14"/>
        </w:rPr>
        <w:t>reference</w:t>
      </w:r>
    </w:p>
    <w:p>
      <w:pPr>
        <w:spacing w:before="135"/>
        <w:ind w:left="767" w:right="743" w:firstLine="0"/>
        <w:jc w:val="center"/>
        <w:rPr>
          <w:sz w:val="14"/>
        </w:rPr>
      </w:pPr>
      <w:r>
        <w:rPr/>
        <w:br w:type="column"/>
      </w:r>
      <w:r>
        <w:rPr>
          <w:sz w:val="14"/>
        </w:rPr>
        <w:t>VREF</w:t>
      </w:r>
    </w:p>
    <w:p>
      <w:pPr>
        <w:spacing w:before="3"/>
        <w:ind w:left="759" w:right="743" w:firstLine="0"/>
        <w:jc w:val="center"/>
        <w:rPr>
          <w:sz w:val="14"/>
        </w:rPr>
      </w:pPr>
      <w:r>
        <w:rPr/>
        <w:pict>
          <v:group style="position:absolute;margin-left:463.100006pt;margin-top:-28.684118pt;width:44.3pt;height:65.55pt;mso-position-horizontal-relative:page;mso-position-vertical-relative:paragraph;z-index:15877120" coordorigin="9262,-574" coordsize="886,1311">
            <v:line style="position:absolute" from="9262,45" to="9995,45" stroked="true" strokeweight=".65pt" strokecolor="#000000">
              <v:stroke dashstyle="solid"/>
            </v:line>
            <v:line style="position:absolute" from="9651,44" to="9652,-223" stroked="true" strokeweight=".6pt" strokecolor="#000000">
              <v:stroke dashstyle="solid"/>
            </v:line>
            <v:line style="position:absolute" from="9573,-223" to="9726,-222" stroked="true" strokeweight=".6pt" strokecolor="#000000">
              <v:stroke dashstyle="solid"/>
            </v:line>
            <v:shape style="position:absolute;left:9573;top:-301;width:153;height:78" coordorigin="9573,-301" coordsize="153,78" path="m9726,-223l9651,-301,9573,-223e" filled="false" stroked="true" strokeweight=".6pt" strokecolor="#000000">
              <v:path arrowok="t"/>
              <v:stroke dashstyle="solid"/>
            </v:shape>
            <v:line style="position:absolute" from="9573,-301" to="9726,-300" stroked="true" strokeweight=".6pt" strokecolor="#000000">
              <v:stroke dashstyle="solid"/>
            </v:line>
            <v:line style="position:absolute" from="9651,-568" to="9652,-301" stroked="true" strokeweight=".6pt" strokecolor="#000000">
              <v:stroke dashstyle="solid"/>
            </v:line>
            <v:line style="position:absolute" from="9651,656" to="9652,388" stroked="true" strokeweight=".6pt" strokecolor="#000000">
              <v:stroke dashstyle="solid"/>
            </v:line>
            <v:line style="position:absolute" from="9573,388" to="9726,389" stroked="true" strokeweight=".6pt" strokecolor="#000000">
              <v:stroke dashstyle="solid"/>
            </v:line>
            <v:shape style="position:absolute;left:9573;top:311;width:153;height:77" coordorigin="9573,311" coordsize="153,77" path="m9726,388l9651,311,9573,388e" filled="false" stroked="true" strokeweight=".6pt" strokecolor="#000000">
              <v:path arrowok="t"/>
              <v:stroke dashstyle="solid"/>
            </v:shape>
            <v:line style="position:absolute" from="9651,44" to="9652,311" stroked="true" strokeweight=".6pt" strokecolor="#000000">
              <v:stroke dashstyle="solid"/>
            </v:line>
            <v:shape style="position:absolute;left:9630;top:26;width:39;height:36" coordorigin="9630,26" coordsize="39,36" path="m9657,26l9645,26,9635,32,9630,44,9635,54,9645,62,9657,62,9665,54,9669,44,9665,32,9657,26xe" filled="true" fillcolor="#000000" stroked="false">
              <v:path arrowok="t"/>
              <v:fill type="solid"/>
            </v:shape>
            <v:shape style="position:absolute;left:9630;top:26;width:39;height:36" coordorigin="9630,26" coordsize="39,36" path="m9669,44l9665,32,9657,26,9645,26,9635,32,9630,44,9635,54,9645,62,9657,62,9665,54,9669,44xe" filled="false" stroked="true" strokeweight=".6pt" strokecolor="#000000">
              <v:path arrowok="t"/>
              <v:stroke dashstyle="solid"/>
            </v:shape>
            <v:rect style="position:absolute;left:9995;top:5;width:76;height:78" filled="false" stroked="true" strokeweight=".6pt" strokecolor="#000000">
              <v:stroke dashstyle="solid"/>
            </v:rect>
            <v:shape style="position:absolute;left:9573;top:656;width:153;height:75" coordorigin="9573,656" coordsize="153,75" path="m9726,656l9573,656,9651,731,9726,656xe" filled="true" fillcolor="#ffffff" stroked="false">
              <v:path arrowok="t"/>
              <v:fill type="solid"/>
            </v:shape>
            <v:shape style="position:absolute;left:9573;top:656;width:153;height:75" coordorigin="9573,656" coordsize="153,75" path="m9573,656l9726,656,9651,731,9573,656xe" filled="false" stroked="true" strokeweight=".6pt" strokecolor="#000000">
              <v:path arrowok="t"/>
              <v:stroke dashstyle="solid"/>
            </v:shape>
            <v:shape style="position:absolute;left:9567;top:132;width:185;height:155" type="#_x0000_t202" filled="false" stroked="false">
              <v:textbox inset="0,0,0,0">
                <w:txbxContent>
                  <w:p>
                    <w:pPr>
                      <w:spacing w:line="154" w:lineRule="exact" w:before="0"/>
                      <w:ind w:left="0" w:right="0" w:firstLine="0"/>
                      <w:jc w:val="left"/>
                      <w:rPr>
                        <w:rFonts w:ascii="Times New Roman"/>
                        <w:sz w:val="14"/>
                      </w:rPr>
                    </w:pPr>
                    <w:r>
                      <w:rPr>
                        <w:rFonts w:ascii="Times New Roman"/>
                        <w:w w:val="99"/>
                        <w:sz w:val="14"/>
                        <w:u w:val="single"/>
                      </w:rPr>
                      <w:t> </w:t>
                    </w:r>
                    <w:r>
                      <w:rPr>
                        <w:rFonts w:ascii="Times New Roman"/>
                        <w:spacing w:val="-10"/>
                        <w:sz w:val="14"/>
                        <w:u w:val="single"/>
                      </w:rPr>
                      <w:t> </w:t>
                    </w:r>
                  </w:p>
                </w:txbxContent>
              </v:textbox>
              <w10:wrap type="none"/>
            </v:shape>
            <v:shape style="position:absolute;left:9724;top:500;width:423;height:156" type="#_x0000_t202" filled="false" stroked="false">
              <v:textbox inset="0,0,0,0">
                <w:txbxContent>
                  <w:p>
                    <w:pPr>
                      <w:spacing w:line="156" w:lineRule="exact" w:before="0"/>
                      <w:ind w:left="0" w:right="0" w:firstLine="0"/>
                      <w:jc w:val="left"/>
                      <w:rPr>
                        <w:sz w:val="14"/>
                      </w:rPr>
                    </w:pPr>
                    <w:r>
                      <w:rPr>
                        <w:sz w:val="14"/>
                      </w:rPr>
                      <w:t>GNDA</w:t>
                    </w:r>
                  </w:p>
                </w:txbxContent>
              </v:textbox>
              <w10:wrap type="none"/>
            </v:shape>
            <w10:wrap type="none"/>
          </v:group>
        </w:pict>
      </w:r>
      <w:r>
        <w:rPr>
          <w:sz w:val="14"/>
        </w:rPr>
        <w:t>Pin</w:t>
      </w:r>
    </w:p>
    <w:p>
      <w:pPr>
        <w:spacing w:after="0"/>
        <w:jc w:val="center"/>
        <w:rPr>
          <w:sz w:val="14"/>
        </w:rPr>
        <w:sectPr>
          <w:type w:val="continuous"/>
          <w:pgSz w:w="12240" w:h="15840"/>
          <w:pgMar w:top="940" w:bottom="280" w:left="960" w:right="940"/>
          <w:cols w:num="6" w:equalWidth="0">
            <w:col w:w="1214" w:space="877"/>
            <w:col w:w="1244" w:space="253"/>
            <w:col w:w="1200" w:space="501"/>
            <w:col w:w="1440" w:space="104"/>
            <w:col w:w="1416" w:space="167"/>
            <w:col w:w="1924"/>
          </w:cols>
        </w:sectPr>
      </w:pPr>
    </w:p>
    <w:p>
      <w:pPr>
        <w:pStyle w:val="BodyText"/>
      </w:pPr>
    </w:p>
    <w:p>
      <w:pPr>
        <w:spacing w:after="0"/>
        <w:sectPr>
          <w:type w:val="continuous"/>
          <w:pgSz w:w="12240" w:h="15840"/>
          <w:pgMar w:top="940" w:bottom="280" w:left="960" w:right="940"/>
        </w:sectPr>
      </w:pPr>
    </w:p>
    <w:p>
      <w:pPr>
        <w:pStyle w:val="BodyText"/>
        <w:rPr>
          <w:sz w:val="16"/>
        </w:rPr>
      </w:pPr>
    </w:p>
    <w:p>
      <w:pPr>
        <w:pStyle w:val="BodyText"/>
        <w:rPr>
          <w:sz w:val="16"/>
        </w:rPr>
      </w:pPr>
    </w:p>
    <w:p>
      <w:pPr>
        <w:spacing w:before="143"/>
        <w:ind w:left="1005" w:right="334" w:firstLine="0"/>
        <w:jc w:val="center"/>
        <w:rPr>
          <w:b/>
          <w:sz w:val="14"/>
        </w:rPr>
      </w:pPr>
      <w:r>
        <w:rPr>
          <w:b/>
          <w:sz w:val="14"/>
          <w:u w:val="single"/>
        </w:rPr>
        <w:t>Digital Input Equivalent Circuit</w:t>
      </w:r>
      <w:r>
        <w:rPr>
          <w:b/>
          <w:sz w:val="14"/>
        </w:rPr>
        <w:t> </w:t>
      </w:r>
      <w:r>
        <w:rPr>
          <w:b/>
          <w:sz w:val="14"/>
          <w:u w:val="single"/>
        </w:rPr>
        <w:t>Type 1:</w:t>
      </w:r>
    </w:p>
    <w:p>
      <w:pPr>
        <w:spacing w:line="242" w:lineRule="auto" w:before="9"/>
        <w:ind w:left="1209" w:right="464" w:firstLine="12"/>
        <w:jc w:val="center"/>
        <w:rPr>
          <w:sz w:val="14"/>
        </w:rPr>
      </w:pPr>
      <w:r>
        <w:rPr>
          <w:sz w:val="14"/>
        </w:rPr>
        <w:t>Standard Digital Input or pin configured as DIO Input with Internal Pull-Up</w:t>
      </w:r>
    </w:p>
    <w:p>
      <w:pPr>
        <w:pStyle w:val="BodyText"/>
        <w:spacing w:before="7"/>
        <w:rPr>
          <w:sz w:val="15"/>
        </w:rPr>
      </w:pPr>
    </w:p>
    <w:p>
      <w:pPr>
        <w:spacing w:before="0"/>
        <w:ind w:left="0" w:right="38" w:firstLine="0"/>
        <w:jc w:val="right"/>
        <w:rPr>
          <w:sz w:val="14"/>
        </w:rPr>
      </w:pPr>
      <w:r>
        <w:rPr>
          <w:w w:val="95"/>
          <w:sz w:val="14"/>
        </w:rPr>
        <w:t>V3P3D</w:t>
      </w:r>
    </w:p>
    <w:p>
      <w:pPr>
        <w:pStyle w:val="BodyText"/>
        <w:spacing w:before="3"/>
        <w:rPr>
          <w:sz w:val="18"/>
        </w:rPr>
      </w:pPr>
      <w:r>
        <w:rPr/>
        <w:br w:type="column"/>
      </w:r>
      <w:r>
        <w:rPr>
          <w:sz w:val="18"/>
        </w:rPr>
      </w:r>
    </w:p>
    <w:p>
      <w:pPr>
        <w:spacing w:before="1"/>
        <w:ind w:left="1005" w:right="38" w:firstLine="0"/>
        <w:jc w:val="center"/>
        <w:rPr>
          <w:b/>
          <w:sz w:val="14"/>
        </w:rPr>
      </w:pPr>
      <w:r>
        <w:rPr>
          <w:b/>
          <w:sz w:val="14"/>
          <w:u w:val="single"/>
        </w:rPr>
        <w:t>LCD Output Equivalent Circuit</w:t>
      </w:r>
      <w:r>
        <w:rPr>
          <w:b/>
          <w:sz w:val="14"/>
        </w:rPr>
        <w:t> </w:t>
      </w:r>
      <w:r>
        <w:rPr>
          <w:b/>
          <w:sz w:val="14"/>
          <w:u w:val="single"/>
        </w:rPr>
        <w:t>Type 5:</w:t>
      </w:r>
    </w:p>
    <w:p>
      <w:pPr>
        <w:spacing w:before="9"/>
        <w:ind w:left="1081" w:right="38" w:firstLine="0"/>
        <w:jc w:val="center"/>
        <w:rPr>
          <w:sz w:val="14"/>
        </w:rPr>
      </w:pPr>
      <w:r>
        <w:rPr>
          <w:sz w:val="14"/>
        </w:rPr>
        <w:t>LCD SEG or</w:t>
      </w:r>
    </w:p>
    <w:p>
      <w:pPr>
        <w:spacing w:line="633" w:lineRule="auto" w:before="2"/>
        <w:ind w:left="1694" w:right="128" w:hanging="504"/>
        <w:jc w:val="left"/>
        <w:rPr>
          <w:sz w:val="14"/>
        </w:rPr>
      </w:pPr>
      <w:r>
        <w:rPr/>
        <w:pict>
          <v:shape style="position:absolute;margin-left:227.649994pt;margin-top:51.975903pt;width:.1pt;height:22.6pt;mso-position-horizontal-relative:page;mso-position-vertical-relative:paragraph;z-index:15872512" coordorigin="4553,1040" coordsize="1,452" path="m4553,1346l4554,1040m4553,1346l4554,1492e" filled="false" stroked="true" strokeweight=".6pt" strokecolor="#000000">
            <v:path arrowok="t"/>
            <v:stroke dashstyle="solid"/>
            <w10:wrap type="none"/>
          </v:shape>
        </w:pict>
      </w:r>
      <w:r>
        <w:rPr>
          <w:sz w:val="14"/>
        </w:rPr>
        <w:t>pin configured as LCD SEG V3P3A</w:t>
      </w:r>
    </w:p>
    <w:p>
      <w:pPr>
        <w:pStyle w:val="BodyText"/>
        <w:spacing w:before="8"/>
        <w:rPr>
          <w:sz w:val="18"/>
        </w:rPr>
      </w:pPr>
      <w:r>
        <w:rPr/>
        <w:br w:type="column"/>
      </w:r>
      <w:r>
        <w:rPr>
          <w:sz w:val="18"/>
        </w:rPr>
      </w:r>
    </w:p>
    <w:p>
      <w:pPr>
        <w:spacing w:line="242" w:lineRule="auto" w:before="0"/>
        <w:ind w:left="1005" w:right="919" w:firstLine="0"/>
        <w:jc w:val="center"/>
        <w:rPr>
          <w:b/>
          <w:sz w:val="14"/>
        </w:rPr>
      </w:pPr>
      <w:r>
        <w:rPr>
          <w:b/>
          <w:sz w:val="14"/>
          <w:u w:val="single"/>
        </w:rPr>
        <w:t>VREF Equivalent Circuit</w:t>
      </w:r>
      <w:r>
        <w:rPr>
          <w:b/>
          <w:sz w:val="14"/>
        </w:rPr>
        <w:t> </w:t>
      </w:r>
      <w:r>
        <w:rPr>
          <w:b/>
          <w:sz w:val="14"/>
          <w:u w:val="single"/>
        </w:rPr>
        <w:t>Type 9:</w:t>
      </w:r>
    </w:p>
    <w:p>
      <w:pPr>
        <w:spacing w:before="9"/>
        <w:ind w:left="1005" w:right="901" w:firstLine="0"/>
        <w:jc w:val="center"/>
        <w:rPr>
          <w:sz w:val="14"/>
        </w:rPr>
      </w:pPr>
      <w:r>
        <w:rPr>
          <w:sz w:val="14"/>
        </w:rPr>
        <w:t>VREF</w:t>
      </w:r>
    </w:p>
    <w:p>
      <w:pPr>
        <w:pStyle w:val="BodyText"/>
        <w:rPr>
          <w:sz w:val="16"/>
        </w:rPr>
      </w:pPr>
    </w:p>
    <w:p>
      <w:pPr>
        <w:pStyle w:val="BodyText"/>
        <w:rPr>
          <w:sz w:val="16"/>
        </w:rPr>
      </w:pPr>
    </w:p>
    <w:p>
      <w:pPr>
        <w:pStyle w:val="BodyText"/>
        <w:rPr>
          <w:sz w:val="16"/>
        </w:rPr>
      </w:pPr>
    </w:p>
    <w:p>
      <w:pPr>
        <w:pStyle w:val="BodyText"/>
        <w:spacing w:before="8"/>
        <w:rPr>
          <w:sz w:val="17"/>
        </w:rPr>
      </w:pPr>
    </w:p>
    <w:p>
      <w:pPr>
        <w:spacing w:before="0"/>
        <w:ind w:left="1005" w:right="388" w:firstLine="0"/>
        <w:jc w:val="center"/>
        <w:rPr>
          <w:sz w:val="14"/>
        </w:rPr>
      </w:pPr>
      <w:r>
        <w:rPr/>
        <w:pict>
          <v:group style="position:absolute;margin-left:470.75pt;margin-top:7.585925pt;width:51.15pt;height:65.650pt;mso-position-horizontal-relative:page;mso-position-vertical-relative:paragraph;z-index:-38703616" coordorigin="9415,152" coordsize="1023,1313">
            <v:line style="position:absolute" from="9415,770" to="10110,770" stroked="true" strokeweight=".65pt" strokecolor="#000000">
              <v:stroke dashstyle="solid"/>
            </v:line>
            <v:line style="position:absolute" from="9804,770" to="9805,503" stroked="true" strokeweight=".6pt" strokecolor="#000000">
              <v:stroke dashstyle="solid"/>
            </v:line>
            <v:line style="position:absolute" from="9726,503" to="9879,504" stroked="true" strokeweight=".6pt" strokecolor="#000000">
              <v:stroke dashstyle="solid"/>
            </v:line>
            <v:shape style="position:absolute;left:9726;top:425;width:153;height:77" coordorigin="9726,426" coordsize="153,77" path="m9879,503l9804,426,9726,503e" filled="false" stroked="true" strokeweight=".6pt" strokecolor="#000000">
              <v:path arrowok="t"/>
              <v:stroke dashstyle="solid"/>
            </v:shape>
            <v:line style="position:absolute" from="9726,426" to="9879,427" stroked="true" strokeweight=".6pt" strokecolor="#000000">
              <v:stroke dashstyle="solid"/>
            </v:line>
            <v:line style="position:absolute" from="9804,158" to="9805,426" stroked="true" strokeweight=".6pt" strokecolor="#000000">
              <v:stroke dashstyle="solid"/>
            </v:line>
            <v:line style="position:absolute" from="9804,1382" to="9805,1115" stroked="true" strokeweight=".6pt" strokecolor="#000000">
              <v:stroke dashstyle="solid"/>
            </v:line>
            <v:line style="position:absolute" from="9726,1115" to="9879,1116" stroked="true" strokeweight=".6pt" strokecolor="#000000">
              <v:stroke dashstyle="solid"/>
            </v:line>
            <v:shape style="position:absolute;left:9726;top:1036;width:153;height:78" coordorigin="9726,1037" coordsize="153,78" path="m9879,1115l9804,1037,9726,1115e" filled="false" stroked="true" strokeweight=".6pt" strokecolor="#000000">
              <v:path arrowok="t"/>
              <v:stroke dashstyle="solid"/>
            </v:shape>
            <v:line style="position:absolute" from="9804,770" to="9805,1037" stroked="true" strokeweight=".6pt" strokecolor="#000000">
              <v:stroke dashstyle="solid"/>
            </v:line>
            <v:shape style="position:absolute;left:9783;top:751;width:39;height:37" coordorigin="9783,752" coordsize="39,37" path="m9810,752l9798,752,9787,760,9783,770,9787,782,9798,789,9810,789,9818,782,9822,770,9818,760,9810,752xe" filled="true" fillcolor="#000000" stroked="false">
              <v:path arrowok="t"/>
              <v:fill type="solid"/>
            </v:shape>
            <v:shape style="position:absolute;left:9783;top:751;width:39;height:37" coordorigin="9783,752" coordsize="39,37" path="m9822,770l9818,760,9810,752,9798,752,9787,760,9783,770,9787,782,9798,789,9810,789,9818,782,9822,770xe" filled="false" stroked="true" strokeweight=".6pt" strokecolor="#000000">
              <v:path arrowok="t"/>
              <v:stroke dashstyle="solid"/>
            </v:shape>
            <v:rect style="position:absolute;left:10110;top:730;width:75;height:78" filled="false" stroked="true" strokeweight=".6pt" strokecolor="#000000">
              <v:stroke dashstyle="solid"/>
            </v:rect>
            <v:shape style="position:absolute;left:9726;top:1381;width:153;height:77" coordorigin="9726,1382" coordsize="153,77" path="m9879,1382l9726,1382,9804,1459,9879,1382xe" filled="true" fillcolor="#ffffff" stroked="false">
              <v:path arrowok="t"/>
              <v:fill type="solid"/>
            </v:shape>
            <v:shape style="position:absolute;left:9726;top:1381;width:153;height:77" coordorigin="9726,1382" coordsize="153,77" path="m9726,1382l9879,1382,9804,1459,9726,1382xe" filled="false" stroked="true" strokeweight=".6pt" strokecolor="#000000">
              <v:path arrowok="t"/>
              <v:stroke dashstyle="solid"/>
            </v:shape>
            <v:shape style="position:absolute;left:10245;top:593;width:192;height:156" type="#_x0000_t202" filled="false" stroked="false">
              <v:textbox inset="0,0,0,0">
                <w:txbxContent>
                  <w:p>
                    <w:pPr>
                      <w:spacing w:line="156" w:lineRule="exact" w:before="0"/>
                      <w:ind w:left="0" w:right="0" w:firstLine="0"/>
                      <w:jc w:val="left"/>
                      <w:rPr>
                        <w:sz w:val="14"/>
                      </w:rPr>
                    </w:pPr>
                    <w:r>
                      <w:rPr>
                        <w:sz w:val="14"/>
                      </w:rPr>
                      <w:t>V2</w:t>
                    </w:r>
                  </w:p>
                </w:txbxContent>
              </v:textbox>
              <w10:wrap type="none"/>
            </v:shape>
            <v:shape style="position:absolute;left:9720;top:856;width:185;height:155" type="#_x0000_t202" filled="false" stroked="false">
              <v:textbox inset="0,0,0,0">
                <w:txbxContent>
                  <w:p>
                    <w:pPr>
                      <w:spacing w:line="154" w:lineRule="exact" w:before="0"/>
                      <w:ind w:left="0" w:right="0" w:firstLine="0"/>
                      <w:jc w:val="left"/>
                      <w:rPr>
                        <w:rFonts w:ascii="Times New Roman"/>
                        <w:sz w:val="14"/>
                      </w:rPr>
                    </w:pPr>
                    <w:r>
                      <w:rPr>
                        <w:rFonts w:ascii="Times New Roman"/>
                        <w:w w:val="99"/>
                        <w:sz w:val="14"/>
                        <w:u w:val="single"/>
                      </w:rPr>
                      <w:t> </w:t>
                    </w:r>
                    <w:r>
                      <w:rPr>
                        <w:rFonts w:ascii="Times New Roman"/>
                        <w:spacing w:val="-10"/>
                        <w:sz w:val="14"/>
                        <w:u w:val="single"/>
                      </w:rPr>
                      <w:t> </w:t>
                    </w:r>
                  </w:p>
                </w:txbxContent>
              </v:textbox>
              <w10:wrap type="none"/>
            </v:shape>
            <v:shape style="position:absolute;left:9883;top:1229;width:431;height:156" type="#_x0000_t202" filled="false" stroked="false">
              <v:textbox inset="0,0,0,0">
                <w:txbxContent>
                  <w:p>
                    <w:pPr>
                      <w:spacing w:line="156" w:lineRule="exact" w:before="0"/>
                      <w:ind w:left="0" w:right="0" w:firstLine="0"/>
                      <w:jc w:val="left"/>
                      <w:rPr>
                        <w:sz w:val="14"/>
                      </w:rPr>
                    </w:pPr>
                    <w:r>
                      <w:rPr>
                        <w:sz w:val="14"/>
                      </w:rPr>
                      <w:t>GNDD</w:t>
                    </w:r>
                  </w:p>
                </w:txbxContent>
              </v:textbox>
              <w10:wrap type="none"/>
            </v:shape>
            <w10:wrap type="none"/>
          </v:group>
        </w:pict>
      </w:r>
      <w:r>
        <w:rPr>
          <w:sz w:val="14"/>
        </w:rPr>
        <w:t>V3P3D</w:t>
      </w:r>
    </w:p>
    <w:p>
      <w:pPr>
        <w:spacing w:after="0"/>
        <w:jc w:val="center"/>
        <w:rPr>
          <w:sz w:val="14"/>
        </w:rPr>
        <w:sectPr>
          <w:type w:val="continuous"/>
          <w:pgSz w:w="12240" w:h="15840"/>
          <w:pgMar w:top="940" w:bottom="280" w:left="960" w:right="940"/>
          <w:cols w:num="3" w:equalWidth="0">
            <w:col w:w="3378" w:space="112"/>
            <w:col w:w="3058" w:space="263"/>
            <w:col w:w="3529"/>
          </w:cols>
        </w:sectPr>
      </w:pPr>
    </w:p>
    <w:p>
      <w:pPr>
        <w:pStyle w:val="BodyText"/>
        <w:spacing w:before="10"/>
        <w:rPr>
          <w:sz w:val="18"/>
        </w:rPr>
      </w:pPr>
    </w:p>
    <w:p>
      <w:pPr>
        <w:spacing w:after="0"/>
        <w:rPr>
          <w:sz w:val="18"/>
        </w:rPr>
        <w:sectPr>
          <w:type w:val="continuous"/>
          <w:pgSz w:w="12240" w:h="15840"/>
          <w:pgMar w:top="940" w:bottom="280" w:left="960" w:right="940"/>
        </w:sectPr>
      </w:pPr>
    </w:p>
    <w:p>
      <w:pPr>
        <w:pStyle w:val="BodyText"/>
        <w:rPr>
          <w:sz w:val="16"/>
        </w:rPr>
      </w:pPr>
    </w:p>
    <w:p>
      <w:pPr>
        <w:pStyle w:val="BodyText"/>
        <w:spacing w:before="4"/>
        <w:rPr>
          <w:sz w:val="18"/>
        </w:rPr>
      </w:pPr>
    </w:p>
    <w:p>
      <w:pPr>
        <w:spacing w:line="242" w:lineRule="auto" w:before="0"/>
        <w:ind w:left="635" w:right="38" w:firstLine="0"/>
        <w:jc w:val="center"/>
        <w:rPr>
          <w:sz w:val="14"/>
        </w:rPr>
      </w:pPr>
      <w:r>
        <w:rPr>
          <w:sz w:val="14"/>
        </w:rPr>
        <w:t>Digital Input Pin</w:t>
      </w:r>
    </w:p>
    <w:p>
      <w:pPr>
        <w:pStyle w:val="BodyText"/>
        <w:rPr>
          <w:sz w:val="16"/>
        </w:rPr>
      </w:pPr>
      <w:r>
        <w:rPr/>
        <w:br w:type="column"/>
      </w:r>
      <w:r>
        <w:rPr>
          <w:sz w:val="16"/>
        </w:rPr>
      </w:r>
    </w:p>
    <w:p>
      <w:pPr>
        <w:pStyle w:val="BodyText"/>
        <w:rPr>
          <w:sz w:val="16"/>
        </w:rPr>
      </w:pPr>
    </w:p>
    <w:p>
      <w:pPr>
        <w:spacing w:before="108"/>
        <w:ind w:left="635" w:right="0" w:firstLine="0"/>
        <w:jc w:val="left"/>
        <w:rPr>
          <w:sz w:val="14"/>
        </w:rPr>
      </w:pPr>
      <w:r>
        <w:rPr/>
        <w:pict>
          <v:group style="position:absolute;margin-left:101.75pt;margin-top:-28.894104pt;width:102.5pt;height:77.55pt;mso-position-horizontal-relative:page;mso-position-vertical-relative:paragraph;z-index:15872000" coordorigin="2035,-578" coordsize="2050,1551">
            <v:line style="position:absolute" from="2117,275" to="3615,275" stroked="true" strokeweight=".65pt" strokecolor="#000000">
              <v:stroke dashstyle="solid"/>
            </v:line>
            <v:shape style="position:absolute;left:2302;top:268;width:165;height:623" type="#_x0000_t75" stroked="false">
              <v:imagedata r:id="rId236" o:title=""/>
            </v:shape>
            <v:rect style="position:absolute;left:2041;top:237;width:76;height:76" filled="false" stroked="true" strokeweight=".6pt" strokecolor="#000000">
              <v:stroke dashstyle="solid"/>
            </v:rect>
            <v:shape style="position:absolute;left:2997;top:274;width:153;height:611" coordorigin="2997,274" coordsize="153,611" path="m3073,885l3073,682,2997,657,3150,606,2997,555,3150,504,3073,478,3073,274e" filled="false" stroked="true" strokeweight=".6pt" strokecolor="#000000">
              <v:path arrowok="t"/>
              <v:stroke dashstyle="solid"/>
            </v:shape>
            <v:shape style="position:absolute;left:2308;top:885;width:153;height:78" coordorigin="2308,885" coordsize="153,78" path="m2461,885l2308,885,2386,963,2461,885xe" filled="true" fillcolor="#ffffff" stroked="false">
              <v:path arrowok="t"/>
              <v:fill type="solid"/>
            </v:shape>
            <v:shape style="position:absolute;left:2308;top:885;width:153;height:78" coordorigin="2308,885" coordsize="153,78" path="m2308,885l2461,885,2386,963,2308,885xe" filled="false" stroked="true" strokeweight=".6pt" strokecolor="#000000">
              <v:path arrowok="t"/>
              <v:stroke dashstyle="solid"/>
            </v:shape>
            <v:shape style="position:absolute;left:2997;top:885;width:153;height:78" coordorigin="2997,885" coordsize="153,78" path="m3150,885l2997,885,3073,963,3150,885xe" filled="true" fillcolor="#ffffff" stroked="false">
              <v:path arrowok="t"/>
              <v:fill type="solid"/>
            </v:shape>
            <v:shape style="position:absolute;left:2997;top:885;width:153;height:78" coordorigin="2997,885" coordsize="153,78" path="m2997,885l3150,885,3073,963,2997,885xe" filled="false" stroked="true" strokeweight=".6pt" strokecolor="#000000">
              <v:path arrowok="t"/>
              <v:stroke dashstyle="solid"/>
            </v:shape>
            <v:line style="position:absolute" from="3617,661" to="3770,662" stroked="true" strokeweight=".6pt" strokecolor="#000000">
              <v:stroke dashstyle="solid"/>
            </v:line>
            <v:line style="position:absolute" from="4078,-315" to="4079,-572" stroked="true" strokeweight=".6pt" strokecolor="#000000">
              <v:stroke dashstyle="solid"/>
            </v:line>
            <v:line style="position:absolute" from="4078,-413" to="4079,-260" stroked="true" strokeweight=".6pt" strokecolor="#000000">
              <v:stroke dashstyle="solid"/>
            </v:line>
            <v:line style="position:absolute" from="3886,-260" to="4078,-259" stroked="true" strokeweight=".6pt" strokecolor="#000000">
              <v:stroke dashstyle="solid"/>
            </v:line>
            <v:line style="position:absolute" from="3886,-338" to="3887,121" stroked="true" strokeweight=".6pt" strokecolor="#000000">
              <v:stroke dashstyle="solid"/>
            </v:line>
            <v:line style="position:absolute" from="4078,192" to="4079,355" stroked="true" strokeweight=".6pt" strokecolor="#000000">
              <v:stroke dashstyle="solid"/>
            </v:line>
            <v:line style="position:absolute" from="3609,-108" to="3770,-107" stroked="true" strokeweight=".6pt" strokecolor="#000000">
              <v:stroke dashstyle="solid"/>
            </v:line>
            <v:shape style="position:absolute;left:3764;top:-266;width:321;height:470" type="#_x0000_t75" stroked="false">
              <v:imagedata r:id="rId237" o:title=""/>
            </v:shape>
            <v:line style="position:absolute" from="4078,355" to="4079,508" stroked="true" strokeweight=".6pt" strokecolor="#000000">
              <v:stroke dashstyle="solid"/>
            </v:line>
            <v:line style="position:absolute" from="3886,508" to="4078,509" stroked="true" strokeweight=".6pt" strokecolor="#000000">
              <v:stroke dashstyle="solid"/>
            </v:line>
            <v:line style="position:absolute" from="3886,433" to="3887,892" stroked="true" strokeweight=".6pt" strokecolor="#000000">
              <v:stroke dashstyle="solid"/>
            </v:line>
            <v:shape style="position:absolute;left:3890;top:814;width:189;height:153" coordorigin="3890,814" coordsize="189,153" path="m4078,814l4079,967m4078,814l3890,815e" filled="false" stroked="true" strokeweight=".6pt" strokecolor="#000000">
              <v:path arrowok="t"/>
              <v:stroke dashstyle="solid"/>
            </v:shape>
            <v:line style="position:absolute" from="3964,662" to="4084,662" stroked="true" strokeweight=".65pt" strokecolor="#000000">
              <v:stroke dashstyle="solid"/>
            </v:line>
            <v:shape style="position:absolute;left:3886;top:606;width:110;height:110" coordorigin="3886,606" coordsize="110,110" path="m3996,606l3886,661,3996,716,3992,710,3984,686,3984,671,3982,665,3982,657,3984,651,3984,639,3986,631,3988,624,3992,612,3996,606xe" filled="true" fillcolor="#000000" stroked="false">
              <v:path arrowok="t"/>
              <v:fill type="solid"/>
            </v:shape>
            <v:line style="position:absolute" from="3847,508" to="3848,814" stroked="true" strokeweight=".6pt" strokecolor="#000000">
              <v:stroke dashstyle="solid"/>
            </v:line>
            <v:line style="position:absolute" from="3764,662" to="3853,662" stroked="true" strokeweight=".65pt" strokecolor="#000000">
              <v:stroke dashstyle="solid"/>
            </v:line>
            <v:line style="position:absolute" from="4078,-413" to="4079,-108" stroked="true" strokeweight=".6pt" strokecolor="#000000">
              <v:stroke dashstyle="solid"/>
            </v:line>
            <v:line style="position:absolute" from="3609,-110" to="3610,659" stroked="true" strokeweight=".6pt" strokecolor="#000000">
              <v:stroke dashstyle="solid"/>
            </v:line>
            <v:shape style="position:absolute;left:2035;top:-578;width:2050;height:1551" type="#_x0000_t202" filled="false" stroked="false">
              <v:textbox inset="0,0,0,0">
                <w:txbxContent>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before="135"/>
                      <w:ind w:left="1183" w:right="0" w:firstLine="0"/>
                      <w:jc w:val="left"/>
                      <w:rPr>
                        <w:sz w:val="14"/>
                      </w:rPr>
                    </w:pPr>
                    <w:r>
                      <w:rPr>
                        <w:sz w:val="14"/>
                      </w:rPr>
                      <w:t>110K</w:t>
                    </w:r>
                  </w:p>
                  <w:p>
                    <w:pPr>
                      <w:tabs>
                        <w:tab w:pos="1118" w:val="left" w:leader="none"/>
                      </w:tabs>
                      <w:spacing w:before="89"/>
                      <w:ind w:left="429" w:right="0" w:firstLine="0"/>
                      <w:jc w:val="left"/>
                      <w:rPr>
                        <w:sz w:val="14"/>
                      </w:rPr>
                    </w:pPr>
                    <w:r>
                      <w:rPr>
                        <w:sz w:val="14"/>
                      </w:rPr>
                      <w:t>GNDD</w:t>
                      <w:tab/>
                      <w:t>GNDD</w:t>
                    </w:r>
                  </w:p>
                </w:txbxContent>
              </v:textbox>
              <w10:wrap type="none"/>
            </v:shape>
            <w10:wrap type="none"/>
          </v:group>
        </w:pict>
      </w:r>
      <w:r>
        <w:rPr>
          <w:sz w:val="14"/>
        </w:rPr>
        <w:t>CMOS</w:t>
      </w:r>
    </w:p>
    <w:p>
      <w:pPr>
        <w:spacing w:before="3"/>
        <w:ind w:left="679" w:right="0" w:firstLine="0"/>
        <w:jc w:val="left"/>
        <w:rPr>
          <w:sz w:val="14"/>
        </w:rPr>
      </w:pPr>
      <w:r>
        <w:rPr>
          <w:sz w:val="14"/>
        </w:rPr>
        <w:t>Input</w:t>
      </w:r>
    </w:p>
    <w:p>
      <w:pPr>
        <w:spacing w:line="242" w:lineRule="auto" w:before="95"/>
        <w:ind w:left="636" w:right="38" w:firstLine="0"/>
        <w:jc w:val="center"/>
        <w:rPr>
          <w:sz w:val="14"/>
        </w:rPr>
      </w:pPr>
      <w:r>
        <w:rPr/>
        <w:br w:type="column"/>
      </w:r>
      <w:r>
        <w:rPr>
          <w:w w:val="95"/>
          <w:sz w:val="14"/>
        </w:rPr>
        <w:t>Analog </w:t>
      </w:r>
      <w:r>
        <w:rPr>
          <w:sz w:val="14"/>
        </w:rPr>
        <w:t>Input Pin</w:t>
      </w:r>
    </w:p>
    <w:p>
      <w:pPr>
        <w:pStyle w:val="BodyText"/>
        <w:spacing w:before="4"/>
        <w:rPr>
          <w:sz w:val="15"/>
        </w:rPr>
      </w:pPr>
      <w:r>
        <w:rPr/>
        <w:br w:type="column"/>
      </w:r>
      <w:r>
        <w:rPr>
          <w:sz w:val="15"/>
        </w:rPr>
      </w:r>
    </w:p>
    <w:p>
      <w:pPr>
        <w:spacing w:line="242" w:lineRule="auto" w:before="0"/>
        <w:ind w:left="636" w:right="20" w:firstLine="64"/>
        <w:jc w:val="left"/>
        <w:rPr>
          <w:sz w:val="14"/>
        </w:rPr>
      </w:pPr>
      <w:r>
        <w:rPr/>
        <w:pict>
          <v:group style="position:absolute;margin-left:300.600006pt;margin-top:-38.094067pt;width:52pt;height:80.95pt;mso-position-horizontal-relative:page;mso-position-vertical-relative:paragraph;z-index:-38705664" coordorigin="6012,-762" coordsize="1040,1619">
            <v:line style="position:absolute" from="6096,165" to="6974,165" stroked="true" strokeweight=".65pt" strokecolor="#000000">
              <v:stroke dashstyle="solid"/>
            </v:line>
            <v:shape style="position:absolute;left:6942;top:109;width:110;height:110" type="#_x0000_t75" stroked="false">
              <v:imagedata r:id="rId238" o:title=""/>
            </v:shape>
            <v:shape style="position:absolute;left:6345;top:146;width:36;height:34" coordorigin="6345,146" coordsize="36,34" path="m6369,146l6357,146,6349,152,6345,164,6349,174,6357,180,6369,180,6379,174,6381,164,6379,152,6369,146xe" filled="true" fillcolor="#000000" stroked="false">
              <v:path arrowok="t"/>
              <v:fill type="solid"/>
            </v:shape>
            <v:shape style="position:absolute;left:6345;top:146;width:36;height:34" coordorigin="6345,146" coordsize="36,34" path="m6381,164l6379,152,6369,146,6357,146,6349,152,6345,164,6349,174,6357,180,6369,180,6379,174,6381,164xe" filled="false" stroked="true" strokeweight=".6pt" strokecolor="#000000">
              <v:path arrowok="t"/>
              <v:stroke dashstyle="solid"/>
            </v:shape>
            <v:rect style="position:absolute;left:6018;top:125;width:78;height:76" filled="false" stroked="true" strokeweight=".6pt" strokecolor="#000000">
              <v:stroke dashstyle="solid"/>
            </v:rect>
            <v:line style="position:absolute" from="6363,-756" to="6364,-603" stroked="true" strokeweight=".6pt" strokecolor="#000000">
              <v:stroke dashstyle="solid"/>
            </v:line>
            <v:line style="position:absolute" from="6363,-609" to="6363,-480" stroked="true" strokeweight=".65pt" strokecolor="#000000">
              <v:stroke dashstyle="solid"/>
            </v:line>
            <v:line style="position:absolute" from="6287,-486" to="6440,-485" stroked="true" strokeweight=".6pt" strokecolor="#000000">
              <v:stroke dashstyle="solid"/>
            </v:line>
            <v:shape style="position:absolute;left:6287;top:-486;width:153;height:75" coordorigin="6287,-486" coordsize="153,75" path="m6363,-486l6287,-411,6440,-411,6363,-486xe" filled="true" fillcolor="#ffffff" stroked="false">
              <v:path arrowok="t"/>
              <v:fill type="solid"/>
            </v:shape>
            <v:shape style="position:absolute;left:6287;top:-486;width:153;height:75" coordorigin="6287,-486" coordsize="153,75" path="m6363,-486l6287,-411,6440,-411,6363,-486xe" filled="false" stroked="true" strokeweight=".6pt" strokecolor="#000000">
              <v:path arrowok="t"/>
              <v:stroke dashstyle="solid"/>
            </v:shape>
            <v:line style="position:absolute" from="6363,-301" to="6363,-175" stroked="true" strokeweight=".65pt" strokecolor="#000000">
              <v:stroke dashstyle="solid"/>
            </v:line>
            <v:line style="position:absolute" from="6287,-181" to="6440,-180" stroked="true" strokeweight=".6pt" strokecolor="#000000">
              <v:stroke dashstyle="solid"/>
            </v:line>
            <v:shape style="position:absolute;left:6287;top:-181;width:153;height:76" coordorigin="6287,-181" coordsize="153,76" path="m6363,-181l6287,-105,6440,-105,6363,-181xe" filled="true" fillcolor="#ffffff" stroked="false">
              <v:path arrowok="t"/>
              <v:fill type="solid"/>
            </v:shape>
            <v:shape style="position:absolute;left:6287;top:-181;width:153;height:76" coordorigin="6287,-181" coordsize="153,76" path="m6363,-181l6287,-105,6440,-105,6363,-181xe" filled="false" stroked="true" strokeweight=".6pt" strokecolor="#000000">
              <v:path arrowok="t"/>
              <v:stroke dashstyle="solid"/>
            </v:shape>
            <v:shape style="position:absolute;left:6363;top:-417;width:2;height:434" coordorigin="6363,-417" coordsize="0,434" path="m6363,-111l6363,17m6363,-417l6363,-289e" filled="false" stroked="true" strokeweight=".65pt" strokecolor="#000000">
              <v:path arrowok="t"/>
              <v:stroke dashstyle="solid"/>
            </v:shape>
            <v:line style="position:absolute" from="6363,11" to="6364,164" stroked="true" strokeweight=".6pt" strokecolor="#000000">
              <v:stroke dashstyle="solid"/>
            </v:line>
            <v:line style="position:absolute" from="6363,272" to="6363,398" stroked="true" strokeweight=".65pt" strokecolor="#000000">
              <v:stroke dashstyle="solid"/>
            </v:line>
            <v:shape style="position:absolute;left:6287;top:392;width:153;height:78" coordorigin="6287,392" coordsize="153,78" path="m6363,392l6287,470,6440,470,6363,392xe" filled="true" fillcolor="#ffffff" stroked="false">
              <v:path arrowok="t"/>
              <v:fill type="solid"/>
            </v:shape>
            <v:shape style="position:absolute;left:6287;top:392;width:153;height:78" coordorigin="6287,392" coordsize="153,78" path="m6363,392l6287,470,6440,470,6363,392xe" filled="false" stroked="true" strokeweight=".6pt" strokecolor="#000000">
              <v:path arrowok="t"/>
              <v:stroke dashstyle="solid"/>
            </v:shape>
            <v:shape style="position:absolute;left:6363;top:158;width:2;height:432" coordorigin="6363,158" coordsize="0,432" path="m6363,464l6363,590m6363,158l6363,284e" filled="false" stroked="true" strokeweight=".65pt" strokecolor="#000000">
              <v:path arrowok="t"/>
              <v:stroke dashstyle="solid"/>
            </v:shape>
            <v:line style="position:absolute" from="6363,584" to="6364,776" stroked="true" strokeweight=".6pt" strokecolor="#000000">
              <v:stroke dashstyle="solid"/>
            </v:line>
            <v:shape style="position:absolute;left:6287;top:776;width:153;height:75" coordorigin="6287,776" coordsize="153,75" path="m6440,776l6287,776,6363,851,6440,776xe" filled="true" fillcolor="#ffffff" stroked="false">
              <v:path arrowok="t"/>
              <v:fill type="solid"/>
            </v:shape>
            <v:shape style="position:absolute;left:6287;top:776;width:153;height:75" coordorigin="6287,776" coordsize="153,75" path="m6287,776l6440,776,6363,851,6287,776xe" filled="false" stroked="true" strokeweight=".6pt" strokecolor="#000000">
              <v:path arrowok="t"/>
              <v:stroke dashstyle="solid"/>
            </v:shape>
            <v:shape style="position:absolute;left:6281;top:88;width:185;height:155" type="#_x0000_t202" filled="false" stroked="false">
              <v:textbox inset="0,0,0,0">
                <w:txbxContent>
                  <w:p>
                    <w:pPr>
                      <w:spacing w:line="154" w:lineRule="exact" w:before="0"/>
                      <w:ind w:left="0" w:right="0" w:firstLine="0"/>
                      <w:jc w:val="left"/>
                      <w:rPr>
                        <w:rFonts w:ascii="Times New Roman"/>
                        <w:sz w:val="14"/>
                      </w:rPr>
                    </w:pPr>
                    <w:r>
                      <w:rPr>
                        <w:rFonts w:ascii="Times New Roman"/>
                        <w:w w:val="99"/>
                        <w:sz w:val="14"/>
                        <w:u w:val="single"/>
                      </w:rPr>
                      <w:t> </w:t>
                    </w:r>
                    <w:r>
                      <w:rPr>
                        <w:rFonts w:ascii="Times New Roman"/>
                        <w:spacing w:val="-10"/>
                        <w:sz w:val="14"/>
                        <w:u w:val="single"/>
                      </w:rPr>
                      <w:t> </w:t>
                    </w:r>
                  </w:p>
                </w:txbxContent>
              </v:textbox>
              <w10:wrap type="none"/>
            </v:shape>
            <v:shape style="position:absolute;left:6436;top:619;width:423;height:156" type="#_x0000_t202" filled="false" stroked="false">
              <v:textbox inset="0,0,0,0">
                <w:txbxContent>
                  <w:p>
                    <w:pPr>
                      <w:spacing w:line="156" w:lineRule="exact" w:before="0"/>
                      <w:ind w:left="0" w:right="0" w:firstLine="0"/>
                      <w:jc w:val="left"/>
                      <w:rPr>
                        <w:sz w:val="14"/>
                      </w:rPr>
                    </w:pPr>
                    <w:r>
                      <w:rPr>
                        <w:sz w:val="14"/>
                      </w:rPr>
                      <w:t>GNDA</w:t>
                    </w:r>
                  </w:p>
                </w:txbxContent>
              </v:textbox>
              <w10:wrap type="none"/>
            </v:shape>
            <w10:wrap type="none"/>
          </v:group>
        </w:pict>
      </w:r>
      <w:r>
        <w:rPr>
          <w:sz w:val="14"/>
        </w:rPr>
        <w:t>To MUX</w:t>
      </w:r>
    </w:p>
    <w:p>
      <w:pPr>
        <w:spacing w:line="242" w:lineRule="auto" w:before="102"/>
        <w:ind w:left="636" w:right="38" w:firstLine="19"/>
        <w:jc w:val="center"/>
        <w:rPr>
          <w:sz w:val="14"/>
        </w:rPr>
      </w:pPr>
      <w:r>
        <w:rPr/>
        <w:br w:type="column"/>
      </w:r>
      <w:r>
        <w:rPr>
          <w:sz w:val="14"/>
        </w:rPr>
        <w:t>from internal </w:t>
      </w:r>
      <w:r>
        <w:rPr>
          <w:spacing w:val="-1"/>
          <w:sz w:val="14"/>
        </w:rPr>
        <w:t>reference</w:t>
      </w:r>
    </w:p>
    <w:p>
      <w:pPr>
        <w:pStyle w:val="BodyText"/>
        <w:spacing w:before="5"/>
        <w:rPr>
          <w:sz w:val="14"/>
        </w:rPr>
      </w:pPr>
      <w:r>
        <w:rPr/>
        <w:br w:type="column"/>
      </w:r>
      <w:r>
        <w:rPr>
          <w:sz w:val="14"/>
        </w:rPr>
      </w:r>
    </w:p>
    <w:p>
      <w:pPr>
        <w:spacing w:before="1"/>
        <w:ind w:left="727" w:right="0" w:firstLine="0"/>
        <w:jc w:val="left"/>
        <w:rPr>
          <w:sz w:val="14"/>
        </w:rPr>
      </w:pPr>
      <w:r>
        <w:rPr>
          <w:sz w:val="14"/>
        </w:rPr>
        <w:t>P5</w:t>
      </w:r>
    </w:p>
    <w:p>
      <w:pPr>
        <w:spacing w:before="0"/>
        <w:ind w:left="636" w:right="0" w:firstLine="0"/>
        <w:jc w:val="left"/>
        <w:rPr>
          <w:sz w:val="14"/>
        </w:rPr>
      </w:pPr>
      <w:r>
        <w:rPr>
          <w:sz w:val="14"/>
        </w:rPr>
        <w:t>Pin</w:t>
      </w:r>
    </w:p>
    <w:p>
      <w:pPr>
        <w:spacing w:after="0"/>
        <w:jc w:val="left"/>
        <w:rPr>
          <w:sz w:val="14"/>
        </w:rPr>
        <w:sectPr>
          <w:type w:val="continuous"/>
          <w:pgSz w:w="12240" w:h="15840"/>
          <w:pgMar w:top="940" w:bottom="280" w:left="960" w:right="940"/>
          <w:cols w:num="6" w:equalWidth="0">
            <w:col w:w="1063" w:space="1525"/>
            <w:col w:w="1093" w:space="255"/>
            <w:col w:w="1112" w:space="494"/>
            <w:col w:w="988" w:space="605"/>
            <w:col w:w="1265" w:space="329"/>
            <w:col w:w="1611"/>
          </w:cols>
        </w:sectPr>
      </w:pPr>
    </w:p>
    <w:p>
      <w:pPr>
        <w:pStyle w:val="BodyText"/>
        <w:spacing w:before="4"/>
        <w:rPr>
          <w:sz w:val="12"/>
        </w:rPr>
      </w:pPr>
    </w:p>
    <w:p>
      <w:pPr>
        <w:spacing w:after="0"/>
        <w:rPr>
          <w:sz w:val="12"/>
        </w:rPr>
        <w:sectPr>
          <w:type w:val="continuous"/>
          <w:pgSz w:w="12240" w:h="15840"/>
          <w:pgMar w:top="940" w:bottom="280" w:left="960" w:right="940"/>
        </w:sectPr>
      </w:pPr>
    </w:p>
    <w:p>
      <w:pPr>
        <w:pStyle w:val="BodyText"/>
        <w:rPr>
          <w:sz w:val="16"/>
        </w:rPr>
      </w:pPr>
    </w:p>
    <w:p>
      <w:pPr>
        <w:pStyle w:val="BodyText"/>
        <w:rPr>
          <w:sz w:val="16"/>
        </w:rPr>
      </w:pPr>
    </w:p>
    <w:p>
      <w:pPr>
        <w:pStyle w:val="BodyText"/>
        <w:spacing w:before="4"/>
        <w:rPr>
          <w:sz w:val="22"/>
        </w:rPr>
      </w:pPr>
    </w:p>
    <w:p>
      <w:pPr>
        <w:spacing w:line="242" w:lineRule="auto" w:before="0"/>
        <w:ind w:left="1629" w:right="529" w:firstLine="0"/>
        <w:jc w:val="center"/>
        <w:rPr>
          <w:b/>
          <w:sz w:val="14"/>
        </w:rPr>
      </w:pPr>
      <w:r>
        <w:rPr/>
        <w:pict>
          <v:shape style="position:absolute;margin-left:200pt;margin-top:-8.274078pt;width:7.65pt;height:3.75pt;mso-position-horizontal-relative:page;mso-position-vertical-relative:paragraph;z-index:15873024" coordorigin="4000,-165" coordsize="153,75" path="m4000,-165l4153,-165,4078,-90,4000,-165xe" filled="false" stroked="true" strokeweight=".6pt" strokecolor="#000000">
            <v:path arrowok="t"/>
            <v:stroke dashstyle="solid"/>
            <w10:wrap type="none"/>
          </v:shape>
        </w:pict>
      </w:r>
      <w:r>
        <w:rPr>
          <w:b/>
          <w:sz w:val="14"/>
          <w:u w:val="single"/>
        </w:rPr>
        <w:t>Digital Input</w:t>
      </w:r>
      <w:r>
        <w:rPr>
          <w:b/>
          <w:sz w:val="14"/>
        </w:rPr>
        <w:t> </w:t>
      </w:r>
      <w:r>
        <w:rPr>
          <w:b/>
          <w:sz w:val="14"/>
          <w:u w:val="single"/>
        </w:rPr>
        <w:t>Type 2:</w:t>
      </w:r>
    </w:p>
    <w:p>
      <w:pPr>
        <w:spacing w:line="242" w:lineRule="auto" w:before="9"/>
        <w:ind w:left="1209" w:right="38" w:firstLine="0"/>
        <w:jc w:val="center"/>
        <w:rPr>
          <w:sz w:val="14"/>
        </w:rPr>
      </w:pPr>
      <w:r>
        <w:rPr>
          <w:sz w:val="14"/>
        </w:rPr>
        <w:t>Pin configured as DIO Input with Internal Pull-Down</w:t>
      </w:r>
    </w:p>
    <w:p>
      <w:pPr>
        <w:spacing w:before="95"/>
        <w:ind w:left="2023" w:right="20" w:hanging="814"/>
        <w:jc w:val="left"/>
        <w:rPr>
          <w:sz w:val="14"/>
        </w:rPr>
      </w:pPr>
      <w:r>
        <w:rPr/>
        <w:br w:type="column"/>
      </w:r>
      <w:r>
        <w:rPr>
          <w:b/>
          <w:sz w:val="14"/>
          <w:u w:val="single"/>
        </w:rPr>
        <w:t>Analog Input Equivalent Circuit</w:t>
      </w:r>
      <w:r>
        <w:rPr>
          <w:b/>
          <w:sz w:val="14"/>
        </w:rPr>
        <w:t> </w:t>
      </w:r>
      <w:r>
        <w:rPr>
          <w:b/>
          <w:position w:val="1"/>
          <w:sz w:val="14"/>
          <w:u w:val="single"/>
        </w:rPr>
        <w:t>Type 6</w:t>
      </w:r>
      <w:r>
        <w:rPr>
          <w:b/>
          <w:position w:val="1"/>
          <w:sz w:val="14"/>
        </w:rPr>
        <w:t> </w:t>
      </w:r>
      <w:r>
        <w:rPr>
          <w:sz w:val="14"/>
        </w:rPr>
        <w:t>:</w:t>
      </w:r>
    </w:p>
    <w:p>
      <w:pPr>
        <w:spacing w:line="693" w:lineRule="auto" w:before="1"/>
        <w:ind w:left="1752" w:right="700" w:firstLine="216"/>
        <w:jc w:val="left"/>
        <w:rPr>
          <w:sz w:val="14"/>
        </w:rPr>
      </w:pPr>
      <w:r>
        <w:rPr/>
        <w:pict>
          <v:group style="position:absolute;margin-left:291.149994pt;margin-top:32.515930pt;width:53.8pt;height:65.55pt;mso-position-horizontal-relative:page;mso-position-vertical-relative:paragraph;z-index:-38705152" coordorigin="5823,650" coordsize="1076,1311">
            <v:line style="position:absolute" from="5904,1268" to="6815,1269" stroked="true" strokeweight=".6pt" strokecolor="#000000">
              <v:stroke dashstyle="solid"/>
            </v:line>
            <v:shape style="position:absolute;left:6789;top:1212;width:110;height:111" type="#_x0000_t75" stroked="false">
              <v:imagedata r:id="rId239" o:title=""/>
            </v:shape>
            <v:line style="position:absolute" from="6210,1879" to="6211,1612" stroked="true" strokeweight=".6pt" strokecolor="#000000">
              <v:stroke dashstyle="solid"/>
            </v:line>
            <v:line style="position:absolute" from="6135,1612" to="6287,1613" stroked="true" strokeweight=".6pt" strokecolor="#000000">
              <v:stroke dashstyle="solid"/>
            </v:line>
            <v:shape style="position:absolute;left:6135;top:1535;width:152;height:77" coordorigin="6135,1535" coordsize="152,77" path="m6287,1612l6210,1535,6135,1612e" filled="false" stroked="true" strokeweight=".6pt" strokecolor="#000000">
              <v:path arrowok="t"/>
              <v:stroke dashstyle="solid"/>
            </v:shape>
            <v:line style="position:absolute" from="6135,1535" to="6287,1536" stroked="true" strokeweight=".6pt" strokecolor="#000000">
              <v:stroke dashstyle="solid"/>
            </v:line>
            <v:line style="position:absolute" from="6210,1268" to="6211,1535" stroked="true" strokeweight=".6pt" strokecolor="#000000">
              <v:stroke dashstyle="solid"/>
            </v:line>
            <v:shape style="position:absolute;left:6192;top:1249;width:36;height:37" coordorigin="6192,1249" coordsize="36,37" path="m6216,1249l6204,1249,6196,1255,6192,1268,6196,1278,6204,1286,6216,1286,6226,1278,6228,1268,6226,1255,6216,1249xe" filled="true" fillcolor="#000000" stroked="false">
              <v:path arrowok="t"/>
              <v:fill type="solid"/>
            </v:shape>
            <v:shape style="position:absolute;left:6192;top:1249;width:36;height:37" coordorigin="6192,1249" coordsize="36,37" path="m6228,1268l6226,1255,6216,1249,6204,1249,6196,1255,6192,1268,6196,1278,6204,1286,6216,1286,6226,1278,6228,1268xe" filled="false" stroked="true" strokeweight=".6pt" strokecolor="#000000">
              <v:path arrowok="t"/>
              <v:stroke dashstyle="solid"/>
            </v:shape>
            <v:rect style="position:absolute;left:5829;top:1229;width:75;height:77" filled="true" fillcolor="#ffffff" stroked="false">
              <v:fill type="solid"/>
            </v:rect>
            <v:rect style="position:absolute;left:5829;top:1229;width:75;height:77" filled="false" stroked="true" strokeweight=".6pt" strokecolor="#000000">
              <v:stroke dashstyle="solid"/>
            </v:rect>
            <v:shape style="position:absolute;left:6135;top:1879;width:152;height:76" coordorigin="6135,1879" coordsize="152,76" path="m6287,1879l6135,1879,6210,1955,6287,1879xe" filled="true" fillcolor="#ffffff" stroked="false">
              <v:path arrowok="t"/>
              <v:fill type="solid"/>
            </v:shape>
            <v:shape style="position:absolute;left:6135;top:1879;width:152;height:76" coordorigin="6135,1879" coordsize="152,76" path="m6135,1879l6287,1879,6210,1955,6135,1879xe" filled="false" stroked="true" strokeweight=".6pt" strokecolor="#000000">
              <v:path arrowok="t"/>
              <v:stroke dashstyle="solid"/>
            </v:shape>
            <v:line style="position:absolute" from="6210,1268" to="6211,1000" stroked="true" strokeweight=".6pt" strokecolor="#000000">
              <v:stroke dashstyle="solid"/>
            </v:line>
            <v:line style="position:absolute" from="6135,1000" to="6287,1001" stroked="true" strokeweight=".6pt" strokecolor="#000000">
              <v:stroke dashstyle="solid"/>
            </v:line>
            <v:shape style="position:absolute;left:6135;top:923;width:152;height:77" coordorigin="6135,923" coordsize="152,77" path="m6287,1000l6210,923,6135,1000e" filled="false" stroked="true" strokeweight=".6pt" strokecolor="#000000">
              <v:path arrowok="t"/>
              <v:stroke dashstyle="solid"/>
            </v:shape>
            <v:line style="position:absolute" from="6135,923" to="6287,924" stroked="true" strokeweight=".6pt" strokecolor="#000000">
              <v:stroke dashstyle="solid"/>
            </v:line>
            <v:line style="position:absolute" from="6210,656" to="6211,923" stroked="true" strokeweight=".6pt" strokecolor="#000000">
              <v:stroke dashstyle="solid"/>
            </v:line>
            <w10:wrap type="none"/>
          </v:group>
        </w:pict>
      </w:r>
      <w:r>
        <w:rPr>
          <w:sz w:val="14"/>
        </w:rPr>
        <w:t>ADC Input V3P3A</w:t>
      </w:r>
    </w:p>
    <w:p>
      <w:pPr>
        <w:spacing w:line="242" w:lineRule="auto" w:before="95"/>
        <w:ind w:left="1209" w:right="876" w:firstLine="0"/>
        <w:jc w:val="center"/>
        <w:rPr>
          <w:b/>
          <w:sz w:val="14"/>
        </w:rPr>
      </w:pPr>
      <w:r>
        <w:rPr/>
        <w:br w:type="column"/>
      </w:r>
      <w:r>
        <w:rPr>
          <w:b/>
          <w:sz w:val="14"/>
          <w:u w:val="single"/>
        </w:rPr>
        <w:t>V2P5 Equivalent Circuit</w:t>
      </w:r>
      <w:r>
        <w:rPr>
          <w:b/>
          <w:sz w:val="14"/>
        </w:rPr>
        <w:t> </w:t>
      </w:r>
      <w:r>
        <w:rPr>
          <w:b/>
          <w:sz w:val="14"/>
          <w:u w:val="single"/>
        </w:rPr>
        <w:t>Type 10:</w:t>
      </w:r>
    </w:p>
    <w:p>
      <w:pPr>
        <w:spacing w:before="8"/>
        <w:ind w:left="1209" w:right="844" w:firstLine="0"/>
        <w:jc w:val="center"/>
        <w:rPr>
          <w:sz w:val="14"/>
        </w:rPr>
      </w:pPr>
      <w:r>
        <w:rPr>
          <w:sz w:val="14"/>
        </w:rPr>
        <w:t>V2P5</w:t>
      </w:r>
    </w:p>
    <w:p>
      <w:pPr>
        <w:spacing w:after="0"/>
        <w:jc w:val="center"/>
        <w:rPr>
          <w:sz w:val="14"/>
        </w:rPr>
        <w:sectPr>
          <w:type w:val="continuous"/>
          <w:pgSz w:w="12240" w:h="15840"/>
          <w:pgMar w:top="940" w:bottom="280" w:left="960" w:right="940"/>
          <w:cols w:num="3" w:equalWidth="0">
            <w:col w:w="2969" w:space="312"/>
            <w:col w:w="3334" w:space="67"/>
            <w:col w:w="3658"/>
          </w:cols>
        </w:sect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5"/>
        <w:rPr>
          <w:sz w:val="17"/>
        </w:rPr>
      </w:pPr>
    </w:p>
    <w:p>
      <w:pPr>
        <w:spacing w:before="1"/>
        <w:ind w:left="0" w:right="38" w:firstLine="0"/>
        <w:jc w:val="right"/>
        <w:rPr>
          <w:sz w:val="14"/>
        </w:rPr>
      </w:pPr>
      <w:r>
        <w:rPr>
          <w:sz w:val="14"/>
        </w:rPr>
        <w:t>Digital</w:t>
      </w:r>
    </w:p>
    <w:p>
      <w:pPr>
        <w:spacing w:before="143"/>
        <w:ind w:left="940" w:right="0" w:firstLine="0"/>
        <w:jc w:val="left"/>
        <w:rPr>
          <w:sz w:val="14"/>
        </w:rPr>
      </w:pPr>
      <w:r>
        <w:rPr/>
        <w:br w:type="column"/>
      </w:r>
      <w:r>
        <w:rPr>
          <w:sz w:val="14"/>
        </w:rPr>
        <w:t>V3P3D</w:t>
      </w:r>
    </w:p>
    <w:p>
      <w:pPr>
        <w:pStyle w:val="BodyText"/>
        <w:rPr>
          <w:sz w:val="16"/>
        </w:rPr>
      </w:pPr>
    </w:p>
    <w:p>
      <w:pPr>
        <w:pStyle w:val="BodyText"/>
        <w:rPr>
          <w:sz w:val="16"/>
        </w:rPr>
      </w:pPr>
    </w:p>
    <w:p>
      <w:pPr>
        <w:pStyle w:val="BodyText"/>
        <w:rPr>
          <w:sz w:val="16"/>
        </w:rPr>
      </w:pPr>
    </w:p>
    <w:p>
      <w:pPr>
        <w:spacing w:line="106" w:lineRule="exact" w:before="144"/>
        <w:ind w:left="0" w:right="0" w:firstLine="0"/>
        <w:jc w:val="right"/>
        <w:rPr>
          <w:sz w:val="14"/>
        </w:rPr>
      </w:pPr>
      <w:r>
        <w:rPr/>
        <w:pict>
          <v:group style="position:absolute;margin-left:115.199997pt;margin-top:-27.064075pt;width:70pt;height:78.1pt;mso-position-horizontal-relative:page;mso-position-vertical-relative:paragraph;z-index:15873536" coordorigin="2304,-541" coordsize="1400,1562">
            <v:line style="position:absolute" from="2388,328" to="3234,328" stroked="true" strokeweight=".65pt" strokecolor="#000000">
              <v:stroke dashstyle="solid"/>
            </v:line>
            <v:line style="position:absolute" from="2655,939" to="2656,670" stroked="true" strokeweight=".6pt" strokecolor="#000000">
              <v:stroke dashstyle="solid"/>
            </v:line>
            <v:line style="position:absolute" from="2579,670" to="2732,671" stroked="true" strokeweight=".6pt" strokecolor="#000000">
              <v:stroke dashstyle="solid"/>
            </v:line>
            <v:shape style="position:absolute;left:2579;top:594;width:153;height:75" coordorigin="2579,595" coordsize="153,75" path="m2732,670l2655,595,2579,670e" filled="false" stroked="true" strokeweight=".6pt" strokecolor="#000000">
              <v:path arrowok="t"/>
              <v:stroke dashstyle="solid"/>
            </v:shape>
            <v:line style="position:absolute" from="2579,595" to="2732,596" stroked="true" strokeweight=".6pt" strokecolor="#000000">
              <v:stroke dashstyle="solid"/>
            </v:line>
            <v:line style="position:absolute" from="2655,328" to="2656,595" stroked="true" strokeweight=".6pt" strokecolor="#000000">
              <v:stroke dashstyle="solid"/>
            </v:line>
            <v:rect style="position:absolute;left:2310;top:288;width:78;height:75" filled="false" stroked="true" strokeweight=".6pt" strokecolor="#000000">
              <v:stroke dashstyle="solid"/>
            </v:rect>
            <v:shape style="position:absolute;left:2579;top:938;width:153;height:76" coordorigin="2579,939" coordsize="153,76" path="m2732,939l2579,939,2655,1015,2732,939xe" filled="true" fillcolor="#ffffff" stroked="false">
              <v:path arrowok="t"/>
              <v:fill type="solid"/>
            </v:shape>
            <v:shape style="position:absolute;left:2579;top:938;width:153;height:76" coordorigin="2579,939" coordsize="153,76" path="m2579,939l2732,939,2655,1015,2579,939xe" filled="false" stroked="true" strokeweight=".6pt" strokecolor="#000000">
              <v:path arrowok="t"/>
              <v:stroke dashstyle="solid"/>
            </v:shape>
            <v:line style="position:absolute" from="3238,697" to="3391,698" stroked="true" strokeweight=".6pt" strokecolor="#000000">
              <v:stroke dashstyle="solid"/>
            </v:line>
            <v:line style="position:absolute" from="3697,-278" to="3698,-535" stroked="true" strokeweight=".6pt" strokecolor="#000000">
              <v:stroke dashstyle="solid"/>
            </v:line>
            <v:line style="position:absolute" from="3697,-378" to="3698,-225" stroked="true" strokeweight=".6pt" strokecolor="#000000">
              <v:stroke dashstyle="solid"/>
            </v:line>
            <v:line style="position:absolute" from="3505,-225" to="3697,-224" stroked="true" strokeweight=".6pt" strokecolor="#000000">
              <v:stroke dashstyle="solid"/>
            </v:line>
            <v:line style="position:absolute" from="3505,-302" to="3506,156" stroked="true" strokeweight=".6pt" strokecolor="#000000">
              <v:stroke dashstyle="solid"/>
            </v:line>
            <v:line style="position:absolute" from="3697,230" to="3698,391" stroked="true" strokeweight=".6pt" strokecolor="#000000">
              <v:stroke dashstyle="solid"/>
            </v:line>
            <v:shape style="position:absolute;left:3511;top:80;width:187;height:153" coordorigin="3511,81" coordsize="187,153" path="m3697,81l3698,234m3697,81l3511,82e" filled="false" stroked="true" strokeweight=".6pt" strokecolor="#000000">
              <v:path arrowok="t"/>
              <v:stroke dashstyle="solid"/>
            </v:shape>
            <v:line style="position:absolute" from="3228,-72" to="3391,-71" stroked="true" strokeweight=".6pt" strokecolor="#000000">
              <v:stroke dashstyle="solid"/>
            </v:line>
            <v:shape style="position:absolute;left:3385;top:-232;width:312;height:318" type="#_x0000_t75" stroked="false">
              <v:imagedata r:id="rId240" o:title=""/>
            </v:shape>
            <v:line style="position:absolute" from="3697,391" to="3698,544" stroked="true" strokeweight=".6pt" strokecolor="#000000">
              <v:stroke dashstyle="solid"/>
            </v:line>
            <v:line style="position:absolute" from="3505,544" to="3697,545" stroked="true" strokeweight=".6pt" strokecolor="#000000">
              <v:stroke dashstyle="solid"/>
            </v:line>
            <v:line style="position:absolute" from="3505,468" to="3506,927" stroked="true" strokeweight=".6pt" strokecolor="#000000">
              <v:stroke dashstyle="solid"/>
            </v:line>
            <v:shape style="position:absolute;left:3511;top:849;width:187;height:153" coordorigin="3511,850" coordsize="187,153" path="m3697,850l3698,1003m3697,850l3511,851e" filled="false" stroked="true" strokeweight=".6pt" strokecolor="#000000">
              <v:path arrowok="t"/>
              <v:stroke dashstyle="solid"/>
            </v:shape>
            <v:line style="position:absolute" from="3583,697" to="3703,697" stroked="true" strokeweight=".65pt" strokecolor="#000000">
              <v:stroke dashstyle="solid"/>
            </v:line>
            <v:shape style="position:absolute;left:3505;top:641;width:110;height:110" coordorigin="3505,642" coordsize="110,110" path="m3615,642l3505,697,3615,752,3611,740,3609,733,3605,721,3605,713,3603,707,3603,687,3605,680,3605,674,3607,668,3609,660,3615,642xe" filled="true" fillcolor="#000000" stroked="false">
              <v:path arrowok="t"/>
              <v:fill type="solid"/>
            </v:shape>
            <v:line style="position:absolute" from="3468,544" to="3469,850" stroked="true" strokeweight=".6pt" strokecolor="#000000">
              <v:stroke dashstyle="solid"/>
            </v:line>
            <v:line style="position:absolute" from="3385,697" to="3474,697" stroked="true" strokeweight=".65pt" strokecolor="#000000">
              <v:stroke dashstyle="solid"/>
            </v:line>
            <v:line style="position:absolute" from="3697,-378" to="3698,-72" stroked="true" strokeweight=".6pt" strokecolor="#000000">
              <v:stroke dashstyle="solid"/>
            </v:line>
            <v:line style="position:absolute" from="3228,-74" to="3229,695" stroked="true" strokeweight=".6pt" strokecolor="#000000">
              <v:stroke dashstyle="solid"/>
            </v:line>
            <v:shape style="position:absolute;left:2736;top:785;width:431;height:156" type="#_x0000_t202" filled="false" stroked="false">
              <v:textbox inset="0,0,0,0">
                <w:txbxContent>
                  <w:p>
                    <w:pPr>
                      <w:spacing w:line="156" w:lineRule="exact" w:before="0"/>
                      <w:ind w:left="0" w:right="0" w:firstLine="0"/>
                      <w:jc w:val="left"/>
                      <w:rPr>
                        <w:sz w:val="14"/>
                      </w:rPr>
                    </w:pPr>
                    <w:r>
                      <w:rPr>
                        <w:sz w:val="14"/>
                      </w:rPr>
                      <w:t>GNDD</w:t>
                    </w:r>
                  </w:p>
                </w:txbxContent>
              </v:textbox>
              <w10:wrap type="none"/>
            </v:shape>
            <w10:wrap type="none"/>
          </v:group>
        </w:pict>
      </w:r>
      <w:r>
        <w:rPr/>
        <w:pict>
          <v:shape style="position:absolute;margin-left:208.699997pt;margin-top:-23.914087pt;width:.1pt;height:22.65pt;mso-position-horizontal-relative:page;mso-position-vertical-relative:paragraph;z-index:15874048" coordorigin="4174,-478" coordsize="1,453" path="m4174,-172l4175,-478m4174,-172l4175,-25e" filled="false" stroked="true" strokeweight=".6pt" strokecolor="#000000">
            <v:path arrowok="t"/>
            <v:stroke dashstyle="solid"/>
            <w10:wrap type="none"/>
          </v:shape>
        </w:pict>
      </w:r>
      <w:r>
        <w:rPr>
          <w:w w:val="95"/>
          <w:sz w:val="14"/>
        </w:rPr>
        <w:t>CMOS</w:t>
      </w:r>
    </w:p>
    <w:p>
      <w:pPr>
        <w:spacing w:line="242" w:lineRule="auto" w:before="104"/>
        <w:ind w:left="1112" w:right="0" w:hanging="209"/>
        <w:jc w:val="left"/>
        <w:rPr>
          <w:sz w:val="14"/>
        </w:rPr>
      </w:pPr>
      <w:r>
        <w:rPr/>
        <w:br w:type="column"/>
      </w:r>
      <w:r>
        <w:rPr>
          <w:w w:val="95"/>
          <w:sz w:val="14"/>
        </w:rPr>
        <w:t>Comparator </w:t>
      </w:r>
      <w:r>
        <w:rPr>
          <w:sz w:val="14"/>
        </w:rPr>
        <w:t>Input Pin</w:t>
      </w:r>
    </w:p>
    <w:p>
      <w:pPr>
        <w:pStyle w:val="BodyText"/>
        <w:rPr>
          <w:sz w:val="16"/>
        </w:rPr>
      </w:pPr>
      <w:r>
        <w:rPr/>
        <w:br w:type="column"/>
      </w:r>
      <w:r>
        <w:rPr>
          <w:sz w:val="16"/>
        </w:rPr>
      </w:r>
    </w:p>
    <w:p>
      <w:pPr>
        <w:pStyle w:val="BodyText"/>
        <w:rPr>
          <w:sz w:val="16"/>
        </w:rPr>
      </w:pPr>
    </w:p>
    <w:p>
      <w:pPr>
        <w:pStyle w:val="BodyText"/>
        <w:rPr>
          <w:sz w:val="16"/>
        </w:rPr>
      </w:pPr>
    </w:p>
    <w:p>
      <w:pPr>
        <w:pStyle w:val="BodyText"/>
        <w:spacing w:before="6"/>
      </w:pPr>
    </w:p>
    <w:p>
      <w:pPr>
        <w:spacing w:before="0"/>
        <w:ind w:left="343" w:right="0" w:firstLine="0"/>
        <w:jc w:val="left"/>
        <w:rPr>
          <w:sz w:val="14"/>
        </w:rPr>
      </w:pPr>
      <w:r>
        <w:rPr>
          <w:w w:val="95"/>
          <w:sz w:val="14"/>
        </w:rPr>
        <w:t>GNDA</w:t>
      </w:r>
    </w:p>
    <w:p>
      <w:pPr>
        <w:pStyle w:val="BodyText"/>
        <w:spacing w:before="11"/>
        <w:rPr>
          <w:sz w:val="15"/>
        </w:rPr>
      </w:pPr>
      <w:r>
        <w:rPr/>
        <w:br w:type="column"/>
      </w:r>
      <w:r>
        <w:rPr>
          <w:sz w:val="15"/>
        </w:rPr>
      </w:r>
    </w:p>
    <w:p>
      <w:pPr>
        <w:spacing w:before="0"/>
        <w:ind w:left="270" w:right="0" w:firstLine="278"/>
        <w:jc w:val="left"/>
        <w:rPr>
          <w:sz w:val="14"/>
        </w:rPr>
      </w:pPr>
      <w:r>
        <w:rPr>
          <w:sz w:val="14"/>
        </w:rPr>
        <w:t>To </w:t>
      </w:r>
      <w:r>
        <w:rPr>
          <w:w w:val="95"/>
          <w:sz w:val="14"/>
        </w:rPr>
        <w:t>Comparator</w:t>
      </w:r>
    </w:p>
    <w:p>
      <w:pPr>
        <w:pStyle w:val="BodyText"/>
        <w:spacing w:before="8"/>
      </w:pPr>
      <w:r>
        <w:rPr/>
        <w:br w:type="column"/>
      </w:r>
      <w:r>
        <w:rPr/>
      </w:r>
    </w:p>
    <w:p>
      <w:pPr>
        <w:spacing w:before="1"/>
        <w:ind w:left="0" w:right="38" w:firstLine="0"/>
        <w:jc w:val="right"/>
        <w:rPr>
          <w:sz w:val="14"/>
        </w:rPr>
      </w:pPr>
      <w:r>
        <w:rPr/>
        <w:pict>
          <v:group style="position:absolute;margin-left:449.75pt;margin-top:5.57591pt;width:53.8pt;height:37.4pt;mso-position-horizontal-relative:page;mso-position-vertical-relative:paragraph;z-index:15878144" coordorigin="8995,112" coordsize="1076,748">
            <v:line style="position:absolute" from="9076,167" to="9987,168" stroked="true" strokeweight=".6pt" strokecolor="#000000">
              <v:stroke dashstyle="solid"/>
            </v:line>
            <v:shape style="position:absolute;left:9961;top:111;width:110;height:110" type="#_x0000_t75" stroked="false">
              <v:imagedata r:id="rId241" o:title=""/>
            </v:shape>
            <v:line style="position:absolute" from="9382,779" to="9383,509" stroked="true" strokeweight=".6pt" strokecolor="#000000">
              <v:stroke dashstyle="solid"/>
            </v:line>
            <v:line style="position:absolute" from="9306,509" to="9459,510" stroked="true" strokeweight=".6pt" strokecolor="#000000">
              <v:stroke dashstyle="solid"/>
            </v:line>
            <v:shape style="position:absolute;left:9306;top:433;width:153;height:75" coordorigin="9306,434" coordsize="153,75" path="m9459,509l9382,434,9306,509e" filled="false" stroked="true" strokeweight=".6pt" strokecolor="#000000">
              <v:path arrowok="t"/>
              <v:stroke dashstyle="solid"/>
            </v:shape>
            <v:line style="position:absolute" from="9306,434" to="9459,435" stroked="true" strokeweight=".6pt" strokecolor="#000000">
              <v:stroke dashstyle="solid"/>
            </v:line>
            <v:line style="position:absolute" from="9382,167" to="9383,434" stroked="true" strokeweight=".6pt" strokecolor="#000000">
              <v:stroke dashstyle="solid"/>
            </v:line>
            <v:rect style="position:absolute;left:9001;top:127;width:75;height:76" filled="true" fillcolor="#ffffff" stroked="false">
              <v:fill type="solid"/>
            </v:rect>
            <v:rect style="position:absolute;left:9001;top:127;width:75;height:76" filled="false" stroked="true" strokeweight=".6pt" strokecolor="#000000">
              <v:stroke dashstyle="solid"/>
            </v:rect>
            <v:shape style="position:absolute;left:9306;top:778;width:153;height:75" coordorigin="9306,779" coordsize="153,75" path="m9459,779l9306,779,9382,854,9459,779xe" filled="true" fillcolor="#ffffff" stroked="false">
              <v:path arrowok="t"/>
              <v:fill type="solid"/>
            </v:shape>
            <v:shape style="position:absolute;left:9306;top:778;width:153;height:75" coordorigin="9306,779" coordsize="153,75" path="m9306,779l9459,779,9382,854,9306,779xe" filled="false" stroked="true" strokeweight=".6pt" strokecolor="#000000">
              <v:path arrowok="t"/>
              <v:stroke dashstyle="solid"/>
            </v:shape>
            <v:shape style="position:absolute;left:8995;top:111;width:1076;height:748" type="#_x0000_t202" filled="false" stroked="false">
              <v:textbox inset="0,0,0,0">
                <w:txbxContent>
                  <w:p>
                    <w:pPr>
                      <w:spacing w:line="240" w:lineRule="auto" w:before="0"/>
                      <w:rPr>
                        <w:b/>
                        <w:sz w:val="16"/>
                      </w:rPr>
                    </w:pPr>
                  </w:p>
                  <w:p>
                    <w:pPr>
                      <w:spacing w:line="240" w:lineRule="auto" w:before="0"/>
                      <w:rPr>
                        <w:b/>
                        <w:sz w:val="16"/>
                      </w:rPr>
                    </w:pPr>
                  </w:p>
                  <w:p>
                    <w:pPr>
                      <w:spacing w:before="138"/>
                      <w:ind w:left="468" w:right="0" w:firstLine="0"/>
                      <w:jc w:val="left"/>
                      <w:rPr>
                        <w:sz w:val="14"/>
                      </w:rPr>
                    </w:pPr>
                    <w:r>
                      <w:rPr>
                        <w:sz w:val="14"/>
                      </w:rPr>
                      <w:t>GNDD</w:t>
                    </w:r>
                  </w:p>
                </w:txbxContent>
              </v:textbox>
              <w10:wrap type="none"/>
            </v:shape>
            <w10:wrap type="none"/>
          </v:group>
        </w:pict>
      </w:r>
      <w:r>
        <w:rPr>
          <w:sz w:val="14"/>
        </w:rPr>
        <w:t>VLCD</w:t>
      </w:r>
    </w:p>
    <w:p>
      <w:pPr>
        <w:spacing w:before="2"/>
        <w:ind w:left="0" w:right="118" w:firstLine="0"/>
        <w:jc w:val="right"/>
        <w:rPr>
          <w:sz w:val="14"/>
        </w:rPr>
      </w:pPr>
      <w:r>
        <w:rPr>
          <w:w w:val="95"/>
          <w:sz w:val="14"/>
        </w:rPr>
        <w:t>Pin</w:t>
      </w:r>
    </w:p>
    <w:p>
      <w:pPr>
        <w:pStyle w:val="BodyText"/>
        <w:spacing w:before="8"/>
      </w:pPr>
      <w:r>
        <w:rPr/>
        <w:br w:type="column"/>
      </w:r>
      <w:r>
        <w:rPr/>
      </w:r>
    </w:p>
    <w:p>
      <w:pPr>
        <w:spacing w:before="1"/>
        <w:ind w:left="918" w:right="660" w:firstLine="0"/>
        <w:jc w:val="center"/>
        <w:rPr>
          <w:sz w:val="14"/>
        </w:rPr>
      </w:pPr>
      <w:r>
        <w:rPr>
          <w:sz w:val="14"/>
        </w:rPr>
        <w:t>LCD</w:t>
      </w:r>
    </w:p>
    <w:p>
      <w:pPr>
        <w:spacing w:before="2"/>
        <w:ind w:left="918" w:right="685" w:firstLine="0"/>
        <w:jc w:val="center"/>
        <w:rPr>
          <w:sz w:val="14"/>
        </w:rPr>
      </w:pPr>
      <w:r>
        <w:rPr>
          <w:sz w:val="14"/>
        </w:rPr>
        <w:t>Drivers</w:t>
      </w:r>
    </w:p>
    <w:p>
      <w:pPr>
        <w:spacing w:after="0"/>
        <w:jc w:val="center"/>
        <w:rPr>
          <w:sz w:val="14"/>
        </w:rPr>
        <w:sectPr>
          <w:type w:val="continuous"/>
          <w:pgSz w:w="12240" w:h="15840"/>
          <w:pgMar w:top="940" w:bottom="280" w:left="960" w:right="940"/>
          <w:cols w:num="7" w:equalWidth="0">
            <w:col w:w="1367" w:space="205"/>
            <w:col w:w="1689" w:space="39"/>
            <w:col w:w="1642" w:space="40"/>
            <w:col w:w="747" w:space="39"/>
            <w:col w:w="1008" w:space="40"/>
            <w:col w:w="1229" w:space="207"/>
            <w:col w:w="2088"/>
          </w:cols>
        </w:sectPr>
      </w:pPr>
    </w:p>
    <w:p>
      <w:pPr>
        <w:spacing w:line="242" w:lineRule="auto" w:before="0"/>
        <w:ind w:left="1029" w:right="35" w:hanging="58"/>
        <w:jc w:val="left"/>
        <w:rPr>
          <w:sz w:val="14"/>
        </w:rPr>
      </w:pPr>
      <w:r>
        <w:rPr>
          <w:w w:val="95"/>
          <w:sz w:val="14"/>
        </w:rPr>
        <w:t>Input </w:t>
      </w:r>
      <w:r>
        <w:rPr>
          <w:sz w:val="14"/>
        </w:rPr>
        <w:t>Pin</w:t>
      </w:r>
    </w:p>
    <w:p>
      <w:pPr>
        <w:spacing w:before="57"/>
        <w:ind w:left="0" w:right="38" w:firstLine="0"/>
        <w:jc w:val="right"/>
        <w:rPr>
          <w:sz w:val="14"/>
        </w:rPr>
      </w:pPr>
      <w:r>
        <w:rPr/>
        <w:br w:type="column"/>
      </w:r>
      <w:r>
        <w:rPr>
          <w:sz w:val="14"/>
        </w:rPr>
        <w:t>Input</w:t>
      </w:r>
    </w:p>
    <w:p>
      <w:pPr>
        <w:spacing w:line="247" w:lineRule="auto" w:before="64"/>
        <w:ind w:left="1444" w:right="20" w:hanging="473"/>
        <w:jc w:val="left"/>
        <w:rPr>
          <w:sz w:val="14"/>
        </w:rPr>
      </w:pPr>
      <w:r>
        <w:rPr/>
        <w:br w:type="column"/>
      </w:r>
      <w:r>
        <w:rPr>
          <w:b/>
          <w:sz w:val="14"/>
          <w:u w:val="single"/>
        </w:rPr>
        <w:t>Comparator Input Equivalent</w:t>
      </w:r>
      <w:r>
        <w:rPr>
          <w:b/>
          <w:sz w:val="14"/>
        </w:rPr>
        <w:t> </w:t>
      </w:r>
      <w:r>
        <w:rPr>
          <w:b/>
          <w:sz w:val="14"/>
          <w:u w:val="single"/>
        </w:rPr>
        <w:t>Circuit Type 7:</w:t>
      </w:r>
      <w:r>
        <w:rPr>
          <w:b/>
          <w:sz w:val="14"/>
        </w:rPr>
        <w:t> </w:t>
      </w:r>
      <w:r>
        <w:rPr>
          <w:sz w:val="14"/>
        </w:rPr>
        <w:t>Comparator Input</w:t>
      </w:r>
    </w:p>
    <w:p>
      <w:pPr>
        <w:spacing w:line="242" w:lineRule="auto" w:before="76"/>
        <w:ind w:left="972" w:right="951" w:firstLine="0"/>
        <w:jc w:val="center"/>
        <w:rPr>
          <w:b/>
          <w:sz w:val="14"/>
        </w:rPr>
      </w:pPr>
      <w:r>
        <w:rPr/>
        <w:br w:type="column"/>
      </w:r>
      <w:r>
        <w:rPr>
          <w:b/>
          <w:sz w:val="14"/>
          <w:u w:val="single"/>
        </w:rPr>
        <w:t>VLCD Equivalent Circuit</w:t>
      </w:r>
      <w:r>
        <w:rPr>
          <w:b/>
          <w:sz w:val="14"/>
        </w:rPr>
        <w:t> </w:t>
      </w:r>
      <w:r>
        <w:rPr>
          <w:b/>
          <w:sz w:val="14"/>
          <w:u w:val="single"/>
        </w:rPr>
        <w:t>Type 11:</w:t>
      </w:r>
    </w:p>
    <w:p>
      <w:pPr>
        <w:spacing w:before="8"/>
        <w:ind w:left="972" w:right="929" w:firstLine="0"/>
        <w:jc w:val="center"/>
        <w:rPr>
          <w:sz w:val="14"/>
        </w:rPr>
      </w:pPr>
      <w:r>
        <w:rPr>
          <w:sz w:val="14"/>
        </w:rPr>
        <w:t>VLCD Power</w:t>
      </w:r>
    </w:p>
    <w:p>
      <w:pPr>
        <w:spacing w:after="0"/>
        <w:jc w:val="center"/>
        <w:rPr>
          <w:sz w:val="14"/>
        </w:rPr>
        <w:sectPr>
          <w:type w:val="continuous"/>
          <w:pgSz w:w="12240" w:h="15840"/>
          <w:pgMar w:top="940" w:bottom="280" w:left="960" w:right="940"/>
          <w:cols w:num="4" w:equalWidth="0">
            <w:col w:w="1322" w:space="593"/>
            <w:col w:w="1322" w:space="351"/>
            <w:col w:w="2933" w:space="285"/>
            <w:col w:w="3534"/>
          </w:cols>
        </w:sectPr>
      </w:pPr>
    </w:p>
    <w:p>
      <w:pPr>
        <w:pStyle w:val="BodyText"/>
        <w:spacing w:before="2"/>
        <w:rPr>
          <w:sz w:val="28"/>
        </w:rPr>
      </w:pPr>
    </w:p>
    <w:p>
      <w:pPr>
        <w:pStyle w:val="BodyText"/>
        <w:spacing w:line="88" w:lineRule="exact"/>
        <w:ind w:left="2655"/>
        <w:rPr>
          <w:sz w:val="8"/>
        </w:rPr>
      </w:pPr>
      <w:r>
        <w:rPr>
          <w:position w:val="-1"/>
          <w:sz w:val="8"/>
        </w:rPr>
        <w:pict>
          <v:group style="width:8.25pt;height:4.4pt;mso-position-horizontal-relative:char;mso-position-vertical-relative:line" coordorigin="0,0" coordsize="165,88">
            <v:shape style="position:absolute;left:6;top:6;width:153;height:76" coordorigin="6,6" coordsize="153,76" path="m6,6l159,6,82,82,6,6xe" filled="false" stroked="true" strokeweight=".6pt" strokecolor="#000000">
              <v:path arrowok="t"/>
              <v:stroke dashstyle="solid"/>
            </v:shape>
          </v:group>
        </w:pict>
      </w:r>
      <w:r>
        <w:rPr>
          <w:position w:val="-1"/>
          <w:sz w:val="8"/>
        </w:rPr>
      </w:r>
    </w:p>
    <w:p>
      <w:pPr>
        <w:spacing w:after="0" w:line="88" w:lineRule="exact"/>
        <w:rPr>
          <w:sz w:val="8"/>
        </w:rPr>
        <w:sectPr>
          <w:type w:val="continuous"/>
          <w:pgSz w:w="12240" w:h="15840"/>
          <w:pgMar w:top="940" w:bottom="280" w:left="960" w:right="940"/>
        </w:sectPr>
      </w:pPr>
    </w:p>
    <w:p>
      <w:pPr>
        <w:spacing w:line="249" w:lineRule="auto" w:before="106"/>
        <w:ind w:left="1209" w:right="0" w:hanging="65"/>
        <w:jc w:val="center"/>
        <w:rPr>
          <w:sz w:val="14"/>
        </w:rPr>
      </w:pPr>
      <w:r>
        <w:rPr>
          <w:b/>
          <w:sz w:val="14"/>
          <w:u w:val="single"/>
        </w:rPr>
        <w:t>Digital Input Type 3:</w:t>
      </w:r>
      <w:r>
        <w:rPr>
          <w:b/>
          <w:sz w:val="14"/>
        </w:rPr>
        <w:t> </w:t>
      </w:r>
      <w:r>
        <w:rPr>
          <w:sz w:val="14"/>
        </w:rPr>
        <w:t>Standard Digital Input or  pin configured as DIO</w:t>
      </w:r>
      <w:r>
        <w:rPr>
          <w:spacing w:val="-15"/>
          <w:sz w:val="14"/>
        </w:rPr>
        <w:t> </w:t>
      </w:r>
      <w:r>
        <w:rPr>
          <w:sz w:val="14"/>
        </w:rPr>
        <w:t>Input</w:t>
      </w:r>
    </w:p>
    <w:p>
      <w:pPr>
        <w:spacing w:line="242" w:lineRule="auto" w:before="22"/>
        <w:ind w:left="1328" w:right="0" w:hanging="197"/>
        <w:jc w:val="left"/>
        <w:rPr>
          <w:sz w:val="14"/>
        </w:rPr>
      </w:pPr>
      <w:r>
        <w:rPr/>
        <w:br w:type="column"/>
      </w:r>
      <w:r>
        <w:rPr>
          <w:w w:val="95"/>
          <w:sz w:val="14"/>
        </w:rPr>
        <w:t>Oscillator </w:t>
      </w:r>
      <w:r>
        <w:rPr>
          <w:sz w:val="14"/>
        </w:rPr>
        <w:t>Pin</w:t>
      </w:r>
    </w:p>
    <w:p>
      <w:pPr>
        <w:spacing w:line="242" w:lineRule="auto" w:before="22"/>
        <w:ind w:left="1173" w:right="0" w:firstLine="213"/>
        <w:jc w:val="left"/>
        <w:rPr>
          <w:sz w:val="14"/>
        </w:rPr>
      </w:pPr>
      <w:r>
        <w:rPr/>
        <w:br w:type="column"/>
      </w:r>
      <w:r>
        <w:rPr>
          <w:sz w:val="14"/>
        </w:rPr>
        <w:t>To </w:t>
      </w:r>
      <w:r>
        <w:rPr>
          <w:w w:val="95"/>
          <w:sz w:val="14"/>
        </w:rPr>
        <w:t>Oscillator</w:t>
      </w:r>
    </w:p>
    <w:p>
      <w:pPr>
        <w:spacing w:before="63"/>
        <w:ind w:left="0" w:right="38" w:firstLine="0"/>
        <w:jc w:val="right"/>
        <w:rPr>
          <w:sz w:val="14"/>
        </w:rPr>
      </w:pPr>
      <w:r>
        <w:rPr/>
        <w:br w:type="column"/>
      </w:r>
      <w:r>
        <w:rPr>
          <w:spacing w:val="-1"/>
          <w:sz w:val="14"/>
        </w:rPr>
        <w:t>VBAT</w:t>
      </w:r>
    </w:p>
    <w:p>
      <w:pPr>
        <w:spacing w:before="2"/>
        <w:ind w:left="0" w:right="105" w:firstLine="0"/>
        <w:jc w:val="right"/>
        <w:rPr>
          <w:sz w:val="14"/>
        </w:rPr>
      </w:pPr>
      <w:r>
        <w:rPr>
          <w:spacing w:val="-1"/>
          <w:sz w:val="14"/>
        </w:rPr>
        <w:t>Pin</w:t>
      </w:r>
    </w:p>
    <w:p>
      <w:pPr>
        <w:spacing w:line="242" w:lineRule="auto" w:before="20"/>
        <w:ind w:left="1209" w:right="670" w:firstLine="24"/>
        <w:jc w:val="both"/>
        <w:rPr>
          <w:sz w:val="14"/>
        </w:rPr>
      </w:pPr>
      <w:r>
        <w:rPr/>
        <w:br w:type="column"/>
      </w:r>
      <w:r>
        <w:rPr>
          <w:sz w:val="14"/>
        </w:rPr>
        <w:t>Power Down </w:t>
      </w:r>
      <w:r>
        <w:rPr>
          <w:w w:val="95"/>
          <w:sz w:val="14"/>
        </w:rPr>
        <w:t>Circuits</w:t>
      </w:r>
    </w:p>
    <w:p>
      <w:pPr>
        <w:spacing w:after="0" w:line="242" w:lineRule="auto"/>
        <w:jc w:val="both"/>
        <w:rPr>
          <w:sz w:val="14"/>
        </w:rPr>
        <w:sectPr>
          <w:type w:val="continuous"/>
          <w:pgSz w:w="12240" w:h="15840"/>
          <w:pgMar w:top="940" w:bottom="280" w:left="960" w:right="940"/>
          <w:cols w:num="5" w:equalWidth="0">
            <w:col w:w="2912" w:space="40"/>
            <w:col w:w="1713" w:space="39"/>
            <w:col w:w="1756" w:space="39"/>
            <w:col w:w="1350" w:space="145"/>
            <w:col w:w="2346"/>
          </w:cols>
        </w:sectPr>
      </w:pPr>
    </w:p>
    <w:p>
      <w:pPr>
        <w:pStyle w:val="BodyText"/>
        <w:spacing w:before="3"/>
        <w:rPr>
          <w:sz w:val="19"/>
        </w:rPr>
      </w:pPr>
    </w:p>
    <w:p>
      <w:pPr>
        <w:spacing w:after="0"/>
        <w:rPr>
          <w:sz w:val="19"/>
        </w:rPr>
        <w:sectPr>
          <w:type w:val="continuous"/>
          <w:pgSz w:w="12240" w:h="15840"/>
          <w:pgMar w:top="940" w:bottom="280" w:left="960" w:right="94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
        <w:rPr>
          <w:sz w:val="22"/>
        </w:rPr>
      </w:pPr>
    </w:p>
    <w:p>
      <w:pPr>
        <w:spacing w:before="0"/>
        <w:ind w:left="813" w:right="0" w:firstLine="0"/>
        <w:jc w:val="left"/>
        <w:rPr>
          <w:sz w:val="14"/>
        </w:rPr>
      </w:pPr>
      <w:r>
        <w:rPr>
          <w:spacing w:val="-1"/>
          <w:sz w:val="14"/>
        </w:rPr>
        <w:t>CMOS</w:t>
      </w:r>
    </w:p>
    <w:p>
      <w:pPr>
        <w:spacing w:before="2"/>
        <w:ind w:left="801" w:right="0" w:firstLine="0"/>
        <w:jc w:val="left"/>
        <w:rPr>
          <w:sz w:val="14"/>
        </w:rPr>
      </w:pPr>
      <w:r>
        <w:rPr>
          <w:sz w:val="14"/>
        </w:rPr>
        <w:t>Output</w:t>
      </w:r>
    </w:p>
    <w:p>
      <w:pPr>
        <w:spacing w:before="95"/>
        <w:ind w:left="116" w:right="0" w:firstLine="0"/>
        <w:jc w:val="left"/>
        <w:rPr>
          <w:sz w:val="14"/>
        </w:rPr>
      </w:pPr>
      <w:r>
        <w:rPr/>
        <w:br w:type="column"/>
      </w:r>
      <w:r>
        <w:rPr>
          <w:sz w:val="14"/>
        </w:rPr>
        <w:t>V3P3D</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5"/>
        <w:rPr>
          <w:sz w:val="17"/>
        </w:rPr>
      </w:pPr>
    </w:p>
    <w:p>
      <w:pPr>
        <w:spacing w:before="0"/>
        <w:ind w:left="409" w:right="0" w:firstLine="0"/>
        <w:jc w:val="left"/>
        <w:rPr>
          <w:sz w:val="14"/>
        </w:rPr>
      </w:pPr>
      <w:r>
        <w:rPr/>
        <w:pict>
          <v:group style="position:absolute;margin-left:97.099998pt;margin-top:-84.174095pt;width:90.45pt;height:96.1pt;mso-position-horizontal-relative:page;mso-position-vertical-relative:paragraph;z-index:-38706688" coordorigin="1942,-1683" coordsize="1809,1922">
            <v:line style="position:absolute" from="2559,-756" to="3668,-755" stroked="true" strokeweight=".6pt" strokecolor="#000000">
              <v:stroke dashstyle="solid"/>
            </v:line>
            <v:line style="position:absolute" from="3324,-756" to="3325,-1023" stroked="true" strokeweight=".6pt" strokecolor="#000000">
              <v:stroke dashstyle="solid"/>
            </v:line>
            <v:line style="position:absolute" from="3248,-1023" to="3401,-1022" stroked="true" strokeweight=".6pt" strokecolor="#000000">
              <v:stroke dashstyle="solid"/>
            </v:line>
            <v:shape style="position:absolute;left:3248;top:-1101;width:153;height:77" coordorigin="3248,-1100" coordsize="153,77" path="m3401,-1023l3324,-1100,3248,-1023e" filled="false" stroked="true" strokeweight=".6pt" strokecolor="#000000">
              <v:path arrowok="t"/>
              <v:stroke dashstyle="solid"/>
            </v:shape>
            <v:line style="position:absolute" from="3248,-1100" to="3401,-1099" stroked="true" strokeweight=".6pt" strokecolor="#000000">
              <v:stroke dashstyle="solid"/>
            </v:line>
            <v:line style="position:absolute" from="3324,-1367" to="3325,-1100" stroked="true" strokeweight=".6pt" strokecolor="#000000">
              <v:stroke dashstyle="solid"/>
            </v:line>
            <v:line style="position:absolute" from="3324,-144" to="3325,-411" stroked="true" strokeweight=".6pt" strokecolor="#000000">
              <v:stroke dashstyle="solid"/>
            </v:line>
            <v:line style="position:absolute" from="3248,-411" to="3401,-410" stroked="true" strokeweight=".6pt" strokecolor="#000000">
              <v:stroke dashstyle="solid"/>
            </v:line>
            <v:shape style="position:absolute;left:3248;top:-490;width:153;height:78" coordorigin="3248,-489" coordsize="153,78" path="m3401,-411l3324,-489,3248,-411e" filled="false" stroked="true" strokeweight=".6pt" strokecolor="#000000">
              <v:path arrowok="t"/>
              <v:stroke dashstyle="solid"/>
            </v:shape>
            <v:line style="position:absolute" from="3248,-489" to="3401,-488" stroked="true" strokeweight=".6pt" strokecolor="#000000">
              <v:stroke dashstyle="solid"/>
            </v:line>
            <v:line style="position:absolute" from="3324,-756" to="3325,-489" stroked="true" strokeweight=".6pt" strokecolor="#000000">
              <v:stroke dashstyle="solid"/>
            </v:line>
            <v:shape style="position:absolute;left:3305;top:-775;width:39;height:37" coordorigin="3305,-774" coordsize="39,37" path="m3330,-774l3317,-774,3309,-768,3305,-756,3309,-745,3317,-737,3330,-737,3340,-745,3344,-756,3340,-768,3330,-774xe" filled="true" fillcolor="#000000" stroked="false">
              <v:path arrowok="t"/>
              <v:fill type="solid"/>
            </v:shape>
            <v:shape style="position:absolute;left:3305;top:-775;width:39;height:37" coordorigin="3305,-774" coordsize="39,37" path="m3344,-756l3340,-768,3330,-774,3317,-774,3309,-768,3305,-756,3309,-745,3317,-737,3330,-737,3340,-745,3344,-756xe" filled="false" stroked="true" strokeweight=".6pt" strokecolor="#000000">
              <v:path arrowok="t"/>
              <v:stroke dashstyle="solid"/>
            </v:shape>
            <v:rect style="position:absolute;left:3668;top:-795;width:77;height:77" filled="true" fillcolor="#ffffff" stroked="false">
              <v:fill type="solid"/>
            </v:rect>
            <v:rect style="position:absolute;left:3668;top:-795;width:77;height:77" filled="false" stroked="true" strokeweight=".6pt" strokecolor="#000000">
              <v:stroke dashstyle="solid"/>
            </v:rect>
            <v:line style="position:absolute" from="2559,-1420" to="2560,-1677" stroked="true" strokeweight=".6pt" strokecolor="#000000">
              <v:stroke dashstyle="solid"/>
            </v:line>
            <v:line style="position:absolute" from="2559,-909" to="2560,-603" stroked="true" strokeweight=".6pt" strokecolor="#000000">
              <v:stroke dashstyle="solid"/>
            </v:line>
            <v:shape style="position:absolute;left:2559;top:-298;width:2;height:455" coordorigin="2559,-297" coordsize="1,455" path="m2559,9l2560,-297m2559,9l2560,158e" filled="false" stroked="true" strokeweight=".6pt" strokecolor="#000000">
              <v:path arrowok="t"/>
              <v:stroke dashstyle="solid"/>
            </v:shape>
            <v:line style="position:absolute" from="2559,-1520" to="2560,-1367" stroked="true" strokeweight=".6pt" strokecolor="#000000">
              <v:stroke dashstyle="solid"/>
            </v:line>
            <v:line style="position:absolute" from="2370,-1367" to="2559,-1366" stroked="true" strokeweight=".6pt" strokecolor="#000000">
              <v:stroke dashstyle="solid"/>
            </v:line>
            <v:line style="position:absolute" from="2370,-1445" to="2371,-986" stroked="true" strokeweight=".6pt" strokecolor="#000000">
              <v:stroke dashstyle="solid"/>
            </v:line>
            <v:line style="position:absolute" from="1948,-1214" to="2253,-1213" stroked="true" strokeweight=".6pt" strokecolor="#000000">
              <v:stroke dashstyle="solid"/>
            </v:line>
            <v:shape style="position:absolute;left:2247;top:-1374;width:319;height:470" type="#_x0000_t75" stroked="false">
              <v:imagedata r:id="rId242" o:title=""/>
            </v:shape>
            <v:line style="position:absolute" from="2559,-603" to="2560,-450" stroked="true" strokeweight=".6pt" strokecolor="#000000">
              <v:stroke dashstyle="solid"/>
            </v:line>
            <v:line style="position:absolute" from="2370,-450" to="2559,-449" stroked="true" strokeweight=".6pt" strokecolor="#000000">
              <v:stroke dashstyle="solid"/>
            </v:line>
            <v:line style="position:absolute" from="2370,-527" to="2371,-69" stroked="true" strokeweight=".6pt" strokecolor="#000000">
              <v:stroke dashstyle="solid"/>
            </v:line>
            <v:shape style="position:absolute;left:2374;top:-145;width:186;height:153" coordorigin="2374,-144" coordsize="186,153" path="m2559,-144l2560,9m2559,-144l2374,-143e" filled="false" stroked="true" strokeweight=".6pt" strokecolor="#000000">
              <v:path arrowok="t"/>
              <v:stroke dashstyle="solid"/>
            </v:shape>
            <v:line style="position:absolute" from="2445,-297" to="2565,-297" stroked="true" strokeweight=".65pt" strokecolor="#000000">
              <v:stroke dashstyle="solid"/>
            </v:line>
            <v:shape style="position:absolute;left:2370;top:-353;width:110;height:110" coordorigin="2370,-352" coordsize="110,110" path="m2480,-352l2370,-297,2480,-242,2476,-248,2473,-254,2469,-266,2467,-274,2467,-281,2465,-287,2465,-307,2467,-313,2467,-321,2469,-327,2471,-334,2473,-340,2476,-346,2480,-352xe" filled="true" fillcolor="#000000" stroked="false">
              <v:path arrowok="t"/>
              <v:fill type="solid"/>
            </v:shape>
            <v:line style="position:absolute" from="1970,-297" to="2253,-296" stroked="true" strokeweight=".6pt" strokecolor="#000000">
              <v:stroke dashstyle="solid"/>
            </v:line>
            <v:line style="position:absolute" from="2331,-450" to="2332,-144" stroked="true" strokeweight=".6pt" strokecolor="#000000">
              <v:stroke dashstyle="solid"/>
            </v:line>
            <v:line style="position:absolute" from="2247,-297" to="2337,-297" stroked="true" strokeweight=".65pt" strokecolor="#000000">
              <v:stroke dashstyle="solid"/>
            </v:line>
            <v:shape style="position:absolute;left:2484;top:157;width:153;height:75" coordorigin="2484,158" coordsize="153,75" path="m2637,158l2484,158,2559,233,2637,158xe" filled="true" fillcolor="#ffffff" stroked="false">
              <v:path arrowok="t"/>
              <v:fill type="solid"/>
            </v:shape>
            <v:shape style="position:absolute;left:2484;top:157;width:153;height:75" coordorigin="2484,158" coordsize="153,75" path="m2484,158l2637,158,2559,233,2484,158xe" filled="false" stroked="true" strokeweight=".6pt" strokecolor="#000000">
              <v:path arrowok="t"/>
              <v:stroke dashstyle="solid"/>
            </v:shape>
            <v:shape style="position:absolute;left:3248;top:-145;width:153;height:75" coordorigin="3248,-144" coordsize="153,75" path="m3401,-144l3248,-144,3324,-69,3401,-144xe" filled="true" fillcolor="#ffffff" stroked="false">
              <v:path arrowok="t"/>
              <v:fill type="solid"/>
            </v:shape>
            <v:shape style="position:absolute;left:3248;top:-145;width:153;height:75" coordorigin="3248,-144" coordsize="153,75" path="m3248,-144l3401,-144,3324,-69,3248,-144xe" filled="false" stroked="true" strokeweight=".6pt" strokecolor="#000000">
              <v:path arrowok="t"/>
              <v:stroke dashstyle="solid"/>
            </v:shape>
            <v:line style="position:absolute" from="2559,-1520" to="2560,-1214" stroked="true" strokeweight=".6pt" strokecolor="#000000">
              <v:stroke dashstyle="solid"/>
            </v:line>
            <w10:wrap type="none"/>
          </v:group>
        </w:pict>
      </w:r>
      <w:r>
        <w:rPr>
          <w:w w:val="95"/>
          <w:sz w:val="14"/>
        </w:rPr>
        <w:t>GNDD</w:t>
      </w:r>
    </w:p>
    <w:p>
      <w:pPr>
        <w:pStyle w:val="BodyText"/>
        <w:rPr>
          <w:sz w:val="16"/>
        </w:rPr>
      </w:pPr>
      <w:r>
        <w:rPr/>
        <w:br w:type="column"/>
      </w:r>
      <w:r>
        <w:rPr>
          <w:sz w:val="16"/>
        </w:rPr>
      </w:r>
    </w:p>
    <w:p>
      <w:pPr>
        <w:pStyle w:val="BodyText"/>
        <w:spacing w:before="8"/>
        <w:rPr>
          <w:sz w:val="18"/>
        </w:rPr>
      </w:pPr>
    </w:p>
    <w:p>
      <w:pPr>
        <w:spacing w:before="1"/>
        <w:ind w:left="22" w:right="0" w:firstLine="0"/>
        <w:jc w:val="left"/>
        <w:rPr>
          <w:sz w:val="14"/>
        </w:rPr>
      </w:pPr>
      <w:r>
        <w:rPr>
          <w:sz w:val="14"/>
        </w:rPr>
        <w:t>V3P3D</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before="143"/>
        <w:ind w:left="315" w:right="0" w:firstLine="0"/>
        <w:jc w:val="left"/>
        <w:rPr>
          <w:sz w:val="14"/>
        </w:rPr>
      </w:pPr>
      <w:r>
        <w:rPr>
          <w:w w:val="95"/>
          <w:sz w:val="14"/>
        </w:rPr>
        <w:t>GNDD</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spacing w:before="1"/>
        <w:rPr>
          <w:sz w:val="18"/>
        </w:rPr>
      </w:pPr>
    </w:p>
    <w:p>
      <w:pPr>
        <w:spacing w:line="242" w:lineRule="auto" w:before="1"/>
        <w:ind w:left="-12" w:right="38" w:firstLine="21"/>
        <w:jc w:val="center"/>
        <w:rPr>
          <w:sz w:val="14"/>
        </w:rPr>
      </w:pPr>
      <w:r>
        <w:rPr>
          <w:sz w:val="14"/>
        </w:rPr>
        <w:t>Digital Output Pin</w:t>
      </w:r>
    </w:p>
    <w:p>
      <w:pPr>
        <w:pStyle w:val="BodyText"/>
        <w:spacing w:before="8"/>
        <w:rPr>
          <w:sz w:val="18"/>
        </w:rPr>
      </w:pPr>
      <w:r>
        <w:rPr/>
        <w:br w:type="column"/>
      </w:r>
      <w:r>
        <w:rPr>
          <w:sz w:val="18"/>
        </w:rPr>
      </w:r>
    </w:p>
    <w:p>
      <w:pPr>
        <w:spacing w:line="242" w:lineRule="auto" w:before="0"/>
        <w:ind w:left="801" w:right="618" w:firstLine="0"/>
        <w:jc w:val="center"/>
        <w:rPr>
          <w:b/>
          <w:sz w:val="14"/>
        </w:rPr>
      </w:pPr>
      <w:r>
        <w:rPr/>
        <w:pict>
          <v:group style="position:absolute;margin-left:283.5pt;margin-top:-45.594086pt;width:53.8pt;height:37.5pt;mso-position-horizontal-relative:page;mso-position-vertical-relative:paragraph;z-index:15876608" coordorigin="5670,-912" coordsize="1076,750">
            <v:line style="position:absolute" from="5751,-857" to="6663,-856" stroked="true" strokeweight=".6pt" strokecolor="#000000">
              <v:stroke dashstyle="solid"/>
            </v:line>
            <v:shape style="position:absolute;left:6636;top:-912;width:110;height:110" type="#_x0000_t75" stroked="false">
              <v:imagedata r:id="rId243" o:title=""/>
            </v:shape>
            <v:line style="position:absolute" from="6057,-244" to="6058,-513" stroked="true" strokeweight=".6pt" strokecolor="#000000">
              <v:stroke dashstyle="solid"/>
            </v:line>
            <v:line style="position:absolute" from="5982,-513" to="6135,-512" stroked="true" strokeweight=".6pt" strokecolor="#000000">
              <v:stroke dashstyle="solid"/>
            </v:line>
            <v:shape style="position:absolute;left:5982;top:-588;width:153;height:75" coordorigin="5982,-588" coordsize="153,75" path="m6135,-513l6057,-588,5982,-513e" filled="false" stroked="true" strokeweight=".6pt" strokecolor="#000000">
              <v:path arrowok="t"/>
              <v:stroke dashstyle="solid"/>
            </v:shape>
            <v:line style="position:absolute" from="5982,-588" to="6135,-587" stroked="true" strokeweight=".6pt" strokecolor="#000000">
              <v:stroke dashstyle="solid"/>
            </v:line>
            <v:line style="position:absolute" from="6057,-857" to="6058,-588" stroked="true" strokeweight=".6pt" strokecolor="#000000">
              <v:stroke dashstyle="solid"/>
            </v:line>
            <v:rect style="position:absolute;left:5676;top:-894;width:75;height:75" filled="true" fillcolor="#ffffff" stroked="false">
              <v:fill type="solid"/>
            </v:rect>
            <v:rect style="position:absolute;left:5676;top:-894;width:75;height:75" filled="false" stroked="true" strokeweight=".6pt" strokecolor="#000000">
              <v:stroke dashstyle="solid"/>
            </v:rect>
            <v:shape style="position:absolute;left:5982;top:-244;width:153;height:76" coordorigin="5982,-244" coordsize="153,76" path="m6135,-244l5982,-244,6057,-168,6135,-244xe" filled="true" fillcolor="#ffffff" stroked="false">
              <v:path arrowok="t"/>
              <v:fill type="solid"/>
            </v:shape>
            <v:shape style="position:absolute;left:5982;top:-244;width:153;height:76" coordorigin="5982,-244" coordsize="153,76" path="m5982,-244l6135,-244,6057,-168,5982,-244xe" filled="false" stroked="true" strokeweight=".6pt" strokecolor="#000000">
              <v:path arrowok="t"/>
              <v:stroke dashstyle="solid"/>
            </v:shape>
            <v:shape style="position:absolute;left:5670;top:-912;width:1076;height:750" type="#_x0000_t202" filled="false" stroked="false">
              <v:textbox inset="0,0,0,0">
                <w:txbxContent>
                  <w:p>
                    <w:pPr>
                      <w:spacing w:line="240" w:lineRule="auto" w:before="0"/>
                      <w:rPr>
                        <w:b/>
                        <w:sz w:val="16"/>
                      </w:rPr>
                    </w:pPr>
                  </w:p>
                  <w:p>
                    <w:pPr>
                      <w:spacing w:line="240" w:lineRule="auto" w:before="0"/>
                      <w:rPr>
                        <w:b/>
                        <w:sz w:val="16"/>
                      </w:rPr>
                    </w:pPr>
                  </w:p>
                  <w:p>
                    <w:pPr>
                      <w:spacing w:before="140"/>
                      <w:ind w:left="469" w:right="0" w:firstLine="0"/>
                      <w:jc w:val="left"/>
                      <w:rPr>
                        <w:sz w:val="14"/>
                      </w:rPr>
                    </w:pPr>
                    <w:r>
                      <w:rPr>
                        <w:sz w:val="14"/>
                      </w:rPr>
                      <w:t>GNDD</w:t>
                    </w:r>
                  </w:p>
                </w:txbxContent>
              </v:textbox>
              <w10:wrap type="none"/>
            </v:shape>
            <w10:wrap type="none"/>
          </v:group>
        </w:pict>
      </w:r>
      <w:r>
        <w:rPr/>
        <w:pict>
          <v:group style="position:absolute;margin-left:442.600006pt;margin-top:-41.744080pt;width:53.8pt;height:37.5pt;mso-position-horizontal-relative:page;mso-position-vertical-relative:paragraph;z-index:15878656" coordorigin="8852,-835" coordsize="1076,750">
            <v:line style="position:absolute" from="8933,-780" to="9845,-779" stroked="true" strokeweight=".6pt" strokecolor="#000000">
              <v:stroke dashstyle="solid"/>
            </v:line>
            <v:shape style="position:absolute;left:9818;top:-835;width:110;height:110" type="#_x0000_t75" stroked="false">
              <v:imagedata r:id="rId244" o:title=""/>
            </v:shape>
            <v:line style="position:absolute" from="9239,-168" to="9240,-435" stroked="true" strokeweight=".6pt" strokecolor="#000000">
              <v:stroke dashstyle="solid"/>
            </v:line>
            <v:line style="position:absolute" from="9164,-435" to="9317,-434" stroked="true" strokeweight=".6pt" strokecolor="#000000">
              <v:stroke dashstyle="solid"/>
            </v:line>
            <v:shape style="position:absolute;left:9164;top:-513;width:153;height:78" coordorigin="9164,-513" coordsize="153,78" path="m9317,-435l9239,-513,9164,-435e" filled="false" stroked="true" strokeweight=".6pt" strokecolor="#000000">
              <v:path arrowok="t"/>
              <v:stroke dashstyle="solid"/>
            </v:shape>
            <v:line style="position:absolute" from="9239,-780" to="9240,-513" stroked="true" strokeweight=".6pt" strokecolor="#000000">
              <v:stroke dashstyle="solid"/>
            </v:line>
            <v:rect style="position:absolute;left:8858;top:-819;width:75;height:78" filled="true" fillcolor="#ffffff" stroked="false">
              <v:fill type="solid"/>
            </v:rect>
            <v:rect style="position:absolute;left:8858;top:-819;width:75;height:78" filled="false" stroked="true" strokeweight=".6pt" strokecolor="#000000">
              <v:stroke dashstyle="solid"/>
            </v:rect>
            <v:shape style="position:absolute;left:9164;top:-168;width:153;height:77" coordorigin="9164,-168" coordsize="153,77" path="m9317,-168l9164,-168,9239,-91,9317,-168xe" filled="true" fillcolor="#ffffff" stroked="false">
              <v:path arrowok="t"/>
              <v:fill type="solid"/>
            </v:shape>
            <v:shape style="position:absolute;left:9164;top:-168;width:153;height:77" coordorigin="9164,-168" coordsize="153,77" path="m9164,-168l9317,-168,9239,-91,9164,-168xe" filled="false" stroked="true" strokeweight=".6pt" strokecolor="#000000">
              <v:path arrowok="t"/>
              <v:stroke dashstyle="solid"/>
            </v:shape>
            <v:shape style="position:absolute;left:9158;top:-692;width:185;height:155" type="#_x0000_t202" filled="false" stroked="false">
              <v:textbox inset="0,0,0,0">
                <w:txbxContent>
                  <w:p>
                    <w:pPr>
                      <w:spacing w:line="154" w:lineRule="exact" w:before="0"/>
                      <w:ind w:left="0" w:right="0" w:firstLine="0"/>
                      <w:jc w:val="left"/>
                      <w:rPr>
                        <w:rFonts w:ascii="Times New Roman"/>
                        <w:sz w:val="14"/>
                      </w:rPr>
                    </w:pPr>
                    <w:r>
                      <w:rPr>
                        <w:rFonts w:ascii="Times New Roman"/>
                        <w:w w:val="99"/>
                        <w:sz w:val="14"/>
                        <w:u w:val="single"/>
                      </w:rPr>
                      <w:t> </w:t>
                    </w:r>
                    <w:r>
                      <w:rPr>
                        <w:rFonts w:ascii="Times New Roman"/>
                        <w:spacing w:val="-10"/>
                        <w:sz w:val="14"/>
                        <w:u w:val="single"/>
                      </w:rPr>
                      <w:t> </w:t>
                    </w:r>
                  </w:p>
                </w:txbxContent>
              </v:textbox>
              <w10:wrap type="none"/>
            </v:shape>
            <v:shape style="position:absolute;left:9321;top:-322;width:431;height:156" type="#_x0000_t202" filled="false" stroked="false">
              <v:textbox inset="0,0,0,0">
                <w:txbxContent>
                  <w:p>
                    <w:pPr>
                      <w:spacing w:line="156" w:lineRule="exact" w:before="0"/>
                      <w:ind w:left="0" w:right="0" w:firstLine="0"/>
                      <w:jc w:val="left"/>
                      <w:rPr>
                        <w:sz w:val="14"/>
                      </w:rPr>
                    </w:pPr>
                    <w:r>
                      <w:rPr>
                        <w:sz w:val="14"/>
                      </w:rPr>
                      <w:t>GNDD</w:t>
                    </w:r>
                  </w:p>
                </w:txbxContent>
              </v:textbox>
              <w10:wrap type="none"/>
            </v:shape>
            <w10:wrap type="none"/>
          </v:group>
        </w:pict>
      </w:r>
      <w:r>
        <w:rPr>
          <w:b/>
          <w:sz w:val="14"/>
          <w:u w:val="single"/>
        </w:rPr>
        <w:t>Oscillator Equivalent Circuit</w:t>
      </w:r>
      <w:r>
        <w:rPr>
          <w:b/>
          <w:sz w:val="14"/>
        </w:rPr>
        <w:t> </w:t>
      </w:r>
      <w:r>
        <w:rPr>
          <w:b/>
          <w:sz w:val="14"/>
          <w:u w:val="single"/>
        </w:rPr>
        <w:t>Type 8:</w:t>
      </w:r>
    </w:p>
    <w:p>
      <w:pPr>
        <w:spacing w:before="6"/>
        <w:ind w:left="801" w:right="554" w:firstLine="0"/>
        <w:jc w:val="center"/>
        <w:rPr>
          <w:sz w:val="14"/>
        </w:rPr>
      </w:pPr>
      <w:r>
        <w:rPr>
          <w:sz w:val="14"/>
        </w:rPr>
        <w:t>Oscillator I/O</w:t>
      </w:r>
    </w:p>
    <w:p>
      <w:pPr>
        <w:spacing w:line="145" w:lineRule="exact" w:before="2"/>
        <w:ind w:left="3141" w:right="0" w:firstLine="0"/>
        <w:jc w:val="center"/>
        <w:rPr>
          <w:sz w:val="14"/>
        </w:rPr>
      </w:pPr>
      <w:r>
        <w:rPr>
          <w:w w:val="95"/>
          <w:sz w:val="14"/>
        </w:rPr>
        <w:t>10</w:t>
      </w:r>
    </w:p>
    <w:p>
      <w:pPr>
        <w:spacing w:line="145" w:lineRule="exact" w:before="0"/>
        <w:ind w:left="2165" w:right="480" w:firstLine="0"/>
        <w:jc w:val="center"/>
        <w:rPr>
          <w:sz w:val="14"/>
        </w:rPr>
      </w:pPr>
      <w:r>
        <w:rPr/>
        <w:pict>
          <v:group style="position:absolute;margin-left:379.399994pt;margin-top:3.271257pt;width:63.7pt;height:54.1pt;mso-position-horizontal-relative:page;mso-position-vertical-relative:paragraph;z-index:15879168" coordorigin="7588,65" coordsize="1274,1082">
            <v:line style="position:absolute" from="8505,608" to="8778,608" stroked="true" strokeweight=".65pt" strokecolor="#000000">
              <v:stroke dashstyle="solid"/>
            </v:line>
            <v:rect style="position:absolute;left:8778;top:568;width:78;height:78" filled="false" stroked="true" strokeweight=".6pt" strokecolor="#000000">
              <v:stroke dashstyle="solid"/>
            </v:rect>
            <v:shape style="position:absolute;left:8436;top:570;width:75;height:74" coordorigin="8436,570" coordsize="75,74" path="m8483,570l8464,570,8450,576,8438,591,8436,607,8438,623,8450,635,8464,644,8483,644,8497,635,8507,623,8511,607,8507,591,8497,576,8483,570xe" filled="true" fillcolor="#ffffff" stroked="false">
              <v:path arrowok="t"/>
              <v:fill type="solid"/>
            </v:shape>
            <v:shape style="position:absolute;left:8436;top:570;width:75;height:74" coordorigin="8436,570" coordsize="75,74" path="m8511,607l8507,591,8497,576,8483,570,8464,570,8450,576,8438,591,8436,607,8438,623,8450,635,8464,644,8483,644,8497,635,8507,623,8511,607xe" filled="false" stroked="true" strokeweight=".6pt" strokecolor="#000000">
              <v:path arrowok="t"/>
              <v:stroke dashstyle="solid"/>
            </v:shape>
            <v:shape style="position:absolute;left:7594;top:71;width:613;height:383" coordorigin="7594,71" coordsize="613,383" path="m8206,148l8002,148,7977,224,7926,71,7875,224,7824,71,7798,148,7594,148m8206,148l8207,454e" filled="false" stroked="true" strokeweight=".6pt" strokecolor="#000000">
              <v:path arrowok="t"/>
              <v:stroke dashstyle="solid"/>
            </v:shape>
            <v:shape style="position:absolute;left:8167;top:454;width:77;height:75" coordorigin="8167,454" coordsize="77,75" path="m8214,454l8197,454,8181,462,8171,474,8167,493,8171,509,8181,521,8197,529,8214,529,8230,521,8240,509,8244,493,8240,474,8230,462,8214,454xe" filled="true" fillcolor="#ffffff" stroked="false">
              <v:path arrowok="t"/>
              <v:fill type="solid"/>
            </v:shape>
            <v:shape style="position:absolute;left:8167;top:454;width:77;height:75" coordorigin="8167,454" coordsize="77,75" path="m8244,493l8240,474,8230,462,8214,454,8197,454,8181,462,8171,474,8167,493,8171,509,8181,521,8197,529,8214,529,8230,521,8240,509,8244,493xe" filled="false" stroked="true" strokeweight=".6pt" strokecolor="#000000">
              <v:path arrowok="t"/>
              <v:stroke dashstyle="solid"/>
            </v:shape>
            <v:shape style="position:absolute;left:7594;top:988;width:612;height:153" coordorigin="7594,988" coordsize="612,153" path="m8206,1066l8002,1066,7977,1141,7926,988,7875,1141,7824,988,7798,1066,7594,1066e" filled="false" stroked="true" strokeweight=".6pt" strokecolor="#000000">
              <v:path arrowok="t"/>
              <v:stroke dashstyle="solid"/>
            </v:shape>
            <v:line style="position:absolute" from="8206,760" to="8207,1066" stroked="true" strokeweight=".6pt" strokecolor="#000000">
              <v:stroke dashstyle="solid"/>
            </v:line>
            <v:shape style="position:absolute;left:8167;top:684;width:77;height:74" coordorigin="8167,684" coordsize="77,74" path="m8214,684l8197,684,8181,690,8171,705,8167,721,8171,737,8181,752,8197,758,8214,758,8230,752,8240,737,8244,721,8240,705,8230,690,8214,684xe" filled="true" fillcolor="#ffffff" stroked="false">
              <v:path arrowok="t"/>
              <v:fill type="solid"/>
            </v:shape>
            <v:shape style="position:absolute;left:8167;top:684;width:77;height:74" coordorigin="8167,684" coordsize="77,74" path="m8244,721l8240,705,8230,690,8214,684,8197,684,8181,690,8171,705,8167,721,8171,737,8181,752,8197,758,8214,758,8230,752,8240,737,8244,721xe" filled="false" stroked="true" strokeweight=".6pt" strokecolor="#000000">
              <v:path arrowok="t"/>
              <v:stroke dashstyle="solid"/>
            </v:shape>
            <v:line style="position:absolute" from="8436,609" to="8238,703" stroked="true" strokeweight=".6pt" strokecolor="#000000">
              <v:stroke dashstyle="solid"/>
            </v:line>
            <v:shape style="position:absolute;left:7821;top:776;width:174;height:156" type="#_x0000_t202" filled="false" stroked="false">
              <v:textbox inset="0,0,0,0">
                <w:txbxContent>
                  <w:p>
                    <w:pPr>
                      <w:spacing w:line="156" w:lineRule="exact" w:before="0"/>
                      <w:ind w:left="0" w:right="0" w:firstLine="0"/>
                      <w:jc w:val="left"/>
                      <w:rPr>
                        <w:sz w:val="14"/>
                      </w:rPr>
                    </w:pPr>
                    <w:r>
                      <w:rPr>
                        <w:sz w:val="14"/>
                      </w:rPr>
                      <w:t>10</w:t>
                    </w:r>
                  </w:p>
                </w:txbxContent>
              </v:textbox>
              <w10:wrap type="none"/>
            </v:shape>
            <w10:wrap type="none"/>
          </v:group>
        </w:pict>
      </w:r>
      <w:r>
        <w:rPr>
          <w:sz w:val="14"/>
        </w:rPr>
        <w:t>from</w:t>
      </w:r>
    </w:p>
    <w:p>
      <w:pPr>
        <w:spacing w:before="2"/>
        <w:ind w:left="1698" w:right="0" w:firstLine="0"/>
        <w:jc w:val="center"/>
        <w:rPr>
          <w:sz w:val="14"/>
        </w:rPr>
      </w:pPr>
      <w:r>
        <w:rPr>
          <w:sz w:val="14"/>
        </w:rPr>
        <w:t>V3P3SYS</w:t>
      </w:r>
    </w:p>
    <w:p>
      <w:pPr>
        <w:pStyle w:val="BodyText"/>
        <w:rPr>
          <w:sz w:val="16"/>
        </w:rPr>
      </w:pPr>
    </w:p>
    <w:p>
      <w:pPr>
        <w:pStyle w:val="BodyText"/>
        <w:rPr>
          <w:sz w:val="16"/>
        </w:rPr>
      </w:pPr>
    </w:p>
    <w:p>
      <w:pPr>
        <w:pStyle w:val="BodyText"/>
        <w:spacing w:before="6"/>
        <w:rPr>
          <w:sz w:val="19"/>
        </w:rPr>
      </w:pPr>
    </w:p>
    <w:p>
      <w:pPr>
        <w:spacing w:line="242" w:lineRule="auto" w:before="0"/>
        <w:ind w:left="2306" w:right="620" w:firstLine="1"/>
        <w:jc w:val="center"/>
        <w:rPr>
          <w:sz w:val="14"/>
        </w:rPr>
      </w:pPr>
      <w:r>
        <w:rPr>
          <w:sz w:val="14"/>
        </w:rPr>
        <w:t>from VBAT</w:t>
      </w:r>
    </w:p>
    <w:p>
      <w:pPr>
        <w:pStyle w:val="BodyText"/>
        <w:rPr>
          <w:sz w:val="22"/>
        </w:rPr>
      </w:pPr>
      <w:r>
        <w:rPr/>
        <w:br w:type="column"/>
      </w:r>
      <w:r>
        <w:rPr>
          <w:sz w:val="22"/>
        </w:rPr>
      </w:r>
    </w:p>
    <w:p>
      <w:pPr>
        <w:spacing w:line="242" w:lineRule="auto" w:before="0"/>
        <w:ind w:left="739" w:right="934" w:firstLine="0"/>
        <w:jc w:val="center"/>
        <w:rPr>
          <w:b/>
          <w:sz w:val="14"/>
        </w:rPr>
      </w:pPr>
      <w:r>
        <w:rPr>
          <w:b/>
          <w:sz w:val="14"/>
          <w:u w:val="single"/>
        </w:rPr>
        <w:t>VBAT Equivalent Circuit</w:t>
      </w:r>
      <w:r>
        <w:rPr>
          <w:b/>
          <w:sz w:val="14"/>
        </w:rPr>
        <w:t> </w:t>
      </w:r>
      <w:r>
        <w:rPr>
          <w:b/>
          <w:sz w:val="14"/>
          <w:u w:val="single"/>
        </w:rPr>
        <w:t>Type 12:</w:t>
      </w:r>
    </w:p>
    <w:p>
      <w:pPr>
        <w:spacing w:before="6"/>
        <w:ind w:left="739" w:right="926" w:firstLine="0"/>
        <w:jc w:val="center"/>
        <w:rPr>
          <w:sz w:val="14"/>
        </w:rPr>
      </w:pPr>
      <w:r>
        <w:rPr>
          <w:sz w:val="14"/>
        </w:rPr>
        <w:t>VBAT Power</w:t>
      </w:r>
    </w:p>
    <w:p>
      <w:pPr>
        <w:pStyle w:val="BodyText"/>
        <w:rPr>
          <w:sz w:val="16"/>
        </w:rPr>
      </w:pPr>
    </w:p>
    <w:p>
      <w:pPr>
        <w:pStyle w:val="BodyText"/>
        <w:rPr>
          <w:sz w:val="16"/>
        </w:rPr>
      </w:pPr>
    </w:p>
    <w:p>
      <w:pPr>
        <w:pStyle w:val="BodyText"/>
        <w:spacing w:before="8"/>
        <w:rPr>
          <w:sz w:val="12"/>
        </w:rPr>
      </w:pPr>
    </w:p>
    <w:p>
      <w:pPr>
        <w:spacing w:before="0"/>
        <w:ind w:left="739" w:right="1789" w:firstLine="0"/>
        <w:jc w:val="center"/>
        <w:rPr>
          <w:sz w:val="14"/>
        </w:rPr>
      </w:pPr>
      <w:r>
        <w:rPr>
          <w:sz w:val="14"/>
        </w:rPr>
        <w:t>V3P3D</w:t>
      </w:r>
    </w:p>
    <w:p>
      <w:pPr>
        <w:spacing w:before="2"/>
        <w:ind w:left="739" w:right="1787" w:firstLine="0"/>
        <w:jc w:val="center"/>
        <w:rPr>
          <w:sz w:val="14"/>
        </w:rPr>
      </w:pPr>
      <w:r>
        <w:rPr>
          <w:sz w:val="14"/>
        </w:rPr>
        <w:t>Pin</w:t>
      </w:r>
    </w:p>
    <w:p>
      <w:pPr>
        <w:spacing w:after="0"/>
        <w:jc w:val="center"/>
        <w:rPr>
          <w:sz w:val="14"/>
        </w:rPr>
        <w:sectPr>
          <w:type w:val="continuous"/>
          <w:pgSz w:w="12240" w:h="15840"/>
          <w:pgMar w:top="940" w:bottom="280" w:left="960" w:right="940"/>
          <w:cols w:num="6" w:equalWidth="0">
            <w:col w:w="1231" w:space="40"/>
            <w:col w:w="821" w:space="39"/>
            <w:col w:w="726" w:space="39"/>
            <w:col w:w="447" w:space="377"/>
            <w:col w:w="3296" w:space="40"/>
            <w:col w:w="3284"/>
          </w:cols>
        </w:sectPr>
      </w:pPr>
    </w:p>
    <w:p>
      <w:pPr>
        <w:pStyle w:val="BodyText"/>
        <w:spacing w:before="10"/>
        <w:rPr>
          <w:sz w:val="15"/>
        </w:rPr>
      </w:pPr>
    </w:p>
    <w:p>
      <w:pPr>
        <w:spacing w:line="242" w:lineRule="auto" w:before="0"/>
        <w:ind w:left="948" w:right="38" w:firstLine="0"/>
        <w:jc w:val="center"/>
        <w:rPr>
          <w:b/>
          <w:sz w:val="14"/>
        </w:rPr>
      </w:pPr>
      <w:r>
        <w:rPr>
          <w:b/>
          <w:sz w:val="14"/>
          <w:u w:val="single"/>
        </w:rPr>
        <w:t>Digital Output Equivalent Circuit</w:t>
      </w:r>
      <w:r>
        <w:rPr>
          <w:b/>
          <w:sz w:val="14"/>
        </w:rPr>
        <w:t> </w:t>
      </w:r>
      <w:r>
        <w:rPr>
          <w:b/>
          <w:sz w:val="14"/>
          <w:u w:val="single"/>
        </w:rPr>
        <w:t>Type 4:</w:t>
      </w:r>
    </w:p>
    <w:p>
      <w:pPr>
        <w:spacing w:before="8"/>
        <w:ind w:left="1151" w:right="175" w:firstLine="7"/>
        <w:jc w:val="center"/>
        <w:rPr>
          <w:sz w:val="14"/>
        </w:rPr>
      </w:pPr>
      <w:r>
        <w:rPr>
          <w:sz w:val="14"/>
        </w:rPr>
        <w:t>Standard Digital Output or pin configured as DIO</w:t>
      </w:r>
      <w:r>
        <w:rPr>
          <w:spacing w:val="-12"/>
          <w:sz w:val="14"/>
        </w:rPr>
        <w:t> </w:t>
      </w:r>
      <w:r>
        <w:rPr>
          <w:sz w:val="14"/>
        </w:rPr>
        <w:t>Output</w:t>
      </w:r>
    </w:p>
    <w:p>
      <w:pPr>
        <w:pStyle w:val="BodyText"/>
        <w:spacing w:before="5"/>
        <w:rPr>
          <w:sz w:val="16"/>
        </w:rPr>
      </w:pPr>
      <w:r>
        <w:rPr/>
        <w:br w:type="column"/>
      </w:r>
      <w:r>
        <w:rPr>
          <w:sz w:val="16"/>
        </w:rPr>
      </w:r>
    </w:p>
    <w:p>
      <w:pPr>
        <w:spacing w:line="242" w:lineRule="auto" w:before="1"/>
        <w:ind w:left="948" w:right="2340" w:firstLine="0"/>
        <w:jc w:val="center"/>
        <w:rPr>
          <w:b/>
          <w:sz w:val="14"/>
        </w:rPr>
      </w:pPr>
      <w:r>
        <w:rPr>
          <w:b/>
          <w:sz w:val="14"/>
          <w:u w:val="single"/>
        </w:rPr>
        <w:t>V3P3D Equivalent Circuit</w:t>
      </w:r>
      <w:r>
        <w:rPr>
          <w:b/>
          <w:sz w:val="14"/>
        </w:rPr>
        <w:t> </w:t>
      </w:r>
      <w:r>
        <w:rPr>
          <w:b/>
          <w:sz w:val="14"/>
          <w:u w:val="single"/>
        </w:rPr>
        <w:t>Type 13:</w:t>
      </w:r>
    </w:p>
    <w:p>
      <w:pPr>
        <w:spacing w:before="8"/>
        <w:ind w:left="948" w:right="2313" w:firstLine="0"/>
        <w:jc w:val="center"/>
        <w:rPr>
          <w:sz w:val="14"/>
        </w:rPr>
      </w:pPr>
      <w:r>
        <w:rPr>
          <w:sz w:val="14"/>
        </w:rPr>
        <w:t>V3P3D</w:t>
      </w:r>
    </w:p>
    <w:p>
      <w:pPr>
        <w:spacing w:after="0"/>
        <w:jc w:val="center"/>
        <w:rPr>
          <w:sz w:val="14"/>
        </w:rPr>
        <w:sectPr>
          <w:type w:val="continuous"/>
          <w:pgSz w:w="12240" w:h="15840"/>
          <w:pgMar w:top="940" w:bottom="280" w:left="960" w:right="940"/>
          <w:cols w:num="2" w:equalWidth="0">
            <w:col w:w="3142" w:space="2236"/>
            <w:col w:w="4962"/>
          </w:cols>
        </w:sectPr>
      </w:pPr>
    </w:p>
    <w:p>
      <w:pPr>
        <w:pStyle w:val="BodyText"/>
        <w:spacing w:before="8"/>
        <w:rPr>
          <w:sz w:val="12"/>
        </w:rPr>
      </w:pPr>
    </w:p>
    <w:p>
      <w:pPr>
        <w:spacing w:before="93"/>
        <w:ind w:left="777" w:right="797" w:firstLine="0"/>
        <w:jc w:val="center"/>
        <w:rPr>
          <w:b/>
          <w:sz w:val="20"/>
        </w:rPr>
      </w:pPr>
      <w:bookmarkStart w:name="_bookmark306" w:id="627"/>
      <w:bookmarkEnd w:id="627"/>
      <w:r>
        <w:rPr/>
      </w:r>
      <w:r>
        <w:rPr>
          <w:b/>
          <w:sz w:val="20"/>
        </w:rPr>
        <w:t>Figure 43: I/O Equivalent Circuits</w:t>
      </w:r>
    </w:p>
    <w:p>
      <w:pPr>
        <w:spacing w:after="0"/>
        <w:jc w:val="center"/>
        <w:rPr>
          <w:sz w:val="20"/>
        </w:rPr>
        <w:sectPr>
          <w:type w:val="continuous"/>
          <w:pgSz w:w="12240" w:h="15840"/>
          <w:pgMar w:top="940" w:bottom="280" w:left="960" w:right="940"/>
        </w:sectPr>
      </w:pPr>
    </w:p>
    <w:p>
      <w:pPr>
        <w:pStyle w:val="ListParagraph"/>
        <w:numPr>
          <w:ilvl w:val="0"/>
          <w:numId w:val="43"/>
        </w:numPr>
        <w:tabs>
          <w:tab w:pos="1199" w:val="left" w:leader="none"/>
          <w:tab w:pos="1200" w:val="left" w:leader="none"/>
        </w:tabs>
        <w:spacing w:line="240" w:lineRule="auto" w:before="89" w:after="0"/>
        <w:ind w:left="1199" w:right="0" w:hanging="720"/>
        <w:jc w:val="left"/>
        <w:rPr>
          <w:b/>
          <w:sz w:val="28"/>
        </w:rPr>
      </w:pPr>
      <w:bookmarkStart w:name="7 Ordering Information" w:id="628"/>
      <w:bookmarkEnd w:id="628"/>
      <w:r>
        <w:rPr/>
      </w:r>
      <w:bookmarkStart w:name="_bookmark307" w:id="629"/>
      <w:bookmarkEnd w:id="629"/>
      <w:r>
        <w:rPr/>
      </w:r>
      <w:bookmarkStart w:name="_bookmark307" w:id="630"/>
      <w:bookmarkEnd w:id="630"/>
      <w:r>
        <w:rPr>
          <w:b/>
          <w:sz w:val="28"/>
        </w:rPr>
        <w:t>O</w:t>
      </w:r>
      <w:r>
        <w:rPr>
          <w:b/>
          <w:sz w:val="28"/>
        </w:rPr>
        <w:t>rdering</w:t>
      </w:r>
      <w:r>
        <w:rPr>
          <w:b/>
          <w:spacing w:val="-10"/>
          <w:sz w:val="28"/>
        </w:rPr>
        <w:t> </w:t>
      </w:r>
      <w:r>
        <w:rPr>
          <w:b/>
          <w:sz w:val="28"/>
        </w:rPr>
        <w:t>Information</w:t>
      </w:r>
    </w:p>
    <w:p>
      <w:pPr>
        <w:pStyle w:val="ListParagraph"/>
        <w:numPr>
          <w:ilvl w:val="1"/>
          <w:numId w:val="43"/>
        </w:numPr>
        <w:tabs>
          <w:tab w:pos="1199" w:val="left" w:leader="none"/>
          <w:tab w:pos="1200" w:val="left" w:leader="none"/>
        </w:tabs>
        <w:spacing w:line="240" w:lineRule="auto" w:before="119" w:after="0"/>
        <w:ind w:left="1200" w:right="0" w:hanging="720"/>
        <w:jc w:val="left"/>
        <w:rPr>
          <w:b/>
          <w:sz w:val="24"/>
        </w:rPr>
      </w:pPr>
      <w:bookmarkStart w:name="7.1 71M6543 Ordering Guide" w:id="631"/>
      <w:bookmarkEnd w:id="631"/>
      <w:r>
        <w:rPr/>
      </w:r>
      <w:bookmarkStart w:name="_bookmark308" w:id="632"/>
      <w:bookmarkEnd w:id="632"/>
      <w:r>
        <w:rPr/>
      </w:r>
      <w:bookmarkStart w:name="_bookmark308" w:id="633"/>
      <w:bookmarkEnd w:id="633"/>
      <w:r>
        <w:rPr>
          <w:b/>
          <w:sz w:val="24"/>
        </w:rPr>
        <w:t>71</w:t>
      </w:r>
      <w:r>
        <w:rPr>
          <w:b/>
          <w:sz w:val="24"/>
        </w:rPr>
        <w:t>M6543 Ordering</w:t>
      </w:r>
      <w:r>
        <w:rPr>
          <w:b/>
          <w:spacing w:val="-11"/>
          <w:sz w:val="24"/>
        </w:rPr>
        <w:t> </w:t>
      </w:r>
      <w:r>
        <w:rPr>
          <w:b/>
          <w:sz w:val="24"/>
        </w:rPr>
        <w:t>Guide</w:t>
      </w:r>
    </w:p>
    <w:p>
      <w:pPr>
        <w:pStyle w:val="BodyText"/>
        <w:spacing w:before="121"/>
        <w:ind w:left="480"/>
      </w:pPr>
      <w:r>
        <w:rPr/>
        <w:t>Refer to the 71M6xxx data sheet for the 71M6xx3 ordering guide information.</w:t>
      </w:r>
    </w:p>
    <w:p>
      <w:pPr>
        <w:pStyle w:val="Heading1"/>
        <w:spacing w:before="118"/>
        <w:ind w:left="776" w:right="797"/>
      </w:pPr>
      <w:bookmarkStart w:name="_bookmark309" w:id="634"/>
      <w:bookmarkEnd w:id="634"/>
      <w:r>
        <w:rPr>
          <w:b w:val="0"/>
        </w:rPr>
      </w:r>
      <w:r>
        <w:rPr/>
        <w:t>Table 113. 71M6543 Ordering Guide</w:t>
      </w:r>
    </w:p>
    <w:p>
      <w:pPr>
        <w:pStyle w:val="BodyText"/>
        <w:spacing w:before="8"/>
        <w:rPr>
          <w:b/>
          <w:sz w:val="5"/>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5"/>
        <w:gridCol w:w="2517"/>
        <w:gridCol w:w="719"/>
        <w:gridCol w:w="1283"/>
        <w:gridCol w:w="1828"/>
        <w:gridCol w:w="1749"/>
      </w:tblGrid>
      <w:tr>
        <w:trPr>
          <w:trHeight w:val="729" w:hRule="atLeast"/>
        </w:trPr>
        <w:tc>
          <w:tcPr>
            <w:tcW w:w="1075" w:type="dxa"/>
          </w:tcPr>
          <w:p>
            <w:pPr>
              <w:pStyle w:val="TableParagraph"/>
              <w:spacing w:before="5"/>
              <w:rPr>
                <w:b/>
                <w:sz w:val="21"/>
              </w:rPr>
            </w:pPr>
          </w:p>
          <w:p>
            <w:pPr>
              <w:pStyle w:val="TableParagraph"/>
              <w:ind w:left="24" w:right="18"/>
              <w:jc w:val="center"/>
              <w:rPr>
                <w:b/>
                <w:sz w:val="20"/>
              </w:rPr>
            </w:pPr>
            <w:r>
              <w:rPr>
                <w:b/>
                <w:sz w:val="20"/>
              </w:rPr>
              <w:t>Part</w:t>
            </w:r>
          </w:p>
        </w:tc>
        <w:tc>
          <w:tcPr>
            <w:tcW w:w="2517" w:type="dxa"/>
          </w:tcPr>
          <w:p>
            <w:pPr>
              <w:pStyle w:val="TableParagraph"/>
              <w:spacing w:before="131"/>
              <w:ind w:left="57" w:firstLine="427"/>
              <w:rPr>
                <w:b/>
                <w:sz w:val="20"/>
              </w:rPr>
            </w:pPr>
            <w:r>
              <w:rPr>
                <w:b/>
                <w:sz w:val="20"/>
              </w:rPr>
              <w:t>Part Description (Package, TYP Accuracy)</w:t>
            </w:r>
          </w:p>
        </w:tc>
        <w:tc>
          <w:tcPr>
            <w:tcW w:w="719" w:type="dxa"/>
          </w:tcPr>
          <w:p>
            <w:pPr>
              <w:pStyle w:val="TableParagraph"/>
              <w:spacing w:before="16"/>
              <w:ind w:left="149" w:hanging="51"/>
              <w:rPr>
                <w:b/>
                <w:sz w:val="20"/>
              </w:rPr>
            </w:pPr>
            <w:r>
              <w:rPr>
                <w:b/>
                <w:w w:val="95"/>
                <w:sz w:val="20"/>
              </w:rPr>
              <w:t>Flash </w:t>
            </w:r>
            <w:r>
              <w:rPr>
                <w:b/>
                <w:sz w:val="20"/>
              </w:rPr>
              <w:t>Size (KB)</w:t>
            </w:r>
          </w:p>
        </w:tc>
        <w:tc>
          <w:tcPr>
            <w:tcW w:w="1283" w:type="dxa"/>
          </w:tcPr>
          <w:p>
            <w:pPr>
              <w:pStyle w:val="TableParagraph"/>
              <w:spacing w:before="5"/>
              <w:rPr>
                <w:b/>
                <w:sz w:val="21"/>
              </w:rPr>
            </w:pPr>
          </w:p>
          <w:p>
            <w:pPr>
              <w:pStyle w:val="TableParagraph"/>
              <w:ind w:left="36" w:right="26"/>
              <w:jc w:val="center"/>
              <w:rPr>
                <w:b/>
                <w:sz w:val="20"/>
              </w:rPr>
            </w:pPr>
            <w:r>
              <w:rPr>
                <w:b/>
                <w:sz w:val="20"/>
              </w:rPr>
              <w:t>Packaging</w:t>
            </w:r>
          </w:p>
        </w:tc>
        <w:tc>
          <w:tcPr>
            <w:tcW w:w="1828" w:type="dxa"/>
          </w:tcPr>
          <w:p>
            <w:pPr>
              <w:pStyle w:val="TableParagraph"/>
              <w:spacing w:before="5"/>
              <w:rPr>
                <w:b/>
                <w:sz w:val="21"/>
              </w:rPr>
            </w:pPr>
          </w:p>
          <w:p>
            <w:pPr>
              <w:pStyle w:val="TableParagraph"/>
              <w:ind w:left="37" w:right="26"/>
              <w:jc w:val="center"/>
              <w:rPr>
                <w:b/>
                <w:sz w:val="20"/>
              </w:rPr>
            </w:pPr>
            <w:r>
              <w:rPr>
                <w:b/>
                <w:sz w:val="20"/>
              </w:rPr>
              <w:t>Order Number</w:t>
            </w:r>
          </w:p>
        </w:tc>
        <w:tc>
          <w:tcPr>
            <w:tcW w:w="1749" w:type="dxa"/>
          </w:tcPr>
          <w:p>
            <w:pPr>
              <w:pStyle w:val="TableParagraph"/>
              <w:spacing w:before="5"/>
              <w:rPr>
                <w:b/>
                <w:sz w:val="21"/>
              </w:rPr>
            </w:pPr>
          </w:p>
          <w:p>
            <w:pPr>
              <w:pStyle w:val="TableParagraph"/>
              <w:ind w:left="38" w:right="25"/>
              <w:jc w:val="center"/>
              <w:rPr>
                <w:b/>
                <w:sz w:val="20"/>
              </w:rPr>
            </w:pPr>
            <w:r>
              <w:rPr>
                <w:b/>
                <w:sz w:val="20"/>
              </w:rPr>
              <w:t>Package Marking</w:t>
            </w:r>
          </w:p>
        </w:tc>
      </w:tr>
      <w:tr>
        <w:trPr>
          <w:trHeight w:val="501" w:hRule="atLeast"/>
        </w:trPr>
        <w:tc>
          <w:tcPr>
            <w:tcW w:w="1075" w:type="dxa"/>
          </w:tcPr>
          <w:p>
            <w:pPr>
              <w:pStyle w:val="TableParagraph"/>
              <w:spacing w:before="131"/>
              <w:ind w:left="24" w:right="41"/>
              <w:jc w:val="center"/>
              <w:rPr>
                <w:b/>
                <w:sz w:val="20"/>
              </w:rPr>
            </w:pPr>
            <w:r>
              <w:rPr>
                <w:b/>
                <w:sz w:val="20"/>
              </w:rPr>
              <w:t>71M6543F</w:t>
            </w:r>
          </w:p>
        </w:tc>
        <w:tc>
          <w:tcPr>
            <w:tcW w:w="2517" w:type="dxa"/>
          </w:tcPr>
          <w:p>
            <w:pPr>
              <w:pStyle w:val="TableParagraph"/>
              <w:spacing w:before="18"/>
              <w:ind w:left="57"/>
              <w:rPr>
                <w:sz w:val="20"/>
              </w:rPr>
            </w:pPr>
            <w:r>
              <w:rPr>
                <w:sz w:val="20"/>
              </w:rPr>
              <w:t>100-pin LQFP</w:t>
            </w:r>
          </w:p>
          <w:p>
            <w:pPr>
              <w:pStyle w:val="TableParagraph"/>
              <w:spacing w:before="1"/>
              <w:ind w:left="57"/>
              <w:rPr>
                <w:sz w:val="20"/>
              </w:rPr>
            </w:pPr>
            <w:r>
              <w:rPr>
                <w:sz w:val="20"/>
              </w:rPr>
              <w:t>Lead(Pb)-Free, 0.1%</w:t>
            </w:r>
          </w:p>
        </w:tc>
        <w:tc>
          <w:tcPr>
            <w:tcW w:w="719" w:type="dxa"/>
          </w:tcPr>
          <w:p>
            <w:pPr>
              <w:pStyle w:val="TableParagraph"/>
              <w:spacing w:before="134"/>
              <w:ind w:left="171" w:right="164"/>
              <w:jc w:val="center"/>
              <w:rPr>
                <w:sz w:val="20"/>
              </w:rPr>
            </w:pPr>
            <w:r>
              <w:rPr>
                <w:sz w:val="20"/>
              </w:rPr>
              <w:t>64</w:t>
            </w:r>
          </w:p>
        </w:tc>
        <w:tc>
          <w:tcPr>
            <w:tcW w:w="1283" w:type="dxa"/>
          </w:tcPr>
          <w:p>
            <w:pPr>
              <w:pStyle w:val="TableParagraph"/>
              <w:spacing w:before="134"/>
              <w:ind w:left="36" w:right="26"/>
              <w:jc w:val="center"/>
              <w:rPr>
                <w:sz w:val="20"/>
              </w:rPr>
            </w:pPr>
            <w:r>
              <w:rPr>
                <w:sz w:val="20"/>
              </w:rPr>
              <w:t>bulk</w:t>
            </w:r>
          </w:p>
        </w:tc>
        <w:tc>
          <w:tcPr>
            <w:tcW w:w="1828" w:type="dxa"/>
          </w:tcPr>
          <w:p>
            <w:pPr>
              <w:pStyle w:val="TableParagraph"/>
              <w:spacing w:before="134"/>
              <w:ind w:left="40" w:right="26"/>
              <w:jc w:val="center"/>
              <w:rPr>
                <w:sz w:val="20"/>
              </w:rPr>
            </w:pPr>
            <w:r>
              <w:rPr>
                <w:sz w:val="20"/>
              </w:rPr>
              <w:t>71M6543F-IGT/F</w:t>
            </w:r>
          </w:p>
        </w:tc>
        <w:tc>
          <w:tcPr>
            <w:tcW w:w="1749" w:type="dxa"/>
          </w:tcPr>
          <w:p>
            <w:pPr>
              <w:pStyle w:val="TableParagraph"/>
              <w:spacing w:before="134"/>
              <w:ind w:left="82" w:right="25"/>
              <w:jc w:val="center"/>
              <w:rPr>
                <w:sz w:val="20"/>
              </w:rPr>
            </w:pPr>
            <w:r>
              <w:rPr>
                <w:sz w:val="20"/>
              </w:rPr>
              <w:t>71M6543F-IGT</w:t>
            </w:r>
          </w:p>
        </w:tc>
      </w:tr>
      <w:tr>
        <w:trPr>
          <w:trHeight w:val="498" w:hRule="atLeast"/>
        </w:trPr>
        <w:tc>
          <w:tcPr>
            <w:tcW w:w="1075" w:type="dxa"/>
          </w:tcPr>
          <w:p>
            <w:pPr>
              <w:pStyle w:val="TableParagraph"/>
              <w:spacing w:before="134"/>
              <w:ind w:left="24" w:right="41"/>
              <w:jc w:val="center"/>
              <w:rPr>
                <w:sz w:val="20"/>
              </w:rPr>
            </w:pPr>
            <w:r>
              <w:rPr>
                <w:sz w:val="20"/>
              </w:rPr>
              <w:t>71M6543F</w:t>
            </w:r>
          </w:p>
        </w:tc>
        <w:tc>
          <w:tcPr>
            <w:tcW w:w="2517" w:type="dxa"/>
          </w:tcPr>
          <w:p>
            <w:pPr>
              <w:pStyle w:val="TableParagraph"/>
              <w:spacing w:before="18"/>
              <w:ind w:left="57"/>
              <w:rPr>
                <w:sz w:val="20"/>
              </w:rPr>
            </w:pPr>
            <w:r>
              <w:rPr>
                <w:sz w:val="20"/>
              </w:rPr>
              <w:t>100-pin LQFP</w:t>
            </w:r>
          </w:p>
          <w:p>
            <w:pPr>
              <w:pStyle w:val="TableParagraph"/>
              <w:spacing w:before="1"/>
              <w:ind w:left="57"/>
              <w:rPr>
                <w:sz w:val="20"/>
              </w:rPr>
            </w:pPr>
            <w:r>
              <w:rPr>
                <w:sz w:val="20"/>
              </w:rPr>
              <w:t>Lead(Pb)-Free, 0.1%</w:t>
            </w:r>
          </w:p>
        </w:tc>
        <w:tc>
          <w:tcPr>
            <w:tcW w:w="719" w:type="dxa"/>
          </w:tcPr>
          <w:p>
            <w:pPr>
              <w:pStyle w:val="TableParagraph"/>
              <w:spacing w:before="134"/>
              <w:ind w:left="171" w:right="164"/>
              <w:jc w:val="center"/>
              <w:rPr>
                <w:sz w:val="20"/>
              </w:rPr>
            </w:pPr>
            <w:r>
              <w:rPr>
                <w:sz w:val="20"/>
              </w:rPr>
              <w:t>64</w:t>
            </w:r>
          </w:p>
        </w:tc>
        <w:tc>
          <w:tcPr>
            <w:tcW w:w="1283" w:type="dxa"/>
          </w:tcPr>
          <w:p>
            <w:pPr>
              <w:pStyle w:val="TableParagraph"/>
              <w:spacing w:before="134"/>
              <w:ind w:left="38" w:right="26"/>
              <w:jc w:val="center"/>
              <w:rPr>
                <w:sz w:val="20"/>
              </w:rPr>
            </w:pPr>
            <w:r>
              <w:rPr>
                <w:sz w:val="20"/>
              </w:rPr>
              <w:t>tape and reel</w:t>
            </w:r>
          </w:p>
        </w:tc>
        <w:tc>
          <w:tcPr>
            <w:tcW w:w="1828" w:type="dxa"/>
          </w:tcPr>
          <w:p>
            <w:pPr>
              <w:pStyle w:val="TableParagraph"/>
              <w:spacing w:before="134"/>
              <w:ind w:left="40" w:right="26"/>
              <w:jc w:val="center"/>
              <w:rPr>
                <w:sz w:val="20"/>
              </w:rPr>
            </w:pPr>
            <w:r>
              <w:rPr>
                <w:sz w:val="20"/>
              </w:rPr>
              <w:t>71M6543F-IGTR/F</w:t>
            </w:r>
          </w:p>
        </w:tc>
        <w:tc>
          <w:tcPr>
            <w:tcW w:w="1749" w:type="dxa"/>
          </w:tcPr>
          <w:p>
            <w:pPr>
              <w:pStyle w:val="TableParagraph"/>
              <w:spacing w:before="134"/>
              <w:ind w:left="83" w:right="25"/>
              <w:jc w:val="center"/>
              <w:rPr>
                <w:sz w:val="20"/>
              </w:rPr>
            </w:pPr>
            <w:r>
              <w:rPr>
                <w:sz w:val="20"/>
              </w:rPr>
              <w:t>71M6543F-IGT</w:t>
            </w:r>
          </w:p>
        </w:tc>
      </w:tr>
      <w:tr>
        <w:trPr>
          <w:trHeight w:val="498" w:hRule="atLeast"/>
        </w:trPr>
        <w:tc>
          <w:tcPr>
            <w:tcW w:w="1075" w:type="dxa"/>
          </w:tcPr>
          <w:p>
            <w:pPr>
              <w:pStyle w:val="TableParagraph"/>
              <w:spacing w:before="131"/>
              <w:ind w:left="24" w:right="11"/>
              <w:jc w:val="center"/>
              <w:rPr>
                <w:b/>
                <w:sz w:val="20"/>
              </w:rPr>
            </w:pPr>
            <w:r>
              <w:rPr>
                <w:b/>
                <w:sz w:val="20"/>
              </w:rPr>
              <w:t>71M6543G</w:t>
            </w:r>
          </w:p>
        </w:tc>
        <w:tc>
          <w:tcPr>
            <w:tcW w:w="2517" w:type="dxa"/>
          </w:tcPr>
          <w:p>
            <w:pPr>
              <w:pStyle w:val="TableParagraph"/>
              <w:spacing w:before="18"/>
              <w:ind w:left="57"/>
              <w:rPr>
                <w:sz w:val="20"/>
              </w:rPr>
            </w:pPr>
            <w:r>
              <w:rPr>
                <w:sz w:val="20"/>
              </w:rPr>
              <w:t>100-pin LQFP</w:t>
            </w:r>
          </w:p>
          <w:p>
            <w:pPr>
              <w:pStyle w:val="TableParagraph"/>
              <w:spacing w:before="1"/>
              <w:ind w:left="57"/>
              <w:rPr>
                <w:sz w:val="20"/>
              </w:rPr>
            </w:pPr>
            <w:r>
              <w:rPr>
                <w:sz w:val="20"/>
              </w:rPr>
              <w:t>Lead(Pb)-Free, 0.1%</w:t>
            </w:r>
          </w:p>
        </w:tc>
        <w:tc>
          <w:tcPr>
            <w:tcW w:w="719" w:type="dxa"/>
          </w:tcPr>
          <w:p>
            <w:pPr>
              <w:pStyle w:val="TableParagraph"/>
              <w:spacing w:before="134"/>
              <w:ind w:left="171" w:right="164"/>
              <w:jc w:val="center"/>
              <w:rPr>
                <w:sz w:val="20"/>
              </w:rPr>
            </w:pPr>
            <w:r>
              <w:rPr>
                <w:sz w:val="20"/>
              </w:rPr>
              <w:t>128</w:t>
            </w:r>
          </w:p>
        </w:tc>
        <w:tc>
          <w:tcPr>
            <w:tcW w:w="1283" w:type="dxa"/>
          </w:tcPr>
          <w:p>
            <w:pPr>
              <w:pStyle w:val="TableParagraph"/>
              <w:spacing w:before="134"/>
              <w:ind w:left="36" w:right="26"/>
              <w:jc w:val="center"/>
              <w:rPr>
                <w:sz w:val="20"/>
              </w:rPr>
            </w:pPr>
            <w:r>
              <w:rPr>
                <w:sz w:val="20"/>
              </w:rPr>
              <w:t>bulk</w:t>
            </w:r>
          </w:p>
        </w:tc>
        <w:tc>
          <w:tcPr>
            <w:tcW w:w="1828" w:type="dxa"/>
          </w:tcPr>
          <w:p>
            <w:pPr>
              <w:pStyle w:val="TableParagraph"/>
              <w:spacing w:before="134"/>
              <w:ind w:left="40" w:right="26"/>
              <w:jc w:val="center"/>
              <w:rPr>
                <w:sz w:val="20"/>
              </w:rPr>
            </w:pPr>
            <w:r>
              <w:rPr>
                <w:sz w:val="20"/>
              </w:rPr>
              <w:t>71M6543G-IGT/F</w:t>
            </w:r>
          </w:p>
        </w:tc>
        <w:tc>
          <w:tcPr>
            <w:tcW w:w="1749" w:type="dxa"/>
          </w:tcPr>
          <w:p>
            <w:pPr>
              <w:pStyle w:val="TableParagraph"/>
              <w:spacing w:before="134"/>
              <w:ind w:left="83" w:right="25"/>
              <w:jc w:val="center"/>
              <w:rPr>
                <w:sz w:val="20"/>
              </w:rPr>
            </w:pPr>
            <w:r>
              <w:rPr>
                <w:sz w:val="20"/>
              </w:rPr>
              <w:t>71M6543G-IGT</w:t>
            </w:r>
          </w:p>
        </w:tc>
      </w:tr>
      <w:tr>
        <w:trPr>
          <w:trHeight w:val="501" w:hRule="atLeast"/>
        </w:trPr>
        <w:tc>
          <w:tcPr>
            <w:tcW w:w="1075" w:type="dxa"/>
          </w:tcPr>
          <w:p>
            <w:pPr>
              <w:pStyle w:val="TableParagraph"/>
              <w:spacing w:before="136"/>
              <w:ind w:left="24" w:right="11"/>
              <w:jc w:val="center"/>
              <w:rPr>
                <w:sz w:val="20"/>
              </w:rPr>
            </w:pPr>
            <w:r>
              <w:rPr>
                <w:sz w:val="20"/>
              </w:rPr>
              <w:t>71M6543G</w:t>
            </w:r>
          </w:p>
        </w:tc>
        <w:tc>
          <w:tcPr>
            <w:tcW w:w="2517" w:type="dxa"/>
          </w:tcPr>
          <w:p>
            <w:pPr>
              <w:pStyle w:val="TableParagraph"/>
              <w:spacing w:before="21"/>
              <w:ind w:left="57"/>
              <w:rPr>
                <w:sz w:val="20"/>
              </w:rPr>
            </w:pPr>
            <w:r>
              <w:rPr>
                <w:sz w:val="20"/>
              </w:rPr>
              <w:t>100-pin LQFP</w:t>
            </w:r>
          </w:p>
          <w:p>
            <w:pPr>
              <w:pStyle w:val="TableParagraph"/>
              <w:ind w:left="57"/>
              <w:rPr>
                <w:sz w:val="20"/>
              </w:rPr>
            </w:pPr>
            <w:r>
              <w:rPr>
                <w:sz w:val="20"/>
              </w:rPr>
              <w:t>Lead(Pb)-Free, 0.1%</w:t>
            </w:r>
          </w:p>
        </w:tc>
        <w:tc>
          <w:tcPr>
            <w:tcW w:w="719" w:type="dxa"/>
          </w:tcPr>
          <w:p>
            <w:pPr>
              <w:pStyle w:val="TableParagraph"/>
              <w:spacing w:before="136"/>
              <w:ind w:left="171" w:right="164"/>
              <w:jc w:val="center"/>
              <w:rPr>
                <w:sz w:val="20"/>
              </w:rPr>
            </w:pPr>
            <w:r>
              <w:rPr>
                <w:sz w:val="20"/>
              </w:rPr>
              <w:t>128</w:t>
            </w:r>
          </w:p>
        </w:tc>
        <w:tc>
          <w:tcPr>
            <w:tcW w:w="1283" w:type="dxa"/>
          </w:tcPr>
          <w:p>
            <w:pPr>
              <w:pStyle w:val="TableParagraph"/>
              <w:spacing w:before="136"/>
              <w:ind w:left="38" w:right="26"/>
              <w:jc w:val="center"/>
              <w:rPr>
                <w:sz w:val="20"/>
              </w:rPr>
            </w:pPr>
            <w:r>
              <w:rPr>
                <w:sz w:val="20"/>
              </w:rPr>
              <w:t>tape and reel</w:t>
            </w:r>
          </w:p>
        </w:tc>
        <w:tc>
          <w:tcPr>
            <w:tcW w:w="1828" w:type="dxa"/>
          </w:tcPr>
          <w:p>
            <w:pPr>
              <w:pStyle w:val="TableParagraph"/>
              <w:spacing w:before="136"/>
              <w:ind w:left="40" w:right="26"/>
              <w:jc w:val="center"/>
              <w:rPr>
                <w:sz w:val="20"/>
              </w:rPr>
            </w:pPr>
            <w:r>
              <w:rPr>
                <w:sz w:val="20"/>
              </w:rPr>
              <w:t>71M6543G-IGTR/F</w:t>
            </w:r>
          </w:p>
        </w:tc>
        <w:tc>
          <w:tcPr>
            <w:tcW w:w="1749" w:type="dxa"/>
          </w:tcPr>
          <w:p>
            <w:pPr>
              <w:pStyle w:val="TableParagraph"/>
              <w:spacing w:before="136"/>
              <w:ind w:left="83" w:right="25"/>
              <w:jc w:val="center"/>
              <w:rPr>
                <w:sz w:val="20"/>
              </w:rPr>
            </w:pPr>
            <w:r>
              <w:rPr>
                <w:sz w:val="20"/>
              </w:rPr>
              <w:t>71M6543G-IGT</w:t>
            </w:r>
          </w:p>
        </w:tc>
      </w:tr>
    </w:tbl>
    <w:p>
      <w:pPr>
        <w:pStyle w:val="BodyText"/>
        <w:spacing w:before="2"/>
        <w:rPr>
          <w:b/>
          <w:sz w:val="30"/>
        </w:rPr>
      </w:pPr>
    </w:p>
    <w:p>
      <w:pPr>
        <w:pStyle w:val="ListParagraph"/>
        <w:numPr>
          <w:ilvl w:val="0"/>
          <w:numId w:val="43"/>
        </w:numPr>
        <w:tabs>
          <w:tab w:pos="1199" w:val="left" w:leader="none"/>
          <w:tab w:pos="1200" w:val="left" w:leader="none"/>
        </w:tabs>
        <w:spacing w:line="240" w:lineRule="auto" w:before="0" w:after="0"/>
        <w:ind w:left="1199" w:right="0" w:hanging="720"/>
        <w:jc w:val="left"/>
        <w:rPr>
          <w:b/>
          <w:sz w:val="28"/>
        </w:rPr>
      </w:pPr>
      <w:bookmarkStart w:name="8 Related Information" w:id="635"/>
      <w:bookmarkEnd w:id="635"/>
      <w:r>
        <w:rPr/>
      </w:r>
      <w:bookmarkStart w:name="_bookmark310" w:id="636"/>
      <w:bookmarkEnd w:id="636"/>
      <w:r>
        <w:rPr/>
      </w:r>
      <w:bookmarkStart w:name="_bookmark310" w:id="637"/>
      <w:bookmarkEnd w:id="637"/>
      <w:r>
        <w:rPr>
          <w:b/>
          <w:spacing w:val="6"/>
          <w:sz w:val="28"/>
        </w:rPr>
        <w:t>Re</w:t>
      </w:r>
      <w:r>
        <w:rPr>
          <w:b/>
          <w:spacing w:val="6"/>
          <w:sz w:val="28"/>
        </w:rPr>
        <w:t>lated</w:t>
      </w:r>
      <w:r>
        <w:rPr>
          <w:b/>
          <w:spacing w:val="14"/>
          <w:sz w:val="28"/>
        </w:rPr>
        <w:t> </w:t>
      </w:r>
      <w:r>
        <w:rPr>
          <w:b/>
          <w:spacing w:val="6"/>
          <w:sz w:val="28"/>
        </w:rPr>
        <w:t>Information</w:t>
      </w:r>
    </w:p>
    <w:p>
      <w:pPr>
        <w:pStyle w:val="BodyText"/>
        <w:spacing w:before="121"/>
        <w:ind w:left="480"/>
      </w:pPr>
      <w:r>
        <w:rPr/>
        <w:t>The following documents related to the 71M6543 and 71M6xx3 are available:</w:t>
      </w:r>
    </w:p>
    <w:p>
      <w:pPr>
        <w:pStyle w:val="ListParagraph"/>
        <w:numPr>
          <w:ilvl w:val="0"/>
          <w:numId w:val="44"/>
        </w:numPr>
        <w:tabs>
          <w:tab w:pos="839" w:val="left" w:leader="none"/>
          <w:tab w:pos="840" w:val="left" w:leader="none"/>
        </w:tabs>
        <w:spacing w:line="244" w:lineRule="exact" w:before="119" w:after="0"/>
        <w:ind w:left="839" w:right="0" w:hanging="360"/>
        <w:jc w:val="left"/>
        <w:rPr>
          <w:sz w:val="20"/>
        </w:rPr>
      </w:pPr>
      <w:r>
        <w:rPr>
          <w:i/>
          <w:sz w:val="20"/>
        </w:rPr>
        <w:t>71M6543F/71M6543G Data Sheet </w:t>
      </w:r>
      <w:r>
        <w:rPr>
          <w:sz w:val="20"/>
        </w:rPr>
        <w:t>(this</w:t>
      </w:r>
      <w:r>
        <w:rPr>
          <w:spacing w:val="-3"/>
          <w:sz w:val="20"/>
        </w:rPr>
        <w:t> </w:t>
      </w:r>
      <w:r>
        <w:rPr>
          <w:sz w:val="20"/>
        </w:rPr>
        <w:t>document)</w:t>
      </w:r>
    </w:p>
    <w:p>
      <w:pPr>
        <w:pStyle w:val="ListParagraph"/>
        <w:numPr>
          <w:ilvl w:val="0"/>
          <w:numId w:val="44"/>
        </w:numPr>
        <w:tabs>
          <w:tab w:pos="839" w:val="left" w:leader="none"/>
          <w:tab w:pos="840" w:val="left" w:leader="none"/>
        </w:tabs>
        <w:spacing w:line="244" w:lineRule="exact" w:before="0" w:after="0"/>
        <w:ind w:left="839" w:right="0" w:hanging="361"/>
        <w:jc w:val="left"/>
        <w:rPr>
          <w:i/>
          <w:sz w:val="20"/>
        </w:rPr>
      </w:pPr>
      <w:r>
        <w:rPr>
          <w:i/>
          <w:sz w:val="20"/>
        </w:rPr>
        <w:t>71M6xxx Data</w:t>
      </w:r>
      <w:r>
        <w:rPr>
          <w:i/>
          <w:spacing w:val="-1"/>
          <w:sz w:val="20"/>
        </w:rPr>
        <w:t> </w:t>
      </w:r>
      <w:r>
        <w:rPr>
          <w:i/>
          <w:sz w:val="20"/>
        </w:rPr>
        <w:t>Sheet</w:t>
      </w:r>
    </w:p>
    <w:p>
      <w:pPr>
        <w:pStyle w:val="ListParagraph"/>
        <w:numPr>
          <w:ilvl w:val="0"/>
          <w:numId w:val="44"/>
        </w:numPr>
        <w:tabs>
          <w:tab w:pos="839" w:val="left" w:leader="none"/>
          <w:tab w:pos="840" w:val="left" w:leader="none"/>
        </w:tabs>
        <w:spacing w:line="244" w:lineRule="exact" w:before="0" w:after="0"/>
        <w:ind w:left="839" w:right="0" w:hanging="361"/>
        <w:jc w:val="left"/>
        <w:rPr>
          <w:i/>
          <w:sz w:val="20"/>
        </w:rPr>
      </w:pPr>
      <w:r>
        <w:rPr>
          <w:i/>
          <w:sz w:val="20"/>
        </w:rPr>
        <w:t>71M654x Software User’s Guide</w:t>
      </w:r>
      <w:r>
        <w:rPr>
          <w:i/>
          <w:spacing w:val="5"/>
          <w:sz w:val="20"/>
        </w:rPr>
        <w:t> </w:t>
      </w:r>
      <w:r>
        <w:rPr>
          <w:i/>
          <w:sz w:val="20"/>
        </w:rPr>
        <w:t>(SUG)</w:t>
      </w:r>
    </w:p>
    <w:p>
      <w:pPr>
        <w:pStyle w:val="ListParagraph"/>
        <w:numPr>
          <w:ilvl w:val="0"/>
          <w:numId w:val="44"/>
        </w:numPr>
        <w:tabs>
          <w:tab w:pos="839" w:val="left" w:leader="none"/>
          <w:tab w:pos="840" w:val="left" w:leader="none"/>
        </w:tabs>
        <w:spacing w:line="244" w:lineRule="exact" w:before="0" w:after="0"/>
        <w:ind w:left="839" w:right="0" w:hanging="361"/>
        <w:jc w:val="left"/>
        <w:rPr>
          <w:i/>
          <w:sz w:val="20"/>
        </w:rPr>
      </w:pPr>
      <w:r>
        <w:rPr>
          <w:i/>
          <w:sz w:val="20"/>
        </w:rPr>
        <w:t>71M6543 Demo Board User’s Manual (DBUM)</w:t>
      </w:r>
    </w:p>
    <w:p>
      <w:pPr>
        <w:pStyle w:val="BodyText"/>
        <w:rPr>
          <w:i/>
        </w:rPr>
      </w:pPr>
    </w:p>
    <w:p>
      <w:pPr>
        <w:pStyle w:val="ListParagraph"/>
        <w:numPr>
          <w:ilvl w:val="0"/>
          <w:numId w:val="43"/>
        </w:numPr>
        <w:tabs>
          <w:tab w:pos="1199" w:val="left" w:leader="none"/>
          <w:tab w:pos="1200" w:val="left" w:leader="none"/>
        </w:tabs>
        <w:spacing w:line="240" w:lineRule="auto" w:before="1" w:after="0"/>
        <w:ind w:left="1199" w:right="0" w:hanging="720"/>
        <w:jc w:val="left"/>
        <w:rPr>
          <w:b/>
          <w:sz w:val="28"/>
        </w:rPr>
      </w:pPr>
      <w:bookmarkStart w:name="9 Contact Information" w:id="638"/>
      <w:bookmarkEnd w:id="638"/>
      <w:r>
        <w:rPr/>
      </w:r>
      <w:bookmarkStart w:name="_bookmark311" w:id="639"/>
      <w:bookmarkEnd w:id="639"/>
      <w:r>
        <w:rPr/>
      </w:r>
      <w:bookmarkStart w:name="_bookmark311" w:id="640"/>
      <w:bookmarkEnd w:id="640"/>
      <w:r>
        <w:rPr>
          <w:b/>
          <w:spacing w:val="6"/>
          <w:sz w:val="28"/>
        </w:rPr>
        <w:t>C</w:t>
      </w:r>
      <w:r>
        <w:rPr>
          <w:b/>
          <w:spacing w:val="6"/>
          <w:sz w:val="28"/>
        </w:rPr>
        <w:t>ontact</w:t>
      </w:r>
      <w:r>
        <w:rPr>
          <w:b/>
          <w:spacing w:val="15"/>
          <w:sz w:val="28"/>
        </w:rPr>
        <w:t> </w:t>
      </w:r>
      <w:r>
        <w:rPr>
          <w:b/>
          <w:spacing w:val="6"/>
          <w:sz w:val="28"/>
        </w:rPr>
        <w:t>Information</w:t>
      </w:r>
    </w:p>
    <w:p>
      <w:pPr>
        <w:pStyle w:val="BodyText"/>
        <w:spacing w:line="228" w:lineRule="exact" w:before="120"/>
        <w:ind w:left="480"/>
      </w:pPr>
      <w:r>
        <w:rPr/>
        <w:t>For technical support or more information about Maxim products, contact technical support at</w:t>
      </w:r>
    </w:p>
    <w:p>
      <w:pPr>
        <w:spacing w:line="228" w:lineRule="exact" w:before="0"/>
        <w:ind w:left="480" w:right="0" w:firstLine="0"/>
        <w:jc w:val="left"/>
        <w:rPr>
          <w:sz w:val="20"/>
        </w:rPr>
      </w:pPr>
      <w:hyperlink r:id="rId245">
        <w:r>
          <w:rPr>
            <w:b/>
            <w:color w:val="7030A0"/>
            <w:sz w:val="20"/>
            <w:u w:val="thick" w:color="7030A0"/>
          </w:rPr>
          <w:t>www.maximintegrated.com/support</w:t>
        </w:r>
        <w:r>
          <w:rPr>
            <w:sz w:val="20"/>
          </w:rPr>
          <w:t>.</w:t>
        </w:r>
      </w:hyperlink>
    </w:p>
    <w:p>
      <w:pPr>
        <w:spacing w:after="0" w:line="228" w:lineRule="exact"/>
        <w:jc w:val="left"/>
        <w:rPr>
          <w:sz w:val="20"/>
        </w:rPr>
        <w:sectPr>
          <w:pgSz w:w="12240" w:h="15840"/>
          <w:pgMar w:header="727" w:footer="819" w:top="1160" w:bottom="1000" w:left="960" w:right="940"/>
        </w:sectPr>
      </w:pPr>
    </w:p>
    <w:p>
      <w:pPr>
        <w:spacing w:before="89"/>
        <w:ind w:left="480" w:right="0" w:firstLine="0"/>
        <w:jc w:val="left"/>
        <w:rPr>
          <w:b/>
          <w:sz w:val="28"/>
        </w:rPr>
      </w:pPr>
      <w:bookmarkStart w:name="Appendix A: Acronyms" w:id="641"/>
      <w:bookmarkEnd w:id="641"/>
      <w:r>
        <w:rPr/>
      </w:r>
      <w:bookmarkStart w:name="_bookmark312" w:id="642"/>
      <w:bookmarkEnd w:id="642"/>
      <w:r>
        <w:rPr/>
      </w:r>
      <w:r>
        <w:rPr>
          <w:b/>
          <w:sz w:val="28"/>
        </w:rPr>
        <w:t>Appendix A: Acronyms</w:t>
      </w:r>
    </w:p>
    <w:p>
      <w:pPr>
        <w:pStyle w:val="BodyText"/>
        <w:tabs>
          <w:tab w:pos="2640" w:val="left" w:leader="none"/>
        </w:tabs>
        <w:spacing w:before="120"/>
        <w:ind w:left="480"/>
      </w:pPr>
      <w:r>
        <w:rPr/>
        <w:t>AFE</w:t>
        <w:tab/>
        <w:t>Analog</w:t>
      </w:r>
      <w:r>
        <w:rPr>
          <w:spacing w:val="-2"/>
        </w:rPr>
        <w:t> </w:t>
      </w:r>
      <w:r>
        <w:rPr/>
        <w:t>Front-End</w:t>
      </w:r>
    </w:p>
    <w:p>
      <w:pPr>
        <w:pStyle w:val="BodyText"/>
        <w:tabs>
          <w:tab w:pos="2639" w:val="left" w:leader="none"/>
        </w:tabs>
        <w:spacing w:before="41"/>
        <w:ind w:left="480"/>
      </w:pPr>
      <w:r>
        <w:rPr/>
        <w:t>AMR</w:t>
        <w:tab/>
        <w:t>Automatic Meter</w:t>
      </w:r>
      <w:r>
        <w:rPr>
          <w:spacing w:val="-1"/>
        </w:rPr>
        <w:t> </w:t>
      </w:r>
      <w:r>
        <w:rPr/>
        <w:t>Reading</w:t>
      </w:r>
    </w:p>
    <w:p>
      <w:pPr>
        <w:pStyle w:val="BodyText"/>
        <w:tabs>
          <w:tab w:pos="2639" w:val="left" w:leader="none"/>
        </w:tabs>
        <w:spacing w:before="39"/>
        <w:ind w:left="479"/>
      </w:pPr>
      <w:r>
        <w:rPr/>
        <w:t>ANSI</w:t>
        <w:tab/>
        <w:t>American National Standards</w:t>
      </w:r>
      <w:r>
        <w:rPr>
          <w:spacing w:val="-2"/>
        </w:rPr>
        <w:t> </w:t>
      </w:r>
      <w:r>
        <w:rPr/>
        <w:t>Institute</w:t>
      </w:r>
    </w:p>
    <w:p>
      <w:pPr>
        <w:pStyle w:val="BodyText"/>
        <w:tabs>
          <w:tab w:pos="2639" w:val="left" w:leader="none"/>
        </w:tabs>
        <w:spacing w:before="41"/>
        <w:ind w:left="479"/>
      </w:pPr>
      <w:r>
        <w:rPr/>
        <w:t>CE</w:t>
        <w:tab/>
        <w:t>Compute</w:t>
      </w:r>
      <w:r>
        <w:rPr>
          <w:spacing w:val="-2"/>
        </w:rPr>
        <w:t> </w:t>
      </w:r>
      <w:r>
        <w:rPr/>
        <w:t>Engine</w:t>
      </w:r>
    </w:p>
    <w:p>
      <w:pPr>
        <w:pStyle w:val="BodyText"/>
        <w:tabs>
          <w:tab w:pos="2639" w:val="left" w:leader="none"/>
        </w:tabs>
        <w:spacing w:before="39"/>
        <w:ind w:left="480"/>
      </w:pPr>
      <w:r>
        <w:rPr/>
        <w:t>DIO</w:t>
        <w:tab/>
        <w:t>Digital I</w:t>
      </w:r>
      <w:r>
        <w:rPr>
          <w:spacing w:val="-4"/>
        </w:rPr>
        <w:t> </w:t>
      </w:r>
      <w:r>
        <w:rPr/>
        <w:t>/O</w:t>
      </w:r>
    </w:p>
    <w:p>
      <w:pPr>
        <w:pStyle w:val="BodyText"/>
        <w:tabs>
          <w:tab w:pos="2639" w:val="left" w:leader="none"/>
        </w:tabs>
        <w:spacing w:before="41"/>
        <w:ind w:left="480"/>
      </w:pPr>
      <w:r>
        <w:rPr/>
        <w:t>DSP</w:t>
        <w:tab/>
        <w:t>Digital Signal</w:t>
      </w:r>
      <w:r>
        <w:rPr>
          <w:spacing w:val="-3"/>
        </w:rPr>
        <w:t> </w:t>
      </w:r>
      <w:r>
        <w:rPr/>
        <w:t>Processor</w:t>
      </w:r>
    </w:p>
    <w:p>
      <w:pPr>
        <w:pStyle w:val="BodyText"/>
        <w:tabs>
          <w:tab w:pos="2639" w:val="left" w:leader="none"/>
        </w:tabs>
        <w:spacing w:before="39"/>
        <w:ind w:left="480"/>
      </w:pPr>
      <w:r>
        <w:rPr/>
        <w:t>FIR</w:t>
        <w:tab/>
        <w:t>Finite Impulse</w:t>
      </w:r>
      <w:r>
        <w:rPr>
          <w:spacing w:val="-3"/>
        </w:rPr>
        <w:t> </w:t>
      </w:r>
      <w:r>
        <w:rPr/>
        <w:t>Response</w:t>
      </w:r>
    </w:p>
    <w:p>
      <w:pPr>
        <w:pStyle w:val="BodyText"/>
        <w:tabs>
          <w:tab w:pos="2639" w:val="left" w:leader="none"/>
        </w:tabs>
        <w:spacing w:before="42"/>
        <w:ind w:left="479"/>
      </w:pPr>
      <w:r>
        <w:rPr/>
        <w:t>I</w:t>
      </w:r>
      <w:r>
        <w:rPr>
          <w:vertAlign w:val="superscript"/>
        </w:rPr>
        <w:t>2</w:t>
      </w:r>
      <w:r>
        <w:rPr>
          <w:vertAlign w:val="baseline"/>
        </w:rPr>
        <w:t>C</w:t>
        <w:tab/>
        <w:t>Inter-IC</w:t>
      </w:r>
      <w:r>
        <w:rPr>
          <w:spacing w:val="1"/>
          <w:vertAlign w:val="baseline"/>
        </w:rPr>
        <w:t> </w:t>
      </w:r>
      <w:r>
        <w:rPr>
          <w:vertAlign w:val="baseline"/>
        </w:rPr>
        <w:t>Bus</w:t>
      </w:r>
    </w:p>
    <w:p>
      <w:pPr>
        <w:pStyle w:val="BodyText"/>
        <w:tabs>
          <w:tab w:pos="2639" w:val="left" w:leader="none"/>
        </w:tabs>
        <w:spacing w:before="38"/>
        <w:ind w:left="479"/>
      </w:pPr>
      <w:r>
        <w:rPr/>
        <w:t>ICE</w:t>
        <w:tab/>
        <w:t>In-Circuit Emulator</w:t>
      </w:r>
    </w:p>
    <w:p>
      <w:pPr>
        <w:pStyle w:val="BodyText"/>
        <w:tabs>
          <w:tab w:pos="2639" w:val="left" w:leader="none"/>
        </w:tabs>
        <w:spacing w:before="39"/>
        <w:ind w:left="479"/>
      </w:pPr>
      <w:r>
        <w:rPr/>
        <w:t>IEC</w:t>
        <w:tab/>
        <w:t>International Electrotechnical</w:t>
      </w:r>
      <w:r>
        <w:rPr>
          <w:spacing w:val="-5"/>
        </w:rPr>
        <w:t> </w:t>
      </w:r>
      <w:r>
        <w:rPr/>
        <w:t>Commission</w:t>
      </w:r>
    </w:p>
    <w:p>
      <w:pPr>
        <w:pStyle w:val="BodyText"/>
        <w:tabs>
          <w:tab w:pos="2639" w:val="left" w:leader="none"/>
        </w:tabs>
        <w:spacing w:before="41"/>
        <w:ind w:left="480"/>
      </w:pPr>
      <w:r>
        <w:rPr/>
        <w:t>MPU</w:t>
        <w:tab/>
        <w:t>Microprocessor Unit</w:t>
      </w:r>
      <w:r>
        <w:rPr>
          <w:spacing w:val="-2"/>
        </w:rPr>
        <w:t> </w:t>
      </w:r>
      <w:r>
        <w:rPr/>
        <w:t>(CPU)</w:t>
      </w:r>
    </w:p>
    <w:p>
      <w:pPr>
        <w:pStyle w:val="BodyText"/>
        <w:tabs>
          <w:tab w:pos="2639" w:val="left" w:leader="none"/>
        </w:tabs>
        <w:spacing w:before="39"/>
        <w:ind w:left="480"/>
      </w:pPr>
      <w:r>
        <w:rPr/>
        <w:t>PLL</w:t>
        <w:tab/>
        <w:t>Phase-Locked</w:t>
      </w:r>
      <w:r>
        <w:rPr>
          <w:spacing w:val="-2"/>
        </w:rPr>
        <w:t> </w:t>
      </w:r>
      <w:r>
        <w:rPr/>
        <w:t>Loop</w:t>
      </w:r>
    </w:p>
    <w:p>
      <w:pPr>
        <w:pStyle w:val="BodyText"/>
        <w:tabs>
          <w:tab w:pos="2639" w:val="left" w:leader="none"/>
        </w:tabs>
        <w:spacing w:before="41"/>
        <w:ind w:left="480"/>
      </w:pPr>
      <w:r>
        <w:rPr/>
        <w:t>RMS</w:t>
        <w:tab/>
        <w:t>Root Mean</w:t>
      </w:r>
      <w:r>
        <w:rPr>
          <w:spacing w:val="-1"/>
        </w:rPr>
        <w:t> </w:t>
      </w:r>
      <w:r>
        <w:rPr/>
        <w:t>Square</w:t>
      </w:r>
    </w:p>
    <w:p>
      <w:pPr>
        <w:pStyle w:val="BodyText"/>
        <w:tabs>
          <w:tab w:pos="2639" w:val="left" w:leader="none"/>
        </w:tabs>
        <w:spacing w:before="39"/>
        <w:ind w:left="480"/>
      </w:pPr>
      <w:r>
        <w:rPr/>
        <w:t>SFR</w:t>
        <w:tab/>
        <w:t>Special Function</w:t>
      </w:r>
      <w:r>
        <w:rPr>
          <w:spacing w:val="-4"/>
        </w:rPr>
        <w:t> </w:t>
      </w:r>
      <w:r>
        <w:rPr/>
        <w:t>Register</w:t>
      </w:r>
    </w:p>
    <w:p>
      <w:pPr>
        <w:pStyle w:val="BodyText"/>
        <w:tabs>
          <w:tab w:pos="2640" w:val="left" w:leader="none"/>
        </w:tabs>
        <w:spacing w:before="41"/>
        <w:ind w:left="480"/>
      </w:pPr>
      <w:r>
        <w:rPr/>
        <w:t>SoC</w:t>
        <w:tab/>
        <w:t>System-on-Chip</w:t>
      </w:r>
    </w:p>
    <w:p>
      <w:pPr>
        <w:pStyle w:val="BodyText"/>
        <w:tabs>
          <w:tab w:pos="2639" w:val="left" w:leader="none"/>
        </w:tabs>
        <w:spacing w:before="39"/>
        <w:ind w:left="480"/>
      </w:pPr>
      <w:r>
        <w:rPr/>
        <w:t>SPI</w:t>
        <w:tab/>
        <w:t>Serial Peripheral</w:t>
      </w:r>
      <w:r>
        <w:rPr>
          <w:spacing w:val="-3"/>
        </w:rPr>
        <w:t> </w:t>
      </w:r>
      <w:r>
        <w:rPr/>
        <w:t>Interface</w:t>
      </w:r>
    </w:p>
    <w:p>
      <w:pPr>
        <w:pStyle w:val="BodyText"/>
        <w:tabs>
          <w:tab w:pos="2639" w:val="left" w:leader="none"/>
        </w:tabs>
        <w:spacing w:before="41"/>
        <w:ind w:left="479"/>
      </w:pPr>
      <w:r>
        <w:rPr/>
        <w:t>TOU</w:t>
        <w:tab/>
        <w:t>Time of</w:t>
      </w:r>
      <w:r>
        <w:rPr>
          <w:spacing w:val="-1"/>
        </w:rPr>
        <w:t> </w:t>
      </w:r>
      <w:r>
        <w:rPr/>
        <w:t>Use</w:t>
      </w:r>
    </w:p>
    <w:p>
      <w:pPr>
        <w:pStyle w:val="BodyText"/>
        <w:tabs>
          <w:tab w:pos="2639" w:val="left" w:leader="none"/>
        </w:tabs>
        <w:spacing w:before="39"/>
        <w:ind w:left="479"/>
      </w:pPr>
      <w:r>
        <w:rPr/>
        <w:t>UART</w:t>
        <w:tab/>
        <w:t>Universal Asynchronous</w:t>
      </w:r>
      <w:r>
        <w:rPr>
          <w:spacing w:val="-1"/>
        </w:rPr>
        <w:t> </w:t>
      </w:r>
      <w:r>
        <w:rPr/>
        <w:t>Receiver/Transmitter</w:t>
      </w:r>
    </w:p>
    <w:p>
      <w:pPr>
        <w:spacing w:after="0"/>
        <w:sectPr>
          <w:pgSz w:w="12240" w:h="15840"/>
          <w:pgMar w:header="727" w:footer="819" w:top="1160" w:bottom="1000" w:left="960" w:right="940"/>
        </w:sectPr>
      </w:pPr>
    </w:p>
    <w:p>
      <w:pPr>
        <w:spacing w:before="89"/>
        <w:ind w:left="480" w:right="0" w:firstLine="0"/>
        <w:jc w:val="left"/>
        <w:rPr>
          <w:b/>
          <w:sz w:val="28"/>
        </w:rPr>
      </w:pPr>
      <w:bookmarkStart w:name="Appendix B: Revision History" w:id="643"/>
      <w:bookmarkEnd w:id="643"/>
      <w:r>
        <w:rPr/>
      </w:r>
      <w:bookmarkStart w:name="_bookmark313" w:id="644"/>
      <w:bookmarkEnd w:id="644"/>
      <w:r>
        <w:rPr/>
      </w:r>
      <w:r>
        <w:rPr>
          <w:b/>
          <w:sz w:val="28"/>
        </w:rPr>
        <w:t>Appendix B: Revision History</w:t>
      </w:r>
    </w:p>
    <w:p>
      <w:pPr>
        <w:pStyle w:val="BodyText"/>
        <w:rPr>
          <w:b/>
        </w:rPr>
      </w:pPr>
    </w:p>
    <w:p>
      <w:pPr>
        <w:pStyle w:val="BodyText"/>
        <w:spacing w:before="8"/>
        <w:rPr>
          <w:b/>
          <w:sz w:val="10"/>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60"/>
        <w:gridCol w:w="5491"/>
        <w:gridCol w:w="1349"/>
      </w:tblGrid>
      <w:tr>
        <w:trPr>
          <w:trHeight w:val="498" w:hRule="atLeast"/>
        </w:trPr>
        <w:tc>
          <w:tcPr>
            <w:tcW w:w="1260" w:type="dxa"/>
          </w:tcPr>
          <w:p>
            <w:pPr>
              <w:pStyle w:val="TableParagraph"/>
              <w:spacing w:before="16"/>
              <w:ind w:left="189" w:hanging="36"/>
              <w:rPr>
                <w:b/>
                <w:sz w:val="20"/>
              </w:rPr>
            </w:pPr>
            <w:r>
              <w:rPr>
                <w:b/>
                <w:w w:val="95"/>
                <w:sz w:val="20"/>
              </w:rPr>
              <w:t>REVISION </w:t>
            </w:r>
            <w:r>
              <w:rPr>
                <w:b/>
                <w:sz w:val="20"/>
              </w:rPr>
              <w:t>NUMBER</w:t>
            </w:r>
          </w:p>
        </w:tc>
        <w:tc>
          <w:tcPr>
            <w:tcW w:w="1260" w:type="dxa"/>
          </w:tcPr>
          <w:p>
            <w:pPr>
              <w:pStyle w:val="TableParagraph"/>
              <w:spacing w:before="16"/>
              <w:ind w:left="357" w:hanging="204"/>
              <w:rPr>
                <w:b/>
                <w:sz w:val="20"/>
              </w:rPr>
            </w:pPr>
            <w:r>
              <w:rPr>
                <w:b/>
                <w:w w:val="95"/>
                <w:sz w:val="20"/>
              </w:rPr>
              <w:t>REVISION </w:t>
            </w:r>
            <w:r>
              <w:rPr>
                <w:b/>
                <w:sz w:val="20"/>
              </w:rPr>
              <w:t>DATE</w:t>
            </w:r>
          </w:p>
        </w:tc>
        <w:tc>
          <w:tcPr>
            <w:tcW w:w="5491" w:type="dxa"/>
          </w:tcPr>
          <w:p>
            <w:pPr>
              <w:pStyle w:val="TableParagraph"/>
              <w:spacing w:before="131"/>
              <w:ind w:left="2038" w:right="2036"/>
              <w:jc w:val="center"/>
              <w:rPr>
                <w:b/>
                <w:sz w:val="20"/>
              </w:rPr>
            </w:pPr>
            <w:r>
              <w:rPr>
                <w:b/>
                <w:sz w:val="20"/>
              </w:rPr>
              <w:t>DESCRIPTION</w:t>
            </w:r>
          </w:p>
        </w:tc>
        <w:tc>
          <w:tcPr>
            <w:tcW w:w="1349" w:type="dxa"/>
          </w:tcPr>
          <w:p>
            <w:pPr>
              <w:pStyle w:val="TableParagraph"/>
              <w:spacing w:before="16"/>
              <w:ind w:left="165" w:firstLine="156"/>
              <w:rPr>
                <w:b/>
                <w:sz w:val="20"/>
              </w:rPr>
            </w:pPr>
            <w:r>
              <w:rPr>
                <w:b/>
                <w:sz w:val="20"/>
              </w:rPr>
              <w:t>PAGES </w:t>
            </w:r>
            <w:r>
              <w:rPr>
                <w:b/>
                <w:w w:val="95"/>
                <w:sz w:val="20"/>
              </w:rPr>
              <w:t>CHANGED</w:t>
            </w:r>
          </w:p>
        </w:tc>
      </w:tr>
      <w:tr>
        <w:trPr>
          <w:trHeight w:val="270" w:hRule="atLeast"/>
        </w:trPr>
        <w:tc>
          <w:tcPr>
            <w:tcW w:w="1260" w:type="dxa"/>
          </w:tcPr>
          <w:p>
            <w:pPr>
              <w:pStyle w:val="TableParagraph"/>
              <w:spacing w:before="21"/>
              <w:ind w:left="117" w:right="112"/>
              <w:jc w:val="center"/>
              <w:rPr>
                <w:sz w:val="20"/>
              </w:rPr>
            </w:pPr>
            <w:r>
              <w:rPr>
                <w:sz w:val="20"/>
              </w:rPr>
              <w:t>1.0</w:t>
            </w:r>
          </w:p>
        </w:tc>
        <w:tc>
          <w:tcPr>
            <w:tcW w:w="1260" w:type="dxa"/>
          </w:tcPr>
          <w:p>
            <w:pPr>
              <w:pStyle w:val="TableParagraph"/>
              <w:spacing w:before="21"/>
              <w:ind w:right="427"/>
              <w:jc w:val="right"/>
              <w:rPr>
                <w:sz w:val="20"/>
              </w:rPr>
            </w:pPr>
            <w:r>
              <w:rPr>
                <w:w w:val="95"/>
                <w:sz w:val="20"/>
              </w:rPr>
              <w:t>1/11</w:t>
            </w:r>
          </w:p>
        </w:tc>
        <w:tc>
          <w:tcPr>
            <w:tcW w:w="5491" w:type="dxa"/>
          </w:tcPr>
          <w:p>
            <w:pPr>
              <w:pStyle w:val="TableParagraph"/>
              <w:spacing w:before="21"/>
              <w:ind w:left="107"/>
              <w:rPr>
                <w:sz w:val="20"/>
              </w:rPr>
            </w:pPr>
            <w:r>
              <w:rPr>
                <w:sz w:val="20"/>
              </w:rPr>
              <w:t>Initial release</w:t>
            </w:r>
          </w:p>
        </w:tc>
        <w:tc>
          <w:tcPr>
            <w:tcW w:w="1349" w:type="dxa"/>
          </w:tcPr>
          <w:p>
            <w:pPr>
              <w:pStyle w:val="TableParagraph"/>
              <w:spacing w:before="21"/>
              <w:ind w:left="571"/>
              <w:rPr>
                <w:sz w:val="20"/>
              </w:rPr>
            </w:pPr>
            <w:r>
              <w:rPr>
                <w:w w:val="99"/>
                <w:sz w:val="20"/>
              </w:rPr>
              <w:t>—</w:t>
            </w:r>
          </w:p>
        </w:tc>
      </w:tr>
      <w:tr>
        <w:trPr>
          <w:trHeight w:val="270" w:hRule="atLeast"/>
        </w:trPr>
        <w:tc>
          <w:tcPr>
            <w:tcW w:w="1260" w:type="dxa"/>
          </w:tcPr>
          <w:p>
            <w:pPr>
              <w:pStyle w:val="TableParagraph"/>
              <w:spacing w:before="18"/>
              <w:ind w:left="117" w:right="112"/>
              <w:jc w:val="center"/>
              <w:rPr>
                <w:sz w:val="20"/>
              </w:rPr>
            </w:pPr>
            <w:r>
              <w:rPr>
                <w:sz w:val="20"/>
              </w:rPr>
              <w:t>1.1</w:t>
            </w:r>
          </w:p>
        </w:tc>
        <w:tc>
          <w:tcPr>
            <w:tcW w:w="1260" w:type="dxa"/>
          </w:tcPr>
          <w:p>
            <w:pPr>
              <w:pStyle w:val="TableParagraph"/>
              <w:spacing w:before="18"/>
              <w:ind w:right="427"/>
              <w:jc w:val="right"/>
              <w:rPr>
                <w:sz w:val="20"/>
              </w:rPr>
            </w:pPr>
            <w:r>
              <w:rPr>
                <w:w w:val="95"/>
                <w:sz w:val="20"/>
              </w:rPr>
              <w:t>3/11</w:t>
            </w:r>
          </w:p>
        </w:tc>
        <w:tc>
          <w:tcPr>
            <w:tcW w:w="5491" w:type="dxa"/>
          </w:tcPr>
          <w:p>
            <w:pPr>
              <w:pStyle w:val="TableParagraph"/>
              <w:spacing w:before="18"/>
              <w:ind w:left="107"/>
              <w:rPr>
                <w:sz w:val="20"/>
              </w:rPr>
            </w:pPr>
            <w:r>
              <w:rPr>
                <w:sz w:val="20"/>
              </w:rPr>
              <w:t>Added the 71M6543G, 71M6543GH</w:t>
            </w:r>
          </w:p>
        </w:tc>
        <w:tc>
          <w:tcPr>
            <w:tcW w:w="1349" w:type="dxa"/>
          </w:tcPr>
          <w:p>
            <w:pPr>
              <w:pStyle w:val="TableParagraph"/>
              <w:spacing w:before="18"/>
              <w:ind w:left="559"/>
              <w:rPr>
                <w:sz w:val="20"/>
              </w:rPr>
            </w:pPr>
            <w:r>
              <w:rPr>
                <w:sz w:val="20"/>
              </w:rPr>
              <w:t>All</w:t>
            </w:r>
          </w:p>
        </w:tc>
      </w:tr>
      <w:tr>
        <w:trPr>
          <w:trHeight w:val="498" w:hRule="atLeast"/>
        </w:trPr>
        <w:tc>
          <w:tcPr>
            <w:tcW w:w="1260" w:type="dxa"/>
          </w:tcPr>
          <w:p>
            <w:pPr>
              <w:pStyle w:val="TableParagraph"/>
              <w:spacing w:before="134"/>
              <w:ind w:left="117" w:right="112"/>
              <w:jc w:val="center"/>
              <w:rPr>
                <w:sz w:val="20"/>
              </w:rPr>
            </w:pPr>
            <w:r>
              <w:rPr>
                <w:sz w:val="20"/>
              </w:rPr>
              <w:t>1.2</w:t>
            </w:r>
          </w:p>
        </w:tc>
        <w:tc>
          <w:tcPr>
            <w:tcW w:w="1260" w:type="dxa"/>
          </w:tcPr>
          <w:p>
            <w:pPr>
              <w:pStyle w:val="TableParagraph"/>
              <w:spacing w:before="134"/>
              <w:ind w:right="427"/>
              <w:jc w:val="right"/>
              <w:rPr>
                <w:sz w:val="20"/>
              </w:rPr>
            </w:pPr>
            <w:r>
              <w:rPr>
                <w:w w:val="95"/>
                <w:sz w:val="20"/>
              </w:rPr>
              <w:t>4/11</w:t>
            </w:r>
          </w:p>
        </w:tc>
        <w:tc>
          <w:tcPr>
            <w:tcW w:w="5491" w:type="dxa"/>
          </w:tcPr>
          <w:p>
            <w:pPr>
              <w:pStyle w:val="TableParagraph"/>
              <w:spacing w:before="18"/>
              <w:ind w:left="107" w:right="507"/>
              <w:rPr>
                <w:sz w:val="20"/>
              </w:rPr>
            </w:pPr>
            <w:r>
              <w:rPr>
                <w:sz w:val="20"/>
              </w:rPr>
              <w:t>Removed the 17mW typ consumption at 3.3V for sleep mode from the </w:t>
            </w:r>
            <w:r>
              <w:rPr>
                <w:i/>
                <w:sz w:val="20"/>
              </w:rPr>
              <w:t>Features </w:t>
            </w:r>
            <w:r>
              <w:rPr>
                <w:sz w:val="20"/>
              </w:rPr>
              <w:t>section</w:t>
            </w:r>
          </w:p>
        </w:tc>
        <w:tc>
          <w:tcPr>
            <w:tcW w:w="1349" w:type="dxa"/>
          </w:tcPr>
          <w:p>
            <w:pPr>
              <w:pStyle w:val="TableParagraph"/>
              <w:spacing w:before="134"/>
              <w:ind w:left="616"/>
              <w:rPr>
                <w:sz w:val="20"/>
              </w:rPr>
            </w:pPr>
            <w:r>
              <w:rPr>
                <w:w w:val="99"/>
                <w:sz w:val="20"/>
              </w:rPr>
              <w:t>1</w:t>
            </w:r>
          </w:p>
        </w:tc>
      </w:tr>
      <w:tr>
        <w:trPr>
          <w:trHeight w:val="2800" w:hRule="atLeast"/>
        </w:trPr>
        <w:tc>
          <w:tcPr>
            <w:tcW w:w="12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
              <w:rPr>
                <w:b/>
                <w:sz w:val="23"/>
              </w:rPr>
            </w:pPr>
          </w:p>
          <w:p>
            <w:pPr>
              <w:pStyle w:val="TableParagraph"/>
              <w:ind w:left="7"/>
              <w:jc w:val="center"/>
              <w:rPr>
                <w:sz w:val="20"/>
              </w:rPr>
            </w:pPr>
            <w:r>
              <w:rPr>
                <w:w w:val="99"/>
                <w:sz w:val="20"/>
              </w:rPr>
              <w:t>2</w:t>
            </w:r>
          </w:p>
        </w:tc>
        <w:tc>
          <w:tcPr>
            <w:tcW w:w="12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
              <w:rPr>
                <w:b/>
                <w:sz w:val="23"/>
              </w:rPr>
            </w:pPr>
          </w:p>
          <w:p>
            <w:pPr>
              <w:pStyle w:val="TableParagraph"/>
              <w:ind w:right="369"/>
              <w:jc w:val="right"/>
              <w:rPr>
                <w:sz w:val="20"/>
              </w:rPr>
            </w:pPr>
            <w:r>
              <w:rPr>
                <w:sz w:val="20"/>
              </w:rPr>
              <w:t>10/13</w:t>
            </w:r>
          </w:p>
        </w:tc>
        <w:tc>
          <w:tcPr>
            <w:tcW w:w="5491" w:type="dxa"/>
          </w:tcPr>
          <w:p>
            <w:pPr>
              <w:pStyle w:val="TableParagraph"/>
              <w:spacing w:before="18"/>
              <w:ind w:left="107" w:right="119"/>
              <w:rPr>
                <w:sz w:val="20"/>
              </w:rPr>
            </w:pPr>
            <w:r>
              <w:rPr>
                <w:sz w:val="20"/>
              </w:rPr>
              <w:t>Removed the 71M6543H, 71M6543GH; updated PLS_INV description on Table 70, added warning note on SPI Flash Mode section, updated IEN0 Bit Function and External MPU Interrupts table, removed INFO_PG from the register map, changed CECONFIG bit 23 to reserved, corrected SPI Slave port diagram (Figure 23), updated the text description of the Signal Input Pins section, combined columns 3 and 4 of Table 33, updated the Interrupt Structure diagram, corrected the OPT_TXE active definition, updated the required CE code and settings</w:t>
            </w:r>
            <w:r>
              <w:rPr>
                <w:spacing w:val="-36"/>
                <w:sz w:val="20"/>
              </w:rPr>
              <w:t> </w:t>
            </w:r>
            <w:r>
              <w:rPr>
                <w:sz w:val="20"/>
              </w:rPr>
              <w:t>notes about MUX_DIV[3:0], added a note about V_ANG_CNT under Table</w:t>
            </w:r>
            <w:r>
              <w:rPr>
                <w:spacing w:val="-2"/>
                <w:sz w:val="20"/>
              </w:rPr>
              <w:t> </w:t>
            </w:r>
            <w:r>
              <w:rPr>
                <w:sz w:val="20"/>
              </w:rPr>
              <w:t>82</w:t>
            </w:r>
          </w:p>
        </w:tc>
        <w:tc>
          <w:tcPr>
            <w:tcW w:w="1349"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
              <w:rPr>
                <w:b/>
                <w:sz w:val="23"/>
              </w:rPr>
            </w:pPr>
          </w:p>
          <w:p>
            <w:pPr>
              <w:pStyle w:val="TableParagraph"/>
              <w:ind w:left="559"/>
              <w:rPr>
                <w:sz w:val="20"/>
              </w:rPr>
            </w:pPr>
            <w:r>
              <w:rPr>
                <w:sz w:val="20"/>
              </w:rPr>
              <w:t>All</w:t>
            </w:r>
          </w:p>
        </w:tc>
      </w:tr>
    </w:tbl>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spacing w:before="213"/>
        <w:ind w:left="479" w:right="628" w:firstLine="0"/>
        <w:jc w:val="left"/>
        <w:rPr>
          <w:i/>
          <w:sz w:val="14"/>
        </w:rPr>
      </w:pPr>
      <w:r>
        <w:rPr>
          <w:i/>
          <w:color w:val="221E1F"/>
          <w:sz w:val="14"/>
        </w:rPr>
        <w:t>Maxim Integrated cannot assume responsibility for use of any circuitry other than circuitry entirely embodied in a Maxim Integrated product. No circuit </w:t>
      </w:r>
      <w:r>
        <w:rPr>
          <w:i/>
          <w:color w:val="221E1F"/>
          <w:sz w:val="14"/>
        </w:rPr>
        <w:t>patent licenses are implied. Maxim Integrated reserves the right to change the circuitry and specifications without notice at any time. The parametric values (min and max limits) shown in the Electrical Characteristics table are guaranteed. Other parametric values quoted in this data sheet are provided for guidance.</w:t>
      </w:r>
    </w:p>
    <w:p>
      <w:pPr>
        <w:spacing w:before="117"/>
        <w:ind w:left="480" w:right="0" w:firstLine="0"/>
        <w:jc w:val="left"/>
        <w:rPr>
          <w:b/>
          <w:i/>
          <w:sz w:val="16"/>
        </w:rPr>
      </w:pPr>
      <w:r>
        <w:rPr>
          <w:b/>
          <w:i/>
          <w:sz w:val="17"/>
        </w:rPr>
        <w:t>Maxim Integrated Products, </w:t>
      </w:r>
      <w:r>
        <w:rPr>
          <w:b/>
          <w:i/>
          <w:color w:val="221E1F"/>
          <w:sz w:val="16"/>
        </w:rPr>
        <w:t>160 Rio Robles, San Jose, CA 95134 USA 1-408-601-1000</w:t>
      </w:r>
    </w:p>
    <w:sectPr>
      <w:headerReference w:type="even" r:id="rId246"/>
      <w:footerReference w:type="even" r:id="rId247"/>
      <w:pgSz w:w="12240" w:h="15840"/>
      <w:pgMar w:header="727" w:footer="807" w:top="1160" w:bottom="1000" w:left="960" w:right="9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Tahoma">
    <w:altName w:val="Tahoma"/>
    <w:charset w:val="0"/>
    <w:family w:val="swiss"/>
    <w:pitch w:val="variable"/>
  </w:font>
  <w:font w:name="Arial">
    <w:altName w:val="Arial"/>
    <w:charset w:val="0"/>
    <w:family w:val="swiss"/>
    <w:pitch w:val="variable"/>
  </w:font>
  <w:font w:name="Cambria Math">
    <w:altName w:val="Cambria Math"/>
    <w:charset w:val="0"/>
    <w:family w:val="roman"/>
    <w:pitch w:val="variable"/>
  </w:font>
  <w:font w:name="Lucida Console">
    <w:altName w:val="Lucida Console"/>
    <w:charset w:val="0"/>
    <w:family w:val="modern"/>
    <w:pitch w:val="fixed"/>
  </w:font>
  <w:font w:name="Calibri">
    <w:altName w:val="Calibri"/>
    <w:charset w:val="0"/>
    <w:family w:val="swiss"/>
    <w:pitch w:val="variable"/>
  </w:font>
  <w:font w:name="Courier New">
    <w:altName w:val="Courier New"/>
    <w:charset w:val="0"/>
    <w:family w:val="modern"/>
    <w:pitch w:val="fixed"/>
  </w:font>
  <w:font w:name="Wingdings">
    <w:altName w:val="Wingdings"/>
    <w:charset w:val="2"/>
    <w:family w:val="auto"/>
    <w:pitch w:val="variable"/>
  </w:font>
  <w:font w:name="Trebuchet MS">
    <w:altName w:val="Trebuchet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7.039001pt;width:470.88pt;height:.481pt;mso-position-horizontal-relative:page;mso-position-vertical-relative:page;z-index:-38850560" filled="true" fillcolor="#000000" stroked="false">
          <v:fill type="solid"/>
          <w10:wrap type="none"/>
        </v:rect>
      </w:pict>
    </w:r>
    <w:r>
      <w:rPr/>
      <w:pict>
        <v:shape style="position:absolute;margin-left:69pt;margin-top:737.823486pt;width:17.05pt;height:13.15pt;mso-position-horizontal-relative:page;mso-position-vertical-relative:page;z-index:-38850048" type="#_x0000_t202" filled="false" stroked="false">
          <v:textbox inset="0,0,0,0">
            <w:txbxContent>
              <w:p>
                <w:pPr>
                  <w:pStyle w:val="BodyText"/>
                  <w:spacing w:before="12"/>
                  <w:ind w:left="60"/>
                </w:pPr>
                <w:r>
                  <w:rPr/>
                  <w:fldChar w:fldCharType="begin"/>
                </w:r>
                <w:r>
                  <w:rPr/>
                  <w:instrText> PAGE </w:instrText>
                </w:r>
                <w:r>
                  <w:rPr/>
                  <w:fldChar w:fldCharType="separate"/>
                </w:r>
                <w:r>
                  <w:rPr/>
                  <w:t>10</w:t>
                </w:r>
                <w:r>
                  <w:rPr/>
                  <w:fldChar w:fldCharType="end"/>
                </w:r>
              </w:p>
            </w:txbxContent>
          </v:textbox>
          <w10:wrap type="none"/>
        </v:shape>
      </w:pict>
    </w:r>
    <w:r>
      <w:rPr/>
      <w:pict>
        <v:shape style="position:absolute;margin-left:528.432922pt;margin-top:737.823486pt;width:12.4pt;height:13.15pt;mso-position-horizontal-relative:page;mso-position-vertical-relative:page;z-index:-38849536" type="#_x0000_t202" filled="false" stroked="false">
          <v:textbox inset="0,0,0,0">
            <w:txbxContent>
              <w:p>
                <w:pPr>
                  <w:pStyle w:val="BodyText"/>
                  <w:spacing w:before="12"/>
                  <w:ind w:left="20"/>
                </w:pPr>
                <w:r>
                  <w:rPr/>
                  <w:t>v2</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7.039001pt;width:470.88pt;height:.481pt;mso-position-horizontal-relative:page;mso-position-vertical-relative:page;z-index:-38830080" filled="true" fillcolor="#000000" stroked="false">
          <v:fill type="solid"/>
          <w10:wrap type="none"/>
        </v:rect>
      </w:pict>
    </w:r>
    <w:r>
      <w:rPr/>
      <w:pict>
        <v:shape style="position:absolute;margin-left:69pt;margin-top:737.823486pt;width:17.05pt;height:13.15pt;mso-position-horizontal-relative:page;mso-position-vertical-relative:page;z-index:-38829568" type="#_x0000_t202" filled="false" stroked="false">
          <v:textbox inset="0,0,0,0">
            <w:txbxContent>
              <w:p>
                <w:pPr>
                  <w:pStyle w:val="BodyText"/>
                  <w:spacing w:before="12"/>
                  <w:ind w:left="60"/>
                </w:pPr>
                <w:r>
                  <w:rPr/>
                  <w:fldChar w:fldCharType="begin"/>
                </w:r>
                <w:r>
                  <w:rPr/>
                  <w:instrText> PAGE </w:instrText>
                </w:r>
                <w:r>
                  <w:rPr/>
                  <w:fldChar w:fldCharType="separate"/>
                </w:r>
                <w:r>
                  <w:rPr/>
                  <w:t>48</w:t>
                </w:r>
                <w:r>
                  <w:rPr/>
                  <w:fldChar w:fldCharType="end"/>
                </w:r>
              </w:p>
            </w:txbxContent>
          </v:textbox>
          <w10:wrap type="none"/>
        </v:shape>
      </w:pict>
    </w:r>
    <w:r>
      <w:rPr/>
      <w:pict>
        <v:shape style="position:absolute;margin-left:528.432922pt;margin-top:737.823486pt;width:12.4pt;height:13.15pt;mso-position-horizontal-relative:page;mso-position-vertical-relative:page;z-index:-38829056" type="#_x0000_t202" filled="false" stroked="false">
          <v:textbox inset="0,0,0,0">
            <w:txbxContent>
              <w:p>
                <w:pPr>
                  <w:pStyle w:val="BodyText"/>
                  <w:spacing w:before="12"/>
                  <w:ind w:left="20"/>
                </w:pPr>
                <w:r>
                  <w:rPr/>
                  <w:t>v2</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7.039001pt;width:470.88pt;height:.481pt;mso-position-horizontal-relative:page;mso-position-vertical-relative:page;z-index:-38827008" filled="true" fillcolor="#000000" stroked="false">
          <v:fill type="solid"/>
          <w10:wrap type="none"/>
        </v:rect>
      </w:pict>
    </w:r>
    <w:r>
      <w:rPr/>
      <w:pict>
        <v:shape style="position:absolute;margin-left:69pt;margin-top:737.823486pt;width:17.05pt;height:13.15pt;mso-position-horizontal-relative:page;mso-position-vertical-relative:page;z-index:-38826496" type="#_x0000_t202" filled="false" stroked="false">
          <v:textbox inset="0,0,0,0">
            <w:txbxContent>
              <w:p>
                <w:pPr>
                  <w:pStyle w:val="BodyText"/>
                  <w:spacing w:before="12"/>
                  <w:ind w:left="60"/>
                </w:pPr>
                <w:r>
                  <w:rPr/>
                  <w:fldChar w:fldCharType="begin"/>
                </w:r>
                <w:r>
                  <w:rPr/>
                  <w:instrText> PAGE </w:instrText>
                </w:r>
                <w:r>
                  <w:rPr/>
                  <w:fldChar w:fldCharType="separate"/>
                </w:r>
                <w:r>
                  <w:rPr/>
                  <w:t>82</w:t>
                </w:r>
                <w:r>
                  <w:rPr/>
                  <w:fldChar w:fldCharType="end"/>
                </w:r>
              </w:p>
            </w:txbxContent>
          </v:textbox>
          <w10:wrap type="none"/>
        </v:shape>
      </w:pict>
    </w:r>
    <w:r>
      <w:rPr/>
      <w:pict>
        <v:shape style="position:absolute;margin-left:528.432922pt;margin-top:737.823486pt;width:12.4pt;height:13.15pt;mso-position-horizontal-relative:page;mso-position-vertical-relative:page;z-index:-38825984" type="#_x0000_t202" filled="false" stroked="false">
          <v:textbox inset="0,0,0,0">
            <w:txbxContent>
              <w:p>
                <w:pPr>
                  <w:pStyle w:val="BodyText"/>
                  <w:spacing w:before="12"/>
                  <w:ind w:left="20"/>
                </w:pPr>
                <w:r>
                  <w:rPr/>
                  <w:t>v2</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7.039001pt;width:470.88pt;height:.481pt;mso-position-horizontal-relative:page;mso-position-vertical-relative:page;z-index:-38825472" filled="true" fillcolor="#000000" stroked="false">
          <v:fill type="solid"/>
          <w10:wrap type="none"/>
        </v:rect>
      </w:pict>
    </w:r>
    <w:r>
      <w:rPr/>
      <w:pict>
        <v:shape style="position:absolute;margin-left:71pt;margin-top:737.823486pt;width:12.4pt;height:13.15pt;mso-position-horizontal-relative:page;mso-position-vertical-relative:page;z-index:-38824960" type="#_x0000_t202" filled="false" stroked="false">
          <v:textbox inset="0,0,0,0">
            <w:txbxContent>
              <w:p>
                <w:pPr>
                  <w:pStyle w:val="BodyText"/>
                  <w:spacing w:before="12"/>
                  <w:ind w:left="20"/>
                </w:pPr>
                <w:r>
                  <w:rPr/>
                  <w:t>v2</w:t>
                </w:r>
              </w:p>
            </w:txbxContent>
          </v:textbox>
          <w10:wrap type="none"/>
        </v:shape>
      </w:pict>
    </w:r>
    <w:r>
      <w:rPr/>
      <w:pict>
        <v:shape style="position:absolute;margin-left:525.835327pt;margin-top:737.823486pt;width:17.05pt;height:13.15pt;mso-position-horizontal-relative:page;mso-position-vertical-relative:page;z-index:-38824448" type="#_x0000_t202" filled="false" stroked="false">
          <v:textbox inset="0,0,0,0">
            <w:txbxContent>
              <w:p>
                <w:pPr>
                  <w:pStyle w:val="BodyText"/>
                  <w:spacing w:before="12"/>
                  <w:ind w:left="60"/>
                </w:pPr>
                <w:r>
                  <w:rPr/>
                  <w:fldChar w:fldCharType="begin"/>
                </w:r>
                <w:r>
                  <w:rPr/>
                  <w:instrText> PAGE </w:instrText>
                </w:r>
                <w:r>
                  <w:rPr/>
                  <w:fldChar w:fldCharType="separate"/>
                </w:r>
                <w:r>
                  <w:rPr/>
                  <w:t>83</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7.039001pt;width:470.88pt;height:.481pt;mso-position-horizontal-relative:page;mso-position-vertical-relative:page;z-index:-38821888" filled="true" fillcolor="#000000" stroked="false">
          <v:fill type="solid"/>
          <w10:wrap type="none"/>
        </v:rect>
      </w:pict>
    </w:r>
    <w:r>
      <w:rPr/>
      <w:pict>
        <v:shape style="position:absolute;margin-left:69pt;margin-top:737.823486pt;width:17.05pt;height:13.15pt;mso-position-horizontal-relative:page;mso-position-vertical-relative:page;z-index:-38821376" type="#_x0000_t202" filled="false" stroked="false">
          <v:textbox inset="0,0,0,0">
            <w:txbxContent>
              <w:p>
                <w:pPr>
                  <w:pStyle w:val="BodyText"/>
                  <w:spacing w:before="12"/>
                  <w:ind w:left="60"/>
                </w:pPr>
                <w:r>
                  <w:rPr/>
                  <w:fldChar w:fldCharType="begin"/>
                </w:r>
                <w:r>
                  <w:rPr/>
                  <w:instrText> PAGE </w:instrText>
                </w:r>
                <w:r>
                  <w:rPr/>
                  <w:fldChar w:fldCharType="separate"/>
                </w:r>
                <w:r>
                  <w:rPr/>
                  <w:t>84</w:t>
                </w:r>
                <w:r>
                  <w:rPr/>
                  <w:fldChar w:fldCharType="end"/>
                </w:r>
              </w:p>
            </w:txbxContent>
          </v:textbox>
          <w10:wrap type="none"/>
        </v:shape>
      </w:pict>
    </w:r>
    <w:r>
      <w:rPr/>
      <w:pict>
        <v:shape style="position:absolute;margin-left:528.432922pt;margin-top:737.823486pt;width:12.4pt;height:13.15pt;mso-position-horizontal-relative:page;mso-position-vertical-relative:page;z-index:-38820864" type="#_x0000_t202" filled="false" stroked="false">
          <v:textbox inset="0,0,0,0">
            <w:txbxContent>
              <w:p>
                <w:pPr>
                  <w:pStyle w:val="BodyText"/>
                  <w:spacing w:before="12"/>
                  <w:ind w:left="20"/>
                </w:pPr>
                <w:r>
                  <w:rPr/>
                  <w:t>v2</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7.039001pt;width:470.88pt;height:.481pt;mso-position-horizontal-relative:page;mso-position-vertical-relative:page;z-index:-38820352" filled="true" fillcolor="#000000" stroked="false">
          <v:fill type="solid"/>
          <w10:wrap type="none"/>
        </v:rect>
      </w:pict>
    </w:r>
    <w:r>
      <w:rPr/>
      <w:pict>
        <v:shape style="position:absolute;margin-left:71pt;margin-top:737.823486pt;width:12.4pt;height:13.15pt;mso-position-horizontal-relative:page;mso-position-vertical-relative:page;z-index:-38819840" type="#_x0000_t202" filled="false" stroked="false">
          <v:textbox inset="0,0,0,0">
            <w:txbxContent>
              <w:p>
                <w:pPr>
                  <w:pStyle w:val="BodyText"/>
                  <w:spacing w:before="12"/>
                  <w:ind w:left="20"/>
                </w:pPr>
                <w:r>
                  <w:rPr/>
                  <w:t>v2</w:t>
                </w:r>
              </w:p>
            </w:txbxContent>
          </v:textbox>
          <w10:wrap type="none"/>
        </v:shape>
      </w:pict>
    </w:r>
    <w:r>
      <w:rPr/>
      <w:pict>
        <v:shape style="position:absolute;margin-left:525.835327pt;margin-top:737.823486pt;width:17.05pt;height:13.15pt;mso-position-horizontal-relative:page;mso-position-vertical-relative:page;z-index:-38819328" type="#_x0000_t202" filled="false" stroked="false">
          <v:textbox inset="0,0,0,0">
            <w:txbxContent>
              <w:p>
                <w:pPr>
                  <w:pStyle w:val="BodyText"/>
                  <w:spacing w:before="12"/>
                  <w:ind w:left="60"/>
                </w:pPr>
                <w:r>
                  <w:rPr/>
                  <w:fldChar w:fldCharType="begin"/>
                </w:r>
                <w:r>
                  <w:rPr/>
                  <w:instrText> PAGE </w:instrText>
                </w:r>
                <w:r>
                  <w:rPr/>
                  <w:fldChar w:fldCharType="separate"/>
                </w:r>
                <w:r>
                  <w:rPr/>
                  <w:t>85</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557.039001pt;width:650.88pt;height:.481pt;mso-position-horizontal-relative:page;mso-position-vertical-relative:page;z-index:-38816768" filled="true" fillcolor="#000000" stroked="false">
          <v:fill type="solid"/>
          <w10:wrap type="none"/>
        </v:rect>
      </w:pict>
    </w:r>
    <w:r>
      <w:rPr/>
      <w:pict>
        <v:shape style="position:absolute;margin-left:69pt;margin-top:557.823486pt;width:22.6pt;height:13.15pt;mso-position-horizontal-relative:page;mso-position-vertical-relative:page;z-index:-38816256" type="#_x0000_t202" filled="false" stroked="false">
          <v:textbox inset="0,0,0,0">
            <w:txbxContent>
              <w:p>
                <w:pPr>
                  <w:pStyle w:val="BodyText"/>
                  <w:spacing w:before="12"/>
                  <w:ind w:left="60"/>
                </w:pPr>
                <w:r>
                  <w:rPr/>
                  <w:fldChar w:fldCharType="begin"/>
                </w:r>
                <w:r>
                  <w:rPr/>
                  <w:instrText> PAGE </w:instrText>
                </w:r>
                <w:r>
                  <w:rPr/>
                  <w:fldChar w:fldCharType="separate"/>
                </w:r>
                <w:r>
                  <w:rPr/>
                  <w:t>100</w:t>
                </w:r>
                <w:r>
                  <w:rPr/>
                  <w:fldChar w:fldCharType="end"/>
                </w:r>
              </w:p>
            </w:txbxContent>
          </v:textbox>
          <w10:wrap type="none"/>
        </v:shape>
      </w:pict>
    </w:r>
    <w:r>
      <w:rPr/>
      <w:pict>
        <v:shape style="position:absolute;margin-left:708.440002pt;margin-top:557.823486pt;width:12.4pt;height:13.15pt;mso-position-horizontal-relative:page;mso-position-vertical-relative:page;z-index:-38815744" type="#_x0000_t202" filled="false" stroked="false">
          <v:textbox inset="0,0,0,0">
            <w:txbxContent>
              <w:p>
                <w:pPr>
                  <w:pStyle w:val="BodyText"/>
                  <w:spacing w:before="12"/>
                  <w:ind w:left="20"/>
                </w:pPr>
                <w:r>
                  <w:rPr/>
                  <w:t>v2</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557.039001pt;width:650.88pt;height:.481pt;mso-position-horizontal-relative:page;mso-position-vertical-relative:page;z-index:-38815232" filled="true" fillcolor="#000000" stroked="false">
          <v:fill type="solid"/>
          <w10:wrap type="none"/>
        </v:rect>
      </w:pict>
    </w:r>
    <w:r>
      <w:rPr/>
      <w:pict>
        <v:shape style="position:absolute;margin-left:71pt;margin-top:557.823486pt;width:12.4pt;height:13.15pt;mso-position-horizontal-relative:page;mso-position-vertical-relative:page;z-index:-38814720" type="#_x0000_t202" filled="false" stroked="false">
          <v:textbox inset="0,0,0,0">
            <w:txbxContent>
              <w:p>
                <w:pPr>
                  <w:pStyle w:val="BodyText"/>
                  <w:spacing w:before="12"/>
                  <w:ind w:left="20"/>
                </w:pPr>
                <w:r>
                  <w:rPr/>
                  <w:t>v2</w:t>
                </w:r>
              </w:p>
            </w:txbxContent>
          </v:textbox>
          <w10:wrap type="none"/>
        </v:shape>
      </w:pict>
    </w:r>
    <w:r>
      <w:rPr/>
      <w:pict>
        <v:shape style="position:absolute;margin-left:700.314575pt;margin-top:557.823486pt;width:22.6pt;height:13.15pt;mso-position-horizontal-relative:page;mso-position-vertical-relative:page;z-index:-38814208" type="#_x0000_t202" filled="false" stroked="false">
          <v:textbox inset="0,0,0,0">
            <w:txbxContent>
              <w:p>
                <w:pPr>
                  <w:pStyle w:val="BodyText"/>
                  <w:spacing w:before="12"/>
                  <w:ind w:left="60"/>
                </w:pPr>
                <w:r>
                  <w:rPr/>
                  <w:fldChar w:fldCharType="begin"/>
                </w:r>
                <w:r>
                  <w:rPr/>
                  <w:instrText> PAGE </w:instrText>
                </w:r>
                <w:r>
                  <w:rPr/>
                  <w:fldChar w:fldCharType="separate"/>
                </w:r>
                <w:r>
                  <w:rPr/>
                  <w:t>101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7.039001pt;width:470.88pt;height:.481pt;mso-position-horizontal-relative:page;mso-position-vertical-relative:page;z-index:-38811648" filled="true" fillcolor="#000000" stroked="false">
          <v:fill type="solid"/>
          <w10:wrap type="none"/>
        </v:rect>
      </w:pict>
    </w:r>
    <w:r>
      <w:rPr/>
      <w:pict>
        <v:shape style="position:absolute;margin-left:69pt;margin-top:737.823486pt;width:22.6pt;height:13.15pt;mso-position-horizontal-relative:page;mso-position-vertical-relative:page;z-index:-38811136" type="#_x0000_t202" filled="false" stroked="false">
          <v:textbox inset="0,0,0,0">
            <w:txbxContent>
              <w:p>
                <w:pPr>
                  <w:pStyle w:val="BodyText"/>
                  <w:spacing w:before="12"/>
                  <w:ind w:left="60"/>
                </w:pPr>
                <w:r>
                  <w:rPr/>
                  <w:fldChar w:fldCharType="begin"/>
                </w:r>
                <w:r>
                  <w:rPr/>
                  <w:instrText> PAGE </w:instrText>
                </w:r>
                <w:r>
                  <w:rPr/>
                  <w:fldChar w:fldCharType="separate"/>
                </w:r>
                <w:r>
                  <w:rPr/>
                  <w:t>116</w:t>
                </w:r>
                <w:r>
                  <w:rPr/>
                  <w:fldChar w:fldCharType="end"/>
                </w:r>
              </w:p>
            </w:txbxContent>
          </v:textbox>
          <w10:wrap type="none"/>
        </v:shape>
      </w:pict>
    </w:r>
    <w:r>
      <w:rPr/>
      <w:pict>
        <v:shape style="position:absolute;margin-left:528.442871pt;margin-top:737.823486pt;width:12.4pt;height:13.15pt;mso-position-horizontal-relative:page;mso-position-vertical-relative:page;z-index:-38810624" type="#_x0000_t202" filled="false" stroked="false">
          <v:textbox inset="0,0,0,0">
            <w:txbxContent>
              <w:p>
                <w:pPr>
                  <w:pStyle w:val="BodyText"/>
                  <w:spacing w:before="12"/>
                  <w:ind w:left="20"/>
                </w:pPr>
                <w:r>
                  <w:rPr/>
                  <w:t>v2</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7.039001pt;width:470.88pt;height:.481pt;mso-position-horizontal-relative:page;mso-position-vertical-relative:page;z-index:-38810112" filled="true" fillcolor="#000000" stroked="false">
          <v:fill type="solid"/>
          <w10:wrap type="none"/>
        </v:rect>
      </w:pict>
    </w:r>
    <w:r>
      <w:rPr/>
      <w:pict>
        <v:shape style="position:absolute;margin-left:71pt;margin-top:737.823486pt;width:12.4pt;height:13.15pt;mso-position-horizontal-relative:page;mso-position-vertical-relative:page;z-index:-38809600" type="#_x0000_t202" filled="false" stroked="false">
          <v:textbox inset="0,0,0,0">
            <w:txbxContent>
              <w:p>
                <w:pPr>
                  <w:pStyle w:val="BodyText"/>
                  <w:spacing w:before="12"/>
                  <w:ind w:left="20"/>
                </w:pPr>
                <w:r>
                  <w:rPr/>
                  <w:t>v2</w:t>
                </w:r>
              </w:p>
            </w:txbxContent>
          </v:textbox>
          <w10:wrap type="none"/>
        </v:shape>
      </w:pict>
    </w:r>
    <w:r>
      <w:rPr/>
      <w:pict>
        <v:shape style="position:absolute;margin-left:520.317505pt;margin-top:737.823486pt;width:22.6pt;height:13.15pt;mso-position-horizontal-relative:page;mso-position-vertical-relative:page;z-index:-38809088" type="#_x0000_t202" filled="false" stroked="false">
          <v:textbox inset="0,0,0,0">
            <w:txbxContent>
              <w:p>
                <w:pPr>
                  <w:pStyle w:val="BodyText"/>
                  <w:spacing w:before="12"/>
                  <w:ind w:left="60"/>
                </w:pPr>
                <w:r>
                  <w:rPr/>
                  <w:fldChar w:fldCharType="begin"/>
                </w:r>
                <w:r>
                  <w:rPr/>
                  <w:instrText> PAGE </w:instrText>
                </w:r>
                <w:r>
                  <w:rPr/>
                  <w:fldChar w:fldCharType="separate"/>
                </w:r>
                <w:r>
                  <w:rPr/>
                  <w:t>117</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39.47937pt;width:118.5pt;height:11.3pt;mso-position-horizontal-relative:page;mso-position-vertical-relative:page;z-index:-38807552" type="#_x0000_t202" filled="false" stroked="false">
          <v:textbox inset="0,0,0,0">
            <w:txbxContent>
              <w:p>
                <w:pPr>
                  <w:spacing w:before="21"/>
                  <w:ind w:left="20" w:right="0" w:firstLine="0"/>
                  <w:jc w:val="left"/>
                  <w:rPr>
                    <w:sz w:val="15"/>
                  </w:rPr>
                </w:pPr>
                <w:r>
                  <w:rPr>
                    <w:rFonts w:ascii="Symbol" w:hAnsi="Symbol"/>
                    <w:sz w:val="15"/>
                  </w:rPr>
                  <w:t></w:t>
                </w:r>
                <w:r>
                  <w:rPr>
                    <w:rFonts w:ascii="Times New Roman" w:hAnsi="Times New Roman"/>
                    <w:sz w:val="15"/>
                  </w:rPr>
                  <w:t> </w:t>
                </w:r>
                <w:r>
                  <w:rPr>
                    <w:sz w:val="15"/>
                  </w:rPr>
                  <w:t>2013 Maxim Integrated Products</w:t>
                </w:r>
              </w:p>
            </w:txbxContent>
          </v:textbox>
          <w10:wrap type="none"/>
        </v:shape>
      </w:pict>
    </w:r>
    <w:r>
      <w:rPr/>
      <w:pict>
        <v:shape style="position:absolute;margin-left:204.800003pt;margin-top:740.236145pt;width:332.25pt;height:10.45pt;mso-position-horizontal-relative:page;mso-position-vertical-relative:page;z-index:-38807040" type="#_x0000_t202" filled="false" stroked="false">
          <v:textbox inset="0,0,0,0">
            <w:txbxContent>
              <w:p>
                <w:pPr>
                  <w:spacing w:before="16"/>
                  <w:ind w:left="20" w:right="0" w:firstLine="0"/>
                  <w:jc w:val="left"/>
                  <w:rPr>
                    <w:sz w:val="15"/>
                  </w:rPr>
                </w:pPr>
                <w:r>
                  <w:rPr>
                    <w:color w:val="221E1F"/>
                    <w:sz w:val="15"/>
                  </w:rPr>
                  <w:t>Maxim Integrated and the Maxim Integrated logo are trademarks of Maxim Integrated Products, Inc.</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7.039001pt;width:470.88pt;height:.481pt;mso-position-horizontal-relative:page;mso-position-vertical-relative:page;z-index:-38849024" filled="true" fillcolor="#000000" stroked="false">
          <v:fill type="solid"/>
          <w10:wrap type="none"/>
        </v:rect>
      </w:pict>
    </w:r>
    <w:r>
      <w:rPr/>
      <w:pict>
        <v:shape style="position:absolute;margin-left:71pt;margin-top:737.823486pt;width:12.4pt;height:13.15pt;mso-position-horizontal-relative:page;mso-position-vertical-relative:page;z-index:-38848512" type="#_x0000_t202" filled="false" stroked="false">
          <v:textbox inset="0,0,0,0">
            <w:txbxContent>
              <w:p>
                <w:pPr>
                  <w:pStyle w:val="BodyText"/>
                  <w:spacing w:before="12"/>
                  <w:ind w:left="20"/>
                </w:pPr>
                <w:r>
                  <w:rPr/>
                  <w:t>v2</w:t>
                </w:r>
              </w:p>
            </w:txbxContent>
          </v:textbox>
          <w10:wrap type="none"/>
        </v:shape>
      </w:pict>
    </w:r>
    <w:r>
      <w:rPr/>
      <w:pict>
        <v:shape style="position:absolute;margin-left:527.877136pt;margin-top:737.823486pt;width:17.2pt;height:13.15pt;mso-position-horizontal-relative:page;mso-position-vertical-relative:page;z-index:-38848000" type="#_x0000_t202" filled="false" stroked="false">
          <v:textbox inset="0,0,0,0">
            <w:txbxContent>
              <w:p>
                <w:pPr>
                  <w:pStyle w:val="BodyText"/>
                  <w:spacing w:before="12"/>
                  <w:ind w:left="60"/>
                </w:pPr>
                <w:r>
                  <w:rPr/>
                  <w:fldChar w:fldCharType="begin"/>
                </w:r>
                <w:r>
                  <w:rPr/>
                  <w:instrText> PAGE </w:instrText>
                </w:r>
                <w:r>
                  <w:rPr/>
                  <w:fldChar w:fldCharType="separate"/>
                </w:r>
                <w:r>
                  <w:rPr/>
                  <w:t>11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7.039001pt;width:470.88pt;height:.481pt;mso-position-horizontal-relative:page;mso-position-vertical-relative:page;z-index:-38844416" filled="true" fillcolor="#000000" stroked="false">
          <v:fill type="solid"/>
          <w10:wrap type="none"/>
        </v:rect>
      </w:pict>
    </w:r>
    <w:r>
      <w:rPr/>
      <w:pict>
        <v:shape style="position:absolute;margin-left:69pt;margin-top:737.823486pt;width:17.05pt;height:13.15pt;mso-position-horizontal-relative:page;mso-position-vertical-relative:page;z-index:-38843904" type="#_x0000_t202" filled="false" stroked="false">
          <v:textbox inset="0,0,0,0">
            <w:txbxContent>
              <w:p>
                <w:pPr>
                  <w:pStyle w:val="BodyText"/>
                  <w:spacing w:before="12"/>
                  <w:ind w:left="60"/>
                </w:pPr>
                <w:r>
                  <w:rPr/>
                  <w:fldChar w:fldCharType="begin"/>
                </w:r>
                <w:r>
                  <w:rPr/>
                  <w:instrText> PAGE </w:instrText>
                </w:r>
                <w:r>
                  <w:rPr/>
                  <w:fldChar w:fldCharType="separate"/>
                </w:r>
                <w:r>
                  <w:rPr/>
                  <w:t>22</w:t>
                </w:r>
                <w:r>
                  <w:rPr/>
                  <w:fldChar w:fldCharType="end"/>
                </w:r>
              </w:p>
            </w:txbxContent>
          </v:textbox>
          <w10:wrap type="none"/>
        </v:shape>
      </w:pict>
    </w:r>
    <w:r>
      <w:rPr/>
      <w:pict>
        <v:shape style="position:absolute;margin-left:528.432922pt;margin-top:737.823486pt;width:12.4pt;height:13.15pt;mso-position-horizontal-relative:page;mso-position-vertical-relative:page;z-index:-38843392" type="#_x0000_t202" filled="false" stroked="false">
          <v:textbox inset="0,0,0,0">
            <w:txbxContent>
              <w:p>
                <w:pPr>
                  <w:pStyle w:val="BodyText"/>
                  <w:spacing w:before="12"/>
                  <w:ind w:left="20"/>
                </w:pPr>
                <w:r>
                  <w:rPr/>
                  <w:t>v2</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7.039001pt;width:470.88pt;height:.481pt;mso-position-horizontal-relative:page;mso-position-vertical-relative:page;z-index:-38842880" filled="true" fillcolor="#000000" stroked="false">
          <v:fill type="solid"/>
          <w10:wrap type="none"/>
        </v:rect>
      </w:pict>
    </w:r>
    <w:r>
      <w:rPr/>
      <w:pict>
        <v:shape style="position:absolute;margin-left:71pt;margin-top:737.823486pt;width:12.4pt;height:13.15pt;mso-position-horizontal-relative:page;mso-position-vertical-relative:page;z-index:-38842368" type="#_x0000_t202" filled="false" stroked="false">
          <v:textbox inset="0,0,0,0">
            <w:txbxContent>
              <w:p>
                <w:pPr>
                  <w:pStyle w:val="BodyText"/>
                  <w:spacing w:before="12"/>
                  <w:ind w:left="20"/>
                </w:pPr>
                <w:r>
                  <w:rPr/>
                  <w:t>v2</w:t>
                </w:r>
              </w:p>
            </w:txbxContent>
          </v:textbox>
          <w10:wrap type="none"/>
        </v:shape>
      </w:pict>
    </w:r>
    <w:r>
      <w:rPr/>
      <w:pict>
        <v:shape style="position:absolute;margin-left:527.877136pt;margin-top:737.823486pt;width:17.05pt;height:13.15pt;mso-position-horizontal-relative:page;mso-position-vertical-relative:page;z-index:-38841856" type="#_x0000_t202" filled="false" stroked="false">
          <v:textbox inset="0,0,0,0">
            <w:txbxContent>
              <w:p>
                <w:pPr>
                  <w:pStyle w:val="BodyText"/>
                  <w:spacing w:before="12"/>
                  <w:ind w:left="60"/>
                </w:pPr>
                <w:r>
                  <w:rPr/>
                  <w:fldChar w:fldCharType="begin"/>
                </w:r>
                <w:r>
                  <w:rPr/>
                  <w:instrText> PAGE </w:instrText>
                </w:r>
                <w:r>
                  <w:rPr/>
                  <w:fldChar w:fldCharType="separate"/>
                </w:r>
                <w:r>
                  <w:rPr/>
                  <w:t>23</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7.039001pt;width:470.88pt;height:.481pt;mso-position-horizontal-relative:page;mso-position-vertical-relative:page;z-index:-38839296" filled="true" fillcolor="#000000" stroked="false">
          <v:fill type="solid"/>
          <w10:wrap type="none"/>
        </v:rect>
      </w:pict>
    </w:r>
    <w:r>
      <w:rPr/>
      <w:pict>
        <v:shape style="position:absolute;margin-left:71pt;margin-top:737.823486pt;width:12.4pt;height:13.15pt;mso-position-horizontal-relative:page;mso-position-vertical-relative:page;z-index:-38838784" type="#_x0000_t202" filled="false" stroked="false">
          <v:textbox inset="0,0,0,0">
            <w:txbxContent>
              <w:p>
                <w:pPr>
                  <w:pStyle w:val="BodyText"/>
                  <w:spacing w:before="12"/>
                  <w:ind w:left="20"/>
                </w:pPr>
                <w:r>
                  <w:rPr/>
                  <w:t>v2</w:t>
                </w:r>
              </w:p>
            </w:txbxContent>
          </v:textbox>
          <w10:wrap type="none"/>
        </v:shape>
      </w:pict>
    </w:r>
    <w:r>
      <w:rPr/>
      <w:pict>
        <v:shape style="position:absolute;margin-left:527.877136pt;margin-top:737.823486pt;width:17.05pt;height:13.15pt;mso-position-horizontal-relative:page;mso-position-vertical-relative:page;z-index:-38838272" type="#_x0000_t202" filled="false" stroked="false">
          <v:textbox inset="0,0,0,0">
            <w:txbxContent>
              <w:p>
                <w:pPr>
                  <w:pStyle w:val="BodyText"/>
                  <w:spacing w:before="12"/>
                  <w:ind w:left="60"/>
                </w:pPr>
                <w:r>
                  <w:rPr/>
                  <w:fldChar w:fldCharType="begin"/>
                </w:r>
                <w:r>
                  <w:rPr/>
                  <w:instrText> PAGE </w:instrText>
                </w:r>
                <w:r>
                  <w:rPr/>
                  <w:fldChar w:fldCharType="separate"/>
                </w:r>
                <w:r>
                  <w:rPr/>
                  <w:t>25</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7.039001pt;width:470.88pt;height:.481pt;mso-position-horizontal-relative:page;mso-position-vertical-relative:page;z-index:-38837760" filled="true" fillcolor="#000000" stroked="false">
          <v:fill type="solid"/>
          <w10:wrap type="none"/>
        </v:rect>
      </w:pict>
    </w:r>
    <w:r>
      <w:rPr/>
      <w:pict>
        <v:shape style="position:absolute;margin-left:69pt;margin-top:737.823486pt;width:17.05pt;height:13.15pt;mso-position-horizontal-relative:page;mso-position-vertical-relative:page;z-index:-38837248" type="#_x0000_t202" filled="false" stroked="false">
          <v:textbox inset="0,0,0,0">
            <w:txbxContent>
              <w:p>
                <w:pPr>
                  <w:pStyle w:val="BodyText"/>
                  <w:spacing w:before="12"/>
                  <w:ind w:left="60"/>
                </w:pPr>
                <w:r>
                  <w:rPr/>
                  <w:fldChar w:fldCharType="begin"/>
                </w:r>
                <w:r>
                  <w:rPr/>
                  <w:instrText> PAGE </w:instrText>
                </w:r>
                <w:r>
                  <w:rPr/>
                  <w:fldChar w:fldCharType="separate"/>
                </w:r>
                <w:r>
                  <w:rPr/>
                  <w:t>26</w:t>
                </w:r>
                <w:r>
                  <w:rPr/>
                  <w:fldChar w:fldCharType="end"/>
                </w:r>
              </w:p>
            </w:txbxContent>
          </v:textbox>
          <w10:wrap type="none"/>
        </v:shape>
      </w:pict>
    </w:r>
    <w:r>
      <w:rPr/>
      <w:pict>
        <v:shape style="position:absolute;margin-left:528.432922pt;margin-top:737.823486pt;width:12.4pt;height:13.15pt;mso-position-horizontal-relative:page;mso-position-vertical-relative:page;z-index:-38836736" type="#_x0000_t202" filled="false" stroked="false">
          <v:textbox inset="0,0,0,0">
            <w:txbxContent>
              <w:p>
                <w:pPr>
                  <w:pStyle w:val="BodyText"/>
                  <w:spacing w:before="12"/>
                  <w:ind w:left="20"/>
                </w:pPr>
                <w:r>
                  <w:rPr/>
                  <w:t>v2</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557.823486pt;width:14.15pt;height:13.15pt;mso-position-horizontal-relative:page;mso-position-vertical-relative:page;z-index:-38836224" type="#_x0000_t202" filled="false" stroked="false">
          <v:textbox inset="0,0,0,0">
            <w:txbxContent>
              <w:p>
                <w:pPr>
                  <w:pStyle w:val="BodyText"/>
                  <w:spacing w:before="12"/>
                  <w:ind w:left="20"/>
                </w:pPr>
                <w:r>
                  <w:rPr/>
                  <w:t>V2</w:t>
                </w:r>
              </w:p>
            </w:txbxContent>
          </v:textbox>
          <w10:wrap type="none"/>
        </v:shape>
      </w:pict>
    </w:r>
    <w:r>
      <w:rPr/>
      <w:pict>
        <v:shape style="position:absolute;margin-left:730.401794pt;margin-top:557.823486pt;width:13.05pt;height:13.15pt;mso-position-horizontal-relative:page;mso-position-vertical-relative:page;z-index:-38835712" type="#_x0000_t202" filled="false" stroked="false">
          <v:textbox inset="0,0,0,0">
            <w:txbxContent>
              <w:p>
                <w:pPr>
                  <w:pStyle w:val="BodyText"/>
                  <w:spacing w:before="12"/>
                  <w:ind w:left="20"/>
                </w:pPr>
                <w:r>
                  <w:rPr/>
                  <w:t>45</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7.039001pt;width:470.88pt;height:.481pt;mso-position-horizontal-relative:page;mso-position-vertical-relative:page;z-index:-38835200" filled="true" fillcolor="#000000" stroked="false">
          <v:fill type="solid"/>
          <w10:wrap type="none"/>
        </v:rect>
      </w:pict>
    </w:r>
    <w:r>
      <w:rPr/>
      <w:pict>
        <v:shape style="position:absolute;margin-left:69pt;margin-top:557.823486pt;width:17.05pt;height:13.15pt;mso-position-horizontal-relative:page;mso-position-vertical-relative:page;z-index:-38834688" type="#_x0000_t202" filled="false" stroked="false">
          <v:textbox inset="0,0,0,0">
            <w:txbxContent>
              <w:p>
                <w:pPr>
                  <w:pStyle w:val="BodyText"/>
                  <w:spacing w:before="12"/>
                  <w:ind w:left="60"/>
                </w:pPr>
                <w:r>
                  <w:rPr/>
                  <w:t>46</w:t>
                </w:r>
              </w:p>
            </w:txbxContent>
          </v:textbox>
          <w10:wrap type="none"/>
        </v:shape>
      </w:pict>
    </w:r>
    <w:r>
      <w:rPr/>
      <w:pict>
        <v:shape style="position:absolute;margin-left:528.432922pt;margin-top:557.823486pt;width:12.4pt;height:13.15pt;mso-position-horizontal-relative:page;mso-position-vertical-relative:page;z-index:-38834176" type="#_x0000_t202" filled="false" stroked="false">
          <v:textbox inset="0,0,0,0">
            <w:txbxContent>
              <w:p>
                <w:pPr>
                  <w:pStyle w:val="BodyText"/>
                  <w:spacing w:before="12"/>
                  <w:ind w:left="20"/>
                </w:pPr>
                <w:r>
                  <w:rPr/>
                  <w:t>v2</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737.039001pt;width:470.88pt;height:.481pt;mso-position-horizontal-relative:page;mso-position-vertical-relative:page;z-index:-38831616" filled="true" fillcolor="#000000" stroked="false">
          <v:fill type="solid"/>
          <w10:wrap type="none"/>
        </v:rect>
      </w:pict>
    </w:r>
    <w:r>
      <w:rPr/>
      <w:pict>
        <v:shape style="position:absolute;margin-left:71pt;margin-top:737.823486pt;width:12.4pt;height:13.15pt;mso-position-horizontal-relative:page;mso-position-vertical-relative:page;z-index:-38831104" type="#_x0000_t202" filled="false" stroked="false">
          <v:textbox inset="0,0,0,0">
            <w:txbxContent>
              <w:p>
                <w:pPr>
                  <w:pStyle w:val="BodyText"/>
                  <w:spacing w:before="12"/>
                  <w:ind w:left="20"/>
                </w:pPr>
                <w:r>
                  <w:rPr/>
                  <w:t>v2</w:t>
                </w:r>
              </w:p>
            </w:txbxContent>
          </v:textbox>
          <w10:wrap type="none"/>
        </v:shape>
      </w:pict>
    </w:r>
    <w:r>
      <w:rPr/>
      <w:pict>
        <v:shape style="position:absolute;margin-left:525.835327pt;margin-top:737.823486pt;width:17.05pt;height:13.15pt;mso-position-horizontal-relative:page;mso-position-vertical-relative:page;z-index:-38830592" type="#_x0000_t202" filled="false" stroked="false">
          <v:textbox inset="0,0,0,0">
            <w:txbxContent>
              <w:p>
                <w:pPr>
                  <w:pStyle w:val="BodyText"/>
                  <w:spacing w:before="12"/>
                  <w:ind w:left="60"/>
                </w:pPr>
                <w:r>
                  <w:rPr/>
                  <w:fldChar w:fldCharType="begin"/>
                </w:r>
                <w:r>
                  <w:rPr/>
                  <w:instrText> PAGE </w:instrText>
                </w:r>
                <w:r>
                  <w:rPr/>
                  <w:fldChar w:fldCharType="separate"/>
                </w:r>
                <w:r>
                  <w:rPr/>
                  <w:t>47</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48.48pt;width:470.88pt;height:.48pt;mso-position-horizontal-relative:page;mso-position-vertical-relative:page;z-index:-38852608" filled="true" fillcolor="#000000" stroked="false">
          <v:fill type="solid"/>
          <w10:wrap type="none"/>
        </v:rect>
      </w:pict>
    </w:r>
    <w:r>
      <w:rPr/>
      <w:pict>
        <v:shape style="position:absolute;margin-left:71pt;margin-top:35.343475pt;width:154.7pt;height:13.15pt;mso-position-horizontal-relative:page;mso-position-vertical-relative:page;z-index:-38852096" type="#_x0000_t202" filled="false" stroked="false">
          <v:textbox inset="0,0,0,0">
            <w:txbxContent>
              <w:p>
                <w:pPr>
                  <w:pStyle w:val="BodyText"/>
                  <w:spacing w:before="12"/>
                  <w:ind w:left="20"/>
                </w:pPr>
                <w:r>
                  <w:rPr/>
                  <w:t>71M6543F/71M6543G Data Sheet</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35.343475pt;width:154.7pt;height:13.15pt;mso-position-horizontal-relative:page;mso-position-vertical-relative:page;z-index:-38828544" type="#_x0000_t202" filled="false" stroked="false">
          <v:textbox inset="0,0,0,0">
            <w:txbxContent>
              <w:p>
                <w:pPr>
                  <w:pStyle w:val="BodyText"/>
                  <w:spacing w:before="12"/>
                  <w:ind w:left="20"/>
                </w:pPr>
                <w:r>
                  <w:rPr/>
                  <w:t>71M6543F/71M6543G Data Sheet</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48.48pt;width:470.88pt;height:.48pt;mso-position-horizontal-relative:page;mso-position-vertical-relative:page;z-index:-38828032" filled="true" fillcolor="#000000" stroked="false">
          <v:fill type="solid"/>
          <w10:wrap type="none"/>
        </v:rect>
      </w:pict>
    </w:r>
    <w:r>
      <w:rPr/>
      <w:pict>
        <v:shape style="position:absolute;margin-left:386.124451pt;margin-top:35.343475pt;width:154.7pt;height:13.15pt;mso-position-horizontal-relative:page;mso-position-vertical-relative:page;z-index:-38827520" type="#_x0000_t202" filled="false" stroked="false">
          <v:textbox inset="0,0,0,0">
            <w:txbxContent>
              <w:p>
                <w:pPr>
                  <w:pStyle w:val="BodyText"/>
                  <w:spacing w:before="12"/>
                  <w:ind w:left="20"/>
                </w:pPr>
                <w:r>
                  <w:rPr/>
                  <w:t>71M6543F/71M6543G Data Sheet</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48.48pt;width:470.88pt;height:.48pt;mso-position-horizontal-relative:page;mso-position-vertical-relative:page;z-index:-38823936" filled="true" fillcolor="#000000" stroked="false">
          <v:fill type="solid"/>
          <w10:wrap type="none"/>
        </v:rect>
      </w:pict>
    </w:r>
    <w:r>
      <w:rPr/>
      <w:pict>
        <v:shape style="position:absolute;margin-left:71pt;margin-top:35.343475pt;width:154.7pt;height:13.15pt;mso-position-horizontal-relative:page;mso-position-vertical-relative:page;z-index:-38823424" type="#_x0000_t202" filled="false" stroked="false">
          <v:textbox inset="0,0,0,0">
            <w:txbxContent>
              <w:p>
                <w:pPr>
                  <w:pStyle w:val="BodyText"/>
                  <w:spacing w:before="12"/>
                  <w:ind w:left="20"/>
                </w:pPr>
                <w:r>
                  <w:rPr/>
                  <w:t>71M6543F/71M6543G Data Sheet</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48.48pt;width:470.88pt;height:.48pt;mso-position-horizontal-relative:page;mso-position-vertical-relative:page;z-index:-38822912" filled="true" fillcolor="#000000" stroked="false">
          <v:fill type="solid"/>
          <w10:wrap type="none"/>
        </v:rect>
      </w:pict>
    </w:r>
    <w:r>
      <w:rPr/>
      <w:pict>
        <v:shape style="position:absolute;margin-left:386.124451pt;margin-top:35.343475pt;width:154.7pt;height:13.15pt;mso-position-horizontal-relative:page;mso-position-vertical-relative:page;z-index:-38822400" type="#_x0000_t202" filled="false" stroked="false">
          <v:textbox inset="0,0,0,0">
            <w:txbxContent>
              <w:p>
                <w:pPr>
                  <w:pStyle w:val="BodyText"/>
                  <w:spacing w:before="12"/>
                  <w:ind w:left="20"/>
                </w:pPr>
                <w:r>
                  <w:rPr/>
                  <w:t>71M6543F/71M6543G Data Sheet</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48.48pt;width:650.88pt;height:.48pt;mso-position-horizontal-relative:page;mso-position-vertical-relative:page;z-index:-38818816" filled="true" fillcolor="#000000" stroked="false">
          <v:fill type="solid"/>
          <w10:wrap type="none"/>
        </v:rect>
      </w:pict>
    </w:r>
    <w:r>
      <w:rPr/>
      <w:pict>
        <v:shape style="position:absolute;margin-left:71pt;margin-top:35.343475pt;width:154.7pt;height:13.15pt;mso-position-horizontal-relative:page;mso-position-vertical-relative:page;z-index:-38818304" type="#_x0000_t202" filled="false" stroked="false">
          <v:textbox inset="0,0,0,0">
            <w:txbxContent>
              <w:p>
                <w:pPr>
                  <w:pStyle w:val="BodyText"/>
                  <w:spacing w:before="12"/>
                  <w:ind w:left="20"/>
                </w:pPr>
                <w:r>
                  <w:rPr/>
                  <w:t>71M6543F/71M6543G Data Sheet</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48.48pt;width:650.88pt;height:.48pt;mso-position-horizontal-relative:page;mso-position-vertical-relative:page;z-index:-38817792" filled="true" fillcolor="#000000" stroked="false">
          <v:fill type="solid"/>
          <w10:wrap type="none"/>
        </v:rect>
      </w:pict>
    </w:r>
    <w:r>
      <w:rPr/>
      <w:pict>
        <v:shape style="position:absolute;margin-left:566.121582pt;margin-top:35.343475pt;width:154.7pt;height:13.15pt;mso-position-horizontal-relative:page;mso-position-vertical-relative:page;z-index:-38817280" type="#_x0000_t202" filled="false" stroked="false">
          <v:textbox inset="0,0,0,0">
            <w:txbxContent>
              <w:p>
                <w:pPr>
                  <w:pStyle w:val="BodyText"/>
                  <w:spacing w:before="12"/>
                  <w:ind w:left="20"/>
                </w:pPr>
                <w:r>
                  <w:rPr/>
                  <w:t>71M6543F/71M6543G Data Sheet</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48.48pt;width:470.88pt;height:.48pt;mso-position-horizontal-relative:page;mso-position-vertical-relative:page;z-index:-38813696" filled="true" fillcolor="#000000" stroked="false">
          <v:fill type="solid"/>
          <w10:wrap type="none"/>
        </v:rect>
      </w:pict>
    </w:r>
    <w:r>
      <w:rPr/>
      <w:pict>
        <v:shape style="position:absolute;margin-left:71pt;margin-top:35.343475pt;width:154.7pt;height:13.15pt;mso-position-horizontal-relative:page;mso-position-vertical-relative:page;z-index:-38813184" type="#_x0000_t202" filled="false" stroked="false">
          <v:textbox inset="0,0,0,0">
            <w:txbxContent>
              <w:p>
                <w:pPr>
                  <w:pStyle w:val="BodyText"/>
                  <w:spacing w:before="12"/>
                  <w:ind w:left="20"/>
                </w:pPr>
                <w:r>
                  <w:rPr/>
                  <w:t>71M6543F/71M6543G Data Sheet</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48.48pt;width:470.88pt;height:.48pt;mso-position-horizontal-relative:page;mso-position-vertical-relative:page;z-index:-38812672" filled="true" fillcolor="#000000" stroked="false">
          <v:fill type="solid"/>
          <w10:wrap type="none"/>
        </v:rect>
      </w:pict>
    </w:r>
    <w:r>
      <w:rPr/>
      <w:pict>
        <v:shape style="position:absolute;margin-left:386.124451pt;margin-top:35.343475pt;width:154.7pt;height:13.15pt;mso-position-horizontal-relative:page;mso-position-vertical-relative:page;z-index:-38812160" type="#_x0000_t202" filled="false" stroked="false">
          <v:textbox inset="0,0,0,0">
            <w:txbxContent>
              <w:p>
                <w:pPr>
                  <w:pStyle w:val="BodyText"/>
                  <w:spacing w:before="12"/>
                  <w:ind w:left="20"/>
                </w:pPr>
                <w:r>
                  <w:rPr/>
                  <w:t>71M6543F/71M6543G Data Sheet</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48.48pt;width:470.88pt;height:.48pt;mso-position-horizontal-relative:page;mso-position-vertical-relative:page;z-index:-38808576" filled="true" fillcolor="#000000" stroked="false">
          <v:fill type="solid"/>
          <w10:wrap type="none"/>
        </v:rect>
      </w:pict>
    </w:r>
    <w:r>
      <w:rPr/>
      <w:pict>
        <v:shape style="position:absolute;margin-left:71pt;margin-top:35.343475pt;width:154.7pt;height:13.15pt;mso-position-horizontal-relative:page;mso-position-vertical-relative:page;z-index:-38808064" type="#_x0000_t202" filled="false" stroked="false">
          <v:textbox inset="0,0,0,0">
            <w:txbxContent>
              <w:p>
                <w:pPr>
                  <w:pStyle w:val="BodyText"/>
                  <w:spacing w:before="12"/>
                  <w:ind w:left="20"/>
                </w:pPr>
                <w:r>
                  <w:rPr/>
                  <w:t>71M6543F/71M6543G Data Sheet</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48.48pt;width:470.88pt;height:.48pt;mso-position-horizontal-relative:page;mso-position-vertical-relative:page;z-index:-38851584" filled="true" fillcolor="#000000" stroked="false">
          <v:fill type="solid"/>
          <w10:wrap type="none"/>
        </v:rect>
      </w:pict>
    </w:r>
    <w:r>
      <w:rPr/>
      <w:pict>
        <v:shape style="position:absolute;margin-left:386.124451pt;margin-top:35.343475pt;width:154.7pt;height:13.15pt;mso-position-horizontal-relative:page;mso-position-vertical-relative:page;z-index:-38851072" type="#_x0000_t202" filled="false" stroked="false">
          <v:textbox inset="0,0,0,0">
            <w:txbxContent>
              <w:p>
                <w:pPr>
                  <w:pStyle w:val="BodyText"/>
                  <w:spacing w:before="12"/>
                  <w:ind w:left="20"/>
                </w:pPr>
                <w:r>
                  <w:rPr/>
                  <w:t>71M6543F/71M6543G Data Sheet</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48.48pt;width:470.88pt;height:.48pt;mso-position-horizontal-relative:page;mso-position-vertical-relative:page;z-index:-38847488" filled="true" fillcolor="#000000" stroked="false">
          <v:fill type="solid"/>
          <w10:wrap type="none"/>
        </v:rect>
      </w:pict>
    </w:r>
    <w:r>
      <w:rPr/>
      <w:pict>
        <v:shape style="position:absolute;margin-left:71pt;margin-top:35.343475pt;width:154.75pt;height:13.15pt;mso-position-horizontal-relative:page;mso-position-vertical-relative:page;z-index:-38846976" type="#_x0000_t202" filled="false" stroked="false">
          <v:textbox inset="0,0,0,0">
            <w:txbxContent>
              <w:p>
                <w:pPr>
                  <w:pStyle w:val="BodyText"/>
                  <w:spacing w:before="12"/>
                  <w:ind w:left="20"/>
                </w:pPr>
                <w:r>
                  <w:rPr/>
                  <w:t>71M6543F/71M6543G Data Sheet</w:t>
                </w:r>
              </w:p>
            </w:txbxContent>
          </v:textbox>
          <w10:wrap type="none"/>
        </v:shape>
      </w:pict>
    </w:r>
    <w:r>
      <w:rPr/>
      <w:pict>
        <v:shape style="position:absolute;margin-left:533.472656pt;margin-top:35.343475pt;width:7.55pt;height:13.15pt;mso-position-horizontal-relative:page;mso-position-vertical-relative:page;z-index:-38846464" type="#_x0000_t202" filled="false" stroked="false">
          <v:textbox inset="0,0,0,0">
            <w:txbxContent>
              <w:p>
                <w:pPr>
                  <w:pStyle w:val="BodyText"/>
                  <w:spacing w:before="12"/>
                  <w:ind w:left="20"/>
                </w:pPr>
                <w:r>
                  <w:rPr>
                    <w:w w:val="99"/>
                  </w:rPr>
                  <w:t>8</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48.48pt;width:470.88pt;height:.48pt;mso-position-horizontal-relative:page;mso-position-vertical-relative:page;z-index:-38845952" filled="true" fillcolor="#000000" stroked="false">
          <v:fill type="solid"/>
          <w10:wrap type="none"/>
        </v:rect>
      </w:pict>
    </w:r>
    <w:r>
      <w:rPr/>
      <w:pict>
        <v:shape style="position:absolute;margin-left:71pt;margin-top:35.343475pt;width:7.55pt;height:13.15pt;mso-position-horizontal-relative:page;mso-position-vertical-relative:page;z-index:-38845440" type="#_x0000_t202" filled="false" stroked="false">
          <v:textbox inset="0,0,0,0">
            <w:txbxContent>
              <w:p>
                <w:pPr>
                  <w:pStyle w:val="BodyText"/>
                  <w:spacing w:before="12"/>
                  <w:ind w:left="20"/>
                </w:pPr>
                <w:r>
                  <w:rPr>
                    <w:w w:val="99"/>
                  </w:rPr>
                  <w:t>8</w:t>
                </w:r>
              </w:p>
            </w:txbxContent>
          </v:textbox>
          <w10:wrap type="none"/>
        </v:shape>
      </w:pict>
    </w:r>
    <w:r>
      <w:rPr/>
      <w:pict>
        <v:shape style="position:absolute;margin-left:386.114471pt;margin-top:35.343475pt;width:154.7pt;height:13.15pt;mso-position-horizontal-relative:page;mso-position-vertical-relative:page;z-index:-38844928" type="#_x0000_t202" filled="false" stroked="false">
          <v:textbox inset="0,0,0,0">
            <w:txbxContent>
              <w:p>
                <w:pPr>
                  <w:pStyle w:val="BodyText"/>
                  <w:spacing w:before="12"/>
                  <w:ind w:left="20"/>
                </w:pPr>
                <w:r>
                  <w:rPr/>
                  <w:t>71M6543F/71M6543G Data Sheet</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48.48pt;width:470.88pt;height:.48pt;mso-position-horizontal-relative:page;mso-position-vertical-relative:page;z-index:-38841344" filled="true" fillcolor="#000000" stroked="false">
          <v:fill type="solid"/>
          <w10:wrap type="none"/>
        </v:rect>
      </w:pict>
    </w:r>
    <w:r>
      <w:rPr/>
      <w:pict>
        <v:shape style="position:absolute;margin-left:386.124451pt;margin-top:35.343475pt;width:154.7pt;height:13.15pt;mso-position-horizontal-relative:page;mso-position-vertical-relative:page;z-index:-38840832" type="#_x0000_t202" filled="false" stroked="false">
          <v:textbox inset="0,0,0,0">
            <w:txbxContent>
              <w:p>
                <w:pPr>
                  <w:pStyle w:val="BodyText"/>
                  <w:spacing w:before="12"/>
                  <w:ind w:left="20"/>
                </w:pPr>
                <w:r>
                  <w:rPr/>
                  <w:t>71M6543F/71M6543G Data Sheet</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48.48pt;width:470.88pt;height:.48pt;mso-position-horizontal-relative:page;mso-position-vertical-relative:page;z-index:-38840320" filled="true" fillcolor="#000000" stroked="false">
          <v:fill type="solid"/>
          <w10:wrap type="none"/>
        </v:rect>
      </w:pict>
    </w:r>
    <w:r>
      <w:rPr/>
      <w:pict>
        <v:shape style="position:absolute;margin-left:71pt;margin-top:35.343475pt;width:154.7pt;height:13.15pt;mso-position-horizontal-relative:page;mso-position-vertical-relative:page;z-index:-38839808" type="#_x0000_t202" filled="false" stroked="false">
          <v:textbox inset="0,0,0,0">
            <w:txbxContent>
              <w:p>
                <w:pPr>
                  <w:pStyle w:val="BodyText"/>
                  <w:spacing w:before="12"/>
                  <w:ind w:left="20"/>
                </w:pPr>
                <w:r>
                  <w:rPr/>
                  <w:t>71M6543F/71M6543G Data Sheet</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48.48pt;width:470.88pt;height:.48pt;mso-position-horizontal-relative:page;mso-position-vertical-relative:page;z-index:-38833664" filled="true" fillcolor="#000000" stroked="false">
          <v:fill type="solid"/>
          <w10:wrap type="none"/>
        </v:rect>
      </w:pict>
    </w:r>
    <w:r>
      <w:rPr/>
      <w:pict>
        <v:shape style="position:absolute;margin-left:71pt;margin-top:35.343475pt;width:154.7pt;height:13.15pt;mso-position-horizontal-relative:page;mso-position-vertical-relative:page;z-index:-38833152" type="#_x0000_t202" filled="false" stroked="false">
          <v:textbox inset="0,0,0,0">
            <w:txbxContent>
              <w:p>
                <w:pPr>
                  <w:pStyle w:val="BodyText"/>
                  <w:spacing w:before="12"/>
                  <w:ind w:left="20"/>
                </w:pPr>
                <w:r>
                  <w:rPr/>
                  <w:t>71M6543F/71M6543G Data Sheet</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48.48pt;width:470.88pt;height:.48pt;mso-position-horizontal-relative:page;mso-position-vertical-relative:page;z-index:-38832640" filled="true" fillcolor="#000000" stroked="false">
          <v:fill type="solid"/>
          <w10:wrap type="none"/>
        </v:rect>
      </w:pict>
    </w:r>
    <w:r>
      <w:rPr/>
      <w:pict>
        <v:shape style="position:absolute;margin-left:386.124451pt;margin-top:35.343475pt;width:154.7pt;height:13.15pt;mso-position-horizontal-relative:page;mso-position-vertical-relative:page;z-index:-38832128" type="#_x0000_t202" filled="false" stroked="false">
          <v:textbox inset="0,0,0,0">
            <w:txbxContent>
              <w:p>
                <w:pPr>
                  <w:pStyle w:val="BodyText"/>
                  <w:spacing w:before="12"/>
                  <w:ind w:left="20"/>
                </w:pPr>
                <w:r>
                  <w:rPr/>
                  <w:t>71M6543F/71M6543G Data Sheet</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2">
    <w:multiLevelType w:val="hybridMultilevel"/>
    <w:lvl w:ilvl="0">
      <w:start w:val="7"/>
      <w:numFmt w:val="decimal"/>
      <w:lvlText w:val="%1"/>
      <w:lvlJc w:val="left"/>
      <w:pPr>
        <w:ind w:left="1199" w:hanging="720"/>
        <w:jc w:val="left"/>
      </w:pPr>
      <w:rPr>
        <w:rFonts w:hint="default" w:ascii="Arial" w:hAnsi="Arial" w:eastAsia="Arial" w:cs="Arial"/>
        <w:b/>
        <w:bCs/>
        <w:w w:val="100"/>
        <w:sz w:val="28"/>
        <w:szCs w:val="28"/>
      </w:rPr>
    </w:lvl>
    <w:lvl w:ilvl="1">
      <w:start w:val="1"/>
      <w:numFmt w:val="decimal"/>
      <w:lvlText w:val="%1.%2"/>
      <w:lvlJc w:val="left"/>
      <w:pPr>
        <w:ind w:left="1200" w:hanging="720"/>
        <w:jc w:val="left"/>
      </w:pPr>
      <w:rPr>
        <w:rFonts w:hint="default" w:ascii="Arial" w:hAnsi="Arial" w:eastAsia="Arial" w:cs="Arial"/>
        <w:b/>
        <w:bCs/>
        <w:w w:val="100"/>
        <w:sz w:val="24"/>
        <w:szCs w:val="24"/>
      </w:rPr>
    </w:lvl>
    <w:lvl w:ilvl="2">
      <w:start w:val="0"/>
      <w:numFmt w:val="bullet"/>
      <w:lvlText w:val="•"/>
      <w:lvlJc w:val="left"/>
      <w:pPr>
        <w:ind w:left="3028" w:hanging="720"/>
      </w:pPr>
      <w:rPr>
        <w:rFonts w:hint="default"/>
      </w:rPr>
    </w:lvl>
    <w:lvl w:ilvl="3">
      <w:start w:val="0"/>
      <w:numFmt w:val="bullet"/>
      <w:lvlText w:val="•"/>
      <w:lvlJc w:val="left"/>
      <w:pPr>
        <w:ind w:left="3942" w:hanging="720"/>
      </w:pPr>
      <w:rPr>
        <w:rFonts w:hint="default"/>
      </w:rPr>
    </w:lvl>
    <w:lvl w:ilvl="4">
      <w:start w:val="0"/>
      <w:numFmt w:val="bullet"/>
      <w:lvlText w:val="•"/>
      <w:lvlJc w:val="left"/>
      <w:pPr>
        <w:ind w:left="4856" w:hanging="720"/>
      </w:pPr>
      <w:rPr>
        <w:rFonts w:hint="default"/>
      </w:rPr>
    </w:lvl>
    <w:lvl w:ilvl="5">
      <w:start w:val="0"/>
      <w:numFmt w:val="bullet"/>
      <w:lvlText w:val="•"/>
      <w:lvlJc w:val="left"/>
      <w:pPr>
        <w:ind w:left="5770" w:hanging="720"/>
      </w:pPr>
      <w:rPr>
        <w:rFonts w:hint="default"/>
      </w:rPr>
    </w:lvl>
    <w:lvl w:ilvl="6">
      <w:start w:val="0"/>
      <w:numFmt w:val="bullet"/>
      <w:lvlText w:val="•"/>
      <w:lvlJc w:val="left"/>
      <w:pPr>
        <w:ind w:left="6684" w:hanging="720"/>
      </w:pPr>
      <w:rPr>
        <w:rFonts w:hint="default"/>
      </w:rPr>
    </w:lvl>
    <w:lvl w:ilvl="7">
      <w:start w:val="0"/>
      <w:numFmt w:val="bullet"/>
      <w:lvlText w:val="•"/>
      <w:lvlJc w:val="left"/>
      <w:pPr>
        <w:ind w:left="7598" w:hanging="720"/>
      </w:pPr>
      <w:rPr>
        <w:rFonts w:hint="default"/>
      </w:rPr>
    </w:lvl>
    <w:lvl w:ilvl="8">
      <w:start w:val="0"/>
      <w:numFmt w:val="bullet"/>
      <w:lvlText w:val="•"/>
      <w:lvlJc w:val="left"/>
      <w:pPr>
        <w:ind w:left="8512" w:hanging="720"/>
      </w:pPr>
      <w:rPr>
        <w:rFonts w:hint="default"/>
      </w:rPr>
    </w:lvl>
  </w:abstractNum>
  <w:abstractNum w:abstractNumId="18">
    <w:multiLevelType w:val="hybridMultilevel"/>
    <w:lvl w:ilvl="0">
      <w:start w:val="0"/>
      <w:numFmt w:val="bullet"/>
      <w:lvlText w:val="o"/>
      <w:lvlJc w:val="left"/>
      <w:pPr>
        <w:ind w:left="1319" w:hanging="360"/>
      </w:pPr>
      <w:rPr>
        <w:rFonts w:hint="default" w:ascii="Courier New" w:hAnsi="Courier New" w:eastAsia="Courier New" w:cs="Courier New"/>
        <w:w w:val="99"/>
        <w:sz w:val="20"/>
        <w:szCs w:val="20"/>
      </w:rPr>
    </w:lvl>
    <w:lvl w:ilvl="1">
      <w:start w:val="0"/>
      <w:numFmt w:val="bullet"/>
      <w:lvlText w:val="•"/>
      <w:lvlJc w:val="left"/>
      <w:pPr>
        <w:ind w:left="2186" w:hanging="360"/>
      </w:pPr>
      <w:rPr>
        <w:rFonts w:hint="default"/>
      </w:rPr>
    </w:lvl>
    <w:lvl w:ilvl="2">
      <w:start w:val="0"/>
      <w:numFmt w:val="bullet"/>
      <w:lvlText w:val="•"/>
      <w:lvlJc w:val="left"/>
      <w:pPr>
        <w:ind w:left="3052" w:hanging="360"/>
      </w:pPr>
      <w:rPr>
        <w:rFonts w:hint="default"/>
      </w:rPr>
    </w:lvl>
    <w:lvl w:ilvl="3">
      <w:start w:val="0"/>
      <w:numFmt w:val="bullet"/>
      <w:lvlText w:val="•"/>
      <w:lvlJc w:val="left"/>
      <w:pPr>
        <w:ind w:left="3918" w:hanging="360"/>
      </w:pPr>
      <w:rPr>
        <w:rFonts w:hint="default"/>
      </w:rPr>
    </w:lvl>
    <w:lvl w:ilvl="4">
      <w:start w:val="0"/>
      <w:numFmt w:val="bullet"/>
      <w:lvlText w:val="•"/>
      <w:lvlJc w:val="left"/>
      <w:pPr>
        <w:ind w:left="4784" w:hanging="360"/>
      </w:pPr>
      <w:rPr>
        <w:rFonts w:hint="default"/>
      </w:rPr>
    </w:lvl>
    <w:lvl w:ilvl="5">
      <w:start w:val="0"/>
      <w:numFmt w:val="bullet"/>
      <w:lvlText w:val="•"/>
      <w:lvlJc w:val="left"/>
      <w:pPr>
        <w:ind w:left="5650" w:hanging="360"/>
      </w:pPr>
      <w:rPr>
        <w:rFonts w:hint="default"/>
      </w:rPr>
    </w:lvl>
    <w:lvl w:ilvl="6">
      <w:start w:val="0"/>
      <w:numFmt w:val="bullet"/>
      <w:lvlText w:val="•"/>
      <w:lvlJc w:val="left"/>
      <w:pPr>
        <w:ind w:left="6516" w:hanging="360"/>
      </w:pPr>
      <w:rPr>
        <w:rFonts w:hint="default"/>
      </w:rPr>
    </w:lvl>
    <w:lvl w:ilvl="7">
      <w:start w:val="0"/>
      <w:numFmt w:val="bullet"/>
      <w:lvlText w:val="•"/>
      <w:lvlJc w:val="left"/>
      <w:pPr>
        <w:ind w:left="7382" w:hanging="360"/>
      </w:pPr>
      <w:rPr>
        <w:rFonts w:hint="default"/>
      </w:rPr>
    </w:lvl>
    <w:lvl w:ilvl="8">
      <w:start w:val="0"/>
      <w:numFmt w:val="bullet"/>
      <w:lvlText w:val="•"/>
      <w:lvlJc w:val="left"/>
      <w:pPr>
        <w:ind w:left="8248" w:hanging="360"/>
      </w:pPr>
      <w:rPr>
        <w:rFonts w:hint="default"/>
      </w:rPr>
    </w:lvl>
  </w:abstractNum>
  <w:abstractNum w:abstractNumId="17">
    <w:multiLevelType w:val="hybridMultilevel"/>
    <w:lvl w:ilvl="0">
      <w:start w:val="0"/>
      <w:numFmt w:val="bullet"/>
      <w:lvlText w:val="o"/>
      <w:lvlJc w:val="left"/>
      <w:pPr>
        <w:ind w:left="1320" w:hanging="360"/>
      </w:pPr>
      <w:rPr>
        <w:rFonts w:hint="default" w:ascii="Courier New" w:hAnsi="Courier New" w:eastAsia="Courier New" w:cs="Courier New"/>
        <w:w w:val="99"/>
        <w:sz w:val="20"/>
        <w:szCs w:val="20"/>
      </w:rPr>
    </w:lvl>
    <w:lvl w:ilvl="1">
      <w:start w:val="0"/>
      <w:numFmt w:val="bullet"/>
      <w:lvlText w:val="•"/>
      <w:lvlJc w:val="left"/>
      <w:pPr>
        <w:ind w:left="2186" w:hanging="360"/>
      </w:pPr>
      <w:rPr>
        <w:rFonts w:hint="default"/>
      </w:rPr>
    </w:lvl>
    <w:lvl w:ilvl="2">
      <w:start w:val="0"/>
      <w:numFmt w:val="bullet"/>
      <w:lvlText w:val="•"/>
      <w:lvlJc w:val="left"/>
      <w:pPr>
        <w:ind w:left="3052" w:hanging="360"/>
      </w:pPr>
      <w:rPr>
        <w:rFonts w:hint="default"/>
      </w:rPr>
    </w:lvl>
    <w:lvl w:ilvl="3">
      <w:start w:val="0"/>
      <w:numFmt w:val="bullet"/>
      <w:lvlText w:val="•"/>
      <w:lvlJc w:val="left"/>
      <w:pPr>
        <w:ind w:left="3918" w:hanging="360"/>
      </w:pPr>
      <w:rPr>
        <w:rFonts w:hint="default"/>
      </w:rPr>
    </w:lvl>
    <w:lvl w:ilvl="4">
      <w:start w:val="0"/>
      <w:numFmt w:val="bullet"/>
      <w:lvlText w:val="•"/>
      <w:lvlJc w:val="left"/>
      <w:pPr>
        <w:ind w:left="4784" w:hanging="360"/>
      </w:pPr>
      <w:rPr>
        <w:rFonts w:hint="default"/>
      </w:rPr>
    </w:lvl>
    <w:lvl w:ilvl="5">
      <w:start w:val="0"/>
      <w:numFmt w:val="bullet"/>
      <w:lvlText w:val="•"/>
      <w:lvlJc w:val="left"/>
      <w:pPr>
        <w:ind w:left="5650" w:hanging="360"/>
      </w:pPr>
      <w:rPr>
        <w:rFonts w:hint="default"/>
      </w:rPr>
    </w:lvl>
    <w:lvl w:ilvl="6">
      <w:start w:val="0"/>
      <w:numFmt w:val="bullet"/>
      <w:lvlText w:val="•"/>
      <w:lvlJc w:val="left"/>
      <w:pPr>
        <w:ind w:left="6516" w:hanging="360"/>
      </w:pPr>
      <w:rPr>
        <w:rFonts w:hint="default"/>
      </w:rPr>
    </w:lvl>
    <w:lvl w:ilvl="7">
      <w:start w:val="0"/>
      <w:numFmt w:val="bullet"/>
      <w:lvlText w:val="•"/>
      <w:lvlJc w:val="left"/>
      <w:pPr>
        <w:ind w:left="7382" w:hanging="360"/>
      </w:pPr>
      <w:rPr>
        <w:rFonts w:hint="default"/>
      </w:rPr>
    </w:lvl>
    <w:lvl w:ilvl="8">
      <w:start w:val="0"/>
      <w:numFmt w:val="bullet"/>
      <w:lvlText w:val="•"/>
      <w:lvlJc w:val="left"/>
      <w:pPr>
        <w:ind w:left="8248" w:hanging="360"/>
      </w:pPr>
      <w:rPr>
        <w:rFonts w:hint="default"/>
      </w:rPr>
    </w:lvl>
  </w:abstractNum>
  <w:abstractNum w:abstractNumId="43">
    <w:multiLevelType w:val="hybridMultilevel"/>
    <w:lvl w:ilvl="0">
      <w:start w:val="0"/>
      <w:numFmt w:val="bullet"/>
      <w:lvlText w:val=""/>
      <w:lvlJc w:val="left"/>
      <w:pPr>
        <w:ind w:left="839" w:hanging="360"/>
      </w:pPr>
      <w:rPr>
        <w:rFonts w:hint="default" w:ascii="Symbol" w:hAnsi="Symbol" w:eastAsia="Symbol" w:cs="Symbol"/>
        <w:w w:val="99"/>
        <w:sz w:val="20"/>
        <w:szCs w:val="20"/>
      </w:rPr>
    </w:lvl>
    <w:lvl w:ilvl="1">
      <w:start w:val="0"/>
      <w:numFmt w:val="bullet"/>
      <w:lvlText w:val="•"/>
      <w:lvlJc w:val="left"/>
      <w:pPr>
        <w:ind w:left="1790" w:hanging="360"/>
      </w:pPr>
      <w:rPr>
        <w:rFonts w:hint="default"/>
      </w:rPr>
    </w:lvl>
    <w:lvl w:ilvl="2">
      <w:start w:val="0"/>
      <w:numFmt w:val="bullet"/>
      <w:lvlText w:val="•"/>
      <w:lvlJc w:val="left"/>
      <w:pPr>
        <w:ind w:left="2740" w:hanging="360"/>
      </w:pPr>
      <w:rPr>
        <w:rFonts w:hint="default"/>
      </w:rPr>
    </w:lvl>
    <w:lvl w:ilvl="3">
      <w:start w:val="0"/>
      <w:numFmt w:val="bullet"/>
      <w:lvlText w:val="•"/>
      <w:lvlJc w:val="left"/>
      <w:pPr>
        <w:ind w:left="3690" w:hanging="360"/>
      </w:pPr>
      <w:rPr>
        <w:rFonts w:hint="default"/>
      </w:rPr>
    </w:lvl>
    <w:lvl w:ilvl="4">
      <w:start w:val="0"/>
      <w:numFmt w:val="bullet"/>
      <w:lvlText w:val="•"/>
      <w:lvlJc w:val="left"/>
      <w:pPr>
        <w:ind w:left="4640" w:hanging="360"/>
      </w:pPr>
      <w:rPr>
        <w:rFonts w:hint="default"/>
      </w:rPr>
    </w:lvl>
    <w:lvl w:ilvl="5">
      <w:start w:val="0"/>
      <w:numFmt w:val="bullet"/>
      <w:lvlText w:val="•"/>
      <w:lvlJc w:val="left"/>
      <w:pPr>
        <w:ind w:left="5590" w:hanging="360"/>
      </w:pPr>
      <w:rPr>
        <w:rFonts w:hint="default"/>
      </w:rPr>
    </w:lvl>
    <w:lvl w:ilvl="6">
      <w:start w:val="0"/>
      <w:numFmt w:val="bullet"/>
      <w:lvlText w:val="•"/>
      <w:lvlJc w:val="left"/>
      <w:pPr>
        <w:ind w:left="6540" w:hanging="360"/>
      </w:pPr>
      <w:rPr>
        <w:rFonts w:hint="default"/>
      </w:rPr>
    </w:lvl>
    <w:lvl w:ilvl="7">
      <w:start w:val="0"/>
      <w:numFmt w:val="bullet"/>
      <w:lvlText w:val="•"/>
      <w:lvlJc w:val="left"/>
      <w:pPr>
        <w:ind w:left="7490" w:hanging="360"/>
      </w:pPr>
      <w:rPr>
        <w:rFonts w:hint="default"/>
      </w:rPr>
    </w:lvl>
    <w:lvl w:ilvl="8">
      <w:start w:val="0"/>
      <w:numFmt w:val="bullet"/>
      <w:lvlText w:val="•"/>
      <w:lvlJc w:val="left"/>
      <w:pPr>
        <w:ind w:left="8440" w:hanging="360"/>
      </w:pPr>
      <w:rPr>
        <w:rFonts w:hint="default"/>
      </w:rPr>
    </w:lvl>
  </w:abstractNum>
  <w:abstractNum w:abstractNumId="41">
    <w:multiLevelType w:val="hybridMultilevel"/>
    <w:lvl w:ilvl="0">
      <w:start w:val="6"/>
      <w:numFmt w:val="decimal"/>
      <w:lvlText w:val="%1"/>
      <w:lvlJc w:val="left"/>
      <w:pPr>
        <w:ind w:left="1199" w:hanging="720"/>
        <w:jc w:val="left"/>
      </w:pPr>
      <w:rPr>
        <w:rFonts w:hint="default"/>
      </w:rPr>
    </w:lvl>
    <w:lvl w:ilvl="1">
      <w:start w:val="8"/>
      <w:numFmt w:val="decimal"/>
      <w:lvlText w:val="%1.%2"/>
      <w:lvlJc w:val="left"/>
      <w:pPr>
        <w:ind w:left="1199" w:hanging="720"/>
        <w:jc w:val="left"/>
      </w:pPr>
      <w:rPr>
        <w:rFonts w:hint="default"/>
      </w:rPr>
    </w:lvl>
    <w:lvl w:ilvl="2">
      <w:start w:val="1"/>
      <w:numFmt w:val="decimal"/>
      <w:lvlText w:val="%1.%2.%3"/>
      <w:lvlJc w:val="left"/>
      <w:pPr>
        <w:ind w:left="1199" w:hanging="720"/>
        <w:jc w:val="left"/>
      </w:pPr>
      <w:rPr>
        <w:rFonts w:hint="default" w:ascii="Arial" w:hAnsi="Arial" w:eastAsia="Arial" w:cs="Arial"/>
        <w:b/>
        <w:bCs/>
        <w:spacing w:val="-1"/>
        <w:w w:val="100"/>
        <w:sz w:val="22"/>
        <w:szCs w:val="22"/>
      </w:rPr>
    </w:lvl>
    <w:lvl w:ilvl="3">
      <w:start w:val="0"/>
      <w:numFmt w:val="bullet"/>
      <w:lvlText w:val="•"/>
      <w:lvlJc w:val="left"/>
      <w:pPr>
        <w:ind w:left="3942" w:hanging="720"/>
      </w:pPr>
      <w:rPr>
        <w:rFonts w:hint="default"/>
      </w:rPr>
    </w:lvl>
    <w:lvl w:ilvl="4">
      <w:start w:val="0"/>
      <w:numFmt w:val="bullet"/>
      <w:lvlText w:val="•"/>
      <w:lvlJc w:val="left"/>
      <w:pPr>
        <w:ind w:left="4856" w:hanging="720"/>
      </w:pPr>
      <w:rPr>
        <w:rFonts w:hint="default"/>
      </w:rPr>
    </w:lvl>
    <w:lvl w:ilvl="5">
      <w:start w:val="0"/>
      <w:numFmt w:val="bullet"/>
      <w:lvlText w:val="•"/>
      <w:lvlJc w:val="left"/>
      <w:pPr>
        <w:ind w:left="5770" w:hanging="720"/>
      </w:pPr>
      <w:rPr>
        <w:rFonts w:hint="default"/>
      </w:rPr>
    </w:lvl>
    <w:lvl w:ilvl="6">
      <w:start w:val="0"/>
      <w:numFmt w:val="bullet"/>
      <w:lvlText w:val="•"/>
      <w:lvlJc w:val="left"/>
      <w:pPr>
        <w:ind w:left="6684" w:hanging="720"/>
      </w:pPr>
      <w:rPr>
        <w:rFonts w:hint="default"/>
      </w:rPr>
    </w:lvl>
    <w:lvl w:ilvl="7">
      <w:start w:val="0"/>
      <w:numFmt w:val="bullet"/>
      <w:lvlText w:val="•"/>
      <w:lvlJc w:val="left"/>
      <w:pPr>
        <w:ind w:left="7598" w:hanging="720"/>
      </w:pPr>
      <w:rPr>
        <w:rFonts w:hint="default"/>
      </w:rPr>
    </w:lvl>
    <w:lvl w:ilvl="8">
      <w:start w:val="0"/>
      <w:numFmt w:val="bullet"/>
      <w:lvlText w:val="•"/>
      <w:lvlJc w:val="left"/>
      <w:pPr>
        <w:ind w:left="8512" w:hanging="720"/>
      </w:pPr>
      <w:rPr>
        <w:rFonts w:hint="default"/>
      </w:rPr>
    </w:lvl>
  </w:abstractNum>
  <w:abstractNum w:abstractNumId="40">
    <w:multiLevelType w:val="hybridMultilevel"/>
    <w:lvl w:ilvl="0">
      <w:start w:val="6"/>
      <w:numFmt w:val="decimal"/>
      <w:lvlText w:val="%1"/>
      <w:lvlJc w:val="left"/>
      <w:pPr>
        <w:ind w:left="1199" w:hanging="720"/>
        <w:jc w:val="left"/>
      </w:pPr>
      <w:rPr>
        <w:rFonts w:hint="default"/>
      </w:rPr>
    </w:lvl>
    <w:lvl w:ilvl="1">
      <w:start w:val="5"/>
      <w:numFmt w:val="decimal"/>
      <w:lvlText w:val="%1.%2"/>
      <w:lvlJc w:val="left"/>
      <w:pPr>
        <w:ind w:left="1199" w:hanging="720"/>
        <w:jc w:val="left"/>
      </w:pPr>
      <w:rPr>
        <w:rFonts w:hint="default"/>
      </w:rPr>
    </w:lvl>
    <w:lvl w:ilvl="2">
      <w:start w:val="1"/>
      <w:numFmt w:val="decimal"/>
      <w:lvlText w:val="%1.%2.%3"/>
      <w:lvlJc w:val="left"/>
      <w:pPr>
        <w:ind w:left="1199" w:hanging="720"/>
        <w:jc w:val="left"/>
      </w:pPr>
      <w:rPr>
        <w:rFonts w:hint="default" w:ascii="Arial" w:hAnsi="Arial" w:eastAsia="Arial" w:cs="Arial"/>
        <w:b/>
        <w:bCs/>
        <w:spacing w:val="-1"/>
        <w:w w:val="100"/>
        <w:sz w:val="22"/>
        <w:szCs w:val="22"/>
      </w:rPr>
    </w:lvl>
    <w:lvl w:ilvl="3">
      <w:start w:val="0"/>
      <w:numFmt w:val="bullet"/>
      <w:lvlText w:val="•"/>
      <w:lvlJc w:val="left"/>
      <w:pPr>
        <w:ind w:left="3942" w:hanging="720"/>
      </w:pPr>
      <w:rPr>
        <w:rFonts w:hint="default"/>
      </w:rPr>
    </w:lvl>
    <w:lvl w:ilvl="4">
      <w:start w:val="0"/>
      <w:numFmt w:val="bullet"/>
      <w:lvlText w:val="•"/>
      <w:lvlJc w:val="left"/>
      <w:pPr>
        <w:ind w:left="4856" w:hanging="720"/>
      </w:pPr>
      <w:rPr>
        <w:rFonts w:hint="default"/>
      </w:rPr>
    </w:lvl>
    <w:lvl w:ilvl="5">
      <w:start w:val="0"/>
      <w:numFmt w:val="bullet"/>
      <w:lvlText w:val="•"/>
      <w:lvlJc w:val="left"/>
      <w:pPr>
        <w:ind w:left="5770" w:hanging="720"/>
      </w:pPr>
      <w:rPr>
        <w:rFonts w:hint="default"/>
      </w:rPr>
    </w:lvl>
    <w:lvl w:ilvl="6">
      <w:start w:val="0"/>
      <w:numFmt w:val="bullet"/>
      <w:lvlText w:val="•"/>
      <w:lvlJc w:val="left"/>
      <w:pPr>
        <w:ind w:left="6684" w:hanging="720"/>
      </w:pPr>
      <w:rPr>
        <w:rFonts w:hint="default"/>
      </w:rPr>
    </w:lvl>
    <w:lvl w:ilvl="7">
      <w:start w:val="0"/>
      <w:numFmt w:val="bullet"/>
      <w:lvlText w:val="•"/>
      <w:lvlJc w:val="left"/>
      <w:pPr>
        <w:ind w:left="7598" w:hanging="720"/>
      </w:pPr>
      <w:rPr>
        <w:rFonts w:hint="default"/>
      </w:rPr>
    </w:lvl>
    <w:lvl w:ilvl="8">
      <w:start w:val="0"/>
      <w:numFmt w:val="bullet"/>
      <w:lvlText w:val="•"/>
      <w:lvlJc w:val="left"/>
      <w:pPr>
        <w:ind w:left="8512" w:hanging="720"/>
      </w:pPr>
      <w:rPr>
        <w:rFonts w:hint="default"/>
      </w:rPr>
    </w:lvl>
  </w:abstractNum>
  <w:abstractNum w:abstractNumId="39">
    <w:multiLevelType w:val="hybridMultilevel"/>
    <w:lvl w:ilvl="0">
      <w:start w:val="1"/>
      <w:numFmt w:val="decimal"/>
      <w:lvlText w:val="%1."/>
      <w:lvlJc w:val="left"/>
      <w:pPr>
        <w:ind w:left="827" w:hanging="360"/>
        <w:jc w:val="left"/>
      </w:pPr>
      <w:rPr>
        <w:rFonts w:hint="default" w:ascii="Arial" w:hAnsi="Arial" w:eastAsia="Arial" w:cs="Arial"/>
        <w:spacing w:val="-1"/>
        <w:w w:val="99"/>
        <w:sz w:val="20"/>
        <w:szCs w:val="20"/>
      </w:rPr>
    </w:lvl>
    <w:lvl w:ilvl="1">
      <w:start w:val="0"/>
      <w:numFmt w:val="bullet"/>
      <w:lvlText w:val="•"/>
      <w:lvlJc w:val="left"/>
      <w:pPr>
        <w:ind w:left="1671" w:hanging="360"/>
      </w:pPr>
      <w:rPr>
        <w:rFonts w:hint="default"/>
      </w:rPr>
    </w:lvl>
    <w:lvl w:ilvl="2">
      <w:start w:val="0"/>
      <w:numFmt w:val="bullet"/>
      <w:lvlText w:val="•"/>
      <w:lvlJc w:val="left"/>
      <w:pPr>
        <w:ind w:left="2523" w:hanging="360"/>
      </w:pPr>
      <w:rPr>
        <w:rFonts w:hint="default"/>
      </w:rPr>
    </w:lvl>
    <w:lvl w:ilvl="3">
      <w:start w:val="0"/>
      <w:numFmt w:val="bullet"/>
      <w:lvlText w:val="•"/>
      <w:lvlJc w:val="left"/>
      <w:pPr>
        <w:ind w:left="3375" w:hanging="360"/>
      </w:pPr>
      <w:rPr>
        <w:rFonts w:hint="default"/>
      </w:rPr>
    </w:lvl>
    <w:lvl w:ilvl="4">
      <w:start w:val="0"/>
      <w:numFmt w:val="bullet"/>
      <w:lvlText w:val="•"/>
      <w:lvlJc w:val="left"/>
      <w:pPr>
        <w:ind w:left="4227" w:hanging="360"/>
      </w:pPr>
      <w:rPr>
        <w:rFonts w:hint="default"/>
      </w:rPr>
    </w:lvl>
    <w:lvl w:ilvl="5">
      <w:start w:val="0"/>
      <w:numFmt w:val="bullet"/>
      <w:lvlText w:val="•"/>
      <w:lvlJc w:val="left"/>
      <w:pPr>
        <w:ind w:left="5079" w:hanging="360"/>
      </w:pPr>
      <w:rPr>
        <w:rFonts w:hint="default"/>
      </w:rPr>
    </w:lvl>
    <w:lvl w:ilvl="6">
      <w:start w:val="0"/>
      <w:numFmt w:val="bullet"/>
      <w:lvlText w:val="•"/>
      <w:lvlJc w:val="left"/>
      <w:pPr>
        <w:ind w:left="5930" w:hanging="360"/>
      </w:pPr>
      <w:rPr>
        <w:rFonts w:hint="default"/>
      </w:rPr>
    </w:lvl>
    <w:lvl w:ilvl="7">
      <w:start w:val="0"/>
      <w:numFmt w:val="bullet"/>
      <w:lvlText w:val="•"/>
      <w:lvlJc w:val="left"/>
      <w:pPr>
        <w:ind w:left="6782" w:hanging="360"/>
      </w:pPr>
      <w:rPr>
        <w:rFonts w:hint="default"/>
      </w:rPr>
    </w:lvl>
    <w:lvl w:ilvl="8">
      <w:start w:val="0"/>
      <w:numFmt w:val="bullet"/>
      <w:lvlText w:val="•"/>
      <w:lvlJc w:val="left"/>
      <w:pPr>
        <w:ind w:left="7634" w:hanging="360"/>
      </w:pPr>
      <w:rPr>
        <w:rFonts w:hint="default"/>
      </w:rPr>
    </w:lvl>
  </w:abstractNum>
  <w:abstractNum w:abstractNumId="38">
    <w:multiLevelType w:val="hybridMultilevel"/>
    <w:lvl w:ilvl="0">
      <w:start w:val="6"/>
      <w:numFmt w:val="decimal"/>
      <w:lvlText w:val="%1"/>
      <w:lvlJc w:val="left"/>
      <w:pPr>
        <w:ind w:left="1200" w:hanging="721"/>
        <w:jc w:val="left"/>
      </w:pPr>
      <w:rPr>
        <w:rFonts w:hint="default"/>
      </w:rPr>
    </w:lvl>
    <w:lvl w:ilvl="1">
      <w:start w:val="4"/>
      <w:numFmt w:val="decimal"/>
      <w:lvlText w:val="%1.%2"/>
      <w:lvlJc w:val="left"/>
      <w:pPr>
        <w:ind w:left="1200" w:hanging="721"/>
        <w:jc w:val="left"/>
      </w:pPr>
      <w:rPr>
        <w:rFonts w:hint="default"/>
      </w:rPr>
    </w:lvl>
    <w:lvl w:ilvl="2">
      <w:start w:val="15"/>
      <w:numFmt w:val="decimal"/>
      <w:lvlText w:val="%1.%2.%3"/>
      <w:lvlJc w:val="left"/>
      <w:pPr>
        <w:ind w:left="1200" w:hanging="721"/>
        <w:jc w:val="left"/>
      </w:pPr>
      <w:rPr>
        <w:rFonts w:hint="default" w:ascii="Arial" w:hAnsi="Arial" w:eastAsia="Arial" w:cs="Arial"/>
        <w:b/>
        <w:bCs/>
        <w:spacing w:val="-1"/>
        <w:w w:val="100"/>
        <w:sz w:val="22"/>
        <w:szCs w:val="22"/>
      </w:rPr>
    </w:lvl>
    <w:lvl w:ilvl="3">
      <w:start w:val="0"/>
      <w:numFmt w:val="bullet"/>
      <w:lvlText w:val="•"/>
      <w:lvlJc w:val="left"/>
      <w:pPr>
        <w:ind w:left="3942" w:hanging="721"/>
      </w:pPr>
      <w:rPr>
        <w:rFonts w:hint="default"/>
      </w:rPr>
    </w:lvl>
    <w:lvl w:ilvl="4">
      <w:start w:val="0"/>
      <w:numFmt w:val="bullet"/>
      <w:lvlText w:val="•"/>
      <w:lvlJc w:val="left"/>
      <w:pPr>
        <w:ind w:left="4856" w:hanging="721"/>
      </w:pPr>
      <w:rPr>
        <w:rFonts w:hint="default"/>
      </w:rPr>
    </w:lvl>
    <w:lvl w:ilvl="5">
      <w:start w:val="0"/>
      <w:numFmt w:val="bullet"/>
      <w:lvlText w:val="•"/>
      <w:lvlJc w:val="left"/>
      <w:pPr>
        <w:ind w:left="5770" w:hanging="721"/>
      </w:pPr>
      <w:rPr>
        <w:rFonts w:hint="default"/>
      </w:rPr>
    </w:lvl>
    <w:lvl w:ilvl="6">
      <w:start w:val="0"/>
      <w:numFmt w:val="bullet"/>
      <w:lvlText w:val="•"/>
      <w:lvlJc w:val="left"/>
      <w:pPr>
        <w:ind w:left="6684" w:hanging="721"/>
      </w:pPr>
      <w:rPr>
        <w:rFonts w:hint="default"/>
      </w:rPr>
    </w:lvl>
    <w:lvl w:ilvl="7">
      <w:start w:val="0"/>
      <w:numFmt w:val="bullet"/>
      <w:lvlText w:val="•"/>
      <w:lvlJc w:val="left"/>
      <w:pPr>
        <w:ind w:left="7598" w:hanging="721"/>
      </w:pPr>
      <w:rPr>
        <w:rFonts w:hint="default"/>
      </w:rPr>
    </w:lvl>
    <w:lvl w:ilvl="8">
      <w:start w:val="0"/>
      <w:numFmt w:val="bullet"/>
      <w:lvlText w:val="•"/>
      <w:lvlJc w:val="left"/>
      <w:pPr>
        <w:ind w:left="8512" w:hanging="721"/>
      </w:pPr>
      <w:rPr>
        <w:rFonts w:hint="default"/>
      </w:rPr>
    </w:lvl>
  </w:abstractNum>
  <w:abstractNum w:abstractNumId="37">
    <w:multiLevelType w:val="hybridMultilevel"/>
    <w:lvl w:ilvl="0">
      <w:start w:val="1"/>
      <w:numFmt w:val="decimal"/>
      <w:lvlText w:val="%1."/>
      <w:lvlJc w:val="left"/>
      <w:pPr>
        <w:ind w:left="827" w:hanging="360"/>
        <w:jc w:val="left"/>
      </w:pPr>
      <w:rPr>
        <w:rFonts w:hint="default" w:ascii="Arial" w:hAnsi="Arial" w:eastAsia="Arial" w:cs="Arial"/>
        <w:spacing w:val="-1"/>
        <w:w w:val="99"/>
        <w:sz w:val="20"/>
        <w:szCs w:val="20"/>
      </w:rPr>
    </w:lvl>
    <w:lvl w:ilvl="1">
      <w:start w:val="0"/>
      <w:numFmt w:val="bullet"/>
      <w:lvlText w:val="•"/>
      <w:lvlJc w:val="left"/>
      <w:pPr>
        <w:ind w:left="1672" w:hanging="360"/>
      </w:pPr>
      <w:rPr>
        <w:rFonts w:hint="default"/>
      </w:rPr>
    </w:lvl>
    <w:lvl w:ilvl="2">
      <w:start w:val="0"/>
      <w:numFmt w:val="bullet"/>
      <w:lvlText w:val="•"/>
      <w:lvlJc w:val="left"/>
      <w:pPr>
        <w:ind w:left="2524" w:hanging="360"/>
      </w:pPr>
      <w:rPr>
        <w:rFonts w:hint="default"/>
      </w:rPr>
    </w:lvl>
    <w:lvl w:ilvl="3">
      <w:start w:val="0"/>
      <w:numFmt w:val="bullet"/>
      <w:lvlText w:val="•"/>
      <w:lvlJc w:val="left"/>
      <w:pPr>
        <w:ind w:left="3376" w:hanging="360"/>
      </w:pPr>
      <w:rPr>
        <w:rFonts w:hint="default"/>
      </w:rPr>
    </w:lvl>
    <w:lvl w:ilvl="4">
      <w:start w:val="0"/>
      <w:numFmt w:val="bullet"/>
      <w:lvlText w:val="•"/>
      <w:lvlJc w:val="left"/>
      <w:pPr>
        <w:ind w:left="4228" w:hanging="360"/>
      </w:pPr>
      <w:rPr>
        <w:rFonts w:hint="default"/>
      </w:rPr>
    </w:lvl>
    <w:lvl w:ilvl="5">
      <w:start w:val="0"/>
      <w:numFmt w:val="bullet"/>
      <w:lvlText w:val="•"/>
      <w:lvlJc w:val="left"/>
      <w:pPr>
        <w:ind w:left="5080" w:hanging="360"/>
      </w:pPr>
      <w:rPr>
        <w:rFonts w:hint="default"/>
      </w:rPr>
    </w:lvl>
    <w:lvl w:ilvl="6">
      <w:start w:val="0"/>
      <w:numFmt w:val="bullet"/>
      <w:lvlText w:val="•"/>
      <w:lvlJc w:val="left"/>
      <w:pPr>
        <w:ind w:left="5932" w:hanging="360"/>
      </w:pPr>
      <w:rPr>
        <w:rFonts w:hint="default"/>
      </w:rPr>
    </w:lvl>
    <w:lvl w:ilvl="7">
      <w:start w:val="0"/>
      <w:numFmt w:val="bullet"/>
      <w:lvlText w:val="•"/>
      <w:lvlJc w:val="left"/>
      <w:pPr>
        <w:ind w:left="6784" w:hanging="360"/>
      </w:pPr>
      <w:rPr>
        <w:rFonts w:hint="default"/>
      </w:rPr>
    </w:lvl>
    <w:lvl w:ilvl="8">
      <w:start w:val="0"/>
      <w:numFmt w:val="bullet"/>
      <w:lvlText w:val="•"/>
      <w:lvlJc w:val="left"/>
      <w:pPr>
        <w:ind w:left="7636" w:hanging="360"/>
      </w:pPr>
      <w:rPr>
        <w:rFonts w:hint="default"/>
      </w:rPr>
    </w:lvl>
  </w:abstractNum>
  <w:abstractNum w:abstractNumId="36">
    <w:multiLevelType w:val="hybridMultilevel"/>
    <w:lvl w:ilvl="0">
      <w:start w:val="1"/>
      <w:numFmt w:val="decimal"/>
      <w:lvlText w:val="%1."/>
      <w:lvlJc w:val="left"/>
      <w:pPr>
        <w:ind w:left="798" w:hanging="360"/>
        <w:jc w:val="left"/>
      </w:pPr>
      <w:rPr>
        <w:rFonts w:hint="default"/>
        <w:b/>
        <w:bCs/>
        <w:w w:val="100"/>
      </w:rPr>
    </w:lvl>
    <w:lvl w:ilvl="1">
      <w:start w:val="0"/>
      <w:numFmt w:val="bullet"/>
      <w:lvlText w:val="•"/>
      <w:lvlJc w:val="left"/>
      <w:pPr>
        <w:ind w:left="1654" w:hanging="360"/>
      </w:pPr>
      <w:rPr>
        <w:rFonts w:hint="default"/>
      </w:rPr>
    </w:lvl>
    <w:lvl w:ilvl="2">
      <w:start w:val="0"/>
      <w:numFmt w:val="bullet"/>
      <w:lvlText w:val="•"/>
      <w:lvlJc w:val="left"/>
      <w:pPr>
        <w:ind w:left="2508" w:hanging="360"/>
      </w:pPr>
      <w:rPr>
        <w:rFonts w:hint="default"/>
      </w:rPr>
    </w:lvl>
    <w:lvl w:ilvl="3">
      <w:start w:val="0"/>
      <w:numFmt w:val="bullet"/>
      <w:lvlText w:val="•"/>
      <w:lvlJc w:val="left"/>
      <w:pPr>
        <w:ind w:left="3362" w:hanging="360"/>
      </w:pPr>
      <w:rPr>
        <w:rFonts w:hint="default"/>
      </w:rPr>
    </w:lvl>
    <w:lvl w:ilvl="4">
      <w:start w:val="0"/>
      <w:numFmt w:val="bullet"/>
      <w:lvlText w:val="•"/>
      <w:lvlJc w:val="left"/>
      <w:pPr>
        <w:ind w:left="4216" w:hanging="360"/>
      </w:pPr>
      <w:rPr>
        <w:rFonts w:hint="default"/>
      </w:rPr>
    </w:lvl>
    <w:lvl w:ilvl="5">
      <w:start w:val="0"/>
      <w:numFmt w:val="bullet"/>
      <w:lvlText w:val="•"/>
      <w:lvlJc w:val="left"/>
      <w:pPr>
        <w:ind w:left="5071" w:hanging="360"/>
      </w:pPr>
      <w:rPr>
        <w:rFonts w:hint="default"/>
      </w:rPr>
    </w:lvl>
    <w:lvl w:ilvl="6">
      <w:start w:val="0"/>
      <w:numFmt w:val="bullet"/>
      <w:lvlText w:val="•"/>
      <w:lvlJc w:val="left"/>
      <w:pPr>
        <w:ind w:left="5925" w:hanging="360"/>
      </w:pPr>
      <w:rPr>
        <w:rFonts w:hint="default"/>
      </w:rPr>
    </w:lvl>
    <w:lvl w:ilvl="7">
      <w:start w:val="0"/>
      <w:numFmt w:val="bullet"/>
      <w:lvlText w:val="•"/>
      <w:lvlJc w:val="left"/>
      <w:pPr>
        <w:ind w:left="6779" w:hanging="360"/>
      </w:pPr>
      <w:rPr>
        <w:rFonts w:hint="default"/>
      </w:rPr>
    </w:lvl>
    <w:lvl w:ilvl="8">
      <w:start w:val="0"/>
      <w:numFmt w:val="bullet"/>
      <w:lvlText w:val="•"/>
      <w:lvlJc w:val="left"/>
      <w:pPr>
        <w:ind w:left="7633" w:hanging="360"/>
      </w:pPr>
      <w:rPr>
        <w:rFonts w:hint="default"/>
      </w:rPr>
    </w:lvl>
  </w:abstractNum>
  <w:abstractNum w:abstractNumId="35">
    <w:multiLevelType w:val="hybridMultilevel"/>
    <w:lvl w:ilvl="0">
      <w:start w:val="1"/>
      <w:numFmt w:val="decimal"/>
      <w:lvlText w:val="%1."/>
      <w:lvlJc w:val="left"/>
      <w:pPr>
        <w:ind w:left="827" w:hanging="360"/>
        <w:jc w:val="left"/>
      </w:pPr>
      <w:rPr>
        <w:rFonts w:hint="default" w:ascii="Arial" w:hAnsi="Arial" w:eastAsia="Arial" w:cs="Arial"/>
        <w:spacing w:val="-1"/>
        <w:w w:val="99"/>
        <w:sz w:val="20"/>
        <w:szCs w:val="20"/>
      </w:rPr>
    </w:lvl>
    <w:lvl w:ilvl="1">
      <w:start w:val="0"/>
      <w:numFmt w:val="bullet"/>
      <w:lvlText w:val="•"/>
      <w:lvlJc w:val="left"/>
      <w:pPr>
        <w:ind w:left="1618" w:hanging="360"/>
      </w:pPr>
      <w:rPr>
        <w:rFonts w:hint="default"/>
      </w:rPr>
    </w:lvl>
    <w:lvl w:ilvl="2">
      <w:start w:val="0"/>
      <w:numFmt w:val="bullet"/>
      <w:lvlText w:val="•"/>
      <w:lvlJc w:val="left"/>
      <w:pPr>
        <w:ind w:left="2417" w:hanging="360"/>
      </w:pPr>
      <w:rPr>
        <w:rFonts w:hint="default"/>
      </w:rPr>
    </w:lvl>
    <w:lvl w:ilvl="3">
      <w:start w:val="0"/>
      <w:numFmt w:val="bullet"/>
      <w:lvlText w:val="•"/>
      <w:lvlJc w:val="left"/>
      <w:pPr>
        <w:ind w:left="3215" w:hanging="360"/>
      </w:pPr>
      <w:rPr>
        <w:rFonts w:hint="default"/>
      </w:rPr>
    </w:lvl>
    <w:lvl w:ilvl="4">
      <w:start w:val="0"/>
      <w:numFmt w:val="bullet"/>
      <w:lvlText w:val="•"/>
      <w:lvlJc w:val="left"/>
      <w:pPr>
        <w:ind w:left="4014" w:hanging="360"/>
      </w:pPr>
      <w:rPr>
        <w:rFonts w:hint="default"/>
      </w:rPr>
    </w:lvl>
    <w:lvl w:ilvl="5">
      <w:start w:val="0"/>
      <w:numFmt w:val="bullet"/>
      <w:lvlText w:val="•"/>
      <w:lvlJc w:val="left"/>
      <w:pPr>
        <w:ind w:left="4813" w:hanging="360"/>
      </w:pPr>
      <w:rPr>
        <w:rFonts w:hint="default"/>
      </w:rPr>
    </w:lvl>
    <w:lvl w:ilvl="6">
      <w:start w:val="0"/>
      <w:numFmt w:val="bullet"/>
      <w:lvlText w:val="•"/>
      <w:lvlJc w:val="left"/>
      <w:pPr>
        <w:ind w:left="5611" w:hanging="360"/>
      </w:pPr>
      <w:rPr>
        <w:rFonts w:hint="default"/>
      </w:rPr>
    </w:lvl>
    <w:lvl w:ilvl="7">
      <w:start w:val="0"/>
      <w:numFmt w:val="bullet"/>
      <w:lvlText w:val="•"/>
      <w:lvlJc w:val="left"/>
      <w:pPr>
        <w:ind w:left="6410" w:hanging="360"/>
      </w:pPr>
      <w:rPr>
        <w:rFonts w:hint="default"/>
      </w:rPr>
    </w:lvl>
    <w:lvl w:ilvl="8">
      <w:start w:val="0"/>
      <w:numFmt w:val="bullet"/>
      <w:lvlText w:val="•"/>
      <w:lvlJc w:val="left"/>
      <w:pPr>
        <w:ind w:left="7208" w:hanging="360"/>
      </w:pPr>
      <w:rPr>
        <w:rFonts w:hint="default"/>
      </w:rPr>
    </w:lvl>
  </w:abstractNum>
  <w:abstractNum w:abstractNumId="34">
    <w:multiLevelType w:val="hybridMultilevel"/>
    <w:lvl w:ilvl="0">
      <w:start w:val="1"/>
      <w:numFmt w:val="decimal"/>
      <w:lvlText w:val="%1."/>
      <w:lvlJc w:val="left"/>
      <w:pPr>
        <w:ind w:left="827" w:hanging="360"/>
        <w:jc w:val="left"/>
      </w:pPr>
      <w:rPr>
        <w:rFonts w:hint="default" w:ascii="Arial" w:hAnsi="Arial" w:eastAsia="Arial" w:cs="Arial"/>
        <w:spacing w:val="-1"/>
        <w:w w:val="99"/>
        <w:sz w:val="20"/>
        <w:szCs w:val="20"/>
      </w:rPr>
    </w:lvl>
    <w:lvl w:ilvl="1">
      <w:start w:val="0"/>
      <w:numFmt w:val="bullet"/>
      <w:lvlText w:val="•"/>
      <w:lvlJc w:val="left"/>
      <w:pPr>
        <w:ind w:left="1672" w:hanging="360"/>
      </w:pPr>
      <w:rPr>
        <w:rFonts w:hint="default"/>
      </w:rPr>
    </w:lvl>
    <w:lvl w:ilvl="2">
      <w:start w:val="0"/>
      <w:numFmt w:val="bullet"/>
      <w:lvlText w:val="•"/>
      <w:lvlJc w:val="left"/>
      <w:pPr>
        <w:ind w:left="2524" w:hanging="360"/>
      </w:pPr>
      <w:rPr>
        <w:rFonts w:hint="default"/>
      </w:rPr>
    </w:lvl>
    <w:lvl w:ilvl="3">
      <w:start w:val="0"/>
      <w:numFmt w:val="bullet"/>
      <w:lvlText w:val="•"/>
      <w:lvlJc w:val="left"/>
      <w:pPr>
        <w:ind w:left="3376" w:hanging="360"/>
      </w:pPr>
      <w:rPr>
        <w:rFonts w:hint="default"/>
      </w:rPr>
    </w:lvl>
    <w:lvl w:ilvl="4">
      <w:start w:val="0"/>
      <w:numFmt w:val="bullet"/>
      <w:lvlText w:val="•"/>
      <w:lvlJc w:val="left"/>
      <w:pPr>
        <w:ind w:left="4228" w:hanging="360"/>
      </w:pPr>
      <w:rPr>
        <w:rFonts w:hint="default"/>
      </w:rPr>
    </w:lvl>
    <w:lvl w:ilvl="5">
      <w:start w:val="0"/>
      <w:numFmt w:val="bullet"/>
      <w:lvlText w:val="•"/>
      <w:lvlJc w:val="left"/>
      <w:pPr>
        <w:ind w:left="5081" w:hanging="360"/>
      </w:pPr>
      <w:rPr>
        <w:rFonts w:hint="default"/>
      </w:rPr>
    </w:lvl>
    <w:lvl w:ilvl="6">
      <w:start w:val="0"/>
      <w:numFmt w:val="bullet"/>
      <w:lvlText w:val="•"/>
      <w:lvlJc w:val="left"/>
      <w:pPr>
        <w:ind w:left="5933" w:hanging="360"/>
      </w:pPr>
      <w:rPr>
        <w:rFonts w:hint="default"/>
      </w:rPr>
    </w:lvl>
    <w:lvl w:ilvl="7">
      <w:start w:val="0"/>
      <w:numFmt w:val="bullet"/>
      <w:lvlText w:val="•"/>
      <w:lvlJc w:val="left"/>
      <w:pPr>
        <w:ind w:left="6785" w:hanging="360"/>
      </w:pPr>
      <w:rPr>
        <w:rFonts w:hint="default"/>
      </w:rPr>
    </w:lvl>
    <w:lvl w:ilvl="8">
      <w:start w:val="0"/>
      <w:numFmt w:val="bullet"/>
      <w:lvlText w:val="•"/>
      <w:lvlJc w:val="left"/>
      <w:pPr>
        <w:ind w:left="7637" w:hanging="360"/>
      </w:pPr>
      <w:rPr>
        <w:rFonts w:hint="default"/>
      </w:rPr>
    </w:lvl>
  </w:abstractNum>
  <w:abstractNum w:abstractNumId="33">
    <w:multiLevelType w:val="hybridMultilevel"/>
    <w:lvl w:ilvl="0">
      <w:start w:val="1"/>
      <w:numFmt w:val="decimal"/>
      <w:lvlText w:val="%1."/>
      <w:lvlJc w:val="left"/>
      <w:pPr>
        <w:ind w:left="827" w:hanging="361"/>
        <w:jc w:val="left"/>
      </w:pPr>
      <w:rPr>
        <w:rFonts w:hint="default" w:ascii="Arial" w:hAnsi="Arial" w:eastAsia="Arial" w:cs="Arial"/>
        <w:spacing w:val="-1"/>
        <w:w w:val="99"/>
        <w:sz w:val="20"/>
        <w:szCs w:val="20"/>
      </w:rPr>
    </w:lvl>
    <w:lvl w:ilvl="1">
      <w:start w:val="0"/>
      <w:numFmt w:val="bullet"/>
      <w:lvlText w:val="•"/>
      <w:lvlJc w:val="left"/>
      <w:pPr>
        <w:ind w:left="1672" w:hanging="361"/>
      </w:pPr>
      <w:rPr>
        <w:rFonts w:hint="default"/>
      </w:rPr>
    </w:lvl>
    <w:lvl w:ilvl="2">
      <w:start w:val="0"/>
      <w:numFmt w:val="bullet"/>
      <w:lvlText w:val="•"/>
      <w:lvlJc w:val="left"/>
      <w:pPr>
        <w:ind w:left="2525" w:hanging="361"/>
      </w:pPr>
      <w:rPr>
        <w:rFonts w:hint="default"/>
      </w:rPr>
    </w:lvl>
    <w:lvl w:ilvl="3">
      <w:start w:val="0"/>
      <w:numFmt w:val="bullet"/>
      <w:lvlText w:val="•"/>
      <w:lvlJc w:val="left"/>
      <w:pPr>
        <w:ind w:left="3377" w:hanging="361"/>
      </w:pPr>
      <w:rPr>
        <w:rFonts w:hint="default"/>
      </w:rPr>
    </w:lvl>
    <w:lvl w:ilvl="4">
      <w:start w:val="0"/>
      <w:numFmt w:val="bullet"/>
      <w:lvlText w:val="•"/>
      <w:lvlJc w:val="left"/>
      <w:pPr>
        <w:ind w:left="4230" w:hanging="361"/>
      </w:pPr>
      <w:rPr>
        <w:rFonts w:hint="default"/>
      </w:rPr>
    </w:lvl>
    <w:lvl w:ilvl="5">
      <w:start w:val="0"/>
      <w:numFmt w:val="bullet"/>
      <w:lvlText w:val="•"/>
      <w:lvlJc w:val="left"/>
      <w:pPr>
        <w:ind w:left="5082" w:hanging="361"/>
      </w:pPr>
      <w:rPr>
        <w:rFonts w:hint="default"/>
      </w:rPr>
    </w:lvl>
    <w:lvl w:ilvl="6">
      <w:start w:val="0"/>
      <w:numFmt w:val="bullet"/>
      <w:lvlText w:val="•"/>
      <w:lvlJc w:val="left"/>
      <w:pPr>
        <w:ind w:left="5935" w:hanging="361"/>
      </w:pPr>
      <w:rPr>
        <w:rFonts w:hint="default"/>
      </w:rPr>
    </w:lvl>
    <w:lvl w:ilvl="7">
      <w:start w:val="0"/>
      <w:numFmt w:val="bullet"/>
      <w:lvlText w:val="•"/>
      <w:lvlJc w:val="left"/>
      <w:pPr>
        <w:ind w:left="6787" w:hanging="361"/>
      </w:pPr>
      <w:rPr>
        <w:rFonts w:hint="default"/>
      </w:rPr>
    </w:lvl>
    <w:lvl w:ilvl="8">
      <w:start w:val="0"/>
      <w:numFmt w:val="bullet"/>
      <w:lvlText w:val="•"/>
      <w:lvlJc w:val="left"/>
      <w:pPr>
        <w:ind w:left="7640" w:hanging="361"/>
      </w:pPr>
      <w:rPr>
        <w:rFonts w:hint="default"/>
      </w:rPr>
    </w:lvl>
  </w:abstractNum>
  <w:abstractNum w:abstractNumId="32">
    <w:multiLevelType w:val="hybridMultilevel"/>
    <w:lvl w:ilvl="0">
      <w:start w:val="6"/>
      <w:numFmt w:val="decimal"/>
      <w:lvlText w:val="%1"/>
      <w:lvlJc w:val="left"/>
      <w:pPr>
        <w:ind w:left="1199" w:hanging="720"/>
        <w:jc w:val="left"/>
      </w:pPr>
      <w:rPr>
        <w:rFonts w:hint="default"/>
      </w:rPr>
    </w:lvl>
    <w:lvl w:ilvl="1">
      <w:start w:val="4"/>
      <w:numFmt w:val="decimal"/>
      <w:lvlText w:val="%1.%2"/>
      <w:lvlJc w:val="left"/>
      <w:pPr>
        <w:ind w:left="1199" w:hanging="720"/>
        <w:jc w:val="left"/>
      </w:pPr>
      <w:rPr>
        <w:rFonts w:hint="default"/>
      </w:rPr>
    </w:lvl>
    <w:lvl w:ilvl="2">
      <w:start w:val="1"/>
      <w:numFmt w:val="decimal"/>
      <w:lvlText w:val="%1.%2.%3"/>
      <w:lvlJc w:val="left"/>
      <w:pPr>
        <w:ind w:left="1199" w:hanging="720"/>
        <w:jc w:val="left"/>
      </w:pPr>
      <w:rPr>
        <w:rFonts w:hint="default" w:ascii="Arial" w:hAnsi="Arial" w:eastAsia="Arial" w:cs="Arial"/>
        <w:b/>
        <w:bCs/>
        <w:spacing w:val="-1"/>
        <w:w w:val="100"/>
        <w:sz w:val="22"/>
        <w:szCs w:val="22"/>
      </w:rPr>
    </w:lvl>
    <w:lvl w:ilvl="3">
      <w:start w:val="0"/>
      <w:numFmt w:val="bullet"/>
      <w:lvlText w:val="•"/>
      <w:lvlJc w:val="left"/>
      <w:pPr>
        <w:ind w:left="3942" w:hanging="720"/>
      </w:pPr>
      <w:rPr>
        <w:rFonts w:hint="default"/>
      </w:rPr>
    </w:lvl>
    <w:lvl w:ilvl="4">
      <w:start w:val="0"/>
      <w:numFmt w:val="bullet"/>
      <w:lvlText w:val="•"/>
      <w:lvlJc w:val="left"/>
      <w:pPr>
        <w:ind w:left="4856" w:hanging="720"/>
      </w:pPr>
      <w:rPr>
        <w:rFonts w:hint="default"/>
      </w:rPr>
    </w:lvl>
    <w:lvl w:ilvl="5">
      <w:start w:val="0"/>
      <w:numFmt w:val="bullet"/>
      <w:lvlText w:val="•"/>
      <w:lvlJc w:val="left"/>
      <w:pPr>
        <w:ind w:left="5770" w:hanging="720"/>
      </w:pPr>
      <w:rPr>
        <w:rFonts w:hint="default"/>
      </w:rPr>
    </w:lvl>
    <w:lvl w:ilvl="6">
      <w:start w:val="0"/>
      <w:numFmt w:val="bullet"/>
      <w:lvlText w:val="•"/>
      <w:lvlJc w:val="left"/>
      <w:pPr>
        <w:ind w:left="6684" w:hanging="720"/>
      </w:pPr>
      <w:rPr>
        <w:rFonts w:hint="default"/>
      </w:rPr>
    </w:lvl>
    <w:lvl w:ilvl="7">
      <w:start w:val="0"/>
      <w:numFmt w:val="bullet"/>
      <w:lvlText w:val="•"/>
      <w:lvlJc w:val="left"/>
      <w:pPr>
        <w:ind w:left="7598" w:hanging="720"/>
      </w:pPr>
      <w:rPr>
        <w:rFonts w:hint="default"/>
      </w:rPr>
    </w:lvl>
    <w:lvl w:ilvl="8">
      <w:start w:val="0"/>
      <w:numFmt w:val="bullet"/>
      <w:lvlText w:val="•"/>
      <w:lvlJc w:val="left"/>
      <w:pPr>
        <w:ind w:left="8512" w:hanging="720"/>
      </w:pPr>
      <w:rPr>
        <w:rFonts w:hint="default"/>
      </w:rPr>
    </w:lvl>
  </w:abstractNum>
  <w:abstractNum w:abstractNumId="31">
    <w:multiLevelType w:val="hybridMultilevel"/>
    <w:lvl w:ilvl="0">
      <w:start w:val="1"/>
      <w:numFmt w:val="decimal"/>
      <w:lvlText w:val="%1."/>
      <w:lvlJc w:val="left"/>
      <w:pPr>
        <w:ind w:left="827" w:hanging="360"/>
        <w:jc w:val="left"/>
      </w:pPr>
      <w:rPr>
        <w:rFonts w:hint="default" w:ascii="Arial" w:hAnsi="Arial" w:eastAsia="Arial" w:cs="Arial"/>
        <w:spacing w:val="-1"/>
        <w:w w:val="99"/>
        <w:sz w:val="20"/>
        <w:szCs w:val="20"/>
      </w:rPr>
    </w:lvl>
    <w:lvl w:ilvl="1">
      <w:start w:val="0"/>
      <w:numFmt w:val="bullet"/>
      <w:lvlText w:val="•"/>
      <w:lvlJc w:val="left"/>
      <w:pPr>
        <w:ind w:left="1672" w:hanging="360"/>
      </w:pPr>
      <w:rPr>
        <w:rFonts w:hint="default"/>
      </w:rPr>
    </w:lvl>
    <w:lvl w:ilvl="2">
      <w:start w:val="0"/>
      <w:numFmt w:val="bullet"/>
      <w:lvlText w:val="•"/>
      <w:lvlJc w:val="left"/>
      <w:pPr>
        <w:ind w:left="2524" w:hanging="360"/>
      </w:pPr>
      <w:rPr>
        <w:rFonts w:hint="default"/>
      </w:rPr>
    </w:lvl>
    <w:lvl w:ilvl="3">
      <w:start w:val="0"/>
      <w:numFmt w:val="bullet"/>
      <w:lvlText w:val="•"/>
      <w:lvlJc w:val="left"/>
      <w:pPr>
        <w:ind w:left="3376" w:hanging="360"/>
      </w:pPr>
      <w:rPr>
        <w:rFonts w:hint="default"/>
      </w:rPr>
    </w:lvl>
    <w:lvl w:ilvl="4">
      <w:start w:val="0"/>
      <w:numFmt w:val="bullet"/>
      <w:lvlText w:val="•"/>
      <w:lvlJc w:val="left"/>
      <w:pPr>
        <w:ind w:left="4229" w:hanging="360"/>
      </w:pPr>
      <w:rPr>
        <w:rFonts w:hint="default"/>
      </w:rPr>
    </w:lvl>
    <w:lvl w:ilvl="5">
      <w:start w:val="0"/>
      <w:numFmt w:val="bullet"/>
      <w:lvlText w:val="•"/>
      <w:lvlJc w:val="left"/>
      <w:pPr>
        <w:ind w:left="5081" w:hanging="360"/>
      </w:pPr>
      <w:rPr>
        <w:rFonts w:hint="default"/>
      </w:rPr>
    </w:lvl>
    <w:lvl w:ilvl="6">
      <w:start w:val="0"/>
      <w:numFmt w:val="bullet"/>
      <w:lvlText w:val="•"/>
      <w:lvlJc w:val="left"/>
      <w:pPr>
        <w:ind w:left="5933" w:hanging="360"/>
      </w:pPr>
      <w:rPr>
        <w:rFonts w:hint="default"/>
      </w:rPr>
    </w:lvl>
    <w:lvl w:ilvl="7">
      <w:start w:val="0"/>
      <w:numFmt w:val="bullet"/>
      <w:lvlText w:val="•"/>
      <w:lvlJc w:val="left"/>
      <w:pPr>
        <w:ind w:left="6786" w:hanging="360"/>
      </w:pPr>
      <w:rPr>
        <w:rFonts w:hint="default"/>
      </w:rPr>
    </w:lvl>
    <w:lvl w:ilvl="8">
      <w:start w:val="0"/>
      <w:numFmt w:val="bullet"/>
      <w:lvlText w:val="•"/>
      <w:lvlJc w:val="left"/>
      <w:pPr>
        <w:ind w:left="7638" w:hanging="360"/>
      </w:pPr>
      <w:rPr>
        <w:rFonts w:hint="default"/>
      </w:rPr>
    </w:lvl>
  </w:abstractNum>
  <w:abstractNum w:abstractNumId="30">
    <w:multiLevelType w:val="hybridMultilevel"/>
    <w:lvl w:ilvl="0">
      <w:start w:val="0"/>
      <w:numFmt w:val="bullet"/>
      <w:lvlText w:val=""/>
      <w:lvlJc w:val="left"/>
      <w:pPr>
        <w:ind w:left="839" w:hanging="360"/>
      </w:pPr>
      <w:rPr>
        <w:rFonts w:hint="default" w:ascii="Symbol" w:hAnsi="Symbol" w:eastAsia="Symbol" w:cs="Symbol"/>
        <w:w w:val="99"/>
        <w:sz w:val="20"/>
        <w:szCs w:val="20"/>
      </w:rPr>
    </w:lvl>
    <w:lvl w:ilvl="1">
      <w:start w:val="0"/>
      <w:numFmt w:val="bullet"/>
      <w:lvlText w:val="•"/>
      <w:lvlJc w:val="left"/>
      <w:pPr>
        <w:ind w:left="1790" w:hanging="360"/>
      </w:pPr>
      <w:rPr>
        <w:rFonts w:hint="default"/>
      </w:rPr>
    </w:lvl>
    <w:lvl w:ilvl="2">
      <w:start w:val="0"/>
      <w:numFmt w:val="bullet"/>
      <w:lvlText w:val="•"/>
      <w:lvlJc w:val="left"/>
      <w:pPr>
        <w:ind w:left="2740" w:hanging="360"/>
      </w:pPr>
      <w:rPr>
        <w:rFonts w:hint="default"/>
      </w:rPr>
    </w:lvl>
    <w:lvl w:ilvl="3">
      <w:start w:val="0"/>
      <w:numFmt w:val="bullet"/>
      <w:lvlText w:val="•"/>
      <w:lvlJc w:val="left"/>
      <w:pPr>
        <w:ind w:left="3690" w:hanging="360"/>
      </w:pPr>
      <w:rPr>
        <w:rFonts w:hint="default"/>
      </w:rPr>
    </w:lvl>
    <w:lvl w:ilvl="4">
      <w:start w:val="0"/>
      <w:numFmt w:val="bullet"/>
      <w:lvlText w:val="•"/>
      <w:lvlJc w:val="left"/>
      <w:pPr>
        <w:ind w:left="4640" w:hanging="360"/>
      </w:pPr>
      <w:rPr>
        <w:rFonts w:hint="default"/>
      </w:rPr>
    </w:lvl>
    <w:lvl w:ilvl="5">
      <w:start w:val="0"/>
      <w:numFmt w:val="bullet"/>
      <w:lvlText w:val="•"/>
      <w:lvlJc w:val="left"/>
      <w:pPr>
        <w:ind w:left="5590" w:hanging="360"/>
      </w:pPr>
      <w:rPr>
        <w:rFonts w:hint="default"/>
      </w:rPr>
    </w:lvl>
    <w:lvl w:ilvl="6">
      <w:start w:val="0"/>
      <w:numFmt w:val="bullet"/>
      <w:lvlText w:val="•"/>
      <w:lvlJc w:val="left"/>
      <w:pPr>
        <w:ind w:left="6540" w:hanging="360"/>
      </w:pPr>
      <w:rPr>
        <w:rFonts w:hint="default"/>
      </w:rPr>
    </w:lvl>
    <w:lvl w:ilvl="7">
      <w:start w:val="0"/>
      <w:numFmt w:val="bullet"/>
      <w:lvlText w:val="•"/>
      <w:lvlJc w:val="left"/>
      <w:pPr>
        <w:ind w:left="7490" w:hanging="360"/>
      </w:pPr>
      <w:rPr>
        <w:rFonts w:hint="default"/>
      </w:rPr>
    </w:lvl>
    <w:lvl w:ilvl="8">
      <w:start w:val="0"/>
      <w:numFmt w:val="bullet"/>
      <w:lvlText w:val="•"/>
      <w:lvlJc w:val="left"/>
      <w:pPr>
        <w:ind w:left="8440" w:hanging="360"/>
      </w:pPr>
      <w:rPr>
        <w:rFonts w:hint="default"/>
      </w:rPr>
    </w:lvl>
  </w:abstractNum>
  <w:abstractNum w:abstractNumId="29">
    <w:multiLevelType w:val="hybridMultilevel"/>
    <w:lvl w:ilvl="0">
      <w:start w:val="5"/>
      <w:numFmt w:val="decimal"/>
      <w:lvlText w:val="%1"/>
      <w:lvlJc w:val="left"/>
      <w:pPr>
        <w:ind w:left="1199" w:hanging="720"/>
        <w:jc w:val="left"/>
      </w:pPr>
      <w:rPr>
        <w:rFonts w:hint="default"/>
      </w:rPr>
    </w:lvl>
    <w:lvl w:ilvl="1">
      <w:start w:val="3"/>
      <w:numFmt w:val="decimal"/>
      <w:lvlText w:val="%1.%2"/>
      <w:lvlJc w:val="left"/>
      <w:pPr>
        <w:ind w:left="1199" w:hanging="720"/>
        <w:jc w:val="left"/>
      </w:pPr>
      <w:rPr>
        <w:rFonts w:hint="default"/>
      </w:rPr>
    </w:lvl>
    <w:lvl w:ilvl="2">
      <w:start w:val="1"/>
      <w:numFmt w:val="decimal"/>
      <w:lvlText w:val="%1.%2.%3"/>
      <w:lvlJc w:val="left"/>
      <w:pPr>
        <w:ind w:left="1199" w:hanging="720"/>
        <w:jc w:val="left"/>
      </w:pPr>
      <w:rPr>
        <w:rFonts w:hint="default" w:ascii="Arial" w:hAnsi="Arial" w:eastAsia="Arial" w:cs="Arial"/>
        <w:b/>
        <w:bCs/>
        <w:spacing w:val="-1"/>
        <w:w w:val="100"/>
        <w:sz w:val="22"/>
        <w:szCs w:val="22"/>
      </w:rPr>
    </w:lvl>
    <w:lvl w:ilvl="3">
      <w:start w:val="1"/>
      <w:numFmt w:val="decimal"/>
      <w:lvlText w:val="%1.%2.%3.%4"/>
      <w:lvlJc w:val="left"/>
      <w:pPr>
        <w:ind w:left="1199" w:hanging="720"/>
        <w:jc w:val="left"/>
      </w:pPr>
      <w:rPr>
        <w:rFonts w:hint="default" w:ascii="Arial" w:hAnsi="Arial" w:eastAsia="Arial" w:cs="Arial"/>
        <w:b/>
        <w:bCs/>
        <w:spacing w:val="-1"/>
        <w:w w:val="99"/>
        <w:sz w:val="20"/>
        <w:szCs w:val="20"/>
      </w:rPr>
    </w:lvl>
    <w:lvl w:ilvl="4">
      <w:start w:val="0"/>
      <w:numFmt w:val="bullet"/>
      <w:lvlText w:val="•"/>
      <w:lvlJc w:val="left"/>
      <w:pPr>
        <w:ind w:left="4856" w:hanging="720"/>
      </w:pPr>
      <w:rPr>
        <w:rFonts w:hint="default"/>
      </w:rPr>
    </w:lvl>
    <w:lvl w:ilvl="5">
      <w:start w:val="0"/>
      <w:numFmt w:val="bullet"/>
      <w:lvlText w:val="•"/>
      <w:lvlJc w:val="left"/>
      <w:pPr>
        <w:ind w:left="5770" w:hanging="720"/>
      </w:pPr>
      <w:rPr>
        <w:rFonts w:hint="default"/>
      </w:rPr>
    </w:lvl>
    <w:lvl w:ilvl="6">
      <w:start w:val="0"/>
      <w:numFmt w:val="bullet"/>
      <w:lvlText w:val="•"/>
      <w:lvlJc w:val="left"/>
      <w:pPr>
        <w:ind w:left="6684" w:hanging="720"/>
      </w:pPr>
      <w:rPr>
        <w:rFonts w:hint="default"/>
      </w:rPr>
    </w:lvl>
    <w:lvl w:ilvl="7">
      <w:start w:val="0"/>
      <w:numFmt w:val="bullet"/>
      <w:lvlText w:val="•"/>
      <w:lvlJc w:val="left"/>
      <w:pPr>
        <w:ind w:left="7598" w:hanging="720"/>
      </w:pPr>
      <w:rPr>
        <w:rFonts w:hint="default"/>
      </w:rPr>
    </w:lvl>
    <w:lvl w:ilvl="8">
      <w:start w:val="0"/>
      <w:numFmt w:val="bullet"/>
      <w:lvlText w:val="•"/>
      <w:lvlJc w:val="left"/>
      <w:pPr>
        <w:ind w:left="8512" w:hanging="720"/>
      </w:pPr>
      <w:rPr>
        <w:rFonts w:hint="default"/>
      </w:rPr>
    </w:lvl>
  </w:abstractNum>
  <w:abstractNum w:abstractNumId="28">
    <w:multiLevelType w:val="hybridMultilevel"/>
    <w:lvl w:ilvl="0">
      <w:start w:val="4"/>
      <w:numFmt w:val="decimal"/>
      <w:lvlText w:val="%1"/>
      <w:lvlJc w:val="left"/>
      <w:pPr>
        <w:ind w:left="960" w:hanging="721"/>
        <w:jc w:val="left"/>
      </w:pPr>
      <w:rPr>
        <w:rFonts w:hint="default"/>
      </w:rPr>
    </w:lvl>
    <w:lvl w:ilvl="1">
      <w:start w:val="12"/>
      <w:numFmt w:val="decimal"/>
      <w:lvlText w:val="%1.%2"/>
      <w:lvlJc w:val="left"/>
      <w:pPr>
        <w:ind w:left="960" w:hanging="721"/>
        <w:jc w:val="left"/>
      </w:pPr>
      <w:rPr>
        <w:rFonts w:hint="default"/>
      </w:rPr>
    </w:lvl>
    <w:lvl w:ilvl="2">
      <w:start w:val="1"/>
      <w:numFmt w:val="decimal"/>
      <w:lvlText w:val="%1.%2.%3"/>
      <w:lvlJc w:val="left"/>
      <w:pPr>
        <w:ind w:left="960" w:hanging="721"/>
        <w:jc w:val="left"/>
      </w:pPr>
      <w:rPr>
        <w:rFonts w:hint="default" w:ascii="Arial" w:hAnsi="Arial" w:eastAsia="Arial" w:cs="Arial"/>
        <w:b/>
        <w:bCs/>
        <w:spacing w:val="-1"/>
        <w:w w:val="100"/>
        <w:sz w:val="22"/>
        <w:szCs w:val="22"/>
      </w:rPr>
    </w:lvl>
    <w:lvl w:ilvl="3">
      <w:start w:val="0"/>
      <w:numFmt w:val="bullet"/>
      <w:lvlText w:val="•"/>
      <w:lvlJc w:val="left"/>
      <w:pPr>
        <w:ind w:left="3666" w:hanging="721"/>
      </w:pPr>
      <w:rPr>
        <w:rFonts w:hint="default"/>
      </w:rPr>
    </w:lvl>
    <w:lvl w:ilvl="4">
      <w:start w:val="0"/>
      <w:numFmt w:val="bullet"/>
      <w:lvlText w:val="•"/>
      <w:lvlJc w:val="left"/>
      <w:pPr>
        <w:ind w:left="4568" w:hanging="721"/>
      </w:pPr>
      <w:rPr>
        <w:rFonts w:hint="default"/>
      </w:rPr>
    </w:lvl>
    <w:lvl w:ilvl="5">
      <w:start w:val="0"/>
      <w:numFmt w:val="bullet"/>
      <w:lvlText w:val="•"/>
      <w:lvlJc w:val="left"/>
      <w:pPr>
        <w:ind w:left="5470" w:hanging="721"/>
      </w:pPr>
      <w:rPr>
        <w:rFonts w:hint="default"/>
      </w:rPr>
    </w:lvl>
    <w:lvl w:ilvl="6">
      <w:start w:val="0"/>
      <w:numFmt w:val="bullet"/>
      <w:lvlText w:val="•"/>
      <w:lvlJc w:val="left"/>
      <w:pPr>
        <w:ind w:left="6372" w:hanging="721"/>
      </w:pPr>
      <w:rPr>
        <w:rFonts w:hint="default"/>
      </w:rPr>
    </w:lvl>
    <w:lvl w:ilvl="7">
      <w:start w:val="0"/>
      <w:numFmt w:val="bullet"/>
      <w:lvlText w:val="•"/>
      <w:lvlJc w:val="left"/>
      <w:pPr>
        <w:ind w:left="7274" w:hanging="721"/>
      </w:pPr>
      <w:rPr>
        <w:rFonts w:hint="default"/>
      </w:rPr>
    </w:lvl>
    <w:lvl w:ilvl="8">
      <w:start w:val="0"/>
      <w:numFmt w:val="bullet"/>
      <w:lvlText w:val="•"/>
      <w:lvlJc w:val="left"/>
      <w:pPr>
        <w:ind w:left="8176" w:hanging="721"/>
      </w:pPr>
      <w:rPr>
        <w:rFonts w:hint="default"/>
      </w:rPr>
    </w:lvl>
  </w:abstractNum>
  <w:abstractNum w:abstractNumId="27">
    <w:multiLevelType w:val="hybridMultilevel"/>
    <w:lvl w:ilvl="0">
      <w:start w:val="0"/>
      <w:numFmt w:val="bullet"/>
      <w:lvlText w:val=""/>
      <w:lvlJc w:val="left"/>
      <w:pPr>
        <w:ind w:left="190" w:hanging="161"/>
      </w:pPr>
      <w:rPr>
        <w:rFonts w:hint="default" w:ascii="Symbol" w:hAnsi="Symbol" w:eastAsia="Symbol" w:cs="Symbol"/>
        <w:w w:val="91"/>
        <w:position w:val="-15"/>
        <w:sz w:val="25"/>
        <w:szCs w:val="25"/>
      </w:rPr>
    </w:lvl>
    <w:lvl w:ilvl="1">
      <w:start w:val="0"/>
      <w:numFmt w:val="bullet"/>
      <w:lvlText w:val=""/>
      <w:lvlJc w:val="left"/>
      <w:pPr>
        <w:ind w:left="599" w:hanging="360"/>
      </w:pPr>
      <w:rPr>
        <w:rFonts w:hint="default" w:ascii="Symbol" w:hAnsi="Symbol" w:eastAsia="Symbol" w:cs="Symbol"/>
        <w:w w:val="99"/>
        <w:sz w:val="20"/>
        <w:szCs w:val="20"/>
      </w:rPr>
    </w:lvl>
    <w:lvl w:ilvl="2">
      <w:start w:val="0"/>
      <w:numFmt w:val="bullet"/>
      <w:lvlText w:val="•"/>
      <w:lvlJc w:val="left"/>
      <w:pPr>
        <w:ind w:left="1000" w:hanging="360"/>
      </w:pPr>
      <w:rPr>
        <w:rFonts w:hint="default"/>
      </w:rPr>
    </w:lvl>
    <w:lvl w:ilvl="3">
      <w:start w:val="0"/>
      <w:numFmt w:val="bullet"/>
      <w:lvlText w:val="•"/>
      <w:lvlJc w:val="left"/>
      <w:pPr>
        <w:ind w:left="1401" w:hanging="360"/>
      </w:pPr>
      <w:rPr>
        <w:rFonts w:hint="default"/>
      </w:rPr>
    </w:lvl>
    <w:lvl w:ilvl="4">
      <w:start w:val="0"/>
      <w:numFmt w:val="bullet"/>
      <w:lvlText w:val="•"/>
      <w:lvlJc w:val="left"/>
      <w:pPr>
        <w:ind w:left="1801" w:hanging="360"/>
      </w:pPr>
      <w:rPr>
        <w:rFonts w:hint="default"/>
      </w:rPr>
    </w:lvl>
    <w:lvl w:ilvl="5">
      <w:start w:val="0"/>
      <w:numFmt w:val="bullet"/>
      <w:lvlText w:val="•"/>
      <w:lvlJc w:val="left"/>
      <w:pPr>
        <w:ind w:left="2202" w:hanging="360"/>
      </w:pPr>
      <w:rPr>
        <w:rFonts w:hint="default"/>
      </w:rPr>
    </w:lvl>
    <w:lvl w:ilvl="6">
      <w:start w:val="0"/>
      <w:numFmt w:val="bullet"/>
      <w:lvlText w:val="•"/>
      <w:lvlJc w:val="left"/>
      <w:pPr>
        <w:ind w:left="2603" w:hanging="360"/>
      </w:pPr>
      <w:rPr>
        <w:rFonts w:hint="default"/>
      </w:rPr>
    </w:lvl>
    <w:lvl w:ilvl="7">
      <w:start w:val="0"/>
      <w:numFmt w:val="bullet"/>
      <w:lvlText w:val="•"/>
      <w:lvlJc w:val="left"/>
      <w:pPr>
        <w:ind w:left="3003" w:hanging="360"/>
      </w:pPr>
      <w:rPr>
        <w:rFonts w:hint="default"/>
      </w:rPr>
    </w:lvl>
    <w:lvl w:ilvl="8">
      <w:start w:val="0"/>
      <w:numFmt w:val="bullet"/>
      <w:lvlText w:val="•"/>
      <w:lvlJc w:val="left"/>
      <w:pPr>
        <w:ind w:left="3404" w:hanging="360"/>
      </w:pPr>
      <w:rPr>
        <w:rFonts w:hint="default"/>
      </w:rPr>
    </w:lvl>
  </w:abstractNum>
  <w:abstractNum w:abstractNumId="26">
    <w:multiLevelType w:val="hybridMultilevel"/>
    <w:lvl w:ilvl="0">
      <w:start w:val="4"/>
      <w:numFmt w:val="decimal"/>
      <w:lvlText w:val="%1"/>
      <w:lvlJc w:val="left"/>
      <w:pPr>
        <w:ind w:left="959" w:hanging="720"/>
        <w:jc w:val="left"/>
      </w:pPr>
      <w:rPr>
        <w:rFonts w:hint="default"/>
      </w:rPr>
    </w:lvl>
    <w:lvl w:ilvl="1">
      <w:start w:val="5"/>
      <w:numFmt w:val="decimal"/>
      <w:lvlText w:val="%1.%2"/>
      <w:lvlJc w:val="left"/>
      <w:pPr>
        <w:ind w:left="959" w:hanging="720"/>
        <w:jc w:val="left"/>
      </w:pPr>
      <w:rPr>
        <w:rFonts w:hint="default"/>
      </w:rPr>
    </w:lvl>
    <w:lvl w:ilvl="2">
      <w:start w:val="1"/>
      <w:numFmt w:val="decimal"/>
      <w:lvlText w:val="%1.%2.%3"/>
      <w:lvlJc w:val="left"/>
      <w:pPr>
        <w:ind w:left="959" w:hanging="720"/>
        <w:jc w:val="left"/>
      </w:pPr>
      <w:rPr>
        <w:rFonts w:hint="default" w:ascii="Arial" w:hAnsi="Arial" w:eastAsia="Arial" w:cs="Arial"/>
        <w:b/>
        <w:bCs/>
        <w:spacing w:val="-1"/>
        <w:w w:val="100"/>
        <w:sz w:val="22"/>
        <w:szCs w:val="22"/>
      </w:rPr>
    </w:lvl>
    <w:lvl w:ilvl="3">
      <w:start w:val="0"/>
      <w:numFmt w:val="bullet"/>
      <w:lvlText w:val="•"/>
      <w:lvlJc w:val="left"/>
      <w:pPr>
        <w:ind w:left="3666" w:hanging="720"/>
      </w:pPr>
      <w:rPr>
        <w:rFonts w:hint="default"/>
      </w:rPr>
    </w:lvl>
    <w:lvl w:ilvl="4">
      <w:start w:val="0"/>
      <w:numFmt w:val="bullet"/>
      <w:lvlText w:val="•"/>
      <w:lvlJc w:val="left"/>
      <w:pPr>
        <w:ind w:left="4568" w:hanging="720"/>
      </w:pPr>
      <w:rPr>
        <w:rFonts w:hint="default"/>
      </w:rPr>
    </w:lvl>
    <w:lvl w:ilvl="5">
      <w:start w:val="0"/>
      <w:numFmt w:val="bullet"/>
      <w:lvlText w:val="•"/>
      <w:lvlJc w:val="left"/>
      <w:pPr>
        <w:ind w:left="5470" w:hanging="720"/>
      </w:pPr>
      <w:rPr>
        <w:rFonts w:hint="default"/>
      </w:rPr>
    </w:lvl>
    <w:lvl w:ilvl="6">
      <w:start w:val="0"/>
      <w:numFmt w:val="bullet"/>
      <w:lvlText w:val="•"/>
      <w:lvlJc w:val="left"/>
      <w:pPr>
        <w:ind w:left="6372" w:hanging="720"/>
      </w:pPr>
      <w:rPr>
        <w:rFonts w:hint="default"/>
      </w:rPr>
    </w:lvl>
    <w:lvl w:ilvl="7">
      <w:start w:val="0"/>
      <w:numFmt w:val="bullet"/>
      <w:lvlText w:val="•"/>
      <w:lvlJc w:val="left"/>
      <w:pPr>
        <w:ind w:left="7274" w:hanging="720"/>
      </w:pPr>
      <w:rPr>
        <w:rFonts w:hint="default"/>
      </w:rPr>
    </w:lvl>
    <w:lvl w:ilvl="8">
      <w:start w:val="0"/>
      <w:numFmt w:val="bullet"/>
      <w:lvlText w:val="•"/>
      <w:lvlJc w:val="left"/>
      <w:pPr>
        <w:ind w:left="8176" w:hanging="720"/>
      </w:pPr>
      <w:rPr>
        <w:rFonts w:hint="default"/>
      </w:rPr>
    </w:lvl>
  </w:abstractNum>
  <w:abstractNum w:abstractNumId="25">
    <w:multiLevelType w:val="hybridMultilevel"/>
    <w:lvl w:ilvl="0">
      <w:start w:val="3"/>
      <w:numFmt w:val="decimal"/>
      <w:lvlText w:val="%1"/>
      <w:lvlJc w:val="left"/>
      <w:pPr>
        <w:ind w:left="960" w:hanging="720"/>
        <w:jc w:val="left"/>
      </w:pPr>
      <w:rPr>
        <w:rFonts w:hint="default"/>
      </w:rPr>
    </w:lvl>
    <w:lvl w:ilvl="1">
      <w:start w:val="4"/>
      <w:numFmt w:val="decimal"/>
      <w:lvlText w:val="%1.%2"/>
      <w:lvlJc w:val="left"/>
      <w:pPr>
        <w:ind w:left="960" w:hanging="720"/>
        <w:jc w:val="left"/>
      </w:pPr>
      <w:rPr>
        <w:rFonts w:hint="default" w:ascii="Arial" w:hAnsi="Arial" w:eastAsia="Arial" w:cs="Arial"/>
        <w:b/>
        <w:bCs/>
        <w:w w:val="100"/>
        <w:sz w:val="24"/>
        <w:szCs w:val="24"/>
      </w:rPr>
    </w:lvl>
    <w:lvl w:ilvl="2">
      <w:start w:val="1"/>
      <w:numFmt w:val="decimal"/>
      <w:lvlText w:val="%1.%2.%3"/>
      <w:lvlJc w:val="left"/>
      <w:pPr>
        <w:ind w:left="959" w:hanging="720"/>
        <w:jc w:val="left"/>
      </w:pPr>
      <w:rPr>
        <w:rFonts w:hint="default" w:ascii="Arial" w:hAnsi="Arial" w:eastAsia="Arial" w:cs="Arial"/>
        <w:b/>
        <w:bCs/>
        <w:spacing w:val="-1"/>
        <w:w w:val="100"/>
        <w:sz w:val="22"/>
        <w:szCs w:val="22"/>
      </w:rPr>
    </w:lvl>
    <w:lvl w:ilvl="3">
      <w:start w:val="0"/>
      <w:numFmt w:val="bullet"/>
      <w:lvlText w:val="•"/>
      <w:lvlJc w:val="left"/>
      <w:pPr>
        <w:ind w:left="3666" w:hanging="720"/>
      </w:pPr>
      <w:rPr>
        <w:rFonts w:hint="default"/>
      </w:rPr>
    </w:lvl>
    <w:lvl w:ilvl="4">
      <w:start w:val="0"/>
      <w:numFmt w:val="bullet"/>
      <w:lvlText w:val="•"/>
      <w:lvlJc w:val="left"/>
      <w:pPr>
        <w:ind w:left="4568" w:hanging="720"/>
      </w:pPr>
      <w:rPr>
        <w:rFonts w:hint="default"/>
      </w:rPr>
    </w:lvl>
    <w:lvl w:ilvl="5">
      <w:start w:val="0"/>
      <w:numFmt w:val="bullet"/>
      <w:lvlText w:val="•"/>
      <w:lvlJc w:val="left"/>
      <w:pPr>
        <w:ind w:left="5470" w:hanging="720"/>
      </w:pPr>
      <w:rPr>
        <w:rFonts w:hint="default"/>
      </w:rPr>
    </w:lvl>
    <w:lvl w:ilvl="6">
      <w:start w:val="0"/>
      <w:numFmt w:val="bullet"/>
      <w:lvlText w:val="•"/>
      <w:lvlJc w:val="left"/>
      <w:pPr>
        <w:ind w:left="6372" w:hanging="720"/>
      </w:pPr>
      <w:rPr>
        <w:rFonts w:hint="default"/>
      </w:rPr>
    </w:lvl>
    <w:lvl w:ilvl="7">
      <w:start w:val="0"/>
      <w:numFmt w:val="bullet"/>
      <w:lvlText w:val="•"/>
      <w:lvlJc w:val="left"/>
      <w:pPr>
        <w:ind w:left="7274" w:hanging="720"/>
      </w:pPr>
      <w:rPr>
        <w:rFonts w:hint="default"/>
      </w:rPr>
    </w:lvl>
    <w:lvl w:ilvl="8">
      <w:start w:val="0"/>
      <w:numFmt w:val="bullet"/>
      <w:lvlText w:val="•"/>
      <w:lvlJc w:val="left"/>
      <w:pPr>
        <w:ind w:left="8176" w:hanging="720"/>
      </w:pPr>
      <w:rPr>
        <w:rFonts w:hint="default"/>
      </w:rPr>
    </w:lvl>
  </w:abstractNum>
  <w:abstractNum w:abstractNumId="24">
    <w:multiLevelType w:val="hybridMultilevel"/>
    <w:lvl w:ilvl="0">
      <w:start w:val="3"/>
      <w:numFmt w:val="decimal"/>
      <w:lvlText w:val="%1"/>
      <w:lvlJc w:val="left"/>
      <w:pPr>
        <w:ind w:left="959" w:hanging="720"/>
        <w:jc w:val="left"/>
      </w:pPr>
      <w:rPr>
        <w:rFonts w:hint="default"/>
      </w:rPr>
    </w:lvl>
    <w:lvl w:ilvl="1">
      <w:start w:val="3"/>
      <w:numFmt w:val="decimal"/>
      <w:lvlText w:val="%1.%2"/>
      <w:lvlJc w:val="left"/>
      <w:pPr>
        <w:ind w:left="959" w:hanging="720"/>
        <w:jc w:val="left"/>
      </w:pPr>
      <w:rPr>
        <w:rFonts w:hint="default"/>
      </w:rPr>
    </w:lvl>
    <w:lvl w:ilvl="2">
      <w:start w:val="1"/>
      <w:numFmt w:val="decimal"/>
      <w:lvlText w:val="%1.%2.%3"/>
      <w:lvlJc w:val="left"/>
      <w:pPr>
        <w:ind w:left="959" w:hanging="720"/>
        <w:jc w:val="left"/>
      </w:pPr>
      <w:rPr>
        <w:rFonts w:hint="default" w:ascii="Arial" w:hAnsi="Arial" w:eastAsia="Arial" w:cs="Arial"/>
        <w:b/>
        <w:bCs/>
        <w:spacing w:val="-1"/>
        <w:w w:val="100"/>
        <w:sz w:val="22"/>
        <w:szCs w:val="22"/>
      </w:rPr>
    </w:lvl>
    <w:lvl w:ilvl="3">
      <w:start w:val="1"/>
      <w:numFmt w:val="decimal"/>
      <w:lvlText w:val="%4)"/>
      <w:lvlJc w:val="left"/>
      <w:pPr>
        <w:ind w:left="959" w:hanging="361"/>
        <w:jc w:val="left"/>
      </w:pPr>
      <w:rPr>
        <w:rFonts w:hint="default" w:ascii="Arial" w:hAnsi="Arial" w:eastAsia="Arial" w:cs="Arial"/>
        <w:spacing w:val="-1"/>
        <w:w w:val="99"/>
        <w:sz w:val="20"/>
        <w:szCs w:val="20"/>
      </w:rPr>
    </w:lvl>
    <w:lvl w:ilvl="4">
      <w:start w:val="0"/>
      <w:numFmt w:val="bullet"/>
      <w:lvlText w:val="•"/>
      <w:lvlJc w:val="left"/>
      <w:pPr>
        <w:ind w:left="4568" w:hanging="361"/>
      </w:pPr>
      <w:rPr>
        <w:rFonts w:hint="default"/>
      </w:rPr>
    </w:lvl>
    <w:lvl w:ilvl="5">
      <w:start w:val="0"/>
      <w:numFmt w:val="bullet"/>
      <w:lvlText w:val="•"/>
      <w:lvlJc w:val="left"/>
      <w:pPr>
        <w:ind w:left="5470" w:hanging="361"/>
      </w:pPr>
      <w:rPr>
        <w:rFonts w:hint="default"/>
      </w:rPr>
    </w:lvl>
    <w:lvl w:ilvl="6">
      <w:start w:val="0"/>
      <w:numFmt w:val="bullet"/>
      <w:lvlText w:val="•"/>
      <w:lvlJc w:val="left"/>
      <w:pPr>
        <w:ind w:left="6372" w:hanging="361"/>
      </w:pPr>
      <w:rPr>
        <w:rFonts w:hint="default"/>
      </w:rPr>
    </w:lvl>
    <w:lvl w:ilvl="7">
      <w:start w:val="0"/>
      <w:numFmt w:val="bullet"/>
      <w:lvlText w:val="•"/>
      <w:lvlJc w:val="left"/>
      <w:pPr>
        <w:ind w:left="7274" w:hanging="361"/>
      </w:pPr>
      <w:rPr>
        <w:rFonts w:hint="default"/>
      </w:rPr>
    </w:lvl>
    <w:lvl w:ilvl="8">
      <w:start w:val="0"/>
      <w:numFmt w:val="bullet"/>
      <w:lvlText w:val="•"/>
      <w:lvlJc w:val="left"/>
      <w:pPr>
        <w:ind w:left="8176" w:hanging="361"/>
      </w:pPr>
      <w:rPr>
        <w:rFonts w:hint="default"/>
      </w:rPr>
    </w:lvl>
  </w:abstractNum>
  <w:abstractNum w:abstractNumId="23">
    <w:multiLevelType w:val="hybridMultilevel"/>
    <w:lvl w:ilvl="0">
      <w:start w:val="3"/>
      <w:numFmt w:val="decimal"/>
      <w:lvlText w:val="%1"/>
      <w:lvlJc w:val="left"/>
      <w:pPr>
        <w:ind w:left="959" w:hanging="720"/>
        <w:jc w:val="left"/>
      </w:pPr>
      <w:rPr>
        <w:rFonts w:hint="default"/>
      </w:rPr>
    </w:lvl>
    <w:lvl w:ilvl="1">
      <w:start w:val="2"/>
      <w:numFmt w:val="decimal"/>
      <w:lvlText w:val="%1.%2"/>
      <w:lvlJc w:val="left"/>
      <w:pPr>
        <w:ind w:left="959" w:hanging="720"/>
        <w:jc w:val="left"/>
      </w:pPr>
      <w:rPr>
        <w:rFonts w:hint="default"/>
      </w:rPr>
    </w:lvl>
    <w:lvl w:ilvl="2">
      <w:start w:val="1"/>
      <w:numFmt w:val="decimal"/>
      <w:lvlText w:val="%1.%2.%3"/>
      <w:lvlJc w:val="left"/>
      <w:pPr>
        <w:ind w:left="959" w:hanging="720"/>
        <w:jc w:val="left"/>
      </w:pPr>
      <w:rPr>
        <w:rFonts w:hint="default" w:ascii="Arial" w:hAnsi="Arial" w:eastAsia="Arial" w:cs="Arial"/>
        <w:b/>
        <w:bCs/>
        <w:spacing w:val="-1"/>
        <w:w w:val="100"/>
        <w:sz w:val="22"/>
        <w:szCs w:val="22"/>
      </w:rPr>
    </w:lvl>
    <w:lvl w:ilvl="3">
      <w:start w:val="0"/>
      <w:numFmt w:val="bullet"/>
      <w:lvlText w:val="•"/>
      <w:lvlJc w:val="left"/>
      <w:pPr>
        <w:ind w:left="3666" w:hanging="720"/>
      </w:pPr>
      <w:rPr>
        <w:rFonts w:hint="default"/>
      </w:rPr>
    </w:lvl>
    <w:lvl w:ilvl="4">
      <w:start w:val="0"/>
      <w:numFmt w:val="bullet"/>
      <w:lvlText w:val="•"/>
      <w:lvlJc w:val="left"/>
      <w:pPr>
        <w:ind w:left="4568" w:hanging="720"/>
      </w:pPr>
      <w:rPr>
        <w:rFonts w:hint="default"/>
      </w:rPr>
    </w:lvl>
    <w:lvl w:ilvl="5">
      <w:start w:val="0"/>
      <w:numFmt w:val="bullet"/>
      <w:lvlText w:val="•"/>
      <w:lvlJc w:val="left"/>
      <w:pPr>
        <w:ind w:left="5470" w:hanging="720"/>
      </w:pPr>
      <w:rPr>
        <w:rFonts w:hint="default"/>
      </w:rPr>
    </w:lvl>
    <w:lvl w:ilvl="6">
      <w:start w:val="0"/>
      <w:numFmt w:val="bullet"/>
      <w:lvlText w:val="•"/>
      <w:lvlJc w:val="left"/>
      <w:pPr>
        <w:ind w:left="6372" w:hanging="720"/>
      </w:pPr>
      <w:rPr>
        <w:rFonts w:hint="default"/>
      </w:rPr>
    </w:lvl>
    <w:lvl w:ilvl="7">
      <w:start w:val="0"/>
      <w:numFmt w:val="bullet"/>
      <w:lvlText w:val="•"/>
      <w:lvlJc w:val="left"/>
      <w:pPr>
        <w:ind w:left="7274" w:hanging="720"/>
      </w:pPr>
      <w:rPr>
        <w:rFonts w:hint="default"/>
      </w:rPr>
    </w:lvl>
    <w:lvl w:ilvl="8">
      <w:start w:val="0"/>
      <w:numFmt w:val="bullet"/>
      <w:lvlText w:val="•"/>
      <w:lvlJc w:val="left"/>
      <w:pPr>
        <w:ind w:left="8176" w:hanging="720"/>
      </w:pPr>
      <w:rPr>
        <w:rFonts w:hint="default"/>
      </w:rPr>
    </w:lvl>
  </w:abstractNum>
  <w:abstractNum w:abstractNumId="22">
    <w:multiLevelType w:val="hybridMultilevel"/>
    <w:lvl w:ilvl="0">
      <w:start w:val="1"/>
      <w:numFmt w:val="decimal"/>
      <w:lvlText w:val="%1."/>
      <w:lvlJc w:val="left"/>
      <w:pPr>
        <w:ind w:left="827" w:hanging="361"/>
        <w:jc w:val="left"/>
      </w:pPr>
      <w:rPr>
        <w:rFonts w:hint="default" w:ascii="Arial" w:hAnsi="Arial" w:eastAsia="Arial" w:cs="Arial"/>
        <w:spacing w:val="-1"/>
        <w:w w:val="100"/>
        <w:sz w:val="16"/>
        <w:szCs w:val="16"/>
      </w:rPr>
    </w:lvl>
    <w:lvl w:ilvl="1">
      <w:start w:val="0"/>
      <w:numFmt w:val="bullet"/>
      <w:lvlText w:val="•"/>
      <w:lvlJc w:val="left"/>
      <w:pPr>
        <w:ind w:left="1692" w:hanging="361"/>
      </w:pPr>
      <w:rPr>
        <w:rFonts w:hint="default"/>
      </w:rPr>
    </w:lvl>
    <w:lvl w:ilvl="2">
      <w:start w:val="0"/>
      <w:numFmt w:val="bullet"/>
      <w:lvlText w:val="•"/>
      <w:lvlJc w:val="left"/>
      <w:pPr>
        <w:ind w:left="2564" w:hanging="361"/>
      </w:pPr>
      <w:rPr>
        <w:rFonts w:hint="default"/>
      </w:rPr>
    </w:lvl>
    <w:lvl w:ilvl="3">
      <w:start w:val="0"/>
      <w:numFmt w:val="bullet"/>
      <w:lvlText w:val="•"/>
      <w:lvlJc w:val="left"/>
      <w:pPr>
        <w:ind w:left="3436" w:hanging="361"/>
      </w:pPr>
      <w:rPr>
        <w:rFonts w:hint="default"/>
      </w:rPr>
    </w:lvl>
    <w:lvl w:ilvl="4">
      <w:start w:val="0"/>
      <w:numFmt w:val="bullet"/>
      <w:lvlText w:val="•"/>
      <w:lvlJc w:val="left"/>
      <w:pPr>
        <w:ind w:left="4309" w:hanging="361"/>
      </w:pPr>
      <w:rPr>
        <w:rFonts w:hint="default"/>
      </w:rPr>
    </w:lvl>
    <w:lvl w:ilvl="5">
      <w:start w:val="0"/>
      <w:numFmt w:val="bullet"/>
      <w:lvlText w:val="•"/>
      <w:lvlJc w:val="left"/>
      <w:pPr>
        <w:ind w:left="5181" w:hanging="361"/>
      </w:pPr>
      <w:rPr>
        <w:rFonts w:hint="default"/>
      </w:rPr>
    </w:lvl>
    <w:lvl w:ilvl="6">
      <w:start w:val="0"/>
      <w:numFmt w:val="bullet"/>
      <w:lvlText w:val="•"/>
      <w:lvlJc w:val="left"/>
      <w:pPr>
        <w:ind w:left="6053" w:hanging="361"/>
      </w:pPr>
      <w:rPr>
        <w:rFonts w:hint="default"/>
      </w:rPr>
    </w:lvl>
    <w:lvl w:ilvl="7">
      <w:start w:val="0"/>
      <w:numFmt w:val="bullet"/>
      <w:lvlText w:val="•"/>
      <w:lvlJc w:val="left"/>
      <w:pPr>
        <w:ind w:left="6926" w:hanging="361"/>
      </w:pPr>
      <w:rPr>
        <w:rFonts w:hint="default"/>
      </w:rPr>
    </w:lvl>
    <w:lvl w:ilvl="8">
      <w:start w:val="0"/>
      <w:numFmt w:val="bullet"/>
      <w:lvlText w:val="•"/>
      <w:lvlJc w:val="left"/>
      <w:pPr>
        <w:ind w:left="7798" w:hanging="361"/>
      </w:pPr>
      <w:rPr>
        <w:rFonts w:hint="default"/>
      </w:rPr>
    </w:lvl>
  </w:abstractNum>
  <w:abstractNum w:abstractNumId="21">
    <w:multiLevelType w:val="hybridMultilevel"/>
    <w:lvl w:ilvl="0">
      <w:start w:val="3"/>
      <w:numFmt w:val="decimal"/>
      <w:lvlText w:val="%1"/>
      <w:lvlJc w:val="left"/>
      <w:pPr>
        <w:ind w:left="959" w:hanging="720"/>
        <w:jc w:val="right"/>
      </w:pPr>
      <w:rPr>
        <w:rFonts w:hint="default" w:ascii="Arial" w:hAnsi="Arial" w:eastAsia="Arial" w:cs="Arial"/>
        <w:b/>
        <w:bCs/>
        <w:w w:val="100"/>
        <w:sz w:val="28"/>
        <w:szCs w:val="28"/>
      </w:rPr>
    </w:lvl>
    <w:lvl w:ilvl="1">
      <w:start w:val="1"/>
      <w:numFmt w:val="decimal"/>
      <w:lvlText w:val="%1.%2"/>
      <w:lvlJc w:val="left"/>
      <w:pPr>
        <w:ind w:left="960" w:hanging="720"/>
        <w:jc w:val="left"/>
      </w:pPr>
      <w:rPr>
        <w:rFonts w:hint="default" w:ascii="Arial" w:hAnsi="Arial" w:eastAsia="Arial" w:cs="Arial"/>
        <w:b/>
        <w:bCs/>
        <w:w w:val="100"/>
        <w:sz w:val="24"/>
        <w:szCs w:val="24"/>
      </w:rPr>
    </w:lvl>
    <w:lvl w:ilvl="2">
      <w:start w:val="0"/>
      <w:numFmt w:val="bullet"/>
      <w:lvlText w:val=""/>
      <w:lvlJc w:val="left"/>
      <w:pPr>
        <w:ind w:left="1296" w:hanging="336"/>
      </w:pPr>
      <w:rPr>
        <w:rFonts w:hint="default" w:ascii="Wingdings" w:hAnsi="Wingdings" w:eastAsia="Wingdings" w:cs="Wingdings"/>
        <w:w w:val="100"/>
        <w:sz w:val="23"/>
        <w:szCs w:val="23"/>
      </w:rPr>
    </w:lvl>
    <w:lvl w:ilvl="3">
      <w:start w:val="0"/>
      <w:numFmt w:val="bullet"/>
      <w:lvlText w:val="•"/>
      <w:lvlJc w:val="left"/>
      <w:pPr>
        <w:ind w:left="1300" w:hanging="336"/>
      </w:pPr>
      <w:rPr>
        <w:rFonts w:hint="default"/>
      </w:rPr>
    </w:lvl>
    <w:lvl w:ilvl="4">
      <w:start w:val="0"/>
      <w:numFmt w:val="bullet"/>
      <w:lvlText w:val="•"/>
      <w:lvlJc w:val="left"/>
      <w:pPr>
        <w:ind w:left="2522" w:hanging="336"/>
      </w:pPr>
      <w:rPr>
        <w:rFonts w:hint="default"/>
      </w:rPr>
    </w:lvl>
    <w:lvl w:ilvl="5">
      <w:start w:val="0"/>
      <w:numFmt w:val="bullet"/>
      <w:lvlText w:val="•"/>
      <w:lvlJc w:val="left"/>
      <w:pPr>
        <w:ind w:left="3745" w:hanging="336"/>
      </w:pPr>
      <w:rPr>
        <w:rFonts w:hint="default"/>
      </w:rPr>
    </w:lvl>
    <w:lvl w:ilvl="6">
      <w:start w:val="0"/>
      <w:numFmt w:val="bullet"/>
      <w:lvlText w:val="•"/>
      <w:lvlJc w:val="left"/>
      <w:pPr>
        <w:ind w:left="4968" w:hanging="336"/>
      </w:pPr>
      <w:rPr>
        <w:rFonts w:hint="default"/>
      </w:rPr>
    </w:lvl>
    <w:lvl w:ilvl="7">
      <w:start w:val="0"/>
      <w:numFmt w:val="bullet"/>
      <w:lvlText w:val="•"/>
      <w:lvlJc w:val="left"/>
      <w:pPr>
        <w:ind w:left="6191" w:hanging="336"/>
      </w:pPr>
      <w:rPr>
        <w:rFonts w:hint="default"/>
      </w:rPr>
    </w:lvl>
    <w:lvl w:ilvl="8">
      <w:start w:val="0"/>
      <w:numFmt w:val="bullet"/>
      <w:lvlText w:val="•"/>
      <w:lvlJc w:val="left"/>
      <w:pPr>
        <w:ind w:left="7414" w:hanging="336"/>
      </w:pPr>
      <w:rPr>
        <w:rFonts w:hint="default"/>
      </w:rPr>
    </w:lvl>
  </w:abstractNum>
  <w:abstractNum w:abstractNumId="20">
    <w:multiLevelType w:val="hybridMultilevel"/>
    <w:lvl w:ilvl="0">
      <w:start w:val="1"/>
      <w:numFmt w:val="decimal"/>
      <w:lvlText w:val="%1)"/>
      <w:lvlJc w:val="left"/>
      <w:pPr>
        <w:ind w:left="599" w:hanging="361"/>
        <w:jc w:val="left"/>
      </w:pPr>
      <w:rPr>
        <w:rFonts w:hint="default" w:ascii="Arial" w:hAnsi="Arial" w:eastAsia="Arial" w:cs="Arial"/>
        <w:spacing w:val="-1"/>
        <w:w w:val="99"/>
        <w:sz w:val="20"/>
        <w:szCs w:val="20"/>
      </w:rPr>
    </w:lvl>
    <w:lvl w:ilvl="1">
      <w:start w:val="0"/>
      <w:numFmt w:val="bullet"/>
      <w:lvlText w:val="•"/>
      <w:lvlJc w:val="left"/>
      <w:pPr>
        <w:ind w:left="1538" w:hanging="361"/>
      </w:pPr>
      <w:rPr>
        <w:rFonts w:hint="default"/>
      </w:rPr>
    </w:lvl>
    <w:lvl w:ilvl="2">
      <w:start w:val="0"/>
      <w:numFmt w:val="bullet"/>
      <w:lvlText w:val="•"/>
      <w:lvlJc w:val="left"/>
      <w:pPr>
        <w:ind w:left="2476" w:hanging="361"/>
      </w:pPr>
      <w:rPr>
        <w:rFonts w:hint="default"/>
      </w:rPr>
    </w:lvl>
    <w:lvl w:ilvl="3">
      <w:start w:val="0"/>
      <w:numFmt w:val="bullet"/>
      <w:lvlText w:val="•"/>
      <w:lvlJc w:val="left"/>
      <w:pPr>
        <w:ind w:left="3414" w:hanging="361"/>
      </w:pPr>
      <w:rPr>
        <w:rFonts w:hint="default"/>
      </w:rPr>
    </w:lvl>
    <w:lvl w:ilvl="4">
      <w:start w:val="0"/>
      <w:numFmt w:val="bullet"/>
      <w:lvlText w:val="•"/>
      <w:lvlJc w:val="left"/>
      <w:pPr>
        <w:ind w:left="4352" w:hanging="361"/>
      </w:pPr>
      <w:rPr>
        <w:rFonts w:hint="default"/>
      </w:rPr>
    </w:lvl>
    <w:lvl w:ilvl="5">
      <w:start w:val="0"/>
      <w:numFmt w:val="bullet"/>
      <w:lvlText w:val="•"/>
      <w:lvlJc w:val="left"/>
      <w:pPr>
        <w:ind w:left="5290" w:hanging="361"/>
      </w:pPr>
      <w:rPr>
        <w:rFonts w:hint="default"/>
      </w:rPr>
    </w:lvl>
    <w:lvl w:ilvl="6">
      <w:start w:val="0"/>
      <w:numFmt w:val="bullet"/>
      <w:lvlText w:val="•"/>
      <w:lvlJc w:val="left"/>
      <w:pPr>
        <w:ind w:left="6228" w:hanging="361"/>
      </w:pPr>
      <w:rPr>
        <w:rFonts w:hint="default"/>
      </w:rPr>
    </w:lvl>
    <w:lvl w:ilvl="7">
      <w:start w:val="0"/>
      <w:numFmt w:val="bullet"/>
      <w:lvlText w:val="•"/>
      <w:lvlJc w:val="left"/>
      <w:pPr>
        <w:ind w:left="7166" w:hanging="361"/>
      </w:pPr>
      <w:rPr>
        <w:rFonts w:hint="default"/>
      </w:rPr>
    </w:lvl>
    <w:lvl w:ilvl="8">
      <w:start w:val="0"/>
      <w:numFmt w:val="bullet"/>
      <w:lvlText w:val="•"/>
      <w:lvlJc w:val="left"/>
      <w:pPr>
        <w:ind w:left="8104" w:hanging="361"/>
      </w:pPr>
      <w:rPr>
        <w:rFonts w:hint="default"/>
      </w:rPr>
    </w:lvl>
  </w:abstractNum>
  <w:abstractNum w:abstractNumId="19">
    <w:multiLevelType w:val="hybridMultilevel"/>
    <w:lvl w:ilvl="0">
      <w:start w:val="1"/>
      <w:numFmt w:val="decimal"/>
      <w:lvlText w:val="%1."/>
      <w:lvlJc w:val="left"/>
      <w:pPr>
        <w:ind w:left="760" w:hanging="360"/>
        <w:jc w:val="left"/>
      </w:pPr>
      <w:rPr>
        <w:rFonts w:hint="default" w:ascii="Arial" w:hAnsi="Arial" w:eastAsia="Arial" w:cs="Arial"/>
        <w:spacing w:val="0"/>
        <w:w w:val="99"/>
        <w:sz w:val="20"/>
        <w:szCs w:val="20"/>
      </w:rPr>
    </w:lvl>
    <w:lvl w:ilvl="1">
      <w:start w:val="0"/>
      <w:numFmt w:val="bullet"/>
      <w:lvlText w:val="•"/>
      <w:lvlJc w:val="left"/>
      <w:pPr>
        <w:ind w:left="1626" w:hanging="360"/>
      </w:pPr>
      <w:rPr>
        <w:rFonts w:hint="default"/>
      </w:rPr>
    </w:lvl>
    <w:lvl w:ilvl="2">
      <w:start w:val="0"/>
      <w:numFmt w:val="bullet"/>
      <w:lvlText w:val="•"/>
      <w:lvlJc w:val="left"/>
      <w:pPr>
        <w:ind w:left="2493" w:hanging="360"/>
      </w:pPr>
      <w:rPr>
        <w:rFonts w:hint="default"/>
      </w:rPr>
    </w:lvl>
    <w:lvl w:ilvl="3">
      <w:start w:val="0"/>
      <w:numFmt w:val="bullet"/>
      <w:lvlText w:val="•"/>
      <w:lvlJc w:val="left"/>
      <w:pPr>
        <w:ind w:left="3360" w:hanging="360"/>
      </w:pPr>
      <w:rPr>
        <w:rFonts w:hint="default"/>
      </w:rPr>
    </w:lvl>
    <w:lvl w:ilvl="4">
      <w:start w:val="0"/>
      <w:numFmt w:val="bullet"/>
      <w:lvlText w:val="•"/>
      <w:lvlJc w:val="left"/>
      <w:pPr>
        <w:ind w:left="4227" w:hanging="360"/>
      </w:pPr>
      <w:rPr>
        <w:rFonts w:hint="default"/>
      </w:rPr>
    </w:lvl>
    <w:lvl w:ilvl="5">
      <w:start w:val="0"/>
      <w:numFmt w:val="bullet"/>
      <w:lvlText w:val="•"/>
      <w:lvlJc w:val="left"/>
      <w:pPr>
        <w:ind w:left="5094" w:hanging="360"/>
      </w:pPr>
      <w:rPr>
        <w:rFonts w:hint="default"/>
      </w:rPr>
    </w:lvl>
    <w:lvl w:ilvl="6">
      <w:start w:val="0"/>
      <w:numFmt w:val="bullet"/>
      <w:lvlText w:val="•"/>
      <w:lvlJc w:val="left"/>
      <w:pPr>
        <w:ind w:left="5960" w:hanging="360"/>
      </w:pPr>
      <w:rPr>
        <w:rFonts w:hint="default"/>
      </w:rPr>
    </w:lvl>
    <w:lvl w:ilvl="7">
      <w:start w:val="0"/>
      <w:numFmt w:val="bullet"/>
      <w:lvlText w:val="•"/>
      <w:lvlJc w:val="left"/>
      <w:pPr>
        <w:ind w:left="6827" w:hanging="360"/>
      </w:pPr>
      <w:rPr>
        <w:rFonts w:hint="default"/>
      </w:rPr>
    </w:lvl>
    <w:lvl w:ilvl="8">
      <w:start w:val="0"/>
      <w:numFmt w:val="bullet"/>
      <w:lvlText w:val="•"/>
      <w:lvlJc w:val="left"/>
      <w:pPr>
        <w:ind w:left="7694" w:hanging="360"/>
      </w:pPr>
      <w:rPr>
        <w:rFonts w:hint="default"/>
      </w:rPr>
    </w:lvl>
  </w:abstractNum>
  <w:abstractNum w:abstractNumId="16">
    <w:multiLevelType w:val="hybridMultilevel"/>
    <w:lvl w:ilvl="0">
      <w:start w:val="1"/>
      <w:numFmt w:val="decimal"/>
      <w:lvlText w:val="%1."/>
      <w:lvlJc w:val="left"/>
      <w:pPr>
        <w:ind w:left="599" w:hanging="360"/>
        <w:jc w:val="left"/>
      </w:pPr>
      <w:rPr>
        <w:rFonts w:hint="default" w:ascii="Arial" w:hAnsi="Arial" w:eastAsia="Arial" w:cs="Arial"/>
        <w:spacing w:val="-1"/>
        <w:w w:val="99"/>
        <w:sz w:val="20"/>
        <w:szCs w:val="20"/>
      </w:rPr>
    </w:lvl>
    <w:lvl w:ilvl="1">
      <w:start w:val="0"/>
      <w:numFmt w:val="bullet"/>
      <w:lvlText w:val="•"/>
      <w:lvlJc w:val="left"/>
      <w:pPr>
        <w:ind w:left="1538" w:hanging="360"/>
      </w:pPr>
      <w:rPr>
        <w:rFonts w:hint="default"/>
      </w:rPr>
    </w:lvl>
    <w:lvl w:ilvl="2">
      <w:start w:val="0"/>
      <w:numFmt w:val="bullet"/>
      <w:lvlText w:val="•"/>
      <w:lvlJc w:val="left"/>
      <w:pPr>
        <w:ind w:left="2476" w:hanging="360"/>
      </w:pPr>
      <w:rPr>
        <w:rFonts w:hint="default"/>
      </w:rPr>
    </w:lvl>
    <w:lvl w:ilvl="3">
      <w:start w:val="0"/>
      <w:numFmt w:val="bullet"/>
      <w:lvlText w:val="•"/>
      <w:lvlJc w:val="left"/>
      <w:pPr>
        <w:ind w:left="3414" w:hanging="360"/>
      </w:pPr>
      <w:rPr>
        <w:rFonts w:hint="default"/>
      </w:rPr>
    </w:lvl>
    <w:lvl w:ilvl="4">
      <w:start w:val="0"/>
      <w:numFmt w:val="bullet"/>
      <w:lvlText w:val="•"/>
      <w:lvlJc w:val="left"/>
      <w:pPr>
        <w:ind w:left="4352" w:hanging="360"/>
      </w:pPr>
      <w:rPr>
        <w:rFonts w:hint="default"/>
      </w:rPr>
    </w:lvl>
    <w:lvl w:ilvl="5">
      <w:start w:val="0"/>
      <w:numFmt w:val="bullet"/>
      <w:lvlText w:val="•"/>
      <w:lvlJc w:val="left"/>
      <w:pPr>
        <w:ind w:left="5290" w:hanging="360"/>
      </w:pPr>
      <w:rPr>
        <w:rFonts w:hint="default"/>
      </w:rPr>
    </w:lvl>
    <w:lvl w:ilvl="6">
      <w:start w:val="0"/>
      <w:numFmt w:val="bullet"/>
      <w:lvlText w:val="•"/>
      <w:lvlJc w:val="left"/>
      <w:pPr>
        <w:ind w:left="6228" w:hanging="360"/>
      </w:pPr>
      <w:rPr>
        <w:rFonts w:hint="default"/>
      </w:rPr>
    </w:lvl>
    <w:lvl w:ilvl="7">
      <w:start w:val="0"/>
      <w:numFmt w:val="bullet"/>
      <w:lvlText w:val="•"/>
      <w:lvlJc w:val="left"/>
      <w:pPr>
        <w:ind w:left="7166" w:hanging="360"/>
      </w:pPr>
      <w:rPr>
        <w:rFonts w:hint="default"/>
      </w:rPr>
    </w:lvl>
    <w:lvl w:ilvl="8">
      <w:start w:val="0"/>
      <w:numFmt w:val="bullet"/>
      <w:lvlText w:val="•"/>
      <w:lvlJc w:val="left"/>
      <w:pPr>
        <w:ind w:left="8104" w:hanging="360"/>
      </w:pPr>
      <w:rPr>
        <w:rFonts w:hint="default"/>
      </w:rPr>
    </w:lvl>
  </w:abstractNum>
  <w:abstractNum w:abstractNumId="15">
    <w:multiLevelType w:val="hybridMultilevel"/>
    <w:lvl w:ilvl="0">
      <w:start w:val="2"/>
      <w:numFmt w:val="decimal"/>
      <w:lvlText w:val="%1"/>
      <w:lvlJc w:val="left"/>
      <w:pPr>
        <w:ind w:left="959" w:hanging="720"/>
        <w:jc w:val="left"/>
      </w:pPr>
      <w:rPr>
        <w:rFonts w:hint="default"/>
      </w:rPr>
    </w:lvl>
    <w:lvl w:ilvl="1">
      <w:start w:val="5"/>
      <w:numFmt w:val="decimal"/>
      <w:lvlText w:val="%1.%2"/>
      <w:lvlJc w:val="left"/>
      <w:pPr>
        <w:ind w:left="959" w:hanging="720"/>
        <w:jc w:val="left"/>
      </w:pPr>
      <w:rPr>
        <w:rFonts w:hint="default"/>
      </w:rPr>
    </w:lvl>
    <w:lvl w:ilvl="2">
      <w:start w:val="4"/>
      <w:numFmt w:val="decimal"/>
      <w:lvlText w:val="%1.%2.%3"/>
      <w:lvlJc w:val="left"/>
      <w:pPr>
        <w:ind w:left="959" w:hanging="720"/>
        <w:jc w:val="left"/>
      </w:pPr>
      <w:rPr>
        <w:rFonts w:hint="default"/>
      </w:rPr>
    </w:lvl>
    <w:lvl w:ilvl="3">
      <w:start w:val="4"/>
      <w:numFmt w:val="decimal"/>
      <w:lvlText w:val="%1.%2.%3.%4"/>
      <w:lvlJc w:val="left"/>
      <w:pPr>
        <w:ind w:left="959" w:hanging="720"/>
        <w:jc w:val="left"/>
      </w:pPr>
      <w:rPr>
        <w:rFonts w:hint="default" w:ascii="Arial" w:hAnsi="Arial" w:eastAsia="Arial" w:cs="Arial"/>
        <w:b/>
        <w:bCs/>
        <w:spacing w:val="-1"/>
        <w:w w:val="99"/>
        <w:sz w:val="20"/>
        <w:szCs w:val="20"/>
      </w:rPr>
    </w:lvl>
    <w:lvl w:ilvl="4">
      <w:start w:val="0"/>
      <w:numFmt w:val="bullet"/>
      <w:lvlText w:val="•"/>
      <w:lvlJc w:val="left"/>
      <w:pPr>
        <w:ind w:left="4568" w:hanging="720"/>
      </w:pPr>
      <w:rPr>
        <w:rFonts w:hint="default"/>
      </w:rPr>
    </w:lvl>
    <w:lvl w:ilvl="5">
      <w:start w:val="0"/>
      <w:numFmt w:val="bullet"/>
      <w:lvlText w:val="•"/>
      <w:lvlJc w:val="left"/>
      <w:pPr>
        <w:ind w:left="5470" w:hanging="720"/>
      </w:pPr>
      <w:rPr>
        <w:rFonts w:hint="default"/>
      </w:rPr>
    </w:lvl>
    <w:lvl w:ilvl="6">
      <w:start w:val="0"/>
      <w:numFmt w:val="bullet"/>
      <w:lvlText w:val="•"/>
      <w:lvlJc w:val="left"/>
      <w:pPr>
        <w:ind w:left="6372" w:hanging="720"/>
      </w:pPr>
      <w:rPr>
        <w:rFonts w:hint="default"/>
      </w:rPr>
    </w:lvl>
    <w:lvl w:ilvl="7">
      <w:start w:val="0"/>
      <w:numFmt w:val="bullet"/>
      <w:lvlText w:val="•"/>
      <w:lvlJc w:val="left"/>
      <w:pPr>
        <w:ind w:left="7274" w:hanging="720"/>
      </w:pPr>
      <w:rPr>
        <w:rFonts w:hint="default"/>
      </w:rPr>
    </w:lvl>
    <w:lvl w:ilvl="8">
      <w:start w:val="0"/>
      <w:numFmt w:val="bullet"/>
      <w:lvlText w:val="•"/>
      <w:lvlJc w:val="left"/>
      <w:pPr>
        <w:ind w:left="8176" w:hanging="720"/>
      </w:pPr>
      <w:rPr>
        <w:rFonts w:hint="default"/>
      </w:rPr>
    </w:lvl>
  </w:abstractNum>
  <w:abstractNum w:abstractNumId="14">
    <w:multiLevelType w:val="hybridMultilevel"/>
    <w:lvl w:ilvl="0">
      <w:start w:val="0"/>
      <w:numFmt w:val="bullet"/>
      <w:lvlText w:val=""/>
      <w:lvlJc w:val="left"/>
      <w:pPr>
        <w:ind w:left="240" w:hanging="360"/>
      </w:pPr>
      <w:rPr>
        <w:rFonts w:hint="default" w:ascii="Symbol" w:hAnsi="Symbol" w:eastAsia="Symbol" w:cs="Symbol"/>
        <w:w w:val="99"/>
        <w:sz w:val="20"/>
        <w:szCs w:val="20"/>
      </w:rPr>
    </w:lvl>
    <w:lvl w:ilvl="1">
      <w:start w:val="0"/>
      <w:numFmt w:val="bullet"/>
      <w:lvlText w:val="o"/>
      <w:lvlJc w:val="left"/>
      <w:pPr>
        <w:ind w:left="1319" w:hanging="360"/>
      </w:pPr>
      <w:rPr>
        <w:rFonts w:hint="default" w:ascii="Courier New" w:hAnsi="Courier New" w:eastAsia="Courier New" w:cs="Courier New"/>
        <w:w w:val="99"/>
        <w:sz w:val="20"/>
        <w:szCs w:val="20"/>
      </w:rPr>
    </w:lvl>
    <w:lvl w:ilvl="2">
      <w:start w:val="0"/>
      <w:numFmt w:val="bullet"/>
      <w:lvlText w:val="•"/>
      <w:lvlJc w:val="left"/>
      <w:pPr>
        <w:ind w:left="2282" w:hanging="360"/>
      </w:pPr>
      <w:rPr>
        <w:rFonts w:hint="default"/>
      </w:rPr>
    </w:lvl>
    <w:lvl w:ilvl="3">
      <w:start w:val="0"/>
      <w:numFmt w:val="bullet"/>
      <w:lvlText w:val="•"/>
      <w:lvlJc w:val="left"/>
      <w:pPr>
        <w:ind w:left="3244" w:hanging="360"/>
      </w:pPr>
      <w:rPr>
        <w:rFonts w:hint="default"/>
      </w:rPr>
    </w:lvl>
    <w:lvl w:ilvl="4">
      <w:start w:val="0"/>
      <w:numFmt w:val="bullet"/>
      <w:lvlText w:val="•"/>
      <w:lvlJc w:val="left"/>
      <w:pPr>
        <w:ind w:left="4206" w:hanging="360"/>
      </w:pPr>
      <w:rPr>
        <w:rFonts w:hint="default"/>
      </w:rPr>
    </w:lvl>
    <w:lvl w:ilvl="5">
      <w:start w:val="0"/>
      <w:numFmt w:val="bullet"/>
      <w:lvlText w:val="•"/>
      <w:lvlJc w:val="left"/>
      <w:pPr>
        <w:ind w:left="5168" w:hanging="360"/>
      </w:pPr>
      <w:rPr>
        <w:rFonts w:hint="default"/>
      </w:rPr>
    </w:lvl>
    <w:lvl w:ilvl="6">
      <w:start w:val="0"/>
      <w:numFmt w:val="bullet"/>
      <w:lvlText w:val="•"/>
      <w:lvlJc w:val="left"/>
      <w:pPr>
        <w:ind w:left="6131" w:hanging="360"/>
      </w:pPr>
      <w:rPr>
        <w:rFonts w:hint="default"/>
      </w:rPr>
    </w:lvl>
    <w:lvl w:ilvl="7">
      <w:start w:val="0"/>
      <w:numFmt w:val="bullet"/>
      <w:lvlText w:val="•"/>
      <w:lvlJc w:val="left"/>
      <w:pPr>
        <w:ind w:left="7093" w:hanging="360"/>
      </w:pPr>
      <w:rPr>
        <w:rFonts w:hint="default"/>
      </w:rPr>
    </w:lvl>
    <w:lvl w:ilvl="8">
      <w:start w:val="0"/>
      <w:numFmt w:val="bullet"/>
      <w:lvlText w:val="•"/>
      <w:lvlJc w:val="left"/>
      <w:pPr>
        <w:ind w:left="8055" w:hanging="360"/>
      </w:pPr>
      <w:rPr>
        <w:rFonts w:hint="default"/>
      </w:rPr>
    </w:lvl>
  </w:abstractNum>
  <w:abstractNum w:abstractNumId="13">
    <w:multiLevelType w:val="hybridMultilevel"/>
    <w:lvl w:ilvl="0">
      <w:start w:val="1"/>
      <w:numFmt w:val="decimal"/>
      <w:lvlText w:val="%1."/>
      <w:lvlJc w:val="left"/>
      <w:pPr>
        <w:ind w:left="1431" w:hanging="224"/>
        <w:jc w:val="left"/>
      </w:pPr>
      <w:rPr>
        <w:rFonts w:hint="default" w:ascii="Arial" w:hAnsi="Arial" w:eastAsia="Arial" w:cs="Arial"/>
        <w:spacing w:val="-1"/>
        <w:w w:val="100"/>
        <w:sz w:val="16"/>
        <w:szCs w:val="16"/>
      </w:rPr>
    </w:lvl>
    <w:lvl w:ilvl="1">
      <w:start w:val="0"/>
      <w:numFmt w:val="bullet"/>
      <w:lvlText w:val="•"/>
      <w:lvlJc w:val="left"/>
      <w:pPr>
        <w:ind w:left="2219" w:hanging="224"/>
      </w:pPr>
      <w:rPr>
        <w:rFonts w:hint="default"/>
      </w:rPr>
    </w:lvl>
    <w:lvl w:ilvl="2">
      <w:start w:val="0"/>
      <w:numFmt w:val="bullet"/>
      <w:lvlText w:val="•"/>
      <w:lvlJc w:val="left"/>
      <w:pPr>
        <w:ind w:left="2999" w:hanging="224"/>
      </w:pPr>
      <w:rPr>
        <w:rFonts w:hint="default"/>
      </w:rPr>
    </w:lvl>
    <w:lvl w:ilvl="3">
      <w:start w:val="0"/>
      <w:numFmt w:val="bullet"/>
      <w:lvlText w:val="•"/>
      <w:lvlJc w:val="left"/>
      <w:pPr>
        <w:ind w:left="3778" w:hanging="224"/>
      </w:pPr>
      <w:rPr>
        <w:rFonts w:hint="default"/>
      </w:rPr>
    </w:lvl>
    <w:lvl w:ilvl="4">
      <w:start w:val="0"/>
      <w:numFmt w:val="bullet"/>
      <w:lvlText w:val="•"/>
      <w:lvlJc w:val="left"/>
      <w:pPr>
        <w:ind w:left="4558" w:hanging="224"/>
      </w:pPr>
      <w:rPr>
        <w:rFonts w:hint="default"/>
      </w:rPr>
    </w:lvl>
    <w:lvl w:ilvl="5">
      <w:start w:val="0"/>
      <w:numFmt w:val="bullet"/>
      <w:lvlText w:val="•"/>
      <w:lvlJc w:val="left"/>
      <w:pPr>
        <w:ind w:left="5338" w:hanging="224"/>
      </w:pPr>
      <w:rPr>
        <w:rFonts w:hint="default"/>
      </w:rPr>
    </w:lvl>
    <w:lvl w:ilvl="6">
      <w:start w:val="0"/>
      <w:numFmt w:val="bullet"/>
      <w:lvlText w:val="•"/>
      <w:lvlJc w:val="left"/>
      <w:pPr>
        <w:ind w:left="6117" w:hanging="224"/>
      </w:pPr>
      <w:rPr>
        <w:rFonts w:hint="default"/>
      </w:rPr>
    </w:lvl>
    <w:lvl w:ilvl="7">
      <w:start w:val="0"/>
      <w:numFmt w:val="bullet"/>
      <w:lvlText w:val="•"/>
      <w:lvlJc w:val="left"/>
      <w:pPr>
        <w:ind w:left="6897" w:hanging="224"/>
      </w:pPr>
      <w:rPr>
        <w:rFonts w:hint="default"/>
      </w:rPr>
    </w:lvl>
    <w:lvl w:ilvl="8">
      <w:start w:val="0"/>
      <w:numFmt w:val="bullet"/>
      <w:lvlText w:val="•"/>
      <w:lvlJc w:val="left"/>
      <w:pPr>
        <w:ind w:left="7676" w:hanging="224"/>
      </w:pPr>
      <w:rPr>
        <w:rFonts w:hint="default"/>
      </w:rPr>
    </w:lvl>
  </w:abstractNum>
  <w:abstractNum w:abstractNumId="12">
    <w:multiLevelType w:val="hybridMultilevel"/>
    <w:lvl w:ilvl="0">
      <w:start w:val="10"/>
      <w:numFmt w:val="decimal"/>
      <w:lvlText w:val="%1"/>
      <w:lvlJc w:val="left"/>
      <w:pPr>
        <w:ind w:left="334" w:hanging="277"/>
        <w:jc w:val="left"/>
      </w:pPr>
      <w:rPr>
        <w:rFonts w:hint="default" w:ascii="Arial" w:hAnsi="Arial" w:eastAsia="Arial" w:cs="Arial"/>
        <w:spacing w:val="-1"/>
        <w:w w:val="99"/>
        <w:sz w:val="20"/>
        <w:szCs w:val="20"/>
      </w:rPr>
    </w:lvl>
    <w:lvl w:ilvl="1">
      <w:start w:val="0"/>
      <w:numFmt w:val="bullet"/>
      <w:lvlText w:val="•"/>
      <w:lvlJc w:val="left"/>
      <w:pPr>
        <w:ind w:left="759" w:hanging="277"/>
      </w:pPr>
      <w:rPr>
        <w:rFonts w:hint="default"/>
      </w:rPr>
    </w:lvl>
    <w:lvl w:ilvl="2">
      <w:start w:val="0"/>
      <w:numFmt w:val="bullet"/>
      <w:lvlText w:val="•"/>
      <w:lvlJc w:val="left"/>
      <w:pPr>
        <w:ind w:left="1179" w:hanging="277"/>
      </w:pPr>
      <w:rPr>
        <w:rFonts w:hint="default"/>
      </w:rPr>
    </w:lvl>
    <w:lvl w:ilvl="3">
      <w:start w:val="0"/>
      <w:numFmt w:val="bullet"/>
      <w:lvlText w:val="•"/>
      <w:lvlJc w:val="left"/>
      <w:pPr>
        <w:ind w:left="1598" w:hanging="277"/>
      </w:pPr>
      <w:rPr>
        <w:rFonts w:hint="default"/>
      </w:rPr>
    </w:lvl>
    <w:lvl w:ilvl="4">
      <w:start w:val="0"/>
      <w:numFmt w:val="bullet"/>
      <w:lvlText w:val="•"/>
      <w:lvlJc w:val="left"/>
      <w:pPr>
        <w:ind w:left="2018" w:hanging="277"/>
      </w:pPr>
      <w:rPr>
        <w:rFonts w:hint="default"/>
      </w:rPr>
    </w:lvl>
    <w:lvl w:ilvl="5">
      <w:start w:val="0"/>
      <w:numFmt w:val="bullet"/>
      <w:lvlText w:val="•"/>
      <w:lvlJc w:val="left"/>
      <w:pPr>
        <w:ind w:left="2437" w:hanging="277"/>
      </w:pPr>
      <w:rPr>
        <w:rFonts w:hint="default"/>
      </w:rPr>
    </w:lvl>
    <w:lvl w:ilvl="6">
      <w:start w:val="0"/>
      <w:numFmt w:val="bullet"/>
      <w:lvlText w:val="•"/>
      <w:lvlJc w:val="left"/>
      <w:pPr>
        <w:ind w:left="2857" w:hanging="277"/>
      </w:pPr>
      <w:rPr>
        <w:rFonts w:hint="default"/>
      </w:rPr>
    </w:lvl>
    <w:lvl w:ilvl="7">
      <w:start w:val="0"/>
      <w:numFmt w:val="bullet"/>
      <w:lvlText w:val="•"/>
      <w:lvlJc w:val="left"/>
      <w:pPr>
        <w:ind w:left="3276" w:hanging="277"/>
      </w:pPr>
      <w:rPr>
        <w:rFonts w:hint="default"/>
      </w:rPr>
    </w:lvl>
    <w:lvl w:ilvl="8">
      <w:start w:val="0"/>
      <w:numFmt w:val="bullet"/>
      <w:lvlText w:val="•"/>
      <w:lvlJc w:val="left"/>
      <w:pPr>
        <w:ind w:left="3696" w:hanging="277"/>
      </w:pPr>
      <w:rPr>
        <w:rFonts w:hint="default"/>
      </w:rPr>
    </w:lvl>
  </w:abstractNum>
  <w:abstractNum w:abstractNumId="11">
    <w:multiLevelType w:val="hybridMultilevel"/>
    <w:lvl w:ilvl="0">
      <w:start w:val="1"/>
      <w:numFmt w:val="decimal"/>
      <w:lvlText w:val="%1."/>
      <w:lvlJc w:val="left"/>
      <w:pPr>
        <w:ind w:left="827" w:hanging="360"/>
        <w:jc w:val="left"/>
      </w:pPr>
      <w:rPr>
        <w:rFonts w:hint="default" w:ascii="Arial" w:hAnsi="Arial" w:eastAsia="Arial" w:cs="Arial"/>
        <w:spacing w:val="-2"/>
        <w:w w:val="100"/>
        <w:sz w:val="18"/>
        <w:szCs w:val="18"/>
      </w:rPr>
    </w:lvl>
    <w:lvl w:ilvl="1">
      <w:start w:val="0"/>
      <w:numFmt w:val="bullet"/>
      <w:lvlText w:val="•"/>
      <w:lvlJc w:val="left"/>
      <w:pPr>
        <w:ind w:left="1695" w:hanging="360"/>
      </w:pPr>
      <w:rPr>
        <w:rFonts w:hint="default"/>
      </w:rPr>
    </w:lvl>
    <w:lvl w:ilvl="2">
      <w:start w:val="0"/>
      <w:numFmt w:val="bullet"/>
      <w:lvlText w:val="•"/>
      <w:lvlJc w:val="left"/>
      <w:pPr>
        <w:ind w:left="2571" w:hanging="360"/>
      </w:pPr>
      <w:rPr>
        <w:rFonts w:hint="default"/>
      </w:rPr>
    </w:lvl>
    <w:lvl w:ilvl="3">
      <w:start w:val="0"/>
      <w:numFmt w:val="bullet"/>
      <w:lvlText w:val="•"/>
      <w:lvlJc w:val="left"/>
      <w:pPr>
        <w:ind w:left="3446" w:hanging="360"/>
      </w:pPr>
      <w:rPr>
        <w:rFonts w:hint="default"/>
      </w:rPr>
    </w:lvl>
    <w:lvl w:ilvl="4">
      <w:start w:val="0"/>
      <w:numFmt w:val="bullet"/>
      <w:lvlText w:val="•"/>
      <w:lvlJc w:val="left"/>
      <w:pPr>
        <w:ind w:left="4322" w:hanging="360"/>
      </w:pPr>
      <w:rPr>
        <w:rFonts w:hint="default"/>
      </w:rPr>
    </w:lvl>
    <w:lvl w:ilvl="5">
      <w:start w:val="0"/>
      <w:numFmt w:val="bullet"/>
      <w:lvlText w:val="•"/>
      <w:lvlJc w:val="left"/>
      <w:pPr>
        <w:ind w:left="5197" w:hanging="360"/>
      </w:pPr>
      <w:rPr>
        <w:rFonts w:hint="default"/>
      </w:rPr>
    </w:lvl>
    <w:lvl w:ilvl="6">
      <w:start w:val="0"/>
      <w:numFmt w:val="bullet"/>
      <w:lvlText w:val="•"/>
      <w:lvlJc w:val="left"/>
      <w:pPr>
        <w:ind w:left="6073" w:hanging="360"/>
      </w:pPr>
      <w:rPr>
        <w:rFonts w:hint="default"/>
      </w:rPr>
    </w:lvl>
    <w:lvl w:ilvl="7">
      <w:start w:val="0"/>
      <w:numFmt w:val="bullet"/>
      <w:lvlText w:val="•"/>
      <w:lvlJc w:val="left"/>
      <w:pPr>
        <w:ind w:left="6948" w:hanging="360"/>
      </w:pPr>
      <w:rPr>
        <w:rFonts w:hint="default"/>
      </w:rPr>
    </w:lvl>
    <w:lvl w:ilvl="8">
      <w:start w:val="0"/>
      <w:numFmt w:val="bullet"/>
      <w:lvlText w:val="•"/>
      <w:lvlJc w:val="left"/>
      <w:pPr>
        <w:ind w:left="7824" w:hanging="360"/>
      </w:pPr>
      <w:rPr>
        <w:rFonts w:hint="default"/>
      </w:rPr>
    </w:lvl>
  </w:abstractNum>
  <w:abstractNum w:abstractNumId="10">
    <w:multiLevelType w:val="hybridMultilevel"/>
    <w:lvl w:ilvl="0">
      <w:start w:val="1"/>
      <w:numFmt w:val="decimal"/>
      <w:lvlText w:val="%1."/>
      <w:lvlJc w:val="left"/>
      <w:pPr>
        <w:ind w:left="827" w:hanging="360"/>
        <w:jc w:val="left"/>
      </w:pPr>
      <w:rPr>
        <w:rFonts w:hint="default" w:ascii="Arial" w:hAnsi="Arial" w:eastAsia="Arial" w:cs="Arial"/>
        <w:spacing w:val="-1"/>
        <w:w w:val="99"/>
        <w:sz w:val="20"/>
        <w:szCs w:val="20"/>
      </w:rPr>
    </w:lvl>
    <w:lvl w:ilvl="1">
      <w:start w:val="0"/>
      <w:numFmt w:val="bullet"/>
      <w:lvlText w:val="•"/>
      <w:lvlJc w:val="left"/>
      <w:pPr>
        <w:ind w:left="1457" w:hanging="360"/>
      </w:pPr>
      <w:rPr>
        <w:rFonts w:hint="default"/>
      </w:rPr>
    </w:lvl>
    <w:lvl w:ilvl="2">
      <w:start w:val="0"/>
      <w:numFmt w:val="bullet"/>
      <w:lvlText w:val="•"/>
      <w:lvlJc w:val="left"/>
      <w:pPr>
        <w:ind w:left="2095" w:hanging="360"/>
      </w:pPr>
      <w:rPr>
        <w:rFonts w:hint="default"/>
      </w:rPr>
    </w:lvl>
    <w:lvl w:ilvl="3">
      <w:start w:val="0"/>
      <w:numFmt w:val="bullet"/>
      <w:lvlText w:val="•"/>
      <w:lvlJc w:val="left"/>
      <w:pPr>
        <w:ind w:left="2733" w:hanging="360"/>
      </w:pPr>
      <w:rPr>
        <w:rFonts w:hint="default"/>
      </w:rPr>
    </w:lvl>
    <w:lvl w:ilvl="4">
      <w:start w:val="0"/>
      <w:numFmt w:val="bullet"/>
      <w:lvlText w:val="•"/>
      <w:lvlJc w:val="left"/>
      <w:pPr>
        <w:ind w:left="3370" w:hanging="360"/>
      </w:pPr>
      <w:rPr>
        <w:rFonts w:hint="default"/>
      </w:rPr>
    </w:lvl>
    <w:lvl w:ilvl="5">
      <w:start w:val="0"/>
      <w:numFmt w:val="bullet"/>
      <w:lvlText w:val="•"/>
      <w:lvlJc w:val="left"/>
      <w:pPr>
        <w:ind w:left="4008" w:hanging="360"/>
      </w:pPr>
      <w:rPr>
        <w:rFonts w:hint="default"/>
      </w:rPr>
    </w:lvl>
    <w:lvl w:ilvl="6">
      <w:start w:val="0"/>
      <w:numFmt w:val="bullet"/>
      <w:lvlText w:val="•"/>
      <w:lvlJc w:val="left"/>
      <w:pPr>
        <w:ind w:left="4646" w:hanging="360"/>
      </w:pPr>
      <w:rPr>
        <w:rFonts w:hint="default"/>
      </w:rPr>
    </w:lvl>
    <w:lvl w:ilvl="7">
      <w:start w:val="0"/>
      <w:numFmt w:val="bullet"/>
      <w:lvlText w:val="•"/>
      <w:lvlJc w:val="left"/>
      <w:pPr>
        <w:ind w:left="5283" w:hanging="360"/>
      </w:pPr>
      <w:rPr>
        <w:rFonts w:hint="default"/>
      </w:rPr>
    </w:lvl>
    <w:lvl w:ilvl="8">
      <w:start w:val="0"/>
      <w:numFmt w:val="bullet"/>
      <w:lvlText w:val="•"/>
      <w:lvlJc w:val="left"/>
      <w:pPr>
        <w:ind w:left="5921" w:hanging="360"/>
      </w:pPr>
      <w:rPr>
        <w:rFonts w:hint="default"/>
      </w:rPr>
    </w:lvl>
  </w:abstractNum>
  <w:abstractNum w:abstractNumId="9">
    <w:multiLevelType w:val="hybridMultilevel"/>
    <w:lvl w:ilvl="0">
      <w:start w:val="0"/>
      <w:numFmt w:val="bullet"/>
      <w:lvlText w:val=""/>
      <w:lvlJc w:val="left"/>
      <w:pPr>
        <w:ind w:left="165" w:hanging="140"/>
      </w:pPr>
      <w:rPr>
        <w:rFonts w:hint="default" w:ascii="Symbol" w:hAnsi="Symbol" w:eastAsia="Symbol" w:cs="Symbol"/>
        <w:w w:val="52"/>
        <w:sz w:val="25"/>
        <w:szCs w:val="25"/>
      </w:rPr>
    </w:lvl>
    <w:lvl w:ilvl="1">
      <w:start w:val="0"/>
      <w:numFmt w:val="bullet"/>
      <w:lvlText w:val=""/>
      <w:lvlJc w:val="left"/>
      <w:pPr>
        <w:ind w:left="979" w:hanging="360"/>
      </w:pPr>
      <w:rPr>
        <w:rFonts w:hint="default" w:ascii="Symbol" w:hAnsi="Symbol" w:eastAsia="Symbol" w:cs="Symbol"/>
        <w:w w:val="99"/>
        <w:sz w:val="20"/>
        <w:szCs w:val="20"/>
      </w:rPr>
    </w:lvl>
    <w:lvl w:ilvl="2">
      <w:start w:val="0"/>
      <w:numFmt w:val="bullet"/>
      <w:lvlText w:val="•"/>
      <w:lvlJc w:val="left"/>
      <w:pPr>
        <w:ind w:left="1389" w:hanging="360"/>
      </w:pPr>
      <w:rPr>
        <w:rFonts w:hint="default"/>
      </w:rPr>
    </w:lvl>
    <w:lvl w:ilvl="3">
      <w:start w:val="0"/>
      <w:numFmt w:val="bullet"/>
      <w:lvlText w:val="•"/>
      <w:lvlJc w:val="left"/>
      <w:pPr>
        <w:ind w:left="1799" w:hanging="360"/>
      </w:pPr>
      <w:rPr>
        <w:rFonts w:hint="default"/>
      </w:rPr>
    </w:lvl>
    <w:lvl w:ilvl="4">
      <w:start w:val="0"/>
      <w:numFmt w:val="bullet"/>
      <w:lvlText w:val="•"/>
      <w:lvlJc w:val="left"/>
      <w:pPr>
        <w:ind w:left="2209" w:hanging="360"/>
      </w:pPr>
      <w:rPr>
        <w:rFonts w:hint="default"/>
      </w:rPr>
    </w:lvl>
    <w:lvl w:ilvl="5">
      <w:start w:val="0"/>
      <w:numFmt w:val="bullet"/>
      <w:lvlText w:val="•"/>
      <w:lvlJc w:val="left"/>
      <w:pPr>
        <w:ind w:left="2618" w:hanging="360"/>
      </w:pPr>
      <w:rPr>
        <w:rFonts w:hint="default"/>
      </w:rPr>
    </w:lvl>
    <w:lvl w:ilvl="6">
      <w:start w:val="0"/>
      <w:numFmt w:val="bullet"/>
      <w:lvlText w:val="•"/>
      <w:lvlJc w:val="left"/>
      <w:pPr>
        <w:ind w:left="3028" w:hanging="360"/>
      </w:pPr>
      <w:rPr>
        <w:rFonts w:hint="default"/>
      </w:rPr>
    </w:lvl>
    <w:lvl w:ilvl="7">
      <w:start w:val="0"/>
      <w:numFmt w:val="bullet"/>
      <w:lvlText w:val="•"/>
      <w:lvlJc w:val="left"/>
      <w:pPr>
        <w:ind w:left="3438" w:hanging="360"/>
      </w:pPr>
      <w:rPr>
        <w:rFonts w:hint="default"/>
      </w:rPr>
    </w:lvl>
    <w:lvl w:ilvl="8">
      <w:start w:val="0"/>
      <w:numFmt w:val="bullet"/>
      <w:lvlText w:val="•"/>
      <w:lvlJc w:val="left"/>
      <w:pPr>
        <w:ind w:left="3847" w:hanging="360"/>
      </w:pPr>
      <w:rPr>
        <w:rFonts w:hint="default"/>
      </w:rPr>
    </w:lvl>
  </w:abstractNum>
  <w:abstractNum w:abstractNumId="8">
    <w:multiLevelType w:val="hybridMultilevel"/>
    <w:lvl w:ilvl="0">
      <w:start w:val="1"/>
      <w:numFmt w:val="decimal"/>
      <w:lvlText w:val="%1."/>
      <w:lvlJc w:val="left"/>
      <w:pPr>
        <w:ind w:left="467" w:hanging="360"/>
        <w:jc w:val="left"/>
      </w:pPr>
      <w:rPr>
        <w:rFonts w:hint="default" w:ascii="Arial" w:hAnsi="Arial" w:eastAsia="Arial" w:cs="Arial"/>
        <w:spacing w:val="-1"/>
        <w:w w:val="99"/>
        <w:sz w:val="20"/>
        <w:szCs w:val="20"/>
      </w:rPr>
    </w:lvl>
    <w:lvl w:ilvl="1">
      <w:start w:val="0"/>
      <w:numFmt w:val="bullet"/>
      <w:lvlText w:val="•"/>
      <w:lvlJc w:val="left"/>
      <w:pPr>
        <w:ind w:left="1303" w:hanging="360"/>
      </w:pPr>
      <w:rPr>
        <w:rFonts w:hint="default"/>
      </w:rPr>
    </w:lvl>
    <w:lvl w:ilvl="2">
      <w:start w:val="0"/>
      <w:numFmt w:val="bullet"/>
      <w:lvlText w:val="•"/>
      <w:lvlJc w:val="left"/>
      <w:pPr>
        <w:ind w:left="2147" w:hanging="360"/>
      </w:pPr>
      <w:rPr>
        <w:rFonts w:hint="default"/>
      </w:rPr>
    </w:lvl>
    <w:lvl w:ilvl="3">
      <w:start w:val="0"/>
      <w:numFmt w:val="bullet"/>
      <w:lvlText w:val="•"/>
      <w:lvlJc w:val="left"/>
      <w:pPr>
        <w:ind w:left="2990" w:hanging="360"/>
      </w:pPr>
      <w:rPr>
        <w:rFonts w:hint="default"/>
      </w:rPr>
    </w:lvl>
    <w:lvl w:ilvl="4">
      <w:start w:val="0"/>
      <w:numFmt w:val="bullet"/>
      <w:lvlText w:val="•"/>
      <w:lvlJc w:val="left"/>
      <w:pPr>
        <w:ind w:left="3834" w:hanging="360"/>
      </w:pPr>
      <w:rPr>
        <w:rFonts w:hint="default"/>
      </w:rPr>
    </w:lvl>
    <w:lvl w:ilvl="5">
      <w:start w:val="0"/>
      <w:numFmt w:val="bullet"/>
      <w:lvlText w:val="•"/>
      <w:lvlJc w:val="left"/>
      <w:pPr>
        <w:ind w:left="4677" w:hanging="360"/>
      </w:pPr>
      <w:rPr>
        <w:rFonts w:hint="default"/>
      </w:rPr>
    </w:lvl>
    <w:lvl w:ilvl="6">
      <w:start w:val="0"/>
      <w:numFmt w:val="bullet"/>
      <w:lvlText w:val="•"/>
      <w:lvlJc w:val="left"/>
      <w:pPr>
        <w:ind w:left="5521" w:hanging="360"/>
      </w:pPr>
      <w:rPr>
        <w:rFonts w:hint="default"/>
      </w:rPr>
    </w:lvl>
    <w:lvl w:ilvl="7">
      <w:start w:val="0"/>
      <w:numFmt w:val="bullet"/>
      <w:lvlText w:val="•"/>
      <w:lvlJc w:val="left"/>
      <w:pPr>
        <w:ind w:left="6364" w:hanging="360"/>
      </w:pPr>
      <w:rPr>
        <w:rFonts w:hint="default"/>
      </w:rPr>
    </w:lvl>
    <w:lvl w:ilvl="8">
      <w:start w:val="0"/>
      <w:numFmt w:val="bullet"/>
      <w:lvlText w:val="•"/>
      <w:lvlJc w:val="left"/>
      <w:pPr>
        <w:ind w:left="7208" w:hanging="360"/>
      </w:pPr>
      <w:rPr>
        <w:rFonts w:hint="default"/>
      </w:rPr>
    </w:lvl>
  </w:abstractNum>
  <w:abstractNum w:abstractNumId="7">
    <w:multiLevelType w:val="hybridMultilevel"/>
    <w:lvl w:ilvl="0">
      <w:start w:val="1"/>
      <w:numFmt w:val="decimal"/>
      <w:lvlText w:val="%1."/>
      <w:lvlJc w:val="left"/>
      <w:pPr>
        <w:ind w:left="467" w:hanging="360"/>
        <w:jc w:val="left"/>
      </w:pPr>
      <w:rPr>
        <w:rFonts w:hint="default" w:ascii="Arial" w:hAnsi="Arial" w:eastAsia="Arial" w:cs="Arial"/>
        <w:spacing w:val="-1"/>
        <w:w w:val="99"/>
        <w:sz w:val="20"/>
        <w:szCs w:val="20"/>
      </w:rPr>
    </w:lvl>
    <w:lvl w:ilvl="1">
      <w:start w:val="0"/>
      <w:numFmt w:val="bullet"/>
      <w:lvlText w:val="•"/>
      <w:lvlJc w:val="left"/>
      <w:pPr>
        <w:ind w:left="1266" w:hanging="360"/>
      </w:pPr>
      <w:rPr>
        <w:rFonts w:hint="default"/>
      </w:rPr>
    </w:lvl>
    <w:lvl w:ilvl="2">
      <w:start w:val="0"/>
      <w:numFmt w:val="bullet"/>
      <w:lvlText w:val="•"/>
      <w:lvlJc w:val="left"/>
      <w:pPr>
        <w:ind w:left="2072" w:hanging="360"/>
      </w:pPr>
      <w:rPr>
        <w:rFonts w:hint="default"/>
      </w:rPr>
    </w:lvl>
    <w:lvl w:ilvl="3">
      <w:start w:val="0"/>
      <w:numFmt w:val="bullet"/>
      <w:lvlText w:val="•"/>
      <w:lvlJc w:val="left"/>
      <w:pPr>
        <w:ind w:left="2879" w:hanging="360"/>
      </w:pPr>
      <w:rPr>
        <w:rFonts w:hint="default"/>
      </w:rPr>
    </w:lvl>
    <w:lvl w:ilvl="4">
      <w:start w:val="0"/>
      <w:numFmt w:val="bullet"/>
      <w:lvlText w:val="•"/>
      <w:lvlJc w:val="left"/>
      <w:pPr>
        <w:ind w:left="3685" w:hanging="360"/>
      </w:pPr>
      <w:rPr>
        <w:rFonts w:hint="default"/>
      </w:rPr>
    </w:lvl>
    <w:lvl w:ilvl="5">
      <w:start w:val="0"/>
      <w:numFmt w:val="bullet"/>
      <w:lvlText w:val="•"/>
      <w:lvlJc w:val="left"/>
      <w:pPr>
        <w:ind w:left="4492" w:hanging="360"/>
      </w:pPr>
      <w:rPr>
        <w:rFonts w:hint="default"/>
      </w:rPr>
    </w:lvl>
    <w:lvl w:ilvl="6">
      <w:start w:val="0"/>
      <w:numFmt w:val="bullet"/>
      <w:lvlText w:val="•"/>
      <w:lvlJc w:val="left"/>
      <w:pPr>
        <w:ind w:left="5298" w:hanging="360"/>
      </w:pPr>
      <w:rPr>
        <w:rFonts w:hint="default"/>
      </w:rPr>
    </w:lvl>
    <w:lvl w:ilvl="7">
      <w:start w:val="0"/>
      <w:numFmt w:val="bullet"/>
      <w:lvlText w:val="•"/>
      <w:lvlJc w:val="left"/>
      <w:pPr>
        <w:ind w:left="6104" w:hanging="360"/>
      </w:pPr>
      <w:rPr>
        <w:rFonts w:hint="default"/>
      </w:rPr>
    </w:lvl>
    <w:lvl w:ilvl="8">
      <w:start w:val="0"/>
      <w:numFmt w:val="bullet"/>
      <w:lvlText w:val="•"/>
      <w:lvlJc w:val="left"/>
      <w:pPr>
        <w:ind w:left="6911" w:hanging="360"/>
      </w:pPr>
      <w:rPr>
        <w:rFonts w:hint="default"/>
      </w:rPr>
    </w:lvl>
  </w:abstractNum>
  <w:abstractNum w:abstractNumId="6">
    <w:multiLevelType w:val="hybridMultilevel"/>
    <w:lvl w:ilvl="0">
      <w:start w:val="1"/>
      <w:numFmt w:val="decimal"/>
      <w:lvlText w:val="%1"/>
      <w:lvlJc w:val="left"/>
      <w:pPr>
        <w:ind w:left="1339" w:hanging="720"/>
        <w:jc w:val="left"/>
      </w:pPr>
      <w:rPr>
        <w:rFonts w:hint="default" w:ascii="Arial" w:hAnsi="Arial" w:eastAsia="Arial" w:cs="Arial"/>
        <w:b/>
        <w:bCs/>
        <w:w w:val="100"/>
        <w:sz w:val="28"/>
        <w:szCs w:val="28"/>
      </w:rPr>
    </w:lvl>
    <w:lvl w:ilvl="1">
      <w:start w:val="1"/>
      <w:numFmt w:val="decimal"/>
      <w:lvlText w:val="%1.%2"/>
      <w:lvlJc w:val="left"/>
      <w:pPr>
        <w:ind w:left="1340" w:hanging="720"/>
        <w:jc w:val="right"/>
      </w:pPr>
      <w:rPr>
        <w:rFonts w:hint="default" w:ascii="Arial" w:hAnsi="Arial" w:eastAsia="Arial" w:cs="Arial"/>
        <w:b/>
        <w:bCs/>
        <w:w w:val="100"/>
        <w:sz w:val="24"/>
        <w:szCs w:val="24"/>
      </w:rPr>
    </w:lvl>
    <w:lvl w:ilvl="2">
      <w:start w:val="1"/>
      <w:numFmt w:val="decimal"/>
      <w:lvlText w:val="%1.%2.%3"/>
      <w:lvlJc w:val="left"/>
      <w:pPr>
        <w:ind w:left="1339" w:hanging="720"/>
        <w:jc w:val="left"/>
      </w:pPr>
      <w:rPr>
        <w:rFonts w:hint="default" w:ascii="Arial" w:hAnsi="Arial" w:eastAsia="Arial" w:cs="Arial"/>
        <w:b/>
        <w:bCs/>
        <w:spacing w:val="-1"/>
        <w:w w:val="100"/>
        <w:sz w:val="22"/>
        <w:szCs w:val="22"/>
      </w:rPr>
    </w:lvl>
    <w:lvl w:ilvl="3">
      <w:start w:val="1"/>
      <w:numFmt w:val="decimal"/>
      <w:lvlText w:val="%1.%2.%3.%4"/>
      <w:lvlJc w:val="left"/>
      <w:pPr>
        <w:ind w:left="1339" w:hanging="720"/>
        <w:jc w:val="left"/>
      </w:pPr>
      <w:rPr>
        <w:rFonts w:hint="default" w:ascii="Arial" w:hAnsi="Arial" w:eastAsia="Arial" w:cs="Arial"/>
        <w:b/>
        <w:bCs/>
        <w:spacing w:val="-1"/>
        <w:w w:val="99"/>
        <w:sz w:val="20"/>
        <w:szCs w:val="20"/>
      </w:rPr>
    </w:lvl>
    <w:lvl w:ilvl="4">
      <w:start w:val="0"/>
      <w:numFmt w:val="bullet"/>
      <w:lvlText w:val="•"/>
      <w:lvlJc w:val="left"/>
      <w:pPr>
        <w:ind w:left="1692" w:hanging="720"/>
      </w:pPr>
      <w:rPr>
        <w:rFonts w:hint="default"/>
      </w:rPr>
    </w:lvl>
    <w:lvl w:ilvl="5">
      <w:start w:val="0"/>
      <w:numFmt w:val="bullet"/>
      <w:lvlText w:val="•"/>
      <w:lvlJc w:val="left"/>
      <w:pPr>
        <w:ind w:left="1868" w:hanging="720"/>
      </w:pPr>
      <w:rPr>
        <w:rFonts w:hint="default"/>
      </w:rPr>
    </w:lvl>
    <w:lvl w:ilvl="6">
      <w:start w:val="0"/>
      <w:numFmt w:val="bullet"/>
      <w:lvlText w:val="•"/>
      <w:lvlJc w:val="left"/>
      <w:pPr>
        <w:ind w:left="2044" w:hanging="720"/>
      </w:pPr>
      <w:rPr>
        <w:rFonts w:hint="default"/>
      </w:rPr>
    </w:lvl>
    <w:lvl w:ilvl="7">
      <w:start w:val="0"/>
      <w:numFmt w:val="bullet"/>
      <w:lvlText w:val="•"/>
      <w:lvlJc w:val="left"/>
      <w:pPr>
        <w:ind w:left="2220" w:hanging="720"/>
      </w:pPr>
      <w:rPr>
        <w:rFonts w:hint="default"/>
      </w:rPr>
    </w:lvl>
    <w:lvl w:ilvl="8">
      <w:start w:val="0"/>
      <w:numFmt w:val="bullet"/>
      <w:lvlText w:val="•"/>
      <w:lvlJc w:val="left"/>
      <w:pPr>
        <w:ind w:left="2396" w:hanging="720"/>
      </w:pPr>
      <w:rPr>
        <w:rFonts w:hint="default"/>
      </w:rPr>
    </w:lvl>
  </w:abstractNum>
  <w:abstractNum w:abstractNumId="5">
    <w:multiLevelType w:val="hybridMultilevel"/>
    <w:lvl w:ilvl="0">
      <w:start w:val="6"/>
      <w:numFmt w:val="decimal"/>
      <w:lvlText w:val="%1"/>
      <w:lvlJc w:val="left"/>
      <w:pPr>
        <w:ind w:left="1570" w:hanging="504"/>
        <w:jc w:val="left"/>
      </w:pPr>
      <w:rPr>
        <w:rFonts w:hint="default"/>
      </w:rPr>
    </w:lvl>
    <w:lvl w:ilvl="1">
      <w:start w:val="8"/>
      <w:numFmt w:val="decimal"/>
      <w:lvlText w:val="%1.%2"/>
      <w:lvlJc w:val="left"/>
      <w:pPr>
        <w:ind w:left="1570" w:hanging="504"/>
        <w:jc w:val="left"/>
      </w:pPr>
      <w:rPr>
        <w:rFonts w:hint="default" w:ascii="Arial" w:hAnsi="Arial" w:eastAsia="Arial" w:cs="Arial"/>
        <w:spacing w:val="-1"/>
        <w:w w:val="99"/>
        <w:sz w:val="20"/>
        <w:szCs w:val="20"/>
      </w:rPr>
    </w:lvl>
    <w:lvl w:ilvl="2">
      <w:start w:val="1"/>
      <w:numFmt w:val="decimal"/>
      <w:lvlText w:val="%1.%2.%3"/>
      <w:lvlJc w:val="left"/>
      <w:pPr>
        <w:ind w:left="2240" w:hanging="627"/>
        <w:jc w:val="left"/>
      </w:pPr>
      <w:rPr>
        <w:rFonts w:hint="default" w:ascii="Arial" w:hAnsi="Arial" w:eastAsia="Arial" w:cs="Arial"/>
        <w:spacing w:val="-1"/>
        <w:w w:val="99"/>
        <w:sz w:val="20"/>
        <w:szCs w:val="20"/>
      </w:rPr>
    </w:lvl>
    <w:lvl w:ilvl="3">
      <w:start w:val="0"/>
      <w:numFmt w:val="bullet"/>
      <w:lvlText w:val="•"/>
      <w:lvlJc w:val="left"/>
      <w:pPr>
        <w:ind w:left="4088" w:hanging="627"/>
      </w:pPr>
      <w:rPr>
        <w:rFonts w:hint="default"/>
      </w:rPr>
    </w:lvl>
    <w:lvl w:ilvl="4">
      <w:start w:val="0"/>
      <w:numFmt w:val="bullet"/>
      <w:lvlText w:val="•"/>
      <w:lvlJc w:val="left"/>
      <w:pPr>
        <w:ind w:left="5013" w:hanging="627"/>
      </w:pPr>
      <w:rPr>
        <w:rFonts w:hint="default"/>
      </w:rPr>
    </w:lvl>
    <w:lvl w:ilvl="5">
      <w:start w:val="0"/>
      <w:numFmt w:val="bullet"/>
      <w:lvlText w:val="•"/>
      <w:lvlJc w:val="left"/>
      <w:pPr>
        <w:ind w:left="5937" w:hanging="627"/>
      </w:pPr>
      <w:rPr>
        <w:rFonts w:hint="default"/>
      </w:rPr>
    </w:lvl>
    <w:lvl w:ilvl="6">
      <w:start w:val="0"/>
      <w:numFmt w:val="bullet"/>
      <w:lvlText w:val="•"/>
      <w:lvlJc w:val="left"/>
      <w:pPr>
        <w:ind w:left="6862" w:hanging="627"/>
      </w:pPr>
      <w:rPr>
        <w:rFonts w:hint="default"/>
      </w:rPr>
    </w:lvl>
    <w:lvl w:ilvl="7">
      <w:start w:val="0"/>
      <w:numFmt w:val="bullet"/>
      <w:lvlText w:val="•"/>
      <w:lvlJc w:val="left"/>
      <w:pPr>
        <w:ind w:left="7786" w:hanging="627"/>
      </w:pPr>
      <w:rPr>
        <w:rFonts w:hint="default"/>
      </w:rPr>
    </w:lvl>
    <w:lvl w:ilvl="8">
      <w:start w:val="0"/>
      <w:numFmt w:val="bullet"/>
      <w:lvlText w:val="•"/>
      <w:lvlJc w:val="left"/>
      <w:pPr>
        <w:ind w:left="8711" w:hanging="627"/>
      </w:pPr>
      <w:rPr>
        <w:rFonts w:hint="default"/>
      </w:rPr>
    </w:lvl>
  </w:abstractNum>
  <w:abstractNum w:abstractNumId="4">
    <w:multiLevelType w:val="hybridMultilevel"/>
    <w:lvl w:ilvl="0">
      <w:start w:val="6"/>
      <w:numFmt w:val="decimal"/>
      <w:lvlText w:val="%1"/>
      <w:lvlJc w:val="left"/>
      <w:pPr>
        <w:ind w:left="2240" w:hanging="627"/>
        <w:jc w:val="left"/>
      </w:pPr>
      <w:rPr>
        <w:rFonts w:hint="default"/>
      </w:rPr>
    </w:lvl>
    <w:lvl w:ilvl="1">
      <w:start w:val="4"/>
      <w:numFmt w:val="decimal"/>
      <w:lvlText w:val="%1.%2"/>
      <w:lvlJc w:val="left"/>
      <w:pPr>
        <w:ind w:left="2240" w:hanging="627"/>
        <w:jc w:val="left"/>
      </w:pPr>
      <w:rPr>
        <w:rFonts w:hint="default"/>
      </w:rPr>
    </w:lvl>
    <w:lvl w:ilvl="2">
      <w:start w:val="15"/>
      <w:numFmt w:val="decimal"/>
      <w:lvlText w:val="%1.%2.%3"/>
      <w:lvlJc w:val="left"/>
      <w:pPr>
        <w:ind w:left="2240" w:hanging="627"/>
        <w:jc w:val="left"/>
      </w:pPr>
      <w:rPr>
        <w:rFonts w:hint="default" w:ascii="Arial" w:hAnsi="Arial" w:eastAsia="Arial" w:cs="Arial"/>
        <w:spacing w:val="-1"/>
        <w:w w:val="99"/>
        <w:sz w:val="20"/>
        <w:szCs w:val="20"/>
      </w:rPr>
    </w:lvl>
    <w:lvl w:ilvl="3">
      <w:start w:val="0"/>
      <w:numFmt w:val="bullet"/>
      <w:lvlText w:val="•"/>
      <w:lvlJc w:val="left"/>
      <w:pPr>
        <w:ind w:left="4736" w:hanging="627"/>
      </w:pPr>
      <w:rPr>
        <w:rFonts w:hint="default"/>
      </w:rPr>
    </w:lvl>
    <w:lvl w:ilvl="4">
      <w:start w:val="0"/>
      <w:numFmt w:val="bullet"/>
      <w:lvlText w:val="•"/>
      <w:lvlJc w:val="left"/>
      <w:pPr>
        <w:ind w:left="5568" w:hanging="627"/>
      </w:pPr>
      <w:rPr>
        <w:rFonts w:hint="default"/>
      </w:rPr>
    </w:lvl>
    <w:lvl w:ilvl="5">
      <w:start w:val="0"/>
      <w:numFmt w:val="bullet"/>
      <w:lvlText w:val="•"/>
      <w:lvlJc w:val="left"/>
      <w:pPr>
        <w:ind w:left="6400" w:hanging="627"/>
      </w:pPr>
      <w:rPr>
        <w:rFonts w:hint="default"/>
      </w:rPr>
    </w:lvl>
    <w:lvl w:ilvl="6">
      <w:start w:val="0"/>
      <w:numFmt w:val="bullet"/>
      <w:lvlText w:val="•"/>
      <w:lvlJc w:val="left"/>
      <w:pPr>
        <w:ind w:left="7232" w:hanging="627"/>
      </w:pPr>
      <w:rPr>
        <w:rFonts w:hint="default"/>
      </w:rPr>
    </w:lvl>
    <w:lvl w:ilvl="7">
      <w:start w:val="0"/>
      <w:numFmt w:val="bullet"/>
      <w:lvlText w:val="•"/>
      <w:lvlJc w:val="left"/>
      <w:pPr>
        <w:ind w:left="8064" w:hanging="627"/>
      </w:pPr>
      <w:rPr>
        <w:rFonts w:hint="default"/>
      </w:rPr>
    </w:lvl>
    <w:lvl w:ilvl="8">
      <w:start w:val="0"/>
      <w:numFmt w:val="bullet"/>
      <w:lvlText w:val="•"/>
      <w:lvlJc w:val="left"/>
      <w:pPr>
        <w:ind w:left="8896" w:hanging="627"/>
      </w:pPr>
      <w:rPr>
        <w:rFonts w:hint="default"/>
      </w:rPr>
    </w:lvl>
  </w:abstractNum>
  <w:abstractNum w:abstractNumId="3">
    <w:multiLevelType w:val="hybridMultilevel"/>
    <w:lvl w:ilvl="0">
      <w:start w:val="2"/>
      <w:numFmt w:val="decimal"/>
      <w:lvlText w:val="%1"/>
      <w:lvlJc w:val="left"/>
      <w:pPr>
        <w:ind w:left="1570" w:hanging="504"/>
        <w:jc w:val="left"/>
      </w:pPr>
      <w:rPr>
        <w:rFonts w:hint="default"/>
      </w:rPr>
    </w:lvl>
    <w:lvl w:ilvl="1">
      <w:start w:val="5"/>
      <w:numFmt w:val="decimal"/>
      <w:lvlText w:val="%1.%2"/>
      <w:lvlJc w:val="left"/>
      <w:pPr>
        <w:ind w:left="1570" w:hanging="504"/>
        <w:jc w:val="left"/>
      </w:pPr>
      <w:rPr>
        <w:rFonts w:hint="default" w:ascii="Arial" w:hAnsi="Arial" w:eastAsia="Arial" w:cs="Arial"/>
        <w:spacing w:val="-1"/>
        <w:w w:val="99"/>
        <w:sz w:val="20"/>
        <w:szCs w:val="20"/>
      </w:rPr>
    </w:lvl>
    <w:lvl w:ilvl="2">
      <w:start w:val="1"/>
      <w:numFmt w:val="decimal"/>
      <w:lvlText w:val="%1.%2.%3"/>
      <w:lvlJc w:val="left"/>
      <w:pPr>
        <w:ind w:left="2240" w:hanging="627"/>
        <w:jc w:val="left"/>
      </w:pPr>
      <w:rPr>
        <w:rFonts w:hint="default" w:ascii="Arial" w:hAnsi="Arial" w:eastAsia="Arial" w:cs="Arial"/>
        <w:spacing w:val="-1"/>
        <w:w w:val="99"/>
        <w:sz w:val="20"/>
        <w:szCs w:val="20"/>
      </w:rPr>
    </w:lvl>
    <w:lvl w:ilvl="3">
      <w:start w:val="0"/>
      <w:numFmt w:val="bullet"/>
      <w:lvlText w:val="•"/>
      <w:lvlJc w:val="left"/>
      <w:pPr>
        <w:ind w:left="4088" w:hanging="627"/>
      </w:pPr>
      <w:rPr>
        <w:rFonts w:hint="default"/>
      </w:rPr>
    </w:lvl>
    <w:lvl w:ilvl="4">
      <w:start w:val="0"/>
      <w:numFmt w:val="bullet"/>
      <w:lvlText w:val="•"/>
      <w:lvlJc w:val="left"/>
      <w:pPr>
        <w:ind w:left="5013" w:hanging="627"/>
      </w:pPr>
      <w:rPr>
        <w:rFonts w:hint="default"/>
      </w:rPr>
    </w:lvl>
    <w:lvl w:ilvl="5">
      <w:start w:val="0"/>
      <w:numFmt w:val="bullet"/>
      <w:lvlText w:val="•"/>
      <w:lvlJc w:val="left"/>
      <w:pPr>
        <w:ind w:left="5937" w:hanging="627"/>
      </w:pPr>
      <w:rPr>
        <w:rFonts w:hint="default"/>
      </w:rPr>
    </w:lvl>
    <w:lvl w:ilvl="6">
      <w:start w:val="0"/>
      <w:numFmt w:val="bullet"/>
      <w:lvlText w:val="•"/>
      <w:lvlJc w:val="left"/>
      <w:pPr>
        <w:ind w:left="6862" w:hanging="627"/>
      </w:pPr>
      <w:rPr>
        <w:rFonts w:hint="default"/>
      </w:rPr>
    </w:lvl>
    <w:lvl w:ilvl="7">
      <w:start w:val="0"/>
      <w:numFmt w:val="bullet"/>
      <w:lvlText w:val="•"/>
      <w:lvlJc w:val="left"/>
      <w:pPr>
        <w:ind w:left="7786" w:hanging="627"/>
      </w:pPr>
      <w:rPr>
        <w:rFonts w:hint="default"/>
      </w:rPr>
    </w:lvl>
    <w:lvl w:ilvl="8">
      <w:start w:val="0"/>
      <w:numFmt w:val="bullet"/>
      <w:lvlText w:val="•"/>
      <w:lvlJc w:val="left"/>
      <w:pPr>
        <w:ind w:left="8711" w:hanging="627"/>
      </w:pPr>
      <w:rPr>
        <w:rFonts w:hint="default"/>
      </w:rPr>
    </w:lvl>
  </w:abstractNum>
  <w:abstractNum w:abstractNumId="2">
    <w:multiLevelType w:val="hybridMultilevel"/>
    <w:lvl w:ilvl="0">
      <w:start w:val="2"/>
      <w:numFmt w:val="decimal"/>
      <w:lvlText w:val="%1"/>
      <w:lvlJc w:val="left"/>
      <w:pPr>
        <w:ind w:left="2240" w:hanging="627"/>
        <w:jc w:val="left"/>
      </w:pPr>
      <w:rPr>
        <w:rFonts w:hint="default"/>
      </w:rPr>
    </w:lvl>
    <w:lvl w:ilvl="1">
      <w:start w:val="4"/>
      <w:numFmt w:val="decimal"/>
      <w:lvlText w:val="%1.%2"/>
      <w:lvlJc w:val="left"/>
      <w:pPr>
        <w:ind w:left="2240" w:hanging="627"/>
        <w:jc w:val="left"/>
      </w:pPr>
      <w:rPr>
        <w:rFonts w:hint="default"/>
      </w:rPr>
    </w:lvl>
    <w:lvl w:ilvl="2">
      <w:start w:val="1"/>
      <w:numFmt w:val="decimal"/>
      <w:lvlText w:val="%1.%2.%3"/>
      <w:lvlJc w:val="left"/>
      <w:pPr>
        <w:ind w:left="2240" w:hanging="627"/>
        <w:jc w:val="left"/>
      </w:pPr>
      <w:rPr>
        <w:rFonts w:hint="default" w:ascii="Arial" w:hAnsi="Arial" w:eastAsia="Arial" w:cs="Arial"/>
        <w:spacing w:val="-1"/>
        <w:w w:val="99"/>
        <w:sz w:val="20"/>
        <w:szCs w:val="20"/>
      </w:rPr>
    </w:lvl>
    <w:lvl w:ilvl="3">
      <w:start w:val="0"/>
      <w:numFmt w:val="bullet"/>
      <w:lvlText w:val="•"/>
      <w:lvlJc w:val="left"/>
      <w:pPr>
        <w:ind w:left="4736" w:hanging="627"/>
      </w:pPr>
      <w:rPr>
        <w:rFonts w:hint="default"/>
      </w:rPr>
    </w:lvl>
    <w:lvl w:ilvl="4">
      <w:start w:val="0"/>
      <w:numFmt w:val="bullet"/>
      <w:lvlText w:val="•"/>
      <w:lvlJc w:val="left"/>
      <w:pPr>
        <w:ind w:left="5568" w:hanging="627"/>
      </w:pPr>
      <w:rPr>
        <w:rFonts w:hint="default"/>
      </w:rPr>
    </w:lvl>
    <w:lvl w:ilvl="5">
      <w:start w:val="0"/>
      <w:numFmt w:val="bullet"/>
      <w:lvlText w:val="•"/>
      <w:lvlJc w:val="left"/>
      <w:pPr>
        <w:ind w:left="6400" w:hanging="627"/>
      </w:pPr>
      <w:rPr>
        <w:rFonts w:hint="default"/>
      </w:rPr>
    </w:lvl>
    <w:lvl w:ilvl="6">
      <w:start w:val="0"/>
      <w:numFmt w:val="bullet"/>
      <w:lvlText w:val="•"/>
      <w:lvlJc w:val="left"/>
      <w:pPr>
        <w:ind w:left="7232" w:hanging="627"/>
      </w:pPr>
      <w:rPr>
        <w:rFonts w:hint="default"/>
      </w:rPr>
    </w:lvl>
    <w:lvl w:ilvl="7">
      <w:start w:val="0"/>
      <w:numFmt w:val="bullet"/>
      <w:lvlText w:val="•"/>
      <w:lvlJc w:val="left"/>
      <w:pPr>
        <w:ind w:left="8064" w:hanging="627"/>
      </w:pPr>
      <w:rPr>
        <w:rFonts w:hint="default"/>
      </w:rPr>
    </w:lvl>
    <w:lvl w:ilvl="8">
      <w:start w:val="0"/>
      <w:numFmt w:val="bullet"/>
      <w:lvlText w:val="•"/>
      <w:lvlJc w:val="left"/>
      <w:pPr>
        <w:ind w:left="8896" w:hanging="627"/>
      </w:pPr>
      <w:rPr>
        <w:rFonts w:hint="default"/>
      </w:rPr>
    </w:lvl>
  </w:abstractNum>
  <w:abstractNum w:abstractNumId="1">
    <w:multiLevelType w:val="hybridMultilevel"/>
    <w:lvl w:ilvl="0">
      <w:start w:val="1"/>
      <w:numFmt w:val="decimal"/>
      <w:lvlText w:val="%1"/>
      <w:lvlJc w:val="left"/>
      <w:pPr>
        <w:ind w:left="1071" w:hanging="452"/>
        <w:jc w:val="left"/>
      </w:pPr>
      <w:rPr>
        <w:rFonts w:hint="default" w:ascii="Arial" w:hAnsi="Arial" w:eastAsia="Arial" w:cs="Arial"/>
        <w:b/>
        <w:bCs/>
        <w:w w:val="99"/>
        <w:sz w:val="20"/>
        <w:szCs w:val="20"/>
      </w:rPr>
    </w:lvl>
    <w:lvl w:ilvl="1">
      <w:start w:val="1"/>
      <w:numFmt w:val="decimal"/>
      <w:lvlText w:val="%1.%2"/>
      <w:lvlJc w:val="left"/>
      <w:pPr>
        <w:ind w:left="1570" w:hanging="504"/>
        <w:jc w:val="left"/>
      </w:pPr>
      <w:rPr>
        <w:rFonts w:hint="default" w:ascii="Arial" w:hAnsi="Arial" w:eastAsia="Arial" w:cs="Arial"/>
        <w:spacing w:val="-1"/>
        <w:w w:val="99"/>
        <w:sz w:val="20"/>
        <w:szCs w:val="20"/>
      </w:rPr>
    </w:lvl>
    <w:lvl w:ilvl="2">
      <w:start w:val="1"/>
      <w:numFmt w:val="decimal"/>
      <w:lvlText w:val="%1.%2.%3"/>
      <w:lvlJc w:val="left"/>
      <w:pPr>
        <w:ind w:left="2240" w:hanging="627"/>
        <w:jc w:val="left"/>
      </w:pPr>
      <w:rPr>
        <w:rFonts w:hint="default" w:ascii="Arial" w:hAnsi="Arial" w:eastAsia="Arial" w:cs="Arial"/>
        <w:spacing w:val="-1"/>
        <w:w w:val="99"/>
        <w:sz w:val="20"/>
        <w:szCs w:val="20"/>
      </w:rPr>
    </w:lvl>
    <w:lvl w:ilvl="3">
      <w:start w:val="0"/>
      <w:numFmt w:val="bullet"/>
      <w:lvlText w:val="•"/>
      <w:lvlJc w:val="left"/>
      <w:pPr>
        <w:ind w:left="3280" w:hanging="627"/>
      </w:pPr>
      <w:rPr>
        <w:rFonts w:hint="default"/>
      </w:rPr>
    </w:lvl>
    <w:lvl w:ilvl="4">
      <w:start w:val="0"/>
      <w:numFmt w:val="bullet"/>
      <w:lvlText w:val="•"/>
      <w:lvlJc w:val="left"/>
      <w:pPr>
        <w:ind w:left="4320" w:hanging="627"/>
      </w:pPr>
      <w:rPr>
        <w:rFonts w:hint="default"/>
      </w:rPr>
    </w:lvl>
    <w:lvl w:ilvl="5">
      <w:start w:val="0"/>
      <w:numFmt w:val="bullet"/>
      <w:lvlText w:val="•"/>
      <w:lvlJc w:val="left"/>
      <w:pPr>
        <w:ind w:left="5360" w:hanging="627"/>
      </w:pPr>
      <w:rPr>
        <w:rFonts w:hint="default"/>
      </w:rPr>
    </w:lvl>
    <w:lvl w:ilvl="6">
      <w:start w:val="0"/>
      <w:numFmt w:val="bullet"/>
      <w:lvlText w:val="•"/>
      <w:lvlJc w:val="left"/>
      <w:pPr>
        <w:ind w:left="6400" w:hanging="627"/>
      </w:pPr>
      <w:rPr>
        <w:rFonts w:hint="default"/>
      </w:rPr>
    </w:lvl>
    <w:lvl w:ilvl="7">
      <w:start w:val="0"/>
      <w:numFmt w:val="bullet"/>
      <w:lvlText w:val="•"/>
      <w:lvlJc w:val="left"/>
      <w:pPr>
        <w:ind w:left="7440" w:hanging="627"/>
      </w:pPr>
      <w:rPr>
        <w:rFonts w:hint="default"/>
      </w:rPr>
    </w:lvl>
    <w:lvl w:ilvl="8">
      <w:start w:val="0"/>
      <w:numFmt w:val="bullet"/>
      <w:lvlText w:val="•"/>
      <w:lvlJc w:val="left"/>
      <w:pPr>
        <w:ind w:left="8480" w:hanging="627"/>
      </w:pPr>
      <w:rPr>
        <w:rFonts w:hint="default"/>
      </w:rPr>
    </w:lvl>
  </w:abstractNum>
  <w:abstractNum w:abstractNumId="0">
    <w:multiLevelType w:val="hybridMultilevel"/>
    <w:lvl w:ilvl="0">
      <w:start w:val="0"/>
      <w:numFmt w:val="bullet"/>
      <w:lvlText w:val=""/>
      <w:lvlJc w:val="left"/>
      <w:pPr>
        <w:ind w:left="440" w:hanging="181"/>
      </w:pPr>
      <w:rPr>
        <w:rFonts w:hint="default"/>
        <w:w w:val="99"/>
      </w:rPr>
    </w:lvl>
    <w:lvl w:ilvl="1">
      <w:start w:val="0"/>
      <w:numFmt w:val="bullet"/>
      <w:lvlText w:val=""/>
      <w:lvlJc w:val="left"/>
      <w:pPr>
        <w:ind w:left="978" w:hanging="360"/>
      </w:pPr>
      <w:rPr>
        <w:rFonts w:hint="default"/>
        <w:w w:val="99"/>
      </w:rPr>
    </w:lvl>
    <w:lvl w:ilvl="2">
      <w:start w:val="0"/>
      <w:numFmt w:val="bullet"/>
      <w:lvlText w:val="-"/>
      <w:lvlJc w:val="left"/>
      <w:pPr>
        <w:ind w:left="1339" w:hanging="360"/>
      </w:pPr>
      <w:rPr>
        <w:rFonts w:hint="default" w:ascii="Arial" w:hAnsi="Arial" w:eastAsia="Arial" w:cs="Arial"/>
        <w:w w:val="99"/>
        <w:sz w:val="20"/>
        <w:szCs w:val="20"/>
      </w:rPr>
    </w:lvl>
    <w:lvl w:ilvl="3">
      <w:start w:val="0"/>
      <w:numFmt w:val="bullet"/>
      <w:lvlText w:val="•"/>
      <w:lvlJc w:val="left"/>
      <w:pPr>
        <w:ind w:left="1340" w:hanging="360"/>
      </w:pPr>
      <w:rPr>
        <w:rFonts w:hint="default"/>
      </w:rPr>
    </w:lvl>
    <w:lvl w:ilvl="4">
      <w:start w:val="0"/>
      <w:numFmt w:val="bullet"/>
      <w:lvlText w:val="•"/>
      <w:lvlJc w:val="left"/>
      <w:pPr>
        <w:ind w:left="2220" w:hanging="360"/>
      </w:pPr>
      <w:rPr>
        <w:rFonts w:hint="default"/>
      </w:rPr>
    </w:lvl>
    <w:lvl w:ilvl="5">
      <w:start w:val="0"/>
      <w:numFmt w:val="bullet"/>
      <w:lvlText w:val="•"/>
      <w:lvlJc w:val="left"/>
      <w:pPr>
        <w:ind w:left="2590" w:hanging="360"/>
      </w:pPr>
      <w:rPr>
        <w:rFonts w:hint="default"/>
      </w:rPr>
    </w:lvl>
    <w:lvl w:ilvl="6">
      <w:start w:val="0"/>
      <w:numFmt w:val="bullet"/>
      <w:lvlText w:val="•"/>
      <w:lvlJc w:val="left"/>
      <w:pPr>
        <w:ind w:left="2960" w:hanging="360"/>
      </w:pPr>
      <w:rPr>
        <w:rFonts w:hint="default"/>
      </w:rPr>
    </w:lvl>
    <w:lvl w:ilvl="7">
      <w:start w:val="0"/>
      <w:numFmt w:val="bullet"/>
      <w:lvlText w:val="•"/>
      <w:lvlJc w:val="left"/>
      <w:pPr>
        <w:ind w:left="3330" w:hanging="360"/>
      </w:pPr>
      <w:rPr>
        <w:rFonts w:hint="default"/>
      </w:rPr>
    </w:lvl>
    <w:lvl w:ilvl="8">
      <w:start w:val="0"/>
      <w:numFmt w:val="bullet"/>
      <w:lvlText w:val="•"/>
      <w:lvlJc w:val="left"/>
      <w:pPr>
        <w:ind w:left="3700" w:hanging="360"/>
      </w:pPr>
      <w:rPr>
        <w:rFonts w:hint="default"/>
      </w:rPr>
    </w:lvl>
  </w:abstractNum>
  <w:num w:numId="43">
    <w:abstractNumId w:val="42"/>
  </w:num>
  <w:num w:numId="19">
    <w:abstractNumId w:val="18"/>
  </w:num>
  <w:num w:numId="18">
    <w:abstractNumId w:val="17"/>
  </w:num>
  <w:num w:numId="44">
    <w:abstractNumId w:val="43"/>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39"/>
      <w:ind w:left="620"/>
    </w:pPr>
    <w:rPr>
      <w:rFonts w:ascii="Arial" w:hAnsi="Arial" w:eastAsia="Arial" w:cs="Arial"/>
      <w:sz w:val="20"/>
      <w:szCs w:val="20"/>
    </w:rPr>
  </w:style>
  <w:style w:styleId="TOC2" w:type="paragraph">
    <w:name w:val="TOC 2"/>
    <w:basedOn w:val="Normal"/>
    <w:uiPriority w:val="1"/>
    <w:qFormat/>
    <w:pPr>
      <w:spacing w:before="34"/>
      <w:ind w:left="620"/>
    </w:pPr>
    <w:rPr>
      <w:rFonts w:ascii="Arial" w:hAnsi="Arial" w:eastAsia="Arial" w:cs="Arial"/>
      <w:b/>
      <w:bCs/>
      <w:i/>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ind w:left="62"/>
      <w:jc w:val="center"/>
      <w:outlineLvl w:val="1"/>
    </w:pPr>
    <w:rPr>
      <w:rFonts w:ascii="Arial" w:hAnsi="Arial" w:eastAsia="Arial" w:cs="Arial"/>
      <w:b/>
      <w:bCs/>
      <w:sz w:val="20"/>
      <w:szCs w:val="20"/>
    </w:rPr>
  </w:style>
  <w:style w:styleId="Title" w:type="paragraph">
    <w:name w:val="Title"/>
    <w:basedOn w:val="Normal"/>
    <w:uiPriority w:val="1"/>
    <w:qFormat/>
    <w:pPr>
      <w:spacing w:before="1"/>
      <w:ind w:right="447"/>
      <w:jc w:val="right"/>
    </w:pPr>
    <w:rPr>
      <w:rFonts w:ascii="Arial" w:hAnsi="Arial" w:eastAsia="Arial" w:cs="Arial"/>
      <w:b/>
      <w:bCs/>
      <w:sz w:val="36"/>
      <w:szCs w:val="36"/>
    </w:rPr>
  </w:style>
  <w:style w:styleId="ListParagraph" w:type="paragraph">
    <w:name w:val="List Paragraph"/>
    <w:basedOn w:val="Normal"/>
    <w:uiPriority w:val="1"/>
    <w:qFormat/>
    <w:pPr>
      <w:spacing w:before="39"/>
      <w:ind w:left="2240" w:hanging="72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hyperlink" Target="http://www.maximintegrated.com/"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png"/><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image" Target="media/image56.png"/><Relationship Id="rId66" Type="http://schemas.openxmlformats.org/officeDocument/2006/relationships/image" Target="media/image57.png"/><Relationship Id="rId67" Type="http://schemas.openxmlformats.org/officeDocument/2006/relationships/image" Target="media/image58.png"/><Relationship Id="rId68" Type="http://schemas.openxmlformats.org/officeDocument/2006/relationships/image" Target="media/image59.png"/><Relationship Id="rId69" Type="http://schemas.openxmlformats.org/officeDocument/2006/relationships/image" Target="media/image60.png"/><Relationship Id="rId70" Type="http://schemas.openxmlformats.org/officeDocument/2006/relationships/image" Target="media/image61.png"/><Relationship Id="rId71" Type="http://schemas.openxmlformats.org/officeDocument/2006/relationships/image" Target="media/image62.png"/><Relationship Id="rId72" Type="http://schemas.openxmlformats.org/officeDocument/2006/relationships/image" Target="media/image63.png"/><Relationship Id="rId73" Type="http://schemas.openxmlformats.org/officeDocument/2006/relationships/image" Target="media/image64.png"/><Relationship Id="rId74" Type="http://schemas.openxmlformats.org/officeDocument/2006/relationships/image" Target="media/image65.png"/><Relationship Id="rId75" Type="http://schemas.openxmlformats.org/officeDocument/2006/relationships/image" Target="media/image66.png"/><Relationship Id="rId76" Type="http://schemas.openxmlformats.org/officeDocument/2006/relationships/header" Target="header3.xml"/><Relationship Id="rId77" Type="http://schemas.openxmlformats.org/officeDocument/2006/relationships/header" Target="header4.xml"/><Relationship Id="rId78" Type="http://schemas.openxmlformats.org/officeDocument/2006/relationships/footer" Target="footer3.xml"/><Relationship Id="rId79" Type="http://schemas.openxmlformats.org/officeDocument/2006/relationships/footer" Target="footer4.xml"/><Relationship Id="rId80" Type="http://schemas.openxmlformats.org/officeDocument/2006/relationships/header" Target="header5.xml"/><Relationship Id="rId81" Type="http://schemas.openxmlformats.org/officeDocument/2006/relationships/header" Target="header6.xml"/><Relationship Id="rId82" Type="http://schemas.openxmlformats.org/officeDocument/2006/relationships/footer" Target="footer5.xml"/><Relationship Id="rId83" Type="http://schemas.openxmlformats.org/officeDocument/2006/relationships/footer" Target="footer6.xml"/><Relationship Id="rId84" Type="http://schemas.openxmlformats.org/officeDocument/2006/relationships/image" Target="media/image67.png"/><Relationship Id="rId85" Type="http://schemas.openxmlformats.org/officeDocument/2006/relationships/image" Target="media/image68.png"/><Relationship Id="rId86" Type="http://schemas.openxmlformats.org/officeDocument/2006/relationships/image" Target="media/image69.png"/><Relationship Id="rId87" Type="http://schemas.openxmlformats.org/officeDocument/2006/relationships/image" Target="media/image70.png"/><Relationship Id="rId88" Type="http://schemas.openxmlformats.org/officeDocument/2006/relationships/image" Target="media/image71.png"/><Relationship Id="rId89" Type="http://schemas.openxmlformats.org/officeDocument/2006/relationships/image" Target="media/image72.png"/><Relationship Id="rId90" Type="http://schemas.openxmlformats.org/officeDocument/2006/relationships/image" Target="media/image73.png"/><Relationship Id="rId91" Type="http://schemas.openxmlformats.org/officeDocument/2006/relationships/image" Target="media/image74.png"/><Relationship Id="rId92" Type="http://schemas.openxmlformats.org/officeDocument/2006/relationships/image" Target="media/image75.png"/><Relationship Id="rId93" Type="http://schemas.openxmlformats.org/officeDocument/2006/relationships/image" Target="media/image76.png"/><Relationship Id="rId94" Type="http://schemas.openxmlformats.org/officeDocument/2006/relationships/image" Target="media/image77.png"/><Relationship Id="rId95" Type="http://schemas.openxmlformats.org/officeDocument/2006/relationships/image" Target="media/image78.png"/><Relationship Id="rId96" Type="http://schemas.openxmlformats.org/officeDocument/2006/relationships/image" Target="media/image79.png"/><Relationship Id="rId97" Type="http://schemas.openxmlformats.org/officeDocument/2006/relationships/image" Target="media/image80.png"/><Relationship Id="rId98" Type="http://schemas.openxmlformats.org/officeDocument/2006/relationships/image" Target="media/image81.png"/><Relationship Id="rId99" Type="http://schemas.openxmlformats.org/officeDocument/2006/relationships/image" Target="media/image82.png"/><Relationship Id="rId100" Type="http://schemas.openxmlformats.org/officeDocument/2006/relationships/image" Target="media/image83.png"/><Relationship Id="rId101" Type="http://schemas.openxmlformats.org/officeDocument/2006/relationships/image" Target="media/image84.png"/><Relationship Id="rId102" Type="http://schemas.openxmlformats.org/officeDocument/2006/relationships/image" Target="media/image85.png"/><Relationship Id="rId103" Type="http://schemas.openxmlformats.org/officeDocument/2006/relationships/image" Target="media/image86.png"/><Relationship Id="rId104" Type="http://schemas.openxmlformats.org/officeDocument/2006/relationships/image" Target="media/image87.png"/><Relationship Id="rId105" Type="http://schemas.openxmlformats.org/officeDocument/2006/relationships/image" Target="media/image88.png"/><Relationship Id="rId106" Type="http://schemas.openxmlformats.org/officeDocument/2006/relationships/header" Target="header7.xml"/><Relationship Id="rId107" Type="http://schemas.openxmlformats.org/officeDocument/2006/relationships/footer" Target="footer7.xml"/><Relationship Id="rId108" Type="http://schemas.openxmlformats.org/officeDocument/2006/relationships/footer" Target="footer8.xml"/><Relationship Id="rId109" Type="http://schemas.openxmlformats.org/officeDocument/2006/relationships/image" Target="media/image89.png"/><Relationship Id="rId110" Type="http://schemas.openxmlformats.org/officeDocument/2006/relationships/header" Target="header8.xml"/><Relationship Id="rId111" Type="http://schemas.openxmlformats.org/officeDocument/2006/relationships/header" Target="header9.xml"/><Relationship Id="rId112" Type="http://schemas.openxmlformats.org/officeDocument/2006/relationships/footer" Target="footer9.xml"/><Relationship Id="rId113" Type="http://schemas.openxmlformats.org/officeDocument/2006/relationships/footer" Target="footer10.xml"/><Relationship Id="rId114" Type="http://schemas.openxmlformats.org/officeDocument/2006/relationships/image" Target="media/image90.png"/><Relationship Id="rId115" Type="http://schemas.openxmlformats.org/officeDocument/2006/relationships/image" Target="media/image91.png"/><Relationship Id="rId116" Type="http://schemas.openxmlformats.org/officeDocument/2006/relationships/image" Target="media/image92.png"/><Relationship Id="rId117" Type="http://schemas.openxmlformats.org/officeDocument/2006/relationships/image" Target="media/image93.png"/><Relationship Id="rId118" Type="http://schemas.openxmlformats.org/officeDocument/2006/relationships/image" Target="media/image94.png"/><Relationship Id="rId119" Type="http://schemas.openxmlformats.org/officeDocument/2006/relationships/image" Target="media/image95.png"/><Relationship Id="rId120" Type="http://schemas.openxmlformats.org/officeDocument/2006/relationships/image" Target="media/image96.png"/><Relationship Id="rId121" Type="http://schemas.openxmlformats.org/officeDocument/2006/relationships/image" Target="media/image97.png"/><Relationship Id="rId122" Type="http://schemas.openxmlformats.org/officeDocument/2006/relationships/image" Target="media/image98.png"/><Relationship Id="rId123" Type="http://schemas.openxmlformats.org/officeDocument/2006/relationships/image" Target="media/image99.png"/><Relationship Id="rId124" Type="http://schemas.openxmlformats.org/officeDocument/2006/relationships/image" Target="media/image100.png"/><Relationship Id="rId125" Type="http://schemas.openxmlformats.org/officeDocument/2006/relationships/image" Target="media/image101.png"/><Relationship Id="rId126" Type="http://schemas.openxmlformats.org/officeDocument/2006/relationships/image" Target="media/image102.png"/><Relationship Id="rId127" Type="http://schemas.openxmlformats.org/officeDocument/2006/relationships/image" Target="media/image103.png"/><Relationship Id="rId128" Type="http://schemas.openxmlformats.org/officeDocument/2006/relationships/image" Target="media/image104.png"/><Relationship Id="rId129" Type="http://schemas.openxmlformats.org/officeDocument/2006/relationships/image" Target="media/image105.png"/><Relationship Id="rId130" Type="http://schemas.openxmlformats.org/officeDocument/2006/relationships/image" Target="media/image106.png"/><Relationship Id="rId131" Type="http://schemas.openxmlformats.org/officeDocument/2006/relationships/image" Target="media/image107.png"/><Relationship Id="rId132" Type="http://schemas.openxmlformats.org/officeDocument/2006/relationships/image" Target="media/image108.png"/><Relationship Id="rId133" Type="http://schemas.openxmlformats.org/officeDocument/2006/relationships/image" Target="media/image109.png"/><Relationship Id="rId134" Type="http://schemas.openxmlformats.org/officeDocument/2006/relationships/image" Target="media/image110.png"/><Relationship Id="rId135" Type="http://schemas.openxmlformats.org/officeDocument/2006/relationships/image" Target="media/image111.png"/><Relationship Id="rId136" Type="http://schemas.openxmlformats.org/officeDocument/2006/relationships/image" Target="media/image112.png"/><Relationship Id="rId137" Type="http://schemas.openxmlformats.org/officeDocument/2006/relationships/image" Target="media/image113.png"/><Relationship Id="rId138" Type="http://schemas.openxmlformats.org/officeDocument/2006/relationships/image" Target="media/image114.png"/><Relationship Id="rId139" Type="http://schemas.openxmlformats.org/officeDocument/2006/relationships/image" Target="media/image115.png"/><Relationship Id="rId140" Type="http://schemas.openxmlformats.org/officeDocument/2006/relationships/image" Target="media/image116.png"/><Relationship Id="rId141" Type="http://schemas.openxmlformats.org/officeDocument/2006/relationships/image" Target="media/image117.png"/><Relationship Id="rId142" Type="http://schemas.openxmlformats.org/officeDocument/2006/relationships/image" Target="media/image118.png"/><Relationship Id="rId143" Type="http://schemas.openxmlformats.org/officeDocument/2006/relationships/image" Target="media/image119.png"/><Relationship Id="rId144" Type="http://schemas.openxmlformats.org/officeDocument/2006/relationships/image" Target="media/image120.png"/><Relationship Id="rId145" Type="http://schemas.openxmlformats.org/officeDocument/2006/relationships/image" Target="media/image121.png"/><Relationship Id="rId146" Type="http://schemas.openxmlformats.org/officeDocument/2006/relationships/image" Target="media/image122.png"/><Relationship Id="rId147" Type="http://schemas.openxmlformats.org/officeDocument/2006/relationships/image" Target="media/image123.png"/><Relationship Id="rId148" Type="http://schemas.openxmlformats.org/officeDocument/2006/relationships/image" Target="media/image124.png"/><Relationship Id="rId149" Type="http://schemas.openxmlformats.org/officeDocument/2006/relationships/image" Target="media/image125.png"/><Relationship Id="rId150" Type="http://schemas.openxmlformats.org/officeDocument/2006/relationships/image" Target="media/image126.png"/><Relationship Id="rId151" Type="http://schemas.openxmlformats.org/officeDocument/2006/relationships/image" Target="media/image127.png"/><Relationship Id="rId152" Type="http://schemas.openxmlformats.org/officeDocument/2006/relationships/image" Target="media/image128.png"/><Relationship Id="rId153" Type="http://schemas.openxmlformats.org/officeDocument/2006/relationships/image" Target="media/image129.png"/><Relationship Id="rId154" Type="http://schemas.openxmlformats.org/officeDocument/2006/relationships/image" Target="media/image130.png"/><Relationship Id="rId155" Type="http://schemas.openxmlformats.org/officeDocument/2006/relationships/image" Target="media/image131.png"/><Relationship Id="rId156" Type="http://schemas.openxmlformats.org/officeDocument/2006/relationships/image" Target="media/image132.png"/><Relationship Id="rId157" Type="http://schemas.openxmlformats.org/officeDocument/2006/relationships/image" Target="media/image133.png"/><Relationship Id="rId158" Type="http://schemas.openxmlformats.org/officeDocument/2006/relationships/image" Target="media/image134.png"/><Relationship Id="rId159" Type="http://schemas.openxmlformats.org/officeDocument/2006/relationships/image" Target="media/image135.png"/><Relationship Id="rId160" Type="http://schemas.openxmlformats.org/officeDocument/2006/relationships/header" Target="header10.xml"/><Relationship Id="rId161" Type="http://schemas.openxmlformats.org/officeDocument/2006/relationships/header" Target="header11.xml"/><Relationship Id="rId162" Type="http://schemas.openxmlformats.org/officeDocument/2006/relationships/footer" Target="footer11.xml"/><Relationship Id="rId163" Type="http://schemas.openxmlformats.org/officeDocument/2006/relationships/footer" Target="footer12.xml"/><Relationship Id="rId164" Type="http://schemas.openxmlformats.org/officeDocument/2006/relationships/header" Target="header12.xml"/><Relationship Id="rId165" Type="http://schemas.openxmlformats.org/officeDocument/2006/relationships/header" Target="header13.xml"/><Relationship Id="rId166" Type="http://schemas.openxmlformats.org/officeDocument/2006/relationships/footer" Target="footer13.xml"/><Relationship Id="rId167" Type="http://schemas.openxmlformats.org/officeDocument/2006/relationships/footer" Target="footer14.xml"/><Relationship Id="rId168" Type="http://schemas.openxmlformats.org/officeDocument/2006/relationships/image" Target="media/image136.png"/><Relationship Id="rId169" Type="http://schemas.openxmlformats.org/officeDocument/2006/relationships/image" Target="media/image137.png"/><Relationship Id="rId170" Type="http://schemas.openxmlformats.org/officeDocument/2006/relationships/image" Target="media/image138.png"/><Relationship Id="rId171" Type="http://schemas.openxmlformats.org/officeDocument/2006/relationships/image" Target="media/image139.png"/><Relationship Id="rId172" Type="http://schemas.openxmlformats.org/officeDocument/2006/relationships/image" Target="media/image140.png"/><Relationship Id="rId173" Type="http://schemas.openxmlformats.org/officeDocument/2006/relationships/image" Target="media/image141.png"/><Relationship Id="rId174" Type="http://schemas.openxmlformats.org/officeDocument/2006/relationships/image" Target="media/image142.png"/><Relationship Id="rId175" Type="http://schemas.openxmlformats.org/officeDocument/2006/relationships/image" Target="media/image143.png"/><Relationship Id="rId176" Type="http://schemas.openxmlformats.org/officeDocument/2006/relationships/image" Target="media/image144.png"/><Relationship Id="rId177" Type="http://schemas.openxmlformats.org/officeDocument/2006/relationships/image" Target="media/image145.png"/><Relationship Id="rId178" Type="http://schemas.openxmlformats.org/officeDocument/2006/relationships/image" Target="media/image146.png"/><Relationship Id="rId179" Type="http://schemas.openxmlformats.org/officeDocument/2006/relationships/image" Target="media/image147.png"/><Relationship Id="rId180" Type="http://schemas.openxmlformats.org/officeDocument/2006/relationships/image" Target="media/image148.png"/><Relationship Id="rId181" Type="http://schemas.openxmlformats.org/officeDocument/2006/relationships/image" Target="media/image149.png"/><Relationship Id="rId182" Type="http://schemas.openxmlformats.org/officeDocument/2006/relationships/image" Target="media/image150.png"/><Relationship Id="rId183" Type="http://schemas.openxmlformats.org/officeDocument/2006/relationships/image" Target="media/image151.png"/><Relationship Id="rId184" Type="http://schemas.openxmlformats.org/officeDocument/2006/relationships/image" Target="media/image152.png"/><Relationship Id="rId185" Type="http://schemas.openxmlformats.org/officeDocument/2006/relationships/image" Target="media/image153.png"/><Relationship Id="rId186" Type="http://schemas.openxmlformats.org/officeDocument/2006/relationships/image" Target="media/image154.png"/><Relationship Id="rId187" Type="http://schemas.openxmlformats.org/officeDocument/2006/relationships/image" Target="media/image155.png"/><Relationship Id="rId188" Type="http://schemas.openxmlformats.org/officeDocument/2006/relationships/image" Target="media/image156.png"/><Relationship Id="rId189" Type="http://schemas.openxmlformats.org/officeDocument/2006/relationships/image" Target="media/image157.png"/><Relationship Id="rId190" Type="http://schemas.openxmlformats.org/officeDocument/2006/relationships/image" Target="media/image158.png"/><Relationship Id="rId191" Type="http://schemas.openxmlformats.org/officeDocument/2006/relationships/image" Target="media/image159.png"/><Relationship Id="rId192" Type="http://schemas.openxmlformats.org/officeDocument/2006/relationships/image" Target="media/image160.png"/><Relationship Id="rId193" Type="http://schemas.openxmlformats.org/officeDocument/2006/relationships/image" Target="media/image161.png"/><Relationship Id="rId194" Type="http://schemas.openxmlformats.org/officeDocument/2006/relationships/image" Target="media/image162.png"/><Relationship Id="rId195" Type="http://schemas.openxmlformats.org/officeDocument/2006/relationships/image" Target="media/image163.png"/><Relationship Id="rId196" Type="http://schemas.openxmlformats.org/officeDocument/2006/relationships/image" Target="media/image164.png"/><Relationship Id="rId197" Type="http://schemas.openxmlformats.org/officeDocument/2006/relationships/image" Target="media/image165.png"/><Relationship Id="rId198" Type="http://schemas.openxmlformats.org/officeDocument/2006/relationships/image" Target="media/image166.png"/><Relationship Id="rId199" Type="http://schemas.openxmlformats.org/officeDocument/2006/relationships/image" Target="media/image167.png"/><Relationship Id="rId200" Type="http://schemas.openxmlformats.org/officeDocument/2006/relationships/image" Target="media/image168.png"/><Relationship Id="rId201" Type="http://schemas.openxmlformats.org/officeDocument/2006/relationships/image" Target="media/image169.png"/><Relationship Id="rId202" Type="http://schemas.openxmlformats.org/officeDocument/2006/relationships/image" Target="media/image170.png"/><Relationship Id="rId203" Type="http://schemas.openxmlformats.org/officeDocument/2006/relationships/image" Target="media/image171.png"/><Relationship Id="rId204" Type="http://schemas.openxmlformats.org/officeDocument/2006/relationships/image" Target="media/image172.png"/><Relationship Id="rId205" Type="http://schemas.openxmlformats.org/officeDocument/2006/relationships/image" Target="media/image173.png"/><Relationship Id="rId206" Type="http://schemas.openxmlformats.org/officeDocument/2006/relationships/image" Target="media/image174.png"/><Relationship Id="rId207" Type="http://schemas.openxmlformats.org/officeDocument/2006/relationships/image" Target="media/image175.png"/><Relationship Id="rId208" Type="http://schemas.openxmlformats.org/officeDocument/2006/relationships/image" Target="media/image176.png"/><Relationship Id="rId209" Type="http://schemas.openxmlformats.org/officeDocument/2006/relationships/image" Target="media/image177.png"/><Relationship Id="rId210" Type="http://schemas.openxmlformats.org/officeDocument/2006/relationships/image" Target="media/image178.png"/><Relationship Id="rId211" Type="http://schemas.openxmlformats.org/officeDocument/2006/relationships/image" Target="media/image179.png"/><Relationship Id="rId212" Type="http://schemas.openxmlformats.org/officeDocument/2006/relationships/image" Target="media/image180.png"/><Relationship Id="rId213" Type="http://schemas.openxmlformats.org/officeDocument/2006/relationships/header" Target="header14.xml"/><Relationship Id="rId214" Type="http://schemas.openxmlformats.org/officeDocument/2006/relationships/header" Target="header15.xml"/><Relationship Id="rId215" Type="http://schemas.openxmlformats.org/officeDocument/2006/relationships/footer" Target="footer15.xml"/><Relationship Id="rId216" Type="http://schemas.openxmlformats.org/officeDocument/2006/relationships/footer" Target="footer16.xml"/><Relationship Id="rId217" Type="http://schemas.openxmlformats.org/officeDocument/2006/relationships/header" Target="header16.xml"/><Relationship Id="rId218" Type="http://schemas.openxmlformats.org/officeDocument/2006/relationships/header" Target="header17.xml"/><Relationship Id="rId219" Type="http://schemas.openxmlformats.org/officeDocument/2006/relationships/footer" Target="footer17.xml"/><Relationship Id="rId220" Type="http://schemas.openxmlformats.org/officeDocument/2006/relationships/footer" Target="footer18.xml"/><Relationship Id="rId221" Type="http://schemas.openxmlformats.org/officeDocument/2006/relationships/image" Target="media/image181.png"/><Relationship Id="rId222" Type="http://schemas.openxmlformats.org/officeDocument/2006/relationships/image" Target="media/image182.png"/><Relationship Id="rId223" Type="http://schemas.openxmlformats.org/officeDocument/2006/relationships/image" Target="media/image183.png"/><Relationship Id="rId224" Type="http://schemas.openxmlformats.org/officeDocument/2006/relationships/image" Target="media/image184.png"/><Relationship Id="rId225" Type="http://schemas.openxmlformats.org/officeDocument/2006/relationships/image" Target="media/image185.png"/><Relationship Id="rId226" Type="http://schemas.openxmlformats.org/officeDocument/2006/relationships/image" Target="media/image186.png"/><Relationship Id="rId227" Type="http://schemas.openxmlformats.org/officeDocument/2006/relationships/image" Target="media/image187.png"/><Relationship Id="rId228" Type="http://schemas.openxmlformats.org/officeDocument/2006/relationships/image" Target="media/image188.png"/><Relationship Id="rId229" Type="http://schemas.openxmlformats.org/officeDocument/2006/relationships/image" Target="media/image189.png"/><Relationship Id="rId230" Type="http://schemas.openxmlformats.org/officeDocument/2006/relationships/image" Target="media/image190.png"/><Relationship Id="rId231" Type="http://schemas.openxmlformats.org/officeDocument/2006/relationships/image" Target="media/image191.png"/><Relationship Id="rId232" Type="http://schemas.openxmlformats.org/officeDocument/2006/relationships/image" Target="media/image192.png"/><Relationship Id="rId233" Type="http://schemas.openxmlformats.org/officeDocument/2006/relationships/image" Target="media/image193.png"/><Relationship Id="rId234" Type="http://schemas.openxmlformats.org/officeDocument/2006/relationships/image" Target="media/image194.png"/><Relationship Id="rId235" Type="http://schemas.openxmlformats.org/officeDocument/2006/relationships/image" Target="media/image195.png"/><Relationship Id="rId236" Type="http://schemas.openxmlformats.org/officeDocument/2006/relationships/image" Target="media/image196.png"/><Relationship Id="rId237" Type="http://schemas.openxmlformats.org/officeDocument/2006/relationships/image" Target="media/image197.png"/><Relationship Id="rId238" Type="http://schemas.openxmlformats.org/officeDocument/2006/relationships/image" Target="media/image198.png"/><Relationship Id="rId239" Type="http://schemas.openxmlformats.org/officeDocument/2006/relationships/image" Target="media/image199.png"/><Relationship Id="rId240" Type="http://schemas.openxmlformats.org/officeDocument/2006/relationships/image" Target="media/image200.png"/><Relationship Id="rId241" Type="http://schemas.openxmlformats.org/officeDocument/2006/relationships/image" Target="media/image201.png"/><Relationship Id="rId242" Type="http://schemas.openxmlformats.org/officeDocument/2006/relationships/image" Target="media/image202.png"/><Relationship Id="rId243" Type="http://schemas.openxmlformats.org/officeDocument/2006/relationships/image" Target="media/image203.png"/><Relationship Id="rId244" Type="http://schemas.openxmlformats.org/officeDocument/2006/relationships/image" Target="media/image204.png"/><Relationship Id="rId245" Type="http://schemas.openxmlformats.org/officeDocument/2006/relationships/hyperlink" Target="http://www.maximintegrated.com/support" TargetMode="External"/><Relationship Id="rId246" Type="http://schemas.openxmlformats.org/officeDocument/2006/relationships/header" Target="header18.xml"/><Relationship Id="rId247" Type="http://schemas.openxmlformats.org/officeDocument/2006/relationships/footer" Target="footer19.xml"/><Relationship Id="rId24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claiz</dc:creator>
  <dc:title>71M6543F/H Data Sheet</dc:title>
  <dcterms:created xsi:type="dcterms:W3CDTF">2020-09-03T10:19:50Z</dcterms:created>
  <dcterms:modified xsi:type="dcterms:W3CDTF">2020-09-03T10:19:50Z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2013-10-14T00:00:00Z</vt:filetime>
  </property>
  <property fmtid="{D5CDD505-2E9C-101B-9397-08002B2CF9AE}" pid="3" name="Creator">
    <vt:lpwstr>Acrobat PDFMaker 10.1 for Word</vt:lpwstr>
  </property>
  <property fmtid="{D5CDD505-2E9C-101B-9397-08002B2CF9AE}" pid="4" name="LastSaved">
    <vt:filetime>2020-09-03T00:00:00Z</vt:filetime>
  </property>
</Properties>
</file>